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mp" ContentType="image/png"/>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A5626" w14:textId="12C8D3AA" w:rsidR="00B63AFB" w:rsidRDefault="00C82175" w:rsidP="005704ED">
      <w:r>
        <w:rPr>
          <w:noProof/>
        </w:rPr>
        <w:drawing>
          <wp:anchor distT="0" distB="0" distL="114300" distR="114300" simplePos="0" relativeHeight="251658248" behindDoc="0" locked="0" layoutInCell="1" allowOverlap="1" wp14:anchorId="1EE6CFD3" wp14:editId="594599F2">
            <wp:simplePos x="0" y="0"/>
            <wp:positionH relativeFrom="column">
              <wp:posOffset>905543</wp:posOffset>
            </wp:positionH>
            <wp:positionV relativeFrom="paragraph">
              <wp:posOffset>217681</wp:posOffset>
            </wp:positionV>
            <wp:extent cx="3914140" cy="1343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_Logo Docu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4140" cy="1343025"/>
                    </a:xfrm>
                    <a:prstGeom prst="rect">
                      <a:avLst/>
                    </a:prstGeom>
                  </pic:spPr>
                </pic:pic>
              </a:graphicData>
            </a:graphic>
            <wp14:sizeRelH relativeFrom="margin">
              <wp14:pctWidth>0</wp14:pctWidth>
            </wp14:sizeRelH>
            <wp14:sizeRelV relativeFrom="margin">
              <wp14:pctHeight>0</wp14:pctHeight>
            </wp14:sizeRelV>
          </wp:anchor>
        </w:drawing>
      </w:r>
    </w:p>
    <w:p w14:paraId="5A47D46F" w14:textId="1FE65E10" w:rsidR="00B63AFB" w:rsidRDefault="00B63AFB" w:rsidP="006C69A8">
      <w:pPr>
        <w:jc w:val="center"/>
      </w:pPr>
    </w:p>
    <w:p w14:paraId="10AD7E12" w14:textId="14A54132" w:rsidR="00B63AFB" w:rsidRPr="002820EE" w:rsidRDefault="009942E9" w:rsidP="006C69A8">
      <w:pPr>
        <w:jc w:val="center"/>
      </w:pPr>
      <w:r>
        <w:t>x</w:t>
      </w:r>
    </w:p>
    <w:p w14:paraId="6ACA208C" w14:textId="6E4CB8EB" w:rsidR="00EA7CBC" w:rsidRDefault="00DC434C" w:rsidP="003D4147">
      <w:pPr>
        <w:pStyle w:val="ParaText"/>
        <w:jc w:val="center"/>
        <w:rPr>
          <w:b/>
          <w:bCs/>
          <w:sz w:val="32"/>
        </w:rPr>
      </w:pPr>
      <w:r>
        <w:rPr>
          <w:b/>
          <w:bCs/>
          <w:sz w:val="32"/>
        </w:rPr>
        <w:t>Esource hub</w:t>
      </w:r>
    </w:p>
    <w:p w14:paraId="674F9AE9" w14:textId="77777777" w:rsidR="009977F5" w:rsidRDefault="009977F5" w:rsidP="009262EF">
      <w:pPr>
        <w:pStyle w:val="ParaText"/>
        <w:jc w:val="center"/>
        <w:rPr>
          <w:b/>
          <w:bCs/>
          <w:sz w:val="32"/>
        </w:rPr>
      </w:pPr>
    </w:p>
    <w:p w14:paraId="73F6C6D1" w14:textId="47E1D66E" w:rsidR="00817026" w:rsidRDefault="00E11934" w:rsidP="007678EA">
      <w:pPr>
        <w:pStyle w:val="ParaText"/>
        <w:jc w:val="center"/>
        <w:rPr>
          <w:b/>
          <w:bCs/>
          <w:sz w:val="52"/>
          <w:szCs w:val="52"/>
        </w:rPr>
      </w:pPr>
      <w:r>
        <w:rPr>
          <w:b/>
          <w:bCs/>
          <w:sz w:val="52"/>
          <w:szCs w:val="52"/>
        </w:rPr>
        <w:t>M</w:t>
      </w:r>
      <w:r w:rsidR="00D60AC3">
        <w:rPr>
          <w:b/>
          <w:bCs/>
          <w:sz w:val="52"/>
          <w:szCs w:val="52"/>
        </w:rPr>
        <w:t>arket Protocols</w:t>
      </w:r>
    </w:p>
    <w:p w14:paraId="01BD8C67" w14:textId="2C65FA35" w:rsidR="002E1A9A" w:rsidRDefault="006325C4" w:rsidP="001C000B">
      <w:pPr>
        <w:pStyle w:val="ParaText"/>
        <w:jc w:val="center"/>
        <w:rPr>
          <w:b/>
          <w:bCs/>
          <w:iCs/>
          <w:spacing w:val="-40"/>
          <w:sz w:val="48"/>
          <w:szCs w:val="48"/>
        </w:rPr>
      </w:pPr>
      <w:r>
        <w:rPr>
          <w:b/>
          <w:bCs/>
          <w:sz w:val="52"/>
          <w:szCs w:val="52"/>
        </w:rPr>
        <w:t xml:space="preserve">SPP </w:t>
      </w:r>
      <w:r w:rsidR="00BF6D1E">
        <w:rPr>
          <w:b/>
          <w:bCs/>
          <w:sz w:val="52"/>
          <w:szCs w:val="52"/>
        </w:rPr>
        <w:t>Markets+</w:t>
      </w:r>
      <w:r w:rsidR="00DE31F2">
        <w:rPr>
          <w:b/>
          <w:bCs/>
          <w:sz w:val="52"/>
          <w:szCs w:val="52"/>
        </w:rPr>
        <w:t xml:space="preserve"> </w:t>
      </w:r>
    </w:p>
    <w:p w14:paraId="5FBFF839" w14:textId="19D86F47" w:rsidR="002E1A9A" w:rsidRDefault="002E1A9A" w:rsidP="002E1A9A">
      <w:pPr>
        <w:jc w:val="center"/>
        <w:rPr>
          <w:b/>
          <w:bCs/>
          <w:iCs/>
          <w:spacing w:val="-40"/>
          <w:sz w:val="48"/>
          <w:szCs w:val="48"/>
        </w:rPr>
      </w:pPr>
      <w:r w:rsidRPr="00D84680">
        <w:rPr>
          <w:b/>
          <w:bCs/>
          <w:iCs/>
          <w:spacing w:val="-40"/>
          <w:sz w:val="48"/>
          <w:szCs w:val="48"/>
        </w:rPr>
        <w:t xml:space="preserve">Revision </w:t>
      </w:r>
      <w:r w:rsidR="00C122C8">
        <w:rPr>
          <w:b/>
          <w:bCs/>
          <w:iCs/>
          <w:spacing w:val="-40"/>
          <w:sz w:val="48"/>
          <w:szCs w:val="48"/>
        </w:rPr>
        <w:t>0</w:t>
      </w:r>
    </w:p>
    <w:p w14:paraId="62A29460" w14:textId="77777777" w:rsidR="002E1A9A" w:rsidRDefault="002E1A9A" w:rsidP="009977F5">
      <w:pPr>
        <w:rPr>
          <w:b/>
          <w:bCs/>
          <w:iCs/>
          <w:spacing w:val="-40"/>
          <w:sz w:val="20"/>
        </w:rPr>
      </w:pPr>
    </w:p>
    <w:p w14:paraId="12230669" w14:textId="77777777" w:rsidR="009977F5" w:rsidRDefault="009977F5" w:rsidP="009977F5">
      <w:pPr>
        <w:rPr>
          <w:b/>
          <w:bCs/>
          <w:iCs/>
          <w:spacing w:val="-40"/>
          <w:sz w:val="20"/>
        </w:rPr>
      </w:pPr>
    </w:p>
    <w:p w14:paraId="64B9B452" w14:textId="77777777" w:rsidR="002E1A9A" w:rsidRDefault="002E1A9A" w:rsidP="002E1A9A">
      <w:pPr>
        <w:jc w:val="center"/>
        <w:rPr>
          <w:b/>
          <w:bCs/>
          <w:iCs/>
          <w:spacing w:val="-40"/>
          <w:sz w:val="20"/>
        </w:rPr>
      </w:pPr>
    </w:p>
    <w:p w14:paraId="4347A73F" w14:textId="77777777" w:rsidR="002E1A9A" w:rsidRPr="002E1A9A" w:rsidRDefault="002E1A9A" w:rsidP="002E1A9A">
      <w:pPr>
        <w:jc w:val="center"/>
        <w:rPr>
          <w:b/>
          <w:bCs/>
          <w:iCs/>
          <w:spacing w:val="-40"/>
          <w:sz w:val="20"/>
        </w:rPr>
      </w:pPr>
    </w:p>
    <w:p w14:paraId="2EE80696" w14:textId="77777777" w:rsidR="002E1A9A" w:rsidRPr="009977F5" w:rsidRDefault="002E1A9A" w:rsidP="002E1A9A">
      <w:pPr>
        <w:jc w:val="center"/>
        <w:rPr>
          <w:sz w:val="26"/>
          <w:szCs w:val="26"/>
        </w:rPr>
      </w:pPr>
      <w:r w:rsidRPr="009977F5">
        <w:rPr>
          <w:sz w:val="26"/>
          <w:szCs w:val="26"/>
        </w:rPr>
        <w:t>MAINTAINED BY</w:t>
      </w:r>
    </w:p>
    <w:p w14:paraId="16517526" w14:textId="1D2163BF" w:rsidR="002E1A9A" w:rsidRPr="009977F5" w:rsidRDefault="00B903B6" w:rsidP="002E1A9A">
      <w:pPr>
        <w:jc w:val="center"/>
        <w:rPr>
          <w:sz w:val="26"/>
          <w:szCs w:val="26"/>
        </w:rPr>
      </w:pPr>
      <w:r>
        <w:rPr>
          <w:sz w:val="26"/>
          <w:szCs w:val="26"/>
        </w:rPr>
        <w:t xml:space="preserve">Western </w:t>
      </w:r>
      <w:r w:rsidR="002E1A9A" w:rsidRPr="009977F5">
        <w:rPr>
          <w:sz w:val="26"/>
          <w:szCs w:val="26"/>
        </w:rPr>
        <w:t>Market Design</w:t>
      </w:r>
    </w:p>
    <w:p w14:paraId="4E07DF50" w14:textId="77777777" w:rsidR="002E1A9A" w:rsidRDefault="002E1A9A" w:rsidP="002E1A9A">
      <w:pPr>
        <w:jc w:val="center"/>
      </w:pPr>
    </w:p>
    <w:p w14:paraId="1F0ED5DC" w14:textId="77777777" w:rsidR="009977F5" w:rsidRDefault="009977F5" w:rsidP="002E1A9A">
      <w:pPr>
        <w:jc w:val="center"/>
      </w:pPr>
    </w:p>
    <w:p w14:paraId="172F0B94" w14:textId="5032A12B" w:rsidR="002E1A9A" w:rsidRPr="001542B4" w:rsidRDefault="002E1A9A" w:rsidP="001542B4">
      <w:pPr>
        <w:pStyle w:val="Normal120"/>
        <w:jc w:val="center"/>
        <w:rPr>
          <w:sz w:val="26"/>
          <w:szCs w:val="26"/>
        </w:rPr>
      </w:pPr>
      <w:r w:rsidRPr="001542B4">
        <w:rPr>
          <w:sz w:val="26"/>
          <w:szCs w:val="26"/>
        </w:rPr>
        <w:t xml:space="preserve">PUBLISHED:  </w:t>
      </w:r>
      <w:r w:rsidR="00C122C8">
        <w:rPr>
          <w:sz w:val="26"/>
          <w:szCs w:val="26"/>
        </w:rPr>
        <w:t xml:space="preserve"> </w:t>
      </w:r>
    </w:p>
    <w:p w14:paraId="47000A2A" w14:textId="4619A5F4" w:rsidR="009977F5" w:rsidRDefault="00730FB1" w:rsidP="002E1A9A">
      <w:pPr>
        <w:spacing w:after="0"/>
        <w:jc w:val="center"/>
      </w:pPr>
      <w:r>
        <w:rPr>
          <w:sz w:val="26"/>
          <w:szCs w:val="26"/>
        </w:rPr>
        <w:t xml:space="preserve">LATEST REVISION: </w:t>
      </w:r>
      <w:r w:rsidR="00F126E8">
        <w:rPr>
          <w:sz w:val="26"/>
          <w:szCs w:val="26"/>
        </w:rPr>
        <w:t xml:space="preserve"> </w:t>
      </w:r>
      <w:r w:rsidR="00C122C8">
        <w:rPr>
          <w:sz w:val="26"/>
          <w:szCs w:val="26"/>
        </w:rPr>
        <w:t xml:space="preserve"> </w:t>
      </w:r>
    </w:p>
    <w:p w14:paraId="6792B75D" w14:textId="77777777" w:rsidR="009977F5" w:rsidRDefault="009977F5" w:rsidP="002E1A9A">
      <w:pPr>
        <w:spacing w:after="0"/>
        <w:jc w:val="center"/>
      </w:pPr>
    </w:p>
    <w:p w14:paraId="02914DEB" w14:textId="77777777" w:rsidR="009977F5" w:rsidRDefault="009977F5" w:rsidP="002E1A9A">
      <w:pPr>
        <w:spacing w:after="0"/>
        <w:jc w:val="center"/>
      </w:pPr>
    </w:p>
    <w:p w14:paraId="1B66EFC3" w14:textId="77777777" w:rsidR="002E1A9A" w:rsidRPr="00D84680" w:rsidRDefault="002E1A9A" w:rsidP="002E1A9A">
      <w:pPr>
        <w:jc w:val="center"/>
      </w:pPr>
    </w:p>
    <w:p w14:paraId="5708D8F1" w14:textId="35696642" w:rsidR="007678EA" w:rsidRPr="002820EE" w:rsidRDefault="002E1A9A" w:rsidP="002E1A9A">
      <w:pPr>
        <w:jc w:val="center"/>
      </w:pPr>
      <w:r w:rsidRPr="00D84680">
        <w:rPr>
          <w:b/>
          <w:bCs/>
          <w:i/>
          <w:iCs/>
          <w:color w:val="000000"/>
        </w:rPr>
        <w:t xml:space="preserve">Copyright © </w:t>
      </w:r>
      <w:r>
        <w:rPr>
          <w:b/>
          <w:bCs/>
          <w:i/>
          <w:iCs/>
          <w:color w:val="000000"/>
        </w:rPr>
        <w:t>20</w:t>
      </w:r>
      <w:r w:rsidR="00C122C8">
        <w:rPr>
          <w:b/>
          <w:bCs/>
          <w:i/>
          <w:iCs/>
          <w:color w:val="000000"/>
        </w:rPr>
        <w:t>2</w:t>
      </w:r>
      <w:r w:rsidR="004715B5">
        <w:rPr>
          <w:b/>
          <w:bCs/>
          <w:i/>
          <w:iCs/>
          <w:color w:val="000000"/>
        </w:rPr>
        <w:t>5</w:t>
      </w:r>
      <w:r w:rsidRPr="00D84680">
        <w:rPr>
          <w:b/>
          <w:bCs/>
          <w:i/>
          <w:iCs/>
          <w:color w:val="000000"/>
        </w:rPr>
        <w:t xml:space="preserve"> by Southwest Power Pool, Inc.  All rights reserved.</w:t>
      </w:r>
    </w:p>
    <w:p w14:paraId="097782E0" w14:textId="77777777" w:rsidR="001E1D3B" w:rsidRPr="002820EE" w:rsidRDefault="001E1D3B" w:rsidP="002E1A9A">
      <w:pPr>
        <w:pStyle w:val="ParaText"/>
        <w:sectPr w:rsidR="001E1D3B" w:rsidRPr="002820EE" w:rsidSect="00D3291B">
          <w:headerReference w:type="default" r:id="rId12"/>
          <w:footerReference w:type="default" r:id="rId13"/>
          <w:pgSz w:w="12240" w:h="15840" w:code="1"/>
          <w:pgMar w:top="1728" w:right="1440" w:bottom="1728" w:left="1440" w:header="720" w:footer="720" w:gutter="0"/>
          <w:pgNumType w:start="1"/>
          <w:cols w:space="720"/>
        </w:sectPr>
      </w:pPr>
    </w:p>
    <w:p w14:paraId="48E47F60" w14:textId="77777777" w:rsidR="0060730D" w:rsidRPr="0090119F" w:rsidRDefault="0060730D" w:rsidP="00E94CBF">
      <w:pPr>
        <w:pStyle w:val="Heading11"/>
      </w:pPr>
      <w:bookmarkStart w:id="0" w:name="_Toc427230024"/>
      <w:bookmarkStart w:id="1" w:name="_Toc431500601"/>
      <w:bookmarkStart w:id="2" w:name="_Ref518370103"/>
      <w:bookmarkStart w:id="3" w:name="_Toc213771728"/>
      <w:r w:rsidRPr="0090119F">
        <w:lastRenderedPageBreak/>
        <w:t>CURRENT REVISION</w:t>
      </w:r>
      <w:bookmarkEnd w:id="0"/>
      <w:bookmarkEnd w:id="1"/>
      <w:bookmarkEnd w:id="2"/>
      <w:bookmarkEnd w:id="3"/>
    </w:p>
    <w:p w14:paraId="00F761F7" w14:textId="77777777" w:rsidR="0060730D" w:rsidRPr="0050230E" w:rsidRDefault="0060730D" w:rsidP="0060730D"/>
    <w:tbl>
      <w:tblPr>
        <w:tblStyle w:val="TableGrid"/>
        <w:tblW w:w="0" w:type="auto"/>
        <w:tblLook w:val="04A0" w:firstRow="1" w:lastRow="0" w:firstColumn="1" w:lastColumn="0" w:noHBand="0" w:noVBand="1"/>
      </w:tblPr>
      <w:tblGrid>
        <w:gridCol w:w="1455"/>
        <w:gridCol w:w="1692"/>
        <w:gridCol w:w="6203"/>
      </w:tblGrid>
      <w:tr w:rsidR="0060730D" w:rsidRPr="00A33E1B" w14:paraId="34BE8D52" w14:textId="77777777" w:rsidTr="006D34CA">
        <w:trPr>
          <w:cantSplit/>
          <w:trHeight w:val="611"/>
          <w:tblHeader/>
        </w:trPr>
        <w:tc>
          <w:tcPr>
            <w:tcW w:w="1455" w:type="dxa"/>
            <w:shd w:val="clear" w:color="auto" w:fill="C6D9F1" w:themeFill="text2" w:themeFillTint="33"/>
          </w:tcPr>
          <w:p w14:paraId="2D75FD46" w14:textId="77777777" w:rsidR="0060730D" w:rsidRPr="00A33E1B" w:rsidRDefault="0060730D" w:rsidP="0060730D">
            <w:pPr>
              <w:spacing w:before="120"/>
              <w:jc w:val="center"/>
              <w:rPr>
                <w:b/>
                <w:szCs w:val="24"/>
              </w:rPr>
            </w:pPr>
            <w:r w:rsidRPr="00A33E1B">
              <w:rPr>
                <w:b/>
                <w:szCs w:val="24"/>
              </w:rPr>
              <w:t>Revision</w:t>
            </w:r>
          </w:p>
        </w:tc>
        <w:tc>
          <w:tcPr>
            <w:tcW w:w="1692" w:type="dxa"/>
            <w:shd w:val="clear" w:color="auto" w:fill="C6D9F1" w:themeFill="text2" w:themeFillTint="33"/>
          </w:tcPr>
          <w:p w14:paraId="22823748" w14:textId="77777777" w:rsidR="0060730D" w:rsidRPr="00A33E1B" w:rsidRDefault="0060730D" w:rsidP="0060730D">
            <w:pPr>
              <w:spacing w:before="120"/>
              <w:jc w:val="center"/>
              <w:rPr>
                <w:b/>
              </w:rPr>
            </w:pPr>
            <w:r w:rsidRPr="00A33E1B">
              <w:rPr>
                <w:b/>
              </w:rPr>
              <w:t>Date</w:t>
            </w:r>
          </w:p>
        </w:tc>
        <w:tc>
          <w:tcPr>
            <w:tcW w:w="6203" w:type="dxa"/>
            <w:shd w:val="clear" w:color="auto" w:fill="C6D9F1" w:themeFill="text2" w:themeFillTint="33"/>
          </w:tcPr>
          <w:p w14:paraId="788F83C1" w14:textId="77777777" w:rsidR="0060730D" w:rsidRPr="00A33E1B" w:rsidRDefault="0060730D" w:rsidP="0060730D">
            <w:pPr>
              <w:spacing w:before="120"/>
              <w:jc w:val="center"/>
              <w:rPr>
                <w:b/>
              </w:rPr>
            </w:pPr>
            <w:r w:rsidRPr="00A33E1B">
              <w:rPr>
                <w:b/>
              </w:rPr>
              <w:t>Description of Modification</w:t>
            </w:r>
          </w:p>
        </w:tc>
      </w:tr>
      <w:tr w:rsidR="00F126E8" w14:paraId="3B25E2F8" w14:textId="77777777" w:rsidTr="003E2B5E">
        <w:trPr>
          <w:cantSplit/>
          <w:trHeight w:val="251"/>
          <w:tblHeader/>
        </w:trPr>
        <w:tc>
          <w:tcPr>
            <w:tcW w:w="1455" w:type="dxa"/>
            <w:vAlign w:val="center"/>
          </w:tcPr>
          <w:p w14:paraId="0D404AF3" w14:textId="59D83ED7" w:rsidR="00F126E8" w:rsidRDefault="00C122C8" w:rsidP="00A303D7">
            <w:pPr>
              <w:spacing w:after="0"/>
              <w:jc w:val="left"/>
            </w:pPr>
            <w:r>
              <w:t>V</w:t>
            </w:r>
            <w:r w:rsidR="00E20770">
              <w:t>1</w:t>
            </w:r>
          </w:p>
        </w:tc>
        <w:tc>
          <w:tcPr>
            <w:tcW w:w="1692" w:type="dxa"/>
            <w:vAlign w:val="center"/>
          </w:tcPr>
          <w:p w14:paraId="7687FCAE" w14:textId="33CC6F2F" w:rsidR="00F126E8" w:rsidRDefault="00F126E8" w:rsidP="00BA3F89">
            <w:pPr>
              <w:spacing w:after="0"/>
              <w:jc w:val="left"/>
            </w:pPr>
          </w:p>
        </w:tc>
        <w:tc>
          <w:tcPr>
            <w:tcW w:w="6203" w:type="dxa"/>
            <w:vAlign w:val="center"/>
          </w:tcPr>
          <w:p w14:paraId="59F58616" w14:textId="0465E78F" w:rsidR="002316F3" w:rsidRPr="006B7C74" w:rsidRDefault="00FF0033" w:rsidP="00780FF8">
            <w:pPr>
              <w:spacing w:after="0"/>
              <w:jc w:val="left"/>
              <w:rPr>
                <w:color w:val="1F497D"/>
                <w:sz w:val="22"/>
                <w:szCs w:val="28"/>
              </w:rPr>
            </w:pPr>
            <w:r>
              <w:rPr>
                <w:sz w:val="22"/>
                <w:szCs w:val="28"/>
              </w:rPr>
              <w:t>I</w:t>
            </w:r>
            <w:r w:rsidR="00C122C8">
              <w:rPr>
                <w:sz w:val="22"/>
                <w:szCs w:val="28"/>
              </w:rPr>
              <w:t>nitial Version</w:t>
            </w:r>
          </w:p>
        </w:tc>
      </w:tr>
    </w:tbl>
    <w:p w14:paraId="378109EE" w14:textId="77777777" w:rsidR="00B52605" w:rsidRDefault="00B52605" w:rsidP="00B52605">
      <w:pPr>
        <w:spacing w:after="0"/>
        <w:jc w:val="center"/>
      </w:pPr>
    </w:p>
    <w:p w14:paraId="6C66AE06" w14:textId="57EFA548" w:rsidR="00EC710E" w:rsidRPr="00E94CBF" w:rsidRDefault="000A0856" w:rsidP="00E94CBF">
      <w:pPr>
        <w:pStyle w:val="Heading11"/>
        <w:rPr>
          <w:sz w:val="34"/>
          <w:szCs w:val="20"/>
        </w:rPr>
      </w:pPr>
      <w:bookmarkStart w:id="4" w:name="_Toc213771729"/>
      <w:r w:rsidRPr="00E94CBF">
        <w:rPr>
          <w:sz w:val="34"/>
        </w:rPr>
        <w:t>TABLE OF CONTENTS</w:t>
      </w:r>
      <w:bookmarkEnd w:id="4"/>
    </w:p>
    <w:p w14:paraId="4CC055F9" w14:textId="49665099" w:rsidR="00023ECF" w:rsidRDefault="001542B4">
      <w:pPr>
        <w:pStyle w:val="TOC1"/>
        <w:rPr>
          <w:rFonts w:asciiTheme="minorHAnsi" w:eastAsiaTheme="minorEastAsia" w:hAnsiTheme="minorHAnsi" w:cstheme="minorBidi"/>
          <w:b w:val="0"/>
          <w:kern w:val="2"/>
          <w:szCs w:val="24"/>
          <w14:ligatures w14:val="standardContextual"/>
        </w:rPr>
      </w:pPr>
      <w:r>
        <w:fldChar w:fldCharType="begin"/>
      </w:r>
      <w:r>
        <w:instrText xml:space="preserve"> TOC \o \h \z \u </w:instrText>
      </w:r>
      <w:r>
        <w:fldChar w:fldCharType="separate"/>
      </w:r>
      <w:hyperlink w:anchor="_Toc213771728" w:history="1">
        <w:r w:rsidR="00023ECF" w:rsidRPr="00AC173C">
          <w:rPr>
            <w:rStyle w:val="Hyperlink"/>
          </w:rPr>
          <w:t>CURRENT REVISION</w:t>
        </w:r>
        <w:r w:rsidR="00023ECF">
          <w:rPr>
            <w:webHidden/>
          </w:rPr>
          <w:tab/>
        </w:r>
        <w:r w:rsidR="00023ECF">
          <w:rPr>
            <w:webHidden/>
          </w:rPr>
          <w:fldChar w:fldCharType="begin"/>
        </w:r>
        <w:r w:rsidR="00023ECF">
          <w:rPr>
            <w:webHidden/>
          </w:rPr>
          <w:instrText xml:space="preserve"> PAGEREF _Toc213771728 \h </w:instrText>
        </w:r>
        <w:r w:rsidR="00023ECF">
          <w:rPr>
            <w:webHidden/>
          </w:rPr>
        </w:r>
        <w:r w:rsidR="00023ECF">
          <w:rPr>
            <w:webHidden/>
          </w:rPr>
          <w:fldChar w:fldCharType="separate"/>
        </w:r>
        <w:r w:rsidR="00023ECF">
          <w:rPr>
            <w:webHidden/>
          </w:rPr>
          <w:t>2</w:t>
        </w:r>
        <w:r w:rsidR="00023ECF">
          <w:rPr>
            <w:webHidden/>
          </w:rPr>
          <w:fldChar w:fldCharType="end"/>
        </w:r>
      </w:hyperlink>
    </w:p>
    <w:p w14:paraId="09AF163D" w14:textId="1F44F058" w:rsidR="00023ECF" w:rsidRDefault="00023ECF">
      <w:pPr>
        <w:pStyle w:val="TOC1"/>
        <w:rPr>
          <w:rFonts w:asciiTheme="minorHAnsi" w:eastAsiaTheme="minorEastAsia" w:hAnsiTheme="minorHAnsi" w:cstheme="minorBidi"/>
          <w:b w:val="0"/>
          <w:kern w:val="2"/>
          <w:szCs w:val="24"/>
          <w14:ligatures w14:val="standardContextual"/>
        </w:rPr>
      </w:pPr>
      <w:hyperlink w:anchor="_Toc213771729" w:history="1">
        <w:r w:rsidRPr="00AC173C">
          <w:rPr>
            <w:rStyle w:val="Hyperlink"/>
          </w:rPr>
          <w:t>TABLE OF CONTENTS</w:t>
        </w:r>
        <w:r>
          <w:rPr>
            <w:webHidden/>
          </w:rPr>
          <w:tab/>
        </w:r>
        <w:r>
          <w:rPr>
            <w:webHidden/>
          </w:rPr>
          <w:fldChar w:fldCharType="begin"/>
        </w:r>
        <w:r>
          <w:rPr>
            <w:webHidden/>
          </w:rPr>
          <w:instrText xml:space="preserve"> PAGEREF _Toc213771729 \h </w:instrText>
        </w:r>
        <w:r>
          <w:rPr>
            <w:webHidden/>
          </w:rPr>
        </w:r>
        <w:r>
          <w:rPr>
            <w:webHidden/>
          </w:rPr>
          <w:fldChar w:fldCharType="separate"/>
        </w:r>
        <w:r>
          <w:rPr>
            <w:webHidden/>
          </w:rPr>
          <w:t>2</w:t>
        </w:r>
        <w:r>
          <w:rPr>
            <w:webHidden/>
          </w:rPr>
          <w:fldChar w:fldCharType="end"/>
        </w:r>
      </w:hyperlink>
    </w:p>
    <w:p w14:paraId="1CF4E167" w14:textId="4D4E50AC" w:rsidR="00023ECF" w:rsidRDefault="00023ECF">
      <w:pPr>
        <w:pStyle w:val="TOC1"/>
        <w:rPr>
          <w:rFonts w:asciiTheme="minorHAnsi" w:eastAsiaTheme="minorEastAsia" w:hAnsiTheme="minorHAnsi" w:cstheme="minorBidi"/>
          <w:b w:val="0"/>
          <w:kern w:val="2"/>
          <w:szCs w:val="24"/>
          <w14:ligatures w14:val="standardContextual"/>
        </w:rPr>
      </w:pPr>
      <w:hyperlink w:anchor="_Toc213771730" w:history="1">
        <w:r w:rsidRPr="00AC173C">
          <w:rPr>
            <w:rStyle w:val="Hyperlink"/>
          </w:rPr>
          <w:t>LIST OF EXHIBITS</w:t>
        </w:r>
        <w:r>
          <w:rPr>
            <w:webHidden/>
          </w:rPr>
          <w:tab/>
        </w:r>
        <w:r>
          <w:rPr>
            <w:webHidden/>
          </w:rPr>
          <w:fldChar w:fldCharType="begin"/>
        </w:r>
        <w:r>
          <w:rPr>
            <w:webHidden/>
          </w:rPr>
          <w:instrText xml:space="preserve"> PAGEREF _Toc213771730 \h </w:instrText>
        </w:r>
        <w:r>
          <w:rPr>
            <w:webHidden/>
          </w:rPr>
        </w:r>
        <w:r>
          <w:rPr>
            <w:webHidden/>
          </w:rPr>
          <w:fldChar w:fldCharType="separate"/>
        </w:r>
        <w:r>
          <w:rPr>
            <w:webHidden/>
          </w:rPr>
          <w:t>24</w:t>
        </w:r>
        <w:r>
          <w:rPr>
            <w:webHidden/>
          </w:rPr>
          <w:fldChar w:fldCharType="end"/>
        </w:r>
      </w:hyperlink>
    </w:p>
    <w:p w14:paraId="7977EB94" w14:textId="683768C5" w:rsidR="00023ECF" w:rsidRDefault="00023ECF">
      <w:pPr>
        <w:pStyle w:val="TOC1"/>
        <w:rPr>
          <w:rFonts w:asciiTheme="minorHAnsi" w:eastAsiaTheme="minorEastAsia" w:hAnsiTheme="minorHAnsi" w:cstheme="minorBidi"/>
          <w:b w:val="0"/>
          <w:kern w:val="2"/>
          <w:szCs w:val="24"/>
          <w14:ligatures w14:val="standardContextual"/>
        </w:rPr>
      </w:pPr>
      <w:hyperlink w:anchor="_Toc213771731" w:history="1">
        <w:r w:rsidRPr="00AC173C">
          <w:rPr>
            <w:rStyle w:val="Hyperlink"/>
          </w:rPr>
          <w:t>1</w:t>
        </w:r>
        <w:r>
          <w:rPr>
            <w:rFonts w:asciiTheme="minorHAnsi" w:eastAsiaTheme="minorEastAsia" w:hAnsiTheme="minorHAnsi" w:cstheme="minorBidi"/>
            <w:b w:val="0"/>
            <w:kern w:val="2"/>
            <w:szCs w:val="24"/>
            <w14:ligatures w14:val="standardContextual"/>
          </w:rPr>
          <w:tab/>
        </w:r>
        <w:r w:rsidRPr="00AC173C">
          <w:rPr>
            <w:rStyle w:val="Hyperlink"/>
          </w:rPr>
          <w:t>Glossary</w:t>
        </w:r>
        <w:r>
          <w:rPr>
            <w:webHidden/>
          </w:rPr>
          <w:tab/>
        </w:r>
        <w:r>
          <w:rPr>
            <w:webHidden/>
          </w:rPr>
          <w:fldChar w:fldCharType="begin"/>
        </w:r>
        <w:r>
          <w:rPr>
            <w:webHidden/>
          </w:rPr>
          <w:instrText xml:space="preserve"> PAGEREF _Toc213771731 \h </w:instrText>
        </w:r>
        <w:r>
          <w:rPr>
            <w:webHidden/>
          </w:rPr>
        </w:r>
        <w:r>
          <w:rPr>
            <w:webHidden/>
          </w:rPr>
          <w:fldChar w:fldCharType="separate"/>
        </w:r>
        <w:r>
          <w:rPr>
            <w:webHidden/>
          </w:rPr>
          <w:t>25</w:t>
        </w:r>
        <w:r>
          <w:rPr>
            <w:webHidden/>
          </w:rPr>
          <w:fldChar w:fldCharType="end"/>
        </w:r>
      </w:hyperlink>
    </w:p>
    <w:p w14:paraId="089591B1" w14:textId="1995736B" w:rsidR="00023ECF" w:rsidRDefault="00023ECF">
      <w:pPr>
        <w:pStyle w:val="TOC2"/>
        <w:rPr>
          <w:rFonts w:asciiTheme="minorHAnsi" w:eastAsiaTheme="minorEastAsia" w:hAnsiTheme="minorHAnsi" w:cstheme="minorBidi"/>
          <w:bCs w:val="0"/>
          <w:kern w:val="2"/>
          <w:szCs w:val="24"/>
          <w14:ligatures w14:val="standardContextual"/>
        </w:rPr>
      </w:pPr>
      <w:hyperlink w:anchor="_Toc213771732" w:history="1">
        <w:r w:rsidRPr="00AC173C">
          <w:rPr>
            <w:rStyle w:val="Hyperlink"/>
            <w:rFonts w:eastAsia="Calibri" w:cs="Arial"/>
            <w:b/>
            <w:iCs/>
          </w:rPr>
          <w:t>A – Definitions</w:t>
        </w:r>
        <w:r>
          <w:rPr>
            <w:webHidden/>
          </w:rPr>
          <w:tab/>
        </w:r>
        <w:r>
          <w:rPr>
            <w:webHidden/>
          </w:rPr>
          <w:fldChar w:fldCharType="begin"/>
        </w:r>
        <w:r>
          <w:rPr>
            <w:webHidden/>
          </w:rPr>
          <w:instrText xml:space="preserve"> PAGEREF _Toc213771732 \h </w:instrText>
        </w:r>
        <w:r>
          <w:rPr>
            <w:webHidden/>
          </w:rPr>
        </w:r>
        <w:r>
          <w:rPr>
            <w:webHidden/>
          </w:rPr>
          <w:fldChar w:fldCharType="separate"/>
        </w:r>
        <w:r>
          <w:rPr>
            <w:webHidden/>
          </w:rPr>
          <w:t>25</w:t>
        </w:r>
        <w:r>
          <w:rPr>
            <w:webHidden/>
          </w:rPr>
          <w:fldChar w:fldCharType="end"/>
        </w:r>
      </w:hyperlink>
    </w:p>
    <w:p w14:paraId="6D02EFC4" w14:textId="72E1714B" w:rsidR="00023ECF" w:rsidRDefault="00023ECF">
      <w:pPr>
        <w:pStyle w:val="TOC2"/>
        <w:rPr>
          <w:rFonts w:asciiTheme="minorHAnsi" w:eastAsiaTheme="minorEastAsia" w:hAnsiTheme="minorHAnsi" w:cstheme="minorBidi"/>
          <w:bCs w:val="0"/>
          <w:kern w:val="2"/>
          <w:szCs w:val="24"/>
          <w14:ligatures w14:val="standardContextual"/>
        </w:rPr>
      </w:pPr>
      <w:hyperlink w:anchor="_Toc213771733" w:history="1">
        <w:r w:rsidRPr="00AC173C">
          <w:rPr>
            <w:rStyle w:val="Hyperlink"/>
            <w:rFonts w:eastAsia="Calibri" w:cs="Arial"/>
            <w:b/>
            <w:iCs/>
          </w:rPr>
          <w:t>B – Definitions</w:t>
        </w:r>
        <w:r>
          <w:rPr>
            <w:webHidden/>
          </w:rPr>
          <w:tab/>
        </w:r>
        <w:r>
          <w:rPr>
            <w:webHidden/>
          </w:rPr>
          <w:fldChar w:fldCharType="begin"/>
        </w:r>
        <w:r>
          <w:rPr>
            <w:webHidden/>
          </w:rPr>
          <w:instrText xml:space="preserve"> PAGEREF _Toc213771733 \h </w:instrText>
        </w:r>
        <w:r>
          <w:rPr>
            <w:webHidden/>
          </w:rPr>
        </w:r>
        <w:r>
          <w:rPr>
            <w:webHidden/>
          </w:rPr>
          <w:fldChar w:fldCharType="separate"/>
        </w:r>
        <w:r>
          <w:rPr>
            <w:webHidden/>
          </w:rPr>
          <w:t>25</w:t>
        </w:r>
        <w:r>
          <w:rPr>
            <w:webHidden/>
          </w:rPr>
          <w:fldChar w:fldCharType="end"/>
        </w:r>
      </w:hyperlink>
    </w:p>
    <w:p w14:paraId="24B52273" w14:textId="7C1E89E7" w:rsidR="00023ECF" w:rsidRDefault="00023ECF">
      <w:pPr>
        <w:pStyle w:val="TOC2"/>
        <w:rPr>
          <w:rFonts w:asciiTheme="minorHAnsi" w:eastAsiaTheme="minorEastAsia" w:hAnsiTheme="minorHAnsi" w:cstheme="minorBidi"/>
          <w:bCs w:val="0"/>
          <w:kern w:val="2"/>
          <w:szCs w:val="24"/>
          <w14:ligatures w14:val="standardContextual"/>
        </w:rPr>
      </w:pPr>
      <w:hyperlink w:anchor="_Toc213771734" w:history="1">
        <w:r w:rsidRPr="00AC173C">
          <w:rPr>
            <w:rStyle w:val="Hyperlink"/>
            <w:rFonts w:eastAsia="Calibri" w:cs="Arial"/>
            <w:b/>
            <w:iCs/>
          </w:rPr>
          <w:t>C – Definitions</w:t>
        </w:r>
        <w:r>
          <w:rPr>
            <w:webHidden/>
          </w:rPr>
          <w:tab/>
        </w:r>
        <w:r>
          <w:rPr>
            <w:webHidden/>
          </w:rPr>
          <w:fldChar w:fldCharType="begin"/>
        </w:r>
        <w:r>
          <w:rPr>
            <w:webHidden/>
          </w:rPr>
          <w:instrText xml:space="preserve"> PAGEREF _Toc213771734 \h </w:instrText>
        </w:r>
        <w:r>
          <w:rPr>
            <w:webHidden/>
          </w:rPr>
        </w:r>
        <w:r>
          <w:rPr>
            <w:webHidden/>
          </w:rPr>
          <w:fldChar w:fldCharType="separate"/>
        </w:r>
        <w:r>
          <w:rPr>
            <w:webHidden/>
          </w:rPr>
          <w:t>27</w:t>
        </w:r>
        <w:r>
          <w:rPr>
            <w:webHidden/>
          </w:rPr>
          <w:fldChar w:fldCharType="end"/>
        </w:r>
      </w:hyperlink>
    </w:p>
    <w:p w14:paraId="53F74D26" w14:textId="436C0886" w:rsidR="00023ECF" w:rsidRDefault="00023ECF">
      <w:pPr>
        <w:pStyle w:val="TOC2"/>
        <w:rPr>
          <w:rFonts w:asciiTheme="minorHAnsi" w:eastAsiaTheme="minorEastAsia" w:hAnsiTheme="minorHAnsi" w:cstheme="minorBidi"/>
          <w:bCs w:val="0"/>
          <w:kern w:val="2"/>
          <w:szCs w:val="24"/>
          <w14:ligatures w14:val="standardContextual"/>
        </w:rPr>
      </w:pPr>
      <w:hyperlink w:anchor="_Toc213771735" w:history="1">
        <w:r w:rsidRPr="00AC173C">
          <w:rPr>
            <w:rStyle w:val="Hyperlink"/>
            <w:rFonts w:eastAsia="Calibri" w:cs="Arial"/>
            <w:b/>
            <w:iCs/>
          </w:rPr>
          <w:t>D – Definitions</w:t>
        </w:r>
        <w:r>
          <w:rPr>
            <w:webHidden/>
          </w:rPr>
          <w:tab/>
        </w:r>
        <w:r>
          <w:rPr>
            <w:webHidden/>
          </w:rPr>
          <w:fldChar w:fldCharType="begin"/>
        </w:r>
        <w:r>
          <w:rPr>
            <w:webHidden/>
          </w:rPr>
          <w:instrText xml:space="preserve"> PAGEREF _Toc213771735 \h </w:instrText>
        </w:r>
        <w:r>
          <w:rPr>
            <w:webHidden/>
          </w:rPr>
        </w:r>
        <w:r>
          <w:rPr>
            <w:webHidden/>
          </w:rPr>
          <w:fldChar w:fldCharType="separate"/>
        </w:r>
        <w:r>
          <w:rPr>
            <w:webHidden/>
          </w:rPr>
          <w:t>28</w:t>
        </w:r>
        <w:r>
          <w:rPr>
            <w:webHidden/>
          </w:rPr>
          <w:fldChar w:fldCharType="end"/>
        </w:r>
      </w:hyperlink>
    </w:p>
    <w:p w14:paraId="51578D8F" w14:textId="019BAFB6" w:rsidR="00023ECF" w:rsidRDefault="00023ECF">
      <w:pPr>
        <w:pStyle w:val="TOC2"/>
        <w:rPr>
          <w:rFonts w:asciiTheme="minorHAnsi" w:eastAsiaTheme="minorEastAsia" w:hAnsiTheme="minorHAnsi" w:cstheme="minorBidi"/>
          <w:bCs w:val="0"/>
          <w:kern w:val="2"/>
          <w:szCs w:val="24"/>
          <w14:ligatures w14:val="standardContextual"/>
        </w:rPr>
      </w:pPr>
      <w:hyperlink w:anchor="_Toc213771736" w:history="1">
        <w:r w:rsidRPr="00AC173C">
          <w:rPr>
            <w:rStyle w:val="Hyperlink"/>
            <w:rFonts w:eastAsia="Calibri" w:cs="Arial"/>
            <w:b/>
          </w:rPr>
          <w:t>E– Definitions</w:t>
        </w:r>
        <w:r>
          <w:rPr>
            <w:webHidden/>
          </w:rPr>
          <w:tab/>
        </w:r>
        <w:r>
          <w:rPr>
            <w:webHidden/>
          </w:rPr>
          <w:fldChar w:fldCharType="begin"/>
        </w:r>
        <w:r>
          <w:rPr>
            <w:webHidden/>
          </w:rPr>
          <w:instrText xml:space="preserve"> PAGEREF _Toc213771736 \h </w:instrText>
        </w:r>
        <w:r>
          <w:rPr>
            <w:webHidden/>
          </w:rPr>
        </w:r>
        <w:r>
          <w:rPr>
            <w:webHidden/>
          </w:rPr>
          <w:fldChar w:fldCharType="separate"/>
        </w:r>
        <w:r>
          <w:rPr>
            <w:webHidden/>
          </w:rPr>
          <w:t>30</w:t>
        </w:r>
        <w:r>
          <w:rPr>
            <w:webHidden/>
          </w:rPr>
          <w:fldChar w:fldCharType="end"/>
        </w:r>
      </w:hyperlink>
    </w:p>
    <w:p w14:paraId="26DE903A" w14:textId="2A5C686C" w:rsidR="00023ECF" w:rsidRDefault="00023ECF">
      <w:pPr>
        <w:pStyle w:val="TOC2"/>
        <w:rPr>
          <w:rFonts w:asciiTheme="minorHAnsi" w:eastAsiaTheme="minorEastAsia" w:hAnsiTheme="minorHAnsi" w:cstheme="minorBidi"/>
          <w:bCs w:val="0"/>
          <w:kern w:val="2"/>
          <w:szCs w:val="24"/>
          <w14:ligatures w14:val="standardContextual"/>
        </w:rPr>
      </w:pPr>
      <w:hyperlink w:anchor="_Toc213771737" w:history="1">
        <w:r w:rsidRPr="00AC173C">
          <w:rPr>
            <w:rStyle w:val="Hyperlink"/>
            <w:rFonts w:eastAsia="Calibri" w:cs="Arial"/>
            <w:b/>
            <w:iCs/>
          </w:rPr>
          <w:t>F – Definitions</w:t>
        </w:r>
        <w:r>
          <w:rPr>
            <w:webHidden/>
          </w:rPr>
          <w:tab/>
        </w:r>
        <w:r>
          <w:rPr>
            <w:webHidden/>
          </w:rPr>
          <w:fldChar w:fldCharType="begin"/>
        </w:r>
        <w:r>
          <w:rPr>
            <w:webHidden/>
          </w:rPr>
          <w:instrText xml:space="preserve"> PAGEREF _Toc213771737 \h </w:instrText>
        </w:r>
        <w:r>
          <w:rPr>
            <w:webHidden/>
          </w:rPr>
        </w:r>
        <w:r>
          <w:rPr>
            <w:webHidden/>
          </w:rPr>
          <w:fldChar w:fldCharType="separate"/>
        </w:r>
        <w:r>
          <w:rPr>
            <w:webHidden/>
          </w:rPr>
          <w:t>31</w:t>
        </w:r>
        <w:r>
          <w:rPr>
            <w:webHidden/>
          </w:rPr>
          <w:fldChar w:fldCharType="end"/>
        </w:r>
      </w:hyperlink>
    </w:p>
    <w:p w14:paraId="434FBC6A" w14:textId="5473382A" w:rsidR="00023ECF" w:rsidRDefault="00023ECF">
      <w:pPr>
        <w:pStyle w:val="TOC2"/>
        <w:rPr>
          <w:rFonts w:asciiTheme="minorHAnsi" w:eastAsiaTheme="minorEastAsia" w:hAnsiTheme="minorHAnsi" w:cstheme="minorBidi"/>
          <w:bCs w:val="0"/>
          <w:kern w:val="2"/>
          <w:szCs w:val="24"/>
          <w14:ligatures w14:val="standardContextual"/>
        </w:rPr>
      </w:pPr>
      <w:hyperlink w:anchor="_Toc213771738" w:history="1">
        <w:r w:rsidRPr="00AC173C">
          <w:rPr>
            <w:rStyle w:val="Hyperlink"/>
            <w:rFonts w:eastAsia="Calibri" w:cs="Arial"/>
            <w:b/>
            <w:iCs/>
          </w:rPr>
          <w:t>G – Definitions</w:t>
        </w:r>
        <w:r>
          <w:rPr>
            <w:webHidden/>
          </w:rPr>
          <w:tab/>
        </w:r>
        <w:r>
          <w:rPr>
            <w:webHidden/>
          </w:rPr>
          <w:fldChar w:fldCharType="begin"/>
        </w:r>
        <w:r>
          <w:rPr>
            <w:webHidden/>
          </w:rPr>
          <w:instrText xml:space="preserve"> PAGEREF _Toc213771738 \h </w:instrText>
        </w:r>
        <w:r>
          <w:rPr>
            <w:webHidden/>
          </w:rPr>
        </w:r>
        <w:r>
          <w:rPr>
            <w:webHidden/>
          </w:rPr>
          <w:fldChar w:fldCharType="separate"/>
        </w:r>
        <w:r>
          <w:rPr>
            <w:webHidden/>
          </w:rPr>
          <w:t>32</w:t>
        </w:r>
        <w:r>
          <w:rPr>
            <w:webHidden/>
          </w:rPr>
          <w:fldChar w:fldCharType="end"/>
        </w:r>
      </w:hyperlink>
    </w:p>
    <w:p w14:paraId="64FC02F3" w14:textId="6FA835DF" w:rsidR="00023ECF" w:rsidRDefault="00023ECF">
      <w:pPr>
        <w:pStyle w:val="TOC2"/>
        <w:rPr>
          <w:rFonts w:asciiTheme="minorHAnsi" w:eastAsiaTheme="minorEastAsia" w:hAnsiTheme="minorHAnsi" w:cstheme="minorBidi"/>
          <w:bCs w:val="0"/>
          <w:kern w:val="2"/>
          <w:szCs w:val="24"/>
          <w14:ligatures w14:val="standardContextual"/>
        </w:rPr>
      </w:pPr>
      <w:hyperlink w:anchor="_Toc213771739" w:history="1">
        <w:r w:rsidRPr="00AC173C">
          <w:rPr>
            <w:rStyle w:val="Hyperlink"/>
            <w:rFonts w:eastAsia="Calibri" w:cs="Arial"/>
            <w:b/>
            <w:iCs/>
          </w:rPr>
          <w:t>H – Definitions</w:t>
        </w:r>
        <w:r>
          <w:rPr>
            <w:webHidden/>
          </w:rPr>
          <w:tab/>
        </w:r>
        <w:r>
          <w:rPr>
            <w:webHidden/>
          </w:rPr>
          <w:fldChar w:fldCharType="begin"/>
        </w:r>
        <w:r>
          <w:rPr>
            <w:webHidden/>
          </w:rPr>
          <w:instrText xml:space="preserve"> PAGEREF _Toc213771739 \h </w:instrText>
        </w:r>
        <w:r>
          <w:rPr>
            <w:webHidden/>
          </w:rPr>
        </w:r>
        <w:r>
          <w:rPr>
            <w:webHidden/>
          </w:rPr>
          <w:fldChar w:fldCharType="separate"/>
        </w:r>
        <w:r>
          <w:rPr>
            <w:webHidden/>
          </w:rPr>
          <w:t>32</w:t>
        </w:r>
        <w:r>
          <w:rPr>
            <w:webHidden/>
          </w:rPr>
          <w:fldChar w:fldCharType="end"/>
        </w:r>
      </w:hyperlink>
    </w:p>
    <w:p w14:paraId="330A1951" w14:textId="42AD9B3F" w:rsidR="00023ECF" w:rsidRDefault="00023ECF">
      <w:pPr>
        <w:pStyle w:val="TOC2"/>
        <w:rPr>
          <w:rFonts w:asciiTheme="minorHAnsi" w:eastAsiaTheme="minorEastAsia" w:hAnsiTheme="minorHAnsi" w:cstheme="minorBidi"/>
          <w:bCs w:val="0"/>
          <w:kern w:val="2"/>
          <w:szCs w:val="24"/>
          <w14:ligatures w14:val="standardContextual"/>
        </w:rPr>
      </w:pPr>
      <w:hyperlink w:anchor="_Toc213771740" w:history="1">
        <w:r w:rsidRPr="00AC173C">
          <w:rPr>
            <w:rStyle w:val="Hyperlink"/>
            <w:rFonts w:eastAsia="Calibri" w:cs="Arial"/>
            <w:b/>
            <w:iCs/>
          </w:rPr>
          <w:t>I – Definitions</w:t>
        </w:r>
        <w:r>
          <w:rPr>
            <w:webHidden/>
          </w:rPr>
          <w:tab/>
        </w:r>
        <w:r>
          <w:rPr>
            <w:webHidden/>
          </w:rPr>
          <w:fldChar w:fldCharType="begin"/>
        </w:r>
        <w:r>
          <w:rPr>
            <w:webHidden/>
          </w:rPr>
          <w:instrText xml:space="preserve"> PAGEREF _Toc213771740 \h </w:instrText>
        </w:r>
        <w:r>
          <w:rPr>
            <w:webHidden/>
          </w:rPr>
        </w:r>
        <w:r>
          <w:rPr>
            <w:webHidden/>
          </w:rPr>
          <w:fldChar w:fldCharType="separate"/>
        </w:r>
        <w:r>
          <w:rPr>
            <w:webHidden/>
          </w:rPr>
          <w:t>33</w:t>
        </w:r>
        <w:r>
          <w:rPr>
            <w:webHidden/>
          </w:rPr>
          <w:fldChar w:fldCharType="end"/>
        </w:r>
      </w:hyperlink>
    </w:p>
    <w:p w14:paraId="257A07A0" w14:textId="6C54623B" w:rsidR="00023ECF" w:rsidRDefault="00023ECF">
      <w:pPr>
        <w:pStyle w:val="TOC2"/>
        <w:rPr>
          <w:rFonts w:asciiTheme="minorHAnsi" w:eastAsiaTheme="minorEastAsia" w:hAnsiTheme="minorHAnsi" w:cstheme="minorBidi"/>
          <w:bCs w:val="0"/>
          <w:kern w:val="2"/>
          <w:szCs w:val="24"/>
          <w14:ligatures w14:val="standardContextual"/>
        </w:rPr>
      </w:pPr>
      <w:hyperlink w:anchor="_Toc213771741" w:history="1">
        <w:r w:rsidRPr="00AC173C">
          <w:rPr>
            <w:rStyle w:val="Hyperlink"/>
            <w:rFonts w:eastAsia="Calibri" w:cs="Arial"/>
            <w:b/>
            <w:iCs/>
          </w:rPr>
          <w:t>J – Definitions</w:t>
        </w:r>
        <w:r>
          <w:rPr>
            <w:webHidden/>
          </w:rPr>
          <w:tab/>
        </w:r>
        <w:r>
          <w:rPr>
            <w:webHidden/>
          </w:rPr>
          <w:fldChar w:fldCharType="begin"/>
        </w:r>
        <w:r>
          <w:rPr>
            <w:webHidden/>
          </w:rPr>
          <w:instrText xml:space="preserve"> PAGEREF _Toc213771741 \h </w:instrText>
        </w:r>
        <w:r>
          <w:rPr>
            <w:webHidden/>
          </w:rPr>
        </w:r>
        <w:r>
          <w:rPr>
            <w:webHidden/>
          </w:rPr>
          <w:fldChar w:fldCharType="separate"/>
        </w:r>
        <w:r>
          <w:rPr>
            <w:webHidden/>
          </w:rPr>
          <w:t>34</w:t>
        </w:r>
        <w:r>
          <w:rPr>
            <w:webHidden/>
          </w:rPr>
          <w:fldChar w:fldCharType="end"/>
        </w:r>
      </w:hyperlink>
    </w:p>
    <w:p w14:paraId="55835EBD" w14:textId="26A24285" w:rsidR="00023ECF" w:rsidRDefault="00023ECF">
      <w:pPr>
        <w:pStyle w:val="TOC2"/>
        <w:rPr>
          <w:rFonts w:asciiTheme="minorHAnsi" w:eastAsiaTheme="minorEastAsia" w:hAnsiTheme="minorHAnsi" w:cstheme="minorBidi"/>
          <w:bCs w:val="0"/>
          <w:kern w:val="2"/>
          <w:szCs w:val="24"/>
          <w14:ligatures w14:val="standardContextual"/>
        </w:rPr>
      </w:pPr>
      <w:hyperlink w:anchor="_Toc213771742" w:history="1">
        <w:r w:rsidRPr="00AC173C">
          <w:rPr>
            <w:rStyle w:val="Hyperlink"/>
            <w:rFonts w:eastAsia="Calibri" w:cs="Arial"/>
            <w:b/>
            <w:iCs/>
          </w:rPr>
          <w:t>K – Definitions</w:t>
        </w:r>
        <w:r>
          <w:rPr>
            <w:webHidden/>
          </w:rPr>
          <w:tab/>
        </w:r>
        <w:r>
          <w:rPr>
            <w:webHidden/>
          </w:rPr>
          <w:fldChar w:fldCharType="begin"/>
        </w:r>
        <w:r>
          <w:rPr>
            <w:webHidden/>
          </w:rPr>
          <w:instrText xml:space="preserve"> PAGEREF _Toc213771742 \h </w:instrText>
        </w:r>
        <w:r>
          <w:rPr>
            <w:webHidden/>
          </w:rPr>
        </w:r>
        <w:r>
          <w:rPr>
            <w:webHidden/>
          </w:rPr>
          <w:fldChar w:fldCharType="separate"/>
        </w:r>
        <w:r>
          <w:rPr>
            <w:webHidden/>
          </w:rPr>
          <w:t>34</w:t>
        </w:r>
        <w:r>
          <w:rPr>
            <w:webHidden/>
          </w:rPr>
          <w:fldChar w:fldCharType="end"/>
        </w:r>
      </w:hyperlink>
    </w:p>
    <w:p w14:paraId="2BD65BCB" w14:textId="3094D82C" w:rsidR="00023ECF" w:rsidRDefault="00023ECF">
      <w:pPr>
        <w:pStyle w:val="TOC2"/>
        <w:rPr>
          <w:rFonts w:asciiTheme="minorHAnsi" w:eastAsiaTheme="minorEastAsia" w:hAnsiTheme="minorHAnsi" w:cstheme="minorBidi"/>
          <w:bCs w:val="0"/>
          <w:kern w:val="2"/>
          <w:szCs w:val="24"/>
          <w14:ligatures w14:val="standardContextual"/>
        </w:rPr>
      </w:pPr>
      <w:hyperlink w:anchor="_Toc213771743" w:history="1">
        <w:r w:rsidRPr="00AC173C">
          <w:rPr>
            <w:rStyle w:val="Hyperlink"/>
            <w:rFonts w:eastAsia="Calibri" w:cs="Arial"/>
            <w:b/>
            <w:iCs/>
          </w:rPr>
          <w:t>L – Definitions</w:t>
        </w:r>
        <w:r>
          <w:rPr>
            <w:webHidden/>
          </w:rPr>
          <w:tab/>
        </w:r>
        <w:r>
          <w:rPr>
            <w:webHidden/>
          </w:rPr>
          <w:fldChar w:fldCharType="begin"/>
        </w:r>
        <w:r>
          <w:rPr>
            <w:webHidden/>
          </w:rPr>
          <w:instrText xml:space="preserve"> PAGEREF _Toc213771743 \h </w:instrText>
        </w:r>
        <w:r>
          <w:rPr>
            <w:webHidden/>
          </w:rPr>
        </w:r>
        <w:r>
          <w:rPr>
            <w:webHidden/>
          </w:rPr>
          <w:fldChar w:fldCharType="separate"/>
        </w:r>
        <w:r>
          <w:rPr>
            <w:webHidden/>
          </w:rPr>
          <w:t>34</w:t>
        </w:r>
        <w:r>
          <w:rPr>
            <w:webHidden/>
          </w:rPr>
          <w:fldChar w:fldCharType="end"/>
        </w:r>
      </w:hyperlink>
    </w:p>
    <w:p w14:paraId="598C3A22" w14:textId="01FC707D" w:rsidR="00023ECF" w:rsidRDefault="00023ECF">
      <w:pPr>
        <w:pStyle w:val="TOC2"/>
        <w:rPr>
          <w:rFonts w:asciiTheme="minorHAnsi" w:eastAsiaTheme="minorEastAsia" w:hAnsiTheme="minorHAnsi" w:cstheme="minorBidi"/>
          <w:bCs w:val="0"/>
          <w:kern w:val="2"/>
          <w:szCs w:val="24"/>
          <w14:ligatures w14:val="standardContextual"/>
        </w:rPr>
      </w:pPr>
      <w:hyperlink w:anchor="_Toc213771744" w:history="1">
        <w:r w:rsidRPr="00AC173C">
          <w:rPr>
            <w:rStyle w:val="Hyperlink"/>
            <w:rFonts w:eastAsia="Calibri" w:cs="Arial"/>
            <w:b/>
            <w:iCs/>
          </w:rPr>
          <w:t>M – Definitions</w:t>
        </w:r>
        <w:r>
          <w:rPr>
            <w:webHidden/>
          </w:rPr>
          <w:tab/>
        </w:r>
        <w:r>
          <w:rPr>
            <w:webHidden/>
          </w:rPr>
          <w:fldChar w:fldCharType="begin"/>
        </w:r>
        <w:r>
          <w:rPr>
            <w:webHidden/>
          </w:rPr>
          <w:instrText xml:space="preserve"> PAGEREF _Toc213771744 \h </w:instrText>
        </w:r>
        <w:r>
          <w:rPr>
            <w:webHidden/>
          </w:rPr>
        </w:r>
        <w:r>
          <w:rPr>
            <w:webHidden/>
          </w:rPr>
          <w:fldChar w:fldCharType="separate"/>
        </w:r>
        <w:r>
          <w:rPr>
            <w:webHidden/>
          </w:rPr>
          <w:t>35</w:t>
        </w:r>
        <w:r>
          <w:rPr>
            <w:webHidden/>
          </w:rPr>
          <w:fldChar w:fldCharType="end"/>
        </w:r>
      </w:hyperlink>
    </w:p>
    <w:p w14:paraId="739F1DD0" w14:textId="1B36DA25" w:rsidR="00023ECF" w:rsidRDefault="00023ECF">
      <w:pPr>
        <w:pStyle w:val="TOC2"/>
        <w:rPr>
          <w:rFonts w:asciiTheme="minorHAnsi" w:eastAsiaTheme="minorEastAsia" w:hAnsiTheme="minorHAnsi" w:cstheme="minorBidi"/>
          <w:bCs w:val="0"/>
          <w:kern w:val="2"/>
          <w:szCs w:val="24"/>
          <w14:ligatures w14:val="standardContextual"/>
        </w:rPr>
      </w:pPr>
      <w:hyperlink w:anchor="_Toc213771745" w:history="1">
        <w:r w:rsidRPr="00AC173C">
          <w:rPr>
            <w:rStyle w:val="Hyperlink"/>
            <w:rFonts w:eastAsia="Calibri" w:cs="Arial"/>
            <w:b/>
            <w:iCs/>
          </w:rPr>
          <w:t>N – Definitions</w:t>
        </w:r>
        <w:r>
          <w:rPr>
            <w:webHidden/>
          </w:rPr>
          <w:tab/>
        </w:r>
        <w:r>
          <w:rPr>
            <w:webHidden/>
          </w:rPr>
          <w:fldChar w:fldCharType="begin"/>
        </w:r>
        <w:r>
          <w:rPr>
            <w:webHidden/>
          </w:rPr>
          <w:instrText xml:space="preserve"> PAGEREF _Toc213771745 \h </w:instrText>
        </w:r>
        <w:r>
          <w:rPr>
            <w:webHidden/>
          </w:rPr>
        </w:r>
        <w:r>
          <w:rPr>
            <w:webHidden/>
          </w:rPr>
          <w:fldChar w:fldCharType="separate"/>
        </w:r>
        <w:r>
          <w:rPr>
            <w:webHidden/>
          </w:rPr>
          <w:t>40</w:t>
        </w:r>
        <w:r>
          <w:rPr>
            <w:webHidden/>
          </w:rPr>
          <w:fldChar w:fldCharType="end"/>
        </w:r>
      </w:hyperlink>
    </w:p>
    <w:p w14:paraId="3A47B13E" w14:textId="2BF5F74A" w:rsidR="00023ECF" w:rsidRDefault="00023ECF">
      <w:pPr>
        <w:pStyle w:val="TOC2"/>
        <w:rPr>
          <w:rFonts w:asciiTheme="minorHAnsi" w:eastAsiaTheme="minorEastAsia" w:hAnsiTheme="minorHAnsi" w:cstheme="minorBidi"/>
          <w:bCs w:val="0"/>
          <w:kern w:val="2"/>
          <w:szCs w:val="24"/>
          <w14:ligatures w14:val="standardContextual"/>
        </w:rPr>
      </w:pPr>
      <w:hyperlink w:anchor="_Toc213771746" w:history="1">
        <w:r w:rsidRPr="00AC173C">
          <w:rPr>
            <w:rStyle w:val="Hyperlink"/>
            <w:rFonts w:eastAsia="Calibri" w:cs="Arial"/>
            <w:b/>
            <w:iCs/>
          </w:rPr>
          <w:t>O – Definitions</w:t>
        </w:r>
        <w:r>
          <w:rPr>
            <w:webHidden/>
          </w:rPr>
          <w:tab/>
        </w:r>
        <w:r>
          <w:rPr>
            <w:webHidden/>
          </w:rPr>
          <w:fldChar w:fldCharType="begin"/>
        </w:r>
        <w:r>
          <w:rPr>
            <w:webHidden/>
          </w:rPr>
          <w:instrText xml:space="preserve"> PAGEREF _Toc213771746 \h </w:instrText>
        </w:r>
        <w:r>
          <w:rPr>
            <w:webHidden/>
          </w:rPr>
        </w:r>
        <w:r>
          <w:rPr>
            <w:webHidden/>
          </w:rPr>
          <w:fldChar w:fldCharType="separate"/>
        </w:r>
        <w:r>
          <w:rPr>
            <w:webHidden/>
          </w:rPr>
          <w:t>42</w:t>
        </w:r>
        <w:r>
          <w:rPr>
            <w:webHidden/>
          </w:rPr>
          <w:fldChar w:fldCharType="end"/>
        </w:r>
      </w:hyperlink>
    </w:p>
    <w:p w14:paraId="6B677AF3" w14:textId="64ACCD1C" w:rsidR="00023ECF" w:rsidRDefault="00023ECF">
      <w:pPr>
        <w:pStyle w:val="TOC2"/>
        <w:rPr>
          <w:rFonts w:asciiTheme="minorHAnsi" w:eastAsiaTheme="minorEastAsia" w:hAnsiTheme="minorHAnsi" w:cstheme="minorBidi"/>
          <w:bCs w:val="0"/>
          <w:kern w:val="2"/>
          <w:szCs w:val="24"/>
          <w14:ligatures w14:val="standardContextual"/>
        </w:rPr>
      </w:pPr>
      <w:hyperlink w:anchor="_Toc213771747" w:history="1">
        <w:r w:rsidRPr="00AC173C">
          <w:rPr>
            <w:rStyle w:val="Hyperlink"/>
            <w:rFonts w:eastAsia="Calibri" w:cs="Arial"/>
            <w:b/>
            <w:iCs/>
          </w:rPr>
          <w:t>P – Definitions</w:t>
        </w:r>
        <w:r>
          <w:rPr>
            <w:webHidden/>
          </w:rPr>
          <w:tab/>
        </w:r>
        <w:r>
          <w:rPr>
            <w:webHidden/>
          </w:rPr>
          <w:fldChar w:fldCharType="begin"/>
        </w:r>
        <w:r>
          <w:rPr>
            <w:webHidden/>
          </w:rPr>
          <w:instrText xml:space="preserve"> PAGEREF _Toc213771747 \h </w:instrText>
        </w:r>
        <w:r>
          <w:rPr>
            <w:webHidden/>
          </w:rPr>
        </w:r>
        <w:r>
          <w:rPr>
            <w:webHidden/>
          </w:rPr>
          <w:fldChar w:fldCharType="separate"/>
        </w:r>
        <w:r>
          <w:rPr>
            <w:webHidden/>
          </w:rPr>
          <w:t>43</w:t>
        </w:r>
        <w:r>
          <w:rPr>
            <w:webHidden/>
          </w:rPr>
          <w:fldChar w:fldCharType="end"/>
        </w:r>
      </w:hyperlink>
    </w:p>
    <w:p w14:paraId="7BE4BDE6" w14:textId="0DEC4926" w:rsidR="00023ECF" w:rsidRDefault="00023ECF">
      <w:pPr>
        <w:pStyle w:val="TOC2"/>
        <w:rPr>
          <w:rFonts w:asciiTheme="minorHAnsi" w:eastAsiaTheme="minorEastAsia" w:hAnsiTheme="minorHAnsi" w:cstheme="minorBidi"/>
          <w:bCs w:val="0"/>
          <w:kern w:val="2"/>
          <w:szCs w:val="24"/>
          <w14:ligatures w14:val="standardContextual"/>
        </w:rPr>
      </w:pPr>
      <w:hyperlink w:anchor="_Toc213771748" w:history="1">
        <w:r w:rsidRPr="00AC173C">
          <w:rPr>
            <w:rStyle w:val="Hyperlink"/>
            <w:rFonts w:eastAsia="Calibri" w:cs="Arial"/>
            <w:b/>
            <w:iCs/>
          </w:rPr>
          <w:t>Q – Definitions</w:t>
        </w:r>
        <w:r>
          <w:rPr>
            <w:webHidden/>
          </w:rPr>
          <w:tab/>
        </w:r>
        <w:r>
          <w:rPr>
            <w:webHidden/>
          </w:rPr>
          <w:fldChar w:fldCharType="begin"/>
        </w:r>
        <w:r>
          <w:rPr>
            <w:webHidden/>
          </w:rPr>
          <w:instrText xml:space="preserve"> PAGEREF _Toc213771748 \h </w:instrText>
        </w:r>
        <w:r>
          <w:rPr>
            <w:webHidden/>
          </w:rPr>
        </w:r>
        <w:r>
          <w:rPr>
            <w:webHidden/>
          </w:rPr>
          <w:fldChar w:fldCharType="separate"/>
        </w:r>
        <w:r>
          <w:rPr>
            <w:webHidden/>
          </w:rPr>
          <w:t>44</w:t>
        </w:r>
        <w:r>
          <w:rPr>
            <w:webHidden/>
          </w:rPr>
          <w:fldChar w:fldCharType="end"/>
        </w:r>
      </w:hyperlink>
    </w:p>
    <w:p w14:paraId="11562A0D" w14:textId="02C4429E" w:rsidR="00023ECF" w:rsidRDefault="00023ECF">
      <w:pPr>
        <w:pStyle w:val="TOC2"/>
        <w:rPr>
          <w:rFonts w:asciiTheme="minorHAnsi" w:eastAsiaTheme="minorEastAsia" w:hAnsiTheme="minorHAnsi" w:cstheme="minorBidi"/>
          <w:bCs w:val="0"/>
          <w:kern w:val="2"/>
          <w:szCs w:val="24"/>
          <w14:ligatures w14:val="standardContextual"/>
        </w:rPr>
      </w:pPr>
      <w:hyperlink w:anchor="_Toc213771749" w:history="1">
        <w:r w:rsidRPr="00AC173C">
          <w:rPr>
            <w:rStyle w:val="Hyperlink"/>
            <w:rFonts w:eastAsia="Calibri" w:cs="Arial"/>
            <w:b/>
            <w:iCs/>
          </w:rPr>
          <w:t>R – Definitions</w:t>
        </w:r>
        <w:r>
          <w:rPr>
            <w:webHidden/>
          </w:rPr>
          <w:tab/>
        </w:r>
        <w:r>
          <w:rPr>
            <w:webHidden/>
          </w:rPr>
          <w:fldChar w:fldCharType="begin"/>
        </w:r>
        <w:r>
          <w:rPr>
            <w:webHidden/>
          </w:rPr>
          <w:instrText xml:space="preserve"> PAGEREF _Toc213771749 \h </w:instrText>
        </w:r>
        <w:r>
          <w:rPr>
            <w:webHidden/>
          </w:rPr>
        </w:r>
        <w:r>
          <w:rPr>
            <w:webHidden/>
          </w:rPr>
          <w:fldChar w:fldCharType="separate"/>
        </w:r>
        <w:r>
          <w:rPr>
            <w:webHidden/>
          </w:rPr>
          <w:t>44</w:t>
        </w:r>
        <w:r>
          <w:rPr>
            <w:webHidden/>
          </w:rPr>
          <w:fldChar w:fldCharType="end"/>
        </w:r>
      </w:hyperlink>
    </w:p>
    <w:p w14:paraId="3197F430" w14:textId="2C407782" w:rsidR="00023ECF" w:rsidRDefault="00023ECF">
      <w:pPr>
        <w:pStyle w:val="TOC2"/>
        <w:rPr>
          <w:rFonts w:asciiTheme="minorHAnsi" w:eastAsiaTheme="minorEastAsia" w:hAnsiTheme="minorHAnsi" w:cstheme="minorBidi"/>
          <w:bCs w:val="0"/>
          <w:kern w:val="2"/>
          <w:szCs w:val="24"/>
          <w14:ligatures w14:val="standardContextual"/>
        </w:rPr>
      </w:pPr>
      <w:hyperlink w:anchor="_Toc213771750" w:history="1">
        <w:r w:rsidRPr="00AC173C">
          <w:rPr>
            <w:rStyle w:val="Hyperlink"/>
            <w:rFonts w:eastAsia="Calibri" w:cs="Arial"/>
            <w:b/>
            <w:iCs/>
          </w:rPr>
          <w:t>S – Definitions</w:t>
        </w:r>
        <w:r>
          <w:rPr>
            <w:webHidden/>
          </w:rPr>
          <w:tab/>
        </w:r>
        <w:r>
          <w:rPr>
            <w:webHidden/>
          </w:rPr>
          <w:fldChar w:fldCharType="begin"/>
        </w:r>
        <w:r>
          <w:rPr>
            <w:webHidden/>
          </w:rPr>
          <w:instrText xml:space="preserve"> PAGEREF _Toc213771750 \h </w:instrText>
        </w:r>
        <w:r>
          <w:rPr>
            <w:webHidden/>
          </w:rPr>
        </w:r>
        <w:r>
          <w:rPr>
            <w:webHidden/>
          </w:rPr>
          <w:fldChar w:fldCharType="separate"/>
        </w:r>
        <w:r>
          <w:rPr>
            <w:webHidden/>
          </w:rPr>
          <w:t>47</w:t>
        </w:r>
        <w:r>
          <w:rPr>
            <w:webHidden/>
          </w:rPr>
          <w:fldChar w:fldCharType="end"/>
        </w:r>
      </w:hyperlink>
    </w:p>
    <w:p w14:paraId="2D7FA982" w14:textId="5FC2866B" w:rsidR="00023ECF" w:rsidRDefault="00023ECF">
      <w:pPr>
        <w:pStyle w:val="TOC2"/>
        <w:rPr>
          <w:rFonts w:asciiTheme="minorHAnsi" w:eastAsiaTheme="minorEastAsia" w:hAnsiTheme="minorHAnsi" w:cstheme="minorBidi"/>
          <w:bCs w:val="0"/>
          <w:kern w:val="2"/>
          <w:szCs w:val="24"/>
          <w14:ligatures w14:val="standardContextual"/>
        </w:rPr>
      </w:pPr>
      <w:hyperlink w:anchor="_Toc213771751" w:history="1">
        <w:r w:rsidRPr="00AC173C">
          <w:rPr>
            <w:rStyle w:val="Hyperlink"/>
            <w:rFonts w:eastAsia="Calibri" w:cs="Arial"/>
            <w:b/>
            <w:iCs/>
          </w:rPr>
          <w:t>T – Definitions</w:t>
        </w:r>
        <w:r>
          <w:rPr>
            <w:webHidden/>
          </w:rPr>
          <w:tab/>
        </w:r>
        <w:r>
          <w:rPr>
            <w:webHidden/>
          </w:rPr>
          <w:fldChar w:fldCharType="begin"/>
        </w:r>
        <w:r>
          <w:rPr>
            <w:webHidden/>
          </w:rPr>
          <w:instrText xml:space="preserve"> PAGEREF _Toc213771751 \h </w:instrText>
        </w:r>
        <w:r>
          <w:rPr>
            <w:webHidden/>
          </w:rPr>
        </w:r>
        <w:r>
          <w:rPr>
            <w:webHidden/>
          </w:rPr>
          <w:fldChar w:fldCharType="separate"/>
        </w:r>
        <w:r>
          <w:rPr>
            <w:webHidden/>
          </w:rPr>
          <w:t>50</w:t>
        </w:r>
        <w:r>
          <w:rPr>
            <w:webHidden/>
          </w:rPr>
          <w:fldChar w:fldCharType="end"/>
        </w:r>
      </w:hyperlink>
    </w:p>
    <w:p w14:paraId="1596B26D" w14:textId="0725CD69" w:rsidR="00023ECF" w:rsidRDefault="00023ECF">
      <w:pPr>
        <w:pStyle w:val="TOC2"/>
        <w:rPr>
          <w:rFonts w:asciiTheme="minorHAnsi" w:eastAsiaTheme="minorEastAsia" w:hAnsiTheme="minorHAnsi" w:cstheme="minorBidi"/>
          <w:bCs w:val="0"/>
          <w:kern w:val="2"/>
          <w:szCs w:val="24"/>
          <w14:ligatures w14:val="standardContextual"/>
        </w:rPr>
      </w:pPr>
      <w:hyperlink w:anchor="_Toc213771752" w:history="1">
        <w:r w:rsidRPr="00AC173C">
          <w:rPr>
            <w:rStyle w:val="Hyperlink"/>
            <w:rFonts w:eastAsia="Calibri" w:cs="Arial"/>
            <w:b/>
            <w:iCs/>
          </w:rPr>
          <w:t>U – Definitions</w:t>
        </w:r>
        <w:r>
          <w:rPr>
            <w:webHidden/>
          </w:rPr>
          <w:tab/>
        </w:r>
        <w:r>
          <w:rPr>
            <w:webHidden/>
          </w:rPr>
          <w:fldChar w:fldCharType="begin"/>
        </w:r>
        <w:r>
          <w:rPr>
            <w:webHidden/>
          </w:rPr>
          <w:instrText xml:space="preserve"> PAGEREF _Toc213771752 \h </w:instrText>
        </w:r>
        <w:r>
          <w:rPr>
            <w:webHidden/>
          </w:rPr>
        </w:r>
        <w:r>
          <w:rPr>
            <w:webHidden/>
          </w:rPr>
          <w:fldChar w:fldCharType="separate"/>
        </w:r>
        <w:r>
          <w:rPr>
            <w:webHidden/>
          </w:rPr>
          <w:t>51</w:t>
        </w:r>
        <w:r>
          <w:rPr>
            <w:webHidden/>
          </w:rPr>
          <w:fldChar w:fldCharType="end"/>
        </w:r>
      </w:hyperlink>
    </w:p>
    <w:p w14:paraId="5147BD0A" w14:textId="25672885" w:rsidR="00023ECF" w:rsidRDefault="00023ECF">
      <w:pPr>
        <w:pStyle w:val="TOC2"/>
        <w:rPr>
          <w:rFonts w:asciiTheme="minorHAnsi" w:eastAsiaTheme="minorEastAsia" w:hAnsiTheme="minorHAnsi" w:cstheme="minorBidi"/>
          <w:bCs w:val="0"/>
          <w:kern w:val="2"/>
          <w:szCs w:val="24"/>
          <w14:ligatures w14:val="standardContextual"/>
        </w:rPr>
      </w:pPr>
      <w:hyperlink w:anchor="_Toc213771753" w:history="1">
        <w:r w:rsidRPr="00AC173C">
          <w:rPr>
            <w:rStyle w:val="Hyperlink"/>
            <w:rFonts w:eastAsia="Calibri" w:cs="Arial"/>
            <w:b/>
            <w:iCs/>
          </w:rPr>
          <w:t>V – Definitions</w:t>
        </w:r>
        <w:r>
          <w:rPr>
            <w:webHidden/>
          </w:rPr>
          <w:tab/>
        </w:r>
        <w:r>
          <w:rPr>
            <w:webHidden/>
          </w:rPr>
          <w:fldChar w:fldCharType="begin"/>
        </w:r>
        <w:r>
          <w:rPr>
            <w:webHidden/>
          </w:rPr>
          <w:instrText xml:space="preserve"> PAGEREF _Toc213771753 \h </w:instrText>
        </w:r>
        <w:r>
          <w:rPr>
            <w:webHidden/>
          </w:rPr>
        </w:r>
        <w:r>
          <w:rPr>
            <w:webHidden/>
          </w:rPr>
          <w:fldChar w:fldCharType="separate"/>
        </w:r>
        <w:r>
          <w:rPr>
            <w:webHidden/>
          </w:rPr>
          <w:t>51</w:t>
        </w:r>
        <w:r>
          <w:rPr>
            <w:webHidden/>
          </w:rPr>
          <w:fldChar w:fldCharType="end"/>
        </w:r>
      </w:hyperlink>
    </w:p>
    <w:p w14:paraId="482C0060" w14:textId="31A7E669" w:rsidR="00023ECF" w:rsidRDefault="00023ECF">
      <w:pPr>
        <w:pStyle w:val="TOC2"/>
        <w:rPr>
          <w:rFonts w:asciiTheme="minorHAnsi" w:eastAsiaTheme="minorEastAsia" w:hAnsiTheme="minorHAnsi" w:cstheme="minorBidi"/>
          <w:bCs w:val="0"/>
          <w:kern w:val="2"/>
          <w:szCs w:val="24"/>
          <w14:ligatures w14:val="standardContextual"/>
        </w:rPr>
      </w:pPr>
      <w:hyperlink w:anchor="_Toc213771754" w:history="1">
        <w:r w:rsidRPr="00AC173C">
          <w:rPr>
            <w:rStyle w:val="Hyperlink"/>
            <w:rFonts w:eastAsia="Calibri" w:cs="Arial"/>
            <w:b/>
            <w:iCs/>
          </w:rPr>
          <w:t>W – Definitions</w:t>
        </w:r>
        <w:r>
          <w:rPr>
            <w:webHidden/>
          </w:rPr>
          <w:tab/>
        </w:r>
        <w:r>
          <w:rPr>
            <w:webHidden/>
          </w:rPr>
          <w:fldChar w:fldCharType="begin"/>
        </w:r>
        <w:r>
          <w:rPr>
            <w:webHidden/>
          </w:rPr>
          <w:instrText xml:space="preserve"> PAGEREF _Toc213771754 \h </w:instrText>
        </w:r>
        <w:r>
          <w:rPr>
            <w:webHidden/>
          </w:rPr>
        </w:r>
        <w:r>
          <w:rPr>
            <w:webHidden/>
          </w:rPr>
          <w:fldChar w:fldCharType="separate"/>
        </w:r>
        <w:r>
          <w:rPr>
            <w:webHidden/>
          </w:rPr>
          <w:t>52</w:t>
        </w:r>
        <w:r>
          <w:rPr>
            <w:webHidden/>
          </w:rPr>
          <w:fldChar w:fldCharType="end"/>
        </w:r>
      </w:hyperlink>
    </w:p>
    <w:p w14:paraId="5B173140" w14:textId="3F290E27" w:rsidR="00023ECF" w:rsidRDefault="00023ECF">
      <w:pPr>
        <w:pStyle w:val="TOC2"/>
        <w:rPr>
          <w:rFonts w:asciiTheme="minorHAnsi" w:eastAsiaTheme="minorEastAsia" w:hAnsiTheme="minorHAnsi" w:cstheme="minorBidi"/>
          <w:bCs w:val="0"/>
          <w:kern w:val="2"/>
          <w:szCs w:val="24"/>
          <w14:ligatures w14:val="standardContextual"/>
        </w:rPr>
      </w:pPr>
      <w:hyperlink w:anchor="_Toc213771755" w:history="1">
        <w:r w:rsidRPr="00AC173C">
          <w:rPr>
            <w:rStyle w:val="Hyperlink"/>
            <w:rFonts w:eastAsia="Calibri" w:cs="Arial"/>
            <w:b/>
            <w:iCs/>
          </w:rPr>
          <w:t>X – Definitions</w:t>
        </w:r>
        <w:r>
          <w:rPr>
            <w:webHidden/>
          </w:rPr>
          <w:tab/>
        </w:r>
        <w:r>
          <w:rPr>
            <w:webHidden/>
          </w:rPr>
          <w:fldChar w:fldCharType="begin"/>
        </w:r>
        <w:r>
          <w:rPr>
            <w:webHidden/>
          </w:rPr>
          <w:instrText xml:space="preserve"> PAGEREF _Toc213771755 \h </w:instrText>
        </w:r>
        <w:r>
          <w:rPr>
            <w:webHidden/>
          </w:rPr>
        </w:r>
        <w:r>
          <w:rPr>
            <w:webHidden/>
          </w:rPr>
          <w:fldChar w:fldCharType="separate"/>
        </w:r>
        <w:r>
          <w:rPr>
            <w:webHidden/>
          </w:rPr>
          <w:t>52</w:t>
        </w:r>
        <w:r>
          <w:rPr>
            <w:webHidden/>
          </w:rPr>
          <w:fldChar w:fldCharType="end"/>
        </w:r>
      </w:hyperlink>
    </w:p>
    <w:p w14:paraId="23C93DF1" w14:textId="0C817CC9" w:rsidR="00023ECF" w:rsidRDefault="00023ECF">
      <w:pPr>
        <w:pStyle w:val="TOC2"/>
        <w:rPr>
          <w:rFonts w:asciiTheme="minorHAnsi" w:eastAsiaTheme="minorEastAsia" w:hAnsiTheme="minorHAnsi" w:cstheme="minorBidi"/>
          <w:bCs w:val="0"/>
          <w:kern w:val="2"/>
          <w:szCs w:val="24"/>
          <w14:ligatures w14:val="standardContextual"/>
        </w:rPr>
      </w:pPr>
      <w:hyperlink w:anchor="_Toc213771756" w:history="1">
        <w:r w:rsidRPr="00AC173C">
          <w:rPr>
            <w:rStyle w:val="Hyperlink"/>
            <w:rFonts w:eastAsia="Calibri" w:cs="Arial"/>
            <w:b/>
            <w:iCs/>
          </w:rPr>
          <w:t>Y – Definitions</w:t>
        </w:r>
        <w:r>
          <w:rPr>
            <w:webHidden/>
          </w:rPr>
          <w:tab/>
        </w:r>
        <w:r>
          <w:rPr>
            <w:webHidden/>
          </w:rPr>
          <w:fldChar w:fldCharType="begin"/>
        </w:r>
        <w:r>
          <w:rPr>
            <w:webHidden/>
          </w:rPr>
          <w:instrText xml:space="preserve"> PAGEREF _Toc213771756 \h </w:instrText>
        </w:r>
        <w:r>
          <w:rPr>
            <w:webHidden/>
          </w:rPr>
        </w:r>
        <w:r>
          <w:rPr>
            <w:webHidden/>
          </w:rPr>
          <w:fldChar w:fldCharType="separate"/>
        </w:r>
        <w:r>
          <w:rPr>
            <w:webHidden/>
          </w:rPr>
          <w:t>52</w:t>
        </w:r>
        <w:r>
          <w:rPr>
            <w:webHidden/>
          </w:rPr>
          <w:fldChar w:fldCharType="end"/>
        </w:r>
      </w:hyperlink>
    </w:p>
    <w:p w14:paraId="7A5A0A48" w14:textId="42A90477" w:rsidR="00023ECF" w:rsidRDefault="00023ECF">
      <w:pPr>
        <w:pStyle w:val="TOC2"/>
        <w:rPr>
          <w:rFonts w:asciiTheme="minorHAnsi" w:eastAsiaTheme="minorEastAsia" w:hAnsiTheme="minorHAnsi" w:cstheme="minorBidi"/>
          <w:bCs w:val="0"/>
          <w:kern w:val="2"/>
          <w:szCs w:val="24"/>
          <w14:ligatures w14:val="standardContextual"/>
        </w:rPr>
      </w:pPr>
      <w:hyperlink w:anchor="_Toc213771757" w:history="1">
        <w:r w:rsidRPr="00AC173C">
          <w:rPr>
            <w:rStyle w:val="Hyperlink"/>
            <w:rFonts w:eastAsia="Calibri" w:cs="Arial"/>
            <w:b/>
            <w:iCs/>
          </w:rPr>
          <w:t>Z – Definitions</w:t>
        </w:r>
        <w:r>
          <w:rPr>
            <w:webHidden/>
          </w:rPr>
          <w:tab/>
        </w:r>
        <w:r>
          <w:rPr>
            <w:webHidden/>
          </w:rPr>
          <w:fldChar w:fldCharType="begin"/>
        </w:r>
        <w:r>
          <w:rPr>
            <w:webHidden/>
          </w:rPr>
          <w:instrText xml:space="preserve"> PAGEREF _Toc213771757 \h </w:instrText>
        </w:r>
        <w:r>
          <w:rPr>
            <w:webHidden/>
          </w:rPr>
        </w:r>
        <w:r>
          <w:rPr>
            <w:webHidden/>
          </w:rPr>
          <w:fldChar w:fldCharType="separate"/>
        </w:r>
        <w:r>
          <w:rPr>
            <w:webHidden/>
          </w:rPr>
          <w:t>52</w:t>
        </w:r>
        <w:r>
          <w:rPr>
            <w:webHidden/>
          </w:rPr>
          <w:fldChar w:fldCharType="end"/>
        </w:r>
      </w:hyperlink>
    </w:p>
    <w:p w14:paraId="6B497426" w14:textId="1D0284C9" w:rsidR="00023ECF" w:rsidRDefault="00023ECF">
      <w:pPr>
        <w:pStyle w:val="TOC1"/>
        <w:rPr>
          <w:rFonts w:asciiTheme="minorHAnsi" w:eastAsiaTheme="minorEastAsia" w:hAnsiTheme="minorHAnsi" w:cstheme="minorBidi"/>
          <w:b w:val="0"/>
          <w:kern w:val="2"/>
          <w:szCs w:val="24"/>
          <w14:ligatures w14:val="standardContextual"/>
        </w:rPr>
      </w:pPr>
      <w:hyperlink w:anchor="_Toc213771759" w:history="1">
        <w:r w:rsidRPr="00AC173C">
          <w:rPr>
            <w:rStyle w:val="Hyperlink"/>
          </w:rPr>
          <w:t>2</w:t>
        </w:r>
        <w:r>
          <w:rPr>
            <w:rFonts w:asciiTheme="minorHAnsi" w:eastAsiaTheme="minorEastAsia" w:hAnsiTheme="minorHAnsi" w:cstheme="minorBidi"/>
            <w:b w:val="0"/>
            <w:kern w:val="2"/>
            <w:szCs w:val="24"/>
            <w14:ligatures w14:val="standardContextual"/>
          </w:rPr>
          <w:tab/>
        </w:r>
        <w:r w:rsidRPr="00AC173C">
          <w:rPr>
            <w:rStyle w:val="Hyperlink"/>
          </w:rPr>
          <w:t>Introduction</w:t>
        </w:r>
        <w:r>
          <w:rPr>
            <w:webHidden/>
          </w:rPr>
          <w:tab/>
        </w:r>
        <w:r>
          <w:rPr>
            <w:webHidden/>
          </w:rPr>
          <w:fldChar w:fldCharType="begin"/>
        </w:r>
        <w:r>
          <w:rPr>
            <w:webHidden/>
          </w:rPr>
          <w:instrText xml:space="preserve"> PAGEREF _Toc213771759 \h </w:instrText>
        </w:r>
        <w:r>
          <w:rPr>
            <w:webHidden/>
          </w:rPr>
        </w:r>
        <w:r>
          <w:rPr>
            <w:webHidden/>
          </w:rPr>
          <w:fldChar w:fldCharType="separate"/>
        </w:r>
        <w:r>
          <w:rPr>
            <w:webHidden/>
          </w:rPr>
          <w:t>53</w:t>
        </w:r>
        <w:r>
          <w:rPr>
            <w:webHidden/>
          </w:rPr>
          <w:fldChar w:fldCharType="end"/>
        </w:r>
      </w:hyperlink>
    </w:p>
    <w:p w14:paraId="7BF9C9B7" w14:textId="72EBCBF2" w:rsidR="00023ECF" w:rsidRDefault="00023ECF">
      <w:pPr>
        <w:pStyle w:val="TOC2"/>
        <w:rPr>
          <w:rFonts w:asciiTheme="minorHAnsi" w:eastAsiaTheme="minorEastAsia" w:hAnsiTheme="minorHAnsi" w:cstheme="minorBidi"/>
          <w:bCs w:val="0"/>
          <w:kern w:val="2"/>
          <w:szCs w:val="24"/>
          <w14:ligatures w14:val="standardContextual"/>
        </w:rPr>
      </w:pPr>
      <w:hyperlink w:anchor="_Toc213771760" w:history="1">
        <w:r w:rsidRPr="00AC173C">
          <w:rPr>
            <w:rStyle w:val="Hyperlink"/>
          </w:rPr>
          <w:t>2.1</w:t>
        </w:r>
        <w:r>
          <w:rPr>
            <w:rFonts w:asciiTheme="minorHAnsi" w:eastAsiaTheme="minorEastAsia" w:hAnsiTheme="minorHAnsi" w:cstheme="minorBidi"/>
            <w:bCs w:val="0"/>
            <w:kern w:val="2"/>
            <w:szCs w:val="24"/>
            <w14:ligatures w14:val="standardContextual"/>
          </w:rPr>
          <w:tab/>
        </w:r>
        <w:r w:rsidRPr="00AC173C">
          <w:rPr>
            <w:rStyle w:val="Hyperlink"/>
          </w:rPr>
          <w:t>Related Documents and Training</w:t>
        </w:r>
        <w:r>
          <w:rPr>
            <w:webHidden/>
          </w:rPr>
          <w:tab/>
        </w:r>
        <w:r>
          <w:rPr>
            <w:webHidden/>
          </w:rPr>
          <w:fldChar w:fldCharType="begin"/>
        </w:r>
        <w:r>
          <w:rPr>
            <w:webHidden/>
          </w:rPr>
          <w:instrText xml:space="preserve"> PAGEREF _Toc213771760 \h </w:instrText>
        </w:r>
        <w:r>
          <w:rPr>
            <w:webHidden/>
          </w:rPr>
        </w:r>
        <w:r>
          <w:rPr>
            <w:webHidden/>
          </w:rPr>
          <w:fldChar w:fldCharType="separate"/>
        </w:r>
        <w:r>
          <w:rPr>
            <w:webHidden/>
          </w:rPr>
          <w:t>53</w:t>
        </w:r>
        <w:r>
          <w:rPr>
            <w:webHidden/>
          </w:rPr>
          <w:fldChar w:fldCharType="end"/>
        </w:r>
      </w:hyperlink>
    </w:p>
    <w:p w14:paraId="38BC71AF" w14:textId="0DC34DAC" w:rsidR="00023ECF" w:rsidRDefault="00023ECF">
      <w:pPr>
        <w:pStyle w:val="TOC1"/>
        <w:rPr>
          <w:rFonts w:asciiTheme="minorHAnsi" w:eastAsiaTheme="minorEastAsia" w:hAnsiTheme="minorHAnsi" w:cstheme="minorBidi"/>
          <w:b w:val="0"/>
          <w:kern w:val="2"/>
          <w:szCs w:val="24"/>
          <w14:ligatures w14:val="standardContextual"/>
        </w:rPr>
      </w:pPr>
      <w:hyperlink w:anchor="_Toc213771761" w:history="1">
        <w:r w:rsidRPr="00AC173C">
          <w:rPr>
            <w:rStyle w:val="Hyperlink"/>
          </w:rPr>
          <w:t>3</w:t>
        </w:r>
        <w:r>
          <w:rPr>
            <w:rFonts w:asciiTheme="minorHAnsi" w:eastAsiaTheme="minorEastAsia" w:hAnsiTheme="minorHAnsi" w:cstheme="minorBidi"/>
            <w:b w:val="0"/>
            <w:kern w:val="2"/>
            <w:szCs w:val="24"/>
            <w14:ligatures w14:val="standardContextual"/>
          </w:rPr>
          <w:tab/>
        </w:r>
        <w:r w:rsidRPr="00AC173C">
          <w:rPr>
            <w:rStyle w:val="Hyperlink"/>
          </w:rPr>
          <w:t>Markets+ Overview</w:t>
        </w:r>
        <w:r>
          <w:rPr>
            <w:webHidden/>
          </w:rPr>
          <w:tab/>
        </w:r>
        <w:r>
          <w:rPr>
            <w:webHidden/>
          </w:rPr>
          <w:fldChar w:fldCharType="begin"/>
        </w:r>
        <w:r>
          <w:rPr>
            <w:webHidden/>
          </w:rPr>
          <w:instrText xml:space="preserve"> PAGEREF _Toc213771761 \h </w:instrText>
        </w:r>
        <w:r>
          <w:rPr>
            <w:webHidden/>
          </w:rPr>
        </w:r>
        <w:r>
          <w:rPr>
            <w:webHidden/>
          </w:rPr>
          <w:fldChar w:fldCharType="separate"/>
        </w:r>
        <w:r>
          <w:rPr>
            <w:webHidden/>
          </w:rPr>
          <w:t>54</w:t>
        </w:r>
        <w:r>
          <w:rPr>
            <w:webHidden/>
          </w:rPr>
          <w:fldChar w:fldCharType="end"/>
        </w:r>
      </w:hyperlink>
    </w:p>
    <w:p w14:paraId="30621852" w14:textId="1DE50977" w:rsidR="00023ECF" w:rsidRDefault="00023ECF">
      <w:pPr>
        <w:pStyle w:val="TOC2"/>
        <w:rPr>
          <w:rFonts w:asciiTheme="minorHAnsi" w:eastAsiaTheme="minorEastAsia" w:hAnsiTheme="minorHAnsi" w:cstheme="minorBidi"/>
          <w:bCs w:val="0"/>
          <w:kern w:val="2"/>
          <w:szCs w:val="24"/>
          <w14:ligatures w14:val="standardContextual"/>
        </w:rPr>
      </w:pPr>
      <w:hyperlink w:anchor="_Toc213771762" w:history="1">
        <w:r w:rsidRPr="00AC173C">
          <w:rPr>
            <w:rStyle w:val="Hyperlink"/>
          </w:rPr>
          <w:t>3.1</w:t>
        </w:r>
        <w:r>
          <w:rPr>
            <w:rFonts w:asciiTheme="minorHAnsi" w:eastAsiaTheme="minorEastAsia" w:hAnsiTheme="minorHAnsi" w:cstheme="minorBidi"/>
            <w:bCs w:val="0"/>
            <w:kern w:val="2"/>
            <w:szCs w:val="24"/>
            <w14:ligatures w14:val="standardContextual"/>
          </w:rPr>
          <w:tab/>
        </w:r>
        <w:r w:rsidRPr="00AC173C">
          <w:rPr>
            <w:rStyle w:val="Hyperlink"/>
          </w:rPr>
          <w:t>Energy and Flexibility Reserve Products Markets</w:t>
        </w:r>
        <w:r>
          <w:rPr>
            <w:webHidden/>
          </w:rPr>
          <w:tab/>
        </w:r>
        <w:r>
          <w:rPr>
            <w:webHidden/>
          </w:rPr>
          <w:fldChar w:fldCharType="begin"/>
        </w:r>
        <w:r>
          <w:rPr>
            <w:webHidden/>
          </w:rPr>
          <w:instrText xml:space="preserve"> PAGEREF _Toc213771762 \h </w:instrText>
        </w:r>
        <w:r>
          <w:rPr>
            <w:webHidden/>
          </w:rPr>
        </w:r>
        <w:r>
          <w:rPr>
            <w:webHidden/>
          </w:rPr>
          <w:fldChar w:fldCharType="separate"/>
        </w:r>
        <w:r>
          <w:rPr>
            <w:webHidden/>
          </w:rPr>
          <w:t>54</w:t>
        </w:r>
        <w:r>
          <w:rPr>
            <w:webHidden/>
          </w:rPr>
          <w:fldChar w:fldCharType="end"/>
        </w:r>
      </w:hyperlink>
    </w:p>
    <w:p w14:paraId="3E4BE226" w14:textId="4888E0A7" w:rsidR="00023ECF" w:rsidRDefault="00023ECF">
      <w:pPr>
        <w:pStyle w:val="TOC2"/>
        <w:rPr>
          <w:rFonts w:asciiTheme="minorHAnsi" w:eastAsiaTheme="minorEastAsia" w:hAnsiTheme="minorHAnsi" w:cstheme="minorBidi"/>
          <w:bCs w:val="0"/>
          <w:kern w:val="2"/>
          <w:szCs w:val="24"/>
          <w14:ligatures w14:val="standardContextual"/>
        </w:rPr>
      </w:pPr>
      <w:hyperlink w:anchor="_Toc213771767" w:history="1">
        <w:r w:rsidRPr="00AC173C">
          <w:rPr>
            <w:rStyle w:val="Hyperlink"/>
          </w:rPr>
          <w:t>3.2</w:t>
        </w:r>
        <w:r>
          <w:rPr>
            <w:rFonts w:asciiTheme="minorHAnsi" w:eastAsiaTheme="minorEastAsia" w:hAnsiTheme="minorHAnsi" w:cstheme="minorBidi"/>
            <w:bCs w:val="0"/>
            <w:kern w:val="2"/>
            <w:szCs w:val="24"/>
            <w14:ligatures w14:val="standardContextual"/>
          </w:rPr>
          <w:tab/>
        </w:r>
        <w:r w:rsidRPr="00AC173C">
          <w:rPr>
            <w:rStyle w:val="Hyperlink"/>
          </w:rPr>
          <w:t>Day-Ahead Market and RTBM SCED</w:t>
        </w:r>
        <w:r>
          <w:rPr>
            <w:webHidden/>
          </w:rPr>
          <w:tab/>
        </w:r>
        <w:r>
          <w:rPr>
            <w:webHidden/>
          </w:rPr>
          <w:fldChar w:fldCharType="begin"/>
        </w:r>
        <w:r>
          <w:rPr>
            <w:webHidden/>
          </w:rPr>
          <w:instrText xml:space="preserve"> PAGEREF _Toc213771767 \h </w:instrText>
        </w:r>
        <w:r>
          <w:rPr>
            <w:webHidden/>
          </w:rPr>
        </w:r>
        <w:r>
          <w:rPr>
            <w:webHidden/>
          </w:rPr>
          <w:fldChar w:fldCharType="separate"/>
        </w:r>
        <w:r>
          <w:rPr>
            <w:webHidden/>
          </w:rPr>
          <w:t>60</w:t>
        </w:r>
        <w:r>
          <w:rPr>
            <w:webHidden/>
          </w:rPr>
          <w:fldChar w:fldCharType="end"/>
        </w:r>
      </w:hyperlink>
    </w:p>
    <w:p w14:paraId="002F95EA" w14:textId="39A9B980" w:rsidR="00023ECF" w:rsidRDefault="00023ECF">
      <w:pPr>
        <w:pStyle w:val="TOC1"/>
        <w:rPr>
          <w:rFonts w:asciiTheme="minorHAnsi" w:eastAsiaTheme="minorEastAsia" w:hAnsiTheme="minorHAnsi" w:cstheme="minorBidi"/>
          <w:b w:val="0"/>
          <w:kern w:val="2"/>
          <w:szCs w:val="24"/>
          <w14:ligatures w14:val="standardContextual"/>
        </w:rPr>
      </w:pPr>
      <w:hyperlink w:anchor="_Toc213771768" w:history="1">
        <w:r w:rsidRPr="00AC173C">
          <w:rPr>
            <w:rStyle w:val="Hyperlink"/>
          </w:rPr>
          <w:t>4</w:t>
        </w:r>
        <w:r>
          <w:rPr>
            <w:rFonts w:asciiTheme="minorHAnsi" w:eastAsiaTheme="minorEastAsia" w:hAnsiTheme="minorHAnsi" w:cstheme="minorBidi"/>
            <w:b w:val="0"/>
            <w:kern w:val="2"/>
            <w:szCs w:val="24"/>
            <w14:ligatures w14:val="standardContextual"/>
          </w:rPr>
          <w:tab/>
        </w:r>
        <w:r w:rsidRPr="00AC173C">
          <w:rPr>
            <w:rStyle w:val="Hyperlink"/>
          </w:rPr>
          <w:t>Energy and Flexibility Reserve Products Markets Requirements and Processes</w:t>
        </w:r>
        <w:r>
          <w:rPr>
            <w:webHidden/>
          </w:rPr>
          <w:tab/>
        </w:r>
        <w:r>
          <w:rPr>
            <w:webHidden/>
          </w:rPr>
          <w:fldChar w:fldCharType="begin"/>
        </w:r>
        <w:r>
          <w:rPr>
            <w:webHidden/>
          </w:rPr>
          <w:instrText xml:space="preserve"> PAGEREF _Toc213771768 \h </w:instrText>
        </w:r>
        <w:r>
          <w:rPr>
            <w:webHidden/>
          </w:rPr>
        </w:r>
        <w:r>
          <w:rPr>
            <w:webHidden/>
          </w:rPr>
          <w:fldChar w:fldCharType="separate"/>
        </w:r>
        <w:r>
          <w:rPr>
            <w:webHidden/>
          </w:rPr>
          <w:t>63</w:t>
        </w:r>
        <w:r>
          <w:rPr>
            <w:webHidden/>
          </w:rPr>
          <w:fldChar w:fldCharType="end"/>
        </w:r>
      </w:hyperlink>
    </w:p>
    <w:p w14:paraId="3C96D7C6" w14:textId="510C0C8E" w:rsidR="00023ECF" w:rsidRDefault="00023ECF">
      <w:pPr>
        <w:pStyle w:val="TOC2"/>
        <w:rPr>
          <w:rFonts w:asciiTheme="minorHAnsi" w:eastAsiaTheme="minorEastAsia" w:hAnsiTheme="minorHAnsi" w:cstheme="minorBidi"/>
          <w:bCs w:val="0"/>
          <w:kern w:val="2"/>
          <w:szCs w:val="24"/>
          <w14:ligatures w14:val="standardContextual"/>
        </w:rPr>
      </w:pPr>
      <w:hyperlink w:anchor="_Toc213771769" w:history="1">
        <w:r w:rsidRPr="00AC173C">
          <w:rPr>
            <w:rStyle w:val="Hyperlink"/>
          </w:rPr>
          <w:t>4.1</w:t>
        </w:r>
        <w:r>
          <w:rPr>
            <w:rFonts w:asciiTheme="minorHAnsi" w:eastAsiaTheme="minorEastAsia" w:hAnsiTheme="minorHAnsi" w:cstheme="minorBidi"/>
            <w:bCs w:val="0"/>
            <w:kern w:val="2"/>
            <w:szCs w:val="24"/>
            <w14:ligatures w14:val="standardContextual"/>
          </w:rPr>
          <w:tab/>
        </w:r>
        <w:r w:rsidRPr="00AC173C">
          <w:rPr>
            <w:rStyle w:val="Hyperlink"/>
          </w:rPr>
          <w:t>Market Operator System Requirements</w:t>
        </w:r>
        <w:r>
          <w:rPr>
            <w:webHidden/>
          </w:rPr>
          <w:tab/>
        </w:r>
        <w:r>
          <w:rPr>
            <w:webHidden/>
          </w:rPr>
          <w:fldChar w:fldCharType="begin"/>
        </w:r>
        <w:r>
          <w:rPr>
            <w:webHidden/>
          </w:rPr>
          <w:instrText xml:space="preserve"> PAGEREF _Toc213771769 \h </w:instrText>
        </w:r>
        <w:r>
          <w:rPr>
            <w:webHidden/>
          </w:rPr>
        </w:r>
        <w:r>
          <w:rPr>
            <w:webHidden/>
          </w:rPr>
          <w:fldChar w:fldCharType="separate"/>
        </w:r>
        <w:r>
          <w:rPr>
            <w:webHidden/>
          </w:rPr>
          <w:t>64</w:t>
        </w:r>
        <w:r>
          <w:rPr>
            <w:webHidden/>
          </w:rPr>
          <w:fldChar w:fldCharType="end"/>
        </w:r>
      </w:hyperlink>
    </w:p>
    <w:p w14:paraId="01E08F64" w14:textId="01F15954" w:rsidR="00023ECF" w:rsidRDefault="00023ECF">
      <w:pPr>
        <w:pStyle w:val="TOC3"/>
        <w:rPr>
          <w:rFonts w:asciiTheme="minorHAnsi" w:eastAsiaTheme="minorEastAsia" w:hAnsiTheme="minorHAnsi" w:cstheme="minorBidi"/>
          <w:bCs w:val="0"/>
          <w:kern w:val="2"/>
          <w:szCs w:val="24"/>
          <w14:ligatures w14:val="standardContextual"/>
        </w:rPr>
      </w:pPr>
      <w:hyperlink w:anchor="_Toc213771774" w:history="1">
        <w:r w:rsidRPr="00AC173C">
          <w:rPr>
            <w:rStyle w:val="Hyperlink"/>
          </w:rPr>
          <w:t>4.1.1</w:t>
        </w:r>
        <w:r>
          <w:rPr>
            <w:rFonts w:asciiTheme="minorHAnsi" w:eastAsiaTheme="minorEastAsia" w:hAnsiTheme="minorHAnsi" w:cstheme="minorBidi"/>
            <w:bCs w:val="0"/>
            <w:kern w:val="2"/>
            <w:szCs w:val="24"/>
            <w14:ligatures w14:val="standardContextual"/>
          </w:rPr>
          <w:tab/>
        </w:r>
        <w:r w:rsidRPr="00AC173C">
          <w:rPr>
            <w:rStyle w:val="Hyperlink"/>
          </w:rPr>
          <w:t>Reserve Zone Establishment</w:t>
        </w:r>
        <w:r>
          <w:rPr>
            <w:webHidden/>
          </w:rPr>
          <w:tab/>
        </w:r>
        <w:r>
          <w:rPr>
            <w:webHidden/>
          </w:rPr>
          <w:fldChar w:fldCharType="begin"/>
        </w:r>
        <w:r>
          <w:rPr>
            <w:webHidden/>
          </w:rPr>
          <w:instrText xml:space="preserve"> PAGEREF _Toc213771774 \h </w:instrText>
        </w:r>
        <w:r>
          <w:rPr>
            <w:webHidden/>
          </w:rPr>
        </w:r>
        <w:r>
          <w:rPr>
            <w:webHidden/>
          </w:rPr>
          <w:fldChar w:fldCharType="separate"/>
        </w:r>
        <w:r>
          <w:rPr>
            <w:webHidden/>
          </w:rPr>
          <w:t>64</w:t>
        </w:r>
        <w:r>
          <w:rPr>
            <w:webHidden/>
          </w:rPr>
          <w:fldChar w:fldCharType="end"/>
        </w:r>
      </w:hyperlink>
    </w:p>
    <w:p w14:paraId="1EE9A3A1" w14:textId="4D97E88A" w:rsidR="00023ECF" w:rsidRDefault="00023ECF">
      <w:pPr>
        <w:pStyle w:val="TOC3"/>
        <w:rPr>
          <w:rFonts w:asciiTheme="minorHAnsi" w:eastAsiaTheme="minorEastAsia" w:hAnsiTheme="minorHAnsi" w:cstheme="minorBidi"/>
          <w:bCs w:val="0"/>
          <w:kern w:val="2"/>
          <w:szCs w:val="24"/>
          <w14:ligatures w14:val="standardContextual"/>
        </w:rPr>
      </w:pPr>
      <w:hyperlink w:anchor="_Toc213771775" w:history="1">
        <w:r w:rsidRPr="00AC173C">
          <w:rPr>
            <w:rStyle w:val="Hyperlink"/>
          </w:rPr>
          <w:t>4.1.2</w:t>
        </w:r>
        <w:r>
          <w:rPr>
            <w:rFonts w:asciiTheme="minorHAnsi" w:eastAsiaTheme="minorEastAsia" w:hAnsiTheme="minorHAnsi" w:cstheme="minorBidi"/>
            <w:bCs w:val="0"/>
            <w:kern w:val="2"/>
            <w:szCs w:val="24"/>
            <w14:ligatures w14:val="standardContextual"/>
          </w:rPr>
          <w:tab/>
        </w:r>
        <w:r w:rsidRPr="00AC173C">
          <w:rPr>
            <w:rStyle w:val="Hyperlink"/>
          </w:rPr>
          <w:t>Forecasting</w:t>
        </w:r>
        <w:r>
          <w:rPr>
            <w:webHidden/>
          </w:rPr>
          <w:tab/>
        </w:r>
        <w:r>
          <w:rPr>
            <w:webHidden/>
          </w:rPr>
          <w:fldChar w:fldCharType="begin"/>
        </w:r>
        <w:r>
          <w:rPr>
            <w:webHidden/>
          </w:rPr>
          <w:instrText xml:space="preserve"> PAGEREF _Toc213771775 \h </w:instrText>
        </w:r>
        <w:r>
          <w:rPr>
            <w:webHidden/>
          </w:rPr>
        </w:r>
        <w:r>
          <w:rPr>
            <w:webHidden/>
          </w:rPr>
          <w:fldChar w:fldCharType="separate"/>
        </w:r>
        <w:r>
          <w:rPr>
            <w:webHidden/>
          </w:rPr>
          <w:t>65</w:t>
        </w:r>
        <w:r>
          <w:rPr>
            <w:webHidden/>
          </w:rPr>
          <w:fldChar w:fldCharType="end"/>
        </w:r>
      </w:hyperlink>
    </w:p>
    <w:p w14:paraId="04372917" w14:textId="19004BC3" w:rsidR="00023ECF" w:rsidRDefault="00023ECF">
      <w:pPr>
        <w:pStyle w:val="TOC4"/>
        <w:rPr>
          <w:rFonts w:asciiTheme="minorHAnsi" w:eastAsiaTheme="minorEastAsia" w:hAnsiTheme="minorHAnsi" w:cstheme="minorBidi"/>
          <w:bCs w:val="0"/>
          <w:kern w:val="2"/>
          <w:szCs w:val="24"/>
          <w14:ligatures w14:val="standardContextual"/>
        </w:rPr>
      </w:pPr>
      <w:hyperlink w:anchor="_Toc213771776" w:history="1">
        <w:r w:rsidRPr="00AC173C">
          <w:rPr>
            <w:rStyle w:val="Hyperlink"/>
          </w:rPr>
          <w:t>4.1.2.1</w:t>
        </w:r>
        <w:r>
          <w:rPr>
            <w:rFonts w:asciiTheme="minorHAnsi" w:eastAsiaTheme="minorEastAsia" w:hAnsiTheme="minorHAnsi" w:cstheme="minorBidi"/>
            <w:bCs w:val="0"/>
            <w:kern w:val="2"/>
            <w:szCs w:val="24"/>
            <w14:ligatures w14:val="standardContextual"/>
          </w:rPr>
          <w:tab/>
        </w:r>
        <w:r w:rsidRPr="00AC173C">
          <w:rPr>
            <w:rStyle w:val="Hyperlink"/>
          </w:rPr>
          <w:t>Short-Term and Mid-Term Load Forecasting</w:t>
        </w:r>
        <w:r>
          <w:rPr>
            <w:webHidden/>
          </w:rPr>
          <w:tab/>
        </w:r>
        <w:r>
          <w:rPr>
            <w:webHidden/>
          </w:rPr>
          <w:fldChar w:fldCharType="begin"/>
        </w:r>
        <w:r>
          <w:rPr>
            <w:webHidden/>
          </w:rPr>
          <w:instrText xml:space="preserve"> PAGEREF _Toc213771776 \h </w:instrText>
        </w:r>
        <w:r>
          <w:rPr>
            <w:webHidden/>
          </w:rPr>
        </w:r>
        <w:r>
          <w:rPr>
            <w:webHidden/>
          </w:rPr>
          <w:fldChar w:fldCharType="separate"/>
        </w:r>
        <w:r>
          <w:rPr>
            <w:webHidden/>
          </w:rPr>
          <w:t>65</w:t>
        </w:r>
        <w:r>
          <w:rPr>
            <w:webHidden/>
          </w:rPr>
          <w:fldChar w:fldCharType="end"/>
        </w:r>
      </w:hyperlink>
    </w:p>
    <w:p w14:paraId="53301A6A" w14:textId="047BFFFC" w:rsidR="00023ECF" w:rsidRDefault="00023ECF">
      <w:pPr>
        <w:pStyle w:val="TOC5"/>
        <w:rPr>
          <w:rFonts w:asciiTheme="minorHAnsi" w:eastAsiaTheme="minorEastAsia" w:hAnsiTheme="minorHAnsi" w:cstheme="minorBidi"/>
          <w:kern w:val="2"/>
          <w:szCs w:val="24"/>
          <w14:ligatures w14:val="standardContextual"/>
        </w:rPr>
      </w:pPr>
      <w:hyperlink w:anchor="_Toc213771777" w:history="1">
        <w:r w:rsidRPr="00AC173C">
          <w:rPr>
            <w:rStyle w:val="Hyperlink"/>
          </w:rPr>
          <w:t>4.1.2.1.1</w:t>
        </w:r>
        <w:r>
          <w:rPr>
            <w:rFonts w:asciiTheme="minorHAnsi" w:eastAsiaTheme="minorEastAsia" w:hAnsiTheme="minorHAnsi" w:cstheme="minorBidi"/>
            <w:kern w:val="2"/>
            <w:szCs w:val="24"/>
            <w14:ligatures w14:val="standardContextual"/>
          </w:rPr>
          <w:tab/>
        </w:r>
        <w:r w:rsidRPr="00AC173C">
          <w:rPr>
            <w:rStyle w:val="Hyperlink"/>
          </w:rPr>
          <w:t>Conforming Load</w:t>
        </w:r>
        <w:r>
          <w:rPr>
            <w:webHidden/>
          </w:rPr>
          <w:tab/>
        </w:r>
        <w:r>
          <w:rPr>
            <w:webHidden/>
          </w:rPr>
          <w:fldChar w:fldCharType="begin"/>
        </w:r>
        <w:r>
          <w:rPr>
            <w:webHidden/>
          </w:rPr>
          <w:instrText xml:space="preserve"> PAGEREF _Toc213771777 \h </w:instrText>
        </w:r>
        <w:r>
          <w:rPr>
            <w:webHidden/>
          </w:rPr>
        </w:r>
        <w:r>
          <w:rPr>
            <w:webHidden/>
          </w:rPr>
          <w:fldChar w:fldCharType="separate"/>
        </w:r>
        <w:r>
          <w:rPr>
            <w:webHidden/>
          </w:rPr>
          <w:t>65</w:t>
        </w:r>
        <w:r>
          <w:rPr>
            <w:webHidden/>
          </w:rPr>
          <w:fldChar w:fldCharType="end"/>
        </w:r>
      </w:hyperlink>
    </w:p>
    <w:p w14:paraId="77724426" w14:textId="49ED9DE6" w:rsidR="00023ECF" w:rsidRDefault="00023ECF">
      <w:pPr>
        <w:pStyle w:val="TOC5"/>
        <w:rPr>
          <w:rFonts w:asciiTheme="minorHAnsi" w:eastAsiaTheme="minorEastAsia" w:hAnsiTheme="minorHAnsi" w:cstheme="minorBidi"/>
          <w:kern w:val="2"/>
          <w:szCs w:val="24"/>
          <w14:ligatures w14:val="standardContextual"/>
        </w:rPr>
      </w:pPr>
      <w:hyperlink w:anchor="_Toc213771778" w:history="1">
        <w:r w:rsidRPr="00AC173C">
          <w:rPr>
            <w:rStyle w:val="Hyperlink"/>
          </w:rPr>
          <w:t>4.1.2.1.2</w:t>
        </w:r>
        <w:r>
          <w:rPr>
            <w:rFonts w:asciiTheme="minorHAnsi" w:eastAsiaTheme="minorEastAsia" w:hAnsiTheme="minorHAnsi" w:cstheme="minorBidi"/>
            <w:kern w:val="2"/>
            <w:szCs w:val="24"/>
            <w14:ligatures w14:val="standardContextual"/>
          </w:rPr>
          <w:tab/>
        </w:r>
        <w:r w:rsidRPr="00AC173C">
          <w:rPr>
            <w:rStyle w:val="Hyperlink"/>
          </w:rPr>
          <w:t>Non-Conforming Load</w:t>
        </w:r>
        <w:r>
          <w:rPr>
            <w:webHidden/>
          </w:rPr>
          <w:tab/>
        </w:r>
        <w:r>
          <w:rPr>
            <w:webHidden/>
          </w:rPr>
          <w:fldChar w:fldCharType="begin"/>
        </w:r>
        <w:r>
          <w:rPr>
            <w:webHidden/>
          </w:rPr>
          <w:instrText xml:space="preserve"> PAGEREF _Toc213771778 \h </w:instrText>
        </w:r>
        <w:r>
          <w:rPr>
            <w:webHidden/>
          </w:rPr>
        </w:r>
        <w:r>
          <w:rPr>
            <w:webHidden/>
          </w:rPr>
          <w:fldChar w:fldCharType="separate"/>
        </w:r>
        <w:r>
          <w:rPr>
            <w:webHidden/>
          </w:rPr>
          <w:t>65</w:t>
        </w:r>
        <w:r>
          <w:rPr>
            <w:webHidden/>
          </w:rPr>
          <w:fldChar w:fldCharType="end"/>
        </w:r>
      </w:hyperlink>
    </w:p>
    <w:p w14:paraId="75AD585E" w14:textId="1AB7DE4B" w:rsidR="00023ECF" w:rsidRDefault="00023ECF">
      <w:pPr>
        <w:pStyle w:val="TOC5"/>
        <w:rPr>
          <w:rFonts w:asciiTheme="minorHAnsi" w:eastAsiaTheme="minorEastAsia" w:hAnsiTheme="minorHAnsi" w:cstheme="minorBidi"/>
          <w:kern w:val="2"/>
          <w:szCs w:val="24"/>
          <w14:ligatures w14:val="standardContextual"/>
        </w:rPr>
      </w:pPr>
      <w:hyperlink w:anchor="_Toc213771779" w:history="1">
        <w:r w:rsidRPr="00AC173C">
          <w:rPr>
            <w:rStyle w:val="Hyperlink"/>
          </w:rPr>
          <w:t>4.1.2.1.3</w:t>
        </w:r>
        <w:r>
          <w:rPr>
            <w:rFonts w:asciiTheme="minorHAnsi" w:eastAsiaTheme="minorEastAsia" w:hAnsiTheme="minorHAnsi" w:cstheme="minorBidi"/>
            <w:kern w:val="2"/>
            <w:szCs w:val="24"/>
            <w14:ligatures w14:val="standardContextual"/>
          </w:rPr>
          <w:tab/>
        </w:r>
        <w:r w:rsidRPr="00AC173C">
          <w:rPr>
            <w:rStyle w:val="Hyperlink"/>
          </w:rPr>
          <w:t>Losses</w:t>
        </w:r>
        <w:r>
          <w:rPr>
            <w:webHidden/>
          </w:rPr>
          <w:tab/>
        </w:r>
        <w:r>
          <w:rPr>
            <w:webHidden/>
          </w:rPr>
          <w:fldChar w:fldCharType="begin"/>
        </w:r>
        <w:r>
          <w:rPr>
            <w:webHidden/>
          </w:rPr>
          <w:instrText xml:space="preserve"> PAGEREF _Toc213771779 \h </w:instrText>
        </w:r>
        <w:r>
          <w:rPr>
            <w:webHidden/>
          </w:rPr>
        </w:r>
        <w:r>
          <w:rPr>
            <w:webHidden/>
          </w:rPr>
          <w:fldChar w:fldCharType="separate"/>
        </w:r>
        <w:r>
          <w:rPr>
            <w:webHidden/>
          </w:rPr>
          <w:t>66</w:t>
        </w:r>
        <w:r>
          <w:rPr>
            <w:webHidden/>
          </w:rPr>
          <w:fldChar w:fldCharType="end"/>
        </w:r>
      </w:hyperlink>
    </w:p>
    <w:p w14:paraId="16240403" w14:textId="5AF1F20F" w:rsidR="00023ECF" w:rsidRDefault="00023ECF">
      <w:pPr>
        <w:pStyle w:val="TOC5"/>
        <w:rPr>
          <w:rFonts w:asciiTheme="minorHAnsi" w:eastAsiaTheme="minorEastAsia" w:hAnsiTheme="minorHAnsi" w:cstheme="minorBidi"/>
          <w:kern w:val="2"/>
          <w:szCs w:val="24"/>
          <w14:ligatures w14:val="standardContextual"/>
        </w:rPr>
      </w:pPr>
      <w:hyperlink w:anchor="_Toc213771780" w:history="1">
        <w:r w:rsidRPr="00AC173C">
          <w:rPr>
            <w:rStyle w:val="Hyperlink"/>
          </w:rPr>
          <w:t>4.1.2.1.4</w:t>
        </w:r>
        <w:r>
          <w:rPr>
            <w:rFonts w:asciiTheme="minorHAnsi" w:eastAsiaTheme="minorEastAsia" w:hAnsiTheme="minorHAnsi" w:cstheme="minorBidi"/>
            <w:kern w:val="2"/>
            <w:szCs w:val="24"/>
            <w14:ligatures w14:val="standardContextual"/>
          </w:rPr>
          <w:tab/>
        </w:r>
        <w:r w:rsidRPr="00AC173C">
          <w:rPr>
            <w:rStyle w:val="Hyperlink"/>
          </w:rPr>
          <w:t>Demand Response Adjustments</w:t>
        </w:r>
        <w:r>
          <w:rPr>
            <w:webHidden/>
          </w:rPr>
          <w:tab/>
        </w:r>
        <w:r>
          <w:rPr>
            <w:webHidden/>
          </w:rPr>
          <w:fldChar w:fldCharType="begin"/>
        </w:r>
        <w:r>
          <w:rPr>
            <w:webHidden/>
          </w:rPr>
          <w:instrText xml:space="preserve"> PAGEREF _Toc213771780 \h </w:instrText>
        </w:r>
        <w:r>
          <w:rPr>
            <w:webHidden/>
          </w:rPr>
        </w:r>
        <w:r>
          <w:rPr>
            <w:webHidden/>
          </w:rPr>
          <w:fldChar w:fldCharType="separate"/>
        </w:r>
        <w:r>
          <w:rPr>
            <w:webHidden/>
          </w:rPr>
          <w:t>66</w:t>
        </w:r>
        <w:r>
          <w:rPr>
            <w:webHidden/>
          </w:rPr>
          <w:fldChar w:fldCharType="end"/>
        </w:r>
      </w:hyperlink>
    </w:p>
    <w:p w14:paraId="7EBAB649" w14:textId="467476D1" w:rsidR="00023ECF" w:rsidRDefault="00023ECF">
      <w:pPr>
        <w:pStyle w:val="TOC5"/>
        <w:rPr>
          <w:rFonts w:asciiTheme="minorHAnsi" w:eastAsiaTheme="minorEastAsia" w:hAnsiTheme="minorHAnsi" w:cstheme="minorBidi"/>
          <w:kern w:val="2"/>
          <w:szCs w:val="24"/>
          <w14:ligatures w14:val="standardContextual"/>
        </w:rPr>
      </w:pPr>
      <w:hyperlink w:anchor="_Toc213771781" w:history="1">
        <w:r w:rsidRPr="00AC173C">
          <w:rPr>
            <w:rStyle w:val="Hyperlink"/>
          </w:rPr>
          <w:t>4.1.2.1.5</w:t>
        </w:r>
        <w:r>
          <w:rPr>
            <w:rFonts w:asciiTheme="minorHAnsi" w:eastAsiaTheme="minorEastAsia" w:hAnsiTheme="minorHAnsi" w:cstheme="minorBidi"/>
            <w:kern w:val="2"/>
            <w:szCs w:val="24"/>
            <w14:ligatures w14:val="standardContextual"/>
          </w:rPr>
          <w:tab/>
        </w:r>
        <w:r w:rsidRPr="00AC173C">
          <w:rPr>
            <w:rStyle w:val="Hyperlink"/>
          </w:rPr>
          <w:t>Reserve Zone Load</w:t>
        </w:r>
        <w:r>
          <w:rPr>
            <w:webHidden/>
          </w:rPr>
          <w:tab/>
        </w:r>
        <w:r>
          <w:rPr>
            <w:webHidden/>
          </w:rPr>
          <w:fldChar w:fldCharType="begin"/>
        </w:r>
        <w:r>
          <w:rPr>
            <w:webHidden/>
          </w:rPr>
          <w:instrText xml:space="preserve"> PAGEREF _Toc213771781 \h </w:instrText>
        </w:r>
        <w:r>
          <w:rPr>
            <w:webHidden/>
          </w:rPr>
        </w:r>
        <w:r>
          <w:rPr>
            <w:webHidden/>
          </w:rPr>
          <w:fldChar w:fldCharType="separate"/>
        </w:r>
        <w:r>
          <w:rPr>
            <w:webHidden/>
          </w:rPr>
          <w:t>67</w:t>
        </w:r>
        <w:r>
          <w:rPr>
            <w:webHidden/>
          </w:rPr>
          <w:fldChar w:fldCharType="end"/>
        </w:r>
      </w:hyperlink>
    </w:p>
    <w:p w14:paraId="5BF00E7F" w14:textId="6003CBEA" w:rsidR="00023ECF" w:rsidRDefault="00023ECF">
      <w:pPr>
        <w:pStyle w:val="TOC5"/>
        <w:rPr>
          <w:rFonts w:asciiTheme="minorHAnsi" w:eastAsiaTheme="minorEastAsia" w:hAnsiTheme="minorHAnsi" w:cstheme="minorBidi"/>
          <w:kern w:val="2"/>
          <w:szCs w:val="24"/>
          <w14:ligatures w14:val="standardContextual"/>
        </w:rPr>
      </w:pPr>
      <w:hyperlink w:anchor="_Toc213771782" w:history="1">
        <w:r w:rsidRPr="00AC173C">
          <w:rPr>
            <w:rStyle w:val="Hyperlink"/>
          </w:rPr>
          <w:t>4.1.2.1.6</w:t>
        </w:r>
        <w:r>
          <w:rPr>
            <w:rFonts w:asciiTheme="minorHAnsi" w:eastAsiaTheme="minorEastAsia" w:hAnsiTheme="minorHAnsi" w:cstheme="minorBidi"/>
            <w:kern w:val="2"/>
            <w:szCs w:val="24"/>
            <w14:ligatures w14:val="standardContextual"/>
          </w:rPr>
          <w:tab/>
        </w:r>
        <w:r w:rsidRPr="00AC173C">
          <w:rPr>
            <w:rStyle w:val="Hyperlink"/>
          </w:rPr>
          <w:t>Load Distribution</w:t>
        </w:r>
        <w:r>
          <w:rPr>
            <w:webHidden/>
          </w:rPr>
          <w:tab/>
        </w:r>
        <w:r>
          <w:rPr>
            <w:webHidden/>
          </w:rPr>
          <w:fldChar w:fldCharType="begin"/>
        </w:r>
        <w:r>
          <w:rPr>
            <w:webHidden/>
          </w:rPr>
          <w:instrText xml:space="preserve"> PAGEREF _Toc213771782 \h </w:instrText>
        </w:r>
        <w:r>
          <w:rPr>
            <w:webHidden/>
          </w:rPr>
        </w:r>
        <w:r>
          <w:rPr>
            <w:webHidden/>
          </w:rPr>
          <w:fldChar w:fldCharType="separate"/>
        </w:r>
        <w:r>
          <w:rPr>
            <w:webHidden/>
          </w:rPr>
          <w:t>67</w:t>
        </w:r>
        <w:r>
          <w:rPr>
            <w:webHidden/>
          </w:rPr>
          <w:fldChar w:fldCharType="end"/>
        </w:r>
      </w:hyperlink>
    </w:p>
    <w:p w14:paraId="23690145" w14:textId="414C8BEA" w:rsidR="00023ECF" w:rsidRDefault="00023ECF">
      <w:pPr>
        <w:pStyle w:val="TOC4"/>
        <w:rPr>
          <w:rFonts w:asciiTheme="minorHAnsi" w:eastAsiaTheme="minorEastAsia" w:hAnsiTheme="minorHAnsi" w:cstheme="minorBidi"/>
          <w:bCs w:val="0"/>
          <w:kern w:val="2"/>
          <w:szCs w:val="24"/>
          <w14:ligatures w14:val="standardContextual"/>
        </w:rPr>
      </w:pPr>
      <w:hyperlink w:anchor="_Toc213771783" w:history="1">
        <w:r w:rsidRPr="00AC173C">
          <w:rPr>
            <w:rStyle w:val="Hyperlink"/>
          </w:rPr>
          <w:t>4.1.2.2</w:t>
        </w:r>
        <w:r>
          <w:rPr>
            <w:rFonts w:asciiTheme="minorHAnsi" w:eastAsiaTheme="minorEastAsia" w:hAnsiTheme="minorHAnsi" w:cstheme="minorBidi"/>
            <w:bCs w:val="0"/>
            <w:kern w:val="2"/>
            <w:szCs w:val="24"/>
            <w14:ligatures w14:val="standardContextual"/>
          </w:rPr>
          <w:tab/>
        </w:r>
        <w:r w:rsidRPr="00AC173C">
          <w:rPr>
            <w:rStyle w:val="Hyperlink"/>
          </w:rPr>
          <w:t>Wind-Powered Generation Resource Output Forecasts</w:t>
        </w:r>
        <w:r>
          <w:rPr>
            <w:webHidden/>
          </w:rPr>
          <w:tab/>
        </w:r>
        <w:r>
          <w:rPr>
            <w:webHidden/>
          </w:rPr>
          <w:fldChar w:fldCharType="begin"/>
        </w:r>
        <w:r>
          <w:rPr>
            <w:webHidden/>
          </w:rPr>
          <w:instrText xml:space="preserve"> PAGEREF _Toc213771783 \h </w:instrText>
        </w:r>
        <w:r>
          <w:rPr>
            <w:webHidden/>
          </w:rPr>
        </w:r>
        <w:r>
          <w:rPr>
            <w:webHidden/>
          </w:rPr>
          <w:fldChar w:fldCharType="separate"/>
        </w:r>
        <w:r>
          <w:rPr>
            <w:webHidden/>
          </w:rPr>
          <w:t>67</w:t>
        </w:r>
        <w:r>
          <w:rPr>
            <w:webHidden/>
          </w:rPr>
          <w:fldChar w:fldCharType="end"/>
        </w:r>
      </w:hyperlink>
    </w:p>
    <w:p w14:paraId="0E627376" w14:textId="11EA5F76" w:rsidR="00023ECF" w:rsidRDefault="00023ECF">
      <w:pPr>
        <w:pStyle w:val="TOC4"/>
        <w:rPr>
          <w:rFonts w:asciiTheme="minorHAnsi" w:eastAsiaTheme="minorEastAsia" w:hAnsiTheme="minorHAnsi" w:cstheme="minorBidi"/>
          <w:bCs w:val="0"/>
          <w:kern w:val="2"/>
          <w:szCs w:val="24"/>
          <w14:ligatures w14:val="standardContextual"/>
        </w:rPr>
      </w:pPr>
      <w:hyperlink w:anchor="_Toc213771784" w:history="1">
        <w:r w:rsidRPr="00AC173C">
          <w:rPr>
            <w:rStyle w:val="Hyperlink"/>
          </w:rPr>
          <w:t>4.1.2.3</w:t>
        </w:r>
        <w:r>
          <w:rPr>
            <w:rFonts w:asciiTheme="minorHAnsi" w:eastAsiaTheme="minorEastAsia" w:hAnsiTheme="minorHAnsi" w:cstheme="minorBidi"/>
            <w:bCs w:val="0"/>
            <w:kern w:val="2"/>
            <w:szCs w:val="24"/>
            <w14:ligatures w14:val="standardContextual"/>
          </w:rPr>
          <w:tab/>
        </w:r>
        <w:r w:rsidRPr="00AC173C">
          <w:rPr>
            <w:rStyle w:val="Hyperlink"/>
          </w:rPr>
          <w:t>Wind-Powered Generation Resource Data Requirements</w:t>
        </w:r>
        <w:r>
          <w:rPr>
            <w:webHidden/>
          </w:rPr>
          <w:tab/>
        </w:r>
        <w:r>
          <w:rPr>
            <w:webHidden/>
          </w:rPr>
          <w:fldChar w:fldCharType="begin"/>
        </w:r>
        <w:r>
          <w:rPr>
            <w:webHidden/>
          </w:rPr>
          <w:instrText xml:space="preserve"> PAGEREF _Toc213771784 \h </w:instrText>
        </w:r>
        <w:r>
          <w:rPr>
            <w:webHidden/>
          </w:rPr>
        </w:r>
        <w:r>
          <w:rPr>
            <w:webHidden/>
          </w:rPr>
          <w:fldChar w:fldCharType="separate"/>
        </w:r>
        <w:r>
          <w:rPr>
            <w:webHidden/>
          </w:rPr>
          <w:t>68</w:t>
        </w:r>
        <w:r>
          <w:rPr>
            <w:webHidden/>
          </w:rPr>
          <w:fldChar w:fldCharType="end"/>
        </w:r>
      </w:hyperlink>
    </w:p>
    <w:p w14:paraId="71F41C9A" w14:textId="70FCBC77" w:rsidR="00023ECF" w:rsidRDefault="00023ECF">
      <w:pPr>
        <w:pStyle w:val="TOC4"/>
        <w:rPr>
          <w:rFonts w:asciiTheme="minorHAnsi" w:eastAsiaTheme="minorEastAsia" w:hAnsiTheme="minorHAnsi" w:cstheme="minorBidi"/>
          <w:bCs w:val="0"/>
          <w:kern w:val="2"/>
          <w:szCs w:val="24"/>
          <w14:ligatures w14:val="standardContextual"/>
        </w:rPr>
      </w:pPr>
      <w:hyperlink w:anchor="_Toc213771785" w:history="1">
        <w:r w:rsidRPr="00AC173C">
          <w:rPr>
            <w:rStyle w:val="Hyperlink"/>
          </w:rPr>
          <w:t>4.1.2.4</w:t>
        </w:r>
        <w:r>
          <w:rPr>
            <w:rFonts w:asciiTheme="minorHAnsi" w:eastAsiaTheme="minorEastAsia" w:hAnsiTheme="minorHAnsi" w:cstheme="minorBidi"/>
            <w:bCs w:val="0"/>
            <w:kern w:val="2"/>
            <w:szCs w:val="24"/>
            <w14:ligatures w14:val="standardContextual"/>
          </w:rPr>
          <w:tab/>
        </w:r>
        <w:r w:rsidRPr="00AC173C">
          <w:rPr>
            <w:rStyle w:val="Hyperlink"/>
          </w:rPr>
          <w:t>Solar-Powered Generation Resource Output Forecasts</w:t>
        </w:r>
        <w:r>
          <w:rPr>
            <w:webHidden/>
          </w:rPr>
          <w:tab/>
        </w:r>
        <w:r>
          <w:rPr>
            <w:webHidden/>
          </w:rPr>
          <w:fldChar w:fldCharType="begin"/>
        </w:r>
        <w:r>
          <w:rPr>
            <w:webHidden/>
          </w:rPr>
          <w:instrText xml:space="preserve"> PAGEREF _Toc213771785 \h </w:instrText>
        </w:r>
        <w:r>
          <w:rPr>
            <w:webHidden/>
          </w:rPr>
        </w:r>
        <w:r>
          <w:rPr>
            <w:webHidden/>
          </w:rPr>
          <w:fldChar w:fldCharType="separate"/>
        </w:r>
        <w:r>
          <w:rPr>
            <w:webHidden/>
          </w:rPr>
          <w:t>71</w:t>
        </w:r>
        <w:r>
          <w:rPr>
            <w:webHidden/>
          </w:rPr>
          <w:fldChar w:fldCharType="end"/>
        </w:r>
      </w:hyperlink>
    </w:p>
    <w:p w14:paraId="3CFA3CA0" w14:textId="1B0AA6FC" w:rsidR="00023ECF" w:rsidRDefault="00023ECF">
      <w:pPr>
        <w:pStyle w:val="TOC4"/>
        <w:rPr>
          <w:rFonts w:asciiTheme="minorHAnsi" w:eastAsiaTheme="minorEastAsia" w:hAnsiTheme="minorHAnsi" w:cstheme="minorBidi"/>
          <w:bCs w:val="0"/>
          <w:kern w:val="2"/>
          <w:szCs w:val="24"/>
          <w14:ligatures w14:val="standardContextual"/>
        </w:rPr>
      </w:pPr>
      <w:hyperlink w:anchor="_Toc213771786" w:history="1">
        <w:r w:rsidRPr="00AC173C">
          <w:rPr>
            <w:rStyle w:val="Hyperlink"/>
          </w:rPr>
          <w:t>4.1.2.5</w:t>
        </w:r>
        <w:r>
          <w:rPr>
            <w:rFonts w:asciiTheme="minorHAnsi" w:eastAsiaTheme="minorEastAsia" w:hAnsiTheme="minorHAnsi" w:cstheme="minorBidi"/>
            <w:bCs w:val="0"/>
            <w:kern w:val="2"/>
            <w:szCs w:val="24"/>
            <w14:ligatures w14:val="standardContextual"/>
          </w:rPr>
          <w:tab/>
        </w:r>
        <w:r w:rsidRPr="00AC173C">
          <w:rPr>
            <w:rStyle w:val="Hyperlink"/>
          </w:rPr>
          <w:t>Solar-Powered Generation Resource Data Requirements</w:t>
        </w:r>
        <w:r>
          <w:rPr>
            <w:webHidden/>
          </w:rPr>
          <w:tab/>
        </w:r>
        <w:r>
          <w:rPr>
            <w:webHidden/>
          </w:rPr>
          <w:fldChar w:fldCharType="begin"/>
        </w:r>
        <w:r>
          <w:rPr>
            <w:webHidden/>
          </w:rPr>
          <w:instrText xml:space="preserve"> PAGEREF _Toc213771786 \h </w:instrText>
        </w:r>
        <w:r>
          <w:rPr>
            <w:webHidden/>
          </w:rPr>
        </w:r>
        <w:r>
          <w:rPr>
            <w:webHidden/>
          </w:rPr>
          <w:fldChar w:fldCharType="separate"/>
        </w:r>
        <w:r>
          <w:rPr>
            <w:webHidden/>
          </w:rPr>
          <w:t>72</w:t>
        </w:r>
        <w:r>
          <w:rPr>
            <w:webHidden/>
          </w:rPr>
          <w:fldChar w:fldCharType="end"/>
        </w:r>
      </w:hyperlink>
    </w:p>
    <w:p w14:paraId="66F4A98E" w14:textId="70837479" w:rsidR="00023ECF" w:rsidRDefault="00023ECF">
      <w:pPr>
        <w:pStyle w:val="TOC3"/>
        <w:rPr>
          <w:rFonts w:asciiTheme="minorHAnsi" w:eastAsiaTheme="minorEastAsia" w:hAnsiTheme="minorHAnsi" w:cstheme="minorBidi"/>
          <w:bCs w:val="0"/>
          <w:kern w:val="2"/>
          <w:szCs w:val="24"/>
          <w14:ligatures w14:val="standardContextual"/>
        </w:rPr>
      </w:pPr>
      <w:hyperlink w:anchor="_Toc213771787" w:history="1">
        <w:r w:rsidRPr="00AC173C">
          <w:rPr>
            <w:rStyle w:val="Hyperlink"/>
          </w:rPr>
          <w:t>4.1.3</w:t>
        </w:r>
        <w:r>
          <w:rPr>
            <w:rFonts w:asciiTheme="minorHAnsi" w:eastAsiaTheme="minorEastAsia" w:hAnsiTheme="minorHAnsi" w:cstheme="minorBidi"/>
            <w:bCs w:val="0"/>
            <w:kern w:val="2"/>
            <w:szCs w:val="24"/>
            <w14:ligatures w14:val="standardContextual"/>
          </w:rPr>
          <w:tab/>
        </w:r>
        <w:r w:rsidRPr="00AC173C">
          <w:rPr>
            <w:rStyle w:val="Hyperlink"/>
          </w:rPr>
          <w:t>Flexibility Reserve Product and Instantaneous Load Capacity Requirements</w:t>
        </w:r>
        <w:r>
          <w:rPr>
            <w:webHidden/>
          </w:rPr>
          <w:tab/>
        </w:r>
        <w:r>
          <w:rPr>
            <w:webHidden/>
          </w:rPr>
          <w:fldChar w:fldCharType="begin"/>
        </w:r>
        <w:r>
          <w:rPr>
            <w:webHidden/>
          </w:rPr>
          <w:instrText xml:space="preserve"> PAGEREF _Toc213771787 \h </w:instrText>
        </w:r>
        <w:r>
          <w:rPr>
            <w:webHidden/>
          </w:rPr>
        </w:r>
        <w:r>
          <w:rPr>
            <w:webHidden/>
          </w:rPr>
          <w:fldChar w:fldCharType="separate"/>
        </w:r>
        <w:r>
          <w:rPr>
            <w:webHidden/>
          </w:rPr>
          <w:t>75</w:t>
        </w:r>
        <w:r>
          <w:rPr>
            <w:webHidden/>
          </w:rPr>
          <w:fldChar w:fldCharType="end"/>
        </w:r>
      </w:hyperlink>
    </w:p>
    <w:p w14:paraId="531987D9" w14:textId="014EBDEB" w:rsidR="00023ECF" w:rsidRDefault="00023ECF">
      <w:pPr>
        <w:pStyle w:val="TOC4"/>
        <w:rPr>
          <w:rFonts w:asciiTheme="minorHAnsi" w:eastAsiaTheme="minorEastAsia" w:hAnsiTheme="minorHAnsi" w:cstheme="minorBidi"/>
          <w:bCs w:val="0"/>
          <w:kern w:val="2"/>
          <w:szCs w:val="24"/>
          <w14:ligatures w14:val="standardContextual"/>
        </w:rPr>
      </w:pPr>
      <w:hyperlink w:anchor="_Toc213771788" w:history="1">
        <w:r w:rsidRPr="00AC173C">
          <w:rPr>
            <w:rStyle w:val="Hyperlink"/>
          </w:rPr>
          <w:t>4.1.3.1</w:t>
        </w:r>
        <w:r>
          <w:rPr>
            <w:rFonts w:asciiTheme="minorHAnsi" w:eastAsiaTheme="minorEastAsia" w:hAnsiTheme="minorHAnsi" w:cstheme="minorBidi"/>
            <w:bCs w:val="0"/>
            <w:kern w:val="2"/>
            <w:szCs w:val="24"/>
            <w14:ligatures w14:val="standardContextual"/>
          </w:rPr>
          <w:tab/>
        </w:r>
        <w:r w:rsidRPr="00AC173C">
          <w:rPr>
            <w:rStyle w:val="Hyperlink"/>
          </w:rPr>
          <w:t>Reserve Zone Requirements</w:t>
        </w:r>
        <w:r>
          <w:rPr>
            <w:webHidden/>
          </w:rPr>
          <w:tab/>
        </w:r>
        <w:r>
          <w:rPr>
            <w:webHidden/>
          </w:rPr>
          <w:fldChar w:fldCharType="begin"/>
        </w:r>
        <w:r>
          <w:rPr>
            <w:webHidden/>
          </w:rPr>
          <w:instrText xml:space="preserve"> PAGEREF _Toc213771788 \h </w:instrText>
        </w:r>
        <w:r>
          <w:rPr>
            <w:webHidden/>
          </w:rPr>
        </w:r>
        <w:r>
          <w:rPr>
            <w:webHidden/>
          </w:rPr>
          <w:fldChar w:fldCharType="separate"/>
        </w:r>
        <w:r>
          <w:rPr>
            <w:webHidden/>
          </w:rPr>
          <w:t>77</w:t>
        </w:r>
        <w:r>
          <w:rPr>
            <w:webHidden/>
          </w:rPr>
          <w:fldChar w:fldCharType="end"/>
        </w:r>
      </w:hyperlink>
    </w:p>
    <w:p w14:paraId="157D72D1" w14:textId="45FCE2DD" w:rsidR="00023ECF" w:rsidRDefault="00023ECF">
      <w:pPr>
        <w:pStyle w:val="TOC5"/>
        <w:rPr>
          <w:rFonts w:asciiTheme="minorHAnsi" w:eastAsiaTheme="minorEastAsia" w:hAnsiTheme="minorHAnsi" w:cstheme="minorBidi"/>
          <w:kern w:val="2"/>
          <w:szCs w:val="24"/>
          <w14:ligatures w14:val="standardContextual"/>
        </w:rPr>
      </w:pPr>
      <w:hyperlink w:anchor="_Toc213771789" w:history="1">
        <w:r w:rsidRPr="00AC173C">
          <w:rPr>
            <w:rStyle w:val="Hyperlink"/>
          </w:rPr>
          <w:t>4.1.3.1.1</w:t>
        </w:r>
        <w:r>
          <w:rPr>
            <w:rFonts w:asciiTheme="minorHAnsi" w:eastAsiaTheme="minorEastAsia" w:hAnsiTheme="minorHAnsi" w:cstheme="minorBidi"/>
            <w:kern w:val="2"/>
            <w:szCs w:val="24"/>
            <w14:ligatures w14:val="standardContextual"/>
          </w:rPr>
          <w:tab/>
        </w:r>
        <w:r w:rsidRPr="00AC173C">
          <w:rPr>
            <w:rStyle w:val="Hyperlink"/>
          </w:rPr>
          <w:t>Minimum Reserve Zone Flexibility Reserve Products Requirements</w:t>
        </w:r>
        <w:r>
          <w:rPr>
            <w:webHidden/>
          </w:rPr>
          <w:tab/>
        </w:r>
        <w:r>
          <w:rPr>
            <w:webHidden/>
          </w:rPr>
          <w:fldChar w:fldCharType="begin"/>
        </w:r>
        <w:r>
          <w:rPr>
            <w:webHidden/>
          </w:rPr>
          <w:instrText xml:space="preserve"> PAGEREF _Toc213771789 \h </w:instrText>
        </w:r>
        <w:r>
          <w:rPr>
            <w:webHidden/>
          </w:rPr>
        </w:r>
        <w:r>
          <w:rPr>
            <w:webHidden/>
          </w:rPr>
          <w:fldChar w:fldCharType="separate"/>
        </w:r>
        <w:r>
          <w:rPr>
            <w:webHidden/>
          </w:rPr>
          <w:t>77</w:t>
        </w:r>
        <w:r>
          <w:rPr>
            <w:webHidden/>
          </w:rPr>
          <w:fldChar w:fldCharType="end"/>
        </w:r>
      </w:hyperlink>
    </w:p>
    <w:p w14:paraId="08AA6D62" w14:textId="12E4FCD3" w:rsidR="00023ECF" w:rsidRDefault="00023ECF">
      <w:pPr>
        <w:pStyle w:val="TOC5"/>
        <w:rPr>
          <w:rFonts w:asciiTheme="minorHAnsi" w:eastAsiaTheme="minorEastAsia" w:hAnsiTheme="minorHAnsi" w:cstheme="minorBidi"/>
          <w:kern w:val="2"/>
          <w:szCs w:val="24"/>
          <w14:ligatures w14:val="standardContextual"/>
        </w:rPr>
      </w:pPr>
      <w:hyperlink w:anchor="_Toc213771790" w:history="1">
        <w:r w:rsidRPr="00AC173C">
          <w:rPr>
            <w:rStyle w:val="Hyperlink"/>
          </w:rPr>
          <w:t>4.1.3.1.2</w:t>
        </w:r>
        <w:r>
          <w:rPr>
            <w:rFonts w:asciiTheme="minorHAnsi" w:eastAsiaTheme="minorEastAsia" w:hAnsiTheme="minorHAnsi" w:cstheme="minorBidi"/>
            <w:kern w:val="2"/>
            <w:szCs w:val="24"/>
            <w14:ligatures w14:val="standardContextual"/>
          </w:rPr>
          <w:tab/>
        </w:r>
        <w:r w:rsidRPr="00AC173C">
          <w:rPr>
            <w:rStyle w:val="Hyperlink"/>
          </w:rPr>
          <w:t>Maximum Reserve Zone Flexibility Reserve Products Limitations</w:t>
        </w:r>
        <w:r>
          <w:rPr>
            <w:webHidden/>
          </w:rPr>
          <w:tab/>
        </w:r>
        <w:r>
          <w:rPr>
            <w:webHidden/>
          </w:rPr>
          <w:fldChar w:fldCharType="begin"/>
        </w:r>
        <w:r>
          <w:rPr>
            <w:webHidden/>
          </w:rPr>
          <w:instrText xml:space="preserve"> PAGEREF _Toc213771790 \h </w:instrText>
        </w:r>
        <w:r>
          <w:rPr>
            <w:webHidden/>
          </w:rPr>
        </w:r>
        <w:r>
          <w:rPr>
            <w:webHidden/>
          </w:rPr>
          <w:fldChar w:fldCharType="separate"/>
        </w:r>
        <w:r>
          <w:rPr>
            <w:webHidden/>
          </w:rPr>
          <w:t>77</w:t>
        </w:r>
        <w:r>
          <w:rPr>
            <w:webHidden/>
          </w:rPr>
          <w:fldChar w:fldCharType="end"/>
        </w:r>
      </w:hyperlink>
    </w:p>
    <w:p w14:paraId="0D32F796" w14:textId="77D3F6A5" w:rsidR="00023ECF" w:rsidRDefault="00023ECF">
      <w:pPr>
        <w:pStyle w:val="TOC5"/>
        <w:rPr>
          <w:rFonts w:asciiTheme="minorHAnsi" w:eastAsiaTheme="minorEastAsia" w:hAnsiTheme="minorHAnsi" w:cstheme="minorBidi"/>
          <w:kern w:val="2"/>
          <w:szCs w:val="24"/>
          <w14:ligatures w14:val="standardContextual"/>
        </w:rPr>
      </w:pPr>
      <w:hyperlink w:anchor="_Toc213771791" w:history="1">
        <w:r w:rsidRPr="00AC173C">
          <w:rPr>
            <w:rStyle w:val="Hyperlink"/>
          </w:rPr>
          <w:t>4.1.3.1.3</w:t>
        </w:r>
        <w:r>
          <w:rPr>
            <w:rFonts w:asciiTheme="minorHAnsi" w:eastAsiaTheme="minorEastAsia" w:hAnsiTheme="minorHAnsi" w:cstheme="minorBidi"/>
            <w:kern w:val="2"/>
            <w:szCs w:val="24"/>
            <w14:ligatures w14:val="standardContextual"/>
          </w:rPr>
          <w:tab/>
        </w:r>
        <w:r w:rsidRPr="00AC173C">
          <w:rPr>
            <w:rStyle w:val="Hyperlink"/>
          </w:rPr>
          <w:t>Instantaneous Load Capacity Requirements</w:t>
        </w:r>
        <w:r>
          <w:rPr>
            <w:webHidden/>
          </w:rPr>
          <w:tab/>
        </w:r>
        <w:r>
          <w:rPr>
            <w:webHidden/>
          </w:rPr>
          <w:fldChar w:fldCharType="begin"/>
        </w:r>
        <w:r>
          <w:rPr>
            <w:webHidden/>
          </w:rPr>
          <w:instrText xml:space="preserve"> PAGEREF _Toc213771791 \h </w:instrText>
        </w:r>
        <w:r>
          <w:rPr>
            <w:webHidden/>
          </w:rPr>
        </w:r>
        <w:r>
          <w:rPr>
            <w:webHidden/>
          </w:rPr>
          <w:fldChar w:fldCharType="separate"/>
        </w:r>
        <w:r>
          <w:rPr>
            <w:webHidden/>
          </w:rPr>
          <w:t>78</w:t>
        </w:r>
        <w:r>
          <w:rPr>
            <w:webHidden/>
          </w:rPr>
          <w:fldChar w:fldCharType="end"/>
        </w:r>
      </w:hyperlink>
    </w:p>
    <w:p w14:paraId="7750E4B2" w14:textId="2E924800" w:rsidR="00023ECF" w:rsidRDefault="00023ECF">
      <w:pPr>
        <w:pStyle w:val="TOC5"/>
        <w:rPr>
          <w:rFonts w:asciiTheme="minorHAnsi" w:eastAsiaTheme="minorEastAsia" w:hAnsiTheme="minorHAnsi" w:cstheme="minorBidi"/>
          <w:kern w:val="2"/>
          <w:szCs w:val="24"/>
          <w14:ligatures w14:val="standardContextual"/>
        </w:rPr>
      </w:pPr>
      <w:hyperlink w:anchor="_Toc213771792" w:history="1">
        <w:r w:rsidRPr="00AC173C">
          <w:rPr>
            <w:rStyle w:val="Hyperlink"/>
          </w:rPr>
          <w:t>4.1.3.1.4</w:t>
        </w:r>
        <w:r>
          <w:rPr>
            <w:rFonts w:asciiTheme="minorHAnsi" w:eastAsiaTheme="minorEastAsia" w:hAnsiTheme="minorHAnsi" w:cstheme="minorBidi"/>
            <w:kern w:val="2"/>
            <w:szCs w:val="24"/>
            <w14:ligatures w14:val="standardContextual"/>
          </w:rPr>
          <w:tab/>
        </w:r>
        <w:r w:rsidRPr="00AC173C">
          <w:rPr>
            <w:rStyle w:val="Hyperlink"/>
          </w:rPr>
          <w:t>Short-Term Flexibility Product Requirements</w:t>
        </w:r>
        <w:r>
          <w:rPr>
            <w:webHidden/>
          </w:rPr>
          <w:tab/>
        </w:r>
        <w:r>
          <w:rPr>
            <w:webHidden/>
          </w:rPr>
          <w:fldChar w:fldCharType="begin"/>
        </w:r>
        <w:r>
          <w:rPr>
            <w:webHidden/>
          </w:rPr>
          <w:instrText xml:space="preserve"> PAGEREF _Toc213771792 \h </w:instrText>
        </w:r>
        <w:r>
          <w:rPr>
            <w:webHidden/>
          </w:rPr>
        </w:r>
        <w:r>
          <w:rPr>
            <w:webHidden/>
          </w:rPr>
          <w:fldChar w:fldCharType="separate"/>
        </w:r>
        <w:r>
          <w:rPr>
            <w:webHidden/>
          </w:rPr>
          <w:t>80</w:t>
        </w:r>
        <w:r>
          <w:rPr>
            <w:webHidden/>
          </w:rPr>
          <w:fldChar w:fldCharType="end"/>
        </w:r>
      </w:hyperlink>
    </w:p>
    <w:p w14:paraId="75626B22" w14:textId="1A89FAE6" w:rsidR="00023ECF" w:rsidRDefault="00023ECF">
      <w:pPr>
        <w:pStyle w:val="TOC5"/>
        <w:rPr>
          <w:rFonts w:asciiTheme="minorHAnsi" w:eastAsiaTheme="minorEastAsia" w:hAnsiTheme="minorHAnsi" w:cstheme="minorBidi"/>
          <w:kern w:val="2"/>
          <w:szCs w:val="24"/>
          <w14:ligatures w14:val="standardContextual"/>
        </w:rPr>
      </w:pPr>
      <w:hyperlink w:anchor="_Toc213771793" w:history="1">
        <w:r w:rsidRPr="00AC173C">
          <w:rPr>
            <w:rStyle w:val="Hyperlink"/>
          </w:rPr>
          <w:t>4.1.3.1.5</w:t>
        </w:r>
        <w:r>
          <w:rPr>
            <w:rFonts w:asciiTheme="minorHAnsi" w:eastAsiaTheme="minorEastAsia" w:hAnsiTheme="minorHAnsi" w:cstheme="minorBidi"/>
            <w:kern w:val="2"/>
            <w:szCs w:val="24"/>
            <w14:ligatures w14:val="standardContextual"/>
          </w:rPr>
          <w:tab/>
        </w:r>
        <w:r w:rsidRPr="00AC173C">
          <w:rPr>
            <w:rStyle w:val="Hyperlink"/>
          </w:rPr>
          <w:t>Mid-Term Flex Up Requirement</w:t>
        </w:r>
        <w:r>
          <w:rPr>
            <w:webHidden/>
          </w:rPr>
          <w:tab/>
        </w:r>
        <w:r>
          <w:rPr>
            <w:webHidden/>
          </w:rPr>
          <w:fldChar w:fldCharType="begin"/>
        </w:r>
        <w:r>
          <w:rPr>
            <w:webHidden/>
          </w:rPr>
          <w:instrText xml:space="preserve"> PAGEREF _Toc213771793 \h </w:instrText>
        </w:r>
        <w:r>
          <w:rPr>
            <w:webHidden/>
          </w:rPr>
        </w:r>
        <w:r>
          <w:rPr>
            <w:webHidden/>
          </w:rPr>
          <w:fldChar w:fldCharType="separate"/>
        </w:r>
        <w:r>
          <w:rPr>
            <w:webHidden/>
          </w:rPr>
          <w:t>81</w:t>
        </w:r>
        <w:r>
          <w:rPr>
            <w:webHidden/>
          </w:rPr>
          <w:fldChar w:fldCharType="end"/>
        </w:r>
      </w:hyperlink>
    </w:p>
    <w:p w14:paraId="5BB4FBE6" w14:textId="3714FB16" w:rsidR="00023ECF" w:rsidRDefault="00023ECF">
      <w:pPr>
        <w:pStyle w:val="TOC3"/>
        <w:rPr>
          <w:rFonts w:asciiTheme="minorHAnsi" w:eastAsiaTheme="minorEastAsia" w:hAnsiTheme="minorHAnsi" w:cstheme="minorBidi"/>
          <w:bCs w:val="0"/>
          <w:kern w:val="2"/>
          <w:szCs w:val="24"/>
          <w14:ligatures w14:val="standardContextual"/>
        </w:rPr>
      </w:pPr>
      <w:hyperlink w:anchor="_Toc213771794" w:history="1">
        <w:r w:rsidRPr="00AC173C">
          <w:rPr>
            <w:rStyle w:val="Hyperlink"/>
          </w:rPr>
          <w:t>4.1.4</w:t>
        </w:r>
        <w:r>
          <w:rPr>
            <w:rFonts w:asciiTheme="minorHAnsi" w:eastAsiaTheme="minorEastAsia" w:hAnsiTheme="minorHAnsi" w:cstheme="minorBidi"/>
            <w:bCs w:val="0"/>
            <w:kern w:val="2"/>
            <w:szCs w:val="24"/>
            <w14:ligatures w14:val="standardContextual"/>
          </w:rPr>
          <w:tab/>
        </w:r>
        <w:r w:rsidRPr="00AC173C">
          <w:rPr>
            <w:rStyle w:val="Hyperlink"/>
          </w:rPr>
          <w:t>Violation Relaxation Limits</w:t>
        </w:r>
        <w:r>
          <w:rPr>
            <w:webHidden/>
          </w:rPr>
          <w:tab/>
        </w:r>
        <w:r>
          <w:rPr>
            <w:webHidden/>
          </w:rPr>
          <w:fldChar w:fldCharType="begin"/>
        </w:r>
        <w:r>
          <w:rPr>
            <w:webHidden/>
          </w:rPr>
          <w:instrText xml:space="preserve"> PAGEREF _Toc213771794 \h </w:instrText>
        </w:r>
        <w:r>
          <w:rPr>
            <w:webHidden/>
          </w:rPr>
        </w:r>
        <w:r>
          <w:rPr>
            <w:webHidden/>
          </w:rPr>
          <w:fldChar w:fldCharType="separate"/>
        </w:r>
        <w:r>
          <w:rPr>
            <w:webHidden/>
          </w:rPr>
          <w:t>81</w:t>
        </w:r>
        <w:r>
          <w:rPr>
            <w:webHidden/>
          </w:rPr>
          <w:fldChar w:fldCharType="end"/>
        </w:r>
      </w:hyperlink>
    </w:p>
    <w:p w14:paraId="49308CD5" w14:textId="552B39C0" w:rsidR="00023ECF" w:rsidRDefault="00023ECF">
      <w:pPr>
        <w:pStyle w:val="TOC4"/>
        <w:rPr>
          <w:rFonts w:asciiTheme="minorHAnsi" w:eastAsiaTheme="minorEastAsia" w:hAnsiTheme="minorHAnsi" w:cstheme="minorBidi"/>
          <w:bCs w:val="0"/>
          <w:kern w:val="2"/>
          <w:szCs w:val="24"/>
          <w14:ligatures w14:val="standardContextual"/>
        </w:rPr>
      </w:pPr>
      <w:hyperlink w:anchor="_Toc213771795" w:history="1">
        <w:r w:rsidRPr="00AC173C">
          <w:rPr>
            <w:rStyle w:val="Hyperlink"/>
          </w:rPr>
          <w:t>4.1.4.1</w:t>
        </w:r>
        <w:r>
          <w:rPr>
            <w:rFonts w:asciiTheme="minorHAnsi" w:eastAsiaTheme="minorEastAsia" w:hAnsiTheme="minorHAnsi" w:cstheme="minorBidi"/>
            <w:bCs w:val="0"/>
            <w:kern w:val="2"/>
            <w:szCs w:val="24"/>
            <w14:ligatures w14:val="standardContextual"/>
          </w:rPr>
          <w:tab/>
        </w:r>
        <w:r w:rsidRPr="00AC173C">
          <w:rPr>
            <w:rStyle w:val="Hyperlink"/>
          </w:rPr>
          <w:t>Impact of VRLs on SCED</w:t>
        </w:r>
        <w:r>
          <w:rPr>
            <w:webHidden/>
          </w:rPr>
          <w:tab/>
        </w:r>
        <w:r>
          <w:rPr>
            <w:webHidden/>
          </w:rPr>
          <w:fldChar w:fldCharType="begin"/>
        </w:r>
        <w:r>
          <w:rPr>
            <w:webHidden/>
          </w:rPr>
          <w:instrText xml:space="preserve"> PAGEREF _Toc213771795 \h </w:instrText>
        </w:r>
        <w:r>
          <w:rPr>
            <w:webHidden/>
          </w:rPr>
        </w:r>
        <w:r>
          <w:rPr>
            <w:webHidden/>
          </w:rPr>
          <w:fldChar w:fldCharType="separate"/>
        </w:r>
        <w:r>
          <w:rPr>
            <w:webHidden/>
          </w:rPr>
          <w:t>85</w:t>
        </w:r>
        <w:r>
          <w:rPr>
            <w:webHidden/>
          </w:rPr>
          <w:fldChar w:fldCharType="end"/>
        </w:r>
      </w:hyperlink>
    </w:p>
    <w:p w14:paraId="66979EE5" w14:textId="78C97507" w:rsidR="00023ECF" w:rsidRDefault="00023ECF">
      <w:pPr>
        <w:pStyle w:val="TOC4"/>
        <w:rPr>
          <w:rFonts w:asciiTheme="minorHAnsi" w:eastAsiaTheme="minorEastAsia" w:hAnsiTheme="minorHAnsi" w:cstheme="minorBidi"/>
          <w:bCs w:val="0"/>
          <w:kern w:val="2"/>
          <w:szCs w:val="24"/>
          <w14:ligatures w14:val="standardContextual"/>
        </w:rPr>
      </w:pPr>
      <w:hyperlink w:anchor="_Toc213771796" w:history="1">
        <w:r w:rsidRPr="00AC173C">
          <w:rPr>
            <w:rStyle w:val="Hyperlink"/>
          </w:rPr>
          <w:t>4.1.4.2</w:t>
        </w:r>
        <w:r>
          <w:rPr>
            <w:rFonts w:asciiTheme="minorHAnsi" w:eastAsiaTheme="minorEastAsia" w:hAnsiTheme="minorHAnsi" w:cstheme="minorBidi"/>
            <w:bCs w:val="0"/>
            <w:kern w:val="2"/>
            <w:szCs w:val="24"/>
            <w14:ligatures w14:val="standardContextual"/>
          </w:rPr>
          <w:tab/>
        </w:r>
        <w:r w:rsidRPr="00AC173C">
          <w:rPr>
            <w:rStyle w:val="Hyperlink"/>
          </w:rPr>
          <w:t>Determination of VRLs</w:t>
        </w:r>
        <w:r>
          <w:rPr>
            <w:webHidden/>
          </w:rPr>
          <w:tab/>
        </w:r>
        <w:r>
          <w:rPr>
            <w:webHidden/>
          </w:rPr>
          <w:fldChar w:fldCharType="begin"/>
        </w:r>
        <w:r>
          <w:rPr>
            <w:webHidden/>
          </w:rPr>
          <w:instrText xml:space="preserve"> PAGEREF _Toc213771796 \h </w:instrText>
        </w:r>
        <w:r>
          <w:rPr>
            <w:webHidden/>
          </w:rPr>
        </w:r>
        <w:r>
          <w:rPr>
            <w:webHidden/>
          </w:rPr>
          <w:fldChar w:fldCharType="separate"/>
        </w:r>
        <w:r>
          <w:rPr>
            <w:webHidden/>
          </w:rPr>
          <w:t>86</w:t>
        </w:r>
        <w:r>
          <w:rPr>
            <w:webHidden/>
          </w:rPr>
          <w:fldChar w:fldCharType="end"/>
        </w:r>
      </w:hyperlink>
    </w:p>
    <w:p w14:paraId="61B79706" w14:textId="6290DF02" w:rsidR="00023ECF" w:rsidRDefault="00023ECF">
      <w:pPr>
        <w:pStyle w:val="TOC4"/>
        <w:rPr>
          <w:rFonts w:asciiTheme="minorHAnsi" w:eastAsiaTheme="minorEastAsia" w:hAnsiTheme="minorHAnsi" w:cstheme="minorBidi"/>
          <w:bCs w:val="0"/>
          <w:kern w:val="2"/>
          <w:szCs w:val="24"/>
          <w14:ligatures w14:val="standardContextual"/>
        </w:rPr>
      </w:pPr>
      <w:hyperlink w:anchor="_Toc213771797" w:history="1">
        <w:r w:rsidRPr="00AC173C">
          <w:rPr>
            <w:rStyle w:val="Hyperlink"/>
          </w:rPr>
          <w:t>4.1.4.3</w:t>
        </w:r>
        <w:r>
          <w:rPr>
            <w:rFonts w:asciiTheme="minorHAnsi" w:eastAsiaTheme="minorEastAsia" w:hAnsiTheme="minorHAnsi" w:cstheme="minorBidi"/>
            <w:bCs w:val="0"/>
            <w:kern w:val="2"/>
            <w:szCs w:val="24"/>
            <w14:ligatures w14:val="standardContextual"/>
          </w:rPr>
          <w:tab/>
        </w:r>
        <w:r w:rsidRPr="00AC173C">
          <w:rPr>
            <w:rStyle w:val="Hyperlink"/>
          </w:rPr>
          <w:t>Annual VRL Reporting</w:t>
        </w:r>
        <w:r>
          <w:rPr>
            <w:webHidden/>
          </w:rPr>
          <w:tab/>
        </w:r>
        <w:r>
          <w:rPr>
            <w:webHidden/>
          </w:rPr>
          <w:fldChar w:fldCharType="begin"/>
        </w:r>
        <w:r>
          <w:rPr>
            <w:webHidden/>
          </w:rPr>
          <w:instrText xml:space="preserve"> PAGEREF _Toc213771797 \h </w:instrText>
        </w:r>
        <w:r>
          <w:rPr>
            <w:webHidden/>
          </w:rPr>
        </w:r>
        <w:r>
          <w:rPr>
            <w:webHidden/>
          </w:rPr>
          <w:fldChar w:fldCharType="separate"/>
        </w:r>
        <w:r>
          <w:rPr>
            <w:webHidden/>
          </w:rPr>
          <w:t>86</w:t>
        </w:r>
        <w:r>
          <w:rPr>
            <w:webHidden/>
          </w:rPr>
          <w:fldChar w:fldCharType="end"/>
        </w:r>
      </w:hyperlink>
    </w:p>
    <w:p w14:paraId="5B29A73B" w14:textId="214A93A9" w:rsidR="00023ECF" w:rsidRDefault="00023ECF">
      <w:pPr>
        <w:pStyle w:val="TOC4"/>
        <w:rPr>
          <w:rFonts w:asciiTheme="minorHAnsi" w:eastAsiaTheme="minorEastAsia" w:hAnsiTheme="minorHAnsi" w:cstheme="minorBidi"/>
          <w:bCs w:val="0"/>
          <w:kern w:val="2"/>
          <w:szCs w:val="24"/>
          <w14:ligatures w14:val="standardContextual"/>
        </w:rPr>
      </w:pPr>
      <w:hyperlink w:anchor="_Toc213771798" w:history="1">
        <w:r w:rsidRPr="00AC173C">
          <w:rPr>
            <w:rStyle w:val="Hyperlink"/>
          </w:rPr>
          <w:t>4.1.4.4</w:t>
        </w:r>
        <w:r>
          <w:rPr>
            <w:rFonts w:asciiTheme="minorHAnsi" w:eastAsiaTheme="minorEastAsia" w:hAnsiTheme="minorHAnsi" w:cstheme="minorBidi"/>
            <w:bCs w:val="0"/>
            <w:kern w:val="2"/>
            <w:szCs w:val="24"/>
            <w14:ligatures w14:val="standardContextual"/>
          </w:rPr>
          <w:tab/>
        </w:r>
        <w:r w:rsidRPr="00AC173C">
          <w:rPr>
            <w:rStyle w:val="Hyperlink"/>
          </w:rPr>
          <w:t>Market Transfer Interface Tagging</w:t>
        </w:r>
        <w:r>
          <w:rPr>
            <w:webHidden/>
          </w:rPr>
          <w:tab/>
        </w:r>
        <w:r>
          <w:rPr>
            <w:webHidden/>
          </w:rPr>
          <w:fldChar w:fldCharType="begin"/>
        </w:r>
        <w:r>
          <w:rPr>
            <w:webHidden/>
          </w:rPr>
          <w:instrText xml:space="preserve"> PAGEREF _Toc213771798 \h </w:instrText>
        </w:r>
        <w:r>
          <w:rPr>
            <w:webHidden/>
          </w:rPr>
        </w:r>
        <w:r>
          <w:rPr>
            <w:webHidden/>
          </w:rPr>
          <w:fldChar w:fldCharType="separate"/>
        </w:r>
        <w:r>
          <w:rPr>
            <w:webHidden/>
          </w:rPr>
          <w:t>87</w:t>
        </w:r>
        <w:r>
          <w:rPr>
            <w:webHidden/>
          </w:rPr>
          <w:fldChar w:fldCharType="end"/>
        </w:r>
      </w:hyperlink>
    </w:p>
    <w:p w14:paraId="68016B68" w14:textId="0046A407" w:rsidR="00023ECF" w:rsidRDefault="00023ECF">
      <w:pPr>
        <w:pStyle w:val="TOC3"/>
        <w:rPr>
          <w:rFonts w:asciiTheme="minorHAnsi" w:eastAsiaTheme="minorEastAsia" w:hAnsiTheme="minorHAnsi" w:cstheme="minorBidi"/>
          <w:bCs w:val="0"/>
          <w:kern w:val="2"/>
          <w:szCs w:val="24"/>
          <w14:ligatures w14:val="standardContextual"/>
        </w:rPr>
      </w:pPr>
      <w:hyperlink w:anchor="_Toc213771799" w:history="1">
        <w:r w:rsidRPr="00AC173C">
          <w:rPr>
            <w:rStyle w:val="Hyperlink"/>
          </w:rPr>
          <w:t>4.1.5</w:t>
        </w:r>
        <w:r>
          <w:rPr>
            <w:rFonts w:asciiTheme="minorHAnsi" w:eastAsiaTheme="minorEastAsia" w:hAnsiTheme="minorHAnsi" w:cstheme="minorBidi"/>
            <w:bCs w:val="0"/>
            <w:kern w:val="2"/>
            <w:szCs w:val="24"/>
            <w14:ligatures w14:val="standardContextual"/>
          </w:rPr>
          <w:tab/>
        </w:r>
        <w:r w:rsidRPr="00AC173C">
          <w:rPr>
            <w:rStyle w:val="Hyperlink"/>
          </w:rPr>
          <w:t>Scarcity Pricing</w:t>
        </w:r>
        <w:r>
          <w:rPr>
            <w:webHidden/>
          </w:rPr>
          <w:tab/>
        </w:r>
        <w:r>
          <w:rPr>
            <w:webHidden/>
          </w:rPr>
          <w:fldChar w:fldCharType="begin"/>
        </w:r>
        <w:r>
          <w:rPr>
            <w:webHidden/>
          </w:rPr>
          <w:instrText xml:space="preserve"> PAGEREF _Toc213771799 \h </w:instrText>
        </w:r>
        <w:r>
          <w:rPr>
            <w:webHidden/>
          </w:rPr>
        </w:r>
        <w:r>
          <w:rPr>
            <w:webHidden/>
          </w:rPr>
          <w:fldChar w:fldCharType="separate"/>
        </w:r>
        <w:r>
          <w:rPr>
            <w:webHidden/>
          </w:rPr>
          <w:t>87</w:t>
        </w:r>
        <w:r>
          <w:rPr>
            <w:webHidden/>
          </w:rPr>
          <w:fldChar w:fldCharType="end"/>
        </w:r>
      </w:hyperlink>
    </w:p>
    <w:p w14:paraId="198260FB" w14:textId="3295E6D2" w:rsidR="00023ECF" w:rsidRDefault="00023ECF">
      <w:pPr>
        <w:pStyle w:val="TOC4"/>
        <w:rPr>
          <w:rFonts w:asciiTheme="minorHAnsi" w:eastAsiaTheme="minorEastAsia" w:hAnsiTheme="minorHAnsi" w:cstheme="minorBidi"/>
          <w:bCs w:val="0"/>
          <w:kern w:val="2"/>
          <w:szCs w:val="24"/>
          <w14:ligatures w14:val="standardContextual"/>
        </w:rPr>
      </w:pPr>
      <w:hyperlink w:anchor="_Toc213771800" w:history="1">
        <w:r w:rsidRPr="00AC173C">
          <w:rPr>
            <w:rStyle w:val="Hyperlink"/>
          </w:rPr>
          <w:t>4.1.5.1</w:t>
        </w:r>
        <w:r>
          <w:rPr>
            <w:rFonts w:asciiTheme="minorHAnsi" w:eastAsiaTheme="minorEastAsia" w:hAnsiTheme="minorHAnsi" w:cstheme="minorBidi"/>
            <w:bCs w:val="0"/>
            <w:kern w:val="2"/>
            <w:szCs w:val="24"/>
            <w14:ligatures w14:val="standardContextual"/>
          </w:rPr>
          <w:tab/>
        </w:r>
        <w:r w:rsidRPr="00AC173C">
          <w:rPr>
            <w:rStyle w:val="Hyperlink"/>
          </w:rPr>
          <w:t>Demand Curve Interaction with VRLs</w:t>
        </w:r>
        <w:r>
          <w:rPr>
            <w:webHidden/>
          </w:rPr>
          <w:tab/>
        </w:r>
        <w:r>
          <w:rPr>
            <w:webHidden/>
          </w:rPr>
          <w:fldChar w:fldCharType="begin"/>
        </w:r>
        <w:r>
          <w:rPr>
            <w:webHidden/>
          </w:rPr>
          <w:instrText xml:space="preserve"> PAGEREF _Toc213771800 \h </w:instrText>
        </w:r>
        <w:r>
          <w:rPr>
            <w:webHidden/>
          </w:rPr>
        </w:r>
        <w:r>
          <w:rPr>
            <w:webHidden/>
          </w:rPr>
          <w:fldChar w:fldCharType="separate"/>
        </w:r>
        <w:r>
          <w:rPr>
            <w:webHidden/>
          </w:rPr>
          <w:t>92</w:t>
        </w:r>
        <w:r>
          <w:rPr>
            <w:webHidden/>
          </w:rPr>
          <w:fldChar w:fldCharType="end"/>
        </w:r>
      </w:hyperlink>
    </w:p>
    <w:p w14:paraId="39CF3BC0" w14:textId="0972B3B3" w:rsidR="00023ECF" w:rsidRDefault="00023ECF">
      <w:pPr>
        <w:pStyle w:val="TOC3"/>
        <w:rPr>
          <w:rFonts w:asciiTheme="minorHAnsi" w:eastAsiaTheme="minorEastAsia" w:hAnsiTheme="minorHAnsi" w:cstheme="minorBidi"/>
          <w:bCs w:val="0"/>
          <w:kern w:val="2"/>
          <w:szCs w:val="24"/>
          <w14:ligatures w14:val="standardContextual"/>
        </w:rPr>
      </w:pPr>
      <w:hyperlink w:anchor="_Toc213771801" w:history="1">
        <w:r w:rsidRPr="00AC173C">
          <w:rPr>
            <w:rStyle w:val="Hyperlink"/>
          </w:rPr>
          <w:t>4.1.6</w:t>
        </w:r>
        <w:r>
          <w:rPr>
            <w:rFonts w:asciiTheme="minorHAnsi" w:eastAsiaTheme="minorEastAsia" w:hAnsiTheme="minorHAnsi" w:cstheme="minorBidi"/>
            <w:bCs w:val="0"/>
            <w:kern w:val="2"/>
            <w:szCs w:val="24"/>
            <w14:ligatures w14:val="standardContextual"/>
          </w:rPr>
          <w:tab/>
        </w:r>
        <w:r w:rsidRPr="00AC173C">
          <w:rPr>
            <w:rStyle w:val="Hyperlink"/>
          </w:rPr>
          <w:t>Outage Scheduling and Reporting</w:t>
        </w:r>
        <w:r>
          <w:rPr>
            <w:webHidden/>
          </w:rPr>
          <w:tab/>
        </w:r>
        <w:r>
          <w:rPr>
            <w:webHidden/>
          </w:rPr>
          <w:fldChar w:fldCharType="begin"/>
        </w:r>
        <w:r>
          <w:rPr>
            <w:webHidden/>
          </w:rPr>
          <w:instrText xml:space="preserve"> PAGEREF _Toc213771801 \h </w:instrText>
        </w:r>
        <w:r>
          <w:rPr>
            <w:webHidden/>
          </w:rPr>
        </w:r>
        <w:r>
          <w:rPr>
            <w:webHidden/>
          </w:rPr>
          <w:fldChar w:fldCharType="separate"/>
        </w:r>
        <w:r>
          <w:rPr>
            <w:webHidden/>
          </w:rPr>
          <w:t>94</w:t>
        </w:r>
        <w:r>
          <w:rPr>
            <w:webHidden/>
          </w:rPr>
          <w:fldChar w:fldCharType="end"/>
        </w:r>
      </w:hyperlink>
    </w:p>
    <w:p w14:paraId="5E3401ED" w14:textId="7E5B8B19" w:rsidR="00023ECF" w:rsidRDefault="00023ECF">
      <w:pPr>
        <w:pStyle w:val="TOC2"/>
        <w:rPr>
          <w:rFonts w:asciiTheme="minorHAnsi" w:eastAsiaTheme="minorEastAsia" w:hAnsiTheme="minorHAnsi" w:cstheme="minorBidi"/>
          <w:bCs w:val="0"/>
          <w:kern w:val="2"/>
          <w:szCs w:val="24"/>
          <w14:ligatures w14:val="standardContextual"/>
        </w:rPr>
      </w:pPr>
      <w:hyperlink w:anchor="_Toc213771802" w:history="1">
        <w:r w:rsidRPr="00AC173C">
          <w:rPr>
            <w:rStyle w:val="Hyperlink"/>
          </w:rPr>
          <w:t>4.2</w:t>
        </w:r>
        <w:r>
          <w:rPr>
            <w:rFonts w:asciiTheme="minorHAnsi" w:eastAsiaTheme="minorEastAsia" w:hAnsiTheme="minorHAnsi" w:cstheme="minorBidi"/>
            <w:bCs w:val="0"/>
            <w:kern w:val="2"/>
            <w:szCs w:val="24"/>
            <w14:ligatures w14:val="standardContextual"/>
          </w:rPr>
          <w:tab/>
        </w:r>
        <w:r w:rsidRPr="00AC173C">
          <w:rPr>
            <w:rStyle w:val="Hyperlink"/>
          </w:rPr>
          <w:t>Pre-Day-Ahead Activities</w:t>
        </w:r>
        <w:r>
          <w:rPr>
            <w:webHidden/>
          </w:rPr>
          <w:tab/>
        </w:r>
        <w:r>
          <w:rPr>
            <w:webHidden/>
          </w:rPr>
          <w:fldChar w:fldCharType="begin"/>
        </w:r>
        <w:r>
          <w:rPr>
            <w:webHidden/>
          </w:rPr>
          <w:instrText xml:space="preserve"> PAGEREF _Toc213771802 \h </w:instrText>
        </w:r>
        <w:r>
          <w:rPr>
            <w:webHidden/>
          </w:rPr>
        </w:r>
        <w:r>
          <w:rPr>
            <w:webHidden/>
          </w:rPr>
          <w:fldChar w:fldCharType="separate"/>
        </w:r>
        <w:r>
          <w:rPr>
            <w:webHidden/>
          </w:rPr>
          <w:t>95</w:t>
        </w:r>
        <w:r>
          <w:rPr>
            <w:webHidden/>
          </w:rPr>
          <w:fldChar w:fldCharType="end"/>
        </w:r>
      </w:hyperlink>
    </w:p>
    <w:p w14:paraId="0C3ABE63" w14:textId="6D1D473B" w:rsidR="00023ECF" w:rsidRDefault="00023ECF">
      <w:pPr>
        <w:pStyle w:val="TOC3"/>
        <w:rPr>
          <w:rFonts w:asciiTheme="minorHAnsi" w:eastAsiaTheme="minorEastAsia" w:hAnsiTheme="minorHAnsi" w:cstheme="minorBidi"/>
          <w:bCs w:val="0"/>
          <w:kern w:val="2"/>
          <w:szCs w:val="24"/>
          <w14:ligatures w14:val="standardContextual"/>
        </w:rPr>
      </w:pPr>
      <w:hyperlink w:anchor="_Toc213771803" w:history="1">
        <w:r w:rsidRPr="00AC173C">
          <w:rPr>
            <w:rStyle w:val="Hyperlink"/>
          </w:rPr>
          <w:t>4.2.1</w:t>
        </w:r>
        <w:r>
          <w:rPr>
            <w:rFonts w:asciiTheme="minorHAnsi" w:eastAsiaTheme="minorEastAsia" w:hAnsiTheme="minorHAnsi" w:cstheme="minorBidi"/>
            <w:bCs w:val="0"/>
            <w:kern w:val="2"/>
            <w:szCs w:val="24"/>
            <w14:ligatures w14:val="standardContextual"/>
          </w:rPr>
          <w:tab/>
        </w:r>
        <w:r w:rsidRPr="00AC173C">
          <w:rPr>
            <w:rStyle w:val="Hyperlink"/>
          </w:rPr>
          <w:t>Must-Offer Obligation</w:t>
        </w:r>
        <w:r>
          <w:rPr>
            <w:webHidden/>
          </w:rPr>
          <w:tab/>
        </w:r>
        <w:r>
          <w:rPr>
            <w:webHidden/>
          </w:rPr>
          <w:fldChar w:fldCharType="begin"/>
        </w:r>
        <w:r>
          <w:rPr>
            <w:webHidden/>
          </w:rPr>
          <w:instrText xml:space="preserve"> PAGEREF _Toc213771803 \h </w:instrText>
        </w:r>
        <w:r>
          <w:rPr>
            <w:webHidden/>
          </w:rPr>
        </w:r>
        <w:r>
          <w:rPr>
            <w:webHidden/>
          </w:rPr>
          <w:fldChar w:fldCharType="separate"/>
        </w:r>
        <w:r>
          <w:rPr>
            <w:webHidden/>
          </w:rPr>
          <w:t>95</w:t>
        </w:r>
        <w:r>
          <w:rPr>
            <w:webHidden/>
          </w:rPr>
          <w:fldChar w:fldCharType="end"/>
        </w:r>
      </w:hyperlink>
    </w:p>
    <w:p w14:paraId="44A694E9" w14:textId="6E6F66B0" w:rsidR="00023ECF" w:rsidRDefault="00023ECF">
      <w:pPr>
        <w:pStyle w:val="TOC4"/>
        <w:rPr>
          <w:rFonts w:asciiTheme="minorHAnsi" w:eastAsiaTheme="minorEastAsia" w:hAnsiTheme="minorHAnsi" w:cstheme="minorBidi"/>
          <w:bCs w:val="0"/>
          <w:kern w:val="2"/>
          <w:szCs w:val="24"/>
          <w14:ligatures w14:val="standardContextual"/>
        </w:rPr>
      </w:pPr>
      <w:hyperlink w:anchor="_Toc213771806" w:history="1">
        <w:r w:rsidRPr="00AC173C">
          <w:rPr>
            <w:rStyle w:val="Hyperlink"/>
          </w:rPr>
          <w:t>4.2.1.1</w:t>
        </w:r>
        <w:r>
          <w:rPr>
            <w:rFonts w:asciiTheme="minorHAnsi" w:eastAsiaTheme="minorEastAsia" w:hAnsiTheme="minorHAnsi" w:cstheme="minorBidi"/>
            <w:bCs w:val="0"/>
            <w:kern w:val="2"/>
            <w:szCs w:val="24"/>
            <w14:ligatures w14:val="standardContextual"/>
          </w:rPr>
          <w:tab/>
        </w:r>
        <w:r w:rsidRPr="00AC173C">
          <w:rPr>
            <w:rStyle w:val="Hyperlink"/>
          </w:rPr>
          <w:t>Day-Ahead and Initial Reliability Unit Commitment Obligation</w:t>
        </w:r>
        <w:r>
          <w:rPr>
            <w:webHidden/>
          </w:rPr>
          <w:tab/>
        </w:r>
        <w:r>
          <w:rPr>
            <w:webHidden/>
          </w:rPr>
          <w:fldChar w:fldCharType="begin"/>
        </w:r>
        <w:r>
          <w:rPr>
            <w:webHidden/>
          </w:rPr>
          <w:instrText xml:space="preserve"> PAGEREF _Toc213771806 \h </w:instrText>
        </w:r>
        <w:r>
          <w:rPr>
            <w:webHidden/>
          </w:rPr>
        </w:r>
        <w:r>
          <w:rPr>
            <w:webHidden/>
          </w:rPr>
          <w:fldChar w:fldCharType="separate"/>
        </w:r>
        <w:r>
          <w:rPr>
            <w:webHidden/>
          </w:rPr>
          <w:t>96</w:t>
        </w:r>
        <w:r>
          <w:rPr>
            <w:webHidden/>
          </w:rPr>
          <w:fldChar w:fldCharType="end"/>
        </w:r>
      </w:hyperlink>
    </w:p>
    <w:p w14:paraId="45AB8A48" w14:textId="5A34FD23" w:rsidR="00023ECF" w:rsidRDefault="00023ECF">
      <w:pPr>
        <w:pStyle w:val="TOC4"/>
        <w:rPr>
          <w:rFonts w:asciiTheme="minorHAnsi" w:eastAsiaTheme="minorEastAsia" w:hAnsiTheme="minorHAnsi" w:cstheme="minorBidi"/>
          <w:bCs w:val="0"/>
          <w:kern w:val="2"/>
          <w:szCs w:val="24"/>
          <w14:ligatures w14:val="standardContextual"/>
        </w:rPr>
      </w:pPr>
      <w:hyperlink w:anchor="_Toc213771807" w:history="1">
        <w:r w:rsidRPr="00AC173C">
          <w:rPr>
            <w:rStyle w:val="Hyperlink"/>
          </w:rPr>
          <w:t>4.2.1.2</w:t>
        </w:r>
        <w:r>
          <w:rPr>
            <w:rFonts w:asciiTheme="minorHAnsi" w:eastAsiaTheme="minorEastAsia" w:hAnsiTheme="minorHAnsi" w:cstheme="minorBidi"/>
            <w:bCs w:val="0"/>
            <w:kern w:val="2"/>
            <w:szCs w:val="24"/>
            <w14:ligatures w14:val="standardContextual"/>
          </w:rPr>
          <w:tab/>
        </w:r>
        <w:r w:rsidRPr="00AC173C">
          <w:rPr>
            <w:rStyle w:val="Hyperlink"/>
          </w:rPr>
          <w:t>Real-Time Balancing Market Must Offer Obligation</w:t>
        </w:r>
        <w:r>
          <w:rPr>
            <w:webHidden/>
          </w:rPr>
          <w:tab/>
        </w:r>
        <w:r>
          <w:rPr>
            <w:webHidden/>
          </w:rPr>
          <w:fldChar w:fldCharType="begin"/>
        </w:r>
        <w:r>
          <w:rPr>
            <w:webHidden/>
          </w:rPr>
          <w:instrText xml:space="preserve"> PAGEREF _Toc213771807 \h </w:instrText>
        </w:r>
        <w:r>
          <w:rPr>
            <w:webHidden/>
          </w:rPr>
        </w:r>
        <w:r>
          <w:rPr>
            <w:webHidden/>
          </w:rPr>
          <w:fldChar w:fldCharType="separate"/>
        </w:r>
        <w:r>
          <w:rPr>
            <w:webHidden/>
          </w:rPr>
          <w:t>101</w:t>
        </w:r>
        <w:r>
          <w:rPr>
            <w:webHidden/>
          </w:rPr>
          <w:fldChar w:fldCharType="end"/>
        </w:r>
      </w:hyperlink>
    </w:p>
    <w:p w14:paraId="60E4CB9D" w14:textId="58127A74" w:rsidR="00023ECF" w:rsidRDefault="00023ECF">
      <w:pPr>
        <w:pStyle w:val="TOC3"/>
        <w:rPr>
          <w:rFonts w:asciiTheme="minorHAnsi" w:eastAsiaTheme="minorEastAsia" w:hAnsiTheme="minorHAnsi" w:cstheme="minorBidi"/>
          <w:bCs w:val="0"/>
          <w:kern w:val="2"/>
          <w:szCs w:val="24"/>
          <w14:ligatures w14:val="standardContextual"/>
        </w:rPr>
      </w:pPr>
      <w:hyperlink w:anchor="_Toc213771808" w:history="1">
        <w:r w:rsidRPr="00AC173C">
          <w:rPr>
            <w:rStyle w:val="Hyperlink"/>
          </w:rPr>
          <w:t>4.2.2</w:t>
        </w:r>
        <w:r>
          <w:rPr>
            <w:rFonts w:asciiTheme="minorHAnsi" w:eastAsiaTheme="minorEastAsia" w:hAnsiTheme="minorHAnsi" w:cstheme="minorBidi"/>
            <w:bCs w:val="0"/>
            <w:kern w:val="2"/>
            <w:szCs w:val="24"/>
            <w14:ligatures w14:val="standardContextual"/>
          </w:rPr>
          <w:tab/>
        </w:r>
        <w:r w:rsidRPr="00AC173C">
          <w:rPr>
            <w:rStyle w:val="Hyperlink"/>
          </w:rPr>
          <w:t>Offer Submittal</w:t>
        </w:r>
        <w:r>
          <w:rPr>
            <w:webHidden/>
          </w:rPr>
          <w:tab/>
        </w:r>
        <w:r>
          <w:rPr>
            <w:webHidden/>
          </w:rPr>
          <w:fldChar w:fldCharType="begin"/>
        </w:r>
        <w:r>
          <w:rPr>
            <w:webHidden/>
          </w:rPr>
          <w:instrText xml:space="preserve"> PAGEREF _Toc213771808 \h </w:instrText>
        </w:r>
        <w:r>
          <w:rPr>
            <w:webHidden/>
          </w:rPr>
        </w:r>
        <w:r>
          <w:rPr>
            <w:webHidden/>
          </w:rPr>
          <w:fldChar w:fldCharType="separate"/>
        </w:r>
        <w:r>
          <w:rPr>
            <w:webHidden/>
          </w:rPr>
          <w:t>104</w:t>
        </w:r>
        <w:r>
          <w:rPr>
            <w:webHidden/>
          </w:rPr>
          <w:fldChar w:fldCharType="end"/>
        </w:r>
      </w:hyperlink>
    </w:p>
    <w:p w14:paraId="44642F9C" w14:textId="41E58EF8" w:rsidR="00023ECF" w:rsidRDefault="00023ECF">
      <w:pPr>
        <w:pStyle w:val="TOC4"/>
        <w:rPr>
          <w:rFonts w:asciiTheme="minorHAnsi" w:eastAsiaTheme="minorEastAsia" w:hAnsiTheme="minorHAnsi" w:cstheme="minorBidi"/>
          <w:bCs w:val="0"/>
          <w:kern w:val="2"/>
          <w:szCs w:val="24"/>
          <w14:ligatures w14:val="standardContextual"/>
        </w:rPr>
      </w:pPr>
      <w:hyperlink w:anchor="_Toc213771809" w:history="1">
        <w:r w:rsidRPr="00AC173C">
          <w:rPr>
            <w:rStyle w:val="Hyperlink"/>
          </w:rPr>
          <w:t>4.2.2.1</w:t>
        </w:r>
        <w:r>
          <w:rPr>
            <w:rFonts w:asciiTheme="minorHAnsi" w:eastAsiaTheme="minorEastAsia" w:hAnsiTheme="minorHAnsi" w:cstheme="minorBidi"/>
            <w:bCs w:val="0"/>
            <w:kern w:val="2"/>
            <w:szCs w:val="24"/>
            <w14:ligatures w14:val="standardContextual"/>
          </w:rPr>
          <w:tab/>
        </w:r>
        <w:r w:rsidRPr="00AC173C">
          <w:rPr>
            <w:rStyle w:val="Hyperlink"/>
          </w:rPr>
          <w:t>Resource Offer Parameters</w:t>
        </w:r>
        <w:r>
          <w:rPr>
            <w:webHidden/>
          </w:rPr>
          <w:tab/>
        </w:r>
        <w:r>
          <w:rPr>
            <w:webHidden/>
          </w:rPr>
          <w:fldChar w:fldCharType="begin"/>
        </w:r>
        <w:r>
          <w:rPr>
            <w:webHidden/>
          </w:rPr>
          <w:instrText xml:space="preserve"> PAGEREF _Toc213771809 \h </w:instrText>
        </w:r>
        <w:r>
          <w:rPr>
            <w:webHidden/>
          </w:rPr>
        </w:r>
        <w:r>
          <w:rPr>
            <w:webHidden/>
          </w:rPr>
          <w:fldChar w:fldCharType="separate"/>
        </w:r>
        <w:r>
          <w:rPr>
            <w:webHidden/>
          </w:rPr>
          <w:t>106</w:t>
        </w:r>
        <w:r>
          <w:rPr>
            <w:webHidden/>
          </w:rPr>
          <w:fldChar w:fldCharType="end"/>
        </w:r>
      </w:hyperlink>
    </w:p>
    <w:p w14:paraId="52834AE3" w14:textId="1147DE5A" w:rsidR="00023ECF" w:rsidRDefault="00023ECF">
      <w:pPr>
        <w:pStyle w:val="TOC5"/>
        <w:rPr>
          <w:rFonts w:asciiTheme="minorHAnsi" w:eastAsiaTheme="minorEastAsia" w:hAnsiTheme="minorHAnsi" w:cstheme="minorBidi"/>
          <w:kern w:val="2"/>
          <w:szCs w:val="24"/>
          <w14:ligatures w14:val="standardContextual"/>
        </w:rPr>
      </w:pPr>
      <w:hyperlink w:anchor="_Toc213771812" w:history="1">
        <w:r w:rsidRPr="00AC173C">
          <w:rPr>
            <w:rStyle w:val="Hyperlink"/>
          </w:rPr>
          <w:t>4.2.2.1.1</w:t>
        </w:r>
        <w:r>
          <w:rPr>
            <w:rFonts w:asciiTheme="minorHAnsi" w:eastAsiaTheme="minorEastAsia" w:hAnsiTheme="minorHAnsi" w:cstheme="minorBidi"/>
            <w:kern w:val="2"/>
            <w:szCs w:val="24"/>
            <w14:ligatures w14:val="standardContextual"/>
          </w:rPr>
          <w:tab/>
        </w:r>
        <w:r w:rsidRPr="00AC173C">
          <w:rPr>
            <w:rStyle w:val="Hyperlink"/>
          </w:rPr>
          <w:t>Resource Ramp Rate Interaction – Energy and Flexibility Reserve Products</w:t>
        </w:r>
        <w:r>
          <w:rPr>
            <w:webHidden/>
          </w:rPr>
          <w:tab/>
        </w:r>
        <w:r>
          <w:rPr>
            <w:webHidden/>
          </w:rPr>
          <w:fldChar w:fldCharType="begin"/>
        </w:r>
        <w:r>
          <w:rPr>
            <w:webHidden/>
          </w:rPr>
          <w:instrText xml:space="preserve"> PAGEREF _Toc213771812 \h </w:instrText>
        </w:r>
        <w:r>
          <w:rPr>
            <w:webHidden/>
          </w:rPr>
        </w:r>
        <w:r>
          <w:rPr>
            <w:webHidden/>
          </w:rPr>
          <w:fldChar w:fldCharType="separate"/>
        </w:r>
        <w:r>
          <w:rPr>
            <w:webHidden/>
          </w:rPr>
          <w:t>111</w:t>
        </w:r>
        <w:r>
          <w:rPr>
            <w:webHidden/>
          </w:rPr>
          <w:fldChar w:fldCharType="end"/>
        </w:r>
      </w:hyperlink>
    </w:p>
    <w:p w14:paraId="11DCD0CB" w14:textId="1CF55A86" w:rsidR="00023ECF" w:rsidRDefault="00023ECF">
      <w:pPr>
        <w:pStyle w:val="TOC4"/>
        <w:rPr>
          <w:rFonts w:asciiTheme="minorHAnsi" w:eastAsiaTheme="minorEastAsia" w:hAnsiTheme="minorHAnsi" w:cstheme="minorBidi"/>
          <w:bCs w:val="0"/>
          <w:kern w:val="2"/>
          <w:szCs w:val="24"/>
          <w14:ligatures w14:val="standardContextual"/>
        </w:rPr>
      </w:pPr>
      <w:hyperlink w:anchor="_Toc213771813" w:history="1">
        <w:r w:rsidRPr="00AC173C">
          <w:rPr>
            <w:rStyle w:val="Hyperlink"/>
          </w:rPr>
          <w:t>4.2.2.2</w:t>
        </w:r>
        <w:r>
          <w:rPr>
            <w:rFonts w:asciiTheme="minorHAnsi" w:eastAsiaTheme="minorEastAsia" w:hAnsiTheme="minorHAnsi" w:cstheme="minorBidi"/>
            <w:bCs w:val="0"/>
            <w:kern w:val="2"/>
            <w:szCs w:val="24"/>
            <w14:ligatures w14:val="standardContextual"/>
          </w:rPr>
          <w:tab/>
        </w:r>
        <w:r w:rsidRPr="00AC173C">
          <w:rPr>
            <w:rStyle w:val="Hyperlink"/>
          </w:rPr>
          <w:t>Resource Status</w:t>
        </w:r>
        <w:r>
          <w:rPr>
            <w:webHidden/>
          </w:rPr>
          <w:tab/>
        </w:r>
        <w:r>
          <w:rPr>
            <w:webHidden/>
          </w:rPr>
          <w:fldChar w:fldCharType="begin"/>
        </w:r>
        <w:r>
          <w:rPr>
            <w:webHidden/>
          </w:rPr>
          <w:instrText xml:space="preserve"> PAGEREF _Toc213771813 \h </w:instrText>
        </w:r>
        <w:r>
          <w:rPr>
            <w:webHidden/>
          </w:rPr>
        </w:r>
        <w:r>
          <w:rPr>
            <w:webHidden/>
          </w:rPr>
          <w:fldChar w:fldCharType="separate"/>
        </w:r>
        <w:r>
          <w:rPr>
            <w:webHidden/>
          </w:rPr>
          <w:t>113</w:t>
        </w:r>
        <w:r>
          <w:rPr>
            <w:webHidden/>
          </w:rPr>
          <w:fldChar w:fldCharType="end"/>
        </w:r>
      </w:hyperlink>
    </w:p>
    <w:p w14:paraId="5F42A58E" w14:textId="5C9E2139" w:rsidR="00023ECF" w:rsidRDefault="00023ECF">
      <w:pPr>
        <w:pStyle w:val="TOC5"/>
        <w:rPr>
          <w:rFonts w:asciiTheme="minorHAnsi" w:eastAsiaTheme="minorEastAsia" w:hAnsiTheme="minorHAnsi" w:cstheme="minorBidi"/>
          <w:kern w:val="2"/>
          <w:szCs w:val="24"/>
          <w14:ligatures w14:val="standardContextual"/>
        </w:rPr>
      </w:pPr>
      <w:hyperlink w:anchor="_Toc213771814" w:history="1">
        <w:r w:rsidRPr="00AC173C">
          <w:rPr>
            <w:rStyle w:val="Hyperlink"/>
          </w:rPr>
          <w:t>4.2.2.2.1</w:t>
        </w:r>
        <w:r>
          <w:rPr>
            <w:rFonts w:asciiTheme="minorHAnsi" w:eastAsiaTheme="minorEastAsia" w:hAnsiTheme="minorHAnsi" w:cstheme="minorBidi"/>
            <w:kern w:val="2"/>
            <w:szCs w:val="24"/>
            <w14:ligatures w14:val="standardContextual"/>
          </w:rPr>
          <w:tab/>
        </w:r>
        <w:r w:rsidRPr="00AC173C">
          <w:rPr>
            <w:rStyle w:val="Hyperlink"/>
          </w:rPr>
          <w:t>Commitment Status</w:t>
        </w:r>
        <w:r>
          <w:rPr>
            <w:webHidden/>
          </w:rPr>
          <w:tab/>
        </w:r>
        <w:r>
          <w:rPr>
            <w:webHidden/>
          </w:rPr>
          <w:fldChar w:fldCharType="begin"/>
        </w:r>
        <w:r>
          <w:rPr>
            <w:webHidden/>
          </w:rPr>
          <w:instrText xml:space="preserve"> PAGEREF _Toc213771814 \h </w:instrText>
        </w:r>
        <w:r>
          <w:rPr>
            <w:webHidden/>
          </w:rPr>
        </w:r>
        <w:r>
          <w:rPr>
            <w:webHidden/>
          </w:rPr>
          <w:fldChar w:fldCharType="separate"/>
        </w:r>
        <w:r>
          <w:rPr>
            <w:webHidden/>
          </w:rPr>
          <w:t>113</w:t>
        </w:r>
        <w:r>
          <w:rPr>
            <w:webHidden/>
          </w:rPr>
          <w:fldChar w:fldCharType="end"/>
        </w:r>
      </w:hyperlink>
    </w:p>
    <w:p w14:paraId="1AD62011" w14:textId="37B0C216" w:rsidR="00023ECF" w:rsidRDefault="00023ECF">
      <w:pPr>
        <w:pStyle w:val="TOC5"/>
        <w:rPr>
          <w:rFonts w:asciiTheme="minorHAnsi" w:eastAsiaTheme="minorEastAsia" w:hAnsiTheme="minorHAnsi" w:cstheme="minorBidi"/>
          <w:kern w:val="2"/>
          <w:szCs w:val="24"/>
          <w14:ligatures w14:val="standardContextual"/>
        </w:rPr>
      </w:pPr>
      <w:hyperlink w:anchor="_Toc213771815" w:history="1">
        <w:r w:rsidRPr="00AC173C">
          <w:rPr>
            <w:rStyle w:val="Hyperlink"/>
          </w:rPr>
          <w:t>4.2.2.2.2</w:t>
        </w:r>
        <w:r>
          <w:rPr>
            <w:rFonts w:asciiTheme="minorHAnsi" w:eastAsiaTheme="minorEastAsia" w:hAnsiTheme="minorHAnsi" w:cstheme="minorBidi"/>
            <w:kern w:val="2"/>
            <w:szCs w:val="24"/>
            <w14:ligatures w14:val="standardContextual"/>
          </w:rPr>
          <w:tab/>
        </w:r>
        <w:r w:rsidRPr="00AC173C">
          <w:rPr>
            <w:rStyle w:val="Hyperlink"/>
          </w:rPr>
          <w:t>Offline Mid-Term Flex Up Availability Status</w:t>
        </w:r>
        <w:r>
          <w:rPr>
            <w:webHidden/>
          </w:rPr>
          <w:tab/>
        </w:r>
        <w:r>
          <w:rPr>
            <w:webHidden/>
          </w:rPr>
          <w:fldChar w:fldCharType="begin"/>
        </w:r>
        <w:r>
          <w:rPr>
            <w:webHidden/>
          </w:rPr>
          <w:instrText xml:space="preserve"> PAGEREF _Toc213771815 \h </w:instrText>
        </w:r>
        <w:r>
          <w:rPr>
            <w:webHidden/>
          </w:rPr>
        </w:r>
        <w:r>
          <w:rPr>
            <w:webHidden/>
          </w:rPr>
          <w:fldChar w:fldCharType="separate"/>
        </w:r>
        <w:r>
          <w:rPr>
            <w:webHidden/>
          </w:rPr>
          <w:t>113</w:t>
        </w:r>
        <w:r>
          <w:rPr>
            <w:webHidden/>
          </w:rPr>
          <w:fldChar w:fldCharType="end"/>
        </w:r>
      </w:hyperlink>
    </w:p>
    <w:p w14:paraId="2398D9BC" w14:textId="4DD5112E" w:rsidR="00023ECF" w:rsidRDefault="00023ECF">
      <w:pPr>
        <w:pStyle w:val="TOC5"/>
        <w:rPr>
          <w:rFonts w:asciiTheme="minorHAnsi" w:eastAsiaTheme="minorEastAsia" w:hAnsiTheme="minorHAnsi" w:cstheme="minorBidi"/>
          <w:kern w:val="2"/>
          <w:szCs w:val="24"/>
          <w14:ligatures w14:val="standardContextual"/>
        </w:rPr>
      </w:pPr>
      <w:hyperlink w:anchor="_Toc213771816" w:history="1">
        <w:r w:rsidRPr="00AC173C">
          <w:rPr>
            <w:rStyle w:val="Hyperlink"/>
            <w:b/>
            <w:bCs/>
          </w:rPr>
          <w:t>4.2.2.2.</w:t>
        </w:r>
        <w:r w:rsidRPr="00AC173C">
          <w:rPr>
            <w:rStyle w:val="Hyperlink"/>
            <w:b/>
          </w:rPr>
          <w:t>3</w:t>
        </w:r>
        <w:r w:rsidRPr="00AC173C">
          <w:rPr>
            <w:rStyle w:val="Hyperlink"/>
            <w:b/>
            <w:bCs/>
          </w:rPr>
          <w:t xml:space="preserve"> </w:t>
        </w:r>
        <w:r>
          <w:rPr>
            <w:rFonts w:asciiTheme="minorHAnsi" w:eastAsiaTheme="minorEastAsia" w:hAnsiTheme="minorHAnsi" w:cstheme="minorBidi"/>
            <w:kern w:val="2"/>
            <w:szCs w:val="24"/>
            <w14:ligatures w14:val="standardContextual"/>
          </w:rPr>
          <w:tab/>
        </w:r>
        <w:r w:rsidRPr="00AC173C">
          <w:rPr>
            <w:rStyle w:val="Hyperlink"/>
            <w:b/>
            <w:bCs/>
          </w:rPr>
          <w:t>Surplus Threshold Status</w:t>
        </w:r>
        <w:r>
          <w:rPr>
            <w:webHidden/>
          </w:rPr>
          <w:tab/>
        </w:r>
        <w:r>
          <w:rPr>
            <w:webHidden/>
          </w:rPr>
          <w:fldChar w:fldCharType="begin"/>
        </w:r>
        <w:r>
          <w:rPr>
            <w:webHidden/>
          </w:rPr>
          <w:instrText xml:space="preserve"> PAGEREF _Toc213771816 \h </w:instrText>
        </w:r>
        <w:r>
          <w:rPr>
            <w:webHidden/>
          </w:rPr>
        </w:r>
        <w:r>
          <w:rPr>
            <w:webHidden/>
          </w:rPr>
          <w:fldChar w:fldCharType="separate"/>
        </w:r>
        <w:r>
          <w:rPr>
            <w:webHidden/>
          </w:rPr>
          <w:t>114</w:t>
        </w:r>
        <w:r>
          <w:rPr>
            <w:webHidden/>
          </w:rPr>
          <w:fldChar w:fldCharType="end"/>
        </w:r>
      </w:hyperlink>
    </w:p>
    <w:p w14:paraId="39E5C58F" w14:textId="763FCA13" w:rsidR="00023ECF" w:rsidRDefault="00023ECF">
      <w:pPr>
        <w:pStyle w:val="TOC4"/>
        <w:rPr>
          <w:rFonts w:asciiTheme="minorHAnsi" w:eastAsiaTheme="minorEastAsia" w:hAnsiTheme="minorHAnsi" w:cstheme="minorBidi"/>
          <w:bCs w:val="0"/>
          <w:kern w:val="2"/>
          <w:szCs w:val="24"/>
          <w14:ligatures w14:val="standardContextual"/>
        </w:rPr>
      </w:pPr>
      <w:hyperlink w:anchor="_Toc213771817" w:history="1">
        <w:r w:rsidRPr="00AC173C">
          <w:rPr>
            <w:rStyle w:val="Hyperlink"/>
          </w:rPr>
          <w:t>4.2.2.3</w:t>
        </w:r>
        <w:r>
          <w:rPr>
            <w:rFonts w:asciiTheme="minorHAnsi" w:eastAsiaTheme="minorEastAsia" w:hAnsiTheme="minorHAnsi" w:cstheme="minorBidi"/>
            <w:bCs w:val="0"/>
            <w:kern w:val="2"/>
            <w:szCs w:val="24"/>
            <w14:ligatures w14:val="standardContextual"/>
          </w:rPr>
          <w:tab/>
        </w:r>
        <w:r w:rsidRPr="00AC173C">
          <w:rPr>
            <w:rStyle w:val="Hyperlink"/>
          </w:rPr>
          <w:t>Resource Limit Validation</w:t>
        </w:r>
        <w:r>
          <w:rPr>
            <w:webHidden/>
          </w:rPr>
          <w:tab/>
        </w:r>
        <w:r>
          <w:rPr>
            <w:webHidden/>
          </w:rPr>
          <w:fldChar w:fldCharType="begin"/>
        </w:r>
        <w:r>
          <w:rPr>
            <w:webHidden/>
          </w:rPr>
          <w:instrText xml:space="preserve"> PAGEREF _Toc213771817 \h </w:instrText>
        </w:r>
        <w:r>
          <w:rPr>
            <w:webHidden/>
          </w:rPr>
        </w:r>
        <w:r>
          <w:rPr>
            <w:webHidden/>
          </w:rPr>
          <w:fldChar w:fldCharType="separate"/>
        </w:r>
        <w:r>
          <w:rPr>
            <w:webHidden/>
          </w:rPr>
          <w:t>114</w:t>
        </w:r>
        <w:r>
          <w:rPr>
            <w:webHidden/>
          </w:rPr>
          <w:fldChar w:fldCharType="end"/>
        </w:r>
      </w:hyperlink>
    </w:p>
    <w:p w14:paraId="3ED8C4A2" w14:textId="70B07E83" w:rsidR="00023ECF" w:rsidRDefault="00023ECF">
      <w:pPr>
        <w:pStyle w:val="TOC4"/>
        <w:rPr>
          <w:rFonts w:asciiTheme="minorHAnsi" w:eastAsiaTheme="minorEastAsia" w:hAnsiTheme="minorHAnsi" w:cstheme="minorBidi"/>
          <w:bCs w:val="0"/>
          <w:kern w:val="2"/>
          <w:szCs w:val="24"/>
          <w14:ligatures w14:val="standardContextual"/>
        </w:rPr>
      </w:pPr>
      <w:hyperlink w:anchor="_Toc213771818" w:history="1">
        <w:r w:rsidRPr="00AC173C">
          <w:rPr>
            <w:rStyle w:val="Hyperlink"/>
          </w:rPr>
          <w:t>4.2.2.4</w:t>
        </w:r>
        <w:r>
          <w:rPr>
            <w:rFonts w:asciiTheme="minorHAnsi" w:eastAsiaTheme="minorEastAsia" w:hAnsiTheme="minorHAnsi" w:cstheme="minorBidi"/>
            <w:bCs w:val="0"/>
            <w:kern w:val="2"/>
            <w:szCs w:val="24"/>
            <w14:ligatures w14:val="standardContextual"/>
          </w:rPr>
          <w:tab/>
        </w:r>
        <w:r w:rsidRPr="00AC173C">
          <w:rPr>
            <w:rStyle w:val="Hyperlink"/>
          </w:rPr>
          <w:t>Resource Commitment Parameter Relationships</w:t>
        </w:r>
        <w:r>
          <w:rPr>
            <w:webHidden/>
          </w:rPr>
          <w:tab/>
        </w:r>
        <w:r>
          <w:rPr>
            <w:webHidden/>
          </w:rPr>
          <w:fldChar w:fldCharType="begin"/>
        </w:r>
        <w:r>
          <w:rPr>
            <w:webHidden/>
          </w:rPr>
          <w:instrText xml:space="preserve"> PAGEREF _Toc213771818 \h </w:instrText>
        </w:r>
        <w:r>
          <w:rPr>
            <w:webHidden/>
          </w:rPr>
        </w:r>
        <w:r>
          <w:rPr>
            <w:webHidden/>
          </w:rPr>
          <w:fldChar w:fldCharType="separate"/>
        </w:r>
        <w:r>
          <w:rPr>
            <w:webHidden/>
          </w:rPr>
          <w:t>116</w:t>
        </w:r>
        <w:r>
          <w:rPr>
            <w:webHidden/>
          </w:rPr>
          <w:fldChar w:fldCharType="end"/>
        </w:r>
      </w:hyperlink>
    </w:p>
    <w:p w14:paraId="1CFC51D9" w14:textId="160C195D" w:rsidR="00023ECF" w:rsidRDefault="00023ECF">
      <w:pPr>
        <w:pStyle w:val="TOC5"/>
        <w:rPr>
          <w:rFonts w:asciiTheme="minorHAnsi" w:eastAsiaTheme="minorEastAsia" w:hAnsiTheme="minorHAnsi" w:cstheme="minorBidi"/>
          <w:kern w:val="2"/>
          <w:szCs w:val="24"/>
          <w14:ligatures w14:val="standardContextual"/>
        </w:rPr>
      </w:pPr>
      <w:hyperlink w:anchor="_Toc213771819" w:history="1">
        <w:r w:rsidRPr="00AC173C">
          <w:rPr>
            <w:rStyle w:val="Hyperlink"/>
            <w:i/>
          </w:rPr>
          <w:t>4.2.2.4.1</w:t>
        </w:r>
        <w:r>
          <w:rPr>
            <w:rFonts w:asciiTheme="minorHAnsi" w:eastAsiaTheme="minorEastAsia" w:hAnsiTheme="minorHAnsi" w:cstheme="minorBidi"/>
            <w:kern w:val="2"/>
            <w:szCs w:val="24"/>
            <w14:ligatures w14:val="standardContextual"/>
          </w:rPr>
          <w:tab/>
        </w:r>
        <w:r w:rsidRPr="00AC173C">
          <w:rPr>
            <w:rStyle w:val="Hyperlink"/>
          </w:rPr>
          <w:t>Sync-to-Min and Min-to-Off Times</w:t>
        </w:r>
        <w:r>
          <w:rPr>
            <w:webHidden/>
          </w:rPr>
          <w:tab/>
        </w:r>
        <w:r>
          <w:rPr>
            <w:webHidden/>
          </w:rPr>
          <w:fldChar w:fldCharType="begin"/>
        </w:r>
        <w:r>
          <w:rPr>
            <w:webHidden/>
          </w:rPr>
          <w:instrText xml:space="preserve"> PAGEREF _Toc213771819 \h </w:instrText>
        </w:r>
        <w:r>
          <w:rPr>
            <w:webHidden/>
          </w:rPr>
        </w:r>
        <w:r>
          <w:rPr>
            <w:webHidden/>
          </w:rPr>
          <w:fldChar w:fldCharType="separate"/>
        </w:r>
        <w:r>
          <w:rPr>
            <w:webHidden/>
          </w:rPr>
          <w:t>120</w:t>
        </w:r>
        <w:r>
          <w:rPr>
            <w:webHidden/>
          </w:rPr>
          <w:fldChar w:fldCharType="end"/>
        </w:r>
      </w:hyperlink>
    </w:p>
    <w:p w14:paraId="16DCA0E4" w14:textId="4D43D001" w:rsidR="00023ECF" w:rsidRDefault="00023ECF">
      <w:pPr>
        <w:pStyle w:val="TOC4"/>
        <w:rPr>
          <w:rFonts w:asciiTheme="minorHAnsi" w:eastAsiaTheme="minorEastAsia" w:hAnsiTheme="minorHAnsi" w:cstheme="minorBidi"/>
          <w:bCs w:val="0"/>
          <w:kern w:val="2"/>
          <w:szCs w:val="24"/>
          <w14:ligatures w14:val="standardContextual"/>
        </w:rPr>
      </w:pPr>
      <w:hyperlink w:anchor="_Toc213771820" w:history="1">
        <w:r w:rsidRPr="00AC173C">
          <w:rPr>
            <w:rStyle w:val="Hyperlink"/>
          </w:rPr>
          <w:t>4.2.2.5</w:t>
        </w:r>
        <w:r>
          <w:rPr>
            <w:rFonts w:asciiTheme="minorHAnsi" w:eastAsiaTheme="minorEastAsia" w:hAnsiTheme="minorHAnsi" w:cstheme="minorBidi"/>
            <w:bCs w:val="0"/>
            <w:kern w:val="2"/>
            <w:szCs w:val="24"/>
            <w14:ligatures w14:val="standardContextual"/>
          </w:rPr>
          <w:tab/>
        </w:r>
        <w:r w:rsidRPr="00AC173C">
          <w:rPr>
            <w:rStyle w:val="Hyperlink"/>
          </w:rPr>
          <w:t>Resource Participation Types</w:t>
        </w:r>
        <w:r>
          <w:rPr>
            <w:webHidden/>
          </w:rPr>
          <w:tab/>
        </w:r>
        <w:r>
          <w:rPr>
            <w:webHidden/>
          </w:rPr>
          <w:fldChar w:fldCharType="begin"/>
        </w:r>
        <w:r>
          <w:rPr>
            <w:webHidden/>
          </w:rPr>
          <w:instrText xml:space="preserve"> PAGEREF _Toc213771820 \h </w:instrText>
        </w:r>
        <w:r>
          <w:rPr>
            <w:webHidden/>
          </w:rPr>
        </w:r>
        <w:r>
          <w:rPr>
            <w:webHidden/>
          </w:rPr>
          <w:fldChar w:fldCharType="separate"/>
        </w:r>
        <w:r>
          <w:rPr>
            <w:webHidden/>
          </w:rPr>
          <w:t>121</w:t>
        </w:r>
        <w:r>
          <w:rPr>
            <w:webHidden/>
          </w:rPr>
          <w:fldChar w:fldCharType="end"/>
        </w:r>
      </w:hyperlink>
    </w:p>
    <w:p w14:paraId="29150101" w14:textId="45A4E332" w:rsidR="00023ECF" w:rsidRDefault="00023ECF">
      <w:pPr>
        <w:pStyle w:val="TOC5"/>
        <w:rPr>
          <w:rFonts w:asciiTheme="minorHAnsi" w:eastAsiaTheme="minorEastAsia" w:hAnsiTheme="minorHAnsi" w:cstheme="minorBidi"/>
          <w:kern w:val="2"/>
          <w:szCs w:val="24"/>
          <w14:ligatures w14:val="standardContextual"/>
        </w:rPr>
      </w:pPr>
      <w:hyperlink w:anchor="_Toc213771821" w:history="1">
        <w:r w:rsidRPr="00AC173C">
          <w:rPr>
            <w:rStyle w:val="Hyperlink"/>
          </w:rPr>
          <w:t>4.2.2.5.1</w:t>
        </w:r>
        <w:r>
          <w:rPr>
            <w:rFonts w:asciiTheme="minorHAnsi" w:eastAsiaTheme="minorEastAsia" w:hAnsiTheme="minorHAnsi" w:cstheme="minorBidi"/>
            <w:kern w:val="2"/>
            <w:szCs w:val="24"/>
            <w14:ligatures w14:val="standardContextual"/>
          </w:rPr>
          <w:tab/>
        </w:r>
        <w:r w:rsidRPr="00AC173C">
          <w:rPr>
            <w:rStyle w:val="Hyperlink"/>
          </w:rPr>
          <w:t>Dispatchable Demand Response Resource (DDRR)</w:t>
        </w:r>
        <w:r>
          <w:rPr>
            <w:webHidden/>
          </w:rPr>
          <w:tab/>
        </w:r>
        <w:r>
          <w:rPr>
            <w:webHidden/>
          </w:rPr>
          <w:fldChar w:fldCharType="begin"/>
        </w:r>
        <w:r>
          <w:rPr>
            <w:webHidden/>
          </w:rPr>
          <w:instrText xml:space="preserve"> PAGEREF _Toc213771821 \h </w:instrText>
        </w:r>
        <w:r>
          <w:rPr>
            <w:webHidden/>
          </w:rPr>
        </w:r>
        <w:r>
          <w:rPr>
            <w:webHidden/>
          </w:rPr>
          <w:fldChar w:fldCharType="separate"/>
        </w:r>
        <w:r>
          <w:rPr>
            <w:webHidden/>
          </w:rPr>
          <w:t>121</w:t>
        </w:r>
        <w:r>
          <w:rPr>
            <w:webHidden/>
          </w:rPr>
          <w:fldChar w:fldCharType="end"/>
        </w:r>
      </w:hyperlink>
    </w:p>
    <w:p w14:paraId="25D4435B" w14:textId="3C54D922" w:rsidR="00023ECF" w:rsidRDefault="00023ECF">
      <w:pPr>
        <w:pStyle w:val="TOC5"/>
        <w:rPr>
          <w:rFonts w:asciiTheme="minorHAnsi" w:eastAsiaTheme="minorEastAsia" w:hAnsiTheme="minorHAnsi" w:cstheme="minorBidi"/>
          <w:kern w:val="2"/>
          <w:szCs w:val="24"/>
          <w14:ligatures w14:val="standardContextual"/>
        </w:rPr>
      </w:pPr>
      <w:hyperlink w:anchor="_Toc213771822" w:history="1">
        <w:r w:rsidRPr="00AC173C">
          <w:rPr>
            <w:rStyle w:val="Hyperlink"/>
          </w:rPr>
          <w:t>4.2.2.5.2</w:t>
        </w:r>
        <w:r>
          <w:rPr>
            <w:rFonts w:asciiTheme="minorHAnsi" w:eastAsiaTheme="minorEastAsia" w:hAnsiTheme="minorHAnsi" w:cstheme="minorBidi"/>
            <w:kern w:val="2"/>
            <w:szCs w:val="24"/>
            <w14:ligatures w14:val="standardContextual"/>
          </w:rPr>
          <w:tab/>
        </w:r>
        <w:r w:rsidRPr="00AC173C">
          <w:rPr>
            <w:rStyle w:val="Hyperlink"/>
          </w:rPr>
          <w:t>Electric Storage Resource (ESR)</w:t>
        </w:r>
        <w:r>
          <w:rPr>
            <w:webHidden/>
          </w:rPr>
          <w:tab/>
        </w:r>
        <w:r>
          <w:rPr>
            <w:webHidden/>
          </w:rPr>
          <w:fldChar w:fldCharType="begin"/>
        </w:r>
        <w:r>
          <w:rPr>
            <w:webHidden/>
          </w:rPr>
          <w:instrText xml:space="preserve"> PAGEREF _Toc213771822 \h </w:instrText>
        </w:r>
        <w:r>
          <w:rPr>
            <w:webHidden/>
          </w:rPr>
        </w:r>
        <w:r>
          <w:rPr>
            <w:webHidden/>
          </w:rPr>
          <w:fldChar w:fldCharType="separate"/>
        </w:r>
        <w:r>
          <w:rPr>
            <w:webHidden/>
          </w:rPr>
          <w:t>123</w:t>
        </w:r>
        <w:r>
          <w:rPr>
            <w:webHidden/>
          </w:rPr>
          <w:fldChar w:fldCharType="end"/>
        </w:r>
      </w:hyperlink>
    </w:p>
    <w:p w14:paraId="5B28B22E" w14:textId="029AE886" w:rsidR="00023ECF" w:rsidRDefault="00023ECF">
      <w:pPr>
        <w:pStyle w:val="TOC5"/>
        <w:rPr>
          <w:rFonts w:asciiTheme="minorHAnsi" w:eastAsiaTheme="minorEastAsia" w:hAnsiTheme="minorHAnsi" w:cstheme="minorBidi"/>
          <w:kern w:val="2"/>
          <w:szCs w:val="24"/>
          <w14:ligatures w14:val="standardContextual"/>
        </w:rPr>
      </w:pPr>
      <w:hyperlink w:anchor="_Toc213771823" w:history="1">
        <w:r w:rsidRPr="00AC173C">
          <w:rPr>
            <w:rStyle w:val="Hyperlink"/>
          </w:rPr>
          <w:t>4.2.2.5.3</w:t>
        </w:r>
        <w:r>
          <w:rPr>
            <w:rFonts w:asciiTheme="minorHAnsi" w:eastAsiaTheme="minorEastAsia" w:hAnsiTheme="minorHAnsi" w:cstheme="minorBidi"/>
            <w:kern w:val="2"/>
            <w:szCs w:val="24"/>
            <w14:ligatures w14:val="standardContextual"/>
          </w:rPr>
          <w:tab/>
        </w:r>
        <w:r w:rsidRPr="00AC173C">
          <w:rPr>
            <w:rStyle w:val="Hyperlink"/>
          </w:rPr>
          <w:t>Hybrid Storage Market Resource (HSMR)</w:t>
        </w:r>
        <w:r>
          <w:rPr>
            <w:webHidden/>
          </w:rPr>
          <w:tab/>
        </w:r>
        <w:r>
          <w:rPr>
            <w:webHidden/>
          </w:rPr>
          <w:fldChar w:fldCharType="begin"/>
        </w:r>
        <w:r>
          <w:rPr>
            <w:webHidden/>
          </w:rPr>
          <w:instrText xml:space="preserve"> PAGEREF _Toc213771823 \h </w:instrText>
        </w:r>
        <w:r>
          <w:rPr>
            <w:webHidden/>
          </w:rPr>
        </w:r>
        <w:r>
          <w:rPr>
            <w:webHidden/>
          </w:rPr>
          <w:fldChar w:fldCharType="separate"/>
        </w:r>
        <w:r>
          <w:rPr>
            <w:webHidden/>
          </w:rPr>
          <w:t>124</w:t>
        </w:r>
        <w:r>
          <w:rPr>
            <w:webHidden/>
          </w:rPr>
          <w:fldChar w:fldCharType="end"/>
        </w:r>
      </w:hyperlink>
    </w:p>
    <w:p w14:paraId="43486A6C" w14:textId="527FD821" w:rsidR="00023ECF" w:rsidRDefault="00023ECF">
      <w:pPr>
        <w:pStyle w:val="TOC5"/>
        <w:rPr>
          <w:rFonts w:asciiTheme="minorHAnsi" w:eastAsiaTheme="minorEastAsia" w:hAnsiTheme="minorHAnsi" w:cstheme="minorBidi"/>
          <w:kern w:val="2"/>
          <w:szCs w:val="24"/>
          <w14:ligatures w14:val="standardContextual"/>
        </w:rPr>
      </w:pPr>
      <w:hyperlink w:anchor="_Toc213771824" w:history="1">
        <w:r w:rsidRPr="00AC173C">
          <w:rPr>
            <w:rStyle w:val="Hyperlink"/>
          </w:rPr>
          <w:t>4.2.2.5.4</w:t>
        </w:r>
        <w:r>
          <w:rPr>
            <w:rFonts w:asciiTheme="minorHAnsi" w:eastAsiaTheme="minorEastAsia" w:hAnsiTheme="minorHAnsi" w:cstheme="minorBidi"/>
            <w:kern w:val="2"/>
            <w:szCs w:val="24"/>
            <w14:ligatures w14:val="standardContextual"/>
          </w:rPr>
          <w:tab/>
        </w:r>
        <w:r w:rsidRPr="00AC173C">
          <w:rPr>
            <w:rStyle w:val="Hyperlink"/>
          </w:rPr>
          <w:t>Variable Energy Resources (VER)</w:t>
        </w:r>
        <w:r>
          <w:rPr>
            <w:webHidden/>
          </w:rPr>
          <w:tab/>
        </w:r>
        <w:r>
          <w:rPr>
            <w:webHidden/>
          </w:rPr>
          <w:fldChar w:fldCharType="begin"/>
        </w:r>
        <w:r>
          <w:rPr>
            <w:webHidden/>
          </w:rPr>
          <w:instrText xml:space="preserve"> PAGEREF _Toc213771824 \h </w:instrText>
        </w:r>
        <w:r>
          <w:rPr>
            <w:webHidden/>
          </w:rPr>
        </w:r>
        <w:r>
          <w:rPr>
            <w:webHidden/>
          </w:rPr>
          <w:fldChar w:fldCharType="separate"/>
        </w:r>
        <w:r>
          <w:rPr>
            <w:webHidden/>
          </w:rPr>
          <w:t>125</w:t>
        </w:r>
        <w:r>
          <w:rPr>
            <w:webHidden/>
          </w:rPr>
          <w:fldChar w:fldCharType="end"/>
        </w:r>
      </w:hyperlink>
    </w:p>
    <w:p w14:paraId="4C2797A9" w14:textId="6843F327" w:rsidR="00023ECF" w:rsidRDefault="00023ECF">
      <w:pPr>
        <w:pStyle w:val="TOC6"/>
        <w:rPr>
          <w:rFonts w:asciiTheme="minorHAnsi" w:eastAsiaTheme="minorEastAsia" w:hAnsiTheme="minorHAnsi" w:cstheme="minorBidi"/>
          <w:noProof/>
          <w:kern w:val="2"/>
          <w:szCs w:val="24"/>
          <w14:ligatures w14:val="standardContextual"/>
        </w:rPr>
      </w:pPr>
      <w:hyperlink w:anchor="_Toc213771825" w:history="1">
        <w:r w:rsidRPr="00AC173C">
          <w:rPr>
            <w:rStyle w:val="Hyperlink"/>
            <w:bCs/>
            <w:noProof/>
          </w:rPr>
          <w:t>4.2.2.5.4.1</w:t>
        </w:r>
        <w:r>
          <w:rPr>
            <w:rFonts w:asciiTheme="minorHAnsi" w:eastAsiaTheme="minorEastAsia" w:hAnsiTheme="minorHAnsi" w:cstheme="minorBidi"/>
            <w:noProof/>
            <w:kern w:val="2"/>
            <w:szCs w:val="24"/>
            <w14:ligatures w14:val="standardContextual"/>
          </w:rPr>
          <w:tab/>
        </w:r>
        <w:r w:rsidRPr="00AC173C">
          <w:rPr>
            <w:rStyle w:val="Hyperlink"/>
            <w:noProof/>
          </w:rPr>
          <w:t>Dispatchable Variable Energy Resources (DVER)</w:t>
        </w:r>
        <w:r>
          <w:rPr>
            <w:noProof/>
            <w:webHidden/>
          </w:rPr>
          <w:tab/>
        </w:r>
        <w:r>
          <w:rPr>
            <w:noProof/>
            <w:webHidden/>
          </w:rPr>
          <w:fldChar w:fldCharType="begin"/>
        </w:r>
        <w:r>
          <w:rPr>
            <w:noProof/>
            <w:webHidden/>
          </w:rPr>
          <w:instrText xml:space="preserve"> PAGEREF _Toc213771825 \h </w:instrText>
        </w:r>
        <w:r>
          <w:rPr>
            <w:noProof/>
            <w:webHidden/>
          </w:rPr>
        </w:r>
        <w:r>
          <w:rPr>
            <w:noProof/>
            <w:webHidden/>
          </w:rPr>
          <w:fldChar w:fldCharType="separate"/>
        </w:r>
        <w:r>
          <w:rPr>
            <w:noProof/>
            <w:webHidden/>
          </w:rPr>
          <w:t>125</w:t>
        </w:r>
        <w:r>
          <w:rPr>
            <w:noProof/>
            <w:webHidden/>
          </w:rPr>
          <w:fldChar w:fldCharType="end"/>
        </w:r>
      </w:hyperlink>
    </w:p>
    <w:p w14:paraId="25F213D9" w14:textId="0F5D2CDD" w:rsidR="00023ECF" w:rsidRDefault="00023ECF">
      <w:pPr>
        <w:pStyle w:val="TOC6"/>
        <w:rPr>
          <w:rFonts w:asciiTheme="minorHAnsi" w:eastAsiaTheme="minorEastAsia" w:hAnsiTheme="minorHAnsi" w:cstheme="minorBidi"/>
          <w:noProof/>
          <w:kern w:val="2"/>
          <w:szCs w:val="24"/>
          <w14:ligatures w14:val="standardContextual"/>
        </w:rPr>
      </w:pPr>
      <w:hyperlink w:anchor="_Toc213771826" w:history="1">
        <w:r w:rsidRPr="00AC173C">
          <w:rPr>
            <w:rStyle w:val="Hyperlink"/>
            <w:bCs/>
            <w:noProof/>
          </w:rPr>
          <w:t>4.2.2.5.4.2</w:t>
        </w:r>
        <w:r>
          <w:rPr>
            <w:rFonts w:asciiTheme="minorHAnsi" w:eastAsiaTheme="minorEastAsia" w:hAnsiTheme="minorHAnsi" w:cstheme="minorBidi"/>
            <w:noProof/>
            <w:kern w:val="2"/>
            <w:szCs w:val="24"/>
            <w14:ligatures w14:val="standardContextual"/>
          </w:rPr>
          <w:tab/>
        </w:r>
        <w:r w:rsidRPr="00AC173C">
          <w:rPr>
            <w:rStyle w:val="Hyperlink"/>
            <w:noProof/>
          </w:rPr>
          <w:t>Non-Dispatchable Variable Energy Resources (NDVER)</w:t>
        </w:r>
        <w:r>
          <w:rPr>
            <w:noProof/>
            <w:webHidden/>
          </w:rPr>
          <w:tab/>
        </w:r>
        <w:r>
          <w:rPr>
            <w:noProof/>
            <w:webHidden/>
          </w:rPr>
          <w:fldChar w:fldCharType="begin"/>
        </w:r>
        <w:r>
          <w:rPr>
            <w:noProof/>
            <w:webHidden/>
          </w:rPr>
          <w:instrText xml:space="preserve"> PAGEREF _Toc213771826 \h </w:instrText>
        </w:r>
        <w:r>
          <w:rPr>
            <w:noProof/>
            <w:webHidden/>
          </w:rPr>
        </w:r>
        <w:r>
          <w:rPr>
            <w:noProof/>
            <w:webHidden/>
          </w:rPr>
          <w:fldChar w:fldCharType="separate"/>
        </w:r>
        <w:r>
          <w:rPr>
            <w:noProof/>
            <w:webHidden/>
          </w:rPr>
          <w:t>126</w:t>
        </w:r>
        <w:r>
          <w:rPr>
            <w:noProof/>
            <w:webHidden/>
          </w:rPr>
          <w:fldChar w:fldCharType="end"/>
        </w:r>
      </w:hyperlink>
    </w:p>
    <w:p w14:paraId="52F0436C" w14:textId="75560510" w:rsidR="00023ECF" w:rsidRDefault="00023ECF">
      <w:pPr>
        <w:pStyle w:val="TOC5"/>
        <w:rPr>
          <w:rFonts w:asciiTheme="minorHAnsi" w:eastAsiaTheme="minorEastAsia" w:hAnsiTheme="minorHAnsi" w:cstheme="minorBidi"/>
          <w:kern w:val="2"/>
          <w:szCs w:val="24"/>
          <w14:ligatures w14:val="standardContextual"/>
        </w:rPr>
      </w:pPr>
      <w:hyperlink w:anchor="_Toc213771827" w:history="1">
        <w:r w:rsidRPr="00AC173C">
          <w:rPr>
            <w:rStyle w:val="Hyperlink"/>
          </w:rPr>
          <w:t>4.2.2.5.5</w:t>
        </w:r>
        <w:r>
          <w:rPr>
            <w:rFonts w:asciiTheme="minorHAnsi" w:eastAsiaTheme="minorEastAsia" w:hAnsiTheme="minorHAnsi" w:cstheme="minorBidi"/>
            <w:kern w:val="2"/>
            <w:szCs w:val="24"/>
            <w14:ligatures w14:val="standardContextual"/>
          </w:rPr>
          <w:tab/>
        </w:r>
        <w:r w:rsidRPr="00AC173C">
          <w:rPr>
            <w:rStyle w:val="Hyperlink"/>
          </w:rPr>
          <w:t>Fuel-Limited Resource</w:t>
        </w:r>
        <w:r>
          <w:rPr>
            <w:webHidden/>
          </w:rPr>
          <w:tab/>
        </w:r>
        <w:r>
          <w:rPr>
            <w:webHidden/>
          </w:rPr>
          <w:fldChar w:fldCharType="begin"/>
        </w:r>
        <w:r>
          <w:rPr>
            <w:webHidden/>
          </w:rPr>
          <w:instrText xml:space="preserve"> PAGEREF _Toc213771827 \h </w:instrText>
        </w:r>
        <w:r>
          <w:rPr>
            <w:webHidden/>
          </w:rPr>
        </w:r>
        <w:r>
          <w:rPr>
            <w:webHidden/>
          </w:rPr>
          <w:fldChar w:fldCharType="separate"/>
        </w:r>
        <w:r>
          <w:rPr>
            <w:webHidden/>
          </w:rPr>
          <w:t>127</w:t>
        </w:r>
        <w:r>
          <w:rPr>
            <w:webHidden/>
          </w:rPr>
          <w:fldChar w:fldCharType="end"/>
        </w:r>
      </w:hyperlink>
    </w:p>
    <w:p w14:paraId="66576D09" w14:textId="11DCD60E" w:rsidR="00023ECF" w:rsidRDefault="00023ECF">
      <w:pPr>
        <w:pStyle w:val="TOC5"/>
        <w:rPr>
          <w:rFonts w:asciiTheme="minorHAnsi" w:eastAsiaTheme="minorEastAsia" w:hAnsiTheme="minorHAnsi" w:cstheme="minorBidi"/>
          <w:kern w:val="2"/>
          <w:szCs w:val="24"/>
          <w14:ligatures w14:val="standardContextual"/>
        </w:rPr>
      </w:pPr>
      <w:hyperlink w:anchor="_Toc213771828" w:history="1">
        <w:r w:rsidRPr="00AC173C">
          <w:rPr>
            <w:rStyle w:val="Hyperlink"/>
          </w:rPr>
          <w:t>4.2.2.5.6</w:t>
        </w:r>
        <w:r>
          <w:rPr>
            <w:rFonts w:asciiTheme="minorHAnsi" w:eastAsiaTheme="minorEastAsia" w:hAnsiTheme="minorHAnsi" w:cstheme="minorBidi"/>
            <w:kern w:val="2"/>
            <w:szCs w:val="24"/>
            <w14:ligatures w14:val="standardContextual"/>
          </w:rPr>
          <w:tab/>
        </w:r>
        <w:r w:rsidRPr="00AC173C">
          <w:rPr>
            <w:rStyle w:val="Hyperlink"/>
          </w:rPr>
          <w:t>Resource Aggregation</w:t>
        </w:r>
        <w:r>
          <w:rPr>
            <w:webHidden/>
          </w:rPr>
          <w:tab/>
        </w:r>
        <w:r>
          <w:rPr>
            <w:webHidden/>
          </w:rPr>
          <w:fldChar w:fldCharType="begin"/>
        </w:r>
        <w:r>
          <w:rPr>
            <w:webHidden/>
          </w:rPr>
          <w:instrText xml:space="preserve"> PAGEREF _Toc213771828 \h </w:instrText>
        </w:r>
        <w:r>
          <w:rPr>
            <w:webHidden/>
          </w:rPr>
        </w:r>
        <w:r>
          <w:rPr>
            <w:webHidden/>
          </w:rPr>
          <w:fldChar w:fldCharType="separate"/>
        </w:r>
        <w:r>
          <w:rPr>
            <w:webHidden/>
          </w:rPr>
          <w:t>127</w:t>
        </w:r>
        <w:r>
          <w:rPr>
            <w:webHidden/>
          </w:rPr>
          <w:fldChar w:fldCharType="end"/>
        </w:r>
      </w:hyperlink>
    </w:p>
    <w:p w14:paraId="42FED433" w14:textId="5BB0FB33" w:rsidR="00023ECF" w:rsidRDefault="00023ECF">
      <w:pPr>
        <w:pStyle w:val="TOC5"/>
        <w:rPr>
          <w:rFonts w:asciiTheme="minorHAnsi" w:eastAsiaTheme="minorEastAsia" w:hAnsiTheme="minorHAnsi" w:cstheme="minorBidi"/>
          <w:kern w:val="2"/>
          <w:szCs w:val="24"/>
          <w14:ligatures w14:val="standardContextual"/>
        </w:rPr>
      </w:pPr>
      <w:hyperlink w:anchor="_Toc213771829" w:history="1">
        <w:r w:rsidRPr="00AC173C">
          <w:rPr>
            <w:rStyle w:val="Hyperlink"/>
          </w:rPr>
          <w:t>4.2.2.5.7</w:t>
        </w:r>
        <w:r>
          <w:rPr>
            <w:rFonts w:asciiTheme="minorHAnsi" w:eastAsiaTheme="minorEastAsia" w:hAnsiTheme="minorHAnsi" w:cstheme="minorBidi"/>
            <w:kern w:val="2"/>
            <w:szCs w:val="24"/>
            <w14:ligatures w14:val="standardContextual"/>
          </w:rPr>
          <w:tab/>
        </w:r>
        <w:r w:rsidRPr="00AC173C">
          <w:rPr>
            <w:rStyle w:val="Hyperlink"/>
          </w:rPr>
          <w:t>Jointly Owned Unit (JOU)</w:t>
        </w:r>
        <w:r>
          <w:rPr>
            <w:webHidden/>
          </w:rPr>
          <w:tab/>
        </w:r>
        <w:r>
          <w:rPr>
            <w:webHidden/>
          </w:rPr>
          <w:fldChar w:fldCharType="begin"/>
        </w:r>
        <w:r>
          <w:rPr>
            <w:webHidden/>
          </w:rPr>
          <w:instrText xml:space="preserve"> PAGEREF _Toc213771829 \h </w:instrText>
        </w:r>
        <w:r>
          <w:rPr>
            <w:webHidden/>
          </w:rPr>
        </w:r>
        <w:r>
          <w:rPr>
            <w:webHidden/>
          </w:rPr>
          <w:fldChar w:fldCharType="separate"/>
        </w:r>
        <w:r>
          <w:rPr>
            <w:webHidden/>
          </w:rPr>
          <w:t>128</w:t>
        </w:r>
        <w:r>
          <w:rPr>
            <w:webHidden/>
          </w:rPr>
          <w:fldChar w:fldCharType="end"/>
        </w:r>
      </w:hyperlink>
    </w:p>
    <w:p w14:paraId="451F91E0" w14:textId="6B2B224C" w:rsidR="00023ECF" w:rsidRDefault="00023ECF">
      <w:pPr>
        <w:pStyle w:val="TOC5"/>
        <w:rPr>
          <w:rFonts w:asciiTheme="minorHAnsi" w:eastAsiaTheme="minorEastAsia" w:hAnsiTheme="minorHAnsi" w:cstheme="minorBidi"/>
          <w:kern w:val="2"/>
          <w:szCs w:val="24"/>
          <w14:ligatures w14:val="standardContextual"/>
        </w:rPr>
      </w:pPr>
      <w:hyperlink w:anchor="_Toc213771830" w:history="1">
        <w:r w:rsidRPr="00AC173C">
          <w:rPr>
            <w:rStyle w:val="Hyperlink"/>
          </w:rPr>
          <w:t>4.2.2.5.8</w:t>
        </w:r>
        <w:r>
          <w:rPr>
            <w:rFonts w:asciiTheme="minorHAnsi" w:eastAsiaTheme="minorEastAsia" w:hAnsiTheme="minorHAnsi" w:cstheme="minorBidi"/>
            <w:kern w:val="2"/>
            <w:szCs w:val="24"/>
            <w14:ligatures w14:val="standardContextual"/>
          </w:rPr>
          <w:tab/>
        </w:r>
        <w:r w:rsidRPr="00AC173C">
          <w:rPr>
            <w:rStyle w:val="Hyperlink"/>
          </w:rPr>
          <w:t>Combined Cycle Resource</w:t>
        </w:r>
        <w:r>
          <w:rPr>
            <w:webHidden/>
          </w:rPr>
          <w:tab/>
        </w:r>
        <w:r>
          <w:rPr>
            <w:webHidden/>
          </w:rPr>
          <w:fldChar w:fldCharType="begin"/>
        </w:r>
        <w:r>
          <w:rPr>
            <w:webHidden/>
          </w:rPr>
          <w:instrText xml:space="preserve"> PAGEREF _Toc213771830 \h </w:instrText>
        </w:r>
        <w:r>
          <w:rPr>
            <w:webHidden/>
          </w:rPr>
        </w:r>
        <w:r>
          <w:rPr>
            <w:webHidden/>
          </w:rPr>
          <w:fldChar w:fldCharType="separate"/>
        </w:r>
        <w:r>
          <w:rPr>
            <w:webHidden/>
          </w:rPr>
          <w:t>130</w:t>
        </w:r>
        <w:r>
          <w:rPr>
            <w:webHidden/>
          </w:rPr>
          <w:fldChar w:fldCharType="end"/>
        </w:r>
      </w:hyperlink>
    </w:p>
    <w:p w14:paraId="672C270C" w14:textId="6A9AFE5D" w:rsidR="00023ECF" w:rsidRDefault="00023ECF">
      <w:pPr>
        <w:pStyle w:val="TOC4"/>
        <w:rPr>
          <w:rFonts w:asciiTheme="minorHAnsi" w:eastAsiaTheme="minorEastAsia" w:hAnsiTheme="minorHAnsi" w:cstheme="minorBidi"/>
          <w:bCs w:val="0"/>
          <w:kern w:val="2"/>
          <w:szCs w:val="24"/>
          <w14:ligatures w14:val="standardContextual"/>
        </w:rPr>
      </w:pPr>
      <w:hyperlink w:anchor="_Toc213771831" w:history="1">
        <w:r w:rsidRPr="00AC173C">
          <w:rPr>
            <w:rStyle w:val="Hyperlink"/>
          </w:rPr>
          <w:t>4.2.2.6</w:t>
        </w:r>
        <w:r>
          <w:rPr>
            <w:rFonts w:asciiTheme="minorHAnsi" w:eastAsiaTheme="minorEastAsia" w:hAnsiTheme="minorHAnsi" w:cstheme="minorBidi"/>
            <w:bCs w:val="0"/>
            <w:kern w:val="2"/>
            <w:szCs w:val="24"/>
            <w14:ligatures w14:val="standardContextual"/>
          </w:rPr>
          <w:tab/>
        </w:r>
        <w:r w:rsidRPr="00AC173C">
          <w:rPr>
            <w:rStyle w:val="Hyperlink"/>
          </w:rPr>
          <w:t>Virtual Energy Offers</w:t>
        </w:r>
        <w:r>
          <w:rPr>
            <w:webHidden/>
          </w:rPr>
          <w:tab/>
        </w:r>
        <w:r>
          <w:rPr>
            <w:webHidden/>
          </w:rPr>
          <w:fldChar w:fldCharType="begin"/>
        </w:r>
        <w:r>
          <w:rPr>
            <w:webHidden/>
          </w:rPr>
          <w:instrText xml:space="preserve"> PAGEREF _Toc213771831 \h </w:instrText>
        </w:r>
        <w:r>
          <w:rPr>
            <w:webHidden/>
          </w:rPr>
        </w:r>
        <w:r>
          <w:rPr>
            <w:webHidden/>
          </w:rPr>
          <w:fldChar w:fldCharType="separate"/>
        </w:r>
        <w:r>
          <w:rPr>
            <w:webHidden/>
          </w:rPr>
          <w:t>132</w:t>
        </w:r>
        <w:r>
          <w:rPr>
            <w:webHidden/>
          </w:rPr>
          <w:fldChar w:fldCharType="end"/>
        </w:r>
      </w:hyperlink>
    </w:p>
    <w:p w14:paraId="23E2EE0C" w14:textId="11CD74B6" w:rsidR="00023ECF" w:rsidRDefault="00023ECF">
      <w:pPr>
        <w:pStyle w:val="TOC4"/>
        <w:rPr>
          <w:rFonts w:asciiTheme="minorHAnsi" w:eastAsiaTheme="minorEastAsia" w:hAnsiTheme="minorHAnsi" w:cstheme="minorBidi"/>
          <w:bCs w:val="0"/>
          <w:kern w:val="2"/>
          <w:szCs w:val="24"/>
          <w14:ligatures w14:val="standardContextual"/>
        </w:rPr>
      </w:pPr>
      <w:hyperlink w:anchor="_Toc213771832" w:history="1">
        <w:r w:rsidRPr="00AC173C">
          <w:rPr>
            <w:rStyle w:val="Hyperlink"/>
          </w:rPr>
          <w:t>4.2.2.7</w:t>
        </w:r>
        <w:r>
          <w:rPr>
            <w:rFonts w:asciiTheme="minorHAnsi" w:eastAsiaTheme="minorEastAsia" w:hAnsiTheme="minorHAnsi" w:cstheme="minorBidi"/>
            <w:bCs w:val="0"/>
            <w:kern w:val="2"/>
            <w:szCs w:val="24"/>
            <w14:ligatures w14:val="standardContextual"/>
          </w:rPr>
          <w:tab/>
        </w:r>
        <w:r w:rsidRPr="00AC173C">
          <w:rPr>
            <w:rStyle w:val="Hyperlink"/>
          </w:rPr>
          <w:t>Import Interchange Transaction Offers</w:t>
        </w:r>
        <w:r>
          <w:rPr>
            <w:webHidden/>
          </w:rPr>
          <w:tab/>
        </w:r>
        <w:r>
          <w:rPr>
            <w:webHidden/>
          </w:rPr>
          <w:fldChar w:fldCharType="begin"/>
        </w:r>
        <w:r>
          <w:rPr>
            <w:webHidden/>
          </w:rPr>
          <w:instrText xml:space="preserve"> PAGEREF _Toc213771832 \h </w:instrText>
        </w:r>
        <w:r>
          <w:rPr>
            <w:webHidden/>
          </w:rPr>
        </w:r>
        <w:r>
          <w:rPr>
            <w:webHidden/>
          </w:rPr>
          <w:fldChar w:fldCharType="separate"/>
        </w:r>
        <w:r>
          <w:rPr>
            <w:webHidden/>
          </w:rPr>
          <w:t>134</w:t>
        </w:r>
        <w:r>
          <w:rPr>
            <w:webHidden/>
          </w:rPr>
          <w:fldChar w:fldCharType="end"/>
        </w:r>
      </w:hyperlink>
    </w:p>
    <w:p w14:paraId="53D31168" w14:textId="2013F98B" w:rsidR="00023ECF" w:rsidRDefault="00023ECF">
      <w:pPr>
        <w:pStyle w:val="TOC3"/>
        <w:rPr>
          <w:rFonts w:asciiTheme="minorHAnsi" w:eastAsiaTheme="minorEastAsia" w:hAnsiTheme="minorHAnsi" w:cstheme="minorBidi"/>
          <w:bCs w:val="0"/>
          <w:kern w:val="2"/>
          <w:szCs w:val="24"/>
          <w14:ligatures w14:val="standardContextual"/>
        </w:rPr>
      </w:pPr>
      <w:hyperlink w:anchor="_Toc213771833" w:history="1">
        <w:r w:rsidRPr="00AC173C">
          <w:rPr>
            <w:rStyle w:val="Hyperlink"/>
          </w:rPr>
          <w:t>4.2.3</w:t>
        </w:r>
        <w:r>
          <w:rPr>
            <w:rFonts w:asciiTheme="minorHAnsi" w:eastAsiaTheme="minorEastAsia" w:hAnsiTheme="minorHAnsi" w:cstheme="minorBidi"/>
            <w:bCs w:val="0"/>
            <w:kern w:val="2"/>
            <w:szCs w:val="24"/>
            <w14:ligatures w14:val="standardContextual"/>
          </w:rPr>
          <w:tab/>
        </w:r>
        <w:r w:rsidRPr="00AC173C">
          <w:rPr>
            <w:rStyle w:val="Hyperlink"/>
          </w:rPr>
          <w:t>Bid Submittal</w:t>
        </w:r>
        <w:r>
          <w:rPr>
            <w:webHidden/>
          </w:rPr>
          <w:tab/>
        </w:r>
        <w:r>
          <w:rPr>
            <w:webHidden/>
          </w:rPr>
          <w:fldChar w:fldCharType="begin"/>
        </w:r>
        <w:r>
          <w:rPr>
            <w:webHidden/>
          </w:rPr>
          <w:instrText xml:space="preserve"> PAGEREF _Toc213771833 \h </w:instrText>
        </w:r>
        <w:r>
          <w:rPr>
            <w:webHidden/>
          </w:rPr>
        </w:r>
        <w:r>
          <w:rPr>
            <w:webHidden/>
          </w:rPr>
          <w:fldChar w:fldCharType="separate"/>
        </w:r>
        <w:r>
          <w:rPr>
            <w:webHidden/>
          </w:rPr>
          <w:t>137</w:t>
        </w:r>
        <w:r>
          <w:rPr>
            <w:webHidden/>
          </w:rPr>
          <w:fldChar w:fldCharType="end"/>
        </w:r>
      </w:hyperlink>
    </w:p>
    <w:p w14:paraId="634FB4D2" w14:textId="28A54ED5" w:rsidR="00023ECF" w:rsidRDefault="00023ECF">
      <w:pPr>
        <w:pStyle w:val="TOC4"/>
        <w:rPr>
          <w:rFonts w:asciiTheme="minorHAnsi" w:eastAsiaTheme="minorEastAsia" w:hAnsiTheme="minorHAnsi" w:cstheme="minorBidi"/>
          <w:bCs w:val="0"/>
          <w:kern w:val="2"/>
          <w:szCs w:val="24"/>
          <w14:ligatures w14:val="standardContextual"/>
        </w:rPr>
      </w:pPr>
      <w:hyperlink w:anchor="_Toc213771834" w:history="1">
        <w:r w:rsidRPr="00AC173C">
          <w:rPr>
            <w:rStyle w:val="Hyperlink"/>
          </w:rPr>
          <w:t>4.2.3.1</w:t>
        </w:r>
        <w:r>
          <w:rPr>
            <w:rFonts w:asciiTheme="minorHAnsi" w:eastAsiaTheme="minorEastAsia" w:hAnsiTheme="minorHAnsi" w:cstheme="minorBidi"/>
            <w:bCs w:val="0"/>
            <w:kern w:val="2"/>
            <w:szCs w:val="24"/>
            <w14:ligatures w14:val="standardContextual"/>
          </w:rPr>
          <w:tab/>
        </w:r>
        <w:r w:rsidRPr="00AC173C">
          <w:rPr>
            <w:rStyle w:val="Hyperlink"/>
          </w:rPr>
          <w:t>Demand Bids</w:t>
        </w:r>
        <w:r>
          <w:rPr>
            <w:webHidden/>
          </w:rPr>
          <w:tab/>
        </w:r>
        <w:r>
          <w:rPr>
            <w:webHidden/>
          </w:rPr>
          <w:fldChar w:fldCharType="begin"/>
        </w:r>
        <w:r>
          <w:rPr>
            <w:webHidden/>
          </w:rPr>
          <w:instrText xml:space="preserve"> PAGEREF _Toc213771834 \h </w:instrText>
        </w:r>
        <w:r>
          <w:rPr>
            <w:webHidden/>
          </w:rPr>
        </w:r>
        <w:r>
          <w:rPr>
            <w:webHidden/>
          </w:rPr>
          <w:fldChar w:fldCharType="separate"/>
        </w:r>
        <w:r>
          <w:rPr>
            <w:webHidden/>
          </w:rPr>
          <w:t>138</w:t>
        </w:r>
        <w:r>
          <w:rPr>
            <w:webHidden/>
          </w:rPr>
          <w:fldChar w:fldCharType="end"/>
        </w:r>
      </w:hyperlink>
    </w:p>
    <w:p w14:paraId="03D8C7AA" w14:textId="45EB8588" w:rsidR="00023ECF" w:rsidRDefault="00023ECF">
      <w:pPr>
        <w:pStyle w:val="TOC4"/>
        <w:rPr>
          <w:rFonts w:asciiTheme="minorHAnsi" w:eastAsiaTheme="minorEastAsia" w:hAnsiTheme="minorHAnsi" w:cstheme="minorBidi"/>
          <w:bCs w:val="0"/>
          <w:kern w:val="2"/>
          <w:szCs w:val="24"/>
          <w14:ligatures w14:val="standardContextual"/>
        </w:rPr>
      </w:pPr>
      <w:hyperlink w:anchor="_Toc213771835" w:history="1">
        <w:r w:rsidRPr="00AC173C">
          <w:rPr>
            <w:rStyle w:val="Hyperlink"/>
          </w:rPr>
          <w:t>4.2.3.2</w:t>
        </w:r>
        <w:r>
          <w:rPr>
            <w:rFonts w:asciiTheme="minorHAnsi" w:eastAsiaTheme="minorEastAsia" w:hAnsiTheme="minorHAnsi" w:cstheme="minorBidi"/>
            <w:bCs w:val="0"/>
            <w:kern w:val="2"/>
            <w:szCs w:val="24"/>
            <w14:ligatures w14:val="standardContextual"/>
          </w:rPr>
          <w:tab/>
        </w:r>
        <w:r w:rsidRPr="00AC173C">
          <w:rPr>
            <w:rStyle w:val="Hyperlink"/>
          </w:rPr>
          <w:t>Virtual Energy Bids</w:t>
        </w:r>
        <w:r>
          <w:rPr>
            <w:webHidden/>
          </w:rPr>
          <w:tab/>
        </w:r>
        <w:r>
          <w:rPr>
            <w:webHidden/>
          </w:rPr>
          <w:fldChar w:fldCharType="begin"/>
        </w:r>
        <w:r>
          <w:rPr>
            <w:webHidden/>
          </w:rPr>
          <w:instrText xml:space="preserve"> PAGEREF _Toc213771835 \h </w:instrText>
        </w:r>
        <w:r>
          <w:rPr>
            <w:webHidden/>
          </w:rPr>
        </w:r>
        <w:r>
          <w:rPr>
            <w:webHidden/>
          </w:rPr>
          <w:fldChar w:fldCharType="separate"/>
        </w:r>
        <w:r>
          <w:rPr>
            <w:webHidden/>
          </w:rPr>
          <w:t>139</w:t>
        </w:r>
        <w:r>
          <w:rPr>
            <w:webHidden/>
          </w:rPr>
          <w:fldChar w:fldCharType="end"/>
        </w:r>
      </w:hyperlink>
    </w:p>
    <w:p w14:paraId="2E708366" w14:textId="696E42E1" w:rsidR="00023ECF" w:rsidRDefault="00023ECF">
      <w:pPr>
        <w:pStyle w:val="TOC4"/>
        <w:rPr>
          <w:rFonts w:asciiTheme="minorHAnsi" w:eastAsiaTheme="minorEastAsia" w:hAnsiTheme="minorHAnsi" w:cstheme="minorBidi"/>
          <w:bCs w:val="0"/>
          <w:kern w:val="2"/>
          <w:szCs w:val="24"/>
          <w14:ligatures w14:val="standardContextual"/>
        </w:rPr>
      </w:pPr>
      <w:hyperlink w:anchor="_Toc213771836" w:history="1">
        <w:r w:rsidRPr="00AC173C">
          <w:rPr>
            <w:rStyle w:val="Hyperlink"/>
          </w:rPr>
          <w:t>4.2.3.3</w:t>
        </w:r>
        <w:r>
          <w:rPr>
            <w:rFonts w:asciiTheme="minorHAnsi" w:eastAsiaTheme="minorEastAsia" w:hAnsiTheme="minorHAnsi" w:cstheme="minorBidi"/>
            <w:bCs w:val="0"/>
            <w:kern w:val="2"/>
            <w:szCs w:val="24"/>
            <w14:ligatures w14:val="standardContextual"/>
          </w:rPr>
          <w:tab/>
        </w:r>
        <w:r w:rsidRPr="00AC173C">
          <w:rPr>
            <w:rStyle w:val="Hyperlink"/>
          </w:rPr>
          <w:t>Export Interchange Transaction Bids</w:t>
        </w:r>
        <w:r>
          <w:rPr>
            <w:webHidden/>
          </w:rPr>
          <w:tab/>
        </w:r>
        <w:r>
          <w:rPr>
            <w:webHidden/>
          </w:rPr>
          <w:fldChar w:fldCharType="begin"/>
        </w:r>
        <w:r>
          <w:rPr>
            <w:webHidden/>
          </w:rPr>
          <w:instrText xml:space="preserve"> PAGEREF _Toc213771836 \h </w:instrText>
        </w:r>
        <w:r>
          <w:rPr>
            <w:webHidden/>
          </w:rPr>
        </w:r>
        <w:r>
          <w:rPr>
            <w:webHidden/>
          </w:rPr>
          <w:fldChar w:fldCharType="separate"/>
        </w:r>
        <w:r>
          <w:rPr>
            <w:webHidden/>
          </w:rPr>
          <w:t>141</w:t>
        </w:r>
        <w:r>
          <w:rPr>
            <w:webHidden/>
          </w:rPr>
          <w:fldChar w:fldCharType="end"/>
        </w:r>
      </w:hyperlink>
    </w:p>
    <w:p w14:paraId="2D6DB433" w14:textId="569F3C39" w:rsidR="00023ECF" w:rsidRDefault="00023ECF">
      <w:pPr>
        <w:pStyle w:val="TOC3"/>
        <w:rPr>
          <w:rFonts w:asciiTheme="minorHAnsi" w:eastAsiaTheme="minorEastAsia" w:hAnsiTheme="minorHAnsi" w:cstheme="minorBidi"/>
          <w:bCs w:val="0"/>
          <w:kern w:val="2"/>
          <w:szCs w:val="24"/>
          <w14:ligatures w14:val="standardContextual"/>
        </w:rPr>
      </w:pPr>
      <w:hyperlink w:anchor="_Toc213771837" w:history="1">
        <w:r w:rsidRPr="00AC173C">
          <w:rPr>
            <w:rStyle w:val="Hyperlink"/>
          </w:rPr>
          <w:t>4.2.4</w:t>
        </w:r>
        <w:r>
          <w:rPr>
            <w:rFonts w:asciiTheme="minorHAnsi" w:eastAsiaTheme="minorEastAsia" w:hAnsiTheme="minorHAnsi" w:cstheme="minorBidi"/>
            <w:bCs w:val="0"/>
            <w:kern w:val="2"/>
            <w:szCs w:val="24"/>
            <w14:ligatures w14:val="standardContextual"/>
          </w:rPr>
          <w:tab/>
        </w:r>
        <w:r w:rsidRPr="00AC173C">
          <w:rPr>
            <w:rStyle w:val="Hyperlink"/>
          </w:rPr>
          <w:t>Through Interchange Transactions</w:t>
        </w:r>
        <w:r>
          <w:rPr>
            <w:webHidden/>
          </w:rPr>
          <w:tab/>
        </w:r>
        <w:r>
          <w:rPr>
            <w:webHidden/>
          </w:rPr>
          <w:fldChar w:fldCharType="begin"/>
        </w:r>
        <w:r>
          <w:rPr>
            <w:webHidden/>
          </w:rPr>
          <w:instrText xml:space="preserve"> PAGEREF _Toc213771837 \h </w:instrText>
        </w:r>
        <w:r>
          <w:rPr>
            <w:webHidden/>
          </w:rPr>
        </w:r>
        <w:r>
          <w:rPr>
            <w:webHidden/>
          </w:rPr>
          <w:fldChar w:fldCharType="separate"/>
        </w:r>
        <w:r>
          <w:rPr>
            <w:webHidden/>
          </w:rPr>
          <w:t>145</w:t>
        </w:r>
        <w:r>
          <w:rPr>
            <w:webHidden/>
          </w:rPr>
          <w:fldChar w:fldCharType="end"/>
        </w:r>
      </w:hyperlink>
    </w:p>
    <w:p w14:paraId="64A6E1B1" w14:textId="74FFFD4E" w:rsidR="00023ECF" w:rsidRDefault="00023ECF">
      <w:pPr>
        <w:pStyle w:val="TOC3"/>
        <w:rPr>
          <w:rFonts w:asciiTheme="minorHAnsi" w:eastAsiaTheme="minorEastAsia" w:hAnsiTheme="minorHAnsi" w:cstheme="minorBidi"/>
          <w:bCs w:val="0"/>
          <w:kern w:val="2"/>
          <w:szCs w:val="24"/>
          <w14:ligatures w14:val="standardContextual"/>
        </w:rPr>
      </w:pPr>
      <w:hyperlink w:anchor="_Toc213771838" w:history="1">
        <w:r w:rsidRPr="00AC173C">
          <w:rPr>
            <w:rStyle w:val="Hyperlink"/>
          </w:rPr>
          <w:t>4.2.5</w:t>
        </w:r>
        <w:r>
          <w:rPr>
            <w:rFonts w:asciiTheme="minorHAnsi" w:eastAsiaTheme="minorEastAsia" w:hAnsiTheme="minorHAnsi" w:cstheme="minorBidi"/>
            <w:bCs w:val="0"/>
            <w:kern w:val="2"/>
            <w:szCs w:val="24"/>
            <w14:ligatures w14:val="standardContextual"/>
          </w:rPr>
          <w:tab/>
        </w:r>
        <w:r w:rsidRPr="00AC173C">
          <w:rPr>
            <w:rStyle w:val="Hyperlink"/>
          </w:rPr>
          <w:t>Multi-Day Forecast Analysis</w:t>
        </w:r>
        <w:r>
          <w:rPr>
            <w:webHidden/>
          </w:rPr>
          <w:tab/>
        </w:r>
        <w:r>
          <w:rPr>
            <w:webHidden/>
          </w:rPr>
          <w:fldChar w:fldCharType="begin"/>
        </w:r>
        <w:r>
          <w:rPr>
            <w:webHidden/>
          </w:rPr>
          <w:instrText xml:space="preserve"> PAGEREF _Toc213771838 \h </w:instrText>
        </w:r>
        <w:r>
          <w:rPr>
            <w:webHidden/>
          </w:rPr>
        </w:r>
        <w:r>
          <w:rPr>
            <w:webHidden/>
          </w:rPr>
          <w:fldChar w:fldCharType="separate"/>
        </w:r>
        <w:r>
          <w:rPr>
            <w:webHidden/>
          </w:rPr>
          <w:t>146</w:t>
        </w:r>
        <w:r>
          <w:rPr>
            <w:webHidden/>
          </w:rPr>
          <w:fldChar w:fldCharType="end"/>
        </w:r>
      </w:hyperlink>
    </w:p>
    <w:p w14:paraId="712D22FB" w14:textId="38E3AD32" w:rsidR="00023ECF" w:rsidRDefault="00023ECF">
      <w:pPr>
        <w:pStyle w:val="TOC4"/>
        <w:rPr>
          <w:rFonts w:asciiTheme="minorHAnsi" w:eastAsiaTheme="minorEastAsia" w:hAnsiTheme="minorHAnsi" w:cstheme="minorBidi"/>
          <w:bCs w:val="0"/>
          <w:kern w:val="2"/>
          <w:szCs w:val="24"/>
          <w14:ligatures w14:val="standardContextual"/>
        </w:rPr>
      </w:pPr>
      <w:hyperlink w:anchor="_Toc213771839" w:history="1">
        <w:r w:rsidRPr="00AC173C">
          <w:rPr>
            <w:rStyle w:val="Hyperlink"/>
          </w:rPr>
          <w:t>4.2.5.1</w:t>
        </w:r>
        <w:r>
          <w:rPr>
            <w:rFonts w:asciiTheme="minorHAnsi" w:eastAsiaTheme="minorEastAsia" w:hAnsiTheme="minorHAnsi" w:cstheme="minorBidi"/>
            <w:bCs w:val="0"/>
            <w:kern w:val="2"/>
            <w:szCs w:val="24"/>
            <w14:ligatures w14:val="standardContextual"/>
          </w:rPr>
          <w:tab/>
        </w:r>
        <w:r w:rsidRPr="00AC173C">
          <w:rPr>
            <w:rStyle w:val="Hyperlink"/>
          </w:rPr>
          <w:t>Multi-Day Forecast Analysis Inputs</w:t>
        </w:r>
        <w:r>
          <w:rPr>
            <w:webHidden/>
          </w:rPr>
          <w:tab/>
        </w:r>
        <w:r>
          <w:rPr>
            <w:webHidden/>
          </w:rPr>
          <w:fldChar w:fldCharType="begin"/>
        </w:r>
        <w:r>
          <w:rPr>
            <w:webHidden/>
          </w:rPr>
          <w:instrText xml:space="preserve"> PAGEREF _Toc213771839 \h </w:instrText>
        </w:r>
        <w:r>
          <w:rPr>
            <w:webHidden/>
          </w:rPr>
        </w:r>
        <w:r>
          <w:rPr>
            <w:webHidden/>
          </w:rPr>
          <w:fldChar w:fldCharType="separate"/>
        </w:r>
        <w:r>
          <w:rPr>
            <w:webHidden/>
          </w:rPr>
          <w:t>146</w:t>
        </w:r>
        <w:r>
          <w:rPr>
            <w:webHidden/>
          </w:rPr>
          <w:fldChar w:fldCharType="end"/>
        </w:r>
      </w:hyperlink>
    </w:p>
    <w:p w14:paraId="6BA3F5A9" w14:textId="47568F11" w:rsidR="00023ECF" w:rsidRDefault="00023ECF">
      <w:pPr>
        <w:pStyle w:val="TOC4"/>
        <w:rPr>
          <w:rFonts w:asciiTheme="minorHAnsi" w:eastAsiaTheme="minorEastAsia" w:hAnsiTheme="minorHAnsi" w:cstheme="minorBidi"/>
          <w:bCs w:val="0"/>
          <w:kern w:val="2"/>
          <w:szCs w:val="24"/>
          <w14:ligatures w14:val="standardContextual"/>
        </w:rPr>
      </w:pPr>
      <w:hyperlink w:anchor="_Toc213771840" w:history="1">
        <w:r w:rsidRPr="00AC173C">
          <w:rPr>
            <w:rStyle w:val="Hyperlink"/>
          </w:rPr>
          <w:t>4.2.5.2</w:t>
        </w:r>
        <w:r>
          <w:rPr>
            <w:rFonts w:asciiTheme="minorHAnsi" w:eastAsiaTheme="minorEastAsia" w:hAnsiTheme="minorHAnsi" w:cstheme="minorBidi"/>
            <w:bCs w:val="0"/>
            <w:kern w:val="2"/>
            <w:szCs w:val="24"/>
            <w14:ligatures w14:val="standardContextual"/>
          </w:rPr>
          <w:tab/>
        </w:r>
        <w:r w:rsidRPr="00AC173C">
          <w:rPr>
            <w:rStyle w:val="Hyperlink"/>
          </w:rPr>
          <w:t>Multi-Day Forecast Analysis Results</w:t>
        </w:r>
        <w:r>
          <w:rPr>
            <w:webHidden/>
          </w:rPr>
          <w:tab/>
        </w:r>
        <w:r>
          <w:rPr>
            <w:webHidden/>
          </w:rPr>
          <w:fldChar w:fldCharType="begin"/>
        </w:r>
        <w:r>
          <w:rPr>
            <w:webHidden/>
          </w:rPr>
          <w:instrText xml:space="preserve"> PAGEREF _Toc213771840 \h </w:instrText>
        </w:r>
        <w:r>
          <w:rPr>
            <w:webHidden/>
          </w:rPr>
        </w:r>
        <w:r>
          <w:rPr>
            <w:webHidden/>
          </w:rPr>
          <w:fldChar w:fldCharType="separate"/>
        </w:r>
        <w:r>
          <w:rPr>
            <w:webHidden/>
          </w:rPr>
          <w:t>146</w:t>
        </w:r>
        <w:r>
          <w:rPr>
            <w:webHidden/>
          </w:rPr>
          <w:fldChar w:fldCharType="end"/>
        </w:r>
      </w:hyperlink>
    </w:p>
    <w:p w14:paraId="0C14459D" w14:textId="53C026B8" w:rsidR="00023ECF" w:rsidRDefault="00023ECF">
      <w:pPr>
        <w:pStyle w:val="TOC3"/>
        <w:rPr>
          <w:rFonts w:asciiTheme="minorHAnsi" w:eastAsiaTheme="minorEastAsia" w:hAnsiTheme="minorHAnsi" w:cstheme="minorBidi"/>
          <w:bCs w:val="0"/>
          <w:kern w:val="2"/>
          <w:szCs w:val="24"/>
          <w14:ligatures w14:val="standardContextual"/>
        </w:rPr>
      </w:pPr>
      <w:hyperlink w:anchor="_Toc213771841" w:history="1">
        <w:r w:rsidRPr="00AC173C">
          <w:rPr>
            <w:rStyle w:val="Hyperlink"/>
          </w:rPr>
          <w:t>4.2.6</w:t>
        </w:r>
        <w:r>
          <w:rPr>
            <w:rFonts w:asciiTheme="minorHAnsi" w:eastAsiaTheme="minorEastAsia" w:hAnsiTheme="minorHAnsi" w:cstheme="minorBidi"/>
            <w:bCs w:val="0"/>
            <w:kern w:val="2"/>
            <w:szCs w:val="24"/>
            <w14:ligatures w14:val="standardContextual"/>
          </w:rPr>
          <w:tab/>
        </w:r>
        <w:r w:rsidRPr="00AC173C">
          <w:rPr>
            <w:rStyle w:val="Hyperlink"/>
          </w:rPr>
          <w:t>Market Transfer Interface Tagging</w:t>
        </w:r>
        <w:r>
          <w:rPr>
            <w:webHidden/>
          </w:rPr>
          <w:tab/>
        </w:r>
        <w:r>
          <w:rPr>
            <w:webHidden/>
          </w:rPr>
          <w:fldChar w:fldCharType="begin"/>
        </w:r>
        <w:r>
          <w:rPr>
            <w:webHidden/>
          </w:rPr>
          <w:instrText xml:space="preserve"> PAGEREF _Toc213771841 \h </w:instrText>
        </w:r>
        <w:r>
          <w:rPr>
            <w:webHidden/>
          </w:rPr>
        </w:r>
        <w:r>
          <w:rPr>
            <w:webHidden/>
          </w:rPr>
          <w:fldChar w:fldCharType="separate"/>
        </w:r>
        <w:r>
          <w:rPr>
            <w:webHidden/>
          </w:rPr>
          <w:t>147</w:t>
        </w:r>
        <w:r>
          <w:rPr>
            <w:webHidden/>
          </w:rPr>
          <w:fldChar w:fldCharType="end"/>
        </w:r>
      </w:hyperlink>
    </w:p>
    <w:p w14:paraId="00BF5D33" w14:textId="73791E56" w:rsidR="00023ECF" w:rsidRDefault="00023ECF">
      <w:pPr>
        <w:pStyle w:val="TOC2"/>
        <w:rPr>
          <w:rFonts w:asciiTheme="minorHAnsi" w:eastAsiaTheme="minorEastAsia" w:hAnsiTheme="minorHAnsi" w:cstheme="minorBidi"/>
          <w:bCs w:val="0"/>
          <w:kern w:val="2"/>
          <w:szCs w:val="24"/>
          <w14:ligatures w14:val="standardContextual"/>
        </w:rPr>
      </w:pPr>
      <w:hyperlink w:anchor="_Toc213771842" w:history="1">
        <w:r w:rsidRPr="00AC173C">
          <w:rPr>
            <w:rStyle w:val="Hyperlink"/>
          </w:rPr>
          <w:t>4.3</w:t>
        </w:r>
        <w:r>
          <w:rPr>
            <w:rFonts w:asciiTheme="minorHAnsi" w:eastAsiaTheme="minorEastAsia" w:hAnsiTheme="minorHAnsi" w:cstheme="minorBidi"/>
            <w:bCs w:val="0"/>
            <w:kern w:val="2"/>
            <w:szCs w:val="24"/>
            <w14:ligatures w14:val="standardContextual"/>
          </w:rPr>
          <w:tab/>
        </w:r>
        <w:r w:rsidRPr="00AC173C">
          <w:rPr>
            <w:rStyle w:val="Hyperlink"/>
          </w:rPr>
          <w:t>Day-Ahead Activities</w:t>
        </w:r>
        <w:r>
          <w:rPr>
            <w:webHidden/>
          </w:rPr>
          <w:tab/>
        </w:r>
        <w:r>
          <w:rPr>
            <w:webHidden/>
          </w:rPr>
          <w:fldChar w:fldCharType="begin"/>
        </w:r>
        <w:r>
          <w:rPr>
            <w:webHidden/>
          </w:rPr>
          <w:instrText xml:space="preserve"> PAGEREF _Toc213771842 \h </w:instrText>
        </w:r>
        <w:r>
          <w:rPr>
            <w:webHidden/>
          </w:rPr>
        </w:r>
        <w:r>
          <w:rPr>
            <w:webHidden/>
          </w:rPr>
          <w:fldChar w:fldCharType="separate"/>
        </w:r>
        <w:r>
          <w:rPr>
            <w:webHidden/>
          </w:rPr>
          <w:t>147</w:t>
        </w:r>
        <w:r>
          <w:rPr>
            <w:webHidden/>
          </w:rPr>
          <w:fldChar w:fldCharType="end"/>
        </w:r>
      </w:hyperlink>
    </w:p>
    <w:p w14:paraId="486713BE" w14:textId="3E84F97B" w:rsidR="00023ECF" w:rsidRDefault="00023ECF">
      <w:pPr>
        <w:pStyle w:val="TOC3"/>
        <w:rPr>
          <w:rFonts w:asciiTheme="minorHAnsi" w:eastAsiaTheme="minorEastAsia" w:hAnsiTheme="minorHAnsi" w:cstheme="minorBidi"/>
          <w:bCs w:val="0"/>
          <w:kern w:val="2"/>
          <w:szCs w:val="24"/>
          <w14:ligatures w14:val="standardContextual"/>
        </w:rPr>
      </w:pPr>
      <w:hyperlink w:anchor="_Toc213771843" w:history="1">
        <w:r w:rsidRPr="00AC173C">
          <w:rPr>
            <w:rStyle w:val="Hyperlink"/>
          </w:rPr>
          <w:t>4.3.1</w:t>
        </w:r>
        <w:r>
          <w:rPr>
            <w:rFonts w:asciiTheme="minorHAnsi" w:eastAsiaTheme="minorEastAsia" w:hAnsiTheme="minorHAnsi" w:cstheme="minorBidi"/>
            <w:bCs w:val="0"/>
            <w:kern w:val="2"/>
            <w:szCs w:val="24"/>
            <w14:ligatures w14:val="standardContextual"/>
          </w:rPr>
          <w:tab/>
        </w:r>
        <w:r w:rsidRPr="00AC173C">
          <w:rPr>
            <w:rStyle w:val="Hyperlink"/>
          </w:rPr>
          <w:t>Day-Ahead Market</w:t>
        </w:r>
        <w:r>
          <w:rPr>
            <w:webHidden/>
          </w:rPr>
          <w:tab/>
        </w:r>
        <w:r>
          <w:rPr>
            <w:webHidden/>
          </w:rPr>
          <w:fldChar w:fldCharType="begin"/>
        </w:r>
        <w:r>
          <w:rPr>
            <w:webHidden/>
          </w:rPr>
          <w:instrText xml:space="preserve"> PAGEREF _Toc213771843 \h </w:instrText>
        </w:r>
        <w:r>
          <w:rPr>
            <w:webHidden/>
          </w:rPr>
        </w:r>
        <w:r>
          <w:rPr>
            <w:webHidden/>
          </w:rPr>
          <w:fldChar w:fldCharType="separate"/>
        </w:r>
        <w:r>
          <w:rPr>
            <w:webHidden/>
          </w:rPr>
          <w:t>147</w:t>
        </w:r>
        <w:r>
          <w:rPr>
            <w:webHidden/>
          </w:rPr>
          <w:fldChar w:fldCharType="end"/>
        </w:r>
      </w:hyperlink>
    </w:p>
    <w:p w14:paraId="356D2BEE" w14:textId="21A743A8" w:rsidR="00023ECF" w:rsidRDefault="00023ECF">
      <w:pPr>
        <w:pStyle w:val="TOC4"/>
        <w:rPr>
          <w:rFonts w:asciiTheme="minorHAnsi" w:eastAsiaTheme="minorEastAsia" w:hAnsiTheme="minorHAnsi" w:cstheme="minorBidi"/>
          <w:bCs w:val="0"/>
          <w:kern w:val="2"/>
          <w:szCs w:val="24"/>
          <w14:ligatures w14:val="standardContextual"/>
        </w:rPr>
      </w:pPr>
      <w:hyperlink w:anchor="_Toc213771844" w:history="1">
        <w:r w:rsidRPr="00AC173C">
          <w:rPr>
            <w:rStyle w:val="Hyperlink"/>
          </w:rPr>
          <w:t>4.3.1.1</w:t>
        </w:r>
        <w:r>
          <w:rPr>
            <w:rFonts w:asciiTheme="minorHAnsi" w:eastAsiaTheme="minorEastAsia" w:hAnsiTheme="minorHAnsi" w:cstheme="minorBidi"/>
            <w:bCs w:val="0"/>
            <w:kern w:val="2"/>
            <w:szCs w:val="24"/>
            <w14:ligatures w14:val="standardContextual"/>
          </w:rPr>
          <w:tab/>
        </w:r>
        <w:r w:rsidRPr="00AC173C">
          <w:rPr>
            <w:rStyle w:val="Hyperlink"/>
          </w:rPr>
          <w:t>Day-Ahead Market Inputs</w:t>
        </w:r>
        <w:r>
          <w:rPr>
            <w:webHidden/>
          </w:rPr>
          <w:tab/>
        </w:r>
        <w:r>
          <w:rPr>
            <w:webHidden/>
          </w:rPr>
          <w:fldChar w:fldCharType="begin"/>
        </w:r>
        <w:r>
          <w:rPr>
            <w:webHidden/>
          </w:rPr>
          <w:instrText xml:space="preserve"> PAGEREF _Toc213771844 \h </w:instrText>
        </w:r>
        <w:r>
          <w:rPr>
            <w:webHidden/>
          </w:rPr>
        </w:r>
        <w:r>
          <w:rPr>
            <w:webHidden/>
          </w:rPr>
          <w:fldChar w:fldCharType="separate"/>
        </w:r>
        <w:r>
          <w:rPr>
            <w:webHidden/>
          </w:rPr>
          <w:t>148</w:t>
        </w:r>
        <w:r>
          <w:rPr>
            <w:webHidden/>
          </w:rPr>
          <w:fldChar w:fldCharType="end"/>
        </w:r>
      </w:hyperlink>
    </w:p>
    <w:p w14:paraId="383B087A" w14:textId="01D56F63" w:rsidR="00023ECF" w:rsidRDefault="00023ECF">
      <w:pPr>
        <w:pStyle w:val="TOC4"/>
        <w:rPr>
          <w:rFonts w:asciiTheme="minorHAnsi" w:eastAsiaTheme="minorEastAsia" w:hAnsiTheme="minorHAnsi" w:cstheme="minorBidi"/>
          <w:bCs w:val="0"/>
          <w:kern w:val="2"/>
          <w:szCs w:val="24"/>
          <w14:ligatures w14:val="standardContextual"/>
        </w:rPr>
      </w:pPr>
      <w:hyperlink w:anchor="_Toc213771845" w:history="1">
        <w:r w:rsidRPr="00AC173C">
          <w:rPr>
            <w:rStyle w:val="Hyperlink"/>
          </w:rPr>
          <w:t>4.3.1.2</w:t>
        </w:r>
        <w:r>
          <w:rPr>
            <w:rFonts w:asciiTheme="minorHAnsi" w:eastAsiaTheme="minorEastAsia" w:hAnsiTheme="minorHAnsi" w:cstheme="minorBidi"/>
            <w:bCs w:val="0"/>
            <w:kern w:val="2"/>
            <w:szCs w:val="24"/>
            <w14:ligatures w14:val="standardContextual"/>
          </w:rPr>
          <w:tab/>
        </w:r>
        <w:r w:rsidRPr="00AC173C">
          <w:rPr>
            <w:rStyle w:val="Hyperlink"/>
          </w:rPr>
          <w:t>Day-Ahead Market Execution</w:t>
        </w:r>
        <w:r>
          <w:rPr>
            <w:webHidden/>
          </w:rPr>
          <w:tab/>
        </w:r>
        <w:r>
          <w:rPr>
            <w:webHidden/>
          </w:rPr>
          <w:fldChar w:fldCharType="begin"/>
        </w:r>
        <w:r>
          <w:rPr>
            <w:webHidden/>
          </w:rPr>
          <w:instrText xml:space="preserve"> PAGEREF _Toc213771845 \h </w:instrText>
        </w:r>
        <w:r>
          <w:rPr>
            <w:webHidden/>
          </w:rPr>
        </w:r>
        <w:r>
          <w:rPr>
            <w:webHidden/>
          </w:rPr>
          <w:fldChar w:fldCharType="separate"/>
        </w:r>
        <w:r>
          <w:rPr>
            <w:webHidden/>
          </w:rPr>
          <w:t>149</w:t>
        </w:r>
        <w:r>
          <w:rPr>
            <w:webHidden/>
          </w:rPr>
          <w:fldChar w:fldCharType="end"/>
        </w:r>
      </w:hyperlink>
    </w:p>
    <w:p w14:paraId="4BC100F1" w14:textId="5F3DC9C0" w:rsidR="00023ECF" w:rsidRDefault="00023ECF">
      <w:pPr>
        <w:pStyle w:val="TOC5"/>
        <w:rPr>
          <w:rFonts w:asciiTheme="minorHAnsi" w:eastAsiaTheme="minorEastAsia" w:hAnsiTheme="minorHAnsi" w:cstheme="minorBidi"/>
          <w:kern w:val="2"/>
          <w:szCs w:val="24"/>
          <w14:ligatures w14:val="standardContextual"/>
        </w:rPr>
      </w:pPr>
      <w:hyperlink w:anchor="_Toc213771846" w:history="1">
        <w:r w:rsidRPr="00AC173C">
          <w:rPr>
            <w:rStyle w:val="Hyperlink"/>
          </w:rPr>
          <w:t>4.3.1.2.1</w:t>
        </w:r>
        <w:r>
          <w:rPr>
            <w:rFonts w:asciiTheme="minorHAnsi" w:eastAsiaTheme="minorEastAsia" w:hAnsiTheme="minorHAnsi" w:cstheme="minorBidi"/>
            <w:kern w:val="2"/>
            <w:szCs w:val="24"/>
            <w14:ligatures w14:val="standardContextual"/>
          </w:rPr>
          <w:tab/>
        </w:r>
        <w:r w:rsidRPr="00AC173C">
          <w:rPr>
            <w:rStyle w:val="Hyperlink"/>
          </w:rPr>
          <w:t>Clearing During Capacity Shortage</w:t>
        </w:r>
        <w:r>
          <w:rPr>
            <w:webHidden/>
          </w:rPr>
          <w:tab/>
        </w:r>
        <w:r>
          <w:rPr>
            <w:webHidden/>
          </w:rPr>
          <w:fldChar w:fldCharType="begin"/>
        </w:r>
        <w:r>
          <w:rPr>
            <w:webHidden/>
          </w:rPr>
          <w:instrText xml:space="preserve"> PAGEREF _Toc213771846 \h </w:instrText>
        </w:r>
        <w:r>
          <w:rPr>
            <w:webHidden/>
          </w:rPr>
        </w:r>
        <w:r>
          <w:rPr>
            <w:webHidden/>
          </w:rPr>
          <w:fldChar w:fldCharType="separate"/>
        </w:r>
        <w:r>
          <w:rPr>
            <w:webHidden/>
          </w:rPr>
          <w:t>150</w:t>
        </w:r>
        <w:r>
          <w:rPr>
            <w:webHidden/>
          </w:rPr>
          <w:fldChar w:fldCharType="end"/>
        </w:r>
      </w:hyperlink>
    </w:p>
    <w:p w14:paraId="464E0879" w14:textId="03707EC6" w:rsidR="00023ECF" w:rsidRDefault="00023ECF">
      <w:pPr>
        <w:pStyle w:val="TOC5"/>
        <w:rPr>
          <w:rFonts w:asciiTheme="minorHAnsi" w:eastAsiaTheme="minorEastAsia" w:hAnsiTheme="minorHAnsi" w:cstheme="minorBidi"/>
          <w:kern w:val="2"/>
          <w:szCs w:val="24"/>
          <w14:ligatures w14:val="standardContextual"/>
        </w:rPr>
      </w:pPr>
      <w:hyperlink w:anchor="_Toc213771847" w:history="1">
        <w:r w:rsidRPr="00AC173C">
          <w:rPr>
            <w:rStyle w:val="Hyperlink"/>
          </w:rPr>
          <w:t>4.3.1.2.2</w:t>
        </w:r>
        <w:r>
          <w:rPr>
            <w:rFonts w:asciiTheme="minorHAnsi" w:eastAsiaTheme="minorEastAsia" w:hAnsiTheme="minorHAnsi" w:cstheme="minorBidi"/>
            <w:kern w:val="2"/>
            <w:szCs w:val="24"/>
            <w14:ligatures w14:val="standardContextual"/>
          </w:rPr>
          <w:tab/>
        </w:r>
        <w:r w:rsidRPr="00AC173C">
          <w:rPr>
            <w:rStyle w:val="Hyperlink"/>
          </w:rPr>
          <w:t>Clearing During Excess Generation Conditions</w:t>
        </w:r>
        <w:r>
          <w:rPr>
            <w:webHidden/>
          </w:rPr>
          <w:tab/>
        </w:r>
        <w:r>
          <w:rPr>
            <w:webHidden/>
          </w:rPr>
          <w:fldChar w:fldCharType="begin"/>
        </w:r>
        <w:r>
          <w:rPr>
            <w:webHidden/>
          </w:rPr>
          <w:instrText xml:space="preserve"> PAGEREF _Toc213771847 \h </w:instrText>
        </w:r>
        <w:r>
          <w:rPr>
            <w:webHidden/>
          </w:rPr>
        </w:r>
        <w:r>
          <w:rPr>
            <w:webHidden/>
          </w:rPr>
          <w:fldChar w:fldCharType="separate"/>
        </w:r>
        <w:r>
          <w:rPr>
            <w:webHidden/>
          </w:rPr>
          <w:t>150</w:t>
        </w:r>
        <w:r>
          <w:rPr>
            <w:webHidden/>
          </w:rPr>
          <w:fldChar w:fldCharType="end"/>
        </w:r>
      </w:hyperlink>
    </w:p>
    <w:p w14:paraId="3AA7EB84" w14:textId="035336B8" w:rsidR="00023ECF" w:rsidRDefault="00023ECF">
      <w:pPr>
        <w:pStyle w:val="TOC4"/>
        <w:rPr>
          <w:rFonts w:asciiTheme="minorHAnsi" w:eastAsiaTheme="minorEastAsia" w:hAnsiTheme="minorHAnsi" w:cstheme="minorBidi"/>
          <w:bCs w:val="0"/>
          <w:kern w:val="2"/>
          <w:szCs w:val="24"/>
          <w14:ligatures w14:val="standardContextual"/>
        </w:rPr>
      </w:pPr>
      <w:hyperlink w:anchor="_Toc213771848" w:history="1">
        <w:r w:rsidRPr="00AC173C">
          <w:rPr>
            <w:rStyle w:val="Hyperlink"/>
          </w:rPr>
          <w:t>4.3.1.3</w:t>
        </w:r>
        <w:r>
          <w:rPr>
            <w:rFonts w:asciiTheme="minorHAnsi" w:eastAsiaTheme="minorEastAsia" w:hAnsiTheme="minorHAnsi" w:cstheme="minorBidi"/>
            <w:bCs w:val="0"/>
            <w:kern w:val="2"/>
            <w:szCs w:val="24"/>
            <w14:ligatures w14:val="standardContextual"/>
          </w:rPr>
          <w:tab/>
        </w:r>
        <w:r w:rsidRPr="00AC173C">
          <w:rPr>
            <w:rStyle w:val="Hyperlink"/>
          </w:rPr>
          <w:t>Day-Ahead Market Results</w:t>
        </w:r>
        <w:r>
          <w:rPr>
            <w:webHidden/>
          </w:rPr>
          <w:tab/>
        </w:r>
        <w:r>
          <w:rPr>
            <w:webHidden/>
          </w:rPr>
          <w:fldChar w:fldCharType="begin"/>
        </w:r>
        <w:r>
          <w:rPr>
            <w:webHidden/>
          </w:rPr>
          <w:instrText xml:space="preserve"> PAGEREF _Toc213771848 \h </w:instrText>
        </w:r>
        <w:r>
          <w:rPr>
            <w:webHidden/>
          </w:rPr>
        </w:r>
        <w:r>
          <w:rPr>
            <w:webHidden/>
          </w:rPr>
          <w:fldChar w:fldCharType="separate"/>
        </w:r>
        <w:r>
          <w:rPr>
            <w:webHidden/>
          </w:rPr>
          <w:t>151</w:t>
        </w:r>
        <w:r>
          <w:rPr>
            <w:webHidden/>
          </w:rPr>
          <w:fldChar w:fldCharType="end"/>
        </w:r>
      </w:hyperlink>
    </w:p>
    <w:p w14:paraId="5702ED76" w14:textId="4909E730" w:rsidR="00023ECF" w:rsidRDefault="00023ECF">
      <w:pPr>
        <w:pStyle w:val="TOC3"/>
        <w:rPr>
          <w:rFonts w:asciiTheme="minorHAnsi" w:eastAsiaTheme="minorEastAsia" w:hAnsiTheme="minorHAnsi" w:cstheme="minorBidi"/>
          <w:bCs w:val="0"/>
          <w:kern w:val="2"/>
          <w:szCs w:val="24"/>
          <w14:ligatures w14:val="standardContextual"/>
        </w:rPr>
      </w:pPr>
      <w:hyperlink w:anchor="_Toc213771849" w:history="1">
        <w:r w:rsidRPr="00AC173C">
          <w:rPr>
            <w:rStyle w:val="Hyperlink"/>
          </w:rPr>
          <w:t>4.3.2</w:t>
        </w:r>
        <w:r>
          <w:rPr>
            <w:rFonts w:asciiTheme="minorHAnsi" w:eastAsiaTheme="minorEastAsia" w:hAnsiTheme="minorHAnsi" w:cstheme="minorBidi"/>
            <w:bCs w:val="0"/>
            <w:kern w:val="2"/>
            <w:szCs w:val="24"/>
            <w14:ligatures w14:val="standardContextual"/>
          </w:rPr>
          <w:tab/>
        </w:r>
        <w:r w:rsidRPr="00AC173C">
          <w:rPr>
            <w:rStyle w:val="Hyperlink"/>
          </w:rPr>
          <w:t>Day-Ahead Reliability Unit Commitment</w:t>
        </w:r>
        <w:r>
          <w:rPr>
            <w:webHidden/>
          </w:rPr>
          <w:tab/>
        </w:r>
        <w:r>
          <w:rPr>
            <w:webHidden/>
          </w:rPr>
          <w:fldChar w:fldCharType="begin"/>
        </w:r>
        <w:r>
          <w:rPr>
            <w:webHidden/>
          </w:rPr>
          <w:instrText xml:space="preserve"> PAGEREF _Toc213771849 \h </w:instrText>
        </w:r>
        <w:r>
          <w:rPr>
            <w:webHidden/>
          </w:rPr>
        </w:r>
        <w:r>
          <w:rPr>
            <w:webHidden/>
          </w:rPr>
          <w:fldChar w:fldCharType="separate"/>
        </w:r>
        <w:r>
          <w:rPr>
            <w:webHidden/>
          </w:rPr>
          <w:t>154</w:t>
        </w:r>
        <w:r>
          <w:rPr>
            <w:webHidden/>
          </w:rPr>
          <w:fldChar w:fldCharType="end"/>
        </w:r>
      </w:hyperlink>
    </w:p>
    <w:p w14:paraId="265C9EC9" w14:textId="6AAC4679" w:rsidR="00023ECF" w:rsidRDefault="00023ECF">
      <w:pPr>
        <w:pStyle w:val="TOC4"/>
        <w:rPr>
          <w:rFonts w:asciiTheme="minorHAnsi" w:eastAsiaTheme="minorEastAsia" w:hAnsiTheme="minorHAnsi" w:cstheme="minorBidi"/>
          <w:bCs w:val="0"/>
          <w:kern w:val="2"/>
          <w:szCs w:val="24"/>
          <w14:ligatures w14:val="standardContextual"/>
        </w:rPr>
      </w:pPr>
      <w:hyperlink w:anchor="_Toc213771850" w:history="1">
        <w:r w:rsidRPr="00AC173C">
          <w:rPr>
            <w:rStyle w:val="Hyperlink"/>
          </w:rPr>
          <w:t>4.3.2.1</w:t>
        </w:r>
        <w:r>
          <w:rPr>
            <w:rFonts w:asciiTheme="minorHAnsi" w:eastAsiaTheme="minorEastAsia" w:hAnsiTheme="minorHAnsi" w:cstheme="minorBidi"/>
            <w:bCs w:val="0"/>
            <w:kern w:val="2"/>
            <w:szCs w:val="24"/>
            <w14:ligatures w14:val="standardContextual"/>
          </w:rPr>
          <w:tab/>
        </w:r>
        <w:r w:rsidRPr="00AC173C">
          <w:rPr>
            <w:rStyle w:val="Hyperlink"/>
          </w:rPr>
          <w:t>Day-Ahead RUC Inputs</w:t>
        </w:r>
        <w:r>
          <w:rPr>
            <w:webHidden/>
          </w:rPr>
          <w:tab/>
        </w:r>
        <w:r>
          <w:rPr>
            <w:webHidden/>
          </w:rPr>
          <w:fldChar w:fldCharType="begin"/>
        </w:r>
        <w:r>
          <w:rPr>
            <w:webHidden/>
          </w:rPr>
          <w:instrText xml:space="preserve"> PAGEREF _Toc213771850 \h </w:instrText>
        </w:r>
        <w:r>
          <w:rPr>
            <w:webHidden/>
          </w:rPr>
        </w:r>
        <w:r>
          <w:rPr>
            <w:webHidden/>
          </w:rPr>
          <w:fldChar w:fldCharType="separate"/>
        </w:r>
        <w:r>
          <w:rPr>
            <w:webHidden/>
          </w:rPr>
          <w:t>154</w:t>
        </w:r>
        <w:r>
          <w:rPr>
            <w:webHidden/>
          </w:rPr>
          <w:fldChar w:fldCharType="end"/>
        </w:r>
      </w:hyperlink>
    </w:p>
    <w:p w14:paraId="4A445378" w14:textId="3E1A752E" w:rsidR="00023ECF" w:rsidRDefault="00023ECF">
      <w:pPr>
        <w:pStyle w:val="TOC4"/>
        <w:rPr>
          <w:rFonts w:asciiTheme="minorHAnsi" w:eastAsiaTheme="minorEastAsia" w:hAnsiTheme="minorHAnsi" w:cstheme="minorBidi"/>
          <w:bCs w:val="0"/>
          <w:kern w:val="2"/>
          <w:szCs w:val="24"/>
          <w14:ligatures w14:val="standardContextual"/>
        </w:rPr>
      </w:pPr>
      <w:hyperlink w:anchor="_Toc213771851" w:history="1">
        <w:r w:rsidRPr="00AC173C">
          <w:rPr>
            <w:rStyle w:val="Hyperlink"/>
          </w:rPr>
          <w:t>4.3.2.2</w:t>
        </w:r>
        <w:r>
          <w:rPr>
            <w:rFonts w:asciiTheme="minorHAnsi" w:eastAsiaTheme="minorEastAsia" w:hAnsiTheme="minorHAnsi" w:cstheme="minorBidi"/>
            <w:bCs w:val="0"/>
            <w:kern w:val="2"/>
            <w:szCs w:val="24"/>
            <w14:ligatures w14:val="standardContextual"/>
          </w:rPr>
          <w:tab/>
        </w:r>
        <w:r w:rsidRPr="00AC173C">
          <w:rPr>
            <w:rStyle w:val="Hyperlink"/>
          </w:rPr>
          <w:t>Day-Ahead RUC Execution</w:t>
        </w:r>
        <w:r>
          <w:rPr>
            <w:webHidden/>
          </w:rPr>
          <w:tab/>
        </w:r>
        <w:r>
          <w:rPr>
            <w:webHidden/>
          </w:rPr>
          <w:fldChar w:fldCharType="begin"/>
        </w:r>
        <w:r>
          <w:rPr>
            <w:webHidden/>
          </w:rPr>
          <w:instrText xml:space="preserve"> PAGEREF _Toc213771851 \h </w:instrText>
        </w:r>
        <w:r>
          <w:rPr>
            <w:webHidden/>
          </w:rPr>
        </w:r>
        <w:r>
          <w:rPr>
            <w:webHidden/>
          </w:rPr>
          <w:fldChar w:fldCharType="separate"/>
        </w:r>
        <w:r>
          <w:rPr>
            <w:webHidden/>
          </w:rPr>
          <w:t>155</w:t>
        </w:r>
        <w:r>
          <w:rPr>
            <w:webHidden/>
          </w:rPr>
          <w:fldChar w:fldCharType="end"/>
        </w:r>
      </w:hyperlink>
    </w:p>
    <w:p w14:paraId="3A430340" w14:textId="76668D5B" w:rsidR="00023ECF" w:rsidRDefault="00023ECF">
      <w:pPr>
        <w:pStyle w:val="TOC4"/>
        <w:rPr>
          <w:rFonts w:asciiTheme="minorHAnsi" w:eastAsiaTheme="minorEastAsia" w:hAnsiTheme="minorHAnsi" w:cstheme="minorBidi"/>
          <w:bCs w:val="0"/>
          <w:kern w:val="2"/>
          <w:szCs w:val="24"/>
          <w14:ligatures w14:val="standardContextual"/>
        </w:rPr>
      </w:pPr>
      <w:hyperlink w:anchor="_Toc213771852" w:history="1">
        <w:r w:rsidRPr="00AC173C">
          <w:rPr>
            <w:rStyle w:val="Hyperlink"/>
          </w:rPr>
          <w:t>4.3.2.3</w:t>
        </w:r>
        <w:r>
          <w:rPr>
            <w:rFonts w:asciiTheme="minorHAnsi" w:eastAsiaTheme="minorEastAsia" w:hAnsiTheme="minorHAnsi" w:cstheme="minorBidi"/>
            <w:bCs w:val="0"/>
            <w:kern w:val="2"/>
            <w:szCs w:val="24"/>
            <w14:ligatures w14:val="standardContextual"/>
          </w:rPr>
          <w:tab/>
        </w:r>
        <w:r w:rsidRPr="00AC173C">
          <w:rPr>
            <w:rStyle w:val="Hyperlink"/>
          </w:rPr>
          <w:t>Day-Ahead RUC Results</w:t>
        </w:r>
        <w:r>
          <w:rPr>
            <w:webHidden/>
          </w:rPr>
          <w:tab/>
        </w:r>
        <w:r>
          <w:rPr>
            <w:webHidden/>
          </w:rPr>
          <w:fldChar w:fldCharType="begin"/>
        </w:r>
        <w:r>
          <w:rPr>
            <w:webHidden/>
          </w:rPr>
          <w:instrText xml:space="preserve"> PAGEREF _Toc213771852 \h </w:instrText>
        </w:r>
        <w:r>
          <w:rPr>
            <w:webHidden/>
          </w:rPr>
        </w:r>
        <w:r>
          <w:rPr>
            <w:webHidden/>
          </w:rPr>
          <w:fldChar w:fldCharType="separate"/>
        </w:r>
        <w:r>
          <w:rPr>
            <w:webHidden/>
          </w:rPr>
          <w:t>157</w:t>
        </w:r>
        <w:r>
          <w:rPr>
            <w:webHidden/>
          </w:rPr>
          <w:fldChar w:fldCharType="end"/>
        </w:r>
      </w:hyperlink>
    </w:p>
    <w:p w14:paraId="37E0943A" w14:textId="46FE4ED0" w:rsidR="00023ECF" w:rsidRDefault="00023ECF">
      <w:pPr>
        <w:pStyle w:val="TOC4"/>
        <w:rPr>
          <w:rFonts w:asciiTheme="minorHAnsi" w:eastAsiaTheme="minorEastAsia" w:hAnsiTheme="minorHAnsi" w:cstheme="minorBidi"/>
          <w:bCs w:val="0"/>
          <w:kern w:val="2"/>
          <w:szCs w:val="24"/>
          <w14:ligatures w14:val="standardContextual"/>
        </w:rPr>
      </w:pPr>
      <w:hyperlink w:anchor="_Toc213771853" w:history="1">
        <w:r w:rsidRPr="00AC173C">
          <w:rPr>
            <w:rStyle w:val="Hyperlink"/>
          </w:rPr>
          <w:t>4.3.2.4</w:t>
        </w:r>
        <w:r>
          <w:rPr>
            <w:rFonts w:asciiTheme="minorHAnsi" w:eastAsiaTheme="minorEastAsia" w:hAnsiTheme="minorHAnsi" w:cstheme="minorBidi"/>
            <w:bCs w:val="0"/>
            <w:kern w:val="2"/>
            <w:szCs w:val="24"/>
            <w14:ligatures w14:val="standardContextual"/>
          </w:rPr>
          <w:tab/>
        </w:r>
        <w:r w:rsidRPr="00AC173C">
          <w:rPr>
            <w:rStyle w:val="Hyperlink"/>
          </w:rPr>
          <w:t>Updating the Current Operating Plan (COP)</w:t>
        </w:r>
        <w:r>
          <w:rPr>
            <w:webHidden/>
          </w:rPr>
          <w:tab/>
        </w:r>
        <w:r>
          <w:rPr>
            <w:webHidden/>
          </w:rPr>
          <w:fldChar w:fldCharType="begin"/>
        </w:r>
        <w:r>
          <w:rPr>
            <w:webHidden/>
          </w:rPr>
          <w:instrText xml:space="preserve"> PAGEREF _Toc213771853 \h </w:instrText>
        </w:r>
        <w:r>
          <w:rPr>
            <w:webHidden/>
          </w:rPr>
        </w:r>
        <w:r>
          <w:rPr>
            <w:webHidden/>
          </w:rPr>
          <w:fldChar w:fldCharType="separate"/>
        </w:r>
        <w:r>
          <w:rPr>
            <w:webHidden/>
          </w:rPr>
          <w:t>157</w:t>
        </w:r>
        <w:r>
          <w:rPr>
            <w:webHidden/>
          </w:rPr>
          <w:fldChar w:fldCharType="end"/>
        </w:r>
      </w:hyperlink>
    </w:p>
    <w:p w14:paraId="3DA35714" w14:textId="30B20042" w:rsidR="00023ECF" w:rsidRDefault="00023ECF">
      <w:pPr>
        <w:pStyle w:val="TOC2"/>
        <w:rPr>
          <w:rFonts w:asciiTheme="minorHAnsi" w:eastAsiaTheme="minorEastAsia" w:hAnsiTheme="minorHAnsi" w:cstheme="minorBidi"/>
          <w:bCs w:val="0"/>
          <w:kern w:val="2"/>
          <w:szCs w:val="24"/>
          <w14:ligatures w14:val="standardContextual"/>
        </w:rPr>
      </w:pPr>
      <w:hyperlink w:anchor="_Toc213771854" w:history="1">
        <w:r w:rsidRPr="00AC173C">
          <w:rPr>
            <w:rStyle w:val="Hyperlink"/>
          </w:rPr>
          <w:t>4.4</w:t>
        </w:r>
        <w:r>
          <w:rPr>
            <w:rFonts w:asciiTheme="minorHAnsi" w:eastAsiaTheme="minorEastAsia" w:hAnsiTheme="minorHAnsi" w:cstheme="minorBidi"/>
            <w:bCs w:val="0"/>
            <w:kern w:val="2"/>
            <w:szCs w:val="24"/>
            <w14:ligatures w14:val="standardContextual"/>
          </w:rPr>
          <w:tab/>
        </w:r>
        <w:r w:rsidRPr="00AC173C">
          <w:rPr>
            <w:rStyle w:val="Hyperlink"/>
          </w:rPr>
          <w:t>Operating Day Activities</w:t>
        </w:r>
        <w:r>
          <w:rPr>
            <w:webHidden/>
          </w:rPr>
          <w:tab/>
        </w:r>
        <w:r>
          <w:rPr>
            <w:webHidden/>
          </w:rPr>
          <w:fldChar w:fldCharType="begin"/>
        </w:r>
        <w:r>
          <w:rPr>
            <w:webHidden/>
          </w:rPr>
          <w:instrText xml:space="preserve"> PAGEREF _Toc213771854 \h </w:instrText>
        </w:r>
        <w:r>
          <w:rPr>
            <w:webHidden/>
          </w:rPr>
        </w:r>
        <w:r>
          <w:rPr>
            <w:webHidden/>
          </w:rPr>
          <w:fldChar w:fldCharType="separate"/>
        </w:r>
        <w:r>
          <w:rPr>
            <w:webHidden/>
          </w:rPr>
          <w:t>159</w:t>
        </w:r>
        <w:r>
          <w:rPr>
            <w:webHidden/>
          </w:rPr>
          <w:fldChar w:fldCharType="end"/>
        </w:r>
      </w:hyperlink>
    </w:p>
    <w:p w14:paraId="3E506438" w14:textId="74E35343" w:rsidR="00023ECF" w:rsidRDefault="00023ECF">
      <w:pPr>
        <w:pStyle w:val="TOC3"/>
        <w:rPr>
          <w:rFonts w:asciiTheme="minorHAnsi" w:eastAsiaTheme="minorEastAsia" w:hAnsiTheme="minorHAnsi" w:cstheme="minorBidi"/>
          <w:bCs w:val="0"/>
          <w:kern w:val="2"/>
          <w:szCs w:val="24"/>
          <w14:ligatures w14:val="standardContextual"/>
        </w:rPr>
      </w:pPr>
      <w:hyperlink w:anchor="_Toc213771855" w:history="1">
        <w:r w:rsidRPr="00AC173C">
          <w:rPr>
            <w:rStyle w:val="Hyperlink"/>
          </w:rPr>
          <w:t>4.4.1</w:t>
        </w:r>
        <w:r>
          <w:rPr>
            <w:rFonts w:asciiTheme="minorHAnsi" w:eastAsiaTheme="minorEastAsia" w:hAnsiTheme="minorHAnsi" w:cstheme="minorBidi"/>
            <w:bCs w:val="0"/>
            <w:kern w:val="2"/>
            <w:szCs w:val="24"/>
            <w14:ligatures w14:val="standardContextual"/>
          </w:rPr>
          <w:tab/>
        </w:r>
        <w:r w:rsidRPr="00AC173C">
          <w:rPr>
            <w:rStyle w:val="Hyperlink"/>
          </w:rPr>
          <w:t>Intra-Day Reliability Unit Commitment</w:t>
        </w:r>
        <w:r>
          <w:rPr>
            <w:webHidden/>
          </w:rPr>
          <w:tab/>
        </w:r>
        <w:r>
          <w:rPr>
            <w:webHidden/>
          </w:rPr>
          <w:fldChar w:fldCharType="begin"/>
        </w:r>
        <w:r>
          <w:rPr>
            <w:webHidden/>
          </w:rPr>
          <w:instrText xml:space="preserve"> PAGEREF _Toc213771855 \h </w:instrText>
        </w:r>
        <w:r>
          <w:rPr>
            <w:webHidden/>
          </w:rPr>
        </w:r>
        <w:r>
          <w:rPr>
            <w:webHidden/>
          </w:rPr>
          <w:fldChar w:fldCharType="separate"/>
        </w:r>
        <w:r>
          <w:rPr>
            <w:webHidden/>
          </w:rPr>
          <w:t>159</w:t>
        </w:r>
        <w:r>
          <w:rPr>
            <w:webHidden/>
          </w:rPr>
          <w:fldChar w:fldCharType="end"/>
        </w:r>
      </w:hyperlink>
    </w:p>
    <w:p w14:paraId="2D219CE6" w14:textId="665D8C34" w:rsidR="00023ECF" w:rsidRDefault="00023ECF">
      <w:pPr>
        <w:pStyle w:val="TOC4"/>
        <w:rPr>
          <w:rFonts w:asciiTheme="minorHAnsi" w:eastAsiaTheme="minorEastAsia" w:hAnsiTheme="minorHAnsi" w:cstheme="minorBidi"/>
          <w:bCs w:val="0"/>
          <w:kern w:val="2"/>
          <w:szCs w:val="24"/>
          <w14:ligatures w14:val="standardContextual"/>
        </w:rPr>
      </w:pPr>
      <w:hyperlink w:anchor="_Toc213771856" w:history="1">
        <w:r w:rsidRPr="00AC173C">
          <w:rPr>
            <w:rStyle w:val="Hyperlink"/>
          </w:rPr>
          <w:t>4.4.1.1</w:t>
        </w:r>
        <w:r>
          <w:rPr>
            <w:rFonts w:asciiTheme="minorHAnsi" w:eastAsiaTheme="minorEastAsia" w:hAnsiTheme="minorHAnsi" w:cstheme="minorBidi"/>
            <w:bCs w:val="0"/>
            <w:kern w:val="2"/>
            <w:szCs w:val="24"/>
            <w14:ligatures w14:val="standardContextual"/>
          </w:rPr>
          <w:tab/>
        </w:r>
        <w:r w:rsidRPr="00AC173C">
          <w:rPr>
            <w:rStyle w:val="Hyperlink"/>
          </w:rPr>
          <w:t>Intra-Day RUC Inputs</w:t>
        </w:r>
        <w:r>
          <w:rPr>
            <w:webHidden/>
          </w:rPr>
          <w:tab/>
        </w:r>
        <w:r>
          <w:rPr>
            <w:webHidden/>
          </w:rPr>
          <w:fldChar w:fldCharType="begin"/>
        </w:r>
        <w:r>
          <w:rPr>
            <w:webHidden/>
          </w:rPr>
          <w:instrText xml:space="preserve"> PAGEREF _Toc213771856 \h </w:instrText>
        </w:r>
        <w:r>
          <w:rPr>
            <w:webHidden/>
          </w:rPr>
        </w:r>
        <w:r>
          <w:rPr>
            <w:webHidden/>
          </w:rPr>
          <w:fldChar w:fldCharType="separate"/>
        </w:r>
        <w:r>
          <w:rPr>
            <w:webHidden/>
          </w:rPr>
          <w:t>160</w:t>
        </w:r>
        <w:r>
          <w:rPr>
            <w:webHidden/>
          </w:rPr>
          <w:fldChar w:fldCharType="end"/>
        </w:r>
      </w:hyperlink>
    </w:p>
    <w:p w14:paraId="7D8CF440" w14:textId="685BDA3F" w:rsidR="00023ECF" w:rsidRDefault="00023ECF">
      <w:pPr>
        <w:pStyle w:val="TOC4"/>
        <w:rPr>
          <w:rFonts w:asciiTheme="minorHAnsi" w:eastAsiaTheme="minorEastAsia" w:hAnsiTheme="minorHAnsi" w:cstheme="minorBidi"/>
          <w:bCs w:val="0"/>
          <w:kern w:val="2"/>
          <w:szCs w:val="24"/>
          <w14:ligatures w14:val="standardContextual"/>
        </w:rPr>
      </w:pPr>
      <w:hyperlink w:anchor="_Toc213771857" w:history="1">
        <w:r w:rsidRPr="00AC173C">
          <w:rPr>
            <w:rStyle w:val="Hyperlink"/>
          </w:rPr>
          <w:t>4.4.1.2</w:t>
        </w:r>
        <w:r>
          <w:rPr>
            <w:rFonts w:asciiTheme="minorHAnsi" w:eastAsiaTheme="minorEastAsia" w:hAnsiTheme="minorHAnsi" w:cstheme="minorBidi"/>
            <w:bCs w:val="0"/>
            <w:kern w:val="2"/>
            <w:szCs w:val="24"/>
            <w14:ligatures w14:val="standardContextual"/>
          </w:rPr>
          <w:tab/>
        </w:r>
        <w:r w:rsidRPr="00AC173C">
          <w:rPr>
            <w:rStyle w:val="Hyperlink"/>
          </w:rPr>
          <w:t>Intra-Day RUC Execution</w:t>
        </w:r>
        <w:r>
          <w:rPr>
            <w:webHidden/>
          </w:rPr>
          <w:tab/>
        </w:r>
        <w:r>
          <w:rPr>
            <w:webHidden/>
          </w:rPr>
          <w:fldChar w:fldCharType="begin"/>
        </w:r>
        <w:r>
          <w:rPr>
            <w:webHidden/>
          </w:rPr>
          <w:instrText xml:space="preserve"> PAGEREF _Toc213771857 \h </w:instrText>
        </w:r>
        <w:r>
          <w:rPr>
            <w:webHidden/>
          </w:rPr>
        </w:r>
        <w:r>
          <w:rPr>
            <w:webHidden/>
          </w:rPr>
          <w:fldChar w:fldCharType="separate"/>
        </w:r>
        <w:r>
          <w:rPr>
            <w:webHidden/>
          </w:rPr>
          <w:t>161</w:t>
        </w:r>
        <w:r>
          <w:rPr>
            <w:webHidden/>
          </w:rPr>
          <w:fldChar w:fldCharType="end"/>
        </w:r>
      </w:hyperlink>
    </w:p>
    <w:p w14:paraId="23832D25" w14:textId="2AC5F548" w:rsidR="00023ECF" w:rsidRDefault="00023ECF">
      <w:pPr>
        <w:pStyle w:val="TOC4"/>
        <w:rPr>
          <w:rFonts w:asciiTheme="minorHAnsi" w:eastAsiaTheme="minorEastAsia" w:hAnsiTheme="minorHAnsi" w:cstheme="minorBidi"/>
          <w:bCs w:val="0"/>
          <w:kern w:val="2"/>
          <w:szCs w:val="24"/>
          <w14:ligatures w14:val="standardContextual"/>
        </w:rPr>
      </w:pPr>
      <w:hyperlink w:anchor="_Toc213771858" w:history="1">
        <w:r w:rsidRPr="00AC173C">
          <w:rPr>
            <w:rStyle w:val="Hyperlink"/>
          </w:rPr>
          <w:t>4.4.1.3</w:t>
        </w:r>
        <w:r>
          <w:rPr>
            <w:rFonts w:asciiTheme="minorHAnsi" w:eastAsiaTheme="minorEastAsia" w:hAnsiTheme="minorHAnsi" w:cstheme="minorBidi"/>
            <w:bCs w:val="0"/>
            <w:kern w:val="2"/>
            <w:szCs w:val="24"/>
            <w14:ligatures w14:val="standardContextual"/>
          </w:rPr>
          <w:tab/>
        </w:r>
        <w:r w:rsidRPr="00AC173C">
          <w:rPr>
            <w:rStyle w:val="Hyperlink"/>
          </w:rPr>
          <w:t>Intra-Day RUC Results</w:t>
        </w:r>
        <w:r>
          <w:rPr>
            <w:webHidden/>
          </w:rPr>
          <w:tab/>
        </w:r>
        <w:r>
          <w:rPr>
            <w:webHidden/>
          </w:rPr>
          <w:fldChar w:fldCharType="begin"/>
        </w:r>
        <w:r>
          <w:rPr>
            <w:webHidden/>
          </w:rPr>
          <w:instrText xml:space="preserve"> PAGEREF _Toc213771858 \h </w:instrText>
        </w:r>
        <w:r>
          <w:rPr>
            <w:webHidden/>
          </w:rPr>
        </w:r>
        <w:r>
          <w:rPr>
            <w:webHidden/>
          </w:rPr>
          <w:fldChar w:fldCharType="separate"/>
        </w:r>
        <w:r>
          <w:rPr>
            <w:webHidden/>
          </w:rPr>
          <w:t>162</w:t>
        </w:r>
        <w:r>
          <w:rPr>
            <w:webHidden/>
          </w:rPr>
          <w:fldChar w:fldCharType="end"/>
        </w:r>
      </w:hyperlink>
    </w:p>
    <w:p w14:paraId="7A679B83" w14:textId="7A1BC9E2" w:rsidR="00023ECF" w:rsidRDefault="00023ECF">
      <w:pPr>
        <w:pStyle w:val="TOC4"/>
        <w:rPr>
          <w:rFonts w:asciiTheme="minorHAnsi" w:eastAsiaTheme="minorEastAsia" w:hAnsiTheme="minorHAnsi" w:cstheme="minorBidi"/>
          <w:bCs w:val="0"/>
          <w:kern w:val="2"/>
          <w:szCs w:val="24"/>
          <w14:ligatures w14:val="standardContextual"/>
        </w:rPr>
      </w:pPr>
      <w:hyperlink w:anchor="_Toc213771859" w:history="1">
        <w:r w:rsidRPr="00AC173C">
          <w:rPr>
            <w:rStyle w:val="Hyperlink"/>
          </w:rPr>
          <w:t>4.4.1.4</w:t>
        </w:r>
        <w:r>
          <w:rPr>
            <w:rFonts w:asciiTheme="minorHAnsi" w:eastAsiaTheme="minorEastAsia" w:hAnsiTheme="minorHAnsi" w:cstheme="minorBidi"/>
            <w:bCs w:val="0"/>
            <w:kern w:val="2"/>
            <w:szCs w:val="24"/>
            <w14:ligatures w14:val="standardContextual"/>
          </w:rPr>
          <w:tab/>
        </w:r>
        <w:r w:rsidRPr="00AC173C">
          <w:rPr>
            <w:rStyle w:val="Hyperlink"/>
          </w:rPr>
          <w:t>Updating the COP</w:t>
        </w:r>
        <w:r>
          <w:rPr>
            <w:webHidden/>
          </w:rPr>
          <w:tab/>
        </w:r>
        <w:r>
          <w:rPr>
            <w:webHidden/>
          </w:rPr>
          <w:fldChar w:fldCharType="begin"/>
        </w:r>
        <w:r>
          <w:rPr>
            <w:webHidden/>
          </w:rPr>
          <w:instrText xml:space="preserve"> PAGEREF _Toc213771859 \h </w:instrText>
        </w:r>
        <w:r>
          <w:rPr>
            <w:webHidden/>
          </w:rPr>
        </w:r>
        <w:r>
          <w:rPr>
            <w:webHidden/>
          </w:rPr>
          <w:fldChar w:fldCharType="separate"/>
        </w:r>
        <w:r>
          <w:rPr>
            <w:webHidden/>
          </w:rPr>
          <w:t>163</w:t>
        </w:r>
        <w:r>
          <w:rPr>
            <w:webHidden/>
          </w:rPr>
          <w:fldChar w:fldCharType="end"/>
        </w:r>
      </w:hyperlink>
    </w:p>
    <w:p w14:paraId="73C5DDD5" w14:textId="4BD2C74A" w:rsidR="00023ECF" w:rsidRDefault="00023ECF">
      <w:pPr>
        <w:pStyle w:val="TOC3"/>
        <w:rPr>
          <w:rFonts w:asciiTheme="minorHAnsi" w:eastAsiaTheme="minorEastAsia" w:hAnsiTheme="minorHAnsi" w:cstheme="minorBidi"/>
          <w:bCs w:val="0"/>
          <w:kern w:val="2"/>
          <w:szCs w:val="24"/>
          <w14:ligatures w14:val="standardContextual"/>
        </w:rPr>
      </w:pPr>
      <w:hyperlink w:anchor="_Toc213771860" w:history="1">
        <w:r w:rsidRPr="00AC173C">
          <w:rPr>
            <w:rStyle w:val="Hyperlink"/>
          </w:rPr>
          <w:t>4.4.2</w:t>
        </w:r>
        <w:r>
          <w:rPr>
            <w:rFonts w:asciiTheme="minorHAnsi" w:eastAsiaTheme="minorEastAsia" w:hAnsiTheme="minorHAnsi" w:cstheme="minorBidi"/>
            <w:bCs w:val="0"/>
            <w:kern w:val="2"/>
            <w:szCs w:val="24"/>
            <w14:ligatures w14:val="standardContextual"/>
          </w:rPr>
          <w:tab/>
        </w:r>
        <w:r w:rsidRPr="00AC173C">
          <w:rPr>
            <w:rStyle w:val="Hyperlink"/>
          </w:rPr>
          <w:t>Real-Time Balancing Market</w:t>
        </w:r>
        <w:r>
          <w:rPr>
            <w:webHidden/>
          </w:rPr>
          <w:tab/>
        </w:r>
        <w:r>
          <w:rPr>
            <w:webHidden/>
          </w:rPr>
          <w:fldChar w:fldCharType="begin"/>
        </w:r>
        <w:r>
          <w:rPr>
            <w:webHidden/>
          </w:rPr>
          <w:instrText xml:space="preserve"> PAGEREF _Toc213771860 \h </w:instrText>
        </w:r>
        <w:r>
          <w:rPr>
            <w:webHidden/>
          </w:rPr>
        </w:r>
        <w:r>
          <w:rPr>
            <w:webHidden/>
          </w:rPr>
          <w:fldChar w:fldCharType="separate"/>
        </w:r>
        <w:r>
          <w:rPr>
            <w:webHidden/>
          </w:rPr>
          <w:t>165</w:t>
        </w:r>
        <w:r>
          <w:rPr>
            <w:webHidden/>
          </w:rPr>
          <w:fldChar w:fldCharType="end"/>
        </w:r>
      </w:hyperlink>
    </w:p>
    <w:p w14:paraId="08DC2E4A" w14:textId="207387E8" w:rsidR="00023ECF" w:rsidRDefault="00023ECF">
      <w:pPr>
        <w:pStyle w:val="TOC4"/>
        <w:rPr>
          <w:rFonts w:asciiTheme="minorHAnsi" w:eastAsiaTheme="minorEastAsia" w:hAnsiTheme="minorHAnsi" w:cstheme="minorBidi"/>
          <w:bCs w:val="0"/>
          <w:kern w:val="2"/>
          <w:szCs w:val="24"/>
          <w14:ligatures w14:val="standardContextual"/>
        </w:rPr>
      </w:pPr>
      <w:hyperlink w:anchor="_Toc213771861" w:history="1">
        <w:r w:rsidRPr="00AC173C">
          <w:rPr>
            <w:rStyle w:val="Hyperlink"/>
          </w:rPr>
          <w:t>4.4.2.1</w:t>
        </w:r>
        <w:r>
          <w:rPr>
            <w:rFonts w:asciiTheme="minorHAnsi" w:eastAsiaTheme="minorEastAsia" w:hAnsiTheme="minorHAnsi" w:cstheme="minorBidi"/>
            <w:bCs w:val="0"/>
            <w:kern w:val="2"/>
            <w:szCs w:val="24"/>
            <w14:ligatures w14:val="standardContextual"/>
          </w:rPr>
          <w:tab/>
        </w:r>
        <w:r w:rsidRPr="00AC173C">
          <w:rPr>
            <w:rStyle w:val="Hyperlink"/>
          </w:rPr>
          <w:t>RTBM Inputs</w:t>
        </w:r>
        <w:r>
          <w:rPr>
            <w:webHidden/>
          </w:rPr>
          <w:tab/>
        </w:r>
        <w:r>
          <w:rPr>
            <w:webHidden/>
          </w:rPr>
          <w:fldChar w:fldCharType="begin"/>
        </w:r>
        <w:r>
          <w:rPr>
            <w:webHidden/>
          </w:rPr>
          <w:instrText xml:space="preserve"> PAGEREF _Toc213771861 \h </w:instrText>
        </w:r>
        <w:r>
          <w:rPr>
            <w:webHidden/>
          </w:rPr>
        </w:r>
        <w:r>
          <w:rPr>
            <w:webHidden/>
          </w:rPr>
          <w:fldChar w:fldCharType="separate"/>
        </w:r>
        <w:r>
          <w:rPr>
            <w:webHidden/>
          </w:rPr>
          <w:t>165</w:t>
        </w:r>
        <w:r>
          <w:rPr>
            <w:webHidden/>
          </w:rPr>
          <w:fldChar w:fldCharType="end"/>
        </w:r>
      </w:hyperlink>
    </w:p>
    <w:p w14:paraId="01E894BE" w14:textId="05C85A46" w:rsidR="00023ECF" w:rsidRDefault="00023ECF">
      <w:pPr>
        <w:pStyle w:val="TOC5"/>
        <w:rPr>
          <w:rFonts w:asciiTheme="minorHAnsi" w:eastAsiaTheme="minorEastAsia" w:hAnsiTheme="minorHAnsi" w:cstheme="minorBidi"/>
          <w:kern w:val="2"/>
          <w:szCs w:val="24"/>
          <w14:ligatures w14:val="standardContextual"/>
        </w:rPr>
      </w:pPr>
      <w:hyperlink w:anchor="_Toc213771862" w:history="1">
        <w:r w:rsidRPr="00AC173C">
          <w:rPr>
            <w:rStyle w:val="Hyperlink"/>
          </w:rPr>
          <w:t>4.4.2.1.1</w:t>
        </w:r>
        <w:r>
          <w:rPr>
            <w:rFonts w:asciiTheme="minorHAnsi" w:eastAsiaTheme="minorEastAsia" w:hAnsiTheme="minorHAnsi" w:cstheme="minorBidi"/>
            <w:kern w:val="2"/>
            <w:szCs w:val="24"/>
            <w14:ligatures w14:val="standardContextual"/>
          </w:rPr>
          <w:tab/>
        </w:r>
        <w:r w:rsidRPr="00AC173C">
          <w:rPr>
            <w:rStyle w:val="Hyperlink"/>
          </w:rPr>
          <w:t>Pre-Operating Hour Inputs</w:t>
        </w:r>
        <w:r>
          <w:rPr>
            <w:webHidden/>
          </w:rPr>
          <w:tab/>
        </w:r>
        <w:r>
          <w:rPr>
            <w:webHidden/>
          </w:rPr>
          <w:fldChar w:fldCharType="begin"/>
        </w:r>
        <w:r>
          <w:rPr>
            <w:webHidden/>
          </w:rPr>
          <w:instrText xml:space="preserve"> PAGEREF _Toc213771862 \h </w:instrText>
        </w:r>
        <w:r>
          <w:rPr>
            <w:webHidden/>
          </w:rPr>
        </w:r>
        <w:r>
          <w:rPr>
            <w:webHidden/>
          </w:rPr>
          <w:fldChar w:fldCharType="separate"/>
        </w:r>
        <w:r>
          <w:rPr>
            <w:webHidden/>
          </w:rPr>
          <w:t>165</w:t>
        </w:r>
        <w:r>
          <w:rPr>
            <w:webHidden/>
          </w:rPr>
          <w:fldChar w:fldCharType="end"/>
        </w:r>
      </w:hyperlink>
    </w:p>
    <w:p w14:paraId="529EF7EB" w14:textId="7D23BF78" w:rsidR="00023ECF" w:rsidRDefault="00023ECF">
      <w:pPr>
        <w:pStyle w:val="TOC5"/>
        <w:rPr>
          <w:rFonts w:asciiTheme="minorHAnsi" w:eastAsiaTheme="minorEastAsia" w:hAnsiTheme="minorHAnsi" w:cstheme="minorBidi"/>
          <w:kern w:val="2"/>
          <w:szCs w:val="24"/>
          <w14:ligatures w14:val="standardContextual"/>
        </w:rPr>
      </w:pPr>
      <w:hyperlink w:anchor="_Toc213771863" w:history="1">
        <w:r w:rsidRPr="00AC173C">
          <w:rPr>
            <w:rStyle w:val="Hyperlink"/>
          </w:rPr>
          <w:t>4.4.2.1.2</w:t>
        </w:r>
        <w:r>
          <w:rPr>
            <w:rFonts w:asciiTheme="minorHAnsi" w:eastAsiaTheme="minorEastAsia" w:hAnsiTheme="minorHAnsi" w:cstheme="minorBidi"/>
            <w:kern w:val="2"/>
            <w:szCs w:val="24"/>
            <w14:ligatures w14:val="standardContextual"/>
          </w:rPr>
          <w:tab/>
        </w:r>
        <w:r w:rsidRPr="00AC173C">
          <w:rPr>
            <w:rStyle w:val="Hyperlink"/>
          </w:rPr>
          <w:t>In-Operating Hour Inputs</w:t>
        </w:r>
        <w:r>
          <w:rPr>
            <w:webHidden/>
          </w:rPr>
          <w:tab/>
        </w:r>
        <w:r>
          <w:rPr>
            <w:webHidden/>
          </w:rPr>
          <w:fldChar w:fldCharType="begin"/>
        </w:r>
        <w:r>
          <w:rPr>
            <w:webHidden/>
          </w:rPr>
          <w:instrText xml:space="preserve"> PAGEREF _Toc213771863 \h </w:instrText>
        </w:r>
        <w:r>
          <w:rPr>
            <w:webHidden/>
          </w:rPr>
        </w:r>
        <w:r>
          <w:rPr>
            <w:webHidden/>
          </w:rPr>
          <w:fldChar w:fldCharType="separate"/>
        </w:r>
        <w:r>
          <w:rPr>
            <w:webHidden/>
          </w:rPr>
          <w:t>165</w:t>
        </w:r>
        <w:r>
          <w:rPr>
            <w:webHidden/>
          </w:rPr>
          <w:fldChar w:fldCharType="end"/>
        </w:r>
      </w:hyperlink>
    </w:p>
    <w:p w14:paraId="3799C35F" w14:textId="3416119E" w:rsidR="00023ECF" w:rsidRDefault="00023ECF">
      <w:pPr>
        <w:pStyle w:val="TOC5"/>
        <w:rPr>
          <w:rFonts w:asciiTheme="minorHAnsi" w:eastAsiaTheme="minorEastAsia" w:hAnsiTheme="minorHAnsi" w:cstheme="minorBidi"/>
          <w:kern w:val="2"/>
          <w:szCs w:val="24"/>
          <w14:ligatures w14:val="standardContextual"/>
        </w:rPr>
      </w:pPr>
      <w:hyperlink w:anchor="_Toc213771864" w:history="1">
        <w:r w:rsidRPr="00AC173C">
          <w:rPr>
            <w:rStyle w:val="Hyperlink"/>
          </w:rPr>
          <w:t>4.4.2.1.3</w:t>
        </w:r>
        <w:r>
          <w:rPr>
            <w:rFonts w:asciiTheme="minorHAnsi" w:eastAsiaTheme="minorEastAsia" w:hAnsiTheme="minorHAnsi" w:cstheme="minorBidi"/>
            <w:kern w:val="2"/>
            <w:szCs w:val="24"/>
            <w14:ligatures w14:val="standardContextual"/>
          </w:rPr>
          <w:tab/>
        </w:r>
        <w:r w:rsidRPr="00AC173C">
          <w:rPr>
            <w:rStyle w:val="Hyperlink"/>
          </w:rPr>
          <w:t>Control Status</w:t>
        </w:r>
        <w:r>
          <w:rPr>
            <w:webHidden/>
          </w:rPr>
          <w:tab/>
        </w:r>
        <w:r>
          <w:rPr>
            <w:webHidden/>
          </w:rPr>
          <w:fldChar w:fldCharType="begin"/>
        </w:r>
        <w:r>
          <w:rPr>
            <w:webHidden/>
          </w:rPr>
          <w:instrText xml:space="preserve"> PAGEREF _Toc213771864 \h </w:instrText>
        </w:r>
        <w:r>
          <w:rPr>
            <w:webHidden/>
          </w:rPr>
        </w:r>
        <w:r>
          <w:rPr>
            <w:webHidden/>
          </w:rPr>
          <w:fldChar w:fldCharType="separate"/>
        </w:r>
        <w:r>
          <w:rPr>
            <w:webHidden/>
          </w:rPr>
          <w:t>166</w:t>
        </w:r>
        <w:r>
          <w:rPr>
            <w:webHidden/>
          </w:rPr>
          <w:fldChar w:fldCharType="end"/>
        </w:r>
      </w:hyperlink>
    </w:p>
    <w:p w14:paraId="20E8EB8E" w14:textId="400F134F" w:rsidR="00023ECF" w:rsidRDefault="00023ECF">
      <w:pPr>
        <w:pStyle w:val="TOC4"/>
        <w:rPr>
          <w:rFonts w:asciiTheme="minorHAnsi" w:eastAsiaTheme="minorEastAsia" w:hAnsiTheme="minorHAnsi" w:cstheme="minorBidi"/>
          <w:bCs w:val="0"/>
          <w:kern w:val="2"/>
          <w:szCs w:val="24"/>
          <w14:ligatures w14:val="standardContextual"/>
        </w:rPr>
      </w:pPr>
      <w:hyperlink w:anchor="_Toc213771865" w:history="1">
        <w:r w:rsidRPr="00AC173C">
          <w:rPr>
            <w:rStyle w:val="Hyperlink"/>
          </w:rPr>
          <w:t>4.4.2.2</w:t>
        </w:r>
        <w:r>
          <w:rPr>
            <w:rFonts w:asciiTheme="minorHAnsi" w:eastAsiaTheme="minorEastAsia" w:hAnsiTheme="minorHAnsi" w:cstheme="minorBidi"/>
            <w:bCs w:val="0"/>
            <w:kern w:val="2"/>
            <w:szCs w:val="24"/>
            <w14:ligatures w14:val="standardContextual"/>
          </w:rPr>
          <w:tab/>
        </w:r>
        <w:r w:rsidRPr="00AC173C">
          <w:rPr>
            <w:rStyle w:val="Hyperlink"/>
          </w:rPr>
          <w:t>RTBM Execution</w:t>
        </w:r>
        <w:r>
          <w:rPr>
            <w:webHidden/>
          </w:rPr>
          <w:tab/>
        </w:r>
        <w:r>
          <w:rPr>
            <w:webHidden/>
          </w:rPr>
          <w:fldChar w:fldCharType="begin"/>
        </w:r>
        <w:r>
          <w:rPr>
            <w:webHidden/>
          </w:rPr>
          <w:instrText xml:space="preserve"> PAGEREF _Toc213771865 \h </w:instrText>
        </w:r>
        <w:r>
          <w:rPr>
            <w:webHidden/>
          </w:rPr>
        </w:r>
        <w:r>
          <w:rPr>
            <w:webHidden/>
          </w:rPr>
          <w:fldChar w:fldCharType="separate"/>
        </w:r>
        <w:r>
          <w:rPr>
            <w:webHidden/>
          </w:rPr>
          <w:t>167</w:t>
        </w:r>
        <w:r>
          <w:rPr>
            <w:webHidden/>
          </w:rPr>
          <w:fldChar w:fldCharType="end"/>
        </w:r>
      </w:hyperlink>
    </w:p>
    <w:p w14:paraId="22A16A79" w14:textId="37F3B0D9" w:rsidR="00023ECF" w:rsidRDefault="00023ECF">
      <w:pPr>
        <w:pStyle w:val="TOC5"/>
        <w:rPr>
          <w:rFonts w:asciiTheme="minorHAnsi" w:eastAsiaTheme="minorEastAsia" w:hAnsiTheme="minorHAnsi" w:cstheme="minorBidi"/>
          <w:kern w:val="2"/>
          <w:szCs w:val="24"/>
          <w14:ligatures w14:val="standardContextual"/>
        </w:rPr>
      </w:pPr>
      <w:hyperlink w:anchor="_Toc213771866" w:history="1">
        <w:r w:rsidRPr="00AC173C">
          <w:rPr>
            <w:rStyle w:val="Hyperlink"/>
          </w:rPr>
          <w:t>4.4.2.2.1</w:t>
        </w:r>
        <w:r>
          <w:rPr>
            <w:rFonts w:asciiTheme="minorHAnsi" w:eastAsiaTheme="minorEastAsia" w:hAnsiTheme="minorHAnsi" w:cstheme="minorBidi"/>
            <w:kern w:val="2"/>
            <w:szCs w:val="24"/>
            <w14:ligatures w14:val="standardContextual"/>
          </w:rPr>
          <w:tab/>
        </w:r>
        <w:r w:rsidRPr="00AC173C">
          <w:rPr>
            <w:rStyle w:val="Hyperlink"/>
          </w:rPr>
          <w:t>Energy Shortage Conditions</w:t>
        </w:r>
        <w:r>
          <w:rPr>
            <w:webHidden/>
          </w:rPr>
          <w:tab/>
        </w:r>
        <w:r>
          <w:rPr>
            <w:webHidden/>
          </w:rPr>
          <w:fldChar w:fldCharType="begin"/>
        </w:r>
        <w:r>
          <w:rPr>
            <w:webHidden/>
          </w:rPr>
          <w:instrText xml:space="preserve"> PAGEREF _Toc213771866 \h </w:instrText>
        </w:r>
        <w:r>
          <w:rPr>
            <w:webHidden/>
          </w:rPr>
        </w:r>
        <w:r>
          <w:rPr>
            <w:webHidden/>
          </w:rPr>
          <w:fldChar w:fldCharType="separate"/>
        </w:r>
        <w:r>
          <w:rPr>
            <w:webHidden/>
          </w:rPr>
          <w:t>168</w:t>
        </w:r>
        <w:r>
          <w:rPr>
            <w:webHidden/>
          </w:rPr>
          <w:fldChar w:fldCharType="end"/>
        </w:r>
      </w:hyperlink>
    </w:p>
    <w:p w14:paraId="257E6D2A" w14:textId="5C3A20E8" w:rsidR="00023ECF" w:rsidRDefault="00023ECF">
      <w:pPr>
        <w:pStyle w:val="TOC5"/>
        <w:rPr>
          <w:rFonts w:asciiTheme="minorHAnsi" w:eastAsiaTheme="minorEastAsia" w:hAnsiTheme="minorHAnsi" w:cstheme="minorBidi"/>
          <w:kern w:val="2"/>
          <w:szCs w:val="24"/>
          <w14:ligatures w14:val="standardContextual"/>
        </w:rPr>
      </w:pPr>
      <w:hyperlink w:anchor="_Toc213771867" w:history="1">
        <w:r w:rsidRPr="00AC173C">
          <w:rPr>
            <w:rStyle w:val="Hyperlink"/>
          </w:rPr>
          <w:t>4.4.2.2.2</w:t>
        </w:r>
        <w:r>
          <w:rPr>
            <w:rFonts w:asciiTheme="minorHAnsi" w:eastAsiaTheme="minorEastAsia" w:hAnsiTheme="minorHAnsi" w:cstheme="minorBidi"/>
            <w:kern w:val="2"/>
            <w:szCs w:val="24"/>
            <w14:ligatures w14:val="standardContextual"/>
          </w:rPr>
          <w:tab/>
        </w:r>
        <w:r w:rsidRPr="00AC173C">
          <w:rPr>
            <w:rStyle w:val="Hyperlink"/>
          </w:rPr>
          <w:t>Excess Generation Conditions</w:t>
        </w:r>
        <w:r>
          <w:rPr>
            <w:webHidden/>
          </w:rPr>
          <w:tab/>
        </w:r>
        <w:r>
          <w:rPr>
            <w:webHidden/>
          </w:rPr>
          <w:fldChar w:fldCharType="begin"/>
        </w:r>
        <w:r>
          <w:rPr>
            <w:webHidden/>
          </w:rPr>
          <w:instrText xml:space="preserve"> PAGEREF _Toc213771867 \h </w:instrText>
        </w:r>
        <w:r>
          <w:rPr>
            <w:webHidden/>
          </w:rPr>
        </w:r>
        <w:r>
          <w:rPr>
            <w:webHidden/>
          </w:rPr>
          <w:fldChar w:fldCharType="separate"/>
        </w:r>
        <w:r>
          <w:rPr>
            <w:webHidden/>
          </w:rPr>
          <w:t>168</w:t>
        </w:r>
        <w:r>
          <w:rPr>
            <w:webHidden/>
          </w:rPr>
          <w:fldChar w:fldCharType="end"/>
        </w:r>
      </w:hyperlink>
    </w:p>
    <w:p w14:paraId="7E2EA97D" w14:textId="4353B78F" w:rsidR="00023ECF" w:rsidRDefault="00023ECF">
      <w:pPr>
        <w:pStyle w:val="TOC4"/>
        <w:rPr>
          <w:rFonts w:asciiTheme="minorHAnsi" w:eastAsiaTheme="minorEastAsia" w:hAnsiTheme="minorHAnsi" w:cstheme="minorBidi"/>
          <w:bCs w:val="0"/>
          <w:kern w:val="2"/>
          <w:szCs w:val="24"/>
          <w14:ligatures w14:val="standardContextual"/>
        </w:rPr>
      </w:pPr>
      <w:hyperlink w:anchor="_Toc213771868" w:history="1">
        <w:r w:rsidRPr="00AC173C">
          <w:rPr>
            <w:rStyle w:val="Hyperlink"/>
          </w:rPr>
          <w:t>4.4.2.3</w:t>
        </w:r>
        <w:r>
          <w:rPr>
            <w:rFonts w:asciiTheme="minorHAnsi" w:eastAsiaTheme="minorEastAsia" w:hAnsiTheme="minorHAnsi" w:cstheme="minorBidi"/>
            <w:bCs w:val="0"/>
            <w:kern w:val="2"/>
            <w:szCs w:val="24"/>
            <w14:ligatures w14:val="standardContextual"/>
          </w:rPr>
          <w:tab/>
        </w:r>
        <w:r w:rsidRPr="00AC173C">
          <w:rPr>
            <w:rStyle w:val="Hyperlink"/>
          </w:rPr>
          <w:t>RTBM Results</w:t>
        </w:r>
        <w:r>
          <w:rPr>
            <w:webHidden/>
          </w:rPr>
          <w:tab/>
        </w:r>
        <w:r>
          <w:rPr>
            <w:webHidden/>
          </w:rPr>
          <w:fldChar w:fldCharType="begin"/>
        </w:r>
        <w:r>
          <w:rPr>
            <w:webHidden/>
          </w:rPr>
          <w:instrText xml:space="preserve"> PAGEREF _Toc213771868 \h </w:instrText>
        </w:r>
        <w:r>
          <w:rPr>
            <w:webHidden/>
          </w:rPr>
        </w:r>
        <w:r>
          <w:rPr>
            <w:webHidden/>
          </w:rPr>
          <w:fldChar w:fldCharType="separate"/>
        </w:r>
        <w:r>
          <w:rPr>
            <w:webHidden/>
          </w:rPr>
          <w:t>169</w:t>
        </w:r>
        <w:r>
          <w:rPr>
            <w:webHidden/>
          </w:rPr>
          <w:fldChar w:fldCharType="end"/>
        </w:r>
      </w:hyperlink>
    </w:p>
    <w:p w14:paraId="5F291A51" w14:textId="40AB34CE" w:rsidR="00023ECF" w:rsidRDefault="00023ECF">
      <w:pPr>
        <w:pStyle w:val="TOC4"/>
        <w:rPr>
          <w:rFonts w:asciiTheme="minorHAnsi" w:eastAsiaTheme="minorEastAsia" w:hAnsiTheme="minorHAnsi" w:cstheme="minorBidi"/>
          <w:bCs w:val="0"/>
          <w:kern w:val="2"/>
          <w:szCs w:val="24"/>
          <w14:ligatures w14:val="standardContextual"/>
        </w:rPr>
      </w:pPr>
      <w:hyperlink w:anchor="_Toc213771869" w:history="1">
        <w:r w:rsidRPr="00AC173C">
          <w:rPr>
            <w:rStyle w:val="Hyperlink"/>
          </w:rPr>
          <w:t>4.4.2.4</w:t>
        </w:r>
        <w:r>
          <w:rPr>
            <w:rFonts w:asciiTheme="minorHAnsi" w:eastAsiaTheme="minorEastAsia" w:hAnsiTheme="minorHAnsi" w:cstheme="minorBidi"/>
            <w:bCs w:val="0"/>
            <w:kern w:val="2"/>
            <w:szCs w:val="24"/>
            <w14:ligatures w14:val="standardContextual"/>
          </w:rPr>
          <w:tab/>
        </w:r>
        <w:r w:rsidRPr="00AC173C">
          <w:rPr>
            <w:rStyle w:val="Hyperlink"/>
          </w:rPr>
          <w:t>Out-of-Merit Energy (OOME) Dispatch</w:t>
        </w:r>
        <w:r>
          <w:rPr>
            <w:webHidden/>
          </w:rPr>
          <w:tab/>
        </w:r>
        <w:r>
          <w:rPr>
            <w:webHidden/>
          </w:rPr>
          <w:fldChar w:fldCharType="begin"/>
        </w:r>
        <w:r>
          <w:rPr>
            <w:webHidden/>
          </w:rPr>
          <w:instrText xml:space="preserve"> PAGEREF _Toc213771869 \h </w:instrText>
        </w:r>
        <w:r>
          <w:rPr>
            <w:webHidden/>
          </w:rPr>
        </w:r>
        <w:r>
          <w:rPr>
            <w:webHidden/>
          </w:rPr>
          <w:fldChar w:fldCharType="separate"/>
        </w:r>
        <w:r>
          <w:rPr>
            <w:webHidden/>
          </w:rPr>
          <w:t>172</w:t>
        </w:r>
        <w:r>
          <w:rPr>
            <w:webHidden/>
          </w:rPr>
          <w:fldChar w:fldCharType="end"/>
        </w:r>
      </w:hyperlink>
    </w:p>
    <w:p w14:paraId="46E383A5" w14:textId="6FC3A389" w:rsidR="00023ECF" w:rsidRDefault="00023ECF">
      <w:pPr>
        <w:pStyle w:val="TOC5"/>
        <w:rPr>
          <w:rFonts w:asciiTheme="minorHAnsi" w:eastAsiaTheme="minorEastAsia" w:hAnsiTheme="minorHAnsi" w:cstheme="minorBidi"/>
          <w:kern w:val="2"/>
          <w:szCs w:val="24"/>
          <w14:ligatures w14:val="standardContextual"/>
        </w:rPr>
      </w:pPr>
      <w:hyperlink w:anchor="_Toc213771870" w:history="1">
        <w:r w:rsidRPr="00AC173C">
          <w:rPr>
            <w:rStyle w:val="Hyperlink"/>
          </w:rPr>
          <w:t>4.4.2.4.1</w:t>
        </w:r>
        <w:r>
          <w:rPr>
            <w:rFonts w:asciiTheme="minorHAnsi" w:eastAsiaTheme="minorEastAsia" w:hAnsiTheme="minorHAnsi" w:cstheme="minorBidi"/>
            <w:kern w:val="2"/>
            <w:szCs w:val="24"/>
            <w14:ligatures w14:val="standardContextual"/>
          </w:rPr>
          <w:tab/>
        </w:r>
        <w:r w:rsidRPr="00AC173C">
          <w:rPr>
            <w:rStyle w:val="Hyperlink"/>
          </w:rPr>
          <w:t>Fixed OOME</w:t>
        </w:r>
        <w:r>
          <w:rPr>
            <w:webHidden/>
          </w:rPr>
          <w:tab/>
        </w:r>
        <w:r>
          <w:rPr>
            <w:webHidden/>
          </w:rPr>
          <w:fldChar w:fldCharType="begin"/>
        </w:r>
        <w:r>
          <w:rPr>
            <w:webHidden/>
          </w:rPr>
          <w:instrText xml:space="preserve"> PAGEREF _Toc213771870 \h </w:instrText>
        </w:r>
        <w:r>
          <w:rPr>
            <w:webHidden/>
          </w:rPr>
        </w:r>
        <w:r>
          <w:rPr>
            <w:webHidden/>
          </w:rPr>
          <w:fldChar w:fldCharType="separate"/>
        </w:r>
        <w:r>
          <w:rPr>
            <w:webHidden/>
          </w:rPr>
          <w:t>172</w:t>
        </w:r>
        <w:r>
          <w:rPr>
            <w:webHidden/>
          </w:rPr>
          <w:fldChar w:fldCharType="end"/>
        </w:r>
      </w:hyperlink>
    </w:p>
    <w:p w14:paraId="213E3233" w14:textId="38B074EF" w:rsidR="00023ECF" w:rsidRDefault="00023ECF">
      <w:pPr>
        <w:pStyle w:val="TOC5"/>
        <w:rPr>
          <w:rFonts w:asciiTheme="minorHAnsi" w:eastAsiaTheme="minorEastAsia" w:hAnsiTheme="minorHAnsi" w:cstheme="minorBidi"/>
          <w:kern w:val="2"/>
          <w:szCs w:val="24"/>
          <w14:ligatures w14:val="standardContextual"/>
        </w:rPr>
      </w:pPr>
      <w:hyperlink w:anchor="_Toc213771871" w:history="1">
        <w:r w:rsidRPr="00AC173C">
          <w:rPr>
            <w:rStyle w:val="Hyperlink"/>
          </w:rPr>
          <w:t>4.4.2.4.2</w:t>
        </w:r>
        <w:r>
          <w:rPr>
            <w:rFonts w:asciiTheme="minorHAnsi" w:eastAsiaTheme="minorEastAsia" w:hAnsiTheme="minorHAnsi" w:cstheme="minorBidi"/>
            <w:kern w:val="2"/>
            <w:szCs w:val="24"/>
            <w14:ligatures w14:val="standardContextual"/>
          </w:rPr>
          <w:tab/>
        </w:r>
        <w:r w:rsidRPr="00AC173C">
          <w:rPr>
            <w:rStyle w:val="Hyperlink"/>
          </w:rPr>
          <w:t>OOME Cap and OOME Floor</w:t>
        </w:r>
        <w:r>
          <w:rPr>
            <w:webHidden/>
          </w:rPr>
          <w:tab/>
        </w:r>
        <w:r>
          <w:rPr>
            <w:webHidden/>
          </w:rPr>
          <w:fldChar w:fldCharType="begin"/>
        </w:r>
        <w:r>
          <w:rPr>
            <w:webHidden/>
          </w:rPr>
          <w:instrText xml:space="preserve"> PAGEREF _Toc213771871 \h </w:instrText>
        </w:r>
        <w:r>
          <w:rPr>
            <w:webHidden/>
          </w:rPr>
        </w:r>
        <w:r>
          <w:rPr>
            <w:webHidden/>
          </w:rPr>
          <w:fldChar w:fldCharType="separate"/>
        </w:r>
        <w:r>
          <w:rPr>
            <w:webHidden/>
          </w:rPr>
          <w:t>173</w:t>
        </w:r>
        <w:r>
          <w:rPr>
            <w:webHidden/>
          </w:rPr>
          <w:fldChar w:fldCharType="end"/>
        </w:r>
      </w:hyperlink>
    </w:p>
    <w:p w14:paraId="6A189F86" w14:textId="0606268D" w:rsidR="00023ECF" w:rsidRDefault="00023ECF">
      <w:pPr>
        <w:pStyle w:val="TOC4"/>
        <w:rPr>
          <w:rFonts w:asciiTheme="minorHAnsi" w:eastAsiaTheme="minorEastAsia" w:hAnsiTheme="minorHAnsi" w:cstheme="minorBidi"/>
          <w:bCs w:val="0"/>
          <w:kern w:val="2"/>
          <w:szCs w:val="24"/>
          <w14:ligatures w14:val="standardContextual"/>
        </w:rPr>
      </w:pPr>
      <w:hyperlink w:anchor="_Toc213771872" w:history="1">
        <w:r w:rsidRPr="00AC173C">
          <w:rPr>
            <w:rStyle w:val="Hyperlink"/>
          </w:rPr>
          <w:t>4.4.2.5</w:t>
        </w:r>
        <w:r>
          <w:rPr>
            <w:rFonts w:asciiTheme="minorHAnsi" w:eastAsiaTheme="minorEastAsia" w:hAnsiTheme="minorHAnsi" w:cstheme="minorBidi"/>
            <w:bCs w:val="0"/>
            <w:kern w:val="2"/>
            <w:szCs w:val="24"/>
            <w14:ligatures w14:val="standardContextual"/>
          </w:rPr>
          <w:tab/>
        </w:r>
        <w:r w:rsidRPr="00AC173C">
          <w:rPr>
            <w:rStyle w:val="Hyperlink"/>
          </w:rPr>
          <w:t>Congestion Management</w:t>
        </w:r>
        <w:r>
          <w:rPr>
            <w:webHidden/>
          </w:rPr>
          <w:tab/>
        </w:r>
        <w:r>
          <w:rPr>
            <w:webHidden/>
          </w:rPr>
          <w:fldChar w:fldCharType="begin"/>
        </w:r>
        <w:r>
          <w:rPr>
            <w:webHidden/>
          </w:rPr>
          <w:instrText xml:space="preserve"> PAGEREF _Toc213771872 \h </w:instrText>
        </w:r>
        <w:r>
          <w:rPr>
            <w:webHidden/>
          </w:rPr>
        </w:r>
        <w:r>
          <w:rPr>
            <w:webHidden/>
          </w:rPr>
          <w:fldChar w:fldCharType="separate"/>
        </w:r>
        <w:r>
          <w:rPr>
            <w:webHidden/>
          </w:rPr>
          <w:t>174</w:t>
        </w:r>
        <w:r>
          <w:rPr>
            <w:webHidden/>
          </w:rPr>
          <w:fldChar w:fldCharType="end"/>
        </w:r>
      </w:hyperlink>
    </w:p>
    <w:p w14:paraId="4DACBF15" w14:textId="19C02ABB" w:rsidR="00023ECF" w:rsidRDefault="00023ECF">
      <w:pPr>
        <w:pStyle w:val="TOC5"/>
        <w:rPr>
          <w:rFonts w:asciiTheme="minorHAnsi" w:eastAsiaTheme="minorEastAsia" w:hAnsiTheme="minorHAnsi" w:cstheme="minorBidi"/>
          <w:kern w:val="2"/>
          <w:szCs w:val="24"/>
          <w14:ligatures w14:val="standardContextual"/>
        </w:rPr>
      </w:pPr>
      <w:hyperlink w:anchor="_Toc213771873" w:history="1">
        <w:r w:rsidRPr="00AC173C">
          <w:rPr>
            <w:rStyle w:val="Hyperlink"/>
          </w:rPr>
          <w:t>4.4.2.5.1</w:t>
        </w:r>
        <w:r>
          <w:rPr>
            <w:rFonts w:asciiTheme="minorHAnsi" w:eastAsiaTheme="minorEastAsia" w:hAnsiTheme="minorHAnsi" w:cstheme="minorBidi"/>
            <w:kern w:val="2"/>
            <w:szCs w:val="24"/>
            <w14:ligatures w14:val="standardContextual"/>
          </w:rPr>
          <w:tab/>
        </w:r>
        <w:r w:rsidRPr="00AC173C">
          <w:rPr>
            <w:rStyle w:val="Hyperlink"/>
          </w:rPr>
          <w:t>Physical Transmission Constraint</w:t>
        </w:r>
        <w:r>
          <w:rPr>
            <w:webHidden/>
          </w:rPr>
          <w:tab/>
        </w:r>
        <w:r>
          <w:rPr>
            <w:webHidden/>
          </w:rPr>
          <w:fldChar w:fldCharType="begin"/>
        </w:r>
        <w:r>
          <w:rPr>
            <w:webHidden/>
          </w:rPr>
          <w:instrText xml:space="preserve"> PAGEREF _Toc213771873 \h </w:instrText>
        </w:r>
        <w:r>
          <w:rPr>
            <w:webHidden/>
          </w:rPr>
        </w:r>
        <w:r>
          <w:rPr>
            <w:webHidden/>
          </w:rPr>
          <w:fldChar w:fldCharType="separate"/>
        </w:r>
        <w:r>
          <w:rPr>
            <w:webHidden/>
          </w:rPr>
          <w:t>174</w:t>
        </w:r>
        <w:r>
          <w:rPr>
            <w:webHidden/>
          </w:rPr>
          <w:fldChar w:fldCharType="end"/>
        </w:r>
      </w:hyperlink>
    </w:p>
    <w:p w14:paraId="772B5594" w14:textId="71211E3C" w:rsidR="00023ECF" w:rsidRDefault="00023ECF">
      <w:pPr>
        <w:pStyle w:val="TOC5"/>
        <w:rPr>
          <w:rFonts w:asciiTheme="minorHAnsi" w:eastAsiaTheme="minorEastAsia" w:hAnsiTheme="minorHAnsi" w:cstheme="minorBidi"/>
          <w:kern w:val="2"/>
          <w:szCs w:val="24"/>
          <w14:ligatures w14:val="standardContextual"/>
        </w:rPr>
      </w:pPr>
      <w:hyperlink w:anchor="_Toc213771874" w:history="1">
        <w:r w:rsidRPr="00AC173C">
          <w:rPr>
            <w:rStyle w:val="Hyperlink"/>
          </w:rPr>
          <w:t>4.4.2.5.2</w:t>
        </w:r>
        <w:r>
          <w:rPr>
            <w:rFonts w:asciiTheme="minorHAnsi" w:eastAsiaTheme="minorEastAsia" w:hAnsiTheme="minorHAnsi" w:cstheme="minorBidi"/>
            <w:kern w:val="2"/>
            <w:szCs w:val="24"/>
            <w14:ligatures w14:val="standardContextual"/>
          </w:rPr>
          <w:tab/>
        </w:r>
        <w:r w:rsidRPr="00AC173C">
          <w:rPr>
            <w:rStyle w:val="Hyperlink"/>
          </w:rPr>
          <w:t>Service Flow Constraints</w:t>
        </w:r>
        <w:r>
          <w:rPr>
            <w:webHidden/>
          </w:rPr>
          <w:tab/>
        </w:r>
        <w:r>
          <w:rPr>
            <w:webHidden/>
          </w:rPr>
          <w:fldChar w:fldCharType="begin"/>
        </w:r>
        <w:r>
          <w:rPr>
            <w:webHidden/>
          </w:rPr>
          <w:instrText xml:space="preserve"> PAGEREF _Toc213771874 \h </w:instrText>
        </w:r>
        <w:r>
          <w:rPr>
            <w:webHidden/>
          </w:rPr>
        </w:r>
        <w:r>
          <w:rPr>
            <w:webHidden/>
          </w:rPr>
          <w:fldChar w:fldCharType="separate"/>
        </w:r>
        <w:r>
          <w:rPr>
            <w:webHidden/>
          </w:rPr>
          <w:t>175</w:t>
        </w:r>
        <w:r>
          <w:rPr>
            <w:webHidden/>
          </w:rPr>
          <w:fldChar w:fldCharType="end"/>
        </w:r>
      </w:hyperlink>
    </w:p>
    <w:p w14:paraId="547EFD82" w14:textId="5EE19A5D" w:rsidR="00023ECF" w:rsidRDefault="00023ECF">
      <w:pPr>
        <w:pStyle w:val="TOC5"/>
        <w:rPr>
          <w:rFonts w:asciiTheme="minorHAnsi" w:eastAsiaTheme="minorEastAsia" w:hAnsiTheme="minorHAnsi" w:cstheme="minorBidi"/>
          <w:kern w:val="2"/>
          <w:szCs w:val="24"/>
          <w14:ligatures w14:val="standardContextual"/>
        </w:rPr>
      </w:pPr>
      <w:hyperlink w:anchor="_Toc213771875" w:history="1">
        <w:r w:rsidRPr="00AC173C">
          <w:rPr>
            <w:rStyle w:val="Hyperlink"/>
          </w:rPr>
          <w:t>4.4.2.5.3</w:t>
        </w:r>
        <w:r>
          <w:rPr>
            <w:rFonts w:asciiTheme="minorHAnsi" w:eastAsiaTheme="minorEastAsia" w:hAnsiTheme="minorHAnsi" w:cstheme="minorBidi"/>
            <w:kern w:val="2"/>
            <w:szCs w:val="24"/>
            <w14:ligatures w14:val="standardContextual"/>
          </w:rPr>
          <w:tab/>
        </w:r>
        <w:r w:rsidRPr="00AC173C">
          <w:rPr>
            <w:rStyle w:val="Hyperlink"/>
          </w:rPr>
          <w:t>Coordinated Interchange Scheduling Limits</w:t>
        </w:r>
        <w:r>
          <w:rPr>
            <w:webHidden/>
          </w:rPr>
          <w:tab/>
        </w:r>
        <w:r>
          <w:rPr>
            <w:webHidden/>
          </w:rPr>
          <w:fldChar w:fldCharType="begin"/>
        </w:r>
        <w:r>
          <w:rPr>
            <w:webHidden/>
          </w:rPr>
          <w:instrText xml:space="preserve"> PAGEREF _Toc213771875 \h </w:instrText>
        </w:r>
        <w:r>
          <w:rPr>
            <w:webHidden/>
          </w:rPr>
        </w:r>
        <w:r>
          <w:rPr>
            <w:webHidden/>
          </w:rPr>
          <w:fldChar w:fldCharType="separate"/>
        </w:r>
        <w:r>
          <w:rPr>
            <w:webHidden/>
          </w:rPr>
          <w:t>175</w:t>
        </w:r>
        <w:r>
          <w:rPr>
            <w:webHidden/>
          </w:rPr>
          <w:fldChar w:fldCharType="end"/>
        </w:r>
      </w:hyperlink>
    </w:p>
    <w:p w14:paraId="26D0500D" w14:textId="65A8AB55" w:rsidR="00023ECF" w:rsidRDefault="00023ECF">
      <w:pPr>
        <w:pStyle w:val="TOC3"/>
        <w:rPr>
          <w:rFonts w:asciiTheme="minorHAnsi" w:eastAsiaTheme="minorEastAsia" w:hAnsiTheme="minorHAnsi" w:cstheme="minorBidi"/>
          <w:bCs w:val="0"/>
          <w:kern w:val="2"/>
          <w:szCs w:val="24"/>
          <w14:ligatures w14:val="standardContextual"/>
        </w:rPr>
      </w:pPr>
      <w:hyperlink w:anchor="_Toc213771876" w:history="1">
        <w:r w:rsidRPr="00AC173C">
          <w:rPr>
            <w:rStyle w:val="Hyperlink"/>
          </w:rPr>
          <w:t>4.4.3</w:t>
        </w:r>
        <w:r>
          <w:rPr>
            <w:rFonts w:asciiTheme="minorHAnsi" w:eastAsiaTheme="minorEastAsia" w:hAnsiTheme="minorHAnsi" w:cstheme="minorBidi"/>
            <w:bCs w:val="0"/>
            <w:kern w:val="2"/>
            <w:szCs w:val="24"/>
            <w14:ligatures w14:val="standardContextual"/>
          </w:rPr>
          <w:tab/>
        </w:r>
        <w:r w:rsidRPr="00AC173C">
          <w:rPr>
            <w:rStyle w:val="Hyperlink"/>
          </w:rPr>
          <w:t>Energy Deployment</w:t>
        </w:r>
        <w:r>
          <w:rPr>
            <w:webHidden/>
          </w:rPr>
          <w:tab/>
        </w:r>
        <w:r>
          <w:rPr>
            <w:webHidden/>
          </w:rPr>
          <w:fldChar w:fldCharType="begin"/>
        </w:r>
        <w:r>
          <w:rPr>
            <w:webHidden/>
          </w:rPr>
          <w:instrText xml:space="preserve"> PAGEREF _Toc213771876 \h </w:instrText>
        </w:r>
        <w:r>
          <w:rPr>
            <w:webHidden/>
          </w:rPr>
        </w:r>
        <w:r>
          <w:rPr>
            <w:webHidden/>
          </w:rPr>
          <w:fldChar w:fldCharType="separate"/>
        </w:r>
        <w:r>
          <w:rPr>
            <w:webHidden/>
          </w:rPr>
          <w:t>175</w:t>
        </w:r>
        <w:r>
          <w:rPr>
            <w:webHidden/>
          </w:rPr>
          <w:fldChar w:fldCharType="end"/>
        </w:r>
      </w:hyperlink>
    </w:p>
    <w:p w14:paraId="209BC4D0" w14:textId="2FA3E024" w:rsidR="00023ECF" w:rsidRDefault="00023ECF">
      <w:pPr>
        <w:pStyle w:val="TOC4"/>
        <w:rPr>
          <w:rFonts w:asciiTheme="minorHAnsi" w:eastAsiaTheme="minorEastAsia" w:hAnsiTheme="minorHAnsi" w:cstheme="minorBidi"/>
          <w:bCs w:val="0"/>
          <w:kern w:val="2"/>
          <w:szCs w:val="24"/>
          <w14:ligatures w14:val="standardContextual"/>
        </w:rPr>
      </w:pPr>
      <w:hyperlink w:anchor="_Toc213771877" w:history="1">
        <w:r w:rsidRPr="00AC173C">
          <w:rPr>
            <w:rStyle w:val="Hyperlink"/>
          </w:rPr>
          <w:t>4.4.3.1</w:t>
        </w:r>
        <w:r>
          <w:rPr>
            <w:rFonts w:asciiTheme="minorHAnsi" w:eastAsiaTheme="minorEastAsia" w:hAnsiTheme="minorHAnsi" w:cstheme="minorBidi"/>
            <w:bCs w:val="0"/>
            <w:kern w:val="2"/>
            <w:szCs w:val="24"/>
            <w14:ligatures w14:val="standardContextual"/>
          </w:rPr>
          <w:tab/>
        </w:r>
        <w:r w:rsidRPr="00AC173C">
          <w:rPr>
            <w:rStyle w:val="Hyperlink"/>
          </w:rPr>
          <w:t>Dispatchable Variable Energy Resource Deployment</w:t>
        </w:r>
        <w:r>
          <w:rPr>
            <w:webHidden/>
          </w:rPr>
          <w:tab/>
        </w:r>
        <w:r>
          <w:rPr>
            <w:webHidden/>
          </w:rPr>
          <w:fldChar w:fldCharType="begin"/>
        </w:r>
        <w:r>
          <w:rPr>
            <w:webHidden/>
          </w:rPr>
          <w:instrText xml:space="preserve"> PAGEREF _Toc213771877 \h </w:instrText>
        </w:r>
        <w:r>
          <w:rPr>
            <w:webHidden/>
          </w:rPr>
        </w:r>
        <w:r>
          <w:rPr>
            <w:webHidden/>
          </w:rPr>
          <w:fldChar w:fldCharType="separate"/>
        </w:r>
        <w:r>
          <w:rPr>
            <w:webHidden/>
          </w:rPr>
          <w:t>176</w:t>
        </w:r>
        <w:r>
          <w:rPr>
            <w:webHidden/>
          </w:rPr>
          <w:fldChar w:fldCharType="end"/>
        </w:r>
      </w:hyperlink>
    </w:p>
    <w:p w14:paraId="12DA1AFC" w14:textId="29BC12CC" w:rsidR="00023ECF" w:rsidRDefault="00023ECF">
      <w:pPr>
        <w:pStyle w:val="TOC4"/>
        <w:rPr>
          <w:rFonts w:asciiTheme="minorHAnsi" w:eastAsiaTheme="minorEastAsia" w:hAnsiTheme="minorHAnsi" w:cstheme="minorBidi"/>
          <w:bCs w:val="0"/>
          <w:kern w:val="2"/>
          <w:szCs w:val="24"/>
          <w14:ligatures w14:val="standardContextual"/>
        </w:rPr>
      </w:pPr>
      <w:hyperlink w:anchor="_Toc213771878" w:history="1">
        <w:r w:rsidRPr="00AC173C">
          <w:rPr>
            <w:rStyle w:val="Hyperlink"/>
          </w:rPr>
          <w:t>4.4.3.2</w:t>
        </w:r>
        <w:r>
          <w:rPr>
            <w:rFonts w:asciiTheme="minorHAnsi" w:eastAsiaTheme="minorEastAsia" w:hAnsiTheme="minorHAnsi" w:cstheme="minorBidi"/>
            <w:bCs w:val="0"/>
            <w:kern w:val="2"/>
            <w:szCs w:val="24"/>
            <w14:ligatures w14:val="standardContextual"/>
          </w:rPr>
          <w:tab/>
        </w:r>
        <w:r w:rsidRPr="00AC173C">
          <w:rPr>
            <w:rStyle w:val="Hyperlink"/>
          </w:rPr>
          <w:t>Non-Dispatchable Variable Energy Resource Deployment</w:t>
        </w:r>
        <w:r>
          <w:rPr>
            <w:webHidden/>
          </w:rPr>
          <w:tab/>
        </w:r>
        <w:r>
          <w:rPr>
            <w:webHidden/>
          </w:rPr>
          <w:fldChar w:fldCharType="begin"/>
        </w:r>
        <w:r>
          <w:rPr>
            <w:webHidden/>
          </w:rPr>
          <w:instrText xml:space="preserve"> PAGEREF _Toc213771878 \h </w:instrText>
        </w:r>
        <w:r>
          <w:rPr>
            <w:webHidden/>
          </w:rPr>
        </w:r>
        <w:r>
          <w:rPr>
            <w:webHidden/>
          </w:rPr>
          <w:fldChar w:fldCharType="separate"/>
        </w:r>
        <w:r>
          <w:rPr>
            <w:webHidden/>
          </w:rPr>
          <w:t>176</w:t>
        </w:r>
        <w:r>
          <w:rPr>
            <w:webHidden/>
          </w:rPr>
          <w:fldChar w:fldCharType="end"/>
        </w:r>
      </w:hyperlink>
    </w:p>
    <w:p w14:paraId="5449EA98" w14:textId="72A5D84F" w:rsidR="00023ECF" w:rsidRDefault="00023ECF">
      <w:pPr>
        <w:pStyle w:val="TOC4"/>
        <w:rPr>
          <w:rFonts w:asciiTheme="minorHAnsi" w:eastAsiaTheme="minorEastAsia" w:hAnsiTheme="minorHAnsi" w:cstheme="minorBidi"/>
          <w:bCs w:val="0"/>
          <w:kern w:val="2"/>
          <w:szCs w:val="24"/>
          <w14:ligatures w14:val="standardContextual"/>
        </w:rPr>
      </w:pPr>
      <w:hyperlink w:anchor="_Toc213771879" w:history="1">
        <w:r w:rsidRPr="00AC173C">
          <w:rPr>
            <w:rStyle w:val="Hyperlink"/>
          </w:rPr>
          <w:t>4.4.3.3</w:t>
        </w:r>
        <w:r>
          <w:rPr>
            <w:rFonts w:asciiTheme="minorHAnsi" w:eastAsiaTheme="minorEastAsia" w:hAnsiTheme="minorHAnsi" w:cstheme="minorBidi"/>
            <w:bCs w:val="0"/>
            <w:kern w:val="2"/>
            <w:szCs w:val="24"/>
            <w14:ligatures w14:val="standardContextual"/>
          </w:rPr>
          <w:tab/>
        </w:r>
        <w:r w:rsidRPr="00AC173C">
          <w:rPr>
            <w:rStyle w:val="Hyperlink"/>
          </w:rPr>
          <w:t>Market Storage Resource Deployment</w:t>
        </w:r>
        <w:r>
          <w:rPr>
            <w:webHidden/>
          </w:rPr>
          <w:tab/>
        </w:r>
        <w:r>
          <w:rPr>
            <w:webHidden/>
          </w:rPr>
          <w:fldChar w:fldCharType="begin"/>
        </w:r>
        <w:r>
          <w:rPr>
            <w:webHidden/>
          </w:rPr>
          <w:instrText xml:space="preserve"> PAGEREF _Toc213771879 \h </w:instrText>
        </w:r>
        <w:r>
          <w:rPr>
            <w:webHidden/>
          </w:rPr>
        </w:r>
        <w:r>
          <w:rPr>
            <w:webHidden/>
          </w:rPr>
          <w:fldChar w:fldCharType="separate"/>
        </w:r>
        <w:r>
          <w:rPr>
            <w:webHidden/>
          </w:rPr>
          <w:t>176</w:t>
        </w:r>
        <w:r>
          <w:rPr>
            <w:webHidden/>
          </w:rPr>
          <w:fldChar w:fldCharType="end"/>
        </w:r>
      </w:hyperlink>
    </w:p>
    <w:p w14:paraId="32B9BA23" w14:textId="3B9A146D" w:rsidR="00023ECF" w:rsidRDefault="00023ECF">
      <w:pPr>
        <w:pStyle w:val="TOC3"/>
        <w:rPr>
          <w:rFonts w:asciiTheme="minorHAnsi" w:eastAsiaTheme="minorEastAsia" w:hAnsiTheme="minorHAnsi" w:cstheme="minorBidi"/>
          <w:bCs w:val="0"/>
          <w:kern w:val="2"/>
          <w:szCs w:val="24"/>
          <w14:ligatures w14:val="standardContextual"/>
        </w:rPr>
      </w:pPr>
      <w:hyperlink w:anchor="_Toc213771880" w:history="1">
        <w:r w:rsidRPr="00AC173C">
          <w:rPr>
            <w:rStyle w:val="Hyperlink"/>
          </w:rPr>
          <w:t>4.4.4</w:t>
        </w:r>
        <w:r>
          <w:rPr>
            <w:rFonts w:asciiTheme="minorHAnsi" w:eastAsiaTheme="minorEastAsia" w:hAnsiTheme="minorHAnsi" w:cstheme="minorBidi"/>
            <w:bCs w:val="0"/>
            <w:kern w:val="2"/>
            <w:szCs w:val="24"/>
            <w14:ligatures w14:val="standardContextual"/>
          </w:rPr>
          <w:tab/>
        </w:r>
        <w:r w:rsidRPr="00AC173C">
          <w:rPr>
            <w:rStyle w:val="Hyperlink"/>
          </w:rPr>
          <w:t>Energy Deployment Failure</w:t>
        </w:r>
        <w:r>
          <w:rPr>
            <w:webHidden/>
          </w:rPr>
          <w:tab/>
        </w:r>
        <w:r>
          <w:rPr>
            <w:webHidden/>
          </w:rPr>
          <w:fldChar w:fldCharType="begin"/>
        </w:r>
        <w:r>
          <w:rPr>
            <w:webHidden/>
          </w:rPr>
          <w:instrText xml:space="preserve"> PAGEREF _Toc213771880 \h </w:instrText>
        </w:r>
        <w:r>
          <w:rPr>
            <w:webHidden/>
          </w:rPr>
        </w:r>
        <w:r>
          <w:rPr>
            <w:webHidden/>
          </w:rPr>
          <w:fldChar w:fldCharType="separate"/>
        </w:r>
        <w:r>
          <w:rPr>
            <w:webHidden/>
          </w:rPr>
          <w:t>177</w:t>
        </w:r>
        <w:r>
          <w:rPr>
            <w:webHidden/>
          </w:rPr>
          <w:fldChar w:fldCharType="end"/>
        </w:r>
      </w:hyperlink>
    </w:p>
    <w:p w14:paraId="1A26A04B" w14:textId="432FF8B2" w:rsidR="00023ECF" w:rsidRDefault="00023ECF">
      <w:pPr>
        <w:pStyle w:val="TOC4"/>
        <w:rPr>
          <w:rFonts w:asciiTheme="minorHAnsi" w:eastAsiaTheme="minorEastAsia" w:hAnsiTheme="minorHAnsi" w:cstheme="minorBidi"/>
          <w:bCs w:val="0"/>
          <w:kern w:val="2"/>
          <w:szCs w:val="24"/>
          <w14:ligatures w14:val="standardContextual"/>
        </w:rPr>
      </w:pPr>
      <w:hyperlink w:anchor="_Toc213771881" w:history="1">
        <w:r w:rsidRPr="00AC173C">
          <w:rPr>
            <w:rStyle w:val="Hyperlink"/>
          </w:rPr>
          <w:t>4.4.4.1</w:t>
        </w:r>
        <w:r>
          <w:rPr>
            <w:rFonts w:asciiTheme="minorHAnsi" w:eastAsiaTheme="minorEastAsia" w:hAnsiTheme="minorHAnsi" w:cstheme="minorBidi"/>
            <w:bCs w:val="0"/>
            <w:kern w:val="2"/>
            <w:szCs w:val="24"/>
            <w14:ligatures w14:val="standardContextual"/>
          </w:rPr>
          <w:tab/>
        </w:r>
        <w:r w:rsidRPr="00AC173C">
          <w:rPr>
            <w:rStyle w:val="Hyperlink"/>
          </w:rPr>
          <w:t>Uninstructed Resource Deviation</w:t>
        </w:r>
        <w:r>
          <w:rPr>
            <w:webHidden/>
          </w:rPr>
          <w:tab/>
        </w:r>
        <w:r>
          <w:rPr>
            <w:webHidden/>
          </w:rPr>
          <w:fldChar w:fldCharType="begin"/>
        </w:r>
        <w:r>
          <w:rPr>
            <w:webHidden/>
          </w:rPr>
          <w:instrText xml:space="preserve"> PAGEREF _Toc213771881 \h </w:instrText>
        </w:r>
        <w:r>
          <w:rPr>
            <w:webHidden/>
          </w:rPr>
        </w:r>
        <w:r>
          <w:rPr>
            <w:webHidden/>
          </w:rPr>
          <w:fldChar w:fldCharType="separate"/>
        </w:r>
        <w:r>
          <w:rPr>
            <w:webHidden/>
          </w:rPr>
          <w:t>177</w:t>
        </w:r>
        <w:r>
          <w:rPr>
            <w:webHidden/>
          </w:rPr>
          <w:fldChar w:fldCharType="end"/>
        </w:r>
      </w:hyperlink>
    </w:p>
    <w:p w14:paraId="56E00CF9" w14:textId="07EDFA60" w:rsidR="00023ECF" w:rsidRDefault="00023ECF">
      <w:pPr>
        <w:pStyle w:val="TOC5"/>
        <w:rPr>
          <w:rFonts w:asciiTheme="minorHAnsi" w:eastAsiaTheme="minorEastAsia" w:hAnsiTheme="minorHAnsi" w:cstheme="minorBidi"/>
          <w:kern w:val="2"/>
          <w:szCs w:val="24"/>
          <w14:ligatures w14:val="standardContextual"/>
        </w:rPr>
      </w:pPr>
      <w:hyperlink w:anchor="_Toc213771883" w:history="1">
        <w:r w:rsidRPr="00AC173C">
          <w:rPr>
            <w:rStyle w:val="Hyperlink"/>
          </w:rPr>
          <w:t>4.4.4.1.1</w:t>
        </w:r>
        <w:r>
          <w:rPr>
            <w:rFonts w:asciiTheme="minorHAnsi" w:eastAsiaTheme="minorEastAsia" w:hAnsiTheme="minorHAnsi" w:cstheme="minorBidi"/>
            <w:kern w:val="2"/>
            <w:szCs w:val="24"/>
            <w14:ligatures w14:val="standardContextual"/>
          </w:rPr>
          <w:tab/>
        </w:r>
        <w:r w:rsidRPr="00AC173C">
          <w:rPr>
            <w:rStyle w:val="Hyperlink"/>
          </w:rPr>
          <w:t>URD Exemptions</w:t>
        </w:r>
        <w:r>
          <w:rPr>
            <w:webHidden/>
          </w:rPr>
          <w:tab/>
        </w:r>
        <w:r>
          <w:rPr>
            <w:webHidden/>
          </w:rPr>
          <w:fldChar w:fldCharType="begin"/>
        </w:r>
        <w:r>
          <w:rPr>
            <w:webHidden/>
          </w:rPr>
          <w:instrText xml:space="preserve"> PAGEREF _Toc213771883 \h </w:instrText>
        </w:r>
        <w:r>
          <w:rPr>
            <w:webHidden/>
          </w:rPr>
        </w:r>
        <w:r>
          <w:rPr>
            <w:webHidden/>
          </w:rPr>
          <w:fldChar w:fldCharType="separate"/>
        </w:r>
        <w:r>
          <w:rPr>
            <w:webHidden/>
          </w:rPr>
          <w:t>179</w:t>
        </w:r>
        <w:r>
          <w:rPr>
            <w:webHidden/>
          </w:rPr>
          <w:fldChar w:fldCharType="end"/>
        </w:r>
      </w:hyperlink>
    </w:p>
    <w:p w14:paraId="6C5EA158" w14:textId="6D66966C" w:rsidR="00023ECF" w:rsidRDefault="00023ECF">
      <w:pPr>
        <w:pStyle w:val="TOC5"/>
        <w:rPr>
          <w:rFonts w:asciiTheme="minorHAnsi" w:eastAsiaTheme="minorEastAsia" w:hAnsiTheme="minorHAnsi" w:cstheme="minorBidi"/>
          <w:kern w:val="2"/>
          <w:szCs w:val="24"/>
          <w14:ligatures w14:val="standardContextual"/>
        </w:rPr>
      </w:pPr>
      <w:hyperlink w:anchor="_Toc213771884" w:history="1">
        <w:r w:rsidRPr="00AC173C">
          <w:rPr>
            <w:rStyle w:val="Hyperlink"/>
          </w:rPr>
          <w:t>4.4.4.1.2</w:t>
        </w:r>
        <w:r>
          <w:rPr>
            <w:rFonts w:asciiTheme="minorHAnsi" w:eastAsiaTheme="minorEastAsia" w:hAnsiTheme="minorHAnsi" w:cstheme="minorBidi"/>
            <w:kern w:val="2"/>
            <w:szCs w:val="24"/>
            <w14:ligatures w14:val="standardContextual"/>
          </w:rPr>
          <w:tab/>
        </w:r>
        <w:r w:rsidRPr="00AC173C">
          <w:rPr>
            <w:rStyle w:val="Hyperlink"/>
          </w:rPr>
          <w:t>Load Deviation Exemptions</w:t>
        </w:r>
        <w:r>
          <w:rPr>
            <w:webHidden/>
          </w:rPr>
          <w:tab/>
        </w:r>
        <w:r>
          <w:rPr>
            <w:webHidden/>
          </w:rPr>
          <w:fldChar w:fldCharType="begin"/>
        </w:r>
        <w:r>
          <w:rPr>
            <w:webHidden/>
          </w:rPr>
          <w:instrText xml:space="preserve"> PAGEREF _Toc213771884 \h </w:instrText>
        </w:r>
        <w:r>
          <w:rPr>
            <w:webHidden/>
          </w:rPr>
        </w:r>
        <w:r>
          <w:rPr>
            <w:webHidden/>
          </w:rPr>
          <w:fldChar w:fldCharType="separate"/>
        </w:r>
        <w:r>
          <w:rPr>
            <w:webHidden/>
          </w:rPr>
          <w:t>180</w:t>
        </w:r>
        <w:r>
          <w:rPr>
            <w:webHidden/>
          </w:rPr>
          <w:fldChar w:fldCharType="end"/>
        </w:r>
      </w:hyperlink>
    </w:p>
    <w:p w14:paraId="05609499" w14:textId="52D97771" w:rsidR="00023ECF" w:rsidRDefault="00023ECF">
      <w:pPr>
        <w:pStyle w:val="TOC2"/>
        <w:rPr>
          <w:rFonts w:asciiTheme="minorHAnsi" w:eastAsiaTheme="minorEastAsia" w:hAnsiTheme="minorHAnsi" w:cstheme="minorBidi"/>
          <w:bCs w:val="0"/>
          <w:kern w:val="2"/>
          <w:szCs w:val="24"/>
          <w14:ligatures w14:val="standardContextual"/>
        </w:rPr>
      </w:pPr>
      <w:hyperlink w:anchor="_Toc213771885" w:history="1">
        <w:r w:rsidRPr="00AC173C">
          <w:rPr>
            <w:rStyle w:val="Hyperlink"/>
          </w:rPr>
          <w:t>4.5</w:t>
        </w:r>
        <w:r>
          <w:rPr>
            <w:rFonts w:asciiTheme="minorHAnsi" w:eastAsiaTheme="minorEastAsia" w:hAnsiTheme="minorHAnsi" w:cstheme="minorBidi"/>
            <w:bCs w:val="0"/>
            <w:kern w:val="2"/>
            <w:szCs w:val="24"/>
            <w14:ligatures w14:val="standardContextual"/>
          </w:rPr>
          <w:tab/>
        </w:r>
        <w:r w:rsidRPr="00AC173C">
          <w:rPr>
            <w:rStyle w:val="Hyperlink"/>
          </w:rPr>
          <w:t>Post Operating Day and Settlement Activities</w:t>
        </w:r>
        <w:r>
          <w:rPr>
            <w:webHidden/>
          </w:rPr>
          <w:tab/>
        </w:r>
        <w:r>
          <w:rPr>
            <w:webHidden/>
          </w:rPr>
          <w:fldChar w:fldCharType="begin"/>
        </w:r>
        <w:r>
          <w:rPr>
            <w:webHidden/>
          </w:rPr>
          <w:instrText xml:space="preserve"> PAGEREF _Toc213771885 \h </w:instrText>
        </w:r>
        <w:r>
          <w:rPr>
            <w:webHidden/>
          </w:rPr>
        </w:r>
        <w:r>
          <w:rPr>
            <w:webHidden/>
          </w:rPr>
          <w:fldChar w:fldCharType="separate"/>
        </w:r>
        <w:r>
          <w:rPr>
            <w:webHidden/>
          </w:rPr>
          <w:t>181</w:t>
        </w:r>
        <w:r>
          <w:rPr>
            <w:webHidden/>
          </w:rPr>
          <w:fldChar w:fldCharType="end"/>
        </w:r>
      </w:hyperlink>
    </w:p>
    <w:p w14:paraId="65316D26" w14:textId="430DB637" w:rsidR="00023ECF" w:rsidRDefault="00023ECF">
      <w:pPr>
        <w:pStyle w:val="TOC3"/>
        <w:rPr>
          <w:rFonts w:asciiTheme="minorHAnsi" w:eastAsiaTheme="minorEastAsia" w:hAnsiTheme="minorHAnsi" w:cstheme="minorBidi"/>
          <w:bCs w:val="0"/>
          <w:kern w:val="2"/>
          <w:szCs w:val="24"/>
          <w14:ligatures w14:val="standardContextual"/>
        </w:rPr>
      </w:pPr>
      <w:hyperlink w:anchor="_Toc213771886" w:history="1">
        <w:r w:rsidRPr="00AC173C">
          <w:rPr>
            <w:rStyle w:val="Hyperlink"/>
          </w:rPr>
          <w:t>4.5.1</w:t>
        </w:r>
        <w:r>
          <w:rPr>
            <w:rFonts w:asciiTheme="minorHAnsi" w:eastAsiaTheme="minorEastAsia" w:hAnsiTheme="minorHAnsi" w:cstheme="minorBidi"/>
            <w:bCs w:val="0"/>
            <w:kern w:val="2"/>
            <w:szCs w:val="24"/>
            <w14:ligatures w14:val="standardContextual"/>
          </w:rPr>
          <w:tab/>
        </w:r>
        <w:r w:rsidRPr="00AC173C">
          <w:rPr>
            <w:rStyle w:val="Hyperlink"/>
          </w:rPr>
          <w:t>Settlement Sign Conventions</w:t>
        </w:r>
        <w:r>
          <w:rPr>
            <w:webHidden/>
          </w:rPr>
          <w:tab/>
        </w:r>
        <w:r>
          <w:rPr>
            <w:webHidden/>
          </w:rPr>
          <w:fldChar w:fldCharType="begin"/>
        </w:r>
        <w:r>
          <w:rPr>
            <w:webHidden/>
          </w:rPr>
          <w:instrText xml:space="preserve"> PAGEREF _Toc213771886 \h </w:instrText>
        </w:r>
        <w:r>
          <w:rPr>
            <w:webHidden/>
          </w:rPr>
        </w:r>
        <w:r>
          <w:rPr>
            <w:webHidden/>
          </w:rPr>
          <w:fldChar w:fldCharType="separate"/>
        </w:r>
        <w:r>
          <w:rPr>
            <w:webHidden/>
          </w:rPr>
          <w:t>181</w:t>
        </w:r>
        <w:r>
          <w:rPr>
            <w:webHidden/>
          </w:rPr>
          <w:fldChar w:fldCharType="end"/>
        </w:r>
      </w:hyperlink>
    </w:p>
    <w:p w14:paraId="34353428" w14:textId="23CBBAAB" w:rsidR="00023ECF" w:rsidRDefault="00023ECF">
      <w:pPr>
        <w:pStyle w:val="TOC3"/>
        <w:rPr>
          <w:rFonts w:asciiTheme="minorHAnsi" w:eastAsiaTheme="minorEastAsia" w:hAnsiTheme="minorHAnsi" w:cstheme="minorBidi"/>
          <w:bCs w:val="0"/>
          <w:kern w:val="2"/>
          <w:szCs w:val="24"/>
          <w14:ligatures w14:val="standardContextual"/>
        </w:rPr>
      </w:pPr>
      <w:hyperlink w:anchor="_Toc213771887" w:history="1">
        <w:r w:rsidRPr="00AC173C">
          <w:rPr>
            <w:rStyle w:val="Hyperlink"/>
          </w:rPr>
          <w:t>4.5.2</w:t>
        </w:r>
        <w:r>
          <w:rPr>
            <w:rFonts w:asciiTheme="minorHAnsi" w:eastAsiaTheme="minorEastAsia" w:hAnsiTheme="minorHAnsi" w:cstheme="minorBidi"/>
            <w:bCs w:val="0"/>
            <w:kern w:val="2"/>
            <w:szCs w:val="24"/>
            <w14:ligatures w14:val="standardContextual"/>
          </w:rPr>
          <w:tab/>
        </w:r>
        <w:r w:rsidRPr="00AC173C">
          <w:rPr>
            <w:rStyle w:val="Hyperlink"/>
          </w:rPr>
          <w:t>Commercial Model</w:t>
        </w:r>
        <w:r>
          <w:rPr>
            <w:webHidden/>
          </w:rPr>
          <w:tab/>
        </w:r>
        <w:r>
          <w:rPr>
            <w:webHidden/>
          </w:rPr>
          <w:fldChar w:fldCharType="begin"/>
        </w:r>
        <w:r>
          <w:rPr>
            <w:webHidden/>
          </w:rPr>
          <w:instrText xml:space="preserve"> PAGEREF _Toc213771887 \h </w:instrText>
        </w:r>
        <w:r>
          <w:rPr>
            <w:webHidden/>
          </w:rPr>
        </w:r>
        <w:r>
          <w:rPr>
            <w:webHidden/>
          </w:rPr>
          <w:fldChar w:fldCharType="separate"/>
        </w:r>
        <w:r>
          <w:rPr>
            <w:webHidden/>
          </w:rPr>
          <w:t>181</w:t>
        </w:r>
        <w:r>
          <w:rPr>
            <w:webHidden/>
          </w:rPr>
          <w:fldChar w:fldCharType="end"/>
        </w:r>
      </w:hyperlink>
    </w:p>
    <w:p w14:paraId="781EA4D7" w14:textId="7443DFE2" w:rsidR="00023ECF" w:rsidRDefault="00023ECF">
      <w:pPr>
        <w:pStyle w:val="TOC4"/>
        <w:rPr>
          <w:rFonts w:asciiTheme="minorHAnsi" w:eastAsiaTheme="minorEastAsia" w:hAnsiTheme="minorHAnsi" w:cstheme="minorBidi"/>
          <w:bCs w:val="0"/>
          <w:kern w:val="2"/>
          <w:szCs w:val="24"/>
          <w14:ligatures w14:val="standardContextual"/>
        </w:rPr>
      </w:pPr>
      <w:hyperlink w:anchor="_Toc213771888" w:history="1">
        <w:r w:rsidRPr="00AC173C">
          <w:rPr>
            <w:rStyle w:val="Hyperlink"/>
          </w:rPr>
          <w:t>4.5.2.1</w:t>
        </w:r>
        <w:r>
          <w:rPr>
            <w:rFonts w:asciiTheme="minorHAnsi" w:eastAsiaTheme="minorEastAsia" w:hAnsiTheme="minorHAnsi" w:cstheme="minorBidi"/>
            <w:bCs w:val="0"/>
            <w:kern w:val="2"/>
            <w:szCs w:val="24"/>
            <w14:ligatures w14:val="standardContextual"/>
          </w:rPr>
          <w:tab/>
        </w:r>
        <w:r w:rsidRPr="00AC173C">
          <w:rPr>
            <w:rStyle w:val="Hyperlink"/>
          </w:rPr>
          <w:t>Nodes</w:t>
        </w:r>
        <w:r>
          <w:rPr>
            <w:webHidden/>
          </w:rPr>
          <w:tab/>
        </w:r>
        <w:r>
          <w:rPr>
            <w:webHidden/>
          </w:rPr>
          <w:fldChar w:fldCharType="begin"/>
        </w:r>
        <w:r>
          <w:rPr>
            <w:webHidden/>
          </w:rPr>
          <w:instrText xml:space="preserve"> PAGEREF _Toc213771888 \h </w:instrText>
        </w:r>
        <w:r>
          <w:rPr>
            <w:webHidden/>
          </w:rPr>
        </w:r>
        <w:r>
          <w:rPr>
            <w:webHidden/>
          </w:rPr>
          <w:fldChar w:fldCharType="separate"/>
        </w:r>
        <w:r>
          <w:rPr>
            <w:webHidden/>
          </w:rPr>
          <w:t>182</w:t>
        </w:r>
        <w:r>
          <w:rPr>
            <w:webHidden/>
          </w:rPr>
          <w:fldChar w:fldCharType="end"/>
        </w:r>
      </w:hyperlink>
    </w:p>
    <w:p w14:paraId="4AA6C2CB" w14:textId="36B836CF" w:rsidR="00023ECF" w:rsidRDefault="00023ECF">
      <w:pPr>
        <w:pStyle w:val="TOC5"/>
        <w:rPr>
          <w:rFonts w:asciiTheme="minorHAnsi" w:eastAsiaTheme="minorEastAsia" w:hAnsiTheme="minorHAnsi" w:cstheme="minorBidi"/>
          <w:kern w:val="2"/>
          <w:szCs w:val="24"/>
          <w14:ligatures w14:val="standardContextual"/>
        </w:rPr>
      </w:pPr>
      <w:hyperlink w:anchor="_Toc213771889" w:history="1">
        <w:r w:rsidRPr="00AC173C">
          <w:rPr>
            <w:rStyle w:val="Hyperlink"/>
          </w:rPr>
          <w:t>4.5.2.1.1</w:t>
        </w:r>
        <w:r>
          <w:rPr>
            <w:rFonts w:asciiTheme="minorHAnsi" w:eastAsiaTheme="minorEastAsia" w:hAnsiTheme="minorHAnsi" w:cstheme="minorBidi"/>
            <w:kern w:val="2"/>
            <w:szCs w:val="24"/>
            <w14:ligatures w14:val="standardContextual"/>
          </w:rPr>
          <w:tab/>
        </w:r>
        <w:r w:rsidRPr="00AC173C">
          <w:rPr>
            <w:rStyle w:val="Hyperlink"/>
          </w:rPr>
          <w:t>Pricing Nodes</w:t>
        </w:r>
        <w:r>
          <w:rPr>
            <w:webHidden/>
          </w:rPr>
          <w:tab/>
        </w:r>
        <w:r>
          <w:rPr>
            <w:webHidden/>
          </w:rPr>
          <w:fldChar w:fldCharType="begin"/>
        </w:r>
        <w:r>
          <w:rPr>
            <w:webHidden/>
          </w:rPr>
          <w:instrText xml:space="preserve"> PAGEREF _Toc213771889 \h </w:instrText>
        </w:r>
        <w:r>
          <w:rPr>
            <w:webHidden/>
          </w:rPr>
        </w:r>
        <w:r>
          <w:rPr>
            <w:webHidden/>
          </w:rPr>
          <w:fldChar w:fldCharType="separate"/>
        </w:r>
        <w:r>
          <w:rPr>
            <w:webHidden/>
          </w:rPr>
          <w:t>182</w:t>
        </w:r>
        <w:r>
          <w:rPr>
            <w:webHidden/>
          </w:rPr>
          <w:fldChar w:fldCharType="end"/>
        </w:r>
      </w:hyperlink>
    </w:p>
    <w:p w14:paraId="7A8BB4CB" w14:textId="398DE8DD" w:rsidR="00023ECF" w:rsidRDefault="00023ECF">
      <w:pPr>
        <w:pStyle w:val="TOC5"/>
        <w:rPr>
          <w:rFonts w:asciiTheme="minorHAnsi" w:eastAsiaTheme="minorEastAsia" w:hAnsiTheme="minorHAnsi" w:cstheme="minorBidi"/>
          <w:kern w:val="2"/>
          <w:szCs w:val="24"/>
          <w14:ligatures w14:val="standardContextual"/>
        </w:rPr>
      </w:pPr>
      <w:hyperlink w:anchor="_Toc213771890" w:history="1">
        <w:r w:rsidRPr="00AC173C">
          <w:rPr>
            <w:rStyle w:val="Hyperlink"/>
          </w:rPr>
          <w:t>4.5.2.1.2</w:t>
        </w:r>
        <w:r>
          <w:rPr>
            <w:rFonts w:asciiTheme="minorHAnsi" w:eastAsiaTheme="minorEastAsia" w:hAnsiTheme="minorHAnsi" w:cstheme="minorBidi"/>
            <w:kern w:val="2"/>
            <w:szCs w:val="24"/>
            <w14:ligatures w14:val="standardContextual"/>
          </w:rPr>
          <w:tab/>
        </w:r>
        <w:r w:rsidRPr="00AC173C">
          <w:rPr>
            <w:rStyle w:val="Hyperlink"/>
          </w:rPr>
          <w:t>Aggregated Pricing Nodes</w:t>
        </w:r>
        <w:r>
          <w:rPr>
            <w:webHidden/>
          </w:rPr>
          <w:tab/>
        </w:r>
        <w:r>
          <w:rPr>
            <w:webHidden/>
          </w:rPr>
          <w:fldChar w:fldCharType="begin"/>
        </w:r>
        <w:r>
          <w:rPr>
            <w:webHidden/>
          </w:rPr>
          <w:instrText xml:space="preserve"> PAGEREF _Toc213771890 \h </w:instrText>
        </w:r>
        <w:r>
          <w:rPr>
            <w:webHidden/>
          </w:rPr>
        </w:r>
        <w:r>
          <w:rPr>
            <w:webHidden/>
          </w:rPr>
          <w:fldChar w:fldCharType="separate"/>
        </w:r>
        <w:r>
          <w:rPr>
            <w:webHidden/>
          </w:rPr>
          <w:t>182</w:t>
        </w:r>
        <w:r>
          <w:rPr>
            <w:webHidden/>
          </w:rPr>
          <w:fldChar w:fldCharType="end"/>
        </w:r>
      </w:hyperlink>
    </w:p>
    <w:p w14:paraId="5CA3C1C9" w14:textId="5853B3CC" w:rsidR="00023ECF" w:rsidRDefault="00023ECF">
      <w:pPr>
        <w:pStyle w:val="TOC5"/>
        <w:rPr>
          <w:rFonts w:asciiTheme="minorHAnsi" w:eastAsiaTheme="minorEastAsia" w:hAnsiTheme="minorHAnsi" w:cstheme="minorBidi"/>
          <w:kern w:val="2"/>
          <w:szCs w:val="24"/>
          <w14:ligatures w14:val="standardContextual"/>
        </w:rPr>
      </w:pPr>
      <w:hyperlink w:anchor="_Toc213771891" w:history="1">
        <w:r w:rsidRPr="00AC173C">
          <w:rPr>
            <w:rStyle w:val="Hyperlink"/>
          </w:rPr>
          <w:t>4.5.2.1.3</w:t>
        </w:r>
        <w:r>
          <w:rPr>
            <w:rFonts w:asciiTheme="minorHAnsi" w:eastAsiaTheme="minorEastAsia" w:hAnsiTheme="minorHAnsi" w:cstheme="minorBidi"/>
            <w:kern w:val="2"/>
            <w:szCs w:val="24"/>
            <w14:ligatures w14:val="standardContextual"/>
          </w:rPr>
          <w:tab/>
        </w:r>
        <w:r w:rsidRPr="00AC173C">
          <w:rPr>
            <w:rStyle w:val="Hyperlink"/>
          </w:rPr>
          <w:t>Meter Data Submittal Location</w:t>
        </w:r>
        <w:r>
          <w:rPr>
            <w:webHidden/>
          </w:rPr>
          <w:tab/>
        </w:r>
        <w:r>
          <w:rPr>
            <w:webHidden/>
          </w:rPr>
          <w:fldChar w:fldCharType="begin"/>
        </w:r>
        <w:r>
          <w:rPr>
            <w:webHidden/>
          </w:rPr>
          <w:instrText xml:space="preserve"> PAGEREF _Toc213771891 \h </w:instrText>
        </w:r>
        <w:r>
          <w:rPr>
            <w:webHidden/>
          </w:rPr>
        </w:r>
        <w:r>
          <w:rPr>
            <w:webHidden/>
          </w:rPr>
          <w:fldChar w:fldCharType="separate"/>
        </w:r>
        <w:r>
          <w:rPr>
            <w:webHidden/>
          </w:rPr>
          <w:t>182</w:t>
        </w:r>
        <w:r>
          <w:rPr>
            <w:webHidden/>
          </w:rPr>
          <w:fldChar w:fldCharType="end"/>
        </w:r>
      </w:hyperlink>
    </w:p>
    <w:p w14:paraId="114E278B" w14:textId="219FF8F2" w:rsidR="00023ECF" w:rsidRDefault="00023ECF">
      <w:pPr>
        <w:pStyle w:val="TOC4"/>
        <w:rPr>
          <w:rFonts w:asciiTheme="minorHAnsi" w:eastAsiaTheme="minorEastAsia" w:hAnsiTheme="minorHAnsi" w:cstheme="minorBidi"/>
          <w:bCs w:val="0"/>
          <w:kern w:val="2"/>
          <w:szCs w:val="24"/>
          <w14:ligatures w14:val="standardContextual"/>
        </w:rPr>
      </w:pPr>
      <w:hyperlink w:anchor="_Toc213771892" w:history="1">
        <w:r w:rsidRPr="00AC173C">
          <w:rPr>
            <w:rStyle w:val="Hyperlink"/>
          </w:rPr>
          <w:t>4.5.2.2</w:t>
        </w:r>
        <w:r>
          <w:rPr>
            <w:rFonts w:asciiTheme="minorHAnsi" w:eastAsiaTheme="minorEastAsia" w:hAnsiTheme="minorHAnsi" w:cstheme="minorBidi"/>
            <w:bCs w:val="0"/>
            <w:kern w:val="2"/>
            <w:szCs w:val="24"/>
            <w14:ligatures w14:val="standardContextual"/>
          </w:rPr>
          <w:tab/>
        </w:r>
        <w:r w:rsidRPr="00AC173C">
          <w:rPr>
            <w:rStyle w:val="Hyperlink"/>
          </w:rPr>
          <w:t>Settlement Locations</w:t>
        </w:r>
        <w:r>
          <w:rPr>
            <w:webHidden/>
          </w:rPr>
          <w:tab/>
        </w:r>
        <w:r>
          <w:rPr>
            <w:webHidden/>
          </w:rPr>
          <w:fldChar w:fldCharType="begin"/>
        </w:r>
        <w:r>
          <w:rPr>
            <w:webHidden/>
          </w:rPr>
          <w:instrText xml:space="preserve"> PAGEREF _Toc213771892 \h </w:instrText>
        </w:r>
        <w:r>
          <w:rPr>
            <w:webHidden/>
          </w:rPr>
        </w:r>
        <w:r>
          <w:rPr>
            <w:webHidden/>
          </w:rPr>
          <w:fldChar w:fldCharType="separate"/>
        </w:r>
        <w:r>
          <w:rPr>
            <w:webHidden/>
          </w:rPr>
          <w:t>183</w:t>
        </w:r>
        <w:r>
          <w:rPr>
            <w:webHidden/>
          </w:rPr>
          <w:fldChar w:fldCharType="end"/>
        </w:r>
      </w:hyperlink>
    </w:p>
    <w:p w14:paraId="7E4FCC12" w14:textId="4CBC58E9" w:rsidR="00023ECF" w:rsidRDefault="00023ECF">
      <w:pPr>
        <w:pStyle w:val="TOC5"/>
        <w:rPr>
          <w:rFonts w:asciiTheme="minorHAnsi" w:eastAsiaTheme="minorEastAsia" w:hAnsiTheme="minorHAnsi" w:cstheme="minorBidi"/>
          <w:kern w:val="2"/>
          <w:szCs w:val="24"/>
          <w14:ligatures w14:val="standardContextual"/>
        </w:rPr>
      </w:pPr>
      <w:hyperlink w:anchor="_Toc213771893" w:history="1">
        <w:r w:rsidRPr="00AC173C">
          <w:rPr>
            <w:rStyle w:val="Hyperlink"/>
          </w:rPr>
          <w:t>4.5.2.2.1</w:t>
        </w:r>
        <w:r>
          <w:rPr>
            <w:rFonts w:asciiTheme="minorHAnsi" w:eastAsiaTheme="minorEastAsia" w:hAnsiTheme="minorHAnsi" w:cstheme="minorBidi"/>
            <w:kern w:val="2"/>
            <w:szCs w:val="24"/>
            <w14:ligatures w14:val="standardContextual"/>
          </w:rPr>
          <w:tab/>
        </w:r>
        <w:r w:rsidRPr="00AC173C">
          <w:rPr>
            <w:rStyle w:val="Hyperlink"/>
          </w:rPr>
          <w:t>Trading Hubs</w:t>
        </w:r>
        <w:r>
          <w:rPr>
            <w:webHidden/>
          </w:rPr>
          <w:tab/>
        </w:r>
        <w:r>
          <w:rPr>
            <w:webHidden/>
          </w:rPr>
          <w:fldChar w:fldCharType="begin"/>
        </w:r>
        <w:r>
          <w:rPr>
            <w:webHidden/>
          </w:rPr>
          <w:instrText xml:space="preserve"> PAGEREF _Toc213771893 \h </w:instrText>
        </w:r>
        <w:r>
          <w:rPr>
            <w:webHidden/>
          </w:rPr>
        </w:r>
        <w:r>
          <w:rPr>
            <w:webHidden/>
          </w:rPr>
          <w:fldChar w:fldCharType="separate"/>
        </w:r>
        <w:r>
          <w:rPr>
            <w:webHidden/>
          </w:rPr>
          <w:t>183</w:t>
        </w:r>
        <w:r>
          <w:rPr>
            <w:webHidden/>
          </w:rPr>
          <w:fldChar w:fldCharType="end"/>
        </w:r>
      </w:hyperlink>
    </w:p>
    <w:p w14:paraId="5654C0CE" w14:textId="059EC76A" w:rsidR="00023ECF" w:rsidRDefault="00023ECF">
      <w:pPr>
        <w:pStyle w:val="TOC4"/>
        <w:rPr>
          <w:rFonts w:asciiTheme="minorHAnsi" w:eastAsiaTheme="minorEastAsia" w:hAnsiTheme="minorHAnsi" w:cstheme="minorBidi"/>
          <w:bCs w:val="0"/>
          <w:kern w:val="2"/>
          <w:szCs w:val="24"/>
          <w14:ligatures w14:val="standardContextual"/>
        </w:rPr>
      </w:pPr>
      <w:hyperlink w:anchor="_Toc213771894" w:history="1">
        <w:r w:rsidRPr="00AC173C">
          <w:rPr>
            <w:rStyle w:val="Hyperlink"/>
          </w:rPr>
          <w:t>4.5.2.3</w:t>
        </w:r>
        <w:r>
          <w:rPr>
            <w:rFonts w:asciiTheme="minorHAnsi" w:eastAsiaTheme="minorEastAsia" w:hAnsiTheme="minorHAnsi" w:cstheme="minorBidi"/>
            <w:bCs w:val="0"/>
            <w:kern w:val="2"/>
            <w:szCs w:val="24"/>
            <w14:ligatures w14:val="standardContextual"/>
          </w:rPr>
          <w:tab/>
        </w:r>
        <w:r w:rsidRPr="00AC173C">
          <w:rPr>
            <w:rStyle w:val="Hyperlink"/>
          </w:rPr>
          <w:t>Resource Hubs</w:t>
        </w:r>
        <w:r>
          <w:rPr>
            <w:webHidden/>
          </w:rPr>
          <w:tab/>
        </w:r>
        <w:r>
          <w:rPr>
            <w:webHidden/>
          </w:rPr>
          <w:fldChar w:fldCharType="begin"/>
        </w:r>
        <w:r>
          <w:rPr>
            <w:webHidden/>
          </w:rPr>
          <w:instrText xml:space="preserve"> PAGEREF _Toc213771894 \h </w:instrText>
        </w:r>
        <w:r>
          <w:rPr>
            <w:webHidden/>
          </w:rPr>
        </w:r>
        <w:r>
          <w:rPr>
            <w:webHidden/>
          </w:rPr>
          <w:fldChar w:fldCharType="separate"/>
        </w:r>
        <w:r>
          <w:rPr>
            <w:webHidden/>
          </w:rPr>
          <w:t>184</w:t>
        </w:r>
        <w:r>
          <w:rPr>
            <w:webHidden/>
          </w:rPr>
          <w:fldChar w:fldCharType="end"/>
        </w:r>
      </w:hyperlink>
    </w:p>
    <w:p w14:paraId="0C7578D4" w14:textId="4F506952" w:rsidR="00023ECF" w:rsidRDefault="00023ECF">
      <w:pPr>
        <w:pStyle w:val="TOC4"/>
        <w:rPr>
          <w:rFonts w:asciiTheme="minorHAnsi" w:eastAsiaTheme="minorEastAsia" w:hAnsiTheme="minorHAnsi" w:cstheme="minorBidi"/>
          <w:bCs w:val="0"/>
          <w:kern w:val="2"/>
          <w:szCs w:val="24"/>
          <w14:ligatures w14:val="standardContextual"/>
        </w:rPr>
      </w:pPr>
      <w:hyperlink w:anchor="_Toc213771895" w:history="1">
        <w:r w:rsidRPr="00AC173C">
          <w:rPr>
            <w:rStyle w:val="Hyperlink"/>
          </w:rPr>
          <w:t>4.5.2.4</w:t>
        </w:r>
        <w:r>
          <w:rPr>
            <w:rFonts w:asciiTheme="minorHAnsi" w:eastAsiaTheme="minorEastAsia" w:hAnsiTheme="minorHAnsi" w:cstheme="minorBidi"/>
            <w:bCs w:val="0"/>
            <w:kern w:val="2"/>
            <w:szCs w:val="24"/>
            <w14:ligatures w14:val="standardContextual"/>
          </w:rPr>
          <w:tab/>
        </w:r>
        <w:r w:rsidRPr="00AC173C">
          <w:rPr>
            <w:rStyle w:val="Hyperlink"/>
          </w:rPr>
          <w:t>Asset Owners</w:t>
        </w:r>
        <w:r>
          <w:rPr>
            <w:webHidden/>
          </w:rPr>
          <w:tab/>
        </w:r>
        <w:r>
          <w:rPr>
            <w:webHidden/>
          </w:rPr>
          <w:fldChar w:fldCharType="begin"/>
        </w:r>
        <w:r>
          <w:rPr>
            <w:webHidden/>
          </w:rPr>
          <w:instrText xml:space="preserve"> PAGEREF _Toc213771895 \h </w:instrText>
        </w:r>
        <w:r>
          <w:rPr>
            <w:webHidden/>
          </w:rPr>
        </w:r>
        <w:r>
          <w:rPr>
            <w:webHidden/>
          </w:rPr>
          <w:fldChar w:fldCharType="separate"/>
        </w:r>
        <w:r>
          <w:rPr>
            <w:webHidden/>
          </w:rPr>
          <w:t>185</w:t>
        </w:r>
        <w:r>
          <w:rPr>
            <w:webHidden/>
          </w:rPr>
          <w:fldChar w:fldCharType="end"/>
        </w:r>
      </w:hyperlink>
    </w:p>
    <w:p w14:paraId="11A91644" w14:textId="29BB532E" w:rsidR="00023ECF" w:rsidRDefault="00023ECF">
      <w:pPr>
        <w:pStyle w:val="TOC4"/>
        <w:rPr>
          <w:rFonts w:asciiTheme="minorHAnsi" w:eastAsiaTheme="minorEastAsia" w:hAnsiTheme="minorHAnsi" w:cstheme="minorBidi"/>
          <w:bCs w:val="0"/>
          <w:kern w:val="2"/>
          <w:szCs w:val="24"/>
          <w14:ligatures w14:val="standardContextual"/>
        </w:rPr>
      </w:pPr>
      <w:hyperlink w:anchor="_Toc213771896" w:history="1">
        <w:r w:rsidRPr="00AC173C">
          <w:rPr>
            <w:rStyle w:val="Hyperlink"/>
          </w:rPr>
          <w:t>4.5.2.5</w:t>
        </w:r>
        <w:r>
          <w:rPr>
            <w:rFonts w:asciiTheme="minorHAnsi" w:eastAsiaTheme="minorEastAsia" w:hAnsiTheme="minorHAnsi" w:cstheme="minorBidi"/>
            <w:bCs w:val="0"/>
            <w:kern w:val="2"/>
            <w:szCs w:val="24"/>
            <w14:ligatures w14:val="standardContextual"/>
          </w:rPr>
          <w:tab/>
        </w:r>
        <w:r w:rsidRPr="00AC173C">
          <w:rPr>
            <w:rStyle w:val="Hyperlink"/>
          </w:rPr>
          <w:t>Market Participants</w:t>
        </w:r>
        <w:r>
          <w:rPr>
            <w:webHidden/>
          </w:rPr>
          <w:tab/>
        </w:r>
        <w:r>
          <w:rPr>
            <w:webHidden/>
          </w:rPr>
          <w:fldChar w:fldCharType="begin"/>
        </w:r>
        <w:r>
          <w:rPr>
            <w:webHidden/>
          </w:rPr>
          <w:instrText xml:space="preserve"> PAGEREF _Toc213771896 \h </w:instrText>
        </w:r>
        <w:r>
          <w:rPr>
            <w:webHidden/>
          </w:rPr>
        </w:r>
        <w:r>
          <w:rPr>
            <w:webHidden/>
          </w:rPr>
          <w:fldChar w:fldCharType="separate"/>
        </w:r>
        <w:r>
          <w:rPr>
            <w:webHidden/>
          </w:rPr>
          <w:t>185</w:t>
        </w:r>
        <w:r>
          <w:rPr>
            <w:webHidden/>
          </w:rPr>
          <w:fldChar w:fldCharType="end"/>
        </w:r>
      </w:hyperlink>
    </w:p>
    <w:p w14:paraId="1EC7D97D" w14:textId="583159B1" w:rsidR="00023ECF" w:rsidRDefault="00023ECF">
      <w:pPr>
        <w:pStyle w:val="TOC3"/>
        <w:rPr>
          <w:rFonts w:asciiTheme="minorHAnsi" w:eastAsiaTheme="minorEastAsia" w:hAnsiTheme="minorHAnsi" w:cstheme="minorBidi"/>
          <w:bCs w:val="0"/>
          <w:kern w:val="2"/>
          <w:szCs w:val="24"/>
          <w14:ligatures w14:val="standardContextual"/>
        </w:rPr>
      </w:pPr>
      <w:hyperlink w:anchor="_Toc213771897" w:history="1">
        <w:r w:rsidRPr="00AC173C">
          <w:rPr>
            <w:rStyle w:val="Hyperlink"/>
          </w:rPr>
          <w:t>4.5.3</w:t>
        </w:r>
        <w:r>
          <w:rPr>
            <w:rFonts w:asciiTheme="minorHAnsi" w:eastAsiaTheme="minorEastAsia" w:hAnsiTheme="minorHAnsi" w:cstheme="minorBidi"/>
            <w:bCs w:val="0"/>
            <w:kern w:val="2"/>
            <w:szCs w:val="24"/>
            <w14:ligatures w14:val="standardContextual"/>
          </w:rPr>
          <w:tab/>
        </w:r>
        <w:r w:rsidRPr="00AC173C">
          <w:rPr>
            <w:rStyle w:val="Hyperlink"/>
          </w:rPr>
          <w:t>Markets+ Internal Energy Schedule Settlement Adjustment</w:t>
        </w:r>
        <w:r>
          <w:rPr>
            <w:webHidden/>
          </w:rPr>
          <w:tab/>
        </w:r>
        <w:r>
          <w:rPr>
            <w:webHidden/>
          </w:rPr>
          <w:fldChar w:fldCharType="begin"/>
        </w:r>
        <w:r>
          <w:rPr>
            <w:webHidden/>
          </w:rPr>
          <w:instrText xml:space="preserve"> PAGEREF _Toc213771897 \h </w:instrText>
        </w:r>
        <w:r>
          <w:rPr>
            <w:webHidden/>
          </w:rPr>
        </w:r>
        <w:r>
          <w:rPr>
            <w:webHidden/>
          </w:rPr>
          <w:fldChar w:fldCharType="separate"/>
        </w:r>
        <w:r>
          <w:rPr>
            <w:webHidden/>
          </w:rPr>
          <w:t>186</w:t>
        </w:r>
        <w:r>
          <w:rPr>
            <w:webHidden/>
          </w:rPr>
          <w:fldChar w:fldCharType="end"/>
        </w:r>
      </w:hyperlink>
    </w:p>
    <w:p w14:paraId="73EF5F62" w14:textId="68F68B00" w:rsidR="00023ECF" w:rsidRDefault="00023ECF">
      <w:pPr>
        <w:pStyle w:val="TOC3"/>
        <w:rPr>
          <w:rFonts w:asciiTheme="minorHAnsi" w:eastAsiaTheme="minorEastAsia" w:hAnsiTheme="minorHAnsi" w:cstheme="minorBidi"/>
          <w:bCs w:val="0"/>
          <w:kern w:val="2"/>
          <w:szCs w:val="24"/>
          <w14:ligatures w14:val="standardContextual"/>
        </w:rPr>
      </w:pPr>
      <w:hyperlink w:anchor="_Toc213771898" w:history="1">
        <w:r w:rsidRPr="00AC173C">
          <w:rPr>
            <w:rStyle w:val="Hyperlink"/>
          </w:rPr>
          <w:t>4.5.4</w:t>
        </w:r>
        <w:r>
          <w:rPr>
            <w:rFonts w:asciiTheme="minorHAnsi" w:eastAsiaTheme="minorEastAsia" w:hAnsiTheme="minorHAnsi" w:cstheme="minorBidi"/>
            <w:bCs w:val="0"/>
            <w:kern w:val="2"/>
            <w:szCs w:val="24"/>
            <w14:ligatures w14:val="standardContextual"/>
          </w:rPr>
          <w:tab/>
        </w:r>
        <w:r w:rsidRPr="00AC173C">
          <w:rPr>
            <w:rStyle w:val="Hyperlink"/>
          </w:rPr>
          <w:t>Calculation of LMPs, LMP Components, and MCPs</w:t>
        </w:r>
        <w:r>
          <w:rPr>
            <w:webHidden/>
          </w:rPr>
          <w:tab/>
        </w:r>
        <w:r>
          <w:rPr>
            <w:webHidden/>
          </w:rPr>
          <w:fldChar w:fldCharType="begin"/>
        </w:r>
        <w:r>
          <w:rPr>
            <w:webHidden/>
          </w:rPr>
          <w:instrText xml:space="preserve"> PAGEREF _Toc213771898 \h </w:instrText>
        </w:r>
        <w:r>
          <w:rPr>
            <w:webHidden/>
          </w:rPr>
        </w:r>
        <w:r>
          <w:rPr>
            <w:webHidden/>
          </w:rPr>
          <w:fldChar w:fldCharType="separate"/>
        </w:r>
        <w:r>
          <w:rPr>
            <w:webHidden/>
          </w:rPr>
          <w:t>188</w:t>
        </w:r>
        <w:r>
          <w:rPr>
            <w:webHidden/>
          </w:rPr>
          <w:fldChar w:fldCharType="end"/>
        </w:r>
      </w:hyperlink>
    </w:p>
    <w:p w14:paraId="412B1DAD" w14:textId="7EF74B75" w:rsidR="00023ECF" w:rsidRDefault="00023ECF">
      <w:pPr>
        <w:pStyle w:val="TOC4"/>
        <w:rPr>
          <w:rFonts w:asciiTheme="minorHAnsi" w:eastAsiaTheme="minorEastAsia" w:hAnsiTheme="minorHAnsi" w:cstheme="minorBidi"/>
          <w:bCs w:val="0"/>
          <w:kern w:val="2"/>
          <w:szCs w:val="24"/>
          <w14:ligatures w14:val="standardContextual"/>
        </w:rPr>
      </w:pPr>
      <w:hyperlink w:anchor="_Toc213771899" w:history="1">
        <w:r w:rsidRPr="00AC173C">
          <w:rPr>
            <w:rStyle w:val="Hyperlink"/>
          </w:rPr>
          <w:t>4.5.4.1</w:t>
        </w:r>
        <w:r>
          <w:rPr>
            <w:rFonts w:asciiTheme="minorHAnsi" w:eastAsiaTheme="minorEastAsia" w:hAnsiTheme="minorHAnsi" w:cstheme="minorBidi"/>
            <w:bCs w:val="0"/>
            <w:kern w:val="2"/>
            <w:szCs w:val="24"/>
            <w14:ligatures w14:val="standardContextual"/>
          </w:rPr>
          <w:tab/>
        </w:r>
        <w:r w:rsidRPr="00AC173C">
          <w:rPr>
            <w:rStyle w:val="Hyperlink"/>
          </w:rPr>
          <w:t>LMP Calculations and LMP Components</w:t>
        </w:r>
        <w:r>
          <w:rPr>
            <w:webHidden/>
          </w:rPr>
          <w:tab/>
        </w:r>
        <w:r>
          <w:rPr>
            <w:webHidden/>
          </w:rPr>
          <w:fldChar w:fldCharType="begin"/>
        </w:r>
        <w:r>
          <w:rPr>
            <w:webHidden/>
          </w:rPr>
          <w:instrText xml:space="preserve"> PAGEREF _Toc213771899 \h </w:instrText>
        </w:r>
        <w:r>
          <w:rPr>
            <w:webHidden/>
          </w:rPr>
        </w:r>
        <w:r>
          <w:rPr>
            <w:webHidden/>
          </w:rPr>
          <w:fldChar w:fldCharType="separate"/>
        </w:r>
        <w:r>
          <w:rPr>
            <w:webHidden/>
          </w:rPr>
          <w:t>188</w:t>
        </w:r>
        <w:r>
          <w:rPr>
            <w:webHidden/>
          </w:rPr>
          <w:fldChar w:fldCharType="end"/>
        </w:r>
      </w:hyperlink>
    </w:p>
    <w:p w14:paraId="2E1E3F0E" w14:textId="343A850A" w:rsidR="00023ECF" w:rsidRDefault="00023ECF">
      <w:pPr>
        <w:pStyle w:val="TOC5"/>
        <w:rPr>
          <w:rFonts w:asciiTheme="minorHAnsi" w:eastAsiaTheme="minorEastAsia" w:hAnsiTheme="minorHAnsi" w:cstheme="minorBidi"/>
          <w:kern w:val="2"/>
          <w:szCs w:val="24"/>
          <w14:ligatures w14:val="standardContextual"/>
        </w:rPr>
      </w:pPr>
      <w:hyperlink w:anchor="_Toc213771900" w:history="1">
        <w:r w:rsidRPr="00AC173C">
          <w:rPr>
            <w:rStyle w:val="Hyperlink"/>
          </w:rPr>
          <w:t>4.5.4.1.1</w:t>
        </w:r>
        <w:r>
          <w:rPr>
            <w:rFonts w:asciiTheme="minorHAnsi" w:eastAsiaTheme="minorEastAsia" w:hAnsiTheme="minorHAnsi" w:cstheme="minorBidi"/>
            <w:kern w:val="2"/>
            <w:szCs w:val="24"/>
            <w14:ligatures w14:val="standardContextual"/>
          </w:rPr>
          <w:tab/>
        </w:r>
        <w:r w:rsidRPr="00AC173C">
          <w:rPr>
            <w:rStyle w:val="Hyperlink"/>
          </w:rPr>
          <w:t>Marginal Loss Component Calculation</w:t>
        </w:r>
        <w:r>
          <w:rPr>
            <w:webHidden/>
          </w:rPr>
          <w:tab/>
        </w:r>
        <w:r>
          <w:rPr>
            <w:webHidden/>
          </w:rPr>
          <w:fldChar w:fldCharType="begin"/>
        </w:r>
        <w:r>
          <w:rPr>
            <w:webHidden/>
          </w:rPr>
          <w:instrText xml:space="preserve"> PAGEREF _Toc213771900 \h </w:instrText>
        </w:r>
        <w:r>
          <w:rPr>
            <w:webHidden/>
          </w:rPr>
        </w:r>
        <w:r>
          <w:rPr>
            <w:webHidden/>
          </w:rPr>
          <w:fldChar w:fldCharType="separate"/>
        </w:r>
        <w:r>
          <w:rPr>
            <w:webHidden/>
          </w:rPr>
          <w:t>188</w:t>
        </w:r>
        <w:r>
          <w:rPr>
            <w:webHidden/>
          </w:rPr>
          <w:fldChar w:fldCharType="end"/>
        </w:r>
      </w:hyperlink>
    </w:p>
    <w:p w14:paraId="5965C152" w14:textId="7D702683" w:rsidR="00023ECF" w:rsidRDefault="00023ECF">
      <w:pPr>
        <w:pStyle w:val="TOC5"/>
        <w:rPr>
          <w:rFonts w:asciiTheme="minorHAnsi" w:eastAsiaTheme="minorEastAsia" w:hAnsiTheme="minorHAnsi" w:cstheme="minorBidi"/>
          <w:kern w:val="2"/>
          <w:szCs w:val="24"/>
          <w14:ligatures w14:val="standardContextual"/>
        </w:rPr>
      </w:pPr>
      <w:hyperlink w:anchor="_Toc213771901" w:history="1">
        <w:r w:rsidRPr="00AC173C">
          <w:rPr>
            <w:rStyle w:val="Hyperlink"/>
          </w:rPr>
          <w:t>4.5.4.1.2</w:t>
        </w:r>
        <w:r>
          <w:rPr>
            <w:rFonts w:asciiTheme="minorHAnsi" w:eastAsiaTheme="minorEastAsia" w:hAnsiTheme="minorHAnsi" w:cstheme="minorBidi"/>
            <w:kern w:val="2"/>
            <w:szCs w:val="24"/>
            <w14:ligatures w14:val="standardContextual"/>
          </w:rPr>
          <w:tab/>
        </w:r>
        <w:r w:rsidRPr="00AC173C">
          <w:rPr>
            <w:rStyle w:val="Hyperlink"/>
          </w:rPr>
          <w:t>Marginal Congestion Component Calculation</w:t>
        </w:r>
        <w:r>
          <w:rPr>
            <w:webHidden/>
          </w:rPr>
          <w:tab/>
        </w:r>
        <w:r>
          <w:rPr>
            <w:webHidden/>
          </w:rPr>
          <w:fldChar w:fldCharType="begin"/>
        </w:r>
        <w:r>
          <w:rPr>
            <w:webHidden/>
          </w:rPr>
          <w:instrText xml:space="preserve"> PAGEREF _Toc213771901 \h </w:instrText>
        </w:r>
        <w:r>
          <w:rPr>
            <w:webHidden/>
          </w:rPr>
        </w:r>
        <w:r>
          <w:rPr>
            <w:webHidden/>
          </w:rPr>
          <w:fldChar w:fldCharType="separate"/>
        </w:r>
        <w:r>
          <w:rPr>
            <w:webHidden/>
          </w:rPr>
          <w:t>189</w:t>
        </w:r>
        <w:r>
          <w:rPr>
            <w:webHidden/>
          </w:rPr>
          <w:fldChar w:fldCharType="end"/>
        </w:r>
      </w:hyperlink>
    </w:p>
    <w:p w14:paraId="2FB63A56" w14:textId="6EB1AB64" w:rsidR="00023ECF" w:rsidRDefault="00023ECF">
      <w:pPr>
        <w:pStyle w:val="TOC5"/>
        <w:rPr>
          <w:rFonts w:asciiTheme="minorHAnsi" w:eastAsiaTheme="minorEastAsia" w:hAnsiTheme="minorHAnsi" w:cstheme="minorBidi"/>
          <w:kern w:val="2"/>
          <w:szCs w:val="24"/>
          <w14:ligatures w14:val="standardContextual"/>
        </w:rPr>
      </w:pPr>
      <w:hyperlink w:anchor="_Toc213771902" w:history="1">
        <w:r w:rsidRPr="00AC173C">
          <w:rPr>
            <w:rStyle w:val="Hyperlink"/>
          </w:rPr>
          <w:t>4.5.4.1.3</w:t>
        </w:r>
        <w:r>
          <w:rPr>
            <w:rFonts w:asciiTheme="minorHAnsi" w:eastAsiaTheme="minorEastAsia" w:hAnsiTheme="minorHAnsi" w:cstheme="minorBidi"/>
            <w:kern w:val="2"/>
            <w:szCs w:val="24"/>
            <w14:ligatures w14:val="standardContextual"/>
          </w:rPr>
          <w:tab/>
        </w:r>
        <w:r w:rsidRPr="00AC173C">
          <w:rPr>
            <w:rStyle w:val="Hyperlink"/>
          </w:rPr>
          <w:t>Marginal Energy Component Calculation</w:t>
        </w:r>
        <w:r>
          <w:rPr>
            <w:webHidden/>
          </w:rPr>
          <w:tab/>
        </w:r>
        <w:r>
          <w:rPr>
            <w:webHidden/>
          </w:rPr>
          <w:fldChar w:fldCharType="begin"/>
        </w:r>
        <w:r>
          <w:rPr>
            <w:webHidden/>
          </w:rPr>
          <w:instrText xml:space="preserve"> PAGEREF _Toc213771902 \h </w:instrText>
        </w:r>
        <w:r>
          <w:rPr>
            <w:webHidden/>
          </w:rPr>
        </w:r>
        <w:r>
          <w:rPr>
            <w:webHidden/>
          </w:rPr>
          <w:fldChar w:fldCharType="separate"/>
        </w:r>
        <w:r>
          <w:rPr>
            <w:webHidden/>
          </w:rPr>
          <w:t>189</w:t>
        </w:r>
        <w:r>
          <w:rPr>
            <w:webHidden/>
          </w:rPr>
          <w:fldChar w:fldCharType="end"/>
        </w:r>
      </w:hyperlink>
    </w:p>
    <w:p w14:paraId="7CE8BD05" w14:textId="42A6426E" w:rsidR="00023ECF" w:rsidRDefault="00023ECF">
      <w:pPr>
        <w:pStyle w:val="TOC4"/>
        <w:rPr>
          <w:rFonts w:asciiTheme="minorHAnsi" w:eastAsiaTheme="minorEastAsia" w:hAnsiTheme="minorHAnsi" w:cstheme="minorBidi"/>
          <w:bCs w:val="0"/>
          <w:kern w:val="2"/>
          <w:szCs w:val="24"/>
          <w14:ligatures w14:val="standardContextual"/>
        </w:rPr>
      </w:pPr>
      <w:hyperlink w:anchor="_Toc213771903" w:history="1">
        <w:r w:rsidRPr="00AC173C">
          <w:rPr>
            <w:rStyle w:val="Hyperlink"/>
          </w:rPr>
          <w:t>4.5.4.2</w:t>
        </w:r>
        <w:r>
          <w:rPr>
            <w:rFonts w:asciiTheme="minorHAnsi" w:eastAsiaTheme="minorEastAsia" w:hAnsiTheme="minorHAnsi" w:cstheme="minorBidi"/>
            <w:bCs w:val="0"/>
            <w:kern w:val="2"/>
            <w:szCs w:val="24"/>
            <w14:ligatures w14:val="standardContextual"/>
          </w:rPr>
          <w:tab/>
        </w:r>
        <w:r w:rsidRPr="00AC173C">
          <w:rPr>
            <w:rStyle w:val="Hyperlink"/>
          </w:rPr>
          <w:t>Shift Factor Calculation for Use in Congestion Rent Allocation</w:t>
        </w:r>
        <w:r>
          <w:rPr>
            <w:webHidden/>
          </w:rPr>
          <w:tab/>
        </w:r>
        <w:r>
          <w:rPr>
            <w:webHidden/>
          </w:rPr>
          <w:fldChar w:fldCharType="begin"/>
        </w:r>
        <w:r>
          <w:rPr>
            <w:webHidden/>
          </w:rPr>
          <w:instrText xml:space="preserve"> PAGEREF _Toc213771903 \h </w:instrText>
        </w:r>
        <w:r>
          <w:rPr>
            <w:webHidden/>
          </w:rPr>
        </w:r>
        <w:r>
          <w:rPr>
            <w:webHidden/>
          </w:rPr>
          <w:fldChar w:fldCharType="separate"/>
        </w:r>
        <w:r>
          <w:rPr>
            <w:webHidden/>
          </w:rPr>
          <w:t>190</w:t>
        </w:r>
        <w:r>
          <w:rPr>
            <w:webHidden/>
          </w:rPr>
          <w:fldChar w:fldCharType="end"/>
        </w:r>
      </w:hyperlink>
    </w:p>
    <w:p w14:paraId="07A86979" w14:textId="2147D68D" w:rsidR="00023ECF" w:rsidRDefault="00023ECF">
      <w:pPr>
        <w:pStyle w:val="TOC4"/>
        <w:rPr>
          <w:rFonts w:asciiTheme="minorHAnsi" w:eastAsiaTheme="minorEastAsia" w:hAnsiTheme="minorHAnsi" w:cstheme="minorBidi"/>
          <w:bCs w:val="0"/>
          <w:kern w:val="2"/>
          <w:szCs w:val="24"/>
          <w14:ligatures w14:val="standardContextual"/>
        </w:rPr>
      </w:pPr>
      <w:hyperlink w:anchor="_Toc213771904" w:history="1">
        <w:r w:rsidRPr="00AC173C">
          <w:rPr>
            <w:rStyle w:val="Hyperlink"/>
          </w:rPr>
          <w:t>4.5.4.3</w:t>
        </w:r>
        <w:r>
          <w:rPr>
            <w:rFonts w:asciiTheme="minorHAnsi" w:eastAsiaTheme="minorEastAsia" w:hAnsiTheme="minorHAnsi" w:cstheme="minorBidi"/>
            <w:bCs w:val="0"/>
            <w:kern w:val="2"/>
            <w:szCs w:val="24"/>
            <w14:ligatures w14:val="standardContextual"/>
          </w:rPr>
          <w:tab/>
        </w:r>
        <w:r w:rsidRPr="00AC173C">
          <w:rPr>
            <w:rStyle w:val="Hyperlink"/>
          </w:rPr>
          <w:t>MCP Calculations</w:t>
        </w:r>
        <w:r>
          <w:rPr>
            <w:webHidden/>
          </w:rPr>
          <w:tab/>
        </w:r>
        <w:r>
          <w:rPr>
            <w:webHidden/>
          </w:rPr>
          <w:fldChar w:fldCharType="begin"/>
        </w:r>
        <w:r>
          <w:rPr>
            <w:webHidden/>
          </w:rPr>
          <w:instrText xml:space="preserve"> PAGEREF _Toc213771904 \h </w:instrText>
        </w:r>
        <w:r>
          <w:rPr>
            <w:webHidden/>
          </w:rPr>
        </w:r>
        <w:r>
          <w:rPr>
            <w:webHidden/>
          </w:rPr>
          <w:fldChar w:fldCharType="separate"/>
        </w:r>
        <w:r>
          <w:rPr>
            <w:webHidden/>
          </w:rPr>
          <w:t>190</w:t>
        </w:r>
        <w:r>
          <w:rPr>
            <w:webHidden/>
          </w:rPr>
          <w:fldChar w:fldCharType="end"/>
        </w:r>
      </w:hyperlink>
    </w:p>
    <w:p w14:paraId="62E2F5C9" w14:textId="533FCCD1" w:rsidR="00023ECF" w:rsidRDefault="00023ECF">
      <w:pPr>
        <w:pStyle w:val="TOC3"/>
        <w:rPr>
          <w:rFonts w:asciiTheme="minorHAnsi" w:eastAsiaTheme="minorEastAsia" w:hAnsiTheme="minorHAnsi" w:cstheme="minorBidi"/>
          <w:bCs w:val="0"/>
          <w:kern w:val="2"/>
          <w:szCs w:val="24"/>
          <w14:ligatures w14:val="standardContextual"/>
        </w:rPr>
      </w:pPr>
      <w:hyperlink w:anchor="_Toc213771905" w:history="1">
        <w:r w:rsidRPr="00AC173C">
          <w:rPr>
            <w:rStyle w:val="Hyperlink"/>
          </w:rPr>
          <w:t>4.5.5</w:t>
        </w:r>
        <w:r>
          <w:rPr>
            <w:rFonts w:asciiTheme="minorHAnsi" w:eastAsiaTheme="minorEastAsia" w:hAnsiTheme="minorHAnsi" w:cstheme="minorBidi"/>
            <w:bCs w:val="0"/>
            <w:kern w:val="2"/>
            <w:szCs w:val="24"/>
            <w14:ligatures w14:val="standardContextual"/>
          </w:rPr>
          <w:tab/>
        </w:r>
        <w:r w:rsidRPr="00AC173C">
          <w:rPr>
            <w:rStyle w:val="Hyperlink"/>
          </w:rPr>
          <w:t>Settlement Location LMPs and LMP Components</w:t>
        </w:r>
        <w:r>
          <w:rPr>
            <w:webHidden/>
          </w:rPr>
          <w:tab/>
        </w:r>
        <w:r>
          <w:rPr>
            <w:webHidden/>
          </w:rPr>
          <w:fldChar w:fldCharType="begin"/>
        </w:r>
        <w:r>
          <w:rPr>
            <w:webHidden/>
          </w:rPr>
          <w:instrText xml:space="preserve"> PAGEREF _Toc213771905 \h </w:instrText>
        </w:r>
        <w:r>
          <w:rPr>
            <w:webHidden/>
          </w:rPr>
        </w:r>
        <w:r>
          <w:rPr>
            <w:webHidden/>
          </w:rPr>
          <w:fldChar w:fldCharType="separate"/>
        </w:r>
        <w:r>
          <w:rPr>
            <w:webHidden/>
          </w:rPr>
          <w:t>192</w:t>
        </w:r>
        <w:r>
          <w:rPr>
            <w:webHidden/>
          </w:rPr>
          <w:fldChar w:fldCharType="end"/>
        </w:r>
      </w:hyperlink>
    </w:p>
    <w:p w14:paraId="37FC0E04" w14:textId="32650639" w:rsidR="00023ECF" w:rsidRDefault="00023ECF">
      <w:pPr>
        <w:pStyle w:val="TOC4"/>
        <w:rPr>
          <w:rFonts w:asciiTheme="minorHAnsi" w:eastAsiaTheme="minorEastAsia" w:hAnsiTheme="minorHAnsi" w:cstheme="minorBidi"/>
          <w:bCs w:val="0"/>
          <w:kern w:val="2"/>
          <w:szCs w:val="24"/>
          <w14:ligatures w14:val="standardContextual"/>
        </w:rPr>
      </w:pPr>
      <w:hyperlink w:anchor="_Toc213771906" w:history="1">
        <w:r w:rsidRPr="00AC173C">
          <w:rPr>
            <w:rStyle w:val="Hyperlink"/>
          </w:rPr>
          <w:t>4.5.5.1</w:t>
        </w:r>
        <w:r>
          <w:rPr>
            <w:rFonts w:asciiTheme="minorHAnsi" w:eastAsiaTheme="minorEastAsia" w:hAnsiTheme="minorHAnsi" w:cstheme="minorBidi"/>
            <w:bCs w:val="0"/>
            <w:kern w:val="2"/>
            <w:szCs w:val="24"/>
            <w14:ligatures w14:val="standardContextual"/>
          </w:rPr>
          <w:tab/>
        </w:r>
        <w:r w:rsidRPr="00AC173C">
          <w:rPr>
            <w:rStyle w:val="Hyperlink"/>
          </w:rPr>
          <w:t>Calculation of LMP at a Trading Hub Settlement Location</w:t>
        </w:r>
        <w:r>
          <w:rPr>
            <w:webHidden/>
          </w:rPr>
          <w:tab/>
        </w:r>
        <w:r>
          <w:rPr>
            <w:webHidden/>
          </w:rPr>
          <w:fldChar w:fldCharType="begin"/>
        </w:r>
        <w:r>
          <w:rPr>
            <w:webHidden/>
          </w:rPr>
          <w:instrText xml:space="preserve"> PAGEREF _Toc213771906 \h </w:instrText>
        </w:r>
        <w:r>
          <w:rPr>
            <w:webHidden/>
          </w:rPr>
        </w:r>
        <w:r>
          <w:rPr>
            <w:webHidden/>
          </w:rPr>
          <w:fldChar w:fldCharType="separate"/>
        </w:r>
        <w:r>
          <w:rPr>
            <w:webHidden/>
          </w:rPr>
          <w:t>192</w:t>
        </w:r>
        <w:r>
          <w:rPr>
            <w:webHidden/>
          </w:rPr>
          <w:fldChar w:fldCharType="end"/>
        </w:r>
      </w:hyperlink>
    </w:p>
    <w:p w14:paraId="5BB27BCE" w14:textId="3D17B235" w:rsidR="00023ECF" w:rsidRDefault="00023ECF">
      <w:pPr>
        <w:pStyle w:val="TOC4"/>
        <w:rPr>
          <w:rFonts w:asciiTheme="minorHAnsi" w:eastAsiaTheme="minorEastAsia" w:hAnsiTheme="minorHAnsi" w:cstheme="minorBidi"/>
          <w:bCs w:val="0"/>
          <w:kern w:val="2"/>
          <w:szCs w:val="24"/>
          <w14:ligatures w14:val="standardContextual"/>
        </w:rPr>
      </w:pPr>
      <w:hyperlink w:anchor="_Toc213771907" w:history="1">
        <w:r w:rsidRPr="00AC173C">
          <w:rPr>
            <w:rStyle w:val="Hyperlink"/>
          </w:rPr>
          <w:t>4.5.5.2</w:t>
        </w:r>
        <w:r>
          <w:rPr>
            <w:rFonts w:asciiTheme="minorHAnsi" w:eastAsiaTheme="minorEastAsia" w:hAnsiTheme="minorHAnsi" w:cstheme="minorBidi"/>
            <w:bCs w:val="0"/>
            <w:kern w:val="2"/>
            <w:szCs w:val="24"/>
            <w14:ligatures w14:val="standardContextual"/>
          </w:rPr>
          <w:tab/>
        </w:r>
        <w:r w:rsidRPr="00AC173C">
          <w:rPr>
            <w:rStyle w:val="Hyperlink"/>
          </w:rPr>
          <w:t>Calculation of LMP at a Load APnode Settlement Location</w:t>
        </w:r>
        <w:r>
          <w:rPr>
            <w:webHidden/>
          </w:rPr>
          <w:tab/>
        </w:r>
        <w:r>
          <w:rPr>
            <w:webHidden/>
          </w:rPr>
          <w:fldChar w:fldCharType="begin"/>
        </w:r>
        <w:r>
          <w:rPr>
            <w:webHidden/>
          </w:rPr>
          <w:instrText xml:space="preserve"> PAGEREF _Toc213771907 \h </w:instrText>
        </w:r>
        <w:r>
          <w:rPr>
            <w:webHidden/>
          </w:rPr>
        </w:r>
        <w:r>
          <w:rPr>
            <w:webHidden/>
          </w:rPr>
          <w:fldChar w:fldCharType="separate"/>
        </w:r>
        <w:r>
          <w:rPr>
            <w:webHidden/>
          </w:rPr>
          <w:t>193</w:t>
        </w:r>
        <w:r>
          <w:rPr>
            <w:webHidden/>
          </w:rPr>
          <w:fldChar w:fldCharType="end"/>
        </w:r>
      </w:hyperlink>
    </w:p>
    <w:p w14:paraId="69446B32" w14:textId="4BA26CF1" w:rsidR="00023ECF" w:rsidRDefault="00023ECF">
      <w:pPr>
        <w:pStyle w:val="TOC4"/>
        <w:rPr>
          <w:rFonts w:asciiTheme="minorHAnsi" w:eastAsiaTheme="minorEastAsia" w:hAnsiTheme="minorHAnsi" w:cstheme="minorBidi"/>
          <w:bCs w:val="0"/>
          <w:kern w:val="2"/>
          <w:szCs w:val="24"/>
          <w14:ligatures w14:val="standardContextual"/>
        </w:rPr>
      </w:pPr>
      <w:hyperlink w:anchor="_Toc213771908" w:history="1">
        <w:r w:rsidRPr="00AC173C">
          <w:rPr>
            <w:rStyle w:val="Hyperlink"/>
          </w:rPr>
          <w:t>4.5.5.3</w:t>
        </w:r>
        <w:r>
          <w:rPr>
            <w:rFonts w:asciiTheme="minorHAnsi" w:eastAsiaTheme="minorEastAsia" w:hAnsiTheme="minorHAnsi" w:cstheme="minorBidi"/>
            <w:bCs w:val="0"/>
            <w:kern w:val="2"/>
            <w:szCs w:val="24"/>
            <w14:ligatures w14:val="standardContextual"/>
          </w:rPr>
          <w:tab/>
        </w:r>
        <w:r w:rsidRPr="00AC173C">
          <w:rPr>
            <w:rStyle w:val="Hyperlink"/>
          </w:rPr>
          <w:t>Calculation of LMP at an External Interface Settlement Location</w:t>
        </w:r>
        <w:r>
          <w:rPr>
            <w:webHidden/>
          </w:rPr>
          <w:tab/>
        </w:r>
        <w:r>
          <w:rPr>
            <w:webHidden/>
          </w:rPr>
          <w:fldChar w:fldCharType="begin"/>
        </w:r>
        <w:r>
          <w:rPr>
            <w:webHidden/>
          </w:rPr>
          <w:instrText xml:space="preserve"> PAGEREF _Toc213771908 \h </w:instrText>
        </w:r>
        <w:r>
          <w:rPr>
            <w:webHidden/>
          </w:rPr>
        </w:r>
        <w:r>
          <w:rPr>
            <w:webHidden/>
          </w:rPr>
          <w:fldChar w:fldCharType="separate"/>
        </w:r>
        <w:r>
          <w:rPr>
            <w:webHidden/>
          </w:rPr>
          <w:t>194</w:t>
        </w:r>
        <w:r>
          <w:rPr>
            <w:webHidden/>
          </w:rPr>
          <w:fldChar w:fldCharType="end"/>
        </w:r>
      </w:hyperlink>
    </w:p>
    <w:p w14:paraId="00D14372" w14:textId="226A82A3" w:rsidR="00023ECF" w:rsidRDefault="00023ECF">
      <w:pPr>
        <w:pStyle w:val="TOC4"/>
        <w:rPr>
          <w:rFonts w:asciiTheme="minorHAnsi" w:eastAsiaTheme="minorEastAsia" w:hAnsiTheme="minorHAnsi" w:cstheme="minorBidi"/>
          <w:bCs w:val="0"/>
          <w:kern w:val="2"/>
          <w:szCs w:val="24"/>
          <w14:ligatures w14:val="standardContextual"/>
        </w:rPr>
      </w:pPr>
      <w:hyperlink w:anchor="_Toc213771909" w:history="1">
        <w:r w:rsidRPr="00AC173C">
          <w:rPr>
            <w:rStyle w:val="Hyperlink"/>
          </w:rPr>
          <w:t>4.5.5.4</w:t>
        </w:r>
        <w:r>
          <w:rPr>
            <w:rFonts w:asciiTheme="minorHAnsi" w:eastAsiaTheme="minorEastAsia" w:hAnsiTheme="minorHAnsi" w:cstheme="minorBidi"/>
            <w:bCs w:val="0"/>
            <w:kern w:val="2"/>
            <w:szCs w:val="24"/>
            <w14:ligatures w14:val="standardContextual"/>
          </w:rPr>
          <w:tab/>
        </w:r>
        <w:r w:rsidRPr="00AC173C">
          <w:rPr>
            <w:rStyle w:val="Hyperlink"/>
          </w:rPr>
          <w:t>Calculation of LMP at a Resource Aggregation APnode Settlement Location</w:t>
        </w:r>
        <w:r>
          <w:rPr>
            <w:webHidden/>
          </w:rPr>
          <w:tab/>
        </w:r>
        <w:r>
          <w:rPr>
            <w:webHidden/>
          </w:rPr>
          <w:fldChar w:fldCharType="begin"/>
        </w:r>
        <w:r>
          <w:rPr>
            <w:webHidden/>
          </w:rPr>
          <w:instrText xml:space="preserve"> PAGEREF _Toc213771909 \h </w:instrText>
        </w:r>
        <w:r>
          <w:rPr>
            <w:webHidden/>
          </w:rPr>
        </w:r>
        <w:r>
          <w:rPr>
            <w:webHidden/>
          </w:rPr>
          <w:fldChar w:fldCharType="separate"/>
        </w:r>
        <w:r>
          <w:rPr>
            <w:webHidden/>
          </w:rPr>
          <w:t>195</w:t>
        </w:r>
        <w:r>
          <w:rPr>
            <w:webHidden/>
          </w:rPr>
          <w:fldChar w:fldCharType="end"/>
        </w:r>
      </w:hyperlink>
    </w:p>
    <w:p w14:paraId="77151D90" w14:textId="2436D959" w:rsidR="00023ECF" w:rsidRDefault="00023ECF">
      <w:pPr>
        <w:pStyle w:val="TOC3"/>
        <w:rPr>
          <w:rFonts w:asciiTheme="minorHAnsi" w:eastAsiaTheme="minorEastAsia" w:hAnsiTheme="minorHAnsi" w:cstheme="minorBidi"/>
          <w:bCs w:val="0"/>
          <w:kern w:val="2"/>
          <w:szCs w:val="24"/>
          <w14:ligatures w14:val="standardContextual"/>
        </w:rPr>
      </w:pPr>
      <w:hyperlink w:anchor="_Toc213771910" w:history="1">
        <w:r w:rsidRPr="00AC173C">
          <w:rPr>
            <w:rStyle w:val="Hyperlink"/>
          </w:rPr>
          <w:t>4.5.6</w:t>
        </w:r>
        <w:r>
          <w:rPr>
            <w:rFonts w:asciiTheme="minorHAnsi" w:eastAsiaTheme="minorEastAsia" w:hAnsiTheme="minorHAnsi" w:cstheme="minorBidi"/>
            <w:bCs w:val="0"/>
            <w:kern w:val="2"/>
            <w:szCs w:val="24"/>
            <w14:ligatures w14:val="standardContextual"/>
          </w:rPr>
          <w:tab/>
        </w:r>
        <w:r w:rsidRPr="00AC173C">
          <w:rPr>
            <w:rStyle w:val="Hyperlink"/>
          </w:rPr>
          <w:t>Precision, Rounding, and FERC Electric Quarterly Reporting</w:t>
        </w:r>
        <w:r>
          <w:rPr>
            <w:webHidden/>
          </w:rPr>
          <w:tab/>
        </w:r>
        <w:r>
          <w:rPr>
            <w:webHidden/>
          </w:rPr>
          <w:fldChar w:fldCharType="begin"/>
        </w:r>
        <w:r>
          <w:rPr>
            <w:webHidden/>
          </w:rPr>
          <w:instrText xml:space="preserve"> PAGEREF _Toc213771910 \h </w:instrText>
        </w:r>
        <w:r>
          <w:rPr>
            <w:webHidden/>
          </w:rPr>
        </w:r>
        <w:r>
          <w:rPr>
            <w:webHidden/>
          </w:rPr>
          <w:fldChar w:fldCharType="separate"/>
        </w:r>
        <w:r>
          <w:rPr>
            <w:webHidden/>
          </w:rPr>
          <w:t>196</w:t>
        </w:r>
        <w:r>
          <w:rPr>
            <w:webHidden/>
          </w:rPr>
          <w:fldChar w:fldCharType="end"/>
        </w:r>
      </w:hyperlink>
    </w:p>
    <w:p w14:paraId="001C2384" w14:textId="28B1D50A" w:rsidR="00023ECF" w:rsidRDefault="00023ECF">
      <w:pPr>
        <w:pStyle w:val="TOC3"/>
        <w:rPr>
          <w:rFonts w:asciiTheme="minorHAnsi" w:eastAsiaTheme="minorEastAsia" w:hAnsiTheme="minorHAnsi" w:cstheme="minorBidi"/>
          <w:bCs w:val="0"/>
          <w:kern w:val="2"/>
          <w:szCs w:val="24"/>
          <w14:ligatures w14:val="standardContextual"/>
        </w:rPr>
      </w:pPr>
      <w:hyperlink w:anchor="_Toc213771911" w:history="1">
        <w:r w:rsidRPr="00AC173C">
          <w:rPr>
            <w:rStyle w:val="Hyperlink"/>
          </w:rPr>
          <w:t>4.5.7</w:t>
        </w:r>
        <w:r>
          <w:rPr>
            <w:rFonts w:asciiTheme="minorHAnsi" w:eastAsiaTheme="minorEastAsia" w:hAnsiTheme="minorHAnsi" w:cstheme="minorBidi"/>
            <w:bCs w:val="0"/>
            <w:kern w:val="2"/>
            <w:szCs w:val="24"/>
            <w14:ligatures w14:val="standardContextual"/>
          </w:rPr>
          <w:tab/>
        </w:r>
        <w:r w:rsidRPr="00AC173C">
          <w:rPr>
            <w:rStyle w:val="Hyperlink"/>
          </w:rPr>
          <w:t>Day-Ahead Market Settlement Overview</w:t>
        </w:r>
        <w:r>
          <w:rPr>
            <w:webHidden/>
          </w:rPr>
          <w:tab/>
        </w:r>
        <w:r>
          <w:rPr>
            <w:webHidden/>
          </w:rPr>
          <w:fldChar w:fldCharType="begin"/>
        </w:r>
        <w:r>
          <w:rPr>
            <w:webHidden/>
          </w:rPr>
          <w:instrText xml:space="preserve"> PAGEREF _Toc213771911 \h </w:instrText>
        </w:r>
        <w:r>
          <w:rPr>
            <w:webHidden/>
          </w:rPr>
        </w:r>
        <w:r>
          <w:rPr>
            <w:webHidden/>
          </w:rPr>
          <w:fldChar w:fldCharType="separate"/>
        </w:r>
        <w:r>
          <w:rPr>
            <w:webHidden/>
          </w:rPr>
          <w:t>196</w:t>
        </w:r>
        <w:r>
          <w:rPr>
            <w:webHidden/>
          </w:rPr>
          <w:fldChar w:fldCharType="end"/>
        </w:r>
      </w:hyperlink>
    </w:p>
    <w:p w14:paraId="528B23E4" w14:textId="38DCCC19" w:rsidR="00023ECF" w:rsidRDefault="00023ECF">
      <w:pPr>
        <w:pStyle w:val="TOC3"/>
        <w:rPr>
          <w:rFonts w:asciiTheme="minorHAnsi" w:eastAsiaTheme="minorEastAsia" w:hAnsiTheme="minorHAnsi" w:cstheme="minorBidi"/>
          <w:bCs w:val="0"/>
          <w:kern w:val="2"/>
          <w:szCs w:val="24"/>
          <w14:ligatures w14:val="standardContextual"/>
        </w:rPr>
      </w:pPr>
      <w:hyperlink w:anchor="_Toc213771912" w:history="1">
        <w:r w:rsidRPr="00AC173C">
          <w:rPr>
            <w:rStyle w:val="Hyperlink"/>
          </w:rPr>
          <w:t>4.5.8</w:t>
        </w:r>
        <w:r>
          <w:rPr>
            <w:rFonts w:asciiTheme="minorHAnsi" w:eastAsiaTheme="minorEastAsia" w:hAnsiTheme="minorHAnsi" w:cstheme="minorBidi"/>
            <w:bCs w:val="0"/>
            <w:kern w:val="2"/>
            <w:szCs w:val="24"/>
            <w14:ligatures w14:val="standardContextual"/>
          </w:rPr>
          <w:tab/>
        </w:r>
        <w:r w:rsidRPr="00AC173C">
          <w:rPr>
            <w:rStyle w:val="Hyperlink"/>
          </w:rPr>
          <w:t>Real-Time Balancing Market Settlement Overview</w:t>
        </w:r>
        <w:r>
          <w:rPr>
            <w:webHidden/>
          </w:rPr>
          <w:tab/>
        </w:r>
        <w:r>
          <w:rPr>
            <w:webHidden/>
          </w:rPr>
          <w:fldChar w:fldCharType="begin"/>
        </w:r>
        <w:r>
          <w:rPr>
            <w:webHidden/>
          </w:rPr>
          <w:instrText xml:space="preserve"> PAGEREF _Toc213771912 \h </w:instrText>
        </w:r>
        <w:r>
          <w:rPr>
            <w:webHidden/>
          </w:rPr>
        </w:r>
        <w:r>
          <w:rPr>
            <w:webHidden/>
          </w:rPr>
          <w:fldChar w:fldCharType="separate"/>
        </w:r>
        <w:r>
          <w:rPr>
            <w:webHidden/>
          </w:rPr>
          <w:t>196</w:t>
        </w:r>
        <w:r>
          <w:rPr>
            <w:webHidden/>
          </w:rPr>
          <w:fldChar w:fldCharType="end"/>
        </w:r>
      </w:hyperlink>
    </w:p>
    <w:p w14:paraId="3EECD0B9" w14:textId="3F10BDD3" w:rsidR="00023ECF" w:rsidRDefault="00023ECF">
      <w:pPr>
        <w:pStyle w:val="TOC3"/>
        <w:rPr>
          <w:rFonts w:asciiTheme="minorHAnsi" w:eastAsiaTheme="minorEastAsia" w:hAnsiTheme="minorHAnsi" w:cstheme="minorBidi"/>
          <w:bCs w:val="0"/>
          <w:kern w:val="2"/>
          <w:szCs w:val="24"/>
          <w14:ligatures w14:val="standardContextual"/>
        </w:rPr>
      </w:pPr>
      <w:hyperlink w:anchor="_Toc213771913" w:history="1">
        <w:r w:rsidRPr="00AC173C">
          <w:rPr>
            <w:rStyle w:val="Hyperlink"/>
          </w:rPr>
          <w:t>4.5.9</w:t>
        </w:r>
        <w:r>
          <w:rPr>
            <w:rFonts w:asciiTheme="minorHAnsi" w:eastAsiaTheme="minorEastAsia" w:hAnsiTheme="minorHAnsi" w:cstheme="minorBidi"/>
            <w:bCs w:val="0"/>
            <w:kern w:val="2"/>
            <w:szCs w:val="24"/>
            <w14:ligatures w14:val="standardContextual"/>
          </w:rPr>
          <w:tab/>
        </w:r>
        <w:r w:rsidRPr="00AC173C">
          <w:rPr>
            <w:rStyle w:val="Hyperlink"/>
          </w:rPr>
          <w:t>Market Transmission Use Distribution Amount</w:t>
        </w:r>
        <w:r>
          <w:rPr>
            <w:webHidden/>
          </w:rPr>
          <w:tab/>
        </w:r>
        <w:r>
          <w:rPr>
            <w:webHidden/>
          </w:rPr>
          <w:fldChar w:fldCharType="begin"/>
        </w:r>
        <w:r>
          <w:rPr>
            <w:webHidden/>
          </w:rPr>
          <w:instrText xml:space="preserve"> PAGEREF _Toc213771913 \h </w:instrText>
        </w:r>
        <w:r>
          <w:rPr>
            <w:webHidden/>
          </w:rPr>
        </w:r>
        <w:r>
          <w:rPr>
            <w:webHidden/>
          </w:rPr>
          <w:fldChar w:fldCharType="separate"/>
        </w:r>
        <w:r>
          <w:rPr>
            <w:webHidden/>
          </w:rPr>
          <w:t>196</w:t>
        </w:r>
        <w:r>
          <w:rPr>
            <w:webHidden/>
          </w:rPr>
          <w:fldChar w:fldCharType="end"/>
        </w:r>
      </w:hyperlink>
    </w:p>
    <w:p w14:paraId="1E102AD7" w14:textId="780C61B3" w:rsidR="00023ECF" w:rsidRDefault="00023ECF">
      <w:pPr>
        <w:pStyle w:val="TOC3"/>
        <w:rPr>
          <w:rFonts w:asciiTheme="minorHAnsi" w:eastAsiaTheme="minorEastAsia" w:hAnsiTheme="minorHAnsi" w:cstheme="minorBidi"/>
          <w:bCs w:val="0"/>
          <w:kern w:val="2"/>
          <w:szCs w:val="24"/>
          <w14:ligatures w14:val="standardContextual"/>
        </w:rPr>
      </w:pPr>
      <w:hyperlink w:anchor="_Toc213771914" w:history="1">
        <w:r w:rsidRPr="00AC173C">
          <w:rPr>
            <w:rStyle w:val="Hyperlink"/>
          </w:rPr>
          <w:t>4.5.10</w:t>
        </w:r>
        <w:r>
          <w:rPr>
            <w:rFonts w:asciiTheme="minorHAnsi" w:eastAsiaTheme="minorEastAsia" w:hAnsiTheme="minorHAnsi" w:cstheme="minorBidi"/>
            <w:bCs w:val="0"/>
            <w:kern w:val="2"/>
            <w:szCs w:val="24"/>
            <w14:ligatures w14:val="standardContextual"/>
          </w:rPr>
          <w:tab/>
        </w:r>
        <w:r w:rsidRPr="00AC173C">
          <w:rPr>
            <w:rStyle w:val="Hyperlink"/>
          </w:rPr>
          <w:t>Market Transmission Use Amount</w:t>
        </w:r>
        <w:r>
          <w:rPr>
            <w:webHidden/>
          </w:rPr>
          <w:tab/>
        </w:r>
        <w:r>
          <w:rPr>
            <w:webHidden/>
          </w:rPr>
          <w:fldChar w:fldCharType="begin"/>
        </w:r>
        <w:r>
          <w:rPr>
            <w:webHidden/>
          </w:rPr>
          <w:instrText xml:space="preserve"> PAGEREF _Toc213771914 \h </w:instrText>
        </w:r>
        <w:r>
          <w:rPr>
            <w:webHidden/>
          </w:rPr>
        </w:r>
        <w:r>
          <w:rPr>
            <w:webHidden/>
          </w:rPr>
          <w:fldChar w:fldCharType="separate"/>
        </w:r>
        <w:r>
          <w:rPr>
            <w:webHidden/>
          </w:rPr>
          <w:t>196</w:t>
        </w:r>
        <w:r>
          <w:rPr>
            <w:webHidden/>
          </w:rPr>
          <w:fldChar w:fldCharType="end"/>
        </w:r>
      </w:hyperlink>
    </w:p>
    <w:p w14:paraId="6D484794" w14:textId="24B918A4" w:rsidR="00023ECF" w:rsidRDefault="00023ECF">
      <w:pPr>
        <w:pStyle w:val="TOC3"/>
        <w:rPr>
          <w:rFonts w:asciiTheme="minorHAnsi" w:eastAsiaTheme="minorEastAsia" w:hAnsiTheme="minorHAnsi" w:cstheme="minorBidi"/>
          <w:bCs w:val="0"/>
          <w:kern w:val="2"/>
          <w:szCs w:val="24"/>
          <w14:ligatures w14:val="standardContextual"/>
        </w:rPr>
      </w:pPr>
      <w:hyperlink w:anchor="_Toc213771915" w:history="1">
        <w:r w:rsidRPr="00AC173C">
          <w:rPr>
            <w:rStyle w:val="Hyperlink"/>
          </w:rPr>
          <w:t>4.5.11</w:t>
        </w:r>
        <w:r>
          <w:rPr>
            <w:rFonts w:asciiTheme="minorHAnsi" w:eastAsiaTheme="minorEastAsia" w:hAnsiTheme="minorHAnsi" w:cstheme="minorBidi"/>
            <w:bCs w:val="0"/>
            <w:kern w:val="2"/>
            <w:szCs w:val="24"/>
            <w14:ligatures w14:val="standardContextual"/>
          </w:rPr>
          <w:tab/>
        </w:r>
        <w:r w:rsidRPr="00AC173C">
          <w:rPr>
            <w:rStyle w:val="Hyperlink"/>
          </w:rPr>
          <w:t>Miscellaneous Amount</w:t>
        </w:r>
        <w:r>
          <w:rPr>
            <w:webHidden/>
          </w:rPr>
          <w:tab/>
        </w:r>
        <w:r>
          <w:rPr>
            <w:webHidden/>
          </w:rPr>
          <w:fldChar w:fldCharType="begin"/>
        </w:r>
        <w:r>
          <w:rPr>
            <w:webHidden/>
          </w:rPr>
          <w:instrText xml:space="preserve"> PAGEREF _Toc213771915 \h </w:instrText>
        </w:r>
        <w:r>
          <w:rPr>
            <w:webHidden/>
          </w:rPr>
        </w:r>
        <w:r>
          <w:rPr>
            <w:webHidden/>
          </w:rPr>
          <w:fldChar w:fldCharType="separate"/>
        </w:r>
        <w:r>
          <w:rPr>
            <w:webHidden/>
          </w:rPr>
          <w:t>196</w:t>
        </w:r>
        <w:r>
          <w:rPr>
            <w:webHidden/>
          </w:rPr>
          <w:fldChar w:fldCharType="end"/>
        </w:r>
      </w:hyperlink>
    </w:p>
    <w:p w14:paraId="08EEF1EE" w14:textId="657A1EE2" w:rsidR="00023ECF" w:rsidRDefault="00023ECF">
      <w:pPr>
        <w:pStyle w:val="TOC3"/>
        <w:rPr>
          <w:rFonts w:asciiTheme="minorHAnsi" w:eastAsiaTheme="minorEastAsia" w:hAnsiTheme="minorHAnsi" w:cstheme="minorBidi"/>
          <w:bCs w:val="0"/>
          <w:kern w:val="2"/>
          <w:szCs w:val="24"/>
          <w14:ligatures w14:val="standardContextual"/>
        </w:rPr>
      </w:pPr>
      <w:hyperlink w:anchor="_Toc213771916" w:history="1">
        <w:r w:rsidRPr="00AC173C">
          <w:rPr>
            <w:rStyle w:val="Hyperlink"/>
          </w:rPr>
          <w:t>4.5.12</w:t>
        </w:r>
        <w:r>
          <w:rPr>
            <w:rFonts w:asciiTheme="minorHAnsi" w:eastAsiaTheme="minorEastAsia" w:hAnsiTheme="minorHAnsi" w:cstheme="minorBidi"/>
            <w:bCs w:val="0"/>
            <w:kern w:val="2"/>
            <w:szCs w:val="24"/>
            <w14:ligatures w14:val="standardContextual"/>
          </w:rPr>
          <w:tab/>
        </w:r>
        <w:r w:rsidRPr="00AC173C">
          <w:rPr>
            <w:rStyle w:val="Hyperlink"/>
          </w:rPr>
          <w:t>Revenue Neutrality Uplift Distribution Amount</w:t>
        </w:r>
        <w:r>
          <w:rPr>
            <w:webHidden/>
          </w:rPr>
          <w:tab/>
        </w:r>
        <w:r>
          <w:rPr>
            <w:webHidden/>
          </w:rPr>
          <w:fldChar w:fldCharType="begin"/>
        </w:r>
        <w:r>
          <w:rPr>
            <w:webHidden/>
          </w:rPr>
          <w:instrText xml:space="preserve"> PAGEREF _Toc213771916 \h </w:instrText>
        </w:r>
        <w:r>
          <w:rPr>
            <w:webHidden/>
          </w:rPr>
        </w:r>
        <w:r>
          <w:rPr>
            <w:webHidden/>
          </w:rPr>
          <w:fldChar w:fldCharType="separate"/>
        </w:r>
        <w:r>
          <w:rPr>
            <w:webHidden/>
          </w:rPr>
          <w:t>196</w:t>
        </w:r>
        <w:r>
          <w:rPr>
            <w:webHidden/>
          </w:rPr>
          <w:fldChar w:fldCharType="end"/>
        </w:r>
      </w:hyperlink>
    </w:p>
    <w:p w14:paraId="51C3DFFF" w14:textId="25040E10" w:rsidR="00023ECF" w:rsidRDefault="00023ECF">
      <w:pPr>
        <w:pStyle w:val="TOC3"/>
        <w:rPr>
          <w:rFonts w:asciiTheme="minorHAnsi" w:eastAsiaTheme="minorEastAsia" w:hAnsiTheme="minorHAnsi" w:cstheme="minorBidi"/>
          <w:bCs w:val="0"/>
          <w:kern w:val="2"/>
          <w:szCs w:val="24"/>
          <w14:ligatures w14:val="standardContextual"/>
        </w:rPr>
      </w:pPr>
      <w:hyperlink w:anchor="_Toc213771917" w:history="1">
        <w:r w:rsidRPr="00AC173C">
          <w:rPr>
            <w:rStyle w:val="Hyperlink"/>
          </w:rPr>
          <w:t>4.5.13</w:t>
        </w:r>
        <w:r>
          <w:rPr>
            <w:rFonts w:asciiTheme="minorHAnsi" w:eastAsiaTheme="minorEastAsia" w:hAnsiTheme="minorHAnsi" w:cstheme="minorBidi"/>
            <w:bCs w:val="0"/>
            <w:kern w:val="2"/>
            <w:szCs w:val="24"/>
            <w14:ligatures w14:val="standardContextual"/>
          </w:rPr>
          <w:tab/>
        </w:r>
        <w:r w:rsidRPr="00AC173C">
          <w:rPr>
            <w:rStyle w:val="Hyperlink"/>
          </w:rPr>
          <w:t>Settlement Statement Process</w:t>
        </w:r>
        <w:r>
          <w:rPr>
            <w:webHidden/>
          </w:rPr>
          <w:tab/>
        </w:r>
        <w:r>
          <w:rPr>
            <w:webHidden/>
          </w:rPr>
          <w:fldChar w:fldCharType="begin"/>
        </w:r>
        <w:r>
          <w:rPr>
            <w:webHidden/>
          </w:rPr>
          <w:instrText xml:space="preserve"> PAGEREF _Toc213771917 \h </w:instrText>
        </w:r>
        <w:r>
          <w:rPr>
            <w:webHidden/>
          </w:rPr>
        </w:r>
        <w:r>
          <w:rPr>
            <w:webHidden/>
          </w:rPr>
          <w:fldChar w:fldCharType="separate"/>
        </w:r>
        <w:r>
          <w:rPr>
            <w:webHidden/>
          </w:rPr>
          <w:t>197</w:t>
        </w:r>
        <w:r>
          <w:rPr>
            <w:webHidden/>
          </w:rPr>
          <w:fldChar w:fldCharType="end"/>
        </w:r>
      </w:hyperlink>
    </w:p>
    <w:p w14:paraId="62751DBD" w14:textId="3360BB69" w:rsidR="00023ECF" w:rsidRDefault="00023ECF">
      <w:pPr>
        <w:pStyle w:val="TOC4"/>
        <w:rPr>
          <w:rFonts w:asciiTheme="minorHAnsi" w:eastAsiaTheme="minorEastAsia" w:hAnsiTheme="minorHAnsi" w:cstheme="minorBidi"/>
          <w:bCs w:val="0"/>
          <w:kern w:val="2"/>
          <w:szCs w:val="24"/>
          <w14:ligatures w14:val="standardContextual"/>
        </w:rPr>
      </w:pPr>
      <w:hyperlink w:anchor="_Toc213771918" w:history="1">
        <w:r w:rsidRPr="00AC173C">
          <w:rPr>
            <w:rStyle w:val="Hyperlink"/>
          </w:rPr>
          <w:t>4.5.13.1</w:t>
        </w:r>
        <w:r>
          <w:rPr>
            <w:rFonts w:asciiTheme="minorHAnsi" w:eastAsiaTheme="minorEastAsia" w:hAnsiTheme="minorHAnsi" w:cstheme="minorBidi"/>
            <w:bCs w:val="0"/>
            <w:kern w:val="2"/>
            <w:szCs w:val="24"/>
            <w14:ligatures w14:val="standardContextual"/>
          </w:rPr>
          <w:tab/>
        </w:r>
        <w:r w:rsidRPr="00AC173C">
          <w:rPr>
            <w:rStyle w:val="Hyperlink"/>
          </w:rPr>
          <w:t>Meter Data and Internal Energy Schedule Settlement Adjustment Submittal</w:t>
        </w:r>
        <w:r>
          <w:rPr>
            <w:webHidden/>
          </w:rPr>
          <w:tab/>
        </w:r>
        <w:r>
          <w:rPr>
            <w:webHidden/>
          </w:rPr>
          <w:fldChar w:fldCharType="begin"/>
        </w:r>
        <w:r>
          <w:rPr>
            <w:webHidden/>
          </w:rPr>
          <w:instrText xml:space="preserve"> PAGEREF _Toc213771918 \h </w:instrText>
        </w:r>
        <w:r>
          <w:rPr>
            <w:webHidden/>
          </w:rPr>
        </w:r>
        <w:r>
          <w:rPr>
            <w:webHidden/>
          </w:rPr>
          <w:fldChar w:fldCharType="separate"/>
        </w:r>
        <w:r>
          <w:rPr>
            <w:webHidden/>
          </w:rPr>
          <w:t>197</w:t>
        </w:r>
        <w:r>
          <w:rPr>
            <w:webHidden/>
          </w:rPr>
          <w:fldChar w:fldCharType="end"/>
        </w:r>
      </w:hyperlink>
    </w:p>
    <w:p w14:paraId="4202CF46" w14:textId="77055C9D" w:rsidR="00023ECF" w:rsidRDefault="00023ECF">
      <w:pPr>
        <w:pStyle w:val="TOC4"/>
        <w:rPr>
          <w:rFonts w:asciiTheme="minorHAnsi" w:eastAsiaTheme="minorEastAsia" w:hAnsiTheme="minorHAnsi" w:cstheme="minorBidi"/>
          <w:bCs w:val="0"/>
          <w:kern w:val="2"/>
          <w:szCs w:val="24"/>
          <w14:ligatures w14:val="standardContextual"/>
        </w:rPr>
      </w:pPr>
      <w:hyperlink w:anchor="_Toc213771919" w:history="1">
        <w:r w:rsidRPr="00AC173C">
          <w:rPr>
            <w:rStyle w:val="Hyperlink"/>
          </w:rPr>
          <w:t>4.5.13.2</w:t>
        </w:r>
        <w:r>
          <w:rPr>
            <w:rFonts w:asciiTheme="minorHAnsi" w:eastAsiaTheme="minorEastAsia" w:hAnsiTheme="minorHAnsi" w:cstheme="minorBidi"/>
            <w:bCs w:val="0"/>
            <w:kern w:val="2"/>
            <w:szCs w:val="24"/>
            <w14:ligatures w14:val="standardContextual"/>
          </w:rPr>
          <w:tab/>
        </w:r>
        <w:r w:rsidRPr="00AC173C">
          <w:rPr>
            <w:rStyle w:val="Hyperlink"/>
          </w:rPr>
          <w:t>Daily Settlement Statement</w:t>
        </w:r>
        <w:r>
          <w:rPr>
            <w:webHidden/>
          </w:rPr>
          <w:tab/>
        </w:r>
        <w:r>
          <w:rPr>
            <w:webHidden/>
          </w:rPr>
          <w:fldChar w:fldCharType="begin"/>
        </w:r>
        <w:r>
          <w:rPr>
            <w:webHidden/>
          </w:rPr>
          <w:instrText xml:space="preserve"> PAGEREF _Toc213771919 \h </w:instrText>
        </w:r>
        <w:r>
          <w:rPr>
            <w:webHidden/>
          </w:rPr>
        </w:r>
        <w:r>
          <w:rPr>
            <w:webHidden/>
          </w:rPr>
          <w:fldChar w:fldCharType="separate"/>
        </w:r>
        <w:r>
          <w:rPr>
            <w:webHidden/>
          </w:rPr>
          <w:t>197</w:t>
        </w:r>
        <w:r>
          <w:rPr>
            <w:webHidden/>
          </w:rPr>
          <w:fldChar w:fldCharType="end"/>
        </w:r>
      </w:hyperlink>
    </w:p>
    <w:p w14:paraId="00D694B0" w14:textId="701BB62E" w:rsidR="00023ECF" w:rsidRDefault="00023ECF">
      <w:pPr>
        <w:pStyle w:val="TOC4"/>
        <w:rPr>
          <w:rFonts w:asciiTheme="minorHAnsi" w:eastAsiaTheme="minorEastAsia" w:hAnsiTheme="minorHAnsi" w:cstheme="minorBidi"/>
          <w:bCs w:val="0"/>
          <w:kern w:val="2"/>
          <w:szCs w:val="24"/>
          <w14:ligatures w14:val="standardContextual"/>
        </w:rPr>
      </w:pPr>
      <w:hyperlink w:anchor="_Toc213771920" w:history="1">
        <w:r w:rsidRPr="00AC173C">
          <w:rPr>
            <w:rStyle w:val="Hyperlink"/>
          </w:rPr>
          <w:t>4.5.13.3</w:t>
        </w:r>
        <w:r>
          <w:rPr>
            <w:rFonts w:asciiTheme="minorHAnsi" w:eastAsiaTheme="minorEastAsia" w:hAnsiTheme="minorHAnsi" w:cstheme="minorBidi"/>
            <w:bCs w:val="0"/>
            <w:kern w:val="2"/>
            <w:szCs w:val="24"/>
            <w14:ligatures w14:val="standardContextual"/>
          </w:rPr>
          <w:tab/>
        </w:r>
        <w:r w:rsidRPr="00AC173C">
          <w:rPr>
            <w:rStyle w:val="Hyperlink"/>
          </w:rPr>
          <w:t>Settlement Statement Access</w:t>
        </w:r>
        <w:r>
          <w:rPr>
            <w:webHidden/>
          </w:rPr>
          <w:tab/>
        </w:r>
        <w:r>
          <w:rPr>
            <w:webHidden/>
          </w:rPr>
          <w:fldChar w:fldCharType="begin"/>
        </w:r>
        <w:r>
          <w:rPr>
            <w:webHidden/>
          </w:rPr>
          <w:instrText xml:space="preserve"> PAGEREF _Toc213771920 \h </w:instrText>
        </w:r>
        <w:r>
          <w:rPr>
            <w:webHidden/>
          </w:rPr>
        </w:r>
        <w:r>
          <w:rPr>
            <w:webHidden/>
          </w:rPr>
          <w:fldChar w:fldCharType="separate"/>
        </w:r>
        <w:r>
          <w:rPr>
            <w:webHidden/>
          </w:rPr>
          <w:t>198</w:t>
        </w:r>
        <w:r>
          <w:rPr>
            <w:webHidden/>
          </w:rPr>
          <w:fldChar w:fldCharType="end"/>
        </w:r>
      </w:hyperlink>
    </w:p>
    <w:p w14:paraId="4312D8C3" w14:textId="27FD5861" w:rsidR="00023ECF" w:rsidRDefault="00023ECF">
      <w:pPr>
        <w:pStyle w:val="TOC4"/>
        <w:rPr>
          <w:rFonts w:asciiTheme="minorHAnsi" w:eastAsiaTheme="minorEastAsia" w:hAnsiTheme="minorHAnsi" w:cstheme="minorBidi"/>
          <w:bCs w:val="0"/>
          <w:kern w:val="2"/>
          <w:szCs w:val="24"/>
          <w14:ligatures w14:val="standardContextual"/>
        </w:rPr>
      </w:pPr>
      <w:hyperlink w:anchor="_Toc213771921" w:history="1">
        <w:r w:rsidRPr="00AC173C">
          <w:rPr>
            <w:rStyle w:val="Hyperlink"/>
          </w:rPr>
          <w:t>4.5.13.4</w:t>
        </w:r>
        <w:r>
          <w:rPr>
            <w:rFonts w:asciiTheme="minorHAnsi" w:eastAsiaTheme="minorEastAsia" w:hAnsiTheme="minorHAnsi" w:cstheme="minorBidi"/>
            <w:bCs w:val="0"/>
            <w:kern w:val="2"/>
            <w:szCs w:val="24"/>
            <w14:ligatures w14:val="standardContextual"/>
          </w:rPr>
          <w:tab/>
        </w:r>
        <w:r w:rsidRPr="00AC173C">
          <w:rPr>
            <w:rStyle w:val="Hyperlink"/>
          </w:rPr>
          <w:t>S7 Scheduled Settlement Statements</w:t>
        </w:r>
        <w:r>
          <w:rPr>
            <w:webHidden/>
          </w:rPr>
          <w:tab/>
        </w:r>
        <w:r>
          <w:rPr>
            <w:webHidden/>
          </w:rPr>
          <w:fldChar w:fldCharType="begin"/>
        </w:r>
        <w:r>
          <w:rPr>
            <w:webHidden/>
          </w:rPr>
          <w:instrText xml:space="preserve"> PAGEREF _Toc213771921 \h </w:instrText>
        </w:r>
        <w:r>
          <w:rPr>
            <w:webHidden/>
          </w:rPr>
        </w:r>
        <w:r>
          <w:rPr>
            <w:webHidden/>
          </w:rPr>
          <w:fldChar w:fldCharType="separate"/>
        </w:r>
        <w:r>
          <w:rPr>
            <w:webHidden/>
          </w:rPr>
          <w:t>198</w:t>
        </w:r>
        <w:r>
          <w:rPr>
            <w:webHidden/>
          </w:rPr>
          <w:fldChar w:fldCharType="end"/>
        </w:r>
      </w:hyperlink>
    </w:p>
    <w:p w14:paraId="45128CDA" w14:textId="183012A3" w:rsidR="00023ECF" w:rsidRDefault="00023ECF">
      <w:pPr>
        <w:pStyle w:val="TOC4"/>
        <w:rPr>
          <w:rFonts w:asciiTheme="minorHAnsi" w:eastAsiaTheme="minorEastAsia" w:hAnsiTheme="minorHAnsi" w:cstheme="minorBidi"/>
          <w:bCs w:val="0"/>
          <w:kern w:val="2"/>
          <w:szCs w:val="24"/>
          <w14:ligatures w14:val="standardContextual"/>
        </w:rPr>
      </w:pPr>
      <w:hyperlink w:anchor="_Toc213771922" w:history="1">
        <w:r w:rsidRPr="00AC173C">
          <w:rPr>
            <w:rStyle w:val="Hyperlink"/>
          </w:rPr>
          <w:t>4.5.13.5</w:t>
        </w:r>
        <w:r>
          <w:rPr>
            <w:rFonts w:asciiTheme="minorHAnsi" w:eastAsiaTheme="minorEastAsia" w:hAnsiTheme="minorHAnsi" w:cstheme="minorBidi"/>
            <w:bCs w:val="0"/>
            <w:kern w:val="2"/>
            <w:szCs w:val="24"/>
            <w14:ligatures w14:val="standardContextual"/>
          </w:rPr>
          <w:tab/>
        </w:r>
        <w:r w:rsidRPr="00AC173C">
          <w:rPr>
            <w:rStyle w:val="Hyperlink"/>
          </w:rPr>
          <w:t>S53 Scheduled Settlement Statements</w:t>
        </w:r>
        <w:r>
          <w:rPr>
            <w:webHidden/>
          </w:rPr>
          <w:tab/>
        </w:r>
        <w:r>
          <w:rPr>
            <w:webHidden/>
          </w:rPr>
          <w:fldChar w:fldCharType="begin"/>
        </w:r>
        <w:r>
          <w:rPr>
            <w:webHidden/>
          </w:rPr>
          <w:instrText xml:space="preserve"> PAGEREF _Toc213771922 \h </w:instrText>
        </w:r>
        <w:r>
          <w:rPr>
            <w:webHidden/>
          </w:rPr>
        </w:r>
        <w:r>
          <w:rPr>
            <w:webHidden/>
          </w:rPr>
          <w:fldChar w:fldCharType="separate"/>
        </w:r>
        <w:r>
          <w:rPr>
            <w:webHidden/>
          </w:rPr>
          <w:t>198</w:t>
        </w:r>
        <w:r>
          <w:rPr>
            <w:webHidden/>
          </w:rPr>
          <w:fldChar w:fldCharType="end"/>
        </w:r>
      </w:hyperlink>
    </w:p>
    <w:p w14:paraId="73B26E98" w14:textId="63FBD381" w:rsidR="00023ECF" w:rsidRDefault="00023ECF">
      <w:pPr>
        <w:pStyle w:val="TOC4"/>
        <w:rPr>
          <w:rFonts w:asciiTheme="minorHAnsi" w:eastAsiaTheme="minorEastAsia" w:hAnsiTheme="minorHAnsi" w:cstheme="minorBidi"/>
          <w:bCs w:val="0"/>
          <w:kern w:val="2"/>
          <w:szCs w:val="24"/>
          <w14:ligatures w14:val="standardContextual"/>
        </w:rPr>
      </w:pPr>
      <w:hyperlink w:anchor="_Toc213771923" w:history="1">
        <w:r w:rsidRPr="00AC173C">
          <w:rPr>
            <w:rStyle w:val="Hyperlink"/>
          </w:rPr>
          <w:t>4.5.13.6</w:t>
        </w:r>
        <w:r>
          <w:rPr>
            <w:rFonts w:asciiTheme="minorHAnsi" w:eastAsiaTheme="minorEastAsia" w:hAnsiTheme="minorHAnsi" w:cstheme="minorBidi"/>
            <w:bCs w:val="0"/>
            <w:kern w:val="2"/>
            <w:szCs w:val="24"/>
            <w14:ligatures w14:val="standardContextual"/>
          </w:rPr>
          <w:tab/>
        </w:r>
        <w:r w:rsidRPr="00AC173C">
          <w:rPr>
            <w:rStyle w:val="Hyperlink"/>
          </w:rPr>
          <w:t>S120 Scheduled Settlement Statements</w:t>
        </w:r>
        <w:r>
          <w:rPr>
            <w:webHidden/>
          </w:rPr>
          <w:tab/>
        </w:r>
        <w:r>
          <w:rPr>
            <w:webHidden/>
          </w:rPr>
          <w:fldChar w:fldCharType="begin"/>
        </w:r>
        <w:r>
          <w:rPr>
            <w:webHidden/>
          </w:rPr>
          <w:instrText xml:space="preserve"> PAGEREF _Toc213771923 \h </w:instrText>
        </w:r>
        <w:r>
          <w:rPr>
            <w:webHidden/>
          </w:rPr>
        </w:r>
        <w:r>
          <w:rPr>
            <w:webHidden/>
          </w:rPr>
          <w:fldChar w:fldCharType="separate"/>
        </w:r>
        <w:r>
          <w:rPr>
            <w:webHidden/>
          </w:rPr>
          <w:t>199</w:t>
        </w:r>
        <w:r>
          <w:rPr>
            <w:webHidden/>
          </w:rPr>
          <w:fldChar w:fldCharType="end"/>
        </w:r>
      </w:hyperlink>
    </w:p>
    <w:p w14:paraId="1F49B089" w14:textId="18B88333" w:rsidR="00023ECF" w:rsidRDefault="00023ECF">
      <w:pPr>
        <w:pStyle w:val="TOC4"/>
        <w:rPr>
          <w:rFonts w:asciiTheme="minorHAnsi" w:eastAsiaTheme="minorEastAsia" w:hAnsiTheme="minorHAnsi" w:cstheme="minorBidi"/>
          <w:bCs w:val="0"/>
          <w:kern w:val="2"/>
          <w:szCs w:val="24"/>
          <w14:ligatures w14:val="standardContextual"/>
        </w:rPr>
      </w:pPr>
      <w:hyperlink w:anchor="_Toc213771924" w:history="1">
        <w:r w:rsidRPr="00AC173C">
          <w:rPr>
            <w:rStyle w:val="Hyperlink"/>
          </w:rPr>
          <w:t>4.5.13.7</w:t>
        </w:r>
        <w:r>
          <w:rPr>
            <w:rFonts w:asciiTheme="minorHAnsi" w:eastAsiaTheme="minorEastAsia" w:hAnsiTheme="minorHAnsi" w:cstheme="minorBidi"/>
            <w:bCs w:val="0"/>
            <w:kern w:val="2"/>
            <w:szCs w:val="24"/>
            <w14:ligatures w14:val="standardContextual"/>
          </w:rPr>
          <w:tab/>
        </w:r>
        <w:r w:rsidRPr="00AC173C">
          <w:rPr>
            <w:rStyle w:val="Hyperlink"/>
          </w:rPr>
          <w:t>Resettlement Statements</w:t>
        </w:r>
        <w:r>
          <w:rPr>
            <w:webHidden/>
          </w:rPr>
          <w:tab/>
        </w:r>
        <w:r>
          <w:rPr>
            <w:webHidden/>
          </w:rPr>
          <w:fldChar w:fldCharType="begin"/>
        </w:r>
        <w:r>
          <w:rPr>
            <w:webHidden/>
          </w:rPr>
          <w:instrText xml:space="preserve"> PAGEREF _Toc213771924 \h </w:instrText>
        </w:r>
        <w:r>
          <w:rPr>
            <w:webHidden/>
          </w:rPr>
        </w:r>
        <w:r>
          <w:rPr>
            <w:webHidden/>
          </w:rPr>
          <w:fldChar w:fldCharType="separate"/>
        </w:r>
        <w:r>
          <w:rPr>
            <w:webHidden/>
          </w:rPr>
          <w:t>199</w:t>
        </w:r>
        <w:r>
          <w:rPr>
            <w:webHidden/>
          </w:rPr>
          <w:fldChar w:fldCharType="end"/>
        </w:r>
      </w:hyperlink>
    </w:p>
    <w:p w14:paraId="69064039" w14:textId="55560830" w:rsidR="00023ECF" w:rsidRDefault="00023ECF">
      <w:pPr>
        <w:pStyle w:val="TOC4"/>
        <w:rPr>
          <w:rFonts w:asciiTheme="minorHAnsi" w:eastAsiaTheme="minorEastAsia" w:hAnsiTheme="minorHAnsi" w:cstheme="minorBidi"/>
          <w:bCs w:val="0"/>
          <w:kern w:val="2"/>
          <w:szCs w:val="24"/>
          <w14:ligatures w14:val="standardContextual"/>
        </w:rPr>
      </w:pPr>
      <w:hyperlink w:anchor="_Toc213771925" w:history="1">
        <w:r w:rsidRPr="00AC173C">
          <w:rPr>
            <w:rStyle w:val="Hyperlink"/>
          </w:rPr>
          <w:t>4.5.13.8</w:t>
        </w:r>
        <w:r>
          <w:rPr>
            <w:rFonts w:asciiTheme="minorHAnsi" w:eastAsiaTheme="minorEastAsia" w:hAnsiTheme="minorHAnsi" w:cstheme="minorBidi"/>
            <w:bCs w:val="0"/>
            <w:kern w:val="2"/>
            <w:szCs w:val="24"/>
            <w14:ligatures w14:val="standardContextual"/>
          </w:rPr>
          <w:tab/>
        </w:r>
        <w:r w:rsidRPr="00AC173C">
          <w:rPr>
            <w:rStyle w:val="Hyperlink"/>
          </w:rPr>
          <w:t>Settlement Timeline</w:t>
        </w:r>
        <w:r>
          <w:rPr>
            <w:webHidden/>
          </w:rPr>
          <w:tab/>
        </w:r>
        <w:r>
          <w:rPr>
            <w:webHidden/>
          </w:rPr>
          <w:fldChar w:fldCharType="begin"/>
        </w:r>
        <w:r>
          <w:rPr>
            <w:webHidden/>
          </w:rPr>
          <w:instrText xml:space="preserve"> PAGEREF _Toc213771925 \h </w:instrText>
        </w:r>
        <w:r>
          <w:rPr>
            <w:webHidden/>
          </w:rPr>
        </w:r>
        <w:r>
          <w:rPr>
            <w:webHidden/>
          </w:rPr>
          <w:fldChar w:fldCharType="separate"/>
        </w:r>
        <w:r>
          <w:rPr>
            <w:webHidden/>
          </w:rPr>
          <w:t>200</w:t>
        </w:r>
        <w:r>
          <w:rPr>
            <w:webHidden/>
          </w:rPr>
          <w:fldChar w:fldCharType="end"/>
        </w:r>
      </w:hyperlink>
    </w:p>
    <w:p w14:paraId="2FDABD59" w14:textId="6B0D9314" w:rsidR="00023ECF" w:rsidRDefault="00023ECF">
      <w:pPr>
        <w:pStyle w:val="TOC3"/>
        <w:rPr>
          <w:rFonts w:asciiTheme="minorHAnsi" w:eastAsiaTheme="minorEastAsia" w:hAnsiTheme="minorHAnsi" w:cstheme="minorBidi"/>
          <w:bCs w:val="0"/>
          <w:kern w:val="2"/>
          <w:szCs w:val="24"/>
          <w14:ligatures w14:val="standardContextual"/>
        </w:rPr>
      </w:pPr>
      <w:hyperlink w:anchor="_Toc213771926" w:history="1">
        <w:r w:rsidRPr="00AC173C">
          <w:rPr>
            <w:rStyle w:val="Hyperlink"/>
          </w:rPr>
          <w:t>4.5.14</w:t>
        </w:r>
        <w:r>
          <w:rPr>
            <w:rFonts w:asciiTheme="minorHAnsi" w:eastAsiaTheme="minorEastAsia" w:hAnsiTheme="minorHAnsi" w:cstheme="minorBidi"/>
            <w:bCs w:val="0"/>
            <w:kern w:val="2"/>
            <w:szCs w:val="24"/>
            <w14:ligatures w14:val="standardContextual"/>
          </w:rPr>
          <w:tab/>
        </w:r>
        <w:r w:rsidRPr="00AC173C">
          <w:rPr>
            <w:rStyle w:val="Hyperlink"/>
          </w:rPr>
          <w:t>Settlement Invoice</w:t>
        </w:r>
        <w:r>
          <w:rPr>
            <w:webHidden/>
          </w:rPr>
          <w:tab/>
        </w:r>
        <w:r>
          <w:rPr>
            <w:webHidden/>
          </w:rPr>
          <w:fldChar w:fldCharType="begin"/>
        </w:r>
        <w:r>
          <w:rPr>
            <w:webHidden/>
          </w:rPr>
          <w:instrText xml:space="preserve"> PAGEREF _Toc213771926 \h </w:instrText>
        </w:r>
        <w:r>
          <w:rPr>
            <w:webHidden/>
          </w:rPr>
        </w:r>
        <w:r>
          <w:rPr>
            <w:webHidden/>
          </w:rPr>
          <w:fldChar w:fldCharType="separate"/>
        </w:r>
        <w:r>
          <w:rPr>
            <w:webHidden/>
          </w:rPr>
          <w:t>202</w:t>
        </w:r>
        <w:r>
          <w:rPr>
            <w:webHidden/>
          </w:rPr>
          <w:fldChar w:fldCharType="end"/>
        </w:r>
      </w:hyperlink>
    </w:p>
    <w:p w14:paraId="759ED5B9" w14:textId="0DBEB4F3" w:rsidR="00023ECF" w:rsidRDefault="00023ECF">
      <w:pPr>
        <w:pStyle w:val="TOC4"/>
        <w:rPr>
          <w:rFonts w:asciiTheme="minorHAnsi" w:eastAsiaTheme="minorEastAsia" w:hAnsiTheme="minorHAnsi" w:cstheme="minorBidi"/>
          <w:bCs w:val="0"/>
          <w:kern w:val="2"/>
          <w:szCs w:val="24"/>
          <w14:ligatures w14:val="standardContextual"/>
        </w:rPr>
      </w:pPr>
      <w:hyperlink w:anchor="_Toc213771927" w:history="1">
        <w:r w:rsidRPr="00AC173C">
          <w:rPr>
            <w:rStyle w:val="Hyperlink"/>
          </w:rPr>
          <w:t>4.5.14.1</w:t>
        </w:r>
        <w:r>
          <w:rPr>
            <w:rFonts w:asciiTheme="minorHAnsi" w:eastAsiaTheme="minorEastAsia" w:hAnsiTheme="minorHAnsi" w:cstheme="minorBidi"/>
            <w:bCs w:val="0"/>
            <w:kern w:val="2"/>
            <w:szCs w:val="24"/>
            <w14:ligatures w14:val="standardContextual"/>
          </w:rPr>
          <w:tab/>
        </w:r>
        <w:r w:rsidRPr="00AC173C">
          <w:rPr>
            <w:rStyle w:val="Hyperlink"/>
          </w:rPr>
          <w:t>Timing and Content of Invoice</w:t>
        </w:r>
        <w:r>
          <w:rPr>
            <w:webHidden/>
          </w:rPr>
          <w:tab/>
        </w:r>
        <w:r>
          <w:rPr>
            <w:webHidden/>
          </w:rPr>
          <w:fldChar w:fldCharType="begin"/>
        </w:r>
        <w:r>
          <w:rPr>
            <w:webHidden/>
          </w:rPr>
          <w:instrText xml:space="preserve"> PAGEREF _Toc213771927 \h </w:instrText>
        </w:r>
        <w:r>
          <w:rPr>
            <w:webHidden/>
          </w:rPr>
        </w:r>
        <w:r>
          <w:rPr>
            <w:webHidden/>
          </w:rPr>
          <w:fldChar w:fldCharType="separate"/>
        </w:r>
        <w:r>
          <w:rPr>
            <w:webHidden/>
          </w:rPr>
          <w:t>203</w:t>
        </w:r>
        <w:r>
          <w:rPr>
            <w:webHidden/>
          </w:rPr>
          <w:fldChar w:fldCharType="end"/>
        </w:r>
      </w:hyperlink>
    </w:p>
    <w:p w14:paraId="697A049A" w14:textId="2A7574B1" w:rsidR="00023ECF" w:rsidRDefault="00023ECF">
      <w:pPr>
        <w:pStyle w:val="TOC4"/>
        <w:rPr>
          <w:rFonts w:asciiTheme="minorHAnsi" w:eastAsiaTheme="minorEastAsia" w:hAnsiTheme="minorHAnsi" w:cstheme="minorBidi"/>
          <w:bCs w:val="0"/>
          <w:kern w:val="2"/>
          <w:szCs w:val="24"/>
          <w14:ligatures w14:val="standardContextual"/>
        </w:rPr>
      </w:pPr>
      <w:hyperlink w:anchor="_Toc213771928" w:history="1">
        <w:r w:rsidRPr="00AC173C">
          <w:rPr>
            <w:rStyle w:val="Hyperlink"/>
          </w:rPr>
          <w:t>4.5.14.2</w:t>
        </w:r>
        <w:r>
          <w:rPr>
            <w:rFonts w:asciiTheme="minorHAnsi" w:eastAsiaTheme="minorEastAsia" w:hAnsiTheme="minorHAnsi" w:cstheme="minorBidi"/>
            <w:bCs w:val="0"/>
            <w:kern w:val="2"/>
            <w:szCs w:val="24"/>
            <w14:ligatures w14:val="standardContextual"/>
          </w:rPr>
          <w:tab/>
        </w:r>
        <w:r w:rsidRPr="00AC173C">
          <w:rPr>
            <w:rStyle w:val="Hyperlink"/>
          </w:rPr>
          <w:t>Invoice Calendar</w:t>
        </w:r>
        <w:r>
          <w:rPr>
            <w:webHidden/>
          </w:rPr>
          <w:tab/>
        </w:r>
        <w:r>
          <w:rPr>
            <w:webHidden/>
          </w:rPr>
          <w:fldChar w:fldCharType="begin"/>
        </w:r>
        <w:r>
          <w:rPr>
            <w:webHidden/>
          </w:rPr>
          <w:instrText xml:space="preserve"> PAGEREF _Toc213771928 \h </w:instrText>
        </w:r>
        <w:r>
          <w:rPr>
            <w:webHidden/>
          </w:rPr>
        </w:r>
        <w:r>
          <w:rPr>
            <w:webHidden/>
          </w:rPr>
          <w:fldChar w:fldCharType="separate"/>
        </w:r>
        <w:r>
          <w:rPr>
            <w:webHidden/>
          </w:rPr>
          <w:t>204</w:t>
        </w:r>
        <w:r>
          <w:rPr>
            <w:webHidden/>
          </w:rPr>
          <w:fldChar w:fldCharType="end"/>
        </w:r>
      </w:hyperlink>
    </w:p>
    <w:p w14:paraId="090F8574" w14:textId="6715066C" w:rsidR="00023ECF" w:rsidRDefault="00023ECF">
      <w:pPr>
        <w:pStyle w:val="TOC3"/>
        <w:rPr>
          <w:rFonts w:asciiTheme="minorHAnsi" w:eastAsiaTheme="minorEastAsia" w:hAnsiTheme="minorHAnsi" w:cstheme="minorBidi"/>
          <w:bCs w:val="0"/>
          <w:kern w:val="2"/>
          <w:szCs w:val="24"/>
          <w14:ligatures w14:val="standardContextual"/>
        </w:rPr>
      </w:pPr>
      <w:hyperlink w:anchor="_Toc213771929" w:history="1">
        <w:r w:rsidRPr="00AC173C">
          <w:rPr>
            <w:rStyle w:val="Hyperlink"/>
          </w:rPr>
          <w:t>4.5.15</w:t>
        </w:r>
        <w:r>
          <w:rPr>
            <w:rFonts w:asciiTheme="minorHAnsi" w:eastAsiaTheme="minorEastAsia" w:hAnsiTheme="minorHAnsi" w:cstheme="minorBidi"/>
            <w:bCs w:val="0"/>
            <w:kern w:val="2"/>
            <w:szCs w:val="24"/>
            <w14:ligatures w14:val="standardContextual"/>
          </w:rPr>
          <w:tab/>
        </w:r>
        <w:r w:rsidRPr="00AC173C">
          <w:rPr>
            <w:rStyle w:val="Hyperlink"/>
          </w:rPr>
          <w:t>Disputes</w:t>
        </w:r>
        <w:r>
          <w:rPr>
            <w:webHidden/>
          </w:rPr>
          <w:tab/>
        </w:r>
        <w:r>
          <w:rPr>
            <w:webHidden/>
          </w:rPr>
          <w:fldChar w:fldCharType="begin"/>
        </w:r>
        <w:r>
          <w:rPr>
            <w:webHidden/>
          </w:rPr>
          <w:instrText xml:space="preserve"> PAGEREF _Toc213771929 \h </w:instrText>
        </w:r>
        <w:r>
          <w:rPr>
            <w:webHidden/>
          </w:rPr>
        </w:r>
        <w:r>
          <w:rPr>
            <w:webHidden/>
          </w:rPr>
          <w:fldChar w:fldCharType="separate"/>
        </w:r>
        <w:r>
          <w:rPr>
            <w:webHidden/>
          </w:rPr>
          <w:t>204</w:t>
        </w:r>
        <w:r>
          <w:rPr>
            <w:webHidden/>
          </w:rPr>
          <w:fldChar w:fldCharType="end"/>
        </w:r>
      </w:hyperlink>
    </w:p>
    <w:p w14:paraId="337F7022" w14:textId="387EE4E9" w:rsidR="00023ECF" w:rsidRDefault="00023ECF">
      <w:pPr>
        <w:pStyle w:val="TOC4"/>
        <w:rPr>
          <w:rFonts w:asciiTheme="minorHAnsi" w:eastAsiaTheme="minorEastAsia" w:hAnsiTheme="minorHAnsi" w:cstheme="minorBidi"/>
          <w:bCs w:val="0"/>
          <w:kern w:val="2"/>
          <w:szCs w:val="24"/>
          <w14:ligatures w14:val="standardContextual"/>
        </w:rPr>
      </w:pPr>
      <w:hyperlink w:anchor="_Toc213771930" w:history="1">
        <w:r w:rsidRPr="00AC173C">
          <w:rPr>
            <w:rStyle w:val="Hyperlink"/>
          </w:rPr>
          <w:t>4.5.15.1</w:t>
        </w:r>
        <w:r>
          <w:rPr>
            <w:rFonts w:asciiTheme="minorHAnsi" w:eastAsiaTheme="minorEastAsia" w:hAnsiTheme="minorHAnsi" w:cstheme="minorBidi"/>
            <w:bCs w:val="0"/>
            <w:kern w:val="2"/>
            <w:szCs w:val="24"/>
            <w14:ligatures w14:val="standardContextual"/>
          </w:rPr>
          <w:tab/>
        </w:r>
        <w:r w:rsidRPr="00AC173C">
          <w:rPr>
            <w:rStyle w:val="Hyperlink"/>
          </w:rPr>
          <w:t>Dispute Submission Timeline</w:t>
        </w:r>
        <w:r>
          <w:rPr>
            <w:webHidden/>
          </w:rPr>
          <w:tab/>
        </w:r>
        <w:r>
          <w:rPr>
            <w:webHidden/>
          </w:rPr>
          <w:fldChar w:fldCharType="begin"/>
        </w:r>
        <w:r>
          <w:rPr>
            <w:webHidden/>
          </w:rPr>
          <w:instrText xml:space="preserve"> PAGEREF _Toc213771930 \h </w:instrText>
        </w:r>
        <w:r>
          <w:rPr>
            <w:webHidden/>
          </w:rPr>
        </w:r>
        <w:r>
          <w:rPr>
            <w:webHidden/>
          </w:rPr>
          <w:fldChar w:fldCharType="separate"/>
        </w:r>
        <w:r>
          <w:rPr>
            <w:webHidden/>
          </w:rPr>
          <w:t>205</w:t>
        </w:r>
        <w:r>
          <w:rPr>
            <w:webHidden/>
          </w:rPr>
          <w:fldChar w:fldCharType="end"/>
        </w:r>
      </w:hyperlink>
    </w:p>
    <w:p w14:paraId="3AFD9CA6" w14:textId="3A1ECC5B" w:rsidR="00023ECF" w:rsidRDefault="00023ECF">
      <w:pPr>
        <w:pStyle w:val="TOC4"/>
        <w:rPr>
          <w:rFonts w:asciiTheme="minorHAnsi" w:eastAsiaTheme="minorEastAsia" w:hAnsiTheme="minorHAnsi" w:cstheme="minorBidi"/>
          <w:bCs w:val="0"/>
          <w:kern w:val="2"/>
          <w:szCs w:val="24"/>
          <w14:ligatures w14:val="standardContextual"/>
        </w:rPr>
      </w:pPr>
      <w:hyperlink w:anchor="_Toc213771931" w:history="1">
        <w:r w:rsidRPr="00AC173C">
          <w:rPr>
            <w:rStyle w:val="Hyperlink"/>
          </w:rPr>
          <w:t>4.5.15.2</w:t>
        </w:r>
        <w:r>
          <w:rPr>
            <w:rFonts w:asciiTheme="minorHAnsi" w:eastAsiaTheme="minorEastAsia" w:hAnsiTheme="minorHAnsi" w:cstheme="minorBidi"/>
            <w:bCs w:val="0"/>
            <w:kern w:val="2"/>
            <w:szCs w:val="24"/>
            <w14:ligatures w14:val="standardContextual"/>
          </w:rPr>
          <w:tab/>
        </w:r>
        <w:r w:rsidRPr="00AC173C">
          <w:rPr>
            <w:rStyle w:val="Hyperlink"/>
          </w:rPr>
          <w:t>Dispute Processing</w:t>
        </w:r>
        <w:r>
          <w:rPr>
            <w:webHidden/>
          </w:rPr>
          <w:tab/>
        </w:r>
        <w:r>
          <w:rPr>
            <w:webHidden/>
          </w:rPr>
          <w:fldChar w:fldCharType="begin"/>
        </w:r>
        <w:r>
          <w:rPr>
            <w:webHidden/>
          </w:rPr>
          <w:instrText xml:space="preserve"> PAGEREF _Toc213771931 \h </w:instrText>
        </w:r>
        <w:r>
          <w:rPr>
            <w:webHidden/>
          </w:rPr>
        </w:r>
        <w:r>
          <w:rPr>
            <w:webHidden/>
          </w:rPr>
          <w:fldChar w:fldCharType="separate"/>
        </w:r>
        <w:r>
          <w:rPr>
            <w:webHidden/>
          </w:rPr>
          <w:t>206</w:t>
        </w:r>
        <w:r>
          <w:rPr>
            <w:webHidden/>
          </w:rPr>
          <w:fldChar w:fldCharType="end"/>
        </w:r>
      </w:hyperlink>
    </w:p>
    <w:p w14:paraId="2E6F4D0B" w14:textId="737992D0" w:rsidR="00023ECF" w:rsidRDefault="00023ECF">
      <w:pPr>
        <w:pStyle w:val="TOC5"/>
        <w:rPr>
          <w:rFonts w:asciiTheme="minorHAnsi" w:eastAsiaTheme="minorEastAsia" w:hAnsiTheme="minorHAnsi" w:cstheme="minorBidi"/>
          <w:kern w:val="2"/>
          <w:szCs w:val="24"/>
          <w14:ligatures w14:val="standardContextual"/>
        </w:rPr>
      </w:pPr>
      <w:hyperlink w:anchor="_Toc213771932" w:history="1">
        <w:r w:rsidRPr="00AC173C">
          <w:rPr>
            <w:rStyle w:val="Hyperlink"/>
          </w:rPr>
          <w:t>4.5.15.2.1</w:t>
        </w:r>
        <w:r>
          <w:rPr>
            <w:rFonts w:asciiTheme="minorHAnsi" w:eastAsiaTheme="minorEastAsia" w:hAnsiTheme="minorHAnsi" w:cstheme="minorBidi"/>
            <w:kern w:val="2"/>
            <w:szCs w:val="24"/>
            <w14:ligatures w14:val="standardContextual"/>
          </w:rPr>
          <w:tab/>
        </w:r>
        <w:r w:rsidRPr="00AC173C">
          <w:rPr>
            <w:rStyle w:val="Hyperlink"/>
          </w:rPr>
          <w:t>Dispute Status</w:t>
        </w:r>
        <w:r>
          <w:rPr>
            <w:webHidden/>
          </w:rPr>
          <w:tab/>
        </w:r>
        <w:r>
          <w:rPr>
            <w:webHidden/>
          </w:rPr>
          <w:fldChar w:fldCharType="begin"/>
        </w:r>
        <w:r>
          <w:rPr>
            <w:webHidden/>
          </w:rPr>
          <w:instrText xml:space="preserve"> PAGEREF _Toc213771932 \h </w:instrText>
        </w:r>
        <w:r>
          <w:rPr>
            <w:webHidden/>
          </w:rPr>
        </w:r>
        <w:r>
          <w:rPr>
            <w:webHidden/>
          </w:rPr>
          <w:fldChar w:fldCharType="separate"/>
        </w:r>
        <w:r>
          <w:rPr>
            <w:webHidden/>
          </w:rPr>
          <w:t>207</w:t>
        </w:r>
        <w:r>
          <w:rPr>
            <w:webHidden/>
          </w:rPr>
          <w:fldChar w:fldCharType="end"/>
        </w:r>
      </w:hyperlink>
    </w:p>
    <w:p w14:paraId="7EEB766F" w14:textId="5F854C97" w:rsidR="00023ECF" w:rsidRDefault="00023ECF">
      <w:pPr>
        <w:pStyle w:val="TOC3"/>
        <w:rPr>
          <w:rFonts w:asciiTheme="minorHAnsi" w:eastAsiaTheme="minorEastAsia" w:hAnsiTheme="minorHAnsi" w:cstheme="minorBidi"/>
          <w:bCs w:val="0"/>
          <w:kern w:val="2"/>
          <w:szCs w:val="24"/>
          <w14:ligatures w14:val="standardContextual"/>
        </w:rPr>
      </w:pPr>
      <w:hyperlink w:anchor="_Toc213771933" w:history="1">
        <w:r w:rsidRPr="00AC173C">
          <w:rPr>
            <w:rStyle w:val="Hyperlink"/>
          </w:rPr>
          <w:t>4.5.16</w:t>
        </w:r>
        <w:r>
          <w:rPr>
            <w:rFonts w:asciiTheme="minorHAnsi" w:eastAsiaTheme="minorEastAsia" w:hAnsiTheme="minorHAnsi" w:cstheme="minorBidi"/>
            <w:bCs w:val="0"/>
            <w:kern w:val="2"/>
            <w:szCs w:val="24"/>
            <w14:ligatures w14:val="standardContextual"/>
          </w:rPr>
          <w:tab/>
        </w:r>
        <w:r w:rsidRPr="00AC173C">
          <w:rPr>
            <w:rStyle w:val="Hyperlink"/>
          </w:rPr>
          <w:t>Invoice Payment Process</w:t>
        </w:r>
        <w:r>
          <w:rPr>
            <w:webHidden/>
          </w:rPr>
          <w:tab/>
        </w:r>
        <w:r>
          <w:rPr>
            <w:webHidden/>
          </w:rPr>
          <w:fldChar w:fldCharType="begin"/>
        </w:r>
        <w:r>
          <w:rPr>
            <w:webHidden/>
          </w:rPr>
          <w:instrText xml:space="preserve"> PAGEREF _Toc213771933 \h </w:instrText>
        </w:r>
        <w:r>
          <w:rPr>
            <w:webHidden/>
          </w:rPr>
        </w:r>
        <w:r>
          <w:rPr>
            <w:webHidden/>
          </w:rPr>
          <w:fldChar w:fldCharType="separate"/>
        </w:r>
        <w:r>
          <w:rPr>
            <w:webHidden/>
          </w:rPr>
          <w:t>208</w:t>
        </w:r>
        <w:r>
          <w:rPr>
            <w:webHidden/>
          </w:rPr>
          <w:fldChar w:fldCharType="end"/>
        </w:r>
      </w:hyperlink>
    </w:p>
    <w:p w14:paraId="2A2B7F8E" w14:textId="59A3488C" w:rsidR="00023ECF" w:rsidRDefault="00023ECF">
      <w:pPr>
        <w:pStyle w:val="TOC4"/>
        <w:rPr>
          <w:rFonts w:asciiTheme="minorHAnsi" w:eastAsiaTheme="minorEastAsia" w:hAnsiTheme="minorHAnsi" w:cstheme="minorBidi"/>
          <w:bCs w:val="0"/>
          <w:kern w:val="2"/>
          <w:szCs w:val="24"/>
          <w14:ligatures w14:val="standardContextual"/>
        </w:rPr>
      </w:pPr>
      <w:hyperlink w:anchor="_Toc213771934" w:history="1">
        <w:r w:rsidRPr="00AC173C">
          <w:rPr>
            <w:rStyle w:val="Hyperlink"/>
          </w:rPr>
          <w:t>4.5.16.1</w:t>
        </w:r>
        <w:r>
          <w:rPr>
            <w:rFonts w:asciiTheme="minorHAnsi" w:eastAsiaTheme="minorEastAsia" w:hAnsiTheme="minorHAnsi" w:cstheme="minorBidi"/>
            <w:bCs w:val="0"/>
            <w:kern w:val="2"/>
            <w:szCs w:val="24"/>
            <w14:ligatures w14:val="standardContextual"/>
          </w:rPr>
          <w:tab/>
        </w:r>
        <w:r w:rsidRPr="00AC173C">
          <w:rPr>
            <w:rStyle w:val="Hyperlink"/>
          </w:rPr>
          <w:t>Overview of Payment Process</w:t>
        </w:r>
        <w:r>
          <w:rPr>
            <w:webHidden/>
          </w:rPr>
          <w:tab/>
        </w:r>
        <w:r>
          <w:rPr>
            <w:webHidden/>
          </w:rPr>
          <w:fldChar w:fldCharType="begin"/>
        </w:r>
        <w:r>
          <w:rPr>
            <w:webHidden/>
          </w:rPr>
          <w:instrText xml:space="preserve"> PAGEREF _Toc213771934 \h </w:instrText>
        </w:r>
        <w:r>
          <w:rPr>
            <w:webHidden/>
          </w:rPr>
        </w:r>
        <w:r>
          <w:rPr>
            <w:webHidden/>
          </w:rPr>
          <w:fldChar w:fldCharType="separate"/>
        </w:r>
        <w:r>
          <w:rPr>
            <w:webHidden/>
          </w:rPr>
          <w:t>208</w:t>
        </w:r>
        <w:r>
          <w:rPr>
            <w:webHidden/>
          </w:rPr>
          <w:fldChar w:fldCharType="end"/>
        </w:r>
      </w:hyperlink>
    </w:p>
    <w:p w14:paraId="61C92E8B" w14:textId="2472AC1A" w:rsidR="00023ECF" w:rsidRDefault="00023ECF">
      <w:pPr>
        <w:pStyle w:val="TOC4"/>
        <w:rPr>
          <w:rFonts w:asciiTheme="minorHAnsi" w:eastAsiaTheme="minorEastAsia" w:hAnsiTheme="minorHAnsi" w:cstheme="minorBidi"/>
          <w:bCs w:val="0"/>
          <w:kern w:val="2"/>
          <w:szCs w:val="24"/>
          <w14:ligatures w14:val="standardContextual"/>
        </w:rPr>
      </w:pPr>
      <w:hyperlink w:anchor="_Toc213771935" w:history="1">
        <w:r w:rsidRPr="00AC173C">
          <w:rPr>
            <w:rStyle w:val="Hyperlink"/>
          </w:rPr>
          <w:t>4.5.16.2</w:t>
        </w:r>
        <w:r>
          <w:rPr>
            <w:rFonts w:asciiTheme="minorHAnsi" w:eastAsiaTheme="minorEastAsia" w:hAnsiTheme="minorHAnsi" w:cstheme="minorBidi"/>
            <w:bCs w:val="0"/>
            <w:kern w:val="2"/>
            <w:szCs w:val="24"/>
            <w14:ligatures w14:val="standardContextual"/>
          </w:rPr>
          <w:tab/>
        </w:r>
        <w:r w:rsidRPr="00AC173C">
          <w:rPr>
            <w:rStyle w:val="Hyperlink"/>
          </w:rPr>
          <w:t>Invoice Payments Due to the Market Operator</w:t>
        </w:r>
        <w:r>
          <w:rPr>
            <w:webHidden/>
          </w:rPr>
          <w:tab/>
        </w:r>
        <w:r>
          <w:rPr>
            <w:webHidden/>
          </w:rPr>
          <w:fldChar w:fldCharType="begin"/>
        </w:r>
        <w:r>
          <w:rPr>
            <w:webHidden/>
          </w:rPr>
          <w:instrText xml:space="preserve"> PAGEREF _Toc213771935 \h </w:instrText>
        </w:r>
        <w:r>
          <w:rPr>
            <w:webHidden/>
          </w:rPr>
        </w:r>
        <w:r>
          <w:rPr>
            <w:webHidden/>
          </w:rPr>
          <w:fldChar w:fldCharType="separate"/>
        </w:r>
        <w:r>
          <w:rPr>
            <w:webHidden/>
          </w:rPr>
          <w:t>208</w:t>
        </w:r>
        <w:r>
          <w:rPr>
            <w:webHidden/>
          </w:rPr>
          <w:fldChar w:fldCharType="end"/>
        </w:r>
      </w:hyperlink>
    </w:p>
    <w:p w14:paraId="7E0B8107" w14:textId="052DAC7C" w:rsidR="00023ECF" w:rsidRDefault="00023ECF">
      <w:pPr>
        <w:pStyle w:val="TOC4"/>
        <w:rPr>
          <w:rFonts w:asciiTheme="minorHAnsi" w:eastAsiaTheme="minorEastAsia" w:hAnsiTheme="minorHAnsi" w:cstheme="minorBidi"/>
          <w:bCs w:val="0"/>
          <w:kern w:val="2"/>
          <w:szCs w:val="24"/>
          <w14:ligatures w14:val="standardContextual"/>
        </w:rPr>
      </w:pPr>
      <w:hyperlink w:anchor="_Toc213771936" w:history="1">
        <w:r w:rsidRPr="00AC173C">
          <w:rPr>
            <w:rStyle w:val="Hyperlink"/>
          </w:rPr>
          <w:t>4.5.16.3</w:t>
        </w:r>
        <w:r>
          <w:rPr>
            <w:rFonts w:asciiTheme="minorHAnsi" w:eastAsiaTheme="minorEastAsia" w:hAnsiTheme="minorHAnsi" w:cstheme="minorBidi"/>
            <w:bCs w:val="0"/>
            <w:kern w:val="2"/>
            <w:szCs w:val="24"/>
            <w14:ligatures w14:val="standardContextual"/>
          </w:rPr>
          <w:tab/>
        </w:r>
        <w:r w:rsidRPr="00AC173C">
          <w:rPr>
            <w:rStyle w:val="Hyperlink"/>
          </w:rPr>
          <w:t>Market Operator Payments to Invoice Recipients</w:t>
        </w:r>
        <w:r>
          <w:rPr>
            <w:webHidden/>
          </w:rPr>
          <w:tab/>
        </w:r>
        <w:r>
          <w:rPr>
            <w:webHidden/>
          </w:rPr>
          <w:fldChar w:fldCharType="begin"/>
        </w:r>
        <w:r>
          <w:rPr>
            <w:webHidden/>
          </w:rPr>
          <w:instrText xml:space="preserve"> PAGEREF _Toc213771936 \h </w:instrText>
        </w:r>
        <w:r>
          <w:rPr>
            <w:webHidden/>
          </w:rPr>
        </w:r>
        <w:r>
          <w:rPr>
            <w:webHidden/>
          </w:rPr>
          <w:fldChar w:fldCharType="separate"/>
        </w:r>
        <w:r>
          <w:rPr>
            <w:webHidden/>
          </w:rPr>
          <w:t>208</w:t>
        </w:r>
        <w:r>
          <w:rPr>
            <w:webHidden/>
          </w:rPr>
          <w:fldChar w:fldCharType="end"/>
        </w:r>
      </w:hyperlink>
    </w:p>
    <w:p w14:paraId="1A61F763" w14:textId="3509513E" w:rsidR="00023ECF" w:rsidRDefault="00023ECF">
      <w:pPr>
        <w:pStyle w:val="TOC3"/>
        <w:rPr>
          <w:rFonts w:asciiTheme="minorHAnsi" w:eastAsiaTheme="minorEastAsia" w:hAnsiTheme="minorHAnsi" w:cstheme="minorBidi"/>
          <w:bCs w:val="0"/>
          <w:kern w:val="2"/>
          <w:szCs w:val="24"/>
          <w14:ligatures w14:val="standardContextual"/>
        </w:rPr>
      </w:pPr>
      <w:hyperlink w:anchor="_Toc213771937" w:history="1">
        <w:r w:rsidRPr="00AC173C">
          <w:rPr>
            <w:rStyle w:val="Hyperlink"/>
            <w:b/>
          </w:rPr>
          <w:t>4.5.17 Markets+ Administration Service</w:t>
        </w:r>
        <w:r>
          <w:rPr>
            <w:webHidden/>
          </w:rPr>
          <w:tab/>
        </w:r>
        <w:r>
          <w:rPr>
            <w:webHidden/>
          </w:rPr>
          <w:fldChar w:fldCharType="begin"/>
        </w:r>
        <w:r>
          <w:rPr>
            <w:webHidden/>
          </w:rPr>
          <w:instrText xml:space="preserve"> PAGEREF _Toc213771937 \h </w:instrText>
        </w:r>
        <w:r>
          <w:rPr>
            <w:webHidden/>
          </w:rPr>
        </w:r>
        <w:r>
          <w:rPr>
            <w:webHidden/>
          </w:rPr>
          <w:fldChar w:fldCharType="separate"/>
        </w:r>
        <w:r>
          <w:rPr>
            <w:webHidden/>
          </w:rPr>
          <w:t>209</w:t>
        </w:r>
        <w:r>
          <w:rPr>
            <w:webHidden/>
          </w:rPr>
          <w:fldChar w:fldCharType="end"/>
        </w:r>
      </w:hyperlink>
    </w:p>
    <w:p w14:paraId="3B5C3E99" w14:textId="2F9E4E54" w:rsidR="00023ECF" w:rsidRDefault="00023ECF">
      <w:pPr>
        <w:pStyle w:val="TOC1"/>
        <w:rPr>
          <w:rFonts w:asciiTheme="minorHAnsi" w:eastAsiaTheme="minorEastAsia" w:hAnsiTheme="minorHAnsi" w:cstheme="minorBidi"/>
          <w:b w:val="0"/>
          <w:kern w:val="2"/>
          <w:szCs w:val="24"/>
          <w14:ligatures w14:val="standardContextual"/>
        </w:rPr>
      </w:pPr>
      <w:hyperlink w:anchor="_Toc213771938" w:history="1">
        <w:r w:rsidRPr="00AC173C">
          <w:rPr>
            <w:rStyle w:val="Hyperlink"/>
          </w:rPr>
          <w:t>5</w:t>
        </w:r>
        <w:r>
          <w:rPr>
            <w:rFonts w:asciiTheme="minorHAnsi" w:eastAsiaTheme="minorEastAsia" w:hAnsiTheme="minorHAnsi" w:cstheme="minorBidi"/>
            <w:b w:val="0"/>
            <w:kern w:val="2"/>
            <w:szCs w:val="24"/>
            <w14:ligatures w14:val="standardContextual"/>
          </w:rPr>
          <w:tab/>
        </w:r>
        <w:r w:rsidRPr="00AC173C">
          <w:rPr>
            <w:rStyle w:val="Hyperlink"/>
          </w:rPr>
          <w:t>Greenhouse Gas Pricing Programs &amp; GHG Tracking and Reporting</w:t>
        </w:r>
        <w:r>
          <w:rPr>
            <w:webHidden/>
          </w:rPr>
          <w:tab/>
        </w:r>
        <w:r>
          <w:rPr>
            <w:webHidden/>
          </w:rPr>
          <w:fldChar w:fldCharType="begin"/>
        </w:r>
        <w:r>
          <w:rPr>
            <w:webHidden/>
          </w:rPr>
          <w:instrText xml:space="preserve"> PAGEREF _Toc213771938 \h </w:instrText>
        </w:r>
        <w:r>
          <w:rPr>
            <w:webHidden/>
          </w:rPr>
        </w:r>
        <w:r>
          <w:rPr>
            <w:webHidden/>
          </w:rPr>
          <w:fldChar w:fldCharType="separate"/>
        </w:r>
        <w:r>
          <w:rPr>
            <w:webHidden/>
          </w:rPr>
          <w:t>210</w:t>
        </w:r>
        <w:r>
          <w:rPr>
            <w:webHidden/>
          </w:rPr>
          <w:fldChar w:fldCharType="end"/>
        </w:r>
      </w:hyperlink>
    </w:p>
    <w:p w14:paraId="5CDA3ECF" w14:textId="2E2A0A9F" w:rsidR="00023ECF" w:rsidRDefault="00023ECF">
      <w:pPr>
        <w:pStyle w:val="TOC2"/>
        <w:rPr>
          <w:rFonts w:asciiTheme="minorHAnsi" w:eastAsiaTheme="minorEastAsia" w:hAnsiTheme="minorHAnsi" w:cstheme="minorBidi"/>
          <w:bCs w:val="0"/>
          <w:kern w:val="2"/>
          <w:szCs w:val="24"/>
          <w14:ligatures w14:val="standardContextual"/>
        </w:rPr>
      </w:pPr>
      <w:hyperlink w:anchor="_Toc213771939" w:history="1">
        <w:r w:rsidRPr="00AC173C">
          <w:rPr>
            <w:rStyle w:val="Hyperlink"/>
          </w:rPr>
          <w:t>5.1</w:t>
        </w:r>
        <w:r>
          <w:rPr>
            <w:rFonts w:asciiTheme="minorHAnsi" w:eastAsiaTheme="minorEastAsia" w:hAnsiTheme="minorHAnsi" w:cstheme="minorBidi"/>
            <w:bCs w:val="0"/>
            <w:kern w:val="2"/>
            <w:szCs w:val="24"/>
            <w14:ligatures w14:val="standardContextual"/>
          </w:rPr>
          <w:tab/>
        </w:r>
        <w:r w:rsidRPr="00AC173C">
          <w:rPr>
            <w:rStyle w:val="Hyperlink"/>
          </w:rPr>
          <w:t>Resource Types Supplying Load in GHG Pricing Zones</w:t>
        </w:r>
        <w:r>
          <w:rPr>
            <w:webHidden/>
          </w:rPr>
          <w:tab/>
        </w:r>
        <w:r>
          <w:rPr>
            <w:webHidden/>
          </w:rPr>
          <w:fldChar w:fldCharType="begin"/>
        </w:r>
        <w:r>
          <w:rPr>
            <w:webHidden/>
          </w:rPr>
          <w:instrText xml:space="preserve"> PAGEREF _Toc213771939 \h </w:instrText>
        </w:r>
        <w:r>
          <w:rPr>
            <w:webHidden/>
          </w:rPr>
        </w:r>
        <w:r>
          <w:rPr>
            <w:webHidden/>
          </w:rPr>
          <w:fldChar w:fldCharType="separate"/>
        </w:r>
        <w:r>
          <w:rPr>
            <w:webHidden/>
          </w:rPr>
          <w:t>210</w:t>
        </w:r>
        <w:r>
          <w:rPr>
            <w:webHidden/>
          </w:rPr>
          <w:fldChar w:fldCharType="end"/>
        </w:r>
      </w:hyperlink>
    </w:p>
    <w:p w14:paraId="3BA87320" w14:textId="24E51703" w:rsidR="00023ECF" w:rsidRDefault="00023ECF">
      <w:pPr>
        <w:pStyle w:val="TOC3"/>
        <w:rPr>
          <w:rFonts w:asciiTheme="minorHAnsi" w:eastAsiaTheme="minorEastAsia" w:hAnsiTheme="minorHAnsi" w:cstheme="minorBidi"/>
          <w:bCs w:val="0"/>
          <w:kern w:val="2"/>
          <w:szCs w:val="24"/>
          <w14:ligatures w14:val="standardContextual"/>
        </w:rPr>
      </w:pPr>
      <w:hyperlink w:anchor="_Toc213771940" w:history="1">
        <w:r w:rsidRPr="00AC173C">
          <w:rPr>
            <w:rStyle w:val="Hyperlink"/>
          </w:rPr>
          <w:t>5.1.1</w:t>
        </w:r>
        <w:r>
          <w:rPr>
            <w:rFonts w:asciiTheme="minorHAnsi" w:eastAsiaTheme="minorEastAsia" w:hAnsiTheme="minorHAnsi" w:cstheme="minorBidi"/>
            <w:bCs w:val="0"/>
            <w:kern w:val="2"/>
            <w:szCs w:val="24"/>
            <w14:ligatures w14:val="standardContextual"/>
          </w:rPr>
          <w:tab/>
        </w:r>
        <w:r w:rsidRPr="00AC173C">
          <w:rPr>
            <w:rStyle w:val="Hyperlink"/>
          </w:rPr>
          <w:t>Internal GHG Resource</w:t>
        </w:r>
        <w:r>
          <w:rPr>
            <w:webHidden/>
          </w:rPr>
          <w:tab/>
        </w:r>
        <w:r>
          <w:rPr>
            <w:webHidden/>
          </w:rPr>
          <w:fldChar w:fldCharType="begin"/>
        </w:r>
        <w:r>
          <w:rPr>
            <w:webHidden/>
          </w:rPr>
          <w:instrText xml:space="preserve"> PAGEREF _Toc213771940 \h </w:instrText>
        </w:r>
        <w:r>
          <w:rPr>
            <w:webHidden/>
          </w:rPr>
        </w:r>
        <w:r>
          <w:rPr>
            <w:webHidden/>
          </w:rPr>
          <w:fldChar w:fldCharType="separate"/>
        </w:r>
        <w:r>
          <w:rPr>
            <w:webHidden/>
          </w:rPr>
          <w:t>211</w:t>
        </w:r>
        <w:r>
          <w:rPr>
            <w:webHidden/>
          </w:rPr>
          <w:fldChar w:fldCharType="end"/>
        </w:r>
      </w:hyperlink>
    </w:p>
    <w:p w14:paraId="485569FE" w14:textId="26BD79F6" w:rsidR="00023ECF" w:rsidRDefault="00023ECF">
      <w:pPr>
        <w:pStyle w:val="TOC3"/>
        <w:rPr>
          <w:rFonts w:asciiTheme="minorHAnsi" w:eastAsiaTheme="minorEastAsia" w:hAnsiTheme="minorHAnsi" w:cstheme="minorBidi"/>
          <w:bCs w:val="0"/>
          <w:kern w:val="2"/>
          <w:szCs w:val="24"/>
          <w14:ligatures w14:val="standardContextual"/>
        </w:rPr>
      </w:pPr>
      <w:hyperlink w:anchor="_Toc213771941" w:history="1">
        <w:r w:rsidRPr="00AC173C">
          <w:rPr>
            <w:rStyle w:val="Hyperlink"/>
          </w:rPr>
          <w:t>5.1.2</w:t>
        </w:r>
        <w:r>
          <w:rPr>
            <w:rFonts w:asciiTheme="minorHAnsi" w:eastAsiaTheme="minorEastAsia" w:hAnsiTheme="minorHAnsi" w:cstheme="minorBidi"/>
            <w:bCs w:val="0"/>
            <w:kern w:val="2"/>
            <w:szCs w:val="24"/>
            <w14:ligatures w14:val="standardContextual"/>
          </w:rPr>
          <w:tab/>
        </w:r>
        <w:r w:rsidRPr="00AC173C">
          <w:rPr>
            <w:rStyle w:val="Hyperlink"/>
          </w:rPr>
          <w:t>Specified Source Resource – Type 1A Energy</w:t>
        </w:r>
        <w:r>
          <w:rPr>
            <w:webHidden/>
          </w:rPr>
          <w:tab/>
        </w:r>
        <w:r>
          <w:rPr>
            <w:webHidden/>
          </w:rPr>
          <w:fldChar w:fldCharType="begin"/>
        </w:r>
        <w:r>
          <w:rPr>
            <w:webHidden/>
          </w:rPr>
          <w:instrText xml:space="preserve"> PAGEREF _Toc213771941 \h </w:instrText>
        </w:r>
        <w:r>
          <w:rPr>
            <w:webHidden/>
          </w:rPr>
        </w:r>
        <w:r>
          <w:rPr>
            <w:webHidden/>
          </w:rPr>
          <w:fldChar w:fldCharType="separate"/>
        </w:r>
        <w:r>
          <w:rPr>
            <w:webHidden/>
          </w:rPr>
          <w:t>211</w:t>
        </w:r>
        <w:r>
          <w:rPr>
            <w:webHidden/>
          </w:rPr>
          <w:fldChar w:fldCharType="end"/>
        </w:r>
      </w:hyperlink>
    </w:p>
    <w:p w14:paraId="0FD0072C" w14:textId="6CD5538F" w:rsidR="00023ECF" w:rsidRDefault="00023ECF">
      <w:pPr>
        <w:pStyle w:val="TOC3"/>
        <w:rPr>
          <w:rFonts w:asciiTheme="minorHAnsi" w:eastAsiaTheme="minorEastAsia" w:hAnsiTheme="minorHAnsi" w:cstheme="minorBidi"/>
          <w:bCs w:val="0"/>
          <w:kern w:val="2"/>
          <w:szCs w:val="24"/>
          <w14:ligatures w14:val="standardContextual"/>
        </w:rPr>
      </w:pPr>
      <w:hyperlink w:anchor="_Toc213771942" w:history="1">
        <w:r w:rsidRPr="00AC173C">
          <w:rPr>
            <w:rStyle w:val="Hyperlink"/>
          </w:rPr>
          <w:t>5.1.3</w:t>
        </w:r>
        <w:r>
          <w:rPr>
            <w:rFonts w:asciiTheme="minorHAnsi" w:eastAsiaTheme="minorEastAsia" w:hAnsiTheme="minorHAnsi" w:cstheme="minorBidi"/>
            <w:bCs w:val="0"/>
            <w:kern w:val="2"/>
            <w:szCs w:val="24"/>
            <w14:ligatures w14:val="standardContextual"/>
          </w:rPr>
          <w:tab/>
        </w:r>
        <w:r w:rsidRPr="00AC173C">
          <w:rPr>
            <w:rStyle w:val="Hyperlink"/>
          </w:rPr>
          <w:t>Specified Source Resource – Type 1B Energy</w:t>
        </w:r>
        <w:r>
          <w:rPr>
            <w:webHidden/>
          </w:rPr>
          <w:tab/>
        </w:r>
        <w:r>
          <w:rPr>
            <w:webHidden/>
          </w:rPr>
          <w:fldChar w:fldCharType="begin"/>
        </w:r>
        <w:r>
          <w:rPr>
            <w:webHidden/>
          </w:rPr>
          <w:instrText xml:space="preserve"> PAGEREF _Toc213771942 \h </w:instrText>
        </w:r>
        <w:r>
          <w:rPr>
            <w:webHidden/>
          </w:rPr>
        </w:r>
        <w:r>
          <w:rPr>
            <w:webHidden/>
          </w:rPr>
          <w:fldChar w:fldCharType="separate"/>
        </w:r>
        <w:r>
          <w:rPr>
            <w:webHidden/>
          </w:rPr>
          <w:t>212</w:t>
        </w:r>
        <w:r>
          <w:rPr>
            <w:webHidden/>
          </w:rPr>
          <w:fldChar w:fldCharType="end"/>
        </w:r>
      </w:hyperlink>
    </w:p>
    <w:p w14:paraId="3AAFEAEB" w14:textId="70017E42" w:rsidR="00023ECF" w:rsidRDefault="00023ECF">
      <w:pPr>
        <w:pStyle w:val="TOC3"/>
        <w:rPr>
          <w:rFonts w:asciiTheme="minorHAnsi" w:eastAsiaTheme="minorEastAsia" w:hAnsiTheme="minorHAnsi" w:cstheme="minorBidi"/>
          <w:bCs w:val="0"/>
          <w:kern w:val="2"/>
          <w:szCs w:val="24"/>
          <w14:ligatures w14:val="standardContextual"/>
        </w:rPr>
      </w:pPr>
      <w:hyperlink w:anchor="_Toc213771943" w:history="1">
        <w:r w:rsidRPr="00AC173C">
          <w:rPr>
            <w:rStyle w:val="Hyperlink"/>
          </w:rPr>
          <w:t>5.1.4</w:t>
        </w:r>
        <w:r>
          <w:rPr>
            <w:rFonts w:asciiTheme="minorHAnsi" w:eastAsiaTheme="minorEastAsia" w:hAnsiTheme="minorHAnsi" w:cstheme="minorBidi"/>
            <w:bCs w:val="0"/>
            <w:kern w:val="2"/>
            <w:szCs w:val="24"/>
            <w14:ligatures w14:val="standardContextual"/>
          </w:rPr>
          <w:tab/>
        </w:r>
        <w:r w:rsidRPr="00AC173C">
          <w:rPr>
            <w:rStyle w:val="Hyperlink"/>
          </w:rPr>
          <w:t>Specified Source Resource – Type 2 Energy</w:t>
        </w:r>
        <w:r>
          <w:rPr>
            <w:webHidden/>
          </w:rPr>
          <w:tab/>
        </w:r>
        <w:r>
          <w:rPr>
            <w:webHidden/>
          </w:rPr>
          <w:fldChar w:fldCharType="begin"/>
        </w:r>
        <w:r>
          <w:rPr>
            <w:webHidden/>
          </w:rPr>
          <w:instrText xml:space="preserve"> PAGEREF _Toc213771943 \h </w:instrText>
        </w:r>
        <w:r>
          <w:rPr>
            <w:webHidden/>
          </w:rPr>
        </w:r>
        <w:r>
          <w:rPr>
            <w:webHidden/>
          </w:rPr>
          <w:fldChar w:fldCharType="separate"/>
        </w:r>
        <w:r>
          <w:rPr>
            <w:webHidden/>
          </w:rPr>
          <w:t>212</w:t>
        </w:r>
        <w:r>
          <w:rPr>
            <w:webHidden/>
          </w:rPr>
          <w:fldChar w:fldCharType="end"/>
        </w:r>
      </w:hyperlink>
    </w:p>
    <w:p w14:paraId="09D3FB3D" w14:textId="61BCC314" w:rsidR="00023ECF" w:rsidRDefault="00023ECF">
      <w:pPr>
        <w:pStyle w:val="TOC3"/>
        <w:rPr>
          <w:rFonts w:asciiTheme="minorHAnsi" w:eastAsiaTheme="minorEastAsia" w:hAnsiTheme="minorHAnsi" w:cstheme="minorBidi"/>
          <w:bCs w:val="0"/>
          <w:kern w:val="2"/>
          <w:szCs w:val="24"/>
          <w14:ligatures w14:val="standardContextual"/>
        </w:rPr>
      </w:pPr>
      <w:hyperlink w:anchor="_Toc213771944" w:history="1">
        <w:r w:rsidRPr="00AC173C">
          <w:rPr>
            <w:rStyle w:val="Hyperlink"/>
          </w:rPr>
          <w:t>5.1.5</w:t>
        </w:r>
        <w:r>
          <w:rPr>
            <w:rFonts w:asciiTheme="minorHAnsi" w:eastAsiaTheme="minorEastAsia" w:hAnsiTheme="minorHAnsi" w:cstheme="minorBidi"/>
            <w:bCs w:val="0"/>
            <w:kern w:val="2"/>
            <w:szCs w:val="24"/>
            <w14:ligatures w14:val="standardContextual"/>
          </w:rPr>
          <w:tab/>
        </w:r>
        <w:r w:rsidRPr="00AC173C">
          <w:rPr>
            <w:rStyle w:val="Hyperlink"/>
          </w:rPr>
          <w:t>Specified Source Resource – Simultaneous Type 1B/Type 2 Energy</w:t>
        </w:r>
        <w:r>
          <w:rPr>
            <w:webHidden/>
          </w:rPr>
          <w:tab/>
        </w:r>
        <w:r>
          <w:rPr>
            <w:webHidden/>
          </w:rPr>
          <w:fldChar w:fldCharType="begin"/>
        </w:r>
        <w:r>
          <w:rPr>
            <w:webHidden/>
          </w:rPr>
          <w:instrText xml:space="preserve"> PAGEREF _Toc213771944 \h </w:instrText>
        </w:r>
        <w:r>
          <w:rPr>
            <w:webHidden/>
          </w:rPr>
        </w:r>
        <w:r>
          <w:rPr>
            <w:webHidden/>
          </w:rPr>
          <w:fldChar w:fldCharType="separate"/>
        </w:r>
        <w:r>
          <w:rPr>
            <w:webHidden/>
          </w:rPr>
          <w:t>213</w:t>
        </w:r>
        <w:r>
          <w:rPr>
            <w:webHidden/>
          </w:rPr>
          <w:fldChar w:fldCharType="end"/>
        </w:r>
      </w:hyperlink>
    </w:p>
    <w:p w14:paraId="2459F9AD" w14:textId="64313F91" w:rsidR="00023ECF" w:rsidRDefault="00023ECF">
      <w:pPr>
        <w:pStyle w:val="TOC3"/>
        <w:rPr>
          <w:rFonts w:asciiTheme="minorHAnsi" w:eastAsiaTheme="minorEastAsia" w:hAnsiTheme="minorHAnsi" w:cstheme="minorBidi"/>
          <w:bCs w:val="0"/>
          <w:kern w:val="2"/>
          <w:szCs w:val="24"/>
          <w14:ligatures w14:val="standardContextual"/>
        </w:rPr>
      </w:pPr>
      <w:hyperlink w:anchor="_Toc213771945" w:history="1">
        <w:r w:rsidRPr="00AC173C">
          <w:rPr>
            <w:rStyle w:val="Hyperlink"/>
          </w:rPr>
          <w:t>5.1.6</w:t>
        </w:r>
        <w:r>
          <w:rPr>
            <w:rFonts w:asciiTheme="minorHAnsi" w:eastAsiaTheme="minorEastAsia" w:hAnsiTheme="minorHAnsi" w:cstheme="minorBidi"/>
            <w:bCs w:val="0"/>
            <w:kern w:val="2"/>
            <w:szCs w:val="24"/>
            <w14:ligatures w14:val="standardContextual"/>
          </w:rPr>
          <w:tab/>
        </w:r>
        <w:r w:rsidRPr="00AC173C">
          <w:rPr>
            <w:rStyle w:val="Hyperlink"/>
          </w:rPr>
          <w:t>Specified Source Resource Modeling</w:t>
        </w:r>
        <w:r>
          <w:rPr>
            <w:webHidden/>
          </w:rPr>
          <w:tab/>
        </w:r>
        <w:r>
          <w:rPr>
            <w:webHidden/>
          </w:rPr>
          <w:fldChar w:fldCharType="begin"/>
        </w:r>
        <w:r>
          <w:rPr>
            <w:webHidden/>
          </w:rPr>
          <w:instrText xml:space="preserve"> PAGEREF _Toc213771945 \h </w:instrText>
        </w:r>
        <w:r>
          <w:rPr>
            <w:webHidden/>
          </w:rPr>
        </w:r>
        <w:r>
          <w:rPr>
            <w:webHidden/>
          </w:rPr>
          <w:fldChar w:fldCharType="separate"/>
        </w:r>
        <w:r>
          <w:rPr>
            <w:webHidden/>
          </w:rPr>
          <w:t>213</w:t>
        </w:r>
        <w:r>
          <w:rPr>
            <w:webHidden/>
          </w:rPr>
          <w:fldChar w:fldCharType="end"/>
        </w:r>
      </w:hyperlink>
    </w:p>
    <w:p w14:paraId="2ACC2343" w14:textId="24BDFC1D" w:rsidR="00023ECF" w:rsidRDefault="00023ECF">
      <w:pPr>
        <w:pStyle w:val="TOC4"/>
        <w:rPr>
          <w:rFonts w:asciiTheme="minorHAnsi" w:eastAsiaTheme="minorEastAsia" w:hAnsiTheme="minorHAnsi" w:cstheme="minorBidi"/>
          <w:bCs w:val="0"/>
          <w:kern w:val="2"/>
          <w:szCs w:val="24"/>
          <w14:ligatures w14:val="standardContextual"/>
        </w:rPr>
      </w:pPr>
      <w:hyperlink w:anchor="_Toc213771947" w:history="1">
        <w:r w:rsidRPr="00AC173C">
          <w:rPr>
            <w:rStyle w:val="Hyperlink"/>
          </w:rPr>
          <w:t>5.1.6.1</w:t>
        </w:r>
        <w:r>
          <w:rPr>
            <w:rFonts w:asciiTheme="minorHAnsi" w:eastAsiaTheme="minorEastAsia" w:hAnsiTheme="minorHAnsi" w:cstheme="minorBidi"/>
            <w:bCs w:val="0"/>
            <w:kern w:val="2"/>
            <w:szCs w:val="24"/>
            <w14:ligatures w14:val="standardContextual"/>
          </w:rPr>
          <w:tab/>
        </w:r>
        <w:r w:rsidRPr="00AC173C">
          <w:rPr>
            <w:rStyle w:val="Hyperlink"/>
          </w:rPr>
          <w:t>Type 1A Energy</w:t>
        </w:r>
        <w:r>
          <w:rPr>
            <w:webHidden/>
          </w:rPr>
          <w:tab/>
        </w:r>
        <w:r>
          <w:rPr>
            <w:webHidden/>
          </w:rPr>
          <w:fldChar w:fldCharType="begin"/>
        </w:r>
        <w:r>
          <w:rPr>
            <w:webHidden/>
          </w:rPr>
          <w:instrText xml:space="preserve"> PAGEREF _Toc213771947 \h </w:instrText>
        </w:r>
        <w:r>
          <w:rPr>
            <w:webHidden/>
          </w:rPr>
        </w:r>
        <w:r>
          <w:rPr>
            <w:webHidden/>
          </w:rPr>
          <w:fldChar w:fldCharType="separate"/>
        </w:r>
        <w:r>
          <w:rPr>
            <w:webHidden/>
          </w:rPr>
          <w:t>213</w:t>
        </w:r>
        <w:r>
          <w:rPr>
            <w:webHidden/>
          </w:rPr>
          <w:fldChar w:fldCharType="end"/>
        </w:r>
      </w:hyperlink>
    </w:p>
    <w:p w14:paraId="74718AC4" w14:textId="187F99CA" w:rsidR="00023ECF" w:rsidRDefault="00023ECF">
      <w:pPr>
        <w:pStyle w:val="TOC4"/>
        <w:rPr>
          <w:rFonts w:asciiTheme="minorHAnsi" w:eastAsiaTheme="minorEastAsia" w:hAnsiTheme="minorHAnsi" w:cstheme="minorBidi"/>
          <w:bCs w:val="0"/>
          <w:kern w:val="2"/>
          <w:szCs w:val="24"/>
          <w14:ligatures w14:val="standardContextual"/>
        </w:rPr>
      </w:pPr>
      <w:hyperlink w:anchor="_Toc213771948" w:history="1">
        <w:r w:rsidRPr="00AC173C">
          <w:rPr>
            <w:rStyle w:val="Hyperlink"/>
          </w:rPr>
          <w:t>5.1.6.2</w:t>
        </w:r>
        <w:r>
          <w:rPr>
            <w:rFonts w:asciiTheme="minorHAnsi" w:eastAsiaTheme="minorEastAsia" w:hAnsiTheme="minorHAnsi" w:cstheme="minorBidi"/>
            <w:bCs w:val="0"/>
            <w:kern w:val="2"/>
            <w:szCs w:val="24"/>
            <w14:ligatures w14:val="standardContextual"/>
          </w:rPr>
          <w:tab/>
        </w:r>
        <w:r w:rsidRPr="00AC173C">
          <w:rPr>
            <w:rStyle w:val="Hyperlink"/>
          </w:rPr>
          <w:t>Type 1B/Type 2 Energy</w:t>
        </w:r>
        <w:r>
          <w:rPr>
            <w:webHidden/>
          </w:rPr>
          <w:tab/>
        </w:r>
        <w:r>
          <w:rPr>
            <w:webHidden/>
          </w:rPr>
          <w:fldChar w:fldCharType="begin"/>
        </w:r>
        <w:r>
          <w:rPr>
            <w:webHidden/>
          </w:rPr>
          <w:instrText xml:space="preserve"> PAGEREF _Toc213771948 \h </w:instrText>
        </w:r>
        <w:r>
          <w:rPr>
            <w:webHidden/>
          </w:rPr>
        </w:r>
        <w:r>
          <w:rPr>
            <w:webHidden/>
          </w:rPr>
          <w:fldChar w:fldCharType="separate"/>
        </w:r>
        <w:r>
          <w:rPr>
            <w:webHidden/>
          </w:rPr>
          <w:t>215</w:t>
        </w:r>
        <w:r>
          <w:rPr>
            <w:webHidden/>
          </w:rPr>
          <w:fldChar w:fldCharType="end"/>
        </w:r>
      </w:hyperlink>
    </w:p>
    <w:p w14:paraId="42E581B5" w14:textId="74B7C052" w:rsidR="00023ECF" w:rsidRDefault="00023ECF">
      <w:pPr>
        <w:pStyle w:val="TOC3"/>
        <w:rPr>
          <w:rFonts w:asciiTheme="minorHAnsi" w:eastAsiaTheme="minorEastAsia" w:hAnsiTheme="minorHAnsi" w:cstheme="minorBidi"/>
          <w:bCs w:val="0"/>
          <w:kern w:val="2"/>
          <w:szCs w:val="24"/>
          <w14:ligatures w14:val="standardContextual"/>
        </w:rPr>
      </w:pPr>
      <w:hyperlink w:anchor="_Toc213771949" w:history="1">
        <w:r w:rsidRPr="00AC173C">
          <w:rPr>
            <w:rStyle w:val="Hyperlink"/>
          </w:rPr>
          <w:t>5.1.7</w:t>
        </w:r>
        <w:r>
          <w:rPr>
            <w:rFonts w:asciiTheme="minorHAnsi" w:eastAsiaTheme="minorEastAsia" w:hAnsiTheme="minorHAnsi" w:cstheme="minorBidi"/>
            <w:bCs w:val="0"/>
            <w:kern w:val="2"/>
            <w:szCs w:val="24"/>
            <w14:ligatures w14:val="standardContextual"/>
          </w:rPr>
          <w:tab/>
        </w:r>
        <w:r w:rsidRPr="00AC173C">
          <w:rPr>
            <w:rStyle w:val="Hyperlink"/>
          </w:rPr>
          <w:t>Reserved for Future Use</w:t>
        </w:r>
        <w:r>
          <w:rPr>
            <w:webHidden/>
          </w:rPr>
          <w:tab/>
        </w:r>
        <w:r>
          <w:rPr>
            <w:webHidden/>
          </w:rPr>
          <w:fldChar w:fldCharType="begin"/>
        </w:r>
        <w:r>
          <w:rPr>
            <w:webHidden/>
          </w:rPr>
          <w:instrText xml:space="preserve"> PAGEREF _Toc213771949 \h </w:instrText>
        </w:r>
        <w:r>
          <w:rPr>
            <w:webHidden/>
          </w:rPr>
        </w:r>
        <w:r>
          <w:rPr>
            <w:webHidden/>
          </w:rPr>
          <w:fldChar w:fldCharType="separate"/>
        </w:r>
        <w:r>
          <w:rPr>
            <w:webHidden/>
          </w:rPr>
          <w:t>216</w:t>
        </w:r>
        <w:r>
          <w:rPr>
            <w:webHidden/>
          </w:rPr>
          <w:fldChar w:fldCharType="end"/>
        </w:r>
      </w:hyperlink>
    </w:p>
    <w:p w14:paraId="79ADC402" w14:textId="3E80C693" w:rsidR="00023ECF" w:rsidRDefault="00023ECF">
      <w:pPr>
        <w:pStyle w:val="TOC3"/>
        <w:rPr>
          <w:rFonts w:asciiTheme="minorHAnsi" w:eastAsiaTheme="minorEastAsia" w:hAnsiTheme="minorHAnsi" w:cstheme="minorBidi"/>
          <w:bCs w:val="0"/>
          <w:kern w:val="2"/>
          <w:szCs w:val="24"/>
          <w14:ligatures w14:val="standardContextual"/>
        </w:rPr>
      </w:pPr>
      <w:hyperlink w:anchor="_Toc213771956" w:history="1">
        <w:r w:rsidRPr="00AC173C">
          <w:rPr>
            <w:rStyle w:val="Hyperlink"/>
          </w:rPr>
          <w:t>5.1.8</w:t>
        </w:r>
        <w:r>
          <w:rPr>
            <w:rFonts w:asciiTheme="minorHAnsi" w:eastAsiaTheme="minorEastAsia" w:hAnsiTheme="minorHAnsi" w:cstheme="minorBidi"/>
            <w:bCs w:val="0"/>
            <w:kern w:val="2"/>
            <w:szCs w:val="24"/>
            <w14:ligatures w14:val="standardContextual"/>
          </w:rPr>
          <w:tab/>
        </w:r>
        <w:r w:rsidRPr="00AC173C">
          <w:rPr>
            <w:rStyle w:val="Hyperlink"/>
          </w:rPr>
          <w:t>Reserved for Future Use</w:t>
        </w:r>
        <w:r>
          <w:rPr>
            <w:webHidden/>
          </w:rPr>
          <w:tab/>
        </w:r>
        <w:r>
          <w:rPr>
            <w:webHidden/>
          </w:rPr>
          <w:fldChar w:fldCharType="begin"/>
        </w:r>
        <w:r>
          <w:rPr>
            <w:webHidden/>
          </w:rPr>
          <w:instrText xml:space="preserve"> PAGEREF _Toc213771956 \h </w:instrText>
        </w:r>
        <w:r>
          <w:rPr>
            <w:webHidden/>
          </w:rPr>
        </w:r>
        <w:r>
          <w:rPr>
            <w:webHidden/>
          </w:rPr>
          <w:fldChar w:fldCharType="separate"/>
        </w:r>
        <w:r>
          <w:rPr>
            <w:webHidden/>
          </w:rPr>
          <w:t>216</w:t>
        </w:r>
        <w:r>
          <w:rPr>
            <w:webHidden/>
          </w:rPr>
          <w:fldChar w:fldCharType="end"/>
        </w:r>
      </w:hyperlink>
    </w:p>
    <w:p w14:paraId="1A4576F7" w14:textId="05A1D5FB" w:rsidR="00023ECF" w:rsidRDefault="00023ECF">
      <w:pPr>
        <w:pStyle w:val="TOC3"/>
        <w:rPr>
          <w:rFonts w:asciiTheme="minorHAnsi" w:eastAsiaTheme="minorEastAsia" w:hAnsiTheme="minorHAnsi" w:cstheme="minorBidi"/>
          <w:bCs w:val="0"/>
          <w:kern w:val="2"/>
          <w:szCs w:val="24"/>
          <w14:ligatures w14:val="standardContextual"/>
        </w:rPr>
      </w:pPr>
      <w:hyperlink w:anchor="_Toc213771958" w:history="1">
        <w:r w:rsidRPr="00AC173C">
          <w:rPr>
            <w:rStyle w:val="Hyperlink"/>
          </w:rPr>
          <w:t>5.1.9</w:t>
        </w:r>
        <w:r>
          <w:rPr>
            <w:rFonts w:asciiTheme="minorHAnsi" w:eastAsiaTheme="minorEastAsia" w:hAnsiTheme="minorHAnsi" w:cstheme="minorBidi"/>
            <w:bCs w:val="0"/>
            <w:kern w:val="2"/>
            <w:szCs w:val="24"/>
            <w14:ligatures w14:val="standardContextual"/>
          </w:rPr>
          <w:tab/>
        </w:r>
        <w:r w:rsidRPr="00AC173C">
          <w:rPr>
            <w:rStyle w:val="Hyperlink"/>
          </w:rPr>
          <w:t>Specified Source Resource Offer Requirements</w:t>
        </w:r>
        <w:r>
          <w:rPr>
            <w:webHidden/>
          </w:rPr>
          <w:tab/>
        </w:r>
        <w:r>
          <w:rPr>
            <w:webHidden/>
          </w:rPr>
          <w:fldChar w:fldCharType="begin"/>
        </w:r>
        <w:r>
          <w:rPr>
            <w:webHidden/>
          </w:rPr>
          <w:instrText xml:space="preserve"> PAGEREF _Toc213771958 \h </w:instrText>
        </w:r>
        <w:r>
          <w:rPr>
            <w:webHidden/>
          </w:rPr>
        </w:r>
        <w:r>
          <w:rPr>
            <w:webHidden/>
          </w:rPr>
          <w:fldChar w:fldCharType="separate"/>
        </w:r>
        <w:r>
          <w:rPr>
            <w:webHidden/>
          </w:rPr>
          <w:t>216</w:t>
        </w:r>
        <w:r>
          <w:rPr>
            <w:webHidden/>
          </w:rPr>
          <w:fldChar w:fldCharType="end"/>
        </w:r>
      </w:hyperlink>
    </w:p>
    <w:p w14:paraId="75F1AD7B" w14:textId="45DDAF39" w:rsidR="00023ECF" w:rsidRDefault="00023ECF">
      <w:pPr>
        <w:pStyle w:val="TOC4"/>
        <w:rPr>
          <w:rFonts w:asciiTheme="minorHAnsi" w:eastAsiaTheme="minorEastAsia" w:hAnsiTheme="minorHAnsi" w:cstheme="minorBidi"/>
          <w:bCs w:val="0"/>
          <w:kern w:val="2"/>
          <w:szCs w:val="24"/>
          <w14:ligatures w14:val="standardContextual"/>
        </w:rPr>
      </w:pPr>
      <w:hyperlink w:anchor="_Toc213771959" w:history="1">
        <w:r w:rsidRPr="00AC173C">
          <w:rPr>
            <w:rStyle w:val="Hyperlink"/>
          </w:rPr>
          <w:t>5.1.9.1</w:t>
        </w:r>
        <w:r>
          <w:rPr>
            <w:rFonts w:asciiTheme="minorHAnsi" w:eastAsiaTheme="minorEastAsia" w:hAnsiTheme="minorHAnsi" w:cstheme="minorBidi"/>
            <w:bCs w:val="0"/>
            <w:kern w:val="2"/>
            <w:szCs w:val="24"/>
            <w14:ligatures w14:val="standardContextual"/>
          </w:rPr>
          <w:tab/>
        </w:r>
        <w:r w:rsidRPr="00AC173C">
          <w:rPr>
            <w:rStyle w:val="Hyperlink"/>
          </w:rPr>
          <w:t>Specified Source Resource Unit Commitment</w:t>
        </w:r>
        <w:r>
          <w:rPr>
            <w:webHidden/>
          </w:rPr>
          <w:tab/>
        </w:r>
        <w:r>
          <w:rPr>
            <w:webHidden/>
          </w:rPr>
          <w:fldChar w:fldCharType="begin"/>
        </w:r>
        <w:r>
          <w:rPr>
            <w:webHidden/>
          </w:rPr>
          <w:instrText xml:space="preserve"> PAGEREF _Toc213771959 \h </w:instrText>
        </w:r>
        <w:r>
          <w:rPr>
            <w:webHidden/>
          </w:rPr>
        </w:r>
        <w:r>
          <w:rPr>
            <w:webHidden/>
          </w:rPr>
          <w:fldChar w:fldCharType="separate"/>
        </w:r>
        <w:r>
          <w:rPr>
            <w:webHidden/>
          </w:rPr>
          <w:t>216</w:t>
        </w:r>
        <w:r>
          <w:rPr>
            <w:webHidden/>
          </w:rPr>
          <w:fldChar w:fldCharType="end"/>
        </w:r>
      </w:hyperlink>
    </w:p>
    <w:p w14:paraId="53993A06" w14:textId="32D8A05D" w:rsidR="00023ECF" w:rsidRDefault="00023ECF">
      <w:pPr>
        <w:pStyle w:val="TOC4"/>
        <w:rPr>
          <w:rFonts w:asciiTheme="minorHAnsi" w:eastAsiaTheme="minorEastAsia" w:hAnsiTheme="minorHAnsi" w:cstheme="minorBidi"/>
          <w:bCs w:val="0"/>
          <w:kern w:val="2"/>
          <w:szCs w:val="24"/>
          <w14:ligatures w14:val="standardContextual"/>
        </w:rPr>
      </w:pPr>
      <w:hyperlink w:anchor="_Toc213771960" w:history="1">
        <w:r w:rsidRPr="00AC173C">
          <w:rPr>
            <w:rStyle w:val="Hyperlink"/>
          </w:rPr>
          <w:t>5.1.9.2</w:t>
        </w:r>
        <w:r>
          <w:rPr>
            <w:rFonts w:asciiTheme="minorHAnsi" w:eastAsiaTheme="minorEastAsia" w:hAnsiTheme="minorHAnsi" w:cstheme="minorBidi"/>
            <w:bCs w:val="0"/>
            <w:kern w:val="2"/>
            <w:szCs w:val="24"/>
            <w14:ligatures w14:val="standardContextual"/>
          </w:rPr>
          <w:tab/>
        </w:r>
        <w:r w:rsidRPr="00AC173C">
          <w:rPr>
            <w:rStyle w:val="Hyperlink"/>
          </w:rPr>
          <w:t>Specified Source Resource Unit Commitment – MCRs</w:t>
        </w:r>
        <w:r>
          <w:rPr>
            <w:webHidden/>
          </w:rPr>
          <w:tab/>
        </w:r>
        <w:r>
          <w:rPr>
            <w:webHidden/>
          </w:rPr>
          <w:fldChar w:fldCharType="begin"/>
        </w:r>
        <w:r>
          <w:rPr>
            <w:webHidden/>
          </w:rPr>
          <w:instrText xml:space="preserve"> PAGEREF _Toc213771960 \h </w:instrText>
        </w:r>
        <w:r>
          <w:rPr>
            <w:webHidden/>
          </w:rPr>
        </w:r>
        <w:r>
          <w:rPr>
            <w:webHidden/>
          </w:rPr>
          <w:fldChar w:fldCharType="separate"/>
        </w:r>
        <w:r>
          <w:rPr>
            <w:webHidden/>
          </w:rPr>
          <w:t>218</w:t>
        </w:r>
        <w:r>
          <w:rPr>
            <w:webHidden/>
          </w:rPr>
          <w:fldChar w:fldCharType="end"/>
        </w:r>
      </w:hyperlink>
    </w:p>
    <w:p w14:paraId="3853D936" w14:textId="25B24A68" w:rsidR="00023ECF" w:rsidRDefault="00023ECF">
      <w:pPr>
        <w:pStyle w:val="TOC4"/>
        <w:rPr>
          <w:rFonts w:asciiTheme="minorHAnsi" w:eastAsiaTheme="minorEastAsia" w:hAnsiTheme="minorHAnsi" w:cstheme="minorBidi"/>
          <w:bCs w:val="0"/>
          <w:kern w:val="2"/>
          <w:szCs w:val="24"/>
          <w14:ligatures w14:val="standardContextual"/>
        </w:rPr>
      </w:pPr>
      <w:hyperlink w:anchor="_Toc213771961" w:history="1">
        <w:r w:rsidRPr="00AC173C">
          <w:rPr>
            <w:rStyle w:val="Hyperlink"/>
          </w:rPr>
          <w:t>5.1.9.3</w:t>
        </w:r>
        <w:r>
          <w:rPr>
            <w:rFonts w:asciiTheme="minorHAnsi" w:eastAsiaTheme="minorEastAsia" w:hAnsiTheme="minorHAnsi" w:cstheme="minorBidi"/>
            <w:bCs w:val="0"/>
            <w:kern w:val="2"/>
            <w:szCs w:val="24"/>
            <w14:ligatures w14:val="standardContextual"/>
          </w:rPr>
          <w:tab/>
        </w:r>
        <w:r w:rsidRPr="00AC173C">
          <w:rPr>
            <w:rStyle w:val="Hyperlink"/>
          </w:rPr>
          <w:t>Specified Source Resource Unit Commitment – MSRs</w:t>
        </w:r>
        <w:r>
          <w:rPr>
            <w:webHidden/>
          </w:rPr>
          <w:tab/>
        </w:r>
        <w:r>
          <w:rPr>
            <w:webHidden/>
          </w:rPr>
          <w:fldChar w:fldCharType="begin"/>
        </w:r>
        <w:r>
          <w:rPr>
            <w:webHidden/>
          </w:rPr>
          <w:instrText xml:space="preserve"> PAGEREF _Toc213771961 \h </w:instrText>
        </w:r>
        <w:r>
          <w:rPr>
            <w:webHidden/>
          </w:rPr>
        </w:r>
        <w:r>
          <w:rPr>
            <w:webHidden/>
          </w:rPr>
          <w:fldChar w:fldCharType="separate"/>
        </w:r>
        <w:r>
          <w:rPr>
            <w:webHidden/>
          </w:rPr>
          <w:t>220</w:t>
        </w:r>
        <w:r>
          <w:rPr>
            <w:webHidden/>
          </w:rPr>
          <w:fldChar w:fldCharType="end"/>
        </w:r>
      </w:hyperlink>
    </w:p>
    <w:p w14:paraId="03C0CF14" w14:textId="184CC395" w:rsidR="00023ECF" w:rsidRDefault="00023ECF">
      <w:pPr>
        <w:pStyle w:val="TOC4"/>
        <w:rPr>
          <w:rFonts w:asciiTheme="minorHAnsi" w:eastAsiaTheme="minorEastAsia" w:hAnsiTheme="minorHAnsi" w:cstheme="minorBidi"/>
          <w:bCs w:val="0"/>
          <w:kern w:val="2"/>
          <w:szCs w:val="24"/>
          <w14:ligatures w14:val="standardContextual"/>
        </w:rPr>
      </w:pPr>
      <w:hyperlink w:anchor="_Toc213771962" w:history="1">
        <w:r w:rsidRPr="00AC173C">
          <w:rPr>
            <w:rStyle w:val="Hyperlink"/>
          </w:rPr>
          <w:t>5.1.9.4</w:t>
        </w:r>
        <w:r>
          <w:rPr>
            <w:rFonts w:asciiTheme="minorHAnsi" w:eastAsiaTheme="minorEastAsia" w:hAnsiTheme="minorHAnsi" w:cstheme="minorBidi"/>
            <w:bCs w:val="0"/>
            <w:kern w:val="2"/>
            <w:szCs w:val="24"/>
            <w14:ligatures w14:val="standardContextual"/>
          </w:rPr>
          <w:tab/>
        </w:r>
        <w:r w:rsidRPr="00AC173C">
          <w:rPr>
            <w:rStyle w:val="Hyperlink"/>
            <w:rFonts w:eastAsia="Calibri"/>
          </w:rPr>
          <w:t xml:space="preserve">Specified Source Resource </w:t>
        </w:r>
        <w:r w:rsidRPr="00AC173C">
          <w:rPr>
            <w:rStyle w:val="Hyperlink"/>
          </w:rPr>
          <w:t>Offer Rules</w:t>
        </w:r>
        <w:r>
          <w:rPr>
            <w:webHidden/>
          </w:rPr>
          <w:tab/>
        </w:r>
        <w:r>
          <w:rPr>
            <w:webHidden/>
          </w:rPr>
          <w:fldChar w:fldCharType="begin"/>
        </w:r>
        <w:r>
          <w:rPr>
            <w:webHidden/>
          </w:rPr>
          <w:instrText xml:space="preserve"> PAGEREF _Toc213771962 \h </w:instrText>
        </w:r>
        <w:r>
          <w:rPr>
            <w:webHidden/>
          </w:rPr>
        </w:r>
        <w:r>
          <w:rPr>
            <w:webHidden/>
          </w:rPr>
          <w:fldChar w:fldCharType="separate"/>
        </w:r>
        <w:r>
          <w:rPr>
            <w:webHidden/>
          </w:rPr>
          <w:t>223</w:t>
        </w:r>
        <w:r>
          <w:rPr>
            <w:webHidden/>
          </w:rPr>
          <w:fldChar w:fldCharType="end"/>
        </w:r>
      </w:hyperlink>
    </w:p>
    <w:p w14:paraId="16D4D94E" w14:textId="6609FEA7" w:rsidR="00023ECF" w:rsidRDefault="00023ECF">
      <w:pPr>
        <w:pStyle w:val="TOC3"/>
        <w:rPr>
          <w:rFonts w:asciiTheme="minorHAnsi" w:eastAsiaTheme="minorEastAsia" w:hAnsiTheme="minorHAnsi" w:cstheme="minorBidi"/>
          <w:bCs w:val="0"/>
          <w:kern w:val="2"/>
          <w:szCs w:val="24"/>
          <w14:ligatures w14:val="standardContextual"/>
        </w:rPr>
      </w:pPr>
      <w:hyperlink w:anchor="_Toc213771963" w:history="1">
        <w:r w:rsidRPr="00AC173C">
          <w:rPr>
            <w:rStyle w:val="Hyperlink"/>
          </w:rPr>
          <w:t>5.1.10</w:t>
        </w:r>
        <w:r>
          <w:rPr>
            <w:rFonts w:asciiTheme="minorHAnsi" w:eastAsiaTheme="minorEastAsia" w:hAnsiTheme="minorHAnsi" w:cstheme="minorBidi"/>
            <w:bCs w:val="0"/>
            <w:kern w:val="2"/>
            <w:szCs w:val="24"/>
            <w14:ligatures w14:val="standardContextual"/>
          </w:rPr>
          <w:tab/>
        </w:r>
        <w:r w:rsidRPr="00AC173C">
          <w:rPr>
            <w:rStyle w:val="Hyperlink"/>
            <w:rFonts w:eastAsia="Calibri"/>
          </w:rPr>
          <w:t>Specified Source Resource Deployment and Settlement</w:t>
        </w:r>
        <w:r>
          <w:rPr>
            <w:webHidden/>
          </w:rPr>
          <w:tab/>
        </w:r>
        <w:r>
          <w:rPr>
            <w:webHidden/>
          </w:rPr>
          <w:fldChar w:fldCharType="begin"/>
        </w:r>
        <w:r>
          <w:rPr>
            <w:webHidden/>
          </w:rPr>
          <w:instrText xml:space="preserve"> PAGEREF _Toc213771963 \h </w:instrText>
        </w:r>
        <w:r>
          <w:rPr>
            <w:webHidden/>
          </w:rPr>
        </w:r>
        <w:r>
          <w:rPr>
            <w:webHidden/>
          </w:rPr>
          <w:fldChar w:fldCharType="separate"/>
        </w:r>
        <w:r>
          <w:rPr>
            <w:webHidden/>
          </w:rPr>
          <w:t>226</w:t>
        </w:r>
        <w:r>
          <w:rPr>
            <w:webHidden/>
          </w:rPr>
          <w:fldChar w:fldCharType="end"/>
        </w:r>
      </w:hyperlink>
    </w:p>
    <w:p w14:paraId="7EA15129" w14:textId="1A77F8C2" w:rsidR="00023ECF" w:rsidRDefault="00023ECF">
      <w:pPr>
        <w:pStyle w:val="TOC2"/>
        <w:rPr>
          <w:rFonts w:asciiTheme="minorHAnsi" w:eastAsiaTheme="minorEastAsia" w:hAnsiTheme="minorHAnsi" w:cstheme="minorBidi"/>
          <w:bCs w:val="0"/>
          <w:kern w:val="2"/>
          <w:szCs w:val="24"/>
          <w14:ligatures w14:val="standardContextual"/>
        </w:rPr>
      </w:pPr>
      <w:hyperlink w:anchor="_Toc213771964" w:history="1">
        <w:r w:rsidRPr="00AC173C">
          <w:rPr>
            <w:rStyle w:val="Hyperlink"/>
          </w:rPr>
          <w:t>5.2</w:t>
        </w:r>
        <w:r>
          <w:rPr>
            <w:rFonts w:asciiTheme="minorHAnsi" w:eastAsiaTheme="minorEastAsia" w:hAnsiTheme="minorHAnsi" w:cstheme="minorBidi"/>
            <w:bCs w:val="0"/>
            <w:kern w:val="2"/>
            <w:szCs w:val="24"/>
            <w14:ligatures w14:val="standardContextual"/>
          </w:rPr>
          <w:tab/>
        </w:r>
        <w:r w:rsidRPr="00AC173C">
          <w:rPr>
            <w:rStyle w:val="Hyperlink"/>
          </w:rPr>
          <w:t>Market Clearing</w:t>
        </w:r>
        <w:r>
          <w:rPr>
            <w:webHidden/>
          </w:rPr>
          <w:tab/>
        </w:r>
        <w:r>
          <w:rPr>
            <w:webHidden/>
          </w:rPr>
          <w:fldChar w:fldCharType="begin"/>
        </w:r>
        <w:r>
          <w:rPr>
            <w:webHidden/>
          </w:rPr>
          <w:instrText xml:space="preserve"> PAGEREF _Toc213771964 \h </w:instrText>
        </w:r>
        <w:r>
          <w:rPr>
            <w:webHidden/>
          </w:rPr>
        </w:r>
        <w:r>
          <w:rPr>
            <w:webHidden/>
          </w:rPr>
          <w:fldChar w:fldCharType="separate"/>
        </w:r>
        <w:r>
          <w:rPr>
            <w:webHidden/>
          </w:rPr>
          <w:t>228</w:t>
        </w:r>
        <w:r>
          <w:rPr>
            <w:webHidden/>
          </w:rPr>
          <w:fldChar w:fldCharType="end"/>
        </w:r>
      </w:hyperlink>
    </w:p>
    <w:p w14:paraId="0DB38B35" w14:textId="128341AC" w:rsidR="00023ECF" w:rsidRDefault="00023ECF">
      <w:pPr>
        <w:pStyle w:val="TOC3"/>
        <w:rPr>
          <w:rFonts w:asciiTheme="minorHAnsi" w:eastAsiaTheme="minorEastAsia" w:hAnsiTheme="minorHAnsi" w:cstheme="minorBidi"/>
          <w:bCs w:val="0"/>
          <w:kern w:val="2"/>
          <w:szCs w:val="24"/>
          <w14:ligatures w14:val="standardContextual"/>
        </w:rPr>
      </w:pPr>
      <w:hyperlink w:anchor="_Toc213771965" w:history="1">
        <w:r w:rsidRPr="00AC173C">
          <w:rPr>
            <w:rStyle w:val="Hyperlink"/>
            <w:rFonts w:eastAsia="Calibri"/>
          </w:rPr>
          <w:t>5.2.1</w:t>
        </w:r>
        <w:r>
          <w:rPr>
            <w:rFonts w:asciiTheme="minorHAnsi" w:eastAsiaTheme="minorEastAsia" w:hAnsiTheme="minorHAnsi" w:cstheme="minorBidi"/>
            <w:bCs w:val="0"/>
            <w:kern w:val="2"/>
            <w:szCs w:val="24"/>
            <w14:ligatures w14:val="standardContextual"/>
          </w:rPr>
          <w:tab/>
        </w:r>
        <w:r w:rsidRPr="00AC173C">
          <w:rPr>
            <w:rStyle w:val="Hyperlink"/>
            <w:rFonts w:eastAsia="Calibri"/>
          </w:rPr>
          <w:t>Merit Order Process for Specified Source Resources Offering Type 2 Energy</w:t>
        </w:r>
        <w:r>
          <w:rPr>
            <w:webHidden/>
          </w:rPr>
          <w:tab/>
        </w:r>
        <w:r>
          <w:rPr>
            <w:webHidden/>
          </w:rPr>
          <w:fldChar w:fldCharType="begin"/>
        </w:r>
        <w:r>
          <w:rPr>
            <w:webHidden/>
          </w:rPr>
          <w:instrText xml:space="preserve"> PAGEREF _Toc213771965 \h </w:instrText>
        </w:r>
        <w:r>
          <w:rPr>
            <w:webHidden/>
          </w:rPr>
        </w:r>
        <w:r>
          <w:rPr>
            <w:webHidden/>
          </w:rPr>
          <w:fldChar w:fldCharType="separate"/>
        </w:r>
        <w:r>
          <w:rPr>
            <w:webHidden/>
          </w:rPr>
          <w:t>228</w:t>
        </w:r>
        <w:r>
          <w:rPr>
            <w:webHidden/>
          </w:rPr>
          <w:fldChar w:fldCharType="end"/>
        </w:r>
      </w:hyperlink>
    </w:p>
    <w:p w14:paraId="3BF026BA" w14:textId="1F7712A9" w:rsidR="00023ECF" w:rsidRDefault="00023ECF">
      <w:pPr>
        <w:pStyle w:val="TOC2"/>
        <w:rPr>
          <w:rFonts w:asciiTheme="minorHAnsi" w:eastAsiaTheme="minorEastAsia" w:hAnsiTheme="minorHAnsi" w:cstheme="minorBidi"/>
          <w:bCs w:val="0"/>
          <w:kern w:val="2"/>
          <w:szCs w:val="24"/>
          <w14:ligatures w14:val="standardContextual"/>
        </w:rPr>
      </w:pPr>
      <w:hyperlink w:anchor="_Toc213771966" w:history="1">
        <w:r w:rsidRPr="00AC173C">
          <w:rPr>
            <w:rStyle w:val="Hyperlink"/>
          </w:rPr>
          <w:t>5.3</w:t>
        </w:r>
        <w:r>
          <w:rPr>
            <w:rFonts w:asciiTheme="minorHAnsi" w:eastAsiaTheme="minorEastAsia" w:hAnsiTheme="minorHAnsi" w:cstheme="minorBidi"/>
            <w:bCs w:val="0"/>
            <w:kern w:val="2"/>
            <w:szCs w:val="24"/>
            <w14:ligatures w14:val="standardContextual"/>
          </w:rPr>
          <w:tab/>
        </w:r>
        <w:r w:rsidRPr="00AC173C">
          <w:rPr>
            <w:rStyle w:val="Hyperlink"/>
          </w:rPr>
          <w:t>Calculation of Marginal GHG Price</w:t>
        </w:r>
        <w:r>
          <w:rPr>
            <w:webHidden/>
          </w:rPr>
          <w:tab/>
        </w:r>
        <w:r>
          <w:rPr>
            <w:webHidden/>
          </w:rPr>
          <w:fldChar w:fldCharType="begin"/>
        </w:r>
        <w:r>
          <w:rPr>
            <w:webHidden/>
          </w:rPr>
          <w:instrText xml:space="preserve"> PAGEREF _Toc213771966 \h </w:instrText>
        </w:r>
        <w:r>
          <w:rPr>
            <w:webHidden/>
          </w:rPr>
        </w:r>
        <w:r>
          <w:rPr>
            <w:webHidden/>
          </w:rPr>
          <w:fldChar w:fldCharType="separate"/>
        </w:r>
        <w:r>
          <w:rPr>
            <w:webHidden/>
          </w:rPr>
          <w:t>233</w:t>
        </w:r>
        <w:r>
          <w:rPr>
            <w:webHidden/>
          </w:rPr>
          <w:fldChar w:fldCharType="end"/>
        </w:r>
      </w:hyperlink>
    </w:p>
    <w:p w14:paraId="070A8970" w14:textId="2816C7C5" w:rsidR="00023ECF" w:rsidRDefault="00023ECF">
      <w:pPr>
        <w:pStyle w:val="TOC2"/>
        <w:rPr>
          <w:rFonts w:asciiTheme="minorHAnsi" w:eastAsiaTheme="minorEastAsia" w:hAnsiTheme="minorHAnsi" w:cstheme="minorBidi"/>
          <w:bCs w:val="0"/>
          <w:kern w:val="2"/>
          <w:szCs w:val="24"/>
          <w14:ligatures w14:val="standardContextual"/>
        </w:rPr>
      </w:pPr>
      <w:hyperlink w:anchor="_Toc213771967" w:history="1">
        <w:r w:rsidRPr="00AC173C">
          <w:rPr>
            <w:rStyle w:val="Hyperlink"/>
          </w:rPr>
          <w:t>5.4</w:t>
        </w:r>
        <w:r>
          <w:rPr>
            <w:rFonts w:asciiTheme="minorHAnsi" w:eastAsiaTheme="minorEastAsia" w:hAnsiTheme="minorHAnsi" w:cstheme="minorBidi"/>
            <w:bCs w:val="0"/>
            <w:kern w:val="2"/>
            <w:szCs w:val="24"/>
            <w14:ligatures w14:val="standardContextual"/>
          </w:rPr>
          <w:tab/>
        </w:r>
        <w:r w:rsidRPr="00AC173C">
          <w:rPr>
            <w:rStyle w:val="Hyperlink"/>
          </w:rPr>
          <w:t>GHG Settlements</w:t>
        </w:r>
        <w:r>
          <w:rPr>
            <w:webHidden/>
          </w:rPr>
          <w:tab/>
        </w:r>
        <w:r>
          <w:rPr>
            <w:webHidden/>
          </w:rPr>
          <w:fldChar w:fldCharType="begin"/>
        </w:r>
        <w:r>
          <w:rPr>
            <w:webHidden/>
          </w:rPr>
          <w:instrText xml:space="preserve"> PAGEREF _Toc213771967 \h </w:instrText>
        </w:r>
        <w:r>
          <w:rPr>
            <w:webHidden/>
          </w:rPr>
        </w:r>
        <w:r>
          <w:rPr>
            <w:webHidden/>
          </w:rPr>
          <w:fldChar w:fldCharType="separate"/>
        </w:r>
        <w:r>
          <w:rPr>
            <w:webHidden/>
          </w:rPr>
          <w:t>233</w:t>
        </w:r>
        <w:r>
          <w:rPr>
            <w:webHidden/>
          </w:rPr>
          <w:fldChar w:fldCharType="end"/>
        </w:r>
      </w:hyperlink>
    </w:p>
    <w:p w14:paraId="3A473553" w14:textId="06DE2FAA" w:rsidR="00023ECF" w:rsidRDefault="00023ECF">
      <w:pPr>
        <w:pStyle w:val="TOC2"/>
        <w:rPr>
          <w:rFonts w:asciiTheme="minorHAnsi" w:eastAsiaTheme="minorEastAsia" w:hAnsiTheme="minorHAnsi" w:cstheme="minorBidi"/>
          <w:bCs w:val="0"/>
          <w:kern w:val="2"/>
          <w:szCs w:val="24"/>
          <w14:ligatures w14:val="standardContextual"/>
        </w:rPr>
      </w:pPr>
      <w:hyperlink w:anchor="_Toc213771977" w:history="1">
        <w:r w:rsidRPr="00AC173C">
          <w:rPr>
            <w:rStyle w:val="Hyperlink"/>
          </w:rPr>
          <w:t>5.5</w:t>
        </w:r>
        <w:r>
          <w:rPr>
            <w:rFonts w:asciiTheme="minorHAnsi" w:eastAsiaTheme="minorEastAsia" w:hAnsiTheme="minorHAnsi" w:cstheme="minorBidi"/>
            <w:bCs w:val="0"/>
            <w:kern w:val="2"/>
            <w:szCs w:val="24"/>
            <w14:ligatures w14:val="standardContextual"/>
          </w:rPr>
          <w:tab/>
        </w:r>
        <w:r w:rsidRPr="00AC173C">
          <w:rPr>
            <w:rStyle w:val="Hyperlink"/>
          </w:rPr>
          <w:t>Tracking and Reporting</w:t>
        </w:r>
        <w:r>
          <w:rPr>
            <w:webHidden/>
          </w:rPr>
          <w:tab/>
        </w:r>
        <w:r>
          <w:rPr>
            <w:webHidden/>
          </w:rPr>
          <w:fldChar w:fldCharType="begin"/>
        </w:r>
        <w:r>
          <w:rPr>
            <w:webHidden/>
          </w:rPr>
          <w:instrText xml:space="preserve"> PAGEREF _Toc213771977 \h </w:instrText>
        </w:r>
        <w:r>
          <w:rPr>
            <w:webHidden/>
          </w:rPr>
        </w:r>
        <w:r>
          <w:rPr>
            <w:webHidden/>
          </w:rPr>
          <w:fldChar w:fldCharType="separate"/>
        </w:r>
        <w:r>
          <w:rPr>
            <w:webHidden/>
          </w:rPr>
          <w:t>234</w:t>
        </w:r>
        <w:r>
          <w:rPr>
            <w:webHidden/>
          </w:rPr>
          <w:fldChar w:fldCharType="end"/>
        </w:r>
      </w:hyperlink>
    </w:p>
    <w:p w14:paraId="58D58E5D" w14:textId="219CC5E7" w:rsidR="00023ECF" w:rsidRDefault="00023ECF">
      <w:pPr>
        <w:pStyle w:val="TOC3"/>
        <w:rPr>
          <w:rFonts w:asciiTheme="minorHAnsi" w:eastAsiaTheme="minorEastAsia" w:hAnsiTheme="minorHAnsi" w:cstheme="minorBidi"/>
          <w:bCs w:val="0"/>
          <w:kern w:val="2"/>
          <w:szCs w:val="24"/>
          <w14:ligatures w14:val="standardContextual"/>
        </w:rPr>
      </w:pPr>
      <w:hyperlink w:anchor="_Toc213771978" w:history="1">
        <w:r w:rsidRPr="00AC173C">
          <w:rPr>
            <w:rStyle w:val="Hyperlink"/>
          </w:rPr>
          <w:t>5.5.1</w:t>
        </w:r>
        <w:r>
          <w:rPr>
            <w:rFonts w:asciiTheme="minorHAnsi" w:eastAsiaTheme="minorEastAsia" w:hAnsiTheme="minorHAnsi" w:cstheme="minorBidi"/>
            <w:bCs w:val="0"/>
            <w:kern w:val="2"/>
            <w:szCs w:val="24"/>
            <w14:ligatures w14:val="standardContextual"/>
          </w:rPr>
          <w:tab/>
        </w:r>
        <w:r w:rsidRPr="00AC173C">
          <w:rPr>
            <w:rStyle w:val="Hyperlink"/>
          </w:rPr>
          <w:t>Emission Factors for registered Resource(s)</w:t>
        </w:r>
        <w:r>
          <w:rPr>
            <w:webHidden/>
          </w:rPr>
          <w:tab/>
        </w:r>
        <w:r>
          <w:rPr>
            <w:webHidden/>
          </w:rPr>
          <w:fldChar w:fldCharType="begin"/>
        </w:r>
        <w:r>
          <w:rPr>
            <w:webHidden/>
          </w:rPr>
          <w:instrText xml:space="preserve"> PAGEREF _Toc213771978 \h </w:instrText>
        </w:r>
        <w:r>
          <w:rPr>
            <w:webHidden/>
          </w:rPr>
        </w:r>
        <w:r>
          <w:rPr>
            <w:webHidden/>
          </w:rPr>
          <w:fldChar w:fldCharType="separate"/>
        </w:r>
        <w:r>
          <w:rPr>
            <w:webHidden/>
          </w:rPr>
          <w:t>234</w:t>
        </w:r>
        <w:r>
          <w:rPr>
            <w:webHidden/>
          </w:rPr>
          <w:fldChar w:fldCharType="end"/>
        </w:r>
      </w:hyperlink>
    </w:p>
    <w:p w14:paraId="13C35E21" w14:textId="1E138BC7" w:rsidR="00023ECF" w:rsidRDefault="00023ECF">
      <w:pPr>
        <w:pStyle w:val="TOC3"/>
        <w:rPr>
          <w:rFonts w:asciiTheme="minorHAnsi" w:eastAsiaTheme="minorEastAsia" w:hAnsiTheme="minorHAnsi" w:cstheme="minorBidi"/>
          <w:bCs w:val="0"/>
          <w:kern w:val="2"/>
          <w:szCs w:val="24"/>
          <w14:ligatures w14:val="standardContextual"/>
        </w:rPr>
      </w:pPr>
      <w:hyperlink w:anchor="_Toc213771979" w:history="1">
        <w:r w:rsidRPr="00AC173C">
          <w:rPr>
            <w:rStyle w:val="Hyperlink"/>
          </w:rPr>
          <w:t>5.5.2</w:t>
        </w:r>
        <w:r>
          <w:rPr>
            <w:rFonts w:asciiTheme="minorHAnsi" w:eastAsiaTheme="minorEastAsia" w:hAnsiTheme="minorHAnsi" w:cstheme="minorBidi"/>
            <w:bCs w:val="0"/>
            <w:kern w:val="2"/>
            <w:szCs w:val="24"/>
            <w14:ligatures w14:val="standardContextual"/>
          </w:rPr>
          <w:tab/>
        </w:r>
        <w:r w:rsidRPr="00AC173C">
          <w:rPr>
            <w:rStyle w:val="Hyperlink"/>
          </w:rPr>
          <w:t>GHG Resource Mapping and Allocation</w:t>
        </w:r>
        <w:r>
          <w:rPr>
            <w:webHidden/>
          </w:rPr>
          <w:tab/>
        </w:r>
        <w:r>
          <w:rPr>
            <w:webHidden/>
          </w:rPr>
          <w:fldChar w:fldCharType="begin"/>
        </w:r>
        <w:r>
          <w:rPr>
            <w:webHidden/>
          </w:rPr>
          <w:instrText xml:space="preserve"> PAGEREF _Toc213771979 \h </w:instrText>
        </w:r>
        <w:r>
          <w:rPr>
            <w:webHidden/>
          </w:rPr>
        </w:r>
        <w:r>
          <w:rPr>
            <w:webHidden/>
          </w:rPr>
          <w:fldChar w:fldCharType="separate"/>
        </w:r>
        <w:r>
          <w:rPr>
            <w:webHidden/>
          </w:rPr>
          <w:t>234</w:t>
        </w:r>
        <w:r>
          <w:rPr>
            <w:webHidden/>
          </w:rPr>
          <w:fldChar w:fldCharType="end"/>
        </w:r>
      </w:hyperlink>
    </w:p>
    <w:p w14:paraId="48FED162" w14:textId="0E25D3A2" w:rsidR="00023ECF" w:rsidRDefault="00023ECF">
      <w:pPr>
        <w:pStyle w:val="TOC4"/>
        <w:rPr>
          <w:rFonts w:asciiTheme="minorHAnsi" w:eastAsiaTheme="minorEastAsia" w:hAnsiTheme="minorHAnsi" w:cstheme="minorBidi"/>
          <w:bCs w:val="0"/>
          <w:kern w:val="2"/>
          <w:szCs w:val="24"/>
          <w14:ligatures w14:val="standardContextual"/>
        </w:rPr>
      </w:pPr>
      <w:hyperlink w:anchor="_Toc213771980" w:history="1">
        <w:r w:rsidRPr="00AC173C">
          <w:rPr>
            <w:rStyle w:val="Hyperlink"/>
          </w:rPr>
          <w:t>5.5.2.1</w:t>
        </w:r>
        <w:r>
          <w:rPr>
            <w:rFonts w:asciiTheme="minorHAnsi" w:eastAsiaTheme="minorEastAsia" w:hAnsiTheme="minorHAnsi" w:cstheme="minorBidi"/>
            <w:bCs w:val="0"/>
            <w:kern w:val="2"/>
            <w:szCs w:val="24"/>
            <w14:ligatures w14:val="standardContextual"/>
          </w:rPr>
          <w:tab/>
        </w:r>
        <w:r w:rsidRPr="00AC173C">
          <w:rPr>
            <w:rStyle w:val="Hyperlink"/>
          </w:rPr>
          <w:t>GHG Pricing Zone Allocations</w:t>
        </w:r>
        <w:r>
          <w:rPr>
            <w:webHidden/>
          </w:rPr>
          <w:tab/>
        </w:r>
        <w:r>
          <w:rPr>
            <w:webHidden/>
          </w:rPr>
          <w:fldChar w:fldCharType="begin"/>
        </w:r>
        <w:r>
          <w:rPr>
            <w:webHidden/>
          </w:rPr>
          <w:instrText xml:space="preserve"> PAGEREF _Toc213771980 \h </w:instrText>
        </w:r>
        <w:r>
          <w:rPr>
            <w:webHidden/>
          </w:rPr>
        </w:r>
        <w:r>
          <w:rPr>
            <w:webHidden/>
          </w:rPr>
          <w:fldChar w:fldCharType="separate"/>
        </w:r>
        <w:r>
          <w:rPr>
            <w:webHidden/>
          </w:rPr>
          <w:t>235</w:t>
        </w:r>
        <w:r>
          <w:rPr>
            <w:webHidden/>
          </w:rPr>
          <w:fldChar w:fldCharType="end"/>
        </w:r>
      </w:hyperlink>
    </w:p>
    <w:p w14:paraId="72B37BAF" w14:textId="68F2F2A3" w:rsidR="00023ECF" w:rsidRDefault="00023ECF">
      <w:pPr>
        <w:pStyle w:val="TOC4"/>
        <w:rPr>
          <w:rFonts w:asciiTheme="minorHAnsi" w:eastAsiaTheme="minorEastAsia" w:hAnsiTheme="minorHAnsi" w:cstheme="minorBidi"/>
          <w:bCs w:val="0"/>
          <w:kern w:val="2"/>
          <w:szCs w:val="24"/>
          <w14:ligatures w14:val="standardContextual"/>
        </w:rPr>
      </w:pPr>
      <w:hyperlink w:anchor="_Toc213771981" w:history="1">
        <w:r w:rsidRPr="00AC173C">
          <w:rPr>
            <w:rStyle w:val="Hyperlink"/>
          </w:rPr>
          <w:t>5.5.2.2</w:t>
        </w:r>
        <w:r>
          <w:rPr>
            <w:rFonts w:asciiTheme="minorHAnsi" w:eastAsiaTheme="minorEastAsia" w:hAnsiTheme="minorHAnsi" w:cstheme="minorBidi"/>
            <w:bCs w:val="0"/>
            <w:kern w:val="2"/>
            <w:szCs w:val="24"/>
            <w14:ligatures w14:val="standardContextual"/>
          </w:rPr>
          <w:tab/>
        </w:r>
        <w:r w:rsidRPr="00AC173C">
          <w:rPr>
            <w:rStyle w:val="Hyperlink"/>
          </w:rPr>
          <w:t>Treatment of Import and Export Interchange Transactions</w:t>
        </w:r>
        <w:r>
          <w:rPr>
            <w:webHidden/>
          </w:rPr>
          <w:tab/>
        </w:r>
        <w:r>
          <w:rPr>
            <w:webHidden/>
          </w:rPr>
          <w:fldChar w:fldCharType="begin"/>
        </w:r>
        <w:r>
          <w:rPr>
            <w:webHidden/>
          </w:rPr>
          <w:instrText xml:space="preserve"> PAGEREF _Toc213771981 \h </w:instrText>
        </w:r>
        <w:r>
          <w:rPr>
            <w:webHidden/>
          </w:rPr>
        </w:r>
        <w:r>
          <w:rPr>
            <w:webHidden/>
          </w:rPr>
          <w:fldChar w:fldCharType="separate"/>
        </w:r>
        <w:r>
          <w:rPr>
            <w:webHidden/>
          </w:rPr>
          <w:t>235</w:t>
        </w:r>
        <w:r>
          <w:rPr>
            <w:webHidden/>
          </w:rPr>
          <w:fldChar w:fldCharType="end"/>
        </w:r>
      </w:hyperlink>
    </w:p>
    <w:p w14:paraId="6A9CD5AB" w14:textId="52796D27" w:rsidR="00023ECF" w:rsidRDefault="00023ECF">
      <w:pPr>
        <w:pStyle w:val="TOC4"/>
        <w:rPr>
          <w:rFonts w:asciiTheme="minorHAnsi" w:eastAsiaTheme="minorEastAsia" w:hAnsiTheme="minorHAnsi" w:cstheme="minorBidi"/>
          <w:bCs w:val="0"/>
          <w:kern w:val="2"/>
          <w:szCs w:val="24"/>
          <w14:ligatures w14:val="standardContextual"/>
        </w:rPr>
      </w:pPr>
      <w:hyperlink w:anchor="_Toc213771982" w:history="1">
        <w:r w:rsidRPr="00AC173C">
          <w:rPr>
            <w:rStyle w:val="Hyperlink"/>
          </w:rPr>
          <w:t>5.5.2.3</w:t>
        </w:r>
        <w:r>
          <w:rPr>
            <w:rFonts w:asciiTheme="minorHAnsi" w:eastAsiaTheme="minorEastAsia" w:hAnsiTheme="minorHAnsi" w:cstheme="minorBidi"/>
            <w:bCs w:val="0"/>
            <w:kern w:val="2"/>
            <w:szCs w:val="24"/>
            <w14:ligatures w14:val="standardContextual"/>
          </w:rPr>
          <w:tab/>
        </w:r>
        <w:r w:rsidRPr="00AC173C">
          <w:rPr>
            <w:rStyle w:val="Hyperlink"/>
          </w:rPr>
          <w:t>Attestation</w:t>
        </w:r>
        <w:r>
          <w:rPr>
            <w:webHidden/>
          </w:rPr>
          <w:tab/>
        </w:r>
        <w:r>
          <w:rPr>
            <w:webHidden/>
          </w:rPr>
          <w:fldChar w:fldCharType="begin"/>
        </w:r>
        <w:r>
          <w:rPr>
            <w:webHidden/>
          </w:rPr>
          <w:instrText xml:space="preserve"> PAGEREF _Toc213771982 \h </w:instrText>
        </w:r>
        <w:r>
          <w:rPr>
            <w:webHidden/>
          </w:rPr>
        </w:r>
        <w:r>
          <w:rPr>
            <w:webHidden/>
          </w:rPr>
          <w:fldChar w:fldCharType="separate"/>
        </w:r>
        <w:r>
          <w:rPr>
            <w:webHidden/>
          </w:rPr>
          <w:t>236</w:t>
        </w:r>
        <w:r>
          <w:rPr>
            <w:webHidden/>
          </w:rPr>
          <w:fldChar w:fldCharType="end"/>
        </w:r>
      </w:hyperlink>
    </w:p>
    <w:p w14:paraId="1DBDECF2" w14:textId="721BD17F" w:rsidR="00023ECF" w:rsidRDefault="00023ECF">
      <w:pPr>
        <w:pStyle w:val="TOC3"/>
        <w:rPr>
          <w:rFonts w:asciiTheme="minorHAnsi" w:eastAsiaTheme="minorEastAsia" w:hAnsiTheme="minorHAnsi" w:cstheme="minorBidi"/>
          <w:bCs w:val="0"/>
          <w:kern w:val="2"/>
          <w:szCs w:val="24"/>
          <w14:ligatures w14:val="standardContextual"/>
        </w:rPr>
      </w:pPr>
      <w:hyperlink w:anchor="_Toc213771983" w:history="1">
        <w:r w:rsidRPr="00AC173C">
          <w:rPr>
            <w:rStyle w:val="Hyperlink"/>
          </w:rPr>
          <w:t>5.5.3</w:t>
        </w:r>
        <w:r>
          <w:rPr>
            <w:rFonts w:asciiTheme="minorHAnsi" w:eastAsiaTheme="minorEastAsia" w:hAnsiTheme="minorHAnsi" w:cstheme="minorBidi"/>
            <w:bCs w:val="0"/>
            <w:kern w:val="2"/>
            <w:szCs w:val="24"/>
            <w14:ligatures w14:val="standardContextual"/>
          </w:rPr>
          <w:tab/>
        </w:r>
        <w:r w:rsidRPr="00AC173C">
          <w:rPr>
            <w:rStyle w:val="Hyperlink"/>
          </w:rPr>
          <w:t>Null Power</w:t>
        </w:r>
        <w:r>
          <w:rPr>
            <w:webHidden/>
          </w:rPr>
          <w:tab/>
        </w:r>
        <w:r>
          <w:rPr>
            <w:webHidden/>
          </w:rPr>
          <w:fldChar w:fldCharType="begin"/>
        </w:r>
        <w:r>
          <w:rPr>
            <w:webHidden/>
          </w:rPr>
          <w:instrText xml:space="preserve"> PAGEREF _Toc213771983 \h </w:instrText>
        </w:r>
        <w:r>
          <w:rPr>
            <w:webHidden/>
          </w:rPr>
        </w:r>
        <w:r>
          <w:rPr>
            <w:webHidden/>
          </w:rPr>
          <w:fldChar w:fldCharType="separate"/>
        </w:r>
        <w:r>
          <w:rPr>
            <w:webHidden/>
          </w:rPr>
          <w:t>237</w:t>
        </w:r>
        <w:r>
          <w:rPr>
            <w:webHidden/>
          </w:rPr>
          <w:fldChar w:fldCharType="end"/>
        </w:r>
      </w:hyperlink>
    </w:p>
    <w:p w14:paraId="1A37C201" w14:textId="47AC155E" w:rsidR="00023ECF" w:rsidRDefault="00023ECF">
      <w:pPr>
        <w:pStyle w:val="TOC3"/>
        <w:rPr>
          <w:rFonts w:asciiTheme="minorHAnsi" w:eastAsiaTheme="minorEastAsia" w:hAnsiTheme="minorHAnsi" w:cstheme="minorBidi"/>
          <w:bCs w:val="0"/>
          <w:kern w:val="2"/>
          <w:szCs w:val="24"/>
          <w14:ligatures w14:val="standardContextual"/>
        </w:rPr>
      </w:pPr>
      <w:hyperlink w:anchor="_Toc213771984" w:history="1">
        <w:r w:rsidRPr="00AC173C">
          <w:rPr>
            <w:rStyle w:val="Hyperlink"/>
          </w:rPr>
          <w:t>5.5.4</w:t>
        </w:r>
        <w:r>
          <w:rPr>
            <w:rFonts w:asciiTheme="minorHAnsi" w:eastAsiaTheme="minorEastAsia" w:hAnsiTheme="minorHAnsi" w:cstheme="minorBidi"/>
            <w:bCs w:val="0"/>
            <w:kern w:val="2"/>
            <w:szCs w:val="24"/>
            <w14:ligatures w14:val="standardContextual"/>
          </w:rPr>
          <w:tab/>
        </w:r>
        <w:r w:rsidRPr="00AC173C">
          <w:rPr>
            <w:rStyle w:val="Hyperlink"/>
          </w:rPr>
          <w:t>GHG Residual Energy</w:t>
        </w:r>
        <w:r>
          <w:rPr>
            <w:webHidden/>
          </w:rPr>
          <w:tab/>
        </w:r>
        <w:r>
          <w:rPr>
            <w:webHidden/>
          </w:rPr>
          <w:fldChar w:fldCharType="begin"/>
        </w:r>
        <w:r>
          <w:rPr>
            <w:webHidden/>
          </w:rPr>
          <w:instrText xml:space="preserve"> PAGEREF _Toc213771984 \h </w:instrText>
        </w:r>
        <w:r>
          <w:rPr>
            <w:webHidden/>
          </w:rPr>
        </w:r>
        <w:r>
          <w:rPr>
            <w:webHidden/>
          </w:rPr>
          <w:fldChar w:fldCharType="separate"/>
        </w:r>
        <w:r>
          <w:rPr>
            <w:webHidden/>
          </w:rPr>
          <w:t>237</w:t>
        </w:r>
        <w:r>
          <w:rPr>
            <w:webHidden/>
          </w:rPr>
          <w:fldChar w:fldCharType="end"/>
        </w:r>
      </w:hyperlink>
    </w:p>
    <w:p w14:paraId="681A5BC8" w14:textId="72325323" w:rsidR="00023ECF" w:rsidRDefault="00023ECF">
      <w:pPr>
        <w:pStyle w:val="TOC3"/>
        <w:rPr>
          <w:rFonts w:asciiTheme="minorHAnsi" w:eastAsiaTheme="minorEastAsia" w:hAnsiTheme="minorHAnsi" w:cstheme="minorBidi"/>
          <w:bCs w:val="0"/>
          <w:kern w:val="2"/>
          <w:szCs w:val="24"/>
          <w14:ligatures w14:val="standardContextual"/>
        </w:rPr>
      </w:pPr>
      <w:hyperlink w:anchor="_Toc213771985" w:history="1">
        <w:r w:rsidRPr="00AC173C">
          <w:rPr>
            <w:rStyle w:val="Hyperlink"/>
          </w:rPr>
          <w:t>5.5.5</w:t>
        </w:r>
        <w:r>
          <w:rPr>
            <w:rFonts w:asciiTheme="minorHAnsi" w:eastAsiaTheme="minorEastAsia" w:hAnsiTheme="minorHAnsi" w:cstheme="minorBidi"/>
            <w:bCs w:val="0"/>
            <w:kern w:val="2"/>
            <w:szCs w:val="24"/>
            <w14:ligatures w14:val="standardContextual"/>
          </w:rPr>
          <w:tab/>
        </w:r>
        <w:r w:rsidRPr="00AC173C">
          <w:rPr>
            <w:rStyle w:val="Hyperlink"/>
          </w:rPr>
          <w:t>Electric Storage Resources (ESRs)</w:t>
        </w:r>
        <w:r>
          <w:rPr>
            <w:webHidden/>
          </w:rPr>
          <w:tab/>
        </w:r>
        <w:r>
          <w:rPr>
            <w:webHidden/>
          </w:rPr>
          <w:fldChar w:fldCharType="begin"/>
        </w:r>
        <w:r>
          <w:rPr>
            <w:webHidden/>
          </w:rPr>
          <w:instrText xml:space="preserve"> PAGEREF _Toc213771985 \h </w:instrText>
        </w:r>
        <w:r>
          <w:rPr>
            <w:webHidden/>
          </w:rPr>
        </w:r>
        <w:r>
          <w:rPr>
            <w:webHidden/>
          </w:rPr>
          <w:fldChar w:fldCharType="separate"/>
        </w:r>
        <w:r>
          <w:rPr>
            <w:webHidden/>
          </w:rPr>
          <w:t>243</w:t>
        </w:r>
        <w:r>
          <w:rPr>
            <w:webHidden/>
          </w:rPr>
          <w:fldChar w:fldCharType="end"/>
        </w:r>
      </w:hyperlink>
    </w:p>
    <w:p w14:paraId="563FE311" w14:textId="61FFEF03" w:rsidR="00023ECF" w:rsidRDefault="00023ECF">
      <w:pPr>
        <w:pStyle w:val="TOC3"/>
        <w:rPr>
          <w:rFonts w:asciiTheme="minorHAnsi" w:eastAsiaTheme="minorEastAsia" w:hAnsiTheme="minorHAnsi" w:cstheme="minorBidi"/>
          <w:bCs w:val="0"/>
          <w:kern w:val="2"/>
          <w:szCs w:val="24"/>
          <w14:ligatures w14:val="standardContextual"/>
        </w:rPr>
      </w:pPr>
      <w:hyperlink w:anchor="_Toc213771986" w:history="1">
        <w:r w:rsidRPr="00AC173C">
          <w:rPr>
            <w:rStyle w:val="Hyperlink"/>
          </w:rPr>
          <w:t>5.5.6</w:t>
        </w:r>
        <w:r>
          <w:rPr>
            <w:rFonts w:asciiTheme="minorHAnsi" w:eastAsiaTheme="minorEastAsia" w:hAnsiTheme="minorHAnsi" w:cstheme="minorBidi"/>
            <w:bCs w:val="0"/>
            <w:kern w:val="2"/>
            <w:szCs w:val="24"/>
            <w14:ligatures w14:val="standardContextual"/>
          </w:rPr>
          <w:tab/>
        </w:r>
        <w:r w:rsidRPr="00AC173C">
          <w:rPr>
            <w:rStyle w:val="Hyperlink"/>
          </w:rPr>
          <w:t>Reporting Entity GHG Report and Public GHG Report</w:t>
        </w:r>
        <w:r>
          <w:rPr>
            <w:webHidden/>
          </w:rPr>
          <w:tab/>
        </w:r>
        <w:r>
          <w:rPr>
            <w:webHidden/>
          </w:rPr>
          <w:fldChar w:fldCharType="begin"/>
        </w:r>
        <w:r>
          <w:rPr>
            <w:webHidden/>
          </w:rPr>
          <w:instrText xml:space="preserve"> PAGEREF _Toc213771986 \h </w:instrText>
        </w:r>
        <w:r>
          <w:rPr>
            <w:webHidden/>
          </w:rPr>
        </w:r>
        <w:r>
          <w:rPr>
            <w:webHidden/>
          </w:rPr>
          <w:fldChar w:fldCharType="separate"/>
        </w:r>
        <w:r>
          <w:rPr>
            <w:webHidden/>
          </w:rPr>
          <w:t>243</w:t>
        </w:r>
        <w:r>
          <w:rPr>
            <w:webHidden/>
          </w:rPr>
          <w:fldChar w:fldCharType="end"/>
        </w:r>
      </w:hyperlink>
    </w:p>
    <w:p w14:paraId="6BF6F417" w14:textId="226A3454" w:rsidR="00023ECF" w:rsidRDefault="00023ECF">
      <w:pPr>
        <w:pStyle w:val="TOC3"/>
        <w:rPr>
          <w:rFonts w:asciiTheme="minorHAnsi" w:eastAsiaTheme="minorEastAsia" w:hAnsiTheme="minorHAnsi" w:cstheme="minorBidi"/>
          <w:bCs w:val="0"/>
          <w:kern w:val="2"/>
          <w:szCs w:val="24"/>
          <w14:ligatures w14:val="standardContextual"/>
        </w:rPr>
      </w:pPr>
      <w:hyperlink w:anchor="_Toc213771988" w:history="1">
        <w:r w:rsidRPr="00AC173C">
          <w:rPr>
            <w:rStyle w:val="Hyperlink"/>
          </w:rPr>
          <w:t>5.5.7</w:t>
        </w:r>
        <w:r>
          <w:rPr>
            <w:rFonts w:asciiTheme="minorHAnsi" w:eastAsiaTheme="minorEastAsia" w:hAnsiTheme="minorHAnsi" w:cstheme="minorBidi"/>
            <w:bCs w:val="0"/>
            <w:kern w:val="2"/>
            <w:szCs w:val="24"/>
            <w14:ligatures w14:val="standardContextual"/>
          </w:rPr>
          <w:tab/>
        </w:r>
        <w:r w:rsidRPr="00AC173C">
          <w:rPr>
            <w:rStyle w:val="Hyperlink"/>
          </w:rPr>
          <w:t>Public GHG Report Disclaimers</w:t>
        </w:r>
        <w:r>
          <w:rPr>
            <w:webHidden/>
          </w:rPr>
          <w:tab/>
        </w:r>
        <w:r>
          <w:rPr>
            <w:webHidden/>
          </w:rPr>
          <w:fldChar w:fldCharType="begin"/>
        </w:r>
        <w:r>
          <w:rPr>
            <w:webHidden/>
          </w:rPr>
          <w:instrText xml:space="preserve"> PAGEREF _Toc213771988 \h </w:instrText>
        </w:r>
        <w:r>
          <w:rPr>
            <w:webHidden/>
          </w:rPr>
        </w:r>
        <w:r>
          <w:rPr>
            <w:webHidden/>
          </w:rPr>
          <w:fldChar w:fldCharType="separate"/>
        </w:r>
        <w:r>
          <w:rPr>
            <w:webHidden/>
          </w:rPr>
          <w:t>246</w:t>
        </w:r>
        <w:r>
          <w:rPr>
            <w:webHidden/>
          </w:rPr>
          <w:fldChar w:fldCharType="end"/>
        </w:r>
      </w:hyperlink>
    </w:p>
    <w:p w14:paraId="7BFF0C4A" w14:textId="707A7E5D" w:rsidR="00023ECF" w:rsidRDefault="00023ECF">
      <w:pPr>
        <w:pStyle w:val="TOC1"/>
        <w:rPr>
          <w:rFonts w:asciiTheme="minorHAnsi" w:eastAsiaTheme="minorEastAsia" w:hAnsiTheme="minorHAnsi" w:cstheme="minorBidi"/>
          <w:b w:val="0"/>
          <w:kern w:val="2"/>
          <w:szCs w:val="24"/>
          <w14:ligatures w14:val="standardContextual"/>
        </w:rPr>
      </w:pPr>
      <w:hyperlink w:anchor="_Toc213771989" w:history="1">
        <w:r w:rsidRPr="00AC173C">
          <w:rPr>
            <w:rStyle w:val="Hyperlink"/>
          </w:rPr>
          <w:t>6</w:t>
        </w:r>
        <w:r>
          <w:rPr>
            <w:rFonts w:asciiTheme="minorHAnsi" w:eastAsiaTheme="minorEastAsia" w:hAnsiTheme="minorHAnsi" w:cstheme="minorBidi"/>
            <w:b w:val="0"/>
            <w:kern w:val="2"/>
            <w:szCs w:val="24"/>
            <w14:ligatures w14:val="standardContextual"/>
          </w:rPr>
          <w:tab/>
        </w:r>
        <w:r w:rsidRPr="00AC173C">
          <w:rPr>
            <w:rStyle w:val="Hyperlink"/>
          </w:rPr>
          <w:t>Congestion Rent Eligibility Procedures</w:t>
        </w:r>
        <w:r>
          <w:rPr>
            <w:webHidden/>
          </w:rPr>
          <w:tab/>
        </w:r>
        <w:r>
          <w:rPr>
            <w:webHidden/>
          </w:rPr>
          <w:fldChar w:fldCharType="begin"/>
        </w:r>
        <w:r>
          <w:rPr>
            <w:webHidden/>
          </w:rPr>
          <w:instrText xml:space="preserve"> PAGEREF _Toc213771989 \h </w:instrText>
        </w:r>
        <w:r>
          <w:rPr>
            <w:webHidden/>
          </w:rPr>
        </w:r>
        <w:r>
          <w:rPr>
            <w:webHidden/>
          </w:rPr>
          <w:fldChar w:fldCharType="separate"/>
        </w:r>
        <w:r>
          <w:rPr>
            <w:webHidden/>
          </w:rPr>
          <w:t>247</w:t>
        </w:r>
        <w:r>
          <w:rPr>
            <w:webHidden/>
          </w:rPr>
          <w:fldChar w:fldCharType="end"/>
        </w:r>
      </w:hyperlink>
    </w:p>
    <w:p w14:paraId="02876F7E" w14:textId="3055CE86" w:rsidR="00023ECF" w:rsidRDefault="00023ECF">
      <w:pPr>
        <w:pStyle w:val="TOC2"/>
        <w:rPr>
          <w:rFonts w:asciiTheme="minorHAnsi" w:eastAsiaTheme="minorEastAsia" w:hAnsiTheme="minorHAnsi" w:cstheme="minorBidi"/>
          <w:bCs w:val="0"/>
          <w:kern w:val="2"/>
          <w:szCs w:val="24"/>
          <w14:ligatures w14:val="standardContextual"/>
        </w:rPr>
      </w:pPr>
      <w:hyperlink w:anchor="_Toc213771991" w:history="1">
        <w:r w:rsidRPr="00AC173C">
          <w:rPr>
            <w:rStyle w:val="Hyperlink"/>
          </w:rPr>
          <w:t>6.1</w:t>
        </w:r>
        <w:r>
          <w:rPr>
            <w:rFonts w:asciiTheme="minorHAnsi" w:eastAsiaTheme="minorEastAsia" w:hAnsiTheme="minorHAnsi" w:cstheme="minorBidi"/>
            <w:bCs w:val="0"/>
            <w:kern w:val="2"/>
            <w:szCs w:val="24"/>
            <w14:ligatures w14:val="standardContextual"/>
          </w:rPr>
          <w:tab/>
        </w:r>
        <w:r w:rsidRPr="00AC173C">
          <w:rPr>
            <w:rStyle w:val="Hyperlink"/>
          </w:rPr>
          <w:t>Congestion Rent Eligible Transmission Service Reservation Verification Process</w:t>
        </w:r>
        <w:r>
          <w:rPr>
            <w:webHidden/>
          </w:rPr>
          <w:tab/>
        </w:r>
        <w:r>
          <w:rPr>
            <w:webHidden/>
          </w:rPr>
          <w:fldChar w:fldCharType="begin"/>
        </w:r>
        <w:r>
          <w:rPr>
            <w:webHidden/>
          </w:rPr>
          <w:instrText xml:space="preserve"> PAGEREF _Toc213771991 \h </w:instrText>
        </w:r>
        <w:r>
          <w:rPr>
            <w:webHidden/>
          </w:rPr>
        </w:r>
        <w:r>
          <w:rPr>
            <w:webHidden/>
          </w:rPr>
          <w:fldChar w:fldCharType="separate"/>
        </w:r>
        <w:r>
          <w:rPr>
            <w:webHidden/>
          </w:rPr>
          <w:t>247</w:t>
        </w:r>
        <w:r>
          <w:rPr>
            <w:webHidden/>
          </w:rPr>
          <w:fldChar w:fldCharType="end"/>
        </w:r>
      </w:hyperlink>
    </w:p>
    <w:p w14:paraId="20CCEAF3" w14:textId="5633A742" w:rsidR="00023ECF" w:rsidRDefault="00023ECF">
      <w:pPr>
        <w:pStyle w:val="TOC3"/>
        <w:rPr>
          <w:rFonts w:asciiTheme="minorHAnsi" w:eastAsiaTheme="minorEastAsia" w:hAnsiTheme="minorHAnsi" w:cstheme="minorBidi"/>
          <w:bCs w:val="0"/>
          <w:kern w:val="2"/>
          <w:szCs w:val="24"/>
          <w14:ligatures w14:val="standardContextual"/>
        </w:rPr>
      </w:pPr>
      <w:hyperlink w:anchor="_Toc213771992" w:history="1">
        <w:r w:rsidRPr="00AC173C">
          <w:rPr>
            <w:rStyle w:val="Hyperlink"/>
          </w:rPr>
          <w:t>6.1.1</w:t>
        </w:r>
        <w:r>
          <w:rPr>
            <w:rFonts w:asciiTheme="minorHAnsi" w:eastAsiaTheme="minorEastAsia" w:hAnsiTheme="minorHAnsi" w:cstheme="minorBidi"/>
            <w:bCs w:val="0"/>
            <w:kern w:val="2"/>
            <w:szCs w:val="24"/>
            <w14:ligatures w14:val="standardContextual"/>
          </w:rPr>
          <w:tab/>
        </w:r>
        <w:r w:rsidRPr="00AC173C">
          <w:rPr>
            <w:rStyle w:val="Hyperlink"/>
          </w:rPr>
          <w:t>Transmission Service Reservation Information</w:t>
        </w:r>
        <w:r>
          <w:rPr>
            <w:webHidden/>
          </w:rPr>
          <w:tab/>
        </w:r>
        <w:r>
          <w:rPr>
            <w:webHidden/>
          </w:rPr>
          <w:fldChar w:fldCharType="begin"/>
        </w:r>
        <w:r>
          <w:rPr>
            <w:webHidden/>
          </w:rPr>
          <w:instrText xml:space="preserve"> PAGEREF _Toc213771992 \h </w:instrText>
        </w:r>
        <w:r>
          <w:rPr>
            <w:webHidden/>
          </w:rPr>
        </w:r>
        <w:r>
          <w:rPr>
            <w:webHidden/>
          </w:rPr>
          <w:fldChar w:fldCharType="separate"/>
        </w:r>
        <w:r>
          <w:rPr>
            <w:webHidden/>
          </w:rPr>
          <w:t>247</w:t>
        </w:r>
        <w:r>
          <w:rPr>
            <w:webHidden/>
          </w:rPr>
          <w:fldChar w:fldCharType="end"/>
        </w:r>
      </w:hyperlink>
    </w:p>
    <w:p w14:paraId="705E2C44" w14:textId="3C4D4BFC" w:rsidR="00023ECF" w:rsidRDefault="00023ECF">
      <w:pPr>
        <w:pStyle w:val="TOC4"/>
        <w:rPr>
          <w:rFonts w:asciiTheme="minorHAnsi" w:eastAsiaTheme="minorEastAsia" w:hAnsiTheme="minorHAnsi" w:cstheme="minorBidi"/>
          <w:bCs w:val="0"/>
          <w:kern w:val="2"/>
          <w:szCs w:val="24"/>
          <w14:ligatures w14:val="standardContextual"/>
        </w:rPr>
      </w:pPr>
      <w:hyperlink w:anchor="_Toc213771998" w:history="1">
        <w:r w:rsidRPr="00AC173C">
          <w:rPr>
            <w:rStyle w:val="Hyperlink"/>
          </w:rPr>
          <w:t>6.1.1.1</w:t>
        </w:r>
        <w:r>
          <w:rPr>
            <w:rFonts w:asciiTheme="minorHAnsi" w:eastAsiaTheme="minorEastAsia" w:hAnsiTheme="minorHAnsi" w:cstheme="minorBidi"/>
            <w:bCs w:val="0"/>
            <w:kern w:val="2"/>
            <w:szCs w:val="24"/>
            <w14:ligatures w14:val="standardContextual"/>
          </w:rPr>
          <w:tab/>
        </w:r>
        <w:r w:rsidRPr="00AC173C">
          <w:rPr>
            <w:rStyle w:val="Hyperlink"/>
          </w:rPr>
          <w:t>Firm or Conditional Firm Point-To-Point Transmission Service Reservation Information</w:t>
        </w:r>
        <w:r>
          <w:rPr>
            <w:webHidden/>
          </w:rPr>
          <w:tab/>
        </w:r>
        <w:r>
          <w:rPr>
            <w:webHidden/>
          </w:rPr>
          <w:fldChar w:fldCharType="begin"/>
        </w:r>
        <w:r>
          <w:rPr>
            <w:webHidden/>
          </w:rPr>
          <w:instrText xml:space="preserve"> PAGEREF _Toc213771998 \h </w:instrText>
        </w:r>
        <w:r>
          <w:rPr>
            <w:webHidden/>
          </w:rPr>
        </w:r>
        <w:r>
          <w:rPr>
            <w:webHidden/>
          </w:rPr>
          <w:fldChar w:fldCharType="separate"/>
        </w:r>
        <w:r>
          <w:rPr>
            <w:webHidden/>
          </w:rPr>
          <w:t>247</w:t>
        </w:r>
        <w:r>
          <w:rPr>
            <w:webHidden/>
          </w:rPr>
          <w:fldChar w:fldCharType="end"/>
        </w:r>
      </w:hyperlink>
    </w:p>
    <w:p w14:paraId="67D52230" w14:textId="5FA49F13" w:rsidR="00023ECF" w:rsidRDefault="00023ECF">
      <w:pPr>
        <w:pStyle w:val="TOC4"/>
        <w:rPr>
          <w:rFonts w:asciiTheme="minorHAnsi" w:eastAsiaTheme="minorEastAsia" w:hAnsiTheme="minorHAnsi" w:cstheme="minorBidi"/>
          <w:bCs w:val="0"/>
          <w:kern w:val="2"/>
          <w:szCs w:val="24"/>
          <w14:ligatures w14:val="standardContextual"/>
        </w:rPr>
      </w:pPr>
      <w:hyperlink w:anchor="_Toc213771999" w:history="1">
        <w:r w:rsidRPr="00AC173C">
          <w:rPr>
            <w:rStyle w:val="Hyperlink"/>
          </w:rPr>
          <w:t>6.1.1.2</w:t>
        </w:r>
        <w:r>
          <w:rPr>
            <w:rFonts w:asciiTheme="minorHAnsi" w:eastAsiaTheme="minorEastAsia" w:hAnsiTheme="minorHAnsi" w:cstheme="minorBidi"/>
            <w:bCs w:val="0"/>
            <w:kern w:val="2"/>
            <w:szCs w:val="24"/>
            <w14:ligatures w14:val="standardContextual"/>
          </w:rPr>
          <w:tab/>
        </w:r>
        <w:r w:rsidRPr="00AC173C">
          <w:rPr>
            <w:rStyle w:val="Hyperlink"/>
          </w:rPr>
          <w:t>Network Integration Transmission Service Reservation Information</w:t>
        </w:r>
        <w:r>
          <w:rPr>
            <w:webHidden/>
          </w:rPr>
          <w:tab/>
        </w:r>
        <w:r>
          <w:rPr>
            <w:webHidden/>
          </w:rPr>
          <w:fldChar w:fldCharType="begin"/>
        </w:r>
        <w:r>
          <w:rPr>
            <w:webHidden/>
          </w:rPr>
          <w:instrText xml:space="preserve"> PAGEREF _Toc213771999 \h </w:instrText>
        </w:r>
        <w:r>
          <w:rPr>
            <w:webHidden/>
          </w:rPr>
        </w:r>
        <w:r>
          <w:rPr>
            <w:webHidden/>
          </w:rPr>
          <w:fldChar w:fldCharType="separate"/>
        </w:r>
        <w:r>
          <w:rPr>
            <w:webHidden/>
          </w:rPr>
          <w:t>248</w:t>
        </w:r>
        <w:r>
          <w:rPr>
            <w:webHidden/>
          </w:rPr>
          <w:fldChar w:fldCharType="end"/>
        </w:r>
      </w:hyperlink>
    </w:p>
    <w:p w14:paraId="768D8472" w14:textId="066891A6" w:rsidR="00023ECF" w:rsidRDefault="00023ECF">
      <w:pPr>
        <w:pStyle w:val="TOC4"/>
        <w:rPr>
          <w:rFonts w:asciiTheme="minorHAnsi" w:eastAsiaTheme="minorEastAsia" w:hAnsiTheme="minorHAnsi" w:cstheme="minorBidi"/>
          <w:bCs w:val="0"/>
          <w:kern w:val="2"/>
          <w:szCs w:val="24"/>
          <w14:ligatures w14:val="standardContextual"/>
        </w:rPr>
      </w:pPr>
      <w:hyperlink w:anchor="_Toc213772000" w:history="1">
        <w:r w:rsidRPr="00AC173C">
          <w:rPr>
            <w:rStyle w:val="Hyperlink"/>
          </w:rPr>
          <w:t>6.1.1.3</w:t>
        </w:r>
        <w:r>
          <w:rPr>
            <w:rFonts w:asciiTheme="minorHAnsi" w:eastAsiaTheme="minorEastAsia" w:hAnsiTheme="minorHAnsi" w:cstheme="minorBidi"/>
            <w:bCs w:val="0"/>
            <w:kern w:val="2"/>
            <w:szCs w:val="24"/>
            <w14:ligatures w14:val="standardContextual"/>
          </w:rPr>
          <w:tab/>
        </w:r>
        <w:r w:rsidRPr="00AC173C">
          <w:rPr>
            <w:rStyle w:val="Hyperlink"/>
          </w:rPr>
          <w:t>Legacy Transmission Service Reservation Information</w:t>
        </w:r>
        <w:r>
          <w:rPr>
            <w:webHidden/>
          </w:rPr>
          <w:tab/>
        </w:r>
        <w:r>
          <w:rPr>
            <w:webHidden/>
          </w:rPr>
          <w:fldChar w:fldCharType="begin"/>
        </w:r>
        <w:r>
          <w:rPr>
            <w:webHidden/>
          </w:rPr>
          <w:instrText xml:space="preserve"> PAGEREF _Toc213772000 \h </w:instrText>
        </w:r>
        <w:r>
          <w:rPr>
            <w:webHidden/>
          </w:rPr>
        </w:r>
        <w:r>
          <w:rPr>
            <w:webHidden/>
          </w:rPr>
          <w:fldChar w:fldCharType="separate"/>
        </w:r>
        <w:r>
          <w:rPr>
            <w:webHidden/>
          </w:rPr>
          <w:t>248</w:t>
        </w:r>
        <w:r>
          <w:rPr>
            <w:webHidden/>
          </w:rPr>
          <w:fldChar w:fldCharType="end"/>
        </w:r>
      </w:hyperlink>
    </w:p>
    <w:p w14:paraId="2E1EF0AB" w14:textId="75628EFB" w:rsidR="00023ECF" w:rsidRDefault="00023ECF">
      <w:pPr>
        <w:pStyle w:val="TOC4"/>
        <w:rPr>
          <w:rFonts w:asciiTheme="minorHAnsi" w:eastAsiaTheme="minorEastAsia" w:hAnsiTheme="minorHAnsi" w:cstheme="minorBidi"/>
          <w:bCs w:val="0"/>
          <w:kern w:val="2"/>
          <w:szCs w:val="24"/>
          <w14:ligatures w14:val="standardContextual"/>
        </w:rPr>
      </w:pPr>
      <w:hyperlink w:anchor="_Toc213772001" w:history="1">
        <w:r w:rsidRPr="00AC173C">
          <w:rPr>
            <w:rStyle w:val="Hyperlink"/>
          </w:rPr>
          <w:t>6.1.1.4</w:t>
        </w:r>
        <w:r>
          <w:rPr>
            <w:rFonts w:asciiTheme="minorHAnsi" w:eastAsiaTheme="minorEastAsia" w:hAnsiTheme="minorHAnsi" w:cstheme="minorBidi"/>
            <w:bCs w:val="0"/>
            <w:kern w:val="2"/>
            <w:szCs w:val="24"/>
            <w14:ligatures w14:val="standardContextual"/>
          </w:rPr>
          <w:tab/>
        </w:r>
        <w:r w:rsidRPr="00AC173C">
          <w:rPr>
            <w:rStyle w:val="Hyperlink"/>
          </w:rPr>
          <w:t>Special Eligibility Rules for Resales, Redirects, Opt-Ins, and Opt-Outs</w:t>
        </w:r>
        <w:r>
          <w:rPr>
            <w:webHidden/>
          </w:rPr>
          <w:tab/>
        </w:r>
        <w:r>
          <w:rPr>
            <w:webHidden/>
          </w:rPr>
          <w:fldChar w:fldCharType="begin"/>
        </w:r>
        <w:r>
          <w:rPr>
            <w:webHidden/>
          </w:rPr>
          <w:instrText xml:space="preserve"> PAGEREF _Toc213772001 \h </w:instrText>
        </w:r>
        <w:r>
          <w:rPr>
            <w:webHidden/>
          </w:rPr>
        </w:r>
        <w:r>
          <w:rPr>
            <w:webHidden/>
          </w:rPr>
          <w:fldChar w:fldCharType="separate"/>
        </w:r>
        <w:r>
          <w:rPr>
            <w:webHidden/>
          </w:rPr>
          <w:t>249</w:t>
        </w:r>
        <w:r>
          <w:rPr>
            <w:webHidden/>
          </w:rPr>
          <w:fldChar w:fldCharType="end"/>
        </w:r>
      </w:hyperlink>
    </w:p>
    <w:p w14:paraId="74038F48" w14:textId="5E353806" w:rsidR="00023ECF" w:rsidRDefault="00023ECF">
      <w:pPr>
        <w:pStyle w:val="TOC2"/>
        <w:rPr>
          <w:rFonts w:asciiTheme="minorHAnsi" w:eastAsiaTheme="minorEastAsia" w:hAnsiTheme="minorHAnsi" w:cstheme="minorBidi"/>
          <w:bCs w:val="0"/>
          <w:kern w:val="2"/>
          <w:szCs w:val="24"/>
          <w14:ligatures w14:val="standardContextual"/>
        </w:rPr>
      </w:pPr>
      <w:hyperlink w:anchor="_Toc213772002" w:history="1">
        <w:r w:rsidRPr="00AC173C">
          <w:rPr>
            <w:rStyle w:val="Hyperlink"/>
          </w:rPr>
          <w:t>6.2</w:t>
        </w:r>
        <w:r>
          <w:rPr>
            <w:rFonts w:asciiTheme="minorHAnsi" w:eastAsiaTheme="minorEastAsia" w:hAnsiTheme="minorHAnsi" w:cstheme="minorBidi"/>
            <w:bCs w:val="0"/>
            <w:kern w:val="2"/>
            <w:szCs w:val="24"/>
            <w14:ligatures w14:val="standardContextual"/>
          </w:rPr>
          <w:tab/>
        </w:r>
        <w:r w:rsidRPr="00AC173C">
          <w:rPr>
            <w:rStyle w:val="Hyperlink"/>
          </w:rPr>
          <w:t>Verification Process</w:t>
        </w:r>
        <w:r>
          <w:rPr>
            <w:webHidden/>
          </w:rPr>
          <w:tab/>
        </w:r>
        <w:r>
          <w:rPr>
            <w:webHidden/>
          </w:rPr>
          <w:fldChar w:fldCharType="begin"/>
        </w:r>
        <w:r>
          <w:rPr>
            <w:webHidden/>
          </w:rPr>
          <w:instrText xml:space="preserve"> PAGEREF _Toc213772002 \h </w:instrText>
        </w:r>
        <w:r>
          <w:rPr>
            <w:webHidden/>
          </w:rPr>
        </w:r>
        <w:r>
          <w:rPr>
            <w:webHidden/>
          </w:rPr>
          <w:fldChar w:fldCharType="separate"/>
        </w:r>
        <w:r>
          <w:rPr>
            <w:webHidden/>
          </w:rPr>
          <w:t>249</w:t>
        </w:r>
        <w:r>
          <w:rPr>
            <w:webHidden/>
          </w:rPr>
          <w:fldChar w:fldCharType="end"/>
        </w:r>
      </w:hyperlink>
    </w:p>
    <w:p w14:paraId="479CC214" w14:textId="03206FD4" w:rsidR="00023ECF" w:rsidRDefault="00023ECF">
      <w:pPr>
        <w:pStyle w:val="TOC3"/>
        <w:rPr>
          <w:rFonts w:asciiTheme="minorHAnsi" w:eastAsiaTheme="minorEastAsia" w:hAnsiTheme="minorHAnsi" w:cstheme="minorBidi"/>
          <w:bCs w:val="0"/>
          <w:kern w:val="2"/>
          <w:szCs w:val="24"/>
          <w14:ligatures w14:val="standardContextual"/>
        </w:rPr>
      </w:pPr>
      <w:hyperlink w:anchor="_Toc213772003" w:history="1">
        <w:r w:rsidRPr="00AC173C">
          <w:rPr>
            <w:rStyle w:val="Hyperlink"/>
          </w:rPr>
          <w:t>6.2.1</w:t>
        </w:r>
        <w:r>
          <w:rPr>
            <w:rFonts w:asciiTheme="minorHAnsi" w:eastAsiaTheme="minorEastAsia" w:hAnsiTheme="minorHAnsi" w:cstheme="minorBidi"/>
            <w:bCs w:val="0"/>
            <w:kern w:val="2"/>
            <w:szCs w:val="24"/>
            <w14:ligatures w14:val="standardContextual"/>
          </w:rPr>
          <w:tab/>
        </w:r>
        <w:r w:rsidRPr="00AC173C">
          <w:rPr>
            <w:rStyle w:val="Hyperlink"/>
          </w:rPr>
          <w:t>Point-to-Point Reservation MW</w:t>
        </w:r>
        <w:r>
          <w:rPr>
            <w:webHidden/>
          </w:rPr>
          <w:tab/>
        </w:r>
        <w:r>
          <w:rPr>
            <w:webHidden/>
          </w:rPr>
          <w:fldChar w:fldCharType="begin"/>
        </w:r>
        <w:r>
          <w:rPr>
            <w:webHidden/>
          </w:rPr>
          <w:instrText xml:space="preserve"> PAGEREF _Toc213772003 \h </w:instrText>
        </w:r>
        <w:r>
          <w:rPr>
            <w:webHidden/>
          </w:rPr>
        </w:r>
        <w:r>
          <w:rPr>
            <w:webHidden/>
          </w:rPr>
          <w:fldChar w:fldCharType="separate"/>
        </w:r>
        <w:r>
          <w:rPr>
            <w:webHidden/>
          </w:rPr>
          <w:t>252</w:t>
        </w:r>
        <w:r>
          <w:rPr>
            <w:webHidden/>
          </w:rPr>
          <w:fldChar w:fldCharType="end"/>
        </w:r>
      </w:hyperlink>
    </w:p>
    <w:p w14:paraId="63CE5C18" w14:textId="4CF441C4" w:rsidR="00023ECF" w:rsidRDefault="00023ECF">
      <w:pPr>
        <w:pStyle w:val="TOC3"/>
        <w:rPr>
          <w:rFonts w:asciiTheme="minorHAnsi" w:eastAsiaTheme="minorEastAsia" w:hAnsiTheme="minorHAnsi" w:cstheme="minorBidi"/>
          <w:bCs w:val="0"/>
          <w:kern w:val="2"/>
          <w:szCs w:val="24"/>
          <w14:ligatures w14:val="standardContextual"/>
        </w:rPr>
      </w:pPr>
      <w:hyperlink w:anchor="_Toc213772004" w:history="1">
        <w:r w:rsidRPr="00AC173C">
          <w:rPr>
            <w:rStyle w:val="Hyperlink"/>
          </w:rPr>
          <w:t>6.2.2</w:t>
        </w:r>
        <w:r>
          <w:rPr>
            <w:rFonts w:asciiTheme="minorHAnsi" w:eastAsiaTheme="minorEastAsia" w:hAnsiTheme="minorHAnsi" w:cstheme="minorBidi"/>
            <w:bCs w:val="0"/>
            <w:kern w:val="2"/>
            <w:szCs w:val="24"/>
            <w14:ligatures w14:val="standardContextual"/>
          </w:rPr>
          <w:tab/>
        </w:r>
        <w:r w:rsidRPr="00AC173C">
          <w:rPr>
            <w:rStyle w:val="Hyperlink"/>
          </w:rPr>
          <w:t>Network Integration Transmission Service Reservation MW</w:t>
        </w:r>
        <w:r>
          <w:rPr>
            <w:webHidden/>
          </w:rPr>
          <w:tab/>
        </w:r>
        <w:r>
          <w:rPr>
            <w:webHidden/>
          </w:rPr>
          <w:fldChar w:fldCharType="begin"/>
        </w:r>
        <w:r>
          <w:rPr>
            <w:webHidden/>
          </w:rPr>
          <w:instrText xml:space="preserve"> PAGEREF _Toc213772004 \h </w:instrText>
        </w:r>
        <w:r>
          <w:rPr>
            <w:webHidden/>
          </w:rPr>
        </w:r>
        <w:r>
          <w:rPr>
            <w:webHidden/>
          </w:rPr>
          <w:fldChar w:fldCharType="separate"/>
        </w:r>
        <w:r>
          <w:rPr>
            <w:webHidden/>
          </w:rPr>
          <w:t>252</w:t>
        </w:r>
        <w:r>
          <w:rPr>
            <w:webHidden/>
          </w:rPr>
          <w:fldChar w:fldCharType="end"/>
        </w:r>
      </w:hyperlink>
    </w:p>
    <w:p w14:paraId="7EAFF4F5" w14:textId="7B128783" w:rsidR="00023ECF" w:rsidRDefault="00023ECF">
      <w:pPr>
        <w:pStyle w:val="TOC2"/>
        <w:rPr>
          <w:rFonts w:asciiTheme="minorHAnsi" w:eastAsiaTheme="minorEastAsia" w:hAnsiTheme="minorHAnsi" w:cstheme="minorBidi"/>
          <w:bCs w:val="0"/>
          <w:kern w:val="2"/>
          <w:szCs w:val="24"/>
          <w14:ligatures w14:val="standardContextual"/>
        </w:rPr>
      </w:pPr>
      <w:hyperlink w:anchor="_Toc213772005" w:history="1">
        <w:r w:rsidRPr="00AC173C">
          <w:rPr>
            <w:rStyle w:val="Hyperlink"/>
          </w:rPr>
          <w:t>6.3</w:t>
        </w:r>
        <w:r>
          <w:rPr>
            <w:rFonts w:asciiTheme="minorHAnsi" w:eastAsiaTheme="minorEastAsia" w:hAnsiTheme="minorHAnsi" w:cstheme="minorBidi"/>
            <w:bCs w:val="0"/>
            <w:kern w:val="2"/>
            <w:szCs w:val="24"/>
            <w14:ligatures w14:val="standardContextual"/>
          </w:rPr>
          <w:tab/>
        </w:r>
        <w:r w:rsidRPr="00AC173C">
          <w:rPr>
            <w:rStyle w:val="Hyperlink"/>
          </w:rPr>
          <w:t>Coordinated Interchange Scheduling Limits</w:t>
        </w:r>
        <w:r>
          <w:rPr>
            <w:webHidden/>
          </w:rPr>
          <w:tab/>
        </w:r>
        <w:r>
          <w:rPr>
            <w:webHidden/>
          </w:rPr>
          <w:fldChar w:fldCharType="begin"/>
        </w:r>
        <w:r>
          <w:rPr>
            <w:webHidden/>
          </w:rPr>
          <w:instrText xml:space="preserve"> PAGEREF _Toc213772005 \h </w:instrText>
        </w:r>
        <w:r>
          <w:rPr>
            <w:webHidden/>
          </w:rPr>
        </w:r>
        <w:r>
          <w:rPr>
            <w:webHidden/>
          </w:rPr>
          <w:fldChar w:fldCharType="separate"/>
        </w:r>
        <w:r>
          <w:rPr>
            <w:webHidden/>
          </w:rPr>
          <w:t>258</w:t>
        </w:r>
        <w:r>
          <w:rPr>
            <w:webHidden/>
          </w:rPr>
          <w:fldChar w:fldCharType="end"/>
        </w:r>
      </w:hyperlink>
    </w:p>
    <w:p w14:paraId="3F555EF4" w14:textId="550EC5E8" w:rsidR="00023ECF" w:rsidRDefault="00023ECF">
      <w:pPr>
        <w:pStyle w:val="TOC2"/>
        <w:rPr>
          <w:rFonts w:asciiTheme="minorHAnsi" w:eastAsiaTheme="minorEastAsia" w:hAnsiTheme="minorHAnsi" w:cstheme="minorBidi"/>
          <w:bCs w:val="0"/>
          <w:kern w:val="2"/>
          <w:szCs w:val="24"/>
          <w14:ligatures w14:val="standardContextual"/>
        </w:rPr>
      </w:pPr>
      <w:hyperlink w:anchor="_Toc213772006" w:history="1">
        <w:r w:rsidRPr="00AC173C">
          <w:rPr>
            <w:rStyle w:val="Hyperlink"/>
          </w:rPr>
          <w:t>6.4</w:t>
        </w:r>
        <w:r>
          <w:rPr>
            <w:rFonts w:asciiTheme="minorHAnsi" w:eastAsiaTheme="minorEastAsia" w:hAnsiTheme="minorHAnsi" w:cstheme="minorBidi"/>
            <w:bCs w:val="0"/>
            <w:kern w:val="2"/>
            <w:szCs w:val="24"/>
            <w14:ligatures w14:val="standardContextual"/>
          </w:rPr>
          <w:tab/>
        </w:r>
        <w:r w:rsidRPr="00AC173C">
          <w:rPr>
            <w:rStyle w:val="Hyperlink"/>
          </w:rPr>
          <w:t>Congestion Rent Reporting</w:t>
        </w:r>
        <w:r>
          <w:rPr>
            <w:webHidden/>
          </w:rPr>
          <w:tab/>
        </w:r>
        <w:r>
          <w:rPr>
            <w:webHidden/>
          </w:rPr>
          <w:fldChar w:fldCharType="begin"/>
        </w:r>
        <w:r>
          <w:rPr>
            <w:webHidden/>
          </w:rPr>
          <w:instrText xml:space="preserve"> PAGEREF _Toc213772006 \h </w:instrText>
        </w:r>
        <w:r>
          <w:rPr>
            <w:webHidden/>
          </w:rPr>
        </w:r>
        <w:r>
          <w:rPr>
            <w:webHidden/>
          </w:rPr>
          <w:fldChar w:fldCharType="separate"/>
        </w:r>
        <w:r>
          <w:rPr>
            <w:webHidden/>
          </w:rPr>
          <w:t>259</w:t>
        </w:r>
        <w:r>
          <w:rPr>
            <w:webHidden/>
          </w:rPr>
          <w:fldChar w:fldCharType="end"/>
        </w:r>
      </w:hyperlink>
    </w:p>
    <w:p w14:paraId="49288B89" w14:textId="3AA189FE" w:rsidR="00023ECF" w:rsidRDefault="00023ECF">
      <w:pPr>
        <w:pStyle w:val="TOC1"/>
        <w:rPr>
          <w:rFonts w:asciiTheme="minorHAnsi" w:eastAsiaTheme="minorEastAsia" w:hAnsiTheme="minorHAnsi" w:cstheme="minorBidi"/>
          <w:b w:val="0"/>
          <w:kern w:val="2"/>
          <w:szCs w:val="24"/>
          <w14:ligatures w14:val="standardContextual"/>
        </w:rPr>
      </w:pPr>
      <w:hyperlink w:anchor="_Toc213772007" w:history="1">
        <w:r w:rsidRPr="00AC173C">
          <w:rPr>
            <w:rStyle w:val="Hyperlink"/>
          </w:rPr>
          <w:t>7</w:t>
        </w:r>
        <w:r>
          <w:rPr>
            <w:rFonts w:asciiTheme="minorHAnsi" w:eastAsiaTheme="minorEastAsia" w:hAnsiTheme="minorHAnsi" w:cstheme="minorBidi"/>
            <w:b w:val="0"/>
            <w:kern w:val="2"/>
            <w:szCs w:val="24"/>
            <w14:ligatures w14:val="standardContextual"/>
          </w:rPr>
          <w:tab/>
        </w:r>
        <w:r w:rsidRPr="00AC173C">
          <w:rPr>
            <w:rStyle w:val="Hyperlink"/>
          </w:rPr>
          <w:t>Market Transmission Use</w:t>
        </w:r>
        <w:r>
          <w:rPr>
            <w:webHidden/>
          </w:rPr>
          <w:tab/>
        </w:r>
        <w:r>
          <w:rPr>
            <w:webHidden/>
          </w:rPr>
          <w:fldChar w:fldCharType="begin"/>
        </w:r>
        <w:r>
          <w:rPr>
            <w:webHidden/>
          </w:rPr>
          <w:instrText xml:space="preserve"> PAGEREF _Toc213772007 \h </w:instrText>
        </w:r>
        <w:r>
          <w:rPr>
            <w:webHidden/>
          </w:rPr>
        </w:r>
        <w:r>
          <w:rPr>
            <w:webHidden/>
          </w:rPr>
          <w:fldChar w:fldCharType="separate"/>
        </w:r>
        <w:r>
          <w:rPr>
            <w:webHidden/>
          </w:rPr>
          <w:t>260</w:t>
        </w:r>
        <w:r>
          <w:rPr>
            <w:webHidden/>
          </w:rPr>
          <w:fldChar w:fldCharType="end"/>
        </w:r>
      </w:hyperlink>
    </w:p>
    <w:p w14:paraId="337DD8E4" w14:textId="0A23C14B" w:rsidR="00023ECF" w:rsidRDefault="00023ECF">
      <w:pPr>
        <w:pStyle w:val="TOC2"/>
        <w:rPr>
          <w:rFonts w:asciiTheme="minorHAnsi" w:eastAsiaTheme="minorEastAsia" w:hAnsiTheme="minorHAnsi" w:cstheme="minorBidi"/>
          <w:bCs w:val="0"/>
          <w:kern w:val="2"/>
          <w:szCs w:val="24"/>
          <w14:ligatures w14:val="standardContextual"/>
        </w:rPr>
      </w:pPr>
      <w:hyperlink w:anchor="_Toc213772010" w:history="1">
        <w:r w:rsidRPr="00AC173C">
          <w:rPr>
            <w:rStyle w:val="Hyperlink"/>
          </w:rPr>
          <w:t>7.1</w:t>
        </w:r>
        <w:r>
          <w:rPr>
            <w:rFonts w:asciiTheme="minorHAnsi" w:eastAsiaTheme="minorEastAsia" w:hAnsiTheme="minorHAnsi" w:cstheme="minorBidi"/>
            <w:bCs w:val="0"/>
            <w:kern w:val="2"/>
            <w:szCs w:val="24"/>
            <w14:ligatures w14:val="standardContextual"/>
          </w:rPr>
          <w:tab/>
        </w:r>
        <w:r w:rsidRPr="00AC173C">
          <w:rPr>
            <w:rStyle w:val="Hyperlink"/>
          </w:rPr>
          <w:t>General</w:t>
        </w:r>
        <w:r>
          <w:rPr>
            <w:webHidden/>
          </w:rPr>
          <w:tab/>
        </w:r>
        <w:r>
          <w:rPr>
            <w:webHidden/>
          </w:rPr>
          <w:fldChar w:fldCharType="begin"/>
        </w:r>
        <w:r>
          <w:rPr>
            <w:webHidden/>
          </w:rPr>
          <w:instrText xml:space="preserve"> PAGEREF _Toc213772010 \h </w:instrText>
        </w:r>
        <w:r>
          <w:rPr>
            <w:webHidden/>
          </w:rPr>
        </w:r>
        <w:r>
          <w:rPr>
            <w:webHidden/>
          </w:rPr>
          <w:fldChar w:fldCharType="separate"/>
        </w:r>
        <w:r>
          <w:rPr>
            <w:webHidden/>
          </w:rPr>
          <w:t>260</w:t>
        </w:r>
        <w:r>
          <w:rPr>
            <w:webHidden/>
          </w:rPr>
          <w:fldChar w:fldCharType="end"/>
        </w:r>
      </w:hyperlink>
    </w:p>
    <w:p w14:paraId="7DF67FA9" w14:textId="5ACDE698" w:rsidR="00023ECF" w:rsidRDefault="00023ECF">
      <w:pPr>
        <w:pStyle w:val="TOC2"/>
        <w:rPr>
          <w:rFonts w:asciiTheme="minorHAnsi" w:eastAsiaTheme="minorEastAsia" w:hAnsiTheme="minorHAnsi" w:cstheme="minorBidi"/>
          <w:bCs w:val="0"/>
          <w:kern w:val="2"/>
          <w:szCs w:val="24"/>
          <w14:ligatures w14:val="standardContextual"/>
        </w:rPr>
      </w:pPr>
      <w:hyperlink w:anchor="_Toc213772011" w:history="1">
        <w:r w:rsidRPr="00AC173C">
          <w:rPr>
            <w:rStyle w:val="Hyperlink"/>
          </w:rPr>
          <w:t>7.2</w:t>
        </w:r>
        <w:r>
          <w:rPr>
            <w:rFonts w:asciiTheme="minorHAnsi" w:eastAsiaTheme="minorEastAsia" w:hAnsiTheme="minorHAnsi" w:cstheme="minorBidi"/>
            <w:bCs w:val="0"/>
            <w:kern w:val="2"/>
            <w:szCs w:val="24"/>
            <w14:ligatures w14:val="standardContextual"/>
          </w:rPr>
          <w:tab/>
        </w:r>
        <w:r w:rsidRPr="00AC173C">
          <w:rPr>
            <w:rStyle w:val="Hyperlink"/>
          </w:rPr>
          <w:t>Rate Formula</w:t>
        </w:r>
        <w:r>
          <w:rPr>
            <w:webHidden/>
          </w:rPr>
          <w:tab/>
        </w:r>
        <w:r>
          <w:rPr>
            <w:webHidden/>
          </w:rPr>
          <w:fldChar w:fldCharType="begin"/>
        </w:r>
        <w:r>
          <w:rPr>
            <w:webHidden/>
          </w:rPr>
          <w:instrText xml:space="preserve"> PAGEREF _Toc213772011 \h </w:instrText>
        </w:r>
        <w:r>
          <w:rPr>
            <w:webHidden/>
          </w:rPr>
        </w:r>
        <w:r>
          <w:rPr>
            <w:webHidden/>
          </w:rPr>
          <w:fldChar w:fldCharType="separate"/>
        </w:r>
        <w:r>
          <w:rPr>
            <w:webHidden/>
          </w:rPr>
          <w:t>260</w:t>
        </w:r>
        <w:r>
          <w:rPr>
            <w:webHidden/>
          </w:rPr>
          <w:fldChar w:fldCharType="end"/>
        </w:r>
      </w:hyperlink>
    </w:p>
    <w:p w14:paraId="748C789E" w14:textId="2AC573F5" w:rsidR="00023ECF" w:rsidRDefault="00023ECF">
      <w:pPr>
        <w:pStyle w:val="TOC2"/>
        <w:rPr>
          <w:rFonts w:asciiTheme="minorHAnsi" w:eastAsiaTheme="minorEastAsia" w:hAnsiTheme="minorHAnsi" w:cstheme="minorBidi"/>
          <w:bCs w:val="0"/>
          <w:kern w:val="2"/>
          <w:szCs w:val="24"/>
          <w14:ligatures w14:val="standardContextual"/>
        </w:rPr>
      </w:pPr>
      <w:hyperlink w:anchor="_Toc213772012" w:history="1">
        <w:r w:rsidRPr="00AC173C">
          <w:rPr>
            <w:rStyle w:val="Hyperlink"/>
          </w:rPr>
          <w:t>7.3</w:t>
        </w:r>
        <w:r>
          <w:rPr>
            <w:rFonts w:asciiTheme="minorHAnsi" w:eastAsiaTheme="minorEastAsia" w:hAnsiTheme="minorHAnsi" w:cstheme="minorBidi"/>
            <w:bCs w:val="0"/>
            <w:kern w:val="2"/>
            <w:szCs w:val="24"/>
            <w14:ligatures w14:val="standardContextual"/>
          </w:rPr>
          <w:tab/>
        </w:r>
        <w:r w:rsidRPr="00AC173C">
          <w:rPr>
            <w:rStyle w:val="Hyperlink"/>
          </w:rPr>
          <w:t>Market Transmission Use Charges for Market Activity in the Real-Time Balancing Market (RTBM)</w:t>
        </w:r>
        <w:r>
          <w:rPr>
            <w:webHidden/>
          </w:rPr>
          <w:tab/>
        </w:r>
        <w:r>
          <w:rPr>
            <w:webHidden/>
          </w:rPr>
          <w:fldChar w:fldCharType="begin"/>
        </w:r>
        <w:r>
          <w:rPr>
            <w:webHidden/>
          </w:rPr>
          <w:instrText xml:space="preserve"> PAGEREF _Toc213772012 \h </w:instrText>
        </w:r>
        <w:r>
          <w:rPr>
            <w:webHidden/>
          </w:rPr>
        </w:r>
        <w:r>
          <w:rPr>
            <w:webHidden/>
          </w:rPr>
          <w:fldChar w:fldCharType="separate"/>
        </w:r>
        <w:r>
          <w:rPr>
            <w:webHidden/>
          </w:rPr>
          <w:t>260</w:t>
        </w:r>
        <w:r>
          <w:rPr>
            <w:webHidden/>
          </w:rPr>
          <w:fldChar w:fldCharType="end"/>
        </w:r>
      </w:hyperlink>
    </w:p>
    <w:p w14:paraId="4BFC39E9" w14:textId="7CF6083C" w:rsidR="00023ECF" w:rsidRDefault="00023ECF">
      <w:pPr>
        <w:pStyle w:val="TOC2"/>
        <w:rPr>
          <w:rFonts w:asciiTheme="minorHAnsi" w:eastAsiaTheme="minorEastAsia" w:hAnsiTheme="minorHAnsi" w:cstheme="minorBidi"/>
          <w:bCs w:val="0"/>
          <w:kern w:val="2"/>
          <w:szCs w:val="24"/>
          <w14:ligatures w14:val="standardContextual"/>
        </w:rPr>
      </w:pPr>
      <w:hyperlink w:anchor="_Toc213772013" w:history="1">
        <w:r w:rsidRPr="00AC173C">
          <w:rPr>
            <w:rStyle w:val="Hyperlink"/>
          </w:rPr>
          <w:t>7.4</w:t>
        </w:r>
        <w:r>
          <w:rPr>
            <w:rFonts w:asciiTheme="minorHAnsi" w:eastAsiaTheme="minorEastAsia" w:hAnsiTheme="minorHAnsi" w:cstheme="minorBidi"/>
            <w:bCs w:val="0"/>
            <w:kern w:val="2"/>
            <w:szCs w:val="24"/>
            <w14:ligatures w14:val="standardContextual"/>
          </w:rPr>
          <w:tab/>
        </w:r>
        <w:r w:rsidRPr="00AC173C">
          <w:rPr>
            <w:rStyle w:val="Hyperlink"/>
          </w:rPr>
          <w:t>Market Transmission Use Revenue from Real-Time Balancing Market Settlement</w:t>
        </w:r>
        <w:r>
          <w:rPr>
            <w:webHidden/>
          </w:rPr>
          <w:tab/>
        </w:r>
        <w:r>
          <w:rPr>
            <w:webHidden/>
          </w:rPr>
          <w:fldChar w:fldCharType="begin"/>
        </w:r>
        <w:r>
          <w:rPr>
            <w:webHidden/>
          </w:rPr>
          <w:instrText xml:space="preserve"> PAGEREF _Toc213772013 \h </w:instrText>
        </w:r>
        <w:r>
          <w:rPr>
            <w:webHidden/>
          </w:rPr>
        </w:r>
        <w:r>
          <w:rPr>
            <w:webHidden/>
          </w:rPr>
          <w:fldChar w:fldCharType="separate"/>
        </w:r>
        <w:r>
          <w:rPr>
            <w:webHidden/>
          </w:rPr>
          <w:t>260</w:t>
        </w:r>
        <w:r>
          <w:rPr>
            <w:webHidden/>
          </w:rPr>
          <w:fldChar w:fldCharType="end"/>
        </w:r>
      </w:hyperlink>
    </w:p>
    <w:p w14:paraId="26468ADE" w14:textId="6FBE1524" w:rsidR="00023ECF" w:rsidRDefault="00023ECF">
      <w:pPr>
        <w:pStyle w:val="TOC2"/>
        <w:rPr>
          <w:rFonts w:asciiTheme="minorHAnsi" w:eastAsiaTheme="minorEastAsia" w:hAnsiTheme="minorHAnsi" w:cstheme="minorBidi"/>
          <w:bCs w:val="0"/>
          <w:kern w:val="2"/>
          <w:szCs w:val="24"/>
          <w14:ligatures w14:val="standardContextual"/>
        </w:rPr>
      </w:pPr>
      <w:hyperlink w:anchor="_Toc213772014" w:history="1">
        <w:r w:rsidRPr="00AC173C">
          <w:rPr>
            <w:rStyle w:val="Hyperlink"/>
          </w:rPr>
          <w:t>7.5</w:t>
        </w:r>
        <w:r>
          <w:rPr>
            <w:rFonts w:asciiTheme="minorHAnsi" w:eastAsiaTheme="minorEastAsia" w:hAnsiTheme="minorHAnsi" w:cstheme="minorBidi"/>
            <w:bCs w:val="0"/>
            <w:kern w:val="2"/>
            <w:szCs w:val="24"/>
            <w14:ligatures w14:val="standardContextual"/>
          </w:rPr>
          <w:tab/>
        </w:r>
        <w:r w:rsidRPr="00AC173C">
          <w:rPr>
            <w:rStyle w:val="Hyperlink"/>
          </w:rPr>
          <w:t>Market Transmission Use Revenue Distribution from Real-Time Balancing Market Settlement</w:t>
        </w:r>
        <w:r>
          <w:rPr>
            <w:webHidden/>
          </w:rPr>
          <w:tab/>
        </w:r>
        <w:r>
          <w:rPr>
            <w:webHidden/>
          </w:rPr>
          <w:fldChar w:fldCharType="begin"/>
        </w:r>
        <w:r>
          <w:rPr>
            <w:webHidden/>
          </w:rPr>
          <w:instrText xml:space="preserve"> PAGEREF _Toc213772014 \h </w:instrText>
        </w:r>
        <w:r>
          <w:rPr>
            <w:webHidden/>
          </w:rPr>
        </w:r>
        <w:r>
          <w:rPr>
            <w:webHidden/>
          </w:rPr>
          <w:fldChar w:fldCharType="separate"/>
        </w:r>
        <w:r>
          <w:rPr>
            <w:webHidden/>
          </w:rPr>
          <w:t>261</w:t>
        </w:r>
        <w:r>
          <w:rPr>
            <w:webHidden/>
          </w:rPr>
          <w:fldChar w:fldCharType="end"/>
        </w:r>
      </w:hyperlink>
    </w:p>
    <w:p w14:paraId="7B4A3DB6" w14:textId="64D7D41E" w:rsidR="00023ECF" w:rsidRDefault="00023ECF">
      <w:pPr>
        <w:pStyle w:val="TOC2"/>
        <w:rPr>
          <w:rFonts w:asciiTheme="minorHAnsi" w:eastAsiaTheme="minorEastAsia" w:hAnsiTheme="minorHAnsi" w:cstheme="minorBidi"/>
          <w:bCs w:val="0"/>
          <w:kern w:val="2"/>
          <w:szCs w:val="24"/>
          <w14:ligatures w14:val="standardContextual"/>
        </w:rPr>
      </w:pPr>
      <w:hyperlink w:anchor="_Toc213772015" w:history="1">
        <w:r w:rsidRPr="00AC173C">
          <w:rPr>
            <w:rStyle w:val="Hyperlink"/>
          </w:rPr>
          <w:t>7.6</w:t>
        </w:r>
        <w:r>
          <w:rPr>
            <w:rFonts w:asciiTheme="minorHAnsi" w:eastAsiaTheme="minorEastAsia" w:hAnsiTheme="minorHAnsi" w:cstheme="minorBidi"/>
            <w:bCs w:val="0"/>
            <w:kern w:val="2"/>
            <w:szCs w:val="24"/>
            <w14:ligatures w14:val="standardContextual"/>
          </w:rPr>
          <w:tab/>
        </w:r>
        <w:r w:rsidRPr="00AC173C">
          <w:rPr>
            <w:rStyle w:val="Hyperlink"/>
          </w:rPr>
          <w:t>Market Transmission Use Revenue Crediting and Impacts to Future Year’s Recovery</w:t>
        </w:r>
        <w:r>
          <w:rPr>
            <w:webHidden/>
          </w:rPr>
          <w:tab/>
        </w:r>
        <w:r>
          <w:rPr>
            <w:webHidden/>
          </w:rPr>
          <w:fldChar w:fldCharType="begin"/>
        </w:r>
        <w:r>
          <w:rPr>
            <w:webHidden/>
          </w:rPr>
          <w:instrText xml:space="preserve"> PAGEREF _Toc213772015 \h </w:instrText>
        </w:r>
        <w:r>
          <w:rPr>
            <w:webHidden/>
          </w:rPr>
        </w:r>
        <w:r>
          <w:rPr>
            <w:webHidden/>
          </w:rPr>
          <w:fldChar w:fldCharType="separate"/>
        </w:r>
        <w:r>
          <w:rPr>
            <w:webHidden/>
          </w:rPr>
          <w:t>261</w:t>
        </w:r>
        <w:r>
          <w:rPr>
            <w:webHidden/>
          </w:rPr>
          <w:fldChar w:fldCharType="end"/>
        </w:r>
      </w:hyperlink>
    </w:p>
    <w:p w14:paraId="6A2E71DD" w14:textId="352928B4" w:rsidR="00023ECF" w:rsidRDefault="00023ECF">
      <w:pPr>
        <w:pStyle w:val="TOC2"/>
        <w:rPr>
          <w:rFonts w:asciiTheme="minorHAnsi" w:eastAsiaTheme="minorEastAsia" w:hAnsiTheme="minorHAnsi" w:cstheme="minorBidi"/>
          <w:bCs w:val="0"/>
          <w:kern w:val="2"/>
          <w:szCs w:val="24"/>
          <w14:ligatures w14:val="standardContextual"/>
        </w:rPr>
      </w:pPr>
      <w:hyperlink w:anchor="_Toc213772016" w:history="1">
        <w:r w:rsidRPr="00AC173C">
          <w:rPr>
            <w:rStyle w:val="Hyperlink"/>
          </w:rPr>
          <w:t>7.7</w:t>
        </w:r>
        <w:r>
          <w:rPr>
            <w:rFonts w:asciiTheme="minorHAnsi" w:eastAsiaTheme="minorEastAsia" w:hAnsiTheme="minorHAnsi" w:cstheme="minorBidi"/>
            <w:bCs w:val="0"/>
            <w:kern w:val="2"/>
            <w:szCs w:val="24"/>
            <w14:ligatures w14:val="standardContextual"/>
          </w:rPr>
          <w:tab/>
        </w:r>
        <w:r w:rsidRPr="00AC173C">
          <w:rPr>
            <w:rStyle w:val="Hyperlink"/>
          </w:rPr>
          <w:t>Market Transmission Use Annual Rate Year Protocols</w:t>
        </w:r>
        <w:r>
          <w:rPr>
            <w:webHidden/>
          </w:rPr>
          <w:tab/>
        </w:r>
        <w:r>
          <w:rPr>
            <w:webHidden/>
          </w:rPr>
          <w:fldChar w:fldCharType="begin"/>
        </w:r>
        <w:r>
          <w:rPr>
            <w:webHidden/>
          </w:rPr>
          <w:instrText xml:space="preserve"> PAGEREF _Toc213772016 \h </w:instrText>
        </w:r>
        <w:r>
          <w:rPr>
            <w:webHidden/>
          </w:rPr>
        </w:r>
        <w:r>
          <w:rPr>
            <w:webHidden/>
          </w:rPr>
          <w:fldChar w:fldCharType="separate"/>
        </w:r>
        <w:r>
          <w:rPr>
            <w:webHidden/>
          </w:rPr>
          <w:t>261</w:t>
        </w:r>
        <w:r>
          <w:rPr>
            <w:webHidden/>
          </w:rPr>
          <w:fldChar w:fldCharType="end"/>
        </w:r>
      </w:hyperlink>
    </w:p>
    <w:p w14:paraId="12D32A24" w14:textId="57B52F41" w:rsidR="00023ECF" w:rsidRDefault="00023ECF">
      <w:pPr>
        <w:pStyle w:val="TOC2"/>
        <w:rPr>
          <w:rFonts w:asciiTheme="minorHAnsi" w:eastAsiaTheme="minorEastAsia" w:hAnsiTheme="minorHAnsi" w:cstheme="minorBidi"/>
          <w:bCs w:val="0"/>
          <w:kern w:val="2"/>
          <w:szCs w:val="24"/>
          <w14:ligatures w14:val="standardContextual"/>
        </w:rPr>
      </w:pPr>
      <w:hyperlink w:anchor="_Toc213772017" w:history="1">
        <w:r w:rsidRPr="00AC173C">
          <w:rPr>
            <w:rStyle w:val="Hyperlink"/>
          </w:rPr>
          <w:t>7.8</w:t>
        </w:r>
        <w:r>
          <w:rPr>
            <w:rFonts w:asciiTheme="minorHAnsi" w:eastAsiaTheme="minorEastAsia" w:hAnsiTheme="minorHAnsi" w:cstheme="minorBidi"/>
            <w:bCs w:val="0"/>
            <w:kern w:val="2"/>
            <w:szCs w:val="24"/>
            <w14:ligatures w14:val="standardContextual"/>
          </w:rPr>
          <w:tab/>
        </w:r>
        <w:r w:rsidRPr="00AC173C">
          <w:rPr>
            <w:rStyle w:val="Hyperlink"/>
          </w:rPr>
          <w:t>Market Transmission Use Intra-Rate Year Updates</w:t>
        </w:r>
        <w:r>
          <w:rPr>
            <w:webHidden/>
          </w:rPr>
          <w:tab/>
        </w:r>
        <w:r>
          <w:rPr>
            <w:webHidden/>
          </w:rPr>
          <w:fldChar w:fldCharType="begin"/>
        </w:r>
        <w:r>
          <w:rPr>
            <w:webHidden/>
          </w:rPr>
          <w:instrText xml:space="preserve"> PAGEREF _Toc213772017 \h </w:instrText>
        </w:r>
        <w:r>
          <w:rPr>
            <w:webHidden/>
          </w:rPr>
        </w:r>
        <w:r>
          <w:rPr>
            <w:webHidden/>
          </w:rPr>
          <w:fldChar w:fldCharType="separate"/>
        </w:r>
        <w:r>
          <w:rPr>
            <w:webHidden/>
          </w:rPr>
          <w:t>263</w:t>
        </w:r>
        <w:r>
          <w:rPr>
            <w:webHidden/>
          </w:rPr>
          <w:fldChar w:fldCharType="end"/>
        </w:r>
      </w:hyperlink>
    </w:p>
    <w:p w14:paraId="4A046E69" w14:textId="7FF10774" w:rsidR="00023ECF" w:rsidRDefault="00023ECF">
      <w:pPr>
        <w:pStyle w:val="TOC1"/>
        <w:rPr>
          <w:rFonts w:asciiTheme="minorHAnsi" w:eastAsiaTheme="minorEastAsia" w:hAnsiTheme="minorHAnsi" w:cstheme="minorBidi"/>
          <w:b w:val="0"/>
          <w:kern w:val="2"/>
          <w:szCs w:val="24"/>
          <w14:ligatures w14:val="standardContextual"/>
        </w:rPr>
      </w:pPr>
      <w:hyperlink w:anchor="_Toc213772018" w:history="1">
        <w:r w:rsidRPr="00AC173C">
          <w:rPr>
            <w:rStyle w:val="Hyperlink"/>
          </w:rPr>
          <w:t>8</w:t>
        </w:r>
        <w:r>
          <w:rPr>
            <w:rFonts w:asciiTheme="minorHAnsi" w:eastAsiaTheme="minorEastAsia" w:hAnsiTheme="minorHAnsi" w:cstheme="minorBidi"/>
            <w:b w:val="0"/>
            <w:kern w:val="2"/>
            <w:szCs w:val="24"/>
            <w14:ligatures w14:val="standardContextual"/>
          </w:rPr>
          <w:tab/>
        </w:r>
        <w:r w:rsidRPr="00AC173C">
          <w:rPr>
            <w:rStyle w:val="Hyperlink"/>
          </w:rPr>
          <w:t>Markets+ Transmission Capability Identification Process</w:t>
        </w:r>
        <w:r>
          <w:rPr>
            <w:webHidden/>
          </w:rPr>
          <w:tab/>
        </w:r>
        <w:r>
          <w:rPr>
            <w:webHidden/>
          </w:rPr>
          <w:fldChar w:fldCharType="begin"/>
        </w:r>
        <w:r>
          <w:rPr>
            <w:webHidden/>
          </w:rPr>
          <w:instrText xml:space="preserve"> PAGEREF _Toc213772018 \h </w:instrText>
        </w:r>
        <w:r>
          <w:rPr>
            <w:webHidden/>
          </w:rPr>
        </w:r>
        <w:r>
          <w:rPr>
            <w:webHidden/>
          </w:rPr>
          <w:fldChar w:fldCharType="separate"/>
        </w:r>
        <w:r>
          <w:rPr>
            <w:webHidden/>
          </w:rPr>
          <w:t>264</w:t>
        </w:r>
        <w:r>
          <w:rPr>
            <w:webHidden/>
          </w:rPr>
          <w:fldChar w:fldCharType="end"/>
        </w:r>
      </w:hyperlink>
    </w:p>
    <w:p w14:paraId="270C88FD" w14:textId="1777F660" w:rsidR="00023ECF" w:rsidRDefault="00023ECF">
      <w:pPr>
        <w:pStyle w:val="TOC2"/>
        <w:rPr>
          <w:rFonts w:asciiTheme="minorHAnsi" w:eastAsiaTheme="minorEastAsia" w:hAnsiTheme="minorHAnsi" w:cstheme="minorBidi"/>
          <w:bCs w:val="0"/>
          <w:kern w:val="2"/>
          <w:szCs w:val="24"/>
          <w14:ligatures w14:val="standardContextual"/>
        </w:rPr>
      </w:pPr>
      <w:hyperlink w:anchor="_Toc213772019" w:history="1">
        <w:r w:rsidRPr="00AC173C">
          <w:rPr>
            <w:rStyle w:val="Hyperlink"/>
            <w:rFonts w:eastAsiaTheme="minorHAnsi"/>
          </w:rPr>
          <w:t>8.1</w:t>
        </w:r>
        <w:r>
          <w:rPr>
            <w:rFonts w:asciiTheme="minorHAnsi" w:eastAsiaTheme="minorEastAsia" w:hAnsiTheme="minorHAnsi" w:cstheme="minorBidi"/>
            <w:bCs w:val="0"/>
            <w:kern w:val="2"/>
            <w:szCs w:val="24"/>
            <w14:ligatures w14:val="standardContextual"/>
          </w:rPr>
          <w:tab/>
        </w:r>
        <w:r w:rsidRPr="00AC173C">
          <w:rPr>
            <w:rStyle w:val="Hyperlink"/>
          </w:rPr>
          <w:t>Overview</w:t>
        </w:r>
        <w:r>
          <w:rPr>
            <w:webHidden/>
          </w:rPr>
          <w:tab/>
        </w:r>
        <w:r>
          <w:rPr>
            <w:webHidden/>
          </w:rPr>
          <w:fldChar w:fldCharType="begin"/>
        </w:r>
        <w:r>
          <w:rPr>
            <w:webHidden/>
          </w:rPr>
          <w:instrText xml:space="preserve"> PAGEREF _Toc213772019 \h </w:instrText>
        </w:r>
        <w:r>
          <w:rPr>
            <w:webHidden/>
          </w:rPr>
        </w:r>
        <w:r>
          <w:rPr>
            <w:webHidden/>
          </w:rPr>
          <w:fldChar w:fldCharType="separate"/>
        </w:r>
        <w:r>
          <w:rPr>
            <w:webHidden/>
          </w:rPr>
          <w:t>264</w:t>
        </w:r>
        <w:r>
          <w:rPr>
            <w:webHidden/>
          </w:rPr>
          <w:fldChar w:fldCharType="end"/>
        </w:r>
      </w:hyperlink>
    </w:p>
    <w:p w14:paraId="26F01965" w14:textId="038FF504" w:rsidR="00023ECF" w:rsidRDefault="00023ECF">
      <w:pPr>
        <w:pStyle w:val="TOC2"/>
        <w:rPr>
          <w:rFonts w:asciiTheme="minorHAnsi" w:eastAsiaTheme="minorEastAsia" w:hAnsiTheme="minorHAnsi" w:cstheme="minorBidi"/>
          <w:bCs w:val="0"/>
          <w:kern w:val="2"/>
          <w:szCs w:val="24"/>
          <w14:ligatures w14:val="standardContextual"/>
        </w:rPr>
      </w:pPr>
      <w:hyperlink w:anchor="_Toc213772020" w:history="1">
        <w:r w:rsidRPr="00AC173C">
          <w:rPr>
            <w:rStyle w:val="Hyperlink"/>
          </w:rPr>
          <w:t>8.2</w:t>
        </w:r>
        <w:r>
          <w:rPr>
            <w:rFonts w:asciiTheme="minorHAnsi" w:eastAsiaTheme="minorEastAsia" w:hAnsiTheme="minorHAnsi" w:cstheme="minorBidi"/>
            <w:bCs w:val="0"/>
            <w:kern w:val="2"/>
            <w:szCs w:val="24"/>
            <w14:ligatures w14:val="standardContextual"/>
          </w:rPr>
          <w:tab/>
        </w:r>
        <w:r w:rsidRPr="00AC173C">
          <w:rPr>
            <w:rStyle w:val="Hyperlink"/>
          </w:rPr>
          <w:t>Obligation to Communicate Operational Changes to Markets+ Transmission Capability</w:t>
        </w:r>
        <w:r>
          <w:rPr>
            <w:webHidden/>
          </w:rPr>
          <w:tab/>
        </w:r>
        <w:r>
          <w:rPr>
            <w:webHidden/>
          </w:rPr>
          <w:fldChar w:fldCharType="begin"/>
        </w:r>
        <w:r>
          <w:rPr>
            <w:webHidden/>
          </w:rPr>
          <w:instrText xml:space="preserve"> PAGEREF _Toc213772020 \h </w:instrText>
        </w:r>
        <w:r>
          <w:rPr>
            <w:webHidden/>
          </w:rPr>
        </w:r>
        <w:r>
          <w:rPr>
            <w:webHidden/>
          </w:rPr>
          <w:fldChar w:fldCharType="separate"/>
        </w:r>
        <w:r>
          <w:rPr>
            <w:webHidden/>
          </w:rPr>
          <w:t>266</w:t>
        </w:r>
        <w:r>
          <w:rPr>
            <w:webHidden/>
          </w:rPr>
          <w:fldChar w:fldCharType="end"/>
        </w:r>
      </w:hyperlink>
    </w:p>
    <w:p w14:paraId="640AF61B" w14:textId="44F0CF42" w:rsidR="00023ECF" w:rsidRDefault="00023ECF">
      <w:pPr>
        <w:pStyle w:val="TOC3"/>
        <w:rPr>
          <w:rFonts w:asciiTheme="minorHAnsi" w:eastAsiaTheme="minorEastAsia" w:hAnsiTheme="minorHAnsi" w:cstheme="minorBidi"/>
          <w:bCs w:val="0"/>
          <w:kern w:val="2"/>
          <w:szCs w:val="24"/>
          <w14:ligatures w14:val="standardContextual"/>
        </w:rPr>
      </w:pPr>
      <w:hyperlink w:anchor="_Toc213772021" w:history="1">
        <w:r w:rsidRPr="00AC173C">
          <w:rPr>
            <w:rStyle w:val="Hyperlink"/>
          </w:rPr>
          <w:t>8.2.1</w:t>
        </w:r>
        <w:r>
          <w:rPr>
            <w:rFonts w:asciiTheme="minorHAnsi" w:eastAsiaTheme="minorEastAsia" w:hAnsiTheme="minorHAnsi" w:cstheme="minorBidi"/>
            <w:bCs w:val="0"/>
            <w:kern w:val="2"/>
            <w:szCs w:val="24"/>
            <w14:ligatures w14:val="standardContextual"/>
          </w:rPr>
          <w:tab/>
        </w:r>
        <w:r w:rsidRPr="00AC173C">
          <w:rPr>
            <w:rStyle w:val="Hyperlink"/>
          </w:rPr>
          <w:t>Market Transfer Interfaces</w:t>
        </w:r>
        <w:r>
          <w:rPr>
            <w:webHidden/>
          </w:rPr>
          <w:tab/>
        </w:r>
        <w:r>
          <w:rPr>
            <w:webHidden/>
          </w:rPr>
          <w:fldChar w:fldCharType="begin"/>
        </w:r>
        <w:r>
          <w:rPr>
            <w:webHidden/>
          </w:rPr>
          <w:instrText xml:space="preserve"> PAGEREF _Toc213772021 \h </w:instrText>
        </w:r>
        <w:r>
          <w:rPr>
            <w:webHidden/>
          </w:rPr>
        </w:r>
        <w:r>
          <w:rPr>
            <w:webHidden/>
          </w:rPr>
          <w:fldChar w:fldCharType="separate"/>
        </w:r>
        <w:r>
          <w:rPr>
            <w:webHidden/>
          </w:rPr>
          <w:t>267</w:t>
        </w:r>
        <w:r>
          <w:rPr>
            <w:webHidden/>
          </w:rPr>
          <w:fldChar w:fldCharType="end"/>
        </w:r>
      </w:hyperlink>
    </w:p>
    <w:p w14:paraId="13904F6A" w14:textId="2B96684B" w:rsidR="00023ECF" w:rsidRDefault="00023ECF">
      <w:pPr>
        <w:pStyle w:val="TOC4"/>
        <w:rPr>
          <w:rFonts w:asciiTheme="minorHAnsi" w:eastAsiaTheme="minorEastAsia" w:hAnsiTheme="minorHAnsi" w:cstheme="minorBidi"/>
          <w:bCs w:val="0"/>
          <w:kern w:val="2"/>
          <w:szCs w:val="24"/>
          <w14:ligatures w14:val="standardContextual"/>
        </w:rPr>
      </w:pPr>
      <w:hyperlink w:anchor="_Toc213772022" w:history="1">
        <w:r w:rsidRPr="00AC173C">
          <w:rPr>
            <w:rStyle w:val="Hyperlink"/>
          </w:rPr>
          <w:t>8.2.1.1</w:t>
        </w:r>
        <w:r>
          <w:rPr>
            <w:rFonts w:asciiTheme="minorHAnsi" w:eastAsiaTheme="minorEastAsia" w:hAnsiTheme="minorHAnsi" w:cstheme="minorBidi"/>
            <w:bCs w:val="0"/>
            <w:kern w:val="2"/>
            <w:szCs w:val="24"/>
            <w14:ligatures w14:val="standardContextual"/>
          </w:rPr>
          <w:tab/>
        </w:r>
        <w:r w:rsidRPr="00AC173C">
          <w:rPr>
            <w:rStyle w:val="Hyperlink"/>
          </w:rPr>
          <w:t>Communication of Market Transfer Interface Limits.</w:t>
        </w:r>
        <w:r>
          <w:rPr>
            <w:webHidden/>
          </w:rPr>
          <w:tab/>
        </w:r>
        <w:r>
          <w:rPr>
            <w:webHidden/>
          </w:rPr>
          <w:fldChar w:fldCharType="begin"/>
        </w:r>
        <w:r>
          <w:rPr>
            <w:webHidden/>
          </w:rPr>
          <w:instrText xml:space="preserve"> PAGEREF _Toc213772022 \h </w:instrText>
        </w:r>
        <w:r>
          <w:rPr>
            <w:webHidden/>
          </w:rPr>
        </w:r>
        <w:r>
          <w:rPr>
            <w:webHidden/>
          </w:rPr>
          <w:fldChar w:fldCharType="separate"/>
        </w:r>
        <w:r>
          <w:rPr>
            <w:webHidden/>
          </w:rPr>
          <w:t>267</w:t>
        </w:r>
        <w:r>
          <w:rPr>
            <w:webHidden/>
          </w:rPr>
          <w:fldChar w:fldCharType="end"/>
        </w:r>
      </w:hyperlink>
    </w:p>
    <w:p w14:paraId="224354AD" w14:textId="5D5D173D" w:rsidR="00023ECF" w:rsidRDefault="00023ECF">
      <w:pPr>
        <w:pStyle w:val="TOC3"/>
        <w:rPr>
          <w:rFonts w:asciiTheme="minorHAnsi" w:eastAsiaTheme="minorEastAsia" w:hAnsiTheme="minorHAnsi" w:cstheme="minorBidi"/>
          <w:bCs w:val="0"/>
          <w:kern w:val="2"/>
          <w:szCs w:val="24"/>
          <w14:ligatures w14:val="standardContextual"/>
        </w:rPr>
      </w:pPr>
      <w:hyperlink w:anchor="_Toc213772023" w:history="1">
        <w:r w:rsidRPr="00AC173C">
          <w:rPr>
            <w:rStyle w:val="Hyperlink"/>
          </w:rPr>
          <w:t>8.2.2</w:t>
        </w:r>
        <w:r>
          <w:rPr>
            <w:rFonts w:asciiTheme="minorHAnsi" w:eastAsiaTheme="minorEastAsia" w:hAnsiTheme="minorHAnsi" w:cstheme="minorBidi"/>
            <w:bCs w:val="0"/>
            <w:kern w:val="2"/>
            <w:szCs w:val="24"/>
            <w14:ligatures w14:val="standardContextual"/>
          </w:rPr>
          <w:tab/>
        </w:r>
        <w:r w:rsidRPr="00AC173C">
          <w:rPr>
            <w:rStyle w:val="Hyperlink"/>
          </w:rPr>
          <w:t>Markets+ Transmission Capacity Opt-Ins</w:t>
        </w:r>
        <w:r>
          <w:rPr>
            <w:webHidden/>
          </w:rPr>
          <w:tab/>
        </w:r>
        <w:r>
          <w:rPr>
            <w:webHidden/>
          </w:rPr>
          <w:fldChar w:fldCharType="begin"/>
        </w:r>
        <w:r>
          <w:rPr>
            <w:webHidden/>
          </w:rPr>
          <w:instrText xml:space="preserve"> PAGEREF _Toc213772023 \h </w:instrText>
        </w:r>
        <w:r>
          <w:rPr>
            <w:webHidden/>
          </w:rPr>
        </w:r>
        <w:r>
          <w:rPr>
            <w:webHidden/>
          </w:rPr>
          <w:fldChar w:fldCharType="separate"/>
        </w:r>
        <w:r>
          <w:rPr>
            <w:webHidden/>
          </w:rPr>
          <w:t>267</w:t>
        </w:r>
        <w:r>
          <w:rPr>
            <w:webHidden/>
          </w:rPr>
          <w:fldChar w:fldCharType="end"/>
        </w:r>
      </w:hyperlink>
    </w:p>
    <w:p w14:paraId="0C14290C" w14:textId="68A79176" w:rsidR="00023ECF" w:rsidRDefault="00023ECF">
      <w:pPr>
        <w:pStyle w:val="TOC4"/>
        <w:rPr>
          <w:rFonts w:asciiTheme="minorHAnsi" w:eastAsiaTheme="minorEastAsia" w:hAnsiTheme="minorHAnsi" w:cstheme="minorBidi"/>
          <w:bCs w:val="0"/>
          <w:kern w:val="2"/>
          <w:szCs w:val="24"/>
          <w14:ligatures w14:val="standardContextual"/>
        </w:rPr>
      </w:pPr>
      <w:hyperlink w:anchor="_Toc213772024" w:history="1">
        <w:r w:rsidRPr="00AC173C">
          <w:rPr>
            <w:rStyle w:val="Hyperlink"/>
          </w:rPr>
          <w:t>8.2.2.1</w:t>
        </w:r>
        <w:r>
          <w:rPr>
            <w:rFonts w:asciiTheme="minorHAnsi" w:eastAsiaTheme="minorEastAsia" w:hAnsiTheme="minorHAnsi" w:cstheme="minorBidi"/>
            <w:bCs w:val="0"/>
            <w:kern w:val="2"/>
            <w:szCs w:val="24"/>
            <w14:ligatures w14:val="standardContextual"/>
          </w:rPr>
          <w:tab/>
        </w:r>
        <w:r w:rsidRPr="00AC173C">
          <w:rPr>
            <w:rStyle w:val="Hyperlink"/>
          </w:rPr>
          <w:t>Communication of Markets+ Transmission Capacity Opt-Ins.</w:t>
        </w:r>
        <w:r>
          <w:rPr>
            <w:webHidden/>
          </w:rPr>
          <w:tab/>
        </w:r>
        <w:r>
          <w:rPr>
            <w:webHidden/>
          </w:rPr>
          <w:fldChar w:fldCharType="begin"/>
        </w:r>
        <w:r>
          <w:rPr>
            <w:webHidden/>
          </w:rPr>
          <w:instrText xml:space="preserve"> PAGEREF _Toc213772024 \h </w:instrText>
        </w:r>
        <w:r>
          <w:rPr>
            <w:webHidden/>
          </w:rPr>
        </w:r>
        <w:r>
          <w:rPr>
            <w:webHidden/>
          </w:rPr>
          <w:fldChar w:fldCharType="separate"/>
        </w:r>
        <w:r>
          <w:rPr>
            <w:webHidden/>
          </w:rPr>
          <w:t>267</w:t>
        </w:r>
        <w:r>
          <w:rPr>
            <w:webHidden/>
          </w:rPr>
          <w:fldChar w:fldCharType="end"/>
        </w:r>
      </w:hyperlink>
    </w:p>
    <w:p w14:paraId="7C776DAC" w14:textId="102F59DB" w:rsidR="00023ECF" w:rsidRDefault="00023ECF">
      <w:pPr>
        <w:pStyle w:val="TOC4"/>
        <w:rPr>
          <w:rFonts w:asciiTheme="minorHAnsi" w:eastAsiaTheme="minorEastAsia" w:hAnsiTheme="minorHAnsi" w:cstheme="minorBidi"/>
          <w:bCs w:val="0"/>
          <w:kern w:val="2"/>
          <w:szCs w:val="24"/>
          <w14:ligatures w14:val="standardContextual"/>
        </w:rPr>
      </w:pPr>
      <w:hyperlink w:anchor="_Toc213772025" w:history="1">
        <w:r w:rsidRPr="00AC173C">
          <w:rPr>
            <w:rStyle w:val="Hyperlink"/>
          </w:rPr>
          <w:t>8.2.2.2</w:t>
        </w:r>
        <w:r>
          <w:rPr>
            <w:rFonts w:asciiTheme="minorHAnsi" w:eastAsiaTheme="minorEastAsia" w:hAnsiTheme="minorHAnsi" w:cstheme="minorBidi"/>
            <w:bCs w:val="0"/>
            <w:kern w:val="2"/>
            <w:szCs w:val="24"/>
            <w14:ligatures w14:val="standardContextual"/>
          </w:rPr>
          <w:tab/>
        </w:r>
        <w:r w:rsidRPr="00AC173C">
          <w:rPr>
            <w:rStyle w:val="Hyperlink"/>
          </w:rPr>
          <w:t>Increases to Capacity Opt-Ins</w:t>
        </w:r>
        <w:r>
          <w:rPr>
            <w:webHidden/>
          </w:rPr>
          <w:tab/>
        </w:r>
        <w:r>
          <w:rPr>
            <w:webHidden/>
          </w:rPr>
          <w:fldChar w:fldCharType="begin"/>
        </w:r>
        <w:r>
          <w:rPr>
            <w:webHidden/>
          </w:rPr>
          <w:instrText xml:space="preserve"> PAGEREF _Toc213772025 \h </w:instrText>
        </w:r>
        <w:r>
          <w:rPr>
            <w:webHidden/>
          </w:rPr>
        </w:r>
        <w:r>
          <w:rPr>
            <w:webHidden/>
          </w:rPr>
          <w:fldChar w:fldCharType="separate"/>
        </w:r>
        <w:r>
          <w:rPr>
            <w:webHidden/>
          </w:rPr>
          <w:t>268</w:t>
        </w:r>
        <w:r>
          <w:rPr>
            <w:webHidden/>
          </w:rPr>
          <w:fldChar w:fldCharType="end"/>
        </w:r>
      </w:hyperlink>
    </w:p>
    <w:p w14:paraId="0CB76828" w14:textId="508A36A9" w:rsidR="00023ECF" w:rsidRDefault="00023ECF">
      <w:pPr>
        <w:pStyle w:val="TOC3"/>
        <w:rPr>
          <w:rFonts w:asciiTheme="minorHAnsi" w:eastAsiaTheme="minorEastAsia" w:hAnsiTheme="minorHAnsi" w:cstheme="minorBidi"/>
          <w:bCs w:val="0"/>
          <w:kern w:val="2"/>
          <w:szCs w:val="24"/>
          <w14:ligatures w14:val="standardContextual"/>
        </w:rPr>
      </w:pPr>
      <w:hyperlink w:anchor="_Toc213772026" w:history="1">
        <w:r w:rsidRPr="00AC173C">
          <w:rPr>
            <w:rStyle w:val="Hyperlink"/>
          </w:rPr>
          <w:t>8.2.3</w:t>
        </w:r>
        <w:r>
          <w:rPr>
            <w:rFonts w:asciiTheme="minorHAnsi" w:eastAsiaTheme="minorEastAsia" w:hAnsiTheme="minorHAnsi" w:cstheme="minorBidi"/>
            <w:bCs w:val="0"/>
            <w:kern w:val="2"/>
            <w:szCs w:val="24"/>
            <w14:ligatures w14:val="standardContextual"/>
          </w:rPr>
          <w:tab/>
        </w:r>
        <w:r w:rsidRPr="00AC173C">
          <w:rPr>
            <w:rStyle w:val="Hyperlink"/>
          </w:rPr>
          <w:t>Markets+ Transmission Capacity Opt-Outs</w:t>
        </w:r>
        <w:r>
          <w:rPr>
            <w:webHidden/>
          </w:rPr>
          <w:tab/>
        </w:r>
        <w:r>
          <w:rPr>
            <w:webHidden/>
          </w:rPr>
          <w:fldChar w:fldCharType="begin"/>
        </w:r>
        <w:r>
          <w:rPr>
            <w:webHidden/>
          </w:rPr>
          <w:instrText xml:space="preserve"> PAGEREF _Toc213772026 \h </w:instrText>
        </w:r>
        <w:r>
          <w:rPr>
            <w:webHidden/>
          </w:rPr>
        </w:r>
        <w:r>
          <w:rPr>
            <w:webHidden/>
          </w:rPr>
          <w:fldChar w:fldCharType="separate"/>
        </w:r>
        <w:r>
          <w:rPr>
            <w:webHidden/>
          </w:rPr>
          <w:t>268</w:t>
        </w:r>
        <w:r>
          <w:rPr>
            <w:webHidden/>
          </w:rPr>
          <w:fldChar w:fldCharType="end"/>
        </w:r>
      </w:hyperlink>
    </w:p>
    <w:p w14:paraId="732385FE" w14:textId="341E41CC" w:rsidR="00023ECF" w:rsidRDefault="00023ECF">
      <w:pPr>
        <w:pStyle w:val="TOC4"/>
        <w:rPr>
          <w:rFonts w:asciiTheme="minorHAnsi" w:eastAsiaTheme="minorEastAsia" w:hAnsiTheme="minorHAnsi" w:cstheme="minorBidi"/>
          <w:bCs w:val="0"/>
          <w:kern w:val="2"/>
          <w:szCs w:val="24"/>
          <w14:ligatures w14:val="standardContextual"/>
        </w:rPr>
      </w:pPr>
      <w:hyperlink w:anchor="_Toc213772027" w:history="1">
        <w:r w:rsidRPr="00AC173C">
          <w:rPr>
            <w:rStyle w:val="Hyperlink"/>
          </w:rPr>
          <w:t>8.2.3.1</w:t>
        </w:r>
        <w:r>
          <w:rPr>
            <w:rFonts w:asciiTheme="minorHAnsi" w:eastAsiaTheme="minorEastAsia" w:hAnsiTheme="minorHAnsi" w:cstheme="minorBidi"/>
            <w:bCs w:val="0"/>
            <w:kern w:val="2"/>
            <w:szCs w:val="24"/>
            <w14:ligatures w14:val="standardContextual"/>
          </w:rPr>
          <w:tab/>
        </w:r>
        <w:r w:rsidRPr="00AC173C">
          <w:rPr>
            <w:rStyle w:val="Hyperlink"/>
          </w:rPr>
          <w:t>Qualifying Markets+ Transmission Capacity Opt-Outs</w:t>
        </w:r>
        <w:r>
          <w:rPr>
            <w:webHidden/>
          </w:rPr>
          <w:tab/>
        </w:r>
        <w:r>
          <w:rPr>
            <w:webHidden/>
          </w:rPr>
          <w:fldChar w:fldCharType="begin"/>
        </w:r>
        <w:r>
          <w:rPr>
            <w:webHidden/>
          </w:rPr>
          <w:instrText xml:space="preserve"> PAGEREF _Toc213772027 \h </w:instrText>
        </w:r>
        <w:r>
          <w:rPr>
            <w:webHidden/>
          </w:rPr>
        </w:r>
        <w:r>
          <w:rPr>
            <w:webHidden/>
          </w:rPr>
          <w:fldChar w:fldCharType="separate"/>
        </w:r>
        <w:r>
          <w:rPr>
            <w:webHidden/>
          </w:rPr>
          <w:t>269</w:t>
        </w:r>
        <w:r>
          <w:rPr>
            <w:webHidden/>
          </w:rPr>
          <w:fldChar w:fldCharType="end"/>
        </w:r>
      </w:hyperlink>
    </w:p>
    <w:p w14:paraId="34D85BB5" w14:textId="297DC7A5" w:rsidR="00023ECF" w:rsidRDefault="00023ECF">
      <w:pPr>
        <w:pStyle w:val="TOC4"/>
        <w:rPr>
          <w:rFonts w:asciiTheme="minorHAnsi" w:eastAsiaTheme="minorEastAsia" w:hAnsiTheme="minorHAnsi" w:cstheme="minorBidi"/>
          <w:bCs w:val="0"/>
          <w:kern w:val="2"/>
          <w:szCs w:val="24"/>
          <w14:ligatures w14:val="standardContextual"/>
        </w:rPr>
      </w:pPr>
      <w:hyperlink w:anchor="_Toc213772028" w:history="1">
        <w:r w:rsidRPr="00AC173C">
          <w:rPr>
            <w:rStyle w:val="Hyperlink"/>
          </w:rPr>
          <w:t>8.2.3.2</w:t>
        </w:r>
        <w:r>
          <w:rPr>
            <w:rFonts w:asciiTheme="minorHAnsi" w:eastAsiaTheme="minorEastAsia" w:hAnsiTheme="minorHAnsi" w:cstheme="minorBidi"/>
            <w:bCs w:val="0"/>
            <w:kern w:val="2"/>
            <w:szCs w:val="24"/>
            <w14:ligatures w14:val="standardContextual"/>
          </w:rPr>
          <w:tab/>
        </w:r>
        <w:r w:rsidRPr="00AC173C">
          <w:rPr>
            <w:rStyle w:val="Hyperlink"/>
          </w:rPr>
          <w:t>Communication of Markets+ Transmission Capacity Opt-Outs</w:t>
        </w:r>
        <w:r>
          <w:rPr>
            <w:webHidden/>
          </w:rPr>
          <w:tab/>
        </w:r>
        <w:r>
          <w:rPr>
            <w:webHidden/>
          </w:rPr>
          <w:fldChar w:fldCharType="begin"/>
        </w:r>
        <w:r>
          <w:rPr>
            <w:webHidden/>
          </w:rPr>
          <w:instrText xml:space="preserve"> PAGEREF _Toc213772028 \h </w:instrText>
        </w:r>
        <w:r>
          <w:rPr>
            <w:webHidden/>
          </w:rPr>
        </w:r>
        <w:r>
          <w:rPr>
            <w:webHidden/>
          </w:rPr>
          <w:fldChar w:fldCharType="separate"/>
        </w:r>
        <w:r>
          <w:rPr>
            <w:webHidden/>
          </w:rPr>
          <w:t>270</w:t>
        </w:r>
        <w:r>
          <w:rPr>
            <w:webHidden/>
          </w:rPr>
          <w:fldChar w:fldCharType="end"/>
        </w:r>
      </w:hyperlink>
    </w:p>
    <w:p w14:paraId="6B430119" w14:textId="7238C861" w:rsidR="00023ECF" w:rsidRDefault="00023ECF">
      <w:pPr>
        <w:pStyle w:val="TOC4"/>
        <w:rPr>
          <w:rFonts w:asciiTheme="minorHAnsi" w:eastAsiaTheme="minorEastAsia" w:hAnsiTheme="minorHAnsi" w:cstheme="minorBidi"/>
          <w:bCs w:val="0"/>
          <w:kern w:val="2"/>
          <w:szCs w:val="24"/>
          <w14:ligatures w14:val="standardContextual"/>
        </w:rPr>
      </w:pPr>
      <w:hyperlink w:anchor="_Toc213772029" w:history="1">
        <w:r w:rsidRPr="00AC173C">
          <w:rPr>
            <w:rStyle w:val="Hyperlink"/>
          </w:rPr>
          <w:t>8.2.3.3</w:t>
        </w:r>
        <w:r>
          <w:rPr>
            <w:rFonts w:asciiTheme="minorHAnsi" w:eastAsiaTheme="minorEastAsia" w:hAnsiTheme="minorHAnsi" w:cstheme="minorBidi"/>
            <w:bCs w:val="0"/>
            <w:kern w:val="2"/>
            <w:szCs w:val="24"/>
            <w14:ligatures w14:val="standardContextual"/>
          </w:rPr>
          <w:tab/>
        </w:r>
        <w:r w:rsidRPr="00AC173C">
          <w:rPr>
            <w:rStyle w:val="Hyperlink"/>
          </w:rPr>
          <w:t>Timing of Markets+ Transmission Capacity Communication</w:t>
        </w:r>
        <w:r>
          <w:rPr>
            <w:webHidden/>
          </w:rPr>
          <w:tab/>
        </w:r>
        <w:r>
          <w:rPr>
            <w:webHidden/>
          </w:rPr>
          <w:fldChar w:fldCharType="begin"/>
        </w:r>
        <w:r>
          <w:rPr>
            <w:webHidden/>
          </w:rPr>
          <w:instrText xml:space="preserve"> PAGEREF _Toc213772029 \h </w:instrText>
        </w:r>
        <w:r>
          <w:rPr>
            <w:webHidden/>
          </w:rPr>
        </w:r>
        <w:r>
          <w:rPr>
            <w:webHidden/>
          </w:rPr>
          <w:fldChar w:fldCharType="separate"/>
        </w:r>
        <w:r>
          <w:rPr>
            <w:webHidden/>
          </w:rPr>
          <w:t>270</w:t>
        </w:r>
        <w:r>
          <w:rPr>
            <w:webHidden/>
          </w:rPr>
          <w:fldChar w:fldCharType="end"/>
        </w:r>
      </w:hyperlink>
    </w:p>
    <w:p w14:paraId="048E0DD4" w14:textId="5C838FDE" w:rsidR="00023ECF" w:rsidRDefault="00023ECF">
      <w:pPr>
        <w:pStyle w:val="TOC3"/>
        <w:rPr>
          <w:rFonts w:asciiTheme="minorHAnsi" w:eastAsiaTheme="minorEastAsia" w:hAnsiTheme="minorHAnsi" w:cstheme="minorBidi"/>
          <w:bCs w:val="0"/>
          <w:kern w:val="2"/>
          <w:szCs w:val="24"/>
          <w14:ligatures w14:val="standardContextual"/>
        </w:rPr>
      </w:pPr>
      <w:hyperlink w:anchor="_Toc213772030" w:history="1">
        <w:r w:rsidRPr="00AC173C">
          <w:rPr>
            <w:rStyle w:val="Hyperlink"/>
          </w:rPr>
          <w:t>8.2.4</w:t>
        </w:r>
        <w:r>
          <w:rPr>
            <w:rFonts w:asciiTheme="minorHAnsi" w:eastAsiaTheme="minorEastAsia" w:hAnsiTheme="minorHAnsi" w:cstheme="minorBidi"/>
            <w:bCs w:val="0"/>
            <w:kern w:val="2"/>
            <w:szCs w:val="24"/>
            <w14:ligatures w14:val="standardContextual"/>
          </w:rPr>
          <w:tab/>
        </w:r>
        <w:r w:rsidRPr="00AC173C">
          <w:rPr>
            <w:rStyle w:val="Hyperlink"/>
          </w:rPr>
          <w:t>Service Flow Constraints</w:t>
        </w:r>
        <w:r>
          <w:rPr>
            <w:webHidden/>
          </w:rPr>
          <w:tab/>
        </w:r>
        <w:r>
          <w:rPr>
            <w:webHidden/>
          </w:rPr>
          <w:fldChar w:fldCharType="begin"/>
        </w:r>
        <w:r>
          <w:rPr>
            <w:webHidden/>
          </w:rPr>
          <w:instrText xml:space="preserve"> PAGEREF _Toc213772030 \h </w:instrText>
        </w:r>
        <w:r>
          <w:rPr>
            <w:webHidden/>
          </w:rPr>
        </w:r>
        <w:r>
          <w:rPr>
            <w:webHidden/>
          </w:rPr>
          <w:fldChar w:fldCharType="separate"/>
        </w:r>
        <w:r>
          <w:rPr>
            <w:webHidden/>
          </w:rPr>
          <w:t>273</w:t>
        </w:r>
        <w:r>
          <w:rPr>
            <w:webHidden/>
          </w:rPr>
          <w:fldChar w:fldCharType="end"/>
        </w:r>
      </w:hyperlink>
    </w:p>
    <w:p w14:paraId="58B5274D" w14:textId="478EE174" w:rsidR="00023ECF" w:rsidRDefault="00023ECF">
      <w:pPr>
        <w:pStyle w:val="TOC3"/>
        <w:rPr>
          <w:rFonts w:asciiTheme="minorHAnsi" w:eastAsiaTheme="minorEastAsia" w:hAnsiTheme="minorHAnsi" w:cstheme="minorBidi"/>
          <w:bCs w:val="0"/>
          <w:kern w:val="2"/>
          <w:szCs w:val="24"/>
          <w14:ligatures w14:val="standardContextual"/>
        </w:rPr>
      </w:pPr>
      <w:hyperlink w:anchor="_Toc213772031" w:history="1">
        <w:r w:rsidRPr="00AC173C">
          <w:rPr>
            <w:rStyle w:val="Hyperlink"/>
          </w:rPr>
          <w:t>8.2.5</w:t>
        </w:r>
        <w:r>
          <w:rPr>
            <w:rFonts w:asciiTheme="minorHAnsi" w:eastAsiaTheme="minorEastAsia" w:hAnsiTheme="minorHAnsi" w:cstheme="minorBidi"/>
            <w:bCs w:val="0"/>
            <w:kern w:val="2"/>
            <w:szCs w:val="24"/>
            <w14:ligatures w14:val="standardContextual"/>
          </w:rPr>
          <w:tab/>
        </w:r>
        <w:r w:rsidRPr="00AC173C">
          <w:rPr>
            <w:rStyle w:val="Hyperlink"/>
          </w:rPr>
          <w:t>BA Scheduling Constraints</w:t>
        </w:r>
        <w:r>
          <w:rPr>
            <w:webHidden/>
          </w:rPr>
          <w:tab/>
        </w:r>
        <w:r>
          <w:rPr>
            <w:webHidden/>
          </w:rPr>
          <w:fldChar w:fldCharType="begin"/>
        </w:r>
        <w:r>
          <w:rPr>
            <w:webHidden/>
          </w:rPr>
          <w:instrText xml:space="preserve"> PAGEREF _Toc213772031 \h </w:instrText>
        </w:r>
        <w:r>
          <w:rPr>
            <w:webHidden/>
          </w:rPr>
        </w:r>
        <w:r>
          <w:rPr>
            <w:webHidden/>
          </w:rPr>
          <w:fldChar w:fldCharType="separate"/>
        </w:r>
        <w:r>
          <w:rPr>
            <w:webHidden/>
          </w:rPr>
          <w:t>273</w:t>
        </w:r>
        <w:r>
          <w:rPr>
            <w:webHidden/>
          </w:rPr>
          <w:fldChar w:fldCharType="end"/>
        </w:r>
      </w:hyperlink>
    </w:p>
    <w:p w14:paraId="38B19209" w14:textId="7CDF5F7B" w:rsidR="00023ECF" w:rsidRDefault="00023ECF">
      <w:pPr>
        <w:pStyle w:val="TOC2"/>
        <w:rPr>
          <w:rFonts w:asciiTheme="minorHAnsi" w:eastAsiaTheme="minorEastAsia" w:hAnsiTheme="minorHAnsi" w:cstheme="minorBidi"/>
          <w:bCs w:val="0"/>
          <w:kern w:val="2"/>
          <w:szCs w:val="24"/>
          <w14:ligatures w14:val="standardContextual"/>
        </w:rPr>
      </w:pPr>
      <w:hyperlink w:anchor="_Toc213772032" w:history="1">
        <w:r w:rsidRPr="00AC173C">
          <w:rPr>
            <w:rStyle w:val="Hyperlink"/>
            <w:rFonts w:eastAsiaTheme="minorHAnsi"/>
          </w:rPr>
          <w:t>8.3</w:t>
        </w:r>
        <w:r>
          <w:rPr>
            <w:rFonts w:asciiTheme="minorHAnsi" w:eastAsiaTheme="minorEastAsia" w:hAnsiTheme="minorHAnsi" w:cstheme="minorBidi"/>
            <w:bCs w:val="0"/>
            <w:kern w:val="2"/>
            <w:szCs w:val="24"/>
            <w14:ligatures w14:val="standardContextual"/>
          </w:rPr>
          <w:tab/>
        </w:r>
        <w:r w:rsidRPr="00AC173C">
          <w:rPr>
            <w:rStyle w:val="Hyperlink"/>
            <w:rFonts w:eastAsiaTheme="minorHAnsi"/>
          </w:rPr>
          <w:t>Conditions Precedent for Receiving Markets+ Transmission Capability</w:t>
        </w:r>
        <w:r>
          <w:rPr>
            <w:webHidden/>
          </w:rPr>
          <w:tab/>
        </w:r>
        <w:r>
          <w:rPr>
            <w:webHidden/>
          </w:rPr>
          <w:fldChar w:fldCharType="begin"/>
        </w:r>
        <w:r>
          <w:rPr>
            <w:webHidden/>
          </w:rPr>
          <w:instrText xml:space="preserve"> PAGEREF _Toc213772032 \h </w:instrText>
        </w:r>
        <w:r>
          <w:rPr>
            <w:webHidden/>
          </w:rPr>
        </w:r>
        <w:r>
          <w:rPr>
            <w:webHidden/>
          </w:rPr>
          <w:fldChar w:fldCharType="separate"/>
        </w:r>
        <w:r>
          <w:rPr>
            <w:webHidden/>
          </w:rPr>
          <w:t>273</w:t>
        </w:r>
        <w:r>
          <w:rPr>
            <w:webHidden/>
          </w:rPr>
          <w:fldChar w:fldCharType="end"/>
        </w:r>
      </w:hyperlink>
    </w:p>
    <w:p w14:paraId="0F3C2DAD" w14:textId="74AC0C35" w:rsidR="00023ECF" w:rsidRDefault="00023ECF">
      <w:pPr>
        <w:pStyle w:val="TOC2"/>
        <w:rPr>
          <w:rFonts w:asciiTheme="minorHAnsi" w:eastAsiaTheme="minorEastAsia" w:hAnsiTheme="minorHAnsi" w:cstheme="minorBidi"/>
          <w:bCs w:val="0"/>
          <w:kern w:val="2"/>
          <w:szCs w:val="24"/>
          <w14:ligatures w14:val="standardContextual"/>
        </w:rPr>
      </w:pPr>
      <w:hyperlink w:anchor="_Toc213772033" w:history="1">
        <w:r w:rsidRPr="00AC173C">
          <w:rPr>
            <w:rStyle w:val="Hyperlink"/>
            <w:rFonts w:eastAsiaTheme="minorHAnsi"/>
          </w:rPr>
          <w:t>8.4</w:t>
        </w:r>
        <w:r>
          <w:rPr>
            <w:rFonts w:asciiTheme="minorHAnsi" w:eastAsiaTheme="minorEastAsia" w:hAnsiTheme="minorHAnsi" w:cstheme="minorBidi"/>
            <w:bCs w:val="0"/>
            <w:kern w:val="2"/>
            <w:szCs w:val="24"/>
            <w14:ligatures w14:val="standardContextual"/>
          </w:rPr>
          <w:tab/>
        </w:r>
        <w:r w:rsidRPr="00AC173C">
          <w:rPr>
            <w:rStyle w:val="Hyperlink"/>
            <w:snapToGrid w:val="0"/>
          </w:rPr>
          <w:t>Generator Transmission Requirement Review</w:t>
        </w:r>
        <w:r>
          <w:rPr>
            <w:webHidden/>
          </w:rPr>
          <w:tab/>
        </w:r>
        <w:r>
          <w:rPr>
            <w:webHidden/>
          </w:rPr>
          <w:fldChar w:fldCharType="begin"/>
        </w:r>
        <w:r>
          <w:rPr>
            <w:webHidden/>
          </w:rPr>
          <w:instrText xml:space="preserve"> PAGEREF _Toc213772033 \h </w:instrText>
        </w:r>
        <w:r>
          <w:rPr>
            <w:webHidden/>
          </w:rPr>
        </w:r>
        <w:r>
          <w:rPr>
            <w:webHidden/>
          </w:rPr>
          <w:fldChar w:fldCharType="separate"/>
        </w:r>
        <w:r>
          <w:rPr>
            <w:webHidden/>
          </w:rPr>
          <w:t>274</w:t>
        </w:r>
        <w:r>
          <w:rPr>
            <w:webHidden/>
          </w:rPr>
          <w:fldChar w:fldCharType="end"/>
        </w:r>
      </w:hyperlink>
    </w:p>
    <w:p w14:paraId="12B1077D" w14:textId="201582FA" w:rsidR="00023ECF" w:rsidRDefault="00023ECF">
      <w:pPr>
        <w:pStyle w:val="TOC2"/>
        <w:rPr>
          <w:rFonts w:asciiTheme="minorHAnsi" w:eastAsiaTheme="minorEastAsia" w:hAnsiTheme="minorHAnsi" w:cstheme="minorBidi"/>
          <w:bCs w:val="0"/>
          <w:kern w:val="2"/>
          <w:szCs w:val="24"/>
          <w14:ligatures w14:val="standardContextual"/>
        </w:rPr>
      </w:pPr>
      <w:hyperlink w:anchor="_Toc213772034" w:history="1">
        <w:r w:rsidRPr="00AC173C">
          <w:rPr>
            <w:rStyle w:val="Hyperlink"/>
            <w:rFonts w:eastAsiaTheme="minorHAnsi"/>
          </w:rPr>
          <w:t>8.5</w:t>
        </w:r>
        <w:r>
          <w:rPr>
            <w:rFonts w:asciiTheme="minorHAnsi" w:eastAsiaTheme="minorEastAsia" w:hAnsiTheme="minorHAnsi" w:cstheme="minorBidi"/>
            <w:bCs w:val="0"/>
            <w:kern w:val="2"/>
            <w:szCs w:val="24"/>
            <w14:ligatures w14:val="standardContextual"/>
          </w:rPr>
          <w:tab/>
        </w:r>
        <w:r w:rsidRPr="00AC173C">
          <w:rPr>
            <w:rStyle w:val="Hyperlink"/>
          </w:rPr>
          <w:t>Obligation to Pause Queue Processing</w:t>
        </w:r>
        <w:r>
          <w:rPr>
            <w:webHidden/>
          </w:rPr>
          <w:tab/>
        </w:r>
        <w:r>
          <w:rPr>
            <w:webHidden/>
          </w:rPr>
          <w:fldChar w:fldCharType="begin"/>
        </w:r>
        <w:r>
          <w:rPr>
            <w:webHidden/>
          </w:rPr>
          <w:instrText xml:space="preserve"> PAGEREF _Toc213772034 \h </w:instrText>
        </w:r>
        <w:r>
          <w:rPr>
            <w:webHidden/>
          </w:rPr>
        </w:r>
        <w:r>
          <w:rPr>
            <w:webHidden/>
          </w:rPr>
          <w:fldChar w:fldCharType="separate"/>
        </w:r>
        <w:r>
          <w:rPr>
            <w:webHidden/>
          </w:rPr>
          <w:t>274</w:t>
        </w:r>
        <w:r>
          <w:rPr>
            <w:webHidden/>
          </w:rPr>
          <w:fldChar w:fldCharType="end"/>
        </w:r>
      </w:hyperlink>
    </w:p>
    <w:p w14:paraId="2C78FE62" w14:textId="006D1223" w:rsidR="00023ECF" w:rsidRDefault="00023ECF">
      <w:pPr>
        <w:pStyle w:val="TOC1"/>
        <w:rPr>
          <w:rFonts w:asciiTheme="minorHAnsi" w:eastAsiaTheme="minorEastAsia" w:hAnsiTheme="minorHAnsi" w:cstheme="minorBidi"/>
          <w:b w:val="0"/>
          <w:kern w:val="2"/>
          <w:szCs w:val="24"/>
          <w14:ligatures w14:val="standardContextual"/>
        </w:rPr>
      </w:pPr>
      <w:hyperlink w:anchor="_Toc213772035" w:history="1">
        <w:r w:rsidRPr="00AC173C">
          <w:rPr>
            <w:rStyle w:val="Hyperlink"/>
          </w:rPr>
          <w:t>9</w:t>
        </w:r>
        <w:r>
          <w:rPr>
            <w:rFonts w:asciiTheme="minorHAnsi" w:eastAsiaTheme="minorEastAsia" w:hAnsiTheme="minorHAnsi" w:cstheme="minorBidi"/>
            <w:b w:val="0"/>
            <w:kern w:val="2"/>
            <w:szCs w:val="24"/>
            <w14:ligatures w14:val="standardContextual"/>
          </w:rPr>
          <w:tab/>
        </w:r>
        <w:r w:rsidRPr="00AC173C">
          <w:rPr>
            <w:rStyle w:val="Hyperlink"/>
          </w:rPr>
          <w:t>Market Registration</w:t>
        </w:r>
        <w:r>
          <w:rPr>
            <w:webHidden/>
          </w:rPr>
          <w:tab/>
        </w:r>
        <w:r>
          <w:rPr>
            <w:webHidden/>
          </w:rPr>
          <w:fldChar w:fldCharType="begin"/>
        </w:r>
        <w:r>
          <w:rPr>
            <w:webHidden/>
          </w:rPr>
          <w:instrText xml:space="preserve"> PAGEREF _Toc213772035 \h </w:instrText>
        </w:r>
        <w:r>
          <w:rPr>
            <w:webHidden/>
          </w:rPr>
        </w:r>
        <w:r>
          <w:rPr>
            <w:webHidden/>
          </w:rPr>
          <w:fldChar w:fldCharType="separate"/>
        </w:r>
        <w:r>
          <w:rPr>
            <w:webHidden/>
          </w:rPr>
          <w:t>277</w:t>
        </w:r>
        <w:r>
          <w:rPr>
            <w:webHidden/>
          </w:rPr>
          <w:fldChar w:fldCharType="end"/>
        </w:r>
      </w:hyperlink>
    </w:p>
    <w:p w14:paraId="38C3C361" w14:textId="63138540" w:rsidR="00023ECF" w:rsidRDefault="00023ECF">
      <w:pPr>
        <w:pStyle w:val="TOC2"/>
        <w:rPr>
          <w:rFonts w:asciiTheme="minorHAnsi" w:eastAsiaTheme="minorEastAsia" w:hAnsiTheme="minorHAnsi" w:cstheme="minorBidi"/>
          <w:bCs w:val="0"/>
          <w:kern w:val="2"/>
          <w:szCs w:val="24"/>
          <w14:ligatures w14:val="standardContextual"/>
        </w:rPr>
      </w:pPr>
      <w:hyperlink w:anchor="_Toc213772036" w:history="1">
        <w:r w:rsidRPr="00AC173C">
          <w:rPr>
            <w:rStyle w:val="Hyperlink"/>
          </w:rPr>
          <w:t>9.1</w:t>
        </w:r>
        <w:r>
          <w:rPr>
            <w:rFonts w:asciiTheme="minorHAnsi" w:eastAsiaTheme="minorEastAsia" w:hAnsiTheme="minorHAnsi" w:cstheme="minorBidi"/>
            <w:bCs w:val="0"/>
            <w:kern w:val="2"/>
            <w:szCs w:val="24"/>
            <w14:ligatures w14:val="standardContextual"/>
          </w:rPr>
          <w:tab/>
        </w:r>
        <w:r w:rsidRPr="00AC173C">
          <w:rPr>
            <w:rStyle w:val="Hyperlink"/>
          </w:rPr>
          <w:t>Registration of Resources</w:t>
        </w:r>
        <w:r>
          <w:rPr>
            <w:webHidden/>
          </w:rPr>
          <w:tab/>
        </w:r>
        <w:r>
          <w:rPr>
            <w:webHidden/>
          </w:rPr>
          <w:fldChar w:fldCharType="begin"/>
        </w:r>
        <w:r>
          <w:rPr>
            <w:webHidden/>
          </w:rPr>
          <w:instrText xml:space="preserve"> PAGEREF _Toc213772036 \h </w:instrText>
        </w:r>
        <w:r>
          <w:rPr>
            <w:webHidden/>
          </w:rPr>
        </w:r>
        <w:r>
          <w:rPr>
            <w:webHidden/>
          </w:rPr>
          <w:fldChar w:fldCharType="separate"/>
        </w:r>
        <w:r>
          <w:rPr>
            <w:webHidden/>
          </w:rPr>
          <w:t>281</w:t>
        </w:r>
        <w:r>
          <w:rPr>
            <w:webHidden/>
          </w:rPr>
          <w:fldChar w:fldCharType="end"/>
        </w:r>
      </w:hyperlink>
    </w:p>
    <w:p w14:paraId="492B288B" w14:textId="37C663E8" w:rsidR="00023ECF" w:rsidRDefault="00023ECF">
      <w:pPr>
        <w:pStyle w:val="TOC3"/>
        <w:rPr>
          <w:rFonts w:asciiTheme="minorHAnsi" w:eastAsiaTheme="minorEastAsia" w:hAnsiTheme="minorHAnsi" w:cstheme="minorBidi"/>
          <w:bCs w:val="0"/>
          <w:kern w:val="2"/>
          <w:szCs w:val="24"/>
          <w14:ligatures w14:val="standardContextual"/>
        </w:rPr>
      </w:pPr>
      <w:hyperlink w:anchor="_Toc213772037" w:history="1">
        <w:r w:rsidRPr="00AC173C">
          <w:rPr>
            <w:rStyle w:val="Hyperlink"/>
          </w:rPr>
          <w:t>9.1.1</w:t>
        </w:r>
        <w:r>
          <w:rPr>
            <w:rFonts w:asciiTheme="minorHAnsi" w:eastAsiaTheme="minorEastAsia" w:hAnsiTheme="minorHAnsi" w:cstheme="minorBidi"/>
            <w:bCs w:val="0"/>
            <w:kern w:val="2"/>
            <w:szCs w:val="24"/>
            <w14:ligatures w14:val="standardContextual"/>
          </w:rPr>
          <w:tab/>
        </w:r>
        <w:r w:rsidRPr="00AC173C">
          <w:rPr>
            <w:rStyle w:val="Hyperlink"/>
          </w:rPr>
          <w:t>Responsibilities of the Resource Market Participant</w:t>
        </w:r>
        <w:r>
          <w:rPr>
            <w:webHidden/>
          </w:rPr>
          <w:tab/>
        </w:r>
        <w:r>
          <w:rPr>
            <w:webHidden/>
          </w:rPr>
          <w:fldChar w:fldCharType="begin"/>
        </w:r>
        <w:r>
          <w:rPr>
            <w:webHidden/>
          </w:rPr>
          <w:instrText xml:space="preserve"> PAGEREF _Toc213772037 \h </w:instrText>
        </w:r>
        <w:r>
          <w:rPr>
            <w:webHidden/>
          </w:rPr>
        </w:r>
        <w:r>
          <w:rPr>
            <w:webHidden/>
          </w:rPr>
          <w:fldChar w:fldCharType="separate"/>
        </w:r>
        <w:r>
          <w:rPr>
            <w:webHidden/>
          </w:rPr>
          <w:t>281</w:t>
        </w:r>
        <w:r>
          <w:rPr>
            <w:webHidden/>
          </w:rPr>
          <w:fldChar w:fldCharType="end"/>
        </w:r>
      </w:hyperlink>
    </w:p>
    <w:p w14:paraId="17BF4134" w14:textId="27964703" w:rsidR="00023ECF" w:rsidRDefault="00023ECF">
      <w:pPr>
        <w:pStyle w:val="TOC3"/>
        <w:rPr>
          <w:rFonts w:asciiTheme="minorHAnsi" w:eastAsiaTheme="minorEastAsia" w:hAnsiTheme="minorHAnsi" w:cstheme="minorBidi"/>
          <w:bCs w:val="0"/>
          <w:kern w:val="2"/>
          <w:szCs w:val="24"/>
          <w14:ligatures w14:val="standardContextual"/>
        </w:rPr>
      </w:pPr>
      <w:hyperlink w:anchor="_Toc213772038" w:history="1">
        <w:r w:rsidRPr="00AC173C">
          <w:rPr>
            <w:rStyle w:val="Hyperlink"/>
          </w:rPr>
          <w:t>9.1.2</w:t>
        </w:r>
        <w:r>
          <w:rPr>
            <w:rFonts w:asciiTheme="minorHAnsi" w:eastAsiaTheme="minorEastAsia" w:hAnsiTheme="minorHAnsi" w:cstheme="minorBidi"/>
            <w:bCs w:val="0"/>
            <w:kern w:val="2"/>
            <w:szCs w:val="24"/>
            <w14:ligatures w14:val="standardContextual"/>
          </w:rPr>
          <w:tab/>
        </w:r>
        <w:r w:rsidRPr="00AC173C">
          <w:rPr>
            <w:rStyle w:val="Hyperlink"/>
          </w:rPr>
          <w:t>Energy Production Prior to Completion of Market Registration</w:t>
        </w:r>
        <w:r>
          <w:rPr>
            <w:webHidden/>
          </w:rPr>
          <w:tab/>
        </w:r>
        <w:r>
          <w:rPr>
            <w:webHidden/>
          </w:rPr>
          <w:fldChar w:fldCharType="begin"/>
        </w:r>
        <w:r>
          <w:rPr>
            <w:webHidden/>
          </w:rPr>
          <w:instrText xml:space="preserve"> PAGEREF _Toc213772038 \h </w:instrText>
        </w:r>
        <w:r>
          <w:rPr>
            <w:webHidden/>
          </w:rPr>
        </w:r>
        <w:r>
          <w:rPr>
            <w:webHidden/>
          </w:rPr>
          <w:fldChar w:fldCharType="separate"/>
        </w:r>
        <w:r>
          <w:rPr>
            <w:webHidden/>
          </w:rPr>
          <w:t>282</w:t>
        </w:r>
        <w:r>
          <w:rPr>
            <w:webHidden/>
          </w:rPr>
          <w:fldChar w:fldCharType="end"/>
        </w:r>
      </w:hyperlink>
    </w:p>
    <w:p w14:paraId="1F35202A" w14:textId="637A5366" w:rsidR="00023ECF" w:rsidRDefault="00023ECF">
      <w:pPr>
        <w:pStyle w:val="TOC3"/>
        <w:rPr>
          <w:rFonts w:asciiTheme="minorHAnsi" w:eastAsiaTheme="minorEastAsia" w:hAnsiTheme="minorHAnsi" w:cstheme="minorBidi"/>
          <w:bCs w:val="0"/>
          <w:kern w:val="2"/>
          <w:szCs w:val="24"/>
          <w14:ligatures w14:val="standardContextual"/>
        </w:rPr>
      </w:pPr>
      <w:hyperlink w:anchor="_Toc213772039" w:history="1">
        <w:r w:rsidRPr="00AC173C">
          <w:rPr>
            <w:rStyle w:val="Hyperlink"/>
          </w:rPr>
          <w:t>9.1.3</w:t>
        </w:r>
        <w:r>
          <w:rPr>
            <w:rFonts w:asciiTheme="minorHAnsi" w:eastAsiaTheme="minorEastAsia" w:hAnsiTheme="minorHAnsi" w:cstheme="minorBidi"/>
            <w:bCs w:val="0"/>
            <w:kern w:val="2"/>
            <w:szCs w:val="24"/>
            <w14:ligatures w14:val="standardContextual"/>
          </w:rPr>
          <w:tab/>
        </w:r>
        <w:r w:rsidRPr="00AC173C">
          <w:rPr>
            <w:rStyle w:val="Hyperlink"/>
          </w:rPr>
          <w:t>Common Bus</w:t>
        </w:r>
        <w:r>
          <w:rPr>
            <w:webHidden/>
          </w:rPr>
          <w:tab/>
        </w:r>
        <w:r>
          <w:rPr>
            <w:webHidden/>
          </w:rPr>
          <w:fldChar w:fldCharType="begin"/>
        </w:r>
        <w:r>
          <w:rPr>
            <w:webHidden/>
          </w:rPr>
          <w:instrText xml:space="preserve"> PAGEREF _Toc213772039 \h </w:instrText>
        </w:r>
        <w:r>
          <w:rPr>
            <w:webHidden/>
          </w:rPr>
        </w:r>
        <w:r>
          <w:rPr>
            <w:webHidden/>
          </w:rPr>
          <w:fldChar w:fldCharType="separate"/>
        </w:r>
        <w:r>
          <w:rPr>
            <w:webHidden/>
          </w:rPr>
          <w:t>283</w:t>
        </w:r>
        <w:r>
          <w:rPr>
            <w:webHidden/>
          </w:rPr>
          <w:fldChar w:fldCharType="end"/>
        </w:r>
      </w:hyperlink>
    </w:p>
    <w:p w14:paraId="541FAE8B" w14:textId="790AA4C2" w:rsidR="00023ECF" w:rsidRDefault="00023ECF">
      <w:pPr>
        <w:pStyle w:val="TOC3"/>
        <w:rPr>
          <w:rFonts w:asciiTheme="minorHAnsi" w:eastAsiaTheme="minorEastAsia" w:hAnsiTheme="minorHAnsi" w:cstheme="minorBidi"/>
          <w:bCs w:val="0"/>
          <w:kern w:val="2"/>
          <w:szCs w:val="24"/>
          <w14:ligatures w14:val="standardContextual"/>
        </w:rPr>
      </w:pPr>
      <w:hyperlink w:anchor="_Toc213772040" w:history="1">
        <w:r w:rsidRPr="00AC173C">
          <w:rPr>
            <w:rStyle w:val="Hyperlink"/>
          </w:rPr>
          <w:t>9.1.4</w:t>
        </w:r>
        <w:r>
          <w:rPr>
            <w:rFonts w:asciiTheme="minorHAnsi" w:eastAsiaTheme="minorEastAsia" w:hAnsiTheme="minorHAnsi" w:cstheme="minorBidi"/>
            <w:bCs w:val="0"/>
            <w:kern w:val="2"/>
            <w:szCs w:val="24"/>
            <w14:ligatures w14:val="standardContextual"/>
          </w:rPr>
          <w:tab/>
        </w:r>
        <w:r w:rsidRPr="00AC173C">
          <w:rPr>
            <w:rStyle w:val="Hyperlink"/>
          </w:rPr>
          <w:t>Dispatchable Demand Response Resource</w:t>
        </w:r>
        <w:r>
          <w:rPr>
            <w:webHidden/>
          </w:rPr>
          <w:tab/>
        </w:r>
        <w:r>
          <w:rPr>
            <w:webHidden/>
          </w:rPr>
          <w:fldChar w:fldCharType="begin"/>
        </w:r>
        <w:r>
          <w:rPr>
            <w:webHidden/>
          </w:rPr>
          <w:instrText xml:space="preserve"> PAGEREF _Toc213772040 \h </w:instrText>
        </w:r>
        <w:r>
          <w:rPr>
            <w:webHidden/>
          </w:rPr>
        </w:r>
        <w:r>
          <w:rPr>
            <w:webHidden/>
          </w:rPr>
          <w:fldChar w:fldCharType="separate"/>
        </w:r>
        <w:r>
          <w:rPr>
            <w:webHidden/>
          </w:rPr>
          <w:t>283</w:t>
        </w:r>
        <w:r>
          <w:rPr>
            <w:webHidden/>
          </w:rPr>
          <w:fldChar w:fldCharType="end"/>
        </w:r>
      </w:hyperlink>
    </w:p>
    <w:p w14:paraId="5E77E8AE" w14:textId="75261A03" w:rsidR="00023ECF" w:rsidRDefault="00023ECF">
      <w:pPr>
        <w:pStyle w:val="TOC3"/>
        <w:rPr>
          <w:rFonts w:asciiTheme="minorHAnsi" w:eastAsiaTheme="minorEastAsia" w:hAnsiTheme="minorHAnsi" w:cstheme="minorBidi"/>
          <w:bCs w:val="0"/>
          <w:kern w:val="2"/>
          <w:szCs w:val="24"/>
          <w14:ligatures w14:val="standardContextual"/>
        </w:rPr>
      </w:pPr>
      <w:hyperlink w:anchor="_Toc213772041" w:history="1">
        <w:r w:rsidRPr="00AC173C">
          <w:rPr>
            <w:rStyle w:val="Hyperlink"/>
          </w:rPr>
          <w:t>9.1.5</w:t>
        </w:r>
        <w:r>
          <w:rPr>
            <w:rFonts w:asciiTheme="minorHAnsi" w:eastAsiaTheme="minorEastAsia" w:hAnsiTheme="minorHAnsi" w:cstheme="minorBidi"/>
            <w:bCs w:val="0"/>
            <w:kern w:val="2"/>
            <w:szCs w:val="24"/>
            <w14:ligatures w14:val="standardContextual"/>
          </w:rPr>
          <w:tab/>
        </w:r>
        <w:r w:rsidRPr="00AC173C">
          <w:rPr>
            <w:rStyle w:val="Hyperlink"/>
          </w:rPr>
          <w:t>Jointly Owned Units</w:t>
        </w:r>
        <w:r>
          <w:rPr>
            <w:webHidden/>
          </w:rPr>
          <w:tab/>
        </w:r>
        <w:r>
          <w:rPr>
            <w:webHidden/>
          </w:rPr>
          <w:fldChar w:fldCharType="begin"/>
        </w:r>
        <w:r>
          <w:rPr>
            <w:webHidden/>
          </w:rPr>
          <w:instrText xml:space="preserve"> PAGEREF _Toc213772041 \h </w:instrText>
        </w:r>
        <w:r>
          <w:rPr>
            <w:webHidden/>
          </w:rPr>
        </w:r>
        <w:r>
          <w:rPr>
            <w:webHidden/>
          </w:rPr>
          <w:fldChar w:fldCharType="separate"/>
        </w:r>
        <w:r>
          <w:rPr>
            <w:webHidden/>
          </w:rPr>
          <w:t>284</w:t>
        </w:r>
        <w:r>
          <w:rPr>
            <w:webHidden/>
          </w:rPr>
          <w:fldChar w:fldCharType="end"/>
        </w:r>
      </w:hyperlink>
    </w:p>
    <w:p w14:paraId="3926416A" w14:textId="6DED39A7" w:rsidR="00023ECF" w:rsidRDefault="00023ECF">
      <w:pPr>
        <w:pStyle w:val="TOC4"/>
        <w:rPr>
          <w:rFonts w:asciiTheme="minorHAnsi" w:eastAsiaTheme="minorEastAsia" w:hAnsiTheme="minorHAnsi" w:cstheme="minorBidi"/>
          <w:bCs w:val="0"/>
          <w:kern w:val="2"/>
          <w:szCs w:val="24"/>
          <w14:ligatures w14:val="standardContextual"/>
        </w:rPr>
      </w:pPr>
      <w:hyperlink w:anchor="_Toc213772042" w:history="1">
        <w:r w:rsidRPr="00AC173C">
          <w:rPr>
            <w:rStyle w:val="Hyperlink"/>
          </w:rPr>
          <w:t>9.1.5.1</w:t>
        </w:r>
        <w:r>
          <w:rPr>
            <w:rFonts w:asciiTheme="minorHAnsi" w:eastAsiaTheme="minorEastAsia" w:hAnsiTheme="minorHAnsi" w:cstheme="minorBidi"/>
            <w:bCs w:val="0"/>
            <w:kern w:val="2"/>
            <w:szCs w:val="24"/>
            <w14:ligatures w14:val="standardContextual"/>
          </w:rPr>
          <w:tab/>
        </w:r>
        <w:r w:rsidRPr="00AC173C">
          <w:rPr>
            <w:rStyle w:val="Hyperlink"/>
          </w:rPr>
          <w:t>Individual Resource Option</w:t>
        </w:r>
        <w:r>
          <w:rPr>
            <w:webHidden/>
          </w:rPr>
          <w:tab/>
        </w:r>
        <w:r>
          <w:rPr>
            <w:webHidden/>
          </w:rPr>
          <w:fldChar w:fldCharType="begin"/>
        </w:r>
        <w:r>
          <w:rPr>
            <w:webHidden/>
          </w:rPr>
          <w:instrText xml:space="preserve"> PAGEREF _Toc213772042 \h </w:instrText>
        </w:r>
        <w:r>
          <w:rPr>
            <w:webHidden/>
          </w:rPr>
        </w:r>
        <w:r>
          <w:rPr>
            <w:webHidden/>
          </w:rPr>
          <w:fldChar w:fldCharType="separate"/>
        </w:r>
        <w:r>
          <w:rPr>
            <w:webHidden/>
          </w:rPr>
          <w:t>284</w:t>
        </w:r>
        <w:r>
          <w:rPr>
            <w:webHidden/>
          </w:rPr>
          <w:fldChar w:fldCharType="end"/>
        </w:r>
      </w:hyperlink>
    </w:p>
    <w:p w14:paraId="0BA8500F" w14:textId="1292F5DE" w:rsidR="00023ECF" w:rsidRDefault="00023ECF">
      <w:pPr>
        <w:pStyle w:val="TOC4"/>
        <w:rPr>
          <w:rFonts w:asciiTheme="minorHAnsi" w:eastAsiaTheme="minorEastAsia" w:hAnsiTheme="minorHAnsi" w:cstheme="minorBidi"/>
          <w:bCs w:val="0"/>
          <w:kern w:val="2"/>
          <w:szCs w:val="24"/>
          <w14:ligatures w14:val="standardContextual"/>
        </w:rPr>
      </w:pPr>
      <w:hyperlink w:anchor="_Toc213772043" w:history="1">
        <w:r w:rsidRPr="00AC173C">
          <w:rPr>
            <w:rStyle w:val="Hyperlink"/>
          </w:rPr>
          <w:t>9.1.5.2</w:t>
        </w:r>
        <w:r>
          <w:rPr>
            <w:rFonts w:asciiTheme="minorHAnsi" w:eastAsiaTheme="minorEastAsia" w:hAnsiTheme="minorHAnsi" w:cstheme="minorBidi"/>
            <w:bCs w:val="0"/>
            <w:kern w:val="2"/>
            <w:szCs w:val="24"/>
            <w14:ligatures w14:val="standardContextual"/>
          </w:rPr>
          <w:tab/>
        </w:r>
        <w:r w:rsidRPr="00AC173C">
          <w:rPr>
            <w:rStyle w:val="Hyperlink"/>
          </w:rPr>
          <w:t>Combined Interest Resource Option</w:t>
        </w:r>
        <w:r>
          <w:rPr>
            <w:webHidden/>
          </w:rPr>
          <w:tab/>
        </w:r>
        <w:r>
          <w:rPr>
            <w:webHidden/>
          </w:rPr>
          <w:fldChar w:fldCharType="begin"/>
        </w:r>
        <w:r>
          <w:rPr>
            <w:webHidden/>
          </w:rPr>
          <w:instrText xml:space="preserve"> PAGEREF _Toc213772043 \h </w:instrText>
        </w:r>
        <w:r>
          <w:rPr>
            <w:webHidden/>
          </w:rPr>
        </w:r>
        <w:r>
          <w:rPr>
            <w:webHidden/>
          </w:rPr>
          <w:fldChar w:fldCharType="separate"/>
        </w:r>
        <w:r>
          <w:rPr>
            <w:webHidden/>
          </w:rPr>
          <w:t>285</w:t>
        </w:r>
        <w:r>
          <w:rPr>
            <w:webHidden/>
          </w:rPr>
          <w:fldChar w:fldCharType="end"/>
        </w:r>
      </w:hyperlink>
    </w:p>
    <w:p w14:paraId="53140D0A" w14:textId="2E5C20D7" w:rsidR="00023ECF" w:rsidRDefault="00023ECF">
      <w:pPr>
        <w:pStyle w:val="TOC3"/>
        <w:rPr>
          <w:rFonts w:asciiTheme="minorHAnsi" w:eastAsiaTheme="minorEastAsia" w:hAnsiTheme="minorHAnsi" w:cstheme="minorBidi"/>
          <w:bCs w:val="0"/>
          <w:kern w:val="2"/>
          <w:szCs w:val="24"/>
          <w14:ligatures w14:val="standardContextual"/>
        </w:rPr>
      </w:pPr>
      <w:hyperlink w:anchor="_Toc213772044" w:history="1">
        <w:r w:rsidRPr="00AC173C">
          <w:rPr>
            <w:rStyle w:val="Hyperlink"/>
          </w:rPr>
          <w:t>9.1.6</w:t>
        </w:r>
        <w:r>
          <w:rPr>
            <w:rFonts w:asciiTheme="minorHAnsi" w:eastAsiaTheme="minorEastAsia" w:hAnsiTheme="minorHAnsi" w:cstheme="minorBidi"/>
            <w:bCs w:val="0"/>
            <w:kern w:val="2"/>
            <w:szCs w:val="24"/>
            <w14:ligatures w14:val="standardContextual"/>
          </w:rPr>
          <w:tab/>
        </w:r>
        <w:r w:rsidRPr="00AC173C">
          <w:rPr>
            <w:rStyle w:val="Hyperlink"/>
          </w:rPr>
          <w:t>Combined Cycle Resource</w:t>
        </w:r>
        <w:r>
          <w:rPr>
            <w:webHidden/>
          </w:rPr>
          <w:tab/>
        </w:r>
        <w:r>
          <w:rPr>
            <w:webHidden/>
          </w:rPr>
          <w:fldChar w:fldCharType="begin"/>
        </w:r>
        <w:r>
          <w:rPr>
            <w:webHidden/>
          </w:rPr>
          <w:instrText xml:space="preserve"> PAGEREF _Toc213772044 \h </w:instrText>
        </w:r>
        <w:r>
          <w:rPr>
            <w:webHidden/>
          </w:rPr>
        </w:r>
        <w:r>
          <w:rPr>
            <w:webHidden/>
          </w:rPr>
          <w:fldChar w:fldCharType="separate"/>
        </w:r>
        <w:r>
          <w:rPr>
            <w:webHidden/>
          </w:rPr>
          <w:t>285</w:t>
        </w:r>
        <w:r>
          <w:rPr>
            <w:webHidden/>
          </w:rPr>
          <w:fldChar w:fldCharType="end"/>
        </w:r>
      </w:hyperlink>
    </w:p>
    <w:p w14:paraId="43451E50" w14:textId="72176499" w:rsidR="00023ECF" w:rsidRDefault="00023ECF">
      <w:pPr>
        <w:pStyle w:val="TOC4"/>
        <w:rPr>
          <w:rFonts w:asciiTheme="minorHAnsi" w:eastAsiaTheme="minorEastAsia" w:hAnsiTheme="minorHAnsi" w:cstheme="minorBidi"/>
          <w:bCs w:val="0"/>
          <w:kern w:val="2"/>
          <w:szCs w:val="24"/>
          <w14:ligatures w14:val="standardContextual"/>
        </w:rPr>
      </w:pPr>
      <w:hyperlink w:anchor="_Toc213772045" w:history="1">
        <w:r w:rsidRPr="00AC173C">
          <w:rPr>
            <w:rStyle w:val="Hyperlink"/>
          </w:rPr>
          <w:t>9.1.6.1</w:t>
        </w:r>
        <w:r>
          <w:rPr>
            <w:rFonts w:asciiTheme="minorHAnsi" w:eastAsiaTheme="minorEastAsia" w:hAnsiTheme="minorHAnsi" w:cstheme="minorBidi"/>
            <w:bCs w:val="0"/>
            <w:kern w:val="2"/>
            <w:szCs w:val="24"/>
            <w14:ligatures w14:val="standardContextual"/>
          </w:rPr>
          <w:tab/>
        </w:r>
        <w:r w:rsidRPr="00AC173C">
          <w:rPr>
            <w:rStyle w:val="Hyperlink"/>
          </w:rPr>
          <w:t>Multi-Configuration Resource</w:t>
        </w:r>
        <w:r>
          <w:rPr>
            <w:webHidden/>
          </w:rPr>
          <w:tab/>
        </w:r>
        <w:r>
          <w:rPr>
            <w:webHidden/>
          </w:rPr>
          <w:fldChar w:fldCharType="begin"/>
        </w:r>
        <w:r>
          <w:rPr>
            <w:webHidden/>
          </w:rPr>
          <w:instrText xml:space="preserve"> PAGEREF _Toc213772045 \h </w:instrText>
        </w:r>
        <w:r>
          <w:rPr>
            <w:webHidden/>
          </w:rPr>
        </w:r>
        <w:r>
          <w:rPr>
            <w:webHidden/>
          </w:rPr>
          <w:fldChar w:fldCharType="separate"/>
        </w:r>
        <w:r>
          <w:rPr>
            <w:webHidden/>
          </w:rPr>
          <w:t>286</w:t>
        </w:r>
        <w:r>
          <w:rPr>
            <w:webHidden/>
          </w:rPr>
          <w:fldChar w:fldCharType="end"/>
        </w:r>
      </w:hyperlink>
    </w:p>
    <w:p w14:paraId="4DA8A932" w14:textId="3D396026" w:rsidR="00023ECF" w:rsidRDefault="00023ECF">
      <w:pPr>
        <w:pStyle w:val="TOC3"/>
        <w:rPr>
          <w:rFonts w:asciiTheme="minorHAnsi" w:eastAsiaTheme="minorEastAsia" w:hAnsiTheme="minorHAnsi" w:cstheme="minorBidi"/>
          <w:bCs w:val="0"/>
          <w:kern w:val="2"/>
          <w:szCs w:val="24"/>
          <w14:ligatures w14:val="standardContextual"/>
        </w:rPr>
      </w:pPr>
      <w:hyperlink w:anchor="_Toc213772046" w:history="1">
        <w:r w:rsidRPr="00AC173C">
          <w:rPr>
            <w:rStyle w:val="Hyperlink"/>
          </w:rPr>
          <w:t>9.1.7</w:t>
        </w:r>
        <w:r>
          <w:rPr>
            <w:rFonts w:asciiTheme="minorHAnsi" w:eastAsiaTheme="minorEastAsia" w:hAnsiTheme="minorHAnsi" w:cstheme="minorBidi"/>
            <w:bCs w:val="0"/>
            <w:kern w:val="2"/>
            <w:szCs w:val="24"/>
            <w14:ligatures w14:val="standardContextual"/>
          </w:rPr>
          <w:tab/>
        </w:r>
        <w:r w:rsidRPr="00AC173C">
          <w:rPr>
            <w:rStyle w:val="Hyperlink"/>
          </w:rPr>
          <w:t>Dispatchable Variable Energy Resource</w:t>
        </w:r>
        <w:r>
          <w:rPr>
            <w:webHidden/>
          </w:rPr>
          <w:tab/>
        </w:r>
        <w:r>
          <w:rPr>
            <w:webHidden/>
          </w:rPr>
          <w:fldChar w:fldCharType="begin"/>
        </w:r>
        <w:r>
          <w:rPr>
            <w:webHidden/>
          </w:rPr>
          <w:instrText xml:space="preserve"> PAGEREF _Toc213772046 \h </w:instrText>
        </w:r>
        <w:r>
          <w:rPr>
            <w:webHidden/>
          </w:rPr>
        </w:r>
        <w:r>
          <w:rPr>
            <w:webHidden/>
          </w:rPr>
          <w:fldChar w:fldCharType="separate"/>
        </w:r>
        <w:r>
          <w:rPr>
            <w:webHidden/>
          </w:rPr>
          <w:t>289</w:t>
        </w:r>
        <w:r>
          <w:rPr>
            <w:webHidden/>
          </w:rPr>
          <w:fldChar w:fldCharType="end"/>
        </w:r>
      </w:hyperlink>
    </w:p>
    <w:p w14:paraId="5A6FBD9A" w14:textId="403C816E" w:rsidR="00023ECF" w:rsidRDefault="00023ECF">
      <w:pPr>
        <w:pStyle w:val="TOC3"/>
        <w:rPr>
          <w:rFonts w:asciiTheme="minorHAnsi" w:eastAsiaTheme="minorEastAsia" w:hAnsiTheme="minorHAnsi" w:cstheme="minorBidi"/>
          <w:bCs w:val="0"/>
          <w:kern w:val="2"/>
          <w:szCs w:val="24"/>
          <w14:ligatures w14:val="standardContextual"/>
        </w:rPr>
      </w:pPr>
      <w:hyperlink w:anchor="_Toc213772047" w:history="1">
        <w:r w:rsidRPr="00AC173C">
          <w:rPr>
            <w:rStyle w:val="Hyperlink"/>
          </w:rPr>
          <w:t>9.1.8</w:t>
        </w:r>
        <w:r>
          <w:rPr>
            <w:rFonts w:asciiTheme="minorHAnsi" w:eastAsiaTheme="minorEastAsia" w:hAnsiTheme="minorHAnsi" w:cstheme="minorBidi"/>
            <w:bCs w:val="0"/>
            <w:kern w:val="2"/>
            <w:szCs w:val="24"/>
            <w14:ligatures w14:val="standardContextual"/>
          </w:rPr>
          <w:tab/>
        </w:r>
        <w:r w:rsidRPr="00AC173C">
          <w:rPr>
            <w:rStyle w:val="Hyperlink"/>
          </w:rPr>
          <w:t>Non-Dispatchable Variable Energy Resource</w:t>
        </w:r>
        <w:r>
          <w:rPr>
            <w:webHidden/>
          </w:rPr>
          <w:tab/>
        </w:r>
        <w:r>
          <w:rPr>
            <w:webHidden/>
          </w:rPr>
          <w:fldChar w:fldCharType="begin"/>
        </w:r>
        <w:r>
          <w:rPr>
            <w:webHidden/>
          </w:rPr>
          <w:instrText xml:space="preserve"> PAGEREF _Toc213772047 \h </w:instrText>
        </w:r>
        <w:r>
          <w:rPr>
            <w:webHidden/>
          </w:rPr>
        </w:r>
        <w:r>
          <w:rPr>
            <w:webHidden/>
          </w:rPr>
          <w:fldChar w:fldCharType="separate"/>
        </w:r>
        <w:r>
          <w:rPr>
            <w:webHidden/>
          </w:rPr>
          <w:t>290</w:t>
        </w:r>
        <w:r>
          <w:rPr>
            <w:webHidden/>
          </w:rPr>
          <w:fldChar w:fldCharType="end"/>
        </w:r>
      </w:hyperlink>
    </w:p>
    <w:p w14:paraId="0BC9A001" w14:textId="2B437C39" w:rsidR="00023ECF" w:rsidRDefault="00023ECF">
      <w:pPr>
        <w:pStyle w:val="TOC3"/>
        <w:rPr>
          <w:rFonts w:asciiTheme="minorHAnsi" w:eastAsiaTheme="minorEastAsia" w:hAnsiTheme="minorHAnsi" w:cstheme="minorBidi"/>
          <w:bCs w:val="0"/>
          <w:kern w:val="2"/>
          <w:szCs w:val="24"/>
          <w14:ligatures w14:val="standardContextual"/>
        </w:rPr>
      </w:pPr>
      <w:hyperlink w:anchor="_Toc213772048" w:history="1">
        <w:r w:rsidRPr="00AC173C">
          <w:rPr>
            <w:rStyle w:val="Hyperlink"/>
          </w:rPr>
          <w:t>9.1.9</w:t>
        </w:r>
        <w:r>
          <w:rPr>
            <w:rFonts w:asciiTheme="minorHAnsi" w:eastAsiaTheme="minorEastAsia" w:hAnsiTheme="minorHAnsi" w:cstheme="minorBidi"/>
            <w:bCs w:val="0"/>
            <w:kern w:val="2"/>
            <w:szCs w:val="24"/>
            <w14:ligatures w14:val="standardContextual"/>
          </w:rPr>
          <w:tab/>
        </w:r>
        <w:r w:rsidRPr="00AC173C">
          <w:rPr>
            <w:rStyle w:val="Hyperlink"/>
          </w:rPr>
          <w:t>Resources External to Markets+ Footprint Pseudo-Tying In</w:t>
        </w:r>
        <w:r>
          <w:rPr>
            <w:webHidden/>
          </w:rPr>
          <w:tab/>
        </w:r>
        <w:r>
          <w:rPr>
            <w:webHidden/>
          </w:rPr>
          <w:fldChar w:fldCharType="begin"/>
        </w:r>
        <w:r>
          <w:rPr>
            <w:webHidden/>
          </w:rPr>
          <w:instrText xml:space="preserve"> PAGEREF _Toc213772048 \h </w:instrText>
        </w:r>
        <w:r>
          <w:rPr>
            <w:webHidden/>
          </w:rPr>
        </w:r>
        <w:r>
          <w:rPr>
            <w:webHidden/>
          </w:rPr>
          <w:fldChar w:fldCharType="separate"/>
        </w:r>
        <w:r>
          <w:rPr>
            <w:webHidden/>
          </w:rPr>
          <w:t>290</w:t>
        </w:r>
        <w:r>
          <w:rPr>
            <w:webHidden/>
          </w:rPr>
          <w:fldChar w:fldCharType="end"/>
        </w:r>
      </w:hyperlink>
    </w:p>
    <w:p w14:paraId="510BFEC9" w14:textId="683436FC" w:rsidR="00023ECF" w:rsidRDefault="00023ECF">
      <w:pPr>
        <w:pStyle w:val="TOC3"/>
        <w:rPr>
          <w:rFonts w:asciiTheme="minorHAnsi" w:eastAsiaTheme="minorEastAsia" w:hAnsiTheme="minorHAnsi" w:cstheme="minorBidi"/>
          <w:bCs w:val="0"/>
          <w:kern w:val="2"/>
          <w:szCs w:val="24"/>
          <w14:ligatures w14:val="standardContextual"/>
        </w:rPr>
      </w:pPr>
      <w:hyperlink w:anchor="_Toc213772049" w:history="1">
        <w:r w:rsidRPr="00AC173C">
          <w:rPr>
            <w:rStyle w:val="Hyperlink"/>
          </w:rPr>
          <w:t>9.1.10</w:t>
        </w:r>
        <w:r>
          <w:rPr>
            <w:rFonts w:asciiTheme="minorHAnsi" w:eastAsiaTheme="minorEastAsia" w:hAnsiTheme="minorHAnsi" w:cstheme="minorBidi"/>
            <w:bCs w:val="0"/>
            <w:kern w:val="2"/>
            <w:szCs w:val="24"/>
            <w14:ligatures w14:val="standardContextual"/>
          </w:rPr>
          <w:tab/>
        </w:r>
        <w:r w:rsidRPr="00AC173C">
          <w:rPr>
            <w:rStyle w:val="Hyperlink"/>
          </w:rPr>
          <w:t>Flexibility Reserve Products Certification</w:t>
        </w:r>
        <w:r>
          <w:rPr>
            <w:webHidden/>
          </w:rPr>
          <w:tab/>
        </w:r>
        <w:r>
          <w:rPr>
            <w:webHidden/>
          </w:rPr>
          <w:fldChar w:fldCharType="begin"/>
        </w:r>
        <w:r>
          <w:rPr>
            <w:webHidden/>
          </w:rPr>
          <w:instrText xml:space="preserve"> PAGEREF _Toc213772049 \h </w:instrText>
        </w:r>
        <w:r>
          <w:rPr>
            <w:webHidden/>
          </w:rPr>
        </w:r>
        <w:r>
          <w:rPr>
            <w:webHidden/>
          </w:rPr>
          <w:fldChar w:fldCharType="separate"/>
        </w:r>
        <w:r>
          <w:rPr>
            <w:webHidden/>
          </w:rPr>
          <w:t>290</w:t>
        </w:r>
        <w:r>
          <w:rPr>
            <w:webHidden/>
          </w:rPr>
          <w:fldChar w:fldCharType="end"/>
        </w:r>
      </w:hyperlink>
    </w:p>
    <w:p w14:paraId="543A363E" w14:textId="29C832B0" w:rsidR="00023ECF" w:rsidRDefault="00023ECF">
      <w:pPr>
        <w:pStyle w:val="TOC4"/>
        <w:rPr>
          <w:rFonts w:asciiTheme="minorHAnsi" w:eastAsiaTheme="minorEastAsia" w:hAnsiTheme="minorHAnsi" w:cstheme="minorBidi"/>
          <w:bCs w:val="0"/>
          <w:kern w:val="2"/>
          <w:szCs w:val="24"/>
          <w14:ligatures w14:val="standardContextual"/>
        </w:rPr>
      </w:pPr>
      <w:hyperlink w:anchor="_Toc213772050" w:history="1">
        <w:r w:rsidRPr="00AC173C">
          <w:rPr>
            <w:rStyle w:val="Hyperlink"/>
          </w:rPr>
          <w:t>9.1.10.1</w:t>
        </w:r>
        <w:r>
          <w:rPr>
            <w:rFonts w:asciiTheme="minorHAnsi" w:eastAsiaTheme="minorEastAsia" w:hAnsiTheme="minorHAnsi" w:cstheme="minorBidi"/>
            <w:bCs w:val="0"/>
            <w:kern w:val="2"/>
            <w:szCs w:val="24"/>
            <w14:ligatures w14:val="standardContextual"/>
          </w:rPr>
          <w:tab/>
        </w:r>
        <w:r w:rsidRPr="00AC173C">
          <w:rPr>
            <w:rStyle w:val="Hyperlink"/>
          </w:rPr>
          <w:t>Short-Term Flexibility Products Qualified Resources</w:t>
        </w:r>
        <w:r>
          <w:rPr>
            <w:webHidden/>
          </w:rPr>
          <w:tab/>
        </w:r>
        <w:r>
          <w:rPr>
            <w:webHidden/>
          </w:rPr>
          <w:fldChar w:fldCharType="begin"/>
        </w:r>
        <w:r>
          <w:rPr>
            <w:webHidden/>
          </w:rPr>
          <w:instrText xml:space="preserve"> PAGEREF _Toc213772050 \h </w:instrText>
        </w:r>
        <w:r>
          <w:rPr>
            <w:webHidden/>
          </w:rPr>
        </w:r>
        <w:r>
          <w:rPr>
            <w:webHidden/>
          </w:rPr>
          <w:fldChar w:fldCharType="separate"/>
        </w:r>
        <w:r>
          <w:rPr>
            <w:webHidden/>
          </w:rPr>
          <w:t>291</w:t>
        </w:r>
        <w:r>
          <w:rPr>
            <w:webHidden/>
          </w:rPr>
          <w:fldChar w:fldCharType="end"/>
        </w:r>
      </w:hyperlink>
    </w:p>
    <w:p w14:paraId="583FBE77" w14:textId="2EF1D4E7" w:rsidR="00023ECF" w:rsidRDefault="00023ECF">
      <w:pPr>
        <w:pStyle w:val="TOC4"/>
        <w:rPr>
          <w:rFonts w:asciiTheme="minorHAnsi" w:eastAsiaTheme="minorEastAsia" w:hAnsiTheme="minorHAnsi" w:cstheme="minorBidi"/>
          <w:bCs w:val="0"/>
          <w:kern w:val="2"/>
          <w:szCs w:val="24"/>
          <w14:ligatures w14:val="standardContextual"/>
        </w:rPr>
      </w:pPr>
      <w:hyperlink w:anchor="_Toc213772051" w:history="1">
        <w:r w:rsidRPr="00AC173C">
          <w:rPr>
            <w:rStyle w:val="Hyperlink"/>
          </w:rPr>
          <w:t>9.1.10.2</w:t>
        </w:r>
        <w:r>
          <w:rPr>
            <w:rFonts w:asciiTheme="minorHAnsi" w:eastAsiaTheme="minorEastAsia" w:hAnsiTheme="minorHAnsi" w:cstheme="minorBidi"/>
            <w:bCs w:val="0"/>
            <w:kern w:val="2"/>
            <w:szCs w:val="24"/>
            <w14:ligatures w14:val="standardContextual"/>
          </w:rPr>
          <w:tab/>
        </w:r>
        <w:r w:rsidRPr="00AC173C">
          <w:rPr>
            <w:rStyle w:val="Hyperlink"/>
          </w:rPr>
          <w:t>Mid-Term Flex Up Qualified Resources</w:t>
        </w:r>
        <w:r>
          <w:rPr>
            <w:webHidden/>
          </w:rPr>
          <w:tab/>
        </w:r>
        <w:r>
          <w:rPr>
            <w:webHidden/>
          </w:rPr>
          <w:fldChar w:fldCharType="begin"/>
        </w:r>
        <w:r>
          <w:rPr>
            <w:webHidden/>
          </w:rPr>
          <w:instrText xml:space="preserve"> PAGEREF _Toc213772051 \h </w:instrText>
        </w:r>
        <w:r>
          <w:rPr>
            <w:webHidden/>
          </w:rPr>
        </w:r>
        <w:r>
          <w:rPr>
            <w:webHidden/>
          </w:rPr>
          <w:fldChar w:fldCharType="separate"/>
        </w:r>
        <w:r>
          <w:rPr>
            <w:webHidden/>
          </w:rPr>
          <w:t>291</w:t>
        </w:r>
        <w:r>
          <w:rPr>
            <w:webHidden/>
          </w:rPr>
          <w:fldChar w:fldCharType="end"/>
        </w:r>
      </w:hyperlink>
    </w:p>
    <w:p w14:paraId="207AC22F" w14:textId="191C5A09" w:rsidR="00023ECF" w:rsidRDefault="00023ECF">
      <w:pPr>
        <w:pStyle w:val="TOC3"/>
        <w:rPr>
          <w:rFonts w:asciiTheme="minorHAnsi" w:eastAsiaTheme="minorEastAsia" w:hAnsiTheme="minorHAnsi" w:cstheme="minorBidi"/>
          <w:bCs w:val="0"/>
          <w:kern w:val="2"/>
          <w:szCs w:val="24"/>
          <w14:ligatures w14:val="standardContextual"/>
        </w:rPr>
      </w:pPr>
      <w:hyperlink w:anchor="_Toc213772052" w:history="1">
        <w:r w:rsidRPr="00AC173C">
          <w:rPr>
            <w:rStyle w:val="Hyperlink"/>
          </w:rPr>
          <w:t>9.1.11</w:t>
        </w:r>
        <w:r>
          <w:rPr>
            <w:rFonts w:asciiTheme="minorHAnsi" w:eastAsiaTheme="minorEastAsia" w:hAnsiTheme="minorHAnsi" w:cstheme="minorBidi"/>
            <w:bCs w:val="0"/>
            <w:kern w:val="2"/>
            <w:szCs w:val="24"/>
            <w14:ligatures w14:val="standardContextual"/>
          </w:rPr>
          <w:tab/>
        </w:r>
        <w:r w:rsidRPr="00AC173C">
          <w:rPr>
            <w:rStyle w:val="Hyperlink"/>
          </w:rPr>
          <w:t>Resource Auxiliary Load Modeling</w:t>
        </w:r>
        <w:r>
          <w:rPr>
            <w:webHidden/>
          </w:rPr>
          <w:tab/>
        </w:r>
        <w:r>
          <w:rPr>
            <w:webHidden/>
          </w:rPr>
          <w:fldChar w:fldCharType="begin"/>
        </w:r>
        <w:r>
          <w:rPr>
            <w:webHidden/>
          </w:rPr>
          <w:instrText xml:space="preserve"> PAGEREF _Toc213772052 \h </w:instrText>
        </w:r>
        <w:r>
          <w:rPr>
            <w:webHidden/>
          </w:rPr>
        </w:r>
        <w:r>
          <w:rPr>
            <w:webHidden/>
          </w:rPr>
          <w:fldChar w:fldCharType="separate"/>
        </w:r>
        <w:r>
          <w:rPr>
            <w:webHidden/>
          </w:rPr>
          <w:t>291</w:t>
        </w:r>
        <w:r>
          <w:rPr>
            <w:webHidden/>
          </w:rPr>
          <w:fldChar w:fldCharType="end"/>
        </w:r>
      </w:hyperlink>
    </w:p>
    <w:p w14:paraId="20784E95" w14:textId="5463CD28" w:rsidR="00023ECF" w:rsidRDefault="00023ECF">
      <w:pPr>
        <w:pStyle w:val="TOC3"/>
        <w:rPr>
          <w:rFonts w:asciiTheme="minorHAnsi" w:eastAsiaTheme="minorEastAsia" w:hAnsiTheme="minorHAnsi" w:cstheme="minorBidi"/>
          <w:bCs w:val="0"/>
          <w:kern w:val="2"/>
          <w:szCs w:val="24"/>
          <w14:ligatures w14:val="standardContextual"/>
        </w:rPr>
      </w:pPr>
      <w:hyperlink w:anchor="_Toc213772053" w:history="1">
        <w:r w:rsidRPr="00AC173C">
          <w:rPr>
            <w:rStyle w:val="Hyperlink"/>
          </w:rPr>
          <w:t>9.1.12</w:t>
        </w:r>
        <w:r>
          <w:rPr>
            <w:rFonts w:asciiTheme="minorHAnsi" w:eastAsiaTheme="minorEastAsia" w:hAnsiTheme="minorHAnsi" w:cstheme="minorBidi"/>
            <w:bCs w:val="0"/>
            <w:kern w:val="2"/>
            <w:szCs w:val="24"/>
            <w14:ligatures w14:val="standardContextual"/>
          </w:rPr>
          <w:tab/>
        </w:r>
        <w:r w:rsidRPr="00AC173C">
          <w:rPr>
            <w:rStyle w:val="Hyperlink"/>
          </w:rPr>
          <w:t>Market Storage Resource</w:t>
        </w:r>
        <w:r>
          <w:rPr>
            <w:webHidden/>
          </w:rPr>
          <w:tab/>
        </w:r>
        <w:r>
          <w:rPr>
            <w:webHidden/>
          </w:rPr>
          <w:fldChar w:fldCharType="begin"/>
        </w:r>
        <w:r>
          <w:rPr>
            <w:webHidden/>
          </w:rPr>
          <w:instrText xml:space="preserve"> PAGEREF _Toc213772053 \h </w:instrText>
        </w:r>
        <w:r>
          <w:rPr>
            <w:webHidden/>
          </w:rPr>
        </w:r>
        <w:r>
          <w:rPr>
            <w:webHidden/>
          </w:rPr>
          <w:fldChar w:fldCharType="separate"/>
        </w:r>
        <w:r>
          <w:rPr>
            <w:webHidden/>
          </w:rPr>
          <w:t>292</w:t>
        </w:r>
        <w:r>
          <w:rPr>
            <w:webHidden/>
          </w:rPr>
          <w:fldChar w:fldCharType="end"/>
        </w:r>
      </w:hyperlink>
    </w:p>
    <w:p w14:paraId="426B64DF" w14:textId="21CC6EC5" w:rsidR="00023ECF" w:rsidRDefault="00023ECF">
      <w:pPr>
        <w:pStyle w:val="TOC3"/>
        <w:rPr>
          <w:rFonts w:asciiTheme="minorHAnsi" w:eastAsiaTheme="minorEastAsia" w:hAnsiTheme="minorHAnsi" w:cstheme="minorBidi"/>
          <w:bCs w:val="0"/>
          <w:kern w:val="2"/>
          <w:szCs w:val="24"/>
          <w14:ligatures w14:val="standardContextual"/>
        </w:rPr>
      </w:pPr>
      <w:hyperlink w:anchor="_Toc213772054" w:history="1">
        <w:r w:rsidRPr="00AC173C">
          <w:rPr>
            <w:rStyle w:val="Hyperlink"/>
          </w:rPr>
          <w:t>9.1.13</w:t>
        </w:r>
        <w:r>
          <w:rPr>
            <w:rFonts w:asciiTheme="minorHAnsi" w:eastAsiaTheme="minorEastAsia" w:hAnsiTheme="minorHAnsi" w:cstheme="minorBidi"/>
            <w:bCs w:val="0"/>
            <w:kern w:val="2"/>
            <w:szCs w:val="24"/>
            <w14:ligatures w14:val="standardContextual"/>
          </w:rPr>
          <w:tab/>
        </w:r>
        <w:r w:rsidRPr="00AC173C">
          <w:rPr>
            <w:rStyle w:val="Hyperlink"/>
          </w:rPr>
          <w:t>Resource Aggregation</w:t>
        </w:r>
        <w:r>
          <w:rPr>
            <w:webHidden/>
          </w:rPr>
          <w:tab/>
        </w:r>
        <w:r>
          <w:rPr>
            <w:webHidden/>
          </w:rPr>
          <w:fldChar w:fldCharType="begin"/>
        </w:r>
        <w:r>
          <w:rPr>
            <w:webHidden/>
          </w:rPr>
          <w:instrText xml:space="preserve"> PAGEREF _Toc213772054 \h </w:instrText>
        </w:r>
        <w:r>
          <w:rPr>
            <w:webHidden/>
          </w:rPr>
        </w:r>
        <w:r>
          <w:rPr>
            <w:webHidden/>
          </w:rPr>
          <w:fldChar w:fldCharType="separate"/>
        </w:r>
        <w:r>
          <w:rPr>
            <w:webHidden/>
          </w:rPr>
          <w:t>293</w:t>
        </w:r>
        <w:r>
          <w:rPr>
            <w:webHidden/>
          </w:rPr>
          <w:fldChar w:fldCharType="end"/>
        </w:r>
      </w:hyperlink>
    </w:p>
    <w:p w14:paraId="2D09A870" w14:textId="4A761DEC" w:rsidR="00023ECF" w:rsidRDefault="00023ECF">
      <w:pPr>
        <w:pStyle w:val="TOC3"/>
        <w:rPr>
          <w:rFonts w:asciiTheme="minorHAnsi" w:eastAsiaTheme="minorEastAsia" w:hAnsiTheme="minorHAnsi" w:cstheme="minorBidi"/>
          <w:bCs w:val="0"/>
          <w:kern w:val="2"/>
          <w:szCs w:val="24"/>
          <w14:ligatures w14:val="standardContextual"/>
        </w:rPr>
      </w:pPr>
      <w:hyperlink w:anchor="_Toc213772055" w:history="1">
        <w:r w:rsidRPr="00AC173C">
          <w:rPr>
            <w:rStyle w:val="Hyperlink"/>
          </w:rPr>
          <w:t>9.1.14</w:t>
        </w:r>
        <w:r>
          <w:rPr>
            <w:rFonts w:asciiTheme="minorHAnsi" w:eastAsiaTheme="minorEastAsia" w:hAnsiTheme="minorHAnsi" w:cstheme="minorBidi"/>
            <w:bCs w:val="0"/>
            <w:kern w:val="2"/>
            <w:szCs w:val="24"/>
            <w14:ligatures w14:val="standardContextual"/>
          </w:rPr>
          <w:tab/>
        </w:r>
        <w:r w:rsidRPr="00AC173C">
          <w:rPr>
            <w:rStyle w:val="Hyperlink"/>
          </w:rPr>
          <w:t>High Priority Export Interchange Transaction Resource</w:t>
        </w:r>
        <w:r>
          <w:rPr>
            <w:webHidden/>
          </w:rPr>
          <w:tab/>
        </w:r>
        <w:r>
          <w:rPr>
            <w:webHidden/>
          </w:rPr>
          <w:fldChar w:fldCharType="begin"/>
        </w:r>
        <w:r>
          <w:rPr>
            <w:webHidden/>
          </w:rPr>
          <w:instrText xml:space="preserve"> PAGEREF _Toc213772055 \h </w:instrText>
        </w:r>
        <w:r>
          <w:rPr>
            <w:webHidden/>
          </w:rPr>
        </w:r>
        <w:r>
          <w:rPr>
            <w:webHidden/>
          </w:rPr>
          <w:fldChar w:fldCharType="separate"/>
        </w:r>
        <w:r>
          <w:rPr>
            <w:webHidden/>
          </w:rPr>
          <w:t>295</w:t>
        </w:r>
        <w:r>
          <w:rPr>
            <w:webHidden/>
          </w:rPr>
          <w:fldChar w:fldCharType="end"/>
        </w:r>
      </w:hyperlink>
    </w:p>
    <w:p w14:paraId="668F99F7" w14:textId="6FEE24F8" w:rsidR="00023ECF" w:rsidRDefault="00023ECF">
      <w:pPr>
        <w:pStyle w:val="TOC3"/>
        <w:rPr>
          <w:rFonts w:asciiTheme="minorHAnsi" w:eastAsiaTheme="minorEastAsia" w:hAnsiTheme="minorHAnsi" w:cstheme="minorBidi"/>
          <w:bCs w:val="0"/>
          <w:kern w:val="2"/>
          <w:szCs w:val="24"/>
          <w14:ligatures w14:val="standardContextual"/>
        </w:rPr>
      </w:pPr>
      <w:hyperlink w:anchor="_Toc213772056" w:history="1">
        <w:r w:rsidRPr="00AC173C">
          <w:rPr>
            <w:rStyle w:val="Hyperlink"/>
          </w:rPr>
          <w:t>9.1.15</w:t>
        </w:r>
        <w:r>
          <w:rPr>
            <w:rFonts w:asciiTheme="minorHAnsi" w:eastAsiaTheme="minorEastAsia" w:hAnsiTheme="minorHAnsi" w:cstheme="minorBidi"/>
            <w:bCs w:val="0"/>
            <w:kern w:val="2"/>
            <w:szCs w:val="24"/>
            <w14:ligatures w14:val="standardContextual"/>
          </w:rPr>
          <w:tab/>
        </w:r>
        <w:r w:rsidRPr="00AC173C">
          <w:rPr>
            <w:rStyle w:val="Hyperlink"/>
          </w:rPr>
          <w:t>High Priority Import Interchange Transaction Resource</w:t>
        </w:r>
        <w:r>
          <w:rPr>
            <w:webHidden/>
          </w:rPr>
          <w:tab/>
        </w:r>
        <w:r>
          <w:rPr>
            <w:webHidden/>
          </w:rPr>
          <w:fldChar w:fldCharType="begin"/>
        </w:r>
        <w:r>
          <w:rPr>
            <w:webHidden/>
          </w:rPr>
          <w:instrText xml:space="preserve"> PAGEREF _Toc213772056 \h </w:instrText>
        </w:r>
        <w:r>
          <w:rPr>
            <w:webHidden/>
          </w:rPr>
        </w:r>
        <w:r>
          <w:rPr>
            <w:webHidden/>
          </w:rPr>
          <w:fldChar w:fldCharType="separate"/>
        </w:r>
        <w:r>
          <w:rPr>
            <w:webHidden/>
          </w:rPr>
          <w:t>295</w:t>
        </w:r>
        <w:r>
          <w:rPr>
            <w:webHidden/>
          </w:rPr>
          <w:fldChar w:fldCharType="end"/>
        </w:r>
      </w:hyperlink>
    </w:p>
    <w:p w14:paraId="2E128B4C" w14:textId="7C5E03E3" w:rsidR="00023ECF" w:rsidRDefault="00023ECF">
      <w:pPr>
        <w:pStyle w:val="TOC2"/>
        <w:rPr>
          <w:rFonts w:asciiTheme="minorHAnsi" w:eastAsiaTheme="minorEastAsia" w:hAnsiTheme="minorHAnsi" w:cstheme="minorBidi"/>
          <w:bCs w:val="0"/>
          <w:kern w:val="2"/>
          <w:szCs w:val="24"/>
          <w14:ligatures w14:val="standardContextual"/>
        </w:rPr>
      </w:pPr>
      <w:hyperlink w:anchor="_Toc213772057" w:history="1">
        <w:r w:rsidRPr="00AC173C">
          <w:rPr>
            <w:rStyle w:val="Hyperlink"/>
          </w:rPr>
          <w:t>9.2</w:t>
        </w:r>
        <w:r>
          <w:rPr>
            <w:rFonts w:asciiTheme="minorHAnsi" w:eastAsiaTheme="minorEastAsia" w:hAnsiTheme="minorHAnsi" w:cstheme="minorBidi"/>
            <w:bCs w:val="0"/>
            <w:kern w:val="2"/>
            <w:szCs w:val="24"/>
            <w14:ligatures w14:val="standardContextual"/>
          </w:rPr>
          <w:tab/>
        </w:r>
        <w:r w:rsidRPr="00AC173C">
          <w:rPr>
            <w:rStyle w:val="Hyperlink"/>
          </w:rPr>
          <w:t>Registration of Load</w:t>
        </w:r>
        <w:r>
          <w:rPr>
            <w:webHidden/>
          </w:rPr>
          <w:tab/>
        </w:r>
        <w:r>
          <w:rPr>
            <w:webHidden/>
          </w:rPr>
          <w:fldChar w:fldCharType="begin"/>
        </w:r>
        <w:r>
          <w:rPr>
            <w:webHidden/>
          </w:rPr>
          <w:instrText xml:space="preserve"> PAGEREF _Toc213772057 \h </w:instrText>
        </w:r>
        <w:r>
          <w:rPr>
            <w:webHidden/>
          </w:rPr>
        </w:r>
        <w:r>
          <w:rPr>
            <w:webHidden/>
          </w:rPr>
          <w:fldChar w:fldCharType="separate"/>
        </w:r>
        <w:r>
          <w:rPr>
            <w:webHidden/>
          </w:rPr>
          <w:t>296</w:t>
        </w:r>
        <w:r>
          <w:rPr>
            <w:webHidden/>
          </w:rPr>
          <w:fldChar w:fldCharType="end"/>
        </w:r>
      </w:hyperlink>
    </w:p>
    <w:p w14:paraId="1876B209" w14:textId="42588F98" w:rsidR="00023ECF" w:rsidRDefault="00023ECF">
      <w:pPr>
        <w:pStyle w:val="TOC3"/>
        <w:rPr>
          <w:rFonts w:asciiTheme="minorHAnsi" w:eastAsiaTheme="minorEastAsia" w:hAnsiTheme="minorHAnsi" w:cstheme="minorBidi"/>
          <w:bCs w:val="0"/>
          <w:kern w:val="2"/>
          <w:szCs w:val="24"/>
          <w14:ligatures w14:val="standardContextual"/>
        </w:rPr>
      </w:pPr>
      <w:hyperlink w:anchor="_Toc213772058" w:history="1">
        <w:r w:rsidRPr="00AC173C">
          <w:rPr>
            <w:rStyle w:val="Hyperlink"/>
          </w:rPr>
          <w:t>9.2.1</w:t>
        </w:r>
        <w:r>
          <w:rPr>
            <w:rFonts w:asciiTheme="minorHAnsi" w:eastAsiaTheme="minorEastAsia" w:hAnsiTheme="minorHAnsi" w:cstheme="minorBidi"/>
            <w:bCs w:val="0"/>
            <w:kern w:val="2"/>
            <w:szCs w:val="24"/>
            <w14:ligatures w14:val="standardContextual"/>
          </w:rPr>
          <w:tab/>
        </w:r>
        <w:r w:rsidRPr="00AC173C">
          <w:rPr>
            <w:rStyle w:val="Hyperlink"/>
          </w:rPr>
          <w:t>Responsibilities of the Load</w:t>
        </w:r>
        <w:r>
          <w:rPr>
            <w:webHidden/>
          </w:rPr>
          <w:tab/>
        </w:r>
        <w:r>
          <w:rPr>
            <w:webHidden/>
          </w:rPr>
          <w:fldChar w:fldCharType="begin"/>
        </w:r>
        <w:r>
          <w:rPr>
            <w:webHidden/>
          </w:rPr>
          <w:instrText xml:space="preserve"> PAGEREF _Toc213772058 \h </w:instrText>
        </w:r>
        <w:r>
          <w:rPr>
            <w:webHidden/>
          </w:rPr>
        </w:r>
        <w:r>
          <w:rPr>
            <w:webHidden/>
          </w:rPr>
          <w:fldChar w:fldCharType="separate"/>
        </w:r>
        <w:r>
          <w:rPr>
            <w:webHidden/>
          </w:rPr>
          <w:t>296</w:t>
        </w:r>
        <w:r>
          <w:rPr>
            <w:webHidden/>
          </w:rPr>
          <w:fldChar w:fldCharType="end"/>
        </w:r>
      </w:hyperlink>
    </w:p>
    <w:p w14:paraId="1C98CB6E" w14:textId="694A08E8" w:rsidR="00023ECF" w:rsidRDefault="00023ECF">
      <w:pPr>
        <w:pStyle w:val="TOC3"/>
        <w:rPr>
          <w:rFonts w:asciiTheme="minorHAnsi" w:eastAsiaTheme="minorEastAsia" w:hAnsiTheme="minorHAnsi" w:cstheme="minorBidi"/>
          <w:bCs w:val="0"/>
          <w:kern w:val="2"/>
          <w:szCs w:val="24"/>
          <w14:ligatures w14:val="standardContextual"/>
        </w:rPr>
      </w:pPr>
      <w:hyperlink w:anchor="_Toc213772059" w:history="1">
        <w:r w:rsidRPr="00AC173C">
          <w:rPr>
            <w:rStyle w:val="Hyperlink"/>
          </w:rPr>
          <w:t>9.2.2</w:t>
        </w:r>
        <w:r>
          <w:rPr>
            <w:rFonts w:asciiTheme="minorHAnsi" w:eastAsiaTheme="minorEastAsia" w:hAnsiTheme="minorHAnsi" w:cstheme="minorBidi"/>
            <w:bCs w:val="0"/>
            <w:kern w:val="2"/>
            <w:szCs w:val="24"/>
            <w14:ligatures w14:val="standardContextual"/>
          </w:rPr>
          <w:tab/>
        </w:r>
        <w:r w:rsidRPr="00AC173C">
          <w:rPr>
            <w:rStyle w:val="Hyperlink"/>
          </w:rPr>
          <w:t>Non-Conforming Load</w:t>
        </w:r>
        <w:r>
          <w:rPr>
            <w:webHidden/>
          </w:rPr>
          <w:tab/>
        </w:r>
        <w:r>
          <w:rPr>
            <w:webHidden/>
          </w:rPr>
          <w:fldChar w:fldCharType="begin"/>
        </w:r>
        <w:r>
          <w:rPr>
            <w:webHidden/>
          </w:rPr>
          <w:instrText xml:space="preserve"> PAGEREF _Toc213772059 \h </w:instrText>
        </w:r>
        <w:r>
          <w:rPr>
            <w:webHidden/>
          </w:rPr>
        </w:r>
        <w:r>
          <w:rPr>
            <w:webHidden/>
          </w:rPr>
          <w:fldChar w:fldCharType="separate"/>
        </w:r>
        <w:r>
          <w:rPr>
            <w:webHidden/>
          </w:rPr>
          <w:t>296</w:t>
        </w:r>
        <w:r>
          <w:rPr>
            <w:webHidden/>
          </w:rPr>
          <w:fldChar w:fldCharType="end"/>
        </w:r>
      </w:hyperlink>
    </w:p>
    <w:p w14:paraId="2CC0EB5E" w14:textId="5A49E8DE" w:rsidR="00023ECF" w:rsidRDefault="00023ECF">
      <w:pPr>
        <w:pStyle w:val="TOC3"/>
        <w:rPr>
          <w:rFonts w:asciiTheme="minorHAnsi" w:eastAsiaTheme="minorEastAsia" w:hAnsiTheme="minorHAnsi" w:cstheme="minorBidi"/>
          <w:bCs w:val="0"/>
          <w:kern w:val="2"/>
          <w:szCs w:val="24"/>
          <w14:ligatures w14:val="standardContextual"/>
        </w:rPr>
      </w:pPr>
      <w:hyperlink w:anchor="_Toc213772060" w:history="1">
        <w:r w:rsidRPr="00AC173C">
          <w:rPr>
            <w:rStyle w:val="Hyperlink"/>
          </w:rPr>
          <w:t>9.2.3</w:t>
        </w:r>
        <w:r>
          <w:rPr>
            <w:rFonts w:asciiTheme="minorHAnsi" w:eastAsiaTheme="minorEastAsia" w:hAnsiTheme="minorHAnsi" w:cstheme="minorBidi"/>
            <w:bCs w:val="0"/>
            <w:kern w:val="2"/>
            <w:szCs w:val="24"/>
            <w14:ligatures w14:val="standardContextual"/>
          </w:rPr>
          <w:tab/>
        </w:r>
        <w:r w:rsidRPr="00AC173C">
          <w:rPr>
            <w:rStyle w:val="Hyperlink"/>
          </w:rPr>
          <w:t>Demand Response Load Asset</w:t>
        </w:r>
        <w:r>
          <w:rPr>
            <w:webHidden/>
          </w:rPr>
          <w:tab/>
        </w:r>
        <w:r>
          <w:rPr>
            <w:webHidden/>
          </w:rPr>
          <w:fldChar w:fldCharType="begin"/>
        </w:r>
        <w:r>
          <w:rPr>
            <w:webHidden/>
          </w:rPr>
          <w:instrText xml:space="preserve"> PAGEREF _Toc213772060 \h </w:instrText>
        </w:r>
        <w:r>
          <w:rPr>
            <w:webHidden/>
          </w:rPr>
        </w:r>
        <w:r>
          <w:rPr>
            <w:webHidden/>
          </w:rPr>
          <w:fldChar w:fldCharType="separate"/>
        </w:r>
        <w:r>
          <w:rPr>
            <w:webHidden/>
          </w:rPr>
          <w:t>296</w:t>
        </w:r>
        <w:r>
          <w:rPr>
            <w:webHidden/>
          </w:rPr>
          <w:fldChar w:fldCharType="end"/>
        </w:r>
      </w:hyperlink>
    </w:p>
    <w:p w14:paraId="001235AA" w14:textId="63890E34" w:rsidR="00023ECF" w:rsidRDefault="00023ECF">
      <w:pPr>
        <w:pStyle w:val="TOC3"/>
        <w:rPr>
          <w:rFonts w:asciiTheme="minorHAnsi" w:eastAsiaTheme="minorEastAsia" w:hAnsiTheme="minorHAnsi" w:cstheme="minorBidi"/>
          <w:bCs w:val="0"/>
          <w:kern w:val="2"/>
          <w:szCs w:val="24"/>
          <w14:ligatures w14:val="standardContextual"/>
        </w:rPr>
      </w:pPr>
      <w:hyperlink w:anchor="_Toc213772061" w:history="1">
        <w:r w:rsidRPr="00AC173C">
          <w:rPr>
            <w:rStyle w:val="Hyperlink"/>
          </w:rPr>
          <w:t>9.2.4</w:t>
        </w:r>
        <w:r>
          <w:rPr>
            <w:rFonts w:asciiTheme="minorHAnsi" w:eastAsiaTheme="minorEastAsia" w:hAnsiTheme="minorHAnsi" w:cstheme="minorBidi"/>
            <w:bCs w:val="0"/>
            <w:kern w:val="2"/>
            <w:szCs w:val="24"/>
            <w14:ligatures w14:val="standardContextual"/>
          </w:rPr>
          <w:tab/>
        </w:r>
        <w:r w:rsidRPr="00AC173C">
          <w:rPr>
            <w:rStyle w:val="Hyperlink"/>
          </w:rPr>
          <w:t>Dispatchable Demand Response Load Settlement Location</w:t>
        </w:r>
        <w:r>
          <w:rPr>
            <w:webHidden/>
          </w:rPr>
          <w:tab/>
        </w:r>
        <w:r>
          <w:rPr>
            <w:webHidden/>
          </w:rPr>
          <w:fldChar w:fldCharType="begin"/>
        </w:r>
        <w:r>
          <w:rPr>
            <w:webHidden/>
          </w:rPr>
          <w:instrText xml:space="preserve"> PAGEREF _Toc213772061 \h </w:instrText>
        </w:r>
        <w:r>
          <w:rPr>
            <w:webHidden/>
          </w:rPr>
        </w:r>
        <w:r>
          <w:rPr>
            <w:webHidden/>
          </w:rPr>
          <w:fldChar w:fldCharType="separate"/>
        </w:r>
        <w:r>
          <w:rPr>
            <w:webHidden/>
          </w:rPr>
          <w:t>297</w:t>
        </w:r>
        <w:r>
          <w:rPr>
            <w:webHidden/>
          </w:rPr>
          <w:fldChar w:fldCharType="end"/>
        </w:r>
      </w:hyperlink>
    </w:p>
    <w:p w14:paraId="55A17D4B" w14:textId="4E0B9A67" w:rsidR="00023ECF" w:rsidRDefault="00023ECF">
      <w:pPr>
        <w:pStyle w:val="TOC3"/>
        <w:rPr>
          <w:rFonts w:asciiTheme="minorHAnsi" w:eastAsiaTheme="minorEastAsia" w:hAnsiTheme="minorHAnsi" w:cstheme="minorBidi"/>
          <w:bCs w:val="0"/>
          <w:kern w:val="2"/>
          <w:szCs w:val="24"/>
          <w14:ligatures w14:val="standardContextual"/>
        </w:rPr>
      </w:pPr>
      <w:hyperlink w:anchor="_Toc213772062" w:history="1">
        <w:r w:rsidRPr="00AC173C">
          <w:rPr>
            <w:rStyle w:val="Hyperlink"/>
          </w:rPr>
          <w:t>9.2.5</w:t>
        </w:r>
        <w:r>
          <w:rPr>
            <w:rFonts w:asciiTheme="minorHAnsi" w:eastAsiaTheme="minorEastAsia" w:hAnsiTheme="minorHAnsi" w:cstheme="minorBidi"/>
            <w:bCs w:val="0"/>
            <w:kern w:val="2"/>
            <w:szCs w:val="24"/>
            <w14:ligatures w14:val="standardContextual"/>
          </w:rPr>
          <w:tab/>
        </w:r>
        <w:r w:rsidRPr="00AC173C">
          <w:rPr>
            <w:rStyle w:val="Hyperlink"/>
          </w:rPr>
          <w:t>Loads External to Markets+ Footprint Pseudo-Tying In</w:t>
        </w:r>
        <w:r>
          <w:rPr>
            <w:webHidden/>
          </w:rPr>
          <w:tab/>
        </w:r>
        <w:r>
          <w:rPr>
            <w:webHidden/>
          </w:rPr>
          <w:fldChar w:fldCharType="begin"/>
        </w:r>
        <w:r>
          <w:rPr>
            <w:webHidden/>
          </w:rPr>
          <w:instrText xml:space="preserve"> PAGEREF _Toc213772062 \h </w:instrText>
        </w:r>
        <w:r>
          <w:rPr>
            <w:webHidden/>
          </w:rPr>
        </w:r>
        <w:r>
          <w:rPr>
            <w:webHidden/>
          </w:rPr>
          <w:fldChar w:fldCharType="separate"/>
        </w:r>
        <w:r>
          <w:rPr>
            <w:webHidden/>
          </w:rPr>
          <w:t>297</w:t>
        </w:r>
        <w:r>
          <w:rPr>
            <w:webHidden/>
          </w:rPr>
          <w:fldChar w:fldCharType="end"/>
        </w:r>
      </w:hyperlink>
    </w:p>
    <w:p w14:paraId="2F508B7A" w14:textId="63BC5343" w:rsidR="00023ECF" w:rsidRDefault="00023ECF">
      <w:pPr>
        <w:pStyle w:val="TOC2"/>
        <w:rPr>
          <w:rFonts w:asciiTheme="minorHAnsi" w:eastAsiaTheme="minorEastAsia" w:hAnsiTheme="minorHAnsi" w:cstheme="minorBidi"/>
          <w:bCs w:val="0"/>
          <w:kern w:val="2"/>
          <w:szCs w:val="24"/>
          <w14:ligatures w14:val="standardContextual"/>
        </w:rPr>
      </w:pPr>
      <w:hyperlink w:anchor="_Toc213772063" w:history="1">
        <w:r w:rsidRPr="00AC173C">
          <w:rPr>
            <w:rStyle w:val="Hyperlink"/>
          </w:rPr>
          <w:t>9.3</w:t>
        </w:r>
        <w:r>
          <w:rPr>
            <w:rFonts w:asciiTheme="minorHAnsi" w:eastAsiaTheme="minorEastAsia" w:hAnsiTheme="minorHAnsi" w:cstheme="minorBidi"/>
            <w:bCs w:val="0"/>
            <w:kern w:val="2"/>
            <w:szCs w:val="24"/>
            <w14:ligatures w14:val="standardContextual"/>
          </w:rPr>
          <w:tab/>
        </w:r>
        <w:r w:rsidRPr="00AC173C">
          <w:rPr>
            <w:rStyle w:val="Hyperlink"/>
          </w:rPr>
          <w:t>Identification of Assets Subject to GHG Pricing Programs</w:t>
        </w:r>
        <w:r>
          <w:rPr>
            <w:webHidden/>
          </w:rPr>
          <w:tab/>
        </w:r>
        <w:r>
          <w:rPr>
            <w:webHidden/>
          </w:rPr>
          <w:fldChar w:fldCharType="begin"/>
        </w:r>
        <w:r>
          <w:rPr>
            <w:webHidden/>
          </w:rPr>
          <w:instrText xml:space="preserve"> PAGEREF _Toc213772063 \h </w:instrText>
        </w:r>
        <w:r>
          <w:rPr>
            <w:webHidden/>
          </w:rPr>
        </w:r>
        <w:r>
          <w:rPr>
            <w:webHidden/>
          </w:rPr>
          <w:fldChar w:fldCharType="separate"/>
        </w:r>
        <w:r>
          <w:rPr>
            <w:webHidden/>
          </w:rPr>
          <w:t>297</w:t>
        </w:r>
        <w:r>
          <w:rPr>
            <w:webHidden/>
          </w:rPr>
          <w:fldChar w:fldCharType="end"/>
        </w:r>
      </w:hyperlink>
    </w:p>
    <w:p w14:paraId="400397A5" w14:textId="1E1B8CFB" w:rsidR="00023ECF" w:rsidRDefault="00023ECF">
      <w:pPr>
        <w:pStyle w:val="TOC3"/>
        <w:rPr>
          <w:rFonts w:asciiTheme="minorHAnsi" w:eastAsiaTheme="minorEastAsia" w:hAnsiTheme="minorHAnsi" w:cstheme="minorBidi"/>
          <w:bCs w:val="0"/>
          <w:kern w:val="2"/>
          <w:szCs w:val="24"/>
          <w14:ligatures w14:val="standardContextual"/>
        </w:rPr>
      </w:pPr>
      <w:hyperlink w:anchor="_Toc213772064" w:history="1">
        <w:r w:rsidRPr="00AC173C">
          <w:rPr>
            <w:rStyle w:val="Hyperlink"/>
          </w:rPr>
          <w:t>9.3.1</w:t>
        </w:r>
        <w:r>
          <w:rPr>
            <w:rFonts w:asciiTheme="minorHAnsi" w:eastAsiaTheme="minorEastAsia" w:hAnsiTheme="minorHAnsi" w:cstheme="minorBidi"/>
            <w:bCs w:val="0"/>
            <w:kern w:val="2"/>
            <w:szCs w:val="24"/>
            <w14:ligatures w14:val="standardContextual"/>
          </w:rPr>
          <w:tab/>
        </w:r>
        <w:r w:rsidRPr="00AC173C">
          <w:rPr>
            <w:rStyle w:val="Hyperlink"/>
          </w:rPr>
          <w:t>Identification of Resource Assets Subject to GHG Pricing Programs</w:t>
        </w:r>
        <w:r>
          <w:rPr>
            <w:webHidden/>
          </w:rPr>
          <w:tab/>
        </w:r>
        <w:r>
          <w:rPr>
            <w:webHidden/>
          </w:rPr>
          <w:fldChar w:fldCharType="begin"/>
        </w:r>
        <w:r>
          <w:rPr>
            <w:webHidden/>
          </w:rPr>
          <w:instrText xml:space="preserve"> PAGEREF _Toc213772064 \h </w:instrText>
        </w:r>
        <w:r>
          <w:rPr>
            <w:webHidden/>
          </w:rPr>
        </w:r>
        <w:r>
          <w:rPr>
            <w:webHidden/>
          </w:rPr>
          <w:fldChar w:fldCharType="separate"/>
        </w:r>
        <w:r>
          <w:rPr>
            <w:webHidden/>
          </w:rPr>
          <w:t>297</w:t>
        </w:r>
        <w:r>
          <w:rPr>
            <w:webHidden/>
          </w:rPr>
          <w:fldChar w:fldCharType="end"/>
        </w:r>
      </w:hyperlink>
    </w:p>
    <w:p w14:paraId="64DD63FD" w14:textId="6252C0AD" w:rsidR="00023ECF" w:rsidRDefault="00023ECF">
      <w:pPr>
        <w:pStyle w:val="TOC4"/>
        <w:rPr>
          <w:rFonts w:asciiTheme="minorHAnsi" w:eastAsiaTheme="minorEastAsia" w:hAnsiTheme="minorHAnsi" w:cstheme="minorBidi"/>
          <w:bCs w:val="0"/>
          <w:kern w:val="2"/>
          <w:szCs w:val="24"/>
          <w14:ligatures w14:val="standardContextual"/>
        </w:rPr>
      </w:pPr>
      <w:hyperlink w:anchor="_Toc213772065" w:history="1">
        <w:r w:rsidRPr="00AC173C">
          <w:rPr>
            <w:rStyle w:val="Hyperlink"/>
          </w:rPr>
          <w:t>9.3.1.1</w:t>
        </w:r>
        <w:r>
          <w:rPr>
            <w:rFonts w:asciiTheme="minorHAnsi" w:eastAsiaTheme="minorEastAsia" w:hAnsiTheme="minorHAnsi" w:cstheme="minorBidi"/>
            <w:bCs w:val="0"/>
            <w:kern w:val="2"/>
            <w:szCs w:val="24"/>
            <w14:ligatures w14:val="standardContextual"/>
          </w:rPr>
          <w:tab/>
        </w:r>
        <w:r w:rsidRPr="00AC173C">
          <w:rPr>
            <w:rStyle w:val="Hyperlink"/>
          </w:rPr>
          <w:t>Identification of Internal GHG Resources</w:t>
        </w:r>
        <w:r>
          <w:rPr>
            <w:webHidden/>
          </w:rPr>
          <w:tab/>
        </w:r>
        <w:r>
          <w:rPr>
            <w:webHidden/>
          </w:rPr>
          <w:fldChar w:fldCharType="begin"/>
        </w:r>
        <w:r>
          <w:rPr>
            <w:webHidden/>
          </w:rPr>
          <w:instrText xml:space="preserve"> PAGEREF _Toc213772065 \h </w:instrText>
        </w:r>
        <w:r>
          <w:rPr>
            <w:webHidden/>
          </w:rPr>
        </w:r>
        <w:r>
          <w:rPr>
            <w:webHidden/>
          </w:rPr>
          <w:fldChar w:fldCharType="separate"/>
        </w:r>
        <w:r>
          <w:rPr>
            <w:webHidden/>
          </w:rPr>
          <w:t>298</w:t>
        </w:r>
        <w:r>
          <w:rPr>
            <w:webHidden/>
          </w:rPr>
          <w:fldChar w:fldCharType="end"/>
        </w:r>
      </w:hyperlink>
    </w:p>
    <w:p w14:paraId="1C51D2F4" w14:textId="482E1382" w:rsidR="00023ECF" w:rsidRDefault="00023ECF">
      <w:pPr>
        <w:pStyle w:val="TOC4"/>
        <w:rPr>
          <w:rFonts w:asciiTheme="minorHAnsi" w:eastAsiaTheme="minorEastAsia" w:hAnsiTheme="minorHAnsi" w:cstheme="minorBidi"/>
          <w:bCs w:val="0"/>
          <w:kern w:val="2"/>
          <w:szCs w:val="24"/>
          <w14:ligatures w14:val="standardContextual"/>
        </w:rPr>
      </w:pPr>
      <w:hyperlink w:anchor="_Toc213772066" w:history="1">
        <w:r w:rsidRPr="00AC173C">
          <w:rPr>
            <w:rStyle w:val="Hyperlink"/>
          </w:rPr>
          <w:t>9.3.1.2</w:t>
        </w:r>
        <w:r>
          <w:rPr>
            <w:rFonts w:asciiTheme="minorHAnsi" w:eastAsiaTheme="minorEastAsia" w:hAnsiTheme="minorHAnsi" w:cstheme="minorBidi"/>
            <w:bCs w:val="0"/>
            <w:kern w:val="2"/>
            <w:szCs w:val="24"/>
            <w14:ligatures w14:val="standardContextual"/>
          </w:rPr>
          <w:tab/>
        </w:r>
        <w:r w:rsidRPr="00AC173C">
          <w:rPr>
            <w:rStyle w:val="Hyperlink"/>
          </w:rPr>
          <w:t>Identification of Specified Source Resources</w:t>
        </w:r>
        <w:r>
          <w:rPr>
            <w:webHidden/>
          </w:rPr>
          <w:tab/>
        </w:r>
        <w:r>
          <w:rPr>
            <w:webHidden/>
          </w:rPr>
          <w:fldChar w:fldCharType="begin"/>
        </w:r>
        <w:r>
          <w:rPr>
            <w:webHidden/>
          </w:rPr>
          <w:instrText xml:space="preserve"> PAGEREF _Toc213772066 \h </w:instrText>
        </w:r>
        <w:r>
          <w:rPr>
            <w:webHidden/>
          </w:rPr>
        </w:r>
        <w:r>
          <w:rPr>
            <w:webHidden/>
          </w:rPr>
          <w:fldChar w:fldCharType="separate"/>
        </w:r>
        <w:r>
          <w:rPr>
            <w:webHidden/>
          </w:rPr>
          <w:t>298</w:t>
        </w:r>
        <w:r>
          <w:rPr>
            <w:webHidden/>
          </w:rPr>
          <w:fldChar w:fldCharType="end"/>
        </w:r>
      </w:hyperlink>
    </w:p>
    <w:p w14:paraId="0A169FA7" w14:textId="21AE322F" w:rsidR="00023ECF" w:rsidRDefault="00023ECF">
      <w:pPr>
        <w:pStyle w:val="TOC5"/>
        <w:rPr>
          <w:rFonts w:asciiTheme="minorHAnsi" w:eastAsiaTheme="minorEastAsia" w:hAnsiTheme="minorHAnsi" w:cstheme="minorBidi"/>
          <w:kern w:val="2"/>
          <w:szCs w:val="24"/>
          <w14:ligatures w14:val="standardContextual"/>
        </w:rPr>
      </w:pPr>
      <w:hyperlink w:anchor="_Toc213772067" w:history="1">
        <w:r w:rsidRPr="00AC173C">
          <w:rPr>
            <w:rStyle w:val="Hyperlink"/>
          </w:rPr>
          <w:t>9.3.1.2.1</w:t>
        </w:r>
        <w:r>
          <w:rPr>
            <w:rFonts w:asciiTheme="minorHAnsi" w:eastAsiaTheme="minorEastAsia" w:hAnsiTheme="minorHAnsi" w:cstheme="minorBidi"/>
            <w:kern w:val="2"/>
            <w:szCs w:val="24"/>
            <w14:ligatures w14:val="standardContextual"/>
          </w:rPr>
          <w:tab/>
        </w:r>
        <w:r w:rsidRPr="00AC173C">
          <w:rPr>
            <w:rStyle w:val="Hyperlink"/>
          </w:rPr>
          <w:t>Type 1A Energy Qualifications for Specified Source Resources</w:t>
        </w:r>
        <w:r>
          <w:rPr>
            <w:webHidden/>
          </w:rPr>
          <w:tab/>
        </w:r>
        <w:r>
          <w:rPr>
            <w:webHidden/>
          </w:rPr>
          <w:fldChar w:fldCharType="begin"/>
        </w:r>
        <w:r>
          <w:rPr>
            <w:webHidden/>
          </w:rPr>
          <w:instrText xml:space="preserve"> PAGEREF _Toc213772067 \h </w:instrText>
        </w:r>
        <w:r>
          <w:rPr>
            <w:webHidden/>
          </w:rPr>
        </w:r>
        <w:r>
          <w:rPr>
            <w:webHidden/>
          </w:rPr>
          <w:fldChar w:fldCharType="separate"/>
        </w:r>
        <w:r>
          <w:rPr>
            <w:webHidden/>
          </w:rPr>
          <w:t>299</w:t>
        </w:r>
        <w:r>
          <w:rPr>
            <w:webHidden/>
          </w:rPr>
          <w:fldChar w:fldCharType="end"/>
        </w:r>
      </w:hyperlink>
    </w:p>
    <w:p w14:paraId="20F7884F" w14:textId="3C17050A" w:rsidR="00023ECF" w:rsidRDefault="00023ECF">
      <w:pPr>
        <w:pStyle w:val="TOC5"/>
        <w:rPr>
          <w:rFonts w:asciiTheme="minorHAnsi" w:eastAsiaTheme="minorEastAsia" w:hAnsiTheme="minorHAnsi" w:cstheme="minorBidi"/>
          <w:kern w:val="2"/>
          <w:szCs w:val="24"/>
          <w14:ligatures w14:val="standardContextual"/>
        </w:rPr>
      </w:pPr>
      <w:hyperlink w:anchor="_Toc213772068" w:history="1">
        <w:r w:rsidRPr="00AC173C">
          <w:rPr>
            <w:rStyle w:val="Hyperlink"/>
          </w:rPr>
          <w:t>9.3.1.2.2</w:t>
        </w:r>
        <w:r>
          <w:rPr>
            <w:rFonts w:asciiTheme="minorHAnsi" w:eastAsiaTheme="minorEastAsia" w:hAnsiTheme="minorHAnsi" w:cstheme="minorBidi"/>
            <w:kern w:val="2"/>
            <w:szCs w:val="24"/>
            <w14:ligatures w14:val="standardContextual"/>
          </w:rPr>
          <w:tab/>
        </w:r>
        <w:r w:rsidRPr="00AC173C">
          <w:rPr>
            <w:rStyle w:val="Hyperlink"/>
          </w:rPr>
          <w:t>Type 1B Energy Qualifications for Specified Source Resources</w:t>
        </w:r>
        <w:r>
          <w:rPr>
            <w:webHidden/>
          </w:rPr>
          <w:tab/>
        </w:r>
        <w:r>
          <w:rPr>
            <w:webHidden/>
          </w:rPr>
          <w:fldChar w:fldCharType="begin"/>
        </w:r>
        <w:r>
          <w:rPr>
            <w:webHidden/>
          </w:rPr>
          <w:instrText xml:space="preserve"> PAGEREF _Toc213772068 \h </w:instrText>
        </w:r>
        <w:r>
          <w:rPr>
            <w:webHidden/>
          </w:rPr>
        </w:r>
        <w:r>
          <w:rPr>
            <w:webHidden/>
          </w:rPr>
          <w:fldChar w:fldCharType="separate"/>
        </w:r>
        <w:r>
          <w:rPr>
            <w:webHidden/>
          </w:rPr>
          <w:t>300</w:t>
        </w:r>
        <w:r>
          <w:rPr>
            <w:webHidden/>
          </w:rPr>
          <w:fldChar w:fldCharType="end"/>
        </w:r>
      </w:hyperlink>
    </w:p>
    <w:p w14:paraId="533512D8" w14:textId="775AE09E" w:rsidR="00023ECF" w:rsidRDefault="00023ECF">
      <w:pPr>
        <w:pStyle w:val="TOC5"/>
        <w:rPr>
          <w:rFonts w:asciiTheme="minorHAnsi" w:eastAsiaTheme="minorEastAsia" w:hAnsiTheme="minorHAnsi" w:cstheme="minorBidi"/>
          <w:kern w:val="2"/>
          <w:szCs w:val="24"/>
          <w14:ligatures w14:val="standardContextual"/>
        </w:rPr>
      </w:pPr>
      <w:hyperlink w:anchor="_Toc213772069" w:history="1">
        <w:r w:rsidRPr="00AC173C">
          <w:rPr>
            <w:rStyle w:val="Hyperlink"/>
          </w:rPr>
          <w:t>9.3.1.2.3</w:t>
        </w:r>
        <w:r>
          <w:rPr>
            <w:rFonts w:asciiTheme="minorHAnsi" w:eastAsiaTheme="minorEastAsia" w:hAnsiTheme="minorHAnsi" w:cstheme="minorBidi"/>
            <w:kern w:val="2"/>
            <w:szCs w:val="24"/>
            <w14:ligatures w14:val="standardContextual"/>
          </w:rPr>
          <w:tab/>
        </w:r>
        <w:r w:rsidRPr="00AC173C">
          <w:rPr>
            <w:rStyle w:val="Hyperlink"/>
          </w:rPr>
          <w:t>Type 2 Energy Qualifications for Specified Source Resources</w:t>
        </w:r>
        <w:r>
          <w:rPr>
            <w:webHidden/>
          </w:rPr>
          <w:tab/>
        </w:r>
        <w:r>
          <w:rPr>
            <w:webHidden/>
          </w:rPr>
          <w:fldChar w:fldCharType="begin"/>
        </w:r>
        <w:r>
          <w:rPr>
            <w:webHidden/>
          </w:rPr>
          <w:instrText xml:space="preserve"> PAGEREF _Toc213772069 \h </w:instrText>
        </w:r>
        <w:r>
          <w:rPr>
            <w:webHidden/>
          </w:rPr>
        </w:r>
        <w:r>
          <w:rPr>
            <w:webHidden/>
          </w:rPr>
          <w:fldChar w:fldCharType="separate"/>
        </w:r>
        <w:r>
          <w:rPr>
            <w:webHidden/>
          </w:rPr>
          <w:t>300</w:t>
        </w:r>
        <w:r>
          <w:rPr>
            <w:webHidden/>
          </w:rPr>
          <w:fldChar w:fldCharType="end"/>
        </w:r>
      </w:hyperlink>
    </w:p>
    <w:p w14:paraId="3620C1A2" w14:textId="578DF6BA" w:rsidR="00023ECF" w:rsidRDefault="00023ECF">
      <w:pPr>
        <w:pStyle w:val="TOC3"/>
        <w:rPr>
          <w:rFonts w:asciiTheme="minorHAnsi" w:eastAsiaTheme="minorEastAsia" w:hAnsiTheme="minorHAnsi" w:cstheme="minorBidi"/>
          <w:bCs w:val="0"/>
          <w:kern w:val="2"/>
          <w:szCs w:val="24"/>
          <w14:ligatures w14:val="standardContextual"/>
        </w:rPr>
      </w:pPr>
      <w:hyperlink w:anchor="_Toc213772070" w:history="1">
        <w:r w:rsidRPr="00AC173C">
          <w:rPr>
            <w:rStyle w:val="Hyperlink"/>
          </w:rPr>
          <w:t>9.3.2</w:t>
        </w:r>
        <w:r>
          <w:rPr>
            <w:rFonts w:asciiTheme="minorHAnsi" w:eastAsiaTheme="minorEastAsia" w:hAnsiTheme="minorHAnsi" w:cstheme="minorBidi"/>
            <w:bCs w:val="0"/>
            <w:kern w:val="2"/>
            <w:szCs w:val="24"/>
            <w14:ligatures w14:val="standardContextual"/>
          </w:rPr>
          <w:tab/>
        </w:r>
        <w:r w:rsidRPr="00AC173C">
          <w:rPr>
            <w:rStyle w:val="Hyperlink"/>
          </w:rPr>
          <w:t>Identification of Load Assets Subject to GHG Pricing Programs</w:t>
        </w:r>
        <w:r>
          <w:rPr>
            <w:webHidden/>
          </w:rPr>
          <w:tab/>
        </w:r>
        <w:r>
          <w:rPr>
            <w:webHidden/>
          </w:rPr>
          <w:fldChar w:fldCharType="begin"/>
        </w:r>
        <w:r>
          <w:rPr>
            <w:webHidden/>
          </w:rPr>
          <w:instrText xml:space="preserve"> PAGEREF _Toc213772070 \h </w:instrText>
        </w:r>
        <w:r>
          <w:rPr>
            <w:webHidden/>
          </w:rPr>
        </w:r>
        <w:r>
          <w:rPr>
            <w:webHidden/>
          </w:rPr>
          <w:fldChar w:fldCharType="separate"/>
        </w:r>
        <w:r>
          <w:rPr>
            <w:webHidden/>
          </w:rPr>
          <w:t>301</w:t>
        </w:r>
        <w:r>
          <w:rPr>
            <w:webHidden/>
          </w:rPr>
          <w:fldChar w:fldCharType="end"/>
        </w:r>
      </w:hyperlink>
    </w:p>
    <w:p w14:paraId="21B1438A" w14:textId="1DF5CBDA" w:rsidR="00023ECF" w:rsidRDefault="00023ECF">
      <w:pPr>
        <w:pStyle w:val="TOC3"/>
        <w:rPr>
          <w:rFonts w:asciiTheme="minorHAnsi" w:eastAsiaTheme="minorEastAsia" w:hAnsiTheme="minorHAnsi" w:cstheme="minorBidi"/>
          <w:bCs w:val="0"/>
          <w:kern w:val="2"/>
          <w:szCs w:val="24"/>
          <w14:ligatures w14:val="standardContextual"/>
        </w:rPr>
      </w:pPr>
      <w:hyperlink w:anchor="_Toc213772071" w:history="1">
        <w:r w:rsidRPr="00AC173C">
          <w:rPr>
            <w:rStyle w:val="Hyperlink"/>
          </w:rPr>
          <w:t>9.3.3</w:t>
        </w:r>
        <w:r>
          <w:rPr>
            <w:rFonts w:asciiTheme="minorHAnsi" w:eastAsiaTheme="minorEastAsia" w:hAnsiTheme="minorHAnsi" w:cstheme="minorBidi"/>
            <w:bCs w:val="0"/>
            <w:kern w:val="2"/>
            <w:szCs w:val="24"/>
            <w14:ligatures w14:val="standardContextual"/>
          </w:rPr>
          <w:tab/>
        </w:r>
        <w:r w:rsidRPr="00AC173C">
          <w:rPr>
            <w:rStyle w:val="Hyperlink"/>
          </w:rPr>
          <w:t>Identification of GHG Pricing Zones</w:t>
        </w:r>
        <w:r>
          <w:rPr>
            <w:webHidden/>
          </w:rPr>
          <w:tab/>
        </w:r>
        <w:r>
          <w:rPr>
            <w:webHidden/>
          </w:rPr>
          <w:fldChar w:fldCharType="begin"/>
        </w:r>
        <w:r>
          <w:rPr>
            <w:webHidden/>
          </w:rPr>
          <w:instrText xml:space="preserve"> PAGEREF _Toc213772071 \h </w:instrText>
        </w:r>
        <w:r>
          <w:rPr>
            <w:webHidden/>
          </w:rPr>
        </w:r>
        <w:r>
          <w:rPr>
            <w:webHidden/>
          </w:rPr>
          <w:fldChar w:fldCharType="separate"/>
        </w:r>
        <w:r>
          <w:rPr>
            <w:webHidden/>
          </w:rPr>
          <w:t>301</w:t>
        </w:r>
        <w:r>
          <w:rPr>
            <w:webHidden/>
          </w:rPr>
          <w:fldChar w:fldCharType="end"/>
        </w:r>
      </w:hyperlink>
    </w:p>
    <w:p w14:paraId="2878B6E3" w14:textId="2809A5D0" w:rsidR="00023ECF" w:rsidRDefault="00023ECF">
      <w:pPr>
        <w:pStyle w:val="TOC2"/>
        <w:rPr>
          <w:rFonts w:asciiTheme="minorHAnsi" w:eastAsiaTheme="minorEastAsia" w:hAnsiTheme="minorHAnsi" w:cstheme="minorBidi"/>
          <w:bCs w:val="0"/>
          <w:kern w:val="2"/>
          <w:szCs w:val="24"/>
          <w14:ligatures w14:val="standardContextual"/>
        </w:rPr>
      </w:pPr>
      <w:hyperlink w:anchor="_Toc213772072" w:history="1">
        <w:r w:rsidRPr="00AC173C">
          <w:rPr>
            <w:rStyle w:val="Hyperlink"/>
          </w:rPr>
          <w:t>9.4</w:t>
        </w:r>
        <w:r>
          <w:rPr>
            <w:rFonts w:asciiTheme="minorHAnsi" w:eastAsiaTheme="minorEastAsia" w:hAnsiTheme="minorHAnsi" w:cstheme="minorBidi"/>
            <w:bCs w:val="0"/>
            <w:kern w:val="2"/>
            <w:szCs w:val="24"/>
            <w14:ligatures w14:val="standardContextual"/>
          </w:rPr>
          <w:tab/>
        </w:r>
        <w:r w:rsidRPr="00AC173C">
          <w:rPr>
            <w:rStyle w:val="Hyperlink"/>
          </w:rPr>
          <w:t>Registration of Transmission Assets</w:t>
        </w:r>
        <w:r>
          <w:rPr>
            <w:webHidden/>
          </w:rPr>
          <w:tab/>
        </w:r>
        <w:r>
          <w:rPr>
            <w:webHidden/>
          </w:rPr>
          <w:fldChar w:fldCharType="begin"/>
        </w:r>
        <w:r>
          <w:rPr>
            <w:webHidden/>
          </w:rPr>
          <w:instrText xml:space="preserve"> PAGEREF _Toc213772072 \h </w:instrText>
        </w:r>
        <w:r>
          <w:rPr>
            <w:webHidden/>
          </w:rPr>
        </w:r>
        <w:r>
          <w:rPr>
            <w:webHidden/>
          </w:rPr>
          <w:fldChar w:fldCharType="separate"/>
        </w:r>
        <w:r>
          <w:rPr>
            <w:webHidden/>
          </w:rPr>
          <w:t>301</w:t>
        </w:r>
        <w:r>
          <w:rPr>
            <w:webHidden/>
          </w:rPr>
          <w:fldChar w:fldCharType="end"/>
        </w:r>
      </w:hyperlink>
    </w:p>
    <w:p w14:paraId="3A0CED52" w14:textId="2B6CA867" w:rsidR="00023ECF" w:rsidRDefault="00023ECF">
      <w:pPr>
        <w:pStyle w:val="TOC3"/>
        <w:rPr>
          <w:rFonts w:asciiTheme="minorHAnsi" w:eastAsiaTheme="minorEastAsia" w:hAnsiTheme="minorHAnsi" w:cstheme="minorBidi"/>
          <w:bCs w:val="0"/>
          <w:kern w:val="2"/>
          <w:szCs w:val="24"/>
          <w14:ligatures w14:val="standardContextual"/>
        </w:rPr>
      </w:pPr>
      <w:hyperlink w:anchor="_Toc213772073" w:history="1">
        <w:r w:rsidRPr="00AC173C">
          <w:rPr>
            <w:rStyle w:val="Hyperlink"/>
          </w:rPr>
          <w:t>9.4.1</w:t>
        </w:r>
        <w:r>
          <w:rPr>
            <w:rFonts w:asciiTheme="minorHAnsi" w:eastAsiaTheme="minorEastAsia" w:hAnsiTheme="minorHAnsi" w:cstheme="minorBidi"/>
            <w:bCs w:val="0"/>
            <w:kern w:val="2"/>
            <w:szCs w:val="24"/>
            <w14:ligatures w14:val="standardContextual"/>
          </w:rPr>
          <w:tab/>
        </w:r>
        <w:r w:rsidRPr="00AC173C">
          <w:rPr>
            <w:rStyle w:val="Hyperlink"/>
          </w:rPr>
          <w:t>Market Transfer Interface and Market Opt-In Transfer Interface Registration</w:t>
        </w:r>
        <w:r>
          <w:rPr>
            <w:webHidden/>
          </w:rPr>
          <w:tab/>
        </w:r>
        <w:r>
          <w:rPr>
            <w:webHidden/>
          </w:rPr>
          <w:fldChar w:fldCharType="begin"/>
        </w:r>
        <w:r>
          <w:rPr>
            <w:webHidden/>
          </w:rPr>
          <w:instrText xml:space="preserve"> PAGEREF _Toc213772073 \h </w:instrText>
        </w:r>
        <w:r>
          <w:rPr>
            <w:webHidden/>
          </w:rPr>
        </w:r>
        <w:r>
          <w:rPr>
            <w:webHidden/>
          </w:rPr>
          <w:fldChar w:fldCharType="separate"/>
        </w:r>
        <w:r>
          <w:rPr>
            <w:webHidden/>
          </w:rPr>
          <w:t>302</w:t>
        </w:r>
        <w:r>
          <w:rPr>
            <w:webHidden/>
          </w:rPr>
          <w:fldChar w:fldCharType="end"/>
        </w:r>
      </w:hyperlink>
    </w:p>
    <w:p w14:paraId="1CF927E0" w14:textId="4DF2F503" w:rsidR="00023ECF" w:rsidRDefault="00023ECF">
      <w:pPr>
        <w:pStyle w:val="TOC2"/>
        <w:rPr>
          <w:rFonts w:asciiTheme="minorHAnsi" w:eastAsiaTheme="minorEastAsia" w:hAnsiTheme="minorHAnsi" w:cstheme="minorBidi"/>
          <w:bCs w:val="0"/>
          <w:kern w:val="2"/>
          <w:szCs w:val="24"/>
          <w14:ligatures w14:val="standardContextual"/>
        </w:rPr>
      </w:pPr>
      <w:hyperlink w:anchor="_Toc213772074" w:history="1">
        <w:r w:rsidRPr="00AC173C">
          <w:rPr>
            <w:rStyle w:val="Hyperlink"/>
          </w:rPr>
          <w:t>9.5</w:t>
        </w:r>
        <w:r>
          <w:rPr>
            <w:rFonts w:asciiTheme="minorHAnsi" w:eastAsiaTheme="minorEastAsia" w:hAnsiTheme="minorHAnsi" w:cstheme="minorBidi"/>
            <w:bCs w:val="0"/>
            <w:kern w:val="2"/>
            <w:szCs w:val="24"/>
            <w14:ligatures w14:val="standardContextual"/>
          </w:rPr>
          <w:tab/>
        </w:r>
        <w:r w:rsidRPr="00AC173C">
          <w:rPr>
            <w:rStyle w:val="Hyperlink"/>
          </w:rPr>
          <w:t>Registration of Meter Agent</w:t>
        </w:r>
        <w:r>
          <w:rPr>
            <w:webHidden/>
          </w:rPr>
          <w:tab/>
        </w:r>
        <w:r>
          <w:rPr>
            <w:webHidden/>
          </w:rPr>
          <w:fldChar w:fldCharType="begin"/>
        </w:r>
        <w:r>
          <w:rPr>
            <w:webHidden/>
          </w:rPr>
          <w:instrText xml:space="preserve"> PAGEREF _Toc213772074 \h </w:instrText>
        </w:r>
        <w:r>
          <w:rPr>
            <w:webHidden/>
          </w:rPr>
        </w:r>
        <w:r>
          <w:rPr>
            <w:webHidden/>
          </w:rPr>
          <w:fldChar w:fldCharType="separate"/>
        </w:r>
        <w:r>
          <w:rPr>
            <w:webHidden/>
          </w:rPr>
          <w:t>302</w:t>
        </w:r>
        <w:r>
          <w:rPr>
            <w:webHidden/>
          </w:rPr>
          <w:fldChar w:fldCharType="end"/>
        </w:r>
      </w:hyperlink>
    </w:p>
    <w:p w14:paraId="1D7B81FC" w14:textId="4754FC19" w:rsidR="00023ECF" w:rsidRDefault="00023ECF">
      <w:pPr>
        <w:pStyle w:val="TOC2"/>
        <w:rPr>
          <w:rFonts w:asciiTheme="minorHAnsi" w:eastAsiaTheme="minorEastAsia" w:hAnsiTheme="minorHAnsi" w:cstheme="minorBidi"/>
          <w:bCs w:val="0"/>
          <w:kern w:val="2"/>
          <w:szCs w:val="24"/>
          <w14:ligatures w14:val="standardContextual"/>
        </w:rPr>
      </w:pPr>
      <w:hyperlink w:anchor="_Toc213772075" w:history="1">
        <w:r w:rsidRPr="00AC173C">
          <w:rPr>
            <w:rStyle w:val="Hyperlink"/>
          </w:rPr>
          <w:t>9.6</w:t>
        </w:r>
        <w:r>
          <w:rPr>
            <w:rFonts w:asciiTheme="minorHAnsi" w:eastAsiaTheme="minorEastAsia" w:hAnsiTheme="minorHAnsi" w:cstheme="minorBidi"/>
            <w:bCs w:val="0"/>
            <w:kern w:val="2"/>
            <w:szCs w:val="24"/>
            <w14:ligatures w14:val="standardContextual"/>
          </w:rPr>
          <w:tab/>
        </w:r>
        <w:r w:rsidRPr="00AC173C">
          <w:rPr>
            <w:rStyle w:val="Hyperlink"/>
          </w:rPr>
          <w:t>Network and Commercial Model Updates</w:t>
        </w:r>
        <w:r>
          <w:rPr>
            <w:webHidden/>
          </w:rPr>
          <w:tab/>
        </w:r>
        <w:r>
          <w:rPr>
            <w:webHidden/>
          </w:rPr>
          <w:fldChar w:fldCharType="begin"/>
        </w:r>
        <w:r>
          <w:rPr>
            <w:webHidden/>
          </w:rPr>
          <w:instrText xml:space="preserve"> PAGEREF _Toc213772075 \h </w:instrText>
        </w:r>
        <w:r>
          <w:rPr>
            <w:webHidden/>
          </w:rPr>
        </w:r>
        <w:r>
          <w:rPr>
            <w:webHidden/>
          </w:rPr>
          <w:fldChar w:fldCharType="separate"/>
        </w:r>
        <w:r>
          <w:rPr>
            <w:webHidden/>
          </w:rPr>
          <w:t>302</w:t>
        </w:r>
        <w:r>
          <w:rPr>
            <w:webHidden/>
          </w:rPr>
          <w:fldChar w:fldCharType="end"/>
        </w:r>
      </w:hyperlink>
    </w:p>
    <w:p w14:paraId="26367092" w14:textId="2D0B66B3" w:rsidR="00023ECF" w:rsidRDefault="00023ECF">
      <w:pPr>
        <w:pStyle w:val="TOC2"/>
        <w:rPr>
          <w:rFonts w:asciiTheme="minorHAnsi" w:eastAsiaTheme="minorEastAsia" w:hAnsiTheme="minorHAnsi" w:cstheme="minorBidi"/>
          <w:bCs w:val="0"/>
          <w:kern w:val="2"/>
          <w:szCs w:val="24"/>
          <w14:ligatures w14:val="standardContextual"/>
        </w:rPr>
      </w:pPr>
      <w:hyperlink w:anchor="_Toc213772076" w:history="1">
        <w:r w:rsidRPr="00AC173C">
          <w:rPr>
            <w:rStyle w:val="Hyperlink"/>
          </w:rPr>
          <w:t>9.7</w:t>
        </w:r>
        <w:r>
          <w:rPr>
            <w:rFonts w:asciiTheme="minorHAnsi" w:eastAsiaTheme="minorEastAsia" w:hAnsiTheme="minorHAnsi" w:cstheme="minorBidi"/>
            <w:bCs w:val="0"/>
            <w:kern w:val="2"/>
            <w:szCs w:val="24"/>
            <w14:ligatures w14:val="standardContextual"/>
          </w:rPr>
          <w:tab/>
        </w:r>
        <w:r w:rsidRPr="00AC173C">
          <w:rPr>
            <w:rStyle w:val="Hyperlink"/>
          </w:rPr>
          <w:t>Naming Conventions for Market Assets</w:t>
        </w:r>
        <w:r>
          <w:rPr>
            <w:webHidden/>
          </w:rPr>
          <w:tab/>
        </w:r>
        <w:r>
          <w:rPr>
            <w:webHidden/>
          </w:rPr>
          <w:fldChar w:fldCharType="begin"/>
        </w:r>
        <w:r>
          <w:rPr>
            <w:webHidden/>
          </w:rPr>
          <w:instrText xml:space="preserve"> PAGEREF _Toc213772076 \h </w:instrText>
        </w:r>
        <w:r>
          <w:rPr>
            <w:webHidden/>
          </w:rPr>
        </w:r>
        <w:r>
          <w:rPr>
            <w:webHidden/>
          </w:rPr>
          <w:fldChar w:fldCharType="separate"/>
        </w:r>
        <w:r>
          <w:rPr>
            <w:webHidden/>
          </w:rPr>
          <w:t>305</w:t>
        </w:r>
        <w:r>
          <w:rPr>
            <w:webHidden/>
          </w:rPr>
          <w:fldChar w:fldCharType="end"/>
        </w:r>
      </w:hyperlink>
    </w:p>
    <w:p w14:paraId="11896A95" w14:textId="396FE139" w:rsidR="00023ECF" w:rsidRDefault="00023ECF">
      <w:pPr>
        <w:pStyle w:val="TOC3"/>
        <w:rPr>
          <w:rFonts w:asciiTheme="minorHAnsi" w:eastAsiaTheme="minorEastAsia" w:hAnsiTheme="minorHAnsi" w:cstheme="minorBidi"/>
          <w:bCs w:val="0"/>
          <w:kern w:val="2"/>
          <w:szCs w:val="24"/>
          <w14:ligatures w14:val="standardContextual"/>
        </w:rPr>
      </w:pPr>
      <w:hyperlink w:anchor="_Toc213772077" w:history="1">
        <w:r w:rsidRPr="00AC173C">
          <w:rPr>
            <w:rStyle w:val="Hyperlink"/>
          </w:rPr>
          <w:t>9.7.1</w:t>
        </w:r>
        <w:r>
          <w:rPr>
            <w:rFonts w:asciiTheme="minorHAnsi" w:eastAsiaTheme="minorEastAsia" w:hAnsiTheme="minorHAnsi" w:cstheme="minorBidi"/>
            <w:bCs w:val="0"/>
            <w:kern w:val="2"/>
            <w:szCs w:val="24"/>
            <w14:ligatures w14:val="standardContextual"/>
          </w:rPr>
          <w:tab/>
        </w:r>
        <w:r w:rsidRPr="00AC173C">
          <w:rPr>
            <w:rStyle w:val="Hyperlink"/>
          </w:rPr>
          <w:t>General Requirements</w:t>
        </w:r>
        <w:r>
          <w:rPr>
            <w:webHidden/>
          </w:rPr>
          <w:tab/>
        </w:r>
        <w:r>
          <w:rPr>
            <w:webHidden/>
          </w:rPr>
          <w:fldChar w:fldCharType="begin"/>
        </w:r>
        <w:r>
          <w:rPr>
            <w:webHidden/>
          </w:rPr>
          <w:instrText xml:space="preserve"> PAGEREF _Toc213772077 \h </w:instrText>
        </w:r>
        <w:r>
          <w:rPr>
            <w:webHidden/>
          </w:rPr>
        </w:r>
        <w:r>
          <w:rPr>
            <w:webHidden/>
          </w:rPr>
          <w:fldChar w:fldCharType="separate"/>
        </w:r>
        <w:r>
          <w:rPr>
            <w:webHidden/>
          </w:rPr>
          <w:t>305</w:t>
        </w:r>
        <w:r>
          <w:rPr>
            <w:webHidden/>
          </w:rPr>
          <w:fldChar w:fldCharType="end"/>
        </w:r>
      </w:hyperlink>
    </w:p>
    <w:p w14:paraId="5FCA8BED" w14:textId="312978B8" w:rsidR="00023ECF" w:rsidRDefault="00023ECF">
      <w:pPr>
        <w:pStyle w:val="TOC3"/>
        <w:rPr>
          <w:rFonts w:asciiTheme="minorHAnsi" w:eastAsiaTheme="minorEastAsia" w:hAnsiTheme="minorHAnsi" w:cstheme="minorBidi"/>
          <w:bCs w:val="0"/>
          <w:kern w:val="2"/>
          <w:szCs w:val="24"/>
          <w14:ligatures w14:val="standardContextual"/>
        </w:rPr>
      </w:pPr>
      <w:hyperlink w:anchor="_Toc213772078" w:history="1">
        <w:r w:rsidRPr="00AC173C">
          <w:rPr>
            <w:rStyle w:val="Hyperlink"/>
          </w:rPr>
          <w:t>9.7.2</w:t>
        </w:r>
        <w:r>
          <w:rPr>
            <w:rFonts w:asciiTheme="minorHAnsi" w:eastAsiaTheme="minorEastAsia" w:hAnsiTheme="minorHAnsi" w:cstheme="minorBidi"/>
            <w:bCs w:val="0"/>
            <w:kern w:val="2"/>
            <w:szCs w:val="24"/>
            <w14:ligatures w14:val="standardContextual"/>
          </w:rPr>
          <w:tab/>
        </w:r>
        <w:r w:rsidRPr="00AC173C">
          <w:rPr>
            <w:rStyle w:val="Hyperlink"/>
          </w:rPr>
          <w:t>Resource Settlement Location /Asset Name</w:t>
        </w:r>
        <w:r>
          <w:rPr>
            <w:webHidden/>
          </w:rPr>
          <w:tab/>
        </w:r>
        <w:r>
          <w:rPr>
            <w:webHidden/>
          </w:rPr>
          <w:fldChar w:fldCharType="begin"/>
        </w:r>
        <w:r>
          <w:rPr>
            <w:webHidden/>
          </w:rPr>
          <w:instrText xml:space="preserve"> PAGEREF _Toc213772078 \h </w:instrText>
        </w:r>
        <w:r>
          <w:rPr>
            <w:webHidden/>
          </w:rPr>
        </w:r>
        <w:r>
          <w:rPr>
            <w:webHidden/>
          </w:rPr>
          <w:fldChar w:fldCharType="separate"/>
        </w:r>
        <w:r>
          <w:rPr>
            <w:webHidden/>
          </w:rPr>
          <w:t>306</w:t>
        </w:r>
        <w:r>
          <w:rPr>
            <w:webHidden/>
          </w:rPr>
          <w:fldChar w:fldCharType="end"/>
        </w:r>
      </w:hyperlink>
    </w:p>
    <w:p w14:paraId="7866ECF8" w14:textId="3827FDB2" w:rsidR="00023ECF" w:rsidRDefault="00023ECF">
      <w:pPr>
        <w:pStyle w:val="TOC3"/>
        <w:rPr>
          <w:rFonts w:asciiTheme="minorHAnsi" w:eastAsiaTheme="minorEastAsia" w:hAnsiTheme="minorHAnsi" w:cstheme="minorBidi"/>
          <w:bCs w:val="0"/>
          <w:kern w:val="2"/>
          <w:szCs w:val="24"/>
          <w14:ligatures w14:val="standardContextual"/>
        </w:rPr>
      </w:pPr>
      <w:hyperlink w:anchor="_Toc213772079" w:history="1">
        <w:r w:rsidRPr="00AC173C">
          <w:rPr>
            <w:rStyle w:val="Hyperlink"/>
          </w:rPr>
          <w:t>9.7.3</w:t>
        </w:r>
        <w:r>
          <w:rPr>
            <w:rFonts w:asciiTheme="minorHAnsi" w:eastAsiaTheme="minorEastAsia" w:hAnsiTheme="minorHAnsi" w:cstheme="minorBidi"/>
            <w:bCs w:val="0"/>
            <w:kern w:val="2"/>
            <w:szCs w:val="24"/>
            <w14:ligatures w14:val="standardContextual"/>
          </w:rPr>
          <w:tab/>
        </w:r>
        <w:r w:rsidRPr="00AC173C">
          <w:rPr>
            <w:rStyle w:val="Hyperlink"/>
          </w:rPr>
          <w:t>Load Settlement Location Name/Asset Name</w:t>
        </w:r>
        <w:r>
          <w:rPr>
            <w:webHidden/>
          </w:rPr>
          <w:tab/>
        </w:r>
        <w:r>
          <w:rPr>
            <w:webHidden/>
          </w:rPr>
          <w:fldChar w:fldCharType="begin"/>
        </w:r>
        <w:r>
          <w:rPr>
            <w:webHidden/>
          </w:rPr>
          <w:instrText xml:space="preserve"> PAGEREF _Toc213772079 \h </w:instrText>
        </w:r>
        <w:r>
          <w:rPr>
            <w:webHidden/>
          </w:rPr>
        </w:r>
        <w:r>
          <w:rPr>
            <w:webHidden/>
          </w:rPr>
          <w:fldChar w:fldCharType="separate"/>
        </w:r>
        <w:r>
          <w:rPr>
            <w:webHidden/>
          </w:rPr>
          <w:t>306</w:t>
        </w:r>
        <w:r>
          <w:rPr>
            <w:webHidden/>
          </w:rPr>
          <w:fldChar w:fldCharType="end"/>
        </w:r>
      </w:hyperlink>
    </w:p>
    <w:p w14:paraId="1F9DD930" w14:textId="34D3CD74" w:rsidR="00023ECF" w:rsidRDefault="00023ECF">
      <w:pPr>
        <w:pStyle w:val="TOC3"/>
        <w:rPr>
          <w:rFonts w:asciiTheme="minorHAnsi" w:eastAsiaTheme="minorEastAsia" w:hAnsiTheme="minorHAnsi" w:cstheme="minorBidi"/>
          <w:bCs w:val="0"/>
          <w:kern w:val="2"/>
          <w:szCs w:val="24"/>
          <w14:ligatures w14:val="standardContextual"/>
        </w:rPr>
      </w:pPr>
      <w:hyperlink w:anchor="_Toc213772080" w:history="1">
        <w:r w:rsidRPr="00AC173C">
          <w:rPr>
            <w:rStyle w:val="Hyperlink"/>
          </w:rPr>
          <w:t>9.7.4</w:t>
        </w:r>
        <w:r>
          <w:rPr>
            <w:rFonts w:asciiTheme="minorHAnsi" w:eastAsiaTheme="minorEastAsia" w:hAnsiTheme="minorHAnsi" w:cstheme="minorBidi"/>
            <w:bCs w:val="0"/>
            <w:kern w:val="2"/>
            <w:szCs w:val="24"/>
            <w14:ligatures w14:val="standardContextual"/>
          </w:rPr>
          <w:tab/>
        </w:r>
        <w:r w:rsidRPr="00AC173C">
          <w:rPr>
            <w:rStyle w:val="Hyperlink"/>
          </w:rPr>
          <w:t>Hub Settlement Location Name</w:t>
        </w:r>
        <w:r>
          <w:rPr>
            <w:webHidden/>
          </w:rPr>
          <w:tab/>
        </w:r>
        <w:r>
          <w:rPr>
            <w:webHidden/>
          </w:rPr>
          <w:fldChar w:fldCharType="begin"/>
        </w:r>
        <w:r>
          <w:rPr>
            <w:webHidden/>
          </w:rPr>
          <w:instrText xml:space="preserve"> PAGEREF _Toc213772080 \h </w:instrText>
        </w:r>
        <w:r>
          <w:rPr>
            <w:webHidden/>
          </w:rPr>
        </w:r>
        <w:r>
          <w:rPr>
            <w:webHidden/>
          </w:rPr>
          <w:fldChar w:fldCharType="separate"/>
        </w:r>
        <w:r>
          <w:rPr>
            <w:webHidden/>
          </w:rPr>
          <w:t>307</w:t>
        </w:r>
        <w:r>
          <w:rPr>
            <w:webHidden/>
          </w:rPr>
          <w:fldChar w:fldCharType="end"/>
        </w:r>
      </w:hyperlink>
    </w:p>
    <w:p w14:paraId="05A1B9EB" w14:textId="3AE2F1E5" w:rsidR="00023ECF" w:rsidRDefault="00023ECF">
      <w:pPr>
        <w:pStyle w:val="TOC3"/>
        <w:rPr>
          <w:rFonts w:asciiTheme="minorHAnsi" w:eastAsiaTheme="minorEastAsia" w:hAnsiTheme="minorHAnsi" w:cstheme="minorBidi"/>
          <w:bCs w:val="0"/>
          <w:kern w:val="2"/>
          <w:szCs w:val="24"/>
          <w14:ligatures w14:val="standardContextual"/>
        </w:rPr>
      </w:pPr>
      <w:hyperlink w:anchor="_Toc213772081" w:history="1">
        <w:r w:rsidRPr="00AC173C">
          <w:rPr>
            <w:rStyle w:val="Hyperlink"/>
          </w:rPr>
          <w:t>9.7.5</w:t>
        </w:r>
        <w:r>
          <w:rPr>
            <w:rFonts w:asciiTheme="minorHAnsi" w:eastAsiaTheme="minorEastAsia" w:hAnsiTheme="minorHAnsi" w:cstheme="minorBidi"/>
            <w:bCs w:val="0"/>
            <w:kern w:val="2"/>
            <w:szCs w:val="24"/>
            <w14:ligatures w14:val="standardContextual"/>
          </w:rPr>
          <w:tab/>
        </w:r>
        <w:r w:rsidRPr="00AC173C">
          <w:rPr>
            <w:rStyle w:val="Hyperlink"/>
          </w:rPr>
          <w:t>Tie Interface Meter Data Submittal Location (MDSL) Name</w:t>
        </w:r>
        <w:r>
          <w:rPr>
            <w:webHidden/>
          </w:rPr>
          <w:tab/>
        </w:r>
        <w:r>
          <w:rPr>
            <w:webHidden/>
          </w:rPr>
          <w:fldChar w:fldCharType="begin"/>
        </w:r>
        <w:r>
          <w:rPr>
            <w:webHidden/>
          </w:rPr>
          <w:instrText xml:space="preserve"> PAGEREF _Toc213772081 \h </w:instrText>
        </w:r>
        <w:r>
          <w:rPr>
            <w:webHidden/>
          </w:rPr>
        </w:r>
        <w:r>
          <w:rPr>
            <w:webHidden/>
          </w:rPr>
          <w:fldChar w:fldCharType="separate"/>
        </w:r>
        <w:r>
          <w:rPr>
            <w:webHidden/>
          </w:rPr>
          <w:t>307</w:t>
        </w:r>
        <w:r>
          <w:rPr>
            <w:webHidden/>
          </w:rPr>
          <w:fldChar w:fldCharType="end"/>
        </w:r>
      </w:hyperlink>
    </w:p>
    <w:p w14:paraId="286617AE" w14:textId="115BABD7" w:rsidR="00023ECF" w:rsidRDefault="00023ECF">
      <w:pPr>
        <w:pStyle w:val="TOC3"/>
        <w:rPr>
          <w:rFonts w:asciiTheme="minorHAnsi" w:eastAsiaTheme="minorEastAsia" w:hAnsiTheme="minorHAnsi" w:cstheme="minorBidi"/>
          <w:bCs w:val="0"/>
          <w:kern w:val="2"/>
          <w:szCs w:val="24"/>
          <w14:ligatures w14:val="standardContextual"/>
        </w:rPr>
      </w:pPr>
      <w:hyperlink w:anchor="_Toc213772082" w:history="1">
        <w:r w:rsidRPr="00AC173C">
          <w:rPr>
            <w:rStyle w:val="Hyperlink"/>
          </w:rPr>
          <w:t>9.7.6</w:t>
        </w:r>
        <w:r>
          <w:rPr>
            <w:rFonts w:asciiTheme="minorHAnsi" w:eastAsiaTheme="minorEastAsia" w:hAnsiTheme="minorHAnsi" w:cstheme="minorBidi"/>
            <w:bCs w:val="0"/>
            <w:kern w:val="2"/>
            <w:szCs w:val="24"/>
            <w14:ligatures w14:val="standardContextual"/>
          </w:rPr>
          <w:tab/>
        </w:r>
        <w:r w:rsidRPr="00AC173C">
          <w:rPr>
            <w:rStyle w:val="Hyperlink"/>
          </w:rPr>
          <w:t>Source/Sink Name and Settlement Location Mapping</w:t>
        </w:r>
        <w:r>
          <w:rPr>
            <w:webHidden/>
          </w:rPr>
          <w:tab/>
        </w:r>
        <w:r>
          <w:rPr>
            <w:webHidden/>
          </w:rPr>
          <w:fldChar w:fldCharType="begin"/>
        </w:r>
        <w:r>
          <w:rPr>
            <w:webHidden/>
          </w:rPr>
          <w:instrText xml:space="preserve"> PAGEREF _Toc213772082 \h </w:instrText>
        </w:r>
        <w:r>
          <w:rPr>
            <w:webHidden/>
          </w:rPr>
        </w:r>
        <w:r>
          <w:rPr>
            <w:webHidden/>
          </w:rPr>
          <w:fldChar w:fldCharType="separate"/>
        </w:r>
        <w:r>
          <w:rPr>
            <w:webHidden/>
          </w:rPr>
          <w:t>308</w:t>
        </w:r>
        <w:r>
          <w:rPr>
            <w:webHidden/>
          </w:rPr>
          <w:fldChar w:fldCharType="end"/>
        </w:r>
      </w:hyperlink>
    </w:p>
    <w:p w14:paraId="6FA74799" w14:textId="0C601BD5" w:rsidR="00023ECF" w:rsidRDefault="00023ECF">
      <w:pPr>
        <w:pStyle w:val="TOC3"/>
        <w:rPr>
          <w:rFonts w:asciiTheme="minorHAnsi" w:eastAsiaTheme="minorEastAsia" w:hAnsiTheme="minorHAnsi" w:cstheme="minorBidi"/>
          <w:bCs w:val="0"/>
          <w:kern w:val="2"/>
          <w:szCs w:val="24"/>
          <w14:ligatures w14:val="standardContextual"/>
        </w:rPr>
      </w:pPr>
      <w:hyperlink w:anchor="_Toc213772083" w:history="1">
        <w:r w:rsidRPr="00AC173C">
          <w:rPr>
            <w:rStyle w:val="Hyperlink"/>
          </w:rPr>
          <w:t>9.7.7</w:t>
        </w:r>
        <w:r>
          <w:rPr>
            <w:rFonts w:asciiTheme="minorHAnsi" w:eastAsiaTheme="minorEastAsia" w:hAnsiTheme="minorHAnsi" w:cstheme="minorBidi"/>
            <w:bCs w:val="0"/>
            <w:kern w:val="2"/>
            <w:szCs w:val="24"/>
            <w14:ligatures w14:val="standardContextual"/>
          </w:rPr>
          <w:tab/>
        </w:r>
        <w:r w:rsidRPr="00AC173C">
          <w:rPr>
            <w:rStyle w:val="Hyperlink"/>
          </w:rPr>
          <w:t>Market and/or Reliability Data Developed and Named by the Market Operator</w:t>
        </w:r>
        <w:r>
          <w:rPr>
            <w:webHidden/>
          </w:rPr>
          <w:tab/>
        </w:r>
        <w:r>
          <w:rPr>
            <w:webHidden/>
          </w:rPr>
          <w:fldChar w:fldCharType="begin"/>
        </w:r>
        <w:r>
          <w:rPr>
            <w:webHidden/>
          </w:rPr>
          <w:instrText xml:space="preserve"> PAGEREF _Toc213772083 \h </w:instrText>
        </w:r>
        <w:r>
          <w:rPr>
            <w:webHidden/>
          </w:rPr>
        </w:r>
        <w:r>
          <w:rPr>
            <w:webHidden/>
          </w:rPr>
          <w:fldChar w:fldCharType="separate"/>
        </w:r>
        <w:r>
          <w:rPr>
            <w:webHidden/>
          </w:rPr>
          <w:t>308</w:t>
        </w:r>
        <w:r>
          <w:rPr>
            <w:webHidden/>
          </w:rPr>
          <w:fldChar w:fldCharType="end"/>
        </w:r>
      </w:hyperlink>
    </w:p>
    <w:p w14:paraId="7F72AD2B" w14:textId="6CE75D73" w:rsidR="00023ECF" w:rsidRDefault="00023ECF">
      <w:pPr>
        <w:pStyle w:val="TOC1"/>
        <w:rPr>
          <w:rFonts w:asciiTheme="minorHAnsi" w:eastAsiaTheme="minorEastAsia" w:hAnsiTheme="minorHAnsi" w:cstheme="minorBidi"/>
          <w:b w:val="0"/>
          <w:kern w:val="2"/>
          <w:szCs w:val="24"/>
          <w14:ligatures w14:val="standardContextual"/>
        </w:rPr>
      </w:pPr>
      <w:hyperlink w:anchor="_Toc213772084" w:history="1">
        <w:r w:rsidRPr="00AC173C">
          <w:rPr>
            <w:rStyle w:val="Hyperlink"/>
          </w:rPr>
          <w:t>10</w:t>
        </w:r>
        <w:r>
          <w:rPr>
            <w:rFonts w:asciiTheme="minorHAnsi" w:eastAsiaTheme="minorEastAsia" w:hAnsiTheme="minorHAnsi" w:cstheme="minorBidi"/>
            <w:b w:val="0"/>
            <w:kern w:val="2"/>
            <w:szCs w:val="24"/>
            <w14:ligatures w14:val="standardContextual"/>
          </w:rPr>
          <w:tab/>
        </w:r>
        <w:r w:rsidRPr="00AC173C">
          <w:rPr>
            <w:rStyle w:val="Hyperlink"/>
          </w:rPr>
          <w:t>Market System Outage and Error Handling</w:t>
        </w:r>
        <w:r>
          <w:rPr>
            <w:webHidden/>
          </w:rPr>
          <w:tab/>
        </w:r>
        <w:r>
          <w:rPr>
            <w:webHidden/>
          </w:rPr>
          <w:fldChar w:fldCharType="begin"/>
        </w:r>
        <w:r>
          <w:rPr>
            <w:webHidden/>
          </w:rPr>
          <w:instrText xml:space="preserve"> PAGEREF _Toc213772084 \h </w:instrText>
        </w:r>
        <w:r>
          <w:rPr>
            <w:webHidden/>
          </w:rPr>
        </w:r>
        <w:r>
          <w:rPr>
            <w:webHidden/>
          </w:rPr>
          <w:fldChar w:fldCharType="separate"/>
        </w:r>
        <w:r>
          <w:rPr>
            <w:webHidden/>
          </w:rPr>
          <w:t>309</w:t>
        </w:r>
        <w:r>
          <w:rPr>
            <w:webHidden/>
          </w:rPr>
          <w:fldChar w:fldCharType="end"/>
        </w:r>
      </w:hyperlink>
    </w:p>
    <w:p w14:paraId="6D6A3CBC" w14:textId="22EE0937" w:rsidR="00023ECF" w:rsidRDefault="00023ECF">
      <w:pPr>
        <w:pStyle w:val="TOC2"/>
        <w:rPr>
          <w:rFonts w:asciiTheme="minorHAnsi" w:eastAsiaTheme="minorEastAsia" w:hAnsiTheme="minorHAnsi" w:cstheme="minorBidi"/>
          <w:bCs w:val="0"/>
          <w:kern w:val="2"/>
          <w:szCs w:val="24"/>
          <w14:ligatures w14:val="standardContextual"/>
        </w:rPr>
      </w:pPr>
      <w:hyperlink w:anchor="_Toc213772085" w:history="1">
        <w:r w:rsidRPr="00AC173C">
          <w:rPr>
            <w:rStyle w:val="Hyperlink"/>
          </w:rPr>
          <w:t>10.1</w:t>
        </w:r>
        <w:r>
          <w:rPr>
            <w:rFonts w:asciiTheme="minorHAnsi" w:eastAsiaTheme="minorEastAsia" w:hAnsiTheme="minorHAnsi" w:cstheme="minorBidi"/>
            <w:bCs w:val="0"/>
            <w:kern w:val="2"/>
            <w:szCs w:val="24"/>
            <w14:ligatures w14:val="standardContextual"/>
          </w:rPr>
          <w:tab/>
        </w:r>
        <w:r w:rsidRPr="00AC173C">
          <w:rPr>
            <w:rStyle w:val="Hyperlink"/>
          </w:rPr>
          <w:t>Market System Outages</w:t>
        </w:r>
        <w:r>
          <w:rPr>
            <w:webHidden/>
          </w:rPr>
          <w:tab/>
        </w:r>
        <w:r>
          <w:rPr>
            <w:webHidden/>
          </w:rPr>
          <w:fldChar w:fldCharType="begin"/>
        </w:r>
        <w:r>
          <w:rPr>
            <w:webHidden/>
          </w:rPr>
          <w:instrText xml:space="preserve"> PAGEREF _Toc213772085 \h </w:instrText>
        </w:r>
        <w:r>
          <w:rPr>
            <w:webHidden/>
          </w:rPr>
        </w:r>
        <w:r>
          <w:rPr>
            <w:webHidden/>
          </w:rPr>
          <w:fldChar w:fldCharType="separate"/>
        </w:r>
        <w:r>
          <w:rPr>
            <w:webHidden/>
          </w:rPr>
          <w:t>309</w:t>
        </w:r>
        <w:r>
          <w:rPr>
            <w:webHidden/>
          </w:rPr>
          <w:fldChar w:fldCharType="end"/>
        </w:r>
      </w:hyperlink>
    </w:p>
    <w:p w14:paraId="1FA8EAB7" w14:textId="6DD93160" w:rsidR="00023ECF" w:rsidRDefault="00023ECF">
      <w:pPr>
        <w:pStyle w:val="TOC3"/>
        <w:rPr>
          <w:rFonts w:asciiTheme="minorHAnsi" w:eastAsiaTheme="minorEastAsia" w:hAnsiTheme="minorHAnsi" w:cstheme="minorBidi"/>
          <w:bCs w:val="0"/>
          <w:kern w:val="2"/>
          <w:szCs w:val="24"/>
          <w14:ligatures w14:val="standardContextual"/>
        </w:rPr>
      </w:pPr>
      <w:hyperlink w:anchor="_Toc213772086" w:history="1">
        <w:r w:rsidRPr="00AC173C">
          <w:rPr>
            <w:rStyle w:val="Hyperlink"/>
          </w:rPr>
          <w:t>10.1.1</w:t>
        </w:r>
        <w:r>
          <w:rPr>
            <w:rFonts w:asciiTheme="minorHAnsi" w:eastAsiaTheme="minorEastAsia" w:hAnsiTheme="minorHAnsi" w:cstheme="minorBidi"/>
            <w:bCs w:val="0"/>
            <w:kern w:val="2"/>
            <w:szCs w:val="24"/>
            <w14:ligatures w14:val="standardContextual"/>
          </w:rPr>
          <w:tab/>
        </w:r>
        <w:r w:rsidRPr="00AC173C">
          <w:rPr>
            <w:rStyle w:val="Hyperlink"/>
          </w:rPr>
          <w:t>Day-Ahead Market System Outages</w:t>
        </w:r>
        <w:r>
          <w:rPr>
            <w:webHidden/>
          </w:rPr>
          <w:tab/>
        </w:r>
        <w:r>
          <w:rPr>
            <w:webHidden/>
          </w:rPr>
          <w:fldChar w:fldCharType="begin"/>
        </w:r>
        <w:r>
          <w:rPr>
            <w:webHidden/>
          </w:rPr>
          <w:instrText xml:space="preserve"> PAGEREF _Toc213772086 \h </w:instrText>
        </w:r>
        <w:r>
          <w:rPr>
            <w:webHidden/>
          </w:rPr>
        </w:r>
        <w:r>
          <w:rPr>
            <w:webHidden/>
          </w:rPr>
          <w:fldChar w:fldCharType="separate"/>
        </w:r>
        <w:r>
          <w:rPr>
            <w:webHidden/>
          </w:rPr>
          <w:t>309</w:t>
        </w:r>
        <w:r>
          <w:rPr>
            <w:webHidden/>
          </w:rPr>
          <w:fldChar w:fldCharType="end"/>
        </w:r>
      </w:hyperlink>
    </w:p>
    <w:p w14:paraId="2E41300B" w14:textId="29FC5CF3" w:rsidR="00023ECF" w:rsidRDefault="00023ECF">
      <w:pPr>
        <w:pStyle w:val="TOC3"/>
        <w:rPr>
          <w:rFonts w:asciiTheme="minorHAnsi" w:eastAsiaTheme="minorEastAsia" w:hAnsiTheme="minorHAnsi" w:cstheme="minorBidi"/>
          <w:bCs w:val="0"/>
          <w:kern w:val="2"/>
          <w:szCs w:val="24"/>
          <w14:ligatures w14:val="standardContextual"/>
        </w:rPr>
      </w:pPr>
      <w:hyperlink w:anchor="_Toc213772087" w:history="1">
        <w:r w:rsidRPr="00AC173C">
          <w:rPr>
            <w:rStyle w:val="Hyperlink"/>
          </w:rPr>
          <w:t>10.1.2</w:t>
        </w:r>
        <w:r>
          <w:rPr>
            <w:rFonts w:asciiTheme="minorHAnsi" w:eastAsiaTheme="minorEastAsia" w:hAnsiTheme="minorHAnsi" w:cstheme="minorBidi"/>
            <w:bCs w:val="0"/>
            <w:kern w:val="2"/>
            <w:szCs w:val="24"/>
            <w14:ligatures w14:val="standardContextual"/>
          </w:rPr>
          <w:tab/>
        </w:r>
        <w:r w:rsidRPr="00AC173C">
          <w:rPr>
            <w:rStyle w:val="Hyperlink"/>
          </w:rPr>
          <w:t>Markets+ Footprint Wide Real-Time Balancing Market System Outages</w:t>
        </w:r>
        <w:r>
          <w:rPr>
            <w:webHidden/>
          </w:rPr>
          <w:tab/>
        </w:r>
        <w:r>
          <w:rPr>
            <w:webHidden/>
          </w:rPr>
          <w:fldChar w:fldCharType="begin"/>
        </w:r>
        <w:r>
          <w:rPr>
            <w:webHidden/>
          </w:rPr>
          <w:instrText xml:space="preserve"> PAGEREF _Toc213772087 \h </w:instrText>
        </w:r>
        <w:r>
          <w:rPr>
            <w:webHidden/>
          </w:rPr>
        </w:r>
        <w:r>
          <w:rPr>
            <w:webHidden/>
          </w:rPr>
          <w:fldChar w:fldCharType="separate"/>
        </w:r>
        <w:r>
          <w:rPr>
            <w:webHidden/>
          </w:rPr>
          <w:t>309</w:t>
        </w:r>
        <w:r>
          <w:rPr>
            <w:webHidden/>
          </w:rPr>
          <w:fldChar w:fldCharType="end"/>
        </w:r>
      </w:hyperlink>
    </w:p>
    <w:p w14:paraId="15DCED5E" w14:textId="33848A16" w:rsidR="00023ECF" w:rsidRDefault="00023ECF">
      <w:pPr>
        <w:pStyle w:val="TOC3"/>
        <w:rPr>
          <w:rFonts w:asciiTheme="minorHAnsi" w:eastAsiaTheme="minorEastAsia" w:hAnsiTheme="minorHAnsi" w:cstheme="minorBidi"/>
          <w:bCs w:val="0"/>
          <w:kern w:val="2"/>
          <w:szCs w:val="24"/>
          <w14:ligatures w14:val="standardContextual"/>
        </w:rPr>
      </w:pPr>
      <w:hyperlink w:anchor="_Toc213772088" w:history="1">
        <w:r w:rsidRPr="00AC173C">
          <w:rPr>
            <w:rStyle w:val="Hyperlink"/>
          </w:rPr>
          <w:t>10.1.3</w:t>
        </w:r>
        <w:r>
          <w:rPr>
            <w:rFonts w:asciiTheme="minorHAnsi" w:eastAsiaTheme="minorEastAsia" w:hAnsiTheme="minorHAnsi" w:cstheme="minorBidi"/>
            <w:bCs w:val="0"/>
            <w:kern w:val="2"/>
            <w:szCs w:val="24"/>
            <w14:ligatures w14:val="standardContextual"/>
          </w:rPr>
          <w:tab/>
        </w:r>
        <w:r w:rsidRPr="00AC173C">
          <w:rPr>
            <w:rStyle w:val="Hyperlink"/>
            <w:snapToGrid w:val="0"/>
          </w:rPr>
          <w:t>Locational Marginal Prices during Island Conditions and Markets+ Footprint Expansion Cutovers</w:t>
        </w:r>
        <w:r>
          <w:rPr>
            <w:webHidden/>
          </w:rPr>
          <w:tab/>
        </w:r>
        <w:r>
          <w:rPr>
            <w:webHidden/>
          </w:rPr>
          <w:fldChar w:fldCharType="begin"/>
        </w:r>
        <w:r>
          <w:rPr>
            <w:webHidden/>
          </w:rPr>
          <w:instrText xml:space="preserve"> PAGEREF _Toc213772088 \h </w:instrText>
        </w:r>
        <w:r>
          <w:rPr>
            <w:webHidden/>
          </w:rPr>
        </w:r>
        <w:r>
          <w:rPr>
            <w:webHidden/>
          </w:rPr>
          <w:fldChar w:fldCharType="separate"/>
        </w:r>
        <w:r>
          <w:rPr>
            <w:webHidden/>
          </w:rPr>
          <w:t>309</w:t>
        </w:r>
        <w:r>
          <w:rPr>
            <w:webHidden/>
          </w:rPr>
          <w:fldChar w:fldCharType="end"/>
        </w:r>
      </w:hyperlink>
    </w:p>
    <w:p w14:paraId="578ADAAE" w14:textId="156F8B1A" w:rsidR="00023ECF" w:rsidRDefault="00023ECF">
      <w:pPr>
        <w:pStyle w:val="TOC2"/>
        <w:rPr>
          <w:rFonts w:asciiTheme="minorHAnsi" w:eastAsiaTheme="minorEastAsia" w:hAnsiTheme="minorHAnsi" w:cstheme="minorBidi"/>
          <w:bCs w:val="0"/>
          <w:kern w:val="2"/>
          <w:szCs w:val="24"/>
          <w14:ligatures w14:val="standardContextual"/>
        </w:rPr>
      </w:pPr>
      <w:hyperlink w:anchor="_Toc213772090" w:history="1">
        <w:r w:rsidRPr="00AC173C">
          <w:rPr>
            <w:rStyle w:val="Hyperlink"/>
          </w:rPr>
          <w:t>10.2</w:t>
        </w:r>
        <w:r>
          <w:rPr>
            <w:rFonts w:asciiTheme="minorHAnsi" w:eastAsiaTheme="minorEastAsia" w:hAnsiTheme="minorHAnsi" w:cstheme="minorBidi"/>
            <w:bCs w:val="0"/>
            <w:kern w:val="2"/>
            <w:szCs w:val="24"/>
            <w14:ligatures w14:val="standardContextual"/>
          </w:rPr>
          <w:tab/>
        </w:r>
        <w:r w:rsidRPr="00AC173C">
          <w:rPr>
            <w:rStyle w:val="Hyperlink"/>
          </w:rPr>
          <w:t>Procedures for Correcting Prices Resulting From Market Software and Data Errors</w:t>
        </w:r>
        <w:r>
          <w:rPr>
            <w:webHidden/>
          </w:rPr>
          <w:tab/>
        </w:r>
        <w:r>
          <w:rPr>
            <w:webHidden/>
          </w:rPr>
          <w:fldChar w:fldCharType="begin"/>
        </w:r>
        <w:r>
          <w:rPr>
            <w:webHidden/>
          </w:rPr>
          <w:instrText xml:space="preserve"> PAGEREF _Toc213772090 \h </w:instrText>
        </w:r>
        <w:r>
          <w:rPr>
            <w:webHidden/>
          </w:rPr>
        </w:r>
        <w:r>
          <w:rPr>
            <w:webHidden/>
          </w:rPr>
          <w:fldChar w:fldCharType="separate"/>
        </w:r>
        <w:r>
          <w:rPr>
            <w:webHidden/>
          </w:rPr>
          <w:t>310</w:t>
        </w:r>
        <w:r>
          <w:rPr>
            <w:webHidden/>
          </w:rPr>
          <w:fldChar w:fldCharType="end"/>
        </w:r>
      </w:hyperlink>
    </w:p>
    <w:p w14:paraId="04F43382" w14:textId="4A9003AE" w:rsidR="00023ECF" w:rsidRDefault="00023ECF">
      <w:pPr>
        <w:pStyle w:val="TOC3"/>
        <w:rPr>
          <w:rFonts w:asciiTheme="minorHAnsi" w:eastAsiaTheme="minorEastAsia" w:hAnsiTheme="minorHAnsi" w:cstheme="minorBidi"/>
          <w:bCs w:val="0"/>
          <w:kern w:val="2"/>
          <w:szCs w:val="24"/>
          <w14:ligatures w14:val="standardContextual"/>
        </w:rPr>
      </w:pPr>
      <w:hyperlink w:anchor="_Toc213772091" w:history="1">
        <w:r w:rsidRPr="00AC173C">
          <w:rPr>
            <w:rStyle w:val="Hyperlink"/>
          </w:rPr>
          <w:t>10.2.1</w:t>
        </w:r>
        <w:r>
          <w:rPr>
            <w:rFonts w:asciiTheme="minorHAnsi" w:eastAsiaTheme="minorEastAsia" w:hAnsiTheme="minorHAnsi" w:cstheme="minorBidi"/>
            <w:bCs w:val="0"/>
            <w:kern w:val="2"/>
            <w:szCs w:val="24"/>
            <w14:ligatures w14:val="standardContextual"/>
          </w:rPr>
          <w:tab/>
        </w:r>
        <w:r w:rsidRPr="00AC173C">
          <w:rPr>
            <w:rStyle w:val="Hyperlink"/>
          </w:rPr>
          <w:t>Procedures for Revising Prices in Response to Market Software and Data Errors</w:t>
        </w:r>
        <w:r>
          <w:rPr>
            <w:webHidden/>
          </w:rPr>
          <w:tab/>
        </w:r>
        <w:r>
          <w:rPr>
            <w:webHidden/>
          </w:rPr>
          <w:fldChar w:fldCharType="begin"/>
        </w:r>
        <w:r>
          <w:rPr>
            <w:webHidden/>
          </w:rPr>
          <w:instrText xml:space="preserve"> PAGEREF _Toc213772091 \h </w:instrText>
        </w:r>
        <w:r>
          <w:rPr>
            <w:webHidden/>
          </w:rPr>
        </w:r>
        <w:r>
          <w:rPr>
            <w:webHidden/>
          </w:rPr>
          <w:fldChar w:fldCharType="separate"/>
        </w:r>
        <w:r>
          <w:rPr>
            <w:webHidden/>
          </w:rPr>
          <w:t>310</w:t>
        </w:r>
        <w:r>
          <w:rPr>
            <w:webHidden/>
          </w:rPr>
          <w:fldChar w:fldCharType="end"/>
        </w:r>
      </w:hyperlink>
    </w:p>
    <w:p w14:paraId="2768C417" w14:textId="5C001D7E" w:rsidR="00023ECF" w:rsidRDefault="00023ECF">
      <w:pPr>
        <w:pStyle w:val="TOC4"/>
        <w:rPr>
          <w:rFonts w:asciiTheme="minorHAnsi" w:eastAsiaTheme="minorEastAsia" w:hAnsiTheme="minorHAnsi" w:cstheme="minorBidi"/>
          <w:bCs w:val="0"/>
          <w:kern w:val="2"/>
          <w:szCs w:val="24"/>
          <w14:ligatures w14:val="standardContextual"/>
        </w:rPr>
      </w:pPr>
      <w:hyperlink w:anchor="_Toc213772092" w:history="1">
        <w:r w:rsidRPr="00AC173C">
          <w:rPr>
            <w:rStyle w:val="Hyperlink"/>
          </w:rPr>
          <w:t>10.2.1.1</w:t>
        </w:r>
        <w:r>
          <w:rPr>
            <w:rFonts w:asciiTheme="minorHAnsi" w:eastAsiaTheme="minorEastAsia" w:hAnsiTheme="minorHAnsi" w:cstheme="minorBidi"/>
            <w:bCs w:val="0"/>
            <w:kern w:val="2"/>
            <w:szCs w:val="24"/>
            <w14:ligatures w14:val="standardContextual"/>
          </w:rPr>
          <w:tab/>
        </w:r>
        <w:r w:rsidRPr="00AC173C">
          <w:rPr>
            <w:rStyle w:val="Hyperlink"/>
          </w:rPr>
          <w:t>Notice to Market Participants and the Public</w:t>
        </w:r>
        <w:r>
          <w:rPr>
            <w:webHidden/>
          </w:rPr>
          <w:tab/>
        </w:r>
        <w:r>
          <w:rPr>
            <w:webHidden/>
          </w:rPr>
          <w:fldChar w:fldCharType="begin"/>
        </w:r>
        <w:r>
          <w:rPr>
            <w:webHidden/>
          </w:rPr>
          <w:instrText xml:space="preserve"> PAGEREF _Toc213772092 \h </w:instrText>
        </w:r>
        <w:r>
          <w:rPr>
            <w:webHidden/>
          </w:rPr>
        </w:r>
        <w:r>
          <w:rPr>
            <w:webHidden/>
          </w:rPr>
          <w:fldChar w:fldCharType="separate"/>
        </w:r>
        <w:r>
          <w:rPr>
            <w:webHidden/>
          </w:rPr>
          <w:t>311</w:t>
        </w:r>
        <w:r>
          <w:rPr>
            <w:webHidden/>
          </w:rPr>
          <w:fldChar w:fldCharType="end"/>
        </w:r>
      </w:hyperlink>
    </w:p>
    <w:p w14:paraId="7937733B" w14:textId="23A1A208" w:rsidR="00023ECF" w:rsidRDefault="00023ECF">
      <w:pPr>
        <w:pStyle w:val="TOC4"/>
        <w:rPr>
          <w:rFonts w:asciiTheme="minorHAnsi" w:eastAsiaTheme="minorEastAsia" w:hAnsiTheme="minorHAnsi" w:cstheme="minorBidi"/>
          <w:bCs w:val="0"/>
          <w:kern w:val="2"/>
          <w:szCs w:val="24"/>
          <w14:ligatures w14:val="standardContextual"/>
        </w:rPr>
      </w:pPr>
      <w:hyperlink w:anchor="_Toc213772093" w:history="1">
        <w:r w:rsidRPr="00AC173C">
          <w:rPr>
            <w:rStyle w:val="Hyperlink"/>
          </w:rPr>
          <w:t>10.2.1.2</w:t>
        </w:r>
        <w:r>
          <w:rPr>
            <w:rFonts w:asciiTheme="minorHAnsi" w:eastAsiaTheme="minorEastAsia" w:hAnsiTheme="minorHAnsi" w:cstheme="minorBidi"/>
            <w:bCs w:val="0"/>
            <w:kern w:val="2"/>
            <w:szCs w:val="24"/>
            <w14:ligatures w14:val="standardContextual"/>
          </w:rPr>
          <w:tab/>
        </w:r>
        <w:r w:rsidRPr="00AC173C">
          <w:rPr>
            <w:rStyle w:val="Hyperlink"/>
          </w:rPr>
          <w:t>Process for Recalculating Day-Ahead Market Cleared Amounts and Prices</w:t>
        </w:r>
        <w:r>
          <w:rPr>
            <w:webHidden/>
          </w:rPr>
          <w:tab/>
        </w:r>
        <w:r>
          <w:rPr>
            <w:webHidden/>
          </w:rPr>
          <w:fldChar w:fldCharType="begin"/>
        </w:r>
        <w:r>
          <w:rPr>
            <w:webHidden/>
          </w:rPr>
          <w:instrText xml:space="preserve"> PAGEREF _Toc213772093 \h </w:instrText>
        </w:r>
        <w:r>
          <w:rPr>
            <w:webHidden/>
          </w:rPr>
        </w:r>
        <w:r>
          <w:rPr>
            <w:webHidden/>
          </w:rPr>
          <w:fldChar w:fldCharType="separate"/>
        </w:r>
        <w:r>
          <w:rPr>
            <w:webHidden/>
          </w:rPr>
          <w:t>311</w:t>
        </w:r>
        <w:r>
          <w:rPr>
            <w:webHidden/>
          </w:rPr>
          <w:fldChar w:fldCharType="end"/>
        </w:r>
      </w:hyperlink>
    </w:p>
    <w:p w14:paraId="5F4C8635" w14:textId="2EE79D95" w:rsidR="00023ECF" w:rsidRDefault="00023ECF">
      <w:pPr>
        <w:pStyle w:val="TOC4"/>
        <w:rPr>
          <w:rFonts w:asciiTheme="minorHAnsi" w:eastAsiaTheme="minorEastAsia" w:hAnsiTheme="minorHAnsi" w:cstheme="minorBidi"/>
          <w:bCs w:val="0"/>
          <w:kern w:val="2"/>
          <w:szCs w:val="24"/>
          <w14:ligatures w14:val="standardContextual"/>
        </w:rPr>
      </w:pPr>
      <w:hyperlink w:anchor="_Toc213772094" w:history="1">
        <w:r w:rsidRPr="00AC173C">
          <w:rPr>
            <w:rStyle w:val="Hyperlink"/>
          </w:rPr>
          <w:t>10.2.1.3</w:t>
        </w:r>
        <w:r>
          <w:rPr>
            <w:rFonts w:asciiTheme="minorHAnsi" w:eastAsiaTheme="minorEastAsia" w:hAnsiTheme="minorHAnsi" w:cstheme="minorBidi"/>
            <w:bCs w:val="0"/>
            <w:kern w:val="2"/>
            <w:szCs w:val="24"/>
            <w14:ligatures w14:val="standardContextual"/>
          </w:rPr>
          <w:tab/>
        </w:r>
        <w:r w:rsidRPr="00AC173C">
          <w:rPr>
            <w:rStyle w:val="Hyperlink"/>
          </w:rPr>
          <w:t>Process for Recalculating RTBM Prices</w:t>
        </w:r>
        <w:r>
          <w:rPr>
            <w:webHidden/>
          </w:rPr>
          <w:tab/>
        </w:r>
        <w:r>
          <w:rPr>
            <w:webHidden/>
          </w:rPr>
          <w:fldChar w:fldCharType="begin"/>
        </w:r>
        <w:r>
          <w:rPr>
            <w:webHidden/>
          </w:rPr>
          <w:instrText xml:space="preserve"> PAGEREF _Toc213772094 \h </w:instrText>
        </w:r>
        <w:r>
          <w:rPr>
            <w:webHidden/>
          </w:rPr>
        </w:r>
        <w:r>
          <w:rPr>
            <w:webHidden/>
          </w:rPr>
          <w:fldChar w:fldCharType="separate"/>
        </w:r>
        <w:r>
          <w:rPr>
            <w:webHidden/>
          </w:rPr>
          <w:t>311</w:t>
        </w:r>
        <w:r>
          <w:rPr>
            <w:webHidden/>
          </w:rPr>
          <w:fldChar w:fldCharType="end"/>
        </w:r>
      </w:hyperlink>
    </w:p>
    <w:p w14:paraId="15C58F20" w14:textId="219F057B" w:rsidR="00023ECF" w:rsidRDefault="00023ECF">
      <w:pPr>
        <w:pStyle w:val="TOC4"/>
        <w:rPr>
          <w:rFonts w:asciiTheme="minorHAnsi" w:eastAsiaTheme="minorEastAsia" w:hAnsiTheme="minorHAnsi" w:cstheme="minorBidi"/>
          <w:bCs w:val="0"/>
          <w:kern w:val="2"/>
          <w:szCs w:val="24"/>
          <w14:ligatures w14:val="standardContextual"/>
        </w:rPr>
      </w:pPr>
      <w:hyperlink w:anchor="_Toc213772095" w:history="1">
        <w:r w:rsidRPr="00AC173C">
          <w:rPr>
            <w:rStyle w:val="Hyperlink"/>
          </w:rPr>
          <w:t>10.2.1.4</w:t>
        </w:r>
        <w:r>
          <w:rPr>
            <w:rFonts w:asciiTheme="minorHAnsi" w:eastAsiaTheme="minorEastAsia" w:hAnsiTheme="minorHAnsi" w:cstheme="minorBidi"/>
            <w:bCs w:val="0"/>
            <w:kern w:val="2"/>
            <w:szCs w:val="24"/>
            <w14:ligatures w14:val="standardContextual"/>
          </w:rPr>
          <w:tab/>
        </w:r>
        <w:r w:rsidRPr="00AC173C">
          <w:rPr>
            <w:rStyle w:val="Hyperlink"/>
          </w:rPr>
          <w:t>Compensatory Payments to Market Participants</w:t>
        </w:r>
        <w:r>
          <w:rPr>
            <w:webHidden/>
          </w:rPr>
          <w:tab/>
        </w:r>
        <w:r>
          <w:rPr>
            <w:webHidden/>
          </w:rPr>
          <w:fldChar w:fldCharType="begin"/>
        </w:r>
        <w:r>
          <w:rPr>
            <w:webHidden/>
          </w:rPr>
          <w:instrText xml:space="preserve"> PAGEREF _Toc213772095 \h </w:instrText>
        </w:r>
        <w:r>
          <w:rPr>
            <w:webHidden/>
          </w:rPr>
        </w:r>
        <w:r>
          <w:rPr>
            <w:webHidden/>
          </w:rPr>
          <w:fldChar w:fldCharType="separate"/>
        </w:r>
        <w:r>
          <w:rPr>
            <w:webHidden/>
          </w:rPr>
          <w:t>312</w:t>
        </w:r>
        <w:r>
          <w:rPr>
            <w:webHidden/>
          </w:rPr>
          <w:fldChar w:fldCharType="end"/>
        </w:r>
      </w:hyperlink>
    </w:p>
    <w:p w14:paraId="5710795E" w14:textId="1DAF29E9" w:rsidR="00023ECF" w:rsidRDefault="00023ECF">
      <w:pPr>
        <w:pStyle w:val="TOC3"/>
        <w:rPr>
          <w:rFonts w:asciiTheme="minorHAnsi" w:eastAsiaTheme="minorEastAsia" w:hAnsiTheme="minorHAnsi" w:cstheme="minorBidi"/>
          <w:bCs w:val="0"/>
          <w:kern w:val="2"/>
          <w:szCs w:val="24"/>
          <w14:ligatures w14:val="standardContextual"/>
        </w:rPr>
      </w:pPr>
      <w:hyperlink w:anchor="_Toc213772099" w:history="1">
        <w:r w:rsidRPr="00AC173C">
          <w:rPr>
            <w:rStyle w:val="Hyperlink"/>
          </w:rPr>
          <w:t>10.2.2</w:t>
        </w:r>
        <w:r>
          <w:rPr>
            <w:rFonts w:asciiTheme="minorHAnsi" w:eastAsiaTheme="minorEastAsia" w:hAnsiTheme="minorHAnsi" w:cstheme="minorBidi"/>
            <w:bCs w:val="0"/>
            <w:kern w:val="2"/>
            <w:szCs w:val="24"/>
            <w14:ligatures w14:val="standardContextual"/>
          </w:rPr>
          <w:tab/>
        </w:r>
        <w:r w:rsidRPr="00AC173C">
          <w:rPr>
            <w:rStyle w:val="Hyperlink"/>
          </w:rPr>
          <w:t>Disputes and Resettlement Provisions</w:t>
        </w:r>
        <w:r>
          <w:rPr>
            <w:webHidden/>
          </w:rPr>
          <w:tab/>
        </w:r>
        <w:r>
          <w:rPr>
            <w:webHidden/>
          </w:rPr>
          <w:fldChar w:fldCharType="begin"/>
        </w:r>
        <w:r>
          <w:rPr>
            <w:webHidden/>
          </w:rPr>
          <w:instrText xml:space="preserve"> PAGEREF _Toc213772099 \h </w:instrText>
        </w:r>
        <w:r>
          <w:rPr>
            <w:webHidden/>
          </w:rPr>
        </w:r>
        <w:r>
          <w:rPr>
            <w:webHidden/>
          </w:rPr>
          <w:fldChar w:fldCharType="separate"/>
        </w:r>
        <w:r>
          <w:rPr>
            <w:webHidden/>
          </w:rPr>
          <w:t>312</w:t>
        </w:r>
        <w:r>
          <w:rPr>
            <w:webHidden/>
          </w:rPr>
          <w:fldChar w:fldCharType="end"/>
        </w:r>
      </w:hyperlink>
    </w:p>
    <w:p w14:paraId="2E0CF493" w14:textId="476F61F6" w:rsidR="00023ECF" w:rsidRDefault="00023ECF">
      <w:pPr>
        <w:pStyle w:val="TOC1"/>
        <w:rPr>
          <w:rFonts w:asciiTheme="minorHAnsi" w:eastAsiaTheme="minorEastAsia" w:hAnsiTheme="minorHAnsi" w:cstheme="minorBidi"/>
          <w:b w:val="0"/>
          <w:kern w:val="2"/>
          <w:szCs w:val="24"/>
          <w14:ligatures w14:val="standardContextual"/>
        </w:rPr>
      </w:pPr>
      <w:hyperlink w:anchor="_Toc213772102" w:history="1">
        <w:r w:rsidRPr="00AC173C">
          <w:rPr>
            <w:rStyle w:val="Hyperlink"/>
          </w:rPr>
          <w:t>11</w:t>
        </w:r>
        <w:r>
          <w:rPr>
            <w:rFonts w:asciiTheme="minorHAnsi" w:eastAsiaTheme="minorEastAsia" w:hAnsiTheme="minorHAnsi" w:cstheme="minorBidi"/>
            <w:b w:val="0"/>
            <w:kern w:val="2"/>
            <w:szCs w:val="24"/>
            <w14:ligatures w14:val="standardContextual"/>
          </w:rPr>
          <w:tab/>
        </w:r>
        <w:r w:rsidRPr="00AC173C">
          <w:rPr>
            <w:rStyle w:val="Hyperlink"/>
          </w:rPr>
          <w:t>Market Monitoring and Mitigation</w:t>
        </w:r>
        <w:r>
          <w:rPr>
            <w:webHidden/>
          </w:rPr>
          <w:tab/>
        </w:r>
        <w:r>
          <w:rPr>
            <w:webHidden/>
          </w:rPr>
          <w:fldChar w:fldCharType="begin"/>
        </w:r>
        <w:r>
          <w:rPr>
            <w:webHidden/>
          </w:rPr>
          <w:instrText xml:space="preserve"> PAGEREF _Toc213772102 \h </w:instrText>
        </w:r>
        <w:r>
          <w:rPr>
            <w:webHidden/>
          </w:rPr>
        </w:r>
        <w:r>
          <w:rPr>
            <w:webHidden/>
          </w:rPr>
          <w:fldChar w:fldCharType="separate"/>
        </w:r>
        <w:r>
          <w:rPr>
            <w:webHidden/>
          </w:rPr>
          <w:t>312</w:t>
        </w:r>
        <w:r>
          <w:rPr>
            <w:webHidden/>
          </w:rPr>
          <w:fldChar w:fldCharType="end"/>
        </w:r>
      </w:hyperlink>
    </w:p>
    <w:p w14:paraId="420F74AF" w14:textId="100A8826" w:rsidR="00023ECF" w:rsidRDefault="00023ECF">
      <w:pPr>
        <w:pStyle w:val="TOC2"/>
        <w:rPr>
          <w:rFonts w:asciiTheme="minorHAnsi" w:eastAsiaTheme="minorEastAsia" w:hAnsiTheme="minorHAnsi" w:cstheme="minorBidi"/>
          <w:bCs w:val="0"/>
          <w:kern w:val="2"/>
          <w:szCs w:val="24"/>
          <w14:ligatures w14:val="standardContextual"/>
        </w:rPr>
      </w:pPr>
      <w:hyperlink w:anchor="_Toc213772103" w:history="1">
        <w:r w:rsidRPr="00AC173C">
          <w:rPr>
            <w:rStyle w:val="Hyperlink"/>
          </w:rPr>
          <w:t>11.1</w:t>
        </w:r>
        <w:r>
          <w:rPr>
            <w:rFonts w:asciiTheme="minorHAnsi" w:eastAsiaTheme="minorEastAsia" w:hAnsiTheme="minorHAnsi" w:cstheme="minorBidi"/>
            <w:bCs w:val="0"/>
            <w:kern w:val="2"/>
            <w:szCs w:val="24"/>
            <w14:ligatures w14:val="standardContextual"/>
          </w:rPr>
          <w:tab/>
        </w:r>
        <w:r w:rsidRPr="00AC173C">
          <w:rPr>
            <w:rStyle w:val="Hyperlink"/>
          </w:rPr>
          <w:t>Market Monitoring</w:t>
        </w:r>
        <w:r>
          <w:rPr>
            <w:webHidden/>
          </w:rPr>
          <w:tab/>
        </w:r>
        <w:r>
          <w:rPr>
            <w:webHidden/>
          </w:rPr>
          <w:fldChar w:fldCharType="begin"/>
        </w:r>
        <w:r>
          <w:rPr>
            <w:webHidden/>
          </w:rPr>
          <w:instrText xml:space="preserve"> PAGEREF _Toc213772103 \h </w:instrText>
        </w:r>
        <w:r>
          <w:rPr>
            <w:webHidden/>
          </w:rPr>
        </w:r>
        <w:r>
          <w:rPr>
            <w:webHidden/>
          </w:rPr>
          <w:fldChar w:fldCharType="separate"/>
        </w:r>
        <w:r>
          <w:rPr>
            <w:webHidden/>
          </w:rPr>
          <w:t>312</w:t>
        </w:r>
        <w:r>
          <w:rPr>
            <w:webHidden/>
          </w:rPr>
          <w:fldChar w:fldCharType="end"/>
        </w:r>
      </w:hyperlink>
    </w:p>
    <w:p w14:paraId="65FC29C6" w14:textId="04DDF8E6" w:rsidR="00023ECF" w:rsidRDefault="00023ECF">
      <w:pPr>
        <w:pStyle w:val="TOC3"/>
        <w:rPr>
          <w:rFonts w:asciiTheme="minorHAnsi" w:eastAsiaTheme="minorEastAsia" w:hAnsiTheme="minorHAnsi" w:cstheme="minorBidi"/>
          <w:bCs w:val="0"/>
          <w:kern w:val="2"/>
          <w:szCs w:val="24"/>
          <w14:ligatures w14:val="standardContextual"/>
        </w:rPr>
      </w:pPr>
      <w:hyperlink w:anchor="_Toc213772104" w:history="1">
        <w:r w:rsidRPr="00AC173C">
          <w:rPr>
            <w:rStyle w:val="Hyperlink"/>
            <w:rFonts w:eastAsia="Arial Unicode MS"/>
          </w:rPr>
          <w:t>11.1.1</w:t>
        </w:r>
        <w:r>
          <w:rPr>
            <w:rFonts w:asciiTheme="minorHAnsi" w:eastAsiaTheme="minorEastAsia" w:hAnsiTheme="minorHAnsi" w:cstheme="minorBidi"/>
            <w:bCs w:val="0"/>
            <w:kern w:val="2"/>
            <w:szCs w:val="24"/>
            <w14:ligatures w14:val="standardContextual"/>
          </w:rPr>
          <w:tab/>
        </w:r>
        <w:r w:rsidRPr="00AC173C">
          <w:rPr>
            <w:rStyle w:val="Hyperlink"/>
            <w:rFonts w:eastAsia="Arial Unicode MS"/>
          </w:rPr>
          <w:t>Purpose and Objective</w:t>
        </w:r>
        <w:r>
          <w:rPr>
            <w:webHidden/>
          </w:rPr>
          <w:tab/>
        </w:r>
        <w:r>
          <w:rPr>
            <w:webHidden/>
          </w:rPr>
          <w:fldChar w:fldCharType="begin"/>
        </w:r>
        <w:r>
          <w:rPr>
            <w:webHidden/>
          </w:rPr>
          <w:instrText xml:space="preserve"> PAGEREF _Toc213772104 \h </w:instrText>
        </w:r>
        <w:r>
          <w:rPr>
            <w:webHidden/>
          </w:rPr>
        </w:r>
        <w:r>
          <w:rPr>
            <w:webHidden/>
          </w:rPr>
          <w:fldChar w:fldCharType="separate"/>
        </w:r>
        <w:r>
          <w:rPr>
            <w:webHidden/>
          </w:rPr>
          <w:t>313</w:t>
        </w:r>
        <w:r>
          <w:rPr>
            <w:webHidden/>
          </w:rPr>
          <w:fldChar w:fldCharType="end"/>
        </w:r>
      </w:hyperlink>
    </w:p>
    <w:p w14:paraId="15DB86B8" w14:textId="34BBE98C" w:rsidR="00023ECF" w:rsidRDefault="00023ECF">
      <w:pPr>
        <w:pStyle w:val="TOC3"/>
        <w:rPr>
          <w:rFonts w:asciiTheme="minorHAnsi" w:eastAsiaTheme="minorEastAsia" w:hAnsiTheme="minorHAnsi" w:cstheme="minorBidi"/>
          <w:bCs w:val="0"/>
          <w:kern w:val="2"/>
          <w:szCs w:val="24"/>
          <w14:ligatures w14:val="standardContextual"/>
        </w:rPr>
      </w:pPr>
      <w:hyperlink w:anchor="_Toc213772105" w:history="1">
        <w:r w:rsidRPr="00AC173C">
          <w:rPr>
            <w:rStyle w:val="Hyperlink"/>
          </w:rPr>
          <w:t>11.1.2</w:t>
        </w:r>
        <w:r>
          <w:rPr>
            <w:rFonts w:asciiTheme="minorHAnsi" w:eastAsiaTheme="minorEastAsia" w:hAnsiTheme="minorHAnsi" w:cstheme="minorBidi"/>
            <w:bCs w:val="0"/>
            <w:kern w:val="2"/>
            <w:szCs w:val="24"/>
            <w14:ligatures w14:val="standardContextual"/>
          </w:rPr>
          <w:tab/>
        </w:r>
        <w:r w:rsidRPr="00AC173C">
          <w:rPr>
            <w:rStyle w:val="Hyperlink"/>
            <w:rFonts w:eastAsia="Arial Unicode MS"/>
          </w:rPr>
          <w:t>Resolution of Conflicts</w:t>
        </w:r>
        <w:r>
          <w:rPr>
            <w:webHidden/>
          </w:rPr>
          <w:tab/>
        </w:r>
        <w:r>
          <w:rPr>
            <w:webHidden/>
          </w:rPr>
          <w:fldChar w:fldCharType="begin"/>
        </w:r>
        <w:r>
          <w:rPr>
            <w:webHidden/>
          </w:rPr>
          <w:instrText xml:space="preserve"> PAGEREF _Toc213772105 \h </w:instrText>
        </w:r>
        <w:r>
          <w:rPr>
            <w:webHidden/>
          </w:rPr>
        </w:r>
        <w:r>
          <w:rPr>
            <w:webHidden/>
          </w:rPr>
          <w:fldChar w:fldCharType="separate"/>
        </w:r>
        <w:r>
          <w:rPr>
            <w:webHidden/>
          </w:rPr>
          <w:t>314</w:t>
        </w:r>
        <w:r>
          <w:rPr>
            <w:webHidden/>
          </w:rPr>
          <w:fldChar w:fldCharType="end"/>
        </w:r>
      </w:hyperlink>
    </w:p>
    <w:p w14:paraId="21CC0900" w14:textId="731CF4DB" w:rsidR="00023ECF" w:rsidRDefault="00023ECF">
      <w:pPr>
        <w:pStyle w:val="TOC3"/>
        <w:rPr>
          <w:rFonts w:asciiTheme="minorHAnsi" w:eastAsiaTheme="minorEastAsia" w:hAnsiTheme="minorHAnsi" w:cstheme="minorBidi"/>
          <w:bCs w:val="0"/>
          <w:kern w:val="2"/>
          <w:szCs w:val="24"/>
          <w14:ligatures w14:val="standardContextual"/>
        </w:rPr>
      </w:pPr>
      <w:hyperlink w:anchor="_Toc213772106" w:history="1">
        <w:r w:rsidRPr="00AC173C">
          <w:rPr>
            <w:rStyle w:val="Hyperlink"/>
          </w:rPr>
          <w:t>11.1.3</w:t>
        </w:r>
        <w:r>
          <w:rPr>
            <w:rFonts w:asciiTheme="minorHAnsi" w:eastAsiaTheme="minorEastAsia" w:hAnsiTheme="minorHAnsi" w:cstheme="minorBidi"/>
            <w:bCs w:val="0"/>
            <w:kern w:val="2"/>
            <w:szCs w:val="24"/>
            <w14:ligatures w14:val="standardContextual"/>
          </w:rPr>
          <w:tab/>
        </w:r>
        <w:r w:rsidRPr="00AC173C">
          <w:rPr>
            <w:rStyle w:val="Hyperlink"/>
          </w:rPr>
          <w:t>Independent Market Monitor</w:t>
        </w:r>
        <w:r>
          <w:rPr>
            <w:webHidden/>
          </w:rPr>
          <w:tab/>
        </w:r>
        <w:r>
          <w:rPr>
            <w:webHidden/>
          </w:rPr>
          <w:fldChar w:fldCharType="begin"/>
        </w:r>
        <w:r>
          <w:rPr>
            <w:webHidden/>
          </w:rPr>
          <w:instrText xml:space="preserve"> PAGEREF _Toc213772106 \h </w:instrText>
        </w:r>
        <w:r>
          <w:rPr>
            <w:webHidden/>
          </w:rPr>
        </w:r>
        <w:r>
          <w:rPr>
            <w:webHidden/>
          </w:rPr>
          <w:fldChar w:fldCharType="separate"/>
        </w:r>
        <w:r>
          <w:rPr>
            <w:webHidden/>
          </w:rPr>
          <w:t>314</w:t>
        </w:r>
        <w:r>
          <w:rPr>
            <w:webHidden/>
          </w:rPr>
          <w:fldChar w:fldCharType="end"/>
        </w:r>
      </w:hyperlink>
    </w:p>
    <w:p w14:paraId="2B821BC5" w14:textId="1319A998" w:rsidR="00023ECF" w:rsidRDefault="00023ECF">
      <w:pPr>
        <w:pStyle w:val="TOC4"/>
        <w:rPr>
          <w:rFonts w:asciiTheme="minorHAnsi" w:eastAsiaTheme="minorEastAsia" w:hAnsiTheme="minorHAnsi" w:cstheme="minorBidi"/>
          <w:bCs w:val="0"/>
          <w:kern w:val="2"/>
          <w:szCs w:val="24"/>
          <w14:ligatures w14:val="standardContextual"/>
        </w:rPr>
      </w:pPr>
      <w:hyperlink w:anchor="_Toc213772107" w:history="1">
        <w:r w:rsidRPr="00AC173C">
          <w:rPr>
            <w:rStyle w:val="Hyperlink"/>
          </w:rPr>
          <w:t>11.1.3.1</w:t>
        </w:r>
        <w:r>
          <w:rPr>
            <w:rFonts w:asciiTheme="minorHAnsi" w:eastAsiaTheme="minorEastAsia" w:hAnsiTheme="minorHAnsi" w:cstheme="minorBidi"/>
            <w:bCs w:val="0"/>
            <w:kern w:val="2"/>
            <w:szCs w:val="24"/>
            <w14:ligatures w14:val="standardContextual"/>
          </w:rPr>
          <w:tab/>
        </w:r>
        <w:r w:rsidRPr="00AC173C">
          <w:rPr>
            <w:rStyle w:val="Hyperlink"/>
          </w:rPr>
          <w:t>Staffing and Resources</w:t>
        </w:r>
        <w:r>
          <w:rPr>
            <w:webHidden/>
          </w:rPr>
          <w:tab/>
        </w:r>
        <w:r>
          <w:rPr>
            <w:webHidden/>
          </w:rPr>
          <w:fldChar w:fldCharType="begin"/>
        </w:r>
        <w:r>
          <w:rPr>
            <w:webHidden/>
          </w:rPr>
          <w:instrText xml:space="preserve"> PAGEREF _Toc213772107 \h </w:instrText>
        </w:r>
        <w:r>
          <w:rPr>
            <w:webHidden/>
          </w:rPr>
        </w:r>
        <w:r>
          <w:rPr>
            <w:webHidden/>
          </w:rPr>
          <w:fldChar w:fldCharType="separate"/>
        </w:r>
        <w:r>
          <w:rPr>
            <w:webHidden/>
          </w:rPr>
          <w:t>314</w:t>
        </w:r>
        <w:r>
          <w:rPr>
            <w:webHidden/>
          </w:rPr>
          <w:fldChar w:fldCharType="end"/>
        </w:r>
      </w:hyperlink>
    </w:p>
    <w:p w14:paraId="39701515" w14:textId="43989B42" w:rsidR="00023ECF" w:rsidRDefault="00023ECF">
      <w:pPr>
        <w:pStyle w:val="TOC4"/>
        <w:rPr>
          <w:rFonts w:asciiTheme="minorHAnsi" w:eastAsiaTheme="minorEastAsia" w:hAnsiTheme="minorHAnsi" w:cstheme="minorBidi"/>
          <w:bCs w:val="0"/>
          <w:kern w:val="2"/>
          <w:szCs w:val="24"/>
          <w14:ligatures w14:val="standardContextual"/>
        </w:rPr>
      </w:pPr>
      <w:hyperlink w:anchor="_Toc213772108" w:history="1">
        <w:r w:rsidRPr="00AC173C">
          <w:rPr>
            <w:rStyle w:val="Hyperlink"/>
          </w:rPr>
          <w:t>11.1.3.2</w:t>
        </w:r>
        <w:r>
          <w:rPr>
            <w:rFonts w:asciiTheme="minorHAnsi" w:eastAsiaTheme="minorEastAsia" w:hAnsiTheme="minorHAnsi" w:cstheme="minorBidi"/>
            <w:bCs w:val="0"/>
            <w:kern w:val="2"/>
            <w:szCs w:val="24"/>
            <w14:ligatures w14:val="standardContextual"/>
          </w:rPr>
          <w:tab/>
        </w:r>
        <w:r w:rsidRPr="00AC173C">
          <w:rPr>
            <w:rStyle w:val="Hyperlink"/>
          </w:rPr>
          <w:t>Relationships and Notifications</w:t>
        </w:r>
        <w:r>
          <w:rPr>
            <w:webHidden/>
          </w:rPr>
          <w:tab/>
        </w:r>
        <w:r>
          <w:rPr>
            <w:webHidden/>
          </w:rPr>
          <w:fldChar w:fldCharType="begin"/>
        </w:r>
        <w:r>
          <w:rPr>
            <w:webHidden/>
          </w:rPr>
          <w:instrText xml:space="preserve"> PAGEREF _Toc213772108 \h </w:instrText>
        </w:r>
        <w:r>
          <w:rPr>
            <w:webHidden/>
          </w:rPr>
        </w:r>
        <w:r>
          <w:rPr>
            <w:webHidden/>
          </w:rPr>
          <w:fldChar w:fldCharType="separate"/>
        </w:r>
        <w:r>
          <w:rPr>
            <w:webHidden/>
          </w:rPr>
          <w:t>314</w:t>
        </w:r>
        <w:r>
          <w:rPr>
            <w:webHidden/>
          </w:rPr>
          <w:fldChar w:fldCharType="end"/>
        </w:r>
      </w:hyperlink>
    </w:p>
    <w:p w14:paraId="1BE5892B" w14:textId="3464639C" w:rsidR="00023ECF" w:rsidRDefault="00023ECF">
      <w:pPr>
        <w:pStyle w:val="TOC4"/>
        <w:rPr>
          <w:rFonts w:asciiTheme="minorHAnsi" w:eastAsiaTheme="minorEastAsia" w:hAnsiTheme="minorHAnsi" w:cstheme="minorBidi"/>
          <w:bCs w:val="0"/>
          <w:kern w:val="2"/>
          <w:szCs w:val="24"/>
          <w14:ligatures w14:val="standardContextual"/>
        </w:rPr>
      </w:pPr>
      <w:hyperlink w:anchor="_Toc213772109" w:history="1">
        <w:r w:rsidRPr="00AC173C">
          <w:rPr>
            <w:rStyle w:val="Hyperlink"/>
          </w:rPr>
          <w:t>11.1.3.3</w:t>
        </w:r>
        <w:r>
          <w:rPr>
            <w:rFonts w:asciiTheme="minorHAnsi" w:eastAsiaTheme="minorEastAsia" w:hAnsiTheme="minorHAnsi" w:cstheme="minorBidi"/>
            <w:bCs w:val="0"/>
            <w:kern w:val="2"/>
            <w:szCs w:val="24"/>
            <w14:ligatures w14:val="standardContextual"/>
          </w:rPr>
          <w:tab/>
        </w:r>
        <w:r w:rsidRPr="00AC173C">
          <w:rPr>
            <w:rStyle w:val="Hyperlink"/>
          </w:rPr>
          <w:t>Standards of Conduct</w:t>
        </w:r>
        <w:r>
          <w:rPr>
            <w:webHidden/>
          </w:rPr>
          <w:tab/>
        </w:r>
        <w:r>
          <w:rPr>
            <w:webHidden/>
          </w:rPr>
          <w:fldChar w:fldCharType="begin"/>
        </w:r>
        <w:r>
          <w:rPr>
            <w:webHidden/>
          </w:rPr>
          <w:instrText xml:space="preserve"> PAGEREF _Toc213772109 \h </w:instrText>
        </w:r>
        <w:r>
          <w:rPr>
            <w:webHidden/>
          </w:rPr>
        </w:r>
        <w:r>
          <w:rPr>
            <w:webHidden/>
          </w:rPr>
          <w:fldChar w:fldCharType="separate"/>
        </w:r>
        <w:r>
          <w:rPr>
            <w:webHidden/>
          </w:rPr>
          <w:t>315</w:t>
        </w:r>
        <w:r>
          <w:rPr>
            <w:webHidden/>
          </w:rPr>
          <w:fldChar w:fldCharType="end"/>
        </w:r>
      </w:hyperlink>
    </w:p>
    <w:p w14:paraId="4FCBF57C" w14:textId="70E30D65" w:rsidR="00023ECF" w:rsidRDefault="00023ECF">
      <w:pPr>
        <w:pStyle w:val="TOC3"/>
        <w:rPr>
          <w:rFonts w:asciiTheme="minorHAnsi" w:eastAsiaTheme="minorEastAsia" w:hAnsiTheme="minorHAnsi" w:cstheme="minorBidi"/>
          <w:bCs w:val="0"/>
          <w:kern w:val="2"/>
          <w:szCs w:val="24"/>
          <w14:ligatures w14:val="standardContextual"/>
        </w:rPr>
      </w:pPr>
      <w:hyperlink w:anchor="_Toc213772110" w:history="1">
        <w:r w:rsidRPr="00AC173C">
          <w:rPr>
            <w:rStyle w:val="Hyperlink"/>
          </w:rPr>
          <w:t>11.1.4</w:t>
        </w:r>
        <w:r>
          <w:rPr>
            <w:rFonts w:asciiTheme="minorHAnsi" w:eastAsiaTheme="minorEastAsia" w:hAnsiTheme="minorHAnsi" w:cstheme="minorBidi"/>
            <w:bCs w:val="0"/>
            <w:kern w:val="2"/>
            <w:szCs w:val="24"/>
            <w14:ligatures w14:val="standardContextual"/>
          </w:rPr>
          <w:tab/>
        </w:r>
        <w:r w:rsidRPr="00AC173C">
          <w:rPr>
            <w:rStyle w:val="Hyperlink"/>
          </w:rPr>
          <w:t>Market Monitoring</w:t>
        </w:r>
        <w:r>
          <w:rPr>
            <w:webHidden/>
          </w:rPr>
          <w:tab/>
        </w:r>
        <w:r>
          <w:rPr>
            <w:webHidden/>
          </w:rPr>
          <w:fldChar w:fldCharType="begin"/>
        </w:r>
        <w:r>
          <w:rPr>
            <w:webHidden/>
          </w:rPr>
          <w:instrText xml:space="preserve"> PAGEREF _Toc213772110 \h </w:instrText>
        </w:r>
        <w:r>
          <w:rPr>
            <w:webHidden/>
          </w:rPr>
        </w:r>
        <w:r>
          <w:rPr>
            <w:webHidden/>
          </w:rPr>
          <w:fldChar w:fldCharType="separate"/>
        </w:r>
        <w:r>
          <w:rPr>
            <w:webHidden/>
          </w:rPr>
          <w:t>315</w:t>
        </w:r>
        <w:r>
          <w:rPr>
            <w:webHidden/>
          </w:rPr>
          <w:fldChar w:fldCharType="end"/>
        </w:r>
      </w:hyperlink>
    </w:p>
    <w:p w14:paraId="5E957F18" w14:textId="14523465" w:rsidR="00023ECF" w:rsidRDefault="00023ECF">
      <w:pPr>
        <w:pStyle w:val="TOC4"/>
        <w:rPr>
          <w:rFonts w:asciiTheme="minorHAnsi" w:eastAsiaTheme="minorEastAsia" w:hAnsiTheme="minorHAnsi" w:cstheme="minorBidi"/>
          <w:bCs w:val="0"/>
          <w:kern w:val="2"/>
          <w:szCs w:val="24"/>
          <w14:ligatures w14:val="standardContextual"/>
        </w:rPr>
      </w:pPr>
      <w:hyperlink w:anchor="_Toc213772111" w:history="1">
        <w:r w:rsidRPr="00AC173C">
          <w:rPr>
            <w:rStyle w:val="Hyperlink"/>
          </w:rPr>
          <w:t>11.1.4.1</w:t>
        </w:r>
        <w:r>
          <w:rPr>
            <w:rFonts w:asciiTheme="minorHAnsi" w:eastAsiaTheme="minorEastAsia" w:hAnsiTheme="minorHAnsi" w:cstheme="minorBidi"/>
            <w:bCs w:val="0"/>
            <w:kern w:val="2"/>
            <w:szCs w:val="24"/>
            <w14:ligatures w14:val="standardContextual"/>
          </w:rPr>
          <w:tab/>
        </w:r>
        <w:r w:rsidRPr="00AC173C">
          <w:rPr>
            <w:rStyle w:val="Hyperlink"/>
          </w:rPr>
          <w:t>Markets to be Monitored</w:t>
        </w:r>
        <w:r>
          <w:rPr>
            <w:webHidden/>
          </w:rPr>
          <w:tab/>
        </w:r>
        <w:r>
          <w:rPr>
            <w:webHidden/>
          </w:rPr>
          <w:fldChar w:fldCharType="begin"/>
        </w:r>
        <w:r>
          <w:rPr>
            <w:webHidden/>
          </w:rPr>
          <w:instrText xml:space="preserve"> PAGEREF _Toc213772111 \h </w:instrText>
        </w:r>
        <w:r>
          <w:rPr>
            <w:webHidden/>
          </w:rPr>
        </w:r>
        <w:r>
          <w:rPr>
            <w:webHidden/>
          </w:rPr>
          <w:fldChar w:fldCharType="separate"/>
        </w:r>
        <w:r>
          <w:rPr>
            <w:webHidden/>
          </w:rPr>
          <w:t>315</w:t>
        </w:r>
        <w:r>
          <w:rPr>
            <w:webHidden/>
          </w:rPr>
          <w:fldChar w:fldCharType="end"/>
        </w:r>
      </w:hyperlink>
    </w:p>
    <w:p w14:paraId="2839AEE3" w14:textId="0ABCC8F0" w:rsidR="00023ECF" w:rsidRDefault="00023ECF">
      <w:pPr>
        <w:pStyle w:val="TOC4"/>
        <w:rPr>
          <w:rFonts w:asciiTheme="minorHAnsi" w:eastAsiaTheme="minorEastAsia" w:hAnsiTheme="minorHAnsi" w:cstheme="minorBidi"/>
          <w:bCs w:val="0"/>
          <w:kern w:val="2"/>
          <w:szCs w:val="24"/>
          <w14:ligatures w14:val="standardContextual"/>
        </w:rPr>
      </w:pPr>
      <w:hyperlink w:anchor="_Toc213772112" w:history="1">
        <w:r w:rsidRPr="00AC173C">
          <w:rPr>
            <w:rStyle w:val="Hyperlink"/>
          </w:rPr>
          <w:t>11.1.4.2</w:t>
        </w:r>
        <w:r>
          <w:rPr>
            <w:rFonts w:asciiTheme="minorHAnsi" w:eastAsiaTheme="minorEastAsia" w:hAnsiTheme="minorHAnsi" w:cstheme="minorBidi"/>
            <w:bCs w:val="0"/>
            <w:kern w:val="2"/>
            <w:szCs w:val="24"/>
            <w14:ligatures w14:val="standardContextual"/>
          </w:rPr>
          <w:tab/>
        </w:r>
        <w:r w:rsidRPr="00AC173C">
          <w:rPr>
            <w:rStyle w:val="Hyperlink"/>
          </w:rPr>
          <w:t>Monitoring Activities</w:t>
        </w:r>
        <w:r>
          <w:rPr>
            <w:webHidden/>
          </w:rPr>
          <w:tab/>
        </w:r>
        <w:r>
          <w:rPr>
            <w:webHidden/>
          </w:rPr>
          <w:fldChar w:fldCharType="begin"/>
        </w:r>
        <w:r>
          <w:rPr>
            <w:webHidden/>
          </w:rPr>
          <w:instrText xml:space="preserve"> PAGEREF _Toc213772112 \h </w:instrText>
        </w:r>
        <w:r>
          <w:rPr>
            <w:webHidden/>
          </w:rPr>
        </w:r>
        <w:r>
          <w:rPr>
            <w:webHidden/>
          </w:rPr>
          <w:fldChar w:fldCharType="separate"/>
        </w:r>
        <w:r>
          <w:rPr>
            <w:webHidden/>
          </w:rPr>
          <w:t>315</w:t>
        </w:r>
        <w:r>
          <w:rPr>
            <w:webHidden/>
          </w:rPr>
          <w:fldChar w:fldCharType="end"/>
        </w:r>
      </w:hyperlink>
    </w:p>
    <w:p w14:paraId="47F6F4E9" w14:textId="3BC2EBFD" w:rsidR="00023ECF" w:rsidRDefault="00023ECF">
      <w:pPr>
        <w:pStyle w:val="TOC4"/>
        <w:rPr>
          <w:rFonts w:asciiTheme="minorHAnsi" w:eastAsiaTheme="minorEastAsia" w:hAnsiTheme="minorHAnsi" w:cstheme="minorBidi"/>
          <w:bCs w:val="0"/>
          <w:kern w:val="2"/>
          <w:szCs w:val="24"/>
          <w14:ligatures w14:val="standardContextual"/>
        </w:rPr>
      </w:pPr>
      <w:hyperlink w:anchor="_Toc213772113" w:history="1">
        <w:r w:rsidRPr="00AC173C">
          <w:rPr>
            <w:rStyle w:val="Hyperlink"/>
          </w:rPr>
          <w:t>11.1.4.3</w:t>
        </w:r>
        <w:r>
          <w:rPr>
            <w:rFonts w:asciiTheme="minorHAnsi" w:eastAsiaTheme="minorEastAsia" w:hAnsiTheme="minorHAnsi" w:cstheme="minorBidi"/>
            <w:bCs w:val="0"/>
            <w:kern w:val="2"/>
            <w:szCs w:val="24"/>
            <w14:ligatures w14:val="standardContextual"/>
          </w:rPr>
          <w:tab/>
        </w:r>
        <w:r w:rsidRPr="00AC173C">
          <w:rPr>
            <w:rStyle w:val="Hyperlink"/>
          </w:rPr>
          <w:t>Instances of Market Power</w:t>
        </w:r>
        <w:r>
          <w:rPr>
            <w:webHidden/>
          </w:rPr>
          <w:tab/>
        </w:r>
        <w:r>
          <w:rPr>
            <w:webHidden/>
          </w:rPr>
          <w:fldChar w:fldCharType="begin"/>
        </w:r>
        <w:r>
          <w:rPr>
            <w:webHidden/>
          </w:rPr>
          <w:instrText xml:space="preserve"> PAGEREF _Toc213772113 \h </w:instrText>
        </w:r>
        <w:r>
          <w:rPr>
            <w:webHidden/>
          </w:rPr>
        </w:r>
        <w:r>
          <w:rPr>
            <w:webHidden/>
          </w:rPr>
          <w:fldChar w:fldCharType="separate"/>
        </w:r>
        <w:r>
          <w:rPr>
            <w:webHidden/>
          </w:rPr>
          <w:t>317</w:t>
        </w:r>
        <w:r>
          <w:rPr>
            <w:webHidden/>
          </w:rPr>
          <w:fldChar w:fldCharType="end"/>
        </w:r>
      </w:hyperlink>
    </w:p>
    <w:p w14:paraId="681E5C31" w14:textId="2EED87B9" w:rsidR="00023ECF" w:rsidRDefault="00023ECF">
      <w:pPr>
        <w:pStyle w:val="TOC4"/>
        <w:rPr>
          <w:rFonts w:asciiTheme="minorHAnsi" w:eastAsiaTheme="minorEastAsia" w:hAnsiTheme="minorHAnsi" w:cstheme="minorBidi"/>
          <w:bCs w:val="0"/>
          <w:kern w:val="2"/>
          <w:szCs w:val="24"/>
          <w14:ligatures w14:val="standardContextual"/>
        </w:rPr>
      </w:pPr>
      <w:hyperlink w:anchor="_Toc213772114" w:history="1">
        <w:r w:rsidRPr="00AC173C">
          <w:rPr>
            <w:rStyle w:val="Hyperlink"/>
          </w:rPr>
          <w:t>11.1.4.4</w:t>
        </w:r>
        <w:r>
          <w:rPr>
            <w:rFonts w:asciiTheme="minorHAnsi" w:eastAsiaTheme="minorEastAsia" w:hAnsiTheme="minorHAnsi" w:cstheme="minorBidi"/>
            <w:bCs w:val="0"/>
            <w:kern w:val="2"/>
            <w:szCs w:val="24"/>
            <w14:ligatures w14:val="standardContextual"/>
          </w:rPr>
          <w:tab/>
        </w:r>
        <w:r w:rsidRPr="00AC173C">
          <w:rPr>
            <w:rStyle w:val="Hyperlink"/>
          </w:rPr>
          <w:t>Market Participant Behavior Warranting Possible Mitigation</w:t>
        </w:r>
        <w:r>
          <w:rPr>
            <w:webHidden/>
          </w:rPr>
          <w:tab/>
        </w:r>
        <w:r>
          <w:rPr>
            <w:webHidden/>
          </w:rPr>
          <w:fldChar w:fldCharType="begin"/>
        </w:r>
        <w:r>
          <w:rPr>
            <w:webHidden/>
          </w:rPr>
          <w:instrText xml:space="preserve"> PAGEREF _Toc213772114 \h </w:instrText>
        </w:r>
        <w:r>
          <w:rPr>
            <w:webHidden/>
          </w:rPr>
        </w:r>
        <w:r>
          <w:rPr>
            <w:webHidden/>
          </w:rPr>
          <w:fldChar w:fldCharType="separate"/>
        </w:r>
        <w:r>
          <w:rPr>
            <w:webHidden/>
          </w:rPr>
          <w:t>317</w:t>
        </w:r>
        <w:r>
          <w:rPr>
            <w:webHidden/>
          </w:rPr>
          <w:fldChar w:fldCharType="end"/>
        </w:r>
      </w:hyperlink>
    </w:p>
    <w:p w14:paraId="6FC3C3ED" w14:textId="6C63688E" w:rsidR="00023ECF" w:rsidRDefault="00023ECF">
      <w:pPr>
        <w:pStyle w:val="TOC3"/>
        <w:rPr>
          <w:rFonts w:asciiTheme="minorHAnsi" w:eastAsiaTheme="minorEastAsia" w:hAnsiTheme="minorHAnsi" w:cstheme="minorBidi"/>
          <w:bCs w:val="0"/>
          <w:kern w:val="2"/>
          <w:szCs w:val="24"/>
          <w14:ligatures w14:val="standardContextual"/>
        </w:rPr>
      </w:pPr>
      <w:hyperlink w:anchor="_Toc213772115" w:history="1">
        <w:r w:rsidRPr="00AC173C">
          <w:rPr>
            <w:rStyle w:val="Hyperlink"/>
          </w:rPr>
          <w:t>11.1.5</w:t>
        </w:r>
        <w:r>
          <w:rPr>
            <w:rFonts w:asciiTheme="minorHAnsi" w:eastAsiaTheme="minorEastAsia" w:hAnsiTheme="minorHAnsi" w:cstheme="minorBidi"/>
            <w:bCs w:val="0"/>
            <w:kern w:val="2"/>
            <w:szCs w:val="24"/>
            <w14:ligatures w14:val="standardContextual"/>
          </w:rPr>
          <w:tab/>
        </w:r>
        <w:r w:rsidRPr="00AC173C">
          <w:rPr>
            <w:rStyle w:val="Hyperlink"/>
          </w:rPr>
          <w:t>Inquiries</w:t>
        </w:r>
        <w:r>
          <w:rPr>
            <w:webHidden/>
          </w:rPr>
          <w:tab/>
        </w:r>
        <w:r>
          <w:rPr>
            <w:webHidden/>
          </w:rPr>
          <w:fldChar w:fldCharType="begin"/>
        </w:r>
        <w:r>
          <w:rPr>
            <w:webHidden/>
          </w:rPr>
          <w:instrText xml:space="preserve"> PAGEREF _Toc213772115 \h </w:instrText>
        </w:r>
        <w:r>
          <w:rPr>
            <w:webHidden/>
          </w:rPr>
        </w:r>
        <w:r>
          <w:rPr>
            <w:webHidden/>
          </w:rPr>
          <w:fldChar w:fldCharType="separate"/>
        </w:r>
        <w:r>
          <w:rPr>
            <w:webHidden/>
          </w:rPr>
          <w:t>318</w:t>
        </w:r>
        <w:r>
          <w:rPr>
            <w:webHidden/>
          </w:rPr>
          <w:fldChar w:fldCharType="end"/>
        </w:r>
      </w:hyperlink>
    </w:p>
    <w:p w14:paraId="44404C2A" w14:textId="218ABAE4" w:rsidR="00023ECF" w:rsidRDefault="00023ECF">
      <w:pPr>
        <w:pStyle w:val="TOC4"/>
        <w:rPr>
          <w:rFonts w:asciiTheme="minorHAnsi" w:eastAsiaTheme="minorEastAsia" w:hAnsiTheme="minorHAnsi" w:cstheme="minorBidi"/>
          <w:bCs w:val="0"/>
          <w:kern w:val="2"/>
          <w:szCs w:val="24"/>
          <w14:ligatures w14:val="standardContextual"/>
        </w:rPr>
      </w:pPr>
      <w:hyperlink w:anchor="_Toc213772116" w:history="1">
        <w:r w:rsidRPr="00AC173C">
          <w:rPr>
            <w:rStyle w:val="Hyperlink"/>
          </w:rPr>
          <w:t>11.1.5.1</w:t>
        </w:r>
        <w:r>
          <w:rPr>
            <w:rFonts w:asciiTheme="minorHAnsi" w:eastAsiaTheme="minorEastAsia" w:hAnsiTheme="minorHAnsi" w:cstheme="minorBidi"/>
            <w:bCs w:val="0"/>
            <w:kern w:val="2"/>
            <w:szCs w:val="24"/>
            <w14:ligatures w14:val="standardContextual"/>
          </w:rPr>
          <w:tab/>
        </w:r>
        <w:r w:rsidRPr="00AC173C">
          <w:rPr>
            <w:rStyle w:val="Hyperlink"/>
          </w:rPr>
          <w:t>Requests to the Market Monitor Regarding Market Participant Behavior</w:t>
        </w:r>
        <w:r>
          <w:rPr>
            <w:webHidden/>
          </w:rPr>
          <w:tab/>
        </w:r>
        <w:r>
          <w:rPr>
            <w:webHidden/>
          </w:rPr>
          <w:fldChar w:fldCharType="begin"/>
        </w:r>
        <w:r>
          <w:rPr>
            <w:webHidden/>
          </w:rPr>
          <w:instrText xml:space="preserve"> PAGEREF _Toc213772116 \h </w:instrText>
        </w:r>
        <w:r>
          <w:rPr>
            <w:webHidden/>
          </w:rPr>
        </w:r>
        <w:r>
          <w:rPr>
            <w:webHidden/>
          </w:rPr>
          <w:fldChar w:fldCharType="separate"/>
        </w:r>
        <w:r>
          <w:rPr>
            <w:webHidden/>
          </w:rPr>
          <w:t>318</w:t>
        </w:r>
        <w:r>
          <w:rPr>
            <w:webHidden/>
          </w:rPr>
          <w:fldChar w:fldCharType="end"/>
        </w:r>
      </w:hyperlink>
    </w:p>
    <w:p w14:paraId="71B6C4D7" w14:textId="7884C42B" w:rsidR="00023ECF" w:rsidRDefault="00023ECF">
      <w:pPr>
        <w:pStyle w:val="TOC3"/>
        <w:rPr>
          <w:rFonts w:asciiTheme="minorHAnsi" w:eastAsiaTheme="minorEastAsia" w:hAnsiTheme="minorHAnsi" w:cstheme="minorBidi"/>
          <w:bCs w:val="0"/>
          <w:kern w:val="2"/>
          <w:szCs w:val="24"/>
          <w14:ligatures w14:val="standardContextual"/>
        </w:rPr>
      </w:pPr>
      <w:hyperlink w:anchor="_Toc213772117" w:history="1">
        <w:r w:rsidRPr="00AC173C">
          <w:rPr>
            <w:rStyle w:val="Hyperlink"/>
          </w:rPr>
          <w:t>11.1.6</w:t>
        </w:r>
        <w:r>
          <w:rPr>
            <w:rFonts w:asciiTheme="minorHAnsi" w:eastAsiaTheme="minorEastAsia" w:hAnsiTheme="minorHAnsi" w:cstheme="minorBidi"/>
            <w:bCs w:val="0"/>
            <w:kern w:val="2"/>
            <w:szCs w:val="24"/>
            <w14:ligatures w14:val="standardContextual"/>
          </w:rPr>
          <w:tab/>
        </w:r>
        <w:r w:rsidRPr="00AC173C">
          <w:rPr>
            <w:rStyle w:val="Hyperlink"/>
          </w:rPr>
          <w:t>Compliance and Corrective Actions</w:t>
        </w:r>
        <w:r>
          <w:rPr>
            <w:webHidden/>
          </w:rPr>
          <w:tab/>
        </w:r>
        <w:r>
          <w:rPr>
            <w:webHidden/>
          </w:rPr>
          <w:fldChar w:fldCharType="begin"/>
        </w:r>
        <w:r>
          <w:rPr>
            <w:webHidden/>
          </w:rPr>
          <w:instrText xml:space="preserve"> PAGEREF _Toc213772117 \h </w:instrText>
        </w:r>
        <w:r>
          <w:rPr>
            <w:webHidden/>
          </w:rPr>
        </w:r>
        <w:r>
          <w:rPr>
            <w:webHidden/>
          </w:rPr>
          <w:fldChar w:fldCharType="separate"/>
        </w:r>
        <w:r>
          <w:rPr>
            <w:webHidden/>
          </w:rPr>
          <w:t>319</w:t>
        </w:r>
        <w:r>
          <w:rPr>
            <w:webHidden/>
          </w:rPr>
          <w:fldChar w:fldCharType="end"/>
        </w:r>
      </w:hyperlink>
    </w:p>
    <w:p w14:paraId="0BAA674B" w14:textId="320BE2D2" w:rsidR="00023ECF" w:rsidRDefault="00023ECF">
      <w:pPr>
        <w:pStyle w:val="TOC4"/>
        <w:rPr>
          <w:rFonts w:asciiTheme="minorHAnsi" w:eastAsiaTheme="minorEastAsia" w:hAnsiTheme="minorHAnsi" w:cstheme="minorBidi"/>
          <w:bCs w:val="0"/>
          <w:kern w:val="2"/>
          <w:szCs w:val="24"/>
          <w14:ligatures w14:val="standardContextual"/>
        </w:rPr>
      </w:pPr>
      <w:hyperlink w:anchor="_Toc213772118" w:history="1">
        <w:r w:rsidRPr="00AC173C">
          <w:rPr>
            <w:rStyle w:val="Hyperlink"/>
          </w:rPr>
          <w:t>11.1.6.1</w:t>
        </w:r>
        <w:r>
          <w:rPr>
            <w:rFonts w:asciiTheme="minorHAnsi" w:eastAsiaTheme="minorEastAsia" w:hAnsiTheme="minorHAnsi" w:cstheme="minorBidi"/>
            <w:bCs w:val="0"/>
            <w:kern w:val="2"/>
            <w:szCs w:val="24"/>
            <w14:ligatures w14:val="standardContextual"/>
          </w:rPr>
          <w:tab/>
        </w:r>
        <w:r w:rsidRPr="00AC173C">
          <w:rPr>
            <w:rStyle w:val="Hyperlink"/>
          </w:rPr>
          <w:t>Compliance</w:t>
        </w:r>
        <w:r>
          <w:rPr>
            <w:webHidden/>
          </w:rPr>
          <w:tab/>
        </w:r>
        <w:r>
          <w:rPr>
            <w:webHidden/>
          </w:rPr>
          <w:fldChar w:fldCharType="begin"/>
        </w:r>
        <w:r>
          <w:rPr>
            <w:webHidden/>
          </w:rPr>
          <w:instrText xml:space="preserve"> PAGEREF _Toc213772118 \h </w:instrText>
        </w:r>
        <w:r>
          <w:rPr>
            <w:webHidden/>
          </w:rPr>
        </w:r>
        <w:r>
          <w:rPr>
            <w:webHidden/>
          </w:rPr>
          <w:fldChar w:fldCharType="separate"/>
        </w:r>
        <w:r>
          <w:rPr>
            <w:webHidden/>
          </w:rPr>
          <w:t>319</w:t>
        </w:r>
        <w:r>
          <w:rPr>
            <w:webHidden/>
          </w:rPr>
          <w:fldChar w:fldCharType="end"/>
        </w:r>
      </w:hyperlink>
    </w:p>
    <w:p w14:paraId="23494D0A" w14:textId="3C6F2C35" w:rsidR="00023ECF" w:rsidRDefault="00023ECF">
      <w:pPr>
        <w:pStyle w:val="TOC4"/>
        <w:rPr>
          <w:rFonts w:asciiTheme="minorHAnsi" w:eastAsiaTheme="minorEastAsia" w:hAnsiTheme="minorHAnsi" w:cstheme="minorBidi"/>
          <w:bCs w:val="0"/>
          <w:kern w:val="2"/>
          <w:szCs w:val="24"/>
          <w14:ligatures w14:val="standardContextual"/>
        </w:rPr>
      </w:pPr>
      <w:hyperlink w:anchor="_Toc213772119" w:history="1">
        <w:r w:rsidRPr="00AC173C">
          <w:rPr>
            <w:rStyle w:val="Hyperlink"/>
          </w:rPr>
          <w:t>11.1.6.2</w:t>
        </w:r>
        <w:r>
          <w:rPr>
            <w:rFonts w:asciiTheme="minorHAnsi" w:eastAsiaTheme="minorEastAsia" w:hAnsiTheme="minorHAnsi" w:cstheme="minorBidi"/>
            <w:bCs w:val="0"/>
            <w:kern w:val="2"/>
            <w:szCs w:val="24"/>
            <w14:ligatures w14:val="standardContextual"/>
          </w:rPr>
          <w:tab/>
        </w:r>
        <w:r w:rsidRPr="00AC173C">
          <w:rPr>
            <w:rStyle w:val="Hyperlink"/>
          </w:rPr>
          <w:t>Corrective Actions for Market Design</w:t>
        </w:r>
        <w:r>
          <w:rPr>
            <w:webHidden/>
          </w:rPr>
          <w:tab/>
        </w:r>
        <w:r>
          <w:rPr>
            <w:webHidden/>
          </w:rPr>
          <w:fldChar w:fldCharType="begin"/>
        </w:r>
        <w:r>
          <w:rPr>
            <w:webHidden/>
          </w:rPr>
          <w:instrText xml:space="preserve"> PAGEREF _Toc213772119 \h </w:instrText>
        </w:r>
        <w:r>
          <w:rPr>
            <w:webHidden/>
          </w:rPr>
        </w:r>
        <w:r>
          <w:rPr>
            <w:webHidden/>
          </w:rPr>
          <w:fldChar w:fldCharType="separate"/>
        </w:r>
        <w:r>
          <w:rPr>
            <w:webHidden/>
          </w:rPr>
          <w:t>320</w:t>
        </w:r>
        <w:r>
          <w:rPr>
            <w:webHidden/>
          </w:rPr>
          <w:fldChar w:fldCharType="end"/>
        </w:r>
      </w:hyperlink>
    </w:p>
    <w:p w14:paraId="4E1D333A" w14:textId="5F1EBC93" w:rsidR="00023ECF" w:rsidRDefault="00023ECF">
      <w:pPr>
        <w:pStyle w:val="TOC3"/>
        <w:rPr>
          <w:rFonts w:asciiTheme="minorHAnsi" w:eastAsiaTheme="minorEastAsia" w:hAnsiTheme="minorHAnsi" w:cstheme="minorBidi"/>
          <w:bCs w:val="0"/>
          <w:kern w:val="2"/>
          <w:szCs w:val="24"/>
          <w14:ligatures w14:val="standardContextual"/>
        </w:rPr>
      </w:pPr>
      <w:hyperlink w:anchor="_Toc213772120" w:history="1">
        <w:r w:rsidRPr="00AC173C">
          <w:rPr>
            <w:rStyle w:val="Hyperlink"/>
          </w:rPr>
          <w:t>11.1.7</w:t>
        </w:r>
        <w:r>
          <w:rPr>
            <w:rFonts w:asciiTheme="minorHAnsi" w:eastAsiaTheme="minorEastAsia" w:hAnsiTheme="minorHAnsi" w:cstheme="minorBidi"/>
            <w:bCs w:val="0"/>
            <w:kern w:val="2"/>
            <w:szCs w:val="24"/>
            <w14:ligatures w14:val="standardContextual"/>
          </w:rPr>
          <w:tab/>
        </w:r>
        <w:r w:rsidRPr="00AC173C">
          <w:rPr>
            <w:rStyle w:val="Hyperlink"/>
          </w:rPr>
          <w:t>Market Monitor Reporting Requirements</w:t>
        </w:r>
        <w:r>
          <w:rPr>
            <w:webHidden/>
          </w:rPr>
          <w:tab/>
        </w:r>
        <w:r>
          <w:rPr>
            <w:webHidden/>
          </w:rPr>
          <w:fldChar w:fldCharType="begin"/>
        </w:r>
        <w:r>
          <w:rPr>
            <w:webHidden/>
          </w:rPr>
          <w:instrText xml:space="preserve"> PAGEREF _Toc213772120 \h </w:instrText>
        </w:r>
        <w:r>
          <w:rPr>
            <w:webHidden/>
          </w:rPr>
        </w:r>
        <w:r>
          <w:rPr>
            <w:webHidden/>
          </w:rPr>
          <w:fldChar w:fldCharType="separate"/>
        </w:r>
        <w:r>
          <w:rPr>
            <w:webHidden/>
          </w:rPr>
          <w:t>321</w:t>
        </w:r>
        <w:r>
          <w:rPr>
            <w:webHidden/>
          </w:rPr>
          <w:fldChar w:fldCharType="end"/>
        </w:r>
      </w:hyperlink>
    </w:p>
    <w:p w14:paraId="5143138F" w14:textId="4B2BF1A1" w:rsidR="00023ECF" w:rsidRDefault="00023ECF">
      <w:pPr>
        <w:pStyle w:val="TOC4"/>
        <w:rPr>
          <w:rFonts w:asciiTheme="minorHAnsi" w:eastAsiaTheme="minorEastAsia" w:hAnsiTheme="minorHAnsi" w:cstheme="minorBidi"/>
          <w:bCs w:val="0"/>
          <w:kern w:val="2"/>
          <w:szCs w:val="24"/>
          <w14:ligatures w14:val="standardContextual"/>
        </w:rPr>
      </w:pPr>
      <w:hyperlink w:anchor="_Toc213772121" w:history="1">
        <w:r w:rsidRPr="00AC173C">
          <w:rPr>
            <w:rStyle w:val="Hyperlink"/>
          </w:rPr>
          <w:t>11.1.7.1</w:t>
        </w:r>
        <w:r>
          <w:rPr>
            <w:rFonts w:asciiTheme="minorHAnsi" w:eastAsiaTheme="minorEastAsia" w:hAnsiTheme="minorHAnsi" w:cstheme="minorBidi"/>
            <w:bCs w:val="0"/>
            <w:kern w:val="2"/>
            <w:szCs w:val="24"/>
            <w14:ligatures w14:val="standardContextual"/>
          </w:rPr>
          <w:tab/>
        </w:r>
        <w:r w:rsidRPr="00AC173C">
          <w:rPr>
            <w:rStyle w:val="Hyperlink"/>
          </w:rPr>
          <w:t>Annual State of the Market Report</w:t>
        </w:r>
        <w:r>
          <w:rPr>
            <w:webHidden/>
          </w:rPr>
          <w:tab/>
        </w:r>
        <w:r>
          <w:rPr>
            <w:webHidden/>
          </w:rPr>
          <w:fldChar w:fldCharType="begin"/>
        </w:r>
        <w:r>
          <w:rPr>
            <w:webHidden/>
          </w:rPr>
          <w:instrText xml:space="preserve"> PAGEREF _Toc213772121 \h </w:instrText>
        </w:r>
        <w:r>
          <w:rPr>
            <w:webHidden/>
          </w:rPr>
        </w:r>
        <w:r>
          <w:rPr>
            <w:webHidden/>
          </w:rPr>
          <w:fldChar w:fldCharType="separate"/>
        </w:r>
        <w:r>
          <w:rPr>
            <w:webHidden/>
          </w:rPr>
          <w:t>321</w:t>
        </w:r>
        <w:r>
          <w:rPr>
            <w:webHidden/>
          </w:rPr>
          <w:fldChar w:fldCharType="end"/>
        </w:r>
      </w:hyperlink>
    </w:p>
    <w:p w14:paraId="15522679" w14:textId="3CA3B593" w:rsidR="00023ECF" w:rsidRDefault="00023ECF">
      <w:pPr>
        <w:pStyle w:val="TOC4"/>
        <w:rPr>
          <w:rFonts w:asciiTheme="minorHAnsi" w:eastAsiaTheme="minorEastAsia" w:hAnsiTheme="minorHAnsi" w:cstheme="minorBidi"/>
          <w:bCs w:val="0"/>
          <w:kern w:val="2"/>
          <w:szCs w:val="24"/>
          <w14:ligatures w14:val="standardContextual"/>
        </w:rPr>
      </w:pPr>
      <w:hyperlink w:anchor="_Toc213772122" w:history="1">
        <w:r w:rsidRPr="00AC173C">
          <w:rPr>
            <w:rStyle w:val="Hyperlink"/>
          </w:rPr>
          <w:t>11.1.7.2</w:t>
        </w:r>
        <w:r>
          <w:rPr>
            <w:rFonts w:asciiTheme="minorHAnsi" w:eastAsiaTheme="minorEastAsia" w:hAnsiTheme="minorHAnsi" w:cstheme="minorBidi"/>
            <w:bCs w:val="0"/>
            <w:kern w:val="2"/>
            <w:szCs w:val="24"/>
            <w14:ligatures w14:val="standardContextual"/>
          </w:rPr>
          <w:tab/>
        </w:r>
        <w:r w:rsidRPr="00AC173C">
          <w:rPr>
            <w:rStyle w:val="Hyperlink"/>
          </w:rPr>
          <w:t>Quarterly State of the Market Report</w:t>
        </w:r>
        <w:r>
          <w:rPr>
            <w:webHidden/>
          </w:rPr>
          <w:tab/>
        </w:r>
        <w:r>
          <w:rPr>
            <w:webHidden/>
          </w:rPr>
          <w:fldChar w:fldCharType="begin"/>
        </w:r>
        <w:r>
          <w:rPr>
            <w:webHidden/>
          </w:rPr>
          <w:instrText xml:space="preserve"> PAGEREF _Toc213772122 \h </w:instrText>
        </w:r>
        <w:r>
          <w:rPr>
            <w:webHidden/>
          </w:rPr>
        </w:r>
        <w:r>
          <w:rPr>
            <w:webHidden/>
          </w:rPr>
          <w:fldChar w:fldCharType="separate"/>
        </w:r>
        <w:r>
          <w:rPr>
            <w:webHidden/>
          </w:rPr>
          <w:t>321</w:t>
        </w:r>
        <w:r>
          <w:rPr>
            <w:webHidden/>
          </w:rPr>
          <w:fldChar w:fldCharType="end"/>
        </w:r>
      </w:hyperlink>
    </w:p>
    <w:p w14:paraId="0B9ABB6A" w14:textId="24D11E8C" w:rsidR="00023ECF" w:rsidRDefault="00023ECF">
      <w:pPr>
        <w:pStyle w:val="TOC4"/>
        <w:rPr>
          <w:rFonts w:asciiTheme="minorHAnsi" w:eastAsiaTheme="minorEastAsia" w:hAnsiTheme="minorHAnsi" w:cstheme="minorBidi"/>
          <w:bCs w:val="0"/>
          <w:kern w:val="2"/>
          <w:szCs w:val="24"/>
          <w14:ligatures w14:val="standardContextual"/>
        </w:rPr>
      </w:pPr>
      <w:hyperlink w:anchor="_Toc213772123" w:history="1">
        <w:r w:rsidRPr="00AC173C">
          <w:rPr>
            <w:rStyle w:val="Hyperlink"/>
          </w:rPr>
          <w:t>11.1.7.3</w:t>
        </w:r>
        <w:r>
          <w:rPr>
            <w:rFonts w:asciiTheme="minorHAnsi" w:eastAsiaTheme="minorEastAsia" w:hAnsiTheme="minorHAnsi" w:cstheme="minorBidi"/>
            <w:bCs w:val="0"/>
            <w:kern w:val="2"/>
            <w:szCs w:val="24"/>
            <w14:ligatures w14:val="standardContextual"/>
          </w:rPr>
          <w:tab/>
        </w:r>
        <w:r w:rsidRPr="00AC173C">
          <w:rPr>
            <w:rStyle w:val="Hyperlink"/>
          </w:rPr>
          <w:t>Monthly Report</w:t>
        </w:r>
        <w:r>
          <w:rPr>
            <w:webHidden/>
          </w:rPr>
          <w:tab/>
        </w:r>
        <w:r>
          <w:rPr>
            <w:webHidden/>
          </w:rPr>
          <w:fldChar w:fldCharType="begin"/>
        </w:r>
        <w:r>
          <w:rPr>
            <w:webHidden/>
          </w:rPr>
          <w:instrText xml:space="preserve"> PAGEREF _Toc213772123 \h </w:instrText>
        </w:r>
        <w:r>
          <w:rPr>
            <w:webHidden/>
          </w:rPr>
        </w:r>
        <w:r>
          <w:rPr>
            <w:webHidden/>
          </w:rPr>
          <w:fldChar w:fldCharType="separate"/>
        </w:r>
        <w:r>
          <w:rPr>
            <w:webHidden/>
          </w:rPr>
          <w:t>322</w:t>
        </w:r>
        <w:r>
          <w:rPr>
            <w:webHidden/>
          </w:rPr>
          <w:fldChar w:fldCharType="end"/>
        </w:r>
      </w:hyperlink>
    </w:p>
    <w:p w14:paraId="4A14819D" w14:textId="266BD74B" w:rsidR="00023ECF" w:rsidRDefault="00023ECF">
      <w:pPr>
        <w:pStyle w:val="TOC4"/>
        <w:rPr>
          <w:rFonts w:asciiTheme="minorHAnsi" w:eastAsiaTheme="minorEastAsia" w:hAnsiTheme="minorHAnsi" w:cstheme="minorBidi"/>
          <w:bCs w:val="0"/>
          <w:kern w:val="2"/>
          <w:szCs w:val="24"/>
          <w14:ligatures w14:val="standardContextual"/>
        </w:rPr>
      </w:pPr>
      <w:hyperlink w:anchor="_Toc213772124" w:history="1">
        <w:r w:rsidRPr="00AC173C">
          <w:rPr>
            <w:rStyle w:val="Hyperlink"/>
          </w:rPr>
          <w:t>11.1.7.4</w:t>
        </w:r>
        <w:r>
          <w:rPr>
            <w:rFonts w:asciiTheme="minorHAnsi" w:eastAsiaTheme="minorEastAsia" w:hAnsiTheme="minorHAnsi" w:cstheme="minorBidi"/>
            <w:bCs w:val="0"/>
            <w:kern w:val="2"/>
            <w:szCs w:val="24"/>
            <w14:ligatures w14:val="standardContextual"/>
          </w:rPr>
          <w:tab/>
        </w:r>
        <w:r w:rsidRPr="00AC173C">
          <w:rPr>
            <w:rStyle w:val="Hyperlink"/>
          </w:rPr>
          <w:t>Report Comments</w:t>
        </w:r>
        <w:r>
          <w:rPr>
            <w:webHidden/>
          </w:rPr>
          <w:tab/>
        </w:r>
        <w:r>
          <w:rPr>
            <w:webHidden/>
          </w:rPr>
          <w:fldChar w:fldCharType="begin"/>
        </w:r>
        <w:r>
          <w:rPr>
            <w:webHidden/>
          </w:rPr>
          <w:instrText xml:space="preserve"> PAGEREF _Toc213772124 \h </w:instrText>
        </w:r>
        <w:r>
          <w:rPr>
            <w:webHidden/>
          </w:rPr>
        </w:r>
        <w:r>
          <w:rPr>
            <w:webHidden/>
          </w:rPr>
          <w:fldChar w:fldCharType="separate"/>
        </w:r>
        <w:r>
          <w:rPr>
            <w:webHidden/>
          </w:rPr>
          <w:t>322</w:t>
        </w:r>
        <w:r>
          <w:rPr>
            <w:webHidden/>
          </w:rPr>
          <w:fldChar w:fldCharType="end"/>
        </w:r>
      </w:hyperlink>
    </w:p>
    <w:p w14:paraId="0FBD2F0B" w14:textId="3237C600" w:rsidR="00023ECF" w:rsidRDefault="00023ECF">
      <w:pPr>
        <w:pStyle w:val="TOC4"/>
        <w:rPr>
          <w:rFonts w:asciiTheme="minorHAnsi" w:eastAsiaTheme="minorEastAsia" w:hAnsiTheme="minorHAnsi" w:cstheme="minorBidi"/>
          <w:bCs w:val="0"/>
          <w:kern w:val="2"/>
          <w:szCs w:val="24"/>
          <w14:ligatures w14:val="standardContextual"/>
        </w:rPr>
      </w:pPr>
      <w:hyperlink w:anchor="_Toc213772125" w:history="1">
        <w:r w:rsidRPr="00AC173C">
          <w:rPr>
            <w:rStyle w:val="Hyperlink"/>
          </w:rPr>
          <w:t>11.1.7.5</w:t>
        </w:r>
        <w:r>
          <w:rPr>
            <w:rFonts w:asciiTheme="minorHAnsi" w:eastAsiaTheme="minorEastAsia" w:hAnsiTheme="minorHAnsi" w:cstheme="minorBidi"/>
            <w:bCs w:val="0"/>
            <w:kern w:val="2"/>
            <w:szCs w:val="24"/>
            <w14:ligatures w14:val="standardContextual"/>
          </w:rPr>
          <w:tab/>
        </w:r>
        <w:r w:rsidRPr="00AC173C">
          <w:rPr>
            <w:rStyle w:val="Hyperlink"/>
          </w:rPr>
          <w:t>Communication of Market Monitoring Reports</w:t>
        </w:r>
        <w:r>
          <w:rPr>
            <w:webHidden/>
          </w:rPr>
          <w:tab/>
        </w:r>
        <w:r>
          <w:rPr>
            <w:webHidden/>
          </w:rPr>
          <w:fldChar w:fldCharType="begin"/>
        </w:r>
        <w:r>
          <w:rPr>
            <w:webHidden/>
          </w:rPr>
          <w:instrText xml:space="preserve"> PAGEREF _Toc213772125 \h </w:instrText>
        </w:r>
        <w:r>
          <w:rPr>
            <w:webHidden/>
          </w:rPr>
        </w:r>
        <w:r>
          <w:rPr>
            <w:webHidden/>
          </w:rPr>
          <w:fldChar w:fldCharType="separate"/>
        </w:r>
        <w:r>
          <w:rPr>
            <w:webHidden/>
          </w:rPr>
          <w:t>322</w:t>
        </w:r>
        <w:r>
          <w:rPr>
            <w:webHidden/>
          </w:rPr>
          <w:fldChar w:fldCharType="end"/>
        </w:r>
      </w:hyperlink>
    </w:p>
    <w:p w14:paraId="67C265A7" w14:textId="2AAD644C" w:rsidR="00023ECF" w:rsidRDefault="00023ECF">
      <w:pPr>
        <w:pStyle w:val="TOC4"/>
        <w:rPr>
          <w:rFonts w:asciiTheme="minorHAnsi" w:eastAsiaTheme="minorEastAsia" w:hAnsiTheme="minorHAnsi" w:cstheme="minorBidi"/>
          <w:bCs w:val="0"/>
          <w:kern w:val="2"/>
          <w:szCs w:val="24"/>
          <w14:ligatures w14:val="standardContextual"/>
        </w:rPr>
      </w:pPr>
      <w:hyperlink w:anchor="_Toc213772126" w:history="1">
        <w:r w:rsidRPr="00AC173C">
          <w:rPr>
            <w:rStyle w:val="Hyperlink"/>
          </w:rPr>
          <w:t>11.1.7.6</w:t>
        </w:r>
        <w:r>
          <w:rPr>
            <w:rFonts w:asciiTheme="minorHAnsi" w:eastAsiaTheme="minorEastAsia" w:hAnsiTheme="minorHAnsi" w:cstheme="minorBidi"/>
            <w:bCs w:val="0"/>
            <w:kern w:val="2"/>
            <w:szCs w:val="24"/>
            <w14:ligatures w14:val="standardContextual"/>
          </w:rPr>
          <w:tab/>
        </w:r>
        <w:r w:rsidRPr="00AC173C">
          <w:rPr>
            <w:rStyle w:val="Hyperlink"/>
          </w:rPr>
          <w:t>Other Reports</w:t>
        </w:r>
        <w:r>
          <w:rPr>
            <w:webHidden/>
          </w:rPr>
          <w:tab/>
        </w:r>
        <w:r>
          <w:rPr>
            <w:webHidden/>
          </w:rPr>
          <w:fldChar w:fldCharType="begin"/>
        </w:r>
        <w:r>
          <w:rPr>
            <w:webHidden/>
          </w:rPr>
          <w:instrText xml:space="preserve"> PAGEREF _Toc213772126 \h </w:instrText>
        </w:r>
        <w:r>
          <w:rPr>
            <w:webHidden/>
          </w:rPr>
        </w:r>
        <w:r>
          <w:rPr>
            <w:webHidden/>
          </w:rPr>
          <w:fldChar w:fldCharType="separate"/>
        </w:r>
        <w:r>
          <w:rPr>
            <w:webHidden/>
          </w:rPr>
          <w:t>322</w:t>
        </w:r>
        <w:r>
          <w:rPr>
            <w:webHidden/>
          </w:rPr>
          <w:fldChar w:fldCharType="end"/>
        </w:r>
      </w:hyperlink>
    </w:p>
    <w:p w14:paraId="27C29B66" w14:textId="2C3F8278" w:rsidR="00023ECF" w:rsidRDefault="00023ECF">
      <w:pPr>
        <w:pStyle w:val="TOC3"/>
        <w:rPr>
          <w:rFonts w:asciiTheme="minorHAnsi" w:eastAsiaTheme="minorEastAsia" w:hAnsiTheme="minorHAnsi" w:cstheme="minorBidi"/>
          <w:bCs w:val="0"/>
          <w:kern w:val="2"/>
          <w:szCs w:val="24"/>
          <w14:ligatures w14:val="standardContextual"/>
        </w:rPr>
      </w:pPr>
      <w:hyperlink w:anchor="_Toc213772127" w:history="1">
        <w:r w:rsidRPr="00AC173C">
          <w:rPr>
            <w:rStyle w:val="Hyperlink"/>
          </w:rPr>
          <w:t>11.1.8</w:t>
        </w:r>
        <w:r>
          <w:rPr>
            <w:rFonts w:asciiTheme="minorHAnsi" w:eastAsiaTheme="minorEastAsia" w:hAnsiTheme="minorHAnsi" w:cstheme="minorBidi"/>
            <w:bCs w:val="0"/>
            <w:kern w:val="2"/>
            <w:szCs w:val="24"/>
            <w14:ligatures w14:val="standardContextual"/>
          </w:rPr>
          <w:tab/>
        </w:r>
        <w:r w:rsidRPr="00AC173C">
          <w:rPr>
            <w:rStyle w:val="Hyperlink"/>
          </w:rPr>
          <w:t>Referrals to FERC</w:t>
        </w:r>
        <w:r>
          <w:rPr>
            <w:webHidden/>
          </w:rPr>
          <w:tab/>
        </w:r>
        <w:r>
          <w:rPr>
            <w:webHidden/>
          </w:rPr>
          <w:fldChar w:fldCharType="begin"/>
        </w:r>
        <w:r>
          <w:rPr>
            <w:webHidden/>
          </w:rPr>
          <w:instrText xml:space="preserve"> PAGEREF _Toc213772127 \h </w:instrText>
        </w:r>
        <w:r>
          <w:rPr>
            <w:webHidden/>
          </w:rPr>
        </w:r>
        <w:r>
          <w:rPr>
            <w:webHidden/>
          </w:rPr>
          <w:fldChar w:fldCharType="separate"/>
        </w:r>
        <w:r>
          <w:rPr>
            <w:webHidden/>
          </w:rPr>
          <w:t>322</w:t>
        </w:r>
        <w:r>
          <w:rPr>
            <w:webHidden/>
          </w:rPr>
          <w:fldChar w:fldCharType="end"/>
        </w:r>
      </w:hyperlink>
    </w:p>
    <w:p w14:paraId="6FD068D3" w14:textId="25C07E47" w:rsidR="00023ECF" w:rsidRDefault="00023ECF">
      <w:pPr>
        <w:pStyle w:val="TOC3"/>
        <w:rPr>
          <w:rFonts w:asciiTheme="minorHAnsi" w:eastAsiaTheme="minorEastAsia" w:hAnsiTheme="minorHAnsi" w:cstheme="minorBidi"/>
          <w:bCs w:val="0"/>
          <w:kern w:val="2"/>
          <w:szCs w:val="24"/>
          <w14:ligatures w14:val="standardContextual"/>
        </w:rPr>
      </w:pPr>
      <w:hyperlink w:anchor="_Toc213772128" w:history="1">
        <w:r w:rsidRPr="00AC173C">
          <w:rPr>
            <w:rStyle w:val="Hyperlink"/>
          </w:rPr>
          <w:t>11.1.9</w:t>
        </w:r>
        <w:r>
          <w:rPr>
            <w:rFonts w:asciiTheme="minorHAnsi" w:eastAsiaTheme="minorEastAsia" w:hAnsiTheme="minorHAnsi" w:cstheme="minorBidi"/>
            <w:bCs w:val="0"/>
            <w:kern w:val="2"/>
            <w:szCs w:val="24"/>
            <w14:ligatures w14:val="standardContextual"/>
          </w:rPr>
          <w:tab/>
        </w:r>
        <w:r w:rsidRPr="00AC173C">
          <w:rPr>
            <w:rStyle w:val="Hyperlink"/>
          </w:rPr>
          <w:t>Market Manipulation</w:t>
        </w:r>
        <w:r>
          <w:rPr>
            <w:webHidden/>
          </w:rPr>
          <w:tab/>
        </w:r>
        <w:r>
          <w:rPr>
            <w:webHidden/>
          </w:rPr>
          <w:fldChar w:fldCharType="begin"/>
        </w:r>
        <w:r>
          <w:rPr>
            <w:webHidden/>
          </w:rPr>
          <w:instrText xml:space="preserve"> PAGEREF _Toc213772128 \h </w:instrText>
        </w:r>
        <w:r>
          <w:rPr>
            <w:webHidden/>
          </w:rPr>
        </w:r>
        <w:r>
          <w:rPr>
            <w:webHidden/>
          </w:rPr>
          <w:fldChar w:fldCharType="separate"/>
        </w:r>
        <w:r>
          <w:rPr>
            <w:webHidden/>
          </w:rPr>
          <w:t>323</w:t>
        </w:r>
        <w:r>
          <w:rPr>
            <w:webHidden/>
          </w:rPr>
          <w:fldChar w:fldCharType="end"/>
        </w:r>
      </w:hyperlink>
    </w:p>
    <w:p w14:paraId="29525F83" w14:textId="2E81DC46" w:rsidR="00023ECF" w:rsidRDefault="00023ECF">
      <w:pPr>
        <w:pStyle w:val="TOC3"/>
        <w:tabs>
          <w:tab w:val="left" w:pos="1447"/>
        </w:tabs>
        <w:rPr>
          <w:rFonts w:asciiTheme="minorHAnsi" w:eastAsiaTheme="minorEastAsia" w:hAnsiTheme="minorHAnsi" w:cstheme="minorBidi"/>
          <w:bCs w:val="0"/>
          <w:kern w:val="2"/>
          <w:szCs w:val="24"/>
          <w14:ligatures w14:val="standardContextual"/>
        </w:rPr>
      </w:pPr>
      <w:hyperlink w:anchor="_Toc213772129" w:history="1">
        <w:r w:rsidRPr="00AC173C">
          <w:rPr>
            <w:rStyle w:val="Hyperlink"/>
          </w:rPr>
          <w:t>11.1.10</w:t>
        </w:r>
        <w:r>
          <w:rPr>
            <w:rFonts w:asciiTheme="minorHAnsi" w:eastAsiaTheme="minorEastAsia" w:hAnsiTheme="minorHAnsi" w:cstheme="minorBidi"/>
            <w:bCs w:val="0"/>
            <w:kern w:val="2"/>
            <w:szCs w:val="24"/>
            <w14:ligatures w14:val="standardContextual"/>
          </w:rPr>
          <w:tab/>
        </w:r>
        <w:r w:rsidRPr="00AC173C">
          <w:rPr>
            <w:rStyle w:val="Hyperlink"/>
          </w:rPr>
          <w:t>Monitoring for Potential Transmission Market Power Activities</w:t>
        </w:r>
        <w:r>
          <w:rPr>
            <w:webHidden/>
          </w:rPr>
          <w:tab/>
        </w:r>
        <w:r>
          <w:rPr>
            <w:webHidden/>
          </w:rPr>
          <w:fldChar w:fldCharType="begin"/>
        </w:r>
        <w:r>
          <w:rPr>
            <w:webHidden/>
          </w:rPr>
          <w:instrText xml:space="preserve"> PAGEREF _Toc213772129 \h </w:instrText>
        </w:r>
        <w:r>
          <w:rPr>
            <w:webHidden/>
          </w:rPr>
        </w:r>
        <w:r>
          <w:rPr>
            <w:webHidden/>
          </w:rPr>
          <w:fldChar w:fldCharType="separate"/>
        </w:r>
        <w:r>
          <w:rPr>
            <w:webHidden/>
          </w:rPr>
          <w:t>323</w:t>
        </w:r>
        <w:r>
          <w:rPr>
            <w:webHidden/>
          </w:rPr>
          <w:fldChar w:fldCharType="end"/>
        </w:r>
      </w:hyperlink>
    </w:p>
    <w:p w14:paraId="5826FDFA" w14:textId="6C03B79B" w:rsidR="00023ECF" w:rsidRDefault="00023ECF">
      <w:pPr>
        <w:pStyle w:val="TOC3"/>
        <w:tabs>
          <w:tab w:val="left" w:pos="1447"/>
        </w:tabs>
        <w:rPr>
          <w:rFonts w:asciiTheme="minorHAnsi" w:eastAsiaTheme="minorEastAsia" w:hAnsiTheme="minorHAnsi" w:cstheme="minorBidi"/>
          <w:bCs w:val="0"/>
          <w:kern w:val="2"/>
          <w:szCs w:val="24"/>
          <w14:ligatures w14:val="standardContextual"/>
        </w:rPr>
      </w:pPr>
      <w:hyperlink w:anchor="_Toc213772130" w:history="1">
        <w:r w:rsidRPr="00AC173C">
          <w:rPr>
            <w:rStyle w:val="Hyperlink"/>
          </w:rPr>
          <w:t>11.1.11</w:t>
        </w:r>
        <w:r>
          <w:rPr>
            <w:rFonts w:asciiTheme="minorHAnsi" w:eastAsiaTheme="minorEastAsia" w:hAnsiTheme="minorHAnsi" w:cstheme="minorBidi"/>
            <w:bCs w:val="0"/>
            <w:kern w:val="2"/>
            <w:szCs w:val="24"/>
            <w14:ligatures w14:val="standardContextual"/>
          </w:rPr>
          <w:tab/>
        </w:r>
        <w:r w:rsidRPr="00AC173C">
          <w:rPr>
            <w:rStyle w:val="Hyperlink"/>
          </w:rPr>
          <w:t>Data Access, Collection, and Retention</w:t>
        </w:r>
        <w:r>
          <w:rPr>
            <w:webHidden/>
          </w:rPr>
          <w:tab/>
        </w:r>
        <w:r>
          <w:rPr>
            <w:webHidden/>
          </w:rPr>
          <w:fldChar w:fldCharType="begin"/>
        </w:r>
        <w:r>
          <w:rPr>
            <w:webHidden/>
          </w:rPr>
          <w:instrText xml:space="preserve"> PAGEREF _Toc213772130 \h </w:instrText>
        </w:r>
        <w:r>
          <w:rPr>
            <w:webHidden/>
          </w:rPr>
        </w:r>
        <w:r>
          <w:rPr>
            <w:webHidden/>
          </w:rPr>
          <w:fldChar w:fldCharType="separate"/>
        </w:r>
        <w:r>
          <w:rPr>
            <w:webHidden/>
          </w:rPr>
          <w:t>324</w:t>
        </w:r>
        <w:r>
          <w:rPr>
            <w:webHidden/>
          </w:rPr>
          <w:fldChar w:fldCharType="end"/>
        </w:r>
      </w:hyperlink>
    </w:p>
    <w:p w14:paraId="6AEA5468" w14:textId="6A701C6D"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1" w:history="1">
        <w:r w:rsidRPr="00AC173C">
          <w:rPr>
            <w:rStyle w:val="Hyperlink"/>
          </w:rPr>
          <w:t>11.1.11.1</w:t>
        </w:r>
        <w:r>
          <w:rPr>
            <w:rFonts w:asciiTheme="minorHAnsi" w:eastAsiaTheme="minorEastAsia" w:hAnsiTheme="minorHAnsi" w:cstheme="minorBidi"/>
            <w:bCs w:val="0"/>
            <w:kern w:val="2"/>
            <w:szCs w:val="24"/>
            <w14:ligatures w14:val="standardContextual"/>
          </w:rPr>
          <w:tab/>
        </w:r>
        <w:r w:rsidRPr="00AC173C">
          <w:rPr>
            <w:rStyle w:val="Hyperlink"/>
          </w:rPr>
          <w:t>Confidentiality</w:t>
        </w:r>
        <w:r>
          <w:rPr>
            <w:webHidden/>
          </w:rPr>
          <w:tab/>
        </w:r>
        <w:r>
          <w:rPr>
            <w:webHidden/>
          </w:rPr>
          <w:fldChar w:fldCharType="begin"/>
        </w:r>
        <w:r>
          <w:rPr>
            <w:webHidden/>
          </w:rPr>
          <w:instrText xml:space="preserve"> PAGEREF _Toc213772131 \h </w:instrText>
        </w:r>
        <w:r>
          <w:rPr>
            <w:webHidden/>
          </w:rPr>
        </w:r>
        <w:r>
          <w:rPr>
            <w:webHidden/>
          </w:rPr>
          <w:fldChar w:fldCharType="separate"/>
        </w:r>
        <w:r>
          <w:rPr>
            <w:webHidden/>
          </w:rPr>
          <w:t>324</w:t>
        </w:r>
        <w:r>
          <w:rPr>
            <w:webHidden/>
          </w:rPr>
          <w:fldChar w:fldCharType="end"/>
        </w:r>
      </w:hyperlink>
    </w:p>
    <w:p w14:paraId="3AB50BE6" w14:textId="07186A32"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2" w:history="1">
        <w:r w:rsidRPr="00AC173C">
          <w:rPr>
            <w:rStyle w:val="Hyperlink"/>
          </w:rPr>
          <w:t>11.1.11.2</w:t>
        </w:r>
        <w:r>
          <w:rPr>
            <w:rFonts w:asciiTheme="minorHAnsi" w:eastAsiaTheme="minorEastAsia" w:hAnsiTheme="minorHAnsi" w:cstheme="minorBidi"/>
            <w:bCs w:val="0"/>
            <w:kern w:val="2"/>
            <w:szCs w:val="24"/>
            <w14:ligatures w14:val="standardContextual"/>
          </w:rPr>
          <w:tab/>
        </w:r>
        <w:r w:rsidRPr="00AC173C">
          <w:rPr>
            <w:rStyle w:val="Hyperlink"/>
          </w:rPr>
          <w:t>Interested Government Agencies</w:t>
        </w:r>
        <w:r>
          <w:rPr>
            <w:webHidden/>
          </w:rPr>
          <w:tab/>
        </w:r>
        <w:r>
          <w:rPr>
            <w:webHidden/>
          </w:rPr>
          <w:fldChar w:fldCharType="begin"/>
        </w:r>
        <w:r>
          <w:rPr>
            <w:webHidden/>
          </w:rPr>
          <w:instrText xml:space="preserve"> PAGEREF _Toc213772132 \h </w:instrText>
        </w:r>
        <w:r>
          <w:rPr>
            <w:webHidden/>
          </w:rPr>
        </w:r>
        <w:r>
          <w:rPr>
            <w:webHidden/>
          </w:rPr>
          <w:fldChar w:fldCharType="separate"/>
        </w:r>
        <w:r>
          <w:rPr>
            <w:webHidden/>
          </w:rPr>
          <w:t>324</w:t>
        </w:r>
        <w:r>
          <w:rPr>
            <w:webHidden/>
          </w:rPr>
          <w:fldChar w:fldCharType="end"/>
        </w:r>
      </w:hyperlink>
    </w:p>
    <w:p w14:paraId="4E96429B" w14:textId="1FC105A8"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3" w:history="1">
        <w:r w:rsidRPr="00AC173C">
          <w:rPr>
            <w:rStyle w:val="Hyperlink"/>
          </w:rPr>
          <w:t>11.1.11.3</w:t>
        </w:r>
        <w:r>
          <w:rPr>
            <w:rFonts w:asciiTheme="minorHAnsi" w:eastAsiaTheme="minorEastAsia" w:hAnsiTheme="minorHAnsi" w:cstheme="minorBidi"/>
            <w:bCs w:val="0"/>
            <w:kern w:val="2"/>
            <w:szCs w:val="24"/>
            <w14:ligatures w14:val="standardContextual"/>
          </w:rPr>
          <w:tab/>
        </w:r>
        <w:r w:rsidRPr="00AC173C">
          <w:rPr>
            <w:rStyle w:val="Hyperlink"/>
          </w:rPr>
          <w:t>Access to Market Operator Data and Information</w:t>
        </w:r>
        <w:r>
          <w:rPr>
            <w:webHidden/>
          </w:rPr>
          <w:tab/>
        </w:r>
        <w:r>
          <w:rPr>
            <w:webHidden/>
          </w:rPr>
          <w:fldChar w:fldCharType="begin"/>
        </w:r>
        <w:r>
          <w:rPr>
            <w:webHidden/>
          </w:rPr>
          <w:instrText xml:space="preserve"> PAGEREF _Toc213772133 \h </w:instrText>
        </w:r>
        <w:r>
          <w:rPr>
            <w:webHidden/>
          </w:rPr>
        </w:r>
        <w:r>
          <w:rPr>
            <w:webHidden/>
          </w:rPr>
          <w:fldChar w:fldCharType="separate"/>
        </w:r>
        <w:r>
          <w:rPr>
            <w:webHidden/>
          </w:rPr>
          <w:t>324</w:t>
        </w:r>
        <w:r>
          <w:rPr>
            <w:webHidden/>
          </w:rPr>
          <w:fldChar w:fldCharType="end"/>
        </w:r>
      </w:hyperlink>
    </w:p>
    <w:p w14:paraId="75861C28" w14:textId="444ED825"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4" w:history="1">
        <w:r w:rsidRPr="00AC173C">
          <w:rPr>
            <w:rStyle w:val="Hyperlink"/>
          </w:rPr>
          <w:t>11.1.11.4</w:t>
        </w:r>
        <w:r>
          <w:rPr>
            <w:rFonts w:asciiTheme="minorHAnsi" w:eastAsiaTheme="minorEastAsia" w:hAnsiTheme="minorHAnsi" w:cstheme="minorBidi"/>
            <w:bCs w:val="0"/>
            <w:kern w:val="2"/>
            <w:szCs w:val="24"/>
            <w14:ligatures w14:val="standardContextual"/>
          </w:rPr>
          <w:tab/>
        </w:r>
        <w:r w:rsidRPr="00AC173C">
          <w:rPr>
            <w:rStyle w:val="Hyperlink"/>
          </w:rPr>
          <w:t>Access to Market Participant Data and Information</w:t>
        </w:r>
        <w:r>
          <w:rPr>
            <w:webHidden/>
          </w:rPr>
          <w:tab/>
        </w:r>
        <w:r>
          <w:rPr>
            <w:webHidden/>
          </w:rPr>
          <w:fldChar w:fldCharType="begin"/>
        </w:r>
        <w:r>
          <w:rPr>
            <w:webHidden/>
          </w:rPr>
          <w:instrText xml:space="preserve"> PAGEREF _Toc213772134 \h </w:instrText>
        </w:r>
        <w:r>
          <w:rPr>
            <w:webHidden/>
          </w:rPr>
        </w:r>
        <w:r>
          <w:rPr>
            <w:webHidden/>
          </w:rPr>
          <w:fldChar w:fldCharType="separate"/>
        </w:r>
        <w:r>
          <w:rPr>
            <w:webHidden/>
          </w:rPr>
          <w:t>324</w:t>
        </w:r>
        <w:r>
          <w:rPr>
            <w:webHidden/>
          </w:rPr>
          <w:fldChar w:fldCharType="end"/>
        </w:r>
      </w:hyperlink>
    </w:p>
    <w:p w14:paraId="34F3214B" w14:textId="2ADC0810"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5" w:history="1">
        <w:r w:rsidRPr="00AC173C">
          <w:rPr>
            <w:rStyle w:val="Hyperlink"/>
          </w:rPr>
          <w:t>11.1.11.5</w:t>
        </w:r>
        <w:r>
          <w:rPr>
            <w:rFonts w:asciiTheme="minorHAnsi" w:eastAsiaTheme="minorEastAsia" w:hAnsiTheme="minorHAnsi" w:cstheme="minorBidi"/>
            <w:bCs w:val="0"/>
            <w:kern w:val="2"/>
            <w:szCs w:val="24"/>
            <w14:ligatures w14:val="standardContextual"/>
          </w:rPr>
          <w:tab/>
        </w:r>
        <w:r w:rsidRPr="00AC173C">
          <w:rPr>
            <w:rStyle w:val="Hyperlink"/>
          </w:rPr>
          <w:t>Data Created by the Market Monitor</w:t>
        </w:r>
        <w:r>
          <w:rPr>
            <w:webHidden/>
          </w:rPr>
          <w:tab/>
        </w:r>
        <w:r>
          <w:rPr>
            <w:webHidden/>
          </w:rPr>
          <w:fldChar w:fldCharType="begin"/>
        </w:r>
        <w:r>
          <w:rPr>
            <w:webHidden/>
          </w:rPr>
          <w:instrText xml:space="preserve"> PAGEREF _Toc213772135 \h </w:instrText>
        </w:r>
        <w:r>
          <w:rPr>
            <w:webHidden/>
          </w:rPr>
        </w:r>
        <w:r>
          <w:rPr>
            <w:webHidden/>
          </w:rPr>
          <w:fldChar w:fldCharType="separate"/>
        </w:r>
        <w:r>
          <w:rPr>
            <w:webHidden/>
          </w:rPr>
          <w:t>326</w:t>
        </w:r>
        <w:r>
          <w:rPr>
            <w:webHidden/>
          </w:rPr>
          <w:fldChar w:fldCharType="end"/>
        </w:r>
      </w:hyperlink>
    </w:p>
    <w:p w14:paraId="6E511056" w14:textId="41D3F8F0"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6" w:history="1">
        <w:r w:rsidRPr="00AC173C">
          <w:rPr>
            <w:rStyle w:val="Hyperlink"/>
          </w:rPr>
          <w:t>11.1.11.6</w:t>
        </w:r>
        <w:r>
          <w:rPr>
            <w:rFonts w:asciiTheme="minorHAnsi" w:eastAsiaTheme="minorEastAsia" w:hAnsiTheme="minorHAnsi" w:cstheme="minorBidi"/>
            <w:bCs w:val="0"/>
            <w:kern w:val="2"/>
            <w:szCs w:val="24"/>
            <w14:ligatures w14:val="standardContextual"/>
          </w:rPr>
          <w:tab/>
        </w:r>
        <w:r w:rsidRPr="00AC173C">
          <w:rPr>
            <w:rStyle w:val="Hyperlink"/>
          </w:rPr>
          <w:t>Accuracy of Data and Information</w:t>
        </w:r>
        <w:r>
          <w:rPr>
            <w:webHidden/>
          </w:rPr>
          <w:tab/>
        </w:r>
        <w:r>
          <w:rPr>
            <w:webHidden/>
          </w:rPr>
          <w:fldChar w:fldCharType="begin"/>
        </w:r>
        <w:r>
          <w:rPr>
            <w:webHidden/>
          </w:rPr>
          <w:instrText xml:space="preserve"> PAGEREF _Toc213772136 \h </w:instrText>
        </w:r>
        <w:r>
          <w:rPr>
            <w:webHidden/>
          </w:rPr>
        </w:r>
        <w:r>
          <w:rPr>
            <w:webHidden/>
          </w:rPr>
          <w:fldChar w:fldCharType="separate"/>
        </w:r>
        <w:r>
          <w:rPr>
            <w:webHidden/>
          </w:rPr>
          <w:t>326</w:t>
        </w:r>
        <w:r>
          <w:rPr>
            <w:webHidden/>
          </w:rPr>
          <w:fldChar w:fldCharType="end"/>
        </w:r>
      </w:hyperlink>
    </w:p>
    <w:p w14:paraId="36ECA822" w14:textId="6FEB27FF" w:rsidR="00023ECF" w:rsidRDefault="00023ECF">
      <w:pPr>
        <w:pStyle w:val="TOC3"/>
        <w:tabs>
          <w:tab w:val="left" w:pos="1447"/>
        </w:tabs>
        <w:rPr>
          <w:rFonts w:asciiTheme="minorHAnsi" w:eastAsiaTheme="minorEastAsia" w:hAnsiTheme="minorHAnsi" w:cstheme="minorBidi"/>
          <w:bCs w:val="0"/>
          <w:kern w:val="2"/>
          <w:szCs w:val="24"/>
          <w14:ligatures w14:val="standardContextual"/>
        </w:rPr>
      </w:pPr>
      <w:hyperlink w:anchor="_Toc213772137" w:history="1">
        <w:r w:rsidRPr="00AC173C">
          <w:rPr>
            <w:rStyle w:val="Hyperlink"/>
          </w:rPr>
          <w:t>11.1.12</w:t>
        </w:r>
        <w:r>
          <w:rPr>
            <w:rFonts w:asciiTheme="minorHAnsi" w:eastAsiaTheme="minorEastAsia" w:hAnsiTheme="minorHAnsi" w:cstheme="minorBidi"/>
            <w:bCs w:val="0"/>
            <w:kern w:val="2"/>
            <w:szCs w:val="24"/>
            <w14:ligatures w14:val="standardContextual"/>
          </w:rPr>
          <w:tab/>
        </w:r>
        <w:r w:rsidRPr="00AC173C">
          <w:rPr>
            <w:rStyle w:val="Hyperlink"/>
          </w:rPr>
          <w:t>Miscellaneous Provisions</w:t>
        </w:r>
        <w:r>
          <w:rPr>
            <w:webHidden/>
          </w:rPr>
          <w:tab/>
        </w:r>
        <w:r>
          <w:rPr>
            <w:webHidden/>
          </w:rPr>
          <w:fldChar w:fldCharType="begin"/>
        </w:r>
        <w:r>
          <w:rPr>
            <w:webHidden/>
          </w:rPr>
          <w:instrText xml:space="preserve"> PAGEREF _Toc213772137 \h </w:instrText>
        </w:r>
        <w:r>
          <w:rPr>
            <w:webHidden/>
          </w:rPr>
        </w:r>
        <w:r>
          <w:rPr>
            <w:webHidden/>
          </w:rPr>
          <w:fldChar w:fldCharType="separate"/>
        </w:r>
        <w:r>
          <w:rPr>
            <w:webHidden/>
          </w:rPr>
          <w:t>327</w:t>
        </w:r>
        <w:r>
          <w:rPr>
            <w:webHidden/>
          </w:rPr>
          <w:fldChar w:fldCharType="end"/>
        </w:r>
      </w:hyperlink>
    </w:p>
    <w:p w14:paraId="2FFAE19E" w14:textId="2B04892F"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8" w:history="1">
        <w:r w:rsidRPr="00AC173C">
          <w:rPr>
            <w:rStyle w:val="Hyperlink"/>
          </w:rPr>
          <w:t>11.1.12.1</w:t>
        </w:r>
        <w:r>
          <w:rPr>
            <w:rFonts w:asciiTheme="minorHAnsi" w:eastAsiaTheme="minorEastAsia" w:hAnsiTheme="minorHAnsi" w:cstheme="minorBidi"/>
            <w:bCs w:val="0"/>
            <w:kern w:val="2"/>
            <w:szCs w:val="24"/>
            <w14:ligatures w14:val="standardContextual"/>
          </w:rPr>
          <w:tab/>
        </w:r>
        <w:r w:rsidRPr="00AC173C">
          <w:rPr>
            <w:rStyle w:val="Hyperlink"/>
          </w:rPr>
          <w:t>Market Operator and Market Participant Rights and Remedies</w:t>
        </w:r>
        <w:r>
          <w:rPr>
            <w:webHidden/>
          </w:rPr>
          <w:tab/>
        </w:r>
        <w:r>
          <w:rPr>
            <w:webHidden/>
          </w:rPr>
          <w:fldChar w:fldCharType="begin"/>
        </w:r>
        <w:r>
          <w:rPr>
            <w:webHidden/>
          </w:rPr>
          <w:instrText xml:space="preserve"> PAGEREF _Toc213772138 \h </w:instrText>
        </w:r>
        <w:r>
          <w:rPr>
            <w:webHidden/>
          </w:rPr>
        </w:r>
        <w:r>
          <w:rPr>
            <w:webHidden/>
          </w:rPr>
          <w:fldChar w:fldCharType="separate"/>
        </w:r>
        <w:r>
          <w:rPr>
            <w:webHidden/>
          </w:rPr>
          <w:t>327</w:t>
        </w:r>
        <w:r>
          <w:rPr>
            <w:webHidden/>
          </w:rPr>
          <w:fldChar w:fldCharType="end"/>
        </w:r>
      </w:hyperlink>
    </w:p>
    <w:p w14:paraId="46AE25E4" w14:textId="36CEE30B"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39" w:history="1">
        <w:r w:rsidRPr="00AC173C">
          <w:rPr>
            <w:rStyle w:val="Hyperlink"/>
          </w:rPr>
          <w:t>11.1.12.2</w:t>
        </w:r>
        <w:r>
          <w:rPr>
            <w:rFonts w:asciiTheme="minorHAnsi" w:eastAsiaTheme="minorEastAsia" w:hAnsiTheme="minorHAnsi" w:cstheme="minorBidi"/>
            <w:bCs w:val="0"/>
            <w:kern w:val="2"/>
            <w:szCs w:val="24"/>
            <w14:ligatures w14:val="standardContextual"/>
          </w:rPr>
          <w:tab/>
        </w:r>
        <w:r w:rsidRPr="00AC173C">
          <w:rPr>
            <w:rStyle w:val="Hyperlink"/>
          </w:rPr>
          <w:t>Disputes</w:t>
        </w:r>
        <w:r>
          <w:rPr>
            <w:webHidden/>
          </w:rPr>
          <w:tab/>
        </w:r>
        <w:r>
          <w:rPr>
            <w:webHidden/>
          </w:rPr>
          <w:fldChar w:fldCharType="begin"/>
        </w:r>
        <w:r>
          <w:rPr>
            <w:webHidden/>
          </w:rPr>
          <w:instrText xml:space="preserve"> PAGEREF _Toc213772139 \h </w:instrText>
        </w:r>
        <w:r>
          <w:rPr>
            <w:webHidden/>
          </w:rPr>
        </w:r>
        <w:r>
          <w:rPr>
            <w:webHidden/>
          </w:rPr>
          <w:fldChar w:fldCharType="separate"/>
        </w:r>
        <w:r>
          <w:rPr>
            <w:webHidden/>
          </w:rPr>
          <w:t>327</w:t>
        </w:r>
        <w:r>
          <w:rPr>
            <w:webHidden/>
          </w:rPr>
          <w:fldChar w:fldCharType="end"/>
        </w:r>
      </w:hyperlink>
    </w:p>
    <w:p w14:paraId="21F07E36" w14:textId="3544901A"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40" w:history="1">
        <w:r w:rsidRPr="00AC173C">
          <w:rPr>
            <w:rStyle w:val="Hyperlink"/>
          </w:rPr>
          <w:t>11.1.12.3</w:t>
        </w:r>
        <w:r>
          <w:rPr>
            <w:rFonts w:asciiTheme="minorHAnsi" w:eastAsiaTheme="minorEastAsia" w:hAnsiTheme="minorHAnsi" w:cstheme="minorBidi"/>
            <w:bCs w:val="0"/>
            <w:kern w:val="2"/>
            <w:szCs w:val="24"/>
            <w14:ligatures w14:val="standardContextual"/>
          </w:rPr>
          <w:tab/>
        </w:r>
        <w:r w:rsidRPr="00AC173C">
          <w:rPr>
            <w:rStyle w:val="Hyperlink"/>
          </w:rPr>
          <w:t>Review of Market Monitor</w:t>
        </w:r>
        <w:r>
          <w:rPr>
            <w:webHidden/>
          </w:rPr>
          <w:tab/>
        </w:r>
        <w:r>
          <w:rPr>
            <w:webHidden/>
          </w:rPr>
          <w:fldChar w:fldCharType="begin"/>
        </w:r>
        <w:r>
          <w:rPr>
            <w:webHidden/>
          </w:rPr>
          <w:instrText xml:space="preserve"> PAGEREF _Toc213772140 \h </w:instrText>
        </w:r>
        <w:r>
          <w:rPr>
            <w:webHidden/>
          </w:rPr>
        </w:r>
        <w:r>
          <w:rPr>
            <w:webHidden/>
          </w:rPr>
          <w:fldChar w:fldCharType="separate"/>
        </w:r>
        <w:r>
          <w:rPr>
            <w:webHidden/>
          </w:rPr>
          <w:t>327</w:t>
        </w:r>
        <w:r>
          <w:rPr>
            <w:webHidden/>
          </w:rPr>
          <w:fldChar w:fldCharType="end"/>
        </w:r>
      </w:hyperlink>
    </w:p>
    <w:p w14:paraId="2226A40D" w14:textId="4C562495" w:rsidR="00023ECF" w:rsidRDefault="00023ECF">
      <w:pPr>
        <w:pStyle w:val="TOC2"/>
        <w:rPr>
          <w:rFonts w:asciiTheme="minorHAnsi" w:eastAsiaTheme="minorEastAsia" w:hAnsiTheme="minorHAnsi" w:cstheme="minorBidi"/>
          <w:bCs w:val="0"/>
          <w:kern w:val="2"/>
          <w:szCs w:val="24"/>
          <w14:ligatures w14:val="standardContextual"/>
        </w:rPr>
      </w:pPr>
      <w:hyperlink w:anchor="_Toc213772141" w:history="1">
        <w:r w:rsidRPr="00AC173C">
          <w:rPr>
            <w:rStyle w:val="Hyperlink"/>
          </w:rPr>
          <w:t>11.2</w:t>
        </w:r>
        <w:r>
          <w:rPr>
            <w:rFonts w:asciiTheme="minorHAnsi" w:eastAsiaTheme="minorEastAsia" w:hAnsiTheme="minorHAnsi" w:cstheme="minorBidi"/>
            <w:bCs w:val="0"/>
            <w:kern w:val="2"/>
            <w:szCs w:val="24"/>
            <w14:ligatures w14:val="standardContextual"/>
          </w:rPr>
          <w:tab/>
        </w:r>
        <w:r w:rsidRPr="00AC173C">
          <w:rPr>
            <w:rStyle w:val="Hyperlink"/>
          </w:rPr>
          <w:t>Market Power Mitigation and Monitoring</w:t>
        </w:r>
        <w:r>
          <w:rPr>
            <w:webHidden/>
          </w:rPr>
          <w:tab/>
        </w:r>
        <w:r>
          <w:rPr>
            <w:webHidden/>
          </w:rPr>
          <w:fldChar w:fldCharType="begin"/>
        </w:r>
        <w:r>
          <w:rPr>
            <w:webHidden/>
          </w:rPr>
          <w:instrText xml:space="preserve"> PAGEREF _Toc213772141 \h </w:instrText>
        </w:r>
        <w:r>
          <w:rPr>
            <w:webHidden/>
          </w:rPr>
        </w:r>
        <w:r>
          <w:rPr>
            <w:webHidden/>
          </w:rPr>
          <w:fldChar w:fldCharType="separate"/>
        </w:r>
        <w:r>
          <w:rPr>
            <w:webHidden/>
          </w:rPr>
          <w:t>327</w:t>
        </w:r>
        <w:r>
          <w:rPr>
            <w:webHidden/>
          </w:rPr>
          <w:fldChar w:fldCharType="end"/>
        </w:r>
      </w:hyperlink>
    </w:p>
    <w:p w14:paraId="3F7056AC" w14:textId="128D47E6" w:rsidR="00023ECF" w:rsidRDefault="00023ECF">
      <w:pPr>
        <w:pStyle w:val="TOC3"/>
        <w:rPr>
          <w:rFonts w:asciiTheme="minorHAnsi" w:eastAsiaTheme="minorEastAsia" w:hAnsiTheme="minorHAnsi" w:cstheme="minorBidi"/>
          <w:bCs w:val="0"/>
          <w:kern w:val="2"/>
          <w:szCs w:val="24"/>
          <w14:ligatures w14:val="standardContextual"/>
        </w:rPr>
      </w:pPr>
      <w:hyperlink w:anchor="_Toc213772142" w:history="1">
        <w:r w:rsidRPr="00AC173C">
          <w:rPr>
            <w:rStyle w:val="Hyperlink"/>
          </w:rPr>
          <w:t>11.2.1</w:t>
        </w:r>
        <w:r>
          <w:rPr>
            <w:rFonts w:asciiTheme="minorHAnsi" w:eastAsiaTheme="minorEastAsia" w:hAnsiTheme="minorHAnsi" w:cstheme="minorBidi"/>
            <w:bCs w:val="0"/>
            <w:kern w:val="2"/>
            <w:szCs w:val="24"/>
            <w14:ligatures w14:val="standardContextual"/>
          </w:rPr>
          <w:tab/>
        </w:r>
        <w:r w:rsidRPr="00AC173C">
          <w:rPr>
            <w:rStyle w:val="Hyperlink"/>
          </w:rPr>
          <w:t>Purpose and Objectives</w:t>
        </w:r>
        <w:r>
          <w:rPr>
            <w:webHidden/>
          </w:rPr>
          <w:tab/>
        </w:r>
        <w:r>
          <w:rPr>
            <w:webHidden/>
          </w:rPr>
          <w:fldChar w:fldCharType="begin"/>
        </w:r>
        <w:r>
          <w:rPr>
            <w:webHidden/>
          </w:rPr>
          <w:instrText xml:space="preserve"> PAGEREF _Toc213772142 \h </w:instrText>
        </w:r>
        <w:r>
          <w:rPr>
            <w:webHidden/>
          </w:rPr>
        </w:r>
        <w:r>
          <w:rPr>
            <w:webHidden/>
          </w:rPr>
          <w:fldChar w:fldCharType="separate"/>
        </w:r>
        <w:r>
          <w:rPr>
            <w:webHidden/>
          </w:rPr>
          <w:t>327</w:t>
        </w:r>
        <w:r>
          <w:rPr>
            <w:webHidden/>
          </w:rPr>
          <w:fldChar w:fldCharType="end"/>
        </w:r>
      </w:hyperlink>
    </w:p>
    <w:p w14:paraId="53B9D70E" w14:textId="561D9DB8" w:rsidR="00023ECF" w:rsidRDefault="00023ECF">
      <w:pPr>
        <w:pStyle w:val="TOC3"/>
        <w:rPr>
          <w:rFonts w:asciiTheme="minorHAnsi" w:eastAsiaTheme="minorEastAsia" w:hAnsiTheme="minorHAnsi" w:cstheme="minorBidi"/>
          <w:bCs w:val="0"/>
          <w:kern w:val="2"/>
          <w:szCs w:val="24"/>
          <w14:ligatures w14:val="standardContextual"/>
        </w:rPr>
      </w:pPr>
      <w:hyperlink w:anchor="_Toc213772143" w:history="1">
        <w:r w:rsidRPr="00AC173C">
          <w:rPr>
            <w:rStyle w:val="Hyperlink"/>
          </w:rPr>
          <w:t>11.2.2</w:t>
        </w:r>
        <w:r>
          <w:rPr>
            <w:rFonts w:asciiTheme="minorHAnsi" w:eastAsiaTheme="minorEastAsia" w:hAnsiTheme="minorHAnsi" w:cstheme="minorBidi"/>
            <w:bCs w:val="0"/>
            <w:kern w:val="2"/>
            <w:szCs w:val="24"/>
            <w14:ligatures w14:val="standardContextual"/>
          </w:rPr>
          <w:tab/>
        </w:r>
        <w:r w:rsidRPr="00AC173C">
          <w:rPr>
            <w:rStyle w:val="Hyperlink"/>
          </w:rPr>
          <w:t>Mitigation Measures for Economic Withholding – Market Power in Energy and Flexibility Reserve Products</w:t>
        </w:r>
        <w:r>
          <w:rPr>
            <w:webHidden/>
          </w:rPr>
          <w:tab/>
        </w:r>
        <w:r>
          <w:rPr>
            <w:webHidden/>
          </w:rPr>
          <w:fldChar w:fldCharType="begin"/>
        </w:r>
        <w:r>
          <w:rPr>
            <w:webHidden/>
          </w:rPr>
          <w:instrText xml:space="preserve"> PAGEREF _Toc213772143 \h </w:instrText>
        </w:r>
        <w:r>
          <w:rPr>
            <w:webHidden/>
          </w:rPr>
        </w:r>
        <w:r>
          <w:rPr>
            <w:webHidden/>
          </w:rPr>
          <w:fldChar w:fldCharType="separate"/>
        </w:r>
        <w:r>
          <w:rPr>
            <w:webHidden/>
          </w:rPr>
          <w:t>327</w:t>
        </w:r>
        <w:r>
          <w:rPr>
            <w:webHidden/>
          </w:rPr>
          <w:fldChar w:fldCharType="end"/>
        </w:r>
      </w:hyperlink>
    </w:p>
    <w:p w14:paraId="1B7C145F" w14:textId="182C938C" w:rsidR="00023ECF" w:rsidRDefault="00023ECF">
      <w:pPr>
        <w:pStyle w:val="TOC4"/>
        <w:rPr>
          <w:rFonts w:asciiTheme="minorHAnsi" w:eastAsiaTheme="minorEastAsia" w:hAnsiTheme="minorHAnsi" w:cstheme="minorBidi"/>
          <w:bCs w:val="0"/>
          <w:kern w:val="2"/>
          <w:szCs w:val="24"/>
          <w14:ligatures w14:val="standardContextual"/>
        </w:rPr>
      </w:pPr>
      <w:hyperlink w:anchor="_Toc213772144" w:history="1">
        <w:r w:rsidRPr="00AC173C">
          <w:rPr>
            <w:rStyle w:val="Hyperlink"/>
          </w:rPr>
          <w:t>11.2.2.1</w:t>
        </w:r>
        <w:r>
          <w:rPr>
            <w:rFonts w:asciiTheme="minorHAnsi" w:eastAsiaTheme="minorEastAsia" w:hAnsiTheme="minorHAnsi" w:cstheme="minorBidi"/>
            <w:bCs w:val="0"/>
            <w:kern w:val="2"/>
            <w:szCs w:val="24"/>
            <w14:ligatures w14:val="standardContextual"/>
          </w:rPr>
          <w:tab/>
        </w:r>
        <w:r w:rsidRPr="00AC173C">
          <w:rPr>
            <w:rStyle w:val="Hyperlink"/>
          </w:rPr>
          <w:t>Mitigate Only in the Presence of Market Power</w:t>
        </w:r>
        <w:r>
          <w:rPr>
            <w:webHidden/>
          </w:rPr>
          <w:tab/>
        </w:r>
        <w:r>
          <w:rPr>
            <w:webHidden/>
          </w:rPr>
          <w:fldChar w:fldCharType="begin"/>
        </w:r>
        <w:r>
          <w:rPr>
            <w:webHidden/>
          </w:rPr>
          <w:instrText xml:space="preserve"> PAGEREF _Toc213772144 \h </w:instrText>
        </w:r>
        <w:r>
          <w:rPr>
            <w:webHidden/>
          </w:rPr>
        </w:r>
        <w:r>
          <w:rPr>
            <w:webHidden/>
          </w:rPr>
          <w:fldChar w:fldCharType="separate"/>
        </w:r>
        <w:r>
          <w:rPr>
            <w:webHidden/>
          </w:rPr>
          <w:t>328</w:t>
        </w:r>
        <w:r>
          <w:rPr>
            <w:webHidden/>
          </w:rPr>
          <w:fldChar w:fldCharType="end"/>
        </w:r>
      </w:hyperlink>
    </w:p>
    <w:p w14:paraId="022643A7" w14:textId="096516C0" w:rsidR="00023ECF" w:rsidRDefault="00023ECF">
      <w:pPr>
        <w:pStyle w:val="TOC4"/>
        <w:rPr>
          <w:rFonts w:asciiTheme="minorHAnsi" w:eastAsiaTheme="minorEastAsia" w:hAnsiTheme="minorHAnsi" w:cstheme="minorBidi"/>
          <w:bCs w:val="0"/>
          <w:kern w:val="2"/>
          <w:szCs w:val="24"/>
          <w14:ligatures w14:val="standardContextual"/>
        </w:rPr>
      </w:pPr>
      <w:hyperlink w:anchor="_Toc213772145" w:history="1">
        <w:r w:rsidRPr="00AC173C">
          <w:rPr>
            <w:rStyle w:val="Hyperlink"/>
          </w:rPr>
          <w:t>11.2.2.2</w:t>
        </w:r>
        <w:r>
          <w:rPr>
            <w:rFonts w:asciiTheme="minorHAnsi" w:eastAsiaTheme="minorEastAsia" w:hAnsiTheme="minorHAnsi" w:cstheme="minorBidi"/>
            <w:bCs w:val="0"/>
            <w:kern w:val="2"/>
            <w:szCs w:val="24"/>
            <w14:ligatures w14:val="standardContextual"/>
          </w:rPr>
          <w:tab/>
        </w:r>
        <w:r w:rsidRPr="00AC173C">
          <w:rPr>
            <w:rStyle w:val="Hyperlink"/>
          </w:rPr>
          <w:t>Mitigation Measures</w:t>
        </w:r>
        <w:r>
          <w:rPr>
            <w:webHidden/>
          </w:rPr>
          <w:tab/>
        </w:r>
        <w:r>
          <w:rPr>
            <w:webHidden/>
          </w:rPr>
          <w:fldChar w:fldCharType="begin"/>
        </w:r>
        <w:r>
          <w:rPr>
            <w:webHidden/>
          </w:rPr>
          <w:instrText xml:space="preserve"> PAGEREF _Toc213772145 \h </w:instrText>
        </w:r>
        <w:r>
          <w:rPr>
            <w:webHidden/>
          </w:rPr>
        </w:r>
        <w:r>
          <w:rPr>
            <w:webHidden/>
          </w:rPr>
          <w:fldChar w:fldCharType="separate"/>
        </w:r>
        <w:r>
          <w:rPr>
            <w:webHidden/>
          </w:rPr>
          <w:t>328</w:t>
        </w:r>
        <w:r>
          <w:rPr>
            <w:webHidden/>
          </w:rPr>
          <w:fldChar w:fldCharType="end"/>
        </w:r>
      </w:hyperlink>
    </w:p>
    <w:p w14:paraId="10FE078E" w14:textId="0D4B62A7" w:rsidR="00023ECF" w:rsidRDefault="00023ECF">
      <w:pPr>
        <w:pStyle w:val="TOC4"/>
        <w:rPr>
          <w:rFonts w:asciiTheme="minorHAnsi" w:eastAsiaTheme="minorEastAsia" w:hAnsiTheme="minorHAnsi" w:cstheme="minorBidi"/>
          <w:bCs w:val="0"/>
          <w:kern w:val="2"/>
          <w:szCs w:val="24"/>
          <w14:ligatures w14:val="standardContextual"/>
        </w:rPr>
      </w:pPr>
      <w:hyperlink w:anchor="_Toc213772146" w:history="1">
        <w:r w:rsidRPr="00AC173C">
          <w:rPr>
            <w:rStyle w:val="Hyperlink"/>
          </w:rPr>
          <w:t>11.2.2.3</w:t>
        </w:r>
        <w:r>
          <w:rPr>
            <w:rFonts w:asciiTheme="minorHAnsi" w:eastAsiaTheme="minorEastAsia" w:hAnsiTheme="minorHAnsi" w:cstheme="minorBidi"/>
            <w:bCs w:val="0"/>
            <w:kern w:val="2"/>
            <w:szCs w:val="24"/>
            <w14:ligatures w14:val="standardContextual"/>
          </w:rPr>
          <w:tab/>
        </w:r>
        <w:r w:rsidRPr="00AC173C">
          <w:rPr>
            <w:rStyle w:val="Hyperlink"/>
          </w:rPr>
          <w:t>Mitigated Offer Calculation Methodology</w:t>
        </w:r>
        <w:r>
          <w:rPr>
            <w:webHidden/>
          </w:rPr>
          <w:tab/>
        </w:r>
        <w:r>
          <w:rPr>
            <w:webHidden/>
          </w:rPr>
          <w:fldChar w:fldCharType="begin"/>
        </w:r>
        <w:r>
          <w:rPr>
            <w:webHidden/>
          </w:rPr>
          <w:instrText xml:space="preserve"> PAGEREF _Toc213772146 \h </w:instrText>
        </w:r>
        <w:r>
          <w:rPr>
            <w:webHidden/>
          </w:rPr>
        </w:r>
        <w:r>
          <w:rPr>
            <w:webHidden/>
          </w:rPr>
          <w:fldChar w:fldCharType="separate"/>
        </w:r>
        <w:r>
          <w:rPr>
            <w:webHidden/>
          </w:rPr>
          <w:t>329</w:t>
        </w:r>
        <w:r>
          <w:rPr>
            <w:webHidden/>
          </w:rPr>
          <w:fldChar w:fldCharType="end"/>
        </w:r>
      </w:hyperlink>
    </w:p>
    <w:p w14:paraId="7C749AAA" w14:textId="464D584A" w:rsidR="00023ECF" w:rsidRDefault="00023ECF">
      <w:pPr>
        <w:pStyle w:val="TOC4"/>
        <w:rPr>
          <w:rFonts w:asciiTheme="minorHAnsi" w:eastAsiaTheme="minorEastAsia" w:hAnsiTheme="minorHAnsi" w:cstheme="minorBidi"/>
          <w:bCs w:val="0"/>
          <w:kern w:val="2"/>
          <w:szCs w:val="24"/>
          <w14:ligatures w14:val="standardContextual"/>
        </w:rPr>
      </w:pPr>
      <w:hyperlink w:anchor="_Toc213772147" w:history="1">
        <w:r w:rsidRPr="00AC173C">
          <w:rPr>
            <w:rStyle w:val="Hyperlink"/>
          </w:rPr>
          <w:t>11.2.2.4</w:t>
        </w:r>
        <w:r>
          <w:rPr>
            <w:rFonts w:asciiTheme="minorHAnsi" w:eastAsiaTheme="minorEastAsia" w:hAnsiTheme="minorHAnsi" w:cstheme="minorBidi"/>
            <w:bCs w:val="0"/>
            <w:kern w:val="2"/>
            <w:szCs w:val="24"/>
            <w14:ligatures w14:val="standardContextual"/>
          </w:rPr>
          <w:tab/>
        </w:r>
        <w:r w:rsidRPr="00AC173C">
          <w:rPr>
            <w:rStyle w:val="Hyperlink"/>
          </w:rPr>
          <w:t>Mitigation Measures for Energy Offer Curves</w:t>
        </w:r>
        <w:r>
          <w:rPr>
            <w:webHidden/>
          </w:rPr>
          <w:tab/>
        </w:r>
        <w:r>
          <w:rPr>
            <w:webHidden/>
          </w:rPr>
          <w:fldChar w:fldCharType="begin"/>
        </w:r>
        <w:r>
          <w:rPr>
            <w:webHidden/>
          </w:rPr>
          <w:instrText xml:space="preserve"> PAGEREF _Toc213772147 \h </w:instrText>
        </w:r>
        <w:r>
          <w:rPr>
            <w:webHidden/>
          </w:rPr>
        </w:r>
        <w:r>
          <w:rPr>
            <w:webHidden/>
          </w:rPr>
          <w:fldChar w:fldCharType="separate"/>
        </w:r>
        <w:r>
          <w:rPr>
            <w:webHidden/>
          </w:rPr>
          <w:t>329</w:t>
        </w:r>
        <w:r>
          <w:rPr>
            <w:webHidden/>
          </w:rPr>
          <w:fldChar w:fldCharType="end"/>
        </w:r>
      </w:hyperlink>
    </w:p>
    <w:p w14:paraId="205E78ED" w14:textId="77C36507" w:rsidR="00023ECF" w:rsidRDefault="00023ECF">
      <w:pPr>
        <w:pStyle w:val="TOC4"/>
        <w:rPr>
          <w:rFonts w:asciiTheme="minorHAnsi" w:eastAsiaTheme="minorEastAsia" w:hAnsiTheme="minorHAnsi" w:cstheme="minorBidi"/>
          <w:bCs w:val="0"/>
          <w:kern w:val="2"/>
          <w:szCs w:val="24"/>
          <w14:ligatures w14:val="standardContextual"/>
        </w:rPr>
      </w:pPr>
      <w:hyperlink w:anchor="_Toc213772148" w:history="1">
        <w:r w:rsidRPr="00AC173C">
          <w:rPr>
            <w:rStyle w:val="Hyperlink"/>
          </w:rPr>
          <w:t>11.2.2.5</w:t>
        </w:r>
        <w:r>
          <w:rPr>
            <w:rFonts w:asciiTheme="minorHAnsi" w:eastAsiaTheme="minorEastAsia" w:hAnsiTheme="minorHAnsi" w:cstheme="minorBidi"/>
            <w:bCs w:val="0"/>
            <w:kern w:val="2"/>
            <w:szCs w:val="24"/>
            <w14:ligatures w14:val="standardContextual"/>
          </w:rPr>
          <w:tab/>
        </w:r>
        <w:r w:rsidRPr="00AC173C">
          <w:rPr>
            <w:rStyle w:val="Hyperlink"/>
          </w:rPr>
          <w:t>Mitigation Measures for Start-Up and No-Load Offers</w:t>
        </w:r>
        <w:r>
          <w:rPr>
            <w:webHidden/>
          </w:rPr>
          <w:tab/>
        </w:r>
        <w:r>
          <w:rPr>
            <w:webHidden/>
          </w:rPr>
          <w:fldChar w:fldCharType="begin"/>
        </w:r>
        <w:r>
          <w:rPr>
            <w:webHidden/>
          </w:rPr>
          <w:instrText xml:space="preserve"> PAGEREF _Toc213772148 \h </w:instrText>
        </w:r>
        <w:r>
          <w:rPr>
            <w:webHidden/>
          </w:rPr>
        </w:r>
        <w:r>
          <w:rPr>
            <w:webHidden/>
          </w:rPr>
          <w:fldChar w:fldCharType="separate"/>
        </w:r>
        <w:r>
          <w:rPr>
            <w:webHidden/>
          </w:rPr>
          <w:t>333</w:t>
        </w:r>
        <w:r>
          <w:rPr>
            <w:webHidden/>
          </w:rPr>
          <w:fldChar w:fldCharType="end"/>
        </w:r>
      </w:hyperlink>
    </w:p>
    <w:p w14:paraId="6351D7AA" w14:textId="2AD05115" w:rsidR="00023ECF" w:rsidRDefault="00023ECF">
      <w:pPr>
        <w:pStyle w:val="TOC4"/>
        <w:rPr>
          <w:rFonts w:asciiTheme="minorHAnsi" w:eastAsiaTheme="minorEastAsia" w:hAnsiTheme="minorHAnsi" w:cstheme="minorBidi"/>
          <w:bCs w:val="0"/>
          <w:kern w:val="2"/>
          <w:szCs w:val="24"/>
          <w14:ligatures w14:val="standardContextual"/>
        </w:rPr>
      </w:pPr>
      <w:hyperlink w:anchor="_Toc213772149" w:history="1">
        <w:r w:rsidRPr="00AC173C">
          <w:rPr>
            <w:rStyle w:val="Hyperlink"/>
          </w:rPr>
          <w:t>11.2.2.6</w:t>
        </w:r>
        <w:r>
          <w:rPr>
            <w:rFonts w:asciiTheme="minorHAnsi" w:eastAsiaTheme="minorEastAsia" w:hAnsiTheme="minorHAnsi" w:cstheme="minorBidi"/>
            <w:bCs w:val="0"/>
            <w:kern w:val="2"/>
            <w:szCs w:val="24"/>
            <w14:ligatures w14:val="standardContextual"/>
          </w:rPr>
          <w:tab/>
        </w:r>
        <w:r w:rsidRPr="00AC173C">
          <w:rPr>
            <w:rStyle w:val="Hyperlink"/>
          </w:rPr>
          <w:t>Mitigation Measures for Flexibility Reserve Products Offers</w:t>
        </w:r>
        <w:r>
          <w:rPr>
            <w:webHidden/>
          </w:rPr>
          <w:tab/>
        </w:r>
        <w:r>
          <w:rPr>
            <w:webHidden/>
          </w:rPr>
          <w:fldChar w:fldCharType="begin"/>
        </w:r>
        <w:r>
          <w:rPr>
            <w:webHidden/>
          </w:rPr>
          <w:instrText xml:space="preserve"> PAGEREF _Toc213772149 \h </w:instrText>
        </w:r>
        <w:r>
          <w:rPr>
            <w:webHidden/>
          </w:rPr>
        </w:r>
        <w:r>
          <w:rPr>
            <w:webHidden/>
          </w:rPr>
          <w:fldChar w:fldCharType="separate"/>
        </w:r>
        <w:r>
          <w:rPr>
            <w:webHidden/>
          </w:rPr>
          <w:t>336</w:t>
        </w:r>
        <w:r>
          <w:rPr>
            <w:webHidden/>
          </w:rPr>
          <w:fldChar w:fldCharType="end"/>
        </w:r>
      </w:hyperlink>
    </w:p>
    <w:p w14:paraId="55CB7E1B" w14:textId="2622806B" w:rsidR="00023ECF" w:rsidRDefault="00023ECF">
      <w:pPr>
        <w:pStyle w:val="TOC4"/>
        <w:rPr>
          <w:rFonts w:asciiTheme="minorHAnsi" w:eastAsiaTheme="minorEastAsia" w:hAnsiTheme="minorHAnsi" w:cstheme="minorBidi"/>
          <w:bCs w:val="0"/>
          <w:kern w:val="2"/>
          <w:szCs w:val="24"/>
          <w14:ligatures w14:val="standardContextual"/>
        </w:rPr>
      </w:pPr>
      <w:hyperlink w:anchor="_Toc213772150" w:history="1">
        <w:r w:rsidRPr="00AC173C">
          <w:rPr>
            <w:rStyle w:val="Hyperlink"/>
          </w:rPr>
          <w:t>11.2.2.7</w:t>
        </w:r>
        <w:r>
          <w:rPr>
            <w:rFonts w:asciiTheme="minorHAnsi" w:eastAsiaTheme="minorEastAsia" w:hAnsiTheme="minorHAnsi" w:cstheme="minorBidi"/>
            <w:bCs w:val="0"/>
            <w:kern w:val="2"/>
            <w:szCs w:val="24"/>
            <w14:ligatures w14:val="standardContextual"/>
          </w:rPr>
          <w:tab/>
        </w:r>
        <w:r w:rsidRPr="00AC173C">
          <w:rPr>
            <w:rStyle w:val="Hyperlink"/>
          </w:rPr>
          <w:t>Mitigation Measures for Transition State Offers</w:t>
        </w:r>
        <w:r>
          <w:rPr>
            <w:webHidden/>
          </w:rPr>
          <w:tab/>
        </w:r>
        <w:r>
          <w:rPr>
            <w:webHidden/>
          </w:rPr>
          <w:fldChar w:fldCharType="begin"/>
        </w:r>
        <w:r>
          <w:rPr>
            <w:webHidden/>
          </w:rPr>
          <w:instrText xml:space="preserve"> PAGEREF _Toc213772150 \h </w:instrText>
        </w:r>
        <w:r>
          <w:rPr>
            <w:webHidden/>
          </w:rPr>
        </w:r>
        <w:r>
          <w:rPr>
            <w:webHidden/>
          </w:rPr>
          <w:fldChar w:fldCharType="separate"/>
        </w:r>
        <w:r>
          <w:rPr>
            <w:webHidden/>
          </w:rPr>
          <w:t>339</w:t>
        </w:r>
        <w:r>
          <w:rPr>
            <w:webHidden/>
          </w:rPr>
          <w:fldChar w:fldCharType="end"/>
        </w:r>
      </w:hyperlink>
    </w:p>
    <w:p w14:paraId="7AB1BA7B" w14:textId="234805A7" w:rsidR="00023ECF" w:rsidRDefault="00023ECF">
      <w:pPr>
        <w:pStyle w:val="TOC4"/>
        <w:rPr>
          <w:rFonts w:asciiTheme="minorHAnsi" w:eastAsiaTheme="minorEastAsia" w:hAnsiTheme="minorHAnsi" w:cstheme="minorBidi"/>
          <w:bCs w:val="0"/>
          <w:kern w:val="2"/>
          <w:szCs w:val="24"/>
          <w14:ligatures w14:val="standardContextual"/>
        </w:rPr>
      </w:pPr>
      <w:hyperlink w:anchor="_Toc213772151" w:history="1">
        <w:r w:rsidRPr="00AC173C">
          <w:rPr>
            <w:rStyle w:val="Hyperlink"/>
          </w:rPr>
          <w:t>11.2.2.8</w:t>
        </w:r>
        <w:r>
          <w:rPr>
            <w:rFonts w:asciiTheme="minorHAnsi" w:eastAsiaTheme="minorEastAsia" w:hAnsiTheme="minorHAnsi" w:cstheme="minorBidi"/>
            <w:bCs w:val="0"/>
            <w:kern w:val="2"/>
            <w:szCs w:val="24"/>
            <w14:ligatures w14:val="standardContextual"/>
          </w:rPr>
          <w:tab/>
        </w:r>
        <w:r w:rsidRPr="00AC173C">
          <w:rPr>
            <w:rStyle w:val="Hyperlink"/>
          </w:rPr>
          <w:t>Validation of Mitigated Resource Offers</w:t>
        </w:r>
        <w:r>
          <w:rPr>
            <w:webHidden/>
          </w:rPr>
          <w:tab/>
        </w:r>
        <w:r>
          <w:rPr>
            <w:webHidden/>
          </w:rPr>
          <w:fldChar w:fldCharType="begin"/>
        </w:r>
        <w:r>
          <w:rPr>
            <w:webHidden/>
          </w:rPr>
          <w:instrText xml:space="preserve"> PAGEREF _Toc213772151 \h </w:instrText>
        </w:r>
        <w:r>
          <w:rPr>
            <w:webHidden/>
          </w:rPr>
        </w:r>
        <w:r>
          <w:rPr>
            <w:webHidden/>
          </w:rPr>
          <w:fldChar w:fldCharType="separate"/>
        </w:r>
        <w:r>
          <w:rPr>
            <w:webHidden/>
          </w:rPr>
          <w:t>340</w:t>
        </w:r>
        <w:r>
          <w:rPr>
            <w:webHidden/>
          </w:rPr>
          <w:fldChar w:fldCharType="end"/>
        </w:r>
      </w:hyperlink>
    </w:p>
    <w:p w14:paraId="0F4BF760" w14:textId="2BFEB7D9" w:rsidR="00023ECF" w:rsidRDefault="00023ECF">
      <w:pPr>
        <w:pStyle w:val="TOC4"/>
        <w:rPr>
          <w:rFonts w:asciiTheme="minorHAnsi" w:eastAsiaTheme="minorEastAsia" w:hAnsiTheme="minorHAnsi" w:cstheme="minorBidi"/>
          <w:bCs w:val="0"/>
          <w:kern w:val="2"/>
          <w:szCs w:val="24"/>
          <w14:ligatures w14:val="standardContextual"/>
        </w:rPr>
      </w:pPr>
      <w:hyperlink w:anchor="_Toc213772152" w:history="1">
        <w:r w:rsidRPr="00AC173C">
          <w:rPr>
            <w:rStyle w:val="Hyperlink"/>
          </w:rPr>
          <w:t>11.2.2.9</w:t>
        </w:r>
        <w:r>
          <w:rPr>
            <w:rFonts w:asciiTheme="minorHAnsi" w:eastAsiaTheme="minorEastAsia" w:hAnsiTheme="minorHAnsi" w:cstheme="minorBidi"/>
            <w:bCs w:val="0"/>
            <w:kern w:val="2"/>
            <w:szCs w:val="24"/>
            <w14:ligatures w14:val="standardContextual"/>
          </w:rPr>
          <w:tab/>
        </w:r>
        <w:r w:rsidRPr="00AC173C">
          <w:rPr>
            <w:rStyle w:val="Hyperlink"/>
          </w:rPr>
          <w:t>Market Power Test</w:t>
        </w:r>
        <w:r>
          <w:rPr>
            <w:webHidden/>
          </w:rPr>
          <w:tab/>
        </w:r>
        <w:r>
          <w:rPr>
            <w:webHidden/>
          </w:rPr>
          <w:fldChar w:fldCharType="begin"/>
        </w:r>
        <w:r>
          <w:rPr>
            <w:webHidden/>
          </w:rPr>
          <w:instrText xml:space="preserve"> PAGEREF _Toc213772152 \h </w:instrText>
        </w:r>
        <w:r>
          <w:rPr>
            <w:webHidden/>
          </w:rPr>
        </w:r>
        <w:r>
          <w:rPr>
            <w:webHidden/>
          </w:rPr>
          <w:fldChar w:fldCharType="separate"/>
        </w:r>
        <w:r>
          <w:rPr>
            <w:webHidden/>
          </w:rPr>
          <w:t>341</w:t>
        </w:r>
        <w:r>
          <w:rPr>
            <w:webHidden/>
          </w:rPr>
          <w:fldChar w:fldCharType="end"/>
        </w:r>
      </w:hyperlink>
    </w:p>
    <w:p w14:paraId="705DC68F" w14:textId="547B3203"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53" w:history="1">
        <w:r w:rsidRPr="00AC173C">
          <w:rPr>
            <w:rStyle w:val="Hyperlink"/>
          </w:rPr>
          <w:t>11.2.2.10</w:t>
        </w:r>
        <w:r>
          <w:rPr>
            <w:rFonts w:asciiTheme="minorHAnsi" w:eastAsiaTheme="minorEastAsia" w:hAnsiTheme="minorHAnsi" w:cstheme="minorBidi"/>
            <w:bCs w:val="0"/>
            <w:kern w:val="2"/>
            <w:szCs w:val="24"/>
            <w14:ligatures w14:val="standardContextual"/>
          </w:rPr>
          <w:tab/>
        </w:r>
        <w:r w:rsidRPr="00AC173C">
          <w:rPr>
            <w:rStyle w:val="Hyperlink"/>
          </w:rPr>
          <w:t>Additional Mitigation Measures for Resource Offer Parameters</w:t>
        </w:r>
        <w:r>
          <w:rPr>
            <w:webHidden/>
          </w:rPr>
          <w:tab/>
        </w:r>
        <w:r>
          <w:rPr>
            <w:webHidden/>
          </w:rPr>
          <w:fldChar w:fldCharType="begin"/>
        </w:r>
        <w:r>
          <w:rPr>
            <w:webHidden/>
          </w:rPr>
          <w:instrText xml:space="preserve"> PAGEREF _Toc213772153 \h </w:instrText>
        </w:r>
        <w:r>
          <w:rPr>
            <w:webHidden/>
          </w:rPr>
        </w:r>
        <w:r>
          <w:rPr>
            <w:webHidden/>
          </w:rPr>
          <w:fldChar w:fldCharType="separate"/>
        </w:r>
        <w:r>
          <w:rPr>
            <w:webHidden/>
          </w:rPr>
          <w:t>342</w:t>
        </w:r>
        <w:r>
          <w:rPr>
            <w:webHidden/>
          </w:rPr>
          <w:fldChar w:fldCharType="end"/>
        </w:r>
      </w:hyperlink>
    </w:p>
    <w:p w14:paraId="58974DFD" w14:textId="0269922D"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54" w:history="1">
        <w:r w:rsidRPr="00AC173C">
          <w:rPr>
            <w:rStyle w:val="Hyperlink"/>
          </w:rPr>
          <w:t>11.2.2.11</w:t>
        </w:r>
        <w:r>
          <w:rPr>
            <w:rFonts w:asciiTheme="minorHAnsi" w:eastAsiaTheme="minorEastAsia" w:hAnsiTheme="minorHAnsi" w:cstheme="minorBidi"/>
            <w:bCs w:val="0"/>
            <w:kern w:val="2"/>
            <w:szCs w:val="24"/>
            <w14:ligatures w14:val="standardContextual"/>
          </w:rPr>
          <w:tab/>
        </w:r>
        <w:r w:rsidRPr="00AC173C">
          <w:rPr>
            <w:rStyle w:val="Hyperlink"/>
          </w:rPr>
          <w:t>Market Impact Test</w:t>
        </w:r>
        <w:r>
          <w:rPr>
            <w:webHidden/>
          </w:rPr>
          <w:tab/>
        </w:r>
        <w:r>
          <w:rPr>
            <w:webHidden/>
          </w:rPr>
          <w:fldChar w:fldCharType="begin"/>
        </w:r>
        <w:r>
          <w:rPr>
            <w:webHidden/>
          </w:rPr>
          <w:instrText xml:space="preserve"> PAGEREF _Toc213772154 \h </w:instrText>
        </w:r>
        <w:r>
          <w:rPr>
            <w:webHidden/>
          </w:rPr>
        </w:r>
        <w:r>
          <w:rPr>
            <w:webHidden/>
          </w:rPr>
          <w:fldChar w:fldCharType="separate"/>
        </w:r>
        <w:r>
          <w:rPr>
            <w:webHidden/>
          </w:rPr>
          <w:t>344</w:t>
        </w:r>
        <w:r>
          <w:rPr>
            <w:webHidden/>
          </w:rPr>
          <w:fldChar w:fldCharType="end"/>
        </w:r>
      </w:hyperlink>
    </w:p>
    <w:p w14:paraId="3F97CE6F" w14:textId="16824CE9" w:rsidR="00023ECF" w:rsidRDefault="00023ECF">
      <w:pPr>
        <w:pStyle w:val="TOC4"/>
        <w:tabs>
          <w:tab w:val="left" w:pos="1800"/>
        </w:tabs>
        <w:rPr>
          <w:rFonts w:asciiTheme="minorHAnsi" w:eastAsiaTheme="minorEastAsia" w:hAnsiTheme="minorHAnsi" w:cstheme="minorBidi"/>
          <w:bCs w:val="0"/>
          <w:kern w:val="2"/>
          <w:szCs w:val="24"/>
          <w14:ligatures w14:val="standardContextual"/>
        </w:rPr>
      </w:pPr>
      <w:hyperlink w:anchor="_Toc213772155" w:history="1">
        <w:r w:rsidRPr="00AC173C">
          <w:rPr>
            <w:rStyle w:val="Hyperlink"/>
          </w:rPr>
          <w:t>11.2.2.12</w:t>
        </w:r>
        <w:r>
          <w:rPr>
            <w:rFonts w:asciiTheme="minorHAnsi" w:eastAsiaTheme="minorEastAsia" w:hAnsiTheme="minorHAnsi" w:cstheme="minorBidi"/>
            <w:bCs w:val="0"/>
            <w:kern w:val="2"/>
            <w:szCs w:val="24"/>
            <w14:ligatures w14:val="standardContextual"/>
          </w:rPr>
          <w:tab/>
        </w:r>
        <w:r w:rsidRPr="00AC173C">
          <w:rPr>
            <w:rStyle w:val="Hyperlink"/>
          </w:rPr>
          <w:t>Mitigated Offer Development Guidelines</w:t>
        </w:r>
        <w:r>
          <w:rPr>
            <w:webHidden/>
          </w:rPr>
          <w:tab/>
        </w:r>
        <w:r>
          <w:rPr>
            <w:webHidden/>
          </w:rPr>
          <w:fldChar w:fldCharType="begin"/>
        </w:r>
        <w:r>
          <w:rPr>
            <w:webHidden/>
          </w:rPr>
          <w:instrText xml:space="preserve"> PAGEREF _Toc213772155 \h </w:instrText>
        </w:r>
        <w:r>
          <w:rPr>
            <w:webHidden/>
          </w:rPr>
        </w:r>
        <w:r>
          <w:rPr>
            <w:webHidden/>
          </w:rPr>
          <w:fldChar w:fldCharType="separate"/>
        </w:r>
        <w:r>
          <w:rPr>
            <w:webHidden/>
          </w:rPr>
          <w:t>344</w:t>
        </w:r>
        <w:r>
          <w:rPr>
            <w:webHidden/>
          </w:rPr>
          <w:fldChar w:fldCharType="end"/>
        </w:r>
      </w:hyperlink>
    </w:p>
    <w:p w14:paraId="3DD744E7" w14:textId="1E7811BB" w:rsidR="00023ECF" w:rsidRDefault="00023ECF">
      <w:pPr>
        <w:pStyle w:val="TOC3"/>
        <w:rPr>
          <w:rFonts w:asciiTheme="minorHAnsi" w:eastAsiaTheme="minorEastAsia" w:hAnsiTheme="minorHAnsi" w:cstheme="minorBidi"/>
          <w:bCs w:val="0"/>
          <w:kern w:val="2"/>
          <w:szCs w:val="24"/>
          <w14:ligatures w14:val="standardContextual"/>
        </w:rPr>
      </w:pPr>
      <w:hyperlink w:anchor="_Toc213772156" w:history="1">
        <w:r w:rsidRPr="00AC173C">
          <w:rPr>
            <w:rStyle w:val="Hyperlink"/>
          </w:rPr>
          <w:t>11.2.3</w:t>
        </w:r>
        <w:r>
          <w:rPr>
            <w:rFonts w:asciiTheme="minorHAnsi" w:eastAsiaTheme="minorEastAsia" w:hAnsiTheme="minorHAnsi" w:cstheme="minorBidi"/>
            <w:bCs w:val="0"/>
            <w:kern w:val="2"/>
            <w:szCs w:val="24"/>
            <w14:ligatures w14:val="standardContextual"/>
          </w:rPr>
          <w:tab/>
        </w:r>
        <w:r w:rsidRPr="00AC173C">
          <w:rPr>
            <w:rStyle w:val="Hyperlink"/>
          </w:rPr>
          <w:t>Uneconomic Production</w:t>
        </w:r>
        <w:r>
          <w:rPr>
            <w:webHidden/>
          </w:rPr>
          <w:tab/>
        </w:r>
        <w:r>
          <w:rPr>
            <w:webHidden/>
          </w:rPr>
          <w:fldChar w:fldCharType="begin"/>
        </w:r>
        <w:r>
          <w:rPr>
            <w:webHidden/>
          </w:rPr>
          <w:instrText xml:space="preserve"> PAGEREF _Toc213772156 \h </w:instrText>
        </w:r>
        <w:r>
          <w:rPr>
            <w:webHidden/>
          </w:rPr>
        </w:r>
        <w:r>
          <w:rPr>
            <w:webHidden/>
          </w:rPr>
          <w:fldChar w:fldCharType="separate"/>
        </w:r>
        <w:r>
          <w:rPr>
            <w:webHidden/>
          </w:rPr>
          <w:t>345</w:t>
        </w:r>
        <w:r>
          <w:rPr>
            <w:webHidden/>
          </w:rPr>
          <w:fldChar w:fldCharType="end"/>
        </w:r>
      </w:hyperlink>
    </w:p>
    <w:p w14:paraId="067B1DD3" w14:textId="45DF486B" w:rsidR="00023ECF" w:rsidRDefault="00023ECF">
      <w:pPr>
        <w:pStyle w:val="TOC3"/>
        <w:rPr>
          <w:rFonts w:asciiTheme="minorHAnsi" w:eastAsiaTheme="minorEastAsia" w:hAnsiTheme="minorHAnsi" w:cstheme="minorBidi"/>
          <w:bCs w:val="0"/>
          <w:kern w:val="2"/>
          <w:szCs w:val="24"/>
          <w14:ligatures w14:val="standardContextual"/>
        </w:rPr>
      </w:pPr>
      <w:hyperlink w:anchor="_Toc213772157" w:history="1">
        <w:r w:rsidRPr="00AC173C">
          <w:rPr>
            <w:rStyle w:val="Hyperlink"/>
          </w:rPr>
          <w:t>11.2.4</w:t>
        </w:r>
        <w:r>
          <w:rPr>
            <w:rFonts w:asciiTheme="minorHAnsi" w:eastAsiaTheme="minorEastAsia" w:hAnsiTheme="minorHAnsi" w:cstheme="minorBidi"/>
            <w:bCs w:val="0"/>
            <w:kern w:val="2"/>
            <w:szCs w:val="24"/>
            <w14:ligatures w14:val="standardContextual"/>
          </w:rPr>
          <w:tab/>
        </w:r>
        <w:r w:rsidRPr="00AC173C">
          <w:rPr>
            <w:rStyle w:val="Hyperlink"/>
          </w:rPr>
          <w:t>Measures and Mitigation for Virtual Energy Bids and Offers</w:t>
        </w:r>
        <w:r>
          <w:rPr>
            <w:webHidden/>
          </w:rPr>
          <w:tab/>
        </w:r>
        <w:r>
          <w:rPr>
            <w:webHidden/>
          </w:rPr>
          <w:fldChar w:fldCharType="begin"/>
        </w:r>
        <w:r>
          <w:rPr>
            <w:webHidden/>
          </w:rPr>
          <w:instrText xml:space="preserve"> PAGEREF _Toc213772157 \h </w:instrText>
        </w:r>
        <w:r>
          <w:rPr>
            <w:webHidden/>
          </w:rPr>
        </w:r>
        <w:r>
          <w:rPr>
            <w:webHidden/>
          </w:rPr>
          <w:fldChar w:fldCharType="separate"/>
        </w:r>
        <w:r>
          <w:rPr>
            <w:webHidden/>
          </w:rPr>
          <w:t>346</w:t>
        </w:r>
        <w:r>
          <w:rPr>
            <w:webHidden/>
          </w:rPr>
          <w:fldChar w:fldCharType="end"/>
        </w:r>
      </w:hyperlink>
    </w:p>
    <w:p w14:paraId="3C33DB34" w14:textId="29F1C211" w:rsidR="00023ECF" w:rsidRDefault="00023ECF">
      <w:pPr>
        <w:pStyle w:val="TOC4"/>
        <w:rPr>
          <w:rFonts w:asciiTheme="minorHAnsi" w:eastAsiaTheme="minorEastAsia" w:hAnsiTheme="minorHAnsi" w:cstheme="minorBidi"/>
          <w:bCs w:val="0"/>
          <w:kern w:val="2"/>
          <w:szCs w:val="24"/>
          <w14:ligatures w14:val="standardContextual"/>
        </w:rPr>
      </w:pPr>
      <w:hyperlink w:anchor="_Toc213772158" w:history="1">
        <w:r w:rsidRPr="00AC173C">
          <w:rPr>
            <w:rStyle w:val="Hyperlink"/>
          </w:rPr>
          <w:t>11.2.4.1</w:t>
        </w:r>
        <w:r>
          <w:rPr>
            <w:rFonts w:asciiTheme="minorHAnsi" w:eastAsiaTheme="minorEastAsia" w:hAnsiTheme="minorHAnsi" w:cstheme="minorBidi"/>
            <w:bCs w:val="0"/>
            <w:kern w:val="2"/>
            <w:szCs w:val="24"/>
            <w14:ligatures w14:val="standardContextual"/>
          </w:rPr>
          <w:tab/>
        </w:r>
        <w:r w:rsidRPr="00AC173C">
          <w:rPr>
            <w:rStyle w:val="Hyperlink"/>
          </w:rPr>
          <w:t>Metric and Threshold Specifications</w:t>
        </w:r>
        <w:r>
          <w:rPr>
            <w:webHidden/>
          </w:rPr>
          <w:tab/>
        </w:r>
        <w:r>
          <w:rPr>
            <w:webHidden/>
          </w:rPr>
          <w:fldChar w:fldCharType="begin"/>
        </w:r>
        <w:r>
          <w:rPr>
            <w:webHidden/>
          </w:rPr>
          <w:instrText xml:space="preserve"> PAGEREF _Toc213772158 \h </w:instrText>
        </w:r>
        <w:r>
          <w:rPr>
            <w:webHidden/>
          </w:rPr>
        </w:r>
        <w:r>
          <w:rPr>
            <w:webHidden/>
          </w:rPr>
          <w:fldChar w:fldCharType="separate"/>
        </w:r>
        <w:r>
          <w:rPr>
            <w:webHidden/>
          </w:rPr>
          <w:t>346</w:t>
        </w:r>
        <w:r>
          <w:rPr>
            <w:webHidden/>
          </w:rPr>
          <w:fldChar w:fldCharType="end"/>
        </w:r>
      </w:hyperlink>
    </w:p>
    <w:p w14:paraId="2C6D3288" w14:textId="610B942D" w:rsidR="00023ECF" w:rsidRDefault="00023ECF">
      <w:pPr>
        <w:pStyle w:val="TOC4"/>
        <w:rPr>
          <w:rFonts w:asciiTheme="minorHAnsi" w:eastAsiaTheme="minorEastAsia" w:hAnsiTheme="minorHAnsi" w:cstheme="minorBidi"/>
          <w:bCs w:val="0"/>
          <w:kern w:val="2"/>
          <w:szCs w:val="24"/>
          <w14:ligatures w14:val="standardContextual"/>
        </w:rPr>
      </w:pPr>
      <w:hyperlink w:anchor="_Toc213772159" w:history="1">
        <w:r w:rsidRPr="00AC173C">
          <w:rPr>
            <w:rStyle w:val="Hyperlink"/>
          </w:rPr>
          <w:t>11.2.4.2</w:t>
        </w:r>
        <w:r>
          <w:rPr>
            <w:rFonts w:asciiTheme="minorHAnsi" w:eastAsiaTheme="minorEastAsia" w:hAnsiTheme="minorHAnsi" w:cstheme="minorBidi"/>
            <w:bCs w:val="0"/>
            <w:kern w:val="2"/>
            <w:szCs w:val="24"/>
            <w14:ligatures w14:val="standardContextual"/>
          </w:rPr>
          <w:tab/>
        </w:r>
        <w:r w:rsidRPr="00AC173C">
          <w:rPr>
            <w:rStyle w:val="Hyperlink"/>
          </w:rPr>
          <w:t>Excessive Divergence and Mitigation Measures</w:t>
        </w:r>
        <w:r>
          <w:rPr>
            <w:webHidden/>
          </w:rPr>
          <w:tab/>
        </w:r>
        <w:r>
          <w:rPr>
            <w:webHidden/>
          </w:rPr>
          <w:fldChar w:fldCharType="begin"/>
        </w:r>
        <w:r>
          <w:rPr>
            <w:webHidden/>
          </w:rPr>
          <w:instrText xml:space="preserve"> PAGEREF _Toc213772159 \h </w:instrText>
        </w:r>
        <w:r>
          <w:rPr>
            <w:webHidden/>
          </w:rPr>
        </w:r>
        <w:r>
          <w:rPr>
            <w:webHidden/>
          </w:rPr>
          <w:fldChar w:fldCharType="separate"/>
        </w:r>
        <w:r>
          <w:rPr>
            <w:webHidden/>
          </w:rPr>
          <w:t>346</w:t>
        </w:r>
        <w:r>
          <w:rPr>
            <w:webHidden/>
          </w:rPr>
          <w:fldChar w:fldCharType="end"/>
        </w:r>
      </w:hyperlink>
    </w:p>
    <w:p w14:paraId="743860AC" w14:textId="0708CD7D" w:rsidR="00023ECF" w:rsidRDefault="00023ECF">
      <w:pPr>
        <w:pStyle w:val="TOC3"/>
        <w:rPr>
          <w:rFonts w:asciiTheme="minorHAnsi" w:eastAsiaTheme="minorEastAsia" w:hAnsiTheme="minorHAnsi" w:cstheme="minorBidi"/>
          <w:bCs w:val="0"/>
          <w:kern w:val="2"/>
          <w:szCs w:val="24"/>
          <w14:ligatures w14:val="standardContextual"/>
        </w:rPr>
      </w:pPr>
      <w:hyperlink w:anchor="_Toc213772160" w:history="1">
        <w:r w:rsidRPr="00AC173C">
          <w:rPr>
            <w:rStyle w:val="Hyperlink"/>
          </w:rPr>
          <w:t>11.2.5</w:t>
        </w:r>
        <w:r>
          <w:rPr>
            <w:rFonts w:asciiTheme="minorHAnsi" w:eastAsiaTheme="minorEastAsia" w:hAnsiTheme="minorHAnsi" w:cstheme="minorBidi"/>
            <w:bCs w:val="0"/>
            <w:kern w:val="2"/>
            <w:szCs w:val="24"/>
            <w14:ligatures w14:val="standardContextual"/>
          </w:rPr>
          <w:tab/>
        </w:r>
        <w:r w:rsidRPr="00AC173C">
          <w:rPr>
            <w:rStyle w:val="Hyperlink"/>
          </w:rPr>
          <w:t>Offer Caps and Floors</w:t>
        </w:r>
        <w:r>
          <w:rPr>
            <w:webHidden/>
          </w:rPr>
          <w:tab/>
        </w:r>
        <w:r>
          <w:rPr>
            <w:webHidden/>
          </w:rPr>
          <w:fldChar w:fldCharType="begin"/>
        </w:r>
        <w:r>
          <w:rPr>
            <w:webHidden/>
          </w:rPr>
          <w:instrText xml:space="preserve"> PAGEREF _Toc213772160 \h </w:instrText>
        </w:r>
        <w:r>
          <w:rPr>
            <w:webHidden/>
          </w:rPr>
        </w:r>
        <w:r>
          <w:rPr>
            <w:webHidden/>
          </w:rPr>
          <w:fldChar w:fldCharType="separate"/>
        </w:r>
        <w:r>
          <w:rPr>
            <w:webHidden/>
          </w:rPr>
          <w:t>346</w:t>
        </w:r>
        <w:r>
          <w:rPr>
            <w:webHidden/>
          </w:rPr>
          <w:fldChar w:fldCharType="end"/>
        </w:r>
      </w:hyperlink>
    </w:p>
    <w:p w14:paraId="31E19B73" w14:textId="1885FD42" w:rsidR="00023ECF" w:rsidRDefault="00023ECF">
      <w:pPr>
        <w:pStyle w:val="TOC3"/>
        <w:rPr>
          <w:rFonts w:asciiTheme="minorHAnsi" w:eastAsiaTheme="minorEastAsia" w:hAnsiTheme="minorHAnsi" w:cstheme="minorBidi"/>
          <w:bCs w:val="0"/>
          <w:kern w:val="2"/>
          <w:szCs w:val="24"/>
          <w14:ligatures w14:val="standardContextual"/>
        </w:rPr>
      </w:pPr>
      <w:hyperlink w:anchor="_Toc213772161" w:history="1">
        <w:r w:rsidRPr="00AC173C">
          <w:rPr>
            <w:rStyle w:val="Hyperlink"/>
          </w:rPr>
          <w:t>11.2.6</w:t>
        </w:r>
        <w:r>
          <w:rPr>
            <w:rFonts w:asciiTheme="minorHAnsi" w:eastAsiaTheme="minorEastAsia" w:hAnsiTheme="minorHAnsi" w:cstheme="minorBidi"/>
            <w:bCs w:val="0"/>
            <w:kern w:val="2"/>
            <w:szCs w:val="24"/>
            <w14:ligatures w14:val="standardContextual"/>
          </w:rPr>
          <w:tab/>
        </w:r>
        <w:r w:rsidRPr="00AC173C">
          <w:rPr>
            <w:rStyle w:val="Hyperlink"/>
          </w:rPr>
          <w:t>Physical Withholding</w:t>
        </w:r>
        <w:r>
          <w:rPr>
            <w:webHidden/>
          </w:rPr>
          <w:tab/>
        </w:r>
        <w:r>
          <w:rPr>
            <w:webHidden/>
          </w:rPr>
          <w:fldChar w:fldCharType="begin"/>
        </w:r>
        <w:r>
          <w:rPr>
            <w:webHidden/>
          </w:rPr>
          <w:instrText xml:space="preserve"> PAGEREF _Toc213772161 \h </w:instrText>
        </w:r>
        <w:r>
          <w:rPr>
            <w:webHidden/>
          </w:rPr>
        </w:r>
        <w:r>
          <w:rPr>
            <w:webHidden/>
          </w:rPr>
          <w:fldChar w:fldCharType="separate"/>
        </w:r>
        <w:r>
          <w:rPr>
            <w:webHidden/>
          </w:rPr>
          <w:t>347</w:t>
        </w:r>
        <w:r>
          <w:rPr>
            <w:webHidden/>
          </w:rPr>
          <w:fldChar w:fldCharType="end"/>
        </w:r>
      </w:hyperlink>
    </w:p>
    <w:p w14:paraId="37155316" w14:textId="4120811E" w:rsidR="00023ECF" w:rsidRDefault="00023ECF">
      <w:pPr>
        <w:pStyle w:val="TOC4"/>
        <w:rPr>
          <w:rFonts w:asciiTheme="minorHAnsi" w:eastAsiaTheme="minorEastAsia" w:hAnsiTheme="minorHAnsi" w:cstheme="minorBidi"/>
          <w:bCs w:val="0"/>
          <w:kern w:val="2"/>
          <w:szCs w:val="24"/>
          <w14:ligatures w14:val="standardContextual"/>
        </w:rPr>
      </w:pPr>
      <w:hyperlink w:anchor="_Toc213772162" w:history="1">
        <w:r w:rsidRPr="00AC173C">
          <w:rPr>
            <w:rStyle w:val="Hyperlink"/>
          </w:rPr>
          <w:t>11.2.6.1</w:t>
        </w:r>
        <w:r>
          <w:rPr>
            <w:rFonts w:asciiTheme="minorHAnsi" w:eastAsiaTheme="minorEastAsia" w:hAnsiTheme="minorHAnsi" w:cstheme="minorBidi"/>
            <w:bCs w:val="0"/>
            <w:kern w:val="2"/>
            <w:szCs w:val="24"/>
            <w14:ligatures w14:val="standardContextual"/>
          </w:rPr>
          <w:tab/>
        </w:r>
        <w:r w:rsidRPr="00AC173C">
          <w:rPr>
            <w:rStyle w:val="Hyperlink"/>
          </w:rPr>
          <w:t>Thresholds for Identifying Physical Withholding of Resource Capacity</w:t>
        </w:r>
        <w:r>
          <w:rPr>
            <w:webHidden/>
          </w:rPr>
          <w:tab/>
        </w:r>
        <w:r>
          <w:rPr>
            <w:webHidden/>
          </w:rPr>
          <w:fldChar w:fldCharType="begin"/>
        </w:r>
        <w:r>
          <w:rPr>
            <w:webHidden/>
          </w:rPr>
          <w:instrText xml:space="preserve"> PAGEREF _Toc213772162 \h </w:instrText>
        </w:r>
        <w:r>
          <w:rPr>
            <w:webHidden/>
          </w:rPr>
        </w:r>
        <w:r>
          <w:rPr>
            <w:webHidden/>
          </w:rPr>
          <w:fldChar w:fldCharType="separate"/>
        </w:r>
        <w:r>
          <w:rPr>
            <w:webHidden/>
          </w:rPr>
          <w:t>349</w:t>
        </w:r>
        <w:r>
          <w:rPr>
            <w:webHidden/>
          </w:rPr>
          <w:fldChar w:fldCharType="end"/>
        </w:r>
      </w:hyperlink>
    </w:p>
    <w:p w14:paraId="48213155" w14:textId="63962D59" w:rsidR="00023ECF" w:rsidRDefault="00023ECF">
      <w:pPr>
        <w:pStyle w:val="TOC4"/>
        <w:rPr>
          <w:rFonts w:asciiTheme="minorHAnsi" w:eastAsiaTheme="minorEastAsia" w:hAnsiTheme="minorHAnsi" w:cstheme="minorBidi"/>
          <w:bCs w:val="0"/>
          <w:kern w:val="2"/>
          <w:szCs w:val="24"/>
          <w14:ligatures w14:val="standardContextual"/>
        </w:rPr>
      </w:pPr>
      <w:hyperlink w:anchor="_Toc213772164" w:history="1">
        <w:r w:rsidRPr="00AC173C">
          <w:rPr>
            <w:rStyle w:val="Hyperlink"/>
          </w:rPr>
          <w:t>11.2.6.2</w:t>
        </w:r>
        <w:r>
          <w:rPr>
            <w:rFonts w:asciiTheme="minorHAnsi" w:eastAsiaTheme="minorEastAsia" w:hAnsiTheme="minorHAnsi" w:cstheme="minorBidi"/>
            <w:bCs w:val="0"/>
            <w:kern w:val="2"/>
            <w:szCs w:val="24"/>
            <w14:ligatures w14:val="standardContextual"/>
          </w:rPr>
          <w:tab/>
        </w:r>
        <w:r w:rsidRPr="00AC173C">
          <w:rPr>
            <w:rStyle w:val="Hyperlink"/>
          </w:rPr>
          <w:t>Thresholds for Screening of Physical Withholding of Transmission Facilities</w:t>
        </w:r>
        <w:r>
          <w:rPr>
            <w:webHidden/>
          </w:rPr>
          <w:tab/>
        </w:r>
        <w:r>
          <w:rPr>
            <w:webHidden/>
          </w:rPr>
          <w:fldChar w:fldCharType="begin"/>
        </w:r>
        <w:r>
          <w:rPr>
            <w:webHidden/>
          </w:rPr>
          <w:instrText xml:space="preserve"> PAGEREF _Toc213772164 \h </w:instrText>
        </w:r>
        <w:r>
          <w:rPr>
            <w:webHidden/>
          </w:rPr>
        </w:r>
        <w:r>
          <w:rPr>
            <w:webHidden/>
          </w:rPr>
          <w:fldChar w:fldCharType="separate"/>
        </w:r>
        <w:r>
          <w:rPr>
            <w:webHidden/>
          </w:rPr>
          <w:t>349</w:t>
        </w:r>
        <w:r>
          <w:rPr>
            <w:webHidden/>
          </w:rPr>
          <w:fldChar w:fldCharType="end"/>
        </w:r>
      </w:hyperlink>
    </w:p>
    <w:p w14:paraId="3C6E6884" w14:textId="7D9383B7" w:rsidR="00023ECF" w:rsidRDefault="00023ECF">
      <w:pPr>
        <w:pStyle w:val="TOC4"/>
        <w:rPr>
          <w:rFonts w:asciiTheme="minorHAnsi" w:eastAsiaTheme="minorEastAsia" w:hAnsiTheme="minorHAnsi" w:cstheme="minorBidi"/>
          <w:bCs w:val="0"/>
          <w:kern w:val="2"/>
          <w:szCs w:val="24"/>
          <w14:ligatures w14:val="standardContextual"/>
        </w:rPr>
      </w:pPr>
      <w:hyperlink w:anchor="_Toc213772165" w:history="1">
        <w:r w:rsidRPr="00AC173C">
          <w:rPr>
            <w:rStyle w:val="Hyperlink"/>
          </w:rPr>
          <w:t>11.2.6.3</w:t>
        </w:r>
        <w:r>
          <w:rPr>
            <w:rFonts w:asciiTheme="minorHAnsi" w:eastAsiaTheme="minorEastAsia" w:hAnsiTheme="minorHAnsi" w:cstheme="minorBidi"/>
            <w:bCs w:val="0"/>
            <w:kern w:val="2"/>
            <w:szCs w:val="24"/>
            <w14:ligatures w14:val="standardContextual"/>
          </w:rPr>
          <w:tab/>
        </w:r>
        <w:r w:rsidRPr="00AC173C">
          <w:rPr>
            <w:rStyle w:val="Hyperlink"/>
          </w:rPr>
          <w:t>Sanctions</w:t>
        </w:r>
        <w:r>
          <w:rPr>
            <w:webHidden/>
          </w:rPr>
          <w:tab/>
        </w:r>
        <w:r>
          <w:rPr>
            <w:webHidden/>
          </w:rPr>
          <w:fldChar w:fldCharType="begin"/>
        </w:r>
        <w:r>
          <w:rPr>
            <w:webHidden/>
          </w:rPr>
          <w:instrText xml:space="preserve"> PAGEREF _Toc213772165 \h </w:instrText>
        </w:r>
        <w:r>
          <w:rPr>
            <w:webHidden/>
          </w:rPr>
        </w:r>
        <w:r>
          <w:rPr>
            <w:webHidden/>
          </w:rPr>
          <w:fldChar w:fldCharType="separate"/>
        </w:r>
        <w:r>
          <w:rPr>
            <w:webHidden/>
          </w:rPr>
          <w:t>349</w:t>
        </w:r>
        <w:r>
          <w:rPr>
            <w:webHidden/>
          </w:rPr>
          <w:fldChar w:fldCharType="end"/>
        </w:r>
      </w:hyperlink>
    </w:p>
    <w:p w14:paraId="72AC533C" w14:textId="38444CDB" w:rsidR="00023ECF" w:rsidRDefault="00023ECF">
      <w:pPr>
        <w:pStyle w:val="TOC3"/>
        <w:rPr>
          <w:rFonts w:asciiTheme="minorHAnsi" w:eastAsiaTheme="minorEastAsia" w:hAnsiTheme="minorHAnsi" w:cstheme="minorBidi"/>
          <w:bCs w:val="0"/>
          <w:kern w:val="2"/>
          <w:szCs w:val="24"/>
          <w14:ligatures w14:val="standardContextual"/>
        </w:rPr>
      </w:pPr>
      <w:hyperlink w:anchor="_Toc213772166" w:history="1">
        <w:r w:rsidRPr="00AC173C">
          <w:rPr>
            <w:rStyle w:val="Hyperlink"/>
          </w:rPr>
          <w:t>11.2.7</w:t>
        </w:r>
        <w:r>
          <w:rPr>
            <w:rFonts w:asciiTheme="minorHAnsi" w:eastAsiaTheme="minorEastAsia" w:hAnsiTheme="minorHAnsi" w:cstheme="minorBidi"/>
            <w:bCs w:val="0"/>
            <w:kern w:val="2"/>
            <w:szCs w:val="24"/>
            <w14:ligatures w14:val="standardContextual"/>
          </w:rPr>
          <w:tab/>
        </w:r>
        <w:r w:rsidRPr="00AC173C">
          <w:rPr>
            <w:rStyle w:val="Hyperlink"/>
          </w:rPr>
          <w:t>Maintenance and Implementation of the Mitigation Protocols</w:t>
        </w:r>
        <w:r>
          <w:rPr>
            <w:webHidden/>
          </w:rPr>
          <w:tab/>
        </w:r>
        <w:r>
          <w:rPr>
            <w:webHidden/>
          </w:rPr>
          <w:fldChar w:fldCharType="begin"/>
        </w:r>
        <w:r>
          <w:rPr>
            <w:webHidden/>
          </w:rPr>
          <w:instrText xml:space="preserve"> PAGEREF _Toc213772166 \h </w:instrText>
        </w:r>
        <w:r>
          <w:rPr>
            <w:webHidden/>
          </w:rPr>
        </w:r>
        <w:r>
          <w:rPr>
            <w:webHidden/>
          </w:rPr>
          <w:fldChar w:fldCharType="separate"/>
        </w:r>
        <w:r>
          <w:rPr>
            <w:webHidden/>
          </w:rPr>
          <w:t>350</w:t>
        </w:r>
        <w:r>
          <w:rPr>
            <w:webHidden/>
          </w:rPr>
          <w:fldChar w:fldCharType="end"/>
        </w:r>
      </w:hyperlink>
    </w:p>
    <w:p w14:paraId="58022958" w14:textId="0C027192" w:rsidR="00023ECF" w:rsidRDefault="00023ECF">
      <w:pPr>
        <w:pStyle w:val="TOC3"/>
        <w:rPr>
          <w:rFonts w:asciiTheme="minorHAnsi" w:eastAsiaTheme="minorEastAsia" w:hAnsiTheme="minorHAnsi" w:cstheme="minorBidi"/>
          <w:bCs w:val="0"/>
          <w:kern w:val="2"/>
          <w:szCs w:val="24"/>
          <w14:ligatures w14:val="standardContextual"/>
        </w:rPr>
      </w:pPr>
      <w:hyperlink w:anchor="_Toc213772167" w:history="1">
        <w:r w:rsidRPr="00AC173C">
          <w:rPr>
            <w:rStyle w:val="Hyperlink"/>
          </w:rPr>
          <w:t>11.2.8</w:t>
        </w:r>
        <w:r>
          <w:rPr>
            <w:rFonts w:asciiTheme="minorHAnsi" w:eastAsiaTheme="minorEastAsia" w:hAnsiTheme="minorHAnsi" w:cstheme="minorBidi"/>
            <w:bCs w:val="0"/>
            <w:kern w:val="2"/>
            <w:szCs w:val="24"/>
            <w14:ligatures w14:val="standardContextual"/>
          </w:rPr>
          <w:tab/>
        </w:r>
        <w:r w:rsidRPr="00AC173C">
          <w:rPr>
            <w:rStyle w:val="Hyperlink"/>
          </w:rPr>
          <w:t>Resolution of Conflicts</w:t>
        </w:r>
        <w:r>
          <w:rPr>
            <w:webHidden/>
          </w:rPr>
          <w:tab/>
        </w:r>
        <w:r>
          <w:rPr>
            <w:webHidden/>
          </w:rPr>
          <w:fldChar w:fldCharType="begin"/>
        </w:r>
        <w:r>
          <w:rPr>
            <w:webHidden/>
          </w:rPr>
          <w:instrText xml:space="preserve"> PAGEREF _Toc213772167 \h </w:instrText>
        </w:r>
        <w:r>
          <w:rPr>
            <w:webHidden/>
          </w:rPr>
        </w:r>
        <w:r>
          <w:rPr>
            <w:webHidden/>
          </w:rPr>
          <w:fldChar w:fldCharType="separate"/>
        </w:r>
        <w:r>
          <w:rPr>
            <w:webHidden/>
          </w:rPr>
          <w:t>350</w:t>
        </w:r>
        <w:r>
          <w:rPr>
            <w:webHidden/>
          </w:rPr>
          <w:fldChar w:fldCharType="end"/>
        </w:r>
      </w:hyperlink>
    </w:p>
    <w:p w14:paraId="65F8FB3E" w14:textId="25531BDB" w:rsidR="00023ECF" w:rsidRDefault="00023ECF">
      <w:pPr>
        <w:pStyle w:val="TOC1"/>
        <w:rPr>
          <w:rFonts w:asciiTheme="minorHAnsi" w:eastAsiaTheme="minorEastAsia" w:hAnsiTheme="minorHAnsi" w:cstheme="minorBidi"/>
          <w:b w:val="0"/>
          <w:kern w:val="2"/>
          <w:szCs w:val="24"/>
          <w14:ligatures w14:val="standardContextual"/>
        </w:rPr>
      </w:pPr>
      <w:hyperlink w:anchor="_Toc213772168" w:history="1">
        <w:r w:rsidRPr="00AC173C">
          <w:rPr>
            <w:rStyle w:val="Hyperlink"/>
          </w:rPr>
          <w:t>12</w:t>
        </w:r>
        <w:r>
          <w:rPr>
            <w:rFonts w:asciiTheme="minorHAnsi" w:eastAsiaTheme="minorEastAsia" w:hAnsiTheme="minorHAnsi" w:cstheme="minorBidi"/>
            <w:b w:val="0"/>
            <w:kern w:val="2"/>
            <w:szCs w:val="24"/>
            <w14:ligatures w14:val="standardContextual"/>
          </w:rPr>
          <w:tab/>
        </w:r>
        <w:r w:rsidRPr="00AC173C">
          <w:rPr>
            <w:rStyle w:val="Hyperlink"/>
          </w:rPr>
          <w:t>Market Process and System Change Process</w:t>
        </w:r>
        <w:r>
          <w:rPr>
            <w:webHidden/>
          </w:rPr>
          <w:tab/>
        </w:r>
        <w:r>
          <w:rPr>
            <w:webHidden/>
          </w:rPr>
          <w:fldChar w:fldCharType="begin"/>
        </w:r>
        <w:r>
          <w:rPr>
            <w:webHidden/>
          </w:rPr>
          <w:instrText xml:space="preserve"> PAGEREF _Toc213772168 \h </w:instrText>
        </w:r>
        <w:r>
          <w:rPr>
            <w:webHidden/>
          </w:rPr>
        </w:r>
        <w:r>
          <w:rPr>
            <w:webHidden/>
          </w:rPr>
          <w:fldChar w:fldCharType="separate"/>
        </w:r>
        <w:r>
          <w:rPr>
            <w:webHidden/>
          </w:rPr>
          <w:t>351</w:t>
        </w:r>
        <w:r>
          <w:rPr>
            <w:webHidden/>
          </w:rPr>
          <w:fldChar w:fldCharType="end"/>
        </w:r>
      </w:hyperlink>
    </w:p>
    <w:p w14:paraId="1BCB7768" w14:textId="0ED75D27" w:rsidR="00023ECF" w:rsidRDefault="00023ECF">
      <w:pPr>
        <w:pStyle w:val="TOC1"/>
        <w:tabs>
          <w:tab w:val="left" w:pos="1800"/>
        </w:tabs>
        <w:rPr>
          <w:rFonts w:asciiTheme="minorHAnsi" w:eastAsiaTheme="minorEastAsia" w:hAnsiTheme="minorHAnsi" w:cstheme="minorBidi"/>
          <w:b w:val="0"/>
          <w:kern w:val="2"/>
          <w:szCs w:val="24"/>
          <w14:ligatures w14:val="standardContextual"/>
        </w:rPr>
      </w:pPr>
      <w:hyperlink w:anchor="_Toc213772169" w:history="1">
        <w:r w:rsidRPr="00AC173C">
          <w:rPr>
            <w:rStyle w:val="Hyperlink"/>
            <w:kern w:val="28"/>
          </w:rPr>
          <w:t>Appendix A</w:t>
        </w:r>
        <w:r>
          <w:rPr>
            <w:rFonts w:asciiTheme="minorHAnsi" w:eastAsiaTheme="minorEastAsia" w:hAnsiTheme="minorHAnsi" w:cstheme="minorBidi"/>
            <w:b w:val="0"/>
            <w:kern w:val="2"/>
            <w:szCs w:val="24"/>
            <w14:ligatures w14:val="standardContextual"/>
          </w:rPr>
          <w:tab/>
        </w:r>
        <w:r w:rsidRPr="00AC173C">
          <w:rPr>
            <w:rStyle w:val="Hyperlink"/>
            <w:kern w:val="28"/>
          </w:rPr>
          <w:t>Meter Technical Protocols</w:t>
        </w:r>
        <w:r>
          <w:rPr>
            <w:webHidden/>
          </w:rPr>
          <w:tab/>
        </w:r>
        <w:r>
          <w:rPr>
            <w:webHidden/>
          </w:rPr>
          <w:fldChar w:fldCharType="begin"/>
        </w:r>
        <w:r>
          <w:rPr>
            <w:webHidden/>
          </w:rPr>
          <w:instrText xml:space="preserve"> PAGEREF _Toc213772169 \h </w:instrText>
        </w:r>
        <w:r>
          <w:rPr>
            <w:webHidden/>
          </w:rPr>
        </w:r>
        <w:r>
          <w:rPr>
            <w:webHidden/>
          </w:rPr>
          <w:fldChar w:fldCharType="separate"/>
        </w:r>
        <w:r>
          <w:rPr>
            <w:webHidden/>
          </w:rPr>
          <w:t>355</w:t>
        </w:r>
        <w:r>
          <w:rPr>
            <w:webHidden/>
          </w:rPr>
          <w:fldChar w:fldCharType="end"/>
        </w:r>
      </w:hyperlink>
    </w:p>
    <w:p w14:paraId="67B08A40" w14:textId="3EE59435" w:rsidR="00023ECF" w:rsidRDefault="00023ECF">
      <w:pPr>
        <w:pStyle w:val="TOC2"/>
        <w:rPr>
          <w:rFonts w:asciiTheme="minorHAnsi" w:eastAsiaTheme="minorEastAsia" w:hAnsiTheme="minorHAnsi" w:cstheme="minorBidi"/>
          <w:bCs w:val="0"/>
          <w:kern w:val="2"/>
          <w:szCs w:val="24"/>
          <w14:ligatures w14:val="standardContextual"/>
        </w:rPr>
      </w:pPr>
      <w:hyperlink w:anchor="_Toc213772170" w:history="1">
        <w:r w:rsidRPr="00AC173C">
          <w:rPr>
            <w:rStyle w:val="Hyperlink"/>
            <w:b/>
          </w:rPr>
          <w:t>A.1</w:t>
        </w:r>
        <w:r>
          <w:rPr>
            <w:rFonts w:asciiTheme="minorHAnsi" w:eastAsiaTheme="minorEastAsia" w:hAnsiTheme="minorHAnsi" w:cstheme="minorBidi"/>
            <w:bCs w:val="0"/>
            <w:kern w:val="2"/>
            <w:szCs w:val="24"/>
            <w14:ligatures w14:val="standardContextual"/>
          </w:rPr>
          <w:tab/>
        </w:r>
        <w:r w:rsidRPr="00AC173C">
          <w:rPr>
            <w:rStyle w:val="Hyperlink"/>
            <w:b/>
          </w:rPr>
          <w:t>Scope</w:t>
        </w:r>
        <w:r>
          <w:rPr>
            <w:webHidden/>
          </w:rPr>
          <w:tab/>
        </w:r>
        <w:r>
          <w:rPr>
            <w:webHidden/>
          </w:rPr>
          <w:fldChar w:fldCharType="begin"/>
        </w:r>
        <w:r>
          <w:rPr>
            <w:webHidden/>
          </w:rPr>
          <w:instrText xml:space="preserve"> PAGEREF _Toc213772170 \h </w:instrText>
        </w:r>
        <w:r>
          <w:rPr>
            <w:webHidden/>
          </w:rPr>
        </w:r>
        <w:r>
          <w:rPr>
            <w:webHidden/>
          </w:rPr>
          <w:fldChar w:fldCharType="separate"/>
        </w:r>
        <w:r>
          <w:rPr>
            <w:webHidden/>
          </w:rPr>
          <w:t>356</w:t>
        </w:r>
        <w:r>
          <w:rPr>
            <w:webHidden/>
          </w:rPr>
          <w:fldChar w:fldCharType="end"/>
        </w:r>
      </w:hyperlink>
    </w:p>
    <w:p w14:paraId="7AB49F4D" w14:textId="566784D1" w:rsidR="00023ECF" w:rsidRDefault="00023ECF">
      <w:pPr>
        <w:pStyle w:val="TOC2"/>
        <w:rPr>
          <w:rFonts w:asciiTheme="minorHAnsi" w:eastAsiaTheme="minorEastAsia" w:hAnsiTheme="minorHAnsi" w:cstheme="minorBidi"/>
          <w:bCs w:val="0"/>
          <w:kern w:val="2"/>
          <w:szCs w:val="24"/>
          <w14:ligatures w14:val="standardContextual"/>
        </w:rPr>
      </w:pPr>
      <w:hyperlink w:anchor="_Toc213772171" w:history="1">
        <w:r w:rsidRPr="00AC173C">
          <w:rPr>
            <w:rStyle w:val="Hyperlink"/>
            <w:b/>
          </w:rPr>
          <w:t>A.2</w:t>
        </w:r>
        <w:r>
          <w:rPr>
            <w:rFonts w:asciiTheme="minorHAnsi" w:eastAsiaTheme="minorEastAsia" w:hAnsiTheme="minorHAnsi" w:cstheme="minorBidi"/>
            <w:bCs w:val="0"/>
            <w:kern w:val="2"/>
            <w:szCs w:val="24"/>
            <w14:ligatures w14:val="standardContextual"/>
          </w:rPr>
          <w:tab/>
        </w:r>
        <w:r w:rsidRPr="00AC173C">
          <w:rPr>
            <w:rStyle w:val="Hyperlink"/>
            <w:b/>
          </w:rPr>
          <w:t>Purpose</w:t>
        </w:r>
        <w:r>
          <w:rPr>
            <w:webHidden/>
          </w:rPr>
          <w:tab/>
        </w:r>
        <w:r>
          <w:rPr>
            <w:webHidden/>
          </w:rPr>
          <w:fldChar w:fldCharType="begin"/>
        </w:r>
        <w:r>
          <w:rPr>
            <w:webHidden/>
          </w:rPr>
          <w:instrText xml:space="preserve"> PAGEREF _Toc213772171 \h </w:instrText>
        </w:r>
        <w:r>
          <w:rPr>
            <w:webHidden/>
          </w:rPr>
        </w:r>
        <w:r>
          <w:rPr>
            <w:webHidden/>
          </w:rPr>
          <w:fldChar w:fldCharType="separate"/>
        </w:r>
        <w:r>
          <w:rPr>
            <w:webHidden/>
          </w:rPr>
          <w:t>356</w:t>
        </w:r>
        <w:r>
          <w:rPr>
            <w:webHidden/>
          </w:rPr>
          <w:fldChar w:fldCharType="end"/>
        </w:r>
      </w:hyperlink>
    </w:p>
    <w:p w14:paraId="7E5035F2" w14:textId="4BA54D98" w:rsidR="00023ECF" w:rsidRDefault="00023ECF">
      <w:pPr>
        <w:pStyle w:val="TOC2"/>
        <w:rPr>
          <w:rFonts w:asciiTheme="minorHAnsi" w:eastAsiaTheme="minorEastAsia" w:hAnsiTheme="minorHAnsi" w:cstheme="minorBidi"/>
          <w:bCs w:val="0"/>
          <w:kern w:val="2"/>
          <w:szCs w:val="24"/>
          <w14:ligatures w14:val="standardContextual"/>
        </w:rPr>
      </w:pPr>
      <w:hyperlink w:anchor="_Toc213772172" w:history="1">
        <w:r w:rsidRPr="00AC173C">
          <w:rPr>
            <w:rStyle w:val="Hyperlink"/>
            <w:b/>
          </w:rPr>
          <w:t>A.3 Definitions</w:t>
        </w:r>
        <w:r>
          <w:rPr>
            <w:webHidden/>
          </w:rPr>
          <w:tab/>
        </w:r>
        <w:r>
          <w:rPr>
            <w:webHidden/>
          </w:rPr>
          <w:fldChar w:fldCharType="begin"/>
        </w:r>
        <w:r>
          <w:rPr>
            <w:webHidden/>
          </w:rPr>
          <w:instrText xml:space="preserve"> PAGEREF _Toc213772172 \h </w:instrText>
        </w:r>
        <w:r>
          <w:rPr>
            <w:webHidden/>
          </w:rPr>
        </w:r>
        <w:r>
          <w:rPr>
            <w:webHidden/>
          </w:rPr>
          <w:fldChar w:fldCharType="separate"/>
        </w:r>
        <w:r>
          <w:rPr>
            <w:webHidden/>
          </w:rPr>
          <w:t>356</w:t>
        </w:r>
        <w:r>
          <w:rPr>
            <w:webHidden/>
          </w:rPr>
          <w:fldChar w:fldCharType="end"/>
        </w:r>
      </w:hyperlink>
    </w:p>
    <w:p w14:paraId="6632712F" w14:textId="23A2B673" w:rsidR="00023ECF" w:rsidRDefault="00023ECF">
      <w:pPr>
        <w:pStyle w:val="TOC2"/>
        <w:rPr>
          <w:rFonts w:asciiTheme="minorHAnsi" w:eastAsiaTheme="minorEastAsia" w:hAnsiTheme="minorHAnsi" w:cstheme="minorBidi"/>
          <w:bCs w:val="0"/>
          <w:kern w:val="2"/>
          <w:szCs w:val="24"/>
          <w14:ligatures w14:val="standardContextual"/>
        </w:rPr>
      </w:pPr>
      <w:hyperlink w:anchor="_Toc213772173" w:history="1">
        <w:r w:rsidRPr="00AC173C">
          <w:rPr>
            <w:rStyle w:val="Hyperlink"/>
            <w:b/>
          </w:rPr>
          <w:t>A.4 Applicable Standards</w:t>
        </w:r>
        <w:r>
          <w:rPr>
            <w:webHidden/>
          </w:rPr>
          <w:tab/>
        </w:r>
        <w:r>
          <w:rPr>
            <w:webHidden/>
          </w:rPr>
          <w:fldChar w:fldCharType="begin"/>
        </w:r>
        <w:r>
          <w:rPr>
            <w:webHidden/>
          </w:rPr>
          <w:instrText xml:space="preserve"> PAGEREF _Toc213772173 \h </w:instrText>
        </w:r>
        <w:r>
          <w:rPr>
            <w:webHidden/>
          </w:rPr>
        </w:r>
        <w:r>
          <w:rPr>
            <w:webHidden/>
          </w:rPr>
          <w:fldChar w:fldCharType="separate"/>
        </w:r>
        <w:r>
          <w:rPr>
            <w:webHidden/>
          </w:rPr>
          <w:t>356</w:t>
        </w:r>
        <w:r>
          <w:rPr>
            <w:webHidden/>
          </w:rPr>
          <w:fldChar w:fldCharType="end"/>
        </w:r>
      </w:hyperlink>
    </w:p>
    <w:p w14:paraId="382D040C" w14:textId="4E35A9C4" w:rsidR="00023ECF" w:rsidRDefault="00023ECF">
      <w:pPr>
        <w:pStyle w:val="TOC2"/>
        <w:rPr>
          <w:rFonts w:asciiTheme="minorHAnsi" w:eastAsiaTheme="minorEastAsia" w:hAnsiTheme="minorHAnsi" w:cstheme="minorBidi"/>
          <w:bCs w:val="0"/>
          <w:kern w:val="2"/>
          <w:szCs w:val="24"/>
          <w14:ligatures w14:val="standardContextual"/>
        </w:rPr>
      </w:pPr>
      <w:hyperlink w:anchor="_Toc213772174" w:history="1">
        <w:r w:rsidRPr="00AC173C">
          <w:rPr>
            <w:rStyle w:val="Hyperlink"/>
            <w:b/>
          </w:rPr>
          <w:t>A.5</w:t>
        </w:r>
        <w:r>
          <w:rPr>
            <w:rFonts w:asciiTheme="minorHAnsi" w:eastAsiaTheme="minorEastAsia" w:hAnsiTheme="minorHAnsi" w:cstheme="minorBidi"/>
            <w:bCs w:val="0"/>
            <w:kern w:val="2"/>
            <w:szCs w:val="24"/>
            <w14:ligatures w14:val="standardContextual"/>
          </w:rPr>
          <w:tab/>
        </w:r>
        <w:r w:rsidRPr="00AC173C">
          <w:rPr>
            <w:rStyle w:val="Hyperlink"/>
            <w:b/>
          </w:rPr>
          <w:t>General</w:t>
        </w:r>
        <w:r>
          <w:rPr>
            <w:webHidden/>
          </w:rPr>
          <w:tab/>
        </w:r>
        <w:r>
          <w:rPr>
            <w:webHidden/>
          </w:rPr>
          <w:fldChar w:fldCharType="begin"/>
        </w:r>
        <w:r>
          <w:rPr>
            <w:webHidden/>
          </w:rPr>
          <w:instrText xml:space="preserve"> PAGEREF _Toc213772174 \h </w:instrText>
        </w:r>
        <w:r>
          <w:rPr>
            <w:webHidden/>
          </w:rPr>
        </w:r>
        <w:r>
          <w:rPr>
            <w:webHidden/>
          </w:rPr>
          <w:fldChar w:fldCharType="separate"/>
        </w:r>
        <w:r>
          <w:rPr>
            <w:webHidden/>
          </w:rPr>
          <w:t>357</w:t>
        </w:r>
        <w:r>
          <w:rPr>
            <w:webHidden/>
          </w:rPr>
          <w:fldChar w:fldCharType="end"/>
        </w:r>
      </w:hyperlink>
    </w:p>
    <w:p w14:paraId="32011062" w14:textId="58AB35B9" w:rsidR="00023ECF" w:rsidRDefault="00023ECF">
      <w:pPr>
        <w:pStyle w:val="TOC3"/>
        <w:rPr>
          <w:rFonts w:asciiTheme="minorHAnsi" w:eastAsiaTheme="minorEastAsia" w:hAnsiTheme="minorHAnsi" w:cstheme="minorBidi"/>
          <w:bCs w:val="0"/>
          <w:kern w:val="2"/>
          <w:szCs w:val="24"/>
          <w14:ligatures w14:val="standardContextual"/>
        </w:rPr>
      </w:pPr>
      <w:hyperlink w:anchor="_Toc213772175" w:history="1">
        <w:r w:rsidRPr="00AC173C">
          <w:rPr>
            <w:rStyle w:val="Hyperlink"/>
            <w:b/>
          </w:rPr>
          <w:t>A.5.1 Requirements Applicability Date for Existing and New Market Participants’ Metering Equipment</w:t>
        </w:r>
        <w:r>
          <w:rPr>
            <w:webHidden/>
          </w:rPr>
          <w:tab/>
        </w:r>
        <w:r>
          <w:rPr>
            <w:webHidden/>
          </w:rPr>
          <w:fldChar w:fldCharType="begin"/>
        </w:r>
        <w:r>
          <w:rPr>
            <w:webHidden/>
          </w:rPr>
          <w:instrText xml:space="preserve"> PAGEREF _Toc213772175 \h </w:instrText>
        </w:r>
        <w:r>
          <w:rPr>
            <w:webHidden/>
          </w:rPr>
        </w:r>
        <w:r>
          <w:rPr>
            <w:webHidden/>
          </w:rPr>
          <w:fldChar w:fldCharType="separate"/>
        </w:r>
        <w:r>
          <w:rPr>
            <w:webHidden/>
          </w:rPr>
          <w:t>357</w:t>
        </w:r>
        <w:r>
          <w:rPr>
            <w:webHidden/>
          </w:rPr>
          <w:fldChar w:fldCharType="end"/>
        </w:r>
      </w:hyperlink>
    </w:p>
    <w:p w14:paraId="6DDE5923" w14:textId="0DFDA41B" w:rsidR="00023ECF" w:rsidRDefault="00023ECF">
      <w:pPr>
        <w:pStyle w:val="TOC3"/>
        <w:rPr>
          <w:rFonts w:asciiTheme="minorHAnsi" w:eastAsiaTheme="minorEastAsia" w:hAnsiTheme="minorHAnsi" w:cstheme="minorBidi"/>
          <w:bCs w:val="0"/>
          <w:kern w:val="2"/>
          <w:szCs w:val="24"/>
          <w14:ligatures w14:val="standardContextual"/>
        </w:rPr>
      </w:pPr>
      <w:hyperlink w:anchor="_Toc213772176" w:history="1">
        <w:r w:rsidRPr="00AC173C">
          <w:rPr>
            <w:rStyle w:val="Hyperlink"/>
            <w:b/>
          </w:rPr>
          <w:t>A.5.2</w:t>
        </w:r>
        <w:r>
          <w:rPr>
            <w:rFonts w:asciiTheme="minorHAnsi" w:eastAsiaTheme="minorEastAsia" w:hAnsiTheme="minorHAnsi" w:cstheme="minorBidi"/>
            <w:bCs w:val="0"/>
            <w:kern w:val="2"/>
            <w:szCs w:val="24"/>
            <w14:ligatures w14:val="standardContextual"/>
          </w:rPr>
          <w:tab/>
        </w:r>
        <w:r w:rsidRPr="00AC173C">
          <w:rPr>
            <w:rStyle w:val="Hyperlink"/>
            <w:b/>
          </w:rPr>
          <w:t>Requirement Applicability by Component Type</w:t>
        </w:r>
        <w:r>
          <w:rPr>
            <w:webHidden/>
          </w:rPr>
          <w:tab/>
        </w:r>
        <w:r>
          <w:rPr>
            <w:webHidden/>
          </w:rPr>
          <w:fldChar w:fldCharType="begin"/>
        </w:r>
        <w:r>
          <w:rPr>
            <w:webHidden/>
          </w:rPr>
          <w:instrText xml:space="preserve"> PAGEREF _Toc213772176 \h </w:instrText>
        </w:r>
        <w:r>
          <w:rPr>
            <w:webHidden/>
          </w:rPr>
        </w:r>
        <w:r>
          <w:rPr>
            <w:webHidden/>
          </w:rPr>
          <w:fldChar w:fldCharType="separate"/>
        </w:r>
        <w:r>
          <w:rPr>
            <w:webHidden/>
          </w:rPr>
          <w:t>357</w:t>
        </w:r>
        <w:r>
          <w:rPr>
            <w:webHidden/>
          </w:rPr>
          <w:fldChar w:fldCharType="end"/>
        </w:r>
      </w:hyperlink>
    </w:p>
    <w:p w14:paraId="060E963E" w14:textId="0511BC98" w:rsidR="00023ECF" w:rsidRDefault="00023ECF">
      <w:pPr>
        <w:pStyle w:val="TOC3"/>
        <w:rPr>
          <w:rFonts w:asciiTheme="minorHAnsi" w:eastAsiaTheme="minorEastAsia" w:hAnsiTheme="minorHAnsi" w:cstheme="minorBidi"/>
          <w:bCs w:val="0"/>
          <w:kern w:val="2"/>
          <w:szCs w:val="24"/>
          <w14:ligatures w14:val="standardContextual"/>
        </w:rPr>
      </w:pPr>
      <w:hyperlink w:anchor="_Toc213772177" w:history="1">
        <w:r w:rsidRPr="00AC173C">
          <w:rPr>
            <w:rStyle w:val="Hyperlink"/>
            <w:b/>
          </w:rPr>
          <w:t>A.5.3       Testing, Maintenance, and Calibration Responsibilities</w:t>
        </w:r>
        <w:r>
          <w:rPr>
            <w:webHidden/>
          </w:rPr>
          <w:tab/>
        </w:r>
        <w:r>
          <w:rPr>
            <w:webHidden/>
          </w:rPr>
          <w:fldChar w:fldCharType="begin"/>
        </w:r>
        <w:r>
          <w:rPr>
            <w:webHidden/>
          </w:rPr>
          <w:instrText xml:space="preserve"> PAGEREF _Toc213772177 \h </w:instrText>
        </w:r>
        <w:r>
          <w:rPr>
            <w:webHidden/>
          </w:rPr>
        </w:r>
        <w:r>
          <w:rPr>
            <w:webHidden/>
          </w:rPr>
          <w:fldChar w:fldCharType="separate"/>
        </w:r>
        <w:r>
          <w:rPr>
            <w:webHidden/>
          </w:rPr>
          <w:t>357</w:t>
        </w:r>
        <w:r>
          <w:rPr>
            <w:webHidden/>
          </w:rPr>
          <w:fldChar w:fldCharType="end"/>
        </w:r>
      </w:hyperlink>
    </w:p>
    <w:p w14:paraId="78A68C2E" w14:textId="1274E59D" w:rsidR="00023ECF" w:rsidRDefault="00023ECF">
      <w:pPr>
        <w:pStyle w:val="TOC2"/>
        <w:rPr>
          <w:rFonts w:asciiTheme="minorHAnsi" w:eastAsiaTheme="minorEastAsia" w:hAnsiTheme="minorHAnsi" w:cstheme="minorBidi"/>
          <w:bCs w:val="0"/>
          <w:kern w:val="2"/>
          <w:szCs w:val="24"/>
          <w14:ligatures w14:val="standardContextual"/>
        </w:rPr>
      </w:pPr>
      <w:hyperlink w:anchor="_Toc213772178" w:history="1">
        <w:r w:rsidRPr="00AC173C">
          <w:rPr>
            <w:rStyle w:val="Hyperlink"/>
            <w:b/>
          </w:rPr>
          <w:t>A.6       Timing Standard</w:t>
        </w:r>
        <w:r>
          <w:rPr>
            <w:webHidden/>
          </w:rPr>
          <w:tab/>
        </w:r>
        <w:r>
          <w:rPr>
            <w:webHidden/>
          </w:rPr>
          <w:fldChar w:fldCharType="begin"/>
        </w:r>
        <w:r>
          <w:rPr>
            <w:webHidden/>
          </w:rPr>
          <w:instrText xml:space="preserve"> PAGEREF _Toc213772178 \h </w:instrText>
        </w:r>
        <w:r>
          <w:rPr>
            <w:webHidden/>
          </w:rPr>
        </w:r>
        <w:r>
          <w:rPr>
            <w:webHidden/>
          </w:rPr>
          <w:fldChar w:fldCharType="separate"/>
        </w:r>
        <w:r>
          <w:rPr>
            <w:webHidden/>
          </w:rPr>
          <w:t>357</w:t>
        </w:r>
        <w:r>
          <w:rPr>
            <w:webHidden/>
          </w:rPr>
          <w:fldChar w:fldCharType="end"/>
        </w:r>
      </w:hyperlink>
    </w:p>
    <w:p w14:paraId="285CC1BD" w14:textId="000E77A0" w:rsidR="00023ECF" w:rsidRDefault="00023ECF">
      <w:pPr>
        <w:pStyle w:val="TOC3"/>
        <w:rPr>
          <w:rFonts w:asciiTheme="minorHAnsi" w:eastAsiaTheme="minorEastAsia" w:hAnsiTheme="minorHAnsi" w:cstheme="minorBidi"/>
          <w:bCs w:val="0"/>
          <w:kern w:val="2"/>
          <w:szCs w:val="24"/>
          <w14:ligatures w14:val="standardContextual"/>
        </w:rPr>
      </w:pPr>
      <w:hyperlink w:anchor="_Toc213772179" w:history="1">
        <w:r w:rsidRPr="00AC173C">
          <w:rPr>
            <w:rStyle w:val="Hyperlink"/>
            <w:b/>
          </w:rPr>
          <w:t>A.6.1      Accumulators / Register Values</w:t>
        </w:r>
        <w:r>
          <w:rPr>
            <w:webHidden/>
          </w:rPr>
          <w:tab/>
        </w:r>
        <w:r>
          <w:rPr>
            <w:webHidden/>
          </w:rPr>
          <w:fldChar w:fldCharType="begin"/>
        </w:r>
        <w:r>
          <w:rPr>
            <w:webHidden/>
          </w:rPr>
          <w:instrText xml:space="preserve"> PAGEREF _Toc213772179 \h </w:instrText>
        </w:r>
        <w:r>
          <w:rPr>
            <w:webHidden/>
          </w:rPr>
        </w:r>
        <w:r>
          <w:rPr>
            <w:webHidden/>
          </w:rPr>
          <w:fldChar w:fldCharType="separate"/>
        </w:r>
        <w:r>
          <w:rPr>
            <w:webHidden/>
          </w:rPr>
          <w:t>357</w:t>
        </w:r>
        <w:r>
          <w:rPr>
            <w:webHidden/>
          </w:rPr>
          <w:fldChar w:fldCharType="end"/>
        </w:r>
      </w:hyperlink>
    </w:p>
    <w:p w14:paraId="09814169" w14:textId="6A8C36ED" w:rsidR="00023ECF" w:rsidRDefault="00023ECF">
      <w:pPr>
        <w:pStyle w:val="TOC3"/>
        <w:rPr>
          <w:rFonts w:asciiTheme="minorHAnsi" w:eastAsiaTheme="minorEastAsia" w:hAnsiTheme="minorHAnsi" w:cstheme="minorBidi"/>
          <w:bCs w:val="0"/>
          <w:kern w:val="2"/>
          <w:szCs w:val="24"/>
          <w14:ligatures w14:val="standardContextual"/>
        </w:rPr>
      </w:pPr>
      <w:hyperlink w:anchor="_Toc213772180" w:history="1">
        <w:r w:rsidRPr="00AC173C">
          <w:rPr>
            <w:rStyle w:val="Hyperlink"/>
            <w:b/>
          </w:rPr>
          <w:t>A.6.2     Timing Elements</w:t>
        </w:r>
        <w:r>
          <w:rPr>
            <w:webHidden/>
          </w:rPr>
          <w:tab/>
        </w:r>
        <w:r>
          <w:rPr>
            <w:webHidden/>
          </w:rPr>
          <w:fldChar w:fldCharType="begin"/>
        </w:r>
        <w:r>
          <w:rPr>
            <w:webHidden/>
          </w:rPr>
          <w:instrText xml:space="preserve"> PAGEREF _Toc213772180 \h </w:instrText>
        </w:r>
        <w:r>
          <w:rPr>
            <w:webHidden/>
          </w:rPr>
        </w:r>
        <w:r>
          <w:rPr>
            <w:webHidden/>
          </w:rPr>
          <w:fldChar w:fldCharType="separate"/>
        </w:r>
        <w:r>
          <w:rPr>
            <w:webHidden/>
          </w:rPr>
          <w:t>357</w:t>
        </w:r>
        <w:r>
          <w:rPr>
            <w:webHidden/>
          </w:rPr>
          <w:fldChar w:fldCharType="end"/>
        </w:r>
      </w:hyperlink>
    </w:p>
    <w:p w14:paraId="3EB71324" w14:textId="25B7B079" w:rsidR="00023ECF" w:rsidRDefault="00023ECF">
      <w:pPr>
        <w:pStyle w:val="TOC2"/>
        <w:rPr>
          <w:rFonts w:asciiTheme="minorHAnsi" w:eastAsiaTheme="minorEastAsia" w:hAnsiTheme="minorHAnsi" w:cstheme="minorBidi"/>
          <w:bCs w:val="0"/>
          <w:kern w:val="2"/>
          <w:szCs w:val="24"/>
          <w14:ligatures w14:val="standardContextual"/>
        </w:rPr>
      </w:pPr>
      <w:hyperlink w:anchor="_Toc213772181" w:history="1">
        <w:r w:rsidRPr="00AC173C">
          <w:rPr>
            <w:rStyle w:val="Hyperlink"/>
            <w:b/>
          </w:rPr>
          <w:t>A.7       Meters</w:t>
        </w:r>
        <w:r>
          <w:rPr>
            <w:webHidden/>
          </w:rPr>
          <w:tab/>
        </w:r>
        <w:r>
          <w:rPr>
            <w:webHidden/>
          </w:rPr>
          <w:fldChar w:fldCharType="begin"/>
        </w:r>
        <w:r>
          <w:rPr>
            <w:webHidden/>
          </w:rPr>
          <w:instrText xml:space="preserve"> PAGEREF _Toc213772181 \h </w:instrText>
        </w:r>
        <w:r>
          <w:rPr>
            <w:webHidden/>
          </w:rPr>
        </w:r>
        <w:r>
          <w:rPr>
            <w:webHidden/>
          </w:rPr>
          <w:fldChar w:fldCharType="separate"/>
        </w:r>
        <w:r>
          <w:rPr>
            <w:webHidden/>
          </w:rPr>
          <w:t>358</w:t>
        </w:r>
        <w:r>
          <w:rPr>
            <w:webHidden/>
          </w:rPr>
          <w:fldChar w:fldCharType="end"/>
        </w:r>
      </w:hyperlink>
    </w:p>
    <w:p w14:paraId="1066162F" w14:textId="17119738" w:rsidR="00023ECF" w:rsidRDefault="00023ECF">
      <w:pPr>
        <w:pStyle w:val="TOC3"/>
        <w:rPr>
          <w:rFonts w:asciiTheme="minorHAnsi" w:eastAsiaTheme="minorEastAsia" w:hAnsiTheme="minorHAnsi" w:cstheme="minorBidi"/>
          <w:bCs w:val="0"/>
          <w:kern w:val="2"/>
          <w:szCs w:val="24"/>
          <w14:ligatures w14:val="standardContextual"/>
        </w:rPr>
      </w:pPr>
      <w:hyperlink w:anchor="_Toc213772182" w:history="1">
        <w:r w:rsidRPr="00AC173C">
          <w:rPr>
            <w:rStyle w:val="Hyperlink"/>
            <w:b/>
          </w:rPr>
          <w:t>A.7.1      Measurement Quantities</w:t>
        </w:r>
        <w:r>
          <w:rPr>
            <w:webHidden/>
          </w:rPr>
          <w:tab/>
        </w:r>
        <w:r>
          <w:rPr>
            <w:webHidden/>
          </w:rPr>
          <w:fldChar w:fldCharType="begin"/>
        </w:r>
        <w:r>
          <w:rPr>
            <w:webHidden/>
          </w:rPr>
          <w:instrText xml:space="preserve"> PAGEREF _Toc213772182 \h </w:instrText>
        </w:r>
        <w:r>
          <w:rPr>
            <w:webHidden/>
          </w:rPr>
        </w:r>
        <w:r>
          <w:rPr>
            <w:webHidden/>
          </w:rPr>
          <w:fldChar w:fldCharType="separate"/>
        </w:r>
        <w:r>
          <w:rPr>
            <w:webHidden/>
          </w:rPr>
          <w:t>358</w:t>
        </w:r>
        <w:r>
          <w:rPr>
            <w:webHidden/>
          </w:rPr>
          <w:fldChar w:fldCharType="end"/>
        </w:r>
      </w:hyperlink>
    </w:p>
    <w:p w14:paraId="376DD534" w14:textId="5550B68C" w:rsidR="00023ECF" w:rsidRDefault="00023ECF">
      <w:pPr>
        <w:pStyle w:val="TOC4"/>
        <w:rPr>
          <w:rFonts w:asciiTheme="minorHAnsi" w:eastAsiaTheme="minorEastAsia" w:hAnsiTheme="minorHAnsi" w:cstheme="minorBidi"/>
          <w:bCs w:val="0"/>
          <w:kern w:val="2"/>
          <w:szCs w:val="24"/>
          <w14:ligatures w14:val="standardContextual"/>
        </w:rPr>
      </w:pPr>
      <w:hyperlink w:anchor="_Toc213772183" w:history="1">
        <w:r w:rsidRPr="00AC173C">
          <w:rPr>
            <w:rStyle w:val="Hyperlink"/>
            <w:b/>
          </w:rPr>
          <w:t>A.7.1.1    Register</w:t>
        </w:r>
        <w:r>
          <w:rPr>
            <w:webHidden/>
          </w:rPr>
          <w:tab/>
        </w:r>
        <w:r>
          <w:rPr>
            <w:webHidden/>
          </w:rPr>
          <w:fldChar w:fldCharType="begin"/>
        </w:r>
        <w:r>
          <w:rPr>
            <w:webHidden/>
          </w:rPr>
          <w:instrText xml:space="preserve"> PAGEREF _Toc213772183 \h </w:instrText>
        </w:r>
        <w:r>
          <w:rPr>
            <w:webHidden/>
          </w:rPr>
        </w:r>
        <w:r>
          <w:rPr>
            <w:webHidden/>
          </w:rPr>
          <w:fldChar w:fldCharType="separate"/>
        </w:r>
        <w:r>
          <w:rPr>
            <w:webHidden/>
          </w:rPr>
          <w:t>358</w:t>
        </w:r>
        <w:r>
          <w:rPr>
            <w:webHidden/>
          </w:rPr>
          <w:fldChar w:fldCharType="end"/>
        </w:r>
      </w:hyperlink>
    </w:p>
    <w:p w14:paraId="0B98F45A" w14:textId="596FC5A5" w:rsidR="00023ECF" w:rsidRDefault="00023ECF">
      <w:pPr>
        <w:pStyle w:val="TOC4"/>
        <w:rPr>
          <w:rFonts w:asciiTheme="minorHAnsi" w:eastAsiaTheme="minorEastAsia" w:hAnsiTheme="minorHAnsi" w:cstheme="minorBidi"/>
          <w:bCs w:val="0"/>
          <w:kern w:val="2"/>
          <w:szCs w:val="24"/>
          <w14:ligatures w14:val="standardContextual"/>
        </w:rPr>
      </w:pPr>
      <w:hyperlink w:anchor="_Toc213772184" w:history="1">
        <w:r w:rsidRPr="00AC173C">
          <w:rPr>
            <w:rStyle w:val="Hyperlink"/>
            <w:b/>
          </w:rPr>
          <w:t>A.7.1.2    Pulse Data</w:t>
        </w:r>
        <w:r>
          <w:rPr>
            <w:webHidden/>
          </w:rPr>
          <w:tab/>
        </w:r>
        <w:r>
          <w:rPr>
            <w:webHidden/>
          </w:rPr>
          <w:fldChar w:fldCharType="begin"/>
        </w:r>
        <w:r>
          <w:rPr>
            <w:webHidden/>
          </w:rPr>
          <w:instrText xml:space="preserve"> PAGEREF _Toc213772184 \h </w:instrText>
        </w:r>
        <w:r>
          <w:rPr>
            <w:webHidden/>
          </w:rPr>
        </w:r>
        <w:r>
          <w:rPr>
            <w:webHidden/>
          </w:rPr>
          <w:fldChar w:fldCharType="separate"/>
        </w:r>
        <w:r>
          <w:rPr>
            <w:webHidden/>
          </w:rPr>
          <w:t>358</w:t>
        </w:r>
        <w:r>
          <w:rPr>
            <w:webHidden/>
          </w:rPr>
          <w:fldChar w:fldCharType="end"/>
        </w:r>
      </w:hyperlink>
    </w:p>
    <w:p w14:paraId="05E2C69D" w14:textId="4687BF4A" w:rsidR="00023ECF" w:rsidRDefault="00023ECF">
      <w:pPr>
        <w:pStyle w:val="TOC4"/>
        <w:rPr>
          <w:rFonts w:asciiTheme="minorHAnsi" w:eastAsiaTheme="minorEastAsia" w:hAnsiTheme="minorHAnsi" w:cstheme="minorBidi"/>
          <w:bCs w:val="0"/>
          <w:kern w:val="2"/>
          <w:szCs w:val="24"/>
          <w14:ligatures w14:val="standardContextual"/>
        </w:rPr>
      </w:pPr>
      <w:hyperlink w:anchor="_Toc213772185" w:history="1">
        <w:r w:rsidRPr="00AC173C">
          <w:rPr>
            <w:rStyle w:val="Hyperlink"/>
            <w:b/>
          </w:rPr>
          <w:t>A.7.1.3    Real-Time</w:t>
        </w:r>
        <w:r>
          <w:rPr>
            <w:webHidden/>
          </w:rPr>
          <w:tab/>
        </w:r>
        <w:r>
          <w:rPr>
            <w:webHidden/>
          </w:rPr>
          <w:fldChar w:fldCharType="begin"/>
        </w:r>
        <w:r>
          <w:rPr>
            <w:webHidden/>
          </w:rPr>
          <w:instrText xml:space="preserve"> PAGEREF _Toc213772185 \h </w:instrText>
        </w:r>
        <w:r>
          <w:rPr>
            <w:webHidden/>
          </w:rPr>
        </w:r>
        <w:r>
          <w:rPr>
            <w:webHidden/>
          </w:rPr>
          <w:fldChar w:fldCharType="separate"/>
        </w:r>
        <w:r>
          <w:rPr>
            <w:webHidden/>
          </w:rPr>
          <w:t>358</w:t>
        </w:r>
        <w:r>
          <w:rPr>
            <w:webHidden/>
          </w:rPr>
          <w:fldChar w:fldCharType="end"/>
        </w:r>
      </w:hyperlink>
    </w:p>
    <w:p w14:paraId="67EA2510" w14:textId="1B43642C" w:rsidR="00023ECF" w:rsidRDefault="00023ECF">
      <w:pPr>
        <w:pStyle w:val="TOC3"/>
        <w:rPr>
          <w:rFonts w:asciiTheme="minorHAnsi" w:eastAsiaTheme="minorEastAsia" w:hAnsiTheme="minorHAnsi" w:cstheme="minorBidi"/>
          <w:bCs w:val="0"/>
          <w:kern w:val="2"/>
          <w:szCs w:val="24"/>
          <w14:ligatures w14:val="standardContextual"/>
        </w:rPr>
      </w:pPr>
      <w:hyperlink w:anchor="_Toc213772186" w:history="1">
        <w:r w:rsidRPr="00AC173C">
          <w:rPr>
            <w:rStyle w:val="Hyperlink"/>
            <w:b/>
          </w:rPr>
          <w:t>A.7.2      Accuracy</w:t>
        </w:r>
        <w:r>
          <w:rPr>
            <w:webHidden/>
          </w:rPr>
          <w:tab/>
        </w:r>
        <w:r>
          <w:rPr>
            <w:webHidden/>
          </w:rPr>
          <w:fldChar w:fldCharType="begin"/>
        </w:r>
        <w:r>
          <w:rPr>
            <w:webHidden/>
          </w:rPr>
          <w:instrText xml:space="preserve"> PAGEREF _Toc213772186 \h </w:instrText>
        </w:r>
        <w:r>
          <w:rPr>
            <w:webHidden/>
          </w:rPr>
        </w:r>
        <w:r>
          <w:rPr>
            <w:webHidden/>
          </w:rPr>
          <w:fldChar w:fldCharType="separate"/>
        </w:r>
        <w:r>
          <w:rPr>
            <w:webHidden/>
          </w:rPr>
          <w:t>358</w:t>
        </w:r>
        <w:r>
          <w:rPr>
            <w:webHidden/>
          </w:rPr>
          <w:fldChar w:fldCharType="end"/>
        </w:r>
      </w:hyperlink>
    </w:p>
    <w:p w14:paraId="1C9CC137" w14:textId="16759BB6" w:rsidR="00023ECF" w:rsidRDefault="00023ECF">
      <w:pPr>
        <w:pStyle w:val="TOC3"/>
        <w:rPr>
          <w:rFonts w:asciiTheme="minorHAnsi" w:eastAsiaTheme="minorEastAsia" w:hAnsiTheme="minorHAnsi" w:cstheme="minorBidi"/>
          <w:bCs w:val="0"/>
          <w:kern w:val="2"/>
          <w:szCs w:val="24"/>
          <w14:ligatures w14:val="standardContextual"/>
        </w:rPr>
      </w:pPr>
      <w:hyperlink w:anchor="_Toc213772187" w:history="1">
        <w:r w:rsidRPr="00AC173C">
          <w:rPr>
            <w:rStyle w:val="Hyperlink"/>
            <w:b/>
          </w:rPr>
          <w:t>A.7.3      Testing</w:t>
        </w:r>
        <w:r>
          <w:rPr>
            <w:webHidden/>
          </w:rPr>
          <w:tab/>
        </w:r>
        <w:r>
          <w:rPr>
            <w:webHidden/>
          </w:rPr>
          <w:fldChar w:fldCharType="begin"/>
        </w:r>
        <w:r>
          <w:rPr>
            <w:webHidden/>
          </w:rPr>
          <w:instrText xml:space="preserve"> PAGEREF _Toc213772187 \h </w:instrText>
        </w:r>
        <w:r>
          <w:rPr>
            <w:webHidden/>
          </w:rPr>
        </w:r>
        <w:r>
          <w:rPr>
            <w:webHidden/>
          </w:rPr>
          <w:fldChar w:fldCharType="separate"/>
        </w:r>
        <w:r>
          <w:rPr>
            <w:webHidden/>
          </w:rPr>
          <w:t>358</w:t>
        </w:r>
        <w:r>
          <w:rPr>
            <w:webHidden/>
          </w:rPr>
          <w:fldChar w:fldCharType="end"/>
        </w:r>
      </w:hyperlink>
    </w:p>
    <w:p w14:paraId="44AD0BC2" w14:textId="01D5075C" w:rsidR="00023ECF" w:rsidRDefault="00023ECF">
      <w:pPr>
        <w:pStyle w:val="TOC4"/>
        <w:rPr>
          <w:rFonts w:asciiTheme="minorHAnsi" w:eastAsiaTheme="minorEastAsia" w:hAnsiTheme="minorHAnsi" w:cstheme="minorBidi"/>
          <w:bCs w:val="0"/>
          <w:kern w:val="2"/>
          <w:szCs w:val="24"/>
          <w14:ligatures w14:val="standardContextual"/>
        </w:rPr>
      </w:pPr>
      <w:hyperlink w:anchor="_Toc213772188" w:history="1">
        <w:r w:rsidRPr="00AC173C">
          <w:rPr>
            <w:rStyle w:val="Hyperlink"/>
            <w:b/>
          </w:rPr>
          <w:t>A.7.3.1    Testing Equipment</w:t>
        </w:r>
        <w:r>
          <w:rPr>
            <w:webHidden/>
          </w:rPr>
          <w:tab/>
        </w:r>
        <w:r>
          <w:rPr>
            <w:webHidden/>
          </w:rPr>
          <w:fldChar w:fldCharType="begin"/>
        </w:r>
        <w:r>
          <w:rPr>
            <w:webHidden/>
          </w:rPr>
          <w:instrText xml:space="preserve"> PAGEREF _Toc213772188 \h </w:instrText>
        </w:r>
        <w:r>
          <w:rPr>
            <w:webHidden/>
          </w:rPr>
        </w:r>
        <w:r>
          <w:rPr>
            <w:webHidden/>
          </w:rPr>
          <w:fldChar w:fldCharType="separate"/>
        </w:r>
        <w:r>
          <w:rPr>
            <w:webHidden/>
          </w:rPr>
          <w:t>358</w:t>
        </w:r>
        <w:r>
          <w:rPr>
            <w:webHidden/>
          </w:rPr>
          <w:fldChar w:fldCharType="end"/>
        </w:r>
      </w:hyperlink>
    </w:p>
    <w:p w14:paraId="3DA8F4D5" w14:textId="53B4BC6F" w:rsidR="00023ECF" w:rsidRDefault="00023ECF">
      <w:pPr>
        <w:pStyle w:val="TOC4"/>
        <w:rPr>
          <w:rFonts w:asciiTheme="minorHAnsi" w:eastAsiaTheme="minorEastAsia" w:hAnsiTheme="minorHAnsi" w:cstheme="minorBidi"/>
          <w:bCs w:val="0"/>
          <w:kern w:val="2"/>
          <w:szCs w:val="24"/>
          <w14:ligatures w14:val="standardContextual"/>
        </w:rPr>
      </w:pPr>
      <w:hyperlink w:anchor="_Toc213772189" w:history="1">
        <w:r w:rsidRPr="00AC173C">
          <w:rPr>
            <w:rStyle w:val="Hyperlink"/>
            <w:b/>
          </w:rPr>
          <w:t>A.7.3.2    Acceptance Testing</w:t>
        </w:r>
        <w:r>
          <w:rPr>
            <w:webHidden/>
          </w:rPr>
          <w:tab/>
        </w:r>
        <w:r>
          <w:rPr>
            <w:webHidden/>
          </w:rPr>
          <w:fldChar w:fldCharType="begin"/>
        </w:r>
        <w:r>
          <w:rPr>
            <w:webHidden/>
          </w:rPr>
          <w:instrText xml:space="preserve"> PAGEREF _Toc213772189 \h </w:instrText>
        </w:r>
        <w:r>
          <w:rPr>
            <w:webHidden/>
          </w:rPr>
        </w:r>
        <w:r>
          <w:rPr>
            <w:webHidden/>
          </w:rPr>
          <w:fldChar w:fldCharType="separate"/>
        </w:r>
        <w:r>
          <w:rPr>
            <w:webHidden/>
          </w:rPr>
          <w:t>358</w:t>
        </w:r>
        <w:r>
          <w:rPr>
            <w:webHidden/>
          </w:rPr>
          <w:fldChar w:fldCharType="end"/>
        </w:r>
      </w:hyperlink>
    </w:p>
    <w:p w14:paraId="15C563AD" w14:textId="3FDF30B3" w:rsidR="00023ECF" w:rsidRDefault="00023ECF">
      <w:pPr>
        <w:pStyle w:val="TOC4"/>
        <w:rPr>
          <w:rFonts w:asciiTheme="minorHAnsi" w:eastAsiaTheme="minorEastAsia" w:hAnsiTheme="minorHAnsi" w:cstheme="minorBidi"/>
          <w:bCs w:val="0"/>
          <w:kern w:val="2"/>
          <w:szCs w:val="24"/>
          <w14:ligatures w14:val="standardContextual"/>
        </w:rPr>
      </w:pPr>
      <w:hyperlink w:anchor="_Toc213772190" w:history="1">
        <w:r w:rsidRPr="00AC173C">
          <w:rPr>
            <w:rStyle w:val="Hyperlink"/>
            <w:b/>
          </w:rPr>
          <w:t>A.7.3.3     In-Service Testing</w:t>
        </w:r>
        <w:r>
          <w:rPr>
            <w:webHidden/>
          </w:rPr>
          <w:tab/>
        </w:r>
        <w:r>
          <w:rPr>
            <w:webHidden/>
          </w:rPr>
          <w:fldChar w:fldCharType="begin"/>
        </w:r>
        <w:r>
          <w:rPr>
            <w:webHidden/>
          </w:rPr>
          <w:instrText xml:space="preserve"> PAGEREF _Toc213772190 \h </w:instrText>
        </w:r>
        <w:r>
          <w:rPr>
            <w:webHidden/>
          </w:rPr>
        </w:r>
        <w:r>
          <w:rPr>
            <w:webHidden/>
          </w:rPr>
          <w:fldChar w:fldCharType="separate"/>
        </w:r>
        <w:r>
          <w:rPr>
            <w:webHidden/>
          </w:rPr>
          <w:t>359</w:t>
        </w:r>
        <w:r>
          <w:rPr>
            <w:webHidden/>
          </w:rPr>
          <w:fldChar w:fldCharType="end"/>
        </w:r>
      </w:hyperlink>
    </w:p>
    <w:p w14:paraId="508DA496" w14:textId="177071F9" w:rsidR="00023ECF" w:rsidRDefault="00023ECF">
      <w:pPr>
        <w:pStyle w:val="TOC4"/>
        <w:rPr>
          <w:rFonts w:asciiTheme="minorHAnsi" w:eastAsiaTheme="minorEastAsia" w:hAnsiTheme="minorHAnsi" w:cstheme="minorBidi"/>
          <w:bCs w:val="0"/>
          <w:kern w:val="2"/>
          <w:szCs w:val="24"/>
          <w14:ligatures w14:val="standardContextual"/>
        </w:rPr>
      </w:pPr>
      <w:hyperlink w:anchor="_Toc213772191" w:history="1">
        <w:r w:rsidRPr="00AC173C">
          <w:rPr>
            <w:rStyle w:val="Hyperlink"/>
            <w:b/>
          </w:rPr>
          <w:t>A.7.3.4    Verification Records and Retention</w:t>
        </w:r>
        <w:r>
          <w:rPr>
            <w:webHidden/>
          </w:rPr>
          <w:tab/>
        </w:r>
        <w:r>
          <w:rPr>
            <w:webHidden/>
          </w:rPr>
          <w:fldChar w:fldCharType="begin"/>
        </w:r>
        <w:r>
          <w:rPr>
            <w:webHidden/>
          </w:rPr>
          <w:instrText xml:space="preserve"> PAGEREF _Toc213772191 \h </w:instrText>
        </w:r>
        <w:r>
          <w:rPr>
            <w:webHidden/>
          </w:rPr>
        </w:r>
        <w:r>
          <w:rPr>
            <w:webHidden/>
          </w:rPr>
          <w:fldChar w:fldCharType="separate"/>
        </w:r>
        <w:r>
          <w:rPr>
            <w:webHidden/>
          </w:rPr>
          <w:t>359</w:t>
        </w:r>
        <w:r>
          <w:rPr>
            <w:webHidden/>
          </w:rPr>
          <w:fldChar w:fldCharType="end"/>
        </w:r>
      </w:hyperlink>
    </w:p>
    <w:p w14:paraId="64EFE5EE" w14:textId="22723346" w:rsidR="00023ECF" w:rsidRDefault="00023ECF">
      <w:pPr>
        <w:pStyle w:val="TOC3"/>
        <w:rPr>
          <w:rFonts w:asciiTheme="minorHAnsi" w:eastAsiaTheme="minorEastAsia" w:hAnsiTheme="minorHAnsi" w:cstheme="minorBidi"/>
          <w:bCs w:val="0"/>
          <w:kern w:val="2"/>
          <w:szCs w:val="24"/>
          <w14:ligatures w14:val="standardContextual"/>
        </w:rPr>
      </w:pPr>
      <w:hyperlink w:anchor="_Toc213772192" w:history="1">
        <w:r w:rsidRPr="00AC173C">
          <w:rPr>
            <w:rStyle w:val="Hyperlink"/>
            <w:b/>
          </w:rPr>
          <w:t>A.7.4     Real-Time Metering</w:t>
        </w:r>
        <w:r>
          <w:rPr>
            <w:webHidden/>
          </w:rPr>
          <w:tab/>
        </w:r>
        <w:r>
          <w:rPr>
            <w:webHidden/>
          </w:rPr>
          <w:fldChar w:fldCharType="begin"/>
        </w:r>
        <w:r>
          <w:rPr>
            <w:webHidden/>
          </w:rPr>
          <w:instrText xml:space="preserve"> PAGEREF _Toc213772192 \h </w:instrText>
        </w:r>
        <w:r>
          <w:rPr>
            <w:webHidden/>
          </w:rPr>
        </w:r>
        <w:r>
          <w:rPr>
            <w:webHidden/>
          </w:rPr>
          <w:fldChar w:fldCharType="separate"/>
        </w:r>
        <w:r>
          <w:rPr>
            <w:webHidden/>
          </w:rPr>
          <w:t>360</w:t>
        </w:r>
        <w:r>
          <w:rPr>
            <w:webHidden/>
          </w:rPr>
          <w:fldChar w:fldCharType="end"/>
        </w:r>
      </w:hyperlink>
    </w:p>
    <w:p w14:paraId="6254DAB0" w14:textId="4FB0670D" w:rsidR="00023ECF" w:rsidRDefault="00023ECF">
      <w:pPr>
        <w:pStyle w:val="TOC4"/>
        <w:rPr>
          <w:rFonts w:asciiTheme="minorHAnsi" w:eastAsiaTheme="minorEastAsia" w:hAnsiTheme="minorHAnsi" w:cstheme="minorBidi"/>
          <w:bCs w:val="0"/>
          <w:kern w:val="2"/>
          <w:szCs w:val="24"/>
          <w14:ligatures w14:val="standardContextual"/>
        </w:rPr>
      </w:pPr>
      <w:hyperlink w:anchor="_Toc213772193" w:history="1">
        <w:r w:rsidRPr="00AC173C">
          <w:rPr>
            <w:rStyle w:val="Hyperlink"/>
            <w:b/>
          </w:rPr>
          <w:t>A.7.4.1  General</w:t>
        </w:r>
        <w:r>
          <w:rPr>
            <w:webHidden/>
          </w:rPr>
          <w:tab/>
        </w:r>
        <w:r>
          <w:rPr>
            <w:webHidden/>
          </w:rPr>
          <w:fldChar w:fldCharType="begin"/>
        </w:r>
        <w:r>
          <w:rPr>
            <w:webHidden/>
          </w:rPr>
          <w:instrText xml:space="preserve"> PAGEREF _Toc213772193 \h </w:instrText>
        </w:r>
        <w:r>
          <w:rPr>
            <w:webHidden/>
          </w:rPr>
        </w:r>
        <w:r>
          <w:rPr>
            <w:webHidden/>
          </w:rPr>
          <w:fldChar w:fldCharType="separate"/>
        </w:r>
        <w:r>
          <w:rPr>
            <w:webHidden/>
          </w:rPr>
          <w:t>360</w:t>
        </w:r>
        <w:r>
          <w:rPr>
            <w:webHidden/>
          </w:rPr>
          <w:fldChar w:fldCharType="end"/>
        </w:r>
      </w:hyperlink>
    </w:p>
    <w:p w14:paraId="6C567C1C" w14:textId="496494D4" w:rsidR="00023ECF" w:rsidRDefault="00023ECF">
      <w:pPr>
        <w:pStyle w:val="TOC3"/>
        <w:rPr>
          <w:rFonts w:asciiTheme="minorHAnsi" w:eastAsiaTheme="minorEastAsia" w:hAnsiTheme="minorHAnsi" w:cstheme="minorBidi"/>
          <w:bCs w:val="0"/>
          <w:kern w:val="2"/>
          <w:szCs w:val="24"/>
          <w14:ligatures w14:val="standardContextual"/>
        </w:rPr>
      </w:pPr>
      <w:hyperlink w:anchor="_Toc213772194" w:history="1">
        <w:r w:rsidRPr="00AC173C">
          <w:rPr>
            <w:rStyle w:val="Hyperlink"/>
            <w:b/>
          </w:rPr>
          <w:t>A.7.5     Current Transformers</w:t>
        </w:r>
        <w:r>
          <w:rPr>
            <w:webHidden/>
          </w:rPr>
          <w:tab/>
        </w:r>
        <w:r>
          <w:rPr>
            <w:webHidden/>
          </w:rPr>
          <w:fldChar w:fldCharType="begin"/>
        </w:r>
        <w:r>
          <w:rPr>
            <w:webHidden/>
          </w:rPr>
          <w:instrText xml:space="preserve"> PAGEREF _Toc213772194 \h </w:instrText>
        </w:r>
        <w:r>
          <w:rPr>
            <w:webHidden/>
          </w:rPr>
        </w:r>
        <w:r>
          <w:rPr>
            <w:webHidden/>
          </w:rPr>
          <w:fldChar w:fldCharType="separate"/>
        </w:r>
        <w:r>
          <w:rPr>
            <w:webHidden/>
          </w:rPr>
          <w:t>361</w:t>
        </w:r>
        <w:r>
          <w:rPr>
            <w:webHidden/>
          </w:rPr>
          <w:fldChar w:fldCharType="end"/>
        </w:r>
      </w:hyperlink>
    </w:p>
    <w:p w14:paraId="4CE426C5" w14:textId="66724478" w:rsidR="00023ECF" w:rsidRDefault="00023ECF">
      <w:pPr>
        <w:pStyle w:val="TOC4"/>
        <w:rPr>
          <w:rFonts w:asciiTheme="minorHAnsi" w:eastAsiaTheme="minorEastAsia" w:hAnsiTheme="minorHAnsi" w:cstheme="minorBidi"/>
          <w:bCs w:val="0"/>
          <w:kern w:val="2"/>
          <w:szCs w:val="24"/>
          <w14:ligatures w14:val="standardContextual"/>
        </w:rPr>
      </w:pPr>
      <w:hyperlink w:anchor="_Toc213772195" w:history="1">
        <w:r w:rsidRPr="00AC173C">
          <w:rPr>
            <w:rStyle w:val="Hyperlink"/>
            <w:b/>
          </w:rPr>
          <w:t>A.7.5.1   Specifications</w:t>
        </w:r>
        <w:r>
          <w:rPr>
            <w:webHidden/>
          </w:rPr>
          <w:tab/>
        </w:r>
        <w:r>
          <w:rPr>
            <w:webHidden/>
          </w:rPr>
          <w:fldChar w:fldCharType="begin"/>
        </w:r>
        <w:r>
          <w:rPr>
            <w:webHidden/>
          </w:rPr>
          <w:instrText xml:space="preserve"> PAGEREF _Toc213772195 \h </w:instrText>
        </w:r>
        <w:r>
          <w:rPr>
            <w:webHidden/>
          </w:rPr>
        </w:r>
        <w:r>
          <w:rPr>
            <w:webHidden/>
          </w:rPr>
          <w:fldChar w:fldCharType="separate"/>
        </w:r>
        <w:r>
          <w:rPr>
            <w:webHidden/>
          </w:rPr>
          <w:t>361</w:t>
        </w:r>
        <w:r>
          <w:rPr>
            <w:webHidden/>
          </w:rPr>
          <w:fldChar w:fldCharType="end"/>
        </w:r>
      </w:hyperlink>
    </w:p>
    <w:p w14:paraId="67B04348" w14:textId="169FB687" w:rsidR="00023ECF" w:rsidRDefault="00023ECF">
      <w:pPr>
        <w:pStyle w:val="TOC4"/>
        <w:rPr>
          <w:rFonts w:asciiTheme="minorHAnsi" w:eastAsiaTheme="minorEastAsia" w:hAnsiTheme="minorHAnsi" w:cstheme="minorBidi"/>
          <w:bCs w:val="0"/>
          <w:kern w:val="2"/>
          <w:szCs w:val="24"/>
          <w14:ligatures w14:val="standardContextual"/>
        </w:rPr>
      </w:pPr>
      <w:hyperlink w:anchor="_Toc213772196" w:history="1">
        <w:r w:rsidRPr="00AC173C">
          <w:rPr>
            <w:rStyle w:val="Hyperlink"/>
            <w:b/>
          </w:rPr>
          <w:t>A.7.5.2    Nameplate</w:t>
        </w:r>
        <w:r>
          <w:rPr>
            <w:webHidden/>
          </w:rPr>
          <w:tab/>
        </w:r>
        <w:r>
          <w:rPr>
            <w:webHidden/>
          </w:rPr>
          <w:fldChar w:fldCharType="begin"/>
        </w:r>
        <w:r>
          <w:rPr>
            <w:webHidden/>
          </w:rPr>
          <w:instrText xml:space="preserve"> PAGEREF _Toc213772196 \h </w:instrText>
        </w:r>
        <w:r>
          <w:rPr>
            <w:webHidden/>
          </w:rPr>
        </w:r>
        <w:r>
          <w:rPr>
            <w:webHidden/>
          </w:rPr>
          <w:fldChar w:fldCharType="separate"/>
        </w:r>
        <w:r>
          <w:rPr>
            <w:webHidden/>
          </w:rPr>
          <w:t>361</w:t>
        </w:r>
        <w:r>
          <w:rPr>
            <w:webHidden/>
          </w:rPr>
          <w:fldChar w:fldCharType="end"/>
        </w:r>
      </w:hyperlink>
    </w:p>
    <w:p w14:paraId="70121AB0" w14:textId="4EE1AAFD" w:rsidR="00023ECF" w:rsidRDefault="00023ECF">
      <w:pPr>
        <w:pStyle w:val="TOC4"/>
        <w:rPr>
          <w:rFonts w:asciiTheme="minorHAnsi" w:eastAsiaTheme="minorEastAsia" w:hAnsiTheme="minorHAnsi" w:cstheme="minorBidi"/>
          <w:bCs w:val="0"/>
          <w:kern w:val="2"/>
          <w:szCs w:val="24"/>
          <w14:ligatures w14:val="standardContextual"/>
        </w:rPr>
      </w:pPr>
      <w:hyperlink w:anchor="_Toc213772197" w:history="1">
        <w:r w:rsidRPr="00AC173C">
          <w:rPr>
            <w:rStyle w:val="Hyperlink"/>
            <w:b/>
          </w:rPr>
          <w:t>A.7.5.3   Electromechanical Burden Testing</w:t>
        </w:r>
        <w:r>
          <w:rPr>
            <w:webHidden/>
          </w:rPr>
          <w:tab/>
        </w:r>
        <w:r>
          <w:rPr>
            <w:webHidden/>
          </w:rPr>
          <w:fldChar w:fldCharType="begin"/>
        </w:r>
        <w:r>
          <w:rPr>
            <w:webHidden/>
          </w:rPr>
          <w:instrText xml:space="preserve"> PAGEREF _Toc213772197 \h </w:instrText>
        </w:r>
        <w:r>
          <w:rPr>
            <w:webHidden/>
          </w:rPr>
        </w:r>
        <w:r>
          <w:rPr>
            <w:webHidden/>
          </w:rPr>
          <w:fldChar w:fldCharType="separate"/>
        </w:r>
        <w:r>
          <w:rPr>
            <w:webHidden/>
          </w:rPr>
          <w:t>361</w:t>
        </w:r>
        <w:r>
          <w:rPr>
            <w:webHidden/>
          </w:rPr>
          <w:fldChar w:fldCharType="end"/>
        </w:r>
      </w:hyperlink>
    </w:p>
    <w:p w14:paraId="0196C39C" w14:textId="67D20AAD" w:rsidR="00023ECF" w:rsidRDefault="00023ECF">
      <w:pPr>
        <w:pStyle w:val="TOC4"/>
        <w:rPr>
          <w:rFonts w:asciiTheme="minorHAnsi" w:eastAsiaTheme="minorEastAsia" w:hAnsiTheme="minorHAnsi" w:cstheme="minorBidi"/>
          <w:bCs w:val="0"/>
          <w:kern w:val="2"/>
          <w:szCs w:val="24"/>
          <w14:ligatures w14:val="standardContextual"/>
        </w:rPr>
      </w:pPr>
      <w:hyperlink w:anchor="_Toc213772198" w:history="1">
        <w:r w:rsidRPr="00AC173C">
          <w:rPr>
            <w:rStyle w:val="Hyperlink"/>
            <w:b/>
          </w:rPr>
          <w:t>A.7.5.4   Paralleling</w:t>
        </w:r>
        <w:r>
          <w:rPr>
            <w:webHidden/>
          </w:rPr>
          <w:tab/>
        </w:r>
        <w:r>
          <w:rPr>
            <w:webHidden/>
          </w:rPr>
          <w:fldChar w:fldCharType="begin"/>
        </w:r>
        <w:r>
          <w:rPr>
            <w:webHidden/>
          </w:rPr>
          <w:instrText xml:space="preserve"> PAGEREF _Toc213772198 \h </w:instrText>
        </w:r>
        <w:r>
          <w:rPr>
            <w:webHidden/>
          </w:rPr>
        </w:r>
        <w:r>
          <w:rPr>
            <w:webHidden/>
          </w:rPr>
          <w:fldChar w:fldCharType="separate"/>
        </w:r>
        <w:r>
          <w:rPr>
            <w:webHidden/>
          </w:rPr>
          <w:t>362</w:t>
        </w:r>
        <w:r>
          <w:rPr>
            <w:webHidden/>
          </w:rPr>
          <w:fldChar w:fldCharType="end"/>
        </w:r>
      </w:hyperlink>
    </w:p>
    <w:p w14:paraId="0FDAD9EB" w14:textId="468AE6FD" w:rsidR="00023ECF" w:rsidRDefault="00023ECF">
      <w:pPr>
        <w:pStyle w:val="TOC3"/>
        <w:rPr>
          <w:rFonts w:asciiTheme="minorHAnsi" w:eastAsiaTheme="minorEastAsia" w:hAnsiTheme="minorHAnsi" w:cstheme="minorBidi"/>
          <w:bCs w:val="0"/>
          <w:kern w:val="2"/>
          <w:szCs w:val="24"/>
          <w14:ligatures w14:val="standardContextual"/>
        </w:rPr>
      </w:pPr>
      <w:hyperlink w:anchor="_Toc213772199" w:history="1">
        <w:r w:rsidRPr="00AC173C">
          <w:rPr>
            <w:rStyle w:val="Hyperlink"/>
            <w:b/>
          </w:rPr>
          <w:t>A7.6     Coupling Capacitor Voltage Transformers</w:t>
        </w:r>
        <w:r>
          <w:rPr>
            <w:webHidden/>
          </w:rPr>
          <w:tab/>
        </w:r>
        <w:r>
          <w:rPr>
            <w:webHidden/>
          </w:rPr>
          <w:fldChar w:fldCharType="begin"/>
        </w:r>
        <w:r>
          <w:rPr>
            <w:webHidden/>
          </w:rPr>
          <w:instrText xml:space="preserve"> PAGEREF _Toc213772199 \h </w:instrText>
        </w:r>
        <w:r>
          <w:rPr>
            <w:webHidden/>
          </w:rPr>
        </w:r>
        <w:r>
          <w:rPr>
            <w:webHidden/>
          </w:rPr>
          <w:fldChar w:fldCharType="separate"/>
        </w:r>
        <w:r>
          <w:rPr>
            <w:webHidden/>
          </w:rPr>
          <w:t>362</w:t>
        </w:r>
        <w:r>
          <w:rPr>
            <w:webHidden/>
          </w:rPr>
          <w:fldChar w:fldCharType="end"/>
        </w:r>
      </w:hyperlink>
    </w:p>
    <w:p w14:paraId="59E6C039" w14:textId="0BABA3FB" w:rsidR="00023ECF" w:rsidRDefault="00023ECF">
      <w:pPr>
        <w:pStyle w:val="TOC4"/>
        <w:rPr>
          <w:rFonts w:asciiTheme="minorHAnsi" w:eastAsiaTheme="minorEastAsia" w:hAnsiTheme="minorHAnsi" w:cstheme="minorBidi"/>
          <w:bCs w:val="0"/>
          <w:kern w:val="2"/>
          <w:szCs w:val="24"/>
          <w14:ligatures w14:val="standardContextual"/>
        </w:rPr>
      </w:pPr>
      <w:hyperlink w:anchor="_Toc213772200" w:history="1">
        <w:r w:rsidRPr="00AC173C">
          <w:rPr>
            <w:rStyle w:val="Hyperlink"/>
            <w:b/>
          </w:rPr>
          <w:t>A7.6.1   General</w:t>
        </w:r>
        <w:r>
          <w:rPr>
            <w:webHidden/>
          </w:rPr>
          <w:tab/>
        </w:r>
        <w:r>
          <w:rPr>
            <w:webHidden/>
          </w:rPr>
          <w:fldChar w:fldCharType="begin"/>
        </w:r>
        <w:r>
          <w:rPr>
            <w:webHidden/>
          </w:rPr>
          <w:instrText xml:space="preserve"> PAGEREF _Toc213772200 \h </w:instrText>
        </w:r>
        <w:r>
          <w:rPr>
            <w:webHidden/>
          </w:rPr>
        </w:r>
        <w:r>
          <w:rPr>
            <w:webHidden/>
          </w:rPr>
          <w:fldChar w:fldCharType="separate"/>
        </w:r>
        <w:r>
          <w:rPr>
            <w:webHidden/>
          </w:rPr>
          <w:t>362</w:t>
        </w:r>
        <w:r>
          <w:rPr>
            <w:webHidden/>
          </w:rPr>
          <w:fldChar w:fldCharType="end"/>
        </w:r>
      </w:hyperlink>
    </w:p>
    <w:p w14:paraId="0469245D" w14:textId="738C62DF" w:rsidR="00023ECF" w:rsidRDefault="00023ECF">
      <w:pPr>
        <w:pStyle w:val="TOC4"/>
        <w:rPr>
          <w:rFonts w:asciiTheme="minorHAnsi" w:eastAsiaTheme="minorEastAsia" w:hAnsiTheme="minorHAnsi" w:cstheme="minorBidi"/>
          <w:bCs w:val="0"/>
          <w:kern w:val="2"/>
          <w:szCs w:val="24"/>
          <w14:ligatures w14:val="standardContextual"/>
        </w:rPr>
      </w:pPr>
      <w:hyperlink w:anchor="_Toc213772201" w:history="1">
        <w:r w:rsidRPr="00AC173C">
          <w:rPr>
            <w:rStyle w:val="Hyperlink"/>
            <w:b/>
          </w:rPr>
          <w:t>A.7.6.2     Nameplate</w:t>
        </w:r>
        <w:r>
          <w:rPr>
            <w:webHidden/>
          </w:rPr>
          <w:tab/>
        </w:r>
        <w:r>
          <w:rPr>
            <w:webHidden/>
          </w:rPr>
          <w:fldChar w:fldCharType="begin"/>
        </w:r>
        <w:r>
          <w:rPr>
            <w:webHidden/>
          </w:rPr>
          <w:instrText xml:space="preserve"> PAGEREF _Toc213772201 \h </w:instrText>
        </w:r>
        <w:r>
          <w:rPr>
            <w:webHidden/>
          </w:rPr>
        </w:r>
        <w:r>
          <w:rPr>
            <w:webHidden/>
          </w:rPr>
          <w:fldChar w:fldCharType="separate"/>
        </w:r>
        <w:r>
          <w:rPr>
            <w:webHidden/>
          </w:rPr>
          <w:t>362</w:t>
        </w:r>
        <w:r>
          <w:rPr>
            <w:webHidden/>
          </w:rPr>
          <w:fldChar w:fldCharType="end"/>
        </w:r>
      </w:hyperlink>
    </w:p>
    <w:p w14:paraId="50A4B0E4" w14:textId="5A94DEA8" w:rsidR="00023ECF" w:rsidRDefault="00023ECF">
      <w:pPr>
        <w:pStyle w:val="TOC4"/>
        <w:rPr>
          <w:rFonts w:asciiTheme="minorHAnsi" w:eastAsiaTheme="minorEastAsia" w:hAnsiTheme="minorHAnsi" w:cstheme="minorBidi"/>
          <w:bCs w:val="0"/>
          <w:kern w:val="2"/>
          <w:szCs w:val="24"/>
          <w14:ligatures w14:val="standardContextual"/>
        </w:rPr>
      </w:pPr>
      <w:hyperlink w:anchor="_Toc213772202" w:history="1">
        <w:r w:rsidRPr="00AC173C">
          <w:rPr>
            <w:rStyle w:val="Hyperlink"/>
            <w:b/>
          </w:rPr>
          <w:t>A.7.6.3    Burden Testing</w:t>
        </w:r>
        <w:r>
          <w:rPr>
            <w:webHidden/>
          </w:rPr>
          <w:tab/>
        </w:r>
        <w:r>
          <w:rPr>
            <w:webHidden/>
          </w:rPr>
          <w:fldChar w:fldCharType="begin"/>
        </w:r>
        <w:r>
          <w:rPr>
            <w:webHidden/>
          </w:rPr>
          <w:instrText xml:space="preserve"> PAGEREF _Toc213772202 \h </w:instrText>
        </w:r>
        <w:r>
          <w:rPr>
            <w:webHidden/>
          </w:rPr>
        </w:r>
        <w:r>
          <w:rPr>
            <w:webHidden/>
          </w:rPr>
          <w:fldChar w:fldCharType="separate"/>
        </w:r>
        <w:r>
          <w:rPr>
            <w:webHidden/>
          </w:rPr>
          <w:t>363</w:t>
        </w:r>
        <w:r>
          <w:rPr>
            <w:webHidden/>
          </w:rPr>
          <w:fldChar w:fldCharType="end"/>
        </w:r>
      </w:hyperlink>
    </w:p>
    <w:p w14:paraId="59230201" w14:textId="48459AAE" w:rsidR="00023ECF" w:rsidRDefault="00023ECF">
      <w:pPr>
        <w:pStyle w:val="TOC3"/>
        <w:rPr>
          <w:rFonts w:asciiTheme="minorHAnsi" w:eastAsiaTheme="minorEastAsia" w:hAnsiTheme="minorHAnsi" w:cstheme="minorBidi"/>
          <w:bCs w:val="0"/>
          <w:kern w:val="2"/>
          <w:szCs w:val="24"/>
          <w14:ligatures w14:val="standardContextual"/>
        </w:rPr>
      </w:pPr>
      <w:hyperlink w:anchor="_Toc213772203" w:history="1">
        <w:r w:rsidRPr="00AC173C">
          <w:rPr>
            <w:rStyle w:val="Hyperlink"/>
            <w:b/>
          </w:rPr>
          <w:t>A.7.7       Wire Wound Voltage Transformers</w:t>
        </w:r>
        <w:r>
          <w:rPr>
            <w:webHidden/>
          </w:rPr>
          <w:tab/>
        </w:r>
        <w:r>
          <w:rPr>
            <w:webHidden/>
          </w:rPr>
          <w:fldChar w:fldCharType="begin"/>
        </w:r>
        <w:r>
          <w:rPr>
            <w:webHidden/>
          </w:rPr>
          <w:instrText xml:space="preserve"> PAGEREF _Toc213772203 \h </w:instrText>
        </w:r>
        <w:r>
          <w:rPr>
            <w:webHidden/>
          </w:rPr>
        </w:r>
        <w:r>
          <w:rPr>
            <w:webHidden/>
          </w:rPr>
          <w:fldChar w:fldCharType="separate"/>
        </w:r>
        <w:r>
          <w:rPr>
            <w:webHidden/>
          </w:rPr>
          <w:t>363</w:t>
        </w:r>
        <w:r>
          <w:rPr>
            <w:webHidden/>
          </w:rPr>
          <w:fldChar w:fldCharType="end"/>
        </w:r>
      </w:hyperlink>
    </w:p>
    <w:p w14:paraId="2F10BEC6" w14:textId="471A82FF" w:rsidR="00023ECF" w:rsidRDefault="00023ECF">
      <w:pPr>
        <w:pStyle w:val="TOC4"/>
        <w:rPr>
          <w:rFonts w:asciiTheme="minorHAnsi" w:eastAsiaTheme="minorEastAsia" w:hAnsiTheme="minorHAnsi" w:cstheme="minorBidi"/>
          <w:bCs w:val="0"/>
          <w:kern w:val="2"/>
          <w:szCs w:val="24"/>
          <w14:ligatures w14:val="standardContextual"/>
        </w:rPr>
      </w:pPr>
      <w:hyperlink w:anchor="_Toc213772204" w:history="1">
        <w:r w:rsidRPr="00AC173C">
          <w:rPr>
            <w:rStyle w:val="Hyperlink"/>
            <w:b/>
          </w:rPr>
          <w:t>A.7.7.1     Nameplate</w:t>
        </w:r>
        <w:r>
          <w:rPr>
            <w:webHidden/>
          </w:rPr>
          <w:tab/>
        </w:r>
        <w:r>
          <w:rPr>
            <w:webHidden/>
          </w:rPr>
          <w:fldChar w:fldCharType="begin"/>
        </w:r>
        <w:r>
          <w:rPr>
            <w:webHidden/>
          </w:rPr>
          <w:instrText xml:space="preserve"> PAGEREF _Toc213772204 \h </w:instrText>
        </w:r>
        <w:r>
          <w:rPr>
            <w:webHidden/>
          </w:rPr>
        </w:r>
        <w:r>
          <w:rPr>
            <w:webHidden/>
          </w:rPr>
          <w:fldChar w:fldCharType="separate"/>
        </w:r>
        <w:r>
          <w:rPr>
            <w:webHidden/>
          </w:rPr>
          <w:t>363</w:t>
        </w:r>
        <w:r>
          <w:rPr>
            <w:webHidden/>
          </w:rPr>
          <w:fldChar w:fldCharType="end"/>
        </w:r>
      </w:hyperlink>
    </w:p>
    <w:p w14:paraId="307386AD" w14:textId="76C465BF" w:rsidR="00023ECF" w:rsidRDefault="00023ECF">
      <w:pPr>
        <w:pStyle w:val="TOC4"/>
        <w:rPr>
          <w:rFonts w:asciiTheme="minorHAnsi" w:eastAsiaTheme="minorEastAsia" w:hAnsiTheme="minorHAnsi" w:cstheme="minorBidi"/>
          <w:bCs w:val="0"/>
          <w:kern w:val="2"/>
          <w:szCs w:val="24"/>
          <w14:ligatures w14:val="standardContextual"/>
        </w:rPr>
      </w:pPr>
      <w:hyperlink w:anchor="_Toc213772205" w:history="1">
        <w:r w:rsidRPr="00AC173C">
          <w:rPr>
            <w:rStyle w:val="Hyperlink"/>
            <w:b/>
          </w:rPr>
          <w:t>A.7.7.2     Burden Testing</w:t>
        </w:r>
        <w:r>
          <w:rPr>
            <w:webHidden/>
          </w:rPr>
          <w:tab/>
        </w:r>
        <w:r>
          <w:rPr>
            <w:webHidden/>
          </w:rPr>
          <w:fldChar w:fldCharType="begin"/>
        </w:r>
        <w:r>
          <w:rPr>
            <w:webHidden/>
          </w:rPr>
          <w:instrText xml:space="preserve"> PAGEREF _Toc213772205 \h </w:instrText>
        </w:r>
        <w:r>
          <w:rPr>
            <w:webHidden/>
          </w:rPr>
        </w:r>
        <w:r>
          <w:rPr>
            <w:webHidden/>
          </w:rPr>
          <w:fldChar w:fldCharType="separate"/>
        </w:r>
        <w:r>
          <w:rPr>
            <w:webHidden/>
          </w:rPr>
          <w:t>363</w:t>
        </w:r>
        <w:r>
          <w:rPr>
            <w:webHidden/>
          </w:rPr>
          <w:fldChar w:fldCharType="end"/>
        </w:r>
      </w:hyperlink>
    </w:p>
    <w:p w14:paraId="5B025F08" w14:textId="3DD1E2EF" w:rsidR="00023ECF" w:rsidRDefault="00023ECF">
      <w:pPr>
        <w:pStyle w:val="TOC1"/>
        <w:tabs>
          <w:tab w:val="left" w:pos="1800"/>
        </w:tabs>
        <w:rPr>
          <w:rFonts w:asciiTheme="minorHAnsi" w:eastAsiaTheme="minorEastAsia" w:hAnsiTheme="minorHAnsi" w:cstheme="minorBidi"/>
          <w:b w:val="0"/>
          <w:kern w:val="2"/>
          <w:szCs w:val="24"/>
          <w14:ligatures w14:val="standardContextual"/>
        </w:rPr>
      </w:pPr>
      <w:hyperlink w:anchor="_Toc213772206" w:history="1">
        <w:r w:rsidRPr="00AC173C">
          <w:rPr>
            <w:rStyle w:val="Hyperlink"/>
            <w:kern w:val="28"/>
          </w:rPr>
          <w:t>Appendix B</w:t>
        </w:r>
        <w:r>
          <w:rPr>
            <w:rFonts w:asciiTheme="minorHAnsi" w:eastAsiaTheme="minorEastAsia" w:hAnsiTheme="minorHAnsi" w:cstheme="minorBidi"/>
            <w:b w:val="0"/>
            <w:kern w:val="2"/>
            <w:szCs w:val="24"/>
            <w14:ligatures w14:val="standardContextual"/>
          </w:rPr>
          <w:tab/>
        </w:r>
        <w:r w:rsidRPr="00AC173C">
          <w:rPr>
            <w:rStyle w:val="Hyperlink"/>
            <w:kern w:val="28"/>
          </w:rPr>
          <w:t>Settlement Metering Data Management Protocols</w:t>
        </w:r>
        <w:r>
          <w:rPr>
            <w:webHidden/>
          </w:rPr>
          <w:tab/>
        </w:r>
        <w:r>
          <w:rPr>
            <w:webHidden/>
          </w:rPr>
          <w:fldChar w:fldCharType="begin"/>
        </w:r>
        <w:r>
          <w:rPr>
            <w:webHidden/>
          </w:rPr>
          <w:instrText xml:space="preserve"> PAGEREF _Toc213772206 \h </w:instrText>
        </w:r>
        <w:r>
          <w:rPr>
            <w:webHidden/>
          </w:rPr>
        </w:r>
        <w:r>
          <w:rPr>
            <w:webHidden/>
          </w:rPr>
          <w:fldChar w:fldCharType="separate"/>
        </w:r>
        <w:r>
          <w:rPr>
            <w:webHidden/>
          </w:rPr>
          <w:t>364</w:t>
        </w:r>
        <w:r>
          <w:rPr>
            <w:webHidden/>
          </w:rPr>
          <w:fldChar w:fldCharType="end"/>
        </w:r>
      </w:hyperlink>
    </w:p>
    <w:p w14:paraId="05049AFD" w14:textId="50D9DDBF" w:rsidR="00023ECF" w:rsidRDefault="00023ECF">
      <w:pPr>
        <w:pStyle w:val="TOC2"/>
        <w:rPr>
          <w:rFonts w:asciiTheme="minorHAnsi" w:eastAsiaTheme="minorEastAsia" w:hAnsiTheme="minorHAnsi" w:cstheme="minorBidi"/>
          <w:bCs w:val="0"/>
          <w:kern w:val="2"/>
          <w:szCs w:val="24"/>
          <w14:ligatures w14:val="standardContextual"/>
        </w:rPr>
      </w:pPr>
      <w:hyperlink w:anchor="_Toc213772207" w:history="1">
        <w:r w:rsidRPr="00AC173C">
          <w:rPr>
            <w:rStyle w:val="Hyperlink"/>
            <w:b/>
          </w:rPr>
          <w:t>B.1</w:t>
        </w:r>
        <w:r>
          <w:rPr>
            <w:rFonts w:asciiTheme="minorHAnsi" w:eastAsiaTheme="minorEastAsia" w:hAnsiTheme="minorHAnsi" w:cstheme="minorBidi"/>
            <w:bCs w:val="0"/>
            <w:kern w:val="2"/>
            <w:szCs w:val="24"/>
            <w14:ligatures w14:val="standardContextual"/>
          </w:rPr>
          <w:tab/>
        </w:r>
        <w:r w:rsidRPr="00AC173C">
          <w:rPr>
            <w:rStyle w:val="Hyperlink"/>
            <w:b/>
          </w:rPr>
          <w:t xml:space="preserve">    Scope</w:t>
        </w:r>
        <w:r>
          <w:rPr>
            <w:webHidden/>
          </w:rPr>
          <w:tab/>
        </w:r>
        <w:r>
          <w:rPr>
            <w:webHidden/>
          </w:rPr>
          <w:fldChar w:fldCharType="begin"/>
        </w:r>
        <w:r>
          <w:rPr>
            <w:webHidden/>
          </w:rPr>
          <w:instrText xml:space="preserve"> PAGEREF _Toc213772207 \h </w:instrText>
        </w:r>
        <w:r>
          <w:rPr>
            <w:webHidden/>
          </w:rPr>
        </w:r>
        <w:r>
          <w:rPr>
            <w:webHidden/>
          </w:rPr>
          <w:fldChar w:fldCharType="separate"/>
        </w:r>
        <w:r>
          <w:rPr>
            <w:webHidden/>
          </w:rPr>
          <w:t>365</w:t>
        </w:r>
        <w:r>
          <w:rPr>
            <w:webHidden/>
          </w:rPr>
          <w:fldChar w:fldCharType="end"/>
        </w:r>
      </w:hyperlink>
    </w:p>
    <w:p w14:paraId="1CBA90AA" w14:textId="5ABAF58E" w:rsidR="00023ECF" w:rsidRDefault="00023ECF">
      <w:pPr>
        <w:pStyle w:val="TOC2"/>
        <w:rPr>
          <w:rFonts w:asciiTheme="minorHAnsi" w:eastAsiaTheme="minorEastAsia" w:hAnsiTheme="minorHAnsi" w:cstheme="minorBidi"/>
          <w:bCs w:val="0"/>
          <w:kern w:val="2"/>
          <w:szCs w:val="24"/>
          <w14:ligatures w14:val="standardContextual"/>
        </w:rPr>
      </w:pPr>
      <w:hyperlink w:anchor="_Toc213772208" w:history="1">
        <w:r w:rsidRPr="00AC173C">
          <w:rPr>
            <w:rStyle w:val="Hyperlink"/>
            <w:b/>
          </w:rPr>
          <w:t>B.2</w:t>
        </w:r>
        <w:r>
          <w:rPr>
            <w:rFonts w:asciiTheme="minorHAnsi" w:eastAsiaTheme="minorEastAsia" w:hAnsiTheme="minorHAnsi" w:cstheme="minorBidi"/>
            <w:bCs w:val="0"/>
            <w:kern w:val="2"/>
            <w:szCs w:val="24"/>
            <w14:ligatures w14:val="standardContextual"/>
          </w:rPr>
          <w:tab/>
        </w:r>
        <w:r w:rsidRPr="00AC173C">
          <w:rPr>
            <w:rStyle w:val="Hyperlink"/>
            <w:b/>
          </w:rPr>
          <w:t xml:space="preserve">    Purpose</w:t>
        </w:r>
        <w:r>
          <w:rPr>
            <w:webHidden/>
          </w:rPr>
          <w:tab/>
        </w:r>
        <w:r>
          <w:rPr>
            <w:webHidden/>
          </w:rPr>
          <w:fldChar w:fldCharType="begin"/>
        </w:r>
        <w:r>
          <w:rPr>
            <w:webHidden/>
          </w:rPr>
          <w:instrText xml:space="preserve"> PAGEREF _Toc213772208 \h </w:instrText>
        </w:r>
        <w:r>
          <w:rPr>
            <w:webHidden/>
          </w:rPr>
        </w:r>
        <w:r>
          <w:rPr>
            <w:webHidden/>
          </w:rPr>
          <w:fldChar w:fldCharType="separate"/>
        </w:r>
        <w:r>
          <w:rPr>
            <w:webHidden/>
          </w:rPr>
          <w:t>365</w:t>
        </w:r>
        <w:r>
          <w:rPr>
            <w:webHidden/>
          </w:rPr>
          <w:fldChar w:fldCharType="end"/>
        </w:r>
      </w:hyperlink>
    </w:p>
    <w:p w14:paraId="3C4C7870" w14:textId="189B442D" w:rsidR="00023ECF" w:rsidRDefault="00023ECF">
      <w:pPr>
        <w:pStyle w:val="TOC2"/>
        <w:rPr>
          <w:rFonts w:asciiTheme="minorHAnsi" w:eastAsiaTheme="minorEastAsia" w:hAnsiTheme="minorHAnsi" w:cstheme="minorBidi"/>
          <w:bCs w:val="0"/>
          <w:kern w:val="2"/>
          <w:szCs w:val="24"/>
          <w14:ligatures w14:val="standardContextual"/>
        </w:rPr>
      </w:pPr>
      <w:hyperlink w:anchor="_Toc213772209" w:history="1">
        <w:r w:rsidRPr="00AC173C">
          <w:rPr>
            <w:rStyle w:val="Hyperlink"/>
            <w:b/>
          </w:rPr>
          <w:t>B.3</w:t>
        </w:r>
        <w:r>
          <w:rPr>
            <w:rFonts w:asciiTheme="minorHAnsi" w:eastAsiaTheme="minorEastAsia" w:hAnsiTheme="minorHAnsi" w:cstheme="minorBidi"/>
            <w:bCs w:val="0"/>
            <w:kern w:val="2"/>
            <w:szCs w:val="24"/>
            <w14:ligatures w14:val="standardContextual"/>
          </w:rPr>
          <w:tab/>
        </w:r>
        <w:r w:rsidRPr="00AC173C">
          <w:rPr>
            <w:rStyle w:val="Hyperlink"/>
            <w:b/>
          </w:rPr>
          <w:t xml:space="preserve">    Definitions</w:t>
        </w:r>
        <w:r>
          <w:rPr>
            <w:webHidden/>
          </w:rPr>
          <w:tab/>
        </w:r>
        <w:r>
          <w:rPr>
            <w:webHidden/>
          </w:rPr>
          <w:fldChar w:fldCharType="begin"/>
        </w:r>
        <w:r>
          <w:rPr>
            <w:webHidden/>
          </w:rPr>
          <w:instrText xml:space="preserve"> PAGEREF _Toc213772209 \h </w:instrText>
        </w:r>
        <w:r>
          <w:rPr>
            <w:webHidden/>
          </w:rPr>
        </w:r>
        <w:r>
          <w:rPr>
            <w:webHidden/>
          </w:rPr>
          <w:fldChar w:fldCharType="separate"/>
        </w:r>
        <w:r>
          <w:rPr>
            <w:webHidden/>
          </w:rPr>
          <w:t>365</w:t>
        </w:r>
        <w:r>
          <w:rPr>
            <w:webHidden/>
          </w:rPr>
          <w:fldChar w:fldCharType="end"/>
        </w:r>
      </w:hyperlink>
    </w:p>
    <w:p w14:paraId="5CB540BF" w14:textId="02138D5B" w:rsidR="00023ECF" w:rsidRDefault="00023ECF">
      <w:pPr>
        <w:pStyle w:val="TOC2"/>
        <w:rPr>
          <w:rFonts w:asciiTheme="minorHAnsi" w:eastAsiaTheme="minorEastAsia" w:hAnsiTheme="minorHAnsi" w:cstheme="minorBidi"/>
          <w:bCs w:val="0"/>
          <w:kern w:val="2"/>
          <w:szCs w:val="24"/>
          <w14:ligatures w14:val="standardContextual"/>
        </w:rPr>
      </w:pPr>
      <w:hyperlink w:anchor="_Toc213772210" w:history="1">
        <w:r w:rsidRPr="00AC173C">
          <w:rPr>
            <w:rStyle w:val="Hyperlink"/>
            <w:b/>
          </w:rPr>
          <w:t>B.4</w:t>
        </w:r>
        <w:r>
          <w:rPr>
            <w:rFonts w:asciiTheme="minorHAnsi" w:eastAsiaTheme="minorEastAsia" w:hAnsiTheme="minorHAnsi" w:cstheme="minorBidi"/>
            <w:bCs w:val="0"/>
            <w:kern w:val="2"/>
            <w:szCs w:val="24"/>
            <w14:ligatures w14:val="standardContextual"/>
          </w:rPr>
          <w:tab/>
        </w:r>
        <w:r w:rsidRPr="00AC173C">
          <w:rPr>
            <w:rStyle w:val="Hyperlink"/>
            <w:b/>
          </w:rPr>
          <w:t xml:space="preserve">    Market Participants</w:t>
        </w:r>
        <w:r>
          <w:rPr>
            <w:webHidden/>
          </w:rPr>
          <w:tab/>
        </w:r>
        <w:r>
          <w:rPr>
            <w:webHidden/>
          </w:rPr>
          <w:fldChar w:fldCharType="begin"/>
        </w:r>
        <w:r>
          <w:rPr>
            <w:webHidden/>
          </w:rPr>
          <w:instrText xml:space="preserve"> PAGEREF _Toc213772210 \h </w:instrText>
        </w:r>
        <w:r>
          <w:rPr>
            <w:webHidden/>
          </w:rPr>
        </w:r>
        <w:r>
          <w:rPr>
            <w:webHidden/>
          </w:rPr>
          <w:fldChar w:fldCharType="separate"/>
        </w:r>
        <w:r>
          <w:rPr>
            <w:webHidden/>
          </w:rPr>
          <w:t>365</w:t>
        </w:r>
        <w:r>
          <w:rPr>
            <w:webHidden/>
          </w:rPr>
          <w:fldChar w:fldCharType="end"/>
        </w:r>
      </w:hyperlink>
    </w:p>
    <w:p w14:paraId="3081B3FB" w14:textId="1FC9ADDE" w:rsidR="00023ECF" w:rsidRDefault="00023ECF">
      <w:pPr>
        <w:pStyle w:val="TOC3"/>
        <w:rPr>
          <w:rFonts w:asciiTheme="minorHAnsi" w:eastAsiaTheme="minorEastAsia" w:hAnsiTheme="minorHAnsi" w:cstheme="minorBidi"/>
          <w:bCs w:val="0"/>
          <w:kern w:val="2"/>
          <w:szCs w:val="24"/>
          <w14:ligatures w14:val="standardContextual"/>
        </w:rPr>
      </w:pPr>
      <w:hyperlink w:anchor="_Toc213772211" w:history="1">
        <w:r w:rsidRPr="00AC173C">
          <w:rPr>
            <w:rStyle w:val="Hyperlink"/>
            <w:b/>
          </w:rPr>
          <w:t>B.4.1</w:t>
        </w:r>
        <w:r>
          <w:rPr>
            <w:rFonts w:asciiTheme="minorHAnsi" w:eastAsiaTheme="minorEastAsia" w:hAnsiTheme="minorHAnsi" w:cstheme="minorBidi"/>
            <w:bCs w:val="0"/>
            <w:kern w:val="2"/>
            <w:szCs w:val="24"/>
            <w14:ligatures w14:val="standardContextual"/>
          </w:rPr>
          <w:tab/>
        </w:r>
        <w:r w:rsidRPr="00AC173C">
          <w:rPr>
            <w:rStyle w:val="Hyperlink"/>
            <w:b/>
          </w:rPr>
          <w:t xml:space="preserve">    Responsibilities</w:t>
        </w:r>
        <w:r>
          <w:rPr>
            <w:webHidden/>
          </w:rPr>
          <w:tab/>
        </w:r>
        <w:r>
          <w:rPr>
            <w:webHidden/>
          </w:rPr>
          <w:fldChar w:fldCharType="begin"/>
        </w:r>
        <w:r>
          <w:rPr>
            <w:webHidden/>
          </w:rPr>
          <w:instrText xml:space="preserve"> PAGEREF _Toc213772211 \h </w:instrText>
        </w:r>
        <w:r>
          <w:rPr>
            <w:webHidden/>
          </w:rPr>
        </w:r>
        <w:r>
          <w:rPr>
            <w:webHidden/>
          </w:rPr>
          <w:fldChar w:fldCharType="separate"/>
        </w:r>
        <w:r>
          <w:rPr>
            <w:webHidden/>
          </w:rPr>
          <w:t>365</w:t>
        </w:r>
        <w:r>
          <w:rPr>
            <w:webHidden/>
          </w:rPr>
          <w:fldChar w:fldCharType="end"/>
        </w:r>
      </w:hyperlink>
    </w:p>
    <w:p w14:paraId="7AE280CB" w14:textId="3F131758" w:rsidR="00023ECF" w:rsidRDefault="00023ECF">
      <w:pPr>
        <w:pStyle w:val="TOC3"/>
        <w:rPr>
          <w:rFonts w:asciiTheme="minorHAnsi" w:eastAsiaTheme="minorEastAsia" w:hAnsiTheme="minorHAnsi" w:cstheme="minorBidi"/>
          <w:bCs w:val="0"/>
          <w:kern w:val="2"/>
          <w:szCs w:val="24"/>
          <w14:ligatures w14:val="standardContextual"/>
        </w:rPr>
      </w:pPr>
      <w:hyperlink w:anchor="_Toc213772212" w:history="1">
        <w:r w:rsidRPr="00AC173C">
          <w:rPr>
            <w:rStyle w:val="Hyperlink"/>
            <w:b/>
          </w:rPr>
          <w:t>B.4.2</w:t>
        </w:r>
        <w:r>
          <w:rPr>
            <w:rFonts w:asciiTheme="minorHAnsi" w:eastAsiaTheme="minorEastAsia" w:hAnsiTheme="minorHAnsi" w:cstheme="minorBidi"/>
            <w:bCs w:val="0"/>
            <w:kern w:val="2"/>
            <w:szCs w:val="24"/>
            <w14:ligatures w14:val="standardContextual"/>
          </w:rPr>
          <w:tab/>
        </w:r>
        <w:r w:rsidRPr="00AC173C">
          <w:rPr>
            <w:rStyle w:val="Hyperlink"/>
            <w:b/>
          </w:rPr>
          <w:t xml:space="preserve">    Meter Agent(s) Designation</w:t>
        </w:r>
        <w:r>
          <w:rPr>
            <w:webHidden/>
          </w:rPr>
          <w:tab/>
        </w:r>
        <w:r>
          <w:rPr>
            <w:webHidden/>
          </w:rPr>
          <w:fldChar w:fldCharType="begin"/>
        </w:r>
        <w:r>
          <w:rPr>
            <w:webHidden/>
          </w:rPr>
          <w:instrText xml:space="preserve"> PAGEREF _Toc213772212 \h </w:instrText>
        </w:r>
        <w:r>
          <w:rPr>
            <w:webHidden/>
          </w:rPr>
        </w:r>
        <w:r>
          <w:rPr>
            <w:webHidden/>
          </w:rPr>
          <w:fldChar w:fldCharType="separate"/>
        </w:r>
        <w:r>
          <w:rPr>
            <w:webHidden/>
          </w:rPr>
          <w:t>365</w:t>
        </w:r>
        <w:r>
          <w:rPr>
            <w:webHidden/>
          </w:rPr>
          <w:fldChar w:fldCharType="end"/>
        </w:r>
      </w:hyperlink>
    </w:p>
    <w:p w14:paraId="5E73D911" w14:textId="1600C11E" w:rsidR="00023ECF" w:rsidRDefault="00023ECF">
      <w:pPr>
        <w:pStyle w:val="TOC2"/>
        <w:rPr>
          <w:rFonts w:asciiTheme="minorHAnsi" w:eastAsiaTheme="minorEastAsia" w:hAnsiTheme="minorHAnsi" w:cstheme="minorBidi"/>
          <w:bCs w:val="0"/>
          <w:kern w:val="2"/>
          <w:szCs w:val="24"/>
          <w14:ligatures w14:val="standardContextual"/>
        </w:rPr>
      </w:pPr>
      <w:hyperlink w:anchor="_Toc213772213" w:history="1">
        <w:r w:rsidRPr="00AC173C">
          <w:rPr>
            <w:rStyle w:val="Hyperlink"/>
            <w:b/>
          </w:rPr>
          <w:t>B.5</w:t>
        </w:r>
        <w:r>
          <w:rPr>
            <w:rFonts w:asciiTheme="minorHAnsi" w:eastAsiaTheme="minorEastAsia" w:hAnsiTheme="minorHAnsi" w:cstheme="minorBidi"/>
            <w:bCs w:val="0"/>
            <w:kern w:val="2"/>
            <w:szCs w:val="24"/>
            <w14:ligatures w14:val="standardContextual"/>
          </w:rPr>
          <w:tab/>
        </w:r>
        <w:r w:rsidRPr="00AC173C">
          <w:rPr>
            <w:rStyle w:val="Hyperlink"/>
            <w:b/>
          </w:rPr>
          <w:t xml:space="preserve">    Meter Agent</w:t>
        </w:r>
        <w:r>
          <w:rPr>
            <w:webHidden/>
          </w:rPr>
          <w:tab/>
        </w:r>
        <w:r>
          <w:rPr>
            <w:webHidden/>
          </w:rPr>
          <w:fldChar w:fldCharType="begin"/>
        </w:r>
        <w:r>
          <w:rPr>
            <w:webHidden/>
          </w:rPr>
          <w:instrText xml:space="preserve"> PAGEREF _Toc213772213 \h </w:instrText>
        </w:r>
        <w:r>
          <w:rPr>
            <w:webHidden/>
          </w:rPr>
        </w:r>
        <w:r>
          <w:rPr>
            <w:webHidden/>
          </w:rPr>
          <w:fldChar w:fldCharType="separate"/>
        </w:r>
        <w:r>
          <w:rPr>
            <w:webHidden/>
          </w:rPr>
          <w:t>366</w:t>
        </w:r>
        <w:r>
          <w:rPr>
            <w:webHidden/>
          </w:rPr>
          <w:fldChar w:fldCharType="end"/>
        </w:r>
      </w:hyperlink>
    </w:p>
    <w:p w14:paraId="1D5B3B9E" w14:textId="548708C4" w:rsidR="00023ECF" w:rsidRDefault="00023ECF">
      <w:pPr>
        <w:pStyle w:val="TOC2"/>
        <w:rPr>
          <w:rFonts w:asciiTheme="minorHAnsi" w:eastAsiaTheme="minorEastAsia" w:hAnsiTheme="minorHAnsi" w:cstheme="minorBidi"/>
          <w:bCs w:val="0"/>
          <w:kern w:val="2"/>
          <w:szCs w:val="24"/>
          <w14:ligatures w14:val="standardContextual"/>
        </w:rPr>
      </w:pPr>
      <w:hyperlink w:anchor="_Toc213772214" w:history="1">
        <w:r w:rsidRPr="00AC173C">
          <w:rPr>
            <w:rStyle w:val="Hyperlink"/>
            <w:b/>
          </w:rPr>
          <w:t>B.6</w:t>
        </w:r>
        <w:r>
          <w:rPr>
            <w:rFonts w:asciiTheme="minorHAnsi" w:eastAsiaTheme="minorEastAsia" w:hAnsiTheme="minorHAnsi" w:cstheme="minorBidi"/>
            <w:bCs w:val="0"/>
            <w:kern w:val="2"/>
            <w:szCs w:val="24"/>
            <w14:ligatures w14:val="standardContextual"/>
          </w:rPr>
          <w:tab/>
        </w:r>
        <w:r w:rsidRPr="00AC173C">
          <w:rPr>
            <w:rStyle w:val="Hyperlink"/>
            <w:b/>
          </w:rPr>
          <w:t xml:space="preserve">    Data Format</w:t>
        </w:r>
        <w:r>
          <w:rPr>
            <w:webHidden/>
          </w:rPr>
          <w:tab/>
        </w:r>
        <w:r>
          <w:rPr>
            <w:webHidden/>
          </w:rPr>
          <w:fldChar w:fldCharType="begin"/>
        </w:r>
        <w:r>
          <w:rPr>
            <w:webHidden/>
          </w:rPr>
          <w:instrText xml:space="preserve"> PAGEREF _Toc213772214 \h </w:instrText>
        </w:r>
        <w:r>
          <w:rPr>
            <w:webHidden/>
          </w:rPr>
        </w:r>
        <w:r>
          <w:rPr>
            <w:webHidden/>
          </w:rPr>
          <w:fldChar w:fldCharType="separate"/>
        </w:r>
        <w:r>
          <w:rPr>
            <w:webHidden/>
          </w:rPr>
          <w:t>366</w:t>
        </w:r>
        <w:r>
          <w:rPr>
            <w:webHidden/>
          </w:rPr>
          <w:fldChar w:fldCharType="end"/>
        </w:r>
      </w:hyperlink>
    </w:p>
    <w:p w14:paraId="500AD917" w14:textId="473558BC" w:rsidR="00023ECF" w:rsidRDefault="00023ECF">
      <w:pPr>
        <w:pStyle w:val="TOC3"/>
        <w:rPr>
          <w:rFonts w:asciiTheme="minorHAnsi" w:eastAsiaTheme="minorEastAsia" w:hAnsiTheme="minorHAnsi" w:cstheme="minorBidi"/>
          <w:bCs w:val="0"/>
          <w:kern w:val="2"/>
          <w:szCs w:val="24"/>
          <w14:ligatures w14:val="standardContextual"/>
        </w:rPr>
      </w:pPr>
      <w:hyperlink w:anchor="_Toc213772215" w:history="1">
        <w:r w:rsidRPr="00AC173C">
          <w:rPr>
            <w:rStyle w:val="Hyperlink"/>
            <w:b/>
          </w:rPr>
          <w:t>B.6.1</w:t>
        </w:r>
        <w:r>
          <w:rPr>
            <w:rFonts w:asciiTheme="minorHAnsi" w:eastAsiaTheme="minorEastAsia" w:hAnsiTheme="minorHAnsi" w:cstheme="minorBidi"/>
            <w:bCs w:val="0"/>
            <w:kern w:val="2"/>
            <w:szCs w:val="24"/>
            <w14:ligatures w14:val="standardContextual"/>
          </w:rPr>
          <w:tab/>
        </w:r>
        <w:r w:rsidRPr="00AC173C">
          <w:rPr>
            <w:rStyle w:val="Hyperlink"/>
            <w:b/>
          </w:rPr>
          <w:t xml:space="preserve">    Unit of Measure</w:t>
        </w:r>
        <w:r>
          <w:rPr>
            <w:webHidden/>
          </w:rPr>
          <w:tab/>
        </w:r>
        <w:r>
          <w:rPr>
            <w:webHidden/>
          </w:rPr>
          <w:fldChar w:fldCharType="begin"/>
        </w:r>
        <w:r>
          <w:rPr>
            <w:webHidden/>
          </w:rPr>
          <w:instrText xml:space="preserve"> PAGEREF _Toc213772215 \h </w:instrText>
        </w:r>
        <w:r>
          <w:rPr>
            <w:webHidden/>
          </w:rPr>
        </w:r>
        <w:r>
          <w:rPr>
            <w:webHidden/>
          </w:rPr>
          <w:fldChar w:fldCharType="separate"/>
        </w:r>
        <w:r>
          <w:rPr>
            <w:webHidden/>
          </w:rPr>
          <w:t>366</w:t>
        </w:r>
        <w:r>
          <w:rPr>
            <w:webHidden/>
          </w:rPr>
          <w:fldChar w:fldCharType="end"/>
        </w:r>
      </w:hyperlink>
    </w:p>
    <w:p w14:paraId="4B372624" w14:textId="017B249E" w:rsidR="00023ECF" w:rsidRDefault="00023ECF">
      <w:pPr>
        <w:pStyle w:val="TOC3"/>
        <w:rPr>
          <w:rFonts w:asciiTheme="minorHAnsi" w:eastAsiaTheme="minorEastAsia" w:hAnsiTheme="minorHAnsi" w:cstheme="minorBidi"/>
          <w:bCs w:val="0"/>
          <w:kern w:val="2"/>
          <w:szCs w:val="24"/>
          <w14:ligatures w14:val="standardContextual"/>
        </w:rPr>
      </w:pPr>
      <w:hyperlink w:anchor="_Toc213772216" w:history="1">
        <w:r w:rsidRPr="00AC173C">
          <w:rPr>
            <w:rStyle w:val="Hyperlink"/>
            <w:b/>
          </w:rPr>
          <w:t>B.6.2</w:t>
        </w:r>
        <w:r>
          <w:rPr>
            <w:rFonts w:asciiTheme="minorHAnsi" w:eastAsiaTheme="minorEastAsia" w:hAnsiTheme="minorHAnsi" w:cstheme="minorBidi"/>
            <w:bCs w:val="0"/>
            <w:kern w:val="2"/>
            <w:szCs w:val="24"/>
            <w14:ligatures w14:val="standardContextual"/>
          </w:rPr>
          <w:tab/>
        </w:r>
        <w:r w:rsidRPr="00AC173C">
          <w:rPr>
            <w:rStyle w:val="Hyperlink"/>
            <w:b/>
          </w:rPr>
          <w:t xml:space="preserve">    Sign Convention of Data</w:t>
        </w:r>
        <w:r>
          <w:rPr>
            <w:webHidden/>
          </w:rPr>
          <w:tab/>
        </w:r>
        <w:r>
          <w:rPr>
            <w:webHidden/>
          </w:rPr>
          <w:fldChar w:fldCharType="begin"/>
        </w:r>
        <w:r>
          <w:rPr>
            <w:webHidden/>
          </w:rPr>
          <w:instrText xml:space="preserve"> PAGEREF _Toc213772216 \h </w:instrText>
        </w:r>
        <w:r>
          <w:rPr>
            <w:webHidden/>
          </w:rPr>
        </w:r>
        <w:r>
          <w:rPr>
            <w:webHidden/>
          </w:rPr>
          <w:fldChar w:fldCharType="separate"/>
        </w:r>
        <w:r>
          <w:rPr>
            <w:webHidden/>
          </w:rPr>
          <w:t>366</w:t>
        </w:r>
        <w:r>
          <w:rPr>
            <w:webHidden/>
          </w:rPr>
          <w:fldChar w:fldCharType="end"/>
        </w:r>
      </w:hyperlink>
    </w:p>
    <w:p w14:paraId="1DBF044E" w14:textId="4BC913FB" w:rsidR="00023ECF" w:rsidRDefault="00023ECF">
      <w:pPr>
        <w:pStyle w:val="TOC3"/>
        <w:rPr>
          <w:rFonts w:asciiTheme="minorHAnsi" w:eastAsiaTheme="minorEastAsia" w:hAnsiTheme="minorHAnsi" w:cstheme="minorBidi"/>
          <w:bCs w:val="0"/>
          <w:kern w:val="2"/>
          <w:szCs w:val="24"/>
          <w14:ligatures w14:val="standardContextual"/>
        </w:rPr>
      </w:pPr>
      <w:hyperlink w:anchor="_Toc213772217" w:history="1">
        <w:r w:rsidRPr="00AC173C">
          <w:rPr>
            <w:rStyle w:val="Hyperlink"/>
            <w:b/>
          </w:rPr>
          <w:t>B.6.3</w:t>
        </w:r>
        <w:r>
          <w:rPr>
            <w:rFonts w:asciiTheme="minorHAnsi" w:eastAsiaTheme="minorEastAsia" w:hAnsiTheme="minorHAnsi" w:cstheme="minorBidi"/>
            <w:bCs w:val="0"/>
            <w:kern w:val="2"/>
            <w:szCs w:val="24"/>
            <w14:ligatures w14:val="standardContextual"/>
          </w:rPr>
          <w:tab/>
        </w:r>
        <w:r w:rsidRPr="00AC173C">
          <w:rPr>
            <w:rStyle w:val="Hyperlink"/>
            <w:b/>
          </w:rPr>
          <w:t xml:space="preserve">     Meter Technical Standards</w:t>
        </w:r>
        <w:r>
          <w:rPr>
            <w:webHidden/>
          </w:rPr>
          <w:tab/>
        </w:r>
        <w:r>
          <w:rPr>
            <w:webHidden/>
          </w:rPr>
          <w:fldChar w:fldCharType="begin"/>
        </w:r>
        <w:r>
          <w:rPr>
            <w:webHidden/>
          </w:rPr>
          <w:instrText xml:space="preserve"> PAGEREF _Toc213772217 \h </w:instrText>
        </w:r>
        <w:r>
          <w:rPr>
            <w:webHidden/>
          </w:rPr>
        </w:r>
        <w:r>
          <w:rPr>
            <w:webHidden/>
          </w:rPr>
          <w:fldChar w:fldCharType="separate"/>
        </w:r>
        <w:r>
          <w:rPr>
            <w:webHidden/>
          </w:rPr>
          <w:t>367</w:t>
        </w:r>
        <w:r>
          <w:rPr>
            <w:webHidden/>
          </w:rPr>
          <w:fldChar w:fldCharType="end"/>
        </w:r>
      </w:hyperlink>
    </w:p>
    <w:p w14:paraId="4414D3EA" w14:textId="1B21DBC9" w:rsidR="00023ECF" w:rsidRDefault="00023ECF">
      <w:pPr>
        <w:pStyle w:val="TOC3"/>
        <w:rPr>
          <w:rFonts w:asciiTheme="minorHAnsi" w:eastAsiaTheme="minorEastAsia" w:hAnsiTheme="minorHAnsi" w:cstheme="minorBidi"/>
          <w:bCs w:val="0"/>
          <w:kern w:val="2"/>
          <w:szCs w:val="24"/>
          <w14:ligatures w14:val="standardContextual"/>
        </w:rPr>
      </w:pPr>
      <w:hyperlink w:anchor="_Toc213772218" w:history="1">
        <w:r w:rsidRPr="00AC173C">
          <w:rPr>
            <w:rStyle w:val="Hyperlink"/>
            <w:b/>
          </w:rPr>
          <w:t>B.6.4</w:t>
        </w:r>
        <w:r>
          <w:rPr>
            <w:rFonts w:asciiTheme="minorHAnsi" w:eastAsiaTheme="minorEastAsia" w:hAnsiTheme="minorHAnsi" w:cstheme="minorBidi"/>
            <w:bCs w:val="0"/>
            <w:kern w:val="2"/>
            <w:szCs w:val="24"/>
            <w14:ligatures w14:val="standardContextual"/>
          </w:rPr>
          <w:tab/>
        </w:r>
        <w:r w:rsidRPr="00AC173C">
          <w:rPr>
            <w:rStyle w:val="Hyperlink"/>
            <w:b/>
          </w:rPr>
          <w:t xml:space="preserve">     Data Submission Standards</w:t>
        </w:r>
        <w:r>
          <w:rPr>
            <w:webHidden/>
          </w:rPr>
          <w:tab/>
        </w:r>
        <w:r>
          <w:rPr>
            <w:webHidden/>
          </w:rPr>
          <w:fldChar w:fldCharType="begin"/>
        </w:r>
        <w:r>
          <w:rPr>
            <w:webHidden/>
          </w:rPr>
          <w:instrText xml:space="preserve"> PAGEREF _Toc213772218 \h </w:instrText>
        </w:r>
        <w:r>
          <w:rPr>
            <w:webHidden/>
          </w:rPr>
        </w:r>
        <w:r>
          <w:rPr>
            <w:webHidden/>
          </w:rPr>
          <w:fldChar w:fldCharType="separate"/>
        </w:r>
        <w:r>
          <w:rPr>
            <w:webHidden/>
          </w:rPr>
          <w:t>367</w:t>
        </w:r>
        <w:r>
          <w:rPr>
            <w:webHidden/>
          </w:rPr>
          <w:fldChar w:fldCharType="end"/>
        </w:r>
      </w:hyperlink>
    </w:p>
    <w:p w14:paraId="6E129EF5" w14:textId="07B084B5" w:rsidR="00023ECF" w:rsidRDefault="00023ECF">
      <w:pPr>
        <w:pStyle w:val="TOC2"/>
        <w:rPr>
          <w:rFonts w:asciiTheme="minorHAnsi" w:eastAsiaTheme="minorEastAsia" w:hAnsiTheme="minorHAnsi" w:cstheme="minorBidi"/>
          <w:bCs w:val="0"/>
          <w:kern w:val="2"/>
          <w:szCs w:val="24"/>
          <w14:ligatures w14:val="standardContextual"/>
        </w:rPr>
      </w:pPr>
      <w:hyperlink w:anchor="_Toc213772219" w:history="1">
        <w:r w:rsidRPr="00AC173C">
          <w:rPr>
            <w:rStyle w:val="Hyperlink"/>
            <w:b/>
          </w:rPr>
          <w:t>B.7</w:t>
        </w:r>
        <w:r>
          <w:rPr>
            <w:rFonts w:asciiTheme="minorHAnsi" w:eastAsiaTheme="minorEastAsia" w:hAnsiTheme="minorHAnsi" w:cstheme="minorBidi"/>
            <w:bCs w:val="0"/>
            <w:kern w:val="2"/>
            <w:szCs w:val="24"/>
            <w14:ligatures w14:val="standardContextual"/>
          </w:rPr>
          <w:tab/>
        </w:r>
        <w:r w:rsidRPr="00AC173C">
          <w:rPr>
            <w:rStyle w:val="Hyperlink"/>
            <w:b/>
          </w:rPr>
          <w:t xml:space="preserve">    Settlement Meter Data Types</w:t>
        </w:r>
        <w:r>
          <w:rPr>
            <w:webHidden/>
          </w:rPr>
          <w:tab/>
        </w:r>
        <w:r>
          <w:rPr>
            <w:webHidden/>
          </w:rPr>
          <w:fldChar w:fldCharType="begin"/>
        </w:r>
        <w:r>
          <w:rPr>
            <w:webHidden/>
          </w:rPr>
          <w:instrText xml:space="preserve"> PAGEREF _Toc213772219 \h </w:instrText>
        </w:r>
        <w:r>
          <w:rPr>
            <w:webHidden/>
          </w:rPr>
        </w:r>
        <w:r>
          <w:rPr>
            <w:webHidden/>
          </w:rPr>
          <w:fldChar w:fldCharType="separate"/>
        </w:r>
        <w:r>
          <w:rPr>
            <w:webHidden/>
          </w:rPr>
          <w:t>367</w:t>
        </w:r>
        <w:r>
          <w:rPr>
            <w:webHidden/>
          </w:rPr>
          <w:fldChar w:fldCharType="end"/>
        </w:r>
      </w:hyperlink>
    </w:p>
    <w:p w14:paraId="5B690CDF" w14:textId="38A5F736" w:rsidR="00023ECF" w:rsidRDefault="00023ECF">
      <w:pPr>
        <w:pStyle w:val="TOC3"/>
        <w:rPr>
          <w:rFonts w:asciiTheme="minorHAnsi" w:eastAsiaTheme="minorEastAsia" w:hAnsiTheme="minorHAnsi" w:cstheme="minorBidi"/>
          <w:bCs w:val="0"/>
          <w:kern w:val="2"/>
          <w:szCs w:val="24"/>
          <w14:ligatures w14:val="standardContextual"/>
        </w:rPr>
      </w:pPr>
      <w:hyperlink w:anchor="_Toc213772220" w:history="1">
        <w:r w:rsidRPr="00AC173C">
          <w:rPr>
            <w:rStyle w:val="Hyperlink"/>
            <w:b/>
          </w:rPr>
          <w:t>B.7.1</w:t>
        </w:r>
        <w:r>
          <w:rPr>
            <w:rFonts w:asciiTheme="minorHAnsi" w:eastAsiaTheme="minorEastAsia" w:hAnsiTheme="minorHAnsi" w:cstheme="minorBidi"/>
            <w:bCs w:val="0"/>
            <w:kern w:val="2"/>
            <w:szCs w:val="24"/>
            <w14:ligatures w14:val="standardContextual"/>
          </w:rPr>
          <w:tab/>
        </w:r>
        <w:r w:rsidRPr="00AC173C">
          <w:rPr>
            <w:rStyle w:val="Hyperlink"/>
            <w:b/>
          </w:rPr>
          <w:t xml:space="preserve">     Resource Metering</w:t>
        </w:r>
        <w:r>
          <w:rPr>
            <w:webHidden/>
          </w:rPr>
          <w:tab/>
        </w:r>
        <w:r>
          <w:rPr>
            <w:webHidden/>
          </w:rPr>
          <w:fldChar w:fldCharType="begin"/>
        </w:r>
        <w:r>
          <w:rPr>
            <w:webHidden/>
          </w:rPr>
          <w:instrText xml:space="preserve"> PAGEREF _Toc213772220 \h </w:instrText>
        </w:r>
        <w:r>
          <w:rPr>
            <w:webHidden/>
          </w:rPr>
        </w:r>
        <w:r>
          <w:rPr>
            <w:webHidden/>
          </w:rPr>
          <w:fldChar w:fldCharType="separate"/>
        </w:r>
        <w:r>
          <w:rPr>
            <w:webHidden/>
          </w:rPr>
          <w:t>368</w:t>
        </w:r>
        <w:r>
          <w:rPr>
            <w:webHidden/>
          </w:rPr>
          <w:fldChar w:fldCharType="end"/>
        </w:r>
      </w:hyperlink>
    </w:p>
    <w:p w14:paraId="681FA831" w14:textId="55ABB2E3" w:rsidR="00023ECF" w:rsidRDefault="00023ECF">
      <w:pPr>
        <w:pStyle w:val="TOC4"/>
        <w:rPr>
          <w:rFonts w:asciiTheme="minorHAnsi" w:eastAsiaTheme="minorEastAsia" w:hAnsiTheme="minorHAnsi" w:cstheme="minorBidi"/>
          <w:bCs w:val="0"/>
          <w:kern w:val="2"/>
          <w:szCs w:val="24"/>
          <w14:ligatures w14:val="standardContextual"/>
        </w:rPr>
      </w:pPr>
      <w:hyperlink w:anchor="_Toc213772221" w:history="1">
        <w:r w:rsidRPr="00AC173C">
          <w:rPr>
            <w:rStyle w:val="Hyperlink"/>
            <w:b/>
          </w:rPr>
          <w:t>B.7.1.1</w:t>
        </w:r>
        <w:r>
          <w:rPr>
            <w:rFonts w:asciiTheme="minorHAnsi" w:eastAsiaTheme="minorEastAsia" w:hAnsiTheme="minorHAnsi" w:cstheme="minorBidi"/>
            <w:bCs w:val="0"/>
            <w:kern w:val="2"/>
            <w:szCs w:val="24"/>
            <w14:ligatures w14:val="standardContextual"/>
          </w:rPr>
          <w:tab/>
        </w:r>
        <w:r w:rsidRPr="00AC173C">
          <w:rPr>
            <w:rStyle w:val="Hyperlink"/>
            <w:b/>
          </w:rPr>
          <w:t xml:space="preserve">     Joint Owned Unit (JOU) Generation</w:t>
        </w:r>
        <w:r>
          <w:rPr>
            <w:webHidden/>
          </w:rPr>
          <w:tab/>
        </w:r>
        <w:r>
          <w:rPr>
            <w:webHidden/>
          </w:rPr>
          <w:fldChar w:fldCharType="begin"/>
        </w:r>
        <w:r>
          <w:rPr>
            <w:webHidden/>
          </w:rPr>
          <w:instrText xml:space="preserve"> PAGEREF _Toc213772221 \h </w:instrText>
        </w:r>
        <w:r>
          <w:rPr>
            <w:webHidden/>
          </w:rPr>
        </w:r>
        <w:r>
          <w:rPr>
            <w:webHidden/>
          </w:rPr>
          <w:fldChar w:fldCharType="separate"/>
        </w:r>
        <w:r>
          <w:rPr>
            <w:webHidden/>
          </w:rPr>
          <w:t>368</w:t>
        </w:r>
        <w:r>
          <w:rPr>
            <w:webHidden/>
          </w:rPr>
          <w:fldChar w:fldCharType="end"/>
        </w:r>
      </w:hyperlink>
    </w:p>
    <w:p w14:paraId="21845032" w14:textId="435A74DF" w:rsidR="00023ECF" w:rsidRDefault="00023ECF">
      <w:pPr>
        <w:pStyle w:val="TOC4"/>
        <w:rPr>
          <w:rFonts w:asciiTheme="minorHAnsi" w:eastAsiaTheme="minorEastAsia" w:hAnsiTheme="minorHAnsi" w:cstheme="minorBidi"/>
          <w:bCs w:val="0"/>
          <w:kern w:val="2"/>
          <w:szCs w:val="24"/>
          <w14:ligatures w14:val="standardContextual"/>
        </w:rPr>
      </w:pPr>
      <w:hyperlink w:anchor="_Toc213772222" w:history="1">
        <w:r w:rsidRPr="00AC173C">
          <w:rPr>
            <w:rStyle w:val="Hyperlink"/>
            <w:b/>
          </w:rPr>
          <w:t>B.7.1.2</w:t>
        </w:r>
        <w:r>
          <w:rPr>
            <w:rFonts w:asciiTheme="minorHAnsi" w:eastAsiaTheme="minorEastAsia" w:hAnsiTheme="minorHAnsi" w:cstheme="minorBidi"/>
            <w:bCs w:val="0"/>
            <w:kern w:val="2"/>
            <w:szCs w:val="24"/>
            <w14:ligatures w14:val="standardContextual"/>
          </w:rPr>
          <w:tab/>
        </w:r>
        <w:r w:rsidRPr="00AC173C">
          <w:rPr>
            <w:rStyle w:val="Hyperlink"/>
            <w:b/>
          </w:rPr>
          <w:t xml:space="preserve">     Generation Loss Adjustment</w:t>
        </w:r>
        <w:r>
          <w:rPr>
            <w:webHidden/>
          </w:rPr>
          <w:tab/>
        </w:r>
        <w:r>
          <w:rPr>
            <w:webHidden/>
          </w:rPr>
          <w:fldChar w:fldCharType="begin"/>
        </w:r>
        <w:r>
          <w:rPr>
            <w:webHidden/>
          </w:rPr>
          <w:instrText xml:space="preserve"> PAGEREF _Toc213772222 \h </w:instrText>
        </w:r>
        <w:r>
          <w:rPr>
            <w:webHidden/>
          </w:rPr>
        </w:r>
        <w:r>
          <w:rPr>
            <w:webHidden/>
          </w:rPr>
          <w:fldChar w:fldCharType="separate"/>
        </w:r>
        <w:r>
          <w:rPr>
            <w:webHidden/>
          </w:rPr>
          <w:t>369</w:t>
        </w:r>
        <w:r>
          <w:rPr>
            <w:webHidden/>
          </w:rPr>
          <w:fldChar w:fldCharType="end"/>
        </w:r>
      </w:hyperlink>
    </w:p>
    <w:p w14:paraId="6C055352" w14:textId="0ECE8418" w:rsidR="00023ECF" w:rsidRDefault="00023ECF">
      <w:pPr>
        <w:pStyle w:val="TOC3"/>
        <w:rPr>
          <w:rFonts w:asciiTheme="minorHAnsi" w:eastAsiaTheme="minorEastAsia" w:hAnsiTheme="minorHAnsi" w:cstheme="minorBidi"/>
          <w:bCs w:val="0"/>
          <w:kern w:val="2"/>
          <w:szCs w:val="24"/>
          <w14:ligatures w14:val="standardContextual"/>
        </w:rPr>
      </w:pPr>
      <w:hyperlink w:anchor="_Toc213772223" w:history="1">
        <w:r w:rsidRPr="00AC173C">
          <w:rPr>
            <w:rStyle w:val="Hyperlink"/>
            <w:b/>
          </w:rPr>
          <w:t>B.7.2</w:t>
        </w:r>
        <w:r>
          <w:rPr>
            <w:rFonts w:asciiTheme="minorHAnsi" w:eastAsiaTheme="minorEastAsia" w:hAnsiTheme="minorHAnsi" w:cstheme="minorBidi"/>
            <w:bCs w:val="0"/>
            <w:kern w:val="2"/>
            <w:szCs w:val="24"/>
            <w14:ligatures w14:val="standardContextual"/>
          </w:rPr>
          <w:tab/>
        </w:r>
        <w:r w:rsidRPr="00AC173C">
          <w:rPr>
            <w:rStyle w:val="Hyperlink"/>
            <w:b/>
          </w:rPr>
          <w:t xml:space="preserve">     Load Metering</w:t>
        </w:r>
        <w:r>
          <w:rPr>
            <w:webHidden/>
          </w:rPr>
          <w:tab/>
        </w:r>
        <w:r>
          <w:rPr>
            <w:webHidden/>
          </w:rPr>
          <w:fldChar w:fldCharType="begin"/>
        </w:r>
        <w:r>
          <w:rPr>
            <w:webHidden/>
          </w:rPr>
          <w:instrText xml:space="preserve"> PAGEREF _Toc213772223 \h </w:instrText>
        </w:r>
        <w:r>
          <w:rPr>
            <w:webHidden/>
          </w:rPr>
        </w:r>
        <w:r>
          <w:rPr>
            <w:webHidden/>
          </w:rPr>
          <w:fldChar w:fldCharType="separate"/>
        </w:r>
        <w:r>
          <w:rPr>
            <w:webHidden/>
          </w:rPr>
          <w:t>369</w:t>
        </w:r>
        <w:r>
          <w:rPr>
            <w:webHidden/>
          </w:rPr>
          <w:fldChar w:fldCharType="end"/>
        </w:r>
      </w:hyperlink>
    </w:p>
    <w:p w14:paraId="235A63BB" w14:textId="70DB8770" w:rsidR="00023ECF" w:rsidRDefault="00023ECF">
      <w:pPr>
        <w:pStyle w:val="TOC4"/>
        <w:rPr>
          <w:rFonts w:asciiTheme="minorHAnsi" w:eastAsiaTheme="minorEastAsia" w:hAnsiTheme="minorHAnsi" w:cstheme="minorBidi"/>
          <w:bCs w:val="0"/>
          <w:kern w:val="2"/>
          <w:szCs w:val="24"/>
          <w14:ligatures w14:val="standardContextual"/>
        </w:rPr>
      </w:pPr>
      <w:hyperlink w:anchor="_Toc213772224" w:history="1">
        <w:r w:rsidRPr="00AC173C">
          <w:rPr>
            <w:rStyle w:val="Hyperlink"/>
            <w:b/>
          </w:rPr>
          <w:t>B.7.2.1</w:t>
        </w:r>
        <w:r>
          <w:rPr>
            <w:rFonts w:asciiTheme="minorHAnsi" w:eastAsiaTheme="minorEastAsia" w:hAnsiTheme="minorHAnsi" w:cstheme="minorBidi"/>
            <w:bCs w:val="0"/>
            <w:kern w:val="2"/>
            <w:szCs w:val="24"/>
            <w14:ligatures w14:val="standardContextual"/>
          </w:rPr>
          <w:tab/>
        </w:r>
        <w:r w:rsidRPr="00AC173C">
          <w:rPr>
            <w:rStyle w:val="Hyperlink"/>
            <w:b/>
          </w:rPr>
          <w:t xml:space="preserve">     General</w:t>
        </w:r>
        <w:r>
          <w:rPr>
            <w:webHidden/>
          </w:rPr>
          <w:tab/>
        </w:r>
        <w:r>
          <w:rPr>
            <w:webHidden/>
          </w:rPr>
          <w:fldChar w:fldCharType="begin"/>
        </w:r>
        <w:r>
          <w:rPr>
            <w:webHidden/>
          </w:rPr>
          <w:instrText xml:space="preserve"> PAGEREF _Toc213772224 \h </w:instrText>
        </w:r>
        <w:r>
          <w:rPr>
            <w:webHidden/>
          </w:rPr>
        </w:r>
        <w:r>
          <w:rPr>
            <w:webHidden/>
          </w:rPr>
          <w:fldChar w:fldCharType="separate"/>
        </w:r>
        <w:r>
          <w:rPr>
            <w:webHidden/>
          </w:rPr>
          <w:t>369</w:t>
        </w:r>
        <w:r>
          <w:rPr>
            <w:webHidden/>
          </w:rPr>
          <w:fldChar w:fldCharType="end"/>
        </w:r>
      </w:hyperlink>
    </w:p>
    <w:p w14:paraId="5DB0C8FC" w14:textId="49A738EA" w:rsidR="00023ECF" w:rsidRDefault="00023ECF">
      <w:pPr>
        <w:pStyle w:val="TOC4"/>
        <w:rPr>
          <w:rFonts w:asciiTheme="minorHAnsi" w:eastAsiaTheme="minorEastAsia" w:hAnsiTheme="minorHAnsi" w:cstheme="minorBidi"/>
          <w:bCs w:val="0"/>
          <w:kern w:val="2"/>
          <w:szCs w:val="24"/>
          <w14:ligatures w14:val="standardContextual"/>
        </w:rPr>
      </w:pPr>
      <w:hyperlink w:anchor="_Toc213772225" w:history="1">
        <w:r w:rsidRPr="00AC173C">
          <w:rPr>
            <w:rStyle w:val="Hyperlink"/>
            <w:b/>
          </w:rPr>
          <w:t>B.7.2.2</w:t>
        </w:r>
        <w:r>
          <w:rPr>
            <w:rFonts w:asciiTheme="minorHAnsi" w:eastAsiaTheme="minorEastAsia" w:hAnsiTheme="minorHAnsi" w:cstheme="minorBidi"/>
            <w:bCs w:val="0"/>
            <w:kern w:val="2"/>
            <w:szCs w:val="24"/>
            <w14:ligatures w14:val="standardContextual"/>
          </w:rPr>
          <w:tab/>
        </w:r>
        <w:r w:rsidRPr="00AC173C">
          <w:rPr>
            <w:rStyle w:val="Hyperlink"/>
            <w:b/>
          </w:rPr>
          <w:t xml:space="preserve">     Load Loss Adjustment</w:t>
        </w:r>
        <w:r>
          <w:rPr>
            <w:webHidden/>
          </w:rPr>
          <w:tab/>
        </w:r>
        <w:r>
          <w:rPr>
            <w:webHidden/>
          </w:rPr>
          <w:fldChar w:fldCharType="begin"/>
        </w:r>
        <w:r>
          <w:rPr>
            <w:webHidden/>
          </w:rPr>
          <w:instrText xml:space="preserve"> PAGEREF _Toc213772225 \h </w:instrText>
        </w:r>
        <w:r>
          <w:rPr>
            <w:webHidden/>
          </w:rPr>
        </w:r>
        <w:r>
          <w:rPr>
            <w:webHidden/>
          </w:rPr>
          <w:fldChar w:fldCharType="separate"/>
        </w:r>
        <w:r>
          <w:rPr>
            <w:webHidden/>
          </w:rPr>
          <w:t>369</w:t>
        </w:r>
        <w:r>
          <w:rPr>
            <w:webHidden/>
          </w:rPr>
          <w:fldChar w:fldCharType="end"/>
        </w:r>
      </w:hyperlink>
    </w:p>
    <w:p w14:paraId="621B5365" w14:textId="2B7553AA" w:rsidR="00023ECF" w:rsidRDefault="00023ECF">
      <w:pPr>
        <w:pStyle w:val="TOC4"/>
        <w:rPr>
          <w:rFonts w:asciiTheme="minorHAnsi" w:eastAsiaTheme="minorEastAsia" w:hAnsiTheme="minorHAnsi" w:cstheme="minorBidi"/>
          <w:bCs w:val="0"/>
          <w:kern w:val="2"/>
          <w:szCs w:val="24"/>
          <w14:ligatures w14:val="standardContextual"/>
        </w:rPr>
      </w:pPr>
      <w:hyperlink w:anchor="_Toc213772226" w:history="1">
        <w:r w:rsidRPr="00AC173C">
          <w:rPr>
            <w:rStyle w:val="Hyperlink"/>
            <w:b/>
          </w:rPr>
          <w:t>B.7.2.3</w:t>
        </w:r>
        <w:r>
          <w:rPr>
            <w:rFonts w:asciiTheme="minorHAnsi" w:eastAsiaTheme="minorEastAsia" w:hAnsiTheme="minorHAnsi" w:cstheme="minorBidi"/>
            <w:bCs w:val="0"/>
            <w:kern w:val="2"/>
            <w:szCs w:val="24"/>
            <w14:ligatures w14:val="standardContextual"/>
          </w:rPr>
          <w:tab/>
        </w:r>
        <w:r w:rsidRPr="00AC173C">
          <w:rPr>
            <w:rStyle w:val="Hyperlink"/>
            <w:b/>
          </w:rPr>
          <w:t xml:space="preserve">     Residual Load</w:t>
        </w:r>
        <w:r>
          <w:rPr>
            <w:webHidden/>
          </w:rPr>
          <w:tab/>
        </w:r>
        <w:r>
          <w:rPr>
            <w:webHidden/>
          </w:rPr>
          <w:fldChar w:fldCharType="begin"/>
        </w:r>
        <w:r>
          <w:rPr>
            <w:webHidden/>
          </w:rPr>
          <w:instrText xml:space="preserve"> PAGEREF _Toc213772226 \h </w:instrText>
        </w:r>
        <w:r>
          <w:rPr>
            <w:webHidden/>
          </w:rPr>
        </w:r>
        <w:r>
          <w:rPr>
            <w:webHidden/>
          </w:rPr>
          <w:fldChar w:fldCharType="separate"/>
        </w:r>
        <w:r>
          <w:rPr>
            <w:webHidden/>
          </w:rPr>
          <w:t>369</w:t>
        </w:r>
        <w:r>
          <w:rPr>
            <w:webHidden/>
          </w:rPr>
          <w:fldChar w:fldCharType="end"/>
        </w:r>
      </w:hyperlink>
    </w:p>
    <w:p w14:paraId="4D5B4074" w14:textId="52F7EF0E" w:rsidR="00023ECF" w:rsidRDefault="00023ECF">
      <w:pPr>
        <w:pStyle w:val="TOC3"/>
        <w:rPr>
          <w:rFonts w:asciiTheme="minorHAnsi" w:eastAsiaTheme="minorEastAsia" w:hAnsiTheme="minorHAnsi" w:cstheme="minorBidi"/>
          <w:bCs w:val="0"/>
          <w:kern w:val="2"/>
          <w:szCs w:val="24"/>
          <w14:ligatures w14:val="standardContextual"/>
        </w:rPr>
      </w:pPr>
      <w:hyperlink w:anchor="_Toc213772227" w:history="1">
        <w:r w:rsidRPr="00AC173C">
          <w:rPr>
            <w:rStyle w:val="Hyperlink"/>
            <w:b/>
          </w:rPr>
          <w:t>B.7.3</w:t>
        </w:r>
        <w:r>
          <w:rPr>
            <w:rFonts w:asciiTheme="minorHAnsi" w:eastAsiaTheme="minorEastAsia" w:hAnsiTheme="minorHAnsi" w:cstheme="minorBidi"/>
            <w:bCs w:val="0"/>
            <w:kern w:val="2"/>
            <w:szCs w:val="24"/>
            <w14:ligatures w14:val="standardContextual"/>
          </w:rPr>
          <w:tab/>
        </w:r>
        <w:r w:rsidRPr="00AC173C">
          <w:rPr>
            <w:rStyle w:val="Hyperlink"/>
            <w:b/>
          </w:rPr>
          <w:t xml:space="preserve">     Settlement Area Tie-Lines</w:t>
        </w:r>
        <w:r>
          <w:rPr>
            <w:webHidden/>
          </w:rPr>
          <w:tab/>
        </w:r>
        <w:r>
          <w:rPr>
            <w:webHidden/>
          </w:rPr>
          <w:fldChar w:fldCharType="begin"/>
        </w:r>
        <w:r>
          <w:rPr>
            <w:webHidden/>
          </w:rPr>
          <w:instrText xml:space="preserve"> PAGEREF _Toc213772227 \h </w:instrText>
        </w:r>
        <w:r>
          <w:rPr>
            <w:webHidden/>
          </w:rPr>
        </w:r>
        <w:r>
          <w:rPr>
            <w:webHidden/>
          </w:rPr>
          <w:fldChar w:fldCharType="separate"/>
        </w:r>
        <w:r>
          <w:rPr>
            <w:webHidden/>
          </w:rPr>
          <w:t>369</w:t>
        </w:r>
        <w:r>
          <w:rPr>
            <w:webHidden/>
          </w:rPr>
          <w:fldChar w:fldCharType="end"/>
        </w:r>
      </w:hyperlink>
    </w:p>
    <w:p w14:paraId="40C47829" w14:textId="29967C0A" w:rsidR="00023ECF" w:rsidRDefault="00023ECF">
      <w:pPr>
        <w:pStyle w:val="TOC4"/>
        <w:rPr>
          <w:rFonts w:asciiTheme="minorHAnsi" w:eastAsiaTheme="minorEastAsia" w:hAnsiTheme="minorHAnsi" w:cstheme="minorBidi"/>
          <w:bCs w:val="0"/>
          <w:kern w:val="2"/>
          <w:szCs w:val="24"/>
          <w14:ligatures w14:val="standardContextual"/>
        </w:rPr>
      </w:pPr>
      <w:hyperlink w:anchor="_Toc213772228" w:history="1">
        <w:r w:rsidRPr="00AC173C">
          <w:rPr>
            <w:rStyle w:val="Hyperlink"/>
            <w:b/>
          </w:rPr>
          <w:t>B.7.3.1</w:t>
        </w:r>
        <w:r>
          <w:rPr>
            <w:rFonts w:asciiTheme="minorHAnsi" w:eastAsiaTheme="minorEastAsia" w:hAnsiTheme="minorHAnsi" w:cstheme="minorBidi"/>
            <w:bCs w:val="0"/>
            <w:kern w:val="2"/>
            <w:szCs w:val="24"/>
            <w14:ligatures w14:val="standardContextual"/>
          </w:rPr>
          <w:tab/>
        </w:r>
        <w:r w:rsidRPr="00AC173C">
          <w:rPr>
            <w:rStyle w:val="Hyperlink"/>
            <w:b/>
          </w:rPr>
          <w:t xml:space="preserve">     Substitution for Missing Meter Data</w:t>
        </w:r>
        <w:r>
          <w:rPr>
            <w:webHidden/>
          </w:rPr>
          <w:tab/>
        </w:r>
        <w:r>
          <w:rPr>
            <w:webHidden/>
          </w:rPr>
          <w:fldChar w:fldCharType="begin"/>
        </w:r>
        <w:r>
          <w:rPr>
            <w:webHidden/>
          </w:rPr>
          <w:instrText xml:space="preserve"> PAGEREF _Toc213772228 \h </w:instrText>
        </w:r>
        <w:r>
          <w:rPr>
            <w:webHidden/>
          </w:rPr>
        </w:r>
        <w:r>
          <w:rPr>
            <w:webHidden/>
          </w:rPr>
          <w:fldChar w:fldCharType="separate"/>
        </w:r>
        <w:r>
          <w:rPr>
            <w:webHidden/>
          </w:rPr>
          <w:t>370</w:t>
        </w:r>
        <w:r>
          <w:rPr>
            <w:webHidden/>
          </w:rPr>
          <w:fldChar w:fldCharType="end"/>
        </w:r>
      </w:hyperlink>
    </w:p>
    <w:p w14:paraId="4C428473" w14:textId="4FE9420F" w:rsidR="00023ECF" w:rsidRDefault="00023ECF">
      <w:pPr>
        <w:pStyle w:val="TOC2"/>
        <w:rPr>
          <w:rFonts w:asciiTheme="minorHAnsi" w:eastAsiaTheme="minorEastAsia" w:hAnsiTheme="minorHAnsi" w:cstheme="minorBidi"/>
          <w:bCs w:val="0"/>
          <w:kern w:val="2"/>
          <w:szCs w:val="24"/>
          <w14:ligatures w14:val="standardContextual"/>
        </w:rPr>
      </w:pPr>
      <w:hyperlink w:anchor="_Toc213772229" w:history="1">
        <w:r w:rsidRPr="00AC173C">
          <w:rPr>
            <w:rStyle w:val="Hyperlink"/>
            <w:b/>
          </w:rPr>
          <w:t>B.8</w:t>
        </w:r>
        <w:r>
          <w:rPr>
            <w:rFonts w:asciiTheme="minorHAnsi" w:eastAsiaTheme="minorEastAsia" w:hAnsiTheme="minorHAnsi" w:cstheme="minorBidi"/>
            <w:bCs w:val="0"/>
            <w:kern w:val="2"/>
            <w:szCs w:val="24"/>
            <w14:ligatures w14:val="standardContextual"/>
          </w:rPr>
          <w:tab/>
        </w:r>
        <w:r w:rsidRPr="00AC173C">
          <w:rPr>
            <w:rStyle w:val="Hyperlink"/>
            <w:b/>
          </w:rPr>
          <w:t xml:space="preserve">    Settlement Location Anatomy</w:t>
        </w:r>
        <w:r>
          <w:rPr>
            <w:webHidden/>
          </w:rPr>
          <w:tab/>
        </w:r>
        <w:r>
          <w:rPr>
            <w:webHidden/>
          </w:rPr>
          <w:fldChar w:fldCharType="begin"/>
        </w:r>
        <w:r>
          <w:rPr>
            <w:webHidden/>
          </w:rPr>
          <w:instrText xml:space="preserve"> PAGEREF _Toc213772229 \h </w:instrText>
        </w:r>
        <w:r>
          <w:rPr>
            <w:webHidden/>
          </w:rPr>
        </w:r>
        <w:r>
          <w:rPr>
            <w:webHidden/>
          </w:rPr>
          <w:fldChar w:fldCharType="separate"/>
        </w:r>
        <w:r>
          <w:rPr>
            <w:webHidden/>
          </w:rPr>
          <w:t>370</w:t>
        </w:r>
        <w:r>
          <w:rPr>
            <w:webHidden/>
          </w:rPr>
          <w:fldChar w:fldCharType="end"/>
        </w:r>
      </w:hyperlink>
    </w:p>
    <w:p w14:paraId="2EE01B87" w14:textId="5F3CEEA6" w:rsidR="00023ECF" w:rsidRDefault="00023ECF">
      <w:pPr>
        <w:pStyle w:val="TOC3"/>
        <w:rPr>
          <w:rFonts w:asciiTheme="minorHAnsi" w:eastAsiaTheme="minorEastAsia" w:hAnsiTheme="minorHAnsi" w:cstheme="minorBidi"/>
          <w:bCs w:val="0"/>
          <w:kern w:val="2"/>
          <w:szCs w:val="24"/>
          <w14:ligatures w14:val="standardContextual"/>
        </w:rPr>
      </w:pPr>
      <w:hyperlink w:anchor="_Toc213772230" w:history="1">
        <w:r w:rsidRPr="00AC173C">
          <w:rPr>
            <w:rStyle w:val="Hyperlink"/>
            <w:b/>
          </w:rPr>
          <w:t>B.8.1</w:t>
        </w:r>
        <w:r>
          <w:rPr>
            <w:rFonts w:asciiTheme="minorHAnsi" w:eastAsiaTheme="minorEastAsia" w:hAnsiTheme="minorHAnsi" w:cstheme="minorBidi"/>
            <w:bCs w:val="0"/>
            <w:kern w:val="2"/>
            <w:szCs w:val="24"/>
            <w14:ligatures w14:val="standardContextual"/>
          </w:rPr>
          <w:tab/>
        </w:r>
        <w:r w:rsidRPr="00AC173C">
          <w:rPr>
            <w:rStyle w:val="Hyperlink"/>
            <w:b/>
          </w:rPr>
          <w:t xml:space="preserve">     General</w:t>
        </w:r>
        <w:r>
          <w:rPr>
            <w:webHidden/>
          </w:rPr>
          <w:tab/>
        </w:r>
        <w:r>
          <w:rPr>
            <w:webHidden/>
          </w:rPr>
          <w:fldChar w:fldCharType="begin"/>
        </w:r>
        <w:r>
          <w:rPr>
            <w:webHidden/>
          </w:rPr>
          <w:instrText xml:space="preserve"> PAGEREF _Toc213772230 \h </w:instrText>
        </w:r>
        <w:r>
          <w:rPr>
            <w:webHidden/>
          </w:rPr>
        </w:r>
        <w:r>
          <w:rPr>
            <w:webHidden/>
          </w:rPr>
          <w:fldChar w:fldCharType="separate"/>
        </w:r>
        <w:r>
          <w:rPr>
            <w:webHidden/>
          </w:rPr>
          <w:t>370</w:t>
        </w:r>
        <w:r>
          <w:rPr>
            <w:webHidden/>
          </w:rPr>
          <w:fldChar w:fldCharType="end"/>
        </w:r>
      </w:hyperlink>
    </w:p>
    <w:p w14:paraId="668CC529" w14:textId="674B9D76" w:rsidR="00023ECF" w:rsidRDefault="00023ECF">
      <w:pPr>
        <w:pStyle w:val="TOC3"/>
        <w:rPr>
          <w:rFonts w:asciiTheme="minorHAnsi" w:eastAsiaTheme="minorEastAsia" w:hAnsiTheme="minorHAnsi" w:cstheme="minorBidi"/>
          <w:bCs w:val="0"/>
          <w:kern w:val="2"/>
          <w:szCs w:val="24"/>
          <w14:ligatures w14:val="standardContextual"/>
        </w:rPr>
      </w:pPr>
      <w:hyperlink w:anchor="_Toc213772231" w:history="1">
        <w:r w:rsidRPr="00AC173C">
          <w:rPr>
            <w:rStyle w:val="Hyperlink"/>
            <w:b/>
          </w:rPr>
          <w:t>B.8.2</w:t>
        </w:r>
        <w:r>
          <w:rPr>
            <w:rFonts w:asciiTheme="minorHAnsi" w:eastAsiaTheme="minorEastAsia" w:hAnsiTheme="minorHAnsi" w:cstheme="minorBidi"/>
            <w:bCs w:val="0"/>
            <w:kern w:val="2"/>
            <w:szCs w:val="24"/>
            <w14:ligatures w14:val="standardContextual"/>
          </w:rPr>
          <w:tab/>
        </w:r>
        <w:r w:rsidRPr="00AC173C">
          <w:rPr>
            <w:rStyle w:val="Hyperlink"/>
            <w:b/>
          </w:rPr>
          <w:t xml:space="preserve">     Making of a Settlement Location</w:t>
        </w:r>
        <w:r>
          <w:rPr>
            <w:webHidden/>
          </w:rPr>
          <w:tab/>
        </w:r>
        <w:r>
          <w:rPr>
            <w:webHidden/>
          </w:rPr>
          <w:fldChar w:fldCharType="begin"/>
        </w:r>
        <w:r>
          <w:rPr>
            <w:webHidden/>
          </w:rPr>
          <w:instrText xml:space="preserve"> PAGEREF _Toc213772231 \h </w:instrText>
        </w:r>
        <w:r>
          <w:rPr>
            <w:webHidden/>
          </w:rPr>
        </w:r>
        <w:r>
          <w:rPr>
            <w:webHidden/>
          </w:rPr>
          <w:fldChar w:fldCharType="separate"/>
        </w:r>
        <w:r>
          <w:rPr>
            <w:webHidden/>
          </w:rPr>
          <w:t>371</w:t>
        </w:r>
        <w:r>
          <w:rPr>
            <w:webHidden/>
          </w:rPr>
          <w:fldChar w:fldCharType="end"/>
        </w:r>
      </w:hyperlink>
    </w:p>
    <w:p w14:paraId="41749BCC" w14:textId="1367FCDC" w:rsidR="00023ECF" w:rsidRDefault="00023ECF">
      <w:pPr>
        <w:pStyle w:val="TOC4"/>
        <w:rPr>
          <w:rFonts w:asciiTheme="minorHAnsi" w:eastAsiaTheme="minorEastAsia" w:hAnsiTheme="minorHAnsi" w:cstheme="minorBidi"/>
          <w:bCs w:val="0"/>
          <w:kern w:val="2"/>
          <w:szCs w:val="24"/>
          <w14:ligatures w14:val="standardContextual"/>
        </w:rPr>
      </w:pPr>
      <w:hyperlink w:anchor="_Toc213772232" w:history="1">
        <w:r w:rsidRPr="00AC173C">
          <w:rPr>
            <w:rStyle w:val="Hyperlink"/>
            <w:b/>
          </w:rPr>
          <w:t>B.8.2.1</w:t>
        </w:r>
        <w:r>
          <w:rPr>
            <w:rFonts w:asciiTheme="minorHAnsi" w:eastAsiaTheme="minorEastAsia" w:hAnsiTheme="minorHAnsi" w:cstheme="minorBidi"/>
            <w:bCs w:val="0"/>
            <w:kern w:val="2"/>
            <w:szCs w:val="24"/>
            <w14:ligatures w14:val="standardContextual"/>
          </w:rPr>
          <w:tab/>
        </w:r>
        <w:r w:rsidRPr="00AC173C">
          <w:rPr>
            <w:rStyle w:val="Hyperlink"/>
            <w:b/>
          </w:rPr>
          <w:t xml:space="preserve">     Resource and Load Settlement Locations</w:t>
        </w:r>
        <w:r>
          <w:rPr>
            <w:webHidden/>
          </w:rPr>
          <w:tab/>
        </w:r>
        <w:r>
          <w:rPr>
            <w:webHidden/>
          </w:rPr>
          <w:fldChar w:fldCharType="begin"/>
        </w:r>
        <w:r>
          <w:rPr>
            <w:webHidden/>
          </w:rPr>
          <w:instrText xml:space="preserve"> PAGEREF _Toc213772232 \h </w:instrText>
        </w:r>
        <w:r>
          <w:rPr>
            <w:webHidden/>
          </w:rPr>
        </w:r>
        <w:r>
          <w:rPr>
            <w:webHidden/>
          </w:rPr>
          <w:fldChar w:fldCharType="separate"/>
        </w:r>
        <w:r>
          <w:rPr>
            <w:webHidden/>
          </w:rPr>
          <w:t>371</w:t>
        </w:r>
        <w:r>
          <w:rPr>
            <w:webHidden/>
          </w:rPr>
          <w:fldChar w:fldCharType="end"/>
        </w:r>
      </w:hyperlink>
    </w:p>
    <w:p w14:paraId="3189BC26" w14:textId="4ACB52F0" w:rsidR="00023ECF" w:rsidRDefault="00023ECF">
      <w:pPr>
        <w:pStyle w:val="TOC4"/>
        <w:rPr>
          <w:rFonts w:asciiTheme="minorHAnsi" w:eastAsiaTheme="minorEastAsia" w:hAnsiTheme="minorHAnsi" w:cstheme="minorBidi"/>
          <w:bCs w:val="0"/>
          <w:kern w:val="2"/>
          <w:szCs w:val="24"/>
          <w14:ligatures w14:val="standardContextual"/>
        </w:rPr>
      </w:pPr>
      <w:hyperlink w:anchor="_Toc213772233" w:history="1">
        <w:r w:rsidRPr="00AC173C">
          <w:rPr>
            <w:rStyle w:val="Hyperlink"/>
            <w:b/>
          </w:rPr>
          <w:t>B.8.2.2 Overview of Settlement Area Load Settlement Locations</w:t>
        </w:r>
        <w:r>
          <w:rPr>
            <w:webHidden/>
          </w:rPr>
          <w:tab/>
        </w:r>
        <w:r>
          <w:rPr>
            <w:webHidden/>
          </w:rPr>
          <w:fldChar w:fldCharType="begin"/>
        </w:r>
        <w:r>
          <w:rPr>
            <w:webHidden/>
          </w:rPr>
          <w:instrText xml:space="preserve"> PAGEREF _Toc213772233 \h </w:instrText>
        </w:r>
        <w:r>
          <w:rPr>
            <w:webHidden/>
          </w:rPr>
        </w:r>
        <w:r>
          <w:rPr>
            <w:webHidden/>
          </w:rPr>
          <w:fldChar w:fldCharType="separate"/>
        </w:r>
        <w:r>
          <w:rPr>
            <w:webHidden/>
          </w:rPr>
          <w:t>373</w:t>
        </w:r>
        <w:r>
          <w:rPr>
            <w:webHidden/>
          </w:rPr>
          <w:fldChar w:fldCharType="end"/>
        </w:r>
      </w:hyperlink>
    </w:p>
    <w:p w14:paraId="0C03CBE2" w14:textId="3E844723" w:rsidR="00023ECF" w:rsidRDefault="00023ECF">
      <w:pPr>
        <w:pStyle w:val="TOC2"/>
        <w:rPr>
          <w:rFonts w:asciiTheme="minorHAnsi" w:eastAsiaTheme="minorEastAsia" w:hAnsiTheme="minorHAnsi" w:cstheme="minorBidi"/>
          <w:bCs w:val="0"/>
          <w:kern w:val="2"/>
          <w:szCs w:val="24"/>
          <w14:ligatures w14:val="standardContextual"/>
        </w:rPr>
      </w:pPr>
      <w:hyperlink w:anchor="_Toc213772234" w:history="1">
        <w:r w:rsidRPr="00AC173C">
          <w:rPr>
            <w:rStyle w:val="Hyperlink"/>
            <w:b/>
          </w:rPr>
          <w:t>B.9</w:t>
        </w:r>
        <w:r>
          <w:rPr>
            <w:rFonts w:asciiTheme="minorHAnsi" w:eastAsiaTheme="minorEastAsia" w:hAnsiTheme="minorHAnsi" w:cstheme="minorBidi"/>
            <w:bCs w:val="0"/>
            <w:kern w:val="2"/>
            <w:szCs w:val="24"/>
            <w14:ligatures w14:val="standardContextual"/>
          </w:rPr>
          <w:tab/>
        </w:r>
        <w:r w:rsidRPr="00AC173C">
          <w:rPr>
            <w:rStyle w:val="Hyperlink"/>
            <w:b/>
          </w:rPr>
          <w:t xml:space="preserve">     Loss Adjustment</w:t>
        </w:r>
        <w:r>
          <w:rPr>
            <w:webHidden/>
          </w:rPr>
          <w:tab/>
        </w:r>
        <w:r>
          <w:rPr>
            <w:webHidden/>
          </w:rPr>
          <w:fldChar w:fldCharType="begin"/>
        </w:r>
        <w:r>
          <w:rPr>
            <w:webHidden/>
          </w:rPr>
          <w:instrText xml:space="preserve"> PAGEREF _Toc213772234 \h </w:instrText>
        </w:r>
        <w:r>
          <w:rPr>
            <w:webHidden/>
          </w:rPr>
        </w:r>
        <w:r>
          <w:rPr>
            <w:webHidden/>
          </w:rPr>
          <w:fldChar w:fldCharType="separate"/>
        </w:r>
        <w:r>
          <w:rPr>
            <w:webHidden/>
          </w:rPr>
          <w:t>374</w:t>
        </w:r>
        <w:r>
          <w:rPr>
            <w:webHidden/>
          </w:rPr>
          <w:fldChar w:fldCharType="end"/>
        </w:r>
      </w:hyperlink>
    </w:p>
    <w:p w14:paraId="08B15AEC" w14:textId="57355423" w:rsidR="00023ECF" w:rsidRDefault="00023ECF">
      <w:pPr>
        <w:pStyle w:val="TOC3"/>
        <w:rPr>
          <w:rFonts w:asciiTheme="minorHAnsi" w:eastAsiaTheme="minorEastAsia" w:hAnsiTheme="minorHAnsi" w:cstheme="minorBidi"/>
          <w:bCs w:val="0"/>
          <w:kern w:val="2"/>
          <w:szCs w:val="24"/>
          <w14:ligatures w14:val="standardContextual"/>
        </w:rPr>
      </w:pPr>
      <w:hyperlink w:anchor="_Toc213772235" w:history="1">
        <w:r w:rsidRPr="00AC173C">
          <w:rPr>
            <w:rStyle w:val="Hyperlink"/>
            <w:b/>
          </w:rPr>
          <w:t>B.9.1</w:t>
        </w:r>
        <w:r>
          <w:rPr>
            <w:rFonts w:asciiTheme="minorHAnsi" w:eastAsiaTheme="minorEastAsia" w:hAnsiTheme="minorHAnsi" w:cstheme="minorBidi"/>
            <w:bCs w:val="0"/>
            <w:kern w:val="2"/>
            <w:szCs w:val="24"/>
            <w14:ligatures w14:val="standardContextual"/>
          </w:rPr>
          <w:tab/>
        </w:r>
        <w:r w:rsidRPr="00AC173C">
          <w:rPr>
            <w:rStyle w:val="Hyperlink"/>
            <w:b/>
          </w:rPr>
          <w:t xml:space="preserve">     General</w:t>
        </w:r>
        <w:r>
          <w:rPr>
            <w:webHidden/>
          </w:rPr>
          <w:tab/>
        </w:r>
        <w:r>
          <w:rPr>
            <w:webHidden/>
          </w:rPr>
          <w:fldChar w:fldCharType="begin"/>
        </w:r>
        <w:r>
          <w:rPr>
            <w:webHidden/>
          </w:rPr>
          <w:instrText xml:space="preserve"> PAGEREF _Toc213772235 \h </w:instrText>
        </w:r>
        <w:r>
          <w:rPr>
            <w:webHidden/>
          </w:rPr>
        </w:r>
        <w:r>
          <w:rPr>
            <w:webHidden/>
          </w:rPr>
          <w:fldChar w:fldCharType="separate"/>
        </w:r>
        <w:r>
          <w:rPr>
            <w:webHidden/>
          </w:rPr>
          <w:t>374</w:t>
        </w:r>
        <w:r>
          <w:rPr>
            <w:webHidden/>
          </w:rPr>
          <w:fldChar w:fldCharType="end"/>
        </w:r>
      </w:hyperlink>
    </w:p>
    <w:p w14:paraId="16F9BD98" w14:textId="255E374B" w:rsidR="00023ECF" w:rsidRDefault="00023ECF">
      <w:pPr>
        <w:pStyle w:val="TOC3"/>
        <w:rPr>
          <w:rFonts w:asciiTheme="minorHAnsi" w:eastAsiaTheme="minorEastAsia" w:hAnsiTheme="minorHAnsi" w:cstheme="minorBidi"/>
          <w:bCs w:val="0"/>
          <w:kern w:val="2"/>
          <w:szCs w:val="24"/>
          <w14:ligatures w14:val="standardContextual"/>
        </w:rPr>
      </w:pPr>
      <w:hyperlink w:anchor="_Toc213772236" w:history="1">
        <w:r w:rsidRPr="00AC173C">
          <w:rPr>
            <w:rStyle w:val="Hyperlink"/>
            <w:b/>
          </w:rPr>
          <w:t>B.9.2</w:t>
        </w:r>
        <w:r>
          <w:rPr>
            <w:rFonts w:asciiTheme="minorHAnsi" w:eastAsiaTheme="minorEastAsia" w:hAnsiTheme="minorHAnsi" w:cstheme="minorBidi"/>
            <w:bCs w:val="0"/>
            <w:kern w:val="2"/>
            <w:szCs w:val="24"/>
            <w14:ligatures w14:val="standardContextual"/>
          </w:rPr>
          <w:tab/>
        </w:r>
        <w:r w:rsidRPr="00AC173C">
          <w:rPr>
            <w:rStyle w:val="Hyperlink"/>
            <w:b/>
          </w:rPr>
          <w:t xml:space="preserve">     Node Loss Adjustment Examples</w:t>
        </w:r>
        <w:r>
          <w:rPr>
            <w:webHidden/>
          </w:rPr>
          <w:tab/>
        </w:r>
        <w:r>
          <w:rPr>
            <w:webHidden/>
          </w:rPr>
          <w:fldChar w:fldCharType="begin"/>
        </w:r>
        <w:r>
          <w:rPr>
            <w:webHidden/>
          </w:rPr>
          <w:instrText xml:space="preserve"> PAGEREF _Toc213772236 \h </w:instrText>
        </w:r>
        <w:r>
          <w:rPr>
            <w:webHidden/>
          </w:rPr>
        </w:r>
        <w:r>
          <w:rPr>
            <w:webHidden/>
          </w:rPr>
          <w:fldChar w:fldCharType="separate"/>
        </w:r>
        <w:r>
          <w:rPr>
            <w:webHidden/>
          </w:rPr>
          <w:t>374</w:t>
        </w:r>
        <w:r>
          <w:rPr>
            <w:webHidden/>
          </w:rPr>
          <w:fldChar w:fldCharType="end"/>
        </w:r>
      </w:hyperlink>
    </w:p>
    <w:p w14:paraId="05EB29FE" w14:textId="71481045" w:rsidR="00023ECF" w:rsidRDefault="00023ECF">
      <w:pPr>
        <w:pStyle w:val="TOC4"/>
        <w:rPr>
          <w:rFonts w:asciiTheme="minorHAnsi" w:eastAsiaTheme="minorEastAsia" w:hAnsiTheme="minorHAnsi" w:cstheme="minorBidi"/>
          <w:bCs w:val="0"/>
          <w:kern w:val="2"/>
          <w:szCs w:val="24"/>
          <w14:ligatures w14:val="standardContextual"/>
        </w:rPr>
      </w:pPr>
      <w:hyperlink w:anchor="_Toc213772237" w:history="1">
        <w:r w:rsidRPr="00AC173C">
          <w:rPr>
            <w:rStyle w:val="Hyperlink"/>
            <w:b/>
          </w:rPr>
          <w:t>B.9.2.1</w:t>
        </w:r>
        <w:r>
          <w:rPr>
            <w:rFonts w:asciiTheme="minorHAnsi" w:eastAsiaTheme="minorEastAsia" w:hAnsiTheme="minorHAnsi" w:cstheme="minorBidi"/>
            <w:bCs w:val="0"/>
            <w:kern w:val="2"/>
            <w:szCs w:val="24"/>
            <w14:ligatures w14:val="standardContextual"/>
          </w:rPr>
          <w:tab/>
        </w:r>
        <w:r w:rsidRPr="00AC173C">
          <w:rPr>
            <w:rStyle w:val="Hyperlink"/>
            <w:b/>
          </w:rPr>
          <w:t xml:space="preserve">      Loss Adjustment to Node when Meter is on Distribution System</w:t>
        </w:r>
        <w:r>
          <w:rPr>
            <w:webHidden/>
          </w:rPr>
          <w:tab/>
        </w:r>
        <w:r>
          <w:rPr>
            <w:webHidden/>
          </w:rPr>
          <w:fldChar w:fldCharType="begin"/>
        </w:r>
        <w:r>
          <w:rPr>
            <w:webHidden/>
          </w:rPr>
          <w:instrText xml:space="preserve"> PAGEREF _Toc213772237 \h </w:instrText>
        </w:r>
        <w:r>
          <w:rPr>
            <w:webHidden/>
          </w:rPr>
        </w:r>
        <w:r>
          <w:rPr>
            <w:webHidden/>
          </w:rPr>
          <w:fldChar w:fldCharType="separate"/>
        </w:r>
        <w:r>
          <w:rPr>
            <w:webHidden/>
          </w:rPr>
          <w:t>376</w:t>
        </w:r>
        <w:r>
          <w:rPr>
            <w:webHidden/>
          </w:rPr>
          <w:fldChar w:fldCharType="end"/>
        </w:r>
      </w:hyperlink>
    </w:p>
    <w:p w14:paraId="29B6AA79" w14:textId="7D42666F" w:rsidR="00023ECF" w:rsidRDefault="00023ECF">
      <w:pPr>
        <w:pStyle w:val="TOC4"/>
        <w:rPr>
          <w:rFonts w:asciiTheme="minorHAnsi" w:eastAsiaTheme="minorEastAsia" w:hAnsiTheme="minorHAnsi" w:cstheme="minorBidi"/>
          <w:bCs w:val="0"/>
          <w:kern w:val="2"/>
          <w:szCs w:val="24"/>
          <w14:ligatures w14:val="standardContextual"/>
        </w:rPr>
      </w:pPr>
      <w:hyperlink w:anchor="_Toc213772238" w:history="1">
        <w:r w:rsidRPr="00AC173C">
          <w:rPr>
            <w:rStyle w:val="Hyperlink"/>
            <w:b/>
          </w:rPr>
          <w:t>B.9.2.2</w:t>
        </w:r>
        <w:r>
          <w:rPr>
            <w:rFonts w:asciiTheme="minorHAnsi" w:eastAsiaTheme="minorEastAsia" w:hAnsiTheme="minorHAnsi" w:cstheme="minorBidi"/>
            <w:bCs w:val="0"/>
            <w:kern w:val="2"/>
            <w:szCs w:val="24"/>
            <w14:ligatures w14:val="standardContextual"/>
          </w:rPr>
          <w:tab/>
        </w:r>
        <w:r w:rsidRPr="00AC173C">
          <w:rPr>
            <w:rStyle w:val="Hyperlink"/>
            <w:b/>
          </w:rPr>
          <w:t>Methods for Adjustment</w:t>
        </w:r>
        <w:r>
          <w:rPr>
            <w:webHidden/>
          </w:rPr>
          <w:tab/>
        </w:r>
        <w:r>
          <w:rPr>
            <w:webHidden/>
          </w:rPr>
          <w:fldChar w:fldCharType="begin"/>
        </w:r>
        <w:r>
          <w:rPr>
            <w:webHidden/>
          </w:rPr>
          <w:instrText xml:space="preserve"> PAGEREF _Toc213772238 \h </w:instrText>
        </w:r>
        <w:r>
          <w:rPr>
            <w:webHidden/>
          </w:rPr>
        </w:r>
        <w:r>
          <w:rPr>
            <w:webHidden/>
          </w:rPr>
          <w:fldChar w:fldCharType="separate"/>
        </w:r>
        <w:r>
          <w:rPr>
            <w:webHidden/>
          </w:rPr>
          <w:t>377</w:t>
        </w:r>
        <w:r>
          <w:rPr>
            <w:webHidden/>
          </w:rPr>
          <w:fldChar w:fldCharType="end"/>
        </w:r>
      </w:hyperlink>
    </w:p>
    <w:p w14:paraId="5FB6BC72" w14:textId="51501496" w:rsidR="00023ECF" w:rsidRDefault="00023ECF">
      <w:pPr>
        <w:pStyle w:val="TOC4"/>
        <w:rPr>
          <w:rFonts w:asciiTheme="minorHAnsi" w:eastAsiaTheme="minorEastAsia" w:hAnsiTheme="minorHAnsi" w:cstheme="minorBidi"/>
          <w:bCs w:val="0"/>
          <w:kern w:val="2"/>
          <w:szCs w:val="24"/>
          <w14:ligatures w14:val="standardContextual"/>
        </w:rPr>
      </w:pPr>
      <w:hyperlink w:anchor="_Toc213772239" w:history="1">
        <w:r w:rsidRPr="00AC173C">
          <w:rPr>
            <w:rStyle w:val="Hyperlink"/>
            <w:b/>
          </w:rPr>
          <w:t>B.9.2.3 Loss Adjustment to Node when Meter and Node at Different Location</w:t>
        </w:r>
        <w:r>
          <w:rPr>
            <w:webHidden/>
          </w:rPr>
          <w:tab/>
        </w:r>
        <w:r>
          <w:rPr>
            <w:webHidden/>
          </w:rPr>
          <w:fldChar w:fldCharType="begin"/>
        </w:r>
        <w:r>
          <w:rPr>
            <w:webHidden/>
          </w:rPr>
          <w:instrText xml:space="preserve"> PAGEREF _Toc213772239 \h </w:instrText>
        </w:r>
        <w:r>
          <w:rPr>
            <w:webHidden/>
          </w:rPr>
        </w:r>
        <w:r>
          <w:rPr>
            <w:webHidden/>
          </w:rPr>
          <w:fldChar w:fldCharType="separate"/>
        </w:r>
        <w:r>
          <w:rPr>
            <w:webHidden/>
          </w:rPr>
          <w:t>378</w:t>
        </w:r>
        <w:r>
          <w:rPr>
            <w:webHidden/>
          </w:rPr>
          <w:fldChar w:fldCharType="end"/>
        </w:r>
      </w:hyperlink>
    </w:p>
    <w:p w14:paraId="00684F1D" w14:textId="17AECAB1" w:rsidR="00023ECF" w:rsidRDefault="00023ECF">
      <w:pPr>
        <w:pStyle w:val="TOC4"/>
        <w:rPr>
          <w:rFonts w:asciiTheme="minorHAnsi" w:eastAsiaTheme="minorEastAsia" w:hAnsiTheme="minorHAnsi" w:cstheme="minorBidi"/>
          <w:bCs w:val="0"/>
          <w:kern w:val="2"/>
          <w:szCs w:val="24"/>
          <w14:ligatures w14:val="standardContextual"/>
        </w:rPr>
      </w:pPr>
      <w:hyperlink w:anchor="_Toc213772240" w:history="1">
        <w:r w:rsidRPr="00AC173C">
          <w:rPr>
            <w:rStyle w:val="Hyperlink"/>
            <w:b/>
          </w:rPr>
          <w:t>B.9.2.4 Loss Adjustment to Node – Example 2 Assumptions:</w:t>
        </w:r>
        <w:r>
          <w:rPr>
            <w:webHidden/>
          </w:rPr>
          <w:tab/>
        </w:r>
        <w:r>
          <w:rPr>
            <w:webHidden/>
          </w:rPr>
          <w:fldChar w:fldCharType="begin"/>
        </w:r>
        <w:r>
          <w:rPr>
            <w:webHidden/>
          </w:rPr>
          <w:instrText xml:space="preserve"> PAGEREF _Toc213772240 \h </w:instrText>
        </w:r>
        <w:r>
          <w:rPr>
            <w:webHidden/>
          </w:rPr>
        </w:r>
        <w:r>
          <w:rPr>
            <w:webHidden/>
          </w:rPr>
          <w:fldChar w:fldCharType="separate"/>
        </w:r>
        <w:r>
          <w:rPr>
            <w:webHidden/>
          </w:rPr>
          <w:t>378</w:t>
        </w:r>
        <w:r>
          <w:rPr>
            <w:webHidden/>
          </w:rPr>
          <w:fldChar w:fldCharType="end"/>
        </w:r>
      </w:hyperlink>
    </w:p>
    <w:p w14:paraId="3CAFBC04" w14:textId="26B196C6" w:rsidR="00023ECF" w:rsidRDefault="00023ECF">
      <w:pPr>
        <w:pStyle w:val="TOC4"/>
        <w:rPr>
          <w:rFonts w:asciiTheme="minorHAnsi" w:eastAsiaTheme="minorEastAsia" w:hAnsiTheme="minorHAnsi" w:cstheme="minorBidi"/>
          <w:bCs w:val="0"/>
          <w:kern w:val="2"/>
          <w:szCs w:val="24"/>
          <w14:ligatures w14:val="standardContextual"/>
        </w:rPr>
      </w:pPr>
      <w:hyperlink w:anchor="_Toc213772241" w:history="1">
        <w:r w:rsidRPr="00AC173C">
          <w:rPr>
            <w:rStyle w:val="Hyperlink"/>
            <w:b/>
          </w:rPr>
          <w:t>B.9.2.5 Transmission and Secondary Line Losses</w:t>
        </w:r>
        <w:r>
          <w:rPr>
            <w:webHidden/>
          </w:rPr>
          <w:tab/>
        </w:r>
        <w:r>
          <w:rPr>
            <w:webHidden/>
          </w:rPr>
          <w:fldChar w:fldCharType="begin"/>
        </w:r>
        <w:r>
          <w:rPr>
            <w:webHidden/>
          </w:rPr>
          <w:instrText xml:space="preserve"> PAGEREF _Toc213772241 \h </w:instrText>
        </w:r>
        <w:r>
          <w:rPr>
            <w:webHidden/>
          </w:rPr>
        </w:r>
        <w:r>
          <w:rPr>
            <w:webHidden/>
          </w:rPr>
          <w:fldChar w:fldCharType="separate"/>
        </w:r>
        <w:r>
          <w:rPr>
            <w:webHidden/>
          </w:rPr>
          <w:t>379</w:t>
        </w:r>
        <w:r>
          <w:rPr>
            <w:webHidden/>
          </w:rPr>
          <w:fldChar w:fldCharType="end"/>
        </w:r>
      </w:hyperlink>
    </w:p>
    <w:p w14:paraId="3CCCACF0" w14:textId="2E0F0AB1" w:rsidR="00023ECF" w:rsidRDefault="00023ECF">
      <w:pPr>
        <w:pStyle w:val="TOC3"/>
        <w:rPr>
          <w:rFonts w:asciiTheme="minorHAnsi" w:eastAsiaTheme="minorEastAsia" w:hAnsiTheme="minorHAnsi" w:cstheme="minorBidi"/>
          <w:bCs w:val="0"/>
          <w:kern w:val="2"/>
          <w:szCs w:val="24"/>
          <w14:ligatures w14:val="standardContextual"/>
        </w:rPr>
      </w:pPr>
      <w:hyperlink w:anchor="_Toc213772242" w:history="1">
        <w:r w:rsidRPr="00AC173C">
          <w:rPr>
            <w:rStyle w:val="Hyperlink"/>
            <w:b/>
          </w:rPr>
          <w:t>B.9.3</w:t>
        </w:r>
        <w:r>
          <w:rPr>
            <w:rFonts w:asciiTheme="minorHAnsi" w:eastAsiaTheme="minorEastAsia" w:hAnsiTheme="minorHAnsi" w:cstheme="minorBidi"/>
            <w:bCs w:val="0"/>
            <w:kern w:val="2"/>
            <w:szCs w:val="24"/>
            <w14:ligatures w14:val="standardContextual"/>
          </w:rPr>
          <w:tab/>
        </w:r>
        <w:r w:rsidRPr="00AC173C">
          <w:rPr>
            <w:rStyle w:val="Hyperlink"/>
            <w:b/>
          </w:rPr>
          <w:t xml:space="preserve">     Meter Data Exchange and Submission</w:t>
        </w:r>
        <w:r>
          <w:rPr>
            <w:webHidden/>
          </w:rPr>
          <w:tab/>
        </w:r>
        <w:r>
          <w:rPr>
            <w:webHidden/>
          </w:rPr>
          <w:fldChar w:fldCharType="begin"/>
        </w:r>
        <w:r>
          <w:rPr>
            <w:webHidden/>
          </w:rPr>
          <w:instrText xml:space="preserve"> PAGEREF _Toc213772242 \h </w:instrText>
        </w:r>
        <w:r>
          <w:rPr>
            <w:webHidden/>
          </w:rPr>
        </w:r>
        <w:r>
          <w:rPr>
            <w:webHidden/>
          </w:rPr>
          <w:fldChar w:fldCharType="separate"/>
        </w:r>
        <w:r>
          <w:rPr>
            <w:webHidden/>
          </w:rPr>
          <w:t>379</w:t>
        </w:r>
        <w:r>
          <w:rPr>
            <w:webHidden/>
          </w:rPr>
          <w:fldChar w:fldCharType="end"/>
        </w:r>
      </w:hyperlink>
    </w:p>
    <w:p w14:paraId="13133FFE" w14:textId="08A349D8" w:rsidR="00023ECF" w:rsidRDefault="00023ECF">
      <w:pPr>
        <w:pStyle w:val="TOC4"/>
        <w:rPr>
          <w:rFonts w:asciiTheme="minorHAnsi" w:eastAsiaTheme="minorEastAsia" w:hAnsiTheme="minorHAnsi" w:cstheme="minorBidi"/>
          <w:bCs w:val="0"/>
          <w:kern w:val="2"/>
          <w:szCs w:val="24"/>
          <w14:ligatures w14:val="standardContextual"/>
        </w:rPr>
      </w:pPr>
      <w:hyperlink w:anchor="_Toc213772243" w:history="1">
        <w:r w:rsidRPr="00AC173C">
          <w:rPr>
            <w:rStyle w:val="Hyperlink"/>
            <w:b/>
          </w:rPr>
          <w:t>B.9.3.1</w:t>
        </w:r>
        <w:r>
          <w:rPr>
            <w:rFonts w:asciiTheme="minorHAnsi" w:eastAsiaTheme="minorEastAsia" w:hAnsiTheme="minorHAnsi" w:cstheme="minorBidi"/>
            <w:bCs w:val="0"/>
            <w:kern w:val="2"/>
            <w:szCs w:val="24"/>
            <w14:ligatures w14:val="standardContextual"/>
          </w:rPr>
          <w:tab/>
        </w:r>
        <w:r w:rsidRPr="00AC173C">
          <w:rPr>
            <w:rStyle w:val="Hyperlink"/>
            <w:b/>
          </w:rPr>
          <w:t xml:space="preserve">      Alternate Settlement Meter Data</w:t>
        </w:r>
        <w:r>
          <w:rPr>
            <w:webHidden/>
          </w:rPr>
          <w:tab/>
        </w:r>
        <w:r>
          <w:rPr>
            <w:webHidden/>
          </w:rPr>
          <w:fldChar w:fldCharType="begin"/>
        </w:r>
        <w:r>
          <w:rPr>
            <w:webHidden/>
          </w:rPr>
          <w:instrText xml:space="preserve"> PAGEREF _Toc213772243 \h </w:instrText>
        </w:r>
        <w:r>
          <w:rPr>
            <w:webHidden/>
          </w:rPr>
        </w:r>
        <w:r>
          <w:rPr>
            <w:webHidden/>
          </w:rPr>
          <w:fldChar w:fldCharType="separate"/>
        </w:r>
        <w:r>
          <w:rPr>
            <w:webHidden/>
          </w:rPr>
          <w:t>379</w:t>
        </w:r>
        <w:r>
          <w:rPr>
            <w:webHidden/>
          </w:rPr>
          <w:fldChar w:fldCharType="end"/>
        </w:r>
      </w:hyperlink>
    </w:p>
    <w:p w14:paraId="648AADB7" w14:textId="76329EF7" w:rsidR="00023ECF" w:rsidRDefault="00023ECF">
      <w:pPr>
        <w:pStyle w:val="TOC2"/>
        <w:rPr>
          <w:rFonts w:asciiTheme="minorHAnsi" w:eastAsiaTheme="minorEastAsia" w:hAnsiTheme="minorHAnsi" w:cstheme="minorBidi"/>
          <w:bCs w:val="0"/>
          <w:kern w:val="2"/>
          <w:szCs w:val="24"/>
          <w14:ligatures w14:val="standardContextual"/>
        </w:rPr>
      </w:pPr>
      <w:hyperlink w:anchor="_Toc213772244" w:history="1">
        <w:r w:rsidRPr="00AC173C">
          <w:rPr>
            <w:rStyle w:val="Hyperlink"/>
            <w:b/>
          </w:rPr>
          <w:t>B.10</w:t>
        </w:r>
        <w:r>
          <w:rPr>
            <w:rFonts w:asciiTheme="minorHAnsi" w:eastAsiaTheme="minorEastAsia" w:hAnsiTheme="minorHAnsi" w:cstheme="minorBidi"/>
            <w:bCs w:val="0"/>
            <w:kern w:val="2"/>
            <w:szCs w:val="24"/>
            <w14:ligatures w14:val="standardContextual"/>
          </w:rPr>
          <w:tab/>
        </w:r>
        <w:r w:rsidRPr="00AC173C">
          <w:rPr>
            <w:rStyle w:val="Hyperlink"/>
            <w:b/>
          </w:rPr>
          <w:t xml:space="preserve">   Verification Meter Settlement Location Values</w:t>
        </w:r>
        <w:r>
          <w:rPr>
            <w:webHidden/>
          </w:rPr>
          <w:tab/>
        </w:r>
        <w:r>
          <w:rPr>
            <w:webHidden/>
          </w:rPr>
          <w:fldChar w:fldCharType="begin"/>
        </w:r>
        <w:r>
          <w:rPr>
            <w:webHidden/>
          </w:rPr>
          <w:instrText xml:space="preserve"> PAGEREF _Toc213772244 \h </w:instrText>
        </w:r>
        <w:r>
          <w:rPr>
            <w:webHidden/>
          </w:rPr>
        </w:r>
        <w:r>
          <w:rPr>
            <w:webHidden/>
          </w:rPr>
          <w:fldChar w:fldCharType="separate"/>
        </w:r>
        <w:r>
          <w:rPr>
            <w:webHidden/>
          </w:rPr>
          <w:t>380</w:t>
        </w:r>
        <w:r>
          <w:rPr>
            <w:webHidden/>
          </w:rPr>
          <w:fldChar w:fldCharType="end"/>
        </w:r>
      </w:hyperlink>
    </w:p>
    <w:p w14:paraId="37373965" w14:textId="74016C4C" w:rsidR="00023ECF" w:rsidRDefault="00023ECF">
      <w:pPr>
        <w:pStyle w:val="TOC2"/>
        <w:rPr>
          <w:rFonts w:asciiTheme="minorHAnsi" w:eastAsiaTheme="minorEastAsia" w:hAnsiTheme="minorHAnsi" w:cstheme="minorBidi"/>
          <w:bCs w:val="0"/>
          <w:kern w:val="2"/>
          <w:szCs w:val="24"/>
          <w14:ligatures w14:val="standardContextual"/>
        </w:rPr>
      </w:pPr>
      <w:hyperlink w:anchor="_Toc213772245" w:history="1">
        <w:r w:rsidRPr="00AC173C">
          <w:rPr>
            <w:rStyle w:val="Hyperlink"/>
            <w:b/>
          </w:rPr>
          <w:t>B.11</w:t>
        </w:r>
        <w:r>
          <w:rPr>
            <w:rFonts w:asciiTheme="minorHAnsi" w:eastAsiaTheme="minorEastAsia" w:hAnsiTheme="minorHAnsi" w:cstheme="minorBidi"/>
            <w:bCs w:val="0"/>
            <w:kern w:val="2"/>
            <w:szCs w:val="24"/>
            <w14:ligatures w14:val="standardContextual"/>
          </w:rPr>
          <w:tab/>
        </w:r>
        <w:r w:rsidRPr="00AC173C">
          <w:rPr>
            <w:rStyle w:val="Hyperlink"/>
            <w:b/>
          </w:rPr>
          <w:t xml:space="preserve">   Real-Time Data Reporting to Market Operator</w:t>
        </w:r>
        <w:r>
          <w:rPr>
            <w:webHidden/>
          </w:rPr>
          <w:tab/>
        </w:r>
        <w:r>
          <w:rPr>
            <w:webHidden/>
          </w:rPr>
          <w:fldChar w:fldCharType="begin"/>
        </w:r>
        <w:r>
          <w:rPr>
            <w:webHidden/>
          </w:rPr>
          <w:instrText xml:space="preserve"> PAGEREF _Toc213772245 \h </w:instrText>
        </w:r>
        <w:r>
          <w:rPr>
            <w:webHidden/>
          </w:rPr>
        </w:r>
        <w:r>
          <w:rPr>
            <w:webHidden/>
          </w:rPr>
          <w:fldChar w:fldCharType="separate"/>
        </w:r>
        <w:r>
          <w:rPr>
            <w:webHidden/>
          </w:rPr>
          <w:t>380</w:t>
        </w:r>
        <w:r>
          <w:rPr>
            <w:webHidden/>
          </w:rPr>
          <w:fldChar w:fldCharType="end"/>
        </w:r>
      </w:hyperlink>
    </w:p>
    <w:p w14:paraId="5CA1B174" w14:textId="45B975B9" w:rsidR="00023ECF" w:rsidRDefault="00023ECF">
      <w:pPr>
        <w:pStyle w:val="TOC2"/>
        <w:rPr>
          <w:rFonts w:asciiTheme="minorHAnsi" w:eastAsiaTheme="minorEastAsia" w:hAnsiTheme="minorHAnsi" w:cstheme="minorBidi"/>
          <w:bCs w:val="0"/>
          <w:kern w:val="2"/>
          <w:szCs w:val="24"/>
          <w14:ligatures w14:val="standardContextual"/>
        </w:rPr>
      </w:pPr>
      <w:hyperlink w:anchor="_Toc213772246" w:history="1">
        <w:r w:rsidRPr="00AC173C">
          <w:rPr>
            <w:rStyle w:val="Hyperlink"/>
            <w:b/>
          </w:rPr>
          <w:t>B.12</w:t>
        </w:r>
        <w:r>
          <w:rPr>
            <w:rFonts w:asciiTheme="minorHAnsi" w:eastAsiaTheme="minorEastAsia" w:hAnsiTheme="minorHAnsi" w:cstheme="minorBidi"/>
            <w:bCs w:val="0"/>
            <w:kern w:val="2"/>
            <w:szCs w:val="24"/>
            <w14:ligatures w14:val="standardContextual"/>
          </w:rPr>
          <w:tab/>
        </w:r>
        <w:r w:rsidRPr="00AC173C">
          <w:rPr>
            <w:rStyle w:val="Hyperlink"/>
            <w:b/>
          </w:rPr>
          <w:t xml:space="preserve">   Record Retention</w:t>
        </w:r>
        <w:r>
          <w:rPr>
            <w:webHidden/>
          </w:rPr>
          <w:tab/>
        </w:r>
        <w:r>
          <w:rPr>
            <w:webHidden/>
          </w:rPr>
          <w:fldChar w:fldCharType="begin"/>
        </w:r>
        <w:r>
          <w:rPr>
            <w:webHidden/>
          </w:rPr>
          <w:instrText xml:space="preserve"> PAGEREF _Toc213772246 \h </w:instrText>
        </w:r>
        <w:r>
          <w:rPr>
            <w:webHidden/>
          </w:rPr>
        </w:r>
        <w:r>
          <w:rPr>
            <w:webHidden/>
          </w:rPr>
          <w:fldChar w:fldCharType="separate"/>
        </w:r>
        <w:r>
          <w:rPr>
            <w:webHidden/>
          </w:rPr>
          <w:t>380</w:t>
        </w:r>
        <w:r>
          <w:rPr>
            <w:webHidden/>
          </w:rPr>
          <w:fldChar w:fldCharType="end"/>
        </w:r>
      </w:hyperlink>
    </w:p>
    <w:p w14:paraId="4221A035" w14:textId="740EDCDB" w:rsidR="00023ECF" w:rsidRDefault="00023ECF">
      <w:pPr>
        <w:pStyle w:val="TOC1"/>
        <w:tabs>
          <w:tab w:val="left" w:pos="1800"/>
        </w:tabs>
        <w:rPr>
          <w:rFonts w:asciiTheme="minorHAnsi" w:eastAsiaTheme="minorEastAsia" w:hAnsiTheme="minorHAnsi" w:cstheme="minorBidi"/>
          <w:b w:val="0"/>
          <w:kern w:val="2"/>
          <w:szCs w:val="24"/>
          <w14:ligatures w14:val="standardContextual"/>
        </w:rPr>
      </w:pPr>
      <w:hyperlink w:anchor="_Toc213772247" w:history="1">
        <w:r w:rsidRPr="00AC173C">
          <w:rPr>
            <w:rStyle w:val="Hyperlink"/>
            <w:bCs/>
            <w:kern w:val="28"/>
          </w:rPr>
          <w:t>Appendix C</w:t>
        </w:r>
        <w:r>
          <w:rPr>
            <w:rFonts w:asciiTheme="minorHAnsi" w:eastAsiaTheme="minorEastAsia" w:hAnsiTheme="minorHAnsi" w:cstheme="minorBidi"/>
            <w:b w:val="0"/>
            <w:kern w:val="2"/>
            <w:szCs w:val="24"/>
            <w14:ligatures w14:val="standardContextual"/>
          </w:rPr>
          <w:tab/>
        </w:r>
        <w:r w:rsidRPr="00AC173C">
          <w:rPr>
            <w:rStyle w:val="Hyperlink"/>
            <w:bCs/>
            <w:kern w:val="28"/>
          </w:rPr>
          <w:t>Network and Commercial Model Update Timing</w:t>
        </w:r>
        <w:r>
          <w:rPr>
            <w:webHidden/>
          </w:rPr>
          <w:tab/>
        </w:r>
        <w:r>
          <w:rPr>
            <w:webHidden/>
          </w:rPr>
          <w:fldChar w:fldCharType="begin"/>
        </w:r>
        <w:r>
          <w:rPr>
            <w:webHidden/>
          </w:rPr>
          <w:instrText xml:space="preserve"> PAGEREF _Toc213772247 \h </w:instrText>
        </w:r>
        <w:r>
          <w:rPr>
            <w:webHidden/>
          </w:rPr>
        </w:r>
        <w:r>
          <w:rPr>
            <w:webHidden/>
          </w:rPr>
          <w:fldChar w:fldCharType="separate"/>
        </w:r>
        <w:r>
          <w:rPr>
            <w:webHidden/>
          </w:rPr>
          <w:t>382</w:t>
        </w:r>
        <w:r>
          <w:rPr>
            <w:webHidden/>
          </w:rPr>
          <w:fldChar w:fldCharType="end"/>
        </w:r>
      </w:hyperlink>
    </w:p>
    <w:p w14:paraId="1F0BEEC4" w14:textId="022B47C4" w:rsidR="00023ECF" w:rsidRDefault="00023ECF">
      <w:pPr>
        <w:pStyle w:val="TOC1"/>
        <w:tabs>
          <w:tab w:val="left" w:pos="1800"/>
        </w:tabs>
        <w:rPr>
          <w:rFonts w:asciiTheme="minorHAnsi" w:eastAsiaTheme="minorEastAsia" w:hAnsiTheme="minorHAnsi" w:cstheme="minorBidi"/>
          <w:b w:val="0"/>
          <w:kern w:val="2"/>
          <w:szCs w:val="24"/>
          <w14:ligatures w14:val="standardContextual"/>
        </w:rPr>
      </w:pPr>
      <w:hyperlink w:anchor="_Toc213772248" w:history="1">
        <w:r w:rsidRPr="00AC173C">
          <w:rPr>
            <w:rStyle w:val="Hyperlink"/>
            <w:bCs/>
            <w:kern w:val="28"/>
          </w:rPr>
          <w:t>Appendix D</w:t>
        </w:r>
        <w:r>
          <w:rPr>
            <w:rFonts w:asciiTheme="minorHAnsi" w:eastAsiaTheme="minorEastAsia" w:hAnsiTheme="minorHAnsi" w:cstheme="minorBidi"/>
            <w:b w:val="0"/>
            <w:kern w:val="2"/>
            <w:szCs w:val="24"/>
            <w14:ligatures w14:val="standardContextual"/>
          </w:rPr>
          <w:tab/>
        </w:r>
        <w:r w:rsidRPr="00AC173C">
          <w:rPr>
            <w:rStyle w:val="Hyperlink"/>
            <w:bCs/>
            <w:kern w:val="28"/>
          </w:rPr>
          <w:t>Mitigated Offer Development Guidelines</w:t>
        </w:r>
        <w:r>
          <w:rPr>
            <w:webHidden/>
          </w:rPr>
          <w:tab/>
        </w:r>
        <w:r>
          <w:rPr>
            <w:webHidden/>
          </w:rPr>
          <w:fldChar w:fldCharType="begin"/>
        </w:r>
        <w:r>
          <w:rPr>
            <w:webHidden/>
          </w:rPr>
          <w:instrText xml:space="preserve"> PAGEREF _Toc213772248 \h </w:instrText>
        </w:r>
        <w:r>
          <w:rPr>
            <w:webHidden/>
          </w:rPr>
        </w:r>
        <w:r>
          <w:rPr>
            <w:webHidden/>
          </w:rPr>
          <w:fldChar w:fldCharType="separate"/>
        </w:r>
        <w:r>
          <w:rPr>
            <w:webHidden/>
          </w:rPr>
          <w:t>384</w:t>
        </w:r>
        <w:r>
          <w:rPr>
            <w:webHidden/>
          </w:rPr>
          <w:fldChar w:fldCharType="end"/>
        </w:r>
      </w:hyperlink>
    </w:p>
    <w:p w14:paraId="27D3A30E" w14:textId="5819B28A" w:rsidR="00023ECF" w:rsidRDefault="00023ECF">
      <w:pPr>
        <w:pStyle w:val="TOC1"/>
        <w:rPr>
          <w:rFonts w:asciiTheme="minorHAnsi" w:eastAsiaTheme="minorEastAsia" w:hAnsiTheme="minorHAnsi" w:cstheme="minorBidi"/>
          <w:b w:val="0"/>
          <w:kern w:val="2"/>
          <w:szCs w:val="24"/>
          <w14:ligatures w14:val="standardContextual"/>
        </w:rPr>
      </w:pPr>
      <w:hyperlink w:anchor="_Toc213772249" w:history="1">
        <w:r w:rsidRPr="00AC173C">
          <w:rPr>
            <w:rStyle w:val="Hyperlink"/>
          </w:rPr>
          <w:t>D.1</w:t>
        </w:r>
        <w:r>
          <w:rPr>
            <w:rFonts w:asciiTheme="minorHAnsi" w:eastAsiaTheme="minorEastAsia" w:hAnsiTheme="minorHAnsi" w:cstheme="minorBidi"/>
            <w:b w:val="0"/>
            <w:kern w:val="2"/>
            <w:szCs w:val="24"/>
            <w14:ligatures w14:val="standardContextual"/>
          </w:rPr>
          <w:tab/>
        </w:r>
        <w:r w:rsidRPr="00AC173C">
          <w:rPr>
            <w:rStyle w:val="Hyperlink"/>
          </w:rPr>
          <w:t>About These Guidelines</w:t>
        </w:r>
        <w:r>
          <w:rPr>
            <w:webHidden/>
          </w:rPr>
          <w:tab/>
        </w:r>
        <w:r>
          <w:rPr>
            <w:webHidden/>
          </w:rPr>
          <w:fldChar w:fldCharType="begin"/>
        </w:r>
        <w:r>
          <w:rPr>
            <w:webHidden/>
          </w:rPr>
          <w:instrText xml:space="preserve"> PAGEREF _Toc213772249 \h </w:instrText>
        </w:r>
        <w:r>
          <w:rPr>
            <w:webHidden/>
          </w:rPr>
        </w:r>
        <w:r>
          <w:rPr>
            <w:webHidden/>
          </w:rPr>
          <w:fldChar w:fldCharType="separate"/>
        </w:r>
        <w:r>
          <w:rPr>
            <w:webHidden/>
          </w:rPr>
          <w:t>384</w:t>
        </w:r>
        <w:r>
          <w:rPr>
            <w:webHidden/>
          </w:rPr>
          <w:fldChar w:fldCharType="end"/>
        </w:r>
      </w:hyperlink>
    </w:p>
    <w:p w14:paraId="7D231F5B" w14:textId="659EB0FE" w:rsidR="00023ECF" w:rsidRDefault="00023ECF">
      <w:pPr>
        <w:pStyle w:val="TOC3"/>
        <w:rPr>
          <w:rFonts w:asciiTheme="minorHAnsi" w:eastAsiaTheme="minorEastAsia" w:hAnsiTheme="minorHAnsi" w:cstheme="minorBidi"/>
          <w:bCs w:val="0"/>
          <w:kern w:val="2"/>
          <w:szCs w:val="24"/>
          <w14:ligatures w14:val="standardContextual"/>
        </w:rPr>
      </w:pPr>
      <w:hyperlink w:anchor="_Toc213772250" w:history="1">
        <w:r w:rsidRPr="00AC173C">
          <w:rPr>
            <w:rStyle w:val="Hyperlink"/>
          </w:rPr>
          <w:t>D.1.1</w:t>
        </w:r>
        <w:r>
          <w:rPr>
            <w:rFonts w:asciiTheme="minorHAnsi" w:eastAsiaTheme="minorEastAsia" w:hAnsiTheme="minorHAnsi" w:cstheme="minorBidi"/>
            <w:bCs w:val="0"/>
            <w:kern w:val="2"/>
            <w:szCs w:val="24"/>
            <w14:ligatures w14:val="standardContextual"/>
          </w:rPr>
          <w:tab/>
        </w:r>
        <w:r w:rsidRPr="00AC173C">
          <w:rPr>
            <w:rStyle w:val="Hyperlink"/>
          </w:rPr>
          <w:t>Intended Audience</w:t>
        </w:r>
        <w:r>
          <w:rPr>
            <w:webHidden/>
          </w:rPr>
          <w:tab/>
        </w:r>
        <w:r>
          <w:rPr>
            <w:webHidden/>
          </w:rPr>
          <w:fldChar w:fldCharType="begin"/>
        </w:r>
        <w:r>
          <w:rPr>
            <w:webHidden/>
          </w:rPr>
          <w:instrText xml:space="preserve"> PAGEREF _Toc213772250 \h </w:instrText>
        </w:r>
        <w:r>
          <w:rPr>
            <w:webHidden/>
          </w:rPr>
        </w:r>
        <w:r>
          <w:rPr>
            <w:webHidden/>
          </w:rPr>
          <w:fldChar w:fldCharType="separate"/>
        </w:r>
        <w:r>
          <w:rPr>
            <w:webHidden/>
          </w:rPr>
          <w:t>384</w:t>
        </w:r>
        <w:r>
          <w:rPr>
            <w:webHidden/>
          </w:rPr>
          <w:fldChar w:fldCharType="end"/>
        </w:r>
      </w:hyperlink>
    </w:p>
    <w:p w14:paraId="4776ED01" w14:textId="525A9C94" w:rsidR="00023ECF" w:rsidRDefault="00023ECF">
      <w:pPr>
        <w:pStyle w:val="TOC3"/>
        <w:rPr>
          <w:rFonts w:asciiTheme="minorHAnsi" w:eastAsiaTheme="minorEastAsia" w:hAnsiTheme="minorHAnsi" w:cstheme="minorBidi"/>
          <w:bCs w:val="0"/>
          <w:kern w:val="2"/>
          <w:szCs w:val="24"/>
          <w14:ligatures w14:val="standardContextual"/>
        </w:rPr>
      </w:pPr>
      <w:hyperlink w:anchor="_Toc213772251" w:history="1">
        <w:r w:rsidRPr="00AC173C">
          <w:rPr>
            <w:rStyle w:val="Hyperlink"/>
          </w:rPr>
          <w:t>D.1.2</w:t>
        </w:r>
        <w:r>
          <w:rPr>
            <w:rFonts w:asciiTheme="minorHAnsi" w:eastAsiaTheme="minorEastAsia" w:hAnsiTheme="minorHAnsi" w:cstheme="minorBidi"/>
            <w:bCs w:val="0"/>
            <w:kern w:val="2"/>
            <w:szCs w:val="24"/>
            <w14:ligatures w14:val="standardContextual"/>
          </w:rPr>
          <w:tab/>
        </w:r>
        <w:r w:rsidRPr="00AC173C">
          <w:rPr>
            <w:rStyle w:val="Hyperlink"/>
          </w:rPr>
          <w:t>What is in this Manual?</w:t>
        </w:r>
        <w:r>
          <w:rPr>
            <w:webHidden/>
          </w:rPr>
          <w:tab/>
        </w:r>
        <w:r>
          <w:rPr>
            <w:webHidden/>
          </w:rPr>
          <w:fldChar w:fldCharType="begin"/>
        </w:r>
        <w:r>
          <w:rPr>
            <w:webHidden/>
          </w:rPr>
          <w:instrText xml:space="preserve"> PAGEREF _Toc213772251 \h </w:instrText>
        </w:r>
        <w:r>
          <w:rPr>
            <w:webHidden/>
          </w:rPr>
        </w:r>
        <w:r>
          <w:rPr>
            <w:webHidden/>
          </w:rPr>
          <w:fldChar w:fldCharType="separate"/>
        </w:r>
        <w:r>
          <w:rPr>
            <w:webHidden/>
          </w:rPr>
          <w:t>385</w:t>
        </w:r>
        <w:r>
          <w:rPr>
            <w:webHidden/>
          </w:rPr>
          <w:fldChar w:fldCharType="end"/>
        </w:r>
      </w:hyperlink>
    </w:p>
    <w:p w14:paraId="386F1E73" w14:textId="1D0149EE" w:rsidR="00023ECF" w:rsidRDefault="00023ECF">
      <w:pPr>
        <w:pStyle w:val="TOC3"/>
        <w:rPr>
          <w:rFonts w:asciiTheme="minorHAnsi" w:eastAsiaTheme="minorEastAsia" w:hAnsiTheme="minorHAnsi" w:cstheme="minorBidi"/>
          <w:bCs w:val="0"/>
          <w:kern w:val="2"/>
          <w:szCs w:val="24"/>
          <w14:ligatures w14:val="standardContextual"/>
        </w:rPr>
      </w:pPr>
      <w:hyperlink w:anchor="_Toc213772252" w:history="1">
        <w:r w:rsidRPr="00AC173C">
          <w:rPr>
            <w:rStyle w:val="Hyperlink"/>
          </w:rPr>
          <w:t>D.1.3</w:t>
        </w:r>
        <w:r>
          <w:rPr>
            <w:rFonts w:asciiTheme="minorHAnsi" w:eastAsiaTheme="minorEastAsia" w:hAnsiTheme="minorHAnsi" w:cstheme="minorBidi"/>
            <w:bCs w:val="0"/>
            <w:kern w:val="2"/>
            <w:szCs w:val="24"/>
            <w14:ligatures w14:val="standardContextual"/>
          </w:rPr>
          <w:tab/>
        </w:r>
        <w:r w:rsidRPr="00AC173C">
          <w:rPr>
            <w:rStyle w:val="Hyperlink"/>
          </w:rPr>
          <w:t>Purpose</w:t>
        </w:r>
        <w:r>
          <w:rPr>
            <w:webHidden/>
          </w:rPr>
          <w:tab/>
        </w:r>
        <w:r>
          <w:rPr>
            <w:webHidden/>
          </w:rPr>
          <w:fldChar w:fldCharType="begin"/>
        </w:r>
        <w:r>
          <w:rPr>
            <w:webHidden/>
          </w:rPr>
          <w:instrText xml:space="preserve"> PAGEREF _Toc213772252 \h </w:instrText>
        </w:r>
        <w:r>
          <w:rPr>
            <w:webHidden/>
          </w:rPr>
        </w:r>
        <w:r>
          <w:rPr>
            <w:webHidden/>
          </w:rPr>
          <w:fldChar w:fldCharType="separate"/>
        </w:r>
        <w:r>
          <w:rPr>
            <w:webHidden/>
          </w:rPr>
          <w:t>385</w:t>
        </w:r>
        <w:r>
          <w:rPr>
            <w:webHidden/>
          </w:rPr>
          <w:fldChar w:fldCharType="end"/>
        </w:r>
      </w:hyperlink>
    </w:p>
    <w:p w14:paraId="19EFE883" w14:textId="5C29C3D2" w:rsidR="00023ECF" w:rsidRDefault="00023ECF">
      <w:pPr>
        <w:pStyle w:val="TOC3"/>
        <w:rPr>
          <w:rFonts w:asciiTheme="minorHAnsi" w:eastAsiaTheme="minorEastAsia" w:hAnsiTheme="minorHAnsi" w:cstheme="minorBidi"/>
          <w:bCs w:val="0"/>
          <w:kern w:val="2"/>
          <w:szCs w:val="24"/>
          <w14:ligatures w14:val="standardContextual"/>
        </w:rPr>
      </w:pPr>
      <w:hyperlink w:anchor="_Toc213772253" w:history="1">
        <w:r w:rsidRPr="00AC173C">
          <w:rPr>
            <w:rStyle w:val="Hyperlink"/>
          </w:rPr>
          <w:t>D.1.4</w:t>
        </w:r>
        <w:r>
          <w:rPr>
            <w:rFonts w:asciiTheme="minorHAnsi" w:eastAsiaTheme="minorEastAsia" w:hAnsiTheme="minorHAnsi" w:cstheme="minorBidi"/>
            <w:bCs w:val="0"/>
            <w:kern w:val="2"/>
            <w:szCs w:val="24"/>
            <w14:ligatures w14:val="standardContextual"/>
          </w:rPr>
          <w:tab/>
        </w:r>
        <w:r w:rsidRPr="00AC173C">
          <w:rPr>
            <w:rStyle w:val="Hyperlink"/>
          </w:rPr>
          <w:t>Mitigated Offer Development Methodology Approval Process</w:t>
        </w:r>
        <w:r>
          <w:rPr>
            <w:webHidden/>
          </w:rPr>
          <w:tab/>
        </w:r>
        <w:r>
          <w:rPr>
            <w:webHidden/>
          </w:rPr>
          <w:fldChar w:fldCharType="begin"/>
        </w:r>
        <w:r>
          <w:rPr>
            <w:webHidden/>
          </w:rPr>
          <w:instrText xml:space="preserve"> PAGEREF _Toc213772253 \h </w:instrText>
        </w:r>
        <w:r>
          <w:rPr>
            <w:webHidden/>
          </w:rPr>
        </w:r>
        <w:r>
          <w:rPr>
            <w:webHidden/>
          </w:rPr>
          <w:fldChar w:fldCharType="separate"/>
        </w:r>
        <w:r>
          <w:rPr>
            <w:webHidden/>
          </w:rPr>
          <w:t>385</w:t>
        </w:r>
        <w:r>
          <w:rPr>
            <w:webHidden/>
          </w:rPr>
          <w:fldChar w:fldCharType="end"/>
        </w:r>
      </w:hyperlink>
    </w:p>
    <w:p w14:paraId="23B7AF0D" w14:textId="3E495AF4" w:rsidR="00023ECF" w:rsidRDefault="00023ECF">
      <w:pPr>
        <w:pStyle w:val="TOC1"/>
        <w:rPr>
          <w:rFonts w:asciiTheme="minorHAnsi" w:eastAsiaTheme="minorEastAsia" w:hAnsiTheme="minorHAnsi" w:cstheme="minorBidi"/>
          <w:b w:val="0"/>
          <w:kern w:val="2"/>
          <w:szCs w:val="24"/>
          <w14:ligatures w14:val="standardContextual"/>
        </w:rPr>
      </w:pPr>
      <w:hyperlink w:anchor="_Toc213772254" w:history="1">
        <w:r w:rsidRPr="00AC173C">
          <w:rPr>
            <w:rStyle w:val="Hyperlink"/>
          </w:rPr>
          <w:t>D.2</w:t>
        </w:r>
        <w:r>
          <w:rPr>
            <w:rFonts w:asciiTheme="minorHAnsi" w:eastAsiaTheme="minorEastAsia" w:hAnsiTheme="minorHAnsi" w:cstheme="minorBidi"/>
            <w:b w:val="0"/>
            <w:kern w:val="2"/>
            <w:szCs w:val="24"/>
            <w14:ligatures w14:val="standardContextual"/>
          </w:rPr>
          <w:tab/>
        </w:r>
        <w:r w:rsidRPr="00AC173C">
          <w:rPr>
            <w:rStyle w:val="Hyperlink"/>
          </w:rPr>
          <w:t>Policies for All Resource Types</w:t>
        </w:r>
        <w:r>
          <w:rPr>
            <w:webHidden/>
          </w:rPr>
          <w:tab/>
        </w:r>
        <w:r>
          <w:rPr>
            <w:webHidden/>
          </w:rPr>
          <w:fldChar w:fldCharType="begin"/>
        </w:r>
        <w:r>
          <w:rPr>
            <w:webHidden/>
          </w:rPr>
          <w:instrText xml:space="preserve"> PAGEREF _Toc213772254 \h </w:instrText>
        </w:r>
        <w:r>
          <w:rPr>
            <w:webHidden/>
          </w:rPr>
        </w:r>
        <w:r>
          <w:rPr>
            <w:webHidden/>
          </w:rPr>
          <w:fldChar w:fldCharType="separate"/>
        </w:r>
        <w:r>
          <w:rPr>
            <w:webHidden/>
          </w:rPr>
          <w:t>386</w:t>
        </w:r>
        <w:r>
          <w:rPr>
            <w:webHidden/>
          </w:rPr>
          <w:fldChar w:fldCharType="end"/>
        </w:r>
      </w:hyperlink>
    </w:p>
    <w:p w14:paraId="58C347CF" w14:textId="048E06BE" w:rsidR="00023ECF" w:rsidRDefault="00023ECF">
      <w:pPr>
        <w:pStyle w:val="TOC3"/>
        <w:rPr>
          <w:rFonts w:asciiTheme="minorHAnsi" w:eastAsiaTheme="minorEastAsia" w:hAnsiTheme="minorHAnsi" w:cstheme="minorBidi"/>
          <w:bCs w:val="0"/>
          <w:kern w:val="2"/>
          <w:szCs w:val="24"/>
          <w14:ligatures w14:val="standardContextual"/>
        </w:rPr>
      </w:pPr>
      <w:hyperlink w:anchor="_Toc213772255" w:history="1">
        <w:r w:rsidRPr="00AC173C">
          <w:rPr>
            <w:rStyle w:val="Hyperlink"/>
          </w:rPr>
          <w:t>D.2.1</w:t>
        </w:r>
        <w:r>
          <w:rPr>
            <w:rFonts w:asciiTheme="minorHAnsi" w:eastAsiaTheme="minorEastAsia" w:hAnsiTheme="minorHAnsi" w:cstheme="minorBidi"/>
            <w:bCs w:val="0"/>
            <w:kern w:val="2"/>
            <w:szCs w:val="24"/>
            <w14:ligatures w14:val="standardContextual"/>
          </w:rPr>
          <w:tab/>
        </w:r>
        <w:r w:rsidRPr="00AC173C">
          <w:rPr>
            <w:rStyle w:val="Hyperlink"/>
          </w:rPr>
          <w:t>Heat Rates</w:t>
        </w:r>
        <w:r>
          <w:rPr>
            <w:webHidden/>
          </w:rPr>
          <w:tab/>
        </w:r>
        <w:r>
          <w:rPr>
            <w:webHidden/>
          </w:rPr>
          <w:fldChar w:fldCharType="begin"/>
        </w:r>
        <w:r>
          <w:rPr>
            <w:webHidden/>
          </w:rPr>
          <w:instrText xml:space="preserve"> PAGEREF _Toc213772255 \h </w:instrText>
        </w:r>
        <w:r>
          <w:rPr>
            <w:webHidden/>
          </w:rPr>
        </w:r>
        <w:r>
          <w:rPr>
            <w:webHidden/>
          </w:rPr>
          <w:fldChar w:fldCharType="separate"/>
        </w:r>
        <w:r>
          <w:rPr>
            <w:webHidden/>
          </w:rPr>
          <w:t>386</w:t>
        </w:r>
        <w:r>
          <w:rPr>
            <w:webHidden/>
          </w:rPr>
          <w:fldChar w:fldCharType="end"/>
        </w:r>
      </w:hyperlink>
    </w:p>
    <w:p w14:paraId="56A6B1FB" w14:textId="7CFDF8A2" w:rsidR="00023ECF" w:rsidRDefault="00023ECF">
      <w:pPr>
        <w:pStyle w:val="TOC3"/>
        <w:rPr>
          <w:rFonts w:asciiTheme="minorHAnsi" w:eastAsiaTheme="minorEastAsia" w:hAnsiTheme="minorHAnsi" w:cstheme="minorBidi"/>
          <w:bCs w:val="0"/>
          <w:kern w:val="2"/>
          <w:szCs w:val="24"/>
          <w14:ligatures w14:val="standardContextual"/>
        </w:rPr>
      </w:pPr>
      <w:hyperlink w:anchor="_Toc213772256" w:history="1">
        <w:r w:rsidRPr="00AC173C">
          <w:rPr>
            <w:rStyle w:val="Hyperlink"/>
          </w:rPr>
          <w:t>D.2.2</w:t>
        </w:r>
        <w:r>
          <w:rPr>
            <w:rFonts w:asciiTheme="minorHAnsi" w:eastAsiaTheme="minorEastAsia" w:hAnsiTheme="minorHAnsi" w:cstheme="minorBidi"/>
            <w:bCs w:val="0"/>
            <w:kern w:val="2"/>
            <w:szCs w:val="24"/>
            <w14:ligatures w14:val="standardContextual"/>
          </w:rPr>
          <w:tab/>
        </w:r>
        <w:r w:rsidRPr="00AC173C">
          <w:rPr>
            <w:rStyle w:val="Hyperlink"/>
          </w:rPr>
          <w:t xml:space="preserve"> Heat Content of Fuel</w:t>
        </w:r>
        <w:r>
          <w:rPr>
            <w:webHidden/>
          </w:rPr>
          <w:tab/>
        </w:r>
        <w:r>
          <w:rPr>
            <w:webHidden/>
          </w:rPr>
          <w:fldChar w:fldCharType="begin"/>
        </w:r>
        <w:r>
          <w:rPr>
            <w:webHidden/>
          </w:rPr>
          <w:instrText xml:space="preserve"> PAGEREF _Toc213772256 \h </w:instrText>
        </w:r>
        <w:r>
          <w:rPr>
            <w:webHidden/>
          </w:rPr>
        </w:r>
        <w:r>
          <w:rPr>
            <w:webHidden/>
          </w:rPr>
          <w:fldChar w:fldCharType="separate"/>
        </w:r>
        <w:r>
          <w:rPr>
            <w:webHidden/>
          </w:rPr>
          <w:t>387</w:t>
        </w:r>
        <w:r>
          <w:rPr>
            <w:webHidden/>
          </w:rPr>
          <w:fldChar w:fldCharType="end"/>
        </w:r>
      </w:hyperlink>
    </w:p>
    <w:p w14:paraId="5406C598" w14:textId="2DB4560A" w:rsidR="00023ECF" w:rsidRDefault="00023ECF">
      <w:pPr>
        <w:pStyle w:val="TOC3"/>
        <w:rPr>
          <w:rFonts w:asciiTheme="minorHAnsi" w:eastAsiaTheme="minorEastAsia" w:hAnsiTheme="minorHAnsi" w:cstheme="minorBidi"/>
          <w:bCs w:val="0"/>
          <w:kern w:val="2"/>
          <w:szCs w:val="24"/>
          <w14:ligatures w14:val="standardContextual"/>
        </w:rPr>
      </w:pPr>
      <w:hyperlink w:anchor="_Toc213772257" w:history="1">
        <w:r w:rsidRPr="00AC173C">
          <w:rPr>
            <w:rStyle w:val="Hyperlink"/>
          </w:rPr>
          <w:t>D.2.2</w:t>
        </w:r>
        <w:r>
          <w:rPr>
            <w:rFonts w:asciiTheme="minorHAnsi" w:eastAsiaTheme="minorEastAsia" w:hAnsiTheme="minorHAnsi" w:cstheme="minorBidi"/>
            <w:bCs w:val="0"/>
            <w:kern w:val="2"/>
            <w:szCs w:val="24"/>
            <w14:ligatures w14:val="standardContextual"/>
          </w:rPr>
          <w:tab/>
        </w:r>
        <w:r w:rsidRPr="00AC173C">
          <w:rPr>
            <w:rStyle w:val="Hyperlink"/>
          </w:rPr>
          <w:t>Heat Rate (or Input-Output) Curves</w:t>
        </w:r>
        <w:r>
          <w:rPr>
            <w:webHidden/>
          </w:rPr>
          <w:tab/>
        </w:r>
        <w:r>
          <w:rPr>
            <w:webHidden/>
          </w:rPr>
          <w:fldChar w:fldCharType="begin"/>
        </w:r>
        <w:r>
          <w:rPr>
            <w:webHidden/>
          </w:rPr>
          <w:instrText xml:space="preserve"> PAGEREF _Toc213772257 \h </w:instrText>
        </w:r>
        <w:r>
          <w:rPr>
            <w:webHidden/>
          </w:rPr>
        </w:r>
        <w:r>
          <w:rPr>
            <w:webHidden/>
          </w:rPr>
          <w:fldChar w:fldCharType="separate"/>
        </w:r>
        <w:r>
          <w:rPr>
            <w:webHidden/>
          </w:rPr>
          <w:t>387</w:t>
        </w:r>
        <w:r>
          <w:rPr>
            <w:webHidden/>
          </w:rPr>
          <w:fldChar w:fldCharType="end"/>
        </w:r>
      </w:hyperlink>
    </w:p>
    <w:p w14:paraId="22D74923" w14:textId="3D341613" w:rsidR="00023ECF" w:rsidRDefault="00023ECF">
      <w:pPr>
        <w:pStyle w:val="TOC3"/>
        <w:rPr>
          <w:rFonts w:asciiTheme="minorHAnsi" w:eastAsiaTheme="minorEastAsia" w:hAnsiTheme="minorHAnsi" w:cstheme="minorBidi"/>
          <w:bCs w:val="0"/>
          <w:kern w:val="2"/>
          <w:szCs w:val="24"/>
          <w14:ligatures w14:val="standardContextual"/>
        </w:rPr>
      </w:pPr>
      <w:hyperlink w:anchor="_Toc213772258" w:history="1">
        <w:r w:rsidRPr="00AC173C">
          <w:rPr>
            <w:rStyle w:val="Hyperlink"/>
          </w:rPr>
          <w:t>D.2.4</w:t>
        </w:r>
        <w:r>
          <w:rPr>
            <w:rFonts w:asciiTheme="minorHAnsi" w:eastAsiaTheme="minorEastAsia" w:hAnsiTheme="minorHAnsi" w:cstheme="minorBidi"/>
            <w:bCs w:val="0"/>
            <w:kern w:val="2"/>
            <w:szCs w:val="24"/>
            <w14:ligatures w14:val="standardContextual"/>
          </w:rPr>
          <w:tab/>
        </w:r>
        <w:r w:rsidRPr="00AC173C">
          <w:rPr>
            <w:rStyle w:val="Hyperlink"/>
          </w:rPr>
          <w:t>Performance Factors</w:t>
        </w:r>
        <w:r>
          <w:rPr>
            <w:webHidden/>
          </w:rPr>
          <w:tab/>
        </w:r>
        <w:r>
          <w:rPr>
            <w:webHidden/>
          </w:rPr>
          <w:fldChar w:fldCharType="begin"/>
        </w:r>
        <w:r>
          <w:rPr>
            <w:webHidden/>
          </w:rPr>
          <w:instrText xml:space="preserve"> PAGEREF _Toc213772258 \h </w:instrText>
        </w:r>
        <w:r>
          <w:rPr>
            <w:webHidden/>
          </w:rPr>
        </w:r>
        <w:r>
          <w:rPr>
            <w:webHidden/>
          </w:rPr>
          <w:fldChar w:fldCharType="separate"/>
        </w:r>
        <w:r>
          <w:rPr>
            <w:webHidden/>
          </w:rPr>
          <w:t>388</w:t>
        </w:r>
        <w:r>
          <w:rPr>
            <w:webHidden/>
          </w:rPr>
          <w:fldChar w:fldCharType="end"/>
        </w:r>
      </w:hyperlink>
    </w:p>
    <w:p w14:paraId="381D934A" w14:textId="2F020AFE" w:rsidR="00023ECF" w:rsidRDefault="00023ECF">
      <w:pPr>
        <w:pStyle w:val="TOC4"/>
        <w:rPr>
          <w:rFonts w:asciiTheme="minorHAnsi" w:eastAsiaTheme="minorEastAsia" w:hAnsiTheme="minorHAnsi" w:cstheme="minorBidi"/>
          <w:bCs w:val="0"/>
          <w:kern w:val="2"/>
          <w:szCs w:val="24"/>
          <w14:ligatures w14:val="standardContextual"/>
        </w:rPr>
      </w:pPr>
      <w:hyperlink w:anchor="_Toc213772259" w:history="1">
        <w:r w:rsidRPr="00AC173C">
          <w:rPr>
            <w:rStyle w:val="Hyperlink"/>
          </w:rPr>
          <w:t>D.2.4.1</w:t>
        </w:r>
        <w:r>
          <w:rPr>
            <w:rFonts w:asciiTheme="minorHAnsi" w:eastAsiaTheme="minorEastAsia" w:hAnsiTheme="minorHAnsi" w:cstheme="minorBidi"/>
            <w:bCs w:val="0"/>
            <w:kern w:val="2"/>
            <w:szCs w:val="24"/>
            <w14:ligatures w14:val="standardContextual"/>
          </w:rPr>
          <w:tab/>
        </w:r>
        <w:r w:rsidRPr="00AC173C">
          <w:rPr>
            <w:rStyle w:val="Hyperlink"/>
          </w:rPr>
          <w:t>Engineering Judgment in Performance Factors</w:t>
        </w:r>
        <w:r>
          <w:rPr>
            <w:webHidden/>
          </w:rPr>
          <w:tab/>
        </w:r>
        <w:r>
          <w:rPr>
            <w:webHidden/>
          </w:rPr>
          <w:fldChar w:fldCharType="begin"/>
        </w:r>
        <w:r>
          <w:rPr>
            <w:webHidden/>
          </w:rPr>
          <w:instrText xml:space="preserve"> PAGEREF _Toc213772259 \h </w:instrText>
        </w:r>
        <w:r>
          <w:rPr>
            <w:webHidden/>
          </w:rPr>
        </w:r>
        <w:r>
          <w:rPr>
            <w:webHidden/>
          </w:rPr>
          <w:fldChar w:fldCharType="separate"/>
        </w:r>
        <w:r>
          <w:rPr>
            <w:webHidden/>
          </w:rPr>
          <w:t>389</w:t>
        </w:r>
        <w:r>
          <w:rPr>
            <w:webHidden/>
          </w:rPr>
          <w:fldChar w:fldCharType="end"/>
        </w:r>
      </w:hyperlink>
    </w:p>
    <w:p w14:paraId="61A853F9" w14:textId="688AA5C3" w:rsidR="00023ECF" w:rsidRDefault="00023ECF">
      <w:pPr>
        <w:pStyle w:val="TOC4"/>
        <w:rPr>
          <w:rFonts w:asciiTheme="minorHAnsi" w:eastAsiaTheme="minorEastAsia" w:hAnsiTheme="minorHAnsi" w:cstheme="minorBidi"/>
          <w:bCs w:val="0"/>
          <w:kern w:val="2"/>
          <w:szCs w:val="24"/>
          <w14:ligatures w14:val="standardContextual"/>
        </w:rPr>
      </w:pPr>
      <w:hyperlink w:anchor="_Toc213772260" w:history="1">
        <w:r w:rsidRPr="00AC173C">
          <w:rPr>
            <w:rStyle w:val="Hyperlink"/>
          </w:rPr>
          <w:t>D.2.4.2</w:t>
        </w:r>
        <w:r>
          <w:rPr>
            <w:rFonts w:asciiTheme="minorHAnsi" w:eastAsiaTheme="minorEastAsia" w:hAnsiTheme="minorHAnsi" w:cstheme="minorBidi"/>
            <w:bCs w:val="0"/>
            <w:kern w:val="2"/>
            <w:szCs w:val="24"/>
            <w14:ligatures w14:val="standardContextual"/>
          </w:rPr>
          <w:tab/>
        </w:r>
        <w:r w:rsidRPr="00AC173C">
          <w:rPr>
            <w:rStyle w:val="Hyperlink"/>
          </w:rPr>
          <w:t>Calculation Methods of Performance Factors</w:t>
        </w:r>
        <w:r>
          <w:rPr>
            <w:webHidden/>
          </w:rPr>
          <w:tab/>
        </w:r>
        <w:r>
          <w:rPr>
            <w:webHidden/>
          </w:rPr>
          <w:fldChar w:fldCharType="begin"/>
        </w:r>
        <w:r>
          <w:rPr>
            <w:webHidden/>
          </w:rPr>
          <w:instrText xml:space="preserve"> PAGEREF _Toc213772260 \h </w:instrText>
        </w:r>
        <w:r>
          <w:rPr>
            <w:webHidden/>
          </w:rPr>
        </w:r>
        <w:r>
          <w:rPr>
            <w:webHidden/>
          </w:rPr>
          <w:fldChar w:fldCharType="separate"/>
        </w:r>
        <w:r>
          <w:rPr>
            <w:webHidden/>
          </w:rPr>
          <w:t>389</w:t>
        </w:r>
        <w:r>
          <w:rPr>
            <w:webHidden/>
          </w:rPr>
          <w:fldChar w:fldCharType="end"/>
        </w:r>
      </w:hyperlink>
    </w:p>
    <w:p w14:paraId="11AA6C59" w14:textId="44F2EE6F" w:rsidR="00023ECF" w:rsidRDefault="00023ECF">
      <w:pPr>
        <w:pStyle w:val="TOC4"/>
        <w:rPr>
          <w:rFonts w:asciiTheme="minorHAnsi" w:eastAsiaTheme="minorEastAsia" w:hAnsiTheme="minorHAnsi" w:cstheme="minorBidi"/>
          <w:bCs w:val="0"/>
          <w:kern w:val="2"/>
          <w:szCs w:val="24"/>
          <w14:ligatures w14:val="standardContextual"/>
        </w:rPr>
      </w:pPr>
      <w:hyperlink w:anchor="_Toc213772261" w:history="1">
        <w:r w:rsidRPr="00AC173C">
          <w:rPr>
            <w:rStyle w:val="Hyperlink"/>
          </w:rPr>
          <w:t>D.2.4.3</w:t>
        </w:r>
        <w:r>
          <w:rPr>
            <w:rFonts w:asciiTheme="minorHAnsi" w:eastAsiaTheme="minorEastAsia" w:hAnsiTheme="minorHAnsi" w:cstheme="minorBidi"/>
            <w:bCs w:val="0"/>
            <w:kern w:val="2"/>
            <w:szCs w:val="24"/>
            <w14:ligatures w14:val="standardContextual"/>
          </w:rPr>
          <w:tab/>
        </w:r>
        <w:r w:rsidRPr="00AC173C">
          <w:rPr>
            <w:rStyle w:val="Hyperlink"/>
          </w:rPr>
          <w:t>“Like” Resources for Performance Factors</w:t>
        </w:r>
        <w:r>
          <w:rPr>
            <w:webHidden/>
          </w:rPr>
          <w:tab/>
        </w:r>
        <w:r>
          <w:rPr>
            <w:webHidden/>
          </w:rPr>
          <w:fldChar w:fldCharType="begin"/>
        </w:r>
        <w:r>
          <w:rPr>
            <w:webHidden/>
          </w:rPr>
          <w:instrText xml:space="preserve"> PAGEREF _Toc213772261 \h </w:instrText>
        </w:r>
        <w:r>
          <w:rPr>
            <w:webHidden/>
          </w:rPr>
        </w:r>
        <w:r>
          <w:rPr>
            <w:webHidden/>
          </w:rPr>
          <w:fldChar w:fldCharType="separate"/>
        </w:r>
        <w:r>
          <w:rPr>
            <w:webHidden/>
          </w:rPr>
          <w:t>390</w:t>
        </w:r>
        <w:r>
          <w:rPr>
            <w:webHidden/>
          </w:rPr>
          <w:fldChar w:fldCharType="end"/>
        </w:r>
      </w:hyperlink>
    </w:p>
    <w:p w14:paraId="520B5398" w14:textId="6295D316" w:rsidR="00023ECF" w:rsidRDefault="00023ECF">
      <w:pPr>
        <w:pStyle w:val="TOC3"/>
        <w:rPr>
          <w:rFonts w:asciiTheme="minorHAnsi" w:eastAsiaTheme="minorEastAsia" w:hAnsiTheme="minorHAnsi" w:cstheme="minorBidi"/>
          <w:bCs w:val="0"/>
          <w:kern w:val="2"/>
          <w:szCs w:val="24"/>
          <w14:ligatures w14:val="standardContextual"/>
        </w:rPr>
      </w:pPr>
      <w:hyperlink w:anchor="_Toc213772262" w:history="1">
        <w:r w:rsidRPr="00AC173C">
          <w:rPr>
            <w:rStyle w:val="Hyperlink"/>
          </w:rPr>
          <w:t>D.2.5</w:t>
        </w:r>
        <w:r>
          <w:rPr>
            <w:rFonts w:asciiTheme="minorHAnsi" w:eastAsiaTheme="minorEastAsia" w:hAnsiTheme="minorHAnsi" w:cstheme="minorBidi"/>
            <w:bCs w:val="0"/>
            <w:kern w:val="2"/>
            <w:szCs w:val="24"/>
            <w14:ligatures w14:val="standardContextual"/>
          </w:rPr>
          <w:tab/>
        </w:r>
        <w:r w:rsidRPr="00AC173C">
          <w:rPr>
            <w:rStyle w:val="Hyperlink"/>
          </w:rPr>
          <w:t>Fuel Cost Policies</w:t>
        </w:r>
        <w:r>
          <w:rPr>
            <w:webHidden/>
          </w:rPr>
          <w:tab/>
        </w:r>
        <w:r>
          <w:rPr>
            <w:webHidden/>
          </w:rPr>
          <w:fldChar w:fldCharType="begin"/>
        </w:r>
        <w:r>
          <w:rPr>
            <w:webHidden/>
          </w:rPr>
          <w:instrText xml:space="preserve"> PAGEREF _Toc213772262 \h </w:instrText>
        </w:r>
        <w:r>
          <w:rPr>
            <w:webHidden/>
          </w:rPr>
        </w:r>
        <w:r>
          <w:rPr>
            <w:webHidden/>
          </w:rPr>
          <w:fldChar w:fldCharType="separate"/>
        </w:r>
        <w:r>
          <w:rPr>
            <w:webHidden/>
          </w:rPr>
          <w:t>390</w:t>
        </w:r>
        <w:r>
          <w:rPr>
            <w:webHidden/>
          </w:rPr>
          <w:fldChar w:fldCharType="end"/>
        </w:r>
      </w:hyperlink>
    </w:p>
    <w:p w14:paraId="1792D014" w14:textId="4770535C" w:rsidR="00023ECF" w:rsidRDefault="00023ECF">
      <w:pPr>
        <w:pStyle w:val="TOC4"/>
        <w:rPr>
          <w:rFonts w:asciiTheme="minorHAnsi" w:eastAsiaTheme="minorEastAsia" w:hAnsiTheme="minorHAnsi" w:cstheme="minorBidi"/>
          <w:bCs w:val="0"/>
          <w:kern w:val="2"/>
          <w:szCs w:val="24"/>
          <w14:ligatures w14:val="standardContextual"/>
        </w:rPr>
      </w:pPr>
      <w:hyperlink w:anchor="_Toc213772263" w:history="1">
        <w:r w:rsidRPr="00AC173C">
          <w:rPr>
            <w:rStyle w:val="Hyperlink"/>
          </w:rPr>
          <w:t>D.2.5.1</w:t>
        </w:r>
        <w:r>
          <w:rPr>
            <w:rFonts w:asciiTheme="minorHAnsi" w:eastAsiaTheme="minorEastAsia" w:hAnsiTheme="minorHAnsi" w:cstheme="minorBidi"/>
            <w:bCs w:val="0"/>
            <w:kern w:val="2"/>
            <w:szCs w:val="24"/>
            <w14:ligatures w14:val="standardContextual"/>
          </w:rPr>
          <w:tab/>
        </w:r>
        <w:r w:rsidRPr="00AC173C">
          <w:rPr>
            <w:rStyle w:val="Hyperlink"/>
          </w:rPr>
          <w:t xml:space="preserve"> Modifications to Fuel Cost Policies</w:t>
        </w:r>
        <w:r>
          <w:rPr>
            <w:webHidden/>
          </w:rPr>
          <w:tab/>
        </w:r>
        <w:r>
          <w:rPr>
            <w:webHidden/>
          </w:rPr>
          <w:fldChar w:fldCharType="begin"/>
        </w:r>
        <w:r>
          <w:rPr>
            <w:webHidden/>
          </w:rPr>
          <w:instrText xml:space="preserve"> PAGEREF _Toc213772263 \h </w:instrText>
        </w:r>
        <w:r>
          <w:rPr>
            <w:webHidden/>
          </w:rPr>
        </w:r>
        <w:r>
          <w:rPr>
            <w:webHidden/>
          </w:rPr>
          <w:fldChar w:fldCharType="separate"/>
        </w:r>
        <w:r>
          <w:rPr>
            <w:webHidden/>
          </w:rPr>
          <w:t>391</w:t>
        </w:r>
        <w:r>
          <w:rPr>
            <w:webHidden/>
          </w:rPr>
          <w:fldChar w:fldCharType="end"/>
        </w:r>
      </w:hyperlink>
    </w:p>
    <w:p w14:paraId="76454B48" w14:textId="5AEF6CAE" w:rsidR="00023ECF" w:rsidRDefault="00023ECF">
      <w:pPr>
        <w:pStyle w:val="TOC4"/>
        <w:rPr>
          <w:rFonts w:asciiTheme="minorHAnsi" w:eastAsiaTheme="minorEastAsia" w:hAnsiTheme="minorHAnsi" w:cstheme="minorBidi"/>
          <w:bCs w:val="0"/>
          <w:kern w:val="2"/>
          <w:szCs w:val="24"/>
          <w14:ligatures w14:val="standardContextual"/>
        </w:rPr>
      </w:pPr>
      <w:hyperlink w:anchor="_Toc213772264" w:history="1">
        <w:r w:rsidRPr="00AC173C">
          <w:rPr>
            <w:rStyle w:val="Hyperlink"/>
          </w:rPr>
          <w:t>D.2.5.2</w:t>
        </w:r>
        <w:r>
          <w:rPr>
            <w:rFonts w:asciiTheme="minorHAnsi" w:eastAsiaTheme="minorEastAsia" w:hAnsiTheme="minorHAnsi" w:cstheme="minorBidi"/>
            <w:bCs w:val="0"/>
            <w:kern w:val="2"/>
            <w:szCs w:val="24"/>
            <w14:ligatures w14:val="standardContextual"/>
          </w:rPr>
          <w:tab/>
        </w:r>
        <w:r w:rsidRPr="00AC173C">
          <w:rPr>
            <w:rStyle w:val="Hyperlink"/>
          </w:rPr>
          <w:t>Fuel Cost Calculation</w:t>
        </w:r>
        <w:r>
          <w:rPr>
            <w:webHidden/>
          </w:rPr>
          <w:tab/>
        </w:r>
        <w:r>
          <w:rPr>
            <w:webHidden/>
          </w:rPr>
          <w:fldChar w:fldCharType="begin"/>
        </w:r>
        <w:r>
          <w:rPr>
            <w:webHidden/>
          </w:rPr>
          <w:instrText xml:space="preserve"> PAGEREF _Toc213772264 \h </w:instrText>
        </w:r>
        <w:r>
          <w:rPr>
            <w:webHidden/>
          </w:rPr>
        </w:r>
        <w:r>
          <w:rPr>
            <w:webHidden/>
          </w:rPr>
          <w:fldChar w:fldCharType="separate"/>
        </w:r>
        <w:r>
          <w:rPr>
            <w:webHidden/>
          </w:rPr>
          <w:t>391</w:t>
        </w:r>
        <w:r>
          <w:rPr>
            <w:webHidden/>
          </w:rPr>
          <w:fldChar w:fldCharType="end"/>
        </w:r>
      </w:hyperlink>
    </w:p>
    <w:p w14:paraId="5B65F5F3" w14:textId="7F828213" w:rsidR="00023ECF" w:rsidRDefault="00023ECF">
      <w:pPr>
        <w:pStyle w:val="TOC4"/>
        <w:rPr>
          <w:rFonts w:asciiTheme="minorHAnsi" w:eastAsiaTheme="minorEastAsia" w:hAnsiTheme="minorHAnsi" w:cstheme="minorBidi"/>
          <w:bCs w:val="0"/>
          <w:kern w:val="2"/>
          <w:szCs w:val="24"/>
          <w14:ligatures w14:val="standardContextual"/>
        </w:rPr>
      </w:pPr>
      <w:hyperlink w:anchor="_Toc213772265" w:history="1">
        <w:r w:rsidRPr="00AC173C">
          <w:rPr>
            <w:rStyle w:val="Hyperlink"/>
          </w:rPr>
          <w:t>D.2.5.3</w:t>
        </w:r>
        <w:r>
          <w:rPr>
            <w:rFonts w:asciiTheme="minorHAnsi" w:eastAsiaTheme="minorEastAsia" w:hAnsiTheme="minorHAnsi" w:cstheme="minorBidi"/>
            <w:bCs w:val="0"/>
            <w:kern w:val="2"/>
            <w:szCs w:val="24"/>
            <w14:ligatures w14:val="standardContextual"/>
          </w:rPr>
          <w:tab/>
        </w:r>
        <w:r w:rsidRPr="00AC173C">
          <w:rPr>
            <w:rStyle w:val="Hyperlink"/>
          </w:rPr>
          <w:t>Total Fuel Related Costs</w:t>
        </w:r>
        <w:r>
          <w:rPr>
            <w:webHidden/>
          </w:rPr>
          <w:tab/>
        </w:r>
        <w:r>
          <w:rPr>
            <w:webHidden/>
          </w:rPr>
          <w:fldChar w:fldCharType="begin"/>
        </w:r>
        <w:r>
          <w:rPr>
            <w:webHidden/>
          </w:rPr>
          <w:instrText xml:space="preserve"> PAGEREF _Toc213772265 \h </w:instrText>
        </w:r>
        <w:r>
          <w:rPr>
            <w:webHidden/>
          </w:rPr>
        </w:r>
        <w:r>
          <w:rPr>
            <w:webHidden/>
          </w:rPr>
          <w:fldChar w:fldCharType="separate"/>
        </w:r>
        <w:r>
          <w:rPr>
            <w:webHidden/>
          </w:rPr>
          <w:t>392</w:t>
        </w:r>
        <w:r>
          <w:rPr>
            <w:webHidden/>
          </w:rPr>
          <w:fldChar w:fldCharType="end"/>
        </w:r>
      </w:hyperlink>
    </w:p>
    <w:p w14:paraId="71996196" w14:textId="41636E92" w:rsidR="00023ECF" w:rsidRDefault="00023ECF">
      <w:pPr>
        <w:pStyle w:val="TOC4"/>
        <w:rPr>
          <w:rFonts w:asciiTheme="minorHAnsi" w:eastAsiaTheme="minorEastAsia" w:hAnsiTheme="minorHAnsi" w:cstheme="minorBidi"/>
          <w:bCs w:val="0"/>
          <w:kern w:val="2"/>
          <w:szCs w:val="24"/>
          <w14:ligatures w14:val="standardContextual"/>
        </w:rPr>
      </w:pPr>
      <w:hyperlink w:anchor="_Toc213772266" w:history="1">
        <w:r w:rsidRPr="00AC173C">
          <w:rPr>
            <w:rStyle w:val="Hyperlink"/>
          </w:rPr>
          <w:t>D.2.5.4</w:t>
        </w:r>
        <w:r>
          <w:rPr>
            <w:rFonts w:asciiTheme="minorHAnsi" w:eastAsiaTheme="minorEastAsia" w:hAnsiTheme="minorHAnsi" w:cstheme="minorBidi"/>
            <w:bCs w:val="0"/>
            <w:kern w:val="2"/>
            <w:szCs w:val="24"/>
            <w14:ligatures w14:val="standardContextual"/>
          </w:rPr>
          <w:tab/>
        </w:r>
        <w:r w:rsidRPr="00AC173C">
          <w:rPr>
            <w:rStyle w:val="Hyperlink"/>
          </w:rPr>
          <w:t>Types of Fuel Costs</w:t>
        </w:r>
        <w:r>
          <w:rPr>
            <w:webHidden/>
          </w:rPr>
          <w:tab/>
        </w:r>
        <w:r>
          <w:rPr>
            <w:webHidden/>
          </w:rPr>
          <w:fldChar w:fldCharType="begin"/>
        </w:r>
        <w:r>
          <w:rPr>
            <w:webHidden/>
          </w:rPr>
          <w:instrText xml:space="preserve"> PAGEREF _Toc213772266 \h </w:instrText>
        </w:r>
        <w:r>
          <w:rPr>
            <w:webHidden/>
          </w:rPr>
        </w:r>
        <w:r>
          <w:rPr>
            <w:webHidden/>
          </w:rPr>
          <w:fldChar w:fldCharType="separate"/>
        </w:r>
        <w:r>
          <w:rPr>
            <w:webHidden/>
          </w:rPr>
          <w:t>393</w:t>
        </w:r>
        <w:r>
          <w:rPr>
            <w:webHidden/>
          </w:rPr>
          <w:fldChar w:fldCharType="end"/>
        </w:r>
      </w:hyperlink>
    </w:p>
    <w:p w14:paraId="2441B06E" w14:textId="6F285F7C" w:rsidR="00023ECF" w:rsidRDefault="00023ECF">
      <w:pPr>
        <w:pStyle w:val="TOC4"/>
        <w:rPr>
          <w:rFonts w:asciiTheme="minorHAnsi" w:eastAsiaTheme="minorEastAsia" w:hAnsiTheme="minorHAnsi" w:cstheme="minorBidi"/>
          <w:bCs w:val="0"/>
          <w:kern w:val="2"/>
          <w:szCs w:val="24"/>
          <w14:ligatures w14:val="standardContextual"/>
        </w:rPr>
      </w:pPr>
      <w:hyperlink w:anchor="_Toc213772267" w:history="1">
        <w:r w:rsidRPr="00AC173C">
          <w:rPr>
            <w:rStyle w:val="Hyperlink"/>
          </w:rPr>
          <w:t>D.2.5.5</w:t>
        </w:r>
        <w:r>
          <w:rPr>
            <w:rFonts w:asciiTheme="minorHAnsi" w:eastAsiaTheme="minorEastAsia" w:hAnsiTheme="minorHAnsi" w:cstheme="minorBidi"/>
            <w:bCs w:val="0"/>
            <w:kern w:val="2"/>
            <w:szCs w:val="24"/>
            <w14:ligatures w14:val="standardContextual"/>
          </w:rPr>
          <w:tab/>
        </w:r>
        <w:r w:rsidRPr="00AC173C">
          <w:rPr>
            <w:rStyle w:val="Hyperlink"/>
          </w:rPr>
          <w:t>Emission Allowances</w:t>
        </w:r>
        <w:r>
          <w:rPr>
            <w:webHidden/>
          </w:rPr>
          <w:tab/>
        </w:r>
        <w:r>
          <w:rPr>
            <w:webHidden/>
          </w:rPr>
          <w:fldChar w:fldCharType="begin"/>
        </w:r>
        <w:r>
          <w:rPr>
            <w:webHidden/>
          </w:rPr>
          <w:instrText xml:space="preserve"> PAGEREF _Toc213772267 \h </w:instrText>
        </w:r>
        <w:r>
          <w:rPr>
            <w:webHidden/>
          </w:rPr>
        </w:r>
        <w:r>
          <w:rPr>
            <w:webHidden/>
          </w:rPr>
          <w:fldChar w:fldCharType="separate"/>
        </w:r>
        <w:r>
          <w:rPr>
            <w:webHidden/>
          </w:rPr>
          <w:t>393</w:t>
        </w:r>
        <w:r>
          <w:rPr>
            <w:webHidden/>
          </w:rPr>
          <w:fldChar w:fldCharType="end"/>
        </w:r>
      </w:hyperlink>
    </w:p>
    <w:p w14:paraId="071A2609" w14:textId="1BB9BE9E" w:rsidR="00023ECF" w:rsidRDefault="00023ECF">
      <w:pPr>
        <w:pStyle w:val="TOC4"/>
        <w:rPr>
          <w:rFonts w:asciiTheme="minorHAnsi" w:eastAsiaTheme="minorEastAsia" w:hAnsiTheme="minorHAnsi" w:cstheme="minorBidi"/>
          <w:bCs w:val="0"/>
          <w:kern w:val="2"/>
          <w:szCs w:val="24"/>
          <w14:ligatures w14:val="standardContextual"/>
        </w:rPr>
      </w:pPr>
      <w:hyperlink w:anchor="_Toc213772268" w:history="1">
        <w:r w:rsidRPr="00AC173C">
          <w:rPr>
            <w:rStyle w:val="Hyperlink"/>
          </w:rPr>
          <w:t>D.2.5.6</w:t>
        </w:r>
        <w:r>
          <w:rPr>
            <w:rFonts w:asciiTheme="minorHAnsi" w:eastAsiaTheme="minorEastAsia" w:hAnsiTheme="minorHAnsi" w:cstheme="minorBidi"/>
            <w:bCs w:val="0"/>
            <w:kern w:val="2"/>
            <w:szCs w:val="24"/>
            <w14:ligatures w14:val="standardContextual"/>
          </w:rPr>
          <w:tab/>
        </w:r>
        <w:r w:rsidRPr="00AC173C">
          <w:rPr>
            <w:rStyle w:val="Hyperlink"/>
          </w:rPr>
          <w:t xml:space="preserve"> Variable Fuel Transportation Equipment</w:t>
        </w:r>
        <w:r>
          <w:rPr>
            <w:webHidden/>
          </w:rPr>
          <w:tab/>
        </w:r>
        <w:r>
          <w:rPr>
            <w:webHidden/>
          </w:rPr>
          <w:fldChar w:fldCharType="begin"/>
        </w:r>
        <w:r>
          <w:rPr>
            <w:webHidden/>
          </w:rPr>
          <w:instrText xml:space="preserve"> PAGEREF _Toc213772268 \h </w:instrText>
        </w:r>
        <w:r>
          <w:rPr>
            <w:webHidden/>
          </w:rPr>
        </w:r>
        <w:r>
          <w:rPr>
            <w:webHidden/>
          </w:rPr>
          <w:fldChar w:fldCharType="separate"/>
        </w:r>
        <w:r>
          <w:rPr>
            <w:webHidden/>
          </w:rPr>
          <w:t>394</w:t>
        </w:r>
        <w:r>
          <w:rPr>
            <w:webHidden/>
          </w:rPr>
          <w:fldChar w:fldCharType="end"/>
        </w:r>
      </w:hyperlink>
    </w:p>
    <w:p w14:paraId="1131D1FB" w14:textId="078D5C5C" w:rsidR="00023ECF" w:rsidRDefault="00023ECF">
      <w:pPr>
        <w:pStyle w:val="TOC3"/>
        <w:rPr>
          <w:rFonts w:asciiTheme="minorHAnsi" w:eastAsiaTheme="minorEastAsia" w:hAnsiTheme="minorHAnsi" w:cstheme="minorBidi"/>
          <w:bCs w:val="0"/>
          <w:kern w:val="2"/>
          <w:szCs w:val="24"/>
          <w14:ligatures w14:val="standardContextual"/>
        </w:rPr>
      </w:pPr>
      <w:hyperlink w:anchor="_Toc213772269" w:history="1">
        <w:r w:rsidRPr="00AC173C">
          <w:rPr>
            <w:rStyle w:val="Hyperlink"/>
          </w:rPr>
          <w:t>D.2.6</w:t>
        </w:r>
        <w:r>
          <w:rPr>
            <w:rFonts w:asciiTheme="minorHAnsi" w:eastAsiaTheme="minorEastAsia" w:hAnsiTheme="minorHAnsi" w:cstheme="minorBidi"/>
            <w:bCs w:val="0"/>
            <w:kern w:val="2"/>
            <w:szCs w:val="24"/>
            <w14:ligatures w14:val="standardContextual"/>
          </w:rPr>
          <w:tab/>
        </w:r>
        <w:r w:rsidRPr="00AC173C">
          <w:rPr>
            <w:rStyle w:val="Hyperlink"/>
          </w:rPr>
          <w:t>Total Variable Operation and Maintenance Cost</w:t>
        </w:r>
        <w:r>
          <w:rPr>
            <w:webHidden/>
          </w:rPr>
          <w:tab/>
        </w:r>
        <w:r>
          <w:rPr>
            <w:webHidden/>
          </w:rPr>
          <w:fldChar w:fldCharType="begin"/>
        </w:r>
        <w:r>
          <w:rPr>
            <w:webHidden/>
          </w:rPr>
          <w:instrText xml:space="preserve"> PAGEREF _Toc213772269 \h </w:instrText>
        </w:r>
        <w:r>
          <w:rPr>
            <w:webHidden/>
          </w:rPr>
        </w:r>
        <w:r>
          <w:rPr>
            <w:webHidden/>
          </w:rPr>
          <w:fldChar w:fldCharType="separate"/>
        </w:r>
        <w:r>
          <w:rPr>
            <w:webHidden/>
          </w:rPr>
          <w:t>394</w:t>
        </w:r>
        <w:r>
          <w:rPr>
            <w:webHidden/>
          </w:rPr>
          <w:fldChar w:fldCharType="end"/>
        </w:r>
      </w:hyperlink>
    </w:p>
    <w:p w14:paraId="3F515231" w14:textId="4FFA5E6B" w:rsidR="00023ECF" w:rsidRDefault="00023ECF">
      <w:pPr>
        <w:pStyle w:val="TOC4"/>
        <w:rPr>
          <w:rFonts w:asciiTheme="minorHAnsi" w:eastAsiaTheme="minorEastAsia" w:hAnsiTheme="minorHAnsi" w:cstheme="minorBidi"/>
          <w:bCs w:val="0"/>
          <w:kern w:val="2"/>
          <w:szCs w:val="24"/>
          <w14:ligatures w14:val="standardContextual"/>
        </w:rPr>
      </w:pPr>
      <w:hyperlink w:anchor="_Toc213772270" w:history="1">
        <w:r w:rsidRPr="00AC173C">
          <w:rPr>
            <w:rStyle w:val="Hyperlink"/>
          </w:rPr>
          <w:t>D.2.6.1</w:t>
        </w:r>
        <w:r>
          <w:rPr>
            <w:rFonts w:asciiTheme="minorHAnsi" w:eastAsiaTheme="minorEastAsia" w:hAnsiTheme="minorHAnsi" w:cstheme="minorBidi"/>
            <w:bCs w:val="0"/>
            <w:kern w:val="2"/>
            <w:szCs w:val="24"/>
            <w14:ligatures w14:val="standardContextual"/>
          </w:rPr>
          <w:tab/>
        </w:r>
        <w:r w:rsidRPr="00AC173C">
          <w:rPr>
            <w:rStyle w:val="Hyperlink"/>
          </w:rPr>
          <w:t>Escalation Index</w:t>
        </w:r>
        <w:r>
          <w:rPr>
            <w:webHidden/>
          </w:rPr>
          <w:tab/>
        </w:r>
        <w:r>
          <w:rPr>
            <w:webHidden/>
          </w:rPr>
          <w:fldChar w:fldCharType="begin"/>
        </w:r>
        <w:r>
          <w:rPr>
            <w:webHidden/>
          </w:rPr>
          <w:instrText xml:space="preserve"> PAGEREF _Toc213772270 \h </w:instrText>
        </w:r>
        <w:r>
          <w:rPr>
            <w:webHidden/>
          </w:rPr>
        </w:r>
        <w:r>
          <w:rPr>
            <w:webHidden/>
          </w:rPr>
          <w:fldChar w:fldCharType="separate"/>
        </w:r>
        <w:r>
          <w:rPr>
            <w:webHidden/>
          </w:rPr>
          <w:t>395</w:t>
        </w:r>
        <w:r>
          <w:rPr>
            <w:webHidden/>
          </w:rPr>
          <w:fldChar w:fldCharType="end"/>
        </w:r>
      </w:hyperlink>
    </w:p>
    <w:p w14:paraId="2DCAEAA2" w14:textId="02DB836A" w:rsidR="00023ECF" w:rsidRDefault="00023ECF">
      <w:pPr>
        <w:pStyle w:val="TOC4"/>
        <w:rPr>
          <w:rFonts w:asciiTheme="minorHAnsi" w:eastAsiaTheme="minorEastAsia" w:hAnsiTheme="minorHAnsi" w:cstheme="minorBidi"/>
          <w:bCs w:val="0"/>
          <w:kern w:val="2"/>
          <w:szCs w:val="24"/>
          <w14:ligatures w14:val="standardContextual"/>
        </w:rPr>
      </w:pPr>
      <w:hyperlink w:anchor="_Toc213772271" w:history="1">
        <w:r w:rsidRPr="00AC173C">
          <w:rPr>
            <w:rStyle w:val="Hyperlink"/>
          </w:rPr>
          <w:t>D.2.6.2</w:t>
        </w:r>
        <w:r>
          <w:rPr>
            <w:rFonts w:asciiTheme="minorHAnsi" w:eastAsiaTheme="minorEastAsia" w:hAnsiTheme="minorHAnsi" w:cstheme="minorBidi"/>
            <w:bCs w:val="0"/>
            <w:kern w:val="2"/>
            <w:szCs w:val="24"/>
            <w14:ligatures w14:val="standardContextual"/>
          </w:rPr>
          <w:tab/>
        </w:r>
        <w:r w:rsidRPr="00AC173C">
          <w:rPr>
            <w:rStyle w:val="Hyperlink"/>
          </w:rPr>
          <w:t>Maintenance Period</w:t>
        </w:r>
        <w:r>
          <w:rPr>
            <w:webHidden/>
          </w:rPr>
          <w:tab/>
        </w:r>
        <w:r>
          <w:rPr>
            <w:webHidden/>
          </w:rPr>
          <w:fldChar w:fldCharType="begin"/>
        </w:r>
        <w:r>
          <w:rPr>
            <w:webHidden/>
          </w:rPr>
          <w:instrText xml:space="preserve"> PAGEREF _Toc213772271 \h </w:instrText>
        </w:r>
        <w:r>
          <w:rPr>
            <w:webHidden/>
          </w:rPr>
        </w:r>
        <w:r>
          <w:rPr>
            <w:webHidden/>
          </w:rPr>
          <w:fldChar w:fldCharType="separate"/>
        </w:r>
        <w:r>
          <w:rPr>
            <w:webHidden/>
          </w:rPr>
          <w:t>395</w:t>
        </w:r>
        <w:r>
          <w:rPr>
            <w:webHidden/>
          </w:rPr>
          <w:fldChar w:fldCharType="end"/>
        </w:r>
      </w:hyperlink>
    </w:p>
    <w:p w14:paraId="5C98119B" w14:textId="3DBDD17B" w:rsidR="00023ECF" w:rsidRDefault="00023ECF">
      <w:pPr>
        <w:pStyle w:val="TOC4"/>
        <w:rPr>
          <w:rFonts w:asciiTheme="minorHAnsi" w:eastAsiaTheme="minorEastAsia" w:hAnsiTheme="minorHAnsi" w:cstheme="minorBidi"/>
          <w:bCs w:val="0"/>
          <w:kern w:val="2"/>
          <w:szCs w:val="24"/>
          <w14:ligatures w14:val="standardContextual"/>
        </w:rPr>
      </w:pPr>
      <w:hyperlink w:anchor="_Toc213772272" w:history="1">
        <w:r w:rsidRPr="00AC173C">
          <w:rPr>
            <w:rStyle w:val="Hyperlink"/>
          </w:rPr>
          <w:t>D.2.6.3</w:t>
        </w:r>
        <w:r>
          <w:rPr>
            <w:rFonts w:asciiTheme="minorHAnsi" w:eastAsiaTheme="minorEastAsia" w:hAnsiTheme="minorHAnsi" w:cstheme="minorBidi"/>
            <w:bCs w:val="0"/>
            <w:kern w:val="2"/>
            <w:szCs w:val="24"/>
            <w14:ligatures w14:val="standardContextual"/>
          </w:rPr>
          <w:tab/>
        </w:r>
        <w:r w:rsidRPr="00AC173C">
          <w:rPr>
            <w:rStyle w:val="Hyperlink"/>
          </w:rPr>
          <w:t>Average VOM Cost</w:t>
        </w:r>
        <w:r>
          <w:rPr>
            <w:webHidden/>
          </w:rPr>
          <w:tab/>
        </w:r>
        <w:r>
          <w:rPr>
            <w:webHidden/>
          </w:rPr>
          <w:fldChar w:fldCharType="begin"/>
        </w:r>
        <w:r>
          <w:rPr>
            <w:webHidden/>
          </w:rPr>
          <w:instrText xml:space="preserve"> PAGEREF _Toc213772272 \h </w:instrText>
        </w:r>
        <w:r>
          <w:rPr>
            <w:webHidden/>
          </w:rPr>
        </w:r>
        <w:r>
          <w:rPr>
            <w:webHidden/>
          </w:rPr>
          <w:fldChar w:fldCharType="separate"/>
        </w:r>
        <w:r>
          <w:rPr>
            <w:webHidden/>
          </w:rPr>
          <w:t>396</w:t>
        </w:r>
        <w:r>
          <w:rPr>
            <w:webHidden/>
          </w:rPr>
          <w:fldChar w:fldCharType="end"/>
        </w:r>
      </w:hyperlink>
    </w:p>
    <w:p w14:paraId="50E84F75" w14:textId="2561D46A" w:rsidR="00023ECF" w:rsidRDefault="00023ECF">
      <w:pPr>
        <w:pStyle w:val="TOC3"/>
        <w:rPr>
          <w:rFonts w:asciiTheme="minorHAnsi" w:eastAsiaTheme="minorEastAsia" w:hAnsiTheme="minorHAnsi" w:cstheme="minorBidi"/>
          <w:bCs w:val="0"/>
          <w:kern w:val="2"/>
          <w:szCs w:val="24"/>
          <w14:ligatures w14:val="standardContextual"/>
        </w:rPr>
      </w:pPr>
      <w:hyperlink w:anchor="_Toc213772273" w:history="1">
        <w:r w:rsidRPr="00AC173C">
          <w:rPr>
            <w:rStyle w:val="Hyperlink"/>
          </w:rPr>
          <w:t>D.2.7</w:t>
        </w:r>
        <w:r>
          <w:rPr>
            <w:rFonts w:asciiTheme="minorHAnsi" w:eastAsiaTheme="minorEastAsia" w:hAnsiTheme="minorHAnsi" w:cstheme="minorBidi"/>
            <w:bCs w:val="0"/>
            <w:kern w:val="2"/>
            <w:szCs w:val="24"/>
            <w14:ligatures w14:val="standardContextual"/>
          </w:rPr>
          <w:tab/>
        </w:r>
        <w:r w:rsidRPr="00AC173C">
          <w:rPr>
            <w:rStyle w:val="Hyperlink"/>
          </w:rPr>
          <w:t>Mitigated Energy Offer Curve</w:t>
        </w:r>
        <w:r>
          <w:rPr>
            <w:webHidden/>
          </w:rPr>
          <w:tab/>
        </w:r>
        <w:r>
          <w:rPr>
            <w:webHidden/>
          </w:rPr>
          <w:fldChar w:fldCharType="begin"/>
        </w:r>
        <w:r>
          <w:rPr>
            <w:webHidden/>
          </w:rPr>
          <w:instrText xml:space="preserve"> PAGEREF _Toc213772273 \h </w:instrText>
        </w:r>
        <w:r>
          <w:rPr>
            <w:webHidden/>
          </w:rPr>
        </w:r>
        <w:r>
          <w:rPr>
            <w:webHidden/>
          </w:rPr>
          <w:fldChar w:fldCharType="separate"/>
        </w:r>
        <w:r>
          <w:rPr>
            <w:webHidden/>
          </w:rPr>
          <w:t>397</w:t>
        </w:r>
        <w:r>
          <w:rPr>
            <w:webHidden/>
          </w:rPr>
          <w:fldChar w:fldCharType="end"/>
        </w:r>
      </w:hyperlink>
    </w:p>
    <w:p w14:paraId="7B3D27C6" w14:textId="76D752BC" w:rsidR="00023ECF" w:rsidRDefault="00023ECF">
      <w:pPr>
        <w:pStyle w:val="TOC3"/>
        <w:rPr>
          <w:rFonts w:asciiTheme="minorHAnsi" w:eastAsiaTheme="minorEastAsia" w:hAnsiTheme="minorHAnsi" w:cstheme="minorBidi"/>
          <w:bCs w:val="0"/>
          <w:kern w:val="2"/>
          <w:szCs w:val="24"/>
          <w14:ligatures w14:val="standardContextual"/>
        </w:rPr>
      </w:pPr>
      <w:hyperlink w:anchor="_Toc213772274" w:history="1">
        <w:r w:rsidRPr="00AC173C">
          <w:rPr>
            <w:rStyle w:val="Hyperlink"/>
          </w:rPr>
          <w:t>D.2.8</w:t>
        </w:r>
        <w:r>
          <w:rPr>
            <w:rFonts w:asciiTheme="minorHAnsi" w:eastAsiaTheme="minorEastAsia" w:hAnsiTheme="minorHAnsi" w:cstheme="minorBidi"/>
            <w:bCs w:val="0"/>
            <w:kern w:val="2"/>
            <w:szCs w:val="24"/>
            <w14:ligatures w14:val="standardContextual"/>
          </w:rPr>
          <w:tab/>
        </w:r>
        <w:r w:rsidRPr="00AC173C">
          <w:rPr>
            <w:rStyle w:val="Hyperlink"/>
          </w:rPr>
          <w:t>Mitigated Start- Up Offer</w:t>
        </w:r>
        <w:r>
          <w:rPr>
            <w:webHidden/>
          </w:rPr>
          <w:tab/>
        </w:r>
        <w:r>
          <w:rPr>
            <w:webHidden/>
          </w:rPr>
          <w:fldChar w:fldCharType="begin"/>
        </w:r>
        <w:r>
          <w:rPr>
            <w:webHidden/>
          </w:rPr>
          <w:instrText xml:space="preserve"> PAGEREF _Toc213772274 \h </w:instrText>
        </w:r>
        <w:r>
          <w:rPr>
            <w:webHidden/>
          </w:rPr>
        </w:r>
        <w:r>
          <w:rPr>
            <w:webHidden/>
          </w:rPr>
          <w:fldChar w:fldCharType="separate"/>
        </w:r>
        <w:r>
          <w:rPr>
            <w:webHidden/>
          </w:rPr>
          <w:t>398</w:t>
        </w:r>
        <w:r>
          <w:rPr>
            <w:webHidden/>
          </w:rPr>
          <w:fldChar w:fldCharType="end"/>
        </w:r>
      </w:hyperlink>
    </w:p>
    <w:p w14:paraId="742BC2D3" w14:textId="09A984AA" w:rsidR="00023ECF" w:rsidRDefault="00023ECF">
      <w:pPr>
        <w:pStyle w:val="TOC4"/>
        <w:rPr>
          <w:rFonts w:asciiTheme="minorHAnsi" w:eastAsiaTheme="minorEastAsia" w:hAnsiTheme="minorHAnsi" w:cstheme="minorBidi"/>
          <w:bCs w:val="0"/>
          <w:kern w:val="2"/>
          <w:szCs w:val="24"/>
          <w14:ligatures w14:val="standardContextual"/>
        </w:rPr>
      </w:pPr>
      <w:hyperlink w:anchor="_Toc213772275" w:history="1">
        <w:r w:rsidRPr="00AC173C">
          <w:rPr>
            <w:rStyle w:val="Hyperlink"/>
          </w:rPr>
          <w:t>D.2.8.1</w:t>
        </w:r>
        <w:r>
          <w:rPr>
            <w:rFonts w:asciiTheme="minorHAnsi" w:eastAsiaTheme="minorEastAsia" w:hAnsiTheme="minorHAnsi" w:cstheme="minorBidi"/>
            <w:bCs w:val="0"/>
            <w:kern w:val="2"/>
            <w:szCs w:val="24"/>
            <w14:ligatures w14:val="standardContextual"/>
          </w:rPr>
          <w:tab/>
        </w:r>
        <w:r w:rsidRPr="00AC173C">
          <w:rPr>
            <w:rStyle w:val="Hyperlink"/>
          </w:rPr>
          <w:t>Start- Up Offer Definitions</w:t>
        </w:r>
        <w:r>
          <w:rPr>
            <w:webHidden/>
          </w:rPr>
          <w:tab/>
        </w:r>
        <w:r>
          <w:rPr>
            <w:webHidden/>
          </w:rPr>
          <w:fldChar w:fldCharType="begin"/>
        </w:r>
        <w:r>
          <w:rPr>
            <w:webHidden/>
          </w:rPr>
          <w:instrText xml:space="preserve"> PAGEREF _Toc213772275 \h </w:instrText>
        </w:r>
        <w:r>
          <w:rPr>
            <w:webHidden/>
          </w:rPr>
        </w:r>
        <w:r>
          <w:rPr>
            <w:webHidden/>
          </w:rPr>
          <w:fldChar w:fldCharType="separate"/>
        </w:r>
        <w:r>
          <w:rPr>
            <w:webHidden/>
          </w:rPr>
          <w:t>398</w:t>
        </w:r>
        <w:r>
          <w:rPr>
            <w:webHidden/>
          </w:rPr>
          <w:fldChar w:fldCharType="end"/>
        </w:r>
      </w:hyperlink>
    </w:p>
    <w:p w14:paraId="4DDE0812" w14:textId="58F885F2" w:rsidR="00023ECF" w:rsidRDefault="00023ECF">
      <w:pPr>
        <w:pStyle w:val="TOC3"/>
        <w:rPr>
          <w:rFonts w:asciiTheme="minorHAnsi" w:eastAsiaTheme="minorEastAsia" w:hAnsiTheme="minorHAnsi" w:cstheme="minorBidi"/>
          <w:bCs w:val="0"/>
          <w:kern w:val="2"/>
          <w:szCs w:val="24"/>
          <w14:ligatures w14:val="standardContextual"/>
        </w:rPr>
      </w:pPr>
      <w:hyperlink w:anchor="_Toc213772276" w:history="1">
        <w:r w:rsidRPr="00AC173C">
          <w:rPr>
            <w:rStyle w:val="Hyperlink"/>
          </w:rPr>
          <w:t>D.2.9</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_Toc213772276 \h </w:instrText>
        </w:r>
        <w:r>
          <w:rPr>
            <w:webHidden/>
          </w:rPr>
        </w:r>
        <w:r>
          <w:rPr>
            <w:webHidden/>
          </w:rPr>
          <w:fldChar w:fldCharType="separate"/>
        </w:r>
        <w:r>
          <w:rPr>
            <w:webHidden/>
          </w:rPr>
          <w:t>400</w:t>
        </w:r>
        <w:r>
          <w:rPr>
            <w:webHidden/>
          </w:rPr>
          <w:fldChar w:fldCharType="end"/>
        </w:r>
      </w:hyperlink>
    </w:p>
    <w:p w14:paraId="59E87846" w14:textId="577E09D3" w:rsidR="00023ECF" w:rsidRDefault="00023ECF">
      <w:pPr>
        <w:pStyle w:val="TOC4"/>
        <w:rPr>
          <w:rFonts w:asciiTheme="minorHAnsi" w:eastAsiaTheme="minorEastAsia" w:hAnsiTheme="minorHAnsi" w:cstheme="minorBidi"/>
          <w:bCs w:val="0"/>
          <w:kern w:val="2"/>
          <w:szCs w:val="24"/>
          <w14:ligatures w14:val="standardContextual"/>
        </w:rPr>
      </w:pPr>
      <w:hyperlink w:anchor="_Toc213772277" w:history="1">
        <w:r w:rsidRPr="00AC173C">
          <w:rPr>
            <w:rStyle w:val="Hyperlink"/>
          </w:rPr>
          <w:t>D.2.9.1</w:t>
        </w:r>
        <w:r>
          <w:rPr>
            <w:rFonts w:asciiTheme="minorHAnsi" w:eastAsiaTheme="minorEastAsia" w:hAnsiTheme="minorHAnsi" w:cstheme="minorBidi"/>
            <w:bCs w:val="0"/>
            <w:kern w:val="2"/>
            <w:szCs w:val="24"/>
            <w14:ligatures w14:val="standardContextual"/>
          </w:rPr>
          <w:tab/>
        </w:r>
        <w:r w:rsidRPr="00AC173C">
          <w:rPr>
            <w:rStyle w:val="Hyperlink"/>
          </w:rPr>
          <w:t>No-Load Definitions</w:t>
        </w:r>
        <w:r>
          <w:rPr>
            <w:webHidden/>
          </w:rPr>
          <w:tab/>
        </w:r>
        <w:r>
          <w:rPr>
            <w:webHidden/>
          </w:rPr>
          <w:fldChar w:fldCharType="begin"/>
        </w:r>
        <w:r>
          <w:rPr>
            <w:webHidden/>
          </w:rPr>
          <w:instrText xml:space="preserve"> PAGEREF _Toc213772277 \h </w:instrText>
        </w:r>
        <w:r>
          <w:rPr>
            <w:webHidden/>
          </w:rPr>
        </w:r>
        <w:r>
          <w:rPr>
            <w:webHidden/>
          </w:rPr>
          <w:fldChar w:fldCharType="separate"/>
        </w:r>
        <w:r>
          <w:rPr>
            <w:webHidden/>
          </w:rPr>
          <w:t>400</w:t>
        </w:r>
        <w:r>
          <w:rPr>
            <w:webHidden/>
          </w:rPr>
          <w:fldChar w:fldCharType="end"/>
        </w:r>
      </w:hyperlink>
    </w:p>
    <w:p w14:paraId="465AF82F" w14:textId="0DD04CFC" w:rsidR="00023ECF" w:rsidRDefault="00023ECF">
      <w:pPr>
        <w:pStyle w:val="TOC4"/>
        <w:rPr>
          <w:rFonts w:asciiTheme="minorHAnsi" w:eastAsiaTheme="minorEastAsia" w:hAnsiTheme="minorHAnsi" w:cstheme="minorBidi"/>
          <w:bCs w:val="0"/>
          <w:kern w:val="2"/>
          <w:szCs w:val="24"/>
          <w14:ligatures w14:val="standardContextual"/>
        </w:rPr>
      </w:pPr>
      <w:hyperlink w:anchor="_Toc213772278" w:history="1">
        <w:r w:rsidRPr="00AC173C">
          <w:rPr>
            <w:rStyle w:val="Hyperlink"/>
          </w:rPr>
          <w:t>D.2.9.2</w:t>
        </w:r>
        <w:r>
          <w:rPr>
            <w:rFonts w:asciiTheme="minorHAnsi" w:eastAsiaTheme="minorEastAsia" w:hAnsiTheme="minorHAnsi" w:cstheme="minorBidi"/>
            <w:bCs w:val="0"/>
            <w:kern w:val="2"/>
            <w:szCs w:val="24"/>
            <w14:ligatures w14:val="standardContextual"/>
          </w:rPr>
          <w:tab/>
        </w:r>
        <w:r w:rsidRPr="00AC173C">
          <w:rPr>
            <w:rStyle w:val="Hyperlink"/>
          </w:rPr>
          <w:t>No-Load Fuel</w:t>
        </w:r>
        <w:r>
          <w:rPr>
            <w:webHidden/>
          </w:rPr>
          <w:tab/>
        </w:r>
        <w:r>
          <w:rPr>
            <w:webHidden/>
          </w:rPr>
          <w:fldChar w:fldCharType="begin"/>
        </w:r>
        <w:r>
          <w:rPr>
            <w:webHidden/>
          </w:rPr>
          <w:instrText xml:space="preserve"> PAGEREF _Toc213772278 \h </w:instrText>
        </w:r>
        <w:r>
          <w:rPr>
            <w:webHidden/>
          </w:rPr>
        </w:r>
        <w:r>
          <w:rPr>
            <w:webHidden/>
          </w:rPr>
          <w:fldChar w:fldCharType="separate"/>
        </w:r>
        <w:r>
          <w:rPr>
            <w:webHidden/>
          </w:rPr>
          <w:t>400</w:t>
        </w:r>
        <w:r>
          <w:rPr>
            <w:webHidden/>
          </w:rPr>
          <w:fldChar w:fldCharType="end"/>
        </w:r>
      </w:hyperlink>
    </w:p>
    <w:p w14:paraId="2AF00C5A" w14:textId="51F3597A" w:rsidR="00023ECF" w:rsidRDefault="00023ECF">
      <w:pPr>
        <w:pStyle w:val="TOC3"/>
        <w:rPr>
          <w:rFonts w:asciiTheme="minorHAnsi" w:eastAsiaTheme="minorEastAsia" w:hAnsiTheme="minorHAnsi" w:cstheme="minorBidi"/>
          <w:bCs w:val="0"/>
          <w:kern w:val="2"/>
          <w:szCs w:val="24"/>
          <w14:ligatures w14:val="standardContextual"/>
        </w:rPr>
      </w:pPr>
      <w:hyperlink w:anchor="_Toc213772279" w:history="1">
        <w:r w:rsidRPr="00AC173C">
          <w:rPr>
            <w:rStyle w:val="Hyperlink"/>
          </w:rPr>
          <w:t>D.2.10</w:t>
        </w:r>
        <w:r>
          <w:rPr>
            <w:rFonts w:asciiTheme="minorHAnsi" w:eastAsiaTheme="minorEastAsia" w:hAnsiTheme="minorHAnsi" w:cstheme="minorBidi"/>
            <w:bCs w:val="0"/>
            <w:kern w:val="2"/>
            <w:szCs w:val="24"/>
            <w14:ligatures w14:val="standardContextual"/>
          </w:rPr>
          <w:tab/>
        </w:r>
        <w:r w:rsidRPr="00AC173C">
          <w:rPr>
            <w:rStyle w:val="Hyperlink"/>
          </w:rPr>
          <w:t>Mitigated Flexibility Reserve Products Offer Curve</w:t>
        </w:r>
        <w:r>
          <w:rPr>
            <w:webHidden/>
          </w:rPr>
          <w:tab/>
        </w:r>
        <w:r>
          <w:rPr>
            <w:webHidden/>
          </w:rPr>
          <w:fldChar w:fldCharType="begin"/>
        </w:r>
        <w:r>
          <w:rPr>
            <w:webHidden/>
          </w:rPr>
          <w:instrText xml:space="preserve"> PAGEREF _Toc213772279 \h </w:instrText>
        </w:r>
        <w:r>
          <w:rPr>
            <w:webHidden/>
          </w:rPr>
        </w:r>
        <w:r>
          <w:rPr>
            <w:webHidden/>
          </w:rPr>
          <w:fldChar w:fldCharType="separate"/>
        </w:r>
        <w:r>
          <w:rPr>
            <w:webHidden/>
          </w:rPr>
          <w:t>402</w:t>
        </w:r>
        <w:r>
          <w:rPr>
            <w:webHidden/>
          </w:rPr>
          <w:fldChar w:fldCharType="end"/>
        </w:r>
      </w:hyperlink>
    </w:p>
    <w:p w14:paraId="5616940A" w14:textId="7BE0D550" w:rsidR="00023ECF" w:rsidRDefault="00023ECF">
      <w:pPr>
        <w:pStyle w:val="TOC3"/>
        <w:rPr>
          <w:rFonts w:asciiTheme="minorHAnsi" w:eastAsiaTheme="minorEastAsia" w:hAnsiTheme="minorHAnsi" w:cstheme="minorBidi"/>
          <w:bCs w:val="0"/>
          <w:kern w:val="2"/>
          <w:szCs w:val="24"/>
          <w14:ligatures w14:val="standardContextual"/>
        </w:rPr>
      </w:pPr>
      <w:hyperlink w:anchor="_Toc213772280" w:history="1">
        <w:r w:rsidRPr="00AC173C">
          <w:rPr>
            <w:rStyle w:val="Hyperlink"/>
          </w:rPr>
          <w:t>D.2.11</w:t>
        </w:r>
        <w:r>
          <w:rPr>
            <w:rFonts w:asciiTheme="minorHAnsi" w:eastAsiaTheme="minorEastAsia" w:hAnsiTheme="minorHAnsi" w:cstheme="minorBidi"/>
            <w:bCs w:val="0"/>
            <w:kern w:val="2"/>
            <w:szCs w:val="24"/>
            <w14:ligatures w14:val="standardContextual"/>
          </w:rPr>
          <w:tab/>
        </w:r>
        <w:r w:rsidRPr="00AC173C">
          <w:rPr>
            <w:rStyle w:val="Hyperlink"/>
          </w:rPr>
          <w:t>Nuclear Heat Rate</w:t>
        </w:r>
        <w:r>
          <w:rPr>
            <w:webHidden/>
          </w:rPr>
          <w:tab/>
        </w:r>
        <w:r>
          <w:rPr>
            <w:webHidden/>
          </w:rPr>
          <w:fldChar w:fldCharType="begin"/>
        </w:r>
        <w:r>
          <w:rPr>
            <w:webHidden/>
          </w:rPr>
          <w:instrText xml:space="preserve"> PAGEREF _Toc213772280 \h </w:instrText>
        </w:r>
        <w:r>
          <w:rPr>
            <w:webHidden/>
          </w:rPr>
        </w:r>
        <w:r>
          <w:rPr>
            <w:webHidden/>
          </w:rPr>
          <w:fldChar w:fldCharType="separate"/>
        </w:r>
        <w:r>
          <w:rPr>
            <w:webHidden/>
          </w:rPr>
          <w:t>404</w:t>
        </w:r>
        <w:r>
          <w:rPr>
            <w:webHidden/>
          </w:rPr>
          <w:fldChar w:fldCharType="end"/>
        </w:r>
      </w:hyperlink>
    </w:p>
    <w:p w14:paraId="3B3A1814" w14:textId="551C6177" w:rsidR="00023ECF" w:rsidRDefault="00023ECF">
      <w:pPr>
        <w:pStyle w:val="TOC3"/>
        <w:rPr>
          <w:rFonts w:asciiTheme="minorHAnsi" w:eastAsiaTheme="minorEastAsia" w:hAnsiTheme="minorHAnsi" w:cstheme="minorBidi"/>
          <w:bCs w:val="0"/>
          <w:kern w:val="2"/>
          <w:szCs w:val="24"/>
          <w14:ligatures w14:val="standardContextual"/>
        </w:rPr>
      </w:pPr>
      <w:hyperlink w:anchor="_Toc213772281" w:history="1">
        <w:r w:rsidRPr="00AC173C">
          <w:rPr>
            <w:rStyle w:val="Hyperlink"/>
          </w:rPr>
          <w:t>D.2.12</w:t>
        </w:r>
        <w:r>
          <w:rPr>
            <w:rFonts w:asciiTheme="minorHAnsi" w:eastAsiaTheme="minorEastAsia" w:hAnsiTheme="minorHAnsi" w:cstheme="minorBidi"/>
            <w:bCs w:val="0"/>
            <w:kern w:val="2"/>
            <w:szCs w:val="24"/>
            <w14:ligatures w14:val="standardContextual"/>
          </w:rPr>
          <w:tab/>
        </w:r>
        <w:r w:rsidRPr="00AC173C">
          <w:rPr>
            <w:rStyle w:val="Hyperlink"/>
          </w:rPr>
          <w:t>Performance Factor</w:t>
        </w:r>
        <w:r>
          <w:rPr>
            <w:webHidden/>
          </w:rPr>
          <w:tab/>
        </w:r>
        <w:r>
          <w:rPr>
            <w:webHidden/>
          </w:rPr>
          <w:fldChar w:fldCharType="begin"/>
        </w:r>
        <w:r>
          <w:rPr>
            <w:webHidden/>
          </w:rPr>
          <w:instrText xml:space="preserve"> PAGEREF _Toc213772281 \h </w:instrText>
        </w:r>
        <w:r>
          <w:rPr>
            <w:webHidden/>
          </w:rPr>
        </w:r>
        <w:r>
          <w:rPr>
            <w:webHidden/>
          </w:rPr>
          <w:fldChar w:fldCharType="separate"/>
        </w:r>
        <w:r>
          <w:rPr>
            <w:webHidden/>
          </w:rPr>
          <w:t>405</w:t>
        </w:r>
        <w:r>
          <w:rPr>
            <w:webHidden/>
          </w:rPr>
          <w:fldChar w:fldCharType="end"/>
        </w:r>
      </w:hyperlink>
    </w:p>
    <w:p w14:paraId="3EBA85F1" w14:textId="2B3667A4" w:rsidR="00023ECF" w:rsidRDefault="00023ECF">
      <w:pPr>
        <w:pStyle w:val="TOC3"/>
        <w:rPr>
          <w:rFonts w:asciiTheme="minorHAnsi" w:eastAsiaTheme="minorEastAsia" w:hAnsiTheme="minorHAnsi" w:cstheme="minorBidi"/>
          <w:bCs w:val="0"/>
          <w:kern w:val="2"/>
          <w:szCs w:val="24"/>
          <w14:ligatures w14:val="standardContextual"/>
        </w:rPr>
      </w:pPr>
      <w:hyperlink w:anchor="_Toc213772282" w:history="1">
        <w:r w:rsidRPr="00AC173C">
          <w:rPr>
            <w:rStyle w:val="Hyperlink"/>
          </w:rPr>
          <w:t>D.2.13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_Toc213772282 \h </w:instrText>
        </w:r>
        <w:r>
          <w:rPr>
            <w:webHidden/>
          </w:rPr>
        </w:r>
        <w:r>
          <w:rPr>
            <w:webHidden/>
          </w:rPr>
          <w:fldChar w:fldCharType="separate"/>
        </w:r>
        <w:r>
          <w:rPr>
            <w:webHidden/>
          </w:rPr>
          <w:t>405</w:t>
        </w:r>
        <w:r>
          <w:rPr>
            <w:webHidden/>
          </w:rPr>
          <w:fldChar w:fldCharType="end"/>
        </w:r>
      </w:hyperlink>
    </w:p>
    <w:p w14:paraId="14B13DC1" w14:textId="74386E79" w:rsidR="00023ECF" w:rsidRDefault="00023ECF">
      <w:pPr>
        <w:pStyle w:val="TOC4"/>
        <w:rPr>
          <w:rFonts w:asciiTheme="minorHAnsi" w:eastAsiaTheme="minorEastAsia" w:hAnsiTheme="minorHAnsi" w:cstheme="minorBidi"/>
          <w:bCs w:val="0"/>
          <w:kern w:val="2"/>
          <w:szCs w:val="24"/>
          <w14:ligatures w14:val="standardContextual"/>
        </w:rPr>
      </w:pPr>
      <w:hyperlink w:anchor="_Toc213772283" w:history="1">
        <w:r w:rsidRPr="00AC173C">
          <w:rPr>
            <w:rStyle w:val="Hyperlink"/>
          </w:rPr>
          <w:t>D.2.13.1</w:t>
        </w:r>
        <w:r>
          <w:rPr>
            <w:rFonts w:asciiTheme="minorHAnsi" w:eastAsiaTheme="minorEastAsia" w:hAnsiTheme="minorHAnsi" w:cstheme="minorBidi"/>
            <w:bCs w:val="0"/>
            <w:kern w:val="2"/>
            <w:szCs w:val="24"/>
            <w14:ligatures w14:val="standardContextual"/>
          </w:rPr>
          <w:tab/>
        </w:r>
        <w:r w:rsidRPr="00AC173C">
          <w:rPr>
            <w:rStyle w:val="Hyperlink"/>
          </w:rPr>
          <w:t>Basic Nuclear Fuel Cost</w:t>
        </w:r>
        <w:r>
          <w:rPr>
            <w:webHidden/>
          </w:rPr>
          <w:tab/>
        </w:r>
        <w:r>
          <w:rPr>
            <w:webHidden/>
          </w:rPr>
          <w:fldChar w:fldCharType="begin"/>
        </w:r>
        <w:r>
          <w:rPr>
            <w:webHidden/>
          </w:rPr>
          <w:instrText xml:space="preserve"> PAGEREF _Toc213772283 \h </w:instrText>
        </w:r>
        <w:r>
          <w:rPr>
            <w:webHidden/>
          </w:rPr>
        </w:r>
        <w:r>
          <w:rPr>
            <w:webHidden/>
          </w:rPr>
          <w:fldChar w:fldCharType="separate"/>
        </w:r>
        <w:r>
          <w:rPr>
            <w:webHidden/>
          </w:rPr>
          <w:t>405</w:t>
        </w:r>
        <w:r>
          <w:rPr>
            <w:webHidden/>
          </w:rPr>
          <w:fldChar w:fldCharType="end"/>
        </w:r>
      </w:hyperlink>
    </w:p>
    <w:p w14:paraId="6E9AC85D" w14:textId="110C61F8" w:rsidR="00023ECF" w:rsidRDefault="00023ECF">
      <w:pPr>
        <w:pStyle w:val="TOC4"/>
        <w:rPr>
          <w:rFonts w:asciiTheme="minorHAnsi" w:eastAsiaTheme="minorEastAsia" w:hAnsiTheme="minorHAnsi" w:cstheme="minorBidi"/>
          <w:bCs w:val="0"/>
          <w:kern w:val="2"/>
          <w:szCs w:val="24"/>
          <w14:ligatures w14:val="standardContextual"/>
        </w:rPr>
      </w:pPr>
      <w:hyperlink w:anchor="_Toc213772284" w:history="1">
        <w:r w:rsidRPr="00AC173C">
          <w:rPr>
            <w:rStyle w:val="Hyperlink"/>
          </w:rPr>
          <w:t>D.2.13.2</w:t>
        </w:r>
        <w:r>
          <w:rPr>
            <w:rFonts w:asciiTheme="minorHAnsi" w:eastAsiaTheme="minorEastAsia" w:hAnsiTheme="minorHAnsi" w:cstheme="minorBidi"/>
            <w:bCs w:val="0"/>
            <w:kern w:val="2"/>
            <w:szCs w:val="24"/>
            <w14:ligatures w14:val="standardContextual"/>
          </w:rPr>
          <w:tab/>
        </w:r>
        <w:r w:rsidRPr="00AC173C">
          <w:rPr>
            <w:rStyle w:val="Hyperlink"/>
          </w:rPr>
          <w:t>Total Fuel-Related Costs for Nuclear Units</w:t>
        </w:r>
        <w:r>
          <w:rPr>
            <w:webHidden/>
          </w:rPr>
          <w:tab/>
        </w:r>
        <w:r>
          <w:rPr>
            <w:webHidden/>
          </w:rPr>
          <w:fldChar w:fldCharType="begin"/>
        </w:r>
        <w:r>
          <w:rPr>
            <w:webHidden/>
          </w:rPr>
          <w:instrText xml:space="preserve"> PAGEREF _Toc213772284 \h </w:instrText>
        </w:r>
        <w:r>
          <w:rPr>
            <w:webHidden/>
          </w:rPr>
        </w:r>
        <w:r>
          <w:rPr>
            <w:webHidden/>
          </w:rPr>
          <w:fldChar w:fldCharType="separate"/>
        </w:r>
        <w:r>
          <w:rPr>
            <w:webHidden/>
          </w:rPr>
          <w:t>405</w:t>
        </w:r>
        <w:r>
          <w:rPr>
            <w:webHidden/>
          </w:rPr>
          <w:fldChar w:fldCharType="end"/>
        </w:r>
      </w:hyperlink>
    </w:p>
    <w:p w14:paraId="43057AEA" w14:textId="4C14DA2A" w:rsidR="00023ECF" w:rsidRDefault="00023ECF">
      <w:pPr>
        <w:pStyle w:val="TOC3"/>
        <w:rPr>
          <w:rFonts w:asciiTheme="minorHAnsi" w:eastAsiaTheme="minorEastAsia" w:hAnsiTheme="minorHAnsi" w:cstheme="minorBidi"/>
          <w:bCs w:val="0"/>
          <w:kern w:val="2"/>
          <w:szCs w:val="24"/>
          <w14:ligatures w14:val="standardContextual"/>
        </w:rPr>
      </w:pPr>
      <w:hyperlink w:anchor="_Toc213772285" w:history="1">
        <w:r w:rsidRPr="00AC173C">
          <w:rPr>
            <w:rStyle w:val="Hyperlink"/>
          </w:rPr>
          <w:t>D.14</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_Toc213772285 \h </w:instrText>
        </w:r>
        <w:r>
          <w:rPr>
            <w:webHidden/>
          </w:rPr>
        </w:r>
        <w:r>
          <w:rPr>
            <w:webHidden/>
          </w:rPr>
          <w:fldChar w:fldCharType="separate"/>
        </w:r>
        <w:r>
          <w:rPr>
            <w:webHidden/>
          </w:rPr>
          <w:t>405</w:t>
        </w:r>
        <w:r>
          <w:rPr>
            <w:webHidden/>
          </w:rPr>
          <w:fldChar w:fldCharType="end"/>
        </w:r>
      </w:hyperlink>
    </w:p>
    <w:p w14:paraId="444948D6" w14:textId="0DCBE32A" w:rsidR="00023ECF" w:rsidRDefault="00023ECF">
      <w:pPr>
        <w:pStyle w:val="TOC4"/>
        <w:rPr>
          <w:rFonts w:asciiTheme="minorHAnsi" w:eastAsiaTheme="minorEastAsia" w:hAnsiTheme="minorHAnsi" w:cstheme="minorBidi"/>
          <w:bCs w:val="0"/>
          <w:kern w:val="2"/>
          <w:szCs w:val="24"/>
          <w14:ligatures w14:val="standardContextual"/>
        </w:rPr>
      </w:pPr>
      <w:hyperlink w:anchor="_Toc213772286" w:history="1">
        <w:r w:rsidRPr="00AC173C">
          <w:rPr>
            <w:rStyle w:val="Hyperlink"/>
          </w:rPr>
          <w:t>D.14.1</w:t>
        </w:r>
        <w:r>
          <w:rPr>
            <w:rFonts w:asciiTheme="minorHAnsi" w:eastAsiaTheme="minorEastAsia" w:hAnsiTheme="minorHAnsi" w:cstheme="minorBidi"/>
            <w:bCs w:val="0"/>
            <w:kern w:val="2"/>
            <w:szCs w:val="24"/>
            <w14:ligatures w14:val="standardContextual"/>
          </w:rPr>
          <w:tab/>
        </w:r>
        <w:r w:rsidRPr="00AC173C">
          <w:rPr>
            <w:rStyle w:val="Hyperlink"/>
          </w:rPr>
          <w:t xml:space="preserve"> Hot Start Cost</w:t>
        </w:r>
        <w:r>
          <w:rPr>
            <w:webHidden/>
          </w:rPr>
          <w:tab/>
        </w:r>
        <w:r>
          <w:rPr>
            <w:webHidden/>
          </w:rPr>
          <w:fldChar w:fldCharType="begin"/>
        </w:r>
        <w:r>
          <w:rPr>
            <w:webHidden/>
          </w:rPr>
          <w:instrText xml:space="preserve"> PAGEREF _Toc213772286 \h </w:instrText>
        </w:r>
        <w:r>
          <w:rPr>
            <w:webHidden/>
          </w:rPr>
        </w:r>
        <w:r>
          <w:rPr>
            <w:webHidden/>
          </w:rPr>
          <w:fldChar w:fldCharType="separate"/>
        </w:r>
        <w:r>
          <w:rPr>
            <w:webHidden/>
          </w:rPr>
          <w:t>406</w:t>
        </w:r>
        <w:r>
          <w:rPr>
            <w:webHidden/>
          </w:rPr>
          <w:fldChar w:fldCharType="end"/>
        </w:r>
      </w:hyperlink>
    </w:p>
    <w:p w14:paraId="4A7C0DD0" w14:textId="7DEAC262" w:rsidR="00023ECF" w:rsidRDefault="00023ECF">
      <w:pPr>
        <w:pStyle w:val="TOC4"/>
        <w:rPr>
          <w:rFonts w:asciiTheme="minorHAnsi" w:eastAsiaTheme="minorEastAsia" w:hAnsiTheme="minorHAnsi" w:cstheme="minorBidi"/>
          <w:bCs w:val="0"/>
          <w:kern w:val="2"/>
          <w:szCs w:val="24"/>
          <w14:ligatures w14:val="standardContextual"/>
        </w:rPr>
      </w:pPr>
      <w:hyperlink w:anchor="_Toc213772287" w:history="1">
        <w:r w:rsidRPr="00AC173C">
          <w:rPr>
            <w:rStyle w:val="Hyperlink"/>
          </w:rPr>
          <w:t>D.14.2</w:t>
        </w:r>
        <w:r>
          <w:rPr>
            <w:rFonts w:asciiTheme="minorHAnsi" w:eastAsiaTheme="minorEastAsia" w:hAnsiTheme="minorHAnsi" w:cstheme="minorBidi"/>
            <w:bCs w:val="0"/>
            <w:kern w:val="2"/>
            <w:szCs w:val="24"/>
            <w14:ligatures w14:val="standardContextual"/>
          </w:rPr>
          <w:tab/>
        </w:r>
        <w:r w:rsidRPr="00AC173C">
          <w:rPr>
            <w:rStyle w:val="Hyperlink"/>
          </w:rPr>
          <w:t>Intermediate Start Cost</w:t>
        </w:r>
        <w:r>
          <w:rPr>
            <w:webHidden/>
          </w:rPr>
          <w:tab/>
        </w:r>
        <w:r>
          <w:rPr>
            <w:webHidden/>
          </w:rPr>
          <w:fldChar w:fldCharType="begin"/>
        </w:r>
        <w:r>
          <w:rPr>
            <w:webHidden/>
          </w:rPr>
          <w:instrText xml:space="preserve"> PAGEREF _Toc213772287 \h </w:instrText>
        </w:r>
        <w:r>
          <w:rPr>
            <w:webHidden/>
          </w:rPr>
        </w:r>
        <w:r>
          <w:rPr>
            <w:webHidden/>
          </w:rPr>
          <w:fldChar w:fldCharType="separate"/>
        </w:r>
        <w:r>
          <w:rPr>
            <w:webHidden/>
          </w:rPr>
          <w:t>406</w:t>
        </w:r>
        <w:r>
          <w:rPr>
            <w:webHidden/>
          </w:rPr>
          <w:fldChar w:fldCharType="end"/>
        </w:r>
      </w:hyperlink>
    </w:p>
    <w:p w14:paraId="142AB6C3" w14:textId="7E2DA53B" w:rsidR="00023ECF" w:rsidRDefault="00023ECF">
      <w:pPr>
        <w:pStyle w:val="TOC4"/>
        <w:rPr>
          <w:rFonts w:asciiTheme="minorHAnsi" w:eastAsiaTheme="minorEastAsia" w:hAnsiTheme="minorHAnsi" w:cstheme="minorBidi"/>
          <w:bCs w:val="0"/>
          <w:kern w:val="2"/>
          <w:szCs w:val="24"/>
          <w14:ligatures w14:val="standardContextual"/>
        </w:rPr>
      </w:pPr>
      <w:hyperlink w:anchor="_Toc213772288" w:history="1">
        <w:r w:rsidRPr="00AC173C">
          <w:rPr>
            <w:rStyle w:val="Hyperlink"/>
          </w:rPr>
          <w:t>D.14.3</w:t>
        </w:r>
        <w:r>
          <w:rPr>
            <w:rFonts w:asciiTheme="minorHAnsi" w:eastAsiaTheme="minorEastAsia" w:hAnsiTheme="minorHAnsi" w:cstheme="minorBidi"/>
            <w:bCs w:val="0"/>
            <w:kern w:val="2"/>
            <w:szCs w:val="24"/>
            <w14:ligatures w14:val="standardContextual"/>
          </w:rPr>
          <w:tab/>
        </w:r>
        <w:r w:rsidRPr="00AC173C">
          <w:rPr>
            <w:rStyle w:val="Hyperlink"/>
          </w:rPr>
          <w:t xml:space="preserve"> Cold Start Cost</w:t>
        </w:r>
        <w:r>
          <w:rPr>
            <w:webHidden/>
          </w:rPr>
          <w:tab/>
        </w:r>
        <w:r>
          <w:rPr>
            <w:webHidden/>
          </w:rPr>
          <w:fldChar w:fldCharType="begin"/>
        </w:r>
        <w:r>
          <w:rPr>
            <w:webHidden/>
          </w:rPr>
          <w:instrText xml:space="preserve"> PAGEREF _Toc213772288 \h </w:instrText>
        </w:r>
        <w:r>
          <w:rPr>
            <w:webHidden/>
          </w:rPr>
        </w:r>
        <w:r>
          <w:rPr>
            <w:webHidden/>
          </w:rPr>
          <w:fldChar w:fldCharType="separate"/>
        </w:r>
        <w:r>
          <w:rPr>
            <w:webHidden/>
          </w:rPr>
          <w:t>406</w:t>
        </w:r>
        <w:r>
          <w:rPr>
            <w:webHidden/>
          </w:rPr>
          <w:fldChar w:fldCharType="end"/>
        </w:r>
      </w:hyperlink>
    </w:p>
    <w:p w14:paraId="45B21448" w14:textId="0DF99A4F" w:rsidR="00023ECF" w:rsidRDefault="00023ECF">
      <w:pPr>
        <w:pStyle w:val="TOC4"/>
        <w:rPr>
          <w:rFonts w:asciiTheme="minorHAnsi" w:eastAsiaTheme="minorEastAsia" w:hAnsiTheme="minorHAnsi" w:cstheme="minorBidi"/>
          <w:bCs w:val="0"/>
          <w:kern w:val="2"/>
          <w:szCs w:val="24"/>
          <w14:ligatures w14:val="standardContextual"/>
        </w:rPr>
      </w:pPr>
      <w:hyperlink w:anchor="_Toc213772289" w:history="1">
        <w:r w:rsidRPr="00AC173C">
          <w:rPr>
            <w:rStyle w:val="Hyperlink"/>
          </w:rPr>
          <w:t>D.14.4</w:t>
        </w:r>
        <w:r>
          <w:rPr>
            <w:rFonts w:asciiTheme="minorHAnsi" w:eastAsiaTheme="minorEastAsia" w:hAnsiTheme="minorHAnsi" w:cstheme="minorBidi"/>
            <w:bCs w:val="0"/>
            <w:kern w:val="2"/>
            <w:szCs w:val="24"/>
            <w14:ligatures w14:val="standardContextual"/>
          </w:rPr>
          <w:tab/>
        </w:r>
        <w:r w:rsidRPr="00AC173C">
          <w:rPr>
            <w:rStyle w:val="Hyperlink"/>
          </w:rPr>
          <w:t xml:space="preserve"> Additional Components Applied to Hot, Intermediate and Cold Start-Up Costs</w:t>
        </w:r>
        <w:r>
          <w:rPr>
            <w:webHidden/>
          </w:rPr>
          <w:tab/>
        </w:r>
        <w:r>
          <w:rPr>
            <w:webHidden/>
          </w:rPr>
          <w:fldChar w:fldCharType="begin"/>
        </w:r>
        <w:r>
          <w:rPr>
            <w:webHidden/>
          </w:rPr>
          <w:instrText xml:space="preserve"> PAGEREF _Toc213772289 \h </w:instrText>
        </w:r>
        <w:r>
          <w:rPr>
            <w:webHidden/>
          </w:rPr>
        </w:r>
        <w:r>
          <w:rPr>
            <w:webHidden/>
          </w:rPr>
          <w:fldChar w:fldCharType="separate"/>
        </w:r>
        <w:r>
          <w:rPr>
            <w:webHidden/>
          </w:rPr>
          <w:t>407</w:t>
        </w:r>
        <w:r>
          <w:rPr>
            <w:webHidden/>
          </w:rPr>
          <w:fldChar w:fldCharType="end"/>
        </w:r>
      </w:hyperlink>
    </w:p>
    <w:p w14:paraId="5BC0E5E5" w14:textId="3F33A45A" w:rsidR="00023ECF" w:rsidRDefault="00023ECF">
      <w:pPr>
        <w:pStyle w:val="TOC3"/>
        <w:rPr>
          <w:rFonts w:asciiTheme="minorHAnsi" w:eastAsiaTheme="minorEastAsia" w:hAnsiTheme="minorHAnsi" w:cstheme="minorBidi"/>
          <w:bCs w:val="0"/>
          <w:kern w:val="2"/>
          <w:szCs w:val="24"/>
          <w14:ligatures w14:val="standardContextual"/>
        </w:rPr>
      </w:pPr>
      <w:hyperlink w:anchor="_Toc213772290" w:history="1">
        <w:r w:rsidRPr="00AC173C">
          <w:rPr>
            <w:rStyle w:val="Hyperlink"/>
          </w:rPr>
          <w:t>D.15</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_Toc213772290 \h </w:instrText>
        </w:r>
        <w:r>
          <w:rPr>
            <w:webHidden/>
          </w:rPr>
        </w:r>
        <w:r>
          <w:rPr>
            <w:webHidden/>
          </w:rPr>
          <w:fldChar w:fldCharType="separate"/>
        </w:r>
        <w:r>
          <w:rPr>
            <w:webHidden/>
          </w:rPr>
          <w:t>407</w:t>
        </w:r>
        <w:r>
          <w:rPr>
            <w:webHidden/>
          </w:rPr>
          <w:fldChar w:fldCharType="end"/>
        </w:r>
      </w:hyperlink>
    </w:p>
    <w:p w14:paraId="124076EF" w14:textId="79FC2595" w:rsidR="00023ECF" w:rsidRDefault="00023ECF">
      <w:pPr>
        <w:pStyle w:val="TOC3"/>
        <w:rPr>
          <w:rFonts w:asciiTheme="minorHAnsi" w:eastAsiaTheme="minorEastAsia" w:hAnsiTheme="minorHAnsi" w:cstheme="minorBidi"/>
          <w:bCs w:val="0"/>
          <w:kern w:val="2"/>
          <w:szCs w:val="24"/>
          <w14:ligatures w14:val="standardContextual"/>
        </w:rPr>
      </w:pPr>
      <w:hyperlink w:anchor="_Toc213772291" w:history="1">
        <w:r w:rsidRPr="00AC173C">
          <w:rPr>
            <w:rStyle w:val="Hyperlink"/>
          </w:rPr>
          <w:t>D.16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_Toc213772291 \h </w:instrText>
        </w:r>
        <w:r>
          <w:rPr>
            <w:webHidden/>
          </w:rPr>
        </w:r>
        <w:r>
          <w:rPr>
            <w:webHidden/>
          </w:rPr>
          <w:fldChar w:fldCharType="separate"/>
        </w:r>
        <w:r>
          <w:rPr>
            <w:webHidden/>
          </w:rPr>
          <w:t>407</w:t>
        </w:r>
        <w:r>
          <w:rPr>
            <w:webHidden/>
          </w:rPr>
          <w:fldChar w:fldCharType="end"/>
        </w:r>
      </w:hyperlink>
    </w:p>
    <w:p w14:paraId="4E1F6226" w14:textId="3DBCCAB2" w:rsidR="00023ECF" w:rsidRDefault="00023ECF">
      <w:pPr>
        <w:pStyle w:val="TOC4"/>
        <w:rPr>
          <w:rFonts w:asciiTheme="minorHAnsi" w:eastAsiaTheme="minorEastAsia" w:hAnsiTheme="minorHAnsi" w:cstheme="minorBidi"/>
          <w:bCs w:val="0"/>
          <w:kern w:val="2"/>
          <w:szCs w:val="24"/>
          <w14:ligatures w14:val="standardContextual"/>
        </w:rPr>
      </w:pPr>
      <w:hyperlink w:anchor="_Toc213772292" w:history="1">
        <w:r w:rsidRPr="00AC173C">
          <w:rPr>
            <w:rStyle w:val="Hyperlink"/>
          </w:rPr>
          <w:t>D.16.1</w:t>
        </w:r>
        <w:r>
          <w:rPr>
            <w:rFonts w:asciiTheme="minorHAnsi" w:eastAsiaTheme="minorEastAsia" w:hAnsiTheme="minorHAnsi" w:cstheme="minorBidi"/>
            <w:bCs w:val="0"/>
            <w:kern w:val="2"/>
            <w:szCs w:val="24"/>
            <w14:ligatures w14:val="standardContextual"/>
          </w:rPr>
          <w:tab/>
        </w:r>
        <w:r w:rsidRPr="00AC173C">
          <w:rPr>
            <w:rStyle w:val="Hyperlink"/>
          </w:rPr>
          <w:t>Configuration Addition VOM Cost</w:t>
        </w:r>
        <w:r>
          <w:rPr>
            <w:webHidden/>
          </w:rPr>
          <w:tab/>
        </w:r>
        <w:r>
          <w:rPr>
            <w:webHidden/>
          </w:rPr>
          <w:fldChar w:fldCharType="begin"/>
        </w:r>
        <w:r>
          <w:rPr>
            <w:webHidden/>
          </w:rPr>
          <w:instrText xml:space="preserve"> PAGEREF _Toc213772292 \h </w:instrText>
        </w:r>
        <w:r>
          <w:rPr>
            <w:webHidden/>
          </w:rPr>
        </w:r>
        <w:r>
          <w:rPr>
            <w:webHidden/>
          </w:rPr>
          <w:fldChar w:fldCharType="separate"/>
        </w:r>
        <w:r>
          <w:rPr>
            <w:webHidden/>
          </w:rPr>
          <w:t>407</w:t>
        </w:r>
        <w:r>
          <w:rPr>
            <w:webHidden/>
          </w:rPr>
          <w:fldChar w:fldCharType="end"/>
        </w:r>
      </w:hyperlink>
    </w:p>
    <w:p w14:paraId="250535E8" w14:textId="63C2B0CE" w:rsidR="00023ECF" w:rsidRDefault="00023ECF">
      <w:pPr>
        <w:pStyle w:val="TOC4"/>
        <w:rPr>
          <w:rFonts w:asciiTheme="minorHAnsi" w:eastAsiaTheme="minorEastAsia" w:hAnsiTheme="minorHAnsi" w:cstheme="minorBidi"/>
          <w:bCs w:val="0"/>
          <w:kern w:val="2"/>
          <w:szCs w:val="24"/>
          <w14:ligatures w14:val="standardContextual"/>
        </w:rPr>
      </w:pPr>
      <w:hyperlink w:anchor="_Toc213772293" w:history="1">
        <w:r w:rsidRPr="00AC173C">
          <w:rPr>
            <w:rStyle w:val="Hyperlink"/>
          </w:rPr>
          <w:t>D.16.2</w:t>
        </w:r>
        <w:r>
          <w:rPr>
            <w:rFonts w:asciiTheme="minorHAnsi" w:eastAsiaTheme="minorEastAsia" w:hAnsiTheme="minorHAnsi" w:cstheme="minorBidi"/>
            <w:bCs w:val="0"/>
            <w:kern w:val="2"/>
            <w:szCs w:val="24"/>
            <w14:ligatures w14:val="standardContextual"/>
          </w:rPr>
          <w:tab/>
        </w:r>
        <w:r w:rsidRPr="00AC173C">
          <w:rPr>
            <w:rStyle w:val="Hyperlink"/>
          </w:rPr>
          <w:t xml:space="preserve"> Calculation of the Configuration Addition VOM Cost:</w:t>
        </w:r>
        <w:r>
          <w:rPr>
            <w:webHidden/>
          </w:rPr>
          <w:tab/>
        </w:r>
        <w:r>
          <w:rPr>
            <w:webHidden/>
          </w:rPr>
          <w:fldChar w:fldCharType="begin"/>
        </w:r>
        <w:r>
          <w:rPr>
            <w:webHidden/>
          </w:rPr>
          <w:instrText xml:space="preserve"> PAGEREF _Toc213772293 \h </w:instrText>
        </w:r>
        <w:r>
          <w:rPr>
            <w:webHidden/>
          </w:rPr>
        </w:r>
        <w:r>
          <w:rPr>
            <w:webHidden/>
          </w:rPr>
          <w:fldChar w:fldCharType="separate"/>
        </w:r>
        <w:r>
          <w:rPr>
            <w:webHidden/>
          </w:rPr>
          <w:t>408</w:t>
        </w:r>
        <w:r>
          <w:rPr>
            <w:webHidden/>
          </w:rPr>
          <w:fldChar w:fldCharType="end"/>
        </w:r>
      </w:hyperlink>
    </w:p>
    <w:p w14:paraId="53F1C08C" w14:textId="59C28863" w:rsidR="00023ECF" w:rsidRDefault="00023ECF">
      <w:pPr>
        <w:pStyle w:val="TOC4"/>
        <w:rPr>
          <w:rFonts w:asciiTheme="minorHAnsi" w:eastAsiaTheme="minorEastAsia" w:hAnsiTheme="minorHAnsi" w:cstheme="minorBidi"/>
          <w:bCs w:val="0"/>
          <w:kern w:val="2"/>
          <w:szCs w:val="24"/>
          <w14:ligatures w14:val="standardContextual"/>
        </w:rPr>
      </w:pPr>
      <w:hyperlink w:anchor="_Toc213772294" w:history="1">
        <w:r w:rsidRPr="00AC173C">
          <w:rPr>
            <w:rStyle w:val="Hyperlink"/>
          </w:rPr>
          <w:t>D.16.3</w:t>
        </w:r>
        <w:r>
          <w:rPr>
            <w:rFonts w:asciiTheme="minorHAnsi" w:eastAsiaTheme="minorEastAsia" w:hAnsiTheme="minorHAnsi" w:cstheme="minorBidi"/>
            <w:bCs w:val="0"/>
            <w:kern w:val="2"/>
            <w:szCs w:val="24"/>
            <w14:ligatures w14:val="standardContextual"/>
          </w:rPr>
          <w:tab/>
        </w:r>
        <w:r w:rsidRPr="00AC173C">
          <w:rPr>
            <w:rStyle w:val="Hyperlink"/>
          </w:rPr>
          <w:t>Reductions in Total VOM Costs:</w:t>
        </w:r>
        <w:r>
          <w:rPr>
            <w:webHidden/>
          </w:rPr>
          <w:tab/>
        </w:r>
        <w:r>
          <w:rPr>
            <w:webHidden/>
          </w:rPr>
          <w:fldChar w:fldCharType="begin"/>
        </w:r>
        <w:r>
          <w:rPr>
            <w:webHidden/>
          </w:rPr>
          <w:instrText xml:space="preserve"> PAGEREF _Toc213772294 \h </w:instrText>
        </w:r>
        <w:r>
          <w:rPr>
            <w:webHidden/>
          </w:rPr>
        </w:r>
        <w:r>
          <w:rPr>
            <w:webHidden/>
          </w:rPr>
          <w:fldChar w:fldCharType="separate"/>
        </w:r>
        <w:r>
          <w:rPr>
            <w:webHidden/>
          </w:rPr>
          <w:t>408</w:t>
        </w:r>
        <w:r>
          <w:rPr>
            <w:webHidden/>
          </w:rPr>
          <w:fldChar w:fldCharType="end"/>
        </w:r>
      </w:hyperlink>
    </w:p>
    <w:p w14:paraId="7C74AEB2" w14:textId="201CAE3A" w:rsidR="00023ECF" w:rsidRDefault="00023ECF">
      <w:pPr>
        <w:pStyle w:val="TOC1"/>
        <w:rPr>
          <w:rFonts w:asciiTheme="minorHAnsi" w:eastAsiaTheme="minorEastAsia" w:hAnsiTheme="minorHAnsi" w:cstheme="minorBidi"/>
          <w:b w:val="0"/>
          <w:kern w:val="2"/>
          <w:szCs w:val="24"/>
          <w14:ligatures w14:val="standardContextual"/>
        </w:rPr>
      </w:pPr>
      <w:hyperlink w:anchor="_Toc213772295" w:history="1">
        <w:r w:rsidRPr="00AC173C">
          <w:rPr>
            <w:rStyle w:val="Hyperlink"/>
          </w:rPr>
          <w:t>D.3</w:t>
        </w:r>
        <w:r>
          <w:rPr>
            <w:rFonts w:asciiTheme="minorHAnsi" w:eastAsiaTheme="minorEastAsia" w:hAnsiTheme="minorHAnsi" w:cstheme="minorBidi"/>
            <w:b w:val="0"/>
            <w:kern w:val="2"/>
            <w:szCs w:val="24"/>
            <w14:ligatures w14:val="standardContextual"/>
          </w:rPr>
          <w:tab/>
        </w:r>
        <w:r w:rsidRPr="00AC173C">
          <w:rPr>
            <w:rStyle w:val="Hyperlink"/>
          </w:rPr>
          <w:t>Fossil Steam Unit Guidelines</w:t>
        </w:r>
        <w:r>
          <w:rPr>
            <w:webHidden/>
          </w:rPr>
          <w:tab/>
        </w:r>
        <w:r>
          <w:rPr>
            <w:webHidden/>
          </w:rPr>
          <w:fldChar w:fldCharType="begin"/>
        </w:r>
        <w:r>
          <w:rPr>
            <w:webHidden/>
          </w:rPr>
          <w:instrText xml:space="preserve"> PAGEREF _Toc213772295 \h </w:instrText>
        </w:r>
        <w:r>
          <w:rPr>
            <w:webHidden/>
          </w:rPr>
        </w:r>
        <w:r>
          <w:rPr>
            <w:webHidden/>
          </w:rPr>
          <w:fldChar w:fldCharType="separate"/>
        </w:r>
        <w:r>
          <w:rPr>
            <w:webHidden/>
          </w:rPr>
          <w:t>408</w:t>
        </w:r>
        <w:r>
          <w:rPr>
            <w:webHidden/>
          </w:rPr>
          <w:fldChar w:fldCharType="end"/>
        </w:r>
      </w:hyperlink>
    </w:p>
    <w:p w14:paraId="235EDBD3" w14:textId="55210E5D" w:rsidR="00023ECF" w:rsidRDefault="00023ECF">
      <w:pPr>
        <w:pStyle w:val="TOC3"/>
        <w:rPr>
          <w:rFonts w:asciiTheme="minorHAnsi" w:eastAsiaTheme="minorEastAsia" w:hAnsiTheme="minorHAnsi" w:cstheme="minorBidi"/>
          <w:bCs w:val="0"/>
          <w:kern w:val="2"/>
          <w:szCs w:val="24"/>
          <w14:ligatures w14:val="standardContextual"/>
        </w:rPr>
      </w:pPr>
      <w:hyperlink w:anchor="_Toc213772296" w:history="1">
        <w:r w:rsidRPr="00AC173C">
          <w:rPr>
            <w:rStyle w:val="Hyperlink"/>
          </w:rPr>
          <w:t>D.3.1</w:t>
        </w:r>
        <w:r>
          <w:rPr>
            <w:rFonts w:asciiTheme="minorHAnsi" w:eastAsiaTheme="minorEastAsia" w:hAnsiTheme="minorHAnsi" w:cstheme="minorBidi"/>
            <w:bCs w:val="0"/>
            <w:kern w:val="2"/>
            <w:szCs w:val="24"/>
            <w14:ligatures w14:val="standardContextual"/>
          </w:rPr>
          <w:tab/>
        </w:r>
        <w:r w:rsidRPr="00AC173C">
          <w:rPr>
            <w:rStyle w:val="Hyperlink"/>
          </w:rPr>
          <w:t>Heat Rate</w:t>
        </w:r>
        <w:r>
          <w:rPr>
            <w:webHidden/>
          </w:rPr>
          <w:tab/>
        </w:r>
        <w:r>
          <w:rPr>
            <w:webHidden/>
          </w:rPr>
          <w:fldChar w:fldCharType="begin"/>
        </w:r>
        <w:r>
          <w:rPr>
            <w:webHidden/>
          </w:rPr>
          <w:instrText xml:space="preserve"> PAGEREF _Toc213772296 \h </w:instrText>
        </w:r>
        <w:r>
          <w:rPr>
            <w:webHidden/>
          </w:rPr>
        </w:r>
        <w:r>
          <w:rPr>
            <w:webHidden/>
          </w:rPr>
          <w:fldChar w:fldCharType="separate"/>
        </w:r>
        <w:r>
          <w:rPr>
            <w:webHidden/>
          </w:rPr>
          <w:t>409</w:t>
        </w:r>
        <w:r>
          <w:rPr>
            <w:webHidden/>
          </w:rPr>
          <w:fldChar w:fldCharType="end"/>
        </w:r>
      </w:hyperlink>
    </w:p>
    <w:p w14:paraId="0923FC8E" w14:textId="2138C9AF" w:rsidR="00023ECF" w:rsidRDefault="00023ECF">
      <w:pPr>
        <w:pStyle w:val="TOC3"/>
        <w:rPr>
          <w:rFonts w:asciiTheme="minorHAnsi" w:eastAsiaTheme="minorEastAsia" w:hAnsiTheme="minorHAnsi" w:cstheme="minorBidi"/>
          <w:bCs w:val="0"/>
          <w:kern w:val="2"/>
          <w:szCs w:val="24"/>
          <w14:ligatures w14:val="standardContextual"/>
        </w:rPr>
      </w:pPr>
      <w:hyperlink w:anchor="_Toc213772297" w:history="1">
        <w:r w:rsidRPr="00AC173C">
          <w:rPr>
            <w:rStyle w:val="Hyperlink"/>
          </w:rPr>
          <w:t>D.3.2</w:t>
        </w:r>
        <w:r>
          <w:rPr>
            <w:rFonts w:asciiTheme="minorHAnsi" w:eastAsiaTheme="minorEastAsia" w:hAnsiTheme="minorHAnsi" w:cstheme="minorBidi"/>
            <w:bCs w:val="0"/>
            <w:kern w:val="2"/>
            <w:szCs w:val="24"/>
            <w14:ligatures w14:val="standardContextual"/>
          </w:rPr>
          <w:tab/>
        </w:r>
        <w:r w:rsidRPr="00AC173C">
          <w:rPr>
            <w:rStyle w:val="Hyperlink"/>
          </w:rPr>
          <w:t>Performance Factor</w:t>
        </w:r>
        <w:r>
          <w:rPr>
            <w:webHidden/>
          </w:rPr>
          <w:tab/>
        </w:r>
        <w:r>
          <w:rPr>
            <w:webHidden/>
          </w:rPr>
          <w:fldChar w:fldCharType="begin"/>
        </w:r>
        <w:r>
          <w:rPr>
            <w:webHidden/>
          </w:rPr>
          <w:instrText xml:space="preserve"> PAGEREF _Toc213772297 \h </w:instrText>
        </w:r>
        <w:r>
          <w:rPr>
            <w:webHidden/>
          </w:rPr>
        </w:r>
        <w:r>
          <w:rPr>
            <w:webHidden/>
          </w:rPr>
          <w:fldChar w:fldCharType="separate"/>
        </w:r>
        <w:r>
          <w:rPr>
            <w:webHidden/>
          </w:rPr>
          <w:t>409</w:t>
        </w:r>
        <w:r>
          <w:rPr>
            <w:webHidden/>
          </w:rPr>
          <w:fldChar w:fldCharType="end"/>
        </w:r>
      </w:hyperlink>
    </w:p>
    <w:p w14:paraId="449C9154" w14:textId="394763CA" w:rsidR="00023ECF" w:rsidRDefault="00023ECF">
      <w:pPr>
        <w:pStyle w:val="TOC3"/>
        <w:rPr>
          <w:rFonts w:asciiTheme="minorHAnsi" w:eastAsiaTheme="minorEastAsia" w:hAnsiTheme="minorHAnsi" w:cstheme="minorBidi"/>
          <w:bCs w:val="0"/>
          <w:kern w:val="2"/>
          <w:szCs w:val="24"/>
          <w14:ligatures w14:val="standardContextual"/>
        </w:rPr>
      </w:pPr>
      <w:hyperlink w:anchor="_Toc213772298" w:history="1">
        <w:r w:rsidRPr="00AC173C">
          <w:rPr>
            <w:rStyle w:val="Hyperlink"/>
          </w:rPr>
          <w:t>D.3.3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_Toc213772298 \h </w:instrText>
        </w:r>
        <w:r>
          <w:rPr>
            <w:webHidden/>
          </w:rPr>
        </w:r>
        <w:r>
          <w:rPr>
            <w:webHidden/>
          </w:rPr>
          <w:fldChar w:fldCharType="separate"/>
        </w:r>
        <w:r>
          <w:rPr>
            <w:webHidden/>
          </w:rPr>
          <w:t>409</w:t>
        </w:r>
        <w:r>
          <w:rPr>
            <w:webHidden/>
          </w:rPr>
          <w:fldChar w:fldCharType="end"/>
        </w:r>
      </w:hyperlink>
    </w:p>
    <w:p w14:paraId="458010C4" w14:textId="6B85CE7B" w:rsidR="00023ECF" w:rsidRDefault="00023ECF">
      <w:pPr>
        <w:pStyle w:val="TOC3"/>
        <w:rPr>
          <w:rFonts w:asciiTheme="minorHAnsi" w:eastAsiaTheme="minorEastAsia" w:hAnsiTheme="minorHAnsi" w:cstheme="minorBidi"/>
          <w:bCs w:val="0"/>
          <w:kern w:val="2"/>
          <w:szCs w:val="24"/>
          <w14:ligatures w14:val="standardContextual"/>
        </w:rPr>
      </w:pPr>
      <w:hyperlink w:anchor="_Toc213772299" w:history="1">
        <w:r w:rsidRPr="00AC173C">
          <w:rPr>
            <w:rStyle w:val="Hyperlink"/>
          </w:rPr>
          <w:t>D.3.4</w:t>
        </w:r>
        <w:r>
          <w:rPr>
            <w:rFonts w:asciiTheme="minorHAnsi" w:eastAsiaTheme="minorEastAsia" w:hAnsiTheme="minorHAnsi" w:cstheme="minorBidi"/>
            <w:bCs w:val="0"/>
            <w:kern w:val="2"/>
            <w:szCs w:val="24"/>
            <w14:ligatures w14:val="standardContextual"/>
          </w:rPr>
          <w:tab/>
        </w:r>
        <w:r w:rsidRPr="00AC173C">
          <w:rPr>
            <w:rStyle w:val="Hyperlink"/>
          </w:rPr>
          <w:t>Hot Start Cost, Intermediate Start Cost, and Cold Start cost</w:t>
        </w:r>
        <w:r>
          <w:rPr>
            <w:webHidden/>
          </w:rPr>
          <w:tab/>
        </w:r>
        <w:r>
          <w:rPr>
            <w:webHidden/>
          </w:rPr>
          <w:fldChar w:fldCharType="begin"/>
        </w:r>
        <w:r>
          <w:rPr>
            <w:webHidden/>
          </w:rPr>
          <w:instrText xml:space="preserve"> PAGEREF _Toc213772299 \h </w:instrText>
        </w:r>
        <w:r>
          <w:rPr>
            <w:webHidden/>
          </w:rPr>
        </w:r>
        <w:r>
          <w:rPr>
            <w:webHidden/>
          </w:rPr>
          <w:fldChar w:fldCharType="separate"/>
        </w:r>
        <w:r>
          <w:rPr>
            <w:webHidden/>
          </w:rPr>
          <w:t>409</w:t>
        </w:r>
        <w:r>
          <w:rPr>
            <w:webHidden/>
          </w:rPr>
          <w:fldChar w:fldCharType="end"/>
        </w:r>
      </w:hyperlink>
    </w:p>
    <w:p w14:paraId="5D101375" w14:textId="01EE1C60" w:rsidR="00023ECF" w:rsidRDefault="00023ECF">
      <w:pPr>
        <w:pStyle w:val="TOC4"/>
        <w:rPr>
          <w:rFonts w:asciiTheme="minorHAnsi" w:eastAsiaTheme="minorEastAsia" w:hAnsiTheme="minorHAnsi" w:cstheme="minorBidi"/>
          <w:bCs w:val="0"/>
          <w:kern w:val="2"/>
          <w:szCs w:val="24"/>
          <w14:ligatures w14:val="standardContextual"/>
        </w:rPr>
      </w:pPr>
      <w:hyperlink w:anchor="_Toc213772300" w:history="1">
        <w:r w:rsidRPr="00AC173C">
          <w:rPr>
            <w:rStyle w:val="Hyperlink"/>
          </w:rPr>
          <w:t>D.3.4.1</w:t>
        </w:r>
        <w:r>
          <w:rPr>
            <w:rFonts w:asciiTheme="minorHAnsi" w:eastAsiaTheme="minorEastAsia" w:hAnsiTheme="minorHAnsi" w:cstheme="minorBidi"/>
            <w:bCs w:val="0"/>
            <w:kern w:val="2"/>
            <w:szCs w:val="24"/>
            <w14:ligatures w14:val="standardContextual"/>
          </w:rPr>
          <w:tab/>
        </w:r>
        <w:r w:rsidRPr="00AC173C">
          <w:rPr>
            <w:rStyle w:val="Hyperlink"/>
          </w:rPr>
          <w:t xml:space="preserve"> Hot Start Cost</w:t>
        </w:r>
        <w:r>
          <w:rPr>
            <w:webHidden/>
          </w:rPr>
          <w:tab/>
        </w:r>
        <w:r>
          <w:rPr>
            <w:webHidden/>
          </w:rPr>
          <w:fldChar w:fldCharType="begin"/>
        </w:r>
        <w:r>
          <w:rPr>
            <w:webHidden/>
          </w:rPr>
          <w:instrText xml:space="preserve"> PAGEREF _Toc213772300 \h </w:instrText>
        </w:r>
        <w:r>
          <w:rPr>
            <w:webHidden/>
          </w:rPr>
        </w:r>
        <w:r>
          <w:rPr>
            <w:webHidden/>
          </w:rPr>
          <w:fldChar w:fldCharType="separate"/>
        </w:r>
        <w:r>
          <w:rPr>
            <w:webHidden/>
          </w:rPr>
          <w:t>410</w:t>
        </w:r>
        <w:r>
          <w:rPr>
            <w:webHidden/>
          </w:rPr>
          <w:fldChar w:fldCharType="end"/>
        </w:r>
      </w:hyperlink>
    </w:p>
    <w:p w14:paraId="4CC74AB1" w14:textId="2B8D6B9B" w:rsidR="00023ECF" w:rsidRDefault="00023ECF">
      <w:pPr>
        <w:pStyle w:val="TOC4"/>
        <w:rPr>
          <w:rFonts w:asciiTheme="minorHAnsi" w:eastAsiaTheme="minorEastAsia" w:hAnsiTheme="minorHAnsi" w:cstheme="minorBidi"/>
          <w:bCs w:val="0"/>
          <w:kern w:val="2"/>
          <w:szCs w:val="24"/>
          <w14:ligatures w14:val="standardContextual"/>
        </w:rPr>
      </w:pPr>
      <w:hyperlink w:anchor="_Toc213772301" w:history="1">
        <w:r w:rsidRPr="00AC173C">
          <w:rPr>
            <w:rStyle w:val="Hyperlink"/>
          </w:rPr>
          <w:t>D.3.4.2</w:t>
        </w:r>
        <w:r>
          <w:rPr>
            <w:rFonts w:asciiTheme="minorHAnsi" w:eastAsiaTheme="minorEastAsia" w:hAnsiTheme="minorHAnsi" w:cstheme="minorBidi"/>
            <w:bCs w:val="0"/>
            <w:kern w:val="2"/>
            <w:szCs w:val="24"/>
            <w14:ligatures w14:val="standardContextual"/>
          </w:rPr>
          <w:tab/>
        </w:r>
        <w:r w:rsidRPr="00AC173C">
          <w:rPr>
            <w:rStyle w:val="Hyperlink"/>
          </w:rPr>
          <w:t xml:space="preserve"> Intermediate Start Cost</w:t>
        </w:r>
        <w:r>
          <w:rPr>
            <w:webHidden/>
          </w:rPr>
          <w:tab/>
        </w:r>
        <w:r>
          <w:rPr>
            <w:webHidden/>
          </w:rPr>
          <w:fldChar w:fldCharType="begin"/>
        </w:r>
        <w:r>
          <w:rPr>
            <w:webHidden/>
          </w:rPr>
          <w:instrText xml:space="preserve"> PAGEREF _Toc213772301 \h </w:instrText>
        </w:r>
        <w:r>
          <w:rPr>
            <w:webHidden/>
          </w:rPr>
        </w:r>
        <w:r>
          <w:rPr>
            <w:webHidden/>
          </w:rPr>
          <w:fldChar w:fldCharType="separate"/>
        </w:r>
        <w:r>
          <w:rPr>
            <w:webHidden/>
          </w:rPr>
          <w:t>410</w:t>
        </w:r>
        <w:r>
          <w:rPr>
            <w:webHidden/>
          </w:rPr>
          <w:fldChar w:fldCharType="end"/>
        </w:r>
      </w:hyperlink>
    </w:p>
    <w:p w14:paraId="14894451" w14:textId="3D007A96" w:rsidR="00023ECF" w:rsidRDefault="00023ECF">
      <w:pPr>
        <w:pStyle w:val="TOC4"/>
        <w:rPr>
          <w:rFonts w:asciiTheme="minorHAnsi" w:eastAsiaTheme="minorEastAsia" w:hAnsiTheme="minorHAnsi" w:cstheme="minorBidi"/>
          <w:bCs w:val="0"/>
          <w:kern w:val="2"/>
          <w:szCs w:val="24"/>
          <w14:ligatures w14:val="standardContextual"/>
        </w:rPr>
      </w:pPr>
      <w:hyperlink w:anchor="_Toc213772302" w:history="1">
        <w:r w:rsidRPr="00AC173C">
          <w:rPr>
            <w:rStyle w:val="Hyperlink"/>
          </w:rPr>
          <w:t>D.3.4.3</w:t>
        </w:r>
        <w:r>
          <w:rPr>
            <w:rFonts w:asciiTheme="minorHAnsi" w:eastAsiaTheme="minorEastAsia" w:hAnsiTheme="minorHAnsi" w:cstheme="minorBidi"/>
            <w:bCs w:val="0"/>
            <w:kern w:val="2"/>
            <w:szCs w:val="24"/>
            <w14:ligatures w14:val="standardContextual"/>
          </w:rPr>
          <w:tab/>
        </w:r>
        <w:r w:rsidRPr="00AC173C">
          <w:rPr>
            <w:rStyle w:val="Hyperlink"/>
          </w:rPr>
          <w:t xml:space="preserve"> Cold Start Cost</w:t>
        </w:r>
        <w:r>
          <w:rPr>
            <w:webHidden/>
          </w:rPr>
          <w:tab/>
        </w:r>
        <w:r>
          <w:rPr>
            <w:webHidden/>
          </w:rPr>
          <w:fldChar w:fldCharType="begin"/>
        </w:r>
        <w:r>
          <w:rPr>
            <w:webHidden/>
          </w:rPr>
          <w:instrText xml:space="preserve"> PAGEREF _Toc213772302 \h </w:instrText>
        </w:r>
        <w:r>
          <w:rPr>
            <w:webHidden/>
          </w:rPr>
        </w:r>
        <w:r>
          <w:rPr>
            <w:webHidden/>
          </w:rPr>
          <w:fldChar w:fldCharType="separate"/>
        </w:r>
        <w:r>
          <w:rPr>
            <w:webHidden/>
          </w:rPr>
          <w:t>411</w:t>
        </w:r>
        <w:r>
          <w:rPr>
            <w:webHidden/>
          </w:rPr>
          <w:fldChar w:fldCharType="end"/>
        </w:r>
      </w:hyperlink>
    </w:p>
    <w:p w14:paraId="710E8CFF" w14:textId="7A93DFA7" w:rsidR="00023ECF" w:rsidRDefault="00023ECF">
      <w:pPr>
        <w:pStyle w:val="TOC3"/>
        <w:rPr>
          <w:rFonts w:asciiTheme="minorHAnsi" w:eastAsiaTheme="minorEastAsia" w:hAnsiTheme="minorHAnsi" w:cstheme="minorBidi"/>
          <w:bCs w:val="0"/>
          <w:kern w:val="2"/>
          <w:szCs w:val="24"/>
          <w14:ligatures w14:val="standardContextual"/>
        </w:rPr>
      </w:pPr>
      <w:hyperlink w:anchor="_Toc213772303" w:history="1">
        <w:r w:rsidRPr="00AC173C">
          <w:rPr>
            <w:rStyle w:val="Hyperlink"/>
          </w:rPr>
          <w:t>D.3.5</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_Toc213772303 \h </w:instrText>
        </w:r>
        <w:r>
          <w:rPr>
            <w:webHidden/>
          </w:rPr>
        </w:r>
        <w:r>
          <w:rPr>
            <w:webHidden/>
          </w:rPr>
          <w:fldChar w:fldCharType="separate"/>
        </w:r>
        <w:r>
          <w:rPr>
            <w:webHidden/>
          </w:rPr>
          <w:t>411</w:t>
        </w:r>
        <w:r>
          <w:rPr>
            <w:webHidden/>
          </w:rPr>
          <w:fldChar w:fldCharType="end"/>
        </w:r>
      </w:hyperlink>
    </w:p>
    <w:p w14:paraId="56440DF8" w14:textId="65215E78" w:rsidR="00023ECF" w:rsidRDefault="00023ECF">
      <w:pPr>
        <w:pStyle w:val="TOC3"/>
        <w:rPr>
          <w:rFonts w:asciiTheme="minorHAnsi" w:eastAsiaTheme="minorEastAsia" w:hAnsiTheme="minorHAnsi" w:cstheme="minorBidi"/>
          <w:bCs w:val="0"/>
          <w:kern w:val="2"/>
          <w:szCs w:val="24"/>
          <w14:ligatures w14:val="standardContextual"/>
        </w:rPr>
      </w:pPr>
      <w:hyperlink w:anchor="_Toc213772304" w:history="1">
        <w:r w:rsidRPr="00AC173C">
          <w:rPr>
            <w:rStyle w:val="Hyperlink"/>
          </w:rPr>
          <w:t>D.3.6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_Toc213772304 \h </w:instrText>
        </w:r>
        <w:r>
          <w:rPr>
            <w:webHidden/>
          </w:rPr>
        </w:r>
        <w:r>
          <w:rPr>
            <w:webHidden/>
          </w:rPr>
          <w:fldChar w:fldCharType="separate"/>
        </w:r>
        <w:r>
          <w:rPr>
            <w:webHidden/>
          </w:rPr>
          <w:t>411</w:t>
        </w:r>
        <w:r>
          <w:rPr>
            <w:webHidden/>
          </w:rPr>
          <w:fldChar w:fldCharType="end"/>
        </w:r>
      </w:hyperlink>
    </w:p>
    <w:p w14:paraId="0BD8BC56" w14:textId="34A181D5" w:rsidR="00023ECF" w:rsidRDefault="00023ECF">
      <w:pPr>
        <w:pStyle w:val="TOC4"/>
        <w:rPr>
          <w:rFonts w:asciiTheme="minorHAnsi" w:eastAsiaTheme="minorEastAsia" w:hAnsiTheme="minorHAnsi" w:cstheme="minorBidi"/>
          <w:bCs w:val="0"/>
          <w:kern w:val="2"/>
          <w:szCs w:val="24"/>
          <w14:ligatures w14:val="standardContextual"/>
        </w:rPr>
      </w:pPr>
      <w:hyperlink w:anchor="_Toc213772305" w:history="1">
        <w:r w:rsidRPr="00AC173C">
          <w:rPr>
            <w:rStyle w:val="Hyperlink"/>
          </w:rPr>
          <w:t>D.3.6.1</w:t>
        </w:r>
        <w:r>
          <w:rPr>
            <w:rFonts w:asciiTheme="minorHAnsi" w:eastAsiaTheme="minorEastAsia" w:hAnsiTheme="minorHAnsi" w:cstheme="minorBidi"/>
            <w:bCs w:val="0"/>
            <w:kern w:val="2"/>
            <w:szCs w:val="24"/>
            <w14:ligatures w14:val="standardContextual"/>
          </w:rPr>
          <w:tab/>
        </w:r>
        <w:r w:rsidRPr="00AC173C">
          <w:rPr>
            <w:rStyle w:val="Hyperlink"/>
          </w:rPr>
          <w:t xml:space="preserve"> Configuration Addition VOM Cost</w:t>
        </w:r>
        <w:r>
          <w:rPr>
            <w:webHidden/>
          </w:rPr>
          <w:tab/>
        </w:r>
        <w:r>
          <w:rPr>
            <w:webHidden/>
          </w:rPr>
          <w:fldChar w:fldCharType="begin"/>
        </w:r>
        <w:r>
          <w:rPr>
            <w:webHidden/>
          </w:rPr>
          <w:instrText xml:space="preserve"> PAGEREF _Toc213772305 \h </w:instrText>
        </w:r>
        <w:r>
          <w:rPr>
            <w:webHidden/>
          </w:rPr>
        </w:r>
        <w:r>
          <w:rPr>
            <w:webHidden/>
          </w:rPr>
          <w:fldChar w:fldCharType="separate"/>
        </w:r>
        <w:r>
          <w:rPr>
            <w:webHidden/>
          </w:rPr>
          <w:t>412</w:t>
        </w:r>
        <w:r>
          <w:rPr>
            <w:webHidden/>
          </w:rPr>
          <w:fldChar w:fldCharType="end"/>
        </w:r>
      </w:hyperlink>
    </w:p>
    <w:p w14:paraId="14BDEF89" w14:textId="6DC1AE97" w:rsidR="00023ECF" w:rsidRDefault="00023ECF">
      <w:pPr>
        <w:pStyle w:val="TOC4"/>
        <w:rPr>
          <w:rFonts w:asciiTheme="minorHAnsi" w:eastAsiaTheme="minorEastAsia" w:hAnsiTheme="minorHAnsi" w:cstheme="minorBidi"/>
          <w:bCs w:val="0"/>
          <w:kern w:val="2"/>
          <w:szCs w:val="24"/>
          <w14:ligatures w14:val="standardContextual"/>
        </w:rPr>
      </w:pPr>
      <w:hyperlink w:anchor="_Toc213772306" w:history="1">
        <w:r w:rsidRPr="00AC173C">
          <w:rPr>
            <w:rStyle w:val="Hyperlink"/>
          </w:rPr>
          <w:t>D.3.6.2</w:t>
        </w:r>
        <w:r>
          <w:rPr>
            <w:rFonts w:asciiTheme="minorHAnsi" w:eastAsiaTheme="minorEastAsia" w:hAnsiTheme="minorHAnsi" w:cstheme="minorBidi"/>
            <w:bCs w:val="0"/>
            <w:kern w:val="2"/>
            <w:szCs w:val="24"/>
            <w14:ligatures w14:val="standardContextual"/>
          </w:rPr>
          <w:tab/>
        </w:r>
        <w:r w:rsidRPr="00AC173C">
          <w:rPr>
            <w:rStyle w:val="Hyperlink"/>
          </w:rPr>
          <w:t xml:space="preserve"> Calculation of the Configuration Addition VOM Cost</w:t>
        </w:r>
        <w:r>
          <w:rPr>
            <w:webHidden/>
          </w:rPr>
          <w:tab/>
        </w:r>
        <w:r>
          <w:rPr>
            <w:webHidden/>
          </w:rPr>
          <w:fldChar w:fldCharType="begin"/>
        </w:r>
        <w:r>
          <w:rPr>
            <w:webHidden/>
          </w:rPr>
          <w:instrText xml:space="preserve"> PAGEREF _Toc213772306 \h </w:instrText>
        </w:r>
        <w:r>
          <w:rPr>
            <w:webHidden/>
          </w:rPr>
        </w:r>
        <w:r>
          <w:rPr>
            <w:webHidden/>
          </w:rPr>
          <w:fldChar w:fldCharType="separate"/>
        </w:r>
        <w:r>
          <w:rPr>
            <w:webHidden/>
          </w:rPr>
          <w:t>412</w:t>
        </w:r>
        <w:r>
          <w:rPr>
            <w:webHidden/>
          </w:rPr>
          <w:fldChar w:fldCharType="end"/>
        </w:r>
      </w:hyperlink>
    </w:p>
    <w:p w14:paraId="559B0866" w14:textId="3C5198ED" w:rsidR="00023ECF" w:rsidRDefault="00023ECF">
      <w:pPr>
        <w:pStyle w:val="TOC4"/>
        <w:rPr>
          <w:rFonts w:asciiTheme="minorHAnsi" w:eastAsiaTheme="minorEastAsia" w:hAnsiTheme="minorHAnsi" w:cstheme="minorBidi"/>
          <w:bCs w:val="0"/>
          <w:kern w:val="2"/>
          <w:szCs w:val="24"/>
          <w14:ligatures w14:val="standardContextual"/>
        </w:rPr>
      </w:pPr>
      <w:hyperlink w:anchor="_Toc213772307" w:history="1">
        <w:r w:rsidRPr="00AC173C">
          <w:rPr>
            <w:rStyle w:val="Hyperlink"/>
          </w:rPr>
          <w:t>D.3.6.3</w:t>
        </w:r>
        <w:r>
          <w:rPr>
            <w:rFonts w:asciiTheme="minorHAnsi" w:eastAsiaTheme="minorEastAsia" w:hAnsiTheme="minorHAnsi" w:cstheme="minorBidi"/>
            <w:bCs w:val="0"/>
            <w:kern w:val="2"/>
            <w:szCs w:val="24"/>
            <w14:ligatures w14:val="standardContextual"/>
          </w:rPr>
          <w:tab/>
        </w:r>
        <w:r w:rsidRPr="00AC173C">
          <w:rPr>
            <w:rStyle w:val="Hyperlink"/>
          </w:rPr>
          <w:t xml:space="preserve"> Reductions in Total VOM Costs</w:t>
        </w:r>
        <w:r>
          <w:rPr>
            <w:webHidden/>
          </w:rPr>
          <w:tab/>
        </w:r>
        <w:r>
          <w:rPr>
            <w:webHidden/>
          </w:rPr>
          <w:fldChar w:fldCharType="begin"/>
        </w:r>
        <w:r>
          <w:rPr>
            <w:webHidden/>
          </w:rPr>
          <w:instrText xml:space="preserve"> PAGEREF _Toc213772307 \h </w:instrText>
        </w:r>
        <w:r>
          <w:rPr>
            <w:webHidden/>
          </w:rPr>
        </w:r>
        <w:r>
          <w:rPr>
            <w:webHidden/>
          </w:rPr>
          <w:fldChar w:fldCharType="separate"/>
        </w:r>
        <w:r>
          <w:rPr>
            <w:webHidden/>
          </w:rPr>
          <w:t>413</w:t>
        </w:r>
        <w:r>
          <w:rPr>
            <w:webHidden/>
          </w:rPr>
          <w:fldChar w:fldCharType="end"/>
        </w:r>
      </w:hyperlink>
    </w:p>
    <w:p w14:paraId="379E22A6" w14:textId="28AE22D2" w:rsidR="00023ECF" w:rsidRDefault="00023ECF">
      <w:pPr>
        <w:pStyle w:val="TOC1"/>
        <w:rPr>
          <w:rFonts w:asciiTheme="minorHAnsi" w:eastAsiaTheme="minorEastAsia" w:hAnsiTheme="minorHAnsi" w:cstheme="minorBidi"/>
          <w:b w:val="0"/>
          <w:kern w:val="2"/>
          <w:szCs w:val="24"/>
          <w14:ligatures w14:val="standardContextual"/>
        </w:rPr>
      </w:pPr>
      <w:hyperlink w:anchor="_Toc213772308" w:history="1">
        <w:r w:rsidRPr="00AC173C">
          <w:rPr>
            <w:rStyle w:val="Hyperlink"/>
          </w:rPr>
          <w:t>D.4</w:t>
        </w:r>
        <w:r>
          <w:rPr>
            <w:rFonts w:asciiTheme="minorHAnsi" w:eastAsiaTheme="minorEastAsia" w:hAnsiTheme="minorHAnsi" w:cstheme="minorBidi"/>
            <w:b w:val="0"/>
            <w:kern w:val="2"/>
            <w:szCs w:val="24"/>
            <w14:ligatures w14:val="standardContextual"/>
          </w:rPr>
          <w:tab/>
        </w:r>
        <w:r w:rsidRPr="00AC173C">
          <w:rPr>
            <w:rStyle w:val="Hyperlink"/>
          </w:rPr>
          <w:t>Combined Cycle (CC) Guidelines</w:t>
        </w:r>
        <w:r>
          <w:rPr>
            <w:webHidden/>
          </w:rPr>
          <w:tab/>
        </w:r>
        <w:r>
          <w:rPr>
            <w:webHidden/>
          </w:rPr>
          <w:fldChar w:fldCharType="begin"/>
        </w:r>
        <w:r>
          <w:rPr>
            <w:webHidden/>
          </w:rPr>
          <w:instrText xml:space="preserve"> PAGEREF _Toc213772308 \h </w:instrText>
        </w:r>
        <w:r>
          <w:rPr>
            <w:webHidden/>
          </w:rPr>
        </w:r>
        <w:r>
          <w:rPr>
            <w:webHidden/>
          </w:rPr>
          <w:fldChar w:fldCharType="separate"/>
        </w:r>
        <w:r>
          <w:rPr>
            <w:webHidden/>
          </w:rPr>
          <w:t>413</w:t>
        </w:r>
        <w:r>
          <w:rPr>
            <w:webHidden/>
          </w:rPr>
          <w:fldChar w:fldCharType="end"/>
        </w:r>
      </w:hyperlink>
    </w:p>
    <w:p w14:paraId="48A3FBDE" w14:textId="6A8F3227" w:rsidR="00023ECF" w:rsidRDefault="00023ECF">
      <w:pPr>
        <w:pStyle w:val="TOC3"/>
        <w:rPr>
          <w:rFonts w:asciiTheme="minorHAnsi" w:eastAsiaTheme="minorEastAsia" w:hAnsiTheme="minorHAnsi" w:cstheme="minorBidi"/>
          <w:bCs w:val="0"/>
          <w:kern w:val="2"/>
          <w:szCs w:val="24"/>
          <w14:ligatures w14:val="standardContextual"/>
        </w:rPr>
      </w:pPr>
      <w:hyperlink w:anchor="_Toc213772309" w:history="1">
        <w:r w:rsidRPr="00AC173C">
          <w:rPr>
            <w:rStyle w:val="Hyperlink"/>
          </w:rPr>
          <w:t>D.4.1</w:t>
        </w:r>
        <w:r>
          <w:rPr>
            <w:rFonts w:asciiTheme="minorHAnsi" w:eastAsiaTheme="minorEastAsia" w:hAnsiTheme="minorHAnsi" w:cstheme="minorBidi"/>
            <w:bCs w:val="0"/>
            <w:kern w:val="2"/>
            <w:szCs w:val="24"/>
            <w14:ligatures w14:val="standardContextual"/>
          </w:rPr>
          <w:tab/>
        </w:r>
        <w:r w:rsidRPr="00AC173C">
          <w:rPr>
            <w:rStyle w:val="Hyperlink"/>
          </w:rPr>
          <w:t>Heat Rate</w:t>
        </w:r>
        <w:r>
          <w:rPr>
            <w:webHidden/>
          </w:rPr>
          <w:tab/>
        </w:r>
        <w:r>
          <w:rPr>
            <w:webHidden/>
          </w:rPr>
          <w:fldChar w:fldCharType="begin"/>
        </w:r>
        <w:r>
          <w:rPr>
            <w:webHidden/>
          </w:rPr>
          <w:instrText xml:space="preserve"> PAGEREF _Toc213772309 \h </w:instrText>
        </w:r>
        <w:r>
          <w:rPr>
            <w:webHidden/>
          </w:rPr>
        </w:r>
        <w:r>
          <w:rPr>
            <w:webHidden/>
          </w:rPr>
          <w:fldChar w:fldCharType="separate"/>
        </w:r>
        <w:r>
          <w:rPr>
            <w:webHidden/>
          </w:rPr>
          <w:t>413</w:t>
        </w:r>
        <w:r>
          <w:rPr>
            <w:webHidden/>
          </w:rPr>
          <w:fldChar w:fldCharType="end"/>
        </w:r>
      </w:hyperlink>
    </w:p>
    <w:p w14:paraId="56024B04" w14:textId="699E933F" w:rsidR="00023ECF" w:rsidRDefault="00023ECF">
      <w:pPr>
        <w:pStyle w:val="TOC3"/>
        <w:rPr>
          <w:rFonts w:asciiTheme="minorHAnsi" w:eastAsiaTheme="minorEastAsia" w:hAnsiTheme="minorHAnsi" w:cstheme="minorBidi"/>
          <w:bCs w:val="0"/>
          <w:kern w:val="2"/>
          <w:szCs w:val="24"/>
          <w14:ligatures w14:val="standardContextual"/>
        </w:rPr>
      </w:pPr>
      <w:hyperlink w:anchor="_Toc213772310" w:history="1">
        <w:r w:rsidRPr="00AC173C">
          <w:rPr>
            <w:rStyle w:val="Hyperlink"/>
          </w:rPr>
          <w:t>D.4.2</w:t>
        </w:r>
        <w:r>
          <w:rPr>
            <w:rFonts w:asciiTheme="minorHAnsi" w:eastAsiaTheme="minorEastAsia" w:hAnsiTheme="minorHAnsi" w:cstheme="minorBidi"/>
            <w:bCs w:val="0"/>
            <w:kern w:val="2"/>
            <w:szCs w:val="24"/>
            <w14:ligatures w14:val="standardContextual"/>
          </w:rPr>
          <w:tab/>
        </w:r>
        <w:r w:rsidRPr="00AC173C">
          <w:rPr>
            <w:rStyle w:val="Hyperlink"/>
          </w:rPr>
          <w:t>Performance Factors</w:t>
        </w:r>
        <w:r>
          <w:rPr>
            <w:webHidden/>
          </w:rPr>
          <w:tab/>
        </w:r>
        <w:r>
          <w:rPr>
            <w:webHidden/>
          </w:rPr>
          <w:fldChar w:fldCharType="begin"/>
        </w:r>
        <w:r>
          <w:rPr>
            <w:webHidden/>
          </w:rPr>
          <w:instrText xml:space="preserve"> PAGEREF _Toc213772310 \h </w:instrText>
        </w:r>
        <w:r>
          <w:rPr>
            <w:webHidden/>
          </w:rPr>
        </w:r>
        <w:r>
          <w:rPr>
            <w:webHidden/>
          </w:rPr>
          <w:fldChar w:fldCharType="separate"/>
        </w:r>
        <w:r>
          <w:rPr>
            <w:webHidden/>
          </w:rPr>
          <w:t>413</w:t>
        </w:r>
        <w:r>
          <w:rPr>
            <w:webHidden/>
          </w:rPr>
          <w:fldChar w:fldCharType="end"/>
        </w:r>
      </w:hyperlink>
    </w:p>
    <w:p w14:paraId="3104AA5A" w14:textId="72A42BEE" w:rsidR="00023ECF" w:rsidRDefault="00023ECF">
      <w:pPr>
        <w:pStyle w:val="TOC3"/>
        <w:rPr>
          <w:rFonts w:asciiTheme="minorHAnsi" w:eastAsiaTheme="minorEastAsia" w:hAnsiTheme="minorHAnsi" w:cstheme="minorBidi"/>
          <w:bCs w:val="0"/>
          <w:kern w:val="2"/>
          <w:szCs w:val="24"/>
          <w14:ligatures w14:val="standardContextual"/>
        </w:rPr>
      </w:pPr>
      <w:hyperlink w:anchor="_Toc213772311" w:history="1">
        <w:r w:rsidRPr="00AC173C">
          <w:rPr>
            <w:rStyle w:val="Hyperlink"/>
          </w:rPr>
          <w:t>D.4.3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_Toc213772311 \h </w:instrText>
        </w:r>
        <w:r>
          <w:rPr>
            <w:webHidden/>
          </w:rPr>
        </w:r>
        <w:r>
          <w:rPr>
            <w:webHidden/>
          </w:rPr>
          <w:fldChar w:fldCharType="separate"/>
        </w:r>
        <w:r>
          <w:rPr>
            <w:webHidden/>
          </w:rPr>
          <w:t>414</w:t>
        </w:r>
        <w:r>
          <w:rPr>
            <w:webHidden/>
          </w:rPr>
          <w:fldChar w:fldCharType="end"/>
        </w:r>
      </w:hyperlink>
    </w:p>
    <w:p w14:paraId="1B0806A1" w14:textId="01DCE343" w:rsidR="00023ECF" w:rsidRDefault="00023ECF">
      <w:pPr>
        <w:pStyle w:val="TOC3"/>
        <w:rPr>
          <w:rFonts w:asciiTheme="minorHAnsi" w:eastAsiaTheme="minorEastAsia" w:hAnsiTheme="minorHAnsi" w:cstheme="minorBidi"/>
          <w:bCs w:val="0"/>
          <w:kern w:val="2"/>
          <w:szCs w:val="24"/>
          <w14:ligatures w14:val="standardContextual"/>
        </w:rPr>
      </w:pPr>
      <w:hyperlink w:anchor="_Toc213772312" w:history="1">
        <w:r w:rsidRPr="00AC173C">
          <w:rPr>
            <w:rStyle w:val="Hyperlink"/>
          </w:rPr>
          <w:t>D.4.4</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_Toc213772312 \h </w:instrText>
        </w:r>
        <w:r>
          <w:rPr>
            <w:webHidden/>
          </w:rPr>
        </w:r>
        <w:r>
          <w:rPr>
            <w:webHidden/>
          </w:rPr>
          <w:fldChar w:fldCharType="separate"/>
        </w:r>
        <w:r>
          <w:rPr>
            <w:webHidden/>
          </w:rPr>
          <w:t>414</w:t>
        </w:r>
        <w:r>
          <w:rPr>
            <w:webHidden/>
          </w:rPr>
          <w:fldChar w:fldCharType="end"/>
        </w:r>
      </w:hyperlink>
    </w:p>
    <w:p w14:paraId="1DF3105A" w14:textId="3B289497" w:rsidR="00023ECF" w:rsidRDefault="00023ECF">
      <w:pPr>
        <w:pStyle w:val="TOC3"/>
        <w:rPr>
          <w:rFonts w:asciiTheme="minorHAnsi" w:eastAsiaTheme="minorEastAsia" w:hAnsiTheme="minorHAnsi" w:cstheme="minorBidi"/>
          <w:bCs w:val="0"/>
          <w:kern w:val="2"/>
          <w:szCs w:val="24"/>
          <w14:ligatures w14:val="standardContextual"/>
        </w:rPr>
      </w:pPr>
      <w:hyperlink w:anchor="_Toc213772313" w:history="1">
        <w:r w:rsidRPr="00AC173C">
          <w:rPr>
            <w:rStyle w:val="Hyperlink"/>
          </w:rPr>
          <w:t>D.4.5</w:t>
        </w:r>
        <w:r>
          <w:rPr>
            <w:rFonts w:asciiTheme="minorHAnsi" w:eastAsiaTheme="minorEastAsia" w:hAnsiTheme="minorHAnsi" w:cstheme="minorBidi"/>
            <w:bCs w:val="0"/>
            <w:kern w:val="2"/>
            <w:szCs w:val="24"/>
            <w14:ligatures w14:val="standardContextual"/>
          </w:rPr>
          <w:tab/>
        </w:r>
        <w:r w:rsidRPr="00AC173C">
          <w:rPr>
            <w:rStyle w:val="Hyperlink"/>
          </w:rPr>
          <w:t>Mitigated Transition State Offer</w:t>
        </w:r>
        <w:r>
          <w:rPr>
            <w:webHidden/>
          </w:rPr>
          <w:tab/>
        </w:r>
        <w:r>
          <w:rPr>
            <w:webHidden/>
          </w:rPr>
          <w:fldChar w:fldCharType="begin"/>
        </w:r>
        <w:r>
          <w:rPr>
            <w:webHidden/>
          </w:rPr>
          <w:instrText xml:space="preserve"> PAGEREF _Toc213772313 \h </w:instrText>
        </w:r>
        <w:r>
          <w:rPr>
            <w:webHidden/>
          </w:rPr>
        </w:r>
        <w:r>
          <w:rPr>
            <w:webHidden/>
          </w:rPr>
          <w:fldChar w:fldCharType="separate"/>
        </w:r>
        <w:r>
          <w:rPr>
            <w:webHidden/>
          </w:rPr>
          <w:t>415</w:t>
        </w:r>
        <w:r>
          <w:rPr>
            <w:webHidden/>
          </w:rPr>
          <w:fldChar w:fldCharType="end"/>
        </w:r>
      </w:hyperlink>
    </w:p>
    <w:p w14:paraId="10C71993" w14:textId="0E1C11CA" w:rsidR="00023ECF" w:rsidRDefault="00023ECF">
      <w:pPr>
        <w:pStyle w:val="TOC3"/>
        <w:rPr>
          <w:rFonts w:asciiTheme="minorHAnsi" w:eastAsiaTheme="minorEastAsia" w:hAnsiTheme="minorHAnsi" w:cstheme="minorBidi"/>
          <w:bCs w:val="0"/>
          <w:kern w:val="2"/>
          <w:szCs w:val="24"/>
          <w14:ligatures w14:val="standardContextual"/>
        </w:rPr>
      </w:pPr>
      <w:hyperlink w:anchor="_Toc213772314" w:history="1">
        <w:r w:rsidRPr="00AC173C">
          <w:rPr>
            <w:rStyle w:val="Hyperlink"/>
          </w:rPr>
          <w:t>D.4.6</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_Toc213772314 \h </w:instrText>
        </w:r>
        <w:r>
          <w:rPr>
            <w:webHidden/>
          </w:rPr>
        </w:r>
        <w:r>
          <w:rPr>
            <w:webHidden/>
          </w:rPr>
          <w:fldChar w:fldCharType="separate"/>
        </w:r>
        <w:r>
          <w:rPr>
            <w:webHidden/>
          </w:rPr>
          <w:t>416</w:t>
        </w:r>
        <w:r>
          <w:rPr>
            <w:webHidden/>
          </w:rPr>
          <w:fldChar w:fldCharType="end"/>
        </w:r>
      </w:hyperlink>
    </w:p>
    <w:p w14:paraId="412CDDD1" w14:textId="571BEFFD" w:rsidR="00023ECF" w:rsidRDefault="00023ECF">
      <w:pPr>
        <w:pStyle w:val="TOC3"/>
        <w:rPr>
          <w:rFonts w:asciiTheme="minorHAnsi" w:eastAsiaTheme="minorEastAsia" w:hAnsiTheme="minorHAnsi" w:cstheme="minorBidi"/>
          <w:bCs w:val="0"/>
          <w:kern w:val="2"/>
          <w:szCs w:val="24"/>
          <w14:ligatures w14:val="standardContextual"/>
        </w:rPr>
      </w:pPr>
      <w:hyperlink w:anchor="_Toc213772315" w:history="1">
        <w:r w:rsidRPr="00AC173C">
          <w:rPr>
            <w:rStyle w:val="Hyperlink"/>
          </w:rPr>
          <w:t>D.4.7</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_Toc213772315 \h </w:instrText>
        </w:r>
        <w:r>
          <w:rPr>
            <w:webHidden/>
          </w:rPr>
        </w:r>
        <w:r>
          <w:rPr>
            <w:webHidden/>
          </w:rPr>
          <w:fldChar w:fldCharType="separate"/>
        </w:r>
        <w:r>
          <w:rPr>
            <w:webHidden/>
          </w:rPr>
          <w:t>416</w:t>
        </w:r>
        <w:r>
          <w:rPr>
            <w:webHidden/>
          </w:rPr>
          <w:fldChar w:fldCharType="end"/>
        </w:r>
      </w:hyperlink>
    </w:p>
    <w:p w14:paraId="7146645A" w14:textId="5BF68986" w:rsidR="00023ECF" w:rsidRDefault="00023ECF">
      <w:pPr>
        <w:pStyle w:val="TOC1"/>
        <w:rPr>
          <w:rFonts w:asciiTheme="minorHAnsi" w:eastAsiaTheme="minorEastAsia" w:hAnsiTheme="minorHAnsi" w:cstheme="minorBidi"/>
          <w:b w:val="0"/>
          <w:kern w:val="2"/>
          <w:szCs w:val="24"/>
          <w14:ligatures w14:val="standardContextual"/>
        </w:rPr>
      </w:pPr>
      <w:hyperlink w:anchor="_Toc213772316" w:history="1">
        <w:r w:rsidRPr="00AC173C">
          <w:rPr>
            <w:rStyle w:val="Hyperlink"/>
          </w:rPr>
          <w:t>D.5</w:t>
        </w:r>
        <w:r>
          <w:rPr>
            <w:rFonts w:asciiTheme="minorHAnsi" w:eastAsiaTheme="minorEastAsia" w:hAnsiTheme="minorHAnsi" w:cstheme="minorBidi"/>
            <w:b w:val="0"/>
            <w:kern w:val="2"/>
            <w:szCs w:val="24"/>
            <w14:ligatures w14:val="standardContextual"/>
          </w:rPr>
          <w:tab/>
        </w:r>
        <w:r w:rsidRPr="00AC173C">
          <w:rPr>
            <w:rStyle w:val="Hyperlink"/>
          </w:rPr>
          <w:t>Combustion Turbine (CT) and Reciprocating Engine Guidelines</w:t>
        </w:r>
        <w:r>
          <w:rPr>
            <w:webHidden/>
          </w:rPr>
          <w:tab/>
        </w:r>
        <w:r>
          <w:rPr>
            <w:webHidden/>
          </w:rPr>
          <w:fldChar w:fldCharType="begin"/>
        </w:r>
        <w:r>
          <w:rPr>
            <w:webHidden/>
          </w:rPr>
          <w:instrText xml:space="preserve"> PAGEREF _Toc213772316 \h </w:instrText>
        </w:r>
        <w:r>
          <w:rPr>
            <w:webHidden/>
          </w:rPr>
        </w:r>
        <w:r>
          <w:rPr>
            <w:webHidden/>
          </w:rPr>
          <w:fldChar w:fldCharType="separate"/>
        </w:r>
        <w:r>
          <w:rPr>
            <w:webHidden/>
          </w:rPr>
          <w:t>416</w:t>
        </w:r>
        <w:r>
          <w:rPr>
            <w:webHidden/>
          </w:rPr>
          <w:fldChar w:fldCharType="end"/>
        </w:r>
      </w:hyperlink>
    </w:p>
    <w:p w14:paraId="3484D133" w14:textId="48BD0001" w:rsidR="00023ECF" w:rsidRDefault="00023ECF">
      <w:pPr>
        <w:pStyle w:val="TOC3"/>
        <w:rPr>
          <w:rFonts w:asciiTheme="minorHAnsi" w:eastAsiaTheme="minorEastAsia" w:hAnsiTheme="minorHAnsi" w:cstheme="minorBidi"/>
          <w:bCs w:val="0"/>
          <w:kern w:val="2"/>
          <w:szCs w:val="24"/>
          <w14:ligatures w14:val="standardContextual"/>
        </w:rPr>
      </w:pPr>
      <w:hyperlink w:anchor="_Toc213772317" w:history="1">
        <w:r w:rsidRPr="00AC173C">
          <w:rPr>
            <w:rStyle w:val="Hyperlink"/>
          </w:rPr>
          <w:t>D.5.1</w:t>
        </w:r>
        <w:r>
          <w:rPr>
            <w:rFonts w:asciiTheme="minorHAnsi" w:eastAsiaTheme="minorEastAsia" w:hAnsiTheme="minorHAnsi" w:cstheme="minorBidi"/>
            <w:bCs w:val="0"/>
            <w:kern w:val="2"/>
            <w:szCs w:val="24"/>
            <w14:ligatures w14:val="standardContextual"/>
          </w:rPr>
          <w:tab/>
        </w:r>
        <w:r w:rsidRPr="00AC173C">
          <w:rPr>
            <w:rStyle w:val="Hyperlink"/>
          </w:rPr>
          <w:t>Combustion Turbine and Reciprocating Engine Heat Rate</w:t>
        </w:r>
        <w:r>
          <w:rPr>
            <w:webHidden/>
          </w:rPr>
          <w:tab/>
        </w:r>
        <w:r>
          <w:rPr>
            <w:webHidden/>
          </w:rPr>
          <w:fldChar w:fldCharType="begin"/>
        </w:r>
        <w:r>
          <w:rPr>
            <w:webHidden/>
          </w:rPr>
          <w:instrText xml:space="preserve"> PAGEREF _Toc213772317 \h </w:instrText>
        </w:r>
        <w:r>
          <w:rPr>
            <w:webHidden/>
          </w:rPr>
        </w:r>
        <w:r>
          <w:rPr>
            <w:webHidden/>
          </w:rPr>
          <w:fldChar w:fldCharType="separate"/>
        </w:r>
        <w:r>
          <w:rPr>
            <w:webHidden/>
          </w:rPr>
          <w:t>417</w:t>
        </w:r>
        <w:r>
          <w:rPr>
            <w:webHidden/>
          </w:rPr>
          <w:fldChar w:fldCharType="end"/>
        </w:r>
      </w:hyperlink>
    </w:p>
    <w:p w14:paraId="665A58C8" w14:textId="03469027" w:rsidR="00023ECF" w:rsidRDefault="00023ECF">
      <w:pPr>
        <w:pStyle w:val="TOC3"/>
        <w:rPr>
          <w:rFonts w:asciiTheme="minorHAnsi" w:eastAsiaTheme="minorEastAsia" w:hAnsiTheme="minorHAnsi" w:cstheme="minorBidi"/>
          <w:bCs w:val="0"/>
          <w:kern w:val="2"/>
          <w:szCs w:val="24"/>
          <w14:ligatures w14:val="standardContextual"/>
        </w:rPr>
      </w:pPr>
      <w:hyperlink w:anchor="_Toc213772318" w:history="1">
        <w:r w:rsidRPr="00AC173C">
          <w:rPr>
            <w:rStyle w:val="Hyperlink"/>
          </w:rPr>
          <w:t>D.5.2</w:t>
        </w:r>
        <w:r>
          <w:rPr>
            <w:rFonts w:asciiTheme="minorHAnsi" w:eastAsiaTheme="minorEastAsia" w:hAnsiTheme="minorHAnsi" w:cstheme="minorBidi"/>
            <w:bCs w:val="0"/>
            <w:kern w:val="2"/>
            <w:szCs w:val="24"/>
            <w14:ligatures w14:val="standardContextual"/>
          </w:rPr>
          <w:tab/>
        </w:r>
        <w:r w:rsidRPr="00AC173C">
          <w:rPr>
            <w:rStyle w:val="Hyperlink"/>
          </w:rPr>
          <w:t>Performance Factor</w:t>
        </w:r>
        <w:r>
          <w:rPr>
            <w:webHidden/>
          </w:rPr>
          <w:tab/>
        </w:r>
        <w:r>
          <w:rPr>
            <w:webHidden/>
          </w:rPr>
          <w:fldChar w:fldCharType="begin"/>
        </w:r>
        <w:r>
          <w:rPr>
            <w:webHidden/>
          </w:rPr>
          <w:instrText xml:space="preserve"> PAGEREF _Toc213772318 \h </w:instrText>
        </w:r>
        <w:r>
          <w:rPr>
            <w:webHidden/>
          </w:rPr>
        </w:r>
        <w:r>
          <w:rPr>
            <w:webHidden/>
          </w:rPr>
          <w:fldChar w:fldCharType="separate"/>
        </w:r>
        <w:r>
          <w:rPr>
            <w:webHidden/>
          </w:rPr>
          <w:t>417</w:t>
        </w:r>
        <w:r>
          <w:rPr>
            <w:webHidden/>
          </w:rPr>
          <w:fldChar w:fldCharType="end"/>
        </w:r>
      </w:hyperlink>
    </w:p>
    <w:p w14:paraId="330CE6E5" w14:textId="4A5DF015" w:rsidR="00023ECF" w:rsidRDefault="00023ECF">
      <w:pPr>
        <w:pStyle w:val="TOC3"/>
        <w:rPr>
          <w:rFonts w:asciiTheme="minorHAnsi" w:eastAsiaTheme="minorEastAsia" w:hAnsiTheme="minorHAnsi" w:cstheme="minorBidi"/>
          <w:bCs w:val="0"/>
          <w:kern w:val="2"/>
          <w:szCs w:val="24"/>
          <w14:ligatures w14:val="standardContextual"/>
        </w:rPr>
      </w:pPr>
      <w:hyperlink w:anchor="_Toc213772319" w:history="1">
        <w:r w:rsidRPr="00AC173C">
          <w:rPr>
            <w:rStyle w:val="Hyperlink"/>
          </w:rPr>
          <w:t>D.5.3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_Toc213772319 \h </w:instrText>
        </w:r>
        <w:r>
          <w:rPr>
            <w:webHidden/>
          </w:rPr>
        </w:r>
        <w:r>
          <w:rPr>
            <w:webHidden/>
          </w:rPr>
          <w:fldChar w:fldCharType="separate"/>
        </w:r>
        <w:r>
          <w:rPr>
            <w:webHidden/>
          </w:rPr>
          <w:t>417</w:t>
        </w:r>
        <w:r>
          <w:rPr>
            <w:webHidden/>
          </w:rPr>
          <w:fldChar w:fldCharType="end"/>
        </w:r>
      </w:hyperlink>
    </w:p>
    <w:p w14:paraId="1102AACC" w14:textId="2023E476" w:rsidR="00023ECF" w:rsidRDefault="00023ECF">
      <w:pPr>
        <w:pStyle w:val="TOC4"/>
        <w:rPr>
          <w:rFonts w:asciiTheme="minorHAnsi" w:eastAsiaTheme="minorEastAsia" w:hAnsiTheme="minorHAnsi" w:cstheme="minorBidi"/>
          <w:bCs w:val="0"/>
          <w:kern w:val="2"/>
          <w:szCs w:val="24"/>
          <w14:ligatures w14:val="standardContextual"/>
        </w:rPr>
      </w:pPr>
      <w:hyperlink w:anchor="_Toc213772320" w:history="1">
        <w:r w:rsidRPr="00AC173C">
          <w:rPr>
            <w:rStyle w:val="Hyperlink"/>
          </w:rPr>
          <w:t>D.5.3.1</w:t>
        </w:r>
        <w:r>
          <w:rPr>
            <w:rFonts w:asciiTheme="minorHAnsi" w:eastAsiaTheme="minorEastAsia" w:hAnsiTheme="minorHAnsi" w:cstheme="minorBidi"/>
            <w:bCs w:val="0"/>
            <w:kern w:val="2"/>
            <w:szCs w:val="24"/>
            <w14:ligatures w14:val="standardContextual"/>
          </w:rPr>
          <w:tab/>
        </w:r>
        <w:r w:rsidRPr="00AC173C">
          <w:rPr>
            <w:rStyle w:val="Hyperlink"/>
          </w:rPr>
          <w:t>Combustion Turbine other Fuel-Related Costs</w:t>
        </w:r>
        <w:r>
          <w:rPr>
            <w:webHidden/>
          </w:rPr>
          <w:tab/>
        </w:r>
        <w:r>
          <w:rPr>
            <w:webHidden/>
          </w:rPr>
          <w:fldChar w:fldCharType="begin"/>
        </w:r>
        <w:r>
          <w:rPr>
            <w:webHidden/>
          </w:rPr>
          <w:instrText xml:space="preserve"> PAGEREF _Toc213772320 \h </w:instrText>
        </w:r>
        <w:r>
          <w:rPr>
            <w:webHidden/>
          </w:rPr>
        </w:r>
        <w:r>
          <w:rPr>
            <w:webHidden/>
          </w:rPr>
          <w:fldChar w:fldCharType="separate"/>
        </w:r>
        <w:r>
          <w:rPr>
            <w:webHidden/>
          </w:rPr>
          <w:t>417</w:t>
        </w:r>
        <w:r>
          <w:rPr>
            <w:webHidden/>
          </w:rPr>
          <w:fldChar w:fldCharType="end"/>
        </w:r>
      </w:hyperlink>
    </w:p>
    <w:p w14:paraId="2E5F1227" w14:textId="5453448A" w:rsidR="00023ECF" w:rsidRDefault="00023ECF">
      <w:pPr>
        <w:pStyle w:val="TOC3"/>
        <w:rPr>
          <w:rFonts w:asciiTheme="minorHAnsi" w:eastAsiaTheme="minorEastAsia" w:hAnsiTheme="minorHAnsi" w:cstheme="minorBidi"/>
          <w:bCs w:val="0"/>
          <w:kern w:val="2"/>
          <w:szCs w:val="24"/>
          <w14:ligatures w14:val="standardContextual"/>
        </w:rPr>
      </w:pPr>
      <w:hyperlink w:anchor="_Toc213772321" w:history="1">
        <w:r w:rsidRPr="00AC173C">
          <w:rPr>
            <w:rStyle w:val="Hyperlink"/>
          </w:rPr>
          <w:t>D.5.4</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_Toc213772321 \h </w:instrText>
        </w:r>
        <w:r>
          <w:rPr>
            <w:webHidden/>
          </w:rPr>
        </w:r>
        <w:r>
          <w:rPr>
            <w:webHidden/>
          </w:rPr>
          <w:fldChar w:fldCharType="separate"/>
        </w:r>
        <w:r>
          <w:rPr>
            <w:webHidden/>
          </w:rPr>
          <w:t>418</w:t>
        </w:r>
        <w:r>
          <w:rPr>
            <w:webHidden/>
          </w:rPr>
          <w:fldChar w:fldCharType="end"/>
        </w:r>
      </w:hyperlink>
    </w:p>
    <w:p w14:paraId="104824EF" w14:textId="5A6637FB" w:rsidR="00023ECF" w:rsidRDefault="00023ECF">
      <w:pPr>
        <w:pStyle w:val="TOC3"/>
        <w:rPr>
          <w:rFonts w:asciiTheme="minorHAnsi" w:eastAsiaTheme="minorEastAsia" w:hAnsiTheme="minorHAnsi" w:cstheme="minorBidi"/>
          <w:bCs w:val="0"/>
          <w:kern w:val="2"/>
          <w:szCs w:val="24"/>
          <w14:ligatures w14:val="standardContextual"/>
        </w:rPr>
      </w:pPr>
      <w:hyperlink w:anchor="_Toc213772322" w:history="1">
        <w:r w:rsidRPr="00AC173C">
          <w:rPr>
            <w:rStyle w:val="Hyperlink"/>
          </w:rPr>
          <w:t>D.5.5</w:t>
        </w:r>
        <w:r>
          <w:rPr>
            <w:rFonts w:asciiTheme="minorHAnsi" w:eastAsiaTheme="minorEastAsia" w:hAnsiTheme="minorHAnsi" w:cstheme="minorBidi"/>
            <w:bCs w:val="0"/>
            <w:kern w:val="2"/>
            <w:szCs w:val="24"/>
            <w14:ligatures w14:val="standardContextual"/>
          </w:rPr>
          <w:tab/>
        </w:r>
        <w:r w:rsidRPr="00AC173C">
          <w:rPr>
            <w:rStyle w:val="Hyperlink"/>
          </w:rPr>
          <w:t>Mitigated No-Load Offer for CTs</w:t>
        </w:r>
        <w:r>
          <w:rPr>
            <w:webHidden/>
          </w:rPr>
          <w:tab/>
        </w:r>
        <w:r>
          <w:rPr>
            <w:webHidden/>
          </w:rPr>
          <w:fldChar w:fldCharType="begin"/>
        </w:r>
        <w:r>
          <w:rPr>
            <w:webHidden/>
          </w:rPr>
          <w:instrText xml:space="preserve"> PAGEREF _Toc213772322 \h </w:instrText>
        </w:r>
        <w:r>
          <w:rPr>
            <w:webHidden/>
          </w:rPr>
        </w:r>
        <w:r>
          <w:rPr>
            <w:webHidden/>
          </w:rPr>
          <w:fldChar w:fldCharType="separate"/>
        </w:r>
        <w:r>
          <w:rPr>
            <w:webHidden/>
          </w:rPr>
          <w:t>418</w:t>
        </w:r>
        <w:r>
          <w:rPr>
            <w:webHidden/>
          </w:rPr>
          <w:fldChar w:fldCharType="end"/>
        </w:r>
      </w:hyperlink>
    </w:p>
    <w:p w14:paraId="3ABD923B" w14:textId="77D454B7" w:rsidR="00023ECF" w:rsidRDefault="00023ECF">
      <w:pPr>
        <w:pStyle w:val="TOC3"/>
        <w:rPr>
          <w:rFonts w:asciiTheme="minorHAnsi" w:eastAsiaTheme="minorEastAsia" w:hAnsiTheme="minorHAnsi" w:cstheme="minorBidi"/>
          <w:bCs w:val="0"/>
          <w:kern w:val="2"/>
          <w:szCs w:val="24"/>
          <w14:ligatures w14:val="standardContextual"/>
        </w:rPr>
      </w:pPr>
      <w:hyperlink w:anchor="_Toc213772323" w:history="1">
        <w:r w:rsidRPr="00AC173C">
          <w:rPr>
            <w:rStyle w:val="Hyperlink"/>
          </w:rPr>
          <w:t>D.5.6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_Toc213772323 \h </w:instrText>
        </w:r>
        <w:r>
          <w:rPr>
            <w:webHidden/>
          </w:rPr>
        </w:r>
        <w:r>
          <w:rPr>
            <w:webHidden/>
          </w:rPr>
          <w:fldChar w:fldCharType="separate"/>
        </w:r>
        <w:r>
          <w:rPr>
            <w:webHidden/>
          </w:rPr>
          <w:t>418</w:t>
        </w:r>
        <w:r>
          <w:rPr>
            <w:webHidden/>
          </w:rPr>
          <w:fldChar w:fldCharType="end"/>
        </w:r>
      </w:hyperlink>
    </w:p>
    <w:p w14:paraId="159FBE1F" w14:textId="79B57CA1" w:rsidR="00023ECF" w:rsidRDefault="00023ECF">
      <w:pPr>
        <w:pStyle w:val="TOC1"/>
        <w:rPr>
          <w:rFonts w:asciiTheme="minorHAnsi" w:eastAsiaTheme="minorEastAsia" w:hAnsiTheme="minorHAnsi" w:cstheme="minorBidi"/>
          <w:b w:val="0"/>
          <w:kern w:val="2"/>
          <w:szCs w:val="24"/>
          <w14:ligatures w14:val="standardContextual"/>
        </w:rPr>
      </w:pPr>
      <w:hyperlink w:anchor="_Toc213772324" w:history="1">
        <w:r w:rsidRPr="00AC173C">
          <w:rPr>
            <w:rStyle w:val="Hyperlink"/>
          </w:rPr>
          <w:t>D.6</w:t>
        </w:r>
        <w:r>
          <w:rPr>
            <w:rFonts w:asciiTheme="minorHAnsi" w:eastAsiaTheme="minorEastAsia" w:hAnsiTheme="minorHAnsi" w:cstheme="minorBidi"/>
            <w:b w:val="0"/>
            <w:kern w:val="2"/>
            <w:szCs w:val="24"/>
            <w14:ligatures w14:val="standardContextual"/>
          </w:rPr>
          <w:tab/>
        </w:r>
        <w:r w:rsidRPr="00AC173C">
          <w:rPr>
            <w:rStyle w:val="Hyperlink"/>
          </w:rPr>
          <w:t>Hydro Guidelines</w:t>
        </w:r>
        <w:r>
          <w:rPr>
            <w:webHidden/>
          </w:rPr>
          <w:tab/>
        </w:r>
        <w:r>
          <w:rPr>
            <w:webHidden/>
          </w:rPr>
          <w:fldChar w:fldCharType="begin"/>
        </w:r>
        <w:r>
          <w:rPr>
            <w:webHidden/>
          </w:rPr>
          <w:instrText xml:space="preserve"> PAGEREF _Toc213772324 \h </w:instrText>
        </w:r>
        <w:r>
          <w:rPr>
            <w:webHidden/>
          </w:rPr>
        </w:r>
        <w:r>
          <w:rPr>
            <w:webHidden/>
          </w:rPr>
          <w:fldChar w:fldCharType="separate"/>
        </w:r>
        <w:r>
          <w:rPr>
            <w:webHidden/>
          </w:rPr>
          <w:t>418</w:t>
        </w:r>
        <w:r>
          <w:rPr>
            <w:webHidden/>
          </w:rPr>
          <w:fldChar w:fldCharType="end"/>
        </w:r>
      </w:hyperlink>
    </w:p>
    <w:p w14:paraId="2C4D7930" w14:textId="0A31F6D8" w:rsidR="00023ECF" w:rsidRDefault="00023ECF">
      <w:pPr>
        <w:pStyle w:val="TOC3"/>
        <w:rPr>
          <w:rFonts w:asciiTheme="minorHAnsi" w:eastAsiaTheme="minorEastAsia" w:hAnsiTheme="minorHAnsi" w:cstheme="minorBidi"/>
          <w:bCs w:val="0"/>
          <w:kern w:val="2"/>
          <w:szCs w:val="24"/>
          <w14:ligatures w14:val="standardContextual"/>
        </w:rPr>
      </w:pPr>
      <w:hyperlink w:anchor="_Toc213772325" w:history="1">
        <w:r w:rsidRPr="00AC173C">
          <w:rPr>
            <w:rStyle w:val="Hyperlink"/>
          </w:rPr>
          <w:t>D.6.1</w:t>
        </w:r>
        <w:r>
          <w:rPr>
            <w:rFonts w:asciiTheme="minorHAnsi" w:eastAsiaTheme="minorEastAsia" w:hAnsiTheme="minorHAnsi" w:cstheme="minorBidi"/>
            <w:bCs w:val="0"/>
            <w:kern w:val="2"/>
            <w:szCs w:val="24"/>
            <w14:ligatures w14:val="standardContextual"/>
          </w:rPr>
          <w:tab/>
        </w:r>
        <w:r w:rsidRPr="00AC173C">
          <w:rPr>
            <w:rStyle w:val="Hyperlink"/>
          </w:rPr>
          <w:t>Pumping Efficiency (Pumped Hydro Only)</w:t>
        </w:r>
        <w:r>
          <w:rPr>
            <w:webHidden/>
          </w:rPr>
          <w:tab/>
        </w:r>
        <w:r>
          <w:rPr>
            <w:webHidden/>
          </w:rPr>
          <w:fldChar w:fldCharType="begin"/>
        </w:r>
        <w:r>
          <w:rPr>
            <w:webHidden/>
          </w:rPr>
          <w:instrText xml:space="preserve"> PAGEREF _Toc213772325 \h </w:instrText>
        </w:r>
        <w:r>
          <w:rPr>
            <w:webHidden/>
          </w:rPr>
        </w:r>
        <w:r>
          <w:rPr>
            <w:webHidden/>
          </w:rPr>
          <w:fldChar w:fldCharType="separate"/>
        </w:r>
        <w:r>
          <w:rPr>
            <w:webHidden/>
          </w:rPr>
          <w:t>418</w:t>
        </w:r>
        <w:r>
          <w:rPr>
            <w:webHidden/>
          </w:rPr>
          <w:fldChar w:fldCharType="end"/>
        </w:r>
      </w:hyperlink>
    </w:p>
    <w:p w14:paraId="332EFCAE" w14:textId="16ACA295" w:rsidR="00023ECF" w:rsidRDefault="00023ECF">
      <w:pPr>
        <w:pStyle w:val="TOC3"/>
        <w:rPr>
          <w:rFonts w:asciiTheme="minorHAnsi" w:eastAsiaTheme="minorEastAsia" w:hAnsiTheme="minorHAnsi" w:cstheme="minorBidi"/>
          <w:bCs w:val="0"/>
          <w:kern w:val="2"/>
          <w:szCs w:val="24"/>
          <w14:ligatures w14:val="standardContextual"/>
        </w:rPr>
      </w:pPr>
      <w:hyperlink w:anchor="_Toc213772326" w:history="1">
        <w:r w:rsidRPr="00AC173C">
          <w:rPr>
            <w:rStyle w:val="Hyperlink"/>
          </w:rPr>
          <w:t>D.6.2</w:t>
        </w:r>
        <w:r>
          <w:rPr>
            <w:rFonts w:asciiTheme="minorHAnsi" w:eastAsiaTheme="minorEastAsia" w:hAnsiTheme="minorHAnsi" w:cstheme="minorBidi"/>
            <w:bCs w:val="0"/>
            <w:kern w:val="2"/>
            <w:szCs w:val="24"/>
            <w14:ligatures w14:val="standardContextual"/>
          </w:rPr>
          <w:tab/>
        </w:r>
        <w:r w:rsidRPr="00AC173C">
          <w:rPr>
            <w:rStyle w:val="Hyperlink"/>
          </w:rPr>
          <w:t>Performance Factors</w:t>
        </w:r>
        <w:r>
          <w:rPr>
            <w:webHidden/>
          </w:rPr>
          <w:tab/>
        </w:r>
        <w:r>
          <w:rPr>
            <w:webHidden/>
          </w:rPr>
          <w:fldChar w:fldCharType="begin"/>
        </w:r>
        <w:r>
          <w:rPr>
            <w:webHidden/>
          </w:rPr>
          <w:instrText xml:space="preserve"> PAGEREF _Toc213772326 \h </w:instrText>
        </w:r>
        <w:r>
          <w:rPr>
            <w:webHidden/>
          </w:rPr>
        </w:r>
        <w:r>
          <w:rPr>
            <w:webHidden/>
          </w:rPr>
          <w:fldChar w:fldCharType="separate"/>
        </w:r>
        <w:r>
          <w:rPr>
            <w:webHidden/>
          </w:rPr>
          <w:t>419</w:t>
        </w:r>
        <w:r>
          <w:rPr>
            <w:webHidden/>
          </w:rPr>
          <w:fldChar w:fldCharType="end"/>
        </w:r>
      </w:hyperlink>
    </w:p>
    <w:p w14:paraId="2CA07BAD" w14:textId="4C628292" w:rsidR="00023ECF" w:rsidRDefault="00023ECF">
      <w:pPr>
        <w:pStyle w:val="TOC3"/>
        <w:rPr>
          <w:rFonts w:asciiTheme="minorHAnsi" w:eastAsiaTheme="minorEastAsia" w:hAnsiTheme="minorHAnsi" w:cstheme="minorBidi"/>
          <w:bCs w:val="0"/>
          <w:kern w:val="2"/>
          <w:szCs w:val="24"/>
          <w14:ligatures w14:val="standardContextual"/>
        </w:rPr>
      </w:pPr>
      <w:hyperlink w:anchor="_Toc213772327" w:history="1">
        <w:r w:rsidRPr="00AC173C">
          <w:rPr>
            <w:rStyle w:val="Hyperlink"/>
          </w:rPr>
          <w:t>D.6.3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_Toc213772327 \h </w:instrText>
        </w:r>
        <w:r>
          <w:rPr>
            <w:webHidden/>
          </w:rPr>
        </w:r>
        <w:r>
          <w:rPr>
            <w:webHidden/>
          </w:rPr>
          <w:fldChar w:fldCharType="separate"/>
        </w:r>
        <w:r>
          <w:rPr>
            <w:webHidden/>
          </w:rPr>
          <w:t>420</w:t>
        </w:r>
        <w:r>
          <w:rPr>
            <w:webHidden/>
          </w:rPr>
          <w:fldChar w:fldCharType="end"/>
        </w:r>
      </w:hyperlink>
    </w:p>
    <w:p w14:paraId="23B554DF" w14:textId="5038A7B8" w:rsidR="00023ECF" w:rsidRDefault="00023ECF">
      <w:pPr>
        <w:pStyle w:val="TOC4"/>
        <w:rPr>
          <w:rFonts w:asciiTheme="minorHAnsi" w:eastAsiaTheme="minorEastAsia" w:hAnsiTheme="minorHAnsi" w:cstheme="minorBidi"/>
          <w:bCs w:val="0"/>
          <w:kern w:val="2"/>
          <w:szCs w:val="24"/>
          <w14:ligatures w14:val="standardContextual"/>
        </w:rPr>
      </w:pPr>
      <w:hyperlink w:anchor="_Toc213772328" w:history="1">
        <w:r w:rsidRPr="00AC173C">
          <w:rPr>
            <w:rStyle w:val="Hyperlink"/>
          </w:rPr>
          <w:t>D.6.3.1</w:t>
        </w:r>
        <w:r>
          <w:rPr>
            <w:rFonts w:asciiTheme="minorHAnsi" w:eastAsiaTheme="minorEastAsia" w:hAnsiTheme="minorHAnsi" w:cstheme="minorBidi"/>
            <w:bCs w:val="0"/>
            <w:kern w:val="2"/>
            <w:szCs w:val="24"/>
            <w14:ligatures w14:val="standardContextual"/>
          </w:rPr>
          <w:tab/>
        </w:r>
        <w:r w:rsidRPr="00AC173C">
          <w:rPr>
            <w:rStyle w:val="Hyperlink"/>
          </w:rPr>
          <w:t>Total Energy Input Related Costs for Pumped Storage Hydro Plant Generation</w:t>
        </w:r>
        <w:r>
          <w:rPr>
            <w:webHidden/>
          </w:rPr>
          <w:tab/>
        </w:r>
        <w:r>
          <w:rPr>
            <w:webHidden/>
          </w:rPr>
          <w:fldChar w:fldCharType="begin"/>
        </w:r>
        <w:r>
          <w:rPr>
            <w:webHidden/>
          </w:rPr>
          <w:instrText xml:space="preserve"> PAGEREF _Toc213772328 \h </w:instrText>
        </w:r>
        <w:r>
          <w:rPr>
            <w:webHidden/>
          </w:rPr>
        </w:r>
        <w:r>
          <w:rPr>
            <w:webHidden/>
          </w:rPr>
          <w:fldChar w:fldCharType="separate"/>
        </w:r>
        <w:r>
          <w:rPr>
            <w:webHidden/>
          </w:rPr>
          <w:t>420</w:t>
        </w:r>
        <w:r>
          <w:rPr>
            <w:webHidden/>
          </w:rPr>
          <w:fldChar w:fldCharType="end"/>
        </w:r>
      </w:hyperlink>
    </w:p>
    <w:p w14:paraId="7E85AB40" w14:textId="632B54A8" w:rsidR="00023ECF" w:rsidRDefault="00023ECF">
      <w:pPr>
        <w:pStyle w:val="TOC3"/>
        <w:rPr>
          <w:rFonts w:asciiTheme="minorHAnsi" w:eastAsiaTheme="minorEastAsia" w:hAnsiTheme="minorHAnsi" w:cstheme="minorBidi"/>
          <w:bCs w:val="0"/>
          <w:kern w:val="2"/>
          <w:szCs w:val="24"/>
          <w14:ligatures w14:val="standardContextual"/>
        </w:rPr>
      </w:pPr>
      <w:hyperlink w:anchor="_Toc213772329" w:history="1">
        <w:r w:rsidRPr="00AC173C">
          <w:rPr>
            <w:rStyle w:val="Hyperlink"/>
          </w:rPr>
          <w:t>D.6.4</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_Toc213772329 \h </w:instrText>
        </w:r>
        <w:r>
          <w:rPr>
            <w:webHidden/>
          </w:rPr>
        </w:r>
        <w:r>
          <w:rPr>
            <w:webHidden/>
          </w:rPr>
          <w:fldChar w:fldCharType="separate"/>
        </w:r>
        <w:r>
          <w:rPr>
            <w:webHidden/>
          </w:rPr>
          <w:t>420</w:t>
        </w:r>
        <w:r>
          <w:rPr>
            <w:webHidden/>
          </w:rPr>
          <w:fldChar w:fldCharType="end"/>
        </w:r>
      </w:hyperlink>
    </w:p>
    <w:p w14:paraId="6907B7F3" w14:textId="25190599" w:rsidR="00023ECF" w:rsidRDefault="00023ECF">
      <w:pPr>
        <w:pStyle w:val="TOC3"/>
        <w:rPr>
          <w:rFonts w:asciiTheme="minorHAnsi" w:eastAsiaTheme="minorEastAsia" w:hAnsiTheme="minorHAnsi" w:cstheme="minorBidi"/>
          <w:bCs w:val="0"/>
          <w:kern w:val="2"/>
          <w:szCs w:val="24"/>
          <w14:ligatures w14:val="standardContextual"/>
        </w:rPr>
      </w:pPr>
      <w:hyperlink w:anchor="_Toc213772330" w:history="1">
        <w:r w:rsidRPr="00AC173C">
          <w:rPr>
            <w:rStyle w:val="Hyperlink"/>
          </w:rPr>
          <w:t>D.6.5</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_Toc213772330 \h </w:instrText>
        </w:r>
        <w:r>
          <w:rPr>
            <w:webHidden/>
          </w:rPr>
        </w:r>
        <w:r>
          <w:rPr>
            <w:webHidden/>
          </w:rPr>
          <w:fldChar w:fldCharType="separate"/>
        </w:r>
        <w:r>
          <w:rPr>
            <w:webHidden/>
          </w:rPr>
          <w:t>420</w:t>
        </w:r>
        <w:r>
          <w:rPr>
            <w:webHidden/>
          </w:rPr>
          <w:fldChar w:fldCharType="end"/>
        </w:r>
      </w:hyperlink>
    </w:p>
    <w:p w14:paraId="6828CF4C" w14:textId="1616F14C" w:rsidR="00023ECF" w:rsidRDefault="00023ECF">
      <w:pPr>
        <w:pStyle w:val="TOC3"/>
        <w:rPr>
          <w:rFonts w:asciiTheme="minorHAnsi" w:eastAsiaTheme="minorEastAsia" w:hAnsiTheme="minorHAnsi" w:cstheme="minorBidi"/>
          <w:bCs w:val="0"/>
          <w:kern w:val="2"/>
          <w:szCs w:val="24"/>
          <w14:ligatures w14:val="standardContextual"/>
        </w:rPr>
      </w:pPr>
      <w:hyperlink w:anchor="_Toc213772331" w:history="1">
        <w:r w:rsidRPr="00AC173C">
          <w:rPr>
            <w:rStyle w:val="Hyperlink"/>
          </w:rPr>
          <w:t>D.6.6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_Toc213772331 \h </w:instrText>
        </w:r>
        <w:r>
          <w:rPr>
            <w:webHidden/>
          </w:rPr>
        </w:r>
        <w:r>
          <w:rPr>
            <w:webHidden/>
          </w:rPr>
          <w:fldChar w:fldCharType="separate"/>
        </w:r>
        <w:r>
          <w:rPr>
            <w:webHidden/>
          </w:rPr>
          <w:t>420</w:t>
        </w:r>
        <w:r>
          <w:rPr>
            <w:webHidden/>
          </w:rPr>
          <w:fldChar w:fldCharType="end"/>
        </w:r>
      </w:hyperlink>
    </w:p>
    <w:p w14:paraId="00A597A4" w14:textId="1C27FD4E" w:rsidR="00023ECF" w:rsidRDefault="00023ECF">
      <w:pPr>
        <w:pStyle w:val="TOC1"/>
        <w:rPr>
          <w:rFonts w:asciiTheme="minorHAnsi" w:eastAsiaTheme="minorEastAsia" w:hAnsiTheme="minorHAnsi" w:cstheme="minorBidi"/>
          <w:b w:val="0"/>
          <w:kern w:val="2"/>
          <w:szCs w:val="24"/>
          <w14:ligatures w14:val="standardContextual"/>
        </w:rPr>
      </w:pPr>
      <w:hyperlink w:anchor="_Toc213772332" w:history="1">
        <w:r w:rsidRPr="00AC173C">
          <w:rPr>
            <w:rStyle w:val="Hyperlink"/>
          </w:rPr>
          <w:t>D.7</w:t>
        </w:r>
        <w:r>
          <w:rPr>
            <w:rFonts w:asciiTheme="minorHAnsi" w:eastAsiaTheme="minorEastAsia" w:hAnsiTheme="minorHAnsi" w:cstheme="minorBidi"/>
            <w:b w:val="0"/>
            <w:kern w:val="2"/>
            <w:szCs w:val="24"/>
            <w14:ligatures w14:val="standardContextual"/>
          </w:rPr>
          <w:tab/>
        </w:r>
        <w:r w:rsidRPr="00AC173C">
          <w:rPr>
            <w:rStyle w:val="Hyperlink"/>
          </w:rPr>
          <w:t>Seasonal Hydroelectric Offer Curve (SHOC)</w:t>
        </w:r>
        <w:r>
          <w:rPr>
            <w:webHidden/>
          </w:rPr>
          <w:tab/>
        </w:r>
        <w:r>
          <w:rPr>
            <w:webHidden/>
          </w:rPr>
          <w:fldChar w:fldCharType="begin"/>
        </w:r>
        <w:r>
          <w:rPr>
            <w:webHidden/>
          </w:rPr>
          <w:instrText xml:space="preserve"> PAGEREF _Toc213772332 \h </w:instrText>
        </w:r>
        <w:r>
          <w:rPr>
            <w:webHidden/>
          </w:rPr>
        </w:r>
        <w:r>
          <w:rPr>
            <w:webHidden/>
          </w:rPr>
          <w:fldChar w:fldCharType="separate"/>
        </w:r>
        <w:r>
          <w:rPr>
            <w:webHidden/>
          </w:rPr>
          <w:t>421</w:t>
        </w:r>
        <w:r>
          <w:rPr>
            <w:webHidden/>
          </w:rPr>
          <w:fldChar w:fldCharType="end"/>
        </w:r>
      </w:hyperlink>
    </w:p>
    <w:p w14:paraId="6BB719CF" w14:textId="79AE6DC7" w:rsidR="00023ECF" w:rsidRDefault="00023ECF">
      <w:pPr>
        <w:pStyle w:val="TOC4"/>
        <w:rPr>
          <w:rFonts w:asciiTheme="minorHAnsi" w:eastAsiaTheme="minorEastAsia" w:hAnsiTheme="minorHAnsi" w:cstheme="minorBidi"/>
          <w:bCs w:val="0"/>
          <w:kern w:val="2"/>
          <w:szCs w:val="24"/>
          <w14:ligatures w14:val="standardContextual"/>
        </w:rPr>
      </w:pPr>
      <w:hyperlink w:anchor="_Toc213772333" w:history="1">
        <w:r w:rsidRPr="00AC173C">
          <w:rPr>
            <w:rStyle w:val="Hyperlink"/>
          </w:rPr>
          <w:t>12.1.1.1</w:t>
        </w:r>
        <w:r>
          <w:rPr>
            <w:rFonts w:asciiTheme="minorHAnsi" w:eastAsiaTheme="minorEastAsia" w:hAnsiTheme="minorHAnsi" w:cstheme="minorBidi"/>
            <w:bCs w:val="0"/>
            <w:kern w:val="2"/>
            <w:szCs w:val="24"/>
            <w14:ligatures w14:val="standardContextual"/>
          </w:rPr>
          <w:tab/>
        </w:r>
        <w:r w:rsidRPr="00AC173C">
          <w:rPr>
            <w:rStyle w:val="Hyperlink"/>
          </w:rPr>
          <w:t>D.7.1 Electric Pricing Hubs</w:t>
        </w:r>
        <w:r>
          <w:rPr>
            <w:webHidden/>
          </w:rPr>
          <w:tab/>
        </w:r>
        <w:r>
          <w:rPr>
            <w:webHidden/>
          </w:rPr>
          <w:fldChar w:fldCharType="begin"/>
        </w:r>
        <w:r>
          <w:rPr>
            <w:webHidden/>
          </w:rPr>
          <w:instrText xml:space="preserve"> PAGEREF _Toc213772333 \h </w:instrText>
        </w:r>
        <w:r>
          <w:rPr>
            <w:webHidden/>
          </w:rPr>
        </w:r>
        <w:r>
          <w:rPr>
            <w:webHidden/>
          </w:rPr>
          <w:fldChar w:fldCharType="separate"/>
        </w:r>
        <w:r>
          <w:rPr>
            <w:webHidden/>
          </w:rPr>
          <w:t>425</w:t>
        </w:r>
        <w:r>
          <w:rPr>
            <w:webHidden/>
          </w:rPr>
          <w:fldChar w:fldCharType="end"/>
        </w:r>
      </w:hyperlink>
    </w:p>
    <w:p w14:paraId="6A6612FC" w14:textId="77AB7FDD" w:rsidR="00023ECF" w:rsidRDefault="00023ECF">
      <w:pPr>
        <w:pStyle w:val="TOC1"/>
        <w:rPr>
          <w:rFonts w:asciiTheme="minorHAnsi" w:eastAsiaTheme="minorEastAsia" w:hAnsiTheme="minorHAnsi" w:cstheme="minorBidi"/>
          <w:b w:val="0"/>
          <w:kern w:val="2"/>
          <w:szCs w:val="24"/>
          <w14:ligatures w14:val="standardContextual"/>
        </w:rPr>
      </w:pPr>
      <w:hyperlink w:anchor="_Toc213772334" w:history="1">
        <w:r w:rsidRPr="00AC173C">
          <w:rPr>
            <w:rStyle w:val="Hyperlink"/>
          </w:rPr>
          <w:t>D.8</w:t>
        </w:r>
        <w:r>
          <w:rPr>
            <w:rFonts w:asciiTheme="minorHAnsi" w:eastAsiaTheme="minorEastAsia" w:hAnsiTheme="minorHAnsi" w:cstheme="minorBidi"/>
            <w:b w:val="0"/>
            <w:kern w:val="2"/>
            <w:szCs w:val="24"/>
            <w14:ligatures w14:val="standardContextual"/>
          </w:rPr>
          <w:tab/>
        </w:r>
        <w:r w:rsidRPr="00AC173C">
          <w:rPr>
            <w:rStyle w:val="Hyperlink"/>
          </w:rPr>
          <w:t>Demand Response Guidelines</w:t>
        </w:r>
        <w:r>
          <w:rPr>
            <w:webHidden/>
          </w:rPr>
          <w:tab/>
        </w:r>
        <w:r>
          <w:rPr>
            <w:webHidden/>
          </w:rPr>
          <w:fldChar w:fldCharType="begin"/>
        </w:r>
        <w:r>
          <w:rPr>
            <w:webHidden/>
          </w:rPr>
          <w:instrText xml:space="preserve"> PAGEREF _Toc213772334 \h </w:instrText>
        </w:r>
        <w:r>
          <w:rPr>
            <w:webHidden/>
          </w:rPr>
        </w:r>
        <w:r>
          <w:rPr>
            <w:webHidden/>
          </w:rPr>
          <w:fldChar w:fldCharType="separate"/>
        </w:r>
        <w:r>
          <w:rPr>
            <w:webHidden/>
          </w:rPr>
          <w:t>426</w:t>
        </w:r>
        <w:r>
          <w:rPr>
            <w:webHidden/>
          </w:rPr>
          <w:fldChar w:fldCharType="end"/>
        </w:r>
      </w:hyperlink>
    </w:p>
    <w:p w14:paraId="68F32B6E" w14:textId="26930C06" w:rsidR="00023ECF" w:rsidRDefault="00023ECF">
      <w:pPr>
        <w:pStyle w:val="TOC3"/>
        <w:rPr>
          <w:rFonts w:asciiTheme="minorHAnsi" w:eastAsiaTheme="minorEastAsia" w:hAnsiTheme="minorHAnsi" w:cstheme="minorBidi"/>
          <w:bCs w:val="0"/>
          <w:kern w:val="2"/>
          <w:szCs w:val="24"/>
          <w14:ligatures w14:val="standardContextual"/>
        </w:rPr>
      </w:pPr>
      <w:hyperlink w:anchor="_Toc213772335" w:history="1">
        <w:r w:rsidRPr="00AC173C">
          <w:rPr>
            <w:rStyle w:val="Hyperlink"/>
          </w:rPr>
          <w:t>D.8.1</w:t>
        </w:r>
        <w:r>
          <w:rPr>
            <w:rFonts w:asciiTheme="minorHAnsi" w:eastAsiaTheme="minorEastAsia" w:hAnsiTheme="minorHAnsi" w:cstheme="minorBidi"/>
            <w:bCs w:val="0"/>
            <w:kern w:val="2"/>
            <w:szCs w:val="24"/>
            <w14:ligatures w14:val="standardContextual"/>
          </w:rPr>
          <w:tab/>
        </w:r>
        <w:r w:rsidRPr="00AC173C">
          <w:rPr>
            <w:rStyle w:val="Hyperlink"/>
          </w:rPr>
          <w:t>DDRR Cost for Behind-The-Meter Generation</w:t>
        </w:r>
        <w:r>
          <w:rPr>
            <w:webHidden/>
          </w:rPr>
          <w:tab/>
        </w:r>
        <w:r>
          <w:rPr>
            <w:webHidden/>
          </w:rPr>
          <w:fldChar w:fldCharType="begin"/>
        </w:r>
        <w:r>
          <w:rPr>
            <w:webHidden/>
          </w:rPr>
          <w:instrText xml:space="preserve"> PAGEREF _Toc213772335 \h </w:instrText>
        </w:r>
        <w:r>
          <w:rPr>
            <w:webHidden/>
          </w:rPr>
        </w:r>
        <w:r>
          <w:rPr>
            <w:webHidden/>
          </w:rPr>
          <w:fldChar w:fldCharType="separate"/>
        </w:r>
        <w:r>
          <w:rPr>
            <w:webHidden/>
          </w:rPr>
          <w:t>426</w:t>
        </w:r>
        <w:r>
          <w:rPr>
            <w:webHidden/>
          </w:rPr>
          <w:fldChar w:fldCharType="end"/>
        </w:r>
      </w:hyperlink>
    </w:p>
    <w:p w14:paraId="53D60BA7" w14:textId="448F7800" w:rsidR="00023ECF" w:rsidRDefault="00023ECF">
      <w:pPr>
        <w:pStyle w:val="TOC3"/>
        <w:rPr>
          <w:rFonts w:asciiTheme="minorHAnsi" w:eastAsiaTheme="minorEastAsia" w:hAnsiTheme="minorHAnsi" w:cstheme="minorBidi"/>
          <w:bCs w:val="0"/>
          <w:kern w:val="2"/>
          <w:szCs w:val="24"/>
          <w14:ligatures w14:val="standardContextual"/>
        </w:rPr>
      </w:pPr>
      <w:hyperlink w:anchor="_Toc213772336" w:history="1">
        <w:r w:rsidRPr="00AC173C">
          <w:rPr>
            <w:rStyle w:val="Hyperlink"/>
          </w:rPr>
          <w:t>D.8.2</w:t>
        </w:r>
        <w:r>
          <w:rPr>
            <w:rFonts w:asciiTheme="minorHAnsi" w:eastAsiaTheme="minorEastAsia" w:hAnsiTheme="minorHAnsi" w:cstheme="minorBidi"/>
            <w:bCs w:val="0"/>
            <w:kern w:val="2"/>
            <w:szCs w:val="24"/>
            <w14:ligatures w14:val="standardContextual"/>
          </w:rPr>
          <w:tab/>
        </w:r>
        <w:r w:rsidRPr="00AC173C">
          <w:rPr>
            <w:rStyle w:val="Hyperlink"/>
          </w:rPr>
          <w:t>DDRR Cost for Demand Reduction</w:t>
        </w:r>
        <w:r>
          <w:rPr>
            <w:webHidden/>
          </w:rPr>
          <w:tab/>
        </w:r>
        <w:r>
          <w:rPr>
            <w:webHidden/>
          </w:rPr>
          <w:fldChar w:fldCharType="begin"/>
        </w:r>
        <w:r>
          <w:rPr>
            <w:webHidden/>
          </w:rPr>
          <w:instrText xml:space="preserve"> PAGEREF _Toc213772336 \h </w:instrText>
        </w:r>
        <w:r>
          <w:rPr>
            <w:webHidden/>
          </w:rPr>
        </w:r>
        <w:r>
          <w:rPr>
            <w:webHidden/>
          </w:rPr>
          <w:fldChar w:fldCharType="separate"/>
        </w:r>
        <w:r>
          <w:rPr>
            <w:webHidden/>
          </w:rPr>
          <w:t>426</w:t>
        </w:r>
        <w:r>
          <w:rPr>
            <w:webHidden/>
          </w:rPr>
          <w:fldChar w:fldCharType="end"/>
        </w:r>
      </w:hyperlink>
    </w:p>
    <w:p w14:paraId="5589E6B3" w14:textId="1F5C5601" w:rsidR="00023ECF" w:rsidRDefault="00023ECF">
      <w:pPr>
        <w:pStyle w:val="TOC3"/>
        <w:rPr>
          <w:rFonts w:asciiTheme="minorHAnsi" w:eastAsiaTheme="minorEastAsia" w:hAnsiTheme="minorHAnsi" w:cstheme="minorBidi"/>
          <w:bCs w:val="0"/>
          <w:kern w:val="2"/>
          <w:szCs w:val="24"/>
          <w14:ligatures w14:val="standardContextual"/>
        </w:rPr>
      </w:pPr>
      <w:hyperlink w:anchor="_Toc213772337" w:history="1">
        <w:r w:rsidRPr="00AC173C">
          <w:rPr>
            <w:rStyle w:val="Hyperlink"/>
          </w:rPr>
          <w:t>D.8.3</w:t>
        </w:r>
        <w:r>
          <w:rPr>
            <w:rFonts w:asciiTheme="minorHAnsi" w:eastAsiaTheme="minorEastAsia" w:hAnsiTheme="minorHAnsi" w:cstheme="minorBidi"/>
            <w:bCs w:val="0"/>
            <w:kern w:val="2"/>
            <w:szCs w:val="24"/>
            <w14:ligatures w14:val="standardContextual"/>
          </w:rPr>
          <w:tab/>
        </w:r>
        <w:r w:rsidRPr="00AC173C">
          <w:rPr>
            <w:rStyle w:val="Hyperlink"/>
          </w:rPr>
          <w:t>DDRR Start-Up Cost</w:t>
        </w:r>
        <w:r>
          <w:rPr>
            <w:webHidden/>
          </w:rPr>
          <w:tab/>
        </w:r>
        <w:r>
          <w:rPr>
            <w:webHidden/>
          </w:rPr>
          <w:fldChar w:fldCharType="begin"/>
        </w:r>
        <w:r>
          <w:rPr>
            <w:webHidden/>
          </w:rPr>
          <w:instrText xml:space="preserve"> PAGEREF _Toc213772337 \h </w:instrText>
        </w:r>
        <w:r>
          <w:rPr>
            <w:webHidden/>
          </w:rPr>
        </w:r>
        <w:r>
          <w:rPr>
            <w:webHidden/>
          </w:rPr>
          <w:fldChar w:fldCharType="separate"/>
        </w:r>
        <w:r>
          <w:rPr>
            <w:webHidden/>
          </w:rPr>
          <w:t>426</w:t>
        </w:r>
        <w:r>
          <w:rPr>
            <w:webHidden/>
          </w:rPr>
          <w:fldChar w:fldCharType="end"/>
        </w:r>
      </w:hyperlink>
    </w:p>
    <w:p w14:paraId="2664437C" w14:textId="4E054E04" w:rsidR="00023ECF" w:rsidRDefault="00023ECF">
      <w:pPr>
        <w:pStyle w:val="TOC1"/>
        <w:rPr>
          <w:rFonts w:asciiTheme="minorHAnsi" w:eastAsiaTheme="minorEastAsia" w:hAnsiTheme="minorHAnsi" w:cstheme="minorBidi"/>
          <w:b w:val="0"/>
          <w:kern w:val="2"/>
          <w:szCs w:val="24"/>
          <w14:ligatures w14:val="standardContextual"/>
        </w:rPr>
      </w:pPr>
      <w:hyperlink w:anchor="_Toc213772338" w:history="1">
        <w:r w:rsidRPr="00AC173C">
          <w:rPr>
            <w:rStyle w:val="Hyperlink"/>
          </w:rPr>
          <w:t>D.9</w:t>
        </w:r>
        <w:r>
          <w:rPr>
            <w:rFonts w:asciiTheme="minorHAnsi" w:eastAsiaTheme="minorEastAsia" w:hAnsiTheme="minorHAnsi" w:cstheme="minorBidi"/>
            <w:b w:val="0"/>
            <w:kern w:val="2"/>
            <w:szCs w:val="24"/>
            <w14:ligatures w14:val="standardContextual"/>
          </w:rPr>
          <w:tab/>
        </w:r>
        <w:r w:rsidRPr="00AC173C">
          <w:rPr>
            <w:rStyle w:val="Hyperlink"/>
          </w:rPr>
          <w:t>Wind Guidelines</w:t>
        </w:r>
        <w:r>
          <w:rPr>
            <w:webHidden/>
          </w:rPr>
          <w:tab/>
        </w:r>
        <w:r>
          <w:rPr>
            <w:webHidden/>
          </w:rPr>
          <w:fldChar w:fldCharType="begin"/>
        </w:r>
        <w:r>
          <w:rPr>
            <w:webHidden/>
          </w:rPr>
          <w:instrText xml:space="preserve"> PAGEREF _Toc213772338 \h </w:instrText>
        </w:r>
        <w:r>
          <w:rPr>
            <w:webHidden/>
          </w:rPr>
        </w:r>
        <w:r>
          <w:rPr>
            <w:webHidden/>
          </w:rPr>
          <w:fldChar w:fldCharType="separate"/>
        </w:r>
        <w:r>
          <w:rPr>
            <w:webHidden/>
          </w:rPr>
          <w:t>426</w:t>
        </w:r>
        <w:r>
          <w:rPr>
            <w:webHidden/>
          </w:rPr>
          <w:fldChar w:fldCharType="end"/>
        </w:r>
      </w:hyperlink>
    </w:p>
    <w:p w14:paraId="6F7DB972" w14:textId="4D45CE7C" w:rsidR="00023ECF" w:rsidRDefault="00023ECF">
      <w:pPr>
        <w:pStyle w:val="TOC3"/>
        <w:rPr>
          <w:rFonts w:asciiTheme="minorHAnsi" w:eastAsiaTheme="minorEastAsia" w:hAnsiTheme="minorHAnsi" w:cstheme="minorBidi"/>
          <w:bCs w:val="0"/>
          <w:kern w:val="2"/>
          <w:szCs w:val="24"/>
          <w14:ligatures w14:val="standardContextual"/>
        </w:rPr>
      </w:pPr>
      <w:hyperlink w:anchor="_Toc213772339" w:history="1">
        <w:r w:rsidRPr="00AC173C">
          <w:rPr>
            <w:rStyle w:val="Hyperlink"/>
          </w:rPr>
          <w:t>D.9.1</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_Toc213772339 \h </w:instrText>
        </w:r>
        <w:r>
          <w:rPr>
            <w:webHidden/>
          </w:rPr>
        </w:r>
        <w:r>
          <w:rPr>
            <w:webHidden/>
          </w:rPr>
          <w:fldChar w:fldCharType="separate"/>
        </w:r>
        <w:r>
          <w:rPr>
            <w:webHidden/>
          </w:rPr>
          <w:t>426</w:t>
        </w:r>
        <w:r>
          <w:rPr>
            <w:webHidden/>
          </w:rPr>
          <w:fldChar w:fldCharType="end"/>
        </w:r>
      </w:hyperlink>
    </w:p>
    <w:p w14:paraId="45403C9B" w14:textId="098FEA96" w:rsidR="00023ECF" w:rsidRDefault="00023ECF">
      <w:pPr>
        <w:pStyle w:val="TOC3"/>
        <w:rPr>
          <w:rFonts w:asciiTheme="minorHAnsi" w:eastAsiaTheme="minorEastAsia" w:hAnsiTheme="minorHAnsi" w:cstheme="minorBidi"/>
          <w:bCs w:val="0"/>
          <w:kern w:val="2"/>
          <w:szCs w:val="24"/>
          <w14:ligatures w14:val="standardContextual"/>
        </w:rPr>
      </w:pPr>
      <w:hyperlink w:anchor="_Toc213772340" w:history="1">
        <w:r w:rsidRPr="00AC173C">
          <w:rPr>
            <w:rStyle w:val="Hyperlink"/>
          </w:rPr>
          <w:t>D.9.2</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_Toc213772340 \h </w:instrText>
        </w:r>
        <w:r>
          <w:rPr>
            <w:webHidden/>
          </w:rPr>
        </w:r>
        <w:r>
          <w:rPr>
            <w:webHidden/>
          </w:rPr>
          <w:fldChar w:fldCharType="separate"/>
        </w:r>
        <w:r>
          <w:rPr>
            <w:webHidden/>
          </w:rPr>
          <w:t>427</w:t>
        </w:r>
        <w:r>
          <w:rPr>
            <w:webHidden/>
          </w:rPr>
          <w:fldChar w:fldCharType="end"/>
        </w:r>
      </w:hyperlink>
    </w:p>
    <w:p w14:paraId="4C61D941" w14:textId="06205D83" w:rsidR="00023ECF" w:rsidRDefault="00023ECF">
      <w:pPr>
        <w:pStyle w:val="TOC3"/>
        <w:rPr>
          <w:rFonts w:asciiTheme="minorHAnsi" w:eastAsiaTheme="minorEastAsia" w:hAnsiTheme="minorHAnsi" w:cstheme="minorBidi"/>
          <w:bCs w:val="0"/>
          <w:kern w:val="2"/>
          <w:szCs w:val="24"/>
          <w14:ligatures w14:val="standardContextual"/>
        </w:rPr>
      </w:pPr>
      <w:hyperlink w:anchor="_Toc213772341" w:history="1">
        <w:r w:rsidRPr="00AC173C">
          <w:rPr>
            <w:rStyle w:val="Hyperlink"/>
          </w:rPr>
          <w:t>D.9.3</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_Toc213772341 \h </w:instrText>
        </w:r>
        <w:r>
          <w:rPr>
            <w:webHidden/>
          </w:rPr>
        </w:r>
        <w:r>
          <w:rPr>
            <w:webHidden/>
          </w:rPr>
          <w:fldChar w:fldCharType="separate"/>
        </w:r>
        <w:r>
          <w:rPr>
            <w:webHidden/>
          </w:rPr>
          <w:t>427</w:t>
        </w:r>
        <w:r>
          <w:rPr>
            <w:webHidden/>
          </w:rPr>
          <w:fldChar w:fldCharType="end"/>
        </w:r>
      </w:hyperlink>
    </w:p>
    <w:p w14:paraId="60D86F5F" w14:textId="5AD73454" w:rsidR="00023ECF" w:rsidRDefault="00023ECF">
      <w:pPr>
        <w:pStyle w:val="TOC3"/>
        <w:rPr>
          <w:rFonts w:asciiTheme="minorHAnsi" w:eastAsiaTheme="minorEastAsia" w:hAnsiTheme="minorHAnsi" w:cstheme="minorBidi"/>
          <w:bCs w:val="0"/>
          <w:kern w:val="2"/>
          <w:szCs w:val="24"/>
          <w14:ligatures w14:val="standardContextual"/>
        </w:rPr>
      </w:pPr>
      <w:hyperlink w:anchor="_Toc213772342" w:history="1">
        <w:r w:rsidRPr="00AC173C">
          <w:rPr>
            <w:rStyle w:val="Hyperlink"/>
          </w:rPr>
          <w:t>D.9.4</w:t>
        </w:r>
        <w:r>
          <w:rPr>
            <w:rFonts w:asciiTheme="minorHAnsi" w:eastAsiaTheme="minorEastAsia" w:hAnsiTheme="minorHAnsi" w:cstheme="minorBidi"/>
            <w:bCs w:val="0"/>
            <w:kern w:val="2"/>
            <w:szCs w:val="24"/>
            <w14:ligatures w14:val="standardContextual"/>
          </w:rPr>
          <w:tab/>
        </w:r>
        <w:r w:rsidRPr="00AC173C">
          <w:rPr>
            <w:rStyle w:val="Hyperlink"/>
          </w:rPr>
          <w:t>VOM</w:t>
        </w:r>
        <w:r>
          <w:rPr>
            <w:webHidden/>
          </w:rPr>
          <w:tab/>
        </w:r>
        <w:r>
          <w:rPr>
            <w:webHidden/>
          </w:rPr>
          <w:fldChar w:fldCharType="begin"/>
        </w:r>
        <w:r>
          <w:rPr>
            <w:webHidden/>
          </w:rPr>
          <w:instrText xml:space="preserve"> PAGEREF _Toc213772342 \h </w:instrText>
        </w:r>
        <w:r>
          <w:rPr>
            <w:webHidden/>
          </w:rPr>
        </w:r>
        <w:r>
          <w:rPr>
            <w:webHidden/>
          </w:rPr>
          <w:fldChar w:fldCharType="separate"/>
        </w:r>
        <w:r>
          <w:rPr>
            <w:webHidden/>
          </w:rPr>
          <w:t>427</w:t>
        </w:r>
        <w:r>
          <w:rPr>
            <w:webHidden/>
          </w:rPr>
          <w:fldChar w:fldCharType="end"/>
        </w:r>
      </w:hyperlink>
    </w:p>
    <w:p w14:paraId="6A358AC4" w14:textId="3AE3B244"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343" w:history="1">
        <w:r w:rsidRPr="00AC173C">
          <w:rPr>
            <w:rStyle w:val="Hyperlink"/>
          </w:rPr>
          <w:t>D.10</w:t>
        </w:r>
        <w:r>
          <w:rPr>
            <w:rFonts w:asciiTheme="minorHAnsi" w:eastAsiaTheme="minorEastAsia" w:hAnsiTheme="minorHAnsi" w:cstheme="minorBidi"/>
            <w:b w:val="0"/>
            <w:kern w:val="2"/>
            <w:szCs w:val="24"/>
            <w14:ligatures w14:val="standardContextual"/>
          </w:rPr>
          <w:tab/>
        </w:r>
        <w:r w:rsidRPr="00AC173C">
          <w:rPr>
            <w:rStyle w:val="Hyperlink"/>
          </w:rPr>
          <w:t>Solar Guidelines</w:t>
        </w:r>
        <w:r>
          <w:rPr>
            <w:webHidden/>
          </w:rPr>
          <w:tab/>
        </w:r>
        <w:r>
          <w:rPr>
            <w:webHidden/>
          </w:rPr>
          <w:fldChar w:fldCharType="begin"/>
        </w:r>
        <w:r>
          <w:rPr>
            <w:webHidden/>
          </w:rPr>
          <w:instrText xml:space="preserve"> PAGEREF _Toc213772343 \h </w:instrText>
        </w:r>
        <w:r>
          <w:rPr>
            <w:webHidden/>
          </w:rPr>
        </w:r>
        <w:r>
          <w:rPr>
            <w:webHidden/>
          </w:rPr>
          <w:fldChar w:fldCharType="separate"/>
        </w:r>
        <w:r>
          <w:rPr>
            <w:webHidden/>
          </w:rPr>
          <w:t>427</w:t>
        </w:r>
        <w:r>
          <w:rPr>
            <w:webHidden/>
          </w:rPr>
          <w:fldChar w:fldCharType="end"/>
        </w:r>
      </w:hyperlink>
    </w:p>
    <w:p w14:paraId="231979B1" w14:textId="00F9A385" w:rsidR="00023ECF" w:rsidRDefault="00023ECF">
      <w:pPr>
        <w:pStyle w:val="TOC3"/>
        <w:rPr>
          <w:rFonts w:asciiTheme="minorHAnsi" w:eastAsiaTheme="minorEastAsia" w:hAnsiTheme="minorHAnsi" w:cstheme="minorBidi"/>
          <w:bCs w:val="0"/>
          <w:kern w:val="2"/>
          <w:szCs w:val="24"/>
          <w14:ligatures w14:val="standardContextual"/>
        </w:rPr>
      </w:pPr>
      <w:hyperlink w:anchor="_Toc213772344" w:history="1">
        <w:r w:rsidRPr="00AC173C">
          <w:rPr>
            <w:rStyle w:val="Hyperlink"/>
          </w:rPr>
          <w:t>D.10.1</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_Toc213772344 \h </w:instrText>
        </w:r>
        <w:r>
          <w:rPr>
            <w:webHidden/>
          </w:rPr>
        </w:r>
        <w:r>
          <w:rPr>
            <w:webHidden/>
          </w:rPr>
          <w:fldChar w:fldCharType="separate"/>
        </w:r>
        <w:r>
          <w:rPr>
            <w:webHidden/>
          </w:rPr>
          <w:t>427</w:t>
        </w:r>
        <w:r>
          <w:rPr>
            <w:webHidden/>
          </w:rPr>
          <w:fldChar w:fldCharType="end"/>
        </w:r>
      </w:hyperlink>
    </w:p>
    <w:p w14:paraId="235E31C7" w14:textId="7C82F292" w:rsidR="00023ECF" w:rsidRDefault="00023ECF">
      <w:pPr>
        <w:pStyle w:val="TOC3"/>
        <w:rPr>
          <w:rFonts w:asciiTheme="minorHAnsi" w:eastAsiaTheme="minorEastAsia" w:hAnsiTheme="minorHAnsi" w:cstheme="minorBidi"/>
          <w:bCs w:val="0"/>
          <w:kern w:val="2"/>
          <w:szCs w:val="24"/>
          <w14:ligatures w14:val="standardContextual"/>
        </w:rPr>
      </w:pPr>
      <w:hyperlink w:anchor="_Toc213772345" w:history="1">
        <w:r w:rsidRPr="00AC173C">
          <w:rPr>
            <w:rStyle w:val="Hyperlink"/>
          </w:rPr>
          <w:t>D.10.2</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_Toc213772345 \h </w:instrText>
        </w:r>
        <w:r>
          <w:rPr>
            <w:webHidden/>
          </w:rPr>
        </w:r>
        <w:r>
          <w:rPr>
            <w:webHidden/>
          </w:rPr>
          <w:fldChar w:fldCharType="separate"/>
        </w:r>
        <w:r>
          <w:rPr>
            <w:webHidden/>
          </w:rPr>
          <w:t>427</w:t>
        </w:r>
        <w:r>
          <w:rPr>
            <w:webHidden/>
          </w:rPr>
          <w:fldChar w:fldCharType="end"/>
        </w:r>
      </w:hyperlink>
    </w:p>
    <w:p w14:paraId="6FA854CA" w14:textId="21330248" w:rsidR="00023ECF" w:rsidRDefault="00023ECF">
      <w:pPr>
        <w:pStyle w:val="TOC3"/>
        <w:rPr>
          <w:rFonts w:asciiTheme="minorHAnsi" w:eastAsiaTheme="minorEastAsia" w:hAnsiTheme="minorHAnsi" w:cstheme="minorBidi"/>
          <w:bCs w:val="0"/>
          <w:kern w:val="2"/>
          <w:szCs w:val="24"/>
          <w14:ligatures w14:val="standardContextual"/>
        </w:rPr>
      </w:pPr>
      <w:hyperlink w:anchor="_Toc213772346" w:history="1">
        <w:r w:rsidRPr="00AC173C">
          <w:rPr>
            <w:rStyle w:val="Hyperlink"/>
          </w:rPr>
          <w:t>D.10.3</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_Toc213772346 \h </w:instrText>
        </w:r>
        <w:r>
          <w:rPr>
            <w:webHidden/>
          </w:rPr>
        </w:r>
        <w:r>
          <w:rPr>
            <w:webHidden/>
          </w:rPr>
          <w:fldChar w:fldCharType="separate"/>
        </w:r>
        <w:r>
          <w:rPr>
            <w:webHidden/>
          </w:rPr>
          <w:t>427</w:t>
        </w:r>
        <w:r>
          <w:rPr>
            <w:webHidden/>
          </w:rPr>
          <w:fldChar w:fldCharType="end"/>
        </w:r>
      </w:hyperlink>
    </w:p>
    <w:p w14:paraId="27C9BDC0" w14:textId="2BC139FA" w:rsidR="00023ECF" w:rsidRDefault="00023ECF">
      <w:pPr>
        <w:pStyle w:val="TOC3"/>
        <w:rPr>
          <w:rFonts w:asciiTheme="minorHAnsi" w:eastAsiaTheme="minorEastAsia" w:hAnsiTheme="minorHAnsi" w:cstheme="minorBidi"/>
          <w:bCs w:val="0"/>
          <w:kern w:val="2"/>
          <w:szCs w:val="24"/>
          <w14:ligatures w14:val="standardContextual"/>
        </w:rPr>
      </w:pPr>
      <w:hyperlink w:anchor="_Toc213772347" w:history="1">
        <w:r w:rsidRPr="00AC173C">
          <w:rPr>
            <w:rStyle w:val="Hyperlink"/>
          </w:rPr>
          <w:t>D.10.4</w:t>
        </w:r>
        <w:r>
          <w:rPr>
            <w:rFonts w:asciiTheme="minorHAnsi" w:eastAsiaTheme="minorEastAsia" w:hAnsiTheme="minorHAnsi" w:cstheme="minorBidi"/>
            <w:bCs w:val="0"/>
            <w:kern w:val="2"/>
            <w:szCs w:val="24"/>
            <w14:ligatures w14:val="standardContextual"/>
          </w:rPr>
          <w:tab/>
        </w:r>
        <w:r w:rsidRPr="00AC173C">
          <w:rPr>
            <w:rStyle w:val="Hyperlink"/>
          </w:rPr>
          <w:t>VOM</w:t>
        </w:r>
        <w:r>
          <w:rPr>
            <w:webHidden/>
          </w:rPr>
          <w:tab/>
        </w:r>
        <w:r>
          <w:rPr>
            <w:webHidden/>
          </w:rPr>
          <w:fldChar w:fldCharType="begin"/>
        </w:r>
        <w:r>
          <w:rPr>
            <w:webHidden/>
          </w:rPr>
          <w:instrText xml:space="preserve"> PAGEREF _Toc213772347 \h </w:instrText>
        </w:r>
        <w:r>
          <w:rPr>
            <w:webHidden/>
          </w:rPr>
        </w:r>
        <w:r>
          <w:rPr>
            <w:webHidden/>
          </w:rPr>
          <w:fldChar w:fldCharType="separate"/>
        </w:r>
        <w:r>
          <w:rPr>
            <w:webHidden/>
          </w:rPr>
          <w:t>427</w:t>
        </w:r>
        <w:r>
          <w:rPr>
            <w:webHidden/>
          </w:rPr>
          <w:fldChar w:fldCharType="end"/>
        </w:r>
      </w:hyperlink>
    </w:p>
    <w:p w14:paraId="018125AD" w14:textId="78694BFE"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348" w:history="1">
        <w:r w:rsidRPr="00AC173C">
          <w:rPr>
            <w:rStyle w:val="Hyperlink"/>
          </w:rPr>
          <w:t>D.11</w:t>
        </w:r>
        <w:r>
          <w:rPr>
            <w:rFonts w:asciiTheme="minorHAnsi" w:eastAsiaTheme="minorEastAsia" w:hAnsiTheme="minorHAnsi" w:cstheme="minorBidi"/>
            <w:b w:val="0"/>
            <w:kern w:val="2"/>
            <w:szCs w:val="24"/>
            <w14:ligatures w14:val="standardContextual"/>
          </w:rPr>
          <w:tab/>
        </w:r>
        <w:r w:rsidRPr="00AC173C">
          <w:rPr>
            <w:rStyle w:val="Hyperlink"/>
          </w:rPr>
          <w:t>Electric Storage Resource Guidelines</w:t>
        </w:r>
        <w:r>
          <w:rPr>
            <w:webHidden/>
          </w:rPr>
          <w:tab/>
        </w:r>
        <w:r>
          <w:rPr>
            <w:webHidden/>
          </w:rPr>
          <w:fldChar w:fldCharType="begin"/>
        </w:r>
        <w:r>
          <w:rPr>
            <w:webHidden/>
          </w:rPr>
          <w:instrText xml:space="preserve"> PAGEREF _Toc213772348 \h </w:instrText>
        </w:r>
        <w:r>
          <w:rPr>
            <w:webHidden/>
          </w:rPr>
        </w:r>
        <w:r>
          <w:rPr>
            <w:webHidden/>
          </w:rPr>
          <w:fldChar w:fldCharType="separate"/>
        </w:r>
        <w:r>
          <w:rPr>
            <w:webHidden/>
          </w:rPr>
          <w:t>428</w:t>
        </w:r>
        <w:r>
          <w:rPr>
            <w:webHidden/>
          </w:rPr>
          <w:fldChar w:fldCharType="end"/>
        </w:r>
      </w:hyperlink>
    </w:p>
    <w:p w14:paraId="528F16CB" w14:textId="4BD7BB59" w:rsidR="00023ECF" w:rsidRDefault="00023ECF">
      <w:pPr>
        <w:pStyle w:val="TOC3"/>
        <w:rPr>
          <w:rFonts w:asciiTheme="minorHAnsi" w:eastAsiaTheme="minorEastAsia" w:hAnsiTheme="minorHAnsi" w:cstheme="minorBidi"/>
          <w:bCs w:val="0"/>
          <w:kern w:val="2"/>
          <w:szCs w:val="24"/>
          <w14:ligatures w14:val="standardContextual"/>
        </w:rPr>
      </w:pPr>
      <w:hyperlink w:anchor="_Toc213772349" w:history="1">
        <w:r w:rsidRPr="00AC173C">
          <w:rPr>
            <w:rStyle w:val="Hyperlink"/>
          </w:rPr>
          <w:t>D.11.1</w:t>
        </w:r>
        <w:r>
          <w:rPr>
            <w:rFonts w:asciiTheme="minorHAnsi" w:eastAsiaTheme="minorEastAsia" w:hAnsiTheme="minorHAnsi" w:cstheme="minorBidi"/>
            <w:bCs w:val="0"/>
            <w:kern w:val="2"/>
            <w:szCs w:val="24"/>
            <w14:ligatures w14:val="standardContextual"/>
          </w:rPr>
          <w:tab/>
        </w:r>
        <w:r w:rsidRPr="00AC173C">
          <w:rPr>
            <w:rStyle w:val="Hyperlink"/>
          </w:rPr>
          <w:t>Round-Trip Efficiency</w:t>
        </w:r>
        <w:r>
          <w:rPr>
            <w:webHidden/>
          </w:rPr>
          <w:tab/>
        </w:r>
        <w:r>
          <w:rPr>
            <w:webHidden/>
          </w:rPr>
          <w:fldChar w:fldCharType="begin"/>
        </w:r>
        <w:r>
          <w:rPr>
            <w:webHidden/>
          </w:rPr>
          <w:instrText xml:space="preserve"> PAGEREF _Toc213772349 \h </w:instrText>
        </w:r>
        <w:r>
          <w:rPr>
            <w:webHidden/>
          </w:rPr>
        </w:r>
        <w:r>
          <w:rPr>
            <w:webHidden/>
          </w:rPr>
          <w:fldChar w:fldCharType="separate"/>
        </w:r>
        <w:r>
          <w:rPr>
            <w:webHidden/>
          </w:rPr>
          <w:t>428</w:t>
        </w:r>
        <w:r>
          <w:rPr>
            <w:webHidden/>
          </w:rPr>
          <w:fldChar w:fldCharType="end"/>
        </w:r>
      </w:hyperlink>
    </w:p>
    <w:p w14:paraId="566A4562" w14:textId="2CA93259" w:rsidR="00023ECF" w:rsidRDefault="00023ECF">
      <w:pPr>
        <w:pStyle w:val="TOC3"/>
        <w:rPr>
          <w:rFonts w:asciiTheme="minorHAnsi" w:eastAsiaTheme="minorEastAsia" w:hAnsiTheme="minorHAnsi" w:cstheme="minorBidi"/>
          <w:bCs w:val="0"/>
          <w:kern w:val="2"/>
          <w:szCs w:val="24"/>
          <w14:ligatures w14:val="standardContextual"/>
        </w:rPr>
      </w:pPr>
      <w:hyperlink w:anchor="_Toc213772350" w:history="1">
        <w:r w:rsidRPr="00AC173C">
          <w:rPr>
            <w:rStyle w:val="Hyperlink"/>
          </w:rPr>
          <w:t>D.11.2</w:t>
        </w:r>
        <w:r>
          <w:rPr>
            <w:rFonts w:asciiTheme="minorHAnsi" w:eastAsiaTheme="minorEastAsia" w:hAnsiTheme="minorHAnsi" w:cstheme="minorBidi"/>
            <w:bCs w:val="0"/>
            <w:kern w:val="2"/>
            <w:szCs w:val="24"/>
            <w14:ligatures w14:val="standardContextual"/>
          </w:rPr>
          <w:tab/>
        </w:r>
        <w:r w:rsidRPr="00AC173C">
          <w:rPr>
            <w:rStyle w:val="Hyperlink"/>
          </w:rPr>
          <w:t>Performance Factor</w:t>
        </w:r>
        <w:r>
          <w:rPr>
            <w:webHidden/>
          </w:rPr>
          <w:tab/>
        </w:r>
        <w:r>
          <w:rPr>
            <w:webHidden/>
          </w:rPr>
          <w:fldChar w:fldCharType="begin"/>
        </w:r>
        <w:r>
          <w:rPr>
            <w:webHidden/>
          </w:rPr>
          <w:instrText xml:space="preserve"> PAGEREF _Toc213772350 \h </w:instrText>
        </w:r>
        <w:r>
          <w:rPr>
            <w:webHidden/>
          </w:rPr>
        </w:r>
        <w:r>
          <w:rPr>
            <w:webHidden/>
          </w:rPr>
          <w:fldChar w:fldCharType="separate"/>
        </w:r>
        <w:r>
          <w:rPr>
            <w:webHidden/>
          </w:rPr>
          <w:t>428</w:t>
        </w:r>
        <w:r>
          <w:rPr>
            <w:webHidden/>
          </w:rPr>
          <w:fldChar w:fldCharType="end"/>
        </w:r>
      </w:hyperlink>
    </w:p>
    <w:p w14:paraId="45F4AB86" w14:textId="1DD56E8A" w:rsidR="00023ECF" w:rsidRDefault="00023ECF">
      <w:pPr>
        <w:pStyle w:val="TOC3"/>
        <w:rPr>
          <w:rFonts w:asciiTheme="minorHAnsi" w:eastAsiaTheme="minorEastAsia" w:hAnsiTheme="minorHAnsi" w:cstheme="minorBidi"/>
          <w:bCs w:val="0"/>
          <w:kern w:val="2"/>
          <w:szCs w:val="24"/>
          <w14:ligatures w14:val="standardContextual"/>
        </w:rPr>
      </w:pPr>
      <w:hyperlink w:anchor="_Toc213772351" w:history="1">
        <w:r w:rsidRPr="00AC173C">
          <w:rPr>
            <w:rStyle w:val="Hyperlink"/>
          </w:rPr>
          <w:t>D.11.3</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_Toc213772351 \h </w:instrText>
        </w:r>
        <w:r>
          <w:rPr>
            <w:webHidden/>
          </w:rPr>
        </w:r>
        <w:r>
          <w:rPr>
            <w:webHidden/>
          </w:rPr>
          <w:fldChar w:fldCharType="separate"/>
        </w:r>
        <w:r>
          <w:rPr>
            <w:webHidden/>
          </w:rPr>
          <w:t>428</w:t>
        </w:r>
        <w:r>
          <w:rPr>
            <w:webHidden/>
          </w:rPr>
          <w:fldChar w:fldCharType="end"/>
        </w:r>
      </w:hyperlink>
    </w:p>
    <w:p w14:paraId="5665153C" w14:textId="7F50A0DA" w:rsidR="00023ECF" w:rsidRDefault="00023ECF">
      <w:pPr>
        <w:pStyle w:val="TOC4"/>
        <w:rPr>
          <w:rFonts w:asciiTheme="minorHAnsi" w:eastAsiaTheme="minorEastAsia" w:hAnsiTheme="minorHAnsi" w:cstheme="minorBidi"/>
          <w:bCs w:val="0"/>
          <w:kern w:val="2"/>
          <w:szCs w:val="24"/>
          <w14:ligatures w14:val="standardContextual"/>
        </w:rPr>
      </w:pPr>
      <w:hyperlink w:anchor="_Toc213772352" w:history="1">
        <w:r w:rsidRPr="00AC173C">
          <w:rPr>
            <w:rStyle w:val="Hyperlink"/>
          </w:rPr>
          <w:t>D.11.3.1</w:t>
        </w:r>
        <w:r>
          <w:rPr>
            <w:rFonts w:asciiTheme="minorHAnsi" w:eastAsiaTheme="minorEastAsia" w:hAnsiTheme="minorHAnsi" w:cstheme="minorBidi"/>
            <w:bCs w:val="0"/>
            <w:kern w:val="2"/>
            <w:szCs w:val="24"/>
            <w14:ligatures w14:val="standardContextual"/>
          </w:rPr>
          <w:tab/>
        </w:r>
        <w:r w:rsidRPr="00AC173C">
          <w:rPr>
            <w:rStyle w:val="Hyperlink"/>
          </w:rPr>
          <w:t>Total Energy Input-Related Costs for Electric Storage Resource Generation</w:t>
        </w:r>
        <w:r>
          <w:rPr>
            <w:webHidden/>
          </w:rPr>
          <w:tab/>
        </w:r>
        <w:r>
          <w:rPr>
            <w:webHidden/>
          </w:rPr>
          <w:fldChar w:fldCharType="begin"/>
        </w:r>
        <w:r>
          <w:rPr>
            <w:webHidden/>
          </w:rPr>
          <w:instrText xml:space="preserve"> PAGEREF _Toc213772352 \h </w:instrText>
        </w:r>
        <w:r>
          <w:rPr>
            <w:webHidden/>
          </w:rPr>
        </w:r>
        <w:r>
          <w:rPr>
            <w:webHidden/>
          </w:rPr>
          <w:fldChar w:fldCharType="separate"/>
        </w:r>
        <w:r>
          <w:rPr>
            <w:webHidden/>
          </w:rPr>
          <w:t>430</w:t>
        </w:r>
        <w:r>
          <w:rPr>
            <w:webHidden/>
          </w:rPr>
          <w:fldChar w:fldCharType="end"/>
        </w:r>
      </w:hyperlink>
    </w:p>
    <w:p w14:paraId="7EEC8BAA" w14:textId="1EB6977A" w:rsidR="00023ECF" w:rsidRDefault="00023ECF">
      <w:pPr>
        <w:pStyle w:val="TOC3"/>
        <w:rPr>
          <w:rFonts w:asciiTheme="minorHAnsi" w:eastAsiaTheme="minorEastAsia" w:hAnsiTheme="minorHAnsi" w:cstheme="minorBidi"/>
          <w:bCs w:val="0"/>
          <w:kern w:val="2"/>
          <w:szCs w:val="24"/>
          <w14:ligatures w14:val="standardContextual"/>
        </w:rPr>
      </w:pPr>
      <w:hyperlink w:anchor="_Toc213772353" w:history="1">
        <w:r w:rsidRPr="00AC173C">
          <w:rPr>
            <w:rStyle w:val="Hyperlink"/>
          </w:rPr>
          <w:t>D.11.4</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_Toc213772353 \h </w:instrText>
        </w:r>
        <w:r>
          <w:rPr>
            <w:webHidden/>
          </w:rPr>
        </w:r>
        <w:r>
          <w:rPr>
            <w:webHidden/>
          </w:rPr>
          <w:fldChar w:fldCharType="separate"/>
        </w:r>
        <w:r>
          <w:rPr>
            <w:webHidden/>
          </w:rPr>
          <w:t>430</w:t>
        </w:r>
        <w:r>
          <w:rPr>
            <w:webHidden/>
          </w:rPr>
          <w:fldChar w:fldCharType="end"/>
        </w:r>
      </w:hyperlink>
    </w:p>
    <w:p w14:paraId="53B6F609" w14:textId="23E1F223" w:rsidR="00023ECF" w:rsidRDefault="00023ECF">
      <w:pPr>
        <w:pStyle w:val="TOC3"/>
        <w:rPr>
          <w:rFonts w:asciiTheme="minorHAnsi" w:eastAsiaTheme="minorEastAsia" w:hAnsiTheme="minorHAnsi" w:cstheme="minorBidi"/>
          <w:bCs w:val="0"/>
          <w:kern w:val="2"/>
          <w:szCs w:val="24"/>
          <w14:ligatures w14:val="standardContextual"/>
        </w:rPr>
      </w:pPr>
      <w:hyperlink w:anchor="_Toc213772354" w:history="1">
        <w:r w:rsidRPr="00AC173C">
          <w:rPr>
            <w:rStyle w:val="Hyperlink"/>
          </w:rPr>
          <w:t>D.11.5</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_Toc213772354 \h </w:instrText>
        </w:r>
        <w:r>
          <w:rPr>
            <w:webHidden/>
          </w:rPr>
        </w:r>
        <w:r>
          <w:rPr>
            <w:webHidden/>
          </w:rPr>
          <w:fldChar w:fldCharType="separate"/>
        </w:r>
        <w:r>
          <w:rPr>
            <w:webHidden/>
          </w:rPr>
          <w:t>430</w:t>
        </w:r>
        <w:r>
          <w:rPr>
            <w:webHidden/>
          </w:rPr>
          <w:fldChar w:fldCharType="end"/>
        </w:r>
      </w:hyperlink>
    </w:p>
    <w:p w14:paraId="2D09AC16" w14:textId="2487B61F" w:rsidR="00023ECF" w:rsidRDefault="00023ECF">
      <w:pPr>
        <w:pStyle w:val="TOC3"/>
        <w:rPr>
          <w:rFonts w:asciiTheme="minorHAnsi" w:eastAsiaTheme="minorEastAsia" w:hAnsiTheme="minorHAnsi" w:cstheme="minorBidi"/>
          <w:bCs w:val="0"/>
          <w:kern w:val="2"/>
          <w:szCs w:val="24"/>
          <w14:ligatures w14:val="standardContextual"/>
        </w:rPr>
      </w:pPr>
      <w:hyperlink w:anchor="_Toc213772355" w:history="1">
        <w:r w:rsidRPr="00AC173C">
          <w:rPr>
            <w:rStyle w:val="Hyperlink"/>
          </w:rPr>
          <w:t>D.11.6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_Toc213772355 \h </w:instrText>
        </w:r>
        <w:r>
          <w:rPr>
            <w:webHidden/>
          </w:rPr>
        </w:r>
        <w:r>
          <w:rPr>
            <w:webHidden/>
          </w:rPr>
          <w:fldChar w:fldCharType="separate"/>
        </w:r>
        <w:r>
          <w:rPr>
            <w:webHidden/>
          </w:rPr>
          <w:t>430</w:t>
        </w:r>
        <w:r>
          <w:rPr>
            <w:webHidden/>
          </w:rPr>
          <w:fldChar w:fldCharType="end"/>
        </w:r>
      </w:hyperlink>
    </w:p>
    <w:p w14:paraId="671B8249" w14:textId="30773F8B"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356" w:history="1">
        <w:r w:rsidRPr="00AC173C">
          <w:rPr>
            <w:rStyle w:val="Hyperlink"/>
          </w:rPr>
          <w:t>D.12</w:t>
        </w:r>
        <w:r>
          <w:rPr>
            <w:rFonts w:asciiTheme="minorHAnsi" w:eastAsiaTheme="minorEastAsia" w:hAnsiTheme="minorHAnsi" w:cstheme="minorBidi"/>
            <w:b w:val="0"/>
            <w:kern w:val="2"/>
            <w:szCs w:val="24"/>
            <w14:ligatures w14:val="standardContextual"/>
          </w:rPr>
          <w:tab/>
        </w:r>
        <w:r w:rsidRPr="00AC173C">
          <w:rPr>
            <w:rStyle w:val="Hyperlink"/>
          </w:rPr>
          <w:t>Greenhouse Gas Program</w:t>
        </w:r>
        <w:r>
          <w:rPr>
            <w:webHidden/>
          </w:rPr>
          <w:tab/>
        </w:r>
        <w:r>
          <w:rPr>
            <w:webHidden/>
          </w:rPr>
          <w:fldChar w:fldCharType="begin"/>
        </w:r>
        <w:r>
          <w:rPr>
            <w:webHidden/>
          </w:rPr>
          <w:instrText xml:space="preserve"> PAGEREF _Toc213772356 \h </w:instrText>
        </w:r>
        <w:r>
          <w:rPr>
            <w:webHidden/>
          </w:rPr>
        </w:r>
        <w:r>
          <w:rPr>
            <w:webHidden/>
          </w:rPr>
          <w:fldChar w:fldCharType="separate"/>
        </w:r>
        <w:r>
          <w:rPr>
            <w:webHidden/>
          </w:rPr>
          <w:t>431</w:t>
        </w:r>
        <w:r>
          <w:rPr>
            <w:webHidden/>
          </w:rPr>
          <w:fldChar w:fldCharType="end"/>
        </w:r>
      </w:hyperlink>
    </w:p>
    <w:p w14:paraId="25621080" w14:textId="0ED47BD7" w:rsidR="00023ECF" w:rsidRDefault="00023ECF">
      <w:pPr>
        <w:pStyle w:val="TOC3"/>
        <w:rPr>
          <w:rFonts w:asciiTheme="minorHAnsi" w:eastAsiaTheme="minorEastAsia" w:hAnsiTheme="minorHAnsi" w:cstheme="minorBidi"/>
          <w:bCs w:val="0"/>
          <w:kern w:val="2"/>
          <w:szCs w:val="24"/>
          <w14:ligatures w14:val="standardContextual"/>
        </w:rPr>
      </w:pPr>
      <w:hyperlink w:anchor="_Toc213772357" w:history="1">
        <w:r w:rsidRPr="00AC173C">
          <w:rPr>
            <w:rStyle w:val="Hyperlink"/>
          </w:rPr>
          <w:t>D.12.1</w:t>
        </w:r>
        <w:r>
          <w:rPr>
            <w:rFonts w:asciiTheme="minorHAnsi" w:eastAsiaTheme="minorEastAsia" w:hAnsiTheme="minorHAnsi" w:cstheme="minorBidi"/>
            <w:bCs w:val="0"/>
            <w:kern w:val="2"/>
            <w:szCs w:val="24"/>
            <w14:ligatures w14:val="standardContextual"/>
          </w:rPr>
          <w:tab/>
        </w:r>
        <w:r w:rsidRPr="00AC173C">
          <w:rPr>
            <w:rStyle w:val="Hyperlink"/>
          </w:rPr>
          <w:t>GHG Adders</w:t>
        </w:r>
        <w:r>
          <w:rPr>
            <w:webHidden/>
          </w:rPr>
          <w:tab/>
        </w:r>
        <w:r>
          <w:rPr>
            <w:webHidden/>
          </w:rPr>
          <w:fldChar w:fldCharType="begin"/>
        </w:r>
        <w:r>
          <w:rPr>
            <w:webHidden/>
          </w:rPr>
          <w:instrText xml:space="preserve"> PAGEREF _Toc213772357 \h </w:instrText>
        </w:r>
        <w:r>
          <w:rPr>
            <w:webHidden/>
          </w:rPr>
        </w:r>
        <w:r>
          <w:rPr>
            <w:webHidden/>
          </w:rPr>
          <w:fldChar w:fldCharType="separate"/>
        </w:r>
        <w:r>
          <w:rPr>
            <w:webHidden/>
          </w:rPr>
          <w:t>431</w:t>
        </w:r>
        <w:r>
          <w:rPr>
            <w:webHidden/>
          </w:rPr>
          <w:fldChar w:fldCharType="end"/>
        </w:r>
      </w:hyperlink>
    </w:p>
    <w:p w14:paraId="3E1FBA25" w14:textId="6DA0FBCF" w:rsidR="00023ECF" w:rsidRDefault="00023ECF">
      <w:pPr>
        <w:pStyle w:val="TOC3"/>
        <w:rPr>
          <w:rFonts w:asciiTheme="minorHAnsi" w:eastAsiaTheme="minorEastAsia" w:hAnsiTheme="minorHAnsi" w:cstheme="minorBidi"/>
          <w:bCs w:val="0"/>
          <w:kern w:val="2"/>
          <w:szCs w:val="24"/>
          <w14:ligatures w14:val="standardContextual"/>
        </w:rPr>
      </w:pPr>
      <w:hyperlink w:anchor="_Toc213772358" w:history="1">
        <w:r w:rsidRPr="00AC173C">
          <w:rPr>
            <w:rStyle w:val="Hyperlink"/>
          </w:rPr>
          <w:t>D.12.2</w:t>
        </w:r>
        <w:r>
          <w:rPr>
            <w:rFonts w:asciiTheme="minorHAnsi" w:eastAsiaTheme="minorEastAsia" w:hAnsiTheme="minorHAnsi" w:cstheme="minorBidi"/>
            <w:bCs w:val="0"/>
            <w:kern w:val="2"/>
            <w:szCs w:val="24"/>
            <w14:ligatures w14:val="standardContextual"/>
          </w:rPr>
          <w:tab/>
        </w:r>
        <w:r w:rsidRPr="00AC173C">
          <w:rPr>
            <w:rStyle w:val="Hyperlink"/>
          </w:rPr>
          <w:t>Internal and External Resources</w:t>
        </w:r>
        <w:r>
          <w:rPr>
            <w:webHidden/>
          </w:rPr>
          <w:tab/>
        </w:r>
        <w:r>
          <w:rPr>
            <w:webHidden/>
          </w:rPr>
          <w:fldChar w:fldCharType="begin"/>
        </w:r>
        <w:r>
          <w:rPr>
            <w:webHidden/>
          </w:rPr>
          <w:instrText xml:space="preserve"> PAGEREF _Toc213772358 \h </w:instrText>
        </w:r>
        <w:r>
          <w:rPr>
            <w:webHidden/>
          </w:rPr>
        </w:r>
        <w:r>
          <w:rPr>
            <w:webHidden/>
          </w:rPr>
          <w:fldChar w:fldCharType="separate"/>
        </w:r>
        <w:r>
          <w:rPr>
            <w:webHidden/>
          </w:rPr>
          <w:t>431</w:t>
        </w:r>
        <w:r>
          <w:rPr>
            <w:webHidden/>
          </w:rPr>
          <w:fldChar w:fldCharType="end"/>
        </w:r>
      </w:hyperlink>
    </w:p>
    <w:p w14:paraId="6234E765" w14:textId="30A0F260" w:rsidR="00023ECF" w:rsidRDefault="00023ECF">
      <w:pPr>
        <w:pStyle w:val="TOC4"/>
        <w:rPr>
          <w:rFonts w:asciiTheme="minorHAnsi" w:eastAsiaTheme="minorEastAsia" w:hAnsiTheme="minorHAnsi" w:cstheme="minorBidi"/>
          <w:bCs w:val="0"/>
          <w:kern w:val="2"/>
          <w:szCs w:val="24"/>
          <w14:ligatures w14:val="standardContextual"/>
        </w:rPr>
      </w:pPr>
      <w:hyperlink w:anchor="_Toc213772359" w:history="1">
        <w:r w:rsidRPr="00AC173C">
          <w:rPr>
            <w:rStyle w:val="Hyperlink"/>
          </w:rPr>
          <w:t>D.12.2.1</w:t>
        </w:r>
        <w:r>
          <w:rPr>
            <w:rFonts w:asciiTheme="minorHAnsi" w:eastAsiaTheme="minorEastAsia" w:hAnsiTheme="minorHAnsi" w:cstheme="minorBidi"/>
            <w:bCs w:val="0"/>
            <w:kern w:val="2"/>
            <w:szCs w:val="24"/>
            <w14:ligatures w14:val="standardContextual"/>
          </w:rPr>
          <w:tab/>
        </w:r>
        <w:r w:rsidRPr="00AC173C">
          <w:rPr>
            <w:rStyle w:val="Hyperlink"/>
          </w:rPr>
          <w:t>Internal GHG Resource Mitigated Start-Up Offer</w:t>
        </w:r>
        <w:r>
          <w:rPr>
            <w:webHidden/>
          </w:rPr>
          <w:tab/>
        </w:r>
        <w:r>
          <w:rPr>
            <w:webHidden/>
          </w:rPr>
          <w:fldChar w:fldCharType="begin"/>
        </w:r>
        <w:r>
          <w:rPr>
            <w:webHidden/>
          </w:rPr>
          <w:instrText xml:space="preserve"> PAGEREF _Toc213772359 \h </w:instrText>
        </w:r>
        <w:r>
          <w:rPr>
            <w:webHidden/>
          </w:rPr>
        </w:r>
        <w:r>
          <w:rPr>
            <w:webHidden/>
          </w:rPr>
          <w:fldChar w:fldCharType="separate"/>
        </w:r>
        <w:r>
          <w:rPr>
            <w:webHidden/>
          </w:rPr>
          <w:t>431</w:t>
        </w:r>
        <w:r>
          <w:rPr>
            <w:webHidden/>
          </w:rPr>
          <w:fldChar w:fldCharType="end"/>
        </w:r>
      </w:hyperlink>
    </w:p>
    <w:p w14:paraId="229DF23F" w14:textId="0D1436A2" w:rsidR="00023ECF" w:rsidRDefault="00023ECF">
      <w:pPr>
        <w:pStyle w:val="TOC4"/>
        <w:rPr>
          <w:rFonts w:asciiTheme="minorHAnsi" w:eastAsiaTheme="minorEastAsia" w:hAnsiTheme="minorHAnsi" w:cstheme="minorBidi"/>
          <w:bCs w:val="0"/>
          <w:kern w:val="2"/>
          <w:szCs w:val="24"/>
          <w14:ligatures w14:val="standardContextual"/>
        </w:rPr>
      </w:pPr>
      <w:hyperlink w:anchor="_Toc213772360" w:history="1">
        <w:r w:rsidRPr="00AC173C">
          <w:rPr>
            <w:rStyle w:val="Hyperlink"/>
          </w:rPr>
          <w:t>D.12.2.2</w:t>
        </w:r>
        <w:r>
          <w:rPr>
            <w:rFonts w:asciiTheme="minorHAnsi" w:eastAsiaTheme="minorEastAsia" w:hAnsiTheme="minorHAnsi" w:cstheme="minorBidi"/>
            <w:bCs w:val="0"/>
            <w:kern w:val="2"/>
            <w:szCs w:val="24"/>
            <w14:ligatures w14:val="standardContextual"/>
          </w:rPr>
          <w:tab/>
        </w:r>
        <w:r w:rsidRPr="00AC173C">
          <w:rPr>
            <w:rStyle w:val="Hyperlink"/>
          </w:rPr>
          <w:t>Internal GHG Resource Mitigated No-Load Offer</w:t>
        </w:r>
        <w:r>
          <w:rPr>
            <w:webHidden/>
          </w:rPr>
          <w:tab/>
        </w:r>
        <w:r>
          <w:rPr>
            <w:webHidden/>
          </w:rPr>
          <w:fldChar w:fldCharType="begin"/>
        </w:r>
        <w:r>
          <w:rPr>
            <w:webHidden/>
          </w:rPr>
          <w:instrText xml:space="preserve"> PAGEREF _Toc213772360 \h </w:instrText>
        </w:r>
        <w:r>
          <w:rPr>
            <w:webHidden/>
          </w:rPr>
        </w:r>
        <w:r>
          <w:rPr>
            <w:webHidden/>
          </w:rPr>
          <w:fldChar w:fldCharType="separate"/>
        </w:r>
        <w:r>
          <w:rPr>
            <w:webHidden/>
          </w:rPr>
          <w:t>432</w:t>
        </w:r>
        <w:r>
          <w:rPr>
            <w:webHidden/>
          </w:rPr>
          <w:fldChar w:fldCharType="end"/>
        </w:r>
      </w:hyperlink>
    </w:p>
    <w:p w14:paraId="20632B96" w14:textId="6D9794BF" w:rsidR="00023ECF" w:rsidRDefault="00023ECF">
      <w:pPr>
        <w:pStyle w:val="TOC3"/>
        <w:rPr>
          <w:rFonts w:asciiTheme="minorHAnsi" w:eastAsiaTheme="minorEastAsia" w:hAnsiTheme="minorHAnsi" w:cstheme="minorBidi"/>
          <w:bCs w:val="0"/>
          <w:kern w:val="2"/>
          <w:szCs w:val="24"/>
          <w14:ligatures w14:val="standardContextual"/>
        </w:rPr>
      </w:pPr>
      <w:hyperlink w:anchor="_Toc213772361" w:history="1">
        <w:r w:rsidRPr="00AC173C">
          <w:rPr>
            <w:rStyle w:val="Hyperlink"/>
          </w:rPr>
          <w:t>D.12.3</w:t>
        </w:r>
        <w:r>
          <w:rPr>
            <w:rFonts w:asciiTheme="minorHAnsi" w:eastAsiaTheme="minorEastAsia" w:hAnsiTheme="minorHAnsi" w:cstheme="minorBidi"/>
            <w:bCs w:val="0"/>
            <w:kern w:val="2"/>
            <w:szCs w:val="24"/>
            <w14:ligatures w14:val="standardContextual"/>
          </w:rPr>
          <w:tab/>
        </w:r>
        <w:r w:rsidRPr="00AC173C">
          <w:rPr>
            <w:rStyle w:val="Hyperlink"/>
          </w:rPr>
          <w:t>Prohibition on Double-Counting</w:t>
        </w:r>
        <w:r>
          <w:rPr>
            <w:webHidden/>
          </w:rPr>
          <w:tab/>
        </w:r>
        <w:r>
          <w:rPr>
            <w:webHidden/>
          </w:rPr>
          <w:fldChar w:fldCharType="begin"/>
        </w:r>
        <w:r>
          <w:rPr>
            <w:webHidden/>
          </w:rPr>
          <w:instrText xml:space="preserve"> PAGEREF _Toc213772361 \h </w:instrText>
        </w:r>
        <w:r>
          <w:rPr>
            <w:webHidden/>
          </w:rPr>
        </w:r>
        <w:r>
          <w:rPr>
            <w:webHidden/>
          </w:rPr>
          <w:fldChar w:fldCharType="separate"/>
        </w:r>
        <w:r>
          <w:rPr>
            <w:webHidden/>
          </w:rPr>
          <w:t>432</w:t>
        </w:r>
        <w:r>
          <w:rPr>
            <w:webHidden/>
          </w:rPr>
          <w:fldChar w:fldCharType="end"/>
        </w:r>
      </w:hyperlink>
    </w:p>
    <w:p w14:paraId="178BE506" w14:textId="07880528" w:rsidR="00023ECF" w:rsidRDefault="00023ECF">
      <w:pPr>
        <w:pStyle w:val="TOC3"/>
        <w:rPr>
          <w:rFonts w:asciiTheme="minorHAnsi" w:eastAsiaTheme="minorEastAsia" w:hAnsiTheme="minorHAnsi" w:cstheme="minorBidi"/>
          <w:bCs w:val="0"/>
          <w:kern w:val="2"/>
          <w:szCs w:val="24"/>
          <w14:ligatures w14:val="standardContextual"/>
        </w:rPr>
      </w:pPr>
      <w:hyperlink w:anchor="_Toc213772362" w:history="1">
        <w:r w:rsidRPr="00AC173C">
          <w:rPr>
            <w:rStyle w:val="Hyperlink"/>
          </w:rPr>
          <w:t>D.12.4</w:t>
        </w:r>
        <w:r>
          <w:rPr>
            <w:rFonts w:asciiTheme="minorHAnsi" w:eastAsiaTheme="minorEastAsia" w:hAnsiTheme="minorHAnsi" w:cstheme="minorBidi"/>
            <w:bCs w:val="0"/>
            <w:kern w:val="2"/>
            <w:szCs w:val="24"/>
            <w14:ligatures w14:val="standardContextual"/>
          </w:rPr>
          <w:tab/>
        </w:r>
        <w:r w:rsidRPr="00AC173C">
          <w:rPr>
            <w:rStyle w:val="Hyperlink"/>
          </w:rPr>
          <w:t>Emissions Factor</w:t>
        </w:r>
        <w:r>
          <w:rPr>
            <w:webHidden/>
          </w:rPr>
          <w:tab/>
        </w:r>
        <w:r>
          <w:rPr>
            <w:webHidden/>
          </w:rPr>
          <w:fldChar w:fldCharType="begin"/>
        </w:r>
        <w:r>
          <w:rPr>
            <w:webHidden/>
          </w:rPr>
          <w:instrText xml:space="preserve"> PAGEREF _Toc213772362 \h </w:instrText>
        </w:r>
        <w:r>
          <w:rPr>
            <w:webHidden/>
          </w:rPr>
        </w:r>
        <w:r>
          <w:rPr>
            <w:webHidden/>
          </w:rPr>
          <w:fldChar w:fldCharType="separate"/>
        </w:r>
        <w:r>
          <w:rPr>
            <w:webHidden/>
          </w:rPr>
          <w:t>432</w:t>
        </w:r>
        <w:r>
          <w:rPr>
            <w:webHidden/>
          </w:rPr>
          <w:fldChar w:fldCharType="end"/>
        </w:r>
      </w:hyperlink>
    </w:p>
    <w:p w14:paraId="6CDDCE40" w14:textId="456AD04C" w:rsidR="00023ECF" w:rsidRDefault="00023ECF">
      <w:pPr>
        <w:pStyle w:val="TOC3"/>
        <w:rPr>
          <w:rFonts w:asciiTheme="minorHAnsi" w:eastAsiaTheme="minorEastAsia" w:hAnsiTheme="minorHAnsi" w:cstheme="minorBidi"/>
          <w:bCs w:val="0"/>
          <w:kern w:val="2"/>
          <w:szCs w:val="24"/>
          <w14:ligatures w14:val="standardContextual"/>
        </w:rPr>
      </w:pPr>
      <w:hyperlink w:anchor="_Toc213772363" w:history="1">
        <w:r w:rsidRPr="00AC173C">
          <w:rPr>
            <w:rStyle w:val="Hyperlink"/>
          </w:rPr>
          <w:t>D.12.5</w:t>
        </w:r>
        <w:r>
          <w:rPr>
            <w:rFonts w:asciiTheme="minorHAnsi" w:eastAsiaTheme="minorEastAsia" w:hAnsiTheme="minorHAnsi" w:cstheme="minorBidi"/>
            <w:bCs w:val="0"/>
            <w:kern w:val="2"/>
            <w:szCs w:val="24"/>
            <w14:ligatures w14:val="standardContextual"/>
          </w:rPr>
          <w:tab/>
        </w:r>
        <w:r w:rsidRPr="00AC173C">
          <w:rPr>
            <w:rStyle w:val="Hyperlink"/>
          </w:rPr>
          <w:t>Allowance Price</w:t>
        </w:r>
        <w:r>
          <w:rPr>
            <w:webHidden/>
          </w:rPr>
          <w:tab/>
        </w:r>
        <w:r>
          <w:rPr>
            <w:webHidden/>
          </w:rPr>
          <w:fldChar w:fldCharType="begin"/>
        </w:r>
        <w:r>
          <w:rPr>
            <w:webHidden/>
          </w:rPr>
          <w:instrText xml:space="preserve"> PAGEREF _Toc213772363 \h </w:instrText>
        </w:r>
        <w:r>
          <w:rPr>
            <w:webHidden/>
          </w:rPr>
        </w:r>
        <w:r>
          <w:rPr>
            <w:webHidden/>
          </w:rPr>
          <w:fldChar w:fldCharType="separate"/>
        </w:r>
        <w:r>
          <w:rPr>
            <w:webHidden/>
          </w:rPr>
          <w:t>432</w:t>
        </w:r>
        <w:r>
          <w:rPr>
            <w:webHidden/>
          </w:rPr>
          <w:fldChar w:fldCharType="end"/>
        </w:r>
      </w:hyperlink>
    </w:p>
    <w:p w14:paraId="143E5A80" w14:textId="1A503077"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364" w:history="1">
        <w:r w:rsidRPr="00AC173C">
          <w:rPr>
            <w:rStyle w:val="Hyperlink"/>
          </w:rPr>
          <w:t>D.13</w:t>
        </w:r>
        <w:r>
          <w:rPr>
            <w:rFonts w:asciiTheme="minorHAnsi" w:eastAsiaTheme="minorEastAsia" w:hAnsiTheme="minorHAnsi" w:cstheme="minorBidi"/>
            <w:b w:val="0"/>
            <w:kern w:val="2"/>
            <w:szCs w:val="24"/>
            <w14:ligatures w14:val="standardContextual"/>
          </w:rPr>
          <w:tab/>
        </w:r>
        <w:r w:rsidRPr="00AC173C">
          <w:rPr>
            <w:rStyle w:val="Hyperlink"/>
          </w:rPr>
          <w:t xml:space="preserve"> Resource Aggregation Guidelines</w:t>
        </w:r>
        <w:r>
          <w:rPr>
            <w:webHidden/>
          </w:rPr>
          <w:tab/>
        </w:r>
        <w:r>
          <w:rPr>
            <w:webHidden/>
          </w:rPr>
          <w:fldChar w:fldCharType="begin"/>
        </w:r>
        <w:r>
          <w:rPr>
            <w:webHidden/>
          </w:rPr>
          <w:instrText xml:space="preserve"> PAGEREF _Toc213772364 \h </w:instrText>
        </w:r>
        <w:r>
          <w:rPr>
            <w:webHidden/>
          </w:rPr>
        </w:r>
        <w:r>
          <w:rPr>
            <w:webHidden/>
          </w:rPr>
          <w:fldChar w:fldCharType="separate"/>
        </w:r>
        <w:r>
          <w:rPr>
            <w:webHidden/>
          </w:rPr>
          <w:t>432</w:t>
        </w:r>
        <w:r>
          <w:rPr>
            <w:webHidden/>
          </w:rPr>
          <w:fldChar w:fldCharType="end"/>
        </w:r>
      </w:hyperlink>
    </w:p>
    <w:p w14:paraId="37228DAF" w14:textId="2E025951" w:rsidR="00023ECF" w:rsidRDefault="00023ECF">
      <w:pPr>
        <w:pStyle w:val="TOC3"/>
        <w:rPr>
          <w:rFonts w:asciiTheme="minorHAnsi" w:eastAsiaTheme="minorEastAsia" w:hAnsiTheme="minorHAnsi" w:cstheme="minorBidi"/>
          <w:bCs w:val="0"/>
          <w:kern w:val="2"/>
          <w:szCs w:val="24"/>
          <w14:ligatures w14:val="standardContextual"/>
        </w:rPr>
      </w:pPr>
      <w:hyperlink w:anchor="_Toc213772366" w:history="1">
        <w:r w:rsidRPr="00AC173C">
          <w:rPr>
            <w:rStyle w:val="Hyperlink"/>
          </w:rPr>
          <w:t>D.13.1</w:t>
        </w:r>
        <w:r>
          <w:rPr>
            <w:rFonts w:asciiTheme="minorHAnsi" w:eastAsiaTheme="minorEastAsia" w:hAnsiTheme="minorHAnsi" w:cstheme="minorBidi"/>
            <w:bCs w:val="0"/>
            <w:kern w:val="2"/>
            <w:szCs w:val="24"/>
            <w14:ligatures w14:val="standardContextual"/>
          </w:rPr>
          <w:tab/>
        </w:r>
        <w:r w:rsidRPr="00AC173C">
          <w:rPr>
            <w:rStyle w:val="Hyperlink"/>
          </w:rPr>
          <w:t>Heat Rate</w:t>
        </w:r>
        <w:r>
          <w:rPr>
            <w:webHidden/>
          </w:rPr>
          <w:tab/>
        </w:r>
        <w:r>
          <w:rPr>
            <w:webHidden/>
          </w:rPr>
          <w:fldChar w:fldCharType="begin"/>
        </w:r>
        <w:r>
          <w:rPr>
            <w:webHidden/>
          </w:rPr>
          <w:instrText xml:space="preserve"> PAGEREF _Toc213772366 \h </w:instrText>
        </w:r>
        <w:r>
          <w:rPr>
            <w:webHidden/>
          </w:rPr>
        </w:r>
        <w:r>
          <w:rPr>
            <w:webHidden/>
          </w:rPr>
          <w:fldChar w:fldCharType="separate"/>
        </w:r>
        <w:r>
          <w:rPr>
            <w:webHidden/>
          </w:rPr>
          <w:t>433</w:t>
        </w:r>
        <w:r>
          <w:rPr>
            <w:webHidden/>
          </w:rPr>
          <w:fldChar w:fldCharType="end"/>
        </w:r>
      </w:hyperlink>
    </w:p>
    <w:p w14:paraId="43A23A5B" w14:textId="6B6E0A90" w:rsidR="00023ECF" w:rsidRDefault="00023ECF">
      <w:pPr>
        <w:pStyle w:val="TOC4"/>
        <w:rPr>
          <w:rFonts w:asciiTheme="minorHAnsi" w:eastAsiaTheme="minorEastAsia" w:hAnsiTheme="minorHAnsi" w:cstheme="minorBidi"/>
          <w:bCs w:val="0"/>
          <w:kern w:val="2"/>
          <w:szCs w:val="24"/>
          <w14:ligatures w14:val="standardContextual"/>
        </w:rPr>
      </w:pPr>
      <w:hyperlink w:anchor="_Toc213772367" w:history="1">
        <w:r w:rsidRPr="00AC173C">
          <w:rPr>
            <w:rStyle w:val="Hyperlink"/>
          </w:rPr>
          <w:t>D.13.1.1</w:t>
        </w:r>
        <w:r>
          <w:rPr>
            <w:rFonts w:asciiTheme="minorHAnsi" w:eastAsiaTheme="minorEastAsia" w:hAnsiTheme="minorHAnsi" w:cstheme="minorBidi"/>
            <w:bCs w:val="0"/>
            <w:kern w:val="2"/>
            <w:szCs w:val="24"/>
            <w14:ligatures w14:val="standardContextual"/>
          </w:rPr>
          <w:tab/>
        </w:r>
        <w:r w:rsidRPr="00AC173C">
          <w:rPr>
            <w:rStyle w:val="Hyperlink"/>
          </w:rPr>
          <w:t>Performance Factors</w:t>
        </w:r>
        <w:r>
          <w:rPr>
            <w:webHidden/>
          </w:rPr>
          <w:tab/>
        </w:r>
        <w:r>
          <w:rPr>
            <w:webHidden/>
          </w:rPr>
          <w:fldChar w:fldCharType="begin"/>
        </w:r>
        <w:r>
          <w:rPr>
            <w:webHidden/>
          </w:rPr>
          <w:instrText xml:space="preserve"> PAGEREF _Toc213772367 \h </w:instrText>
        </w:r>
        <w:r>
          <w:rPr>
            <w:webHidden/>
          </w:rPr>
        </w:r>
        <w:r>
          <w:rPr>
            <w:webHidden/>
          </w:rPr>
          <w:fldChar w:fldCharType="separate"/>
        </w:r>
        <w:r>
          <w:rPr>
            <w:webHidden/>
          </w:rPr>
          <w:t>433</w:t>
        </w:r>
        <w:r>
          <w:rPr>
            <w:webHidden/>
          </w:rPr>
          <w:fldChar w:fldCharType="end"/>
        </w:r>
      </w:hyperlink>
    </w:p>
    <w:p w14:paraId="41A58F59" w14:textId="227959D8" w:rsidR="00023ECF" w:rsidRDefault="00023ECF">
      <w:pPr>
        <w:pStyle w:val="TOC3"/>
        <w:rPr>
          <w:rFonts w:asciiTheme="minorHAnsi" w:eastAsiaTheme="minorEastAsia" w:hAnsiTheme="minorHAnsi" w:cstheme="minorBidi"/>
          <w:bCs w:val="0"/>
          <w:kern w:val="2"/>
          <w:szCs w:val="24"/>
          <w14:ligatures w14:val="standardContextual"/>
        </w:rPr>
      </w:pPr>
      <w:hyperlink w:anchor="_Toc213772368" w:history="1">
        <w:r w:rsidRPr="00AC173C">
          <w:rPr>
            <w:rStyle w:val="Hyperlink"/>
          </w:rPr>
          <w:t>D.13.2</w:t>
        </w:r>
        <w:r>
          <w:rPr>
            <w:rFonts w:asciiTheme="minorHAnsi" w:eastAsiaTheme="minorEastAsia" w:hAnsiTheme="minorHAnsi" w:cstheme="minorBidi"/>
            <w:bCs w:val="0"/>
            <w:kern w:val="2"/>
            <w:szCs w:val="24"/>
            <w14:ligatures w14:val="standardContextual"/>
          </w:rPr>
          <w:tab/>
        </w:r>
        <w:r w:rsidRPr="00AC173C">
          <w:rPr>
            <w:rStyle w:val="Hyperlink"/>
          </w:rPr>
          <w:t>Fuel Cost</w:t>
        </w:r>
        <w:r>
          <w:rPr>
            <w:webHidden/>
          </w:rPr>
          <w:tab/>
        </w:r>
        <w:r>
          <w:rPr>
            <w:webHidden/>
          </w:rPr>
          <w:fldChar w:fldCharType="begin"/>
        </w:r>
        <w:r>
          <w:rPr>
            <w:webHidden/>
          </w:rPr>
          <w:instrText xml:space="preserve"> PAGEREF _Toc213772368 \h </w:instrText>
        </w:r>
        <w:r>
          <w:rPr>
            <w:webHidden/>
          </w:rPr>
        </w:r>
        <w:r>
          <w:rPr>
            <w:webHidden/>
          </w:rPr>
          <w:fldChar w:fldCharType="separate"/>
        </w:r>
        <w:r>
          <w:rPr>
            <w:webHidden/>
          </w:rPr>
          <w:t>433</w:t>
        </w:r>
        <w:r>
          <w:rPr>
            <w:webHidden/>
          </w:rPr>
          <w:fldChar w:fldCharType="end"/>
        </w:r>
      </w:hyperlink>
    </w:p>
    <w:p w14:paraId="07791E74" w14:textId="3D200069" w:rsidR="00023ECF" w:rsidRDefault="00023ECF">
      <w:pPr>
        <w:pStyle w:val="TOC3"/>
        <w:rPr>
          <w:rFonts w:asciiTheme="minorHAnsi" w:eastAsiaTheme="minorEastAsia" w:hAnsiTheme="minorHAnsi" w:cstheme="minorBidi"/>
          <w:bCs w:val="0"/>
          <w:kern w:val="2"/>
          <w:szCs w:val="24"/>
          <w14:ligatures w14:val="standardContextual"/>
        </w:rPr>
      </w:pPr>
      <w:hyperlink w:anchor="_Toc213772369" w:history="1">
        <w:r w:rsidRPr="00AC173C">
          <w:rPr>
            <w:rStyle w:val="Hyperlink"/>
          </w:rPr>
          <w:t>D.13.3</w:t>
        </w:r>
        <w:r>
          <w:rPr>
            <w:rFonts w:asciiTheme="minorHAnsi" w:eastAsiaTheme="minorEastAsia" w:hAnsiTheme="minorHAnsi" w:cstheme="minorBidi"/>
            <w:bCs w:val="0"/>
            <w:kern w:val="2"/>
            <w:szCs w:val="24"/>
            <w14:ligatures w14:val="standardContextual"/>
          </w:rPr>
          <w:tab/>
        </w:r>
        <w:r w:rsidRPr="00AC173C">
          <w:rPr>
            <w:rStyle w:val="Hyperlink"/>
          </w:rPr>
          <w:t>Mitigated Start-Up Offer</w:t>
        </w:r>
        <w:r>
          <w:rPr>
            <w:webHidden/>
          </w:rPr>
          <w:tab/>
        </w:r>
        <w:r>
          <w:rPr>
            <w:webHidden/>
          </w:rPr>
          <w:fldChar w:fldCharType="begin"/>
        </w:r>
        <w:r>
          <w:rPr>
            <w:webHidden/>
          </w:rPr>
          <w:instrText xml:space="preserve"> PAGEREF _Toc213772369 \h </w:instrText>
        </w:r>
        <w:r>
          <w:rPr>
            <w:webHidden/>
          </w:rPr>
        </w:r>
        <w:r>
          <w:rPr>
            <w:webHidden/>
          </w:rPr>
          <w:fldChar w:fldCharType="separate"/>
        </w:r>
        <w:r>
          <w:rPr>
            <w:webHidden/>
          </w:rPr>
          <w:t>433</w:t>
        </w:r>
        <w:r>
          <w:rPr>
            <w:webHidden/>
          </w:rPr>
          <w:fldChar w:fldCharType="end"/>
        </w:r>
      </w:hyperlink>
    </w:p>
    <w:p w14:paraId="4C9208CE" w14:textId="4F7F857B" w:rsidR="00023ECF" w:rsidRDefault="00023ECF">
      <w:pPr>
        <w:pStyle w:val="TOC3"/>
        <w:rPr>
          <w:rFonts w:asciiTheme="minorHAnsi" w:eastAsiaTheme="minorEastAsia" w:hAnsiTheme="minorHAnsi" w:cstheme="minorBidi"/>
          <w:bCs w:val="0"/>
          <w:kern w:val="2"/>
          <w:szCs w:val="24"/>
          <w14:ligatures w14:val="standardContextual"/>
        </w:rPr>
      </w:pPr>
      <w:hyperlink w:anchor="_Toc213772370" w:history="1">
        <w:r w:rsidRPr="00AC173C">
          <w:rPr>
            <w:rStyle w:val="Hyperlink"/>
          </w:rPr>
          <w:t>D.13.4</w:t>
        </w:r>
        <w:r>
          <w:rPr>
            <w:rFonts w:asciiTheme="minorHAnsi" w:eastAsiaTheme="minorEastAsia" w:hAnsiTheme="minorHAnsi" w:cstheme="minorBidi"/>
            <w:bCs w:val="0"/>
            <w:kern w:val="2"/>
            <w:szCs w:val="24"/>
            <w14:ligatures w14:val="standardContextual"/>
          </w:rPr>
          <w:tab/>
        </w:r>
        <w:r w:rsidRPr="00AC173C">
          <w:rPr>
            <w:rStyle w:val="Hyperlink"/>
          </w:rPr>
          <w:t>Mitigated Transition State Offer</w:t>
        </w:r>
        <w:r>
          <w:rPr>
            <w:webHidden/>
          </w:rPr>
          <w:tab/>
        </w:r>
        <w:r>
          <w:rPr>
            <w:webHidden/>
          </w:rPr>
          <w:fldChar w:fldCharType="begin"/>
        </w:r>
        <w:r>
          <w:rPr>
            <w:webHidden/>
          </w:rPr>
          <w:instrText xml:space="preserve"> PAGEREF _Toc213772370 \h </w:instrText>
        </w:r>
        <w:r>
          <w:rPr>
            <w:webHidden/>
          </w:rPr>
        </w:r>
        <w:r>
          <w:rPr>
            <w:webHidden/>
          </w:rPr>
          <w:fldChar w:fldCharType="separate"/>
        </w:r>
        <w:r>
          <w:rPr>
            <w:webHidden/>
          </w:rPr>
          <w:t>433</w:t>
        </w:r>
        <w:r>
          <w:rPr>
            <w:webHidden/>
          </w:rPr>
          <w:fldChar w:fldCharType="end"/>
        </w:r>
      </w:hyperlink>
    </w:p>
    <w:p w14:paraId="19689750" w14:textId="63901198" w:rsidR="00023ECF" w:rsidRDefault="00023ECF">
      <w:pPr>
        <w:pStyle w:val="TOC3"/>
        <w:rPr>
          <w:rFonts w:asciiTheme="minorHAnsi" w:eastAsiaTheme="minorEastAsia" w:hAnsiTheme="minorHAnsi" w:cstheme="minorBidi"/>
          <w:bCs w:val="0"/>
          <w:kern w:val="2"/>
          <w:szCs w:val="24"/>
          <w14:ligatures w14:val="standardContextual"/>
        </w:rPr>
      </w:pPr>
      <w:hyperlink w:anchor="_Toc213772371" w:history="1">
        <w:r w:rsidRPr="00AC173C">
          <w:rPr>
            <w:rStyle w:val="Hyperlink"/>
          </w:rPr>
          <w:t>D.13.5</w:t>
        </w:r>
        <w:r>
          <w:rPr>
            <w:rFonts w:asciiTheme="minorHAnsi" w:eastAsiaTheme="minorEastAsia" w:hAnsiTheme="minorHAnsi" w:cstheme="minorBidi"/>
            <w:bCs w:val="0"/>
            <w:kern w:val="2"/>
            <w:szCs w:val="24"/>
            <w14:ligatures w14:val="standardContextual"/>
          </w:rPr>
          <w:tab/>
        </w:r>
        <w:r w:rsidRPr="00AC173C">
          <w:rPr>
            <w:rStyle w:val="Hyperlink"/>
          </w:rPr>
          <w:t>Mitigated No-Load Offer</w:t>
        </w:r>
        <w:r>
          <w:rPr>
            <w:webHidden/>
          </w:rPr>
          <w:tab/>
        </w:r>
        <w:r>
          <w:rPr>
            <w:webHidden/>
          </w:rPr>
          <w:fldChar w:fldCharType="begin"/>
        </w:r>
        <w:r>
          <w:rPr>
            <w:webHidden/>
          </w:rPr>
          <w:instrText xml:space="preserve"> PAGEREF _Toc213772371 \h </w:instrText>
        </w:r>
        <w:r>
          <w:rPr>
            <w:webHidden/>
          </w:rPr>
        </w:r>
        <w:r>
          <w:rPr>
            <w:webHidden/>
          </w:rPr>
          <w:fldChar w:fldCharType="separate"/>
        </w:r>
        <w:r>
          <w:rPr>
            <w:webHidden/>
          </w:rPr>
          <w:t>434</w:t>
        </w:r>
        <w:r>
          <w:rPr>
            <w:webHidden/>
          </w:rPr>
          <w:fldChar w:fldCharType="end"/>
        </w:r>
      </w:hyperlink>
    </w:p>
    <w:p w14:paraId="5C818EAF" w14:textId="7B3D0857" w:rsidR="00023ECF" w:rsidRDefault="00023ECF">
      <w:pPr>
        <w:pStyle w:val="TOC3"/>
        <w:rPr>
          <w:rFonts w:asciiTheme="minorHAnsi" w:eastAsiaTheme="minorEastAsia" w:hAnsiTheme="minorHAnsi" w:cstheme="minorBidi"/>
          <w:bCs w:val="0"/>
          <w:kern w:val="2"/>
          <w:szCs w:val="24"/>
          <w14:ligatures w14:val="standardContextual"/>
        </w:rPr>
      </w:pPr>
      <w:hyperlink w:anchor="_Toc213772372" w:history="1">
        <w:r w:rsidRPr="00AC173C">
          <w:rPr>
            <w:rStyle w:val="Hyperlink"/>
          </w:rPr>
          <w:t>D.13.6</w:t>
        </w:r>
        <w:r>
          <w:rPr>
            <w:rFonts w:asciiTheme="minorHAnsi" w:eastAsiaTheme="minorEastAsia" w:hAnsiTheme="minorHAnsi" w:cstheme="minorBidi"/>
            <w:bCs w:val="0"/>
            <w:kern w:val="2"/>
            <w:szCs w:val="24"/>
            <w14:ligatures w14:val="standardContextual"/>
          </w:rPr>
          <w:tab/>
        </w:r>
        <w:r w:rsidRPr="00AC173C">
          <w:rPr>
            <w:rStyle w:val="Hyperlink"/>
          </w:rPr>
          <w:t>VOM Cost</w:t>
        </w:r>
        <w:r>
          <w:rPr>
            <w:webHidden/>
          </w:rPr>
          <w:tab/>
        </w:r>
        <w:r>
          <w:rPr>
            <w:webHidden/>
          </w:rPr>
          <w:fldChar w:fldCharType="begin"/>
        </w:r>
        <w:r>
          <w:rPr>
            <w:webHidden/>
          </w:rPr>
          <w:instrText xml:space="preserve"> PAGEREF _Toc213772372 \h </w:instrText>
        </w:r>
        <w:r>
          <w:rPr>
            <w:webHidden/>
          </w:rPr>
        </w:r>
        <w:r>
          <w:rPr>
            <w:webHidden/>
          </w:rPr>
          <w:fldChar w:fldCharType="separate"/>
        </w:r>
        <w:r>
          <w:rPr>
            <w:webHidden/>
          </w:rPr>
          <w:t>434</w:t>
        </w:r>
        <w:r>
          <w:rPr>
            <w:webHidden/>
          </w:rPr>
          <w:fldChar w:fldCharType="end"/>
        </w:r>
      </w:hyperlink>
    </w:p>
    <w:p w14:paraId="714BB95F" w14:textId="17778A3B" w:rsidR="00023ECF" w:rsidRDefault="00023ECF">
      <w:pPr>
        <w:pStyle w:val="TOC3"/>
        <w:rPr>
          <w:rFonts w:asciiTheme="minorHAnsi" w:eastAsiaTheme="minorEastAsia" w:hAnsiTheme="minorHAnsi" w:cstheme="minorBidi"/>
          <w:bCs w:val="0"/>
          <w:kern w:val="2"/>
          <w:szCs w:val="24"/>
          <w14:ligatures w14:val="standardContextual"/>
        </w:rPr>
      </w:pPr>
      <w:hyperlink w:anchor="_Toc213772373" w:history="1">
        <w:r w:rsidRPr="00AC173C">
          <w:rPr>
            <w:rStyle w:val="Hyperlink"/>
          </w:rPr>
          <w:t>D.13.7</w:t>
        </w:r>
        <w:r>
          <w:rPr>
            <w:rFonts w:asciiTheme="minorHAnsi" w:eastAsiaTheme="minorEastAsia" w:hAnsiTheme="minorHAnsi" w:cstheme="minorBidi"/>
            <w:bCs w:val="0"/>
            <w:kern w:val="2"/>
            <w:szCs w:val="24"/>
            <w14:ligatures w14:val="standardContextual"/>
          </w:rPr>
          <w:tab/>
        </w:r>
        <w:r w:rsidRPr="00AC173C">
          <w:rPr>
            <w:rStyle w:val="Hyperlink"/>
          </w:rPr>
          <w:t>Aggregation of Costs</w:t>
        </w:r>
        <w:r>
          <w:rPr>
            <w:webHidden/>
          </w:rPr>
          <w:tab/>
        </w:r>
        <w:r>
          <w:rPr>
            <w:webHidden/>
          </w:rPr>
          <w:fldChar w:fldCharType="begin"/>
        </w:r>
        <w:r>
          <w:rPr>
            <w:webHidden/>
          </w:rPr>
          <w:instrText xml:space="preserve"> PAGEREF _Toc213772373 \h </w:instrText>
        </w:r>
        <w:r>
          <w:rPr>
            <w:webHidden/>
          </w:rPr>
        </w:r>
        <w:r>
          <w:rPr>
            <w:webHidden/>
          </w:rPr>
          <w:fldChar w:fldCharType="separate"/>
        </w:r>
        <w:r>
          <w:rPr>
            <w:webHidden/>
          </w:rPr>
          <w:t>434</w:t>
        </w:r>
        <w:r>
          <w:rPr>
            <w:webHidden/>
          </w:rPr>
          <w:fldChar w:fldCharType="end"/>
        </w:r>
      </w:hyperlink>
    </w:p>
    <w:p w14:paraId="01135DA3" w14:textId="480E3A63" w:rsidR="00023ECF" w:rsidRDefault="00023ECF">
      <w:pPr>
        <w:pStyle w:val="TOC4"/>
        <w:rPr>
          <w:rFonts w:asciiTheme="minorHAnsi" w:eastAsiaTheme="minorEastAsia" w:hAnsiTheme="minorHAnsi" w:cstheme="minorBidi"/>
          <w:bCs w:val="0"/>
          <w:kern w:val="2"/>
          <w:szCs w:val="24"/>
          <w14:ligatures w14:val="standardContextual"/>
        </w:rPr>
      </w:pPr>
      <w:hyperlink w:anchor="_Toc213772374" w:history="1">
        <w:r w:rsidRPr="00AC173C">
          <w:rPr>
            <w:rStyle w:val="Hyperlink"/>
          </w:rPr>
          <w:t>D.13.7.1</w:t>
        </w:r>
        <w:r>
          <w:rPr>
            <w:rFonts w:asciiTheme="minorHAnsi" w:eastAsiaTheme="minorEastAsia" w:hAnsiTheme="minorHAnsi" w:cstheme="minorBidi"/>
            <w:bCs w:val="0"/>
            <w:kern w:val="2"/>
            <w:szCs w:val="24"/>
            <w14:ligatures w14:val="standardContextual"/>
          </w:rPr>
          <w:tab/>
        </w:r>
        <w:r w:rsidRPr="00AC173C">
          <w:rPr>
            <w:rStyle w:val="Hyperlink"/>
          </w:rPr>
          <w:t>Aggregation of Mitigated Energy Offer Curves</w:t>
        </w:r>
        <w:r>
          <w:rPr>
            <w:webHidden/>
          </w:rPr>
          <w:tab/>
        </w:r>
        <w:r>
          <w:rPr>
            <w:webHidden/>
          </w:rPr>
          <w:fldChar w:fldCharType="begin"/>
        </w:r>
        <w:r>
          <w:rPr>
            <w:webHidden/>
          </w:rPr>
          <w:instrText xml:space="preserve"> PAGEREF _Toc213772374 \h </w:instrText>
        </w:r>
        <w:r>
          <w:rPr>
            <w:webHidden/>
          </w:rPr>
        </w:r>
        <w:r>
          <w:rPr>
            <w:webHidden/>
          </w:rPr>
          <w:fldChar w:fldCharType="separate"/>
        </w:r>
        <w:r>
          <w:rPr>
            <w:webHidden/>
          </w:rPr>
          <w:t>434</w:t>
        </w:r>
        <w:r>
          <w:rPr>
            <w:webHidden/>
          </w:rPr>
          <w:fldChar w:fldCharType="end"/>
        </w:r>
      </w:hyperlink>
    </w:p>
    <w:p w14:paraId="5EFBEDE3" w14:textId="6882A0E8" w:rsidR="00023ECF" w:rsidRDefault="00023ECF">
      <w:pPr>
        <w:pStyle w:val="TOC4"/>
        <w:rPr>
          <w:rFonts w:asciiTheme="minorHAnsi" w:eastAsiaTheme="minorEastAsia" w:hAnsiTheme="minorHAnsi" w:cstheme="minorBidi"/>
          <w:bCs w:val="0"/>
          <w:kern w:val="2"/>
          <w:szCs w:val="24"/>
          <w14:ligatures w14:val="standardContextual"/>
        </w:rPr>
      </w:pPr>
      <w:hyperlink w:anchor="_Toc213772375" w:history="1">
        <w:r w:rsidRPr="00AC173C">
          <w:rPr>
            <w:rStyle w:val="Hyperlink"/>
          </w:rPr>
          <w:t>D.13.7.2</w:t>
        </w:r>
        <w:r>
          <w:rPr>
            <w:rFonts w:asciiTheme="minorHAnsi" w:eastAsiaTheme="minorEastAsia" w:hAnsiTheme="minorHAnsi" w:cstheme="minorBidi"/>
            <w:bCs w:val="0"/>
            <w:kern w:val="2"/>
            <w:szCs w:val="24"/>
            <w14:ligatures w14:val="standardContextual"/>
          </w:rPr>
          <w:tab/>
        </w:r>
        <w:r w:rsidRPr="00AC173C">
          <w:rPr>
            <w:rStyle w:val="Hyperlink"/>
          </w:rPr>
          <w:t>Aggregation of Start-Up Costs</w:t>
        </w:r>
        <w:r>
          <w:rPr>
            <w:webHidden/>
          </w:rPr>
          <w:tab/>
        </w:r>
        <w:r>
          <w:rPr>
            <w:webHidden/>
          </w:rPr>
          <w:fldChar w:fldCharType="begin"/>
        </w:r>
        <w:r>
          <w:rPr>
            <w:webHidden/>
          </w:rPr>
          <w:instrText xml:space="preserve"> PAGEREF _Toc213772375 \h </w:instrText>
        </w:r>
        <w:r>
          <w:rPr>
            <w:webHidden/>
          </w:rPr>
        </w:r>
        <w:r>
          <w:rPr>
            <w:webHidden/>
          </w:rPr>
          <w:fldChar w:fldCharType="separate"/>
        </w:r>
        <w:r>
          <w:rPr>
            <w:webHidden/>
          </w:rPr>
          <w:t>436</w:t>
        </w:r>
        <w:r>
          <w:rPr>
            <w:webHidden/>
          </w:rPr>
          <w:fldChar w:fldCharType="end"/>
        </w:r>
      </w:hyperlink>
    </w:p>
    <w:p w14:paraId="01E1F5BC" w14:textId="6C16F635" w:rsidR="00023ECF" w:rsidRDefault="00023ECF">
      <w:pPr>
        <w:pStyle w:val="TOC4"/>
        <w:rPr>
          <w:rFonts w:asciiTheme="minorHAnsi" w:eastAsiaTheme="minorEastAsia" w:hAnsiTheme="minorHAnsi" w:cstheme="minorBidi"/>
          <w:bCs w:val="0"/>
          <w:kern w:val="2"/>
          <w:szCs w:val="24"/>
          <w14:ligatures w14:val="standardContextual"/>
        </w:rPr>
      </w:pPr>
      <w:hyperlink w:anchor="_Toc213772376" w:history="1">
        <w:r w:rsidRPr="00AC173C">
          <w:rPr>
            <w:rStyle w:val="Hyperlink"/>
          </w:rPr>
          <w:t>D.13.7.3</w:t>
        </w:r>
        <w:r>
          <w:rPr>
            <w:rFonts w:asciiTheme="minorHAnsi" w:eastAsiaTheme="minorEastAsia" w:hAnsiTheme="minorHAnsi" w:cstheme="minorBidi"/>
            <w:bCs w:val="0"/>
            <w:kern w:val="2"/>
            <w:szCs w:val="24"/>
            <w14:ligatures w14:val="standardContextual"/>
          </w:rPr>
          <w:tab/>
        </w:r>
        <w:r w:rsidRPr="00AC173C">
          <w:rPr>
            <w:rStyle w:val="Hyperlink"/>
          </w:rPr>
          <w:t>Aggregation of No-Load Costs</w:t>
        </w:r>
        <w:r>
          <w:rPr>
            <w:webHidden/>
          </w:rPr>
          <w:tab/>
        </w:r>
        <w:r>
          <w:rPr>
            <w:webHidden/>
          </w:rPr>
          <w:fldChar w:fldCharType="begin"/>
        </w:r>
        <w:r>
          <w:rPr>
            <w:webHidden/>
          </w:rPr>
          <w:instrText xml:space="preserve"> PAGEREF _Toc213772376 \h </w:instrText>
        </w:r>
        <w:r>
          <w:rPr>
            <w:webHidden/>
          </w:rPr>
        </w:r>
        <w:r>
          <w:rPr>
            <w:webHidden/>
          </w:rPr>
          <w:fldChar w:fldCharType="separate"/>
        </w:r>
        <w:r>
          <w:rPr>
            <w:webHidden/>
          </w:rPr>
          <w:t>436</w:t>
        </w:r>
        <w:r>
          <w:rPr>
            <w:webHidden/>
          </w:rPr>
          <w:fldChar w:fldCharType="end"/>
        </w:r>
      </w:hyperlink>
    </w:p>
    <w:p w14:paraId="549CEB30" w14:textId="65BB3490" w:rsidR="00023ECF" w:rsidRDefault="00023ECF">
      <w:pPr>
        <w:pStyle w:val="TOC4"/>
        <w:rPr>
          <w:rFonts w:asciiTheme="minorHAnsi" w:eastAsiaTheme="minorEastAsia" w:hAnsiTheme="minorHAnsi" w:cstheme="minorBidi"/>
          <w:bCs w:val="0"/>
          <w:kern w:val="2"/>
          <w:szCs w:val="24"/>
          <w14:ligatures w14:val="standardContextual"/>
        </w:rPr>
      </w:pPr>
      <w:hyperlink w:anchor="_Toc213772377" w:history="1">
        <w:r w:rsidRPr="00AC173C">
          <w:rPr>
            <w:rStyle w:val="Hyperlink"/>
          </w:rPr>
          <w:t>D.13.7.4</w:t>
        </w:r>
        <w:r>
          <w:rPr>
            <w:rFonts w:asciiTheme="minorHAnsi" w:eastAsiaTheme="minorEastAsia" w:hAnsiTheme="minorHAnsi" w:cstheme="minorBidi"/>
            <w:bCs w:val="0"/>
            <w:kern w:val="2"/>
            <w:szCs w:val="24"/>
            <w14:ligatures w14:val="standardContextual"/>
          </w:rPr>
          <w:tab/>
        </w:r>
        <w:r w:rsidRPr="00AC173C">
          <w:rPr>
            <w:rStyle w:val="Hyperlink"/>
          </w:rPr>
          <w:t>Aggregation of Transition State Costs</w:t>
        </w:r>
        <w:r>
          <w:rPr>
            <w:webHidden/>
          </w:rPr>
          <w:tab/>
        </w:r>
        <w:r>
          <w:rPr>
            <w:webHidden/>
          </w:rPr>
          <w:fldChar w:fldCharType="begin"/>
        </w:r>
        <w:r>
          <w:rPr>
            <w:webHidden/>
          </w:rPr>
          <w:instrText xml:space="preserve"> PAGEREF _Toc213772377 \h </w:instrText>
        </w:r>
        <w:r>
          <w:rPr>
            <w:webHidden/>
          </w:rPr>
        </w:r>
        <w:r>
          <w:rPr>
            <w:webHidden/>
          </w:rPr>
          <w:fldChar w:fldCharType="separate"/>
        </w:r>
        <w:r>
          <w:rPr>
            <w:webHidden/>
          </w:rPr>
          <w:t>437</w:t>
        </w:r>
        <w:r>
          <w:rPr>
            <w:webHidden/>
          </w:rPr>
          <w:fldChar w:fldCharType="end"/>
        </w:r>
      </w:hyperlink>
    </w:p>
    <w:p w14:paraId="22F76BA1" w14:textId="79085D22"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378" w:history="1">
        <w:r w:rsidRPr="00AC173C">
          <w:rPr>
            <w:rStyle w:val="Hyperlink"/>
          </w:rPr>
          <w:t>D.14</w:t>
        </w:r>
        <w:r>
          <w:rPr>
            <w:rFonts w:asciiTheme="minorHAnsi" w:eastAsiaTheme="minorEastAsia" w:hAnsiTheme="minorHAnsi" w:cstheme="minorBidi"/>
            <w:b w:val="0"/>
            <w:kern w:val="2"/>
            <w:szCs w:val="24"/>
            <w14:ligatures w14:val="standardContextual"/>
          </w:rPr>
          <w:tab/>
        </w:r>
        <w:r w:rsidRPr="00AC173C">
          <w:rPr>
            <w:rStyle w:val="Hyperlink"/>
          </w:rPr>
          <w:t>Energy Market Opportunity Cost Guidelines</w:t>
        </w:r>
        <w:r>
          <w:rPr>
            <w:webHidden/>
          </w:rPr>
          <w:tab/>
        </w:r>
        <w:r>
          <w:rPr>
            <w:webHidden/>
          </w:rPr>
          <w:fldChar w:fldCharType="begin"/>
        </w:r>
        <w:r>
          <w:rPr>
            <w:webHidden/>
          </w:rPr>
          <w:instrText xml:space="preserve"> PAGEREF _Toc213772378 \h </w:instrText>
        </w:r>
        <w:r>
          <w:rPr>
            <w:webHidden/>
          </w:rPr>
        </w:r>
        <w:r>
          <w:rPr>
            <w:webHidden/>
          </w:rPr>
          <w:fldChar w:fldCharType="separate"/>
        </w:r>
        <w:r>
          <w:rPr>
            <w:webHidden/>
          </w:rPr>
          <w:t>437</w:t>
        </w:r>
        <w:r>
          <w:rPr>
            <w:webHidden/>
          </w:rPr>
          <w:fldChar w:fldCharType="end"/>
        </w:r>
      </w:hyperlink>
    </w:p>
    <w:p w14:paraId="08E8CC25" w14:textId="34E6D422" w:rsidR="00023ECF" w:rsidRDefault="00023ECF">
      <w:pPr>
        <w:pStyle w:val="TOC3"/>
        <w:rPr>
          <w:rFonts w:asciiTheme="minorHAnsi" w:eastAsiaTheme="minorEastAsia" w:hAnsiTheme="minorHAnsi" w:cstheme="minorBidi"/>
          <w:bCs w:val="0"/>
          <w:kern w:val="2"/>
          <w:szCs w:val="24"/>
          <w14:ligatures w14:val="standardContextual"/>
        </w:rPr>
      </w:pPr>
      <w:hyperlink w:anchor="_Toc213772379" w:history="1">
        <w:r w:rsidRPr="00AC173C">
          <w:rPr>
            <w:rStyle w:val="Hyperlink"/>
          </w:rPr>
          <w:t>D.14.1</w:t>
        </w:r>
        <w:r>
          <w:rPr>
            <w:rFonts w:asciiTheme="minorHAnsi" w:eastAsiaTheme="minorEastAsia" w:hAnsiTheme="minorHAnsi" w:cstheme="minorBidi"/>
            <w:bCs w:val="0"/>
            <w:kern w:val="2"/>
            <w:szCs w:val="24"/>
            <w14:ligatures w14:val="standardContextual"/>
          </w:rPr>
          <w:tab/>
        </w:r>
        <w:r w:rsidRPr="00AC173C">
          <w:rPr>
            <w:rStyle w:val="Hyperlink"/>
          </w:rPr>
          <w:t>Basis for Opportunity Cost to be Included in Mitigated Offers</w:t>
        </w:r>
        <w:r>
          <w:rPr>
            <w:webHidden/>
          </w:rPr>
          <w:tab/>
        </w:r>
        <w:r>
          <w:rPr>
            <w:webHidden/>
          </w:rPr>
          <w:fldChar w:fldCharType="begin"/>
        </w:r>
        <w:r>
          <w:rPr>
            <w:webHidden/>
          </w:rPr>
          <w:instrText xml:space="preserve"> PAGEREF _Toc213772379 \h </w:instrText>
        </w:r>
        <w:r>
          <w:rPr>
            <w:webHidden/>
          </w:rPr>
        </w:r>
        <w:r>
          <w:rPr>
            <w:webHidden/>
          </w:rPr>
          <w:fldChar w:fldCharType="separate"/>
        </w:r>
        <w:r>
          <w:rPr>
            <w:webHidden/>
          </w:rPr>
          <w:t>437</w:t>
        </w:r>
        <w:r>
          <w:rPr>
            <w:webHidden/>
          </w:rPr>
          <w:fldChar w:fldCharType="end"/>
        </w:r>
      </w:hyperlink>
    </w:p>
    <w:p w14:paraId="65EC53F2" w14:textId="39233489" w:rsidR="00023ECF" w:rsidRDefault="00023ECF">
      <w:pPr>
        <w:pStyle w:val="TOC4"/>
        <w:rPr>
          <w:rFonts w:asciiTheme="minorHAnsi" w:eastAsiaTheme="minorEastAsia" w:hAnsiTheme="minorHAnsi" w:cstheme="minorBidi"/>
          <w:bCs w:val="0"/>
          <w:kern w:val="2"/>
          <w:szCs w:val="24"/>
          <w14:ligatures w14:val="standardContextual"/>
        </w:rPr>
      </w:pPr>
      <w:hyperlink w:anchor="_Toc213772380" w:history="1">
        <w:r w:rsidRPr="00AC173C">
          <w:rPr>
            <w:rStyle w:val="Hyperlink"/>
          </w:rPr>
          <w:t>D.14.1.1</w:t>
        </w:r>
        <w:r>
          <w:rPr>
            <w:rFonts w:asciiTheme="minorHAnsi" w:eastAsiaTheme="minorEastAsia" w:hAnsiTheme="minorHAnsi" w:cstheme="minorBidi"/>
            <w:bCs w:val="0"/>
            <w:kern w:val="2"/>
            <w:szCs w:val="24"/>
            <w14:ligatures w14:val="standardContextual"/>
          </w:rPr>
          <w:tab/>
        </w:r>
        <w:r w:rsidRPr="00AC173C">
          <w:rPr>
            <w:rStyle w:val="Hyperlink"/>
          </w:rPr>
          <w:t>Environmental Run-hour Restriction</w:t>
        </w:r>
        <w:r>
          <w:rPr>
            <w:webHidden/>
          </w:rPr>
          <w:tab/>
        </w:r>
        <w:r>
          <w:rPr>
            <w:webHidden/>
          </w:rPr>
          <w:fldChar w:fldCharType="begin"/>
        </w:r>
        <w:r>
          <w:rPr>
            <w:webHidden/>
          </w:rPr>
          <w:instrText xml:space="preserve"> PAGEREF _Toc213772380 \h </w:instrText>
        </w:r>
        <w:r>
          <w:rPr>
            <w:webHidden/>
          </w:rPr>
        </w:r>
        <w:r>
          <w:rPr>
            <w:webHidden/>
          </w:rPr>
          <w:fldChar w:fldCharType="separate"/>
        </w:r>
        <w:r>
          <w:rPr>
            <w:webHidden/>
          </w:rPr>
          <w:t>437</w:t>
        </w:r>
        <w:r>
          <w:rPr>
            <w:webHidden/>
          </w:rPr>
          <w:fldChar w:fldCharType="end"/>
        </w:r>
      </w:hyperlink>
    </w:p>
    <w:p w14:paraId="365D6712" w14:textId="0FC3AE15" w:rsidR="00023ECF" w:rsidRDefault="00023ECF">
      <w:pPr>
        <w:pStyle w:val="TOC4"/>
        <w:rPr>
          <w:rFonts w:asciiTheme="minorHAnsi" w:eastAsiaTheme="minorEastAsia" w:hAnsiTheme="minorHAnsi" w:cstheme="minorBidi"/>
          <w:bCs w:val="0"/>
          <w:kern w:val="2"/>
          <w:szCs w:val="24"/>
          <w14:ligatures w14:val="standardContextual"/>
        </w:rPr>
      </w:pPr>
      <w:hyperlink w:anchor="_Toc213772381" w:history="1">
        <w:r w:rsidRPr="00AC173C">
          <w:rPr>
            <w:rStyle w:val="Hyperlink"/>
          </w:rPr>
          <w:t>D.14.1.2</w:t>
        </w:r>
        <w:r>
          <w:rPr>
            <w:rFonts w:asciiTheme="minorHAnsi" w:eastAsiaTheme="minorEastAsia" w:hAnsiTheme="minorHAnsi" w:cstheme="minorBidi"/>
            <w:bCs w:val="0"/>
            <w:kern w:val="2"/>
            <w:szCs w:val="24"/>
            <w14:ligatures w14:val="standardContextual"/>
          </w:rPr>
          <w:tab/>
        </w:r>
        <w:r w:rsidRPr="00AC173C">
          <w:rPr>
            <w:rStyle w:val="Hyperlink"/>
          </w:rPr>
          <w:t>Physical Equipment Limitations</w:t>
        </w:r>
        <w:r>
          <w:rPr>
            <w:webHidden/>
          </w:rPr>
          <w:tab/>
        </w:r>
        <w:r>
          <w:rPr>
            <w:webHidden/>
          </w:rPr>
          <w:fldChar w:fldCharType="begin"/>
        </w:r>
        <w:r>
          <w:rPr>
            <w:webHidden/>
          </w:rPr>
          <w:instrText xml:space="preserve"> PAGEREF _Toc213772381 \h </w:instrText>
        </w:r>
        <w:r>
          <w:rPr>
            <w:webHidden/>
          </w:rPr>
        </w:r>
        <w:r>
          <w:rPr>
            <w:webHidden/>
          </w:rPr>
          <w:fldChar w:fldCharType="separate"/>
        </w:r>
        <w:r>
          <w:rPr>
            <w:webHidden/>
          </w:rPr>
          <w:t>437</w:t>
        </w:r>
        <w:r>
          <w:rPr>
            <w:webHidden/>
          </w:rPr>
          <w:fldChar w:fldCharType="end"/>
        </w:r>
      </w:hyperlink>
    </w:p>
    <w:p w14:paraId="3847F68E" w14:textId="739576D1" w:rsidR="00023ECF" w:rsidRDefault="00023ECF">
      <w:pPr>
        <w:pStyle w:val="TOC4"/>
        <w:rPr>
          <w:rFonts w:asciiTheme="minorHAnsi" w:eastAsiaTheme="minorEastAsia" w:hAnsiTheme="minorHAnsi" w:cstheme="minorBidi"/>
          <w:bCs w:val="0"/>
          <w:kern w:val="2"/>
          <w:szCs w:val="24"/>
          <w14:ligatures w14:val="standardContextual"/>
        </w:rPr>
      </w:pPr>
      <w:hyperlink w:anchor="_Toc213772382" w:history="1">
        <w:r w:rsidRPr="00AC173C">
          <w:rPr>
            <w:rStyle w:val="Hyperlink"/>
          </w:rPr>
          <w:t>D.14.1.3</w:t>
        </w:r>
        <w:r>
          <w:rPr>
            <w:rFonts w:asciiTheme="minorHAnsi" w:eastAsiaTheme="minorEastAsia" w:hAnsiTheme="minorHAnsi" w:cstheme="minorBidi"/>
            <w:bCs w:val="0"/>
            <w:kern w:val="2"/>
            <w:szCs w:val="24"/>
            <w14:ligatures w14:val="standardContextual"/>
          </w:rPr>
          <w:tab/>
        </w:r>
        <w:r w:rsidRPr="00AC173C">
          <w:rPr>
            <w:rStyle w:val="Hyperlink"/>
          </w:rPr>
          <w:t>Non-Regulatory Opportunity Cost: Fuel Limitations</w:t>
        </w:r>
        <w:r>
          <w:rPr>
            <w:webHidden/>
          </w:rPr>
          <w:tab/>
        </w:r>
        <w:r>
          <w:rPr>
            <w:webHidden/>
          </w:rPr>
          <w:fldChar w:fldCharType="begin"/>
        </w:r>
        <w:r>
          <w:rPr>
            <w:webHidden/>
          </w:rPr>
          <w:instrText xml:space="preserve"> PAGEREF _Toc213772382 \h </w:instrText>
        </w:r>
        <w:r>
          <w:rPr>
            <w:webHidden/>
          </w:rPr>
        </w:r>
        <w:r>
          <w:rPr>
            <w:webHidden/>
          </w:rPr>
          <w:fldChar w:fldCharType="separate"/>
        </w:r>
        <w:r>
          <w:rPr>
            <w:webHidden/>
          </w:rPr>
          <w:t>437</w:t>
        </w:r>
        <w:r>
          <w:rPr>
            <w:webHidden/>
          </w:rPr>
          <w:fldChar w:fldCharType="end"/>
        </w:r>
      </w:hyperlink>
    </w:p>
    <w:p w14:paraId="3BCA7755" w14:textId="2C824532" w:rsidR="00023ECF" w:rsidRDefault="00023ECF">
      <w:pPr>
        <w:pStyle w:val="TOC3"/>
        <w:rPr>
          <w:rFonts w:asciiTheme="minorHAnsi" w:eastAsiaTheme="minorEastAsia" w:hAnsiTheme="minorHAnsi" w:cstheme="minorBidi"/>
          <w:bCs w:val="0"/>
          <w:kern w:val="2"/>
          <w:szCs w:val="24"/>
          <w14:ligatures w14:val="standardContextual"/>
        </w:rPr>
      </w:pPr>
      <w:hyperlink w:anchor="_Toc213772383" w:history="1">
        <w:r w:rsidRPr="00AC173C">
          <w:rPr>
            <w:rStyle w:val="Hyperlink"/>
          </w:rPr>
          <w:t>D.14.2</w:t>
        </w:r>
        <w:r>
          <w:rPr>
            <w:rFonts w:asciiTheme="minorHAnsi" w:eastAsiaTheme="minorEastAsia" w:hAnsiTheme="minorHAnsi" w:cstheme="minorBidi"/>
            <w:bCs w:val="0"/>
            <w:kern w:val="2"/>
            <w:szCs w:val="24"/>
            <w14:ligatures w14:val="standardContextual"/>
          </w:rPr>
          <w:tab/>
        </w:r>
        <w:r w:rsidRPr="00AC173C">
          <w:rPr>
            <w:rStyle w:val="Hyperlink"/>
          </w:rPr>
          <w:t>Calculation Method</w:t>
        </w:r>
        <w:r>
          <w:rPr>
            <w:webHidden/>
          </w:rPr>
          <w:tab/>
        </w:r>
        <w:r>
          <w:rPr>
            <w:webHidden/>
          </w:rPr>
          <w:fldChar w:fldCharType="begin"/>
        </w:r>
        <w:r>
          <w:rPr>
            <w:webHidden/>
          </w:rPr>
          <w:instrText xml:space="preserve"> PAGEREF _Toc213772383 \h </w:instrText>
        </w:r>
        <w:r>
          <w:rPr>
            <w:webHidden/>
          </w:rPr>
        </w:r>
        <w:r>
          <w:rPr>
            <w:webHidden/>
          </w:rPr>
          <w:fldChar w:fldCharType="separate"/>
        </w:r>
        <w:r>
          <w:rPr>
            <w:webHidden/>
          </w:rPr>
          <w:t>438</w:t>
        </w:r>
        <w:r>
          <w:rPr>
            <w:webHidden/>
          </w:rPr>
          <w:fldChar w:fldCharType="end"/>
        </w:r>
      </w:hyperlink>
    </w:p>
    <w:p w14:paraId="6150D83C" w14:textId="0BBAF697" w:rsidR="00023ECF" w:rsidRDefault="00023ECF">
      <w:pPr>
        <w:pStyle w:val="TOC4"/>
        <w:rPr>
          <w:rFonts w:asciiTheme="minorHAnsi" w:eastAsiaTheme="minorEastAsia" w:hAnsiTheme="minorHAnsi" w:cstheme="minorBidi"/>
          <w:bCs w:val="0"/>
          <w:kern w:val="2"/>
          <w:szCs w:val="24"/>
          <w14:ligatures w14:val="standardContextual"/>
        </w:rPr>
      </w:pPr>
      <w:hyperlink w:anchor="_Toc213772384" w:history="1">
        <w:r w:rsidRPr="00AC173C">
          <w:rPr>
            <w:rStyle w:val="Hyperlink"/>
          </w:rPr>
          <w:t>D.14.1</w:t>
        </w:r>
        <w:r>
          <w:rPr>
            <w:rFonts w:asciiTheme="minorHAnsi" w:eastAsiaTheme="minorEastAsia" w:hAnsiTheme="minorHAnsi" w:cstheme="minorBidi"/>
            <w:bCs w:val="0"/>
            <w:kern w:val="2"/>
            <w:szCs w:val="24"/>
            <w14:ligatures w14:val="standardContextual"/>
          </w:rPr>
          <w:tab/>
        </w:r>
        <w:r w:rsidRPr="00AC173C">
          <w:rPr>
            <w:rStyle w:val="Hyperlink"/>
          </w:rPr>
          <w:t>Overview of the Opportunity Cost Calculation</w:t>
        </w:r>
        <w:r>
          <w:rPr>
            <w:webHidden/>
          </w:rPr>
          <w:tab/>
        </w:r>
        <w:r>
          <w:rPr>
            <w:webHidden/>
          </w:rPr>
          <w:fldChar w:fldCharType="begin"/>
        </w:r>
        <w:r>
          <w:rPr>
            <w:webHidden/>
          </w:rPr>
          <w:instrText xml:space="preserve"> PAGEREF _Toc213772384 \h </w:instrText>
        </w:r>
        <w:r>
          <w:rPr>
            <w:webHidden/>
          </w:rPr>
        </w:r>
        <w:r>
          <w:rPr>
            <w:webHidden/>
          </w:rPr>
          <w:fldChar w:fldCharType="separate"/>
        </w:r>
        <w:r>
          <w:rPr>
            <w:webHidden/>
          </w:rPr>
          <w:t>438</w:t>
        </w:r>
        <w:r>
          <w:rPr>
            <w:webHidden/>
          </w:rPr>
          <w:fldChar w:fldCharType="end"/>
        </w:r>
      </w:hyperlink>
    </w:p>
    <w:p w14:paraId="75846643" w14:textId="7B9CA663" w:rsidR="00023ECF" w:rsidRDefault="00023ECF">
      <w:pPr>
        <w:pStyle w:val="TOC4"/>
        <w:rPr>
          <w:rFonts w:asciiTheme="minorHAnsi" w:eastAsiaTheme="minorEastAsia" w:hAnsiTheme="minorHAnsi" w:cstheme="minorBidi"/>
          <w:bCs w:val="0"/>
          <w:kern w:val="2"/>
          <w:szCs w:val="24"/>
          <w14:ligatures w14:val="standardContextual"/>
        </w:rPr>
      </w:pPr>
      <w:hyperlink w:anchor="_Toc213772385" w:history="1">
        <w:r w:rsidRPr="00AC173C">
          <w:rPr>
            <w:rStyle w:val="Hyperlink"/>
          </w:rPr>
          <w:t>D.14.2</w:t>
        </w:r>
        <w:r>
          <w:rPr>
            <w:rFonts w:asciiTheme="minorHAnsi" w:eastAsiaTheme="minorEastAsia" w:hAnsiTheme="minorHAnsi" w:cstheme="minorBidi"/>
            <w:bCs w:val="0"/>
            <w:kern w:val="2"/>
            <w:szCs w:val="24"/>
            <w14:ligatures w14:val="standardContextual"/>
          </w:rPr>
          <w:tab/>
        </w:r>
        <w:r w:rsidRPr="00AC173C">
          <w:rPr>
            <w:rStyle w:val="Hyperlink"/>
          </w:rPr>
          <w:t>Daily Opportunity Cost Calculation</w:t>
        </w:r>
        <w:r>
          <w:rPr>
            <w:webHidden/>
          </w:rPr>
          <w:tab/>
        </w:r>
        <w:r>
          <w:rPr>
            <w:webHidden/>
          </w:rPr>
          <w:fldChar w:fldCharType="begin"/>
        </w:r>
        <w:r>
          <w:rPr>
            <w:webHidden/>
          </w:rPr>
          <w:instrText xml:space="preserve"> PAGEREF _Toc213772385 \h </w:instrText>
        </w:r>
        <w:r>
          <w:rPr>
            <w:webHidden/>
          </w:rPr>
        </w:r>
        <w:r>
          <w:rPr>
            <w:webHidden/>
          </w:rPr>
          <w:fldChar w:fldCharType="separate"/>
        </w:r>
        <w:r>
          <w:rPr>
            <w:webHidden/>
          </w:rPr>
          <w:t>439</w:t>
        </w:r>
        <w:r>
          <w:rPr>
            <w:webHidden/>
          </w:rPr>
          <w:fldChar w:fldCharType="end"/>
        </w:r>
      </w:hyperlink>
    </w:p>
    <w:p w14:paraId="73540AD4" w14:textId="218699B7" w:rsidR="00023ECF" w:rsidRDefault="00023ECF">
      <w:pPr>
        <w:pStyle w:val="TOC5"/>
        <w:rPr>
          <w:rFonts w:asciiTheme="minorHAnsi" w:eastAsiaTheme="minorEastAsia" w:hAnsiTheme="minorHAnsi" w:cstheme="minorBidi"/>
          <w:kern w:val="2"/>
          <w:szCs w:val="24"/>
          <w14:ligatures w14:val="standardContextual"/>
        </w:rPr>
      </w:pPr>
      <w:hyperlink w:anchor="_Toc213772386" w:history="1">
        <w:r w:rsidRPr="00AC173C">
          <w:rPr>
            <w:rStyle w:val="Hyperlink"/>
          </w:rPr>
          <w:t>D.14.2.1</w:t>
        </w:r>
        <w:r>
          <w:rPr>
            <w:rFonts w:asciiTheme="minorHAnsi" w:eastAsiaTheme="minorEastAsia" w:hAnsiTheme="minorHAnsi" w:cstheme="minorBidi"/>
            <w:kern w:val="2"/>
            <w:szCs w:val="24"/>
            <w14:ligatures w14:val="standardContextual"/>
          </w:rPr>
          <w:tab/>
        </w:r>
        <w:r w:rsidRPr="00AC173C">
          <w:rPr>
            <w:rStyle w:val="Hyperlink"/>
          </w:rPr>
          <w:t>Step 1: Forecast Hourly Resource LMPs</w:t>
        </w:r>
        <w:r>
          <w:rPr>
            <w:webHidden/>
          </w:rPr>
          <w:tab/>
        </w:r>
        <w:r>
          <w:rPr>
            <w:webHidden/>
          </w:rPr>
          <w:fldChar w:fldCharType="begin"/>
        </w:r>
        <w:r>
          <w:rPr>
            <w:webHidden/>
          </w:rPr>
          <w:instrText xml:space="preserve"> PAGEREF _Toc213772386 \h </w:instrText>
        </w:r>
        <w:r>
          <w:rPr>
            <w:webHidden/>
          </w:rPr>
        </w:r>
        <w:r>
          <w:rPr>
            <w:webHidden/>
          </w:rPr>
          <w:fldChar w:fldCharType="separate"/>
        </w:r>
        <w:r>
          <w:rPr>
            <w:webHidden/>
          </w:rPr>
          <w:t>439</w:t>
        </w:r>
        <w:r>
          <w:rPr>
            <w:webHidden/>
          </w:rPr>
          <w:fldChar w:fldCharType="end"/>
        </w:r>
      </w:hyperlink>
    </w:p>
    <w:p w14:paraId="7A3055D5" w14:textId="4AB6567D" w:rsidR="00023ECF" w:rsidRDefault="00023ECF">
      <w:pPr>
        <w:pStyle w:val="TOC5"/>
        <w:rPr>
          <w:rFonts w:asciiTheme="minorHAnsi" w:eastAsiaTheme="minorEastAsia" w:hAnsiTheme="minorHAnsi" w:cstheme="minorBidi"/>
          <w:kern w:val="2"/>
          <w:szCs w:val="24"/>
          <w14:ligatures w14:val="standardContextual"/>
        </w:rPr>
      </w:pPr>
      <w:hyperlink w:anchor="_Toc213772387" w:history="1">
        <w:r w:rsidRPr="00AC173C">
          <w:rPr>
            <w:rStyle w:val="Hyperlink"/>
          </w:rPr>
          <w:t>D.142.2</w:t>
        </w:r>
        <w:r>
          <w:rPr>
            <w:rFonts w:asciiTheme="minorHAnsi" w:eastAsiaTheme="minorEastAsia" w:hAnsiTheme="minorHAnsi" w:cstheme="minorBidi"/>
            <w:kern w:val="2"/>
            <w:szCs w:val="24"/>
            <w14:ligatures w14:val="standardContextual"/>
          </w:rPr>
          <w:tab/>
        </w:r>
        <w:r w:rsidRPr="00AC173C">
          <w:rPr>
            <w:rStyle w:val="Hyperlink"/>
          </w:rPr>
          <w:t>Step 2: Calculate the price-cost margin for each hour of the day</w:t>
        </w:r>
        <w:r>
          <w:rPr>
            <w:webHidden/>
          </w:rPr>
          <w:tab/>
        </w:r>
        <w:r>
          <w:rPr>
            <w:webHidden/>
          </w:rPr>
          <w:fldChar w:fldCharType="begin"/>
        </w:r>
        <w:r>
          <w:rPr>
            <w:webHidden/>
          </w:rPr>
          <w:instrText xml:space="preserve"> PAGEREF _Toc213772387 \h </w:instrText>
        </w:r>
        <w:r>
          <w:rPr>
            <w:webHidden/>
          </w:rPr>
        </w:r>
        <w:r>
          <w:rPr>
            <w:webHidden/>
          </w:rPr>
          <w:fldChar w:fldCharType="separate"/>
        </w:r>
        <w:r>
          <w:rPr>
            <w:webHidden/>
          </w:rPr>
          <w:t>439</w:t>
        </w:r>
        <w:r>
          <w:rPr>
            <w:webHidden/>
          </w:rPr>
          <w:fldChar w:fldCharType="end"/>
        </w:r>
      </w:hyperlink>
    </w:p>
    <w:p w14:paraId="2B59BF19" w14:textId="16357159" w:rsidR="00023ECF" w:rsidRDefault="00023ECF">
      <w:pPr>
        <w:pStyle w:val="TOC5"/>
        <w:rPr>
          <w:rFonts w:asciiTheme="minorHAnsi" w:eastAsiaTheme="minorEastAsia" w:hAnsiTheme="minorHAnsi" w:cstheme="minorBidi"/>
          <w:kern w:val="2"/>
          <w:szCs w:val="24"/>
          <w14:ligatures w14:val="standardContextual"/>
        </w:rPr>
      </w:pPr>
      <w:hyperlink w:anchor="_Toc213772388" w:history="1">
        <w:r w:rsidRPr="00AC173C">
          <w:rPr>
            <w:rStyle w:val="Hyperlink"/>
          </w:rPr>
          <w:t>D.14.2.3</w:t>
        </w:r>
        <w:r>
          <w:rPr>
            <w:rFonts w:asciiTheme="minorHAnsi" w:eastAsiaTheme="minorEastAsia" w:hAnsiTheme="minorHAnsi" w:cstheme="minorBidi"/>
            <w:kern w:val="2"/>
            <w:szCs w:val="24"/>
            <w14:ligatures w14:val="standardContextual"/>
          </w:rPr>
          <w:tab/>
        </w:r>
        <w:r w:rsidRPr="00AC173C">
          <w:rPr>
            <w:rStyle w:val="Hyperlink"/>
          </w:rPr>
          <w:t>Step 3: Determine the Opportunity Cost Component</w:t>
        </w:r>
        <w:r>
          <w:rPr>
            <w:webHidden/>
          </w:rPr>
          <w:tab/>
        </w:r>
        <w:r>
          <w:rPr>
            <w:webHidden/>
          </w:rPr>
          <w:fldChar w:fldCharType="begin"/>
        </w:r>
        <w:r>
          <w:rPr>
            <w:webHidden/>
          </w:rPr>
          <w:instrText xml:space="preserve"> PAGEREF _Toc213772388 \h </w:instrText>
        </w:r>
        <w:r>
          <w:rPr>
            <w:webHidden/>
          </w:rPr>
        </w:r>
        <w:r>
          <w:rPr>
            <w:webHidden/>
          </w:rPr>
          <w:fldChar w:fldCharType="separate"/>
        </w:r>
        <w:r>
          <w:rPr>
            <w:webHidden/>
          </w:rPr>
          <w:t>439</w:t>
        </w:r>
        <w:r>
          <w:rPr>
            <w:webHidden/>
          </w:rPr>
          <w:fldChar w:fldCharType="end"/>
        </w:r>
      </w:hyperlink>
    </w:p>
    <w:p w14:paraId="2D04D928" w14:textId="0553E9A0" w:rsidR="00023ECF" w:rsidRDefault="00023ECF">
      <w:pPr>
        <w:pStyle w:val="TOC4"/>
        <w:rPr>
          <w:rFonts w:asciiTheme="minorHAnsi" w:eastAsiaTheme="minorEastAsia" w:hAnsiTheme="minorHAnsi" w:cstheme="minorBidi"/>
          <w:bCs w:val="0"/>
          <w:kern w:val="2"/>
          <w:szCs w:val="24"/>
          <w14:ligatures w14:val="standardContextual"/>
        </w:rPr>
      </w:pPr>
      <w:hyperlink w:anchor="_Toc213772389" w:history="1">
        <w:r w:rsidRPr="00AC173C">
          <w:rPr>
            <w:rStyle w:val="Hyperlink"/>
          </w:rPr>
          <w:t>D.14.3</w:t>
        </w:r>
        <w:r>
          <w:rPr>
            <w:rFonts w:asciiTheme="minorHAnsi" w:eastAsiaTheme="minorEastAsia" w:hAnsiTheme="minorHAnsi" w:cstheme="minorBidi"/>
            <w:bCs w:val="0"/>
            <w:kern w:val="2"/>
            <w:szCs w:val="24"/>
            <w14:ligatures w14:val="standardContextual"/>
          </w:rPr>
          <w:tab/>
        </w:r>
        <w:r w:rsidRPr="00AC173C">
          <w:rPr>
            <w:rStyle w:val="Hyperlink"/>
          </w:rPr>
          <w:t>Long Term Opportunity Cost Calculation</w:t>
        </w:r>
        <w:r>
          <w:rPr>
            <w:webHidden/>
          </w:rPr>
          <w:tab/>
        </w:r>
        <w:r>
          <w:rPr>
            <w:webHidden/>
          </w:rPr>
          <w:fldChar w:fldCharType="begin"/>
        </w:r>
        <w:r>
          <w:rPr>
            <w:webHidden/>
          </w:rPr>
          <w:instrText xml:space="preserve"> PAGEREF _Toc213772389 \h </w:instrText>
        </w:r>
        <w:r>
          <w:rPr>
            <w:webHidden/>
          </w:rPr>
        </w:r>
        <w:r>
          <w:rPr>
            <w:webHidden/>
          </w:rPr>
          <w:fldChar w:fldCharType="separate"/>
        </w:r>
        <w:r>
          <w:rPr>
            <w:webHidden/>
          </w:rPr>
          <w:t>439</w:t>
        </w:r>
        <w:r>
          <w:rPr>
            <w:webHidden/>
          </w:rPr>
          <w:fldChar w:fldCharType="end"/>
        </w:r>
      </w:hyperlink>
    </w:p>
    <w:p w14:paraId="2E0B9A6A" w14:textId="5FFDA748" w:rsidR="00023ECF" w:rsidRDefault="00023ECF">
      <w:pPr>
        <w:pStyle w:val="TOC5"/>
        <w:rPr>
          <w:rFonts w:asciiTheme="minorHAnsi" w:eastAsiaTheme="minorEastAsia" w:hAnsiTheme="minorHAnsi" w:cstheme="minorBidi"/>
          <w:kern w:val="2"/>
          <w:szCs w:val="24"/>
          <w14:ligatures w14:val="standardContextual"/>
        </w:rPr>
      </w:pPr>
      <w:hyperlink w:anchor="_Toc213772390" w:history="1">
        <w:r w:rsidRPr="00AC173C">
          <w:rPr>
            <w:rStyle w:val="Hyperlink"/>
          </w:rPr>
          <w:t>D.14.3.1</w:t>
        </w:r>
        <w:r>
          <w:rPr>
            <w:rFonts w:asciiTheme="minorHAnsi" w:eastAsiaTheme="minorEastAsia" w:hAnsiTheme="minorHAnsi" w:cstheme="minorBidi"/>
            <w:kern w:val="2"/>
            <w:szCs w:val="24"/>
            <w14:ligatures w14:val="standardContextual"/>
          </w:rPr>
          <w:tab/>
        </w:r>
        <w:r w:rsidRPr="00AC173C">
          <w:rPr>
            <w:rStyle w:val="Hyperlink"/>
          </w:rPr>
          <w:t>Step 1: Forecast Markets+ System Monthly On-Peak/Off-Peak Average LMPs</w:t>
        </w:r>
        <w:r>
          <w:rPr>
            <w:webHidden/>
          </w:rPr>
          <w:tab/>
        </w:r>
        <w:r>
          <w:rPr>
            <w:webHidden/>
          </w:rPr>
          <w:fldChar w:fldCharType="begin"/>
        </w:r>
        <w:r>
          <w:rPr>
            <w:webHidden/>
          </w:rPr>
          <w:instrText xml:space="preserve"> PAGEREF _Toc213772390 \h </w:instrText>
        </w:r>
        <w:r>
          <w:rPr>
            <w:webHidden/>
          </w:rPr>
        </w:r>
        <w:r>
          <w:rPr>
            <w:webHidden/>
          </w:rPr>
          <w:fldChar w:fldCharType="separate"/>
        </w:r>
        <w:r>
          <w:rPr>
            <w:webHidden/>
          </w:rPr>
          <w:t>439</w:t>
        </w:r>
        <w:r>
          <w:rPr>
            <w:webHidden/>
          </w:rPr>
          <w:fldChar w:fldCharType="end"/>
        </w:r>
      </w:hyperlink>
    </w:p>
    <w:p w14:paraId="0E2FA7E8" w14:textId="3428B360" w:rsidR="00023ECF" w:rsidRDefault="00023ECF">
      <w:pPr>
        <w:pStyle w:val="TOC5"/>
        <w:rPr>
          <w:rFonts w:asciiTheme="minorHAnsi" w:eastAsiaTheme="minorEastAsia" w:hAnsiTheme="minorHAnsi" w:cstheme="minorBidi"/>
          <w:kern w:val="2"/>
          <w:szCs w:val="24"/>
          <w14:ligatures w14:val="standardContextual"/>
        </w:rPr>
      </w:pPr>
      <w:hyperlink w:anchor="_Toc213772391" w:history="1">
        <w:r w:rsidRPr="00AC173C">
          <w:rPr>
            <w:rStyle w:val="Hyperlink"/>
          </w:rPr>
          <w:t>D.14.3.2</w:t>
        </w:r>
        <w:r>
          <w:rPr>
            <w:rFonts w:asciiTheme="minorHAnsi" w:eastAsiaTheme="minorEastAsia" w:hAnsiTheme="minorHAnsi" w:cstheme="minorBidi"/>
            <w:kern w:val="2"/>
            <w:szCs w:val="24"/>
            <w14:ligatures w14:val="standardContextual"/>
          </w:rPr>
          <w:tab/>
        </w:r>
        <w:r w:rsidRPr="00AC173C">
          <w:rPr>
            <w:rStyle w:val="Hyperlink"/>
          </w:rPr>
          <w:t>Step 2: Derive Historical Monthly LMP Basis Differential between the Resource Settlement Location and the M+ Real-Time Marginal Energy Component of LMP</w:t>
        </w:r>
        <w:r>
          <w:rPr>
            <w:webHidden/>
          </w:rPr>
          <w:tab/>
        </w:r>
        <w:r>
          <w:rPr>
            <w:webHidden/>
          </w:rPr>
          <w:fldChar w:fldCharType="begin"/>
        </w:r>
        <w:r>
          <w:rPr>
            <w:webHidden/>
          </w:rPr>
          <w:instrText xml:space="preserve"> PAGEREF _Toc213772391 \h </w:instrText>
        </w:r>
        <w:r>
          <w:rPr>
            <w:webHidden/>
          </w:rPr>
        </w:r>
        <w:r>
          <w:rPr>
            <w:webHidden/>
          </w:rPr>
          <w:fldChar w:fldCharType="separate"/>
        </w:r>
        <w:r>
          <w:rPr>
            <w:webHidden/>
          </w:rPr>
          <w:t>439</w:t>
        </w:r>
        <w:r>
          <w:rPr>
            <w:webHidden/>
          </w:rPr>
          <w:fldChar w:fldCharType="end"/>
        </w:r>
      </w:hyperlink>
    </w:p>
    <w:p w14:paraId="55492920" w14:textId="082E01E7" w:rsidR="00023ECF" w:rsidRDefault="00023ECF">
      <w:pPr>
        <w:pStyle w:val="TOC5"/>
        <w:rPr>
          <w:rFonts w:asciiTheme="minorHAnsi" w:eastAsiaTheme="minorEastAsia" w:hAnsiTheme="minorHAnsi" w:cstheme="minorBidi"/>
          <w:kern w:val="2"/>
          <w:szCs w:val="24"/>
          <w14:ligatures w14:val="standardContextual"/>
        </w:rPr>
      </w:pPr>
      <w:hyperlink w:anchor="_Toc213772392" w:history="1">
        <w:r w:rsidRPr="00AC173C">
          <w:rPr>
            <w:rStyle w:val="Hyperlink"/>
          </w:rPr>
          <w:t>D.14.3.3</w:t>
        </w:r>
        <w:r>
          <w:rPr>
            <w:rFonts w:asciiTheme="minorHAnsi" w:eastAsiaTheme="minorEastAsia" w:hAnsiTheme="minorHAnsi" w:cstheme="minorBidi"/>
            <w:kern w:val="2"/>
            <w:szCs w:val="24"/>
            <w14:ligatures w14:val="standardContextual"/>
          </w:rPr>
          <w:tab/>
        </w:r>
        <w:r w:rsidRPr="00AC173C">
          <w:rPr>
            <w:rStyle w:val="Hyperlink"/>
          </w:rPr>
          <w:t>Step 3: Derive hourly volatility scalars to incorporate hourly volatility into the LMP forecast</w:t>
        </w:r>
        <w:r>
          <w:rPr>
            <w:webHidden/>
          </w:rPr>
          <w:tab/>
        </w:r>
        <w:r>
          <w:rPr>
            <w:webHidden/>
          </w:rPr>
          <w:fldChar w:fldCharType="begin"/>
        </w:r>
        <w:r>
          <w:rPr>
            <w:webHidden/>
          </w:rPr>
          <w:instrText xml:space="preserve"> PAGEREF _Toc213772392 \h </w:instrText>
        </w:r>
        <w:r>
          <w:rPr>
            <w:webHidden/>
          </w:rPr>
        </w:r>
        <w:r>
          <w:rPr>
            <w:webHidden/>
          </w:rPr>
          <w:fldChar w:fldCharType="separate"/>
        </w:r>
        <w:r>
          <w:rPr>
            <w:webHidden/>
          </w:rPr>
          <w:t>439</w:t>
        </w:r>
        <w:r>
          <w:rPr>
            <w:webHidden/>
          </w:rPr>
          <w:fldChar w:fldCharType="end"/>
        </w:r>
      </w:hyperlink>
    </w:p>
    <w:p w14:paraId="72BB9327" w14:textId="24142005" w:rsidR="00023ECF" w:rsidRDefault="00023ECF">
      <w:pPr>
        <w:pStyle w:val="TOC5"/>
        <w:rPr>
          <w:rFonts w:asciiTheme="minorHAnsi" w:eastAsiaTheme="minorEastAsia" w:hAnsiTheme="minorHAnsi" w:cstheme="minorBidi"/>
          <w:kern w:val="2"/>
          <w:szCs w:val="24"/>
          <w14:ligatures w14:val="standardContextual"/>
        </w:rPr>
      </w:pPr>
      <w:hyperlink w:anchor="_Toc213772393" w:history="1">
        <w:r w:rsidRPr="00AC173C">
          <w:rPr>
            <w:rStyle w:val="Hyperlink"/>
          </w:rPr>
          <w:t>D.14.3.4</w:t>
        </w:r>
        <w:r>
          <w:rPr>
            <w:rFonts w:asciiTheme="minorHAnsi" w:eastAsiaTheme="minorEastAsia" w:hAnsiTheme="minorHAnsi" w:cstheme="minorBidi"/>
            <w:kern w:val="2"/>
            <w:szCs w:val="24"/>
            <w14:ligatures w14:val="standardContextual"/>
          </w:rPr>
          <w:tab/>
        </w:r>
        <w:r w:rsidRPr="00AC173C">
          <w:rPr>
            <w:rStyle w:val="Hyperlink"/>
          </w:rPr>
          <w:t>Step 4: Create three sets of hourly forecasted Resource Settlement Location values</w:t>
        </w:r>
        <w:r>
          <w:rPr>
            <w:webHidden/>
          </w:rPr>
          <w:tab/>
        </w:r>
        <w:r>
          <w:rPr>
            <w:webHidden/>
          </w:rPr>
          <w:fldChar w:fldCharType="begin"/>
        </w:r>
        <w:r>
          <w:rPr>
            <w:webHidden/>
          </w:rPr>
          <w:instrText xml:space="preserve"> PAGEREF _Toc213772393 \h </w:instrText>
        </w:r>
        <w:r>
          <w:rPr>
            <w:webHidden/>
          </w:rPr>
        </w:r>
        <w:r>
          <w:rPr>
            <w:webHidden/>
          </w:rPr>
          <w:fldChar w:fldCharType="separate"/>
        </w:r>
        <w:r>
          <w:rPr>
            <w:webHidden/>
          </w:rPr>
          <w:t>439</w:t>
        </w:r>
        <w:r>
          <w:rPr>
            <w:webHidden/>
          </w:rPr>
          <w:fldChar w:fldCharType="end"/>
        </w:r>
      </w:hyperlink>
    </w:p>
    <w:p w14:paraId="210939E7" w14:textId="7FBE9BCA" w:rsidR="00023ECF" w:rsidRDefault="00023ECF">
      <w:pPr>
        <w:pStyle w:val="TOC5"/>
        <w:rPr>
          <w:rFonts w:asciiTheme="minorHAnsi" w:eastAsiaTheme="minorEastAsia" w:hAnsiTheme="minorHAnsi" w:cstheme="minorBidi"/>
          <w:kern w:val="2"/>
          <w:szCs w:val="24"/>
          <w14:ligatures w14:val="standardContextual"/>
        </w:rPr>
      </w:pPr>
      <w:hyperlink w:anchor="_Toc213772394" w:history="1">
        <w:r w:rsidRPr="00AC173C">
          <w:rPr>
            <w:rStyle w:val="Hyperlink"/>
          </w:rPr>
          <w:t>D.14.3.5</w:t>
        </w:r>
        <w:r>
          <w:rPr>
            <w:rFonts w:asciiTheme="minorHAnsi" w:eastAsiaTheme="minorEastAsia" w:hAnsiTheme="minorHAnsi" w:cstheme="minorBidi"/>
            <w:kern w:val="2"/>
            <w:szCs w:val="24"/>
            <w14:ligatures w14:val="standardContextual"/>
          </w:rPr>
          <w:tab/>
        </w:r>
        <w:r w:rsidRPr="00AC173C">
          <w:rPr>
            <w:rStyle w:val="Hyperlink"/>
          </w:rPr>
          <w:t>Step 5: Create a daily fuel volatility scalar</w:t>
        </w:r>
        <w:r>
          <w:rPr>
            <w:webHidden/>
          </w:rPr>
          <w:tab/>
        </w:r>
        <w:r>
          <w:rPr>
            <w:webHidden/>
          </w:rPr>
          <w:fldChar w:fldCharType="begin"/>
        </w:r>
        <w:r>
          <w:rPr>
            <w:webHidden/>
          </w:rPr>
          <w:instrText xml:space="preserve"> PAGEREF _Toc213772394 \h </w:instrText>
        </w:r>
        <w:r>
          <w:rPr>
            <w:webHidden/>
          </w:rPr>
        </w:r>
        <w:r>
          <w:rPr>
            <w:webHidden/>
          </w:rPr>
          <w:fldChar w:fldCharType="separate"/>
        </w:r>
        <w:r>
          <w:rPr>
            <w:webHidden/>
          </w:rPr>
          <w:t>439</w:t>
        </w:r>
        <w:r>
          <w:rPr>
            <w:webHidden/>
          </w:rPr>
          <w:fldChar w:fldCharType="end"/>
        </w:r>
      </w:hyperlink>
    </w:p>
    <w:p w14:paraId="79FF1AC5" w14:textId="11D97D1A" w:rsidR="00023ECF" w:rsidRDefault="00023ECF">
      <w:pPr>
        <w:pStyle w:val="TOC5"/>
        <w:rPr>
          <w:rFonts w:asciiTheme="minorHAnsi" w:eastAsiaTheme="minorEastAsia" w:hAnsiTheme="minorHAnsi" w:cstheme="minorBidi"/>
          <w:kern w:val="2"/>
          <w:szCs w:val="24"/>
          <w14:ligatures w14:val="standardContextual"/>
        </w:rPr>
      </w:pPr>
      <w:hyperlink w:anchor="_Toc213772395" w:history="1">
        <w:r w:rsidRPr="00AC173C">
          <w:rPr>
            <w:rStyle w:val="Hyperlink"/>
          </w:rPr>
          <w:t>D.14.3.6</w:t>
        </w:r>
        <w:r>
          <w:rPr>
            <w:rFonts w:asciiTheme="minorHAnsi" w:eastAsiaTheme="minorEastAsia" w:hAnsiTheme="minorHAnsi" w:cstheme="minorBidi"/>
            <w:kern w:val="2"/>
            <w:szCs w:val="24"/>
            <w14:ligatures w14:val="standardContextual"/>
          </w:rPr>
          <w:tab/>
        </w:r>
        <w:r w:rsidRPr="00AC173C">
          <w:rPr>
            <w:rStyle w:val="Hyperlink"/>
          </w:rPr>
          <w:t>Step 6: Create three daily delivered fuel forecasts</w:t>
        </w:r>
        <w:r>
          <w:rPr>
            <w:webHidden/>
          </w:rPr>
          <w:tab/>
        </w:r>
        <w:r>
          <w:rPr>
            <w:webHidden/>
          </w:rPr>
          <w:fldChar w:fldCharType="begin"/>
        </w:r>
        <w:r>
          <w:rPr>
            <w:webHidden/>
          </w:rPr>
          <w:instrText xml:space="preserve"> PAGEREF _Toc213772395 \h </w:instrText>
        </w:r>
        <w:r>
          <w:rPr>
            <w:webHidden/>
          </w:rPr>
        </w:r>
        <w:r>
          <w:rPr>
            <w:webHidden/>
          </w:rPr>
          <w:fldChar w:fldCharType="separate"/>
        </w:r>
        <w:r>
          <w:rPr>
            <w:webHidden/>
          </w:rPr>
          <w:t>439</w:t>
        </w:r>
        <w:r>
          <w:rPr>
            <w:webHidden/>
          </w:rPr>
          <w:fldChar w:fldCharType="end"/>
        </w:r>
      </w:hyperlink>
    </w:p>
    <w:p w14:paraId="4AB2FF30" w14:textId="40631A6E" w:rsidR="00023ECF" w:rsidRDefault="00023ECF">
      <w:pPr>
        <w:pStyle w:val="TOC5"/>
        <w:rPr>
          <w:rFonts w:asciiTheme="minorHAnsi" w:eastAsiaTheme="minorEastAsia" w:hAnsiTheme="minorHAnsi" w:cstheme="minorBidi"/>
          <w:kern w:val="2"/>
          <w:szCs w:val="24"/>
          <w14:ligatures w14:val="standardContextual"/>
        </w:rPr>
      </w:pPr>
      <w:hyperlink w:anchor="_Toc213772396" w:history="1">
        <w:r w:rsidRPr="00AC173C">
          <w:rPr>
            <w:rStyle w:val="Hyperlink"/>
          </w:rPr>
          <w:t>D.14.3.7</w:t>
        </w:r>
        <w:r>
          <w:rPr>
            <w:rFonts w:asciiTheme="minorHAnsi" w:eastAsiaTheme="minorEastAsia" w:hAnsiTheme="minorHAnsi" w:cstheme="minorBidi"/>
            <w:kern w:val="2"/>
            <w:szCs w:val="24"/>
            <w14:ligatures w14:val="standardContextual"/>
          </w:rPr>
          <w:tab/>
        </w:r>
        <w:r w:rsidRPr="00AC173C">
          <w:rPr>
            <w:rStyle w:val="Hyperlink"/>
          </w:rPr>
          <w:t>Step 7: Create Resource(s) cost for each of the three forecasts</w:t>
        </w:r>
        <w:r>
          <w:rPr>
            <w:webHidden/>
          </w:rPr>
          <w:tab/>
        </w:r>
        <w:r>
          <w:rPr>
            <w:webHidden/>
          </w:rPr>
          <w:fldChar w:fldCharType="begin"/>
        </w:r>
        <w:r>
          <w:rPr>
            <w:webHidden/>
          </w:rPr>
          <w:instrText xml:space="preserve"> PAGEREF _Toc213772396 \h </w:instrText>
        </w:r>
        <w:r>
          <w:rPr>
            <w:webHidden/>
          </w:rPr>
        </w:r>
        <w:r>
          <w:rPr>
            <w:webHidden/>
          </w:rPr>
          <w:fldChar w:fldCharType="separate"/>
        </w:r>
        <w:r>
          <w:rPr>
            <w:webHidden/>
          </w:rPr>
          <w:t>440</w:t>
        </w:r>
        <w:r>
          <w:rPr>
            <w:webHidden/>
          </w:rPr>
          <w:fldChar w:fldCharType="end"/>
        </w:r>
      </w:hyperlink>
    </w:p>
    <w:p w14:paraId="4FF4A596" w14:textId="6DC63164" w:rsidR="00023ECF" w:rsidRDefault="00023ECF">
      <w:pPr>
        <w:pStyle w:val="TOC5"/>
        <w:rPr>
          <w:rFonts w:asciiTheme="minorHAnsi" w:eastAsiaTheme="minorEastAsia" w:hAnsiTheme="minorHAnsi" w:cstheme="minorBidi"/>
          <w:kern w:val="2"/>
          <w:szCs w:val="24"/>
          <w14:ligatures w14:val="standardContextual"/>
        </w:rPr>
      </w:pPr>
      <w:hyperlink w:anchor="_Toc213772397" w:history="1">
        <w:r w:rsidRPr="00AC173C">
          <w:rPr>
            <w:rStyle w:val="Hyperlink"/>
          </w:rPr>
          <w:t>D.14.3.8</w:t>
        </w:r>
        <w:r>
          <w:rPr>
            <w:rFonts w:asciiTheme="minorHAnsi" w:eastAsiaTheme="minorEastAsia" w:hAnsiTheme="minorHAnsi" w:cstheme="minorBidi"/>
            <w:kern w:val="2"/>
            <w:szCs w:val="24"/>
            <w14:ligatures w14:val="standardContextual"/>
          </w:rPr>
          <w:tab/>
        </w:r>
        <w:r w:rsidRPr="00AC173C">
          <w:rPr>
            <w:rStyle w:val="Hyperlink"/>
          </w:rPr>
          <w:t>Step 8: Calculate the margin for every hour in the three hourly forecasts</w:t>
        </w:r>
        <w:r>
          <w:rPr>
            <w:webHidden/>
          </w:rPr>
          <w:tab/>
        </w:r>
        <w:r>
          <w:rPr>
            <w:webHidden/>
          </w:rPr>
          <w:fldChar w:fldCharType="begin"/>
        </w:r>
        <w:r>
          <w:rPr>
            <w:webHidden/>
          </w:rPr>
          <w:instrText xml:space="preserve"> PAGEREF _Toc213772397 \h </w:instrText>
        </w:r>
        <w:r>
          <w:rPr>
            <w:webHidden/>
          </w:rPr>
        </w:r>
        <w:r>
          <w:rPr>
            <w:webHidden/>
          </w:rPr>
          <w:fldChar w:fldCharType="separate"/>
        </w:r>
        <w:r>
          <w:rPr>
            <w:webHidden/>
          </w:rPr>
          <w:t>440</w:t>
        </w:r>
        <w:r>
          <w:rPr>
            <w:webHidden/>
          </w:rPr>
          <w:fldChar w:fldCharType="end"/>
        </w:r>
      </w:hyperlink>
    </w:p>
    <w:p w14:paraId="77813A77" w14:textId="2CC260A3" w:rsidR="00023ECF" w:rsidRDefault="00023ECF">
      <w:pPr>
        <w:pStyle w:val="TOC5"/>
        <w:rPr>
          <w:rFonts w:asciiTheme="minorHAnsi" w:eastAsiaTheme="minorEastAsia" w:hAnsiTheme="minorHAnsi" w:cstheme="minorBidi"/>
          <w:kern w:val="2"/>
          <w:szCs w:val="24"/>
          <w14:ligatures w14:val="standardContextual"/>
        </w:rPr>
      </w:pPr>
      <w:hyperlink w:anchor="_Toc213772398" w:history="1">
        <w:r w:rsidRPr="00AC173C">
          <w:rPr>
            <w:rStyle w:val="Hyperlink"/>
          </w:rPr>
          <w:t>D.14.3.9</w:t>
        </w:r>
        <w:r>
          <w:rPr>
            <w:rFonts w:asciiTheme="minorHAnsi" w:eastAsiaTheme="minorEastAsia" w:hAnsiTheme="minorHAnsi" w:cstheme="minorBidi"/>
            <w:kern w:val="2"/>
            <w:szCs w:val="24"/>
            <w14:ligatures w14:val="standardContextual"/>
          </w:rPr>
          <w:tab/>
        </w:r>
        <w:r w:rsidRPr="00AC173C">
          <w:rPr>
            <w:rStyle w:val="Hyperlink"/>
          </w:rPr>
          <w:t>Step 9: Determine the opportunity cost component</w:t>
        </w:r>
        <w:r>
          <w:rPr>
            <w:webHidden/>
          </w:rPr>
          <w:tab/>
        </w:r>
        <w:r>
          <w:rPr>
            <w:webHidden/>
          </w:rPr>
          <w:fldChar w:fldCharType="begin"/>
        </w:r>
        <w:r>
          <w:rPr>
            <w:webHidden/>
          </w:rPr>
          <w:instrText xml:space="preserve"> PAGEREF _Toc213772398 \h </w:instrText>
        </w:r>
        <w:r>
          <w:rPr>
            <w:webHidden/>
          </w:rPr>
        </w:r>
        <w:r>
          <w:rPr>
            <w:webHidden/>
          </w:rPr>
          <w:fldChar w:fldCharType="separate"/>
        </w:r>
        <w:r>
          <w:rPr>
            <w:webHidden/>
          </w:rPr>
          <w:t>440</w:t>
        </w:r>
        <w:r>
          <w:rPr>
            <w:webHidden/>
          </w:rPr>
          <w:fldChar w:fldCharType="end"/>
        </w:r>
      </w:hyperlink>
    </w:p>
    <w:p w14:paraId="33ACD24E" w14:textId="41CCE1DC" w:rsidR="00023ECF" w:rsidRDefault="00023ECF">
      <w:pPr>
        <w:pStyle w:val="TOC4"/>
        <w:rPr>
          <w:rFonts w:asciiTheme="minorHAnsi" w:eastAsiaTheme="minorEastAsia" w:hAnsiTheme="minorHAnsi" w:cstheme="minorBidi"/>
          <w:bCs w:val="0"/>
          <w:kern w:val="2"/>
          <w:szCs w:val="24"/>
          <w14:ligatures w14:val="standardContextual"/>
        </w:rPr>
      </w:pPr>
      <w:hyperlink w:anchor="_Toc213772399" w:history="1">
        <w:r w:rsidRPr="00AC173C">
          <w:rPr>
            <w:rStyle w:val="Hyperlink"/>
          </w:rPr>
          <w:t>D.14.4</w:t>
        </w:r>
        <w:r>
          <w:rPr>
            <w:rFonts w:asciiTheme="minorHAnsi" w:eastAsiaTheme="minorEastAsia" w:hAnsiTheme="minorHAnsi" w:cstheme="minorBidi"/>
            <w:bCs w:val="0"/>
            <w:kern w:val="2"/>
            <w:szCs w:val="24"/>
            <w14:ligatures w14:val="standardContextual"/>
          </w:rPr>
          <w:tab/>
        </w:r>
        <w:r w:rsidRPr="00AC173C">
          <w:rPr>
            <w:rStyle w:val="Hyperlink"/>
          </w:rPr>
          <w:t>Short Term Opportunity Cost Calculation</w:t>
        </w:r>
        <w:r>
          <w:rPr>
            <w:webHidden/>
          </w:rPr>
          <w:tab/>
        </w:r>
        <w:r>
          <w:rPr>
            <w:webHidden/>
          </w:rPr>
          <w:fldChar w:fldCharType="begin"/>
        </w:r>
        <w:r>
          <w:rPr>
            <w:webHidden/>
          </w:rPr>
          <w:instrText xml:space="preserve"> PAGEREF _Toc213772399 \h </w:instrText>
        </w:r>
        <w:r>
          <w:rPr>
            <w:webHidden/>
          </w:rPr>
        </w:r>
        <w:r>
          <w:rPr>
            <w:webHidden/>
          </w:rPr>
          <w:fldChar w:fldCharType="separate"/>
        </w:r>
        <w:r>
          <w:rPr>
            <w:webHidden/>
          </w:rPr>
          <w:t>440</w:t>
        </w:r>
        <w:r>
          <w:rPr>
            <w:webHidden/>
          </w:rPr>
          <w:fldChar w:fldCharType="end"/>
        </w:r>
      </w:hyperlink>
    </w:p>
    <w:p w14:paraId="080CC38B" w14:textId="109E19BC" w:rsidR="00023ECF" w:rsidRDefault="00023ECF">
      <w:pPr>
        <w:pStyle w:val="TOC5"/>
        <w:rPr>
          <w:rFonts w:asciiTheme="minorHAnsi" w:eastAsiaTheme="minorEastAsia" w:hAnsiTheme="minorHAnsi" w:cstheme="minorBidi"/>
          <w:kern w:val="2"/>
          <w:szCs w:val="24"/>
          <w14:ligatures w14:val="standardContextual"/>
        </w:rPr>
      </w:pPr>
      <w:hyperlink w:anchor="_Toc213772400" w:history="1">
        <w:r w:rsidRPr="00AC173C">
          <w:rPr>
            <w:rStyle w:val="Hyperlink"/>
          </w:rPr>
          <w:t>D.14.4.1</w:t>
        </w:r>
        <w:r>
          <w:rPr>
            <w:rFonts w:asciiTheme="minorHAnsi" w:eastAsiaTheme="minorEastAsia" w:hAnsiTheme="minorHAnsi" w:cstheme="minorBidi"/>
            <w:kern w:val="2"/>
            <w:szCs w:val="24"/>
            <w14:ligatures w14:val="standardContextual"/>
          </w:rPr>
          <w:tab/>
        </w:r>
        <w:r w:rsidRPr="00AC173C">
          <w:rPr>
            <w:rStyle w:val="Hyperlink"/>
          </w:rPr>
          <w:t>Step 1: Forecast System Monthly On-Peak/Off-Peak Average LMPs</w:t>
        </w:r>
        <w:r>
          <w:rPr>
            <w:webHidden/>
          </w:rPr>
          <w:tab/>
        </w:r>
        <w:r>
          <w:rPr>
            <w:webHidden/>
          </w:rPr>
          <w:fldChar w:fldCharType="begin"/>
        </w:r>
        <w:r>
          <w:rPr>
            <w:webHidden/>
          </w:rPr>
          <w:instrText xml:space="preserve"> PAGEREF _Toc213772400 \h </w:instrText>
        </w:r>
        <w:r>
          <w:rPr>
            <w:webHidden/>
          </w:rPr>
        </w:r>
        <w:r>
          <w:rPr>
            <w:webHidden/>
          </w:rPr>
          <w:fldChar w:fldCharType="separate"/>
        </w:r>
        <w:r>
          <w:rPr>
            <w:webHidden/>
          </w:rPr>
          <w:t>440</w:t>
        </w:r>
        <w:r>
          <w:rPr>
            <w:webHidden/>
          </w:rPr>
          <w:fldChar w:fldCharType="end"/>
        </w:r>
      </w:hyperlink>
    </w:p>
    <w:p w14:paraId="6CB670BA" w14:textId="755825BD" w:rsidR="00023ECF" w:rsidRDefault="00023ECF">
      <w:pPr>
        <w:pStyle w:val="TOC5"/>
        <w:rPr>
          <w:rFonts w:asciiTheme="minorHAnsi" w:eastAsiaTheme="minorEastAsia" w:hAnsiTheme="minorHAnsi" w:cstheme="minorBidi"/>
          <w:kern w:val="2"/>
          <w:szCs w:val="24"/>
          <w14:ligatures w14:val="standardContextual"/>
        </w:rPr>
      </w:pPr>
      <w:hyperlink w:anchor="_Toc213772401" w:history="1">
        <w:r w:rsidRPr="00AC173C">
          <w:rPr>
            <w:rStyle w:val="Hyperlink"/>
          </w:rPr>
          <w:t>D.14.4.2</w:t>
        </w:r>
        <w:r>
          <w:rPr>
            <w:rFonts w:asciiTheme="minorHAnsi" w:eastAsiaTheme="minorEastAsia" w:hAnsiTheme="minorHAnsi" w:cstheme="minorBidi"/>
            <w:kern w:val="2"/>
            <w:szCs w:val="24"/>
            <w14:ligatures w14:val="standardContextual"/>
          </w:rPr>
          <w:tab/>
        </w:r>
        <w:r w:rsidRPr="00AC173C">
          <w:rPr>
            <w:rStyle w:val="Hyperlink"/>
          </w:rPr>
          <w:t>Step 2: Derive Historical Monthly LMP Basis Differential between the Resource Settlement Location and the M+ Real-Time Marginal Energy Component of LMP</w:t>
        </w:r>
        <w:r>
          <w:rPr>
            <w:webHidden/>
          </w:rPr>
          <w:tab/>
        </w:r>
        <w:r>
          <w:rPr>
            <w:webHidden/>
          </w:rPr>
          <w:fldChar w:fldCharType="begin"/>
        </w:r>
        <w:r>
          <w:rPr>
            <w:webHidden/>
          </w:rPr>
          <w:instrText xml:space="preserve"> PAGEREF _Toc213772401 \h </w:instrText>
        </w:r>
        <w:r>
          <w:rPr>
            <w:webHidden/>
          </w:rPr>
        </w:r>
        <w:r>
          <w:rPr>
            <w:webHidden/>
          </w:rPr>
          <w:fldChar w:fldCharType="separate"/>
        </w:r>
        <w:r>
          <w:rPr>
            <w:webHidden/>
          </w:rPr>
          <w:t>440</w:t>
        </w:r>
        <w:r>
          <w:rPr>
            <w:webHidden/>
          </w:rPr>
          <w:fldChar w:fldCharType="end"/>
        </w:r>
      </w:hyperlink>
    </w:p>
    <w:p w14:paraId="2E0F897B" w14:textId="6895AD0D" w:rsidR="00023ECF" w:rsidRDefault="00023ECF">
      <w:pPr>
        <w:pStyle w:val="TOC5"/>
        <w:rPr>
          <w:rFonts w:asciiTheme="minorHAnsi" w:eastAsiaTheme="minorEastAsia" w:hAnsiTheme="minorHAnsi" w:cstheme="minorBidi"/>
          <w:kern w:val="2"/>
          <w:szCs w:val="24"/>
          <w14:ligatures w14:val="standardContextual"/>
        </w:rPr>
      </w:pPr>
      <w:hyperlink w:anchor="_Toc213772402" w:history="1">
        <w:r w:rsidRPr="00AC173C">
          <w:rPr>
            <w:rStyle w:val="Hyperlink"/>
          </w:rPr>
          <w:t>D.14.4.3</w:t>
        </w:r>
        <w:r>
          <w:rPr>
            <w:rFonts w:asciiTheme="minorHAnsi" w:eastAsiaTheme="minorEastAsia" w:hAnsiTheme="minorHAnsi" w:cstheme="minorBidi"/>
            <w:kern w:val="2"/>
            <w:szCs w:val="24"/>
            <w14:ligatures w14:val="standardContextual"/>
          </w:rPr>
          <w:tab/>
        </w:r>
        <w:r w:rsidRPr="00AC173C">
          <w:rPr>
            <w:rStyle w:val="Hyperlink"/>
          </w:rPr>
          <w:t>Step 3: Derive hourly volatility scalars to incorporate hourly volatility into the LMP forecast</w:t>
        </w:r>
        <w:r>
          <w:rPr>
            <w:webHidden/>
          </w:rPr>
          <w:tab/>
        </w:r>
        <w:r>
          <w:rPr>
            <w:webHidden/>
          </w:rPr>
          <w:fldChar w:fldCharType="begin"/>
        </w:r>
        <w:r>
          <w:rPr>
            <w:webHidden/>
          </w:rPr>
          <w:instrText xml:space="preserve"> PAGEREF _Toc213772402 \h </w:instrText>
        </w:r>
        <w:r>
          <w:rPr>
            <w:webHidden/>
          </w:rPr>
        </w:r>
        <w:r>
          <w:rPr>
            <w:webHidden/>
          </w:rPr>
          <w:fldChar w:fldCharType="separate"/>
        </w:r>
        <w:r>
          <w:rPr>
            <w:webHidden/>
          </w:rPr>
          <w:t>440</w:t>
        </w:r>
        <w:r>
          <w:rPr>
            <w:webHidden/>
          </w:rPr>
          <w:fldChar w:fldCharType="end"/>
        </w:r>
      </w:hyperlink>
    </w:p>
    <w:p w14:paraId="2519FB8B" w14:textId="575B0531" w:rsidR="00023ECF" w:rsidRDefault="00023ECF">
      <w:pPr>
        <w:pStyle w:val="TOC5"/>
        <w:rPr>
          <w:rFonts w:asciiTheme="minorHAnsi" w:eastAsiaTheme="minorEastAsia" w:hAnsiTheme="minorHAnsi" w:cstheme="minorBidi"/>
          <w:kern w:val="2"/>
          <w:szCs w:val="24"/>
          <w14:ligatures w14:val="standardContextual"/>
        </w:rPr>
      </w:pPr>
      <w:hyperlink w:anchor="_Toc213772403" w:history="1">
        <w:r w:rsidRPr="00AC173C">
          <w:rPr>
            <w:rStyle w:val="Hyperlink"/>
          </w:rPr>
          <w:t>D.14.4.4</w:t>
        </w:r>
        <w:r>
          <w:rPr>
            <w:rFonts w:asciiTheme="minorHAnsi" w:eastAsiaTheme="minorEastAsia" w:hAnsiTheme="minorHAnsi" w:cstheme="minorBidi"/>
            <w:kern w:val="2"/>
            <w:szCs w:val="24"/>
            <w14:ligatures w14:val="standardContextual"/>
          </w:rPr>
          <w:tab/>
        </w:r>
        <w:r w:rsidRPr="00AC173C">
          <w:rPr>
            <w:rStyle w:val="Hyperlink"/>
          </w:rPr>
          <w:t>Step 4: Create three sets of hourly forecasted Resource LMPs</w:t>
        </w:r>
        <w:r>
          <w:rPr>
            <w:webHidden/>
          </w:rPr>
          <w:tab/>
        </w:r>
        <w:r>
          <w:rPr>
            <w:webHidden/>
          </w:rPr>
          <w:fldChar w:fldCharType="begin"/>
        </w:r>
        <w:r>
          <w:rPr>
            <w:webHidden/>
          </w:rPr>
          <w:instrText xml:space="preserve"> PAGEREF _Toc213772403 \h </w:instrText>
        </w:r>
        <w:r>
          <w:rPr>
            <w:webHidden/>
          </w:rPr>
        </w:r>
        <w:r>
          <w:rPr>
            <w:webHidden/>
          </w:rPr>
          <w:fldChar w:fldCharType="separate"/>
        </w:r>
        <w:r>
          <w:rPr>
            <w:webHidden/>
          </w:rPr>
          <w:t>440</w:t>
        </w:r>
        <w:r>
          <w:rPr>
            <w:webHidden/>
          </w:rPr>
          <w:fldChar w:fldCharType="end"/>
        </w:r>
      </w:hyperlink>
    </w:p>
    <w:p w14:paraId="70D3BE63" w14:textId="78899579" w:rsidR="00023ECF" w:rsidRDefault="00023ECF">
      <w:pPr>
        <w:pStyle w:val="TOC5"/>
        <w:rPr>
          <w:rFonts w:asciiTheme="minorHAnsi" w:eastAsiaTheme="minorEastAsia" w:hAnsiTheme="minorHAnsi" w:cstheme="minorBidi"/>
          <w:kern w:val="2"/>
          <w:szCs w:val="24"/>
          <w14:ligatures w14:val="standardContextual"/>
        </w:rPr>
      </w:pPr>
      <w:hyperlink w:anchor="_Toc213772404" w:history="1">
        <w:r w:rsidRPr="00AC173C">
          <w:rPr>
            <w:rStyle w:val="Hyperlink"/>
          </w:rPr>
          <w:t>D.14.4.5</w:t>
        </w:r>
        <w:r>
          <w:rPr>
            <w:rFonts w:asciiTheme="minorHAnsi" w:eastAsiaTheme="minorEastAsia" w:hAnsiTheme="minorHAnsi" w:cstheme="minorBidi"/>
            <w:kern w:val="2"/>
            <w:szCs w:val="24"/>
            <w14:ligatures w14:val="standardContextual"/>
          </w:rPr>
          <w:tab/>
        </w:r>
        <w:r w:rsidRPr="00AC173C">
          <w:rPr>
            <w:rStyle w:val="Hyperlink"/>
          </w:rPr>
          <w:t>Step 5: Fuel Price</w:t>
        </w:r>
        <w:r>
          <w:rPr>
            <w:webHidden/>
          </w:rPr>
          <w:tab/>
        </w:r>
        <w:r>
          <w:rPr>
            <w:webHidden/>
          </w:rPr>
          <w:fldChar w:fldCharType="begin"/>
        </w:r>
        <w:r>
          <w:rPr>
            <w:webHidden/>
          </w:rPr>
          <w:instrText xml:space="preserve"> PAGEREF _Toc213772404 \h </w:instrText>
        </w:r>
        <w:r>
          <w:rPr>
            <w:webHidden/>
          </w:rPr>
        </w:r>
        <w:r>
          <w:rPr>
            <w:webHidden/>
          </w:rPr>
          <w:fldChar w:fldCharType="separate"/>
        </w:r>
        <w:r>
          <w:rPr>
            <w:webHidden/>
          </w:rPr>
          <w:t>440</w:t>
        </w:r>
        <w:r>
          <w:rPr>
            <w:webHidden/>
          </w:rPr>
          <w:fldChar w:fldCharType="end"/>
        </w:r>
      </w:hyperlink>
    </w:p>
    <w:p w14:paraId="063BD354" w14:textId="78219A4B" w:rsidR="00023ECF" w:rsidRDefault="00023ECF">
      <w:pPr>
        <w:pStyle w:val="TOC5"/>
        <w:rPr>
          <w:rFonts w:asciiTheme="minorHAnsi" w:eastAsiaTheme="minorEastAsia" w:hAnsiTheme="minorHAnsi" w:cstheme="minorBidi"/>
          <w:kern w:val="2"/>
          <w:szCs w:val="24"/>
          <w14:ligatures w14:val="standardContextual"/>
        </w:rPr>
      </w:pPr>
      <w:hyperlink w:anchor="_Toc213772405" w:history="1">
        <w:r w:rsidRPr="00AC173C">
          <w:rPr>
            <w:rStyle w:val="Hyperlink"/>
          </w:rPr>
          <w:t>D.14.4.6</w:t>
        </w:r>
        <w:r>
          <w:rPr>
            <w:rFonts w:asciiTheme="minorHAnsi" w:eastAsiaTheme="minorEastAsia" w:hAnsiTheme="minorHAnsi" w:cstheme="minorBidi"/>
            <w:kern w:val="2"/>
            <w:szCs w:val="24"/>
            <w14:ligatures w14:val="standardContextual"/>
          </w:rPr>
          <w:tab/>
        </w:r>
        <w:r w:rsidRPr="00AC173C">
          <w:rPr>
            <w:rStyle w:val="Hyperlink"/>
          </w:rPr>
          <w:t>Step 6: Create generating unit’s cost for each of the three forecasts</w:t>
        </w:r>
        <w:r>
          <w:rPr>
            <w:webHidden/>
          </w:rPr>
          <w:tab/>
        </w:r>
        <w:r>
          <w:rPr>
            <w:webHidden/>
          </w:rPr>
          <w:fldChar w:fldCharType="begin"/>
        </w:r>
        <w:r>
          <w:rPr>
            <w:webHidden/>
          </w:rPr>
          <w:instrText xml:space="preserve"> PAGEREF _Toc213772405 \h </w:instrText>
        </w:r>
        <w:r>
          <w:rPr>
            <w:webHidden/>
          </w:rPr>
        </w:r>
        <w:r>
          <w:rPr>
            <w:webHidden/>
          </w:rPr>
          <w:fldChar w:fldCharType="separate"/>
        </w:r>
        <w:r>
          <w:rPr>
            <w:webHidden/>
          </w:rPr>
          <w:t>440</w:t>
        </w:r>
        <w:r>
          <w:rPr>
            <w:webHidden/>
          </w:rPr>
          <w:fldChar w:fldCharType="end"/>
        </w:r>
      </w:hyperlink>
    </w:p>
    <w:p w14:paraId="4026FEA1" w14:textId="12F441C4" w:rsidR="00023ECF" w:rsidRDefault="00023ECF">
      <w:pPr>
        <w:pStyle w:val="TOC5"/>
        <w:rPr>
          <w:rFonts w:asciiTheme="minorHAnsi" w:eastAsiaTheme="minorEastAsia" w:hAnsiTheme="minorHAnsi" w:cstheme="minorBidi"/>
          <w:kern w:val="2"/>
          <w:szCs w:val="24"/>
          <w14:ligatures w14:val="standardContextual"/>
        </w:rPr>
      </w:pPr>
      <w:hyperlink w:anchor="_Toc213772406" w:history="1">
        <w:r w:rsidRPr="00AC173C">
          <w:rPr>
            <w:rStyle w:val="Hyperlink"/>
          </w:rPr>
          <w:t>D.14.4.7</w:t>
        </w:r>
        <w:r>
          <w:rPr>
            <w:rFonts w:asciiTheme="minorHAnsi" w:eastAsiaTheme="minorEastAsia" w:hAnsiTheme="minorHAnsi" w:cstheme="minorBidi"/>
            <w:kern w:val="2"/>
            <w:szCs w:val="24"/>
            <w14:ligatures w14:val="standardContextual"/>
          </w:rPr>
          <w:tab/>
        </w:r>
        <w:r w:rsidRPr="00AC173C">
          <w:rPr>
            <w:rStyle w:val="Hyperlink"/>
          </w:rPr>
          <w:t>Step 7: Calculate the margin for every hour in the three hourly forecasts</w:t>
        </w:r>
        <w:r>
          <w:rPr>
            <w:webHidden/>
          </w:rPr>
          <w:tab/>
        </w:r>
        <w:r>
          <w:rPr>
            <w:webHidden/>
          </w:rPr>
          <w:fldChar w:fldCharType="begin"/>
        </w:r>
        <w:r>
          <w:rPr>
            <w:webHidden/>
          </w:rPr>
          <w:instrText xml:space="preserve"> PAGEREF _Toc213772406 \h </w:instrText>
        </w:r>
        <w:r>
          <w:rPr>
            <w:webHidden/>
          </w:rPr>
        </w:r>
        <w:r>
          <w:rPr>
            <w:webHidden/>
          </w:rPr>
          <w:fldChar w:fldCharType="separate"/>
        </w:r>
        <w:r>
          <w:rPr>
            <w:webHidden/>
          </w:rPr>
          <w:t>440</w:t>
        </w:r>
        <w:r>
          <w:rPr>
            <w:webHidden/>
          </w:rPr>
          <w:fldChar w:fldCharType="end"/>
        </w:r>
      </w:hyperlink>
    </w:p>
    <w:p w14:paraId="33033A69" w14:textId="6EB402CD" w:rsidR="00023ECF" w:rsidRDefault="00023ECF">
      <w:pPr>
        <w:pStyle w:val="TOC5"/>
        <w:rPr>
          <w:rFonts w:asciiTheme="minorHAnsi" w:eastAsiaTheme="minorEastAsia" w:hAnsiTheme="minorHAnsi" w:cstheme="minorBidi"/>
          <w:kern w:val="2"/>
          <w:szCs w:val="24"/>
          <w14:ligatures w14:val="standardContextual"/>
        </w:rPr>
      </w:pPr>
      <w:hyperlink w:anchor="_Toc213772407" w:history="1">
        <w:r w:rsidRPr="00AC173C">
          <w:rPr>
            <w:rStyle w:val="Hyperlink"/>
          </w:rPr>
          <w:t>D.14.4.8</w:t>
        </w:r>
        <w:r>
          <w:rPr>
            <w:rFonts w:asciiTheme="minorHAnsi" w:eastAsiaTheme="minorEastAsia" w:hAnsiTheme="minorHAnsi" w:cstheme="minorBidi"/>
            <w:kern w:val="2"/>
            <w:szCs w:val="24"/>
            <w14:ligatures w14:val="standardContextual"/>
          </w:rPr>
          <w:tab/>
        </w:r>
        <w:r w:rsidRPr="00AC173C">
          <w:rPr>
            <w:rStyle w:val="Hyperlink"/>
          </w:rPr>
          <w:t>Step 8: Determine the opportunity cost</w:t>
        </w:r>
        <w:r>
          <w:rPr>
            <w:webHidden/>
          </w:rPr>
          <w:tab/>
        </w:r>
        <w:r>
          <w:rPr>
            <w:webHidden/>
          </w:rPr>
          <w:fldChar w:fldCharType="begin"/>
        </w:r>
        <w:r>
          <w:rPr>
            <w:webHidden/>
          </w:rPr>
          <w:instrText xml:space="preserve"> PAGEREF _Toc213772407 \h </w:instrText>
        </w:r>
        <w:r>
          <w:rPr>
            <w:webHidden/>
          </w:rPr>
        </w:r>
        <w:r>
          <w:rPr>
            <w:webHidden/>
          </w:rPr>
          <w:fldChar w:fldCharType="separate"/>
        </w:r>
        <w:r>
          <w:rPr>
            <w:webHidden/>
          </w:rPr>
          <w:t>440</w:t>
        </w:r>
        <w:r>
          <w:rPr>
            <w:webHidden/>
          </w:rPr>
          <w:fldChar w:fldCharType="end"/>
        </w:r>
      </w:hyperlink>
    </w:p>
    <w:p w14:paraId="1DE49268" w14:textId="4328AB0D" w:rsidR="00023ECF" w:rsidRDefault="00023ECF">
      <w:pPr>
        <w:pStyle w:val="TOC1"/>
        <w:tabs>
          <w:tab w:val="left" w:pos="727"/>
        </w:tabs>
        <w:rPr>
          <w:rFonts w:asciiTheme="minorHAnsi" w:eastAsiaTheme="minorEastAsia" w:hAnsiTheme="minorHAnsi" w:cstheme="minorBidi"/>
          <w:b w:val="0"/>
          <w:kern w:val="2"/>
          <w:szCs w:val="24"/>
          <w14:ligatures w14:val="standardContextual"/>
        </w:rPr>
      </w:pPr>
      <w:hyperlink w:anchor="_Toc213772408" w:history="1">
        <w:r w:rsidRPr="00AC173C">
          <w:rPr>
            <w:rStyle w:val="Hyperlink"/>
          </w:rPr>
          <w:t>D15</w:t>
        </w:r>
        <w:r>
          <w:rPr>
            <w:rFonts w:asciiTheme="minorHAnsi" w:eastAsiaTheme="minorEastAsia" w:hAnsiTheme="minorHAnsi" w:cstheme="minorBidi"/>
            <w:b w:val="0"/>
            <w:kern w:val="2"/>
            <w:szCs w:val="24"/>
            <w14:ligatures w14:val="standardContextual"/>
          </w:rPr>
          <w:tab/>
        </w:r>
        <w:r w:rsidRPr="00AC173C">
          <w:rPr>
            <w:rStyle w:val="Hyperlink"/>
          </w:rPr>
          <w:t>No-Load Calculation Examples</w:t>
        </w:r>
        <w:r>
          <w:rPr>
            <w:webHidden/>
          </w:rPr>
          <w:tab/>
        </w:r>
        <w:r>
          <w:rPr>
            <w:webHidden/>
          </w:rPr>
          <w:fldChar w:fldCharType="begin"/>
        </w:r>
        <w:r>
          <w:rPr>
            <w:webHidden/>
          </w:rPr>
          <w:instrText xml:space="preserve"> PAGEREF _Toc213772408 \h </w:instrText>
        </w:r>
        <w:r>
          <w:rPr>
            <w:webHidden/>
          </w:rPr>
        </w:r>
        <w:r>
          <w:rPr>
            <w:webHidden/>
          </w:rPr>
          <w:fldChar w:fldCharType="separate"/>
        </w:r>
        <w:r>
          <w:rPr>
            <w:webHidden/>
          </w:rPr>
          <w:t>440</w:t>
        </w:r>
        <w:r>
          <w:rPr>
            <w:webHidden/>
          </w:rPr>
          <w:fldChar w:fldCharType="end"/>
        </w:r>
      </w:hyperlink>
    </w:p>
    <w:p w14:paraId="64D16576" w14:textId="7611FAD6" w:rsidR="00023ECF" w:rsidRDefault="00023ECF">
      <w:pPr>
        <w:pStyle w:val="TOC3"/>
        <w:rPr>
          <w:rFonts w:asciiTheme="minorHAnsi" w:eastAsiaTheme="minorEastAsia" w:hAnsiTheme="minorHAnsi" w:cstheme="minorBidi"/>
          <w:bCs w:val="0"/>
          <w:kern w:val="2"/>
          <w:szCs w:val="24"/>
          <w14:ligatures w14:val="standardContextual"/>
        </w:rPr>
      </w:pPr>
      <w:hyperlink w:anchor="_Toc213772409" w:history="1">
        <w:r w:rsidRPr="00AC173C">
          <w:rPr>
            <w:rStyle w:val="Hyperlink"/>
          </w:rPr>
          <w:t>D.15.1</w:t>
        </w:r>
        <w:r>
          <w:rPr>
            <w:rFonts w:asciiTheme="minorHAnsi" w:eastAsiaTheme="minorEastAsia" w:hAnsiTheme="minorHAnsi" w:cstheme="minorBidi"/>
            <w:bCs w:val="0"/>
            <w:kern w:val="2"/>
            <w:szCs w:val="24"/>
            <w14:ligatures w14:val="standardContextual"/>
          </w:rPr>
          <w:tab/>
        </w:r>
        <w:r w:rsidRPr="00AC173C">
          <w:rPr>
            <w:rStyle w:val="Hyperlink"/>
          </w:rPr>
          <w:t>No-Load Fuel</w:t>
        </w:r>
        <w:r>
          <w:rPr>
            <w:webHidden/>
          </w:rPr>
          <w:tab/>
        </w:r>
        <w:r>
          <w:rPr>
            <w:webHidden/>
          </w:rPr>
          <w:fldChar w:fldCharType="begin"/>
        </w:r>
        <w:r>
          <w:rPr>
            <w:webHidden/>
          </w:rPr>
          <w:instrText xml:space="preserve"> PAGEREF _Toc213772409 \h </w:instrText>
        </w:r>
        <w:r>
          <w:rPr>
            <w:webHidden/>
          </w:rPr>
        </w:r>
        <w:r>
          <w:rPr>
            <w:webHidden/>
          </w:rPr>
          <w:fldChar w:fldCharType="separate"/>
        </w:r>
        <w:r>
          <w:rPr>
            <w:webHidden/>
          </w:rPr>
          <w:t>440</w:t>
        </w:r>
        <w:r>
          <w:rPr>
            <w:webHidden/>
          </w:rPr>
          <w:fldChar w:fldCharType="end"/>
        </w:r>
      </w:hyperlink>
    </w:p>
    <w:p w14:paraId="502E5D39" w14:textId="2B976326" w:rsidR="00023ECF" w:rsidRDefault="00023ECF">
      <w:pPr>
        <w:pStyle w:val="TOC4"/>
        <w:rPr>
          <w:rFonts w:asciiTheme="minorHAnsi" w:eastAsiaTheme="minorEastAsia" w:hAnsiTheme="minorHAnsi" w:cstheme="minorBidi"/>
          <w:bCs w:val="0"/>
          <w:kern w:val="2"/>
          <w:szCs w:val="24"/>
          <w14:ligatures w14:val="standardContextual"/>
        </w:rPr>
      </w:pPr>
      <w:hyperlink w:anchor="_Toc213772410" w:history="1">
        <w:r w:rsidRPr="00AC173C">
          <w:rPr>
            <w:rStyle w:val="Hyperlink"/>
          </w:rPr>
          <w:t>D.15.1.1</w:t>
        </w:r>
        <w:r>
          <w:rPr>
            <w:rFonts w:asciiTheme="minorHAnsi" w:eastAsiaTheme="minorEastAsia" w:hAnsiTheme="minorHAnsi" w:cstheme="minorBidi"/>
            <w:bCs w:val="0"/>
            <w:kern w:val="2"/>
            <w:szCs w:val="24"/>
            <w14:ligatures w14:val="standardContextual"/>
          </w:rPr>
          <w:tab/>
        </w:r>
        <w:r w:rsidRPr="00AC173C">
          <w:rPr>
            <w:rStyle w:val="Hyperlink"/>
          </w:rPr>
          <w:t>Typical Steam Unit Example</w:t>
        </w:r>
        <w:r>
          <w:rPr>
            <w:webHidden/>
          </w:rPr>
          <w:tab/>
        </w:r>
        <w:r>
          <w:rPr>
            <w:webHidden/>
          </w:rPr>
          <w:fldChar w:fldCharType="begin"/>
        </w:r>
        <w:r>
          <w:rPr>
            <w:webHidden/>
          </w:rPr>
          <w:instrText xml:space="preserve"> PAGEREF _Toc213772410 \h </w:instrText>
        </w:r>
        <w:r>
          <w:rPr>
            <w:webHidden/>
          </w:rPr>
        </w:r>
        <w:r>
          <w:rPr>
            <w:webHidden/>
          </w:rPr>
          <w:fldChar w:fldCharType="separate"/>
        </w:r>
        <w:r>
          <w:rPr>
            <w:webHidden/>
          </w:rPr>
          <w:t>441</w:t>
        </w:r>
        <w:r>
          <w:rPr>
            <w:webHidden/>
          </w:rPr>
          <w:fldChar w:fldCharType="end"/>
        </w:r>
      </w:hyperlink>
    </w:p>
    <w:p w14:paraId="1DBB2921" w14:textId="078F9E22" w:rsidR="00023ECF" w:rsidRDefault="00023ECF">
      <w:pPr>
        <w:pStyle w:val="TOC4"/>
        <w:rPr>
          <w:rFonts w:asciiTheme="minorHAnsi" w:eastAsiaTheme="minorEastAsia" w:hAnsiTheme="minorHAnsi" w:cstheme="minorBidi"/>
          <w:bCs w:val="0"/>
          <w:kern w:val="2"/>
          <w:szCs w:val="24"/>
          <w14:ligatures w14:val="standardContextual"/>
        </w:rPr>
      </w:pPr>
      <w:hyperlink w:anchor="_Toc213772411" w:history="1">
        <w:r w:rsidRPr="00AC173C">
          <w:rPr>
            <w:rStyle w:val="Hyperlink"/>
          </w:rPr>
          <w:t>D.15.1.2</w:t>
        </w:r>
        <w:r>
          <w:rPr>
            <w:rFonts w:asciiTheme="minorHAnsi" w:eastAsiaTheme="minorEastAsia" w:hAnsiTheme="minorHAnsi" w:cstheme="minorBidi"/>
            <w:bCs w:val="0"/>
            <w:kern w:val="2"/>
            <w:szCs w:val="24"/>
            <w14:ligatures w14:val="standardContextual"/>
          </w:rPr>
          <w:tab/>
        </w:r>
        <w:r w:rsidRPr="00AC173C">
          <w:rPr>
            <w:rStyle w:val="Hyperlink"/>
          </w:rPr>
          <w:t>Typical Combustion Turbine Example</w:t>
        </w:r>
        <w:r>
          <w:rPr>
            <w:webHidden/>
          </w:rPr>
          <w:tab/>
        </w:r>
        <w:r>
          <w:rPr>
            <w:webHidden/>
          </w:rPr>
          <w:fldChar w:fldCharType="begin"/>
        </w:r>
        <w:r>
          <w:rPr>
            <w:webHidden/>
          </w:rPr>
          <w:instrText xml:space="preserve"> PAGEREF _Toc213772411 \h </w:instrText>
        </w:r>
        <w:r>
          <w:rPr>
            <w:webHidden/>
          </w:rPr>
        </w:r>
        <w:r>
          <w:rPr>
            <w:webHidden/>
          </w:rPr>
          <w:fldChar w:fldCharType="separate"/>
        </w:r>
        <w:r>
          <w:rPr>
            <w:webHidden/>
          </w:rPr>
          <w:t>444</w:t>
        </w:r>
        <w:r>
          <w:rPr>
            <w:webHidden/>
          </w:rPr>
          <w:fldChar w:fldCharType="end"/>
        </w:r>
      </w:hyperlink>
    </w:p>
    <w:p w14:paraId="30258D2A" w14:textId="6DC9C836" w:rsidR="00023ECF" w:rsidRDefault="00023ECF">
      <w:pPr>
        <w:pStyle w:val="TOC3"/>
        <w:rPr>
          <w:rFonts w:asciiTheme="minorHAnsi" w:eastAsiaTheme="minorEastAsia" w:hAnsiTheme="minorHAnsi" w:cstheme="minorBidi"/>
          <w:bCs w:val="0"/>
          <w:kern w:val="2"/>
          <w:szCs w:val="24"/>
          <w14:ligatures w14:val="standardContextual"/>
        </w:rPr>
      </w:pPr>
      <w:hyperlink w:anchor="_Toc213772412" w:history="1">
        <w:r w:rsidRPr="00AC173C">
          <w:rPr>
            <w:rStyle w:val="Hyperlink"/>
          </w:rPr>
          <w:t>D.15.2</w:t>
        </w:r>
        <w:r>
          <w:rPr>
            <w:rFonts w:asciiTheme="minorHAnsi" w:eastAsiaTheme="minorEastAsia" w:hAnsiTheme="minorHAnsi" w:cstheme="minorBidi"/>
            <w:bCs w:val="0"/>
            <w:kern w:val="2"/>
            <w:szCs w:val="24"/>
            <w14:ligatures w14:val="standardContextual"/>
          </w:rPr>
          <w:tab/>
        </w:r>
        <w:r w:rsidRPr="00AC173C">
          <w:rPr>
            <w:rStyle w:val="Hyperlink"/>
          </w:rPr>
          <w:t>No-Load Cost Adjustments</w:t>
        </w:r>
        <w:r>
          <w:rPr>
            <w:webHidden/>
          </w:rPr>
          <w:tab/>
        </w:r>
        <w:r>
          <w:rPr>
            <w:webHidden/>
          </w:rPr>
          <w:fldChar w:fldCharType="begin"/>
        </w:r>
        <w:r>
          <w:rPr>
            <w:webHidden/>
          </w:rPr>
          <w:instrText xml:space="preserve"> PAGEREF _Toc213772412 \h </w:instrText>
        </w:r>
        <w:r>
          <w:rPr>
            <w:webHidden/>
          </w:rPr>
        </w:r>
        <w:r>
          <w:rPr>
            <w:webHidden/>
          </w:rPr>
          <w:fldChar w:fldCharType="separate"/>
        </w:r>
        <w:r>
          <w:rPr>
            <w:webHidden/>
          </w:rPr>
          <w:t>448</w:t>
        </w:r>
        <w:r>
          <w:rPr>
            <w:webHidden/>
          </w:rPr>
          <w:fldChar w:fldCharType="end"/>
        </w:r>
      </w:hyperlink>
    </w:p>
    <w:p w14:paraId="2BA54440" w14:textId="75E2DDCA" w:rsidR="00023ECF" w:rsidRDefault="00023ECF">
      <w:pPr>
        <w:pStyle w:val="TOC4"/>
        <w:rPr>
          <w:rFonts w:asciiTheme="minorHAnsi" w:eastAsiaTheme="minorEastAsia" w:hAnsiTheme="minorHAnsi" w:cstheme="minorBidi"/>
          <w:bCs w:val="0"/>
          <w:kern w:val="2"/>
          <w:szCs w:val="24"/>
          <w14:ligatures w14:val="standardContextual"/>
        </w:rPr>
      </w:pPr>
      <w:hyperlink w:anchor="_Toc213772413" w:history="1">
        <w:r w:rsidRPr="00AC173C">
          <w:rPr>
            <w:rStyle w:val="Hyperlink"/>
          </w:rPr>
          <w:t>D.15.2.1</w:t>
        </w:r>
        <w:r>
          <w:rPr>
            <w:rFonts w:asciiTheme="minorHAnsi" w:eastAsiaTheme="minorEastAsia" w:hAnsiTheme="minorHAnsi" w:cstheme="minorBidi"/>
            <w:bCs w:val="0"/>
            <w:kern w:val="2"/>
            <w:szCs w:val="24"/>
            <w14:ligatures w14:val="standardContextual"/>
          </w:rPr>
          <w:tab/>
        </w:r>
        <w:r w:rsidRPr="00AC173C">
          <w:rPr>
            <w:rStyle w:val="Hyperlink"/>
          </w:rPr>
          <w:t>Combustion Turbine Zero No-Load Example</w:t>
        </w:r>
        <w:r>
          <w:rPr>
            <w:webHidden/>
          </w:rPr>
          <w:tab/>
        </w:r>
        <w:r>
          <w:rPr>
            <w:webHidden/>
          </w:rPr>
          <w:fldChar w:fldCharType="begin"/>
        </w:r>
        <w:r>
          <w:rPr>
            <w:webHidden/>
          </w:rPr>
          <w:instrText xml:space="preserve"> PAGEREF _Toc213772413 \h </w:instrText>
        </w:r>
        <w:r>
          <w:rPr>
            <w:webHidden/>
          </w:rPr>
        </w:r>
        <w:r>
          <w:rPr>
            <w:webHidden/>
          </w:rPr>
          <w:fldChar w:fldCharType="separate"/>
        </w:r>
        <w:r>
          <w:rPr>
            <w:webHidden/>
          </w:rPr>
          <w:t>453</w:t>
        </w:r>
        <w:r>
          <w:rPr>
            <w:webHidden/>
          </w:rPr>
          <w:fldChar w:fldCharType="end"/>
        </w:r>
      </w:hyperlink>
    </w:p>
    <w:p w14:paraId="0FA0FF6B" w14:textId="7E38035E" w:rsidR="002E2583" w:rsidRDefault="001542B4" w:rsidP="0032181F">
      <w:pPr>
        <w:tabs>
          <w:tab w:val="right" w:leader="dot" w:pos="9360"/>
        </w:tabs>
        <w:jc w:val="left"/>
        <w:rPr>
          <w:b/>
          <w:szCs w:val="22"/>
          <w:u w:val="single"/>
        </w:rPr>
      </w:pPr>
      <w:r>
        <w:rPr>
          <w:rFonts w:ascii="Times New Roman Bold" w:hAnsi="Times New Roman Bold" w:cs="Arial"/>
          <w:noProof/>
        </w:rPr>
        <w:fldChar w:fldCharType="end"/>
      </w:r>
    </w:p>
    <w:p w14:paraId="2E735888" w14:textId="77777777" w:rsidR="002E2583" w:rsidRDefault="002E2583">
      <w:pPr>
        <w:spacing w:after="0"/>
        <w:jc w:val="left"/>
        <w:rPr>
          <w:b/>
          <w:szCs w:val="22"/>
          <w:u w:val="single"/>
        </w:rPr>
      </w:pPr>
      <w:r>
        <w:rPr>
          <w:b/>
          <w:szCs w:val="22"/>
          <w:u w:val="single"/>
        </w:rPr>
        <w:br w:type="page"/>
      </w:r>
    </w:p>
    <w:p w14:paraId="1A1816C6" w14:textId="77777777" w:rsidR="00475D43" w:rsidRDefault="002B476A" w:rsidP="00E94CBF">
      <w:pPr>
        <w:pStyle w:val="Heading11"/>
      </w:pPr>
      <w:bookmarkStart w:id="5" w:name="_Toc213771730"/>
      <w:r w:rsidRPr="00AA7308">
        <w:t>LIST OF EXHIBITS</w:t>
      </w:r>
      <w:bookmarkEnd w:id="5"/>
    </w:p>
    <w:p w14:paraId="3119D0B1" w14:textId="77777777" w:rsidR="00F02099" w:rsidRPr="00E679DC" w:rsidRDefault="00F02099" w:rsidP="00E679DC">
      <w:pPr>
        <w:pStyle w:val="Normal31"/>
      </w:pPr>
    </w:p>
    <w:p w14:paraId="2E090623" w14:textId="1699393D" w:rsidR="00023ECF" w:rsidRDefault="00F535A1">
      <w:pPr>
        <w:pStyle w:val="TableofFigures"/>
        <w:tabs>
          <w:tab w:val="right" w:leader="dot" w:pos="9350"/>
        </w:tabs>
        <w:rPr>
          <w:rFonts w:asciiTheme="minorHAnsi" w:eastAsiaTheme="minorEastAsia" w:hAnsiTheme="minorHAnsi" w:cstheme="minorBidi"/>
          <w:noProof/>
          <w:kern w:val="2"/>
          <w:szCs w:val="24"/>
          <w14:ligatures w14:val="standardContextual"/>
        </w:rPr>
      </w:pPr>
      <w:r w:rsidRPr="00027B07">
        <w:rPr>
          <w:noProof/>
          <w:szCs w:val="22"/>
        </w:rPr>
        <w:fldChar w:fldCharType="begin"/>
      </w:r>
      <w:r w:rsidR="00475D43" w:rsidRPr="00027B07">
        <w:rPr>
          <w:noProof/>
          <w:szCs w:val="22"/>
        </w:rPr>
        <w:instrText xml:space="preserve"> TOC \h \z \c "Exhibit" </w:instrText>
      </w:r>
      <w:r w:rsidRPr="00027B07">
        <w:rPr>
          <w:noProof/>
          <w:szCs w:val="22"/>
        </w:rPr>
        <w:fldChar w:fldCharType="separate"/>
      </w:r>
      <w:hyperlink w:anchor="_Toc213772414" w:history="1">
        <w:r w:rsidR="00023ECF" w:rsidRPr="006070CA">
          <w:rPr>
            <w:rStyle w:val="Hyperlink"/>
            <w:b/>
            <w:noProof/>
          </w:rPr>
          <w:t>Exhibit 3</w:t>
        </w:r>
        <w:r w:rsidR="00023ECF" w:rsidRPr="006070CA">
          <w:rPr>
            <w:rStyle w:val="Hyperlink"/>
            <w:b/>
            <w:noProof/>
          </w:rPr>
          <w:noBreakHyphen/>
          <w:t>1: Overview of Key Energy and Flexibility Reserve Products Market Functions</w:t>
        </w:r>
        <w:r w:rsidR="00023ECF">
          <w:rPr>
            <w:noProof/>
            <w:webHidden/>
          </w:rPr>
          <w:tab/>
        </w:r>
        <w:r w:rsidR="00023ECF">
          <w:rPr>
            <w:noProof/>
            <w:webHidden/>
          </w:rPr>
          <w:fldChar w:fldCharType="begin"/>
        </w:r>
        <w:r w:rsidR="00023ECF">
          <w:rPr>
            <w:noProof/>
            <w:webHidden/>
          </w:rPr>
          <w:instrText xml:space="preserve"> PAGEREF _Toc213772414 \h </w:instrText>
        </w:r>
        <w:r w:rsidR="00023ECF">
          <w:rPr>
            <w:noProof/>
            <w:webHidden/>
          </w:rPr>
        </w:r>
        <w:r w:rsidR="00023ECF">
          <w:rPr>
            <w:noProof/>
            <w:webHidden/>
          </w:rPr>
          <w:fldChar w:fldCharType="separate"/>
        </w:r>
        <w:r w:rsidR="00023ECF">
          <w:rPr>
            <w:noProof/>
            <w:webHidden/>
          </w:rPr>
          <w:t>56</w:t>
        </w:r>
        <w:r w:rsidR="00023ECF">
          <w:rPr>
            <w:noProof/>
            <w:webHidden/>
          </w:rPr>
          <w:fldChar w:fldCharType="end"/>
        </w:r>
      </w:hyperlink>
    </w:p>
    <w:p w14:paraId="2B3D3758" w14:textId="1871AC13"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15" w:history="1">
        <w:r w:rsidRPr="006070CA">
          <w:rPr>
            <w:rStyle w:val="Hyperlink"/>
            <w:b/>
            <w:noProof/>
          </w:rPr>
          <w:t>Exhibit 3</w:t>
        </w:r>
        <w:r w:rsidRPr="006070CA">
          <w:rPr>
            <w:rStyle w:val="Hyperlink"/>
            <w:b/>
            <w:noProof/>
          </w:rPr>
          <w:noBreakHyphen/>
          <w:t>2: Energy and Flexibility Reserve Markets Processes Timeline</w:t>
        </w:r>
        <w:r>
          <w:rPr>
            <w:noProof/>
            <w:webHidden/>
          </w:rPr>
          <w:tab/>
        </w:r>
        <w:r>
          <w:rPr>
            <w:noProof/>
            <w:webHidden/>
          </w:rPr>
          <w:fldChar w:fldCharType="begin"/>
        </w:r>
        <w:r>
          <w:rPr>
            <w:noProof/>
            <w:webHidden/>
          </w:rPr>
          <w:instrText xml:space="preserve"> PAGEREF _Toc213772415 \h </w:instrText>
        </w:r>
        <w:r>
          <w:rPr>
            <w:noProof/>
            <w:webHidden/>
          </w:rPr>
        </w:r>
        <w:r>
          <w:rPr>
            <w:noProof/>
            <w:webHidden/>
          </w:rPr>
          <w:fldChar w:fldCharType="separate"/>
        </w:r>
        <w:r>
          <w:rPr>
            <w:noProof/>
            <w:webHidden/>
          </w:rPr>
          <w:t>59</w:t>
        </w:r>
        <w:r>
          <w:rPr>
            <w:noProof/>
            <w:webHidden/>
          </w:rPr>
          <w:fldChar w:fldCharType="end"/>
        </w:r>
      </w:hyperlink>
    </w:p>
    <w:p w14:paraId="66810182" w14:textId="305ABC30"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16" w:history="1">
        <w:r w:rsidRPr="006070CA">
          <w:rPr>
            <w:rStyle w:val="Hyperlink"/>
            <w:b/>
            <w:noProof/>
          </w:rPr>
          <w:t>Exhibit 4</w:t>
        </w:r>
        <w:r w:rsidRPr="006070CA">
          <w:rPr>
            <w:rStyle w:val="Hyperlink"/>
            <w:b/>
            <w:noProof/>
          </w:rPr>
          <w:noBreakHyphen/>
          <w:t>1: Instantaneous Load Capacity Example</w:t>
        </w:r>
        <w:r>
          <w:rPr>
            <w:noProof/>
            <w:webHidden/>
          </w:rPr>
          <w:tab/>
        </w:r>
        <w:r>
          <w:rPr>
            <w:noProof/>
            <w:webHidden/>
          </w:rPr>
          <w:fldChar w:fldCharType="begin"/>
        </w:r>
        <w:r>
          <w:rPr>
            <w:noProof/>
            <w:webHidden/>
          </w:rPr>
          <w:instrText xml:space="preserve"> PAGEREF _Toc213772416 \h </w:instrText>
        </w:r>
        <w:r>
          <w:rPr>
            <w:noProof/>
            <w:webHidden/>
          </w:rPr>
        </w:r>
        <w:r>
          <w:rPr>
            <w:noProof/>
            <w:webHidden/>
          </w:rPr>
          <w:fldChar w:fldCharType="separate"/>
        </w:r>
        <w:r>
          <w:rPr>
            <w:noProof/>
            <w:webHidden/>
          </w:rPr>
          <w:t>79</w:t>
        </w:r>
        <w:r>
          <w:rPr>
            <w:noProof/>
            <w:webHidden/>
          </w:rPr>
          <w:fldChar w:fldCharType="end"/>
        </w:r>
      </w:hyperlink>
    </w:p>
    <w:p w14:paraId="7E23D08F" w14:textId="1F9B780A"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17" w:history="1">
        <w:r w:rsidRPr="006070CA">
          <w:rPr>
            <w:rStyle w:val="Hyperlink"/>
            <w:b/>
            <w:noProof/>
          </w:rPr>
          <w:t>Exhibit 5</w:t>
        </w:r>
        <w:r w:rsidRPr="006070CA">
          <w:rPr>
            <w:rStyle w:val="Hyperlink"/>
            <w:b/>
            <w:noProof/>
          </w:rPr>
          <w:noBreakHyphen/>
          <w:t xml:space="preserve">1: </w:t>
        </w:r>
        <w:r w:rsidRPr="006070CA">
          <w:rPr>
            <w:rStyle w:val="Hyperlink"/>
            <w:b/>
            <w:bCs/>
            <w:noProof/>
          </w:rPr>
          <w:t>Merit Order Example with no Submitted Surplus Threshold</w:t>
        </w:r>
        <w:r>
          <w:rPr>
            <w:noProof/>
            <w:webHidden/>
          </w:rPr>
          <w:tab/>
        </w:r>
        <w:r>
          <w:rPr>
            <w:noProof/>
            <w:webHidden/>
          </w:rPr>
          <w:fldChar w:fldCharType="begin"/>
        </w:r>
        <w:r>
          <w:rPr>
            <w:noProof/>
            <w:webHidden/>
          </w:rPr>
          <w:instrText xml:space="preserve"> PAGEREF _Toc213772417 \h </w:instrText>
        </w:r>
        <w:r>
          <w:rPr>
            <w:noProof/>
            <w:webHidden/>
          </w:rPr>
        </w:r>
        <w:r>
          <w:rPr>
            <w:noProof/>
            <w:webHidden/>
          </w:rPr>
          <w:fldChar w:fldCharType="separate"/>
        </w:r>
        <w:r>
          <w:rPr>
            <w:noProof/>
            <w:webHidden/>
          </w:rPr>
          <w:t>231</w:t>
        </w:r>
        <w:r>
          <w:rPr>
            <w:noProof/>
            <w:webHidden/>
          </w:rPr>
          <w:fldChar w:fldCharType="end"/>
        </w:r>
      </w:hyperlink>
    </w:p>
    <w:p w14:paraId="3F04F336" w14:textId="306589F1"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18" w:history="1">
        <w:r w:rsidRPr="006070CA">
          <w:rPr>
            <w:rStyle w:val="Hyperlink"/>
            <w:b/>
            <w:noProof/>
          </w:rPr>
          <w:t>Exhibit 5</w:t>
        </w:r>
        <w:r w:rsidRPr="006070CA">
          <w:rPr>
            <w:rStyle w:val="Hyperlink"/>
            <w:b/>
            <w:noProof/>
          </w:rPr>
          <w:noBreakHyphen/>
          <w:t xml:space="preserve">2: </w:t>
        </w:r>
        <w:r w:rsidRPr="006070CA">
          <w:rPr>
            <w:rStyle w:val="Hyperlink"/>
            <w:b/>
            <w:bCs/>
            <w:noProof/>
          </w:rPr>
          <w:t>Merit Order Example with Submitted Surplus Threshold</w:t>
        </w:r>
        <w:r>
          <w:rPr>
            <w:noProof/>
            <w:webHidden/>
          </w:rPr>
          <w:tab/>
        </w:r>
        <w:r>
          <w:rPr>
            <w:noProof/>
            <w:webHidden/>
          </w:rPr>
          <w:fldChar w:fldCharType="begin"/>
        </w:r>
        <w:r>
          <w:rPr>
            <w:noProof/>
            <w:webHidden/>
          </w:rPr>
          <w:instrText xml:space="preserve"> PAGEREF _Toc213772418 \h </w:instrText>
        </w:r>
        <w:r>
          <w:rPr>
            <w:noProof/>
            <w:webHidden/>
          </w:rPr>
        </w:r>
        <w:r>
          <w:rPr>
            <w:noProof/>
            <w:webHidden/>
          </w:rPr>
          <w:fldChar w:fldCharType="separate"/>
        </w:r>
        <w:r>
          <w:rPr>
            <w:noProof/>
            <w:webHidden/>
          </w:rPr>
          <w:t>232</w:t>
        </w:r>
        <w:r>
          <w:rPr>
            <w:noProof/>
            <w:webHidden/>
          </w:rPr>
          <w:fldChar w:fldCharType="end"/>
        </w:r>
      </w:hyperlink>
    </w:p>
    <w:p w14:paraId="3BF342CC" w14:textId="6BD4EC5D"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19" w:history="1">
        <w:r w:rsidRPr="006070CA">
          <w:rPr>
            <w:rStyle w:val="Hyperlink"/>
            <w:b/>
            <w:noProof/>
          </w:rPr>
          <w:t>Exhibit 6</w:t>
        </w:r>
        <w:r w:rsidRPr="006070CA">
          <w:rPr>
            <w:rStyle w:val="Hyperlink"/>
            <w:b/>
            <w:noProof/>
          </w:rPr>
          <w:noBreakHyphen/>
          <w:t>1: CRETSR Verification Process Timeline</w:t>
        </w:r>
        <w:r>
          <w:rPr>
            <w:noProof/>
            <w:webHidden/>
          </w:rPr>
          <w:tab/>
        </w:r>
        <w:r>
          <w:rPr>
            <w:noProof/>
            <w:webHidden/>
          </w:rPr>
          <w:fldChar w:fldCharType="begin"/>
        </w:r>
        <w:r>
          <w:rPr>
            <w:noProof/>
            <w:webHidden/>
          </w:rPr>
          <w:instrText xml:space="preserve"> PAGEREF _Toc213772419 \h </w:instrText>
        </w:r>
        <w:r>
          <w:rPr>
            <w:noProof/>
            <w:webHidden/>
          </w:rPr>
        </w:r>
        <w:r>
          <w:rPr>
            <w:noProof/>
            <w:webHidden/>
          </w:rPr>
          <w:fldChar w:fldCharType="separate"/>
        </w:r>
        <w:r>
          <w:rPr>
            <w:noProof/>
            <w:webHidden/>
          </w:rPr>
          <w:t>251</w:t>
        </w:r>
        <w:r>
          <w:rPr>
            <w:noProof/>
            <w:webHidden/>
          </w:rPr>
          <w:fldChar w:fldCharType="end"/>
        </w:r>
      </w:hyperlink>
    </w:p>
    <w:p w14:paraId="7E566053" w14:textId="5F838CD5"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0" w:history="1">
        <w:r w:rsidRPr="006070CA">
          <w:rPr>
            <w:rStyle w:val="Hyperlink"/>
            <w:b/>
            <w:noProof/>
          </w:rPr>
          <w:t>Exhibit 6</w:t>
        </w:r>
        <w:r w:rsidRPr="006070CA">
          <w:rPr>
            <w:rStyle w:val="Hyperlink"/>
            <w:b/>
            <w:noProof/>
          </w:rPr>
          <w:noBreakHyphen/>
          <w:t>2:  DNR and Network Load Input Assumptions.</w:t>
        </w:r>
        <w:r>
          <w:rPr>
            <w:noProof/>
            <w:webHidden/>
          </w:rPr>
          <w:tab/>
        </w:r>
        <w:r>
          <w:rPr>
            <w:noProof/>
            <w:webHidden/>
          </w:rPr>
          <w:fldChar w:fldCharType="begin"/>
        </w:r>
        <w:r>
          <w:rPr>
            <w:noProof/>
            <w:webHidden/>
          </w:rPr>
          <w:instrText xml:space="preserve"> PAGEREF _Toc213772420 \h </w:instrText>
        </w:r>
        <w:r>
          <w:rPr>
            <w:noProof/>
            <w:webHidden/>
          </w:rPr>
        </w:r>
        <w:r>
          <w:rPr>
            <w:noProof/>
            <w:webHidden/>
          </w:rPr>
          <w:fldChar w:fldCharType="separate"/>
        </w:r>
        <w:r>
          <w:rPr>
            <w:noProof/>
            <w:webHidden/>
          </w:rPr>
          <w:t>255</w:t>
        </w:r>
        <w:r>
          <w:rPr>
            <w:noProof/>
            <w:webHidden/>
          </w:rPr>
          <w:fldChar w:fldCharType="end"/>
        </w:r>
      </w:hyperlink>
    </w:p>
    <w:p w14:paraId="52BA56A6" w14:textId="351E1AC3"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1" w:history="1">
        <w:r w:rsidRPr="006070CA">
          <w:rPr>
            <w:rStyle w:val="Hyperlink"/>
            <w:b/>
            <w:noProof/>
          </w:rPr>
          <w:t>Exhibit 6</w:t>
        </w:r>
        <w:r w:rsidRPr="006070CA">
          <w:rPr>
            <w:rStyle w:val="Hyperlink"/>
            <w:b/>
            <w:noProof/>
          </w:rPr>
          <w:noBreakHyphen/>
          <w:t>3:  DNR Merit Order Stack.</w:t>
        </w:r>
        <w:r>
          <w:rPr>
            <w:noProof/>
            <w:webHidden/>
          </w:rPr>
          <w:tab/>
        </w:r>
        <w:r>
          <w:rPr>
            <w:noProof/>
            <w:webHidden/>
          </w:rPr>
          <w:fldChar w:fldCharType="begin"/>
        </w:r>
        <w:r>
          <w:rPr>
            <w:noProof/>
            <w:webHidden/>
          </w:rPr>
          <w:instrText xml:space="preserve"> PAGEREF _Toc213772421 \h </w:instrText>
        </w:r>
        <w:r>
          <w:rPr>
            <w:noProof/>
            <w:webHidden/>
          </w:rPr>
        </w:r>
        <w:r>
          <w:rPr>
            <w:noProof/>
            <w:webHidden/>
          </w:rPr>
          <w:fldChar w:fldCharType="separate"/>
        </w:r>
        <w:r>
          <w:rPr>
            <w:noProof/>
            <w:webHidden/>
          </w:rPr>
          <w:t>256</w:t>
        </w:r>
        <w:r>
          <w:rPr>
            <w:noProof/>
            <w:webHidden/>
          </w:rPr>
          <w:fldChar w:fldCharType="end"/>
        </w:r>
      </w:hyperlink>
    </w:p>
    <w:p w14:paraId="519AF9F1" w14:textId="07AE69E7"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2" w:history="1">
        <w:r w:rsidRPr="006070CA">
          <w:rPr>
            <w:rStyle w:val="Hyperlink"/>
            <w:b/>
            <w:noProof/>
          </w:rPr>
          <w:t>Exhibit 6</w:t>
        </w:r>
        <w:r w:rsidRPr="006070CA">
          <w:rPr>
            <w:rStyle w:val="Hyperlink"/>
            <w:b/>
            <w:noProof/>
          </w:rPr>
          <w:noBreakHyphen/>
          <w:t>4:  Final DNR Selection from Merit Order Stack.</w:t>
        </w:r>
        <w:r>
          <w:rPr>
            <w:noProof/>
            <w:webHidden/>
          </w:rPr>
          <w:tab/>
        </w:r>
        <w:r>
          <w:rPr>
            <w:noProof/>
            <w:webHidden/>
          </w:rPr>
          <w:fldChar w:fldCharType="begin"/>
        </w:r>
        <w:r>
          <w:rPr>
            <w:noProof/>
            <w:webHidden/>
          </w:rPr>
          <w:instrText xml:space="preserve"> PAGEREF _Toc213772422 \h </w:instrText>
        </w:r>
        <w:r>
          <w:rPr>
            <w:noProof/>
            <w:webHidden/>
          </w:rPr>
        </w:r>
        <w:r>
          <w:rPr>
            <w:noProof/>
            <w:webHidden/>
          </w:rPr>
          <w:fldChar w:fldCharType="separate"/>
        </w:r>
        <w:r>
          <w:rPr>
            <w:noProof/>
            <w:webHidden/>
          </w:rPr>
          <w:t>257</w:t>
        </w:r>
        <w:r>
          <w:rPr>
            <w:noProof/>
            <w:webHidden/>
          </w:rPr>
          <w:fldChar w:fldCharType="end"/>
        </w:r>
      </w:hyperlink>
    </w:p>
    <w:p w14:paraId="41737202" w14:textId="22100627"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3" w:history="1">
        <w:r w:rsidRPr="006070CA">
          <w:rPr>
            <w:rStyle w:val="Hyperlink"/>
            <w:b/>
            <w:noProof/>
          </w:rPr>
          <w:t>Exhibit 6</w:t>
        </w:r>
        <w:r w:rsidRPr="006070CA">
          <w:rPr>
            <w:rStyle w:val="Hyperlink"/>
            <w:b/>
            <w:noProof/>
          </w:rPr>
          <w:noBreakHyphen/>
          <w:t>5:  Final DNR Mapping to Network Loads</w:t>
        </w:r>
        <w:r>
          <w:rPr>
            <w:noProof/>
            <w:webHidden/>
          </w:rPr>
          <w:tab/>
        </w:r>
        <w:r>
          <w:rPr>
            <w:noProof/>
            <w:webHidden/>
          </w:rPr>
          <w:fldChar w:fldCharType="begin"/>
        </w:r>
        <w:r>
          <w:rPr>
            <w:noProof/>
            <w:webHidden/>
          </w:rPr>
          <w:instrText xml:space="preserve"> PAGEREF _Toc213772423 \h </w:instrText>
        </w:r>
        <w:r>
          <w:rPr>
            <w:noProof/>
            <w:webHidden/>
          </w:rPr>
        </w:r>
        <w:r>
          <w:rPr>
            <w:noProof/>
            <w:webHidden/>
          </w:rPr>
          <w:fldChar w:fldCharType="separate"/>
        </w:r>
        <w:r>
          <w:rPr>
            <w:noProof/>
            <w:webHidden/>
          </w:rPr>
          <w:t>258</w:t>
        </w:r>
        <w:r>
          <w:rPr>
            <w:noProof/>
            <w:webHidden/>
          </w:rPr>
          <w:fldChar w:fldCharType="end"/>
        </w:r>
      </w:hyperlink>
    </w:p>
    <w:p w14:paraId="04E9A04E" w14:textId="40F6848D"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4" w:history="1">
        <w:r w:rsidRPr="006070CA">
          <w:rPr>
            <w:rStyle w:val="Hyperlink"/>
            <w:b/>
            <w:noProof/>
          </w:rPr>
          <w:t>Exhibit 7</w:t>
        </w:r>
        <w:r w:rsidRPr="006070CA">
          <w:rPr>
            <w:rStyle w:val="Hyperlink"/>
            <w:b/>
            <w:noProof/>
          </w:rPr>
          <w:noBreakHyphen/>
          <w:t>1:  Transmission Use Rate Annual Update Process</w:t>
        </w:r>
        <w:r>
          <w:rPr>
            <w:noProof/>
            <w:webHidden/>
          </w:rPr>
          <w:tab/>
        </w:r>
        <w:r>
          <w:rPr>
            <w:noProof/>
            <w:webHidden/>
          </w:rPr>
          <w:fldChar w:fldCharType="begin"/>
        </w:r>
        <w:r>
          <w:rPr>
            <w:noProof/>
            <w:webHidden/>
          </w:rPr>
          <w:instrText xml:space="preserve"> PAGEREF _Toc213772424 \h </w:instrText>
        </w:r>
        <w:r>
          <w:rPr>
            <w:noProof/>
            <w:webHidden/>
          </w:rPr>
        </w:r>
        <w:r>
          <w:rPr>
            <w:noProof/>
            <w:webHidden/>
          </w:rPr>
          <w:fldChar w:fldCharType="separate"/>
        </w:r>
        <w:r>
          <w:rPr>
            <w:noProof/>
            <w:webHidden/>
          </w:rPr>
          <w:t>262</w:t>
        </w:r>
        <w:r>
          <w:rPr>
            <w:noProof/>
            <w:webHidden/>
          </w:rPr>
          <w:fldChar w:fldCharType="end"/>
        </w:r>
      </w:hyperlink>
    </w:p>
    <w:p w14:paraId="11B78131" w14:textId="7CD0BFD2"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5" w:history="1">
        <w:r w:rsidRPr="006070CA">
          <w:rPr>
            <w:rStyle w:val="Hyperlink"/>
            <w:b/>
            <w:noProof/>
          </w:rPr>
          <w:t>Exhibit 7</w:t>
        </w:r>
        <w:r w:rsidRPr="006070CA">
          <w:rPr>
            <w:rStyle w:val="Hyperlink"/>
            <w:b/>
            <w:noProof/>
          </w:rPr>
          <w:noBreakHyphen/>
          <w:t>2:  Transmission Use Intra-Rate Year Update Process</w:t>
        </w:r>
        <w:r>
          <w:rPr>
            <w:noProof/>
            <w:webHidden/>
          </w:rPr>
          <w:tab/>
        </w:r>
        <w:r>
          <w:rPr>
            <w:noProof/>
            <w:webHidden/>
          </w:rPr>
          <w:fldChar w:fldCharType="begin"/>
        </w:r>
        <w:r>
          <w:rPr>
            <w:noProof/>
            <w:webHidden/>
          </w:rPr>
          <w:instrText xml:space="preserve"> PAGEREF _Toc213772425 \h </w:instrText>
        </w:r>
        <w:r>
          <w:rPr>
            <w:noProof/>
            <w:webHidden/>
          </w:rPr>
        </w:r>
        <w:r>
          <w:rPr>
            <w:noProof/>
            <w:webHidden/>
          </w:rPr>
          <w:fldChar w:fldCharType="separate"/>
        </w:r>
        <w:r>
          <w:rPr>
            <w:noProof/>
            <w:webHidden/>
          </w:rPr>
          <w:t>263</w:t>
        </w:r>
        <w:r>
          <w:rPr>
            <w:noProof/>
            <w:webHidden/>
          </w:rPr>
          <w:fldChar w:fldCharType="end"/>
        </w:r>
      </w:hyperlink>
    </w:p>
    <w:p w14:paraId="47E3F8C3" w14:textId="3059B575"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6" w:history="1">
        <w:r w:rsidRPr="006070CA">
          <w:rPr>
            <w:rStyle w:val="Hyperlink"/>
            <w:b/>
            <w:noProof/>
          </w:rPr>
          <w:t>Exhibit 8</w:t>
        </w:r>
        <w:r w:rsidRPr="006070CA">
          <w:rPr>
            <w:rStyle w:val="Hyperlink"/>
            <w:b/>
            <w:noProof/>
          </w:rPr>
          <w:noBreakHyphen/>
          <w:t>1:  Transmission Capability Identification Process</w:t>
        </w:r>
        <w:r>
          <w:rPr>
            <w:noProof/>
            <w:webHidden/>
          </w:rPr>
          <w:tab/>
        </w:r>
        <w:r>
          <w:rPr>
            <w:noProof/>
            <w:webHidden/>
          </w:rPr>
          <w:fldChar w:fldCharType="begin"/>
        </w:r>
        <w:r>
          <w:rPr>
            <w:noProof/>
            <w:webHidden/>
          </w:rPr>
          <w:instrText xml:space="preserve"> PAGEREF _Toc213772426 \h </w:instrText>
        </w:r>
        <w:r>
          <w:rPr>
            <w:noProof/>
            <w:webHidden/>
          </w:rPr>
        </w:r>
        <w:r>
          <w:rPr>
            <w:noProof/>
            <w:webHidden/>
          </w:rPr>
          <w:fldChar w:fldCharType="separate"/>
        </w:r>
        <w:r>
          <w:rPr>
            <w:noProof/>
            <w:webHidden/>
          </w:rPr>
          <w:t>266</w:t>
        </w:r>
        <w:r>
          <w:rPr>
            <w:noProof/>
            <w:webHidden/>
          </w:rPr>
          <w:fldChar w:fldCharType="end"/>
        </w:r>
      </w:hyperlink>
    </w:p>
    <w:p w14:paraId="0FCB2104" w14:textId="327DC720"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7" w:history="1">
        <w:r w:rsidRPr="006070CA">
          <w:rPr>
            <w:rStyle w:val="Hyperlink"/>
            <w:b/>
            <w:noProof/>
          </w:rPr>
          <w:t>Exhibit 8</w:t>
        </w:r>
        <w:r w:rsidRPr="006070CA">
          <w:rPr>
            <w:rStyle w:val="Hyperlink"/>
            <w:b/>
            <w:noProof/>
          </w:rPr>
          <w:noBreakHyphen/>
          <w:t xml:space="preserve">2:  </w:t>
        </w:r>
        <w:r w:rsidRPr="006070CA">
          <w:rPr>
            <w:rStyle w:val="Hyperlink"/>
            <w:b/>
            <w:bCs/>
            <w:noProof/>
          </w:rPr>
          <w:t>Transmission Opt-Out and Congestion Rent Process Timeline</w:t>
        </w:r>
        <w:r>
          <w:rPr>
            <w:noProof/>
            <w:webHidden/>
          </w:rPr>
          <w:tab/>
        </w:r>
        <w:r>
          <w:rPr>
            <w:noProof/>
            <w:webHidden/>
          </w:rPr>
          <w:fldChar w:fldCharType="begin"/>
        </w:r>
        <w:r>
          <w:rPr>
            <w:noProof/>
            <w:webHidden/>
          </w:rPr>
          <w:instrText xml:space="preserve"> PAGEREF _Toc213772427 \h </w:instrText>
        </w:r>
        <w:r>
          <w:rPr>
            <w:noProof/>
            <w:webHidden/>
          </w:rPr>
        </w:r>
        <w:r>
          <w:rPr>
            <w:noProof/>
            <w:webHidden/>
          </w:rPr>
          <w:fldChar w:fldCharType="separate"/>
        </w:r>
        <w:r>
          <w:rPr>
            <w:noProof/>
            <w:webHidden/>
          </w:rPr>
          <w:t>272</w:t>
        </w:r>
        <w:r>
          <w:rPr>
            <w:noProof/>
            <w:webHidden/>
          </w:rPr>
          <w:fldChar w:fldCharType="end"/>
        </w:r>
      </w:hyperlink>
    </w:p>
    <w:p w14:paraId="7EBE5790" w14:textId="08D4555B"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8" w:history="1">
        <w:r w:rsidRPr="006070CA">
          <w:rPr>
            <w:rStyle w:val="Hyperlink"/>
            <w:b/>
            <w:noProof/>
          </w:rPr>
          <w:t>Exhibit 8</w:t>
        </w:r>
        <w:r w:rsidRPr="006070CA">
          <w:rPr>
            <w:rStyle w:val="Hyperlink"/>
            <w:b/>
            <w:noProof/>
          </w:rPr>
          <w:noBreakHyphen/>
          <w:t xml:space="preserve">3:  </w:t>
        </w:r>
        <w:r w:rsidRPr="006070CA">
          <w:rPr>
            <w:rStyle w:val="Hyperlink"/>
            <w:b/>
            <w:bCs/>
            <w:noProof/>
          </w:rPr>
          <w:t>Queue Processing Pause</w:t>
        </w:r>
        <w:r>
          <w:rPr>
            <w:noProof/>
            <w:webHidden/>
          </w:rPr>
          <w:tab/>
        </w:r>
        <w:r>
          <w:rPr>
            <w:noProof/>
            <w:webHidden/>
          </w:rPr>
          <w:fldChar w:fldCharType="begin"/>
        </w:r>
        <w:r>
          <w:rPr>
            <w:noProof/>
            <w:webHidden/>
          </w:rPr>
          <w:instrText xml:space="preserve"> PAGEREF _Toc213772428 \h </w:instrText>
        </w:r>
        <w:r>
          <w:rPr>
            <w:noProof/>
            <w:webHidden/>
          </w:rPr>
        </w:r>
        <w:r>
          <w:rPr>
            <w:noProof/>
            <w:webHidden/>
          </w:rPr>
          <w:fldChar w:fldCharType="separate"/>
        </w:r>
        <w:r>
          <w:rPr>
            <w:noProof/>
            <w:webHidden/>
          </w:rPr>
          <w:t>276</w:t>
        </w:r>
        <w:r>
          <w:rPr>
            <w:noProof/>
            <w:webHidden/>
          </w:rPr>
          <w:fldChar w:fldCharType="end"/>
        </w:r>
      </w:hyperlink>
    </w:p>
    <w:p w14:paraId="67322998" w14:textId="7733A85B"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29" w:history="1">
        <w:r w:rsidRPr="006070CA">
          <w:rPr>
            <w:rStyle w:val="Hyperlink"/>
            <w:b/>
            <w:noProof/>
          </w:rPr>
          <w:t>Exhibit 9</w:t>
        </w:r>
        <w:r w:rsidRPr="006070CA">
          <w:rPr>
            <w:rStyle w:val="Hyperlink"/>
            <w:b/>
            <w:noProof/>
          </w:rPr>
          <w:noBreakHyphen/>
          <w:t>1: Commercial Model and Network Element Relationships</w:t>
        </w:r>
        <w:r>
          <w:rPr>
            <w:noProof/>
            <w:webHidden/>
          </w:rPr>
          <w:tab/>
        </w:r>
        <w:r>
          <w:rPr>
            <w:noProof/>
            <w:webHidden/>
          </w:rPr>
          <w:fldChar w:fldCharType="begin"/>
        </w:r>
        <w:r>
          <w:rPr>
            <w:noProof/>
            <w:webHidden/>
          </w:rPr>
          <w:instrText xml:space="preserve"> PAGEREF _Toc213772429 \h </w:instrText>
        </w:r>
        <w:r>
          <w:rPr>
            <w:noProof/>
            <w:webHidden/>
          </w:rPr>
        </w:r>
        <w:r>
          <w:rPr>
            <w:noProof/>
            <w:webHidden/>
          </w:rPr>
          <w:fldChar w:fldCharType="separate"/>
        </w:r>
        <w:r>
          <w:rPr>
            <w:noProof/>
            <w:webHidden/>
          </w:rPr>
          <w:t>280</w:t>
        </w:r>
        <w:r>
          <w:rPr>
            <w:noProof/>
            <w:webHidden/>
          </w:rPr>
          <w:fldChar w:fldCharType="end"/>
        </w:r>
      </w:hyperlink>
    </w:p>
    <w:p w14:paraId="0A7296D8" w14:textId="77DB1A1F"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0" w:history="1">
        <w:r w:rsidRPr="006070CA">
          <w:rPr>
            <w:rStyle w:val="Hyperlink"/>
            <w:b/>
            <w:noProof/>
          </w:rPr>
          <w:t>Exhibit 9</w:t>
        </w:r>
        <w:r w:rsidRPr="006070CA">
          <w:rPr>
            <w:rStyle w:val="Hyperlink"/>
            <w:b/>
            <w:noProof/>
          </w:rPr>
          <w:noBreakHyphen/>
          <w:t>2: MCR Transition Cost Matrix</w:t>
        </w:r>
        <w:r>
          <w:rPr>
            <w:noProof/>
            <w:webHidden/>
          </w:rPr>
          <w:tab/>
        </w:r>
        <w:r>
          <w:rPr>
            <w:noProof/>
            <w:webHidden/>
          </w:rPr>
          <w:fldChar w:fldCharType="begin"/>
        </w:r>
        <w:r>
          <w:rPr>
            <w:noProof/>
            <w:webHidden/>
          </w:rPr>
          <w:instrText xml:space="preserve"> PAGEREF _Toc213772430 \h </w:instrText>
        </w:r>
        <w:r>
          <w:rPr>
            <w:noProof/>
            <w:webHidden/>
          </w:rPr>
        </w:r>
        <w:r>
          <w:rPr>
            <w:noProof/>
            <w:webHidden/>
          </w:rPr>
          <w:fldChar w:fldCharType="separate"/>
        </w:r>
        <w:r>
          <w:rPr>
            <w:noProof/>
            <w:webHidden/>
          </w:rPr>
          <w:t>287</w:t>
        </w:r>
        <w:r>
          <w:rPr>
            <w:noProof/>
            <w:webHidden/>
          </w:rPr>
          <w:fldChar w:fldCharType="end"/>
        </w:r>
      </w:hyperlink>
    </w:p>
    <w:p w14:paraId="6911A226" w14:textId="51F72549"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1" w:history="1">
        <w:r w:rsidRPr="006070CA">
          <w:rPr>
            <w:rStyle w:val="Hyperlink"/>
            <w:b/>
            <w:noProof/>
          </w:rPr>
          <w:t>Exhibit 9</w:t>
        </w:r>
        <w:r w:rsidRPr="006070CA">
          <w:rPr>
            <w:rStyle w:val="Hyperlink"/>
            <w:b/>
            <w:noProof/>
          </w:rPr>
          <w:noBreakHyphen/>
          <w:t>3: 3 x 1 MCR Capability Array</w:t>
        </w:r>
        <w:r>
          <w:rPr>
            <w:noProof/>
            <w:webHidden/>
          </w:rPr>
          <w:tab/>
        </w:r>
        <w:r>
          <w:rPr>
            <w:noProof/>
            <w:webHidden/>
          </w:rPr>
          <w:fldChar w:fldCharType="begin"/>
        </w:r>
        <w:r>
          <w:rPr>
            <w:noProof/>
            <w:webHidden/>
          </w:rPr>
          <w:instrText xml:space="preserve"> PAGEREF _Toc213772431 \h </w:instrText>
        </w:r>
        <w:r>
          <w:rPr>
            <w:noProof/>
            <w:webHidden/>
          </w:rPr>
        </w:r>
        <w:r>
          <w:rPr>
            <w:noProof/>
            <w:webHidden/>
          </w:rPr>
          <w:fldChar w:fldCharType="separate"/>
        </w:r>
        <w:r>
          <w:rPr>
            <w:noProof/>
            <w:webHidden/>
          </w:rPr>
          <w:t>287</w:t>
        </w:r>
        <w:r>
          <w:rPr>
            <w:noProof/>
            <w:webHidden/>
          </w:rPr>
          <w:fldChar w:fldCharType="end"/>
        </w:r>
      </w:hyperlink>
    </w:p>
    <w:p w14:paraId="64868928" w14:textId="674EA7A2"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2" w:history="1">
        <w:r w:rsidRPr="006070CA">
          <w:rPr>
            <w:rStyle w:val="Hyperlink"/>
            <w:b/>
            <w:noProof/>
          </w:rPr>
          <w:t>Exhibit 9</w:t>
        </w:r>
        <w:r w:rsidRPr="006070CA">
          <w:rPr>
            <w:rStyle w:val="Hyperlink"/>
            <w:b/>
            <w:noProof/>
          </w:rPr>
          <w:noBreakHyphen/>
          <w:t>4: MCR Group Definition</w:t>
        </w:r>
        <w:r>
          <w:rPr>
            <w:noProof/>
            <w:webHidden/>
          </w:rPr>
          <w:tab/>
        </w:r>
        <w:r>
          <w:rPr>
            <w:noProof/>
            <w:webHidden/>
          </w:rPr>
          <w:fldChar w:fldCharType="begin"/>
        </w:r>
        <w:r>
          <w:rPr>
            <w:noProof/>
            <w:webHidden/>
          </w:rPr>
          <w:instrText xml:space="preserve"> PAGEREF _Toc213772432 \h </w:instrText>
        </w:r>
        <w:r>
          <w:rPr>
            <w:noProof/>
            <w:webHidden/>
          </w:rPr>
        </w:r>
        <w:r>
          <w:rPr>
            <w:noProof/>
            <w:webHidden/>
          </w:rPr>
          <w:fldChar w:fldCharType="separate"/>
        </w:r>
        <w:r>
          <w:rPr>
            <w:noProof/>
            <w:webHidden/>
          </w:rPr>
          <w:t>288</w:t>
        </w:r>
        <w:r>
          <w:rPr>
            <w:noProof/>
            <w:webHidden/>
          </w:rPr>
          <w:fldChar w:fldCharType="end"/>
        </w:r>
      </w:hyperlink>
    </w:p>
    <w:p w14:paraId="1848BF51" w14:textId="46E23840"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3" w:history="1">
        <w:r w:rsidRPr="006070CA">
          <w:rPr>
            <w:rStyle w:val="Hyperlink"/>
            <w:b/>
            <w:noProof/>
          </w:rPr>
          <w:t>Exhibit 9</w:t>
        </w:r>
        <w:r w:rsidRPr="006070CA">
          <w:rPr>
            <w:rStyle w:val="Hyperlink"/>
            <w:b/>
            <w:noProof/>
          </w:rPr>
          <w:noBreakHyphen/>
          <w:t>5: Combined Cycle Configuration Group Definition</w:t>
        </w:r>
        <w:r>
          <w:rPr>
            <w:noProof/>
            <w:webHidden/>
          </w:rPr>
          <w:tab/>
        </w:r>
        <w:r>
          <w:rPr>
            <w:noProof/>
            <w:webHidden/>
          </w:rPr>
          <w:fldChar w:fldCharType="begin"/>
        </w:r>
        <w:r>
          <w:rPr>
            <w:noProof/>
            <w:webHidden/>
          </w:rPr>
          <w:instrText xml:space="preserve"> PAGEREF _Toc213772433 \h </w:instrText>
        </w:r>
        <w:r>
          <w:rPr>
            <w:noProof/>
            <w:webHidden/>
          </w:rPr>
        </w:r>
        <w:r>
          <w:rPr>
            <w:noProof/>
            <w:webHidden/>
          </w:rPr>
          <w:fldChar w:fldCharType="separate"/>
        </w:r>
        <w:r>
          <w:rPr>
            <w:noProof/>
            <w:webHidden/>
          </w:rPr>
          <w:t>289</w:t>
        </w:r>
        <w:r>
          <w:rPr>
            <w:noProof/>
            <w:webHidden/>
          </w:rPr>
          <w:fldChar w:fldCharType="end"/>
        </w:r>
      </w:hyperlink>
    </w:p>
    <w:p w14:paraId="39E03C9A" w14:textId="394F7066"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4" w:history="1">
        <w:r w:rsidRPr="006070CA">
          <w:rPr>
            <w:rStyle w:val="Hyperlink"/>
            <w:b/>
            <w:noProof/>
          </w:rPr>
          <w:t>Exhibit 9</w:t>
        </w:r>
        <w:r w:rsidRPr="006070CA">
          <w:rPr>
            <w:rStyle w:val="Hyperlink"/>
            <w:b/>
            <w:noProof/>
          </w:rPr>
          <w:noBreakHyphen/>
          <w:t>6: Resource Aggregation Registration Requirements</w:t>
        </w:r>
        <w:r>
          <w:rPr>
            <w:noProof/>
            <w:webHidden/>
          </w:rPr>
          <w:tab/>
        </w:r>
        <w:r>
          <w:rPr>
            <w:noProof/>
            <w:webHidden/>
          </w:rPr>
          <w:fldChar w:fldCharType="begin"/>
        </w:r>
        <w:r>
          <w:rPr>
            <w:noProof/>
            <w:webHidden/>
          </w:rPr>
          <w:instrText xml:space="preserve"> PAGEREF _Toc213772434 \h </w:instrText>
        </w:r>
        <w:r>
          <w:rPr>
            <w:noProof/>
            <w:webHidden/>
          </w:rPr>
        </w:r>
        <w:r>
          <w:rPr>
            <w:noProof/>
            <w:webHidden/>
          </w:rPr>
          <w:fldChar w:fldCharType="separate"/>
        </w:r>
        <w:r>
          <w:rPr>
            <w:noProof/>
            <w:webHidden/>
          </w:rPr>
          <w:t>295</w:t>
        </w:r>
        <w:r>
          <w:rPr>
            <w:noProof/>
            <w:webHidden/>
          </w:rPr>
          <w:fldChar w:fldCharType="end"/>
        </w:r>
      </w:hyperlink>
    </w:p>
    <w:p w14:paraId="6A819FEF" w14:textId="5729255C"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5" w:history="1">
        <w:r w:rsidRPr="006070CA">
          <w:rPr>
            <w:rStyle w:val="Hyperlink"/>
            <w:b/>
            <w:noProof/>
          </w:rPr>
          <w:t>Exhibit 9</w:t>
        </w:r>
        <w:r w:rsidRPr="006070CA">
          <w:rPr>
            <w:rStyle w:val="Hyperlink"/>
            <w:b/>
            <w:noProof/>
          </w:rPr>
          <w:noBreakHyphen/>
          <w:t>7: Specified Source Resource Modeling</w:t>
        </w:r>
        <w:r>
          <w:rPr>
            <w:noProof/>
            <w:webHidden/>
          </w:rPr>
          <w:tab/>
        </w:r>
        <w:r>
          <w:rPr>
            <w:noProof/>
            <w:webHidden/>
          </w:rPr>
          <w:fldChar w:fldCharType="begin"/>
        </w:r>
        <w:r>
          <w:rPr>
            <w:noProof/>
            <w:webHidden/>
          </w:rPr>
          <w:instrText xml:space="preserve"> PAGEREF _Toc213772435 \h </w:instrText>
        </w:r>
        <w:r>
          <w:rPr>
            <w:noProof/>
            <w:webHidden/>
          </w:rPr>
        </w:r>
        <w:r>
          <w:rPr>
            <w:noProof/>
            <w:webHidden/>
          </w:rPr>
          <w:fldChar w:fldCharType="separate"/>
        </w:r>
        <w:r>
          <w:rPr>
            <w:noProof/>
            <w:webHidden/>
          </w:rPr>
          <w:t>299</w:t>
        </w:r>
        <w:r>
          <w:rPr>
            <w:noProof/>
            <w:webHidden/>
          </w:rPr>
          <w:fldChar w:fldCharType="end"/>
        </w:r>
      </w:hyperlink>
    </w:p>
    <w:p w14:paraId="09E17250" w14:textId="56F06DD5" w:rsidR="00023ECF" w:rsidRDefault="00023ECF">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213772436" w:history="1">
        <w:r w:rsidRPr="006070CA">
          <w:rPr>
            <w:rStyle w:val="Hyperlink"/>
            <w:b/>
            <w:noProof/>
          </w:rPr>
          <w:t>Exhibit 9</w:t>
        </w:r>
        <w:r w:rsidRPr="006070CA">
          <w:rPr>
            <w:rStyle w:val="Hyperlink"/>
            <w:b/>
            <w:noProof/>
          </w:rPr>
          <w:noBreakHyphen/>
          <w:t>8: Model Update Implementation Timeline</w:t>
        </w:r>
        <w:r>
          <w:rPr>
            <w:noProof/>
            <w:webHidden/>
          </w:rPr>
          <w:tab/>
        </w:r>
        <w:r>
          <w:rPr>
            <w:noProof/>
            <w:webHidden/>
          </w:rPr>
          <w:fldChar w:fldCharType="begin"/>
        </w:r>
        <w:r>
          <w:rPr>
            <w:noProof/>
            <w:webHidden/>
          </w:rPr>
          <w:instrText xml:space="preserve"> PAGEREF _Toc213772436 \h </w:instrText>
        </w:r>
        <w:r>
          <w:rPr>
            <w:noProof/>
            <w:webHidden/>
          </w:rPr>
        </w:r>
        <w:r>
          <w:rPr>
            <w:noProof/>
            <w:webHidden/>
          </w:rPr>
          <w:fldChar w:fldCharType="separate"/>
        </w:r>
        <w:r>
          <w:rPr>
            <w:noProof/>
            <w:webHidden/>
          </w:rPr>
          <w:t>303</w:t>
        </w:r>
        <w:r>
          <w:rPr>
            <w:noProof/>
            <w:webHidden/>
          </w:rPr>
          <w:fldChar w:fldCharType="end"/>
        </w:r>
      </w:hyperlink>
    </w:p>
    <w:p w14:paraId="177F54F4" w14:textId="28EB1C6A" w:rsidR="00392214" w:rsidRPr="002A7E96" w:rsidRDefault="00F535A1" w:rsidP="0032181F">
      <w:pPr>
        <w:tabs>
          <w:tab w:val="right" w:leader="dot" w:pos="9360"/>
        </w:tabs>
        <w:jc w:val="left"/>
        <w:rPr>
          <w:szCs w:val="22"/>
        </w:rPr>
        <w:sectPr w:rsidR="00392214" w:rsidRPr="002A7E96" w:rsidSect="00D3291B">
          <w:headerReference w:type="even" r:id="rId14"/>
          <w:footerReference w:type="even" r:id="rId15"/>
          <w:footerReference w:type="default" r:id="rId16"/>
          <w:headerReference w:type="first" r:id="rId17"/>
          <w:footerReference w:type="first" r:id="rId18"/>
          <w:pgSz w:w="12240" w:h="15840"/>
          <w:pgMar w:top="1728" w:right="1440" w:bottom="1728" w:left="1440" w:header="720" w:footer="720" w:gutter="0"/>
          <w:cols w:space="720"/>
        </w:sectPr>
      </w:pPr>
      <w:r w:rsidRPr="00027B07">
        <w:rPr>
          <w:noProof/>
          <w:szCs w:val="22"/>
        </w:rPr>
        <w:fldChar w:fldCharType="end"/>
      </w:r>
    </w:p>
    <w:p w14:paraId="760B0F72" w14:textId="77777777" w:rsidR="003A3051" w:rsidRPr="003A3051" w:rsidRDefault="003A3051" w:rsidP="00600CF4">
      <w:pPr>
        <w:pStyle w:val="Heading1"/>
      </w:pPr>
      <w:bookmarkStart w:id="6" w:name="_Toc213771731"/>
      <w:r w:rsidRPr="003A3051">
        <w:t>Glossary</w:t>
      </w:r>
      <w:bookmarkEnd w:id="6"/>
    </w:p>
    <w:p w14:paraId="215C8A0B" w14:textId="77777777" w:rsidR="003A3051" w:rsidRPr="003A3051" w:rsidRDefault="003A3051" w:rsidP="003A3051">
      <w:pPr>
        <w:keepNext/>
        <w:spacing w:before="240" w:after="60" w:line="276" w:lineRule="auto"/>
        <w:jc w:val="left"/>
        <w:outlineLvl w:val="1"/>
        <w:rPr>
          <w:rFonts w:eastAsia="Calibri" w:cs="Arial"/>
          <w:b/>
          <w:bCs/>
          <w:iCs/>
          <w:szCs w:val="28"/>
        </w:rPr>
      </w:pPr>
      <w:bookmarkStart w:id="7" w:name="_Toc213771732"/>
      <w:r w:rsidRPr="003A3051">
        <w:rPr>
          <w:rFonts w:eastAsia="Calibri" w:cs="Arial"/>
          <w:b/>
          <w:bCs/>
          <w:iCs/>
          <w:szCs w:val="28"/>
        </w:rPr>
        <w:t>A – Definitions</w:t>
      </w:r>
      <w:bookmarkEnd w:id="7"/>
      <w:r w:rsidRPr="003A3051">
        <w:rPr>
          <w:rFonts w:eastAsia="Calibri" w:cs="Arial"/>
          <w:b/>
          <w:bCs/>
          <w:iCs/>
          <w:szCs w:val="28"/>
        </w:rPr>
        <w:t> </w:t>
      </w:r>
    </w:p>
    <w:p w14:paraId="762884C3" w14:textId="75A74BA1" w:rsidR="003A3051" w:rsidRPr="002D2E5F" w:rsidRDefault="003A3051" w:rsidP="00822A5E">
      <w:pPr>
        <w:rPr>
          <w:b/>
        </w:rPr>
      </w:pPr>
      <w:r w:rsidRPr="002D2E5F">
        <w:rPr>
          <w:b/>
        </w:rPr>
        <w:t>Aggregate Price Node (A</w:t>
      </w:r>
      <w:r w:rsidR="002D623C" w:rsidRPr="002D2E5F">
        <w:rPr>
          <w:b/>
        </w:rPr>
        <w:t>Pnode</w:t>
      </w:r>
      <w:r w:rsidRPr="002D2E5F">
        <w:rPr>
          <w:b/>
        </w:rPr>
        <w:t>)</w:t>
      </w:r>
    </w:p>
    <w:p w14:paraId="0B7A1299" w14:textId="2E0D628A" w:rsidR="003A3051" w:rsidRPr="003A3051" w:rsidRDefault="003A3051" w:rsidP="003A3051">
      <w:pPr>
        <w:spacing w:before="120" w:line="300" w:lineRule="auto"/>
        <w:ind w:left="720"/>
        <w:jc w:val="left"/>
        <w:rPr>
          <w:bCs/>
        </w:rPr>
      </w:pPr>
      <w:r w:rsidRPr="003A3051">
        <w:t>A collection of Price Nodes (</w:t>
      </w:r>
      <w:r w:rsidR="002D623C">
        <w:t>Pnode</w:t>
      </w:r>
      <w:r w:rsidRPr="003A3051">
        <w:t>s) whose prices are averaged with a defined weighting component to determine an aggregate price.</w:t>
      </w:r>
    </w:p>
    <w:p w14:paraId="1949FBB4" w14:textId="77777777" w:rsidR="002310E2" w:rsidRPr="002310E2" w:rsidRDefault="002310E2" w:rsidP="002310E2">
      <w:pPr>
        <w:spacing w:after="160" w:line="259" w:lineRule="auto"/>
        <w:rPr>
          <w:rFonts w:eastAsia="Calibri"/>
          <w:b/>
          <w:szCs w:val="24"/>
        </w:rPr>
      </w:pPr>
      <w:r w:rsidRPr="002310E2">
        <w:rPr>
          <w:rFonts w:eastAsia="Calibri"/>
          <w:b/>
          <w:szCs w:val="24"/>
        </w:rPr>
        <w:t>Allocation</w:t>
      </w:r>
    </w:p>
    <w:p w14:paraId="4649ED8D" w14:textId="77777777" w:rsidR="002310E2" w:rsidRPr="002310E2" w:rsidRDefault="002310E2" w:rsidP="001453E8">
      <w:pPr>
        <w:spacing w:after="160" w:line="300" w:lineRule="auto"/>
        <w:ind w:left="720"/>
        <w:rPr>
          <w:rFonts w:eastAsia="Calibri"/>
          <w:szCs w:val="24"/>
        </w:rPr>
      </w:pPr>
      <w:r w:rsidRPr="002310E2">
        <w:rPr>
          <w:rFonts w:eastAsia="Calibri"/>
          <w:szCs w:val="24"/>
        </w:rPr>
        <w:t xml:space="preserve">The post-market process of allocating all owned and contracted Energy produced to Reporting Entities, Non-Reporting Entities, and Residual Energy for purposes of the Market Operator producing the Reporting Entity GHG Report and Public GHG Report. </w:t>
      </w:r>
    </w:p>
    <w:p w14:paraId="65281E78" w14:textId="77777777" w:rsidR="003A3051" w:rsidRPr="003A3051" w:rsidRDefault="003A3051" w:rsidP="003A3051">
      <w:pPr>
        <w:spacing w:before="240" w:after="60" w:line="360" w:lineRule="auto"/>
        <w:jc w:val="left"/>
        <w:rPr>
          <w:b/>
        </w:rPr>
      </w:pPr>
      <w:r w:rsidRPr="003A3051">
        <w:rPr>
          <w:b/>
        </w:rPr>
        <w:t>Asset Owner</w:t>
      </w:r>
    </w:p>
    <w:p w14:paraId="4F25C5D9" w14:textId="77777777" w:rsidR="003A3051" w:rsidRPr="003A3051" w:rsidRDefault="003A3051" w:rsidP="003A3051">
      <w:pPr>
        <w:spacing w:before="60" w:after="60" w:line="300" w:lineRule="auto"/>
        <w:ind w:left="720"/>
        <w:rPr>
          <w:szCs w:val="24"/>
        </w:rPr>
      </w:pPr>
      <w:r w:rsidRPr="003A3051">
        <w:rPr>
          <w:szCs w:val="24"/>
        </w:rPr>
        <w:t xml:space="preserve">As defined in the Markets+ Tariff.   </w:t>
      </w:r>
    </w:p>
    <w:p w14:paraId="09677690" w14:textId="77777777" w:rsidR="00A94623" w:rsidRPr="00A94623" w:rsidRDefault="00A94623" w:rsidP="00A94623">
      <w:pPr>
        <w:spacing w:after="160" w:line="259" w:lineRule="auto"/>
        <w:rPr>
          <w:rFonts w:eastAsia="Calibri"/>
          <w:b/>
          <w:szCs w:val="24"/>
        </w:rPr>
      </w:pPr>
      <w:bookmarkStart w:id="8" w:name="_Toc100748813"/>
      <w:r w:rsidRPr="00A94623">
        <w:rPr>
          <w:rFonts w:eastAsia="Calibri"/>
          <w:b/>
          <w:szCs w:val="24"/>
        </w:rPr>
        <w:t>Attribution</w:t>
      </w:r>
    </w:p>
    <w:p w14:paraId="613C2929" w14:textId="45AFB3A7" w:rsidR="00A94623" w:rsidRPr="00A94623" w:rsidRDefault="00A94623" w:rsidP="001453E8">
      <w:pPr>
        <w:spacing w:after="160" w:line="300" w:lineRule="auto"/>
        <w:ind w:left="720"/>
        <w:rPr>
          <w:rFonts w:eastAsia="Calibri"/>
          <w:bCs/>
          <w:szCs w:val="24"/>
        </w:rPr>
      </w:pPr>
      <w:r w:rsidRPr="00A94623">
        <w:rPr>
          <w:rFonts w:eastAsia="Calibri"/>
          <w:bCs/>
          <w:szCs w:val="24"/>
        </w:rPr>
        <w:t>The output of the market clearing process described in Attachment K</w:t>
      </w:r>
      <w:r w:rsidR="008262E7">
        <w:rPr>
          <w:rFonts w:eastAsia="Calibri"/>
          <w:bCs/>
          <w:szCs w:val="24"/>
        </w:rPr>
        <w:t xml:space="preserve"> </w:t>
      </w:r>
      <w:r w:rsidRPr="00A94623">
        <w:rPr>
          <w:rFonts w:eastAsia="Calibri"/>
          <w:bCs/>
          <w:szCs w:val="24"/>
        </w:rPr>
        <w:t xml:space="preserve">of the Markets+ Tariff, in which the market clearing process ascribes megawatts (MWs) to load within a GHG Pricing Zone.  </w:t>
      </w:r>
    </w:p>
    <w:p w14:paraId="7D1FDD20" w14:textId="77777777" w:rsidR="0034104A" w:rsidRPr="0034104A" w:rsidRDefault="0034104A" w:rsidP="0034104A">
      <w:pPr>
        <w:spacing w:after="160" w:line="259" w:lineRule="auto"/>
        <w:rPr>
          <w:rFonts w:eastAsia="Calibri"/>
          <w:b/>
          <w:szCs w:val="24"/>
        </w:rPr>
      </w:pPr>
      <w:r w:rsidRPr="0034104A">
        <w:rPr>
          <w:rFonts w:eastAsia="Calibri"/>
          <w:b/>
          <w:szCs w:val="24"/>
        </w:rPr>
        <w:t>Authorized Requestor</w:t>
      </w:r>
    </w:p>
    <w:p w14:paraId="4A730671" w14:textId="77777777" w:rsidR="0034104A" w:rsidRPr="0034104A" w:rsidRDefault="0034104A" w:rsidP="001453E8">
      <w:pPr>
        <w:spacing w:after="160" w:line="259" w:lineRule="auto"/>
        <w:ind w:left="720"/>
        <w:rPr>
          <w:rFonts w:eastAsia="Calibri"/>
          <w:bCs/>
          <w:szCs w:val="24"/>
        </w:rPr>
      </w:pPr>
      <w:r w:rsidRPr="0034104A">
        <w:rPr>
          <w:rFonts w:eastAsia="Calibri"/>
          <w:bCs/>
          <w:szCs w:val="24"/>
        </w:rPr>
        <w:t>As defined in the Markets+ Tariff.</w:t>
      </w:r>
    </w:p>
    <w:p w14:paraId="7723F104" w14:textId="77777777" w:rsidR="003A3051" w:rsidRPr="003A3051" w:rsidRDefault="003A3051" w:rsidP="003A3051">
      <w:pPr>
        <w:spacing w:after="160" w:line="259" w:lineRule="auto"/>
        <w:rPr>
          <w:rFonts w:eastAsia="Calibri"/>
          <w:b/>
          <w:szCs w:val="24"/>
        </w:rPr>
      </w:pPr>
      <w:r w:rsidRPr="003A3051">
        <w:rPr>
          <w:rFonts w:eastAsia="Calibri"/>
          <w:b/>
          <w:szCs w:val="24"/>
        </w:rPr>
        <w:t>Auxiliary Load</w:t>
      </w:r>
    </w:p>
    <w:p w14:paraId="38E228D4" w14:textId="77777777" w:rsidR="003A3051" w:rsidRPr="003A3051" w:rsidRDefault="003A3051" w:rsidP="003A3051">
      <w:pPr>
        <w:spacing w:line="300" w:lineRule="auto"/>
        <w:ind w:left="720"/>
        <w:rPr>
          <w:szCs w:val="24"/>
        </w:rPr>
      </w:pPr>
      <w:r w:rsidRPr="003A3051">
        <w:rPr>
          <w:szCs w:val="24"/>
        </w:rPr>
        <w:t>The power used to operate auxiliary equipment in the facility necessary for power generation, including equipment such as pumps, blowers, fuel preparation machinery, and exciters.</w:t>
      </w:r>
      <w:bookmarkEnd w:id="8"/>
    </w:p>
    <w:p w14:paraId="574528F4" w14:textId="77777777" w:rsidR="003A3051" w:rsidRPr="003A3051" w:rsidRDefault="003A3051" w:rsidP="003A3051">
      <w:pPr>
        <w:keepNext/>
        <w:spacing w:before="240" w:after="60" w:line="276" w:lineRule="auto"/>
        <w:jc w:val="left"/>
        <w:outlineLvl w:val="1"/>
        <w:rPr>
          <w:rFonts w:eastAsia="Calibri" w:cs="Arial"/>
          <w:b/>
          <w:bCs/>
          <w:iCs/>
          <w:szCs w:val="28"/>
        </w:rPr>
      </w:pPr>
      <w:bookmarkStart w:id="9" w:name="_Toc213771733"/>
      <w:r w:rsidRPr="003A3051">
        <w:rPr>
          <w:rFonts w:eastAsia="Calibri" w:cs="Arial"/>
          <w:b/>
          <w:bCs/>
          <w:iCs/>
          <w:szCs w:val="28"/>
        </w:rPr>
        <w:t>B – Definitions</w:t>
      </w:r>
      <w:bookmarkEnd w:id="9"/>
      <w:r w:rsidRPr="003A3051">
        <w:rPr>
          <w:rFonts w:eastAsia="Calibri" w:cs="Arial"/>
          <w:b/>
          <w:bCs/>
          <w:iCs/>
          <w:szCs w:val="28"/>
        </w:rPr>
        <w:t> </w:t>
      </w:r>
    </w:p>
    <w:p w14:paraId="3CE852C3" w14:textId="64B1E0E4" w:rsidR="003A3051" w:rsidRPr="003A3051" w:rsidRDefault="003A3051" w:rsidP="003A3051">
      <w:pPr>
        <w:spacing w:before="120" w:line="300" w:lineRule="auto"/>
        <w:rPr>
          <w:b/>
          <w:szCs w:val="24"/>
        </w:rPr>
      </w:pPr>
      <w:r w:rsidRPr="003A3051">
        <w:rPr>
          <w:b/>
          <w:szCs w:val="24"/>
        </w:rPr>
        <w:t>Balancing Authority</w:t>
      </w:r>
      <w:r w:rsidR="00F40134">
        <w:rPr>
          <w:b/>
          <w:szCs w:val="24"/>
        </w:rPr>
        <w:t xml:space="preserve"> (BA)</w:t>
      </w:r>
    </w:p>
    <w:p w14:paraId="37BBDB8E"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3CE2B2D3" w14:textId="2F9D79A7" w:rsidR="003A3051" w:rsidRPr="003A3051" w:rsidRDefault="003A3051" w:rsidP="003A3051">
      <w:pPr>
        <w:spacing w:before="120" w:line="300" w:lineRule="auto"/>
        <w:rPr>
          <w:b/>
          <w:szCs w:val="24"/>
        </w:rPr>
      </w:pPr>
      <w:r w:rsidRPr="003A3051">
        <w:rPr>
          <w:b/>
          <w:szCs w:val="24"/>
        </w:rPr>
        <w:t>Balancing Authority Area</w:t>
      </w:r>
      <w:r w:rsidR="00611CB3">
        <w:rPr>
          <w:b/>
          <w:szCs w:val="24"/>
        </w:rPr>
        <w:t xml:space="preserve"> </w:t>
      </w:r>
      <w:r w:rsidR="00CC54AC">
        <w:rPr>
          <w:b/>
          <w:szCs w:val="24"/>
        </w:rPr>
        <w:t>(BAA)</w:t>
      </w:r>
    </w:p>
    <w:p w14:paraId="5FF31321"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5ED491F7" w14:textId="2A2DA16C" w:rsidR="00EE0914" w:rsidRPr="00EE0914" w:rsidRDefault="00EE0914" w:rsidP="00EE0914">
      <w:pPr>
        <w:keepNext/>
        <w:spacing w:before="120" w:line="300" w:lineRule="auto"/>
        <w:rPr>
          <w:b/>
          <w:szCs w:val="24"/>
          <w14:ligatures w14:val="standardContextual"/>
        </w:rPr>
      </w:pPr>
      <w:r w:rsidRPr="00EE0914">
        <w:rPr>
          <w:b/>
          <w:szCs w:val="24"/>
          <w14:ligatures w14:val="standardContextual"/>
        </w:rPr>
        <w:t>Balancing Authority Area Scheduling Constraints</w:t>
      </w:r>
      <w:r w:rsidR="00A10A59">
        <w:rPr>
          <w:b/>
          <w:szCs w:val="24"/>
          <w14:ligatures w14:val="standardContextual"/>
        </w:rPr>
        <w:t xml:space="preserve"> (BAA Scheduling Constraint</w:t>
      </w:r>
      <w:r w:rsidR="006D5110">
        <w:rPr>
          <w:b/>
          <w:szCs w:val="24"/>
          <w14:ligatures w14:val="standardContextual"/>
        </w:rPr>
        <w:t>s</w:t>
      </w:r>
      <w:r w:rsidR="00A10A59">
        <w:rPr>
          <w:b/>
          <w:szCs w:val="24"/>
          <w14:ligatures w14:val="standardContextual"/>
        </w:rPr>
        <w:t>)</w:t>
      </w:r>
    </w:p>
    <w:p w14:paraId="1BF09E6E" w14:textId="77777777" w:rsidR="00EE0914" w:rsidRPr="00EE0914" w:rsidRDefault="00EE0914" w:rsidP="00EE0914">
      <w:pPr>
        <w:keepNext/>
        <w:spacing w:before="120" w:line="300" w:lineRule="auto"/>
        <w:ind w:left="720"/>
        <w:rPr>
          <w:szCs w:val="24"/>
          <w14:ligatures w14:val="standardContextual"/>
        </w:rPr>
      </w:pPr>
      <w:r w:rsidRPr="00EE0914">
        <w:rPr>
          <w:szCs w:val="24"/>
          <w14:ligatures w14:val="standardContextual"/>
        </w:rPr>
        <w:t xml:space="preserve">Constraints established by a Participating Balancing Authority that may limit two or more Market Transfer Interfaces and /or Market Opt-in Transfer Interfaces to a single limit.  </w:t>
      </w:r>
    </w:p>
    <w:p w14:paraId="0B31C7F6" w14:textId="558BD5B4" w:rsidR="003A3051" w:rsidRPr="003A3051" w:rsidRDefault="003A3051" w:rsidP="003A3051">
      <w:pPr>
        <w:keepNext/>
        <w:spacing w:before="120" w:line="300" w:lineRule="auto"/>
        <w:rPr>
          <w:b/>
          <w:szCs w:val="24"/>
        </w:rPr>
      </w:pPr>
      <w:r w:rsidRPr="003A3051">
        <w:rPr>
          <w:b/>
          <w:szCs w:val="24"/>
        </w:rPr>
        <w:t>Behind-The-Meter Generation</w:t>
      </w:r>
    </w:p>
    <w:p w14:paraId="0FD0DC39" w14:textId="77777777" w:rsidR="003A3051" w:rsidRPr="003A3051" w:rsidRDefault="003A3051" w:rsidP="003A3051">
      <w:pPr>
        <w:keepNext/>
        <w:spacing w:before="120" w:line="300" w:lineRule="auto"/>
        <w:rPr>
          <w:szCs w:val="24"/>
        </w:rPr>
      </w:pPr>
      <w:r w:rsidRPr="003A3051">
        <w:rPr>
          <w:b/>
          <w:szCs w:val="24"/>
        </w:rPr>
        <w:tab/>
      </w:r>
      <w:r w:rsidRPr="003A3051">
        <w:rPr>
          <w:szCs w:val="24"/>
        </w:rPr>
        <w:t>As defined in the Markets+ Tariff.</w:t>
      </w:r>
    </w:p>
    <w:p w14:paraId="5A9D1E7E" w14:textId="77777777" w:rsidR="003A3051" w:rsidRPr="003A3051" w:rsidRDefault="003A3051" w:rsidP="003A3051">
      <w:pPr>
        <w:keepNext/>
        <w:spacing w:before="120" w:line="300" w:lineRule="auto"/>
        <w:rPr>
          <w:b/>
          <w:szCs w:val="24"/>
        </w:rPr>
      </w:pPr>
      <w:r w:rsidRPr="003A3051">
        <w:rPr>
          <w:b/>
          <w:szCs w:val="24"/>
        </w:rPr>
        <w:t>Bid</w:t>
      </w:r>
    </w:p>
    <w:p w14:paraId="58A7B2EB" w14:textId="66FA91C5" w:rsidR="003A3051" w:rsidRDefault="003A3051" w:rsidP="003A3051">
      <w:pPr>
        <w:keepNext/>
        <w:spacing w:after="0" w:line="300" w:lineRule="auto"/>
        <w:ind w:left="720"/>
        <w:rPr>
          <w:szCs w:val="24"/>
        </w:rPr>
      </w:pPr>
      <w:r w:rsidRPr="003A3051">
        <w:rPr>
          <w:szCs w:val="24"/>
        </w:rPr>
        <w:t>As defined in the Markets+ Tariff</w:t>
      </w:r>
      <w:r w:rsidR="00920F6C" w:rsidRPr="003A3051">
        <w:rPr>
          <w:szCs w:val="24"/>
        </w:rPr>
        <w:t>.</w:t>
      </w:r>
      <w:r w:rsidRPr="003A3051">
        <w:rPr>
          <w:szCs w:val="24"/>
        </w:rPr>
        <w:t xml:space="preserve"> </w:t>
      </w:r>
    </w:p>
    <w:p w14:paraId="5057133B" w14:textId="1471EEBE" w:rsidR="00E15CB5" w:rsidRPr="00E15CB5" w:rsidRDefault="00E15CB5" w:rsidP="00E15CB5">
      <w:pPr>
        <w:keepNext/>
        <w:spacing w:before="120" w:line="300" w:lineRule="auto"/>
        <w:rPr>
          <w:b/>
          <w:szCs w:val="24"/>
        </w:rPr>
      </w:pPr>
      <w:r w:rsidRPr="00E15CB5">
        <w:rPr>
          <w:b/>
          <w:szCs w:val="24"/>
        </w:rPr>
        <w:t>Binding Seasons</w:t>
      </w:r>
    </w:p>
    <w:p w14:paraId="735EAE4E" w14:textId="000D4849" w:rsidR="00FC7BD7" w:rsidRPr="00FC7BD7" w:rsidRDefault="00FC7BD7" w:rsidP="008F20E3">
      <w:pPr>
        <w:spacing w:before="120" w:line="300" w:lineRule="auto"/>
      </w:pPr>
      <w:r w:rsidRPr="00FC7BD7">
        <w:t>The Summer or Winter Season as defined in the relevant WRAP Business Practice.  Note that WRAP Operations Program Hourly Holdback requirement as defined below is applicable only during these Binding Seasons.</w:t>
      </w:r>
    </w:p>
    <w:p w14:paraId="11F96A82" w14:textId="77777777" w:rsidR="003A3051" w:rsidRPr="003A3051" w:rsidRDefault="003A3051" w:rsidP="003A3051">
      <w:pPr>
        <w:spacing w:line="360" w:lineRule="auto"/>
        <w:ind w:left="720" w:hanging="720"/>
        <w:rPr>
          <w:b/>
        </w:rPr>
      </w:pPr>
      <w:r w:rsidRPr="003A3051">
        <w:rPr>
          <w:b/>
        </w:rPr>
        <w:t>Business Day</w:t>
      </w:r>
    </w:p>
    <w:p w14:paraId="2877C11D" w14:textId="77777777" w:rsidR="003A3051" w:rsidRPr="003A3051" w:rsidRDefault="003A3051" w:rsidP="003A3051">
      <w:pPr>
        <w:keepNext/>
        <w:spacing w:before="240" w:after="60" w:line="360" w:lineRule="auto"/>
        <w:jc w:val="left"/>
        <w:rPr>
          <w:rFonts w:ascii="Arial" w:hAnsi="Arial"/>
          <w:b/>
          <w:szCs w:val="24"/>
        </w:rPr>
      </w:pPr>
      <w:r w:rsidRPr="003A3051">
        <w:rPr>
          <w:szCs w:val="24"/>
        </w:rPr>
        <w:tab/>
        <w:t>As defined in the Markets+ Tariff.</w:t>
      </w:r>
    </w:p>
    <w:p w14:paraId="15383EBE" w14:textId="77777777" w:rsidR="003A3051" w:rsidRPr="003A3051" w:rsidRDefault="003A3051" w:rsidP="003A3051">
      <w:pPr>
        <w:spacing w:line="360" w:lineRule="auto"/>
        <w:ind w:left="720" w:hanging="720"/>
        <w:sectPr w:rsidR="003A3051" w:rsidRPr="003A3051" w:rsidSect="003A3051">
          <w:headerReference w:type="even" r:id="rId19"/>
          <w:footerReference w:type="even" r:id="rId20"/>
          <w:headerReference w:type="first" r:id="rId21"/>
          <w:footerReference w:type="first" r:id="rId22"/>
          <w:pgSz w:w="12240" w:h="15840"/>
          <w:pgMar w:top="1440" w:right="1440" w:bottom="1440" w:left="1440" w:header="720" w:footer="720" w:gutter="0"/>
          <w:cols w:space="720"/>
          <w:docGrid w:linePitch="360"/>
        </w:sectPr>
      </w:pPr>
    </w:p>
    <w:p w14:paraId="29CBC442" w14:textId="77777777" w:rsidR="003A3051" w:rsidRPr="003A3051" w:rsidRDefault="003A3051" w:rsidP="003A3051">
      <w:pPr>
        <w:keepNext/>
        <w:spacing w:before="240" w:after="60" w:line="276" w:lineRule="auto"/>
        <w:jc w:val="left"/>
        <w:outlineLvl w:val="1"/>
        <w:rPr>
          <w:rFonts w:eastAsia="Calibri" w:cs="Arial"/>
          <w:b/>
          <w:bCs/>
          <w:iCs/>
          <w:szCs w:val="28"/>
        </w:rPr>
      </w:pPr>
      <w:bookmarkStart w:id="10" w:name="_Toc213771734"/>
      <w:r w:rsidRPr="003A3051">
        <w:rPr>
          <w:rFonts w:eastAsia="Calibri" w:cs="Arial"/>
          <w:b/>
          <w:bCs/>
          <w:iCs/>
          <w:szCs w:val="28"/>
        </w:rPr>
        <w:t>C – Definitions</w:t>
      </w:r>
      <w:bookmarkEnd w:id="10"/>
      <w:r w:rsidRPr="003A3051">
        <w:rPr>
          <w:rFonts w:eastAsia="Calibri" w:cs="Arial"/>
          <w:b/>
          <w:bCs/>
          <w:iCs/>
          <w:szCs w:val="28"/>
        </w:rPr>
        <w:t> </w:t>
      </w:r>
    </w:p>
    <w:p w14:paraId="0934EB86" w14:textId="77777777" w:rsidR="003A3051" w:rsidRPr="003A3051" w:rsidRDefault="003A3051" w:rsidP="003A3051">
      <w:pPr>
        <w:spacing w:after="240"/>
        <w:rPr>
          <w:b/>
          <w:color w:val="000000"/>
        </w:rPr>
      </w:pPr>
      <w:r w:rsidRPr="003A3051">
        <w:rPr>
          <w:b/>
          <w:color w:val="000000"/>
        </w:rPr>
        <w:t xml:space="preserve">Calendar Day </w:t>
      </w:r>
    </w:p>
    <w:p w14:paraId="4E3C3B76" w14:textId="77777777" w:rsidR="003A3051" w:rsidRDefault="003A3051" w:rsidP="003A3051">
      <w:pPr>
        <w:spacing w:before="120" w:line="300" w:lineRule="auto"/>
        <w:rPr>
          <w:szCs w:val="24"/>
        </w:rPr>
      </w:pPr>
      <w:r w:rsidRPr="003A3051">
        <w:rPr>
          <w:b/>
          <w:szCs w:val="24"/>
        </w:rPr>
        <w:tab/>
      </w:r>
      <w:r w:rsidRPr="003A3051">
        <w:rPr>
          <w:szCs w:val="24"/>
        </w:rPr>
        <w:t>As defined in the Markets+ Tariff.</w:t>
      </w:r>
    </w:p>
    <w:p w14:paraId="50426BA3" w14:textId="4426DF66" w:rsidR="00982527" w:rsidRPr="00982527" w:rsidRDefault="00982527" w:rsidP="00982527">
      <w:pPr>
        <w:spacing w:before="120" w:line="300" w:lineRule="auto"/>
        <w:rPr>
          <w:b/>
          <w:szCs w:val="24"/>
        </w:rPr>
      </w:pPr>
      <w:r w:rsidRPr="00982527">
        <w:rPr>
          <w:b/>
          <w:bCs/>
          <w:szCs w:val="24"/>
        </w:rPr>
        <w:t>Ceiling</w:t>
      </w:r>
    </w:p>
    <w:p w14:paraId="2032D690" w14:textId="09C8F13E" w:rsidR="00982527" w:rsidRPr="00982527" w:rsidRDefault="00982527" w:rsidP="00982527">
      <w:pPr>
        <w:spacing w:before="120" w:line="300" w:lineRule="auto"/>
        <w:ind w:left="720"/>
        <w:rPr>
          <w:szCs w:val="24"/>
        </w:rPr>
      </w:pPr>
      <w:r w:rsidRPr="00982527">
        <w:rPr>
          <w:szCs w:val="24"/>
        </w:rPr>
        <w:t>The maximum quantity required for a Market Participant's Must Offer Obligation</w:t>
      </w:r>
      <w:r w:rsidR="00BC23D2">
        <w:rPr>
          <w:szCs w:val="24"/>
        </w:rPr>
        <w:t xml:space="preserve"> as described under Section </w:t>
      </w:r>
      <w:r w:rsidR="00DA7EEA">
        <w:rPr>
          <w:szCs w:val="24"/>
        </w:rPr>
        <w:fldChar w:fldCharType="begin"/>
      </w:r>
      <w:r w:rsidR="00DA7EEA">
        <w:rPr>
          <w:szCs w:val="24"/>
        </w:rPr>
        <w:instrText xml:space="preserve"> REF _Ref193980711 \r \h </w:instrText>
      </w:r>
      <w:r w:rsidR="00DA7EEA">
        <w:rPr>
          <w:szCs w:val="24"/>
        </w:rPr>
      </w:r>
      <w:r w:rsidR="00DA7EEA">
        <w:rPr>
          <w:szCs w:val="24"/>
        </w:rPr>
        <w:fldChar w:fldCharType="separate"/>
      </w:r>
      <w:r w:rsidR="00DA7EEA">
        <w:rPr>
          <w:szCs w:val="24"/>
        </w:rPr>
        <w:t>4.2.1</w:t>
      </w:r>
      <w:r w:rsidR="00DA7EEA">
        <w:rPr>
          <w:szCs w:val="24"/>
        </w:rPr>
        <w:fldChar w:fldCharType="end"/>
      </w:r>
      <w:r w:rsidR="004751D5">
        <w:rPr>
          <w:szCs w:val="24"/>
        </w:rPr>
        <w:t>.</w:t>
      </w:r>
    </w:p>
    <w:p w14:paraId="77C1F827" w14:textId="77777777" w:rsidR="003A3051" w:rsidRPr="003A3051" w:rsidRDefault="003A3051" w:rsidP="003A3051">
      <w:pPr>
        <w:spacing w:before="120" w:line="300" w:lineRule="auto"/>
        <w:rPr>
          <w:b/>
          <w:szCs w:val="24"/>
        </w:rPr>
      </w:pPr>
      <w:r w:rsidRPr="003A3051">
        <w:rPr>
          <w:b/>
          <w:szCs w:val="24"/>
        </w:rPr>
        <w:t>Combined Interest Resource</w:t>
      </w:r>
    </w:p>
    <w:p w14:paraId="6759EBA6" w14:textId="77777777" w:rsidR="003A3051" w:rsidRPr="003A3051" w:rsidRDefault="003A3051" w:rsidP="003A3051">
      <w:pPr>
        <w:spacing w:before="120" w:line="300" w:lineRule="auto"/>
        <w:rPr>
          <w:b/>
          <w:szCs w:val="24"/>
        </w:rPr>
      </w:pPr>
      <w:r w:rsidRPr="003A3051">
        <w:rPr>
          <w:b/>
          <w:szCs w:val="24"/>
        </w:rPr>
        <w:tab/>
      </w:r>
      <w:r w:rsidRPr="003A3051">
        <w:rPr>
          <w:szCs w:val="24"/>
        </w:rPr>
        <w:t>As defined in the Markets+ Tariff.</w:t>
      </w:r>
    </w:p>
    <w:p w14:paraId="7FB22654" w14:textId="77777777" w:rsidR="003A3051" w:rsidRPr="003A3051" w:rsidRDefault="003A3051" w:rsidP="003A3051">
      <w:pPr>
        <w:spacing w:before="120" w:line="300" w:lineRule="auto"/>
        <w:rPr>
          <w:b/>
          <w:szCs w:val="24"/>
        </w:rPr>
      </w:pPr>
      <w:r w:rsidRPr="003A3051">
        <w:rPr>
          <w:b/>
          <w:szCs w:val="24"/>
        </w:rPr>
        <w:t>Commercial Model</w:t>
      </w:r>
    </w:p>
    <w:p w14:paraId="70755B59" w14:textId="77777777" w:rsidR="003A3051" w:rsidRPr="003A3051" w:rsidRDefault="003A3051" w:rsidP="003A3051">
      <w:pPr>
        <w:spacing w:before="120" w:line="300" w:lineRule="auto"/>
        <w:ind w:left="720"/>
        <w:rPr>
          <w:szCs w:val="24"/>
        </w:rPr>
      </w:pPr>
      <w:r w:rsidRPr="003A3051">
        <w:rPr>
          <w:szCs w:val="24"/>
        </w:rPr>
        <w:t>As defined in the Markets+ Tariff.</w:t>
      </w:r>
    </w:p>
    <w:p w14:paraId="613E68D4" w14:textId="77777777" w:rsidR="003A3051" w:rsidRPr="003A3051" w:rsidRDefault="003A3051" w:rsidP="003A3051">
      <w:pPr>
        <w:spacing w:before="120" w:line="300" w:lineRule="auto"/>
        <w:rPr>
          <w:b/>
          <w:szCs w:val="24"/>
        </w:rPr>
      </w:pPr>
      <w:r w:rsidRPr="003A3051">
        <w:rPr>
          <w:b/>
          <w:szCs w:val="24"/>
        </w:rPr>
        <w:t>Commitment Status</w:t>
      </w:r>
    </w:p>
    <w:p w14:paraId="324884D4" w14:textId="77777777" w:rsidR="003A3051" w:rsidRPr="003A3051" w:rsidRDefault="003A3051" w:rsidP="003A3051">
      <w:pPr>
        <w:spacing w:before="120" w:line="300" w:lineRule="auto"/>
        <w:ind w:left="720"/>
        <w:rPr>
          <w:szCs w:val="24"/>
        </w:rPr>
      </w:pPr>
      <w:r w:rsidRPr="003A3051">
        <w:rPr>
          <w:szCs w:val="24"/>
        </w:rPr>
        <w:t>A parameter submitted as part of a Resource Offer that specifies the option under which the Resource is to be committed.</w:t>
      </w:r>
    </w:p>
    <w:p w14:paraId="231C7D81" w14:textId="77777777" w:rsidR="003A3051" w:rsidRPr="003A3051" w:rsidRDefault="003A3051" w:rsidP="003A3051">
      <w:pPr>
        <w:spacing w:before="120" w:line="300" w:lineRule="auto"/>
        <w:rPr>
          <w:b/>
          <w:szCs w:val="24"/>
        </w:rPr>
      </w:pPr>
      <w:r w:rsidRPr="003A3051">
        <w:rPr>
          <w:b/>
          <w:szCs w:val="24"/>
        </w:rPr>
        <w:t>Commit Time</w:t>
      </w:r>
    </w:p>
    <w:p w14:paraId="17077217" w14:textId="77777777" w:rsidR="003A3051" w:rsidRPr="003A3051" w:rsidRDefault="003A3051" w:rsidP="003A3051">
      <w:pPr>
        <w:spacing w:before="120" w:line="300" w:lineRule="auto"/>
        <w:ind w:left="720"/>
        <w:rPr>
          <w:szCs w:val="24"/>
        </w:rPr>
      </w:pPr>
      <w:r w:rsidRPr="003A3051">
        <w:rPr>
          <w:szCs w:val="24"/>
        </w:rPr>
        <w:t>As defined in the Markets+ Tariff.</w:t>
      </w:r>
    </w:p>
    <w:p w14:paraId="13B0A6FD" w14:textId="77777777" w:rsidR="003A3051" w:rsidRPr="003A3051" w:rsidRDefault="003A3051" w:rsidP="003A3051">
      <w:pPr>
        <w:spacing w:before="120" w:line="300" w:lineRule="auto"/>
        <w:rPr>
          <w:b/>
          <w:szCs w:val="24"/>
        </w:rPr>
      </w:pPr>
      <w:r w:rsidRPr="003A3051">
        <w:rPr>
          <w:b/>
          <w:szCs w:val="24"/>
        </w:rPr>
        <w:t>Common Bus</w:t>
      </w:r>
    </w:p>
    <w:p w14:paraId="7B02E816" w14:textId="77777777" w:rsidR="003A3051" w:rsidRPr="003A3051" w:rsidRDefault="003A3051" w:rsidP="003A3051">
      <w:pPr>
        <w:spacing w:before="120" w:line="300" w:lineRule="auto"/>
        <w:ind w:left="720"/>
        <w:rPr>
          <w:szCs w:val="24"/>
        </w:rPr>
      </w:pPr>
      <w:r w:rsidRPr="003A3051">
        <w:rPr>
          <w:szCs w:val="24"/>
        </w:rPr>
        <w:t>As defined in the Markets+ Tariff.</w:t>
      </w:r>
    </w:p>
    <w:p w14:paraId="398E8C54" w14:textId="77777777" w:rsidR="003A3051" w:rsidRPr="003A3051" w:rsidRDefault="003A3051" w:rsidP="003A3051">
      <w:pPr>
        <w:spacing w:after="160" w:line="360" w:lineRule="auto"/>
        <w:jc w:val="left"/>
        <w:rPr>
          <w:rFonts w:cs="Courier New"/>
          <w:b/>
          <w:kern w:val="28"/>
        </w:rPr>
      </w:pPr>
      <w:r w:rsidRPr="003A3051">
        <w:rPr>
          <w:rFonts w:cs="Courier New"/>
          <w:b/>
          <w:kern w:val="28"/>
        </w:rPr>
        <w:t>Composite Energy Offer Curve</w:t>
      </w:r>
    </w:p>
    <w:p w14:paraId="2CAA4191" w14:textId="77777777" w:rsidR="003A3051" w:rsidRPr="003A3051" w:rsidRDefault="003A3051" w:rsidP="003A3051">
      <w:pPr>
        <w:spacing w:before="120" w:line="300" w:lineRule="auto"/>
        <w:ind w:left="720"/>
        <w:rPr>
          <w:szCs w:val="24"/>
        </w:rPr>
      </w:pPr>
      <w:r w:rsidRPr="003A3051">
        <w:rPr>
          <w:szCs w:val="24"/>
        </w:rPr>
        <w:t>As defined in the Markets+ Tariff.</w:t>
      </w:r>
    </w:p>
    <w:p w14:paraId="1AA2235B" w14:textId="77777777" w:rsidR="003A3051" w:rsidRPr="003A3051" w:rsidRDefault="003A3051" w:rsidP="003A3051">
      <w:pPr>
        <w:spacing w:before="120" w:line="360" w:lineRule="auto"/>
        <w:rPr>
          <w:b/>
        </w:rPr>
      </w:pPr>
      <w:r w:rsidRPr="003A3051">
        <w:rPr>
          <w:b/>
        </w:rPr>
        <w:t>Conditional Firm Point-To-Point Transmission Service</w:t>
      </w:r>
    </w:p>
    <w:p w14:paraId="59331F11" w14:textId="77777777" w:rsidR="003A3051" w:rsidRPr="003A3051" w:rsidRDefault="003A3051" w:rsidP="003A3051">
      <w:pPr>
        <w:spacing w:before="120" w:line="300" w:lineRule="auto"/>
        <w:ind w:firstLine="720"/>
        <w:rPr>
          <w:rFonts w:eastAsia="Aptos" w:cs="Arial"/>
          <w:kern w:val="2"/>
          <w:sz w:val="22"/>
          <w:szCs w:val="24"/>
          <w14:ligatures w14:val="standardContextual"/>
        </w:rPr>
      </w:pPr>
      <w:r w:rsidRPr="003A3051">
        <w:rPr>
          <w:color w:val="000000"/>
        </w:rPr>
        <w:t>As defined in the Markets+ Tariff.</w:t>
      </w:r>
    </w:p>
    <w:p w14:paraId="193BB42F" w14:textId="77777777" w:rsidR="003A3051" w:rsidRPr="003A3051" w:rsidRDefault="003A3051" w:rsidP="003A3051">
      <w:pPr>
        <w:spacing w:before="120" w:line="300" w:lineRule="auto"/>
        <w:rPr>
          <w:b/>
          <w:szCs w:val="24"/>
        </w:rPr>
      </w:pPr>
      <w:bookmarkStart w:id="11" w:name="OLE_LINK15"/>
      <w:bookmarkStart w:id="12" w:name="OLE_LINK18"/>
      <w:r w:rsidRPr="003A3051">
        <w:rPr>
          <w:b/>
          <w:szCs w:val="24"/>
        </w:rPr>
        <w:t>Control Status</w:t>
      </w:r>
    </w:p>
    <w:p w14:paraId="20D105E1" w14:textId="77777777" w:rsidR="001B6F4D" w:rsidRPr="003A3051" w:rsidRDefault="001B6F4D" w:rsidP="001B6F4D">
      <w:pPr>
        <w:spacing w:before="120" w:line="300" w:lineRule="auto"/>
        <w:ind w:firstLine="720"/>
        <w:rPr>
          <w:rFonts w:eastAsia="Aptos" w:cs="Arial"/>
          <w:kern w:val="2"/>
          <w:sz w:val="22"/>
          <w:szCs w:val="24"/>
          <w14:ligatures w14:val="standardContextual"/>
        </w:rPr>
      </w:pPr>
      <w:r w:rsidRPr="003A3051">
        <w:rPr>
          <w:color w:val="000000"/>
        </w:rPr>
        <w:t>As defined in the Markets+ Tariff.</w:t>
      </w:r>
    </w:p>
    <w:p w14:paraId="0E6BD6BA" w14:textId="77777777" w:rsidR="003A3051" w:rsidRPr="003A3051" w:rsidRDefault="003A3051" w:rsidP="003A3051">
      <w:pPr>
        <w:spacing w:before="120" w:line="300" w:lineRule="auto"/>
        <w:rPr>
          <w:b/>
          <w:szCs w:val="24"/>
        </w:rPr>
      </w:pPr>
      <w:r w:rsidRPr="003A3051">
        <w:rPr>
          <w:b/>
          <w:szCs w:val="24"/>
        </w:rPr>
        <w:t>Confidential Information</w:t>
      </w:r>
    </w:p>
    <w:p w14:paraId="5A1956E4" w14:textId="77777777" w:rsidR="003A3051" w:rsidRPr="003A3051" w:rsidRDefault="003A3051" w:rsidP="003A3051">
      <w:pPr>
        <w:spacing w:before="120" w:line="300" w:lineRule="auto"/>
        <w:ind w:left="720"/>
        <w:rPr>
          <w:szCs w:val="24"/>
        </w:rPr>
      </w:pPr>
      <w:r w:rsidRPr="003A3051">
        <w:rPr>
          <w:szCs w:val="24"/>
        </w:rPr>
        <w:t>As defined in the Markets+ Tariff.</w:t>
      </w:r>
    </w:p>
    <w:p w14:paraId="192740F2" w14:textId="77777777" w:rsidR="003A3051" w:rsidRPr="003A3051" w:rsidRDefault="003A3051" w:rsidP="003A3051">
      <w:pPr>
        <w:rPr>
          <w:b/>
        </w:rPr>
      </w:pPr>
      <w:r w:rsidRPr="003A3051">
        <w:rPr>
          <w:b/>
        </w:rPr>
        <w:t xml:space="preserve">Congestion Rent </w:t>
      </w:r>
      <w:r w:rsidRPr="003A3051">
        <w:rPr>
          <w:b/>
        </w:rPr>
        <w:tab/>
        <w:t xml:space="preserve"> </w:t>
      </w:r>
    </w:p>
    <w:p w14:paraId="11F34EC5" w14:textId="77777777" w:rsidR="003A3051" w:rsidRPr="003A3051" w:rsidRDefault="003A3051" w:rsidP="003A3051">
      <w:pPr>
        <w:spacing w:before="120" w:line="300" w:lineRule="auto"/>
        <w:ind w:left="720"/>
        <w:rPr>
          <w:szCs w:val="24"/>
        </w:rPr>
      </w:pPr>
      <w:r w:rsidRPr="003A3051">
        <w:rPr>
          <w:szCs w:val="24"/>
        </w:rPr>
        <w:t>As defined in the Markets+ Tariff.</w:t>
      </w:r>
    </w:p>
    <w:p w14:paraId="3E21A0A7" w14:textId="77777777" w:rsidR="003A3051" w:rsidRPr="003A3051" w:rsidRDefault="003A3051" w:rsidP="003A3051">
      <w:pPr>
        <w:spacing w:before="120" w:line="360" w:lineRule="auto"/>
        <w:rPr>
          <w:b/>
        </w:rPr>
      </w:pPr>
      <w:bookmarkStart w:id="13" w:name="_Hlk150515488"/>
      <w:r w:rsidRPr="003A3051">
        <w:rPr>
          <w:b/>
        </w:rPr>
        <w:t xml:space="preserve">Congestion Rent Eligible Transmission Service Reservation (CRETSR) </w:t>
      </w:r>
    </w:p>
    <w:bookmarkEnd w:id="13"/>
    <w:p w14:paraId="2B1CEC47" w14:textId="77777777" w:rsidR="003A3051" w:rsidRPr="003A3051" w:rsidRDefault="003A3051" w:rsidP="003A3051">
      <w:pPr>
        <w:spacing w:before="120" w:line="300" w:lineRule="auto"/>
        <w:ind w:left="720"/>
        <w:rPr>
          <w:szCs w:val="24"/>
        </w:rPr>
      </w:pPr>
      <w:r w:rsidRPr="003A3051">
        <w:rPr>
          <w:szCs w:val="24"/>
        </w:rPr>
        <w:t>As defined in the Markets+ Tariff.</w:t>
      </w:r>
    </w:p>
    <w:p w14:paraId="35B43E77" w14:textId="77777777" w:rsidR="003A3051" w:rsidRPr="003A3051" w:rsidRDefault="003A3051" w:rsidP="003A3051">
      <w:pPr>
        <w:spacing w:before="120" w:line="360" w:lineRule="auto"/>
        <w:ind w:left="360" w:hanging="360"/>
        <w:rPr>
          <w:b/>
          <w:color w:val="000000"/>
        </w:rPr>
      </w:pPr>
      <w:r w:rsidRPr="003A3051">
        <w:rPr>
          <w:b/>
          <w:color w:val="000000"/>
        </w:rPr>
        <w:t>Congestion Rent Eligible Transmission Service Reservation (CRETSR) Holder</w:t>
      </w:r>
    </w:p>
    <w:p w14:paraId="5ECD3764" w14:textId="77777777" w:rsidR="003A3051" w:rsidRPr="003A3051" w:rsidRDefault="003A3051" w:rsidP="004B234C">
      <w:pPr>
        <w:spacing w:before="120" w:line="300" w:lineRule="auto"/>
        <w:ind w:firstLine="720"/>
        <w:rPr>
          <w:rFonts w:ascii="Arial" w:hAnsi="Arial"/>
          <w:b/>
          <w:color w:val="000000"/>
        </w:rPr>
      </w:pPr>
      <w:r w:rsidRPr="003A3051">
        <w:rPr>
          <w:szCs w:val="24"/>
        </w:rPr>
        <w:t xml:space="preserve">As defined in the Markets+ Tariff. </w:t>
      </w:r>
    </w:p>
    <w:p w14:paraId="01D2E135" w14:textId="25A4BF19" w:rsidR="003A3051" w:rsidRPr="003A3051" w:rsidRDefault="003A3051" w:rsidP="003A3051">
      <w:pPr>
        <w:spacing w:before="120" w:line="360" w:lineRule="auto"/>
        <w:ind w:left="360" w:hanging="360"/>
        <w:rPr>
          <w:b/>
          <w:color w:val="000000"/>
        </w:rPr>
      </w:pPr>
      <w:r w:rsidRPr="003A3051">
        <w:rPr>
          <w:b/>
          <w:color w:val="000000"/>
        </w:rPr>
        <w:t xml:space="preserve">Control Room Operations Window (CROW) </w:t>
      </w:r>
    </w:p>
    <w:p w14:paraId="1216549F" w14:textId="68828503" w:rsidR="003A3051" w:rsidRPr="003A3051" w:rsidRDefault="003A3051" w:rsidP="004B234C">
      <w:pPr>
        <w:spacing w:before="120" w:line="300" w:lineRule="auto"/>
        <w:ind w:left="720"/>
        <w:rPr>
          <w:szCs w:val="24"/>
        </w:rPr>
      </w:pPr>
      <w:r w:rsidRPr="003A3051">
        <w:rPr>
          <w:szCs w:val="24"/>
        </w:rPr>
        <w:t xml:space="preserve">The </w:t>
      </w:r>
      <w:r w:rsidR="00F52CBF">
        <w:rPr>
          <w:szCs w:val="24"/>
        </w:rPr>
        <w:t>outage scheduling</w:t>
      </w:r>
      <w:r w:rsidRPr="003A3051">
        <w:rPr>
          <w:szCs w:val="24"/>
        </w:rPr>
        <w:t xml:space="preserve"> tool in which Market Participants communicate outages and derates to the Market Operator.</w:t>
      </w:r>
    </w:p>
    <w:p w14:paraId="7DB90B3D" w14:textId="77777777" w:rsidR="003A3051" w:rsidRPr="003A3051" w:rsidRDefault="003A3051" w:rsidP="003A3051">
      <w:pPr>
        <w:spacing w:before="120" w:line="360" w:lineRule="auto"/>
        <w:rPr>
          <w:b/>
          <w:bCs/>
        </w:rPr>
      </w:pPr>
      <w:r w:rsidRPr="003A3051">
        <w:rPr>
          <w:b/>
          <w:bCs/>
        </w:rPr>
        <w:t xml:space="preserve">Coordinated Interchange Scheduling Limit </w:t>
      </w:r>
    </w:p>
    <w:p w14:paraId="3EF10BD6" w14:textId="77777777" w:rsidR="003A3051" w:rsidRPr="003A3051" w:rsidRDefault="003A3051" w:rsidP="003A3051">
      <w:pPr>
        <w:spacing w:before="120" w:line="300" w:lineRule="auto"/>
        <w:ind w:left="720"/>
        <w:rPr>
          <w:szCs w:val="24"/>
        </w:rPr>
      </w:pPr>
      <w:r w:rsidRPr="003A3051">
        <w:rPr>
          <w:szCs w:val="24"/>
        </w:rPr>
        <w:t>As defined in the Markets+ Tariff.</w:t>
      </w:r>
    </w:p>
    <w:p w14:paraId="405FE124" w14:textId="77777777" w:rsidR="003A3051" w:rsidRPr="003A3051" w:rsidRDefault="003A3051" w:rsidP="003A3051">
      <w:pPr>
        <w:spacing w:line="360" w:lineRule="auto"/>
        <w:rPr>
          <w:b/>
          <w:color w:val="000000"/>
        </w:rPr>
      </w:pPr>
      <w:r w:rsidRPr="003A3051">
        <w:rPr>
          <w:b/>
          <w:color w:val="000000"/>
        </w:rPr>
        <w:t xml:space="preserve">Critical Load </w:t>
      </w:r>
    </w:p>
    <w:p w14:paraId="394CF819" w14:textId="77777777" w:rsidR="003A3051" w:rsidRPr="003A3051" w:rsidRDefault="003A3051" w:rsidP="003A3051">
      <w:pPr>
        <w:spacing w:before="120" w:line="300" w:lineRule="auto"/>
        <w:ind w:left="720"/>
        <w:rPr>
          <w:szCs w:val="24"/>
        </w:rPr>
      </w:pPr>
      <w:r w:rsidRPr="003A3051">
        <w:rPr>
          <w:szCs w:val="24"/>
        </w:rPr>
        <w:t>As defined in the Markets+ Tariff.</w:t>
      </w:r>
    </w:p>
    <w:p w14:paraId="58D69EA3" w14:textId="77777777" w:rsidR="003A3051" w:rsidRPr="003A3051" w:rsidRDefault="003A3051" w:rsidP="003A3051">
      <w:pPr>
        <w:spacing w:after="0" w:line="300" w:lineRule="auto"/>
        <w:rPr>
          <w:b/>
          <w:szCs w:val="24"/>
        </w:rPr>
      </w:pPr>
      <w:r w:rsidRPr="003A3051">
        <w:rPr>
          <w:b/>
          <w:szCs w:val="24"/>
        </w:rPr>
        <w:t>Current Operating Plan</w:t>
      </w:r>
    </w:p>
    <w:p w14:paraId="3C90BEF6" w14:textId="57368C77" w:rsidR="003A3051" w:rsidRPr="003A3051" w:rsidRDefault="00D3628F" w:rsidP="003A3051">
      <w:pPr>
        <w:spacing w:after="0" w:line="300" w:lineRule="auto"/>
        <w:ind w:left="720"/>
        <w:rPr>
          <w:szCs w:val="24"/>
        </w:rPr>
      </w:pPr>
      <w:bookmarkStart w:id="14" w:name="OLE_LINK77"/>
      <w:bookmarkStart w:id="15" w:name="OLE_LINK83"/>
      <w:r>
        <w:rPr>
          <w:szCs w:val="24"/>
        </w:rPr>
        <w:t>The Market Operator</w:t>
      </w:r>
      <w:r w:rsidRPr="003A3051">
        <w:rPr>
          <w:szCs w:val="24"/>
        </w:rPr>
        <w:t>’s</w:t>
      </w:r>
      <w:r w:rsidR="003A3051" w:rsidRPr="003A3051">
        <w:rPr>
          <w:szCs w:val="24"/>
        </w:rPr>
        <w:t xml:space="preserve"> internal hourly Resource commitment schedule for the Operating Day resulting from the various Day-Ahead Market and Day-Ahead Reliability Unit Commitment processes and </w:t>
      </w:r>
      <w:bookmarkEnd w:id="14"/>
      <w:bookmarkEnd w:id="15"/>
      <w:r w:rsidR="003A3051" w:rsidRPr="003A3051">
        <w:rPr>
          <w:szCs w:val="24"/>
        </w:rPr>
        <w:t xml:space="preserve">updated, as required, during the Intra-Day RUC process that is used as </w:t>
      </w:r>
      <w:r w:rsidR="00740C59">
        <w:rPr>
          <w:szCs w:val="24"/>
        </w:rPr>
        <w:t xml:space="preserve">an </w:t>
      </w:r>
      <w:r w:rsidR="003A3051" w:rsidRPr="003A3051">
        <w:rPr>
          <w:szCs w:val="24"/>
        </w:rPr>
        <w:t>input into the Real-Time Balancing Market.</w:t>
      </w:r>
    </w:p>
    <w:p w14:paraId="17FAC4DA" w14:textId="77777777" w:rsidR="003A3051" w:rsidRPr="003A3051" w:rsidRDefault="003A3051" w:rsidP="003A3051">
      <w:pPr>
        <w:keepNext/>
        <w:spacing w:before="240" w:after="60" w:line="276" w:lineRule="auto"/>
        <w:jc w:val="left"/>
        <w:outlineLvl w:val="1"/>
        <w:rPr>
          <w:rFonts w:eastAsia="Calibri" w:cs="Arial"/>
          <w:b/>
          <w:bCs/>
          <w:iCs/>
          <w:szCs w:val="28"/>
        </w:rPr>
      </w:pPr>
      <w:bookmarkStart w:id="16" w:name="_Toc213771735"/>
      <w:r w:rsidRPr="003A3051">
        <w:rPr>
          <w:rFonts w:eastAsia="Calibri" w:cs="Arial"/>
          <w:b/>
          <w:bCs/>
          <w:iCs/>
          <w:szCs w:val="28"/>
        </w:rPr>
        <w:t>D – Definitions</w:t>
      </w:r>
      <w:bookmarkEnd w:id="16"/>
      <w:r w:rsidRPr="003A3051">
        <w:rPr>
          <w:rFonts w:eastAsia="Calibri" w:cs="Arial"/>
          <w:b/>
          <w:bCs/>
          <w:iCs/>
          <w:szCs w:val="28"/>
        </w:rPr>
        <w:t> </w:t>
      </w:r>
    </w:p>
    <w:p w14:paraId="0A5E9EBD" w14:textId="77777777" w:rsidR="003A3051" w:rsidRPr="003A3051" w:rsidRDefault="003A3051" w:rsidP="003A3051">
      <w:pPr>
        <w:keepNext/>
        <w:spacing w:before="120" w:line="300" w:lineRule="auto"/>
        <w:rPr>
          <w:b/>
          <w:szCs w:val="24"/>
        </w:rPr>
      </w:pPr>
      <w:r w:rsidRPr="003A3051">
        <w:rPr>
          <w:b/>
          <w:szCs w:val="24"/>
        </w:rPr>
        <w:t>Data and Information</w:t>
      </w:r>
    </w:p>
    <w:p w14:paraId="6AFC6D55" w14:textId="592FF5F2" w:rsidR="003A3051" w:rsidRPr="003A3051" w:rsidRDefault="003A3051" w:rsidP="003A3051">
      <w:pPr>
        <w:keepNext/>
        <w:spacing w:before="120" w:line="300" w:lineRule="auto"/>
        <w:rPr>
          <w:szCs w:val="24"/>
        </w:rPr>
      </w:pPr>
      <w:r w:rsidRPr="003A3051">
        <w:rPr>
          <w:b/>
          <w:szCs w:val="24"/>
        </w:rPr>
        <w:tab/>
      </w:r>
      <w:r w:rsidRPr="003A3051">
        <w:rPr>
          <w:szCs w:val="24"/>
        </w:rPr>
        <w:t>As defined in the Markets+ Tariff</w:t>
      </w:r>
      <w:r w:rsidR="001657E7">
        <w:rPr>
          <w:szCs w:val="24"/>
        </w:rPr>
        <w:t>, Attachment C</w:t>
      </w:r>
      <w:r w:rsidRPr="003A3051">
        <w:rPr>
          <w:szCs w:val="24"/>
        </w:rPr>
        <w:t xml:space="preserve">. </w:t>
      </w:r>
    </w:p>
    <w:p w14:paraId="70FB4A51" w14:textId="77777777" w:rsidR="003A3051" w:rsidRPr="003A3051" w:rsidRDefault="003A3051" w:rsidP="003A3051">
      <w:pPr>
        <w:keepNext/>
        <w:spacing w:before="120" w:line="300" w:lineRule="auto"/>
        <w:rPr>
          <w:b/>
          <w:szCs w:val="24"/>
        </w:rPr>
      </w:pPr>
      <w:r w:rsidRPr="003A3051">
        <w:rPr>
          <w:b/>
          <w:szCs w:val="24"/>
        </w:rPr>
        <w:t xml:space="preserve">Data Error </w:t>
      </w:r>
    </w:p>
    <w:p w14:paraId="735EE9C1" w14:textId="77777777" w:rsidR="003A3051" w:rsidRPr="003A3051" w:rsidRDefault="003A3051" w:rsidP="003A3051">
      <w:pPr>
        <w:keepNext/>
        <w:spacing w:before="120" w:line="300" w:lineRule="auto"/>
        <w:rPr>
          <w:szCs w:val="24"/>
        </w:rPr>
      </w:pPr>
      <w:r w:rsidRPr="003A3051">
        <w:rPr>
          <w:b/>
          <w:szCs w:val="24"/>
        </w:rPr>
        <w:tab/>
      </w:r>
      <w:r w:rsidRPr="003A3051">
        <w:rPr>
          <w:szCs w:val="24"/>
        </w:rPr>
        <w:t xml:space="preserve">As defined in the Markets+ Tariff. </w:t>
      </w:r>
    </w:p>
    <w:p w14:paraId="1B3A7359" w14:textId="77777777" w:rsidR="003A3051" w:rsidRPr="003A3051" w:rsidRDefault="003A3051" w:rsidP="003A3051">
      <w:pPr>
        <w:keepNext/>
        <w:spacing w:before="120" w:line="300" w:lineRule="auto"/>
        <w:rPr>
          <w:b/>
          <w:szCs w:val="24"/>
        </w:rPr>
      </w:pPr>
      <w:r w:rsidRPr="003A3051">
        <w:rPr>
          <w:b/>
          <w:szCs w:val="24"/>
        </w:rPr>
        <w:t xml:space="preserve">Day-Ahead </w:t>
      </w:r>
    </w:p>
    <w:p w14:paraId="2C67D5E8" w14:textId="77777777" w:rsidR="003A3051" w:rsidRPr="003A3051" w:rsidRDefault="003A3051" w:rsidP="003A3051">
      <w:pPr>
        <w:keepNext/>
        <w:spacing w:after="0" w:line="300" w:lineRule="auto"/>
        <w:ind w:left="720"/>
        <w:rPr>
          <w:szCs w:val="24"/>
        </w:rPr>
      </w:pPr>
      <w:r w:rsidRPr="003A3051">
        <w:rPr>
          <w:szCs w:val="24"/>
        </w:rPr>
        <w:t xml:space="preserve">As defined in the Markets+ Tariff. </w:t>
      </w:r>
    </w:p>
    <w:p w14:paraId="2685DE14" w14:textId="77777777" w:rsidR="003A3051" w:rsidRPr="003A3051" w:rsidRDefault="003A3051" w:rsidP="003A3051">
      <w:pPr>
        <w:keepNext/>
        <w:spacing w:before="120" w:line="300" w:lineRule="auto"/>
        <w:rPr>
          <w:b/>
          <w:szCs w:val="24"/>
        </w:rPr>
      </w:pPr>
      <w:r w:rsidRPr="003A3051">
        <w:rPr>
          <w:b/>
          <w:szCs w:val="24"/>
        </w:rPr>
        <w:t>Day-Ahead Market</w:t>
      </w:r>
    </w:p>
    <w:p w14:paraId="78A572F7" w14:textId="77777777" w:rsidR="003A3051" w:rsidRPr="003A3051" w:rsidRDefault="003A3051" w:rsidP="003A3051">
      <w:pPr>
        <w:keepNext/>
        <w:spacing w:after="0" w:line="300" w:lineRule="auto"/>
        <w:ind w:left="720" w:hanging="720"/>
        <w:rPr>
          <w:szCs w:val="24"/>
        </w:rPr>
      </w:pPr>
      <w:r w:rsidRPr="003A3051">
        <w:rPr>
          <w:b/>
          <w:bCs/>
          <w:szCs w:val="24"/>
        </w:rPr>
        <w:tab/>
      </w:r>
      <w:r w:rsidRPr="003A3051">
        <w:rPr>
          <w:szCs w:val="24"/>
        </w:rPr>
        <w:t xml:space="preserve">As defined in the Markets+ Tariff. </w:t>
      </w:r>
    </w:p>
    <w:p w14:paraId="7E38556E" w14:textId="77777777" w:rsidR="003A3051" w:rsidRPr="003A3051" w:rsidRDefault="003A3051" w:rsidP="003A3051">
      <w:pPr>
        <w:spacing w:line="300" w:lineRule="auto"/>
        <w:rPr>
          <w:b/>
        </w:rPr>
      </w:pPr>
      <w:r w:rsidRPr="003A3051">
        <w:rPr>
          <w:b/>
        </w:rPr>
        <w:t>Day-Ahead Market Commitment Period</w:t>
      </w:r>
    </w:p>
    <w:p w14:paraId="523245C9" w14:textId="77777777" w:rsidR="003A3051" w:rsidRPr="003A3051" w:rsidRDefault="003A3051" w:rsidP="003A3051">
      <w:pPr>
        <w:spacing w:after="0" w:line="300" w:lineRule="auto"/>
        <w:ind w:left="720"/>
        <w:rPr>
          <w:bCs/>
          <w:szCs w:val="24"/>
        </w:rPr>
      </w:pPr>
      <w:r w:rsidRPr="003A3051">
        <w:rPr>
          <w:bCs/>
          <w:szCs w:val="24"/>
        </w:rPr>
        <w:t xml:space="preserve">As defined in the Markets+ Tariff. </w:t>
      </w:r>
    </w:p>
    <w:p w14:paraId="6DAC0E5A" w14:textId="77777777" w:rsidR="003A3051" w:rsidRPr="003A3051" w:rsidRDefault="003A3051" w:rsidP="003A3051">
      <w:pPr>
        <w:spacing w:before="120" w:line="300" w:lineRule="auto"/>
        <w:rPr>
          <w:b/>
          <w:szCs w:val="24"/>
        </w:rPr>
      </w:pPr>
      <w:r w:rsidRPr="003A3051">
        <w:rPr>
          <w:b/>
          <w:szCs w:val="24"/>
        </w:rPr>
        <w:t xml:space="preserve"> Day-Ahead Reliability Unit Commitment (Day-Ahead RUC)</w:t>
      </w:r>
    </w:p>
    <w:p w14:paraId="7CAF86D5" w14:textId="3A4FF5D1" w:rsidR="003A3051" w:rsidRPr="003A3051" w:rsidRDefault="003A3051" w:rsidP="003A3051">
      <w:pPr>
        <w:spacing w:before="120" w:line="300" w:lineRule="auto"/>
        <w:ind w:left="720"/>
        <w:rPr>
          <w:szCs w:val="24"/>
        </w:rPr>
      </w:pPr>
      <w:r w:rsidRPr="003A3051">
        <w:rPr>
          <w:szCs w:val="24"/>
        </w:rPr>
        <w:t xml:space="preserve">The process performed by </w:t>
      </w:r>
      <w:r w:rsidR="00D3628F">
        <w:rPr>
          <w:szCs w:val="24"/>
        </w:rPr>
        <w:t>the Market Operator</w:t>
      </w:r>
      <w:r w:rsidRPr="003A3051">
        <w:rPr>
          <w:szCs w:val="24"/>
        </w:rPr>
        <w:t xml:space="preserve"> following the close of the D</w:t>
      </w:r>
      <w:r w:rsidR="00966B55">
        <w:rPr>
          <w:szCs w:val="24"/>
        </w:rPr>
        <w:t>ay-</w:t>
      </w:r>
      <w:r w:rsidRPr="003A3051">
        <w:rPr>
          <w:szCs w:val="24"/>
        </w:rPr>
        <w:t>A</w:t>
      </w:r>
      <w:r w:rsidR="00966B55">
        <w:rPr>
          <w:szCs w:val="24"/>
        </w:rPr>
        <w:t>head</w:t>
      </w:r>
      <w:r w:rsidRPr="003A3051">
        <w:rPr>
          <w:szCs w:val="24"/>
        </w:rPr>
        <w:t xml:space="preserve"> Market and prior to the Operating day to assess Resource and Flexibility Reserve Product adequacy for the Day-Ahead period and the remainder of the current Operating Day, commit </w:t>
      </w:r>
      <w:r w:rsidRPr="003A3051" w:rsidDel="0046151A">
        <w:rPr>
          <w:szCs w:val="24"/>
        </w:rPr>
        <w:t>and/or</w:t>
      </w:r>
      <w:r w:rsidRPr="003A3051">
        <w:rPr>
          <w:szCs w:val="24"/>
        </w:rPr>
        <w:t xml:space="preserve"> de-commit Resources as necessary, and communicate commitment or de-commitment of Resources to the appropriate Market Participants as necessary.</w:t>
      </w:r>
    </w:p>
    <w:p w14:paraId="74D48832" w14:textId="77777777" w:rsidR="003A3051" w:rsidRPr="003A3051" w:rsidRDefault="003A3051" w:rsidP="003A3051">
      <w:pPr>
        <w:spacing w:before="120" w:line="300" w:lineRule="auto"/>
        <w:jc w:val="left"/>
        <w:rPr>
          <w:b/>
          <w:szCs w:val="24"/>
        </w:rPr>
      </w:pPr>
      <w:r w:rsidRPr="003A3051">
        <w:rPr>
          <w:b/>
          <w:szCs w:val="24"/>
        </w:rPr>
        <w:t>Demand Bid</w:t>
      </w:r>
    </w:p>
    <w:p w14:paraId="1879D8E2"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15820D2D" w14:textId="77777777" w:rsidR="003A3051" w:rsidRPr="003A3051" w:rsidRDefault="003A3051" w:rsidP="003A3051">
      <w:pPr>
        <w:spacing w:before="120" w:line="300" w:lineRule="auto"/>
        <w:jc w:val="left"/>
        <w:rPr>
          <w:b/>
          <w:szCs w:val="24"/>
        </w:rPr>
      </w:pPr>
      <w:r w:rsidRPr="003A3051">
        <w:rPr>
          <w:b/>
          <w:szCs w:val="24"/>
        </w:rPr>
        <w:t>Demand Bid Curve</w:t>
      </w:r>
    </w:p>
    <w:p w14:paraId="39403E3B" w14:textId="77777777" w:rsidR="003A3051" w:rsidRPr="003A3051" w:rsidRDefault="003A3051" w:rsidP="003A3051">
      <w:pPr>
        <w:spacing w:after="0" w:line="300" w:lineRule="auto"/>
        <w:ind w:left="720"/>
        <w:rPr>
          <w:szCs w:val="24"/>
        </w:rPr>
      </w:pPr>
      <w:r w:rsidRPr="003A3051">
        <w:rPr>
          <w:szCs w:val="24"/>
        </w:rPr>
        <w:t>As defined in the Markets+ Tariff.</w:t>
      </w:r>
    </w:p>
    <w:bookmarkEnd w:id="11"/>
    <w:bookmarkEnd w:id="12"/>
    <w:p w14:paraId="70A030D3" w14:textId="77777777" w:rsidR="003A3051" w:rsidRPr="003A3051" w:rsidRDefault="003A3051" w:rsidP="003A3051">
      <w:pPr>
        <w:spacing w:before="120" w:line="300" w:lineRule="auto"/>
        <w:jc w:val="left"/>
        <w:rPr>
          <w:b/>
          <w:szCs w:val="24"/>
        </w:rPr>
      </w:pPr>
      <w:r w:rsidRPr="003A3051">
        <w:rPr>
          <w:b/>
          <w:szCs w:val="24"/>
        </w:rPr>
        <w:t>Demand Curve</w:t>
      </w:r>
    </w:p>
    <w:p w14:paraId="4C7E1539" w14:textId="77777777" w:rsidR="003A3051" w:rsidRPr="003A3051" w:rsidRDefault="003A3051" w:rsidP="003A3051">
      <w:pPr>
        <w:spacing w:after="0" w:line="300" w:lineRule="auto"/>
        <w:ind w:left="720"/>
        <w:rPr>
          <w:szCs w:val="24"/>
        </w:rPr>
      </w:pPr>
      <w:r w:rsidRPr="003A3051">
        <w:rPr>
          <w:szCs w:val="24"/>
        </w:rPr>
        <w:t>As defined in the Markets+ Tariff.</w:t>
      </w:r>
    </w:p>
    <w:p w14:paraId="1C010E3E" w14:textId="77777777" w:rsidR="003A3051" w:rsidRPr="003A3051" w:rsidRDefault="003A3051" w:rsidP="003A3051">
      <w:pPr>
        <w:spacing w:before="120" w:line="300" w:lineRule="auto"/>
        <w:rPr>
          <w:b/>
          <w:szCs w:val="24"/>
        </w:rPr>
      </w:pPr>
      <w:r w:rsidRPr="003A3051">
        <w:rPr>
          <w:b/>
          <w:szCs w:val="24"/>
        </w:rPr>
        <w:t>Demand Response Load</w:t>
      </w:r>
    </w:p>
    <w:p w14:paraId="6F8C0E87" w14:textId="77777777" w:rsidR="003A3051" w:rsidRPr="003A3051" w:rsidRDefault="003A3051" w:rsidP="003A3051">
      <w:pPr>
        <w:spacing w:after="0" w:line="300" w:lineRule="auto"/>
        <w:rPr>
          <w:szCs w:val="24"/>
        </w:rPr>
      </w:pPr>
      <w:r w:rsidRPr="003A3051">
        <w:rPr>
          <w:b/>
          <w:bCs/>
          <w:szCs w:val="24"/>
        </w:rPr>
        <w:tab/>
      </w:r>
      <w:r w:rsidRPr="003A3051">
        <w:rPr>
          <w:bCs/>
          <w:szCs w:val="24"/>
        </w:rPr>
        <w:t>As defined in the Markets+ Tariff.</w:t>
      </w:r>
    </w:p>
    <w:p w14:paraId="6B163F1C" w14:textId="77777777" w:rsidR="003A3051" w:rsidRPr="003A3051" w:rsidRDefault="003A3051" w:rsidP="003A3051">
      <w:pPr>
        <w:keepNext/>
        <w:spacing w:before="120" w:line="300" w:lineRule="auto"/>
        <w:jc w:val="left"/>
        <w:rPr>
          <w:b/>
          <w:szCs w:val="24"/>
        </w:rPr>
      </w:pPr>
      <w:r w:rsidRPr="003A3051">
        <w:rPr>
          <w:b/>
          <w:szCs w:val="24"/>
        </w:rPr>
        <w:t>Desired Dispatch</w:t>
      </w:r>
    </w:p>
    <w:p w14:paraId="4F800EEE" w14:textId="1736E9B0" w:rsidR="003A3051" w:rsidRPr="003A3051" w:rsidRDefault="003A3051" w:rsidP="003A3051">
      <w:pPr>
        <w:spacing w:before="120" w:line="300" w:lineRule="auto"/>
        <w:ind w:left="720"/>
        <w:rPr>
          <w:szCs w:val="24"/>
        </w:rPr>
      </w:pPr>
      <w:r w:rsidRPr="003A3051">
        <w:rPr>
          <w:szCs w:val="24"/>
        </w:rPr>
        <w:t>As defined in the Markets+ Tariff.</w:t>
      </w:r>
    </w:p>
    <w:p w14:paraId="7EC9A0BE" w14:textId="77777777" w:rsidR="003A3051" w:rsidRPr="003A3051" w:rsidRDefault="003A3051" w:rsidP="003A3051">
      <w:pPr>
        <w:spacing w:before="120" w:line="360" w:lineRule="auto"/>
        <w:contextualSpacing/>
        <w:rPr>
          <w:b/>
        </w:rPr>
      </w:pPr>
      <w:r w:rsidRPr="003A3051">
        <w:rPr>
          <w:b/>
        </w:rPr>
        <w:t>Designated Network Resource (DNR)</w:t>
      </w:r>
    </w:p>
    <w:p w14:paraId="18288286" w14:textId="77777777" w:rsidR="003A3051" w:rsidRPr="003A3051" w:rsidRDefault="003A3051" w:rsidP="003A3051">
      <w:pPr>
        <w:spacing w:before="120" w:line="360" w:lineRule="auto"/>
        <w:ind w:firstLine="720"/>
        <w:contextualSpacing/>
      </w:pPr>
      <w:r w:rsidRPr="003A3051">
        <w:rPr>
          <w:szCs w:val="24"/>
        </w:rPr>
        <w:t>As defined in the Markets+ Tariff.</w:t>
      </w:r>
    </w:p>
    <w:p w14:paraId="22289C4C" w14:textId="77777777" w:rsidR="003A3051" w:rsidRPr="003A3051" w:rsidRDefault="003A3051" w:rsidP="003A3051">
      <w:pPr>
        <w:spacing w:before="120" w:line="300" w:lineRule="auto"/>
        <w:rPr>
          <w:b/>
          <w:szCs w:val="24"/>
        </w:rPr>
      </w:pPr>
      <w:r w:rsidRPr="003A3051">
        <w:rPr>
          <w:b/>
          <w:szCs w:val="24"/>
        </w:rPr>
        <w:t>Dispatch Interval</w:t>
      </w:r>
    </w:p>
    <w:p w14:paraId="0B00D43F" w14:textId="77777777" w:rsidR="003A3051" w:rsidRPr="003A3051" w:rsidRDefault="003A3051" w:rsidP="003A3051">
      <w:pPr>
        <w:spacing w:line="300" w:lineRule="auto"/>
        <w:ind w:left="720"/>
        <w:rPr>
          <w:szCs w:val="24"/>
        </w:rPr>
      </w:pPr>
      <w:r w:rsidRPr="003A3051">
        <w:rPr>
          <w:szCs w:val="24"/>
        </w:rPr>
        <w:t>As defined in the Markets+ Tariff.</w:t>
      </w:r>
    </w:p>
    <w:p w14:paraId="39DB370D" w14:textId="4FF3477C" w:rsidR="003A3051" w:rsidRPr="003A3051" w:rsidRDefault="003A3051" w:rsidP="003A3051">
      <w:pPr>
        <w:rPr>
          <w:b/>
          <w:szCs w:val="24"/>
        </w:rPr>
      </w:pPr>
      <w:r w:rsidRPr="003A3051">
        <w:rPr>
          <w:b/>
          <w:szCs w:val="24"/>
        </w:rPr>
        <w:t>Dispatch Locational Marginal Price (DLMP)</w:t>
      </w:r>
    </w:p>
    <w:p w14:paraId="29DBB01C" w14:textId="77777777" w:rsidR="003A3051" w:rsidRPr="003A3051" w:rsidRDefault="003A3051" w:rsidP="003A3051">
      <w:pPr>
        <w:ind w:left="720"/>
        <w:rPr>
          <w:szCs w:val="24"/>
        </w:rPr>
      </w:pPr>
      <w:r w:rsidRPr="003A3051">
        <w:rPr>
          <w:szCs w:val="24"/>
        </w:rPr>
        <w:t>As defined in the Markets+ Tariff.</w:t>
      </w:r>
    </w:p>
    <w:p w14:paraId="6BFFF976" w14:textId="77777777" w:rsidR="003A3051" w:rsidRPr="003A3051" w:rsidRDefault="003A3051" w:rsidP="003A3051">
      <w:pPr>
        <w:spacing w:before="120" w:line="300" w:lineRule="auto"/>
        <w:rPr>
          <w:b/>
          <w:szCs w:val="24"/>
        </w:rPr>
      </w:pPr>
      <w:r w:rsidRPr="003A3051">
        <w:rPr>
          <w:b/>
          <w:szCs w:val="24"/>
        </w:rPr>
        <w:t>Dispatch Status</w:t>
      </w:r>
    </w:p>
    <w:p w14:paraId="49C2FD34" w14:textId="5AEF3997" w:rsidR="004E1E03" w:rsidRDefault="003A3051" w:rsidP="00E15CB5">
      <w:pPr>
        <w:spacing w:before="120" w:line="300" w:lineRule="auto"/>
        <w:ind w:left="720"/>
        <w:rPr>
          <w:b/>
          <w:szCs w:val="24"/>
        </w:rPr>
      </w:pPr>
      <w:r w:rsidRPr="003A3051">
        <w:rPr>
          <w:szCs w:val="24"/>
        </w:rPr>
        <w:t>A parameter submitted as part of a Resource Offer that specifies the option under which the Resource is to be dispatched once the Resource has been committed and becomes a Synchronized Resource.</w:t>
      </w:r>
    </w:p>
    <w:p w14:paraId="0EC291F3" w14:textId="6D1E983B" w:rsidR="003A3051" w:rsidRPr="003A3051" w:rsidRDefault="003A3051" w:rsidP="003A3051">
      <w:pPr>
        <w:spacing w:before="120" w:line="300" w:lineRule="auto"/>
        <w:rPr>
          <w:b/>
          <w:szCs w:val="24"/>
        </w:rPr>
      </w:pPr>
      <w:r w:rsidRPr="003A3051">
        <w:rPr>
          <w:b/>
          <w:szCs w:val="24"/>
        </w:rPr>
        <w:t xml:space="preserve">Dispatch Target </w:t>
      </w:r>
    </w:p>
    <w:p w14:paraId="5965D8C3" w14:textId="77777777" w:rsidR="003A3051" w:rsidRPr="003A3051" w:rsidRDefault="003A3051" w:rsidP="003A3051">
      <w:pPr>
        <w:spacing w:after="0" w:line="300" w:lineRule="auto"/>
        <w:ind w:left="720"/>
        <w:rPr>
          <w:szCs w:val="24"/>
        </w:rPr>
      </w:pPr>
      <w:r w:rsidRPr="003A3051">
        <w:rPr>
          <w:szCs w:val="24"/>
        </w:rPr>
        <w:t>As defined in the Markets+ Tariff.</w:t>
      </w:r>
    </w:p>
    <w:p w14:paraId="4C0704B8" w14:textId="7E511792" w:rsidR="004E1E03" w:rsidRPr="003A3051" w:rsidRDefault="004E1E03" w:rsidP="004E1E03">
      <w:pPr>
        <w:spacing w:before="120" w:line="300" w:lineRule="auto"/>
        <w:rPr>
          <w:b/>
          <w:szCs w:val="24"/>
        </w:rPr>
      </w:pPr>
      <w:r w:rsidRPr="003A3051">
        <w:rPr>
          <w:b/>
          <w:szCs w:val="24"/>
        </w:rPr>
        <w:t>Dispatchable Demand Response Resource</w:t>
      </w:r>
      <w:r w:rsidR="00145A16">
        <w:rPr>
          <w:b/>
          <w:szCs w:val="24"/>
        </w:rPr>
        <w:t xml:space="preserve"> (DDRR)</w:t>
      </w:r>
    </w:p>
    <w:p w14:paraId="444CF43D" w14:textId="77777777" w:rsidR="004E1E03" w:rsidRPr="003A3051" w:rsidRDefault="004E1E03" w:rsidP="004E1E03">
      <w:pPr>
        <w:spacing w:after="0" w:line="300" w:lineRule="auto"/>
        <w:ind w:left="720" w:hanging="720"/>
        <w:rPr>
          <w:szCs w:val="24"/>
        </w:rPr>
      </w:pPr>
      <w:r w:rsidRPr="003A3051">
        <w:rPr>
          <w:b/>
          <w:bCs/>
          <w:szCs w:val="24"/>
        </w:rPr>
        <w:tab/>
      </w:r>
      <w:r w:rsidRPr="003A3051">
        <w:rPr>
          <w:szCs w:val="24"/>
        </w:rPr>
        <w:t xml:space="preserve">As defined in the Markets+ Tariff. </w:t>
      </w:r>
    </w:p>
    <w:p w14:paraId="3339A79A" w14:textId="77777777" w:rsidR="003A3051" w:rsidRPr="003A3051" w:rsidRDefault="003A3051" w:rsidP="003A3051">
      <w:pPr>
        <w:spacing w:before="120" w:line="300" w:lineRule="auto"/>
        <w:jc w:val="left"/>
        <w:rPr>
          <w:b/>
          <w:szCs w:val="24"/>
        </w:rPr>
      </w:pPr>
      <w:r w:rsidRPr="003A3051">
        <w:rPr>
          <w:b/>
          <w:szCs w:val="24"/>
        </w:rPr>
        <w:t>Dispatchable Resource</w:t>
      </w:r>
    </w:p>
    <w:p w14:paraId="45DF94F7" w14:textId="77777777" w:rsidR="003A3051" w:rsidRPr="003A3051" w:rsidRDefault="003A3051" w:rsidP="003A3051">
      <w:pPr>
        <w:spacing w:after="0" w:line="300" w:lineRule="auto"/>
        <w:ind w:left="720"/>
        <w:rPr>
          <w:szCs w:val="24"/>
        </w:rPr>
      </w:pPr>
      <w:r w:rsidRPr="003A3051">
        <w:rPr>
          <w:szCs w:val="24"/>
        </w:rPr>
        <w:t>As defined in the Markets+ Tariff.</w:t>
      </w:r>
    </w:p>
    <w:p w14:paraId="2D628F4A" w14:textId="77777777" w:rsidR="003A3051" w:rsidRPr="003A3051" w:rsidRDefault="003A3051" w:rsidP="003A3051">
      <w:pPr>
        <w:spacing w:before="120" w:line="300" w:lineRule="auto"/>
        <w:jc w:val="left"/>
        <w:rPr>
          <w:b/>
          <w:szCs w:val="24"/>
        </w:rPr>
      </w:pPr>
      <w:r w:rsidRPr="003A3051">
        <w:rPr>
          <w:b/>
          <w:szCs w:val="24"/>
        </w:rPr>
        <w:t>Dispatchable Variable Energy Resource</w:t>
      </w:r>
    </w:p>
    <w:p w14:paraId="391FCF44" w14:textId="77777777" w:rsidR="003A3051" w:rsidRPr="003A3051" w:rsidRDefault="003A3051" w:rsidP="003A3051">
      <w:pPr>
        <w:spacing w:before="120" w:line="300" w:lineRule="auto"/>
        <w:ind w:left="720"/>
        <w:rPr>
          <w:szCs w:val="24"/>
        </w:rPr>
      </w:pPr>
      <w:r w:rsidRPr="003A3051">
        <w:rPr>
          <w:szCs w:val="24"/>
        </w:rPr>
        <w:t>As defined in the Markets+ Tariff.</w:t>
      </w:r>
    </w:p>
    <w:p w14:paraId="66CF7857" w14:textId="797E2736" w:rsidR="00D008D8" w:rsidRPr="00D008D8" w:rsidRDefault="00D008D8" w:rsidP="00D008D8">
      <w:pPr>
        <w:spacing w:line="300" w:lineRule="auto"/>
        <w:rPr>
          <w:szCs w:val="24"/>
          <w14:ligatures w14:val="standardContextual"/>
        </w:rPr>
      </w:pPr>
      <w:r w:rsidRPr="00D008D8">
        <w:rPr>
          <w:b/>
          <w:bCs/>
          <w:szCs w:val="24"/>
          <w14:ligatures w14:val="standardContextual"/>
        </w:rPr>
        <w:t>Dynamic</w:t>
      </w:r>
    </w:p>
    <w:p w14:paraId="404880C4" w14:textId="37E5A0FB" w:rsidR="00D008D8" w:rsidRPr="00D008D8" w:rsidRDefault="00D008D8" w:rsidP="00D008D8">
      <w:pPr>
        <w:spacing w:line="300" w:lineRule="auto"/>
        <w:rPr>
          <w:caps/>
          <w:szCs w:val="24"/>
          <w14:ligatures w14:val="standardContextual"/>
        </w:rPr>
      </w:pPr>
      <w:r w:rsidRPr="00D008D8">
        <w:rPr>
          <w:rFonts w:eastAsia="Calibri"/>
          <w:szCs w:val="24"/>
          <w14:ligatures w14:val="standardContextual"/>
        </w:rPr>
        <w:tab/>
        <w:t>An e-Tag Transaction Type data attribute as defined by NAESB</w:t>
      </w:r>
      <w:r w:rsidR="006D5110">
        <w:rPr>
          <w:rFonts w:eastAsia="Calibri"/>
          <w:szCs w:val="24"/>
          <w14:ligatures w14:val="standardContextual"/>
        </w:rPr>
        <w:t>.</w:t>
      </w:r>
      <w:r w:rsidRPr="00D008D8">
        <w:rPr>
          <w:rFonts w:eastAsia="Calibri"/>
          <w:szCs w:val="24"/>
          <w14:ligatures w14:val="standardContextual"/>
        </w:rPr>
        <w:t xml:space="preserve">  </w:t>
      </w:r>
    </w:p>
    <w:p w14:paraId="145F4530" w14:textId="1C04B26F" w:rsidR="003A3051" w:rsidRPr="003A3051" w:rsidRDefault="003A3051" w:rsidP="006B4200">
      <w:pPr>
        <w:keepNext/>
        <w:tabs>
          <w:tab w:val="left" w:pos="7596"/>
        </w:tabs>
        <w:spacing w:before="240" w:after="60" w:line="276" w:lineRule="auto"/>
        <w:jc w:val="left"/>
        <w:outlineLvl w:val="1"/>
        <w:rPr>
          <w:rFonts w:eastAsia="Calibri" w:cs="Arial"/>
          <w:b/>
        </w:rPr>
      </w:pPr>
      <w:bookmarkStart w:id="17" w:name="_Toc213771736"/>
      <w:r w:rsidRPr="6735EAAA">
        <w:rPr>
          <w:rFonts w:eastAsia="Calibri" w:cs="Arial"/>
          <w:b/>
        </w:rPr>
        <w:t>E– Definitions</w:t>
      </w:r>
      <w:bookmarkEnd w:id="17"/>
      <w:r w:rsidRPr="6735EAAA">
        <w:rPr>
          <w:rFonts w:eastAsia="Calibri" w:cs="Arial"/>
          <w:b/>
        </w:rPr>
        <w:t> </w:t>
      </w:r>
      <w:r w:rsidR="006B4200">
        <w:rPr>
          <w:rFonts w:eastAsia="Calibri" w:cs="Arial"/>
          <w:b/>
          <w:bCs/>
          <w:iCs/>
          <w:szCs w:val="28"/>
        </w:rPr>
        <w:tab/>
      </w:r>
    </w:p>
    <w:p w14:paraId="25EE01FB" w14:textId="77777777" w:rsidR="003A3051" w:rsidRPr="003A3051" w:rsidRDefault="003A3051" w:rsidP="003A3051">
      <w:pPr>
        <w:spacing w:before="120" w:line="300" w:lineRule="auto"/>
        <w:rPr>
          <w:b/>
          <w:szCs w:val="24"/>
        </w:rPr>
      </w:pPr>
      <w:r w:rsidRPr="003A3051">
        <w:rPr>
          <w:b/>
          <w:szCs w:val="24"/>
        </w:rPr>
        <w:t>Electric Storage Resource (ESR)</w:t>
      </w:r>
    </w:p>
    <w:p w14:paraId="36CEAEDC" w14:textId="77777777" w:rsidR="003A3051" w:rsidRPr="003A3051" w:rsidRDefault="003A3051" w:rsidP="003A3051">
      <w:pPr>
        <w:spacing w:before="120" w:line="300" w:lineRule="auto"/>
        <w:rPr>
          <w:szCs w:val="24"/>
        </w:rPr>
      </w:pPr>
      <w:r w:rsidRPr="003A3051">
        <w:rPr>
          <w:b/>
          <w:szCs w:val="24"/>
        </w:rPr>
        <w:tab/>
      </w:r>
      <w:r w:rsidRPr="003A3051">
        <w:rPr>
          <w:szCs w:val="24"/>
        </w:rPr>
        <w:t>As defined in the Markets+ Tariff.</w:t>
      </w:r>
    </w:p>
    <w:p w14:paraId="3216FC00" w14:textId="743A8438" w:rsidR="003A3051" w:rsidRPr="003A3051" w:rsidRDefault="003A3051" w:rsidP="003A3051">
      <w:pPr>
        <w:spacing w:before="120" w:line="300" w:lineRule="auto"/>
        <w:rPr>
          <w:b/>
          <w:szCs w:val="24"/>
        </w:rPr>
      </w:pPr>
      <w:r w:rsidRPr="003A3051">
        <w:rPr>
          <w:b/>
          <w:szCs w:val="24"/>
        </w:rPr>
        <w:t>Electric Storage Resource Loss Factor</w:t>
      </w:r>
    </w:p>
    <w:p w14:paraId="36CE49D1" w14:textId="67882B06" w:rsidR="003A3051" w:rsidRPr="003A3051" w:rsidRDefault="003A3051" w:rsidP="003A3051">
      <w:pPr>
        <w:spacing w:before="120" w:line="300" w:lineRule="auto"/>
        <w:rPr>
          <w:szCs w:val="24"/>
        </w:rPr>
      </w:pPr>
      <w:r w:rsidRPr="003A3051">
        <w:rPr>
          <w:b/>
          <w:szCs w:val="24"/>
        </w:rPr>
        <w:tab/>
      </w:r>
      <w:r w:rsidRPr="003A3051">
        <w:rPr>
          <w:szCs w:val="24"/>
        </w:rPr>
        <w:t>As defined in the Markets+ Tariff.</w:t>
      </w:r>
    </w:p>
    <w:p w14:paraId="22F2AB26" w14:textId="77B34A62" w:rsidR="003A3051" w:rsidRPr="003A3051" w:rsidRDefault="003A3051" w:rsidP="003A3051">
      <w:pPr>
        <w:keepNext/>
        <w:spacing w:before="120" w:line="300" w:lineRule="auto"/>
        <w:rPr>
          <w:b/>
          <w:szCs w:val="24"/>
        </w:rPr>
      </w:pPr>
      <w:r w:rsidRPr="003A3051">
        <w:rPr>
          <w:b/>
          <w:szCs w:val="24"/>
        </w:rPr>
        <w:t>Electrical Node (</w:t>
      </w:r>
      <w:r w:rsidR="002D623C">
        <w:rPr>
          <w:b/>
          <w:szCs w:val="24"/>
        </w:rPr>
        <w:t>Enode</w:t>
      </w:r>
      <w:r w:rsidRPr="003A3051">
        <w:rPr>
          <w:b/>
          <w:szCs w:val="24"/>
        </w:rPr>
        <w:t>)</w:t>
      </w:r>
    </w:p>
    <w:p w14:paraId="529C8A93" w14:textId="77777777" w:rsidR="003A3051" w:rsidRPr="003A3051" w:rsidRDefault="003A3051" w:rsidP="003A3051">
      <w:pPr>
        <w:keepNext/>
        <w:spacing w:after="0" w:line="300" w:lineRule="auto"/>
        <w:ind w:left="720"/>
        <w:rPr>
          <w:bCs/>
          <w:szCs w:val="24"/>
        </w:rPr>
      </w:pPr>
      <w:r w:rsidRPr="003A3051">
        <w:rPr>
          <w:szCs w:val="24"/>
        </w:rPr>
        <w:t xml:space="preserve">As defined in the Markets+ Tariff. </w:t>
      </w:r>
    </w:p>
    <w:p w14:paraId="5A7D04F7" w14:textId="77777777" w:rsidR="003A3051" w:rsidRPr="003A3051" w:rsidRDefault="003A3051" w:rsidP="003A3051">
      <w:pPr>
        <w:spacing w:before="120" w:line="300" w:lineRule="auto"/>
        <w:rPr>
          <w:b/>
          <w:szCs w:val="24"/>
        </w:rPr>
      </w:pPr>
      <w:r w:rsidRPr="003A3051">
        <w:rPr>
          <w:b/>
          <w:szCs w:val="24"/>
        </w:rPr>
        <w:t>Emergency Condition</w:t>
      </w:r>
    </w:p>
    <w:p w14:paraId="09345039" w14:textId="77777777" w:rsidR="003A3051" w:rsidRPr="003A3051" w:rsidRDefault="003A3051" w:rsidP="003A3051">
      <w:pPr>
        <w:spacing w:before="120" w:line="300" w:lineRule="auto"/>
        <w:ind w:left="720"/>
        <w:rPr>
          <w:szCs w:val="24"/>
        </w:rPr>
      </w:pPr>
      <w:r w:rsidRPr="003A3051">
        <w:rPr>
          <w:szCs w:val="24"/>
        </w:rPr>
        <w:t>As defined in the Markets+ Tariff.</w:t>
      </w:r>
    </w:p>
    <w:p w14:paraId="36F6620A" w14:textId="77777777" w:rsidR="003A3051" w:rsidRPr="003A3051" w:rsidRDefault="003A3051" w:rsidP="003A3051">
      <w:pPr>
        <w:spacing w:before="120" w:line="300" w:lineRule="auto"/>
        <w:rPr>
          <w:b/>
          <w:szCs w:val="24"/>
        </w:rPr>
      </w:pPr>
      <w:r w:rsidRPr="003A3051">
        <w:rPr>
          <w:b/>
          <w:szCs w:val="24"/>
        </w:rPr>
        <w:t>Emergency Condition Commitment</w:t>
      </w:r>
    </w:p>
    <w:p w14:paraId="251BF07A" w14:textId="77777777" w:rsidR="003A3051" w:rsidRPr="003A3051" w:rsidRDefault="003A3051" w:rsidP="003A3051">
      <w:pPr>
        <w:spacing w:before="120" w:line="300" w:lineRule="auto"/>
        <w:ind w:left="720"/>
        <w:rPr>
          <w:szCs w:val="24"/>
        </w:rPr>
      </w:pPr>
      <w:r w:rsidRPr="003A3051">
        <w:rPr>
          <w:szCs w:val="24"/>
        </w:rPr>
        <w:t>As defined in the Markets+ Tariff.</w:t>
      </w:r>
    </w:p>
    <w:p w14:paraId="3BE53FCD" w14:textId="77777777" w:rsidR="003A3051" w:rsidRPr="003A3051" w:rsidRDefault="003A3051" w:rsidP="003A3051">
      <w:pPr>
        <w:spacing w:before="120" w:line="300" w:lineRule="auto"/>
        <w:rPr>
          <w:b/>
          <w:szCs w:val="24"/>
        </w:rPr>
      </w:pPr>
      <w:r w:rsidRPr="003A3051">
        <w:rPr>
          <w:b/>
          <w:szCs w:val="24"/>
        </w:rPr>
        <w:t>Energy</w:t>
      </w:r>
    </w:p>
    <w:p w14:paraId="64CD8040" w14:textId="77777777" w:rsidR="003A3051" w:rsidRPr="003A3051" w:rsidRDefault="003A3051" w:rsidP="003A3051">
      <w:pPr>
        <w:spacing w:before="120" w:line="300" w:lineRule="auto"/>
        <w:ind w:left="720"/>
        <w:rPr>
          <w:szCs w:val="24"/>
        </w:rPr>
      </w:pPr>
      <w:r w:rsidRPr="003A3051">
        <w:rPr>
          <w:szCs w:val="24"/>
        </w:rPr>
        <w:t>As defined in the Markets+ Tariff.</w:t>
      </w:r>
    </w:p>
    <w:p w14:paraId="3ABDFCDA" w14:textId="77777777" w:rsidR="003A3051" w:rsidRPr="003A3051" w:rsidRDefault="003A3051" w:rsidP="003A3051">
      <w:pPr>
        <w:spacing w:before="120" w:line="300" w:lineRule="auto"/>
        <w:rPr>
          <w:b/>
          <w:szCs w:val="24"/>
        </w:rPr>
      </w:pPr>
      <w:r w:rsidRPr="003A3051">
        <w:rPr>
          <w:b/>
          <w:szCs w:val="24"/>
        </w:rPr>
        <w:t>Energy and Flexibility Reserve Markets</w:t>
      </w:r>
    </w:p>
    <w:p w14:paraId="259A1CBA" w14:textId="77777777" w:rsidR="003A3051" w:rsidRPr="003A3051" w:rsidRDefault="003A3051" w:rsidP="003A3051">
      <w:pPr>
        <w:spacing w:line="300" w:lineRule="auto"/>
        <w:ind w:left="720"/>
        <w:rPr>
          <w:szCs w:val="24"/>
        </w:rPr>
      </w:pPr>
      <w:r w:rsidRPr="003A3051">
        <w:rPr>
          <w:szCs w:val="24"/>
        </w:rPr>
        <w:t>The Day-Ahead Market and Real-Time Balancing Market.</w:t>
      </w:r>
    </w:p>
    <w:p w14:paraId="244CC3C5" w14:textId="03669964" w:rsidR="003A3051" w:rsidRPr="003A3051" w:rsidRDefault="003A3051" w:rsidP="003A3051">
      <w:pPr>
        <w:spacing w:before="120" w:line="300" w:lineRule="auto"/>
        <w:rPr>
          <w:b/>
          <w:szCs w:val="24"/>
        </w:rPr>
      </w:pPr>
      <w:r w:rsidRPr="003A3051">
        <w:rPr>
          <w:b/>
          <w:szCs w:val="24"/>
        </w:rPr>
        <w:t>Energy Management System (EMS)</w:t>
      </w:r>
    </w:p>
    <w:p w14:paraId="2FFF18E3" w14:textId="71161E0D" w:rsidR="003A3051" w:rsidRPr="003A3051" w:rsidRDefault="003A3051" w:rsidP="003A3051">
      <w:pPr>
        <w:spacing w:before="120" w:line="300" w:lineRule="auto"/>
        <w:ind w:left="720"/>
        <w:rPr>
          <w:szCs w:val="24"/>
        </w:rPr>
      </w:pPr>
      <w:r w:rsidRPr="003A3051">
        <w:rPr>
          <w:szCs w:val="24"/>
        </w:rPr>
        <w:t xml:space="preserve">The software system used by </w:t>
      </w:r>
      <w:r w:rsidR="00D3628F">
        <w:rPr>
          <w:szCs w:val="24"/>
        </w:rPr>
        <w:t>the Market Operator</w:t>
      </w:r>
      <w:r w:rsidR="00D3628F" w:rsidRPr="003A3051">
        <w:rPr>
          <w:szCs w:val="24"/>
        </w:rPr>
        <w:t xml:space="preserve"> </w:t>
      </w:r>
      <w:r w:rsidRPr="003A3051">
        <w:rPr>
          <w:szCs w:val="24"/>
        </w:rPr>
        <w:t>for the real-time acquisition of operating data and operations.</w:t>
      </w:r>
    </w:p>
    <w:p w14:paraId="5A959701" w14:textId="15D032E5" w:rsidR="00610648" w:rsidRDefault="00610648" w:rsidP="00280D61">
      <w:pPr>
        <w:spacing w:after="160" w:line="259" w:lineRule="auto"/>
        <w:rPr>
          <w:rFonts w:eastAsia="Calibri"/>
          <w:b/>
          <w:szCs w:val="24"/>
        </w:rPr>
      </w:pPr>
      <w:r>
        <w:rPr>
          <w:rFonts w:eastAsia="Calibri"/>
          <w:b/>
          <w:szCs w:val="24"/>
        </w:rPr>
        <w:t>Energy Schedule</w:t>
      </w:r>
    </w:p>
    <w:p w14:paraId="09A70C29" w14:textId="2034EEDB" w:rsidR="00610648" w:rsidRDefault="00610648" w:rsidP="00610648">
      <w:pPr>
        <w:spacing w:before="120" w:line="300" w:lineRule="auto"/>
        <w:rPr>
          <w:rFonts w:eastAsia="Calibri"/>
          <w:b/>
          <w:szCs w:val="24"/>
        </w:rPr>
      </w:pPr>
      <w:r>
        <w:rPr>
          <w:kern w:val="2"/>
          <w:szCs w:val="24"/>
          <w14:ligatures w14:val="standardContextual"/>
        </w:rPr>
        <w:t>T</w:t>
      </w:r>
      <w:r w:rsidRPr="00610648">
        <w:rPr>
          <w:kern w:val="2"/>
          <w:szCs w:val="24"/>
          <w14:ligatures w14:val="standardContextual"/>
        </w:rPr>
        <w:t>he official record of a planned Energy transaction between different parties, documented through an electronic tag, or "e-Tag</w:t>
      </w:r>
      <w:r w:rsidR="00F076B4">
        <w:rPr>
          <w:kern w:val="2"/>
          <w:szCs w:val="24"/>
          <w14:ligatures w14:val="standardContextual"/>
        </w:rPr>
        <w:t>”.</w:t>
      </w:r>
    </w:p>
    <w:p w14:paraId="37331B44" w14:textId="77777777" w:rsidR="00280D61" w:rsidRPr="00280D61" w:rsidRDefault="00280D61" w:rsidP="00280D61">
      <w:pPr>
        <w:spacing w:after="160" w:line="259" w:lineRule="auto"/>
        <w:rPr>
          <w:rFonts w:eastAsia="Calibri"/>
          <w:b/>
          <w:szCs w:val="24"/>
        </w:rPr>
      </w:pPr>
      <w:r w:rsidRPr="00280D61">
        <w:rPr>
          <w:rFonts w:eastAsia="Calibri"/>
          <w:b/>
          <w:szCs w:val="24"/>
        </w:rPr>
        <w:t>Excess Energy</w:t>
      </w:r>
    </w:p>
    <w:p w14:paraId="3EA9CBE8" w14:textId="77777777" w:rsidR="00280D61" w:rsidRPr="00280D61" w:rsidRDefault="00280D61" w:rsidP="001453E8">
      <w:pPr>
        <w:spacing w:after="160" w:line="300" w:lineRule="auto"/>
        <w:ind w:left="720"/>
        <w:rPr>
          <w:rFonts w:eastAsia="Calibri"/>
          <w:szCs w:val="24"/>
        </w:rPr>
      </w:pPr>
      <w:r w:rsidRPr="00280D61">
        <w:rPr>
          <w:rFonts w:eastAsia="Calibri"/>
          <w:szCs w:val="24"/>
        </w:rPr>
        <w:t>Energy from Resources in a Load Responsible Entity’s Resource Portfolio that exceeds the Load Responsible Entity’s load within Markets+ in each hourly interval.</w:t>
      </w:r>
    </w:p>
    <w:p w14:paraId="686A7868" w14:textId="77777777" w:rsidR="003A3051" w:rsidRPr="003A3051" w:rsidRDefault="003A3051" w:rsidP="003A3051">
      <w:pPr>
        <w:spacing w:before="120" w:line="300" w:lineRule="auto"/>
        <w:rPr>
          <w:b/>
          <w:szCs w:val="24"/>
        </w:rPr>
      </w:pPr>
      <w:r w:rsidRPr="003A3051">
        <w:rPr>
          <w:b/>
          <w:szCs w:val="24"/>
        </w:rPr>
        <w:t>Energy Offer Curve</w:t>
      </w:r>
    </w:p>
    <w:p w14:paraId="579A139C" w14:textId="77777777" w:rsidR="003A3051" w:rsidRPr="003A3051" w:rsidRDefault="003A3051" w:rsidP="003A3051">
      <w:pPr>
        <w:spacing w:after="0" w:line="300" w:lineRule="auto"/>
        <w:ind w:left="720"/>
        <w:rPr>
          <w:szCs w:val="24"/>
        </w:rPr>
      </w:pPr>
      <w:r w:rsidRPr="003A3051">
        <w:rPr>
          <w:szCs w:val="24"/>
        </w:rPr>
        <w:t>As defined in the Markets+ Tariff.</w:t>
      </w:r>
    </w:p>
    <w:p w14:paraId="2DE2BA26" w14:textId="77777777" w:rsidR="003A3051" w:rsidRPr="003A3051" w:rsidRDefault="003A3051" w:rsidP="003A3051">
      <w:pPr>
        <w:spacing w:before="120" w:line="300" w:lineRule="auto"/>
        <w:rPr>
          <w:b/>
          <w:szCs w:val="24"/>
        </w:rPr>
      </w:pPr>
      <w:r w:rsidRPr="003A3051">
        <w:rPr>
          <w:b/>
          <w:szCs w:val="24"/>
        </w:rPr>
        <w:t xml:space="preserve">Export Interchange Transaction </w:t>
      </w:r>
    </w:p>
    <w:p w14:paraId="6E0C1B8B" w14:textId="77777777" w:rsidR="003A3051" w:rsidRPr="003A3051" w:rsidRDefault="003A3051" w:rsidP="003A3051">
      <w:pPr>
        <w:spacing w:after="0" w:line="300" w:lineRule="auto"/>
        <w:ind w:left="720"/>
        <w:rPr>
          <w:szCs w:val="24"/>
        </w:rPr>
      </w:pPr>
      <w:r w:rsidRPr="003A3051">
        <w:rPr>
          <w:szCs w:val="24"/>
        </w:rPr>
        <w:t>As defined in the Markets+ Tariff.</w:t>
      </w:r>
    </w:p>
    <w:p w14:paraId="6189983C" w14:textId="20EB87E0" w:rsidR="003A3051" w:rsidRPr="003A3051" w:rsidRDefault="003A3051" w:rsidP="003A3051">
      <w:pPr>
        <w:spacing w:before="120" w:line="300" w:lineRule="auto"/>
        <w:rPr>
          <w:b/>
          <w:szCs w:val="24"/>
        </w:rPr>
      </w:pPr>
      <w:r w:rsidRPr="003A3051">
        <w:rPr>
          <w:b/>
          <w:szCs w:val="24"/>
        </w:rPr>
        <w:t>Export Interchange Transaction Bid</w:t>
      </w:r>
      <w:r w:rsidR="00FA57BC">
        <w:rPr>
          <w:b/>
          <w:szCs w:val="24"/>
        </w:rPr>
        <w:t>s</w:t>
      </w:r>
    </w:p>
    <w:p w14:paraId="76A20FA2"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423EB1E3" w14:textId="77777777" w:rsidR="003A3051" w:rsidRPr="003A3051" w:rsidRDefault="003A3051" w:rsidP="003A3051">
      <w:pPr>
        <w:spacing w:before="120" w:line="300" w:lineRule="auto"/>
        <w:rPr>
          <w:b/>
          <w:bCs/>
          <w:iCs/>
        </w:rPr>
      </w:pPr>
      <w:r w:rsidRPr="003A3051">
        <w:rPr>
          <w:b/>
          <w:bCs/>
          <w:iCs/>
        </w:rPr>
        <w:t>External Interface</w:t>
      </w:r>
    </w:p>
    <w:p w14:paraId="7A3B2B00" w14:textId="77777777" w:rsidR="003A3051" w:rsidRPr="003A3051" w:rsidRDefault="003A3051" w:rsidP="003A3051">
      <w:pPr>
        <w:spacing w:after="0" w:line="300" w:lineRule="auto"/>
        <w:ind w:left="720"/>
        <w:rPr>
          <w:bCs/>
          <w:iCs/>
        </w:rPr>
      </w:pPr>
      <w:r w:rsidRPr="003A3051">
        <w:rPr>
          <w:bCs/>
          <w:iCs/>
        </w:rPr>
        <w:t>As defined in the Markets+ Tariff.</w:t>
      </w:r>
    </w:p>
    <w:p w14:paraId="4AEDA186" w14:textId="77777777" w:rsidR="003A3051" w:rsidRPr="003A3051" w:rsidRDefault="003A3051" w:rsidP="003A3051">
      <w:pPr>
        <w:spacing w:before="120" w:line="360" w:lineRule="auto"/>
        <w:rPr>
          <w:rFonts w:ascii="Aptos" w:eastAsia="Aptos" w:hAnsi="Aptos" w:cs="Arial"/>
          <w:b/>
          <w:kern w:val="2"/>
          <w:szCs w:val="24"/>
          <w14:ligatures w14:val="standardContextual"/>
        </w:rPr>
      </w:pPr>
      <w:r w:rsidRPr="003A3051">
        <w:rPr>
          <w:b/>
          <w:szCs w:val="24"/>
        </w:rPr>
        <w:t>External Resource</w:t>
      </w:r>
    </w:p>
    <w:p w14:paraId="195A7BB5" w14:textId="77777777" w:rsidR="003A3051" w:rsidRPr="003A3051" w:rsidRDefault="003A3051" w:rsidP="003A3051">
      <w:pPr>
        <w:spacing w:before="120" w:line="360" w:lineRule="auto"/>
        <w:ind w:firstLine="720"/>
        <w:rPr>
          <w:rFonts w:ascii="Aptos" w:eastAsia="Aptos" w:hAnsi="Aptos" w:cs="Arial"/>
          <w:kern w:val="2"/>
          <w:szCs w:val="24"/>
          <w14:ligatures w14:val="standardContextual"/>
        </w:rPr>
      </w:pPr>
      <w:r w:rsidRPr="003A3051">
        <w:rPr>
          <w:szCs w:val="24"/>
        </w:rPr>
        <w:t>As defined in the Markets+ Tariff.</w:t>
      </w:r>
    </w:p>
    <w:p w14:paraId="1BF3E8FF" w14:textId="77777777" w:rsidR="003A3051" w:rsidRPr="003A3051" w:rsidRDefault="003A3051" w:rsidP="003A3051">
      <w:pPr>
        <w:keepNext/>
        <w:spacing w:before="240" w:after="60" w:line="276" w:lineRule="auto"/>
        <w:jc w:val="left"/>
        <w:outlineLvl w:val="1"/>
        <w:rPr>
          <w:rFonts w:eastAsia="Calibri" w:cs="Arial"/>
          <w:b/>
          <w:bCs/>
          <w:iCs/>
          <w:szCs w:val="28"/>
        </w:rPr>
      </w:pPr>
      <w:bookmarkStart w:id="18" w:name="_Toc213771737"/>
      <w:r w:rsidRPr="003A3051">
        <w:rPr>
          <w:rFonts w:eastAsia="Calibri" w:cs="Arial"/>
          <w:b/>
          <w:bCs/>
          <w:iCs/>
          <w:szCs w:val="28"/>
        </w:rPr>
        <w:t>F – Definitions</w:t>
      </w:r>
      <w:bookmarkEnd w:id="18"/>
      <w:r w:rsidRPr="003A3051">
        <w:rPr>
          <w:rFonts w:eastAsia="Calibri" w:cs="Arial"/>
          <w:b/>
          <w:bCs/>
          <w:iCs/>
          <w:szCs w:val="28"/>
        </w:rPr>
        <w:t> </w:t>
      </w:r>
    </w:p>
    <w:p w14:paraId="773E50FB" w14:textId="77777777" w:rsidR="003A3051" w:rsidRPr="003A3051" w:rsidRDefault="003A3051" w:rsidP="003A3051">
      <w:pPr>
        <w:spacing w:after="0" w:line="360" w:lineRule="auto"/>
        <w:rPr>
          <w:b/>
          <w:bCs/>
          <w:iCs/>
        </w:rPr>
      </w:pPr>
      <w:r w:rsidRPr="003A3051">
        <w:rPr>
          <w:b/>
          <w:bCs/>
          <w:iCs/>
        </w:rPr>
        <w:t>Fast-Start Resource</w:t>
      </w:r>
    </w:p>
    <w:p w14:paraId="2CB59EED" w14:textId="77777777" w:rsidR="003A3051" w:rsidRPr="003A3051" w:rsidRDefault="003A3051" w:rsidP="003A3051">
      <w:pPr>
        <w:spacing w:after="0" w:line="360" w:lineRule="auto"/>
        <w:ind w:left="720"/>
        <w:rPr>
          <w:bCs/>
          <w:iCs/>
        </w:rPr>
      </w:pPr>
      <w:r w:rsidRPr="003A3051">
        <w:rPr>
          <w:bCs/>
          <w:iCs/>
        </w:rPr>
        <w:t>As defined in the Markets+ Tariff.</w:t>
      </w:r>
    </w:p>
    <w:p w14:paraId="4E9EB9BF" w14:textId="77777777" w:rsidR="003A3051" w:rsidRPr="003A3051" w:rsidRDefault="003A3051" w:rsidP="003A3051">
      <w:pPr>
        <w:spacing w:after="0" w:line="360" w:lineRule="auto"/>
        <w:rPr>
          <w:b/>
          <w:bCs/>
          <w:iCs/>
        </w:rPr>
      </w:pPr>
      <w:r w:rsidRPr="003A3051">
        <w:rPr>
          <w:b/>
          <w:bCs/>
          <w:iCs/>
        </w:rPr>
        <w:t>Federal Energy Regulatory Commission (FERC)</w:t>
      </w:r>
    </w:p>
    <w:p w14:paraId="3A48B173" w14:textId="77777777" w:rsidR="003A3051" w:rsidRPr="003A3051" w:rsidRDefault="003A3051" w:rsidP="003A3051">
      <w:pPr>
        <w:spacing w:after="0" w:line="360" w:lineRule="auto"/>
        <w:ind w:left="720"/>
        <w:rPr>
          <w:bCs/>
          <w:iCs/>
        </w:rPr>
      </w:pPr>
      <w:r w:rsidRPr="003A3051">
        <w:rPr>
          <w:bCs/>
          <w:iCs/>
        </w:rPr>
        <w:t>As defined in the Markets+ Tariff.</w:t>
      </w:r>
    </w:p>
    <w:p w14:paraId="11CC532F" w14:textId="66271527" w:rsidR="003A3051" w:rsidRPr="003A3051" w:rsidRDefault="003A3051" w:rsidP="003A3051">
      <w:pPr>
        <w:spacing w:before="120" w:line="360" w:lineRule="auto"/>
        <w:contextualSpacing/>
        <w:rPr>
          <w:b/>
          <w:bCs/>
          <w:color w:val="000000"/>
        </w:rPr>
      </w:pPr>
      <w:r w:rsidRPr="003A3051">
        <w:rPr>
          <w:b/>
        </w:rPr>
        <w:t>Firm Point-</w:t>
      </w:r>
      <w:r w:rsidRPr="003A3051">
        <w:rPr>
          <w:b/>
          <w:color w:val="000000"/>
        </w:rPr>
        <w:t>To</w:t>
      </w:r>
      <w:r w:rsidRPr="003A3051">
        <w:rPr>
          <w:b/>
        </w:rPr>
        <w:t>-Point Transmission</w:t>
      </w:r>
      <w:r w:rsidRPr="003A3051">
        <w:rPr>
          <w:bCs/>
          <w:iCs/>
        </w:rPr>
        <w:t xml:space="preserve"> </w:t>
      </w:r>
      <w:r w:rsidRPr="003A3051">
        <w:rPr>
          <w:b/>
          <w:bCs/>
          <w:color w:val="000000"/>
        </w:rPr>
        <w:t>Service </w:t>
      </w:r>
    </w:p>
    <w:p w14:paraId="669FF3B6" w14:textId="77777777" w:rsidR="003A3051" w:rsidRPr="003A3051" w:rsidRDefault="003A3051" w:rsidP="003A3051">
      <w:pPr>
        <w:spacing w:after="0" w:line="360" w:lineRule="auto"/>
        <w:ind w:left="720"/>
        <w:rPr>
          <w:bCs/>
          <w:iCs/>
        </w:rPr>
      </w:pPr>
      <w:r w:rsidRPr="003A3051">
        <w:rPr>
          <w:bCs/>
          <w:iCs/>
        </w:rPr>
        <w:t>As defined in the Markets+ Tariff.</w:t>
      </w:r>
    </w:p>
    <w:p w14:paraId="013115AE" w14:textId="77777777" w:rsidR="003A3051" w:rsidRPr="003A3051" w:rsidRDefault="003A3051" w:rsidP="003A3051">
      <w:pPr>
        <w:spacing w:before="120" w:line="300" w:lineRule="auto"/>
        <w:rPr>
          <w:b/>
          <w:szCs w:val="24"/>
        </w:rPr>
      </w:pPr>
      <w:r w:rsidRPr="003A3051">
        <w:rPr>
          <w:b/>
          <w:szCs w:val="24"/>
        </w:rPr>
        <w:t>Flexibility Reserve Product Offer</w:t>
      </w:r>
    </w:p>
    <w:p w14:paraId="5319728D" w14:textId="77777777" w:rsidR="003A3051" w:rsidRPr="003A3051" w:rsidRDefault="003A3051" w:rsidP="003A3051">
      <w:pPr>
        <w:spacing w:before="120" w:line="300" w:lineRule="auto"/>
        <w:ind w:left="720"/>
        <w:rPr>
          <w:szCs w:val="24"/>
        </w:rPr>
      </w:pPr>
      <w:r w:rsidRPr="003A3051">
        <w:rPr>
          <w:szCs w:val="24"/>
        </w:rPr>
        <w:t>As defined in the Markets+ Tariff.</w:t>
      </w:r>
    </w:p>
    <w:p w14:paraId="124C69DD" w14:textId="77777777" w:rsidR="003A3051" w:rsidRPr="003A3051" w:rsidRDefault="003A3051" w:rsidP="003A3051">
      <w:pPr>
        <w:spacing w:before="120" w:line="300" w:lineRule="auto"/>
        <w:rPr>
          <w:b/>
          <w:szCs w:val="24"/>
        </w:rPr>
      </w:pPr>
      <w:r w:rsidRPr="003A3051">
        <w:rPr>
          <w:b/>
          <w:szCs w:val="24"/>
        </w:rPr>
        <w:t>Flexibility Reserve Products</w:t>
      </w:r>
    </w:p>
    <w:p w14:paraId="1885EBAD" w14:textId="77777777" w:rsidR="003A3051" w:rsidRPr="003A3051" w:rsidRDefault="003A3051" w:rsidP="003A3051">
      <w:pPr>
        <w:spacing w:after="0" w:line="300" w:lineRule="auto"/>
        <w:ind w:left="720"/>
        <w:rPr>
          <w:szCs w:val="24"/>
        </w:rPr>
      </w:pPr>
      <w:r w:rsidRPr="003A3051">
        <w:rPr>
          <w:szCs w:val="24"/>
        </w:rPr>
        <w:t>As defined in the Markets+ Tariff.</w:t>
      </w:r>
    </w:p>
    <w:p w14:paraId="616F1E4A" w14:textId="77777777" w:rsidR="000B0A20" w:rsidRPr="003A3051" w:rsidRDefault="000B0A20" w:rsidP="000B0A20">
      <w:pPr>
        <w:spacing w:before="120" w:line="300" w:lineRule="auto"/>
        <w:rPr>
          <w:b/>
        </w:rPr>
      </w:pPr>
      <w:r w:rsidRPr="003A3051">
        <w:rPr>
          <w:b/>
        </w:rPr>
        <w:t>Forecast Area</w:t>
      </w:r>
    </w:p>
    <w:p w14:paraId="2924CDBB" w14:textId="78444AB2" w:rsidR="000B0A20" w:rsidRPr="000B0A20" w:rsidRDefault="000B0A20" w:rsidP="000B0A20">
      <w:pPr>
        <w:spacing w:after="0" w:line="300" w:lineRule="auto"/>
        <w:ind w:left="720"/>
      </w:pPr>
      <w:r w:rsidRPr="003A3051">
        <w:t>A geographic area within the Markets+ Footprint defined by the Market Operator based upon historical operating experience for the purposes of developing load forecasts.</w:t>
      </w:r>
    </w:p>
    <w:p w14:paraId="40EAFDC9" w14:textId="2C1C0A7D" w:rsidR="00E361E9" w:rsidRPr="00E361E9" w:rsidRDefault="00E361E9" w:rsidP="00E361E9">
      <w:pPr>
        <w:spacing w:before="120" w:line="300" w:lineRule="auto"/>
        <w:rPr>
          <w:b/>
          <w:szCs w:val="24"/>
        </w:rPr>
      </w:pPr>
      <w:r w:rsidRPr="00E361E9">
        <w:rPr>
          <w:b/>
          <w:szCs w:val="24"/>
        </w:rPr>
        <w:t>Forward Showing Submission</w:t>
      </w:r>
    </w:p>
    <w:p w14:paraId="1216CBFC" w14:textId="788BBC4D" w:rsidR="00E361E9" w:rsidRPr="00E361E9" w:rsidRDefault="00E361E9" w:rsidP="00E361E9">
      <w:pPr>
        <w:spacing w:after="0" w:line="300" w:lineRule="auto"/>
        <w:ind w:left="720"/>
        <w:rPr>
          <w:szCs w:val="24"/>
        </w:rPr>
      </w:pPr>
      <w:r w:rsidRPr="00E361E9">
        <w:rPr>
          <w:szCs w:val="24"/>
        </w:rPr>
        <w:t xml:space="preserve">The </w:t>
      </w:r>
      <w:r w:rsidR="008553A7">
        <w:rPr>
          <w:szCs w:val="24"/>
        </w:rPr>
        <w:t>s</w:t>
      </w:r>
      <w:r w:rsidRPr="00E361E9">
        <w:rPr>
          <w:szCs w:val="24"/>
        </w:rPr>
        <w:t xml:space="preserve">ubmission, in the form of a workbook or other systematic or electronic means, used by a WRAP participant to convey sufficiency and compliance with the capacity and transmission requirements in the </w:t>
      </w:r>
      <w:r w:rsidR="008553A7">
        <w:rPr>
          <w:szCs w:val="24"/>
        </w:rPr>
        <w:t xml:space="preserve">Western </w:t>
      </w:r>
      <w:r w:rsidRPr="00E361E9">
        <w:rPr>
          <w:szCs w:val="24"/>
        </w:rPr>
        <w:t>Resource Adequacy Program Forward Showing Program.</w:t>
      </w:r>
    </w:p>
    <w:p w14:paraId="5CC254E4" w14:textId="77777777" w:rsidR="00E361E9" w:rsidRPr="003A3051" w:rsidRDefault="00E361E9" w:rsidP="003A3051">
      <w:pPr>
        <w:spacing w:after="0" w:line="300" w:lineRule="auto"/>
        <w:ind w:left="720"/>
        <w:rPr>
          <w:szCs w:val="24"/>
        </w:rPr>
      </w:pPr>
    </w:p>
    <w:p w14:paraId="64AEFBA6" w14:textId="77777777" w:rsidR="003A3051" w:rsidRPr="003A3051" w:rsidRDefault="003A3051" w:rsidP="003A3051">
      <w:pPr>
        <w:keepNext/>
        <w:spacing w:before="240" w:after="60" w:line="276" w:lineRule="auto"/>
        <w:jc w:val="left"/>
        <w:outlineLvl w:val="1"/>
        <w:rPr>
          <w:rFonts w:eastAsia="Calibri" w:cs="Arial"/>
          <w:b/>
          <w:bCs/>
          <w:iCs/>
          <w:szCs w:val="28"/>
        </w:rPr>
      </w:pPr>
      <w:bookmarkStart w:id="19" w:name="_Toc213771738"/>
      <w:r w:rsidRPr="003A3051">
        <w:rPr>
          <w:rFonts w:eastAsia="Calibri" w:cs="Arial"/>
          <w:b/>
          <w:bCs/>
          <w:iCs/>
          <w:szCs w:val="28"/>
        </w:rPr>
        <w:t>G – Definitions</w:t>
      </w:r>
      <w:bookmarkEnd w:id="19"/>
      <w:r w:rsidRPr="003A3051">
        <w:rPr>
          <w:rFonts w:eastAsia="Calibri" w:cs="Arial"/>
          <w:b/>
          <w:bCs/>
          <w:iCs/>
          <w:szCs w:val="28"/>
        </w:rPr>
        <w:t> </w:t>
      </w:r>
    </w:p>
    <w:p w14:paraId="63B69324" w14:textId="35A72366" w:rsidR="002F1CE0" w:rsidRPr="003A3051" w:rsidRDefault="002F1CE0" w:rsidP="002F1CE0">
      <w:pPr>
        <w:spacing w:after="0" w:line="360" w:lineRule="auto"/>
        <w:rPr>
          <w:b/>
          <w:szCs w:val="24"/>
        </w:rPr>
      </w:pPr>
      <w:r w:rsidRPr="003A3051">
        <w:rPr>
          <w:b/>
          <w:szCs w:val="24"/>
        </w:rPr>
        <w:t xml:space="preserve">GHG </w:t>
      </w:r>
      <w:r>
        <w:rPr>
          <w:b/>
          <w:szCs w:val="24"/>
        </w:rPr>
        <w:t>Energy Attribution</w:t>
      </w:r>
    </w:p>
    <w:p w14:paraId="6E37B13B" w14:textId="225F4623" w:rsidR="002F1CE0" w:rsidRPr="003A3051" w:rsidRDefault="00121BEF" w:rsidP="002F1CE0">
      <w:pPr>
        <w:spacing w:after="0" w:line="300" w:lineRule="auto"/>
        <w:ind w:left="720"/>
        <w:rPr>
          <w:szCs w:val="24"/>
        </w:rPr>
      </w:pPr>
      <w:r>
        <w:rPr>
          <w:szCs w:val="24"/>
        </w:rPr>
        <w:t xml:space="preserve">Energy </w:t>
      </w:r>
      <w:r w:rsidR="00A36829">
        <w:rPr>
          <w:szCs w:val="24"/>
        </w:rPr>
        <w:t xml:space="preserve">from </w:t>
      </w:r>
      <w:r w:rsidR="00A95CF5">
        <w:rPr>
          <w:szCs w:val="24"/>
        </w:rPr>
        <w:t xml:space="preserve">Internal GHG Resources, Specified Source Resources, Unspecified Source Imports and Import Interchange Transactions </w:t>
      </w:r>
      <w:r>
        <w:rPr>
          <w:szCs w:val="24"/>
        </w:rPr>
        <w:t xml:space="preserve">identified by the market clearing engine </w:t>
      </w:r>
      <w:r w:rsidR="00A95CF5">
        <w:rPr>
          <w:szCs w:val="24"/>
        </w:rPr>
        <w:t>as being</w:t>
      </w:r>
      <w:r w:rsidR="00B23651">
        <w:rPr>
          <w:szCs w:val="24"/>
        </w:rPr>
        <w:t xml:space="preserve"> assigned to a GHG Pricing Zone</w:t>
      </w:r>
      <w:r w:rsidR="00A95CF5">
        <w:rPr>
          <w:szCs w:val="24"/>
        </w:rPr>
        <w:t>.</w:t>
      </w:r>
    </w:p>
    <w:p w14:paraId="4095F17A" w14:textId="77777777" w:rsidR="0078682B" w:rsidRPr="003A3051" w:rsidRDefault="0078682B" w:rsidP="0078682B">
      <w:pPr>
        <w:spacing w:after="0" w:line="360" w:lineRule="auto"/>
        <w:rPr>
          <w:b/>
          <w:szCs w:val="24"/>
        </w:rPr>
      </w:pPr>
      <w:r w:rsidRPr="003A3051">
        <w:rPr>
          <w:b/>
          <w:szCs w:val="24"/>
        </w:rPr>
        <w:t>GHG Load</w:t>
      </w:r>
    </w:p>
    <w:p w14:paraId="535D9A8E" w14:textId="77777777" w:rsidR="0078682B" w:rsidRPr="003A3051" w:rsidRDefault="0078682B" w:rsidP="0078682B">
      <w:pPr>
        <w:spacing w:after="0" w:line="300" w:lineRule="auto"/>
        <w:ind w:left="720"/>
        <w:rPr>
          <w:szCs w:val="24"/>
        </w:rPr>
      </w:pPr>
      <w:r w:rsidRPr="003A3051">
        <w:rPr>
          <w:szCs w:val="24"/>
        </w:rPr>
        <w:t>As defined in the Markets+ Tariff.</w:t>
      </w:r>
    </w:p>
    <w:p w14:paraId="27F90B2A" w14:textId="77777777" w:rsidR="003A3051" w:rsidRPr="003A3051" w:rsidRDefault="003A3051" w:rsidP="003A3051">
      <w:pPr>
        <w:spacing w:after="0" w:line="360" w:lineRule="auto"/>
        <w:rPr>
          <w:szCs w:val="24"/>
        </w:rPr>
      </w:pPr>
      <w:r w:rsidRPr="003A3051">
        <w:rPr>
          <w:b/>
          <w:szCs w:val="24"/>
        </w:rPr>
        <w:t>GHG Pricing Program</w:t>
      </w:r>
    </w:p>
    <w:p w14:paraId="182E0767" w14:textId="77777777" w:rsidR="003A3051" w:rsidRPr="003A3051" w:rsidRDefault="003A3051" w:rsidP="003A3051">
      <w:pPr>
        <w:spacing w:after="0" w:line="300" w:lineRule="auto"/>
        <w:ind w:left="720"/>
        <w:rPr>
          <w:szCs w:val="24"/>
        </w:rPr>
      </w:pPr>
      <w:r w:rsidRPr="003A3051">
        <w:rPr>
          <w:szCs w:val="24"/>
        </w:rPr>
        <w:t>As defined in the Markets+ Tariff.</w:t>
      </w:r>
    </w:p>
    <w:p w14:paraId="38DEB649" w14:textId="77777777" w:rsidR="003A3051" w:rsidRPr="003A3051" w:rsidRDefault="003A3051" w:rsidP="003A3051">
      <w:pPr>
        <w:spacing w:after="0" w:line="360" w:lineRule="auto"/>
        <w:rPr>
          <w:szCs w:val="24"/>
        </w:rPr>
      </w:pPr>
      <w:r w:rsidRPr="003A3051">
        <w:rPr>
          <w:b/>
          <w:szCs w:val="24"/>
        </w:rPr>
        <w:t>GHG Pricing Zone</w:t>
      </w:r>
      <w:r w:rsidRPr="003A3051">
        <w:rPr>
          <w:szCs w:val="24"/>
        </w:rPr>
        <w:t xml:space="preserve"> </w:t>
      </w:r>
    </w:p>
    <w:p w14:paraId="5303ED61" w14:textId="77777777" w:rsidR="003A3051" w:rsidRPr="003A3051" w:rsidRDefault="003A3051" w:rsidP="003A3051">
      <w:pPr>
        <w:spacing w:after="0" w:line="300" w:lineRule="auto"/>
        <w:ind w:left="720"/>
        <w:rPr>
          <w:szCs w:val="24"/>
        </w:rPr>
      </w:pPr>
      <w:r w:rsidRPr="003A3051">
        <w:rPr>
          <w:szCs w:val="24"/>
        </w:rPr>
        <w:t>As defined in the Markets+ Tariff.</w:t>
      </w:r>
    </w:p>
    <w:p w14:paraId="3395A2FC" w14:textId="6BFC5880" w:rsidR="003A3051" w:rsidRPr="003A3051" w:rsidRDefault="003A3051" w:rsidP="003A3051">
      <w:pPr>
        <w:spacing w:after="0" w:line="360" w:lineRule="auto"/>
        <w:rPr>
          <w:szCs w:val="24"/>
        </w:rPr>
      </w:pPr>
      <w:r w:rsidRPr="003A3051">
        <w:rPr>
          <w:b/>
          <w:szCs w:val="24"/>
        </w:rPr>
        <w:t>GHG Reduction Program</w:t>
      </w:r>
    </w:p>
    <w:p w14:paraId="0E9A639C" w14:textId="77777777" w:rsidR="003A3051" w:rsidRPr="003A3051" w:rsidRDefault="003A3051" w:rsidP="003A3051">
      <w:pPr>
        <w:spacing w:after="0" w:line="300" w:lineRule="auto"/>
        <w:ind w:left="720"/>
        <w:rPr>
          <w:szCs w:val="24"/>
        </w:rPr>
      </w:pPr>
      <w:r w:rsidRPr="003A3051">
        <w:rPr>
          <w:szCs w:val="24"/>
        </w:rPr>
        <w:t>As defined in the Markets+ Tariff.</w:t>
      </w:r>
    </w:p>
    <w:p w14:paraId="53EC04C7" w14:textId="15E6D310" w:rsidR="003A3051" w:rsidRPr="003A3051" w:rsidRDefault="003A3051" w:rsidP="003A3051">
      <w:pPr>
        <w:spacing w:after="0" w:line="360" w:lineRule="auto"/>
        <w:rPr>
          <w:b/>
          <w:szCs w:val="24"/>
        </w:rPr>
      </w:pPr>
      <w:r w:rsidRPr="003A3051">
        <w:rPr>
          <w:b/>
          <w:szCs w:val="24"/>
        </w:rPr>
        <w:t>Greenhouse Gas (GHG</w:t>
      </w:r>
      <w:r w:rsidRPr="003A3051">
        <w:rPr>
          <w:szCs w:val="24"/>
        </w:rPr>
        <w:t>)</w:t>
      </w:r>
    </w:p>
    <w:p w14:paraId="20802D79" w14:textId="47C3DC31" w:rsidR="003A3051" w:rsidRPr="003A3051" w:rsidRDefault="003A3051" w:rsidP="003A3051">
      <w:pPr>
        <w:spacing w:after="0" w:line="300" w:lineRule="auto"/>
        <w:ind w:left="720"/>
        <w:rPr>
          <w:szCs w:val="24"/>
        </w:rPr>
      </w:pPr>
      <w:r w:rsidRPr="003A3051">
        <w:rPr>
          <w:szCs w:val="24"/>
        </w:rPr>
        <w:t>As defined in the Markets+ Tariff.</w:t>
      </w:r>
    </w:p>
    <w:p w14:paraId="705D3300" w14:textId="77777777" w:rsidR="003A3051" w:rsidRPr="003A3051" w:rsidRDefault="003A3051" w:rsidP="003A3051">
      <w:pPr>
        <w:spacing w:before="120" w:line="300" w:lineRule="auto"/>
        <w:rPr>
          <w:b/>
          <w:szCs w:val="24"/>
        </w:rPr>
      </w:pPr>
      <w:r w:rsidRPr="003A3051">
        <w:rPr>
          <w:b/>
          <w:szCs w:val="24"/>
        </w:rPr>
        <w:t>Group Minimum Down Time</w:t>
      </w:r>
    </w:p>
    <w:p w14:paraId="20596384" w14:textId="36E5F7BE" w:rsidR="000B0A20" w:rsidRDefault="00DB2AC0" w:rsidP="000B0A20">
      <w:pPr>
        <w:spacing w:before="120" w:line="300" w:lineRule="auto"/>
        <w:ind w:left="720"/>
        <w:rPr>
          <w:szCs w:val="24"/>
        </w:rPr>
      </w:pPr>
      <w:r w:rsidRPr="00DB2AC0">
        <w:rPr>
          <w:szCs w:val="24"/>
        </w:rPr>
        <w:t>For an MCR, the minimum length of time a defined group of configurations must remain offline following transition to a different defined group of configurations</w:t>
      </w:r>
      <w:r w:rsidR="009C66BE">
        <w:rPr>
          <w:szCs w:val="24"/>
        </w:rPr>
        <w:t xml:space="preserve">. </w:t>
      </w:r>
    </w:p>
    <w:p w14:paraId="70DE306E" w14:textId="6BCC86B9" w:rsidR="003A3051" w:rsidRPr="003A3051" w:rsidRDefault="009C66BE" w:rsidP="003A3051">
      <w:pPr>
        <w:spacing w:before="120" w:line="300" w:lineRule="auto"/>
        <w:rPr>
          <w:b/>
          <w:szCs w:val="24"/>
        </w:rPr>
      </w:pPr>
      <w:r>
        <w:rPr>
          <w:szCs w:val="24"/>
        </w:rPr>
        <w:t xml:space="preserve"> </w:t>
      </w:r>
      <w:r w:rsidR="003A3051" w:rsidRPr="003A3051">
        <w:rPr>
          <w:b/>
          <w:szCs w:val="24"/>
        </w:rPr>
        <w:t>Group Minimum Run Time</w:t>
      </w:r>
    </w:p>
    <w:p w14:paraId="16F4D803"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w:t>
      </w:r>
      <w:r w:rsidRPr="003A3051" w:rsidDel="0071076A">
        <w:rPr>
          <w:szCs w:val="24"/>
        </w:rPr>
        <w:t>Markets+ T</w:t>
      </w:r>
      <w:r w:rsidRPr="003A3051" w:rsidDel="003E0E47">
        <w:rPr>
          <w:szCs w:val="24"/>
        </w:rPr>
        <w:t>ariff</w:t>
      </w:r>
      <w:r w:rsidRPr="003A3051">
        <w:rPr>
          <w:szCs w:val="24"/>
        </w:rPr>
        <w:t xml:space="preserve">. </w:t>
      </w:r>
    </w:p>
    <w:p w14:paraId="4A0F9BDE"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0" w:name="_Toc213771739"/>
      <w:r w:rsidRPr="003A3051">
        <w:rPr>
          <w:rFonts w:eastAsia="Calibri" w:cs="Arial"/>
          <w:b/>
          <w:bCs/>
          <w:iCs/>
          <w:szCs w:val="28"/>
        </w:rPr>
        <w:t>H – Definitions</w:t>
      </w:r>
      <w:bookmarkEnd w:id="20"/>
      <w:r w:rsidRPr="003A3051">
        <w:rPr>
          <w:rFonts w:eastAsia="Calibri" w:cs="Arial"/>
          <w:b/>
          <w:bCs/>
          <w:iCs/>
          <w:szCs w:val="28"/>
        </w:rPr>
        <w:t> </w:t>
      </w:r>
    </w:p>
    <w:p w14:paraId="27126C4F" w14:textId="3BCB565C" w:rsidR="005B66DE" w:rsidRDefault="005B66DE" w:rsidP="003A3051">
      <w:pPr>
        <w:spacing w:line="360" w:lineRule="auto"/>
        <w:rPr>
          <w:b/>
          <w:color w:val="000000"/>
        </w:rPr>
      </w:pPr>
      <w:r>
        <w:rPr>
          <w:b/>
          <w:color w:val="000000"/>
        </w:rPr>
        <w:t>High Operating Tolerance</w:t>
      </w:r>
    </w:p>
    <w:p w14:paraId="440B3E70" w14:textId="4CBD240F" w:rsidR="005B66DE" w:rsidRPr="00E94CBF" w:rsidRDefault="005B66DE" w:rsidP="003A3051">
      <w:pPr>
        <w:spacing w:line="360" w:lineRule="auto"/>
        <w:rPr>
          <w:color w:val="000000"/>
        </w:rPr>
      </w:pPr>
      <w:r>
        <w:rPr>
          <w:b/>
          <w:color w:val="000000"/>
        </w:rPr>
        <w:tab/>
      </w:r>
      <w:r w:rsidR="009478AF">
        <w:rPr>
          <w:bCs/>
          <w:color w:val="000000"/>
        </w:rPr>
        <w:t>The</w:t>
      </w:r>
      <w:r w:rsidR="00FD5CEC">
        <w:rPr>
          <w:bCs/>
          <w:color w:val="000000"/>
        </w:rPr>
        <w:t xml:space="preserve"> upper band of </w:t>
      </w:r>
      <w:r w:rsidR="004E4476">
        <w:rPr>
          <w:bCs/>
          <w:color w:val="000000"/>
        </w:rPr>
        <w:t>a</w:t>
      </w:r>
      <w:r>
        <w:rPr>
          <w:bCs/>
          <w:color w:val="000000"/>
        </w:rPr>
        <w:t xml:space="preserve"> Resource’s Operating Tolerance adjusted upward by the amount of deployed regulation</w:t>
      </w:r>
      <w:r w:rsidR="000D79CF">
        <w:rPr>
          <w:bCs/>
          <w:color w:val="000000"/>
        </w:rPr>
        <w:t>, spinning reserve, and supplemental reserve</w:t>
      </w:r>
      <w:r>
        <w:rPr>
          <w:bCs/>
          <w:color w:val="000000"/>
        </w:rPr>
        <w:t xml:space="preserve"> in the up direction.</w:t>
      </w:r>
    </w:p>
    <w:p w14:paraId="53DB7701" w14:textId="2B062DA9" w:rsidR="003A3051" w:rsidRPr="003A3051" w:rsidRDefault="003A3051" w:rsidP="003A3051">
      <w:pPr>
        <w:spacing w:line="360" w:lineRule="auto"/>
        <w:rPr>
          <w:b/>
          <w:color w:val="000000"/>
        </w:rPr>
      </w:pPr>
      <w:r w:rsidRPr="003A3051">
        <w:rPr>
          <w:b/>
          <w:color w:val="000000"/>
        </w:rPr>
        <w:t>High Priority Export Interchange Transaction</w:t>
      </w:r>
    </w:p>
    <w:p w14:paraId="257135A9" w14:textId="77777777" w:rsidR="003A3051" w:rsidRPr="003A3051" w:rsidRDefault="003A3051" w:rsidP="003A3051">
      <w:pPr>
        <w:spacing w:before="120" w:line="300" w:lineRule="auto"/>
        <w:rPr>
          <w:szCs w:val="24"/>
        </w:rPr>
      </w:pPr>
      <w:r w:rsidRPr="003A3051">
        <w:rPr>
          <w:rFonts w:ascii="Arial" w:hAnsi="Arial"/>
          <w:b/>
          <w:color w:val="000000"/>
        </w:rPr>
        <w:tab/>
      </w:r>
      <w:r w:rsidRPr="003A3051">
        <w:rPr>
          <w:szCs w:val="24"/>
        </w:rPr>
        <w:t xml:space="preserve">As defined in the Markets+ Tariff. </w:t>
      </w:r>
    </w:p>
    <w:p w14:paraId="03245523" w14:textId="77777777" w:rsidR="003A3051" w:rsidRPr="003A3051" w:rsidRDefault="003A3051" w:rsidP="003A3051">
      <w:pPr>
        <w:spacing w:line="360" w:lineRule="auto"/>
        <w:rPr>
          <w:b/>
          <w:color w:val="000000"/>
        </w:rPr>
      </w:pPr>
      <w:r w:rsidRPr="003A3051">
        <w:rPr>
          <w:b/>
          <w:color w:val="000000"/>
        </w:rPr>
        <w:t>High Priority Import Interchange Transaction</w:t>
      </w:r>
    </w:p>
    <w:p w14:paraId="23E2D0CB" w14:textId="77777777" w:rsidR="003A3051" w:rsidRPr="003A3051" w:rsidRDefault="003A3051" w:rsidP="003A3051">
      <w:pPr>
        <w:spacing w:before="120" w:line="300" w:lineRule="auto"/>
        <w:ind w:firstLine="720"/>
        <w:rPr>
          <w:szCs w:val="24"/>
        </w:rPr>
      </w:pPr>
      <w:r w:rsidRPr="003A3051">
        <w:rPr>
          <w:szCs w:val="24"/>
        </w:rPr>
        <w:t xml:space="preserve">As defined in the Markets+ Tariff. </w:t>
      </w:r>
    </w:p>
    <w:p w14:paraId="4F70D49D" w14:textId="77777777" w:rsidR="003A3051" w:rsidRPr="003A3051" w:rsidRDefault="003A3051" w:rsidP="003A3051">
      <w:pPr>
        <w:spacing w:before="120" w:line="300" w:lineRule="auto"/>
        <w:rPr>
          <w:b/>
          <w:szCs w:val="24"/>
        </w:rPr>
      </w:pPr>
      <w:r w:rsidRPr="003A3051">
        <w:rPr>
          <w:b/>
          <w:szCs w:val="24"/>
        </w:rPr>
        <w:t>Hub</w:t>
      </w:r>
    </w:p>
    <w:p w14:paraId="369965D9" w14:textId="77777777" w:rsidR="003A3051" w:rsidRPr="003A3051" w:rsidRDefault="003A3051" w:rsidP="003A3051">
      <w:pPr>
        <w:spacing w:before="120" w:line="300" w:lineRule="auto"/>
        <w:ind w:left="720"/>
        <w:rPr>
          <w:szCs w:val="24"/>
        </w:rPr>
      </w:pPr>
      <w:r w:rsidRPr="003A3051">
        <w:rPr>
          <w:szCs w:val="24"/>
        </w:rPr>
        <w:t>A Settlement Location consisting of an aggregation of Price Nodes developed for financial and trading purposes.</w:t>
      </w:r>
    </w:p>
    <w:p w14:paraId="35E5155E" w14:textId="77777777" w:rsidR="003A3051" w:rsidRPr="003A3051" w:rsidRDefault="003A3051" w:rsidP="003A3051">
      <w:pPr>
        <w:spacing w:before="120" w:line="300" w:lineRule="auto"/>
        <w:rPr>
          <w:b/>
          <w:szCs w:val="24"/>
        </w:rPr>
      </w:pPr>
      <w:r w:rsidRPr="003A3051">
        <w:rPr>
          <w:b/>
          <w:szCs w:val="24"/>
        </w:rPr>
        <w:t>Hybrid Storage Market Resource (HSMR)</w:t>
      </w:r>
    </w:p>
    <w:p w14:paraId="30718154" w14:textId="7AF6E130" w:rsidR="003A3051" w:rsidRPr="003A3051" w:rsidRDefault="003A3051" w:rsidP="003A3051">
      <w:pPr>
        <w:spacing w:before="120" w:line="300" w:lineRule="auto"/>
        <w:rPr>
          <w:szCs w:val="24"/>
        </w:rPr>
      </w:pPr>
      <w:r w:rsidRPr="003A3051">
        <w:rPr>
          <w:szCs w:val="24"/>
        </w:rPr>
        <w:tab/>
        <w:t xml:space="preserve">As defined in the </w:t>
      </w:r>
      <w:r w:rsidRPr="003A3051" w:rsidDel="0071076A">
        <w:rPr>
          <w:szCs w:val="24"/>
        </w:rPr>
        <w:t>Markets+</w:t>
      </w:r>
      <w:r w:rsidR="00904692">
        <w:rPr>
          <w:szCs w:val="24"/>
        </w:rPr>
        <w:t xml:space="preserve"> </w:t>
      </w:r>
      <w:r w:rsidRPr="003A3051" w:rsidDel="003E0E47">
        <w:rPr>
          <w:szCs w:val="24"/>
        </w:rPr>
        <w:t>Tariff</w:t>
      </w:r>
      <w:r w:rsidRPr="003A3051">
        <w:rPr>
          <w:szCs w:val="24"/>
        </w:rPr>
        <w:t>.</w:t>
      </w:r>
    </w:p>
    <w:p w14:paraId="0D7B469D"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1" w:name="_Toc213771740"/>
      <w:r w:rsidRPr="003A3051">
        <w:rPr>
          <w:rFonts w:eastAsia="Calibri" w:cs="Arial"/>
          <w:b/>
          <w:bCs/>
          <w:iCs/>
          <w:szCs w:val="28"/>
        </w:rPr>
        <w:t>I – Definitions</w:t>
      </w:r>
      <w:bookmarkEnd w:id="21"/>
      <w:r w:rsidRPr="003A3051">
        <w:rPr>
          <w:rFonts w:eastAsia="Calibri" w:cs="Arial"/>
          <w:b/>
          <w:bCs/>
          <w:iCs/>
          <w:szCs w:val="28"/>
        </w:rPr>
        <w:t> </w:t>
      </w:r>
    </w:p>
    <w:p w14:paraId="4D50B95F" w14:textId="77777777" w:rsidR="003A3051" w:rsidRPr="003A3051" w:rsidRDefault="003A3051" w:rsidP="003A3051">
      <w:pPr>
        <w:keepNext/>
        <w:spacing w:before="120" w:line="300" w:lineRule="auto"/>
        <w:rPr>
          <w:b/>
          <w:szCs w:val="24"/>
        </w:rPr>
      </w:pPr>
      <w:r w:rsidRPr="003A3051">
        <w:rPr>
          <w:b/>
          <w:szCs w:val="24"/>
        </w:rPr>
        <w:t xml:space="preserve">Import Interchange Transaction </w:t>
      </w:r>
    </w:p>
    <w:p w14:paraId="2CE43E2A" w14:textId="77777777" w:rsidR="003A3051" w:rsidRPr="003A3051" w:rsidRDefault="003A3051" w:rsidP="003A3051">
      <w:pPr>
        <w:keepNext/>
        <w:spacing w:after="0" w:line="300" w:lineRule="auto"/>
        <w:ind w:left="720"/>
        <w:rPr>
          <w:szCs w:val="24"/>
        </w:rPr>
      </w:pPr>
      <w:r w:rsidRPr="003A3051" w:rsidDel="0071076A">
        <w:rPr>
          <w:szCs w:val="24"/>
        </w:rPr>
        <w:t xml:space="preserve"> </w:t>
      </w:r>
      <w:r w:rsidRPr="003A3051">
        <w:rPr>
          <w:szCs w:val="24"/>
        </w:rPr>
        <w:t>As defined in the Markets+ Tariff.</w:t>
      </w:r>
    </w:p>
    <w:p w14:paraId="4B31A421" w14:textId="77777777" w:rsidR="003A3051" w:rsidRPr="003A3051" w:rsidRDefault="003A3051" w:rsidP="003A3051">
      <w:pPr>
        <w:spacing w:before="120" w:line="300" w:lineRule="auto"/>
        <w:rPr>
          <w:b/>
          <w:szCs w:val="24"/>
        </w:rPr>
      </w:pPr>
      <w:r w:rsidRPr="003A3051">
        <w:rPr>
          <w:b/>
          <w:szCs w:val="24"/>
        </w:rPr>
        <w:t>Import Interchange Transaction Offer</w:t>
      </w:r>
    </w:p>
    <w:p w14:paraId="4A725BC8"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2037E0AC" w14:textId="77777777" w:rsidR="003A3051" w:rsidRPr="003A3051" w:rsidRDefault="003A3051" w:rsidP="003A3051">
      <w:pPr>
        <w:spacing w:line="300" w:lineRule="auto"/>
        <w:rPr>
          <w:b/>
        </w:rPr>
      </w:pPr>
      <w:r w:rsidRPr="003A3051">
        <w:rPr>
          <w:b/>
        </w:rPr>
        <w:t>Instantaneous Load Capacity</w:t>
      </w:r>
    </w:p>
    <w:p w14:paraId="1AB2F83C" w14:textId="77777777" w:rsidR="003A3051" w:rsidRPr="003A3051" w:rsidRDefault="003A3051" w:rsidP="003A3051">
      <w:pPr>
        <w:spacing w:line="300" w:lineRule="auto"/>
      </w:pPr>
      <w:r w:rsidRPr="003A3051">
        <w:tab/>
        <w:t xml:space="preserve">As defined in the </w:t>
      </w:r>
      <w:r w:rsidRPr="003A3051" w:rsidDel="0071076A">
        <w:t>Markets+ T</w:t>
      </w:r>
      <w:r w:rsidRPr="003A3051" w:rsidDel="003E0E47">
        <w:t>ariff</w:t>
      </w:r>
      <w:r w:rsidRPr="003A3051">
        <w:t>.</w:t>
      </w:r>
    </w:p>
    <w:p w14:paraId="5EE9CFCA" w14:textId="77777777" w:rsidR="003A3051" w:rsidRPr="003A3051" w:rsidRDefault="003A3051" w:rsidP="003A3051">
      <w:pPr>
        <w:spacing w:before="120" w:line="300" w:lineRule="auto"/>
        <w:rPr>
          <w:b/>
          <w:szCs w:val="24"/>
        </w:rPr>
      </w:pPr>
      <w:r w:rsidRPr="003A3051">
        <w:rPr>
          <w:b/>
          <w:szCs w:val="24"/>
        </w:rPr>
        <w:t xml:space="preserve">Interchange Transaction </w:t>
      </w:r>
    </w:p>
    <w:p w14:paraId="4AD568DA" w14:textId="77777777" w:rsidR="003A3051" w:rsidRPr="003A3051" w:rsidRDefault="003A3051" w:rsidP="003A3051">
      <w:pPr>
        <w:tabs>
          <w:tab w:val="left" w:pos="4500"/>
        </w:tabs>
        <w:spacing w:after="0" w:line="300" w:lineRule="auto"/>
        <w:ind w:left="720"/>
        <w:rPr>
          <w:szCs w:val="24"/>
        </w:rPr>
      </w:pPr>
      <w:r w:rsidRPr="003A3051">
        <w:rPr>
          <w:szCs w:val="24"/>
        </w:rPr>
        <w:t xml:space="preserve">As defined in the Markets+ Tariff. </w:t>
      </w:r>
    </w:p>
    <w:p w14:paraId="78243F52" w14:textId="4ADC123F" w:rsidR="003A3051" w:rsidRPr="003A3051" w:rsidDel="00E6263B" w:rsidRDefault="003A3051" w:rsidP="003A3051">
      <w:pPr>
        <w:widowControl w:val="0"/>
        <w:spacing w:line="360" w:lineRule="auto"/>
        <w:rPr>
          <w:b/>
        </w:rPr>
      </w:pPr>
      <w:r w:rsidRPr="003A3051" w:rsidDel="00E6263B">
        <w:rPr>
          <w:b/>
        </w:rPr>
        <w:t>Interested Government Agencies</w:t>
      </w:r>
    </w:p>
    <w:p w14:paraId="219E1B9C" w14:textId="77777777" w:rsidR="003A3051" w:rsidRPr="003A3051" w:rsidDel="00E6263B" w:rsidRDefault="003A3051" w:rsidP="003A3051">
      <w:pPr>
        <w:widowControl w:val="0"/>
        <w:spacing w:line="360" w:lineRule="auto"/>
      </w:pPr>
      <w:r w:rsidRPr="003A3051" w:rsidDel="00E6263B">
        <w:tab/>
        <w:t>As defined in the Markets+ Tariff.</w:t>
      </w:r>
    </w:p>
    <w:p w14:paraId="4995FC06" w14:textId="1C1F2DC8" w:rsidR="003A3051" w:rsidRPr="003A3051" w:rsidRDefault="003A3051" w:rsidP="003A3051">
      <w:pPr>
        <w:widowControl w:val="0"/>
        <w:spacing w:line="360" w:lineRule="auto"/>
        <w:rPr>
          <w:b/>
        </w:rPr>
      </w:pPr>
      <w:r w:rsidRPr="003A3051">
        <w:rPr>
          <w:b/>
        </w:rPr>
        <w:t xml:space="preserve">Inter-Control Center Communications Protocol (ICCP) </w:t>
      </w:r>
    </w:p>
    <w:p w14:paraId="19F24F8B" w14:textId="1B0D12FD" w:rsidR="003A3051" w:rsidRPr="003A3051" w:rsidRDefault="008C7D94" w:rsidP="000B0A20">
      <w:pPr>
        <w:widowControl w:val="0"/>
        <w:spacing w:line="360" w:lineRule="auto"/>
        <w:ind w:left="720"/>
      </w:pPr>
      <w:r w:rsidRPr="000B0A20">
        <w:t>T</w:t>
      </w:r>
      <w:r w:rsidR="00087EF2" w:rsidRPr="000B0A20">
        <w:t xml:space="preserve">he generally accepted standard that </w:t>
      </w:r>
      <w:r w:rsidR="00087EF2">
        <w:rPr>
          <w:bCs/>
        </w:rPr>
        <w:t>e</w:t>
      </w:r>
      <w:r w:rsidR="00142131">
        <w:rPr>
          <w:bCs/>
        </w:rPr>
        <w:t>nables</w:t>
      </w:r>
      <w:r w:rsidR="00142131">
        <w:t xml:space="preserve"> data exchange over wide area networks between utility control centers, Independent System Operators (ISOs), Regional Transmission Operators (RTOs), and other Generators.</w:t>
      </w:r>
      <w:r w:rsidR="003A3051" w:rsidRPr="003A3051">
        <w:rPr>
          <w:b/>
        </w:rPr>
        <w:t xml:space="preserve"> </w:t>
      </w:r>
    </w:p>
    <w:p w14:paraId="7FE24768" w14:textId="77777777" w:rsidR="003A3051" w:rsidRPr="003A3051" w:rsidRDefault="003A3051" w:rsidP="003A3051">
      <w:pPr>
        <w:widowControl w:val="0"/>
        <w:spacing w:line="360" w:lineRule="auto"/>
      </w:pPr>
      <w:r w:rsidRPr="003A3051">
        <w:rPr>
          <w:b/>
        </w:rPr>
        <w:t>Internal GHG Resource</w:t>
      </w:r>
    </w:p>
    <w:p w14:paraId="26DA5EAA" w14:textId="77777777" w:rsidR="003A3051" w:rsidRPr="003A3051" w:rsidRDefault="003A3051" w:rsidP="003A3051">
      <w:pPr>
        <w:tabs>
          <w:tab w:val="left" w:pos="4500"/>
        </w:tabs>
        <w:spacing w:after="0" w:line="300" w:lineRule="auto"/>
        <w:ind w:left="720"/>
        <w:rPr>
          <w:szCs w:val="24"/>
        </w:rPr>
      </w:pPr>
      <w:r w:rsidRPr="003A3051">
        <w:rPr>
          <w:szCs w:val="24"/>
        </w:rPr>
        <w:t xml:space="preserve">As defined in the Markets+ Tariff. </w:t>
      </w:r>
    </w:p>
    <w:p w14:paraId="0DAC4A3D" w14:textId="77777777" w:rsidR="003A3051" w:rsidRPr="003A3051" w:rsidRDefault="003A3051" w:rsidP="003A3051">
      <w:pPr>
        <w:spacing w:before="120" w:line="300" w:lineRule="auto"/>
        <w:rPr>
          <w:b/>
          <w:szCs w:val="24"/>
        </w:rPr>
      </w:pPr>
      <w:r w:rsidRPr="003A3051">
        <w:rPr>
          <w:b/>
          <w:szCs w:val="24"/>
        </w:rPr>
        <w:t>Intra-Day Reliability Unit Commitment (Intra-Day RUC)</w:t>
      </w:r>
    </w:p>
    <w:p w14:paraId="25A8CC12" w14:textId="5B1AAB26" w:rsidR="003A3051" w:rsidRPr="003A3051" w:rsidRDefault="003A3051" w:rsidP="000B0A20">
      <w:pPr>
        <w:spacing w:before="120" w:line="300" w:lineRule="auto"/>
        <w:ind w:left="720"/>
        <w:rPr>
          <w:szCs w:val="24"/>
        </w:rPr>
      </w:pPr>
      <w:r w:rsidRPr="003A3051">
        <w:rPr>
          <w:szCs w:val="24"/>
        </w:rPr>
        <w:t xml:space="preserve">The process performed by </w:t>
      </w:r>
      <w:r w:rsidR="00D3628F">
        <w:rPr>
          <w:szCs w:val="24"/>
        </w:rPr>
        <w:t>the Market Operator</w:t>
      </w:r>
      <w:r w:rsidR="00D3628F" w:rsidRPr="003A3051">
        <w:rPr>
          <w:szCs w:val="24"/>
        </w:rPr>
        <w:t xml:space="preserve"> </w:t>
      </w:r>
      <w:r w:rsidRPr="003A3051">
        <w:rPr>
          <w:szCs w:val="24"/>
        </w:rPr>
        <w:t xml:space="preserve">throughout the Operating day to assess Resource </w:t>
      </w:r>
      <w:r w:rsidRPr="003A3051" w:rsidDel="0071076A">
        <w:rPr>
          <w:szCs w:val="24"/>
        </w:rPr>
        <w:t>a</w:t>
      </w:r>
      <w:r w:rsidRPr="003A3051">
        <w:rPr>
          <w:szCs w:val="24"/>
        </w:rPr>
        <w:t xml:space="preserve">nd Flexibility Reserve adequacy for the Operating Day, commit </w:t>
      </w:r>
      <w:r w:rsidRPr="003A3051" w:rsidDel="0046151A">
        <w:rPr>
          <w:szCs w:val="24"/>
        </w:rPr>
        <w:t>and/or</w:t>
      </w:r>
      <w:r w:rsidRPr="003A3051">
        <w:rPr>
          <w:szCs w:val="24"/>
        </w:rPr>
        <w:t xml:space="preserve"> de-commit Resources as necessary, and communicate commitment or de-commitment of Resources to the appropriate Market Participants as necessary.</w:t>
      </w:r>
    </w:p>
    <w:p w14:paraId="57A99412"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2" w:name="_Toc213771741"/>
      <w:r w:rsidRPr="003A3051">
        <w:rPr>
          <w:rFonts w:eastAsia="Calibri" w:cs="Arial"/>
          <w:b/>
          <w:bCs/>
          <w:iCs/>
          <w:szCs w:val="28"/>
        </w:rPr>
        <w:t>J – Definitions</w:t>
      </w:r>
      <w:bookmarkEnd w:id="22"/>
      <w:r w:rsidRPr="003A3051">
        <w:rPr>
          <w:rFonts w:eastAsia="Calibri" w:cs="Arial"/>
          <w:b/>
          <w:bCs/>
          <w:iCs/>
          <w:szCs w:val="28"/>
        </w:rPr>
        <w:t> </w:t>
      </w:r>
    </w:p>
    <w:p w14:paraId="1FA265F6" w14:textId="77777777" w:rsidR="003A3051" w:rsidRPr="003A3051" w:rsidRDefault="003A3051" w:rsidP="003A3051">
      <w:pPr>
        <w:spacing w:before="120" w:line="300" w:lineRule="auto"/>
        <w:rPr>
          <w:b/>
          <w:szCs w:val="24"/>
        </w:rPr>
      </w:pPr>
      <w:r w:rsidRPr="003A3051">
        <w:rPr>
          <w:b/>
          <w:szCs w:val="24"/>
        </w:rPr>
        <w:t>Jointly Owned Unit</w:t>
      </w:r>
    </w:p>
    <w:p w14:paraId="342E45AA" w14:textId="4072DD24" w:rsidR="003A3051" w:rsidRPr="003A3051" w:rsidRDefault="003A3051" w:rsidP="003A3051">
      <w:pPr>
        <w:spacing w:before="120" w:line="300" w:lineRule="auto"/>
        <w:ind w:left="720"/>
        <w:rPr>
          <w:szCs w:val="24"/>
        </w:rPr>
      </w:pPr>
      <w:r w:rsidRPr="003A3051">
        <w:rPr>
          <w:szCs w:val="24"/>
        </w:rPr>
        <w:t xml:space="preserve">As defined in the </w:t>
      </w:r>
      <w:r w:rsidRPr="003A3051" w:rsidDel="0071076A">
        <w:rPr>
          <w:szCs w:val="24"/>
        </w:rPr>
        <w:t>Markets+</w:t>
      </w:r>
      <w:r w:rsidR="00BC1C6F">
        <w:rPr>
          <w:szCs w:val="24"/>
        </w:rPr>
        <w:t xml:space="preserve"> </w:t>
      </w:r>
      <w:r w:rsidRPr="003A3051" w:rsidDel="003E0E47">
        <w:rPr>
          <w:szCs w:val="24"/>
        </w:rPr>
        <w:t>Tariff</w:t>
      </w:r>
      <w:r w:rsidRPr="003A3051">
        <w:rPr>
          <w:szCs w:val="24"/>
        </w:rPr>
        <w:t>.</w:t>
      </w:r>
    </w:p>
    <w:p w14:paraId="6E33668B"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3" w:name="_Toc213771742"/>
      <w:r w:rsidRPr="003A3051">
        <w:rPr>
          <w:rFonts w:eastAsia="Calibri" w:cs="Arial"/>
          <w:b/>
          <w:bCs/>
          <w:iCs/>
          <w:szCs w:val="28"/>
        </w:rPr>
        <w:t>K – Definitions</w:t>
      </w:r>
      <w:bookmarkEnd w:id="23"/>
      <w:r w:rsidRPr="003A3051">
        <w:rPr>
          <w:rFonts w:eastAsia="Calibri" w:cs="Arial"/>
          <w:b/>
          <w:bCs/>
          <w:iCs/>
          <w:szCs w:val="28"/>
        </w:rPr>
        <w:t> </w:t>
      </w:r>
    </w:p>
    <w:p w14:paraId="44F1CFE4"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4" w:name="_Toc213771743"/>
      <w:r w:rsidRPr="003A3051">
        <w:rPr>
          <w:rFonts w:eastAsia="Calibri" w:cs="Arial"/>
          <w:b/>
          <w:bCs/>
          <w:iCs/>
          <w:szCs w:val="28"/>
        </w:rPr>
        <w:t>L – Definitions</w:t>
      </w:r>
      <w:bookmarkEnd w:id="24"/>
      <w:r w:rsidRPr="003A3051">
        <w:rPr>
          <w:rFonts w:eastAsia="Calibri" w:cs="Arial"/>
          <w:b/>
          <w:bCs/>
          <w:iCs/>
          <w:szCs w:val="28"/>
        </w:rPr>
        <w:t> </w:t>
      </w:r>
    </w:p>
    <w:p w14:paraId="0BC13F2A" w14:textId="77777777" w:rsidR="003A3051" w:rsidRPr="003A3051" w:rsidRDefault="003A3051" w:rsidP="003A3051">
      <w:pPr>
        <w:spacing w:before="120" w:line="360" w:lineRule="auto"/>
        <w:rPr>
          <w:b/>
          <w:color w:val="000000"/>
        </w:rPr>
      </w:pPr>
      <w:r w:rsidRPr="003A3051">
        <w:rPr>
          <w:b/>
          <w:color w:val="000000"/>
        </w:rPr>
        <w:t>Legacy Transmission Service</w:t>
      </w:r>
      <w:r w:rsidRPr="003A3051">
        <w:rPr>
          <w:b/>
          <w:color w:val="000000"/>
        </w:rPr>
        <w:tab/>
      </w:r>
    </w:p>
    <w:p w14:paraId="0FA0DFDD" w14:textId="77777777" w:rsidR="003A3051" w:rsidRPr="003A3051" w:rsidRDefault="003A3051" w:rsidP="003A3051">
      <w:pPr>
        <w:spacing w:before="120" w:line="300" w:lineRule="auto"/>
        <w:ind w:left="720"/>
        <w:rPr>
          <w:szCs w:val="24"/>
        </w:rPr>
      </w:pPr>
      <w:r w:rsidRPr="003A3051">
        <w:rPr>
          <w:szCs w:val="24"/>
        </w:rPr>
        <w:t>As defined in the Markets+ Tariff.</w:t>
      </w:r>
    </w:p>
    <w:p w14:paraId="6B7A3E58" w14:textId="77777777" w:rsidR="00E6263B" w:rsidRDefault="00E6263B" w:rsidP="003A3051">
      <w:pPr>
        <w:spacing w:before="120" w:line="300" w:lineRule="auto"/>
        <w:rPr>
          <w:b/>
          <w:szCs w:val="24"/>
        </w:rPr>
      </w:pPr>
      <w:r w:rsidRPr="00E6263B">
        <w:rPr>
          <w:b/>
          <w:szCs w:val="24"/>
        </w:rPr>
        <w:t>Load Responsible Entity (LRE)</w:t>
      </w:r>
    </w:p>
    <w:p w14:paraId="36FE59EE" w14:textId="77777777" w:rsidR="00E6263B" w:rsidRPr="003A3051" w:rsidRDefault="00E6263B" w:rsidP="00E6263B">
      <w:pPr>
        <w:spacing w:before="120" w:line="300" w:lineRule="auto"/>
        <w:ind w:left="720"/>
        <w:rPr>
          <w:szCs w:val="24"/>
        </w:rPr>
      </w:pPr>
      <w:r w:rsidRPr="003A3051">
        <w:rPr>
          <w:szCs w:val="24"/>
        </w:rPr>
        <w:t xml:space="preserve">As defined in the </w:t>
      </w:r>
      <w:r w:rsidRPr="003A3051" w:rsidDel="0071076A">
        <w:rPr>
          <w:szCs w:val="24"/>
        </w:rPr>
        <w:t>Markets+</w:t>
      </w:r>
      <w:r w:rsidRPr="003A3051">
        <w:rPr>
          <w:szCs w:val="24"/>
        </w:rPr>
        <w:t xml:space="preserve"> </w:t>
      </w:r>
      <w:r w:rsidRPr="003A3051" w:rsidDel="003E0E47">
        <w:rPr>
          <w:szCs w:val="24"/>
        </w:rPr>
        <w:t>Tariff</w:t>
      </w:r>
      <w:r w:rsidRPr="003A3051">
        <w:rPr>
          <w:szCs w:val="24"/>
        </w:rPr>
        <w:t>.</w:t>
      </w:r>
    </w:p>
    <w:p w14:paraId="29B8DE34" w14:textId="2924BD14" w:rsidR="003A3051" w:rsidRPr="003A3051" w:rsidRDefault="003A3051" w:rsidP="003A3051">
      <w:pPr>
        <w:spacing w:before="120" w:line="300" w:lineRule="auto"/>
        <w:rPr>
          <w:b/>
          <w:szCs w:val="24"/>
        </w:rPr>
      </w:pPr>
      <w:r w:rsidRPr="003A3051">
        <w:rPr>
          <w:b/>
          <w:szCs w:val="24"/>
        </w:rPr>
        <w:t xml:space="preserve">Load Serving Entity </w:t>
      </w:r>
    </w:p>
    <w:p w14:paraId="34313E38" w14:textId="77777777" w:rsidR="003A3051" w:rsidRPr="003A3051" w:rsidRDefault="003A3051" w:rsidP="003A3051">
      <w:pPr>
        <w:spacing w:before="120" w:line="300" w:lineRule="auto"/>
        <w:ind w:left="720"/>
        <w:rPr>
          <w:szCs w:val="24"/>
        </w:rPr>
      </w:pPr>
      <w:r w:rsidRPr="003A3051">
        <w:rPr>
          <w:szCs w:val="24"/>
        </w:rPr>
        <w:t xml:space="preserve">As defined in the </w:t>
      </w:r>
      <w:r w:rsidRPr="003A3051" w:rsidDel="0071076A">
        <w:rPr>
          <w:szCs w:val="24"/>
        </w:rPr>
        <w:t>Markets+</w:t>
      </w:r>
      <w:r w:rsidRPr="003A3051">
        <w:rPr>
          <w:szCs w:val="24"/>
        </w:rPr>
        <w:t xml:space="preserve"> </w:t>
      </w:r>
      <w:r w:rsidRPr="003A3051" w:rsidDel="003E0E47">
        <w:rPr>
          <w:szCs w:val="24"/>
        </w:rPr>
        <w:t>Tariff</w:t>
      </w:r>
      <w:r w:rsidRPr="003A3051">
        <w:rPr>
          <w:szCs w:val="24"/>
        </w:rPr>
        <w:t>.</w:t>
      </w:r>
    </w:p>
    <w:p w14:paraId="602CAF34" w14:textId="77777777" w:rsidR="003A3051" w:rsidRPr="003A3051" w:rsidRDefault="003A3051" w:rsidP="003A3051">
      <w:pPr>
        <w:spacing w:before="120" w:line="300" w:lineRule="auto"/>
        <w:rPr>
          <w:rFonts w:eastAsia="Aptos" w:cs="Arial"/>
          <w:b/>
          <w:bCs/>
          <w:kern w:val="2"/>
          <w:sz w:val="22"/>
          <w:szCs w:val="26"/>
          <w14:ligatures w14:val="standardContextual"/>
        </w:rPr>
      </w:pPr>
      <w:r w:rsidRPr="003A3051">
        <w:rPr>
          <w:rFonts w:eastAsia="Calibri" w:cs="Arial"/>
          <w:b/>
          <w:bCs/>
          <w:szCs w:val="26"/>
        </w:rPr>
        <w:t>Local Reliability Issue</w:t>
      </w:r>
    </w:p>
    <w:p w14:paraId="2D4A34F5" w14:textId="32264487" w:rsidR="003A3051" w:rsidRPr="003A3051" w:rsidRDefault="003A3051" w:rsidP="003A3051">
      <w:pPr>
        <w:spacing w:before="120" w:line="300" w:lineRule="auto"/>
        <w:ind w:left="720"/>
        <w:rPr>
          <w:rFonts w:eastAsia="Aptos" w:cs="Arial"/>
          <w:bCs/>
          <w:kern w:val="2"/>
          <w:sz w:val="22"/>
          <w:szCs w:val="26"/>
          <w14:ligatures w14:val="standardContextual"/>
        </w:rPr>
      </w:pPr>
      <w:r w:rsidRPr="003A3051">
        <w:rPr>
          <w:rFonts w:eastAsia="Calibri" w:cs="Arial"/>
          <w:bCs/>
          <w:szCs w:val="26"/>
        </w:rPr>
        <w:t xml:space="preserve">As defined in the </w:t>
      </w:r>
      <w:r w:rsidRPr="003A3051" w:rsidDel="0071076A">
        <w:rPr>
          <w:rFonts w:eastAsia="Calibri" w:cs="Arial"/>
          <w:bCs/>
          <w:szCs w:val="26"/>
        </w:rPr>
        <w:t>Markets+</w:t>
      </w:r>
      <w:r w:rsidR="00BC1C6F">
        <w:rPr>
          <w:rFonts w:eastAsia="Calibri" w:cs="Arial"/>
          <w:bCs/>
          <w:szCs w:val="26"/>
        </w:rPr>
        <w:t xml:space="preserve"> </w:t>
      </w:r>
      <w:r w:rsidRPr="003A3051" w:rsidDel="008C0625">
        <w:rPr>
          <w:rFonts w:eastAsia="Calibri" w:cs="Arial"/>
          <w:bCs/>
          <w:szCs w:val="26"/>
        </w:rPr>
        <w:t>Tariff</w:t>
      </w:r>
      <w:r w:rsidRPr="003A3051">
        <w:rPr>
          <w:rFonts w:eastAsia="Calibri" w:cs="Arial"/>
          <w:bCs/>
          <w:szCs w:val="26"/>
        </w:rPr>
        <w:t>.</w:t>
      </w:r>
    </w:p>
    <w:p w14:paraId="6D43D2BF" w14:textId="77777777" w:rsidR="003A3051" w:rsidRPr="003A3051" w:rsidRDefault="003A3051" w:rsidP="003A3051">
      <w:pPr>
        <w:spacing w:before="120" w:line="300" w:lineRule="auto"/>
        <w:rPr>
          <w:rFonts w:eastAsia="Aptos" w:cs="Arial"/>
          <w:b/>
          <w:bCs/>
          <w:kern w:val="2"/>
          <w:sz w:val="22"/>
          <w:szCs w:val="26"/>
          <w14:ligatures w14:val="standardContextual"/>
        </w:rPr>
      </w:pPr>
      <w:r w:rsidRPr="003A3051">
        <w:rPr>
          <w:rFonts w:eastAsia="Calibri" w:cs="Arial"/>
          <w:b/>
          <w:bCs/>
          <w:szCs w:val="26"/>
        </w:rPr>
        <w:t>Local Reliability Issue Commitment</w:t>
      </w:r>
    </w:p>
    <w:p w14:paraId="5DF8EAC9" w14:textId="77777777" w:rsidR="003A3051" w:rsidRPr="003A3051" w:rsidRDefault="003A3051" w:rsidP="003A3051">
      <w:pPr>
        <w:spacing w:before="120" w:line="300" w:lineRule="auto"/>
        <w:rPr>
          <w:rFonts w:eastAsia="Aptos" w:cs="Arial"/>
          <w:bCs/>
          <w:kern w:val="2"/>
          <w:sz w:val="22"/>
          <w:szCs w:val="26"/>
          <w14:ligatures w14:val="standardContextual"/>
        </w:rPr>
      </w:pPr>
      <w:r w:rsidRPr="003A3051">
        <w:rPr>
          <w:rFonts w:eastAsia="Calibri" w:cs="Arial"/>
          <w:bCs/>
          <w:szCs w:val="26"/>
        </w:rPr>
        <w:tab/>
        <w:t xml:space="preserve">As defined in the </w:t>
      </w:r>
      <w:r w:rsidRPr="003A3051" w:rsidDel="0071076A">
        <w:rPr>
          <w:rFonts w:eastAsia="Calibri" w:cs="Arial"/>
          <w:bCs/>
          <w:szCs w:val="26"/>
        </w:rPr>
        <w:t>Markets+</w:t>
      </w:r>
      <w:r w:rsidRPr="003A3051">
        <w:rPr>
          <w:rFonts w:eastAsia="Calibri" w:cs="Arial"/>
          <w:bCs/>
          <w:szCs w:val="26"/>
        </w:rPr>
        <w:t xml:space="preserve"> Tariff.</w:t>
      </w:r>
    </w:p>
    <w:p w14:paraId="31541589" w14:textId="77777777" w:rsidR="003A3051" w:rsidRPr="003A3051" w:rsidRDefault="003A3051" w:rsidP="003A3051">
      <w:pPr>
        <w:spacing w:before="120" w:line="300" w:lineRule="auto"/>
        <w:rPr>
          <w:b/>
          <w:szCs w:val="24"/>
        </w:rPr>
      </w:pPr>
      <w:r w:rsidRPr="003A3051">
        <w:rPr>
          <w:b/>
          <w:szCs w:val="24"/>
        </w:rPr>
        <w:t>Locational Marginal Price (LMP)</w:t>
      </w:r>
    </w:p>
    <w:p w14:paraId="01CAED8F" w14:textId="77777777" w:rsidR="003A3051" w:rsidRDefault="003A3051" w:rsidP="003A3051">
      <w:pPr>
        <w:spacing w:before="120" w:line="300" w:lineRule="auto"/>
        <w:ind w:left="720"/>
        <w:rPr>
          <w:rFonts w:eastAsia="Aptos"/>
          <w:szCs w:val="24"/>
        </w:rPr>
      </w:pPr>
      <w:r w:rsidRPr="003A3051">
        <w:rPr>
          <w:szCs w:val="24"/>
        </w:rPr>
        <w:t xml:space="preserve">As defined in the Markets+ Tariff. </w:t>
      </w:r>
    </w:p>
    <w:p w14:paraId="5D88690C" w14:textId="45D3121D" w:rsidR="005B66DE" w:rsidRDefault="005B66DE" w:rsidP="005B66DE">
      <w:pPr>
        <w:spacing w:line="360" w:lineRule="auto"/>
        <w:rPr>
          <w:b/>
          <w:color w:val="000000"/>
        </w:rPr>
      </w:pPr>
      <w:r>
        <w:rPr>
          <w:b/>
          <w:color w:val="000000"/>
        </w:rPr>
        <w:t>Low Operating Tolerance</w:t>
      </w:r>
    </w:p>
    <w:p w14:paraId="5532CC52" w14:textId="01766DCE" w:rsidR="005B66DE" w:rsidRPr="00D60D61" w:rsidRDefault="005B66DE" w:rsidP="005B66DE">
      <w:pPr>
        <w:spacing w:line="360" w:lineRule="auto"/>
        <w:rPr>
          <w:bCs/>
          <w:color w:val="000000"/>
        </w:rPr>
      </w:pPr>
      <w:r>
        <w:rPr>
          <w:b/>
          <w:color w:val="000000"/>
        </w:rPr>
        <w:tab/>
      </w:r>
      <w:r w:rsidR="0004764E">
        <w:rPr>
          <w:bCs/>
          <w:color w:val="000000"/>
        </w:rPr>
        <w:t xml:space="preserve">The lower band of a </w:t>
      </w:r>
      <w:r>
        <w:rPr>
          <w:bCs/>
          <w:color w:val="000000"/>
        </w:rPr>
        <w:t xml:space="preserve"> Resource’s Operating Tolerance adjusted downward by the amount of deployed regulation in the down direction.</w:t>
      </w:r>
    </w:p>
    <w:p w14:paraId="759A1946" w14:textId="77777777" w:rsidR="005B66DE" w:rsidRPr="003A3051" w:rsidRDefault="005B66DE" w:rsidP="003A3051">
      <w:pPr>
        <w:spacing w:before="120" w:line="300" w:lineRule="auto"/>
        <w:ind w:left="720"/>
        <w:rPr>
          <w:rFonts w:eastAsia="Aptos" w:cs="Arial"/>
          <w:kern w:val="2"/>
          <w:sz w:val="22"/>
          <w:szCs w:val="24"/>
          <w14:ligatures w14:val="standardContextual"/>
        </w:rPr>
      </w:pPr>
    </w:p>
    <w:p w14:paraId="610830AF" w14:textId="2C1DEDE6" w:rsidR="003A3051" w:rsidRPr="003A3051" w:rsidRDefault="003A3051" w:rsidP="003A3051">
      <w:pPr>
        <w:keepNext/>
        <w:spacing w:before="240" w:after="60" w:line="276" w:lineRule="auto"/>
        <w:jc w:val="left"/>
        <w:outlineLvl w:val="1"/>
        <w:rPr>
          <w:rFonts w:eastAsia="Calibri" w:cs="Arial"/>
          <w:b/>
          <w:bCs/>
          <w:iCs/>
          <w:szCs w:val="28"/>
        </w:rPr>
      </w:pPr>
      <w:bookmarkStart w:id="25" w:name="_Toc213771744"/>
      <w:r w:rsidRPr="003A3051">
        <w:rPr>
          <w:rFonts w:eastAsia="Calibri" w:cs="Arial"/>
          <w:b/>
          <w:bCs/>
          <w:iCs/>
          <w:szCs w:val="28"/>
        </w:rPr>
        <w:t>M – Definitions</w:t>
      </w:r>
      <w:bookmarkEnd w:id="25"/>
      <w:r w:rsidRPr="003A3051">
        <w:rPr>
          <w:rFonts w:eastAsia="Calibri" w:cs="Arial"/>
          <w:b/>
          <w:bCs/>
          <w:iCs/>
          <w:szCs w:val="28"/>
        </w:rPr>
        <w:t> </w:t>
      </w:r>
    </w:p>
    <w:p w14:paraId="50FE36AC" w14:textId="7415F523" w:rsidR="003A3051" w:rsidRPr="003A3051" w:rsidRDefault="003A3051" w:rsidP="003A3051">
      <w:pPr>
        <w:keepNext/>
        <w:spacing w:before="120" w:line="300" w:lineRule="auto"/>
        <w:rPr>
          <w:b/>
          <w:szCs w:val="24"/>
        </w:rPr>
      </w:pPr>
      <w:r w:rsidRPr="003A3051">
        <w:rPr>
          <w:b/>
          <w:szCs w:val="24"/>
        </w:rPr>
        <w:t>Marginal Congestion Component</w:t>
      </w:r>
      <w:r w:rsidR="00317F02">
        <w:rPr>
          <w:b/>
          <w:szCs w:val="24"/>
        </w:rPr>
        <w:t xml:space="preserve"> (MCC)</w:t>
      </w:r>
    </w:p>
    <w:p w14:paraId="438445AB" w14:textId="77777777" w:rsidR="003A3051" w:rsidRPr="003A3051" w:rsidRDefault="003A3051" w:rsidP="003A3051">
      <w:pPr>
        <w:keepNext/>
        <w:spacing w:before="120" w:line="300" w:lineRule="auto"/>
        <w:ind w:left="720"/>
        <w:rPr>
          <w:bCs/>
          <w:szCs w:val="24"/>
        </w:rPr>
      </w:pPr>
      <w:r w:rsidRPr="003A3051">
        <w:rPr>
          <w:bCs/>
          <w:szCs w:val="24"/>
        </w:rPr>
        <w:t>As defined in the Markets+ Tariff.</w:t>
      </w:r>
    </w:p>
    <w:p w14:paraId="44717B26" w14:textId="5EF32E82" w:rsidR="003A3051" w:rsidRPr="003A3051" w:rsidRDefault="003A3051" w:rsidP="003A3051">
      <w:pPr>
        <w:keepNext/>
        <w:spacing w:before="120" w:line="300" w:lineRule="auto"/>
        <w:rPr>
          <w:b/>
          <w:szCs w:val="24"/>
        </w:rPr>
      </w:pPr>
      <w:r w:rsidRPr="003A3051">
        <w:rPr>
          <w:b/>
          <w:szCs w:val="24"/>
        </w:rPr>
        <w:t>Marginal Energy Component</w:t>
      </w:r>
      <w:r w:rsidR="00317F02">
        <w:rPr>
          <w:b/>
          <w:szCs w:val="24"/>
        </w:rPr>
        <w:t xml:space="preserve"> (MEC)</w:t>
      </w:r>
    </w:p>
    <w:p w14:paraId="508E4C53" w14:textId="77777777" w:rsidR="003A3051" w:rsidRPr="003A3051" w:rsidRDefault="003A3051" w:rsidP="003A3051">
      <w:pPr>
        <w:keepNext/>
        <w:spacing w:before="120" w:line="300" w:lineRule="auto"/>
        <w:ind w:left="720"/>
        <w:rPr>
          <w:bCs/>
          <w:szCs w:val="24"/>
        </w:rPr>
      </w:pPr>
      <w:r w:rsidRPr="003A3051">
        <w:rPr>
          <w:bCs/>
          <w:szCs w:val="24"/>
        </w:rPr>
        <w:t>As defined in the Markets+ Tariff.</w:t>
      </w:r>
    </w:p>
    <w:p w14:paraId="7E12FF17" w14:textId="77777777" w:rsidR="003A3051" w:rsidRPr="003A3051" w:rsidRDefault="003A3051" w:rsidP="003A3051">
      <w:pPr>
        <w:keepNext/>
        <w:spacing w:before="120" w:line="300" w:lineRule="auto"/>
        <w:rPr>
          <w:b/>
          <w:szCs w:val="24"/>
        </w:rPr>
      </w:pPr>
      <w:r w:rsidRPr="003A3051">
        <w:rPr>
          <w:b/>
          <w:szCs w:val="24"/>
        </w:rPr>
        <w:t>Marginal GHG Price</w:t>
      </w:r>
    </w:p>
    <w:p w14:paraId="39D1079F" w14:textId="77777777" w:rsidR="003A3051" w:rsidRPr="003A3051" w:rsidRDefault="003A3051" w:rsidP="003A3051">
      <w:pPr>
        <w:keepNext/>
        <w:spacing w:before="120" w:line="300" w:lineRule="auto"/>
        <w:ind w:left="720"/>
        <w:rPr>
          <w:bCs/>
          <w:szCs w:val="24"/>
        </w:rPr>
      </w:pPr>
      <w:r w:rsidRPr="003A3051">
        <w:rPr>
          <w:bCs/>
          <w:szCs w:val="24"/>
        </w:rPr>
        <w:t>As defined in the Markets+ Tariff.</w:t>
      </w:r>
    </w:p>
    <w:p w14:paraId="231E38C1" w14:textId="77777777" w:rsidR="003A3051" w:rsidRPr="003A3051" w:rsidRDefault="003A3051" w:rsidP="003A3051">
      <w:pPr>
        <w:keepNext/>
        <w:spacing w:before="120" w:line="300" w:lineRule="auto"/>
        <w:rPr>
          <w:b/>
          <w:szCs w:val="24"/>
        </w:rPr>
      </w:pPr>
      <w:r w:rsidRPr="003A3051">
        <w:rPr>
          <w:b/>
          <w:szCs w:val="24"/>
        </w:rPr>
        <w:t>Marginal Loss Component</w:t>
      </w:r>
    </w:p>
    <w:p w14:paraId="5973FD5B" w14:textId="77777777" w:rsidR="003A3051" w:rsidRPr="003A3051" w:rsidRDefault="003A3051" w:rsidP="003A3051">
      <w:pPr>
        <w:keepNext/>
        <w:spacing w:before="120" w:line="300" w:lineRule="auto"/>
        <w:ind w:left="720"/>
        <w:rPr>
          <w:bCs/>
          <w:szCs w:val="24"/>
        </w:rPr>
      </w:pPr>
      <w:r w:rsidRPr="003A3051">
        <w:rPr>
          <w:bCs/>
          <w:szCs w:val="24"/>
        </w:rPr>
        <w:t>As defined in the Markets+ Tariff.</w:t>
      </w:r>
    </w:p>
    <w:p w14:paraId="51CB8392" w14:textId="77777777" w:rsidR="003A3051" w:rsidRPr="003A3051" w:rsidRDefault="003A3051" w:rsidP="003A3051">
      <w:pPr>
        <w:keepNext/>
        <w:spacing w:before="120" w:line="300" w:lineRule="auto"/>
        <w:rPr>
          <w:b/>
          <w:szCs w:val="24"/>
        </w:rPr>
      </w:pPr>
      <w:r w:rsidRPr="003A3051">
        <w:rPr>
          <w:b/>
          <w:szCs w:val="24"/>
        </w:rPr>
        <w:t>Market Clearing Price (MCP)</w:t>
      </w:r>
    </w:p>
    <w:p w14:paraId="07834704" w14:textId="77777777" w:rsidR="003A3051" w:rsidRPr="003A3051" w:rsidRDefault="003A3051" w:rsidP="003A3051">
      <w:pPr>
        <w:keepNext/>
        <w:spacing w:before="120" w:line="300" w:lineRule="auto"/>
        <w:ind w:left="720"/>
        <w:rPr>
          <w:bCs/>
          <w:szCs w:val="24"/>
        </w:rPr>
      </w:pPr>
      <w:r w:rsidRPr="003A3051">
        <w:rPr>
          <w:bCs/>
          <w:szCs w:val="24"/>
        </w:rPr>
        <w:t>As defined in the Markets+ Tariff.</w:t>
      </w:r>
    </w:p>
    <w:p w14:paraId="52482929" w14:textId="77777777" w:rsidR="003A3051" w:rsidRPr="003A3051" w:rsidRDefault="003A3051" w:rsidP="003A3051">
      <w:pPr>
        <w:keepNext/>
        <w:spacing w:before="120" w:line="300" w:lineRule="auto"/>
        <w:rPr>
          <w:b/>
          <w:bCs/>
          <w:szCs w:val="24"/>
        </w:rPr>
      </w:pPr>
      <w:r w:rsidRPr="003A3051">
        <w:rPr>
          <w:b/>
          <w:bCs/>
          <w:szCs w:val="24"/>
        </w:rPr>
        <w:t>Market Commitment</w:t>
      </w:r>
    </w:p>
    <w:p w14:paraId="355FF964" w14:textId="77777777" w:rsidR="003A3051" w:rsidRPr="003A3051" w:rsidRDefault="003A3051" w:rsidP="003A3051">
      <w:pPr>
        <w:keepNext/>
        <w:spacing w:before="120" w:line="300" w:lineRule="auto"/>
        <w:ind w:left="720"/>
        <w:rPr>
          <w:color w:val="000000"/>
          <w:szCs w:val="24"/>
        </w:rPr>
      </w:pPr>
      <w:r w:rsidRPr="003A3051">
        <w:rPr>
          <w:bCs/>
          <w:color w:val="000000"/>
          <w:szCs w:val="24"/>
        </w:rPr>
        <w:t>As defined in the Markets+ Tariff.</w:t>
      </w:r>
    </w:p>
    <w:p w14:paraId="3DEF2F98" w14:textId="77777777" w:rsidR="003A3051" w:rsidRPr="003A3051" w:rsidRDefault="003A3051" w:rsidP="003A3051">
      <w:pPr>
        <w:keepNext/>
        <w:spacing w:before="120" w:line="300" w:lineRule="auto"/>
        <w:rPr>
          <w:b/>
          <w:bCs/>
          <w:szCs w:val="24"/>
        </w:rPr>
      </w:pPr>
      <w:r w:rsidRPr="003A3051">
        <w:rPr>
          <w:b/>
          <w:bCs/>
          <w:szCs w:val="24"/>
        </w:rPr>
        <w:t>Market Monitor</w:t>
      </w:r>
    </w:p>
    <w:p w14:paraId="1C01B1E3" w14:textId="77777777" w:rsidR="003A3051" w:rsidRPr="003A3051" w:rsidRDefault="003A3051" w:rsidP="003A3051">
      <w:pPr>
        <w:keepNext/>
        <w:spacing w:before="120" w:line="300" w:lineRule="auto"/>
        <w:ind w:left="720"/>
        <w:rPr>
          <w:bCs/>
          <w:color w:val="000000"/>
          <w:szCs w:val="24"/>
        </w:rPr>
      </w:pPr>
      <w:r w:rsidRPr="003A3051">
        <w:rPr>
          <w:bCs/>
          <w:color w:val="000000"/>
          <w:szCs w:val="24"/>
        </w:rPr>
        <w:t>As defined in the Markets+ Tariff.</w:t>
      </w:r>
    </w:p>
    <w:p w14:paraId="081218E0" w14:textId="77777777" w:rsidR="003A3051" w:rsidRPr="003A3051" w:rsidRDefault="003A3051" w:rsidP="003A3051">
      <w:pPr>
        <w:keepNext/>
        <w:spacing w:before="120" w:line="300" w:lineRule="auto"/>
        <w:rPr>
          <w:b/>
          <w:bCs/>
          <w:szCs w:val="24"/>
        </w:rPr>
      </w:pPr>
      <w:r w:rsidRPr="003A3051">
        <w:rPr>
          <w:b/>
          <w:bCs/>
          <w:szCs w:val="24"/>
        </w:rPr>
        <w:t>Market Operator</w:t>
      </w:r>
    </w:p>
    <w:p w14:paraId="395100D3" w14:textId="77777777" w:rsidR="003A3051" w:rsidRPr="003A3051" w:rsidRDefault="003A3051" w:rsidP="003A3051">
      <w:pPr>
        <w:keepNext/>
        <w:spacing w:before="120" w:line="300" w:lineRule="auto"/>
        <w:ind w:left="720"/>
        <w:rPr>
          <w:bCs/>
          <w:color w:val="000000"/>
          <w:szCs w:val="24"/>
        </w:rPr>
      </w:pPr>
      <w:r w:rsidRPr="003A3051">
        <w:rPr>
          <w:bCs/>
          <w:color w:val="000000"/>
          <w:szCs w:val="24"/>
        </w:rPr>
        <w:t>As defined in the Markets+ Tariff.</w:t>
      </w:r>
    </w:p>
    <w:p w14:paraId="76EAD0A5" w14:textId="7D2DB9F5" w:rsidR="003A3051" w:rsidRPr="003A3051" w:rsidRDefault="003A3051" w:rsidP="003A3051">
      <w:pPr>
        <w:spacing w:before="120" w:line="300" w:lineRule="auto"/>
        <w:rPr>
          <w:b/>
          <w:szCs w:val="24"/>
        </w:rPr>
      </w:pPr>
      <w:r w:rsidRPr="003A3051">
        <w:rPr>
          <w:b/>
          <w:szCs w:val="24"/>
        </w:rPr>
        <w:t>Market Participant</w:t>
      </w:r>
    </w:p>
    <w:p w14:paraId="29534221" w14:textId="7050FED0" w:rsidR="003A3051" w:rsidRPr="003A3051" w:rsidRDefault="003A3051" w:rsidP="003A3051">
      <w:pPr>
        <w:spacing w:before="120" w:line="300" w:lineRule="auto"/>
        <w:ind w:left="720"/>
        <w:rPr>
          <w:szCs w:val="24"/>
        </w:rPr>
      </w:pPr>
      <w:r w:rsidRPr="003A3051">
        <w:rPr>
          <w:szCs w:val="24"/>
        </w:rPr>
        <w:t xml:space="preserve">As defined in the </w:t>
      </w:r>
      <w:r w:rsidRPr="003A3051" w:rsidDel="00741EBC">
        <w:rPr>
          <w:szCs w:val="24"/>
        </w:rPr>
        <w:t>Markets+</w:t>
      </w:r>
      <w:r w:rsidRPr="003A3051">
        <w:rPr>
          <w:szCs w:val="24"/>
        </w:rPr>
        <w:t xml:space="preserve"> </w:t>
      </w:r>
      <w:r w:rsidRPr="003A3051" w:rsidDel="008C0625">
        <w:rPr>
          <w:szCs w:val="24"/>
        </w:rPr>
        <w:t>Tariff</w:t>
      </w:r>
      <w:r w:rsidRPr="003A3051">
        <w:rPr>
          <w:szCs w:val="24"/>
        </w:rPr>
        <w:t>.</w:t>
      </w:r>
    </w:p>
    <w:p w14:paraId="7A1CACF3" w14:textId="77777777" w:rsidR="003A3051" w:rsidRPr="003A3051" w:rsidRDefault="003A3051" w:rsidP="003A3051">
      <w:pPr>
        <w:spacing w:before="120" w:line="300" w:lineRule="auto"/>
        <w:rPr>
          <w:b/>
          <w:szCs w:val="24"/>
        </w:rPr>
      </w:pPr>
      <w:r w:rsidRPr="003A3051">
        <w:rPr>
          <w:b/>
          <w:szCs w:val="24"/>
        </w:rPr>
        <w:t>Market Storage Resource (MSR)</w:t>
      </w:r>
    </w:p>
    <w:p w14:paraId="3923D2A0"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17496DD7" w14:textId="2AFCACE5" w:rsidR="00247E06" w:rsidRPr="00247E06" w:rsidRDefault="00247E06" w:rsidP="00247E06">
      <w:pPr>
        <w:keepNext/>
        <w:spacing w:before="120" w:line="300" w:lineRule="auto"/>
        <w:rPr>
          <w:b/>
          <w:bCs/>
          <w:szCs w:val="24"/>
          <w14:ligatures w14:val="standardContextual"/>
        </w:rPr>
      </w:pPr>
      <w:r w:rsidRPr="00247E06">
        <w:rPr>
          <w:b/>
          <w:bCs/>
          <w:szCs w:val="24"/>
          <w14:ligatures w14:val="standardContextual"/>
        </w:rPr>
        <w:t>Market Transfer Interface (MTI)</w:t>
      </w:r>
    </w:p>
    <w:p w14:paraId="29BF2C7F" w14:textId="77777777" w:rsidR="00247E06" w:rsidRPr="00247E06" w:rsidRDefault="00247E06" w:rsidP="00247E06">
      <w:pPr>
        <w:keepNext/>
        <w:spacing w:before="120" w:line="300" w:lineRule="auto"/>
        <w:ind w:left="720"/>
        <w:rPr>
          <w:szCs w:val="24"/>
          <w14:ligatures w14:val="standardContextual"/>
        </w:rPr>
      </w:pPr>
      <w:r w:rsidRPr="00247E06">
        <w:rPr>
          <w:szCs w:val="24"/>
          <w14:ligatures w14:val="standardContextual"/>
        </w:rPr>
        <w:t>An interchange scheduling interface between two Participating Balancing Authority Areas at a shared scheduling point used to allocate optimized Markets+ energy transfers for scheduling and tagging purposes.</w:t>
      </w:r>
    </w:p>
    <w:p w14:paraId="1D303479" w14:textId="57954476" w:rsidR="00247E06" w:rsidRPr="00247E06" w:rsidRDefault="00247E06" w:rsidP="00247E06">
      <w:pPr>
        <w:keepNext/>
        <w:spacing w:before="120" w:line="300" w:lineRule="auto"/>
        <w:rPr>
          <w:b/>
          <w:bCs/>
          <w:szCs w:val="24"/>
          <w14:ligatures w14:val="standardContextual"/>
        </w:rPr>
      </w:pPr>
      <w:r w:rsidRPr="00247E06">
        <w:rPr>
          <w:b/>
          <w:bCs/>
          <w:szCs w:val="24"/>
          <w14:ligatures w14:val="standardContextual"/>
        </w:rPr>
        <w:t>Market Opt-in Transfer Interface (MOTI)</w:t>
      </w:r>
    </w:p>
    <w:p w14:paraId="6F697580" w14:textId="5675D46A" w:rsidR="00247E06" w:rsidRPr="00247E06" w:rsidRDefault="00247E06" w:rsidP="00247E06">
      <w:pPr>
        <w:keepNext/>
        <w:spacing w:before="120" w:line="300" w:lineRule="auto"/>
        <w:ind w:left="720"/>
        <w:rPr>
          <w:szCs w:val="24"/>
          <w14:ligatures w14:val="standardContextual"/>
        </w:rPr>
      </w:pPr>
      <w:r w:rsidRPr="00247E06">
        <w:rPr>
          <w:szCs w:val="24"/>
          <w14:ligatures w14:val="standardContextual"/>
        </w:rPr>
        <w:t>An interchange scheduling interface between two Participating Balancing Authority Areas using Markets+ Transmission Capacity from Opt-In transmission service across one or more non-Markets+ Transmission Service Providers to allocate optimized Markets+ energy transfers for scheduling and tagging purposes.</w:t>
      </w:r>
    </w:p>
    <w:p w14:paraId="191F2763" w14:textId="77777777" w:rsidR="004C582E" w:rsidRPr="003A3051" w:rsidRDefault="004C582E" w:rsidP="004C582E">
      <w:pPr>
        <w:keepNext/>
        <w:spacing w:before="120" w:line="300" w:lineRule="auto"/>
        <w:rPr>
          <w:b/>
        </w:rPr>
      </w:pPr>
      <w:r w:rsidRPr="003A3051" w:rsidDel="00733338">
        <w:rPr>
          <w:b/>
        </w:rPr>
        <w:t>Markets+</w:t>
      </w:r>
    </w:p>
    <w:p w14:paraId="5B36CD64" w14:textId="77777777" w:rsidR="004C582E" w:rsidRPr="003A3051" w:rsidRDefault="004C582E" w:rsidP="004C582E">
      <w:pPr>
        <w:keepNext/>
        <w:spacing w:before="120" w:line="300" w:lineRule="auto"/>
        <w:ind w:left="720"/>
      </w:pPr>
      <w:r w:rsidRPr="003A3051">
        <w:t>The Energy and Flexibility Reserve Markets.</w:t>
      </w:r>
    </w:p>
    <w:p w14:paraId="71B1423E" w14:textId="77777777" w:rsidR="00236929" w:rsidRPr="003A3051" w:rsidRDefault="00236929" w:rsidP="00236929">
      <w:pPr>
        <w:keepNext/>
        <w:spacing w:before="120" w:line="300" w:lineRule="auto"/>
        <w:rPr>
          <w:b/>
          <w:bCs/>
          <w:szCs w:val="24"/>
        </w:rPr>
      </w:pPr>
      <w:r w:rsidRPr="003A3051">
        <w:rPr>
          <w:b/>
          <w:bCs/>
          <w:szCs w:val="24"/>
        </w:rPr>
        <w:t>Markets+ Footprint</w:t>
      </w:r>
    </w:p>
    <w:p w14:paraId="3847391D" w14:textId="77777777" w:rsidR="00236929" w:rsidRPr="003A3051" w:rsidRDefault="00236929" w:rsidP="00236929">
      <w:pPr>
        <w:keepNext/>
        <w:spacing w:before="120" w:line="300" w:lineRule="auto"/>
        <w:ind w:left="720"/>
        <w:rPr>
          <w:bCs/>
          <w:color w:val="000000"/>
          <w:szCs w:val="24"/>
        </w:rPr>
      </w:pPr>
      <w:r w:rsidRPr="003A3051">
        <w:rPr>
          <w:bCs/>
          <w:color w:val="000000"/>
          <w:szCs w:val="24"/>
        </w:rPr>
        <w:t>As defined in the Markets+ Tariff.</w:t>
      </w:r>
    </w:p>
    <w:p w14:paraId="1F66D94A" w14:textId="759B02A4" w:rsidR="00236929" w:rsidRPr="003A3051" w:rsidRDefault="00236929" w:rsidP="00236929">
      <w:pPr>
        <w:spacing w:before="120" w:line="300" w:lineRule="auto"/>
        <w:rPr>
          <w:b/>
          <w:bCs/>
          <w:iCs/>
        </w:rPr>
      </w:pPr>
      <w:r w:rsidRPr="003A3051">
        <w:rPr>
          <w:b/>
          <w:bCs/>
          <w:iCs/>
        </w:rPr>
        <w:t xml:space="preserve">Markets+ Internal Energy Schedule Settlement Adjustment </w:t>
      </w:r>
      <w:r w:rsidR="001D3213">
        <w:rPr>
          <w:b/>
          <w:bCs/>
          <w:iCs/>
        </w:rPr>
        <w:t>(IESSA)</w:t>
      </w:r>
    </w:p>
    <w:p w14:paraId="47AAB7DC" w14:textId="77777777" w:rsidR="00236929" w:rsidRPr="003A3051" w:rsidRDefault="00236929" w:rsidP="00236929">
      <w:pPr>
        <w:spacing w:after="0" w:line="300" w:lineRule="auto"/>
        <w:ind w:left="720"/>
        <w:rPr>
          <w:bCs/>
          <w:iCs/>
        </w:rPr>
      </w:pPr>
      <w:r w:rsidRPr="003A3051">
        <w:rPr>
          <w:bCs/>
          <w:iCs/>
        </w:rPr>
        <w:t>As defined in the Markets+ Tariff.</w:t>
      </w:r>
    </w:p>
    <w:p w14:paraId="2E5410C7" w14:textId="77777777" w:rsidR="003A3051" w:rsidRPr="003A3051" w:rsidRDefault="003A3051" w:rsidP="003A3051">
      <w:pPr>
        <w:spacing w:before="120" w:line="300" w:lineRule="auto"/>
        <w:rPr>
          <w:b/>
          <w:szCs w:val="24"/>
        </w:rPr>
      </w:pPr>
      <w:r w:rsidRPr="003A3051">
        <w:rPr>
          <w:b/>
          <w:szCs w:val="24"/>
        </w:rPr>
        <w:t>Markets+ Revision Request (MRR)</w:t>
      </w:r>
    </w:p>
    <w:p w14:paraId="22DE9C83" w14:textId="1B80C563" w:rsidR="008A2920" w:rsidRDefault="008A2920" w:rsidP="009324E8">
      <w:pPr>
        <w:spacing w:before="120" w:line="300" w:lineRule="auto"/>
        <w:ind w:left="720"/>
        <w:rPr>
          <w:bCs/>
          <w:szCs w:val="24"/>
        </w:rPr>
      </w:pPr>
      <w:r w:rsidRPr="00524515">
        <w:rPr>
          <w:bCs/>
          <w:szCs w:val="24"/>
        </w:rPr>
        <w:t>A request to make additions, deletions, or changes to documents outlined in the Markets+ Revisions Request Process.</w:t>
      </w:r>
    </w:p>
    <w:p w14:paraId="2DDFA20D" w14:textId="77777777" w:rsidR="003A3051" w:rsidRPr="003A3051" w:rsidRDefault="003A3051" w:rsidP="003A3051">
      <w:pPr>
        <w:spacing w:before="120" w:line="300" w:lineRule="auto"/>
        <w:rPr>
          <w:b/>
          <w:szCs w:val="24"/>
        </w:rPr>
      </w:pPr>
      <w:r w:rsidRPr="003A3051">
        <w:rPr>
          <w:b/>
          <w:szCs w:val="24"/>
        </w:rPr>
        <w:t>Markets+ Tariff</w:t>
      </w:r>
    </w:p>
    <w:p w14:paraId="7758A5BC" w14:textId="77777777" w:rsidR="003A3051" w:rsidRPr="003A3051" w:rsidRDefault="003A3051" w:rsidP="003A3051">
      <w:pPr>
        <w:spacing w:before="120" w:line="300" w:lineRule="auto"/>
        <w:rPr>
          <w:szCs w:val="24"/>
        </w:rPr>
      </w:pPr>
      <w:r w:rsidRPr="003A3051">
        <w:rPr>
          <w:b/>
          <w:szCs w:val="24"/>
        </w:rPr>
        <w:tab/>
      </w:r>
      <w:r w:rsidRPr="003A3051">
        <w:rPr>
          <w:szCs w:val="24"/>
        </w:rPr>
        <w:t>As defined in the Markets+ Tariff.</w:t>
      </w:r>
    </w:p>
    <w:p w14:paraId="1EDB1569" w14:textId="77777777" w:rsidR="003A3051" w:rsidRPr="003A3051" w:rsidRDefault="003A3051" w:rsidP="003A3051">
      <w:pPr>
        <w:spacing w:line="360" w:lineRule="auto"/>
        <w:rPr>
          <w:b/>
        </w:rPr>
      </w:pPr>
      <w:r w:rsidRPr="003A3051">
        <w:rPr>
          <w:b/>
        </w:rPr>
        <w:t>Markets+ Transmission Capability</w:t>
      </w:r>
    </w:p>
    <w:p w14:paraId="55D11737" w14:textId="77777777" w:rsidR="003A3051" w:rsidRPr="003A3051" w:rsidRDefault="003A3051" w:rsidP="003A3051">
      <w:pPr>
        <w:spacing w:line="360" w:lineRule="auto"/>
        <w:ind w:firstLine="720"/>
        <w:rPr>
          <w:b/>
        </w:rPr>
      </w:pPr>
      <w:r w:rsidRPr="003A3051">
        <w:rPr>
          <w:szCs w:val="24"/>
        </w:rPr>
        <w:t>As defined in the Markets+ Tariff.</w:t>
      </w:r>
    </w:p>
    <w:p w14:paraId="51746A0D" w14:textId="77777777" w:rsidR="003A3051" w:rsidRPr="003A3051" w:rsidRDefault="003A3051" w:rsidP="003A3051">
      <w:pPr>
        <w:spacing w:line="360" w:lineRule="auto"/>
        <w:rPr>
          <w:b/>
        </w:rPr>
      </w:pPr>
      <w:r w:rsidRPr="003A3051">
        <w:rPr>
          <w:b/>
          <w:bCs/>
        </w:rPr>
        <w:t>Markets+ Transmission Capacity Opt-In</w:t>
      </w:r>
      <w:r w:rsidRPr="003A3051">
        <w:rPr>
          <w:b/>
        </w:rPr>
        <w:t> </w:t>
      </w:r>
    </w:p>
    <w:p w14:paraId="7A156317" w14:textId="77777777" w:rsidR="003A3051" w:rsidRPr="003A3051" w:rsidRDefault="003A3051" w:rsidP="000B0A20">
      <w:pPr>
        <w:spacing w:line="360" w:lineRule="auto"/>
        <w:ind w:left="720"/>
        <w:rPr>
          <w:szCs w:val="24"/>
        </w:rPr>
      </w:pPr>
      <w:r w:rsidRPr="003A3051">
        <w:rPr>
          <w:szCs w:val="24"/>
        </w:rPr>
        <w:t>Transmission capacity designated by a Markets+ Transmission Contributor as being available for use in the Markets+ Footprint. </w:t>
      </w:r>
    </w:p>
    <w:p w14:paraId="2187588D" w14:textId="77777777" w:rsidR="003A3051" w:rsidRPr="003A3051" w:rsidRDefault="003A3051" w:rsidP="003A3051">
      <w:pPr>
        <w:spacing w:line="360" w:lineRule="auto"/>
        <w:rPr>
          <w:b/>
        </w:rPr>
      </w:pPr>
      <w:r w:rsidRPr="003A3051">
        <w:rPr>
          <w:b/>
        </w:rPr>
        <w:t>Markets+ Transmission Capacity Opt-Out</w:t>
      </w:r>
    </w:p>
    <w:p w14:paraId="605CE1FA" w14:textId="77777777" w:rsidR="003A3051" w:rsidRPr="003A3051" w:rsidRDefault="003A3051" w:rsidP="003A3051">
      <w:pPr>
        <w:spacing w:line="360" w:lineRule="auto"/>
        <w:ind w:firstLine="720"/>
        <w:rPr>
          <w:b/>
        </w:rPr>
      </w:pPr>
      <w:r w:rsidRPr="003A3051">
        <w:rPr>
          <w:szCs w:val="24"/>
        </w:rPr>
        <w:t>As defined in the Markets+ Tariff.</w:t>
      </w:r>
    </w:p>
    <w:p w14:paraId="62175266" w14:textId="77777777" w:rsidR="00911348" w:rsidRPr="003A3051" w:rsidRDefault="00911348" w:rsidP="00911348">
      <w:pPr>
        <w:spacing w:after="240"/>
        <w:rPr>
          <w:b/>
          <w:color w:val="000000"/>
        </w:rPr>
      </w:pPr>
      <w:r w:rsidRPr="003A3051">
        <w:rPr>
          <w:b/>
          <w:color w:val="000000"/>
        </w:rPr>
        <w:t xml:space="preserve">Markets+ Transmission Contributor </w:t>
      </w:r>
    </w:p>
    <w:p w14:paraId="33C10DF0" w14:textId="77777777" w:rsidR="00911348" w:rsidRPr="003A3051" w:rsidRDefault="00911348" w:rsidP="00911348">
      <w:pPr>
        <w:spacing w:before="120" w:line="300" w:lineRule="auto"/>
        <w:rPr>
          <w:szCs w:val="24"/>
        </w:rPr>
      </w:pPr>
      <w:r w:rsidRPr="003A3051">
        <w:rPr>
          <w:b/>
          <w:szCs w:val="24"/>
        </w:rPr>
        <w:tab/>
      </w:r>
      <w:r w:rsidRPr="003A3051">
        <w:rPr>
          <w:szCs w:val="24"/>
        </w:rPr>
        <w:t>As defined in the Markets+ Tariff.</w:t>
      </w:r>
    </w:p>
    <w:p w14:paraId="1FB5243A" w14:textId="77E0D5E6" w:rsidR="003A3051" w:rsidRPr="003A3051" w:rsidRDefault="003A3051" w:rsidP="003A3051">
      <w:pPr>
        <w:spacing w:after="240"/>
        <w:rPr>
          <w:b/>
          <w:color w:val="000000"/>
        </w:rPr>
      </w:pPr>
      <w:r w:rsidRPr="003A3051">
        <w:rPr>
          <w:b/>
          <w:color w:val="000000"/>
        </w:rPr>
        <w:t xml:space="preserve">Markets+ Transmission Service Provider </w:t>
      </w:r>
      <w:r w:rsidR="00FC4EEF">
        <w:rPr>
          <w:b/>
          <w:color w:val="000000"/>
        </w:rPr>
        <w:t>(MTSP)</w:t>
      </w:r>
    </w:p>
    <w:p w14:paraId="033B8177" w14:textId="77777777" w:rsidR="003A3051" w:rsidRPr="003A3051" w:rsidRDefault="003A3051" w:rsidP="003A3051">
      <w:pPr>
        <w:spacing w:before="120" w:line="300" w:lineRule="auto"/>
        <w:rPr>
          <w:szCs w:val="24"/>
        </w:rPr>
      </w:pPr>
      <w:r w:rsidRPr="003A3051">
        <w:rPr>
          <w:b/>
          <w:szCs w:val="24"/>
        </w:rPr>
        <w:tab/>
      </w:r>
      <w:r w:rsidRPr="003A3051">
        <w:rPr>
          <w:szCs w:val="24"/>
        </w:rPr>
        <w:t>As defined in the Markets+ Tariff.</w:t>
      </w:r>
    </w:p>
    <w:p w14:paraId="1CE27525" w14:textId="77777777" w:rsidR="003A3051" w:rsidRPr="003A3051" w:rsidRDefault="003A3051" w:rsidP="003A3051">
      <w:pPr>
        <w:spacing w:line="360" w:lineRule="auto"/>
        <w:rPr>
          <w:b/>
          <w:bCs/>
        </w:rPr>
      </w:pPr>
      <w:r w:rsidRPr="003A3051">
        <w:rPr>
          <w:b/>
          <w:bCs/>
        </w:rPr>
        <w:t>Markets+ Transmission User</w:t>
      </w:r>
    </w:p>
    <w:p w14:paraId="36B4C7CA" w14:textId="77777777" w:rsidR="003A3051" w:rsidRPr="003A3051" w:rsidRDefault="003A3051" w:rsidP="003A3051">
      <w:pPr>
        <w:spacing w:line="360" w:lineRule="auto"/>
        <w:ind w:firstLine="720"/>
        <w:rPr>
          <w:b/>
        </w:rPr>
      </w:pPr>
      <w:r w:rsidRPr="003A3051">
        <w:rPr>
          <w:szCs w:val="24"/>
        </w:rPr>
        <w:t>As defined in the Markets+ Tariff.</w:t>
      </w:r>
    </w:p>
    <w:p w14:paraId="50615577" w14:textId="77777777" w:rsidR="003A3051" w:rsidRPr="003A3051" w:rsidRDefault="003A3051" w:rsidP="003A3051">
      <w:pPr>
        <w:spacing w:before="120" w:line="300" w:lineRule="auto"/>
        <w:rPr>
          <w:b/>
          <w:szCs w:val="24"/>
        </w:rPr>
      </w:pPr>
      <w:r w:rsidRPr="003A3051">
        <w:rPr>
          <w:b/>
          <w:szCs w:val="24"/>
        </w:rPr>
        <w:t xml:space="preserve">Maximum Charge Limit </w:t>
      </w:r>
    </w:p>
    <w:p w14:paraId="4118A234" w14:textId="6C64F161" w:rsidR="003A3051" w:rsidRPr="003A3051" w:rsidRDefault="003A3051" w:rsidP="003A3051">
      <w:pPr>
        <w:spacing w:before="120" w:line="300" w:lineRule="auto"/>
        <w:rPr>
          <w:szCs w:val="24"/>
        </w:rPr>
      </w:pPr>
      <w:r w:rsidRPr="003A3051">
        <w:rPr>
          <w:szCs w:val="24"/>
        </w:rPr>
        <w:tab/>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691374E9" w14:textId="77777777" w:rsidR="003A3051" w:rsidRPr="003A3051" w:rsidRDefault="003A3051" w:rsidP="003A3051">
      <w:pPr>
        <w:spacing w:before="120" w:line="300" w:lineRule="auto"/>
        <w:rPr>
          <w:b/>
          <w:szCs w:val="24"/>
        </w:rPr>
      </w:pPr>
      <w:r w:rsidRPr="003A3051">
        <w:rPr>
          <w:b/>
          <w:szCs w:val="24"/>
        </w:rPr>
        <w:t>Maximum Charge Time</w:t>
      </w:r>
    </w:p>
    <w:p w14:paraId="2A790E8C" w14:textId="77777777" w:rsidR="003A3051" w:rsidRPr="003A3051" w:rsidRDefault="003A3051" w:rsidP="003A3051">
      <w:pPr>
        <w:spacing w:before="120" w:line="300" w:lineRule="auto"/>
        <w:rPr>
          <w:szCs w:val="24"/>
        </w:rPr>
      </w:pPr>
      <w:r w:rsidRPr="003A3051">
        <w:rPr>
          <w:szCs w:val="24"/>
        </w:rPr>
        <w:tab/>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012FED06" w14:textId="77777777" w:rsidR="003A3051" w:rsidRPr="003A3051" w:rsidRDefault="003A3051" w:rsidP="003A3051">
      <w:pPr>
        <w:tabs>
          <w:tab w:val="right" w:leader="dot" w:pos="9350"/>
        </w:tabs>
        <w:spacing w:before="120" w:line="300" w:lineRule="auto"/>
        <w:rPr>
          <w:b/>
          <w:szCs w:val="24"/>
        </w:rPr>
      </w:pPr>
      <w:r w:rsidRPr="003A3051">
        <w:rPr>
          <w:b/>
          <w:szCs w:val="24"/>
        </w:rPr>
        <w:t>Maximum Daily Energy</w:t>
      </w:r>
    </w:p>
    <w:p w14:paraId="26A4C2B1" w14:textId="77777777" w:rsidR="003A3051" w:rsidRPr="003A3051" w:rsidRDefault="003A3051" w:rsidP="003A3051">
      <w:pPr>
        <w:spacing w:line="300" w:lineRule="auto"/>
        <w:ind w:left="720"/>
        <w:rPr>
          <w:szCs w:val="24"/>
        </w:rPr>
      </w:pPr>
      <w:r w:rsidRPr="003A3051">
        <w:rPr>
          <w:szCs w:val="24"/>
        </w:rPr>
        <w:t>The maximum amount of Energy, in MWh, that is available to be produced in an Operating Day from a particular Resource.</w:t>
      </w:r>
    </w:p>
    <w:p w14:paraId="19CDCD08" w14:textId="77777777" w:rsidR="003A3051" w:rsidRPr="003A3051" w:rsidRDefault="003A3051" w:rsidP="003A3051">
      <w:pPr>
        <w:tabs>
          <w:tab w:val="right" w:leader="dot" w:pos="9350"/>
        </w:tabs>
        <w:spacing w:before="120" w:line="300" w:lineRule="auto"/>
        <w:rPr>
          <w:b/>
          <w:szCs w:val="24"/>
        </w:rPr>
      </w:pPr>
      <w:bookmarkStart w:id="26" w:name="OLE_LINK28"/>
      <w:bookmarkStart w:id="27" w:name="OLE_LINK29"/>
      <w:r w:rsidRPr="003A3051">
        <w:rPr>
          <w:b/>
          <w:szCs w:val="24"/>
        </w:rPr>
        <w:t>Maximum Daily Starts</w:t>
      </w:r>
    </w:p>
    <w:bookmarkEnd w:id="26"/>
    <w:bookmarkEnd w:id="27"/>
    <w:p w14:paraId="073F6AE3" w14:textId="77777777" w:rsidR="003A3051" w:rsidRPr="003A3051" w:rsidRDefault="003A3051" w:rsidP="003A3051">
      <w:pPr>
        <w:spacing w:line="300" w:lineRule="auto"/>
        <w:ind w:left="720"/>
        <w:rPr>
          <w:szCs w:val="24"/>
        </w:rPr>
      </w:pPr>
      <w:r w:rsidRPr="003A3051">
        <w:rPr>
          <w:szCs w:val="24"/>
        </w:rPr>
        <w:t>The maximum number of times a Resource can be started within an Operating Day.</w:t>
      </w:r>
    </w:p>
    <w:p w14:paraId="26F4406C" w14:textId="77777777" w:rsidR="003A3051" w:rsidRPr="003A3051" w:rsidRDefault="003A3051" w:rsidP="003A3051">
      <w:pPr>
        <w:spacing w:line="300" w:lineRule="auto"/>
        <w:rPr>
          <w:b/>
          <w:szCs w:val="24"/>
        </w:rPr>
      </w:pPr>
      <w:r w:rsidRPr="003A3051">
        <w:rPr>
          <w:b/>
          <w:szCs w:val="24"/>
        </w:rPr>
        <w:t>Maximum Discharge Limit</w:t>
      </w:r>
    </w:p>
    <w:p w14:paraId="0358490A" w14:textId="77777777" w:rsidR="003A3051" w:rsidRPr="003A3051" w:rsidRDefault="003A3051" w:rsidP="003A3051">
      <w:pPr>
        <w:spacing w:line="300" w:lineRule="auto"/>
        <w:rPr>
          <w:szCs w:val="24"/>
        </w:rPr>
      </w:pPr>
      <w:r w:rsidRPr="003A3051">
        <w:rPr>
          <w:szCs w:val="24"/>
        </w:rPr>
        <w:tab/>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6CF6BFA3" w14:textId="77777777" w:rsidR="003A3051" w:rsidRPr="003A3051" w:rsidRDefault="003A3051" w:rsidP="003A3051">
      <w:pPr>
        <w:spacing w:line="300" w:lineRule="auto"/>
        <w:rPr>
          <w:b/>
          <w:szCs w:val="24"/>
        </w:rPr>
      </w:pPr>
      <w:r w:rsidRPr="003A3051">
        <w:rPr>
          <w:b/>
          <w:szCs w:val="24"/>
        </w:rPr>
        <w:t>Maximum Discharge Time</w:t>
      </w:r>
    </w:p>
    <w:p w14:paraId="5122BED9" w14:textId="77777777" w:rsidR="003A3051" w:rsidRPr="003A3051" w:rsidRDefault="003A3051" w:rsidP="003A3051">
      <w:pPr>
        <w:spacing w:line="300" w:lineRule="auto"/>
        <w:rPr>
          <w:szCs w:val="24"/>
        </w:rPr>
      </w:pPr>
      <w:r w:rsidRPr="003A3051">
        <w:rPr>
          <w:szCs w:val="24"/>
        </w:rPr>
        <w:tab/>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3D0058FC" w14:textId="130ED6C8" w:rsidR="003A3051" w:rsidRPr="003A3051" w:rsidRDefault="003A3051" w:rsidP="003A3051">
      <w:pPr>
        <w:spacing w:before="120" w:line="300" w:lineRule="auto"/>
        <w:rPr>
          <w:b/>
          <w:szCs w:val="24"/>
        </w:rPr>
      </w:pPr>
      <w:r w:rsidRPr="003A3051">
        <w:rPr>
          <w:b/>
          <w:szCs w:val="24"/>
        </w:rPr>
        <w:t xml:space="preserve">Maximum Economic Capacity Operating Limit </w:t>
      </w:r>
      <w:r w:rsidR="00D2706F">
        <w:rPr>
          <w:b/>
          <w:szCs w:val="24"/>
        </w:rPr>
        <w:t>(Max ECOL)</w:t>
      </w:r>
      <w:r w:rsidRPr="003A3051">
        <w:rPr>
          <w:b/>
          <w:szCs w:val="24"/>
        </w:rPr>
        <w:t xml:space="preserve"> </w:t>
      </w:r>
    </w:p>
    <w:p w14:paraId="51628055" w14:textId="707CA7CA" w:rsidR="003A3051" w:rsidRPr="003A3051" w:rsidRDefault="003A3051" w:rsidP="003A3051">
      <w:pPr>
        <w:spacing w:before="120" w:line="300" w:lineRule="auto"/>
        <w:ind w:left="720"/>
        <w:rPr>
          <w:szCs w:val="24"/>
        </w:rPr>
      </w:pPr>
      <w:r w:rsidRPr="003A3051">
        <w:rPr>
          <w:szCs w:val="24"/>
        </w:rPr>
        <w:t>As defined in the Markets+ Tariff.</w:t>
      </w:r>
    </w:p>
    <w:p w14:paraId="4AE20CFA" w14:textId="77777777" w:rsidR="003A3051" w:rsidRPr="003A3051" w:rsidRDefault="003A3051" w:rsidP="003A3051">
      <w:pPr>
        <w:spacing w:before="120" w:line="300" w:lineRule="auto"/>
        <w:rPr>
          <w:b/>
          <w:szCs w:val="24"/>
        </w:rPr>
      </w:pPr>
      <w:r w:rsidRPr="003A3051">
        <w:rPr>
          <w:b/>
          <w:szCs w:val="24"/>
        </w:rPr>
        <w:t>Maximum Run Time</w:t>
      </w:r>
    </w:p>
    <w:p w14:paraId="5D18B354" w14:textId="77777777" w:rsidR="003A3051" w:rsidRPr="003A3051" w:rsidRDefault="003A3051" w:rsidP="003A3051">
      <w:pPr>
        <w:spacing w:before="120" w:line="300" w:lineRule="auto"/>
        <w:ind w:left="720"/>
        <w:rPr>
          <w:szCs w:val="24"/>
        </w:rPr>
      </w:pPr>
      <w:r w:rsidRPr="003A3051">
        <w:rPr>
          <w:szCs w:val="24"/>
        </w:rPr>
        <w:t>The maximum length of time a Resource can run from the time the Resource is synchronized to the time the Resource is off-line.</w:t>
      </w:r>
    </w:p>
    <w:p w14:paraId="17A4758F" w14:textId="77777777" w:rsidR="003A3051" w:rsidRPr="003A3051" w:rsidRDefault="003A3051" w:rsidP="003A3051">
      <w:pPr>
        <w:spacing w:before="120" w:line="300" w:lineRule="auto"/>
        <w:rPr>
          <w:b/>
          <w:szCs w:val="24"/>
        </w:rPr>
      </w:pPr>
      <w:r w:rsidRPr="003A3051">
        <w:rPr>
          <w:b/>
          <w:szCs w:val="24"/>
        </w:rPr>
        <w:t>Maximum State of Charge</w:t>
      </w:r>
    </w:p>
    <w:p w14:paraId="1B3EB2D6" w14:textId="77777777" w:rsidR="003A3051" w:rsidRPr="003A3051" w:rsidRDefault="003A3051" w:rsidP="003A3051">
      <w:pPr>
        <w:spacing w:before="120" w:line="300" w:lineRule="auto"/>
        <w:rPr>
          <w:szCs w:val="24"/>
        </w:rPr>
      </w:pPr>
      <w:r w:rsidRPr="003A3051">
        <w:rPr>
          <w:szCs w:val="24"/>
        </w:rPr>
        <w:tab/>
        <w:t xml:space="preserve">As defined in the </w:t>
      </w:r>
      <w:r w:rsidRPr="003A3051" w:rsidDel="00D629BF">
        <w:rPr>
          <w:szCs w:val="24"/>
        </w:rPr>
        <w:t>Markets+</w:t>
      </w:r>
      <w:r w:rsidRPr="003A3051">
        <w:rPr>
          <w:szCs w:val="24"/>
        </w:rPr>
        <w:t xml:space="preserve"> </w:t>
      </w:r>
      <w:r w:rsidRPr="003A3051" w:rsidDel="008C0625">
        <w:rPr>
          <w:szCs w:val="24"/>
        </w:rPr>
        <w:t>Tariff</w:t>
      </w:r>
      <w:r w:rsidRPr="003A3051">
        <w:rPr>
          <w:szCs w:val="24"/>
        </w:rPr>
        <w:t>.</w:t>
      </w:r>
    </w:p>
    <w:p w14:paraId="4F5F84F2" w14:textId="77777777" w:rsidR="003A3051" w:rsidRPr="003A3051" w:rsidRDefault="003A3051" w:rsidP="003A3051">
      <w:pPr>
        <w:keepNext/>
        <w:tabs>
          <w:tab w:val="right" w:leader="dot" w:pos="9350"/>
        </w:tabs>
        <w:spacing w:before="120" w:line="300" w:lineRule="auto"/>
        <w:rPr>
          <w:b/>
          <w:szCs w:val="24"/>
        </w:rPr>
      </w:pPr>
      <w:r w:rsidRPr="003A3051">
        <w:rPr>
          <w:b/>
          <w:szCs w:val="24"/>
        </w:rPr>
        <w:t>Maximum Weekly Starts</w:t>
      </w:r>
    </w:p>
    <w:p w14:paraId="1E7C2383" w14:textId="77777777" w:rsidR="003A3051" w:rsidRPr="003A3051" w:rsidRDefault="003A3051" w:rsidP="003A3051">
      <w:pPr>
        <w:spacing w:line="300" w:lineRule="auto"/>
        <w:ind w:left="720"/>
        <w:rPr>
          <w:szCs w:val="24"/>
        </w:rPr>
      </w:pPr>
      <w:r w:rsidRPr="003A3051">
        <w:rPr>
          <w:szCs w:val="24"/>
        </w:rPr>
        <w:t>The maximum number of times a Resource can be started within a rolling seven-day period.</w:t>
      </w:r>
    </w:p>
    <w:p w14:paraId="1B6B2C23" w14:textId="77777777" w:rsidR="003A3051" w:rsidRPr="003A3051" w:rsidRDefault="003A3051" w:rsidP="003A3051">
      <w:pPr>
        <w:spacing w:before="120" w:line="300" w:lineRule="auto"/>
        <w:rPr>
          <w:b/>
          <w:szCs w:val="24"/>
        </w:rPr>
      </w:pPr>
      <w:r w:rsidRPr="003A3051">
        <w:rPr>
          <w:b/>
          <w:szCs w:val="24"/>
        </w:rPr>
        <w:t>Megawatt (MW)</w:t>
      </w:r>
    </w:p>
    <w:p w14:paraId="7989027E" w14:textId="77777777" w:rsidR="003A3051" w:rsidRPr="003A3051" w:rsidRDefault="003A3051" w:rsidP="003A3051">
      <w:pPr>
        <w:spacing w:before="120" w:line="300" w:lineRule="auto"/>
        <w:rPr>
          <w:szCs w:val="24"/>
        </w:rPr>
      </w:pPr>
      <w:r w:rsidRPr="003A3051">
        <w:rPr>
          <w:szCs w:val="24"/>
        </w:rPr>
        <w:tab/>
        <w:t>A measurement unit of the instantaneous demand for energy.</w:t>
      </w:r>
    </w:p>
    <w:p w14:paraId="18319C6E" w14:textId="77777777" w:rsidR="003A3051" w:rsidRPr="003A3051" w:rsidRDefault="003A3051" w:rsidP="003A3051">
      <w:pPr>
        <w:spacing w:before="120" w:line="300" w:lineRule="auto"/>
        <w:rPr>
          <w:b/>
        </w:rPr>
      </w:pPr>
      <w:r w:rsidRPr="003A3051">
        <w:rPr>
          <w:b/>
        </w:rPr>
        <w:t>Meter Agent</w:t>
      </w:r>
    </w:p>
    <w:p w14:paraId="424AD6CB" w14:textId="77777777" w:rsidR="003A3051" w:rsidRPr="003A3051" w:rsidRDefault="003A3051" w:rsidP="003A3051">
      <w:pPr>
        <w:spacing w:before="120" w:line="300" w:lineRule="auto"/>
      </w:pPr>
      <w:r w:rsidRPr="003A3051">
        <w:rPr>
          <w:b/>
        </w:rPr>
        <w:tab/>
      </w:r>
      <w:r w:rsidRPr="003A3051">
        <w:t xml:space="preserve">As defined in the </w:t>
      </w:r>
      <w:r w:rsidRPr="003A3051" w:rsidDel="00D629BF">
        <w:t>Markets+</w:t>
      </w:r>
      <w:r w:rsidRPr="003A3051">
        <w:t xml:space="preserve"> </w:t>
      </w:r>
      <w:r w:rsidRPr="003A3051" w:rsidDel="008C0625">
        <w:t>Tariff</w:t>
      </w:r>
      <w:r w:rsidRPr="003A3051">
        <w:t xml:space="preserve">. </w:t>
      </w:r>
    </w:p>
    <w:p w14:paraId="4C1EF161" w14:textId="793DE9B0" w:rsidR="003A3051" w:rsidRPr="003A3051" w:rsidRDefault="003A3051" w:rsidP="003A3051">
      <w:pPr>
        <w:spacing w:before="120" w:line="300" w:lineRule="auto"/>
        <w:rPr>
          <w:b/>
        </w:rPr>
      </w:pPr>
      <w:r w:rsidRPr="003A3051">
        <w:rPr>
          <w:b/>
        </w:rPr>
        <w:t xml:space="preserve">Meter Data </w:t>
      </w:r>
    </w:p>
    <w:p w14:paraId="6C0ADE3F" w14:textId="77777777" w:rsidR="00DE3B92" w:rsidRPr="003A3051" w:rsidRDefault="00DE3B92" w:rsidP="00DE3B92">
      <w:pPr>
        <w:spacing w:before="120" w:line="300" w:lineRule="auto"/>
      </w:pPr>
      <w:r w:rsidRPr="003A3051">
        <w:rPr>
          <w:b/>
        </w:rPr>
        <w:tab/>
      </w:r>
      <w:r w:rsidRPr="003A3051">
        <w:t xml:space="preserve">As defined in the </w:t>
      </w:r>
      <w:r w:rsidRPr="003A3051" w:rsidDel="00D629BF">
        <w:t>Markets+</w:t>
      </w:r>
      <w:r w:rsidRPr="003A3051">
        <w:t xml:space="preserve"> </w:t>
      </w:r>
      <w:r w:rsidRPr="003A3051" w:rsidDel="008C0625">
        <w:t>Tariff</w:t>
      </w:r>
      <w:r w:rsidRPr="003A3051">
        <w:t xml:space="preserve">. </w:t>
      </w:r>
    </w:p>
    <w:p w14:paraId="6DE79837" w14:textId="77777777" w:rsidR="003A3051" w:rsidRPr="003A3051" w:rsidRDefault="003A3051" w:rsidP="003A3051">
      <w:pPr>
        <w:spacing w:before="120" w:line="300" w:lineRule="auto"/>
        <w:rPr>
          <w:b/>
        </w:rPr>
      </w:pPr>
      <w:r w:rsidRPr="003A3051">
        <w:rPr>
          <w:b/>
        </w:rPr>
        <w:t>Meter Data Submittal Location</w:t>
      </w:r>
    </w:p>
    <w:p w14:paraId="68C75C41" w14:textId="77777777" w:rsidR="003A3051" w:rsidRPr="003A3051" w:rsidRDefault="003A3051" w:rsidP="003A3051">
      <w:pPr>
        <w:spacing w:before="120" w:line="300" w:lineRule="auto"/>
        <w:ind w:left="720"/>
        <w:jc w:val="left"/>
      </w:pPr>
      <w:r w:rsidRPr="003A3051">
        <w:t xml:space="preserve">As defined in the </w:t>
      </w:r>
      <w:r w:rsidRPr="003A3051" w:rsidDel="00D629BF">
        <w:t>Markets+</w:t>
      </w:r>
      <w:r w:rsidRPr="003A3051">
        <w:t xml:space="preserve"> </w:t>
      </w:r>
      <w:r w:rsidRPr="003A3051" w:rsidDel="008C0625">
        <w:t>Tariff</w:t>
      </w:r>
      <w:r w:rsidRPr="003A3051">
        <w:t xml:space="preserve">. </w:t>
      </w:r>
    </w:p>
    <w:p w14:paraId="432B2791" w14:textId="77777777" w:rsidR="003A3051" w:rsidRPr="003A3051" w:rsidRDefault="003A3051" w:rsidP="003A3051">
      <w:pPr>
        <w:spacing w:before="120" w:line="300" w:lineRule="auto"/>
        <w:rPr>
          <w:b/>
        </w:rPr>
      </w:pPr>
      <w:r w:rsidRPr="003A3051">
        <w:rPr>
          <w:b/>
        </w:rPr>
        <w:t xml:space="preserve">Meter Equipment Owner </w:t>
      </w:r>
    </w:p>
    <w:p w14:paraId="6999CC7A" w14:textId="77777777" w:rsidR="003A3051" w:rsidRPr="003A3051" w:rsidRDefault="003A3051" w:rsidP="003A3051">
      <w:pPr>
        <w:spacing w:before="120" w:line="300" w:lineRule="auto"/>
      </w:pPr>
      <w:r w:rsidRPr="003A3051">
        <w:rPr>
          <w:b/>
        </w:rPr>
        <w:tab/>
      </w:r>
      <w:r w:rsidRPr="003A3051">
        <w:t>The party, or parties, that own the Metering Equipment.</w:t>
      </w:r>
    </w:p>
    <w:p w14:paraId="4C464640" w14:textId="77777777" w:rsidR="003A3051" w:rsidRPr="003A3051" w:rsidRDefault="003A3051" w:rsidP="003A3051">
      <w:pPr>
        <w:spacing w:before="120" w:line="300" w:lineRule="auto"/>
        <w:rPr>
          <w:b/>
        </w:rPr>
      </w:pPr>
      <w:r w:rsidRPr="003A3051">
        <w:rPr>
          <w:b/>
        </w:rPr>
        <w:t>Meter Settlement Location</w:t>
      </w:r>
    </w:p>
    <w:p w14:paraId="3F01EE99" w14:textId="77777777" w:rsidR="003A3051" w:rsidRPr="003A3051" w:rsidRDefault="003A3051" w:rsidP="003A3051">
      <w:pPr>
        <w:spacing w:before="120" w:line="300" w:lineRule="auto"/>
        <w:ind w:left="720"/>
        <w:jc w:val="left"/>
      </w:pPr>
      <w:r w:rsidRPr="003A3051">
        <w:t xml:space="preserve">As defined in the Markets+ Tariff. </w:t>
      </w:r>
    </w:p>
    <w:p w14:paraId="482B4C42" w14:textId="77777777" w:rsidR="003A3051" w:rsidRPr="003A3051" w:rsidRDefault="003A3051" w:rsidP="003A3051">
      <w:pPr>
        <w:spacing w:before="120" w:line="300" w:lineRule="auto"/>
        <w:rPr>
          <w:b/>
        </w:rPr>
      </w:pPr>
      <w:r w:rsidRPr="003A3051">
        <w:rPr>
          <w:b/>
        </w:rPr>
        <w:t xml:space="preserve">Metering Equipment </w:t>
      </w:r>
    </w:p>
    <w:p w14:paraId="4019504D" w14:textId="77777777" w:rsidR="003A3051" w:rsidRPr="003A3051" w:rsidRDefault="003A3051" w:rsidP="003A3051">
      <w:pPr>
        <w:spacing w:before="120" w:line="300" w:lineRule="auto"/>
        <w:ind w:left="720"/>
      </w:pPr>
      <w:r w:rsidRPr="003A3051">
        <w:t xml:space="preserve">Any system of components that measures quantities of electric power and is the source of Meter Data. </w:t>
      </w:r>
    </w:p>
    <w:p w14:paraId="4DB679DB" w14:textId="77777777" w:rsidR="00A42AEF" w:rsidRPr="00A42AEF" w:rsidRDefault="00A42AEF" w:rsidP="00A42AEF">
      <w:pPr>
        <w:spacing w:after="160" w:line="259" w:lineRule="auto"/>
        <w:rPr>
          <w:rFonts w:eastAsia="Calibri"/>
          <w:b/>
          <w:szCs w:val="24"/>
        </w:rPr>
      </w:pPr>
      <w:r w:rsidRPr="00A42AEF">
        <w:rPr>
          <w:rFonts w:eastAsia="Calibri"/>
          <w:b/>
          <w:szCs w:val="24"/>
        </w:rPr>
        <w:t>METra Portal</w:t>
      </w:r>
    </w:p>
    <w:p w14:paraId="6C6D94A2" w14:textId="54E6C3F9" w:rsidR="00A42AEF" w:rsidRPr="00A42AEF" w:rsidRDefault="00A42AEF" w:rsidP="000478AF">
      <w:pPr>
        <w:spacing w:after="0" w:line="300" w:lineRule="auto"/>
        <w:ind w:left="634"/>
        <w:jc w:val="left"/>
        <w:rPr>
          <w:rFonts w:eastAsia="Calibri"/>
          <w:szCs w:val="24"/>
        </w:rPr>
      </w:pPr>
      <w:r w:rsidRPr="00A42AEF">
        <w:rPr>
          <w:rFonts w:eastAsia="Calibri"/>
          <w:szCs w:val="22"/>
        </w:rPr>
        <w:t>The</w:t>
      </w:r>
      <w:r w:rsidRPr="00A42AEF">
        <w:rPr>
          <w:rFonts w:eastAsia="Calibri"/>
          <w:szCs w:val="24"/>
        </w:rPr>
        <w:t xml:space="preserve"> Markets Emissions Tracking and Reporting electronic database, in which the Market Operator receives, stores, and publishes data and information relating to emissions tracking</w:t>
      </w:r>
      <w:r>
        <w:rPr>
          <w:rFonts w:eastAsia="Calibri"/>
          <w:szCs w:val="24"/>
        </w:rPr>
        <w:t xml:space="preserve"> </w:t>
      </w:r>
      <w:r w:rsidRPr="00A42AEF">
        <w:rPr>
          <w:rFonts w:eastAsia="Calibri"/>
          <w:szCs w:val="24"/>
        </w:rPr>
        <w:t>and</w:t>
      </w:r>
      <w:r>
        <w:rPr>
          <w:rFonts w:eastAsia="Calibri"/>
          <w:szCs w:val="24"/>
        </w:rPr>
        <w:t xml:space="preserve"> </w:t>
      </w:r>
      <w:r w:rsidRPr="00A42AEF">
        <w:rPr>
          <w:rFonts w:eastAsia="Calibri"/>
          <w:szCs w:val="24"/>
        </w:rPr>
        <w:t xml:space="preserve">reporting. </w:t>
      </w:r>
    </w:p>
    <w:p w14:paraId="262A6906" w14:textId="77777777" w:rsidR="003A3051" w:rsidRPr="003A3051" w:rsidRDefault="003A3051" w:rsidP="003A3051">
      <w:pPr>
        <w:spacing w:before="120" w:line="300" w:lineRule="auto"/>
        <w:rPr>
          <w:b/>
        </w:rPr>
      </w:pPr>
      <w:r w:rsidRPr="003A3051">
        <w:rPr>
          <w:b/>
        </w:rPr>
        <w:t>Mid-Term Load Forecast</w:t>
      </w:r>
    </w:p>
    <w:p w14:paraId="440BD6DB" w14:textId="56C132F4" w:rsidR="003A3051" w:rsidRPr="003A3051" w:rsidRDefault="003A3051" w:rsidP="003A3051">
      <w:pPr>
        <w:spacing w:after="0" w:line="300" w:lineRule="auto"/>
        <w:ind w:left="720"/>
      </w:pPr>
      <w:r w:rsidRPr="003A3051">
        <w:t xml:space="preserve">A load forecast developed by </w:t>
      </w:r>
      <w:r w:rsidR="00D3628F">
        <w:t>the Market Operator</w:t>
      </w:r>
      <w:r w:rsidR="00D3628F" w:rsidRPr="003A3051">
        <w:t xml:space="preserve"> </w:t>
      </w:r>
      <w:r w:rsidRPr="003A3051">
        <w:t>on a rolling hourly basis for the next seven days for input into Reliability Unit Commitment.</w:t>
      </w:r>
    </w:p>
    <w:p w14:paraId="153E7AEF" w14:textId="77777777" w:rsidR="003A3051" w:rsidRPr="003A3051" w:rsidRDefault="003A3051" w:rsidP="003A3051">
      <w:pPr>
        <w:spacing w:after="0" w:line="360" w:lineRule="auto"/>
        <w:rPr>
          <w:b/>
          <w:color w:val="000000"/>
          <w:szCs w:val="24"/>
        </w:rPr>
      </w:pPr>
      <w:r w:rsidRPr="003A3051">
        <w:rPr>
          <w:b/>
          <w:color w:val="000000"/>
          <w:szCs w:val="24"/>
        </w:rPr>
        <w:t>Mid-Term Flex Up</w:t>
      </w:r>
    </w:p>
    <w:p w14:paraId="18FEE178" w14:textId="77777777" w:rsidR="003A3051" w:rsidRPr="003A3051" w:rsidRDefault="003A3051" w:rsidP="003A3051">
      <w:pPr>
        <w:keepNext/>
        <w:keepLines/>
        <w:spacing w:before="120" w:line="300" w:lineRule="auto"/>
        <w:rPr>
          <w:b/>
          <w:szCs w:val="24"/>
        </w:rPr>
      </w:pPr>
      <w:r w:rsidRPr="003A3051">
        <w:rPr>
          <w:szCs w:val="24"/>
        </w:rPr>
        <w:tab/>
        <w:t>As defined in the Markets+ Tariff.</w:t>
      </w:r>
    </w:p>
    <w:p w14:paraId="051C6661" w14:textId="77777777" w:rsidR="003A3051" w:rsidRPr="003A3051" w:rsidRDefault="003A3051" w:rsidP="003A3051">
      <w:pPr>
        <w:spacing w:after="60" w:line="300" w:lineRule="auto"/>
        <w:rPr>
          <w:b/>
        </w:rPr>
      </w:pPr>
      <w:r w:rsidRPr="003A3051">
        <w:rPr>
          <w:b/>
        </w:rPr>
        <w:t>Minimum Charge Limit</w:t>
      </w:r>
    </w:p>
    <w:p w14:paraId="2D904A0B" w14:textId="77777777" w:rsidR="003A3051" w:rsidRPr="003A3051" w:rsidRDefault="003A3051" w:rsidP="003A3051">
      <w:pPr>
        <w:spacing w:after="60" w:line="300" w:lineRule="auto"/>
      </w:pPr>
      <w:r w:rsidRPr="003A3051">
        <w:tab/>
        <w:t>As defined in the Markets+ Tariff.</w:t>
      </w:r>
    </w:p>
    <w:p w14:paraId="13754152" w14:textId="77777777" w:rsidR="003A3051" w:rsidRPr="003A3051" w:rsidRDefault="003A3051" w:rsidP="003A3051">
      <w:pPr>
        <w:spacing w:after="60" w:line="300" w:lineRule="auto"/>
        <w:rPr>
          <w:b/>
        </w:rPr>
      </w:pPr>
      <w:r w:rsidRPr="003A3051">
        <w:rPr>
          <w:b/>
        </w:rPr>
        <w:t>Minimum Charge Time</w:t>
      </w:r>
    </w:p>
    <w:p w14:paraId="1457988B" w14:textId="77777777" w:rsidR="003A3051" w:rsidRPr="003A3051" w:rsidRDefault="003A3051" w:rsidP="003A3051">
      <w:pPr>
        <w:spacing w:after="60" w:line="300" w:lineRule="auto"/>
      </w:pPr>
      <w:r w:rsidRPr="003A3051">
        <w:tab/>
        <w:t xml:space="preserve">As defined in the </w:t>
      </w:r>
      <w:r w:rsidRPr="003A3051" w:rsidDel="00965F7A">
        <w:t>Markets+</w:t>
      </w:r>
      <w:r w:rsidRPr="003A3051">
        <w:t xml:space="preserve"> </w:t>
      </w:r>
      <w:r w:rsidRPr="003A3051" w:rsidDel="008C0625">
        <w:t>Tariff</w:t>
      </w:r>
      <w:r w:rsidRPr="003A3051">
        <w:t>.</w:t>
      </w:r>
    </w:p>
    <w:p w14:paraId="7F83D759" w14:textId="77777777" w:rsidR="003A3051" w:rsidRPr="003A3051" w:rsidRDefault="003A3051" w:rsidP="003A3051">
      <w:pPr>
        <w:spacing w:after="60" w:line="300" w:lineRule="auto"/>
        <w:rPr>
          <w:b/>
        </w:rPr>
      </w:pPr>
      <w:r w:rsidRPr="003A3051">
        <w:rPr>
          <w:b/>
        </w:rPr>
        <w:t>Minimum Discharge Limit</w:t>
      </w:r>
    </w:p>
    <w:p w14:paraId="7FE95CC7" w14:textId="77777777" w:rsidR="003A3051" w:rsidRPr="003A3051" w:rsidRDefault="003A3051" w:rsidP="003A3051">
      <w:pPr>
        <w:spacing w:after="60" w:line="300" w:lineRule="auto"/>
      </w:pPr>
      <w:r w:rsidRPr="003A3051">
        <w:tab/>
        <w:t xml:space="preserve">As defined in the </w:t>
      </w:r>
      <w:r w:rsidRPr="003A3051" w:rsidDel="00965F7A">
        <w:t>Markets+</w:t>
      </w:r>
      <w:r w:rsidRPr="003A3051">
        <w:t xml:space="preserve"> </w:t>
      </w:r>
      <w:r w:rsidRPr="003A3051" w:rsidDel="008C0625">
        <w:t>Tariff</w:t>
      </w:r>
      <w:r w:rsidRPr="003A3051">
        <w:t>.</w:t>
      </w:r>
    </w:p>
    <w:p w14:paraId="36992A6A" w14:textId="77777777" w:rsidR="003A3051" w:rsidRPr="003A3051" w:rsidRDefault="003A3051" w:rsidP="003A3051">
      <w:pPr>
        <w:spacing w:after="60" w:line="300" w:lineRule="auto"/>
        <w:rPr>
          <w:b/>
        </w:rPr>
      </w:pPr>
      <w:r w:rsidRPr="003A3051">
        <w:rPr>
          <w:b/>
        </w:rPr>
        <w:t>Minimum Discharge Time</w:t>
      </w:r>
    </w:p>
    <w:p w14:paraId="2CFD028B" w14:textId="77777777" w:rsidR="003A3051" w:rsidRPr="003A3051" w:rsidRDefault="003A3051" w:rsidP="003A3051">
      <w:pPr>
        <w:spacing w:after="60" w:line="300" w:lineRule="auto"/>
      </w:pPr>
      <w:r w:rsidRPr="003A3051">
        <w:tab/>
        <w:t xml:space="preserve">As defined in the </w:t>
      </w:r>
      <w:r w:rsidRPr="003A3051" w:rsidDel="00965F7A">
        <w:t>Markets+</w:t>
      </w:r>
      <w:r w:rsidRPr="003A3051">
        <w:t xml:space="preserve"> </w:t>
      </w:r>
      <w:r w:rsidRPr="003A3051" w:rsidDel="008C0625">
        <w:t>Tariff</w:t>
      </w:r>
      <w:r w:rsidRPr="003A3051">
        <w:t>.</w:t>
      </w:r>
    </w:p>
    <w:p w14:paraId="015766C4" w14:textId="77777777" w:rsidR="003A3051" w:rsidRPr="003A3051" w:rsidRDefault="003A3051" w:rsidP="003A3051">
      <w:pPr>
        <w:spacing w:before="120" w:line="300" w:lineRule="auto"/>
        <w:rPr>
          <w:b/>
          <w:szCs w:val="24"/>
        </w:rPr>
      </w:pPr>
      <w:r w:rsidRPr="003A3051">
        <w:rPr>
          <w:b/>
          <w:szCs w:val="24"/>
        </w:rPr>
        <w:t>Minimum Down Time</w:t>
      </w:r>
    </w:p>
    <w:p w14:paraId="110E1FA2" w14:textId="77777777" w:rsidR="003A3051" w:rsidRPr="003A3051" w:rsidRDefault="003A3051" w:rsidP="003A3051">
      <w:pPr>
        <w:spacing w:before="120" w:line="300" w:lineRule="auto"/>
        <w:ind w:left="720"/>
        <w:rPr>
          <w:szCs w:val="24"/>
        </w:rPr>
      </w:pPr>
      <w:r w:rsidRPr="003A3051">
        <w:rPr>
          <w:szCs w:val="24"/>
        </w:rPr>
        <w:t>The minimum length of time required following desynchronization that a Resource must remain off-line prior to a subsequent synchronization.</w:t>
      </w:r>
    </w:p>
    <w:p w14:paraId="65E046B1" w14:textId="5B8B6DE0" w:rsidR="003A3051" w:rsidRPr="003A3051" w:rsidRDefault="003A3051" w:rsidP="003A3051">
      <w:pPr>
        <w:keepNext/>
        <w:spacing w:before="120" w:line="300" w:lineRule="auto"/>
        <w:rPr>
          <w:b/>
          <w:szCs w:val="24"/>
        </w:rPr>
      </w:pPr>
      <w:r w:rsidRPr="003A3051">
        <w:rPr>
          <w:b/>
          <w:szCs w:val="24"/>
        </w:rPr>
        <w:t xml:space="preserve">Minimum Economic Capacity Operating Limit </w:t>
      </w:r>
      <w:r w:rsidR="00B43024">
        <w:rPr>
          <w:b/>
          <w:szCs w:val="24"/>
        </w:rPr>
        <w:t>(Min ECOL)</w:t>
      </w:r>
    </w:p>
    <w:p w14:paraId="6804EC85" w14:textId="77777777" w:rsidR="003A3051" w:rsidRPr="003A3051" w:rsidRDefault="003A3051" w:rsidP="003A3051">
      <w:pPr>
        <w:spacing w:before="120" w:line="300" w:lineRule="auto"/>
        <w:ind w:left="720"/>
        <w:rPr>
          <w:szCs w:val="24"/>
        </w:rPr>
      </w:pPr>
      <w:r w:rsidRPr="003A3051">
        <w:rPr>
          <w:szCs w:val="24"/>
        </w:rPr>
        <w:t>As defined in the Markets+ Tariff.</w:t>
      </w:r>
    </w:p>
    <w:p w14:paraId="16D6BA80" w14:textId="77777777" w:rsidR="003A3051" w:rsidRPr="003A3051" w:rsidRDefault="003A3051" w:rsidP="003A3051">
      <w:pPr>
        <w:spacing w:before="120" w:line="300" w:lineRule="auto"/>
        <w:rPr>
          <w:b/>
          <w:szCs w:val="24"/>
        </w:rPr>
      </w:pPr>
      <w:r w:rsidRPr="003A3051">
        <w:rPr>
          <w:b/>
          <w:szCs w:val="24"/>
        </w:rPr>
        <w:t>Minimum Run Time</w:t>
      </w:r>
    </w:p>
    <w:p w14:paraId="46BD7254" w14:textId="77777777" w:rsidR="003A3051" w:rsidRPr="003A3051" w:rsidRDefault="003A3051" w:rsidP="003A3051">
      <w:pPr>
        <w:spacing w:before="120" w:line="300" w:lineRule="auto"/>
        <w:ind w:left="720"/>
        <w:rPr>
          <w:szCs w:val="24"/>
        </w:rPr>
      </w:pPr>
      <w:r w:rsidRPr="003A3051">
        <w:rPr>
          <w:szCs w:val="24"/>
        </w:rPr>
        <w:t>As defined in the Markets+ Tariff.</w:t>
      </w:r>
    </w:p>
    <w:p w14:paraId="6CD7D256" w14:textId="77777777" w:rsidR="003A3051" w:rsidRPr="003A3051" w:rsidRDefault="003A3051" w:rsidP="003A3051">
      <w:pPr>
        <w:spacing w:before="120" w:line="300" w:lineRule="auto"/>
        <w:rPr>
          <w:b/>
          <w:szCs w:val="24"/>
        </w:rPr>
      </w:pPr>
      <w:r w:rsidRPr="003A3051">
        <w:rPr>
          <w:b/>
          <w:szCs w:val="24"/>
        </w:rPr>
        <w:t>Minimum State of Charge</w:t>
      </w:r>
    </w:p>
    <w:p w14:paraId="2EAD1492" w14:textId="77777777" w:rsidR="003A3051" w:rsidRPr="003A3051" w:rsidRDefault="003A3051" w:rsidP="003A3051">
      <w:pPr>
        <w:spacing w:before="120" w:line="300" w:lineRule="auto"/>
        <w:rPr>
          <w:szCs w:val="24"/>
        </w:rPr>
      </w:pPr>
      <w:r w:rsidRPr="003A3051">
        <w:rPr>
          <w:szCs w:val="24"/>
        </w:rPr>
        <w:tab/>
        <w:t xml:space="preserve">As defined in the </w:t>
      </w:r>
      <w:r w:rsidRPr="003A3051" w:rsidDel="00965F7A">
        <w:rPr>
          <w:szCs w:val="24"/>
        </w:rPr>
        <w:t>Markets</w:t>
      </w:r>
      <w:r w:rsidRPr="003A3051">
        <w:rPr>
          <w:szCs w:val="24"/>
        </w:rPr>
        <w:t xml:space="preserve"> </w:t>
      </w:r>
      <w:r w:rsidRPr="003A3051" w:rsidDel="00965F7A">
        <w:rPr>
          <w:szCs w:val="24"/>
        </w:rPr>
        <w:t>+</w:t>
      </w:r>
      <w:r w:rsidRPr="003A3051" w:rsidDel="008C0625">
        <w:rPr>
          <w:szCs w:val="24"/>
        </w:rPr>
        <w:t>Tariff</w:t>
      </w:r>
      <w:r w:rsidRPr="003A3051">
        <w:rPr>
          <w:szCs w:val="24"/>
        </w:rPr>
        <w:t>.</w:t>
      </w:r>
    </w:p>
    <w:p w14:paraId="40FAEB19" w14:textId="77777777" w:rsidR="003A3051" w:rsidRPr="003A3051" w:rsidRDefault="003A3051" w:rsidP="003A3051">
      <w:pPr>
        <w:spacing w:before="120" w:line="300" w:lineRule="auto"/>
        <w:rPr>
          <w:b/>
          <w:szCs w:val="24"/>
        </w:rPr>
      </w:pPr>
      <w:r w:rsidRPr="003A3051">
        <w:rPr>
          <w:b/>
          <w:szCs w:val="24"/>
        </w:rPr>
        <w:t xml:space="preserve">Min-To-Off Time  </w:t>
      </w:r>
    </w:p>
    <w:p w14:paraId="7519F18D" w14:textId="77777777" w:rsidR="003A3051" w:rsidRPr="003A3051" w:rsidRDefault="003A3051" w:rsidP="003A3051">
      <w:pPr>
        <w:spacing w:after="0" w:line="300" w:lineRule="auto"/>
        <w:ind w:left="720"/>
        <w:rPr>
          <w:szCs w:val="24"/>
        </w:rPr>
      </w:pPr>
      <w:r w:rsidRPr="003A3051">
        <w:rPr>
          <w:szCs w:val="24"/>
        </w:rPr>
        <w:t xml:space="preserve">As defined in the </w:t>
      </w:r>
      <w:r w:rsidRPr="003A3051" w:rsidDel="00965F7A">
        <w:rPr>
          <w:szCs w:val="24"/>
        </w:rPr>
        <w:t>Markets</w:t>
      </w:r>
      <w:r w:rsidRPr="003A3051">
        <w:rPr>
          <w:szCs w:val="24"/>
        </w:rPr>
        <w:t xml:space="preserve"> </w:t>
      </w:r>
      <w:r w:rsidRPr="003A3051" w:rsidDel="00965F7A">
        <w:rPr>
          <w:szCs w:val="24"/>
        </w:rPr>
        <w:t>+</w:t>
      </w:r>
      <w:r w:rsidRPr="003A3051" w:rsidDel="008C0625">
        <w:rPr>
          <w:szCs w:val="24"/>
        </w:rPr>
        <w:t>Tariff</w:t>
      </w:r>
      <w:r w:rsidRPr="003A3051">
        <w:rPr>
          <w:szCs w:val="24"/>
        </w:rPr>
        <w:t>.</w:t>
      </w:r>
    </w:p>
    <w:p w14:paraId="7F549565" w14:textId="133C68D3" w:rsidR="003A3051" w:rsidRPr="003A3051" w:rsidRDefault="003A3051" w:rsidP="003A3051">
      <w:pPr>
        <w:keepNext/>
        <w:spacing w:before="120" w:line="300" w:lineRule="auto"/>
        <w:jc w:val="left"/>
        <w:rPr>
          <w:b/>
          <w:szCs w:val="24"/>
        </w:rPr>
      </w:pPr>
      <w:r w:rsidRPr="003A3051">
        <w:rPr>
          <w:b/>
          <w:szCs w:val="24"/>
        </w:rPr>
        <w:t>Mitigated Energy Offer Curve</w:t>
      </w:r>
    </w:p>
    <w:p w14:paraId="6AF44889" w14:textId="5A1E41CE" w:rsidR="003A3051" w:rsidRPr="003A3051" w:rsidRDefault="00C731CB" w:rsidP="003A3051">
      <w:pPr>
        <w:spacing w:after="0" w:line="300" w:lineRule="auto"/>
        <w:ind w:left="720"/>
        <w:rPr>
          <w:szCs w:val="24"/>
        </w:rPr>
      </w:pPr>
      <w:r>
        <w:rPr>
          <w:szCs w:val="24"/>
        </w:rPr>
        <w:t>The</w:t>
      </w:r>
      <w:r w:rsidR="00874DF2">
        <w:rPr>
          <w:szCs w:val="24"/>
        </w:rPr>
        <w:t xml:space="preserve"> component of the</w:t>
      </w:r>
      <w:r>
        <w:rPr>
          <w:szCs w:val="24"/>
        </w:rPr>
        <w:t xml:space="preserve"> Mitigated Resource Offer that reflects the cost of incremental Energy production. It is composed of a</w:t>
      </w:r>
      <w:r w:rsidR="003A3051" w:rsidRPr="003A3051">
        <w:rPr>
          <w:szCs w:val="24"/>
        </w:rPr>
        <w:t xml:space="preserve"> set of </w:t>
      </w:r>
      <w:r>
        <w:rPr>
          <w:szCs w:val="24"/>
        </w:rPr>
        <w:t xml:space="preserve">monotonically non-decreasing </w:t>
      </w:r>
      <w:r w:rsidR="003A3051" w:rsidRPr="003A3051">
        <w:rPr>
          <w:szCs w:val="24"/>
        </w:rPr>
        <w:t xml:space="preserve">price/quantity pairs </w:t>
      </w:r>
      <w:r>
        <w:rPr>
          <w:szCs w:val="24"/>
        </w:rPr>
        <w:t xml:space="preserve"> and is </w:t>
      </w:r>
      <w:r w:rsidR="003A3051" w:rsidRPr="003A3051">
        <w:rPr>
          <w:szCs w:val="24"/>
        </w:rPr>
        <w:t xml:space="preserve"> developed in accordance with guidelines detailed in Appendix </w:t>
      </w:r>
      <w:r w:rsidR="005D2722">
        <w:rPr>
          <w:szCs w:val="24"/>
        </w:rPr>
        <w:t>D</w:t>
      </w:r>
      <w:r>
        <w:rPr>
          <w:szCs w:val="24"/>
        </w:rPr>
        <w:t>.</w:t>
      </w:r>
    </w:p>
    <w:p w14:paraId="388FB1EC" w14:textId="622E018E" w:rsidR="003A3051" w:rsidRPr="003A3051" w:rsidRDefault="003A3051" w:rsidP="003A3051">
      <w:pPr>
        <w:keepNext/>
        <w:spacing w:before="120" w:line="300" w:lineRule="auto"/>
        <w:jc w:val="left"/>
        <w:rPr>
          <w:b/>
          <w:szCs w:val="24"/>
        </w:rPr>
      </w:pPr>
      <w:r w:rsidRPr="003A3051">
        <w:rPr>
          <w:b/>
          <w:szCs w:val="24"/>
        </w:rPr>
        <w:t>Mitigated No-Load Offer</w:t>
      </w:r>
    </w:p>
    <w:p w14:paraId="7BA971D7" w14:textId="12EBC082" w:rsidR="003A3051" w:rsidRPr="003A3051" w:rsidRDefault="003A3051" w:rsidP="003A3051">
      <w:pPr>
        <w:spacing w:after="0" w:line="300" w:lineRule="auto"/>
        <w:ind w:left="720"/>
        <w:rPr>
          <w:szCs w:val="24"/>
        </w:rPr>
      </w:pPr>
      <w:r w:rsidRPr="003A3051">
        <w:rPr>
          <w:szCs w:val="24"/>
        </w:rPr>
        <w:t>The</w:t>
      </w:r>
      <w:r w:rsidR="00E6743B">
        <w:rPr>
          <w:szCs w:val="24"/>
        </w:rPr>
        <w:t xml:space="preserve"> component of the </w:t>
      </w:r>
      <w:r w:rsidRPr="003A3051">
        <w:rPr>
          <w:szCs w:val="24"/>
        </w:rPr>
        <w:t xml:space="preserve"> Mitigated Resource Offer</w:t>
      </w:r>
      <w:r w:rsidR="006935BB">
        <w:rPr>
          <w:szCs w:val="24"/>
        </w:rPr>
        <w:t xml:space="preserve"> that reflects the cost of operating a Synchronized Resource at zero (0)</w:t>
      </w:r>
      <w:r w:rsidR="00593548">
        <w:rPr>
          <w:szCs w:val="24"/>
        </w:rPr>
        <w:t xml:space="preserve"> MW output.  Such offers are denominated in dollars per hour, and</w:t>
      </w:r>
      <w:r w:rsidRPr="003A3051">
        <w:rPr>
          <w:szCs w:val="24"/>
        </w:rPr>
        <w:t xml:space="preserve"> are developed in accordance with guidelines detailed in Appendix </w:t>
      </w:r>
      <w:r w:rsidR="005D2722">
        <w:rPr>
          <w:szCs w:val="24"/>
        </w:rPr>
        <w:t>D</w:t>
      </w:r>
      <w:r w:rsidRPr="003A3051">
        <w:rPr>
          <w:szCs w:val="24"/>
        </w:rPr>
        <w:t xml:space="preserve">. </w:t>
      </w:r>
    </w:p>
    <w:p w14:paraId="2E812D68" w14:textId="77777777" w:rsidR="003A3051" w:rsidRPr="003A3051" w:rsidRDefault="003A3051" w:rsidP="003A3051">
      <w:pPr>
        <w:keepNext/>
        <w:spacing w:before="120" w:line="300" w:lineRule="auto"/>
        <w:jc w:val="left"/>
        <w:rPr>
          <w:b/>
          <w:szCs w:val="24"/>
        </w:rPr>
      </w:pPr>
      <w:r w:rsidRPr="003A3051">
        <w:rPr>
          <w:b/>
          <w:szCs w:val="24"/>
        </w:rPr>
        <w:t>Mitigated Flexibility Reserve Offer</w:t>
      </w:r>
    </w:p>
    <w:p w14:paraId="2CB7C2A1" w14:textId="4788CE32" w:rsidR="003A3051" w:rsidRPr="003A3051" w:rsidRDefault="003A3051" w:rsidP="003A3051">
      <w:pPr>
        <w:spacing w:after="0" w:line="300" w:lineRule="auto"/>
        <w:ind w:left="720"/>
        <w:rPr>
          <w:szCs w:val="24"/>
        </w:rPr>
      </w:pPr>
      <w:r w:rsidRPr="003A3051">
        <w:rPr>
          <w:szCs w:val="24"/>
        </w:rPr>
        <w:t>The</w:t>
      </w:r>
      <w:r w:rsidR="004B7BAF">
        <w:rPr>
          <w:szCs w:val="24"/>
        </w:rPr>
        <w:t xml:space="preserve"> component of the Mitigated Resource Offer </w:t>
      </w:r>
      <w:r w:rsidR="00874DF2">
        <w:rPr>
          <w:szCs w:val="24"/>
        </w:rPr>
        <w:t>that</w:t>
      </w:r>
      <w:r w:rsidR="004B7BAF">
        <w:rPr>
          <w:szCs w:val="24"/>
        </w:rPr>
        <w:t xml:space="preserve"> reflects the costs of providing or being available to provide </w:t>
      </w:r>
      <w:r w:rsidR="00696509">
        <w:rPr>
          <w:szCs w:val="24"/>
        </w:rPr>
        <w:t>offline</w:t>
      </w:r>
      <w:r w:rsidR="004B7BAF">
        <w:rPr>
          <w:szCs w:val="24"/>
        </w:rPr>
        <w:t xml:space="preserve"> Mid-Term Flex Up. </w:t>
      </w:r>
      <w:r w:rsidR="00701B56">
        <w:rPr>
          <w:szCs w:val="24"/>
        </w:rPr>
        <w:t>S</w:t>
      </w:r>
      <w:r w:rsidRPr="003A3051">
        <w:rPr>
          <w:szCs w:val="24"/>
        </w:rPr>
        <w:t xml:space="preserve">uch offers are </w:t>
      </w:r>
      <w:r w:rsidR="004F32B2">
        <w:rPr>
          <w:szCs w:val="24"/>
        </w:rPr>
        <w:t xml:space="preserve">denominated in dollars per MW and are </w:t>
      </w:r>
      <w:r w:rsidRPr="003A3051">
        <w:rPr>
          <w:szCs w:val="24"/>
        </w:rPr>
        <w:t xml:space="preserve">developed in accordance with guidelines detailed in Appendix </w:t>
      </w:r>
      <w:r w:rsidR="005D2722">
        <w:rPr>
          <w:szCs w:val="24"/>
        </w:rPr>
        <w:t>D</w:t>
      </w:r>
      <w:r w:rsidRPr="003A3051">
        <w:rPr>
          <w:szCs w:val="24"/>
        </w:rPr>
        <w:t>.</w:t>
      </w:r>
    </w:p>
    <w:p w14:paraId="20B257C8" w14:textId="77777777" w:rsidR="003A3051" w:rsidRPr="003A3051" w:rsidRDefault="003A3051" w:rsidP="003A3051">
      <w:pPr>
        <w:spacing w:before="120" w:line="300" w:lineRule="auto"/>
        <w:rPr>
          <w:b/>
          <w:szCs w:val="24"/>
        </w:rPr>
      </w:pPr>
      <w:r w:rsidRPr="003A3051">
        <w:rPr>
          <w:b/>
          <w:szCs w:val="24"/>
        </w:rPr>
        <w:t>Mitigated Resource Offer</w:t>
      </w:r>
    </w:p>
    <w:p w14:paraId="74DE5D75" w14:textId="665B1CEB" w:rsidR="003A3051" w:rsidRPr="003A3051" w:rsidRDefault="003A3051" w:rsidP="003A3051">
      <w:pPr>
        <w:spacing w:after="0" w:line="300" w:lineRule="auto"/>
        <w:ind w:left="720"/>
        <w:rPr>
          <w:szCs w:val="24"/>
        </w:rPr>
      </w:pPr>
      <w:r w:rsidRPr="003A3051">
        <w:rPr>
          <w:szCs w:val="24"/>
        </w:rPr>
        <w:t xml:space="preserve">For a Resource, the combination of its Mitigated Start-Up Offer, Mitigated No-Load Offer, Mitigated Energy Offer Curve, </w:t>
      </w:r>
      <w:r w:rsidRPr="003A3051" w:rsidDel="004B3154">
        <w:rPr>
          <w:szCs w:val="24"/>
        </w:rPr>
        <w:t xml:space="preserve">Mitigated </w:t>
      </w:r>
      <w:r w:rsidRPr="003A3051">
        <w:rPr>
          <w:szCs w:val="24"/>
        </w:rPr>
        <w:t xml:space="preserve">Flexibility Reserve Offer, and Mitigated Transition State Offer. The Mitigated Resource Offer </w:t>
      </w:r>
      <w:r w:rsidR="0097071B">
        <w:rPr>
          <w:szCs w:val="24"/>
        </w:rPr>
        <w:t>p</w:t>
      </w:r>
      <w:r w:rsidRPr="003A3051">
        <w:rPr>
          <w:szCs w:val="24"/>
        </w:rPr>
        <w:t xml:space="preserve">arameters are developed in accordance with guidelines detailed in Appendix </w:t>
      </w:r>
      <w:r w:rsidR="005D2722">
        <w:rPr>
          <w:szCs w:val="24"/>
        </w:rPr>
        <w:t>D</w:t>
      </w:r>
      <w:r w:rsidRPr="003A3051">
        <w:rPr>
          <w:szCs w:val="24"/>
        </w:rPr>
        <w:t xml:space="preserve"> and are intended to capture the incremental cost, including the appropriate application of opportunity costs, of providing each service to Markets+ Energy and Flexibility Reserve Markets.  </w:t>
      </w:r>
    </w:p>
    <w:p w14:paraId="11B44E7D" w14:textId="54AC339F" w:rsidR="003A3051" w:rsidRPr="003A3051" w:rsidRDefault="003A3051" w:rsidP="003A3051">
      <w:pPr>
        <w:spacing w:before="120" w:line="300" w:lineRule="auto"/>
        <w:rPr>
          <w:b/>
          <w:szCs w:val="24"/>
        </w:rPr>
      </w:pPr>
      <w:r w:rsidRPr="003A3051">
        <w:rPr>
          <w:b/>
          <w:szCs w:val="24"/>
        </w:rPr>
        <w:t>Mitigated Start-Up Offer</w:t>
      </w:r>
    </w:p>
    <w:p w14:paraId="4D33C3FC" w14:textId="00D6C4AA" w:rsidR="003A3051" w:rsidRPr="003A3051" w:rsidRDefault="003A3051" w:rsidP="003A3051">
      <w:pPr>
        <w:keepNext/>
        <w:keepLines/>
        <w:spacing w:after="0" w:line="300" w:lineRule="auto"/>
        <w:ind w:left="720"/>
        <w:rPr>
          <w:szCs w:val="24"/>
        </w:rPr>
      </w:pPr>
      <w:r w:rsidRPr="003A3051">
        <w:rPr>
          <w:szCs w:val="24"/>
        </w:rPr>
        <w:t xml:space="preserve">The </w:t>
      </w:r>
      <w:r w:rsidR="00540844">
        <w:rPr>
          <w:szCs w:val="24"/>
        </w:rPr>
        <w:t xml:space="preserve">component of the </w:t>
      </w:r>
      <w:r w:rsidRPr="003A3051">
        <w:rPr>
          <w:szCs w:val="24"/>
        </w:rPr>
        <w:t xml:space="preserve"> Mitigated Resource Offer</w:t>
      </w:r>
      <w:r w:rsidR="00BC76A9">
        <w:rPr>
          <w:szCs w:val="24"/>
        </w:rPr>
        <w:t xml:space="preserve"> that reflects the costs of bringing</w:t>
      </w:r>
      <w:r w:rsidR="00A75A68">
        <w:rPr>
          <w:szCs w:val="24"/>
        </w:rPr>
        <w:t xml:space="preserve"> an off-line Resource on-line, and then shutting down after the commitment period. </w:t>
      </w:r>
      <w:r w:rsidR="002A1ABD">
        <w:rPr>
          <w:szCs w:val="24"/>
        </w:rPr>
        <w:t xml:space="preserve"> Such</w:t>
      </w:r>
      <w:r w:rsidRPr="003A3051">
        <w:rPr>
          <w:szCs w:val="24"/>
        </w:rPr>
        <w:t xml:space="preserve"> offers are developed in accordance with guidelines detailed in Appendix </w:t>
      </w:r>
      <w:r w:rsidR="005D2722">
        <w:rPr>
          <w:szCs w:val="24"/>
        </w:rPr>
        <w:t>D</w:t>
      </w:r>
      <w:r w:rsidRPr="003A3051">
        <w:rPr>
          <w:szCs w:val="24"/>
        </w:rPr>
        <w:t>,</w:t>
      </w:r>
      <w:r w:rsidR="002A1ABD">
        <w:rPr>
          <w:szCs w:val="24"/>
        </w:rPr>
        <w:t xml:space="preserve"> and include the costs of stopping and starting quantifiable economic activity for </w:t>
      </w:r>
      <w:r w:rsidRPr="003A3051">
        <w:rPr>
          <w:szCs w:val="24"/>
        </w:rPr>
        <w:t xml:space="preserve"> a Dispatchable Demand Response Resource.  </w:t>
      </w:r>
    </w:p>
    <w:p w14:paraId="55F28BB0" w14:textId="6D45314D" w:rsidR="003A3051" w:rsidRPr="003A3051" w:rsidRDefault="003A3051" w:rsidP="003A3051">
      <w:pPr>
        <w:spacing w:before="120" w:line="300" w:lineRule="auto"/>
        <w:rPr>
          <w:b/>
          <w:szCs w:val="24"/>
        </w:rPr>
      </w:pPr>
      <w:r w:rsidRPr="003A3051">
        <w:rPr>
          <w:b/>
          <w:szCs w:val="24"/>
        </w:rPr>
        <w:t>Mitigated Transition State Offer</w:t>
      </w:r>
    </w:p>
    <w:p w14:paraId="54E5C36A" w14:textId="181E8CDD" w:rsidR="003A3051" w:rsidRPr="003A3051" w:rsidRDefault="003A3051" w:rsidP="003A3051">
      <w:pPr>
        <w:spacing w:before="120" w:line="300" w:lineRule="auto"/>
        <w:ind w:left="720"/>
        <w:rPr>
          <w:szCs w:val="24"/>
        </w:rPr>
      </w:pPr>
      <w:r w:rsidRPr="003A3051">
        <w:rPr>
          <w:szCs w:val="24"/>
        </w:rPr>
        <w:t xml:space="preserve">The </w:t>
      </w:r>
      <w:r w:rsidR="002A1ABD">
        <w:rPr>
          <w:szCs w:val="24"/>
        </w:rPr>
        <w:t xml:space="preserve">component of the </w:t>
      </w:r>
      <w:r w:rsidRPr="003A3051">
        <w:rPr>
          <w:szCs w:val="24"/>
        </w:rPr>
        <w:t>Mitigated Resource Offer</w:t>
      </w:r>
      <w:r w:rsidR="002A1ABD">
        <w:rPr>
          <w:szCs w:val="24"/>
        </w:rPr>
        <w:t xml:space="preserve"> that reflects the incremental cost of transition from one valid Resource configuration to another</w:t>
      </w:r>
      <w:r w:rsidRPr="003A3051">
        <w:rPr>
          <w:szCs w:val="24"/>
        </w:rPr>
        <w:t xml:space="preserve"> </w:t>
      </w:r>
      <w:r w:rsidR="002A1ABD">
        <w:rPr>
          <w:szCs w:val="24"/>
        </w:rPr>
        <w:t>S</w:t>
      </w:r>
      <w:r w:rsidRPr="003A3051">
        <w:rPr>
          <w:szCs w:val="24"/>
        </w:rPr>
        <w:t>uch</w:t>
      </w:r>
      <w:r w:rsidR="002A1ABD">
        <w:rPr>
          <w:szCs w:val="24"/>
        </w:rPr>
        <w:t xml:space="preserve"> costs are denominated in dollars per transition and are </w:t>
      </w:r>
      <w:r w:rsidRPr="003A3051">
        <w:rPr>
          <w:szCs w:val="24"/>
        </w:rPr>
        <w:t xml:space="preserve">developed in accordance with guidelines detailed in Appendix </w:t>
      </w:r>
      <w:r w:rsidR="005D2722">
        <w:rPr>
          <w:szCs w:val="24"/>
        </w:rPr>
        <w:t>D</w:t>
      </w:r>
      <w:r w:rsidR="002A1ABD">
        <w:rPr>
          <w:szCs w:val="24"/>
        </w:rPr>
        <w:t>.</w:t>
      </w:r>
      <w:r w:rsidRPr="003A3051">
        <w:rPr>
          <w:szCs w:val="24"/>
        </w:rPr>
        <w:t xml:space="preserve"> </w:t>
      </w:r>
    </w:p>
    <w:p w14:paraId="0D86A99B" w14:textId="77777777" w:rsidR="003A3051" w:rsidRPr="003A3051" w:rsidRDefault="003A3051" w:rsidP="003A3051">
      <w:pPr>
        <w:spacing w:before="120" w:line="300" w:lineRule="auto"/>
        <w:rPr>
          <w:b/>
          <w:szCs w:val="24"/>
        </w:rPr>
      </w:pPr>
      <w:r w:rsidRPr="003A3051">
        <w:rPr>
          <w:b/>
          <w:szCs w:val="24"/>
        </w:rPr>
        <w:t>Multi-Configuration Resource (MCR)</w:t>
      </w:r>
    </w:p>
    <w:p w14:paraId="02254899"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Markets+ Tariff. </w:t>
      </w:r>
    </w:p>
    <w:p w14:paraId="70B55CF3" w14:textId="6E788CE1" w:rsidR="003A3051" w:rsidRPr="003A3051" w:rsidRDefault="003A3051" w:rsidP="003A3051">
      <w:pPr>
        <w:spacing w:before="120" w:line="300" w:lineRule="auto"/>
        <w:rPr>
          <w:b/>
        </w:rPr>
      </w:pPr>
      <w:r w:rsidRPr="5BAE31EF">
        <w:rPr>
          <w:b/>
        </w:rPr>
        <w:t xml:space="preserve">Must Offer Obligation </w:t>
      </w:r>
    </w:p>
    <w:p w14:paraId="78BBD1E8" w14:textId="77777777" w:rsidR="003A3051" w:rsidRPr="003A3051" w:rsidRDefault="003A3051" w:rsidP="003A3051">
      <w:pPr>
        <w:spacing w:before="120" w:line="300" w:lineRule="auto"/>
        <w:ind w:left="720"/>
        <w:rPr>
          <w:szCs w:val="24"/>
        </w:rPr>
      </w:pPr>
      <w:r w:rsidRPr="003A3051">
        <w:rPr>
          <w:szCs w:val="24"/>
        </w:rPr>
        <w:t xml:space="preserve">If a Market Participant is a Load Responsible Entity (LRE) or has a contractual obligation to supply a load under the WRAP Program within the Markets+ </w:t>
      </w:r>
      <w:r w:rsidRPr="003A3051">
        <w:rPr>
          <w:bCs/>
          <w:szCs w:val="24"/>
        </w:rPr>
        <w:t>Footprint</w:t>
      </w:r>
      <w:r w:rsidRPr="003A3051">
        <w:rPr>
          <w:szCs w:val="24"/>
        </w:rPr>
        <w:t xml:space="preserve">, that Market Participant will be subject to certain minimum Resource Offer requirements in both the Day-Ahead Market and Real-Time Balancing Market.   </w:t>
      </w:r>
    </w:p>
    <w:p w14:paraId="5870A665"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8" w:name="_Toc213771745"/>
      <w:r w:rsidRPr="003A3051">
        <w:rPr>
          <w:rFonts w:eastAsia="Calibri" w:cs="Arial"/>
          <w:b/>
          <w:bCs/>
          <w:iCs/>
          <w:szCs w:val="28"/>
        </w:rPr>
        <w:t>N – Definitions</w:t>
      </w:r>
      <w:bookmarkEnd w:id="28"/>
      <w:r w:rsidRPr="003A3051">
        <w:rPr>
          <w:rFonts w:eastAsia="Calibri" w:cs="Arial"/>
          <w:b/>
          <w:bCs/>
          <w:iCs/>
          <w:szCs w:val="28"/>
        </w:rPr>
        <w:t> </w:t>
      </w:r>
    </w:p>
    <w:p w14:paraId="74AC46EE" w14:textId="77777777" w:rsidR="003A3051" w:rsidRPr="003A3051" w:rsidRDefault="003A3051" w:rsidP="003A3051">
      <w:pPr>
        <w:spacing w:before="120" w:line="300" w:lineRule="auto"/>
        <w:rPr>
          <w:b/>
          <w:szCs w:val="24"/>
        </w:rPr>
      </w:pPr>
      <w:r w:rsidRPr="003A3051">
        <w:rPr>
          <w:b/>
          <w:szCs w:val="24"/>
        </w:rPr>
        <w:t xml:space="preserve">Net Actual Interchange </w:t>
      </w:r>
    </w:p>
    <w:p w14:paraId="102A1B4A" w14:textId="77777777" w:rsidR="003A3051" w:rsidRDefault="003A3051" w:rsidP="003A3051">
      <w:pPr>
        <w:autoSpaceDE w:val="0"/>
        <w:autoSpaceDN w:val="0"/>
        <w:adjustRightInd w:val="0"/>
        <w:spacing w:after="0" w:line="300" w:lineRule="auto"/>
        <w:ind w:left="720"/>
        <w:rPr>
          <w:szCs w:val="24"/>
        </w:rPr>
      </w:pPr>
      <w:r w:rsidRPr="003A3051">
        <w:rPr>
          <w:szCs w:val="24"/>
        </w:rPr>
        <w:t>The algebraic sum of all metered interchange over all interconnections between two physically adjacent Balancing Authority Areas.</w:t>
      </w:r>
    </w:p>
    <w:p w14:paraId="526BFAA1" w14:textId="78673B29" w:rsidR="00847848" w:rsidRPr="00847848" w:rsidRDefault="00847848" w:rsidP="00AA5ADB">
      <w:pPr>
        <w:spacing w:before="120" w:line="300" w:lineRule="auto"/>
        <w:rPr>
          <w:b/>
          <w:szCs w:val="24"/>
        </w:rPr>
      </w:pPr>
      <w:r w:rsidRPr="00AA5ADB">
        <w:rPr>
          <w:b/>
          <w:szCs w:val="24"/>
        </w:rPr>
        <w:t>Net Position</w:t>
      </w:r>
    </w:p>
    <w:p w14:paraId="1B675CEF" w14:textId="3C5D3EC9" w:rsidR="00847848" w:rsidRPr="003A3051" w:rsidRDefault="00847848" w:rsidP="00AA5ADB">
      <w:pPr>
        <w:autoSpaceDE w:val="0"/>
        <w:autoSpaceDN w:val="0"/>
        <w:adjustRightInd w:val="0"/>
        <w:spacing w:after="0" w:line="300" w:lineRule="auto"/>
        <w:ind w:left="720"/>
        <w:rPr>
          <w:b/>
          <w:szCs w:val="24"/>
        </w:rPr>
      </w:pPr>
      <w:r w:rsidRPr="00AA5ADB">
        <w:rPr>
          <w:szCs w:val="24"/>
        </w:rPr>
        <w:t xml:space="preserve">Net position includes contracts for the sale or purchase of Energy or capacity outside of the day-ahead and or real time markets; on these transactions a sale is represented as a positive value and purchase as a negative.  For transactions that import into or export from the Markets+ Footprint, net position only includes high priority imports and exports. If a Market Participant wishes to include a High Priority Transaction in its net position, that transaction must meet the requirements of a qualifying </w:t>
      </w:r>
      <w:r w:rsidR="00C731F4">
        <w:rPr>
          <w:szCs w:val="24"/>
        </w:rPr>
        <w:t>e</w:t>
      </w:r>
      <w:r w:rsidR="00EA76D7">
        <w:rPr>
          <w:szCs w:val="24"/>
        </w:rPr>
        <w:t>-Tag</w:t>
      </w:r>
      <w:r w:rsidRPr="00AA5ADB">
        <w:rPr>
          <w:szCs w:val="24"/>
        </w:rPr>
        <w:t>, as detailed in Section</w:t>
      </w:r>
      <w:r w:rsidR="006B0BF5">
        <w:rPr>
          <w:szCs w:val="24"/>
        </w:rPr>
        <w:t xml:space="preserve">s </w:t>
      </w:r>
      <w:r w:rsidR="005C11EA">
        <w:rPr>
          <w:szCs w:val="24"/>
        </w:rPr>
        <w:fldChar w:fldCharType="begin"/>
      </w:r>
      <w:r w:rsidR="005C11EA">
        <w:rPr>
          <w:szCs w:val="24"/>
        </w:rPr>
        <w:instrText xml:space="preserve"> REF _Ref193980790 \r \h </w:instrText>
      </w:r>
      <w:r w:rsidR="005C11EA">
        <w:rPr>
          <w:szCs w:val="24"/>
        </w:rPr>
      </w:r>
      <w:r w:rsidR="005C11EA">
        <w:rPr>
          <w:szCs w:val="24"/>
        </w:rPr>
        <w:fldChar w:fldCharType="separate"/>
      </w:r>
      <w:r w:rsidR="005C11EA">
        <w:rPr>
          <w:szCs w:val="24"/>
        </w:rPr>
        <w:t>4.2.2.7</w:t>
      </w:r>
      <w:r w:rsidR="005C11EA">
        <w:rPr>
          <w:szCs w:val="24"/>
        </w:rPr>
        <w:fldChar w:fldCharType="end"/>
      </w:r>
      <w:r w:rsidR="006B0BF5">
        <w:rPr>
          <w:szCs w:val="24"/>
        </w:rPr>
        <w:t xml:space="preserve"> and </w:t>
      </w:r>
      <w:r w:rsidR="005C11EA">
        <w:rPr>
          <w:szCs w:val="24"/>
        </w:rPr>
        <w:fldChar w:fldCharType="begin"/>
      </w:r>
      <w:r w:rsidR="005C11EA">
        <w:rPr>
          <w:szCs w:val="24"/>
        </w:rPr>
        <w:instrText xml:space="preserve"> REF _Ref193980813 \r \h </w:instrText>
      </w:r>
      <w:r w:rsidR="005C11EA">
        <w:rPr>
          <w:szCs w:val="24"/>
        </w:rPr>
      </w:r>
      <w:r w:rsidR="005C11EA">
        <w:rPr>
          <w:szCs w:val="24"/>
        </w:rPr>
        <w:fldChar w:fldCharType="separate"/>
      </w:r>
      <w:r w:rsidR="005C11EA">
        <w:rPr>
          <w:szCs w:val="24"/>
        </w:rPr>
        <w:t>4.2.3.3</w:t>
      </w:r>
      <w:r w:rsidR="005C11EA">
        <w:rPr>
          <w:szCs w:val="24"/>
        </w:rPr>
        <w:fldChar w:fldCharType="end"/>
      </w:r>
      <w:r w:rsidRPr="00AA5ADB">
        <w:rPr>
          <w:szCs w:val="24"/>
        </w:rPr>
        <w:t>.</w:t>
      </w:r>
    </w:p>
    <w:p w14:paraId="3A659F0E" w14:textId="77777777" w:rsidR="003A3051" w:rsidRPr="003A3051" w:rsidRDefault="003A3051" w:rsidP="003A3051">
      <w:pPr>
        <w:keepNext/>
        <w:spacing w:before="120" w:line="300" w:lineRule="auto"/>
        <w:rPr>
          <w:b/>
          <w:szCs w:val="24"/>
        </w:rPr>
      </w:pPr>
      <w:r w:rsidRPr="003A3051">
        <w:rPr>
          <w:b/>
          <w:szCs w:val="24"/>
        </w:rPr>
        <w:t xml:space="preserve">Net Scheduled Interchange </w:t>
      </w:r>
    </w:p>
    <w:p w14:paraId="6793A643" w14:textId="77777777" w:rsidR="003A3051" w:rsidRPr="003A3051" w:rsidRDefault="003A3051" w:rsidP="003A3051">
      <w:pPr>
        <w:keepNext/>
        <w:spacing w:before="120" w:line="300" w:lineRule="auto"/>
        <w:ind w:left="720"/>
        <w:rPr>
          <w:szCs w:val="24"/>
        </w:rPr>
      </w:pPr>
      <w:r w:rsidRPr="003A3051">
        <w:rPr>
          <w:szCs w:val="24"/>
        </w:rPr>
        <w:t>The algebraic sum of all Interchange Transactions between Balancing Authorities for a given period or instant in time.</w:t>
      </w:r>
    </w:p>
    <w:p w14:paraId="265E51CD" w14:textId="77777777" w:rsidR="003A3051" w:rsidRPr="003A3051" w:rsidRDefault="003A3051" w:rsidP="003A3051">
      <w:pPr>
        <w:keepNext/>
        <w:spacing w:before="120" w:line="300" w:lineRule="auto"/>
        <w:rPr>
          <w:b/>
          <w:szCs w:val="24"/>
        </w:rPr>
      </w:pPr>
      <w:r w:rsidRPr="003A3051">
        <w:rPr>
          <w:b/>
          <w:szCs w:val="24"/>
        </w:rPr>
        <w:t>Network Customer</w:t>
      </w:r>
    </w:p>
    <w:p w14:paraId="0B74E9D0" w14:textId="77777777" w:rsidR="003A3051" w:rsidRPr="003A3051" w:rsidRDefault="003A3051" w:rsidP="003A3051">
      <w:pPr>
        <w:spacing w:before="120" w:line="300" w:lineRule="auto"/>
        <w:ind w:left="720"/>
        <w:rPr>
          <w:szCs w:val="24"/>
        </w:rPr>
      </w:pPr>
      <w:r w:rsidRPr="003A3051">
        <w:rPr>
          <w:szCs w:val="24"/>
        </w:rPr>
        <w:t>As defined in the Markets+ Tariff.</w:t>
      </w:r>
    </w:p>
    <w:p w14:paraId="1F3A76DA" w14:textId="28E87AFD" w:rsidR="003A3051" w:rsidRPr="003A3051" w:rsidRDefault="003A3051" w:rsidP="003A3051">
      <w:pPr>
        <w:keepNext/>
        <w:spacing w:before="120" w:line="300" w:lineRule="auto"/>
        <w:rPr>
          <w:b/>
          <w:szCs w:val="24"/>
        </w:rPr>
      </w:pPr>
      <w:r w:rsidRPr="003A3051">
        <w:rPr>
          <w:b/>
          <w:szCs w:val="24"/>
        </w:rPr>
        <w:t xml:space="preserve">Network Integration Transmission </w:t>
      </w:r>
      <w:r w:rsidR="007C372C">
        <w:rPr>
          <w:b/>
          <w:szCs w:val="24"/>
        </w:rPr>
        <w:t>Service</w:t>
      </w:r>
      <w:r w:rsidRPr="003A3051">
        <w:rPr>
          <w:b/>
          <w:szCs w:val="24"/>
        </w:rPr>
        <w:t xml:space="preserve"> (NITS)</w:t>
      </w:r>
    </w:p>
    <w:p w14:paraId="20EE5C11" w14:textId="77777777" w:rsidR="003A3051" w:rsidRPr="003A3051" w:rsidRDefault="003A3051" w:rsidP="003A3051">
      <w:pPr>
        <w:spacing w:before="120" w:line="300" w:lineRule="auto"/>
        <w:ind w:left="720"/>
        <w:rPr>
          <w:szCs w:val="24"/>
        </w:rPr>
      </w:pPr>
      <w:r w:rsidRPr="003A3051">
        <w:rPr>
          <w:szCs w:val="24"/>
        </w:rPr>
        <w:t>As defined in the Markets+ Tariff.</w:t>
      </w:r>
    </w:p>
    <w:p w14:paraId="734ECDF7" w14:textId="77777777" w:rsidR="003A3051" w:rsidRPr="003A3051" w:rsidRDefault="003A3051" w:rsidP="003A3051">
      <w:pPr>
        <w:keepNext/>
        <w:spacing w:before="120" w:line="300" w:lineRule="auto"/>
        <w:rPr>
          <w:b/>
          <w:szCs w:val="24"/>
        </w:rPr>
      </w:pPr>
      <w:r w:rsidRPr="003A3051">
        <w:rPr>
          <w:b/>
          <w:szCs w:val="24"/>
        </w:rPr>
        <w:t>Network Load</w:t>
      </w:r>
    </w:p>
    <w:p w14:paraId="31407C1C" w14:textId="77777777" w:rsidR="003A3051" w:rsidRPr="003A3051" w:rsidRDefault="003A3051" w:rsidP="003A3051">
      <w:pPr>
        <w:spacing w:before="120" w:line="300" w:lineRule="auto"/>
        <w:ind w:left="720"/>
        <w:rPr>
          <w:szCs w:val="24"/>
        </w:rPr>
      </w:pPr>
      <w:r w:rsidRPr="003A3051">
        <w:rPr>
          <w:szCs w:val="24"/>
        </w:rPr>
        <w:t>As defined in the Markets+ Tariff.</w:t>
      </w:r>
    </w:p>
    <w:p w14:paraId="11E60FEC" w14:textId="77777777" w:rsidR="003A3051" w:rsidRPr="003A3051" w:rsidRDefault="003A3051" w:rsidP="003A3051">
      <w:pPr>
        <w:keepNext/>
        <w:spacing w:before="120" w:line="300" w:lineRule="auto"/>
        <w:rPr>
          <w:b/>
          <w:szCs w:val="24"/>
        </w:rPr>
      </w:pPr>
      <w:r w:rsidRPr="003A3051">
        <w:rPr>
          <w:b/>
          <w:szCs w:val="24"/>
        </w:rPr>
        <w:t>Network Model</w:t>
      </w:r>
    </w:p>
    <w:p w14:paraId="41FD8ABB" w14:textId="77777777" w:rsidR="003A3051" w:rsidRPr="003A3051" w:rsidRDefault="003A3051" w:rsidP="003A3051">
      <w:pPr>
        <w:spacing w:before="120" w:line="300" w:lineRule="auto"/>
        <w:ind w:left="720"/>
        <w:rPr>
          <w:szCs w:val="24"/>
        </w:rPr>
      </w:pPr>
      <w:r w:rsidRPr="003A3051">
        <w:rPr>
          <w:szCs w:val="24"/>
        </w:rPr>
        <w:t>As defined in the Markets+ Tariff.</w:t>
      </w:r>
    </w:p>
    <w:p w14:paraId="36BFF20A" w14:textId="77777777" w:rsidR="003A3051" w:rsidRPr="003A3051" w:rsidRDefault="003A3051" w:rsidP="003A3051">
      <w:pPr>
        <w:keepNext/>
        <w:spacing w:before="120" w:line="300" w:lineRule="auto"/>
        <w:rPr>
          <w:b/>
          <w:szCs w:val="24"/>
        </w:rPr>
      </w:pPr>
      <w:r w:rsidRPr="003A3051">
        <w:rPr>
          <w:b/>
          <w:szCs w:val="24"/>
        </w:rPr>
        <w:t>Network Service Distribution Cap</w:t>
      </w:r>
    </w:p>
    <w:p w14:paraId="7CB535C2" w14:textId="77777777" w:rsidR="003A3051" w:rsidRPr="003A3051" w:rsidRDefault="003A3051" w:rsidP="003A3051">
      <w:pPr>
        <w:spacing w:before="120" w:line="300" w:lineRule="auto"/>
        <w:ind w:left="720"/>
        <w:rPr>
          <w:szCs w:val="24"/>
        </w:rPr>
      </w:pPr>
      <w:r w:rsidRPr="003A3051">
        <w:rPr>
          <w:szCs w:val="24"/>
        </w:rPr>
        <w:t>As defined in the Markets+ Tariff.</w:t>
      </w:r>
    </w:p>
    <w:p w14:paraId="4EDC424C" w14:textId="77777777" w:rsidR="003A3051" w:rsidRPr="003A3051" w:rsidRDefault="003A3051" w:rsidP="003A3051">
      <w:pPr>
        <w:spacing w:before="120" w:line="300" w:lineRule="auto"/>
        <w:jc w:val="left"/>
        <w:rPr>
          <w:b/>
        </w:rPr>
      </w:pPr>
      <w:r w:rsidRPr="003A3051">
        <w:rPr>
          <w:b/>
        </w:rPr>
        <w:t>Node</w:t>
      </w:r>
    </w:p>
    <w:p w14:paraId="72E829F5" w14:textId="603E6AED" w:rsidR="003A3051" w:rsidRPr="003A3051" w:rsidRDefault="003A3051" w:rsidP="003A3051">
      <w:pPr>
        <w:tabs>
          <w:tab w:val="left" w:pos="720"/>
        </w:tabs>
        <w:spacing w:before="120" w:line="300" w:lineRule="auto"/>
        <w:jc w:val="left"/>
        <w:rPr>
          <w:b/>
        </w:rPr>
      </w:pPr>
      <w:r w:rsidRPr="003A3051">
        <w:rPr>
          <w:b/>
        </w:rPr>
        <w:tab/>
      </w:r>
      <w:r w:rsidRPr="003A3051">
        <w:t xml:space="preserve">A specific </w:t>
      </w:r>
      <w:r w:rsidR="002D623C">
        <w:t>Enode</w:t>
      </w:r>
      <w:r w:rsidRPr="003A3051">
        <w:t xml:space="preserve"> for which a settlement price is calculated.</w:t>
      </w:r>
      <w:r w:rsidRPr="003A3051">
        <w:rPr>
          <w:b/>
        </w:rPr>
        <w:tab/>
      </w:r>
    </w:p>
    <w:p w14:paraId="4F9E9FBA" w14:textId="77777777" w:rsidR="003A3051" w:rsidRPr="003A3051" w:rsidRDefault="003A3051" w:rsidP="003A3051">
      <w:pPr>
        <w:spacing w:before="120" w:line="300" w:lineRule="auto"/>
        <w:jc w:val="left"/>
        <w:rPr>
          <w:b/>
        </w:rPr>
      </w:pPr>
      <w:r w:rsidRPr="003A3051">
        <w:rPr>
          <w:b/>
        </w:rPr>
        <w:t>No-Load Offer</w:t>
      </w:r>
    </w:p>
    <w:p w14:paraId="30A6CAF9" w14:textId="77777777" w:rsidR="007E3D6F" w:rsidRDefault="003A3051" w:rsidP="003A3051">
      <w:pPr>
        <w:spacing w:before="120" w:line="300" w:lineRule="auto"/>
        <w:ind w:left="720"/>
        <w:jc w:val="left"/>
      </w:pPr>
      <w:r w:rsidRPr="003A3051">
        <w:t xml:space="preserve">As defined in the </w:t>
      </w:r>
      <w:r w:rsidRPr="003A3051" w:rsidDel="00205B79">
        <w:t>Markets</w:t>
      </w:r>
      <w:r w:rsidRPr="003A3051">
        <w:t xml:space="preserve"> </w:t>
      </w:r>
      <w:r w:rsidRPr="003A3051" w:rsidDel="00205B79">
        <w:t>+</w:t>
      </w:r>
      <w:r w:rsidRPr="003A3051" w:rsidDel="008C0625">
        <w:t>Tariff</w:t>
      </w:r>
      <w:r w:rsidRPr="003A3051">
        <w:t xml:space="preserve">. </w:t>
      </w:r>
    </w:p>
    <w:p w14:paraId="4677CBBA" w14:textId="345F08CD" w:rsidR="007E3D6F" w:rsidRPr="007E3D6F" w:rsidRDefault="007E3D6F" w:rsidP="007E3D6F">
      <w:pPr>
        <w:spacing w:before="120" w:line="300" w:lineRule="auto"/>
        <w:jc w:val="left"/>
        <w:rPr>
          <w:b/>
        </w:rPr>
      </w:pPr>
      <w:r w:rsidRPr="007E3D6F">
        <w:rPr>
          <w:b/>
        </w:rPr>
        <w:t>Non-Binding Season</w:t>
      </w:r>
    </w:p>
    <w:p w14:paraId="13628900" w14:textId="38A6329D" w:rsidR="003A3051" w:rsidRPr="003A3051" w:rsidRDefault="007E3D6F" w:rsidP="003A3051">
      <w:pPr>
        <w:spacing w:before="120" w:line="300" w:lineRule="auto"/>
        <w:ind w:left="720"/>
        <w:jc w:val="left"/>
      </w:pPr>
      <w:r w:rsidRPr="007E3D6F">
        <w:t>Any calendar date that is outside of the dates in the Binding Seasons.</w:t>
      </w:r>
    </w:p>
    <w:p w14:paraId="462E8417" w14:textId="77777777" w:rsidR="003A3051" w:rsidRPr="003A3051" w:rsidRDefault="003A3051" w:rsidP="003A3051">
      <w:pPr>
        <w:spacing w:before="120" w:line="300" w:lineRule="auto"/>
        <w:jc w:val="left"/>
        <w:rPr>
          <w:b/>
          <w:szCs w:val="24"/>
        </w:rPr>
      </w:pPr>
      <w:r w:rsidRPr="003A3051">
        <w:rPr>
          <w:b/>
          <w:szCs w:val="24"/>
        </w:rPr>
        <w:t>Non-Conforming Load</w:t>
      </w:r>
    </w:p>
    <w:p w14:paraId="018E3DF3" w14:textId="77777777" w:rsidR="003A3051" w:rsidRPr="003A3051" w:rsidRDefault="003A3051" w:rsidP="003A3051">
      <w:pPr>
        <w:spacing w:before="120" w:line="300" w:lineRule="auto"/>
        <w:ind w:left="720"/>
        <w:rPr>
          <w:szCs w:val="24"/>
        </w:rPr>
      </w:pPr>
      <w:r w:rsidRPr="003A3051">
        <w:rPr>
          <w:szCs w:val="24"/>
        </w:rPr>
        <w:t>As defined in the Markets+ Tariff.</w:t>
      </w:r>
    </w:p>
    <w:p w14:paraId="48EB53B7" w14:textId="77777777" w:rsidR="003A3051" w:rsidRPr="003A3051" w:rsidRDefault="003A3051" w:rsidP="003A3051">
      <w:pPr>
        <w:spacing w:before="120" w:line="300" w:lineRule="auto"/>
        <w:jc w:val="left"/>
        <w:rPr>
          <w:b/>
          <w:szCs w:val="24"/>
        </w:rPr>
      </w:pPr>
      <w:r w:rsidRPr="003A3051">
        <w:rPr>
          <w:b/>
          <w:szCs w:val="24"/>
        </w:rPr>
        <w:t>Non-Dispatchable Variable Energy Resource</w:t>
      </w:r>
    </w:p>
    <w:p w14:paraId="06F7756B" w14:textId="77777777" w:rsidR="003A3051" w:rsidRPr="003A3051" w:rsidRDefault="003A3051" w:rsidP="003A3051">
      <w:pPr>
        <w:spacing w:before="120" w:line="300" w:lineRule="auto"/>
        <w:ind w:left="720"/>
        <w:rPr>
          <w:szCs w:val="24"/>
        </w:rPr>
      </w:pPr>
      <w:r w:rsidRPr="003A3051">
        <w:rPr>
          <w:szCs w:val="24"/>
        </w:rPr>
        <w:t xml:space="preserve">As defined in the </w:t>
      </w:r>
      <w:r w:rsidRPr="003A3051" w:rsidDel="00205B79">
        <w:rPr>
          <w:szCs w:val="24"/>
        </w:rPr>
        <w:t>Markets</w:t>
      </w:r>
      <w:r w:rsidRPr="003A3051">
        <w:rPr>
          <w:szCs w:val="24"/>
        </w:rPr>
        <w:t xml:space="preserve"> </w:t>
      </w:r>
      <w:r w:rsidRPr="003A3051" w:rsidDel="00205B79">
        <w:rPr>
          <w:szCs w:val="24"/>
        </w:rPr>
        <w:t>+</w:t>
      </w:r>
      <w:r w:rsidRPr="003A3051" w:rsidDel="008C0625">
        <w:rPr>
          <w:szCs w:val="24"/>
        </w:rPr>
        <w:t>Tariff</w:t>
      </w:r>
      <w:r w:rsidRPr="003A3051">
        <w:rPr>
          <w:szCs w:val="24"/>
        </w:rPr>
        <w:t>.</w:t>
      </w:r>
    </w:p>
    <w:p w14:paraId="64392CBA" w14:textId="77777777" w:rsidR="009236E4" w:rsidRPr="009236E4" w:rsidRDefault="009236E4" w:rsidP="009236E4">
      <w:pPr>
        <w:spacing w:after="160" w:line="259" w:lineRule="auto"/>
        <w:rPr>
          <w:rFonts w:eastAsia="Calibri"/>
          <w:b/>
          <w:bCs/>
          <w:szCs w:val="24"/>
        </w:rPr>
      </w:pPr>
      <w:r w:rsidRPr="009236E4">
        <w:rPr>
          <w:rFonts w:eastAsia="Calibri"/>
          <w:b/>
          <w:bCs/>
          <w:szCs w:val="24"/>
        </w:rPr>
        <w:t>Non-Reporting Area</w:t>
      </w:r>
    </w:p>
    <w:p w14:paraId="0075B530" w14:textId="77777777" w:rsidR="009236E4" w:rsidRPr="009236E4" w:rsidRDefault="009236E4" w:rsidP="001453E8">
      <w:pPr>
        <w:spacing w:after="160" w:line="259" w:lineRule="auto"/>
        <w:ind w:left="720"/>
        <w:rPr>
          <w:rFonts w:eastAsia="Calibri"/>
          <w:szCs w:val="24"/>
        </w:rPr>
      </w:pPr>
      <w:r w:rsidRPr="009236E4">
        <w:rPr>
          <w:rFonts w:eastAsia="Calibri"/>
          <w:szCs w:val="24"/>
        </w:rPr>
        <w:t xml:space="preserve">The subdivision within Markets+ comprised of Non-Reporting Entities. </w:t>
      </w:r>
    </w:p>
    <w:p w14:paraId="116701E3" w14:textId="77777777" w:rsidR="001A032C" w:rsidRPr="001A032C" w:rsidRDefault="001A032C" w:rsidP="001A032C">
      <w:pPr>
        <w:spacing w:after="160" w:line="259" w:lineRule="auto"/>
        <w:rPr>
          <w:rFonts w:eastAsia="Calibri"/>
          <w:b/>
          <w:bCs/>
          <w:szCs w:val="24"/>
        </w:rPr>
      </w:pPr>
      <w:r w:rsidRPr="001A032C">
        <w:rPr>
          <w:rFonts w:eastAsia="Calibri"/>
          <w:b/>
          <w:bCs/>
          <w:szCs w:val="24"/>
        </w:rPr>
        <w:t>Non-Reporting Entity</w:t>
      </w:r>
    </w:p>
    <w:p w14:paraId="37C00E59" w14:textId="15AE5DD5" w:rsidR="001A032C" w:rsidRPr="001A032C" w:rsidRDefault="001A032C" w:rsidP="001453E8">
      <w:pPr>
        <w:spacing w:after="160" w:line="300" w:lineRule="auto"/>
        <w:ind w:left="720"/>
        <w:rPr>
          <w:rFonts w:eastAsia="Calibri"/>
          <w:szCs w:val="24"/>
        </w:rPr>
      </w:pPr>
      <w:r w:rsidRPr="001A032C">
        <w:rPr>
          <w:rFonts w:eastAsia="Calibri"/>
          <w:szCs w:val="24"/>
        </w:rPr>
        <w:t xml:space="preserve">An LRE which has not elected to participate in the Markets+ GHG tracking and reporting program, and which does not receive a GHG Report. </w:t>
      </w:r>
    </w:p>
    <w:p w14:paraId="21FE3DC8" w14:textId="77777777" w:rsidR="004730E0" w:rsidRPr="004730E0" w:rsidRDefault="004730E0" w:rsidP="004730E0">
      <w:pPr>
        <w:spacing w:after="160" w:line="300" w:lineRule="auto"/>
        <w:rPr>
          <w:rFonts w:eastAsia="Calibri"/>
          <w:szCs w:val="24"/>
          <w14:ligatures w14:val="standardContextual"/>
        </w:rPr>
      </w:pPr>
      <w:r w:rsidRPr="004730E0">
        <w:rPr>
          <w:rFonts w:eastAsia="Calibri"/>
          <w:b/>
          <w:bCs/>
          <w:szCs w:val="24"/>
          <w14:ligatures w14:val="standardContextual"/>
        </w:rPr>
        <w:t>Normal</w:t>
      </w:r>
    </w:p>
    <w:p w14:paraId="3194D5F5" w14:textId="405EBD99" w:rsidR="004730E0" w:rsidRPr="004730E0" w:rsidRDefault="004730E0" w:rsidP="004730E0">
      <w:pPr>
        <w:spacing w:after="160" w:line="300" w:lineRule="auto"/>
        <w:rPr>
          <w:rFonts w:eastAsia="Calibri"/>
          <w:szCs w:val="24"/>
          <w14:ligatures w14:val="standardContextual"/>
        </w:rPr>
      </w:pPr>
      <w:r w:rsidRPr="004730E0">
        <w:rPr>
          <w:rFonts w:eastAsia="Calibri"/>
          <w:szCs w:val="24"/>
          <w14:ligatures w14:val="standardContextual"/>
        </w:rPr>
        <w:tab/>
        <w:t>An e-Tag Transaction Type data attribute as defined by NAESB</w:t>
      </w:r>
      <w:r w:rsidR="00C65668">
        <w:rPr>
          <w:rFonts w:eastAsia="Calibri"/>
          <w:szCs w:val="24"/>
          <w14:ligatures w14:val="standardContextual"/>
        </w:rPr>
        <w:t>.</w:t>
      </w:r>
      <w:r w:rsidRPr="004730E0">
        <w:rPr>
          <w:rFonts w:eastAsia="Calibri"/>
          <w:szCs w:val="24"/>
          <w14:ligatures w14:val="standardContextual"/>
        </w:rPr>
        <w:t xml:space="preserve">  </w:t>
      </w:r>
    </w:p>
    <w:p w14:paraId="2FDC323A" w14:textId="77777777" w:rsidR="00B26587" w:rsidRPr="00B26587" w:rsidRDefault="00B26587" w:rsidP="00B26587">
      <w:pPr>
        <w:spacing w:after="160" w:line="259" w:lineRule="auto"/>
        <w:rPr>
          <w:rFonts w:eastAsia="Calibri"/>
          <w:b/>
          <w:bCs/>
          <w:szCs w:val="24"/>
        </w:rPr>
      </w:pPr>
      <w:r w:rsidRPr="00B26587">
        <w:rPr>
          <w:rFonts w:eastAsia="Calibri"/>
          <w:b/>
          <w:bCs/>
          <w:szCs w:val="24"/>
        </w:rPr>
        <w:t xml:space="preserve">Null Power </w:t>
      </w:r>
    </w:p>
    <w:p w14:paraId="2D7FB7D5" w14:textId="746C4DF8" w:rsidR="00B26587" w:rsidRPr="00B26587" w:rsidRDefault="00B26587" w:rsidP="001453E8">
      <w:pPr>
        <w:spacing w:after="160" w:line="300" w:lineRule="auto"/>
        <w:ind w:left="720"/>
        <w:rPr>
          <w:rFonts w:eastAsia="Calibri"/>
          <w:szCs w:val="24"/>
        </w:rPr>
      </w:pPr>
      <w:r w:rsidRPr="00B26587">
        <w:rPr>
          <w:rFonts w:eastAsia="Calibri"/>
          <w:szCs w:val="24"/>
        </w:rPr>
        <w:t xml:space="preserve">Energy designated by a Reporting Entity indicating that the Renewable Energy Certificates </w:t>
      </w:r>
      <w:r w:rsidRPr="00B26587" w:rsidDel="0046151A">
        <w:rPr>
          <w:rFonts w:eastAsia="Calibri"/>
          <w:szCs w:val="24"/>
        </w:rPr>
        <w:t>and/or</w:t>
      </w:r>
      <w:r w:rsidRPr="00B26587">
        <w:rPr>
          <w:rFonts w:eastAsia="Calibri"/>
          <w:szCs w:val="24"/>
        </w:rPr>
        <w:t xml:space="preserve"> nonpower attributes have been separated from the Energy and retained by the Reporting Entity or sold to a third party. Nothing in these protocols requires a Reporting Entity to designate power as null.</w:t>
      </w:r>
    </w:p>
    <w:p w14:paraId="5E6031F5" w14:textId="77777777" w:rsidR="003A3051" w:rsidRPr="003A3051" w:rsidRDefault="003A3051" w:rsidP="003A3051">
      <w:pPr>
        <w:keepNext/>
        <w:spacing w:before="240" w:after="60" w:line="276" w:lineRule="auto"/>
        <w:jc w:val="left"/>
        <w:outlineLvl w:val="1"/>
        <w:rPr>
          <w:rFonts w:eastAsia="Calibri" w:cs="Arial"/>
          <w:b/>
          <w:bCs/>
          <w:iCs/>
          <w:szCs w:val="28"/>
        </w:rPr>
      </w:pPr>
      <w:bookmarkStart w:id="29" w:name="_Toc213771746"/>
      <w:r w:rsidRPr="003A3051">
        <w:rPr>
          <w:rFonts w:eastAsia="Calibri" w:cs="Arial"/>
          <w:b/>
          <w:bCs/>
          <w:iCs/>
          <w:szCs w:val="28"/>
        </w:rPr>
        <w:t>O – Definitions</w:t>
      </w:r>
      <w:bookmarkEnd w:id="29"/>
      <w:r w:rsidRPr="003A3051">
        <w:rPr>
          <w:rFonts w:eastAsia="Calibri" w:cs="Arial"/>
          <w:b/>
          <w:bCs/>
          <w:iCs/>
          <w:szCs w:val="28"/>
        </w:rPr>
        <w:t> </w:t>
      </w:r>
    </w:p>
    <w:p w14:paraId="2B6964AA" w14:textId="77777777" w:rsidR="003A3051" w:rsidRPr="003A3051" w:rsidRDefault="003A3051" w:rsidP="003A3051">
      <w:pPr>
        <w:keepNext/>
        <w:autoSpaceDE w:val="0"/>
        <w:autoSpaceDN w:val="0"/>
        <w:adjustRightInd w:val="0"/>
        <w:spacing w:after="0" w:line="300" w:lineRule="auto"/>
        <w:ind w:left="720" w:hanging="720"/>
        <w:rPr>
          <w:b/>
          <w:color w:val="000000"/>
          <w:szCs w:val="24"/>
        </w:rPr>
      </w:pPr>
      <w:r w:rsidRPr="003A3051">
        <w:rPr>
          <w:b/>
          <w:szCs w:val="24"/>
        </w:rPr>
        <w:t>Offer</w:t>
      </w:r>
    </w:p>
    <w:p w14:paraId="05478D60" w14:textId="77777777" w:rsidR="003A3051" w:rsidRPr="003A3051" w:rsidRDefault="003A3051" w:rsidP="003A3051">
      <w:pPr>
        <w:spacing w:after="0" w:line="300" w:lineRule="auto"/>
        <w:ind w:left="720"/>
        <w:rPr>
          <w:szCs w:val="24"/>
        </w:rPr>
      </w:pPr>
      <w:r w:rsidRPr="003A3051">
        <w:rPr>
          <w:szCs w:val="24"/>
        </w:rPr>
        <w:t>As defined in the Markets+ Tariff.</w:t>
      </w:r>
    </w:p>
    <w:p w14:paraId="25075785" w14:textId="77777777" w:rsidR="003A3051" w:rsidRPr="003A3051" w:rsidRDefault="003A3051" w:rsidP="003A3051">
      <w:pPr>
        <w:spacing w:before="120" w:line="300" w:lineRule="auto"/>
        <w:rPr>
          <w:b/>
          <w:szCs w:val="24"/>
        </w:rPr>
      </w:pPr>
      <w:r w:rsidRPr="003A3051">
        <w:rPr>
          <w:b/>
          <w:szCs w:val="24"/>
        </w:rPr>
        <w:t>Operating Day</w:t>
      </w:r>
    </w:p>
    <w:p w14:paraId="25B55346"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3848629F" w14:textId="77777777" w:rsidR="003A3051" w:rsidRPr="003A3051" w:rsidRDefault="003A3051" w:rsidP="003A3051">
      <w:pPr>
        <w:spacing w:before="120" w:line="300" w:lineRule="auto"/>
        <w:rPr>
          <w:b/>
          <w:szCs w:val="24"/>
        </w:rPr>
      </w:pPr>
      <w:r w:rsidRPr="003A3051">
        <w:rPr>
          <w:b/>
          <w:szCs w:val="24"/>
        </w:rPr>
        <w:t>Operating Hour</w:t>
      </w:r>
    </w:p>
    <w:p w14:paraId="4BFC3E76" w14:textId="77777777" w:rsidR="003A3051" w:rsidRPr="003A3051" w:rsidRDefault="003A3051" w:rsidP="003A3051">
      <w:pPr>
        <w:spacing w:before="120" w:line="300" w:lineRule="auto"/>
        <w:ind w:firstLine="720"/>
        <w:rPr>
          <w:rFonts w:eastAsia="Aptos" w:cs="Arial"/>
          <w:kern w:val="2"/>
          <w:sz w:val="22"/>
          <w:szCs w:val="24"/>
          <w14:ligatures w14:val="standardContextual"/>
        </w:rPr>
      </w:pPr>
      <w:r w:rsidRPr="003A3051">
        <w:rPr>
          <w:szCs w:val="24"/>
        </w:rPr>
        <w:t>As defined in the Markets+ Tariff.</w:t>
      </w:r>
    </w:p>
    <w:p w14:paraId="26F50066" w14:textId="77777777" w:rsidR="003A3051" w:rsidRPr="003A3051" w:rsidRDefault="003A3051" w:rsidP="003A3051">
      <w:pPr>
        <w:keepNext/>
        <w:spacing w:after="0" w:line="300" w:lineRule="auto"/>
        <w:rPr>
          <w:b/>
          <w:szCs w:val="24"/>
        </w:rPr>
      </w:pPr>
      <w:r w:rsidRPr="003A3051">
        <w:rPr>
          <w:b/>
          <w:szCs w:val="24"/>
        </w:rPr>
        <w:t>Operating Tolerance</w:t>
      </w:r>
    </w:p>
    <w:p w14:paraId="201D0021" w14:textId="77777777" w:rsidR="003A3051" w:rsidRPr="003A3051" w:rsidRDefault="003A3051" w:rsidP="003A3051">
      <w:pPr>
        <w:keepNext/>
        <w:spacing w:after="0" w:line="300" w:lineRule="auto"/>
        <w:rPr>
          <w:b/>
          <w:szCs w:val="24"/>
        </w:rPr>
      </w:pPr>
      <w:r w:rsidRPr="003A3051">
        <w:rPr>
          <w:b/>
          <w:szCs w:val="24"/>
        </w:rPr>
        <w:tab/>
      </w:r>
      <w:r w:rsidRPr="003A3051">
        <w:rPr>
          <w:szCs w:val="24"/>
        </w:rPr>
        <w:t>As defined in the Markets+ Tariff.</w:t>
      </w:r>
    </w:p>
    <w:p w14:paraId="139AB8E0" w14:textId="77777777" w:rsidR="003A3051" w:rsidRPr="003A3051" w:rsidRDefault="003A3051" w:rsidP="003A3051">
      <w:pPr>
        <w:keepNext/>
        <w:spacing w:before="120" w:line="300" w:lineRule="auto"/>
        <w:rPr>
          <w:rFonts w:ascii="Aptos" w:eastAsia="Aptos" w:hAnsi="Aptos" w:cs="Arial"/>
          <w:b/>
          <w:bCs/>
          <w:kern w:val="2"/>
          <w:sz w:val="22"/>
          <w14:ligatures w14:val="standardContextual"/>
        </w:rPr>
      </w:pPr>
      <w:r w:rsidRPr="003A3051">
        <w:rPr>
          <w:b/>
          <w:szCs w:val="24"/>
        </w:rPr>
        <w:t xml:space="preserve">Out-of-Merit Energy (OOME) </w:t>
      </w:r>
    </w:p>
    <w:p w14:paraId="31B31668" w14:textId="77777777" w:rsidR="003A3051" w:rsidRPr="003A3051" w:rsidRDefault="003A3051" w:rsidP="003A3051">
      <w:pPr>
        <w:spacing w:after="0" w:line="360" w:lineRule="auto"/>
        <w:ind w:left="720"/>
        <w:rPr>
          <w:szCs w:val="24"/>
        </w:rPr>
      </w:pPr>
      <w:r w:rsidRPr="003A3051">
        <w:rPr>
          <w:szCs w:val="24"/>
        </w:rPr>
        <w:t>As defined in the Markets+ Tariff.</w:t>
      </w:r>
    </w:p>
    <w:p w14:paraId="3E6F73FD" w14:textId="77777777" w:rsidR="003A3051" w:rsidRPr="003A3051" w:rsidRDefault="003A3051" w:rsidP="003A3051">
      <w:pPr>
        <w:spacing w:after="0" w:line="360" w:lineRule="auto"/>
        <w:ind w:left="720"/>
        <w:rPr>
          <w:szCs w:val="24"/>
        </w:rPr>
        <w:sectPr w:rsidR="003A3051" w:rsidRPr="003A3051" w:rsidSect="003A305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pPr>
    </w:p>
    <w:p w14:paraId="54C19371" w14:textId="77777777" w:rsidR="003A3051" w:rsidRPr="003A3051" w:rsidRDefault="003A3051" w:rsidP="003A3051">
      <w:pPr>
        <w:keepNext/>
        <w:spacing w:before="240" w:after="60" w:line="276" w:lineRule="auto"/>
        <w:jc w:val="left"/>
        <w:outlineLvl w:val="1"/>
        <w:rPr>
          <w:rFonts w:eastAsia="Calibri" w:cs="Arial"/>
          <w:b/>
          <w:bCs/>
          <w:iCs/>
          <w:szCs w:val="28"/>
        </w:rPr>
      </w:pPr>
      <w:bookmarkStart w:id="30" w:name="_Toc213771747"/>
      <w:r w:rsidRPr="003A3051">
        <w:rPr>
          <w:rFonts w:eastAsia="Calibri" w:cs="Arial"/>
          <w:b/>
          <w:bCs/>
          <w:iCs/>
          <w:szCs w:val="28"/>
        </w:rPr>
        <w:t>P – Definitions</w:t>
      </w:r>
      <w:bookmarkEnd w:id="30"/>
      <w:r w:rsidRPr="003A3051">
        <w:rPr>
          <w:rFonts w:eastAsia="Calibri" w:cs="Arial"/>
          <w:b/>
          <w:bCs/>
          <w:iCs/>
          <w:szCs w:val="28"/>
        </w:rPr>
        <w:t> </w:t>
      </w:r>
    </w:p>
    <w:p w14:paraId="21422A6C" w14:textId="77777777" w:rsidR="003A3051" w:rsidRPr="003A3051" w:rsidRDefault="003A3051" w:rsidP="003A3051">
      <w:pPr>
        <w:spacing w:after="240"/>
        <w:rPr>
          <w:b/>
          <w:color w:val="000000"/>
        </w:rPr>
      </w:pPr>
      <w:r w:rsidRPr="003A3051">
        <w:rPr>
          <w:b/>
          <w:color w:val="000000"/>
        </w:rPr>
        <w:t>Pacific Prevailing Time (PPT)</w:t>
      </w:r>
    </w:p>
    <w:p w14:paraId="026238F2" w14:textId="5598F1FE" w:rsidR="003A3051" w:rsidRPr="003A3051" w:rsidRDefault="003A3051" w:rsidP="003A3051">
      <w:pPr>
        <w:spacing w:line="300" w:lineRule="auto"/>
        <w:rPr>
          <w:szCs w:val="24"/>
        </w:rPr>
      </w:pPr>
      <w:r w:rsidRPr="003A3051">
        <w:rPr>
          <w:b/>
          <w:szCs w:val="24"/>
        </w:rPr>
        <w:tab/>
      </w:r>
      <w:r w:rsidRPr="003A3051">
        <w:rPr>
          <w:szCs w:val="24"/>
        </w:rPr>
        <w:t>As defined in the Markets+ Tariff. All times are represented in 24</w:t>
      </w:r>
      <w:r w:rsidR="00877D7F">
        <w:rPr>
          <w:szCs w:val="24"/>
        </w:rPr>
        <w:t>-</w:t>
      </w:r>
      <w:r w:rsidRPr="003A3051">
        <w:rPr>
          <w:szCs w:val="24"/>
        </w:rPr>
        <w:t>hour time format.</w:t>
      </w:r>
    </w:p>
    <w:p w14:paraId="0D2F48E0" w14:textId="77777777" w:rsidR="003A3051" w:rsidRPr="003A3051" w:rsidRDefault="003A3051" w:rsidP="003A3051">
      <w:pPr>
        <w:spacing w:line="300" w:lineRule="auto"/>
        <w:rPr>
          <w:b/>
          <w:szCs w:val="24"/>
        </w:rPr>
      </w:pPr>
      <w:r w:rsidRPr="003A3051">
        <w:rPr>
          <w:b/>
          <w:szCs w:val="24"/>
        </w:rPr>
        <w:t>Participating Balancing Authority</w:t>
      </w:r>
    </w:p>
    <w:p w14:paraId="6A0B6C40" w14:textId="77777777" w:rsidR="003A3051" w:rsidRPr="003A3051" w:rsidRDefault="003A3051" w:rsidP="003A3051">
      <w:pPr>
        <w:spacing w:line="300" w:lineRule="auto"/>
        <w:rPr>
          <w:szCs w:val="24"/>
        </w:rPr>
      </w:pPr>
      <w:r w:rsidRPr="003A3051">
        <w:rPr>
          <w:b/>
          <w:szCs w:val="24"/>
        </w:rPr>
        <w:tab/>
      </w:r>
      <w:r w:rsidRPr="003A3051">
        <w:rPr>
          <w:szCs w:val="24"/>
        </w:rPr>
        <w:t xml:space="preserve">As defined in the Markets+ Tariff. </w:t>
      </w:r>
    </w:p>
    <w:p w14:paraId="5344D0E5" w14:textId="77777777" w:rsidR="003A3051" w:rsidRPr="003A3051" w:rsidRDefault="003A3051" w:rsidP="003A3051">
      <w:pPr>
        <w:spacing w:line="300" w:lineRule="auto"/>
        <w:rPr>
          <w:b/>
          <w:szCs w:val="24"/>
        </w:rPr>
      </w:pPr>
      <w:r w:rsidRPr="003A3051">
        <w:rPr>
          <w:b/>
          <w:szCs w:val="24"/>
        </w:rPr>
        <w:t>Participating Balancing Authority Area</w:t>
      </w:r>
    </w:p>
    <w:p w14:paraId="120EC333" w14:textId="77777777" w:rsidR="003A3051" w:rsidRPr="003A3051" w:rsidRDefault="003A3051" w:rsidP="003A3051">
      <w:pPr>
        <w:spacing w:line="300" w:lineRule="auto"/>
        <w:rPr>
          <w:szCs w:val="24"/>
        </w:rPr>
      </w:pPr>
      <w:r w:rsidRPr="003A3051">
        <w:rPr>
          <w:b/>
          <w:szCs w:val="24"/>
        </w:rPr>
        <w:tab/>
      </w:r>
      <w:r w:rsidRPr="003A3051">
        <w:rPr>
          <w:szCs w:val="24"/>
        </w:rPr>
        <w:t xml:space="preserve">As defined in the Markets+ Tariff. </w:t>
      </w:r>
    </w:p>
    <w:p w14:paraId="21AB48DC" w14:textId="77777777" w:rsidR="003A3051" w:rsidRPr="003A3051" w:rsidRDefault="003A3051" w:rsidP="003A3051">
      <w:pPr>
        <w:spacing w:line="300" w:lineRule="auto"/>
        <w:rPr>
          <w:b/>
          <w:szCs w:val="24"/>
        </w:rPr>
      </w:pPr>
      <w:r w:rsidRPr="003A3051">
        <w:rPr>
          <w:b/>
          <w:szCs w:val="24"/>
        </w:rPr>
        <w:t>Plant Minimum Down Time</w:t>
      </w:r>
    </w:p>
    <w:p w14:paraId="4316EB73" w14:textId="77777777" w:rsidR="003A3051" w:rsidRPr="003A3051" w:rsidRDefault="003A3051" w:rsidP="003A3051">
      <w:pPr>
        <w:spacing w:line="300" w:lineRule="auto"/>
        <w:ind w:left="720"/>
        <w:rPr>
          <w:szCs w:val="24"/>
        </w:rPr>
      </w:pPr>
      <w:r w:rsidRPr="003A3051">
        <w:rPr>
          <w:rFonts w:cs="Arial"/>
          <w:bCs/>
          <w:szCs w:val="26"/>
        </w:rPr>
        <w:t>For an MCR, the minimum length of time required following complete desynchronization that the entire combined cycle plant must remain offline prior to a subsequent synchronization</w:t>
      </w:r>
      <w:r w:rsidRPr="003A3051">
        <w:rPr>
          <w:szCs w:val="24"/>
        </w:rPr>
        <w:t xml:space="preserve">. </w:t>
      </w:r>
    </w:p>
    <w:p w14:paraId="61537836" w14:textId="77777777" w:rsidR="003A3051" w:rsidRPr="003A3051" w:rsidRDefault="003A3051" w:rsidP="003A3051">
      <w:pPr>
        <w:spacing w:before="120" w:line="300" w:lineRule="auto"/>
        <w:rPr>
          <w:b/>
        </w:rPr>
      </w:pPr>
      <w:r w:rsidRPr="003A3051">
        <w:rPr>
          <w:b/>
        </w:rPr>
        <w:t>Plant Minimum Run Time</w:t>
      </w:r>
    </w:p>
    <w:p w14:paraId="5A379CDD" w14:textId="363AE37A" w:rsidR="003A3051" w:rsidRPr="003A3051" w:rsidRDefault="003A3051" w:rsidP="003A3051">
      <w:pPr>
        <w:spacing w:line="300" w:lineRule="auto"/>
        <w:ind w:left="720"/>
        <w:rPr>
          <w:szCs w:val="24"/>
        </w:rPr>
      </w:pPr>
      <w:r w:rsidRPr="003A3051">
        <w:t xml:space="preserve">As defined in the </w:t>
      </w:r>
      <w:r w:rsidRPr="003A3051" w:rsidDel="00524574">
        <w:t>Markets</w:t>
      </w:r>
      <w:r w:rsidRPr="003A3051" w:rsidDel="00AD01BB">
        <w:t>+</w:t>
      </w:r>
      <w:r w:rsidR="00BC1C6F">
        <w:t xml:space="preserve"> </w:t>
      </w:r>
      <w:r w:rsidRPr="003A3051">
        <w:t>Tariff.</w:t>
      </w:r>
    </w:p>
    <w:p w14:paraId="22899DAF" w14:textId="77777777" w:rsidR="003A3051" w:rsidRPr="003A3051" w:rsidRDefault="003A3051" w:rsidP="003A3051">
      <w:pPr>
        <w:spacing w:before="120" w:line="300" w:lineRule="auto"/>
        <w:rPr>
          <w:b/>
        </w:rPr>
      </w:pPr>
      <w:r w:rsidRPr="003A3051">
        <w:rPr>
          <w:b/>
        </w:rPr>
        <w:t>Point-of-Delivery (POD)</w:t>
      </w:r>
    </w:p>
    <w:p w14:paraId="1472FC6C" w14:textId="77777777" w:rsidR="003A3051" w:rsidRPr="003A3051" w:rsidRDefault="003A3051" w:rsidP="003A3051">
      <w:pPr>
        <w:spacing w:line="300" w:lineRule="auto"/>
        <w:ind w:left="720"/>
        <w:rPr>
          <w:szCs w:val="24"/>
        </w:rPr>
      </w:pPr>
      <w:r w:rsidRPr="003A3051">
        <w:t>As defined in the Markets+ Tariff.</w:t>
      </w:r>
    </w:p>
    <w:p w14:paraId="1A4A7768" w14:textId="2DFDD93C" w:rsidR="003A3051" w:rsidRPr="003A3051" w:rsidRDefault="003A3051" w:rsidP="003A3051">
      <w:pPr>
        <w:spacing w:before="120" w:line="300" w:lineRule="auto"/>
        <w:rPr>
          <w:b/>
        </w:rPr>
      </w:pPr>
      <w:r w:rsidRPr="003A3051">
        <w:rPr>
          <w:b/>
        </w:rPr>
        <w:t>Point-of-Interconnection (POI)</w:t>
      </w:r>
    </w:p>
    <w:p w14:paraId="35D37ECA" w14:textId="2C03FA42" w:rsidR="003A3051" w:rsidRPr="003A3051" w:rsidRDefault="002E4113" w:rsidP="003A3051">
      <w:pPr>
        <w:spacing w:before="120" w:line="300" w:lineRule="auto"/>
      </w:pPr>
      <w:r>
        <w:tab/>
        <w:t xml:space="preserve">The physical </w:t>
      </w:r>
      <w:r w:rsidR="00B20AE8">
        <w:t>point on the transmission system at which a Resource interconnects.</w:t>
      </w:r>
    </w:p>
    <w:p w14:paraId="0DB3D318" w14:textId="77777777" w:rsidR="003A3051" w:rsidRPr="003A3051" w:rsidRDefault="003A3051" w:rsidP="003A3051">
      <w:pPr>
        <w:spacing w:before="120" w:line="300" w:lineRule="auto"/>
        <w:rPr>
          <w:b/>
        </w:rPr>
      </w:pPr>
      <w:r w:rsidRPr="003A3051">
        <w:rPr>
          <w:b/>
        </w:rPr>
        <w:t>Point-of-Receipt (POR)</w:t>
      </w:r>
    </w:p>
    <w:p w14:paraId="46B5ECAD" w14:textId="77777777" w:rsidR="003A3051" w:rsidRPr="003A3051" w:rsidRDefault="003A3051" w:rsidP="003A3051">
      <w:pPr>
        <w:spacing w:line="300" w:lineRule="auto"/>
        <w:ind w:left="720"/>
        <w:rPr>
          <w:szCs w:val="24"/>
        </w:rPr>
      </w:pPr>
      <w:r w:rsidRPr="003A3051">
        <w:t>As defined in the Markets+ Tariff.</w:t>
      </w:r>
    </w:p>
    <w:p w14:paraId="4C458216" w14:textId="77777777" w:rsidR="003A3051" w:rsidRPr="003A3051" w:rsidRDefault="003A3051" w:rsidP="003A3051">
      <w:pPr>
        <w:spacing w:before="120" w:line="300" w:lineRule="auto"/>
        <w:rPr>
          <w:b/>
        </w:rPr>
      </w:pPr>
      <w:r w:rsidRPr="003A3051">
        <w:rPr>
          <w:b/>
        </w:rPr>
        <w:t>Point-to-Point Service Distribution Cap</w:t>
      </w:r>
    </w:p>
    <w:p w14:paraId="219C6CA5" w14:textId="77777777" w:rsidR="003A3051" w:rsidRPr="003A3051" w:rsidRDefault="003A3051" w:rsidP="003A3051">
      <w:pPr>
        <w:spacing w:line="300" w:lineRule="auto"/>
        <w:ind w:left="720"/>
        <w:rPr>
          <w:szCs w:val="24"/>
        </w:rPr>
      </w:pPr>
      <w:r w:rsidRPr="003A3051">
        <w:t>As defined in the Markets+ Tariff.</w:t>
      </w:r>
    </w:p>
    <w:p w14:paraId="0900C9F1" w14:textId="77777777" w:rsidR="003A3051" w:rsidRPr="003A3051" w:rsidRDefault="003A3051" w:rsidP="003A3051">
      <w:pPr>
        <w:spacing w:before="240" w:after="60" w:line="360" w:lineRule="auto"/>
        <w:jc w:val="left"/>
        <w:rPr>
          <w:b/>
        </w:rPr>
      </w:pPr>
      <w:r w:rsidRPr="003A3051">
        <w:rPr>
          <w:b/>
        </w:rPr>
        <w:t>Portal</w:t>
      </w:r>
    </w:p>
    <w:p w14:paraId="4B03A05F" w14:textId="77777777" w:rsidR="0048785B" w:rsidRPr="003A3051" w:rsidRDefault="0048785B" w:rsidP="0048785B">
      <w:pPr>
        <w:spacing w:line="300" w:lineRule="auto"/>
        <w:ind w:left="720"/>
        <w:rPr>
          <w:szCs w:val="24"/>
        </w:rPr>
      </w:pPr>
      <w:r w:rsidRPr="003A3051">
        <w:t>As defined in the Markets+ Tariff.</w:t>
      </w:r>
    </w:p>
    <w:p w14:paraId="55A2156F" w14:textId="77777777" w:rsidR="003A3051" w:rsidRPr="003A3051" w:rsidRDefault="003A3051" w:rsidP="003A3051">
      <w:pPr>
        <w:spacing w:before="120" w:line="300" w:lineRule="auto"/>
        <w:rPr>
          <w:b/>
          <w:szCs w:val="24"/>
        </w:rPr>
      </w:pPr>
      <w:r w:rsidRPr="003A3051">
        <w:rPr>
          <w:b/>
          <w:szCs w:val="24"/>
        </w:rPr>
        <w:t>Power Transfer Distribution Factor (PTDF)</w:t>
      </w:r>
    </w:p>
    <w:p w14:paraId="461D1AC4" w14:textId="77777777" w:rsidR="003A3051" w:rsidRPr="003A3051" w:rsidRDefault="003A3051" w:rsidP="003A3051">
      <w:pPr>
        <w:spacing w:before="120" w:line="300" w:lineRule="auto"/>
        <w:ind w:left="720"/>
      </w:pPr>
      <w:r w:rsidRPr="003A3051">
        <w:t>The percentage of power transfer flowing through a facility or set of facilities (flowgate) for a particular transfer when there are no contingencies.</w:t>
      </w:r>
    </w:p>
    <w:p w14:paraId="6598AA11" w14:textId="67888CB1" w:rsidR="003A3051" w:rsidRPr="003A3051" w:rsidRDefault="003A3051" w:rsidP="003A3051">
      <w:pPr>
        <w:spacing w:before="120" w:line="300" w:lineRule="auto"/>
        <w:rPr>
          <w:b/>
          <w:szCs w:val="24"/>
        </w:rPr>
      </w:pPr>
      <w:r w:rsidRPr="003A3051">
        <w:rPr>
          <w:b/>
          <w:szCs w:val="24"/>
        </w:rPr>
        <w:t>Price Node (</w:t>
      </w:r>
      <w:r w:rsidR="002D623C">
        <w:rPr>
          <w:b/>
          <w:szCs w:val="24"/>
        </w:rPr>
        <w:t>Pnode</w:t>
      </w:r>
      <w:r w:rsidRPr="003A3051">
        <w:rPr>
          <w:b/>
          <w:szCs w:val="24"/>
        </w:rPr>
        <w:t>)</w:t>
      </w:r>
    </w:p>
    <w:p w14:paraId="2CC1385A" w14:textId="77777777" w:rsidR="003A3051" w:rsidRPr="003A3051" w:rsidRDefault="003A3051" w:rsidP="003A3051">
      <w:pPr>
        <w:spacing w:after="0" w:line="300" w:lineRule="auto"/>
        <w:ind w:left="720"/>
        <w:rPr>
          <w:bCs/>
          <w:szCs w:val="24"/>
        </w:rPr>
      </w:pPr>
      <w:r w:rsidRPr="003A3051">
        <w:rPr>
          <w:szCs w:val="24"/>
        </w:rPr>
        <w:t xml:space="preserve">As defined in the Markets+ Tariff.  </w:t>
      </w:r>
    </w:p>
    <w:p w14:paraId="070D28A0" w14:textId="77777777" w:rsidR="00061103" w:rsidRPr="00061103" w:rsidRDefault="00061103" w:rsidP="00061103">
      <w:pPr>
        <w:spacing w:after="160" w:line="259" w:lineRule="auto"/>
        <w:rPr>
          <w:rFonts w:eastAsia="Calibri"/>
          <w:b/>
          <w:szCs w:val="24"/>
        </w:rPr>
      </w:pPr>
      <w:r w:rsidRPr="00061103">
        <w:rPr>
          <w:rFonts w:eastAsia="Calibri"/>
          <w:b/>
          <w:szCs w:val="24"/>
        </w:rPr>
        <w:t>Public GHG Report</w:t>
      </w:r>
    </w:p>
    <w:p w14:paraId="1EDC2BDD" w14:textId="37A771A4" w:rsidR="00061103" w:rsidRPr="00061103" w:rsidRDefault="00061103" w:rsidP="00311D0E">
      <w:pPr>
        <w:spacing w:before="120" w:line="300" w:lineRule="auto"/>
        <w:ind w:left="720"/>
        <w:rPr>
          <w:rFonts w:eastAsia="Calibri"/>
          <w:bCs/>
          <w:szCs w:val="24"/>
        </w:rPr>
      </w:pPr>
      <w:r w:rsidRPr="00061103">
        <w:rPr>
          <w:rFonts w:eastAsia="Calibri"/>
          <w:bCs/>
          <w:szCs w:val="24"/>
        </w:rPr>
        <w:t xml:space="preserve">The public information report created by the Market Operator and published on the </w:t>
      </w:r>
      <w:r w:rsidR="005B6A88">
        <w:rPr>
          <w:rFonts w:eastAsia="Calibri"/>
          <w:bCs/>
          <w:szCs w:val="24"/>
        </w:rPr>
        <w:t>Market Operator website</w:t>
      </w:r>
      <w:r w:rsidRPr="00061103">
        <w:rPr>
          <w:rFonts w:eastAsia="Calibri"/>
          <w:bCs/>
          <w:szCs w:val="24"/>
        </w:rPr>
        <w:t xml:space="preserve"> as described in Section</w:t>
      </w:r>
      <w:r w:rsidR="009E60DA">
        <w:rPr>
          <w:rFonts w:eastAsia="Calibri"/>
          <w:bCs/>
          <w:szCs w:val="24"/>
        </w:rPr>
        <w:t xml:space="preserve"> </w:t>
      </w:r>
      <w:r w:rsidR="009E60DA">
        <w:rPr>
          <w:rFonts w:eastAsia="Calibri"/>
          <w:bCs/>
          <w:szCs w:val="24"/>
        </w:rPr>
        <w:fldChar w:fldCharType="begin"/>
      </w:r>
      <w:r w:rsidR="009E60DA">
        <w:rPr>
          <w:rFonts w:eastAsia="Calibri"/>
          <w:bCs/>
          <w:szCs w:val="24"/>
        </w:rPr>
        <w:instrText xml:space="preserve"> REF _Ref212538214 \r \h </w:instrText>
      </w:r>
      <w:r w:rsidR="009E60DA">
        <w:rPr>
          <w:rFonts w:eastAsia="Calibri"/>
          <w:bCs/>
          <w:szCs w:val="24"/>
        </w:rPr>
      </w:r>
      <w:r w:rsidR="009E60DA">
        <w:rPr>
          <w:rFonts w:eastAsia="Calibri"/>
          <w:bCs/>
          <w:szCs w:val="24"/>
        </w:rPr>
        <w:fldChar w:fldCharType="separate"/>
      </w:r>
      <w:r w:rsidR="009E60DA">
        <w:rPr>
          <w:rFonts w:eastAsia="Calibri"/>
          <w:bCs/>
          <w:szCs w:val="24"/>
        </w:rPr>
        <w:t>5.5.6</w:t>
      </w:r>
      <w:r w:rsidR="009E60DA">
        <w:rPr>
          <w:rFonts w:eastAsia="Calibri"/>
          <w:bCs/>
          <w:szCs w:val="24"/>
        </w:rPr>
        <w:fldChar w:fldCharType="end"/>
      </w:r>
      <w:r w:rsidRPr="00061103">
        <w:rPr>
          <w:rFonts w:eastAsia="Calibri"/>
          <w:bCs/>
          <w:szCs w:val="24"/>
        </w:rPr>
        <w:t>.</w:t>
      </w:r>
    </w:p>
    <w:p w14:paraId="0B9B96EF" w14:textId="77777777" w:rsidR="003A3051" w:rsidRPr="003A3051" w:rsidRDefault="003A3051" w:rsidP="003A3051">
      <w:pPr>
        <w:keepNext/>
        <w:spacing w:before="240" w:after="60" w:line="276" w:lineRule="auto"/>
        <w:jc w:val="left"/>
        <w:outlineLvl w:val="1"/>
        <w:rPr>
          <w:rFonts w:eastAsia="Calibri" w:cs="Arial"/>
          <w:b/>
          <w:bCs/>
          <w:iCs/>
          <w:szCs w:val="28"/>
        </w:rPr>
      </w:pPr>
      <w:bookmarkStart w:id="31" w:name="_Toc213771748"/>
      <w:r w:rsidRPr="003A3051">
        <w:rPr>
          <w:rFonts w:eastAsia="Calibri" w:cs="Arial"/>
          <w:b/>
          <w:bCs/>
          <w:iCs/>
          <w:szCs w:val="28"/>
        </w:rPr>
        <w:t>Q – Definitions</w:t>
      </w:r>
      <w:bookmarkEnd w:id="31"/>
      <w:r w:rsidRPr="003A3051">
        <w:rPr>
          <w:rFonts w:eastAsia="Calibri" w:cs="Arial"/>
          <w:b/>
          <w:bCs/>
          <w:iCs/>
          <w:szCs w:val="28"/>
        </w:rPr>
        <w:t> </w:t>
      </w:r>
    </w:p>
    <w:p w14:paraId="6AFA182D" w14:textId="77777777" w:rsidR="003A3051" w:rsidRPr="003A3051" w:rsidRDefault="003A3051" w:rsidP="003A3051">
      <w:pPr>
        <w:keepNext/>
        <w:spacing w:before="240" w:after="60" w:line="276" w:lineRule="auto"/>
        <w:jc w:val="left"/>
        <w:outlineLvl w:val="1"/>
        <w:rPr>
          <w:rFonts w:eastAsia="Calibri" w:cs="Arial"/>
          <w:b/>
          <w:bCs/>
          <w:iCs/>
          <w:szCs w:val="28"/>
        </w:rPr>
      </w:pPr>
      <w:bookmarkStart w:id="32" w:name="_Toc213771749"/>
      <w:r w:rsidRPr="003A3051">
        <w:rPr>
          <w:rFonts w:eastAsia="Calibri" w:cs="Arial"/>
          <w:b/>
          <w:bCs/>
          <w:iCs/>
          <w:szCs w:val="28"/>
        </w:rPr>
        <w:t>R – Definitions</w:t>
      </w:r>
      <w:bookmarkEnd w:id="32"/>
      <w:r w:rsidRPr="003A3051">
        <w:rPr>
          <w:rFonts w:eastAsia="Calibri" w:cs="Arial"/>
          <w:b/>
          <w:bCs/>
          <w:iCs/>
          <w:szCs w:val="28"/>
        </w:rPr>
        <w:t> </w:t>
      </w:r>
    </w:p>
    <w:p w14:paraId="6896FC8D" w14:textId="77777777" w:rsidR="003A3051" w:rsidRPr="003A3051" w:rsidRDefault="003A3051" w:rsidP="003A3051">
      <w:pPr>
        <w:spacing w:before="120" w:line="300" w:lineRule="auto"/>
        <w:rPr>
          <w:b/>
          <w:szCs w:val="24"/>
        </w:rPr>
      </w:pPr>
      <w:r w:rsidRPr="003A3051">
        <w:rPr>
          <w:b/>
          <w:szCs w:val="24"/>
        </w:rPr>
        <w:t>Ramp-Rate-Down</w:t>
      </w:r>
    </w:p>
    <w:p w14:paraId="0363AA0F" w14:textId="77777777" w:rsidR="003A3051" w:rsidRPr="003A3051" w:rsidRDefault="003A3051" w:rsidP="003A3051">
      <w:pPr>
        <w:spacing w:before="120" w:line="300" w:lineRule="auto"/>
        <w:ind w:left="720"/>
        <w:rPr>
          <w:szCs w:val="24"/>
        </w:rPr>
      </w:pPr>
      <w:r w:rsidRPr="003A3051">
        <w:rPr>
          <w:szCs w:val="24"/>
        </w:rPr>
        <w:t>As defined in the Markets+ Tariff.</w:t>
      </w:r>
    </w:p>
    <w:p w14:paraId="217FA617" w14:textId="77777777" w:rsidR="003A3051" w:rsidRPr="003A3051" w:rsidRDefault="003A3051" w:rsidP="003A3051">
      <w:pPr>
        <w:spacing w:before="120" w:line="300" w:lineRule="auto"/>
        <w:rPr>
          <w:b/>
          <w:szCs w:val="24"/>
        </w:rPr>
      </w:pPr>
      <w:r w:rsidRPr="003A3051">
        <w:rPr>
          <w:b/>
          <w:szCs w:val="24"/>
        </w:rPr>
        <w:t>Ramp-Rate-Up</w:t>
      </w:r>
    </w:p>
    <w:p w14:paraId="39139360" w14:textId="77777777" w:rsidR="003A3051" w:rsidRPr="003A3051" w:rsidRDefault="003A3051" w:rsidP="003A3051">
      <w:pPr>
        <w:spacing w:before="120" w:line="300" w:lineRule="auto"/>
        <w:ind w:left="720"/>
        <w:rPr>
          <w:szCs w:val="24"/>
        </w:rPr>
      </w:pPr>
      <w:r w:rsidRPr="003A3051">
        <w:rPr>
          <w:szCs w:val="24"/>
        </w:rPr>
        <w:t>As defined in the Markets+ Tariff.</w:t>
      </w:r>
    </w:p>
    <w:p w14:paraId="3F09AD9B" w14:textId="77777777" w:rsidR="003A3051" w:rsidRPr="003A3051" w:rsidRDefault="003A3051" w:rsidP="003A3051">
      <w:pPr>
        <w:spacing w:before="120" w:line="300" w:lineRule="auto"/>
        <w:rPr>
          <w:b/>
          <w:szCs w:val="24"/>
        </w:rPr>
      </w:pPr>
      <w:r w:rsidRPr="003A3051">
        <w:rPr>
          <w:b/>
          <w:szCs w:val="24"/>
        </w:rPr>
        <w:t>Real-Time Balancing Market (RTBM)</w:t>
      </w:r>
    </w:p>
    <w:p w14:paraId="7155E414" w14:textId="5D2F17B1" w:rsidR="003A3051" w:rsidRPr="003A3051" w:rsidRDefault="003A3051" w:rsidP="003A3051">
      <w:pPr>
        <w:spacing w:after="0" w:line="300" w:lineRule="auto"/>
        <w:ind w:left="720"/>
        <w:rPr>
          <w:szCs w:val="24"/>
        </w:rPr>
      </w:pPr>
      <w:r w:rsidRPr="003A3051">
        <w:rPr>
          <w:szCs w:val="24"/>
        </w:rPr>
        <w:t xml:space="preserve">As defined in the </w:t>
      </w:r>
      <w:r w:rsidRPr="003A3051" w:rsidDel="00E5779C">
        <w:rPr>
          <w:szCs w:val="24"/>
        </w:rPr>
        <w:t>Markets+</w:t>
      </w:r>
      <w:r w:rsidR="00BC1C6F">
        <w:rPr>
          <w:szCs w:val="24"/>
        </w:rPr>
        <w:t xml:space="preserve"> </w:t>
      </w:r>
      <w:r w:rsidRPr="003A3051" w:rsidDel="008C0625">
        <w:rPr>
          <w:szCs w:val="24"/>
        </w:rPr>
        <w:t>Tariff</w:t>
      </w:r>
      <w:r w:rsidRPr="003A3051">
        <w:rPr>
          <w:szCs w:val="24"/>
        </w:rPr>
        <w:t>.</w:t>
      </w:r>
    </w:p>
    <w:p w14:paraId="071BCC21" w14:textId="77777777" w:rsidR="003A3051" w:rsidRPr="003A3051" w:rsidRDefault="003A3051" w:rsidP="003A3051">
      <w:pPr>
        <w:spacing w:before="120" w:line="300" w:lineRule="auto"/>
        <w:rPr>
          <w:b/>
          <w:szCs w:val="24"/>
        </w:rPr>
      </w:pPr>
      <w:r w:rsidRPr="003A3051">
        <w:rPr>
          <w:b/>
          <w:szCs w:val="24"/>
        </w:rPr>
        <w:t>Real-Time Capability</w:t>
      </w:r>
    </w:p>
    <w:p w14:paraId="5072C104" w14:textId="77777777" w:rsidR="003A3051" w:rsidRPr="003A3051" w:rsidRDefault="003A3051" w:rsidP="003A3051">
      <w:pPr>
        <w:spacing w:after="0" w:line="300" w:lineRule="auto"/>
        <w:ind w:left="720"/>
        <w:rPr>
          <w:szCs w:val="24"/>
        </w:rPr>
      </w:pPr>
      <w:r w:rsidRPr="003A3051">
        <w:rPr>
          <w:szCs w:val="24"/>
        </w:rPr>
        <w:t>As defined in the Markets+ Tariff.</w:t>
      </w:r>
    </w:p>
    <w:p w14:paraId="5D6384AD" w14:textId="77777777" w:rsidR="003A3051" w:rsidRPr="003A3051" w:rsidRDefault="003A3051" w:rsidP="003A3051">
      <w:pPr>
        <w:spacing w:before="120" w:line="300" w:lineRule="auto"/>
        <w:rPr>
          <w:b/>
          <w:szCs w:val="24"/>
        </w:rPr>
      </w:pPr>
      <w:r w:rsidRPr="003A3051">
        <w:rPr>
          <w:b/>
          <w:szCs w:val="24"/>
        </w:rPr>
        <w:t>Real-Time Load Ratio Share</w:t>
      </w:r>
    </w:p>
    <w:p w14:paraId="4DE5D2F7" w14:textId="77777777" w:rsidR="003A3051" w:rsidRPr="003A3051" w:rsidRDefault="003A3051" w:rsidP="003A3051">
      <w:pPr>
        <w:spacing w:after="0" w:line="300" w:lineRule="auto"/>
        <w:ind w:left="720"/>
        <w:rPr>
          <w:szCs w:val="24"/>
        </w:rPr>
      </w:pPr>
      <w:r w:rsidRPr="003A3051">
        <w:rPr>
          <w:szCs w:val="24"/>
        </w:rPr>
        <w:t>As defined in the Markets+ Tariff.</w:t>
      </w:r>
    </w:p>
    <w:p w14:paraId="04DB19B6" w14:textId="77777777" w:rsidR="003A3051" w:rsidRPr="003A3051" w:rsidRDefault="003A3051" w:rsidP="003A3051">
      <w:pPr>
        <w:spacing w:before="120" w:line="300" w:lineRule="auto"/>
        <w:rPr>
          <w:b/>
          <w:szCs w:val="24"/>
        </w:rPr>
      </w:pPr>
      <w:r w:rsidRPr="003A3051">
        <w:rPr>
          <w:b/>
          <w:szCs w:val="24"/>
        </w:rPr>
        <w:t>Real-Time</w:t>
      </w:r>
    </w:p>
    <w:p w14:paraId="647615A2" w14:textId="77777777" w:rsidR="003A3051" w:rsidRPr="003A3051" w:rsidRDefault="003A3051" w:rsidP="003A3051">
      <w:pPr>
        <w:spacing w:after="0" w:line="300" w:lineRule="auto"/>
        <w:ind w:left="720"/>
        <w:rPr>
          <w:szCs w:val="24"/>
        </w:rPr>
      </w:pPr>
      <w:r w:rsidRPr="003A3051">
        <w:rPr>
          <w:bCs/>
          <w:szCs w:val="24"/>
        </w:rPr>
        <w:t>The continuous time period during which the Real-Time Balancing Market is operated.</w:t>
      </w:r>
    </w:p>
    <w:p w14:paraId="2128E2BC" w14:textId="77777777" w:rsidR="003A3051" w:rsidRPr="003A3051" w:rsidRDefault="003A3051" w:rsidP="003A3051">
      <w:pPr>
        <w:spacing w:before="120" w:line="300" w:lineRule="auto"/>
        <w:ind w:left="720" w:hanging="720"/>
        <w:rPr>
          <w:b/>
          <w:szCs w:val="24"/>
        </w:rPr>
      </w:pPr>
      <w:r w:rsidRPr="003A3051">
        <w:rPr>
          <w:b/>
          <w:szCs w:val="24"/>
        </w:rPr>
        <w:t xml:space="preserve">Reference Bus </w:t>
      </w:r>
    </w:p>
    <w:p w14:paraId="388F1BF1" w14:textId="77777777" w:rsidR="003A3051" w:rsidRPr="003A3051" w:rsidRDefault="003A3051" w:rsidP="003A3051">
      <w:pPr>
        <w:spacing w:before="120" w:line="300" w:lineRule="auto"/>
        <w:ind w:left="720"/>
        <w:rPr>
          <w:szCs w:val="24"/>
        </w:rPr>
      </w:pPr>
      <w:r w:rsidRPr="003A3051">
        <w:rPr>
          <w:szCs w:val="24"/>
        </w:rPr>
        <w:t xml:space="preserve">The location within the Markets+ Footprint relative to which all mathematical quantities, including shift factors and penalty factors relating to physical operation, will be calculated. </w:t>
      </w:r>
    </w:p>
    <w:p w14:paraId="652FB7A1" w14:textId="77777777" w:rsidR="003A3051" w:rsidRPr="003A3051" w:rsidRDefault="003A3051" w:rsidP="003A3051">
      <w:pPr>
        <w:rPr>
          <w:szCs w:val="24"/>
        </w:rPr>
      </w:pPr>
      <w:r w:rsidRPr="003A3051">
        <w:rPr>
          <w:b/>
          <w:szCs w:val="24"/>
        </w:rPr>
        <w:t>Reliability Coordinator</w:t>
      </w:r>
    </w:p>
    <w:p w14:paraId="72A47579" w14:textId="77777777" w:rsidR="003A3051" w:rsidRPr="003A3051" w:rsidRDefault="003A3051" w:rsidP="003A3051">
      <w:pPr>
        <w:spacing w:before="120" w:line="300" w:lineRule="auto"/>
        <w:ind w:left="720"/>
        <w:rPr>
          <w:szCs w:val="24"/>
        </w:rPr>
      </w:pPr>
      <w:r w:rsidRPr="003A3051">
        <w:rPr>
          <w:szCs w:val="24"/>
        </w:rPr>
        <w:t>As defined in the Markets+ Tariff.</w:t>
      </w:r>
    </w:p>
    <w:p w14:paraId="2A3BA8EE" w14:textId="77777777" w:rsidR="003A3051" w:rsidRPr="003A3051" w:rsidRDefault="003A3051" w:rsidP="003A3051">
      <w:pPr>
        <w:rPr>
          <w:rFonts w:eastAsia="Aptos" w:cs="Arial"/>
          <w:kern w:val="2"/>
          <w:sz w:val="22"/>
          <w:szCs w:val="24"/>
          <w14:ligatures w14:val="standardContextual"/>
        </w:rPr>
      </w:pPr>
      <w:r w:rsidRPr="003A3051">
        <w:rPr>
          <w:b/>
          <w:szCs w:val="24"/>
        </w:rPr>
        <w:t>Reliability Unit Commitment (RUC)</w:t>
      </w:r>
    </w:p>
    <w:p w14:paraId="4DCC839C" w14:textId="77777777" w:rsidR="003A3051" w:rsidRPr="003A3051" w:rsidRDefault="003A3051" w:rsidP="003A3051">
      <w:pPr>
        <w:spacing w:before="120" w:line="300" w:lineRule="auto"/>
        <w:ind w:left="720"/>
        <w:rPr>
          <w:szCs w:val="24"/>
        </w:rPr>
      </w:pPr>
      <w:r w:rsidRPr="003A3051">
        <w:rPr>
          <w:szCs w:val="24"/>
        </w:rPr>
        <w:t>As defined in the Markets+ Tariff.</w:t>
      </w:r>
    </w:p>
    <w:p w14:paraId="394351F2" w14:textId="20A74702" w:rsidR="003E6E79" w:rsidRPr="003E6E79" w:rsidRDefault="003E6E79" w:rsidP="003E6E79">
      <w:pPr>
        <w:spacing w:after="160" w:line="259" w:lineRule="auto"/>
        <w:rPr>
          <w:rFonts w:eastAsia="Calibri"/>
          <w:b/>
          <w:szCs w:val="24"/>
        </w:rPr>
      </w:pPr>
      <w:r w:rsidRPr="003E6E79">
        <w:rPr>
          <w:rFonts w:eastAsia="Calibri"/>
          <w:b/>
          <w:szCs w:val="24"/>
        </w:rPr>
        <w:t>Renewable Energy Certificate (REC)</w:t>
      </w:r>
    </w:p>
    <w:p w14:paraId="66AB95EA" w14:textId="77777777" w:rsidR="003E6E79" w:rsidRPr="003E6E79" w:rsidRDefault="003E6E79" w:rsidP="001453E8">
      <w:pPr>
        <w:spacing w:after="160" w:line="300" w:lineRule="auto"/>
        <w:ind w:left="720"/>
        <w:rPr>
          <w:rFonts w:eastAsia="Calibri"/>
          <w:bCs/>
          <w:szCs w:val="24"/>
        </w:rPr>
      </w:pPr>
      <w:r w:rsidRPr="003E6E79">
        <w:rPr>
          <w:rFonts w:eastAsia="Calibri"/>
          <w:bCs/>
          <w:szCs w:val="24"/>
        </w:rPr>
        <w:t>A tradeable instrument representing the renewable and environmental attributes of 1 MWh of Energy from a renewable Resource.</w:t>
      </w:r>
    </w:p>
    <w:p w14:paraId="69AAC995" w14:textId="77777777" w:rsidR="003A3051" w:rsidRPr="003A3051" w:rsidRDefault="003A3051" w:rsidP="003A3051">
      <w:pPr>
        <w:spacing w:before="120" w:line="300" w:lineRule="auto"/>
        <w:ind w:left="720" w:hanging="720"/>
        <w:rPr>
          <w:b/>
          <w:szCs w:val="24"/>
        </w:rPr>
      </w:pPr>
      <w:r w:rsidRPr="003A3051">
        <w:rPr>
          <w:b/>
          <w:szCs w:val="24"/>
        </w:rPr>
        <w:t>Reported Load</w:t>
      </w:r>
    </w:p>
    <w:p w14:paraId="58043DC2" w14:textId="77777777" w:rsidR="003A3051" w:rsidRPr="003A3051" w:rsidRDefault="003A3051" w:rsidP="003A3051">
      <w:pPr>
        <w:spacing w:line="300" w:lineRule="auto"/>
        <w:ind w:left="720"/>
      </w:pPr>
      <w:r w:rsidRPr="003A3051">
        <w:t xml:space="preserve">As defined in the </w:t>
      </w:r>
      <w:r w:rsidRPr="003A3051" w:rsidDel="00CD6E4F">
        <w:t>Markets</w:t>
      </w:r>
      <w:r w:rsidRPr="003A3051">
        <w:t xml:space="preserve"> </w:t>
      </w:r>
      <w:r w:rsidRPr="003A3051" w:rsidDel="00CD6E4F">
        <w:t>+</w:t>
      </w:r>
      <w:r w:rsidRPr="003A3051" w:rsidDel="008C0625">
        <w:t>Tariff</w:t>
      </w:r>
      <w:r w:rsidRPr="003A3051">
        <w:t>.</w:t>
      </w:r>
    </w:p>
    <w:p w14:paraId="31A64B22" w14:textId="77777777" w:rsidR="009C1320" w:rsidRPr="009C1320" w:rsidRDefault="009C1320" w:rsidP="009C1320">
      <w:pPr>
        <w:spacing w:after="160" w:line="259" w:lineRule="auto"/>
        <w:rPr>
          <w:rFonts w:eastAsia="Calibri"/>
          <w:b/>
          <w:bCs/>
          <w:szCs w:val="24"/>
        </w:rPr>
      </w:pPr>
      <w:r w:rsidRPr="009C1320">
        <w:rPr>
          <w:rFonts w:eastAsia="Calibri"/>
          <w:b/>
          <w:bCs/>
          <w:szCs w:val="24"/>
        </w:rPr>
        <w:t>Reporting Entity</w:t>
      </w:r>
    </w:p>
    <w:p w14:paraId="539D22F4" w14:textId="77777777" w:rsidR="009C1320" w:rsidRPr="009C1320" w:rsidRDefault="009C1320" w:rsidP="001453E8">
      <w:pPr>
        <w:spacing w:after="160" w:line="300" w:lineRule="auto"/>
        <w:ind w:left="720"/>
        <w:rPr>
          <w:rFonts w:eastAsia="Calibri"/>
          <w:szCs w:val="24"/>
        </w:rPr>
      </w:pPr>
      <w:r w:rsidRPr="009C1320">
        <w:rPr>
          <w:rFonts w:eastAsia="Calibri"/>
          <w:szCs w:val="24"/>
        </w:rPr>
        <w:t xml:space="preserve">A Load Responsible Entity which has elected to participate in the Markets+ GHG tracking and reporting program, and which receives a Reporting Entity GHG Report from the Market Operator.  </w:t>
      </w:r>
    </w:p>
    <w:p w14:paraId="72D858ED" w14:textId="77777777" w:rsidR="00666856" w:rsidRPr="00666856" w:rsidRDefault="00666856" w:rsidP="00666856">
      <w:pPr>
        <w:spacing w:after="160" w:line="259" w:lineRule="auto"/>
        <w:rPr>
          <w:rFonts w:eastAsia="Calibri"/>
          <w:b/>
          <w:szCs w:val="24"/>
        </w:rPr>
      </w:pPr>
      <w:r w:rsidRPr="00666856">
        <w:rPr>
          <w:rFonts w:eastAsia="Calibri"/>
          <w:b/>
          <w:szCs w:val="24"/>
        </w:rPr>
        <w:t>Reporting Entity GHG Report</w:t>
      </w:r>
    </w:p>
    <w:p w14:paraId="70D864C5" w14:textId="7DD37EE8" w:rsidR="00666856" w:rsidRPr="00666856" w:rsidRDefault="00666856" w:rsidP="001453E8">
      <w:pPr>
        <w:spacing w:after="160" w:line="300" w:lineRule="auto"/>
        <w:ind w:left="720"/>
        <w:rPr>
          <w:rFonts w:eastAsia="Calibri"/>
          <w:bCs/>
          <w:szCs w:val="24"/>
        </w:rPr>
      </w:pPr>
      <w:r w:rsidRPr="00666856">
        <w:rPr>
          <w:rFonts w:eastAsia="Calibri"/>
          <w:bCs/>
          <w:szCs w:val="24"/>
        </w:rPr>
        <w:t xml:space="preserve">A report created by the Market Operator published on the METra portal as described in Section </w:t>
      </w:r>
      <w:r w:rsidR="008826E4">
        <w:rPr>
          <w:rFonts w:eastAsia="Calibri"/>
          <w:bCs/>
          <w:szCs w:val="24"/>
        </w:rPr>
        <w:fldChar w:fldCharType="begin"/>
      </w:r>
      <w:r w:rsidR="008826E4">
        <w:rPr>
          <w:rFonts w:eastAsia="Calibri"/>
          <w:bCs/>
          <w:szCs w:val="24"/>
        </w:rPr>
        <w:instrText xml:space="preserve"> REF _Ref212538214 \r \h </w:instrText>
      </w:r>
      <w:r w:rsidR="008826E4">
        <w:rPr>
          <w:rFonts w:eastAsia="Calibri"/>
          <w:bCs/>
          <w:szCs w:val="24"/>
        </w:rPr>
      </w:r>
      <w:r w:rsidR="008826E4">
        <w:rPr>
          <w:rFonts w:eastAsia="Calibri"/>
          <w:bCs/>
          <w:szCs w:val="24"/>
        </w:rPr>
        <w:fldChar w:fldCharType="separate"/>
      </w:r>
      <w:r w:rsidR="008826E4">
        <w:rPr>
          <w:rFonts w:eastAsia="Calibri"/>
          <w:bCs/>
          <w:szCs w:val="24"/>
        </w:rPr>
        <w:t>5.5.6</w:t>
      </w:r>
      <w:r w:rsidR="008826E4">
        <w:rPr>
          <w:rFonts w:eastAsia="Calibri"/>
          <w:bCs/>
          <w:szCs w:val="24"/>
        </w:rPr>
        <w:fldChar w:fldCharType="end"/>
      </w:r>
      <w:r w:rsidR="00C3312D">
        <w:rPr>
          <w:rFonts w:eastAsia="Calibri"/>
          <w:bCs/>
          <w:szCs w:val="24"/>
        </w:rPr>
        <w:t xml:space="preserve"> </w:t>
      </w:r>
      <w:r w:rsidRPr="00666856">
        <w:rPr>
          <w:rFonts w:eastAsia="Calibri"/>
          <w:bCs/>
          <w:szCs w:val="24"/>
        </w:rPr>
        <w:t>that contains GHG data and information specific to a Reporting Entity’s Resource Portfolio for each hour, and which is only accessible by that Reporting Entity.</w:t>
      </w:r>
    </w:p>
    <w:p w14:paraId="35C21325" w14:textId="77777777" w:rsidR="003A3051" w:rsidRPr="003A3051" w:rsidRDefault="003A3051" w:rsidP="003A3051">
      <w:pPr>
        <w:spacing w:after="0" w:line="300" w:lineRule="auto"/>
        <w:rPr>
          <w:b/>
          <w:szCs w:val="24"/>
        </w:rPr>
      </w:pPr>
      <w:r w:rsidRPr="003A3051">
        <w:rPr>
          <w:b/>
          <w:szCs w:val="24"/>
        </w:rPr>
        <w:t xml:space="preserve">Reserve Zone </w:t>
      </w:r>
    </w:p>
    <w:p w14:paraId="716539D8" w14:textId="77777777" w:rsidR="003A3051" w:rsidRPr="003A3051" w:rsidRDefault="003A3051" w:rsidP="003A3051">
      <w:pPr>
        <w:spacing w:after="0" w:line="300" w:lineRule="auto"/>
        <w:ind w:left="720"/>
        <w:rPr>
          <w:szCs w:val="24"/>
        </w:rPr>
      </w:pPr>
      <w:r w:rsidRPr="003A3051">
        <w:rPr>
          <w:szCs w:val="24"/>
        </w:rPr>
        <w:t xml:space="preserve">As defined in the Markets+ Tariff.  </w:t>
      </w:r>
    </w:p>
    <w:p w14:paraId="536917A4" w14:textId="77777777" w:rsidR="003A3051" w:rsidRPr="003A3051" w:rsidRDefault="003A3051" w:rsidP="003A3051">
      <w:pPr>
        <w:spacing w:after="0" w:line="300" w:lineRule="auto"/>
        <w:rPr>
          <w:b/>
          <w:szCs w:val="24"/>
        </w:rPr>
      </w:pPr>
      <w:r w:rsidRPr="003A3051">
        <w:rPr>
          <w:b/>
          <w:szCs w:val="24"/>
        </w:rPr>
        <w:t>Resettlement</w:t>
      </w:r>
    </w:p>
    <w:p w14:paraId="01BCD84E" w14:textId="77777777" w:rsidR="003A3051" w:rsidRPr="003A3051" w:rsidRDefault="003A3051" w:rsidP="003A3051">
      <w:pPr>
        <w:spacing w:after="0" w:line="300" w:lineRule="auto"/>
        <w:rPr>
          <w:szCs w:val="24"/>
        </w:rPr>
      </w:pPr>
      <w:r w:rsidRPr="003A3051">
        <w:rPr>
          <w:b/>
          <w:szCs w:val="24"/>
        </w:rPr>
        <w:tab/>
      </w:r>
      <w:r w:rsidRPr="003A3051">
        <w:rPr>
          <w:szCs w:val="24"/>
        </w:rPr>
        <w:t xml:space="preserve">As defined in the </w:t>
      </w:r>
      <w:r w:rsidRPr="003A3051" w:rsidDel="00CD6E4F">
        <w:rPr>
          <w:szCs w:val="24"/>
        </w:rPr>
        <w:t>Markets</w:t>
      </w:r>
      <w:r w:rsidRPr="003A3051">
        <w:rPr>
          <w:szCs w:val="24"/>
        </w:rPr>
        <w:t xml:space="preserve"> </w:t>
      </w:r>
      <w:r w:rsidRPr="003A3051" w:rsidDel="00CD6E4F">
        <w:rPr>
          <w:szCs w:val="24"/>
        </w:rPr>
        <w:t>+</w:t>
      </w:r>
      <w:r w:rsidRPr="003A3051" w:rsidDel="008C0625">
        <w:rPr>
          <w:szCs w:val="24"/>
        </w:rPr>
        <w:t>Tariff</w:t>
      </w:r>
      <w:r w:rsidRPr="003A3051">
        <w:rPr>
          <w:szCs w:val="24"/>
        </w:rPr>
        <w:t>.</w:t>
      </w:r>
    </w:p>
    <w:p w14:paraId="238EE92B" w14:textId="77777777" w:rsidR="00075B09" w:rsidRPr="00075B09" w:rsidRDefault="00075B09" w:rsidP="00075B09">
      <w:pPr>
        <w:spacing w:after="160" w:line="259" w:lineRule="auto"/>
        <w:rPr>
          <w:rFonts w:eastAsia="Calibri"/>
          <w:b/>
          <w:szCs w:val="24"/>
        </w:rPr>
      </w:pPr>
      <w:bookmarkStart w:id="33" w:name="OLE_LINK105"/>
      <w:r w:rsidRPr="00075B09">
        <w:rPr>
          <w:rFonts w:eastAsia="Calibri"/>
          <w:b/>
          <w:szCs w:val="24"/>
        </w:rPr>
        <w:t>Residual Energy</w:t>
      </w:r>
    </w:p>
    <w:p w14:paraId="3C93E9B8" w14:textId="77777777" w:rsidR="00075B09" w:rsidRPr="00075B09" w:rsidRDefault="00075B09" w:rsidP="001453E8">
      <w:pPr>
        <w:spacing w:after="160" w:line="300" w:lineRule="auto"/>
        <w:ind w:left="720"/>
        <w:rPr>
          <w:rFonts w:eastAsia="Calibri"/>
          <w:szCs w:val="24"/>
        </w:rPr>
      </w:pPr>
      <w:r w:rsidRPr="00075B09">
        <w:rPr>
          <w:rFonts w:eastAsia="Calibri"/>
          <w:szCs w:val="24"/>
        </w:rPr>
        <w:t xml:space="preserve">The Energy not mapped to a particular Reporting Entity in Markets+, combined with the Excess Energy. </w:t>
      </w:r>
    </w:p>
    <w:p w14:paraId="44C2E720" w14:textId="77777777" w:rsidR="003A3051" w:rsidRPr="003A3051" w:rsidRDefault="003A3051" w:rsidP="003A3051">
      <w:pPr>
        <w:spacing w:before="120" w:line="300" w:lineRule="auto"/>
        <w:rPr>
          <w:b/>
          <w:szCs w:val="24"/>
        </w:rPr>
      </w:pPr>
      <w:r w:rsidRPr="003A3051">
        <w:rPr>
          <w:b/>
          <w:szCs w:val="24"/>
        </w:rPr>
        <w:t xml:space="preserve">Residual Load </w:t>
      </w:r>
    </w:p>
    <w:p w14:paraId="042998B6"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w:t>
      </w:r>
      <w:r w:rsidRPr="003A3051" w:rsidDel="0033790E">
        <w:rPr>
          <w:szCs w:val="24"/>
        </w:rPr>
        <w:t>Markets</w:t>
      </w:r>
      <w:r w:rsidRPr="003A3051">
        <w:rPr>
          <w:szCs w:val="24"/>
        </w:rPr>
        <w:t xml:space="preserve"> </w:t>
      </w:r>
      <w:r w:rsidRPr="003A3051" w:rsidDel="0033790E">
        <w:rPr>
          <w:szCs w:val="24"/>
        </w:rPr>
        <w:t>+</w:t>
      </w:r>
      <w:r w:rsidRPr="003A3051" w:rsidDel="008C0625">
        <w:rPr>
          <w:szCs w:val="24"/>
        </w:rPr>
        <w:t>Tariff</w:t>
      </w:r>
      <w:r w:rsidRPr="003A3051">
        <w:rPr>
          <w:szCs w:val="24"/>
        </w:rPr>
        <w:t xml:space="preserve">. </w:t>
      </w:r>
    </w:p>
    <w:p w14:paraId="4AD43FAE" w14:textId="77777777" w:rsidR="003A3051" w:rsidRPr="003A3051" w:rsidRDefault="003A3051" w:rsidP="003A3051">
      <w:pPr>
        <w:spacing w:before="120" w:line="300" w:lineRule="auto"/>
        <w:rPr>
          <w:b/>
          <w:szCs w:val="24"/>
        </w:rPr>
      </w:pPr>
      <w:r w:rsidRPr="003A3051">
        <w:rPr>
          <w:b/>
          <w:szCs w:val="24"/>
        </w:rPr>
        <w:t>Resource</w:t>
      </w:r>
    </w:p>
    <w:p w14:paraId="4B9BCD94" w14:textId="7595D671" w:rsidR="003A3051" w:rsidRPr="003A3051" w:rsidRDefault="003A3051" w:rsidP="003A3051">
      <w:pPr>
        <w:spacing w:before="120" w:line="300" w:lineRule="auto"/>
        <w:ind w:left="720" w:hanging="720"/>
        <w:rPr>
          <w:szCs w:val="24"/>
        </w:rPr>
      </w:pPr>
      <w:r w:rsidRPr="003A3051">
        <w:rPr>
          <w:szCs w:val="24"/>
        </w:rPr>
        <w:tab/>
        <w:t xml:space="preserve">As defined in the </w:t>
      </w:r>
      <w:r w:rsidRPr="003A3051" w:rsidDel="0033790E">
        <w:rPr>
          <w:szCs w:val="24"/>
        </w:rPr>
        <w:t>Markets+</w:t>
      </w:r>
      <w:r w:rsidR="00BC1C6F">
        <w:rPr>
          <w:szCs w:val="24"/>
        </w:rPr>
        <w:t xml:space="preserve"> </w:t>
      </w:r>
      <w:r w:rsidRPr="003A3051" w:rsidDel="008C0625">
        <w:rPr>
          <w:szCs w:val="24"/>
        </w:rPr>
        <w:t>Tariff</w:t>
      </w:r>
      <w:r w:rsidRPr="003A3051">
        <w:rPr>
          <w:szCs w:val="24"/>
        </w:rPr>
        <w:t xml:space="preserve">. </w:t>
      </w:r>
    </w:p>
    <w:bookmarkEnd w:id="33"/>
    <w:p w14:paraId="4C980165" w14:textId="31983330" w:rsidR="003B0B92" w:rsidRPr="003A3051" w:rsidRDefault="003B0B92" w:rsidP="003B0B92">
      <w:pPr>
        <w:spacing w:before="120" w:line="300" w:lineRule="auto"/>
        <w:rPr>
          <w:b/>
          <w:szCs w:val="24"/>
        </w:rPr>
      </w:pPr>
      <w:r w:rsidRPr="003A3051">
        <w:rPr>
          <w:b/>
          <w:szCs w:val="24"/>
        </w:rPr>
        <w:t>Resource</w:t>
      </w:r>
      <w:r w:rsidR="00423735">
        <w:rPr>
          <w:b/>
          <w:szCs w:val="24"/>
        </w:rPr>
        <w:t>-to-Load Distribution Factor</w:t>
      </w:r>
    </w:p>
    <w:p w14:paraId="77AE74AE" w14:textId="331039CB" w:rsidR="003B0B92" w:rsidRPr="003A3051" w:rsidRDefault="003B0B92" w:rsidP="003B0B92">
      <w:pPr>
        <w:spacing w:before="120" w:line="300" w:lineRule="auto"/>
        <w:ind w:left="720" w:hanging="720"/>
        <w:rPr>
          <w:szCs w:val="24"/>
        </w:rPr>
      </w:pPr>
      <w:r w:rsidRPr="003A3051">
        <w:rPr>
          <w:szCs w:val="24"/>
        </w:rPr>
        <w:tab/>
        <w:t xml:space="preserve">As defined in the </w:t>
      </w:r>
      <w:r w:rsidRPr="003A3051" w:rsidDel="0033790E">
        <w:rPr>
          <w:szCs w:val="24"/>
        </w:rPr>
        <w:t>Markets+</w:t>
      </w:r>
      <w:r>
        <w:rPr>
          <w:szCs w:val="24"/>
        </w:rPr>
        <w:t xml:space="preserve"> </w:t>
      </w:r>
      <w:r w:rsidRPr="003A3051" w:rsidDel="008C0625">
        <w:rPr>
          <w:szCs w:val="24"/>
        </w:rPr>
        <w:t>Tariff</w:t>
      </w:r>
      <w:r w:rsidRPr="003A3051">
        <w:rPr>
          <w:szCs w:val="24"/>
        </w:rPr>
        <w:t xml:space="preserve">. </w:t>
      </w:r>
    </w:p>
    <w:p w14:paraId="332A78AA" w14:textId="77777777" w:rsidR="003A3051" w:rsidRPr="003A3051" w:rsidRDefault="003A3051" w:rsidP="003A3051">
      <w:pPr>
        <w:spacing w:before="120" w:line="300" w:lineRule="auto"/>
        <w:rPr>
          <w:b/>
          <w:szCs w:val="24"/>
        </w:rPr>
      </w:pPr>
      <w:r w:rsidRPr="003A3051">
        <w:rPr>
          <w:b/>
          <w:szCs w:val="24"/>
        </w:rPr>
        <w:t>Resource Adequacy Program</w:t>
      </w:r>
    </w:p>
    <w:p w14:paraId="7F63D9AF" w14:textId="77777777" w:rsidR="003A3051" w:rsidRPr="003A3051" w:rsidRDefault="003A3051" w:rsidP="003A3051">
      <w:pPr>
        <w:spacing w:before="120" w:line="300" w:lineRule="auto"/>
        <w:ind w:left="720" w:hanging="720"/>
        <w:rPr>
          <w:szCs w:val="24"/>
        </w:rPr>
      </w:pPr>
      <w:r w:rsidRPr="003A3051">
        <w:rPr>
          <w:szCs w:val="24"/>
        </w:rPr>
        <w:tab/>
        <w:t xml:space="preserve">As defined in the Markets+ Tariff. </w:t>
      </w:r>
    </w:p>
    <w:p w14:paraId="50229BAF" w14:textId="1833305D" w:rsidR="00307D6D" w:rsidRDefault="00307D6D" w:rsidP="003A3051">
      <w:pPr>
        <w:keepNext/>
        <w:spacing w:before="120" w:line="300" w:lineRule="auto"/>
        <w:rPr>
          <w:rFonts w:cs="Arial"/>
          <w:b/>
          <w:bCs/>
          <w:szCs w:val="26"/>
        </w:rPr>
      </w:pPr>
      <w:r>
        <w:rPr>
          <w:rFonts w:cs="Arial"/>
          <w:b/>
          <w:bCs/>
          <w:szCs w:val="26"/>
        </w:rPr>
        <w:t xml:space="preserve">Resource </w:t>
      </w:r>
      <w:r w:rsidR="00985018">
        <w:rPr>
          <w:rFonts w:cs="Arial"/>
          <w:b/>
          <w:bCs/>
          <w:szCs w:val="26"/>
        </w:rPr>
        <w:t>Aggregation</w:t>
      </w:r>
    </w:p>
    <w:p w14:paraId="75AB86F6" w14:textId="68EBDE7B" w:rsidR="00307D6D" w:rsidRDefault="00436BE7" w:rsidP="009269A9">
      <w:pPr>
        <w:keepNext/>
        <w:spacing w:before="120" w:line="300" w:lineRule="auto"/>
        <w:ind w:left="720"/>
        <w:rPr>
          <w:rFonts w:cs="Arial"/>
          <w:b/>
          <w:bCs/>
          <w:szCs w:val="26"/>
        </w:rPr>
      </w:pPr>
      <w:r>
        <w:rPr>
          <w:rFonts w:cs="Arial"/>
          <w:szCs w:val="26"/>
        </w:rPr>
        <w:t xml:space="preserve">A </w:t>
      </w:r>
      <w:r w:rsidR="001F0644">
        <w:rPr>
          <w:rFonts w:cs="Arial"/>
          <w:szCs w:val="26"/>
        </w:rPr>
        <w:t xml:space="preserve">Resource </w:t>
      </w:r>
      <w:r>
        <w:rPr>
          <w:rFonts w:cs="Arial"/>
          <w:szCs w:val="26"/>
        </w:rPr>
        <w:t>that</w:t>
      </w:r>
      <w:r w:rsidR="001F0644">
        <w:rPr>
          <w:rFonts w:cs="Arial"/>
          <w:szCs w:val="26"/>
        </w:rPr>
        <w:t xml:space="preserve"> is</w:t>
      </w:r>
      <w:r>
        <w:rPr>
          <w:rFonts w:cs="Arial"/>
          <w:szCs w:val="26"/>
        </w:rPr>
        <w:t xml:space="preserve"> </w:t>
      </w:r>
      <w:r w:rsidR="00E239A6">
        <w:rPr>
          <w:rFonts w:cs="Arial"/>
          <w:szCs w:val="26"/>
        </w:rPr>
        <w:t>registered</w:t>
      </w:r>
      <w:r w:rsidR="00C0190D">
        <w:rPr>
          <w:rFonts w:cs="Arial"/>
          <w:szCs w:val="26"/>
        </w:rPr>
        <w:t xml:space="preserve"> </w:t>
      </w:r>
      <w:r w:rsidR="001F0644">
        <w:rPr>
          <w:rFonts w:cs="Arial"/>
          <w:szCs w:val="26"/>
        </w:rPr>
        <w:t>in accordance with</w:t>
      </w:r>
      <w:r w:rsidR="00C0190D">
        <w:rPr>
          <w:rFonts w:cs="Arial"/>
          <w:szCs w:val="26"/>
        </w:rPr>
        <w:t xml:space="preserve"> </w:t>
      </w:r>
      <w:r w:rsidR="001F0644">
        <w:rPr>
          <w:rFonts w:cs="Arial"/>
          <w:szCs w:val="26"/>
        </w:rPr>
        <w:t xml:space="preserve">Attachment A, </w:t>
      </w:r>
      <w:r w:rsidR="00C0190D">
        <w:rPr>
          <w:rFonts w:cs="Arial"/>
          <w:szCs w:val="26"/>
        </w:rPr>
        <w:t>Section 4.2.6</w:t>
      </w:r>
      <w:r w:rsidR="00154DD1">
        <w:rPr>
          <w:rFonts w:cs="Arial"/>
          <w:szCs w:val="26"/>
        </w:rPr>
        <w:t xml:space="preserve"> </w:t>
      </w:r>
      <w:r w:rsidR="00C0190D">
        <w:rPr>
          <w:rFonts w:cs="Arial"/>
          <w:szCs w:val="26"/>
        </w:rPr>
        <w:t xml:space="preserve">of the Markets+ Tariff. </w:t>
      </w:r>
    </w:p>
    <w:p w14:paraId="5495C7A3" w14:textId="17B46B83" w:rsidR="00985018" w:rsidRPr="008B34BF" w:rsidRDefault="00985018" w:rsidP="00985018">
      <w:pPr>
        <w:spacing w:before="120" w:line="300" w:lineRule="auto"/>
        <w:rPr>
          <w:b/>
          <w:bCs/>
          <w:szCs w:val="24"/>
        </w:rPr>
      </w:pPr>
      <w:r>
        <w:rPr>
          <w:b/>
          <w:bCs/>
          <w:szCs w:val="24"/>
        </w:rPr>
        <w:t xml:space="preserve">Resource Aggregation </w:t>
      </w:r>
      <w:r w:rsidR="005B161B">
        <w:rPr>
          <w:b/>
          <w:bCs/>
          <w:szCs w:val="24"/>
        </w:rPr>
        <w:t xml:space="preserve">Base </w:t>
      </w:r>
      <w:r w:rsidRPr="008B34BF">
        <w:rPr>
          <w:b/>
          <w:bCs/>
          <w:szCs w:val="24"/>
        </w:rPr>
        <w:t>Distribution Factor</w:t>
      </w:r>
    </w:p>
    <w:p w14:paraId="1118901C" w14:textId="6B27A990" w:rsidR="00985018" w:rsidRDefault="00D60B05" w:rsidP="00985018">
      <w:pPr>
        <w:spacing w:line="300" w:lineRule="auto"/>
        <w:ind w:left="720"/>
        <w:rPr>
          <w:szCs w:val="24"/>
        </w:rPr>
      </w:pPr>
      <w:r>
        <w:rPr>
          <w:szCs w:val="24"/>
        </w:rPr>
        <w:t>N</w:t>
      </w:r>
      <w:r w:rsidR="00985018" w:rsidRPr="00757C9A">
        <w:rPr>
          <w:szCs w:val="24"/>
        </w:rPr>
        <w:t xml:space="preserve">umerical value, expressed as a percentage, that represent the anticipated allocation of </w:t>
      </w:r>
      <w:r w:rsidR="00FE5770">
        <w:rPr>
          <w:szCs w:val="24"/>
        </w:rPr>
        <w:t>injection or withdrawal</w:t>
      </w:r>
      <w:r w:rsidR="00985018" w:rsidRPr="00757C9A">
        <w:rPr>
          <w:szCs w:val="24"/>
        </w:rPr>
        <w:t xml:space="preserve"> from each unit or plant within a </w:t>
      </w:r>
      <w:r>
        <w:rPr>
          <w:szCs w:val="24"/>
        </w:rPr>
        <w:t>R</w:t>
      </w:r>
      <w:r w:rsidR="00985018" w:rsidRPr="00757C9A">
        <w:rPr>
          <w:szCs w:val="24"/>
        </w:rPr>
        <w:t xml:space="preserve">esource </w:t>
      </w:r>
      <w:r>
        <w:rPr>
          <w:szCs w:val="24"/>
        </w:rPr>
        <w:t>A</w:t>
      </w:r>
      <w:r w:rsidR="00985018" w:rsidRPr="00757C9A">
        <w:rPr>
          <w:szCs w:val="24"/>
        </w:rPr>
        <w:t>ggregation</w:t>
      </w:r>
      <w:r w:rsidR="005B161B">
        <w:rPr>
          <w:szCs w:val="24"/>
        </w:rPr>
        <w:t xml:space="preserve"> from 0 MW up to the Minimum Economic Capacity Operating Limit</w:t>
      </w:r>
      <w:r w:rsidR="00FD4ADF">
        <w:rPr>
          <w:szCs w:val="24"/>
        </w:rPr>
        <w:t>, or in the case of MSRs, Minimum Discharge</w:t>
      </w:r>
      <w:r w:rsidR="004E4D0A">
        <w:rPr>
          <w:szCs w:val="24"/>
        </w:rPr>
        <w:t xml:space="preserve"> or Charge</w:t>
      </w:r>
      <w:r w:rsidR="00FD4ADF">
        <w:rPr>
          <w:szCs w:val="24"/>
        </w:rPr>
        <w:t xml:space="preserve"> Limit,</w:t>
      </w:r>
      <w:r w:rsidR="005B161B">
        <w:rPr>
          <w:szCs w:val="24"/>
        </w:rPr>
        <w:t xml:space="preserve"> of the Resource Aggregation</w:t>
      </w:r>
      <w:r w:rsidR="00985018" w:rsidRPr="00757C9A" w:rsidDel="00690294">
        <w:rPr>
          <w:szCs w:val="24"/>
        </w:rPr>
        <w:t>.</w:t>
      </w:r>
      <w:r w:rsidR="00985018" w:rsidRPr="00757C9A">
        <w:rPr>
          <w:szCs w:val="24"/>
        </w:rPr>
        <w:t xml:space="preserve"> Th</w:t>
      </w:r>
      <w:r w:rsidR="005B161B">
        <w:rPr>
          <w:szCs w:val="24"/>
        </w:rPr>
        <w:t>ese</w:t>
      </w:r>
      <w:r w:rsidR="00985018" w:rsidRPr="00757C9A">
        <w:rPr>
          <w:szCs w:val="24"/>
        </w:rPr>
        <w:t xml:space="preserve"> factor</w:t>
      </w:r>
      <w:r w:rsidR="005B161B">
        <w:rPr>
          <w:szCs w:val="24"/>
        </w:rPr>
        <w:t>s</w:t>
      </w:r>
      <w:r w:rsidR="00985018" w:rsidRPr="00757C9A">
        <w:rPr>
          <w:szCs w:val="24"/>
        </w:rPr>
        <w:t xml:space="preserve"> indicate how much of the </w:t>
      </w:r>
      <w:r w:rsidR="005725E3">
        <w:rPr>
          <w:szCs w:val="24"/>
        </w:rPr>
        <w:t>E</w:t>
      </w:r>
      <w:r w:rsidR="00985018" w:rsidRPr="00757C9A">
        <w:rPr>
          <w:szCs w:val="24"/>
        </w:rPr>
        <w:t xml:space="preserve">nergy </w:t>
      </w:r>
      <w:r w:rsidR="00F75B74">
        <w:rPr>
          <w:szCs w:val="24"/>
        </w:rPr>
        <w:t>O</w:t>
      </w:r>
      <w:r w:rsidR="00985018" w:rsidRPr="00757C9A">
        <w:rPr>
          <w:szCs w:val="24"/>
        </w:rPr>
        <w:t xml:space="preserve">ffer </w:t>
      </w:r>
      <w:r w:rsidR="005725E3">
        <w:rPr>
          <w:szCs w:val="24"/>
        </w:rPr>
        <w:t>up to</w:t>
      </w:r>
      <w:r w:rsidR="00AD08E5">
        <w:rPr>
          <w:szCs w:val="24"/>
        </w:rPr>
        <w:t xml:space="preserve"> the</w:t>
      </w:r>
      <w:r w:rsidR="005725E3">
        <w:rPr>
          <w:szCs w:val="24"/>
        </w:rPr>
        <w:t xml:space="preserve"> Minimum Economic Capacity Operating Limit</w:t>
      </w:r>
      <w:r w:rsidR="004E4D0A">
        <w:rPr>
          <w:szCs w:val="24"/>
        </w:rPr>
        <w:t>,</w:t>
      </w:r>
      <w:r w:rsidR="004E4D0A" w:rsidRPr="004E4D0A">
        <w:rPr>
          <w:szCs w:val="24"/>
        </w:rPr>
        <w:t xml:space="preserve"> </w:t>
      </w:r>
      <w:r w:rsidR="004E4D0A">
        <w:rPr>
          <w:szCs w:val="24"/>
        </w:rPr>
        <w:t xml:space="preserve">or in the case of MSRs, Minimum Discharge or Charge Limit, </w:t>
      </w:r>
      <w:r w:rsidR="00690294">
        <w:rPr>
          <w:szCs w:val="24"/>
        </w:rPr>
        <w:t>of</w:t>
      </w:r>
      <w:r w:rsidR="00985018" w:rsidRPr="00757C9A">
        <w:rPr>
          <w:szCs w:val="24"/>
        </w:rPr>
        <w:t xml:space="preserve"> the </w:t>
      </w:r>
      <w:r w:rsidR="005B161B">
        <w:rPr>
          <w:szCs w:val="24"/>
        </w:rPr>
        <w:t>Resource A</w:t>
      </w:r>
      <w:r w:rsidR="00985018" w:rsidRPr="00757C9A">
        <w:rPr>
          <w:szCs w:val="24"/>
        </w:rPr>
        <w:t xml:space="preserve">ggregation is expected to come from each </w:t>
      </w:r>
      <w:r w:rsidR="00690294">
        <w:rPr>
          <w:szCs w:val="24"/>
        </w:rPr>
        <w:t xml:space="preserve">unit or plant </w:t>
      </w:r>
      <w:r w:rsidR="00985018" w:rsidRPr="00757C9A">
        <w:rPr>
          <w:szCs w:val="24"/>
        </w:rPr>
        <w:t xml:space="preserve">during the relevant time period. The </w:t>
      </w:r>
      <w:r w:rsidR="005725E3">
        <w:rPr>
          <w:szCs w:val="24"/>
        </w:rPr>
        <w:t xml:space="preserve">base </w:t>
      </w:r>
      <w:r w:rsidR="00985018" w:rsidRPr="00757C9A">
        <w:rPr>
          <w:szCs w:val="24"/>
        </w:rPr>
        <w:t>distribution factors for all units</w:t>
      </w:r>
      <w:r w:rsidR="00FC05F9">
        <w:rPr>
          <w:szCs w:val="24"/>
        </w:rPr>
        <w:t xml:space="preserve"> </w:t>
      </w:r>
      <w:r w:rsidR="00AB7858">
        <w:rPr>
          <w:szCs w:val="24"/>
        </w:rPr>
        <w:t>or</w:t>
      </w:r>
      <w:r w:rsidR="00FC05F9">
        <w:rPr>
          <w:szCs w:val="24"/>
        </w:rPr>
        <w:t xml:space="preserve"> plants </w:t>
      </w:r>
      <w:r w:rsidR="00985018" w:rsidRPr="00757C9A">
        <w:rPr>
          <w:szCs w:val="24"/>
        </w:rPr>
        <w:t xml:space="preserve">within the </w:t>
      </w:r>
      <w:r w:rsidR="005725E3">
        <w:rPr>
          <w:szCs w:val="24"/>
        </w:rPr>
        <w:t>Resource A</w:t>
      </w:r>
      <w:r w:rsidR="00985018" w:rsidRPr="00757C9A">
        <w:rPr>
          <w:szCs w:val="24"/>
        </w:rPr>
        <w:t>ggregation must total 1</w:t>
      </w:r>
      <w:r w:rsidR="000070FA">
        <w:rPr>
          <w:szCs w:val="24"/>
        </w:rPr>
        <w:t>.0.</w:t>
      </w:r>
    </w:p>
    <w:p w14:paraId="650ED87F" w14:textId="6E77600E" w:rsidR="00690294" w:rsidRPr="008B34BF" w:rsidRDefault="00690294" w:rsidP="00690294">
      <w:pPr>
        <w:spacing w:before="120" w:line="300" w:lineRule="auto"/>
        <w:rPr>
          <w:b/>
          <w:bCs/>
          <w:szCs w:val="24"/>
        </w:rPr>
      </w:pPr>
      <w:r>
        <w:rPr>
          <w:b/>
          <w:bCs/>
          <w:szCs w:val="24"/>
        </w:rPr>
        <w:t xml:space="preserve">Resource Aggregation Incremental </w:t>
      </w:r>
      <w:r w:rsidRPr="008B34BF">
        <w:rPr>
          <w:b/>
          <w:bCs/>
          <w:szCs w:val="24"/>
        </w:rPr>
        <w:t>Distribution Factor</w:t>
      </w:r>
    </w:p>
    <w:p w14:paraId="059459D4" w14:textId="1CDF7428" w:rsidR="00690294" w:rsidRDefault="00D60B05" w:rsidP="00690294">
      <w:pPr>
        <w:spacing w:line="300" w:lineRule="auto"/>
        <w:ind w:left="720"/>
        <w:rPr>
          <w:szCs w:val="24"/>
        </w:rPr>
      </w:pPr>
      <w:r>
        <w:rPr>
          <w:szCs w:val="24"/>
        </w:rPr>
        <w:t>N</w:t>
      </w:r>
      <w:r w:rsidR="00690294" w:rsidRPr="00757C9A">
        <w:rPr>
          <w:szCs w:val="24"/>
        </w:rPr>
        <w:t xml:space="preserve">umerical value, expressed as a percentage, that represent the anticipated allocation of </w:t>
      </w:r>
      <w:r w:rsidR="00FE5770">
        <w:rPr>
          <w:szCs w:val="24"/>
        </w:rPr>
        <w:t>injection or withdrawal</w:t>
      </w:r>
      <w:r w:rsidR="00690294" w:rsidRPr="00757C9A">
        <w:rPr>
          <w:szCs w:val="24"/>
        </w:rPr>
        <w:t xml:space="preserve"> from each unit or plant within a </w:t>
      </w:r>
      <w:r w:rsidR="00690294">
        <w:rPr>
          <w:szCs w:val="24"/>
        </w:rPr>
        <w:t>R</w:t>
      </w:r>
      <w:r w:rsidR="00690294" w:rsidRPr="00757C9A">
        <w:rPr>
          <w:szCs w:val="24"/>
        </w:rPr>
        <w:t xml:space="preserve">esource </w:t>
      </w:r>
      <w:r w:rsidR="00690294">
        <w:rPr>
          <w:szCs w:val="24"/>
        </w:rPr>
        <w:t>A</w:t>
      </w:r>
      <w:r w:rsidR="00690294" w:rsidRPr="00757C9A">
        <w:rPr>
          <w:szCs w:val="24"/>
        </w:rPr>
        <w:t>ggregation</w:t>
      </w:r>
      <w:r w:rsidR="00690294">
        <w:rPr>
          <w:szCs w:val="24"/>
        </w:rPr>
        <w:t xml:space="preserve"> from</w:t>
      </w:r>
      <w:r w:rsidR="00AD08E5">
        <w:rPr>
          <w:szCs w:val="24"/>
        </w:rPr>
        <w:t xml:space="preserve"> the</w:t>
      </w:r>
      <w:r w:rsidR="00690294">
        <w:rPr>
          <w:szCs w:val="24"/>
        </w:rPr>
        <w:t xml:space="preserve"> Minimum Economic Capacity Operating Limit</w:t>
      </w:r>
      <w:r w:rsidR="004E4D0A">
        <w:rPr>
          <w:szCs w:val="24"/>
        </w:rPr>
        <w:t>, or in the case of an MSR, the Minimum Discharge or Charge Limit,</w:t>
      </w:r>
      <w:r w:rsidR="00F75B74">
        <w:rPr>
          <w:szCs w:val="24"/>
        </w:rPr>
        <w:t xml:space="preserve"> </w:t>
      </w:r>
      <w:r w:rsidR="00690294">
        <w:rPr>
          <w:szCs w:val="24"/>
        </w:rPr>
        <w:t>up to the Maximum Economic Capacity Operating Limit</w:t>
      </w:r>
      <w:r w:rsidR="004E4D0A">
        <w:rPr>
          <w:szCs w:val="24"/>
        </w:rPr>
        <w:t>, or in the case of an MSR, the Maximum</w:t>
      </w:r>
      <w:r w:rsidR="00E43D03">
        <w:rPr>
          <w:szCs w:val="24"/>
        </w:rPr>
        <w:t xml:space="preserve"> Discharge or Charge Limit</w:t>
      </w:r>
      <w:r w:rsidR="00F75B74">
        <w:rPr>
          <w:szCs w:val="24"/>
        </w:rPr>
        <w:t xml:space="preserve"> </w:t>
      </w:r>
      <w:r w:rsidR="00690294">
        <w:rPr>
          <w:szCs w:val="24"/>
        </w:rPr>
        <w:t>of the Resource Aggregation.</w:t>
      </w:r>
      <w:r w:rsidR="00690294" w:rsidRPr="00757C9A">
        <w:rPr>
          <w:szCs w:val="24"/>
        </w:rPr>
        <w:t xml:space="preserve"> Th</w:t>
      </w:r>
      <w:r w:rsidR="00690294">
        <w:rPr>
          <w:szCs w:val="24"/>
        </w:rPr>
        <w:t>ese</w:t>
      </w:r>
      <w:r w:rsidR="00690294" w:rsidRPr="00757C9A">
        <w:rPr>
          <w:szCs w:val="24"/>
        </w:rPr>
        <w:t xml:space="preserve"> factor</w:t>
      </w:r>
      <w:r w:rsidR="00690294">
        <w:rPr>
          <w:szCs w:val="24"/>
        </w:rPr>
        <w:t>s</w:t>
      </w:r>
      <w:r w:rsidR="00690294" w:rsidRPr="00757C9A">
        <w:rPr>
          <w:szCs w:val="24"/>
        </w:rPr>
        <w:t xml:space="preserve"> </w:t>
      </w:r>
      <w:r w:rsidRPr="00757C9A">
        <w:rPr>
          <w:szCs w:val="24"/>
        </w:rPr>
        <w:t>indicate</w:t>
      </w:r>
      <w:r w:rsidR="00690294" w:rsidRPr="00757C9A">
        <w:rPr>
          <w:szCs w:val="24"/>
        </w:rPr>
        <w:t xml:space="preserve"> how much of the </w:t>
      </w:r>
      <w:r w:rsidR="00690294">
        <w:rPr>
          <w:szCs w:val="24"/>
        </w:rPr>
        <w:t>E</w:t>
      </w:r>
      <w:r w:rsidR="00690294" w:rsidRPr="00757C9A">
        <w:rPr>
          <w:szCs w:val="24"/>
        </w:rPr>
        <w:t xml:space="preserve">nergy </w:t>
      </w:r>
      <w:r w:rsidR="00F75B74">
        <w:rPr>
          <w:szCs w:val="24"/>
        </w:rPr>
        <w:t>O</w:t>
      </w:r>
      <w:r w:rsidR="00690294" w:rsidRPr="00757C9A">
        <w:rPr>
          <w:szCs w:val="24"/>
        </w:rPr>
        <w:t xml:space="preserve">ffer </w:t>
      </w:r>
      <w:r w:rsidR="00FC05F9">
        <w:rPr>
          <w:szCs w:val="24"/>
        </w:rPr>
        <w:t xml:space="preserve">from </w:t>
      </w:r>
      <w:r w:rsidR="00690294">
        <w:rPr>
          <w:szCs w:val="24"/>
        </w:rPr>
        <w:t>Minimum Economic Capacity Operating Limit</w:t>
      </w:r>
      <w:r w:rsidR="00E43D03">
        <w:rPr>
          <w:szCs w:val="24"/>
        </w:rPr>
        <w:t>, or in the case of an MSR, the Minimum Discharge or Charge Limit</w:t>
      </w:r>
      <w:r w:rsidR="00690294">
        <w:rPr>
          <w:szCs w:val="24"/>
        </w:rPr>
        <w:t xml:space="preserve"> </w:t>
      </w:r>
      <w:r w:rsidR="00FC05F9">
        <w:rPr>
          <w:szCs w:val="24"/>
        </w:rPr>
        <w:t>up to</w:t>
      </w:r>
      <w:r w:rsidR="00FD4ADF">
        <w:rPr>
          <w:szCs w:val="24"/>
        </w:rPr>
        <w:t xml:space="preserve"> the</w:t>
      </w:r>
      <w:r w:rsidR="00FC05F9">
        <w:rPr>
          <w:szCs w:val="24"/>
        </w:rPr>
        <w:t xml:space="preserve"> Maximum Economic Capacity Operating Limit</w:t>
      </w:r>
      <w:r w:rsidR="00E43D03">
        <w:rPr>
          <w:szCs w:val="24"/>
        </w:rPr>
        <w:t xml:space="preserve">, or in the case of an MSR, the Maximum Discharge or Charge Limit </w:t>
      </w:r>
      <w:r w:rsidR="00690294">
        <w:rPr>
          <w:szCs w:val="24"/>
        </w:rPr>
        <w:t>of</w:t>
      </w:r>
      <w:r w:rsidR="00690294" w:rsidRPr="00757C9A">
        <w:rPr>
          <w:szCs w:val="24"/>
        </w:rPr>
        <w:t xml:space="preserve"> the </w:t>
      </w:r>
      <w:r w:rsidR="00690294">
        <w:rPr>
          <w:szCs w:val="24"/>
        </w:rPr>
        <w:t>Resource A</w:t>
      </w:r>
      <w:r w:rsidR="00690294" w:rsidRPr="00757C9A">
        <w:rPr>
          <w:szCs w:val="24"/>
        </w:rPr>
        <w:t xml:space="preserve">ggregation is expected to come from each </w:t>
      </w:r>
      <w:r w:rsidR="00690294">
        <w:rPr>
          <w:szCs w:val="24"/>
        </w:rPr>
        <w:t xml:space="preserve">unit or plant </w:t>
      </w:r>
      <w:r w:rsidR="00690294" w:rsidRPr="00757C9A">
        <w:rPr>
          <w:szCs w:val="24"/>
        </w:rPr>
        <w:t xml:space="preserve">during the relevant time period. The </w:t>
      </w:r>
      <w:r w:rsidR="00FC05F9">
        <w:rPr>
          <w:szCs w:val="24"/>
        </w:rPr>
        <w:t>incremental</w:t>
      </w:r>
      <w:r w:rsidR="00690294">
        <w:rPr>
          <w:szCs w:val="24"/>
        </w:rPr>
        <w:t xml:space="preserve"> </w:t>
      </w:r>
      <w:r w:rsidR="00690294" w:rsidRPr="00757C9A">
        <w:rPr>
          <w:szCs w:val="24"/>
        </w:rPr>
        <w:t>distribution factors for all units</w:t>
      </w:r>
      <w:r w:rsidR="00FC05F9">
        <w:rPr>
          <w:szCs w:val="24"/>
        </w:rPr>
        <w:t xml:space="preserve"> and/or plants</w:t>
      </w:r>
      <w:r w:rsidR="00690294" w:rsidRPr="00757C9A">
        <w:rPr>
          <w:szCs w:val="24"/>
        </w:rPr>
        <w:t xml:space="preserve"> within the </w:t>
      </w:r>
      <w:r w:rsidR="00690294">
        <w:rPr>
          <w:szCs w:val="24"/>
        </w:rPr>
        <w:t>Resource A</w:t>
      </w:r>
      <w:r w:rsidR="00690294" w:rsidRPr="00757C9A">
        <w:rPr>
          <w:szCs w:val="24"/>
        </w:rPr>
        <w:t>ggregation must total 1</w:t>
      </w:r>
      <w:r w:rsidR="000070FA">
        <w:rPr>
          <w:szCs w:val="24"/>
        </w:rPr>
        <w:t>.0</w:t>
      </w:r>
      <w:r w:rsidR="00690294" w:rsidRPr="00757C9A">
        <w:rPr>
          <w:szCs w:val="24"/>
        </w:rPr>
        <w:t>.</w:t>
      </w:r>
    </w:p>
    <w:p w14:paraId="34A31D2A" w14:textId="6A90CD58" w:rsidR="003A3051" w:rsidRPr="003A3051" w:rsidRDefault="003A3051" w:rsidP="003A3051">
      <w:pPr>
        <w:keepNext/>
        <w:spacing w:before="120" w:line="300" w:lineRule="auto"/>
        <w:rPr>
          <w:rFonts w:ascii="Aptos" w:eastAsia="Aptos" w:hAnsi="Aptos" w:cs="Arial"/>
          <w:b/>
          <w:bCs/>
          <w:kern w:val="2"/>
          <w:sz w:val="22"/>
          <w:szCs w:val="26"/>
          <w14:ligatures w14:val="standardContextual"/>
        </w:rPr>
      </w:pPr>
      <w:r w:rsidRPr="003A3051">
        <w:rPr>
          <w:rFonts w:cs="Arial"/>
          <w:b/>
          <w:bCs/>
          <w:szCs w:val="26"/>
        </w:rPr>
        <w:t>Resource Hub</w:t>
      </w:r>
    </w:p>
    <w:p w14:paraId="70A2A135" w14:textId="77777777" w:rsidR="003A3051" w:rsidRPr="003A3051" w:rsidRDefault="003A3051" w:rsidP="003A3051">
      <w:pPr>
        <w:spacing w:before="120" w:line="300" w:lineRule="auto"/>
        <w:ind w:left="720"/>
        <w:rPr>
          <w:rFonts w:ascii="Aptos" w:eastAsia="Aptos" w:hAnsi="Aptos" w:cs="Arial"/>
          <w:bCs/>
          <w:kern w:val="2"/>
          <w:sz w:val="22"/>
          <w:szCs w:val="26"/>
          <w14:ligatures w14:val="standardContextual"/>
        </w:rPr>
      </w:pPr>
      <w:r w:rsidRPr="003A3051">
        <w:rPr>
          <w:rFonts w:cs="Arial"/>
          <w:bCs/>
          <w:szCs w:val="26"/>
        </w:rPr>
        <w:t>A Settlement Location consisting of an aggregation of Resource Price Nodes developed for financial and trading purposes</w:t>
      </w:r>
      <w:bookmarkStart w:id="34" w:name="_GoBack_2_0"/>
      <w:bookmarkEnd w:id="34"/>
      <w:r w:rsidRPr="003A3051">
        <w:rPr>
          <w:rFonts w:cs="Arial"/>
          <w:bCs/>
          <w:szCs w:val="26"/>
        </w:rPr>
        <w:t>.</w:t>
      </w:r>
    </w:p>
    <w:p w14:paraId="5F81E1CB" w14:textId="77777777" w:rsidR="0052161C" w:rsidRPr="0052161C" w:rsidRDefault="0052161C" w:rsidP="0052161C">
      <w:pPr>
        <w:spacing w:after="160" w:line="259" w:lineRule="auto"/>
        <w:rPr>
          <w:rFonts w:eastAsia="Calibri"/>
          <w:b/>
          <w:szCs w:val="24"/>
        </w:rPr>
      </w:pPr>
      <w:r w:rsidRPr="0052161C">
        <w:rPr>
          <w:rFonts w:eastAsia="Calibri"/>
          <w:b/>
          <w:szCs w:val="24"/>
        </w:rPr>
        <w:t>Resource Mapping</w:t>
      </w:r>
    </w:p>
    <w:p w14:paraId="14C01B2A" w14:textId="77777777" w:rsidR="0052161C" w:rsidRPr="0052161C" w:rsidRDefault="0052161C" w:rsidP="001453E8">
      <w:pPr>
        <w:spacing w:after="160" w:line="300" w:lineRule="auto"/>
        <w:ind w:left="720"/>
        <w:rPr>
          <w:rFonts w:eastAsia="Calibri"/>
          <w:bCs/>
          <w:szCs w:val="24"/>
        </w:rPr>
      </w:pPr>
      <w:r w:rsidRPr="0052161C">
        <w:rPr>
          <w:rFonts w:eastAsia="Calibri"/>
          <w:bCs/>
          <w:szCs w:val="24"/>
        </w:rPr>
        <w:t xml:space="preserve">The pre-market process for identifying owned and contracted Resources, and designating these Resources to Load Responsible Entities, non-GHG areas, or Residual Energy. </w:t>
      </w:r>
    </w:p>
    <w:p w14:paraId="2A0F5D00" w14:textId="77777777" w:rsidR="003A3051" w:rsidRPr="003A3051" w:rsidRDefault="003A3051" w:rsidP="003A3051">
      <w:pPr>
        <w:spacing w:before="120" w:line="300" w:lineRule="auto"/>
        <w:rPr>
          <w:b/>
          <w:szCs w:val="24"/>
        </w:rPr>
      </w:pPr>
      <w:r w:rsidRPr="003A3051">
        <w:rPr>
          <w:b/>
          <w:szCs w:val="24"/>
        </w:rPr>
        <w:t>Resource Offer</w:t>
      </w:r>
    </w:p>
    <w:p w14:paraId="2A6F8E76" w14:textId="77777777" w:rsidR="003A3051" w:rsidRPr="003A3051" w:rsidRDefault="003A3051" w:rsidP="003A3051">
      <w:pPr>
        <w:spacing w:before="120" w:line="300" w:lineRule="auto"/>
        <w:ind w:left="720"/>
        <w:rPr>
          <w:rFonts w:eastAsia="Aptos" w:cs="Arial"/>
          <w:kern w:val="2"/>
          <w:sz w:val="22"/>
          <w:szCs w:val="24"/>
          <w14:ligatures w14:val="standardContextual"/>
        </w:rPr>
      </w:pPr>
      <w:r w:rsidRPr="003A3051">
        <w:rPr>
          <w:szCs w:val="24"/>
        </w:rPr>
        <w:t>As defined in the Markets+ Tariff.</w:t>
      </w:r>
    </w:p>
    <w:p w14:paraId="3D29E774" w14:textId="77777777" w:rsidR="00EB2139" w:rsidRPr="00EB2139" w:rsidRDefault="00EB2139" w:rsidP="00EB2139">
      <w:pPr>
        <w:tabs>
          <w:tab w:val="left" w:pos="7211"/>
        </w:tabs>
        <w:spacing w:after="160" w:line="259" w:lineRule="auto"/>
        <w:rPr>
          <w:rFonts w:eastAsia="Calibri"/>
          <w:szCs w:val="24"/>
        </w:rPr>
      </w:pPr>
      <w:r w:rsidRPr="00EB2139">
        <w:rPr>
          <w:rFonts w:eastAsia="Calibri"/>
          <w:b/>
          <w:bCs/>
          <w:szCs w:val="24"/>
        </w:rPr>
        <w:t>Resource Portfolio</w:t>
      </w:r>
    </w:p>
    <w:p w14:paraId="0BA1159A" w14:textId="77777777" w:rsidR="00EB2139" w:rsidRPr="00EB2139" w:rsidRDefault="00EB2139" w:rsidP="001453E8">
      <w:pPr>
        <w:spacing w:after="160" w:line="300" w:lineRule="auto"/>
        <w:ind w:left="720"/>
        <w:rPr>
          <w:rFonts w:eastAsia="Calibri"/>
          <w:szCs w:val="24"/>
        </w:rPr>
      </w:pPr>
      <w:r w:rsidRPr="00EB2139">
        <w:rPr>
          <w:rFonts w:eastAsia="Calibri"/>
          <w:szCs w:val="24"/>
        </w:rPr>
        <w:t xml:space="preserve">For purposes of GHG tracking and reporting, the collection of Resources mapped to a Load Responsible Entity. </w:t>
      </w:r>
    </w:p>
    <w:p w14:paraId="2BB32AA6" w14:textId="24560C0D" w:rsidR="003A3051" w:rsidRPr="003A3051" w:rsidRDefault="003A3051" w:rsidP="003A3051">
      <w:pPr>
        <w:keepNext/>
        <w:spacing w:before="240" w:after="60" w:line="276" w:lineRule="auto"/>
        <w:jc w:val="left"/>
        <w:outlineLvl w:val="1"/>
        <w:rPr>
          <w:rFonts w:eastAsia="Calibri" w:cs="Arial"/>
          <w:b/>
          <w:bCs/>
          <w:iCs/>
          <w:szCs w:val="28"/>
        </w:rPr>
      </w:pPr>
      <w:bookmarkStart w:id="35" w:name="_Toc213771750"/>
      <w:r w:rsidRPr="003A3051">
        <w:rPr>
          <w:rFonts w:eastAsia="Calibri" w:cs="Arial"/>
          <w:b/>
          <w:bCs/>
          <w:iCs/>
          <w:szCs w:val="28"/>
        </w:rPr>
        <w:t>S – Definitions</w:t>
      </w:r>
      <w:bookmarkEnd w:id="35"/>
      <w:r w:rsidRPr="003A3051">
        <w:rPr>
          <w:rFonts w:eastAsia="Calibri" w:cs="Arial"/>
          <w:b/>
          <w:bCs/>
          <w:iCs/>
          <w:szCs w:val="28"/>
        </w:rPr>
        <w:t> </w:t>
      </w:r>
    </w:p>
    <w:p w14:paraId="1377ECDD" w14:textId="77777777" w:rsidR="003A3051" w:rsidRPr="003A3051" w:rsidRDefault="003A3051" w:rsidP="003A3051">
      <w:pPr>
        <w:spacing w:before="120" w:line="300" w:lineRule="auto"/>
        <w:rPr>
          <w:b/>
          <w:szCs w:val="24"/>
        </w:rPr>
      </w:pPr>
      <w:r w:rsidRPr="003A3051">
        <w:rPr>
          <w:b/>
          <w:szCs w:val="24"/>
        </w:rPr>
        <w:t>S7 Scheduled Settlement Statement</w:t>
      </w:r>
    </w:p>
    <w:p w14:paraId="7AC6837E" w14:textId="55630B66" w:rsidR="003A3051" w:rsidRPr="003A3051" w:rsidRDefault="003A3051" w:rsidP="003A3051">
      <w:pPr>
        <w:spacing w:before="120" w:line="300" w:lineRule="auto"/>
        <w:rPr>
          <w:szCs w:val="24"/>
        </w:rPr>
      </w:pPr>
      <w:r w:rsidRPr="003A3051">
        <w:rPr>
          <w:szCs w:val="24"/>
        </w:rPr>
        <w:tab/>
        <w:t xml:space="preserve">As defined in the </w:t>
      </w:r>
      <w:r w:rsidRPr="003A3051" w:rsidDel="00FE7F15">
        <w:rPr>
          <w:szCs w:val="24"/>
        </w:rPr>
        <w:t>Markets+</w:t>
      </w:r>
      <w:r w:rsidR="00BC1C6F">
        <w:rPr>
          <w:szCs w:val="24"/>
        </w:rPr>
        <w:t xml:space="preserve"> </w:t>
      </w:r>
      <w:r w:rsidRPr="003A3051" w:rsidDel="008C0625">
        <w:rPr>
          <w:szCs w:val="24"/>
        </w:rPr>
        <w:t>Tariff</w:t>
      </w:r>
      <w:r w:rsidRPr="003A3051">
        <w:rPr>
          <w:szCs w:val="24"/>
        </w:rPr>
        <w:t xml:space="preserve">. </w:t>
      </w:r>
    </w:p>
    <w:p w14:paraId="2CAF753B" w14:textId="77777777" w:rsidR="003A3051" w:rsidRPr="003A3051" w:rsidRDefault="003A3051" w:rsidP="003A3051">
      <w:pPr>
        <w:spacing w:before="120" w:line="300" w:lineRule="auto"/>
        <w:rPr>
          <w:b/>
          <w:szCs w:val="24"/>
        </w:rPr>
      </w:pPr>
      <w:r w:rsidRPr="003A3051">
        <w:rPr>
          <w:b/>
          <w:szCs w:val="24"/>
        </w:rPr>
        <w:t xml:space="preserve">S53 Scheduled Settlement Statement </w:t>
      </w:r>
    </w:p>
    <w:p w14:paraId="62312708" w14:textId="1F8C0CBC" w:rsidR="003A3051" w:rsidRPr="003A3051" w:rsidRDefault="003A3051" w:rsidP="003A3051">
      <w:pPr>
        <w:spacing w:before="120" w:line="300" w:lineRule="auto"/>
        <w:rPr>
          <w:szCs w:val="24"/>
        </w:rPr>
      </w:pPr>
      <w:r w:rsidRPr="003A3051">
        <w:rPr>
          <w:szCs w:val="24"/>
        </w:rPr>
        <w:tab/>
        <w:t xml:space="preserve">As defined in the </w:t>
      </w:r>
      <w:r w:rsidRPr="003A3051" w:rsidDel="00FE7F15">
        <w:rPr>
          <w:szCs w:val="24"/>
        </w:rPr>
        <w:t>Markets+</w:t>
      </w:r>
      <w:r w:rsidR="00BC1C6F">
        <w:rPr>
          <w:szCs w:val="24"/>
        </w:rPr>
        <w:t xml:space="preserve"> </w:t>
      </w:r>
      <w:r w:rsidRPr="003A3051" w:rsidDel="008C0625">
        <w:rPr>
          <w:szCs w:val="24"/>
        </w:rPr>
        <w:t>Tariff</w:t>
      </w:r>
      <w:r w:rsidRPr="003A3051">
        <w:rPr>
          <w:szCs w:val="24"/>
        </w:rPr>
        <w:t xml:space="preserve">. </w:t>
      </w:r>
    </w:p>
    <w:p w14:paraId="12B34C81" w14:textId="77777777" w:rsidR="003A3051" w:rsidRPr="003A3051" w:rsidRDefault="003A3051" w:rsidP="003A3051">
      <w:pPr>
        <w:spacing w:before="120" w:line="300" w:lineRule="auto"/>
        <w:rPr>
          <w:b/>
          <w:szCs w:val="24"/>
        </w:rPr>
      </w:pPr>
      <w:r w:rsidRPr="003A3051">
        <w:rPr>
          <w:b/>
          <w:szCs w:val="24"/>
        </w:rPr>
        <w:t>S120 Scheduled Settlement Statement</w:t>
      </w:r>
    </w:p>
    <w:p w14:paraId="038AA83D" w14:textId="540DFAA3" w:rsidR="003A3051" w:rsidRPr="003A3051" w:rsidRDefault="003A3051" w:rsidP="003A3051">
      <w:pPr>
        <w:spacing w:before="120" w:line="300" w:lineRule="auto"/>
        <w:rPr>
          <w:szCs w:val="24"/>
        </w:rPr>
      </w:pPr>
      <w:r w:rsidRPr="003A3051">
        <w:rPr>
          <w:szCs w:val="24"/>
        </w:rPr>
        <w:tab/>
        <w:t xml:space="preserve">As defined in the </w:t>
      </w:r>
      <w:r w:rsidRPr="003A3051" w:rsidDel="00FE7F15">
        <w:rPr>
          <w:szCs w:val="24"/>
        </w:rPr>
        <w:t>Markets+</w:t>
      </w:r>
      <w:r w:rsidR="00BC1C6F">
        <w:rPr>
          <w:szCs w:val="24"/>
        </w:rPr>
        <w:t xml:space="preserve"> </w:t>
      </w:r>
      <w:r w:rsidRPr="003A3051" w:rsidDel="008C0625">
        <w:rPr>
          <w:szCs w:val="24"/>
        </w:rPr>
        <w:t>Tariff</w:t>
      </w:r>
      <w:r w:rsidRPr="003A3051">
        <w:rPr>
          <w:szCs w:val="24"/>
        </w:rPr>
        <w:t>.</w:t>
      </w:r>
    </w:p>
    <w:p w14:paraId="7964E88D" w14:textId="77777777" w:rsidR="003A3051" w:rsidRPr="003A3051" w:rsidRDefault="003A3051" w:rsidP="003A3051">
      <w:pPr>
        <w:keepNext/>
        <w:spacing w:before="120" w:line="300" w:lineRule="auto"/>
        <w:rPr>
          <w:b/>
          <w:szCs w:val="24"/>
        </w:rPr>
      </w:pPr>
      <w:r w:rsidRPr="003A3051">
        <w:rPr>
          <w:b/>
          <w:szCs w:val="24"/>
        </w:rPr>
        <w:t>Scarcity Price</w:t>
      </w:r>
    </w:p>
    <w:p w14:paraId="2F3A5280" w14:textId="77777777" w:rsidR="003A3051" w:rsidRPr="003A3051" w:rsidRDefault="003A3051" w:rsidP="003A3051">
      <w:pPr>
        <w:keepNext/>
        <w:spacing w:before="120" w:line="300" w:lineRule="auto"/>
        <w:ind w:left="720"/>
        <w:rPr>
          <w:szCs w:val="24"/>
        </w:rPr>
      </w:pPr>
      <w:r w:rsidRPr="003A3051">
        <w:rPr>
          <w:szCs w:val="24"/>
        </w:rPr>
        <w:t>As defined in the Markets+ Tariff.</w:t>
      </w:r>
    </w:p>
    <w:p w14:paraId="6B7BB3EA" w14:textId="77777777" w:rsidR="003A3051" w:rsidRPr="003A3051" w:rsidRDefault="003A3051" w:rsidP="003A3051">
      <w:pPr>
        <w:keepNext/>
        <w:spacing w:before="120" w:line="300" w:lineRule="auto"/>
        <w:rPr>
          <w:b/>
          <w:szCs w:val="24"/>
        </w:rPr>
      </w:pPr>
      <w:r w:rsidRPr="003A3051">
        <w:rPr>
          <w:b/>
          <w:szCs w:val="24"/>
        </w:rPr>
        <w:t>Scarcity Pricing</w:t>
      </w:r>
    </w:p>
    <w:p w14:paraId="03B219CA" w14:textId="77777777" w:rsidR="003A3051" w:rsidRPr="003A3051" w:rsidRDefault="003A3051" w:rsidP="003A3051">
      <w:pPr>
        <w:keepNext/>
        <w:spacing w:before="120" w:line="300" w:lineRule="auto"/>
        <w:ind w:left="720"/>
        <w:rPr>
          <w:szCs w:val="24"/>
        </w:rPr>
      </w:pPr>
      <w:r w:rsidRPr="003A3051">
        <w:rPr>
          <w:szCs w:val="24"/>
        </w:rPr>
        <w:t>As defined in the Markets+ Tariff.</w:t>
      </w:r>
    </w:p>
    <w:p w14:paraId="6293FE92" w14:textId="77777777" w:rsidR="003A3051" w:rsidRPr="003A3051" w:rsidRDefault="003A3051" w:rsidP="003A3051">
      <w:pPr>
        <w:spacing w:before="120" w:line="300" w:lineRule="auto"/>
        <w:rPr>
          <w:b/>
          <w:szCs w:val="24"/>
        </w:rPr>
      </w:pPr>
      <w:r w:rsidRPr="003A3051">
        <w:rPr>
          <w:b/>
          <w:szCs w:val="24"/>
        </w:rPr>
        <w:t xml:space="preserve">Scheduled Settlement </w:t>
      </w:r>
    </w:p>
    <w:p w14:paraId="629A1CF9" w14:textId="77777777" w:rsidR="003A3051" w:rsidRPr="003A3051" w:rsidRDefault="003A3051" w:rsidP="003A3051">
      <w:pPr>
        <w:keepNext/>
        <w:spacing w:before="120" w:line="300" w:lineRule="auto"/>
        <w:ind w:left="720"/>
        <w:rPr>
          <w:szCs w:val="24"/>
        </w:rPr>
      </w:pPr>
      <w:r w:rsidRPr="003A3051">
        <w:rPr>
          <w:szCs w:val="24"/>
        </w:rPr>
        <w:t>As defined in the Markets+ Tariff.</w:t>
      </w:r>
    </w:p>
    <w:p w14:paraId="4D5678EA" w14:textId="77777777" w:rsidR="003A3051" w:rsidRPr="003A3051" w:rsidRDefault="003A3051" w:rsidP="003A3051">
      <w:pPr>
        <w:spacing w:before="120" w:line="300" w:lineRule="auto"/>
        <w:rPr>
          <w:b/>
          <w:szCs w:val="24"/>
        </w:rPr>
      </w:pPr>
      <w:r w:rsidRPr="003A3051">
        <w:rPr>
          <w:b/>
          <w:szCs w:val="24"/>
        </w:rPr>
        <w:t>Scheduled Settlement Statement</w:t>
      </w:r>
    </w:p>
    <w:p w14:paraId="09697789" w14:textId="77777777" w:rsidR="003A3051" w:rsidRPr="003A3051" w:rsidRDefault="003A3051" w:rsidP="003A3051">
      <w:pPr>
        <w:keepNext/>
        <w:spacing w:before="120" w:line="300" w:lineRule="auto"/>
        <w:ind w:left="720"/>
        <w:rPr>
          <w:szCs w:val="24"/>
        </w:rPr>
      </w:pPr>
      <w:r w:rsidRPr="003A3051">
        <w:rPr>
          <w:szCs w:val="24"/>
        </w:rPr>
        <w:t>As defined in the Markets+ Tariff.</w:t>
      </w:r>
    </w:p>
    <w:p w14:paraId="2E1B8409" w14:textId="77777777" w:rsidR="003A3051" w:rsidRPr="003A3051" w:rsidRDefault="003A3051" w:rsidP="003A3051">
      <w:pPr>
        <w:spacing w:before="120" w:line="300" w:lineRule="auto"/>
        <w:rPr>
          <w:b/>
          <w:szCs w:val="24"/>
        </w:rPr>
      </w:pPr>
      <w:r w:rsidRPr="003A3051">
        <w:rPr>
          <w:b/>
          <w:szCs w:val="24"/>
        </w:rPr>
        <w:t>Security Constrained Economic Dispatch (SCED)</w:t>
      </w:r>
    </w:p>
    <w:p w14:paraId="70A508C3" w14:textId="77777777" w:rsidR="003A3051" w:rsidRPr="003A3051" w:rsidRDefault="003A3051" w:rsidP="003A3051">
      <w:pPr>
        <w:spacing w:before="120" w:line="300" w:lineRule="auto"/>
        <w:ind w:left="720"/>
        <w:rPr>
          <w:szCs w:val="24"/>
        </w:rPr>
      </w:pPr>
      <w:r w:rsidRPr="003A3051">
        <w:rPr>
          <w:szCs w:val="24"/>
        </w:rPr>
        <w:t>An algorithm capable of clearing, dispatching, and pricing Energy and Flexibility Reserve on a co-optimized basis that minimizes overall cost while enforcing multiple security constraints.</w:t>
      </w:r>
    </w:p>
    <w:p w14:paraId="064E0339" w14:textId="77777777" w:rsidR="003A3051" w:rsidRPr="003A3051" w:rsidRDefault="003A3051" w:rsidP="003A3051">
      <w:pPr>
        <w:spacing w:before="120" w:line="300" w:lineRule="auto"/>
        <w:rPr>
          <w:b/>
          <w:szCs w:val="24"/>
        </w:rPr>
      </w:pPr>
      <w:r w:rsidRPr="003A3051">
        <w:rPr>
          <w:b/>
          <w:szCs w:val="24"/>
        </w:rPr>
        <w:t>Security Constrained Unit Commitment (SCUC)</w:t>
      </w:r>
    </w:p>
    <w:p w14:paraId="79DE6836" w14:textId="0CCF8B6B" w:rsidR="003A3051" w:rsidRPr="003A3051" w:rsidRDefault="003A3051" w:rsidP="003A3051">
      <w:pPr>
        <w:spacing w:before="120" w:line="300" w:lineRule="auto"/>
        <w:ind w:left="720"/>
        <w:rPr>
          <w:szCs w:val="24"/>
        </w:rPr>
      </w:pPr>
      <w:r w:rsidRPr="003A3051">
        <w:rPr>
          <w:szCs w:val="24"/>
        </w:rPr>
        <w:t xml:space="preserve">An algorithm capable of committing Resources to supply Energy </w:t>
      </w:r>
      <w:r w:rsidRPr="003A3051" w:rsidDel="0046151A">
        <w:rPr>
          <w:szCs w:val="24"/>
        </w:rPr>
        <w:t>and/</w:t>
      </w:r>
      <w:r w:rsidRPr="003A3051">
        <w:rPr>
          <w:szCs w:val="24"/>
        </w:rPr>
        <w:t xml:space="preserve">or Flexibility Reserve </w:t>
      </w:r>
      <w:r w:rsidR="002446D6">
        <w:rPr>
          <w:szCs w:val="24"/>
        </w:rPr>
        <w:t>Products</w:t>
      </w:r>
      <w:r w:rsidRPr="003A3051">
        <w:rPr>
          <w:szCs w:val="24"/>
        </w:rPr>
        <w:t xml:space="preserve"> on a co-optimized basis that minimizes capacity costs while enforcing multiple security constraints.</w:t>
      </w:r>
    </w:p>
    <w:p w14:paraId="101F1840" w14:textId="77777777" w:rsidR="004D79A8" w:rsidRPr="007F23C0" w:rsidRDefault="004D79A8" w:rsidP="007F23C0">
      <w:pPr>
        <w:spacing w:line="300" w:lineRule="auto"/>
        <w:rPr>
          <w:b/>
        </w:rPr>
      </w:pPr>
      <w:r w:rsidRPr="007F23C0">
        <w:rPr>
          <w:b/>
        </w:rPr>
        <w:t>Self-Committed to Charge</w:t>
      </w:r>
    </w:p>
    <w:p w14:paraId="13F212FD" w14:textId="4377DFD3" w:rsidR="004D79A8" w:rsidRPr="004D79A8" w:rsidRDefault="004D79A8" w:rsidP="007F23C0">
      <w:pPr>
        <w:spacing w:line="300" w:lineRule="auto"/>
      </w:pPr>
      <w:r w:rsidRPr="004D79A8">
        <w:tab/>
        <w:t>As defined in the Market+ Tariff.</w:t>
      </w:r>
      <w:r w:rsidRPr="004D79A8">
        <w:tab/>
      </w:r>
    </w:p>
    <w:p w14:paraId="19863106" w14:textId="14C9C036" w:rsidR="003A3051" w:rsidRPr="003A3051" w:rsidRDefault="003A3051" w:rsidP="003A3051">
      <w:pPr>
        <w:spacing w:before="120" w:line="300" w:lineRule="auto"/>
        <w:rPr>
          <w:b/>
          <w:szCs w:val="24"/>
        </w:rPr>
      </w:pPr>
      <w:r w:rsidRPr="003A3051">
        <w:rPr>
          <w:b/>
          <w:szCs w:val="24"/>
        </w:rPr>
        <w:t>Service Flow Constraint</w:t>
      </w:r>
      <w:r w:rsidR="00FC4EEF">
        <w:rPr>
          <w:b/>
          <w:szCs w:val="24"/>
        </w:rPr>
        <w:t xml:space="preserve"> (SFC)</w:t>
      </w:r>
    </w:p>
    <w:p w14:paraId="4C1372CB" w14:textId="77777777" w:rsidR="003A3051" w:rsidRPr="003A3051" w:rsidRDefault="003A3051" w:rsidP="003A3051">
      <w:pPr>
        <w:spacing w:before="120" w:line="300" w:lineRule="auto"/>
        <w:rPr>
          <w:szCs w:val="24"/>
        </w:rPr>
      </w:pPr>
      <w:r w:rsidRPr="003A3051">
        <w:rPr>
          <w:szCs w:val="24"/>
        </w:rPr>
        <w:tab/>
        <w:t>As defined in the Markets+ Tariff.</w:t>
      </w:r>
    </w:p>
    <w:p w14:paraId="2127B7C1" w14:textId="77777777" w:rsidR="003A3051" w:rsidRPr="003A3051" w:rsidRDefault="003A3051" w:rsidP="003A3051">
      <w:pPr>
        <w:spacing w:before="120" w:line="300" w:lineRule="auto"/>
        <w:rPr>
          <w:b/>
          <w:szCs w:val="24"/>
        </w:rPr>
      </w:pPr>
      <w:r w:rsidRPr="003A3051" w:rsidDel="00551FAD">
        <w:rPr>
          <w:b/>
          <w:szCs w:val="24"/>
        </w:rPr>
        <w:t xml:space="preserve">Setpoint </w:t>
      </w:r>
      <w:r w:rsidRPr="003A3051">
        <w:rPr>
          <w:b/>
          <w:szCs w:val="24"/>
        </w:rPr>
        <w:t>Target</w:t>
      </w:r>
    </w:p>
    <w:p w14:paraId="0BC13112" w14:textId="77777777" w:rsidR="003A3051" w:rsidRPr="003A3051" w:rsidRDefault="003A3051" w:rsidP="003A3051">
      <w:pPr>
        <w:spacing w:after="0" w:line="300" w:lineRule="auto"/>
        <w:ind w:left="720"/>
      </w:pPr>
      <w:r w:rsidRPr="003A3051">
        <w:t>As defined in the Markets+ Tariff</w:t>
      </w:r>
    </w:p>
    <w:p w14:paraId="0D843DBC" w14:textId="77777777" w:rsidR="003A3051" w:rsidRPr="003A3051" w:rsidRDefault="003A3051" w:rsidP="003A3051">
      <w:pPr>
        <w:spacing w:after="0" w:line="300" w:lineRule="auto"/>
        <w:rPr>
          <w:b/>
          <w:szCs w:val="24"/>
        </w:rPr>
      </w:pPr>
      <w:r w:rsidRPr="003A3051">
        <w:rPr>
          <w:b/>
          <w:szCs w:val="24"/>
        </w:rPr>
        <w:t xml:space="preserve">Settlement Area </w:t>
      </w:r>
    </w:p>
    <w:p w14:paraId="2540FFA2" w14:textId="25A78DC6" w:rsidR="003A3051" w:rsidRPr="003A3051" w:rsidRDefault="003A3051" w:rsidP="003A3051">
      <w:pPr>
        <w:spacing w:before="120" w:line="300" w:lineRule="auto"/>
        <w:ind w:firstLine="720"/>
      </w:pPr>
      <w:r w:rsidRPr="003A3051">
        <w:t xml:space="preserve">As defined in the </w:t>
      </w:r>
      <w:r w:rsidRPr="003A3051" w:rsidDel="00770821">
        <w:t>Markets+</w:t>
      </w:r>
      <w:r w:rsidR="0080566B">
        <w:t xml:space="preserve"> </w:t>
      </w:r>
      <w:r w:rsidRPr="003A3051" w:rsidDel="008C0625">
        <w:t>Tariff</w:t>
      </w:r>
      <w:r w:rsidRPr="003A3051">
        <w:t>.</w:t>
      </w:r>
    </w:p>
    <w:p w14:paraId="499BB561" w14:textId="77777777" w:rsidR="003A3051" w:rsidRPr="003A3051" w:rsidRDefault="003A3051" w:rsidP="003A3051">
      <w:pPr>
        <w:spacing w:before="120" w:line="300" w:lineRule="auto"/>
        <w:rPr>
          <w:b/>
        </w:rPr>
      </w:pPr>
      <w:r w:rsidRPr="003A3051">
        <w:rPr>
          <w:b/>
        </w:rPr>
        <w:t>Settlement Determinant Report</w:t>
      </w:r>
    </w:p>
    <w:p w14:paraId="758A27AC" w14:textId="77777777" w:rsidR="003A3051" w:rsidRPr="003A3051" w:rsidRDefault="003A3051" w:rsidP="003A3051">
      <w:pPr>
        <w:spacing w:before="120" w:line="300" w:lineRule="auto"/>
        <w:ind w:left="720"/>
        <w:rPr>
          <w:b/>
        </w:rPr>
      </w:pPr>
      <w:r w:rsidRPr="003A3051">
        <w:rPr>
          <w:bCs/>
        </w:rPr>
        <w:t>A daily report of interval input, intermediate calculation and settlement result data with full Settlement Location and transactional detail which is generated for each Asset Owner and Operating Day settled, either on a Scheduled Settlement or Resettlement basis.  Separate reports are available for 1) 5-minute data and 2) hourly and daily data.</w:t>
      </w:r>
    </w:p>
    <w:p w14:paraId="5020DEBB" w14:textId="77777777" w:rsidR="003A3051" w:rsidRPr="003A3051" w:rsidRDefault="003A3051" w:rsidP="003A3051">
      <w:pPr>
        <w:spacing w:before="120" w:line="300" w:lineRule="auto"/>
        <w:rPr>
          <w:b/>
        </w:rPr>
      </w:pPr>
      <w:r w:rsidRPr="003A3051">
        <w:rPr>
          <w:b/>
        </w:rPr>
        <w:t>Settlement Invoice</w:t>
      </w:r>
    </w:p>
    <w:p w14:paraId="180D7F7B" w14:textId="3C584766" w:rsidR="003A3051" w:rsidRPr="003A3051" w:rsidRDefault="003A3051" w:rsidP="003A3051">
      <w:pPr>
        <w:spacing w:before="120" w:line="300" w:lineRule="auto"/>
        <w:ind w:left="720"/>
        <w:rPr>
          <w:b/>
          <w:szCs w:val="24"/>
        </w:rPr>
      </w:pPr>
      <w:r w:rsidRPr="003A3051">
        <w:rPr>
          <w:bCs/>
        </w:rPr>
        <w:t xml:space="preserve">As defined in the </w:t>
      </w:r>
      <w:r w:rsidRPr="003A3051" w:rsidDel="00770821">
        <w:rPr>
          <w:bCs/>
        </w:rPr>
        <w:t>Markets+</w:t>
      </w:r>
      <w:r w:rsidR="0080566B">
        <w:rPr>
          <w:bCs/>
        </w:rPr>
        <w:t xml:space="preserve"> </w:t>
      </w:r>
      <w:r w:rsidRPr="003A3051" w:rsidDel="008C0625">
        <w:rPr>
          <w:bCs/>
        </w:rPr>
        <w:t>Tariff</w:t>
      </w:r>
      <w:r w:rsidRPr="003A3051">
        <w:rPr>
          <w:bCs/>
        </w:rPr>
        <w:t>.</w:t>
      </w:r>
    </w:p>
    <w:p w14:paraId="58E05977" w14:textId="77777777" w:rsidR="003A3051" w:rsidRPr="003A3051" w:rsidRDefault="003A3051" w:rsidP="003A3051">
      <w:pPr>
        <w:spacing w:before="120" w:line="300" w:lineRule="auto"/>
        <w:rPr>
          <w:b/>
          <w:szCs w:val="24"/>
        </w:rPr>
      </w:pPr>
      <w:r w:rsidRPr="003A3051">
        <w:rPr>
          <w:b/>
          <w:szCs w:val="24"/>
        </w:rPr>
        <w:t>Settlement Location</w:t>
      </w:r>
    </w:p>
    <w:p w14:paraId="31D50485" w14:textId="77777777" w:rsidR="003A3051" w:rsidRPr="003A3051" w:rsidRDefault="003A3051" w:rsidP="003A3051">
      <w:pPr>
        <w:spacing w:after="0" w:line="300" w:lineRule="auto"/>
        <w:ind w:left="720" w:hanging="720"/>
        <w:rPr>
          <w:szCs w:val="24"/>
        </w:rPr>
      </w:pPr>
      <w:r w:rsidRPr="003A3051">
        <w:rPr>
          <w:szCs w:val="24"/>
        </w:rPr>
        <w:tab/>
        <w:t xml:space="preserve">As defined in the Markets+ Tariff. </w:t>
      </w:r>
    </w:p>
    <w:p w14:paraId="541B376F" w14:textId="77777777" w:rsidR="003A3051" w:rsidRPr="003A3051" w:rsidRDefault="003A3051" w:rsidP="003A3051">
      <w:pPr>
        <w:spacing w:before="120" w:line="300" w:lineRule="auto"/>
        <w:rPr>
          <w:b/>
        </w:rPr>
      </w:pPr>
      <w:r w:rsidRPr="003A3051">
        <w:rPr>
          <w:b/>
        </w:rPr>
        <w:t>Settlement Statement</w:t>
      </w:r>
    </w:p>
    <w:p w14:paraId="332A845A" w14:textId="2839BB59" w:rsidR="003A3051" w:rsidRPr="003A3051" w:rsidRDefault="003A3051" w:rsidP="003A3051">
      <w:pPr>
        <w:spacing w:before="120" w:line="300" w:lineRule="auto"/>
        <w:ind w:left="720"/>
      </w:pPr>
      <w:r w:rsidRPr="003A3051">
        <w:rPr>
          <w:bCs/>
        </w:rPr>
        <w:t xml:space="preserve">As defined in the </w:t>
      </w:r>
      <w:r w:rsidRPr="003A3051" w:rsidDel="00770821">
        <w:rPr>
          <w:bCs/>
        </w:rPr>
        <w:t>Markets+</w:t>
      </w:r>
      <w:r w:rsidR="0080566B">
        <w:rPr>
          <w:bCs/>
        </w:rPr>
        <w:t xml:space="preserve"> </w:t>
      </w:r>
      <w:r w:rsidRPr="003A3051" w:rsidDel="008C0625">
        <w:rPr>
          <w:bCs/>
        </w:rPr>
        <w:t>Tariff</w:t>
      </w:r>
      <w:r w:rsidRPr="003A3051">
        <w:rPr>
          <w:bCs/>
        </w:rPr>
        <w:t>.</w:t>
      </w:r>
    </w:p>
    <w:p w14:paraId="0124412C" w14:textId="77777777" w:rsidR="003A3051" w:rsidRPr="003A3051" w:rsidRDefault="003A3051" w:rsidP="003A3051">
      <w:pPr>
        <w:keepNext/>
        <w:spacing w:before="120" w:line="300" w:lineRule="auto"/>
        <w:rPr>
          <w:b/>
        </w:rPr>
      </w:pPr>
      <w:bookmarkStart w:id="36" w:name="OLE_LINK263"/>
      <w:bookmarkStart w:id="37" w:name="OLE_LINK264"/>
      <w:r w:rsidRPr="003A3051">
        <w:rPr>
          <w:b/>
        </w:rPr>
        <w:t>Shadow Price</w:t>
      </w:r>
    </w:p>
    <w:p w14:paraId="66E4EB9B" w14:textId="77777777" w:rsidR="003A3051" w:rsidRPr="003A3051" w:rsidRDefault="003A3051" w:rsidP="003A3051">
      <w:pPr>
        <w:keepNext/>
        <w:spacing w:after="0" w:line="300" w:lineRule="auto"/>
        <w:ind w:left="720"/>
      </w:pPr>
      <w:bookmarkStart w:id="38" w:name="OLE_LINK267"/>
      <w:bookmarkStart w:id="39" w:name="OLE_LINK268"/>
      <w:r w:rsidRPr="003A3051">
        <w:t>As defined in the Markets+ Tariff.</w:t>
      </w:r>
    </w:p>
    <w:bookmarkEnd w:id="36"/>
    <w:bookmarkEnd w:id="37"/>
    <w:bookmarkEnd w:id="38"/>
    <w:bookmarkEnd w:id="39"/>
    <w:p w14:paraId="772F831B" w14:textId="77777777" w:rsidR="003A3051" w:rsidRPr="003A3051" w:rsidRDefault="003A3051" w:rsidP="003A3051">
      <w:pPr>
        <w:spacing w:before="120" w:line="300" w:lineRule="auto"/>
        <w:rPr>
          <w:b/>
        </w:rPr>
      </w:pPr>
      <w:r w:rsidRPr="003A3051">
        <w:rPr>
          <w:b/>
        </w:rPr>
        <w:t>Short-Term Flex Down</w:t>
      </w:r>
    </w:p>
    <w:p w14:paraId="74C59A64" w14:textId="77777777" w:rsidR="003A3051" w:rsidRPr="003A3051" w:rsidRDefault="003A3051" w:rsidP="003A3051">
      <w:pPr>
        <w:spacing w:after="0" w:line="300" w:lineRule="auto"/>
        <w:ind w:left="720"/>
      </w:pPr>
      <w:r w:rsidRPr="003A3051">
        <w:t>As defined in the Markets+ Tariff</w:t>
      </w:r>
    </w:p>
    <w:p w14:paraId="5BC0EAA2" w14:textId="77777777" w:rsidR="003A3051" w:rsidRPr="003A3051" w:rsidRDefault="003A3051" w:rsidP="003A3051">
      <w:pPr>
        <w:spacing w:before="120" w:line="300" w:lineRule="auto"/>
        <w:rPr>
          <w:b/>
        </w:rPr>
      </w:pPr>
      <w:r w:rsidRPr="003A3051">
        <w:rPr>
          <w:b/>
        </w:rPr>
        <w:t>Short-Term Flex Up</w:t>
      </w:r>
    </w:p>
    <w:p w14:paraId="12F62FE2" w14:textId="77777777" w:rsidR="003A3051" w:rsidRPr="003A3051" w:rsidRDefault="003A3051" w:rsidP="003A3051">
      <w:pPr>
        <w:spacing w:after="0" w:line="300" w:lineRule="auto"/>
        <w:ind w:left="720"/>
      </w:pPr>
      <w:r w:rsidRPr="003A3051">
        <w:t>As defined in the Markets+ Tariff</w:t>
      </w:r>
    </w:p>
    <w:p w14:paraId="09979B37" w14:textId="77777777" w:rsidR="003A3051" w:rsidRPr="003A3051" w:rsidRDefault="003A3051" w:rsidP="003A3051">
      <w:pPr>
        <w:spacing w:before="120" w:line="300" w:lineRule="auto"/>
        <w:rPr>
          <w:b/>
        </w:rPr>
      </w:pPr>
      <w:r w:rsidRPr="003A3051">
        <w:rPr>
          <w:b/>
        </w:rPr>
        <w:t>Short-Term Load Forecast</w:t>
      </w:r>
    </w:p>
    <w:p w14:paraId="182A439B" w14:textId="1ADF8686" w:rsidR="003A3051" w:rsidRPr="003A3051" w:rsidRDefault="003A3051" w:rsidP="003A3051">
      <w:pPr>
        <w:spacing w:after="0" w:line="300" w:lineRule="auto"/>
        <w:ind w:left="720"/>
      </w:pPr>
      <w:r w:rsidRPr="003A3051">
        <w:t xml:space="preserve">A load forecast developed by </w:t>
      </w:r>
      <w:r w:rsidR="00D3628F">
        <w:t>the Market Operator</w:t>
      </w:r>
      <w:r w:rsidR="00D3628F" w:rsidRPr="003A3051">
        <w:t xml:space="preserve"> </w:t>
      </w:r>
      <w:r w:rsidRPr="003A3051">
        <w:t>on a rolling 5-minute basis for the next 120 Dispatch Intervals for input into the Real-Time Balancing Market.</w:t>
      </w:r>
    </w:p>
    <w:p w14:paraId="78500E66" w14:textId="77777777" w:rsidR="003A3051" w:rsidRPr="003A3051" w:rsidRDefault="003A3051" w:rsidP="003A3051">
      <w:pPr>
        <w:spacing w:line="360" w:lineRule="auto"/>
        <w:rPr>
          <w:b/>
          <w:color w:val="000000"/>
        </w:rPr>
      </w:pPr>
      <w:r w:rsidRPr="003A3051">
        <w:rPr>
          <w:b/>
          <w:color w:val="000000"/>
        </w:rPr>
        <w:t>Simultaneous Co-optimization Methodology</w:t>
      </w:r>
    </w:p>
    <w:p w14:paraId="324556DE" w14:textId="52CAAAD9" w:rsidR="003A3051" w:rsidRPr="003A3051" w:rsidRDefault="003A3051" w:rsidP="003A3051">
      <w:pPr>
        <w:spacing w:line="360" w:lineRule="auto"/>
        <w:rPr>
          <w:color w:val="000000"/>
        </w:rPr>
      </w:pPr>
      <w:r w:rsidRPr="003A3051">
        <w:rPr>
          <w:color w:val="000000"/>
        </w:rPr>
        <w:tab/>
        <w:t>As defined in the Markets+ Tariff</w:t>
      </w:r>
      <w:r w:rsidR="00455124">
        <w:rPr>
          <w:color w:val="000000"/>
        </w:rPr>
        <w:t>.</w:t>
      </w:r>
    </w:p>
    <w:p w14:paraId="29224736" w14:textId="77777777" w:rsidR="003A3051" w:rsidRPr="003A3051" w:rsidRDefault="003A3051" w:rsidP="003A3051">
      <w:pPr>
        <w:spacing w:before="120" w:line="300" w:lineRule="auto"/>
        <w:rPr>
          <w:b/>
          <w:szCs w:val="24"/>
        </w:rPr>
      </w:pPr>
      <w:r w:rsidRPr="003A3051">
        <w:rPr>
          <w:b/>
          <w:szCs w:val="24"/>
        </w:rPr>
        <w:t>Software Error</w:t>
      </w:r>
    </w:p>
    <w:p w14:paraId="23129DD0" w14:textId="64DDAB64"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w:t>
      </w:r>
      <w:r w:rsidRPr="003A3051" w:rsidDel="00770821">
        <w:rPr>
          <w:szCs w:val="24"/>
        </w:rPr>
        <w:t>Markets+</w:t>
      </w:r>
      <w:r w:rsidR="0080566B">
        <w:rPr>
          <w:szCs w:val="24"/>
        </w:rPr>
        <w:t xml:space="preserve"> </w:t>
      </w:r>
      <w:r w:rsidRPr="003A3051" w:rsidDel="008C0625">
        <w:rPr>
          <w:szCs w:val="24"/>
        </w:rPr>
        <w:t>Tariff</w:t>
      </w:r>
      <w:r w:rsidRPr="003A3051">
        <w:rPr>
          <w:szCs w:val="24"/>
        </w:rPr>
        <w:t xml:space="preserve">. </w:t>
      </w:r>
    </w:p>
    <w:p w14:paraId="1C3CFB13" w14:textId="77777777" w:rsidR="003A3051" w:rsidRPr="003A3051" w:rsidRDefault="003A3051" w:rsidP="003A3051">
      <w:pPr>
        <w:spacing w:before="120" w:line="300" w:lineRule="auto"/>
        <w:rPr>
          <w:b/>
          <w:szCs w:val="24"/>
        </w:rPr>
      </w:pPr>
      <w:r w:rsidRPr="003A3051">
        <w:rPr>
          <w:b/>
          <w:szCs w:val="24"/>
        </w:rPr>
        <w:t>Specified GHG Adder</w:t>
      </w:r>
    </w:p>
    <w:p w14:paraId="6A78B874"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Markets+ Tariff. </w:t>
      </w:r>
    </w:p>
    <w:p w14:paraId="34492EF4" w14:textId="77777777" w:rsidR="003A3051" w:rsidRPr="003A3051" w:rsidRDefault="003A3051" w:rsidP="003A3051">
      <w:pPr>
        <w:spacing w:before="120" w:line="300" w:lineRule="auto"/>
        <w:rPr>
          <w:b/>
          <w:szCs w:val="24"/>
        </w:rPr>
      </w:pPr>
      <w:r w:rsidRPr="003A3051">
        <w:rPr>
          <w:b/>
          <w:szCs w:val="24"/>
        </w:rPr>
        <w:t>Specified Source Resource</w:t>
      </w:r>
    </w:p>
    <w:p w14:paraId="769B274C" w14:textId="77777777" w:rsidR="003A3051" w:rsidRPr="003A3051" w:rsidRDefault="003A3051" w:rsidP="003A3051">
      <w:pPr>
        <w:spacing w:before="120" w:line="300" w:lineRule="auto"/>
        <w:rPr>
          <w:szCs w:val="24"/>
        </w:rPr>
      </w:pPr>
      <w:r w:rsidRPr="003A3051">
        <w:rPr>
          <w:b/>
          <w:szCs w:val="24"/>
        </w:rPr>
        <w:tab/>
      </w:r>
      <w:r w:rsidRPr="003A3051">
        <w:rPr>
          <w:szCs w:val="24"/>
        </w:rPr>
        <w:t xml:space="preserve">As defined in the Markets+ Tariff. </w:t>
      </w:r>
    </w:p>
    <w:p w14:paraId="5B2E4725" w14:textId="7D098428" w:rsidR="003A3051" w:rsidRPr="003A3051" w:rsidRDefault="003A3051" w:rsidP="003A3051">
      <w:pPr>
        <w:keepNext/>
        <w:keepLines/>
        <w:spacing w:before="120" w:line="300" w:lineRule="auto"/>
        <w:rPr>
          <w:b/>
        </w:rPr>
      </w:pPr>
      <w:r w:rsidRPr="003A3051">
        <w:rPr>
          <w:b/>
        </w:rPr>
        <w:t>Start-Up Offer</w:t>
      </w:r>
    </w:p>
    <w:p w14:paraId="196C3D78" w14:textId="77777777" w:rsidR="003A3051" w:rsidRPr="003A3051" w:rsidRDefault="003A3051" w:rsidP="003A3051">
      <w:pPr>
        <w:keepNext/>
        <w:keepLines/>
        <w:spacing w:after="0" w:line="300" w:lineRule="auto"/>
        <w:ind w:left="720"/>
      </w:pPr>
      <w:r w:rsidRPr="003A3051">
        <w:t xml:space="preserve">As defined in the Markets+ Tariff. </w:t>
      </w:r>
    </w:p>
    <w:p w14:paraId="687EF511" w14:textId="77777777" w:rsidR="003A3051" w:rsidRPr="003A3051" w:rsidRDefault="003A3051" w:rsidP="003A3051">
      <w:pPr>
        <w:tabs>
          <w:tab w:val="right" w:leader="dot" w:pos="9350"/>
        </w:tabs>
        <w:spacing w:before="120" w:line="300" w:lineRule="auto"/>
        <w:ind w:left="440" w:hanging="440"/>
        <w:rPr>
          <w:b/>
          <w:szCs w:val="24"/>
        </w:rPr>
      </w:pPr>
      <w:r w:rsidRPr="003A3051">
        <w:rPr>
          <w:b/>
          <w:szCs w:val="24"/>
        </w:rPr>
        <w:t xml:space="preserve">State Estimator </w:t>
      </w:r>
    </w:p>
    <w:p w14:paraId="698C6A29" w14:textId="77777777" w:rsidR="003A3051" w:rsidRPr="003A3051" w:rsidRDefault="003A3051" w:rsidP="003A3051">
      <w:pPr>
        <w:tabs>
          <w:tab w:val="right" w:leader="dot" w:pos="9350"/>
        </w:tabs>
        <w:spacing w:before="120" w:line="300" w:lineRule="auto"/>
        <w:ind w:left="720"/>
        <w:rPr>
          <w:szCs w:val="24"/>
        </w:rPr>
      </w:pPr>
      <w:r w:rsidRPr="003A3051">
        <w:rPr>
          <w:szCs w:val="24"/>
        </w:rPr>
        <w:t xml:space="preserve">As defined in the Markets+ Tariff. </w:t>
      </w:r>
    </w:p>
    <w:p w14:paraId="4AD190B1" w14:textId="77777777" w:rsidR="003A3051" w:rsidRPr="003A3051" w:rsidRDefault="003A3051" w:rsidP="003A3051">
      <w:pPr>
        <w:tabs>
          <w:tab w:val="right" w:leader="dot" w:pos="9350"/>
        </w:tabs>
        <w:spacing w:before="120" w:line="300" w:lineRule="auto"/>
        <w:rPr>
          <w:b/>
          <w:szCs w:val="24"/>
        </w:rPr>
      </w:pPr>
      <w:r w:rsidRPr="003A3051">
        <w:rPr>
          <w:b/>
          <w:szCs w:val="24"/>
        </w:rPr>
        <w:t>Start-Up Time</w:t>
      </w:r>
    </w:p>
    <w:p w14:paraId="64A8C26C" w14:textId="25382219" w:rsidR="003A3051" w:rsidRPr="003A3051" w:rsidRDefault="003A3051" w:rsidP="003A3051">
      <w:pPr>
        <w:spacing w:line="300" w:lineRule="auto"/>
        <w:ind w:left="720"/>
        <w:rPr>
          <w:szCs w:val="24"/>
        </w:rPr>
      </w:pPr>
      <w:r w:rsidRPr="003A3051">
        <w:rPr>
          <w:szCs w:val="24"/>
        </w:rPr>
        <w:t xml:space="preserve">As defined in the </w:t>
      </w:r>
      <w:r w:rsidRPr="003A3051" w:rsidDel="00733338">
        <w:rPr>
          <w:szCs w:val="24"/>
        </w:rPr>
        <w:t>Markets+</w:t>
      </w:r>
      <w:r w:rsidR="0080566B">
        <w:rPr>
          <w:szCs w:val="24"/>
        </w:rPr>
        <w:t xml:space="preserve"> </w:t>
      </w:r>
      <w:r w:rsidRPr="003A3051" w:rsidDel="008C0625">
        <w:rPr>
          <w:szCs w:val="24"/>
        </w:rPr>
        <w:t>Tariff</w:t>
      </w:r>
      <w:r w:rsidRPr="003A3051">
        <w:rPr>
          <w:szCs w:val="24"/>
        </w:rPr>
        <w:t>.</w:t>
      </w:r>
    </w:p>
    <w:p w14:paraId="39378732" w14:textId="77777777" w:rsidR="003A3051" w:rsidRPr="003A3051" w:rsidRDefault="003A3051" w:rsidP="003A3051">
      <w:pPr>
        <w:spacing w:line="300" w:lineRule="auto"/>
        <w:rPr>
          <w:b/>
          <w:szCs w:val="24"/>
        </w:rPr>
      </w:pPr>
      <w:r w:rsidRPr="003A3051">
        <w:rPr>
          <w:b/>
          <w:szCs w:val="24"/>
        </w:rPr>
        <w:t>State of Charge</w:t>
      </w:r>
    </w:p>
    <w:p w14:paraId="224A5A77" w14:textId="6B98A013" w:rsidR="003A3051" w:rsidRPr="003A3051" w:rsidRDefault="003A3051" w:rsidP="003A3051">
      <w:pPr>
        <w:spacing w:line="300" w:lineRule="auto"/>
        <w:rPr>
          <w:szCs w:val="24"/>
        </w:rPr>
      </w:pPr>
      <w:r w:rsidRPr="003A3051">
        <w:rPr>
          <w:szCs w:val="24"/>
        </w:rPr>
        <w:tab/>
        <w:t xml:space="preserve">As defined in the </w:t>
      </w:r>
      <w:r w:rsidRPr="003A3051" w:rsidDel="00733338">
        <w:rPr>
          <w:szCs w:val="24"/>
        </w:rPr>
        <w:t>Markets+</w:t>
      </w:r>
      <w:r w:rsidR="0080566B">
        <w:rPr>
          <w:szCs w:val="24"/>
        </w:rPr>
        <w:t xml:space="preserve"> </w:t>
      </w:r>
      <w:r w:rsidRPr="003A3051" w:rsidDel="008C0625">
        <w:rPr>
          <w:szCs w:val="24"/>
        </w:rPr>
        <w:t>Tariff</w:t>
      </w:r>
      <w:r w:rsidRPr="003A3051">
        <w:rPr>
          <w:szCs w:val="24"/>
        </w:rPr>
        <w:t>.</w:t>
      </w:r>
    </w:p>
    <w:p w14:paraId="197D3DC8" w14:textId="77777777" w:rsidR="003A3051" w:rsidRPr="003A3051" w:rsidRDefault="003A3051" w:rsidP="003A3051">
      <w:pPr>
        <w:spacing w:line="300" w:lineRule="auto"/>
        <w:rPr>
          <w:b/>
          <w:szCs w:val="24"/>
        </w:rPr>
      </w:pPr>
      <w:r w:rsidRPr="003A3051">
        <w:rPr>
          <w:b/>
          <w:szCs w:val="24"/>
        </w:rPr>
        <w:t>State of Charge Forecast</w:t>
      </w:r>
    </w:p>
    <w:p w14:paraId="74B7DE1F" w14:textId="227F1D70" w:rsidR="003A3051" w:rsidRPr="003A3051" w:rsidRDefault="003A3051" w:rsidP="003A3051">
      <w:pPr>
        <w:spacing w:line="300" w:lineRule="auto"/>
        <w:rPr>
          <w:szCs w:val="24"/>
        </w:rPr>
      </w:pPr>
      <w:r w:rsidRPr="003A3051">
        <w:rPr>
          <w:szCs w:val="24"/>
        </w:rPr>
        <w:tab/>
        <w:t xml:space="preserve">As defined in the </w:t>
      </w:r>
      <w:r w:rsidRPr="003A3051" w:rsidDel="00733338">
        <w:rPr>
          <w:szCs w:val="24"/>
        </w:rPr>
        <w:t>Markets+</w:t>
      </w:r>
      <w:r w:rsidR="00DF594E">
        <w:rPr>
          <w:szCs w:val="24"/>
        </w:rPr>
        <w:t xml:space="preserve"> </w:t>
      </w:r>
      <w:r w:rsidRPr="003A3051" w:rsidDel="008C0625">
        <w:rPr>
          <w:szCs w:val="24"/>
        </w:rPr>
        <w:t>Tariff</w:t>
      </w:r>
      <w:r w:rsidRPr="003A3051">
        <w:rPr>
          <w:szCs w:val="24"/>
        </w:rPr>
        <w:t>.</w:t>
      </w:r>
    </w:p>
    <w:p w14:paraId="4CD13B81" w14:textId="77777777" w:rsidR="003A3051" w:rsidRPr="003A3051" w:rsidRDefault="003A3051" w:rsidP="003A3051">
      <w:pPr>
        <w:spacing w:line="300" w:lineRule="auto"/>
        <w:rPr>
          <w:b/>
          <w:szCs w:val="24"/>
        </w:rPr>
      </w:pPr>
      <w:r w:rsidRPr="003A3051">
        <w:rPr>
          <w:b/>
          <w:szCs w:val="24"/>
        </w:rPr>
        <w:t>Surplus Threshold</w:t>
      </w:r>
    </w:p>
    <w:p w14:paraId="11E4A19A" w14:textId="77777777" w:rsidR="003A3051" w:rsidRPr="003A3051" w:rsidRDefault="003A3051" w:rsidP="003A3051">
      <w:pPr>
        <w:spacing w:line="300" w:lineRule="auto"/>
        <w:rPr>
          <w:szCs w:val="24"/>
        </w:rPr>
      </w:pPr>
      <w:r w:rsidRPr="003A3051">
        <w:rPr>
          <w:szCs w:val="24"/>
        </w:rPr>
        <w:tab/>
        <w:t>As defined in the Markets+ Tariff.</w:t>
      </w:r>
    </w:p>
    <w:p w14:paraId="61B53AA8" w14:textId="77777777" w:rsidR="003A3051" w:rsidRPr="003A3051" w:rsidRDefault="003A3051" w:rsidP="003A3051">
      <w:pPr>
        <w:keepNext/>
        <w:spacing w:before="120" w:line="300" w:lineRule="auto"/>
        <w:rPr>
          <w:b/>
          <w:szCs w:val="24"/>
        </w:rPr>
      </w:pPr>
      <w:r w:rsidRPr="003A3051">
        <w:rPr>
          <w:b/>
          <w:szCs w:val="24"/>
        </w:rPr>
        <w:t>Synchronized Resource</w:t>
      </w:r>
    </w:p>
    <w:p w14:paraId="009839D8" w14:textId="41E8B0D4" w:rsidR="003A3051" w:rsidRPr="003A3051" w:rsidRDefault="003A3051" w:rsidP="003A3051">
      <w:pPr>
        <w:keepNext/>
        <w:spacing w:before="120" w:line="300" w:lineRule="auto"/>
        <w:ind w:left="720"/>
        <w:rPr>
          <w:szCs w:val="24"/>
        </w:rPr>
      </w:pPr>
      <w:r w:rsidRPr="003A3051">
        <w:rPr>
          <w:szCs w:val="24"/>
        </w:rPr>
        <w:t xml:space="preserve">As defined in </w:t>
      </w:r>
      <w:r w:rsidRPr="003A3051" w:rsidDel="007848BD">
        <w:rPr>
          <w:szCs w:val="24"/>
        </w:rPr>
        <w:t>Markets+</w:t>
      </w:r>
      <w:r w:rsidR="00DF594E">
        <w:rPr>
          <w:szCs w:val="24"/>
        </w:rPr>
        <w:t xml:space="preserve"> </w:t>
      </w:r>
      <w:r w:rsidRPr="003A3051" w:rsidDel="008C0625">
        <w:rPr>
          <w:szCs w:val="24"/>
        </w:rPr>
        <w:t>Tariff</w:t>
      </w:r>
      <w:r w:rsidRPr="003A3051">
        <w:rPr>
          <w:szCs w:val="24"/>
        </w:rPr>
        <w:t>.</w:t>
      </w:r>
    </w:p>
    <w:p w14:paraId="2409D4CB" w14:textId="77777777" w:rsidR="00197394" w:rsidRPr="003A3051" w:rsidRDefault="00197394" w:rsidP="00197394">
      <w:pPr>
        <w:spacing w:before="120" w:line="300" w:lineRule="auto"/>
        <w:rPr>
          <w:b/>
          <w:szCs w:val="24"/>
        </w:rPr>
      </w:pPr>
      <w:r w:rsidRPr="003A3051">
        <w:rPr>
          <w:b/>
          <w:szCs w:val="24"/>
        </w:rPr>
        <w:t xml:space="preserve">Sync-To-Min Time  </w:t>
      </w:r>
    </w:p>
    <w:p w14:paraId="28353728" w14:textId="77777777" w:rsidR="00197394" w:rsidRPr="003A3051" w:rsidRDefault="00197394" w:rsidP="00197394">
      <w:pPr>
        <w:spacing w:after="0" w:line="300" w:lineRule="auto"/>
        <w:ind w:left="720"/>
        <w:rPr>
          <w:szCs w:val="24"/>
        </w:rPr>
      </w:pPr>
      <w:r w:rsidRPr="003A3051">
        <w:rPr>
          <w:szCs w:val="24"/>
        </w:rPr>
        <w:t xml:space="preserve">As defined in the </w:t>
      </w:r>
      <w:r w:rsidRPr="003A3051" w:rsidDel="007848BD">
        <w:rPr>
          <w:szCs w:val="24"/>
        </w:rPr>
        <w:t>Markets+</w:t>
      </w:r>
      <w:r>
        <w:rPr>
          <w:szCs w:val="24"/>
        </w:rPr>
        <w:t xml:space="preserve"> </w:t>
      </w:r>
      <w:r w:rsidRPr="003A3051" w:rsidDel="008C0625">
        <w:rPr>
          <w:szCs w:val="24"/>
        </w:rPr>
        <w:t>Tariff</w:t>
      </w:r>
      <w:r w:rsidRPr="003A3051">
        <w:rPr>
          <w:szCs w:val="24"/>
        </w:rPr>
        <w:t>.</w:t>
      </w:r>
    </w:p>
    <w:p w14:paraId="6AEFBBC7" w14:textId="77777777" w:rsidR="003A3051" w:rsidRPr="003A3051" w:rsidRDefault="003A3051" w:rsidP="003A3051">
      <w:pPr>
        <w:keepNext/>
        <w:spacing w:before="240" w:after="60" w:line="276" w:lineRule="auto"/>
        <w:jc w:val="left"/>
        <w:outlineLvl w:val="1"/>
        <w:rPr>
          <w:rFonts w:eastAsia="Calibri" w:cs="Arial"/>
          <w:b/>
          <w:bCs/>
          <w:iCs/>
          <w:szCs w:val="28"/>
        </w:rPr>
      </w:pPr>
      <w:bookmarkStart w:id="40" w:name="_Toc213771751"/>
      <w:r w:rsidRPr="003A3051">
        <w:rPr>
          <w:rFonts w:eastAsia="Calibri" w:cs="Arial"/>
          <w:b/>
          <w:bCs/>
          <w:iCs/>
          <w:szCs w:val="28"/>
        </w:rPr>
        <w:t>T – Definitions</w:t>
      </w:r>
      <w:bookmarkEnd w:id="40"/>
      <w:r w:rsidRPr="003A3051">
        <w:rPr>
          <w:rFonts w:eastAsia="Calibri" w:cs="Arial"/>
          <w:b/>
          <w:bCs/>
          <w:iCs/>
          <w:szCs w:val="28"/>
        </w:rPr>
        <w:t> </w:t>
      </w:r>
    </w:p>
    <w:p w14:paraId="0A03B6DC" w14:textId="77777777" w:rsidR="003A3051" w:rsidRPr="003A3051" w:rsidRDefault="003A3051" w:rsidP="003A3051">
      <w:pPr>
        <w:spacing w:before="120" w:line="300" w:lineRule="auto"/>
        <w:rPr>
          <w:b/>
          <w:szCs w:val="24"/>
        </w:rPr>
      </w:pPr>
      <w:r w:rsidRPr="003A3051">
        <w:rPr>
          <w:b/>
          <w:szCs w:val="24"/>
        </w:rPr>
        <w:t>Through Interchange Transaction</w:t>
      </w:r>
    </w:p>
    <w:p w14:paraId="4B8AD4C9" w14:textId="77777777" w:rsidR="003A3051" w:rsidRPr="003A3051" w:rsidRDefault="003A3051" w:rsidP="003A3051">
      <w:pPr>
        <w:spacing w:after="0" w:line="300" w:lineRule="auto"/>
        <w:ind w:left="720"/>
        <w:rPr>
          <w:szCs w:val="24"/>
        </w:rPr>
      </w:pPr>
      <w:r w:rsidRPr="003A3051">
        <w:rPr>
          <w:szCs w:val="24"/>
        </w:rPr>
        <w:t>As defined in the Markets+ Tariff.</w:t>
      </w:r>
    </w:p>
    <w:p w14:paraId="28120C12" w14:textId="77777777" w:rsidR="003A3051" w:rsidRPr="003A3051" w:rsidRDefault="003A3051" w:rsidP="003A3051">
      <w:pPr>
        <w:keepNext/>
        <w:spacing w:before="120" w:line="300" w:lineRule="auto"/>
        <w:rPr>
          <w:b/>
          <w:bCs/>
          <w:szCs w:val="24"/>
        </w:rPr>
      </w:pPr>
      <w:r w:rsidRPr="003A3051">
        <w:rPr>
          <w:b/>
          <w:bCs/>
          <w:szCs w:val="24"/>
        </w:rPr>
        <w:t xml:space="preserve">Trading Hub </w:t>
      </w:r>
    </w:p>
    <w:p w14:paraId="5765DB57" w14:textId="77777777" w:rsidR="003A3051" w:rsidRPr="003A3051" w:rsidRDefault="003A3051" w:rsidP="003A3051">
      <w:pPr>
        <w:spacing w:before="120" w:line="300" w:lineRule="auto"/>
        <w:ind w:left="720"/>
        <w:rPr>
          <w:szCs w:val="24"/>
        </w:rPr>
      </w:pPr>
      <w:r w:rsidRPr="003A3051">
        <w:rPr>
          <w:szCs w:val="24"/>
        </w:rPr>
        <w:t>As defined in the Markets+ Tariff.</w:t>
      </w:r>
    </w:p>
    <w:p w14:paraId="799C7969" w14:textId="77777777" w:rsidR="003A3051" w:rsidRPr="003A3051" w:rsidRDefault="003A3051" w:rsidP="003A3051">
      <w:pPr>
        <w:spacing w:before="120" w:line="300" w:lineRule="auto"/>
        <w:rPr>
          <w:b/>
          <w:szCs w:val="24"/>
        </w:rPr>
      </w:pPr>
      <w:r w:rsidRPr="003A3051">
        <w:rPr>
          <w:b/>
          <w:szCs w:val="24"/>
        </w:rPr>
        <w:t>Transition State Offer</w:t>
      </w:r>
    </w:p>
    <w:p w14:paraId="02EAA510" w14:textId="77777777" w:rsidR="003A3051" w:rsidRPr="003A3051" w:rsidRDefault="003A3051" w:rsidP="003A3051">
      <w:pPr>
        <w:spacing w:line="300" w:lineRule="auto"/>
        <w:ind w:left="720"/>
        <w:rPr>
          <w:szCs w:val="24"/>
        </w:rPr>
      </w:pPr>
      <w:r w:rsidRPr="003A3051">
        <w:rPr>
          <w:szCs w:val="24"/>
        </w:rPr>
        <w:t>As defined in the Markets+ Tariff.</w:t>
      </w:r>
    </w:p>
    <w:p w14:paraId="5E89D3DC" w14:textId="77777777" w:rsidR="004A7CB8" w:rsidRPr="003A3051" w:rsidRDefault="004A7CB8" w:rsidP="004A7CB8">
      <w:pPr>
        <w:spacing w:before="120" w:line="300" w:lineRule="auto"/>
        <w:rPr>
          <w:b/>
          <w:szCs w:val="24"/>
        </w:rPr>
      </w:pPr>
      <w:r w:rsidRPr="003A3051">
        <w:rPr>
          <w:b/>
          <w:szCs w:val="24"/>
        </w:rPr>
        <w:t>Transition State Time</w:t>
      </w:r>
    </w:p>
    <w:p w14:paraId="68918293" w14:textId="77777777" w:rsidR="004A7CB8" w:rsidRPr="003A3051" w:rsidRDefault="004A7CB8" w:rsidP="004A7CB8">
      <w:pPr>
        <w:spacing w:before="120" w:line="300" w:lineRule="auto"/>
        <w:ind w:left="720"/>
        <w:rPr>
          <w:b/>
          <w:szCs w:val="24"/>
        </w:rPr>
      </w:pPr>
      <w:r w:rsidRPr="003A3051">
        <w:rPr>
          <w:szCs w:val="24"/>
        </w:rPr>
        <w:t xml:space="preserve">As defined in the </w:t>
      </w:r>
      <w:r w:rsidRPr="003A3051" w:rsidDel="00CF4E85">
        <w:rPr>
          <w:szCs w:val="24"/>
        </w:rPr>
        <w:t>Markets+</w:t>
      </w:r>
      <w:r w:rsidRPr="003A3051">
        <w:rPr>
          <w:szCs w:val="24"/>
        </w:rPr>
        <w:t xml:space="preserve"> Tariff.</w:t>
      </w:r>
    </w:p>
    <w:p w14:paraId="7ECB0A49" w14:textId="77777777" w:rsidR="003A3051" w:rsidRPr="003A3051" w:rsidRDefault="003A3051" w:rsidP="003A3051">
      <w:pPr>
        <w:spacing w:before="120" w:line="300" w:lineRule="auto"/>
        <w:rPr>
          <w:b/>
          <w:szCs w:val="24"/>
        </w:rPr>
      </w:pPr>
      <w:r w:rsidRPr="003A3051">
        <w:rPr>
          <w:b/>
          <w:szCs w:val="24"/>
        </w:rPr>
        <w:t>Transmission Constraint Shadow Price</w:t>
      </w:r>
    </w:p>
    <w:p w14:paraId="4E568A8E" w14:textId="77777777" w:rsidR="003A3051" w:rsidRPr="003A3051" w:rsidRDefault="003A3051" w:rsidP="003A3051">
      <w:pPr>
        <w:spacing w:line="300" w:lineRule="auto"/>
        <w:ind w:left="720"/>
        <w:rPr>
          <w:szCs w:val="24"/>
        </w:rPr>
      </w:pPr>
      <w:r w:rsidRPr="003A3051">
        <w:rPr>
          <w:szCs w:val="24"/>
        </w:rPr>
        <w:t>As defined in the Markets+ Tariff.</w:t>
      </w:r>
    </w:p>
    <w:p w14:paraId="690E5A0D" w14:textId="77777777" w:rsidR="003A3051" w:rsidRPr="003A3051" w:rsidRDefault="003A3051" w:rsidP="003A3051">
      <w:pPr>
        <w:spacing w:before="120" w:line="300" w:lineRule="auto"/>
        <w:rPr>
          <w:b/>
          <w:szCs w:val="24"/>
        </w:rPr>
      </w:pPr>
      <w:r w:rsidRPr="003A3051">
        <w:rPr>
          <w:b/>
          <w:szCs w:val="24"/>
        </w:rPr>
        <w:t>Transmission Operator</w:t>
      </w:r>
    </w:p>
    <w:p w14:paraId="66A19736" w14:textId="1FA7A218" w:rsidR="003A3051" w:rsidRPr="003A3051" w:rsidRDefault="003A3051" w:rsidP="003A3051">
      <w:pPr>
        <w:spacing w:line="300" w:lineRule="auto"/>
        <w:ind w:left="720"/>
        <w:rPr>
          <w:szCs w:val="24"/>
        </w:rPr>
      </w:pPr>
      <w:r w:rsidRPr="003A3051">
        <w:rPr>
          <w:szCs w:val="24"/>
        </w:rPr>
        <w:t xml:space="preserve">As defined in the </w:t>
      </w:r>
      <w:r w:rsidRPr="003A3051" w:rsidDel="00CF4E85">
        <w:rPr>
          <w:szCs w:val="24"/>
        </w:rPr>
        <w:t>Markets+</w:t>
      </w:r>
      <w:r w:rsidR="00DF594E">
        <w:rPr>
          <w:szCs w:val="24"/>
        </w:rPr>
        <w:t xml:space="preserve"> </w:t>
      </w:r>
      <w:r w:rsidRPr="003A3051" w:rsidDel="004C19F0">
        <w:rPr>
          <w:szCs w:val="24"/>
        </w:rPr>
        <w:t>Tariff</w:t>
      </w:r>
      <w:r w:rsidRPr="003A3051">
        <w:rPr>
          <w:szCs w:val="24"/>
        </w:rPr>
        <w:t>.</w:t>
      </w:r>
    </w:p>
    <w:p w14:paraId="4FF8471F" w14:textId="77777777" w:rsidR="003A3051" w:rsidRPr="003A3051" w:rsidRDefault="003A3051" w:rsidP="003A3051">
      <w:pPr>
        <w:spacing w:before="120" w:line="300" w:lineRule="auto"/>
        <w:rPr>
          <w:b/>
          <w:szCs w:val="24"/>
        </w:rPr>
      </w:pPr>
      <w:r w:rsidRPr="003A3051">
        <w:rPr>
          <w:b/>
          <w:szCs w:val="24"/>
        </w:rPr>
        <w:t>Turn-Around Ramp Rate Factor</w:t>
      </w:r>
    </w:p>
    <w:p w14:paraId="02CD5AAA" w14:textId="77777777" w:rsidR="003A3051" w:rsidRPr="003A3051" w:rsidRDefault="003A3051" w:rsidP="003A3051">
      <w:pPr>
        <w:spacing w:before="120" w:line="300" w:lineRule="auto"/>
        <w:ind w:left="720"/>
        <w:rPr>
          <w:szCs w:val="24"/>
        </w:rPr>
      </w:pPr>
      <w:r w:rsidRPr="003A3051">
        <w:rPr>
          <w:szCs w:val="24"/>
        </w:rPr>
        <w:t>A Resource Offer parameter with a value between 0.01 and 1.00, inclusive, that is used as a multiplier to limit a Resource’s Ramp-Rate-Up or Ramp-Rate-Down parameter in the RTBM.</w:t>
      </w:r>
    </w:p>
    <w:p w14:paraId="1B1BDC8A" w14:textId="77777777" w:rsidR="003A3051" w:rsidRPr="003A3051" w:rsidRDefault="003A3051" w:rsidP="003A3051">
      <w:pPr>
        <w:spacing w:before="120" w:line="300" w:lineRule="auto"/>
        <w:rPr>
          <w:b/>
          <w:szCs w:val="24"/>
        </w:rPr>
      </w:pPr>
      <w:r w:rsidRPr="003A3051">
        <w:rPr>
          <w:b/>
          <w:szCs w:val="24"/>
        </w:rPr>
        <w:t>Type 1A Energy</w:t>
      </w:r>
    </w:p>
    <w:p w14:paraId="16E85721" w14:textId="77777777" w:rsidR="003A3051" w:rsidRPr="003A3051" w:rsidRDefault="003A3051" w:rsidP="003A3051">
      <w:pPr>
        <w:spacing w:before="120" w:line="300" w:lineRule="auto"/>
        <w:ind w:left="720"/>
        <w:rPr>
          <w:b/>
          <w:szCs w:val="24"/>
        </w:rPr>
      </w:pPr>
      <w:r w:rsidRPr="003A3051">
        <w:rPr>
          <w:szCs w:val="24"/>
        </w:rPr>
        <w:t>As defined in the Markets+ Tariff.</w:t>
      </w:r>
    </w:p>
    <w:p w14:paraId="6A6351EC" w14:textId="77777777" w:rsidR="003A3051" w:rsidRPr="003A3051" w:rsidRDefault="003A3051" w:rsidP="003A3051">
      <w:pPr>
        <w:spacing w:before="120" w:line="300" w:lineRule="auto"/>
        <w:rPr>
          <w:b/>
          <w:szCs w:val="24"/>
        </w:rPr>
      </w:pPr>
      <w:r w:rsidRPr="003A3051">
        <w:rPr>
          <w:b/>
          <w:szCs w:val="24"/>
        </w:rPr>
        <w:t>Type 1B Energy</w:t>
      </w:r>
    </w:p>
    <w:p w14:paraId="7F4AA8C4" w14:textId="77777777" w:rsidR="003A3051" w:rsidRPr="003A3051" w:rsidRDefault="003A3051" w:rsidP="003A3051">
      <w:pPr>
        <w:spacing w:before="120" w:line="300" w:lineRule="auto"/>
        <w:ind w:left="720"/>
        <w:rPr>
          <w:b/>
          <w:szCs w:val="24"/>
        </w:rPr>
      </w:pPr>
      <w:r w:rsidRPr="003A3051">
        <w:rPr>
          <w:szCs w:val="24"/>
        </w:rPr>
        <w:t>As defined in the Markets+ Tariff.</w:t>
      </w:r>
    </w:p>
    <w:p w14:paraId="76CD5C80" w14:textId="76A890CB" w:rsidR="00C65EEB" w:rsidRDefault="00C65EEB" w:rsidP="00C65EEB">
      <w:pPr>
        <w:spacing w:before="120" w:line="300" w:lineRule="auto"/>
        <w:rPr>
          <w:b/>
          <w:szCs w:val="24"/>
        </w:rPr>
      </w:pPr>
      <w:r w:rsidRPr="003A3051">
        <w:rPr>
          <w:b/>
          <w:szCs w:val="24"/>
        </w:rPr>
        <w:t>Type 1B Energy</w:t>
      </w:r>
      <w:r>
        <w:rPr>
          <w:b/>
          <w:szCs w:val="24"/>
        </w:rPr>
        <w:t xml:space="preserve"> Maximum Quantity</w:t>
      </w:r>
    </w:p>
    <w:p w14:paraId="285FCB51" w14:textId="711FE46B" w:rsidR="00C65EEB" w:rsidRPr="000478AF" w:rsidRDefault="00C65EEB" w:rsidP="000478AF">
      <w:pPr>
        <w:spacing w:before="120" w:line="300" w:lineRule="auto"/>
        <w:ind w:left="720"/>
        <w:rPr>
          <w:bCs/>
          <w:szCs w:val="24"/>
        </w:rPr>
      </w:pPr>
      <w:r w:rsidRPr="000478AF">
        <w:rPr>
          <w:bCs/>
          <w:szCs w:val="24"/>
        </w:rPr>
        <w:t>The</w:t>
      </w:r>
      <w:r>
        <w:rPr>
          <w:b/>
          <w:szCs w:val="24"/>
        </w:rPr>
        <w:t xml:space="preserve"> </w:t>
      </w:r>
      <w:r w:rsidR="00915791">
        <w:rPr>
          <w:bCs/>
          <w:szCs w:val="24"/>
        </w:rPr>
        <w:t>m</w:t>
      </w:r>
      <w:r>
        <w:rPr>
          <w:bCs/>
          <w:szCs w:val="24"/>
        </w:rPr>
        <w:t>aximum quantity of Type 1B Energy associated with a Specified Source Resource that may be attributed to a GHG Pricing Zone.</w:t>
      </w:r>
    </w:p>
    <w:p w14:paraId="08BDAEAF" w14:textId="77777777" w:rsidR="002033F2" w:rsidRPr="003A3051" w:rsidRDefault="002033F2" w:rsidP="002033F2">
      <w:pPr>
        <w:spacing w:before="120" w:line="300" w:lineRule="auto"/>
        <w:rPr>
          <w:b/>
          <w:szCs w:val="24"/>
        </w:rPr>
      </w:pPr>
      <w:r w:rsidRPr="003A3051">
        <w:rPr>
          <w:b/>
          <w:szCs w:val="24"/>
        </w:rPr>
        <w:t>Type 2 Energy</w:t>
      </w:r>
    </w:p>
    <w:p w14:paraId="6FE31842" w14:textId="77777777" w:rsidR="002033F2" w:rsidRPr="003A3051" w:rsidRDefault="002033F2" w:rsidP="002033F2">
      <w:pPr>
        <w:spacing w:before="120" w:line="300" w:lineRule="auto"/>
        <w:ind w:left="720"/>
        <w:rPr>
          <w:b/>
          <w:szCs w:val="24"/>
        </w:rPr>
      </w:pPr>
      <w:r w:rsidRPr="003A3051">
        <w:rPr>
          <w:szCs w:val="24"/>
        </w:rPr>
        <w:t>As defined in the Markets+ Tariff.</w:t>
      </w:r>
    </w:p>
    <w:p w14:paraId="6A45757F" w14:textId="21FCDF1E" w:rsidR="0082276F" w:rsidRDefault="0082276F" w:rsidP="0082276F">
      <w:pPr>
        <w:spacing w:before="120" w:line="300" w:lineRule="auto"/>
        <w:rPr>
          <w:b/>
          <w:szCs w:val="24"/>
        </w:rPr>
      </w:pPr>
      <w:r w:rsidRPr="003A3051">
        <w:rPr>
          <w:b/>
          <w:szCs w:val="24"/>
        </w:rPr>
        <w:t xml:space="preserve">Type </w:t>
      </w:r>
      <w:r>
        <w:rPr>
          <w:b/>
          <w:szCs w:val="24"/>
        </w:rPr>
        <w:t>2</w:t>
      </w:r>
      <w:r w:rsidRPr="003A3051">
        <w:rPr>
          <w:b/>
          <w:szCs w:val="24"/>
        </w:rPr>
        <w:t xml:space="preserve"> Energy</w:t>
      </w:r>
      <w:r>
        <w:rPr>
          <w:b/>
          <w:szCs w:val="24"/>
        </w:rPr>
        <w:t xml:space="preserve"> Maximum Quantity</w:t>
      </w:r>
    </w:p>
    <w:p w14:paraId="05B9812D" w14:textId="6F8AE0AB" w:rsidR="0082276F" w:rsidRPr="00C34F7F" w:rsidRDefault="0082276F" w:rsidP="0082276F">
      <w:pPr>
        <w:spacing w:before="120" w:line="300" w:lineRule="auto"/>
        <w:ind w:left="720"/>
        <w:rPr>
          <w:bCs/>
          <w:szCs w:val="24"/>
        </w:rPr>
      </w:pPr>
      <w:r w:rsidRPr="00C34F7F">
        <w:rPr>
          <w:bCs/>
          <w:szCs w:val="24"/>
        </w:rPr>
        <w:t>The</w:t>
      </w:r>
      <w:r>
        <w:rPr>
          <w:b/>
          <w:szCs w:val="24"/>
        </w:rPr>
        <w:t xml:space="preserve"> </w:t>
      </w:r>
      <w:r w:rsidR="00915791">
        <w:rPr>
          <w:bCs/>
          <w:szCs w:val="24"/>
        </w:rPr>
        <w:t>m</w:t>
      </w:r>
      <w:r>
        <w:rPr>
          <w:bCs/>
          <w:szCs w:val="24"/>
        </w:rPr>
        <w:t>aximum quantity of Type 2 Energy associated with a Specified Source Resource that may be attributed to a GHG Pricing Zone.</w:t>
      </w:r>
    </w:p>
    <w:p w14:paraId="651595A4" w14:textId="4C113CBD" w:rsidR="003A3051" w:rsidRPr="003A3051" w:rsidRDefault="003A3051" w:rsidP="003A3051">
      <w:pPr>
        <w:keepNext/>
        <w:spacing w:before="240" w:after="60" w:line="276" w:lineRule="auto"/>
        <w:jc w:val="left"/>
        <w:outlineLvl w:val="1"/>
        <w:rPr>
          <w:rFonts w:eastAsia="Calibri" w:cs="Arial"/>
          <w:b/>
          <w:bCs/>
          <w:iCs/>
          <w:szCs w:val="28"/>
        </w:rPr>
      </w:pPr>
      <w:bookmarkStart w:id="41" w:name="_Toc213771752"/>
      <w:r w:rsidRPr="003A3051">
        <w:rPr>
          <w:rFonts w:eastAsia="Calibri" w:cs="Arial"/>
          <w:b/>
          <w:bCs/>
          <w:iCs/>
          <w:szCs w:val="28"/>
        </w:rPr>
        <w:t>U – Definitions</w:t>
      </w:r>
      <w:bookmarkEnd w:id="41"/>
      <w:r w:rsidRPr="003A3051">
        <w:rPr>
          <w:rFonts w:eastAsia="Calibri" w:cs="Arial"/>
          <w:b/>
          <w:bCs/>
          <w:iCs/>
          <w:szCs w:val="28"/>
        </w:rPr>
        <w:t> </w:t>
      </w:r>
    </w:p>
    <w:p w14:paraId="081AA007" w14:textId="77777777" w:rsidR="003A3051" w:rsidRPr="003A3051" w:rsidRDefault="003A3051" w:rsidP="003A3051">
      <w:pPr>
        <w:keepNext/>
        <w:keepLines/>
        <w:spacing w:before="120" w:line="300" w:lineRule="auto"/>
        <w:rPr>
          <w:b/>
          <w:szCs w:val="24"/>
        </w:rPr>
      </w:pPr>
      <w:r w:rsidRPr="003A3051">
        <w:rPr>
          <w:b/>
          <w:szCs w:val="24"/>
        </w:rPr>
        <w:t>Uncommitted Export Interchange Transaction</w:t>
      </w:r>
    </w:p>
    <w:p w14:paraId="0079F228" w14:textId="77777777" w:rsidR="003A3051" w:rsidRPr="003A3051" w:rsidRDefault="003A3051" w:rsidP="003A3051">
      <w:pPr>
        <w:keepNext/>
        <w:keepLines/>
        <w:spacing w:after="0" w:line="300" w:lineRule="auto"/>
        <w:ind w:left="720"/>
        <w:rPr>
          <w:szCs w:val="24"/>
        </w:rPr>
      </w:pPr>
      <w:r w:rsidRPr="003A3051">
        <w:rPr>
          <w:szCs w:val="24"/>
        </w:rPr>
        <w:t>As defined in the Markets+ Tariff.</w:t>
      </w:r>
    </w:p>
    <w:p w14:paraId="614B9231" w14:textId="77777777" w:rsidR="003A3051" w:rsidRPr="003A3051" w:rsidRDefault="003A3051" w:rsidP="003A3051">
      <w:pPr>
        <w:keepNext/>
        <w:keepLines/>
        <w:spacing w:before="120" w:line="300" w:lineRule="auto"/>
        <w:rPr>
          <w:b/>
          <w:szCs w:val="24"/>
        </w:rPr>
      </w:pPr>
      <w:r w:rsidRPr="003A3051">
        <w:rPr>
          <w:b/>
          <w:szCs w:val="24"/>
        </w:rPr>
        <w:t>Uncommitted Import Interchange Transaction</w:t>
      </w:r>
    </w:p>
    <w:p w14:paraId="2B343B58" w14:textId="77777777" w:rsidR="003A3051" w:rsidRPr="003A3051" w:rsidRDefault="003A3051" w:rsidP="003A3051">
      <w:pPr>
        <w:keepNext/>
        <w:keepLines/>
        <w:spacing w:after="0" w:line="300" w:lineRule="auto"/>
        <w:ind w:left="720"/>
        <w:rPr>
          <w:szCs w:val="24"/>
        </w:rPr>
      </w:pPr>
      <w:r w:rsidRPr="003A3051">
        <w:rPr>
          <w:szCs w:val="24"/>
        </w:rPr>
        <w:t>As defined in the Markets+ Tariff.</w:t>
      </w:r>
    </w:p>
    <w:p w14:paraId="2FDA8E44" w14:textId="77777777" w:rsidR="003A3051" w:rsidRPr="003A3051" w:rsidRDefault="003A3051" w:rsidP="003A3051">
      <w:pPr>
        <w:keepNext/>
        <w:keepLines/>
        <w:spacing w:before="120" w:line="300" w:lineRule="auto"/>
        <w:rPr>
          <w:b/>
          <w:szCs w:val="24"/>
        </w:rPr>
      </w:pPr>
      <w:r w:rsidRPr="003A3051">
        <w:rPr>
          <w:b/>
          <w:szCs w:val="24"/>
        </w:rPr>
        <w:t>Uninstructed Resource Deviation (URD)</w:t>
      </w:r>
    </w:p>
    <w:p w14:paraId="6E908D22" w14:textId="77777777" w:rsidR="003A3051" w:rsidRPr="003A3051" w:rsidRDefault="003A3051" w:rsidP="003A3051">
      <w:pPr>
        <w:keepNext/>
        <w:keepLines/>
        <w:spacing w:after="0" w:line="300" w:lineRule="auto"/>
        <w:ind w:left="720"/>
        <w:rPr>
          <w:szCs w:val="24"/>
        </w:rPr>
      </w:pPr>
      <w:r w:rsidRPr="003A3051">
        <w:rPr>
          <w:szCs w:val="24"/>
        </w:rPr>
        <w:t>As defined in the Markets+ Tariff.</w:t>
      </w:r>
    </w:p>
    <w:p w14:paraId="3A8347AA" w14:textId="3AC2DBB4" w:rsidR="003A3051" w:rsidRPr="003A3051" w:rsidRDefault="00DF594E" w:rsidP="003A3051">
      <w:pPr>
        <w:keepNext/>
        <w:keepLines/>
        <w:spacing w:before="120" w:line="300" w:lineRule="auto"/>
        <w:rPr>
          <w:rFonts w:ascii="Arial" w:hAnsi="Arial"/>
          <w:b/>
          <w:szCs w:val="24"/>
        </w:rPr>
      </w:pPr>
      <w:bookmarkStart w:id="42" w:name="_Toc334168599"/>
      <w:r w:rsidRPr="003A3051">
        <w:rPr>
          <w:b/>
          <w:szCs w:val="24"/>
        </w:rPr>
        <w:t>Unspecified</w:t>
      </w:r>
      <w:r w:rsidR="003A3051" w:rsidRPr="003A3051">
        <w:rPr>
          <w:b/>
          <w:szCs w:val="24"/>
        </w:rPr>
        <w:t xml:space="preserve"> GHG Adder</w:t>
      </w:r>
    </w:p>
    <w:p w14:paraId="59611767" w14:textId="77777777" w:rsidR="003A3051" w:rsidRPr="003A3051" w:rsidRDefault="003A3051" w:rsidP="003A3051">
      <w:pPr>
        <w:keepNext/>
        <w:keepLines/>
        <w:spacing w:before="120" w:line="300" w:lineRule="auto"/>
        <w:ind w:firstLine="720"/>
        <w:rPr>
          <w:rFonts w:ascii="Arial" w:hAnsi="Arial"/>
          <w:b/>
          <w:szCs w:val="24"/>
        </w:rPr>
      </w:pPr>
      <w:r w:rsidRPr="003A3051">
        <w:rPr>
          <w:szCs w:val="24"/>
        </w:rPr>
        <w:t>As defined in the Markets+ Tariff.</w:t>
      </w:r>
    </w:p>
    <w:p w14:paraId="7CCBB1AA" w14:textId="77777777" w:rsidR="003A3051" w:rsidRPr="003A3051" w:rsidRDefault="003A3051" w:rsidP="003A3051">
      <w:pPr>
        <w:keepNext/>
        <w:keepLines/>
        <w:spacing w:before="120" w:line="300" w:lineRule="auto"/>
        <w:rPr>
          <w:rFonts w:ascii="Arial" w:hAnsi="Arial"/>
          <w:b/>
          <w:szCs w:val="24"/>
        </w:rPr>
      </w:pPr>
      <w:r w:rsidRPr="003A3051">
        <w:rPr>
          <w:b/>
          <w:szCs w:val="24"/>
        </w:rPr>
        <w:t>Unspecified Source Import</w:t>
      </w:r>
    </w:p>
    <w:p w14:paraId="2D6BD280" w14:textId="77777777" w:rsidR="003A3051" w:rsidRPr="003A3051" w:rsidRDefault="003A3051" w:rsidP="003A3051">
      <w:pPr>
        <w:keepNext/>
        <w:keepLines/>
        <w:spacing w:before="120" w:line="300" w:lineRule="auto"/>
        <w:ind w:firstLine="720"/>
        <w:rPr>
          <w:rFonts w:ascii="Arial" w:hAnsi="Arial"/>
          <w:b/>
          <w:szCs w:val="24"/>
        </w:rPr>
      </w:pPr>
      <w:r w:rsidRPr="003A3051">
        <w:rPr>
          <w:szCs w:val="24"/>
        </w:rPr>
        <w:t>As defined in the Markets+ Tariff.</w:t>
      </w:r>
    </w:p>
    <w:p w14:paraId="1C774933" w14:textId="77777777" w:rsidR="003A3051" w:rsidRPr="003A3051" w:rsidRDefault="003A3051" w:rsidP="003A3051">
      <w:pPr>
        <w:keepNext/>
        <w:spacing w:before="240" w:after="60" w:line="276" w:lineRule="auto"/>
        <w:jc w:val="left"/>
        <w:outlineLvl w:val="1"/>
        <w:rPr>
          <w:rFonts w:eastAsia="Calibri" w:cs="Arial"/>
          <w:b/>
          <w:bCs/>
          <w:iCs/>
          <w:szCs w:val="28"/>
        </w:rPr>
      </w:pPr>
      <w:bookmarkStart w:id="43" w:name="_Toc213771753"/>
      <w:bookmarkEnd w:id="42"/>
      <w:r w:rsidRPr="003A3051">
        <w:rPr>
          <w:rFonts w:eastAsia="Calibri" w:cs="Arial"/>
          <w:b/>
          <w:bCs/>
          <w:iCs/>
          <w:szCs w:val="28"/>
        </w:rPr>
        <w:t>V – Definitions</w:t>
      </w:r>
      <w:bookmarkEnd w:id="43"/>
      <w:r w:rsidRPr="003A3051">
        <w:rPr>
          <w:rFonts w:eastAsia="Calibri" w:cs="Arial"/>
          <w:b/>
          <w:bCs/>
          <w:iCs/>
          <w:szCs w:val="28"/>
        </w:rPr>
        <w:t> </w:t>
      </w:r>
    </w:p>
    <w:p w14:paraId="273FF50F" w14:textId="27D32392" w:rsidR="003A3051" w:rsidRPr="003A3051" w:rsidRDefault="003A3051" w:rsidP="003A3051">
      <w:pPr>
        <w:spacing w:before="120" w:line="300" w:lineRule="auto"/>
        <w:jc w:val="left"/>
        <w:rPr>
          <w:b/>
          <w:szCs w:val="24"/>
        </w:rPr>
      </w:pPr>
      <w:r w:rsidRPr="003A3051">
        <w:rPr>
          <w:b/>
          <w:szCs w:val="24"/>
        </w:rPr>
        <w:t>Variable Energy Resource</w:t>
      </w:r>
      <w:r w:rsidR="009A3334">
        <w:rPr>
          <w:b/>
          <w:szCs w:val="24"/>
        </w:rPr>
        <w:t xml:space="preserve"> (VER)</w:t>
      </w:r>
    </w:p>
    <w:p w14:paraId="5BA8F785" w14:textId="77777777" w:rsidR="003A3051" w:rsidRPr="003A3051" w:rsidRDefault="003A3051" w:rsidP="003A3051">
      <w:pPr>
        <w:spacing w:before="120" w:line="300" w:lineRule="auto"/>
        <w:ind w:left="720"/>
        <w:rPr>
          <w:szCs w:val="24"/>
        </w:rPr>
      </w:pPr>
      <w:r w:rsidRPr="003A3051">
        <w:rPr>
          <w:szCs w:val="24"/>
        </w:rPr>
        <w:t xml:space="preserve">As defined in the Markets+ Tariff.  </w:t>
      </w:r>
    </w:p>
    <w:p w14:paraId="7C2C968F" w14:textId="60735304" w:rsidR="003A3051" w:rsidRPr="003A3051" w:rsidRDefault="003A3051" w:rsidP="003A3051">
      <w:pPr>
        <w:spacing w:before="120" w:line="300" w:lineRule="auto"/>
        <w:jc w:val="left"/>
        <w:rPr>
          <w:b/>
          <w:szCs w:val="24"/>
        </w:rPr>
      </w:pPr>
      <w:r w:rsidRPr="003A3051">
        <w:rPr>
          <w:b/>
          <w:szCs w:val="24"/>
        </w:rPr>
        <w:t>Violation Relaxation Limit</w:t>
      </w:r>
      <w:r w:rsidR="00DF594E">
        <w:rPr>
          <w:b/>
          <w:szCs w:val="24"/>
        </w:rPr>
        <w:t xml:space="preserve"> </w:t>
      </w:r>
      <w:r w:rsidRPr="003A3051">
        <w:rPr>
          <w:b/>
          <w:szCs w:val="24"/>
        </w:rPr>
        <w:t>(VRL)</w:t>
      </w:r>
    </w:p>
    <w:p w14:paraId="5598E5B5" w14:textId="77777777" w:rsidR="003A3051" w:rsidRPr="003A3051" w:rsidRDefault="003A3051" w:rsidP="003A3051">
      <w:pPr>
        <w:spacing w:before="120" w:line="300" w:lineRule="auto"/>
        <w:ind w:left="720"/>
        <w:rPr>
          <w:szCs w:val="24"/>
        </w:rPr>
      </w:pPr>
      <w:r w:rsidRPr="003A3051">
        <w:rPr>
          <w:szCs w:val="24"/>
        </w:rPr>
        <w:t xml:space="preserve">As defined in the Markets+ Tariff.  </w:t>
      </w:r>
    </w:p>
    <w:p w14:paraId="65B13109" w14:textId="77777777" w:rsidR="003A3051" w:rsidRPr="003A3051" w:rsidRDefault="003A3051" w:rsidP="003A3051">
      <w:pPr>
        <w:spacing w:before="120" w:line="300" w:lineRule="auto"/>
        <w:jc w:val="left"/>
        <w:rPr>
          <w:b/>
          <w:szCs w:val="24"/>
        </w:rPr>
      </w:pPr>
      <w:r w:rsidRPr="003A3051">
        <w:rPr>
          <w:b/>
          <w:szCs w:val="24"/>
        </w:rPr>
        <w:t>Virtual Energy Bid</w:t>
      </w:r>
    </w:p>
    <w:p w14:paraId="59B30FC4" w14:textId="77777777" w:rsidR="003A3051" w:rsidRPr="003A3051" w:rsidRDefault="003A3051" w:rsidP="003A3051">
      <w:pPr>
        <w:spacing w:after="0" w:line="300" w:lineRule="auto"/>
        <w:ind w:left="720"/>
        <w:rPr>
          <w:szCs w:val="24"/>
        </w:rPr>
      </w:pPr>
      <w:r w:rsidRPr="003A3051">
        <w:rPr>
          <w:szCs w:val="24"/>
        </w:rPr>
        <w:t>As defined in the Markets+ Tariff.</w:t>
      </w:r>
    </w:p>
    <w:p w14:paraId="4570C8D1" w14:textId="77777777" w:rsidR="003A3051" w:rsidRPr="003A3051" w:rsidRDefault="003A3051" w:rsidP="003A3051">
      <w:pPr>
        <w:spacing w:before="120" w:line="300" w:lineRule="auto"/>
        <w:jc w:val="left"/>
        <w:rPr>
          <w:b/>
          <w:szCs w:val="24"/>
        </w:rPr>
      </w:pPr>
      <w:r w:rsidRPr="003A3051">
        <w:rPr>
          <w:b/>
          <w:szCs w:val="24"/>
        </w:rPr>
        <w:t>Virtual Energy Bid Curve</w:t>
      </w:r>
    </w:p>
    <w:p w14:paraId="12D4C203" w14:textId="060B73B4" w:rsidR="003A3051" w:rsidRPr="003A3051" w:rsidRDefault="003A3051" w:rsidP="003A3051">
      <w:pPr>
        <w:spacing w:before="120" w:line="300" w:lineRule="auto"/>
        <w:ind w:left="720"/>
        <w:jc w:val="left"/>
        <w:rPr>
          <w:rFonts w:eastAsia="Aptos" w:cs="Arial"/>
          <w:kern w:val="2"/>
          <w:sz w:val="22"/>
          <w:szCs w:val="24"/>
          <w14:ligatures w14:val="standardContextual"/>
        </w:rPr>
      </w:pPr>
      <w:r w:rsidRPr="003A3051">
        <w:rPr>
          <w:szCs w:val="24"/>
        </w:rPr>
        <w:t>A set of price/quantity pairs that consists of Megawatt and dollars per Megawatt hour with up to ten (10) price/quantity pairs</w:t>
      </w:r>
      <w:r w:rsidR="00455124">
        <w:rPr>
          <w:szCs w:val="24"/>
        </w:rPr>
        <w:t>.</w:t>
      </w:r>
      <w:r w:rsidRPr="003A3051">
        <w:rPr>
          <w:b/>
          <w:szCs w:val="24"/>
        </w:rPr>
        <w:t xml:space="preserve"> </w:t>
      </w:r>
    </w:p>
    <w:p w14:paraId="07239687" w14:textId="77777777" w:rsidR="003A3051" w:rsidRPr="003A3051" w:rsidRDefault="003A3051" w:rsidP="003A3051">
      <w:pPr>
        <w:spacing w:before="120" w:line="300" w:lineRule="auto"/>
        <w:jc w:val="left"/>
        <w:rPr>
          <w:b/>
          <w:szCs w:val="24"/>
        </w:rPr>
      </w:pPr>
      <w:r w:rsidRPr="003A3051">
        <w:rPr>
          <w:b/>
          <w:szCs w:val="24"/>
        </w:rPr>
        <w:t>Virtual Energy Offer</w:t>
      </w:r>
    </w:p>
    <w:p w14:paraId="7B527DAD" w14:textId="77777777" w:rsidR="003A3051" w:rsidRPr="003A3051" w:rsidRDefault="003A3051" w:rsidP="003A3051">
      <w:pPr>
        <w:spacing w:after="0" w:line="300" w:lineRule="auto"/>
        <w:ind w:left="720"/>
        <w:rPr>
          <w:rFonts w:ascii="Arial" w:eastAsia="Aptos" w:hAnsi="Arial"/>
          <w:b/>
          <w:kern w:val="2"/>
          <w:sz w:val="22"/>
          <w14:ligatures w14:val="standardContextual"/>
        </w:rPr>
      </w:pPr>
      <w:r w:rsidRPr="003A3051">
        <w:rPr>
          <w:szCs w:val="24"/>
        </w:rPr>
        <w:t>As defined in the Markets+ Tariff.</w:t>
      </w:r>
      <w:r w:rsidRPr="003A3051">
        <w:rPr>
          <w:rFonts w:ascii="Arial" w:hAnsi="Arial"/>
          <w:b/>
        </w:rPr>
        <w:t xml:space="preserve">  </w:t>
      </w:r>
    </w:p>
    <w:p w14:paraId="26AC3E60" w14:textId="5C6A7498" w:rsidR="003A3051" w:rsidRPr="003A3051" w:rsidRDefault="003A3051" w:rsidP="003A3051">
      <w:pPr>
        <w:spacing w:before="120" w:line="300" w:lineRule="auto"/>
        <w:jc w:val="left"/>
        <w:rPr>
          <w:b/>
          <w:szCs w:val="24"/>
        </w:rPr>
      </w:pPr>
      <w:r w:rsidRPr="003A3051">
        <w:rPr>
          <w:b/>
          <w:szCs w:val="24"/>
        </w:rPr>
        <w:t>Virtual Energy Offer Curve</w:t>
      </w:r>
    </w:p>
    <w:p w14:paraId="38E1AB56" w14:textId="77777777" w:rsidR="003A3051" w:rsidRPr="003A3051" w:rsidRDefault="003A3051" w:rsidP="003A3051">
      <w:pPr>
        <w:spacing w:after="0" w:line="300" w:lineRule="auto"/>
        <w:ind w:left="720"/>
        <w:rPr>
          <w:szCs w:val="24"/>
        </w:rPr>
      </w:pPr>
      <w:r w:rsidRPr="003A3051">
        <w:rPr>
          <w:szCs w:val="26"/>
        </w:rPr>
        <w:t>A set of price/quantity pairs that consists of Megawatt and dollars per Megawatt hour with up to ten (10) price/quantity pairs</w:t>
      </w:r>
      <w:r w:rsidRPr="003A3051">
        <w:rPr>
          <w:szCs w:val="24"/>
        </w:rPr>
        <w:t>.</w:t>
      </w:r>
    </w:p>
    <w:p w14:paraId="4476E081" w14:textId="77777777" w:rsidR="003A3051" w:rsidRPr="003A3051" w:rsidRDefault="003A3051" w:rsidP="003A3051">
      <w:pPr>
        <w:spacing w:before="120" w:line="300" w:lineRule="auto"/>
        <w:jc w:val="left"/>
        <w:rPr>
          <w:b/>
          <w:szCs w:val="24"/>
        </w:rPr>
      </w:pPr>
      <w:r w:rsidRPr="003A3051">
        <w:rPr>
          <w:b/>
          <w:szCs w:val="24"/>
        </w:rPr>
        <w:t>Virtual Transactions</w:t>
      </w:r>
    </w:p>
    <w:p w14:paraId="1F8F7BAC" w14:textId="77777777" w:rsidR="003A3051" w:rsidRPr="003A3051" w:rsidRDefault="003A3051" w:rsidP="003A3051">
      <w:pPr>
        <w:spacing w:after="0" w:line="300" w:lineRule="auto"/>
        <w:ind w:left="720"/>
        <w:rPr>
          <w:rFonts w:ascii="Arial" w:hAnsi="Arial"/>
          <w:b/>
        </w:rPr>
      </w:pPr>
      <w:r w:rsidRPr="003A3051">
        <w:rPr>
          <w:szCs w:val="24"/>
        </w:rPr>
        <w:t>As defined in the Markets+ Tariff.</w:t>
      </w:r>
      <w:r w:rsidRPr="003A3051">
        <w:rPr>
          <w:rFonts w:ascii="Arial" w:hAnsi="Arial"/>
          <w:b/>
        </w:rPr>
        <w:t xml:space="preserve">  </w:t>
      </w:r>
    </w:p>
    <w:p w14:paraId="5E8841E9" w14:textId="77777777" w:rsidR="003A3051" w:rsidRPr="003A3051" w:rsidRDefault="003A3051" w:rsidP="001453E8">
      <w:pPr>
        <w:keepNext/>
        <w:spacing w:before="120" w:line="276" w:lineRule="auto"/>
        <w:jc w:val="left"/>
        <w:outlineLvl w:val="1"/>
        <w:rPr>
          <w:rFonts w:eastAsia="Calibri" w:cs="Arial"/>
          <w:b/>
          <w:bCs/>
          <w:iCs/>
          <w:szCs w:val="28"/>
        </w:rPr>
      </w:pPr>
      <w:bookmarkStart w:id="44" w:name="_Toc213771754"/>
      <w:r w:rsidRPr="003A3051">
        <w:rPr>
          <w:rFonts w:eastAsia="Calibri" w:cs="Arial"/>
          <w:b/>
          <w:bCs/>
          <w:iCs/>
          <w:szCs w:val="28"/>
        </w:rPr>
        <w:t>W – Definitions</w:t>
      </w:r>
      <w:bookmarkEnd w:id="44"/>
      <w:r w:rsidRPr="003A3051">
        <w:rPr>
          <w:rFonts w:eastAsia="Calibri" w:cs="Arial"/>
          <w:b/>
          <w:bCs/>
          <w:iCs/>
          <w:szCs w:val="28"/>
        </w:rPr>
        <w:t> </w:t>
      </w:r>
    </w:p>
    <w:p w14:paraId="3944AC36" w14:textId="215BBDEF" w:rsidR="00C246D8" w:rsidRPr="00876687" w:rsidRDefault="00C246D8" w:rsidP="001453E8">
      <w:pPr>
        <w:pStyle w:val="Normal11"/>
        <w:spacing w:before="120" w:after="120" w:line="300" w:lineRule="auto"/>
        <w:rPr>
          <w:b/>
        </w:rPr>
      </w:pPr>
      <w:r w:rsidRPr="002C088B">
        <w:rPr>
          <w:b/>
        </w:rPr>
        <w:t>WRAP Operations Program Hourly Holdback</w:t>
      </w:r>
    </w:p>
    <w:p w14:paraId="1A8F6C43" w14:textId="6AC22886" w:rsidR="00C246D8" w:rsidRDefault="00C246D8" w:rsidP="001453E8">
      <w:pPr>
        <w:pStyle w:val="Normal11"/>
        <w:spacing w:before="120" w:after="120" w:line="300" w:lineRule="auto"/>
        <w:ind w:left="810"/>
        <w:rPr>
          <w:szCs w:val="26"/>
        </w:rPr>
      </w:pPr>
      <w:r w:rsidRPr="00876687">
        <w:rPr>
          <w:szCs w:val="26"/>
        </w:rPr>
        <w:t xml:space="preserve">A MW quantity, as determined on a </w:t>
      </w:r>
      <w:r w:rsidR="00E239A7">
        <w:rPr>
          <w:szCs w:val="26"/>
        </w:rPr>
        <w:t>p</w:t>
      </w:r>
      <w:r w:rsidRPr="00876687">
        <w:rPr>
          <w:szCs w:val="26"/>
        </w:rPr>
        <w:t xml:space="preserve">reschedule </w:t>
      </w:r>
      <w:r w:rsidR="00E239A7">
        <w:rPr>
          <w:szCs w:val="26"/>
        </w:rPr>
        <w:t>d</w:t>
      </w:r>
      <w:r w:rsidRPr="00876687">
        <w:rPr>
          <w:szCs w:val="26"/>
        </w:rPr>
        <w:t>ay, that has been issued by the WRAP and is capable of converting into an Energy Deployment on a given hour of the succeeding Operating Day.  A Market Participant with an obligation to provide a WRAP holdback will include the MW value as a positive value to represent an increase to a Market Participant’s Must Offer Obligation.  A Market Participant receiving a WRAP holdback will include the MW value as a negative value to represent a decrease to a Market Participant’s Must Offer Obligation.</w:t>
      </w:r>
    </w:p>
    <w:p w14:paraId="76A9E9F4" w14:textId="7A38783E" w:rsidR="00876687" w:rsidRPr="00876687" w:rsidRDefault="00876687" w:rsidP="001453E8">
      <w:pPr>
        <w:pStyle w:val="Normal11"/>
        <w:spacing w:before="120" w:after="120" w:line="300" w:lineRule="auto"/>
        <w:rPr>
          <w:b/>
        </w:rPr>
      </w:pPr>
      <w:r w:rsidRPr="002C088B">
        <w:rPr>
          <w:b/>
        </w:rPr>
        <w:t>WRAP Operations Program Hourly Sharing Result</w:t>
      </w:r>
    </w:p>
    <w:p w14:paraId="190984B9" w14:textId="5FE26A42" w:rsidR="00C246D8" w:rsidRPr="003A3051" w:rsidRDefault="00876687" w:rsidP="001453E8">
      <w:pPr>
        <w:pStyle w:val="Normal11"/>
        <w:spacing w:before="120" w:after="120" w:line="300" w:lineRule="auto"/>
        <w:ind w:left="810"/>
        <w:rPr>
          <w:rFonts w:eastAsia="Calibri" w:cs="Arial"/>
          <w:szCs w:val="28"/>
        </w:rPr>
      </w:pPr>
      <w:r w:rsidRPr="00876687">
        <w:rPr>
          <w:szCs w:val="26"/>
        </w:rPr>
        <w:t xml:space="preserve">The result of WRAP sharing calculation in MW Qty, for an entity in a given hour of a succeeding Operating Day as determined on a </w:t>
      </w:r>
      <w:r w:rsidR="00E239A7">
        <w:rPr>
          <w:szCs w:val="26"/>
        </w:rPr>
        <w:t>p</w:t>
      </w:r>
      <w:r w:rsidRPr="00876687">
        <w:rPr>
          <w:szCs w:val="26"/>
        </w:rPr>
        <w:t xml:space="preserve">reschedule </w:t>
      </w:r>
      <w:r w:rsidR="00E239A7">
        <w:rPr>
          <w:szCs w:val="26"/>
        </w:rPr>
        <w:t>d</w:t>
      </w:r>
      <w:r w:rsidRPr="00876687">
        <w:rPr>
          <w:szCs w:val="26"/>
        </w:rPr>
        <w:t>ay.  If an entity’s WRAP Operations Program Sharing Result is a positive quantity, this indicates a surplus and if an entity’s WRAP Operations Program Sharing Result is negative, this indicates a deficit. If the Sharing Result is equal to zero (0) MW, this indicates a neutral position that is neither a surplus nor a deficit. </w:t>
      </w:r>
    </w:p>
    <w:p w14:paraId="2C556BFA" w14:textId="77777777" w:rsidR="003A3051" w:rsidRPr="003A3051" w:rsidRDefault="003A3051" w:rsidP="003A3051">
      <w:pPr>
        <w:keepNext/>
        <w:spacing w:before="240" w:after="60" w:line="276" w:lineRule="auto"/>
        <w:jc w:val="left"/>
        <w:outlineLvl w:val="1"/>
        <w:rPr>
          <w:rFonts w:eastAsia="Calibri" w:cs="Arial"/>
          <w:b/>
          <w:bCs/>
          <w:iCs/>
          <w:szCs w:val="28"/>
        </w:rPr>
      </w:pPr>
      <w:bookmarkStart w:id="45" w:name="_Toc213771755"/>
      <w:r w:rsidRPr="003A3051">
        <w:rPr>
          <w:rFonts w:eastAsia="Calibri" w:cs="Arial"/>
          <w:b/>
          <w:bCs/>
          <w:iCs/>
          <w:szCs w:val="28"/>
        </w:rPr>
        <w:t>X – Definitions</w:t>
      </w:r>
      <w:bookmarkEnd w:id="45"/>
      <w:r w:rsidRPr="003A3051">
        <w:rPr>
          <w:rFonts w:eastAsia="Calibri" w:cs="Arial"/>
          <w:b/>
          <w:bCs/>
          <w:iCs/>
          <w:szCs w:val="28"/>
        </w:rPr>
        <w:t> </w:t>
      </w:r>
    </w:p>
    <w:p w14:paraId="641C119C" w14:textId="77777777" w:rsidR="003A3051" w:rsidRPr="003A3051" w:rsidRDefault="003A3051" w:rsidP="003A3051">
      <w:pPr>
        <w:keepNext/>
        <w:spacing w:before="240" w:after="60" w:line="276" w:lineRule="auto"/>
        <w:jc w:val="left"/>
        <w:outlineLvl w:val="1"/>
        <w:rPr>
          <w:rFonts w:eastAsia="Calibri" w:cs="Arial"/>
          <w:b/>
          <w:bCs/>
          <w:iCs/>
          <w:szCs w:val="28"/>
        </w:rPr>
      </w:pPr>
      <w:bookmarkStart w:id="46" w:name="_Toc213771756"/>
      <w:r w:rsidRPr="003A3051">
        <w:rPr>
          <w:rFonts w:eastAsia="Calibri" w:cs="Arial"/>
          <w:b/>
          <w:bCs/>
          <w:iCs/>
          <w:szCs w:val="28"/>
        </w:rPr>
        <w:t>Y – Definitions</w:t>
      </w:r>
      <w:bookmarkEnd w:id="46"/>
      <w:r w:rsidRPr="003A3051">
        <w:rPr>
          <w:rFonts w:eastAsia="Calibri" w:cs="Arial"/>
          <w:b/>
          <w:bCs/>
          <w:iCs/>
          <w:szCs w:val="28"/>
        </w:rPr>
        <w:t> </w:t>
      </w:r>
    </w:p>
    <w:p w14:paraId="23DC8BEE" w14:textId="47FE31ED" w:rsidR="009D5337" w:rsidRDefault="003A3051" w:rsidP="003A3051">
      <w:pPr>
        <w:keepNext/>
        <w:spacing w:before="240" w:after="60" w:line="276" w:lineRule="auto"/>
        <w:jc w:val="left"/>
        <w:outlineLvl w:val="1"/>
        <w:rPr>
          <w:rFonts w:eastAsia="Calibri" w:cs="Arial"/>
          <w:b/>
          <w:bCs/>
          <w:iCs/>
          <w:szCs w:val="28"/>
        </w:rPr>
      </w:pPr>
      <w:bookmarkStart w:id="47" w:name="_Toc213771757"/>
      <w:r w:rsidRPr="003A3051">
        <w:rPr>
          <w:rFonts w:eastAsia="Calibri" w:cs="Arial"/>
          <w:b/>
          <w:bCs/>
          <w:iCs/>
          <w:szCs w:val="28"/>
        </w:rPr>
        <w:t>Z – Definitions</w:t>
      </w:r>
      <w:bookmarkEnd w:id="47"/>
      <w:r w:rsidRPr="003A3051">
        <w:rPr>
          <w:rFonts w:eastAsia="Calibri" w:cs="Arial"/>
          <w:b/>
          <w:bCs/>
          <w:iCs/>
          <w:szCs w:val="28"/>
        </w:rPr>
        <w:t> </w:t>
      </w:r>
    </w:p>
    <w:p w14:paraId="7DCE3101" w14:textId="77777777" w:rsidR="009D5337" w:rsidRDefault="009D5337">
      <w:pPr>
        <w:spacing w:after="0"/>
        <w:jc w:val="left"/>
        <w:rPr>
          <w:rFonts w:eastAsia="Calibri" w:cs="Arial"/>
          <w:b/>
          <w:bCs/>
          <w:iCs/>
          <w:szCs w:val="28"/>
        </w:rPr>
      </w:pPr>
      <w:r>
        <w:rPr>
          <w:rFonts w:eastAsia="Calibri" w:cs="Arial"/>
          <w:b/>
          <w:bCs/>
          <w:iCs/>
          <w:szCs w:val="28"/>
        </w:rPr>
        <w:br w:type="page"/>
      </w:r>
    </w:p>
    <w:p w14:paraId="34ED3809" w14:textId="27621C8F" w:rsidR="004046DB" w:rsidRPr="004046DB" w:rsidRDefault="004046DB" w:rsidP="00430866">
      <w:pPr>
        <w:pStyle w:val="Heading1"/>
      </w:pPr>
      <w:bookmarkStart w:id="48" w:name="_Toc212633234"/>
      <w:bookmarkStart w:id="49" w:name="_Toc212633915"/>
      <w:bookmarkStart w:id="50" w:name="_Toc213746293"/>
      <w:bookmarkStart w:id="51" w:name="_Toc213771758"/>
      <w:bookmarkStart w:id="52" w:name="_Toc213771759"/>
      <w:bookmarkEnd w:id="48"/>
      <w:bookmarkEnd w:id="49"/>
      <w:bookmarkEnd w:id="50"/>
      <w:bookmarkEnd w:id="51"/>
      <w:r w:rsidRPr="004046DB">
        <w:t>Introduction</w:t>
      </w:r>
      <w:bookmarkEnd w:id="52"/>
    </w:p>
    <w:p w14:paraId="0B8B8F13" w14:textId="364B18CA" w:rsidR="004046DB" w:rsidRPr="004046DB" w:rsidRDefault="004046DB" w:rsidP="004046DB">
      <w:pPr>
        <w:tabs>
          <w:tab w:val="left" w:pos="5850"/>
        </w:tabs>
        <w:spacing w:line="300" w:lineRule="auto"/>
        <w:rPr>
          <w:szCs w:val="24"/>
        </w:rPr>
      </w:pPr>
      <w:bookmarkStart w:id="53" w:name="_Toc157498502"/>
      <w:bookmarkStart w:id="54" w:name="_Toc164744728"/>
      <w:bookmarkStart w:id="55" w:name="_Toc164747549"/>
      <w:r w:rsidRPr="004046DB">
        <w:rPr>
          <w:szCs w:val="24"/>
        </w:rPr>
        <w:t>The Markets+ Protocols developed by the Market Operator provide background information, guidelines, business rules, and processes for the operation and administration of Markets+ and the Reliability Unit Commitment processes, including market settlements, billing, and accounting requirements.</w:t>
      </w:r>
    </w:p>
    <w:p w14:paraId="03FC8005" w14:textId="5CC1D756" w:rsidR="004046DB" w:rsidRPr="004046DB" w:rsidRDefault="004046DB" w:rsidP="00C20DF9">
      <w:pPr>
        <w:pStyle w:val="Heading2"/>
      </w:pPr>
      <w:bookmarkStart w:id="56" w:name="_Toc134796462"/>
      <w:bookmarkStart w:id="57" w:name="_Toc134798757"/>
      <w:bookmarkStart w:id="58" w:name="_Toc145059165"/>
      <w:bookmarkStart w:id="59" w:name="_Toc145062568"/>
      <w:bookmarkStart w:id="60" w:name="_Toc145067180"/>
      <w:bookmarkStart w:id="61" w:name="_Toc146627493"/>
      <w:bookmarkStart w:id="62" w:name="_Toc146629358"/>
      <w:bookmarkStart w:id="63" w:name="_Toc146631220"/>
      <w:bookmarkStart w:id="64" w:name="_Toc146633087"/>
      <w:bookmarkStart w:id="65" w:name="_Toc146630099"/>
      <w:bookmarkStart w:id="66" w:name="_Toc146792984"/>
      <w:bookmarkStart w:id="67" w:name="_Toc146794680"/>
      <w:bookmarkStart w:id="68" w:name="_Toc146796375"/>
      <w:bookmarkStart w:id="69" w:name="_Toc146798070"/>
      <w:bookmarkStart w:id="70" w:name="_Toc146800682"/>
      <w:bookmarkStart w:id="71" w:name="_Toc146803317"/>
      <w:bookmarkStart w:id="72" w:name="_Toc146805021"/>
      <w:bookmarkStart w:id="73" w:name="_Toc146806725"/>
      <w:bookmarkStart w:id="74" w:name="_Toc134796463"/>
      <w:bookmarkStart w:id="75" w:name="_Toc134798758"/>
      <w:bookmarkStart w:id="76" w:name="_Toc145059166"/>
      <w:bookmarkStart w:id="77" w:name="_Toc145062569"/>
      <w:bookmarkStart w:id="78" w:name="_Toc145067181"/>
      <w:bookmarkStart w:id="79" w:name="_Toc146627494"/>
      <w:bookmarkStart w:id="80" w:name="_Toc146629359"/>
      <w:bookmarkStart w:id="81" w:name="_Toc146631221"/>
      <w:bookmarkStart w:id="82" w:name="_Toc146633088"/>
      <w:bookmarkStart w:id="83" w:name="_Toc146630100"/>
      <w:bookmarkStart w:id="84" w:name="_Toc146792985"/>
      <w:bookmarkStart w:id="85" w:name="_Toc146794681"/>
      <w:bookmarkStart w:id="86" w:name="_Toc146796376"/>
      <w:bookmarkStart w:id="87" w:name="_Toc146798071"/>
      <w:bookmarkStart w:id="88" w:name="_Toc146800683"/>
      <w:bookmarkStart w:id="89" w:name="_Toc146803318"/>
      <w:bookmarkStart w:id="90" w:name="_Toc146805022"/>
      <w:bookmarkStart w:id="91" w:name="_Toc146806726"/>
      <w:bookmarkStart w:id="92" w:name="_Toc134796464"/>
      <w:bookmarkStart w:id="93" w:name="_Toc134798759"/>
      <w:bookmarkStart w:id="94" w:name="_Toc145059167"/>
      <w:bookmarkStart w:id="95" w:name="_Toc145062570"/>
      <w:bookmarkStart w:id="96" w:name="_Toc145067182"/>
      <w:bookmarkStart w:id="97" w:name="_Toc146627495"/>
      <w:bookmarkStart w:id="98" w:name="_Toc146629360"/>
      <w:bookmarkStart w:id="99" w:name="_Toc146631222"/>
      <w:bookmarkStart w:id="100" w:name="_Toc146633089"/>
      <w:bookmarkStart w:id="101" w:name="_Toc146630101"/>
      <w:bookmarkStart w:id="102" w:name="_Toc146792986"/>
      <w:bookmarkStart w:id="103" w:name="_Toc146794682"/>
      <w:bookmarkStart w:id="104" w:name="_Toc146796377"/>
      <w:bookmarkStart w:id="105" w:name="_Toc146798072"/>
      <w:bookmarkStart w:id="106" w:name="_Toc146800684"/>
      <w:bookmarkStart w:id="107" w:name="_Toc146803319"/>
      <w:bookmarkStart w:id="108" w:name="_Toc146805023"/>
      <w:bookmarkStart w:id="109" w:name="_Toc146806727"/>
      <w:bookmarkStart w:id="110" w:name="_Toc134796465"/>
      <w:bookmarkStart w:id="111" w:name="_Toc134798760"/>
      <w:bookmarkStart w:id="112" w:name="_Toc145059168"/>
      <w:bookmarkStart w:id="113" w:name="_Toc145062571"/>
      <w:bookmarkStart w:id="114" w:name="_Toc145067183"/>
      <w:bookmarkStart w:id="115" w:name="_Toc146627496"/>
      <w:bookmarkStart w:id="116" w:name="_Toc146629361"/>
      <w:bookmarkStart w:id="117" w:name="_Toc146631223"/>
      <w:bookmarkStart w:id="118" w:name="_Toc146633090"/>
      <w:bookmarkStart w:id="119" w:name="_Toc146630102"/>
      <w:bookmarkStart w:id="120" w:name="_Toc146792987"/>
      <w:bookmarkStart w:id="121" w:name="_Toc146794683"/>
      <w:bookmarkStart w:id="122" w:name="_Toc146796378"/>
      <w:bookmarkStart w:id="123" w:name="_Toc146798073"/>
      <w:bookmarkStart w:id="124" w:name="_Toc146800685"/>
      <w:bookmarkStart w:id="125" w:name="_Toc146803320"/>
      <w:bookmarkStart w:id="126" w:name="_Toc146805024"/>
      <w:bookmarkStart w:id="127" w:name="_Toc146806728"/>
      <w:bookmarkStart w:id="128" w:name="_Toc134796466"/>
      <w:bookmarkStart w:id="129" w:name="_Toc134798761"/>
      <w:bookmarkStart w:id="130" w:name="_Toc145059169"/>
      <w:bookmarkStart w:id="131" w:name="_Toc145062572"/>
      <w:bookmarkStart w:id="132" w:name="_Toc145067184"/>
      <w:bookmarkStart w:id="133" w:name="_Toc146627497"/>
      <w:bookmarkStart w:id="134" w:name="_Toc146629362"/>
      <w:bookmarkStart w:id="135" w:name="_Toc146631224"/>
      <w:bookmarkStart w:id="136" w:name="_Toc146633091"/>
      <w:bookmarkStart w:id="137" w:name="_Toc146630103"/>
      <w:bookmarkStart w:id="138" w:name="_Toc146792988"/>
      <w:bookmarkStart w:id="139" w:name="_Toc146794684"/>
      <w:bookmarkStart w:id="140" w:name="_Toc146796379"/>
      <w:bookmarkStart w:id="141" w:name="_Toc146798074"/>
      <w:bookmarkStart w:id="142" w:name="_Toc146800686"/>
      <w:bookmarkStart w:id="143" w:name="_Toc146803321"/>
      <w:bookmarkStart w:id="144" w:name="_Toc146805025"/>
      <w:bookmarkStart w:id="145" w:name="_Toc146806729"/>
      <w:bookmarkStart w:id="146" w:name="_Toc21377176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046DB">
        <w:t>Related Documents and Training</w:t>
      </w:r>
      <w:bookmarkEnd w:id="146"/>
      <w:r w:rsidRPr="004046DB">
        <w:t xml:space="preserve"> </w:t>
      </w:r>
      <w:bookmarkEnd w:id="53"/>
      <w:bookmarkEnd w:id="54"/>
      <w:bookmarkEnd w:id="55"/>
    </w:p>
    <w:p w14:paraId="08C7ECD1" w14:textId="6796F0D5" w:rsidR="00430866" w:rsidRDefault="004046DB" w:rsidP="004046DB">
      <w:pPr>
        <w:tabs>
          <w:tab w:val="left" w:pos="5850"/>
        </w:tabs>
        <w:spacing w:line="300" w:lineRule="auto"/>
      </w:pPr>
      <w:bookmarkStart w:id="147" w:name="_Toc157498558"/>
      <w:bookmarkEnd w:id="147"/>
      <w:r w:rsidRPr="004046DB">
        <w:t>Additional technical documents for interfacing with Markets+ are located on</w:t>
      </w:r>
      <w:r w:rsidR="000104D6">
        <w:t xml:space="preserve"> the Markets+ Change User Forum page on the</w:t>
      </w:r>
      <w:r w:rsidRPr="004046DB">
        <w:t xml:space="preserve"> </w:t>
      </w:r>
      <w:r w:rsidR="000104D6">
        <w:t>Market Operator’s</w:t>
      </w:r>
      <w:r w:rsidRPr="004046DB">
        <w:t xml:space="preserve"> website.  Additional references for details of offering, tagging, clearing, and settling in Markets+ are located in the SPP Learning Center.</w:t>
      </w:r>
    </w:p>
    <w:p w14:paraId="14E3AEAB" w14:textId="77777777" w:rsidR="00430866" w:rsidRDefault="00430866">
      <w:pPr>
        <w:spacing w:after="0"/>
        <w:jc w:val="left"/>
      </w:pPr>
      <w:r>
        <w:br w:type="page"/>
      </w:r>
    </w:p>
    <w:p w14:paraId="78D4B11A" w14:textId="2C85ADA6" w:rsidR="004046DB" w:rsidRPr="004046DB" w:rsidRDefault="004046DB" w:rsidP="00430866">
      <w:pPr>
        <w:pStyle w:val="Heading1"/>
      </w:pPr>
      <w:bookmarkStart w:id="148" w:name="_Toc258924827"/>
      <w:bookmarkStart w:id="149" w:name="_Ref262218467"/>
      <w:bookmarkStart w:id="150" w:name="_Toc263173244"/>
      <w:bookmarkStart w:id="151" w:name="_Toc263173604"/>
      <w:bookmarkStart w:id="152" w:name="_Toc263173789"/>
      <w:bookmarkStart w:id="153" w:name="_Toc263174155"/>
      <w:bookmarkStart w:id="154" w:name="_Toc263235054"/>
      <w:bookmarkStart w:id="155" w:name="_Toc263235697"/>
      <w:bookmarkStart w:id="156" w:name="_Toc263429376"/>
      <w:bookmarkStart w:id="157" w:name="_Toc263795393"/>
      <w:bookmarkStart w:id="158" w:name="_Toc266869588"/>
      <w:bookmarkStart w:id="159" w:name="_Ref425857968"/>
      <w:bookmarkStart w:id="160" w:name="_Toc213771761"/>
      <w:bookmarkStart w:id="161" w:name="OLE_LINK93"/>
      <w:bookmarkStart w:id="162" w:name="OLE_LINK94"/>
      <w:r w:rsidRPr="004046DB">
        <w:t>Markets+ Overview</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129B2A39" w14:textId="77777777" w:rsidR="004046DB" w:rsidRPr="004046DB" w:rsidRDefault="004046DB" w:rsidP="004046DB">
      <w:pPr>
        <w:spacing w:after="0" w:line="300" w:lineRule="auto"/>
        <w:rPr>
          <w:szCs w:val="24"/>
        </w:rPr>
      </w:pPr>
      <w:r w:rsidRPr="004046DB">
        <w:rPr>
          <w:szCs w:val="24"/>
        </w:rPr>
        <w:t>As a Market Operator, SPP is mandated by the Federal Energy Regulatory Commission to ensure competitive wholesale electricity prices. Reliability and transmission infrastructure is the responsibility of the Reliability Coordinators, Balancing Authorities, Transmission Service Providers, Transmission Operators, and Generator Owner/Operators that are participating in Markets+ within the Markets+ Footprint.  In order to ensure competitive wholesale electricity prices, the Market Operator operates and administers Markets+ with constant communication and coordination with these entities.  Markets+ does not supersede any Market Participants’ obligations with respect to any other capacity or ancillary service obligations.  These entities’ responsibilities with regard to capacity adequacy, reserves, and other reliability-based concerns do not change as a result of this market.</w:t>
      </w:r>
    </w:p>
    <w:p w14:paraId="65AF7AA3" w14:textId="16E9DFFE" w:rsidR="004046DB" w:rsidRPr="004046DB" w:rsidRDefault="004046DB" w:rsidP="00C20DF9">
      <w:pPr>
        <w:pStyle w:val="Heading2"/>
      </w:pPr>
      <w:bookmarkStart w:id="163" w:name="_Toc213771762"/>
      <w:r w:rsidRPr="004046DB">
        <w:t>Energy and Flexibility Reserve Products Markets</w:t>
      </w:r>
      <w:bookmarkEnd w:id="163"/>
    </w:p>
    <w:p w14:paraId="1800A652" w14:textId="7A147448" w:rsidR="004046DB" w:rsidRPr="004046DB" w:rsidRDefault="004046DB" w:rsidP="004046DB">
      <w:pPr>
        <w:spacing w:after="0" w:line="300" w:lineRule="auto"/>
        <w:rPr>
          <w:szCs w:val="24"/>
        </w:rPr>
      </w:pPr>
      <w:r w:rsidRPr="004046DB">
        <w:rPr>
          <w:szCs w:val="24"/>
        </w:rPr>
        <w:t>The Energy and Flexibility Reserve Products Markets in Markets+ include Market Participant participation in:</w:t>
      </w:r>
    </w:p>
    <w:p w14:paraId="6BF948DD" w14:textId="77777777" w:rsidR="004046DB" w:rsidRPr="004046DB" w:rsidRDefault="004046DB" w:rsidP="00C35DA0">
      <w:pPr>
        <w:numPr>
          <w:ilvl w:val="0"/>
          <w:numId w:val="31"/>
        </w:numPr>
        <w:spacing w:after="0" w:line="300" w:lineRule="auto"/>
        <w:jc w:val="left"/>
        <w:rPr>
          <w:szCs w:val="24"/>
        </w:rPr>
      </w:pPr>
      <w:r w:rsidRPr="004046DB">
        <w:rPr>
          <w:szCs w:val="24"/>
        </w:rPr>
        <w:t>a price-based Day-Ahead Market with a</w:t>
      </w:r>
      <w:r w:rsidRPr="004046DB">
        <w:rPr>
          <w:kern w:val="2"/>
          <w:szCs w:val="24"/>
          <w14:ligatures w14:val="standardContextual"/>
        </w:rPr>
        <w:t xml:space="preserve"> flowgate</w:t>
      </w:r>
      <w:r w:rsidRPr="004046DB">
        <w:rPr>
          <w:szCs w:val="24"/>
        </w:rPr>
        <w:t xml:space="preserve"> based allocation</w:t>
      </w:r>
      <w:r w:rsidRPr="004046DB">
        <w:rPr>
          <w:kern w:val="2"/>
          <w:szCs w:val="24"/>
          <w14:ligatures w14:val="standardContextual"/>
        </w:rPr>
        <w:t xml:space="preserve"> </w:t>
      </w:r>
      <w:r w:rsidRPr="004046DB">
        <w:rPr>
          <w:szCs w:val="24"/>
        </w:rPr>
        <w:t xml:space="preserve">method to distribute Congestion Rents resulting from economic commitment and dispatch; </w:t>
      </w:r>
    </w:p>
    <w:p w14:paraId="556D4583" w14:textId="77777777" w:rsidR="004046DB" w:rsidRPr="004046DB" w:rsidRDefault="004046DB" w:rsidP="00C35DA0">
      <w:pPr>
        <w:numPr>
          <w:ilvl w:val="0"/>
          <w:numId w:val="31"/>
        </w:numPr>
        <w:spacing w:after="0" w:line="300" w:lineRule="auto"/>
        <w:jc w:val="left"/>
        <w:rPr>
          <w:szCs w:val="24"/>
        </w:rPr>
      </w:pPr>
      <w:r w:rsidRPr="004046DB">
        <w:rPr>
          <w:szCs w:val="24"/>
        </w:rPr>
        <w:t xml:space="preserve">a price-based Real-Time Balancing Market (RTBM); and </w:t>
      </w:r>
    </w:p>
    <w:p w14:paraId="5C109CE9" w14:textId="77777777" w:rsidR="004046DB" w:rsidRPr="004046DB" w:rsidRDefault="004046DB" w:rsidP="00C35DA0">
      <w:pPr>
        <w:numPr>
          <w:ilvl w:val="0"/>
          <w:numId w:val="31"/>
        </w:numPr>
        <w:spacing w:after="0" w:line="300" w:lineRule="auto"/>
        <w:jc w:val="left"/>
        <w:rPr>
          <w:szCs w:val="24"/>
        </w:rPr>
      </w:pPr>
      <w:r w:rsidRPr="004046DB">
        <w:rPr>
          <w:szCs w:val="24"/>
        </w:rPr>
        <w:t xml:space="preserve">all Reliability Unit Commitment (RUC) processes.  </w:t>
      </w:r>
    </w:p>
    <w:p w14:paraId="04608D2F" w14:textId="77777777" w:rsidR="004046DB" w:rsidRPr="004046DB" w:rsidRDefault="004046DB" w:rsidP="004046DB">
      <w:pPr>
        <w:spacing w:after="0" w:line="300" w:lineRule="auto"/>
        <w:rPr>
          <w:rFonts w:ascii="Aptos" w:eastAsia="Aptos" w:hAnsi="Aptos" w:cs="Arial"/>
          <w:kern w:val="2"/>
          <w:sz w:val="22"/>
          <w:szCs w:val="24"/>
          <w14:ligatures w14:val="standardContextual"/>
        </w:rPr>
      </w:pPr>
      <w:r w:rsidRPr="004046DB">
        <w:rPr>
          <w:szCs w:val="24"/>
        </w:rPr>
        <w:t>Operating reserve requirements will continue to be met by the individual Balancing Authorities and will not be procured as part of Markets+.</w:t>
      </w:r>
    </w:p>
    <w:p w14:paraId="07150531" w14:textId="77D93F68" w:rsidR="004046DB" w:rsidRPr="004046DB" w:rsidRDefault="004046DB" w:rsidP="004046DB">
      <w:pPr>
        <w:spacing w:before="120" w:line="300" w:lineRule="auto"/>
        <w:rPr>
          <w:szCs w:val="24"/>
        </w:rPr>
      </w:pPr>
      <w:r w:rsidRPr="004046DB">
        <w:rPr>
          <w:szCs w:val="24"/>
        </w:rPr>
        <w:t xml:space="preserve">The Day-Ahead Market provides Market Participants with the ability to submit Offers to sell Energy and Mid-Term Flex Up, </w:t>
      </w:r>
      <w:r w:rsidRPr="004046DB" w:rsidDel="0046151A">
        <w:rPr>
          <w:szCs w:val="24"/>
        </w:rPr>
        <w:t>and/or</w:t>
      </w:r>
      <w:r w:rsidRPr="004046DB">
        <w:rPr>
          <w:szCs w:val="24"/>
        </w:rPr>
        <w:t xml:space="preserve"> to submit Bids to purchase Energy.  The RTBM provides Market Participants with the ability to submit Offers to sell Energy and Mid-Term Flex Up.  Energy and Flexibility Reserve Products Markets operations will simultaneously</w:t>
      </w:r>
      <w:r w:rsidR="00D81837">
        <w:rPr>
          <w:szCs w:val="24"/>
        </w:rPr>
        <w:t xml:space="preserve"> </w:t>
      </w:r>
      <w:r w:rsidRPr="004046DB">
        <w:rPr>
          <w:szCs w:val="24"/>
        </w:rPr>
        <w:t xml:space="preserve">optimize Resource Offers for Energy and Mid-Term Flex Up in the Security Constrained Unit Commitment (SCUC) and Security Constrained Economic Dispatch (SCED) algorithms.  The objective function of </w:t>
      </w:r>
      <w:r w:rsidR="00D81837">
        <w:rPr>
          <w:szCs w:val="24"/>
        </w:rPr>
        <w:t>simultaneous</w:t>
      </w:r>
      <w:r w:rsidR="00D81837" w:rsidRPr="004046DB">
        <w:rPr>
          <w:szCs w:val="24"/>
        </w:rPr>
        <w:t xml:space="preserve"> </w:t>
      </w:r>
      <w:r w:rsidRPr="004046DB">
        <w:rPr>
          <w:szCs w:val="24"/>
        </w:rPr>
        <w:t xml:space="preserve">optimization will be the minimization of the total production costs in the Day-Ahead Market and the RTBM for Energy and Flexibility Reserve Products to meet the requirements of the Markets+ Footprint.  Procurement of Flexibility Reserve Products will not be decoupled from the procurement of Energy from Resources capable of providing both Energy and Flexibility Reserve Products.  Resources selected to provide Flexibility Reserve Products will receive opportunity cost payments when appropriate which are included in the Market Clearing Prices for each product.  The Simultaneous Co-optimization Methodology logic considers various permutations of unit commitment, and the </w:t>
      </w:r>
      <w:r w:rsidR="00D81837">
        <w:rPr>
          <w:szCs w:val="24"/>
        </w:rPr>
        <w:t>simultaneous</w:t>
      </w:r>
      <w:r w:rsidRPr="004046DB">
        <w:rPr>
          <w:szCs w:val="24"/>
        </w:rPr>
        <w:t xml:space="preserve"> dispatch of Energy and Flexibility Reserve Products, arriving to a solution that results in the least overall production cost subject to meeting operational constraints.  </w:t>
      </w:r>
    </w:p>
    <w:bookmarkEnd w:id="161"/>
    <w:bookmarkEnd w:id="162"/>
    <w:p w14:paraId="4C74D65B" w14:textId="77777777" w:rsidR="004046DB" w:rsidRPr="004046DB" w:rsidRDefault="004046DB" w:rsidP="004046DB">
      <w:pPr>
        <w:spacing w:after="0" w:line="300" w:lineRule="auto"/>
        <w:rPr>
          <w:szCs w:val="24"/>
        </w:rPr>
      </w:pPr>
      <w:r w:rsidRPr="004046DB">
        <w:rPr>
          <w:szCs w:val="24"/>
        </w:rPr>
        <w:t>The RUC processes are needed to ensure that the physical unit commitment produced from the Day-Ahead Market is sufficient to meet the Market Operator’s projected capacity needs during the Operating Day.  Exhibit 3-1 provides an overview of the key Energy and Flexibility Reserve Products Markets functions.</w:t>
      </w:r>
    </w:p>
    <w:p w14:paraId="39504BAF" w14:textId="77777777" w:rsidR="004046DB" w:rsidRPr="004046DB" w:rsidRDefault="004046DB" w:rsidP="004046DB">
      <w:pPr>
        <w:spacing w:after="0"/>
        <w:jc w:val="center"/>
        <w:rPr>
          <w:b/>
          <w:szCs w:val="24"/>
        </w:rPr>
      </w:pPr>
    </w:p>
    <w:p w14:paraId="58743E42" w14:textId="77777777" w:rsidR="004046DB" w:rsidRPr="004046DB" w:rsidRDefault="004046DB" w:rsidP="004046DB">
      <w:pPr>
        <w:spacing w:after="0"/>
        <w:jc w:val="center"/>
        <w:rPr>
          <w:b/>
          <w:szCs w:val="24"/>
        </w:rPr>
      </w:pPr>
    </w:p>
    <w:p w14:paraId="7E8540F7" w14:textId="77777777" w:rsidR="004046DB" w:rsidRPr="004046DB" w:rsidRDefault="004046DB" w:rsidP="004046DB">
      <w:pPr>
        <w:spacing w:after="0"/>
        <w:jc w:val="center"/>
        <w:rPr>
          <w:b/>
          <w:szCs w:val="24"/>
        </w:rPr>
      </w:pPr>
    </w:p>
    <w:p w14:paraId="591A3F83" w14:textId="77777777" w:rsidR="004046DB" w:rsidRPr="004046DB" w:rsidRDefault="004046DB" w:rsidP="004046DB">
      <w:pPr>
        <w:spacing w:after="0"/>
        <w:jc w:val="center"/>
        <w:rPr>
          <w:b/>
          <w:szCs w:val="24"/>
        </w:rPr>
      </w:pPr>
    </w:p>
    <w:p w14:paraId="5F036120" w14:textId="77777777" w:rsidR="004046DB" w:rsidRPr="004046DB" w:rsidRDefault="004046DB" w:rsidP="004046DB">
      <w:pPr>
        <w:spacing w:after="0"/>
        <w:jc w:val="center"/>
        <w:rPr>
          <w:b/>
          <w:szCs w:val="24"/>
        </w:rPr>
      </w:pPr>
    </w:p>
    <w:p w14:paraId="1FB1EEFB" w14:textId="77777777" w:rsidR="004046DB" w:rsidRPr="004046DB" w:rsidRDefault="004046DB" w:rsidP="004046DB">
      <w:pPr>
        <w:spacing w:after="0"/>
        <w:jc w:val="center"/>
        <w:rPr>
          <w:b/>
          <w:szCs w:val="24"/>
        </w:rPr>
      </w:pPr>
    </w:p>
    <w:p w14:paraId="0829CB4F" w14:textId="77777777" w:rsidR="004046DB" w:rsidRPr="004046DB" w:rsidRDefault="004046DB" w:rsidP="004046DB">
      <w:pPr>
        <w:spacing w:after="0"/>
        <w:jc w:val="center"/>
        <w:rPr>
          <w:b/>
          <w:szCs w:val="24"/>
        </w:rPr>
      </w:pPr>
    </w:p>
    <w:p w14:paraId="46694B0C" w14:textId="77777777" w:rsidR="004046DB" w:rsidRPr="004046DB" w:rsidRDefault="004046DB" w:rsidP="004046DB">
      <w:pPr>
        <w:spacing w:after="0"/>
        <w:jc w:val="center"/>
        <w:rPr>
          <w:b/>
          <w:szCs w:val="24"/>
        </w:rPr>
      </w:pPr>
    </w:p>
    <w:p w14:paraId="5070F1C9" w14:textId="77777777" w:rsidR="004046DB" w:rsidRPr="004046DB" w:rsidRDefault="004046DB" w:rsidP="004046DB">
      <w:pPr>
        <w:spacing w:after="0"/>
        <w:jc w:val="center"/>
        <w:rPr>
          <w:b/>
          <w:szCs w:val="24"/>
        </w:rPr>
      </w:pPr>
    </w:p>
    <w:p w14:paraId="17F8917A" w14:textId="77777777" w:rsidR="004046DB" w:rsidRPr="004046DB" w:rsidRDefault="004046DB" w:rsidP="004046DB">
      <w:pPr>
        <w:spacing w:after="0"/>
        <w:jc w:val="center"/>
        <w:rPr>
          <w:b/>
          <w:szCs w:val="24"/>
        </w:rPr>
      </w:pPr>
    </w:p>
    <w:p w14:paraId="35F1A68D" w14:textId="77777777" w:rsidR="004046DB" w:rsidRPr="004046DB" w:rsidRDefault="004046DB" w:rsidP="004046DB">
      <w:pPr>
        <w:spacing w:after="0"/>
        <w:jc w:val="center"/>
        <w:rPr>
          <w:b/>
          <w:szCs w:val="24"/>
        </w:rPr>
      </w:pPr>
    </w:p>
    <w:p w14:paraId="128F2FAA" w14:textId="77777777" w:rsidR="004046DB" w:rsidRPr="004046DB" w:rsidRDefault="004046DB" w:rsidP="004046DB">
      <w:pPr>
        <w:spacing w:after="0"/>
        <w:jc w:val="center"/>
        <w:rPr>
          <w:b/>
          <w:szCs w:val="24"/>
        </w:rPr>
      </w:pPr>
    </w:p>
    <w:p w14:paraId="1A244854" w14:textId="77777777" w:rsidR="004046DB" w:rsidRPr="004046DB" w:rsidRDefault="004046DB" w:rsidP="004046DB">
      <w:pPr>
        <w:spacing w:after="0"/>
        <w:jc w:val="center"/>
        <w:rPr>
          <w:b/>
          <w:szCs w:val="24"/>
        </w:rPr>
      </w:pPr>
    </w:p>
    <w:p w14:paraId="7CF78180" w14:textId="77777777" w:rsidR="004046DB" w:rsidRPr="004046DB" w:rsidRDefault="004046DB" w:rsidP="004046DB">
      <w:pPr>
        <w:spacing w:after="0"/>
        <w:jc w:val="center"/>
        <w:rPr>
          <w:b/>
          <w:szCs w:val="24"/>
        </w:rPr>
      </w:pPr>
    </w:p>
    <w:p w14:paraId="3E2FF42D" w14:textId="77777777" w:rsidR="004046DB" w:rsidRPr="004046DB" w:rsidRDefault="004046DB" w:rsidP="004046DB">
      <w:pPr>
        <w:spacing w:after="0"/>
        <w:jc w:val="center"/>
        <w:rPr>
          <w:b/>
          <w:szCs w:val="24"/>
        </w:rPr>
      </w:pPr>
    </w:p>
    <w:p w14:paraId="50B732BF" w14:textId="77777777" w:rsidR="004046DB" w:rsidRPr="004046DB" w:rsidRDefault="004046DB" w:rsidP="004046DB">
      <w:pPr>
        <w:spacing w:after="0"/>
        <w:jc w:val="center"/>
        <w:rPr>
          <w:b/>
          <w:szCs w:val="24"/>
        </w:rPr>
      </w:pPr>
    </w:p>
    <w:p w14:paraId="1F229F68" w14:textId="77777777" w:rsidR="004046DB" w:rsidRPr="004046DB" w:rsidRDefault="004046DB" w:rsidP="004046DB">
      <w:pPr>
        <w:spacing w:after="0"/>
        <w:jc w:val="center"/>
        <w:rPr>
          <w:b/>
          <w:szCs w:val="24"/>
        </w:rPr>
      </w:pPr>
    </w:p>
    <w:p w14:paraId="0E4A2057" w14:textId="77777777" w:rsidR="004046DB" w:rsidRPr="004046DB" w:rsidRDefault="004046DB" w:rsidP="004046DB">
      <w:pPr>
        <w:spacing w:after="0"/>
        <w:jc w:val="center"/>
        <w:rPr>
          <w:b/>
          <w:szCs w:val="24"/>
        </w:rPr>
      </w:pPr>
    </w:p>
    <w:p w14:paraId="4CC76EFD" w14:textId="77777777" w:rsidR="004046DB" w:rsidRPr="004046DB" w:rsidRDefault="004046DB" w:rsidP="004046DB">
      <w:pPr>
        <w:spacing w:after="0"/>
        <w:jc w:val="center"/>
        <w:rPr>
          <w:b/>
          <w:szCs w:val="24"/>
        </w:rPr>
      </w:pPr>
    </w:p>
    <w:p w14:paraId="19F9C165" w14:textId="77777777" w:rsidR="004046DB" w:rsidRPr="004046DB" w:rsidRDefault="004046DB" w:rsidP="004046DB">
      <w:pPr>
        <w:spacing w:after="0"/>
        <w:jc w:val="center"/>
        <w:rPr>
          <w:b/>
          <w:szCs w:val="24"/>
        </w:rPr>
      </w:pPr>
    </w:p>
    <w:p w14:paraId="1D7CFF3C" w14:textId="77777777" w:rsidR="004046DB" w:rsidRPr="004046DB" w:rsidRDefault="004046DB" w:rsidP="004046DB">
      <w:pPr>
        <w:spacing w:after="0"/>
        <w:jc w:val="center"/>
        <w:rPr>
          <w:b/>
          <w:szCs w:val="24"/>
        </w:rPr>
      </w:pPr>
    </w:p>
    <w:p w14:paraId="5F585578" w14:textId="77777777" w:rsidR="004046DB" w:rsidRPr="004046DB" w:rsidRDefault="004046DB" w:rsidP="004046DB">
      <w:pPr>
        <w:spacing w:after="160" w:line="259" w:lineRule="auto"/>
        <w:jc w:val="left"/>
        <w:rPr>
          <w:b/>
          <w:szCs w:val="24"/>
        </w:rPr>
      </w:pPr>
      <w:r w:rsidRPr="004046DB">
        <w:rPr>
          <w:b/>
          <w:szCs w:val="24"/>
        </w:rPr>
        <w:br w:type="page"/>
      </w:r>
    </w:p>
    <w:p w14:paraId="5AD3D108" w14:textId="77777777" w:rsidR="004046DB" w:rsidRPr="004046DB" w:rsidRDefault="004046DB" w:rsidP="004046DB">
      <w:pPr>
        <w:spacing w:after="0"/>
        <w:jc w:val="center"/>
        <w:rPr>
          <w:b/>
          <w:szCs w:val="24"/>
        </w:rPr>
      </w:pPr>
      <w:bookmarkStart w:id="164" w:name="_Toc213772414"/>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sidRPr="004046DB">
        <w:rPr>
          <w:b/>
          <w:noProof/>
          <w:szCs w:val="24"/>
        </w:rPr>
        <w:t>3</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sidRPr="004046DB">
        <w:rPr>
          <w:b/>
          <w:noProof/>
          <w:szCs w:val="24"/>
        </w:rPr>
        <w:t>1</w:t>
      </w:r>
      <w:r w:rsidRPr="004046DB">
        <w:rPr>
          <w:b/>
          <w:szCs w:val="24"/>
        </w:rPr>
        <w:fldChar w:fldCharType="end"/>
      </w:r>
      <w:r w:rsidRPr="004046DB">
        <w:rPr>
          <w:b/>
          <w:szCs w:val="24"/>
        </w:rPr>
        <w:t>: Overview of Key Energy and Flexibility Reserve Products Market Functions</w:t>
      </w:r>
      <w:bookmarkEnd w:id="164"/>
    </w:p>
    <w:p w14:paraId="0B070417" w14:textId="77777777" w:rsidR="004046DB" w:rsidRPr="004046DB" w:rsidRDefault="004046DB" w:rsidP="004046DB">
      <w:pPr>
        <w:spacing w:after="0" w:line="300" w:lineRule="auto"/>
        <w:rPr>
          <w:szCs w:val="24"/>
        </w:rPr>
      </w:pPr>
    </w:p>
    <w:p w14:paraId="27349437" w14:textId="77777777" w:rsidR="004046DB" w:rsidRPr="004046DB" w:rsidRDefault="004046DB" w:rsidP="004046DB">
      <w:pPr>
        <w:rPr>
          <w:szCs w:val="24"/>
        </w:rPr>
      </w:pPr>
      <w:r w:rsidRPr="004046DB">
        <w:rPr>
          <w:noProof/>
        </w:rPr>
        <mc:AlternateContent>
          <mc:Choice Requires="wps">
            <w:drawing>
              <wp:anchor distT="4294967295" distB="4294967295" distL="114300" distR="114300" simplePos="0" relativeHeight="251658240" behindDoc="0" locked="0" layoutInCell="1" allowOverlap="1" wp14:anchorId="0A6CA707" wp14:editId="510DAD94">
                <wp:simplePos x="0" y="0"/>
                <wp:positionH relativeFrom="column">
                  <wp:posOffset>-914400</wp:posOffset>
                </wp:positionH>
                <wp:positionV relativeFrom="paragraph">
                  <wp:posOffset>33019</wp:posOffset>
                </wp:positionV>
                <wp:extent cx="9144000" cy="0"/>
                <wp:effectExtent l="0" t="57150" r="0" b="57150"/>
                <wp:wrapNone/>
                <wp:docPr id="36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CF142B"/>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8E355" id="Rectangle 80" o:spid="_x0000_s1026" style="position:absolute;margin-left:-1in;margin-top:2.6pt;width:10in;height:0;z-index:25165824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" filled="f" fillcolor="#cf142b" stroked="f">
                <v:textbox style="mso-fit-shape-to-text:t"/>
              </v:rect>
            </w:pict>
          </mc:Fallback>
        </mc:AlternateContent>
      </w:r>
    </w:p>
    <w:p w14:paraId="2726BBC1" w14:textId="77777777" w:rsidR="004046DB" w:rsidRPr="004046DB" w:rsidRDefault="004046DB" w:rsidP="004046DB">
      <w:pPr>
        <w:spacing w:before="120" w:line="300" w:lineRule="auto"/>
        <w:rPr>
          <w:szCs w:val="24"/>
        </w:rPr>
      </w:pPr>
      <w:r w:rsidRPr="004046DB">
        <w:rPr>
          <w:rFonts w:ascii="Aptos" w:eastAsia="Aptos" w:hAnsi="Aptos" w:cs="Arial"/>
          <w:noProof/>
          <w:kern w:val="2"/>
          <w:sz w:val="22"/>
          <w:szCs w:val="22"/>
          <w14:ligatures w14:val="standardContextual"/>
        </w:rPr>
        <w:drawing>
          <wp:inline distT="0" distB="0" distL="0" distR="0" wp14:anchorId="7902821A" wp14:editId="7046192A">
            <wp:extent cx="6369685" cy="3663249"/>
            <wp:effectExtent l="0" t="0" r="0" b="0"/>
            <wp:docPr id="1488600082"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00082" name="Picture 1" descr="Diagram"/>
                    <pic:cNvPicPr/>
                  </pic:nvPicPr>
                  <pic:blipFill>
                    <a:blip r:embed="rId29"/>
                    <a:stretch>
                      <a:fillRect/>
                    </a:stretch>
                  </pic:blipFill>
                  <pic:spPr>
                    <a:xfrm>
                      <a:off x="0" y="0"/>
                      <a:ext cx="6379297" cy="3668777"/>
                    </a:xfrm>
                    <a:prstGeom prst="rect">
                      <a:avLst/>
                    </a:prstGeom>
                  </pic:spPr>
                </pic:pic>
              </a:graphicData>
            </a:graphic>
          </wp:inline>
        </w:drawing>
      </w:r>
    </w:p>
    <w:p w14:paraId="13FD9051" w14:textId="77777777" w:rsidR="004046DB" w:rsidRPr="004046DB" w:rsidRDefault="004046DB" w:rsidP="004046DB">
      <w:pPr>
        <w:spacing w:before="120" w:line="300" w:lineRule="auto"/>
        <w:rPr>
          <w:szCs w:val="24"/>
        </w:rPr>
      </w:pPr>
      <w:r w:rsidRPr="004046DB">
        <w:rPr>
          <w:szCs w:val="24"/>
        </w:rPr>
        <w:t>Key features of the Day-Ahead Market include:</w:t>
      </w:r>
    </w:p>
    <w:p w14:paraId="0196258F"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Financially binding market with a limited must offer requirement, in which all cleared supply and demand is settled;</w:t>
      </w:r>
    </w:p>
    <w:p w14:paraId="782B7FEA"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Internal Energy Schedule Settlement Adjustments (IESSA) for Energy to accommodate internal physical bilateral transactions between Market Participants by removing their impact from the Day-Ahead Market settlement;</w:t>
      </w:r>
    </w:p>
    <w:p w14:paraId="37D73137"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Physical supply offers and physical demand bids are immediately accommodated.  Virtual Energy Offers and Virtual Energy Bids will be accommodated beginning no earlier than six (6) months following Markets+ go-live and will not be initially implemented during summer season;</w:t>
      </w:r>
    </w:p>
    <w:p w14:paraId="5587DE13"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 xml:space="preserve">Day-Ahead Market clearing is performed for Energy and Flexibility Reserve Products on a least cost, co-optimized basis and accounts for each Resource’s marginal system losses, congestion, and Energy cost to minimize the overall production cost;  </w:t>
      </w:r>
    </w:p>
    <w:p w14:paraId="585F6999"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All physical supply cleared for Flexibility Reserve Products are paid at the applicable Reserve Zone Market Clearing Price for the Flexibility Reserve Product;</w:t>
      </w:r>
    </w:p>
    <w:p w14:paraId="5F630598"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All Energy supply cleared is paid at the Settlement Location Day-Ahead Market Locational Marginal Price and all Energy demand cleared is charged at the Settlement Location Day-Ahead Market Locational Marginal Price producing an over collection due to congestion (Congestion Rent) and marginal losses (Marginal Loss Component);</w:t>
      </w:r>
    </w:p>
    <w:p w14:paraId="74DA9173" w14:textId="36ACF373"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 xml:space="preserve">Congestion Rent Eligible Transmission Service Reservation (CRETSR) Holders are eligible to be paid a portion of the total Congestion Rent collected on each binding constraint, with any excess revenue being allocated back to the applicable MTSP as outlined in </w:t>
      </w:r>
      <w:r w:rsidR="00624ED8">
        <w:rPr>
          <w:szCs w:val="24"/>
        </w:rPr>
        <w:t>the Markets+ Settlements Calculation Guide</w:t>
      </w:r>
      <w:r w:rsidRPr="004046DB">
        <w:rPr>
          <w:szCs w:val="24"/>
        </w:rPr>
        <w:t>;</w:t>
      </w:r>
    </w:p>
    <w:p w14:paraId="000AE4F0"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 xml:space="preserve">A loss adjustment factor is applied to load LMP’s </w:t>
      </w:r>
      <w:r w:rsidRPr="004046DB">
        <w:rPr>
          <w:kern w:val="2"/>
          <w:szCs w:val="24"/>
          <w14:ligatures w14:val="standardContextual"/>
        </w:rPr>
        <w:t xml:space="preserve">to account for the over-collection that results from marginal losses </w:t>
      </w:r>
      <w:r w:rsidRPr="004046DB">
        <w:rPr>
          <w:szCs w:val="24"/>
        </w:rPr>
        <w:t>modeling;</w:t>
      </w:r>
    </w:p>
    <w:p w14:paraId="3CFD7DEA" w14:textId="77777777" w:rsidR="004046DB" w:rsidRPr="004046DB" w:rsidRDefault="004046DB" w:rsidP="00311D0E">
      <w:pPr>
        <w:numPr>
          <w:ilvl w:val="0"/>
          <w:numId w:val="12"/>
        </w:numPr>
        <w:tabs>
          <w:tab w:val="clear" w:pos="720"/>
          <w:tab w:val="num" w:pos="900"/>
        </w:tabs>
        <w:spacing w:before="120" w:after="160" w:line="300" w:lineRule="auto"/>
        <w:ind w:left="900" w:hanging="540"/>
        <w:jc w:val="left"/>
        <w:rPr>
          <w:szCs w:val="24"/>
        </w:rPr>
      </w:pPr>
      <w:r w:rsidRPr="004046DB">
        <w:rPr>
          <w:szCs w:val="24"/>
        </w:rPr>
        <w:t xml:space="preserve">Market Operator committed Resources are assured recovery of their Start-Up Offer, No-Load Offer and actual incremental Energy costs as defined in the Energy Offer Curve subject to certain eligibility criteria; </w:t>
      </w:r>
    </w:p>
    <w:p w14:paraId="63D452B9" w14:textId="77777777" w:rsidR="004046DB" w:rsidRPr="004046DB" w:rsidRDefault="004046DB" w:rsidP="00C35DA0">
      <w:pPr>
        <w:numPr>
          <w:ilvl w:val="0"/>
          <w:numId w:val="12"/>
        </w:numPr>
        <w:tabs>
          <w:tab w:val="num" w:pos="900"/>
        </w:tabs>
        <w:spacing w:before="120" w:after="160" w:line="300" w:lineRule="auto"/>
        <w:ind w:left="900" w:hanging="540"/>
        <w:jc w:val="left"/>
        <w:rPr>
          <w:szCs w:val="24"/>
        </w:rPr>
      </w:pPr>
      <w:r w:rsidRPr="004046DB">
        <w:rPr>
          <w:szCs w:val="24"/>
        </w:rPr>
        <w:t xml:space="preserve">Participating Balancing Authority committed Resources that are committed for valid reliability reasons are assured recovery of their Start-Up Offer, No-Load Offer and actual incremental Energy costs as defined in the Energy Offer Curve subject to certain eligibility criteria; </w:t>
      </w:r>
    </w:p>
    <w:p w14:paraId="63766D14" w14:textId="77777777" w:rsidR="004046DB" w:rsidRPr="004046DB" w:rsidRDefault="004046DB" w:rsidP="00C35DA0">
      <w:pPr>
        <w:numPr>
          <w:ilvl w:val="0"/>
          <w:numId w:val="12"/>
        </w:numPr>
        <w:tabs>
          <w:tab w:val="num" w:pos="900"/>
        </w:tabs>
        <w:spacing w:before="120" w:after="160" w:line="300" w:lineRule="auto"/>
        <w:ind w:left="900" w:hanging="540"/>
        <w:jc w:val="left"/>
        <w:rPr>
          <w:szCs w:val="24"/>
        </w:rPr>
      </w:pPr>
      <w:r w:rsidRPr="004046DB">
        <w:rPr>
          <w:szCs w:val="24"/>
        </w:rPr>
        <w:t>Flexibility Reserve Product procurement costs are allocated and collected on a Reserve Zone basis; and</w:t>
      </w:r>
    </w:p>
    <w:p w14:paraId="51438B5B" w14:textId="24046217" w:rsidR="004046DB" w:rsidRPr="004046DB" w:rsidRDefault="004046DB" w:rsidP="00C35DA0">
      <w:pPr>
        <w:numPr>
          <w:ilvl w:val="0"/>
          <w:numId w:val="12"/>
        </w:numPr>
        <w:tabs>
          <w:tab w:val="num" w:pos="900"/>
        </w:tabs>
        <w:spacing w:before="120" w:after="160" w:line="300" w:lineRule="auto"/>
        <w:ind w:left="900" w:hanging="540"/>
        <w:jc w:val="left"/>
        <w:rPr>
          <w:szCs w:val="24"/>
        </w:rPr>
      </w:pPr>
      <w:r w:rsidRPr="004046DB">
        <w:rPr>
          <w:szCs w:val="24"/>
        </w:rPr>
        <w:t xml:space="preserve">GHG Pricing Zones are modeled to accommodate state mandated GHG Pricing Programs as detailed in Section </w:t>
      </w:r>
      <w:r w:rsidR="00F91775">
        <w:rPr>
          <w:szCs w:val="24"/>
        </w:rPr>
        <w:fldChar w:fldCharType="begin"/>
      </w:r>
      <w:r w:rsidR="00F91775">
        <w:rPr>
          <w:szCs w:val="24"/>
        </w:rPr>
        <w:instrText xml:space="preserve"> REF _Ref193981031 \r \h </w:instrText>
      </w:r>
      <w:r w:rsidR="00F91775">
        <w:rPr>
          <w:szCs w:val="24"/>
        </w:rPr>
      </w:r>
      <w:r w:rsidR="00F91775">
        <w:rPr>
          <w:szCs w:val="24"/>
        </w:rPr>
        <w:fldChar w:fldCharType="separate"/>
      </w:r>
      <w:r w:rsidR="00F91775">
        <w:rPr>
          <w:szCs w:val="24"/>
        </w:rPr>
        <w:t>5</w:t>
      </w:r>
      <w:r w:rsidR="00F91775">
        <w:rPr>
          <w:szCs w:val="24"/>
        </w:rPr>
        <w:fldChar w:fldCharType="end"/>
      </w:r>
      <w:r w:rsidRPr="004046DB">
        <w:rPr>
          <w:szCs w:val="24"/>
        </w:rPr>
        <w:t xml:space="preserve">.  </w:t>
      </w:r>
    </w:p>
    <w:p w14:paraId="2745FBE6" w14:textId="77777777" w:rsidR="004046DB" w:rsidRPr="004046DB" w:rsidRDefault="004046DB" w:rsidP="004046DB">
      <w:pPr>
        <w:spacing w:before="120" w:line="300" w:lineRule="auto"/>
        <w:rPr>
          <w:szCs w:val="24"/>
        </w:rPr>
      </w:pPr>
      <w:r w:rsidRPr="004046DB">
        <w:rPr>
          <w:szCs w:val="24"/>
        </w:rPr>
        <w:t xml:space="preserve">  Key features of the RUC processes and Real-Time Balancing Market include:</w:t>
      </w:r>
    </w:p>
    <w:p w14:paraId="42DD783A"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A minimum limited must-offer requirement;</w:t>
      </w:r>
    </w:p>
    <w:p w14:paraId="455A2276"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IESSAs for Energy to accommodate internal physical bilateral transactions between Market Participants by removing their impact from the RTBM settlement (IESSAs do not have any impact on the RUC processes);</w:t>
      </w:r>
    </w:p>
    <w:p w14:paraId="2DE8D718"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The RTBM operates on a 5-minute basis and calculates Dispatch Targets for Energy and clears Flexibility Reserve Products on a least cost, co-optimized basis and accounts for each Resource’s marginal system losses, congestion, and Energy cost to minimize the overall production cost;</w:t>
      </w:r>
    </w:p>
    <w:p w14:paraId="58907F78"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Cleared Flexibility Reserve Products settlement is performed on a 5-minute basis.  Charges and credits are calculated as the difference between the RTBM Flexibility Reserve Products MW cleared and the Day-Ahead Market Flexibility Reserve Products MW cleared amount multiplied by the applicable RTBM Reserve Zone Flexibility Reserve Products Market Clearing Prices;</w:t>
      </w:r>
    </w:p>
    <w:p w14:paraId="3A7710EF"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 xml:space="preserve">Resource settlement is performed on a 5-minute basis.  </w:t>
      </w:r>
      <w:bookmarkStart w:id="165" w:name="OLE_LINK10"/>
      <w:bookmarkStart w:id="166" w:name="OLE_LINK30"/>
      <w:r w:rsidRPr="004046DB">
        <w:rPr>
          <w:szCs w:val="24"/>
        </w:rPr>
        <w:t>Energy charges and credits are calculated as the difference between the Resource actual output and the Resource Day-Ahead Market cleared MW amount multiplied by the Settlement Location RTBM Locational Marginal Price</w:t>
      </w:r>
      <w:bookmarkEnd w:id="165"/>
      <w:bookmarkEnd w:id="166"/>
      <w:r w:rsidRPr="004046DB">
        <w:rPr>
          <w:szCs w:val="24"/>
        </w:rPr>
        <w:t>;</w:t>
      </w:r>
    </w:p>
    <w:p w14:paraId="04D181B6"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Load settlement is performed on a 5-minute basis.  Energy charges and credits are calculated as the difference between the load actual consumption and the load Day-Ahead Market cleared MW amount multiplied by the Settlement Location RTBM Locational Marginal Price;</w:t>
      </w:r>
    </w:p>
    <w:p w14:paraId="7469D145" w14:textId="77777777"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Import, Export, and Through Interchange Transaction settlement is performed on a 5-minute basis.  Charges and credits are calculated as the difference between the real-time scheduled MW amount and the Day-Ahead Market cleared MW amount multiplied by the RTBM Locational Marginal Price of the appropriate External Interface Settlement Location;</w:t>
      </w:r>
    </w:p>
    <w:p w14:paraId="1A8E4013" w14:textId="32FE71A4" w:rsidR="004046DB" w:rsidRPr="004046DB" w:rsidRDefault="004046DB" w:rsidP="00C35DA0">
      <w:pPr>
        <w:numPr>
          <w:ilvl w:val="0"/>
          <w:numId w:val="13"/>
        </w:numPr>
        <w:tabs>
          <w:tab w:val="clear" w:pos="720"/>
          <w:tab w:val="num" w:pos="900"/>
        </w:tabs>
        <w:spacing w:before="120" w:after="160" w:line="300" w:lineRule="auto"/>
        <w:ind w:left="907" w:hanging="547"/>
        <w:jc w:val="left"/>
        <w:rPr>
          <w:szCs w:val="24"/>
        </w:rPr>
      </w:pPr>
      <w:r w:rsidRPr="004046DB">
        <w:rPr>
          <w:szCs w:val="24"/>
        </w:rPr>
        <w:t>Market Participants are assessed an hourly Market Transmission Use charge that is equal to the Market Transmission Use rate multiplied by the sum of each Market Participant</w:t>
      </w:r>
      <w:r w:rsidR="00ED6EAD">
        <w:rPr>
          <w:szCs w:val="24"/>
        </w:rPr>
        <w:t>’</w:t>
      </w:r>
      <w:r w:rsidRPr="004046DB">
        <w:rPr>
          <w:szCs w:val="24"/>
        </w:rPr>
        <w:t>s real-time metered load, real-time metered generation, real-time Import Interchange Transactions, and real-time Export Interchange Transactions.  The Market Transmission Use rate is calculated annually and is fixed for the year, unless updated during the year with an intra-year change;</w:t>
      </w:r>
    </w:p>
    <w:p w14:paraId="5E3CE40E" w14:textId="31831C3A" w:rsidR="004046DB" w:rsidRPr="004046DB" w:rsidRDefault="004046DB" w:rsidP="00C35DA0">
      <w:pPr>
        <w:numPr>
          <w:ilvl w:val="0"/>
          <w:numId w:val="13"/>
        </w:numPr>
        <w:tabs>
          <w:tab w:val="clear" w:pos="720"/>
          <w:tab w:val="num" w:pos="3150"/>
        </w:tabs>
        <w:spacing w:before="120" w:after="160" w:line="300" w:lineRule="auto"/>
        <w:ind w:left="900" w:hanging="540"/>
        <w:jc w:val="left"/>
        <w:rPr>
          <w:szCs w:val="24"/>
        </w:rPr>
      </w:pPr>
      <w:r w:rsidRPr="004046DB">
        <w:rPr>
          <w:szCs w:val="24"/>
        </w:rPr>
        <w:t>A loss adjustment factor is applied to load LMPs to account for the over</w:t>
      </w:r>
      <w:r w:rsidR="00ED6EAD">
        <w:rPr>
          <w:szCs w:val="24"/>
        </w:rPr>
        <w:t xml:space="preserve"> or under </w:t>
      </w:r>
      <w:r w:rsidRPr="004046DB">
        <w:rPr>
          <w:szCs w:val="24"/>
        </w:rPr>
        <w:t>collection that results from marginal losses modeling;</w:t>
      </w:r>
    </w:p>
    <w:p w14:paraId="6105CE0B" w14:textId="77777777" w:rsidR="004046DB" w:rsidRPr="004046DB" w:rsidRDefault="004046DB" w:rsidP="00C35DA0">
      <w:pPr>
        <w:numPr>
          <w:ilvl w:val="0"/>
          <w:numId w:val="13"/>
        </w:numPr>
        <w:tabs>
          <w:tab w:val="num" w:pos="900"/>
        </w:tabs>
        <w:spacing w:before="120" w:after="160" w:line="300" w:lineRule="auto"/>
        <w:ind w:left="907" w:hanging="547"/>
        <w:jc w:val="left"/>
        <w:rPr>
          <w:szCs w:val="24"/>
        </w:rPr>
      </w:pPr>
      <w:r w:rsidRPr="004046DB">
        <w:rPr>
          <w:szCs w:val="24"/>
        </w:rPr>
        <w:t>Market Operator committed Resources are assured recovery of their Start-Up Offer, No-Load Offer, and actual incremental Energy costs as defined in the Energy Offer Curve subject to certain eligibility criteria;</w:t>
      </w:r>
    </w:p>
    <w:p w14:paraId="36BE577C" w14:textId="77777777" w:rsidR="004046DB" w:rsidRPr="004046DB" w:rsidRDefault="004046DB" w:rsidP="00C35DA0">
      <w:pPr>
        <w:numPr>
          <w:ilvl w:val="0"/>
          <w:numId w:val="13"/>
        </w:numPr>
        <w:tabs>
          <w:tab w:val="num" w:pos="810"/>
        </w:tabs>
        <w:spacing w:before="120" w:after="160" w:line="300" w:lineRule="auto"/>
        <w:ind w:left="990" w:hanging="630"/>
        <w:jc w:val="left"/>
        <w:rPr>
          <w:szCs w:val="24"/>
        </w:rPr>
      </w:pPr>
      <w:r w:rsidRPr="004046DB">
        <w:rPr>
          <w:szCs w:val="24"/>
        </w:rPr>
        <w:t xml:space="preserve">   Participating Balancing Authority committed Resources that are committed for valid reliability reasons are assured recovery of their Start-Up Offer, No-Load Offer, and actual incremental Energy costs as defined in the Energy Offer Curve subject to certain eligibility criteria;  </w:t>
      </w:r>
    </w:p>
    <w:p w14:paraId="3F2F0192" w14:textId="77777777" w:rsidR="004046DB" w:rsidRPr="004046DB" w:rsidRDefault="004046DB" w:rsidP="00C35DA0">
      <w:pPr>
        <w:numPr>
          <w:ilvl w:val="0"/>
          <w:numId w:val="13"/>
        </w:numPr>
        <w:tabs>
          <w:tab w:val="num" w:pos="900"/>
        </w:tabs>
        <w:spacing w:before="120" w:after="160" w:line="300" w:lineRule="auto"/>
        <w:ind w:left="907" w:hanging="547"/>
        <w:jc w:val="left"/>
        <w:rPr>
          <w:szCs w:val="24"/>
        </w:rPr>
      </w:pPr>
      <w:r w:rsidRPr="004046DB">
        <w:rPr>
          <w:szCs w:val="24"/>
        </w:rPr>
        <w:t xml:space="preserve">Charges are imposed on Market Participants for failure to deploy Energy and cleared Flexibility Reserve Products as instructed; </w:t>
      </w:r>
    </w:p>
    <w:p w14:paraId="095C097F" w14:textId="77777777" w:rsidR="004046DB" w:rsidRPr="004046DB" w:rsidRDefault="004046DB" w:rsidP="00C35DA0">
      <w:pPr>
        <w:numPr>
          <w:ilvl w:val="0"/>
          <w:numId w:val="13"/>
        </w:numPr>
        <w:tabs>
          <w:tab w:val="num" w:pos="900"/>
        </w:tabs>
        <w:spacing w:before="120" w:after="160" w:line="300" w:lineRule="auto"/>
        <w:ind w:left="907" w:hanging="547"/>
        <w:jc w:val="left"/>
        <w:rPr>
          <w:szCs w:val="24"/>
        </w:rPr>
      </w:pPr>
      <w:r w:rsidRPr="004046DB">
        <w:rPr>
          <w:szCs w:val="24"/>
        </w:rPr>
        <w:t>Flexibility Reserve Products procurement costs are collected from Market Participants on a Participating Balancing Authority Area real-time load ratio share basis; and</w:t>
      </w:r>
    </w:p>
    <w:p w14:paraId="2AE4FD3E" w14:textId="5733C1A1" w:rsidR="004046DB" w:rsidRPr="004046DB" w:rsidRDefault="004046DB" w:rsidP="00C35DA0">
      <w:pPr>
        <w:numPr>
          <w:ilvl w:val="0"/>
          <w:numId w:val="13"/>
        </w:numPr>
        <w:tabs>
          <w:tab w:val="clear" w:pos="720"/>
        </w:tabs>
        <w:spacing w:before="120" w:after="160" w:line="300" w:lineRule="auto"/>
        <w:ind w:left="990" w:hanging="630"/>
        <w:jc w:val="left"/>
        <w:rPr>
          <w:szCs w:val="24"/>
        </w:rPr>
      </w:pPr>
      <w:r w:rsidRPr="004046DB">
        <w:rPr>
          <w:szCs w:val="24"/>
        </w:rPr>
        <w:t xml:space="preserve">GHG Pricing Zones are modeled to accommodate state mandated GHG Pricing Programs as detailed in Section </w:t>
      </w:r>
      <w:r w:rsidR="006348C3">
        <w:rPr>
          <w:szCs w:val="24"/>
        </w:rPr>
        <w:fldChar w:fldCharType="begin"/>
      </w:r>
      <w:r w:rsidR="006348C3">
        <w:rPr>
          <w:szCs w:val="24"/>
        </w:rPr>
        <w:instrText xml:space="preserve"> REF _Ref193981057 \r \h </w:instrText>
      </w:r>
      <w:r w:rsidR="006348C3">
        <w:rPr>
          <w:szCs w:val="24"/>
        </w:rPr>
      </w:r>
      <w:r w:rsidR="006348C3">
        <w:rPr>
          <w:szCs w:val="24"/>
        </w:rPr>
        <w:fldChar w:fldCharType="separate"/>
      </w:r>
      <w:r w:rsidR="006348C3">
        <w:rPr>
          <w:szCs w:val="24"/>
        </w:rPr>
        <w:t>5</w:t>
      </w:r>
      <w:r w:rsidR="006348C3">
        <w:rPr>
          <w:szCs w:val="24"/>
        </w:rPr>
        <w:fldChar w:fldCharType="end"/>
      </w:r>
      <w:r w:rsidRPr="004046DB">
        <w:rPr>
          <w:szCs w:val="24"/>
        </w:rPr>
        <w:t xml:space="preserve">.  </w:t>
      </w:r>
    </w:p>
    <w:p w14:paraId="2DD3FE87" w14:textId="0DDEA096" w:rsidR="004046DB" w:rsidRPr="004046DB" w:rsidRDefault="004046DB" w:rsidP="004046DB">
      <w:pPr>
        <w:spacing w:after="0" w:line="300" w:lineRule="auto"/>
        <w:rPr>
          <w:b/>
          <w:szCs w:val="24"/>
        </w:rPr>
      </w:pPr>
      <w:r w:rsidRPr="004046DB">
        <w:rPr>
          <w:szCs w:val="24"/>
        </w:rPr>
        <w:t xml:space="preserve">Exhibit 3-2 provides a timeline-based illustration of the sequencing and interaction of the key Energy and Flexibility Reserve Products </w:t>
      </w:r>
      <w:r w:rsidR="00ED6EAD">
        <w:rPr>
          <w:szCs w:val="24"/>
        </w:rPr>
        <w:t>m</w:t>
      </w:r>
      <w:r w:rsidRPr="004046DB">
        <w:rPr>
          <w:szCs w:val="24"/>
        </w:rPr>
        <w:t xml:space="preserve">arkets functions for a representative Operating Day (1/31).  </w:t>
      </w:r>
    </w:p>
    <w:p w14:paraId="114C9E0D" w14:textId="77777777" w:rsidR="007738D3" w:rsidRDefault="007738D3">
      <w:pPr>
        <w:spacing w:after="0"/>
        <w:jc w:val="left"/>
        <w:rPr>
          <w:b/>
          <w:szCs w:val="24"/>
        </w:rPr>
      </w:pPr>
      <w:bookmarkStart w:id="167" w:name="_Toc213772415"/>
      <w:r>
        <w:rPr>
          <w:b/>
          <w:szCs w:val="24"/>
        </w:rPr>
        <w:br w:type="page"/>
      </w:r>
    </w:p>
    <w:p w14:paraId="38D85410" w14:textId="77777777" w:rsidR="004046DB" w:rsidRPr="004046DB" w:rsidRDefault="004046DB" w:rsidP="004046DB">
      <w:pPr>
        <w:spacing w:after="0"/>
        <w:jc w:val="center"/>
        <w:rPr>
          <w:b/>
          <w:szCs w:val="24"/>
        </w:rPr>
      </w:pPr>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sidRPr="004046DB">
        <w:rPr>
          <w:b/>
          <w:noProof/>
          <w:szCs w:val="24"/>
        </w:rPr>
        <w:t>3</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sidRPr="004046DB">
        <w:rPr>
          <w:b/>
          <w:noProof/>
          <w:szCs w:val="24"/>
        </w:rPr>
        <w:t>2</w:t>
      </w:r>
      <w:r w:rsidRPr="004046DB">
        <w:rPr>
          <w:b/>
          <w:szCs w:val="24"/>
        </w:rPr>
        <w:fldChar w:fldCharType="end"/>
      </w:r>
      <w:r w:rsidRPr="004046DB">
        <w:rPr>
          <w:b/>
          <w:szCs w:val="24"/>
        </w:rPr>
        <w:t>: Energy and Flexibility Reserve Markets Processes Timeline</w:t>
      </w:r>
      <w:bookmarkEnd w:id="167"/>
    </w:p>
    <w:p w14:paraId="5E1DCD8A" w14:textId="2F77F348" w:rsidR="004046DB" w:rsidRPr="004046DB" w:rsidRDefault="00834098" w:rsidP="004046DB">
      <w:pPr>
        <w:spacing w:after="0" w:line="300" w:lineRule="auto"/>
        <w:rPr>
          <w:szCs w:val="24"/>
        </w:rPr>
      </w:pPr>
      <w:r>
        <w:object w:dxaOrig="16080" w:dyaOrig="11131" w14:anchorId="57D8B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4pt" o:ole="">
            <v:imagedata r:id="rId30" o:title=""/>
          </v:shape>
          <o:OLEObject Type="Embed" ProgID="Visio.Drawing.15" ShapeID="_x0000_i1025" DrawAspect="Content" ObjectID="_1829396210" r:id="rId31"/>
        </w:object>
      </w:r>
    </w:p>
    <w:p w14:paraId="38631E45" w14:textId="0B2E3FDE" w:rsidR="004046DB" w:rsidRPr="004046DB" w:rsidRDefault="004046DB" w:rsidP="004046DB">
      <w:pPr>
        <w:jc w:val="left"/>
      </w:pPr>
    </w:p>
    <w:p w14:paraId="4F5E9FF3" w14:textId="77777777" w:rsidR="00F94E48" w:rsidRPr="00F94E48" w:rsidRDefault="00F94E48" w:rsidP="00F94E48">
      <w:pPr>
        <w:pStyle w:val="ListParagraph"/>
        <w:keepNext/>
        <w:numPr>
          <w:ilvl w:val="0"/>
          <w:numId w:val="428"/>
        </w:numPr>
        <w:spacing w:after="240"/>
        <w:contextualSpacing w:val="0"/>
        <w:outlineLvl w:val="2"/>
        <w:rPr>
          <w:b/>
          <w:vanish/>
          <w:sz w:val="26"/>
        </w:rPr>
      </w:pPr>
      <w:bookmarkStart w:id="168" w:name="_Toc212633239"/>
      <w:bookmarkStart w:id="169" w:name="_Toc212633920"/>
      <w:bookmarkStart w:id="170" w:name="_Toc213746298"/>
      <w:bookmarkStart w:id="171" w:name="_Toc213771763"/>
      <w:bookmarkStart w:id="172" w:name="_Ref100146196"/>
      <w:bookmarkStart w:id="173" w:name="OLE_LINK251"/>
      <w:bookmarkStart w:id="174" w:name="OLE_LINK252"/>
      <w:bookmarkStart w:id="175" w:name="OLE_LINK142"/>
      <w:bookmarkEnd w:id="168"/>
      <w:bookmarkEnd w:id="169"/>
      <w:bookmarkEnd w:id="170"/>
      <w:bookmarkEnd w:id="171"/>
    </w:p>
    <w:p w14:paraId="19C29B50" w14:textId="77777777" w:rsidR="00F94E48" w:rsidRPr="00F94E48" w:rsidRDefault="00F94E48" w:rsidP="00F94E48">
      <w:pPr>
        <w:pStyle w:val="ListParagraph"/>
        <w:keepNext/>
        <w:numPr>
          <w:ilvl w:val="0"/>
          <w:numId w:val="428"/>
        </w:numPr>
        <w:spacing w:after="240"/>
        <w:contextualSpacing w:val="0"/>
        <w:outlineLvl w:val="2"/>
        <w:rPr>
          <w:b/>
          <w:vanish/>
          <w:sz w:val="26"/>
        </w:rPr>
      </w:pPr>
      <w:bookmarkStart w:id="176" w:name="_Toc212633240"/>
      <w:bookmarkStart w:id="177" w:name="_Toc212633921"/>
      <w:bookmarkStart w:id="178" w:name="_Toc213746299"/>
      <w:bookmarkStart w:id="179" w:name="_Toc213771764"/>
      <w:bookmarkEnd w:id="176"/>
      <w:bookmarkEnd w:id="177"/>
      <w:bookmarkEnd w:id="178"/>
      <w:bookmarkEnd w:id="179"/>
    </w:p>
    <w:p w14:paraId="2CE66F98" w14:textId="77777777" w:rsidR="00F94E48" w:rsidRPr="00F94E48" w:rsidRDefault="00F94E48" w:rsidP="00F94E48">
      <w:pPr>
        <w:pStyle w:val="ListParagraph"/>
        <w:keepNext/>
        <w:numPr>
          <w:ilvl w:val="0"/>
          <w:numId w:val="428"/>
        </w:numPr>
        <w:spacing w:after="240"/>
        <w:contextualSpacing w:val="0"/>
        <w:outlineLvl w:val="2"/>
        <w:rPr>
          <w:b/>
          <w:vanish/>
          <w:sz w:val="26"/>
        </w:rPr>
      </w:pPr>
      <w:bookmarkStart w:id="180" w:name="_Toc212633241"/>
      <w:bookmarkStart w:id="181" w:name="_Toc212633922"/>
      <w:bookmarkStart w:id="182" w:name="_Toc213746300"/>
      <w:bookmarkStart w:id="183" w:name="_Toc213771765"/>
      <w:bookmarkEnd w:id="180"/>
      <w:bookmarkEnd w:id="181"/>
      <w:bookmarkEnd w:id="182"/>
      <w:bookmarkEnd w:id="183"/>
    </w:p>
    <w:p w14:paraId="6F9C1997" w14:textId="77777777" w:rsidR="00F94E48" w:rsidRPr="00F94E48" w:rsidRDefault="00F94E48" w:rsidP="00F94E48">
      <w:pPr>
        <w:pStyle w:val="ListParagraph"/>
        <w:keepNext/>
        <w:numPr>
          <w:ilvl w:val="1"/>
          <w:numId w:val="428"/>
        </w:numPr>
        <w:spacing w:after="240"/>
        <w:contextualSpacing w:val="0"/>
        <w:outlineLvl w:val="2"/>
        <w:rPr>
          <w:b/>
          <w:vanish/>
          <w:sz w:val="26"/>
        </w:rPr>
      </w:pPr>
      <w:bookmarkStart w:id="184" w:name="_Toc212633242"/>
      <w:bookmarkStart w:id="185" w:name="_Toc212633923"/>
      <w:bookmarkStart w:id="186" w:name="_Toc213746301"/>
      <w:bookmarkStart w:id="187" w:name="_Toc213771766"/>
      <w:bookmarkEnd w:id="184"/>
      <w:bookmarkEnd w:id="185"/>
      <w:bookmarkEnd w:id="186"/>
      <w:bookmarkEnd w:id="187"/>
    </w:p>
    <w:p w14:paraId="4D8D0F90" w14:textId="596F06E4" w:rsidR="004046DB" w:rsidRPr="00F94E48" w:rsidRDefault="004046DB" w:rsidP="00C20DF9">
      <w:pPr>
        <w:pStyle w:val="Heading2"/>
      </w:pPr>
      <w:bookmarkStart w:id="188" w:name="_Ref212540108"/>
      <w:bookmarkStart w:id="189" w:name="_Toc213771767"/>
      <w:r w:rsidRPr="00F94E48">
        <w:t>Day-Ahead Market and RTBM SCED</w:t>
      </w:r>
      <w:bookmarkEnd w:id="188"/>
      <w:bookmarkEnd w:id="189"/>
      <w:r w:rsidRPr="00F94E48">
        <w:t xml:space="preserve"> </w:t>
      </w:r>
      <w:bookmarkEnd w:id="172"/>
    </w:p>
    <w:p w14:paraId="379AE0A1" w14:textId="3B5B814E" w:rsidR="004046DB" w:rsidRPr="004046DB" w:rsidRDefault="004046DB" w:rsidP="004046DB">
      <w:pPr>
        <w:spacing w:line="300" w:lineRule="auto"/>
      </w:pPr>
      <w:r w:rsidRPr="004046DB">
        <w:tab/>
        <w:t>The SCED used in the Day-Ahead Market and RTBM produces both a dispatch solution and a pricing solution.  The dispatch solution and pricing solution are executed independent of each other.  The MW quantities used in settlements for the dispatch and clearing of Energy and Flexibility Reserve Products result from the dispatch solution.  Except where specified as DLMP, prices used in settlements result from the pricing solution and will be specified as LMP, MCC, MCP, MEC, and MLC.  DLMP results from the dispatch solution.  The differences between the dispatch solution and the pricing solution are:</w:t>
      </w:r>
    </w:p>
    <w:p w14:paraId="4BA847BF" w14:textId="77777777" w:rsidR="004046DB" w:rsidRPr="004046DB" w:rsidRDefault="004046DB" w:rsidP="00C35DA0">
      <w:pPr>
        <w:numPr>
          <w:ilvl w:val="0"/>
          <w:numId w:val="68"/>
        </w:numPr>
        <w:spacing w:after="160" w:line="300" w:lineRule="auto"/>
        <w:jc w:val="left"/>
      </w:pPr>
      <w:r w:rsidRPr="004046DB">
        <w:t>SCED dispatch solution</w:t>
      </w:r>
    </w:p>
    <w:p w14:paraId="11D53A43" w14:textId="77777777" w:rsidR="004046DB" w:rsidRPr="004046DB" w:rsidRDefault="004046DB" w:rsidP="00C35DA0">
      <w:pPr>
        <w:numPr>
          <w:ilvl w:val="1"/>
          <w:numId w:val="69"/>
        </w:numPr>
        <w:spacing w:after="160" w:line="300" w:lineRule="auto"/>
        <w:jc w:val="left"/>
      </w:pPr>
      <w:r w:rsidRPr="004046DB">
        <w:t>Co-optimization of Energy and Flexibility Reserve Products is based on the Energy Offers and Bids and Mid-Term Flex Up Offers submitted by the Market Participants.</w:t>
      </w:r>
    </w:p>
    <w:p w14:paraId="3C28E7F1" w14:textId="77777777" w:rsidR="004046DB" w:rsidRPr="004046DB" w:rsidRDefault="004046DB" w:rsidP="00C35DA0">
      <w:pPr>
        <w:numPr>
          <w:ilvl w:val="0"/>
          <w:numId w:val="68"/>
        </w:numPr>
        <w:spacing w:after="160" w:line="300" w:lineRule="auto"/>
        <w:jc w:val="left"/>
      </w:pPr>
      <w:r w:rsidRPr="004046DB">
        <w:t>SCED pricing solution</w:t>
      </w:r>
    </w:p>
    <w:p w14:paraId="0856ECF5" w14:textId="77777777" w:rsidR="004046DB" w:rsidRPr="004046DB" w:rsidRDefault="004046DB" w:rsidP="00C35DA0">
      <w:pPr>
        <w:numPr>
          <w:ilvl w:val="0"/>
          <w:numId w:val="70"/>
        </w:numPr>
        <w:spacing w:after="160" w:line="300" w:lineRule="auto"/>
        <w:ind w:hanging="540"/>
        <w:jc w:val="left"/>
      </w:pPr>
      <w:r w:rsidRPr="004046DB">
        <w:t>For non-Fast-Start Resources (FSRs), Co-optimization of Energy and Flexibility Reserve Products is based on the Energy Offers and Bids and Mid-Term Flex-Up Offers submitted by the Market Participants.</w:t>
      </w:r>
    </w:p>
    <w:p w14:paraId="09CD35C5" w14:textId="407C61B5" w:rsidR="004046DB" w:rsidRPr="004046DB" w:rsidRDefault="004046DB" w:rsidP="00C35DA0">
      <w:pPr>
        <w:numPr>
          <w:ilvl w:val="0"/>
          <w:numId w:val="70"/>
        </w:numPr>
        <w:spacing w:after="160" w:line="300" w:lineRule="auto"/>
        <w:ind w:hanging="540"/>
        <w:jc w:val="left"/>
      </w:pPr>
      <w:r w:rsidRPr="004046DB">
        <w:t xml:space="preserve">For FSRs committed by the Market Operator or a Participating Balancing </w:t>
      </w:r>
      <w:r w:rsidRPr="002E274A">
        <w:t>Authority for a</w:t>
      </w:r>
      <w:r w:rsidR="002E274A" w:rsidRPr="002E274A">
        <w:t>n</w:t>
      </w:r>
      <w:r w:rsidRPr="002E274A">
        <w:t xml:space="preserve"> </w:t>
      </w:r>
      <w:r w:rsidRPr="00FE7AA5">
        <w:t>Emergency Condition</w:t>
      </w:r>
      <w:r w:rsidRPr="002E274A">
        <w:t xml:space="preserve"> or Local Reliability Issue but not</w:t>
      </w:r>
      <w:r w:rsidRPr="004046DB">
        <w:t xml:space="preserve"> including self-committed FSRs, the Market Operator calculates a Composite Energy Offer Curve for use in the co-optimization of Energy and Flexibility Reserve Products.  The Composite Energy Offer Curve will be calculated and applied as follows:</w:t>
      </w:r>
    </w:p>
    <w:p w14:paraId="209473FA" w14:textId="3A611B87" w:rsidR="004046DB" w:rsidRPr="004046DB" w:rsidRDefault="004046DB" w:rsidP="00C35DA0">
      <w:pPr>
        <w:numPr>
          <w:ilvl w:val="0"/>
          <w:numId w:val="71"/>
        </w:numPr>
        <w:spacing w:after="160" w:line="300" w:lineRule="auto"/>
        <w:ind w:hanging="540"/>
        <w:jc w:val="left"/>
      </w:pPr>
      <w:r w:rsidRPr="004046DB">
        <w:t>The Market Operator calculates a Composite Energy Offer Curve for an FSR by modifying each price point on the Energy Offer Curve for each market interval of the Minimum Run Time by adding amortized Start-Up Offer and No-Load Offer.  For FSRs that are MSRs, the Composite Energy Offer Curve applies only to the discharge po</w:t>
      </w:r>
      <w:r w:rsidR="00D03A84">
        <w:t>r</w:t>
      </w:r>
      <w:r w:rsidRPr="004046DB">
        <w:t>tion of the Energy Offer Curve.</w:t>
      </w:r>
    </w:p>
    <w:p w14:paraId="7A31F424" w14:textId="3F7C10C6" w:rsidR="004046DB" w:rsidRPr="004046DB" w:rsidRDefault="004046DB" w:rsidP="00C35DA0">
      <w:pPr>
        <w:numPr>
          <w:ilvl w:val="0"/>
          <w:numId w:val="72"/>
        </w:numPr>
        <w:spacing w:after="160" w:line="300" w:lineRule="auto"/>
        <w:jc w:val="left"/>
      </w:pPr>
      <w:r w:rsidRPr="004046DB">
        <w:t>The commitment costs (i.e. start-up cost and no-load cost) in effect at the time of commitment are amortized over the Maximum Economic Capacity Operating Limit</w:t>
      </w:r>
      <w:r w:rsidR="00BC3110">
        <w:t xml:space="preserve"> (Max ECOL)</w:t>
      </w:r>
      <w:r w:rsidR="0002577C">
        <w:rPr>
          <w:szCs w:val="24"/>
        </w:rPr>
        <w:t>, or in the case of an MSR, the Maximum Discharge Limit,</w:t>
      </w:r>
      <w:r w:rsidRPr="004046DB">
        <w:t xml:space="preserve"> and the Minimum Run Time.</w:t>
      </w:r>
    </w:p>
    <w:p w14:paraId="696FFD5D" w14:textId="7EBD2475" w:rsidR="004046DB" w:rsidRPr="004046DB" w:rsidRDefault="004046DB" w:rsidP="00C35DA0">
      <w:pPr>
        <w:numPr>
          <w:ilvl w:val="0"/>
          <w:numId w:val="76"/>
        </w:numPr>
        <w:spacing w:after="160" w:line="300" w:lineRule="auto"/>
        <w:jc w:val="left"/>
      </w:pPr>
      <w:r w:rsidRPr="004046DB">
        <w:t xml:space="preserve">The start-up cost added to each breakpoint of the Energy Offer Curve is calculated by dividing the Start-Up Offer by the </w:t>
      </w:r>
      <w:r w:rsidR="00BC3110">
        <w:t>Max ECOL</w:t>
      </w:r>
      <w:r w:rsidR="0002577C">
        <w:rPr>
          <w:szCs w:val="24"/>
        </w:rPr>
        <w:t>, or in the case of an MSR, the Maximum Discharge Limit,</w:t>
      </w:r>
      <w:r w:rsidRPr="004046DB">
        <w:t xml:space="preserve"> and by the Minimum Run Time rounded up to the nearest interval.</w:t>
      </w:r>
    </w:p>
    <w:p w14:paraId="0857D565" w14:textId="392C9630" w:rsidR="004046DB" w:rsidRPr="004046DB" w:rsidRDefault="004046DB" w:rsidP="00C35DA0">
      <w:pPr>
        <w:numPr>
          <w:ilvl w:val="0"/>
          <w:numId w:val="76"/>
        </w:numPr>
        <w:spacing w:after="160" w:line="300" w:lineRule="auto"/>
        <w:jc w:val="left"/>
      </w:pPr>
      <w:r w:rsidRPr="004046DB">
        <w:t xml:space="preserve">The no-load cost added to each breakpoint of the Energy Offer Curve is calculated by dividing the No-Load Offer by the </w:t>
      </w:r>
      <w:r w:rsidR="00BC3110">
        <w:t>Max ECOL</w:t>
      </w:r>
      <w:r w:rsidR="00447786">
        <w:rPr>
          <w:szCs w:val="24"/>
        </w:rPr>
        <w:t>, or in the case of an MSR, the Maximum Discharge Limit,</w:t>
      </w:r>
      <w:r w:rsidRPr="004046DB">
        <w:t xml:space="preserve"> and by the ratio of the number of intervals needed to meet the Minimum Run Time to the number of intervals in an hour.</w:t>
      </w:r>
    </w:p>
    <w:p w14:paraId="2CA239CB" w14:textId="77777777" w:rsidR="004046DB" w:rsidRPr="004046DB" w:rsidRDefault="004046DB" w:rsidP="00C35DA0">
      <w:pPr>
        <w:numPr>
          <w:ilvl w:val="0"/>
          <w:numId w:val="72"/>
        </w:numPr>
        <w:spacing w:after="160" w:line="300" w:lineRule="auto"/>
        <w:jc w:val="left"/>
      </w:pPr>
      <w:r w:rsidRPr="004046DB">
        <w:t>The application of the Composite Energy Offer Curve begins with the commitment interval and extends through the Minimum Run Time.</w:t>
      </w:r>
    </w:p>
    <w:p w14:paraId="668FD9C4" w14:textId="7E8A88AC" w:rsidR="004046DB" w:rsidRPr="004046DB" w:rsidRDefault="004046DB" w:rsidP="004046DB">
      <w:pPr>
        <w:spacing w:line="300" w:lineRule="auto"/>
      </w:pPr>
      <w:r w:rsidRPr="004046DB">
        <w:t xml:space="preserve">For example, an FSR with a Start-Up Offer of $100, a No-Load Offer of </w:t>
      </w:r>
      <w:r w:rsidR="00E65799">
        <w:t xml:space="preserve"> </w:t>
      </w:r>
      <w:r w:rsidRPr="004046DB">
        <w:t xml:space="preserve">$50, a </w:t>
      </w:r>
      <w:r w:rsidR="00BC3110">
        <w:t>Max ECOL</w:t>
      </w:r>
      <w:r w:rsidRPr="004046DB">
        <w:t xml:space="preserve"> of 10 MW, a flat Energy Offer Curve of $15, and a Minimum Run Time of 26 minutes will have a Composite Energy Offer calculated as follows:</w:t>
      </w:r>
    </w:p>
    <w:p w14:paraId="37A216CF" w14:textId="77777777" w:rsidR="004046DB" w:rsidRPr="004046DB" w:rsidRDefault="004046DB" w:rsidP="00C35DA0">
      <w:pPr>
        <w:numPr>
          <w:ilvl w:val="0"/>
          <w:numId w:val="73"/>
        </w:numPr>
        <w:spacing w:after="160" w:line="300" w:lineRule="auto"/>
        <w:jc w:val="left"/>
      </w:pPr>
      <w:r w:rsidRPr="004046DB">
        <w:t>Day-Ahead Market:</w:t>
      </w:r>
    </w:p>
    <w:p w14:paraId="6051DE89" w14:textId="23AA3B80" w:rsidR="004046DB" w:rsidRPr="004046DB" w:rsidRDefault="004046DB" w:rsidP="00C35DA0">
      <w:pPr>
        <w:numPr>
          <w:ilvl w:val="0"/>
          <w:numId w:val="74"/>
        </w:numPr>
        <w:tabs>
          <w:tab w:val="left" w:pos="5400"/>
        </w:tabs>
        <w:spacing w:after="160" w:line="300" w:lineRule="auto"/>
        <w:ind w:left="3420"/>
        <w:jc w:val="left"/>
      </w:pPr>
      <w:r w:rsidRPr="004046DB">
        <w:t>Because the interval length in</w:t>
      </w:r>
      <w:r w:rsidR="00A9678A">
        <w:t xml:space="preserve"> the</w:t>
      </w:r>
      <w:r w:rsidRPr="004046DB">
        <w:t xml:space="preserve"> Day-Ahead Market is one (1) hour</w:t>
      </w:r>
      <w:r w:rsidR="00932BD4">
        <w:t>,</w:t>
      </w:r>
      <w:r w:rsidRPr="004046DB">
        <w:t xml:space="preserve"> it takes one (1) interval to meet the Minimum Run Time requirement</w:t>
      </w:r>
      <w:r w:rsidR="00932BD4">
        <w:t>;</w:t>
      </w:r>
      <w:r w:rsidRPr="004046DB">
        <w:t xml:space="preserve"> therefore, the Minimum Run Time is rounded up to one (1) hour.</w:t>
      </w:r>
    </w:p>
    <w:p w14:paraId="3FD317B8" w14:textId="77777777" w:rsidR="004046DB" w:rsidRPr="004046DB" w:rsidRDefault="004046DB" w:rsidP="00C35DA0">
      <w:pPr>
        <w:numPr>
          <w:ilvl w:val="0"/>
          <w:numId w:val="74"/>
        </w:numPr>
        <w:tabs>
          <w:tab w:val="left" w:pos="5400"/>
        </w:tabs>
        <w:spacing w:after="160" w:line="300" w:lineRule="auto"/>
        <w:ind w:left="3420"/>
        <w:jc w:val="left"/>
      </w:pPr>
      <w:r w:rsidRPr="004046DB">
        <w:t>The Start-Up Offer will be amortized by $100/(10MW X 1 hour) = $10/MWh and added to the No-Load Offer which is amortized by $50/h / 10MW X 1Interval / 1Interval) = $5/MWh</w:t>
      </w:r>
    </w:p>
    <w:p w14:paraId="2041C18A" w14:textId="77777777" w:rsidR="004046DB" w:rsidRPr="004046DB" w:rsidRDefault="004046DB" w:rsidP="00C35DA0">
      <w:pPr>
        <w:numPr>
          <w:ilvl w:val="0"/>
          <w:numId w:val="74"/>
        </w:numPr>
        <w:tabs>
          <w:tab w:val="left" w:pos="5400"/>
        </w:tabs>
        <w:spacing w:after="160" w:line="300" w:lineRule="auto"/>
        <w:ind w:left="3420"/>
        <w:jc w:val="left"/>
      </w:pPr>
      <w:r w:rsidRPr="004046DB">
        <w:t>Composite Energy Offer Curve = $15/MWh + $10/MWh + $5/MWh = $30/MWh</w:t>
      </w:r>
    </w:p>
    <w:p w14:paraId="15AAA0DB" w14:textId="77777777" w:rsidR="004046DB" w:rsidRPr="004046DB" w:rsidRDefault="004046DB" w:rsidP="00C35DA0">
      <w:pPr>
        <w:numPr>
          <w:ilvl w:val="0"/>
          <w:numId w:val="73"/>
        </w:numPr>
        <w:tabs>
          <w:tab w:val="left" w:pos="5400"/>
        </w:tabs>
        <w:spacing w:after="160" w:line="300" w:lineRule="auto"/>
        <w:jc w:val="left"/>
      </w:pPr>
      <w:r w:rsidRPr="004046DB">
        <w:t>RTBM:</w:t>
      </w:r>
      <w:r w:rsidRPr="004046DB">
        <w:tab/>
      </w:r>
      <w:r w:rsidRPr="004046DB">
        <w:tab/>
      </w:r>
      <w:r w:rsidRPr="004046DB">
        <w:tab/>
      </w:r>
    </w:p>
    <w:p w14:paraId="4DE99D3E" w14:textId="54B971A5" w:rsidR="004046DB" w:rsidRPr="004046DB" w:rsidRDefault="004046DB" w:rsidP="00C35DA0">
      <w:pPr>
        <w:numPr>
          <w:ilvl w:val="0"/>
          <w:numId w:val="75"/>
        </w:numPr>
        <w:spacing w:after="160" w:line="300" w:lineRule="auto"/>
        <w:ind w:left="3600" w:hanging="540"/>
        <w:jc w:val="left"/>
      </w:pPr>
      <w:r w:rsidRPr="004046DB">
        <w:t>Because the interval length in RTBM is five (5) minutes</w:t>
      </w:r>
      <w:r w:rsidR="006F20B8">
        <w:t>,</w:t>
      </w:r>
      <w:r w:rsidRPr="004046DB">
        <w:t xml:space="preserve"> it takes six (6) intervals to meet the Minimum Run Time</w:t>
      </w:r>
      <w:r w:rsidR="006F20B8">
        <w:t>;</w:t>
      </w:r>
      <w:r w:rsidRPr="004046DB">
        <w:t xml:space="preserve"> therefore, the Minimum Run Time is rounded up to 6/12 hour.</w:t>
      </w:r>
    </w:p>
    <w:p w14:paraId="16422965" w14:textId="77777777" w:rsidR="004046DB" w:rsidRPr="004046DB" w:rsidRDefault="004046DB" w:rsidP="00C35DA0">
      <w:pPr>
        <w:numPr>
          <w:ilvl w:val="0"/>
          <w:numId w:val="75"/>
        </w:numPr>
        <w:spacing w:after="160" w:line="300" w:lineRule="auto"/>
        <w:ind w:left="3600" w:hanging="540"/>
        <w:jc w:val="left"/>
      </w:pPr>
      <w:r w:rsidRPr="004046DB">
        <w:t>The Start-Up Offer will be amortized by $100/(10 MW X 6/12 hour) = $20/MWh is added to the No-Load Offer which will be amortized by $50/h) / (10MW X 6 Intervals / 12Intervals) = $10 MWh</w:t>
      </w:r>
    </w:p>
    <w:p w14:paraId="033AC151" w14:textId="77777777" w:rsidR="004046DB" w:rsidRPr="004046DB" w:rsidRDefault="004046DB" w:rsidP="00C35DA0">
      <w:pPr>
        <w:numPr>
          <w:ilvl w:val="0"/>
          <w:numId w:val="75"/>
        </w:numPr>
        <w:spacing w:after="160" w:line="300" w:lineRule="auto"/>
        <w:ind w:firstLine="900"/>
        <w:jc w:val="left"/>
      </w:pPr>
      <w:r w:rsidRPr="004046DB">
        <w:t xml:space="preserve">Composite Energy Offer Curve = $15/MWh + $20/MWh + </w:t>
      </w:r>
      <w:r w:rsidRPr="004046DB">
        <w:tab/>
      </w:r>
      <w:r w:rsidRPr="004046DB">
        <w:tab/>
      </w:r>
      <w:r w:rsidRPr="004046DB">
        <w:tab/>
        <w:t>$10/MWh = $45/MWh</w:t>
      </w:r>
    </w:p>
    <w:p w14:paraId="0016E7B1" w14:textId="48900B7E" w:rsidR="004046DB" w:rsidRPr="004046DB" w:rsidRDefault="004046DB" w:rsidP="00C35DA0">
      <w:pPr>
        <w:numPr>
          <w:ilvl w:val="0"/>
          <w:numId w:val="70"/>
        </w:numPr>
        <w:spacing w:after="160" w:line="300" w:lineRule="auto"/>
        <w:jc w:val="left"/>
      </w:pPr>
      <w:r w:rsidRPr="004046DB">
        <w:t xml:space="preserve">In addition to dispatchable </w:t>
      </w:r>
      <w:r w:rsidR="00447786">
        <w:t>B</w:t>
      </w:r>
      <w:r w:rsidRPr="004046DB">
        <w:t xml:space="preserve">ids and </w:t>
      </w:r>
      <w:r w:rsidR="00447786">
        <w:t>O</w:t>
      </w:r>
      <w:r w:rsidRPr="004046DB">
        <w:t xml:space="preserve">ffers, FSRs committed by the Market Operator, including FSRs committed at the request of </w:t>
      </w:r>
      <w:r w:rsidR="006270FB">
        <w:t xml:space="preserve">Participating Balancing Authorities, </w:t>
      </w:r>
      <w:r w:rsidRPr="004046DB">
        <w:t>Transmission Operators</w:t>
      </w:r>
      <w:r w:rsidR="00447786">
        <w:t>,</w:t>
      </w:r>
      <w:r w:rsidR="00370B32">
        <w:t xml:space="preserve"> or </w:t>
      </w:r>
      <w:r w:rsidR="00C61DA9">
        <w:t>Reliability Coordinators</w:t>
      </w:r>
      <w:r w:rsidRPr="004046DB">
        <w:t>, but not including self-committed FSRs, will have their minimum operating limit relaxed to 0 MW.</w:t>
      </w:r>
    </w:p>
    <w:p w14:paraId="09C32BAD" w14:textId="559B5783" w:rsidR="004046DB" w:rsidRPr="004046DB" w:rsidRDefault="004046DB" w:rsidP="004046DB">
      <w:pPr>
        <w:spacing w:line="300" w:lineRule="auto"/>
      </w:pPr>
      <w:r w:rsidRPr="004046DB">
        <w:tab/>
        <w:t xml:space="preserve">      For Day-Ahead Market and RTBM SCED, mitigation measures for Energy and Flexibility Reserve Product Offers, described under Sections </w:t>
      </w:r>
      <w:r w:rsidR="006A4FF9">
        <w:fldChar w:fldCharType="begin"/>
      </w:r>
      <w:r w:rsidR="006A4FF9">
        <w:instrText xml:space="preserve"> REF _Ref323550152 \r \h </w:instrText>
      </w:r>
      <w:r w:rsidR="006A4FF9">
        <w:fldChar w:fldCharType="separate"/>
      </w:r>
      <w:r w:rsidR="006A4FF9">
        <w:t>12.1.2.4</w:t>
      </w:r>
      <w:r w:rsidR="006A4FF9">
        <w:fldChar w:fldCharType="end"/>
      </w:r>
      <w:r w:rsidR="006A4FF9">
        <w:t xml:space="preserve"> </w:t>
      </w:r>
      <w:r w:rsidRPr="004046DB">
        <w:t xml:space="preserve">and </w:t>
      </w:r>
      <w:r w:rsidR="006A4FF9">
        <w:fldChar w:fldCharType="begin"/>
      </w:r>
      <w:r w:rsidR="006A4FF9">
        <w:instrText xml:space="preserve"> REF _Ref323550205 \r \h </w:instrText>
      </w:r>
      <w:r w:rsidR="006A4FF9">
        <w:fldChar w:fldCharType="separate"/>
      </w:r>
      <w:r w:rsidR="006A4FF9">
        <w:t>12.1.2.6</w:t>
      </w:r>
      <w:r w:rsidR="006A4FF9">
        <w:fldChar w:fldCharType="end"/>
      </w:r>
      <w:r w:rsidRPr="004046DB">
        <w:t xml:space="preserve"> will be performed in the SCED pricing solution.</w:t>
      </w:r>
    </w:p>
    <w:p w14:paraId="1F6F4311" w14:textId="4F782542" w:rsidR="00430866" w:rsidRDefault="004046DB" w:rsidP="004046DB">
      <w:pPr>
        <w:spacing w:line="300" w:lineRule="auto"/>
      </w:pPr>
      <w:r w:rsidRPr="004046DB">
        <w:tab/>
        <w:t xml:space="preserve">      </w:t>
      </w:r>
      <w:r w:rsidR="00447786">
        <w:t xml:space="preserve">An </w:t>
      </w:r>
      <w:r w:rsidRPr="004046DB">
        <w:t>FSR</w:t>
      </w:r>
      <w:r w:rsidR="00447786">
        <w:t>’</w:t>
      </w:r>
      <w:r w:rsidRPr="004046DB">
        <w:t xml:space="preserve">s Composite Energy Offer Curve will be subject to the Energy Offer Cap described under Section </w:t>
      </w:r>
      <w:r w:rsidR="006A4FF9">
        <w:fldChar w:fldCharType="begin"/>
      </w:r>
      <w:r w:rsidR="006A4FF9">
        <w:instrText xml:space="preserve"> REF _Ref265244269 \r \h </w:instrText>
      </w:r>
      <w:r w:rsidR="006A4FF9">
        <w:fldChar w:fldCharType="separate"/>
      </w:r>
      <w:r w:rsidR="006A4FF9">
        <w:t>12.1.5</w:t>
      </w:r>
      <w:r w:rsidR="006A4FF9">
        <w:fldChar w:fldCharType="end"/>
      </w:r>
      <w:bookmarkEnd w:id="173"/>
      <w:bookmarkEnd w:id="174"/>
      <w:bookmarkEnd w:id="175"/>
      <w:r w:rsidRPr="004046DB">
        <w:t>.</w:t>
      </w:r>
    </w:p>
    <w:p w14:paraId="7EDEE2BE" w14:textId="77777777" w:rsidR="00430866" w:rsidRDefault="00430866">
      <w:pPr>
        <w:spacing w:after="0"/>
        <w:jc w:val="left"/>
      </w:pPr>
      <w:r>
        <w:br w:type="page"/>
      </w:r>
    </w:p>
    <w:p w14:paraId="5BE552D0" w14:textId="77777777" w:rsidR="00C8264D" w:rsidRPr="006F07A5" w:rsidRDefault="00C8264D" w:rsidP="00835D5A">
      <w:pPr>
        <w:pStyle w:val="Heading1"/>
        <w:ind w:left="450"/>
      </w:pPr>
      <w:bookmarkStart w:id="190" w:name="_Toc213771768"/>
      <w:r w:rsidRPr="006F07A5">
        <w:t xml:space="preserve">Energy and Flexibility Reserve </w:t>
      </w:r>
      <w:r>
        <w:t xml:space="preserve">Products </w:t>
      </w:r>
      <w:r w:rsidRPr="006F07A5">
        <w:t>Markets Requirements and Processes</w:t>
      </w:r>
      <w:bookmarkEnd w:id="190"/>
    </w:p>
    <w:p w14:paraId="07A6EA01" w14:textId="07458E07" w:rsidR="00C8264D" w:rsidRDefault="00C8264D" w:rsidP="00C8264D">
      <w:pPr>
        <w:spacing w:line="300" w:lineRule="auto"/>
        <w:rPr>
          <w:szCs w:val="24"/>
        </w:rPr>
      </w:pPr>
      <w:r w:rsidRPr="006F07A5">
        <w:rPr>
          <w:szCs w:val="24"/>
        </w:rPr>
        <w:t xml:space="preserve">Energy and Flexibility Reserve </w:t>
      </w:r>
      <w:r>
        <w:rPr>
          <w:szCs w:val="24"/>
        </w:rPr>
        <w:t xml:space="preserve">Products </w:t>
      </w:r>
      <w:r w:rsidRPr="006F07A5">
        <w:rPr>
          <w:szCs w:val="24"/>
        </w:rPr>
        <w:t>Markets processes consist of activities beginning six</w:t>
      </w:r>
      <w:r w:rsidR="00F93EC1">
        <w:rPr>
          <w:szCs w:val="24"/>
        </w:rPr>
        <w:t xml:space="preserve"> (6)</w:t>
      </w:r>
      <w:r w:rsidRPr="006F07A5">
        <w:rPr>
          <w:szCs w:val="24"/>
        </w:rPr>
        <w:t xml:space="preserve"> days prior to the </w:t>
      </w:r>
      <w:r w:rsidRPr="003D178A">
        <w:rPr>
          <w:szCs w:val="24"/>
        </w:rPr>
        <w:t>Da</w:t>
      </w:r>
      <w:r w:rsidRPr="00DE31AB">
        <w:rPr>
          <w:szCs w:val="24"/>
        </w:rPr>
        <w:t>y-</w:t>
      </w:r>
      <w:r w:rsidRPr="003D178A">
        <w:rPr>
          <w:szCs w:val="24"/>
        </w:rPr>
        <w:t>Ahead</w:t>
      </w:r>
      <w:r w:rsidRPr="006F07A5">
        <w:rPr>
          <w:szCs w:val="24"/>
        </w:rPr>
        <w:t xml:space="preserve"> Market (Pre-Day-Ahead), activities the day prior to the Operating Day (Day-Ahead), activities during the Operating Day (Operating Day) and activities following the end of the Operating Day (Post Operating Day).  All time referenced throughout this </w:t>
      </w:r>
      <w:r w:rsidR="002C4698">
        <w:rPr>
          <w:szCs w:val="24"/>
        </w:rPr>
        <w:t>s</w:t>
      </w:r>
      <w:r w:rsidRPr="006F07A5">
        <w:rPr>
          <w:szCs w:val="24"/>
        </w:rPr>
        <w:t xml:space="preserve">ection </w:t>
      </w:r>
      <w:r w:rsidRPr="006F07A5">
        <w:rPr>
          <w:color w:val="2B579A"/>
          <w:szCs w:val="24"/>
          <w:shd w:val="clear" w:color="auto" w:fill="E6E6E6"/>
        </w:rPr>
        <w:fldChar w:fldCharType="begin"/>
      </w:r>
      <w:r w:rsidRPr="006F07A5">
        <w:rPr>
          <w:szCs w:val="24"/>
        </w:rPr>
        <w:instrText xml:space="preserve"> REF _Ref349712364 \n \h </w:instrText>
      </w:r>
      <w:r w:rsidRPr="006F07A5">
        <w:rPr>
          <w:color w:val="2B579A"/>
          <w:szCs w:val="24"/>
          <w:shd w:val="clear" w:color="auto" w:fill="E6E6E6"/>
        </w:rPr>
      </w:r>
      <w:r w:rsidRPr="006F07A5">
        <w:rPr>
          <w:color w:val="2B579A"/>
          <w:szCs w:val="24"/>
          <w:shd w:val="clear" w:color="auto" w:fill="E6E6E6"/>
        </w:rPr>
        <w:fldChar w:fldCharType="separate"/>
      </w:r>
      <w:r w:rsidRPr="006F07A5">
        <w:rPr>
          <w:color w:val="2B579A"/>
          <w:szCs w:val="24"/>
          <w:shd w:val="clear" w:color="auto" w:fill="E6E6E6"/>
        </w:rPr>
        <w:fldChar w:fldCharType="end"/>
      </w:r>
      <w:r w:rsidRPr="006F07A5">
        <w:rPr>
          <w:szCs w:val="24"/>
        </w:rPr>
        <w:t xml:space="preserve"> is Pacific Prevailing Time (PPT).  A detailed description of the activities in each of these four </w:t>
      </w:r>
      <w:r w:rsidR="00F93EC1">
        <w:rPr>
          <w:szCs w:val="24"/>
        </w:rPr>
        <w:t xml:space="preserve">(4) </w:t>
      </w:r>
      <w:r w:rsidRPr="006F07A5">
        <w:rPr>
          <w:szCs w:val="24"/>
        </w:rPr>
        <w:t xml:space="preserve">periods and key market design elements for the Energy and Flexibility Reserve </w:t>
      </w:r>
      <w:r>
        <w:rPr>
          <w:szCs w:val="24"/>
        </w:rPr>
        <w:t xml:space="preserve">Products </w:t>
      </w:r>
      <w:r w:rsidRPr="006F07A5">
        <w:rPr>
          <w:szCs w:val="24"/>
        </w:rPr>
        <w:t>Markets functions depicted in Exhibit 3-1 are provided in the following subsections.  System Requirements are discussed first as these requirements apply to all four</w:t>
      </w:r>
      <w:r w:rsidR="00301031">
        <w:rPr>
          <w:szCs w:val="24"/>
        </w:rPr>
        <w:t xml:space="preserve"> (4)</w:t>
      </w:r>
      <w:r w:rsidRPr="006F07A5">
        <w:rPr>
          <w:szCs w:val="24"/>
        </w:rPr>
        <w:t xml:space="preserve"> periods.</w:t>
      </w:r>
    </w:p>
    <w:p w14:paraId="296BE62E" w14:textId="77777777" w:rsidR="00C8264D" w:rsidRDefault="00C8264D" w:rsidP="00C8264D">
      <w:pPr>
        <w:spacing w:line="300" w:lineRule="auto"/>
        <w:rPr>
          <w:szCs w:val="24"/>
        </w:rPr>
      </w:pPr>
    </w:p>
    <w:p w14:paraId="2B6A46EF" w14:textId="77777777" w:rsidR="00C8264D" w:rsidRDefault="00C8264D" w:rsidP="00C8264D">
      <w:pPr>
        <w:spacing w:line="300" w:lineRule="auto"/>
        <w:rPr>
          <w:szCs w:val="24"/>
        </w:rPr>
      </w:pPr>
    </w:p>
    <w:p w14:paraId="272FF899" w14:textId="77777777" w:rsidR="00C8264D" w:rsidRDefault="00C8264D" w:rsidP="00C8264D">
      <w:pPr>
        <w:spacing w:line="300" w:lineRule="auto"/>
        <w:rPr>
          <w:szCs w:val="24"/>
        </w:rPr>
      </w:pPr>
    </w:p>
    <w:p w14:paraId="7660BAC7" w14:textId="77777777" w:rsidR="00C8264D" w:rsidRDefault="00C8264D" w:rsidP="00C8264D">
      <w:pPr>
        <w:spacing w:line="300" w:lineRule="auto"/>
        <w:rPr>
          <w:szCs w:val="24"/>
        </w:rPr>
      </w:pPr>
    </w:p>
    <w:p w14:paraId="77EA6325" w14:textId="77777777" w:rsidR="00C8264D" w:rsidRDefault="00C8264D" w:rsidP="00C8264D">
      <w:pPr>
        <w:spacing w:line="300" w:lineRule="auto"/>
        <w:rPr>
          <w:szCs w:val="24"/>
        </w:rPr>
      </w:pPr>
    </w:p>
    <w:p w14:paraId="75EA7035" w14:textId="77777777" w:rsidR="00C8264D" w:rsidRDefault="00C8264D" w:rsidP="00C8264D">
      <w:pPr>
        <w:spacing w:line="300" w:lineRule="auto"/>
        <w:rPr>
          <w:szCs w:val="24"/>
        </w:rPr>
      </w:pPr>
    </w:p>
    <w:p w14:paraId="3DDFA581" w14:textId="77777777" w:rsidR="00C8264D" w:rsidRDefault="00C8264D" w:rsidP="00C8264D">
      <w:pPr>
        <w:spacing w:line="300" w:lineRule="auto"/>
        <w:rPr>
          <w:szCs w:val="24"/>
        </w:rPr>
      </w:pPr>
    </w:p>
    <w:p w14:paraId="47DD1044" w14:textId="77777777" w:rsidR="00C8264D" w:rsidRDefault="00C8264D" w:rsidP="00C8264D">
      <w:pPr>
        <w:spacing w:line="300" w:lineRule="auto"/>
        <w:rPr>
          <w:szCs w:val="24"/>
        </w:rPr>
      </w:pPr>
    </w:p>
    <w:p w14:paraId="06C5E8B5" w14:textId="77777777" w:rsidR="00C8264D" w:rsidRDefault="00C8264D" w:rsidP="00C8264D">
      <w:pPr>
        <w:spacing w:line="300" w:lineRule="auto"/>
        <w:rPr>
          <w:szCs w:val="24"/>
        </w:rPr>
      </w:pPr>
    </w:p>
    <w:p w14:paraId="717D1FB9" w14:textId="77777777" w:rsidR="00C8264D" w:rsidRDefault="00C8264D" w:rsidP="00C8264D">
      <w:pPr>
        <w:spacing w:line="300" w:lineRule="auto"/>
        <w:rPr>
          <w:szCs w:val="24"/>
        </w:rPr>
      </w:pPr>
    </w:p>
    <w:p w14:paraId="6836F058" w14:textId="77777777" w:rsidR="00C8264D" w:rsidRDefault="00C8264D" w:rsidP="00C8264D">
      <w:pPr>
        <w:spacing w:line="300" w:lineRule="auto"/>
        <w:rPr>
          <w:szCs w:val="24"/>
        </w:rPr>
      </w:pPr>
    </w:p>
    <w:p w14:paraId="1EAF4ECA" w14:textId="77777777" w:rsidR="00C8264D" w:rsidRDefault="00C8264D" w:rsidP="00C8264D">
      <w:pPr>
        <w:spacing w:line="300" w:lineRule="auto"/>
        <w:rPr>
          <w:szCs w:val="24"/>
        </w:rPr>
      </w:pPr>
    </w:p>
    <w:p w14:paraId="466E67A9" w14:textId="77777777" w:rsidR="00C8264D" w:rsidRDefault="00C8264D" w:rsidP="00C8264D">
      <w:pPr>
        <w:spacing w:line="300" w:lineRule="auto"/>
        <w:rPr>
          <w:szCs w:val="24"/>
        </w:rPr>
      </w:pPr>
    </w:p>
    <w:p w14:paraId="148B94CA" w14:textId="77777777" w:rsidR="00C8264D" w:rsidRDefault="00C8264D" w:rsidP="00C8264D">
      <w:pPr>
        <w:spacing w:line="300" w:lineRule="auto"/>
        <w:rPr>
          <w:szCs w:val="24"/>
        </w:rPr>
      </w:pPr>
    </w:p>
    <w:p w14:paraId="49D7CD6B" w14:textId="77777777" w:rsidR="00C8264D" w:rsidRDefault="00C8264D" w:rsidP="00C8264D">
      <w:pPr>
        <w:spacing w:line="300" w:lineRule="auto"/>
        <w:rPr>
          <w:szCs w:val="24"/>
        </w:rPr>
      </w:pPr>
    </w:p>
    <w:p w14:paraId="76F05902" w14:textId="77777777" w:rsidR="00C8264D" w:rsidRDefault="00C8264D" w:rsidP="00C8264D">
      <w:pPr>
        <w:spacing w:line="300" w:lineRule="auto"/>
        <w:rPr>
          <w:szCs w:val="24"/>
        </w:rPr>
      </w:pPr>
    </w:p>
    <w:p w14:paraId="7D93AB71" w14:textId="77777777" w:rsidR="00C8264D" w:rsidRPr="006F07A5" w:rsidRDefault="00C8264D" w:rsidP="00C20DF9">
      <w:pPr>
        <w:pStyle w:val="Heading2"/>
      </w:pPr>
      <w:bookmarkStart w:id="191" w:name="_Toc213771769"/>
      <w:r>
        <w:t>Market Operator</w:t>
      </w:r>
      <w:r w:rsidRPr="006F07A5">
        <w:t xml:space="preserve"> System Requirements</w:t>
      </w:r>
      <w:bookmarkEnd w:id="191"/>
    </w:p>
    <w:p w14:paraId="252508DC" w14:textId="77777777" w:rsidR="00C8264D" w:rsidRPr="006F07A5" w:rsidRDefault="00C8264D" w:rsidP="00C8264D">
      <w:pPr>
        <w:spacing w:line="300" w:lineRule="auto"/>
        <w:rPr>
          <w:szCs w:val="24"/>
        </w:rPr>
      </w:pPr>
      <w:r w:rsidRPr="006F07A5">
        <w:rPr>
          <w:szCs w:val="24"/>
        </w:rPr>
        <w:t xml:space="preserve">Prior to and in parallel with the Energy and Flexibility Reserve </w:t>
      </w:r>
      <w:r>
        <w:rPr>
          <w:szCs w:val="24"/>
        </w:rPr>
        <w:t>Products</w:t>
      </w:r>
      <w:r w:rsidRPr="006F07A5">
        <w:rPr>
          <w:szCs w:val="24"/>
        </w:rPr>
        <w:t xml:space="preserve"> Markets processes, </w:t>
      </w:r>
      <w:r>
        <w:rPr>
          <w:szCs w:val="24"/>
        </w:rPr>
        <w:t>the Market Operator</w:t>
      </w:r>
      <w:r w:rsidRPr="006F07A5">
        <w:rPr>
          <w:szCs w:val="24"/>
        </w:rPr>
        <w:t xml:space="preserve"> performs several related activities as follows.</w:t>
      </w:r>
    </w:p>
    <w:p w14:paraId="0B935F42" w14:textId="77777777" w:rsidR="00B11CE9" w:rsidRPr="00B11CE9" w:rsidRDefault="00B11CE9" w:rsidP="00B11CE9">
      <w:pPr>
        <w:pStyle w:val="ListParagraph"/>
        <w:keepNext/>
        <w:numPr>
          <w:ilvl w:val="0"/>
          <w:numId w:val="430"/>
        </w:numPr>
        <w:spacing w:after="240"/>
        <w:contextualSpacing w:val="0"/>
        <w:outlineLvl w:val="2"/>
        <w:rPr>
          <w:b/>
          <w:vanish/>
          <w:sz w:val="26"/>
        </w:rPr>
      </w:pPr>
      <w:bookmarkStart w:id="192" w:name="_Toc212633246"/>
      <w:bookmarkStart w:id="193" w:name="_Toc212633927"/>
      <w:bookmarkStart w:id="194" w:name="_Toc213746305"/>
      <w:bookmarkStart w:id="195" w:name="_Toc213771770"/>
      <w:bookmarkStart w:id="196" w:name="_Toc247270970"/>
      <w:bookmarkStart w:id="197" w:name="_Toc258924830"/>
      <w:bookmarkStart w:id="198" w:name="_Toc263173246"/>
      <w:bookmarkStart w:id="199" w:name="_Toc263173606"/>
      <w:bookmarkStart w:id="200" w:name="_Toc263173792"/>
      <w:bookmarkStart w:id="201" w:name="_Toc263174158"/>
      <w:bookmarkStart w:id="202" w:name="_Toc263235057"/>
      <w:bookmarkStart w:id="203" w:name="_Toc263235700"/>
      <w:bookmarkStart w:id="204" w:name="_Toc263429379"/>
      <w:bookmarkStart w:id="205" w:name="_Toc263795396"/>
      <w:bookmarkStart w:id="206" w:name="_Toc266869591"/>
      <w:bookmarkEnd w:id="192"/>
      <w:bookmarkEnd w:id="193"/>
      <w:bookmarkEnd w:id="194"/>
      <w:bookmarkEnd w:id="195"/>
    </w:p>
    <w:p w14:paraId="122B1F17" w14:textId="77777777" w:rsidR="00B11CE9" w:rsidRPr="00B11CE9" w:rsidRDefault="00B11CE9" w:rsidP="00B11CE9">
      <w:pPr>
        <w:pStyle w:val="ListParagraph"/>
        <w:keepNext/>
        <w:numPr>
          <w:ilvl w:val="0"/>
          <w:numId w:val="430"/>
        </w:numPr>
        <w:spacing w:after="240"/>
        <w:contextualSpacing w:val="0"/>
        <w:outlineLvl w:val="2"/>
        <w:rPr>
          <w:b/>
          <w:vanish/>
          <w:sz w:val="26"/>
        </w:rPr>
      </w:pPr>
      <w:bookmarkStart w:id="207" w:name="_Toc212633247"/>
      <w:bookmarkStart w:id="208" w:name="_Toc212633928"/>
      <w:bookmarkStart w:id="209" w:name="_Toc213746306"/>
      <w:bookmarkStart w:id="210" w:name="_Toc213771771"/>
      <w:bookmarkEnd w:id="207"/>
      <w:bookmarkEnd w:id="208"/>
      <w:bookmarkEnd w:id="209"/>
      <w:bookmarkEnd w:id="210"/>
    </w:p>
    <w:p w14:paraId="1296AA6A" w14:textId="77777777" w:rsidR="00B11CE9" w:rsidRPr="00B11CE9" w:rsidRDefault="00B11CE9" w:rsidP="00B11CE9">
      <w:pPr>
        <w:pStyle w:val="ListParagraph"/>
        <w:keepNext/>
        <w:numPr>
          <w:ilvl w:val="0"/>
          <w:numId w:val="430"/>
        </w:numPr>
        <w:spacing w:after="240"/>
        <w:contextualSpacing w:val="0"/>
        <w:outlineLvl w:val="2"/>
        <w:rPr>
          <w:b/>
          <w:vanish/>
          <w:sz w:val="26"/>
        </w:rPr>
      </w:pPr>
      <w:bookmarkStart w:id="211" w:name="_Toc212633248"/>
      <w:bookmarkStart w:id="212" w:name="_Toc212633929"/>
      <w:bookmarkStart w:id="213" w:name="_Toc213746307"/>
      <w:bookmarkStart w:id="214" w:name="_Toc213771772"/>
      <w:bookmarkEnd w:id="211"/>
      <w:bookmarkEnd w:id="212"/>
      <w:bookmarkEnd w:id="213"/>
      <w:bookmarkEnd w:id="214"/>
    </w:p>
    <w:p w14:paraId="5BB13987" w14:textId="77777777" w:rsidR="00B11CE9" w:rsidRPr="00B11CE9" w:rsidRDefault="00B11CE9" w:rsidP="00B11CE9">
      <w:pPr>
        <w:pStyle w:val="ListParagraph"/>
        <w:keepNext/>
        <w:numPr>
          <w:ilvl w:val="1"/>
          <w:numId w:val="430"/>
        </w:numPr>
        <w:spacing w:after="240"/>
        <w:contextualSpacing w:val="0"/>
        <w:outlineLvl w:val="2"/>
        <w:rPr>
          <w:b/>
          <w:vanish/>
          <w:sz w:val="26"/>
        </w:rPr>
      </w:pPr>
      <w:bookmarkStart w:id="215" w:name="_Toc212633249"/>
      <w:bookmarkStart w:id="216" w:name="_Toc212633930"/>
      <w:bookmarkStart w:id="217" w:name="_Toc213746308"/>
      <w:bookmarkStart w:id="218" w:name="_Toc213771773"/>
      <w:bookmarkEnd w:id="215"/>
      <w:bookmarkEnd w:id="216"/>
      <w:bookmarkEnd w:id="217"/>
      <w:bookmarkEnd w:id="218"/>
    </w:p>
    <w:p w14:paraId="18D1AEAD" w14:textId="39145297" w:rsidR="00C8264D" w:rsidRPr="00B11CE9" w:rsidRDefault="00C8264D" w:rsidP="004B66CD">
      <w:pPr>
        <w:pStyle w:val="Heading3"/>
      </w:pPr>
      <w:bookmarkStart w:id="219" w:name="_Toc213771774"/>
      <w:r w:rsidRPr="00B11CE9">
        <w:t>Reserve Zone Establishment</w:t>
      </w:r>
      <w:bookmarkEnd w:id="196"/>
      <w:bookmarkEnd w:id="197"/>
      <w:bookmarkEnd w:id="198"/>
      <w:bookmarkEnd w:id="199"/>
      <w:bookmarkEnd w:id="200"/>
      <w:bookmarkEnd w:id="201"/>
      <w:bookmarkEnd w:id="202"/>
      <w:bookmarkEnd w:id="203"/>
      <w:bookmarkEnd w:id="204"/>
      <w:bookmarkEnd w:id="205"/>
      <w:bookmarkEnd w:id="206"/>
      <w:bookmarkEnd w:id="219"/>
    </w:p>
    <w:p w14:paraId="3F26D2A7" w14:textId="77777777" w:rsidR="00C8264D" w:rsidRPr="006F07A5" w:rsidRDefault="00C8264D" w:rsidP="00C8264D">
      <w:pPr>
        <w:spacing w:line="300" w:lineRule="auto"/>
        <w:rPr>
          <w:szCs w:val="24"/>
        </w:rPr>
      </w:pPr>
      <w:r>
        <w:rPr>
          <w:szCs w:val="24"/>
        </w:rPr>
        <w:t>The Market Operator</w:t>
      </w:r>
      <w:r w:rsidRPr="006F07A5">
        <w:rPr>
          <w:szCs w:val="24"/>
        </w:rPr>
        <w:t xml:space="preserve"> establishes Reserve Zones to ensure the deliverability of cleared Flexibility Reserve Products throughout </w:t>
      </w:r>
      <w:r>
        <w:rPr>
          <w:szCs w:val="24"/>
        </w:rPr>
        <w:t xml:space="preserve">the </w:t>
      </w:r>
      <w:r w:rsidRPr="006F07A5">
        <w:rPr>
          <w:szCs w:val="24"/>
        </w:rPr>
        <w:t xml:space="preserve">Markets+ Footprint.  </w:t>
      </w:r>
    </w:p>
    <w:p w14:paraId="4F6C2629" w14:textId="77777777" w:rsidR="00C8264D" w:rsidRPr="006F07A5" w:rsidRDefault="00C8264D" w:rsidP="00C35DA0">
      <w:pPr>
        <w:numPr>
          <w:ilvl w:val="0"/>
          <w:numId w:val="36"/>
        </w:numPr>
        <w:spacing w:before="120" w:line="300" w:lineRule="auto"/>
        <w:rPr>
          <w:szCs w:val="24"/>
        </w:rPr>
      </w:pPr>
      <w:r>
        <w:rPr>
          <w:szCs w:val="24"/>
        </w:rPr>
        <w:t>The Market Operator</w:t>
      </w:r>
      <w:r w:rsidRPr="006F07A5">
        <w:rPr>
          <w:szCs w:val="24"/>
        </w:rPr>
        <w:t xml:space="preserve"> identifies the need for Reserve Zones within </w:t>
      </w:r>
      <w:r>
        <w:rPr>
          <w:szCs w:val="24"/>
        </w:rPr>
        <w:t>the</w:t>
      </w:r>
      <w:r w:rsidRPr="006F07A5">
        <w:rPr>
          <w:szCs w:val="24"/>
        </w:rPr>
        <w:t xml:space="preserve"> Markets+ Footprint through Reserve Zone studies that identify constrained areas within </w:t>
      </w:r>
      <w:r>
        <w:rPr>
          <w:szCs w:val="24"/>
        </w:rPr>
        <w:t>the</w:t>
      </w:r>
      <w:r w:rsidRPr="006F07A5">
        <w:rPr>
          <w:szCs w:val="24"/>
        </w:rPr>
        <w:t xml:space="preserve"> Markets</w:t>
      </w:r>
      <w:r>
        <w:rPr>
          <w:szCs w:val="24"/>
        </w:rPr>
        <w:t>+</w:t>
      </w:r>
      <w:r w:rsidRPr="006F07A5" w:rsidDel="00236F29">
        <w:rPr>
          <w:szCs w:val="24"/>
        </w:rPr>
        <w:t xml:space="preserve"> </w:t>
      </w:r>
      <w:r w:rsidRPr="006F07A5">
        <w:rPr>
          <w:szCs w:val="24"/>
        </w:rPr>
        <w:t xml:space="preserve">Footprint which may require a minimum amount of Flexibility Reserve Products procurement within that zone or may be limited to a maximum amount of Flexibility Reserve Products procurement within that zone to ensure </w:t>
      </w:r>
      <w:r>
        <w:rPr>
          <w:szCs w:val="24"/>
        </w:rPr>
        <w:t>market</w:t>
      </w:r>
      <w:r w:rsidRPr="006F07A5">
        <w:rPr>
          <w:szCs w:val="24"/>
        </w:rPr>
        <w:t>-wide procurement of Flexibility Reserve Products is deliverable when deployed.</w:t>
      </w:r>
    </w:p>
    <w:p w14:paraId="0300D667" w14:textId="4C90A416" w:rsidR="00C8264D" w:rsidRPr="006F07A5" w:rsidRDefault="00C8264D" w:rsidP="00C35DA0">
      <w:pPr>
        <w:numPr>
          <w:ilvl w:val="0"/>
          <w:numId w:val="36"/>
        </w:numPr>
        <w:spacing w:before="120" w:line="300" w:lineRule="auto"/>
        <w:rPr>
          <w:szCs w:val="24"/>
        </w:rPr>
      </w:pPr>
      <w:r w:rsidRPr="006F07A5">
        <w:rPr>
          <w:szCs w:val="24"/>
        </w:rPr>
        <w:t xml:space="preserve">Reserve Zone </w:t>
      </w:r>
      <w:r>
        <w:rPr>
          <w:szCs w:val="24"/>
        </w:rPr>
        <w:t>s</w:t>
      </w:r>
      <w:r w:rsidRPr="006F07A5">
        <w:rPr>
          <w:szCs w:val="24"/>
        </w:rPr>
        <w:t>tudies will be conducted semi-annually each year</w:t>
      </w:r>
      <w:r w:rsidR="002342EF">
        <w:rPr>
          <w:szCs w:val="24"/>
        </w:rPr>
        <w:t xml:space="preserve"> separated by at least a six </w:t>
      </w:r>
      <w:r w:rsidR="00371372">
        <w:rPr>
          <w:szCs w:val="24"/>
        </w:rPr>
        <w:t>(6) month timeframe</w:t>
      </w:r>
      <w:r w:rsidR="00314D85">
        <w:rPr>
          <w:szCs w:val="24"/>
        </w:rPr>
        <w:t xml:space="preserve"> and will be made effective in accordance with the Commercial Model timeline</w:t>
      </w:r>
      <w:r w:rsidRPr="006F07A5">
        <w:rPr>
          <w:szCs w:val="24"/>
        </w:rPr>
        <w:t xml:space="preserve">.  Normal transmission system topology will be used for the study along with selected, approved long-term outages.  All Resources and loads in </w:t>
      </w:r>
      <w:r>
        <w:rPr>
          <w:szCs w:val="24"/>
        </w:rPr>
        <w:t>the</w:t>
      </w:r>
      <w:r w:rsidRPr="006F07A5">
        <w:rPr>
          <w:szCs w:val="24"/>
        </w:rPr>
        <w:t xml:space="preserve"> Markets+ Footprint will be evaluated.</w:t>
      </w:r>
    </w:p>
    <w:p w14:paraId="522DE949" w14:textId="77777777" w:rsidR="00C8264D" w:rsidRPr="006F07A5" w:rsidRDefault="00C8264D" w:rsidP="00C35DA0">
      <w:pPr>
        <w:numPr>
          <w:ilvl w:val="0"/>
          <w:numId w:val="36"/>
        </w:numPr>
        <w:spacing w:before="120" w:line="300" w:lineRule="auto"/>
        <w:rPr>
          <w:szCs w:val="24"/>
        </w:rPr>
      </w:pPr>
      <w:r>
        <w:t>To</w:t>
      </w:r>
      <w:r w:rsidRPr="006F07A5">
        <w:t xml:space="preserve"> ensure deliverability of Flexibility Reserve Products, the most likely constrained transmission facilities must be identified.  Monitored constraints will be identified through analysis of historical congestion activity, planned transmission and generation outages, and forecasted system demands and generation.</w:t>
      </w:r>
    </w:p>
    <w:p w14:paraId="465B7462" w14:textId="63F3ADFE" w:rsidR="00C8264D" w:rsidRPr="006F07A5" w:rsidRDefault="00C8264D" w:rsidP="00C35DA0">
      <w:pPr>
        <w:numPr>
          <w:ilvl w:val="0"/>
          <w:numId w:val="36"/>
        </w:numPr>
        <w:spacing w:before="120" w:line="300" w:lineRule="auto"/>
        <w:rPr>
          <w:szCs w:val="24"/>
        </w:rPr>
      </w:pPr>
      <w:r w:rsidRPr="006F07A5">
        <w:t>Once a final set of transmission constraints is identified, P</w:t>
      </w:r>
      <w:r w:rsidR="00791413">
        <w:t>n</w:t>
      </w:r>
      <w:r w:rsidRPr="006F07A5">
        <w:t xml:space="preserve">odes are grouped based on similar impact on all of the remaining transmission constraints.  </w:t>
      </w:r>
      <w:r w:rsidRPr="006F07A5">
        <w:rPr>
          <w:sz w:val="23"/>
          <w:szCs w:val="23"/>
        </w:rPr>
        <w:t>The groups of Pnodes represent the Reserve Zones.</w:t>
      </w:r>
      <w:r w:rsidRPr="006F07A5">
        <w:t xml:space="preserve"> </w:t>
      </w:r>
      <w:r>
        <w:t xml:space="preserve"> </w:t>
      </w:r>
      <w:r w:rsidRPr="006F07A5">
        <w:t xml:space="preserve">Each </w:t>
      </w:r>
      <w:r w:rsidRPr="006F07A5">
        <w:rPr>
          <w:sz w:val="23"/>
          <w:szCs w:val="23"/>
        </w:rPr>
        <w:t>Pnode</w:t>
      </w:r>
      <w:r w:rsidRPr="006F07A5">
        <w:t xml:space="preserve"> will be placed into exactly one</w:t>
      </w:r>
      <w:r w:rsidR="00791413">
        <w:t xml:space="preserve"> (1)</w:t>
      </w:r>
      <w:r w:rsidRPr="006F07A5">
        <w:t xml:space="preserve"> Reserve Zone.</w:t>
      </w:r>
    </w:p>
    <w:p w14:paraId="3D8C9C6F" w14:textId="7FD95B62" w:rsidR="00C8264D" w:rsidRPr="006F07A5" w:rsidRDefault="00C8264D" w:rsidP="00C35DA0">
      <w:pPr>
        <w:numPr>
          <w:ilvl w:val="0"/>
          <w:numId w:val="36"/>
        </w:numPr>
        <w:spacing w:before="120" w:line="300" w:lineRule="auto"/>
        <w:rPr>
          <w:szCs w:val="24"/>
        </w:rPr>
      </w:pPr>
      <w:r w:rsidRPr="006F07A5">
        <w:rPr>
          <w:szCs w:val="24"/>
        </w:rPr>
        <w:t xml:space="preserve">Reserve Zones may be added or reconfigured between semiannual updates to address significant changes in system conditions that would cause adverse deliverability impacts absent the Reserve Zone addition or reconfiguration.  Any resulting changes made to the Reserve Zones will be communicated to the Market Participants no less than two (2) </w:t>
      </w:r>
      <w:r w:rsidR="00E3711A">
        <w:rPr>
          <w:szCs w:val="24"/>
        </w:rPr>
        <w:t>B</w:t>
      </w:r>
      <w:r w:rsidRPr="006F07A5">
        <w:rPr>
          <w:szCs w:val="24"/>
        </w:rPr>
        <w:t xml:space="preserve">usiness </w:t>
      </w:r>
      <w:r w:rsidR="00E3711A">
        <w:rPr>
          <w:szCs w:val="24"/>
        </w:rPr>
        <w:t>D</w:t>
      </w:r>
      <w:r w:rsidRPr="006F07A5">
        <w:rPr>
          <w:szCs w:val="24"/>
        </w:rPr>
        <w:t xml:space="preserve">ays prior to becoming effective. </w:t>
      </w:r>
    </w:p>
    <w:p w14:paraId="565A1714" w14:textId="77777777" w:rsidR="00C8264D" w:rsidRPr="006F07A5" w:rsidRDefault="00C8264D" w:rsidP="004B66CD">
      <w:pPr>
        <w:pStyle w:val="Heading3"/>
      </w:pPr>
      <w:bookmarkStart w:id="220" w:name="_Toc247270971"/>
      <w:bookmarkStart w:id="221" w:name="_Ref251574702"/>
      <w:bookmarkStart w:id="222" w:name="_Toc258924831"/>
      <w:bookmarkStart w:id="223" w:name="_Toc263173247"/>
      <w:bookmarkStart w:id="224" w:name="_Toc263173607"/>
      <w:bookmarkStart w:id="225" w:name="_Toc263173793"/>
      <w:bookmarkStart w:id="226" w:name="_Toc263174159"/>
      <w:bookmarkStart w:id="227" w:name="_Toc263235058"/>
      <w:bookmarkStart w:id="228" w:name="_Toc263235701"/>
      <w:bookmarkStart w:id="229" w:name="_Toc263429380"/>
      <w:bookmarkStart w:id="230" w:name="_Toc263795397"/>
      <w:bookmarkStart w:id="231" w:name="_Toc266869592"/>
      <w:bookmarkStart w:id="232" w:name="_Ref531351604"/>
      <w:bookmarkStart w:id="233" w:name="_Ref531351732"/>
      <w:bookmarkStart w:id="234" w:name="_Ref531351984"/>
      <w:bookmarkStart w:id="235" w:name="_Ref531352044"/>
      <w:bookmarkStart w:id="236" w:name="_Ref93997888"/>
      <w:bookmarkStart w:id="237" w:name="_Ref194665810"/>
      <w:bookmarkStart w:id="238" w:name="_Toc213771775"/>
      <w:r w:rsidRPr="006F07A5">
        <w:t>Forecasting</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934426A" w14:textId="15A740F0" w:rsidR="00C8264D" w:rsidRPr="00A62414" w:rsidRDefault="00C8264D" w:rsidP="00574EDE">
      <w:pPr>
        <w:pStyle w:val="Heading4"/>
      </w:pPr>
      <w:bookmarkStart w:id="239" w:name="_Toc247270972"/>
      <w:bookmarkStart w:id="240" w:name="_Toc258924832"/>
      <w:bookmarkStart w:id="241" w:name="_Toc263173248"/>
      <w:bookmarkStart w:id="242" w:name="_Toc263174160"/>
      <w:bookmarkStart w:id="243" w:name="_Toc263235059"/>
      <w:bookmarkStart w:id="244" w:name="_Toc263235702"/>
      <w:bookmarkStart w:id="245" w:name="_Toc263429381"/>
      <w:bookmarkStart w:id="246" w:name="_Toc263795398"/>
      <w:bookmarkStart w:id="247" w:name="_Toc266869593"/>
      <w:bookmarkStart w:id="248" w:name="_Ref269384801"/>
      <w:bookmarkStart w:id="249" w:name="_Ref270488652"/>
      <w:bookmarkStart w:id="250" w:name="_Ref270489440"/>
      <w:bookmarkStart w:id="251" w:name="_Ref270489744"/>
      <w:bookmarkStart w:id="252" w:name="_Ref270489990"/>
      <w:bookmarkStart w:id="253" w:name="_Ref212550790"/>
      <w:bookmarkStart w:id="254" w:name="_Ref212550894"/>
      <w:bookmarkStart w:id="255" w:name="_Ref212551906"/>
      <w:bookmarkStart w:id="256" w:name="_Toc213771776"/>
      <w:r w:rsidRPr="00A62414">
        <w:t>Short-Term and Mid-Term Load Forecasting</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4E4C8C7" w14:textId="2304796D" w:rsidR="00C8264D" w:rsidRPr="006F07A5" w:rsidRDefault="00C8264D" w:rsidP="00C8264D">
      <w:pPr>
        <w:spacing w:before="120" w:line="300" w:lineRule="auto"/>
        <w:rPr>
          <w:szCs w:val="24"/>
        </w:rPr>
      </w:pPr>
      <w:bookmarkStart w:id="257" w:name="_Toc247270973"/>
      <w:r>
        <w:rPr>
          <w:szCs w:val="24"/>
        </w:rPr>
        <w:t>The Market Operator</w:t>
      </w:r>
      <w:r w:rsidRPr="006F07A5">
        <w:rPr>
          <w:szCs w:val="24"/>
        </w:rPr>
        <w:t xml:space="preserve"> develops Short-Term Load Forecasts and Mid-Term Load Forecasts for each Forecast Area.  The Short-Term Load Forecast produces values on a rolling 5-minute basis</w:t>
      </w:r>
      <w:r>
        <w:rPr>
          <w:szCs w:val="24"/>
        </w:rPr>
        <w:t xml:space="preserve"> for at least the next</w:t>
      </w:r>
      <w:r w:rsidR="00487730">
        <w:rPr>
          <w:szCs w:val="24"/>
        </w:rPr>
        <w:t xml:space="preserve"> three</w:t>
      </w:r>
      <w:r>
        <w:rPr>
          <w:szCs w:val="24"/>
        </w:rPr>
        <w:t xml:space="preserve"> </w:t>
      </w:r>
      <w:r w:rsidR="00487730">
        <w:rPr>
          <w:szCs w:val="24"/>
        </w:rPr>
        <w:t>(</w:t>
      </w:r>
      <w:r>
        <w:rPr>
          <w:szCs w:val="24"/>
        </w:rPr>
        <w:t>3</w:t>
      </w:r>
      <w:r w:rsidR="00487730">
        <w:rPr>
          <w:szCs w:val="24"/>
        </w:rPr>
        <w:t>)</w:t>
      </w:r>
      <w:r>
        <w:rPr>
          <w:szCs w:val="24"/>
        </w:rPr>
        <w:t xml:space="preserve"> hours</w:t>
      </w:r>
      <w:r w:rsidRPr="006F07A5">
        <w:rPr>
          <w:szCs w:val="24"/>
        </w:rPr>
        <w:t xml:space="preserve">.  The Mid-Term Load Forecast produces hourly values for the next hour through seven (7) days.  Load forecasts are derived through a combination of conforming load and </w:t>
      </w:r>
      <w:r w:rsidR="00572644">
        <w:rPr>
          <w:szCs w:val="24"/>
        </w:rPr>
        <w:t>N</w:t>
      </w:r>
      <w:r w:rsidRPr="006F07A5">
        <w:rPr>
          <w:szCs w:val="24"/>
        </w:rPr>
        <w:t>on-</w:t>
      </w:r>
      <w:r w:rsidR="00572644">
        <w:rPr>
          <w:szCs w:val="24"/>
        </w:rPr>
        <w:t>C</w:t>
      </w:r>
      <w:r w:rsidRPr="006F07A5">
        <w:rPr>
          <w:szCs w:val="24"/>
        </w:rPr>
        <w:t xml:space="preserve">onforming </w:t>
      </w:r>
      <w:r w:rsidR="00572644">
        <w:rPr>
          <w:szCs w:val="24"/>
        </w:rPr>
        <w:t>L</w:t>
      </w:r>
      <w:r w:rsidRPr="006F07A5">
        <w:rPr>
          <w:szCs w:val="24"/>
        </w:rPr>
        <w:t xml:space="preserve">oad forecasts for each Forecast Area as described under Sections </w:t>
      </w:r>
      <w:r w:rsidRPr="006F07A5">
        <w:rPr>
          <w:color w:val="2B579A"/>
          <w:szCs w:val="24"/>
          <w:shd w:val="clear" w:color="auto" w:fill="E6E6E6"/>
        </w:rPr>
        <w:fldChar w:fldCharType="begin"/>
      </w:r>
      <w:r w:rsidRPr="006F07A5">
        <w:rPr>
          <w:szCs w:val="24"/>
        </w:rPr>
        <w:instrText xml:space="preserve"> REF _Ref258479473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4.1.2.1.1</w:t>
      </w:r>
      <w:r w:rsidRPr="006F07A5">
        <w:rPr>
          <w:color w:val="2B579A"/>
          <w:szCs w:val="24"/>
          <w:shd w:val="clear" w:color="auto" w:fill="E6E6E6"/>
        </w:rPr>
        <w:fldChar w:fldCharType="end"/>
      </w:r>
      <w:r w:rsidRPr="006F07A5">
        <w:rPr>
          <w:szCs w:val="24"/>
        </w:rPr>
        <w:t xml:space="preserve"> and </w:t>
      </w:r>
      <w:r w:rsidRPr="006F07A5">
        <w:rPr>
          <w:color w:val="2B579A"/>
          <w:szCs w:val="24"/>
          <w:shd w:val="clear" w:color="auto" w:fill="E6E6E6"/>
        </w:rPr>
        <w:fldChar w:fldCharType="begin"/>
      </w:r>
      <w:r w:rsidRPr="006F07A5">
        <w:rPr>
          <w:szCs w:val="24"/>
        </w:rPr>
        <w:instrText xml:space="preserve"> REF _Ref258479486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4.1.2.1.2</w:t>
      </w:r>
      <w:r w:rsidRPr="006F07A5">
        <w:rPr>
          <w:color w:val="2B579A"/>
          <w:szCs w:val="24"/>
          <w:shd w:val="clear" w:color="auto" w:fill="E6E6E6"/>
        </w:rPr>
        <w:fldChar w:fldCharType="end"/>
      </w:r>
      <w:r w:rsidRPr="006F07A5">
        <w:rPr>
          <w:szCs w:val="24"/>
        </w:rPr>
        <w:t xml:space="preserve">.  </w:t>
      </w:r>
      <w:r>
        <w:rPr>
          <w:szCs w:val="24"/>
        </w:rPr>
        <w:t>The</w:t>
      </w:r>
      <w:r w:rsidRPr="006F07A5">
        <w:rPr>
          <w:szCs w:val="24"/>
        </w:rPr>
        <w:t xml:space="preserve"> Forecast Area short-term and mid-term forecasts are then summed up to </w:t>
      </w:r>
      <w:r>
        <w:rPr>
          <w:szCs w:val="24"/>
        </w:rPr>
        <w:t>the</w:t>
      </w:r>
      <w:r w:rsidRPr="006F07A5">
        <w:rPr>
          <w:szCs w:val="24"/>
        </w:rPr>
        <w:t xml:space="preserve"> </w:t>
      </w:r>
      <w:r w:rsidRPr="05203B5F">
        <w:rPr>
          <w:szCs w:val="24"/>
        </w:rPr>
        <w:t>Markets+ Footprint</w:t>
      </w:r>
      <w:r w:rsidRPr="006F07A5">
        <w:rPr>
          <w:szCs w:val="24"/>
        </w:rPr>
        <w:t xml:space="preserve"> short-term and mid-term forecasts.  These forecasts include an estimate of losses that must be removed, as described under Section </w:t>
      </w:r>
      <w:r w:rsidRPr="006F07A5">
        <w:rPr>
          <w:color w:val="2B579A"/>
          <w:szCs w:val="24"/>
          <w:shd w:val="clear" w:color="auto" w:fill="E6E6E6"/>
        </w:rPr>
        <w:fldChar w:fldCharType="begin"/>
      </w:r>
      <w:r w:rsidRPr="006F07A5">
        <w:rPr>
          <w:szCs w:val="24"/>
        </w:rPr>
        <w:instrText xml:space="preserve"> REF _Ref103677828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4.1.2.1.3</w:t>
      </w:r>
      <w:r w:rsidRPr="006F07A5">
        <w:rPr>
          <w:color w:val="2B579A"/>
          <w:szCs w:val="24"/>
          <w:shd w:val="clear" w:color="auto" w:fill="E6E6E6"/>
        </w:rPr>
        <w:fldChar w:fldCharType="end"/>
      </w:r>
      <w:r w:rsidRPr="006F07A5">
        <w:rPr>
          <w:szCs w:val="24"/>
        </w:rPr>
        <w:t xml:space="preserve">, prior to execution of the </w:t>
      </w:r>
      <w:r>
        <w:rPr>
          <w:szCs w:val="24"/>
        </w:rPr>
        <w:t>m</w:t>
      </w:r>
      <w:r w:rsidRPr="006F07A5">
        <w:rPr>
          <w:szCs w:val="24"/>
        </w:rPr>
        <w:t xml:space="preserve">arket applications for the dispatch to reflect losses appropriately under the marginal losses approach.  Once the estimated losses have been removed, both the Mid-Term Load Forecast and the Short-Term Load Forecast </w:t>
      </w:r>
      <w:r>
        <w:rPr>
          <w:szCs w:val="24"/>
        </w:rPr>
        <w:t>are</w:t>
      </w:r>
      <w:r w:rsidRPr="006F07A5">
        <w:rPr>
          <w:szCs w:val="24"/>
        </w:rPr>
        <w:t xml:space="preserve"> distributed to the Pnode level for modeling purposes for use in the RUC and RTBM processes as described under Section </w:t>
      </w:r>
      <w:r w:rsidRPr="006F07A5">
        <w:rPr>
          <w:color w:val="2B579A"/>
          <w:szCs w:val="24"/>
          <w:shd w:val="clear" w:color="auto" w:fill="E6E6E6"/>
        </w:rPr>
        <w:fldChar w:fldCharType="begin"/>
      </w:r>
      <w:r w:rsidRPr="006F07A5">
        <w:rPr>
          <w:szCs w:val="24"/>
        </w:rPr>
        <w:instrText xml:space="preserve"> REF _Ref258484770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4.1.2.1.6</w:t>
      </w:r>
      <w:r w:rsidRPr="006F07A5">
        <w:rPr>
          <w:color w:val="2B579A"/>
          <w:szCs w:val="24"/>
          <w:shd w:val="clear" w:color="auto" w:fill="E6E6E6"/>
        </w:rPr>
        <w:fldChar w:fldCharType="end"/>
      </w:r>
      <w:r w:rsidRPr="006F07A5">
        <w:rPr>
          <w:szCs w:val="24"/>
        </w:rPr>
        <w:t>.  The D</w:t>
      </w:r>
      <w:r>
        <w:rPr>
          <w:szCs w:val="24"/>
        </w:rPr>
        <w:t>ay-</w:t>
      </w:r>
      <w:r w:rsidRPr="006F07A5">
        <w:rPr>
          <w:szCs w:val="24"/>
        </w:rPr>
        <w:t>A</w:t>
      </w:r>
      <w:r>
        <w:rPr>
          <w:szCs w:val="24"/>
        </w:rPr>
        <w:t>head</w:t>
      </w:r>
      <w:r w:rsidRPr="006F07A5">
        <w:rPr>
          <w:szCs w:val="24"/>
        </w:rPr>
        <w:t xml:space="preserve"> Market relies on bid-in </w:t>
      </w:r>
      <w:r w:rsidR="00EF48FD" w:rsidRPr="006F07A5">
        <w:rPr>
          <w:szCs w:val="24"/>
        </w:rPr>
        <w:t>demand,</w:t>
      </w:r>
      <w:r w:rsidRPr="006F07A5">
        <w:rPr>
          <w:szCs w:val="24"/>
        </w:rPr>
        <w:t xml:space="preserve"> so these load forecasts are not used in that process. </w:t>
      </w:r>
    </w:p>
    <w:p w14:paraId="17F76631" w14:textId="77777777" w:rsidR="00C8264D" w:rsidRPr="006F07A5" w:rsidRDefault="00C8264D" w:rsidP="00574654">
      <w:pPr>
        <w:pStyle w:val="Heading5"/>
      </w:pPr>
      <w:bookmarkStart w:id="258" w:name="_Ref258479473"/>
      <w:bookmarkStart w:id="259" w:name="_Toc263173249"/>
      <w:bookmarkStart w:id="260" w:name="_Toc263795399"/>
      <w:bookmarkStart w:id="261" w:name="_Toc213771777"/>
      <w:r w:rsidRPr="006F07A5">
        <w:t>Conforming Load</w:t>
      </w:r>
      <w:bookmarkEnd w:id="258"/>
      <w:bookmarkEnd w:id="259"/>
      <w:bookmarkEnd w:id="260"/>
      <w:bookmarkEnd w:id="261"/>
    </w:p>
    <w:p w14:paraId="09182EDC" w14:textId="77777777" w:rsidR="00C8264D" w:rsidRPr="006F07A5" w:rsidRDefault="00C8264D" w:rsidP="00C8264D">
      <w:pPr>
        <w:spacing w:line="300" w:lineRule="auto"/>
        <w:rPr>
          <w:w w:val="0"/>
        </w:rPr>
      </w:pPr>
      <w:r w:rsidRPr="006F07A5">
        <w:rPr>
          <w:w w:val="0"/>
        </w:rPr>
        <w:t>Conforming load is load that</w:t>
      </w:r>
      <w:r w:rsidRPr="006F07A5" w:rsidDel="00282DF4">
        <w:rPr>
          <w:w w:val="0"/>
        </w:rPr>
        <w:t xml:space="preserve"> </w:t>
      </w:r>
      <w:r w:rsidRPr="006F07A5">
        <w:rPr>
          <w:w w:val="0"/>
        </w:rPr>
        <w:t>changes in a reasonably predictable, uniform ratio that is environmentally driven (e.</w:t>
      </w:r>
      <w:r>
        <w:rPr>
          <w:w w:val="0"/>
        </w:rPr>
        <w:t>g.,</w:t>
      </w:r>
      <w:r w:rsidRPr="006F07A5">
        <w:rPr>
          <w:w w:val="0"/>
        </w:rPr>
        <w:t xml:space="preserve"> changes in temperature) as opposed to process driven (e.</w:t>
      </w:r>
      <w:r>
        <w:rPr>
          <w:w w:val="0"/>
        </w:rPr>
        <w:t>g.,</w:t>
      </w:r>
      <w:r w:rsidRPr="006F07A5">
        <w:rPr>
          <w:w w:val="0"/>
        </w:rPr>
        <w:t xml:space="preserve"> large industrial or irrigation processes).  </w:t>
      </w:r>
      <w:r>
        <w:rPr>
          <w:w w:val="0"/>
        </w:rPr>
        <w:t>The Market Operator</w:t>
      </w:r>
      <w:r w:rsidRPr="006F07A5">
        <w:rPr>
          <w:w w:val="0"/>
        </w:rPr>
        <w:t xml:space="preserve"> uses a load forecasting tool to produce the </w:t>
      </w:r>
      <w:r>
        <w:rPr>
          <w:w w:val="0"/>
        </w:rPr>
        <w:t>M</w:t>
      </w:r>
      <w:r w:rsidRPr="006F07A5">
        <w:rPr>
          <w:w w:val="0"/>
        </w:rPr>
        <w:t>id-</w:t>
      </w:r>
      <w:r>
        <w:rPr>
          <w:w w:val="0"/>
        </w:rPr>
        <w:t>T</w:t>
      </w:r>
      <w:r w:rsidRPr="006F07A5">
        <w:rPr>
          <w:w w:val="0"/>
        </w:rPr>
        <w:t xml:space="preserve">erm and </w:t>
      </w:r>
      <w:r>
        <w:rPr>
          <w:w w:val="0"/>
        </w:rPr>
        <w:t>S</w:t>
      </w:r>
      <w:r w:rsidRPr="006F07A5">
        <w:rPr>
          <w:w w:val="0"/>
        </w:rPr>
        <w:t>hort-</w:t>
      </w:r>
      <w:r>
        <w:rPr>
          <w:w w:val="0"/>
        </w:rPr>
        <w:t>T</w:t>
      </w:r>
      <w:r w:rsidRPr="006F07A5">
        <w:rPr>
          <w:w w:val="0"/>
        </w:rPr>
        <w:t xml:space="preserve">erm </w:t>
      </w:r>
      <w:r>
        <w:rPr>
          <w:w w:val="0"/>
        </w:rPr>
        <w:t>L</w:t>
      </w:r>
      <w:r w:rsidRPr="006F07A5">
        <w:rPr>
          <w:w w:val="0"/>
        </w:rPr>
        <w:t xml:space="preserve">oad </w:t>
      </w:r>
      <w:r>
        <w:rPr>
          <w:w w:val="0"/>
        </w:rPr>
        <w:t>F</w:t>
      </w:r>
      <w:r w:rsidRPr="006F07A5">
        <w:rPr>
          <w:w w:val="0"/>
        </w:rPr>
        <w:t xml:space="preserve">orecasts for conforming load within each </w:t>
      </w:r>
      <w:r w:rsidRPr="006F07A5">
        <w:rPr>
          <w:szCs w:val="24"/>
        </w:rPr>
        <w:t xml:space="preserve">Forecast </w:t>
      </w:r>
      <w:r w:rsidRPr="006F07A5">
        <w:rPr>
          <w:w w:val="0"/>
        </w:rPr>
        <w:t>Area.  The load forecasting tool use</w:t>
      </w:r>
      <w:r>
        <w:rPr>
          <w:w w:val="0"/>
        </w:rPr>
        <w:t>s</w:t>
      </w:r>
      <w:r w:rsidRPr="006F07A5">
        <w:rPr>
          <w:w w:val="0"/>
        </w:rPr>
        <w:t xml:space="preserve"> historical actual conforming load values as well as temperature, wind speed, dew point</w:t>
      </w:r>
      <w:r>
        <w:rPr>
          <w:w w:val="0"/>
        </w:rPr>
        <w:t>,</w:t>
      </w:r>
      <w:r w:rsidRPr="006F07A5">
        <w:rPr>
          <w:w w:val="0"/>
        </w:rPr>
        <w:t xml:space="preserve"> and any other environmental variables determined necessary to accurately forecast the conforming load within each </w:t>
      </w:r>
      <w:r w:rsidRPr="006F07A5">
        <w:rPr>
          <w:szCs w:val="24"/>
        </w:rPr>
        <w:t>Forecast</w:t>
      </w:r>
      <w:r w:rsidRPr="006F07A5">
        <w:rPr>
          <w:w w:val="0"/>
        </w:rPr>
        <w:t xml:space="preserve"> Area.    </w:t>
      </w:r>
    </w:p>
    <w:p w14:paraId="7FCA6537" w14:textId="77777777" w:rsidR="00C8264D" w:rsidRPr="006F07A5" w:rsidRDefault="00C8264D" w:rsidP="00574654">
      <w:pPr>
        <w:pStyle w:val="Heading5"/>
      </w:pPr>
      <w:bookmarkStart w:id="262" w:name="_Ref258479486"/>
      <w:bookmarkStart w:id="263" w:name="_Toc263173250"/>
      <w:bookmarkStart w:id="264" w:name="_Toc263795400"/>
      <w:bookmarkStart w:id="265" w:name="_Toc213771778"/>
      <w:r w:rsidRPr="006F07A5">
        <w:t>Non-</w:t>
      </w:r>
      <w:r>
        <w:t>C</w:t>
      </w:r>
      <w:r w:rsidRPr="006F07A5">
        <w:t>onforming Load</w:t>
      </w:r>
      <w:bookmarkEnd w:id="262"/>
      <w:bookmarkEnd w:id="263"/>
      <w:bookmarkEnd w:id="264"/>
      <w:bookmarkEnd w:id="265"/>
    </w:p>
    <w:p w14:paraId="1299F122" w14:textId="12F32369" w:rsidR="00C8264D" w:rsidRPr="006F07A5" w:rsidRDefault="00C8264D" w:rsidP="00C8264D">
      <w:pPr>
        <w:spacing w:before="120" w:line="300" w:lineRule="auto"/>
        <w:rPr>
          <w:szCs w:val="24"/>
        </w:rPr>
      </w:pPr>
      <w:bookmarkStart w:id="266" w:name="_Ref258478731"/>
      <w:bookmarkStart w:id="267" w:name="_Toc263173251"/>
      <w:bookmarkStart w:id="268" w:name="_Toc263795401"/>
      <w:r w:rsidRPr="006F07A5">
        <w:rPr>
          <w:szCs w:val="24"/>
        </w:rPr>
        <w:t>Non-Conforming Load</w:t>
      </w:r>
      <w:r w:rsidRPr="006F07A5">
        <w:rPr>
          <w:color w:val="2B579A"/>
          <w:szCs w:val="24"/>
          <w:shd w:val="clear" w:color="auto" w:fill="E6E6E6"/>
        </w:rPr>
        <w:fldChar w:fldCharType="begin"/>
      </w:r>
      <w:r w:rsidRPr="006F07A5">
        <w:rPr>
          <w:szCs w:val="24"/>
        </w:rPr>
        <w:instrText xml:space="preserve"> REF _Ref310435978 \r \h </w:instrText>
      </w:r>
      <w:r w:rsidRPr="006F07A5">
        <w:rPr>
          <w:color w:val="2B579A"/>
          <w:szCs w:val="24"/>
          <w:shd w:val="clear" w:color="auto" w:fill="E6E6E6"/>
        </w:rPr>
      </w:r>
      <w:r w:rsidRPr="006F07A5">
        <w:rPr>
          <w:color w:val="2B579A"/>
          <w:szCs w:val="24"/>
          <w:shd w:val="clear" w:color="auto" w:fill="E6E6E6"/>
        </w:rPr>
        <w:fldChar w:fldCharType="separate"/>
      </w:r>
      <w:r w:rsidRPr="006F07A5">
        <w:rPr>
          <w:color w:val="2B579A"/>
          <w:szCs w:val="24"/>
          <w:shd w:val="clear" w:color="auto" w:fill="E6E6E6"/>
        </w:rPr>
        <w:fldChar w:fldCharType="end"/>
      </w:r>
      <w:r w:rsidRPr="006F07A5">
        <w:rPr>
          <w:szCs w:val="24"/>
        </w:rPr>
        <w:t xml:space="preserve"> is more process driven and needs to be separated from the load forecast application because it does not follow a predictable pattern.  Load that is modeled to represent the charging capabilities of ESRs not registered as an MSR must be considered a Non-Conforming Load.  Market Participants with registered Non-Conforming Load </w:t>
      </w:r>
      <w:r>
        <w:rPr>
          <w:szCs w:val="24"/>
        </w:rPr>
        <w:t>must</w:t>
      </w:r>
      <w:r w:rsidRPr="006F07A5">
        <w:rPr>
          <w:szCs w:val="24"/>
        </w:rPr>
        <w:t xml:space="preserve"> submit hourly load forecasts of Non-Conforming Load consumption to </w:t>
      </w:r>
      <w:r>
        <w:rPr>
          <w:szCs w:val="24"/>
        </w:rPr>
        <w:t>the Market Operator</w:t>
      </w:r>
      <w:r w:rsidRPr="006F07A5">
        <w:rPr>
          <w:szCs w:val="24"/>
        </w:rPr>
        <w:t xml:space="preserve"> before </w:t>
      </w:r>
      <w:r>
        <w:rPr>
          <w:szCs w:val="24"/>
        </w:rPr>
        <w:t>the Market Operator</w:t>
      </w:r>
      <w:r w:rsidRPr="006F07A5">
        <w:rPr>
          <w:szCs w:val="24"/>
        </w:rPr>
        <w:t xml:space="preserve"> begins the Day-Ahead RUC process for the Operating Day and for six (6) </w:t>
      </w:r>
      <w:r>
        <w:rPr>
          <w:szCs w:val="24"/>
        </w:rPr>
        <w:t>Operating D</w:t>
      </w:r>
      <w:r w:rsidRPr="006F07A5">
        <w:rPr>
          <w:szCs w:val="24"/>
        </w:rPr>
        <w:t xml:space="preserve">ays following the Operating Day.  Once the initial submission is received before </w:t>
      </w:r>
      <w:r>
        <w:rPr>
          <w:szCs w:val="24"/>
        </w:rPr>
        <w:t>the Market Operator</w:t>
      </w:r>
      <w:r w:rsidRPr="006F07A5">
        <w:rPr>
          <w:szCs w:val="24"/>
        </w:rPr>
        <w:t xml:space="preserve"> begins the Day-Ahead RUC process, Market Participants are allowed to submit hourly load forecasts of Non-Conforming Load after </w:t>
      </w:r>
      <w:r>
        <w:rPr>
          <w:szCs w:val="24"/>
        </w:rPr>
        <w:t>the Market Operator</w:t>
      </w:r>
      <w:r w:rsidRPr="006F07A5">
        <w:rPr>
          <w:szCs w:val="24"/>
        </w:rPr>
        <w:t xml:space="preserve"> begins the Day-Ahead RUC process up to thirty</w:t>
      </w:r>
      <w:r w:rsidR="00D44D31">
        <w:rPr>
          <w:szCs w:val="24"/>
        </w:rPr>
        <w:t xml:space="preserve"> (30)</w:t>
      </w:r>
      <w:r w:rsidRPr="006F07A5">
        <w:rPr>
          <w:szCs w:val="24"/>
        </w:rPr>
        <w:t xml:space="preserve"> minutes before the Operating Hour.</w:t>
      </w:r>
      <w:r>
        <w:rPr>
          <w:szCs w:val="24"/>
        </w:rPr>
        <w:t xml:space="preserve"> </w:t>
      </w:r>
      <w:r w:rsidRPr="006F07A5">
        <w:rPr>
          <w:szCs w:val="24"/>
        </w:rPr>
        <w:t xml:space="preserve"> Market Participants are encouraged to submit a forecast of each registered Non-Conforming Load for two (2) hours following the current interval for each 15-minute interval that the forecast deviates from the hourly profile.  If the 15-minute forecast is unavailable, </w:t>
      </w:r>
      <w:r>
        <w:rPr>
          <w:szCs w:val="24"/>
        </w:rPr>
        <w:t>the Market Operator will</w:t>
      </w:r>
      <w:r w:rsidRPr="006F07A5">
        <w:rPr>
          <w:szCs w:val="24"/>
        </w:rPr>
        <w:t xml:space="preserve"> interpolate using the submitted hourly Non-Conforming Load forecast.  Market Participants </w:t>
      </w:r>
      <w:r>
        <w:rPr>
          <w:szCs w:val="24"/>
        </w:rPr>
        <w:t>must</w:t>
      </w:r>
      <w:r w:rsidRPr="006F07A5">
        <w:rPr>
          <w:szCs w:val="24"/>
        </w:rPr>
        <w:t xml:space="preserve"> also submit a forecast on a 5-minute rolling 15-minute ahead basis.  The submitted Non-Conforming Load will be added to the conforming load forecasts to create the total Forecast Area forecast.  Market Participants are required to submit actual Non-Conforming Load data for each Non-Conforming Load for which metering is available or estimates of Non-Conforming Load for which metering is not available (submitted forecast value can be used as actual).</w:t>
      </w:r>
    </w:p>
    <w:p w14:paraId="36C46C76" w14:textId="77777777" w:rsidR="00C8264D" w:rsidRPr="006F07A5" w:rsidRDefault="00C8264D" w:rsidP="00574654">
      <w:pPr>
        <w:pStyle w:val="Heading5"/>
      </w:pPr>
      <w:bookmarkStart w:id="269" w:name="_Ref103677828"/>
      <w:bookmarkStart w:id="270" w:name="_Toc213771779"/>
      <w:bookmarkEnd w:id="266"/>
      <w:bookmarkEnd w:id="267"/>
      <w:bookmarkEnd w:id="268"/>
      <w:r w:rsidRPr="006F07A5">
        <w:t>Losses</w:t>
      </w:r>
      <w:bookmarkEnd w:id="269"/>
      <w:bookmarkEnd w:id="270"/>
    </w:p>
    <w:p w14:paraId="2881ACCE" w14:textId="77777777" w:rsidR="00C8264D" w:rsidRPr="006F07A5" w:rsidRDefault="00C8264D" w:rsidP="00C8264D">
      <w:pPr>
        <w:keepNext/>
        <w:spacing w:before="120" w:line="300" w:lineRule="auto"/>
        <w:rPr>
          <w:szCs w:val="24"/>
        </w:rPr>
      </w:pPr>
      <w:r w:rsidRPr="006F07A5">
        <w:rPr>
          <w:szCs w:val="24"/>
        </w:rPr>
        <w:t xml:space="preserve">Both the </w:t>
      </w:r>
      <w:r>
        <w:rPr>
          <w:szCs w:val="24"/>
        </w:rPr>
        <w:t>S</w:t>
      </w:r>
      <w:r w:rsidRPr="006F07A5">
        <w:rPr>
          <w:szCs w:val="24"/>
        </w:rPr>
        <w:t>hort-</w:t>
      </w:r>
      <w:r>
        <w:rPr>
          <w:szCs w:val="24"/>
        </w:rPr>
        <w:t>T</w:t>
      </w:r>
      <w:r w:rsidRPr="006F07A5">
        <w:rPr>
          <w:szCs w:val="24"/>
        </w:rPr>
        <w:t xml:space="preserve">erm and the </w:t>
      </w:r>
      <w:r>
        <w:rPr>
          <w:szCs w:val="24"/>
        </w:rPr>
        <w:t>M</w:t>
      </w:r>
      <w:r w:rsidRPr="006F07A5">
        <w:rPr>
          <w:szCs w:val="24"/>
        </w:rPr>
        <w:t>id-</w:t>
      </w:r>
      <w:r>
        <w:rPr>
          <w:szCs w:val="24"/>
        </w:rPr>
        <w:t>T</w:t>
      </w:r>
      <w:r w:rsidRPr="006F07A5">
        <w:rPr>
          <w:szCs w:val="24"/>
        </w:rPr>
        <w:t xml:space="preserve">erm </w:t>
      </w:r>
      <w:r>
        <w:rPr>
          <w:szCs w:val="24"/>
        </w:rPr>
        <w:t>L</w:t>
      </w:r>
      <w:r w:rsidRPr="006F07A5">
        <w:rPr>
          <w:szCs w:val="24"/>
        </w:rPr>
        <w:t xml:space="preserve">oad </w:t>
      </w:r>
      <w:r>
        <w:rPr>
          <w:szCs w:val="24"/>
        </w:rPr>
        <w:t>F</w:t>
      </w:r>
      <w:r w:rsidRPr="006F07A5">
        <w:rPr>
          <w:szCs w:val="24"/>
        </w:rPr>
        <w:t xml:space="preserve">orecasts for each Forecast Area are originally calculated including an estimate of losses.  To allow for the correct dispatch using a marginal losses approach, the loss estimates from the original forecasts must be removed before distributing the forecast load to the loads at the individual Pnodes. </w:t>
      </w:r>
    </w:p>
    <w:p w14:paraId="11CF2EAF" w14:textId="77777777" w:rsidR="00C8264D" w:rsidRPr="006F07A5" w:rsidRDefault="00C8264D" w:rsidP="00C8264D">
      <w:pPr>
        <w:spacing w:before="120" w:line="300" w:lineRule="auto"/>
        <w:rPr>
          <w:szCs w:val="24"/>
        </w:rPr>
      </w:pPr>
      <w:r w:rsidRPr="006F07A5">
        <w:rPr>
          <w:szCs w:val="24"/>
        </w:rPr>
        <w:t xml:space="preserve">For the RTBM, loss estimates are determined based on State Estimator solutions.  </w:t>
      </w:r>
      <w:r>
        <w:rPr>
          <w:szCs w:val="24"/>
        </w:rPr>
        <w:t>The Market Operator</w:t>
      </w:r>
      <w:r w:rsidRPr="006F07A5">
        <w:rPr>
          <w:szCs w:val="24"/>
        </w:rPr>
        <w:t xml:space="preserve"> determines Forecast Area loss percentage for each Forecast Area by dividing the solved losses of </w:t>
      </w:r>
      <w:r>
        <w:rPr>
          <w:szCs w:val="24"/>
        </w:rPr>
        <w:t>the</w:t>
      </w:r>
      <w:r w:rsidRPr="006F07A5">
        <w:rPr>
          <w:szCs w:val="24"/>
        </w:rPr>
        <w:t xml:space="preserve"> Forecast Area by the total load plus losses of Forecast Area from the most recent valid solution.  </w:t>
      </w:r>
      <w:r>
        <w:rPr>
          <w:szCs w:val="24"/>
        </w:rPr>
        <w:t>The Market Operator</w:t>
      </w:r>
      <w:r w:rsidRPr="006F07A5">
        <w:rPr>
          <w:szCs w:val="24"/>
        </w:rPr>
        <w:t xml:space="preserve"> then multiplies the Short-Term Load Forecast of Forecast Area by (1 – Forecast Area loss percentage) to obtain Forecast Area load forecast without estimated losses for use in the RTBM study.</w:t>
      </w:r>
    </w:p>
    <w:p w14:paraId="543EACDD" w14:textId="58B9DCAA" w:rsidR="00C8264D" w:rsidRPr="006F07A5" w:rsidRDefault="00C8264D" w:rsidP="00C8264D">
      <w:pPr>
        <w:spacing w:before="120" w:line="300" w:lineRule="auto"/>
        <w:rPr>
          <w:szCs w:val="24"/>
        </w:rPr>
      </w:pPr>
      <w:bookmarkStart w:id="271" w:name="_Toc263173252"/>
      <w:bookmarkStart w:id="272" w:name="_Toc263795402"/>
      <w:r w:rsidRPr="006F07A5">
        <w:rPr>
          <w:szCs w:val="24"/>
        </w:rPr>
        <w:t xml:space="preserve">For each RUC execution, </w:t>
      </w:r>
      <w:r>
        <w:rPr>
          <w:szCs w:val="24"/>
        </w:rPr>
        <w:t>the Market Operator</w:t>
      </w:r>
      <w:r w:rsidRPr="006F07A5">
        <w:rPr>
          <w:szCs w:val="24"/>
        </w:rPr>
        <w:t xml:space="preserve"> estimates the future system operating conditions and a power flow study is used to determine loss estimates.  Using the estimated future system operating conditions, </w:t>
      </w:r>
      <w:r>
        <w:rPr>
          <w:szCs w:val="24"/>
        </w:rPr>
        <w:t>the Market Operator</w:t>
      </w:r>
      <w:r w:rsidRPr="006F07A5">
        <w:rPr>
          <w:szCs w:val="24"/>
        </w:rPr>
        <w:t xml:space="preserve"> determines Forecast Area loss percentage with an approach similar to the RTBM approach: for each area, dividing the study solution losses of Forecast Area by the total load plus losses of Forecast Area in the solution.  </w:t>
      </w:r>
      <w:r>
        <w:rPr>
          <w:szCs w:val="24"/>
        </w:rPr>
        <w:t>The Market Operator</w:t>
      </w:r>
      <w:r w:rsidRPr="006F07A5">
        <w:rPr>
          <w:szCs w:val="24"/>
        </w:rPr>
        <w:t xml:space="preserve"> then multiplies (1 – Forecast Area loss percentage) by the Mid-Term Load Forecast of Forecast Area to obtain Forecast Area load forecast without estimated losses for use in the RUC study.    </w:t>
      </w:r>
      <w:r>
        <w:rPr>
          <w:szCs w:val="24"/>
        </w:rPr>
        <w:t xml:space="preserve"> </w:t>
      </w:r>
    </w:p>
    <w:p w14:paraId="037A8A75" w14:textId="77777777" w:rsidR="00C8264D" w:rsidRPr="006F07A5" w:rsidRDefault="00C8264D" w:rsidP="00574654">
      <w:pPr>
        <w:pStyle w:val="Heading5"/>
      </w:pPr>
      <w:bookmarkStart w:id="273" w:name="_Toc263173253"/>
      <w:bookmarkStart w:id="274" w:name="_Toc263795403"/>
      <w:bookmarkStart w:id="275" w:name="_Toc213771780"/>
      <w:bookmarkEnd w:id="271"/>
      <w:bookmarkEnd w:id="272"/>
      <w:r w:rsidRPr="006F07A5">
        <w:t>Demand Response Adjustments</w:t>
      </w:r>
      <w:bookmarkEnd w:id="273"/>
      <w:bookmarkEnd w:id="274"/>
      <w:bookmarkEnd w:id="275"/>
    </w:p>
    <w:p w14:paraId="0F1E5AC3" w14:textId="2FC1049E" w:rsidR="00C8264D" w:rsidRPr="006F07A5" w:rsidRDefault="00C8264D" w:rsidP="00C8264D">
      <w:pPr>
        <w:spacing w:line="300" w:lineRule="auto"/>
        <w:rPr>
          <w:szCs w:val="24"/>
        </w:rPr>
      </w:pPr>
      <w:r w:rsidRPr="006F07A5">
        <w:rPr>
          <w:szCs w:val="24"/>
        </w:rPr>
        <w:t xml:space="preserve">In developing the Short-Term Load Forecast, </w:t>
      </w:r>
      <w:r>
        <w:rPr>
          <w:szCs w:val="24"/>
        </w:rPr>
        <w:t>the Market Operator</w:t>
      </w:r>
      <w:r w:rsidRPr="006F07A5">
        <w:rPr>
          <w:szCs w:val="24"/>
        </w:rPr>
        <w:t xml:space="preserve"> will perform a gross-up adjustment in real-time for deployed </w:t>
      </w:r>
      <w:r>
        <w:rPr>
          <w:szCs w:val="24"/>
        </w:rPr>
        <w:t xml:space="preserve">Dispatchable </w:t>
      </w:r>
      <w:r w:rsidRPr="006F07A5">
        <w:rPr>
          <w:szCs w:val="24"/>
        </w:rPr>
        <w:t>Demand Response Resources (</w:t>
      </w:r>
      <w:r>
        <w:rPr>
          <w:szCs w:val="24"/>
        </w:rPr>
        <w:t>D</w:t>
      </w:r>
      <w:r w:rsidRPr="006F07A5">
        <w:rPr>
          <w:szCs w:val="24"/>
        </w:rPr>
        <w:t xml:space="preserve">DRR) in order to continue to forecast the total load to be served by the RTBM.  </w:t>
      </w:r>
      <w:r>
        <w:rPr>
          <w:szCs w:val="24"/>
        </w:rPr>
        <w:t>The Market Operator</w:t>
      </w:r>
      <w:r w:rsidRPr="006F07A5">
        <w:rPr>
          <w:szCs w:val="24"/>
        </w:rPr>
        <w:t xml:space="preserve"> will gross-up Forecast Area actual real-time load received via SCADA by adding the real-time </w:t>
      </w:r>
      <w:r>
        <w:rPr>
          <w:szCs w:val="24"/>
        </w:rPr>
        <w:t>D</w:t>
      </w:r>
      <w:r w:rsidRPr="006F07A5">
        <w:rPr>
          <w:szCs w:val="24"/>
        </w:rPr>
        <w:t xml:space="preserve">DRR output to Forecast Area actual load where the </w:t>
      </w:r>
      <w:r>
        <w:rPr>
          <w:szCs w:val="24"/>
        </w:rPr>
        <w:t>D</w:t>
      </w:r>
      <w:r w:rsidRPr="006F07A5">
        <w:rPr>
          <w:szCs w:val="24"/>
        </w:rPr>
        <w:t xml:space="preserve">DRR resides.  The </w:t>
      </w:r>
      <w:r>
        <w:rPr>
          <w:szCs w:val="24"/>
        </w:rPr>
        <w:t>D</w:t>
      </w:r>
      <w:r w:rsidRPr="006F07A5">
        <w:rPr>
          <w:szCs w:val="24"/>
        </w:rPr>
        <w:t xml:space="preserve">DRR output, in this case, is the estimated </w:t>
      </w:r>
      <w:r>
        <w:rPr>
          <w:szCs w:val="24"/>
        </w:rPr>
        <w:t>D</w:t>
      </w:r>
      <w:r w:rsidRPr="006F07A5">
        <w:rPr>
          <w:szCs w:val="24"/>
        </w:rPr>
        <w:t>DRR output as calculated pursuant to Section</w:t>
      </w:r>
      <w:r w:rsidR="005E7E14">
        <w:rPr>
          <w:color w:val="2B579A"/>
          <w:szCs w:val="24"/>
          <w:shd w:val="clear" w:color="auto" w:fill="E6E6E6"/>
        </w:rPr>
        <w:t xml:space="preserve"> </w:t>
      </w:r>
      <w:r w:rsidR="005E7E14" w:rsidRPr="00FE7AA5">
        <w:rPr>
          <w:szCs w:val="24"/>
          <w:shd w:val="clear" w:color="auto" w:fill="E6E6E6"/>
        </w:rPr>
        <w:fldChar w:fldCharType="begin"/>
      </w:r>
      <w:r w:rsidR="005E7E14" w:rsidRPr="00FE7AA5">
        <w:rPr>
          <w:szCs w:val="24"/>
          <w:shd w:val="clear" w:color="auto" w:fill="E6E6E6"/>
        </w:rPr>
        <w:instrText xml:space="preserve"> REF _Ref212538762 \r \h </w:instrText>
      </w:r>
      <w:r w:rsidR="005E7E14" w:rsidRPr="00FE7AA5">
        <w:rPr>
          <w:szCs w:val="24"/>
          <w:shd w:val="clear" w:color="auto" w:fill="E6E6E6"/>
        </w:rPr>
      </w:r>
      <w:r w:rsidR="005E7E14" w:rsidRPr="00FE7AA5">
        <w:rPr>
          <w:szCs w:val="24"/>
          <w:shd w:val="clear" w:color="auto" w:fill="E6E6E6"/>
        </w:rPr>
        <w:fldChar w:fldCharType="separate"/>
      </w:r>
      <w:r w:rsidR="005E7E14" w:rsidRPr="00FE7AA5">
        <w:rPr>
          <w:szCs w:val="24"/>
          <w:shd w:val="clear" w:color="auto" w:fill="E6E6E6"/>
        </w:rPr>
        <w:t>4.2.2.5.1</w:t>
      </w:r>
      <w:r w:rsidR="005E7E14" w:rsidRPr="00FE7AA5">
        <w:rPr>
          <w:szCs w:val="24"/>
          <w:shd w:val="clear" w:color="auto" w:fill="E6E6E6"/>
        </w:rPr>
        <w:fldChar w:fldCharType="end"/>
      </w:r>
      <w:r w:rsidRPr="005E7E14">
        <w:rPr>
          <w:szCs w:val="24"/>
        </w:rPr>
        <w:t>.</w:t>
      </w:r>
    </w:p>
    <w:p w14:paraId="1A8C9D6B" w14:textId="77777777" w:rsidR="00C8264D" w:rsidRPr="006F07A5" w:rsidRDefault="00C8264D" w:rsidP="00574654">
      <w:pPr>
        <w:pStyle w:val="Heading5"/>
      </w:pPr>
      <w:bookmarkStart w:id="276" w:name="_Ref260168919"/>
      <w:bookmarkStart w:id="277" w:name="_Toc263173254"/>
      <w:bookmarkStart w:id="278" w:name="_Toc263795404"/>
      <w:bookmarkStart w:id="279" w:name="_Toc213771781"/>
      <w:bookmarkStart w:id="280" w:name="_Ref258479648"/>
      <w:r w:rsidRPr="006F07A5">
        <w:t>Reserve Zone Load</w:t>
      </w:r>
      <w:bookmarkEnd w:id="276"/>
      <w:bookmarkEnd w:id="277"/>
      <w:bookmarkEnd w:id="278"/>
      <w:bookmarkEnd w:id="279"/>
    </w:p>
    <w:p w14:paraId="1F7FDCA7" w14:textId="25A32F26" w:rsidR="00C8264D" w:rsidRPr="006F07A5" w:rsidRDefault="00C8264D" w:rsidP="00C8264D">
      <w:pPr>
        <w:spacing w:before="120" w:line="300" w:lineRule="auto"/>
        <w:rPr>
          <w:szCs w:val="24"/>
        </w:rPr>
      </w:pPr>
      <w:r w:rsidRPr="006F07A5">
        <w:rPr>
          <w:szCs w:val="24"/>
        </w:rPr>
        <w:t xml:space="preserve">Using the Pnode load forecasts developed under Section </w:t>
      </w:r>
      <w:r w:rsidRPr="006F07A5">
        <w:rPr>
          <w:color w:val="2B579A"/>
          <w:szCs w:val="24"/>
          <w:shd w:val="clear" w:color="auto" w:fill="E6E6E6"/>
        </w:rPr>
        <w:fldChar w:fldCharType="begin"/>
      </w:r>
      <w:r w:rsidRPr="006F07A5">
        <w:rPr>
          <w:szCs w:val="24"/>
        </w:rPr>
        <w:instrText xml:space="preserve"> REF _Ref258484770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4.1.2.1.6</w:t>
      </w:r>
      <w:r w:rsidRPr="006F07A5">
        <w:rPr>
          <w:color w:val="2B579A"/>
          <w:szCs w:val="24"/>
          <w:shd w:val="clear" w:color="auto" w:fill="E6E6E6"/>
        </w:rPr>
        <w:fldChar w:fldCharType="end"/>
      </w:r>
      <w:r w:rsidRPr="006F07A5">
        <w:rPr>
          <w:szCs w:val="24"/>
        </w:rPr>
        <w:t xml:space="preserve">, </w:t>
      </w:r>
      <w:r>
        <w:rPr>
          <w:szCs w:val="24"/>
        </w:rPr>
        <w:t>the Market Operator</w:t>
      </w:r>
      <w:r w:rsidRPr="006F07A5">
        <w:rPr>
          <w:szCs w:val="24"/>
        </w:rPr>
        <w:t xml:space="preserve"> sums up the load forecasts at each Pnode in a Reserve Zone to determine the amount of load within the Reserve Zone for input into the study models used to establish the daily Reserve Zone minimum and maximum Flexibility Reserve Products requirements.  Additionally, </w:t>
      </w:r>
      <w:r>
        <w:rPr>
          <w:szCs w:val="24"/>
        </w:rPr>
        <w:t>the Market Operator</w:t>
      </w:r>
      <w:r w:rsidRPr="006F07A5">
        <w:rPr>
          <w:szCs w:val="24"/>
        </w:rPr>
        <w:t xml:space="preserve"> will calculate each Asset Owner’s forecast load within each Reserve Zone and </w:t>
      </w:r>
      <w:r>
        <w:rPr>
          <w:szCs w:val="24"/>
        </w:rPr>
        <w:t>the Market Operator</w:t>
      </w:r>
      <w:r w:rsidRPr="006F07A5">
        <w:rPr>
          <w:szCs w:val="24"/>
        </w:rPr>
        <w:t xml:space="preserve"> will then use this Asset Owner load forecast to estimate each Asset Owner’s Flexibility Reserve Products obligations within each Reserve Zone.</w:t>
      </w:r>
    </w:p>
    <w:p w14:paraId="0740B0CA" w14:textId="77777777" w:rsidR="00C8264D" w:rsidRPr="006F07A5" w:rsidRDefault="00C8264D" w:rsidP="00574654">
      <w:pPr>
        <w:pStyle w:val="Heading5"/>
      </w:pPr>
      <w:bookmarkStart w:id="281" w:name="_Ref258484770"/>
      <w:bookmarkStart w:id="282" w:name="_Toc263173255"/>
      <w:bookmarkStart w:id="283" w:name="_Toc263795405"/>
      <w:bookmarkStart w:id="284" w:name="_Toc213771782"/>
      <w:bookmarkStart w:id="285" w:name="_Toc258924833"/>
      <w:bookmarkStart w:id="286" w:name="_Toc263173256"/>
      <w:bookmarkStart w:id="287" w:name="_Toc263429382"/>
      <w:bookmarkStart w:id="288" w:name="_Toc263795406"/>
      <w:bookmarkStart w:id="289" w:name="_Toc266869594"/>
      <w:bookmarkStart w:id="290" w:name="_Ref270488682"/>
      <w:bookmarkStart w:id="291" w:name="_Ref270489469"/>
      <w:bookmarkStart w:id="292" w:name="_Ref270489768"/>
      <w:bookmarkStart w:id="293" w:name="_Ref270490032"/>
      <w:bookmarkEnd w:id="280"/>
      <w:r w:rsidRPr="006F07A5">
        <w:t>Load Distribution</w:t>
      </w:r>
      <w:bookmarkEnd w:id="281"/>
      <w:bookmarkEnd w:id="282"/>
      <w:bookmarkEnd w:id="283"/>
      <w:bookmarkEnd w:id="284"/>
    </w:p>
    <w:p w14:paraId="57CAD8BF" w14:textId="5E7A9E1B" w:rsidR="00C8264D" w:rsidRPr="006F07A5" w:rsidRDefault="00C8264D" w:rsidP="00C8264D">
      <w:pPr>
        <w:spacing w:before="120" w:line="300" w:lineRule="auto"/>
        <w:rPr>
          <w:szCs w:val="24"/>
        </w:rPr>
      </w:pPr>
      <w:r>
        <w:rPr>
          <w:szCs w:val="24"/>
        </w:rPr>
        <w:t>The Market Operator</w:t>
      </w:r>
      <w:r w:rsidRPr="006F07A5">
        <w:rPr>
          <w:szCs w:val="24"/>
        </w:rPr>
        <w:t xml:space="preserve"> uses historical hourly load consumption patterns at each P</w:t>
      </w:r>
      <w:r w:rsidR="00EB34A9">
        <w:rPr>
          <w:szCs w:val="24"/>
        </w:rPr>
        <w:t>n</w:t>
      </w:r>
      <w:r w:rsidRPr="006F07A5">
        <w:rPr>
          <w:szCs w:val="24"/>
        </w:rPr>
        <w:t>ode within each Forecast Area, as determined by the State Estimator from a reference day, to allocate Forecast Area Mid-</w:t>
      </w:r>
      <w:r>
        <w:rPr>
          <w:szCs w:val="24"/>
        </w:rPr>
        <w:t>T</w:t>
      </w:r>
      <w:r w:rsidRPr="006F07A5">
        <w:rPr>
          <w:szCs w:val="24"/>
        </w:rPr>
        <w:t>erm Load Forecast down to the P</w:t>
      </w:r>
      <w:r w:rsidR="00EB34A9">
        <w:rPr>
          <w:szCs w:val="24"/>
        </w:rPr>
        <w:t>n</w:t>
      </w:r>
      <w:r w:rsidRPr="006F07A5">
        <w:rPr>
          <w:szCs w:val="24"/>
        </w:rPr>
        <w:t xml:space="preserve">ode level within each Forecast Area for all RUC processes.  The reference day used for each Forecast Area will be determined by </w:t>
      </w:r>
      <w:r>
        <w:rPr>
          <w:szCs w:val="24"/>
        </w:rPr>
        <w:t>the Market Operator</w:t>
      </w:r>
      <w:r w:rsidRPr="006F07A5">
        <w:rPr>
          <w:szCs w:val="24"/>
        </w:rPr>
        <w:t>.  By default</w:t>
      </w:r>
      <w:r>
        <w:rPr>
          <w:szCs w:val="24"/>
        </w:rPr>
        <w:t>,</w:t>
      </w:r>
      <w:r w:rsidRPr="006F07A5">
        <w:rPr>
          <w:szCs w:val="24"/>
        </w:rPr>
        <w:t xml:space="preserve"> the reference day will be the same day of the week seven (7) days prior</w:t>
      </w:r>
      <w:r>
        <w:rPr>
          <w:szCs w:val="24"/>
        </w:rPr>
        <w:t>,</w:t>
      </w:r>
      <w:r w:rsidRPr="006F07A5">
        <w:rPr>
          <w:szCs w:val="24"/>
        </w:rPr>
        <w:t xml:space="preserve"> but </w:t>
      </w:r>
      <w:r>
        <w:rPr>
          <w:szCs w:val="24"/>
        </w:rPr>
        <w:t>the Market Operator</w:t>
      </w:r>
      <w:r w:rsidRPr="006F07A5">
        <w:rPr>
          <w:szCs w:val="24"/>
        </w:rPr>
        <w:t xml:space="preserve"> has the discretion to choose a different reference day if more appropriate due to holidays, dramatic weather pattern changes</w:t>
      </w:r>
      <w:r>
        <w:rPr>
          <w:szCs w:val="24"/>
        </w:rPr>
        <w:t>,</w:t>
      </w:r>
      <w:r w:rsidRPr="006F07A5">
        <w:rPr>
          <w:szCs w:val="24"/>
        </w:rPr>
        <w:t xml:space="preserve"> or other factors as appropriate.</w:t>
      </w:r>
    </w:p>
    <w:p w14:paraId="1BEA0D67" w14:textId="77777777" w:rsidR="00C8264D" w:rsidRPr="006F07A5" w:rsidRDefault="00C8264D" w:rsidP="00C8264D">
      <w:pPr>
        <w:spacing w:before="120" w:line="300" w:lineRule="auto"/>
        <w:rPr>
          <w:szCs w:val="24"/>
        </w:rPr>
      </w:pPr>
      <w:r w:rsidRPr="006F07A5">
        <w:rPr>
          <w:szCs w:val="24"/>
        </w:rPr>
        <w:t>For the D</w:t>
      </w:r>
      <w:r>
        <w:rPr>
          <w:szCs w:val="24"/>
        </w:rPr>
        <w:t>ay-</w:t>
      </w:r>
      <w:r w:rsidRPr="006F07A5">
        <w:rPr>
          <w:szCs w:val="24"/>
        </w:rPr>
        <w:t>A</w:t>
      </w:r>
      <w:r>
        <w:rPr>
          <w:szCs w:val="24"/>
        </w:rPr>
        <w:t>head</w:t>
      </w:r>
      <w:r w:rsidRPr="006F07A5">
        <w:rPr>
          <w:szCs w:val="24"/>
        </w:rPr>
        <w:t xml:space="preserve"> Market, bid-in demand at each Settlement Location will be distributed using the same weighting used for the RUC process</w:t>
      </w:r>
      <w:r>
        <w:rPr>
          <w:szCs w:val="24"/>
        </w:rPr>
        <w:t>es</w:t>
      </w:r>
      <w:r w:rsidRPr="006F07A5">
        <w:rPr>
          <w:szCs w:val="24"/>
        </w:rPr>
        <w:t>.</w:t>
      </w:r>
    </w:p>
    <w:p w14:paraId="7D10DF1D" w14:textId="0B831657" w:rsidR="00C8264D" w:rsidRPr="006F07A5" w:rsidRDefault="00C8264D" w:rsidP="00C8264D">
      <w:pPr>
        <w:spacing w:before="120" w:line="300" w:lineRule="auto"/>
        <w:rPr>
          <w:szCs w:val="24"/>
        </w:rPr>
      </w:pPr>
      <w:r w:rsidRPr="006F07A5">
        <w:rPr>
          <w:szCs w:val="24"/>
        </w:rPr>
        <w:t>For the RTBM, the Short-</w:t>
      </w:r>
      <w:r>
        <w:rPr>
          <w:szCs w:val="24"/>
        </w:rPr>
        <w:t>T</w:t>
      </w:r>
      <w:r w:rsidRPr="006F07A5">
        <w:rPr>
          <w:szCs w:val="24"/>
        </w:rPr>
        <w:t>erm Load Forecast will be distributed to each P</w:t>
      </w:r>
      <w:r w:rsidR="00EB34A9">
        <w:rPr>
          <w:szCs w:val="24"/>
        </w:rPr>
        <w:t>n</w:t>
      </w:r>
      <w:r w:rsidRPr="006F07A5">
        <w:rPr>
          <w:szCs w:val="24"/>
        </w:rPr>
        <w:t>ode weighted by the load at each P</w:t>
      </w:r>
      <w:r w:rsidR="00EB34A9">
        <w:rPr>
          <w:szCs w:val="24"/>
        </w:rPr>
        <w:t>n</w:t>
      </w:r>
      <w:r w:rsidRPr="006F07A5">
        <w:rPr>
          <w:szCs w:val="24"/>
        </w:rPr>
        <w:t>ode from the latest State Estimator solution.</w:t>
      </w:r>
    </w:p>
    <w:p w14:paraId="0B4C4C4E" w14:textId="77777777" w:rsidR="00C8264D" w:rsidRPr="006F07A5" w:rsidRDefault="00C8264D" w:rsidP="00574EDE">
      <w:pPr>
        <w:pStyle w:val="Heading4"/>
      </w:pPr>
      <w:bookmarkStart w:id="294" w:name="_Ref160005369"/>
      <w:bookmarkStart w:id="295" w:name="_Ref160009567"/>
      <w:bookmarkStart w:id="296" w:name="_Ref160010533"/>
      <w:bookmarkStart w:id="297" w:name="_Toc213771783"/>
      <w:r w:rsidRPr="26EFA1EC">
        <w:t>Wind-Powered Generation Resource Output Forecasts</w:t>
      </w:r>
      <w:bookmarkEnd w:id="257"/>
      <w:bookmarkEnd w:id="285"/>
      <w:bookmarkEnd w:id="286"/>
      <w:bookmarkEnd w:id="287"/>
      <w:bookmarkEnd w:id="288"/>
      <w:bookmarkEnd w:id="289"/>
      <w:bookmarkEnd w:id="290"/>
      <w:bookmarkEnd w:id="291"/>
      <w:bookmarkEnd w:id="292"/>
      <w:bookmarkEnd w:id="293"/>
      <w:bookmarkEnd w:id="294"/>
      <w:bookmarkEnd w:id="295"/>
      <w:bookmarkEnd w:id="296"/>
      <w:bookmarkEnd w:id="297"/>
    </w:p>
    <w:p w14:paraId="09180E0D" w14:textId="77777777" w:rsidR="00C8264D" w:rsidRPr="006F07A5" w:rsidRDefault="00C8264D" w:rsidP="00C8264D">
      <w:pPr>
        <w:spacing w:before="120" w:line="300" w:lineRule="auto"/>
        <w:rPr>
          <w:szCs w:val="24"/>
        </w:rPr>
      </w:pPr>
      <w:bookmarkStart w:id="298" w:name="_Toc247270974"/>
      <w:r>
        <w:rPr>
          <w:szCs w:val="24"/>
        </w:rPr>
        <w:t>The Market Operator</w:t>
      </w:r>
      <w:r w:rsidRPr="006F07A5">
        <w:rPr>
          <w:szCs w:val="24"/>
        </w:rPr>
        <w:t xml:space="preserve"> produces and updates an hourly </w:t>
      </w:r>
      <w:r>
        <w:rPr>
          <w:szCs w:val="24"/>
        </w:rPr>
        <w:t>w</w:t>
      </w:r>
      <w:r w:rsidRPr="006F07A5">
        <w:rPr>
          <w:szCs w:val="24"/>
        </w:rPr>
        <w:t xml:space="preserve">ind-powered </w:t>
      </w:r>
      <w:r>
        <w:rPr>
          <w:szCs w:val="24"/>
        </w:rPr>
        <w:t>g</w:t>
      </w:r>
      <w:r w:rsidRPr="006F07A5">
        <w:rPr>
          <w:szCs w:val="24"/>
        </w:rPr>
        <w:t>eneration Resource (WGR) forecast that provides a rolling hourly forecast of wind production potential from each WGR that is expected to exceed the WGR actual output 50% of the time (50% probability of exceedance forecast).  This process uses a physical modeling technique that incorporates the relationships of the WGRs to wind speed, topography, atmospheric conditions, actual WGR output, and other variables that influence WGR production.  The updated WGR forecasts for each hour are used as inputs into each RUC process.</w:t>
      </w:r>
    </w:p>
    <w:p w14:paraId="0E9519F5" w14:textId="1FD44297" w:rsidR="00890AC5" w:rsidRPr="00267E81" w:rsidRDefault="00890AC5" w:rsidP="00890AC5">
      <w:pPr>
        <w:spacing w:before="120" w:line="300" w:lineRule="auto"/>
        <w:rPr>
          <w:szCs w:val="24"/>
        </w:rPr>
      </w:pPr>
      <w:r w:rsidRPr="00267E81">
        <w:rPr>
          <w:szCs w:val="24"/>
        </w:rPr>
        <w:t xml:space="preserve">The Market Operator will produce </w:t>
      </w:r>
      <w:r>
        <w:rPr>
          <w:szCs w:val="24"/>
        </w:rPr>
        <w:t>W</w:t>
      </w:r>
      <w:r w:rsidRPr="00267E81">
        <w:rPr>
          <w:szCs w:val="24"/>
        </w:rPr>
        <w:t>GR forecasts as follows:</w:t>
      </w:r>
    </w:p>
    <w:p w14:paraId="09117272" w14:textId="541F3608" w:rsidR="00890AC5" w:rsidRPr="00267E81" w:rsidRDefault="00890AC5" w:rsidP="00890AC5">
      <w:pPr>
        <w:pStyle w:val="pf0"/>
        <w:numPr>
          <w:ilvl w:val="0"/>
          <w:numId w:val="85"/>
        </w:numPr>
      </w:pPr>
      <w:r w:rsidRPr="00267E81">
        <w:t xml:space="preserve">A short-term forecast </w:t>
      </w:r>
      <w:r w:rsidRPr="00267E81">
        <w:rPr>
          <w:rStyle w:val="cf01"/>
          <w:rFonts w:ascii="Times New Roman" w:hAnsi="Times New Roman" w:cs="Times New Roman"/>
          <w:sz w:val="24"/>
          <w:szCs w:val="24"/>
        </w:rPr>
        <w:t>for next four (4) hours, in 5</w:t>
      </w:r>
      <w:r w:rsidR="00120840">
        <w:rPr>
          <w:rStyle w:val="cf01"/>
          <w:rFonts w:ascii="Times New Roman" w:hAnsi="Times New Roman" w:cs="Times New Roman"/>
          <w:sz w:val="24"/>
          <w:szCs w:val="24"/>
        </w:rPr>
        <w:t>-</w:t>
      </w:r>
      <w:r w:rsidRPr="00267E81">
        <w:rPr>
          <w:rStyle w:val="cf01"/>
          <w:rFonts w:ascii="Times New Roman" w:hAnsi="Times New Roman" w:cs="Times New Roman"/>
          <w:sz w:val="24"/>
          <w:szCs w:val="24"/>
        </w:rPr>
        <w:t>minute intervals, updated every 5</w:t>
      </w:r>
      <w:r w:rsidR="00120840">
        <w:rPr>
          <w:rStyle w:val="cf01"/>
          <w:rFonts w:ascii="Times New Roman" w:hAnsi="Times New Roman" w:cs="Times New Roman"/>
          <w:sz w:val="24"/>
          <w:szCs w:val="24"/>
        </w:rPr>
        <w:t>-</w:t>
      </w:r>
      <w:r w:rsidRPr="00267E81">
        <w:rPr>
          <w:rStyle w:val="cf01"/>
          <w:rFonts w:ascii="Times New Roman" w:hAnsi="Times New Roman" w:cs="Times New Roman"/>
          <w:sz w:val="24"/>
          <w:szCs w:val="24"/>
        </w:rPr>
        <w:t>minutes;</w:t>
      </w:r>
    </w:p>
    <w:p w14:paraId="7D6039DB" w14:textId="794FAC7A" w:rsidR="00890AC5" w:rsidRPr="00267E81" w:rsidRDefault="00890AC5" w:rsidP="00890AC5">
      <w:pPr>
        <w:pStyle w:val="ListParagraph"/>
        <w:numPr>
          <w:ilvl w:val="0"/>
          <w:numId w:val="85"/>
        </w:numPr>
        <w:spacing w:before="120" w:line="300" w:lineRule="auto"/>
        <w:rPr>
          <w:szCs w:val="24"/>
        </w:rPr>
      </w:pPr>
      <w:r w:rsidRPr="00267E81">
        <w:rPr>
          <w:szCs w:val="24"/>
        </w:rPr>
        <w:t xml:space="preserve">A mid-term forecast for the next seventy-two (72) hours in one </w:t>
      </w:r>
      <w:r w:rsidR="00120840">
        <w:rPr>
          <w:szCs w:val="24"/>
        </w:rPr>
        <w:t xml:space="preserve">(1) </w:t>
      </w:r>
      <w:r w:rsidRPr="00267E81">
        <w:rPr>
          <w:szCs w:val="24"/>
        </w:rPr>
        <w:t>hour intervals updated every hour; and</w:t>
      </w:r>
    </w:p>
    <w:p w14:paraId="6F987A78" w14:textId="3933F4D2" w:rsidR="00890AC5" w:rsidRPr="00267E81" w:rsidRDefault="00890AC5" w:rsidP="00890AC5">
      <w:pPr>
        <w:pStyle w:val="ListParagraph"/>
        <w:numPr>
          <w:ilvl w:val="0"/>
          <w:numId w:val="85"/>
        </w:numPr>
        <w:spacing w:before="120" w:line="300" w:lineRule="auto"/>
        <w:rPr>
          <w:szCs w:val="24"/>
        </w:rPr>
      </w:pPr>
      <w:r w:rsidRPr="00267E81">
        <w:rPr>
          <w:szCs w:val="24"/>
        </w:rPr>
        <w:t>A long-term forecast for the next forty-eight (48) to one-hundred-ninety-two (192) hours in one</w:t>
      </w:r>
      <w:r w:rsidR="00120840">
        <w:rPr>
          <w:szCs w:val="24"/>
        </w:rPr>
        <w:t xml:space="preserve"> (1)</w:t>
      </w:r>
      <w:r w:rsidRPr="00267E81">
        <w:rPr>
          <w:szCs w:val="24"/>
        </w:rPr>
        <w:t xml:space="preserve"> hour intervals updated eight (8) times periodically throughout the day.</w:t>
      </w:r>
    </w:p>
    <w:p w14:paraId="7ADFC7A9" w14:textId="4C68C62B" w:rsidR="00C8264D" w:rsidRPr="006F07A5" w:rsidRDefault="00C8264D" w:rsidP="00C8264D">
      <w:pPr>
        <w:spacing w:before="120" w:line="300" w:lineRule="auto"/>
        <w:rPr>
          <w:szCs w:val="24"/>
        </w:rPr>
      </w:pPr>
      <w:r>
        <w:rPr>
          <w:szCs w:val="24"/>
        </w:rPr>
        <w:t>The Market Operator</w:t>
      </w:r>
      <w:r w:rsidRPr="006F07A5">
        <w:rPr>
          <w:szCs w:val="24"/>
        </w:rPr>
        <w:t xml:space="preserve"> also produces and updates an hourly Total Wind Power Forecast (TWPF) providing a probability distribution of the hourly production potential from all wind-powered Resources in </w:t>
      </w:r>
      <w:r>
        <w:rPr>
          <w:szCs w:val="24"/>
        </w:rPr>
        <w:t>the Markets+ Footprint</w:t>
      </w:r>
      <w:r w:rsidRPr="006F07A5">
        <w:rPr>
          <w:szCs w:val="24"/>
        </w:rPr>
        <w:t xml:space="preserve"> for each of the next</w:t>
      </w:r>
      <w:r w:rsidR="00120840">
        <w:rPr>
          <w:szCs w:val="24"/>
        </w:rPr>
        <w:t xml:space="preserve"> forty-eight (</w:t>
      </w:r>
      <w:r w:rsidRPr="006F07A5">
        <w:rPr>
          <w:szCs w:val="24"/>
        </w:rPr>
        <w:t>48</w:t>
      </w:r>
      <w:r w:rsidR="00120840">
        <w:rPr>
          <w:szCs w:val="24"/>
        </w:rPr>
        <w:t>)</w:t>
      </w:r>
      <w:r w:rsidRPr="006F07A5">
        <w:rPr>
          <w:szCs w:val="24"/>
        </w:rPr>
        <w:t xml:space="preserve"> hours.  </w:t>
      </w:r>
    </w:p>
    <w:p w14:paraId="75FB8E69" w14:textId="5E30A3BC" w:rsidR="00C8264D" w:rsidRPr="006F07A5" w:rsidRDefault="00C8264D" w:rsidP="00C8264D">
      <w:pPr>
        <w:spacing w:before="120" w:line="300" w:lineRule="auto"/>
        <w:rPr>
          <w:szCs w:val="24"/>
        </w:rPr>
      </w:pPr>
      <w:r>
        <w:rPr>
          <w:szCs w:val="24"/>
        </w:rPr>
        <w:t>The Market Operator</w:t>
      </w:r>
      <w:r w:rsidRPr="006F07A5">
        <w:rPr>
          <w:szCs w:val="24"/>
        </w:rPr>
        <w:t xml:space="preserve"> produces the WGR forecast and TWPF using the information described in section </w:t>
      </w:r>
      <w:r w:rsidRPr="006F07A5">
        <w:rPr>
          <w:color w:val="2B579A"/>
          <w:szCs w:val="24"/>
          <w:shd w:val="clear" w:color="auto" w:fill="E6E6E6"/>
        </w:rPr>
        <w:fldChar w:fldCharType="begin"/>
      </w:r>
      <w:r w:rsidRPr="006F07A5">
        <w:rPr>
          <w:szCs w:val="24"/>
        </w:rPr>
        <w:instrText xml:space="preserve"> REF _Ref350493338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4.1.2.3</w:t>
      </w:r>
      <w:r w:rsidRPr="006F07A5">
        <w:rPr>
          <w:color w:val="2B579A"/>
          <w:szCs w:val="24"/>
          <w:shd w:val="clear" w:color="auto" w:fill="E6E6E6"/>
        </w:rPr>
        <w:fldChar w:fldCharType="end"/>
      </w:r>
      <w:r w:rsidRPr="006F07A5">
        <w:rPr>
          <w:szCs w:val="24"/>
        </w:rPr>
        <w:t xml:space="preserve">. This is in addition to the </w:t>
      </w:r>
      <w:r>
        <w:rPr>
          <w:szCs w:val="24"/>
        </w:rPr>
        <w:t>a</w:t>
      </w:r>
      <w:r w:rsidRPr="006F07A5">
        <w:rPr>
          <w:szCs w:val="24"/>
        </w:rPr>
        <w:t xml:space="preserve">vailability and </w:t>
      </w:r>
      <w:r>
        <w:rPr>
          <w:szCs w:val="24"/>
        </w:rPr>
        <w:t>a</w:t>
      </w:r>
      <w:r w:rsidRPr="006F07A5">
        <w:rPr>
          <w:szCs w:val="24"/>
        </w:rPr>
        <w:t xml:space="preserve">ctual </w:t>
      </w:r>
      <w:r>
        <w:rPr>
          <w:szCs w:val="24"/>
        </w:rPr>
        <w:t>o</w:t>
      </w:r>
      <w:r w:rsidRPr="006F07A5">
        <w:rPr>
          <w:szCs w:val="24"/>
        </w:rPr>
        <w:t xml:space="preserve">utput data required of all generation Resources.  </w:t>
      </w:r>
    </w:p>
    <w:p w14:paraId="4E934143" w14:textId="77777777" w:rsidR="00C8264D" w:rsidRPr="006F07A5" w:rsidRDefault="00C8264D" w:rsidP="00C8264D">
      <w:pPr>
        <w:spacing w:before="120" w:line="300" w:lineRule="auto"/>
        <w:rPr>
          <w:szCs w:val="24"/>
        </w:rPr>
      </w:pPr>
      <w:r>
        <w:rPr>
          <w:szCs w:val="24"/>
        </w:rPr>
        <w:t>The Market Operator</w:t>
      </w:r>
      <w:r w:rsidRPr="006F07A5">
        <w:rPr>
          <w:szCs w:val="24"/>
        </w:rPr>
        <w:t xml:space="preserve"> </w:t>
      </w:r>
      <w:r>
        <w:rPr>
          <w:szCs w:val="24"/>
        </w:rPr>
        <w:t>will</w:t>
      </w:r>
      <w:r w:rsidRPr="006F07A5">
        <w:rPr>
          <w:szCs w:val="24"/>
        </w:rPr>
        <w:t xml:space="preserve"> </w:t>
      </w:r>
      <w:r w:rsidRPr="006F07A5">
        <w:t>make</w:t>
      </w:r>
      <w:r w:rsidRPr="006F07A5">
        <w:rPr>
          <w:szCs w:val="24"/>
        </w:rPr>
        <w:t xml:space="preserve"> the WGR forecasts </w:t>
      </w:r>
      <w:r>
        <w:rPr>
          <w:szCs w:val="24"/>
        </w:rPr>
        <w:t xml:space="preserve">available </w:t>
      </w:r>
      <w:r w:rsidRPr="006F07A5">
        <w:rPr>
          <w:szCs w:val="24"/>
        </w:rPr>
        <w:t xml:space="preserve">to Market Participants </w:t>
      </w:r>
      <w:r w:rsidRPr="006F07A5">
        <w:t xml:space="preserve">and their designated agents </w:t>
      </w:r>
      <w:r w:rsidRPr="006F07A5">
        <w:rPr>
          <w:szCs w:val="24"/>
        </w:rPr>
        <w:t>for their specific WGRs</w:t>
      </w:r>
      <w:r w:rsidRPr="006F07A5">
        <w:t>, subject to any applicable confidentiality protections</w:t>
      </w:r>
      <w:r w:rsidRPr="006F07A5">
        <w:rPr>
          <w:szCs w:val="24"/>
        </w:rPr>
        <w:t xml:space="preserve">.  In addition, </w:t>
      </w:r>
      <w:r>
        <w:rPr>
          <w:szCs w:val="24"/>
        </w:rPr>
        <w:t>the Market Operator</w:t>
      </w:r>
      <w:r w:rsidRPr="006F07A5">
        <w:rPr>
          <w:szCs w:val="24"/>
        </w:rPr>
        <w:t xml:space="preserve"> </w:t>
      </w:r>
      <w:r>
        <w:rPr>
          <w:szCs w:val="24"/>
        </w:rPr>
        <w:t>will</w:t>
      </w:r>
      <w:r w:rsidRPr="006F07A5">
        <w:rPr>
          <w:szCs w:val="24"/>
        </w:rPr>
        <w:t xml:space="preserve"> provide all Market Participants with the TWPF.  Historical data </w:t>
      </w:r>
      <w:r>
        <w:rPr>
          <w:szCs w:val="24"/>
        </w:rPr>
        <w:t>will</w:t>
      </w:r>
      <w:r w:rsidRPr="006F07A5">
        <w:rPr>
          <w:szCs w:val="24"/>
        </w:rPr>
        <w:t xml:space="preserve"> be immediately available for seven (7) Calendar Days.</w:t>
      </w:r>
    </w:p>
    <w:p w14:paraId="023B8F92" w14:textId="77777777" w:rsidR="00C8264D" w:rsidRPr="006F07A5" w:rsidRDefault="00C8264D" w:rsidP="00574EDE">
      <w:pPr>
        <w:pStyle w:val="Heading4"/>
      </w:pPr>
      <w:bookmarkStart w:id="299" w:name="_Ref350493338"/>
      <w:bookmarkStart w:id="300" w:name="_Toc213771784"/>
      <w:bookmarkStart w:id="301" w:name="_Toc258924834"/>
      <w:bookmarkStart w:id="302" w:name="_Toc263173257"/>
      <w:bookmarkStart w:id="303" w:name="_Toc263173608"/>
      <w:bookmarkStart w:id="304" w:name="_Toc263173794"/>
      <w:bookmarkStart w:id="305" w:name="_Toc263174161"/>
      <w:bookmarkStart w:id="306" w:name="_Toc263235060"/>
      <w:bookmarkStart w:id="307" w:name="_Toc263235703"/>
      <w:bookmarkStart w:id="308" w:name="_Toc263429383"/>
      <w:bookmarkStart w:id="309" w:name="_Toc263795407"/>
      <w:bookmarkStart w:id="310" w:name="_Toc266869595"/>
      <w:bookmarkStart w:id="311" w:name="_Ref280268490"/>
      <w:r>
        <w:t>Wind-Powered Generation Resource Data Requirements</w:t>
      </w:r>
      <w:bookmarkEnd w:id="299"/>
      <w:bookmarkEnd w:id="300"/>
    </w:p>
    <w:p w14:paraId="41FF7A8D" w14:textId="6A8743B9" w:rsidR="00C8264D" w:rsidRPr="006F07A5" w:rsidRDefault="00C8264D" w:rsidP="00C35DA0">
      <w:pPr>
        <w:pStyle w:val="ListParagraph"/>
        <w:numPr>
          <w:ilvl w:val="0"/>
          <w:numId w:val="39"/>
        </w:numPr>
        <w:autoSpaceDE w:val="0"/>
        <w:autoSpaceDN w:val="0"/>
        <w:adjustRightInd w:val="0"/>
        <w:spacing w:before="120" w:line="300" w:lineRule="auto"/>
        <w:rPr>
          <w:color w:val="000000"/>
          <w:szCs w:val="24"/>
        </w:rPr>
      </w:pPr>
      <w:r w:rsidRPr="00043C59">
        <w:rPr>
          <w:color w:val="000000"/>
          <w:szCs w:val="24"/>
        </w:rPr>
        <w:t xml:space="preserve">The Market Participant registering </w:t>
      </w:r>
      <w:r w:rsidRPr="006F07A5">
        <w:rPr>
          <w:color w:val="000000"/>
          <w:szCs w:val="24"/>
        </w:rPr>
        <w:t xml:space="preserve">a WGR must provide applicable and accurate static information to </w:t>
      </w:r>
      <w:r w:rsidRPr="00043C59">
        <w:rPr>
          <w:color w:val="000000"/>
          <w:szCs w:val="24"/>
        </w:rPr>
        <w:t xml:space="preserve">the Market Operator </w:t>
      </w:r>
      <w:r w:rsidRPr="006F07A5">
        <w:rPr>
          <w:color w:val="000000"/>
          <w:szCs w:val="24"/>
        </w:rPr>
        <w:t>using</w:t>
      </w:r>
      <w:r w:rsidR="00BF762E">
        <w:rPr>
          <w:color w:val="000000"/>
          <w:szCs w:val="24"/>
        </w:rPr>
        <w:t xml:space="preserve"> the Markets+ Registration Workbook,</w:t>
      </w:r>
      <w:r w:rsidRPr="006F07A5">
        <w:rPr>
          <w:color w:val="000000"/>
          <w:szCs w:val="24"/>
        </w:rPr>
        <w:t xml:space="preserve"> a spreadsheet based template</w:t>
      </w:r>
      <w:r w:rsidR="00BF762E">
        <w:rPr>
          <w:color w:val="000000"/>
          <w:szCs w:val="24"/>
        </w:rPr>
        <w:t>,</w:t>
      </w:r>
      <w:r w:rsidRPr="006F07A5">
        <w:rPr>
          <w:color w:val="000000"/>
          <w:szCs w:val="24"/>
        </w:rPr>
        <w:t xml:space="preserve"> as defined by </w:t>
      </w:r>
      <w:r w:rsidRPr="00043C59">
        <w:rPr>
          <w:color w:val="000000"/>
          <w:szCs w:val="24"/>
        </w:rPr>
        <w:t>the Market Operator.</w:t>
      </w:r>
      <w:r w:rsidRPr="006F07A5">
        <w:rPr>
          <w:color w:val="000000"/>
          <w:szCs w:val="24"/>
        </w:rPr>
        <w:t xml:space="preserve">  The Market Participant registering the Resource must provide </w:t>
      </w:r>
      <w:r w:rsidRPr="00043C59">
        <w:rPr>
          <w:color w:val="000000"/>
          <w:szCs w:val="24"/>
        </w:rPr>
        <w:t>the Market Operator</w:t>
      </w:r>
      <w:r w:rsidRPr="006F07A5">
        <w:rPr>
          <w:color w:val="000000"/>
          <w:szCs w:val="24"/>
        </w:rPr>
        <w:t xml:space="preserve"> with current contact information for the wind farm Owner and Operator through the </w:t>
      </w:r>
      <w:r w:rsidR="00916D96">
        <w:rPr>
          <w:color w:val="000000"/>
          <w:szCs w:val="24"/>
        </w:rPr>
        <w:t xml:space="preserve">Markets+ </w:t>
      </w:r>
      <w:r w:rsidR="00BE1533">
        <w:rPr>
          <w:color w:val="000000"/>
          <w:szCs w:val="24"/>
        </w:rPr>
        <w:t xml:space="preserve">Registration </w:t>
      </w:r>
      <w:r w:rsidR="00916D96">
        <w:rPr>
          <w:color w:val="000000"/>
          <w:szCs w:val="24"/>
        </w:rPr>
        <w:t xml:space="preserve">Workbook </w:t>
      </w:r>
      <w:r w:rsidRPr="006F07A5">
        <w:rPr>
          <w:color w:val="000000"/>
          <w:szCs w:val="24"/>
        </w:rPr>
        <w:t xml:space="preserve">.  WGR static data should be updated as changes occur to ensure optimal WGR forecast and </w:t>
      </w:r>
      <w:r w:rsidRPr="00043C59">
        <w:rPr>
          <w:color w:val="000000"/>
          <w:szCs w:val="24"/>
        </w:rPr>
        <w:t>Total Wind Production Forecast (</w:t>
      </w:r>
      <w:r w:rsidRPr="006F07A5">
        <w:rPr>
          <w:color w:val="000000"/>
          <w:szCs w:val="24"/>
        </w:rPr>
        <w:t>TWPF</w:t>
      </w:r>
      <w:r w:rsidRPr="00043C59">
        <w:rPr>
          <w:color w:val="000000"/>
          <w:szCs w:val="24"/>
        </w:rPr>
        <w:t>)</w:t>
      </w:r>
      <w:r w:rsidRPr="006F07A5">
        <w:rPr>
          <w:color w:val="000000"/>
          <w:szCs w:val="24"/>
        </w:rPr>
        <w:t xml:space="preserve"> accuracy.  In addition, </w:t>
      </w:r>
      <w:r w:rsidRPr="00043C59">
        <w:rPr>
          <w:color w:val="000000"/>
          <w:szCs w:val="24"/>
        </w:rPr>
        <w:t>the Market Operator</w:t>
      </w:r>
      <w:r w:rsidRPr="006F07A5">
        <w:rPr>
          <w:color w:val="000000"/>
          <w:szCs w:val="24"/>
        </w:rPr>
        <w:t xml:space="preserve"> may request updated WGR static data as needed.</w:t>
      </w:r>
    </w:p>
    <w:p w14:paraId="010D5B01" w14:textId="34C64FCD"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sidRPr="006F07A5">
        <w:rPr>
          <w:b/>
          <w:color w:val="000000"/>
          <w:szCs w:val="24"/>
        </w:rPr>
        <w:t xml:space="preserve">Geographical Data – </w:t>
      </w:r>
      <w:r w:rsidRPr="006F07A5">
        <w:rPr>
          <w:color w:val="000000"/>
          <w:szCs w:val="24"/>
        </w:rPr>
        <w:t>Coordinates are required for individual wind turbines at each wind farm site and for either each met tower or nacelle anemometer.  Wind instrument data must be measured from within</w:t>
      </w:r>
      <w:r w:rsidR="00916D96">
        <w:rPr>
          <w:color w:val="000000"/>
          <w:szCs w:val="24"/>
        </w:rPr>
        <w:t xml:space="preserve"> ten</w:t>
      </w:r>
      <w:r w:rsidRPr="006F07A5">
        <w:rPr>
          <w:color w:val="000000"/>
          <w:szCs w:val="24"/>
        </w:rPr>
        <w:t xml:space="preserve"> </w:t>
      </w:r>
      <w:r w:rsidR="00916D96">
        <w:rPr>
          <w:color w:val="000000"/>
          <w:szCs w:val="24"/>
        </w:rPr>
        <w:t>(</w:t>
      </w:r>
      <w:r w:rsidRPr="006F07A5">
        <w:rPr>
          <w:color w:val="000000"/>
          <w:szCs w:val="24"/>
        </w:rPr>
        <w:t>10</w:t>
      </w:r>
      <w:r w:rsidR="00916D96">
        <w:rPr>
          <w:color w:val="000000"/>
          <w:szCs w:val="24"/>
        </w:rPr>
        <w:t>)</w:t>
      </w:r>
      <w:r w:rsidRPr="006F07A5">
        <w:rPr>
          <w:color w:val="000000"/>
          <w:szCs w:val="24"/>
        </w:rPr>
        <w:t xml:space="preserve"> miles from the midpoint of the wind farm site and within </w:t>
      </w:r>
      <w:r w:rsidR="00304326">
        <w:rPr>
          <w:color w:val="000000"/>
          <w:szCs w:val="24"/>
        </w:rPr>
        <w:t>ten (</w:t>
      </w:r>
      <w:r w:rsidRPr="006F07A5">
        <w:rPr>
          <w:color w:val="000000"/>
          <w:szCs w:val="24"/>
        </w:rPr>
        <w:t>10</w:t>
      </w:r>
      <w:r w:rsidR="00304326">
        <w:rPr>
          <w:color w:val="000000"/>
          <w:szCs w:val="24"/>
        </w:rPr>
        <w:t>)</w:t>
      </w:r>
      <w:r w:rsidRPr="006F07A5">
        <w:rPr>
          <w:color w:val="000000"/>
          <w:szCs w:val="24"/>
        </w:rPr>
        <w:t xml:space="preserve"> meters of the wind farm’s turbine hub height.</w:t>
      </w:r>
    </w:p>
    <w:p w14:paraId="7868EF6E"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Wind Farm</w:t>
      </w:r>
    </w:p>
    <w:p w14:paraId="6CB64665" w14:textId="79DC0C0F" w:rsidR="00C8264D" w:rsidRPr="006F07A5" w:rsidRDefault="00C8264D" w:rsidP="00C35DA0">
      <w:pPr>
        <w:numPr>
          <w:ilvl w:val="3"/>
          <w:numId w:val="39"/>
        </w:numPr>
        <w:autoSpaceDE w:val="0"/>
        <w:autoSpaceDN w:val="0"/>
        <w:adjustRightInd w:val="0"/>
        <w:spacing w:before="120" w:line="300" w:lineRule="auto"/>
        <w:ind w:hanging="547"/>
        <w:rPr>
          <w:color w:val="000000"/>
          <w:szCs w:val="24"/>
        </w:rPr>
      </w:pPr>
      <w:r w:rsidRPr="006F07A5">
        <w:rPr>
          <w:b/>
          <w:color w:val="000000"/>
          <w:szCs w:val="24"/>
        </w:rPr>
        <w:t xml:space="preserve">Latitude – </w:t>
      </w:r>
      <w:r w:rsidRPr="006F07A5">
        <w:rPr>
          <w:color w:val="000000"/>
          <w:szCs w:val="24"/>
        </w:rPr>
        <w:t xml:space="preserve">Latitude of individual wind turbines must be submitted as degrees in decimal form rounded to four </w:t>
      </w:r>
      <w:r w:rsidR="00892D65">
        <w:rPr>
          <w:color w:val="000000"/>
          <w:szCs w:val="24"/>
        </w:rPr>
        <w:t xml:space="preserve">(4) </w:t>
      </w:r>
      <w:r w:rsidRPr="006F07A5">
        <w:rPr>
          <w:color w:val="000000"/>
          <w:szCs w:val="24"/>
        </w:rPr>
        <w:t>digits.</w:t>
      </w:r>
    </w:p>
    <w:p w14:paraId="27B78A9A" w14:textId="60C94AF6" w:rsidR="00C8264D" w:rsidRPr="006F07A5" w:rsidRDefault="00C8264D" w:rsidP="00C35DA0">
      <w:pPr>
        <w:numPr>
          <w:ilvl w:val="3"/>
          <w:numId w:val="39"/>
        </w:numPr>
        <w:autoSpaceDE w:val="0"/>
        <w:autoSpaceDN w:val="0"/>
        <w:adjustRightInd w:val="0"/>
        <w:spacing w:before="120" w:line="300" w:lineRule="auto"/>
        <w:ind w:hanging="547"/>
        <w:rPr>
          <w:color w:val="000000"/>
          <w:szCs w:val="24"/>
        </w:rPr>
      </w:pPr>
      <w:r w:rsidRPr="006F07A5">
        <w:rPr>
          <w:b/>
          <w:color w:val="000000"/>
          <w:szCs w:val="24"/>
        </w:rPr>
        <w:t xml:space="preserve">Longitude – </w:t>
      </w:r>
      <w:r w:rsidRPr="006F07A5">
        <w:rPr>
          <w:color w:val="000000"/>
          <w:szCs w:val="24"/>
        </w:rPr>
        <w:t>Longitude of individual wind turbines must be submitted as degrees in decimal form rounded to four</w:t>
      </w:r>
      <w:r w:rsidR="00892D65">
        <w:rPr>
          <w:color w:val="000000"/>
          <w:szCs w:val="24"/>
        </w:rPr>
        <w:t xml:space="preserve"> (4)</w:t>
      </w:r>
      <w:r w:rsidRPr="006F07A5">
        <w:rPr>
          <w:color w:val="000000"/>
          <w:szCs w:val="24"/>
        </w:rPr>
        <w:t xml:space="preserve"> digits.</w:t>
      </w:r>
    </w:p>
    <w:p w14:paraId="474CFDCD"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Met Tower or Nacelle Anemometer</w:t>
      </w:r>
    </w:p>
    <w:p w14:paraId="6FB182BA" w14:textId="2009DD1E" w:rsidR="00C8264D" w:rsidRPr="006F07A5" w:rsidRDefault="00C8264D" w:rsidP="00C35DA0">
      <w:pPr>
        <w:numPr>
          <w:ilvl w:val="3"/>
          <w:numId w:val="39"/>
        </w:numPr>
        <w:autoSpaceDE w:val="0"/>
        <w:autoSpaceDN w:val="0"/>
        <w:adjustRightInd w:val="0"/>
        <w:spacing w:before="120" w:line="300" w:lineRule="auto"/>
        <w:ind w:hanging="547"/>
        <w:rPr>
          <w:color w:val="000000"/>
          <w:szCs w:val="24"/>
        </w:rPr>
      </w:pPr>
      <w:r w:rsidRPr="006F07A5">
        <w:rPr>
          <w:b/>
          <w:color w:val="000000"/>
          <w:szCs w:val="24"/>
        </w:rPr>
        <w:t xml:space="preserve">Latitude – </w:t>
      </w:r>
      <w:r w:rsidRPr="006F07A5">
        <w:rPr>
          <w:color w:val="000000"/>
          <w:szCs w:val="24"/>
        </w:rPr>
        <w:t>Latitude of the met tower or the nacelle anemometers, must be submitted as degrees in decimal form rounded to four</w:t>
      </w:r>
      <w:r w:rsidR="00892D65">
        <w:rPr>
          <w:color w:val="000000"/>
          <w:szCs w:val="24"/>
        </w:rPr>
        <w:t xml:space="preserve"> (4)</w:t>
      </w:r>
      <w:r w:rsidRPr="006F07A5">
        <w:rPr>
          <w:color w:val="000000"/>
          <w:szCs w:val="24"/>
        </w:rPr>
        <w:t xml:space="preserve"> digits.</w:t>
      </w:r>
    </w:p>
    <w:p w14:paraId="07F110EF" w14:textId="24DA93CF" w:rsidR="00C8264D" w:rsidRPr="006F07A5" w:rsidRDefault="00C8264D" w:rsidP="00C35DA0">
      <w:pPr>
        <w:numPr>
          <w:ilvl w:val="3"/>
          <w:numId w:val="39"/>
        </w:numPr>
        <w:autoSpaceDE w:val="0"/>
        <w:autoSpaceDN w:val="0"/>
        <w:adjustRightInd w:val="0"/>
        <w:spacing w:before="120" w:line="300" w:lineRule="auto"/>
        <w:ind w:hanging="547"/>
        <w:rPr>
          <w:color w:val="000000"/>
          <w:szCs w:val="24"/>
        </w:rPr>
      </w:pPr>
      <w:r w:rsidRPr="006F07A5">
        <w:rPr>
          <w:b/>
          <w:color w:val="000000"/>
          <w:szCs w:val="24"/>
        </w:rPr>
        <w:t xml:space="preserve">Longitude – </w:t>
      </w:r>
      <w:r w:rsidRPr="006F07A5">
        <w:rPr>
          <w:color w:val="000000"/>
          <w:szCs w:val="24"/>
        </w:rPr>
        <w:t>Longitude of the met tower or the nacelle anemometers, must be submitted as degrees in decimal form rounded to four</w:t>
      </w:r>
      <w:r w:rsidR="00892D65">
        <w:rPr>
          <w:color w:val="000000"/>
          <w:szCs w:val="24"/>
        </w:rPr>
        <w:t xml:space="preserve"> (4)</w:t>
      </w:r>
      <w:r w:rsidRPr="006F07A5">
        <w:rPr>
          <w:color w:val="000000"/>
          <w:szCs w:val="24"/>
        </w:rPr>
        <w:t xml:space="preserve"> digits.</w:t>
      </w:r>
    </w:p>
    <w:p w14:paraId="462361F0" w14:textId="77777777" w:rsidR="00C8264D" w:rsidRPr="006F07A5" w:rsidRDefault="00C8264D" w:rsidP="00C35DA0">
      <w:pPr>
        <w:numPr>
          <w:ilvl w:val="3"/>
          <w:numId w:val="39"/>
        </w:numPr>
        <w:autoSpaceDE w:val="0"/>
        <w:autoSpaceDN w:val="0"/>
        <w:adjustRightInd w:val="0"/>
        <w:spacing w:before="120" w:line="300" w:lineRule="auto"/>
        <w:ind w:hanging="547"/>
        <w:rPr>
          <w:color w:val="000000"/>
          <w:szCs w:val="24"/>
        </w:rPr>
      </w:pPr>
      <w:r w:rsidRPr="006F07A5">
        <w:rPr>
          <w:b/>
          <w:color w:val="000000"/>
          <w:szCs w:val="24"/>
        </w:rPr>
        <w:t xml:space="preserve">Height – </w:t>
      </w:r>
      <w:r w:rsidRPr="006F07A5">
        <w:rPr>
          <w:color w:val="000000"/>
          <w:szCs w:val="24"/>
        </w:rPr>
        <w:t>Height of the met tower or the nacelle anemometers.  The value must be entered in meters (m) above ground level.</w:t>
      </w:r>
    </w:p>
    <w:p w14:paraId="5671081B" w14:textId="77777777"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sidRPr="006F07A5">
        <w:rPr>
          <w:b/>
          <w:color w:val="000000"/>
          <w:szCs w:val="24"/>
        </w:rPr>
        <w:t xml:space="preserve">Turbine Data – </w:t>
      </w:r>
      <w:r w:rsidRPr="006F07A5">
        <w:rPr>
          <w:color w:val="000000"/>
          <w:szCs w:val="24"/>
        </w:rPr>
        <w:t>Turbine data characterizes the wind farm.  Provide the turbine specific data for each turbine at the wind farm site.</w:t>
      </w:r>
    </w:p>
    <w:p w14:paraId="4950DE6E"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Manufacturer </w:t>
      </w:r>
      <w:r w:rsidRPr="006F07A5">
        <w:rPr>
          <w:color w:val="000000"/>
          <w:szCs w:val="24"/>
        </w:rPr>
        <w:t>–</w:t>
      </w:r>
      <w:r w:rsidRPr="006F07A5">
        <w:rPr>
          <w:b/>
          <w:color w:val="000000"/>
          <w:szCs w:val="24"/>
        </w:rPr>
        <w:t xml:space="preserve"> </w:t>
      </w:r>
      <w:r w:rsidRPr="006F07A5">
        <w:rPr>
          <w:color w:val="000000"/>
          <w:szCs w:val="24"/>
        </w:rPr>
        <w:t>Manufacturer of the wind turbine.</w:t>
      </w:r>
    </w:p>
    <w:p w14:paraId="3E720E02"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Model </w:t>
      </w:r>
      <w:r w:rsidRPr="006F07A5">
        <w:rPr>
          <w:color w:val="000000"/>
          <w:szCs w:val="24"/>
        </w:rPr>
        <w:t>–</w:t>
      </w:r>
      <w:r w:rsidRPr="006F07A5">
        <w:rPr>
          <w:b/>
          <w:color w:val="000000"/>
          <w:szCs w:val="24"/>
        </w:rPr>
        <w:t xml:space="preserve"> </w:t>
      </w:r>
      <w:r w:rsidRPr="006F07A5">
        <w:rPr>
          <w:color w:val="000000"/>
          <w:szCs w:val="24"/>
        </w:rPr>
        <w:t>Model of the wind turbine. Provide any prefixes and suffixes, including software upgrades that affect power output and winglets on blades.</w:t>
      </w:r>
    </w:p>
    <w:p w14:paraId="389039B8"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Turbines </w:t>
      </w:r>
      <w:r w:rsidRPr="006F07A5">
        <w:rPr>
          <w:color w:val="000000"/>
          <w:szCs w:val="24"/>
        </w:rPr>
        <w:t>– The number of turbines at the wind farm.</w:t>
      </w:r>
    </w:p>
    <w:p w14:paraId="10031D44"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Capacity </w:t>
      </w:r>
      <w:r w:rsidRPr="006F07A5">
        <w:rPr>
          <w:color w:val="000000"/>
          <w:szCs w:val="24"/>
        </w:rPr>
        <w:t>–</w:t>
      </w:r>
      <w:r w:rsidRPr="006F07A5">
        <w:rPr>
          <w:b/>
          <w:color w:val="000000"/>
          <w:szCs w:val="24"/>
        </w:rPr>
        <w:t xml:space="preserve"> </w:t>
      </w:r>
      <w:r w:rsidRPr="006F07A5">
        <w:rPr>
          <w:color w:val="000000"/>
          <w:szCs w:val="24"/>
        </w:rPr>
        <w:t>The nameplate capacity of each turbine and total wind farm site.</w:t>
      </w:r>
    </w:p>
    <w:p w14:paraId="62866FE0"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Hub Height </w:t>
      </w:r>
      <w:r w:rsidRPr="006F07A5">
        <w:rPr>
          <w:color w:val="000000"/>
          <w:szCs w:val="24"/>
        </w:rPr>
        <w:t>–</w:t>
      </w:r>
      <w:r w:rsidRPr="006F07A5">
        <w:rPr>
          <w:b/>
          <w:color w:val="000000"/>
          <w:szCs w:val="24"/>
        </w:rPr>
        <w:t xml:space="preserve"> </w:t>
      </w:r>
      <w:r w:rsidRPr="006F07A5">
        <w:rPr>
          <w:color w:val="000000"/>
          <w:szCs w:val="24"/>
        </w:rPr>
        <w:t>Height of the center of the turbine hub in meters (m) above ground level.</w:t>
      </w:r>
    </w:p>
    <w:p w14:paraId="5A7ECABA"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Rotor Diameter </w:t>
      </w:r>
      <w:r w:rsidRPr="006F07A5">
        <w:rPr>
          <w:color w:val="000000"/>
          <w:szCs w:val="24"/>
        </w:rPr>
        <w:t>–</w:t>
      </w:r>
      <w:r w:rsidRPr="006F07A5">
        <w:rPr>
          <w:b/>
          <w:color w:val="000000"/>
          <w:szCs w:val="24"/>
        </w:rPr>
        <w:t xml:space="preserve"> </w:t>
      </w:r>
      <w:r w:rsidRPr="006F07A5">
        <w:rPr>
          <w:color w:val="000000"/>
          <w:szCs w:val="24"/>
        </w:rPr>
        <w:t>Diameter of the rotor blades of the turbine in meters (m).</w:t>
      </w:r>
    </w:p>
    <w:p w14:paraId="4D34200E" w14:textId="4C632AFB"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Temperature Range of Operation </w:t>
      </w:r>
      <w:r w:rsidRPr="006F07A5">
        <w:rPr>
          <w:color w:val="000000"/>
          <w:szCs w:val="24"/>
        </w:rPr>
        <w:t>–</w:t>
      </w:r>
      <w:r w:rsidRPr="006F07A5">
        <w:rPr>
          <w:b/>
          <w:color w:val="000000"/>
          <w:szCs w:val="24"/>
        </w:rPr>
        <w:t xml:space="preserve"> </w:t>
      </w:r>
      <w:r w:rsidRPr="006F07A5">
        <w:rPr>
          <w:color w:val="000000"/>
          <w:szCs w:val="24"/>
        </w:rPr>
        <w:t>Minimum and maximum operating temperature in degrees Celsius (</w:t>
      </w:r>
      <w:r w:rsidR="0090128D">
        <w:rPr>
          <w:color w:val="000000"/>
          <w:szCs w:val="24"/>
        </w:rPr>
        <w:t>º</w:t>
      </w:r>
      <w:r w:rsidRPr="006F07A5">
        <w:rPr>
          <w:color w:val="000000"/>
          <w:szCs w:val="24"/>
        </w:rPr>
        <w:t>C).</w:t>
      </w:r>
    </w:p>
    <w:p w14:paraId="63BE94CC"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Cold Weather package:</w:t>
      </w:r>
    </w:p>
    <w:p w14:paraId="215F3C8A" w14:textId="77777777" w:rsidR="00C8264D" w:rsidRPr="006F07A5" w:rsidRDefault="00C8264D" w:rsidP="00C35DA0">
      <w:pPr>
        <w:numPr>
          <w:ilvl w:val="3"/>
          <w:numId w:val="39"/>
        </w:numPr>
        <w:autoSpaceDE w:val="0"/>
        <w:autoSpaceDN w:val="0"/>
        <w:adjustRightInd w:val="0"/>
        <w:spacing w:before="120" w:line="300" w:lineRule="auto"/>
        <w:rPr>
          <w:color w:val="000000"/>
          <w:szCs w:val="24"/>
        </w:rPr>
      </w:pPr>
      <w:r w:rsidRPr="006F07A5">
        <w:rPr>
          <w:color w:val="000000"/>
          <w:szCs w:val="24"/>
        </w:rPr>
        <w:t xml:space="preserve">De-Icing Technology – Provide details on the ability of the wind farm site to detect blade icing and the ability of the wind turbines to de-ice blades to prevent turbine cut-out.  Provide details on the ability of the wind farm to de-ice anemometer and wind vane. </w:t>
      </w:r>
    </w:p>
    <w:p w14:paraId="5DA23939" w14:textId="623E03D2" w:rsidR="00C8264D" w:rsidRPr="006F07A5" w:rsidRDefault="00C8264D" w:rsidP="00C35DA0">
      <w:pPr>
        <w:numPr>
          <w:ilvl w:val="2"/>
          <w:numId w:val="39"/>
        </w:numPr>
        <w:autoSpaceDE w:val="0"/>
        <w:autoSpaceDN w:val="0"/>
        <w:adjustRightInd w:val="0"/>
        <w:spacing w:before="120" w:line="300" w:lineRule="auto"/>
        <w:rPr>
          <w:color w:val="000000"/>
          <w:szCs w:val="24"/>
        </w:rPr>
      </w:pPr>
      <w:r w:rsidRPr="006F07A5">
        <w:rPr>
          <w:b/>
          <w:color w:val="000000"/>
          <w:szCs w:val="24"/>
        </w:rPr>
        <w:t xml:space="preserve">Software Upgraded Power Curve </w:t>
      </w:r>
      <w:r w:rsidRPr="006F07A5">
        <w:rPr>
          <w:color w:val="000000"/>
          <w:szCs w:val="24"/>
        </w:rPr>
        <w:t>–</w:t>
      </w:r>
      <w:r w:rsidRPr="006F07A5">
        <w:rPr>
          <w:b/>
          <w:color w:val="000000"/>
          <w:szCs w:val="24"/>
        </w:rPr>
        <w:t xml:space="preserve"> </w:t>
      </w:r>
      <w:r w:rsidRPr="006F07A5">
        <w:rPr>
          <w:color w:val="000000"/>
          <w:szCs w:val="24"/>
        </w:rPr>
        <w:t xml:space="preserve">Provide details on the ability of wind turbine to have a smoother cut-off/cut-in wind speed power curve </w:t>
      </w:r>
      <w:r w:rsidR="006011CB">
        <w:rPr>
          <w:color w:val="000000"/>
          <w:szCs w:val="24"/>
        </w:rPr>
        <w:t>(</w:t>
      </w:r>
      <w:r w:rsidRPr="006F07A5">
        <w:rPr>
          <w:color w:val="000000"/>
          <w:szCs w:val="24"/>
        </w:rPr>
        <w:t>e.g.</w:t>
      </w:r>
      <w:r w:rsidR="006011CB">
        <w:rPr>
          <w:color w:val="000000"/>
          <w:szCs w:val="24"/>
        </w:rPr>
        <w:t>,</w:t>
      </w:r>
      <w:r w:rsidRPr="006F07A5">
        <w:rPr>
          <w:color w:val="000000"/>
          <w:szCs w:val="24"/>
        </w:rPr>
        <w:t xml:space="preserve"> gradual ramp down at cut-off wind speed</w:t>
      </w:r>
      <w:r w:rsidR="006011CB">
        <w:rPr>
          <w:color w:val="000000"/>
          <w:szCs w:val="24"/>
        </w:rPr>
        <w:t>)</w:t>
      </w:r>
      <w:r w:rsidRPr="006F07A5">
        <w:rPr>
          <w:color w:val="000000"/>
          <w:szCs w:val="24"/>
        </w:rPr>
        <w:t>.</w:t>
      </w:r>
    </w:p>
    <w:p w14:paraId="337A174D" w14:textId="77777777"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Pr>
          <w:b/>
          <w:color w:val="000000"/>
          <w:szCs w:val="24"/>
        </w:rPr>
        <w:t>Inter-Control Center Communications Protocol (</w:t>
      </w:r>
      <w:r w:rsidRPr="006F07A5">
        <w:rPr>
          <w:b/>
          <w:color w:val="000000"/>
          <w:szCs w:val="24"/>
        </w:rPr>
        <w:t>ICCP</w:t>
      </w:r>
      <w:r>
        <w:rPr>
          <w:b/>
          <w:color w:val="000000"/>
          <w:szCs w:val="24"/>
        </w:rPr>
        <w:t>)</w:t>
      </w:r>
      <w:r w:rsidRPr="006F07A5">
        <w:rPr>
          <w:b/>
          <w:color w:val="000000"/>
          <w:szCs w:val="24"/>
        </w:rPr>
        <w:t xml:space="preserve"> Object ID</w:t>
      </w:r>
      <w:r>
        <w:rPr>
          <w:b/>
          <w:color w:val="000000"/>
          <w:szCs w:val="24"/>
        </w:rPr>
        <w:t xml:space="preserve"> </w:t>
      </w:r>
      <w:r w:rsidRPr="006F07A5">
        <w:rPr>
          <w:color w:val="000000"/>
          <w:szCs w:val="24"/>
        </w:rPr>
        <w:t>–</w:t>
      </w:r>
      <w:r w:rsidRPr="006F07A5">
        <w:rPr>
          <w:b/>
          <w:color w:val="000000"/>
          <w:szCs w:val="24"/>
        </w:rPr>
        <w:t xml:space="preserve"> </w:t>
      </w:r>
      <w:r w:rsidRPr="006F07A5">
        <w:rPr>
          <w:color w:val="000000"/>
          <w:szCs w:val="24"/>
        </w:rPr>
        <w:t xml:space="preserve">The ICCP object IDs that the </w:t>
      </w:r>
      <w:r>
        <w:rPr>
          <w:color w:val="000000"/>
          <w:szCs w:val="24"/>
        </w:rPr>
        <w:t>Market Participant</w:t>
      </w:r>
      <w:r w:rsidRPr="006F07A5">
        <w:rPr>
          <w:color w:val="000000"/>
          <w:szCs w:val="24"/>
        </w:rPr>
        <w:t xml:space="preserve"> will use to send ICCP data for a WGR</w:t>
      </w:r>
      <w:r>
        <w:rPr>
          <w:color w:val="000000"/>
          <w:szCs w:val="24"/>
        </w:rPr>
        <w:t xml:space="preserve">. </w:t>
      </w:r>
    </w:p>
    <w:p w14:paraId="6DDCA569" w14:textId="0CF4450F"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Wind Speed</w:t>
      </w:r>
      <w:r w:rsidR="007F57F2">
        <w:rPr>
          <w:color w:val="000000"/>
          <w:szCs w:val="24"/>
        </w:rPr>
        <w:t>;</w:t>
      </w:r>
    </w:p>
    <w:p w14:paraId="44C28F13" w14:textId="120A16A9"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Wind Direction</w:t>
      </w:r>
      <w:r w:rsidR="007F57F2">
        <w:rPr>
          <w:color w:val="000000"/>
          <w:szCs w:val="24"/>
        </w:rPr>
        <w:t>;</w:t>
      </w:r>
    </w:p>
    <w:p w14:paraId="76F7B553" w14:textId="28140C71"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Temperature</w:t>
      </w:r>
      <w:r w:rsidR="007F57F2">
        <w:rPr>
          <w:color w:val="000000"/>
          <w:szCs w:val="24"/>
        </w:rPr>
        <w:t>;</w:t>
      </w:r>
    </w:p>
    <w:p w14:paraId="17F420CC" w14:textId="242E03A0"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Pressure</w:t>
      </w:r>
      <w:r w:rsidR="007F57F2">
        <w:rPr>
          <w:color w:val="000000"/>
          <w:szCs w:val="24"/>
        </w:rPr>
        <w:t>;</w:t>
      </w:r>
    </w:p>
    <w:p w14:paraId="0B9AFE77" w14:textId="144DC9EC"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Relative Humidity</w:t>
      </w:r>
      <w:r w:rsidR="007F57F2">
        <w:rPr>
          <w:color w:val="000000"/>
          <w:szCs w:val="24"/>
        </w:rPr>
        <w:t>;</w:t>
      </w:r>
    </w:p>
    <w:p w14:paraId="5420D23A" w14:textId="14C77DCE"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Real-Time Turbine Availability</w:t>
      </w:r>
      <w:r w:rsidR="007F57F2">
        <w:rPr>
          <w:color w:val="000000"/>
          <w:szCs w:val="24"/>
        </w:rPr>
        <w:t>; and</w:t>
      </w:r>
    </w:p>
    <w:p w14:paraId="0A2DE15A" w14:textId="44321024"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Real-Time Capability</w:t>
      </w:r>
      <w:r w:rsidR="007F57F2">
        <w:rPr>
          <w:color w:val="000000"/>
          <w:szCs w:val="24"/>
        </w:rPr>
        <w:t>.</w:t>
      </w:r>
      <w:r w:rsidRPr="006F07A5">
        <w:rPr>
          <w:color w:val="000000"/>
          <w:szCs w:val="24"/>
        </w:rPr>
        <w:t xml:space="preserve"> </w:t>
      </w:r>
    </w:p>
    <w:p w14:paraId="1D2AEADA" w14:textId="77777777"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sidRPr="006F07A5">
        <w:rPr>
          <w:b/>
          <w:color w:val="000000"/>
          <w:szCs w:val="24"/>
        </w:rPr>
        <w:t xml:space="preserve">Contact Information </w:t>
      </w:r>
      <w:r w:rsidRPr="006F07A5">
        <w:rPr>
          <w:color w:val="000000"/>
          <w:szCs w:val="24"/>
        </w:rPr>
        <w:t>–</w:t>
      </w:r>
      <w:r w:rsidRPr="006F07A5">
        <w:rPr>
          <w:b/>
          <w:color w:val="000000"/>
          <w:szCs w:val="24"/>
        </w:rPr>
        <w:t xml:space="preserve"> </w:t>
      </w:r>
      <w:r w:rsidRPr="006F07A5">
        <w:rPr>
          <w:color w:val="000000"/>
          <w:szCs w:val="24"/>
        </w:rPr>
        <w:t>24</w:t>
      </w:r>
      <w:r>
        <w:rPr>
          <w:color w:val="000000"/>
          <w:szCs w:val="24"/>
        </w:rPr>
        <w:t>/</w:t>
      </w:r>
      <w:r w:rsidRPr="006F07A5">
        <w:rPr>
          <w:color w:val="000000"/>
          <w:szCs w:val="24"/>
        </w:rPr>
        <w:t>7 contact information</w:t>
      </w:r>
    </w:p>
    <w:p w14:paraId="128066AB" w14:textId="739D060E"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Wind Farm Owner</w:t>
      </w:r>
      <w:r w:rsidR="007F57F2">
        <w:rPr>
          <w:color w:val="000000"/>
          <w:szCs w:val="24"/>
        </w:rPr>
        <w:t>; and</w:t>
      </w:r>
    </w:p>
    <w:p w14:paraId="62EF6DCF" w14:textId="69FE3DFF" w:rsidR="00C8264D" w:rsidRDefault="00C8264D" w:rsidP="00C35DA0">
      <w:pPr>
        <w:numPr>
          <w:ilvl w:val="2"/>
          <w:numId w:val="39"/>
        </w:numPr>
        <w:autoSpaceDE w:val="0"/>
        <w:autoSpaceDN w:val="0"/>
        <w:adjustRightInd w:val="0"/>
        <w:spacing w:before="120" w:line="300" w:lineRule="auto"/>
        <w:ind w:hanging="547"/>
        <w:rPr>
          <w:color w:val="000000"/>
          <w:szCs w:val="24"/>
        </w:rPr>
      </w:pPr>
      <w:r w:rsidRPr="006F07A5">
        <w:rPr>
          <w:color w:val="000000"/>
          <w:szCs w:val="24"/>
        </w:rPr>
        <w:t>Wind Farm Operator</w:t>
      </w:r>
      <w:r w:rsidR="007F57F2">
        <w:rPr>
          <w:color w:val="000000"/>
          <w:szCs w:val="24"/>
        </w:rPr>
        <w:t>.</w:t>
      </w:r>
    </w:p>
    <w:p w14:paraId="1654872D" w14:textId="77777777" w:rsidR="00C8264D" w:rsidRPr="00E94CBF" w:rsidRDefault="00C8264D" w:rsidP="00C35DA0">
      <w:pPr>
        <w:numPr>
          <w:ilvl w:val="1"/>
          <w:numId w:val="39"/>
        </w:numPr>
        <w:autoSpaceDE w:val="0"/>
        <w:autoSpaceDN w:val="0"/>
        <w:adjustRightInd w:val="0"/>
        <w:spacing w:before="120" w:line="300" w:lineRule="auto"/>
        <w:rPr>
          <w:b/>
          <w:color w:val="000000"/>
          <w:szCs w:val="24"/>
        </w:rPr>
      </w:pPr>
      <w:r w:rsidRPr="00E94CBF">
        <w:rPr>
          <w:b/>
          <w:color w:val="000000" w:themeColor="text1"/>
          <w:szCs w:val="24"/>
        </w:rPr>
        <w:t>Commercial Operation Date</w:t>
      </w:r>
    </w:p>
    <w:p w14:paraId="43D28F2E" w14:textId="37CE76AF" w:rsidR="00C8264D" w:rsidRPr="00765119" w:rsidRDefault="00C8264D" w:rsidP="00C35DA0">
      <w:pPr>
        <w:numPr>
          <w:ilvl w:val="0"/>
          <w:numId w:val="39"/>
        </w:numPr>
        <w:spacing w:line="300" w:lineRule="auto"/>
        <w:rPr>
          <w:szCs w:val="24"/>
        </w:rPr>
      </w:pPr>
      <w:r w:rsidRPr="18B4E749">
        <w:rPr>
          <w:szCs w:val="24"/>
        </w:rPr>
        <w:t>A Market Participant for a WGR must provide Real-Time data through ICCP</w:t>
      </w:r>
      <w:r w:rsidRPr="18B4E749">
        <w:rPr>
          <w:rStyle w:val="ui-provider"/>
          <w:szCs w:val="24"/>
        </w:rPr>
        <w:t>, if available.  To the extent that certain data is not available, Market Participants should mark the applicable ICCP data as “bad quality</w:t>
      </w:r>
      <w:r w:rsidR="00F62A7F">
        <w:rPr>
          <w:rStyle w:val="ui-provider"/>
          <w:szCs w:val="24"/>
        </w:rPr>
        <w:t>.</w:t>
      </w:r>
      <w:r w:rsidRPr="18B4E749">
        <w:rPr>
          <w:rStyle w:val="ui-provider"/>
          <w:szCs w:val="24"/>
        </w:rPr>
        <w:t>”</w:t>
      </w:r>
    </w:p>
    <w:p w14:paraId="7FCBBCA3" w14:textId="77777777" w:rsidR="00C8264D" w:rsidRPr="00765119" w:rsidRDefault="00C8264D" w:rsidP="00C35DA0">
      <w:pPr>
        <w:numPr>
          <w:ilvl w:val="1"/>
          <w:numId w:val="39"/>
        </w:numPr>
        <w:autoSpaceDE w:val="0"/>
        <w:autoSpaceDN w:val="0"/>
        <w:adjustRightInd w:val="0"/>
        <w:spacing w:before="120" w:line="300" w:lineRule="auto"/>
        <w:ind w:hanging="547"/>
        <w:rPr>
          <w:b/>
          <w:szCs w:val="24"/>
        </w:rPr>
      </w:pPr>
      <w:r w:rsidRPr="00765119">
        <w:rPr>
          <w:b/>
          <w:szCs w:val="24"/>
        </w:rPr>
        <w:t xml:space="preserve">Weather Data </w:t>
      </w:r>
      <w:r w:rsidRPr="00765119">
        <w:rPr>
          <w:szCs w:val="24"/>
        </w:rPr>
        <w:t>–</w:t>
      </w:r>
      <w:r w:rsidRPr="00765119">
        <w:rPr>
          <w:b/>
          <w:szCs w:val="24"/>
        </w:rPr>
        <w:t xml:space="preserve"> </w:t>
      </w:r>
      <w:r w:rsidRPr="00765119">
        <w:rPr>
          <w:szCs w:val="24"/>
        </w:rPr>
        <w:t>A snapshot of the instantaneous value at the wind Resource site is requested at a maximum periodicity of sixty (60) seconds taken directly from either the met tower or the nacelle anemometer as specified in (A)(1) above.</w:t>
      </w:r>
    </w:p>
    <w:p w14:paraId="4610ACC1" w14:textId="77777777" w:rsidR="00C8264D" w:rsidRPr="006F07A5" w:rsidRDefault="00C8264D" w:rsidP="00C35DA0">
      <w:pPr>
        <w:numPr>
          <w:ilvl w:val="2"/>
          <w:numId w:val="39"/>
        </w:numPr>
        <w:spacing w:before="120" w:line="300" w:lineRule="auto"/>
        <w:ind w:hanging="547"/>
        <w:rPr>
          <w:b/>
          <w:szCs w:val="24"/>
        </w:rPr>
      </w:pPr>
      <w:r w:rsidRPr="006F07A5">
        <w:rPr>
          <w:b/>
          <w:szCs w:val="24"/>
        </w:rPr>
        <w:t xml:space="preserve">Wind Speed </w:t>
      </w:r>
      <w:r w:rsidRPr="006F07A5">
        <w:rPr>
          <w:szCs w:val="24"/>
        </w:rPr>
        <w:t xml:space="preserve">– Telemetered wind speed measured in meters per second (m/s). </w:t>
      </w:r>
    </w:p>
    <w:p w14:paraId="08C0458D" w14:textId="06ABF397" w:rsidR="00C8264D" w:rsidRPr="006F07A5" w:rsidRDefault="00C8264D" w:rsidP="00C35DA0">
      <w:pPr>
        <w:numPr>
          <w:ilvl w:val="2"/>
          <w:numId w:val="39"/>
        </w:numPr>
        <w:spacing w:before="120" w:line="300" w:lineRule="auto"/>
        <w:ind w:hanging="547"/>
        <w:rPr>
          <w:b/>
          <w:szCs w:val="24"/>
        </w:rPr>
      </w:pPr>
      <w:r w:rsidRPr="006F07A5">
        <w:rPr>
          <w:b/>
          <w:szCs w:val="24"/>
        </w:rPr>
        <w:t xml:space="preserve">Wind Direction </w:t>
      </w:r>
      <w:r w:rsidRPr="006F07A5">
        <w:rPr>
          <w:szCs w:val="24"/>
        </w:rPr>
        <w:t>–</w:t>
      </w:r>
      <w:r w:rsidRPr="006F07A5">
        <w:rPr>
          <w:b/>
          <w:szCs w:val="24"/>
        </w:rPr>
        <w:t xml:space="preserve"> </w:t>
      </w:r>
      <w:r w:rsidRPr="006F07A5">
        <w:rPr>
          <w:szCs w:val="24"/>
        </w:rPr>
        <w:t>Telemetered wind direction measured in compass heading degrees (1</w:t>
      </w:r>
      <w:r w:rsidR="008E51FA">
        <w:rPr>
          <w:szCs w:val="24"/>
        </w:rPr>
        <w:t>º</w:t>
      </w:r>
      <w:r w:rsidRPr="006F07A5">
        <w:rPr>
          <w:szCs w:val="24"/>
        </w:rPr>
        <w:t xml:space="preserve"> </w:t>
      </w:r>
      <w:r w:rsidR="008E51FA">
        <w:rPr>
          <w:szCs w:val="24"/>
        </w:rPr>
        <w:t>to</w:t>
      </w:r>
      <w:r w:rsidRPr="006F07A5">
        <w:rPr>
          <w:szCs w:val="24"/>
        </w:rPr>
        <w:t xml:space="preserve"> 360</w:t>
      </w:r>
      <w:r w:rsidR="008E51FA">
        <w:rPr>
          <w:szCs w:val="24"/>
        </w:rPr>
        <w:t>º</w:t>
      </w:r>
      <w:r w:rsidRPr="006F07A5">
        <w:rPr>
          <w:szCs w:val="24"/>
        </w:rPr>
        <w:t>).</w:t>
      </w:r>
    </w:p>
    <w:p w14:paraId="5338F91B" w14:textId="371BFAB5" w:rsidR="00C8264D" w:rsidRPr="006F07A5" w:rsidRDefault="00C8264D" w:rsidP="00C35DA0">
      <w:pPr>
        <w:numPr>
          <w:ilvl w:val="2"/>
          <w:numId w:val="39"/>
        </w:numPr>
        <w:spacing w:before="120" w:line="300" w:lineRule="auto"/>
        <w:ind w:hanging="547"/>
        <w:rPr>
          <w:b/>
          <w:szCs w:val="24"/>
        </w:rPr>
      </w:pPr>
      <w:r w:rsidRPr="006F07A5">
        <w:rPr>
          <w:b/>
          <w:szCs w:val="24"/>
        </w:rPr>
        <w:t xml:space="preserve">Temperature </w:t>
      </w:r>
      <w:r w:rsidRPr="006F07A5">
        <w:rPr>
          <w:szCs w:val="24"/>
        </w:rPr>
        <w:t>–</w:t>
      </w:r>
      <w:r w:rsidRPr="006F07A5">
        <w:rPr>
          <w:b/>
          <w:szCs w:val="24"/>
        </w:rPr>
        <w:t xml:space="preserve"> </w:t>
      </w:r>
      <w:r w:rsidRPr="006F07A5">
        <w:rPr>
          <w:szCs w:val="24"/>
        </w:rPr>
        <w:t>Telemetered temperature measured in degrees Celsius (</w:t>
      </w:r>
      <w:r w:rsidR="00087556">
        <w:rPr>
          <w:szCs w:val="24"/>
        </w:rPr>
        <w:t>º</w:t>
      </w:r>
      <w:r w:rsidRPr="006F07A5">
        <w:rPr>
          <w:szCs w:val="24"/>
        </w:rPr>
        <w:t>C).</w:t>
      </w:r>
    </w:p>
    <w:p w14:paraId="4BB95434" w14:textId="77777777" w:rsidR="00C8264D" w:rsidRPr="006F07A5" w:rsidRDefault="00C8264D" w:rsidP="00C35DA0">
      <w:pPr>
        <w:numPr>
          <w:ilvl w:val="2"/>
          <w:numId w:val="39"/>
        </w:numPr>
        <w:spacing w:before="120" w:line="300" w:lineRule="auto"/>
        <w:ind w:hanging="547"/>
        <w:rPr>
          <w:b/>
          <w:szCs w:val="24"/>
        </w:rPr>
      </w:pPr>
      <w:r w:rsidRPr="006F07A5">
        <w:rPr>
          <w:b/>
          <w:szCs w:val="24"/>
        </w:rPr>
        <w:t xml:space="preserve">Pressure </w:t>
      </w:r>
      <w:r w:rsidRPr="006F07A5">
        <w:rPr>
          <w:szCs w:val="24"/>
        </w:rPr>
        <w:t>–</w:t>
      </w:r>
      <w:r w:rsidRPr="006F07A5">
        <w:rPr>
          <w:b/>
          <w:szCs w:val="24"/>
        </w:rPr>
        <w:t xml:space="preserve"> </w:t>
      </w:r>
      <w:r w:rsidRPr="006F07A5">
        <w:rPr>
          <w:szCs w:val="24"/>
        </w:rPr>
        <w:t>Telemetered barometric pressure measured in kilopascals (kPa).</w:t>
      </w:r>
    </w:p>
    <w:p w14:paraId="1FE02F1A" w14:textId="77777777" w:rsidR="00C8264D" w:rsidRPr="006F07A5" w:rsidRDefault="00C8264D" w:rsidP="00C35DA0">
      <w:pPr>
        <w:numPr>
          <w:ilvl w:val="2"/>
          <w:numId w:val="39"/>
        </w:numPr>
        <w:autoSpaceDE w:val="0"/>
        <w:autoSpaceDN w:val="0"/>
        <w:adjustRightInd w:val="0"/>
        <w:spacing w:before="120" w:line="300" w:lineRule="auto"/>
        <w:ind w:hanging="547"/>
        <w:rPr>
          <w:color w:val="000000"/>
          <w:szCs w:val="24"/>
        </w:rPr>
      </w:pPr>
      <w:r w:rsidRPr="006F07A5">
        <w:rPr>
          <w:b/>
          <w:color w:val="000000"/>
          <w:szCs w:val="24"/>
        </w:rPr>
        <w:t xml:space="preserve">Relative Humidity </w:t>
      </w:r>
      <w:r w:rsidRPr="006F07A5">
        <w:rPr>
          <w:color w:val="000000"/>
          <w:szCs w:val="24"/>
        </w:rPr>
        <w:t>–</w:t>
      </w:r>
      <w:r w:rsidRPr="006F07A5">
        <w:rPr>
          <w:b/>
          <w:color w:val="000000"/>
          <w:szCs w:val="24"/>
        </w:rPr>
        <w:t xml:space="preserve"> </w:t>
      </w:r>
      <w:r w:rsidRPr="006F07A5">
        <w:rPr>
          <w:color w:val="000000"/>
          <w:szCs w:val="24"/>
        </w:rPr>
        <w:t>Telemetered relative humidity measured in percent.</w:t>
      </w:r>
    </w:p>
    <w:p w14:paraId="767BB49C" w14:textId="18B50374"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sidRPr="006F07A5">
        <w:rPr>
          <w:b/>
          <w:color w:val="000000"/>
          <w:szCs w:val="24"/>
        </w:rPr>
        <w:t xml:space="preserve">Real-Time Turbine Availability </w:t>
      </w:r>
      <w:r w:rsidRPr="006F07A5">
        <w:rPr>
          <w:color w:val="000000"/>
          <w:szCs w:val="24"/>
        </w:rPr>
        <w:t>–</w:t>
      </w:r>
      <w:r w:rsidRPr="006F07A5">
        <w:rPr>
          <w:b/>
          <w:color w:val="000000"/>
          <w:szCs w:val="24"/>
        </w:rPr>
        <w:t xml:space="preserve"> </w:t>
      </w:r>
      <w:r w:rsidRPr="006F07A5">
        <w:rPr>
          <w:color w:val="000000"/>
          <w:szCs w:val="24"/>
        </w:rPr>
        <w:t>Number of turbines at the wind Resource site that are able to generate power as a percentage (%) of the installed nameplate capacity of the site.  A snapshot of the instantaneous availability at the wind Resource site is requested at a maximum periodicity of</w:t>
      </w:r>
      <w:r w:rsidR="00AB659E">
        <w:rPr>
          <w:color w:val="000000"/>
          <w:szCs w:val="24"/>
        </w:rPr>
        <w:t xml:space="preserve"> sixty</w:t>
      </w:r>
      <w:r w:rsidRPr="006F07A5">
        <w:rPr>
          <w:color w:val="000000"/>
          <w:szCs w:val="24"/>
        </w:rPr>
        <w:t xml:space="preserve"> </w:t>
      </w:r>
      <w:r w:rsidR="00AB659E">
        <w:rPr>
          <w:color w:val="000000"/>
          <w:szCs w:val="24"/>
        </w:rPr>
        <w:t>(</w:t>
      </w:r>
      <w:r w:rsidRPr="006F07A5">
        <w:rPr>
          <w:color w:val="000000"/>
          <w:szCs w:val="24"/>
        </w:rPr>
        <w:t>60</w:t>
      </w:r>
      <w:r w:rsidR="00AB659E">
        <w:rPr>
          <w:color w:val="000000"/>
          <w:szCs w:val="24"/>
        </w:rPr>
        <w:t>)</w:t>
      </w:r>
      <w:r w:rsidRPr="006F07A5">
        <w:rPr>
          <w:color w:val="000000"/>
          <w:szCs w:val="24"/>
        </w:rPr>
        <w:t xml:space="preserve"> seconds.</w:t>
      </w:r>
    </w:p>
    <w:p w14:paraId="02CCBF69" w14:textId="0DACABD2" w:rsidR="00C8264D" w:rsidRPr="006F07A5" w:rsidRDefault="00C8264D" w:rsidP="00C35DA0">
      <w:pPr>
        <w:numPr>
          <w:ilvl w:val="1"/>
          <w:numId w:val="39"/>
        </w:numPr>
        <w:autoSpaceDE w:val="0"/>
        <w:autoSpaceDN w:val="0"/>
        <w:adjustRightInd w:val="0"/>
        <w:spacing w:before="120" w:line="300" w:lineRule="auto"/>
        <w:ind w:hanging="547"/>
        <w:rPr>
          <w:color w:val="000000"/>
          <w:szCs w:val="24"/>
        </w:rPr>
      </w:pPr>
      <w:r w:rsidRPr="006F07A5">
        <w:rPr>
          <w:b/>
          <w:color w:val="000000"/>
          <w:szCs w:val="24"/>
        </w:rPr>
        <w:t>Real-Time Capability</w:t>
      </w:r>
      <w:r w:rsidRPr="006F07A5">
        <w:rPr>
          <w:color w:val="000000"/>
          <w:szCs w:val="24"/>
        </w:rPr>
        <w:t xml:space="preserve"> – The amount (MW) of real power output the Resource is capable of instantaneously producing, excluding any dispatch, deployment, or curtailment instructions.  This item is only required for Resources that are qualified to provide Flexibility Reserve Products as identified in </w:t>
      </w:r>
      <w:r w:rsidR="002B18B8">
        <w:rPr>
          <w:color w:val="000000"/>
          <w:szCs w:val="24"/>
        </w:rPr>
        <w:t>S</w:t>
      </w:r>
      <w:r w:rsidRPr="006F07A5">
        <w:rPr>
          <w:color w:val="000000"/>
          <w:szCs w:val="24"/>
        </w:rPr>
        <w:t>ection</w:t>
      </w:r>
      <w:r w:rsidR="00150E60">
        <w:rPr>
          <w:color w:val="000000"/>
          <w:szCs w:val="24"/>
        </w:rPr>
        <w:t xml:space="preserve"> </w:t>
      </w:r>
      <w:r w:rsidR="00150E60">
        <w:rPr>
          <w:color w:val="000000"/>
          <w:szCs w:val="24"/>
        </w:rPr>
        <w:fldChar w:fldCharType="begin"/>
      </w:r>
      <w:r w:rsidR="00150E60">
        <w:rPr>
          <w:color w:val="000000"/>
          <w:szCs w:val="24"/>
        </w:rPr>
        <w:instrText xml:space="preserve"> REF _Ref194664705 \r \h </w:instrText>
      </w:r>
      <w:r w:rsidR="00150E60">
        <w:rPr>
          <w:color w:val="000000"/>
          <w:szCs w:val="24"/>
        </w:rPr>
      </w:r>
      <w:r w:rsidR="00150E60">
        <w:rPr>
          <w:color w:val="000000"/>
          <w:szCs w:val="24"/>
        </w:rPr>
        <w:fldChar w:fldCharType="separate"/>
      </w:r>
      <w:r w:rsidR="00150E60">
        <w:rPr>
          <w:color w:val="000000"/>
          <w:szCs w:val="24"/>
        </w:rPr>
        <w:t>9.1.10</w:t>
      </w:r>
      <w:r w:rsidR="00150E60">
        <w:rPr>
          <w:color w:val="000000"/>
          <w:szCs w:val="24"/>
        </w:rPr>
        <w:fldChar w:fldCharType="end"/>
      </w:r>
      <w:r w:rsidRPr="006F07A5">
        <w:rPr>
          <w:color w:val="000000"/>
          <w:szCs w:val="24"/>
        </w:rPr>
        <w:t>.</w:t>
      </w:r>
    </w:p>
    <w:p w14:paraId="03D7C0A4" w14:textId="77777777" w:rsidR="00C8264D" w:rsidRPr="006F07A5" w:rsidRDefault="00C8264D" w:rsidP="00C35DA0">
      <w:pPr>
        <w:numPr>
          <w:ilvl w:val="0"/>
          <w:numId w:val="39"/>
        </w:numPr>
        <w:autoSpaceDE w:val="0"/>
        <w:autoSpaceDN w:val="0"/>
        <w:adjustRightInd w:val="0"/>
        <w:spacing w:before="120" w:line="300" w:lineRule="auto"/>
        <w:ind w:hanging="547"/>
        <w:rPr>
          <w:color w:val="000000"/>
          <w:szCs w:val="24"/>
        </w:rPr>
      </w:pPr>
      <w:r w:rsidRPr="006F07A5" w:rsidDel="006F07A5">
        <w:rPr>
          <w:color w:val="000000"/>
          <w:szCs w:val="24"/>
        </w:rPr>
        <w:t xml:space="preserve">A </w:t>
      </w:r>
      <w:r w:rsidRPr="006F07A5">
        <w:rPr>
          <w:color w:val="000000"/>
          <w:szCs w:val="24"/>
        </w:rPr>
        <w:t xml:space="preserve">WGR must provide </w:t>
      </w:r>
      <w:r>
        <w:rPr>
          <w:color w:val="000000"/>
          <w:szCs w:val="24"/>
        </w:rPr>
        <w:t>p</w:t>
      </w:r>
      <w:r w:rsidRPr="006F07A5">
        <w:rPr>
          <w:color w:val="000000"/>
          <w:szCs w:val="24"/>
        </w:rPr>
        <w:t xml:space="preserve">lanned and </w:t>
      </w:r>
      <w:r>
        <w:rPr>
          <w:color w:val="000000"/>
          <w:szCs w:val="24"/>
        </w:rPr>
        <w:t>f</w:t>
      </w:r>
      <w:r w:rsidRPr="006F07A5">
        <w:rPr>
          <w:color w:val="000000"/>
          <w:szCs w:val="24"/>
        </w:rPr>
        <w:t xml:space="preserve">orced </w:t>
      </w:r>
      <w:r>
        <w:rPr>
          <w:color w:val="000000"/>
          <w:szCs w:val="24"/>
        </w:rPr>
        <w:t>o</w:t>
      </w:r>
      <w:r w:rsidRPr="006F07A5">
        <w:rPr>
          <w:color w:val="000000"/>
          <w:szCs w:val="24"/>
        </w:rPr>
        <w:t xml:space="preserve">utage and </w:t>
      </w:r>
      <w:r>
        <w:rPr>
          <w:color w:val="000000"/>
          <w:szCs w:val="24"/>
        </w:rPr>
        <w:t>a</w:t>
      </w:r>
      <w:r w:rsidRPr="006F07A5">
        <w:rPr>
          <w:color w:val="000000"/>
          <w:szCs w:val="24"/>
        </w:rPr>
        <w:t xml:space="preserve">vailability data through the Control Room Operations Window (CROW). </w:t>
      </w:r>
    </w:p>
    <w:p w14:paraId="07060E7A" w14:textId="77777777" w:rsidR="00C8264D" w:rsidRPr="006F07A5" w:rsidRDefault="00C8264D" w:rsidP="00C35DA0">
      <w:pPr>
        <w:numPr>
          <w:ilvl w:val="0"/>
          <w:numId w:val="40"/>
        </w:numPr>
        <w:spacing w:before="120" w:line="300" w:lineRule="auto"/>
        <w:ind w:left="1260" w:hanging="547"/>
        <w:rPr>
          <w:b/>
          <w:szCs w:val="24"/>
        </w:rPr>
      </w:pPr>
      <w:r w:rsidRPr="006F07A5">
        <w:rPr>
          <w:b/>
          <w:szCs w:val="24"/>
        </w:rPr>
        <w:t xml:space="preserve">Outage </w:t>
      </w:r>
      <w:r w:rsidRPr="006F07A5">
        <w:rPr>
          <w:szCs w:val="24"/>
        </w:rPr>
        <w:t>–</w:t>
      </w:r>
      <w:r w:rsidRPr="006F07A5">
        <w:rPr>
          <w:b/>
          <w:szCs w:val="24"/>
        </w:rPr>
        <w:t xml:space="preserve"> </w:t>
      </w:r>
      <w:r w:rsidRPr="006F07A5">
        <w:rPr>
          <w:szCs w:val="24"/>
        </w:rPr>
        <w:t xml:space="preserve">Any planned or forced outage, where all turbines at the wind farm site are out of service or not operational, </w:t>
      </w:r>
      <w:r>
        <w:rPr>
          <w:szCs w:val="24"/>
        </w:rPr>
        <w:t>will</w:t>
      </w:r>
      <w:r w:rsidRPr="006F07A5">
        <w:rPr>
          <w:szCs w:val="24"/>
        </w:rPr>
        <w:t xml:space="preserve"> be added to CROW as an outage with the best approximation of the in-service date. </w:t>
      </w:r>
    </w:p>
    <w:p w14:paraId="0E661FF4" w14:textId="77777777" w:rsidR="00C8264D" w:rsidRPr="006F07A5" w:rsidRDefault="00C8264D" w:rsidP="00C35DA0">
      <w:pPr>
        <w:numPr>
          <w:ilvl w:val="0"/>
          <w:numId w:val="40"/>
        </w:numPr>
        <w:spacing w:before="120" w:line="300" w:lineRule="auto"/>
        <w:ind w:left="1260" w:hanging="547"/>
        <w:rPr>
          <w:b/>
          <w:szCs w:val="24"/>
        </w:rPr>
      </w:pPr>
      <w:r w:rsidRPr="006F07A5">
        <w:rPr>
          <w:b/>
          <w:szCs w:val="24"/>
        </w:rPr>
        <w:t xml:space="preserve">Availability </w:t>
      </w:r>
      <w:r w:rsidRPr="006F07A5">
        <w:rPr>
          <w:szCs w:val="24"/>
        </w:rPr>
        <w:t xml:space="preserve">– Provide the planned hourly wind farm MW capability due to maintenance and any known power curve de-rate for the next </w:t>
      </w:r>
      <w:r>
        <w:rPr>
          <w:szCs w:val="24"/>
        </w:rPr>
        <w:t>seven</w:t>
      </w:r>
      <w:r w:rsidRPr="006F07A5">
        <w:rPr>
          <w:szCs w:val="24"/>
        </w:rPr>
        <w:t xml:space="preserve"> </w:t>
      </w:r>
      <w:r>
        <w:rPr>
          <w:szCs w:val="24"/>
        </w:rPr>
        <w:t>(</w:t>
      </w:r>
      <w:r w:rsidRPr="006F07A5">
        <w:rPr>
          <w:szCs w:val="24"/>
        </w:rPr>
        <w:t>7</w:t>
      </w:r>
      <w:r>
        <w:rPr>
          <w:szCs w:val="24"/>
        </w:rPr>
        <w:t>)</w:t>
      </w:r>
      <w:r w:rsidRPr="006F07A5">
        <w:rPr>
          <w:szCs w:val="24"/>
        </w:rPr>
        <w:t xml:space="preserve"> days.  The threshold to submit, or update, availability reduction from nameplate capacity is 10% or </w:t>
      </w:r>
      <w:r>
        <w:rPr>
          <w:szCs w:val="24"/>
        </w:rPr>
        <w:t>ten (</w:t>
      </w:r>
      <w:r w:rsidRPr="006F07A5">
        <w:rPr>
          <w:szCs w:val="24"/>
        </w:rPr>
        <w:t>10</w:t>
      </w:r>
      <w:r>
        <w:rPr>
          <w:szCs w:val="24"/>
        </w:rPr>
        <w:t xml:space="preserve">) </w:t>
      </w:r>
      <w:r w:rsidRPr="006F07A5">
        <w:rPr>
          <w:szCs w:val="24"/>
        </w:rPr>
        <w:t xml:space="preserve">MW whichever is smaller. </w:t>
      </w:r>
    </w:p>
    <w:p w14:paraId="7EE47C5A" w14:textId="77777777" w:rsidR="00C8264D" w:rsidRPr="006F07A5" w:rsidRDefault="00C8264D" w:rsidP="00574EDE">
      <w:pPr>
        <w:pStyle w:val="Heading4"/>
      </w:pPr>
      <w:bookmarkStart w:id="312" w:name="_Ref160005385"/>
      <w:bookmarkStart w:id="313" w:name="_Toc213771785"/>
      <w:r w:rsidRPr="006F07A5">
        <w:t>Solar-Powered Generation Resource Output Forecasts</w:t>
      </w:r>
      <w:bookmarkEnd w:id="312"/>
      <w:bookmarkEnd w:id="313"/>
    </w:p>
    <w:p w14:paraId="1E838228" w14:textId="77777777" w:rsidR="00C8264D" w:rsidRPr="006F07A5" w:rsidRDefault="00C8264D" w:rsidP="00C8264D">
      <w:pPr>
        <w:spacing w:before="120" w:line="300" w:lineRule="auto"/>
        <w:rPr>
          <w:szCs w:val="24"/>
        </w:rPr>
      </w:pPr>
      <w:r>
        <w:rPr>
          <w:szCs w:val="24"/>
        </w:rPr>
        <w:t xml:space="preserve">The Market Operator will </w:t>
      </w:r>
      <w:r w:rsidRPr="006F07A5">
        <w:rPr>
          <w:szCs w:val="24"/>
        </w:rPr>
        <w:t>produce an hourly Solar-powered Generation Resource (SGR) forecast that provides a rolling forecast of energy from each SGR that is expected to exceed the SGR actual output 50% of the time.  The SGR forecasts for each hour are used as inputs into the corresponding hour in the RUC process.</w:t>
      </w:r>
    </w:p>
    <w:p w14:paraId="3624FCF1" w14:textId="77777777" w:rsidR="00C8264D" w:rsidRPr="00267E81" w:rsidRDefault="00C8264D" w:rsidP="00C8264D">
      <w:pPr>
        <w:spacing w:before="120" w:line="300" w:lineRule="auto"/>
        <w:rPr>
          <w:szCs w:val="24"/>
        </w:rPr>
      </w:pPr>
      <w:r w:rsidRPr="00267E81">
        <w:rPr>
          <w:szCs w:val="24"/>
        </w:rPr>
        <w:t>The Market Operator will produce SGR forecasts as follows:</w:t>
      </w:r>
    </w:p>
    <w:p w14:paraId="44087D2C" w14:textId="3448411A" w:rsidR="00C8264D" w:rsidRPr="00267E81" w:rsidRDefault="00C8264D" w:rsidP="00E144D8">
      <w:pPr>
        <w:pStyle w:val="pf0"/>
        <w:numPr>
          <w:ilvl w:val="0"/>
          <w:numId w:val="393"/>
        </w:numPr>
      </w:pPr>
      <w:r w:rsidRPr="00267E81">
        <w:t xml:space="preserve">A short-term forecast </w:t>
      </w:r>
      <w:r w:rsidRPr="00267E81">
        <w:rPr>
          <w:rStyle w:val="cf01"/>
          <w:rFonts w:ascii="Times New Roman" w:hAnsi="Times New Roman" w:cs="Times New Roman"/>
          <w:sz w:val="24"/>
          <w:szCs w:val="24"/>
        </w:rPr>
        <w:t>for next four (4) hours, in 5</w:t>
      </w:r>
      <w:r w:rsidR="00402B3C">
        <w:rPr>
          <w:rStyle w:val="cf01"/>
          <w:rFonts w:ascii="Times New Roman" w:hAnsi="Times New Roman" w:cs="Times New Roman"/>
          <w:sz w:val="24"/>
          <w:szCs w:val="24"/>
        </w:rPr>
        <w:t>-</w:t>
      </w:r>
      <w:r w:rsidRPr="00267E81">
        <w:rPr>
          <w:rStyle w:val="cf01"/>
          <w:rFonts w:ascii="Times New Roman" w:hAnsi="Times New Roman" w:cs="Times New Roman"/>
          <w:sz w:val="24"/>
          <w:szCs w:val="24"/>
        </w:rPr>
        <w:t>minute intervals, updated every</w:t>
      </w:r>
      <w:r w:rsidR="00402B3C">
        <w:rPr>
          <w:rStyle w:val="cf01"/>
          <w:rFonts w:ascii="Times New Roman" w:hAnsi="Times New Roman" w:cs="Times New Roman"/>
          <w:sz w:val="24"/>
          <w:szCs w:val="24"/>
        </w:rPr>
        <w:t xml:space="preserve"> five</w:t>
      </w:r>
      <w:r w:rsidRPr="00267E81">
        <w:rPr>
          <w:rStyle w:val="cf01"/>
          <w:rFonts w:ascii="Times New Roman" w:hAnsi="Times New Roman" w:cs="Times New Roman"/>
          <w:sz w:val="24"/>
          <w:szCs w:val="24"/>
        </w:rPr>
        <w:t xml:space="preserve"> </w:t>
      </w:r>
      <w:r w:rsidR="00402B3C">
        <w:rPr>
          <w:rStyle w:val="cf01"/>
          <w:rFonts w:ascii="Times New Roman" w:hAnsi="Times New Roman" w:cs="Times New Roman"/>
          <w:sz w:val="24"/>
          <w:szCs w:val="24"/>
        </w:rPr>
        <w:t>(</w:t>
      </w:r>
      <w:r w:rsidRPr="00267E81">
        <w:rPr>
          <w:rStyle w:val="cf01"/>
          <w:rFonts w:ascii="Times New Roman" w:hAnsi="Times New Roman" w:cs="Times New Roman"/>
          <w:sz w:val="24"/>
          <w:szCs w:val="24"/>
        </w:rPr>
        <w:t>5</w:t>
      </w:r>
      <w:r w:rsidR="00402B3C">
        <w:rPr>
          <w:rStyle w:val="cf01"/>
          <w:rFonts w:ascii="Times New Roman" w:hAnsi="Times New Roman" w:cs="Times New Roman"/>
          <w:sz w:val="24"/>
          <w:szCs w:val="24"/>
        </w:rPr>
        <w:t>)</w:t>
      </w:r>
      <w:r w:rsidRPr="00267E81">
        <w:rPr>
          <w:rStyle w:val="cf01"/>
          <w:rFonts w:ascii="Times New Roman" w:hAnsi="Times New Roman" w:cs="Times New Roman"/>
          <w:sz w:val="24"/>
          <w:szCs w:val="24"/>
        </w:rPr>
        <w:t xml:space="preserve"> minutes;</w:t>
      </w:r>
    </w:p>
    <w:p w14:paraId="14B6CFBD" w14:textId="52F6438F" w:rsidR="00C8264D" w:rsidRPr="00267E81" w:rsidRDefault="00C8264D" w:rsidP="00E144D8">
      <w:pPr>
        <w:pStyle w:val="ListParagraph"/>
        <w:numPr>
          <w:ilvl w:val="0"/>
          <w:numId w:val="393"/>
        </w:numPr>
        <w:spacing w:before="120" w:line="300" w:lineRule="auto"/>
        <w:rPr>
          <w:szCs w:val="24"/>
        </w:rPr>
      </w:pPr>
      <w:r w:rsidRPr="00267E81">
        <w:rPr>
          <w:szCs w:val="24"/>
        </w:rPr>
        <w:t xml:space="preserve">A mid-term forecast for the next seventy-two (72) hours in </w:t>
      </w:r>
      <w:r w:rsidR="00402B3C" w:rsidRPr="00267E81">
        <w:rPr>
          <w:szCs w:val="24"/>
        </w:rPr>
        <w:t>one-hour</w:t>
      </w:r>
      <w:r w:rsidRPr="00267E81">
        <w:rPr>
          <w:szCs w:val="24"/>
        </w:rPr>
        <w:t xml:space="preserve"> intervals updated every hour; and</w:t>
      </w:r>
    </w:p>
    <w:p w14:paraId="444C3577" w14:textId="4C8A98DE" w:rsidR="00C8264D" w:rsidRPr="00267E81" w:rsidRDefault="00C8264D" w:rsidP="00E144D8">
      <w:pPr>
        <w:pStyle w:val="ListParagraph"/>
        <w:numPr>
          <w:ilvl w:val="0"/>
          <w:numId w:val="393"/>
        </w:numPr>
        <w:spacing w:before="120" w:line="300" w:lineRule="auto"/>
        <w:rPr>
          <w:szCs w:val="24"/>
        </w:rPr>
      </w:pPr>
      <w:r w:rsidRPr="00267E81">
        <w:rPr>
          <w:szCs w:val="24"/>
        </w:rPr>
        <w:t xml:space="preserve">A long-term forecast for the next </w:t>
      </w:r>
      <w:r w:rsidR="00267E81" w:rsidRPr="00267E81">
        <w:rPr>
          <w:szCs w:val="24"/>
        </w:rPr>
        <w:t>forty</w:t>
      </w:r>
      <w:r w:rsidRPr="00267E81">
        <w:rPr>
          <w:szCs w:val="24"/>
        </w:rPr>
        <w:t xml:space="preserve">-eight (48) to one-hundred-ninety-two (192) hours in </w:t>
      </w:r>
      <w:r w:rsidR="00402B3C" w:rsidRPr="00267E81">
        <w:rPr>
          <w:szCs w:val="24"/>
        </w:rPr>
        <w:t>one-hour</w:t>
      </w:r>
      <w:r w:rsidRPr="00267E81">
        <w:rPr>
          <w:szCs w:val="24"/>
        </w:rPr>
        <w:t xml:space="preserve"> intervals updated eight (8) times periodically throughout the day.</w:t>
      </w:r>
    </w:p>
    <w:p w14:paraId="3AABEBB9" w14:textId="6988A475" w:rsidR="00C8264D" w:rsidRPr="00267E81" w:rsidRDefault="00C8264D" w:rsidP="00C8264D">
      <w:pPr>
        <w:spacing w:before="120" w:line="300" w:lineRule="auto"/>
        <w:rPr>
          <w:szCs w:val="24"/>
        </w:rPr>
      </w:pPr>
      <w:r w:rsidRPr="00267E81">
        <w:rPr>
          <w:color w:val="2B579A"/>
          <w:szCs w:val="24"/>
          <w:shd w:val="clear" w:color="auto" w:fill="E6E6E6"/>
        </w:rPr>
        <w:fldChar w:fldCharType="begin"/>
      </w:r>
      <w:r w:rsidRPr="00267E81">
        <w:rPr>
          <w:szCs w:val="24"/>
        </w:rPr>
        <w:instrText xml:space="preserve"> REF _Ref159851416 \r \h </w:instrText>
      </w:r>
      <w:r w:rsidR="00267E81" w:rsidRPr="00267E81">
        <w:rPr>
          <w:color w:val="2B579A"/>
          <w:szCs w:val="24"/>
          <w:shd w:val="clear" w:color="auto" w:fill="E6E6E6"/>
        </w:rPr>
        <w:instrText xml:space="preserve"> \* MERGEFORMAT </w:instrText>
      </w:r>
      <w:r w:rsidRPr="00267E81">
        <w:rPr>
          <w:color w:val="2B579A"/>
          <w:szCs w:val="24"/>
          <w:shd w:val="clear" w:color="auto" w:fill="E6E6E6"/>
        </w:rPr>
      </w:r>
      <w:r w:rsidRPr="00267E81">
        <w:rPr>
          <w:color w:val="2B579A"/>
          <w:szCs w:val="24"/>
          <w:shd w:val="clear" w:color="auto" w:fill="E6E6E6"/>
        </w:rPr>
        <w:fldChar w:fldCharType="separate"/>
      </w:r>
      <w:r w:rsidRPr="00267E81">
        <w:rPr>
          <w:color w:val="2B579A"/>
          <w:szCs w:val="24"/>
          <w:shd w:val="clear" w:color="auto" w:fill="E6E6E6"/>
        </w:rPr>
        <w:fldChar w:fldCharType="end"/>
      </w:r>
      <w:r>
        <w:rPr>
          <w:szCs w:val="24"/>
        </w:rPr>
        <w:t>The Market Operator</w:t>
      </w:r>
      <w:r w:rsidRPr="00267E81" w:rsidDel="001517F1">
        <w:rPr>
          <w:szCs w:val="24"/>
        </w:rPr>
        <w:t xml:space="preserve"> </w:t>
      </w:r>
      <w:r w:rsidRPr="00267E81">
        <w:rPr>
          <w:szCs w:val="24"/>
        </w:rPr>
        <w:t>will make available the SGR forecasts to Market Participants and their designated agents for their specific SGRs, subject to any applicable confidentiality protections.  In addition,</w:t>
      </w:r>
      <w:r w:rsidRPr="00267E81" w:rsidDel="005B1DF2">
        <w:rPr>
          <w:szCs w:val="24"/>
        </w:rPr>
        <w:t xml:space="preserve"> </w:t>
      </w:r>
      <w:r w:rsidRPr="00267E81">
        <w:rPr>
          <w:szCs w:val="24"/>
        </w:rPr>
        <w:t>the Market Operator will make available the TSPF to all Market Participants.  Historical data will be available for seven (7) Calendar Days.</w:t>
      </w:r>
    </w:p>
    <w:p w14:paraId="707EFBB6" w14:textId="77777777" w:rsidR="00C8264D" w:rsidRPr="006F07A5" w:rsidRDefault="00C8264D" w:rsidP="00574EDE">
      <w:pPr>
        <w:pStyle w:val="Heading4"/>
      </w:pPr>
      <w:bookmarkStart w:id="314" w:name="_Ref159851416"/>
      <w:bookmarkStart w:id="315" w:name="_Ref160004923"/>
      <w:bookmarkStart w:id="316" w:name="_Toc213771786"/>
      <w:bookmarkStart w:id="317" w:name="_Ref372285614"/>
      <w:r w:rsidRPr="006F07A5">
        <w:t>Solar-Powered Generation Resource Data Requirements</w:t>
      </w:r>
      <w:bookmarkEnd w:id="314"/>
      <w:bookmarkEnd w:id="315"/>
      <w:bookmarkEnd w:id="316"/>
    </w:p>
    <w:p w14:paraId="528B5759" w14:textId="74E165AD" w:rsidR="00C8264D" w:rsidRPr="00A1748F" w:rsidRDefault="00C8264D" w:rsidP="00C35DA0">
      <w:pPr>
        <w:numPr>
          <w:ilvl w:val="0"/>
          <w:numId w:val="81"/>
        </w:numPr>
        <w:autoSpaceDE w:val="0"/>
        <w:autoSpaceDN w:val="0"/>
        <w:adjustRightInd w:val="0"/>
        <w:spacing w:before="120" w:line="300" w:lineRule="auto"/>
        <w:rPr>
          <w:color w:val="000000"/>
          <w:szCs w:val="24"/>
        </w:rPr>
      </w:pPr>
      <w:r w:rsidRPr="00E22BED">
        <w:rPr>
          <w:color w:val="000000"/>
          <w:szCs w:val="24"/>
        </w:rPr>
        <w:t xml:space="preserve">A Solar-powered Generation Resource (SGR) must provide the following static information to </w:t>
      </w:r>
      <w:r>
        <w:rPr>
          <w:color w:val="000000"/>
          <w:szCs w:val="24"/>
        </w:rPr>
        <w:t>the Market Operator</w:t>
      </w:r>
      <w:r w:rsidRPr="00E22BED">
        <w:rPr>
          <w:color w:val="000000"/>
          <w:szCs w:val="24"/>
        </w:rPr>
        <w:t xml:space="preserve"> using</w:t>
      </w:r>
      <w:r w:rsidR="00505CA6">
        <w:rPr>
          <w:color w:val="000000"/>
          <w:szCs w:val="24"/>
        </w:rPr>
        <w:t xml:space="preserve"> the Markets+ Registration Workbook,</w:t>
      </w:r>
      <w:r w:rsidRPr="00E22BED">
        <w:rPr>
          <w:color w:val="000000"/>
          <w:szCs w:val="24"/>
        </w:rPr>
        <w:t xml:space="preserve"> a spreadsheet-based template provided by </w:t>
      </w:r>
      <w:r>
        <w:rPr>
          <w:color w:val="000000"/>
          <w:szCs w:val="24"/>
        </w:rPr>
        <w:t>the Market Operator</w:t>
      </w:r>
      <w:r w:rsidRPr="00E22BED">
        <w:rPr>
          <w:color w:val="000000"/>
          <w:szCs w:val="24"/>
        </w:rPr>
        <w:t xml:space="preserve">.  The Market Participant registering the Resource must provide </w:t>
      </w:r>
      <w:r>
        <w:rPr>
          <w:color w:val="000000"/>
          <w:szCs w:val="24"/>
        </w:rPr>
        <w:t xml:space="preserve">the Market Operator </w:t>
      </w:r>
      <w:r w:rsidRPr="001E1D88">
        <w:rPr>
          <w:color w:val="000000"/>
          <w:szCs w:val="24"/>
        </w:rPr>
        <w:t>with current contact information for the SGR Owner and Operator through the</w:t>
      </w:r>
      <w:r w:rsidR="00505CA6">
        <w:rPr>
          <w:color w:val="000000"/>
          <w:szCs w:val="24"/>
        </w:rPr>
        <w:t xml:space="preserve"> Markets+ Registration Workbook</w:t>
      </w:r>
      <w:r w:rsidRPr="00E94CBF">
        <w:rPr>
          <w:color w:val="000000"/>
          <w:szCs w:val="24"/>
        </w:rPr>
        <w:t>.</w:t>
      </w:r>
      <w:r w:rsidRPr="001E1D88">
        <w:rPr>
          <w:color w:val="000000"/>
          <w:szCs w:val="24"/>
        </w:rPr>
        <w:t xml:space="preserve"> </w:t>
      </w:r>
      <w:r w:rsidRPr="00494047">
        <w:rPr>
          <w:color w:val="000000"/>
          <w:szCs w:val="24"/>
        </w:rPr>
        <w:t xml:space="preserve"> </w:t>
      </w:r>
      <w:r w:rsidRPr="001E1D88">
        <w:rPr>
          <w:color w:val="000000"/>
          <w:szCs w:val="24"/>
        </w:rPr>
        <w:t xml:space="preserve">SGR static data changes should be updated as they occur to ensure optimal SGR forecast and </w:t>
      </w:r>
      <w:r>
        <w:rPr>
          <w:color w:val="000000"/>
          <w:szCs w:val="24"/>
        </w:rPr>
        <w:t>Total Solar Production Forecast (</w:t>
      </w:r>
      <w:r w:rsidRPr="001E1D88">
        <w:rPr>
          <w:color w:val="000000"/>
          <w:szCs w:val="24"/>
        </w:rPr>
        <w:t>T</w:t>
      </w:r>
      <w:r w:rsidRPr="000274CA">
        <w:rPr>
          <w:color w:val="000000"/>
          <w:szCs w:val="24"/>
        </w:rPr>
        <w:t>S</w:t>
      </w:r>
      <w:r w:rsidRPr="001E1D88">
        <w:rPr>
          <w:color w:val="000000"/>
          <w:szCs w:val="24"/>
        </w:rPr>
        <w:t>PF</w:t>
      </w:r>
      <w:r>
        <w:rPr>
          <w:color w:val="000000"/>
          <w:szCs w:val="24"/>
        </w:rPr>
        <w:t>)</w:t>
      </w:r>
      <w:r w:rsidRPr="00645C1A">
        <w:rPr>
          <w:color w:val="000000"/>
          <w:szCs w:val="24"/>
        </w:rPr>
        <w:t xml:space="preserve"> accuracy.  In addition, </w:t>
      </w:r>
      <w:r>
        <w:rPr>
          <w:color w:val="000000"/>
          <w:szCs w:val="24"/>
        </w:rPr>
        <w:t xml:space="preserve">the Market Operator </w:t>
      </w:r>
      <w:r w:rsidRPr="00A1748F">
        <w:rPr>
          <w:color w:val="000000"/>
          <w:szCs w:val="24"/>
        </w:rPr>
        <w:t>may request updated SGR static data as needed.</w:t>
      </w:r>
    </w:p>
    <w:p w14:paraId="46A2D044" w14:textId="42977C56" w:rsidR="00C8264D" w:rsidRPr="006F07A5" w:rsidRDefault="00C8264D" w:rsidP="00C35DA0">
      <w:pPr>
        <w:numPr>
          <w:ilvl w:val="1"/>
          <w:numId w:val="60"/>
        </w:numPr>
        <w:spacing w:line="300" w:lineRule="auto"/>
      </w:pPr>
      <w:r w:rsidRPr="006F07A5">
        <w:rPr>
          <w:b/>
        </w:rPr>
        <w:t>Geographical Data</w:t>
      </w:r>
      <w:r w:rsidRPr="006F07A5">
        <w:t xml:space="preserve"> – One</w:t>
      </w:r>
      <w:r w:rsidR="00902925">
        <w:t xml:space="preserve"> (1)</w:t>
      </w:r>
      <w:r w:rsidRPr="006F07A5">
        <w:t xml:space="preserve"> set of latitude and longitude coordinates is required for the SGR site midpoint and the meteorological collection device station.  Coordinates from the corners of the solar farm including, but not limited to, the northwestern, northeastern, southwestern</w:t>
      </w:r>
      <w:r>
        <w:t>,</w:t>
      </w:r>
      <w:r w:rsidRPr="006F07A5">
        <w:t xml:space="preserve"> and southeastern locations, in order to properly identify the exact footprint and area of the SGR.  The placement of the met station </w:t>
      </w:r>
      <w:r>
        <w:t>must</w:t>
      </w:r>
      <w:r w:rsidRPr="006F07A5">
        <w:t xml:space="preserve"> be within the limits of the SGR site, preferably at the midpoint of the site.</w:t>
      </w:r>
    </w:p>
    <w:p w14:paraId="6F1C9FDC" w14:textId="77777777" w:rsidR="00C8264D" w:rsidRPr="006F07A5" w:rsidRDefault="00C8264D" w:rsidP="00C35DA0">
      <w:pPr>
        <w:numPr>
          <w:ilvl w:val="2"/>
          <w:numId w:val="60"/>
        </w:numPr>
        <w:spacing w:line="300" w:lineRule="auto"/>
        <w:ind w:left="1620"/>
        <w:rPr>
          <w:b/>
        </w:rPr>
      </w:pPr>
      <w:r w:rsidRPr="006F07A5">
        <w:rPr>
          <w:b/>
        </w:rPr>
        <w:t>Solar-Powered Generation Resource</w:t>
      </w:r>
    </w:p>
    <w:p w14:paraId="382DAEFD" w14:textId="4889BDEB" w:rsidR="00C8264D" w:rsidRPr="006F07A5" w:rsidRDefault="00C8264D" w:rsidP="00C35DA0">
      <w:pPr>
        <w:numPr>
          <w:ilvl w:val="3"/>
          <w:numId w:val="61"/>
        </w:numPr>
        <w:spacing w:line="300" w:lineRule="auto"/>
      </w:pPr>
      <w:r w:rsidRPr="006F07A5">
        <w:rPr>
          <w:b/>
        </w:rPr>
        <w:t>Latitude</w:t>
      </w:r>
      <w:r w:rsidRPr="006F07A5">
        <w:t xml:space="preserve"> – Latitude of the Resource location, including the midpoint and four</w:t>
      </w:r>
      <w:r w:rsidR="00A423F3">
        <w:t xml:space="preserve"> (4)</w:t>
      </w:r>
      <w:r w:rsidRPr="006F07A5">
        <w:t xml:space="preserve"> corners of the SGR, submitted as degrees in decimal form rounded to four</w:t>
      </w:r>
      <w:r w:rsidR="00A423F3">
        <w:t xml:space="preserve"> (4)</w:t>
      </w:r>
      <w:r w:rsidRPr="006F07A5">
        <w:t xml:space="preserve"> digits.</w:t>
      </w:r>
    </w:p>
    <w:p w14:paraId="4B9EE152" w14:textId="6747AF91" w:rsidR="00C8264D" w:rsidRPr="006F07A5" w:rsidRDefault="00C8264D" w:rsidP="00C35DA0">
      <w:pPr>
        <w:numPr>
          <w:ilvl w:val="3"/>
          <w:numId w:val="61"/>
        </w:numPr>
        <w:spacing w:line="300" w:lineRule="auto"/>
      </w:pPr>
      <w:r w:rsidRPr="006F07A5">
        <w:rPr>
          <w:b/>
        </w:rPr>
        <w:t xml:space="preserve">Longitude </w:t>
      </w:r>
      <w:r w:rsidRPr="006F07A5">
        <w:t>– Longitude of the Resource location, including the midpoint and four corners of the SGR, submitted as degrees in decimal form rounded to four</w:t>
      </w:r>
      <w:r w:rsidR="001950D5">
        <w:t xml:space="preserve"> (4)</w:t>
      </w:r>
      <w:r w:rsidRPr="006F07A5">
        <w:t xml:space="preserve"> digits.</w:t>
      </w:r>
    </w:p>
    <w:p w14:paraId="2936F695" w14:textId="77777777" w:rsidR="00C8264D" w:rsidRPr="006F07A5" w:rsidRDefault="00C8264D" w:rsidP="00C35DA0">
      <w:pPr>
        <w:numPr>
          <w:ilvl w:val="2"/>
          <w:numId w:val="60"/>
        </w:numPr>
        <w:spacing w:line="300" w:lineRule="auto"/>
        <w:ind w:left="1710"/>
      </w:pPr>
      <w:r w:rsidRPr="006F07A5">
        <w:rPr>
          <w:b/>
        </w:rPr>
        <w:t xml:space="preserve">Met Station </w:t>
      </w:r>
    </w:p>
    <w:p w14:paraId="3C9E8C45" w14:textId="6192F485" w:rsidR="00C8264D" w:rsidRPr="006F07A5" w:rsidRDefault="00C8264D" w:rsidP="00C35DA0">
      <w:pPr>
        <w:numPr>
          <w:ilvl w:val="3"/>
          <w:numId w:val="60"/>
        </w:numPr>
        <w:spacing w:line="300" w:lineRule="auto"/>
      </w:pPr>
      <w:r w:rsidRPr="006F07A5">
        <w:rPr>
          <w:b/>
        </w:rPr>
        <w:t>Latitude</w:t>
      </w:r>
      <w:r w:rsidRPr="006F07A5">
        <w:t xml:space="preserve"> – Latitude of the met station submitted as degrees in decimal form rounded to four</w:t>
      </w:r>
      <w:r w:rsidR="001950D5">
        <w:t xml:space="preserve"> (4)</w:t>
      </w:r>
      <w:r w:rsidRPr="006F07A5">
        <w:t xml:space="preserve"> digits.</w:t>
      </w:r>
    </w:p>
    <w:p w14:paraId="2977FA40" w14:textId="27E59E2F" w:rsidR="00C8264D" w:rsidRPr="006F07A5" w:rsidRDefault="00C8264D" w:rsidP="00C35DA0">
      <w:pPr>
        <w:numPr>
          <w:ilvl w:val="3"/>
          <w:numId w:val="60"/>
        </w:numPr>
        <w:spacing w:line="300" w:lineRule="auto"/>
      </w:pPr>
      <w:r w:rsidRPr="006F07A5">
        <w:rPr>
          <w:b/>
        </w:rPr>
        <w:t>Longitude</w:t>
      </w:r>
      <w:r w:rsidRPr="006F07A5">
        <w:t xml:space="preserve"> – Longitude of the met station submitted as degrees in decimal form rounded to four</w:t>
      </w:r>
      <w:r w:rsidR="001950D5">
        <w:t xml:space="preserve"> (4)</w:t>
      </w:r>
      <w:r w:rsidRPr="006F07A5">
        <w:t xml:space="preserve"> digits.</w:t>
      </w:r>
    </w:p>
    <w:p w14:paraId="7AC83227" w14:textId="2E08CEC2" w:rsidR="00C8264D" w:rsidRPr="006F07A5" w:rsidRDefault="00C8264D" w:rsidP="00C35DA0">
      <w:pPr>
        <w:numPr>
          <w:ilvl w:val="1"/>
          <w:numId w:val="60"/>
        </w:numPr>
        <w:spacing w:line="300" w:lineRule="auto"/>
      </w:pPr>
      <w:r w:rsidRPr="006F07A5">
        <w:rPr>
          <w:b/>
        </w:rPr>
        <w:t xml:space="preserve">Solar-Powered Generation Resource Data </w:t>
      </w:r>
      <w:r w:rsidRPr="006F07A5">
        <w:t>–</w:t>
      </w:r>
      <w:r w:rsidRPr="006F07A5">
        <w:rPr>
          <w:b/>
        </w:rPr>
        <w:t xml:space="preserve"> </w:t>
      </w:r>
      <w:r w:rsidRPr="006F07A5">
        <w:t>Data related to the SGR technology employed at the SGR site.  If there is more than one</w:t>
      </w:r>
      <w:r w:rsidR="001950D5">
        <w:t xml:space="preserve"> (1)</w:t>
      </w:r>
      <w:r w:rsidRPr="006F07A5">
        <w:t xml:space="preserve"> type, model, etc., provide the specific data for each unique device.</w:t>
      </w:r>
    </w:p>
    <w:p w14:paraId="6D38F841" w14:textId="77777777" w:rsidR="00C8264D" w:rsidRPr="006F07A5" w:rsidRDefault="00C8264D" w:rsidP="00C35DA0">
      <w:pPr>
        <w:numPr>
          <w:ilvl w:val="2"/>
          <w:numId w:val="60"/>
        </w:numPr>
        <w:spacing w:line="300" w:lineRule="auto"/>
      </w:pPr>
      <w:r w:rsidRPr="006F07A5">
        <w:rPr>
          <w:b/>
        </w:rPr>
        <w:t xml:space="preserve">Manufacturer </w:t>
      </w:r>
      <w:r w:rsidRPr="006F07A5">
        <w:t xml:space="preserve">– Manufacturer of the SGR technology. </w:t>
      </w:r>
    </w:p>
    <w:p w14:paraId="3D98B9A5" w14:textId="77777777" w:rsidR="00C8264D" w:rsidRPr="006F07A5" w:rsidRDefault="00C8264D" w:rsidP="00C35DA0">
      <w:pPr>
        <w:numPr>
          <w:ilvl w:val="2"/>
          <w:numId w:val="60"/>
        </w:numPr>
        <w:spacing w:line="300" w:lineRule="auto"/>
        <w:ind w:left="2880" w:hanging="900"/>
      </w:pPr>
      <w:r w:rsidRPr="006F07A5">
        <w:rPr>
          <w:b/>
        </w:rPr>
        <w:t xml:space="preserve">Model </w:t>
      </w:r>
      <w:r w:rsidRPr="006F07A5">
        <w:t xml:space="preserve">– Model of the SGR devices.  Provide any prefixes and suffixes if available. </w:t>
      </w:r>
    </w:p>
    <w:p w14:paraId="2716B54D" w14:textId="77777777" w:rsidR="00C8264D" w:rsidRPr="006F07A5" w:rsidRDefault="00C8264D" w:rsidP="00C35DA0">
      <w:pPr>
        <w:numPr>
          <w:ilvl w:val="2"/>
          <w:numId w:val="60"/>
        </w:numPr>
        <w:spacing w:line="300" w:lineRule="auto"/>
        <w:ind w:left="2880" w:hanging="900"/>
      </w:pPr>
      <w:r w:rsidRPr="006F07A5">
        <w:rPr>
          <w:b/>
        </w:rPr>
        <w:t xml:space="preserve">SGR Devices </w:t>
      </w:r>
      <w:r w:rsidRPr="006F07A5">
        <w:t>– The number of panels, mirrors, or thermal cells at the SGR.</w:t>
      </w:r>
    </w:p>
    <w:p w14:paraId="2D3613F4" w14:textId="614A7D7F" w:rsidR="00C8264D" w:rsidRPr="006F07A5" w:rsidRDefault="00C8264D" w:rsidP="00C35DA0">
      <w:pPr>
        <w:numPr>
          <w:ilvl w:val="2"/>
          <w:numId w:val="60"/>
        </w:numPr>
        <w:spacing w:line="300" w:lineRule="auto"/>
        <w:ind w:left="2880" w:hanging="900"/>
      </w:pPr>
      <w:r w:rsidRPr="006F07A5">
        <w:rPr>
          <w:b/>
        </w:rPr>
        <w:t xml:space="preserve">Capacity </w:t>
      </w:r>
      <w:r w:rsidRPr="006F07A5">
        <w:t>– The nameplate capacity of each unit</w:t>
      </w:r>
      <w:r w:rsidR="00114B8B">
        <w:t xml:space="preserve"> with</w:t>
      </w:r>
      <w:r w:rsidRPr="006F07A5">
        <w:t xml:space="preserve"> both AC and DC capacity.</w:t>
      </w:r>
    </w:p>
    <w:p w14:paraId="0EA84E56" w14:textId="77777777" w:rsidR="00C8264D" w:rsidRPr="006F07A5" w:rsidRDefault="00C8264D" w:rsidP="00C35DA0">
      <w:pPr>
        <w:numPr>
          <w:ilvl w:val="2"/>
          <w:numId w:val="60"/>
        </w:numPr>
        <w:spacing w:line="300" w:lineRule="auto"/>
        <w:ind w:left="2880" w:hanging="900"/>
      </w:pPr>
      <w:r w:rsidRPr="006F07A5">
        <w:rPr>
          <w:b/>
        </w:rPr>
        <w:t>Degradation Factor</w:t>
      </w:r>
      <w:r w:rsidRPr="006F07A5">
        <w:t xml:space="preserve"> – Yearly degradation factor percentage.</w:t>
      </w:r>
    </w:p>
    <w:p w14:paraId="69D1F2C9" w14:textId="38E1C2D2" w:rsidR="00C8264D" w:rsidRPr="006F07A5" w:rsidRDefault="00C8264D" w:rsidP="00C35DA0">
      <w:pPr>
        <w:numPr>
          <w:ilvl w:val="2"/>
          <w:numId w:val="60"/>
        </w:numPr>
        <w:spacing w:line="300" w:lineRule="auto"/>
        <w:ind w:left="2880" w:hanging="900"/>
      </w:pPr>
      <w:r w:rsidRPr="006F07A5">
        <w:rPr>
          <w:b/>
        </w:rPr>
        <w:t>Temperature Coefficient</w:t>
      </w:r>
      <w:r w:rsidRPr="006F07A5">
        <w:t xml:space="preserve"> – Percent over degrees Celsius</w:t>
      </w:r>
      <w:r w:rsidR="00E0612B">
        <w:t xml:space="preserve"> (ºC)</w:t>
      </w:r>
      <w:r w:rsidRPr="006F07A5">
        <w:t>.</w:t>
      </w:r>
    </w:p>
    <w:p w14:paraId="365BF60B" w14:textId="77777777" w:rsidR="00C8264D" w:rsidRPr="006F07A5" w:rsidRDefault="00C8264D" w:rsidP="00C35DA0">
      <w:pPr>
        <w:numPr>
          <w:ilvl w:val="2"/>
          <w:numId w:val="60"/>
        </w:numPr>
        <w:spacing w:line="300" w:lineRule="auto"/>
      </w:pPr>
      <w:r w:rsidRPr="006F07A5">
        <w:rPr>
          <w:b/>
        </w:rPr>
        <w:t xml:space="preserve">Tilt </w:t>
      </w:r>
      <w:r w:rsidRPr="006F07A5">
        <w:t>– Altitude angle or angle range for units.</w:t>
      </w:r>
    </w:p>
    <w:p w14:paraId="00FAC27E" w14:textId="77777777" w:rsidR="00C8264D" w:rsidRPr="006F07A5" w:rsidRDefault="00C8264D" w:rsidP="00C35DA0">
      <w:pPr>
        <w:numPr>
          <w:ilvl w:val="2"/>
          <w:numId w:val="60"/>
        </w:numPr>
        <w:spacing w:line="300" w:lineRule="auto"/>
        <w:ind w:left="2880" w:hanging="900"/>
      </w:pPr>
      <w:r w:rsidRPr="006F07A5">
        <w:rPr>
          <w:b/>
        </w:rPr>
        <w:t xml:space="preserve">Azimuth Angle </w:t>
      </w:r>
      <w:r w:rsidRPr="006F07A5">
        <w:t>– Azimuth angle or angle range for units (alignment due south).</w:t>
      </w:r>
    </w:p>
    <w:p w14:paraId="2F03FB9F" w14:textId="77777777" w:rsidR="00C8264D" w:rsidRPr="006F07A5" w:rsidRDefault="00C8264D" w:rsidP="00C35DA0">
      <w:pPr>
        <w:numPr>
          <w:ilvl w:val="2"/>
          <w:numId w:val="60"/>
        </w:numPr>
        <w:spacing w:line="300" w:lineRule="auto"/>
      </w:pPr>
      <w:r w:rsidRPr="006F07A5">
        <w:rPr>
          <w:b/>
        </w:rPr>
        <w:t xml:space="preserve">Height </w:t>
      </w:r>
      <w:r w:rsidRPr="006F07A5">
        <w:t>– Elevation of panels above surface level.</w:t>
      </w:r>
    </w:p>
    <w:p w14:paraId="46D8BDCE" w14:textId="4F2289AE" w:rsidR="00C8264D" w:rsidRPr="006F07A5" w:rsidRDefault="00C8264D" w:rsidP="00C35DA0">
      <w:pPr>
        <w:numPr>
          <w:ilvl w:val="2"/>
          <w:numId w:val="60"/>
        </w:numPr>
        <w:spacing w:line="300" w:lineRule="auto"/>
        <w:ind w:left="2880" w:hanging="900"/>
      </w:pPr>
      <w:r w:rsidRPr="006F07A5">
        <w:rPr>
          <w:b/>
        </w:rPr>
        <w:t>Inverter Technology</w:t>
      </w:r>
      <w:r w:rsidRPr="006F07A5">
        <w:t xml:space="preserve"> – Centralized inverters, string inverters, micro inverters </w:t>
      </w:r>
      <w:r w:rsidRPr="006F07A5" w:rsidDel="0046151A">
        <w:t>and/or</w:t>
      </w:r>
      <w:r w:rsidRPr="006F07A5">
        <w:t xml:space="preserve"> maximum power point trackers.</w:t>
      </w:r>
    </w:p>
    <w:p w14:paraId="03F67247" w14:textId="77777777" w:rsidR="00C8264D" w:rsidRPr="006F07A5" w:rsidRDefault="00C8264D" w:rsidP="00C35DA0">
      <w:pPr>
        <w:numPr>
          <w:ilvl w:val="1"/>
          <w:numId w:val="60"/>
        </w:numPr>
        <w:spacing w:line="300" w:lineRule="auto"/>
      </w:pPr>
      <w:r w:rsidRPr="006F07A5">
        <w:rPr>
          <w:b/>
        </w:rPr>
        <w:t xml:space="preserve">Tracking Data </w:t>
      </w:r>
      <w:r w:rsidRPr="006F07A5">
        <w:t>– Details related to the tracking system if equipped.</w:t>
      </w:r>
    </w:p>
    <w:p w14:paraId="208AAEEA" w14:textId="77777777" w:rsidR="00C8264D" w:rsidRPr="006F07A5" w:rsidRDefault="00C8264D" w:rsidP="00C35DA0">
      <w:pPr>
        <w:numPr>
          <w:ilvl w:val="2"/>
          <w:numId w:val="60"/>
        </w:numPr>
        <w:spacing w:line="300" w:lineRule="auto"/>
      </w:pPr>
      <w:r w:rsidRPr="006F07A5">
        <w:rPr>
          <w:b/>
        </w:rPr>
        <w:t>Type</w:t>
      </w:r>
      <w:r w:rsidRPr="006F07A5">
        <w:t xml:space="preserve"> – Single or dual-axis tracking</w:t>
      </w:r>
    </w:p>
    <w:p w14:paraId="0365056D" w14:textId="77777777" w:rsidR="00C8264D" w:rsidRPr="006F07A5" w:rsidRDefault="00C8264D" w:rsidP="00C35DA0">
      <w:pPr>
        <w:numPr>
          <w:ilvl w:val="2"/>
          <w:numId w:val="60"/>
        </w:numPr>
        <w:spacing w:line="300" w:lineRule="auto"/>
      </w:pPr>
      <w:r w:rsidRPr="006F07A5">
        <w:rPr>
          <w:b/>
        </w:rPr>
        <w:t>Manufacturer</w:t>
      </w:r>
      <w:r w:rsidRPr="006F07A5">
        <w:t xml:space="preserve"> – Manufacturer of the tracker</w:t>
      </w:r>
    </w:p>
    <w:p w14:paraId="558DE5D6" w14:textId="77777777" w:rsidR="00C8264D" w:rsidRPr="006F07A5" w:rsidRDefault="00C8264D" w:rsidP="00C35DA0">
      <w:pPr>
        <w:numPr>
          <w:ilvl w:val="2"/>
          <w:numId w:val="60"/>
        </w:numPr>
        <w:spacing w:line="300" w:lineRule="auto"/>
      </w:pPr>
      <w:r w:rsidRPr="006F07A5">
        <w:rPr>
          <w:b/>
        </w:rPr>
        <w:t>Model</w:t>
      </w:r>
      <w:r w:rsidRPr="006F07A5">
        <w:t xml:space="preserve"> – Model of the tracker</w:t>
      </w:r>
    </w:p>
    <w:p w14:paraId="3FB72845" w14:textId="77777777" w:rsidR="00C8264D" w:rsidRPr="006F07A5" w:rsidRDefault="00C8264D" w:rsidP="00C35DA0">
      <w:pPr>
        <w:numPr>
          <w:ilvl w:val="1"/>
          <w:numId w:val="60"/>
        </w:numPr>
        <w:spacing w:line="300" w:lineRule="auto"/>
      </w:pPr>
      <w:r w:rsidRPr="006F07A5">
        <w:rPr>
          <w:b/>
        </w:rPr>
        <w:t>ICCP Object ID</w:t>
      </w:r>
      <w:r w:rsidRPr="006F07A5">
        <w:t xml:space="preserve"> – The ICCP object IDs that the </w:t>
      </w:r>
      <w:r>
        <w:t>Market Participant</w:t>
      </w:r>
      <w:r w:rsidRPr="006F07A5">
        <w:t xml:space="preserve"> will use to send ICCP data for a</w:t>
      </w:r>
      <w:r>
        <w:t>n</w:t>
      </w:r>
      <w:r w:rsidRPr="006F07A5">
        <w:t xml:space="preserve"> SGR</w:t>
      </w:r>
      <w:r>
        <w:t>.</w:t>
      </w:r>
    </w:p>
    <w:p w14:paraId="7090BDA0" w14:textId="3A6D54A5" w:rsidR="00C8264D" w:rsidRPr="006F07A5" w:rsidRDefault="00C8264D" w:rsidP="00C35DA0">
      <w:pPr>
        <w:numPr>
          <w:ilvl w:val="2"/>
          <w:numId w:val="60"/>
        </w:numPr>
        <w:spacing w:line="300" w:lineRule="auto"/>
      </w:pPr>
      <w:r w:rsidRPr="006F07A5">
        <w:t>Wind Speed</w:t>
      </w:r>
      <w:r w:rsidR="00CA000C">
        <w:t>;</w:t>
      </w:r>
    </w:p>
    <w:p w14:paraId="7BC785CD" w14:textId="68222594" w:rsidR="00C8264D" w:rsidRPr="006F07A5" w:rsidRDefault="00C8264D" w:rsidP="00C35DA0">
      <w:pPr>
        <w:numPr>
          <w:ilvl w:val="2"/>
          <w:numId w:val="60"/>
        </w:numPr>
        <w:spacing w:line="300" w:lineRule="auto"/>
      </w:pPr>
      <w:r w:rsidRPr="006F07A5">
        <w:t>Wind Direction</w:t>
      </w:r>
      <w:r w:rsidR="00CA000C">
        <w:t>;</w:t>
      </w:r>
    </w:p>
    <w:p w14:paraId="30651238" w14:textId="39190BCA" w:rsidR="00C8264D" w:rsidRPr="006F07A5" w:rsidRDefault="00C8264D" w:rsidP="00C35DA0">
      <w:pPr>
        <w:numPr>
          <w:ilvl w:val="2"/>
          <w:numId w:val="60"/>
        </w:numPr>
        <w:spacing w:line="300" w:lineRule="auto"/>
      </w:pPr>
      <w:r w:rsidRPr="006F07A5">
        <w:t>Air Temperature</w:t>
      </w:r>
      <w:r w:rsidR="00CA000C">
        <w:t>;</w:t>
      </w:r>
    </w:p>
    <w:p w14:paraId="3078B4DA" w14:textId="693134A9" w:rsidR="00C8264D" w:rsidRPr="006F07A5" w:rsidRDefault="00C8264D" w:rsidP="00C35DA0">
      <w:pPr>
        <w:numPr>
          <w:ilvl w:val="2"/>
          <w:numId w:val="60"/>
        </w:numPr>
        <w:spacing w:line="300" w:lineRule="auto"/>
      </w:pPr>
      <w:r w:rsidRPr="006F07A5">
        <w:t>Pressure</w:t>
      </w:r>
      <w:r w:rsidR="00CA000C">
        <w:t>;</w:t>
      </w:r>
    </w:p>
    <w:p w14:paraId="21BEE61D" w14:textId="46B6530A" w:rsidR="00C8264D" w:rsidRPr="006F07A5" w:rsidRDefault="00C8264D" w:rsidP="00C35DA0">
      <w:pPr>
        <w:numPr>
          <w:ilvl w:val="2"/>
          <w:numId w:val="60"/>
        </w:numPr>
        <w:spacing w:line="300" w:lineRule="auto"/>
      </w:pPr>
      <w:r w:rsidRPr="006F07A5">
        <w:t>Relative Humidity</w:t>
      </w:r>
      <w:r w:rsidR="00CA000C">
        <w:t>;</w:t>
      </w:r>
      <w:r w:rsidRPr="006F07A5">
        <w:t xml:space="preserve"> </w:t>
      </w:r>
    </w:p>
    <w:p w14:paraId="338EB4FC" w14:textId="44274DA7" w:rsidR="00C8264D" w:rsidRPr="006F07A5" w:rsidRDefault="00C8264D" w:rsidP="00C35DA0">
      <w:pPr>
        <w:numPr>
          <w:ilvl w:val="2"/>
          <w:numId w:val="60"/>
        </w:numPr>
        <w:spacing w:line="300" w:lineRule="auto"/>
      </w:pPr>
      <w:r w:rsidRPr="006F07A5">
        <w:t>Back Panel Temperature</w:t>
      </w:r>
      <w:r w:rsidR="00CA000C">
        <w:t>;</w:t>
      </w:r>
    </w:p>
    <w:p w14:paraId="04C20835" w14:textId="6B4849AD" w:rsidR="00C8264D" w:rsidRPr="006F07A5" w:rsidRDefault="00C8264D" w:rsidP="00C35DA0">
      <w:pPr>
        <w:numPr>
          <w:ilvl w:val="2"/>
          <w:numId w:val="60"/>
        </w:numPr>
        <w:spacing w:line="300" w:lineRule="auto"/>
      </w:pPr>
      <w:r w:rsidRPr="006F07A5">
        <w:t xml:space="preserve">Irradiance </w:t>
      </w:r>
    </w:p>
    <w:p w14:paraId="22C198DF" w14:textId="7FAC85AB" w:rsidR="00C8264D" w:rsidRPr="006F07A5" w:rsidRDefault="00C8264D" w:rsidP="00C35DA0">
      <w:pPr>
        <w:numPr>
          <w:ilvl w:val="3"/>
          <w:numId w:val="60"/>
        </w:numPr>
        <w:spacing w:line="300" w:lineRule="auto"/>
      </w:pPr>
      <w:r w:rsidRPr="006F07A5">
        <w:t xml:space="preserve">   Direct Irradiance</w:t>
      </w:r>
      <w:r w:rsidR="00CA000C">
        <w:t>;</w:t>
      </w:r>
      <w:r w:rsidRPr="006F07A5">
        <w:t xml:space="preserve"> </w:t>
      </w:r>
    </w:p>
    <w:p w14:paraId="78125EA7" w14:textId="349EE8DE" w:rsidR="00C8264D" w:rsidRPr="006F07A5" w:rsidRDefault="00C8264D" w:rsidP="00C35DA0">
      <w:pPr>
        <w:numPr>
          <w:ilvl w:val="3"/>
          <w:numId w:val="60"/>
        </w:numPr>
        <w:spacing w:line="300" w:lineRule="auto"/>
      </w:pPr>
      <w:r w:rsidRPr="006F07A5">
        <w:t xml:space="preserve">   Global Horizontal Irradiance</w:t>
      </w:r>
      <w:r w:rsidR="00CA000C">
        <w:t>;</w:t>
      </w:r>
      <w:r w:rsidRPr="006F07A5">
        <w:t xml:space="preserve"> </w:t>
      </w:r>
    </w:p>
    <w:p w14:paraId="666B3763" w14:textId="77777777" w:rsidR="00034B61" w:rsidRDefault="00C8264D" w:rsidP="00C35DA0">
      <w:pPr>
        <w:numPr>
          <w:ilvl w:val="3"/>
          <w:numId w:val="60"/>
        </w:numPr>
        <w:spacing w:line="300" w:lineRule="auto"/>
      </w:pPr>
      <w:r w:rsidRPr="006F07A5">
        <w:t xml:space="preserve">   Plane of Array/Global Irradiance</w:t>
      </w:r>
      <w:r w:rsidR="00CA000C">
        <w:t>;</w:t>
      </w:r>
      <w:r w:rsidR="00034B61">
        <w:t xml:space="preserve"> </w:t>
      </w:r>
    </w:p>
    <w:p w14:paraId="73C61CFC" w14:textId="7C626936" w:rsidR="00C8264D" w:rsidRPr="006F07A5" w:rsidRDefault="00034B61" w:rsidP="00034B61">
      <w:pPr>
        <w:spacing w:line="300" w:lineRule="auto"/>
        <w:ind w:left="1260" w:firstLine="720"/>
      </w:pPr>
      <w:r>
        <w:t>and</w:t>
      </w:r>
    </w:p>
    <w:p w14:paraId="1252D42E" w14:textId="32DAE2CD" w:rsidR="00C8264D" w:rsidRPr="006F07A5" w:rsidRDefault="00C8264D" w:rsidP="00C35DA0">
      <w:pPr>
        <w:numPr>
          <w:ilvl w:val="2"/>
          <w:numId w:val="60"/>
        </w:numPr>
        <w:spacing w:line="300" w:lineRule="auto"/>
      </w:pPr>
      <w:r w:rsidRPr="006F07A5">
        <w:t>Real-Time Capability</w:t>
      </w:r>
      <w:r w:rsidR="00034B61">
        <w:t>.</w:t>
      </w:r>
    </w:p>
    <w:p w14:paraId="0EA29A18" w14:textId="77777777" w:rsidR="00C8264D" w:rsidRPr="006F07A5" w:rsidRDefault="00C8264D" w:rsidP="00C35DA0">
      <w:pPr>
        <w:numPr>
          <w:ilvl w:val="1"/>
          <w:numId w:val="60"/>
        </w:numPr>
        <w:spacing w:line="300" w:lineRule="auto"/>
      </w:pPr>
      <w:r w:rsidRPr="006F07A5">
        <w:rPr>
          <w:b/>
        </w:rPr>
        <w:t>Contact Information</w:t>
      </w:r>
      <w:r w:rsidRPr="006F07A5">
        <w:t xml:space="preserve"> – 24</w:t>
      </w:r>
      <w:r>
        <w:t>/</w:t>
      </w:r>
      <w:r w:rsidRPr="006F07A5">
        <w:t>7 contact information</w:t>
      </w:r>
    </w:p>
    <w:p w14:paraId="0EFE32BC" w14:textId="77777777" w:rsidR="00C8264D" w:rsidRPr="006F07A5" w:rsidRDefault="00C8264D" w:rsidP="00C35DA0">
      <w:pPr>
        <w:numPr>
          <w:ilvl w:val="2"/>
          <w:numId w:val="60"/>
        </w:numPr>
        <w:spacing w:line="300" w:lineRule="auto"/>
      </w:pPr>
      <w:r w:rsidRPr="006F07A5">
        <w:t>SGR Owner</w:t>
      </w:r>
    </w:p>
    <w:p w14:paraId="48ED099F" w14:textId="77777777" w:rsidR="00C8264D" w:rsidRPr="006F07A5" w:rsidRDefault="00C8264D" w:rsidP="00C35DA0">
      <w:pPr>
        <w:numPr>
          <w:ilvl w:val="2"/>
          <w:numId w:val="60"/>
        </w:numPr>
        <w:spacing w:line="300" w:lineRule="auto"/>
        <w:rPr>
          <w:szCs w:val="24"/>
        </w:rPr>
      </w:pPr>
      <w:r w:rsidRPr="006F07A5">
        <w:rPr>
          <w:szCs w:val="24"/>
        </w:rPr>
        <w:t>SGR Operator</w:t>
      </w:r>
    </w:p>
    <w:p w14:paraId="489702DC" w14:textId="77777777" w:rsidR="00C8264D" w:rsidRDefault="00C8264D" w:rsidP="00C35DA0">
      <w:pPr>
        <w:numPr>
          <w:ilvl w:val="1"/>
          <w:numId w:val="60"/>
        </w:numPr>
        <w:spacing w:line="300" w:lineRule="auto"/>
        <w:rPr>
          <w:szCs w:val="24"/>
        </w:rPr>
      </w:pPr>
      <w:r w:rsidRPr="008E51FA">
        <w:rPr>
          <w:b/>
          <w:bCs/>
          <w:szCs w:val="24"/>
        </w:rPr>
        <w:t>Commercial Operation</w:t>
      </w:r>
      <w:r w:rsidRPr="1AD2CB64">
        <w:rPr>
          <w:szCs w:val="24"/>
        </w:rPr>
        <w:t xml:space="preserve"> </w:t>
      </w:r>
      <w:r w:rsidRPr="008E51FA">
        <w:rPr>
          <w:b/>
          <w:bCs/>
          <w:szCs w:val="24"/>
        </w:rPr>
        <w:t xml:space="preserve">Date </w:t>
      </w:r>
    </w:p>
    <w:p w14:paraId="6455938D" w14:textId="12579864" w:rsidR="00C8264D" w:rsidRPr="00765119" w:rsidRDefault="00C8264D" w:rsidP="00C35DA0">
      <w:pPr>
        <w:numPr>
          <w:ilvl w:val="0"/>
          <w:numId w:val="60"/>
        </w:numPr>
        <w:spacing w:line="300" w:lineRule="auto"/>
        <w:ind w:left="1080" w:hanging="540"/>
        <w:rPr>
          <w:szCs w:val="24"/>
        </w:rPr>
      </w:pPr>
      <w:r w:rsidRPr="00765119">
        <w:rPr>
          <w:szCs w:val="24"/>
        </w:rPr>
        <w:t>A Market Participant for an SGR must provide Real-Time data through ICCP</w:t>
      </w:r>
      <w:r w:rsidRPr="0035502C">
        <w:rPr>
          <w:rStyle w:val="ui-provider"/>
          <w:szCs w:val="24"/>
        </w:rPr>
        <w:t>, if available.  To the extent that certain data is not available, Market Parti</w:t>
      </w:r>
      <w:r w:rsidRPr="593DCB0F">
        <w:rPr>
          <w:rStyle w:val="ui-provider"/>
          <w:szCs w:val="24"/>
        </w:rPr>
        <w:t>ci</w:t>
      </w:r>
      <w:r w:rsidRPr="0035502C">
        <w:rPr>
          <w:rStyle w:val="ui-provider"/>
          <w:szCs w:val="24"/>
        </w:rPr>
        <w:t>pants should mark the applicable ICCP data as “bad quality</w:t>
      </w:r>
      <w:r w:rsidR="008E51FA">
        <w:rPr>
          <w:rStyle w:val="ui-provider"/>
          <w:szCs w:val="24"/>
        </w:rPr>
        <w:t>.</w:t>
      </w:r>
    </w:p>
    <w:p w14:paraId="420A7C10" w14:textId="77777777" w:rsidR="00C8264D" w:rsidRPr="006F07A5" w:rsidRDefault="00C8264D" w:rsidP="00C35DA0">
      <w:pPr>
        <w:numPr>
          <w:ilvl w:val="1"/>
          <w:numId w:val="60"/>
        </w:numPr>
        <w:spacing w:line="300" w:lineRule="auto"/>
      </w:pPr>
      <w:r w:rsidRPr="006F07A5">
        <w:rPr>
          <w:b/>
        </w:rPr>
        <w:t xml:space="preserve">Weather Data </w:t>
      </w:r>
      <w:r w:rsidRPr="006F07A5">
        <w:t xml:space="preserve">– A snapshot of the instantaneous value at the SGR site is requested at a maximum periodicity of </w:t>
      </w:r>
      <w:r>
        <w:t>sixty (</w:t>
      </w:r>
      <w:r w:rsidRPr="006F07A5">
        <w:t>60</w:t>
      </w:r>
      <w:r>
        <w:t>)</w:t>
      </w:r>
      <w:r w:rsidRPr="006F07A5">
        <w:t xml:space="preserve"> seconds.</w:t>
      </w:r>
    </w:p>
    <w:p w14:paraId="2746449C" w14:textId="77777777" w:rsidR="00C8264D" w:rsidRPr="006F07A5" w:rsidRDefault="00C8264D" w:rsidP="00C35DA0">
      <w:pPr>
        <w:numPr>
          <w:ilvl w:val="2"/>
          <w:numId w:val="60"/>
        </w:numPr>
        <w:spacing w:line="300" w:lineRule="auto"/>
        <w:ind w:left="2520" w:hanging="540"/>
      </w:pPr>
      <w:r w:rsidRPr="006F07A5">
        <w:rPr>
          <w:b/>
        </w:rPr>
        <w:t xml:space="preserve">Wind Speed </w:t>
      </w:r>
      <w:r w:rsidRPr="006F07A5">
        <w:t>– Telemetered wind speed measured in meters per second (m/s) taken directly from the specified met station.</w:t>
      </w:r>
    </w:p>
    <w:p w14:paraId="4DC2E37F" w14:textId="4C191DE5" w:rsidR="00C8264D" w:rsidRPr="006F07A5" w:rsidRDefault="00C8264D" w:rsidP="00C35DA0">
      <w:pPr>
        <w:pStyle w:val="NormalWeb"/>
        <w:numPr>
          <w:ilvl w:val="2"/>
          <w:numId w:val="60"/>
        </w:numPr>
        <w:ind w:left="2520" w:hanging="540"/>
        <w:rPr>
          <w:szCs w:val="20"/>
        </w:rPr>
      </w:pPr>
      <w:r w:rsidRPr="006F07A5">
        <w:rPr>
          <w:b/>
          <w:szCs w:val="20"/>
        </w:rPr>
        <w:t xml:space="preserve">Wind Direction </w:t>
      </w:r>
      <w:r w:rsidRPr="006F07A5">
        <w:rPr>
          <w:szCs w:val="20"/>
        </w:rPr>
        <w:t>– Telemetered wind direction measured in compass heading degrees (1</w:t>
      </w:r>
      <w:r w:rsidR="008E51FA">
        <w:rPr>
          <w:szCs w:val="20"/>
        </w:rPr>
        <w:t>º</w:t>
      </w:r>
      <w:r>
        <w:rPr>
          <w:szCs w:val="20"/>
        </w:rPr>
        <w:t xml:space="preserve"> to </w:t>
      </w:r>
      <w:r w:rsidRPr="006F07A5">
        <w:rPr>
          <w:szCs w:val="20"/>
        </w:rPr>
        <w:t>360</w:t>
      </w:r>
      <w:r w:rsidRPr="0014687A">
        <w:rPr>
          <w:rFonts w:ascii="Segoe UI" w:hAnsi="Segoe UI" w:cs="Segoe UI"/>
        </w:rPr>
        <w:t>º</w:t>
      </w:r>
      <w:r w:rsidRPr="006F07A5">
        <w:rPr>
          <w:szCs w:val="20"/>
        </w:rPr>
        <w:t xml:space="preserve">) taken directly from the specified met station. </w:t>
      </w:r>
    </w:p>
    <w:p w14:paraId="489E5C46" w14:textId="3EC243EC" w:rsidR="00C8264D" w:rsidRPr="006F07A5" w:rsidRDefault="00C8264D" w:rsidP="00C35DA0">
      <w:pPr>
        <w:numPr>
          <w:ilvl w:val="2"/>
          <w:numId w:val="60"/>
        </w:numPr>
        <w:spacing w:line="300" w:lineRule="auto"/>
        <w:ind w:left="2520" w:hanging="540"/>
      </w:pPr>
      <w:r w:rsidRPr="006F07A5">
        <w:rPr>
          <w:b/>
        </w:rPr>
        <w:t xml:space="preserve">Air Temperature </w:t>
      </w:r>
      <w:r w:rsidRPr="006F07A5">
        <w:t>– Telemetered air temperature measured in degrees Celsius (</w:t>
      </w:r>
      <w:r w:rsidR="009F11CB">
        <w:t>º</w:t>
      </w:r>
      <w:r w:rsidRPr="006F07A5">
        <w:t xml:space="preserve">C) taken directly from the specified met station. </w:t>
      </w:r>
    </w:p>
    <w:p w14:paraId="7E46BACC" w14:textId="77777777" w:rsidR="00C8264D" w:rsidRPr="006F07A5" w:rsidRDefault="00C8264D" w:rsidP="00C35DA0">
      <w:pPr>
        <w:numPr>
          <w:ilvl w:val="2"/>
          <w:numId w:val="60"/>
        </w:numPr>
        <w:spacing w:line="300" w:lineRule="auto"/>
        <w:ind w:left="2520" w:hanging="540"/>
      </w:pPr>
      <w:r w:rsidRPr="006F07A5">
        <w:rPr>
          <w:b/>
        </w:rPr>
        <w:t>Pressure</w:t>
      </w:r>
      <w:r w:rsidRPr="006F07A5">
        <w:t xml:space="preserve"> – Telemetered barometric pressure measured in kilopascals (kPa) taken directly from the specified met station.</w:t>
      </w:r>
    </w:p>
    <w:p w14:paraId="7A792E59" w14:textId="77777777" w:rsidR="00C8264D" w:rsidRPr="006F07A5" w:rsidRDefault="00C8264D" w:rsidP="00C35DA0">
      <w:pPr>
        <w:numPr>
          <w:ilvl w:val="2"/>
          <w:numId w:val="60"/>
        </w:numPr>
        <w:spacing w:line="300" w:lineRule="auto"/>
        <w:ind w:left="2520" w:hanging="540"/>
      </w:pPr>
      <w:r w:rsidRPr="006F07A5">
        <w:rPr>
          <w:b/>
        </w:rPr>
        <w:t xml:space="preserve">Relative Humidity </w:t>
      </w:r>
      <w:r w:rsidRPr="006F07A5">
        <w:t>– Telemetered relative humidity measured in percent (%) taken directly from the specified met station.</w:t>
      </w:r>
    </w:p>
    <w:p w14:paraId="15F4117C" w14:textId="72284FEF" w:rsidR="00C8264D" w:rsidRPr="006F07A5" w:rsidRDefault="00C8264D" w:rsidP="00C35DA0">
      <w:pPr>
        <w:numPr>
          <w:ilvl w:val="2"/>
          <w:numId w:val="60"/>
        </w:numPr>
        <w:spacing w:line="300" w:lineRule="auto"/>
        <w:ind w:left="2520" w:hanging="540"/>
      </w:pPr>
      <w:r w:rsidRPr="006F07A5">
        <w:rPr>
          <w:b/>
        </w:rPr>
        <w:t xml:space="preserve">Back Panel Temperature </w:t>
      </w:r>
      <w:r w:rsidRPr="006F07A5">
        <w:t>– Telemetered temperature measured in degrees Celsius (</w:t>
      </w:r>
      <w:r w:rsidR="00701DE1">
        <w:t>º</w:t>
      </w:r>
      <w:r w:rsidRPr="006F07A5">
        <w:t>C) taken from a thermocouple probe attached to the back of a unit.</w:t>
      </w:r>
    </w:p>
    <w:p w14:paraId="4F4F6CFB" w14:textId="77777777" w:rsidR="00C8264D" w:rsidRPr="006F07A5" w:rsidRDefault="00C8264D" w:rsidP="00C35DA0">
      <w:pPr>
        <w:numPr>
          <w:ilvl w:val="2"/>
          <w:numId w:val="60"/>
        </w:numPr>
        <w:spacing w:line="300" w:lineRule="auto"/>
        <w:ind w:left="2520" w:hanging="540"/>
      </w:pPr>
      <w:r w:rsidRPr="006F07A5">
        <w:rPr>
          <w:b/>
        </w:rPr>
        <w:t>Irradiance</w:t>
      </w:r>
      <w:r w:rsidRPr="006F07A5">
        <w:t xml:space="preserve"> – Telemetered irradiance measured in watt per square meter (W/m</w:t>
      </w:r>
      <w:r w:rsidRPr="006F07A5">
        <w:rPr>
          <w:color w:val="000000"/>
          <w:vertAlign w:val="superscript"/>
        </w:rPr>
        <w:t>2</w:t>
      </w:r>
      <w:r w:rsidRPr="006F07A5">
        <w:t xml:space="preserve">) required for the type of SGR technology that the SGR employs.  Irradiance requirements may be a combination of direct irradiance, global horizontal irradiance, or plane of array/global irradiance. </w:t>
      </w:r>
    </w:p>
    <w:p w14:paraId="3514B618" w14:textId="77777777" w:rsidR="00C8264D" w:rsidRPr="006F07A5" w:rsidRDefault="00C8264D" w:rsidP="00C35DA0">
      <w:pPr>
        <w:numPr>
          <w:ilvl w:val="1"/>
          <w:numId w:val="60"/>
        </w:numPr>
        <w:spacing w:line="300" w:lineRule="auto"/>
      </w:pPr>
      <w:r w:rsidRPr="006F07A5">
        <w:rPr>
          <w:b/>
        </w:rPr>
        <w:t>Real</w:t>
      </w:r>
      <w:r w:rsidRPr="006F07A5">
        <w:t>-</w:t>
      </w:r>
      <w:r w:rsidRPr="006F07A5">
        <w:rPr>
          <w:b/>
        </w:rPr>
        <w:t>Time Availability</w:t>
      </w:r>
      <w:r w:rsidRPr="006F07A5">
        <w:t xml:space="preserve"> – Percentage of installed nameplate capacity of the SGR that is able to generate power.  A snapshot of the instantaneous availability at the SGR site is requested at a maximum periodicity of </w:t>
      </w:r>
      <w:r>
        <w:t>sixty (</w:t>
      </w:r>
      <w:r w:rsidRPr="006F07A5">
        <w:t>60</w:t>
      </w:r>
      <w:r>
        <w:t>)</w:t>
      </w:r>
      <w:r w:rsidRPr="006F07A5">
        <w:t xml:space="preserve"> seconds.</w:t>
      </w:r>
    </w:p>
    <w:p w14:paraId="769A998C" w14:textId="4E2A2F5E" w:rsidR="00C8264D" w:rsidRPr="006F07A5" w:rsidRDefault="00C8264D" w:rsidP="00C35DA0">
      <w:pPr>
        <w:numPr>
          <w:ilvl w:val="1"/>
          <w:numId w:val="60"/>
        </w:numPr>
        <w:spacing w:line="300" w:lineRule="auto"/>
        <w:rPr>
          <w:szCs w:val="24"/>
        </w:rPr>
      </w:pPr>
      <w:r w:rsidRPr="3B331B86">
        <w:rPr>
          <w:b/>
          <w:szCs w:val="24"/>
        </w:rPr>
        <w:t>Real</w:t>
      </w:r>
      <w:r w:rsidRPr="006F07A5">
        <w:rPr>
          <w:szCs w:val="24"/>
        </w:rPr>
        <w:t>-</w:t>
      </w:r>
      <w:r w:rsidRPr="3B331B86">
        <w:rPr>
          <w:b/>
          <w:szCs w:val="24"/>
        </w:rPr>
        <w:t>Time Capability</w:t>
      </w:r>
      <w:r w:rsidRPr="006F07A5">
        <w:rPr>
          <w:szCs w:val="24"/>
        </w:rPr>
        <w:t xml:space="preserve"> – The amount (MW) of real power output the Resource is capable of instantaneously producing, excluding any dispatch, deployment, or curtailment instructions.  This item is only required for Resources that are qualified to provide Flexibility Reserve Products as identified in </w:t>
      </w:r>
      <w:r>
        <w:rPr>
          <w:szCs w:val="24"/>
        </w:rPr>
        <w:t>S</w:t>
      </w:r>
      <w:r w:rsidRPr="006F07A5">
        <w:rPr>
          <w:szCs w:val="24"/>
        </w:rPr>
        <w:t>ection</w:t>
      </w:r>
      <w:r w:rsidR="006A578A">
        <w:rPr>
          <w:szCs w:val="24"/>
        </w:rPr>
        <w:t xml:space="preserve"> </w:t>
      </w:r>
      <w:r w:rsidR="006A578A">
        <w:rPr>
          <w:szCs w:val="24"/>
        </w:rPr>
        <w:fldChar w:fldCharType="begin"/>
      </w:r>
      <w:r w:rsidR="006A578A">
        <w:rPr>
          <w:szCs w:val="24"/>
        </w:rPr>
        <w:instrText xml:space="preserve"> REF _Ref194664734 \r \h </w:instrText>
      </w:r>
      <w:r w:rsidR="006A578A">
        <w:rPr>
          <w:szCs w:val="24"/>
        </w:rPr>
      </w:r>
      <w:r w:rsidR="006A578A">
        <w:rPr>
          <w:szCs w:val="24"/>
        </w:rPr>
        <w:fldChar w:fldCharType="separate"/>
      </w:r>
      <w:r w:rsidR="006A578A">
        <w:rPr>
          <w:szCs w:val="24"/>
        </w:rPr>
        <w:t>9.1.10</w:t>
      </w:r>
      <w:r w:rsidR="006A578A">
        <w:rPr>
          <w:szCs w:val="24"/>
        </w:rPr>
        <w:fldChar w:fldCharType="end"/>
      </w:r>
      <w:r w:rsidRPr="006F07A5">
        <w:rPr>
          <w:szCs w:val="24"/>
        </w:rPr>
        <w:t>.</w:t>
      </w:r>
    </w:p>
    <w:p w14:paraId="2401801B" w14:textId="77777777" w:rsidR="00C8264D" w:rsidRPr="006F07A5" w:rsidRDefault="00C8264D" w:rsidP="00C35DA0">
      <w:pPr>
        <w:numPr>
          <w:ilvl w:val="0"/>
          <w:numId w:val="60"/>
        </w:numPr>
        <w:spacing w:line="300" w:lineRule="auto"/>
      </w:pPr>
      <w:r w:rsidRPr="006F07A5">
        <w:rPr>
          <w:szCs w:val="24"/>
        </w:rPr>
        <w:t>A</w:t>
      </w:r>
      <w:r>
        <w:rPr>
          <w:szCs w:val="24"/>
        </w:rPr>
        <w:t>n</w:t>
      </w:r>
      <w:r w:rsidRPr="006F07A5">
        <w:t xml:space="preserve"> SGR must provide Planned and Forced Outage and Availability data through CROW. </w:t>
      </w:r>
    </w:p>
    <w:p w14:paraId="689C432E" w14:textId="77777777" w:rsidR="00C8264D" w:rsidRPr="006F07A5" w:rsidRDefault="00C8264D" w:rsidP="00C35DA0">
      <w:pPr>
        <w:numPr>
          <w:ilvl w:val="1"/>
          <w:numId w:val="60"/>
        </w:numPr>
        <w:spacing w:line="300" w:lineRule="auto"/>
      </w:pPr>
      <w:r w:rsidRPr="006F07A5">
        <w:rPr>
          <w:b/>
        </w:rPr>
        <w:t>Outage</w:t>
      </w:r>
      <w:r w:rsidRPr="006F07A5">
        <w:t xml:space="preserve"> – Any planned or forced outage, where the SGR is out of service or not operational, </w:t>
      </w:r>
      <w:r>
        <w:t>will</w:t>
      </w:r>
      <w:r w:rsidRPr="006F07A5">
        <w:t xml:space="preserve"> be added to CROW as an outage with the best approximation of the in-service date.</w:t>
      </w:r>
    </w:p>
    <w:p w14:paraId="4DCA1E77" w14:textId="46F9A002" w:rsidR="00C8264D" w:rsidRPr="006F07A5" w:rsidRDefault="00C8264D" w:rsidP="00C35DA0">
      <w:pPr>
        <w:numPr>
          <w:ilvl w:val="1"/>
          <w:numId w:val="60"/>
        </w:numPr>
        <w:spacing w:line="300" w:lineRule="auto"/>
      </w:pPr>
      <w:r w:rsidRPr="006F07A5">
        <w:rPr>
          <w:b/>
        </w:rPr>
        <w:t>Availability</w:t>
      </w:r>
      <w:r w:rsidRPr="006F07A5">
        <w:t xml:space="preserve"> – Provide the planned hourly SGR MW capability due to maintenance and any known power curve de-rate for the next</w:t>
      </w:r>
      <w:r w:rsidR="006C3002">
        <w:t xml:space="preserve"> seven</w:t>
      </w:r>
      <w:r w:rsidRPr="006F07A5">
        <w:t xml:space="preserve"> </w:t>
      </w:r>
      <w:r w:rsidR="006C3002">
        <w:t>(</w:t>
      </w:r>
      <w:r w:rsidRPr="006F07A5">
        <w:t>7</w:t>
      </w:r>
      <w:r w:rsidR="006C3002">
        <w:t>)</w:t>
      </w:r>
      <w:r w:rsidRPr="006F07A5">
        <w:t xml:space="preserve"> days.  The threshold to submit, or update, availability reduction from nameplate capacity is 10% or 10MW whichever is smaller.</w:t>
      </w:r>
    </w:p>
    <w:p w14:paraId="5DFFA481" w14:textId="77777777" w:rsidR="00C8264D" w:rsidRPr="006F07A5" w:rsidRDefault="00C8264D" w:rsidP="004B66CD">
      <w:pPr>
        <w:pStyle w:val="Heading3"/>
      </w:pPr>
      <w:bookmarkStart w:id="318" w:name="_Toc213771787"/>
      <w:bookmarkEnd w:id="298"/>
      <w:bookmarkEnd w:id="301"/>
      <w:bookmarkEnd w:id="302"/>
      <w:bookmarkEnd w:id="303"/>
      <w:bookmarkEnd w:id="304"/>
      <w:bookmarkEnd w:id="305"/>
      <w:bookmarkEnd w:id="306"/>
      <w:bookmarkEnd w:id="307"/>
      <w:bookmarkEnd w:id="308"/>
      <w:bookmarkEnd w:id="309"/>
      <w:bookmarkEnd w:id="310"/>
      <w:bookmarkEnd w:id="311"/>
      <w:bookmarkEnd w:id="317"/>
      <w:r w:rsidRPr="29ACDB4D">
        <w:t>Flexibility</w:t>
      </w:r>
      <w:r w:rsidRPr="006F07A5">
        <w:t xml:space="preserve"> Reserve</w:t>
      </w:r>
      <w:r w:rsidRPr="29ACDB4D">
        <w:t xml:space="preserve"> </w:t>
      </w:r>
      <w:r w:rsidRPr="006F07A5">
        <w:t>Product</w:t>
      </w:r>
      <w:r>
        <w:t xml:space="preserve"> and Instantaneous Load Capacity</w:t>
      </w:r>
      <w:r w:rsidRPr="006F07A5">
        <w:t xml:space="preserve"> Requirements</w:t>
      </w:r>
      <w:bookmarkEnd w:id="318"/>
    </w:p>
    <w:p w14:paraId="3356CA92" w14:textId="3EACC42E" w:rsidR="00C8264D" w:rsidRPr="006F07A5" w:rsidRDefault="00C8264D" w:rsidP="00C8264D">
      <w:pPr>
        <w:spacing w:line="300" w:lineRule="auto"/>
        <w:rPr>
          <w:szCs w:val="24"/>
        </w:rPr>
      </w:pPr>
      <w:bookmarkStart w:id="319" w:name="OLE_LINK132"/>
      <w:bookmarkStart w:id="320" w:name="OLE_LINK134"/>
      <w:r>
        <w:rPr>
          <w:color w:val="000000"/>
          <w:szCs w:val="24"/>
        </w:rPr>
        <w:t>The Market Operator</w:t>
      </w:r>
      <w:r w:rsidRPr="007A1E40">
        <w:rPr>
          <w:color w:val="000000"/>
          <w:szCs w:val="24"/>
        </w:rPr>
        <w:t xml:space="preserve"> </w:t>
      </w:r>
      <w:r w:rsidRPr="006F07A5">
        <w:rPr>
          <w:szCs w:val="24"/>
        </w:rPr>
        <w:t xml:space="preserve">calculates the amount of Flexibility Reserve Products required for the Operating Day, on both a </w:t>
      </w:r>
      <w:r>
        <w:rPr>
          <w:szCs w:val="24"/>
        </w:rPr>
        <w:t>Markets+ Footprint</w:t>
      </w:r>
      <w:r w:rsidRPr="006F07A5">
        <w:rPr>
          <w:szCs w:val="24"/>
        </w:rPr>
        <w:t xml:space="preserve"> basis and a Reserve Zone basis, to meet expected operational needs.</w:t>
      </w:r>
      <w:r>
        <w:rPr>
          <w:szCs w:val="24"/>
        </w:rPr>
        <w:t xml:space="preserve"> </w:t>
      </w:r>
      <w:r w:rsidRPr="006F07A5">
        <w:rPr>
          <w:szCs w:val="24"/>
        </w:rPr>
        <w:t xml:space="preserve"> </w:t>
      </w:r>
      <w:r w:rsidRPr="006F07A5">
        <w:t xml:space="preserve">Additionally, </w:t>
      </w:r>
      <w:r>
        <w:rPr>
          <w:color w:val="000000"/>
          <w:szCs w:val="24"/>
        </w:rPr>
        <w:t>the Market Operator</w:t>
      </w:r>
      <w:r w:rsidRPr="007A1E40">
        <w:rPr>
          <w:color w:val="000000"/>
          <w:szCs w:val="24"/>
        </w:rPr>
        <w:t xml:space="preserve"> </w:t>
      </w:r>
      <w:r w:rsidRPr="006F07A5">
        <w:t xml:space="preserve">calculates the amount of Instantaneous Load Capacity required for the Operating Day to ensure that unit commitment is sufficient to serve load in </w:t>
      </w:r>
      <w:r>
        <w:t>R</w:t>
      </w:r>
      <w:r w:rsidRPr="006F07A5">
        <w:t>eal-</w:t>
      </w:r>
      <w:r>
        <w:t>T</w:t>
      </w:r>
      <w:r w:rsidRPr="006F07A5">
        <w:t>ime while maintaining the Flexibility Reserve Products requirements.</w:t>
      </w:r>
      <w:r>
        <w:t xml:space="preserve"> </w:t>
      </w:r>
      <w:r w:rsidRPr="006F07A5">
        <w:rPr>
          <w:szCs w:val="24"/>
        </w:rPr>
        <w:t xml:space="preserve"> </w:t>
      </w:r>
      <w:r>
        <w:rPr>
          <w:color w:val="000000"/>
          <w:szCs w:val="24"/>
        </w:rPr>
        <w:t>The Market Operator</w:t>
      </w:r>
      <w:r w:rsidRPr="007A1E40">
        <w:rPr>
          <w:color w:val="000000"/>
          <w:szCs w:val="24"/>
        </w:rPr>
        <w:t xml:space="preserve"> </w:t>
      </w:r>
      <w:r w:rsidRPr="006F07A5">
        <w:rPr>
          <w:szCs w:val="24"/>
        </w:rPr>
        <w:t xml:space="preserve">calculates the hourly </w:t>
      </w:r>
      <w:r w:rsidRPr="006F07A5">
        <w:t>Short-Term Flex Up, Short-Term Flex Down, Mid-</w:t>
      </w:r>
      <w:r w:rsidR="00A259C0">
        <w:t>T</w:t>
      </w:r>
      <w:r w:rsidRPr="006F07A5">
        <w:t>erm Flex Up</w:t>
      </w:r>
      <w:r w:rsidRPr="006F07A5" w:rsidDel="00CC1A61">
        <w:t xml:space="preserve">, </w:t>
      </w:r>
      <w:r w:rsidRPr="006F07A5">
        <w:t xml:space="preserve">and Instantaneous Load Capacity </w:t>
      </w:r>
      <w:r w:rsidRPr="006F07A5">
        <w:rPr>
          <w:szCs w:val="24"/>
        </w:rPr>
        <w:t xml:space="preserve">requirements on a </w:t>
      </w:r>
      <w:r>
        <w:rPr>
          <w:szCs w:val="24"/>
        </w:rPr>
        <w:t>Markets</w:t>
      </w:r>
      <w:r w:rsidRPr="006F07A5">
        <w:rPr>
          <w:szCs w:val="24"/>
        </w:rPr>
        <w:t>+ Footprint</w:t>
      </w:r>
      <w:r w:rsidRPr="006F07A5" w:rsidDel="00A736D7">
        <w:rPr>
          <w:szCs w:val="24"/>
        </w:rPr>
        <w:t xml:space="preserve"> </w:t>
      </w:r>
      <w:r w:rsidRPr="006F07A5">
        <w:rPr>
          <w:szCs w:val="24"/>
        </w:rPr>
        <w:t>basis and calculates minimum Flexibility Reserve Products requirements and maximum Flexibility Reserve Products limitations for each Reserve Zone.</w:t>
      </w:r>
    </w:p>
    <w:bookmarkEnd w:id="319"/>
    <w:bookmarkEnd w:id="320"/>
    <w:p w14:paraId="23A6177C" w14:textId="77777777" w:rsidR="00C8264D" w:rsidRPr="006F07A5" w:rsidRDefault="00C8264D" w:rsidP="00C35DA0">
      <w:pPr>
        <w:numPr>
          <w:ilvl w:val="0"/>
          <w:numId w:val="27"/>
        </w:numPr>
        <w:spacing w:before="120" w:line="300" w:lineRule="auto"/>
        <w:ind w:left="720" w:hanging="540"/>
        <w:rPr>
          <w:szCs w:val="24"/>
        </w:rPr>
      </w:pPr>
      <w:r w:rsidRPr="006F07A5">
        <w:t>Instantaneous Load Capacity requirements are set to ensure that expected variations between</w:t>
      </w:r>
      <w:r>
        <w:t xml:space="preserve"> </w:t>
      </w:r>
      <w:r w:rsidRPr="006F07A5">
        <w:t xml:space="preserve">instantaneous peak load for the interval and the average load forecast for that interval can be served in </w:t>
      </w:r>
      <w:r>
        <w:t>R</w:t>
      </w:r>
      <w:r w:rsidRPr="006F07A5">
        <w:t>eal-</w:t>
      </w:r>
      <w:r>
        <w:t>T</w:t>
      </w:r>
      <w:r w:rsidRPr="006F07A5">
        <w:t>ime while simultaneously maintaining the Flexibility Reserve Products requirements.</w:t>
      </w:r>
    </w:p>
    <w:p w14:paraId="35DFBEB9" w14:textId="66C5300D" w:rsidR="00C8264D" w:rsidRPr="006F07A5" w:rsidRDefault="00C8264D" w:rsidP="00C35DA0">
      <w:pPr>
        <w:numPr>
          <w:ilvl w:val="0"/>
          <w:numId w:val="27"/>
        </w:numPr>
        <w:spacing w:before="120" w:line="300" w:lineRule="auto"/>
        <w:ind w:left="720" w:hanging="540"/>
        <w:rPr>
          <w:szCs w:val="24"/>
        </w:rPr>
      </w:pPr>
      <w:r>
        <w:rPr>
          <w:color w:val="000000"/>
          <w:szCs w:val="24"/>
        </w:rPr>
        <w:t>The</w:t>
      </w:r>
      <w:r w:rsidRPr="007A1E40">
        <w:rPr>
          <w:color w:val="000000"/>
          <w:szCs w:val="24"/>
        </w:rPr>
        <w:t xml:space="preserve"> </w:t>
      </w:r>
      <w:r w:rsidRPr="006F07A5">
        <w:rPr>
          <w:szCs w:val="24"/>
        </w:rPr>
        <w:t>Markets+ Footprint Flexibility Reserve Products requirements, minimum Reserve Zone Flexibility Reserve Produc</w:t>
      </w:r>
      <w:r>
        <w:rPr>
          <w:szCs w:val="24"/>
        </w:rPr>
        <w:t>t</w:t>
      </w:r>
      <w:r w:rsidRPr="006F07A5">
        <w:rPr>
          <w:szCs w:val="24"/>
        </w:rPr>
        <w:t>s requirements</w:t>
      </w:r>
      <w:r>
        <w:rPr>
          <w:szCs w:val="24"/>
        </w:rPr>
        <w:t>,</w:t>
      </w:r>
      <w:r w:rsidRPr="006F07A5">
        <w:rPr>
          <w:szCs w:val="24"/>
        </w:rPr>
        <w:t xml:space="preserve"> and maximum Reserve Zone Flexibility Reserve Products limitations are calculated and posted no later than 06:</w:t>
      </w:r>
      <w:r>
        <w:rPr>
          <w:szCs w:val="24"/>
        </w:rPr>
        <w:t>3</w:t>
      </w:r>
      <w:r w:rsidRPr="006F07A5">
        <w:rPr>
          <w:szCs w:val="24"/>
        </w:rPr>
        <w:t xml:space="preserve">0 </w:t>
      </w:r>
      <w:r>
        <w:rPr>
          <w:szCs w:val="24"/>
        </w:rPr>
        <w:t>PPT</w:t>
      </w:r>
      <w:r w:rsidRPr="006F07A5">
        <w:rPr>
          <w:szCs w:val="24"/>
        </w:rPr>
        <w:t xml:space="preserve"> Day-Ahead.  At this time, </w:t>
      </w:r>
      <w:r>
        <w:rPr>
          <w:color w:val="000000"/>
          <w:szCs w:val="24"/>
        </w:rPr>
        <w:t>the Market Operator</w:t>
      </w:r>
      <w:r w:rsidRPr="007A1E40">
        <w:rPr>
          <w:color w:val="000000"/>
          <w:szCs w:val="24"/>
        </w:rPr>
        <w:t xml:space="preserve"> </w:t>
      </w:r>
      <w:r w:rsidRPr="006F07A5">
        <w:rPr>
          <w:szCs w:val="24"/>
        </w:rPr>
        <w:t xml:space="preserve">will also communicate each Asset Owner’s estimated </w:t>
      </w:r>
      <w:r>
        <w:rPr>
          <w:szCs w:val="24"/>
        </w:rPr>
        <w:t xml:space="preserve">market-wide </w:t>
      </w:r>
      <w:r w:rsidRPr="006F07A5">
        <w:rPr>
          <w:szCs w:val="24"/>
        </w:rPr>
        <w:t xml:space="preserve">Flexibility Reserve Products obligations </w:t>
      </w:r>
      <w:r>
        <w:rPr>
          <w:szCs w:val="24"/>
        </w:rPr>
        <w:t xml:space="preserve">and </w:t>
      </w:r>
      <w:r w:rsidRPr="006F07A5">
        <w:rPr>
          <w:szCs w:val="24"/>
        </w:rPr>
        <w:t xml:space="preserve">Reserve Zone </w:t>
      </w:r>
      <w:r>
        <w:rPr>
          <w:szCs w:val="24"/>
        </w:rPr>
        <w:t xml:space="preserve">obligations </w:t>
      </w:r>
      <w:r w:rsidRPr="006F07A5">
        <w:rPr>
          <w:szCs w:val="24"/>
        </w:rPr>
        <w:t xml:space="preserve">using </w:t>
      </w:r>
      <w:r>
        <w:rPr>
          <w:szCs w:val="24"/>
        </w:rPr>
        <w:t>the</w:t>
      </w:r>
      <w:r w:rsidRPr="006F07A5">
        <w:rPr>
          <w:szCs w:val="24"/>
        </w:rPr>
        <w:t xml:space="preserve"> Markets+ Footprint Mid-Term Load Forecast and the Asset Owner load forecasts developed by </w:t>
      </w:r>
      <w:r>
        <w:rPr>
          <w:color w:val="000000"/>
          <w:szCs w:val="24"/>
        </w:rPr>
        <w:t>the Market Operator</w:t>
      </w:r>
      <w:r w:rsidRPr="007A1E40">
        <w:rPr>
          <w:color w:val="000000"/>
          <w:szCs w:val="24"/>
        </w:rPr>
        <w:t xml:space="preserve"> </w:t>
      </w:r>
      <w:r w:rsidRPr="006F07A5">
        <w:rPr>
          <w:szCs w:val="24"/>
        </w:rPr>
        <w:t xml:space="preserve">under Section </w:t>
      </w:r>
      <w:r w:rsidRPr="006F07A5">
        <w:rPr>
          <w:color w:val="2B579A"/>
          <w:szCs w:val="24"/>
          <w:shd w:val="clear" w:color="auto" w:fill="E6E6E6"/>
        </w:rPr>
        <w:fldChar w:fldCharType="begin"/>
      </w:r>
      <w:r w:rsidRPr="006F07A5">
        <w:rPr>
          <w:szCs w:val="24"/>
        </w:rPr>
        <w:instrText xml:space="preserve"> REF _Ref260168919 \r \h </w:instrText>
      </w:r>
      <w:r w:rsidRPr="006F07A5">
        <w:rPr>
          <w:color w:val="2B579A"/>
          <w:szCs w:val="24"/>
          <w:shd w:val="clear" w:color="auto" w:fill="E6E6E6"/>
        </w:rPr>
      </w:r>
      <w:r w:rsidRPr="006F07A5">
        <w:rPr>
          <w:color w:val="2B579A"/>
          <w:szCs w:val="24"/>
          <w:shd w:val="clear" w:color="auto" w:fill="E6E6E6"/>
        </w:rPr>
        <w:fldChar w:fldCharType="separate"/>
      </w:r>
      <w:r>
        <w:rPr>
          <w:szCs w:val="24"/>
        </w:rPr>
        <w:t>4.1.2.1.5</w:t>
      </w:r>
      <w:r w:rsidRPr="006F07A5">
        <w:rPr>
          <w:color w:val="2B579A"/>
          <w:szCs w:val="24"/>
          <w:shd w:val="clear" w:color="auto" w:fill="E6E6E6"/>
        </w:rPr>
        <w:fldChar w:fldCharType="end"/>
      </w:r>
      <w:r w:rsidRPr="006F07A5">
        <w:rPr>
          <w:szCs w:val="24"/>
        </w:rPr>
        <w:t xml:space="preserve">. </w:t>
      </w:r>
      <w:r>
        <w:rPr>
          <w:szCs w:val="24"/>
        </w:rPr>
        <w:t xml:space="preserve"> </w:t>
      </w:r>
    </w:p>
    <w:p w14:paraId="63A48E68" w14:textId="77777777" w:rsidR="00C8264D" w:rsidRPr="006F07A5" w:rsidRDefault="00C8264D" w:rsidP="00C35DA0">
      <w:pPr>
        <w:numPr>
          <w:ilvl w:val="0"/>
          <w:numId w:val="27"/>
        </w:numPr>
        <w:spacing w:before="120" w:line="300" w:lineRule="auto"/>
        <w:ind w:left="720" w:hanging="540"/>
        <w:rPr>
          <w:szCs w:val="24"/>
        </w:rPr>
      </w:pPr>
      <w:r w:rsidRPr="006F07A5">
        <w:rPr>
          <w:szCs w:val="24"/>
        </w:rPr>
        <w:t>These Flexibil</w:t>
      </w:r>
      <w:r>
        <w:rPr>
          <w:szCs w:val="24"/>
        </w:rPr>
        <w:t>i</w:t>
      </w:r>
      <w:r w:rsidRPr="006F07A5">
        <w:rPr>
          <w:szCs w:val="24"/>
        </w:rPr>
        <w:t xml:space="preserve">ty Reserve Products requirements and limitations are used by </w:t>
      </w:r>
      <w:r>
        <w:rPr>
          <w:color w:val="000000"/>
          <w:szCs w:val="24"/>
        </w:rPr>
        <w:t>the Market Operator</w:t>
      </w:r>
      <w:r w:rsidRPr="007A1E40">
        <w:rPr>
          <w:color w:val="000000"/>
          <w:szCs w:val="24"/>
        </w:rPr>
        <w:t xml:space="preserve"> </w:t>
      </w:r>
      <w:r w:rsidRPr="006F07A5">
        <w:rPr>
          <w:szCs w:val="24"/>
        </w:rPr>
        <w:t>as inputs into the D</w:t>
      </w:r>
      <w:r>
        <w:rPr>
          <w:szCs w:val="24"/>
        </w:rPr>
        <w:t>ay-Ahead</w:t>
      </w:r>
      <w:r w:rsidRPr="006F07A5">
        <w:rPr>
          <w:szCs w:val="24"/>
        </w:rPr>
        <w:t xml:space="preserve"> Market</w:t>
      </w:r>
      <w:r>
        <w:rPr>
          <w:szCs w:val="24"/>
        </w:rPr>
        <w:t xml:space="preserve"> clearing,</w:t>
      </w:r>
      <w:r w:rsidRPr="006F07A5">
        <w:rPr>
          <w:szCs w:val="24"/>
        </w:rPr>
        <w:t xml:space="preserve"> RTBM clearing</w:t>
      </w:r>
      <w:r>
        <w:rPr>
          <w:szCs w:val="24"/>
        </w:rPr>
        <w:t>,</w:t>
      </w:r>
      <w:r w:rsidRPr="006F07A5">
        <w:rPr>
          <w:szCs w:val="24"/>
        </w:rPr>
        <w:t xml:space="preserve"> and RUC processes.  </w:t>
      </w:r>
    </w:p>
    <w:p w14:paraId="3AF80565" w14:textId="77777777" w:rsidR="00C8264D" w:rsidRPr="006F07A5" w:rsidRDefault="00C8264D" w:rsidP="00C35DA0">
      <w:pPr>
        <w:numPr>
          <w:ilvl w:val="0"/>
          <w:numId w:val="27"/>
        </w:numPr>
        <w:spacing w:before="120" w:line="300" w:lineRule="auto"/>
        <w:ind w:left="720" w:hanging="540"/>
        <w:rPr>
          <w:szCs w:val="24"/>
        </w:rPr>
      </w:pPr>
      <w:r>
        <w:rPr>
          <w:color w:val="000000"/>
          <w:szCs w:val="24"/>
        </w:rPr>
        <w:t>The Market Operator</w:t>
      </w:r>
      <w:r w:rsidRPr="007A1E40">
        <w:rPr>
          <w:color w:val="000000"/>
          <w:szCs w:val="24"/>
        </w:rPr>
        <w:t xml:space="preserve"> </w:t>
      </w:r>
      <w:r w:rsidRPr="006F07A5">
        <w:rPr>
          <w:szCs w:val="24"/>
        </w:rPr>
        <w:t>may increase Flexibility Reserve Products requirements for the RUC and RTBM above the requirements used in the Day-Ahead Market to cover the increased risk of the supply availability of Uncommitted Import Interchange Transactions.</w:t>
      </w:r>
    </w:p>
    <w:p w14:paraId="57F3D6D2" w14:textId="77777777" w:rsidR="00C8264D" w:rsidRPr="004B60F5" w:rsidRDefault="00C8264D" w:rsidP="00C35DA0">
      <w:pPr>
        <w:numPr>
          <w:ilvl w:val="1"/>
          <w:numId w:val="29"/>
        </w:numPr>
        <w:spacing w:before="120" w:line="300" w:lineRule="auto"/>
        <w:ind w:left="1260" w:hanging="540"/>
        <w:rPr>
          <w:szCs w:val="24"/>
        </w:rPr>
      </w:pPr>
      <w:r w:rsidRPr="006F07A5">
        <w:rPr>
          <w:szCs w:val="24"/>
        </w:rPr>
        <w:t xml:space="preserve">To the extent that </w:t>
      </w:r>
      <w:r>
        <w:rPr>
          <w:szCs w:val="24"/>
        </w:rPr>
        <w:t>the Market Operator</w:t>
      </w:r>
      <w:r w:rsidRPr="006F07A5">
        <w:rPr>
          <w:szCs w:val="24"/>
        </w:rPr>
        <w:t xml:space="preserve"> increases the Flexibility Reserve Products requirements, the increased costs associated with such increased requirements </w:t>
      </w:r>
      <w:r>
        <w:rPr>
          <w:szCs w:val="24"/>
        </w:rPr>
        <w:t>will</w:t>
      </w:r>
      <w:r w:rsidRPr="006F07A5">
        <w:rPr>
          <w:szCs w:val="24"/>
        </w:rPr>
        <w:t xml:space="preserve"> be collected from all Market Participants with </w:t>
      </w:r>
      <w:r>
        <w:rPr>
          <w:szCs w:val="24"/>
        </w:rPr>
        <w:t>tagged</w:t>
      </w:r>
      <w:r w:rsidRPr="006F07A5">
        <w:rPr>
          <w:szCs w:val="24"/>
        </w:rPr>
        <w:t xml:space="preserve"> Uncommitted Import Interchange Transactions on a pro-rata basis based upon the MW levels of the imports.</w:t>
      </w:r>
    </w:p>
    <w:p w14:paraId="40851C0B" w14:textId="77777777" w:rsidR="00C8264D" w:rsidRPr="004B60F5" w:rsidRDefault="00C8264D" w:rsidP="00C35DA0">
      <w:pPr>
        <w:numPr>
          <w:ilvl w:val="1"/>
          <w:numId w:val="29"/>
        </w:numPr>
        <w:spacing w:before="120" w:line="300" w:lineRule="auto"/>
        <w:ind w:left="1260" w:hanging="540"/>
        <w:rPr>
          <w:szCs w:val="24"/>
        </w:rPr>
      </w:pPr>
      <w:r>
        <w:rPr>
          <w:szCs w:val="24"/>
        </w:rPr>
        <w:t>The Market Operator</w:t>
      </w:r>
      <w:r w:rsidRPr="006F07A5">
        <w:rPr>
          <w:szCs w:val="24"/>
        </w:rPr>
        <w:t xml:space="preserve"> may also make modifications to the Reserve Zone minimums and maximums due to unexpected system condition changes following the close of the Day-Ahead Market.    </w:t>
      </w:r>
    </w:p>
    <w:p w14:paraId="4D919F19" w14:textId="3A1A0E8C" w:rsidR="00C8264D" w:rsidRPr="004B60F5" w:rsidRDefault="00C8264D" w:rsidP="00C35DA0">
      <w:pPr>
        <w:numPr>
          <w:ilvl w:val="0"/>
          <w:numId w:val="27"/>
        </w:numPr>
        <w:spacing w:before="120" w:line="300" w:lineRule="auto"/>
        <w:ind w:left="720" w:hanging="540"/>
        <w:rPr>
          <w:color w:val="000000"/>
          <w:szCs w:val="24"/>
        </w:rPr>
      </w:pPr>
      <w:r w:rsidRPr="004B60F5">
        <w:rPr>
          <w:color w:val="000000"/>
          <w:szCs w:val="24"/>
        </w:rPr>
        <w:t xml:space="preserve">Reserve Zone minimum </w:t>
      </w:r>
      <w:r w:rsidRPr="00964A3B">
        <w:rPr>
          <w:color w:val="000000"/>
          <w:szCs w:val="24"/>
        </w:rPr>
        <w:t>Flexibil</w:t>
      </w:r>
      <w:r>
        <w:rPr>
          <w:color w:val="000000"/>
          <w:szCs w:val="24"/>
        </w:rPr>
        <w:t>i</w:t>
      </w:r>
      <w:r w:rsidRPr="004B60F5">
        <w:rPr>
          <w:color w:val="000000"/>
          <w:szCs w:val="24"/>
        </w:rPr>
        <w:t>ty Reserve Product</w:t>
      </w:r>
      <w:r>
        <w:rPr>
          <w:color w:val="000000"/>
          <w:szCs w:val="24"/>
        </w:rPr>
        <w:t>s</w:t>
      </w:r>
      <w:r w:rsidRPr="004B60F5">
        <w:rPr>
          <w:color w:val="000000"/>
          <w:szCs w:val="24"/>
        </w:rPr>
        <w:t xml:space="preserve"> requirements and maximum </w:t>
      </w:r>
      <w:r w:rsidRPr="004A0EC2">
        <w:rPr>
          <w:color w:val="000000"/>
          <w:szCs w:val="24"/>
        </w:rPr>
        <w:t>Flexibil</w:t>
      </w:r>
      <w:r>
        <w:rPr>
          <w:color w:val="000000"/>
          <w:szCs w:val="24"/>
        </w:rPr>
        <w:t>i</w:t>
      </w:r>
      <w:r w:rsidRPr="004B60F5">
        <w:rPr>
          <w:color w:val="000000"/>
          <w:szCs w:val="24"/>
        </w:rPr>
        <w:t xml:space="preserve">ty Reserve Products limitations are determined through </w:t>
      </w:r>
      <w:r>
        <w:rPr>
          <w:color w:val="000000"/>
          <w:szCs w:val="24"/>
        </w:rPr>
        <w:t>R</w:t>
      </w:r>
      <w:r w:rsidRPr="004B60F5">
        <w:rPr>
          <w:color w:val="000000"/>
          <w:szCs w:val="24"/>
        </w:rPr>
        <w:t xml:space="preserve">eserve </w:t>
      </w:r>
      <w:r>
        <w:rPr>
          <w:color w:val="000000"/>
          <w:szCs w:val="24"/>
        </w:rPr>
        <w:t>Z</w:t>
      </w:r>
      <w:r w:rsidRPr="004B60F5">
        <w:rPr>
          <w:color w:val="000000"/>
          <w:szCs w:val="24"/>
        </w:rPr>
        <w:t>one studies prior to the D</w:t>
      </w:r>
      <w:r>
        <w:rPr>
          <w:color w:val="000000"/>
          <w:szCs w:val="24"/>
        </w:rPr>
        <w:t>ay-Ahead</w:t>
      </w:r>
      <w:r w:rsidRPr="004B60F5">
        <w:rPr>
          <w:color w:val="000000"/>
          <w:szCs w:val="24"/>
        </w:rPr>
        <w:t xml:space="preserve"> Market.  Reserve </w:t>
      </w:r>
      <w:r>
        <w:rPr>
          <w:color w:val="000000"/>
          <w:szCs w:val="24"/>
        </w:rPr>
        <w:t>Z</w:t>
      </w:r>
      <w:r w:rsidRPr="004B60F5">
        <w:rPr>
          <w:color w:val="000000"/>
          <w:szCs w:val="24"/>
        </w:rPr>
        <w:t xml:space="preserve">one studies are performed as described under Section </w:t>
      </w:r>
      <w:r w:rsidRPr="004B60F5">
        <w:rPr>
          <w:color w:val="000000"/>
          <w:szCs w:val="24"/>
        </w:rPr>
        <w:fldChar w:fldCharType="begin"/>
      </w:r>
      <w:r w:rsidRPr="004B60F5">
        <w:rPr>
          <w:color w:val="000000"/>
          <w:szCs w:val="24"/>
        </w:rPr>
        <w:instrText xml:space="preserve"> REF _Ref258486801 \r \h </w:instrText>
      </w:r>
      <w:r>
        <w:rPr>
          <w:color w:val="000000"/>
          <w:szCs w:val="24"/>
        </w:rPr>
        <w:instrText xml:space="preserve"> \* MERGEFORMAT </w:instrText>
      </w:r>
      <w:r w:rsidRPr="004B60F5">
        <w:rPr>
          <w:color w:val="000000"/>
          <w:szCs w:val="24"/>
        </w:rPr>
      </w:r>
      <w:r w:rsidRPr="004B60F5">
        <w:rPr>
          <w:color w:val="000000"/>
          <w:szCs w:val="24"/>
        </w:rPr>
        <w:fldChar w:fldCharType="separate"/>
      </w:r>
      <w:r w:rsidRPr="004B60F5">
        <w:rPr>
          <w:color w:val="000000"/>
          <w:szCs w:val="24"/>
        </w:rPr>
        <w:t>4.1.3.1</w:t>
      </w:r>
      <w:r w:rsidRPr="004B60F5">
        <w:rPr>
          <w:color w:val="000000"/>
          <w:szCs w:val="24"/>
        </w:rPr>
        <w:fldChar w:fldCharType="end"/>
      </w:r>
      <w:r w:rsidRPr="004B60F5">
        <w:rPr>
          <w:color w:val="000000"/>
          <w:szCs w:val="24"/>
        </w:rPr>
        <w:t xml:space="preserve">. </w:t>
      </w:r>
    </w:p>
    <w:p w14:paraId="66915866" w14:textId="1A9F7971" w:rsidR="00C8264D" w:rsidRPr="006F07A5" w:rsidRDefault="00C8264D" w:rsidP="00574EDE">
      <w:pPr>
        <w:pStyle w:val="Heading4"/>
      </w:pPr>
      <w:bookmarkStart w:id="321" w:name="_Ref258486801"/>
      <w:bookmarkStart w:id="322" w:name="_Toc258924835"/>
      <w:bookmarkStart w:id="323" w:name="_Toc263173258"/>
      <w:bookmarkStart w:id="324" w:name="_Toc263174162"/>
      <w:bookmarkStart w:id="325" w:name="_Toc263235061"/>
      <w:bookmarkStart w:id="326" w:name="_Toc263235704"/>
      <w:bookmarkStart w:id="327" w:name="_Toc263429384"/>
      <w:bookmarkStart w:id="328" w:name="_Toc263795408"/>
      <w:bookmarkStart w:id="329" w:name="_Toc266869596"/>
      <w:bookmarkStart w:id="330" w:name="_Toc213771788"/>
      <w:r w:rsidRPr="006F07A5">
        <w:t>Reserve Zone Requirements</w:t>
      </w:r>
      <w:bookmarkEnd w:id="321"/>
      <w:bookmarkEnd w:id="322"/>
      <w:bookmarkEnd w:id="323"/>
      <w:bookmarkEnd w:id="324"/>
      <w:bookmarkEnd w:id="325"/>
      <w:bookmarkEnd w:id="326"/>
      <w:bookmarkEnd w:id="327"/>
      <w:bookmarkEnd w:id="328"/>
      <w:bookmarkEnd w:id="329"/>
      <w:bookmarkEnd w:id="330"/>
    </w:p>
    <w:p w14:paraId="70F9247B" w14:textId="77777777" w:rsidR="00C8264D" w:rsidRPr="006F07A5" w:rsidRDefault="00C8264D" w:rsidP="00C8264D">
      <w:pPr>
        <w:spacing w:before="120" w:line="300" w:lineRule="auto"/>
        <w:rPr>
          <w:szCs w:val="24"/>
        </w:rPr>
      </w:pPr>
      <w:r w:rsidRPr="006F07A5">
        <w:rPr>
          <w:szCs w:val="24"/>
        </w:rPr>
        <w:t xml:space="preserve">Reserve Zone </w:t>
      </w:r>
      <w:r>
        <w:rPr>
          <w:szCs w:val="24"/>
        </w:rPr>
        <w:t>requirements</w:t>
      </w:r>
      <w:r w:rsidRPr="006F07A5">
        <w:rPr>
          <w:szCs w:val="24"/>
        </w:rPr>
        <w:t xml:space="preserve"> are </w:t>
      </w:r>
      <w:r>
        <w:rPr>
          <w:szCs w:val="24"/>
        </w:rPr>
        <w:t>established</w:t>
      </w:r>
      <w:r w:rsidRPr="006F07A5">
        <w:rPr>
          <w:szCs w:val="24"/>
        </w:rPr>
        <w:t xml:space="preserve"> on a daily basis to determine each Reserve Zone’s minimum and maximum Flexibility Reserve Products requirements.  A base case is produced using RTBM Resource Offer data to produce a Resource commitment and dispatch with all applicable transmission constraints activated.  Using this base case, Reserve Zone studies are performed as follows.</w:t>
      </w:r>
    </w:p>
    <w:p w14:paraId="20F98450" w14:textId="77777777" w:rsidR="00C8264D" w:rsidRPr="006F07A5" w:rsidRDefault="00C8264D" w:rsidP="00574654">
      <w:pPr>
        <w:pStyle w:val="Heading5"/>
      </w:pPr>
      <w:bookmarkStart w:id="331" w:name="_Toc263173259"/>
      <w:bookmarkStart w:id="332" w:name="_Toc263795409"/>
      <w:bookmarkStart w:id="333" w:name="_Toc213771789"/>
      <w:r w:rsidRPr="006F07A5">
        <w:t>Minimum Reserve Zone Flexibility Reserve Product</w:t>
      </w:r>
      <w:r>
        <w:t>s</w:t>
      </w:r>
      <w:r w:rsidRPr="006F07A5">
        <w:t xml:space="preserve"> Requirements</w:t>
      </w:r>
      <w:bookmarkEnd w:id="331"/>
      <w:bookmarkEnd w:id="332"/>
      <w:bookmarkEnd w:id="333"/>
    </w:p>
    <w:p w14:paraId="1F55ADD5" w14:textId="77777777" w:rsidR="00C8264D" w:rsidRPr="006F07A5" w:rsidRDefault="00C8264D" w:rsidP="00C8264D">
      <w:pPr>
        <w:spacing w:before="120" w:line="300" w:lineRule="auto"/>
        <w:rPr>
          <w:szCs w:val="24"/>
        </w:rPr>
      </w:pPr>
      <w:r w:rsidRPr="006F07A5">
        <w:rPr>
          <w:szCs w:val="24"/>
        </w:rPr>
        <w:t xml:space="preserve">Using this base case commitment and dispatch, the loss of the </w:t>
      </w:r>
      <w:r>
        <w:rPr>
          <w:szCs w:val="24"/>
        </w:rPr>
        <w:t xml:space="preserve">Reserve Zone’s portion of the Flexibility Reserve Products requirements </w:t>
      </w:r>
      <w:r w:rsidRPr="006F07A5">
        <w:rPr>
          <w:szCs w:val="24"/>
        </w:rPr>
        <w:t xml:space="preserve">is simulated for each Reserve Zone and the unused physical import capability is assessed.  </w:t>
      </w:r>
    </w:p>
    <w:p w14:paraId="34FA83C5" w14:textId="77777777" w:rsidR="00C8264D" w:rsidRPr="006F07A5" w:rsidRDefault="00C8264D" w:rsidP="00C35DA0">
      <w:pPr>
        <w:numPr>
          <w:ilvl w:val="2"/>
          <w:numId w:val="28"/>
        </w:numPr>
        <w:spacing w:before="120" w:line="300" w:lineRule="auto"/>
        <w:ind w:left="720" w:hanging="540"/>
        <w:rPr>
          <w:szCs w:val="24"/>
        </w:rPr>
      </w:pPr>
      <w:r w:rsidRPr="006F07A5">
        <w:rPr>
          <w:bCs/>
          <w:szCs w:val="24"/>
        </w:rPr>
        <w:t>Power Transfer Distribution Factor (PTDF) interface flowgates for the import/export study will use appropriate ratings that do not reflect additional protection for transmission contingencies.</w:t>
      </w:r>
    </w:p>
    <w:p w14:paraId="099DE9AC" w14:textId="49993E13" w:rsidR="00C8264D" w:rsidRPr="006F07A5" w:rsidRDefault="00C8264D" w:rsidP="00C35DA0">
      <w:pPr>
        <w:numPr>
          <w:ilvl w:val="2"/>
          <w:numId w:val="28"/>
        </w:numPr>
        <w:spacing w:before="120" w:line="300" w:lineRule="auto"/>
        <w:ind w:left="720" w:hanging="540"/>
        <w:rPr>
          <w:szCs w:val="24"/>
        </w:rPr>
      </w:pPr>
      <w:r w:rsidRPr="006F07A5">
        <w:rPr>
          <w:szCs w:val="24"/>
        </w:rPr>
        <w:t>If unused physical import capability, including capability set aside to protect against instability, uncontrolled separation, or cascading outages equals or exceeds the</w:t>
      </w:r>
      <w:r>
        <w:rPr>
          <w:szCs w:val="24"/>
        </w:rPr>
        <w:t xml:space="preserve"> Reserve Zone’s portion of the Flexibility Reserve Products requirements</w:t>
      </w:r>
      <w:r w:rsidRPr="006F07A5">
        <w:rPr>
          <w:szCs w:val="24"/>
        </w:rPr>
        <w:t>, then Reserve Zone minimum is equal to zero</w:t>
      </w:r>
      <w:r>
        <w:rPr>
          <w:szCs w:val="24"/>
        </w:rPr>
        <w:t xml:space="preserve"> (0)</w:t>
      </w:r>
      <w:r w:rsidRPr="006F07A5">
        <w:rPr>
          <w:szCs w:val="24"/>
        </w:rPr>
        <w:t>.</w:t>
      </w:r>
    </w:p>
    <w:p w14:paraId="0A1A1B71" w14:textId="77777777" w:rsidR="00C8264D" w:rsidRPr="006F07A5" w:rsidRDefault="00C8264D" w:rsidP="00C35DA0">
      <w:pPr>
        <w:numPr>
          <w:ilvl w:val="2"/>
          <w:numId w:val="28"/>
        </w:numPr>
        <w:spacing w:before="120" w:line="300" w:lineRule="auto"/>
        <w:ind w:left="720" w:hanging="540"/>
        <w:rPr>
          <w:szCs w:val="24"/>
        </w:rPr>
      </w:pPr>
      <w:r w:rsidRPr="006F07A5">
        <w:rPr>
          <w:szCs w:val="24"/>
        </w:rPr>
        <w:t xml:space="preserve">If unused physical import capability, including capability set aside to protect against instability, uncontrolled separation, or cascading outages is less than the </w:t>
      </w:r>
      <w:r>
        <w:rPr>
          <w:szCs w:val="24"/>
        </w:rPr>
        <w:t>Reserve Zone’s portion of the Flexibility Reserve Products requirements</w:t>
      </w:r>
      <w:r w:rsidRPr="006F07A5">
        <w:rPr>
          <w:szCs w:val="24"/>
        </w:rPr>
        <w:t>, then the Reserve Zone minimum Flexibility Reserve Products requirement is equal to the lesser of</w:t>
      </w:r>
      <w:r>
        <w:rPr>
          <w:szCs w:val="24"/>
        </w:rPr>
        <w:t>:</w:t>
      </w:r>
      <w:r w:rsidRPr="006F07A5">
        <w:rPr>
          <w:szCs w:val="24"/>
        </w:rPr>
        <w:t xml:space="preserve"> 1) the difference between the </w:t>
      </w:r>
      <w:r>
        <w:rPr>
          <w:szCs w:val="24"/>
        </w:rPr>
        <w:t xml:space="preserve">Reserve Zone’s portion of the Flexibility Reserve Products requirements </w:t>
      </w:r>
      <w:r w:rsidRPr="006F07A5">
        <w:rPr>
          <w:szCs w:val="24"/>
        </w:rPr>
        <w:t xml:space="preserve">and unused physical import capability or 2) the difference between the Reserve Zone load and physical import capability.  </w:t>
      </w:r>
    </w:p>
    <w:p w14:paraId="269B7B1F" w14:textId="77777777" w:rsidR="00C8264D" w:rsidRPr="006F07A5" w:rsidRDefault="00C8264D" w:rsidP="00C35DA0">
      <w:pPr>
        <w:numPr>
          <w:ilvl w:val="2"/>
          <w:numId w:val="28"/>
        </w:numPr>
        <w:spacing w:before="120" w:line="300" w:lineRule="auto"/>
        <w:ind w:left="720" w:hanging="540"/>
        <w:rPr>
          <w:szCs w:val="24"/>
        </w:rPr>
      </w:pPr>
      <w:r w:rsidRPr="006F07A5">
        <w:rPr>
          <w:szCs w:val="24"/>
        </w:rPr>
        <w:t>The Reserve Zone minimum Flexibility Reserve Products requirement can be met through clearing of the most economic combination of Flexibility Reserve Products that is available on Resources located within the Reserve Zone.</w:t>
      </w:r>
    </w:p>
    <w:p w14:paraId="35CF0929" w14:textId="77777777" w:rsidR="00C8264D" w:rsidRPr="006F07A5" w:rsidRDefault="00C8264D" w:rsidP="00574654">
      <w:pPr>
        <w:pStyle w:val="Heading5"/>
      </w:pPr>
      <w:bookmarkStart w:id="334" w:name="_Toc263173260"/>
      <w:bookmarkStart w:id="335" w:name="_Toc263795410"/>
      <w:bookmarkStart w:id="336" w:name="_Toc213771790"/>
      <w:r w:rsidRPr="006F07A5">
        <w:t>Maximum Reserve Zone Flexibility</w:t>
      </w:r>
      <w:r w:rsidRPr="006F07A5" w:rsidDel="00EA3335">
        <w:t xml:space="preserve"> </w:t>
      </w:r>
      <w:r w:rsidRPr="006F07A5">
        <w:t xml:space="preserve">Reserve Products </w:t>
      </w:r>
      <w:bookmarkEnd w:id="334"/>
      <w:bookmarkEnd w:id="335"/>
      <w:r w:rsidRPr="006F07A5">
        <w:t>Limitations</w:t>
      </w:r>
      <w:bookmarkEnd w:id="336"/>
    </w:p>
    <w:p w14:paraId="629F4CDF" w14:textId="29589279" w:rsidR="00C8264D" w:rsidRPr="006F07A5" w:rsidRDefault="00C8264D" w:rsidP="00C8264D">
      <w:pPr>
        <w:spacing w:before="120" w:line="300" w:lineRule="auto"/>
        <w:rPr>
          <w:szCs w:val="24"/>
        </w:rPr>
      </w:pPr>
      <w:r w:rsidRPr="006F07A5">
        <w:rPr>
          <w:szCs w:val="24"/>
        </w:rPr>
        <w:t xml:space="preserve">Using the base case commitment and dispatch, </w:t>
      </w:r>
      <w:r>
        <w:rPr>
          <w:szCs w:val="24"/>
        </w:rPr>
        <w:t xml:space="preserve">the Market Operator will </w:t>
      </w:r>
      <w:r w:rsidRPr="006F07A5">
        <w:rPr>
          <w:szCs w:val="24"/>
        </w:rPr>
        <w:t xml:space="preserve">simulate the loss of the </w:t>
      </w:r>
      <w:r>
        <w:rPr>
          <w:szCs w:val="24"/>
        </w:rPr>
        <w:t xml:space="preserve">Reserve Zone’s portion of the Flexibility Reserve Products requirements </w:t>
      </w:r>
      <w:r w:rsidRPr="006F07A5">
        <w:rPr>
          <w:szCs w:val="24"/>
        </w:rPr>
        <w:t>in one</w:t>
      </w:r>
      <w:r w:rsidR="00F47513">
        <w:rPr>
          <w:szCs w:val="24"/>
        </w:rPr>
        <w:t xml:space="preserve"> (1)</w:t>
      </w:r>
      <w:r w:rsidRPr="006F07A5">
        <w:rPr>
          <w:szCs w:val="24"/>
        </w:rPr>
        <w:t xml:space="preserve"> Reserve Zone and assess the export capability in remaining Reserve Zones.  </w:t>
      </w:r>
    </w:p>
    <w:p w14:paraId="14550532" w14:textId="77777777" w:rsidR="00C8264D" w:rsidRPr="006F07A5" w:rsidRDefault="00C8264D" w:rsidP="00C35DA0">
      <w:pPr>
        <w:numPr>
          <w:ilvl w:val="2"/>
          <w:numId w:val="30"/>
        </w:numPr>
        <w:spacing w:before="120" w:line="300" w:lineRule="auto"/>
        <w:ind w:left="720" w:hanging="540"/>
        <w:rPr>
          <w:szCs w:val="24"/>
        </w:rPr>
      </w:pPr>
      <w:r w:rsidRPr="006F07A5">
        <w:rPr>
          <w:bCs/>
          <w:szCs w:val="24"/>
        </w:rPr>
        <w:t>Aggregate and proxy PTDF flowgates for the import/export study will use appropriate ratings that do not reflect additional protection for transmission contingencies.</w:t>
      </w:r>
    </w:p>
    <w:p w14:paraId="1CB4FE26" w14:textId="77777777" w:rsidR="00C8264D" w:rsidRPr="006F07A5" w:rsidRDefault="00C8264D" w:rsidP="00C35DA0">
      <w:pPr>
        <w:numPr>
          <w:ilvl w:val="2"/>
          <w:numId w:val="30"/>
        </w:numPr>
        <w:spacing w:before="120" w:line="300" w:lineRule="auto"/>
        <w:ind w:left="720" w:hanging="540"/>
        <w:rPr>
          <w:szCs w:val="24"/>
        </w:rPr>
      </w:pPr>
      <w:r w:rsidRPr="006F07A5">
        <w:t>A Reserve Zone maximum Flexibility Reserve Products limitation would be equal to the incremental export capability of the Reserve Zone without violating any system operating limits.</w:t>
      </w:r>
    </w:p>
    <w:p w14:paraId="6686A702" w14:textId="62CAD37A" w:rsidR="00C8264D" w:rsidRPr="006F07A5" w:rsidRDefault="007E2F78" w:rsidP="00C35DA0">
      <w:pPr>
        <w:numPr>
          <w:ilvl w:val="2"/>
          <w:numId w:val="30"/>
        </w:numPr>
        <w:spacing w:before="120" w:line="300" w:lineRule="auto"/>
        <w:ind w:left="720" w:hanging="540"/>
        <w:rPr>
          <w:szCs w:val="24"/>
        </w:rPr>
      </w:pPr>
      <w:r>
        <w:rPr>
          <w:szCs w:val="24"/>
        </w:rPr>
        <w:t>A</w:t>
      </w:r>
      <w:r w:rsidR="00C8264D" w:rsidRPr="006F07A5">
        <w:rPr>
          <w:szCs w:val="24"/>
        </w:rPr>
        <w:t xml:space="preserve"> Reserve Zone maximum Flexibility Reserve Products limitation can be met through clearing of the most economic combination of Flexibility Reserve Products that is available on Resources located within the Reserve Zone. </w:t>
      </w:r>
    </w:p>
    <w:p w14:paraId="56C1E233" w14:textId="77777777" w:rsidR="00C8264D" w:rsidRPr="006F07A5" w:rsidRDefault="00C8264D" w:rsidP="00574654">
      <w:pPr>
        <w:pStyle w:val="Heading5"/>
      </w:pPr>
      <w:bookmarkStart w:id="337" w:name="_Toc213771791"/>
      <w:r w:rsidRPr="006F07A5">
        <w:t>Instantaneous Load Capacity Requirements</w:t>
      </w:r>
      <w:bookmarkEnd w:id="337"/>
    </w:p>
    <w:p w14:paraId="670F9CA3" w14:textId="4AC5CEA3" w:rsidR="00C8264D" w:rsidRPr="006F07A5" w:rsidRDefault="00C8264D" w:rsidP="00C8264D">
      <w:pPr>
        <w:spacing w:before="120" w:line="300" w:lineRule="auto"/>
        <w:rPr>
          <w:szCs w:val="24"/>
        </w:rPr>
      </w:pPr>
      <w:r w:rsidRPr="006F07A5">
        <w:rPr>
          <w:szCs w:val="24"/>
        </w:rPr>
        <w:t xml:space="preserve">For Day-Ahead Market and RUC, which </w:t>
      </w:r>
      <w:r w:rsidRPr="1890B07A">
        <w:rPr>
          <w:szCs w:val="24"/>
        </w:rPr>
        <w:t>require</w:t>
      </w:r>
      <w:r w:rsidRPr="006F07A5">
        <w:rPr>
          <w:szCs w:val="24"/>
        </w:rPr>
        <w:t xml:space="preserve"> hourly load granularity, Instantaneous Load Capacity</w:t>
      </w:r>
      <w:r w:rsidRPr="006F07A5" w:rsidDel="006F07A5">
        <w:rPr>
          <w:szCs w:val="24"/>
        </w:rPr>
        <w:t xml:space="preserve"> </w:t>
      </w:r>
      <w:r w:rsidRPr="006F07A5">
        <w:rPr>
          <w:szCs w:val="24"/>
        </w:rPr>
        <w:t xml:space="preserve">requirements represent the needed </w:t>
      </w:r>
      <w:r w:rsidR="00E05258">
        <w:rPr>
          <w:szCs w:val="24"/>
        </w:rPr>
        <w:t>R</w:t>
      </w:r>
      <w:r w:rsidRPr="006F07A5">
        <w:rPr>
          <w:szCs w:val="24"/>
        </w:rPr>
        <w:t>eal-</w:t>
      </w:r>
      <w:r w:rsidR="00E05258">
        <w:rPr>
          <w:szCs w:val="24"/>
        </w:rPr>
        <w:t>T</w:t>
      </w:r>
      <w:r w:rsidRPr="006F07A5">
        <w:rPr>
          <w:szCs w:val="24"/>
        </w:rPr>
        <w:t xml:space="preserve">ime online capacity to address intra-hour load changes within the interval.  For example, during morning load pickup, the end-of-hour capacity requirements may be much greater than the average load forecast.  If Resources were committed only for the average load for the interval, the online capacity at the end of the morning load pickup hour may be insufficient to support reliable Real-Time operations.  </w:t>
      </w:r>
      <w:r>
        <w:rPr>
          <w:szCs w:val="24"/>
        </w:rPr>
        <w:t>T</w:t>
      </w:r>
      <w:r>
        <w:rPr>
          <w:color w:val="000000"/>
          <w:szCs w:val="24"/>
        </w:rPr>
        <w:t>he Market Operator</w:t>
      </w:r>
      <w:r w:rsidRPr="007A1E40">
        <w:rPr>
          <w:color w:val="000000"/>
          <w:szCs w:val="24"/>
        </w:rPr>
        <w:t xml:space="preserve"> </w:t>
      </w:r>
      <w:r w:rsidRPr="006F07A5">
        <w:rPr>
          <w:szCs w:val="24"/>
        </w:rPr>
        <w:t xml:space="preserve">calculates the Instantaneous Load Capacity requirements for the interval using </w:t>
      </w:r>
      <w:r>
        <w:rPr>
          <w:color w:val="000000"/>
          <w:szCs w:val="24"/>
        </w:rPr>
        <w:t>the Market Operator’s</w:t>
      </w:r>
      <w:r w:rsidRPr="007A1E40">
        <w:rPr>
          <w:color w:val="000000"/>
          <w:szCs w:val="24"/>
        </w:rPr>
        <w:t xml:space="preserve"> </w:t>
      </w:r>
      <w:r w:rsidRPr="006F07A5">
        <w:rPr>
          <w:szCs w:val="24"/>
        </w:rPr>
        <w:t xml:space="preserve">Load Forecast and expected </w:t>
      </w:r>
      <w:r w:rsidR="00220049">
        <w:rPr>
          <w:szCs w:val="24"/>
        </w:rPr>
        <w:t>R</w:t>
      </w:r>
      <w:r w:rsidRPr="006F07A5">
        <w:rPr>
          <w:szCs w:val="24"/>
        </w:rPr>
        <w:t>eal-</w:t>
      </w:r>
      <w:r w:rsidR="00220049">
        <w:rPr>
          <w:szCs w:val="24"/>
        </w:rPr>
        <w:t>T</w:t>
      </w:r>
      <w:r w:rsidRPr="006F07A5">
        <w:rPr>
          <w:szCs w:val="24"/>
        </w:rPr>
        <w:t xml:space="preserve">ime instantaneous peak load for the interval.  </w:t>
      </w:r>
      <w:r>
        <w:rPr>
          <w:color w:val="000000"/>
          <w:szCs w:val="24"/>
        </w:rPr>
        <w:t>The Market Operator</w:t>
      </w:r>
      <w:r w:rsidRPr="007A1E40">
        <w:rPr>
          <w:color w:val="000000"/>
          <w:szCs w:val="24"/>
        </w:rPr>
        <w:t xml:space="preserve"> </w:t>
      </w:r>
      <w:r w:rsidRPr="006F07A5">
        <w:rPr>
          <w:szCs w:val="24"/>
        </w:rPr>
        <w:t xml:space="preserve">may include up to 100% of the calculated Instantaneous Load Capacity requirements as an input into the Day-Ahead Market and may include 100% of the calculated Instantaneous Load Capacity requirements in all RUC processes.  </w:t>
      </w:r>
      <w:r>
        <w:rPr>
          <w:color w:val="000000"/>
          <w:szCs w:val="24"/>
        </w:rPr>
        <w:t>The Market Operator</w:t>
      </w:r>
      <w:r w:rsidRPr="007A1E40">
        <w:rPr>
          <w:color w:val="000000"/>
          <w:szCs w:val="24"/>
        </w:rPr>
        <w:t xml:space="preserve"> </w:t>
      </w:r>
      <w:r w:rsidRPr="006F07A5">
        <w:rPr>
          <w:szCs w:val="24"/>
        </w:rPr>
        <w:t xml:space="preserve">will make available to Market Participants </w:t>
      </w:r>
      <w:r>
        <w:rPr>
          <w:szCs w:val="24"/>
        </w:rPr>
        <w:t>on the Markets+ Portal</w:t>
      </w:r>
      <w:r w:rsidRPr="006F07A5">
        <w:rPr>
          <w:szCs w:val="24"/>
        </w:rPr>
        <w:t xml:space="preserve"> the MW volume of Instantaneous Load Capacity utilized as an input for each hour of the Day-Ahead Market and RUC process.</w:t>
      </w:r>
    </w:p>
    <w:p w14:paraId="5CF8F872" w14:textId="6ED2B7D6" w:rsidR="00C8264D" w:rsidRPr="006F07A5" w:rsidRDefault="00C8264D" w:rsidP="00C8264D">
      <w:pPr>
        <w:spacing w:before="120" w:line="300" w:lineRule="auto"/>
        <w:ind w:left="720" w:hanging="540"/>
      </w:pPr>
      <w:r w:rsidRPr="006F07A5">
        <w:rPr>
          <w:bCs/>
        </w:rPr>
        <w:t xml:space="preserve"> (1)</w:t>
      </w:r>
      <w:r w:rsidRPr="006F07A5">
        <w:rPr>
          <w:bCs/>
        </w:rPr>
        <w:tab/>
      </w:r>
      <w:r w:rsidRPr="006F07A5">
        <w:t xml:space="preserve">The upper bound of the Instantaneous Load Capacity requirement for an interval is equal to the maximum of: (i) the difference between the expected instantaneous load at the beginning of the interval and expected average load in the interval; (ii) the difference between the expected instantaneous load at the end of the interval and the expected average load in the interval; or (iii) the minimum upper bound of the Instantaneous Load Capacity requirement.  </w:t>
      </w:r>
      <w:r>
        <w:t>T</w:t>
      </w:r>
      <w:r>
        <w:rPr>
          <w:color w:val="000000"/>
          <w:szCs w:val="24"/>
        </w:rPr>
        <w:t>he Market Operator</w:t>
      </w:r>
      <w:r w:rsidRPr="007A1E40">
        <w:rPr>
          <w:color w:val="000000"/>
          <w:szCs w:val="24"/>
        </w:rPr>
        <w:t xml:space="preserve"> </w:t>
      </w:r>
      <w:r w:rsidRPr="006F07A5">
        <w:t xml:space="preserve">may reduce the Instantaneous Load Capacity requirement calculated above as operational experience dictates </w:t>
      </w:r>
      <w:r w:rsidRPr="006F07A5" w:rsidDel="0046151A">
        <w:t>and/or</w:t>
      </w:r>
      <w:r w:rsidRPr="006F07A5">
        <w:t xml:space="preserve"> to account for differences between offered Day-Ahead Market Resources and those available in the RUC processes. </w:t>
      </w:r>
    </w:p>
    <w:p w14:paraId="56602872" w14:textId="4863B481" w:rsidR="00C8264D" w:rsidRDefault="00C8264D" w:rsidP="00C8264D">
      <w:pPr>
        <w:spacing w:before="120" w:line="300" w:lineRule="auto"/>
        <w:ind w:left="720" w:hanging="540"/>
      </w:pPr>
      <w:r w:rsidRPr="006F07A5" w:rsidDel="008C41A4">
        <w:t xml:space="preserve"> </w:t>
      </w:r>
      <w:r w:rsidRPr="006F07A5">
        <w:t>(2)</w:t>
      </w:r>
      <w:r w:rsidRPr="006F07A5">
        <w:tab/>
        <w:t xml:space="preserve">The lower bound of the Instantaneous Load Capacity requirement for an interval is equal to the maximum of: (i) the difference between the expected average load in the interval and the expected instantaneous load at the beginning of the interval; (ii) the difference between the expected average load in the interval and the expected instantaneous load at the end of the interval; or (iii) the minimum lower bound of the Instantaneous Load Capacity requirement. </w:t>
      </w:r>
      <w:r>
        <w:rPr>
          <w:color w:val="000000"/>
          <w:szCs w:val="24"/>
        </w:rPr>
        <w:t>The Market Operator</w:t>
      </w:r>
      <w:r w:rsidRPr="007A1E40">
        <w:rPr>
          <w:color w:val="000000"/>
          <w:szCs w:val="24"/>
        </w:rPr>
        <w:t xml:space="preserve"> </w:t>
      </w:r>
      <w:r w:rsidRPr="006F07A5">
        <w:t xml:space="preserve">may reduce the Instantaneous Load Capacity requirement calculated above as operational experience dictates </w:t>
      </w:r>
      <w:r w:rsidRPr="006F07A5" w:rsidDel="0046151A">
        <w:t>and/or</w:t>
      </w:r>
      <w:r w:rsidRPr="006F07A5">
        <w:t xml:space="preserve"> to account for differences between offered Day-Ahead Market Resources and those available in the RUC processes.</w:t>
      </w:r>
    </w:p>
    <w:p w14:paraId="0EED797A" w14:textId="77777777" w:rsidR="00C8264D" w:rsidRDefault="00C8264D" w:rsidP="00C8264D">
      <w:pPr>
        <w:spacing w:line="300" w:lineRule="auto"/>
        <w:rPr>
          <w:bCs/>
        </w:rPr>
      </w:pPr>
      <w:r w:rsidRPr="006F07A5">
        <w:rPr>
          <w:bCs/>
        </w:rPr>
        <w:t xml:space="preserve">The expected instantaneous load at the beginning of the interval is the midpoint between (i) the forecasted load for the previous interval and (ii) the forecasted load for the current interval.  The expected instantaneous load at the end of the interval is the midpoint between (i) the forecasted load for the current interval and (ii) the </w:t>
      </w:r>
      <w:r w:rsidRPr="006F07A5" w:rsidDel="00E96825">
        <w:rPr>
          <w:bCs/>
        </w:rPr>
        <w:t xml:space="preserve">forecasted </w:t>
      </w:r>
      <w:r w:rsidRPr="006F07A5">
        <w:rPr>
          <w:bCs/>
        </w:rPr>
        <w:t xml:space="preserve">load for the next interval. </w:t>
      </w:r>
    </w:p>
    <w:p w14:paraId="4759F1B2" w14:textId="519DD619" w:rsidR="00C8264D" w:rsidRDefault="00C8264D" w:rsidP="00C8264D">
      <w:pPr>
        <w:spacing w:line="300" w:lineRule="auto"/>
        <w:rPr>
          <w:bCs/>
        </w:rPr>
      </w:pPr>
      <w:r>
        <w:rPr>
          <w:bCs/>
        </w:rPr>
        <w:t xml:space="preserve">Per </w:t>
      </w:r>
      <w:r w:rsidR="00A013FA">
        <w:rPr>
          <w:bCs/>
        </w:rPr>
        <w:t>Exhibit 4-1</w:t>
      </w:r>
      <w:r>
        <w:rPr>
          <w:bCs/>
        </w:rPr>
        <w:t xml:space="preserve"> below, the </w:t>
      </w:r>
      <w:r w:rsidR="000B1843">
        <w:rPr>
          <w:bCs/>
        </w:rPr>
        <w:t xml:space="preserve">Instantaneous </w:t>
      </w:r>
      <w:r>
        <w:rPr>
          <w:bCs/>
        </w:rPr>
        <w:t>L</w:t>
      </w:r>
      <w:r w:rsidR="000B1843">
        <w:rPr>
          <w:bCs/>
        </w:rPr>
        <w:t xml:space="preserve">oad </w:t>
      </w:r>
      <w:r>
        <w:rPr>
          <w:bCs/>
        </w:rPr>
        <w:t>C</w:t>
      </w:r>
      <w:r w:rsidR="000B1843">
        <w:rPr>
          <w:bCs/>
        </w:rPr>
        <w:t>apacity</w:t>
      </w:r>
      <w:r>
        <w:rPr>
          <w:bCs/>
        </w:rPr>
        <w:t xml:space="preserve"> upper bound from</w:t>
      </w:r>
      <w:r w:rsidR="000B1843">
        <w:rPr>
          <w:bCs/>
        </w:rPr>
        <w:t xml:space="preserve"> </w:t>
      </w:r>
      <w:r>
        <w:rPr>
          <w:bCs/>
        </w:rPr>
        <w:t>10:00 to 11:00 interval would be the difference between 10,200</w:t>
      </w:r>
      <w:r w:rsidR="00E74389">
        <w:rPr>
          <w:bCs/>
        </w:rPr>
        <w:t xml:space="preserve"> </w:t>
      </w:r>
      <w:r>
        <w:rPr>
          <w:bCs/>
        </w:rPr>
        <w:t>MW</w:t>
      </w:r>
      <w:r w:rsidR="00E74389">
        <w:rPr>
          <w:bCs/>
        </w:rPr>
        <w:t xml:space="preserve"> </w:t>
      </w:r>
      <w:r>
        <w:rPr>
          <w:bCs/>
        </w:rPr>
        <w:t>-10,000</w:t>
      </w:r>
      <w:r w:rsidR="00E74389">
        <w:rPr>
          <w:bCs/>
        </w:rPr>
        <w:t xml:space="preserve"> </w:t>
      </w:r>
      <w:r>
        <w:rPr>
          <w:bCs/>
        </w:rPr>
        <w:t>MW divided by 2, or 100</w:t>
      </w:r>
      <w:r w:rsidR="00E74389">
        <w:rPr>
          <w:bCs/>
        </w:rPr>
        <w:t xml:space="preserve"> </w:t>
      </w:r>
      <w:r>
        <w:rPr>
          <w:bCs/>
        </w:rPr>
        <w:t>MW. For the lower bound from 11:00</w:t>
      </w:r>
      <w:r w:rsidR="00E74389">
        <w:rPr>
          <w:bCs/>
        </w:rPr>
        <w:t xml:space="preserve"> to </w:t>
      </w:r>
      <w:r>
        <w:rPr>
          <w:bCs/>
        </w:rPr>
        <w:t>12:00 interval would be 10,200</w:t>
      </w:r>
      <w:r w:rsidR="00E74389">
        <w:rPr>
          <w:bCs/>
        </w:rPr>
        <w:t xml:space="preserve"> </w:t>
      </w:r>
      <w:r>
        <w:rPr>
          <w:bCs/>
        </w:rPr>
        <w:t>MW -</w:t>
      </w:r>
      <w:r w:rsidR="00E74389">
        <w:rPr>
          <w:bCs/>
        </w:rPr>
        <w:t xml:space="preserve"> </w:t>
      </w:r>
      <w:r>
        <w:rPr>
          <w:bCs/>
        </w:rPr>
        <w:t>10,000</w:t>
      </w:r>
      <w:r w:rsidR="00E74389">
        <w:rPr>
          <w:bCs/>
        </w:rPr>
        <w:t xml:space="preserve"> </w:t>
      </w:r>
      <w:r>
        <w:rPr>
          <w:bCs/>
        </w:rPr>
        <w:t>MW divided by 2, or 100 MW.</w:t>
      </w:r>
    </w:p>
    <w:p w14:paraId="359BBDE5" w14:textId="1CCE79C7" w:rsidR="00C731F4" w:rsidRPr="006F07A5" w:rsidRDefault="00C731F4" w:rsidP="00871461">
      <w:pPr>
        <w:keepNext/>
        <w:spacing w:after="0"/>
        <w:jc w:val="center"/>
        <w:rPr>
          <w:b/>
          <w:szCs w:val="24"/>
        </w:rPr>
      </w:pPr>
      <w:bookmarkStart w:id="338" w:name="_Toc213772416"/>
      <w:r w:rsidRPr="006F07A5">
        <w:rPr>
          <w:b/>
          <w:szCs w:val="24"/>
        </w:rPr>
        <w:t xml:space="preserve">Exhibit </w:t>
      </w:r>
      <w:r w:rsidRPr="006F07A5">
        <w:rPr>
          <w:b/>
          <w:color w:val="2B579A"/>
          <w:szCs w:val="24"/>
          <w:shd w:val="clear" w:color="auto" w:fill="E6E6E6"/>
        </w:rPr>
        <w:fldChar w:fldCharType="begin"/>
      </w:r>
      <w:r w:rsidRPr="006F07A5">
        <w:rPr>
          <w:b/>
          <w:szCs w:val="24"/>
        </w:rPr>
        <w:instrText xml:space="preserve"> STYLEREF 1 \s </w:instrText>
      </w:r>
      <w:r w:rsidRPr="006F07A5">
        <w:rPr>
          <w:b/>
          <w:color w:val="2B579A"/>
          <w:szCs w:val="24"/>
          <w:shd w:val="clear" w:color="auto" w:fill="E6E6E6"/>
        </w:rPr>
        <w:fldChar w:fldCharType="separate"/>
      </w:r>
      <w:r w:rsidRPr="006F07A5">
        <w:rPr>
          <w:b/>
          <w:noProof/>
          <w:szCs w:val="24"/>
        </w:rPr>
        <w:t>4</w:t>
      </w:r>
      <w:r w:rsidRPr="006F07A5">
        <w:rPr>
          <w:b/>
          <w:color w:val="2B579A"/>
          <w:szCs w:val="24"/>
          <w:shd w:val="clear" w:color="auto" w:fill="E6E6E6"/>
        </w:rPr>
        <w:fldChar w:fldCharType="end"/>
      </w:r>
      <w:r w:rsidRPr="006F07A5">
        <w:rPr>
          <w:b/>
          <w:szCs w:val="24"/>
        </w:rPr>
        <w:noBreakHyphen/>
      </w:r>
      <w:r w:rsidRPr="006F07A5">
        <w:rPr>
          <w:b/>
          <w:color w:val="2B579A"/>
          <w:szCs w:val="24"/>
          <w:shd w:val="clear" w:color="auto" w:fill="E6E6E6"/>
        </w:rPr>
        <w:fldChar w:fldCharType="begin"/>
      </w:r>
      <w:r w:rsidRPr="006F07A5">
        <w:rPr>
          <w:b/>
          <w:szCs w:val="24"/>
        </w:rPr>
        <w:instrText xml:space="preserve"> SEQ Exhibit \* ARABIC \s 1 </w:instrText>
      </w:r>
      <w:r w:rsidRPr="006F07A5">
        <w:rPr>
          <w:b/>
          <w:color w:val="2B579A"/>
          <w:szCs w:val="24"/>
          <w:shd w:val="clear" w:color="auto" w:fill="E6E6E6"/>
        </w:rPr>
        <w:fldChar w:fldCharType="separate"/>
      </w:r>
      <w:r w:rsidRPr="006F07A5">
        <w:rPr>
          <w:b/>
          <w:noProof/>
          <w:szCs w:val="24"/>
        </w:rPr>
        <w:t>1</w:t>
      </w:r>
      <w:r w:rsidRPr="006F07A5">
        <w:rPr>
          <w:b/>
          <w:color w:val="2B579A"/>
          <w:szCs w:val="24"/>
          <w:shd w:val="clear" w:color="auto" w:fill="E6E6E6"/>
        </w:rPr>
        <w:fldChar w:fldCharType="end"/>
      </w:r>
      <w:r w:rsidRPr="006F07A5">
        <w:rPr>
          <w:b/>
          <w:szCs w:val="24"/>
        </w:rPr>
        <w:t xml:space="preserve">: </w:t>
      </w:r>
      <w:r w:rsidRPr="00C731F4">
        <w:rPr>
          <w:b/>
          <w:szCs w:val="24"/>
        </w:rPr>
        <w:t>Instantaneous Load Capacity Example</w:t>
      </w:r>
      <w:bookmarkEnd w:id="338"/>
    </w:p>
    <w:p w14:paraId="11BA2FBD" w14:textId="77777777" w:rsidR="00C8264D" w:rsidRDefault="00C8264D" w:rsidP="00871461">
      <w:pPr>
        <w:spacing w:line="300" w:lineRule="auto"/>
        <w:jc w:val="center"/>
        <w:rPr>
          <w:bCs/>
        </w:rPr>
      </w:pPr>
      <w:r w:rsidRPr="0035502C">
        <w:rPr>
          <w:noProof/>
          <w:sz w:val="18"/>
          <w:szCs w:val="18"/>
        </w:rPr>
        <w:drawing>
          <wp:inline distT="0" distB="0" distL="0" distR="0" wp14:anchorId="172413D6" wp14:editId="5E19C757">
            <wp:extent cx="5114260" cy="3205885"/>
            <wp:effectExtent l="0" t="0" r="0" b="0"/>
            <wp:docPr id="57628012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0122" name="Picture 1"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6743" cy="3207441"/>
                    </a:xfrm>
                    <a:prstGeom prst="rect">
                      <a:avLst/>
                    </a:prstGeom>
                    <a:noFill/>
                    <a:ln>
                      <a:noFill/>
                    </a:ln>
                  </pic:spPr>
                </pic:pic>
              </a:graphicData>
            </a:graphic>
          </wp:inline>
        </w:drawing>
      </w:r>
    </w:p>
    <w:p w14:paraId="7FAE11AB" w14:textId="77777777" w:rsidR="00C8264D" w:rsidRPr="006F07A5" w:rsidRDefault="00C8264D" w:rsidP="00C8264D">
      <w:pPr>
        <w:spacing w:line="300" w:lineRule="auto"/>
      </w:pPr>
    </w:p>
    <w:p w14:paraId="53E8D4BE" w14:textId="77777777" w:rsidR="00C8264D" w:rsidRPr="006F07A5" w:rsidRDefault="00C8264D" w:rsidP="00C8264D">
      <w:pPr>
        <w:spacing w:line="300" w:lineRule="auto"/>
        <w:rPr>
          <w:bCs/>
        </w:rPr>
      </w:pPr>
    </w:p>
    <w:p w14:paraId="26364E2C" w14:textId="77777777" w:rsidR="00C8264D" w:rsidRDefault="00C8264D" w:rsidP="00C8264D">
      <w:pPr>
        <w:spacing w:line="300" w:lineRule="auto"/>
        <w:rPr>
          <w:bCs/>
        </w:rPr>
      </w:pPr>
      <w:r w:rsidRPr="006F07A5">
        <w:rPr>
          <w:bCs/>
        </w:rPr>
        <w:t xml:space="preserve">The minimum Instantaneous Load Capacity requirements will be determined by </w:t>
      </w:r>
      <w:r>
        <w:rPr>
          <w:color w:val="000000"/>
          <w:szCs w:val="24"/>
        </w:rPr>
        <w:t>the Market Operator</w:t>
      </w:r>
      <w:r w:rsidRPr="007A1E40">
        <w:rPr>
          <w:color w:val="000000"/>
          <w:szCs w:val="24"/>
        </w:rPr>
        <w:t xml:space="preserve"> </w:t>
      </w:r>
      <w:r w:rsidRPr="006F07A5">
        <w:rPr>
          <w:bCs/>
        </w:rPr>
        <w:t>based upon operating experience.  The Instantaneous Load Capacity requirements will be reviewed by the Market</w:t>
      </w:r>
      <w:r>
        <w:rPr>
          <w:bCs/>
        </w:rPr>
        <w:t>s+ Design</w:t>
      </w:r>
      <w:r w:rsidRPr="006F07A5">
        <w:rPr>
          <w:bCs/>
        </w:rPr>
        <w:t xml:space="preserve"> Working Group </w:t>
      </w:r>
      <w:r>
        <w:rPr>
          <w:bCs/>
        </w:rPr>
        <w:t>(MDWG)</w:t>
      </w:r>
      <w:r w:rsidRPr="006F07A5">
        <w:rPr>
          <w:bCs/>
        </w:rPr>
        <w:t xml:space="preserve"> quarterly and may be refined over time based </w:t>
      </w:r>
      <w:r>
        <w:rPr>
          <w:bCs/>
        </w:rPr>
        <w:t>on</w:t>
      </w:r>
      <w:r w:rsidRPr="006F07A5">
        <w:rPr>
          <w:bCs/>
        </w:rPr>
        <w:t xml:space="preserve"> the relationship between </w:t>
      </w:r>
      <w:r>
        <w:rPr>
          <w:color w:val="000000"/>
          <w:szCs w:val="24"/>
        </w:rPr>
        <w:t>the Market Operator’s</w:t>
      </w:r>
      <w:r w:rsidRPr="007A1E40">
        <w:rPr>
          <w:color w:val="000000"/>
          <w:szCs w:val="24"/>
        </w:rPr>
        <w:t xml:space="preserve"> </w:t>
      </w:r>
      <w:r w:rsidRPr="006F07A5">
        <w:rPr>
          <w:bCs/>
        </w:rPr>
        <w:t>Load Forecast average loads and observed instantaneous load values.</w:t>
      </w:r>
    </w:p>
    <w:p w14:paraId="1C9AEE14" w14:textId="77777777" w:rsidR="00C8264D" w:rsidRPr="00E811CF" w:rsidRDefault="00C8264D" w:rsidP="00C8264D">
      <w:pPr>
        <w:spacing w:line="300" w:lineRule="auto"/>
        <w:rPr>
          <w:sz w:val="18"/>
          <w:szCs w:val="18"/>
        </w:rPr>
      </w:pPr>
    </w:p>
    <w:p w14:paraId="7EAC3E64" w14:textId="77777777" w:rsidR="00C8264D" w:rsidRPr="006F07A5" w:rsidRDefault="00C8264D" w:rsidP="00574654">
      <w:pPr>
        <w:pStyle w:val="Heading5"/>
      </w:pPr>
      <w:bookmarkStart w:id="339" w:name="_Toc132640595"/>
      <w:bookmarkStart w:id="340" w:name="_Toc132966833"/>
      <w:bookmarkStart w:id="341" w:name="_Toc132977998"/>
      <w:bookmarkStart w:id="342" w:name="_Toc133401663"/>
      <w:bookmarkStart w:id="343" w:name="_Toc133658423"/>
      <w:bookmarkStart w:id="344" w:name="_Toc133931983"/>
      <w:bookmarkStart w:id="345" w:name="_Toc133933116"/>
      <w:bookmarkStart w:id="346" w:name="_Toc145061481"/>
      <w:bookmarkStart w:id="347" w:name="_Toc213771792"/>
      <w:bookmarkStart w:id="348" w:name="_Ref257896065"/>
      <w:bookmarkStart w:id="349" w:name="_Toc258924836"/>
      <w:bookmarkStart w:id="350" w:name="_Toc263173261"/>
      <w:bookmarkStart w:id="351" w:name="_Toc263173609"/>
      <w:bookmarkStart w:id="352" w:name="_Toc263173795"/>
      <w:bookmarkStart w:id="353" w:name="_Toc263174163"/>
      <w:bookmarkStart w:id="354" w:name="_Toc263235062"/>
      <w:bookmarkStart w:id="355" w:name="_Toc263235705"/>
      <w:bookmarkStart w:id="356" w:name="_Toc263429385"/>
      <w:bookmarkStart w:id="357" w:name="_Toc263795411"/>
      <w:bookmarkStart w:id="358" w:name="_Toc266869597"/>
      <w:bookmarkStart w:id="359" w:name="_Ref271183255"/>
      <w:bookmarkStart w:id="360" w:name="_Ref271189569"/>
      <w:bookmarkStart w:id="361" w:name="OLE_LINK215"/>
      <w:bookmarkStart w:id="362" w:name="OLE_LINK216"/>
      <w:bookmarkStart w:id="363" w:name="_Toc247270975"/>
      <w:r w:rsidRPr="006F07A5">
        <w:t>Short-Term Flexibility Product Requirements</w:t>
      </w:r>
      <w:bookmarkEnd w:id="339"/>
      <w:bookmarkEnd w:id="340"/>
      <w:bookmarkEnd w:id="341"/>
      <w:bookmarkEnd w:id="342"/>
      <w:bookmarkEnd w:id="343"/>
      <w:bookmarkEnd w:id="344"/>
      <w:bookmarkEnd w:id="345"/>
      <w:bookmarkEnd w:id="346"/>
      <w:bookmarkEnd w:id="347"/>
    </w:p>
    <w:p w14:paraId="30E28D52" w14:textId="69AA9DD7" w:rsidR="00C8264D" w:rsidRPr="006F07A5" w:rsidRDefault="00C8264D" w:rsidP="00C8264D">
      <w:pPr>
        <w:spacing w:line="300" w:lineRule="auto"/>
      </w:pPr>
      <w:r w:rsidRPr="006F07A5">
        <w:t xml:space="preserve">The Short-Term Flex Up requirements and Short-Term Flex </w:t>
      </w:r>
      <w:r w:rsidRPr="006F07A5" w:rsidDel="00683279">
        <w:t>Down</w:t>
      </w:r>
      <w:r w:rsidRPr="006F07A5">
        <w:t xml:space="preserve"> requirements represent the need for Resources with the ability to adjust their power outputs consistent with the Resource </w:t>
      </w:r>
      <w:r w:rsidRPr="006F07A5" w:rsidDel="00E96825">
        <w:t xml:space="preserve">limit </w:t>
      </w:r>
      <w:r w:rsidRPr="006F07A5">
        <w:t xml:space="preserve">and ramping constraints to respond to planned </w:t>
      </w:r>
      <w:r w:rsidRPr="006F07A5" w:rsidDel="0046151A">
        <w:t>and/or</w:t>
      </w:r>
      <w:r w:rsidRPr="006F07A5">
        <w:t xml:space="preserve"> unplanned obligation changes.  Short-Term Flex </w:t>
      </w:r>
      <w:r w:rsidRPr="006F07A5" w:rsidDel="00CE5DE2">
        <w:t>Up</w:t>
      </w:r>
      <w:r w:rsidRPr="006F07A5">
        <w:t xml:space="preserve"> and Short-Term Flex </w:t>
      </w:r>
      <w:r w:rsidRPr="006F07A5" w:rsidDel="00CE5DE2">
        <w:t>Down</w:t>
      </w:r>
      <w:r w:rsidRPr="006F07A5">
        <w:t xml:space="preserve"> requirements will be posted for each hour of each Operating Day by 06</w:t>
      </w:r>
      <w:r w:rsidR="008262E7">
        <w:t>:</w:t>
      </w:r>
      <w:r>
        <w:t>30</w:t>
      </w:r>
      <w:r w:rsidR="008262E7">
        <w:t xml:space="preserve"> PPT</w:t>
      </w:r>
      <w:r w:rsidRPr="006F07A5">
        <w:t xml:space="preserve"> Day-Ahead.  The Short-Term Flex </w:t>
      </w:r>
      <w:r w:rsidRPr="006F07A5" w:rsidDel="00CE5DE2">
        <w:t>Up</w:t>
      </w:r>
      <w:r w:rsidRPr="006F07A5">
        <w:t xml:space="preserve"> and Short-Term Flex </w:t>
      </w:r>
      <w:r w:rsidRPr="006F07A5" w:rsidDel="00CE5DE2">
        <w:t>Down</w:t>
      </w:r>
      <w:r w:rsidRPr="006F07A5">
        <w:t xml:space="preserve"> requirements are calculated based on the forecasted net obligation change and the historical net obligation forecast error.  The detailed calculation will be posted externally on the Markets+ Portal.  Short-Term Flex </w:t>
      </w:r>
      <w:r w:rsidRPr="006F07A5" w:rsidDel="000A2C96">
        <w:t>Up</w:t>
      </w:r>
      <w:r w:rsidRPr="006F07A5">
        <w:t xml:space="preserve"> and Short-Term Flex </w:t>
      </w:r>
      <w:r w:rsidRPr="006F07A5" w:rsidDel="000A2C96">
        <w:t xml:space="preserve">Down </w:t>
      </w:r>
      <w:r w:rsidRPr="006F07A5">
        <w:t>response time will be set to ten</w:t>
      </w:r>
      <w:r w:rsidR="00451337">
        <w:t xml:space="preserve"> (10)</w:t>
      </w:r>
      <w:r w:rsidRPr="006F07A5">
        <w:t xml:space="preserve"> minutes. </w:t>
      </w:r>
    </w:p>
    <w:p w14:paraId="7E545A87" w14:textId="77777777" w:rsidR="00C8264D" w:rsidRPr="006F07A5" w:rsidRDefault="00C8264D" w:rsidP="00C35DA0">
      <w:pPr>
        <w:numPr>
          <w:ilvl w:val="0"/>
          <w:numId w:val="82"/>
        </w:numPr>
        <w:spacing w:before="120" w:line="300" w:lineRule="auto"/>
        <w:ind w:left="1260" w:hanging="540"/>
        <w:rPr>
          <w:rFonts w:cs="Arial"/>
          <w:color w:val="000000"/>
          <w:szCs w:val="24"/>
        </w:rPr>
      </w:pPr>
      <w:r w:rsidRPr="006F07A5">
        <w:rPr>
          <w:rFonts w:cs="Arial"/>
          <w:color w:val="000000"/>
          <w:szCs w:val="24"/>
        </w:rPr>
        <w:t xml:space="preserve">Short-Term Flex </w:t>
      </w:r>
      <w:r w:rsidRPr="006F07A5" w:rsidDel="000A2C96">
        <w:rPr>
          <w:rFonts w:cs="Arial"/>
          <w:color w:val="000000"/>
          <w:szCs w:val="24"/>
        </w:rPr>
        <w:t>Up</w:t>
      </w:r>
      <w:r w:rsidRPr="006F07A5">
        <w:rPr>
          <w:rFonts w:cs="Arial"/>
          <w:color w:val="000000"/>
          <w:szCs w:val="24"/>
        </w:rPr>
        <w:t xml:space="preserve"> Product Requirements</w:t>
      </w:r>
    </w:p>
    <w:p w14:paraId="0521E1C9" w14:textId="6D1E9560" w:rsidR="00C8264D" w:rsidRPr="006F07A5" w:rsidRDefault="00C8264D" w:rsidP="00C8264D">
      <w:pPr>
        <w:spacing w:line="300" w:lineRule="auto"/>
        <w:ind w:left="1440"/>
      </w:pPr>
      <w:r w:rsidRPr="006F07A5">
        <w:rPr>
          <w:rFonts w:cs="Arial"/>
          <w:color w:val="000000"/>
          <w:szCs w:val="24"/>
        </w:rPr>
        <w:t xml:space="preserve">The Short-Term Flex </w:t>
      </w:r>
      <w:r w:rsidRPr="006F07A5" w:rsidDel="000A2C96">
        <w:rPr>
          <w:rFonts w:cs="Arial"/>
          <w:color w:val="000000"/>
          <w:szCs w:val="24"/>
        </w:rPr>
        <w:t>Up</w:t>
      </w:r>
      <w:r w:rsidRPr="006F07A5">
        <w:rPr>
          <w:rFonts w:cs="Arial"/>
          <w:color w:val="000000"/>
          <w:szCs w:val="24"/>
        </w:rPr>
        <w:t xml:space="preserve"> requirement will be posted each day by </w:t>
      </w:r>
      <w:r w:rsidRPr="006F07A5" w:rsidDel="00F76A93">
        <w:rPr>
          <w:rFonts w:cs="Arial"/>
          <w:color w:val="000000"/>
          <w:szCs w:val="24"/>
        </w:rPr>
        <w:t xml:space="preserve">the </w:t>
      </w:r>
      <w:r>
        <w:rPr>
          <w:rFonts w:cs="Arial"/>
          <w:color w:val="000000"/>
          <w:szCs w:val="24"/>
        </w:rPr>
        <w:t>Market Operator</w:t>
      </w:r>
      <w:r w:rsidRPr="006F07A5">
        <w:rPr>
          <w:rFonts w:cs="Arial"/>
          <w:color w:val="000000"/>
          <w:szCs w:val="24"/>
        </w:rPr>
        <w:t xml:space="preserve"> to estimate the hourly average Short-Term Flex </w:t>
      </w:r>
      <w:r w:rsidRPr="006F07A5" w:rsidDel="004929FA">
        <w:rPr>
          <w:rFonts w:cs="Arial"/>
          <w:color w:val="000000"/>
          <w:szCs w:val="24"/>
        </w:rPr>
        <w:t>Up</w:t>
      </w:r>
      <w:r w:rsidRPr="006F07A5">
        <w:rPr>
          <w:rFonts w:cs="Arial"/>
          <w:color w:val="000000"/>
          <w:szCs w:val="24"/>
        </w:rPr>
        <w:t xml:space="preserve"> that will be required in the Energy and Flexibility Reserve </w:t>
      </w:r>
      <w:r w:rsidR="00410E8B">
        <w:rPr>
          <w:rFonts w:cs="Arial"/>
          <w:color w:val="000000"/>
          <w:szCs w:val="24"/>
        </w:rPr>
        <w:t xml:space="preserve">Products </w:t>
      </w:r>
      <w:r w:rsidRPr="006F07A5">
        <w:rPr>
          <w:rFonts w:cs="Arial"/>
          <w:color w:val="000000"/>
          <w:szCs w:val="24"/>
        </w:rPr>
        <w:t>Markets</w:t>
      </w:r>
      <w:r w:rsidRPr="006F07A5">
        <w:t xml:space="preserve"> for each Operating Hour.  The Short-Te</w:t>
      </w:r>
      <w:r>
        <w:t>r</w:t>
      </w:r>
      <w:r w:rsidRPr="006F07A5">
        <w:t xml:space="preserve">m Flex </w:t>
      </w:r>
      <w:r w:rsidRPr="006F07A5" w:rsidDel="004929FA">
        <w:t>Up</w:t>
      </w:r>
      <w:r w:rsidRPr="006F07A5">
        <w:t xml:space="preserve"> requirement may vary on an hourly basis.  All Short-Term Flex </w:t>
      </w:r>
      <w:r w:rsidRPr="006F07A5" w:rsidDel="004929FA">
        <w:t>Up</w:t>
      </w:r>
      <w:r w:rsidRPr="006F07A5">
        <w:t xml:space="preserve"> cleared in</w:t>
      </w:r>
      <w:r w:rsidRPr="006F07A5" w:rsidDel="006A5074">
        <w:t xml:space="preserve"> </w:t>
      </w:r>
      <w:r w:rsidRPr="006F07A5">
        <w:t xml:space="preserve">the Energy and Flexibility Reserve </w:t>
      </w:r>
      <w:r w:rsidR="00410E8B">
        <w:t xml:space="preserve">Products </w:t>
      </w:r>
      <w:r w:rsidRPr="006F07A5">
        <w:t xml:space="preserve">Markets must be supplied by Short-Term Flex Up </w:t>
      </w:r>
      <w:r w:rsidR="007E2A4D" w:rsidRPr="006F07A5">
        <w:t>Qualified</w:t>
      </w:r>
      <w:r w:rsidRPr="006F07A5">
        <w:t xml:space="preserve"> Resources.</w:t>
      </w:r>
    </w:p>
    <w:p w14:paraId="7FDF8F7E" w14:textId="77777777" w:rsidR="00C8264D" w:rsidRPr="002364E5" w:rsidRDefault="00C8264D" w:rsidP="00C35DA0">
      <w:pPr>
        <w:numPr>
          <w:ilvl w:val="0"/>
          <w:numId w:val="82"/>
        </w:numPr>
        <w:spacing w:before="120" w:line="300" w:lineRule="auto"/>
        <w:ind w:left="1260" w:hanging="540"/>
        <w:rPr>
          <w:rFonts w:cs="Arial"/>
          <w:color w:val="000000"/>
          <w:szCs w:val="24"/>
        </w:rPr>
      </w:pPr>
      <w:r w:rsidRPr="002364E5">
        <w:rPr>
          <w:rFonts w:cs="Arial"/>
          <w:color w:val="000000"/>
          <w:szCs w:val="24"/>
        </w:rPr>
        <w:t>Short-Term Flex Down Product Requirements</w:t>
      </w:r>
    </w:p>
    <w:p w14:paraId="3E90CCCF" w14:textId="4955820E" w:rsidR="00C8264D" w:rsidRPr="006F07A5" w:rsidRDefault="00C8264D" w:rsidP="00C8264D">
      <w:pPr>
        <w:spacing w:line="300" w:lineRule="auto"/>
        <w:ind w:left="1440"/>
      </w:pPr>
      <w:r w:rsidRPr="006F07A5">
        <w:t xml:space="preserve">The Short-Term Flex Down requirement will be posted each day by </w:t>
      </w:r>
      <w:r>
        <w:rPr>
          <w:color w:val="000000"/>
          <w:szCs w:val="24"/>
        </w:rPr>
        <w:t>the Market Operator</w:t>
      </w:r>
      <w:r w:rsidRPr="007A1E40">
        <w:rPr>
          <w:color w:val="000000"/>
          <w:szCs w:val="24"/>
        </w:rPr>
        <w:t xml:space="preserve"> </w:t>
      </w:r>
      <w:r w:rsidRPr="006F07A5">
        <w:t>to estimate the hourly average Short-Term Flex Down that will be required in the Energy and Flexibility Reserve</w:t>
      </w:r>
      <w:r w:rsidR="00410E8B">
        <w:t xml:space="preserve"> Products</w:t>
      </w:r>
      <w:r w:rsidRPr="006F07A5">
        <w:t xml:space="preserve"> Markets for each Operating Hour.  The Short-Term Flex Down requirement may vary on an hourly basis.  All Short-Term Flex Down cleared in the Energy and Flexibility Reserve</w:t>
      </w:r>
      <w:r w:rsidR="00410E8B">
        <w:t xml:space="preserve"> Products</w:t>
      </w:r>
      <w:r w:rsidRPr="006F07A5">
        <w:t xml:space="preserve"> Markets must be supplied by Short-Term Flex Down </w:t>
      </w:r>
      <w:r w:rsidR="007E2A4D" w:rsidRPr="006F07A5">
        <w:t>Qualified</w:t>
      </w:r>
      <w:r w:rsidRPr="006F07A5">
        <w:t xml:space="preserve"> Resources.</w:t>
      </w:r>
    </w:p>
    <w:p w14:paraId="540DFABD" w14:textId="77777777" w:rsidR="00C8264D" w:rsidRPr="006F07A5" w:rsidRDefault="00C8264D" w:rsidP="00574654">
      <w:pPr>
        <w:pStyle w:val="Heading5"/>
      </w:pPr>
      <w:bookmarkStart w:id="364" w:name="_Toc213771793"/>
      <w:r w:rsidRPr="006F07A5">
        <w:t>Mid-Term Flex Up Requirement</w:t>
      </w:r>
      <w:bookmarkEnd w:id="364"/>
    </w:p>
    <w:p w14:paraId="375900D3" w14:textId="6A498A6E" w:rsidR="00C8264D" w:rsidRPr="006F07A5" w:rsidRDefault="00C8264D" w:rsidP="00C8264D">
      <w:pPr>
        <w:spacing w:line="300" w:lineRule="auto"/>
        <w:rPr>
          <w:szCs w:val="24"/>
        </w:rPr>
      </w:pPr>
      <w:r w:rsidRPr="006F07A5">
        <w:rPr>
          <w:szCs w:val="24"/>
        </w:rPr>
        <w:t>The Mid-Term Flex Up</w:t>
      </w:r>
      <w:r w:rsidRPr="006F07A5" w:rsidDel="002355D9">
        <w:rPr>
          <w:szCs w:val="24"/>
        </w:rPr>
        <w:t xml:space="preserve"> </w:t>
      </w:r>
      <w:r w:rsidRPr="006F07A5">
        <w:rPr>
          <w:szCs w:val="24"/>
        </w:rPr>
        <w:t xml:space="preserve">requirement represents the need for Resources with the ability to adjust their power outputs consistent with the Resource limit and ramping constraints to respond to planned </w:t>
      </w:r>
      <w:r w:rsidRPr="006F07A5" w:rsidDel="0046151A">
        <w:rPr>
          <w:szCs w:val="24"/>
        </w:rPr>
        <w:t>and/or</w:t>
      </w:r>
      <w:r w:rsidRPr="006F07A5">
        <w:rPr>
          <w:szCs w:val="24"/>
        </w:rPr>
        <w:t xml:space="preserve"> unplanned obligation changes.  The Mid-Term Flex Up requirements will be posted for each hour of each Operating Day by 06</w:t>
      </w:r>
      <w:r w:rsidR="008262E7">
        <w:rPr>
          <w:szCs w:val="24"/>
        </w:rPr>
        <w:t>:</w:t>
      </w:r>
      <w:r w:rsidRPr="4B958C78">
        <w:rPr>
          <w:szCs w:val="24"/>
        </w:rPr>
        <w:t>3</w:t>
      </w:r>
      <w:r w:rsidRPr="006F07A5">
        <w:rPr>
          <w:szCs w:val="24"/>
        </w:rPr>
        <w:t xml:space="preserve">0 </w:t>
      </w:r>
      <w:r w:rsidR="008262E7">
        <w:rPr>
          <w:szCs w:val="24"/>
        </w:rPr>
        <w:t xml:space="preserve">PPT </w:t>
      </w:r>
      <w:r w:rsidRPr="006F07A5">
        <w:rPr>
          <w:szCs w:val="24"/>
        </w:rPr>
        <w:t>Day-Ahead.  The Mid-Term Flex Up requirements are calculated based on the forecasted net obligation change and the historical net obligation forecast error.  The detailed calculation will be posted externally in the Markets+ Calculation Guide.  The Mid-Term Flex Up response time will be set to one</w:t>
      </w:r>
      <w:r w:rsidR="00467140">
        <w:rPr>
          <w:szCs w:val="24"/>
        </w:rPr>
        <w:t xml:space="preserve"> (1)</w:t>
      </w:r>
      <w:r w:rsidRPr="006F07A5">
        <w:rPr>
          <w:szCs w:val="24"/>
        </w:rPr>
        <w:t xml:space="preserve"> hour.  The Mid-Term Flex Up requirement will be posted each day by </w:t>
      </w:r>
      <w:r>
        <w:rPr>
          <w:color w:val="000000"/>
          <w:szCs w:val="24"/>
        </w:rPr>
        <w:t>the Market Operator</w:t>
      </w:r>
      <w:r w:rsidRPr="007A1E40">
        <w:rPr>
          <w:color w:val="000000"/>
          <w:szCs w:val="24"/>
        </w:rPr>
        <w:t xml:space="preserve"> </w:t>
      </w:r>
      <w:r w:rsidRPr="006F07A5">
        <w:rPr>
          <w:szCs w:val="24"/>
        </w:rPr>
        <w:t xml:space="preserve">to estimate the hourly average Mid-Term Flex Up that will be required in Energy and Flexibility Reserve </w:t>
      </w:r>
      <w:r w:rsidR="00467140">
        <w:rPr>
          <w:szCs w:val="24"/>
        </w:rPr>
        <w:t xml:space="preserve">Products </w:t>
      </w:r>
      <w:r w:rsidRPr="006F07A5">
        <w:rPr>
          <w:szCs w:val="24"/>
        </w:rPr>
        <w:t xml:space="preserve">Markets for each Operating Hour.  The Mid-Term Flex Up requirement may vary on an hourly basis and will be met by scheduled Resource starts and cleared Mid-Term Flex Up from Mid-Term Flex Up Qualified Resources in the Energy and Flexibility Reserve </w:t>
      </w:r>
      <w:r>
        <w:rPr>
          <w:szCs w:val="24"/>
        </w:rPr>
        <w:t xml:space="preserve">Products </w:t>
      </w:r>
      <w:r w:rsidRPr="006F07A5">
        <w:rPr>
          <w:szCs w:val="24"/>
        </w:rPr>
        <w:t xml:space="preserve">Markets.  All Mid-Term Flex Up cleared in the Energy and Flexibility Reserve </w:t>
      </w:r>
      <w:r>
        <w:rPr>
          <w:szCs w:val="24"/>
        </w:rPr>
        <w:t xml:space="preserve">Products </w:t>
      </w:r>
      <w:r w:rsidRPr="006F07A5">
        <w:rPr>
          <w:szCs w:val="24"/>
        </w:rPr>
        <w:t xml:space="preserve">Markets must be supplied by Mid-Term Flex Up Qualified Resources. </w:t>
      </w:r>
    </w:p>
    <w:p w14:paraId="6C816229" w14:textId="4A813748" w:rsidR="00C8264D" w:rsidRPr="006F07A5" w:rsidRDefault="00C8264D" w:rsidP="004B66CD">
      <w:pPr>
        <w:pStyle w:val="Heading3"/>
      </w:pPr>
      <w:bookmarkStart w:id="365" w:name="_Toc148704787"/>
      <w:bookmarkStart w:id="366" w:name="_Toc149557745"/>
      <w:bookmarkStart w:id="367" w:name="_Toc150785201"/>
      <w:bookmarkStart w:id="368" w:name="_Toc150854655"/>
      <w:bookmarkStart w:id="369" w:name="_Toc151991594"/>
      <w:bookmarkStart w:id="370" w:name="_Toc152334694"/>
      <w:bookmarkStart w:id="371" w:name="_Toc153271060"/>
      <w:bookmarkStart w:id="372" w:name="_Toc157500895"/>
      <w:bookmarkStart w:id="373" w:name="_Toc159232070"/>
      <w:bookmarkStart w:id="374" w:name="_Ref132280941"/>
      <w:bookmarkStart w:id="375" w:name="_Ref212550326"/>
      <w:bookmarkStart w:id="376" w:name="_Toc213771794"/>
      <w:bookmarkEnd w:id="365"/>
      <w:bookmarkEnd w:id="366"/>
      <w:bookmarkEnd w:id="367"/>
      <w:bookmarkEnd w:id="368"/>
      <w:bookmarkEnd w:id="369"/>
      <w:bookmarkEnd w:id="370"/>
      <w:bookmarkEnd w:id="371"/>
      <w:bookmarkEnd w:id="372"/>
      <w:bookmarkEnd w:id="373"/>
      <w:r w:rsidRPr="006F07A5">
        <w:t>Violation Relaxation Limits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74"/>
      <w:bookmarkEnd w:id="375"/>
      <w:bookmarkEnd w:id="376"/>
    </w:p>
    <w:p w14:paraId="3A9FB1FC" w14:textId="77777777" w:rsidR="00C8264D" w:rsidRPr="006F07A5" w:rsidRDefault="00C8264D" w:rsidP="00C8264D">
      <w:pPr>
        <w:autoSpaceDE w:val="0"/>
        <w:autoSpaceDN w:val="0"/>
        <w:adjustRightInd w:val="0"/>
        <w:spacing w:before="120" w:after="240" w:line="300" w:lineRule="auto"/>
        <w:rPr>
          <w:rFonts w:cs="Arial"/>
          <w:color w:val="000000"/>
          <w:szCs w:val="24"/>
        </w:rPr>
      </w:pPr>
      <w:r w:rsidRPr="006F07A5">
        <w:rPr>
          <w:rFonts w:cs="Arial"/>
          <w:color w:val="000000"/>
          <w:szCs w:val="24"/>
        </w:rPr>
        <w:t>The D</w:t>
      </w:r>
      <w:r>
        <w:rPr>
          <w:rFonts w:cs="Arial"/>
          <w:color w:val="000000"/>
          <w:szCs w:val="24"/>
        </w:rPr>
        <w:t>ay-Ahead</w:t>
      </w:r>
      <w:r w:rsidRPr="006F07A5">
        <w:rPr>
          <w:rFonts w:cs="Arial"/>
          <w:color w:val="000000"/>
          <w:szCs w:val="24"/>
        </w:rPr>
        <w:t xml:space="preserve"> Market SCED, RUC processes</w:t>
      </w:r>
      <w:r>
        <w:rPr>
          <w:rFonts w:cs="Arial"/>
          <w:color w:val="000000"/>
          <w:szCs w:val="24"/>
        </w:rPr>
        <w:t>,</w:t>
      </w:r>
      <w:r w:rsidRPr="006F07A5">
        <w:rPr>
          <w:rFonts w:cs="Arial"/>
          <w:color w:val="000000"/>
          <w:szCs w:val="24"/>
        </w:rPr>
        <w:t xml:space="preserve"> and RTBM SCED enforce a number of operating constraints in developing the co-optimized market solution.  In certain situations, attempting to enforce all constraints may result in a solution that is not feasible at a Shadow Price less than an appropriately priced Violation Relaxation Limit</w:t>
      </w:r>
      <w:r>
        <w:rPr>
          <w:rFonts w:cs="Arial"/>
          <w:color w:val="000000"/>
          <w:szCs w:val="24"/>
        </w:rPr>
        <w:t xml:space="preserve"> (VRL)</w:t>
      </w:r>
      <w:r w:rsidRPr="006F07A5">
        <w:rPr>
          <w:rFonts w:cs="Arial"/>
          <w:color w:val="000000"/>
          <w:szCs w:val="24"/>
        </w:rPr>
        <w:t xml:space="preserve">.  In such cases, </w:t>
      </w:r>
      <w:r>
        <w:rPr>
          <w:color w:val="000000"/>
          <w:szCs w:val="24"/>
        </w:rPr>
        <w:t>the Market Operator</w:t>
      </w:r>
      <w:r w:rsidRPr="006F07A5">
        <w:rPr>
          <w:rFonts w:cs="Arial"/>
          <w:color w:val="000000"/>
          <w:szCs w:val="24"/>
        </w:rPr>
        <w:t xml:space="preserve"> must apply VRLs in SCED.  </w:t>
      </w:r>
    </w:p>
    <w:p w14:paraId="1D0F38A1" w14:textId="48AA69B8" w:rsidR="000E2EF3" w:rsidRPr="000E2EF3" w:rsidRDefault="000E2EF3" w:rsidP="000E2EF3">
      <w:pPr>
        <w:autoSpaceDE w:val="0"/>
        <w:autoSpaceDN w:val="0"/>
        <w:adjustRightInd w:val="0"/>
        <w:spacing w:before="120" w:after="240" w:line="300" w:lineRule="auto"/>
        <w:rPr>
          <w:rFonts w:cs="Arial"/>
          <w:color w:val="000000"/>
          <w:szCs w:val="24"/>
          <w14:ligatures w14:val="standardContextual"/>
        </w:rPr>
      </w:pPr>
      <w:r w:rsidRPr="000E2EF3">
        <w:rPr>
          <w:rFonts w:cs="Arial"/>
          <w:color w:val="000000"/>
          <w:szCs w:val="24"/>
          <w14:ligatures w14:val="standardContextual"/>
        </w:rPr>
        <w:t xml:space="preserve">There are nine categories of constraints and associated VRLs: (1) Resource Capacity Constraints; (2) Resource Ramp Constraint; (3) Global Power Balance Constraint; (4) </w:t>
      </w:r>
      <w:r w:rsidRPr="000E2EF3">
        <w:t>Market Opt-in Transfer Interface Constraint</w:t>
      </w:r>
      <w:r w:rsidR="0092749A">
        <w:t>;</w:t>
      </w:r>
      <w:r w:rsidRPr="000E2EF3">
        <w:rPr>
          <w:rFonts w:cs="Arial"/>
          <w:color w:val="000000"/>
          <w:szCs w:val="24"/>
          <w14:ligatures w14:val="standardContextual"/>
        </w:rPr>
        <w:t xml:space="preserve"> (5) Operating Constraint (which include PNode, Manual, Watch List, flowgate, and Real-Time Contingency Analysis (RTCA) Constraints</w:t>
      </w:r>
      <w:r w:rsidR="009F5E2E">
        <w:rPr>
          <w:rFonts w:cs="Arial"/>
          <w:color w:val="000000"/>
          <w:szCs w:val="24"/>
          <w14:ligatures w14:val="standardContextual"/>
        </w:rPr>
        <w:t>)</w:t>
      </w:r>
      <w:r w:rsidR="0092749A">
        <w:rPr>
          <w:rFonts w:cs="Arial"/>
          <w:color w:val="000000"/>
          <w:szCs w:val="24"/>
          <w14:ligatures w14:val="standardContextual"/>
        </w:rPr>
        <w:t>;</w:t>
      </w:r>
      <w:r w:rsidRPr="000E2EF3">
        <w:rPr>
          <w:rFonts w:cs="Arial"/>
          <w:color w:val="000000"/>
          <w:szCs w:val="24"/>
          <w14:ligatures w14:val="standardContextual"/>
        </w:rPr>
        <w:t xml:space="preserve"> </w:t>
      </w:r>
      <w:r w:rsidRPr="000E2EF3">
        <w:t>(6) BAA Power Balance Constraints</w:t>
      </w:r>
      <w:r w:rsidR="0092749A">
        <w:t>;</w:t>
      </w:r>
      <w:r w:rsidRPr="000E2EF3">
        <w:t xml:space="preserve"> (7) BAA Scheduling Constraints</w:t>
      </w:r>
      <w:r w:rsidR="0092749A">
        <w:t>;</w:t>
      </w:r>
      <w:r w:rsidRPr="000E2EF3">
        <w:t xml:space="preserve"> (8) Service Flow Constraints</w:t>
      </w:r>
      <w:r w:rsidR="0092749A">
        <w:t>;</w:t>
      </w:r>
      <w:r w:rsidR="001C4EFD">
        <w:t xml:space="preserve"> </w:t>
      </w:r>
      <w:r w:rsidRPr="000E2EF3">
        <w:t>and (9) Market Transfer Interface Constraints</w:t>
      </w:r>
      <w:r w:rsidRPr="000E2EF3">
        <w:rPr>
          <w:rFonts w:cs="Arial"/>
          <w:color w:val="000000"/>
          <w:szCs w:val="24"/>
          <w14:ligatures w14:val="standardContextual"/>
        </w:rPr>
        <w:t>.  A higher VRL value is an indication of the relative priority for enforcing the constraint type.  For example, the VRL value assigned to a ramp rate limit exceeds that assigned to a flowgate limit indicating that the flowgate constraint should be relaxed before the ramp rate constraint.  If the VRL with the lowest value will not allow SCED to balance the market’s Energy obligations, a higher VRL will be applied.  In the case of the Operating Constraint VRLs, the values limit the cost of the dispatch needed to balance system injections and withdrawals by capping the Shadow Price depending upon the level of the violation.  For Operating Constraints with an effective limit of 0 MW, the VRL value ($/MW) assigned will be the value associated with the maximum loading.     Exhibit 4-1 provides a summary of the current VRL values by constraint type.</w:t>
      </w:r>
    </w:p>
    <w:p w14:paraId="6BFC4A9B" w14:textId="77777777" w:rsidR="000E2EF3" w:rsidRPr="000E2EF3" w:rsidRDefault="000E2EF3" w:rsidP="000E2EF3">
      <w:pPr>
        <w:spacing w:after="0"/>
        <w:rPr>
          <w14:ligatures w14:val="standardContextual"/>
        </w:rPr>
        <w:sectPr w:rsidR="000E2EF3" w:rsidRPr="000E2EF3" w:rsidSect="000E2EF3">
          <w:footerReference w:type="even" r:id="rId33"/>
          <w:footerReference w:type="default" r:id="rId34"/>
          <w:footerReference w:type="first" r:id="rId35"/>
          <w:pgSz w:w="12240" w:h="15840"/>
          <w:pgMar w:top="1728" w:right="1440" w:bottom="1728" w:left="1440" w:header="720" w:footer="720" w:gutter="0"/>
          <w:cols w:space="720"/>
        </w:sectPr>
      </w:pPr>
    </w:p>
    <w:p w14:paraId="3507AB9B" w14:textId="4CA69E45" w:rsidR="00C8264D" w:rsidRPr="006F07A5" w:rsidRDefault="00C8264D" w:rsidP="00C8264D">
      <w:pPr>
        <w:spacing w:after="0"/>
        <w:jc w:val="center"/>
        <w:rPr>
          <w:b/>
          <w:szCs w:val="24"/>
        </w:rPr>
      </w:pPr>
      <w:r w:rsidRPr="006F07A5">
        <w:rPr>
          <w:b/>
          <w:szCs w:val="24"/>
        </w:rPr>
        <w:t xml:space="preserve">Exhibit </w:t>
      </w:r>
      <w:r w:rsidRPr="006F07A5">
        <w:rPr>
          <w:b/>
          <w:color w:val="2B579A"/>
          <w:szCs w:val="24"/>
          <w:shd w:val="clear" w:color="auto" w:fill="E6E6E6"/>
        </w:rPr>
        <w:fldChar w:fldCharType="begin"/>
      </w:r>
      <w:r w:rsidRPr="006F07A5">
        <w:rPr>
          <w:b/>
          <w:szCs w:val="24"/>
        </w:rPr>
        <w:instrText xml:space="preserve"> STYLEREF 1 \s </w:instrText>
      </w:r>
      <w:r w:rsidRPr="006F07A5">
        <w:rPr>
          <w:b/>
          <w:color w:val="2B579A"/>
          <w:szCs w:val="24"/>
          <w:shd w:val="clear" w:color="auto" w:fill="E6E6E6"/>
        </w:rPr>
        <w:fldChar w:fldCharType="separate"/>
      </w:r>
      <w:r w:rsidRPr="006F07A5">
        <w:rPr>
          <w:b/>
          <w:noProof/>
          <w:szCs w:val="24"/>
        </w:rPr>
        <w:t>4</w:t>
      </w:r>
      <w:r w:rsidRPr="006F07A5">
        <w:rPr>
          <w:b/>
          <w:color w:val="2B579A"/>
          <w:szCs w:val="24"/>
          <w:shd w:val="clear" w:color="auto" w:fill="E6E6E6"/>
        </w:rPr>
        <w:fldChar w:fldCharType="end"/>
      </w:r>
      <w:r w:rsidRPr="006F07A5">
        <w:rPr>
          <w:b/>
          <w:szCs w:val="24"/>
        </w:rPr>
        <w:noBreakHyphen/>
      </w:r>
      <w:r w:rsidR="00A013FA">
        <w:rPr>
          <w:b/>
          <w:color w:val="2B579A"/>
          <w:szCs w:val="24"/>
          <w:shd w:val="clear" w:color="auto" w:fill="E6E6E6"/>
        </w:rPr>
        <w:t>2</w:t>
      </w:r>
      <w:r w:rsidRPr="006F07A5">
        <w:rPr>
          <w:b/>
          <w:szCs w:val="24"/>
        </w:rPr>
        <w:t>: VRL Values</w:t>
      </w:r>
    </w:p>
    <w:tbl>
      <w:tblPr>
        <w:tblW w:w="955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1"/>
        <w:gridCol w:w="4279"/>
        <w:gridCol w:w="2689"/>
      </w:tblGrid>
      <w:tr w:rsidR="00524612" w:rsidRPr="00524612" w14:paraId="387C2C81" w14:textId="77777777">
        <w:trPr>
          <w:trHeight w:val="415"/>
        </w:trPr>
        <w:tc>
          <w:tcPr>
            <w:tcW w:w="2591" w:type="dxa"/>
            <w:shd w:val="clear" w:color="auto" w:fill="E6E6E6"/>
          </w:tcPr>
          <w:p w14:paraId="237A377B" w14:textId="77777777" w:rsidR="00524612" w:rsidRPr="00524612" w:rsidRDefault="00524612" w:rsidP="00524612">
            <w:pPr>
              <w:spacing w:after="0"/>
              <w:rPr>
                <w:b/>
              </w:rPr>
            </w:pPr>
            <w:r w:rsidRPr="00524612">
              <w:rPr>
                <w:b/>
              </w:rPr>
              <w:t>Constraint Type</w:t>
            </w:r>
          </w:p>
        </w:tc>
        <w:tc>
          <w:tcPr>
            <w:tcW w:w="4279" w:type="dxa"/>
            <w:shd w:val="clear" w:color="auto" w:fill="E6E6E6"/>
          </w:tcPr>
          <w:p w14:paraId="22AF38F6" w14:textId="77777777" w:rsidR="00524612" w:rsidRPr="00524612" w:rsidRDefault="00524612" w:rsidP="00524612">
            <w:pPr>
              <w:spacing w:after="0"/>
              <w:rPr>
                <w:b/>
              </w:rPr>
            </w:pPr>
            <w:r w:rsidRPr="00524612">
              <w:rPr>
                <w:b/>
              </w:rPr>
              <w:t>Description</w:t>
            </w:r>
          </w:p>
        </w:tc>
        <w:tc>
          <w:tcPr>
            <w:tcW w:w="2689" w:type="dxa"/>
            <w:shd w:val="clear" w:color="auto" w:fill="E6E6E6"/>
          </w:tcPr>
          <w:p w14:paraId="3728EF96" w14:textId="7240929B" w:rsidR="00524612" w:rsidRPr="00524612" w:rsidRDefault="00524612" w:rsidP="00524612">
            <w:pPr>
              <w:spacing w:after="0"/>
              <w:rPr>
                <w:b/>
              </w:rPr>
            </w:pPr>
            <w:r w:rsidRPr="00524612">
              <w:rPr>
                <w:b/>
              </w:rPr>
              <w:t>VRL [$/MW]</w:t>
            </w:r>
          </w:p>
        </w:tc>
      </w:tr>
      <w:tr w:rsidR="00524612" w:rsidRPr="00524612" w14:paraId="2984D33E" w14:textId="77777777">
        <w:trPr>
          <w:trHeight w:val="880"/>
        </w:trPr>
        <w:tc>
          <w:tcPr>
            <w:tcW w:w="2591" w:type="dxa"/>
          </w:tcPr>
          <w:p w14:paraId="0EC410A1" w14:textId="77777777" w:rsidR="00524612" w:rsidRPr="00524612" w:rsidRDefault="00524612" w:rsidP="00524612">
            <w:pPr>
              <w:spacing w:after="0"/>
            </w:pPr>
            <w:r w:rsidRPr="00524612">
              <w:t>(1) Resource Capacity</w:t>
            </w:r>
          </w:p>
        </w:tc>
        <w:tc>
          <w:tcPr>
            <w:tcW w:w="4279" w:type="dxa"/>
          </w:tcPr>
          <w:p w14:paraId="12BEBA12" w14:textId="77777777" w:rsidR="00524612" w:rsidRPr="00524612" w:rsidRDefault="00524612" w:rsidP="00524612">
            <w:pPr>
              <w:spacing w:after="0"/>
            </w:pPr>
            <w:r w:rsidRPr="00524612">
              <w:t>The minimum and maximum MW dispatchable output of a Resource as</w:t>
            </w:r>
          </w:p>
          <w:p w14:paraId="39F50640" w14:textId="77777777" w:rsidR="00524612" w:rsidRPr="00524612" w:rsidRDefault="00524612" w:rsidP="00524612">
            <w:pPr>
              <w:spacing w:after="0"/>
            </w:pPr>
            <w:r w:rsidRPr="00524612">
              <w:t>indicated in a Resource Offer.</w:t>
            </w:r>
          </w:p>
        </w:tc>
        <w:tc>
          <w:tcPr>
            <w:tcW w:w="2689" w:type="dxa"/>
          </w:tcPr>
          <w:p w14:paraId="07FDAA8F" w14:textId="77777777" w:rsidR="00524612" w:rsidRPr="00524612" w:rsidRDefault="00524612" w:rsidP="00524612">
            <w:pPr>
              <w:spacing w:after="0"/>
            </w:pPr>
            <w:r w:rsidRPr="00524612">
              <w:t>100,000</w:t>
            </w:r>
          </w:p>
        </w:tc>
      </w:tr>
      <w:tr w:rsidR="00524612" w:rsidRPr="00524612" w14:paraId="5CB4AC87" w14:textId="77777777">
        <w:trPr>
          <w:trHeight w:val="590"/>
        </w:trPr>
        <w:tc>
          <w:tcPr>
            <w:tcW w:w="2591" w:type="dxa"/>
          </w:tcPr>
          <w:p w14:paraId="67A8BA34" w14:textId="77777777" w:rsidR="00524612" w:rsidRPr="00524612" w:rsidRDefault="00524612" w:rsidP="00524612">
            <w:pPr>
              <w:spacing w:after="0"/>
            </w:pPr>
            <w:r w:rsidRPr="00524612">
              <w:t>(2) Global Power</w:t>
            </w:r>
          </w:p>
          <w:p w14:paraId="4EFC3E12" w14:textId="77777777" w:rsidR="00524612" w:rsidRPr="00524612" w:rsidRDefault="00524612" w:rsidP="00524612">
            <w:pPr>
              <w:spacing w:after="0"/>
            </w:pPr>
            <w:r w:rsidRPr="00524612">
              <w:t>Balance</w:t>
            </w:r>
          </w:p>
        </w:tc>
        <w:tc>
          <w:tcPr>
            <w:tcW w:w="4279" w:type="dxa"/>
          </w:tcPr>
          <w:p w14:paraId="3DE628EF" w14:textId="77777777" w:rsidR="00524612" w:rsidRPr="00524612" w:rsidRDefault="00524612" w:rsidP="00524612">
            <w:pPr>
              <w:spacing w:after="0"/>
            </w:pPr>
            <w:r w:rsidRPr="00524612">
              <w:t>Energy needed to balance Resources,</w:t>
            </w:r>
          </w:p>
          <w:p w14:paraId="41BD1DFC" w14:textId="77777777" w:rsidR="00524612" w:rsidRPr="00524612" w:rsidRDefault="00524612" w:rsidP="00524612">
            <w:pPr>
              <w:spacing w:after="0"/>
            </w:pPr>
            <w:r w:rsidRPr="00524612">
              <w:t>load, interchange and losses.</w:t>
            </w:r>
          </w:p>
        </w:tc>
        <w:tc>
          <w:tcPr>
            <w:tcW w:w="2689" w:type="dxa"/>
          </w:tcPr>
          <w:p w14:paraId="0F341920" w14:textId="77777777" w:rsidR="00524612" w:rsidRPr="00524612" w:rsidRDefault="00524612" w:rsidP="00524612">
            <w:pPr>
              <w:spacing w:after="0"/>
            </w:pPr>
            <w:r w:rsidRPr="00524612">
              <w:t>50,000</w:t>
            </w:r>
          </w:p>
        </w:tc>
      </w:tr>
      <w:tr w:rsidR="00524612" w:rsidRPr="00524612" w14:paraId="43315C93" w14:textId="77777777">
        <w:trPr>
          <w:trHeight w:val="590"/>
        </w:trPr>
        <w:tc>
          <w:tcPr>
            <w:tcW w:w="2591" w:type="dxa"/>
          </w:tcPr>
          <w:p w14:paraId="1A4B90F6" w14:textId="77777777" w:rsidR="00524612" w:rsidRPr="00524612" w:rsidRDefault="00524612" w:rsidP="00524612">
            <w:pPr>
              <w:spacing w:after="0"/>
            </w:pPr>
            <w:r w:rsidRPr="00524612">
              <w:t>(3) Resource Ramp</w:t>
            </w:r>
          </w:p>
        </w:tc>
        <w:tc>
          <w:tcPr>
            <w:tcW w:w="4279" w:type="dxa"/>
          </w:tcPr>
          <w:p w14:paraId="6004DFA4" w14:textId="77777777" w:rsidR="00524612" w:rsidRPr="00524612" w:rsidRDefault="00524612" w:rsidP="00524612">
            <w:pPr>
              <w:spacing w:after="0"/>
            </w:pPr>
            <w:r w:rsidRPr="00524612">
              <w:t>The ramp capability of a Resource as</w:t>
            </w:r>
          </w:p>
          <w:p w14:paraId="36049236" w14:textId="77777777" w:rsidR="00524612" w:rsidRPr="00524612" w:rsidRDefault="00524612" w:rsidP="00524612">
            <w:pPr>
              <w:spacing w:after="0"/>
            </w:pPr>
            <w:r w:rsidRPr="00524612">
              <w:t>indicated in the resource plan.</w:t>
            </w:r>
          </w:p>
        </w:tc>
        <w:tc>
          <w:tcPr>
            <w:tcW w:w="2689" w:type="dxa"/>
          </w:tcPr>
          <w:p w14:paraId="6869F037" w14:textId="77777777" w:rsidR="00524612" w:rsidRPr="00524612" w:rsidRDefault="00524612" w:rsidP="00524612">
            <w:pPr>
              <w:spacing w:after="0"/>
            </w:pPr>
            <w:r w:rsidRPr="00524612">
              <w:t>5,000</w:t>
            </w:r>
          </w:p>
        </w:tc>
      </w:tr>
      <w:tr w:rsidR="00524612" w:rsidRPr="00524612" w14:paraId="0EBE786F" w14:textId="77777777">
        <w:trPr>
          <w:trHeight w:val="590"/>
        </w:trPr>
        <w:tc>
          <w:tcPr>
            <w:tcW w:w="2591" w:type="dxa"/>
            <w:tcBorders>
              <w:top w:val="single" w:sz="8" w:space="0" w:color="000000"/>
              <w:left w:val="single" w:sz="8" w:space="0" w:color="000000"/>
              <w:bottom w:val="single" w:sz="8" w:space="0" w:color="000000"/>
              <w:right w:val="single" w:sz="8" w:space="0" w:color="000000"/>
            </w:tcBorders>
          </w:tcPr>
          <w:p w14:paraId="57B95123" w14:textId="77777777" w:rsidR="00524612" w:rsidRPr="00524612" w:rsidRDefault="00524612" w:rsidP="00524612">
            <w:pPr>
              <w:spacing w:after="0"/>
            </w:pPr>
            <w:r w:rsidRPr="00524612">
              <w:t>(4) Market Opt-in Transfer Interface Constraint</w:t>
            </w:r>
          </w:p>
        </w:tc>
        <w:tc>
          <w:tcPr>
            <w:tcW w:w="4279" w:type="dxa"/>
            <w:tcBorders>
              <w:top w:val="single" w:sz="8" w:space="0" w:color="000000"/>
              <w:left w:val="single" w:sz="8" w:space="0" w:color="000000"/>
              <w:bottom w:val="single" w:sz="8" w:space="0" w:color="000000"/>
              <w:right w:val="single" w:sz="8" w:space="0" w:color="000000"/>
            </w:tcBorders>
          </w:tcPr>
          <w:p w14:paraId="7B6A8E78" w14:textId="77777777" w:rsidR="00524612" w:rsidRPr="00524612" w:rsidRDefault="00524612" w:rsidP="00524612">
            <w:pPr>
              <w:spacing w:after="0"/>
            </w:pPr>
            <w:r w:rsidRPr="00524612">
              <w:t xml:space="preserve">A MW limit that can be imposed on the Market Operator related to the transfer of MW due to the optimization of DA or Real-time Market on a defined Market Opt-In Transfer Interface schedule.  </w:t>
            </w:r>
          </w:p>
        </w:tc>
        <w:tc>
          <w:tcPr>
            <w:tcW w:w="2689" w:type="dxa"/>
            <w:tcBorders>
              <w:top w:val="single" w:sz="8" w:space="0" w:color="000000"/>
              <w:left w:val="single" w:sz="8" w:space="0" w:color="000000"/>
              <w:bottom w:val="single" w:sz="8" w:space="0" w:color="000000"/>
              <w:right w:val="single" w:sz="8" w:space="0" w:color="000000"/>
            </w:tcBorders>
          </w:tcPr>
          <w:p w14:paraId="41E87ADE" w14:textId="77777777" w:rsidR="00524612" w:rsidRPr="00524612" w:rsidRDefault="00524612" w:rsidP="00524612">
            <w:pPr>
              <w:spacing w:after="0"/>
            </w:pPr>
            <w:r w:rsidRPr="00524612">
              <w:t>$3,000</w:t>
            </w:r>
          </w:p>
        </w:tc>
      </w:tr>
      <w:tr w:rsidR="00524612" w:rsidRPr="00524612" w14:paraId="0DC99CDE" w14:textId="77777777">
        <w:trPr>
          <w:trHeight w:val="3240"/>
        </w:trPr>
        <w:tc>
          <w:tcPr>
            <w:tcW w:w="2591" w:type="dxa"/>
          </w:tcPr>
          <w:p w14:paraId="3C1EEF60" w14:textId="77777777" w:rsidR="00524612" w:rsidRPr="00524612" w:rsidRDefault="00524612" w:rsidP="00524612">
            <w:pPr>
              <w:spacing w:after="0"/>
            </w:pPr>
            <w:r w:rsidRPr="00524612">
              <w:t xml:space="preserve">(5) Operating Constraint </w:t>
            </w:r>
          </w:p>
        </w:tc>
        <w:tc>
          <w:tcPr>
            <w:tcW w:w="4279" w:type="dxa"/>
          </w:tcPr>
          <w:p w14:paraId="09D2006F" w14:textId="77777777" w:rsidR="00524612" w:rsidRPr="00524612" w:rsidRDefault="00524612" w:rsidP="00524612">
            <w:pPr>
              <w:spacing w:after="0"/>
            </w:pPr>
            <w:r w:rsidRPr="00524612">
              <w:t xml:space="preserve">A MW limit that can be imposed on the Market Operator related to MW flow across a market node, a manually- identified transmission constraint, a Watch List transmission constraint, a flowgate constraint, or a transmission constraint identified by the Market Operator’s real-time contingency analysis </w:t>
            </w:r>
          </w:p>
        </w:tc>
        <w:tc>
          <w:tcPr>
            <w:tcW w:w="2689" w:type="dxa"/>
          </w:tcPr>
          <w:p w14:paraId="58674B89" w14:textId="32454AE2" w:rsidR="00524612" w:rsidRPr="00524612" w:rsidRDefault="00524612" w:rsidP="00524612">
            <w:pPr>
              <w:spacing w:after="0"/>
            </w:pPr>
            <w:r w:rsidRPr="00524612">
              <w:t>$1,500/*$2,500 when the loading is greater than 100%</w:t>
            </w:r>
          </w:p>
        </w:tc>
      </w:tr>
      <w:tr w:rsidR="00524612" w:rsidRPr="00524612" w14:paraId="317384A5" w14:textId="77777777">
        <w:trPr>
          <w:trHeight w:val="584"/>
        </w:trPr>
        <w:tc>
          <w:tcPr>
            <w:tcW w:w="2591" w:type="dxa"/>
            <w:tcBorders>
              <w:top w:val="single" w:sz="8" w:space="0" w:color="000000"/>
              <w:left w:val="single" w:sz="8" w:space="0" w:color="000000"/>
              <w:bottom w:val="single" w:sz="8" w:space="0" w:color="000000"/>
              <w:right w:val="single" w:sz="8" w:space="0" w:color="000000"/>
            </w:tcBorders>
          </w:tcPr>
          <w:p w14:paraId="5507241A" w14:textId="3F2CA959" w:rsidR="00524612" w:rsidRPr="00524612" w:rsidRDefault="00524612" w:rsidP="00524612">
            <w:pPr>
              <w:spacing w:after="0"/>
            </w:pPr>
            <w:r w:rsidRPr="00524612">
              <w:t>(</w:t>
            </w:r>
            <w:r w:rsidR="00D11229">
              <w:t>6</w:t>
            </w:r>
            <w:r w:rsidRPr="00524612">
              <w:t>) BAA Power Balance Constraint</w:t>
            </w:r>
          </w:p>
        </w:tc>
        <w:tc>
          <w:tcPr>
            <w:tcW w:w="4279" w:type="dxa"/>
            <w:tcBorders>
              <w:top w:val="single" w:sz="8" w:space="0" w:color="000000"/>
              <w:left w:val="single" w:sz="8" w:space="0" w:color="000000"/>
              <w:bottom w:val="single" w:sz="8" w:space="0" w:color="000000"/>
              <w:right w:val="single" w:sz="8" w:space="0" w:color="000000"/>
            </w:tcBorders>
          </w:tcPr>
          <w:p w14:paraId="0E00EFC3" w14:textId="77777777" w:rsidR="00524612" w:rsidRPr="00524612" w:rsidRDefault="00524612" w:rsidP="00524612">
            <w:pPr>
              <w:spacing w:after="0"/>
            </w:pPr>
            <w:r w:rsidRPr="00524612">
              <w:t>A requirement that the energy from the Resources and import interchange of a BA equals the load, export interchange and losses of that BA.</w:t>
            </w:r>
          </w:p>
        </w:tc>
        <w:tc>
          <w:tcPr>
            <w:tcW w:w="2689" w:type="dxa"/>
            <w:tcBorders>
              <w:top w:val="single" w:sz="8" w:space="0" w:color="000000"/>
              <w:left w:val="single" w:sz="8" w:space="0" w:color="000000"/>
              <w:bottom w:val="single" w:sz="8" w:space="0" w:color="000000"/>
              <w:right w:val="single" w:sz="8" w:space="0" w:color="000000"/>
            </w:tcBorders>
          </w:tcPr>
          <w:p w14:paraId="54FAB80C" w14:textId="77777777" w:rsidR="00524612" w:rsidRPr="00524612" w:rsidRDefault="00524612" w:rsidP="00524612">
            <w:pPr>
              <w:spacing w:after="0"/>
            </w:pPr>
            <w:r w:rsidRPr="00524612">
              <w:t>$1,200/*$2,200</w:t>
            </w:r>
          </w:p>
        </w:tc>
      </w:tr>
      <w:tr w:rsidR="00524612" w:rsidRPr="00524612" w14:paraId="01F9B82D" w14:textId="77777777">
        <w:trPr>
          <w:trHeight w:val="584"/>
        </w:trPr>
        <w:tc>
          <w:tcPr>
            <w:tcW w:w="2591" w:type="dxa"/>
            <w:tcBorders>
              <w:top w:val="single" w:sz="8" w:space="0" w:color="000000"/>
              <w:left w:val="single" w:sz="8" w:space="0" w:color="000000"/>
              <w:bottom w:val="single" w:sz="8" w:space="0" w:color="000000"/>
              <w:right w:val="single" w:sz="8" w:space="0" w:color="000000"/>
            </w:tcBorders>
          </w:tcPr>
          <w:p w14:paraId="37B47114" w14:textId="62D81A8D" w:rsidR="00524612" w:rsidRPr="00524612" w:rsidRDefault="00524612" w:rsidP="00524612">
            <w:pPr>
              <w:spacing w:after="0"/>
            </w:pPr>
            <w:r w:rsidRPr="00524612">
              <w:t>(</w:t>
            </w:r>
            <w:r w:rsidR="00D11229">
              <w:t>7</w:t>
            </w:r>
            <w:r w:rsidRPr="00524612">
              <w:t xml:space="preserve">) Service Flow Constraints </w:t>
            </w:r>
          </w:p>
        </w:tc>
        <w:tc>
          <w:tcPr>
            <w:tcW w:w="4279" w:type="dxa"/>
            <w:tcBorders>
              <w:top w:val="single" w:sz="8" w:space="0" w:color="000000"/>
              <w:left w:val="single" w:sz="8" w:space="0" w:color="000000"/>
              <w:bottom w:val="single" w:sz="8" w:space="0" w:color="000000"/>
              <w:right w:val="single" w:sz="8" w:space="0" w:color="000000"/>
            </w:tcBorders>
          </w:tcPr>
          <w:p w14:paraId="2062DC84" w14:textId="77777777" w:rsidR="00524612" w:rsidRPr="00524612" w:rsidRDefault="00524612" w:rsidP="00524612">
            <w:r w:rsidRPr="00524612">
              <w:br/>
              <w:t xml:space="preserve">An operating constraint limit that respects each Markets+ Transmission Contributor’s and each Markets+ Transmission Service Provider’s transmission capability.  SFC are expressed as a MW limits and are provided by the MTSP. </w:t>
            </w:r>
          </w:p>
          <w:p w14:paraId="0BB27C0A" w14:textId="77777777" w:rsidR="00524612" w:rsidRPr="00524612" w:rsidRDefault="00524612" w:rsidP="00524612">
            <w:pPr>
              <w:spacing w:after="0"/>
            </w:pPr>
          </w:p>
        </w:tc>
        <w:tc>
          <w:tcPr>
            <w:tcW w:w="2689" w:type="dxa"/>
            <w:tcBorders>
              <w:top w:val="single" w:sz="8" w:space="0" w:color="000000"/>
              <w:left w:val="single" w:sz="8" w:space="0" w:color="000000"/>
              <w:bottom w:val="single" w:sz="8" w:space="0" w:color="000000"/>
              <w:right w:val="single" w:sz="8" w:space="0" w:color="000000"/>
            </w:tcBorders>
          </w:tcPr>
          <w:p w14:paraId="594D3511" w14:textId="77777777" w:rsidR="00524612" w:rsidRPr="00524612" w:rsidRDefault="00524612" w:rsidP="00524612">
            <w:pPr>
              <w:spacing w:after="0"/>
            </w:pPr>
            <w:r w:rsidRPr="00524612">
              <w:t>$?</w:t>
            </w:r>
          </w:p>
        </w:tc>
      </w:tr>
      <w:tr w:rsidR="00524612" w:rsidRPr="00524612" w14:paraId="632B64C2" w14:textId="77777777" w:rsidTr="00273BF1">
        <w:trPr>
          <w:cantSplit/>
          <w:trHeight w:val="584"/>
        </w:trPr>
        <w:tc>
          <w:tcPr>
            <w:tcW w:w="2591" w:type="dxa"/>
            <w:tcBorders>
              <w:top w:val="single" w:sz="8" w:space="0" w:color="000000"/>
              <w:left w:val="single" w:sz="8" w:space="0" w:color="000000"/>
              <w:bottom w:val="single" w:sz="8" w:space="0" w:color="000000"/>
              <w:right w:val="single" w:sz="8" w:space="0" w:color="000000"/>
            </w:tcBorders>
          </w:tcPr>
          <w:p w14:paraId="641B5882" w14:textId="33CBC639" w:rsidR="00524612" w:rsidRPr="00524612" w:rsidRDefault="00524612" w:rsidP="00524612">
            <w:pPr>
              <w:spacing w:after="0"/>
            </w:pPr>
            <w:r w:rsidRPr="00524612">
              <w:t>(</w:t>
            </w:r>
            <w:r w:rsidR="00D11229">
              <w:t>8</w:t>
            </w:r>
            <w:r w:rsidRPr="00524612">
              <w:t>) BA Scheduling Constraint</w:t>
            </w:r>
          </w:p>
        </w:tc>
        <w:tc>
          <w:tcPr>
            <w:tcW w:w="4279" w:type="dxa"/>
            <w:tcBorders>
              <w:top w:val="single" w:sz="8" w:space="0" w:color="000000"/>
              <w:left w:val="single" w:sz="8" w:space="0" w:color="000000"/>
              <w:bottom w:val="single" w:sz="8" w:space="0" w:color="000000"/>
              <w:right w:val="single" w:sz="8" w:space="0" w:color="000000"/>
            </w:tcBorders>
          </w:tcPr>
          <w:p w14:paraId="081F5BFB" w14:textId="77777777" w:rsidR="00524612" w:rsidRPr="00524612" w:rsidRDefault="00524612" w:rsidP="00524612">
            <w:pPr>
              <w:spacing w:after="0"/>
            </w:pPr>
            <w:r w:rsidRPr="00524612">
              <w:t>A MW limit that can be imposed on the Market Operator related to the net MW on a set of Market Transfer Interfaces and/or Market Opt-In Transfer Interfaces that have been grouped together and provided a single limit.</w:t>
            </w:r>
          </w:p>
        </w:tc>
        <w:tc>
          <w:tcPr>
            <w:tcW w:w="2689" w:type="dxa"/>
            <w:tcBorders>
              <w:top w:val="single" w:sz="8" w:space="0" w:color="000000"/>
              <w:left w:val="single" w:sz="8" w:space="0" w:color="000000"/>
              <w:bottom w:val="single" w:sz="8" w:space="0" w:color="000000"/>
              <w:right w:val="single" w:sz="8" w:space="0" w:color="000000"/>
            </w:tcBorders>
          </w:tcPr>
          <w:p w14:paraId="3618741E" w14:textId="77777777" w:rsidR="00524612" w:rsidRPr="00524612" w:rsidRDefault="00524612" w:rsidP="00524612">
            <w:pPr>
              <w:spacing w:after="0"/>
            </w:pPr>
            <w:r w:rsidRPr="00524612">
              <w:t xml:space="preserve">$1,100/*$2,100 </w:t>
            </w:r>
          </w:p>
        </w:tc>
      </w:tr>
      <w:tr w:rsidR="00524612" w:rsidRPr="00524612" w14:paraId="7B17F9EB" w14:textId="77777777">
        <w:trPr>
          <w:trHeight w:val="584"/>
        </w:trPr>
        <w:tc>
          <w:tcPr>
            <w:tcW w:w="2591" w:type="dxa"/>
          </w:tcPr>
          <w:p w14:paraId="12C559B8" w14:textId="77777777" w:rsidR="00524612" w:rsidRPr="00524612" w:rsidRDefault="00524612" w:rsidP="00524612">
            <w:pPr>
              <w:spacing w:after="0"/>
            </w:pPr>
            <w:r w:rsidRPr="00524612">
              <w:t>(9) Market Transfer Interface Constraints</w:t>
            </w:r>
          </w:p>
        </w:tc>
        <w:tc>
          <w:tcPr>
            <w:tcW w:w="4279" w:type="dxa"/>
          </w:tcPr>
          <w:p w14:paraId="380FA942" w14:textId="77777777" w:rsidR="00524612" w:rsidRPr="00524612" w:rsidRDefault="00524612" w:rsidP="00524612">
            <w:pPr>
              <w:spacing w:after="0"/>
            </w:pPr>
            <w:r w:rsidRPr="00524612">
              <w:t xml:space="preserve">A MW limit that can be imposed on the Market Operator related to the transfer of MW due to the optimization of DA or Real-time Market on a defined Market Transfer Interface schedule.  </w:t>
            </w:r>
          </w:p>
        </w:tc>
        <w:tc>
          <w:tcPr>
            <w:tcW w:w="2689" w:type="dxa"/>
          </w:tcPr>
          <w:p w14:paraId="4BDD1268" w14:textId="77777777" w:rsidR="00524612" w:rsidRPr="00524612" w:rsidRDefault="00524612" w:rsidP="00524612">
            <w:pPr>
              <w:spacing w:after="0"/>
            </w:pPr>
            <w:r w:rsidRPr="00524612">
              <w:t xml:space="preserve">$1,000/*$2,000 </w:t>
            </w:r>
          </w:p>
        </w:tc>
      </w:tr>
    </w:tbl>
    <w:p w14:paraId="7402694C" w14:textId="669559B7" w:rsidR="00C8264D" w:rsidRPr="000376CF" w:rsidRDefault="00C8264D" w:rsidP="00C8264D">
      <w:pPr>
        <w:tabs>
          <w:tab w:val="num" w:pos="1080"/>
        </w:tabs>
        <w:spacing w:before="240" w:line="300" w:lineRule="auto"/>
        <w:rPr>
          <w:szCs w:val="24"/>
        </w:rPr>
        <w:sectPr w:rsidR="00C8264D" w:rsidRPr="000376CF" w:rsidSect="00C8264D">
          <w:headerReference w:type="default" r:id="rId36"/>
          <w:footerReference w:type="even" r:id="rId37"/>
          <w:footerReference w:type="first" r:id="rId38"/>
          <w:pgSz w:w="12240" w:h="15840"/>
          <w:pgMar w:top="1728" w:right="1440" w:bottom="1728" w:left="1440" w:header="720" w:footer="720" w:gutter="0"/>
          <w:cols w:space="720"/>
          <w:docGrid w:linePitch="299"/>
        </w:sectPr>
      </w:pPr>
      <w:r w:rsidRPr="000376CF">
        <w:rPr>
          <w:rStyle w:val="ui-provider"/>
        </w:rPr>
        <w:t>* Applies only when Market Monitor has authorized one or more Resource Offers in excess of $1,000.</w:t>
      </w:r>
    </w:p>
    <w:p w14:paraId="1B8E776E" w14:textId="032BD008" w:rsidR="00C8264D" w:rsidRPr="006F07A5" w:rsidRDefault="00C8264D" w:rsidP="00574EDE">
      <w:pPr>
        <w:pStyle w:val="Heading4"/>
      </w:pPr>
      <w:bookmarkStart w:id="377" w:name="_Toc258924837"/>
      <w:bookmarkStart w:id="378" w:name="_Toc263173262"/>
      <w:bookmarkStart w:id="379" w:name="_Toc263174164"/>
      <w:bookmarkStart w:id="380" w:name="_Toc263235063"/>
      <w:bookmarkStart w:id="381" w:name="_Toc263235706"/>
      <w:bookmarkStart w:id="382" w:name="_Toc263429386"/>
      <w:bookmarkStart w:id="383" w:name="_Toc263795412"/>
      <w:bookmarkStart w:id="384" w:name="_Toc266869598"/>
      <w:bookmarkStart w:id="385" w:name="_Ref322091181"/>
      <w:bookmarkStart w:id="386" w:name="_Ref194665432"/>
      <w:bookmarkStart w:id="387" w:name="_Toc213771795"/>
      <w:bookmarkStart w:id="388" w:name="OLE_LINK178"/>
      <w:bookmarkStart w:id="389" w:name="OLE_LINK210"/>
      <w:r w:rsidRPr="006F07A5">
        <w:t xml:space="preserve">Impact of VRLs on </w:t>
      </w:r>
      <w:bookmarkEnd w:id="377"/>
      <w:bookmarkEnd w:id="378"/>
      <w:bookmarkEnd w:id="379"/>
      <w:bookmarkEnd w:id="380"/>
      <w:bookmarkEnd w:id="381"/>
      <w:bookmarkEnd w:id="382"/>
      <w:bookmarkEnd w:id="383"/>
      <w:bookmarkEnd w:id="384"/>
      <w:bookmarkEnd w:id="385"/>
      <w:r w:rsidRPr="006F07A5">
        <w:t>SCED</w:t>
      </w:r>
      <w:bookmarkEnd w:id="386"/>
      <w:bookmarkEnd w:id="387"/>
    </w:p>
    <w:p w14:paraId="3287614D" w14:textId="2F12A285" w:rsidR="002D059F" w:rsidRPr="006F07A5" w:rsidRDefault="00C8264D" w:rsidP="002D059F">
      <w:pPr>
        <w:keepLines/>
        <w:spacing w:before="240" w:after="60" w:line="300" w:lineRule="auto"/>
        <w:rPr>
          <w:szCs w:val="24"/>
          <w:lang w:val="en-AU"/>
        </w:rPr>
      </w:pPr>
      <w:r w:rsidRPr="006F07A5">
        <w:rPr>
          <w:szCs w:val="24"/>
          <w:lang w:val="en-AU"/>
        </w:rPr>
        <w:t>The applicable VRLs impact SCED in the following manner: VRLs are applied independently in the dispatch solution and pricing solution described in Section</w:t>
      </w:r>
      <w:r w:rsidRPr="006F07A5" w:rsidDel="00227792">
        <w:rPr>
          <w:szCs w:val="24"/>
          <w:lang w:val="en-AU"/>
        </w:rPr>
        <w:t xml:space="preserve"> </w:t>
      </w:r>
      <w:r w:rsidRPr="006F07A5" w:rsidDel="00227792">
        <w:rPr>
          <w:color w:val="2B579A"/>
          <w:szCs w:val="24"/>
          <w:shd w:val="clear" w:color="auto" w:fill="E6E6E6"/>
          <w:lang w:val="en-AU"/>
        </w:rPr>
        <w:fldChar w:fldCharType="begin"/>
      </w:r>
      <w:r w:rsidRPr="006F07A5" w:rsidDel="00227792">
        <w:rPr>
          <w:color w:val="2B579A"/>
          <w:szCs w:val="24"/>
          <w:shd w:val="clear" w:color="auto" w:fill="E6E6E6"/>
          <w:lang w:val="en-AU"/>
        </w:rPr>
        <w:fldChar w:fldCharType="separate"/>
      </w:r>
      <w:r w:rsidRPr="006F07A5" w:rsidDel="00227792">
        <w:rPr>
          <w:szCs w:val="24"/>
          <w:lang w:val="en-AU"/>
        </w:rPr>
        <w:t>3.1.1</w:t>
      </w:r>
      <w:r w:rsidRPr="006F07A5" w:rsidDel="00227792">
        <w:rPr>
          <w:color w:val="2B579A"/>
          <w:szCs w:val="24"/>
          <w:shd w:val="clear" w:color="auto" w:fill="E6E6E6"/>
          <w:lang w:val="en-AU"/>
        </w:rPr>
        <w:fldChar w:fldCharType="end"/>
      </w:r>
      <w:r w:rsidR="002D059F" w:rsidRPr="006F07A5">
        <w:rPr>
          <w:szCs w:val="24"/>
          <w:lang w:val="en-AU"/>
        </w:rPr>
        <w:t>.</w:t>
      </w:r>
    </w:p>
    <w:p w14:paraId="0EAC84DE" w14:textId="77777777" w:rsidR="00C8264D" w:rsidRPr="006F07A5" w:rsidRDefault="00C8264D" w:rsidP="00C8264D">
      <w:pPr>
        <w:keepLines/>
        <w:spacing w:before="120" w:line="300" w:lineRule="auto"/>
        <w:ind w:left="720" w:hanging="540"/>
        <w:rPr>
          <w:lang w:val="en-AU"/>
        </w:rPr>
      </w:pPr>
      <w:r w:rsidRPr="006F07A5">
        <w:rPr>
          <w:szCs w:val="24"/>
          <w:lang w:val="en-AU"/>
        </w:rPr>
        <w:t>(1)</w:t>
      </w:r>
      <w:r w:rsidRPr="006F07A5">
        <w:rPr>
          <w:szCs w:val="24"/>
          <w:lang w:val="en-AU"/>
        </w:rPr>
        <w:tab/>
        <w:t xml:space="preserve">When a Resource Capacity, Global Power Balance, Resource Ramp, </w:t>
      </w:r>
      <w:r w:rsidRPr="006F07A5" w:rsidDel="00092F6B">
        <w:rPr>
          <w:szCs w:val="24"/>
          <w:lang w:val="en-AU"/>
        </w:rPr>
        <w:t xml:space="preserve">or </w:t>
      </w:r>
      <w:r w:rsidRPr="006F07A5">
        <w:rPr>
          <w:szCs w:val="24"/>
          <w:lang w:val="en-AU"/>
        </w:rPr>
        <w:t>Operating</w:t>
      </w:r>
      <w:r w:rsidR="00676B78">
        <w:rPr>
          <w:szCs w:val="24"/>
          <w:lang w:val="en-AU"/>
        </w:rPr>
        <w:t xml:space="preserve"> </w:t>
      </w:r>
      <w:r w:rsidRPr="006F07A5">
        <w:rPr>
          <w:szCs w:val="24"/>
          <w:lang w:val="en-AU"/>
        </w:rPr>
        <w:t>Constraint is reached but not exceeded, it is referred to as “binding.”  In this state, VRLs are not applicable.</w:t>
      </w:r>
      <w:r w:rsidRPr="006F07A5">
        <w:rPr>
          <w:lang w:val="en-AU"/>
        </w:rPr>
        <w:t xml:space="preserve"> </w:t>
      </w:r>
    </w:p>
    <w:p w14:paraId="0B71ED7A" w14:textId="77777777" w:rsidR="00C8264D" w:rsidRPr="006F07A5" w:rsidRDefault="00C8264D" w:rsidP="00C8264D">
      <w:pPr>
        <w:keepLines/>
        <w:spacing w:before="120" w:line="300" w:lineRule="auto"/>
        <w:ind w:left="720" w:hanging="540"/>
      </w:pPr>
      <w:r w:rsidRPr="7E47467E">
        <w:t>(2)</w:t>
      </w:r>
      <w:r>
        <w:tab/>
      </w:r>
      <w:r w:rsidRPr="7E47467E">
        <w:t xml:space="preserve">When an Operating Constraint is exceeded and cannot be resolved at a Shadow Price less than or equal to the applicable Operating Constraint VRL, the constraint is relaxed so that SCED can solve (i.e. the limit is increased by the amount of the violation). </w:t>
      </w:r>
      <w:r w:rsidR="002D059F" w:rsidRPr="7E47467E">
        <w:t xml:space="preserve">E-Tags that are adjusted in the SCED process through the market clearing engine will not be increased beyond the submitted limit, even when a VRL is applied in SCED.  </w:t>
      </w:r>
      <w:r w:rsidRPr="7E47467E">
        <w:t xml:space="preserve"> The VRL values applied by SCED in this case act as a cap on the Shadow Price on the applicable Operating Constraint. </w:t>
      </w:r>
    </w:p>
    <w:p w14:paraId="2CB016F8" w14:textId="77777777" w:rsidR="00C8264D" w:rsidRPr="006F07A5" w:rsidRDefault="00C8264D" w:rsidP="00C8264D">
      <w:pPr>
        <w:keepLines/>
        <w:spacing w:before="120" w:line="300" w:lineRule="auto"/>
        <w:ind w:left="1440" w:hanging="720"/>
        <w:rPr>
          <w:lang w:val="en-AU"/>
        </w:rPr>
      </w:pPr>
      <w:r w:rsidRPr="006F07A5">
        <w:rPr>
          <w:lang w:val="en-AU"/>
        </w:rPr>
        <w:t>(a)</w:t>
      </w:r>
      <w:r w:rsidRPr="006F07A5">
        <w:rPr>
          <w:lang w:val="en-AU"/>
        </w:rPr>
        <w:tab/>
        <w:t>For example, assume Flowgate A has a 100 MW limit and SCED is re-dispatching to correct a limit violation.  The SCED Shadow Price on Flowgate A reaches $1</w:t>
      </w:r>
      <w:r>
        <w:rPr>
          <w:lang w:val="en-AU"/>
        </w:rPr>
        <w:t>,</w:t>
      </w:r>
      <w:r w:rsidRPr="006F07A5">
        <w:rPr>
          <w:lang w:val="en-AU"/>
        </w:rPr>
        <w:t>500/MW at which point the SCED calculated flow on Flowgate A is 107 MW.  At this point, SCED will stop trying to re-dispatch to meet the 100 MW limit, the limit is then increased (“relaxed”) to 107 MW, and SCED concludes its solution using the new limit.  The Shadow Price on Flowgate A is calculated based on this new 107 MW limit and will be approximately equal to $1</w:t>
      </w:r>
      <w:r>
        <w:rPr>
          <w:lang w:val="en-AU"/>
        </w:rPr>
        <w:t>,</w:t>
      </w:r>
      <w:r w:rsidRPr="006F07A5">
        <w:rPr>
          <w:lang w:val="en-AU"/>
        </w:rPr>
        <w:t xml:space="preserve">500/MW.  </w:t>
      </w:r>
    </w:p>
    <w:p w14:paraId="7A6E0407" w14:textId="77777777" w:rsidR="00C8264D" w:rsidRPr="006F07A5" w:rsidRDefault="00C8264D" w:rsidP="00C8264D">
      <w:pPr>
        <w:keepLines/>
        <w:spacing w:before="120" w:line="300" w:lineRule="auto"/>
        <w:ind w:left="1440" w:hanging="720"/>
        <w:rPr>
          <w:lang w:val="en-AU"/>
        </w:rPr>
      </w:pPr>
      <w:r w:rsidRPr="006F07A5">
        <w:rPr>
          <w:lang w:val="en-AU"/>
        </w:rPr>
        <w:t>(b)</w:t>
      </w:r>
      <w:r w:rsidRPr="006F07A5">
        <w:rPr>
          <w:lang w:val="en-AU"/>
        </w:rPr>
        <w:tab/>
        <w:t>Further to the example in (a) above and assuming that the recalculated Shadow Price is equal to $1</w:t>
      </w:r>
      <w:r>
        <w:rPr>
          <w:lang w:val="en-AU"/>
        </w:rPr>
        <w:t>,</w:t>
      </w:r>
      <w:r w:rsidRPr="006F07A5">
        <w:rPr>
          <w:lang w:val="en-AU"/>
        </w:rPr>
        <w:t>495/MW, applying the equations for calculation of LMP as described under Section</w:t>
      </w:r>
      <w:r w:rsidR="00483085">
        <w:rPr>
          <w:lang w:val="en-AU"/>
        </w:rPr>
        <w:t xml:space="preserve"> </w:t>
      </w:r>
      <w:r w:rsidRPr="006F07A5">
        <w:rPr>
          <w:lang w:val="en-AU"/>
        </w:rPr>
        <w:t xml:space="preserve"> </w:t>
      </w:r>
      <w:r w:rsidR="00483085">
        <w:rPr>
          <w:lang w:val="en-AU"/>
        </w:rPr>
        <w:fldChar w:fldCharType="begin"/>
      </w:r>
      <w:r w:rsidR="00483085">
        <w:rPr>
          <w:lang w:val="en-AU"/>
        </w:rPr>
        <w:instrText xml:space="preserve"> REF _Ref194664929 \r \h </w:instrText>
      </w:r>
      <w:r w:rsidR="00483085">
        <w:rPr>
          <w:lang w:val="en-AU"/>
        </w:rPr>
      </w:r>
      <w:r w:rsidR="00483085">
        <w:rPr>
          <w:lang w:val="en-AU"/>
        </w:rPr>
        <w:fldChar w:fldCharType="separate"/>
      </w:r>
      <w:r w:rsidR="00483085">
        <w:rPr>
          <w:lang w:val="en-AU"/>
        </w:rPr>
        <w:t>4.5.4.1</w:t>
      </w:r>
      <w:r w:rsidR="00483085">
        <w:rPr>
          <w:lang w:val="en-AU"/>
        </w:rPr>
        <w:fldChar w:fldCharType="end"/>
      </w:r>
      <w:r w:rsidRPr="006F07A5">
        <w:rPr>
          <w:lang w:val="en-AU"/>
        </w:rPr>
        <w:t xml:space="preserve"> (LMP = MEC + MCC + MLC) for Node X:</w:t>
      </w:r>
    </w:p>
    <w:p w14:paraId="699D7BDF" w14:textId="77777777" w:rsidR="00C8264D" w:rsidRPr="006F07A5" w:rsidRDefault="00C8264D" w:rsidP="00C8264D">
      <w:pPr>
        <w:keepLines/>
        <w:spacing w:before="120" w:line="300" w:lineRule="auto"/>
        <w:ind w:left="1440" w:hanging="540"/>
        <w:rPr>
          <w:lang w:val="en-AU"/>
        </w:rPr>
      </w:pPr>
      <w:r w:rsidRPr="006F07A5">
        <w:rPr>
          <w:lang w:val="en-AU"/>
        </w:rPr>
        <w:tab/>
        <w:t xml:space="preserve">Assume:  </w:t>
      </w:r>
      <w:r w:rsidRPr="006F07A5">
        <w:rPr>
          <w:lang w:val="en-AU"/>
        </w:rPr>
        <w:tab/>
        <w:t>MEC = $20/MWh</w:t>
      </w:r>
    </w:p>
    <w:p w14:paraId="59A6199D" w14:textId="77777777" w:rsidR="00C8264D" w:rsidRPr="006F07A5" w:rsidRDefault="00C8264D" w:rsidP="00C8264D">
      <w:pPr>
        <w:keepLines/>
        <w:spacing w:before="120" w:line="300" w:lineRule="auto"/>
        <w:ind w:left="1440" w:hanging="540"/>
        <w:rPr>
          <w:lang w:val="en-AU"/>
        </w:rPr>
      </w:pPr>
      <w:r w:rsidRPr="006F07A5">
        <w:rPr>
          <w:lang w:val="en-AU"/>
        </w:rPr>
        <w:tab/>
      </w:r>
      <w:r w:rsidRPr="006F07A5">
        <w:rPr>
          <w:lang w:val="en-AU"/>
        </w:rPr>
        <w:tab/>
      </w:r>
      <w:r w:rsidRPr="006F07A5">
        <w:rPr>
          <w:lang w:val="en-AU"/>
        </w:rPr>
        <w:tab/>
        <w:t>Shift Factor for Node X on Flowgate A is (-5%)</w:t>
      </w:r>
    </w:p>
    <w:p w14:paraId="543182B0" w14:textId="77777777" w:rsidR="00C8264D" w:rsidRPr="006F07A5" w:rsidRDefault="00C8264D" w:rsidP="00C8264D">
      <w:pPr>
        <w:keepLines/>
        <w:spacing w:before="120" w:line="300" w:lineRule="auto"/>
        <w:ind w:left="1440" w:hanging="540"/>
        <w:rPr>
          <w:lang w:val="en-AU"/>
        </w:rPr>
      </w:pPr>
      <w:r w:rsidRPr="006F07A5">
        <w:rPr>
          <w:lang w:val="en-AU"/>
        </w:rPr>
        <w:tab/>
      </w:r>
      <w:r w:rsidRPr="006F07A5">
        <w:rPr>
          <w:lang w:val="en-AU"/>
        </w:rPr>
        <w:tab/>
      </w:r>
      <w:r w:rsidRPr="006F07A5">
        <w:rPr>
          <w:lang w:val="en-AU"/>
        </w:rPr>
        <w:tab/>
        <w:t>MLC = 0</w:t>
      </w:r>
    </w:p>
    <w:p w14:paraId="0A6F6DF0" w14:textId="77777777" w:rsidR="00C8264D" w:rsidRPr="006F07A5" w:rsidRDefault="00C8264D" w:rsidP="00C8264D">
      <w:pPr>
        <w:keepLines/>
        <w:spacing w:before="120" w:line="300" w:lineRule="auto"/>
        <w:ind w:left="2880"/>
        <w:rPr>
          <w:lang w:val="en-AU"/>
        </w:rPr>
      </w:pPr>
      <w:r w:rsidRPr="006F07A5">
        <w:rPr>
          <w:lang w:val="en-AU"/>
        </w:rPr>
        <w:t>MCC = Shadow Price * Shift Factor</w:t>
      </w:r>
    </w:p>
    <w:p w14:paraId="6FD9350D" w14:textId="77777777" w:rsidR="00C8264D" w:rsidRPr="006F07A5" w:rsidRDefault="00C8264D" w:rsidP="00C8264D">
      <w:pPr>
        <w:keepLines/>
        <w:spacing w:before="120" w:line="300" w:lineRule="auto"/>
        <w:ind w:left="1440" w:hanging="540"/>
        <w:rPr>
          <w:lang w:val="en-AU"/>
        </w:rPr>
      </w:pPr>
      <w:r w:rsidRPr="006F07A5">
        <w:rPr>
          <w:lang w:val="en-AU"/>
        </w:rPr>
        <w:tab/>
        <w:t>Then:  Node X LMP = $20/MWh - ($1</w:t>
      </w:r>
      <w:r>
        <w:rPr>
          <w:lang w:val="en-AU"/>
        </w:rPr>
        <w:t>,</w:t>
      </w:r>
      <w:r w:rsidRPr="006F07A5">
        <w:rPr>
          <w:lang w:val="en-AU"/>
        </w:rPr>
        <w:t>495/MWh * -.05) = $94.75/MWh.</w:t>
      </w:r>
    </w:p>
    <w:p w14:paraId="7AD51BA5" w14:textId="77777777" w:rsidR="00C8264D" w:rsidRPr="006F07A5" w:rsidRDefault="00C8264D" w:rsidP="00C8264D">
      <w:pPr>
        <w:keepLines/>
        <w:spacing w:before="120" w:line="300" w:lineRule="auto"/>
        <w:ind w:left="720" w:hanging="540"/>
        <w:rPr>
          <w:lang w:val="en-AU"/>
        </w:rPr>
      </w:pPr>
      <w:r w:rsidRPr="006F07A5">
        <w:rPr>
          <w:lang w:val="en-AU"/>
        </w:rPr>
        <w:t xml:space="preserve">(3)    When a Resource Ramp Constraint for Energy in the up direction is exceeded and cannot be resolved, the Resource ramp rate constraint is relaxed in a subsequent SCED solution.  The VRL values applied by SCED in this case act as a cap on the Shadow Price of the constraint.  </w:t>
      </w:r>
    </w:p>
    <w:p w14:paraId="5C9286BF" w14:textId="77777777" w:rsidR="00C8264D" w:rsidRPr="006F07A5" w:rsidRDefault="00C8264D" w:rsidP="00C8264D">
      <w:pPr>
        <w:keepLines/>
        <w:spacing w:before="120" w:line="300" w:lineRule="auto"/>
        <w:ind w:left="720" w:hanging="540"/>
        <w:rPr>
          <w:lang w:val="en-AU"/>
        </w:rPr>
      </w:pPr>
      <w:r w:rsidRPr="006F07A5">
        <w:rPr>
          <w:lang w:val="en-AU"/>
        </w:rPr>
        <w:t>(4)    When a Resource Ramp Constraint for Energy in the down direction is exceeded and cannot be resolved, the Resource ramp rate constraint is relaxed in a subsequent SCED solution.  The VRL values applied by SCED in this case act as a cap on the Shadow Price of the constraint.</w:t>
      </w:r>
    </w:p>
    <w:p w14:paraId="1B19C5A6" w14:textId="77777777" w:rsidR="00C8264D" w:rsidRPr="006F07A5" w:rsidRDefault="00C8264D" w:rsidP="00574EDE">
      <w:pPr>
        <w:pStyle w:val="Heading4"/>
      </w:pPr>
      <w:bookmarkStart w:id="390" w:name="_Toc212633272"/>
      <w:bookmarkStart w:id="391" w:name="_Toc212633953"/>
      <w:bookmarkStart w:id="392" w:name="_Toc279571619"/>
      <w:bookmarkStart w:id="393" w:name="_Toc280278507"/>
      <w:bookmarkStart w:id="394" w:name="_Toc258924838"/>
      <w:bookmarkStart w:id="395" w:name="_Toc263173263"/>
      <w:bookmarkStart w:id="396" w:name="_Toc263174165"/>
      <w:bookmarkStart w:id="397" w:name="_Toc263235064"/>
      <w:bookmarkStart w:id="398" w:name="_Toc263235707"/>
      <w:bookmarkStart w:id="399" w:name="_Toc263429387"/>
      <w:bookmarkStart w:id="400" w:name="_Toc263795413"/>
      <w:bookmarkStart w:id="401" w:name="_Toc266869599"/>
      <w:bookmarkStart w:id="402" w:name="_Toc213771796"/>
      <w:bookmarkEnd w:id="361"/>
      <w:bookmarkEnd w:id="362"/>
      <w:bookmarkEnd w:id="388"/>
      <w:bookmarkEnd w:id="389"/>
      <w:bookmarkEnd w:id="390"/>
      <w:bookmarkEnd w:id="391"/>
      <w:bookmarkEnd w:id="392"/>
      <w:bookmarkEnd w:id="393"/>
      <w:r w:rsidRPr="006F07A5">
        <w:t>Determination of VRLs</w:t>
      </w:r>
      <w:bookmarkEnd w:id="394"/>
      <w:bookmarkEnd w:id="395"/>
      <w:bookmarkEnd w:id="396"/>
      <w:bookmarkEnd w:id="397"/>
      <w:bookmarkEnd w:id="398"/>
      <w:bookmarkEnd w:id="399"/>
      <w:bookmarkEnd w:id="400"/>
      <w:bookmarkEnd w:id="401"/>
      <w:bookmarkEnd w:id="402"/>
    </w:p>
    <w:p w14:paraId="46C03D6F" w14:textId="78F19FE8" w:rsidR="00C8264D" w:rsidRPr="006F07A5" w:rsidRDefault="00C8264D" w:rsidP="00C8264D">
      <w:pPr>
        <w:autoSpaceDE w:val="0"/>
        <w:autoSpaceDN w:val="0"/>
        <w:adjustRightInd w:val="0"/>
        <w:spacing w:before="120" w:line="300" w:lineRule="auto"/>
        <w:rPr>
          <w:color w:val="000000"/>
          <w:szCs w:val="32"/>
        </w:rPr>
      </w:pPr>
      <w:r>
        <w:rPr>
          <w:color w:val="000000"/>
          <w:szCs w:val="32"/>
        </w:rPr>
        <w:t xml:space="preserve">Annually following the initial issuance of the VRL Report in Section </w:t>
      </w:r>
      <w:r w:rsidR="00F83980">
        <w:rPr>
          <w:color w:val="000000"/>
          <w:szCs w:val="32"/>
        </w:rPr>
        <w:fldChar w:fldCharType="begin"/>
      </w:r>
      <w:r w:rsidR="00F83980">
        <w:rPr>
          <w:color w:val="000000"/>
          <w:szCs w:val="32"/>
        </w:rPr>
        <w:instrText xml:space="preserve"> REF _Ref194665156 \r \h </w:instrText>
      </w:r>
      <w:r w:rsidR="00F83980">
        <w:rPr>
          <w:color w:val="000000"/>
          <w:szCs w:val="32"/>
        </w:rPr>
      </w:r>
      <w:r w:rsidR="00F83980">
        <w:rPr>
          <w:color w:val="000000"/>
          <w:szCs w:val="32"/>
        </w:rPr>
        <w:fldChar w:fldCharType="separate"/>
      </w:r>
      <w:r w:rsidR="00F83980">
        <w:rPr>
          <w:color w:val="000000"/>
          <w:szCs w:val="32"/>
        </w:rPr>
        <w:t>4.1.4.3</w:t>
      </w:r>
      <w:r w:rsidR="00F83980">
        <w:rPr>
          <w:color w:val="000000"/>
          <w:szCs w:val="32"/>
        </w:rPr>
        <w:fldChar w:fldCharType="end"/>
      </w:r>
      <w:r>
        <w:rPr>
          <w:color w:val="000000"/>
          <w:szCs w:val="32"/>
        </w:rPr>
        <w:t xml:space="preserve">, </w:t>
      </w:r>
      <w:r w:rsidRPr="006F07A5">
        <w:rPr>
          <w:color w:val="000000"/>
          <w:szCs w:val="32"/>
        </w:rPr>
        <w:t xml:space="preserve">VRLs and their associated values </w:t>
      </w:r>
      <w:r>
        <w:rPr>
          <w:color w:val="000000"/>
          <w:szCs w:val="32"/>
        </w:rPr>
        <w:t>will</w:t>
      </w:r>
      <w:r w:rsidRPr="006F07A5">
        <w:rPr>
          <w:color w:val="000000"/>
          <w:szCs w:val="32"/>
        </w:rPr>
        <w:t xml:space="preserve"> be reviewed and approved by the </w:t>
      </w:r>
      <w:r>
        <w:rPr>
          <w:color w:val="000000"/>
          <w:szCs w:val="32"/>
        </w:rPr>
        <w:t>Markets+ Participant Executive Committee (MPEC)</w:t>
      </w:r>
      <w:r w:rsidRPr="006F07A5">
        <w:rPr>
          <w:color w:val="000000"/>
          <w:szCs w:val="32"/>
        </w:rPr>
        <w:t xml:space="preserve"> based on recommendations received from </w:t>
      </w:r>
      <w:r>
        <w:rPr>
          <w:color w:val="000000"/>
          <w:szCs w:val="32"/>
        </w:rPr>
        <w:t>Markets+ Operations and Reliability Working Group (</w:t>
      </w:r>
      <w:r w:rsidRPr="006F07A5">
        <w:rPr>
          <w:color w:val="000000"/>
          <w:szCs w:val="32"/>
        </w:rPr>
        <w:t>MORWG</w:t>
      </w:r>
      <w:r>
        <w:rPr>
          <w:color w:val="000000"/>
          <w:szCs w:val="32"/>
        </w:rPr>
        <w:t>)</w:t>
      </w:r>
      <w:r w:rsidRPr="006F07A5">
        <w:rPr>
          <w:color w:val="000000"/>
          <w:szCs w:val="32"/>
        </w:rPr>
        <w:t xml:space="preserve"> and MDWG.  Any changes to the VRLs or associated values must be approved for filing by the </w:t>
      </w:r>
      <w:r>
        <w:rPr>
          <w:color w:val="000000"/>
          <w:szCs w:val="32"/>
        </w:rPr>
        <w:t>Markets+ Independent Panel</w:t>
      </w:r>
      <w:r w:rsidRPr="006F07A5">
        <w:rPr>
          <w:color w:val="000000"/>
          <w:szCs w:val="32"/>
        </w:rPr>
        <w:t xml:space="preserve"> and the Board of Directors and approved by FERC prior to their implementation.  The most recent FERC approved VRLs and their associated values </w:t>
      </w:r>
      <w:r>
        <w:rPr>
          <w:color w:val="000000"/>
          <w:szCs w:val="32"/>
        </w:rPr>
        <w:t>will</w:t>
      </w:r>
      <w:r w:rsidRPr="006F07A5">
        <w:rPr>
          <w:color w:val="000000"/>
          <w:szCs w:val="32"/>
        </w:rPr>
        <w:t xml:space="preserve"> be posted on </w:t>
      </w:r>
      <w:r>
        <w:rPr>
          <w:color w:val="000000"/>
          <w:szCs w:val="32"/>
        </w:rPr>
        <w:t>the Market Operator’s</w:t>
      </w:r>
      <w:r w:rsidRPr="006F07A5">
        <w:rPr>
          <w:color w:val="000000"/>
          <w:szCs w:val="32"/>
        </w:rPr>
        <w:t xml:space="preserve"> website.  </w:t>
      </w:r>
    </w:p>
    <w:p w14:paraId="580193C7" w14:textId="77777777" w:rsidR="00C8264D" w:rsidRPr="006F07A5" w:rsidRDefault="00C8264D" w:rsidP="00C8264D">
      <w:pPr>
        <w:autoSpaceDE w:val="0"/>
        <w:autoSpaceDN w:val="0"/>
        <w:adjustRightInd w:val="0"/>
        <w:spacing w:before="120" w:line="300" w:lineRule="auto"/>
        <w:rPr>
          <w:color w:val="000000"/>
          <w:szCs w:val="32"/>
        </w:rPr>
      </w:pPr>
      <w:r>
        <w:rPr>
          <w:color w:val="000000"/>
          <w:szCs w:val="24"/>
        </w:rPr>
        <w:t>The Market Operator</w:t>
      </w:r>
      <w:r w:rsidRPr="007A1E40">
        <w:rPr>
          <w:color w:val="000000"/>
          <w:szCs w:val="24"/>
        </w:rPr>
        <w:t xml:space="preserve"> </w:t>
      </w:r>
      <w:r>
        <w:rPr>
          <w:color w:val="000000"/>
          <w:szCs w:val="24"/>
        </w:rPr>
        <w:t>will</w:t>
      </w:r>
      <w:r w:rsidRPr="006F07A5">
        <w:rPr>
          <w:color w:val="000000"/>
          <w:szCs w:val="32"/>
        </w:rPr>
        <w:t xml:space="preserve"> post the following information on </w:t>
      </w:r>
      <w:r>
        <w:rPr>
          <w:color w:val="000000"/>
          <w:szCs w:val="32"/>
        </w:rPr>
        <w:t>the Market Operator’s</w:t>
      </w:r>
      <w:r w:rsidRPr="006F07A5">
        <w:rPr>
          <w:color w:val="000000"/>
          <w:szCs w:val="32"/>
        </w:rPr>
        <w:t xml:space="preserve"> website on at least a monthly basis within </w:t>
      </w:r>
      <w:r>
        <w:rPr>
          <w:color w:val="000000"/>
          <w:szCs w:val="32"/>
        </w:rPr>
        <w:t>fifteen (</w:t>
      </w:r>
      <w:r w:rsidRPr="006F07A5">
        <w:rPr>
          <w:color w:val="000000"/>
          <w:szCs w:val="32"/>
        </w:rPr>
        <w:t>15</w:t>
      </w:r>
      <w:r>
        <w:rPr>
          <w:color w:val="000000"/>
          <w:szCs w:val="32"/>
        </w:rPr>
        <w:t>)</w:t>
      </w:r>
      <w:r w:rsidRPr="006F07A5">
        <w:rPr>
          <w:color w:val="000000"/>
          <w:szCs w:val="32"/>
        </w:rPr>
        <w:t xml:space="preserve"> days of the last day of the month:  </w:t>
      </w:r>
    </w:p>
    <w:p w14:paraId="4F8F2BEF" w14:textId="77777777" w:rsidR="00C8264D" w:rsidRPr="006F07A5" w:rsidRDefault="00C8264D" w:rsidP="00C8264D">
      <w:pPr>
        <w:autoSpaceDE w:val="0"/>
        <w:autoSpaceDN w:val="0"/>
        <w:adjustRightInd w:val="0"/>
        <w:spacing w:before="120" w:line="300" w:lineRule="auto"/>
        <w:ind w:left="720" w:hanging="540"/>
        <w:rPr>
          <w:color w:val="000000"/>
          <w:szCs w:val="32"/>
        </w:rPr>
      </w:pPr>
      <w:r w:rsidRPr="006F07A5">
        <w:rPr>
          <w:color w:val="000000"/>
          <w:szCs w:val="32"/>
        </w:rPr>
        <w:t>(1)</w:t>
      </w:r>
      <w:r w:rsidRPr="006F07A5">
        <w:rPr>
          <w:color w:val="000000"/>
          <w:szCs w:val="32"/>
        </w:rPr>
        <w:tab/>
        <w:t>The number of times that VRL values were applied by SCED during the month, and associated detail regarding the VRL type and value for each incident;</w:t>
      </w:r>
    </w:p>
    <w:p w14:paraId="42954637" w14:textId="77777777" w:rsidR="00C8264D" w:rsidRPr="006F07A5" w:rsidRDefault="00C8264D" w:rsidP="00C8264D">
      <w:pPr>
        <w:autoSpaceDE w:val="0"/>
        <w:autoSpaceDN w:val="0"/>
        <w:adjustRightInd w:val="0"/>
        <w:spacing w:before="120" w:line="300" w:lineRule="auto"/>
        <w:ind w:left="720" w:hanging="540"/>
        <w:rPr>
          <w:color w:val="000000"/>
          <w:szCs w:val="32"/>
        </w:rPr>
      </w:pPr>
      <w:r w:rsidRPr="006F07A5">
        <w:rPr>
          <w:color w:val="000000"/>
          <w:szCs w:val="32"/>
        </w:rPr>
        <w:t>(2)</w:t>
      </w:r>
      <w:r w:rsidRPr="006F07A5">
        <w:rPr>
          <w:color w:val="000000"/>
          <w:szCs w:val="32"/>
        </w:rPr>
        <w:tab/>
        <w:t xml:space="preserve">The value of each LMP in excess of the Safety-Net offer cap or below zero (0) during the month; </w:t>
      </w:r>
    </w:p>
    <w:p w14:paraId="73B39660" w14:textId="77777777" w:rsidR="00C8264D" w:rsidRPr="006F07A5" w:rsidRDefault="00C8264D" w:rsidP="00C8264D">
      <w:pPr>
        <w:autoSpaceDE w:val="0"/>
        <w:autoSpaceDN w:val="0"/>
        <w:adjustRightInd w:val="0"/>
        <w:spacing w:before="120" w:line="300" w:lineRule="auto"/>
        <w:ind w:left="720" w:hanging="540"/>
        <w:rPr>
          <w:color w:val="000000"/>
          <w:szCs w:val="32"/>
        </w:rPr>
      </w:pPr>
      <w:r w:rsidRPr="006F07A5">
        <w:rPr>
          <w:color w:val="000000"/>
          <w:szCs w:val="32"/>
        </w:rPr>
        <w:t>(3)</w:t>
      </w:r>
      <w:r w:rsidRPr="006F07A5">
        <w:rPr>
          <w:color w:val="000000"/>
          <w:szCs w:val="32"/>
        </w:rPr>
        <w:tab/>
        <w:t xml:space="preserve">The number and duration of each incident where a VRL was employed with respect to the same flowgate for two or more consecutive intervals; </w:t>
      </w:r>
      <w:r>
        <w:rPr>
          <w:color w:val="000000"/>
          <w:szCs w:val="32"/>
        </w:rPr>
        <w:t>and</w:t>
      </w:r>
    </w:p>
    <w:p w14:paraId="4B9CDE61" w14:textId="77777777" w:rsidR="00C8264D" w:rsidRPr="006F07A5" w:rsidRDefault="00C8264D" w:rsidP="00C8264D">
      <w:pPr>
        <w:autoSpaceDE w:val="0"/>
        <w:autoSpaceDN w:val="0"/>
        <w:adjustRightInd w:val="0"/>
        <w:spacing w:before="120" w:line="300" w:lineRule="auto"/>
        <w:ind w:left="720" w:hanging="540"/>
        <w:rPr>
          <w:color w:val="000000"/>
          <w:szCs w:val="32"/>
        </w:rPr>
      </w:pPr>
      <w:r w:rsidRPr="006F07A5">
        <w:rPr>
          <w:color w:val="000000"/>
          <w:szCs w:val="32"/>
        </w:rPr>
        <w:t>(4)</w:t>
      </w:r>
      <w:r w:rsidRPr="006F07A5">
        <w:rPr>
          <w:color w:val="000000"/>
          <w:szCs w:val="32"/>
        </w:rPr>
        <w:tab/>
        <w:t>The number and magnitude of OOMEs issued coincident with the application of a VRL.</w:t>
      </w:r>
    </w:p>
    <w:p w14:paraId="47C2B1B5" w14:textId="6BFAF3FC" w:rsidR="00E75487" w:rsidRPr="006F07A5" w:rsidRDefault="000F4DB8" w:rsidP="00574EDE">
      <w:pPr>
        <w:pStyle w:val="Heading4"/>
      </w:pPr>
      <w:bookmarkStart w:id="403" w:name="_Toc213771797"/>
      <w:bookmarkStart w:id="404" w:name="_Toc258924839"/>
      <w:bookmarkStart w:id="405" w:name="_Toc263173264"/>
      <w:bookmarkStart w:id="406" w:name="_Toc263174166"/>
      <w:bookmarkStart w:id="407" w:name="_Toc263235065"/>
      <w:bookmarkStart w:id="408" w:name="_Toc263235708"/>
      <w:bookmarkStart w:id="409" w:name="_Toc263429388"/>
      <w:bookmarkStart w:id="410" w:name="_Toc263795414"/>
      <w:bookmarkStart w:id="411" w:name="_Toc266869600"/>
      <w:r>
        <w:t>Annual VRL Reporting</w:t>
      </w:r>
      <w:bookmarkEnd w:id="403"/>
    </w:p>
    <w:bookmarkEnd w:id="404"/>
    <w:bookmarkEnd w:id="405"/>
    <w:bookmarkEnd w:id="406"/>
    <w:bookmarkEnd w:id="407"/>
    <w:bookmarkEnd w:id="408"/>
    <w:bookmarkEnd w:id="409"/>
    <w:bookmarkEnd w:id="410"/>
    <w:bookmarkEnd w:id="411"/>
    <w:p w14:paraId="56350562" w14:textId="07DBFD90" w:rsidR="00C8264D" w:rsidRPr="006F07A5" w:rsidRDefault="00EA36E4" w:rsidP="00C8264D">
      <w:pPr>
        <w:spacing w:line="300" w:lineRule="auto"/>
        <w:rPr>
          <w:szCs w:val="24"/>
        </w:rPr>
      </w:pPr>
      <w:r>
        <w:rPr>
          <w:color w:val="000000"/>
          <w:szCs w:val="32"/>
        </w:rPr>
        <w:t xml:space="preserve">The </w:t>
      </w:r>
      <w:r w:rsidR="00C8264D">
        <w:rPr>
          <w:color w:val="000000"/>
          <w:szCs w:val="24"/>
        </w:rPr>
        <w:t>Market Operator</w:t>
      </w:r>
      <w:r w:rsidR="00C8264D" w:rsidRPr="007A1E40">
        <w:rPr>
          <w:color w:val="000000"/>
          <w:szCs w:val="24"/>
        </w:rPr>
        <w:t xml:space="preserve"> </w:t>
      </w:r>
      <w:r w:rsidR="00C8264D" w:rsidRPr="006F07A5">
        <w:t xml:space="preserve">will provide </w:t>
      </w:r>
      <w:r w:rsidR="00C8264D">
        <w:t xml:space="preserve">a VRL Report </w:t>
      </w:r>
      <w:r w:rsidR="00C8264D" w:rsidRPr="006F07A5">
        <w:t xml:space="preserve">to the MORWG and MDWG.  </w:t>
      </w:r>
      <w:r w:rsidR="00C8264D">
        <w:t>The VRL Report will</w:t>
      </w:r>
      <w:r w:rsidR="00C8264D" w:rsidRPr="006F07A5">
        <w:rPr>
          <w:szCs w:val="24"/>
        </w:rPr>
        <w:t xml:space="preserve"> </w:t>
      </w:r>
      <w:r w:rsidR="00C8264D">
        <w:t>analyze the effectiveness of VRLs</w:t>
      </w:r>
      <w:r w:rsidR="00C8264D" w:rsidRPr="006F07A5">
        <w:t xml:space="preserve"> </w:t>
      </w:r>
      <w:r w:rsidR="00C8264D" w:rsidRPr="006F07A5">
        <w:rPr>
          <w:szCs w:val="24"/>
        </w:rPr>
        <w:t>and associated values on reliability and prices</w:t>
      </w:r>
      <w:r w:rsidR="00C8264D">
        <w:rPr>
          <w:szCs w:val="24"/>
        </w:rPr>
        <w:t xml:space="preserve">. </w:t>
      </w:r>
      <w:r w:rsidR="00C8264D">
        <w:t xml:space="preserve">The VRL Report will also include a </w:t>
      </w:r>
      <w:r w:rsidR="00C8264D" w:rsidRPr="006F07A5">
        <w:rPr>
          <w:szCs w:val="24"/>
        </w:rPr>
        <w:t>sensitivity analysis of the existing VRL</w:t>
      </w:r>
      <w:r w:rsidR="00C8264D">
        <w:rPr>
          <w:szCs w:val="24"/>
        </w:rPr>
        <w:t>s</w:t>
      </w:r>
      <w:r w:rsidR="00C8264D" w:rsidRPr="006F07A5">
        <w:rPr>
          <w:szCs w:val="24"/>
        </w:rPr>
        <w:t xml:space="preserve"> and associated values</w:t>
      </w:r>
      <w:r w:rsidR="00C8264D">
        <w:t xml:space="preserve"> and a</w:t>
      </w:r>
      <w:r w:rsidR="00C8264D" w:rsidRPr="006F07A5">
        <w:t xml:space="preserve"> set of proposed VRLs and associated values</w:t>
      </w:r>
      <w:r w:rsidR="00C8264D">
        <w:t xml:space="preserve">. </w:t>
      </w:r>
      <w:r w:rsidR="00C8264D">
        <w:rPr>
          <w:szCs w:val="24"/>
        </w:rPr>
        <w:t xml:space="preserve"> </w:t>
      </w:r>
      <w:r w:rsidR="00C8264D" w:rsidRPr="006F07A5">
        <w:rPr>
          <w:szCs w:val="24"/>
        </w:rPr>
        <w:t xml:space="preserve">If changes are warranted, </w:t>
      </w:r>
      <w:r w:rsidR="00C8264D">
        <w:rPr>
          <w:color w:val="000000"/>
          <w:szCs w:val="24"/>
        </w:rPr>
        <w:t>the Market Operator</w:t>
      </w:r>
      <w:r w:rsidR="00C8264D" w:rsidRPr="007A1E40">
        <w:rPr>
          <w:color w:val="000000"/>
          <w:szCs w:val="24"/>
        </w:rPr>
        <w:t xml:space="preserve"> </w:t>
      </w:r>
      <w:r w:rsidR="00C8264D">
        <w:rPr>
          <w:color w:val="000000"/>
          <w:szCs w:val="24"/>
        </w:rPr>
        <w:t xml:space="preserve">will </w:t>
      </w:r>
      <w:r w:rsidR="00C8264D" w:rsidRPr="006F07A5">
        <w:rPr>
          <w:szCs w:val="24"/>
        </w:rPr>
        <w:t>recommend changes to the MORWG and the MDWG for consideration.</w:t>
      </w:r>
      <w:r w:rsidR="00C8264D">
        <w:rPr>
          <w:szCs w:val="24"/>
        </w:rPr>
        <w:t xml:space="preserve">  After review of the VRL Report, </w:t>
      </w:r>
      <w:r w:rsidR="00C8264D">
        <w:t xml:space="preserve">the </w:t>
      </w:r>
      <w:r w:rsidR="00C8264D" w:rsidRPr="006F07A5">
        <w:t>MORWG and MDWG will recommend a set of proposed VRLs and associated values to the MPEC.</w:t>
      </w:r>
      <w:r w:rsidR="00C8264D">
        <w:t xml:space="preserve">  </w:t>
      </w:r>
    </w:p>
    <w:p w14:paraId="20EE77C7" w14:textId="27C4E7FD" w:rsidR="000F4DB8" w:rsidRDefault="00206E86" w:rsidP="00574EDE">
      <w:pPr>
        <w:pStyle w:val="Heading4"/>
      </w:pPr>
      <w:bookmarkStart w:id="412" w:name="_Toc213771798"/>
      <w:bookmarkStart w:id="413" w:name="_Toc263795417"/>
      <w:bookmarkStart w:id="414" w:name="_Toc266869601"/>
      <w:bookmarkStart w:id="415" w:name="_Ref269287607"/>
      <w:bookmarkStart w:id="416" w:name="_Ref270424815"/>
      <w:bookmarkStart w:id="417" w:name="_Ref270427099"/>
      <w:bookmarkStart w:id="418" w:name="_Ref270427517"/>
      <w:bookmarkStart w:id="419" w:name="_Ref270490108"/>
      <w:bookmarkStart w:id="420" w:name="_Ref270664111"/>
      <w:bookmarkStart w:id="421" w:name="_Ref322091405"/>
      <w:bookmarkStart w:id="422" w:name="_Ref378852037"/>
      <w:bookmarkStart w:id="423" w:name="_Ref378852155"/>
      <w:bookmarkStart w:id="424" w:name="_Ref489879992"/>
      <w:bookmarkStart w:id="425" w:name="_Ref489880010"/>
      <w:bookmarkStart w:id="426" w:name="_Ref489880043"/>
      <w:bookmarkStart w:id="427" w:name="_Ref489880127"/>
      <w:bookmarkStart w:id="428" w:name="_Ref489880193"/>
      <w:bookmarkStart w:id="429" w:name="_Ref160018977"/>
      <w:bookmarkStart w:id="430" w:name="_Ref160019095"/>
      <w:bookmarkStart w:id="431" w:name="_Ref212550364"/>
      <w:r>
        <w:t>Market Transfer Interface Tagging</w:t>
      </w:r>
      <w:bookmarkEnd w:id="412"/>
    </w:p>
    <w:p w14:paraId="5B1E9024" w14:textId="2B589CD8" w:rsidR="00EB3874" w:rsidRPr="004046DB" w:rsidRDefault="00EB3874" w:rsidP="00EB3874">
      <w:pPr>
        <w:spacing w:line="300" w:lineRule="auto"/>
      </w:pPr>
      <w:r>
        <w:t xml:space="preserve">The e-Tags for each registered MTI and MOTI must be submitted prior to the start of the Day-Ahead Market.  The e-Tags will be coordinated between the exporting BAA and importing BAA but may be submitted up to a monthly duration.  MTI and MOTI e-Tags must comply with the Interchange Scheduling Guidelines for Markets+.    Each MTI and MOTI e-Tag will be created by the BAA entity as the PSE.   An MTI e-Tag with a Normal Transaction Type and priority above 0-NX must provide a transmission capacity profile quantity equal to the maximum that could be allowed for that priority.  For MOTI e-Tags, the transmission profile will be established by the contributed transmission service.  The transaction type on the </w:t>
      </w:r>
      <w:r w:rsidR="004E69AB">
        <w:t>e-T</w:t>
      </w:r>
      <w:r>
        <w:t xml:space="preserve">ags may be Normal or Dynamic as defined by NAESB. MTI and MOTI e-Tags will be adjusted by the Market Operator with the allocated interchange MW quantities following the Day-Ahead Market awards.  These e-Tags will also roll into the RTBM but will not be considered fixed schedules for the RUC processes, but the e-Tags will be adjusted to reflect each RUC run.  Each e-Tag specifying Normal transaction type will be adjusted again by the Market Operator following the Pre-RTBM SCED run </w:t>
      </w:r>
      <w:r w:rsidR="00064B9B">
        <w:t>thirty (</w:t>
      </w:r>
      <w:r>
        <w:t>30</w:t>
      </w:r>
      <w:r w:rsidR="00064B9B">
        <w:t>)</w:t>
      </w:r>
      <w:r>
        <w:t xml:space="preserve"> minutes prior to each Operating Hour.  Following the completion of this Pre-RTBM SCED all schedules with an e-Tag specifying Normal transaction type will become fixed for RTBM in the subsequent Operating Hour. MTIs or MOTIs with a transaction type of Dynamic will be updated by the Participating BAs with the 5-minute allocations integrated for the Operating Hour. </w:t>
      </w:r>
    </w:p>
    <w:p w14:paraId="4B1C6395" w14:textId="77777777" w:rsidR="00C8264D" w:rsidRPr="006F07A5" w:rsidRDefault="00C8264D" w:rsidP="004B66CD">
      <w:pPr>
        <w:pStyle w:val="Heading3"/>
      </w:pPr>
      <w:bookmarkStart w:id="432" w:name="_Toc213771799"/>
      <w:bookmarkStart w:id="433" w:name="_Ref214883939"/>
      <w:bookmarkStart w:id="434" w:name="_Ref214884056"/>
      <w:bookmarkStart w:id="435" w:name="_Ref214884252"/>
      <w:r w:rsidRPr="006F07A5">
        <w:t>Scarcity Pricing</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1B2522F3" w14:textId="3BD891A6" w:rsidR="00C8264D" w:rsidRPr="006F07A5" w:rsidRDefault="00C8264D" w:rsidP="00C35DA0">
      <w:pPr>
        <w:numPr>
          <w:ilvl w:val="0"/>
          <w:numId w:val="35"/>
        </w:numPr>
        <w:spacing w:line="300" w:lineRule="auto"/>
      </w:pPr>
      <w:r w:rsidRPr="006F07A5">
        <w:t xml:space="preserve">Demand Curves are applied independently in the dispatch solution and pricing solution described in Section </w:t>
      </w:r>
      <w:r w:rsidR="00287B30">
        <w:fldChar w:fldCharType="begin"/>
      </w:r>
      <w:r w:rsidR="00287B30">
        <w:instrText xml:space="preserve"> REF _Ref212540108 \r \h </w:instrText>
      </w:r>
      <w:r w:rsidR="00287B30">
        <w:fldChar w:fldCharType="separate"/>
      </w:r>
      <w:r w:rsidR="00287B30">
        <w:t>3.2</w:t>
      </w:r>
      <w:r w:rsidR="00287B30">
        <w:fldChar w:fldCharType="end"/>
      </w:r>
      <w:r w:rsidRPr="006F07A5">
        <w:rPr>
          <w:color w:val="2B579A"/>
          <w:shd w:val="clear" w:color="auto" w:fill="E6E6E6"/>
        </w:rPr>
        <w:fldChar w:fldCharType="begin"/>
      </w:r>
      <w:r w:rsidRPr="006F07A5">
        <w:instrText xml:space="preserve"> REF _Ref100146196 \r \h </w:instrText>
      </w:r>
      <w:r w:rsidRPr="006F07A5">
        <w:rPr>
          <w:color w:val="2B579A"/>
          <w:shd w:val="clear" w:color="auto" w:fill="E6E6E6"/>
        </w:rPr>
      </w:r>
      <w:r w:rsidRPr="006F07A5">
        <w:rPr>
          <w:color w:val="2B579A"/>
          <w:shd w:val="clear" w:color="auto" w:fill="E6E6E6"/>
        </w:rPr>
        <w:fldChar w:fldCharType="separate"/>
      </w:r>
      <w:r w:rsidRPr="006F07A5">
        <w:rPr>
          <w:color w:val="2B579A"/>
          <w:shd w:val="clear" w:color="auto" w:fill="E6E6E6"/>
        </w:rPr>
        <w:fldChar w:fldCharType="end"/>
      </w:r>
      <w:r w:rsidRPr="006F07A5">
        <w:t xml:space="preserve">.  </w:t>
      </w:r>
      <w:r>
        <w:t>T</w:t>
      </w:r>
      <w:r>
        <w:rPr>
          <w:color w:val="000000"/>
          <w:szCs w:val="24"/>
        </w:rPr>
        <w:t>he Market Operator</w:t>
      </w:r>
      <w:r w:rsidRPr="007A1E40">
        <w:rPr>
          <w:color w:val="000000"/>
          <w:szCs w:val="24"/>
        </w:rPr>
        <w:t xml:space="preserve"> </w:t>
      </w:r>
      <w:r w:rsidRPr="006F07A5">
        <w:t>uses Demand Curves in both the D</w:t>
      </w:r>
      <w:r>
        <w:t>ay-</w:t>
      </w:r>
      <w:r w:rsidRPr="006F07A5">
        <w:t>A</w:t>
      </w:r>
      <w:r>
        <w:t>head</w:t>
      </w:r>
      <w:r w:rsidRPr="006F07A5">
        <w:t xml:space="preserve"> Market and RTBM during times of capacity shortages (scarcity pricing), either on a </w:t>
      </w:r>
      <w:r w:rsidR="009B5D98">
        <w:t xml:space="preserve">Balancing Authority basis, </w:t>
      </w:r>
      <w:r w:rsidRPr="006F07A5">
        <w:t xml:space="preserve">Reserve Zone basis or system-wide basis.  There are three Demand Curves that apply on a system-wide basis </w:t>
      </w:r>
      <w:r w:rsidRPr="006F07A5" w:rsidDel="0046151A">
        <w:t>and/or</w:t>
      </w:r>
      <w:r w:rsidRPr="006F07A5">
        <w:t xml:space="preserve"> a Reserve Zone basis: </w:t>
      </w:r>
      <w:r w:rsidRPr="006F07A5" w:rsidDel="006A2B3E">
        <w:t xml:space="preserve">(1) </w:t>
      </w:r>
      <w:r w:rsidRPr="006F07A5">
        <w:t xml:space="preserve">Short-Term Flex Up; (2) Short-Term Flex </w:t>
      </w:r>
      <w:r w:rsidRPr="006F07A5" w:rsidDel="00BB149C">
        <w:t>Down</w:t>
      </w:r>
      <w:r w:rsidRPr="006F07A5">
        <w:t>; and (3) Mid-Term Flex Up.  The scarcity pricing levels associated with each of these Demand Curves are as follows:</w:t>
      </w:r>
    </w:p>
    <w:p w14:paraId="7ABA7341" w14:textId="77777777" w:rsidR="00C8264D" w:rsidRPr="006A6354" w:rsidRDefault="00C8264D" w:rsidP="00C35DA0">
      <w:pPr>
        <w:numPr>
          <w:ilvl w:val="0"/>
          <w:numId w:val="83"/>
        </w:numPr>
        <w:spacing w:before="120" w:line="300" w:lineRule="auto"/>
        <w:ind w:left="1260" w:hanging="540"/>
        <w:rPr>
          <w:szCs w:val="24"/>
        </w:rPr>
      </w:pPr>
      <w:r w:rsidRPr="007868E1">
        <w:rPr>
          <w:b/>
          <w:bCs/>
        </w:rPr>
        <w:t>Short-Term Flex Up</w:t>
      </w:r>
      <w:r w:rsidRPr="006F07A5">
        <w:t xml:space="preserve"> – </w:t>
      </w:r>
      <w:r w:rsidRPr="006A6354">
        <w:rPr>
          <w:szCs w:val="24"/>
        </w:rPr>
        <w:t>the Market Operator</w:t>
      </w:r>
      <w:r w:rsidRPr="006F07A5">
        <w:t xml:space="preserve"> calculates and posts Short-Term Flex Up scarcity pricing using Demand Curves in accordance with the following rules:</w:t>
      </w:r>
    </w:p>
    <w:p w14:paraId="5DE4808B" w14:textId="631360DB" w:rsidR="00C8264D" w:rsidRPr="006F07A5" w:rsidRDefault="00C8264D" w:rsidP="00C35DA0">
      <w:pPr>
        <w:numPr>
          <w:ilvl w:val="2"/>
          <w:numId w:val="66"/>
        </w:numPr>
        <w:spacing w:line="300" w:lineRule="auto"/>
        <w:rPr>
          <w:szCs w:val="24"/>
        </w:rPr>
      </w:pPr>
      <w:r w:rsidRPr="006F07A5">
        <w:rPr>
          <w:szCs w:val="24"/>
        </w:rPr>
        <w:t xml:space="preserve">The </w:t>
      </w:r>
      <w:r w:rsidRPr="1890B07A">
        <w:rPr>
          <w:szCs w:val="24"/>
        </w:rPr>
        <w:t>m</w:t>
      </w:r>
      <w:r w:rsidRPr="006F07A5">
        <w:rPr>
          <w:szCs w:val="24"/>
        </w:rPr>
        <w:t xml:space="preserve">aximum </w:t>
      </w:r>
      <w:r w:rsidRPr="1890B07A">
        <w:rPr>
          <w:szCs w:val="24"/>
        </w:rPr>
        <w:t>Short-Term Flex Up Demand Curve</w:t>
      </w:r>
      <w:r w:rsidRPr="006F07A5">
        <w:rPr>
          <w:szCs w:val="24"/>
        </w:rPr>
        <w:t xml:space="preserve"> price is calculated as the average cost per MW for all eligible Resources to recover their qualified cold Start-Up Offer, No-Load Offer, and Energy at minimum cost at their </w:t>
      </w:r>
      <w:r w:rsidR="00E522FD">
        <w:rPr>
          <w:szCs w:val="24"/>
        </w:rPr>
        <w:t>Max ECOL</w:t>
      </w:r>
      <w:r w:rsidR="00CA1453">
        <w:rPr>
          <w:szCs w:val="24"/>
        </w:rPr>
        <w:t>, or in the case of MSRs</w:t>
      </w:r>
      <w:r w:rsidR="004D672C">
        <w:rPr>
          <w:szCs w:val="24"/>
        </w:rPr>
        <w:t>,</w:t>
      </w:r>
      <w:r w:rsidR="00CA1453" w:rsidRPr="006F07A5">
        <w:rPr>
          <w:szCs w:val="24"/>
        </w:rPr>
        <w:t xml:space="preserve"> Maximum Discharge Limit</w:t>
      </w:r>
      <w:r w:rsidRPr="006F07A5">
        <w:rPr>
          <w:szCs w:val="24"/>
        </w:rPr>
        <w:t xml:space="preserve">.  Eligible Resources are Resources which offer a cold start-up time of </w:t>
      </w:r>
      <w:r>
        <w:rPr>
          <w:szCs w:val="24"/>
        </w:rPr>
        <w:t>ten (</w:t>
      </w:r>
      <w:r w:rsidRPr="006F07A5">
        <w:rPr>
          <w:szCs w:val="24"/>
        </w:rPr>
        <w:t>10</w:t>
      </w:r>
      <w:r>
        <w:rPr>
          <w:szCs w:val="24"/>
        </w:rPr>
        <w:t>)</w:t>
      </w:r>
      <w:r w:rsidRPr="006F07A5">
        <w:rPr>
          <w:szCs w:val="24"/>
        </w:rPr>
        <w:t xml:space="preserve"> minutes or less, a Minimum Run Time of </w:t>
      </w:r>
      <w:r>
        <w:rPr>
          <w:szCs w:val="24"/>
        </w:rPr>
        <w:t>sixty (</w:t>
      </w:r>
      <w:r w:rsidRPr="006F07A5">
        <w:rPr>
          <w:szCs w:val="24"/>
        </w:rPr>
        <w:t>60</w:t>
      </w:r>
      <w:r>
        <w:rPr>
          <w:szCs w:val="24"/>
        </w:rPr>
        <w:t>)</w:t>
      </w:r>
      <w:r w:rsidRPr="006F07A5">
        <w:rPr>
          <w:szCs w:val="24"/>
        </w:rPr>
        <w:t xml:space="preserve"> minutes or less and are not on outage.  The maximum </w:t>
      </w:r>
      <w:r w:rsidRPr="1890B07A">
        <w:rPr>
          <w:szCs w:val="24"/>
        </w:rPr>
        <w:t>Demand Curve</w:t>
      </w:r>
      <w:r w:rsidRPr="006F07A5">
        <w:rPr>
          <w:szCs w:val="24"/>
        </w:rPr>
        <w:t xml:space="preserve"> price is equal to the cold Start-Up Offer plus the product of the Minimum Run Time and the No-Load Offer plus the Energy at minimum cost all divided by the Resource’s </w:t>
      </w:r>
      <w:r w:rsidR="00E522FD">
        <w:rPr>
          <w:szCs w:val="24"/>
        </w:rPr>
        <w:t>Max ECOL</w:t>
      </w:r>
      <w:r w:rsidR="00CA1453">
        <w:rPr>
          <w:szCs w:val="24"/>
        </w:rPr>
        <w:t>,</w:t>
      </w:r>
      <w:r w:rsidRPr="006F07A5">
        <w:rPr>
          <w:szCs w:val="24"/>
        </w:rPr>
        <w:t xml:space="preserve"> or</w:t>
      </w:r>
      <w:r w:rsidR="00105D91">
        <w:rPr>
          <w:szCs w:val="24"/>
        </w:rPr>
        <w:t xml:space="preserve"> in the case of MSRs</w:t>
      </w:r>
      <w:r w:rsidR="00F37488">
        <w:rPr>
          <w:szCs w:val="24"/>
        </w:rPr>
        <w:t>,</w:t>
      </w:r>
      <w:r w:rsidRPr="006F07A5">
        <w:rPr>
          <w:szCs w:val="24"/>
        </w:rPr>
        <w:t xml:space="preserve"> Maximum Discharge Limit.</w:t>
      </w:r>
    </w:p>
    <w:p w14:paraId="22243F1F" w14:textId="77777777" w:rsidR="00C8264D" w:rsidRPr="009134E8" w:rsidRDefault="00C8264D" w:rsidP="00C35DA0">
      <w:pPr>
        <w:pStyle w:val="ListParagraph"/>
        <w:numPr>
          <w:ilvl w:val="2"/>
          <w:numId w:val="66"/>
        </w:numPr>
        <w:spacing w:after="160" w:line="276" w:lineRule="auto"/>
        <w:jc w:val="left"/>
      </w:pPr>
      <w:r w:rsidRPr="009134E8">
        <w:t>The maximum value of the Demand Curve will be calculated each month using the previous three (3) months' offer data and will be limited to a maximum of $1,000/MWh.</w:t>
      </w:r>
      <w:r>
        <w:t xml:space="preserve"> </w:t>
      </w:r>
      <w:r w:rsidRPr="009134E8">
        <w:t xml:space="preserve"> To the extent that three (3) months of offer data is not available, the Market Operator will use the offer data available to calculate the maximum value of the Demand Curve.</w:t>
      </w:r>
    </w:p>
    <w:p w14:paraId="63964DF1" w14:textId="77777777" w:rsidR="00C8264D" w:rsidRPr="006F07A5" w:rsidRDefault="00C8264D" w:rsidP="00C35DA0">
      <w:pPr>
        <w:numPr>
          <w:ilvl w:val="2"/>
          <w:numId w:val="66"/>
        </w:numPr>
        <w:spacing w:line="300" w:lineRule="auto"/>
      </w:pPr>
      <w:r w:rsidRPr="006F07A5">
        <w:t>The Demand Curve levels for Short-Term Flex Up will be equal to:</w:t>
      </w:r>
    </w:p>
    <w:p w14:paraId="183913E9" w14:textId="7977AE3C" w:rsidR="00C8264D" w:rsidRPr="006F07A5" w:rsidRDefault="00C8264D" w:rsidP="00C35DA0">
      <w:pPr>
        <w:numPr>
          <w:ilvl w:val="3"/>
          <w:numId w:val="66"/>
        </w:numPr>
        <w:spacing w:line="300" w:lineRule="auto"/>
      </w:pPr>
      <w:r w:rsidRPr="006F07A5">
        <w:t xml:space="preserve">Shortages </w:t>
      </w:r>
      <w:r w:rsidR="00B53F2E">
        <w:t>less than</w:t>
      </w:r>
      <w:r w:rsidRPr="006F07A5">
        <w:t xml:space="preserve"> or equal to 5% of the requirement will equal, to the nearest dollar, 1/6 of the maximum Demand Curve price.</w:t>
      </w:r>
    </w:p>
    <w:p w14:paraId="60BD80B3" w14:textId="77777777" w:rsidR="00C8264D" w:rsidRPr="006F07A5" w:rsidRDefault="00C8264D" w:rsidP="00C35DA0">
      <w:pPr>
        <w:numPr>
          <w:ilvl w:val="3"/>
          <w:numId w:val="66"/>
        </w:numPr>
        <w:spacing w:line="300" w:lineRule="auto"/>
      </w:pPr>
      <w:r w:rsidRPr="006F07A5">
        <w:t>Shortages greater than 5% but less than or equal to 10% of the requirement will equal, to the nearest dollar, 1/3 of the maximum Demand Curve price.</w:t>
      </w:r>
    </w:p>
    <w:p w14:paraId="60FF2F90" w14:textId="77777777" w:rsidR="00C8264D" w:rsidRPr="006F07A5" w:rsidRDefault="00C8264D" w:rsidP="00C35DA0">
      <w:pPr>
        <w:numPr>
          <w:ilvl w:val="3"/>
          <w:numId w:val="66"/>
        </w:numPr>
        <w:spacing w:line="300" w:lineRule="auto"/>
      </w:pPr>
      <w:r w:rsidRPr="006F07A5">
        <w:t>Shortages greater than 10% but less than or equal to 15% of the requirement will equal, to the nearest dollar, 1/2 of the maximum Demand Curve price.</w:t>
      </w:r>
    </w:p>
    <w:p w14:paraId="38D08DAA" w14:textId="77777777" w:rsidR="00C8264D" w:rsidRPr="006F07A5" w:rsidRDefault="00C8264D" w:rsidP="00C35DA0">
      <w:pPr>
        <w:numPr>
          <w:ilvl w:val="3"/>
          <w:numId w:val="66"/>
        </w:numPr>
        <w:spacing w:line="300" w:lineRule="auto"/>
      </w:pPr>
      <w:r w:rsidRPr="006F07A5">
        <w:t>Shortages greater than 15% but less than or equal to 25% of the requirement will equal, to the nearest dollar, 2/3 of the maximum Demand Curve price.</w:t>
      </w:r>
    </w:p>
    <w:p w14:paraId="33D7913E" w14:textId="77777777" w:rsidR="00C8264D" w:rsidRPr="006F07A5" w:rsidRDefault="00C8264D" w:rsidP="00C35DA0">
      <w:pPr>
        <w:numPr>
          <w:ilvl w:val="3"/>
          <w:numId w:val="66"/>
        </w:numPr>
        <w:spacing w:line="300" w:lineRule="auto"/>
      </w:pPr>
      <w:r w:rsidRPr="006F07A5">
        <w:t>Shortages greater than 25% but less than or equal to 40% of the requirement will equal, to the nearest dollar, 5/6 of the maximum Demand Curve price.</w:t>
      </w:r>
    </w:p>
    <w:p w14:paraId="6FEBD33C" w14:textId="77777777" w:rsidR="00C8264D" w:rsidRPr="006F07A5" w:rsidRDefault="00C8264D" w:rsidP="00C35DA0">
      <w:pPr>
        <w:numPr>
          <w:ilvl w:val="3"/>
          <w:numId w:val="66"/>
        </w:numPr>
        <w:spacing w:line="300" w:lineRule="auto"/>
      </w:pPr>
      <w:r w:rsidRPr="006F07A5">
        <w:t>Shortages greater than 40% of the requirement will equal, to the nearest dollar, the maximum Demand Curve price.</w:t>
      </w:r>
    </w:p>
    <w:p w14:paraId="45138B39" w14:textId="77777777" w:rsidR="00C8264D" w:rsidRPr="006F07A5" w:rsidRDefault="00C8264D" w:rsidP="00C35DA0">
      <w:pPr>
        <w:numPr>
          <w:ilvl w:val="2"/>
          <w:numId w:val="66"/>
        </w:numPr>
        <w:spacing w:line="300" w:lineRule="auto"/>
      </w:pPr>
      <w:r w:rsidRPr="006F07A5">
        <w:t>The minimum amount for the Short-Term Flex Up Demand Curve prices will be limited to $10.</w:t>
      </w:r>
    </w:p>
    <w:p w14:paraId="19D0EF3D" w14:textId="77777777" w:rsidR="00C8264D" w:rsidRPr="00F36C40" w:rsidRDefault="00C8264D" w:rsidP="00C35DA0">
      <w:pPr>
        <w:numPr>
          <w:ilvl w:val="0"/>
          <w:numId w:val="83"/>
        </w:numPr>
        <w:spacing w:before="120" w:line="300" w:lineRule="auto"/>
        <w:ind w:left="1260" w:hanging="540"/>
      </w:pPr>
      <w:r w:rsidRPr="007868E1">
        <w:rPr>
          <w:b/>
          <w:bCs/>
        </w:rPr>
        <w:t xml:space="preserve">Short-Term Flex </w:t>
      </w:r>
      <w:r w:rsidRPr="007868E1" w:rsidDel="00E30D29">
        <w:rPr>
          <w:b/>
          <w:bCs/>
        </w:rPr>
        <w:t>Down</w:t>
      </w:r>
      <w:r w:rsidRPr="006F07A5">
        <w:t xml:space="preserve"> – </w:t>
      </w:r>
      <w:r w:rsidRPr="00315891">
        <w:t>the Market Operator</w:t>
      </w:r>
      <w:r w:rsidRPr="006F07A5">
        <w:t xml:space="preserve"> calculates and posts Short-Term Flex</w:t>
      </w:r>
      <w:r w:rsidRPr="006F07A5" w:rsidDel="00E30D29">
        <w:t xml:space="preserve"> Down</w:t>
      </w:r>
      <w:r w:rsidRPr="006F07A5">
        <w:t xml:space="preserve"> scarcity pricing using Demand Curves in accordance with the following rules:</w:t>
      </w:r>
    </w:p>
    <w:p w14:paraId="7F76AF5A" w14:textId="0691886A" w:rsidR="00C8264D" w:rsidRPr="006F07A5" w:rsidRDefault="00C8264D" w:rsidP="00C35DA0">
      <w:pPr>
        <w:numPr>
          <w:ilvl w:val="2"/>
          <w:numId w:val="67"/>
        </w:numPr>
        <w:spacing w:line="300" w:lineRule="auto"/>
      </w:pPr>
      <w:r w:rsidRPr="006F07A5">
        <w:t xml:space="preserve">The maximum Short-Term Flex Down Demand Curve price is calculated as the average cost per MW for all eligible Resources to recover their qualified cold Start-Up Offer, No-Load Offer, and Energy at minimum cost at their </w:t>
      </w:r>
      <w:r w:rsidR="00F8703C">
        <w:t>Max ECOL</w:t>
      </w:r>
      <w:r w:rsidR="00F7626F">
        <w:t>, or in the case of MSRs, Maximum Discharge Limit</w:t>
      </w:r>
      <w:r w:rsidRPr="006F07A5">
        <w:t xml:space="preserve">.  Eligible Resources are Resources which offer a cold Start-Up Time of </w:t>
      </w:r>
      <w:r>
        <w:t>ten (</w:t>
      </w:r>
      <w:r w:rsidRPr="006F07A5">
        <w:t>10</w:t>
      </w:r>
      <w:r>
        <w:t>)</w:t>
      </w:r>
      <w:r w:rsidRPr="006F07A5">
        <w:t xml:space="preserve"> minutes or less, a Minimum Run Time of </w:t>
      </w:r>
      <w:r>
        <w:t>sixty (</w:t>
      </w:r>
      <w:r w:rsidRPr="006F07A5">
        <w:t>60</w:t>
      </w:r>
      <w:r>
        <w:t>)</w:t>
      </w:r>
      <w:r w:rsidRPr="006F07A5">
        <w:t xml:space="preserve"> minutes or less and are not on outage.  The maximum Demand Curve price is equal to the cold Start-Up Offer plus the product of the Minimum Run Time and the No-Load Offer plus the Energy at minimum cost all divided by the Resource’s </w:t>
      </w:r>
      <w:r w:rsidR="00F8703C">
        <w:t>Max ECOL</w:t>
      </w:r>
      <w:r w:rsidR="00171A56">
        <w:t>,</w:t>
      </w:r>
      <w:r w:rsidRPr="006F07A5">
        <w:t xml:space="preserve"> or</w:t>
      </w:r>
      <w:r w:rsidR="00171A56">
        <w:t xml:space="preserve"> in the case of MSRs,</w:t>
      </w:r>
      <w:r w:rsidRPr="006F07A5">
        <w:t xml:space="preserve"> Maximum Discharge Limit</w:t>
      </w:r>
      <w:r w:rsidR="00171A56">
        <w:t>.</w:t>
      </w:r>
    </w:p>
    <w:p w14:paraId="073218BE" w14:textId="77777777" w:rsidR="00C8264D" w:rsidRDefault="00C8264D" w:rsidP="00865056">
      <w:pPr>
        <w:pStyle w:val="ListParagraph"/>
        <w:widowControl w:val="0"/>
        <w:numPr>
          <w:ilvl w:val="2"/>
          <w:numId w:val="67"/>
        </w:numPr>
        <w:autoSpaceDE w:val="0"/>
        <w:autoSpaceDN w:val="0"/>
        <w:spacing w:before="61" w:after="0" w:line="360" w:lineRule="auto"/>
        <w:contextualSpacing w:val="0"/>
      </w:pPr>
      <w:r w:rsidRPr="009D73FE">
        <w:t>The maximum Demand Curve price will be calculated each month using the previous three (3) months offer data and will be limited to a maximum of $1,000/MWh.</w:t>
      </w:r>
      <w:r>
        <w:t xml:space="preserve"> </w:t>
      </w:r>
      <w:r w:rsidRPr="009D73FE">
        <w:rPr>
          <w:spacing w:val="40"/>
        </w:rPr>
        <w:t xml:space="preserve"> </w:t>
      </w:r>
      <w:r w:rsidRPr="009D73FE">
        <w:t>To the extent that three (3) months of offer data is not available, the Market Operator will use the offer data available to calculate the maximum of the Demand Curve.</w:t>
      </w:r>
    </w:p>
    <w:p w14:paraId="27EBED0B" w14:textId="77777777" w:rsidR="00C8264D" w:rsidRPr="006F07A5" w:rsidRDefault="00C8264D" w:rsidP="00C35DA0">
      <w:pPr>
        <w:numPr>
          <w:ilvl w:val="2"/>
          <w:numId w:val="67"/>
        </w:numPr>
        <w:spacing w:line="300" w:lineRule="auto"/>
      </w:pPr>
      <w:r w:rsidRPr="006F07A5">
        <w:t>The Demand Curve levels for Short-Term Flex Down</w:t>
      </w:r>
      <w:r w:rsidRPr="006F07A5" w:rsidDel="007C55C0">
        <w:t xml:space="preserve"> </w:t>
      </w:r>
      <w:r w:rsidRPr="006F07A5">
        <w:t>will be equal to:</w:t>
      </w:r>
    </w:p>
    <w:p w14:paraId="20F1856E" w14:textId="182AFDB0" w:rsidR="00C8264D" w:rsidRPr="006F07A5" w:rsidRDefault="00C8264D" w:rsidP="00C35DA0">
      <w:pPr>
        <w:numPr>
          <w:ilvl w:val="3"/>
          <w:numId w:val="67"/>
        </w:numPr>
        <w:spacing w:line="300" w:lineRule="auto"/>
      </w:pPr>
      <w:r w:rsidRPr="006F07A5">
        <w:t xml:space="preserve">Shortages </w:t>
      </w:r>
      <w:r w:rsidR="009C0224">
        <w:t>less than</w:t>
      </w:r>
      <w:r w:rsidRPr="006F07A5">
        <w:t xml:space="preserve"> or equal to 5% of the requirement will equal, to the nearest dollar, 1/6 of the maximum Demand Curve price.</w:t>
      </w:r>
    </w:p>
    <w:p w14:paraId="6C989CE8" w14:textId="77777777" w:rsidR="00C8264D" w:rsidRPr="006F07A5" w:rsidRDefault="00C8264D" w:rsidP="00C35DA0">
      <w:pPr>
        <w:numPr>
          <w:ilvl w:val="3"/>
          <w:numId w:val="67"/>
        </w:numPr>
        <w:spacing w:line="300" w:lineRule="auto"/>
      </w:pPr>
      <w:r w:rsidRPr="006F07A5">
        <w:t>Shortages greater than 5% but less than or equal to 10% of the requirement will equal, to the nearest dollar, 1/3 of the maximum Demand Curve price.</w:t>
      </w:r>
    </w:p>
    <w:p w14:paraId="35C86937" w14:textId="77777777" w:rsidR="00C8264D" w:rsidRPr="006F07A5" w:rsidRDefault="00C8264D" w:rsidP="00C35DA0">
      <w:pPr>
        <w:numPr>
          <w:ilvl w:val="3"/>
          <w:numId w:val="67"/>
        </w:numPr>
        <w:spacing w:line="300" w:lineRule="auto"/>
      </w:pPr>
      <w:r w:rsidRPr="006F07A5">
        <w:t>Shortages greater than 10% but less than or equal to 15% of the requirement will equal, to the nearest dollar, 1/2 of the maximum Demand Curve price.</w:t>
      </w:r>
    </w:p>
    <w:p w14:paraId="64794369" w14:textId="77777777" w:rsidR="00C8264D" w:rsidRPr="006F07A5" w:rsidRDefault="00C8264D" w:rsidP="00C35DA0">
      <w:pPr>
        <w:numPr>
          <w:ilvl w:val="3"/>
          <w:numId w:val="67"/>
        </w:numPr>
        <w:spacing w:line="300" w:lineRule="auto"/>
      </w:pPr>
      <w:r w:rsidRPr="006F07A5">
        <w:t>Shortages greater than 15% but less than or equal to 25% of the requirement will equal, to the nearest dollar, 2/3 of the maximum Demand Curve price.</w:t>
      </w:r>
    </w:p>
    <w:p w14:paraId="1B1C0A95" w14:textId="77777777" w:rsidR="00C8264D" w:rsidRPr="006F07A5" w:rsidRDefault="00C8264D" w:rsidP="00C35DA0">
      <w:pPr>
        <w:numPr>
          <w:ilvl w:val="3"/>
          <w:numId w:val="67"/>
        </w:numPr>
        <w:spacing w:line="300" w:lineRule="auto"/>
      </w:pPr>
      <w:r w:rsidRPr="006F07A5">
        <w:t>Shortages greater than 25% but less than or equal to 40% of the requirement will equal, to the nearest dollar, 5/6 of the maximum Demand Curve price.</w:t>
      </w:r>
    </w:p>
    <w:p w14:paraId="1DCEBE23" w14:textId="77777777" w:rsidR="00C8264D" w:rsidRPr="006F07A5" w:rsidRDefault="00C8264D" w:rsidP="00C35DA0">
      <w:pPr>
        <w:numPr>
          <w:ilvl w:val="3"/>
          <w:numId w:val="67"/>
        </w:numPr>
        <w:spacing w:line="300" w:lineRule="auto"/>
      </w:pPr>
      <w:r w:rsidRPr="006F07A5">
        <w:t>Shortages greater than 40% of the requirement will equal, to the nearest dollar, the maximum Demand Curve price.</w:t>
      </w:r>
    </w:p>
    <w:p w14:paraId="1F610D8C" w14:textId="77777777" w:rsidR="00C8264D" w:rsidRPr="006F07A5" w:rsidRDefault="00C8264D" w:rsidP="00C35DA0">
      <w:pPr>
        <w:numPr>
          <w:ilvl w:val="2"/>
          <w:numId w:val="67"/>
        </w:numPr>
        <w:spacing w:line="300" w:lineRule="auto"/>
      </w:pPr>
      <w:r w:rsidRPr="006F07A5">
        <w:t xml:space="preserve">The minimum amount for the Short-Term Flex </w:t>
      </w:r>
      <w:r w:rsidRPr="006F07A5" w:rsidDel="007C55C0">
        <w:t>Down</w:t>
      </w:r>
      <w:r w:rsidRPr="006F07A5">
        <w:t xml:space="preserve"> Demand Curve prices will be limited to $0. </w:t>
      </w:r>
    </w:p>
    <w:p w14:paraId="69517C9D" w14:textId="77777777" w:rsidR="00C8264D" w:rsidRPr="006F07A5" w:rsidRDefault="00C8264D" w:rsidP="00C8264D">
      <w:pPr>
        <w:spacing w:line="300" w:lineRule="auto"/>
        <w:ind w:left="1260" w:hanging="540"/>
      </w:pPr>
      <w:r>
        <w:t xml:space="preserve"> </w:t>
      </w:r>
      <w:r>
        <w:tab/>
      </w:r>
    </w:p>
    <w:p w14:paraId="76267B2F" w14:textId="77777777" w:rsidR="00C8264D" w:rsidRPr="00F62B30" w:rsidRDefault="00C8264D" w:rsidP="00C35DA0">
      <w:pPr>
        <w:numPr>
          <w:ilvl w:val="0"/>
          <w:numId w:val="82"/>
        </w:numPr>
        <w:spacing w:before="120" w:line="300" w:lineRule="auto"/>
        <w:ind w:left="1260" w:hanging="540"/>
        <w:rPr>
          <w:szCs w:val="24"/>
        </w:rPr>
      </w:pPr>
      <w:r w:rsidRPr="007868E1">
        <w:rPr>
          <w:b/>
          <w:bCs/>
          <w:szCs w:val="24"/>
        </w:rPr>
        <w:t>Mid-Term Flex Up</w:t>
      </w:r>
      <w:r w:rsidRPr="00F62B30">
        <w:rPr>
          <w:szCs w:val="24"/>
        </w:rPr>
        <w:t xml:space="preserve"> – </w:t>
      </w:r>
      <w:r w:rsidRPr="006F07A5">
        <w:t xml:space="preserve">The goal of Mid-Term Flex </w:t>
      </w:r>
      <w:r w:rsidRPr="00315891">
        <w:t>Up</w:t>
      </w:r>
      <w:r w:rsidRPr="006F07A5">
        <w:t xml:space="preserve"> is to enable a market-based approach for the management of uncertainty through the procurement of resource flexibility in order to respond to net load (load less variable energy generation production) variations and uncertainties within the defined time horizon.  </w:t>
      </w:r>
      <w:r w:rsidRPr="00F62B30">
        <w:rPr>
          <w:szCs w:val="24"/>
        </w:rPr>
        <w:t>The Market Operator calculates and posts Mid-Term Flex Up Scarcity Pricing using Demand Curves in accordance with the following rules:</w:t>
      </w:r>
    </w:p>
    <w:p w14:paraId="3D50A659" w14:textId="7EF3D0B5" w:rsidR="00C8264D" w:rsidRPr="006F07A5" w:rsidRDefault="00C8264D" w:rsidP="00C8264D">
      <w:pPr>
        <w:tabs>
          <w:tab w:val="left" w:pos="2880"/>
        </w:tabs>
        <w:spacing w:line="300" w:lineRule="auto"/>
        <w:ind w:left="2160" w:hanging="720"/>
        <w:rPr>
          <w:szCs w:val="24"/>
        </w:rPr>
      </w:pPr>
      <w:r w:rsidRPr="006F07A5">
        <w:rPr>
          <w:rFonts w:eastAsia="Calibri"/>
          <w:szCs w:val="24"/>
        </w:rPr>
        <w:t xml:space="preserve">(i)  </w:t>
      </w:r>
      <w:r w:rsidRPr="006F07A5">
        <w:rPr>
          <w:rFonts w:eastAsia="Calibri"/>
          <w:szCs w:val="24"/>
        </w:rPr>
        <w:tab/>
        <w:t xml:space="preserve">The maximum value of the Demand Curve is calculated as the average cost per MW for all eligible Resources to recover their qualified cold Start-Up Offer, No-Load Offer, and Energy at minimum cost at their </w:t>
      </w:r>
      <w:r w:rsidR="00BC3110">
        <w:rPr>
          <w:rFonts w:eastAsia="Calibri"/>
          <w:szCs w:val="24"/>
        </w:rPr>
        <w:t>Max ECOL</w:t>
      </w:r>
      <w:r w:rsidR="0022725C" w:rsidRPr="0022725C">
        <w:rPr>
          <w:rFonts w:eastAsia="Calibri"/>
          <w:szCs w:val="24"/>
        </w:rPr>
        <w:t>, or in the case of an MSR, the Maximum Discharge Limit</w:t>
      </w:r>
      <w:r w:rsidRPr="006F07A5">
        <w:rPr>
          <w:rFonts w:eastAsia="Calibri"/>
          <w:szCs w:val="24"/>
        </w:rPr>
        <w:t xml:space="preserve">.  Eligible Resources are Resources that offer a cold Start-Up Time of sixty (60) minutes or less and are not on outage.  The maximum value of the Demand Curve is equal to the cold Start-Up Offer plus the product of the Minimum Run Time and the No-Load Offer plus the Energy at minimum cost all divided by the Resource’s </w:t>
      </w:r>
      <w:r w:rsidR="00BC3110">
        <w:rPr>
          <w:rFonts w:eastAsia="Calibri"/>
          <w:szCs w:val="24"/>
        </w:rPr>
        <w:t>Max ECOL</w:t>
      </w:r>
      <w:r w:rsidR="000B4A6C">
        <w:rPr>
          <w:rFonts w:eastAsia="Calibri"/>
          <w:szCs w:val="24"/>
        </w:rPr>
        <w:t>,</w:t>
      </w:r>
      <w:r w:rsidRPr="006F07A5">
        <w:rPr>
          <w:rFonts w:eastAsia="Calibri"/>
          <w:szCs w:val="24"/>
        </w:rPr>
        <w:t xml:space="preserve"> or </w:t>
      </w:r>
      <w:r w:rsidR="000B4A6C">
        <w:rPr>
          <w:rFonts w:eastAsia="Calibri"/>
          <w:szCs w:val="24"/>
        </w:rPr>
        <w:t xml:space="preserve">in the case of an MSR, the </w:t>
      </w:r>
      <w:r w:rsidRPr="006F07A5">
        <w:rPr>
          <w:rFonts w:eastAsia="Calibri"/>
          <w:szCs w:val="24"/>
        </w:rPr>
        <w:t>Maximum Discharge Limit.</w:t>
      </w:r>
      <w:r w:rsidRPr="006F07A5">
        <w:rPr>
          <w:rFonts w:eastAsia="Calibri"/>
          <w:szCs w:val="24"/>
        </w:rPr>
        <w:tab/>
      </w:r>
    </w:p>
    <w:p w14:paraId="5A0A69F0" w14:textId="77777777" w:rsidR="00C8264D" w:rsidRPr="006F07A5" w:rsidRDefault="00C8264D" w:rsidP="00C8264D">
      <w:pPr>
        <w:tabs>
          <w:tab w:val="left" w:pos="2880"/>
        </w:tabs>
        <w:spacing w:line="300" w:lineRule="auto"/>
        <w:ind w:left="2160" w:hanging="720"/>
        <w:rPr>
          <w:szCs w:val="24"/>
        </w:rPr>
      </w:pPr>
      <w:r w:rsidRPr="006F07A5">
        <w:rPr>
          <w:rFonts w:eastAsia="Calibri"/>
          <w:szCs w:val="24"/>
        </w:rPr>
        <w:t xml:space="preserve">(ii) </w:t>
      </w:r>
      <w:r w:rsidRPr="006F07A5">
        <w:rPr>
          <w:rFonts w:eastAsia="Calibri"/>
          <w:szCs w:val="24"/>
        </w:rPr>
        <w:tab/>
        <w:t xml:space="preserve">The maximum value of the Demand Curve will be calculated each month using the previous three (3) months' offer data and will be limited to a maximum of $1,000/MWh.  To the extent that three (3) months of offer data is not available, the Market Operator will use the offer data available to calculate the maximum value of the Demand Curve.  </w:t>
      </w:r>
    </w:p>
    <w:p w14:paraId="5C8F1293" w14:textId="77777777" w:rsidR="00C8264D" w:rsidRPr="006F07A5" w:rsidRDefault="00C8264D" w:rsidP="00C8264D">
      <w:pPr>
        <w:tabs>
          <w:tab w:val="left" w:pos="2880"/>
        </w:tabs>
        <w:spacing w:line="300" w:lineRule="auto"/>
        <w:ind w:left="2160" w:hanging="720"/>
        <w:rPr>
          <w:szCs w:val="24"/>
        </w:rPr>
      </w:pPr>
      <w:r w:rsidRPr="006F07A5">
        <w:rPr>
          <w:rFonts w:eastAsia="Calibri"/>
          <w:szCs w:val="24"/>
        </w:rPr>
        <w:t xml:space="preserve">(iii) </w:t>
      </w:r>
      <w:r w:rsidRPr="006F07A5">
        <w:rPr>
          <w:rFonts w:eastAsia="Calibri"/>
          <w:szCs w:val="24"/>
        </w:rPr>
        <w:tab/>
        <w:t>The Demand Curve levels for Mid-Term Flex Up will be equal to:</w:t>
      </w:r>
    </w:p>
    <w:p w14:paraId="77C86AF0" w14:textId="6A9AAFF4" w:rsidR="00C8264D" w:rsidRPr="006F07A5" w:rsidRDefault="00C8264D" w:rsidP="00C8264D">
      <w:pPr>
        <w:spacing w:line="300" w:lineRule="auto"/>
        <w:ind w:left="2880" w:hanging="720"/>
        <w:rPr>
          <w:szCs w:val="24"/>
        </w:rPr>
      </w:pPr>
      <w:r w:rsidRPr="006F07A5">
        <w:rPr>
          <w:rFonts w:eastAsia="Calibri"/>
          <w:szCs w:val="24"/>
        </w:rPr>
        <w:t xml:space="preserve">1. </w:t>
      </w:r>
      <w:r w:rsidRPr="006F07A5">
        <w:rPr>
          <w:rFonts w:eastAsia="Calibri"/>
          <w:szCs w:val="24"/>
        </w:rPr>
        <w:tab/>
        <w:t xml:space="preserve">Shortages </w:t>
      </w:r>
      <w:r w:rsidR="009C77EA">
        <w:rPr>
          <w:rFonts w:eastAsia="Calibri"/>
          <w:szCs w:val="24"/>
        </w:rPr>
        <w:t>less than</w:t>
      </w:r>
      <w:r w:rsidRPr="006F07A5">
        <w:rPr>
          <w:rFonts w:eastAsia="Calibri"/>
          <w:szCs w:val="24"/>
        </w:rPr>
        <w:t xml:space="preserve"> or equal to 5% of the requirement will equal, to the nearest dollar, 1/6 of the maximum value of the Demand Curve.</w:t>
      </w:r>
    </w:p>
    <w:p w14:paraId="5EBB7BB6" w14:textId="77777777" w:rsidR="00C8264D" w:rsidRPr="006F07A5" w:rsidRDefault="00C8264D" w:rsidP="00C8264D">
      <w:pPr>
        <w:spacing w:line="300" w:lineRule="auto"/>
        <w:ind w:left="2880" w:hanging="720"/>
        <w:rPr>
          <w:szCs w:val="24"/>
        </w:rPr>
      </w:pPr>
      <w:r w:rsidRPr="006F07A5">
        <w:rPr>
          <w:rFonts w:eastAsia="Calibri"/>
          <w:szCs w:val="24"/>
        </w:rPr>
        <w:t xml:space="preserve">2. </w:t>
      </w:r>
      <w:r w:rsidRPr="006F07A5">
        <w:rPr>
          <w:rFonts w:eastAsia="Calibri"/>
          <w:szCs w:val="24"/>
        </w:rPr>
        <w:tab/>
        <w:t>Shortages greater than 5% but less than or equal to 10% of the requirement will equal, to the nearest dollar, 1/3 of the maximum value of the Demand Curve.</w:t>
      </w:r>
    </w:p>
    <w:p w14:paraId="5985DF24" w14:textId="77777777" w:rsidR="00C8264D" w:rsidRPr="006F07A5" w:rsidRDefault="00C8264D" w:rsidP="00C8264D">
      <w:pPr>
        <w:spacing w:line="300" w:lineRule="auto"/>
        <w:ind w:left="2880" w:hanging="720"/>
        <w:rPr>
          <w:szCs w:val="24"/>
        </w:rPr>
      </w:pPr>
      <w:r w:rsidRPr="006F07A5">
        <w:rPr>
          <w:rFonts w:eastAsia="Calibri"/>
          <w:szCs w:val="24"/>
        </w:rPr>
        <w:t xml:space="preserve">3.  </w:t>
      </w:r>
      <w:r w:rsidRPr="006F07A5">
        <w:rPr>
          <w:rFonts w:eastAsia="Calibri"/>
          <w:szCs w:val="24"/>
        </w:rPr>
        <w:tab/>
        <w:t>Shortages greater than 10% but less than or equal to 15% of the requirement will equal, to the nearest dollar, 1/2 of the maximum value of the Demand Curve.</w:t>
      </w:r>
    </w:p>
    <w:p w14:paraId="7FCE42BD" w14:textId="77777777" w:rsidR="00C8264D" w:rsidRPr="006F07A5" w:rsidRDefault="00C8264D" w:rsidP="00C8264D">
      <w:pPr>
        <w:spacing w:line="300" w:lineRule="auto"/>
        <w:ind w:left="2880" w:hanging="720"/>
        <w:rPr>
          <w:szCs w:val="24"/>
        </w:rPr>
      </w:pPr>
      <w:r w:rsidRPr="006F07A5">
        <w:rPr>
          <w:rFonts w:eastAsia="Calibri"/>
          <w:szCs w:val="24"/>
        </w:rPr>
        <w:t xml:space="preserve">4.  </w:t>
      </w:r>
      <w:r w:rsidRPr="006F07A5">
        <w:rPr>
          <w:rFonts w:eastAsia="Calibri"/>
          <w:szCs w:val="24"/>
        </w:rPr>
        <w:tab/>
        <w:t>Shortages greater than 15% but less than or equal to 25% of the requirement will equal, to the nearest dollar, 2/3 of the maximum value of the Demand Curve.</w:t>
      </w:r>
    </w:p>
    <w:p w14:paraId="26E3449F" w14:textId="77777777" w:rsidR="00C8264D" w:rsidRPr="006F07A5" w:rsidRDefault="00C8264D" w:rsidP="00C8264D">
      <w:pPr>
        <w:spacing w:line="300" w:lineRule="auto"/>
        <w:ind w:left="2880" w:hanging="720"/>
        <w:rPr>
          <w:szCs w:val="24"/>
        </w:rPr>
      </w:pPr>
      <w:r w:rsidRPr="006F07A5">
        <w:rPr>
          <w:rFonts w:eastAsia="Calibri"/>
          <w:szCs w:val="24"/>
        </w:rPr>
        <w:t xml:space="preserve">5.  </w:t>
      </w:r>
      <w:r w:rsidRPr="006F07A5">
        <w:rPr>
          <w:rFonts w:eastAsia="Calibri"/>
          <w:szCs w:val="24"/>
        </w:rPr>
        <w:tab/>
        <w:t>Shortages greater than 25% but less than or equal to 40% of the requirement will equal, to the nearest dollar, 5/6 of the maximum value of the Demand Curve.</w:t>
      </w:r>
    </w:p>
    <w:p w14:paraId="77CC5A41" w14:textId="77777777" w:rsidR="00C8264D" w:rsidRPr="006F07A5" w:rsidRDefault="00C8264D" w:rsidP="00C8264D">
      <w:pPr>
        <w:spacing w:line="300" w:lineRule="auto"/>
        <w:ind w:left="2880" w:hanging="720"/>
        <w:rPr>
          <w:szCs w:val="24"/>
        </w:rPr>
      </w:pPr>
      <w:r w:rsidRPr="006F07A5">
        <w:rPr>
          <w:rFonts w:eastAsia="Calibri"/>
          <w:szCs w:val="24"/>
        </w:rPr>
        <w:t xml:space="preserve">6.  </w:t>
      </w:r>
      <w:r w:rsidRPr="006F07A5">
        <w:rPr>
          <w:rFonts w:eastAsia="Calibri"/>
          <w:szCs w:val="24"/>
        </w:rPr>
        <w:tab/>
        <w:t>Shortages greater than 40% but less than or equal to 50% of the requirement will equal, to the nearest dollar, the maximum value of the Demand Curve.</w:t>
      </w:r>
    </w:p>
    <w:p w14:paraId="75AF6F4A" w14:textId="77777777" w:rsidR="00C8264D" w:rsidRPr="006F07A5" w:rsidRDefault="00C8264D" w:rsidP="00C8264D">
      <w:pPr>
        <w:spacing w:line="300" w:lineRule="auto"/>
        <w:ind w:left="2880" w:hanging="720"/>
        <w:rPr>
          <w:szCs w:val="24"/>
        </w:rPr>
      </w:pPr>
      <w:r w:rsidRPr="006F07A5">
        <w:rPr>
          <w:rFonts w:eastAsia="Calibri"/>
          <w:szCs w:val="24"/>
        </w:rPr>
        <w:t xml:space="preserve">7.  </w:t>
      </w:r>
      <w:r w:rsidRPr="006F07A5">
        <w:rPr>
          <w:rFonts w:eastAsia="Calibri"/>
          <w:szCs w:val="24"/>
        </w:rPr>
        <w:tab/>
        <w:t>Shortages greater than 50% of the requirement will equal $1,000/MWh.</w:t>
      </w:r>
    </w:p>
    <w:p w14:paraId="664D5780" w14:textId="77777777" w:rsidR="00C8264D" w:rsidRPr="006F07A5" w:rsidRDefault="00C8264D" w:rsidP="00C8264D">
      <w:pPr>
        <w:tabs>
          <w:tab w:val="left" w:pos="2880"/>
        </w:tabs>
        <w:spacing w:line="300" w:lineRule="auto"/>
        <w:ind w:left="2160" w:hanging="720"/>
        <w:rPr>
          <w:szCs w:val="24"/>
        </w:rPr>
      </w:pPr>
      <w:r w:rsidRPr="006F07A5">
        <w:rPr>
          <w:rFonts w:eastAsia="Calibri"/>
          <w:szCs w:val="24"/>
        </w:rPr>
        <w:t xml:space="preserve">(iv) </w:t>
      </w:r>
      <w:r w:rsidRPr="006F07A5">
        <w:rPr>
          <w:rFonts w:eastAsia="Calibri"/>
          <w:szCs w:val="24"/>
        </w:rPr>
        <w:tab/>
        <w:t>The minimum amount for the Mid-Term Flex Up Demand Curve prices will be limited to $10.</w:t>
      </w:r>
    </w:p>
    <w:p w14:paraId="4022BFD0" w14:textId="77777777" w:rsidR="00C8264D" w:rsidRPr="006F07A5" w:rsidRDefault="00C8264D" w:rsidP="00C35DA0">
      <w:pPr>
        <w:numPr>
          <w:ilvl w:val="0"/>
          <w:numId w:val="35"/>
        </w:numPr>
        <w:spacing w:line="300" w:lineRule="auto"/>
      </w:pPr>
      <w:r w:rsidRPr="006F07A5">
        <w:t>Capacity is required by Energy, Short-Term Flex</w:t>
      </w:r>
      <w:r>
        <w:t xml:space="preserve"> </w:t>
      </w:r>
      <w:r w:rsidRPr="006F07A5">
        <w:t>Up</w:t>
      </w:r>
      <w:r>
        <w:t>,</w:t>
      </w:r>
      <w:r w:rsidRPr="006F07A5">
        <w:t xml:space="preserve"> and Mid-Term Flex</w:t>
      </w:r>
      <w:r>
        <w:t xml:space="preserve"> </w:t>
      </w:r>
      <w:r w:rsidRPr="006F07A5">
        <w:t>Up.  Therefore, any shortage in capacity to meet Energy, Short-Term Flex Up</w:t>
      </w:r>
      <w:r>
        <w:t>,</w:t>
      </w:r>
      <w:r w:rsidRPr="006F07A5">
        <w:t xml:space="preserve"> and Mid-Term Flex</w:t>
      </w:r>
      <w:r>
        <w:t xml:space="preserve"> </w:t>
      </w:r>
      <w:r w:rsidRPr="006F07A5">
        <w:t xml:space="preserve">Up requirements will be reflected in the pricing of all of these products. </w:t>
      </w:r>
    </w:p>
    <w:p w14:paraId="10256123" w14:textId="6F3499C7" w:rsidR="00C8264D" w:rsidRPr="006F07A5" w:rsidRDefault="00C8264D" w:rsidP="00C35DA0">
      <w:pPr>
        <w:numPr>
          <w:ilvl w:val="1"/>
          <w:numId w:val="35"/>
        </w:numPr>
        <w:spacing w:line="300" w:lineRule="auto"/>
      </w:pPr>
      <w:r w:rsidRPr="006F07A5">
        <w:t xml:space="preserve">For example, if we assume that there is a 50 MW shortage of Mid-Term Flex Up the Mid-Term Flex Up MCP would be set to the applicable Mid-Term Flex Up shortage price.  The Energy LMP is increased by the Mid-Term Flex Up shortage price </w:t>
      </w:r>
      <w:r w:rsidRPr="006F07A5" w:rsidDel="009D69D5">
        <w:t>if</w:t>
      </w:r>
      <w:r w:rsidRPr="006F07A5">
        <w:t xml:space="preserve"> the cost of serving an incremental MW of energy worsens the Mid-Term Flex Up</w:t>
      </w:r>
      <w:r w:rsidRPr="006F07A5" w:rsidDel="009D69D5">
        <w:t xml:space="preserve"> </w:t>
      </w:r>
      <w:r w:rsidRPr="006F07A5">
        <w:t>capacity shortage condition (i.e.</w:t>
      </w:r>
      <w:r w:rsidR="00066BC3">
        <w:t>,</w:t>
      </w:r>
      <w:r w:rsidRPr="006F07A5">
        <w:t xml:space="preserve"> Mid-Term Flex</w:t>
      </w:r>
      <w:r>
        <w:t xml:space="preserve"> </w:t>
      </w:r>
      <w:r w:rsidRPr="006F07A5">
        <w:t>Up Demand Curve is included in the LMP calculation), otherwise it is not.</w:t>
      </w:r>
    </w:p>
    <w:p w14:paraId="050C35A3" w14:textId="277EF43D" w:rsidR="00C8264D" w:rsidRPr="006F07A5" w:rsidRDefault="00C8264D" w:rsidP="00C35DA0">
      <w:pPr>
        <w:numPr>
          <w:ilvl w:val="0"/>
          <w:numId w:val="35"/>
        </w:numPr>
        <w:spacing w:line="300" w:lineRule="auto"/>
      </w:pPr>
      <w:r w:rsidRPr="006F07A5">
        <w:t xml:space="preserve">The system-wide Short-Term Flex </w:t>
      </w:r>
      <w:r w:rsidRPr="006F07A5" w:rsidDel="00DE42D4">
        <w:t xml:space="preserve">Down </w:t>
      </w:r>
      <w:r w:rsidRPr="006F07A5">
        <w:t>Demand Curve prices</w:t>
      </w:r>
      <w:r w:rsidRPr="006F07A5" w:rsidDel="00DE42D4">
        <w:t xml:space="preserve"> </w:t>
      </w:r>
      <w:r w:rsidRPr="006F07A5">
        <w:t>are designed to reflect pricing signals that are commensurate with a shortage in Short-Term Flex Down capability, not shortages in capacity (i.e.</w:t>
      </w:r>
      <w:r w:rsidR="00C50C79">
        <w:t>,</w:t>
      </w:r>
      <w:r w:rsidRPr="006F07A5">
        <w:t xml:space="preserve"> there may be sufficient capacity available to meet the Short-Term Flex Down capability but there is not enough future ramp available to meet the requirement).  </w:t>
      </w:r>
      <w:r w:rsidRPr="006F07A5" w:rsidDel="00DE42D4">
        <w:t xml:space="preserve">A shortage of </w:t>
      </w:r>
      <w:r w:rsidRPr="006F07A5">
        <w:t xml:space="preserve">Short-Term Flex Down capability will invoke Short-Term Flex Down scarcity pricing. </w:t>
      </w:r>
    </w:p>
    <w:p w14:paraId="4072715A" w14:textId="4B5D1BC0" w:rsidR="00C8264D" w:rsidRPr="006F07A5" w:rsidRDefault="00C8264D" w:rsidP="00C35DA0">
      <w:pPr>
        <w:numPr>
          <w:ilvl w:val="1"/>
          <w:numId w:val="35"/>
        </w:numPr>
        <w:spacing w:line="300" w:lineRule="auto"/>
        <w:ind w:left="1260"/>
      </w:pPr>
      <w:r w:rsidRPr="006F07A5">
        <w:t xml:space="preserve">If a Short-Term Flex Down capability shortage is caused by an excess generation situation as described under Sections </w:t>
      </w:r>
      <w:r w:rsidRPr="006F07A5">
        <w:rPr>
          <w:color w:val="2B579A"/>
          <w:shd w:val="clear" w:color="auto" w:fill="E6E6E6"/>
        </w:rPr>
        <w:fldChar w:fldCharType="begin"/>
      </w:r>
      <w:r w:rsidRPr="006F07A5">
        <w:instrText xml:space="preserve"> REF _Ref270487103 \r \h </w:instrText>
      </w:r>
      <w:r w:rsidRPr="006F07A5">
        <w:rPr>
          <w:color w:val="2B579A"/>
          <w:shd w:val="clear" w:color="auto" w:fill="E6E6E6"/>
        </w:rPr>
      </w:r>
      <w:r w:rsidRPr="006F07A5">
        <w:rPr>
          <w:color w:val="2B579A"/>
          <w:shd w:val="clear" w:color="auto" w:fill="E6E6E6"/>
        </w:rPr>
        <w:fldChar w:fldCharType="separate"/>
      </w:r>
      <w:r w:rsidRPr="006F07A5">
        <w:t>4.3.1.2.2</w:t>
      </w:r>
      <w:r w:rsidRPr="006F07A5">
        <w:rPr>
          <w:color w:val="2B579A"/>
          <w:shd w:val="clear" w:color="auto" w:fill="E6E6E6"/>
        </w:rPr>
        <w:fldChar w:fldCharType="end"/>
      </w:r>
      <w:r w:rsidRPr="006F07A5">
        <w:t xml:space="preserve"> and </w:t>
      </w:r>
      <w:r w:rsidRPr="006F07A5">
        <w:rPr>
          <w:color w:val="2B579A"/>
          <w:shd w:val="clear" w:color="auto" w:fill="E6E6E6"/>
        </w:rPr>
        <w:fldChar w:fldCharType="begin"/>
      </w:r>
      <w:r w:rsidRPr="006F07A5">
        <w:instrText xml:space="preserve"> REF _Ref270487120 \r \h </w:instrText>
      </w:r>
      <w:r w:rsidRPr="006F07A5">
        <w:rPr>
          <w:color w:val="2B579A"/>
          <w:shd w:val="clear" w:color="auto" w:fill="E6E6E6"/>
        </w:rPr>
      </w:r>
      <w:r w:rsidRPr="006F07A5">
        <w:rPr>
          <w:color w:val="2B579A"/>
          <w:shd w:val="clear" w:color="auto" w:fill="E6E6E6"/>
        </w:rPr>
        <w:fldChar w:fldCharType="separate"/>
      </w:r>
      <w:r w:rsidRPr="006F07A5">
        <w:t>4.4.2.2.2</w:t>
      </w:r>
      <w:r w:rsidRPr="006F07A5">
        <w:rPr>
          <w:color w:val="2B579A"/>
          <w:shd w:val="clear" w:color="auto" w:fill="E6E6E6"/>
        </w:rPr>
        <w:fldChar w:fldCharType="end"/>
      </w:r>
      <w:r w:rsidRPr="006F07A5">
        <w:t>, Short -Term Flex Down MCPs will be impacted by the Short-Term Flex Down Demand Curve and LMPs may go negative</w:t>
      </w:r>
      <w:r w:rsidRPr="006F07A5" w:rsidDel="001C2EC2">
        <w:t>.</w:t>
      </w:r>
    </w:p>
    <w:p w14:paraId="017359F3" w14:textId="5850AD6E" w:rsidR="00C8264D" w:rsidRPr="006F07A5" w:rsidRDefault="00C8264D" w:rsidP="00C35DA0">
      <w:pPr>
        <w:numPr>
          <w:ilvl w:val="0"/>
          <w:numId w:val="35"/>
        </w:numPr>
        <w:spacing w:line="300" w:lineRule="auto"/>
      </w:pPr>
      <w:r w:rsidRPr="006F07A5">
        <w:t xml:space="preserve">If there is a Reserve Zone Flexibility Reserve Products shortage that occurs simultaneously with a </w:t>
      </w:r>
      <w:r>
        <w:t>market</w:t>
      </w:r>
      <w:r w:rsidRPr="006F07A5">
        <w:t xml:space="preserve">-wide Flexibility Reserve Products shortage, both the </w:t>
      </w:r>
      <w:r>
        <w:t>market</w:t>
      </w:r>
      <w:r w:rsidRPr="006F07A5">
        <w:t>-wide Flexibility Reserve Products Demand Curves and Reserve Zone Flexibility Reserve Products Demand Curves will be applied (i.e.</w:t>
      </w:r>
      <w:r w:rsidR="00350866">
        <w:t>,</w:t>
      </w:r>
      <w:r w:rsidRPr="006F07A5">
        <w:t xml:space="preserve"> the </w:t>
      </w:r>
      <w:r>
        <w:t>market</w:t>
      </w:r>
      <w:r w:rsidRPr="006F07A5">
        <w:t>-wide and zonal Flexibility Reserve Products  Demand Curves are additive) in the calculation of Flexibility Reserve Products MCPs for the Reserve Zone(s) with Flexibility Reserve Products</w:t>
      </w:r>
      <w:r>
        <w:t xml:space="preserve"> </w:t>
      </w:r>
      <w:r w:rsidRPr="006F07A5">
        <w:t>shortages.</w:t>
      </w:r>
    </w:p>
    <w:p w14:paraId="414E60FF" w14:textId="77777777" w:rsidR="00C8264D" w:rsidRPr="006F07A5" w:rsidRDefault="00C8264D" w:rsidP="00C8264D">
      <w:pPr>
        <w:tabs>
          <w:tab w:val="left" w:pos="1080"/>
        </w:tabs>
        <w:spacing w:before="120" w:line="300" w:lineRule="auto"/>
        <w:ind w:left="734" w:hanging="547"/>
      </w:pPr>
      <w:r w:rsidRPr="006F07A5">
        <w:rPr>
          <w:rFonts w:cs="Courier New"/>
          <w:szCs w:val="24"/>
        </w:rPr>
        <w:t>(5)</w:t>
      </w:r>
      <w:r w:rsidRPr="006F07A5">
        <w:rPr>
          <w:rFonts w:cs="Courier New"/>
          <w:szCs w:val="24"/>
        </w:rPr>
        <w:tab/>
        <w:t>During capacity shortage conditions in either the Day-Ahead Market or RTBM:</w:t>
      </w:r>
    </w:p>
    <w:p w14:paraId="76EBE66F" w14:textId="77777777" w:rsidR="00C8264D" w:rsidRPr="006F07A5" w:rsidRDefault="00C8264D" w:rsidP="00C8264D">
      <w:pPr>
        <w:tabs>
          <w:tab w:val="left" w:pos="4500"/>
        </w:tabs>
        <w:spacing w:after="0" w:line="300" w:lineRule="auto"/>
        <w:ind w:left="1350" w:hanging="720"/>
      </w:pPr>
      <w:r w:rsidRPr="006F07A5">
        <w:rPr>
          <w:rFonts w:cs="Courier New"/>
          <w:szCs w:val="24"/>
        </w:rPr>
        <w:t xml:space="preserve">(a) </w:t>
      </w:r>
      <w:r w:rsidRPr="006F07A5">
        <w:rPr>
          <w:rFonts w:cs="Courier New"/>
          <w:szCs w:val="24"/>
        </w:rPr>
        <w:tab/>
      </w:r>
      <w:r w:rsidRPr="006F07A5">
        <w:rPr>
          <w:szCs w:val="24"/>
        </w:rPr>
        <w:t>T</w:t>
      </w:r>
      <w:r w:rsidRPr="006F07A5">
        <w:rPr>
          <w:rFonts w:cs="Courier New"/>
          <w:szCs w:val="24"/>
        </w:rPr>
        <w:t>he MEC component of the LMP will be set to $</w:t>
      </w:r>
      <w:r w:rsidRPr="006F07A5">
        <w:rPr>
          <w:szCs w:val="24"/>
        </w:rPr>
        <w:t>1,000</w:t>
      </w:r>
      <w:r w:rsidRPr="006F07A5">
        <w:rPr>
          <w:rFonts w:cs="Courier New"/>
          <w:szCs w:val="24"/>
        </w:rPr>
        <w:t xml:space="preserve">/MWh to the extent that Uncommitted Exports have been reduced until such time that Uncommitted Exports have been restored.  The MCC and MLC components of LMP </w:t>
      </w:r>
      <w:r w:rsidRPr="006F07A5">
        <w:rPr>
          <w:szCs w:val="24"/>
        </w:rPr>
        <w:t>will</w:t>
      </w:r>
      <w:r w:rsidRPr="006F07A5">
        <w:rPr>
          <w:rFonts w:cs="Courier New"/>
          <w:szCs w:val="24"/>
        </w:rPr>
        <w:t xml:space="preserve"> continue to be calculated normally; or</w:t>
      </w:r>
    </w:p>
    <w:p w14:paraId="52F426C9" w14:textId="77777777" w:rsidR="00C8264D" w:rsidRPr="006F07A5" w:rsidRDefault="00C8264D" w:rsidP="00C8264D">
      <w:pPr>
        <w:tabs>
          <w:tab w:val="left" w:pos="4500"/>
        </w:tabs>
        <w:spacing w:before="120" w:line="300" w:lineRule="auto"/>
        <w:ind w:left="1353" w:hanging="723"/>
      </w:pPr>
      <w:r w:rsidRPr="006F07A5">
        <w:rPr>
          <w:rFonts w:cs="Courier New"/>
          <w:szCs w:val="24"/>
        </w:rPr>
        <w:t>(b)</w:t>
      </w:r>
      <w:r w:rsidRPr="006F07A5">
        <w:rPr>
          <w:rFonts w:cs="Courier New"/>
          <w:szCs w:val="24"/>
        </w:rPr>
        <w:tab/>
      </w:r>
      <w:r w:rsidRPr="006F07A5">
        <w:rPr>
          <w:szCs w:val="24"/>
        </w:rPr>
        <w:t>T</w:t>
      </w:r>
      <w:r w:rsidRPr="006F07A5">
        <w:rPr>
          <w:rFonts w:cs="Courier New"/>
          <w:szCs w:val="24"/>
        </w:rPr>
        <w:t>he MEC component of the LMP will be set to $</w:t>
      </w:r>
      <w:r w:rsidRPr="006F07A5">
        <w:rPr>
          <w:szCs w:val="24"/>
        </w:rPr>
        <w:t>2,000</w:t>
      </w:r>
      <w:r w:rsidRPr="006F07A5">
        <w:rPr>
          <w:rFonts w:cs="Courier New"/>
          <w:szCs w:val="24"/>
        </w:rPr>
        <w:t>/MWh to the extent that Uncommitted Exports have been reduced until such time that Uncommitted Exports have been restored during market intervals in which the Market Monitor has verified offer prices in excess of $</w:t>
      </w:r>
      <w:r w:rsidRPr="006F07A5">
        <w:rPr>
          <w:szCs w:val="24"/>
        </w:rPr>
        <w:t>1,000</w:t>
      </w:r>
      <w:r w:rsidRPr="006F07A5">
        <w:rPr>
          <w:rFonts w:cs="Courier New"/>
          <w:szCs w:val="24"/>
        </w:rPr>
        <w:t xml:space="preserve">/MWh.  The MCC and MLC components of LMP </w:t>
      </w:r>
      <w:r w:rsidRPr="006F07A5">
        <w:rPr>
          <w:szCs w:val="24"/>
        </w:rPr>
        <w:t>will</w:t>
      </w:r>
      <w:r w:rsidRPr="006F07A5">
        <w:rPr>
          <w:rFonts w:cs="Courier New"/>
          <w:szCs w:val="24"/>
        </w:rPr>
        <w:t xml:space="preserve"> continue to be calculated normally.</w:t>
      </w:r>
    </w:p>
    <w:p w14:paraId="6997E0F2" w14:textId="5A39B90D" w:rsidR="000B14FF" w:rsidRDefault="00C8264D" w:rsidP="000B14FF">
      <w:pPr>
        <w:spacing w:line="300" w:lineRule="auto"/>
        <w:ind w:left="720" w:hanging="540"/>
      </w:pPr>
      <w:r w:rsidRPr="006F07A5">
        <w:t>(6)</w:t>
      </w:r>
      <w:r w:rsidRPr="006F07A5">
        <w:tab/>
      </w:r>
      <w:r w:rsidRPr="006F07A5" w:rsidDel="00FD21CD">
        <w:t xml:space="preserve">If there is </w:t>
      </w:r>
      <w:r w:rsidRPr="006F07A5">
        <w:t xml:space="preserve">insufficient capacity to meet Energy requirements on a </w:t>
      </w:r>
      <w:r>
        <w:t>market</w:t>
      </w:r>
      <w:r w:rsidRPr="006F07A5">
        <w:t xml:space="preserve">-wide basis, Energy requirements are reduced to meet available capacity and LMPs are calculated normally which will include the impacts of both the </w:t>
      </w:r>
      <w:r>
        <w:t>market</w:t>
      </w:r>
      <w:r w:rsidRPr="006F07A5">
        <w:t xml:space="preserve">-wide Short-Term Flex up Demand Curve and </w:t>
      </w:r>
      <w:r>
        <w:t>market</w:t>
      </w:r>
      <w:r w:rsidRPr="006F07A5">
        <w:t xml:space="preserve">-wide Mid-Term Flex Up Demand </w:t>
      </w:r>
      <w:r w:rsidRPr="006F07A5" w:rsidDel="00404E0F">
        <w:t>Cur</w:t>
      </w:r>
      <w:r w:rsidRPr="006F07A5">
        <w:t>ve.</w:t>
      </w:r>
    </w:p>
    <w:p w14:paraId="175C6BF5" w14:textId="77777777" w:rsidR="00C8264D" w:rsidRPr="006F07A5" w:rsidRDefault="00C8264D" w:rsidP="00C8264D">
      <w:pPr>
        <w:spacing w:line="300" w:lineRule="auto"/>
        <w:ind w:left="720" w:hanging="540"/>
      </w:pPr>
    </w:p>
    <w:p w14:paraId="4FA655C4" w14:textId="77777777" w:rsidR="00C8264D" w:rsidRPr="006F07A5" w:rsidRDefault="00C8264D" w:rsidP="00574EDE">
      <w:pPr>
        <w:pStyle w:val="Heading4"/>
      </w:pPr>
      <w:bookmarkStart w:id="436" w:name="_Toc213771800"/>
      <w:bookmarkStart w:id="437" w:name="_Toc263173268"/>
      <w:bookmarkStart w:id="438" w:name="_Toc263174168"/>
      <w:bookmarkStart w:id="439" w:name="_Toc263235067"/>
      <w:bookmarkStart w:id="440" w:name="_Toc263235710"/>
      <w:bookmarkStart w:id="441" w:name="_Toc263429390"/>
      <w:bookmarkStart w:id="442" w:name="_Toc263795418"/>
      <w:bookmarkStart w:id="443" w:name="_Toc266869602"/>
      <w:r w:rsidRPr="006F07A5">
        <w:t>Demand Curve Interaction with VRLs</w:t>
      </w:r>
      <w:bookmarkEnd w:id="436"/>
    </w:p>
    <w:p w14:paraId="3B353026" w14:textId="32948A14" w:rsidR="00C8264D" w:rsidRPr="006F07A5" w:rsidRDefault="00C8264D" w:rsidP="00C8264D">
      <w:pPr>
        <w:spacing w:line="300" w:lineRule="auto"/>
        <w:rPr>
          <w:szCs w:val="24"/>
        </w:rPr>
      </w:pPr>
      <w:r w:rsidRPr="006F07A5">
        <w:rPr>
          <w:szCs w:val="24"/>
        </w:rPr>
        <w:t xml:space="preserve">During the capacity shortages for the products described in Section </w:t>
      </w:r>
      <w:r w:rsidRPr="006F07A5">
        <w:rPr>
          <w:color w:val="2B579A"/>
          <w:szCs w:val="24"/>
          <w:shd w:val="clear" w:color="auto" w:fill="E6E6E6"/>
        </w:rPr>
        <w:fldChar w:fldCharType="begin"/>
      </w:r>
      <w:r w:rsidRPr="006F07A5">
        <w:rPr>
          <w:szCs w:val="24"/>
        </w:rPr>
        <w:instrText xml:space="preserve"> REF _Ref489880043 \r \h </w:instrText>
      </w:r>
      <w:r w:rsidRPr="006F07A5">
        <w:rPr>
          <w:color w:val="2B579A"/>
          <w:szCs w:val="24"/>
          <w:shd w:val="clear" w:color="auto" w:fill="E6E6E6"/>
        </w:rPr>
      </w:r>
      <w:r w:rsidRPr="006F07A5">
        <w:rPr>
          <w:color w:val="2B579A"/>
          <w:szCs w:val="24"/>
          <w:shd w:val="clear" w:color="auto" w:fill="E6E6E6"/>
        </w:rPr>
        <w:fldChar w:fldCharType="separate"/>
      </w:r>
      <w:r w:rsidRPr="006F07A5">
        <w:rPr>
          <w:szCs w:val="24"/>
        </w:rPr>
        <w:t>4.1.5</w:t>
      </w:r>
      <w:r w:rsidRPr="006F07A5">
        <w:rPr>
          <w:color w:val="2B579A"/>
          <w:szCs w:val="24"/>
          <w:shd w:val="clear" w:color="auto" w:fill="E6E6E6"/>
        </w:rPr>
        <w:fldChar w:fldCharType="end"/>
      </w:r>
      <w:r w:rsidRPr="006F07A5">
        <w:rPr>
          <w:szCs w:val="24"/>
        </w:rPr>
        <w:t xml:space="preserve">, Demand Curves are applied in the calculation of LMPs and MCPs.  LMPs may also be impacted by VRLs as described in Section </w:t>
      </w:r>
      <w:r w:rsidR="00C8732F">
        <w:rPr>
          <w:szCs w:val="24"/>
        </w:rPr>
        <w:fldChar w:fldCharType="begin"/>
      </w:r>
      <w:r w:rsidR="00C8732F">
        <w:rPr>
          <w:szCs w:val="24"/>
        </w:rPr>
        <w:instrText xml:space="preserve"> REF _Ref194665432 \r \h </w:instrText>
      </w:r>
      <w:r w:rsidR="00C8732F">
        <w:rPr>
          <w:szCs w:val="24"/>
        </w:rPr>
      </w:r>
      <w:r w:rsidR="00C8732F">
        <w:rPr>
          <w:szCs w:val="24"/>
        </w:rPr>
        <w:fldChar w:fldCharType="separate"/>
      </w:r>
      <w:r w:rsidR="00C8732F">
        <w:rPr>
          <w:szCs w:val="24"/>
        </w:rPr>
        <w:t>4.1.4.1</w:t>
      </w:r>
      <w:r w:rsidR="00C8732F">
        <w:rPr>
          <w:szCs w:val="24"/>
        </w:rPr>
        <w:fldChar w:fldCharType="end"/>
      </w:r>
      <w:r w:rsidRPr="006F07A5">
        <w:rPr>
          <w:szCs w:val="24"/>
        </w:rPr>
        <w:t>.  Exhibit 4-</w:t>
      </w:r>
      <w:r w:rsidR="00A013FA">
        <w:rPr>
          <w:szCs w:val="24"/>
        </w:rPr>
        <w:t>3</w:t>
      </w:r>
      <w:r w:rsidRPr="006F07A5">
        <w:rPr>
          <w:szCs w:val="24"/>
        </w:rPr>
        <w:t xml:space="preserve"> below shows the impacts to LMPs and MCPs under varying system conditions caused by the applicable of VRLs and Demand Curves.  </w:t>
      </w:r>
    </w:p>
    <w:p w14:paraId="0284E385" w14:textId="77777777" w:rsidR="00C8264D" w:rsidRPr="006F07A5" w:rsidRDefault="00C8264D" w:rsidP="00C8264D">
      <w:pPr>
        <w:spacing w:after="0"/>
        <w:jc w:val="center"/>
        <w:rPr>
          <w:b/>
          <w:szCs w:val="24"/>
        </w:rPr>
        <w:sectPr w:rsidR="00C8264D" w:rsidRPr="006F07A5" w:rsidSect="00C8264D">
          <w:headerReference w:type="default" r:id="rId39"/>
          <w:footerReference w:type="even" r:id="rId40"/>
          <w:footerReference w:type="first" r:id="rId41"/>
          <w:pgSz w:w="12240" w:h="15840"/>
          <w:pgMar w:top="1728" w:right="1440" w:bottom="1728" w:left="1440" w:header="720" w:footer="720" w:gutter="0"/>
          <w:cols w:space="720"/>
        </w:sectPr>
      </w:pPr>
    </w:p>
    <w:p w14:paraId="3F192442" w14:textId="0781F7D0" w:rsidR="00C8264D" w:rsidRPr="006F07A5" w:rsidRDefault="00C8264D" w:rsidP="00C8264D">
      <w:pPr>
        <w:spacing w:after="0"/>
        <w:jc w:val="center"/>
        <w:rPr>
          <w:b/>
          <w:szCs w:val="24"/>
        </w:rPr>
      </w:pPr>
      <w:r w:rsidRPr="006F07A5">
        <w:rPr>
          <w:b/>
          <w:szCs w:val="24"/>
        </w:rPr>
        <w:t xml:space="preserve">Exhibit </w:t>
      </w:r>
      <w:r w:rsidRPr="006F07A5">
        <w:rPr>
          <w:b/>
          <w:color w:val="2B579A"/>
          <w:szCs w:val="24"/>
          <w:shd w:val="clear" w:color="auto" w:fill="E6E6E6"/>
        </w:rPr>
        <w:fldChar w:fldCharType="begin"/>
      </w:r>
      <w:r w:rsidRPr="006F07A5">
        <w:rPr>
          <w:b/>
          <w:szCs w:val="24"/>
        </w:rPr>
        <w:instrText xml:space="preserve"> STYLEREF 1 \s </w:instrText>
      </w:r>
      <w:r w:rsidRPr="006F07A5">
        <w:rPr>
          <w:b/>
          <w:color w:val="2B579A"/>
          <w:szCs w:val="24"/>
          <w:shd w:val="clear" w:color="auto" w:fill="E6E6E6"/>
        </w:rPr>
        <w:fldChar w:fldCharType="separate"/>
      </w:r>
      <w:r w:rsidRPr="006F07A5">
        <w:rPr>
          <w:b/>
          <w:noProof/>
          <w:szCs w:val="24"/>
        </w:rPr>
        <w:t>4</w:t>
      </w:r>
      <w:r w:rsidRPr="006F07A5">
        <w:rPr>
          <w:b/>
          <w:color w:val="2B579A"/>
          <w:szCs w:val="24"/>
          <w:shd w:val="clear" w:color="auto" w:fill="E6E6E6"/>
        </w:rPr>
        <w:fldChar w:fldCharType="end"/>
      </w:r>
      <w:r w:rsidRPr="006F07A5">
        <w:rPr>
          <w:b/>
          <w:szCs w:val="24"/>
        </w:rPr>
        <w:noBreakHyphen/>
      </w:r>
      <w:r w:rsidR="00A013FA">
        <w:rPr>
          <w:b/>
          <w:color w:val="2B579A"/>
          <w:szCs w:val="24"/>
          <w:shd w:val="clear" w:color="auto" w:fill="E6E6E6"/>
        </w:rPr>
        <w:t>3</w:t>
      </w:r>
      <w:r w:rsidRPr="006F07A5">
        <w:rPr>
          <w:b/>
          <w:szCs w:val="24"/>
        </w:rPr>
        <w:t>: VRL and Demand Curve Interaction</w:t>
      </w:r>
    </w:p>
    <w:p w14:paraId="4290C1A2" w14:textId="77777777" w:rsidR="00C8264D" w:rsidRPr="006F07A5" w:rsidRDefault="00C8264D" w:rsidP="00C8264D">
      <w:pPr>
        <w:spacing w:before="120"/>
      </w:pPr>
      <w:r w:rsidRPr="006F07A5">
        <w:rPr>
          <w:b/>
        </w:rPr>
        <w:t>Scenarios:</w:t>
      </w:r>
    </w:p>
    <w:p w14:paraId="46614389" w14:textId="77777777" w:rsidR="00C8264D" w:rsidRPr="006F07A5" w:rsidRDefault="00C8264D" w:rsidP="00C8264D">
      <w:pPr>
        <w:spacing w:before="120"/>
      </w:pPr>
      <w:r w:rsidRPr="006F07A5">
        <w:t>A:</w:t>
      </w:r>
      <w:r w:rsidRPr="006F07A5">
        <w:tab/>
        <w:t>No Capacity Shortage</w:t>
      </w:r>
    </w:p>
    <w:p w14:paraId="1C68B6E3" w14:textId="77777777" w:rsidR="00C8264D" w:rsidRPr="006F07A5" w:rsidRDefault="00C8264D" w:rsidP="00C8264D">
      <w:pPr>
        <w:spacing w:before="120"/>
      </w:pPr>
      <w:r w:rsidRPr="006F07A5" w:rsidDel="008E0D6E">
        <w:t>B:</w:t>
      </w:r>
      <w:r w:rsidRPr="006F07A5">
        <w:t xml:space="preserve"> </w:t>
      </w:r>
      <w:r w:rsidRPr="006F07A5">
        <w:tab/>
      </w:r>
      <w:r>
        <w:t>Market</w:t>
      </w:r>
      <w:r w:rsidRPr="006F07A5">
        <w:t xml:space="preserve">-wide Short-Term Flex Up </w:t>
      </w:r>
      <w:r w:rsidRPr="006F07A5" w:rsidDel="008E0D6E">
        <w:t>Shortage</w:t>
      </w:r>
    </w:p>
    <w:p w14:paraId="783CED51" w14:textId="77777777" w:rsidR="00C8264D" w:rsidRPr="006F07A5" w:rsidRDefault="00C8264D" w:rsidP="00C8264D">
      <w:pPr>
        <w:spacing w:before="120"/>
      </w:pPr>
      <w:r w:rsidRPr="006F07A5">
        <w:t>C:</w:t>
      </w:r>
      <w:r w:rsidRPr="006F07A5">
        <w:tab/>
      </w:r>
      <w:r>
        <w:t>Market</w:t>
      </w:r>
      <w:r w:rsidRPr="006F07A5">
        <w:t>-</w:t>
      </w:r>
      <w:r>
        <w:t>w</w:t>
      </w:r>
      <w:r w:rsidRPr="006F07A5">
        <w:t>id</w:t>
      </w:r>
      <w:r>
        <w:t>e</w:t>
      </w:r>
      <w:r w:rsidRPr="006F07A5">
        <w:t xml:space="preserve"> Mid-Term Flex Up Shortage</w:t>
      </w:r>
    </w:p>
    <w:p w14:paraId="546927DF" w14:textId="77777777" w:rsidR="00C8264D" w:rsidRPr="006F07A5" w:rsidRDefault="00C8264D" w:rsidP="00C8264D">
      <w:pPr>
        <w:spacing w:before="120"/>
        <w:rPr>
          <w:szCs w:val="24"/>
        </w:rPr>
      </w:pPr>
    </w:p>
    <w:tbl>
      <w:tblPr>
        <w:tblStyle w:val="TableGrid"/>
        <w:tblW w:w="11070" w:type="dxa"/>
        <w:tblInd w:w="-1175" w:type="dxa"/>
        <w:tblLayout w:type="fixed"/>
        <w:tblLook w:val="04A0" w:firstRow="1" w:lastRow="0" w:firstColumn="1" w:lastColumn="0" w:noHBand="0" w:noVBand="1"/>
      </w:tblPr>
      <w:tblGrid>
        <w:gridCol w:w="1260"/>
        <w:gridCol w:w="2230"/>
        <w:gridCol w:w="2360"/>
        <w:gridCol w:w="2520"/>
        <w:gridCol w:w="2700"/>
      </w:tblGrid>
      <w:tr w:rsidR="003B26FD" w:rsidRPr="006F07A5" w14:paraId="38D32C55" w14:textId="77777777" w:rsidTr="00D14054">
        <w:trPr>
          <w:tblHeader/>
        </w:trPr>
        <w:tc>
          <w:tcPr>
            <w:tcW w:w="1260" w:type="dxa"/>
            <w:vMerge w:val="restart"/>
            <w:shd w:val="clear" w:color="auto" w:fill="DBE5F1" w:themeFill="accent1" w:themeFillTint="33"/>
            <w:vAlign w:val="center"/>
          </w:tcPr>
          <w:p w14:paraId="612B8222" w14:textId="77777777" w:rsidR="00C8264D" w:rsidRPr="006F07A5" w:rsidRDefault="00C8264D" w:rsidP="00D14054">
            <w:pPr>
              <w:spacing w:line="300" w:lineRule="auto"/>
              <w:jc w:val="center"/>
              <w:rPr>
                <w:b/>
                <w:szCs w:val="24"/>
              </w:rPr>
            </w:pPr>
            <w:r w:rsidRPr="006F07A5">
              <w:rPr>
                <w:b/>
              </w:rPr>
              <w:t>Scenario</w:t>
            </w:r>
          </w:p>
        </w:tc>
        <w:tc>
          <w:tcPr>
            <w:tcW w:w="4590" w:type="dxa"/>
            <w:gridSpan w:val="2"/>
            <w:tcBorders>
              <w:bottom w:val="single" w:sz="4" w:space="0" w:color="auto"/>
            </w:tcBorders>
            <w:shd w:val="clear" w:color="auto" w:fill="D9D9D9"/>
          </w:tcPr>
          <w:p w14:paraId="5D2C304F" w14:textId="77777777" w:rsidR="00C8264D" w:rsidRPr="006F07A5" w:rsidRDefault="00C8264D" w:rsidP="00D14054">
            <w:pPr>
              <w:spacing w:line="300" w:lineRule="auto"/>
              <w:jc w:val="center"/>
              <w:rPr>
                <w:b/>
                <w:szCs w:val="24"/>
              </w:rPr>
            </w:pPr>
            <w:r w:rsidRPr="006F07A5">
              <w:rPr>
                <w:b/>
                <w:szCs w:val="24"/>
              </w:rPr>
              <w:t xml:space="preserve">Non-Breached Operating Constraint </w:t>
            </w:r>
            <w:r>
              <w:rPr>
                <w:b/>
                <w:szCs w:val="24"/>
              </w:rPr>
              <w:t>(OC)</w:t>
            </w:r>
            <w:r w:rsidRPr="006F07A5">
              <w:rPr>
                <w:b/>
                <w:szCs w:val="24"/>
              </w:rPr>
              <w:t xml:space="preserve"> </w:t>
            </w:r>
          </w:p>
        </w:tc>
        <w:tc>
          <w:tcPr>
            <w:tcW w:w="5220" w:type="dxa"/>
            <w:gridSpan w:val="2"/>
            <w:tcBorders>
              <w:bottom w:val="single" w:sz="4" w:space="0" w:color="auto"/>
            </w:tcBorders>
            <w:shd w:val="clear" w:color="auto" w:fill="D9D9D9"/>
          </w:tcPr>
          <w:p w14:paraId="03463E5D" w14:textId="77777777" w:rsidR="00C8264D" w:rsidRPr="006F07A5" w:rsidRDefault="00C8264D" w:rsidP="00D14054">
            <w:pPr>
              <w:spacing w:line="300" w:lineRule="auto"/>
              <w:jc w:val="center"/>
              <w:rPr>
                <w:b/>
                <w:szCs w:val="24"/>
              </w:rPr>
            </w:pPr>
            <w:r w:rsidRPr="006F07A5">
              <w:rPr>
                <w:b/>
                <w:szCs w:val="24"/>
              </w:rPr>
              <w:t xml:space="preserve">Breached Operating Constraint (OC) </w:t>
            </w:r>
          </w:p>
        </w:tc>
      </w:tr>
      <w:tr w:rsidR="006C650A" w:rsidRPr="006F07A5" w14:paraId="46FC8C67" w14:textId="77777777" w:rsidTr="00D14054">
        <w:trPr>
          <w:tblHeader/>
        </w:trPr>
        <w:tc>
          <w:tcPr>
            <w:tcW w:w="1260" w:type="dxa"/>
            <w:vMerge/>
            <w:tcBorders>
              <w:bottom w:val="single" w:sz="4" w:space="0" w:color="auto"/>
            </w:tcBorders>
            <w:shd w:val="clear" w:color="auto" w:fill="DBE5F1" w:themeFill="accent1" w:themeFillTint="33"/>
          </w:tcPr>
          <w:p w14:paraId="18589BB7" w14:textId="77777777" w:rsidR="00C8264D" w:rsidRPr="006F07A5" w:rsidRDefault="00C8264D" w:rsidP="00D14054">
            <w:pPr>
              <w:spacing w:line="300" w:lineRule="auto"/>
              <w:rPr>
                <w:szCs w:val="24"/>
              </w:rPr>
            </w:pPr>
          </w:p>
        </w:tc>
        <w:tc>
          <w:tcPr>
            <w:tcW w:w="2230" w:type="dxa"/>
            <w:shd w:val="clear" w:color="auto" w:fill="95B3D7" w:themeFill="accent1" w:themeFillTint="99"/>
          </w:tcPr>
          <w:p w14:paraId="1A5A7601" w14:textId="77777777" w:rsidR="00C8264D" w:rsidRPr="006F07A5" w:rsidRDefault="00C8264D" w:rsidP="00D14054">
            <w:pPr>
              <w:spacing w:line="300" w:lineRule="auto"/>
              <w:jc w:val="center"/>
              <w:rPr>
                <w:b/>
                <w:szCs w:val="24"/>
              </w:rPr>
            </w:pPr>
            <w:r w:rsidRPr="006F07A5">
              <w:rPr>
                <w:b/>
                <w:szCs w:val="24"/>
              </w:rPr>
              <w:t>LMP Impact</w:t>
            </w:r>
          </w:p>
        </w:tc>
        <w:tc>
          <w:tcPr>
            <w:tcW w:w="2360" w:type="dxa"/>
            <w:shd w:val="clear" w:color="auto" w:fill="95B3D7" w:themeFill="accent1" w:themeFillTint="99"/>
          </w:tcPr>
          <w:p w14:paraId="1B6DB286" w14:textId="77777777" w:rsidR="00C8264D" w:rsidRPr="006F07A5" w:rsidRDefault="00C8264D" w:rsidP="00D14054">
            <w:pPr>
              <w:spacing w:line="300" w:lineRule="auto"/>
              <w:jc w:val="center"/>
              <w:rPr>
                <w:b/>
                <w:szCs w:val="24"/>
              </w:rPr>
            </w:pPr>
            <w:r w:rsidRPr="006F07A5">
              <w:rPr>
                <w:b/>
                <w:szCs w:val="24"/>
              </w:rPr>
              <w:t>MCP Impact</w:t>
            </w:r>
          </w:p>
        </w:tc>
        <w:tc>
          <w:tcPr>
            <w:tcW w:w="2520" w:type="dxa"/>
            <w:shd w:val="clear" w:color="auto" w:fill="95B3D7" w:themeFill="accent1" w:themeFillTint="99"/>
          </w:tcPr>
          <w:p w14:paraId="5A666DF5" w14:textId="77777777" w:rsidR="00C8264D" w:rsidRPr="006F07A5" w:rsidRDefault="00C8264D" w:rsidP="00D14054">
            <w:pPr>
              <w:spacing w:line="300" w:lineRule="auto"/>
              <w:jc w:val="center"/>
              <w:rPr>
                <w:b/>
                <w:szCs w:val="24"/>
              </w:rPr>
            </w:pPr>
            <w:r w:rsidRPr="006F07A5">
              <w:rPr>
                <w:b/>
                <w:szCs w:val="24"/>
              </w:rPr>
              <w:t>LMP Impact</w:t>
            </w:r>
          </w:p>
        </w:tc>
        <w:tc>
          <w:tcPr>
            <w:tcW w:w="2700" w:type="dxa"/>
            <w:shd w:val="clear" w:color="auto" w:fill="95B3D7" w:themeFill="accent1" w:themeFillTint="99"/>
          </w:tcPr>
          <w:p w14:paraId="26954172" w14:textId="77777777" w:rsidR="00C8264D" w:rsidRPr="006F07A5" w:rsidRDefault="00C8264D" w:rsidP="00D14054">
            <w:pPr>
              <w:spacing w:line="300" w:lineRule="auto"/>
              <w:jc w:val="center"/>
              <w:rPr>
                <w:b/>
                <w:szCs w:val="24"/>
              </w:rPr>
            </w:pPr>
            <w:r w:rsidRPr="006F07A5">
              <w:rPr>
                <w:b/>
                <w:szCs w:val="24"/>
              </w:rPr>
              <w:t>MCP Impact</w:t>
            </w:r>
          </w:p>
        </w:tc>
      </w:tr>
      <w:tr w:rsidR="00C8264D" w:rsidRPr="006F07A5" w14:paraId="6C600AE6" w14:textId="77777777" w:rsidTr="00D14054">
        <w:trPr>
          <w:cantSplit/>
        </w:trPr>
        <w:tc>
          <w:tcPr>
            <w:tcW w:w="1260" w:type="dxa"/>
            <w:shd w:val="clear" w:color="auto" w:fill="95B3D7" w:themeFill="accent1" w:themeFillTint="99"/>
          </w:tcPr>
          <w:p w14:paraId="61A32B06" w14:textId="77777777" w:rsidR="00C8264D" w:rsidRPr="006F07A5" w:rsidRDefault="00C8264D" w:rsidP="00D14054">
            <w:pPr>
              <w:spacing w:line="300" w:lineRule="auto"/>
              <w:jc w:val="center"/>
              <w:rPr>
                <w:b/>
                <w:szCs w:val="24"/>
              </w:rPr>
            </w:pPr>
            <w:r w:rsidRPr="006F07A5">
              <w:rPr>
                <w:b/>
                <w:szCs w:val="24"/>
              </w:rPr>
              <w:t>A</w:t>
            </w:r>
          </w:p>
        </w:tc>
        <w:tc>
          <w:tcPr>
            <w:tcW w:w="2230" w:type="dxa"/>
          </w:tcPr>
          <w:p w14:paraId="4BB67CB1" w14:textId="77777777" w:rsidR="00C8264D" w:rsidRPr="007C1393" w:rsidRDefault="00C8264D" w:rsidP="00D14054">
            <w:pPr>
              <w:spacing w:line="300" w:lineRule="auto"/>
              <w:rPr>
                <w:sz w:val="22"/>
                <w:szCs w:val="22"/>
              </w:rPr>
            </w:pPr>
            <w:r w:rsidRPr="007C1393">
              <w:rPr>
                <w:sz w:val="22"/>
                <w:szCs w:val="22"/>
              </w:rPr>
              <w:t>Set economically by Resource Offers.</w:t>
            </w:r>
          </w:p>
        </w:tc>
        <w:tc>
          <w:tcPr>
            <w:tcW w:w="2360" w:type="dxa"/>
          </w:tcPr>
          <w:p w14:paraId="32DA6147" w14:textId="77777777" w:rsidR="00C8264D" w:rsidRPr="007C1393" w:rsidRDefault="00C8264D" w:rsidP="00D14054">
            <w:pPr>
              <w:spacing w:line="300" w:lineRule="auto"/>
              <w:rPr>
                <w:sz w:val="22"/>
                <w:szCs w:val="22"/>
              </w:rPr>
            </w:pPr>
            <w:r w:rsidRPr="007C1393">
              <w:rPr>
                <w:sz w:val="22"/>
                <w:szCs w:val="22"/>
              </w:rPr>
              <w:t>Set economically by Resource Offers.</w:t>
            </w:r>
          </w:p>
        </w:tc>
        <w:tc>
          <w:tcPr>
            <w:tcW w:w="2520" w:type="dxa"/>
          </w:tcPr>
          <w:p w14:paraId="7ED2A580" w14:textId="77777777" w:rsidR="00C8264D" w:rsidRPr="007C1393" w:rsidRDefault="00C8264D" w:rsidP="00D14054">
            <w:pPr>
              <w:spacing w:line="300" w:lineRule="auto"/>
              <w:rPr>
                <w:sz w:val="22"/>
                <w:szCs w:val="22"/>
              </w:rPr>
            </w:pPr>
            <w:r w:rsidRPr="007C1393">
              <w:rPr>
                <w:sz w:val="22"/>
                <w:szCs w:val="22"/>
              </w:rPr>
              <w:t xml:space="preserve">Set economically by relaxing the Transmission Constraint associated with the Operating Constraint </w:t>
            </w:r>
            <w:r>
              <w:rPr>
                <w:sz w:val="22"/>
                <w:szCs w:val="22"/>
              </w:rPr>
              <w:t>(OC)</w:t>
            </w:r>
            <w:r w:rsidRPr="007C1393">
              <w:rPr>
                <w:sz w:val="22"/>
                <w:szCs w:val="22"/>
              </w:rPr>
              <w:t xml:space="preserve"> VRL.</w:t>
            </w:r>
          </w:p>
        </w:tc>
        <w:tc>
          <w:tcPr>
            <w:tcW w:w="2700" w:type="dxa"/>
          </w:tcPr>
          <w:p w14:paraId="72240EFE" w14:textId="77777777" w:rsidR="00C8264D" w:rsidRPr="007C1393" w:rsidRDefault="00C8264D" w:rsidP="00D14054">
            <w:pPr>
              <w:spacing w:line="300" w:lineRule="auto"/>
              <w:rPr>
                <w:sz w:val="22"/>
                <w:szCs w:val="22"/>
              </w:rPr>
            </w:pPr>
            <w:r w:rsidRPr="007C1393">
              <w:rPr>
                <w:sz w:val="22"/>
                <w:szCs w:val="22"/>
              </w:rPr>
              <w:t xml:space="preserve">Set economically by Resource Offers. </w:t>
            </w:r>
          </w:p>
        </w:tc>
      </w:tr>
      <w:tr w:rsidR="00C8264D" w:rsidRPr="006F07A5" w14:paraId="143E0B2E" w14:textId="77777777" w:rsidTr="00D14054">
        <w:tc>
          <w:tcPr>
            <w:tcW w:w="1260" w:type="dxa"/>
            <w:shd w:val="clear" w:color="auto" w:fill="95B3D7" w:themeFill="accent1" w:themeFillTint="99"/>
          </w:tcPr>
          <w:p w14:paraId="3B8F17A9" w14:textId="77777777" w:rsidR="00C8264D" w:rsidRPr="006F07A5" w:rsidRDefault="00C8264D" w:rsidP="00D14054">
            <w:pPr>
              <w:spacing w:line="300" w:lineRule="auto"/>
              <w:jc w:val="center"/>
              <w:rPr>
                <w:b/>
                <w:szCs w:val="24"/>
              </w:rPr>
            </w:pPr>
            <w:r w:rsidRPr="006F07A5">
              <w:rPr>
                <w:b/>
                <w:szCs w:val="24"/>
              </w:rPr>
              <w:t>B</w:t>
            </w:r>
          </w:p>
        </w:tc>
        <w:tc>
          <w:tcPr>
            <w:tcW w:w="2230" w:type="dxa"/>
          </w:tcPr>
          <w:p w14:paraId="7B8B7CD7" w14:textId="77777777" w:rsidR="00C8264D" w:rsidRPr="007C1393" w:rsidRDefault="00C8264D" w:rsidP="00D14054">
            <w:pPr>
              <w:spacing w:line="300" w:lineRule="auto"/>
              <w:rPr>
                <w:sz w:val="22"/>
                <w:szCs w:val="22"/>
              </w:rPr>
            </w:pPr>
            <w:r w:rsidRPr="007C1393">
              <w:rPr>
                <w:sz w:val="22"/>
                <w:szCs w:val="22"/>
              </w:rPr>
              <w:t>System-Wide LMPs set economically by Resource Offers and Short-Term Flex Up Demand Curve price impact.</w:t>
            </w:r>
          </w:p>
        </w:tc>
        <w:tc>
          <w:tcPr>
            <w:tcW w:w="2360" w:type="dxa"/>
          </w:tcPr>
          <w:p w14:paraId="31414B21" w14:textId="77777777" w:rsidR="00C8264D" w:rsidRPr="007C1393" w:rsidRDefault="00C8264D" w:rsidP="00D14054">
            <w:pPr>
              <w:spacing w:line="300" w:lineRule="auto"/>
              <w:rPr>
                <w:sz w:val="22"/>
                <w:szCs w:val="22"/>
              </w:rPr>
            </w:pPr>
            <w:r w:rsidRPr="007C1393">
              <w:rPr>
                <w:sz w:val="22"/>
                <w:szCs w:val="22"/>
              </w:rPr>
              <w:t xml:space="preserve">Short-Term Flex Up MCP set at Short-Term Flex Up Demand Curve price.  </w:t>
            </w:r>
          </w:p>
        </w:tc>
        <w:tc>
          <w:tcPr>
            <w:tcW w:w="2520" w:type="dxa"/>
          </w:tcPr>
          <w:p w14:paraId="30EBF0C1" w14:textId="77777777" w:rsidR="00C8264D" w:rsidRPr="007C1393" w:rsidRDefault="00C8264D" w:rsidP="00D14054">
            <w:pPr>
              <w:spacing w:line="300" w:lineRule="auto"/>
              <w:rPr>
                <w:sz w:val="22"/>
                <w:szCs w:val="22"/>
              </w:rPr>
            </w:pPr>
            <w:r w:rsidRPr="007C1393">
              <w:rPr>
                <w:sz w:val="22"/>
                <w:szCs w:val="22"/>
              </w:rPr>
              <w:t xml:space="preserve">Set economically by relaxing the Transmission Constraint associated with the Operating Constraint VRL and includes associated </w:t>
            </w:r>
            <w:r>
              <w:rPr>
                <w:sz w:val="22"/>
                <w:szCs w:val="22"/>
              </w:rPr>
              <w:t>OC</w:t>
            </w:r>
            <w:r w:rsidRPr="007C1393">
              <w:rPr>
                <w:sz w:val="22"/>
                <w:szCs w:val="22"/>
              </w:rPr>
              <w:t xml:space="preserve"> VRL price impacts and Short-Term Flex Up Demand Curve price impacts.</w:t>
            </w:r>
          </w:p>
        </w:tc>
        <w:tc>
          <w:tcPr>
            <w:tcW w:w="2700" w:type="dxa"/>
          </w:tcPr>
          <w:p w14:paraId="667FE5B1" w14:textId="77777777" w:rsidR="00C8264D" w:rsidRPr="007C1393" w:rsidRDefault="00C8264D" w:rsidP="00D14054">
            <w:pPr>
              <w:spacing w:line="300" w:lineRule="auto"/>
              <w:rPr>
                <w:sz w:val="22"/>
                <w:szCs w:val="22"/>
              </w:rPr>
            </w:pPr>
            <w:r w:rsidRPr="007C1393">
              <w:rPr>
                <w:sz w:val="22"/>
                <w:szCs w:val="22"/>
              </w:rPr>
              <w:t xml:space="preserve">Short-Term Flex Up MCP set at Short-Term Flex Up Demand Curve price.  </w:t>
            </w:r>
          </w:p>
          <w:p w14:paraId="539B9F60" w14:textId="77777777" w:rsidR="00C8264D" w:rsidRPr="007C1393" w:rsidRDefault="00C8264D" w:rsidP="00D14054">
            <w:pPr>
              <w:spacing w:line="300" w:lineRule="auto"/>
              <w:rPr>
                <w:sz w:val="22"/>
                <w:szCs w:val="22"/>
              </w:rPr>
            </w:pPr>
          </w:p>
        </w:tc>
      </w:tr>
      <w:tr w:rsidR="00C8264D" w:rsidRPr="006F07A5" w14:paraId="431F88C0" w14:textId="77777777" w:rsidTr="00D14054">
        <w:tc>
          <w:tcPr>
            <w:tcW w:w="1260" w:type="dxa"/>
            <w:shd w:val="clear" w:color="auto" w:fill="95B3D7" w:themeFill="accent1" w:themeFillTint="99"/>
          </w:tcPr>
          <w:p w14:paraId="2B3FAD5E" w14:textId="77777777" w:rsidR="00C8264D" w:rsidRPr="006F07A5" w:rsidRDefault="00C8264D" w:rsidP="00D14054">
            <w:pPr>
              <w:spacing w:line="300" w:lineRule="auto"/>
              <w:jc w:val="center"/>
              <w:rPr>
                <w:b/>
                <w:szCs w:val="24"/>
              </w:rPr>
            </w:pPr>
            <w:r w:rsidRPr="006F07A5">
              <w:rPr>
                <w:b/>
                <w:szCs w:val="24"/>
              </w:rPr>
              <w:t>C</w:t>
            </w:r>
          </w:p>
        </w:tc>
        <w:tc>
          <w:tcPr>
            <w:tcW w:w="2230" w:type="dxa"/>
          </w:tcPr>
          <w:p w14:paraId="44EAB7D4" w14:textId="77777777" w:rsidR="00C8264D" w:rsidRPr="007C1393" w:rsidRDefault="00C8264D" w:rsidP="00D14054">
            <w:pPr>
              <w:spacing w:line="300" w:lineRule="auto"/>
              <w:rPr>
                <w:sz w:val="22"/>
                <w:szCs w:val="22"/>
              </w:rPr>
            </w:pPr>
            <w:r w:rsidRPr="007C1393">
              <w:rPr>
                <w:sz w:val="22"/>
                <w:szCs w:val="22"/>
              </w:rPr>
              <w:t>System-Wide LMPs set economically by Resource Offers and Mid-Term Flex Up Demand Curve price impact.</w:t>
            </w:r>
          </w:p>
        </w:tc>
        <w:tc>
          <w:tcPr>
            <w:tcW w:w="2360" w:type="dxa"/>
          </w:tcPr>
          <w:p w14:paraId="7B9B2132" w14:textId="77777777" w:rsidR="00C8264D" w:rsidRPr="007C1393" w:rsidRDefault="00C8264D" w:rsidP="00D14054">
            <w:pPr>
              <w:spacing w:line="300" w:lineRule="auto"/>
              <w:rPr>
                <w:sz w:val="22"/>
                <w:szCs w:val="22"/>
              </w:rPr>
            </w:pPr>
            <w:r w:rsidRPr="007C1393">
              <w:rPr>
                <w:sz w:val="22"/>
                <w:szCs w:val="22"/>
              </w:rPr>
              <w:t>Mid-Term Flex Up MCP set at Mid-Term Flex Up Demand Curve price.</w:t>
            </w:r>
          </w:p>
        </w:tc>
        <w:tc>
          <w:tcPr>
            <w:tcW w:w="2520" w:type="dxa"/>
          </w:tcPr>
          <w:p w14:paraId="09556B8F" w14:textId="77777777" w:rsidR="00C8264D" w:rsidRPr="007C1393" w:rsidRDefault="00C8264D" w:rsidP="00D14054">
            <w:pPr>
              <w:spacing w:line="300" w:lineRule="auto"/>
              <w:rPr>
                <w:sz w:val="22"/>
                <w:szCs w:val="22"/>
              </w:rPr>
            </w:pPr>
            <w:r w:rsidRPr="007C1393">
              <w:rPr>
                <w:sz w:val="22"/>
                <w:szCs w:val="22"/>
              </w:rPr>
              <w:t xml:space="preserve">Set economically by relaxing the Transmission Constraint associated with the Operating Constraint VRL and includes associated </w:t>
            </w:r>
            <w:r>
              <w:rPr>
                <w:sz w:val="22"/>
                <w:szCs w:val="22"/>
              </w:rPr>
              <w:t>OC</w:t>
            </w:r>
            <w:r w:rsidRPr="007C1393">
              <w:rPr>
                <w:sz w:val="22"/>
                <w:szCs w:val="22"/>
              </w:rPr>
              <w:t xml:space="preserve"> VRL price impacts and Mid-Term Flex Up Demand Curve price impacts.</w:t>
            </w:r>
          </w:p>
        </w:tc>
        <w:tc>
          <w:tcPr>
            <w:tcW w:w="2700" w:type="dxa"/>
          </w:tcPr>
          <w:p w14:paraId="2D0C121C" w14:textId="77777777" w:rsidR="00C8264D" w:rsidRPr="007C1393" w:rsidRDefault="00C8264D" w:rsidP="00D14054">
            <w:pPr>
              <w:spacing w:line="300" w:lineRule="auto"/>
              <w:rPr>
                <w:sz w:val="22"/>
                <w:szCs w:val="22"/>
              </w:rPr>
            </w:pPr>
            <w:r w:rsidRPr="007C1393">
              <w:rPr>
                <w:sz w:val="22"/>
                <w:szCs w:val="22"/>
              </w:rPr>
              <w:t>Mid-Term Flex Up MCP set at Mid-Term Flex Up Demand Curve price.</w:t>
            </w:r>
          </w:p>
        </w:tc>
      </w:tr>
    </w:tbl>
    <w:p w14:paraId="2BCDF9A7" w14:textId="77777777" w:rsidR="00C8264D" w:rsidRPr="006F07A5" w:rsidRDefault="00C8264D" w:rsidP="00C8264D">
      <w:pPr>
        <w:spacing w:line="300" w:lineRule="auto"/>
        <w:rPr>
          <w:szCs w:val="24"/>
        </w:rPr>
      </w:pPr>
    </w:p>
    <w:p w14:paraId="17EF5596" w14:textId="77777777" w:rsidR="00C8264D" w:rsidRPr="006F07A5" w:rsidRDefault="00C8264D" w:rsidP="00C8264D">
      <w:pPr>
        <w:spacing w:before="120" w:line="300" w:lineRule="auto"/>
        <w:sectPr w:rsidR="00C8264D" w:rsidRPr="006F07A5" w:rsidSect="00C8264D">
          <w:pgSz w:w="12240" w:h="15840" w:code="1"/>
          <w:pgMar w:top="1728" w:right="1440" w:bottom="1728" w:left="1440" w:header="720" w:footer="720" w:gutter="0"/>
          <w:cols w:space="720"/>
          <w:docGrid w:linePitch="299"/>
        </w:sectPr>
      </w:pPr>
      <w:bookmarkStart w:id="444" w:name="_Toc270335102"/>
      <w:bookmarkStart w:id="445" w:name="_Toc270512495"/>
      <w:bookmarkStart w:id="446" w:name="_Toc270335103"/>
      <w:bookmarkStart w:id="447" w:name="_Toc270512496"/>
      <w:bookmarkStart w:id="448" w:name="_Toc270335104"/>
      <w:bookmarkStart w:id="449" w:name="_Toc270512497"/>
      <w:bookmarkStart w:id="450" w:name="_Toc270335105"/>
      <w:bookmarkStart w:id="451" w:name="_Toc270512498"/>
      <w:bookmarkStart w:id="452" w:name="_Toc270335106"/>
      <w:bookmarkStart w:id="453" w:name="_Toc270512499"/>
      <w:bookmarkStart w:id="454" w:name="_Toc270335107"/>
      <w:bookmarkStart w:id="455" w:name="_Toc270512500"/>
      <w:bookmarkStart w:id="456" w:name="_Toc270335108"/>
      <w:bookmarkStart w:id="457" w:name="_Toc270512501"/>
      <w:bookmarkStart w:id="458" w:name="_Toc270335110"/>
      <w:bookmarkStart w:id="459" w:name="_Toc270512503"/>
      <w:bookmarkStart w:id="460" w:name="_Toc270335111"/>
      <w:bookmarkStart w:id="461" w:name="_Toc270512504"/>
      <w:bookmarkStart w:id="462" w:name="_Toc270335112"/>
      <w:bookmarkStart w:id="463" w:name="_Toc270512505"/>
      <w:bookmarkStart w:id="464" w:name="_Toc270335113"/>
      <w:bookmarkStart w:id="465" w:name="_Toc270512506"/>
      <w:bookmarkStart w:id="466" w:name="_Toc270335114"/>
      <w:bookmarkStart w:id="467" w:name="_Toc270512507"/>
      <w:bookmarkStart w:id="468" w:name="_Toc270335115"/>
      <w:bookmarkStart w:id="469" w:name="_Toc270512508"/>
      <w:bookmarkStart w:id="470" w:name="_Toc270335116"/>
      <w:bookmarkStart w:id="471" w:name="_Toc270512509"/>
      <w:bookmarkStart w:id="472" w:name="_Toc270335117"/>
      <w:bookmarkStart w:id="473" w:name="_Toc270512510"/>
      <w:bookmarkStart w:id="474" w:name="_Toc270335118"/>
      <w:bookmarkStart w:id="475" w:name="_Toc270512511"/>
      <w:bookmarkStart w:id="476" w:name="_Toc270335119"/>
      <w:bookmarkStart w:id="477" w:name="_Toc270512512"/>
      <w:bookmarkStart w:id="478" w:name="_Toc270335120"/>
      <w:bookmarkStart w:id="479" w:name="_Toc270512513"/>
      <w:bookmarkStart w:id="480" w:name="_Toc270335121"/>
      <w:bookmarkStart w:id="481" w:name="_Toc270512514"/>
      <w:bookmarkStart w:id="482" w:name="_Toc270335122"/>
      <w:bookmarkStart w:id="483" w:name="_Toc270512515"/>
      <w:bookmarkStart w:id="484" w:name="_Toc270335123"/>
      <w:bookmarkStart w:id="485" w:name="_Toc270512516"/>
      <w:bookmarkStart w:id="486" w:name="_Toc270335124"/>
      <w:bookmarkStart w:id="487" w:name="_Toc270512517"/>
      <w:bookmarkStart w:id="488" w:name="_Toc270335125"/>
      <w:bookmarkStart w:id="489" w:name="_Toc270512518"/>
      <w:bookmarkStart w:id="490" w:name="_Toc270335127"/>
      <w:bookmarkStart w:id="491" w:name="_Toc270512520"/>
      <w:bookmarkStart w:id="492" w:name="_Toc270335128"/>
      <w:bookmarkStart w:id="493" w:name="_Toc270512521"/>
      <w:bookmarkStart w:id="494" w:name="_Toc270335129"/>
      <w:bookmarkStart w:id="495" w:name="_Toc270512522"/>
      <w:bookmarkStart w:id="496" w:name="_Toc270335130"/>
      <w:bookmarkStart w:id="497" w:name="_Toc270512523"/>
      <w:bookmarkStart w:id="498" w:name="_Toc270335131"/>
      <w:bookmarkStart w:id="499" w:name="_Toc270512524"/>
      <w:bookmarkStart w:id="500" w:name="_Toc270335132"/>
      <w:bookmarkStart w:id="501" w:name="_Toc270512525"/>
      <w:bookmarkStart w:id="502" w:name="_Toc270335133"/>
      <w:bookmarkStart w:id="503" w:name="_Toc270512526"/>
      <w:bookmarkStart w:id="504" w:name="_Toc270335134"/>
      <w:bookmarkStart w:id="505" w:name="_Toc270512527"/>
      <w:bookmarkStart w:id="506" w:name="_Toc270335135"/>
      <w:bookmarkStart w:id="507" w:name="_Toc270512528"/>
      <w:bookmarkStart w:id="508" w:name="_Toc270335136"/>
      <w:bookmarkStart w:id="509" w:name="_Toc270512529"/>
      <w:bookmarkStart w:id="510" w:name="_Toc270335137"/>
      <w:bookmarkStart w:id="511" w:name="_Toc270512530"/>
      <w:bookmarkStart w:id="512" w:name="_Toc270335138"/>
      <w:bookmarkStart w:id="513" w:name="_Toc270512531"/>
      <w:bookmarkStart w:id="514" w:name="_Toc270335139"/>
      <w:bookmarkStart w:id="515" w:name="_Toc270512532"/>
      <w:bookmarkStart w:id="516" w:name="_Toc270335140"/>
      <w:bookmarkStart w:id="517" w:name="_Toc270512533"/>
      <w:bookmarkStart w:id="518" w:name="_Toc270335141"/>
      <w:bookmarkStart w:id="519" w:name="_Toc270512534"/>
      <w:bookmarkStart w:id="520" w:name="_Toc270335142"/>
      <w:bookmarkStart w:id="521" w:name="_Toc270512535"/>
      <w:bookmarkStart w:id="522" w:name="_Toc270335143"/>
      <w:bookmarkStart w:id="523" w:name="_Toc270512536"/>
      <w:bookmarkStart w:id="524" w:name="_Toc270335144"/>
      <w:bookmarkStart w:id="525" w:name="_Toc270512537"/>
      <w:bookmarkStart w:id="526" w:name="_Toc270335145"/>
      <w:bookmarkStart w:id="527" w:name="_Toc270512538"/>
      <w:bookmarkStart w:id="528" w:name="_Toc270335146"/>
      <w:bookmarkStart w:id="529" w:name="_Toc270512539"/>
      <w:bookmarkStart w:id="530" w:name="_Toc270335147"/>
      <w:bookmarkStart w:id="531" w:name="_Toc270512540"/>
      <w:bookmarkStart w:id="532" w:name="_Toc270335149"/>
      <w:bookmarkStart w:id="533" w:name="_Toc270512542"/>
      <w:bookmarkStart w:id="534" w:name="_Toc270335150"/>
      <w:bookmarkStart w:id="535" w:name="_Toc270512543"/>
      <w:bookmarkStart w:id="536" w:name="_Toc270335151"/>
      <w:bookmarkStart w:id="537" w:name="_Toc270512544"/>
      <w:bookmarkStart w:id="538" w:name="_Toc270335152"/>
      <w:bookmarkStart w:id="539" w:name="_Toc270512545"/>
      <w:bookmarkStart w:id="540" w:name="_Toc270335153"/>
      <w:bookmarkStart w:id="541" w:name="_Toc270512546"/>
      <w:bookmarkStart w:id="542" w:name="_Toc270335154"/>
      <w:bookmarkStart w:id="543" w:name="_Toc270512547"/>
      <w:bookmarkStart w:id="544" w:name="_Toc270335155"/>
      <w:bookmarkStart w:id="545" w:name="_Toc270512548"/>
      <w:bookmarkStart w:id="546" w:name="_Toc270335156"/>
      <w:bookmarkStart w:id="547" w:name="_Toc270512549"/>
      <w:bookmarkStart w:id="548" w:name="_Toc270335157"/>
      <w:bookmarkStart w:id="549" w:name="_Toc270512550"/>
      <w:bookmarkStart w:id="550" w:name="_Toc270335158"/>
      <w:bookmarkStart w:id="551" w:name="_Toc270512551"/>
      <w:bookmarkStart w:id="552" w:name="_Toc270335159"/>
      <w:bookmarkStart w:id="553" w:name="_Toc270512552"/>
      <w:bookmarkStart w:id="554" w:name="_Toc270335160"/>
      <w:bookmarkStart w:id="555" w:name="_Toc270512553"/>
      <w:bookmarkStart w:id="556" w:name="_Toc270335161"/>
      <w:bookmarkStart w:id="557" w:name="_Toc270512554"/>
      <w:bookmarkStart w:id="558" w:name="_Toc270335162"/>
      <w:bookmarkStart w:id="559" w:name="_Toc270512555"/>
      <w:bookmarkStart w:id="560" w:name="_Toc270335165"/>
      <w:bookmarkStart w:id="561" w:name="_Toc270512558"/>
      <w:bookmarkStart w:id="562" w:name="_Toc270335166"/>
      <w:bookmarkStart w:id="563" w:name="_Toc270512559"/>
      <w:bookmarkStart w:id="564" w:name="_Toc270335167"/>
      <w:bookmarkStart w:id="565" w:name="_Toc270512560"/>
      <w:bookmarkStart w:id="566" w:name="_Toc270335168"/>
      <w:bookmarkStart w:id="567" w:name="_Toc270512561"/>
      <w:bookmarkStart w:id="568" w:name="_Toc270335169"/>
      <w:bookmarkStart w:id="569" w:name="_Toc270512562"/>
      <w:bookmarkStart w:id="570" w:name="_Toc270335170"/>
      <w:bookmarkStart w:id="571" w:name="_Toc270512563"/>
      <w:bookmarkStart w:id="572" w:name="_Toc270335171"/>
      <w:bookmarkStart w:id="573" w:name="_Toc270512564"/>
      <w:bookmarkStart w:id="574" w:name="_Toc270335172"/>
      <w:bookmarkStart w:id="575" w:name="_Toc270512565"/>
      <w:bookmarkStart w:id="576" w:name="_Toc270335173"/>
      <w:bookmarkStart w:id="577" w:name="_Toc270512566"/>
      <w:bookmarkStart w:id="578" w:name="_Toc270335174"/>
      <w:bookmarkStart w:id="579" w:name="_Toc270512567"/>
      <w:bookmarkStart w:id="580" w:name="_Toc270335175"/>
      <w:bookmarkStart w:id="581" w:name="_Toc270512568"/>
      <w:bookmarkStart w:id="582" w:name="_Toc270335176"/>
      <w:bookmarkStart w:id="583" w:name="_Toc270512569"/>
      <w:bookmarkStart w:id="584" w:name="_Toc270335177"/>
      <w:bookmarkStart w:id="585" w:name="_Toc270512570"/>
      <w:bookmarkStart w:id="586" w:name="_Toc270335178"/>
      <w:bookmarkStart w:id="587" w:name="_Toc270512571"/>
      <w:bookmarkStart w:id="588" w:name="_Toc270335181"/>
      <w:bookmarkStart w:id="589" w:name="_Toc270512574"/>
      <w:bookmarkStart w:id="590" w:name="_Toc270335182"/>
      <w:bookmarkStart w:id="591" w:name="_Toc270512575"/>
      <w:bookmarkStart w:id="592" w:name="_Toc270335183"/>
      <w:bookmarkStart w:id="593" w:name="_Toc270512576"/>
      <w:bookmarkStart w:id="594" w:name="_Toc270335184"/>
      <w:bookmarkStart w:id="595" w:name="_Toc270512577"/>
      <w:bookmarkStart w:id="596" w:name="_Toc270335185"/>
      <w:bookmarkStart w:id="597" w:name="_Toc270512578"/>
      <w:bookmarkStart w:id="598" w:name="_Toc270335186"/>
      <w:bookmarkStart w:id="599" w:name="_Toc270512579"/>
      <w:bookmarkStart w:id="600" w:name="_Toc270335187"/>
      <w:bookmarkStart w:id="601" w:name="_Toc270512580"/>
      <w:bookmarkStart w:id="602" w:name="_Toc270335188"/>
      <w:bookmarkStart w:id="603" w:name="_Toc270512581"/>
      <w:bookmarkStart w:id="604" w:name="_Toc270335189"/>
      <w:bookmarkStart w:id="605" w:name="_Toc270512582"/>
      <w:bookmarkStart w:id="606" w:name="_Toc270335190"/>
      <w:bookmarkStart w:id="607" w:name="_Toc270512583"/>
      <w:bookmarkStart w:id="608" w:name="_Toc270335191"/>
      <w:bookmarkStart w:id="609" w:name="_Toc270512584"/>
      <w:bookmarkStart w:id="610" w:name="_Toc270335192"/>
      <w:bookmarkStart w:id="611" w:name="_Toc270512585"/>
      <w:bookmarkStart w:id="612" w:name="_Toc270335193"/>
      <w:bookmarkStart w:id="613" w:name="_Toc270512586"/>
      <w:bookmarkStart w:id="614" w:name="_Toc270335194"/>
      <w:bookmarkStart w:id="615" w:name="_Toc270512587"/>
      <w:bookmarkStart w:id="616" w:name="_Toc270335197"/>
      <w:bookmarkStart w:id="617" w:name="_Toc270512590"/>
      <w:bookmarkStart w:id="618" w:name="_Toc270335198"/>
      <w:bookmarkStart w:id="619" w:name="_Toc270512591"/>
      <w:bookmarkStart w:id="620" w:name="_Toc270335199"/>
      <w:bookmarkStart w:id="621" w:name="_Toc270512592"/>
      <w:bookmarkStart w:id="622" w:name="_Toc270335200"/>
      <w:bookmarkStart w:id="623" w:name="_Toc270512593"/>
      <w:bookmarkStart w:id="624" w:name="_Toc270335201"/>
      <w:bookmarkStart w:id="625" w:name="_Toc270512594"/>
      <w:bookmarkStart w:id="626" w:name="_Toc270335202"/>
      <w:bookmarkStart w:id="627" w:name="_Toc270512595"/>
      <w:bookmarkStart w:id="628" w:name="_Toc270335203"/>
      <w:bookmarkStart w:id="629" w:name="_Toc270512596"/>
      <w:bookmarkStart w:id="630" w:name="_Toc270335204"/>
      <w:bookmarkStart w:id="631" w:name="_Toc270512597"/>
      <w:bookmarkStart w:id="632" w:name="_Toc270335205"/>
      <w:bookmarkStart w:id="633" w:name="_Toc270512598"/>
      <w:bookmarkStart w:id="634" w:name="_Toc270335206"/>
      <w:bookmarkStart w:id="635" w:name="_Toc270512599"/>
      <w:bookmarkStart w:id="636" w:name="_Toc270335207"/>
      <w:bookmarkStart w:id="637" w:name="_Toc270512600"/>
      <w:bookmarkStart w:id="638" w:name="_Toc270335208"/>
      <w:bookmarkStart w:id="639" w:name="_Toc270512601"/>
      <w:bookmarkStart w:id="640" w:name="_Toc270335209"/>
      <w:bookmarkStart w:id="641" w:name="_Toc270512602"/>
      <w:bookmarkStart w:id="642" w:name="_Toc270335210"/>
      <w:bookmarkStart w:id="643" w:name="_Toc270512603"/>
      <w:bookmarkStart w:id="644" w:name="_Toc270335211"/>
      <w:bookmarkStart w:id="645" w:name="_Toc270512604"/>
      <w:bookmarkStart w:id="646" w:name="_Toc270335213"/>
      <w:bookmarkStart w:id="647" w:name="_Toc270512606"/>
      <w:bookmarkStart w:id="648" w:name="_Toc270335215"/>
      <w:bookmarkStart w:id="649" w:name="_Toc270512608"/>
      <w:bookmarkStart w:id="650" w:name="_Toc270335216"/>
      <w:bookmarkStart w:id="651" w:name="_Toc270512609"/>
      <w:bookmarkStart w:id="652" w:name="_Toc270335217"/>
      <w:bookmarkStart w:id="653" w:name="_Toc270512610"/>
      <w:bookmarkStart w:id="654" w:name="_Toc270335218"/>
      <w:bookmarkStart w:id="655" w:name="_Toc270512611"/>
      <w:bookmarkStart w:id="656" w:name="_Toc270335219"/>
      <w:bookmarkStart w:id="657" w:name="_Toc270512612"/>
      <w:bookmarkStart w:id="658" w:name="_Toc270335220"/>
      <w:bookmarkStart w:id="659" w:name="_Toc270512613"/>
      <w:bookmarkStart w:id="660" w:name="_Toc270335221"/>
      <w:bookmarkStart w:id="661" w:name="_Toc270512614"/>
      <w:bookmarkStart w:id="662" w:name="_Toc270335222"/>
      <w:bookmarkStart w:id="663" w:name="_Toc270512615"/>
      <w:bookmarkStart w:id="664" w:name="_Toc270335223"/>
      <w:bookmarkStart w:id="665" w:name="_Toc270512616"/>
      <w:bookmarkStart w:id="666" w:name="_Toc270335224"/>
      <w:bookmarkStart w:id="667" w:name="_Toc270512617"/>
      <w:bookmarkStart w:id="668" w:name="_Toc270335225"/>
      <w:bookmarkStart w:id="669" w:name="_Toc270512618"/>
      <w:bookmarkStart w:id="670" w:name="_Toc270335226"/>
      <w:bookmarkStart w:id="671" w:name="_Toc270512619"/>
      <w:bookmarkStart w:id="672" w:name="_Toc270335227"/>
      <w:bookmarkStart w:id="673" w:name="_Toc270512620"/>
      <w:bookmarkStart w:id="674" w:name="_Toc270335228"/>
      <w:bookmarkStart w:id="675" w:name="_Toc270512621"/>
      <w:bookmarkStart w:id="676" w:name="_Toc270335229"/>
      <w:bookmarkStart w:id="677" w:name="_Toc270512622"/>
      <w:bookmarkStart w:id="678" w:name="_Toc270335230"/>
      <w:bookmarkStart w:id="679" w:name="_Toc270512623"/>
      <w:bookmarkStart w:id="680" w:name="_Toc270335231"/>
      <w:bookmarkStart w:id="681" w:name="_Toc270512624"/>
      <w:bookmarkStart w:id="682" w:name="_Ref349662163"/>
      <w:bookmarkStart w:id="683" w:name="_Ref322010610"/>
      <w:bookmarkStart w:id="684" w:name="_Toc258924841"/>
      <w:bookmarkStart w:id="685" w:name="_Toc263173275"/>
      <w:bookmarkStart w:id="686" w:name="_Toc263173611"/>
      <w:bookmarkStart w:id="687" w:name="_Toc263173797"/>
      <w:bookmarkStart w:id="688" w:name="_Toc263174171"/>
      <w:bookmarkStart w:id="689" w:name="_Toc263235070"/>
      <w:bookmarkStart w:id="690" w:name="_Toc263235713"/>
      <w:bookmarkStart w:id="691" w:name="_Toc263429396"/>
      <w:bookmarkStart w:id="692" w:name="_Toc263795424"/>
      <w:bookmarkStart w:id="693" w:name="_Toc266869608"/>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6F2AD7A2" w14:textId="20C5B8C5" w:rsidR="003865CA" w:rsidRPr="00A11EDB" w:rsidRDefault="00C8264D" w:rsidP="004B66CD">
      <w:pPr>
        <w:pStyle w:val="Heading3"/>
      </w:pPr>
      <w:bookmarkStart w:id="694" w:name="_Ref314826846"/>
      <w:bookmarkStart w:id="695" w:name="_Ref314826854"/>
      <w:bookmarkStart w:id="696" w:name="_Ref314826983"/>
      <w:bookmarkStart w:id="697" w:name="_Toc213771801"/>
      <w:bookmarkEnd w:id="682"/>
      <w:bookmarkEnd w:id="683"/>
      <w:r w:rsidRPr="00426729">
        <w:t>Outage Scheduling and Reporting</w:t>
      </w:r>
      <w:bookmarkEnd w:id="36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99F5C0F" w14:textId="3413F94D" w:rsidR="003865CA" w:rsidRPr="00A11EDB" w:rsidRDefault="003865CA" w:rsidP="00D74234">
      <w:pPr>
        <w:pStyle w:val="paragraph"/>
        <w:spacing w:before="120" w:beforeAutospacing="0" w:after="120" w:afterAutospacing="0" w:line="300" w:lineRule="auto"/>
        <w:jc w:val="both"/>
        <w:textAlignment w:val="baseline"/>
        <w:rPr>
          <w:sz w:val="18"/>
          <w:szCs w:val="18"/>
        </w:rPr>
      </w:pPr>
      <w:r w:rsidRPr="00A11EDB">
        <w:rPr>
          <w:rStyle w:val="normaltextrun"/>
        </w:rPr>
        <w:t xml:space="preserve">Market Participants and </w:t>
      </w:r>
      <w:r w:rsidR="00084EC8">
        <w:rPr>
          <w:rStyle w:val="normaltextrun"/>
        </w:rPr>
        <w:t>MTSPs</w:t>
      </w:r>
      <w:r w:rsidRPr="00A11EDB">
        <w:rPr>
          <w:rStyle w:val="normaltextrun"/>
        </w:rPr>
        <w:t xml:space="preserve"> must ensure outages are submitted as follows: </w:t>
      </w:r>
      <w:r w:rsidRPr="00A11EDB">
        <w:rPr>
          <w:rStyle w:val="eop"/>
        </w:rPr>
        <w:t> </w:t>
      </w:r>
    </w:p>
    <w:p w14:paraId="778AD92D" w14:textId="77777777" w:rsidR="00B05164" w:rsidRDefault="003865CA" w:rsidP="00B05164">
      <w:pPr>
        <w:pStyle w:val="paragraph"/>
        <w:spacing w:before="120" w:beforeAutospacing="0" w:after="120" w:afterAutospacing="0" w:line="300" w:lineRule="auto"/>
        <w:jc w:val="both"/>
        <w:textAlignment w:val="baseline"/>
        <w:rPr>
          <w:rStyle w:val="normaltextrun"/>
        </w:rPr>
      </w:pPr>
      <w:r w:rsidRPr="00A11EDB">
        <w:rPr>
          <w:rStyle w:val="normaltextrun"/>
          <w:b/>
        </w:rPr>
        <w:t>Transmission:</w:t>
      </w:r>
      <w:r w:rsidRPr="00A11EDB">
        <w:rPr>
          <w:rStyle w:val="normaltextrun"/>
        </w:rPr>
        <w:t> </w:t>
      </w:r>
    </w:p>
    <w:p w14:paraId="57D0A87C" w14:textId="460CE3C5" w:rsidR="003865CA" w:rsidRPr="00A11EDB" w:rsidRDefault="003865CA" w:rsidP="00D74234">
      <w:pPr>
        <w:pStyle w:val="paragraph"/>
        <w:spacing w:before="120" w:beforeAutospacing="0" w:after="120" w:afterAutospacing="0" w:line="300" w:lineRule="auto"/>
        <w:jc w:val="both"/>
        <w:textAlignment w:val="baseline"/>
        <w:rPr>
          <w:sz w:val="18"/>
          <w:szCs w:val="18"/>
        </w:rPr>
      </w:pPr>
      <w:r w:rsidRPr="00A11EDB">
        <w:rPr>
          <w:rStyle w:val="normaltextrun"/>
        </w:rPr>
        <w:t>Outages for transmission facilities registered in Markets+ must be submitted in the CROW tool when the following conditions are met:</w:t>
      </w:r>
      <w:r w:rsidRPr="00A11EDB">
        <w:rPr>
          <w:rStyle w:val="eop"/>
        </w:rPr>
        <w:t> </w:t>
      </w:r>
    </w:p>
    <w:p w14:paraId="7ADC6F8A" w14:textId="166A2E60" w:rsidR="003865CA" w:rsidRPr="00A11EDB" w:rsidRDefault="003865CA" w:rsidP="00D74234">
      <w:pPr>
        <w:pStyle w:val="paragraph"/>
        <w:numPr>
          <w:ilvl w:val="1"/>
          <w:numId w:val="35"/>
        </w:numPr>
        <w:spacing w:before="120" w:beforeAutospacing="0" w:after="120" w:afterAutospacing="0" w:line="300" w:lineRule="auto"/>
        <w:ind w:left="630"/>
        <w:jc w:val="both"/>
        <w:textAlignment w:val="baseline"/>
      </w:pPr>
      <w:r w:rsidRPr="00A11EDB">
        <w:rPr>
          <w:rStyle w:val="normaltextrun"/>
        </w:rPr>
        <w:t>Expected outage duration is greater than 30 minutes</w:t>
      </w:r>
      <w:r w:rsidR="00084EC8">
        <w:rPr>
          <w:rStyle w:val="normaltextrun"/>
        </w:rPr>
        <w:t>;</w:t>
      </w:r>
      <w:r w:rsidRPr="00A11EDB">
        <w:rPr>
          <w:rStyle w:val="normaltextrun"/>
        </w:rPr>
        <w:t xml:space="preserve"> and</w:t>
      </w:r>
      <w:r w:rsidRPr="00A11EDB">
        <w:rPr>
          <w:rStyle w:val="eop"/>
        </w:rPr>
        <w:t> </w:t>
      </w:r>
    </w:p>
    <w:p w14:paraId="75B000CF" w14:textId="47317A6E" w:rsidR="003865CA" w:rsidRPr="00A11EDB" w:rsidRDefault="00C243F3" w:rsidP="00D74234">
      <w:pPr>
        <w:pStyle w:val="paragraph"/>
        <w:numPr>
          <w:ilvl w:val="1"/>
          <w:numId w:val="35"/>
        </w:numPr>
        <w:spacing w:before="120" w:beforeAutospacing="0" w:after="120" w:afterAutospacing="0" w:line="300" w:lineRule="auto"/>
        <w:ind w:left="630"/>
        <w:jc w:val="both"/>
        <w:textAlignment w:val="baseline"/>
      </w:pPr>
      <w:r>
        <w:rPr>
          <w:rStyle w:val="normaltextrun"/>
        </w:rPr>
        <w:t>Modeled f</w:t>
      </w:r>
      <w:r w:rsidR="003865CA" w:rsidRPr="00A11EDB">
        <w:rPr>
          <w:rStyle w:val="normaltextrun"/>
        </w:rPr>
        <w:t>acility is rated greater than 60kV. </w:t>
      </w:r>
      <w:r w:rsidR="003865CA" w:rsidRPr="00A11EDB">
        <w:rPr>
          <w:rStyle w:val="eop"/>
        </w:rPr>
        <w:t> </w:t>
      </w:r>
    </w:p>
    <w:p w14:paraId="46CFB161" w14:textId="77777777" w:rsidR="00B32ACE" w:rsidRPr="00937655" w:rsidRDefault="003865CA" w:rsidP="00B05164">
      <w:pPr>
        <w:pStyle w:val="paragraph"/>
        <w:spacing w:before="120" w:beforeAutospacing="0" w:after="120" w:afterAutospacing="0" w:line="300" w:lineRule="auto"/>
        <w:jc w:val="both"/>
        <w:textAlignment w:val="baseline"/>
        <w:rPr>
          <w:rStyle w:val="normaltextrun"/>
          <w:b/>
        </w:rPr>
      </w:pPr>
      <w:r w:rsidRPr="00937655">
        <w:rPr>
          <w:rStyle w:val="normaltextrun"/>
          <w:b/>
        </w:rPr>
        <w:t xml:space="preserve">Resource: </w:t>
      </w:r>
    </w:p>
    <w:p w14:paraId="573F323D" w14:textId="56B9D1A1" w:rsidR="003865CA" w:rsidRPr="00B2688F" w:rsidRDefault="003865CA" w:rsidP="00D74234">
      <w:pPr>
        <w:pStyle w:val="paragraph"/>
        <w:spacing w:before="120" w:beforeAutospacing="0" w:after="120" w:afterAutospacing="0" w:line="300" w:lineRule="auto"/>
        <w:jc w:val="both"/>
        <w:textAlignment w:val="baseline"/>
        <w:rPr>
          <w:sz w:val="18"/>
          <w:szCs w:val="18"/>
        </w:rPr>
      </w:pPr>
      <w:r w:rsidRPr="00B2688F">
        <w:rPr>
          <w:rStyle w:val="normaltextrun"/>
        </w:rPr>
        <w:t>Outages for Resources registered in Markets+ must be submitted in the CROW tool when the following conditions are met:</w:t>
      </w:r>
      <w:r w:rsidRPr="00B2688F">
        <w:rPr>
          <w:rStyle w:val="eop"/>
        </w:rPr>
        <w:t> </w:t>
      </w:r>
    </w:p>
    <w:p w14:paraId="2E7720CF" w14:textId="2CFE3A5C" w:rsidR="003865CA" w:rsidRPr="00B2688F" w:rsidRDefault="000849B2" w:rsidP="00D74234">
      <w:pPr>
        <w:pStyle w:val="paragraph"/>
        <w:numPr>
          <w:ilvl w:val="3"/>
          <w:numId w:val="28"/>
        </w:numPr>
        <w:spacing w:before="120" w:beforeAutospacing="0" w:after="120" w:afterAutospacing="0" w:line="300" w:lineRule="auto"/>
        <w:ind w:left="540" w:hanging="540"/>
        <w:jc w:val="both"/>
        <w:textAlignment w:val="baseline"/>
      </w:pPr>
      <w:r w:rsidRPr="00B2688F">
        <w:rPr>
          <w:rStyle w:val="normaltextrun"/>
        </w:rPr>
        <w:t>Expected outage</w:t>
      </w:r>
      <w:r w:rsidR="003865CA" w:rsidRPr="00B2688F">
        <w:rPr>
          <w:rStyle w:val="normaltextrun"/>
        </w:rPr>
        <w:t xml:space="preserve"> duration is greater than 30 minutes and</w:t>
      </w:r>
      <w:r w:rsidR="003865CA" w:rsidRPr="00B2688F">
        <w:rPr>
          <w:rStyle w:val="eop"/>
        </w:rPr>
        <w:t> </w:t>
      </w:r>
    </w:p>
    <w:p w14:paraId="2B326617" w14:textId="44C5E6F6" w:rsidR="003865CA" w:rsidRPr="00B2688F" w:rsidRDefault="003865CA" w:rsidP="00D74234">
      <w:pPr>
        <w:pStyle w:val="paragraph"/>
        <w:numPr>
          <w:ilvl w:val="1"/>
          <w:numId w:val="28"/>
        </w:numPr>
        <w:spacing w:before="120" w:beforeAutospacing="0" w:after="120" w:afterAutospacing="0" w:line="300" w:lineRule="auto"/>
        <w:ind w:left="540" w:hanging="540"/>
        <w:jc w:val="both"/>
        <w:textAlignment w:val="baseline"/>
      </w:pPr>
      <w:r w:rsidRPr="00B2688F">
        <w:rPr>
          <w:rStyle w:val="normaltextrun"/>
        </w:rPr>
        <w:t xml:space="preserve">Gross reduction in capability (outage and derate) is greater than or equal to </w:t>
      </w:r>
      <w:r w:rsidRPr="00D67727">
        <w:rPr>
          <w:rStyle w:val="normaltextrun"/>
        </w:rPr>
        <w:t>50 MWs.</w:t>
      </w:r>
      <w:r w:rsidRPr="00B2688F">
        <w:rPr>
          <w:rStyle w:val="eop"/>
        </w:rPr>
        <w:t> </w:t>
      </w:r>
    </w:p>
    <w:p w14:paraId="1122F023" w14:textId="40BDA8F2" w:rsidR="003865CA" w:rsidRPr="00A11EDB" w:rsidRDefault="003865CA" w:rsidP="00D74234">
      <w:pPr>
        <w:pStyle w:val="paragraph"/>
        <w:spacing w:before="120" w:beforeAutospacing="0" w:after="120" w:afterAutospacing="0" w:line="300" w:lineRule="auto"/>
        <w:jc w:val="both"/>
        <w:textAlignment w:val="baseline"/>
        <w:rPr>
          <w:szCs w:val="20"/>
        </w:rPr>
      </w:pPr>
      <w:r w:rsidRPr="00B2688F">
        <w:rPr>
          <w:rStyle w:val="eop"/>
        </w:rPr>
        <w:t> </w:t>
      </w:r>
      <w:r w:rsidRPr="00B2688F">
        <w:rPr>
          <w:szCs w:val="20"/>
        </w:rPr>
        <w:t xml:space="preserve">Generation outages will override any other Commitment Status submitted by the Market Participant. Derate submissions will not override Commitment Status. Market Participant requested overrides will supersede submitted physical offer data. Outage and derate submissions will impact Fleet Performance calculation for Must Offer, as identified in Section </w:t>
      </w:r>
      <w:r w:rsidR="00B32ACE" w:rsidRPr="00A438AD">
        <w:rPr>
          <w:szCs w:val="20"/>
        </w:rPr>
        <w:fldChar w:fldCharType="begin"/>
      </w:r>
      <w:r w:rsidR="00B32ACE" w:rsidRPr="00B2688F">
        <w:rPr>
          <w:szCs w:val="20"/>
        </w:rPr>
        <w:instrText xml:space="preserve"> REF _Ref194665704 \r \h </w:instrText>
      </w:r>
      <w:r w:rsidR="00267204" w:rsidRPr="00E94CBF">
        <w:rPr>
          <w:szCs w:val="20"/>
        </w:rPr>
        <w:instrText xml:space="preserve"> \* MERGEFORMAT </w:instrText>
      </w:r>
      <w:r w:rsidR="00B32ACE" w:rsidRPr="00A438AD">
        <w:rPr>
          <w:szCs w:val="20"/>
        </w:rPr>
      </w:r>
      <w:r w:rsidR="00B32ACE" w:rsidRPr="00A438AD">
        <w:rPr>
          <w:szCs w:val="20"/>
        </w:rPr>
        <w:fldChar w:fldCharType="separate"/>
      </w:r>
      <w:r w:rsidR="00B32ACE" w:rsidRPr="00B2688F">
        <w:rPr>
          <w:szCs w:val="20"/>
        </w:rPr>
        <w:t>4.2.1</w:t>
      </w:r>
      <w:r w:rsidR="00B32ACE" w:rsidRPr="00A438AD">
        <w:rPr>
          <w:szCs w:val="20"/>
        </w:rPr>
        <w:fldChar w:fldCharType="end"/>
      </w:r>
      <w:r w:rsidRPr="00B2688F">
        <w:rPr>
          <w:szCs w:val="20"/>
        </w:rPr>
        <w:t>. The Market Participant must update Resource Offer parameters to reflect changes to Resource availability and capability.</w:t>
      </w:r>
      <w:r w:rsidRPr="00A11EDB">
        <w:rPr>
          <w:szCs w:val="20"/>
        </w:rPr>
        <w:t> </w:t>
      </w:r>
    </w:p>
    <w:p w14:paraId="5F0FD639" w14:textId="77777777" w:rsidR="003865CA" w:rsidRPr="003865CA" w:rsidRDefault="003865CA" w:rsidP="00D74234">
      <w:pPr>
        <w:pStyle w:val="ParaText"/>
      </w:pPr>
    </w:p>
    <w:p w14:paraId="1F8C604D" w14:textId="77777777" w:rsidR="005B7E81" w:rsidRDefault="005B7E81">
      <w:pPr>
        <w:spacing w:after="0"/>
        <w:jc w:val="left"/>
        <w:rPr>
          <w:b/>
          <w:color w:val="FF0000"/>
          <w:sz w:val="26"/>
        </w:rPr>
      </w:pPr>
      <w:r>
        <w:rPr>
          <w:color w:val="FF0000"/>
        </w:rPr>
        <w:br w:type="page"/>
      </w:r>
    </w:p>
    <w:p w14:paraId="6260C978" w14:textId="77777777" w:rsidR="00C70F99" w:rsidRPr="00314FED" w:rsidRDefault="00C70F99" w:rsidP="00C20DF9">
      <w:pPr>
        <w:pStyle w:val="Heading2"/>
      </w:pPr>
      <w:bookmarkStart w:id="698" w:name="_Toc213771802"/>
      <w:r w:rsidRPr="00314FED">
        <w:t>Pre-Day-Ahead Activities</w:t>
      </w:r>
      <w:bookmarkEnd w:id="698"/>
    </w:p>
    <w:p w14:paraId="361DE419" w14:textId="470720CF" w:rsidR="00C70F99" w:rsidRPr="00D1363C" w:rsidRDefault="00C70F99" w:rsidP="00C70F99">
      <w:pPr>
        <w:spacing w:line="300" w:lineRule="auto"/>
        <w:rPr>
          <w:b/>
          <w:szCs w:val="24"/>
        </w:rPr>
      </w:pPr>
      <w:r w:rsidRPr="00D1363C">
        <w:rPr>
          <w:szCs w:val="24"/>
        </w:rPr>
        <w:t xml:space="preserve">Market Operator and Market Participant activities during Pre-Day-Ahead begin seven (7) days prior to the Operating Day with Market Participant Offer and Bid submittal and end with the Multi-Day Forecast Analysis process.  </w:t>
      </w:r>
      <w:bookmarkStart w:id="699" w:name="OLE_LINK7"/>
      <w:bookmarkStart w:id="700" w:name="OLE_LINK8"/>
      <w:r w:rsidRPr="00D1363C">
        <w:rPr>
          <w:szCs w:val="24"/>
        </w:rPr>
        <w:t>Exhibit 4-</w:t>
      </w:r>
      <w:r w:rsidR="00A013FA">
        <w:rPr>
          <w:szCs w:val="24"/>
        </w:rPr>
        <w:t>4</w:t>
      </w:r>
      <w:r w:rsidRPr="00D1363C">
        <w:rPr>
          <w:szCs w:val="24"/>
        </w:rPr>
        <w:t xml:space="preserve"> provides a representative overall timeline of Pre-Day-Ahead activities. </w:t>
      </w:r>
      <w:bookmarkStart w:id="701" w:name="_Toc247468357"/>
      <w:bookmarkStart w:id="702" w:name="OLE_LINK165"/>
      <w:bookmarkStart w:id="703" w:name="OLE_LINK166"/>
      <w:bookmarkStart w:id="704" w:name="OLE_LINK167"/>
      <w:bookmarkEnd w:id="699"/>
      <w:bookmarkEnd w:id="700"/>
    </w:p>
    <w:p w14:paraId="33C47550" w14:textId="632861A0" w:rsidR="00C70F99" w:rsidRPr="00D1363C" w:rsidRDefault="00C70F99" w:rsidP="00C70F99">
      <w:pPr>
        <w:spacing w:after="0" w:line="300" w:lineRule="auto"/>
        <w:jc w:val="center"/>
        <w:rPr>
          <w:b/>
          <w:szCs w:val="24"/>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4</w:t>
      </w:r>
      <w:r w:rsidRPr="00D1363C">
        <w:rPr>
          <w:b/>
          <w:szCs w:val="24"/>
        </w:rPr>
        <w:t>: Pre</w:t>
      </w:r>
      <w:r w:rsidR="00395855">
        <w:rPr>
          <w:b/>
          <w:szCs w:val="24"/>
        </w:rPr>
        <w:t>-</w:t>
      </w:r>
      <w:r w:rsidRPr="00D1363C">
        <w:rPr>
          <w:b/>
          <w:szCs w:val="24"/>
        </w:rPr>
        <w:t>Day-Ahead Activities Timeline</w:t>
      </w:r>
      <w:bookmarkEnd w:id="701"/>
      <w:bookmarkEnd w:id="702"/>
      <w:bookmarkEnd w:id="703"/>
      <w:bookmarkEnd w:id="704"/>
    </w:p>
    <w:p w14:paraId="12D55CED" w14:textId="77777777" w:rsidR="00C70F99" w:rsidRPr="00D1363C" w:rsidRDefault="00C70F99" w:rsidP="00C70F99">
      <w:pPr>
        <w:spacing w:after="240" w:line="300" w:lineRule="auto"/>
        <w:rPr>
          <w:rFonts w:cs="Arial"/>
        </w:rPr>
      </w:pPr>
    </w:p>
    <w:p w14:paraId="1E5AA1ED" w14:textId="77777777" w:rsidR="00C70F99" w:rsidRPr="00D1363C" w:rsidRDefault="00C70F99" w:rsidP="00C70F99">
      <w:pPr>
        <w:spacing w:after="0" w:line="300" w:lineRule="auto"/>
        <w:jc w:val="center"/>
      </w:pPr>
      <w:r>
        <w:object w:dxaOrig="16066" w:dyaOrig="9570" w14:anchorId="62BFBDA8">
          <v:shape id="_x0000_i1026" type="#_x0000_t75" style="width:468.6pt;height:281.4pt" o:ole="">
            <v:imagedata r:id="rId42" o:title=""/>
          </v:shape>
          <o:OLEObject Type="Embed" ProgID="Visio.Drawing.15" ShapeID="_x0000_i1026" DrawAspect="Content" ObjectID="_1829396211" r:id="rId43"/>
        </w:object>
      </w:r>
    </w:p>
    <w:p w14:paraId="1602D2EC" w14:textId="77777777" w:rsidR="00C70F99" w:rsidRPr="00D1363C" w:rsidRDefault="00C70F99" w:rsidP="00C70F99">
      <w:pPr>
        <w:tabs>
          <w:tab w:val="left" w:pos="1515"/>
        </w:tabs>
        <w:spacing w:after="0" w:line="300" w:lineRule="auto"/>
        <w:rPr>
          <w:szCs w:val="24"/>
        </w:rPr>
      </w:pPr>
      <w:r w:rsidRPr="00D1363C">
        <w:rPr>
          <w:szCs w:val="24"/>
        </w:rPr>
        <w:tab/>
      </w:r>
    </w:p>
    <w:p w14:paraId="056268B3" w14:textId="43C7B4E5" w:rsidR="00C70F99" w:rsidRPr="00D1363C" w:rsidRDefault="00C70F99" w:rsidP="00C70F99">
      <w:pPr>
        <w:spacing w:line="300" w:lineRule="auto"/>
        <w:rPr>
          <w:szCs w:val="24"/>
        </w:rPr>
      </w:pPr>
      <w:r w:rsidRPr="00D1363C">
        <w:rPr>
          <w:szCs w:val="24"/>
        </w:rPr>
        <w:t>A description of each of the functions identified in the Pre</w:t>
      </w:r>
      <w:r w:rsidR="00395855">
        <w:rPr>
          <w:szCs w:val="24"/>
        </w:rPr>
        <w:t>-</w:t>
      </w:r>
      <w:r w:rsidRPr="00D1363C">
        <w:rPr>
          <w:szCs w:val="24"/>
        </w:rPr>
        <w:t xml:space="preserve">Day-Ahead timeline, other than the Market Operator’s Mid-Term Load Forecast process which is described under Section </w:t>
      </w:r>
      <w:r w:rsidRPr="00D1363C">
        <w:rPr>
          <w:szCs w:val="24"/>
        </w:rPr>
        <w:fldChar w:fldCharType="begin"/>
      </w:r>
      <w:r w:rsidRPr="00D1363C">
        <w:rPr>
          <w:szCs w:val="24"/>
        </w:rPr>
        <w:instrText xml:space="preserve"> REF _Ref251574702 \r \h </w:instrText>
      </w:r>
      <w:r w:rsidRPr="00D1363C">
        <w:rPr>
          <w:szCs w:val="24"/>
        </w:rPr>
      </w:r>
      <w:r w:rsidRPr="00D1363C">
        <w:rPr>
          <w:szCs w:val="24"/>
        </w:rPr>
        <w:fldChar w:fldCharType="separate"/>
      </w:r>
      <w:r w:rsidRPr="00D1363C">
        <w:rPr>
          <w:szCs w:val="24"/>
        </w:rPr>
        <w:t>4.1.2</w:t>
      </w:r>
      <w:r w:rsidRPr="00D1363C">
        <w:rPr>
          <w:szCs w:val="24"/>
        </w:rPr>
        <w:fldChar w:fldCharType="end"/>
      </w:r>
      <w:r w:rsidRPr="00D1363C">
        <w:rPr>
          <w:szCs w:val="24"/>
        </w:rPr>
        <w:t xml:space="preserve">, is provided in the following subsections.  </w:t>
      </w:r>
    </w:p>
    <w:p w14:paraId="46753DAA" w14:textId="77777777" w:rsidR="008A4AD4" w:rsidRPr="00D1363C" w:rsidRDefault="008A4AD4" w:rsidP="00C70F99">
      <w:pPr>
        <w:spacing w:line="300" w:lineRule="auto"/>
        <w:rPr>
          <w:szCs w:val="24"/>
        </w:rPr>
      </w:pPr>
    </w:p>
    <w:p w14:paraId="219D1836" w14:textId="670423CA" w:rsidR="00A677D0" w:rsidRPr="00A677D0" w:rsidRDefault="00A677D0" w:rsidP="004B66CD">
      <w:pPr>
        <w:pStyle w:val="Heading3"/>
      </w:pPr>
      <w:bookmarkStart w:id="705" w:name="_Toc148704846"/>
      <w:bookmarkStart w:id="706" w:name="_Toc149557804"/>
      <w:bookmarkStart w:id="707" w:name="_Toc150785260"/>
      <w:bookmarkStart w:id="708" w:name="_Toc150854714"/>
      <w:bookmarkStart w:id="709" w:name="_Toc151991653"/>
      <w:bookmarkStart w:id="710" w:name="_Toc152334753"/>
      <w:bookmarkStart w:id="711" w:name="_Toc153271119"/>
      <w:bookmarkStart w:id="712" w:name="_Toc157500954"/>
      <w:bookmarkStart w:id="713" w:name="_Toc159232129"/>
      <w:bookmarkStart w:id="714" w:name="_Toc243211974"/>
      <w:bookmarkStart w:id="715" w:name="_Ref244614382"/>
      <w:bookmarkStart w:id="716" w:name="_Toc245633952"/>
      <w:bookmarkStart w:id="717" w:name="_Toc245634104"/>
      <w:bookmarkStart w:id="718" w:name="_Toc245727994"/>
      <w:bookmarkStart w:id="719" w:name="_Toc248644118"/>
      <w:bookmarkStart w:id="720" w:name="_Toc258924843"/>
      <w:bookmarkStart w:id="721" w:name="_Toc263173276"/>
      <w:bookmarkStart w:id="722" w:name="_Toc263173612"/>
      <w:bookmarkStart w:id="723" w:name="_Toc263173798"/>
      <w:bookmarkStart w:id="724" w:name="_Toc263174173"/>
      <w:bookmarkStart w:id="725" w:name="_Toc263235072"/>
      <w:bookmarkStart w:id="726" w:name="_Toc263235715"/>
      <w:bookmarkStart w:id="727" w:name="_Toc263429398"/>
      <w:bookmarkStart w:id="728" w:name="_Toc263795426"/>
      <w:bookmarkStart w:id="729" w:name="_Toc266869611"/>
      <w:bookmarkStart w:id="730" w:name="_Ref372641074"/>
      <w:bookmarkStart w:id="731" w:name="_Toc163740156"/>
      <w:bookmarkStart w:id="732" w:name="_Toc213771808"/>
      <w:bookmarkStart w:id="733" w:name="OLE_LINK217"/>
      <w:bookmarkStart w:id="734" w:name="OLE_LINK218"/>
      <w:bookmarkStart w:id="735" w:name="_Toc234814885"/>
      <w:bookmarkStart w:id="736" w:name="_Toc237163841"/>
      <w:bookmarkEnd w:id="705"/>
      <w:bookmarkEnd w:id="706"/>
      <w:bookmarkEnd w:id="707"/>
      <w:bookmarkEnd w:id="708"/>
      <w:bookmarkEnd w:id="709"/>
      <w:bookmarkEnd w:id="710"/>
      <w:bookmarkEnd w:id="711"/>
      <w:bookmarkEnd w:id="712"/>
      <w:bookmarkEnd w:id="713"/>
      <w:r w:rsidRPr="00A677D0">
        <w:t>Must-Offer Obligation</w:t>
      </w:r>
    </w:p>
    <w:p w14:paraId="22B6A3B0" w14:textId="77777777" w:rsidR="00A677D0" w:rsidRPr="00A677D0" w:rsidRDefault="00A677D0" w:rsidP="00A677D0">
      <w:pPr>
        <w:spacing w:before="120" w:line="300" w:lineRule="auto"/>
        <w:rPr>
          <w:szCs w:val="24"/>
          <w14:ligatures w14:val="standardContextual"/>
        </w:rPr>
      </w:pPr>
      <w:bookmarkStart w:id="737" w:name="OLE_LINK204"/>
      <w:bookmarkStart w:id="738" w:name="OLE_LINK205"/>
      <w:r w:rsidRPr="00A677D0">
        <w:rPr>
          <w:szCs w:val="24"/>
          <w14:ligatures w14:val="standardContextual"/>
        </w:rPr>
        <w:t xml:space="preserve">For each Operating Day, Market Participants are required to Offer available Resources to the Day-Ahead Market, initial Reliability Unit Commitment process, and Real-Time Balancing Market as detailed in this section. </w:t>
      </w:r>
    </w:p>
    <w:p w14:paraId="53B26922" w14:textId="77777777" w:rsidR="00A677D0" w:rsidRPr="00A677D0" w:rsidRDefault="00A677D0" w:rsidP="00A677D0">
      <w:pPr>
        <w:spacing w:before="120" w:line="300" w:lineRule="auto"/>
        <w:rPr>
          <w:szCs w:val="24"/>
          <w14:ligatures w14:val="standardContextual"/>
        </w:rPr>
      </w:pPr>
      <w:r w:rsidRPr="00A677D0">
        <w:rPr>
          <w14:ligatures w14:val="standardContextual"/>
        </w:rPr>
        <w:t xml:space="preserve">If a Market Participant is a Load Responsible Entity (LRE) or has a contractual obligation to supply a load that is within the Markets+ Footprint, that Market Participant will be subject to the Must Offer Obligation.  If a Resource within the Markets+ Footprint has a high priority export to serve load outside the footprint, the Market Participant to whom that Resource is registered will have the Must Offer Obligation.  </w:t>
      </w:r>
    </w:p>
    <w:p w14:paraId="7E782127" w14:textId="77777777" w:rsidR="00A677D0" w:rsidRPr="00A677D0" w:rsidRDefault="00A677D0" w:rsidP="00A677D0">
      <w:pPr>
        <w:spacing w:before="120" w:line="300" w:lineRule="auto"/>
        <w:jc w:val="left"/>
        <w:rPr>
          <w:b/>
          <w:bCs/>
          <w:sz w:val="26"/>
          <w:szCs w:val="26"/>
          <w14:ligatures w14:val="standardContextual"/>
        </w:rPr>
      </w:pPr>
      <w:r w:rsidRPr="00A677D0">
        <w:rPr>
          <w:b/>
          <w:bCs/>
          <w:sz w:val="26"/>
          <w:szCs w:val="26"/>
          <w14:ligatures w14:val="standardContextual"/>
        </w:rPr>
        <w:t>Data and Information</w:t>
      </w:r>
    </w:p>
    <w:p w14:paraId="619CD345" w14:textId="77777777" w:rsidR="00A677D0" w:rsidRPr="00A677D0" w:rsidRDefault="00A677D0" w:rsidP="00A677D0">
      <w:pPr>
        <w:spacing w:before="120" w:line="300" w:lineRule="auto"/>
        <w:rPr>
          <w14:ligatures w14:val="standardContextual"/>
        </w:rPr>
      </w:pPr>
      <w:r w:rsidRPr="00A677D0">
        <w:rPr>
          <w14:ligatures w14:val="standardContextual"/>
        </w:rPr>
        <w:t xml:space="preserve">A Market Participant must provide to the Market Operator the relevant Resource and load data for loads in the Markets+ footprint for the next upcoming Binding Season that are summarized within its Forward Showing Submission, which is approved by the Program Operator of the Resource Adequacy Program. Resource data is the Qualified Capacity Contribution (QCC) in (MW) of all Resources expected to serve load in the Markets+ footprint.  Load data is total P50 load forecast, and P50 load forecast for the M+ Footprint. Forward Showing Submission should include the total forward showing MW and forward showing MW for M+ Footprint.  This information should be provided for the entire upcoming Binding Season, at least seven Operating Days before the start of the Binding Season. This information will be entered into the Market User Interface (MUI) under the Forward Showing screen. </w:t>
      </w:r>
    </w:p>
    <w:p w14:paraId="5861F2E1" w14:textId="77777777" w:rsidR="00A677D0" w:rsidRPr="00A677D0" w:rsidRDefault="00A677D0" w:rsidP="00A677D0">
      <w:pPr>
        <w:spacing w:before="120" w:line="300" w:lineRule="auto"/>
        <w:rPr>
          <w14:ligatures w14:val="standardContextual"/>
        </w:rPr>
      </w:pPr>
      <w:r w:rsidRPr="00A677D0">
        <w:rPr>
          <w14:ligatures w14:val="standardContextual"/>
        </w:rPr>
        <w:t>Sample Format for Forward Showing Data that will be used for the Must Offer Ceiling</w:t>
      </w:r>
      <w:r w:rsidRPr="00A677D0">
        <w:rPr>
          <w:b/>
          <w:bCs/>
          <w14:ligatures w14:val="standardContextual"/>
        </w:rPr>
        <w:t xml:space="preserve"> </w:t>
      </w:r>
      <w:r w:rsidRPr="00A677D0">
        <w:rPr>
          <w14:ligatures w14:val="standardContextual"/>
        </w:rPr>
        <w:t xml:space="preserve">Submission </w:t>
      </w:r>
    </w:p>
    <w:tbl>
      <w:tblPr>
        <w:tblStyle w:val="TableGrid7"/>
        <w:tblW w:w="0" w:type="auto"/>
        <w:tblLook w:val="04A0" w:firstRow="1" w:lastRow="0" w:firstColumn="1" w:lastColumn="0" w:noHBand="0" w:noVBand="1"/>
      </w:tblPr>
      <w:tblGrid>
        <w:gridCol w:w="4045"/>
        <w:gridCol w:w="1080"/>
        <w:gridCol w:w="1080"/>
        <w:gridCol w:w="990"/>
        <w:gridCol w:w="1081"/>
        <w:gridCol w:w="1074"/>
      </w:tblGrid>
      <w:tr w:rsidR="00A677D0" w:rsidRPr="00A677D0" w14:paraId="7F56DBC0" w14:textId="77777777">
        <w:trPr>
          <w:trHeight w:val="1133"/>
        </w:trPr>
        <w:tc>
          <w:tcPr>
            <w:tcW w:w="4045" w:type="dxa"/>
            <w:vAlign w:val="bottom"/>
          </w:tcPr>
          <w:p w14:paraId="40AF8265" w14:textId="77777777" w:rsidR="00A677D0" w:rsidRPr="00A677D0" w:rsidRDefault="00A677D0" w:rsidP="00A677D0">
            <w:pPr>
              <w:spacing w:before="120" w:line="300" w:lineRule="auto"/>
              <w:jc w:val="left"/>
              <w:rPr>
                <w:bCs/>
              </w:rPr>
            </w:pPr>
            <w:r w:rsidRPr="00A677D0">
              <w:rPr>
                <w:bCs/>
              </w:rPr>
              <w:t xml:space="preserve">Forward Showing (FS) Capacity Requirement for All Loads Registered in Markets+ </w:t>
            </w:r>
          </w:p>
          <w:p w14:paraId="282A42AC" w14:textId="77777777" w:rsidR="00A677D0" w:rsidRPr="00A677D0" w:rsidRDefault="00A677D0" w:rsidP="00A677D0">
            <w:pPr>
              <w:spacing w:before="120" w:line="300" w:lineRule="auto"/>
              <w:jc w:val="left"/>
              <w:rPr>
                <w:bCs/>
              </w:rPr>
            </w:pPr>
            <w:r w:rsidRPr="00A677D0">
              <w:rPr>
                <w:bCs/>
              </w:rPr>
              <w:t xml:space="preserve">(Sum of all Resources that are expected to serve load in the Markets+ footprint) </w:t>
            </w:r>
          </w:p>
        </w:tc>
        <w:tc>
          <w:tcPr>
            <w:tcW w:w="1080" w:type="dxa"/>
            <w:vAlign w:val="bottom"/>
          </w:tcPr>
          <w:p w14:paraId="784C7C20" w14:textId="77777777" w:rsidR="00A677D0" w:rsidRPr="00A677D0" w:rsidRDefault="00A677D0" w:rsidP="00A677D0">
            <w:pPr>
              <w:spacing w:before="120" w:line="300" w:lineRule="auto"/>
              <w:jc w:val="center"/>
              <w:rPr>
                <w:bCs/>
              </w:rPr>
            </w:pPr>
            <w:r w:rsidRPr="00A677D0">
              <w:rPr>
                <w:bCs/>
              </w:rPr>
              <w:t>Month / Year</w:t>
            </w:r>
          </w:p>
        </w:tc>
        <w:tc>
          <w:tcPr>
            <w:tcW w:w="1080" w:type="dxa"/>
            <w:vAlign w:val="bottom"/>
          </w:tcPr>
          <w:p w14:paraId="2942C7F2" w14:textId="77777777" w:rsidR="00A677D0" w:rsidRPr="00A677D0" w:rsidRDefault="00A677D0" w:rsidP="00A677D0">
            <w:pPr>
              <w:spacing w:before="120" w:line="300" w:lineRule="auto"/>
              <w:jc w:val="center"/>
              <w:rPr>
                <w:bCs/>
              </w:rPr>
            </w:pPr>
            <w:r w:rsidRPr="00A677D0">
              <w:rPr>
                <w:bCs/>
              </w:rPr>
              <w:t>Month / Year</w:t>
            </w:r>
          </w:p>
        </w:tc>
        <w:tc>
          <w:tcPr>
            <w:tcW w:w="990" w:type="dxa"/>
            <w:vAlign w:val="bottom"/>
          </w:tcPr>
          <w:p w14:paraId="01FD4D2F" w14:textId="77777777" w:rsidR="00A677D0" w:rsidRPr="00A677D0" w:rsidRDefault="00A677D0" w:rsidP="00A677D0">
            <w:pPr>
              <w:spacing w:before="120" w:line="300" w:lineRule="auto"/>
              <w:jc w:val="center"/>
              <w:rPr>
                <w:bCs/>
              </w:rPr>
            </w:pPr>
            <w:r w:rsidRPr="00A677D0">
              <w:rPr>
                <w:bCs/>
              </w:rPr>
              <w:t>Month / Year</w:t>
            </w:r>
          </w:p>
        </w:tc>
        <w:tc>
          <w:tcPr>
            <w:tcW w:w="1081" w:type="dxa"/>
            <w:vAlign w:val="bottom"/>
          </w:tcPr>
          <w:p w14:paraId="6D86B560" w14:textId="77777777" w:rsidR="00A677D0" w:rsidRPr="00A677D0" w:rsidRDefault="00A677D0" w:rsidP="00A677D0">
            <w:pPr>
              <w:spacing w:before="120" w:line="300" w:lineRule="auto"/>
              <w:jc w:val="center"/>
              <w:rPr>
                <w:bCs/>
              </w:rPr>
            </w:pPr>
            <w:r w:rsidRPr="00A677D0">
              <w:rPr>
                <w:bCs/>
              </w:rPr>
              <w:t>Month / Year</w:t>
            </w:r>
          </w:p>
        </w:tc>
        <w:tc>
          <w:tcPr>
            <w:tcW w:w="1074" w:type="dxa"/>
            <w:vAlign w:val="bottom"/>
          </w:tcPr>
          <w:p w14:paraId="63E911A5" w14:textId="77777777" w:rsidR="00A677D0" w:rsidRPr="00A677D0" w:rsidRDefault="00A677D0" w:rsidP="00A677D0">
            <w:pPr>
              <w:spacing w:before="120" w:line="300" w:lineRule="auto"/>
              <w:jc w:val="center"/>
              <w:rPr>
                <w:bCs/>
              </w:rPr>
            </w:pPr>
            <w:r w:rsidRPr="00A677D0">
              <w:rPr>
                <w:bCs/>
              </w:rPr>
              <w:t>Month / Year</w:t>
            </w:r>
          </w:p>
        </w:tc>
      </w:tr>
      <w:tr w:rsidR="00A677D0" w:rsidRPr="00A677D0" w14:paraId="1E1B3428" w14:textId="77777777">
        <w:tc>
          <w:tcPr>
            <w:tcW w:w="4045" w:type="dxa"/>
          </w:tcPr>
          <w:p w14:paraId="42395BC5" w14:textId="77777777" w:rsidR="00A677D0" w:rsidRPr="00A677D0" w:rsidRDefault="00A677D0" w:rsidP="00A677D0">
            <w:pPr>
              <w:spacing w:before="120" w:line="300" w:lineRule="auto"/>
            </w:pPr>
            <w:r w:rsidRPr="00A677D0">
              <w:t>LRE 1</w:t>
            </w:r>
          </w:p>
        </w:tc>
        <w:tc>
          <w:tcPr>
            <w:tcW w:w="1080" w:type="dxa"/>
          </w:tcPr>
          <w:p w14:paraId="2D827AB2" w14:textId="77777777" w:rsidR="00A677D0" w:rsidRPr="00A677D0" w:rsidRDefault="00A677D0" w:rsidP="00A677D0">
            <w:pPr>
              <w:spacing w:before="120" w:line="300" w:lineRule="auto"/>
            </w:pPr>
            <w:r w:rsidRPr="00A677D0">
              <w:t>X MW</w:t>
            </w:r>
          </w:p>
        </w:tc>
        <w:tc>
          <w:tcPr>
            <w:tcW w:w="1080" w:type="dxa"/>
          </w:tcPr>
          <w:p w14:paraId="01A9C83F" w14:textId="77777777" w:rsidR="00A677D0" w:rsidRPr="00A677D0" w:rsidRDefault="00A677D0" w:rsidP="00A677D0">
            <w:pPr>
              <w:spacing w:before="120" w:line="300" w:lineRule="auto"/>
            </w:pPr>
            <w:r w:rsidRPr="00A677D0">
              <w:t>X MW</w:t>
            </w:r>
          </w:p>
        </w:tc>
        <w:tc>
          <w:tcPr>
            <w:tcW w:w="990" w:type="dxa"/>
          </w:tcPr>
          <w:p w14:paraId="6973DA99" w14:textId="77777777" w:rsidR="00A677D0" w:rsidRPr="00A677D0" w:rsidRDefault="00A677D0" w:rsidP="00A677D0">
            <w:pPr>
              <w:spacing w:before="120" w:line="300" w:lineRule="auto"/>
            </w:pPr>
            <w:r w:rsidRPr="00A677D0">
              <w:t>X MW</w:t>
            </w:r>
          </w:p>
        </w:tc>
        <w:tc>
          <w:tcPr>
            <w:tcW w:w="1081" w:type="dxa"/>
          </w:tcPr>
          <w:p w14:paraId="1C9604E4" w14:textId="77777777" w:rsidR="00A677D0" w:rsidRPr="00A677D0" w:rsidRDefault="00A677D0" w:rsidP="00A677D0">
            <w:pPr>
              <w:spacing w:before="120" w:line="300" w:lineRule="auto"/>
            </w:pPr>
            <w:r w:rsidRPr="00A677D0">
              <w:t xml:space="preserve"> X MW</w:t>
            </w:r>
          </w:p>
        </w:tc>
        <w:tc>
          <w:tcPr>
            <w:tcW w:w="1074" w:type="dxa"/>
          </w:tcPr>
          <w:p w14:paraId="42464D95" w14:textId="77777777" w:rsidR="00A677D0" w:rsidRPr="00A677D0" w:rsidRDefault="00A677D0" w:rsidP="00A677D0">
            <w:pPr>
              <w:spacing w:before="120" w:line="300" w:lineRule="auto"/>
            </w:pPr>
            <w:r w:rsidRPr="00A677D0">
              <w:t>X MW</w:t>
            </w:r>
          </w:p>
        </w:tc>
      </w:tr>
      <w:tr w:rsidR="00A677D0" w:rsidRPr="00A677D0" w14:paraId="01F7CA38" w14:textId="77777777">
        <w:trPr>
          <w:trHeight w:val="791"/>
        </w:trPr>
        <w:tc>
          <w:tcPr>
            <w:tcW w:w="4045" w:type="dxa"/>
          </w:tcPr>
          <w:p w14:paraId="14ACB302" w14:textId="77777777" w:rsidR="00A677D0" w:rsidRPr="00A677D0" w:rsidRDefault="00A677D0" w:rsidP="00A677D0">
            <w:pPr>
              <w:spacing w:before="120" w:line="300" w:lineRule="auto"/>
              <w:jc w:val="left"/>
            </w:pPr>
            <w:r w:rsidRPr="00A677D0">
              <w:t>LRE 2 (if more than one LRE is represented by a MP)</w:t>
            </w:r>
          </w:p>
        </w:tc>
        <w:tc>
          <w:tcPr>
            <w:tcW w:w="1080" w:type="dxa"/>
          </w:tcPr>
          <w:p w14:paraId="405C0A59" w14:textId="77777777" w:rsidR="00A677D0" w:rsidRPr="00A677D0" w:rsidRDefault="00A677D0" w:rsidP="00A677D0">
            <w:pPr>
              <w:spacing w:before="120" w:line="300" w:lineRule="auto"/>
            </w:pPr>
            <w:r w:rsidRPr="00A677D0">
              <w:t>X MW</w:t>
            </w:r>
          </w:p>
        </w:tc>
        <w:tc>
          <w:tcPr>
            <w:tcW w:w="1080" w:type="dxa"/>
          </w:tcPr>
          <w:p w14:paraId="2605E222" w14:textId="77777777" w:rsidR="00A677D0" w:rsidRPr="00A677D0" w:rsidRDefault="00A677D0" w:rsidP="00A677D0">
            <w:pPr>
              <w:spacing w:before="120" w:line="300" w:lineRule="auto"/>
            </w:pPr>
            <w:r w:rsidRPr="00A677D0">
              <w:t>X MW</w:t>
            </w:r>
          </w:p>
        </w:tc>
        <w:tc>
          <w:tcPr>
            <w:tcW w:w="990" w:type="dxa"/>
          </w:tcPr>
          <w:p w14:paraId="4AC0F81C" w14:textId="77777777" w:rsidR="00A677D0" w:rsidRPr="00A677D0" w:rsidRDefault="00A677D0" w:rsidP="00A677D0">
            <w:pPr>
              <w:spacing w:before="120" w:line="300" w:lineRule="auto"/>
            </w:pPr>
            <w:r w:rsidRPr="00A677D0">
              <w:t>X MW</w:t>
            </w:r>
          </w:p>
        </w:tc>
        <w:tc>
          <w:tcPr>
            <w:tcW w:w="1081" w:type="dxa"/>
          </w:tcPr>
          <w:p w14:paraId="67FB2821" w14:textId="77777777" w:rsidR="00A677D0" w:rsidRPr="00A677D0" w:rsidRDefault="00A677D0" w:rsidP="00A677D0">
            <w:pPr>
              <w:spacing w:before="120" w:line="300" w:lineRule="auto"/>
            </w:pPr>
            <w:r w:rsidRPr="00A677D0">
              <w:t xml:space="preserve"> X MW</w:t>
            </w:r>
          </w:p>
        </w:tc>
        <w:tc>
          <w:tcPr>
            <w:tcW w:w="1074" w:type="dxa"/>
          </w:tcPr>
          <w:p w14:paraId="293F71A7" w14:textId="77777777" w:rsidR="00A677D0" w:rsidRPr="00A677D0" w:rsidRDefault="00A677D0" w:rsidP="00A677D0">
            <w:pPr>
              <w:spacing w:before="120" w:line="300" w:lineRule="auto"/>
            </w:pPr>
            <w:r w:rsidRPr="00A677D0">
              <w:t>X MW</w:t>
            </w:r>
          </w:p>
        </w:tc>
      </w:tr>
    </w:tbl>
    <w:p w14:paraId="1A1582D0" w14:textId="77777777" w:rsidR="00A677D0" w:rsidRPr="00A677D0" w:rsidRDefault="00A677D0" w:rsidP="00A677D0">
      <w:pPr>
        <w:spacing w:after="0"/>
        <w:jc w:val="left"/>
        <w:rPr>
          <w:kern w:val="2"/>
          <w:szCs w:val="24"/>
          <w14:ligatures w14:val="standardContextual"/>
        </w:rPr>
      </w:pPr>
    </w:p>
    <w:p w14:paraId="46482F72" w14:textId="77777777" w:rsidR="00A677D0" w:rsidRPr="00A677D0" w:rsidRDefault="00A677D0" w:rsidP="00A677D0">
      <w:pPr>
        <w:spacing w:before="120" w:after="0" w:line="300" w:lineRule="auto"/>
        <w:jc w:val="left"/>
        <w:rPr>
          <w:kern w:val="2"/>
          <w:szCs w:val="24"/>
          <w14:ligatures w14:val="standardContextual"/>
        </w:rPr>
      </w:pPr>
      <w:r w:rsidRPr="00A677D0">
        <w:rPr>
          <w:kern w:val="2"/>
          <w:szCs w:val="24"/>
          <w14:ligatures w14:val="standardContextual"/>
        </w:rPr>
        <w:t xml:space="preserve">A Market Participant may, but is not required to, provide the Forward Showing Submission to the Market Operator. The inputs to the Day-Ahead Market and Real Time Balancing Market must be based on the factual and truthfully reported characteristics that are used to support the Submission.  </w:t>
      </w:r>
    </w:p>
    <w:p w14:paraId="668E4743" w14:textId="69D42AF4" w:rsidR="00A677D0" w:rsidRPr="00A677D0" w:rsidRDefault="00A677D0" w:rsidP="001E6D53">
      <w:pPr>
        <w:pStyle w:val="Heading4"/>
        <w:rPr>
          <w:b w:val="0"/>
          <w:bCs w:val="0"/>
          <w:kern w:val="2"/>
          <w:szCs w:val="24"/>
          <w14:ligatures w14:val="standardContextual"/>
        </w:rPr>
      </w:pPr>
      <w:bookmarkStart w:id="739" w:name="_Ref349306321"/>
      <w:bookmarkStart w:id="740" w:name="_Ref349306342"/>
      <w:bookmarkStart w:id="741" w:name="_Ref349306360"/>
      <w:bookmarkStart w:id="742" w:name="_Ref349307361"/>
      <w:bookmarkStart w:id="743" w:name="_Toc163740154"/>
      <w:bookmarkStart w:id="744" w:name="_Toc193032528"/>
      <w:bookmarkStart w:id="745" w:name="_Ref194666342"/>
      <w:bookmarkStart w:id="746" w:name="_Ref194666420"/>
      <w:bookmarkStart w:id="747" w:name="_Ref194666443"/>
      <w:bookmarkStart w:id="748" w:name="_Ref194666471"/>
      <w:bookmarkStart w:id="749" w:name="_Ref194666490"/>
      <w:bookmarkStart w:id="750" w:name="_Ref194666657"/>
      <w:bookmarkStart w:id="751" w:name="_Ref194666691"/>
      <w:bookmarkStart w:id="752" w:name="_Ref194666901"/>
      <w:bookmarkStart w:id="753" w:name="_Ref194667150"/>
      <w:bookmarkStart w:id="754" w:name="_Ref194667193"/>
      <w:r w:rsidRPr="00A677D0">
        <w:t>Day-Ahead and Initial</w:t>
      </w:r>
      <w:bookmarkEnd w:id="739"/>
      <w:bookmarkEnd w:id="740"/>
      <w:bookmarkEnd w:id="741"/>
      <w:bookmarkEnd w:id="742"/>
      <w:r w:rsidRPr="00A677D0">
        <w:t xml:space="preserve"> Reliability Unit Commitment</w:t>
      </w:r>
      <w:bookmarkEnd w:id="743"/>
      <w:r w:rsidRPr="00A677D0">
        <w:t xml:space="preserve"> Obligation</w:t>
      </w:r>
      <w:bookmarkEnd w:id="744"/>
      <w:bookmarkEnd w:id="745"/>
      <w:bookmarkEnd w:id="746"/>
      <w:bookmarkEnd w:id="747"/>
      <w:bookmarkEnd w:id="748"/>
      <w:bookmarkEnd w:id="749"/>
      <w:bookmarkEnd w:id="750"/>
      <w:bookmarkEnd w:id="751"/>
      <w:bookmarkEnd w:id="752"/>
      <w:bookmarkEnd w:id="753"/>
      <w:bookmarkEnd w:id="754"/>
    </w:p>
    <w:p w14:paraId="7B50D457" w14:textId="77777777" w:rsidR="00A677D0" w:rsidRPr="00A677D0" w:rsidRDefault="00A677D0" w:rsidP="00A677D0">
      <w:pPr>
        <w:spacing w:before="120" w:line="300" w:lineRule="auto"/>
        <w:rPr>
          <w:szCs w:val="24"/>
          <w14:ligatures w14:val="standardContextual"/>
        </w:rPr>
      </w:pPr>
      <w:r w:rsidRPr="00A677D0">
        <w:rPr>
          <w:szCs w:val="24"/>
          <w14:ligatures w14:val="standardContextual"/>
        </w:rPr>
        <w:t xml:space="preserve">Market Participants must Offer a minimum amount of Resource capacity for the Day-Ahead Market and the same minimum amount for the first RUC process to allow the market to evaluate all subsequent operating intervals within all Operating Hours for a given Operating Day. The </w:t>
      </w:r>
      <w:r w:rsidRPr="00A677D0">
        <w:rPr>
          <w14:ligatures w14:val="standardContextual"/>
        </w:rPr>
        <w:t xml:space="preserve">Must Offer Obligation can be </w:t>
      </w:r>
      <w:r w:rsidRPr="00A677D0" w:rsidDel="00FC258D">
        <w:rPr>
          <w14:ligatures w14:val="standardContextual"/>
        </w:rPr>
        <w:t xml:space="preserve">met by self-schedule </w:t>
      </w:r>
      <w:r w:rsidRPr="00A677D0">
        <w:rPr>
          <w14:ligatures w14:val="standardContextual"/>
        </w:rPr>
        <w:t>E</w:t>
      </w:r>
      <w:r w:rsidRPr="00A677D0" w:rsidDel="00FC258D">
        <w:rPr>
          <w14:ligatures w14:val="standardContextual"/>
        </w:rPr>
        <w:t xml:space="preserve">nergy only, a combination of self-schedule </w:t>
      </w:r>
      <w:r w:rsidRPr="00A677D0">
        <w:rPr>
          <w14:ligatures w14:val="standardContextual"/>
        </w:rPr>
        <w:t>E</w:t>
      </w:r>
      <w:r w:rsidRPr="00A677D0" w:rsidDel="00FC258D">
        <w:rPr>
          <w14:ligatures w14:val="standardContextual"/>
        </w:rPr>
        <w:t>nergy and economic offer range, or economic offer range only</w:t>
      </w:r>
      <w:r w:rsidRPr="00A677D0">
        <w:rPr>
          <w14:ligatures w14:val="standardContextual"/>
        </w:rPr>
        <w:t>, by submitting Resource Offers</w:t>
      </w:r>
      <w:r w:rsidRPr="00A677D0" w:rsidDel="00FC258D">
        <w:rPr>
          <w14:ligatures w14:val="standardContextual"/>
        </w:rPr>
        <w:t xml:space="preserve"> </w:t>
      </w:r>
      <w:r w:rsidRPr="00A677D0">
        <w:rPr>
          <w14:ligatures w14:val="standardContextual"/>
        </w:rPr>
        <w:t xml:space="preserve">with </w:t>
      </w:r>
      <w:r w:rsidRPr="00A677D0" w:rsidDel="00FC258D">
        <w:rPr>
          <w14:ligatures w14:val="standardContextual"/>
        </w:rPr>
        <w:t>a Commitment</w:t>
      </w:r>
      <w:r w:rsidRPr="00A677D0">
        <w:rPr>
          <w:szCs w:val="24"/>
          <w14:ligatures w14:val="standardContextual"/>
        </w:rPr>
        <w:t xml:space="preserve"> Status of Market, Self, or Reliability Must Run in the Day-Ahead Market</w:t>
      </w:r>
      <w:r w:rsidRPr="00A677D0">
        <w:rPr>
          <w14:ligatures w14:val="standardContextual"/>
        </w:rPr>
        <w:t>.  The Maximum Economic Capacity Operating Limit of such Resources will be used by the Market Operator to assess compliance with the Must Offer Obligation.</w:t>
      </w:r>
      <w:r w:rsidRPr="00A677D0">
        <w:rPr>
          <w:szCs w:val="24"/>
          <w14:ligatures w14:val="standardContextual"/>
        </w:rPr>
        <w:t xml:space="preserve">  After satisfying the Day-Ahead and RUC Must Offer Obligation, a Market Participant may offer any remaining Energy or capacity to the market at its discretion for purposes of its Must Offer Obligation. </w:t>
      </w:r>
    </w:p>
    <w:p w14:paraId="66EF093C" w14:textId="77777777" w:rsidR="00A677D0" w:rsidRPr="00A677D0" w:rsidRDefault="00A677D0" w:rsidP="00414B5D">
      <w:pPr>
        <w:numPr>
          <w:ilvl w:val="0"/>
          <w:numId w:val="90"/>
        </w:numPr>
        <w:spacing w:before="120" w:after="0" w:line="300" w:lineRule="auto"/>
        <w:ind w:left="720" w:hanging="720"/>
        <w:jc w:val="left"/>
        <w:rPr>
          <w:szCs w:val="24"/>
          <w14:ligatures w14:val="standardContextual"/>
        </w:rPr>
      </w:pPr>
      <w:r w:rsidRPr="00A677D0">
        <w:rPr>
          <w:szCs w:val="24"/>
          <w14:ligatures w14:val="standardContextual"/>
        </w:rPr>
        <w:t xml:space="preserve">For Each Operating Hour in the Day-Ahead Market, the amount of Resource capacity that a Market Participant must offer to Markets+ consists of the sum of sections 1 through 5 below:  </w:t>
      </w:r>
    </w:p>
    <w:p w14:paraId="7B4237E8" w14:textId="77777777" w:rsidR="00A677D0" w:rsidRPr="00A677D0" w:rsidRDefault="00A677D0" w:rsidP="00A677D0">
      <w:pPr>
        <w:numPr>
          <w:ilvl w:val="0"/>
          <w:numId w:val="89"/>
        </w:numPr>
        <w:spacing w:before="120" w:after="0" w:line="300" w:lineRule="auto"/>
        <w:ind w:left="1260" w:hanging="540"/>
        <w:jc w:val="left"/>
        <w:rPr>
          <w14:ligatures w14:val="standardContextual"/>
        </w:rPr>
      </w:pPr>
      <w:r w:rsidRPr="00A677D0">
        <w:rPr>
          <w14:ligatures w14:val="standardContextual"/>
        </w:rPr>
        <w:t xml:space="preserve">The Hourly Mid-Term Load Forecast represents the quantity, expressed on an hourly basis, that the Market Operator forecasts in accordance with Section </w:t>
      </w:r>
      <w:r w:rsidRPr="00A677D0">
        <w:rPr>
          <w14:ligatures w14:val="standardContextual"/>
        </w:rPr>
        <w:fldChar w:fldCharType="begin"/>
      </w:r>
      <w:r w:rsidRPr="00A677D0">
        <w:rPr>
          <w14:ligatures w14:val="standardContextual"/>
        </w:rPr>
        <w:instrText xml:space="preserve"> REF _Ref194665810 \r \h </w:instrText>
      </w:r>
      <w:r w:rsidRPr="00A677D0">
        <w:rPr>
          <w14:ligatures w14:val="standardContextual"/>
        </w:rPr>
      </w:r>
      <w:r w:rsidRPr="00A677D0">
        <w:rPr>
          <w14:ligatures w14:val="standardContextual"/>
        </w:rPr>
        <w:fldChar w:fldCharType="separate"/>
      </w:r>
      <w:r w:rsidRPr="00A677D0">
        <w:rPr>
          <w14:ligatures w14:val="standardContextual"/>
        </w:rPr>
        <w:t>4.1.2</w:t>
      </w:r>
      <w:r w:rsidRPr="00A677D0">
        <w:rPr>
          <w14:ligatures w14:val="standardContextual"/>
        </w:rPr>
        <w:fldChar w:fldCharType="end"/>
      </w:r>
      <w:r w:rsidRPr="00A677D0">
        <w:rPr>
          <w14:ligatures w14:val="standardContextual"/>
        </w:rPr>
        <w:t xml:space="preserve"> that is attributed to that Market Participant.     </w:t>
      </w:r>
    </w:p>
    <w:p w14:paraId="3667BBD0" w14:textId="77777777" w:rsidR="00A677D0" w:rsidRPr="00A677D0" w:rsidRDefault="00A677D0" w:rsidP="00A677D0">
      <w:pPr>
        <w:numPr>
          <w:ilvl w:val="0"/>
          <w:numId w:val="89"/>
        </w:numPr>
        <w:spacing w:before="120" w:after="0" w:line="300" w:lineRule="auto"/>
        <w:ind w:left="1260" w:hanging="540"/>
        <w:jc w:val="left"/>
        <w:rPr>
          <w:szCs w:val="24"/>
          <w14:ligatures w14:val="standardContextual"/>
        </w:rPr>
      </w:pPr>
      <w:r w:rsidRPr="00A677D0">
        <w:rPr>
          <w:szCs w:val="24"/>
          <w14:ligatures w14:val="standardContextual"/>
        </w:rPr>
        <w:t xml:space="preserve">The Flexibility Reserve Product Obligation represents the Short-Term Flex Up and Mid-Term Flex Up obligation amount, expressed on an hourly basis, that the Market Operator forecasts for each Asset Owner in accordance with Section </w:t>
      </w:r>
      <w:r w:rsidRPr="00A677D0">
        <w:rPr>
          <w:szCs w:val="24"/>
          <w14:ligatures w14:val="standardContextual"/>
        </w:rPr>
        <w:fldChar w:fldCharType="begin"/>
      </w:r>
      <w:r w:rsidRPr="00A677D0">
        <w:rPr>
          <w:szCs w:val="24"/>
        </w:rPr>
        <w:instrText xml:space="preserve"> REF _Ref260168919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4.1.2.1.5</w:t>
      </w:r>
      <w:r w:rsidRPr="00A677D0">
        <w:rPr>
          <w:szCs w:val="24"/>
          <w14:ligatures w14:val="standardContextual"/>
        </w:rPr>
        <w:fldChar w:fldCharType="end"/>
      </w:r>
      <w:r w:rsidRPr="00A677D0">
        <w:rPr>
          <w:szCs w:val="24"/>
          <w14:ligatures w14:val="standardContextual"/>
        </w:rPr>
        <w:t>. The Asset Owner obligations are then summed by Market Participant.</w:t>
      </w:r>
    </w:p>
    <w:p w14:paraId="449CF035" w14:textId="77777777" w:rsidR="00A677D0" w:rsidRPr="00A677D0" w:rsidRDefault="00A677D0" w:rsidP="00A677D0">
      <w:pPr>
        <w:numPr>
          <w:ilvl w:val="0"/>
          <w:numId w:val="89"/>
        </w:numPr>
        <w:spacing w:before="120" w:after="0" w:line="300" w:lineRule="auto"/>
        <w:ind w:left="1260" w:hanging="540"/>
        <w:jc w:val="left"/>
        <w:rPr>
          <w14:ligatures w14:val="standardContextual"/>
        </w:rPr>
      </w:pPr>
      <w:bookmarkStart w:id="755" w:name="_Hlk170391523"/>
      <w:r w:rsidRPr="00A677D0">
        <w:rPr>
          <w14:ligatures w14:val="standardContextual"/>
        </w:rPr>
        <w:t>WRAP Operations Program Hourly Holdback</w:t>
      </w:r>
      <w:bookmarkEnd w:id="755"/>
      <w:r w:rsidRPr="00A677D0">
        <w:rPr>
          <w14:ligatures w14:val="standardContextual"/>
        </w:rPr>
        <w:t>: the hourly quantity issued by the WRAP Operations program. A Market Participant providing a WRAP holdback will include the MW value as a positive value to represent an increase to a Market Participant’s Must Offer Obligation.  A Market Participant receiving a WRAP holdback will include the MW value as a negative value to represent a decrease to a Market Participant’s Must Offer Obligation. For WRAP holdback transactions that both source and sink within the Markets+ footprint (Internal WRAP holdback) In, this requirement may be deployed closer to the start of the Real Time Balancing Market but is issued prior to the Day Ahead Market . Internal WRAP holdback values must be entered into the Market User Interface (MUI) prior to the close of the Day-Ahead Market by the deficient Market Participant. For WRAP holdback that has a source or a sink external to the Markets+ footprint, the holdback quantity is equal to the amount of Energy on the Energy Schedule for each Operating Hour between the parties.  This data will be provided by the Market Participant, including any WRAP Operations Program Hourly Holdback Requirement that is converted to an Energy deployment prior to the close of the Day-Ahead Market for the Operating Day.  This term is only applicable during the Binding Season</w:t>
      </w:r>
    </w:p>
    <w:p w14:paraId="53B7EC55" w14:textId="77777777" w:rsidR="00A677D0" w:rsidRPr="00A677D0" w:rsidRDefault="00A677D0" w:rsidP="00A677D0">
      <w:pPr>
        <w:numPr>
          <w:ilvl w:val="0"/>
          <w:numId w:val="89"/>
        </w:numPr>
        <w:spacing w:before="120" w:after="0" w:line="300" w:lineRule="auto"/>
        <w:ind w:left="1260" w:hanging="540"/>
        <w:jc w:val="left"/>
        <w:rPr>
          <w:szCs w:val="24"/>
          <w14:ligatures w14:val="standardContextual"/>
        </w:rPr>
      </w:pPr>
      <w:r w:rsidRPr="00A677D0">
        <w:rPr>
          <w:szCs w:val="24"/>
          <w14:ligatures w14:val="standardContextual"/>
        </w:rPr>
        <w:t xml:space="preserve">Net Position.  The sum of each Market Participant’s power purchases and sales Contracts and Transfers as represented by qualifying e-Tags or other established process of communication. This data will be provided by the Market Participant. The net position includes High Priority Transactions representing interchange import transactions and export transactions from the Markets + Footprint. If a Market Participant seeks to include a High Priority Transaction in its net position, that transaction must meet the requirements detailed in Sections </w:t>
      </w:r>
      <w:r w:rsidRPr="00A677D0">
        <w:rPr>
          <w:szCs w:val="24"/>
          <w14:ligatures w14:val="standardContextual"/>
        </w:rPr>
        <w:fldChar w:fldCharType="begin"/>
      </w:r>
      <w:r w:rsidRPr="00A677D0">
        <w:rPr>
          <w:szCs w:val="24"/>
        </w:rPr>
        <w:instrText xml:space="preserve"> REF _Ref194666001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4.2.2.7</w:t>
      </w:r>
      <w:r w:rsidRPr="00A677D0">
        <w:rPr>
          <w:szCs w:val="24"/>
          <w14:ligatures w14:val="standardContextual"/>
        </w:rPr>
        <w:fldChar w:fldCharType="end"/>
      </w:r>
      <w:r w:rsidRPr="00A677D0">
        <w:rPr>
          <w:szCs w:val="24"/>
          <w14:ligatures w14:val="standardContextual"/>
        </w:rPr>
        <w:t xml:space="preserve"> and </w:t>
      </w:r>
      <w:r w:rsidRPr="00A677D0">
        <w:rPr>
          <w:szCs w:val="24"/>
          <w14:ligatures w14:val="standardContextual"/>
        </w:rPr>
        <w:fldChar w:fldCharType="begin"/>
      </w:r>
      <w:r w:rsidRPr="00A677D0">
        <w:rPr>
          <w:szCs w:val="24"/>
        </w:rPr>
        <w:instrText xml:space="preserve"> REF _Ref194666074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4.2.3.3</w:t>
      </w:r>
      <w:r w:rsidRPr="00A677D0">
        <w:rPr>
          <w:szCs w:val="24"/>
          <w14:ligatures w14:val="standardContextual"/>
        </w:rPr>
        <w:fldChar w:fldCharType="end"/>
      </w:r>
      <w:r w:rsidRPr="00A677D0">
        <w:rPr>
          <w:szCs w:val="24"/>
          <w14:ligatures w14:val="standardContextual"/>
        </w:rPr>
        <w:t xml:space="preserve">.  For clarity, any Energy deployed via the WRAP holdback will not count towards the Net Position.  High Priority Transactions that are WRAP holdback, or Energy deployed under the WRAP Operations program are not considered Net Position and instead are contemplated in (3) </w:t>
      </w:r>
      <w:r w:rsidRPr="00A677D0">
        <w:rPr>
          <w14:ligatures w14:val="standardContextual"/>
        </w:rPr>
        <w:t xml:space="preserve">WRAP Operations Program Hourly Holdback </w:t>
      </w:r>
      <w:r w:rsidRPr="00A677D0">
        <w:rPr>
          <w:szCs w:val="24"/>
          <w14:ligatures w14:val="standardContextual"/>
        </w:rPr>
        <w:t xml:space="preserve">above.    </w:t>
      </w:r>
    </w:p>
    <w:p w14:paraId="51F252DE" w14:textId="77777777" w:rsidR="00A677D0" w:rsidRPr="00A677D0" w:rsidRDefault="00A677D0" w:rsidP="00A677D0">
      <w:pPr>
        <w:numPr>
          <w:ilvl w:val="0"/>
          <w:numId w:val="89"/>
        </w:numPr>
        <w:spacing w:before="120" w:after="0" w:line="300" w:lineRule="auto"/>
        <w:jc w:val="left"/>
        <w:rPr>
          <w14:ligatures w14:val="standardContextual"/>
        </w:rPr>
      </w:pPr>
      <w:bookmarkStart w:id="756" w:name="_Hlk211937181"/>
      <w:r w:rsidRPr="00A677D0">
        <w:rPr>
          <w14:ligatures w14:val="standardContextual"/>
        </w:rPr>
        <w:t xml:space="preserve"> MSRs Self-Committed to Charge MWs.</w:t>
      </w:r>
    </w:p>
    <w:bookmarkEnd w:id="756"/>
    <w:p w14:paraId="5861EE41" w14:textId="77777777" w:rsidR="00A677D0" w:rsidRPr="00A677D0" w:rsidRDefault="00A677D0" w:rsidP="00A677D0">
      <w:pPr>
        <w:spacing w:before="120" w:line="300" w:lineRule="auto"/>
        <w:rPr>
          <w14:ligatures w14:val="standardContextual"/>
        </w:rPr>
      </w:pPr>
      <w:r w:rsidRPr="00A677D0">
        <w:rPr>
          <w14:ligatures w14:val="standardContextual"/>
        </w:rPr>
        <w:t>Day Ahead Must Offer Obligation as summarized in the Table below:</w:t>
      </w:r>
    </w:p>
    <w:tbl>
      <w:tblPr>
        <w:tblStyle w:val="TableGrid7"/>
        <w:tblW w:w="5000" w:type="pct"/>
        <w:tblLook w:val="06A0" w:firstRow="1" w:lastRow="0" w:firstColumn="1" w:lastColumn="0" w:noHBand="1" w:noVBand="1"/>
      </w:tblPr>
      <w:tblGrid>
        <w:gridCol w:w="402"/>
        <w:gridCol w:w="6582"/>
        <w:gridCol w:w="2366"/>
      </w:tblGrid>
      <w:tr w:rsidR="00A677D0" w:rsidRPr="00A677D0" w14:paraId="314E2F2A" w14:textId="77777777">
        <w:trPr>
          <w:trHeight w:val="306"/>
        </w:trPr>
        <w:tc>
          <w:tcPr>
            <w:tcW w:w="215" w:type="pct"/>
          </w:tcPr>
          <w:p w14:paraId="3FFE2B20" w14:textId="77777777" w:rsidR="00A677D0" w:rsidRPr="00A677D0" w:rsidRDefault="00A677D0" w:rsidP="00A677D0">
            <w:pPr>
              <w:spacing w:before="120" w:after="0"/>
              <w:jc w:val="left"/>
              <w:rPr>
                <w:kern w:val="2"/>
                <w:szCs w:val="24"/>
              </w:rPr>
            </w:pPr>
          </w:p>
        </w:tc>
        <w:tc>
          <w:tcPr>
            <w:tcW w:w="3520" w:type="pct"/>
          </w:tcPr>
          <w:p w14:paraId="14C9399A" w14:textId="77777777" w:rsidR="00A677D0" w:rsidRPr="00A677D0" w:rsidRDefault="00A677D0" w:rsidP="00A677D0">
            <w:pPr>
              <w:spacing w:before="120" w:after="0"/>
              <w:jc w:val="left"/>
              <w:rPr>
                <w:bCs/>
                <w:kern w:val="2"/>
                <w:szCs w:val="24"/>
              </w:rPr>
            </w:pPr>
            <w:r w:rsidRPr="00A677D0">
              <w:rPr>
                <w:bCs/>
                <w:kern w:val="2"/>
                <w:szCs w:val="24"/>
              </w:rPr>
              <w:t>Day-Ahead Must Offer Components</w:t>
            </w:r>
          </w:p>
        </w:tc>
        <w:tc>
          <w:tcPr>
            <w:tcW w:w="1265" w:type="pct"/>
          </w:tcPr>
          <w:p w14:paraId="06B38DA9" w14:textId="77777777" w:rsidR="00A677D0" w:rsidRPr="00A677D0" w:rsidRDefault="00A677D0" w:rsidP="00A677D0">
            <w:pPr>
              <w:spacing w:before="120" w:after="0"/>
              <w:jc w:val="left"/>
              <w:rPr>
                <w:bCs/>
                <w:kern w:val="2"/>
                <w:szCs w:val="24"/>
              </w:rPr>
            </w:pPr>
            <w:r w:rsidRPr="00A677D0">
              <w:rPr>
                <w:bCs/>
                <w:kern w:val="2"/>
                <w:szCs w:val="24"/>
              </w:rPr>
              <w:t xml:space="preserve">Hourly MW Amount </w:t>
            </w:r>
          </w:p>
        </w:tc>
      </w:tr>
      <w:tr w:rsidR="00A677D0" w:rsidRPr="00A677D0" w14:paraId="6A2D9178" w14:textId="77777777">
        <w:trPr>
          <w:trHeight w:val="306"/>
        </w:trPr>
        <w:tc>
          <w:tcPr>
            <w:tcW w:w="215" w:type="pct"/>
          </w:tcPr>
          <w:p w14:paraId="1F741C87" w14:textId="77777777" w:rsidR="00A677D0" w:rsidRPr="00A677D0" w:rsidRDefault="00A677D0" w:rsidP="00A677D0">
            <w:pPr>
              <w:spacing w:before="120" w:after="0"/>
              <w:jc w:val="left"/>
              <w:rPr>
                <w:bCs/>
                <w:kern w:val="2"/>
                <w:szCs w:val="24"/>
              </w:rPr>
            </w:pPr>
            <w:r w:rsidRPr="00A677D0">
              <w:rPr>
                <w:bCs/>
                <w:kern w:val="2"/>
                <w:szCs w:val="24"/>
              </w:rPr>
              <w:t>1</w:t>
            </w:r>
          </w:p>
        </w:tc>
        <w:tc>
          <w:tcPr>
            <w:tcW w:w="3520" w:type="pct"/>
          </w:tcPr>
          <w:p w14:paraId="44771859" w14:textId="77777777" w:rsidR="00A677D0" w:rsidRPr="00A677D0" w:rsidRDefault="00A677D0" w:rsidP="00A677D0">
            <w:pPr>
              <w:spacing w:before="120" w:after="0"/>
              <w:jc w:val="left"/>
              <w:rPr>
                <w:kern w:val="2"/>
                <w:szCs w:val="24"/>
              </w:rPr>
            </w:pPr>
            <w:r w:rsidRPr="00A677D0">
              <w:rPr>
                <w:kern w:val="2"/>
                <w:szCs w:val="24"/>
              </w:rPr>
              <w:t xml:space="preserve">Hourly Mid-Term Load Forecast </w:t>
            </w:r>
          </w:p>
        </w:tc>
        <w:tc>
          <w:tcPr>
            <w:tcW w:w="1265" w:type="pct"/>
          </w:tcPr>
          <w:p w14:paraId="27EDD5BE" w14:textId="77777777" w:rsidR="00A677D0" w:rsidRPr="00A677D0" w:rsidRDefault="00A677D0" w:rsidP="00A677D0">
            <w:pPr>
              <w:spacing w:before="120" w:after="0"/>
              <w:jc w:val="left"/>
              <w:rPr>
                <w:kern w:val="2"/>
                <w:szCs w:val="24"/>
              </w:rPr>
            </w:pPr>
          </w:p>
        </w:tc>
      </w:tr>
      <w:tr w:rsidR="00A677D0" w:rsidRPr="00A677D0" w14:paraId="72C5AA7E" w14:textId="77777777">
        <w:trPr>
          <w:trHeight w:val="306"/>
        </w:trPr>
        <w:tc>
          <w:tcPr>
            <w:tcW w:w="215" w:type="pct"/>
          </w:tcPr>
          <w:p w14:paraId="71329251" w14:textId="77777777" w:rsidR="00A677D0" w:rsidRPr="00A677D0" w:rsidRDefault="00A677D0" w:rsidP="00A677D0">
            <w:pPr>
              <w:spacing w:before="120" w:after="0"/>
              <w:jc w:val="left"/>
              <w:rPr>
                <w:bCs/>
                <w:kern w:val="2"/>
                <w:szCs w:val="24"/>
              </w:rPr>
            </w:pPr>
            <w:r w:rsidRPr="00A677D0">
              <w:rPr>
                <w:bCs/>
                <w:kern w:val="2"/>
                <w:szCs w:val="24"/>
              </w:rPr>
              <w:t>2</w:t>
            </w:r>
          </w:p>
        </w:tc>
        <w:tc>
          <w:tcPr>
            <w:tcW w:w="3520" w:type="pct"/>
          </w:tcPr>
          <w:p w14:paraId="3C241294" w14:textId="77777777" w:rsidR="00A677D0" w:rsidRPr="00A677D0" w:rsidRDefault="00A677D0" w:rsidP="00A677D0">
            <w:pPr>
              <w:spacing w:before="120" w:after="0"/>
              <w:jc w:val="left"/>
              <w:rPr>
                <w:kern w:val="2"/>
                <w:szCs w:val="24"/>
              </w:rPr>
            </w:pPr>
            <w:r w:rsidRPr="00A677D0">
              <w:rPr>
                <w:kern w:val="2"/>
                <w:szCs w:val="24"/>
              </w:rPr>
              <w:t>Hourly Flexibility Reserve Products obligations</w:t>
            </w:r>
          </w:p>
        </w:tc>
        <w:tc>
          <w:tcPr>
            <w:tcW w:w="1265" w:type="pct"/>
          </w:tcPr>
          <w:p w14:paraId="4EE999FF" w14:textId="77777777" w:rsidR="00A677D0" w:rsidRPr="00A677D0" w:rsidRDefault="00A677D0" w:rsidP="00A677D0">
            <w:pPr>
              <w:spacing w:before="120" w:after="0"/>
              <w:jc w:val="left"/>
              <w:rPr>
                <w:kern w:val="2"/>
                <w:szCs w:val="24"/>
              </w:rPr>
            </w:pPr>
          </w:p>
        </w:tc>
      </w:tr>
      <w:tr w:rsidR="00A677D0" w:rsidRPr="00A677D0" w14:paraId="5FE344E9" w14:textId="77777777">
        <w:trPr>
          <w:trHeight w:val="306"/>
        </w:trPr>
        <w:tc>
          <w:tcPr>
            <w:tcW w:w="215" w:type="pct"/>
          </w:tcPr>
          <w:p w14:paraId="242AA254" w14:textId="77777777" w:rsidR="00A677D0" w:rsidRPr="00A677D0" w:rsidRDefault="00A677D0" w:rsidP="00A677D0">
            <w:pPr>
              <w:spacing w:before="120" w:after="0"/>
              <w:jc w:val="left"/>
              <w:rPr>
                <w:bCs/>
                <w:kern w:val="2"/>
                <w:szCs w:val="24"/>
              </w:rPr>
            </w:pPr>
            <w:r w:rsidRPr="00A677D0">
              <w:rPr>
                <w:bCs/>
                <w:kern w:val="2"/>
                <w:szCs w:val="24"/>
              </w:rPr>
              <w:t>3</w:t>
            </w:r>
          </w:p>
        </w:tc>
        <w:tc>
          <w:tcPr>
            <w:tcW w:w="3520" w:type="pct"/>
          </w:tcPr>
          <w:p w14:paraId="12A2426A" w14:textId="77777777" w:rsidR="00A677D0" w:rsidRPr="00A677D0" w:rsidRDefault="00A677D0" w:rsidP="00A677D0">
            <w:pPr>
              <w:spacing w:before="120" w:after="0"/>
              <w:jc w:val="left"/>
              <w:rPr>
                <w:kern w:val="2"/>
                <w:szCs w:val="24"/>
              </w:rPr>
            </w:pPr>
            <w:r w:rsidRPr="00A677D0">
              <w:rPr>
                <w:kern w:val="2"/>
                <w:szCs w:val="24"/>
              </w:rPr>
              <w:t xml:space="preserve">Hourly WRAP Operations Holdback </w:t>
            </w:r>
          </w:p>
        </w:tc>
        <w:tc>
          <w:tcPr>
            <w:tcW w:w="1265" w:type="pct"/>
          </w:tcPr>
          <w:p w14:paraId="75DAA470" w14:textId="77777777" w:rsidR="00A677D0" w:rsidRPr="00A677D0" w:rsidRDefault="00A677D0" w:rsidP="00A677D0">
            <w:pPr>
              <w:spacing w:before="120" w:after="0"/>
              <w:jc w:val="left"/>
              <w:rPr>
                <w:kern w:val="2"/>
                <w:szCs w:val="24"/>
              </w:rPr>
            </w:pPr>
          </w:p>
        </w:tc>
      </w:tr>
      <w:tr w:rsidR="00A677D0" w:rsidRPr="00A677D0" w14:paraId="0C11FAF7" w14:textId="77777777">
        <w:trPr>
          <w:trHeight w:val="306"/>
        </w:trPr>
        <w:tc>
          <w:tcPr>
            <w:tcW w:w="215" w:type="pct"/>
          </w:tcPr>
          <w:p w14:paraId="2CD791F6" w14:textId="77777777" w:rsidR="00A677D0" w:rsidRPr="00A677D0" w:rsidRDefault="00A677D0" w:rsidP="00A677D0">
            <w:pPr>
              <w:spacing w:before="120" w:after="0"/>
              <w:jc w:val="left"/>
              <w:rPr>
                <w:bCs/>
                <w:kern w:val="2"/>
                <w:szCs w:val="24"/>
              </w:rPr>
            </w:pPr>
            <w:r w:rsidRPr="00A677D0">
              <w:rPr>
                <w:bCs/>
                <w:kern w:val="2"/>
                <w:szCs w:val="24"/>
              </w:rPr>
              <w:t>4</w:t>
            </w:r>
          </w:p>
        </w:tc>
        <w:tc>
          <w:tcPr>
            <w:tcW w:w="3520" w:type="pct"/>
          </w:tcPr>
          <w:p w14:paraId="650752BF" w14:textId="77777777" w:rsidR="00A677D0" w:rsidRPr="00A677D0" w:rsidRDefault="00A677D0" w:rsidP="00A677D0">
            <w:pPr>
              <w:spacing w:before="120" w:after="0"/>
              <w:jc w:val="left"/>
              <w:rPr>
                <w:kern w:val="2"/>
                <w:szCs w:val="24"/>
              </w:rPr>
            </w:pPr>
            <w:r w:rsidRPr="00A677D0">
              <w:rPr>
                <w:kern w:val="2"/>
                <w:szCs w:val="24"/>
              </w:rPr>
              <w:t xml:space="preserve">Hourly Net Position </w:t>
            </w:r>
          </w:p>
        </w:tc>
        <w:tc>
          <w:tcPr>
            <w:tcW w:w="1265" w:type="pct"/>
          </w:tcPr>
          <w:p w14:paraId="64FE550F" w14:textId="77777777" w:rsidR="00A677D0" w:rsidRPr="00A677D0" w:rsidRDefault="00A677D0" w:rsidP="00A677D0">
            <w:pPr>
              <w:spacing w:before="120" w:after="0"/>
              <w:jc w:val="left"/>
              <w:rPr>
                <w:kern w:val="2"/>
                <w:szCs w:val="24"/>
              </w:rPr>
            </w:pPr>
          </w:p>
        </w:tc>
      </w:tr>
      <w:tr w:rsidR="00A677D0" w:rsidRPr="00A677D0" w14:paraId="509CFD6F" w14:textId="77777777">
        <w:trPr>
          <w:trHeight w:val="306"/>
        </w:trPr>
        <w:tc>
          <w:tcPr>
            <w:tcW w:w="215" w:type="pct"/>
          </w:tcPr>
          <w:p w14:paraId="28D59964" w14:textId="77777777" w:rsidR="00A677D0" w:rsidRPr="00A677D0" w:rsidRDefault="00A677D0" w:rsidP="00A677D0">
            <w:pPr>
              <w:spacing w:before="120" w:after="0"/>
              <w:jc w:val="left"/>
              <w:rPr>
                <w:bCs/>
                <w:kern w:val="2"/>
                <w:szCs w:val="24"/>
              </w:rPr>
            </w:pPr>
            <w:r w:rsidRPr="00A677D0">
              <w:rPr>
                <w:bCs/>
                <w:kern w:val="2"/>
                <w:szCs w:val="24"/>
              </w:rPr>
              <w:t>5</w:t>
            </w:r>
          </w:p>
        </w:tc>
        <w:tc>
          <w:tcPr>
            <w:tcW w:w="3520" w:type="pct"/>
          </w:tcPr>
          <w:p w14:paraId="256A6BFE" w14:textId="77777777" w:rsidR="00A677D0" w:rsidRPr="00A677D0" w:rsidRDefault="00A677D0" w:rsidP="00A677D0">
            <w:pPr>
              <w:spacing w:before="120" w:after="0"/>
              <w:jc w:val="left"/>
              <w:rPr>
                <w:kern w:val="2"/>
                <w:szCs w:val="24"/>
              </w:rPr>
            </w:pPr>
            <w:r w:rsidRPr="00A677D0">
              <w:rPr>
                <w:kern w:val="2"/>
                <w:szCs w:val="24"/>
              </w:rPr>
              <w:t xml:space="preserve">Hourly MSR Self-Committed to Charge </w:t>
            </w:r>
          </w:p>
        </w:tc>
        <w:tc>
          <w:tcPr>
            <w:tcW w:w="1265" w:type="pct"/>
          </w:tcPr>
          <w:p w14:paraId="7EBDC0DE" w14:textId="77777777" w:rsidR="00A677D0" w:rsidRPr="00A677D0" w:rsidRDefault="00A677D0" w:rsidP="00A677D0">
            <w:pPr>
              <w:spacing w:before="120" w:after="0"/>
              <w:jc w:val="left"/>
              <w:rPr>
                <w:kern w:val="2"/>
                <w:szCs w:val="24"/>
              </w:rPr>
            </w:pPr>
          </w:p>
        </w:tc>
      </w:tr>
      <w:tr w:rsidR="00A677D0" w:rsidRPr="00A677D0" w14:paraId="74E9AB16" w14:textId="77777777">
        <w:trPr>
          <w:trHeight w:val="306"/>
        </w:trPr>
        <w:tc>
          <w:tcPr>
            <w:tcW w:w="215" w:type="pct"/>
          </w:tcPr>
          <w:p w14:paraId="31B35DAC" w14:textId="77777777" w:rsidR="00A677D0" w:rsidRPr="00A677D0" w:rsidRDefault="00A677D0" w:rsidP="00A677D0">
            <w:pPr>
              <w:spacing w:before="120" w:after="0"/>
              <w:jc w:val="left"/>
              <w:rPr>
                <w:kern w:val="2"/>
                <w:szCs w:val="24"/>
              </w:rPr>
            </w:pPr>
          </w:p>
        </w:tc>
        <w:tc>
          <w:tcPr>
            <w:tcW w:w="3520" w:type="pct"/>
          </w:tcPr>
          <w:p w14:paraId="491D5ADD" w14:textId="77777777" w:rsidR="00A677D0" w:rsidRPr="00A677D0" w:rsidRDefault="00A677D0" w:rsidP="00A677D0">
            <w:pPr>
              <w:spacing w:before="120" w:after="0"/>
              <w:jc w:val="left"/>
              <w:rPr>
                <w:bCs/>
                <w:kern w:val="2"/>
                <w:szCs w:val="24"/>
              </w:rPr>
            </w:pPr>
            <w:r w:rsidRPr="00A677D0">
              <w:rPr>
                <w:bCs/>
                <w:kern w:val="2"/>
                <w:szCs w:val="24"/>
              </w:rPr>
              <w:t>Minimum Required Resource capacity</w:t>
            </w:r>
          </w:p>
          <w:p w14:paraId="06339FCA" w14:textId="77777777" w:rsidR="00A677D0" w:rsidRPr="00A677D0" w:rsidRDefault="00A677D0" w:rsidP="00A677D0">
            <w:pPr>
              <w:spacing w:before="120" w:after="0"/>
              <w:jc w:val="left"/>
              <w:rPr>
                <w:kern w:val="2"/>
                <w:szCs w:val="24"/>
              </w:rPr>
            </w:pPr>
            <w:r w:rsidRPr="00A677D0">
              <w:rPr>
                <w:bCs/>
                <w:kern w:val="2"/>
                <w:szCs w:val="24"/>
              </w:rPr>
              <w:t>(SUM of 4.2.1.1 A (1 -5)) =</w:t>
            </w:r>
          </w:p>
        </w:tc>
        <w:tc>
          <w:tcPr>
            <w:tcW w:w="1265" w:type="pct"/>
          </w:tcPr>
          <w:p w14:paraId="0585B126" w14:textId="77777777" w:rsidR="00A677D0" w:rsidRPr="00A677D0" w:rsidRDefault="00A677D0" w:rsidP="00A677D0">
            <w:pPr>
              <w:spacing w:before="120" w:after="0"/>
              <w:jc w:val="left"/>
              <w:rPr>
                <w:kern w:val="2"/>
                <w:szCs w:val="24"/>
              </w:rPr>
            </w:pPr>
          </w:p>
        </w:tc>
      </w:tr>
    </w:tbl>
    <w:p w14:paraId="4355523E" w14:textId="77777777" w:rsidR="00A677D0" w:rsidRPr="00A677D0" w:rsidRDefault="00A677D0" w:rsidP="00A677D0">
      <w:pPr>
        <w:spacing w:before="120" w:after="0"/>
        <w:jc w:val="left"/>
        <w:rPr>
          <w:kern w:val="2"/>
          <w:szCs w:val="24"/>
          <w14:ligatures w14:val="standardContextual"/>
        </w:rPr>
      </w:pPr>
    </w:p>
    <w:p w14:paraId="3B40FA0D" w14:textId="77777777" w:rsidR="00A677D0" w:rsidRPr="00A677D0" w:rsidRDefault="00A677D0" w:rsidP="00414B5D">
      <w:pPr>
        <w:numPr>
          <w:ilvl w:val="0"/>
          <w:numId w:val="90"/>
        </w:numPr>
        <w:spacing w:before="120" w:after="0" w:line="300" w:lineRule="auto"/>
        <w:ind w:left="720" w:hanging="720"/>
        <w:jc w:val="left"/>
        <w:rPr>
          <w14:ligatures w14:val="standardContextual"/>
        </w:rPr>
      </w:pPr>
      <w:r w:rsidRPr="00A677D0">
        <w:rPr>
          <w14:ligatures w14:val="standardContextual"/>
        </w:rPr>
        <w:t xml:space="preserve">Day Ahead Must Offer Ceiling, Binding Season: Each Market Participant is required to offer Resources no greater than the approved Forward Showing Capacity Requirement value as provided by the Market Participant, adjusted as described below.  This value informs the ceiling for the Day Ahead Must Offer and is used to determine the ceiling during the Binding Season as defined by the Resource Adequacy Program.  During the Binding Season, in the event that the calculation of (A) exceeds (B), the capacity amount determined under (B) will act as a ceiling on the Market Participant’s Must Offer Obligation, as (B) represents the maximum amount the Market Participant is required to offer to Markets+ during the Binding Season. The Day-Ahead Must Offer Ceiling is calculated as the sum of the following: </w:t>
      </w:r>
    </w:p>
    <w:p w14:paraId="46C5A348" w14:textId="77777777" w:rsidR="00A677D0" w:rsidRPr="00A677D0" w:rsidRDefault="00A677D0" w:rsidP="00A677D0">
      <w:pPr>
        <w:numPr>
          <w:ilvl w:val="0"/>
          <w:numId w:val="91"/>
        </w:numPr>
        <w:spacing w:before="120" w:after="0" w:line="300" w:lineRule="auto"/>
        <w:ind w:hanging="540"/>
        <w:jc w:val="left"/>
        <w:rPr>
          <w:szCs w:val="24"/>
          <w14:ligatures w14:val="standardContextual"/>
        </w:rPr>
      </w:pPr>
      <w:r w:rsidRPr="00A677D0">
        <w:rPr>
          <w:szCs w:val="24"/>
          <w14:ligatures w14:val="standardContextual"/>
        </w:rPr>
        <w:t xml:space="preserve">A Market Participant’s Forward Showing Capacity Requirement is the amount of capacity required for the Market Participant to demonstrate adequacy for the Resource Adequacy Program for each Month during a Binding Season.  The Monthly value adjusted down by the near-term contingent reserve requirement that is part of the WRAP sharing calculation, serves as the maximum quantity for the relevant Operating Day, within the corresponding Operating Month, as an input to the Market User Interface (MUI). </w:t>
      </w:r>
      <w:r w:rsidRPr="00A677D0">
        <w:rPr>
          <w14:ligatures w14:val="standardContextual"/>
        </w:rPr>
        <w:t xml:space="preserve">If a Market Participant does not meet the Forward Showing Capacity Requirement the maximum quantity for the relevant Operating Day within the corresponding Operating Month is adjusted down by the deficit capacity amount. </w:t>
      </w:r>
    </w:p>
    <w:p w14:paraId="2715E3D7" w14:textId="77777777" w:rsidR="00A677D0" w:rsidRPr="00A677D0" w:rsidRDefault="00A677D0" w:rsidP="00A677D0">
      <w:pPr>
        <w:numPr>
          <w:ilvl w:val="0"/>
          <w:numId w:val="91"/>
        </w:numPr>
        <w:spacing w:before="120" w:after="0" w:line="300" w:lineRule="auto"/>
        <w:ind w:hanging="540"/>
        <w:jc w:val="left"/>
        <w:rPr>
          <w14:ligatures w14:val="standardContextual"/>
        </w:rPr>
      </w:pPr>
      <w:r w:rsidRPr="00A677D0">
        <w:rPr>
          <w14:ligatures w14:val="standardContextual"/>
        </w:rPr>
        <w:t xml:space="preserve">WRAP Operations Program Hourly Adjustment. For an entity with a negative WRAP Operations Program Hourly Sharing Result, the WRAP Operations Program Hourly Adjustment is equal to the absolute value of the negative Qty (MW) of the WRAP Operations Hourly Sharing Result plus the Qty (MW) of WRAP Operations Program Hourly Holdback.  If the source of the WRAP Operations Program Hourly Holdback is external to the Markets+ footprint, the source and MW quantity must be represented by a confirmed e-Tag on an Energy Schedule between the parties. For an entity with a positive or zero value WRAP Operations Program Hourly Sharing Result, the value of the WRAP Operations Program Hourly Adjustment will be equal to the portion (if any) of the entity’s WRAP Operations Program Hourly Holdback that consists of voluntary holdback.    </w:t>
      </w:r>
    </w:p>
    <w:p w14:paraId="0DD26B0D" w14:textId="77777777" w:rsidR="00A677D0" w:rsidRPr="00A677D0" w:rsidRDefault="00A677D0" w:rsidP="00A677D0">
      <w:pPr>
        <w:numPr>
          <w:ilvl w:val="0"/>
          <w:numId w:val="91"/>
        </w:numPr>
        <w:spacing w:before="120" w:after="0" w:line="300" w:lineRule="auto"/>
        <w:ind w:hanging="540"/>
        <w:jc w:val="left"/>
        <w:rPr>
          <w14:ligatures w14:val="standardContextual"/>
        </w:rPr>
      </w:pPr>
      <w:r w:rsidRPr="00A677D0">
        <w:rPr>
          <w14:ligatures w14:val="standardContextual"/>
        </w:rPr>
        <w:t xml:space="preserve">Net Position.  The Net Position is the sum of each Market Participant’s power purchase and sales contracts and transfers as represented by qualifying e-Tags or other established process of communication. This data will be provided by the Market Participant.  The Net Position includes High Priority Transactions representing interchange import transactions and export transactions to or from the Markets + Footprint, but does not include uncommitted import or export transactions.  If a Market Participant wishes to include a High Priority Transaction in its net position, that transaction must meet the requirements of a qualifying e-Tag, detailed in Sections </w:t>
      </w:r>
      <w:r w:rsidRPr="00A677D0">
        <w:rPr>
          <w14:ligatures w14:val="standardContextual"/>
        </w:rPr>
        <w:fldChar w:fldCharType="begin"/>
      </w:r>
      <w:r w:rsidRPr="00A677D0">
        <w:instrText xml:space="preserve"> REF _Ref194666124 \r \h </w:instrText>
      </w:r>
      <w:r w:rsidRPr="00A677D0">
        <w:rPr>
          <w14:ligatures w14:val="standardContextual"/>
        </w:rPr>
      </w:r>
      <w:r w:rsidRPr="00A677D0">
        <w:rPr>
          <w14:ligatures w14:val="standardContextual"/>
        </w:rPr>
        <w:fldChar w:fldCharType="separate"/>
      </w:r>
      <w:r w:rsidRPr="00A677D0">
        <w:rPr>
          <w14:ligatures w14:val="standardContextual"/>
        </w:rPr>
        <w:t>4.2.2.7</w:t>
      </w:r>
      <w:r w:rsidRPr="00A677D0">
        <w:rPr>
          <w14:ligatures w14:val="standardContextual"/>
        </w:rPr>
        <w:fldChar w:fldCharType="end"/>
      </w:r>
      <w:r w:rsidRPr="00A677D0">
        <w:rPr>
          <w14:ligatures w14:val="standardContextual"/>
        </w:rPr>
        <w:t xml:space="preserve"> and </w:t>
      </w:r>
      <w:r w:rsidRPr="00A677D0">
        <w:rPr>
          <w14:ligatures w14:val="standardContextual"/>
        </w:rPr>
        <w:fldChar w:fldCharType="begin"/>
      </w:r>
      <w:r w:rsidRPr="00A677D0">
        <w:instrText xml:space="preserve"> REF _Ref194666139 \r \h </w:instrText>
      </w:r>
      <w:r w:rsidRPr="00A677D0">
        <w:rPr>
          <w14:ligatures w14:val="standardContextual"/>
        </w:rPr>
      </w:r>
      <w:r w:rsidRPr="00A677D0">
        <w:rPr>
          <w14:ligatures w14:val="standardContextual"/>
        </w:rPr>
        <w:fldChar w:fldCharType="separate"/>
      </w:r>
      <w:r w:rsidRPr="00A677D0">
        <w:rPr>
          <w14:ligatures w14:val="standardContextual"/>
        </w:rPr>
        <w:t>4.2.3.3</w:t>
      </w:r>
      <w:r w:rsidRPr="00A677D0">
        <w:rPr>
          <w14:ligatures w14:val="standardContextual"/>
        </w:rPr>
        <w:fldChar w:fldCharType="end"/>
      </w:r>
      <w:r w:rsidRPr="00A677D0">
        <w:rPr>
          <w14:ligatures w14:val="standardContextual"/>
        </w:rPr>
        <w:t xml:space="preserve">. For clarity, any energy deployed via the WRAP holdback will not count towards the Net Position for the purpose of calculation the DA Must Offer Ceiling. High Priority Transactions that are WRAP holdback, or energy deployed under the WRAP Operations program are not considered Net Position and instead are contemplated in (2) WRAP holdback above.   </w:t>
      </w:r>
    </w:p>
    <w:p w14:paraId="5C61912F" w14:textId="77777777" w:rsidR="00A677D0" w:rsidRPr="00A677D0" w:rsidRDefault="00A677D0" w:rsidP="00A677D0">
      <w:pPr>
        <w:numPr>
          <w:ilvl w:val="0"/>
          <w:numId w:val="91"/>
        </w:numPr>
        <w:spacing w:before="120" w:after="0" w:line="300" w:lineRule="auto"/>
        <w:ind w:hanging="540"/>
        <w:jc w:val="left"/>
        <w:rPr>
          <w14:ligatures w14:val="standardContextual"/>
        </w:rPr>
      </w:pPr>
      <w:r w:rsidRPr="00A677D0">
        <w:rPr>
          <w14:ligatures w14:val="standardContextual"/>
        </w:rPr>
        <w:t>Fleet Performance. A Market Participant’s adjustment for forecasted day ahead fleet performance is, for all Resources other than VERs, the sum of any forced outages, unplanned availability, and unplanned change of capacity of Resources registered to the Market Participant for the Operating Hour as reflected in the CROW system compared against the forced outages, unplanned availability and unplanned change in capacity as represented in the Resource Adequacy program. For VERS the Market Operator’s forecast output will be compared against the QCC of the VERs as calculated by the Resource Adequacy program and provided by the Market Participant. For Run of River (ROR) hydro the Market Participant’s forecast output will be compared against the QCC of the ROR hydro as calculated by the Resource Adequacy program and provided by the Market Participant. The QCCs must be provided by the Market Participant in advance of the Binding Season as described in Data and Information, above.  Any improvement in performance will increase the Market Participant’s Must-Offer Obligation and any reduction in performance will reduce the Market Participant’s Must-Offer Obligation For example, for non-VERs, if the total CROW unplanned outages for an hour is 300 MW and the WRAP unplanned outage assumption is 200 MW, then the Market Participant’s Must-Offer Obligation is reduced by 100 MW.  For VERs, if the total VER ELCC from WRAP is 400 MW and the VER forecast amount is 700 MW, then the Market Participant’s Must-Offer Obligation is increased by 300 MW.</w:t>
      </w:r>
    </w:p>
    <w:p w14:paraId="260BB282" w14:textId="77777777" w:rsidR="00A677D0" w:rsidRPr="00A677D0" w:rsidRDefault="00A677D0" w:rsidP="00A677D0">
      <w:pPr>
        <w:numPr>
          <w:ilvl w:val="0"/>
          <w:numId w:val="91"/>
        </w:numPr>
        <w:spacing w:before="120" w:after="0" w:line="300" w:lineRule="auto"/>
        <w:ind w:hanging="540"/>
        <w:jc w:val="left"/>
        <w:rPr>
          <w14:ligatures w14:val="standardContextual"/>
        </w:rPr>
      </w:pPr>
      <w:r w:rsidRPr="00A677D0">
        <w:rPr>
          <w14:ligatures w14:val="standardContextual"/>
        </w:rPr>
        <w:t>MSRs Self-Committed to Charge MWs.</w:t>
      </w:r>
    </w:p>
    <w:p w14:paraId="29CBF76D" w14:textId="77777777" w:rsidR="00A677D0" w:rsidRPr="00A677D0" w:rsidRDefault="00A677D0" w:rsidP="00A677D0">
      <w:pPr>
        <w:spacing w:before="120" w:line="300" w:lineRule="auto"/>
        <w:ind w:left="720"/>
        <w:rPr>
          <w:szCs w:val="24"/>
          <w14:ligatures w14:val="standardContextual"/>
        </w:rPr>
      </w:pPr>
      <w:r w:rsidRPr="00A677D0">
        <w:rPr>
          <w:szCs w:val="24"/>
          <w14:ligatures w14:val="standardContextual"/>
        </w:rPr>
        <w:t xml:space="preserve">During the non-Binding Season, Section </w:t>
      </w:r>
      <w:r w:rsidRPr="00A677D0">
        <w:rPr>
          <w:szCs w:val="24"/>
          <w14:ligatures w14:val="standardContextual"/>
        </w:rPr>
        <w:fldChar w:fldCharType="begin"/>
      </w:r>
      <w:r w:rsidRPr="00A677D0">
        <w:rPr>
          <w:szCs w:val="24"/>
        </w:rPr>
        <w:instrText xml:space="preserve"> REF _Ref194666342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(A) provides the minimum required to satisfy the Day Ahead Must Offer obligation and does not have a Day Ahead Must Offer Ceiling as the non-Binding Season does not have data from the Resource Adequacy Program.</w:t>
      </w:r>
    </w:p>
    <w:p w14:paraId="10DFCE0B" w14:textId="77777777" w:rsidR="00A677D0" w:rsidRPr="00A677D0" w:rsidRDefault="00A677D0" w:rsidP="00414B5D">
      <w:pPr>
        <w:numPr>
          <w:ilvl w:val="0"/>
          <w:numId w:val="94"/>
        </w:numPr>
        <w:spacing w:before="120" w:after="0" w:line="300" w:lineRule="auto"/>
        <w:ind w:left="720" w:hanging="720"/>
        <w:jc w:val="left"/>
        <w:rPr>
          <w:szCs w:val="24"/>
          <w14:ligatures w14:val="standardContextual"/>
        </w:rPr>
      </w:pPr>
      <w:r w:rsidRPr="00A677D0">
        <w:rPr>
          <w:szCs w:val="24"/>
          <w14:ligatures w14:val="standardContextual"/>
        </w:rPr>
        <w:t xml:space="preserve">During the Binding Season: Market Participants are required to offer Resources into the Day-Ahead Market greater or equal to the lesser of either the Day-Ahead Must Offer Obligation described under Section </w:t>
      </w:r>
      <w:r w:rsidRPr="00A677D0">
        <w:rPr>
          <w:szCs w:val="24"/>
          <w14:ligatures w14:val="standardContextual"/>
        </w:rPr>
        <w:fldChar w:fldCharType="begin"/>
      </w:r>
      <w:r w:rsidRPr="00A677D0">
        <w:rPr>
          <w:szCs w:val="24"/>
        </w:rPr>
        <w:instrText xml:space="preserve"> REF _Ref194666420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 xml:space="preserve">(A) or the Day Ahead Must Offer Ceiling as described under Section </w:t>
      </w:r>
      <w:r w:rsidRPr="00A677D0">
        <w:rPr>
          <w:szCs w:val="24"/>
          <w14:ligatures w14:val="standardContextual"/>
        </w:rPr>
        <w:fldChar w:fldCharType="begin"/>
      </w:r>
      <w:r w:rsidRPr="00A677D0">
        <w:rPr>
          <w:szCs w:val="24"/>
        </w:rPr>
        <w:instrText xml:space="preserve"> REF _Ref194666443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 xml:space="preserve">(B) for that Operating Hour. </w:t>
      </w:r>
    </w:p>
    <w:p w14:paraId="74F02D5F" w14:textId="4EFD0B4C" w:rsidR="00A677D0" w:rsidRPr="00A677D0" w:rsidRDefault="00A677D0" w:rsidP="00A677D0">
      <w:pPr>
        <w:numPr>
          <w:ilvl w:val="0"/>
          <w:numId w:val="92"/>
        </w:numPr>
        <w:spacing w:before="120" w:after="0" w:line="300" w:lineRule="auto"/>
        <w:ind w:left="1260" w:hanging="540"/>
        <w:jc w:val="left"/>
        <w:rPr>
          <w:szCs w:val="24"/>
          <w14:ligatures w14:val="standardContextual"/>
        </w:rPr>
      </w:pPr>
      <w:r w:rsidRPr="00A677D0">
        <w:rPr>
          <w:szCs w:val="24"/>
          <w14:ligatures w14:val="standardContextual"/>
        </w:rPr>
        <w:t xml:space="preserve">The shortfall will be calculated as positive value of the difference between the lesser of the Resource capacity required for each Hour detailed in </w:t>
      </w:r>
      <w:r w:rsidRPr="00A677D0">
        <w:rPr>
          <w:szCs w:val="24"/>
          <w14:ligatures w14:val="standardContextual"/>
        </w:rPr>
        <w:fldChar w:fldCharType="begin"/>
      </w:r>
      <w:r w:rsidRPr="00A677D0">
        <w:rPr>
          <w:szCs w:val="24"/>
        </w:rPr>
        <w:instrText xml:space="preserve"> REF _Ref194666471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 xml:space="preserve"> or </w:t>
      </w:r>
      <w:r w:rsidRPr="00A677D0">
        <w:rPr>
          <w:szCs w:val="24"/>
          <w14:ligatures w14:val="standardContextual"/>
        </w:rPr>
        <w:fldChar w:fldCharType="begin"/>
      </w:r>
      <w:r w:rsidRPr="00A677D0">
        <w:rPr>
          <w:szCs w:val="24"/>
        </w:rPr>
        <w:instrText xml:space="preserve"> REF _Ref194666490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 xml:space="preserve">(B), and the total offered Resource capacity for each Operating Hour. Any shortfall by a Market Participant will be assessed a penalty charge calculated as the MW shortfall times the penalty rate as further detailed in </w:t>
      </w:r>
      <w:r w:rsidR="00F662D4">
        <w:rPr>
          <w:szCs w:val="24"/>
          <w14:ligatures w14:val="standardContextual"/>
        </w:rPr>
        <w:t xml:space="preserve">the </w:t>
      </w:r>
      <w:r w:rsidR="00211F86" w:rsidRPr="00211F86">
        <w:rPr>
          <w:szCs w:val="24"/>
          <w14:ligatures w14:val="standardContextual"/>
        </w:rPr>
        <w:t>Markets+ Settlements Calculation Guide</w:t>
      </w:r>
      <w:r w:rsidR="005D3064" w:rsidRPr="00A677D0">
        <w:rPr>
          <w:szCs w:val="24"/>
          <w14:ligatures w14:val="standardContextual"/>
        </w:rPr>
        <w:fldChar w:fldCharType="begin"/>
      </w:r>
      <w:r w:rsidR="005D3064" w:rsidRPr="00A677D0">
        <w:rPr>
          <w:szCs w:val="24"/>
          <w14:ligatures w14:val="standardContextual"/>
        </w:rPr>
        <w:fldChar w:fldCharType="separate"/>
      </w:r>
      <w:r w:rsidR="005D3064" w:rsidRPr="00A677D0">
        <w:rPr>
          <w:szCs w:val="24"/>
          <w14:ligatures w14:val="standardContextual"/>
        </w:rPr>
        <w:t>4.5.7.17</w:t>
      </w:r>
      <w:r w:rsidR="005D3064" w:rsidRPr="00A677D0">
        <w:rPr>
          <w:szCs w:val="24"/>
          <w14:ligatures w14:val="standardContextual"/>
        </w:rPr>
        <w:fldChar w:fldCharType="end"/>
      </w:r>
      <w:r w:rsidRPr="00A677D0">
        <w:rPr>
          <w:szCs w:val="24"/>
          <w14:ligatures w14:val="standardContextual"/>
        </w:rPr>
        <w:t>.</w:t>
      </w:r>
    </w:p>
    <w:p w14:paraId="3D098A40" w14:textId="77777777" w:rsidR="00A677D0" w:rsidRPr="00A677D0" w:rsidRDefault="00A677D0" w:rsidP="00414B5D">
      <w:pPr>
        <w:numPr>
          <w:ilvl w:val="0"/>
          <w:numId w:val="94"/>
        </w:numPr>
        <w:spacing w:before="120" w:after="0" w:line="300" w:lineRule="auto"/>
        <w:ind w:left="720" w:hanging="720"/>
        <w:jc w:val="left"/>
        <w:rPr>
          <w:szCs w:val="24"/>
          <w14:ligatures w14:val="standardContextual"/>
        </w:rPr>
      </w:pPr>
      <w:r w:rsidRPr="00A677D0">
        <w:rPr>
          <w:szCs w:val="24"/>
          <w14:ligatures w14:val="standardContextual"/>
        </w:rPr>
        <w:t xml:space="preserve">During the Non-Binding Season: Market Participants are required to offer Resources into the Day-Ahead Market greater than or equal to the Day-Ahead Must Offer Obligation described under Section of </w:t>
      </w:r>
      <w:r w:rsidRPr="00A677D0">
        <w:rPr>
          <w:szCs w:val="24"/>
          <w14:ligatures w14:val="standardContextual"/>
        </w:rPr>
        <w:fldChar w:fldCharType="begin"/>
      </w:r>
      <w:r w:rsidRPr="00A677D0">
        <w:rPr>
          <w:szCs w:val="24"/>
        </w:rPr>
        <w:instrText xml:space="preserve"> REF _Ref194666657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(A).</w:t>
      </w:r>
    </w:p>
    <w:p w14:paraId="32099317" w14:textId="1A3C319F" w:rsidR="00A677D0" w:rsidRPr="00A677D0" w:rsidRDefault="00A677D0" w:rsidP="00A677D0">
      <w:pPr>
        <w:numPr>
          <w:ilvl w:val="0"/>
          <w:numId w:val="93"/>
        </w:numPr>
        <w:spacing w:before="120" w:after="0" w:line="300" w:lineRule="auto"/>
        <w:ind w:left="1260" w:hanging="540"/>
        <w:jc w:val="left"/>
        <w:rPr>
          <w:szCs w:val="24"/>
          <w14:ligatures w14:val="standardContextual"/>
        </w:rPr>
      </w:pPr>
      <w:bookmarkStart w:id="757" w:name="_Hlk170461624"/>
      <w:r w:rsidRPr="00A677D0">
        <w:rPr>
          <w:szCs w:val="24"/>
          <w14:ligatures w14:val="standardContextual"/>
        </w:rPr>
        <w:t xml:space="preserve">The shortfall will be calculated as positive value of the difference between the Resource capacity required for each Hour detailed in </w:t>
      </w:r>
      <w:r w:rsidRPr="00A677D0">
        <w:rPr>
          <w:szCs w:val="24"/>
          <w14:ligatures w14:val="standardContextual"/>
        </w:rPr>
        <w:fldChar w:fldCharType="begin"/>
      </w:r>
      <w:r w:rsidRPr="00A677D0">
        <w:rPr>
          <w:szCs w:val="24"/>
        </w:rPr>
        <w:instrText xml:space="preserve"> REF _Ref194666691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4.2.1.1</w:t>
      </w:r>
      <w:r w:rsidRPr="00A677D0">
        <w:rPr>
          <w:szCs w:val="24"/>
          <w14:ligatures w14:val="standardContextual"/>
        </w:rPr>
        <w:fldChar w:fldCharType="end"/>
      </w:r>
      <w:r w:rsidRPr="00A677D0">
        <w:rPr>
          <w:szCs w:val="24"/>
          <w14:ligatures w14:val="standardContextual"/>
        </w:rPr>
        <w:t xml:space="preserve">(A), and the total Resource capacity offered for each Operating Hour. Any shortfall by a Market Participant will be assessed a penalty charge calculated as the MW shortfall times the penalty rate as further detailed in </w:t>
      </w:r>
      <w:r w:rsidR="00F662D4">
        <w:rPr>
          <w:szCs w:val="24"/>
          <w14:ligatures w14:val="standardContextual"/>
        </w:rPr>
        <w:t xml:space="preserve">the </w:t>
      </w:r>
      <w:r w:rsidR="00211F86" w:rsidRPr="00211F86">
        <w:rPr>
          <w:szCs w:val="24"/>
          <w14:ligatures w14:val="standardContextual"/>
        </w:rPr>
        <w:t>Markets+ Settlements Calculation Guide</w:t>
      </w:r>
      <w:r w:rsidRPr="00A677D0">
        <w:rPr>
          <w:szCs w:val="24"/>
          <w14:ligatures w14:val="standardContextual"/>
        </w:rPr>
        <w:t>.</w:t>
      </w:r>
    </w:p>
    <w:bookmarkEnd w:id="757"/>
    <w:p w14:paraId="345CAB07" w14:textId="77777777" w:rsidR="00A677D0" w:rsidRPr="00A677D0" w:rsidRDefault="00A677D0" w:rsidP="00A677D0">
      <w:pPr>
        <w:spacing w:line="300" w:lineRule="auto"/>
        <w:rPr>
          <w14:ligatures w14:val="standardContextual"/>
        </w:rPr>
      </w:pPr>
    </w:p>
    <w:p w14:paraId="621A04EE" w14:textId="0B80D4B8" w:rsidR="00A677D0" w:rsidRPr="00A677D0" w:rsidRDefault="00A677D0" w:rsidP="001E6D53">
      <w:pPr>
        <w:pStyle w:val="Heading4"/>
        <w:rPr>
          <w:b w:val="0"/>
          <w:bCs w:val="0"/>
          <w:kern w:val="2"/>
          <w:szCs w:val="24"/>
          <w14:ligatures w14:val="standardContextual"/>
        </w:rPr>
      </w:pPr>
      <w:bookmarkStart w:id="758" w:name="_Toc148704819"/>
      <w:bookmarkStart w:id="759" w:name="_Toc149557777"/>
      <w:bookmarkStart w:id="760" w:name="_Toc150785233"/>
      <w:bookmarkStart w:id="761" w:name="_Toc150854687"/>
      <w:bookmarkStart w:id="762" w:name="_Toc151991626"/>
      <w:bookmarkStart w:id="763" w:name="_Toc152334726"/>
      <w:bookmarkStart w:id="764" w:name="_Toc153271092"/>
      <w:bookmarkStart w:id="765" w:name="_Toc157500927"/>
      <w:bookmarkStart w:id="766" w:name="_Toc159232102"/>
      <w:bookmarkStart w:id="767" w:name="_Toc148704820"/>
      <w:bookmarkStart w:id="768" w:name="_Toc149557778"/>
      <w:bookmarkStart w:id="769" w:name="_Toc150785234"/>
      <w:bookmarkStart w:id="770" w:name="_Toc150854688"/>
      <w:bookmarkStart w:id="771" w:name="_Toc151991627"/>
      <w:bookmarkStart w:id="772" w:name="_Toc152334727"/>
      <w:bookmarkStart w:id="773" w:name="_Toc153271093"/>
      <w:bookmarkStart w:id="774" w:name="_Toc157500928"/>
      <w:bookmarkStart w:id="775" w:name="_Toc159232103"/>
      <w:bookmarkStart w:id="776" w:name="_Toc148704821"/>
      <w:bookmarkStart w:id="777" w:name="_Toc149557779"/>
      <w:bookmarkStart w:id="778" w:name="_Toc150785235"/>
      <w:bookmarkStart w:id="779" w:name="_Toc150854689"/>
      <w:bookmarkStart w:id="780" w:name="_Toc151991628"/>
      <w:bookmarkStart w:id="781" w:name="_Toc152334728"/>
      <w:bookmarkStart w:id="782" w:name="_Toc153271094"/>
      <w:bookmarkStart w:id="783" w:name="_Toc157500929"/>
      <w:bookmarkStart w:id="784" w:name="_Toc159232104"/>
      <w:bookmarkStart w:id="785" w:name="_Toc148704822"/>
      <w:bookmarkStart w:id="786" w:name="_Toc149557780"/>
      <w:bookmarkStart w:id="787" w:name="_Toc150785236"/>
      <w:bookmarkStart w:id="788" w:name="_Toc150854690"/>
      <w:bookmarkStart w:id="789" w:name="_Toc151991629"/>
      <w:bookmarkStart w:id="790" w:name="_Toc152334729"/>
      <w:bookmarkStart w:id="791" w:name="_Toc153271095"/>
      <w:bookmarkStart w:id="792" w:name="_Toc157500930"/>
      <w:bookmarkStart w:id="793" w:name="_Toc159232105"/>
      <w:bookmarkStart w:id="794" w:name="_Toc148704823"/>
      <w:bookmarkStart w:id="795" w:name="_Toc149557781"/>
      <w:bookmarkStart w:id="796" w:name="_Toc150785237"/>
      <w:bookmarkStart w:id="797" w:name="_Toc150854691"/>
      <w:bookmarkStart w:id="798" w:name="_Toc151991630"/>
      <w:bookmarkStart w:id="799" w:name="_Toc152334730"/>
      <w:bookmarkStart w:id="800" w:name="_Toc153271096"/>
      <w:bookmarkStart w:id="801" w:name="_Toc157500931"/>
      <w:bookmarkStart w:id="802" w:name="_Toc159232106"/>
      <w:bookmarkStart w:id="803" w:name="_Toc148704824"/>
      <w:bookmarkStart w:id="804" w:name="_Toc149557782"/>
      <w:bookmarkStart w:id="805" w:name="_Toc150785238"/>
      <w:bookmarkStart w:id="806" w:name="_Toc150854692"/>
      <w:bookmarkStart w:id="807" w:name="_Toc151991631"/>
      <w:bookmarkStart w:id="808" w:name="_Toc152334731"/>
      <w:bookmarkStart w:id="809" w:name="_Toc153271097"/>
      <w:bookmarkStart w:id="810" w:name="_Toc157500932"/>
      <w:bookmarkStart w:id="811" w:name="_Toc159232107"/>
      <w:bookmarkStart w:id="812" w:name="_Toc148704825"/>
      <w:bookmarkStart w:id="813" w:name="_Toc149557783"/>
      <w:bookmarkStart w:id="814" w:name="_Toc150785239"/>
      <w:bookmarkStart w:id="815" w:name="_Toc150854693"/>
      <w:bookmarkStart w:id="816" w:name="_Toc151991632"/>
      <w:bookmarkStart w:id="817" w:name="_Toc152334732"/>
      <w:bookmarkStart w:id="818" w:name="_Toc153271098"/>
      <w:bookmarkStart w:id="819" w:name="_Toc157500933"/>
      <w:bookmarkStart w:id="820" w:name="_Toc159232108"/>
      <w:bookmarkStart w:id="821" w:name="_Toc148704826"/>
      <w:bookmarkStart w:id="822" w:name="_Toc149557784"/>
      <w:bookmarkStart w:id="823" w:name="_Toc150785240"/>
      <w:bookmarkStart w:id="824" w:name="_Toc150854694"/>
      <w:bookmarkStart w:id="825" w:name="_Toc151991633"/>
      <w:bookmarkStart w:id="826" w:name="_Toc152334733"/>
      <w:bookmarkStart w:id="827" w:name="_Toc153271099"/>
      <w:bookmarkStart w:id="828" w:name="_Toc157500934"/>
      <w:bookmarkStart w:id="829" w:name="_Toc159232109"/>
      <w:bookmarkStart w:id="830" w:name="_Toc148704827"/>
      <w:bookmarkStart w:id="831" w:name="_Toc149557785"/>
      <w:bookmarkStart w:id="832" w:name="_Toc150785241"/>
      <w:bookmarkStart w:id="833" w:name="_Toc150854695"/>
      <w:bookmarkStart w:id="834" w:name="_Toc151991634"/>
      <w:bookmarkStart w:id="835" w:name="_Toc152334734"/>
      <w:bookmarkStart w:id="836" w:name="_Toc153271100"/>
      <w:bookmarkStart w:id="837" w:name="_Toc157500935"/>
      <w:bookmarkStart w:id="838" w:name="_Toc159232110"/>
      <w:bookmarkStart w:id="839" w:name="_Toc148704828"/>
      <w:bookmarkStart w:id="840" w:name="_Toc149557786"/>
      <w:bookmarkStart w:id="841" w:name="_Toc150785242"/>
      <w:bookmarkStart w:id="842" w:name="_Toc150854696"/>
      <w:bookmarkStart w:id="843" w:name="_Toc151991635"/>
      <w:bookmarkStart w:id="844" w:name="_Toc152334735"/>
      <w:bookmarkStart w:id="845" w:name="_Toc153271101"/>
      <w:bookmarkStart w:id="846" w:name="_Toc157500936"/>
      <w:bookmarkStart w:id="847" w:name="_Toc159232111"/>
      <w:bookmarkStart w:id="848" w:name="_Toc148704829"/>
      <w:bookmarkStart w:id="849" w:name="_Toc149557787"/>
      <w:bookmarkStart w:id="850" w:name="_Toc150785243"/>
      <w:bookmarkStart w:id="851" w:name="_Toc150854697"/>
      <w:bookmarkStart w:id="852" w:name="_Toc151991636"/>
      <w:bookmarkStart w:id="853" w:name="_Toc152334736"/>
      <w:bookmarkStart w:id="854" w:name="_Toc153271102"/>
      <w:bookmarkStart w:id="855" w:name="_Toc157500937"/>
      <w:bookmarkStart w:id="856" w:name="_Toc159232112"/>
      <w:bookmarkStart w:id="857" w:name="_Toc148704830"/>
      <w:bookmarkStart w:id="858" w:name="_Toc149557788"/>
      <w:bookmarkStart w:id="859" w:name="_Toc150785244"/>
      <w:bookmarkStart w:id="860" w:name="_Toc150854698"/>
      <w:bookmarkStart w:id="861" w:name="_Toc151991637"/>
      <w:bookmarkStart w:id="862" w:name="_Toc152334737"/>
      <w:bookmarkStart w:id="863" w:name="_Toc153271103"/>
      <w:bookmarkStart w:id="864" w:name="_Toc157500938"/>
      <w:bookmarkStart w:id="865" w:name="_Toc159232113"/>
      <w:bookmarkStart w:id="866" w:name="_Toc148704831"/>
      <w:bookmarkStart w:id="867" w:name="_Toc149557789"/>
      <w:bookmarkStart w:id="868" w:name="_Toc150785245"/>
      <w:bookmarkStart w:id="869" w:name="_Toc150854699"/>
      <w:bookmarkStart w:id="870" w:name="_Toc151991638"/>
      <w:bookmarkStart w:id="871" w:name="_Toc152334738"/>
      <w:bookmarkStart w:id="872" w:name="_Toc153271104"/>
      <w:bookmarkStart w:id="873" w:name="_Toc157500939"/>
      <w:bookmarkStart w:id="874" w:name="_Toc159232114"/>
      <w:bookmarkStart w:id="875" w:name="_Toc148704832"/>
      <w:bookmarkStart w:id="876" w:name="_Toc149557790"/>
      <w:bookmarkStart w:id="877" w:name="_Toc150785246"/>
      <w:bookmarkStart w:id="878" w:name="_Toc150854700"/>
      <w:bookmarkStart w:id="879" w:name="_Toc151991639"/>
      <w:bookmarkStart w:id="880" w:name="_Toc152334739"/>
      <w:bookmarkStart w:id="881" w:name="_Toc153271105"/>
      <w:bookmarkStart w:id="882" w:name="_Toc157500940"/>
      <w:bookmarkStart w:id="883" w:name="_Toc159232115"/>
      <w:bookmarkStart w:id="884" w:name="_Toc148704833"/>
      <w:bookmarkStart w:id="885" w:name="_Toc149557791"/>
      <w:bookmarkStart w:id="886" w:name="_Toc150785247"/>
      <w:bookmarkStart w:id="887" w:name="_Toc150854701"/>
      <w:bookmarkStart w:id="888" w:name="_Toc151991640"/>
      <w:bookmarkStart w:id="889" w:name="_Toc152334740"/>
      <w:bookmarkStart w:id="890" w:name="_Toc153271106"/>
      <w:bookmarkStart w:id="891" w:name="_Toc157500941"/>
      <w:bookmarkStart w:id="892" w:name="_Toc159232116"/>
      <w:bookmarkStart w:id="893" w:name="_Toc151991641"/>
      <w:bookmarkStart w:id="894" w:name="_Toc152334741"/>
      <w:bookmarkStart w:id="895" w:name="_Toc153271107"/>
      <w:bookmarkStart w:id="896" w:name="_Toc157500942"/>
      <w:bookmarkStart w:id="897" w:name="_Toc159232117"/>
      <w:bookmarkStart w:id="898" w:name="_Toc148704835"/>
      <w:bookmarkStart w:id="899" w:name="_Toc149557793"/>
      <w:bookmarkStart w:id="900" w:name="_Toc150785249"/>
      <w:bookmarkStart w:id="901" w:name="_Toc150854703"/>
      <w:bookmarkStart w:id="902" w:name="_Toc151991642"/>
      <w:bookmarkStart w:id="903" w:name="_Toc152334742"/>
      <w:bookmarkStart w:id="904" w:name="_Toc153271108"/>
      <w:bookmarkStart w:id="905" w:name="_Toc157500943"/>
      <w:bookmarkStart w:id="906" w:name="_Toc159232118"/>
      <w:bookmarkStart w:id="907" w:name="_Toc148704836"/>
      <w:bookmarkStart w:id="908" w:name="_Toc149557794"/>
      <w:bookmarkStart w:id="909" w:name="_Toc150785250"/>
      <w:bookmarkStart w:id="910" w:name="_Toc150854704"/>
      <w:bookmarkStart w:id="911" w:name="_Toc151991643"/>
      <w:bookmarkStart w:id="912" w:name="_Toc152334743"/>
      <w:bookmarkStart w:id="913" w:name="_Toc153271109"/>
      <w:bookmarkStart w:id="914" w:name="_Toc157500944"/>
      <w:bookmarkStart w:id="915" w:name="_Toc159232119"/>
      <w:bookmarkStart w:id="916" w:name="_Toc148704837"/>
      <w:bookmarkStart w:id="917" w:name="_Toc149557795"/>
      <w:bookmarkStart w:id="918" w:name="_Toc150785251"/>
      <w:bookmarkStart w:id="919" w:name="_Toc150854705"/>
      <w:bookmarkStart w:id="920" w:name="_Toc151991644"/>
      <w:bookmarkStart w:id="921" w:name="_Toc152334744"/>
      <w:bookmarkStart w:id="922" w:name="_Toc153271110"/>
      <w:bookmarkStart w:id="923" w:name="_Toc157500945"/>
      <w:bookmarkStart w:id="924" w:name="_Toc159232120"/>
      <w:bookmarkStart w:id="925" w:name="_Toc148704838"/>
      <w:bookmarkStart w:id="926" w:name="_Toc149557796"/>
      <w:bookmarkStart w:id="927" w:name="_Toc150785252"/>
      <w:bookmarkStart w:id="928" w:name="_Toc150854706"/>
      <w:bookmarkStart w:id="929" w:name="_Toc151991645"/>
      <w:bookmarkStart w:id="930" w:name="_Toc152334745"/>
      <w:bookmarkStart w:id="931" w:name="_Toc153271111"/>
      <w:bookmarkStart w:id="932" w:name="_Toc157500946"/>
      <w:bookmarkStart w:id="933" w:name="_Toc159232121"/>
      <w:bookmarkStart w:id="934" w:name="_Toc148704839"/>
      <w:bookmarkStart w:id="935" w:name="_Toc149557797"/>
      <w:bookmarkStart w:id="936" w:name="_Toc150785253"/>
      <w:bookmarkStart w:id="937" w:name="_Toc150854707"/>
      <w:bookmarkStart w:id="938" w:name="_Toc151991646"/>
      <w:bookmarkStart w:id="939" w:name="_Toc152334746"/>
      <w:bookmarkStart w:id="940" w:name="_Toc153271112"/>
      <w:bookmarkStart w:id="941" w:name="_Toc157500947"/>
      <w:bookmarkStart w:id="942" w:name="_Toc159232122"/>
      <w:bookmarkStart w:id="943" w:name="_Toc148704840"/>
      <w:bookmarkStart w:id="944" w:name="_Toc149557798"/>
      <w:bookmarkStart w:id="945" w:name="_Toc150785254"/>
      <w:bookmarkStart w:id="946" w:name="_Toc150854708"/>
      <w:bookmarkStart w:id="947" w:name="_Toc151991647"/>
      <w:bookmarkStart w:id="948" w:name="_Toc152334747"/>
      <w:bookmarkStart w:id="949" w:name="_Toc153271113"/>
      <w:bookmarkStart w:id="950" w:name="_Toc157500948"/>
      <w:bookmarkStart w:id="951" w:name="_Toc159232123"/>
      <w:bookmarkStart w:id="952" w:name="_Toc148704841"/>
      <w:bookmarkStart w:id="953" w:name="_Toc149557799"/>
      <w:bookmarkStart w:id="954" w:name="_Toc150785255"/>
      <w:bookmarkStart w:id="955" w:name="_Toc150854709"/>
      <w:bookmarkStart w:id="956" w:name="_Toc151991648"/>
      <w:bookmarkStart w:id="957" w:name="_Toc152334748"/>
      <w:bookmarkStart w:id="958" w:name="_Toc153271114"/>
      <w:bookmarkStart w:id="959" w:name="_Toc157500949"/>
      <w:bookmarkStart w:id="960" w:name="_Toc159232124"/>
      <w:bookmarkStart w:id="961" w:name="_Toc148704842"/>
      <w:bookmarkStart w:id="962" w:name="_Toc149557800"/>
      <w:bookmarkStart w:id="963" w:name="_Toc150785256"/>
      <w:bookmarkStart w:id="964" w:name="_Toc150854710"/>
      <w:bookmarkStart w:id="965" w:name="_Toc151991649"/>
      <w:bookmarkStart w:id="966" w:name="_Toc152334749"/>
      <w:bookmarkStart w:id="967" w:name="_Toc153271115"/>
      <w:bookmarkStart w:id="968" w:name="_Toc157500950"/>
      <w:bookmarkStart w:id="969" w:name="_Toc159232125"/>
      <w:bookmarkStart w:id="970" w:name="_Toc148704843"/>
      <w:bookmarkStart w:id="971" w:name="_Toc149557801"/>
      <w:bookmarkStart w:id="972" w:name="_Toc150785257"/>
      <w:bookmarkStart w:id="973" w:name="_Toc150854711"/>
      <w:bookmarkStart w:id="974" w:name="_Toc151991650"/>
      <w:bookmarkStart w:id="975" w:name="_Toc152334750"/>
      <w:bookmarkStart w:id="976" w:name="_Toc153271116"/>
      <w:bookmarkStart w:id="977" w:name="_Toc157500951"/>
      <w:bookmarkStart w:id="978" w:name="_Toc159232126"/>
      <w:bookmarkStart w:id="979" w:name="_Toc151991651"/>
      <w:bookmarkStart w:id="980" w:name="_Toc152334751"/>
      <w:bookmarkStart w:id="981" w:name="_Toc153271117"/>
      <w:bookmarkStart w:id="982" w:name="_Toc157500952"/>
      <w:bookmarkStart w:id="983" w:name="_Toc159232127"/>
      <w:bookmarkStart w:id="984" w:name="_Toc193032529"/>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A677D0">
        <w:t>Real-Time Balancing Market Must Offer Obligation</w:t>
      </w:r>
      <w:bookmarkEnd w:id="984"/>
    </w:p>
    <w:p w14:paraId="1B3C130D" w14:textId="77777777" w:rsidR="00A677D0" w:rsidRPr="00A677D0" w:rsidRDefault="00A677D0" w:rsidP="00A677D0">
      <w:pPr>
        <w:spacing w:before="120" w:line="300" w:lineRule="auto"/>
        <w:rPr>
          <w14:ligatures w14:val="standardContextual"/>
        </w:rPr>
      </w:pPr>
      <w:r w:rsidRPr="00A677D0">
        <w:rPr>
          <w:szCs w:val="24"/>
          <w14:ligatures w14:val="standardContextual"/>
        </w:rPr>
        <w:t xml:space="preserve">For the Real Time Balancing Market, Market Participants must offer the same minimum amount of Resource capacity awarded for the Day-Ahead Market and for the first RUC process to allow the market to solve from a baseline point to evaluate all subsequent Dispatch Intervals within Operating Hours for that Operating Day.  The </w:t>
      </w:r>
      <w:r w:rsidRPr="00A677D0">
        <w:rPr>
          <w14:ligatures w14:val="standardContextual"/>
        </w:rPr>
        <w:t xml:space="preserve">Must-Offer Obligation can be met by self-schedule Energy only, a combination of self-schedule Energy and economic offer range, or economic offer range only, by offering Resources with a </w:t>
      </w:r>
      <w:r w:rsidRPr="00A677D0">
        <w:rPr>
          <w:szCs w:val="24"/>
          <w14:ligatures w14:val="standardContextual"/>
        </w:rPr>
        <w:t>Commitment Status of Market, Self, or Reliability Must Run</w:t>
      </w:r>
      <w:r w:rsidRPr="00A677D0">
        <w:rPr>
          <w14:ligatures w14:val="standardContextual"/>
        </w:rPr>
        <w:t xml:space="preserve">.  </w:t>
      </w:r>
    </w:p>
    <w:p w14:paraId="6AB3A579" w14:textId="77777777" w:rsidR="00A677D0" w:rsidRPr="00A677D0" w:rsidRDefault="00A677D0" w:rsidP="00A677D0">
      <w:pPr>
        <w:spacing w:before="120" w:line="300" w:lineRule="auto"/>
        <w:rPr>
          <w:szCs w:val="24"/>
          <w14:ligatures w14:val="standardContextual"/>
        </w:rPr>
      </w:pPr>
      <w:r w:rsidRPr="00A677D0">
        <w:rPr>
          <w:szCs w:val="24"/>
          <w14:ligatures w14:val="standardContextual"/>
        </w:rPr>
        <w:t xml:space="preserve">After satisfying the RTBM </w:t>
      </w:r>
      <w:r w:rsidRPr="00A677D0">
        <w:rPr>
          <w14:ligatures w14:val="standardContextual"/>
        </w:rPr>
        <w:t>Must-Offer Obligation</w:t>
      </w:r>
      <w:r w:rsidRPr="00A677D0">
        <w:rPr>
          <w:szCs w:val="24"/>
          <w14:ligatures w14:val="standardContextual"/>
        </w:rPr>
        <w:t xml:space="preserve">, a Market Participant may offer any remaining Energy or capacity to the market at its discretion for purposes of its Must Offer Obligation.  A Market Participant’s </w:t>
      </w:r>
      <w:r w:rsidRPr="00A677D0">
        <w:rPr>
          <w14:ligatures w14:val="standardContextual"/>
        </w:rPr>
        <w:t xml:space="preserve">Must-Offer Obligation </w:t>
      </w:r>
      <w:r w:rsidRPr="00A677D0">
        <w:rPr>
          <w:szCs w:val="24"/>
          <w14:ligatures w14:val="standardContextual"/>
        </w:rPr>
        <w:t xml:space="preserve">is the lesser of the amount described in 4.2.1.2 (A) or the amount described in 4.2.1.2 (B).  </w:t>
      </w:r>
    </w:p>
    <w:p w14:paraId="08E0054D" w14:textId="77777777" w:rsidR="00A677D0" w:rsidRPr="00A677D0" w:rsidRDefault="00A677D0" w:rsidP="00A677D0">
      <w:pPr>
        <w:numPr>
          <w:ilvl w:val="0"/>
          <w:numId w:val="95"/>
        </w:numPr>
        <w:spacing w:before="120" w:after="0" w:line="300" w:lineRule="auto"/>
        <w:ind w:left="720" w:hanging="720"/>
        <w:jc w:val="left"/>
        <w:rPr>
          <w:szCs w:val="24"/>
          <w14:ligatures w14:val="standardContextual"/>
        </w:rPr>
      </w:pPr>
      <w:r w:rsidRPr="00A677D0">
        <w:rPr>
          <w:b/>
          <w:bCs/>
          <w:szCs w:val="24"/>
          <w14:ligatures w14:val="standardContextual"/>
        </w:rPr>
        <w:t>RTBM Must Offer Obligation:</w:t>
      </w:r>
      <w:r w:rsidRPr="00A677D0">
        <w:rPr>
          <w:szCs w:val="24"/>
          <w14:ligatures w14:val="standardContextual"/>
        </w:rPr>
        <w:t xml:space="preserve"> The hourly obligation for each participant is met by offering sufficient resources, as follows.  </w:t>
      </w:r>
    </w:p>
    <w:p w14:paraId="1538157F" w14:textId="77777777" w:rsidR="00A677D0" w:rsidRPr="00A677D0" w:rsidRDefault="00A677D0" w:rsidP="00A677D0">
      <w:pPr>
        <w:numPr>
          <w:ilvl w:val="1"/>
          <w:numId w:val="58"/>
        </w:numPr>
        <w:spacing w:before="120" w:after="0" w:line="300" w:lineRule="auto"/>
        <w:jc w:val="left"/>
        <w:rPr>
          <w14:ligatures w14:val="standardContextual"/>
        </w:rPr>
      </w:pPr>
      <w:r w:rsidRPr="00A677D0">
        <w:rPr>
          <w:b/>
          <w:bCs/>
          <w14:ligatures w14:val="standardContextual"/>
        </w:rPr>
        <w:t>Cleared Day-Ahead Market Resource Awards</w:t>
      </w:r>
      <w:r w:rsidRPr="00A677D0">
        <w:rPr>
          <w14:ligatures w14:val="standardContextual"/>
        </w:rPr>
        <w:t xml:space="preserve">.  Hourly Resource awards will be posted for Resources that cleared in the Day-Ahead Market; these results are Cleared Resource Offers from the Day-Ahead Market, and will be posted for consumption by the Market Operator to the Market Participants following the timeline in Section </w:t>
      </w:r>
      <w:r w:rsidRPr="00A677D0">
        <w:rPr>
          <w14:ligatures w14:val="standardContextual"/>
        </w:rPr>
        <w:fldChar w:fldCharType="begin"/>
      </w:r>
      <w:r w:rsidRPr="00A677D0">
        <w:instrText xml:space="preserve"> REF _Ref194666779 \r \h </w:instrText>
      </w:r>
      <w:r w:rsidRPr="00A677D0">
        <w:rPr>
          <w14:ligatures w14:val="standardContextual"/>
        </w:rPr>
      </w:r>
      <w:r w:rsidRPr="00A677D0">
        <w:rPr>
          <w14:ligatures w14:val="standardContextual"/>
        </w:rPr>
        <w:fldChar w:fldCharType="separate"/>
      </w:r>
      <w:r w:rsidRPr="00A677D0">
        <w:rPr>
          <w14:ligatures w14:val="standardContextual"/>
        </w:rPr>
        <w:t>4.3.1</w:t>
      </w:r>
      <w:r w:rsidRPr="00A677D0">
        <w:rPr>
          <w14:ligatures w14:val="standardContextual"/>
        </w:rPr>
        <w:fldChar w:fldCharType="end"/>
      </w:r>
      <w:r w:rsidRPr="00A677D0">
        <w:rPr>
          <w14:ligatures w14:val="standardContextual"/>
        </w:rPr>
        <w:t xml:space="preserve">.  The MW sum of these hourly Energy awards serve as the basis for Real-Time Must Offer Obligation compliance.  </w:t>
      </w:r>
    </w:p>
    <w:p w14:paraId="239D574B" w14:textId="77777777" w:rsidR="00A677D0" w:rsidRPr="00A677D0" w:rsidRDefault="00A677D0" w:rsidP="00A677D0">
      <w:pPr>
        <w:numPr>
          <w:ilvl w:val="1"/>
          <w:numId w:val="58"/>
        </w:numPr>
        <w:spacing w:before="120" w:after="0" w:line="300" w:lineRule="auto"/>
        <w:jc w:val="left"/>
        <w:rPr>
          <w14:ligatures w14:val="standardContextual"/>
        </w:rPr>
      </w:pPr>
      <w:r w:rsidRPr="00A677D0">
        <w:rPr>
          <w:b/>
          <w:bCs/>
          <w14:ligatures w14:val="standardContextual"/>
        </w:rPr>
        <w:t>Day-Ahead Flexibility Reserve Product Award Obligations.</w:t>
      </w:r>
      <w:r w:rsidRPr="00A677D0">
        <w:rPr>
          <w14:ligatures w14:val="standardContextual"/>
        </w:rPr>
        <w:t xml:space="preserve"> The Day-Ahead Market will produce hourly Cleared Flexibility Reserve Product awards, both Short-Term Flex Up and Mid-Term Flex Up, and will be posted by the Market Operator to the Market Participants.  These hourly Cleared Flexibility Reserve Product awards serve as the basis for Real-Time Must Offer Obligation compliance. For Must Offer Obligation purposes, Asset Owners’ Cleared Flexibility Reserve Product obligations will be summed and assessed at the Market Participant level. Flexibility Reserve Products will be calculated on a Markets+ Footprint basis and Reserve Zone basis.  </w:t>
      </w:r>
    </w:p>
    <w:p w14:paraId="662AADE3" w14:textId="77777777" w:rsidR="00A677D0" w:rsidRPr="00A677D0" w:rsidRDefault="00A677D0" w:rsidP="00A677D0">
      <w:pPr>
        <w:numPr>
          <w:ilvl w:val="1"/>
          <w:numId w:val="58"/>
        </w:numPr>
        <w:spacing w:before="120" w:after="0" w:line="300" w:lineRule="auto"/>
        <w:jc w:val="left"/>
        <w:rPr>
          <w:szCs w:val="24"/>
          <w14:ligatures w14:val="standardContextual"/>
        </w:rPr>
      </w:pPr>
      <w:r w:rsidRPr="00A677D0">
        <w:rPr>
          <w:b/>
          <w:bCs/>
          <w:szCs w:val="24"/>
          <w14:ligatures w14:val="standardContextual"/>
        </w:rPr>
        <w:t>Reliability Unit Commitment Awards</w:t>
      </w:r>
      <w:r w:rsidRPr="00A677D0">
        <w:rPr>
          <w:szCs w:val="24"/>
          <w14:ligatures w14:val="standardContextual"/>
        </w:rPr>
        <w:t xml:space="preserve">. Any incremental MW quantity associated with Energy or Flexibility Reserve Product commitments resulting from the first RUC process after the Day-Ahead Market closes will serve as the basis for the real-time </w:t>
      </w:r>
      <w:r w:rsidRPr="00A677D0">
        <w:rPr>
          <w14:ligatures w14:val="standardContextual"/>
        </w:rPr>
        <w:t xml:space="preserve">Must-Offer Obligation </w:t>
      </w:r>
      <w:r w:rsidRPr="00A677D0">
        <w:rPr>
          <w:szCs w:val="24"/>
          <w14:ligatures w14:val="standardContextual"/>
        </w:rPr>
        <w:t xml:space="preserve">compliance. </w:t>
      </w:r>
    </w:p>
    <w:p w14:paraId="0E5DCEE9" w14:textId="77777777" w:rsidR="00A677D0" w:rsidRPr="00A677D0" w:rsidRDefault="00A677D0" w:rsidP="00A677D0">
      <w:pPr>
        <w:numPr>
          <w:ilvl w:val="1"/>
          <w:numId w:val="58"/>
        </w:numPr>
        <w:spacing w:before="120" w:after="0" w:line="300" w:lineRule="auto"/>
        <w:jc w:val="left"/>
        <w:rPr>
          <w14:ligatures w14:val="standardContextual"/>
        </w:rPr>
      </w:pPr>
      <w:r w:rsidRPr="00A677D0">
        <w:rPr>
          <w:b/>
          <w:bCs/>
          <w14:ligatures w14:val="standardContextual"/>
        </w:rPr>
        <w:t>WRAP Operations Program Hourly Holdback Change.</w:t>
      </w:r>
      <w:r w:rsidRPr="00A677D0">
        <w:rPr>
          <w14:ligatures w14:val="standardContextual"/>
        </w:rPr>
        <w:t xml:space="preserve"> For WRAP holdback transactions with a source or a sink external to the Markets+ footprint, the holdback change is equal to the quantity (MW) of deployed holdback Energy not already accounted for in the Day-Ahead Market represented on an Energy Schedule. For the RTBM, deployed holdback Energy must be tagged and delivered in accordance with the requirements of the WRAP Operations Program.  For WRAP holdback transactions that both source and sink within the Markets+ footprint this quantity is equal to Zero MW.  This term is only applicable during the binding season.</w:t>
      </w:r>
    </w:p>
    <w:p w14:paraId="3FD77445" w14:textId="77777777" w:rsidR="00A677D0" w:rsidRPr="00A677D0" w:rsidRDefault="00A677D0" w:rsidP="00A677D0">
      <w:pPr>
        <w:numPr>
          <w:ilvl w:val="1"/>
          <w:numId w:val="58"/>
        </w:numPr>
        <w:spacing w:before="120" w:after="0" w:line="300" w:lineRule="auto"/>
        <w:jc w:val="left"/>
        <w:rPr>
          <w14:ligatures w14:val="standardContextual"/>
        </w:rPr>
      </w:pPr>
      <w:r w:rsidRPr="00A677D0">
        <w:rPr>
          <w:b/>
          <w:bCs/>
          <w14:ligatures w14:val="standardContextual"/>
        </w:rPr>
        <w:t>Net Position Change.</w:t>
      </w:r>
      <w:r w:rsidRPr="00A677D0">
        <w:rPr>
          <w14:ligatures w14:val="standardContextual"/>
        </w:rPr>
        <w:t xml:space="preserve">  The Net Position change is the sum of each Market Participant’s purchases and sales contracts and transfers not accounted for in the Day-Ahead Market as represented by e-Tags; this data will be provided by the Market Participant. The Net Position change includes High Priority Transactions representing interchange import transactions and export transactions to or from the Markets + Footprint not accounted for in the Day-Ahead Market but does not include uncommitted import or export transactions.  If a Market Participant seeks to include a High Priority Transaction in its net position, that transaction must meet the requirements of a qualifying e-Tag, detailed in Sections </w:t>
      </w:r>
      <w:r w:rsidRPr="00A677D0">
        <w:rPr>
          <w14:ligatures w14:val="standardContextual"/>
        </w:rPr>
        <w:fldChar w:fldCharType="begin"/>
      </w:r>
      <w:r w:rsidRPr="00A677D0">
        <w:instrText xml:space="preserve"> REF _Ref194666814 \r \h </w:instrText>
      </w:r>
      <w:r w:rsidRPr="00A677D0">
        <w:rPr>
          <w14:ligatures w14:val="standardContextual"/>
        </w:rPr>
      </w:r>
      <w:r w:rsidRPr="00A677D0">
        <w:rPr>
          <w14:ligatures w14:val="standardContextual"/>
        </w:rPr>
        <w:fldChar w:fldCharType="separate"/>
      </w:r>
      <w:r w:rsidRPr="00A677D0">
        <w:rPr>
          <w14:ligatures w14:val="standardContextual"/>
        </w:rPr>
        <w:t>4.2.2.7</w:t>
      </w:r>
      <w:r w:rsidRPr="00A677D0">
        <w:rPr>
          <w14:ligatures w14:val="standardContextual"/>
        </w:rPr>
        <w:fldChar w:fldCharType="end"/>
      </w:r>
      <w:r w:rsidRPr="00A677D0">
        <w:rPr>
          <w14:ligatures w14:val="standardContextual"/>
        </w:rPr>
        <w:t xml:space="preserve"> and </w:t>
      </w:r>
      <w:r w:rsidRPr="00A677D0">
        <w:rPr>
          <w14:ligatures w14:val="standardContextual"/>
        </w:rPr>
        <w:fldChar w:fldCharType="begin"/>
      </w:r>
      <w:r w:rsidRPr="00A677D0">
        <w:instrText xml:space="preserve"> REF _Ref194666851 \r \h </w:instrText>
      </w:r>
      <w:r w:rsidRPr="00A677D0">
        <w:rPr>
          <w14:ligatures w14:val="standardContextual"/>
        </w:rPr>
      </w:r>
      <w:r w:rsidRPr="00A677D0">
        <w:rPr>
          <w14:ligatures w14:val="standardContextual"/>
        </w:rPr>
        <w:fldChar w:fldCharType="separate"/>
      </w:r>
      <w:r w:rsidRPr="00A677D0">
        <w:rPr>
          <w14:ligatures w14:val="standardContextual"/>
        </w:rPr>
        <w:t>4.2.3.3</w:t>
      </w:r>
      <w:r w:rsidRPr="00A677D0">
        <w:rPr>
          <w14:ligatures w14:val="standardContextual"/>
        </w:rPr>
        <w:fldChar w:fldCharType="end"/>
      </w:r>
      <w:r w:rsidRPr="00A677D0">
        <w:rPr>
          <w14:ligatures w14:val="standardContextual"/>
        </w:rPr>
        <w:t xml:space="preserve">. For clarity, any Energy deployed via the WRAP holdback will not count towards the Net Position Change for the purpose of calculating the RTBM Must Offer Obligation.  </w:t>
      </w:r>
    </w:p>
    <w:p w14:paraId="47945AAD" w14:textId="77777777" w:rsidR="00A677D0" w:rsidRPr="00A677D0" w:rsidRDefault="00A677D0" w:rsidP="00A677D0">
      <w:pPr>
        <w:numPr>
          <w:ilvl w:val="1"/>
          <w:numId w:val="58"/>
        </w:numPr>
        <w:spacing w:before="120" w:after="0" w:line="300" w:lineRule="auto"/>
        <w:jc w:val="left"/>
        <w:rPr>
          <w14:ligatures w14:val="standardContextual"/>
        </w:rPr>
      </w:pPr>
      <w:r w:rsidRPr="00A677D0">
        <w:rPr>
          <w:b/>
          <w:bCs/>
          <w14:ligatures w14:val="standardContextual"/>
        </w:rPr>
        <w:t xml:space="preserve">MSRs Self-Charge Schedule Change. </w:t>
      </w:r>
      <w:r w:rsidRPr="00A677D0">
        <w:rPr>
          <w14:ligatures w14:val="standardContextual"/>
        </w:rPr>
        <w:t xml:space="preserve"> The MSR self-charge change is the  difference between the Real-Time MSR Self-Committed to Charge MW the Day-Ahead Market MSR Self-Committed to Charge MW.</w:t>
      </w:r>
    </w:p>
    <w:p w14:paraId="21676FFF" w14:textId="77777777" w:rsidR="00A677D0" w:rsidRPr="00A677D0" w:rsidRDefault="00A677D0" w:rsidP="00A677D0">
      <w:pPr>
        <w:spacing w:before="120" w:line="300" w:lineRule="auto"/>
        <w:ind w:left="720"/>
        <w:rPr>
          <w14:ligatures w14:val="standardContextual"/>
        </w:rPr>
      </w:pPr>
      <w:r w:rsidRPr="00A677D0">
        <w:rPr>
          <w14:ligatures w14:val="standardContextual"/>
        </w:rPr>
        <w:t xml:space="preserve">Hourly Real Time Balancing Market Must Offer Obligations. For Each Operating Hour in the Real Time Balancing Market, the amount of Resource capacity that a Market Participant must offer to Markets+ consists of the sum of 1 through 6 below:  </w:t>
      </w:r>
    </w:p>
    <w:p w14:paraId="1840589D" w14:textId="77777777" w:rsidR="00A677D0" w:rsidRPr="00A677D0" w:rsidRDefault="00A677D0" w:rsidP="00A677D0">
      <w:pPr>
        <w:spacing w:before="120" w:line="300" w:lineRule="auto"/>
        <w:ind w:left="720"/>
        <w:rPr>
          <w14:ligatures w14:val="standardContextual"/>
        </w:rPr>
      </w:pPr>
    </w:p>
    <w:tbl>
      <w:tblPr>
        <w:tblStyle w:val="TableGrid7"/>
        <w:tblW w:w="0" w:type="auto"/>
        <w:tblLook w:val="04A0" w:firstRow="1" w:lastRow="0" w:firstColumn="1" w:lastColumn="0" w:noHBand="0" w:noVBand="1"/>
      </w:tblPr>
      <w:tblGrid>
        <w:gridCol w:w="445"/>
        <w:gridCol w:w="6480"/>
        <w:gridCol w:w="2425"/>
      </w:tblGrid>
      <w:tr w:rsidR="00A677D0" w:rsidRPr="00A677D0" w14:paraId="30119ECC" w14:textId="77777777">
        <w:trPr>
          <w:cantSplit/>
          <w:trHeight w:val="300"/>
        </w:trPr>
        <w:tc>
          <w:tcPr>
            <w:tcW w:w="445" w:type="dxa"/>
          </w:tcPr>
          <w:p w14:paraId="779443BE" w14:textId="77777777" w:rsidR="00A677D0" w:rsidRPr="00A677D0" w:rsidRDefault="00A677D0" w:rsidP="00A677D0">
            <w:pPr>
              <w:spacing w:before="120" w:after="0"/>
              <w:jc w:val="left"/>
              <w:rPr>
                <w:bCs/>
                <w:kern w:val="2"/>
                <w:szCs w:val="24"/>
              </w:rPr>
            </w:pPr>
          </w:p>
        </w:tc>
        <w:tc>
          <w:tcPr>
            <w:tcW w:w="6480" w:type="dxa"/>
          </w:tcPr>
          <w:p w14:paraId="0DF7BF85" w14:textId="77777777" w:rsidR="00A677D0" w:rsidRPr="00A677D0" w:rsidRDefault="00A677D0" w:rsidP="00A677D0">
            <w:pPr>
              <w:spacing w:before="120" w:after="0"/>
              <w:jc w:val="left"/>
              <w:rPr>
                <w:bCs/>
                <w:kern w:val="2"/>
                <w:szCs w:val="24"/>
              </w:rPr>
            </w:pPr>
            <w:r w:rsidRPr="00A677D0">
              <w:rPr>
                <w:bCs/>
                <w:kern w:val="2"/>
                <w:szCs w:val="24"/>
              </w:rPr>
              <w:t>Real-Time Balancing Market Must Offer Components</w:t>
            </w:r>
          </w:p>
        </w:tc>
        <w:tc>
          <w:tcPr>
            <w:tcW w:w="2425" w:type="dxa"/>
          </w:tcPr>
          <w:p w14:paraId="747B0F94" w14:textId="77777777" w:rsidR="00A677D0" w:rsidRPr="00A677D0" w:rsidRDefault="00A677D0" w:rsidP="00A677D0">
            <w:pPr>
              <w:spacing w:before="120" w:after="0"/>
              <w:jc w:val="left"/>
              <w:rPr>
                <w:bCs/>
                <w:kern w:val="2"/>
                <w:szCs w:val="24"/>
              </w:rPr>
            </w:pPr>
            <w:r w:rsidRPr="00A677D0">
              <w:rPr>
                <w:bCs/>
                <w:kern w:val="2"/>
                <w:szCs w:val="24"/>
              </w:rPr>
              <w:t>Hourly MW Amount</w:t>
            </w:r>
          </w:p>
        </w:tc>
      </w:tr>
      <w:tr w:rsidR="00A677D0" w:rsidRPr="00A677D0" w14:paraId="17DCBBE0" w14:textId="77777777">
        <w:trPr>
          <w:trHeight w:val="300"/>
        </w:trPr>
        <w:tc>
          <w:tcPr>
            <w:tcW w:w="445" w:type="dxa"/>
          </w:tcPr>
          <w:p w14:paraId="2F05BFAB" w14:textId="77777777" w:rsidR="00A677D0" w:rsidRPr="00A677D0" w:rsidRDefault="00A677D0" w:rsidP="00A677D0">
            <w:pPr>
              <w:spacing w:before="120" w:after="0"/>
              <w:jc w:val="left"/>
              <w:rPr>
                <w:bCs/>
                <w:kern w:val="2"/>
                <w:szCs w:val="24"/>
              </w:rPr>
            </w:pPr>
            <w:r w:rsidRPr="00A677D0">
              <w:rPr>
                <w:bCs/>
                <w:kern w:val="2"/>
                <w:szCs w:val="24"/>
              </w:rPr>
              <w:t>1</w:t>
            </w:r>
          </w:p>
        </w:tc>
        <w:tc>
          <w:tcPr>
            <w:tcW w:w="6480" w:type="dxa"/>
          </w:tcPr>
          <w:p w14:paraId="0A96C882" w14:textId="77777777" w:rsidR="00A677D0" w:rsidRPr="00A677D0" w:rsidRDefault="00A677D0" w:rsidP="00A677D0">
            <w:pPr>
              <w:spacing w:before="120" w:after="0"/>
              <w:jc w:val="left"/>
              <w:rPr>
                <w:kern w:val="2"/>
                <w:szCs w:val="24"/>
              </w:rPr>
            </w:pPr>
            <w:r w:rsidRPr="00A677D0">
              <w:rPr>
                <w:kern w:val="2"/>
                <w:szCs w:val="24"/>
              </w:rPr>
              <w:t>Hourly Cleared Day-Ahead Market Energy schedules</w:t>
            </w:r>
          </w:p>
        </w:tc>
        <w:tc>
          <w:tcPr>
            <w:tcW w:w="2425" w:type="dxa"/>
          </w:tcPr>
          <w:p w14:paraId="5596DE58" w14:textId="77777777" w:rsidR="00A677D0" w:rsidRPr="00A677D0" w:rsidRDefault="00A677D0" w:rsidP="00A677D0">
            <w:pPr>
              <w:spacing w:before="120" w:after="0"/>
              <w:jc w:val="left"/>
              <w:rPr>
                <w:kern w:val="2"/>
                <w:szCs w:val="24"/>
              </w:rPr>
            </w:pPr>
          </w:p>
        </w:tc>
      </w:tr>
      <w:tr w:rsidR="00A677D0" w:rsidRPr="00A677D0" w14:paraId="5AC3921A" w14:textId="77777777">
        <w:trPr>
          <w:trHeight w:val="300"/>
        </w:trPr>
        <w:tc>
          <w:tcPr>
            <w:tcW w:w="445" w:type="dxa"/>
          </w:tcPr>
          <w:p w14:paraId="0A20350E" w14:textId="77777777" w:rsidR="00A677D0" w:rsidRPr="00A677D0" w:rsidRDefault="00A677D0" w:rsidP="00A677D0">
            <w:pPr>
              <w:spacing w:before="120" w:after="0"/>
              <w:ind w:hanging="23"/>
              <w:jc w:val="left"/>
              <w:rPr>
                <w:bCs/>
                <w:kern w:val="2"/>
                <w:szCs w:val="24"/>
              </w:rPr>
            </w:pPr>
            <w:r w:rsidRPr="00A677D0">
              <w:rPr>
                <w:bCs/>
                <w:kern w:val="2"/>
                <w:szCs w:val="24"/>
              </w:rPr>
              <w:t>2</w:t>
            </w:r>
          </w:p>
        </w:tc>
        <w:tc>
          <w:tcPr>
            <w:tcW w:w="6480" w:type="dxa"/>
          </w:tcPr>
          <w:p w14:paraId="10A001CD" w14:textId="77777777" w:rsidR="00A677D0" w:rsidRPr="00A677D0" w:rsidRDefault="00A677D0" w:rsidP="00A677D0">
            <w:pPr>
              <w:spacing w:before="120" w:after="0"/>
              <w:ind w:hanging="23"/>
              <w:jc w:val="left"/>
              <w:rPr>
                <w:kern w:val="2"/>
                <w:szCs w:val="24"/>
              </w:rPr>
            </w:pPr>
            <w:r w:rsidRPr="00A677D0">
              <w:rPr>
                <w:kern w:val="2"/>
                <w:szCs w:val="24"/>
              </w:rPr>
              <w:t>Hourly Day-Ahead Flexibility Reserve Product award obligations</w:t>
            </w:r>
          </w:p>
        </w:tc>
        <w:tc>
          <w:tcPr>
            <w:tcW w:w="2425" w:type="dxa"/>
          </w:tcPr>
          <w:p w14:paraId="6571D349" w14:textId="77777777" w:rsidR="00A677D0" w:rsidRPr="00A677D0" w:rsidRDefault="00A677D0" w:rsidP="00A677D0">
            <w:pPr>
              <w:spacing w:before="120" w:after="0"/>
              <w:jc w:val="left"/>
              <w:rPr>
                <w:kern w:val="2"/>
                <w:szCs w:val="24"/>
              </w:rPr>
            </w:pPr>
          </w:p>
        </w:tc>
      </w:tr>
      <w:tr w:rsidR="00A677D0" w:rsidRPr="00A677D0" w14:paraId="268F8310" w14:textId="77777777">
        <w:trPr>
          <w:cantSplit/>
          <w:trHeight w:val="300"/>
        </w:trPr>
        <w:tc>
          <w:tcPr>
            <w:tcW w:w="445" w:type="dxa"/>
          </w:tcPr>
          <w:p w14:paraId="1BC8CF95" w14:textId="77777777" w:rsidR="00A677D0" w:rsidRPr="00A677D0" w:rsidRDefault="00A677D0" w:rsidP="00A677D0">
            <w:pPr>
              <w:spacing w:before="120" w:after="0"/>
              <w:jc w:val="left"/>
              <w:rPr>
                <w:bCs/>
                <w:kern w:val="2"/>
                <w:szCs w:val="24"/>
              </w:rPr>
            </w:pPr>
            <w:r w:rsidRPr="00A677D0">
              <w:rPr>
                <w:bCs/>
                <w:kern w:val="2"/>
                <w:szCs w:val="24"/>
              </w:rPr>
              <w:t>3</w:t>
            </w:r>
          </w:p>
        </w:tc>
        <w:tc>
          <w:tcPr>
            <w:tcW w:w="6480" w:type="dxa"/>
          </w:tcPr>
          <w:p w14:paraId="01D03C55" w14:textId="77777777" w:rsidR="00A677D0" w:rsidRPr="00A677D0" w:rsidRDefault="00A677D0" w:rsidP="00A677D0">
            <w:pPr>
              <w:spacing w:before="120" w:after="0"/>
              <w:jc w:val="left"/>
              <w:rPr>
                <w:kern w:val="2"/>
                <w:szCs w:val="24"/>
              </w:rPr>
            </w:pPr>
            <w:r w:rsidRPr="00A677D0">
              <w:rPr>
                <w:kern w:val="2"/>
                <w:szCs w:val="24"/>
              </w:rPr>
              <w:t>Hourly Reliability Unit Commitment awards</w:t>
            </w:r>
          </w:p>
        </w:tc>
        <w:tc>
          <w:tcPr>
            <w:tcW w:w="2425" w:type="dxa"/>
          </w:tcPr>
          <w:p w14:paraId="2CA73B02" w14:textId="77777777" w:rsidR="00A677D0" w:rsidRPr="00A677D0" w:rsidRDefault="00A677D0" w:rsidP="00A677D0">
            <w:pPr>
              <w:spacing w:before="120" w:after="0"/>
              <w:jc w:val="left"/>
              <w:rPr>
                <w:kern w:val="2"/>
                <w:szCs w:val="24"/>
              </w:rPr>
            </w:pPr>
          </w:p>
        </w:tc>
      </w:tr>
      <w:tr w:rsidR="00A677D0" w:rsidRPr="00A677D0" w14:paraId="02AF2330" w14:textId="77777777">
        <w:trPr>
          <w:trHeight w:val="300"/>
        </w:trPr>
        <w:tc>
          <w:tcPr>
            <w:tcW w:w="445" w:type="dxa"/>
          </w:tcPr>
          <w:p w14:paraId="6AA3C44B" w14:textId="77777777" w:rsidR="00A677D0" w:rsidRPr="00A677D0" w:rsidRDefault="00A677D0" w:rsidP="00A677D0">
            <w:pPr>
              <w:spacing w:before="120" w:after="0"/>
              <w:jc w:val="left"/>
              <w:rPr>
                <w:bCs/>
                <w:kern w:val="2"/>
                <w:szCs w:val="24"/>
              </w:rPr>
            </w:pPr>
            <w:r w:rsidRPr="00A677D0">
              <w:rPr>
                <w:bCs/>
                <w:kern w:val="2"/>
                <w:szCs w:val="24"/>
              </w:rPr>
              <w:t>4</w:t>
            </w:r>
          </w:p>
        </w:tc>
        <w:tc>
          <w:tcPr>
            <w:tcW w:w="6480" w:type="dxa"/>
          </w:tcPr>
          <w:p w14:paraId="27AE5607" w14:textId="77777777" w:rsidR="00A677D0" w:rsidRPr="00A677D0" w:rsidRDefault="00A677D0" w:rsidP="00A677D0">
            <w:pPr>
              <w:spacing w:before="120" w:after="0"/>
              <w:jc w:val="left"/>
              <w:rPr>
                <w:kern w:val="2"/>
                <w:szCs w:val="24"/>
              </w:rPr>
            </w:pPr>
            <w:r w:rsidRPr="00A677D0">
              <w:rPr>
                <w:kern w:val="2"/>
                <w:szCs w:val="24"/>
              </w:rPr>
              <w:t>Hourly WRAP Operations Program Hourly Holdback number</w:t>
            </w:r>
          </w:p>
        </w:tc>
        <w:tc>
          <w:tcPr>
            <w:tcW w:w="2425" w:type="dxa"/>
          </w:tcPr>
          <w:p w14:paraId="662709C8" w14:textId="77777777" w:rsidR="00A677D0" w:rsidRPr="00A677D0" w:rsidRDefault="00A677D0" w:rsidP="00A677D0">
            <w:pPr>
              <w:spacing w:before="120" w:after="0"/>
              <w:jc w:val="left"/>
              <w:rPr>
                <w:kern w:val="2"/>
                <w:szCs w:val="24"/>
              </w:rPr>
            </w:pPr>
          </w:p>
        </w:tc>
      </w:tr>
      <w:tr w:rsidR="00A677D0" w:rsidRPr="00A677D0" w14:paraId="68904C51" w14:textId="77777777">
        <w:trPr>
          <w:trHeight w:val="300"/>
        </w:trPr>
        <w:tc>
          <w:tcPr>
            <w:tcW w:w="445" w:type="dxa"/>
          </w:tcPr>
          <w:p w14:paraId="13E5A0A3" w14:textId="77777777" w:rsidR="00A677D0" w:rsidRPr="00A677D0" w:rsidRDefault="00A677D0" w:rsidP="00A677D0">
            <w:pPr>
              <w:spacing w:before="120" w:after="0"/>
              <w:jc w:val="left"/>
              <w:rPr>
                <w:bCs/>
                <w:kern w:val="2"/>
                <w:szCs w:val="24"/>
              </w:rPr>
            </w:pPr>
            <w:r w:rsidRPr="00A677D0">
              <w:rPr>
                <w:bCs/>
                <w:kern w:val="2"/>
                <w:szCs w:val="24"/>
              </w:rPr>
              <w:t>5</w:t>
            </w:r>
          </w:p>
        </w:tc>
        <w:tc>
          <w:tcPr>
            <w:tcW w:w="6480" w:type="dxa"/>
          </w:tcPr>
          <w:p w14:paraId="6B504988" w14:textId="77777777" w:rsidR="00A677D0" w:rsidRPr="00A677D0" w:rsidRDefault="00A677D0" w:rsidP="00A677D0">
            <w:pPr>
              <w:spacing w:before="120" w:after="0"/>
              <w:jc w:val="left"/>
              <w:rPr>
                <w:kern w:val="2"/>
                <w:szCs w:val="24"/>
              </w:rPr>
            </w:pPr>
            <w:r w:rsidRPr="00A677D0">
              <w:rPr>
                <w:kern w:val="2"/>
                <w:szCs w:val="24"/>
              </w:rPr>
              <w:t>Hourly Net Position Change</w:t>
            </w:r>
          </w:p>
        </w:tc>
        <w:tc>
          <w:tcPr>
            <w:tcW w:w="2425" w:type="dxa"/>
          </w:tcPr>
          <w:p w14:paraId="0221DFB8" w14:textId="77777777" w:rsidR="00A677D0" w:rsidRPr="00A677D0" w:rsidRDefault="00A677D0" w:rsidP="00A677D0">
            <w:pPr>
              <w:spacing w:before="120" w:after="0"/>
              <w:jc w:val="left"/>
              <w:rPr>
                <w:kern w:val="2"/>
                <w:szCs w:val="24"/>
              </w:rPr>
            </w:pPr>
          </w:p>
        </w:tc>
      </w:tr>
      <w:tr w:rsidR="00A677D0" w:rsidRPr="00A677D0" w14:paraId="5672E2D7" w14:textId="77777777">
        <w:trPr>
          <w:trHeight w:val="300"/>
        </w:trPr>
        <w:tc>
          <w:tcPr>
            <w:tcW w:w="445" w:type="dxa"/>
          </w:tcPr>
          <w:p w14:paraId="02CC9B4B" w14:textId="77777777" w:rsidR="00A677D0" w:rsidRPr="00A677D0" w:rsidRDefault="00A677D0" w:rsidP="00A677D0">
            <w:pPr>
              <w:spacing w:before="120" w:after="0"/>
              <w:jc w:val="left"/>
              <w:rPr>
                <w:bCs/>
                <w:kern w:val="2"/>
                <w:szCs w:val="24"/>
              </w:rPr>
            </w:pPr>
            <w:r w:rsidRPr="00A677D0">
              <w:rPr>
                <w:bCs/>
                <w:kern w:val="2"/>
                <w:szCs w:val="24"/>
              </w:rPr>
              <w:t>6</w:t>
            </w:r>
          </w:p>
        </w:tc>
        <w:tc>
          <w:tcPr>
            <w:tcW w:w="6480" w:type="dxa"/>
          </w:tcPr>
          <w:p w14:paraId="7E6E4AE2" w14:textId="77777777" w:rsidR="00A677D0" w:rsidRPr="00A677D0" w:rsidRDefault="00A677D0" w:rsidP="00A677D0">
            <w:pPr>
              <w:spacing w:before="120" w:after="0"/>
              <w:jc w:val="left"/>
              <w:rPr>
                <w:kern w:val="2"/>
                <w:szCs w:val="24"/>
              </w:rPr>
            </w:pPr>
            <w:r w:rsidRPr="00A677D0">
              <w:rPr>
                <w:kern w:val="2"/>
                <w:szCs w:val="24"/>
              </w:rPr>
              <w:t xml:space="preserve">Hourly MSRs Self-Committed to Charge MW </w:t>
            </w:r>
          </w:p>
        </w:tc>
        <w:tc>
          <w:tcPr>
            <w:tcW w:w="2425" w:type="dxa"/>
          </w:tcPr>
          <w:p w14:paraId="683BBA9C" w14:textId="77777777" w:rsidR="00A677D0" w:rsidRPr="00A677D0" w:rsidRDefault="00A677D0" w:rsidP="00A677D0">
            <w:pPr>
              <w:spacing w:before="120" w:after="0"/>
              <w:jc w:val="left"/>
              <w:rPr>
                <w:kern w:val="2"/>
                <w:szCs w:val="24"/>
              </w:rPr>
            </w:pPr>
          </w:p>
        </w:tc>
      </w:tr>
      <w:tr w:rsidR="00A677D0" w:rsidRPr="00A677D0" w14:paraId="3EED2025" w14:textId="77777777">
        <w:trPr>
          <w:trHeight w:val="300"/>
        </w:trPr>
        <w:tc>
          <w:tcPr>
            <w:tcW w:w="445" w:type="dxa"/>
          </w:tcPr>
          <w:p w14:paraId="107528BA" w14:textId="77777777" w:rsidR="00A677D0" w:rsidRPr="00A677D0" w:rsidRDefault="00A677D0" w:rsidP="00A677D0">
            <w:pPr>
              <w:spacing w:before="120" w:after="0"/>
              <w:jc w:val="left"/>
              <w:rPr>
                <w:kern w:val="2"/>
                <w:szCs w:val="24"/>
              </w:rPr>
            </w:pPr>
          </w:p>
        </w:tc>
        <w:tc>
          <w:tcPr>
            <w:tcW w:w="6480" w:type="dxa"/>
          </w:tcPr>
          <w:p w14:paraId="79A81A25" w14:textId="77777777" w:rsidR="00A677D0" w:rsidRPr="00A677D0" w:rsidRDefault="00A677D0" w:rsidP="00A677D0">
            <w:pPr>
              <w:spacing w:before="120" w:after="0"/>
              <w:jc w:val="left"/>
              <w:rPr>
                <w:bCs/>
                <w:kern w:val="2"/>
                <w:szCs w:val="24"/>
              </w:rPr>
            </w:pPr>
            <w:r w:rsidRPr="00A677D0">
              <w:rPr>
                <w:bCs/>
                <w:kern w:val="2"/>
                <w:szCs w:val="24"/>
              </w:rPr>
              <w:t>Minimum Required Resource capacity</w:t>
            </w:r>
          </w:p>
          <w:p w14:paraId="40FFEE95" w14:textId="77777777" w:rsidR="00A677D0" w:rsidRPr="00A677D0" w:rsidRDefault="00A677D0" w:rsidP="00A677D0">
            <w:pPr>
              <w:spacing w:before="120" w:after="0"/>
              <w:jc w:val="left"/>
              <w:rPr>
                <w:bCs/>
                <w:kern w:val="2"/>
                <w:szCs w:val="24"/>
              </w:rPr>
            </w:pPr>
            <w:r w:rsidRPr="00A677D0">
              <w:rPr>
                <w:bCs/>
                <w:kern w:val="2"/>
                <w:szCs w:val="24"/>
              </w:rPr>
              <w:t>(SUM of 4.2.1.2 A (1 – 6)) =</w:t>
            </w:r>
          </w:p>
        </w:tc>
        <w:tc>
          <w:tcPr>
            <w:tcW w:w="2425" w:type="dxa"/>
          </w:tcPr>
          <w:p w14:paraId="3570AEC2" w14:textId="77777777" w:rsidR="00A677D0" w:rsidRPr="00A677D0" w:rsidRDefault="00A677D0" w:rsidP="00A677D0">
            <w:pPr>
              <w:spacing w:before="120" w:after="0"/>
              <w:jc w:val="left"/>
              <w:rPr>
                <w:kern w:val="2"/>
                <w:szCs w:val="24"/>
              </w:rPr>
            </w:pPr>
          </w:p>
        </w:tc>
      </w:tr>
    </w:tbl>
    <w:p w14:paraId="29F6F2DA" w14:textId="77777777" w:rsidR="00A677D0" w:rsidRPr="00A677D0" w:rsidRDefault="00A677D0" w:rsidP="00A677D0">
      <w:pPr>
        <w:spacing w:before="120" w:line="300" w:lineRule="auto"/>
        <w:rPr>
          <w:szCs w:val="24"/>
          <w14:ligatures w14:val="standardContextual"/>
        </w:rPr>
      </w:pPr>
    </w:p>
    <w:p w14:paraId="01CF4CA5" w14:textId="77777777" w:rsidR="00A677D0" w:rsidRPr="00A677D0" w:rsidRDefault="00A677D0" w:rsidP="00A677D0">
      <w:pPr>
        <w:numPr>
          <w:ilvl w:val="0"/>
          <w:numId w:val="95"/>
        </w:numPr>
        <w:spacing w:before="120" w:after="0" w:line="300" w:lineRule="auto"/>
        <w:ind w:left="720" w:hanging="720"/>
        <w:jc w:val="left"/>
        <w:rPr>
          <w14:ligatures w14:val="standardContextual"/>
        </w:rPr>
      </w:pPr>
      <w:bookmarkStart w:id="985" w:name="_Hlk170461102"/>
      <w:r w:rsidRPr="00A677D0">
        <w:rPr>
          <w:b/>
          <w:bCs/>
          <w14:ligatures w14:val="standardContextual"/>
        </w:rPr>
        <w:t>RTBM Must Offer Ceiling</w:t>
      </w:r>
      <w:bookmarkEnd w:id="985"/>
      <w:r w:rsidRPr="00A677D0">
        <w:rPr>
          <w14:ligatures w14:val="standardContextual"/>
        </w:rPr>
        <w:t xml:space="preserve">: A Market Participant's must offer ceiling during the binding season is higher of the Day-Ahead compliance amount described in Section </w:t>
      </w:r>
      <w:r w:rsidRPr="00A677D0">
        <w:rPr>
          <w14:ligatures w14:val="standardContextual"/>
        </w:rPr>
        <w:fldChar w:fldCharType="begin"/>
      </w:r>
      <w:r w:rsidRPr="00A677D0">
        <w:instrText xml:space="preserve"> REF _Ref194666901 \r \h </w:instrText>
      </w:r>
      <w:r w:rsidRPr="00A677D0">
        <w:rPr>
          <w14:ligatures w14:val="standardContextual"/>
        </w:rPr>
      </w:r>
      <w:r w:rsidRPr="00A677D0">
        <w:rPr>
          <w14:ligatures w14:val="standardContextual"/>
        </w:rPr>
        <w:fldChar w:fldCharType="separate"/>
      </w:r>
      <w:r w:rsidRPr="00A677D0">
        <w:rPr>
          <w14:ligatures w14:val="standardContextual"/>
        </w:rPr>
        <w:t>4.2.1.1</w:t>
      </w:r>
      <w:r w:rsidRPr="00A677D0">
        <w:rPr>
          <w14:ligatures w14:val="standardContextual"/>
        </w:rPr>
        <w:fldChar w:fldCharType="end"/>
      </w:r>
      <w:r w:rsidRPr="00A677D0">
        <w:rPr>
          <w14:ligatures w14:val="standardContextual"/>
        </w:rPr>
        <w:t xml:space="preserve">(B), as adjusted by (1)-(4) below, or the sum of Section </w:t>
      </w:r>
      <w:r w:rsidRPr="00A677D0">
        <w:rPr>
          <w14:ligatures w14:val="standardContextual"/>
        </w:rPr>
        <w:fldChar w:fldCharType="begin"/>
      </w:r>
      <w:r w:rsidRPr="00A677D0">
        <w:instrText xml:space="preserve"> REF _Ref194666970 \r \h </w:instrText>
      </w:r>
      <w:r w:rsidRPr="00A677D0">
        <w:rPr>
          <w14:ligatures w14:val="standardContextual"/>
        </w:rPr>
      </w:r>
      <w:r w:rsidRPr="00A677D0">
        <w:rPr>
          <w14:ligatures w14:val="standardContextual"/>
        </w:rPr>
        <w:fldChar w:fldCharType="separate"/>
      </w:r>
      <w:r w:rsidRPr="00A677D0">
        <w:rPr>
          <w14:ligatures w14:val="standardContextual"/>
        </w:rPr>
        <w:t>4.2.1.2</w:t>
      </w:r>
      <w:r w:rsidRPr="00A677D0">
        <w:rPr>
          <w14:ligatures w14:val="standardContextual"/>
        </w:rPr>
        <w:fldChar w:fldCharType="end"/>
      </w:r>
      <w:r w:rsidRPr="00A677D0">
        <w:rPr>
          <w14:ligatures w14:val="standardContextual"/>
        </w:rPr>
        <w:t xml:space="preserve">(A) (1-3), as adjusted by (1)-(4) below. During the non-binding season, a Market Participant’s must offer ceiling is the sum of Section </w:t>
      </w:r>
      <w:r w:rsidRPr="00A677D0">
        <w:rPr>
          <w14:ligatures w14:val="standardContextual"/>
        </w:rPr>
        <w:fldChar w:fldCharType="begin"/>
      </w:r>
      <w:r w:rsidRPr="00A677D0">
        <w:instrText xml:space="preserve"> REF _Ref194667007 \r \h </w:instrText>
      </w:r>
      <w:r w:rsidRPr="00A677D0">
        <w:rPr>
          <w14:ligatures w14:val="standardContextual"/>
        </w:rPr>
      </w:r>
      <w:r w:rsidRPr="00A677D0">
        <w:rPr>
          <w14:ligatures w14:val="standardContextual"/>
        </w:rPr>
        <w:fldChar w:fldCharType="separate"/>
      </w:r>
      <w:r w:rsidRPr="00A677D0">
        <w:rPr>
          <w14:ligatures w14:val="standardContextual"/>
        </w:rPr>
        <w:t>4.2.1.2</w:t>
      </w:r>
      <w:r w:rsidRPr="00A677D0">
        <w:rPr>
          <w14:ligatures w14:val="standardContextual"/>
        </w:rPr>
        <w:fldChar w:fldCharType="end"/>
      </w:r>
      <w:r w:rsidRPr="00A677D0">
        <w:rPr>
          <w14:ligatures w14:val="standardContextual"/>
        </w:rPr>
        <w:t xml:space="preserve">(A) (1-3), as adjusted by (2)-(4) below.  </w:t>
      </w:r>
    </w:p>
    <w:p w14:paraId="08BC194E" w14:textId="77777777" w:rsidR="00A677D0" w:rsidRPr="00A677D0" w:rsidRDefault="00A677D0" w:rsidP="00A677D0">
      <w:pPr>
        <w:spacing w:before="120" w:line="300" w:lineRule="auto"/>
        <w:ind w:left="720" w:hanging="540"/>
        <w:rPr>
          <w:szCs w:val="24"/>
          <w14:ligatures w14:val="standardContextual"/>
        </w:rPr>
      </w:pPr>
      <w:r w:rsidRPr="00A677D0">
        <w:rPr>
          <w14:ligatures w14:val="standardContextual"/>
        </w:rPr>
        <w:t>(1)</w:t>
      </w:r>
      <w:r w:rsidRPr="00A677D0">
        <w:rPr>
          <w14:ligatures w14:val="standardContextual"/>
        </w:rPr>
        <w:tab/>
      </w:r>
      <w:r w:rsidRPr="00A677D0">
        <w:rPr>
          <w:b/>
          <w:bCs/>
          <w14:ligatures w14:val="standardContextual"/>
        </w:rPr>
        <w:t>WRAP Operations Program Hourly Holdback Change</w:t>
      </w:r>
      <w:r w:rsidRPr="00A677D0">
        <w:rPr>
          <w14:ligatures w14:val="standardContextual"/>
        </w:rPr>
        <w:t xml:space="preserve">. For WRAP holdback transactions with source or a sink external to the Markets+ footprint, the holdback quantity is equal to the quantity (MW) of deployed Energy, represented on an Energy Schedule, not already accounted for in the Day-Ahead Market. For WRAP holdback transactions that both source and sink within the Markets+ Footprint, this quantity is equal to Zero MW.  This adjustment always applies to Section </w:t>
      </w:r>
      <w:r w:rsidRPr="00A677D0">
        <w:rPr>
          <w14:ligatures w14:val="standardContextual"/>
        </w:rPr>
        <w:fldChar w:fldCharType="begin"/>
      </w:r>
      <w:r w:rsidRPr="00A677D0">
        <w:instrText xml:space="preserve"> REF _Ref194667071 \r \h </w:instrText>
      </w:r>
      <w:r w:rsidRPr="00A677D0">
        <w:rPr>
          <w14:ligatures w14:val="standardContextual"/>
        </w:rPr>
      </w:r>
      <w:r w:rsidRPr="00A677D0">
        <w:rPr>
          <w14:ligatures w14:val="standardContextual"/>
        </w:rPr>
        <w:fldChar w:fldCharType="separate"/>
      </w:r>
      <w:r w:rsidRPr="00A677D0">
        <w:rPr>
          <w14:ligatures w14:val="standardContextual"/>
        </w:rPr>
        <w:t>4.2.1.2</w:t>
      </w:r>
      <w:r w:rsidRPr="00A677D0">
        <w:rPr>
          <w14:ligatures w14:val="standardContextual"/>
        </w:rPr>
        <w:fldChar w:fldCharType="end"/>
      </w:r>
      <w:r w:rsidRPr="00A677D0">
        <w:rPr>
          <w14:ligatures w14:val="standardContextual"/>
        </w:rPr>
        <w:t xml:space="preserve">(A) (1-3) and only to Section </w:t>
      </w:r>
      <w:r w:rsidRPr="00A677D0">
        <w:rPr>
          <w14:ligatures w14:val="standardContextual"/>
        </w:rPr>
        <w:fldChar w:fldCharType="begin"/>
      </w:r>
      <w:r w:rsidRPr="00A677D0">
        <w:instrText xml:space="preserve"> REF _Ref194667150 \r \h </w:instrText>
      </w:r>
      <w:r w:rsidRPr="00A677D0">
        <w:rPr>
          <w14:ligatures w14:val="standardContextual"/>
        </w:rPr>
      </w:r>
      <w:r w:rsidRPr="00A677D0">
        <w:rPr>
          <w14:ligatures w14:val="standardContextual"/>
        </w:rPr>
        <w:fldChar w:fldCharType="separate"/>
      </w:r>
      <w:r w:rsidRPr="00A677D0">
        <w:rPr>
          <w14:ligatures w14:val="standardContextual"/>
        </w:rPr>
        <w:t>4.2.1.1</w:t>
      </w:r>
      <w:r w:rsidRPr="00A677D0">
        <w:rPr>
          <w14:ligatures w14:val="standardContextual"/>
        </w:rPr>
        <w:fldChar w:fldCharType="end"/>
      </w:r>
      <w:r w:rsidRPr="00A677D0">
        <w:rPr>
          <w14:ligatures w14:val="standardContextual"/>
        </w:rPr>
        <w:t xml:space="preserve">(B) when the source is external to the Markets+ footprint and the sink is internal to the Markets+ footprint. </w:t>
      </w:r>
    </w:p>
    <w:p w14:paraId="33238421" w14:textId="77777777" w:rsidR="00A677D0" w:rsidRPr="00A677D0" w:rsidRDefault="00A677D0" w:rsidP="00A677D0">
      <w:pPr>
        <w:tabs>
          <w:tab w:val="left" w:pos="1800"/>
        </w:tabs>
        <w:spacing w:before="120" w:line="300" w:lineRule="auto"/>
        <w:ind w:left="720" w:hanging="540"/>
        <w:rPr>
          <w:szCs w:val="24"/>
          <w14:ligatures w14:val="standardContextual"/>
        </w:rPr>
      </w:pPr>
      <w:r w:rsidRPr="00A677D0">
        <w:rPr>
          <w:szCs w:val="24"/>
          <w14:ligatures w14:val="standardContextual"/>
        </w:rPr>
        <w:t>(2)</w:t>
      </w:r>
      <w:r w:rsidRPr="00A677D0">
        <w:rPr>
          <w:szCs w:val="24"/>
          <w14:ligatures w14:val="standardContextual"/>
        </w:rPr>
        <w:tab/>
      </w:r>
      <w:r w:rsidRPr="00A677D0">
        <w:rPr>
          <w:b/>
          <w:bCs/>
          <w:szCs w:val="24"/>
          <w14:ligatures w14:val="standardContextual"/>
        </w:rPr>
        <w:t>Net Position Change</w:t>
      </w:r>
      <w:r w:rsidRPr="00A677D0">
        <w:rPr>
          <w:szCs w:val="24"/>
          <w14:ligatures w14:val="standardContextual"/>
        </w:rPr>
        <w:t xml:space="preserve">.  The Net Position change is the sum of each Market Participant’s purchases and sales contracts and transfers not accounted for in the Day-Ahead Market as represented by e-Tags; this data will be provided by the Market Participant. The Net Position change includes High Priority Transactions representing interchange import transactions and export transactions to or from the Markets + Footprint not accounted for in the Day-Ahead Market </w:t>
      </w:r>
      <w:r w:rsidRPr="00A677D0">
        <w:rPr>
          <w14:ligatures w14:val="standardContextual"/>
        </w:rPr>
        <w:t>but does not include uncommitted import or export transactions</w:t>
      </w:r>
      <w:r w:rsidRPr="00A677D0">
        <w:rPr>
          <w:szCs w:val="24"/>
          <w14:ligatures w14:val="standardContextual"/>
        </w:rPr>
        <w:t xml:space="preserve">.  If a Market Participant seeks to include a High Priority Transaction in its net position, that transaction must meet the requirements of a qualifying e-Tag, detailed in Section [High Priority Transactions]. For clarity, any Energy deployed via the WRAP holdback will not count towards the Net Position Change for the purpose of calculating the RTBM Must Offer Ceiling.  </w:t>
      </w:r>
      <w:r w:rsidRPr="00A677D0">
        <w:rPr>
          <w14:ligatures w14:val="standardContextual"/>
        </w:rPr>
        <w:t xml:space="preserve">This adjustment applies to both Sections </w:t>
      </w:r>
      <w:r w:rsidRPr="00A677D0">
        <w:rPr>
          <w14:ligatures w14:val="standardContextual"/>
        </w:rPr>
        <w:fldChar w:fldCharType="begin"/>
      </w:r>
      <w:r w:rsidRPr="00A677D0">
        <w:rPr>
          <w14:ligatures w14:val="standardContextual"/>
        </w:rPr>
        <w:instrText xml:space="preserve"> REF _Ref194667193 \r \h </w:instrText>
      </w:r>
      <w:r w:rsidRPr="00A677D0">
        <w:rPr>
          <w14:ligatures w14:val="standardContextual"/>
        </w:rPr>
      </w:r>
      <w:r w:rsidRPr="00A677D0">
        <w:rPr>
          <w14:ligatures w14:val="standardContextual"/>
        </w:rPr>
        <w:fldChar w:fldCharType="separate"/>
      </w:r>
      <w:r w:rsidRPr="00A677D0">
        <w:rPr>
          <w14:ligatures w14:val="standardContextual"/>
        </w:rPr>
        <w:t>4.2.1.1</w:t>
      </w:r>
      <w:r w:rsidRPr="00A677D0">
        <w:rPr>
          <w14:ligatures w14:val="standardContextual"/>
        </w:rPr>
        <w:fldChar w:fldCharType="end"/>
      </w:r>
      <w:r w:rsidRPr="00A677D0">
        <w:rPr>
          <w14:ligatures w14:val="standardContextual"/>
        </w:rPr>
        <w:t xml:space="preserve"> (B) and </w:t>
      </w:r>
      <w:r w:rsidRPr="00A677D0">
        <w:rPr>
          <w14:ligatures w14:val="standardContextual"/>
        </w:rPr>
        <w:fldChar w:fldCharType="begin"/>
      </w:r>
      <w:r w:rsidRPr="00A677D0">
        <w:rPr>
          <w14:ligatures w14:val="standardContextual"/>
        </w:rPr>
        <w:instrText xml:space="preserve"> REF _Ref194667212 \r \h </w:instrText>
      </w:r>
      <w:r w:rsidRPr="00A677D0">
        <w:rPr>
          <w14:ligatures w14:val="standardContextual"/>
        </w:rPr>
      </w:r>
      <w:r w:rsidRPr="00A677D0">
        <w:rPr>
          <w14:ligatures w14:val="standardContextual"/>
        </w:rPr>
        <w:fldChar w:fldCharType="separate"/>
      </w:r>
      <w:r w:rsidRPr="00A677D0">
        <w:rPr>
          <w14:ligatures w14:val="standardContextual"/>
        </w:rPr>
        <w:t>4.2.1.2</w:t>
      </w:r>
      <w:r w:rsidRPr="00A677D0">
        <w:rPr>
          <w14:ligatures w14:val="standardContextual"/>
        </w:rPr>
        <w:fldChar w:fldCharType="end"/>
      </w:r>
      <w:r w:rsidRPr="00A677D0">
        <w:rPr>
          <w14:ligatures w14:val="standardContextual"/>
        </w:rPr>
        <w:t>(A) (1-3).</w:t>
      </w:r>
      <w:r w:rsidRPr="00A677D0" w:rsidDel="00524E2F">
        <w:rPr>
          <w:szCs w:val="24"/>
          <w14:ligatures w14:val="standardContextual"/>
        </w:rPr>
        <w:t xml:space="preserve"> </w:t>
      </w:r>
    </w:p>
    <w:p w14:paraId="7490B8B2" w14:textId="77777777" w:rsidR="00A677D0" w:rsidRPr="00A677D0" w:rsidRDefault="00A677D0" w:rsidP="00A677D0">
      <w:pPr>
        <w:spacing w:before="120" w:line="300" w:lineRule="auto"/>
        <w:ind w:left="720" w:hanging="540"/>
        <w:rPr>
          <w14:ligatures w14:val="standardContextual"/>
        </w:rPr>
      </w:pPr>
      <w:r w:rsidRPr="00A677D0">
        <w:rPr>
          <w14:ligatures w14:val="standardContextual"/>
        </w:rPr>
        <w:t>(3)</w:t>
      </w:r>
      <w:r w:rsidRPr="00A677D0">
        <w:rPr>
          <w14:ligatures w14:val="standardContextual"/>
        </w:rPr>
        <w:tab/>
      </w:r>
      <w:r w:rsidRPr="00A677D0">
        <w:rPr>
          <w:b/>
          <w:bCs/>
          <w14:ligatures w14:val="standardContextual"/>
        </w:rPr>
        <w:t>Fleet Performance</w:t>
      </w:r>
      <w:r w:rsidRPr="00A677D0">
        <w:rPr>
          <w14:ligatures w14:val="standardContextual"/>
        </w:rPr>
        <w:t>.  A Market Participant’s Real-Time Fleet Adjustment is the difference in Real-Time fleet performance from forecasted Day-Ahead Fleet Performance.  A Market Participant’s adjustment for RTBM fleet performance is, for all Resource other than VERs, the sum of any forced outages, unplanned availability, and unplanned change of capacity of Resources registered to the Market Participant for the upcoming RTBM Operating Hour as reflected in the CROW system compared against the sum of any forced outages, unplanned availability, and unplanned change of capacity of Resources registered to the Market Participant for the corresponding Day-Ahead Market  Operating Hour as reflected in the CROW system and in each MP’s Day-Ahead Market Resource Offer. For VERs the Market Operator’s forecast VER output for the RTBM will be compared against the Market Operator’s VER forecast output for the Day-Ahead Market. For ROR the Market Participant’s forecast output for the RTBM will be compared against the Market Participant’s ROR forecast output for the Day-Ahead Market as reflected in the Resource Offer. Any improvement in performance as compared to the value calculated for the Day-Ahead Market will increase the Market Participant’s Must-Offer Obligation and any reduction in performance as compared to the value calculated for the Day-Ahead Market will reduce the Market Participant’s Must-Offer Obligation. This adjustment applies to both 4.2.1.1(B) and 4.2.1.2 (A) (1-3).</w:t>
      </w:r>
      <w:r w:rsidRPr="00A677D0" w:rsidDel="00524E2F">
        <w:rPr>
          <w:szCs w:val="24"/>
          <w14:ligatures w14:val="standardContextual"/>
        </w:rPr>
        <w:t xml:space="preserve"> </w:t>
      </w:r>
      <w:r w:rsidRPr="00A677D0">
        <w:rPr>
          <w14:ligatures w14:val="standardContextual"/>
        </w:rPr>
        <w:t xml:space="preserve">For example, for non-VERs if the Day-Ahead Market CROW unplanned outages are 300 MW for an hour and the RTBM CROW unplanned outages for an hour is 200 MW, then the Market Participant’s RTBM Must-Offer Obligation is reduced by 100 MW.  For VERs, if the Day-Ahead Market VER forecast amount for an hour is 700 MW and the RTBM VER forecast amount for an hour is 750 MW, then the Market Participant’s RTBM Must-Offer Obligation is increased by 50 MW.  </w:t>
      </w:r>
    </w:p>
    <w:p w14:paraId="6F0A89FF" w14:textId="1248507F" w:rsidR="00A677D0" w:rsidRPr="00A677D0" w:rsidRDefault="00A677D0" w:rsidP="00A677D0">
      <w:pPr>
        <w:numPr>
          <w:ilvl w:val="0"/>
          <w:numId w:val="449"/>
        </w:numPr>
        <w:spacing w:before="120" w:after="0" w:line="300" w:lineRule="auto"/>
        <w:ind w:hanging="450"/>
        <w:jc w:val="left"/>
        <w:rPr>
          <w14:ligatures w14:val="standardContextual"/>
        </w:rPr>
      </w:pPr>
      <w:r w:rsidRPr="00A677D0">
        <w:rPr>
          <w:b/>
          <w:bCs/>
          <w14:ligatures w14:val="standardContextual"/>
        </w:rPr>
        <w:t>MSRs Self</w:t>
      </w:r>
      <w:r w:rsidRPr="00A677D0" w:rsidDel="0033414C">
        <w:rPr>
          <w:b/>
          <w:bCs/>
          <w14:ligatures w14:val="standardContextual"/>
        </w:rPr>
        <w:t>-Charge</w:t>
      </w:r>
      <w:r w:rsidRPr="00A677D0">
        <w:rPr>
          <w:b/>
          <w:bCs/>
          <w14:ligatures w14:val="standardContextual"/>
        </w:rPr>
        <w:t xml:space="preserve"> Schedule Change. </w:t>
      </w:r>
      <w:r w:rsidRPr="00A677D0">
        <w:rPr>
          <w14:ligatures w14:val="standardContextual"/>
        </w:rPr>
        <w:t xml:space="preserve"> The MSR self-charge change is the difference between the Real-Time MSR Self-Committed to Charge MW the Day-Ahead Market MSR Self-Committed to Charge MW.</w:t>
      </w:r>
    </w:p>
    <w:p w14:paraId="025CF181" w14:textId="77777777" w:rsidR="00A677D0" w:rsidRPr="00A677D0" w:rsidRDefault="00A677D0" w:rsidP="00A677D0">
      <w:pPr>
        <w:numPr>
          <w:ilvl w:val="0"/>
          <w:numId w:val="95"/>
        </w:numPr>
        <w:spacing w:before="120" w:after="0" w:line="300" w:lineRule="auto"/>
        <w:ind w:left="720" w:hanging="720"/>
        <w:jc w:val="left"/>
        <w:rPr>
          <w:b/>
          <w:bCs/>
          <w:szCs w:val="24"/>
          <w14:ligatures w14:val="standardContextual"/>
        </w:rPr>
      </w:pPr>
      <w:r w:rsidRPr="00A677D0">
        <w:rPr>
          <w:b/>
          <w:bCs/>
          <w:szCs w:val="24"/>
          <w14:ligatures w14:val="standardContextual"/>
        </w:rPr>
        <w:t xml:space="preserve"> Must Offer Compliance</w:t>
      </w:r>
    </w:p>
    <w:p w14:paraId="42A98AB3" w14:textId="77777777" w:rsidR="00A677D0" w:rsidRPr="00A677D0" w:rsidRDefault="00A677D0" w:rsidP="00A677D0">
      <w:pPr>
        <w:spacing w:before="120" w:line="300" w:lineRule="auto"/>
        <w:ind w:left="1260" w:hanging="540"/>
        <w:rPr>
          <w:szCs w:val="24"/>
          <w14:ligatures w14:val="standardContextual"/>
        </w:rPr>
      </w:pPr>
      <w:r w:rsidRPr="00A677D0">
        <w:rPr>
          <w:szCs w:val="24"/>
          <w14:ligatures w14:val="standardContextual"/>
        </w:rPr>
        <w:t>(1)</w:t>
      </w:r>
      <w:r w:rsidRPr="00A677D0">
        <w:rPr>
          <w:szCs w:val="24"/>
          <w14:ligatures w14:val="standardContextual"/>
        </w:rPr>
        <w:tab/>
        <w:t xml:space="preserve">In real time, Market Participants are required to offer Resources greater or equal to the lesser of the RTBM Must Offer Ceiling described under Section </w:t>
      </w:r>
      <w:r w:rsidRPr="00A677D0">
        <w:rPr>
          <w:szCs w:val="24"/>
          <w14:ligatures w14:val="standardContextual"/>
        </w:rPr>
        <w:fldChar w:fldCharType="begin"/>
      </w:r>
      <w:r w:rsidRPr="00A677D0">
        <w:rPr>
          <w:szCs w:val="24"/>
        </w:rPr>
        <w:instrText xml:space="preserve"> REF _Ref194667288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4.2.1.2</w:t>
      </w:r>
      <w:r w:rsidRPr="00A677D0">
        <w:rPr>
          <w:szCs w:val="24"/>
          <w14:ligatures w14:val="standardContextual"/>
        </w:rPr>
        <w:fldChar w:fldCharType="end"/>
      </w:r>
      <w:r w:rsidRPr="00A677D0">
        <w:rPr>
          <w:szCs w:val="24"/>
          <w14:ligatures w14:val="standardContextual"/>
        </w:rPr>
        <w:t xml:space="preserve">(B) or the RTBM must offer requirement defined under Section </w:t>
      </w:r>
      <w:r w:rsidRPr="00A677D0">
        <w:rPr>
          <w:szCs w:val="24"/>
          <w14:ligatures w14:val="standardContextual"/>
        </w:rPr>
        <w:fldChar w:fldCharType="begin"/>
      </w:r>
      <w:r w:rsidRPr="00A677D0">
        <w:rPr>
          <w:szCs w:val="24"/>
        </w:rPr>
        <w:instrText xml:space="preserve"> REF _Ref194667318 \r \h </w:instrText>
      </w:r>
      <w:r w:rsidRPr="00A677D0">
        <w:rPr>
          <w:szCs w:val="24"/>
          <w14:ligatures w14:val="standardContextual"/>
        </w:rPr>
      </w:r>
      <w:r w:rsidRPr="00A677D0">
        <w:rPr>
          <w:szCs w:val="24"/>
          <w14:ligatures w14:val="standardContextual"/>
        </w:rPr>
        <w:fldChar w:fldCharType="separate"/>
      </w:r>
      <w:r w:rsidRPr="00A677D0">
        <w:rPr>
          <w:szCs w:val="24"/>
          <w14:ligatures w14:val="standardContextual"/>
        </w:rPr>
        <w:t>4.2.1.2</w:t>
      </w:r>
      <w:r w:rsidRPr="00A677D0">
        <w:rPr>
          <w:szCs w:val="24"/>
          <w14:ligatures w14:val="standardContextual"/>
        </w:rPr>
        <w:fldChar w:fldCharType="end"/>
      </w:r>
      <w:r w:rsidRPr="00A677D0">
        <w:rPr>
          <w:szCs w:val="24"/>
          <w14:ligatures w14:val="standardContextual"/>
        </w:rPr>
        <w:t xml:space="preserve">(A).   </w:t>
      </w:r>
    </w:p>
    <w:p w14:paraId="7D3ACEA4" w14:textId="7B44C04C" w:rsidR="00A677D0" w:rsidRPr="00A677D0" w:rsidRDefault="00A677D0" w:rsidP="00A677D0">
      <w:pPr>
        <w:spacing w:before="120" w:line="300" w:lineRule="auto"/>
        <w:ind w:left="1260" w:hanging="540"/>
        <w:rPr>
          <w:szCs w:val="24"/>
          <w14:ligatures w14:val="standardContextual"/>
        </w:rPr>
      </w:pPr>
      <w:r w:rsidRPr="00A677D0">
        <w:rPr>
          <w:szCs w:val="24"/>
          <w14:ligatures w14:val="standardContextual"/>
        </w:rPr>
        <w:t>(2)</w:t>
      </w:r>
      <w:r w:rsidRPr="00A677D0">
        <w:rPr>
          <w:szCs w:val="24"/>
          <w14:ligatures w14:val="standardContextual"/>
        </w:rPr>
        <w:tab/>
        <w:t xml:space="preserve">The shortfall will be calculated as positive value of the difference between the Resource capacity required for each Hour, and the total offered Resource capacity for each Operating Hour. Any shortfall by a Market Participant will be assessed a penalty charge calculated as the MW shortfall times the penalty rate as further detailed in Section </w:t>
      </w:r>
      <w:r w:rsidR="00CB3211" w:rsidRPr="00A677D0">
        <w:rPr>
          <w:szCs w:val="24"/>
          <w14:ligatures w14:val="standardContextual"/>
        </w:rPr>
        <w:fldChar w:fldCharType="begin"/>
      </w:r>
      <w:r w:rsidR="00CB3211" w:rsidRPr="00A677D0">
        <w:rPr>
          <w:szCs w:val="24"/>
          <w14:ligatures w14:val="standardContextual"/>
        </w:rPr>
        <w:fldChar w:fldCharType="separate"/>
      </w:r>
      <w:r w:rsidR="00CB3211" w:rsidRPr="00A677D0">
        <w:rPr>
          <w:szCs w:val="24"/>
          <w14:ligatures w14:val="standardContextual"/>
        </w:rPr>
        <w:t>4.5.8.25</w:t>
      </w:r>
      <w:r w:rsidR="00CB3211" w:rsidRPr="00A677D0">
        <w:rPr>
          <w:szCs w:val="24"/>
          <w14:ligatures w14:val="standardContextual"/>
        </w:rPr>
        <w:fldChar w:fldCharType="end"/>
      </w:r>
      <w:r w:rsidRPr="00A677D0">
        <w:rPr>
          <w:szCs w:val="24"/>
          <w14:ligatures w14:val="standardContextual"/>
        </w:rPr>
        <w:t>.</w:t>
      </w:r>
    </w:p>
    <w:bookmarkEnd w:id="737"/>
    <w:bookmarkEnd w:id="738"/>
    <w:p w14:paraId="3859CBC1" w14:textId="77777777" w:rsidR="00C70F99" w:rsidRPr="00D1363C" w:rsidRDefault="00C70F99" w:rsidP="004B66CD">
      <w:pPr>
        <w:pStyle w:val="Heading3"/>
      </w:pPr>
      <w:r w:rsidRPr="00D1363C">
        <w:t>Offer Submittal</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67EA7032" w14:textId="1722DFC3" w:rsidR="00C70F99" w:rsidRPr="00D1363C" w:rsidRDefault="00C70F99" w:rsidP="00C70F99">
      <w:pPr>
        <w:spacing w:line="300" w:lineRule="auto"/>
        <w:rPr>
          <w:szCs w:val="24"/>
        </w:rPr>
      </w:pPr>
      <w:r w:rsidRPr="00D1363C">
        <w:rPr>
          <w:szCs w:val="24"/>
        </w:rPr>
        <w:t>Beginning seven</w:t>
      </w:r>
      <w:r w:rsidR="000C6379">
        <w:rPr>
          <w:szCs w:val="24"/>
        </w:rPr>
        <w:t xml:space="preserve"> (7)</w:t>
      </w:r>
      <w:r w:rsidRPr="00D1363C">
        <w:rPr>
          <w:szCs w:val="24"/>
        </w:rPr>
        <w:t xml:space="preserve"> days prior to the Operating Day, Market Participants may begin to submit Offers for use in the Day-Ahead Market and Offers for use in the RTBM.  Day-Ahead Market Offers may be updated up to the close of the Day-Ahead Market and RTBM Offers may be updated </w:t>
      </w:r>
      <w:r w:rsidR="00F761B5">
        <w:rPr>
          <w:szCs w:val="24"/>
        </w:rPr>
        <w:t>thirty (</w:t>
      </w:r>
      <w:r w:rsidRPr="00D1363C">
        <w:rPr>
          <w:szCs w:val="24"/>
        </w:rPr>
        <w:t>30</w:t>
      </w:r>
      <w:r w:rsidR="00F761B5">
        <w:rPr>
          <w:szCs w:val="24"/>
        </w:rPr>
        <w:t>)</w:t>
      </w:r>
      <w:r w:rsidRPr="00D1363C">
        <w:rPr>
          <w:szCs w:val="24"/>
        </w:rPr>
        <w:t xml:space="preserve"> minutes prior to each Operating Hour.  The following business rules apply to Offer submittal:</w:t>
      </w:r>
    </w:p>
    <w:p w14:paraId="27DF1A23" w14:textId="77777777"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Offers submitted for use in the Day-Ahead Market are submitted independent from the Offers submitted for use in the RTBM;</w:t>
      </w:r>
    </w:p>
    <w:p w14:paraId="34FA80BD" w14:textId="271197CE"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bookmarkStart w:id="986" w:name="OLE_LINK125"/>
      <w:r w:rsidRPr="00D1363C">
        <w:rPr>
          <w:szCs w:val="24"/>
        </w:rPr>
        <w:t>Submitted Resource Offers</w:t>
      </w:r>
      <w:r w:rsidR="007678C9">
        <w:rPr>
          <w:szCs w:val="24"/>
        </w:rPr>
        <w:t xml:space="preserve"> for a given hour</w:t>
      </w:r>
      <w:r w:rsidR="00A11372">
        <w:rPr>
          <w:szCs w:val="24"/>
        </w:rPr>
        <w:t xml:space="preserve">, excluding the </w:t>
      </w:r>
      <w:r w:rsidR="00B47CFA">
        <w:rPr>
          <w:szCs w:val="24"/>
        </w:rPr>
        <w:t>S</w:t>
      </w:r>
      <w:r w:rsidR="00A11372">
        <w:rPr>
          <w:szCs w:val="24"/>
        </w:rPr>
        <w:t>pecified GHG Adder</w:t>
      </w:r>
      <w:r w:rsidR="00555495">
        <w:rPr>
          <w:szCs w:val="24"/>
        </w:rPr>
        <w:t xml:space="preserve"> for the </w:t>
      </w:r>
      <w:r w:rsidR="009C517E">
        <w:rPr>
          <w:szCs w:val="24"/>
        </w:rPr>
        <w:t xml:space="preserve">Specified Source </w:t>
      </w:r>
      <w:r w:rsidR="009C6CB4">
        <w:rPr>
          <w:szCs w:val="24"/>
        </w:rPr>
        <w:t xml:space="preserve">Resource </w:t>
      </w:r>
      <w:r w:rsidR="00EC713C">
        <w:rPr>
          <w:szCs w:val="24"/>
        </w:rPr>
        <w:t>Type</w:t>
      </w:r>
      <w:r w:rsidR="00714F6B">
        <w:rPr>
          <w:szCs w:val="24"/>
        </w:rPr>
        <w:t xml:space="preserve"> </w:t>
      </w:r>
      <w:r w:rsidR="00EC713C">
        <w:rPr>
          <w:szCs w:val="24"/>
        </w:rPr>
        <w:t xml:space="preserve">1B/Type 2 Energy “Child” </w:t>
      </w:r>
      <w:r w:rsidR="00555495">
        <w:rPr>
          <w:szCs w:val="24"/>
        </w:rPr>
        <w:t>Resource</w:t>
      </w:r>
      <w:r w:rsidR="00A11372">
        <w:rPr>
          <w:szCs w:val="24"/>
        </w:rPr>
        <w:t>,</w:t>
      </w:r>
      <w:r w:rsidRPr="00D1363C">
        <w:rPr>
          <w:szCs w:val="24"/>
        </w:rPr>
        <w:t xml:space="preserve"> </w:t>
      </w:r>
      <w:r w:rsidR="0013294E">
        <w:rPr>
          <w:szCs w:val="24"/>
        </w:rPr>
        <w:t xml:space="preserve">will </w:t>
      </w:r>
      <w:r w:rsidRPr="00D1363C">
        <w:rPr>
          <w:szCs w:val="24"/>
        </w:rPr>
        <w:t>roll forward</w:t>
      </w:r>
      <w:r w:rsidR="007678C9">
        <w:rPr>
          <w:szCs w:val="24"/>
        </w:rPr>
        <w:t xml:space="preserve"> to the respective hour of the subsequent Operating Day</w:t>
      </w:r>
      <w:r w:rsidRPr="00D1363C">
        <w:rPr>
          <w:szCs w:val="24"/>
        </w:rPr>
        <w:t xml:space="preserve"> within</w:t>
      </w:r>
      <w:r w:rsidR="00FC6C90">
        <w:rPr>
          <w:szCs w:val="24"/>
        </w:rPr>
        <w:t xml:space="preserve"> the</w:t>
      </w:r>
      <w:r w:rsidRPr="00D1363C">
        <w:rPr>
          <w:szCs w:val="24"/>
        </w:rPr>
        <w:t xml:space="preserve"> </w:t>
      </w:r>
      <w:r w:rsidR="00FC6C90">
        <w:rPr>
          <w:szCs w:val="24"/>
        </w:rPr>
        <w:t xml:space="preserve"> Day-Ahead Market</w:t>
      </w:r>
      <w:r w:rsidRPr="00D1363C">
        <w:rPr>
          <w:szCs w:val="24"/>
        </w:rPr>
        <w:t xml:space="preserve"> and RTBM only when no </w:t>
      </w:r>
      <w:r>
        <w:rPr>
          <w:szCs w:val="24"/>
        </w:rPr>
        <w:t>new</w:t>
      </w:r>
      <w:r w:rsidRPr="00D1363C">
        <w:rPr>
          <w:szCs w:val="24"/>
        </w:rPr>
        <w:t xml:space="preserve"> Resource Offer has been submitted for that </w:t>
      </w:r>
      <w:r w:rsidR="00FE2D6B">
        <w:rPr>
          <w:szCs w:val="24"/>
        </w:rPr>
        <w:t>hour</w:t>
      </w:r>
      <w:r w:rsidRPr="00D1363C">
        <w:rPr>
          <w:szCs w:val="24"/>
        </w:rPr>
        <w:t>;</w:t>
      </w:r>
      <w:bookmarkEnd w:id="986"/>
    </w:p>
    <w:p w14:paraId="0929AC34" w14:textId="77777777"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Resource Offers created under roll forward logic will be considered the same as submitted Offers for purposes of commitment, dispatch, pricing, and settlements;</w:t>
      </w:r>
    </w:p>
    <w:p w14:paraId="1EBFFCB1" w14:textId="2EF90EE2" w:rsidR="00C70F99" w:rsidRPr="00D1363C" w:rsidRDefault="00C70F99" w:rsidP="00D74234">
      <w:pPr>
        <w:tabs>
          <w:tab w:val="left" w:pos="1170"/>
          <w:tab w:val="num" w:pos="1260"/>
        </w:tabs>
        <w:spacing w:before="120" w:line="300" w:lineRule="auto"/>
        <w:ind w:left="1080" w:hanging="540"/>
        <w:rPr>
          <w:szCs w:val="24"/>
        </w:rPr>
      </w:pPr>
      <w:r w:rsidRPr="00D1363C">
        <w:rPr>
          <w:szCs w:val="24"/>
        </w:rPr>
        <w:t>(a)</w:t>
      </w:r>
      <w:r w:rsidRPr="00D1363C">
        <w:rPr>
          <w:szCs w:val="24"/>
        </w:rPr>
        <w:tab/>
        <w:t xml:space="preserve">Market Participants may submit separate Resource Offer parameters for each hour of the Operating Day except for those parameters categorized as Daily Unit Commitment Parameters under Section </w:t>
      </w:r>
      <w:r w:rsidR="00D13AE4">
        <w:rPr>
          <w:szCs w:val="24"/>
        </w:rPr>
        <w:fldChar w:fldCharType="begin"/>
      </w:r>
      <w:r w:rsidR="00D13AE4">
        <w:rPr>
          <w:szCs w:val="24"/>
        </w:rPr>
        <w:instrText xml:space="preserve"> REF _Ref195095030 \r \h </w:instrText>
      </w:r>
      <w:r w:rsidR="00D13AE4">
        <w:rPr>
          <w:szCs w:val="24"/>
        </w:rPr>
      </w:r>
      <w:r w:rsidR="00D13AE4">
        <w:rPr>
          <w:szCs w:val="24"/>
        </w:rPr>
        <w:fldChar w:fldCharType="separate"/>
      </w:r>
      <w:r w:rsidR="00D13AE4">
        <w:rPr>
          <w:szCs w:val="24"/>
        </w:rPr>
        <w:t>4.2.2.1</w:t>
      </w:r>
      <w:r w:rsidR="00D13AE4">
        <w:rPr>
          <w:szCs w:val="24"/>
        </w:rPr>
        <w:fldChar w:fldCharType="end"/>
      </w:r>
      <w:r w:rsidRPr="00D1363C">
        <w:rPr>
          <w:szCs w:val="24"/>
        </w:rPr>
        <w:t xml:space="preserve"> which are submitted as a single value that rolls forward</w:t>
      </w:r>
      <w:r w:rsidR="00142B88">
        <w:rPr>
          <w:szCs w:val="24"/>
        </w:rPr>
        <w:t xml:space="preserve"> to the respective</w:t>
      </w:r>
      <w:r w:rsidRPr="00D1363C">
        <w:rPr>
          <w:szCs w:val="24"/>
        </w:rPr>
        <w:t xml:space="preserve"> hour of the subsequent Operating Day only when no unit commitment Offer parameters have been submitted for that Operating Day; </w:t>
      </w:r>
    </w:p>
    <w:p w14:paraId="464DD5D0" w14:textId="77777777"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Offers submitted for use in the RTBM are also used in the RUC processes;</w:t>
      </w:r>
    </w:p>
    <w:p w14:paraId="3310594A" w14:textId="0D97DC07" w:rsidR="00C70F99" w:rsidRDefault="00C70F99" w:rsidP="00D74234">
      <w:pPr>
        <w:pStyle w:val="ParaText"/>
        <w:tabs>
          <w:tab w:val="left" w:pos="1170"/>
          <w:tab w:val="num" w:pos="1260"/>
        </w:tabs>
        <w:spacing w:before="120"/>
        <w:ind w:left="1080" w:hanging="540"/>
        <w:rPr>
          <w:szCs w:val="24"/>
        </w:rPr>
      </w:pPr>
      <w:r>
        <w:rPr>
          <w:szCs w:val="24"/>
        </w:rPr>
        <w:t>(a)</w:t>
      </w:r>
      <w:r>
        <w:rPr>
          <w:szCs w:val="24"/>
        </w:rPr>
        <w:tab/>
        <w:t>Market Participants have the option of specifying that the Offers submitted for use in the</w:t>
      </w:r>
      <w:r w:rsidR="00966B55">
        <w:rPr>
          <w:szCs w:val="24"/>
        </w:rPr>
        <w:t xml:space="preserve"> Day-Ahead </w:t>
      </w:r>
      <w:r>
        <w:rPr>
          <w:szCs w:val="24"/>
        </w:rPr>
        <w:t>Market also apply in the RTBM</w:t>
      </w:r>
      <w:r w:rsidR="002F459E">
        <w:rPr>
          <w:szCs w:val="24"/>
        </w:rPr>
        <w:t>.  Market Participants may use this option to indicate that</w:t>
      </w:r>
      <w:r w:rsidR="00966B55">
        <w:rPr>
          <w:szCs w:val="24"/>
        </w:rPr>
        <w:t xml:space="preserve"> Day-Ahead </w:t>
      </w:r>
      <w:r w:rsidR="002F459E">
        <w:rPr>
          <w:szCs w:val="24"/>
        </w:rPr>
        <w:t>Market Offers will apply to the Day-Ahead RUC.  To revert back to the use of RTBM Offers following posting of Day-Ahead RUC results, Market Participants must remove th</w:t>
      </w:r>
      <w:r w:rsidR="006C5C48">
        <w:rPr>
          <w:szCs w:val="24"/>
        </w:rPr>
        <w:t>e</w:t>
      </w:r>
      <w:r w:rsidR="002F459E">
        <w:rPr>
          <w:szCs w:val="24"/>
        </w:rPr>
        <w:t xml:space="preserve"> Day-</w:t>
      </w:r>
      <w:r w:rsidR="003E791E">
        <w:rPr>
          <w:szCs w:val="24"/>
        </w:rPr>
        <w:t>Ahead</w:t>
      </w:r>
      <w:r w:rsidR="002F459E">
        <w:rPr>
          <w:szCs w:val="24"/>
        </w:rPr>
        <w:t xml:space="preserve"> Market Offer option</w:t>
      </w:r>
      <w:r>
        <w:rPr>
          <w:szCs w:val="24"/>
        </w:rPr>
        <w:t>;</w:t>
      </w:r>
    </w:p>
    <w:p w14:paraId="153E45BA" w14:textId="77777777"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 xml:space="preserve">Resource Offers may be submitted at Resource Settlement Locations only, Import Interchange Transaction Offers may be submitted at External Interface Settlement Locations only; Virtual Energy Offers may be submitted at any Settlement Location except at Markets+ boundary interface Settlement Locations;  </w:t>
      </w:r>
    </w:p>
    <w:p w14:paraId="11059BE2" w14:textId="15E0B4F0"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 xml:space="preserve">Resource Offers for Mid-Term Flex Up may be submitted for Mid-Term Flex Up </w:t>
      </w:r>
      <w:r w:rsidR="00624208" w:rsidRPr="00D1363C">
        <w:rPr>
          <w:szCs w:val="24"/>
        </w:rPr>
        <w:t>Qualified</w:t>
      </w:r>
      <w:r w:rsidRPr="00D1363C">
        <w:rPr>
          <w:szCs w:val="24"/>
        </w:rPr>
        <w:t xml:space="preserve"> Resources.  Resource qualifications are verified by the Market Operator as part of the registration process as follows; A Mid-Term Flex Up Qualified Resource must self-certify that the Resource is capable of following RTBM Dispatch Targets and has the ability to increase and maintain its output for at least the duration of the Mid-Term Flex Up response time (once the specified resource output is achieved). </w:t>
      </w:r>
      <w:r>
        <w:rPr>
          <w:szCs w:val="24"/>
        </w:rPr>
        <w:t>As part of the certification, the Resource must:</w:t>
      </w:r>
    </w:p>
    <w:p w14:paraId="1F39E021" w14:textId="688A1E19" w:rsidR="00C70F99" w:rsidRPr="002C120F" w:rsidRDefault="00C70F99" w:rsidP="00D74234">
      <w:pPr>
        <w:pStyle w:val="ListParagraph"/>
        <w:numPr>
          <w:ilvl w:val="0"/>
          <w:numId w:val="78"/>
        </w:numPr>
        <w:tabs>
          <w:tab w:val="left" w:pos="1170"/>
        </w:tabs>
        <w:spacing w:before="120" w:line="300" w:lineRule="auto"/>
        <w:ind w:left="990" w:hanging="450"/>
        <w:rPr>
          <w:szCs w:val="24"/>
        </w:rPr>
      </w:pPr>
      <w:r w:rsidRPr="002C120F">
        <w:rPr>
          <w:szCs w:val="24"/>
        </w:rPr>
        <w:t xml:space="preserve">Certify as described under Section </w:t>
      </w:r>
      <w:r w:rsidRPr="002C120F">
        <w:rPr>
          <w:szCs w:val="24"/>
        </w:rPr>
        <w:fldChar w:fldCharType="begin"/>
      </w:r>
      <w:r w:rsidRPr="002C120F">
        <w:rPr>
          <w:szCs w:val="24"/>
        </w:rPr>
        <w:instrText xml:space="preserve"> REF _Ref159855517 \r \h </w:instrText>
      </w:r>
      <w:r w:rsidRPr="002C120F">
        <w:rPr>
          <w:szCs w:val="24"/>
        </w:rPr>
      </w:r>
      <w:r w:rsidRPr="002C120F">
        <w:rPr>
          <w:szCs w:val="24"/>
        </w:rPr>
        <w:fldChar w:fldCharType="separate"/>
      </w:r>
      <w:r w:rsidRPr="002C120F">
        <w:rPr>
          <w:szCs w:val="24"/>
        </w:rPr>
        <w:t>9.1.10.2</w:t>
      </w:r>
      <w:r w:rsidRPr="002C120F">
        <w:rPr>
          <w:szCs w:val="24"/>
        </w:rPr>
        <w:fldChar w:fldCharType="end"/>
      </w:r>
      <w:r w:rsidRPr="002C120F">
        <w:rPr>
          <w:szCs w:val="24"/>
        </w:rPr>
        <w:t xml:space="preserve"> that the Resource is capable of deploying 100% of cleared Mid-Term Flex-Up Reserve from an off-line state or if the Resource is an MCR that has registered under the option described under Section </w:t>
      </w:r>
      <w:r w:rsidRPr="002C120F">
        <w:rPr>
          <w:szCs w:val="24"/>
        </w:rPr>
        <w:fldChar w:fldCharType="begin"/>
      </w:r>
      <w:r w:rsidRPr="002C120F">
        <w:rPr>
          <w:szCs w:val="24"/>
        </w:rPr>
        <w:instrText xml:space="preserve"> REF _Ref476207889 \r \h </w:instrText>
      </w:r>
      <w:r w:rsidRPr="002C120F">
        <w:rPr>
          <w:szCs w:val="24"/>
        </w:rPr>
      </w:r>
      <w:r w:rsidRPr="002C120F">
        <w:rPr>
          <w:szCs w:val="24"/>
        </w:rPr>
        <w:fldChar w:fldCharType="separate"/>
      </w:r>
      <w:r w:rsidRPr="002C120F">
        <w:rPr>
          <w:szCs w:val="24"/>
        </w:rPr>
        <w:t>9.1.6.1</w:t>
      </w:r>
      <w:r w:rsidRPr="002C120F">
        <w:rPr>
          <w:szCs w:val="24"/>
        </w:rPr>
        <w:fldChar w:fldCharType="end"/>
      </w:r>
      <w:r w:rsidRPr="002C120F">
        <w:rPr>
          <w:szCs w:val="24"/>
        </w:rPr>
        <w:t xml:space="preserve"> and is capable of deploying 100% of cleared Mid-Term Flex Up by transitioning to a higher configuration within the Mid-Term Flex Up response time for a continuous duration of </w:t>
      </w:r>
      <w:r w:rsidR="00D423B6">
        <w:rPr>
          <w:szCs w:val="24"/>
        </w:rPr>
        <w:t>sixty (</w:t>
      </w:r>
      <w:r w:rsidRPr="002C120F">
        <w:rPr>
          <w:szCs w:val="24"/>
        </w:rPr>
        <w:t>60</w:t>
      </w:r>
      <w:r w:rsidR="00D423B6">
        <w:rPr>
          <w:szCs w:val="24"/>
        </w:rPr>
        <w:t xml:space="preserve">) </w:t>
      </w:r>
      <w:r w:rsidRPr="002C120F">
        <w:rPr>
          <w:szCs w:val="24"/>
        </w:rPr>
        <w:t>minutes.</w:t>
      </w:r>
    </w:p>
    <w:p w14:paraId="0A582038" w14:textId="787C4BEA" w:rsidR="00C70F99" w:rsidRPr="00D1363C" w:rsidRDefault="00C70F99" w:rsidP="00D74234">
      <w:pPr>
        <w:numPr>
          <w:ilvl w:val="0"/>
          <w:numId w:val="78"/>
        </w:numPr>
        <w:tabs>
          <w:tab w:val="left" w:pos="1170"/>
          <w:tab w:val="num" w:pos="1260"/>
        </w:tabs>
        <w:spacing w:before="120" w:line="300" w:lineRule="auto"/>
        <w:ind w:left="990" w:hanging="450"/>
        <w:rPr>
          <w:szCs w:val="24"/>
        </w:rPr>
      </w:pPr>
      <w:r w:rsidRPr="00D1363C">
        <w:rPr>
          <w:szCs w:val="24"/>
        </w:rPr>
        <w:t>Provide telemetered output data that can be scanned every</w:t>
      </w:r>
      <w:r w:rsidR="008B58F5">
        <w:rPr>
          <w:szCs w:val="24"/>
        </w:rPr>
        <w:t xml:space="preserve"> ten</w:t>
      </w:r>
      <w:r w:rsidRPr="00D1363C">
        <w:rPr>
          <w:szCs w:val="24"/>
        </w:rPr>
        <w:t xml:space="preserve"> </w:t>
      </w:r>
      <w:r w:rsidR="008B58F5">
        <w:rPr>
          <w:szCs w:val="24"/>
        </w:rPr>
        <w:t>(</w:t>
      </w:r>
      <w:r w:rsidRPr="00D1363C">
        <w:rPr>
          <w:szCs w:val="24"/>
        </w:rPr>
        <w:t>10</w:t>
      </w:r>
      <w:r w:rsidR="00BD1071">
        <w:rPr>
          <w:szCs w:val="24"/>
        </w:rPr>
        <w:t>)</w:t>
      </w:r>
      <w:r w:rsidRPr="00D1363C">
        <w:rPr>
          <w:szCs w:val="24"/>
        </w:rPr>
        <w:t xml:space="preserve"> seconds. </w:t>
      </w:r>
    </w:p>
    <w:p w14:paraId="71D8A9BB" w14:textId="71DADEB0" w:rsidR="00C70F99" w:rsidRPr="00D1363C" w:rsidRDefault="00C70F99" w:rsidP="00D74234">
      <w:pPr>
        <w:numPr>
          <w:ilvl w:val="0"/>
          <w:numId w:val="14"/>
        </w:numPr>
        <w:tabs>
          <w:tab w:val="clear" w:pos="1440"/>
          <w:tab w:val="left" w:pos="1170"/>
          <w:tab w:val="num" w:pos="1260"/>
        </w:tabs>
        <w:spacing w:before="120" w:line="300" w:lineRule="auto"/>
        <w:ind w:left="540" w:hanging="540"/>
        <w:rPr>
          <w:szCs w:val="24"/>
        </w:rPr>
      </w:pPr>
      <w:r w:rsidRPr="00D1363C">
        <w:rPr>
          <w:szCs w:val="24"/>
        </w:rPr>
        <w:t>Resource Offers consisting of Start-Up Offer, No-Load Offer, Energy Offer Curve, and Mid-</w:t>
      </w:r>
      <w:r w:rsidR="00CA24BE">
        <w:rPr>
          <w:szCs w:val="24"/>
        </w:rPr>
        <w:t>T</w:t>
      </w:r>
      <w:r w:rsidRPr="00D1363C">
        <w:rPr>
          <w:szCs w:val="24"/>
        </w:rPr>
        <w:t xml:space="preserve">erm Flex Up Offers are limited by the offer caps and floors specified under </w:t>
      </w:r>
      <w:r w:rsidRPr="00583731">
        <w:rPr>
          <w:szCs w:val="24"/>
        </w:rPr>
        <w:t>Section</w:t>
      </w:r>
      <w:r w:rsidR="00DF23F3">
        <w:rPr>
          <w:szCs w:val="24"/>
        </w:rPr>
        <w:t xml:space="preserve"> </w:t>
      </w:r>
      <w:r w:rsidR="000C78C2">
        <w:rPr>
          <w:szCs w:val="24"/>
        </w:rPr>
        <w:fldChar w:fldCharType="begin"/>
      </w:r>
      <w:r w:rsidR="000C78C2">
        <w:rPr>
          <w:szCs w:val="24"/>
        </w:rPr>
        <w:instrText xml:space="preserve"> REF _Ref265244269 \r \h </w:instrText>
      </w:r>
      <w:r w:rsidR="000C78C2">
        <w:rPr>
          <w:szCs w:val="24"/>
        </w:rPr>
      </w:r>
      <w:r w:rsidR="000C78C2">
        <w:rPr>
          <w:szCs w:val="24"/>
        </w:rPr>
        <w:fldChar w:fldCharType="separate"/>
      </w:r>
      <w:r w:rsidR="000C78C2">
        <w:rPr>
          <w:szCs w:val="24"/>
        </w:rPr>
        <w:t>11.2.5</w:t>
      </w:r>
      <w:r w:rsidR="000C78C2">
        <w:rPr>
          <w:szCs w:val="24"/>
        </w:rPr>
        <w:fldChar w:fldCharType="end"/>
      </w:r>
      <w:r w:rsidRPr="00583731">
        <w:rPr>
          <w:szCs w:val="24"/>
        </w:rPr>
        <w:fldChar w:fldCharType="begin"/>
      </w:r>
      <w:r w:rsidRPr="00583731">
        <w:rPr>
          <w:szCs w:val="24"/>
        </w:rPr>
        <w:instrText xml:space="preserve"> REF _Ref265244269 \r \h  \* MERGEFORMAT </w:instrText>
      </w:r>
      <w:r w:rsidRPr="00583731">
        <w:rPr>
          <w:szCs w:val="24"/>
        </w:rPr>
      </w:r>
      <w:r w:rsidRPr="00583731">
        <w:rPr>
          <w:szCs w:val="24"/>
        </w:rPr>
        <w:fldChar w:fldCharType="separate"/>
      </w:r>
      <w:r w:rsidRPr="00583731">
        <w:rPr>
          <w:szCs w:val="24"/>
        </w:rPr>
        <w:fldChar w:fldCharType="end"/>
      </w:r>
      <w:r w:rsidRPr="00583731">
        <w:rPr>
          <w:szCs w:val="24"/>
        </w:rPr>
        <w:t>.</w:t>
      </w:r>
    </w:p>
    <w:p w14:paraId="1FF45D47" w14:textId="42D87B8D" w:rsidR="00C70F99" w:rsidRPr="00D1363C" w:rsidRDefault="00C70F99" w:rsidP="00574EDE">
      <w:pPr>
        <w:pStyle w:val="Heading4"/>
      </w:pPr>
      <w:bookmarkStart w:id="987" w:name="_Toc276733299"/>
      <w:bookmarkStart w:id="988" w:name="_Toc277062745"/>
      <w:bookmarkStart w:id="989" w:name="_Toc277145725"/>
      <w:bookmarkStart w:id="990" w:name="_Toc277929479"/>
      <w:bookmarkStart w:id="991" w:name="_Toc278285629"/>
      <w:bookmarkStart w:id="992" w:name="_Toc278978511"/>
      <w:bookmarkStart w:id="993" w:name="_Toc279571632"/>
      <w:bookmarkStart w:id="994" w:name="_Toc280278522"/>
      <w:bookmarkStart w:id="995" w:name="_Toc276733300"/>
      <w:bookmarkStart w:id="996" w:name="_Toc277062746"/>
      <w:bookmarkStart w:id="997" w:name="_Toc277145726"/>
      <w:bookmarkStart w:id="998" w:name="_Toc277929480"/>
      <w:bookmarkStart w:id="999" w:name="_Toc278285630"/>
      <w:bookmarkStart w:id="1000" w:name="_Toc278978512"/>
      <w:bookmarkStart w:id="1001" w:name="_Toc279571633"/>
      <w:bookmarkStart w:id="1002" w:name="_Toc280278523"/>
      <w:bookmarkStart w:id="1003" w:name="_Toc276733301"/>
      <w:bookmarkStart w:id="1004" w:name="_Toc277062747"/>
      <w:bookmarkStart w:id="1005" w:name="_Toc277145727"/>
      <w:bookmarkStart w:id="1006" w:name="_Toc277929481"/>
      <w:bookmarkStart w:id="1007" w:name="_Toc278285631"/>
      <w:bookmarkStart w:id="1008" w:name="_Toc278978513"/>
      <w:bookmarkStart w:id="1009" w:name="_Toc279571634"/>
      <w:bookmarkStart w:id="1010" w:name="_Toc280278524"/>
      <w:bookmarkStart w:id="1011" w:name="_Toc243211975"/>
      <w:bookmarkStart w:id="1012" w:name="_Ref244614432"/>
      <w:bookmarkStart w:id="1013" w:name="_Ref244651504"/>
      <w:bookmarkStart w:id="1014" w:name="_Ref244651559"/>
      <w:bookmarkStart w:id="1015" w:name="_Ref244674343"/>
      <w:bookmarkStart w:id="1016" w:name="_Ref244679355"/>
      <w:bookmarkStart w:id="1017" w:name="_Toc245633953"/>
      <w:bookmarkStart w:id="1018" w:name="_Toc245634105"/>
      <w:bookmarkStart w:id="1019" w:name="_Toc245727995"/>
      <w:bookmarkStart w:id="1020" w:name="_Ref247613921"/>
      <w:bookmarkStart w:id="1021" w:name="_Toc248644119"/>
      <w:bookmarkStart w:id="1022" w:name="_Toc258924844"/>
      <w:bookmarkStart w:id="1023" w:name="_Ref258930473"/>
      <w:bookmarkStart w:id="1024" w:name="_Ref262127715"/>
      <w:bookmarkStart w:id="1025" w:name="_Toc263173277"/>
      <w:bookmarkStart w:id="1026" w:name="_Toc263429399"/>
      <w:bookmarkStart w:id="1027" w:name="_Toc263795427"/>
      <w:bookmarkStart w:id="1028" w:name="_Ref263943598"/>
      <w:bookmarkStart w:id="1029" w:name="_Ref265237723"/>
      <w:bookmarkStart w:id="1030" w:name="_Toc266869612"/>
      <w:bookmarkStart w:id="1031" w:name="_Ref272784766"/>
      <w:bookmarkStart w:id="1032" w:name="_Ref323308698"/>
      <w:bookmarkStart w:id="1033" w:name="_Ref371343176"/>
      <w:bookmarkStart w:id="1034" w:name="_Ref372284829"/>
      <w:bookmarkStart w:id="1035" w:name="_Ref402946598"/>
      <w:bookmarkStart w:id="1036" w:name="_Ref402946682"/>
      <w:bookmarkStart w:id="1037" w:name="_Ref476748658"/>
      <w:bookmarkStart w:id="1038" w:name="_Ref476748695"/>
      <w:bookmarkStart w:id="1039" w:name="_Ref476748714"/>
      <w:bookmarkStart w:id="1040" w:name="_Ref476749865"/>
      <w:bookmarkStart w:id="1041" w:name="_Ref476749987"/>
      <w:bookmarkStart w:id="1042" w:name="_Ref76733048"/>
      <w:bookmarkStart w:id="1043" w:name="_Toc163740157"/>
      <w:bookmarkStart w:id="1044" w:name="_Ref195095030"/>
      <w:bookmarkStart w:id="1045" w:name="_Ref195097891"/>
      <w:bookmarkStart w:id="1046" w:name="_Ref195098023"/>
      <w:bookmarkStart w:id="1047" w:name="_Toc213771809"/>
      <w:bookmarkEnd w:id="733"/>
      <w:bookmarkEnd w:id="734"/>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D1363C">
        <w:t>Resource Offer Parameters</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7CAB2775" w14:textId="77777777" w:rsidR="00C70F99" w:rsidRPr="00D1363C" w:rsidRDefault="00C70F99" w:rsidP="00C70F99">
      <w:pPr>
        <w:spacing w:after="0" w:line="300" w:lineRule="auto"/>
        <w:rPr>
          <w:szCs w:val="24"/>
        </w:rPr>
      </w:pPr>
      <w:r w:rsidRPr="00D1363C">
        <w:rPr>
          <w:szCs w:val="24"/>
        </w:rPr>
        <w:t>The following Resource Offer parameters must be submitted to constitute a valid offer for use in either the Day-Ahead Market or RTBM:</w:t>
      </w:r>
    </w:p>
    <w:p w14:paraId="4D15BC53" w14:textId="77777777" w:rsidR="00C70F99" w:rsidRPr="00D1363C" w:rsidRDefault="00C70F99" w:rsidP="00C35DA0">
      <w:pPr>
        <w:numPr>
          <w:ilvl w:val="0"/>
          <w:numId w:val="42"/>
        </w:numPr>
        <w:spacing w:before="120" w:line="300" w:lineRule="auto"/>
        <w:ind w:hanging="720"/>
        <w:rPr>
          <w:szCs w:val="24"/>
        </w:rPr>
      </w:pPr>
      <w:r w:rsidRPr="00D1363C">
        <w:rPr>
          <w:szCs w:val="24"/>
        </w:rPr>
        <w:t>Resource Name (as specified during Market Registration and cannot be changed as part of Resource Offer submittal);</w:t>
      </w:r>
    </w:p>
    <w:p w14:paraId="55E689B4" w14:textId="77777777" w:rsidR="00C70F99" w:rsidRPr="00D1363C" w:rsidRDefault="00C70F99" w:rsidP="00C35DA0">
      <w:pPr>
        <w:numPr>
          <w:ilvl w:val="0"/>
          <w:numId w:val="42"/>
        </w:numPr>
        <w:spacing w:before="120" w:line="300" w:lineRule="auto"/>
        <w:ind w:hanging="720"/>
        <w:rPr>
          <w:szCs w:val="24"/>
        </w:rPr>
      </w:pPr>
      <w:r w:rsidRPr="00D1363C">
        <w:rPr>
          <w:szCs w:val="24"/>
        </w:rPr>
        <w:t>Start-Up Offer ($/Start, Hot</w:t>
      </w:r>
      <w:bookmarkStart w:id="1048" w:name="_Ref73437052"/>
      <w:r w:rsidRPr="00D1363C">
        <w:rPr>
          <w:szCs w:val="24"/>
          <w:vertAlign w:val="superscript"/>
        </w:rPr>
        <w:footnoteReference w:id="2"/>
      </w:r>
      <w:bookmarkEnd w:id="1048"/>
      <w:r w:rsidRPr="00D1363C">
        <w:rPr>
          <w:szCs w:val="24"/>
        </w:rPr>
        <w:t>, Intermediate</w:t>
      </w:r>
      <w:r w:rsidRPr="00D1363C">
        <w:rPr>
          <w:szCs w:val="24"/>
          <w:vertAlign w:val="superscript"/>
        </w:rPr>
        <w:t>1</w:t>
      </w:r>
      <w:r w:rsidRPr="00D1363C">
        <w:rPr>
          <w:szCs w:val="24"/>
        </w:rPr>
        <w:t xml:space="preserve"> and Cold – Hourly Unit Commitment Parameter);</w:t>
      </w:r>
    </w:p>
    <w:p w14:paraId="083D9829" w14:textId="77777777" w:rsidR="00C70F99" w:rsidRPr="00D1363C" w:rsidRDefault="00C70F99" w:rsidP="00C35DA0">
      <w:pPr>
        <w:numPr>
          <w:ilvl w:val="0"/>
          <w:numId w:val="42"/>
        </w:numPr>
        <w:spacing w:before="120" w:line="300" w:lineRule="auto"/>
        <w:ind w:hanging="720"/>
        <w:rPr>
          <w:szCs w:val="24"/>
        </w:rPr>
      </w:pPr>
      <w:r w:rsidRPr="00D1363C">
        <w:rPr>
          <w:szCs w:val="24"/>
        </w:rPr>
        <w:t>Mitigated Start-Up Offer ($/Start, Hot</w:t>
      </w:r>
      <w:r w:rsidRPr="00D1363C">
        <w:rPr>
          <w:szCs w:val="24"/>
          <w:vertAlign w:val="superscript"/>
        </w:rPr>
        <w:t>1</w:t>
      </w:r>
      <w:r w:rsidRPr="00D1363C">
        <w:rPr>
          <w:szCs w:val="24"/>
        </w:rPr>
        <w:t>, Intermediate</w:t>
      </w:r>
      <w:r w:rsidRPr="00D1363C">
        <w:rPr>
          <w:szCs w:val="24"/>
          <w:vertAlign w:val="superscript"/>
        </w:rPr>
        <w:t>1</w:t>
      </w:r>
      <w:r w:rsidRPr="00D1363C">
        <w:rPr>
          <w:szCs w:val="24"/>
        </w:rPr>
        <w:t xml:space="preserve"> and Cold – Hourly Unit Commitment Parameter);  </w:t>
      </w:r>
    </w:p>
    <w:p w14:paraId="3E03013C" w14:textId="5042D9CA" w:rsidR="00C70F99" w:rsidRPr="00D1363C" w:rsidRDefault="00C70F99" w:rsidP="00C35DA0">
      <w:pPr>
        <w:numPr>
          <w:ilvl w:val="0"/>
          <w:numId w:val="42"/>
        </w:numPr>
        <w:spacing w:before="120" w:line="300" w:lineRule="auto"/>
        <w:ind w:hanging="720"/>
        <w:rPr>
          <w:szCs w:val="24"/>
        </w:rPr>
      </w:pPr>
      <w:r w:rsidRPr="00D1363C">
        <w:rPr>
          <w:szCs w:val="24"/>
        </w:rPr>
        <w:t xml:space="preserve">No-Load Offer ($/Hour);  </w:t>
      </w:r>
    </w:p>
    <w:p w14:paraId="1453384F" w14:textId="77777777" w:rsidR="00C70F99" w:rsidRPr="00D1363C" w:rsidRDefault="00C70F99" w:rsidP="00C35DA0">
      <w:pPr>
        <w:numPr>
          <w:ilvl w:val="0"/>
          <w:numId w:val="42"/>
        </w:numPr>
        <w:spacing w:before="120" w:line="300" w:lineRule="auto"/>
        <w:ind w:hanging="720"/>
        <w:rPr>
          <w:szCs w:val="24"/>
        </w:rPr>
      </w:pPr>
      <w:r w:rsidRPr="00D1363C">
        <w:rPr>
          <w:szCs w:val="24"/>
        </w:rPr>
        <w:t>Mitigated No-Load Offer ($/Hour);</w:t>
      </w:r>
    </w:p>
    <w:p w14:paraId="57A3FC8C" w14:textId="77777777" w:rsidR="00C70F99" w:rsidRPr="00D1363C" w:rsidRDefault="00C70F99" w:rsidP="00C35DA0">
      <w:pPr>
        <w:numPr>
          <w:ilvl w:val="0"/>
          <w:numId w:val="42"/>
        </w:numPr>
        <w:spacing w:before="120" w:line="300" w:lineRule="auto"/>
        <w:ind w:hanging="720"/>
        <w:rPr>
          <w:szCs w:val="24"/>
        </w:rPr>
      </w:pPr>
      <w:r w:rsidRPr="00D1363C">
        <w:rPr>
          <w:szCs w:val="24"/>
        </w:rPr>
        <w:t>Energy Offer Curve (MW, $/MWh, up to 10 price/quantity pairs, monotonically non-decreasing</w:t>
      </w:r>
      <w:r w:rsidRPr="00D1363C">
        <w:t xml:space="preserve"> $/MWh, increasing MW and slope or block option</w:t>
      </w:r>
      <w:r w:rsidRPr="00D1363C">
        <w:rPr>
          <w:szCs w:val="24"/>
        </w:rPr>
        <w:t>);</w:t>
      </w:r>
    </w:p>
    <w:p w14:paraId="491C7C7F" w14:textId="77777777" w:rsidR="00C70F99" w:rsidRPr="00D1363C" w:rsidRDefault="00C70F99" w:rsidP="00C35DA0">
      <w:pPr>
        <w:numPr>
          <w:ilvl w:val="0"/>
          <w:numId w:val="8"/>
        </w:numPr>
        <w:tabs>
          <w:tab w:val="num" w:pos="1440"/>
        </w:tabs>
        <w:spacing w:before="120" w:line="300" w:lineRule="auto"/>
        <w:ind w:left="1440" w:hanging="720"/>
        <w:rPr>
          <w:szCs w:val="24"/>
        </w:rPr>
      </w:pPr>
      <w:r w:rsidRPr="00D1363C">
        <w:t>Block and slope pairs may not coexist.  The Resource Offer in effect for any given period of time must be comprised by all block or all slope price/quantity pairs.</w:t>
      </w:r>
    </w:p>
    <w:p w14:paraId="64E0F4B8" w14:textId="77777777" w:rsidR="00C70F99" w:rsidRPr="00D1363C" w:rsidRDefault="00C70F99" w:rsidP="00C35DA0">
      <w:pPr>
        <w:numPr>
          <w:ilvl w:val="0"/>
          <w:numId w:val="8"/>
        </w:numPr>
        <w:tabs>
          <w:tab w:val="num" w:pos="1440"/>
        </w:tabs>
        <w:spacing w:before="120" w:line="300" w:lineRule="auto"/>
        <w:ind w:left="1440" w:hanging="720"/>
        <w:rPr>
          <w:szCs w:val="24"/>
        </w:rPr>
      </w:pPr>
      <w:r w:rsidRPr="00D1363C">
        <w:rPr>
          <w:szCs w:val="24"/>
        </w:rPr>
        <w:t>The price of all MWhs below the first pricing point MWh is equal to the first pricing point price.  The price of all MWhs above the last pricing point MWh is equal to the last pricing point price.</w:t>
      </w:r>
    </w:p>
    <w:p w14:paraId="251915DB" w14:textId="749DFB7F" w:rsidR="00C70F99" w:rsidRPr="00D1363C" w:rsidRDefault="00C70F99" w:rsidP="00C35DA0">
      <w:pPr>
        <w:numPr>
          <w:ilvl w:val="0"/>
          <w:numId w:val="8"/>
        </w:numPr>
        <w:tabs>
          <w:tab w:val="num" w:pos="1440"/>
        </w:tabs>
        <w:spacing w:before="120" w:line="300" w:lineRule="auto"/>
        <w:ind w:left="1440" w:hanging="720"/>
        <w:rPr>
          <w:szCs w:val="24"/>
        </w:rPr>
      </w:pPr>
      <w:r w:rsidRPr="00D1363C">
        <w:rPr>
          <w:szCs w:val="24"/>
        </w:rPr>
        <w:t>Under the slope option, the set of price points that are submitted are used as the beginning and ending values for calculating a linear slope for each set of beginning and ending values.  Therefore, each MW between the two price points has a different price due to the interpolation of the submitted price points.  Under the block option, each MW between the two MW points is offered at the price of the larger MW point.  Exhibit 4-</w:t>
      </w:r>
      <w:r w:rsidR="00A013FA">
        <w:rPr>
          <w:szCs w:val="24"/>
        </w:rPr>
        <w:t>5</w:t>
      </w:r>
      <w:r w:rsidRPr="00D1363C">
        <w:rPr>
          <w:szCs w:val="24"/>
        </w:rPr>
        <w:t xml:space="preserve"> illustrates Energy Offer Curves developed from submitted price/MWh pairs for both the slope and block options.</w:t>
      </w:r>
    </w:p>
    <w:p w14:paraId="4E683252" w14:textId="6BC63730" w:rsidR="00C70F99" w:rsidRPr="00D1363C" w:rsidRDefault="00C70F99" w:rsidP="00C70F99">
      <w:pPr>
        <w:keepNext/>
        <w:spacing w:after="0" w:line="300" w:lineRule="auto"/>
        <w:jc w:val="center"/>
        <w:rPr>
          <w:b/>
          <w:szCs w:val="24"/>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5</w:t>
      </w:r>
      <w:r w:rsidRPr="00D1363C">
        <w:rPr>
          <w:b/>
          <w:szCs w:val="24"/>
        </w:rPr>
        <w:t>: Energy Offer Curve Development</w:t>
      </w:r>
    </w:p>
    <w:p w14:paraId="0E5F63BC" w14:textId="40DE7568" w:rsidR="00C70F99" w:rsidRPr="00D1363C" w:rsidRDefault="00C70F99" w:rsidP="00C70F99">
      <w:pPr>
        <w:spacing w:before="120" w:line="300" w:lineRule="auto"/>
        <w:jc w:val="center"/>
        <w:rPr>
          <w:szCs w:val="24"/>
        </w:rPr>
      </w:pPr>
      <w:r w:rsidRPr="00D1363C">
        <w:rPr>
          <w:noProof/>
        </w:rPr>
        <w:drawing>
          <wp:inline distT="0" distB="0" distL="0" distR="0" wp14:anchorId="7CD68211" wp14:editId="4C48C913">
            <wp:extent cx="5943600" cy="3016250"/>
            <wp:effectExtent l="0" t="0" r="0" b="0"/>
            <wp:docPr id="10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7C81E501" w14:textId="77777777" w:rsidR="00C70F99" w:rsidRPr="00D1363C" w:rsidRDefault="00C70F99" w:rsidP="00C35DA0">
      <w:pPr>
        <w:numPr>
          <w:ilvl w:val="0"/>
          <w:numId w:val="42"/>
        </w:numPr>
        <w:spacing w:after="0" w:line="300" w:lineRule="auto"/>
        <w:ind w:hanging="720"/>
        <w:rPr>
          <w:szCs w:val="24"/>
        </w:rPr>
      </w:pPr>
      <w:r w:rsidRPr="00D1363C">
        <w:rPr>
          <w:szCs w:val="24"/>
        </w:rPr>
        <w:t>Mitigated Energy Offer Curve (MW, $/MWh, up to 10 price/quantity pairs, monotonically non-decreasing</w:t>
      </w:r>
      <w:r w:rsidRPr="00D1363C">
        <w:t xml:space="preserve"> $/MWh, increasing MW and slope or block option</w:t>
      </w:r>
      <w:r w:rsidRPr="00D1363C">
        <w:rPr>
          <w:szCs w:val="24"/>
        </w:rPr>
        <w:t>);</w:t>
      </w:r>
    </w:p>
    <w:p w14:paraId="1E3B6308" w14:textId="77777777" w:rsidR="00C70F99" w:rsidRDefault="00C70F99" w:rsidP="00C35DA0">
      <w:pPr>
        <w:numPr>
          <w:ilvl w:val="1"/>
          <w:numId w:val="42"/>
        </w:numPr>
        <w:spacing w:after="0" w:line="300" w:lineRule="auto"/>
        <w:ind w:hanging="720"/>
        <w:rPr>
          <w:szCs w:val="24"/>
        </w:rPr>
      </w:pPr>
      <w:r w:rsidRPr="00D1363C">
        <w:rPr>
          <w:szCs w:val="24"/>
        </w:rPr>
        <w:t>Block and slope pairs may not coexist.  The Resource Offer in effect for any given period of time must be comprised of all block or all slope price/quantity pairs.</w:t>
      </w:r>
    </w:p>
    <w:p w14:paraId="2FFB4627" w14:textId="355CAF68" w:rsidR="003342C1" w:rsidRPr="003342C1" w:rsidRDefault="003342C1" w:rsidP="00B503E9">
      <w:pPr>
        <w:pStyle w:val="ListParagraph"/>
        <w:numPr>
          <w:ilvl w:val="1"/>
          <w:numId w:val="42"/>
        </w:numPr>
        <w:spacing w:before="120" w:line="300" w:lineRule="auto"/>
        <w:ind w:hanging="720"/>
        <w:rPr>
          <w:szCs w:val="24"/>
        </w:rPr>
      </w:pPr>
      <w:r w:rsidRPr="003342C1">
        <w:rPr>
          <w:szCs w:val="24"/>
        </w:rPr>
        <w:t>The price of all MWhs below the first pricing point MWh is equal to the first pricing point price.  The price of all MWhs above the last pricing point MWh is equal to the last pricing point price.</w:t>
      </w:r>
    </w:p>
    <w:p w14:paraId="411D1683" w14:textId="1F093640" w:rsidR="00ED5B68" w:rsidRPr="003342C1" w:rsidRDefault="003342C1" w:rsidP="00B503E9">
      <w:pPr>
        <w:pStyle w:val="ListParagraph"/>
        <w:numPr>
          <w:ilvl w:val="1"/>
          <w:numId w:val="42"/>
        </w:numPr>
        <w:spacing w:after="0" w:line="300" w:lineRule="auto"/>
        <w:ind w:hanging="720"/>
        <w:rPr>
          <w:szCs w:val="24"/>
        </w:rPr>
      </w:pPr>
      <w:r w:rsidRPr="003342C1">
        <w:rPr>
          <w:szCs w:val="24"/>
        </w:rPr>
        <w:t>Under the slope option, the set of price points that are submitted are used as the beginning and ending values for calculating a linear slope for each set of beginning</w:t>
      </w:r>
      <w:r w:rsidR="00407A56" w:rsidRPr="00407A56">
        <w:rPr>
          <w:szCs w:val="24"/>
        </w:rPr>
        <w:t xml:space="preserve"> </w:t>
      </w:r>
      <w:r w:rsidR="00407A56" w:rsidRPr="00D1363C">
        <w:rPr>
          <w:szCs w:val="24"/>
        </w:rPr>
        <w:t xml:space="preserve">and ending values.  Therefore, each MW between the two price points has a different price due to the interpolation of the submitted price points.  Under the block option, each MW between the two MW points is offered at the price of the larger MW point.  </w:t>
      </w:r>
    </w:p>
    <w:p w14:paraId="62C5B26B" w14:textId="77777777" w:rsidR="000E559B" w:rsidRDefault="000E559B" w:rsidP="000E559B">
      <w:pPr>
        <w:numPr>
          <w:ilvl w:val="0"/>
          <w:numId w:val="42"/>
        </w:numPr>
        <w:spacing w:after="0" w:line="300" w:lineRule="auto"/>
      </w:pPr>
      <w:r w:rsidRPr="00B90D45">
        <w:t xml:space="preserve">Specified GHG Adder </w:t>
      </w:r>
      <w:r>
        <w:t>is only applicable to registered Internal GHG Resources and Specified Source Resources.</w:t>
      </w:r>
    </w:p>
    <w:p w14:paraId="555A9AA5" w14:textId="77777777" w:rsidR="000E559B" w:rsidRPr="004B2B14" w:rsidRDefault="000E559B" w:rsidP="000E559B">
      <w:pPr>
        <w:numPr>
          <w:ilvl w:val="1"/>
          <w:numId w:val="42"/>
        </w:numPr>
        <w:spacing w:after="0" w:line="300" w:lineRule="auto"/>
        <w:ind w:hanging="720"/>
      </w:pPr>
      <w:r>
        <w:t xml:space="preserve">Internal GHG Resources contain </w:t>
      </w:r>
      <w:r w:rsidRPr="00B90D45">
        <w:t>MW</w:t>
      </w:r>
      <w:r>
        <w:t xml:space="preserve"> and</w:t>
      </w:r>
      <w:r w:rsidRPr="00B90D45">
        <w:t xml:space="preserve"> $/MWh</w:t>
      </w:r>
      <w:r>
        <w:t xml:space="preserve"> pairs and can be</w:t>
      </w:r>
      <w:r w:rsidRPr="00B90D45">
        <w:t xml:space="preserve"> up to 10 price/quantity pairs</w:t>
      </w:r>
      <w:r>
        <w:t>. The pairs should be</w:t>
      </w:r>
      <w:r w:rsidRPr="00B90D45">
        <w:t xml:space="preserve"> monotonically non-decreasing $/MWh increasing MW </w:t>
      </w:r>
      <w:r>
        <w:t>with both the</w:t>
      </w:r>
      <w:r w:rsidRPr="00B90D45">
        <w:t xml:space="preserve"> slope or block option</w:t>
      </w:r>
      <w:r>
        <w:t xml:space="preserve">. </w:t>
      </w:r>
    </w:p>
    <w:p w14:paraId="0FEB9BBD" w14:textId="77777777" w:rsidR="000E559B" w:rsidRPr="00B90D45" w:rsidRDefault="000E559B" w:rsidP="000E559B">
      <w:pPr>
        <w:numPr>
          <w:ilvl w:val="1"/>
          <w:numId w:val="42"/>
        </w:numPr>
        <w:spacing w:after="0" w:line="300" w:lineRule="auto"/>
        <w:ind w:hanging="720"/>
      </w:pPr>
      <w:r>
        <w:t>Specified Source Resources must submit a flat curve consisting of a single factor multiplied by an allowance price across all $/MWh price/quantity pairs. Type 1B/Type 2 Specified Source Resource “Child Resources” that submit a “null” value will be considered as opting out of offering Energy that can be attributed to a GHG Pricing Zone.</w:t>
      </w:r>
    </w:p>
    <w:p w14:paraId="5CC2556F" w14:textId="77777777" w:rsidR="000E559B" w:rsidRPr="00B90D45" w:rsidRDefault="000E559B" w:rsidP="000E559B">
      <w:pPr>
        <w:numPr>
          <w:ilvl w:val="1"/>
          <w:numId w:val="42"/>
        </w:numPr>
        <w:spacing w:after="0" w:line="300" w:lineRule="auto"/>
        <w:ind w:hanging="720"/>
      </w:pPr>
      <w:r w:rsidRPr="00B90D45">
        <w:t>Block and slope pairs may not coexist.  The Resource Offer in effect for any given period of time must be comprised of all block or all slope price/quantity pairs.</w:t>
      </w:r>
    </w:p>
    <w:p w14:paraId="265470DF" w14:textId="77777777" w:rsidR="000E559B" w:rsidRPr="00B90D45" w:rsidRDefault="000E559B" w:rsidP="000E559B">
      <w:pPr>
        <w:numPr>
          <w:ilvl w:val="1"/>
          <w:numId w:val="42"/>
        </w:numPr>
        <w:spacing w:before="120" w:line="300" w:lineRule="auto"/>
        <w:ind w:hanging="720"/>
        <w:contextualSpacing/>
      </w:pPr>
      <w:r w:rsidRPr="00B90D45">
        <w:t>The price of all MWhs below the first pricing point MWh is equal to the first pricing point price.  The price of all MWhs above the last pricing point MWh is equal to the last pricing point price.</w:t>
      </w:r>
    </w:p>
    <w:p w14:paraId="107AE3EC" w14:textId="77777777" w:rsidR="000E559B" w:rsidRPr="00B90D45" w:rsidRDefault="000E559B" w:rsidP="000E559B">
      <w:pPr>
        <w:numPr>
          <w:ilvl w:val="1"/>
          <w:numId w:val="42"/>
        </w:numPr>
        <w:spacing w:after="0" w:line="300" w:lineRule="auto"/>
        <w:ind w:hanging="720"/>
        <w:contextualSpacing/>
      </w:pPr>
      <w:r w:rsidRPr="00B90D45">
        <w:t xml:space="preserve">Under the slope option, the set of price points that are submitted are used as the beginning and ending values for calculating a linear slope for each set of beginning and ending values.  Therefore, each MW between the two price points has a different price due to the interpolation of the submitted price points.  Under the block option, each MW between the two MW points is offered at the price of the larger MW point.  </w:t>
      </w:r>
    </w:p>
    <w:p w14:paraId="3A77CEAA" w14:textId="77777777" w:rsidR="003828E3" w:rsidRPr="00171DED" w:rsidRDefault="003828E3" w:rsidP="003828E3">
      <w:pPr>
        <w:numPr>
          <w:ilvl w:val="0"/>
          <w:numId w:val="42"/>
        </w:numPr>
        <w:spacing w:after="0" w:line="300" w:lineRule="auto"/>
        <w:ind w:hanging="720"/>
        <w:rPr>
          <w:szCs w:val="24"/>
        </w:rPr>
      </w:pPr>
      <w:r w:rsidRPr="00171DED">
        <w:rPr>
          <w:szCs w:val="24"/>
        </w:rPr>
        <w:t xml:space="preserve">Surplus Threshold – MW – Only applicable for a registered Specified Source Resource </w:t>
      </w:r>
      <w:r>
        <w:rPr>
          <w:szCs w:val="24"/>
        </w:rPr>
        <w:t>“Child” Resource</w:t>
      </w:r>
      <w:r w:rsidRPr="00171DED">
        <w:rPr>
          <w:szCs w:val="24"/>
        </w:rPr>
        <w:t xml:space="preserve"> offering Type 2 Energy</w:t>
      </w:r>
      <w:r>
        <w:rPr>
          <w:szCs w:val="24"/>
        </w:rPr>
        <w:t xml:space="preserve"> with a Surplus Threshold Status of “Submitted.”  An MCR may submit a Surplus Threshold value for each applicable configuration.</w:t>
      </w:r>
    </w:p>
    <w:p w14:paraId="23A042C0" w14:textId="77777777" w:rsidR="000E559B" w:rsidRPr="00B90D45" w:rsidRDefault="000E559B" w:rsidP="000E559B">
      <w:pPr>
        <w:numPr>
          <w:ilvl w:val="0"/>
          <w:numId w:val="42"/>
        </w:numPr>
        <w:spacing w:after="0" w:line="300" w:lineRule="auto"/>
        <w:ind w:hanging="720"/>
      </w:pPr>
      <w:r>
        <w:t>Type 1B Energy Maximum Quantity – Only applicable for Specified Source Resources offering Type 1B Energy.</w:t>
      </w:r>
    </w:p>
    <w:p w14:paraId="562D8608" w14:textId="63674955" w:rsidR="000E559B" w:rsidRPr="00B90D45" w:rsidRDefault="000E559B" w:rsidP="000E559B">
      <w:pPr>
        <w:numPr>
          <w:ilvl w:val="0"/>
          <w:numId w:val="42"/>
        </w:numPr>
        <w:spacing w:after="0" w:line="300" w:lineRule="auto"/>
        <w:ind w:hanging="720"/>
      </w:pPr>
      <w:r>
        <w:t>Type 2 Energy Maximum Quantity – Only applicable for Specified Source Resources offering Type 2 Energy.</w:t>
      </w:r>
    </w:p>
    <w:p w14:paraId="7456A3FD" w14:textId="4A57D713" w:rsidR="00C70F99" w:rsidRPr="00D1363C" w:rsidRDefault="00C70F99" w:rsidP="00064528">
      <w:pPr>
        <w:numPr>
          <w:ilvl w:val="0"/>
          <w:numId w:val="42"/>
        </w:numPr>
        <w:spacing w:after="0" w:line="300" w:lineRule="auto"/>
        <w:ind w:hanging="720"/>
        <w:rPr>
          <w:szCs w:val="24"/>
        </w:rPr>
      </w:pPr>
      <w:r w:rsidRPr="00D1363C">
        <w:rPr>
          <w:szCs w:val="24"/>
        </w:rPr>
        <w:t>Mid-Term Flex Up Offer ($/MW</w:t>
      </w:r>
      <w:r>
        <w:rPr>
          <w:szCs w:val="24"/>
        </w:rPr>
        <w:t xml:space="preserve"> – Applicable to only Offline Resources</w:t>
      </w:r>
      <w:r w:rsidRPr="00D1363C">
        <w:rPr>
          <w:szCs w:val="24"/>
        </w:rPr>
        <w:t>);</w:t>
      </w:r>
    </w:p>
    <w:p w14:paraId="3ADE2875" w14:textId="77777777" w:rsidR="00C70F99" w:rsidRPr="00D1363C" w:rsidRDefault="00C70F99" w:rsidP="00064528">
      <w:pPr>
        <w:numPr>
          <w:ilvl w:val="0"/>
          <w:numId w:val="42"/>
        </w:numPr>
        <w:spacing w:after="0" w:line="300" w:lineRule="auto"/>
        <w:ind w:hanging="720"/>
        <w:rPr>
          <w:szCs w:val="24"/>
        </w:rPr>
      </w:pPr>
      <w:r w:rsidRPr="00D1363C">
        <w:rPr>
          <w:szCs w:val="24"/>
        </w:rPr>
        <w:t>Mitigated Mid-Term Flex Up Offer ($/MW</w:t>
      </w:r>
      <w:r>
        <w:rPr>
          <w:szCs w:val="24"/>
        </w:rPr>
        <w:t xml:space="preserve"> – Applicable to only Offline Resources</w:t>
      </w:r>
      <w:r w:rsidRPr="00D1363C">
        <w:rPr>
          <w:szCs w:val="24"/>
        </w:rPr>
        <w:t>)</w:t>
      </w:r>
      <w:r>
        <w:rPr>
          <w:szCs w:val="24"/>
        </w:rPr>
        <w:t>;</w:t>
      </w:r>
    </w:p>
    <w:p w14:paraId="77C2DA9B" w14:textId="2E40169D" w:rsidR="00C70F99" w:rsidRPr="00D1363C" w:rsidRDefault="00C70F99" w:rsidP="00064528">
      <w:pPr>
        <w:numPr>
          <w:ilvl w:val="0"/>
          <w:numId w:val="42"/>
        </w:numPr>
        <w:spacing w:after="0" w:line="300" w:lineRule="auto"/>
        <w:ind w:hanging="720"/>
        <w:rPr>
          <w:szCs w:val="24"/>
        </w:rPr>
      </w:pPr>
      <w:r w:rsidRPr="00D1363C">
        <w:rPr>
          <w:szCs w:val="24"/>
        </w:rPr>
        <w:t>Sync-</w:t>
      </w:r>
      <w:r w:rsidR="00854428">
        <w:rPr>
          <w:szCs w:val="24"/>
        </w:rPr>
        <w:t>t</w:t>
      </w:r>
      <w:r w:rsidRPr="00D1363C">
        <w:rPr>
          <w:szCs w:val="24"/>
        </w:rPr>
        <w:t>o-Min Time (hours:minutes – Daily Unit Commitment Parameter);</w:t>
      </w:r>
    </w:p>
    <w:p w14:paraId="09495ECD" w14:textId="6BB04758" w:rsidR="00C70F99" w:rsidRPr="00D1363C" w:rsidRDefault="00C70F99" w:rsidP="00064528">
      <w:pPr>
        <w:numPr>
          <w:ilvl w:val="0"/>
          <w:numId w:val="42"/>
        </w:numPr>
        <w:spacing w:after="0" w:line="300" w:lineRule="auto"/>
        <w:ind w:hanging="720"/>
        <w:rPr>
          <w:szCs w:val="24"/>
        </w:rPr>
      </w:pPr>
      <w:r w:rsidRPr="00D1363C">
        <w:rPr>
          <w:szCs w:val="24"/>
        </w:rPr>
        <w:t>Min-</w:t>
      </w:r>
      <w:r w:rsidR="00854428">
        <w:rPr>
          <w:szCs w:val="24"/>
        </w:rPr>
        <w:t>t</w:t>
      </w:r>
      <w:r w:rsidRPr="00D1363C">
        <w:rPr>
          <w:szCs w:val="24"/>
        </w:rPr>
        <w:t>o-Off Time (hours:minutes – Daily Unit Commitment Parameter);</w:t>
      </w:r>
    </w:p>
    <w:p w14:paraId="5EC6A6ED" w14:textId="61C3B64E" w:rsidR="00C70F99" w:rsidRPr="00D1363C" w:rsidRDefault="00C70F99" w:rsidP="00064528">
      <w:pPr>
        <w:numPr>
          <w:ilvl w:val="0"/>
          <w:numId w:val="42"/>
        </w:numPr>
        <w:spacing w:after="0" w:line="300" w:lineRule="auto"/>
        <w:ind w:hanging="720"/>
        <w:rPr>
          <w:szCs w:val="24"/>
        </w:rPr>
      </w:pPr>
      <w:r w:rsidRPr="00D1363C">
        <w:rPr>
          <w:szCs w:val="24"/>
        </w:rPr>
        <w:t>Start-Up Time (hours:minutes, Hot</w:t>
      </w:r>
      <w:r w:rsidRPr="00D1363C">
        <w:rPr>
          <w:szCs w:val="24"/>
        </w:rPr>
        <w:fldChar w:fldCharType="begin"/>
      </w:r>
      <w:r w:rsidRPr="00D1363C">
        <w:rPr>
          <w:szCs w:val="24"/>
        </w:rPr>
        <w:instrText xml:space="preserve"> NOTEREF _Ref73437052 \f \p \h </w:instrText>
      </w:r>
      <w:r w:rsidRPr="00D1363C">
        <w:rPr>
          <w:szCs w:val="24"/>
        </w:rPr>
      </w:r>
      <w:r w:rsidRPr="00D1363C">
        <w:rPr>
          <w:szCs w:val="24"/>
        </w:rPr>
        <w:fldChar w:fldCharType="separate"/>
      </w:r>
      <w:r w:rsidRPr="00D1363C">
        <w:rPr>
          <w:szCs w:val="24"/>
        </w:rPr>
        <w:fldChar w:fldCharType="end"/>
      </w:r>
      <w:r w:rsidRPr="00D1363C">
        <w:rPr>
          <w:szCs w:val="24"/>
        </w:rPr>
        <w:t xml:space="preserve"> Intermediate</w:t>
      </w:r>
      <w:r w:rsidRPr="00D1363C">
        <w:rPr>
          <w:szCs w:val="24"/>
        </w:rPr>
        <w:fldChar w:fldCharType="begin"/>
      </w:r>
      <w:r w:rsidRPr="00D1363C">
        <w:rPr>
          <w:szCs w:val="24"/>
        </w:rPr>
        <w:instrText xml:space="preserve"> NOTEREF _Ref73437052 \f \h </w:instrText>
      </w:r>
      <w:r w:rsidRPr="00D1363C">
        <w:rPr>
          <w:szCs w:val="24"/>
        </w:rPr>
      </w:r>
      <w:r w:rsidRPr="00D1363C">
        <w:rPr>
          <w:szCs w:val="24"/>
        </w:rPr>
        <w:fldChar w:fldCharType="separate"/>
      </w:r>
      <w:r w:rsidRPr="00D1363C">
        <w:rPr>
          <w:szCs w:val="24"/>
        </w:rPr>
        <w:fldChar w:fldCharType="end"/>
      </w:r>
      <w:r w:rsidRPr="00D1363C">
        <w:rPr>
          <w:szCs w:val="24"/>
        </w:rPr>
        <w:t xml:space="preserve">, Cold </w:t>
      </w:r>
      <w:bookmarkStart w:id="1049" w:name="OLE_LINK25"/>
      <w:r w:rsidRPr="00D1363C">
        <w:rPr>
          <w:szCs w:val="24"/>
        </w:rPr>
        <w:t>– Hourly Unit Commitment</w:t>
      </w:r>
      <w:bookmarkEnd w:id="1049"/>
      <w:r w:rsidRPr="00D1363C">
        <w:rPr>
          <w:szCs w:val="24"/>
        </w:rPr>
        <w:t xml:space="preserve"> Parameter);  </w:t>
      </w:r>
    </w:p>
    <w:p w14:paraId="05FEC4BE" w14:textId="523682CA" w:rsidR="00C70F99" w:rsidRPr="00D1363C" w:rsidRDefault="00C70F99" w:rsidP="00064528">
      <w:pPr>
        <w:numPr>
          <w:ilvl w:val="0"/>
          <w:numId w:val="42"/>
        </w:numPr>
        <w:spacing w:after="0" w:line="300" w:lineRule="auto"/>
        <w:ind w:hanging="720"/>
        <w:rPr>
          <w:szCs w:val="24"/>
        </w:rPr>
      </w:pPr>
      <w:r w:rsidRPr="00D1363C">
        <w:rPr>
          <w:szCs w:val="24"/>
        </w:rPr>
        <w:t>Hot</w:t>
      </w:r>
      <w:r w:rsidR="00854428">
        <w:rPr>
          <w:szCs w:val="24"/>
        </w:rPr>
        <w:t>-</w:t>
      </w:r>
      <w:r w:rsidRPr="00D1363C">
        <w:rPr>
          <w:szCs w:val="24"/>
        </w:rPr>
        <w:t>to</w:t>
      </w:r>
      <w:r w:rsidR="00854428">
        <w:rPr>
          <w:szCs w:val="24"/>
        </w:rPr>
        <w:t>-</w:t>
      </w:r>
      <w:r w:rsidRPr="00D1363C">
        <w:rPr>
          <w:szCs w:val="24"/>
        </w:rPr>
        <w:t>Intermediate Time (hours:minutes – Daily Unit Commitment Parameter)</w:t>
      </w:r>
      <w:r w:rsidRPr="00D1363C">
        <w:rPr>
          <w:szCs w:val="24"/>
        </w:rPr>
        <w:fldChar w:fldCharType="begin"/>
      </w:r>
      <w:r w:rsidRPr="00D1363C">
        <w:rPr>
          <w:szCs w:val="24"/>
        </w:rPr>
        <w:instrText xml:space="preserve"> NOTEREF _Ref73437052 \f \h </w:instrText>
      </w:r>
      <w:r w:rsidRPr="00D1363C">
        <w:rPr>
          <w:szCs w:val="24"/>
        </w:rPr>
      </w:r>
      <w:r w:rsidRPr="00D1363C">
        <w:rPr>
          <w:szCs w:val="24"/>
        </w:rPr>
        <w:fldChar w:fldCharType="separate"/>
      </w:r>
      <w:r w:rsidRPr="00D1363C">
        <w:rPr>
          <w:szCs w:val="24"/>
        </w:rPr>
        <w:fldChar w:fldCharType="end"/>
      </w:r>
      <w:r w:rsidRPr="00D1363C">
        <w:rPr>
          <w:szCs w:val="24"/>
        </w:rPr>
        <w:t xml:space="preserve">;  </w:t>
      </w:r>
    </w:p>
    <w:p w14:paraId="19CE5D0E" w14:textId="143A619F" w:rsidR="00C70F99" w:rsidRPr="00D1363C" w:rsidRDefault="00C70F99" w:rsidP="00064528">
      <w:pPr>
        <w:numPr>
          <w:ilvl w:val="0"/>
          <w:numId w:val="42"/>
        </w:numPr>
        <w:spacing w:after="0" w:line="300" w:lineRule="auto"/>
        <w:ind w:hanging="720"/>
        <w:rPr>
          <w:szCs w:val="24"/>
        </w:rPr>
      </w:pPr>
      <w:r w:rsidRPr="00D1363C">
        <w:rPr>
          <w:szCs w:val="24"/>
        </w:rPr>
        <w:t>Hot</w:t>
      </w:r>
      <w:r w:rsidR="00854428">
        <w:rPr>
          <w:szCs w:val="24"/>
        </w:rPr>
        <w:t>-</w:t>
      </w:r>
      <w:r w:rsidRPr="00D1363C">
        <w:rPr>
          <w:szCs w:val="24"/>
        </w:rPr>
        <w:t>to</w:t>
      </w:r>
      <w:r w:rsidR="00854428">
        <w:rPr>
          <w:szCs w:val="24"/>
        </w:rPr>
        <w:t>-</w:t>
      </w:r>
      <w:r w:rsidRPr="00D1363C">
        <w:rPr>
          <w:szCs w:val="24"/>
        </w:rPr>
        <w:t>Cold Time (hours:minutes – Daily Unit Commitment Parameter)</w:t>
      </w:r>
      <w:r w:rsidRPr="00D1363C">
        <w:rPr>
          <w:szCs w:val="24"/>
        </w:rPr>
        <w:fldChar w:fldCharType="begin"/>
      </w:r>
      <w:r w:rsidRPr="00D1363C">
        <w:rPr>
          <w:szCs w:val="24"/>
        </w:rPr>
        <w:instrText xml:space="preserve"> NOTEREF _Ref73437052 \f \h </w:instrText>
      </w:r>
      <w:r w:rsidRPr="00D1363C">
        <w:rPr>
          <w:szCs w:val="24"/>
        </w:rPr>
      </w:r>
      <w:r w:rsidRPr="00D1363C">
        <w:rPr>
          <w:szCs w:val="24"/>
        </w:rPr>
        <w:fldChar w:fldCharType="separate"/>
      </w:r>
      <w:r w:rsidRPr="00D1363C">
        <w:rPr>
          <w:szCs w:val="24"/>
        </w:rPr>
        <w:fldChar w:fldCharType="end"/>
      </w:r>
      <w:r w:rsidRPr="00D1363C">
        <w:rPr>
          <w:szCs w:val="24"/>
        </w:rPr>
        <w:t xml:space="preserve">;  </w:t>
      </w:r>
    </w:p>
    <w:p w14:paraId="1CD4A620"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Maximum Daily Starts (Daily Unit Commitment Parameter);  </w:t>
      </w:r>
    </w:p>
    <w:p w14:paraId="24F5CA68"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Maximum Weekly Starts – Rolling 7-day (Daily Unit Commitment Parameter);  </w:t>
      </w:r>
    </w:p>
    <w:p w14:paraId="0462B4C7"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Maximum Daily Energy (MWh – Daily Unit Commitment Parameter); </w:t>
      </w:r>
    </w:p>
    <w:p w14:paraId="59BDE439" w14:textId="77777777" w:rsidR="00C70F99" w:rsidRDefault="00C70F99" w:rsidP="00064528">
      <w:pPr>
        <w:numPr>
          <w:ilvl w:val="0"/>
          <w:numId w:val="42"/>
        </w:numPr>
        <w:spacing w:after="0" w:line="300" w:lineRule="auto"/>
        <w:ind w:hanging="720"/>
        <w:rPr>
          <w:szCs w:val="24"/>
        </w:rPr>
      </w:pPr>
      <w:r w:rsidRPr="00D1363C">
        <w:rPr>
          <w:szCs w:val="24"/>
        </w:rPr>
        <w:t xml:space="preserve">Minimum Run Time (hours:minutes – Daily Unit Commitment Parameter);  </w:t>
      </w:r>
    </w:p>
    <w:p w14:paraId="209516C1" w14:textId="77777777" w:rsidR="00B817D2" w:rsidRPr="00D1363C" w:rsidRDefault="00B817D2" w:rsidP="00E94CBF">
      <w:pPr>
        <w:spacing w:after="0" w:line="300" w:lineRule="auto"/>
        <w:ind w:left="720"/>
        <w:rPr>
          <w:szCs w:val="24"/>
        </w:rPr>
      </w:pPr>
    </w:p>
    <w:p w14:paraId="6530B561"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Maximum Run Time (hours:minutes – Daily Unit Commitment Parameter);  </w:t>
      </w:r>
    </w:p>
    <w:p w14:paraId="18AB4101"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Minimum Down Time (hours:minutes – Daily Unit Commitment Parameter);  </w:t>
      </w:r>
    </w:p>
    <w:p w14:paraId="7CE97304" w14:textId="3F780C05" w:rsidR="00C70F99" w:rsidRPr="00D1363C" w:rsidRDefault="00C70F99" w:rsidP="00064528">
      <w:pPr>
        <w:numPr>
          <w:ilvl w:val="0"/>
          <w:numId w:val="42"/>
        </w:numPr>
        <w:spacing w:after="0" w:line="300" w:lineRule="auto"/>
        <w:ind w:hanging="720"/>
        <w:rPr>
          <w:szCs w:val="24"/>
        </w:rPr>
      </w:pPr>
      <w:r w:rsidRPr="00D1363C">
        <w:rPr>
          <w:szCs w:val="24"/>
        </w:rPr>
        <w:t>Minimum Economic Capacity Operating Limit (MW</w:t>
      </w:r>
      <w:r w:rsidR="00E122A7">
        <w:rPr>
          <w:szCs w:val="24"/>
        </w:rPr>
        <w:t>, not applicable to MSRs</w:t>
      </w:r>
      <w:r w:rsidRPr="00D1363C">
        <w:rPr>
          <w:szCs w:val="24"/>
        </w:rPr>
        <w:t>)</w:t>
      </w:r>
      <w:r w:rsidRPr="00D1363C">
        <w:rPr>
          <w:szCs w:val="24"/>
        </w:rPr>
        <w:fldChar w:fldCharType="begin"/>
      </w:r>
      <w:r w:rsidRPr="00D1363C">
        <w:rPr>
          <w:szCs w:val="24"/>
        </w:rPr>
        <w:instrText xml:space="preserve"> NOTEREF _Ref73437052 \f \h </w:instrText>
      </w:r>
      <w:r w:rsidRPr="00D1363C">
        <w:rPr>
          <w:szCs w:val="24"/>
        </w:rPr>
      </w:r>
      <w:r w:rsidRPr="00D1363C">
        <w:rPr>
          <w:szCs w:val="24"/>
        </w:rPr>
        <w:fldChar w:fldCharType="separate"/>
      </w:r>
      <w:r w:rsidRPr="00D1363C">
        <w:rPr>
          <w:szCs w:val="24"/>
        </w:rPr>
        <w:fldChar w:fldCharType="end"/>
      </w:r>
      <w:r w:rsidRPr="00D1363C">
        <w:rPr>
          <w:szCs w:val="24"/>
        </w:rPr>
        <w:t>;</w:t>
      </w:r>
    </w:p>
    <w:p w14:paraId="22EE4E60" w14:textId="5BADF970" w:rsidR="00C70F99" w:rsidRPr="00D1363C" w:rsidRDefault="00C70F99" w:rsidP="00064528">
      <w:pPr>
        <w:numPr>
          <w:ilvl w:val="0"/>
          <w:numId w:val="42"/>
        </w:numPr>
        <w:spacing w:after="0" w:line="300" w:lineRule="auto"/>
        <w:ind w:hanging="720"/>
        <w:rPr>
          <w:szCs w:val="24"/>
        </w:rPr>
      </w:pPr>
      <w:r w:rsidRPr="00D1363C">
        <w:rPr>
          <w:szCs w:val="24"/>
        </w:rPr>
        <w:t>Maximum Economic Capacity Operating Limit (MW</w:t>
      </w:r>
      <w:r w:rsidR="00593447">
        <w:rPr>
          <w:szCs w:val="24"/>
        </w:rPr>
        <w:t>, not applicable to MSRs</w:t>
      </w:r>
      <w:r w:rsidRPr="00D1363C">
        <w:rPr>
          <w:szCs w:val="24"/>
        </w:rPr>
        <w:t>)</w:t>
      </w:r>
      <w:r w:rsidRPr="00D1363C">
        <w:rPr>
          <w:szCs w:val="24"/>
        </w:rPr>
        <w:fldChar w:fldCharType="begin"/>
      </w:r>
      <w:r w:rsidRPr="00D1363C">
        <w:rPr>
          <w:szCs w:val="24"/>
        </w:rPr>
        <w:instrText xml:space="preserve"> NOTEREF _Ref73437052 \f \h </w:instrText>
      </w:r>
      <w:r w:rsidRPr="00D1363C">
        <w:rPr>
          <w:szCs w:val="24"/>
        </w:rPr>
      </w:r>
      <w:r w:rsidRPr="00D1363C">
        <w:rPr>
          <w:szCs w:val="24"/>
        </w:rPr>
        <w:fldChar w:fldCharType="separate"/>
      </w:r>
      <w:r w:rsidRPr="00D1363C">
        <w:rPr>
          <w:szCs w:val="24"/>
        </w:rPr>
        <w:fldChar w:fldCharType="end"/>
      </w:r>
      <w:r w:rsidRPr="00D1363C">
        <w:rPr>
          <w:szCs w:val="24"/>
        </w:rPr>
        <w:t>;</w:t>
      </w:r>
    </w:p>
    <w:p w14:paraId="2B417E56"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Ramp-Rate-Up (curve, MW/Minute).  Ramp-Rate-Up submittal is through a segmented profile as follows.  Each profile will require at least one (1) segment and may have up to </w:t>
      </w:r>
      <w:r w:rsidRPr="00D1363C">
        <w:rPr>
          <w:i/>
          <w:szCs w:val="24"/>
        </w:rPr>
        <w:t>n</w:t>
      </w:r>
      <w:r w:rsidRPr="00D1363C">
        <w:rPr>
          <w:szCs w:val="24"/>
        </w:rPr>
        <w:t xml:space="preserve"> segments where </w:t>
      </w:r>
      <w:r w:rsidRPr="00D1363C">
        <w:rPr>
          <w:i/>
          <w:szCs w:val="24"/>
        </w:rPr>
        <w:t>n</w:t>
      </w:r>
      <w:r w:rsidRPr="00D1363C">
        <w:rPr>
          <w:szCs w:val="24"/>
        </w:rPr>
        <w:t xml:space="preserve"> will be defined by the Market Operator, initially set to ten (10);</w:t>
      </w:r>
    </w:p>
    <w:p w14:paraId="0A986B55" w14:textId="77777777" w:rsidR="00C70F99" w:rsidRPr="00D1363C" w:rsidRDefault="00C70F99" w:rsidP="00C35DA0">
      <w:pPr>
        <w:numPr>
          <w:ilvl w:val="0"/>
          <w:numId w:val="15"/>
        </w:numPr>
        <w:tabs>
          <w:tab w:val="num" w:pos="1440"/>
        </w:tabs>
        <w:spacing w:before="120" w:line="300" w:lineRule="auto"/>
        <w:ind w:left="1440" w:hanging="720"/>
        <w:rPr>
          <w:szCs w:val="24"/>
        </w:rPr>
      </w:pPr>
      <w:r w:rsidRPr="00D1363C">
        <w:rPr>
          <w:szCs w:val="24"/>
        </w:rPr>
        <w:t xml:space="preserve">Breakpoint Limit 1 – Resource MW output at which segment 1 Ramp-Rate-Up will apply.  In the RTBM, if the actual measured MW during deployment is less than the Breakpoint Limit 1, the Ramp-Rate-Up in Block 1 will apply back to the actual measured MW. </w:t>
      </w:r>
    </w:p>
    <w:p w14:paraId="145A574D" w14:textId="77777777" w:rsidR="00C70F99" w:rsidRPr="00D1363C" w:rsidRDefault="00C70F99" w:rsidP="00C35DA0">
      <w:pPr>
        <w:numPr>
          <w:ilvl w:val="0"/>
          <w:numId w:val="15"/>
        </w:numPr>
        <w:tabs>
          <w:tab w:val="num" w:pos="1440"/>
        </w:tabs>
        <w:spacing w:before="120" w:line="300" w:lineRule="auto"/>
        <w:ind w:left="1440" w:hanging="720"/>
        <w:rPr>
          <w:szCs w:val="24"/>
        </w:rPr>
      </w:pPr>
      <w:r w:rsidRPr="00D1363C">
        <w:rPr>
          <w:szCs w:val="24"/>
        </w:rPr>
        <w:t>Block 1 Ramp Rate Up – Rate at which Resource can change output upward in MW/min at output levels greater than or equal to Breakpoint Limit 1.</w:t>
      </w:r>
    </w:p>
    <w:p w14:paraId="68D3DA05" w14:textId="77777777" w:rsidR="00C70F99" w:rsidRPr="00D1363C" w:rsidRDefault="00C70F99" w:rsidP="00C35DA0">
      <w:pPr>
        <w:numPr>
          <w:ilvl w:val="0"/>
          <w:numId w:val="15"/>
        </w:numPr>
        <w:tabs>
          <w:tab w:val="num" w:pos="1440"/>
        </w:tabs>
        <w:spacing w:before="120" w:line="300" w:lineRule="auto"/>
        <w:ind w:left="1440" w:hanging="720"/>
        <w:rPr>
          <w:szCs w:val="24"/>
        </w:rPr>
      </w:pPr>
      <w:r w:rsidRPr="00D1363C">
        <w:rPr>
          <w:szCs w:val="24"/>
        </w:rPr>
        <w:t xml:space="preserve">Breakpoint Limit </w:t>
      </w:r>
      <w:r w:rsidRPr="00D1363C">
        <w:rPr>
          <w:i/>
          <w:szCs w:val="24"/>
        </w:rPr>
        <w:t>n</w:t>
      </w:r>
      <w:r w:rsidRPr="00D1363C">
        <w:rPr>
          <w:szCs w:val="24"/>
        </w:rPr>
        <w:t xml:space="preserve"> – Resource MW output at which Ramp-Rate-Up changes from previous segment values to segment </w:t>
      </w:r>
      <w:r w:rsidRPr="00D1363C">
        <w:rPr>
          <w:i/>
          <w:szCs w:val="24"/>
        </w:rPr>
        <w:t>n</w:t>
      </w:r>
      <w:r w:rsidRPr="00D1363C">
        <w:rPr>
          <w:szCs w:val="24"/>
        </w:rPr>
        <w:t xml:space="preserve"> values.</w:t>
      </w:r>
    </w:p>
    <w:p w14:paraId="225FE2BC" w14:textId="77777777" w:rsidR="00C70F99" w:rsidRPr="00D1363C" w:rsidRDefault="00C70F99" w:rsidP="00C35DA0">
      <w:pPr>
        <w:numPr>
          <w:ilvl w:val="0"/>
          <w:numId w:val="15"/>
        </w:numPr>
        <w:tabs>
          <w:tab w:val="num" w:pos="1440"/>
        </w:tabs>
        <w:spacing w:before="120" w:line="300" w:lineRule="auto"/>
        <w:ind w:left="1440" w:hanging="720"/>
        <w:rPr>
          <w:szCs w:val="24"/>
        </w:rPr>
      </w:pPr>
      <w:r w:rsidRPr="00D1363C">
        <w:rPr>
          <w:szCs w:val="24"/>
        </w:rPr>
        <w:t>Block</w:t>
      </w:r>
      <w:r w:rsidRPr="00D1363C">
        <w:rPr>
          <w:i/>
          <w:szCs w:val="24"/>
        </w:rPr>
        <w:t xml:space="preserve"> n</w:t>
      </w:r>
      <w:r w:rsidRPr="00D1363C">
        <w:rPr>
          <w:szCs w:val="24"/>
        </w:rPr>
        <w:t xml:space="preserve"> Ramp-Rate-Up – Rate at which Resource can change output upward in MW/min at output levels greater than or equal to the Breakpoint Limit </w:t>
      </w:r>
      <w:r w:rsidRPr="00D1363C">
        <w:rPr>
          <w:i/>
          <w:szCs w:val="24"/>
        </w:rPr>
        <w:t>n</w:t>
      </w:r>
      <w:r w:rsidRPr="00D1363C">
        <w:rPr>
          <w:szCs w:val="24"/>
        </w:rPr>
        <w:t>.</w:t>
      </w:r>
    </w:p>
    <w:p w14:paraId="538A15DF" w14:textId="77777777" w:rsidR="00C70F99" w:rsidRPr="00D1363C" w:rsidRDefault="00C70F99" w:rsidP="00064528">
      <w:pPr>
        <w:numPr>
          <w:ilvl w:val="0"/>
          <w:numId w:val="42"/>
        </w:numPr>
        <w:spacing w:after="0" w:line="300" w:lineRule="auto"/>
        <w:ind w:hanging="810"/>
        <w:rPr>
          <w:szCs w:val="24"/>
        </w:rPr>
      </w:pPr>
      <w:r w:rsidRPr="00D1363C">
        <w:rPr>
          <w:szCs w:val="24"/>
        </w:rPr>
        <w:t xml:space="preserve">Ramp-Rate-Down (curve, MW/Minute).  Ramp-Rate-Down submittal is through a segmented profile as follows.  Each profile will require at least one (1) segment and may have up to </w:t>
      </w:r>
      <w:r w:rsidRPr="00D1363C">
        <w:rPr>
          <w:i/>
          <w:szCs w:val="24"/>
        </w:rPr>
        <w:t>n</w:t>
      </w:r>
      <w:r w:rsidRPr="00D1363C">
        <w:rPr>
          <w:szCs w:val="24"/>
        </w:rPr>
        <w:t xml:space="preserve"> segments where </w:t>
      </w:r>
      <w:r w:rsidRPr="00D1363C">
        <w:rPr>
          <w:i/>
          <w:szCs w:val="24"/>
        </w:rPr>
        <w:t>n</w:t>
      </w:r>
      <w:r w:rsidRPr="00D1363C">
        <w:rPr>
          <w:szCs w:val="24"/>
        </w:rPr>
        <w:t xml:space="preserve"> will be defined by the Market Operator, initially set to ten (10);</w:t>
      </w:r>
    </w:p>
    <w:p w14:paraId="7375E21A" w14:textId="77777777" w:rsidR="00C70F99" w:rsidRPr="00D1363C" w:rsidRDefault="00C70F99" w:rsidP="00C35DA0">
      <w:pPr>
        <w:numPr>
          <w:ilvl w:val="0"/>
          <w:numId w:val="16"/>
        </w:numPr>
        <w:tabs>
          <w:tab w:val="num" w:pos="1440"/>
        </w:tabs>
        <w:spacing w:before="120" w:line="300" w:lineRule="auto"/>
        <w:ind w:left="1440" w:hanging="720"/>
        <w:rPr>
          <w:szCs w:val="24"/>
        </w:rPr>
      </w:pPr>
      <w:r w:rsidRPr="00D1363C">
        <w:rPr>
          <w:szCs w:val="24"/>
        </w:rPr>
        <w:t xml:space="preserve">Breakpoint Limit 1 – Resource MW output at which segment 1 Ramp-Rate-Down will apply.  In the RTBM, if the actual measured MW during deployment is less than the Breakpoint Limit 1, the Ramp-Rate-Down in Block 1 will apply back to the actual measured MW. </w:t>
      </w:r>
    </w:p>
    <w:p w14:paraId="0C6FF456" w14:textId="77777777" w:rsidR="00C70F99" w:rsidRPr="00D1363C" w:rsidRDefault="00C70F99" w:rsidP="00C35DA0">
      <w:pPr>
        <w:numPr>
          <w:ilvl w:val="0"/>
          <w:numId w:val="16"/>
        </w:numPr>
        <w:tabs>
          <w:tab w:val="num" w:pos="1440"/>
        </w:tabs>
        <w:spacing w:before="120" w:line="300" w:lineRule="auto"/>
        <w:ind w:left="1440" w:hanging="720"/>
        <w:rPr>
          <w:szCs w:val="24"/>
        </w:rPr>
      </w:pPr>
      <w:r w:rsidRPr="00D1363C">
        <w:rPr>
          <w:szCs w:val="24"/>
        </w:rPr>
        <w:t>Block 1 Ramp Rate Down – Rate at which Resource can change output downward in MW/min at output levels greater than or equal to Breakpoint Limit 1.</w:t>
      </w:r>
    </w:p>
    <w:p w14:paraId="3DFD4881" w14:textId="77777777" w:rsidR="00C70F99" w:rsidRPr="00D1363C" w:rsidRDefault="00C70F99" w:rsidP="00C35DA0">
      <w:pPr>
        <w:numPr>
          <w:ilvl w:val="0"/>
          <w:numId w:val="16"/>
        </w:numPr>
        <w:tabs>
          <w:tab w:val="num" w:pos="1440"/>
        </w:tabs>
        <w:spacing w:before="120" w:line="300" w:lineRule="auto"/>
        <w:ind w:left="1440" w:hanging="720"/>
        <w:rPr>
          <w:szCs w:val="24"/>
        </w:rPr>
      </w:pPr>
      <w:r w:rsidRPr="00D1363C">
        <w:rPr>
          <w:szCs w:val="24"/>
        </w:rPr>
        <w:t xml:space="preserve">Breakpoint Limit </w:t>
      </w:r>
      <w:r w:rsidRPr="00D1363C">
        <w:rPr>
          <w:i/>
          <w:szCs w:val="24"/>
        </w:rPr>
        <w:t>n</w:t>
      </w:r>
      <w:r w:rsidRPr="00D1363C">
        <w:rPr>
          <w:szCs w:val="24"/>
        </w:rPr>
        <w:t xml:space="preserve"> – Resource MW output at which Ramp-Rate-Down changes from previous segment values to segment </w:t>
      </w:r>
      <w:r w:rsidRPr="00D1363C">
        <w:rPr>
          <w:i/>
          <w:szCs w:val="24"/>
        </w:rPr>
        <w:t>n</w:t>
      </w:r>
      <w:r w:rsidRPr="00D1363C">
        <w:rPr>
          <w:szCs w:val="24"/>
        </w:rPr>
        <w:t xml:space="preserve"> values.</w:t>
      </w:r>
    </w:p>
    <w:p w14:paraId="38D35EB8" w14:textId="77777777" w:rsidR="00C70F99" w:rsidRPr="00D1363C" w:rsidRDefault="00C70F99" w:rsidP="00C35DA0">
      <w:pPr>
        <w:numPr>
          <w:ilvl w:val="0"/>
          <w:numId w:val="16"/>
        </w:numPr>
        <w:tabs>
          <w:tab w:val="num" w:pos="1440"/>
        </w:tabs>
        <w:spacing w:before="120" w:line="300" w:lineRule="auto"/>
        <w:ind w:left="1440" w:hanging="720"/>
        <w:rPr>
          <w:szCs w:val="24"/>
        </w:rPr>
      </w:pPr>
      <w:r w:rsidRPr="00D1363C">
        <w:rPr>
          <w:szCs w:val="24"/>
        </w:rPr>
        <w:t xml:space="preserve">Block </w:t>
      </w:r>
      <w:r w:rsidRPr="00D1363C">
        <w:rPr>
          <w:i/>
          <w:szCs w:val="24"/>
        </w:rPr>
        <w:t>n</w:t>
      </w:r>
      <w:r w:rsidRPr="00D1363C">
        <w:rPr>
          <w:szCs w:val="24"/>
        </w:rPr>
        <w:t xml:space="preserve"> Ramp-Rate-Down – Rate at which Resource can change output downward in MW/min at output levels greater than or equal to the Breakpoint Limit </w:t>
      </w:r>
      <w:r w:rsidRPr="00D1363C">
        <w:rPr>
          <w:i/>
          <w:szCs w:val="24"/>
        </w:rPr>
        <w:t>n</w:t>
      </w:r>
      <w:r w:rsidRPr="00D1363C">
        <w:rPr>
          <w:szCs w:val="24"/>
        </w:rPr>
        <w:t>.</w:t>
      </w:r>
    </w:p>
    <w:p w14:paraId="1FE59B3A" w14:textId="77777777" w:rsidR="00C70F99" w:rsidRPr="00D1363C" w:rsidRDefault="00C70F99" w:rsidP="00064528">
      <w:pPr>
        <w:numPr>
          <w:ilvl w:val="0"/>
          <w:numId w:val="42"/>
        </w:numPr>
        <w:spacing w:after="0" w:line="300" w:lineRule="auto"/>
        <w:ind w:hanging="720"/>
        <w:rPr>
          <w:szCs w:val="24"/>
        </w:rPr>
      </w:pPr>
      <w:r w:rsidRPr="00D1363C">
        <w:rPr>
          <w:szCs w:val="24"/>
        </w:rPr>
        <w:t xml:space="preserve">Turn-Around Ramp Rate Factor (a value between 0.01 and 1.00).  A Resource’s ramping direction in the next Dispatch Interval is compared against its ramping direction in the current Dispatch Interval.  If these two ramping directions are different, then the Turn-Around Ramp Rate Factor is applied to the </w:t>
      </w:r>
      <w:r>
        <w:rPr>
          <w:szCs w:val="24"/>
        </w:rPr>
        <w:t>Ramp-Rate-Up or Ramp-Rate-Down</w:t>
      </w:r>
      <w:r w:rsidRPr="00D1363C">
        <w:rPr>
          <w:szCs w:val="24"/>
        </w:rPr>
        <w:t xml:space="preserve"> in the next Dispatch Interval, except in circumstances where the Resource is selected as available to be cleared for Flexibility Reserve Products or the Resource is being sent an OOME instruction.</w:t>
      </w:r>
    </w:p>
    <w:p w14:paraId="4680C681" w14:textId="77777777" w:rsidR="00C70F99" w:rsidRPr="00D1363C" w:rsidRDefault="00C70F99" w:rsidP="00C70F99">
      <w:pPr>
        <w:spacing w:after="0" w:line="300" w:lineRule="auto"/>
        <w:ind w:left="720"/>
        <w:rPr>
          <w:szCs w:val="24"/>
        </w:rPr>
      </w:pPr>
      <w:r w:rsidRPr="00D1363C">
        <w:rPr>
          <w:szCs w:val="24"/>
        </w:rPr>
        <w:t>The ramping direction in the current Dispatch Interval is based on the actual output at the beginning of the current Dispatch Interval compared to the Dispatch Target at the end of the current Dispatch Interval.  The direction of the next Dispatch Interval is determined by considering the actual output and ramp capability of the Resource at the time of the solution and comparing it to the next Dispatch Target;</w:t>
      </w:r>
    </w:p>
    <w:p w14:paraId="554C12D0" w14:textId="77777777" w:rsidR="00C70F99" w:rsidRDefault="00C70F99" w:rsidP="00064528">
      <w:pPr>
        <w:numPr>
          <w:ilvl w:val="0"/>
          <w:numId w:val="42"/>
        </w:numPr>
        <w:spacing w:after="0" w:line="300" w:lineRule="auto"/>
        <w:ind w:hanging="720"/>
        <w:rPr>
          <w:szCs w:val="24"/>
        </w:rPr>
      </w:pPr>
      <w:r w:rsidRPr="00D1363C">
        <w:rPr>
          <w:szCs w:val="24"/>
        </w:rPr>
        <w:t xml:space="preserve">Resource Status (see Section </w:t>
      </w:r>
      <w:r w:rsidRPr="00D1363C">
        <w:rPr>
          <w:szCs w:val="24"/>
        </w:rPr>
        <w:fldChar w:fldCharType="begin"/>
      </w:r>
      <w:r w:rsidRPr="00D1363C">
        <w:rPr>
          <w:szCs w:val="24"/>
        </w:rPr>
        <w:instrText xml:space="preserve"> REF _Ref247613965 \r \h </w:instrText>
      </w:r>
      <w:r w:rsidRPr="00D1363C">
        <w:rPr>
          <w:szCs w:val="24"/>
        </w:rPr>
      </w:r>
      <w:r w:rsidRPr="00D1363C">
        <w:rPr>
          <w:szCs w:val="24"/>
        </w:rPr>
        <w:fldChar w:fldCharType="separate"/>
      </w:r>
      <w:r w:rsidRPr="00D1363C">
        <w:rPr>
          <w:szCs w:val="24"/>
        </w:rPr>
        <w:t>4.2.2.2</w:t>
      </w:r>
      <w:r w:rsidRPr="00D1363C">
        <w:rPr>
          <w:szCs w:val="24"/>
        </w:rPr>
        <w:fldChar w:fldCharType="end"/>
      </w:r>
      <w:r w:rsidRPr="00D1363C">
        <w:rPr>
          <w:szCs w:val="24"/>
        </w:rPr>
        <w:t xml:space="preserve">); </w:t>
      </w:r>
    </w:p>
    <w:p w14:paraId="37289BA6" w14:textId="32420F5C" w:rsidR="008528F8" w:rsidRDefault="008528F8" w:rsidP="008528F8">
      <w:pPr>
        <w:numPr>
          <w:ilvl w:val="0"/>
          <w:numId w:val="42"/>
        </w:numPr>
        <w:spacing w:line="300" w:lineRule="auto"/>
        <w:ind w:hanging="720"/>
        <w:rPr>
          <w:szCs w:val="24"/>
        </w:rPr>
      </w:pPr>
      <w:r w:rsidRPr="00D1363C">
        <w:rPr>
          <w:szCs w:val="24"/>
        </w:rPr>
        <w:t>Interest Percent Share (Daily Unit Commitment Parameter)</w:t>
      </w:r>
      <w:r>
        <w:rPr>
          <w:szCs w:val="24"/>
        </w:rPr>
        <w:t xml:space="preserve"> - </w:t>
      </w:r>
      <w:r>
        <w:t>Only applicable f</w:t>
      </w:r>
      <w:r w:rsidRPr="000A3CF6">
        <w:rPr>
          <w:szCs w:val="24"/>
        </w:rPr>
        <w:t xml:space="preserve">or </w:t>
      </w:r>
      <w:r>
        <w:rPr>
          <w:szCs w:val="24"/>
        </w:rPr>
        <w:t xml:space="preserve">the designated </w:t>
      </w:r>
      <w:r w:rsidRPr="000A3CF6">
        <w:rPr>
          <w:szCs w:val="24"/>
        </w:rPr>
        <w:t>Asset Owner</w:t>
      </w:r>
      <w:r>
        <w:rPr>
          <w:szCs w:val="24"/>
        </w:rPr>
        <w:t xml:space="preserve"> identified by the Market Participant </w:t>
      </w:r>
      <w:r w:rsidRPr="000A3CF6">
        <w:rPr>
          <w:szCs w:val="24"/>
        </w:rPr>
        <w:t>that h</w:t>
      </w:r>
      <w:r>
        <w:rPr>
          <w:szCs w:val="24"/>
        </w:rPr>
        <w:t>as</w:t>
      </w:r>
      <w:r w:rsidRPr="000A3CF6">
        <w:rPr>
          <w:szCs w:val="24"/>
        </w:rPr>
        <w:t xml:space="preserve"> registered a </w:t>
      </w:r>
      <w:r>
        <w:rPr>
          <w:szCs w:val="24"/>
        </w:rPr>
        <w:t>Resource</w:t>
      </w:r>
      <w:r w:rsidRPr="000A3CF6">
        <w:rPr>
          <w:szCs w:val="24"/>
        </w:rPr>
        <w:t xml:space="preserve"> under Combined </w:t>
      </w:r>
      <w:r>
        <w:rPr>
          <w:szCs w:val="24"/>
        </w:rPr>
        <w:t>Interest Resource modeling</w:t>
      </w:r>
      <w:r w:rsidRPr="000A3CF6">
        <w:rPr>
          <w:szCs w:val="24"/>
        </w:rPr>
        <w:t xml:space="preserve"> (</w:t>
      </w:r>
      <w:r w:rsidRPr="00EA3949">
        <w:rPr>
          <w:szCs w:val="24"/>
        </w:rPr>
        <w:t xml:space="preserve">see Section </w:t>
      </w:r>
      <w:r>
        <w:rPr>
          <w:szCs w:val="24"/>
        </w:rPr>
        <w:fldChar w:fldCharType="begin"/>
      </w:r>
      <w:r>
        <w:rPr>
          <w:szCs w:val="24"/>
        </w:rPr>
        <w:instrText xml:space="preserve"> REF _Ref195098314 \r \h </w:instrText>
      </w:r>
      <w:r>
        <w:rPr>
          <w:szCs w:val="24"/>
        </w:rPr>
      </w:r>
      <w:r>
        <w:rPr>
          <w:szCs w:val="24"/>
        </w:rPr>
        <w:fldChar w:fldCharType="separate"/>
      </w:r>
      <w:r>
        <w:rPr>
          <w:szCs w:val="24"/>
        </w:rPr>
        <w:t>9.1.5.2</w:t>
      </w:r>
      <w:r>
        <w:rPr>
          <w:szCs w:val="24"/>
        </w:rPr>
        <w:fldChar w:fldCharType="end"/>
      </w:r>
      <w:r w:rsidRPr="00EA3949">
        <w:rPr>
          <w:szCs w:val="24"/>
        </w:rPr>
        <w:t>).</w:t>
      </w:r>
      <w:r w:rsidRPr="000A3CF6">
        <w:rPr>
          <w:szCs w:val="24"/>
        </w:rPr>
        <w:t xml:space="preserve">  </w:t>
      </w:r>
      <w:r>
        <w:rPr>
          <w:szCs w:val="24"/>
        </w:rPr>
        <w:t xml:space="preserve">A value for each Asset Owner </w:t>
      </w:r>
      <w:r w:rsidRPr="000A3CF6">
        <w:rPr>
          <w:szCs w:val="24"/>
        </w:rPr>
        <w:t>must be submitted by</w:t>
      </w:r>
      <w:r>
        <w:rPr>
          <w:szCs w:val="24"/>
        </w:rPr>
        <w:t xml:space="preserve"> or on behalf of</w:t>
      </w:r>
      <w:r w:rsidRPr="000A3CF6">
        <w:rPr>
          <w:szCs w:val="24"/>
        </w:rPr>
        <w:t xml:space="preserve"> the </w:t>
      </w:r>
      <w:r>
        <w:rPr>
          <w:szCs w:val="24"/>
        </w:rPr>
        <w:t xml:space="preserve">designated </w:t>
      </w:r>
      <w:r w:rsidRPr="000A3CF6">
        <w:rPr>
          <w:szCs w:val="24"/>
        </w:rPr>
        <w:t xml:space="preserve">Asset Owner and represents </w:t>
      </w:r>
      <w:r>
        <w:rPr>
          <w:szCs w:val="24"/>
        </w:rPr>
        <w:t>each Asset Owner’s percentage share of the Resource and must add up to 100%</w:t>
      </w:r>
      <w:r w:rsidR="006E68A2">
        <w:rPr>
          <w:szCs w:val="24"/>
        </w:rPr>
        <w:t>;</w:t>
      </w:r>
    </w:p>
    <w:p w14:paraId="5DEA69DE" w14:textId="011D4956" w:rsidR="00812098" w:rsidRPr="00812098" w:rsidRDefault="00812098" w:rsidP="00B60F5A">
      <w:pPr>
        <w:numPr>
          <w:ilvl w:val="0"/>
          <w:numId w:val="42"/>
        </w:numPr>
        <w:spacing w:line="300" w:lineRule="auto"/>
        <w:ind w:hanging="720"/>
        <w:rPr>
          <w:szCs w:val="24"/>
        </w:rPr>
      </w:pPr>
      <w:r w:rsidRPr="00812098">
        <w:rPr>
          <w:szCs w:val="24"/>
        </w:rPr>
        <w:t xml:space="preserve">Resource Aggregation Base Distribution Factor – A single factor between 0.00 and 1.00 for each POI registered as part of the Resource Aggregation.  The sum of the distribution factors must be equal to 1.00. </w:t>
      </w:r>
      <w:r>
        <w:rPr>
          <w:szCs w:val="24"/>
        </w:rPr>
        <w:t>T</w:t>
      </w:r>
      <w:r w:rsidRPr="00812098">
        <w:rPr>
          <w:szCs w:val="24"/>
        </w:rPr>
        <w:t>he quantity of Resource output up to the Min ECOL, or in the case of an MSR, the Minimum Discharge and Charge Limit</w:t>
      </w:r>
      <w:r>
        <w:rPr>
          <w:szCs w:val="24"/>
        </w:rPr>
        <w:t>.</w:t>
      </w:r>
      <w:r w:rsidRPr="00812098">
        <w:rPr>
          <w:szCs w:val="24"/>
        </w:rPr>
        <w:t xml:space="preserve"> </w:t>
      </w:r>
    </w:p>
    <w:p w14:paraId="04EC4B49" w14:textId="773A15E0" w:rsidR="00812098" w:rsidRDefault="00812098" w:rsidP="00B60F5A">
      <w:pPr>
        <w:numPr>
          <w:ilvl w:val="0"/>
          <w:numId w:val="42"/>
        </w:numPr>
        <w:spacing w:line="300" w:lineRule="auto"/>
        <w:ind w:hanging="720"/>
        <w:rPr>
          <w:szCs w:val="24"/>
        </w:rPr>
      </w:pPr>
      <w:r w:rsidRPr="00327913">
        <w:rPr>
          <w:szCs w:val="24"/>
        </w:rPr>
        <w:t>Resource Aggregation Incremental Distribution Factor –</w:t>
      </w:r>
      <w:r>
        <w:rPr>
          <w:szCs w:val="24"/>
        </w:rPr>
        <w:t xml:space="preserve"> </w:t>
      </w:r>
      <w:r w:rsidRPr="00812098">
        <w:rPr>
          <w:szCs w:val="24"/>
        </w:rPr>
        <w:t>A single factor between 0.00 and 1.00 for each POI registered as part of the Resource Aggregation.  The sum of the distribution factors must be equal to 1.00.</w:t>
      </w:r>
      <w:r>
        <w:rPr>
          <w:szCs w:val="24"/>
        </w:rPr>
        <w:t xml:space="preserve"> The factors </w:t>
      </w:r>
      <w:r w:rsidRPr="00327913">
        <w:rPr>
          <w:szCs w:val="24"/>
        </w:rPr>
        <w:t xml:space="preserve">represent the expected resource output range above the base range, or </w:t>
      </w:r>
      <w:r>
        <w:rPr>
          <w:szCs w:val="24"/>
        </w:rPr>
        <w:t>Min ECOL, or in the case of an MSR the Minimum Discharge and Charge Limit</w:t>
      </w:r>
      <w:r w:rsidRPr="00327913">
        <w:rPr>
          <w:szCs w:val="24"/>
        </w:rPr>
        <w:t xml:space="preserve"> of the resource and above. </w:t>
      </w:r>
    </w:p>
    <w:p w14:paraId="568BCA34" w14:textId="77777777" w:rsidR="00812098" w:rsidRDefault="00812098" w:rsidP="00B60F5A">
      <w:pPr>
        <w:pStyle w:val="ParaText"/>
        <w:numPr>
          <w:ilvl w:val="0"/>
          <w:numId w:val="42"/>
        </w:numPr>
        <w:ind w:hanging="720"/>
        <w:rPr>
          <w:szCs w:val="24"/>
        </w:rPr>
      </w:pPr>
      <w:r>
        <w:rPr>
          <w:szCs w:val="24"/>
        </w:rPr>
        <w:t>Maximum Offline Mid-Term Flex Up Response Limit (MW) - this represents the maximum amount of Mid-Term Flex Up that may be supplied by an offline Resource</w:t>
      </w:r>
    </w:p>
    <w:p w14:paraId="4D27DECE" w14:textId="3E0AC206" w:rsidR="00502A4B" w:rsidRDefault="00502A4B" w:rsidP="00B60F5A">
      <w:pPr>
        <w:spacing w:after="360" w:line="300" w:lineRule="auto"/>
        <w:rPr>
          <w:szCs w:val="24"/>
        </w:rPr>
      </w:pPr>
      <w:r>
        <w:rPr>
          <w:szCs w:val="24"/>
        </w:rPr>
        <w:t xml:space="preserve">In addition to the Resource Offer parameters </w:t>
      </w:r>
      <w:r w:rsidR="00593447">
        <w:rPr>
          <w:szCs w:val="24"/>
        </w:rPr>
        <w:t>specified under (1) thru (34) above</w:t>
      </w:r>
      <w:r>
        <w:rPr>
          <w:szCs w:val="24"/>
        </w:rPr>
        <w:t xml:space="preserve">, the following </w:t>
      </w:r>
      <w:r w:rsidR="00593447">
        <w:rPr>
          <w:szCs w:val="24"/>
        </w:rPr>
        <w:t xml:space="preserve">additional </w:t>
      </w:r>
      <w:r>
        <w:rPr>
          <w:szCs w:val="24"/>
        </w:rPr>
        <w:t xml:space="preserve">Resource Offer parameters are only applicable to MCRs that have registered under the option described under Section </w:t>
      </w:r>
      <w:r w:rsidR="00304832">
        <w:rPr>
          <w:szCs w:val="24"/>
        </w:rPr>
        <w:fldChar w:fldCharType="begin"/>
      </w:r>
      <w:r w:rsidR="00304832">
        <w:rPr>
          <w:szCs w:val="24"/>
        </w:rPr>
        <w:instrText xml:space="preserve"> REF _Ref476207889 \r \h </w:instrText>
      </w:r>
      <w:r w:rsidR="00304832">
        <w:rPr>
          <w:szCs w:val="24"/>
        </w:rPr>
      </w:r>
      <w:r w:rsidR="00304832">
        <w:rPr>
          <w:szCs w:val="24"/>
        </w:rPr>
        <w:fldChar w:fldCharType="separate"/>
      </w:r>
      <w:r w:rsidR="00304832">
        <w:rPr>
          <w:szCs w:val="24"/>
        </w:rPr>
        <w:t>9.1.6.1</w:t>
      </w:r>
      <w:r w:rsidR="00304832">
        <w:rPr>
          <w:szCs w:val="24"/>
        </w:rPr>
        <w:fldChar w:fldCharType="end"/>
      </w:r>
      <w:r>
        <w:rPr>
          <w:szCs w:val="24"/>
        </w:rPr>
        <w:t>.</w:t>
      </w:r>
    </w:p>
    <w:p w14:paraId="0D9B75C2" w14:textId="77777777" w:rsidR="00502A4B" w:rsidRPr="00D1363C" w:rsidRDefault="00502A4B" w:rsidP="00502A4B">
      <w:pPr>
        <w:numPr>
          <w:ilvl w:val="0"/>
          <w:numId w:val="42"/>
        </w:numPr>
        <w:spacing w:after="0" w:line="300" w:lineRule="auto"/>
        <w:ind w:hanging="720"/>
        <w:rPr>
          <w:szCs w:val="24"/>
        </w:rPr>
      </w:pPr>
      <w:r w:rsidRPr="00D1363C">
        <w:rPr>
          <w:szCs w:val="24"/>
        </w:rPr>
        <w:t>Group Minimum Down Time (hours:minutes–Daily Unit Commitment Parameter);</w:t>
      </w:r>
    </w:p>
    <w:p w14:paraId="20014827" w14:textId="77777777" w:rsidR="00502A4B" w:rsidRPr="00D1363C" w:rsidRDefault="00502A4B" w:rsidP="00502A4B">
      <w:pPr>
        <w:numPr>
          <w:ilvl w:val="0"/>
          <w:numId w:val="42"/>
        </w:numPr>
        <w:spacing w:after="0" w:line="300" w:lineRule="auto"/>
        <w:ind w:hanging="720"/>
        <w:rPr>
          <w:szCs w:val="24"/>
        </w:rPr>
      </w:pPr>
      <w:r w:rsidRPr="00D1363C">
        <w:rPr>
          <w:szCs w:val="24"/>
        </w:rPr>
        <w:t>Group Minimum Run Time (hours:minutes– Daily Unit Commitment Parameter;</w:t>
      </w:r>
    </w:p>
    <w:p w14:paraId="6C39CE3E" w14:textId="77777777" w:rsidR="00502A4B" w:rsidRPr="00D1363C" w:rsidRDefault="00502A4B" w:rsidP="00502A4B">
      <w:pPr>
        <w:numPr>
          <w:ilvl w:val="0"/>
          <w:numId w:val="42"/>
        </w:numPr>
        <w:spacing w:after="0" w:line="300" w:lineRule="auto"/>
        <w:ind w:hanging="720"/>
        <w:rPr>
          <w:szCs w:val="24"/>
        </w:rPr>
      </w:pPr>
      <w:r w:rsidRPr="00D1363C">
        <w:rPr>
          <w:szCs w:val="24"/>
        </w:rPr>
        <w:t>Plant Minimum Down Time (hours:minutes – Daily Unit Commitment Parameter)</w:t>
      </w:r>
      <w:r w:rsidRPr="008A319E">
        <w:rPr>
          <w:szCs w:val="24"/>
        </w:rPr>
        <w:t>;</w:t>
      </w:r>
    </w:p>
    <w:p w14:paraId="69A79918" w14:textId="2552E809" w:rsidR="00502A4B" w:rsidRPr="00D15327" w:rsidRDefault="00502A4B" w:rsidP="00D15327">
      <w:pPr>
        <w:numPr>
          <w:ilvl w:val="0"/>
          <w:numId w:val="42"/>
        </w:numPr>
        <w:spacing w:after="0" w:line="300" w:lineRule="auto"/>
        <w:ind w:hanging="720"/>
        <w:rPr>
          <w:szCs w:val="24"/>
        </w:rPr>
      </w:pPr>
      <w:r w:rsidRPr="00D1363C">
        <w:rPr>
          <w:szCs w:val="24"/>
        </w:rPr>
        <w:t>Plant Minimum Run Time (hours:minutes– Daily Unit Commitment Parameter</w:t>
      </w:r>
      <w:r w:rsidR="00ED00B1">
        <w:rPr>
          <w:szCs w:val="24"/>
        </w:rPr>
        <w:t>)</w:t>
      </w:r>
      <w:r w:rsidRPr="002944D9">
        <w:rPr>
          <w:szCs w:val="24"/>
        </w:rPr>
        <w:t>;</w:t>
      </w:r>
      <w:r w:rsidRPr="00D1363C">
        <w:rPr>
          <w:szCs w:val="24"/>
        </w:rPr>
        <w:t xml:space="preserve"> </w:t>
      </w:r>
    </w:p>
    <w:p w14:paraId="627A8822" w14:textId="7B653B80" w:rsidR="00C70F99" w:rsidRPr="00D1363C" w:rsidRDefault="00C70F99" w:rsidP="00064528">
      <w:pPr>
        <w:numPr>
          <w:ilvl w:val="0"/>
          <w:numId w:val="42"/>
        </w:numPr>
        <w:spacing w:before="120" w:after="0" w:line="300" w:lineRule="auto"/>
        <w:ind w:hanging="720"/>
        <w:rPr>
          <w:szCs w:val="24"/>
        </w:rPr>
      </w:pPr>
      <w:r w:rsidRPr="00D1363C">
        <w:rPr>
          <w:szCs w:val="24"/>
        </w:rPr>
        <w:t>Transition State Offer;</w:t>
      </w:r>
    </w:p>
    <w:p w14:paraId="11C560A3" w14:textId="706A7DDF" w:rsidR="00C70F99" w:rsidRPr="00D1363C" w:rsidRDefault="00C70F99" w:rsidP="00064528">
      <w:pPr>
        <w:numPr>
          <w:ilvl w:val="0"/>
          <w:numId w:val="42"/>
        </w:numPr>
        <w:spacing w:before="120" w:after="0" w:line="300" w:lineRule="auto"/>
        <w:ind w:hanging="720"/>
        <w:rPr>
          <w:szCs w:val="24"/>
        </w:rPr>
      </w:pPr>
      <w:r w:rsidRPr="00D1363C">
        <w:rPr>
          <w:szCs w:val="24"/>
        </w:rPr>
        <w:t xml:space="preserve">Mitigated Transition State Offer; </w:t>
      </w:r>
    </w:p>
    <w:p w14:paraId="5C191059" w14:textId="3BA8976F" w:rsidR="00C70F99" w:rsidRPr="00D1363C" w:rsidRDefault="00C70F99" w:rsidP="00064528">
      <w:pPr>
        <w:numPr>
          <w:ilvl w:val="0"/>
          <w:numId w:val="42"/>
        </w:numPr>
        <w:spacing w:after="0" w:line="300" w:lineRule="auto"/>
        <w:ind w:hanging="720"/>
        <w:rPr>
          <w:szCs w:val="24"/>
        </w:rPr>
      </w:pPr>
      <w:r w:rsidRPr="00D1363C">
        <w:rPr>
          <w:szCs w:val="24"/>
        </w:rPr>
        <w:t xml:space="preserve">Transition State Time; </w:t>
      </w:r>
    </w:p>
    <w:p w14:paraId="65411805" w14:textId="6A5283FA" w:rsidR="00D15327" w:rsidRPr="008528F8" w:rsidRDefault="00D15327" w:rsidP="00FE7AA5">
      <w:pPr>
        <w:spacing w:before="120" w:after="360" w:line="300" w:lineRule="auto"/>
        <w:rPr>
          <w:szCs w:val="24"/>
        </w:rPr>
      </w:pPr>
      <w:r w:rsidRPr="008528F8">
        <w:rPr>
          <w:szCs w:val="24"/>
        </w:rPr>
        <w:t xml:space="preserve">In addition to </w:t>
      </w:r>
      <w:r w:rsidR="008528F8" w:rsidRPr="008528F8">
        <w:rPr>
          <w:szCs w:val="24"/>
        </w:rPr>
        <w:t xml:space="preserve">the Resource Offer </w:t>
      </w:r>
      <w:r w:rsidR="0097071B">
        <w:rPr>
          <w:szCs w:val="24"/>
        </w:rPr>
        <w:t>p</w:t>
      </w:r>
      <w:r w:rsidR="008528F8" w:rsidRPr="008528F8">
        <w:rPr>
          <w:szCs w:val="24"/>
        </w:rPr>
        <w:t xml:space="preserve">arameters </w:t>
      </w:r>
      <w:r w:rsidR="003F6559">
        <w:rPr>
          <w:szCs w:val="24"/>
        </w:rPr>
        <w:t>specified under (1) thru (34) above</w:t>
      </w:r>
      <w:r w:rsidR="008528F8" w:rsidRPr="008528F8">
        <w:rPr>
          <w:szCs w:val="24"/>
        </w:rPr>
        <w:t xml:space="preserve">, the following </w:t>
      </w:r>
      <w:r w:rsidR="003F6559">
        <w:rPr>
          <w:szCs w:val="24"/>
        </w:rPr>
        <w:t xml:space="preserve">additional </w:t>
      </w:r>
      <w:r w:rsidR="008528F8" w:rsidRPr="008528F8">
        <w:rPr>
          <w:szCs w:val="24"/>
        </w:rPr>
        <w:t xml:space="preserve">Resource Offer </w:t>
      </w:r>
      <w:r w:rsidR="0097071B">
        <w:rPr>
          <w:szCs w:val="24"/>
        </w:rPr>
        <w:t>p</w:t>
      </w:r>
      <w:r w:rsidR="008528F8" w:rsidRPr="008528F8">
        <w:rPr>
          <w:szCs w:val="24"/>
        </w:rPr>
        <w:t xml:space="preserve">arameters are only applicable to Resources registered as an MSR under Section </w:t>
      </w:r>
      <w:r w:rsidR="0018332E">
        <w:rPr>
          <w:szCs w:val="24"/>
        </w:rPr>
        <w:fldChar w:fldCharType="begin"/>
      </w:r>
      <w:r w:rsidR="0018332E">
        <w:rPr>
          <w:szCs w:val="24"/>
        </w:rPr>
        <w:instrText xml:space="preserve"> REF _Ref212542249 \r \h </w:instrText>
      </w:r>
      <w:r w:rsidR="0018332E">
        <w:rPr>
          <w:szCs w:val="24"/>
        </w:rPr>
      </w:r>
      <w:r w:rsidR="0018332E">
        <w:rPr>
          <w:szCs w:val="24"/>
        </w:rPr>
        <w:fldChar w:fldCharType="separate"/>
      </w:r>
      <w:r w:rsidR="0018332E">
        <w:rPr>
          <w:szCs w:val="24"/>
        </w:rPr>
        <w:t>9.1.12</w:t>
      </w:r>
      <w:r w:rsidR="0018332E">
        <w:rPr>
          <w:szCs w:val="24"/>
        </w:rPr>
        <w:fldChar w:fldCharType="end"/>
      </w:r>
    </w:p>
    <w:p w14:paraId="1B8437FF" w14:textId="1B64BB2D" w:rsidR="00C70F99" w:rsidRPr="00D1363C" w:rsidRDefault="00C70F99" w:rsidP="00064528">
      <w:pPr>
        <w:numPr>
          <w:ilvl w:val="0"/>
          <w:numId w:val="42"/>
        </w:numPr>
        <w:spacing w:line="300" w:lineRule="auto"/>
        <w:ind w:hanging="720"/>
        <w:rPr>
          <w:szCs w:val="24"/>
        </w:rPr>
      </w:pPr>
      <w:r w:rsidRPr="00D1363C">
        <w:rPr>
          <w:szCs w:val="24"/>
        </w:rPr>
        <w:t>State of Charge Forecast (Hourly Unit Commitment);</w:t>
      </w:r>
    </w:p>
    <w:p w14:paraId="3A650170" w14:textId="3978CCB4" w:rsidR="00C70F99" w:rsidRPr="00D1363C" w:rsidRDefault="00C70F99" w:rsidP="00064528">
      <w:pPr>
        <w:numPr>
          <w:ilvl w:val="0"/>
          <w:numId w:val="42"/>
        </w:numPr>
        <w:spacing w:line="300" w:lineRule="auto"/>
        <w:ind w:hanging="720"/>
        <w:rPr>
          <w:szCs w:val="24"/>
        </w:rPr>
      </w:pPr>
      <w:r w:rsidRPr="00D1363C">
        <w:rPr>
          <w:szCs w:val="24"/>
        </w:rPr>
        <w:t>Maximum State of Charge (MWh) (Hourly Unit Commitment</w:t>
      </w:r>
      <w:r w:rsidR="00E11970">
        <w:rPr>
          <w:szCs w:val="24"/>
        </w:rPr>
        <w:t>)</w:t>
      </w:r>
      <w:r w:rsidRPr="00D1363C">
        <w:rPr>
          <w:szCs w:val="24"/>
        </w:rPr>
        <w:t>;</w:t>
      </w:r>
    </w:p>
    <w:p w14:paraId="2715069B" w14:textId="6436D466" w:rsidR="00455A59" w:rsidRDefault="00C70F99" w:rsidP="00C21C0F">
      <w:pPr>
        <w:numPr>
          <w:ilvl w:val="0"/>
          <w:numId w:val="63"/>
        </w:numPr>
        <w:spacing w:line="300" w:lineRule="auto"/>
        <w:ind w:hanging="720"/>
        <w:rPr>
          <w:szCs w:val="24"/>
        </w:rPr>
      </w:pPr>
      <w:r w:rsidRPr="00D1363C">
        <w:rPr>
          <w:szCs w:val="24"/>
        </w:rPr>
        <w:t>Minimum State of Charge (MWh) (Hourly Unit Commitment</w:t>
      </w:r>
      <w:r w:rsidR="00E11970">
        <w:rPr>
          <w:szCs w:val="24"/>
        </w:rPr>
        <w:t>)</w:t>
      </w:r>
      <w:r w:rsidRPr="00D1363C">
        <w:rPr>
          <w:szCs w:val="24"/>
        </w:rPr>
        <w:t>;</w:t>
      </w:r>
    </w:p>
    <w:p w14:paraId="28363939" w14:textId="7BC3DA28" w:rsidR="00455A59" w:rsidRDefault="00C70F99" w:rsidP="00C21C0F">
      <w:pPr>
        <w:numPr>
          <w:ilvl w:val="0"/>
          <w:numId w:val="63"/>
        </w:numPr>
        <w:spacing w:line="300" w:lineRule="auto"/>
        <w:ind w:hanging="720"/>
        <w:rPr>
          <w:szCs w:val="24"/>
        </w:rPr>
      </w:pPr>
      <w:r w:rsidRPr="00455A59">
        <w:rPr>
          <w:szCs w:val="24"/>
        </w:rPr>
        <w:t>Maximum Charge Limit (MW) (Hourly Unit Commitment);</w:t>
      </w:r>
    </w:p>
    <w:p w14:paraId="72273B2E" w14:textId="2AE36BD8" w:rsidR="00455A59" w:rsidRDefault="00C70F99" w:rsidP="00C21C0F">
      <w:pPr>
        <w:numPr>
          <w:ilvl w:val="0"/>
          <w:numId w:val="63"/>
        </w:numPr>
        <w:spacing w:line="300" w:lineRule="auto"/>
        <w:ind w:hanging="720"/>
        <w:rPr>
          <w:szCs w:val="24"/>
        </w:rPr>
      </w:pPr>
      <w:r w:rsidRPr="00455A59">
        <w:rPr>
          <w:szCs w:val="24"/>
        </w:rPr>
        <w:t>Minimum Charge Limit (MW) (Hourly Unit Commitment</w:t>
      </w:r>
      <w:r w:rsidR="00E11970">
        <w:rPr>
          <w:szCs w:val="24"/>
        </w:rPr>
        <w:t>)</w:t>
      </w:r>
      <w:r w:rsidRPr="00455A59">
        <w:rPr>
          <w:szCs w:val="24"/>
        </w:rPr>
        <w:t>;</w:t>
      </w:r>
    </w:p>
    <w:p w14:paraId="493902A8" w14:textId="1741B070" w:rsidR="00455A59" w:rsidRDefault="00C70F99" w:rsidP="00C21C0F">
      <w:pPr>
        <w:numPr>
          <w:ilvl w:val="0"/>
          <w:numId w:val="63"/>
        </w:numPr>
        <w:spacing w:line="300" w:lineRule="auto"/>
        <w:ind w:hanging="720"/>
        <w:rPr>
          <w:szCs w:val="24"/>
        </w:rPr>
      </w:pPr>
      <w:r w:rsidRPr="00455A59">
        <w:rPr>
          <w:szCs w:val="24"/>
        </w:rPr>
        <w:t>Maximum Discharge Limit (MW) (Hourly Unit Commitment</w:t>
      </w:r>
      <w:r w:rsidR="00E11970">
        <w:rPr>
          <w:szCs w:val="24"/>
        </w:rPr>
        <w:t>)</w:t>
      </w:r>
      <w:r w:rsidRPr="00455A59">
        <w:rPr>
          <w:szCs w:val="24"/>
        </w:rPr>
        <w:t>;</w:t>
      </w:r>
    </w:p>
    <w:p w14:paraId="0B5E55CD" w14:textId="65C8A388" w:rsidR="00455A59" w:rsidRDefault="00C70F99" w:rsidP="00C21C0F">
      <w:pPr>
        <w:numPr>
          <w:ilvl w:val="0"/>
          <w:numId w:val="63"/>
        </w:numPr>
        <w:spacing w:line="300" w:lineRule="auto"/>
        <w:ind w:hanging="720"/>
        <w:rPr>
          <w:szCs w:val="24"/>
        </w:rPr>
      </w:pPr>
      <w:r w:rsidRPr="00455A59">
        <w:rPr>
          <w:szCs w:val="24"/>
        </w:rPr>
        <w:t>Minimum Discharge Limit (MW) (Hourly Unit Commitment</w:t>
      </w:r>
      <w:r w:rsidR="00E11970">
        <w:rPr>
          <w:szCs w:val="24"/>
        </w:rPr>
        <w:t>)</w:t>
      </w:r>
      <w:r w:rsidRPr="00455A59">
        <w:rPr>
          <w:szCs w:val="24"/>
        </w:rPr>
        <w:t>;</w:t>
      </w:r>
    </w:p>
    <w:p w14:paraId="3A745037" w14:textId="115E77CC" w:rsidR="00455A59" w:rsidRDefault="00C70F99" w:rsidP="00C21C0F">
      <w:pPr>
        <w:numPr>
          <w:ilvl w:val="0"/>
          <w:numId w:val="63"/>
        </w:numPr>
        <w:spacing w:line="300" w:lineRule="auto"/>
        <w:ind w:hanging="720"/>
        <w:rPr>
          <w:szCs w:val="24"/>
        </w:rPr>
      </w:pPr>
      <w:r w:rsidRPr="00455A59">
        <w:rPr>
          <w:szCs w:val="24"/>
        </w:rPr>
        <w:t>Maximum Charge Time (Minute) (Daily Unit Commitment</w:t>
      </w:r>
      <w:r w:rsidR="00E11970">
        <w:rPr>
          <w:szCs w:val="24"/>
        </w:rPr>
        <w:t>)</w:t>
      </w:r>
      <w:r w:rsidRPr="00455A59">
        <w:rPr>
          <w:szCs w:val="24"/>
        </w:rPr>
        <w:t>;</w:t>
      </w:r>
    </w:p>
    <w:p w14:paraId="6B4A08CA" w14:textId="110B8190" w:rsidR="00E366A0" w:rsidRDefault="00C70F99" w:rsidP="00C21C0F">
      <w:pPr>
        <w:numPr>
          <w:ilvl w:val="0"/>
          <w:numId w:val="63"/>
        </w:numPr>
        <w:spacing w:line="300" w:lineRule="auto"/>
        <w:ind w:hanging="720"/>
        <w:rPr>
          <w:szCs w:val="24"/>
        </w:rPr>
      </w:pPr>
      <w:r w:rsidRPr="00455A59">
        <w:rPr>
          <w:szCs w:val="24"/>
        </w:rPr>
        <w:t>Minimum Charge Time (Minute) (Daily Unit Commitment</w:t>
      </w:r>
      <w:r w:rsidR="00E11970">
        <w:rPr>
          <w:szCs w:val="24"/>
        </w:rPr>
        <w:t>)</w:t>
      </w:r>
      <w:r w:rsidRPr="00455A59">
        <w:rPr>
          <w:szCs w:val="24"/>
        </w:rPr>
        <w:t>;</w:t>
      </w:r>
    </w:p>
    <w:p w14:paraId="27299D62" w14:textId="2D769F28" w:rsidR="00E366A0" w:rsidRDefault="00C70F99" w:rsidP="00C21C0F">
      <w:pPr>
        <w:numPr>
          <w:ilvl w:val="0"/>
          <w:numId w:val="63"/>
        </w:numPr>
        <w:spacing w:line="300" w:lineRule="auto"/>
        <w:ind w:hanging="720"/>
        <w:rPr>
          <w:szCs w:val="24"/>
        </w:rPr>
      </w:pPr>
      <w:r w:rsidRPr="00E366A0">
        <w:rPr>
          <w:szCs w:val="24"/>
        </w:rPr>
        <w:t>Maximum Discharge Time (Minute) (Daily Unit Commitment</w:t>
      </w:r>
      <w:r w:rsidR="00E11970">
        <w:rPr>
          <w:szCs w:val="24"/>
        </w:rPr>
        <w:t>)</w:t>
      </w:r>
      <w:r w:rsidRPr="00E366A0">
        <w:rPr>
          <w:szCs w:val="24"/>
        </w:rPr>
        <w:t>;</w:t>
      </w:r>
    </w:p>
    <w:p w14:paraId="43321C10" w14:textId="2424A1B4" w:rsidR="00E366A0" w:rsidRDefault="00C70F99" w:rsidP="00C21C0F">
      <w:pPr>
        <w:numPr>
          <w:ilvl w:val="0"/>
          <w:numId w:val="63"/>
        </w:numPr>
        <w:spacing w:line="300" w:lineRule="auto"/>
        <w:ind w:hanging="720"/>
        <w:rPr>
          <w:szCs w:val="24"/>
        </w:rPr>
      </w:pPr>
      <w:r w:rsidRPr="00E366A0">
        <w:rPr>
          <w:szCs w:val="24"/>
        </w:rPr>
        <w:t>Minimum Discharge Time (Minute) (Daily Unit Commitment</w:t>
      </w:r>
      <w:r w:rsidR="00E11970">
        <w:rPr>
          <w:szCs w:val="24"/>
        </w:rPr>
        <w:t>)</w:t>
      </w:r>
      <w:r w:rsidRPr="00E366A0">
        <w:rPr>
          <w:szCs w:val="24"/>
        </w:rPr>
        <w:t>;</w:t>
      </w:r>
    </w:p>
    <w:p w14:paraId="5A8BE59B" w14:textId="6A0375AF" w:rsidR="00E366A0" w:rsidRDefault="00C70F99" w:rsidP="00C21C0F">
      <w:pPr>
        <w:numPr>
          <w:ilvl w:val="0"/>
          <w:numId w:val="63"/>
        </w:numPr>
        <w:spacing w:line="300" w:lineRule="auto"/>
        <w:ind w:hanging="720"/>
        <w:rPr>
          <w:szCs w:val="24"/>
        </w:rPr>
      </w:pPr>
      <w:r w:rsidRPr="00E366A0">
        <w:rPr>
          <w:szCs w:val="24"/>
        </w:rPr>
        <w:t>E</w:t>
      </w:r>
      <w:r w:rsidR="007338A1" w:rsidRPr="00E366A0">
        <w:rPr>
          <w:szCs w:val="24"/>
        </w:rPr>
        <w:t xml:space="preserve">lectric </w:t>
      </w:r>
      <w:r w:rsidRPr="00E366A0">
        <w:rPr>
          <w:szCs w:val="24"/>
        </w:rPr>
        <w:t>S</w:t>
      </w:r>
      <w:r w:rsidR="007338A1" w:rsidRPr="00E366A0">
        <w:rPr>
          <w:szCs w:val="24"/>
        </w:rPr>
        <w:t>t</w:t>
      </w:r>
      <w:r w:rsidR="000225DE" w:rsidRPr="00E366A0">
        <w:rPr>
          <w:szCs w:val="24"/>
        </w:rPr>
        <w:t xml:space="preserve">orage </w:t>
      </w:r>
      <w:r w:rsidRPr="00E366A0">
        <w:rPr>
          <w:szCs w:val="24"/>
        </w:rPr>
        <w:t>R</w:t>
      </w:r>
      <w:r w:rsidR="000225DE" w:rsidRPr="00E366A0">
        <w:rPr>
          <w:szCs w:val="24"/>
        </w:rPr>
        <w:t>esource</w:t>
      </w:r>
      <w:r w:rsidRPr="00E366A0">
        <w:rPr>
          <w:szCs w:val="24"/>
        </w:rPr>
        <w:t xml:space="preserve"> Loss Factor (Factor</w:t>
      </w:r>
      <w:r w:rsidR="002C19F3">
        <w:rPr>
          <w:szCs w:val="24"/>
        </w:rPr>
        <w:t>)</w:t>
      </w:r>
      <w:r w:rsidRPr="00E366A0">
        <w:rPr>
          <w:szCs w:val="24"/>
        </w:rPr>
        <w:t>;</w:t>
      </w:r>
    </w:p>
    <w:p w14:paraId="26D6273F" w14:textId="709B7CE3" w:rsidR="00C70F99" w:rsidRPr="00D1363C" w:rsidRDefault="00C70F99" w:rsidP="00574654">
      <w:pPr>
        <w:pStyle w:val="Heading5"/>
      </w:pPr>
      <w:bookmarkStart w:id="1050" w:name="_Toc212633287"/>
      <w:bookmarkStart w:id="1051" w:name="_Toc212633968"/>
      <w:bookmarkStart w:id="1052" w:name="_Toc213746345"/>
      <w:bookmarkStart w:id="1053" w:name="_Toc213771810"/>
      <w:bookmarkStart w:id="1054" w:name="_Toc212633288"/>
      <w:bookmarkStart w:id="1055" w:name="_Toc212633969"/>
      <w:bookmarkStart w:id="1056" w:name="_Toc213746346"/>
      <w:bookmarkStart w:id="1057" w:name="_Toc213771811"/>
      <w:bookmarkStart w:id="1058" w:name="_Toc163740158"/>
      <w:bookmarkStart w:id="1059" w:name="_Toc213771812"/>
      <w:bookmarkEnd w:id="1050"/>
      <w:bookmarkEnd w:id="1051"/>
      <w:bookmarkEnd w:id="1052"/>
      <w:bookmarkEnd w:id="1053"/>
      <w:bookmarkEnd w:id="1054"/>
      <w:bookmarkEnd w:id="1055"/>
      <w:bookmarkEnd w:id="1056"/>
      <w:bookmarkEnd w:id="1057"/>
      <w:r w:rsidRPr="00D1363C">
        <w:t>Resource Ramp Rate Interaction – Energy and Flexibility Reserve Products</w:t>
      </w:r>
      <w:bookmarkEnd w:id="1058"/>
      <w:bookmarkEnd w:id="1059"/>
    </w:p>
    <w:p w14:paraId="00AC58BC" w14:textId="09629EA3" w:rsidR="00C70F99" w:rsidRPr="00D1363C" w:rsidRDefault="00C70F99" w:rsidP="00C70F99">
      <w:pPr>
        <w:spacing w:line="300" w:lineRule="auto"/>
      </w:pPr>
      <w:r w:rsidRPr="00D1363C">
        <w:t xml:space="preserve">The following ramp rate use assumptions apply to the clearing of Energy and Flexibility Reserve Products in the Day-Ahead Market and to the dispatch of Energy and clearing of Flexibility Reserve Products in the RTBM.  </w:t>
      </w:r>
    </w:p>
    <w:p w14:paraId="6ED4C44A" w14:textId="77777777" w:rsidR="00C70F99" w:rsidRPr="00D1363C" w:rsidRDefault="00C70F99" w:rsidP="00C35DA0">
      <w:pPr>
        <w:numPr>
          <w:ilvl w:val="0"/>
          <w:numId w:val="34"/>
        </w:numPr>
        <w:tabs>
          <w:tab w:val="left" w:pos="900"/>
        </w:tabs>
        <w:spacing w:line="300" w:lineRule="auto"/>
      </w:pPr>
      <w:r w:rsidRPr="00D1363C">
        <w:t xml:space="preserve">The Resource’s Ramp-Rate-Up is used to clear Energy in the up direction in the Day-Ahead Market and dispatch Energy in the up direction in the RTBM.  In the RTBM, the Turn-Around Ramp Rate Factor is applied to the Resource’s Ramp-Rate-Up as described in Section </w:t>
      </w:r>
      <w:r w:rsidRPr="00D1363C">
        <w:fldChar w:fldCharType="begin"/>
      </w:r>
      <w:r w:rsidRPr="00D1363C">
        <w:instrText xml:space="preserve"> REF _Ref402946598 \r \h </w:instrText>
      </w:r>
      <w:r w:rsidRPr="00D1363C">
        <w:fldChar w:fldCharType="separate"/>
      </w:r>
      <w:r w:rsidRPr="00D1363C">
        <w:t>4.2.2.1</w:t>
      </w:r>
      <w:r w:rsidRPr="00D1363C">
        <w:fldChar w:fldCharType="end"/>
      </w:r>
      <w:r w:rsidRPr="00D1363C">
        <w:t>.  In the RTBM, the Turn-Around Ramp Rate Factor is not applied to the clearing of Short-Term Flex Up, Short-Term Flex Down, or online Mid-Term Flex Up.</w:t>
      </w:r>
    </w:p>
    <w:p w14:paraId="737B3A3A" w14:textId="772A549E" w:rsidR="00C70F99" w:rsidRPr="00D1363C" w:rsidRDefault="00C70F99" w:rsidP="00C35DA0">
      <w:pPr>
        <w:numPr>
          <w:ilvl w:val="1"/>
          <w:numId w:val="34"/>
        </w:numPr>
        <w:tabs>
          <w:tab w:val="left" w:pos="900"/>
        </w:tabs>
        <w:spacing w:line="300" w:lineRule="auto"/>
        <w:ind w:hanging="720"/>
      </w:pPr>
      <w:r w:rsidRPr="00D1363C">
        <w:t xml:space="preserve">For example, assuming in the RTBM that Resource A has a single Ramp-Rate-Up value that is equal to 5 MW/Min and the previous RTBM Energy </w:t>
      </w:r>
      <w:r w:rsidR="000C7890">
        <w:t>D</w:t>
      </w:r>
      <w:r w:rsidRPr="00D1363C">
        <w:t xml:space="preserve">ispatch </w:t>
      </w:r>
      <w:r w:rsidR="000C7890">
        <w:t>T</w:t>
      </w:r>
      <w:r w:rsidRPr="00D1363C">
        <w:t>arget was upward, the maximum amount of positive change in Energy clearing/dispatch is 25 MW (5 MW/Min times 5 minutes) and the maximum amount of Short-Term Flex Up that can clear on that Resource is 50 MW (5 MW/Min times 10 minutes).  If we assume that the change in Energy clearing/dispatch on that Resource is 15 MW, then a maximum of 20 MWs of Short-Term Flex Up could be cleared on that Resource.  Alternatively, if we assume that the change in Energy clearing/dispatch on that Resource is 0 MW, then a maximum of 50 MW of Short-Term Flex Up could be cleared on that Resource.</w:t>
      </w:r>
    </w:p>
    <w:p w14:paraId="5975A54D" w14:textId="0D811190" w:rsidR="00C70F99" w:rsidRPr="00D1363C" w:rsidRDefault="00C70F99" w:rsidP="00C35DA0">
      <w:pPr>
        <w:numPr>
          <w:ilvl w:val="0"/>
          <w:numId w:val="34"/>
        </w:numPr>
        <w:spacing w:line="300" w:lineRule="auto"/>
        <w:ind w:hanging="720"/>
      </w:pPr>
      <w:r w:rsidRPr="00D1363C">
        <w:t xml:space="preserve">The Resource’s Ramp-Rate-Down is used to clear Energy in the down direction in the Day-Ahead Market and dispatch Energy in the down direction in the RTBM.  Ramp-Rate-Down is used to clear Short-Term Flex Down in the Day-Ahead Market and the RTBM.  In the RTBM, the Turn-Around Ramp Rate Factor is applied to the Resource’s Ramp-Rate-Down as described in Section </w:t>
      </w:r>
      <w:r w:rsidRPr="00D1363C">
        <w:fldChar w:fldCharType="begin"/>
      </w:r>
      <w:r w:rsidRPr="00D1363C">
        <w:instrText xml:space="preserve"> REF _Ref402946682 \r \h </w:instrText>
      </w:r>
      <w:r w:rsidRPr="00D1363C">
        <w:fldChar w:fldCharType="separate"/>
      </w:r>
      <w:r w:rsidRPr="00D1363C">
        <w:t>4.2.2.1</w:t>
      </w:r>
      <w:r w:rsidRPr="00D1363C">
        <w:fldChar w:fldCharType="end"/>
      </w:r>
      <w:r w:rsidRPr="00D1363C">
        <w:t>.  For the Day-Ahead Market, the Resource’s Turn-Around Ramp Rate Factor does not apply (Ramp-Rate-Up is used).  In the RTBM, the Turn-Around Ramp Rate Factor is not applied to the clearing of Short-Term Flex Up</w:t>
      </w:r>
      <w:r w:rsidR="0028473D">
        <w:t>,</w:t>
      </w:r>
      <w:r w:rsidRPr="00D1363C">
        <w:t xml:space="preserve"> Short-Term Flex Down, or online Mid-Term Flex Up.  Referring to the example above, any dispatch of Energy in the down direction would allow up to 50 MWs of Short-Term Flex Up to be cleared on the Resource. </w:t>
      </w:r>
    </w:p>
    <w:p w14:paraId="115359E9" w14:textId="2DFD350D" w:rsidR="00C70F99" w:rsidRPr="00D1363C" w:rsidRDefault="00C70F99" w:rsidP="00C35DA0">
      <w:pPr>
        <w:numPr>
          <w:ilvl w:val="0"/>
          <w:numId w:val="34"/>
        </w:numPr>
        <w:spacing w:line="300" w:lineRule="auto"/>
        <w:ind w:hanging="720"/>
      </w:pPr>
      <w:r w:rsidRPr="00D1363C">
        <w:t xml:space="preserve">In addition to the Energy clearing/dispatch limits and Flexibility Reserve Products clearing limits calculated using applicable ramp rates as described above, Energy clearing/dispatch and Flexibility Reserve Products clearing on a Resource are also subject to limitation based upon that Resource’s </w:t>
      </w:r>
      <w:r w:rsidR="00DE3265">
        <w:t xml:space="preserve">physical </w:t>
      </w:r>
      <w:r w:rsidR="006F6CF1">
        <w:t>offer parameters</w:t>
      </w:r>
      <w:r w:rsidRPr="00D1363C">
        <w:t>.</w:t>
      </w:r>
    </w:p>
    <w:p w14:paraId="45ACF871" w14:textId="77777777" w:rsidR="00C70F99" w:rsidRPr="00D1363C" w:rsidRDefault="00C70F99" w:rsidP="00574EDE">
      <w:pPr>
        <w:pStyle w:val="Heading4"/>
      </w:pPr>
      <w:bookmarkStart w:id="1060" w:name="_Toc134796562"/>
      <w:bookmarkStart w:id="1061" w:name="_Toc134798858"/>
      <w:bookmarkStart w:id="1062" w:name="_Toc145059266"/>
      <w:bookmarkStart w:id="1063" w:name="_Toc145062642"/>
      <w:bookmarkStart w:id="1064" w:name="_Toc145067254"/>
      <w:bookmarkStart w:id="1065" w:name="_Toc146627569"/>
      <w:bookmarkStart w:id="1066" w:name="_Toc146629434"/>
      <w:bookmarkStart w:id="1067" w:name="_Toc146631296"/>
      <w:bookmarkStart w:id="1068" w:name="_Toc146633163"/>
      <w:bookmarkStart w:id="1069" w:name="_Toc146630890"/>
      <w:bookmarkStart w:id="1070" w:name="_Toc146793060"/>
      <w:bookmarkStart w:id="1071" w:name="_Toc146794756"/>
      <w:bookmarkStart w:id="1072" w:name="_Toc146796451"/>
      <w:bookmarkStart w:id="1073" w:name="_Toc146798141"/>
      <w:bookmarkStart w:id="1074" w:name="_Toc146800753"/>
      <w:bookmarkStart w:id="1075" w:name="_Toc146803388"/>
      <w:bookmarkStart w:id="1076" w:name="_Toc146805092"/>
      <w:bookmarkStart w:id="1077" w:name="_Toc146806796"/>
      <w:bookmarkStart w:id="1078" w:name="_Toc148704850"/>
      <w:bookmarkStart w:id="1079" w:name="_Toc149557808"/>
      <w:bookmarkStart w:id="1080" w:name="_Toc150785264"/>
      <w:bookmarkStart w:id="1081" w:name="_Toc150854718"/>
      <w:bookmarkStart w:id="1082" w:name="_Toc151991657"/>
      <w:bookmarkStart w:id="1083" w:name="_Toc152334757"/>
      <w:bookmarkStart w:id="1084" w:name="_Toc153271123"/>
      <w:bookmarkStart w:id="1085" w:name="_Toc157500958"/>
      <w:bookmarkStart w:id="1086" w:name="_Toc159232133"/>
      <w:bookmarkStart w:id="1087" w:name="_Toc134796563"/>
      <w:bookmarkStart w:id="1088" w:name="_Toc134798859"/>
      <w:bookmarkStart w:id="1089" w:name="_Toc145059267"/>
      <w:bookmarkStart w:id="1090" w:name="_Toc145062643"/>
      <w:bookmarkStart w:id="1091" w:name="_Toc145067255"/>
      <w:bookmarkStart w:id="1092" w:name="_Toc146627570"/>
      <w:bookmarkStart w:id="1093" w:name="_Toc146629435"/>
      <w:bookmarkStart w:id="1094" w:name="_Toc146631297"/>
      <w:bookmarkStart w:id="1095" w:name="_Toc146633164"/>
      <w:bookmarkStart w:id="1096" w:name="_Toc146630891"/>
      <w:bookmarkStart w:id="1097" w:name="_Toc146793061"/>
      <w:bookmarkStart w:id="1098" w:name="_Toc146794757"/>
      <w:bookmarkStart w:id="1099" w:name="_Toc146796452"/>
      <w:bookmarkStart w:id="1100" w:name="_Toc146798142"/>
      <w:bookmarkStart w:id="1101" w:name="_Toc146800754"/>
      <w:bookmarkStart w:id="1102" w:name="_Toc146803389"/>
      <w:bookmarkStart w:id="1103" w:name="_Toc146805093"/>
      <w:bookmarkStart w:id="1104" w:name="_Toc146806797"/>
      <w:bookmarkStart w:id="1105" w:name="_Toc148704851"/>
      <w:bookmarkStart w:id="1106" w:name="_Toc149557809"/>
      <w:bookmarkStart w:id="1107" w:name="_Toc150785265"/>
      <w:bookmarkStart w:id="1108" w:name="_Toc150854719"/>
      <w:bookmarkStart w:id="1109" w:name="_Toc151991658"/>
      <w:bookmarkStart w:id="1110" w:name="_Toc152334758"/>
      <w:bookmarkStart w:id="1111" w:name="_Toc153271124"/>
      <w:bookmarkStart w:id="1112" w:name="_Toc157500959"/>
      <w:bookmarkStart w:id="1113" w:name="_Toc159232134"/>
      <w:bookmarkStart w:id="1114" w:name="_Toc134796564"/>
      <w:bookmarkStart w:id="1115" w:name="_Toc134798860"/>
      <w:bookmarkStart w:id="1116" w:name="_Toc145059268"/>
      <w:bookmarkStart w:id="1117" w:name="_Toc145062644"/>
      <w:bookmarkStart w:id="1118" w:name="_Toc145067256"/>
      <w:bookmarkStart w:id="1119" w:name="_Toc146627571"/>
      <w:bookmarkStart w:id="1120" w:name="_Toc146629436"/>
      <w:bookmarkStart w:id="1121" w:name="_Toc146631298"/>
      <w:bookmarkStart w:id="1122" w:name="_Toc146633165"/>
      <w:bookmarkStart w:id="1123" w:name="_Toc146630892"/>
      <w:bookmarkStart w:id="1124" w:name="_Toc146793062"/>
      <w:bookmarkStart w:id="1125" w:name="_Toc146794758"/>
      <w:bookmarkStart w:id="1126" w:name="_Toc146796453"/>
      <w:bookmarkStart w:id="1127" w:name="_Toc146798143"/>
      <w:bookmarkStart w:id="1128" w:name="_Toc146800755"/>
      <w:bookmarkStart w:id="1129" w:name="_Toc146803390"/>
      <w:bookmarkStart w:id="1130" w:name="_Toc146805094"/>
      <w:bookmarkStart w:id="1131" w:name="_Toc146806798"/>
      <w:bookmarkStart w:id="1132" w:name="_Toc148704852"/>
      <w:bookmarkStart w:id="1133" w:name="_Toc149557810"/>
      <w:bookmarkStart w:id="1134" w:name="_Toc150785266"/>
      <w:bookmarkStart w:id="1135" w:name="_Toc150854720"/>
      <w:bookmarkStart w:id="1136" w:name="_Toc151991659"/>
      <w:bookmarkStart w:id="1137" w:name="_Toc152334759"/>
      <w:bookmarkStart w:id="1138" w:name="_Toc153271125"/>
      <w:bookmarkStart w:id="1139" w:name="_Toc157500960"/>
      <w:bookmarkStart w:id="1140" w:name="_Toc159232135"/>
      <w:bookmarkStart w:id="1141" w:name="_Toc134796565"/>
      <w:bookmarkStart w:id="1142" w:name="_Toc134798861"/>
      <w:bookmarkStart w:id="1143" w:name="_Toc145059269"/>
      <w:bookmarkStart w:id="1144" w:name="_Toc145062645"/>
      <w:bookmarkStart w:id="1145" w:name="_Toc145067257"/>
      <w:bookmarkStart w:id="1146" w:name="_Toc146627572"/>
      <w:bookmarkStart w:id="1147" w:name="_Toc146629437"/>
      <w:bookmarkStart w:id="1148" w:name="_Toc146631299"/>
      <w:bookmarkStart w:id="1149" w:name="_Toc146633166"/>
      <w:bookmarkStart w:id="1150" w:name="_Toc146630893"/>
      <w:bookmarkStart w:id="1151" w:name="_Toc146793063"/>
      <w:bookmarkStart w:id="1152" w:name="_Toc146794759"/>
      <w:bookmarkStart w:id="1153" w:name="_Toc146796454"/>
      <w:bookmarkStart w:id="1154" w:name="_Toc146798144"/>
      <w:bookmarkStart w:id="1155" w:name="_Toc146800756"/>
      <w:bookmarkStart w:id="1156" w:name="_Toc146803391"/>
      <w:bookmarkStart w:id="1157" w:name="_Toc146805095"/>
      <w:bookmarkStart w:id="1158" w:name="_Toc146806799"/>
      <w:bookmarkStart w:id="1159" w:name="_Toc148704853"/>
      <w:bookmarkStart w:id="1160" w:name="_Toc149557811"/>
      <w:bookmarkStart w:id="1161" w:name="_Toc150785267"/>
      <w:bookmarkStart w:id="1162" w:name="_Toc150854721"/>
      <w:bookmarkStart w:id="1163" w:name="_Toc151991660"/>
      <w:bookmarkStart w:id="1164" w:name="_Toc152334760"/>
      <w:bookmarkStart w:id="1165" w:name="_Toc153271126"/>
      <w:bookmarkStart w:id="1166" w:name="_Toc157500961"/>
      <w:bookmarkStart w:id="1167" w:name="_Toc159232136"/>
      <w:bookmarkStart w:id="1168" w:name="_Toc134796566"/>
      <w:bookmarkStart w:id="1169" w:name="_Toc134798862"/>
      <w:bookmarkStart w:id="1170" w:name="_Toc145059270"/>
      <w:bookmarkStart w:id="1171" w:name="_Toc145062646"/>
      <w:bookmarkStart w:id="1172" w:name="_Toc145067258"/>
      <w:bookmarkStart w:id="1173" w:name="_Toc146627573"/>
      <w:bookmarkStart w:id="1174" w:name="_Toc146629438"/>
      <w:bookmarkStart w:id="1175" w:name="_Toc146631300"/>
      <w:bookmarkStart w:id="1176" w:name="_Toc146633167"/>
      <w:bookmarkStart w:id="1177" w:name="_Toc146630894"/>
      <w:bookmarkStart w:id="1178" w:name="_Toc146793064"/>
      <w:bookmarkStart w:id="1179" w:name="_Toc146794760"/>
      <w:bookmarkStart w:id="1180" w:name="_Toc146796455"/>
      <w:bookmarkStart w:id="1181" w:name="_Toc146798145"/>
      <w:bookmarkStart w:id="1182" w:name="_Toc146800757"/>
      <w:bookmarkStart w:id="1183" w:name="_Toc146803392"/>
      <w:bookmarkStart w:id="1184" w:name="_Toc146805096"/>
      <w:bookmarkStart w:id="1185" w:name="_Toc146806800"/>
      <w:bookmarkStart w:id="1186" w:name="_Toc148704854"/>
      <w:bookmarkStart w:id="1187" w:name="_Toc149557812"/>
      <w:bookmarkStart w:id="1188" w:name="_Toc150785268"/>
      <w:bookmarkStart w:id="1189" w:name="_Toc150854722"/>
      <w:bookmarkStart w:id="1190" w:name="_Toc151991661"/>
      <w:bookmarkStart w:id="1191" w:name="_Toc152334761"/>
      <w:bookmarkStart w:id="1192" w:name="_Toc153271127"/>
      <w:bookmarkStart w:id="1193" w:name="_Toc157500962"/>
      <w:bookmarkStart w:id="1194" w:name="_Toc159232137"/>
      <w:bookmarkStart w:id="1195" w:name="_Toc134796567"/>
      <w:bookmarkStart w:id="1196" w:name="_Toc134798863"/>
      <w:bookmarkStart w:id="1197" w:name="_Toc145059271"/>
      <w:bookmarkStart w:id="1198" w:name="_Toc145062647"/>
      <w:bookmarkStart w:id="1199" w:name="_Toc145067259"/>
      <w:bookmarkStart w:id="1200" w:name="_Toc146627574"/>
      <w:bookmarkStart w:id="1201" w:name="_Toc146629439"/>
      <w:bookmarkStart w:id="1202" w:name="_Toc146631301"/>
      <w:bookmarkStart w:id="1203" w:name="_Toc146633168"/>
      <w:bookmarkStart w:id="1204" w:name="_Toc146630895"/>
      <w:bookmarkStart w:id="1205" w:name="_Toc146793065"/>
      <w:bookmarkStart w:id="1206" w:name="_Toc146794761"/>
      <w:bookmarkStart w:id="1207" w:name="_Toc146796456"/>
      <w:bookmarkStart w:id="1208" w:name="_Toc146798146"/>
      <w:bookmarkStart w:id="1209" w:name="_Toc146800758"/>
      <w:bookmarkStart w:id="1210" w:name="_Toc146803393"/>
      <w:bookmarkStart w:id="1211" w:name="_Toc146805097"/>
      <w:bookmarkStart w:id="1212" w:name="_Toc146806801"/>
      <w:bookmarkStart w:id="1213" w:name="_Toc148704855"/>
      <w:bookmarkStart w:id="1214" w:name="_Toc149557813"/>
      <w:bookmarkStart w:id="1215" w:name="_Toc150785269"/>
      <w:bookmarkStart w:id="1216" w:name="_Toc150854723"/>
      <w:bookmarkStart w:id="1217" w:name="_Toc151991662"/>
      <w:bookmarkStart w:id="1218" w:name="_Toc152334762"/>
      <w:bookmarkStart w:id="1219" w:name="_Toc153271128"/>
      <w:bookmarkStart w:id="1220" w:name="_Toc157500963"/>
      <w:bookmarkStart w:id="1221" w:name="_Toc159232138"/>
      <w:bookmarkStart w:id="1222" w:name="_Toc134796568"/>
      <w:bookmarkStart w:id="1223" w:name="_Toc134798864"/>
      <w:bookmarkStart w:id="1224" w:name="_Toc145059272"/>
      <w:bookmarkStart w:id="1225" w:name="_Toc145062648"/>
      <w:bookmarkStart w:id="1226" w:name="_Toc145067260"/>
      <w:bookmarkStart w:id="1227" w:name="_Toc146627575"/>
      <w:bookmarkStart w:id="1228" w:name="_Toc146629440"/>
      <w:bookmarkStart w:id="1229" w:name="_Toc146631302"/>
      <w:bookmarkStart w:id="1230" w:name="_Toc146633169"/>
      <w:bookmarkStart w:id="1231" w:name="_Toc146630896"/>
      <w:bookmarkStart w:id="1232" w:name="_Toc146793066"/>
      <w:bookmarkStart w:id="1233" w:name="_Toc146794762"/>
      <w:bookmarkStart w:id="1234" w:name="_Toc146796457"/>
      <w:bookmarkStart w:id="1235" w:name="_Toc146798147"/>
      <w:bookmarkStart w:id="1236" w:name="_Toc146800759"/>
      <w:bookmarkStart w:id="1237" w:name="_Toc146803394"/>
      <w:bookmarkStart w:id="1238" w:name="_Toc146805098"/>
      <w:bookmarkStart w:id="1239" w:name="_Toc146806802"/>
      <w:bookmarkStart w:id="1240" w:name="_Toc148704856"/>
      <w:bookmarkStart w:id="1241" w:name="_Toc149557814"/>
      <w:bookmarkStart w:id="1242" w:name="_Toc150785270"/>
      <w:bookmarkStart w:id="1243" w:name="_Toc150854724"/>
      <w:bookmarkStart w:id="1244" w:name="_Toc151991663"/>
      <w:bookmarkStart w:id="1245" w:name="_Toc152334763"/>
      <w:bookmarkStart w:id="1246" w:name="_Toc153271129"/>
      <w:bookmarkStart w:id="1247" w:name="_Toc157500964"/>
      <w:bookmarkStart w:id="1248" w:name="_Toc159232139"/>
      <w:bookmarkStart w:id="1249" w:name="_Toc134796569"/>
      <w:bookmarkStart w:id="1250" w:name="_Toc134798865"/>
      <w:bookmarkStart w:id="1251" w:name="_Toc145059273"/>
      <w:bookmarkStart w:id="1252" w:name="_Toc145062649"/>
      <w:bookmarkStart w:id="1253" w:name="_Toc145067261"/>
      <w:bookmarkStart w:id="1254" w:name="_Toc146627576"/>
      <w:bookmarkStart w:id="1255" w:name="_Toc146629441"/>
      <w:bookmarkStart w:id="1256" w:name="_Toc146631303"/>
      <w:bookmarkStart w:id="1257" w:name="_Toc146633170"/>
      <w:bookmarkStart w:id="1258" w:name="_Toc146630897"/>
      <w:bookmarkStart w:id="1259" w:name="_Toc146793067"/>
      <w:bookmarkStart w:id="1260" w:name="_Toc146794763"/>
      <w:bookmarkStart w:id="1261" w:name="_Toc146796458"/>
      <w:bookmarkStart w:id="1262" w:name="_Toc146798148"/>
      <w:bookmarkStart w:id="1263" w:name="_Toc146800760"/>
      <w:bookmarkStart w:id="1264" w:name="_Toc146803395"/>
      <w:bookmarkStart w:id="1265" w:name="_Toc146805099"/>
      <w:bookmarkStart w:id="1266" w:name="_Toc146806803"/>
      <w:bookmarkStart w:id="1267" w:name="_Toc148704857"/>
      <w:bookmarkStart w:id="1268" w:name="_Toc149557815"/>
      <w:bookmarkStart w:id="1269" w:name="_Toc150785271"/>
      <w:bookmarkStart w:id="1270" w:name="_Toc150854725"/>
      <w:bookmarkStart w:id="1271" w:name="_Toc151991664"/>
      <w:bookmarkStart w:id="1272" w:name="_Toc152334764"/>
      <w:bookmarkStart w:id="1273" w:name="_Toc153271130"/>
      <w:bookmarkStart w:id="1274" w:name="_Toc157500965"/>
      <w:bookmarkStart w:id="1275" w:name="_Toc159232140"/>
      <w:bookmarkStart w:id="1276" w:name="_Toc134796570"/>
      <w:bookmarkStart w:id="1277" w:name="_Toc134798866"/>
      <w:bookmarkStart w:id="1278" w:name="_Toc145059274"/>
      <w:bookmarkStart w:id="1279" w:name="_Toc145062650"/>
      <w:bookmarkStart w:id="1280" w:name="_Toc145067262"/>
      <w:bookmarkStart w:id="1281" w:name="_Toc146627577"/>
      <w:bookmarkStart w:id="1282" w:name="_Toc146629442"/>
      <w:bookmarkStart w:id="1283" w:name="_Toc146631304"/>
      <w:bookmarkStart w:id="1284" w:name="_Toc146633171"/>
      <w:bookmarkStart w:id="1285" w:name="_Toc146630898"/>
      <w:bookmarkStart w:id="1286" w:name="_Toc146793068"/>
      <w:bookmarkStart w:id="1287" w:name="_Toc146794764"/>
      <w:bookmarkStart w:id="1288" w:name="_Toc146796459"/>
      <w:bookmarkStart w:id="1289" w:name="_Toc146798149"/>
      <w:bookmarkStart w:id="1290" w:name="_Toc146800761"/>
      <w:bookmarkStart w:id="1291" w:name="_Toc146803396"/>
      <w:bookmarkStart w:id="1292" w:name="_Toc146805100"/>
      <w:bookmarkStart w:id="1293" w:name="_Toc146806804"/>
      <w:bookmarkStart w:id="1294" w:name="_Toc148704858"/>
      <w:bookmarkStart w:id="1295" w:name="_Toc149557816"/>
      <w:bookmarkStart w:id="1296" w:name="_Toc150785272"/>
      <w:bookmarkStart w:id="1297" w:name="_Toc150854726"/>
      <w:bookmarkStart w:id="1298" w:name="_Toc151991665"/>
      <w:bookmarkStart w:id="1299" w:name="_Toc152334765"/>
      <w:bookmarkStart w:id="1300" w:name="_Toc153271131"/>
      <w:bookmarkStart w:id="1301" w:name="_Toc157500966"/>
      <w:bookmarkStart w:id="1302" w:name="_Toc159232141"/>
      <w:bookmarkStart w:id="1303" w:name="_Toc134796571"/>
      <w:bookmarkStart w:id="1304" w:name="_Toc134798867"/>
      <w:bookmarkStart w:id="1305" w:name="_Toc145059275"/>
      <w:bookmarkStart w:id="1306" w:name="_Toc145062651"/>
      <w:bookmarkStart w:id="1307" w:name="_Toc145067263"/>
      <w:bookmarkStart w:id="1308" w:name="_Toc146627578"/>
      <w:bookmarkStart w:id="1309" w:name="_Toc146629443"/>
      <w:bookmarkStart w:id="1310" w:name="_Toc146631305"/>
      <w:bookmarkStart w:id="1311" w:name="_Toc146633172"/>
      <w:bookmarkStart w:id="1312" w:name="_Toc146630899"/>
      <w:bookmarkStart w:id="1313" w:name="_Toc146793069"/>
      <w:bookmarkStart w:id="1314" w:name="_Toc146794765"/>
      <w:bookmarkStart w:id="1315" w:name="_Toc146796460"/>
      <w:bookmarkStart w:id="1316" w:name="_Toc146798150"/>
      <w:bookmarkStart w:id="1317" w:name="_Toc146800762"/>
      <w:bookmarkStart w:id="1318" w:name="_Toc146803397"/>
      <w:bookmarkStart w:id="1319" w:name="_Toc146805101"/>
      <w:bookmarkStart w:id="1320" w:name="_Toc146806805"/>
      <w:bookmarkStart w:id="1321" w:name="_Toc148704859"/>
      <w:bookmarkStart w:id="1322" w:name="_Toc149557817"/>
      <w:bookmarkStart w:id="1323" w:name="_Toc150785273"/>
      <w:bookmarkStart w:id="1324" w:name="_Toc150854727"/>
      <w:bookmarkStart w:id="1325" w:name="_Toc151991666"/>
      <w:bookmarkStart w:id="1326" w:name="_Toc152334766"/>
      <w:bookmarkStart w:id="1327" w:name="_Toc153271132"/>
      <w:bookmarkStart w:id="1328" w:name="_Toc157500967"/>
      <w:bookmarkStart w:id="1329" w:name="_Toc159232142"/>
      <w:bookmarkStart w:id="1330" w:name="_Toc134796572"/>
      <w:bookmarkStart w:id="1331" w:name="_Toc134798868"/>
      <w:bookmarkStart w:id="1332" w:name="_Toc145059276"/>
      <w:bookmarkStart w:id="1333" w:name="_Toc145062652"/>
      <w:bookmarkStart w:id="1334" w:name="_Toc145067264"/>
      <w:bookmarkStart w:id="1335" w:name="_Toc146627579"/>
      <w:bookmarkStart w:id="1336" w:name="_Toc146629444"/>
      <w:bookmarkStart w:id="1337" w:name="_Toc146631306"/>
      <w:bookmarkStart w:id="1338" w:name="_Toc146633173"/>
      <w:bookmarkStart w:id="1339" w:name="_Toc146630900"/>
      <w:bookmarkStart w:id="1340" w:name="_Toc146793070"/>
      <w:bookmarkStart w:id="1341" w:name="_Toc146794766"/>
      <w:bookmarkStart w:id="1342" w:name="_Toc146796461"/>
      <w:bookmarkStart w:id="1343" w:name="_Toc146798151"/>
      <w:bookmarkStart w:id="1344" w:name="_Toc146800763"/>
      <w:bookmarkStart w:id="1345" w:name="_Toc146803398"/>
      <w:bookmarkStart w:id="1346" w:name="_Toc146805102"/>
      <w:bookmarkStart w:id="1347" w:name="_Toc146806806"/>
      <w:bookmarkStart w:id="1348" w:name="_Toc148704860"/>
      <w:bookmarkStart w:id="1349" w:name="_Toc149557818"/>
      <w:bookmarkStart w:id="1350" w:name="_Toc150785274"/>
      <w:bookmarkStart w:id="1351" w:name="_Toc150854728"/>
      <w:bookmarkStart w:id="1352" w:name="_Toc151991667"/>
      <w:bookmarkStart w:id="1353" w:name="_Toc152334767"/>
      <w:bookmarkStart w:id="1354" w:name="_Toc153271133"/>
      <w:bookmarkStart w:id="1355" w:name="_Toc157500968"/>
      <w:bookmarkStart w:id="1356" w:name="_Toc159232143"/>
      <w:bookmarkStart w:id="1357" w:name="_Toc134796573"/>
      <w:bookmarkStart w:id="1358" w:name="_Toc134798869"/>
      <w:bookmarkStart w:id="1359" w:name="_Toc145059277"/>
      <w:bookmarkStart w:id="1360" w:name="_Toc145062653"/>
      <w:bookmarkStart w:id="1361" w:name="_Toc145067265"/>
      <w:bookmarkStart w:id="1362" w:name="_Toc146627580"/>
      <w:bookmarkStart w:id="1363" w:name="_Toc146629445"/>
      <w:bookmarkStart w:id="1364" w:name="_Toc146631307"/>
      <w:bookmarkStart w:id="1365" w:name="_Toc146633174"/>
      <w:bookmarkStart w:id="1366" w:name="_Toc146630901"/>
      <w:bookmarkStart w:id="1367" w:name="_Toc146793071"/>
      <w:bookmarkStart w:id="1368" w:name="_Toc146794767"/>
      <w:bookmarkStart w:id="1369" w:name="_Toc146796462"/>
      <w:bookmarkStart w:id="1370" w:name="_Toc146798152"/>
      <w:bookmarkStart w:id="1371" w:name="_Toc146800764"/>
      <w:bookmarkStart w:id="1372" w:name="_Toc146803399"/>
      <w:bookmarkStart w:id="1373" w:name="_Toc146805103"/>
      <w:bookmarkStart w:id="1374" w:name="_Toc146806807"/>
      <w:bookmarkStart w:id="1375" w:name="_Toc148704861"/>
      <w:bookmarkStart w:id="1376" w:name="_Toc149557819"/>
      <w:bookmarkStart w:id="1377" w:name="_Toc150785275"/>
      <w:bookmarkStart w:id="1378" w:name="_Toc150854729"/>
      <w:bookmarkStart w:id="1379" w:name="_Toc151991668"/>
      <w:bookmarkStart w:id="1380" w:name="_Toc152334768"/>
      <w:bookmarkStart w:id="1381" w:name="_Toc153271134"/>
      <w:bookmarkStart w:id="1382" w:name="_Toc157500969"/>
      <w:bookmarkStart w:id="1383" w:name="_Toc159232144"/>
      <w:bookmarkStart w:id="1384" w:name="_Toc134796574"/>
      <w:bookmarkStart w:id="1385" w:name="_Toc134798870"/>
      <w:bookmarkStart w:id="1386" w:name="_Toc145059278"/>
      <w:bookmarkStart w:id="1387" w:name="_Toc145062654"/>
      <w:bookmarkStart w:id="1388" w:name="_Toc145067266"/>
      <w:bookmarkStart w:id="1389" w:name="_Toc146627581"/>
      <w:bookmarkStart w:id="1390" w:name="_Toc146629446"/>
      <w:bookmarkStart w:id="1391" w:name="_Toc146631308"/>
      <w:bookmarkStart w:id="1392" w:name="_Toc146633175"/>
      <w:bookmarkStart w:id="1393" w:name="_Toc146630902"/>
      <w:bookmarkStart w:id="1394" w:name="_Toc146793072"/>
      <w:bookmarkStart w:id="1395" w:name="_Toc146794768"/>
      <w:bookmarkStart w:id="1396" w:name="_Toc146796463"/>
      <w:bookmarkStart w:id="1397" w:name="_Toc146798153"/>
      <w:bookmarkStart w:id="1398" w:name="_Toc146800765"/>
      <w:bookmarkStart w:id="1399" w:name="_Toc146803400"/>
      <w:bookmarkStart w:id="1400" w:name="_Toc146805104"/>
      <w:bookmarkStart w:id="1401" w:name="_Toc146806808"/>
      <w:bookmarkStart w:id="1402" w:name="_Toc148704862"/>
      <w:bookmarkStart w:id="1403" w:name="_Toc149557820"/>
      <w:bookmarkStart w:id="1404" w:name="_Toc150785276"/>
      <w:bookmarkStart w:id="1405" w:name="_Toc150854730"/>
      <w:bookmarkStart w:id="1406" w:name="_Toc151991669"/>
      <w:bookmarkStart w:id="1407" w:name="_Toc152334769"/>
      <w:bookmarkStart w:id="1408" w:name="_Toc153271135"/>
      <w:bookmarkStart w:id="1409" w:name="_Toc157500970"/>
      <w:bookmarkStart w:id="1410" w:name="_Toc159232145"/>
      <w:bookmarkStart w:id="1411" w:name="_Toc134796575"/>
      <w:bookmarkStart w:id="1412" w:name="_Toc134798871"/>
      <w:bookmarkStart w:id="1413" w:name="_Toc145059279"/>
      <w:bookmarkStart w:id="1414" w:name="_Toc145062655"/>
      <w:bookmarkStart w:id="1415" w:name="_Toc145067267"/>
      <w:bookmarkStart w:id="1416" w:name="_Toc146627582"/>
      <w:bookmarkStart w:id="1417" w:name="_Toc146629447"/>
      <w:bookmarkStart w:id="1418" w:name="_Toc146631309"/>
      <w:bookmarkStart w:id="1419" w:name="_Toc146633176"/>
      <w:bookmarkStart w:id="1420" w:name="_Toc146630903"/>
      <w:bookmarkStart w:id="1421" w:name="_Toc146793073"/>
      <w:bookmarkStart w:id="1422" w:name="_Toc146794769"/>
      <w:bookmarkStart w:id="1423" w:name="_Toc146796464"/>
      <w:bookmarkStart w:id="1424" w:name="_Toc146798154"/>
      <w:bookmarkStart w:id="1425" w:name="_Toc146800766"/>
      <w:bookmarkStart w:id="1426" w:name="_Toc146803401"/>
      <w:bookmarkStart w:id="1427" w:name="_Toc146805105"/>
      <w:bookmarkStart w:id="1428" w:name="_Toc146806809"/>
      <w:bookmarkStart w:id="1429" w:name="_Toc148704863"/>
      <w:bookmarkStart w:id="1430" w:name="_Toc149557821"/>
      <w:bookmarkStart w:id="1431" w:name="_Toc150785277"/>
      <w:bookmarkStart w:id="1432" w:name="_Toc150854731"/>
      <w:bookmarkStart w:id="1433" w:name="_Toc151991670"/>
      <w:bookmarkStart w:id="1434" w:name="_Toc152334770"/>
      <w:bookmarkStart w:id="1435" w:name="_Toc153271136"/>
      <w:bookmarkStart w:id="1436" w:name="_Toc157500971"/>
      <w:bookmarkStart w:id="1437" w:name="_Toc159232146"/>
      <w:bookmarkStart w:id="1438" w:name="_Toc134796576"/>
      <w:bookmarkStart w:id="1439" w:name="_Toc134798872"/>
      <w:bookmarkStart w:id="1440" w:name="_Toc145059280"/>
      <w:bookmarkStart w:id="1441" w:name="_Toc145062656"/>
      <w:bookmarkStart w:id="1442" w:name="_Toc145067268"/>
      <w:bookmarkStart w:id="1443" w:name="_Toc146627583"/>
      <w:bookmarkStart w:id="1444" w:name="_Toc146629448"/>
      <w:bookmarkStart w:id="1445" w:name="_Toc146631310"/>
      <w:bookmarkStart w:id="1446" w:name="_Toc146633177"/>
      <w:bookmarkStart w:id="1447" w:name="_Toc146630904"/>
      <w:bookmarkStart w:id="1448" w:name="_Toc146793074"/>
      <w:bookmarkStart w:id="1449" w:name="_Toc146794770"/>
      <w:bookmarkStart w:id="1450" w:name="_Toc146796465"/>
      <w:bookmarkStart w:id="1451" w:name="_Toc146798155"/>
      <w:bookmarkStart w:id="1452" w:name="_Toc146800767"/>
      <w:bookmarkStart w:id="1453" w:name="_Toc146803402"/>
      <w:bookmarkStart w:id="1454" w:name="_Toc146805106"/>
      <w:bookmarkStart w:id="1455" w:name="_Toc146806810"/>
      <w:bookmarkStart w:id="1456" w:name="_Toc148704864"/>
      <w:bookmarkStart w:id="1457" w:name="_Toc149557822"/>
      <w:bookmarkStart w:id="1458" w:name="_Toc150785278"/>
      <w:bookmarkStart w:id="1459" w:name="_Toc150854732"/>
      <w:bookmarkStart w:id="1460" w:name="_Toc151991671"/>
      <w:bookmarkStart w:id="1461" w:name="_Toc152334771"/>
      <w:bookmarkStart w:id="1462" w:name="_Toc153271137"/>
      <w:bookmarkStart w:id="1463" w:name="_Toc157500972"/>
      <w:bookmarkStart w:id="1464" w:name="_Toc159232147"/>
      <w:bookmarkStart w:id="1465" w:name="_Toc134796577"/>
      <w:bookmarkStart w:id="1466" w:name="_Toc134798873"/>
      <w:bookmarkStart w:id="1467" w:name="_Toc145059281"/>
      <w:bookmarkStart w:id="1468" w:name="_Toc145062657"/>
      <w:bookmarkStart w:id="1469" w:name="_Toc145067269"/>
      <w:bookmarkStart w:id="1470" w:name="_Toc146627584"/>
      <w:bookmarkStart w:id="1471" w:name="_Toc146629449"/>
      <w:bookmarkStart w:id="1472" w:name="_Toc146631311"/>
      <w:bookmarkStart w:id="1473" w:name="_Toc146633178"/>
      <w:bookmarkStart w:id="1474" w:name="_Toc146630905"/>
      <w:bookmarkStart w:id="1475" w:name="_Toc146793075"/>
      <w:bookmarkStart w:id="1476" w:name="_Toc146794771"/>
      <w:bookmarkStart w:id="1477" w:name="_Toc146796466"/>
      <w:bookmarkStart w:id="1478" w:name="_Toc146798156"/>
      <w:bookmarkStart w:id="1479" w:name="_Toc146800768"/>
      <w:bookmarkStart w:id="1480" w:name="_Toc146803403"/>
      <w:bookmarkStart w:id="1481" w:name="_Toc146805107"/>
      <w:bookmarkStart w:id="1482" w:name="_Toc146806811"/>
      <w:bookmarkStart w:id="1483" w:name="_Toc148704865"/>
      <w:bookmarkStart w:id="1484" w:name="_Toc149557823"/>
      <w:bookmarkStart w:id="1485" w:name="_Toc150785279"/>
      <w:bookmarkStart w:id="1486" w:name="_Toc150854733"/>
      <w:bookmarkStart w:id="1487" w:name="_Toc151991672"/>
      <w:bookmarkStart w:id="1488" w:name="_Toc152334772"/>
      <w:bookmarkStart w:id="1489" w:name="_Toc153271138"/>
      <w:bookmarkStart w:id="1490" w:name="_Toc157500973"/>
      <w:bookmarkStart w:id="1491" w:name="_Toc159232148"/>
      <w:bookmarkStart w:id="1492" w:name="_Toc134796578"/>
      <w:bookmarkStart w:id="1493" w:name="_Toc134798874"/>
      <w:bookmarkStart w:id="1494" w:name="_Toc145059282"/>
      <w:bookmarkStart w:id="1495" w:name="_Toc145062658"/>
      <w:bookmarkStart w:id="1496" w:name="_Toc145067270"/>
      <w:bookmarkStart w:id="1497" w:name="_Toc146627585"/>
      <w:bookmarkStart w:id="1498" w:name="_Toc146629450"/>
      <w:bookmarkStart w:id="1499" w:name="_Toc146631312"/>
      <w:bookmarkStart w:id="1500" w:name="_Toc146633179"/>
      <w:bookmarkStart w:id="1501" w:name="_Toc146630906"/>
      <w:bookmarkStart w:id="1502" w:name="_Toc146793076"/>
      <w:bookmarkStart w:id="1503" w:name="_Toc146794772"/>
      <w:bookmarkStart w:id="1504" w:name="_Toc146796467"/>
      <w:bookmarkStart w:id="1505" w:name="_Toc146798157"/>
      <w:bookmarkStart w:id="1506" w:name="_Toc146800769"/>
      <w:bookmarkStart w:id="1507" w:name="_Toc146803404"/>
      <w:bookmarkStart w:id="1508" w:name="_Toc146805108"/>
      <w:bookmarkStart w:id="1509" w:name="_Toc146806812"/>
      <w:bookmarkStart w:id="1510" w:name="_Toc148704866"/>
      <w:bookmarkStart w:id="1511" w:name="_Toc149557824"/>
      <w:bookmarkStart w:id="1512" w:name="_Toc150785280"/>
      <w:bookmarkStart w:id="1513" w:name="_Toc150854734"/>
      <w:bookmarkStart w:id="1514" w:name="_Toc151991673"/>
      <w:bookmarkStart w:id="1515" w:name="_Toc152334773"/>
      <w:bookmarkStart w:id="1516" w:name="_Toc153271139"/>
      <w:bookmarkStart w:id="1517" w:name="_Toc157500974"/>
      <w:bookmarkStart w:id="1518" w:name="_Toc159232149"/>
      <w:bookmarkStart w:id="1519" w:name="_Toc134796579"/>
      <w:bookmarkStart w:id="1520" w:name="_Toc134798875"/>
      <w:bookmarkStart w:id="1521" w:name="_Toc145059283"/>
      <w:bookmarkStart w:id="1522" w:name="_Toc145062659"/>
      <w:bookmarkStart w:id="1523" w:name="_Toc145067271"/>
      <w:bookmarkStart w:id="1524" w:name="_Toc146627586"/>
      <w:bookmarkStart w:id="1525" w:name="_Toc146629451"/>
      <w:bookmarkStart w:id="1526" w:name="_Toc146631313"/>
      <w:bookmarkStart w:id="1527" w:name="_Toc146633180"/>
      <w:bookmarkStart w:id="1528" w:name="_Toc146630907"/>
      <w:bookmarkStart w:id="1529" w:name="_Toc146793077"/>
      <w:bookmarkStart w:id="1530" w:name="_Toc146794773"/>
      <w:bookmarkStart w:id="1531" w:name="_Toc146796468"/>
      <w:bookmarkStart w:id="1532" w:name="_Toc146798158"/>
      <w:bookmarkStart w:id="1533" w:name="_Toc146800770"/>
      <w:bookmarkStart w:id="1534" w:name="_Toc146803405"/>
      <w:bookmarkStart w:id="1535" w:name="_Toc146805109"/>
      <w:bookmarkStart w:id="1536" w:name="_Toc146806813"/>
      <w:bookmarkStart w:id="1537" w:name="_Toc148704867"/>
      <w:bookmarkStart w:id="1538" w:name="_Toc149557825"/>
      <w:bookmarkStart w:id="1539" w:name="_Toc150785281"/>
      <w:bookmarkStart w:id="1540" w:name="_Toc150854735"/>
      <w:bookmarkStart w:id="1541" w:name="_Toc151991674"/>
      <w:bookmarkStart w:id="1542" w:name="_Toc152334774"/>
      <w:bookmarkStart w:id="1543" w:name="_Toc153271140"/>
      <w:bookmarkStart w:id="1544" w:name="_Toc157500975"/>
      <w:bookmarkStart w:id="1545" w:name="_Toc159232150"/>
      <w:bookmarkStart w:id="1546" w:name="_Toc134796580"/>
      <w:bookmarkStart w:id="1547" w:name="_Toc134798876"/>
      <w:bookmarkStart w:id="1548" w:name="_Toc145059284"/>
      <w:bookmarkStart w:id="1549" w:name="_Toc145062660"/>
      <w:bookmarkStart w:id="1550" w:name="_Toc145067272"/>
      <w:bookmarkStart w:id="1551" w:name="_Toc146627587"/>
      <w:bookmarkStart w:id="1552" w:name="_Toc146629452"/>
      <w:bookmarkStart w:id="1553" w:name="_Toc146631314"/>
      <w:bookmarkStart w:id="1554" w:name="_Toc146633181"/>
      <w:bookmarkStart w:id="1555" w:name="_Toc146630908"/>
      <w:bookmarkStart w:id="1556" w:name="_Toc146793078"/>
      <w:bookmarkStart w:id="1557" w:name="_Toc146794774"/>
      <w:bookmarkStart w:id="1558" w:name="_Toc146796469"/>
      <w:bookmarkStart w:id="1559" w:name="_Toc146798159"/>
      <w:bookmarkStart w:id="1560" w:name="_Toc146800771"/>
      <w:bookmarkStart w:id="1561" w:name="_Toc146803406"/>
      <w:bookmarkStart w:id="1562" w:name="_Toc146805110"/>
      <w:bookmarkStart w:id="1563" w:name="_Toc146806814"/>
      <w:bookmarkStart w:id="1564" w:name="_Toc148704868"/>
      <w:bookmarkStart w:id="1565" w:name="_Toc149557826"/>
      <w:bookmarkStart w:id="1566" w:name="_Toc150785282"/>
      <w:bookmarkStart w:id="1567" w:name="_Toc150854736"/>
      <w:bookmarkStart w:id="1568" w:name="_Toc151991675"/>
      <w:bookmarkStart w:id="1569" w:name="_Toc152334775"/>
      <w:bookmarkStart w:id="1570" w:name="_Toc153271141"/>
      <w:bookmarkStart w:id="1571" w:name="_Toc157500976"/>
      <w:bookmarkStart w:id="1572" w:name="_Toc159232151"/>
      <w:bookmarkStart w:id="1573" w:name="_Toc243211976"/>
      <w:bookmarkStart w:id="1574" w:name="_Ref244614456"/>
      <w:bookmarkStart w:id="1575" w:name="_Ref244674361"/>
      <w:bookmarkStart w:id="1576" w:name="_Ref244679371"/>
      <w:bookmarkStart w:id="1577" w:name="_Toc245633954"/>
      <w:bookmarkStart w:id="1578" w:name="_Toc245634106"/>
      <w:bookmarkStart w:id="1579" w:name="_Toc245727996"/>
      <w:bookmarkStart w:id="1580" w:name="_Ref247613965"/>
      <w:bookmarkStart w:id="1581" w:name="_Toc248644120"/>
      <w:bookmarkStart w:id="1582" w:name="_Toc258924845"/>
      <w:bookmarkStart w:id="1583" w:name="_Ref262127741"/>
      <w:bookmarkStart w:id="1584" w:name="_Toc263173278"/>
      <w:bookmarkStart w:id="1585" w:name="_Toc263429400"/>
      <w:bookmarkStart w:id="1586" w:name="_Toc263795428"/>
      <w:bookmarkStart w:id="1587" w:name="_Toc266869613"/>
      <w:bookmarkStart w:id="1588" w:name="_Ref444070072"/>
      <w:bookmarkStart w:id="1589" w:name="_Ref476748671"/>
      <w:bookmarkStart w:id="1590" w:name="_Toc163740159"/>
      <w:bookmarkStart w:id="1591" w:name="_Toc213771813"/>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rsidRPr="00D1363C">
        <w:t>Resource Status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17C3D4C1" w14:textId="3ADCD5A4" w:rsidR="00C70F99" w:rsidRDefault="00C70F99" w:rsidP="00C70F99">
      <w:pPr>
        <w:spacing w:after="0" w:line="300" w:lineRule="auto"/>
        <w:rPr>
          <w:szCs w:val="24"/>
        </w:rPr>
      </w:pPr>
      <w:bookmarkStart w:id="1592" w:name="OLE_LINK144"/>
      <w:bookmarkStart w:id="1593" w:name="OLE_LINK184"/>
      <w:r w:rsidRPr="00D1363C">
        <w:rPr>
          <w:szCs w:val="24"/>
        </w:rPr>
        <w:t xml:space="preserve">In addition to the Resource Offer parameters specified under Section </w:t>
      </w:r>
      <w:r w:rsidRPr="00D1363C">
        <w:rPr>
          <w:szCs w:val="24"/>
        </w:rPr>
        <w:fldChar w:fldCharType="begin"/>
      </w:r>
      <w:r w:rsidRPr="00D1363C">
        <w:rPr>
          <w:szCs w:val="24"/>
        </w:rPr>
        <w:instrText xml:space="preserve"> REF _Ref244651504 \r \h </w:instrText>
      </w:r>
      <w:r w:rsidRPr="00D1363C">
        <w:rPr>
          <w:szCs w:val="24"/>
        </w:rPr>
      </w:r>
      <w:r w:rsidRPr="00D1363C">
        <w:rPr>
          <w:szCs w:val="24"/>
        </w:rPr>
        <w:fldChar w:fldCharType="separate"/>
      </w:r>
      <w:r w:rsidRPr="00D1363C">
        <w:rPr>
          <w:szCs w:val="24"/>
        </w:rPr>
        <w:t>4.2.2.1</w:t>
      </w:r>
      <w:r w:rsidRPr="00D1363C">
        <w:rPr>
          <w:szCs w:val="24"/>
        </w:rPr>
        <w:fldChar w:fldCharType="end"/>
      </w:r>
      <w:r w:rsidRPr="00D1363C">
        <w:rPr>
          <w:szCs w:val="24"/>
        </w:rPr>
        <w:t xml:space="preserve">, Market Participants must also specify a Resource Commitment Status as part of the Resource Offer.  The Commitment Status selection indicates to the Market Operator how the Resource should be considered for unit commitment and may be specified separately for use in either the Day-Ahead Market, RTBM, or both unless otherwise noted below.  For Resources opting for the JOU modeling described under </w:t>
      </w:r>
      <w:r w:rsidRPr="00F67A1F">
        <w:rPr>
          <w:szCs w:val="24"/>
        </w:rPr>
        <w:t xml:space="preserve">Section </w:t>
      </w:r>
      <w:r w:rsidR="001E0A42">
        <w:rPr>
          <w:szCs w:val="24"/>
        </w:rPr>
        <w:fldChar w:fldCharType="begin"/>
      </w:r>
      <w:r w:rsidR="001E0A42">
        <w:rPr>
          <w:szCs w:val="24"/>
        </w:rPr>
        <w:instrText xml:space="preserve"> REF _Ref195095682 \r \h </w:instrText>
      </w:r>
      <w:r w:rsidR="001E0A42">
        <w:rPr>
          <w:szCs w:val="24"/>
        </w:rPr>
      </w:r>
      <w:r w:rsidR="001E0A42">
        <w:rPr>
          <w:szCs w:val="24"/>
        </w:rPr>
        <w:fldChar w:fldCharType="separate"/>
      </w:r>
      <w:r w:rsidR="001E0A42">
        <w:rPr>
          <w:szCs w:val="24"/>
        </w:rPr>
        <w:t>9.1.5.1</w:t>
      </w:r>
      <w:r w:rsidR="001E0A42">
        <w:rPr>
          <w:szCs w:val="24"/>
        </w:rPr>
        <w:fldChar w:fldCharType="end"/>
      </w:r>
      <w:r w:rsidRPr="00F67A1F">
        <w:rPr>
          <w:szCs w:val="24"/>
        </w:rPr>
        <w:fldChar w:fldCharType="begin"/>
      </w:r>
      <w:r w:rsidRPr="00F67A1F">
        <w:rPr>
          <w:szCs w:val="24"/>
        </w:rPr>
        <w:instrText xml:space="preserve"> REF _Ref262716178 \r \h </w:instrText>
      </w:r>
      <w:r>
        <w:rPr>
          <w:szCs w:val="24"/>
        </w:rPr>
        <w:instrText xml:space="preserve"> \* MERGEFORMAT </w:instrText>
      </w:r>
      <w:r w:rsidRPr="00F67A1F">
        <w:rPr>
          <w:szCs w:val="24"/>
        </w:rPr>
      </w:r>
      <w:r w:rsidRPr="00F67A1F">
        <w:rPr>
          <w:szCs w:val="24"/>
        </w:rPr>
        <w:fldChar w:fldCharType="separate"/>
      </w:r>
      <w:r w:rsidRPr="00F67A1F">
        <w:rPr>
          <w:szCs w:val="24"/>
        </w:rPr>
        <w:fldChar w:fldCharType="end"/>
      </w:r>
      <w:r w:rsidRPr="00F67A1F">
        <w:rPr>
          <w:szCs w:val="24"/>
        </w:rPr>
        <w:t xml:space="preserve">, this value must be submitted by or on behalf of the designated Asset Owner specified during market registration and represents the Commitment Status for the entire Physical JOU Resource.  </w:t>
      </w:r>
      <w:r w:rsidR="00695E60">
        <w:rPr>
          <w:szCs w:val="24"/>
        </w:rPr>
        <w:t>If a Resource is not a Variable Energy Resource</w:t>
      </w:r>
      <w:r w:rsidR="0059477B">
        <w:rPr>
          <w:szCs w:val="24"/>
        </w:rPr>
        <w:t xml:space="preserve"> </w:t>
      </w:r>
      <w:r w:rsidR="00695E60">
        <w:rPr>
          <w:szCs w:val="24"/>
        </w:rPr>
        <w:t xml:space="preserve">for </w:t>
      </w:r>
      <w:r w:rsidR="00254B7A">
        <w:rPr>
          <w:szCs w:val="24"/>
        </w:rPr>
        <w:t xml:space="preserve">which </w:t>
      </w:r>
      <w:r w:rsidR="00695E60">
        <w:rPr>
          <w:szCs w:val="24"/>
        </w:rPr>
        <w:t>the Market Operator is calculating an output forecast</w:t>
      </w:r>
      <w:r w:rsidR="00B01D1C">
        <w:rPr>
          <w:szCs w:val="24"/>
        </w:rPr>
        <w:t>,</w:t>
      </w:r>
      <w:r w:rsidR="00121ADE">
        <w:rPr>
          <w:szCs w:val="24"/>
        </w:rPr>
        <w:t xml:space="preserve"> or an ESR or HSMR registered as an MSR,</w:t>
      </w:r>
      <w:r w:rsidR="00695E60">
        <w:rPr>
          <w:szCs w:val="24"/>
        </w:rPr>
        <w:t xml:space="preserve"> and resource</w:t>
      </w:r>
      <w:r w:rsidR="005A4A61">
        <w:rPr>
          <w:szCs w:val="24"/>
        </w:rPr>
        <w:t xml:space="preserve"> availability is predicted to drop below 0.1 MW, the Market Participant will set the Commitment Status to “Outage</w:t>
      </w:r>
      <w:r w:rsidR="00493149">
        <w:rPr>
          <w:szCs w:val="24"/>
        </w:rPr>
        <w:t xml:space="preserve">,” </w:t>
      </w:r>
      <w:r w:rsidR="00331439">
        <w:rPr>
          <w:szCs w:val="24"/>
        </w:rPr>
        <w:t xml:space="preserve">(See Section </w:t>
      </w:r>
      <w:r w:rsidR="00331439">
        <w:rPr>
          <w:szCs w:val="24"/>
        </w:rPr>
        <w:fldChar w:fldCharType="begin"/>
      </w:r>
      <w:r w:rsidR="00331439">
        <w:rPr>
          <w:szCs w:val="24"/>
        </w:rPr>
        <w:instrText xml:space="preserve"> REF _Ref212542992 \r \h </w:instrText>
      </w:r>
      <w:r w:rsidR="00331439">
        <w:rPr>
          <w:szCs w:val="24"/>
        </w:rPr>
      </w:r>
      <w:r w:rsidR="00331439">
        <w:rPr>
          <w:szCs w:val="24"/>
        </w:rPr>
        <w:fldChar w:fldCharType="separate"/>
      </w:r>
      <w:r w:rsidR="00331439">
        <w:rPr>
          <w:szCs w:val="24"/>
        </w:rPr>
        <w:t>4.2.2.2.1</w:t>
      </w:r>
      <w:r w:rsidR="00331439">
        <w:rPr>
          <w:szCs w:val="24"/>
        </w:rPr>
        <w:fldChar w:fldCharType="end"/>
      </w:r>
      <w:r w:rsidR="00331439">
        <w:rPr>
          <w:szCs w:val="24"/>
        </w:rPr>
        <w:t>)</w:t>
      </w:r>
      <w:r w:rsidR="00493149">
        <w:rPr>
          <w:szCs w:val="24"/>
        </w:rPr>
        <w:t xml:space="preserve"> , for the entire duration of that period. </w:t>
      </w:r>
      <w:r w:rsidRPr="00F67A1F">
        <w:rPr>
          <w:szCs w:val="24"/>
        </w:rPr>
        <w:t xml:space="preserve">If the Resource is on an outage as described under Section </w:t>
      </w:r>
      <w:r w:rsidR="009232A5">
        <w:rPr>
          <w:szCs w:val="24"/>
        </w:rPr>
        <w:fldChar w:fldCharType="begin"/>
      </w:r>
      <w:r w:rsidR="009232A5">
        <w:rPr>
          <w:szCs w:val="24"/>
        </w:rPr>
        <w:instrText xml:space="preserve"> REF _Ref314826846 \r \h </w:instrText>
      </w:r>
      <w:r w:rsidR="009232A5">
        <w:rPr>
          <w:szCs w:val="24"/>
        </w:rPr>
      </w:r>
      <w:r w:rsidR="009232A5">
        <w:rPr>
          <w:szCs w:val="24"/>
        </w:rPr>
        <w:fldChar w:fldCharType="separate"/>
      </w:r>
      <w:r w:rsidR="009232A5">
        <w:rPr>
          <w:szCs w:val="24"/>
        </w:rPr>
        <w:t>4.1.6</w:t>
      </w:r>
      <w:r w:rsidR="009232A5">
        <w:rPr>
          <w:szCs w:val="24"/>
        </w:rPr>
        <w:fldChar w:fldCharType="end"/>
      </w:r>
      <w:r w:rsidRPr="00F67A1F">
        <w:rPr>
          <w:szCs w:val="24"/>
        </w:rPr>
        <w:fldChar w:fldCharType="begin"/>
      </w:r>
      <w:r w:rsidRPr="00F67A1F">
        <w:rPr>
          <w:szCs w:val="24"/>
        </w:rPr>
        <w:instrText xml:space="preserve"> REF _Ref314826854 \r \h </w:instrText>
      </w:r>
      <w:r>
        <w:rPr>
          <w:szCs w:val="24"/>
        </w:rPr>
        <w:instrText xml:space="preserve"> \* MERGEFORMAT </w:instrText>
      </w:r>
      <w:r w:rsidRPr="00F67A1F">
        <w:rPr>
          <w:szCs w:val="24"/>
        </w:rPr>
      </w:r>
      <w:r w:rsidRPr="00F67A1F">
        <w:rPr>
          <w:szCs w:val="24"/>
        </w:rPr>
        <w:fldChar w:fldCharType="separate"/>
      </w:r>
      <w:r w:rsidRPr="00F67A1F">
        <w:rPr>
          <w:szCs w:val="24"/>
        </w:rPr>
        <w:fldChar w:fldCharType="end"/>
      </w:r>
      <w:r w:rsidRPr="00F67A1F">
        <w:rPr>
          <w:szCs w:val="24"/>
        </w:rPr>
        <w:t>, the Commitment Status will default to outage and the Resource will not be available for commitment or dispatch during the outage period.  Valid Commitment Status selections are:</w:t>
      </w:r>
    </w:p>
    <w:p w14:paraId="4EC5B173" w14:textId="6B44FC91" w:rsidR="00C70F99" w:rsidRPr="00DA21DE" w:rsidRDefault="00C70F99" w:rsidP="00574654">
      <w:pPr>
        <w:pStyle w:val="Heading5"/>
      </w:pPr>
      <w:bookmarkStart w:id="1594" w:name="_Toc263173279"/>
      <w:bookmarkStart w:id="1595" w:name="_Toc263795429"/>
      <w:bookmarkStart w:id="1596" w:name="_Ref265150604"/>
      <w:bookmarkStart w:id="1597" w:name="_Ref265150615"/>
      <w:bookmarkStart w:id="1598" w:name="_Ref270318768"/>
      <w:bookmarkStart w:id="1599" w:name="_Ref349574933"/>
      <w:bookmarkStart w:id="1600" w:name="_Ref349575159"/>
      <w:bookmarkStart w:id="1601" w:name="_Ref476749276"/>
      <w:bookmarkStart w:id="1602" w:name="_Ref476749769"/>
      <w:bookmarkStart w:id="1603" w:name="_Ref476749797"/>
      <w:bookmarkStart w:id="1604" w:name="_Ref485805713"/>
      <w:bookmarkStart w:id="1605" w:name="_Ref159854201"/>
      <w:bookmarkStart w:id="1606" w:name="_Ref159854634"/>
      <w:bookmarkStart w:id="1607" w:name="_Toc163740160"/>
      <w:bookmarkStart w:id="1608" w:name="_Ref212542992"/>
      <w:bookmarkStart w:id="1609" w:name="_Ref212542996"/>
      <w:bookmarkStart w:id="1610" w:name="_Toc213771814"/>
      <w:r w:rsidRPr="00DA21DE">
        <w:t>Commitment Status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rsidRPr="00DA21DE">
        <w:t xml:space="preserve"> </w:t>
      </w:r>
    </w:p>
    <w:p w14:paraId="1135719B" w14:textId="1659BDAC" w:rsidR="00C70F99" w:rsidRPr="00D1363C" w:rsidRDefault="00C70F99" w:rsidP="00C35DA0">
      <w:pPr>
        <w:numPr>
          <w:ilvl w:val="0"/>
          <w:numId w:val="9"/>
        </w:numPr>
        <w:tabs>
          <w:tab w:val="clear" w:pos="360"/>
        </w:tabs>
        <w:spacing w:before="120" w:line="300" w:lineRule="auto"/>
        <w:ind w:left="720" w:hanging="720"/>
        <w:rPr>
          <w:szCs w:val="24"/>
        </w:rPr>
      </w:pPr>
      <w:r w:rsidRPr="00D1363C">
        <w:rPr>
          <w:b/>
          <w:szCs w:val="24"/>
        </w:rPr>
        <w:t xml:space="preserve">Market – </w:t>
      </w:r>
      <w:r w:rsidRPr="00D1363C">
        <w:rPr>
          <w:szCs w:val="24"/>
        </w:rPr>
        <w:t>The Resource is available for Market Operator economic commitment if it is off-line;</w:t>
      </w:r>
    </w:p>
    <w:p w14:paraId="4A53FF34" w14:textId="44FCCA4C" w:rsidR="00C70F99" w:rsidRPr="00D1363C" w:rsidRDefault="00C70F99" w:rsidP="00C35DA0">
      <w:pPr>
        <w:numPr>
          <w:ilvl w:val="0"/>
          <w:numId w:val="9"/>
        </w:numPr>
        <w:tabs>
          <w:tab w:val="clear" w:pos="360"/>
          <w:tab w:val="num" w:pos="990"/>
        </w:tabs>
        <w:spacing w:before="120" w:line="300" w:lineRule="auto"/>
        <w:ind w:left="720" w:hanging="720"/>
        <w:rPr>
          <w:szCs w:val="24"/>
        </w:rPr>
      </w:pPr>
      <w:r w:rsidRPr="00D1363C">
        <w:rPr>
          <w:b/>
          <w:szCs w:val="24"/>
        </w:rPr>
        <w:t xml:space="preserve">Self – </w:t>
      </w:r>
      <w:r w:rsidRPr="00D1363C">
        <w:rPr>
          <w:szCs w:val="24"/>
        </w:rPr>
        <w:t xml:space="preserve">The Market Participant is committing the Resource and </w:t>
      </w:r>
      <w:r w:rsidR="00861D3B">
        <w:rPr>
          <w:szCs w:val="24"/>
        </w:rPr>
        <w:t>the Market Operator</w:t>
      </w:r>
      <w:r w:rsidR="00861D3B" w:rsidRPr="00D1363C">
        <w:rPr>
          <w:szCs w:val="24"/>
        </w:rPr>
        <w:t xml:space="preserve"> </w:t>
      </w:r>
      <w:r w:rsidRPr="00D1363C">
        <w:rPr>
          <w:szCs w:val="24"/>
        </w:rPr>
        <w:t>should include it as committed in either the</w:t>
      </w:r>
      <w:r w:rsidR="00966B55">
        <w:rPr>
          <w:szCs w:val="24"/>
        </w:rPr>
        <w:t xml:space="preserve"> Day-Ahead </w:t>
      </w:r>
      <w:r w:rsidRPr="00D1363C">
        <w:rPr>
          <w:szCs w:val="24"/>
        </w:rPr>
        <w:t xml:space="preserve">Market </w:t>
      </w:r>
      <w:r w:rsidRPr="00D1363C" w:rsidDel="0046151A">
        <w:rPr>
          <w:szCs w:val="24"/>
        </w:rPr>
        <w:t>and/or</w:t>
      </w:r>
      <w:r w:rsidRPr="00D1363C">
        <w:rPr>
          <w:szCs w:val="24"/>
        </w:rPr>
        <w:t xml:space="preserve"> RUC as specified;</w:t>
      </w:r>
    </w:p>
    <w:p w14:paraId="13725B10" w14:textId="032AEAB9" w:rsidR="00C70F99" w:rsidRPr="00D1363C" w:rsidRDefault="00C70F99" w:rsidP="00C35DA0">
      <w:pPr>
        <w:numPr>
          <w:ilvl w:val="0"/>
          <w:numId w:val="9"/>
        </w:numPr>
        <w:tabs>
          <w:tab w:val="clear" w:pos="360"/>
        </w:tabs>
        <w:spacing w:before="120" w:line="300" w:lineRule="auto"/>
        <w:ind w:left="720" w:hanging="720"/>
        <w:rPr>
          <w:szCs w:val="24"/>
        </w:rPr>
      </w:pPr>
      <w:r w:rsidRPr="00D1363C">
        <w:rPr>
          <w:b/>
          <w:szCs w:val="24"/>
        </w:rPr>
        <w:t>Reliability Must Run</w:t>
      </w:r>
      <w:r w:rsidR="007B5A4A">
        <w:rPr>
          <w:b/>
          <w:szCs w:val="24"/>
        </w:rPr>
        <w:t xml:space="preserve"> (RMR)</w:t>
      </w:r>
      <w:r w:rsidRPr="00D1363C">
        <w:rPr>
          <w:b/>
          <w:szCs w:val="24"/>
        </w:rPr>
        <w:t xml:space="preserve"> – </w:t>
      </w:r>
      <w:r w:rsidRPr="00D1363C">
        <w:rPr>
          <w:szCs w:val="24"/>
        </w:rPr>
        <w:t xml:space="preserve">Market Participants must only use this commitment status when the Resource received an Emergency Condition Commitment or Local Reliability Issue Commitment and the Market Operator should include it as committed in either the Day-Ahead Market </w:t>
      </w:r>
      <w:r w:rsidRPr="00D1363C" w:rsidDel="0046151A">
        <w:rPr>
          <w:szCs w:val="24"/>
        </w:rPr>
        <w:t>and/or</w:t>
      </w:r>
      <w:r w:rsidRPr="00D1363C">
        <w:rPr>
          <w:szCs w:val="24"/>
        </w:rPr>
        <w:t xml:space="preserve"> RUC as specified;</w:t>
      </w:r>
    </w:p>
    <w:p w14:paraId="251C413E" w14:textId="7CC40100" w:rsidR="00C70F99" w:rsidRPr="00D1363C" w:rsidRDefault="00C70F99" w:rsidP="00C35DA0">
      <w:pPr>
        <w:numPr>
          <w:ilvl w:val="0"/>
          <w:numId w:val="9"/>
        </w:numPr>
        <w:tabs>
          <w:tab w:val="clear" w:pos="360"/>
        </w:tabs>
        <w:spacing w:before="120" w:line="300" w:lineRule="auto"/>
        <w:ind w:left="720" w:hanging="720"/>
        <w:rPr>
          <w:b/>
          <w:szCs w:val="24"/>
        </w:rPr>
      </w:pPr>
      <w:r w:rsidRPr="00D1363C">
        <w:rPr>
          <w:b/>
          <w:szCs w:val="24"/>
        </w:rPr>
        <w:t xml:space="preserve">Outage – </w:t>
      </w:r>
      <w:r w:rsidRPr="00D1363C">
        <w:rPr>
          <w:szCs w:val="24"/>
        </w:rPr>
        <w:t xml:space="preserve">The Resource is </w:t>
      </w:r>
      <w:r>
        <w:rPr>
          <w:szCs w:val="24"/>
        </w:rPr>
        <w:t xml:space="preserve">physically </w:t>
      </w:r>
      <w:r w:rsidRPr="00D1363C">
        <w:rPr>
          <w:szCs w:val="24"/>
        </w:rPr>
        <w:t>unavailable to the market, or, in the case of an MCR, the configuration is unavailable to the market</w:t>
      </w:r>
      <w:r>
        <w:rPr>
          <w:szCs w:val="24"/>
        </w:rPr>
        <w:t>;</w:t>
      </w:r>
      <w:r w:rsidRPr="00D1363C">
        <w:rPr>
          <w:szCs w:val="24"/>
        </w:rPr>
        <w:t xml:space="preserve">  </w:t>
      </w:r>
      <w:r w:rsidR="000D4BB1">
        <w:rPr>
          <w:szCs w:val="24"/>
        </w:rPr>
        <w:t>or</w:t>
      </w:r>
    </w:p>
    <w:p w14:paraId="47FFA57D" w14:textId="5F49FF98" w:rsidR="00C70F99" w:rsidRPr="00FF7FCF" w:rsidRDefault="00C70F99" w:rsidP="00C35DA0">
      <w:pPr>
        <w:numPr>
          <w:ilvl w:val="0"/>
          <w:numId w:val="9"/>
        </w:numPr>
        <w:tabs>
          <w:tab w:val="clear" w:pos="360"/>
        </w:tabs>
        <w:spacing w:before="120" w:line="300" w:lineRule="auto"/>
        <w:ind w:left="720" w:hanging="720"/>
        <w:rPr>
          <w:b/>
          <w:szCs w:val="24"/>
        </w:rPr>
      </w:pPr>
      <w:r w:rsidRPr="00FF7FCF">
        <w:rPr>
          <w:b/>
          <w:szCs w:val="24"/>
        </w:rPr>
        <w:t xml:space="preserve">Not Available – </w:t>
      </w:r>
      <w:r w:rsidRPr="00FF7FCF">
        <w:rPr>
          <w:szCs w:val="24"/>
        </w:rPr>
        <w:t xml:space="preserve">The Resource did not offer to be available for Markets+ commitment. </w:t>
      </w:r>
    </w:p>
    <w:p w14:paraId="5614292A" w14:textId="6A815BD2" w:rsidR="00276A76" w:rsidRPr="00AF5787" w:rsidRDefault="00276A76" w:rsidP="00574654">
      <w:pPr>
        <w:pStyle w:val="Heading5"/>
      </w:pPr>
      <w:bookmarkStart w:id="1611" w:name="_Toc213771815"/>
      <w:bookmarkStart w:id="1612" w:name="_Toc263173280"/>
      <w:bookmarkStart w:id="1613" w:name="_Toc263795430"/>
      <w:bookmarkStart w:id="1614" w:name="_Ref270318860"/>
      <w:bookmarkStart w:id="1615" w:name="_Toc163715970"/>
      <w:bookmarkStart w:id="1616" w:name="OLE_LINK198"/>
      <w:bookmarkStart w:id="1617" w:name="OLE_LINK199"/>
      <w:r>
        <w:t>Offline Mid-Term Flex Up Availability Status</w:t>
      </w:r>
      <w:bookmarkEnd w:id="1611"/>
    </w:p>
    <w:p w14:paraId="3C5EEC2D" w14:textId="77777777" w:rsidR="00CD493A" w:rsidRPr="00AF5787" w:rsidRDefault="00CD493A" w:rsidP="00CD493A">
      <w:pPr>
        <w:pStyle w:val="ParaText"/>
        <w:spacing w:before="120"/>
        <w:rPr>
          <w:szCs w:val="24"/>
        </w:rPr>
      </w:pPr>
      <w:r>
        <w:t>Offline Mid-Term Flex Up Availability Status</w:t>
      </w:r>
      <w:r w:rsidRPr="00AF5787" w:rsidDel="002300BF">
        <w:rPr>
          <w:szCs w:val="24"/>
        </w:rPr>
        <w:t xml:space="preserve"> </w:t>
      </w:r>
      <w:r w:rsidRPr="00AF5787">
        <w:rPr>
          <w:szCs w:val="24"/>
        </w:rPr>
        <w:t>for off-line Mid-Term Flex</w:t>
      </w:r>
      <w:r>
        <w:rPr>
          <w:szCs w:val="24"/>
        </w:rPr>
        <w:t xml:space="preserve"> </w:t>
      </w:r>
      <w:r w:rsidRPr="00AF5787">
        <w:rPr>
          <w:szCs w:val="24"/>
        </w:rPr>
        <w:t>Up are as follows:</w:t>
      </w:r>
    </w:p>
    <w:p w14:paraId="209757C9" w14:textId="0A7D70C8" w:rsidR="00CD493A" w:rsidRPr="00D2188F" w:rsidRDefault="00CD493A" w:rsidP="00CD493A">
      <w:pPr>
        <w:pStyle w:val="ParaText"/>
        <w:numPr>
          <w:ilvl w:val="1"/>
          <w:numId w:val="79"/>
        </w:numPr>
        <w:spacing w:before="120"/>
      </w:pPr>
      <w:r w:rsidRPr="00D2188F">
        <w:rPr>
          <w:b/>
          <w:szCs w:val="24"/>
        </w:rPr>
        <w:t>Not Qualified –</w:t>
      </w:r>
      <w:r w:rsidRPr="00D2188F">
        <w:rPr>
          <w:bCs/>
          <w:szCs w:val="24"/>
        </w:rPr>
        <w:t xml:space="preserve">This status </w:t>
      </w:r>
      <w:r w:rsidRPr="00AF5787">
        <w:rPr>
          <w:szCs w:val="24"/>
        </w:rPr>
        <w:t>may be submitted if a Commitment Status of Not Available has been submitted in order to prevent the clearing of offline Mid-Term Flex</w:t>
      </w:r>
      <w:r>
        <w:rPr>
          <w:szCs w:val="24"/>
        </w:rPr>
        <w:t xml:space="preserve"> </w:t>
      </w:r>
      <w:r w:rsidRPr="00AF5787">
        <w:rPr>
          <w:szCs w:val="24"/>
        </w:rPr>
        <w:t>Up in the Day-Ahead Market and/or RTBM.</w:t>
      </w:r>
    </w:p>
    <w:bookmarkEnd w:id="1612"/>
    <w:bookmarkEnd w:id="1613"/>
    <w:bookmarkEnd w:id="1614"/>
    <w:bookmarkEnd w:id="1615"/>
    <w:p w14:paraId="690F80E6" w14:textId="58835E87" w:rsidR="00CD493A" w:rsidRPr="00502683" w:rsidRDefault="00CD493A" w:rsidP="00CD493A">
      <w:pPr>
        <w:pStyle w:val="ParaText"/>
        <w:numPr>
          <w:ilvl w:val="1"/>
          <w:numId w:val="79"/>
        </w:numPr>
        <w:spacing w:before="120"/>
      </w:pPr>
      <w:r w:rsidRPr="00D2188F">
        <w:rPr>
          <w:b/>
        </w:rPr>
        <w:t xml:space="preserve">Qualified – </w:t>
      </w:r>
      <w:r w:rsidRPr="00D2188F">
        <w:rPr>
          <w:bCs/>
        </w:rPr>
        <w:t>This status may be submitted if a Commitment Status of Not Available has been submitted and the Resource is available to clear offline Mid-Term Flex Up in the Day-Ahead Market and/or RTBM. </w:t>
      </w:r>
    </w:p>
    <w:p w14:paraId="2155F19D" w14:textId="16DC6C2D" w:rsidR="00C412CE" w:rsidRPr="00B90D45" w:rsidRDefault="00C412CE" w:rsidP="00C412CE">
      <w:pPr>
        <w:tabs>
          <w:tab w:val="num" w:pos="1260"/>
        </w:tabs>
        <w:spacing w:before="240" w:after="240"/>
        <w:ind w:left="2790" w:hanging="2790"/>
        <w:outlineLvl w:val="4"/>
        <w:rPr>
          <w:b/>
          <w:bCs/>
        </w:rPr>
      </w:pPr>
      <w:bookmarkStart w:id="1618" w:name="_Toc213771816"/>
      <w:bookmarkStart w:id="1619" w:name="_Toc258924846"/>
      <w:bookmarkStart w:id="1620" w:name="_Toc263173281"/>
      <w:bookmarkStart w:id="1621" w:name="_Toc263429401"/>
      <w:bookmarkStart w:id="1622" w:name="_Toc263795431"/>
      <w:bookmarkStart w:id="1623" w:name="_Toc266869614"/>
      <w:bookmarkStart w:id="1624" w:name="_Ref118278406"/>
      <w:bookmarkStart w:id="1625" w:name="_Toc163740163"/>
      <w:bookmarkStart w:id="1626" w:name="_Toc243211977"/>
      <w:bookmarkStart w:id="1627" w:name="_Ref244651691"/>
      <w:bookmarkStart w:id="1628" w:name="_Toc245633955"/>
      <w:bookmarkStart w:id="1629" w:name="_Toc245634107"/>
      <w:bookmarkStart w:id="1630" w:name="_Toc245727997"/>
      <w:bookmarkStart w:id="1631" w:name="_Toc248644121"/>
      <w:bookmarkStart w:id="1632" w:name="_Ref256668284"/>
      <w:bookmarkEnd w:id="1592"/>
      <w:bookmarkEnd w:id="1593"/>
      <w:bookmarkEnd w:id="1616"/>
      <w:bookmarkEnd w:id="1617"/>
      <w:r w:rsidRPr="1DA37A45">
        <w:rPr>
          <w:b/>
          <w:bCs/>
        </w:rPr>
        <w:t>4.2.2.2.</w:t>
      </w:r>
      <w:r>
        <w:rPr>
          <w:b/>
        </w:rPr>
        <w:t>3</w:t>
      </w:r>
      <w:r w:rsidRPr="1DA37A45">
        <w:rPr>
          <w:b/>
          <w:bCs/>
        </w:rPr>
        <w:t xml:space="preserve"> </w:t>
      </w:r>
      <w:r>
        <w:tab/>
      </w:r>
      <w:r w:rsidRPr="1DA37A45">
        <w:rPr>
          <w:b/>
          <w:bCs/>
        </w:rPr>
        <w:t>Surplus Threshold Status</w:t>
      </w:r>
      <w:bookmarkEnd w:id="1618"/>
      <w:r w:rsidRPr="1DA37A45">
        <w:rPr>
          <w:b/>
          <w:bCs/>
        </w:rPr>
        <w:t xml:space="preserve"> </w:t>
      </w:r>
    </w:p>
    <w:p w14:paraId="1AB93DAE" w14:textId="77777777" w:rsidR="009A36CE" w:rsidRPr="00171DED" w:rsidRDefault="009A36CE" w:rsidP="009A36CE">
      <w:pPr>
        <w:spacing w:before="120" w:line="300" w:lineRule="auto"/>
        <w:rPr>
          <w:szCs w:val="24"/>
        </w:rPr>
      </w:pPr>
      <w:r w:rsidRPr="00171DED">
        <w:rPr>
          <w:szCs w:val="24"/>
        </w:rPr>
        <w:t xml:space="preserve">This status is an hourly parameter submitted by Market Participants for the Specified Source Resource </w:t>
      </w:r>
      <w:r>
        <w:rPr>
          <w:szCs w:val="24"/>
        </w:rPr>
        <w:t>“Child” Resource</w:t>
      </w:r>
      <w:r w:rsidRPr="00171DED">
        <w:rPr>
          <w:szCs w:val="24"/>
        </w:rPr>
        <w:t xml:space="preserve"> to indicate to the Market Operator when to calculate a Surplus Threshold for the Type 2 Energy.</w:t>
      </w:r>
      <w:r w:rsidRPr="00171DED" w:rsidDel="00A16DB5">
        <w:rPr>
          <w:szCs w:val="24"/>
        </w:rPr>
        <w:t xml:space="preserve"> </w:t>
      </w:r>
    </w:p>
    <w:p w14:paraId="4F800CE8" w14:textId="30E997A8" w:rsidR="009A36CE" w:rsidRPr="00171DED" w:rsidRDefault="009A36CE" w:rsidP="009A36CE">
      <w:pPr>
        <w:numPr>
          <w:ilvl w:val="1"/>
          <w:numId w:val="354"/>
        </w:numPr>
        <w:spacing w:before="120" w:line="300" w:lineRule="auto"/>
        <w:rPr>
          <w:b/>
          <w:bCs/>
          <w:szCs w:val="24"/>
        </w:rPr>
      </w:pPr>
      <w:r w:rsidRPr="00171DED">
        <w:rPr>
          <w:b/>
          <w:bCs/>
          <w:szCs w:val="24"/>
        </w:rPr>
        <w:t>Calculate –</w:t>
      </w:r>
      <w:r w:rsidRPr="00171DED">
        <w:rPr>
          <w:szCs w:val="24"/>
        </w:rPr>
        <w:t xml:space="preserve">The Market Operator will calculate the Surplus Threshold using the merit order process described under Section </w:t>
      </w:r>
      <w:r w:rsidR="006773D3">
        <w:rPr>
          <w:szCs w:val="24"/>
        </w:rPr>
        <w:fldChar w:fldCharType="begin"/>
      </w:r>
      <w:r w:rsidR="006773D3">
        <w:rPr>
          <w:szCs w:val="24"/>
        </w:rPr>
        <w:instrText xml:space="preserve"> REF _Ref212543168 \r \h </w:instrText>
      </w:r>
      <w:r w:rsidR="006773D3">
        <w:rPr>
          <w:szCs w:val="24"/>
        </w:rPr>
      </w:r>
      <w:r w:rsidR="006773D3">
        <w:rPr>
          <w:szCs w:val="24"/>
        </w:rPr>
        <w:fldChar w:fldCharType="separate"/>
      </w:r>
      <w:r w:rsidR="006773D3">
        <w:rPr>
          <w:szCs w:val="24"/>
        </w:rPr>
        <w:t>5.2.1</w:t>
      </w:r>
      <w:r w:rsidR="006773D3">
        <w:rPr>
          <w:szCs w:val="24"/>
        </w:rPr>
        <w:fldChar w:fldCharType="end"/>
      </w:r>
      <w:r w:rsidRPr="00171DED">
        <w:rPr>
          <w:szCs w:val="24"/>
        </w:rPr>
        <w:t xml:space="preserve">.  </w:t>
      </w:r>
    </w:p>
    <w:p w14:paraId="7E7C122B" w14:textId="77777777" w:rsidR="009A36CE" w:rsidRPr="00171DED" w:rsidRDefault="009A36CE" w:rsidP="009A36CE">
      <w:pPr>
        <w:numPr>
          <w:ilvl w:val="1"/>
          <w:numId w:val="354"/>
        </w:numPr>
        <w:spacing w:before="120" w:line="300" w:lineRule="auto"/>
        <w:rPr>
          <w:szCs w:val="24"/>
        </w:rPr>
      </w:pPr>
      <w:r w:rsidRPr="00171DED">
        <w:rPr>
          <w:b/>
          <w:bCs/>
          <w:szCs w:val="24"/>
        </w:rPr>
        <w:t>Submitted</w:t>
      </w:r>
      <w:r w:rsidRPr="00171DED">
        <w:rPr>
          <w:szCs w:val="24"/>
        </w:rPr>
        <w:t xml:space="preserve"> – The Surplus Threshold submitted by the Market Participant </w:t>
      </w:r>
      <w:r>
        <w:rPr>
          <w:szCs w:val="24"/>
        </w:rPr>
        <w:t>will be</w:t>
      </w:r>
      <w:r w:rsidRPr="00171DED">
        <w:rPr>
          <w:szCs w:val="24"/>
        </w:rPr>
        <w:t xml:space="preserve"> </w:t>
      </w:r>
      <w:r>
        <w:rPr>
          <w:szCs w:val="24"/>
        </w:rPr>
        <w:t>considered in the merit order process</w:t>
      </w:r>
      <w:r w:rsidRPr="00171DED">
        <w:rPr>
          <w:szCs w:val="24"/>
        </w:rPr>
        <w:t>.</w:t>
      </w:r>
      <w:r w:rsidRPr="00C60C3D">
        <w:rPr>
          <w:szCs w:val="24"/>
        </w:rPr>
        <w:t xml:space="preserve"> </w:t>
      </w:r>
    </w:p>
    <w:p w14:paraId="3F54A15C" w14:textId="7754E4A6" w:rsidR="00C70F99" w:rsidRPr="00143237" w:rsidRDefault="00C70F99" w:rsidP="00574EDE">
      <w:pPr>
        <w:pStyle w:val="Heading4"/>
      </w:pPr>
      <w:bookmarkStart w:id="1633" w:name="_Toc213771817"/>
      <w:r w:rsidRPr="00D1363C">
        <w:t>Resource Limit Validation</w:t>
      </w:r>
      <w:bookmarkEnd w:id="1619"/>
      <w:bookmarkEnd w:id="1620"/>
      <w:bookmarkEnd w:id="1621"/>
      <w:bookmarkEnd w:id="1622"/>
      <w:bookmarkEnd w:id="1623"/>
      <w:bookmarkEnd w:id="1624"/>
      <w:bookmarkEnd w:id="1625"/>
      <w:bookmarkEnd w:id="1633"/>
    </w:p>
    <w:p w14:paraId="2CBF0AFC" w14:textId="77777777" w:rsidR="00C70F99" w:rsidRPr="00D1363C" w:rsidRDefault="00C70F99" w:rsidP="00CE1123">
      <w:pPr>
        <w:spacing w:before="120" w:line="300" w:lineRule="auto"/>
        <w:rPr>
          <w:szCs w:val="24"/>
        </w:rPr>
      </w:pPr>
      <w:r w:rsidRPr="00D1363C">
        <w:rPr>
          <w:szCs w:val="24"/>
        </w:rPr>
        <w:t>Resource limits submitted as part of the Resource Offer must pass the following validation rules.  Otherwise, the Resource Offer will be rejected.</w:t>
      </w:r>
    </w:p>
    <w:p w14:paraId="381520BE" w14:textId="212CA08A" w:rsidR="00C70F99" w:rsidRPr="00D1363C" w:rsidRDefault="00C70F99" w:rsidP="00C35DA0">
      <w:pPr>
        <w:numPr>
          <w:ilvl w:val="0"/>
          <w:numId w:val="59"/>
        </w:numPr>
        <w:spacing w:before="120" w:line="300" w:lineRule="auto"/>
        <w:rPr>
          <w:szCs w:val="24"/>
        </w:rPr>
      </w:pPr>
      <w:r w:rsidRPr="00D1363C">
        <w:rPr>
          <w:szCs w:val="24"/>
        </w:rPr>
        <w:t xml:space="preserve">A Resource’s </w:t>
      </w:r>
      <w:r w:rsidR="00BC3110">
        <w:rPr>
          <w:szCs w:val="24"/>
        </w:rPr>
        <w:t>Max ECOL</w:t>
      </w:r>
      <w:r w:rsidRPr="00D1363C">
        <w:rPr>
          <w:szCs w:val="24"/>
        </w:rPr>
        <w:t xml:space="preserve"> must be greater than or equal to the Resource’s </w:t>
      </w:r>
      <w:r w:rsidR="00BC3110">
        <w:rPr>
          <w:szCs w:val="24"/>
        </w:rPr>
        <w:t>Min ECOL</w:t>
      </w:r>
      <w:r>
        <w:rPr>
          <w:szCs w:val="24"/>
        </w:rPr>
        <w:t>.</w:t>
      </w:r>
      <w:r w:rsidRPr="00D1363C">
        <w:rPr>
          <w:szCs w:val="24"/>
        </w:rPr>
        <w:t xml:space="preserve"> </w:t>
      </w:r>
    </w:p>
    <w:p w14:paraId="1D95DF89" w14:textId="48179BC2" w:rsidR="00C70F99" w:rsidRPr="00D1363C" w:rsidRDefault="00C70F99" w:rsidP="00C35DA0">
      <w:pPr>
        <w:numPr>
          <w:ilvl w:val="0"/>
          <w:numId w:val="59"/>
        </w:numPr>
        <w:spacing w:before="120" w:line="300" w:lineRule="auto"/>
        <w:rPr>
          <w:szCs w:val="24"/>
        </w:rPr>
      </w:pPr>
      <w:r w:rsidRPr="00D1363C">
        <w:rPr>
          <w:szCs w:val="24"/>
        </w:rPr>
        <w:t xml:space="preserve">A </w:t>
      </w:r>
      <w:r w:rsidR="008E1F9B">
        <w:rPr>
          <w:szCs w:val="24"/>
        </w:rPr>
        <w:t>MSR</w:t>
      </w:r>
      <w:r w:rsidRPr="00D1363C">
        <w:rPr>
          <w:szCs w:val="24"/>
        </w:rPr>
        <w:t>’s Maximum Charge Limit must be greater than or equal to the Resource’s Minimum Charge Limit.</w:t>
      </w:r>
    </w:p>
    <w:p w14:paraId="4CD481CA" w14:textId="3428B299" w:rsidR="00C1076F" w:rsidRPr="00D1363C" w:rsidRDefault="00C1076F" w:rsidP="00C35DA0">
      <w:pPr>
        <w:numPr>
          <w:ilvl w:val="0"/>
          <w:numId w:val="59"/>
        </w:numPr>
        <w:spacing w:before="120" w:line="300" w:lineRule="auto"/>
        <w:rPr>
          <w:szCs w:val="24"/>
        </w:rPr>
      </w:pPr>
      <w:r w:rsidRPr="00D1363C">
        <w:rPr>
          <w:szCs w:val="24"/>
        </w:rPr>
        <w:t xml:space="preserve">A </w:t>
      </w:r>
      <w:r w:rsidR="008E1F9B" w:rsidRPr="008E1F9B">
        <w:rPr>
          <w:szCs w:val="24"/>
        </w:rPr>
        <w:t>MSR</w:t>
      </w:r>
      <w:r w:rsidRPr="00922C0B">
        <w:rPr>
          <w:szCs w:val="24"/>
        </w:rPr>
        <w:t xml:space="preserve">’s </w:t>
      </w:r>
      <w:r w:rsidR="00BD796B" w:rsidRPr="00B409FA">
        <w:rPr>
          <w:szCs w:val="24"/>
        </w:rPr>
        <w:t>Maximum</w:t>
      </w:r>
      <w:r w:rsidRPr="00B409FA">
        <w:rPr>
          <w:szCs w:val="24"/>
        </w:rPr>
        <w:t xml:space="preserve"> </w:t>
      </w:r>
      <w:r w:rsidR="00BD796B" w:rsidRPr="00B409FA">
        <w:rPr>
          <w:szCs w:val="24"/>
        </w:rPr>
        <w:t>Disc</w:t>
      </w:r>
      <w:r w:rsidRPr="00B409FA">
        <w:rPr>
          <w:szCs w:val="24"/>
        </w:rPr>
        <w:t xml:space="preserve">harge Limit must be greater than or equal to the Resource’s </w:t>
      </w:r>
      <w:r w:rsidR="00BD796B" w:rsidRPr="00B409FA">
        <w:rPr>
          <w:szCs w:val="24"/>
        </w:rPr>
        <w:t>Minimum</w:t>
      </w:r>
      <w:r w:rsidRPr="00B409FA">
        <w:rPr>
          <w:szCs w:val="24"/>
        </w:rPr>
        <w:t xml:space="preserve"> </w:t>
      </w:r>
      <w:r w:rsidR="00BD796B" w:rsidRPr="00B409FA">
        <w:rPr>
          <w:szCs w:val="24"/>
        </w:rPr>
        <w:t>Disc</w:t>
      </w:r>
      <w:r w:rsidRPr="00B409FA">
        <w:rPr>
          <w:szCs w:val="24"/>
        </w:rPr>
        <w:t>harge Limit.</w:t>
      </w:r>
    </w:p>
    <w:p w14:paraId="19AD3B53" w14:textId="1B707ED7" w:rsidR="00C70F99" w:rsidRPr="00D1363C" w:rsidRDefault="00C70F99" w:rsidP="00C35DA0">
      <w:pPr>
        <w:numPr>
          <w:ilvl w:val="0"/>
          <w:numId w:val="59"/>
        </w:numPr>
        <w:spacing w:line="300" w:lineRule="auto"/>
        <w:ind w:left="734" w:hanging="547"/>
        <w:contextualSpacing/>
        <w:rPr>
          <w:szCs w:val="24"/>
        </w:rPr>
      </w:pPr>
      <w:r w:rsidRPr="00D1363C">
        <w:rPr>
          <w:szCs w:val="24"/>
        </w:rPr>
        <w:t>An MSR with directional commitment limitations (i.e. Minimum Charge Time not equal to zero, Minimum Discharge Time not equal to zero, Minimum Charge Limit not equal to zero, or Minimum Discharge Limit not equal to zero) must specify an offered commitment direction by zeroing out the Maximum and Minimum Charge</w:t>
      </w:r>
      <w:r w:rsidR="00AF5BF6">
        <w:rPr>
          <w:szCs w:val="24"/>
        </w:rPr>
        <w:t xml:space="preserve"> and </w:t>
      </w:r>
      <w:r w:rsidRPr="00D1363C">
        <w:rPr>
          <w:szCs w:val="24"/>
        </w:rPr>
        <w:t xml:space="preserve">Discharge </w:t>
      </w:r>
      <w:r w:rsidR="00AF5BF6">
        <w:rPr>
          <w:szCs w:val="24"/>
        </w:rPr>
        <w:t>L</w:t>
      </w:r>
      <w:r w:rsidRPr="00D1363C">
        <w:rPr>
          <w:szCs w:val="24"/>
        </w:rPr>
        <w:t>imit</w:t>
      </w:r>
      <w:r w:rsidR="00AF5BF6">
        <w:rPr>
          <w:szCs w:val="24"/>
        </w:rPr>
        <w:t>s</w:t>
      </w:r>
      <w:r w:rsidRPr="00D1363C">
        <w:rPr>
          <w:szCs w:val="24"/>
        </w:rPr>
        <w:t xml:space="preserve"> in the direction opposite the desired commitment.  For example, an MSR offering into the </w:t>
      </w:r>
      <w:r w:rsidR="00C458EF">
        <w:rPr>
          <w:szCs w:val="24"/>
        </w:rPr>
        <w:t>m</w:t>
      </w:r>
      <w:r w:rsidRPr="00D1363C">
        <w:rPr>
          <w:szCs w:val="24"/>
        </w:rPr>
        <w:t xml:space="preserve">arket to discharge for a certain hour must set its Minimum Charge Limit and Maximum Charge Limit equal to zero.  An MSR offering into the </w:t>
      </w:r>
      <w:r w:rsidR="00C458EF">
        <w:rPr>
          <w:szCs w:val="24"/>
        </w:rPr>
        <w:t>m</w:t>
      </w:r>
      <w:r w:rsidRPr="00D1363C">
        <w:rPr>
          <w:szCs w:val="24"/>
        </w:rPr>
        <w:t>arket to charge for a certain hour must set its Minimum Discharge Limit and Maximum Discharge Limit equal to zero.  MSRs with no such directional commitment limitations listed above may offer in a continuous dispatchable range spanning charge and discharge states on the MSR.</w:t>
      </w:r>
    </w:p>
    <w:p w14:paraId="25C9AD9B" w14:textId="77777777" w:rsidR="00C70F99" w:rsidRPr="00D1363C" w:rsidRDefault="00C70F99" w:rsidP="00574EDE">
      <w:pPr>
        <w:pStyle w:val="Heading4"/>
      </w:pPr>
      <w:r w:rsidRPr="00D1363C">
        <w:br w:type="page"/>
      </w:r>
      <w:bookmarkStart w:id="1634" w:name="_Toc258924847"/>
      <w:bookmarkStart w:id="1635" w:name="_Toc263173282"/>
      <w:bookmarkStart w:id="1636" w:name="_Toc263429402"/>
      <w:bookmarkStart w:id="1637" w:name="_Toc263795432"/>
      <w:bookmarkStart w:id="1638" w:name="_Toc266869615"/>
      <w:bookmarkStart w:id="1639" w:name="_Ref307902100"/>
      <w:bookmarkStart w:id="1640" w:name="_Toc163740164"/>
      <w:bookmarkStart w:id="1641" w:name="_Toc213771818"/>
      <w:r w:rsidRPr="00D1363C">
        <w:t>Resource Commitment Parameter Relationships</w:t>
      </w:r>
      <w:bookmarkEnd w:id="1634"/>
      <w:bookmarkEnd w:id="1635"/>
      <w:bookmarkEnd w:id="1636"/>
      <w:bookmarkEnd w:id="1637"/>
      <w:bookmarkEnd w:id="1638"/>
      <w:bookmarkEnd w:id="1639"/>
      <w:bookmarkEnd w:id="1640"/>
      <w:bookmarkEnd w:id="1641"/>
    </w:p>
    <w:p w14:paraId="4515CD9A" w14:textId="45BEB8C6" w:rsidR="00C70F99" w:rsidRPr="00D1363C" w:rsidRDefault="00C70F99" w:rsidP="00C70F99">
      <w:pPr>
        <w:spacing w:after="0" w:line="300" w:lineRule="auto"/>
        <w:rPr>
          <w:szCs w:val="24"/>
        </w:rPr>
      </w:pPr>
      <w:r w:rsidRPr="00D1363C">
        <w:rPr>
          <w:szCs w:val="24"/>
        </w:rPr>
        <w:t xml:space="preserve">When developing the </w:t>
      </w:r>
      <w:r w:rsidRPr="00D1363C">
        <w:t>time-related</w:t>
      </w:r>
      <w:r w:rsidRPr="00D1363C">
        <w:rPr>
          <w:szCs w:val="24"/>
        </w:rPr>
        <w:t xml:space="preserve"> Resource Offer parameters relating to Resource commitment, Market Participants should assume the relationships shown in Exhibit 4-</w:t>
      </w:r>
      <w:r w:rsidR="00A013FA">
        <w:rPr>
          <w:szCs w:val="24"/>
        </w:rPr>
        <w:t>6</w:t>
      </w:r>
      <w:r w:rsidRPr="00D1363C">
        <w:rPr>
          <w:szCs w:val="24"/>
        </w:rPr>
        <w:t>.</w:t>
      </w:r>
    </w:p>
    <w:p w14:paraId="707D72EC" w14:textId="77777777" w:rsidR="00C70F99" w:rsidRPr="00D1363C" w:rsidRDefault="00C70F99" w:rsidP="00C70F99">
      <w:pPr>
        <w:spacing w:after="0" w:line="300" w:lineRule="auto"/>
        <w:rPr>
          <w:szCs w:val="24"/>
        </w:rPr>
      </w:pPr>
    </w:p>
    <w:p w14:paraId="17AEA9BE" w14:textId="233BB15E" w:rsidR="00C70F99" w:rsidRPr="00D1363C" w:rsidRDefault="00C70F99" w:rsidP="00C35DA0">
      <w:pPr>
        <w:numPr>
          <w:ilvl w:val="0"/>
          <w:numId w:val="46"/>
        </w:numPr>
        <w:tabs>
          <w:tab w:val="left" w:pos="720"/>
        </w:tabs>
        <w:spacing w:line="300" w:lineRule="auto"/>
        <w:ind w:left="734" w:hanging="547"/>
        <w:contextualSpacing/>
        <w:rPr>
          <w:szCs w:val="24"/>
        </w:rPr>
      </w:pPr>
      <w:r w:rsidRPr="00D1363C">
        <w:rPr>
          <w:szCs w:val="24"/>
        </w:rPr>
        <w:t>A Resource’s physical Minimum Run Time begins when the Resource is synchronized.  After the amount of time defined by physical minimum run time, the Resource can be de-synchronized.  For SCUC modeling purposes, Minimum Run Time should be submitted as the physical Minimum Run Time described above minus the Sync</w:t>
      </w:r>
      <w:r w:rsidR="004030BD">
        <w:rPr>
          <w:szCs w:val="24"/>
        </w:rPr>
        <w:t>-to-</w:t>
      </w:r>
      <w:r w:rsidRPr="00D1363C">
        <w:rPr>
          <w:szCs w:val="24"/>
        </w:rPr>
        <w:t>Min Time and the Min</w:t>
      </w:r>
      <w:r w:rsidR="004030BD">
        <w:rPr>
          <w:szCs w:val="24"/>
        </w:rPr>
        <w:t>-to-</w:t>
      </w:r>
      <w:r w:rsidRPr="00D1363C">
        <w:rPr>
          <w:szCs w:val="24"/>
        </w:rPr>
        <w:t xml:space="preserve">Off Time. </w:t>
      </w:r>
    </w:p>
    <w:p w14:paraId="22B2A7FB" w14:textId="77777777" w:rsidR="00C70F99" w:rsidRPr="00D1363C" w:rsidRDefault="00C70F99" w:rsidP="00C35DA0">
      <w:pPr>
        <w:numPr>
          <w:ilvl w:val="1"/>
          <w:numId w:val="46"/>
        </w:numPr>
        <w:tabs>
          <w:tab w:val="left" w:pos="720"/>
        </w:tabs>
        <w:spacing w:line="300" w:lineRule="auto"/>
        <w:contextualSpacing/>
        <w:rPr>
          <w:szCs w:val="24"/>
        </w:rPr>
      </w:pPr>
      <w:r w:rsidRPr="00D1363C">
        <w:rPr>
          <w:szCs w:val="24"/>
        </w:rPr>
        <w:t>For MCRs, Minimum Run Time is submitted for:</w:t>
      </w:r>
    </w:p>
    <w:p w14:paraId="3AE30660" w14:textId="77777777" w:rsidR="00C70F99" w:rsidRPr="00D1363C" w:rsidRDefault="00C70F99" w:rsidP="00C35DA0">
      <w:pPr>
        <w:numPr>
          <w:ilvl w:val="2"/>
          <w:numId w:val="46"/>
        </w:numPr>
        <w:tabs>
          <w:tab w:val="left" w:pos="720"/>
        </w:tabs>
        <w:spacing w:line="300" w:lineRule="auto"/>
        <w:contextualSpacing/>
        <w:rPr>
          <w:szCs w:val="24"/>
        </w:rPr>
      </w:pPr>
      <w:r w:rsidRPr="00D1363C">
        <w:rPr>
          <w:szCs w:val="24"/>
        </w:rPr>
        <w:t xml:space="preserve">Each registered operational configuration,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xml:space="preserve">.  For SCUC modeling purposes, Minimum Run Time should be submitted as the minimum amount of time the MCR must remain in the associated operational configuration before </w:t>
      </w:r>
      <w:r>
        <w:rPr>
          <w:szCs w:val="24"/>
        </w:rPr>
        <w:t xml:space="preserve">beginning </w:t>
      </w:r>
      <w:r w:rsidRPr="00D1363C">
        <w:rPr>
          <w:szCs w:val="24"/>
        </w:rPr>
        <w:t>transition to a different operational configuration or taken offline;</w:t>
      </w:r>
    </w:p>
    <w:p w14:paraId="32786193" w14:textId="77777777" w:rsidR="00C70F99" w:rsidRPr="00D1363C" w:rsidRDefault="00C70F99" w:rsidP="00C35DA0">
      <w:pPr>
        <w:numPr>
          <w:ilvl w:val="2"/>
          <w:numId w:val="46"/>
        </w:numPr>
        <w:tabs>
          <w:tab w:val="left" w:pos="720"/>
        </w:tabs>
        <w:spacing w:line="300" w:lineRule="auto"/>
        <w:contextualSpacing/>
        <w:rPr>
          <w:szCs w:val="24"/>
        </w:rPr>
      </w:pPr>
      <w:r w:rsidRPr="00D1363C">
        <w:rPr>
          <w:szCs w:val="24"/>
        </w:rPr>
        <w:t xml:space="preserve">Each defined group of configurations (Group Minimum Run Time),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For SCUC modeling purposes, Group Minimum Run Time should be submitted as the minimum amount of time the MCR group must remain in the associated operational configuration(s) before transitioning to an operational configuration that is associated with a different MCR group or taken offline; and</w:t>
      </w:r>
    </w:p>
    <w:p w14:paraId="4F440FEE" w14:textId="3BE6FFC4" w:rsidR="00C70F99" w:rsidRPr="00D1363C" w:rsidRDefault="00C70F99" w:rsidP="00C35DA0">
      <w:pPr>
        <w:numPr>
          <w:ilvl w:val="2"/>
          <w:numId w:val="46"/>
        </w:numPr>
        <w:tabs>
          <w:tab w:val="left" w:pos="720"/>
        </w:tabs>
        <w:spacing w:line="300" w:lineRule="auto"/>
        <w:contextualSpacing/>
        <w:rPr>
          <w:szCs w:val="24"/>
        </w:rPr>
      </w:pPr>
      <w:r w:rsidRPr="00D1363C">
        <w:rPr>
          <w:szCs w:val="24"/>
        </w:rPr>
        <w:t>The entire MCR (Plant Minimum Run Time).  For SCUC modeling purposes, Plant Minimum Run Time should be submitted as the physical Minimum Run Time for the MCR minus the Sync</w:t>
      </w:r>
      <w:r w:rsidR="004030BD">
        <w:rPr>
          <w:szCs w:val="24"/>
        </w:rPr>
        <w:t>-to-</w:t>
      </w:r>
      <w:r w:rsidRPr="00D1363C">
        <w:rPr>
          <w:szCs w:val="24"/>
        </w:rPr>
        <w:t>Min Time and the Min</w:t>
      </w:r>
      <w:r w:rsidR="004030BD">
        <w:rPr>
          <w:szCs w:val="24"/>
        </w:rPr>
        <w:t>-to-</w:t>
      </w:r>
      <w:r w:rsidRPr="00D1363C">
        <w:rPr>
          <w:szCs w:val="24"/>
        </w:rPr>
        <w:t>Off Time.</w:t>
      </w:r>
    </w:p>
    <w:p w14:paraId="0123FAE7" w14:textId="631AF57A" w:rsidR="00C70F99" w:rsidRPr="00D1363C" w:rsidRDefault="00C70F99" w:rsidP="00C35DA0">
      <w:pPr>
        <w:numPr>
          <w:ilvl w:val="0"/>
          <w:numId w:val="46"/>
        </w:numPr>
        <w:tabs>
          <w:tab w:val="left" w:pos="720"/>
        </w:tabs>
        <w:spacing w:line="300" w:lineRule="auto"/>
        <w:ind w:left="734" w:hanging="547"/>
        <w:contextualSpacing/>
        <w:rPr>
          <w:szCs w:val="24"/>
        </w:rPr>
      </w:pPr>
      <w:r w:rsidRPr="00D1363C">
        <w:rPr>
          <w:szCs w:val="24"/>
        </w:rPr>
        <w:t xml:space="preserve">A Resource’s physical </w:t>
      </w:r>
      <w:r w:rsidR="00C34DB5">
        <w:rPr>
          <w:szCs w:val="24"/>
        </w:rPr>
        <w:t>m</w:t>
      </w:r>
      <w:r w:rsidRPr="00D1363C">
        <w:rPr>
          <w:szCs w:val="24"/>
        </w:rPr>
        <w:t xml:space="preserve">aximum </w:t>
      </w:r>
      <w:r w:rsidR="00C34DB5">
        <w:rPr>
          <w:szCs w:val="24"/>
        </w:rPr>
        <w:t>r</w:t>
      </w:r>
      <w:r w:rsidRPr="00D1363C">
        <w:rPr>
          <w:szCs w:val="24"/>
        </w:rPr>
        <w:t xml:space="preserve">un </w:t>
      </w:r>
      <w:r w:rsidR="00C34DB5">
        <w:rPr>
          <w:szCs w:val="24"/>
        </w:rPr>
        <w:t>t</w:t>
      </w:r>
      <w:r w:rsidRPr="00D1363C">
        <w:rPr>
          <w:szCs w:val="24"/>
        </w:rPr>
        <w:t xml:space="preserve">ime begins when the Resource is synchronized.  After the amount of time defined by the physical </w:t>
      </w:r>
      <w:r w:rsidR="00C34DB5">
        <w:rPr>
          <w:szCs w:val="24"/>
        </w:rPr>
        <w:t>m</w:t>
      </w:r>
      <w:r w:rsidRPr="00D1363C">
        <w:rPr>
          <w:szCs w:val="24"/>
        </w:rPr>
        <w:t xml:space="preserve">aximum </w:t>
      </w:r>
      <w:r w:rsidR="00C34DB5">
        <w:rPr>
          <w:szCs w:val="24"/>
        </w:rPr>
        <w:t>r</w:t>
      </w:r>
      <w:r w:rsidRPr="00D1363C">
        <w:rPr>
          <w:szCs w:val="24"/>
        </w:rPr>
        <w:t xml:space="preserve">un </w:t>
      </w:r>
      <w:r w:rsidR="00C34DB5">
        <w:rPr>
          <w:szCs w:val="24"/>
        </w:rPr>
        <w:t>t</w:t>
      </w:r>
      <w:r w:rsidRPr="00D1363C">
        <w:rPr>
          <w:szCs w:val="24"/>
        </w:rPr>
        <w:t xml:space="preserve">ime, the Resource must be de-synchronized.  For SCUC modeling purposes, Maximum Run Time should be submitted as the physical </w:t>
      </w:r>
      <w:r w:rsidR="00FD6E63">
        <w:rPr>
          <w:szCs w:val="24"/>
        </w:rPr>
        <w:t>m</w:t>
      </w:r>
      <w:r w:rsidRPr="00D1363C">
        <w:rPr>
          <w:szCs w:val="24"/>
        </w:rPr>
        <w:t xml:space="preserve">aximum </w:t>
      </w:r>
      <w:r w:rsidR="00FD6E63">
        <w:rPr>
          <w:szCs w:val="24"/>
        </w:rPr>
        <w:t>r</w:t>
      </w:r>
      <w:r w:rsidRPr="00D1363C">
        <w:rPr>
          <w:szCs w:val="24"/>
        </w:rPr>
        <w:t xml:space="preserve">un </w:t>
      </w:r>
      <w:r w:rsidR="00FD6E63">
        <w:rPr>
          <w:szCs w:val="24"/>
        </w:rPr>
        <w:t>t</w:t>
      </w:r>
      <w:r w:rsidRPr="00D1363C">
        <w:rPr>
          <w:szCs w:val="24"/>
        </w:rPr>
        <w:t>ime described above minus the Sync</w:t>
      </w:r>
      <w:r w:rsidR="004030BD">
        <w:rPr>
          <w:szCs w:val="24"/>
        </w:rPr>
        <w:t>-to-</w:t>
      </w:r>
      <w:r w:rsidRPr="00D1363C">
        <w:rPr>
          <w:szCs w:val="24"/>
        </w:rPr>
        <w:t>Min Time and the Min</w:t>
      </w:r>
      <w:r w:rsidR="004030BD">
        <w:rPr>
          <w:szCs w:val="24"/>
        </w:rPr>
        <w:t>-to-</w:t>
      </w:r>
      <w:r w:rsidRPr="00D1363C">
        <w:rPr>
          <w:szCs w:val="24"/>
        </w:rPr>
        <w:t xml:space="preserve">Off Time. </w:t>
      </w:r>
    </w:p>
    <w:p w14:paraId="5C5D106F" w14:textId="77777777" w:rsidR="00C70F99" w:rsidRPr="00D1363C" w:rsidRDefault="00C70F99" w:rsidP="00C35DA0">
      <w:pPr>
        <w:numPr>
          <w:ilvl w:val="1"/>
          <w:numId w:val="46"/>
        </w:numPr>
        <w:tabs>
          <w:tab w:val="left" w:pos="720"/>
        </w:tabs>
        <w:spacing w:line="300" w:lineRule="auto"/>
        <w:contextualSpacing/>
        <w:rPr>
          <w:szCs w:val="24"/>
        </w:rPr>
      </w:pPr>
      <w:r w:rsidRPr="00D1363C">
        <w:rPr>
          <w:szCs w:val="24"/>
        </w:rPr>
        <w:t xml:space="preserve">For MCRs, Maximum Run Time is submitted for each registered operational configuration,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For SCUC modeling purposes, Maximum Run Time should be submitted specific to the operational configuration.</w:t>
      </w:r>
    </w:p>
    <w:p w14:paraId="794C6C15" w14:textId="16DF7603" w:rsidR="00C70F99" w:rsidRPr="00D1363C" w:rsidRDefault="00C70F99" w:rsidP="00C35DA0">
      <w:pPr>
        <w:numPr>
          <w:ilvl w:val="0"/>
          <w:numId w:val="46"/>
        </w:numPr>
        <w:tabs>
          <w:tab w:val="left" w:pos="720"/>
        </w:tabs>
        <w:spacing w:line="300" w:lineRule="auto"/>
        <w:ind w:left="734" w:hanging="547"/>
        <w:contextualSpacing/>
        <w:rPr>
          <w:szCs w:val="24"/>
        </w:rPr>
      </w:pPr>
      <w:r w:rsidRPr="00D1363C">
        <w:rPr>
          <w:szCs w:val="24"/>
        </w:rPr>
        <w:t xml:space="preserve">A Resource’s physical </w:t>
      </w:r>
      <w:r w:rsidR="00C34DB5">
        <w:rPr>
          <w:szCs w:val="24"/>
        </w:rPr>
        <w:t>m</w:t>
      </w:r>
      <w:r w:rsidRPr="00D1363C">
        <w:rPr>
          <w:szCs w:val="24"/>
        </w:rPr>
        <w:t xml:space="preserve">inimum </w:t>
      </w:r>
      <w:r w:rsidR="00C34DB5">
        <w:rPr>
          <w:szCs w:val="24"/>
        </w:rPr>
        <w:t>d</w:t>
      </w:r>
      <w:r w:rsidRPr="00D1363C">
        <w:rPr>
          <w:szCs w:val="24"/>
        </w:rPr>
        <w:t xml:space="preserve">own </w:t>
      </w:r>
      <w:r w:rsidR="00C34DB5">
        <w:rPr>
          <w:szCs w:val="24"/>
        </w:rPr>
        <w:t>t</w:t>
      </w:r>
      <w:r w:rsidRPr="00D1363C">
        <w:rPr>
          <w:szCs w:val="24"/>
        </w:rPr>
        <w:t xml:space="preserve">ime begins at the point in time when a Resource is de-synchronized.  After the amount of time defined by physical </w:t>
      </w:r>
      <w:r w:rsidR="00C34DB5">
        <w:rPr>
          <w:szCs w:val="24"/>
        </w:rPr>
        <w:t>m</w:t>
      </w:r>
      <w:r w:rsidRPr="00D1363C">
        <w:rPr>
          <w:szCs w:val="24"/>
        </w:rPr>
        <w:t xml:space="preserve">inimum </w:t>
      </w:r>
      <w:r w:rsidR="00C34DB5">
        <w:rPr>
          <w:szCs w:val="24"/>
        </w:rPr>
        <w:t>d</w:t>
      </w:r>
      <w:r w:rsidRPr="00D1363C">
        <w:rPr>
          <w:szCs w:val="24"/>
        </w:rPr>
        <w:t xml:space="preserve">own </w:t>
      </w:r>
      <w:r w:rsidR="00C34DB5">
        <w:rPr>
          <w:szCs w:val="24"/>
        </w:rPr>
        <w:t>t</w:t>
      </w:r>
      <w:r w:rsidRPr="00D1363C">
        <w:rPr>
          <w:szCs w:val="24"/>
        </w:rPr>
        <w:t xml:space="preserve">ime, following de-synchronization, the Resource can begin synchronizing to the grid again.  For SCUC modeling purposes, the submitted Minimum Down Time should be equal to the physical </w:t>
      </w:r>
      <w:r w:rsidR="00FD6E63">
        <w:rPr>
          <w:szCs w:val="24"/>
        </w:rPr>
        <w:t>m</w:t>
      </w:r>
      <w:r w:rsidRPr="00D1363C">
        <w:rPr>
          <w:szCs w:val="24"/>
        </w:rPr>
        <w:t xml:space="preserve">inimum </w:t>
      </w:r>
      <w:r w:rsidR="00FD6E63">
        <w:rPr>
          <w:szCs w:val="24"/>
        </w:rPr>
        <w:t>d</w:t>
      </w:r>
      <w:r w:rsidRPr="00D1363C">
        <w:rPr>
          <w:szCs w:val="24"/>
        </w:rPr>
        <w:t xml:space="preserve">own </w:t>
      </w:r>
      <w:r w:rsidR="00FD6E63">
        <w:rPr>
          <w:szCs w:val="24"/>
        </w:rPr>
        <w:t>t</w:t>
      </w:r>
      <w:r w:rsidRPr="00D1363C">
        <w:rPr>
          <w:szCs w:val="24"/>
        </w:rPr>
        <w:t>ime described above.  Sync</w:t>
      </w:r>
      <w:r w:rsidR="004030BD">
        <w:rPr>
          <w:szCs w:val="24"/>
        </w:rPr>
        <w:t>-to</w:t>
      </w:r>
      <w:r w:rsidRPr="00D1363C">
        <w:rPr>
          <w:szCs w:val="24"/>
        </w:rPr>
        <w:t>-Min Time and Min</w:t>
      </w:r>
      <w:r w:rsidR="004030BD">
        <w:rPr>
          <w:szCs w:val="24"/>
        </w:rPr>
        <w:t>-to-</w:t>
      </w:r>
      <w:r w:rsidRPr="00D1363C">
        <w:rPr>
          <w:szCs w:val="24"/>
        </w:rPr>
        <w:t>Off Time are automatically added to the submitted Minimum Down Time and that value is used in SCUC.</w:t>
      </w:r>
    </w:p>
    <w:p w14:paraId="03DB4D4E" w14:textId="231AE9EE" w:rsidR="00C70F99" w:rsidRPr="00D1363C" w:rsidRDefault="00C70F99" w:rsidP="00C35DA0">
      <w:pPr>
        <w:numPr>
          <w:ilvl w:val="1"/>
          <w:numId w:val="46"/>
        </w:numPr>
        <w:tabs>
          <w:tab w:val="left" w:pos="720"/>
        </w:tabs>
        <w:spacing w:line="300" w:lineRule="auto"/>
        <w:contextualSpacing/>
        <w:rPr>
          <w:szCs w:val="24"/>
        </w:rPr>
      </w:pPr>
      <w:r w:rsidRPr="00D1363C">
        <w:rPr>
          <w:szCs w:val="24"/>
        </w:rPr>
        <w:t>For MCRs, Sync</w:t>
      </w:r>
      <w:r w:rsidR="004030BD">
        <w:rPr>
          <w:szCs w:val="24"/>
        </w:rPr>
        <w:t>-to-</w:t>
      </w:r>
      <w:r w:rsidRPr="00D1363C">
        <w:rPr>
          <w:szCs w:val="24"/>
        </w:rPr>
        <w:t>Min and Min</w:t>
      </w:r>
      <w:r w:rsidR="004030BD">
        <w:rPr>
          <w:szCs w:val="24"/>
        </w:rPr>
        <w:t>-to</w:t>
      </w:r>
      <w:r w:rsidRPr="00D1363C">
        <w:rPr>
          <w:szCs w:val="24"/>
        </w:rPr>
        <w:t>-Off Time are not added to the submitted Minimum Down Time or Group Minimum Down Time when the MCR is transitioning between operational configurations or between groups of configurations.  When the MCR is starting from an offline state, the Sync</w:t>
      </w:r>
      <w:r w:rsidR="004030BD">
        <w:rPr>
          <w:szCs w:val="24"/>
        </w:rPr>
        <w:t>-to-</w:t>
      </w:r>
      <w:r w:rsidRPr="00D1363C">
        <w:rPr>
          <w:szCs w:val="24"/>
        </w:rPr>
        <w:t>Min Time and Min</w:t>
      </w:r>
      <w:r w:rsidR="004030BD">
        <w:rPr>
          <w:szCs w:val="24"/>
        </w:rPr>
        <w:t>-to-</w:t>
      </w:r>
      <w:r w:rsidRPr="00D1363C">
        <w:rPr>
          <w:szCs w:val="24"/>
        </w:rPr>
        <w:t xml:space="preserve">Off Time are automatically added to the submitted Minimum Down Time and that value is used in SCUC.  Minimum Down Time is submitted for: </w:t>
      </w:r>
    </w:p>
    <w:p w14:paraId="0F315D90" w14:textId="1EA7B427" w:rsidR="00C70F99" w:rsidRPr="00D1363C" w:rsidRDefault="00C70F99" w:rsidP="00C35DA0">
      <w:pPr>
        <w:numPr>
          <w:ilvl w:val="2"/>
          <w:numId w:val="46"/>
        </w:numPr>
        <w:tabs>
          <w:tab w:val="left" w:pos="720"/>
        </w:tabs>
        <w:spacing w:line="300" w:lineRule="auto"/>
        <w:contextualSpacing/>
        <w:rPr>
          <w:szCs w:val="24"/>
        </w:rPr>
      </w:pPr>
      <w:r w:rsidRPr="00D1363C">
        <w:rPr>
          <w:szCs w:val="24"/>
        </w:rPr>
        <w:t xml:space="preserve">Each registered operational configuration,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For SCUC modeling purposes, Minimum Down Time should be submitted as the minimum amount of time the MCR must remain offline or operate in a different operational configuration before the MCR can return to that operational configuration</w:t>
      </w:r>
      <w:r w:rsidR="00854428">
        <w:rPr>
          <w:szCs w:val="24"/>
        </w:rPr>
        <w:t>;</w:t>
      </w:r>
      <w:r w:rsidRPr="00D1363C">
        <w:rPr>
          <w:szCs w:val="24"/>
        </w:rPr>
        <w:t xml:space="preserve"> </w:t>
      </w:r>
    </w:p>
    <w:p w14:paraId="73DF27F0" w14:textId="77777777" w:rsidR="00C70F99" w:rsidRPr="00D1363C" w:rsidRDefault="00C70F99" w:rsidP="00C35DA0">
      <w:pPr>
        <w:numPr>
          <w:ilvl w:val="2"/>
          <w:numId w:val="46"/>
        </w:numPr>
        <w:tabs>
          <w:tab w:val="left" w:pos="720"/>
        </w:tabs>
        <w:spacing w:line="300" w:lineRule="auto"/>
        <w:contextualSpacing/>
        <w:rPr>
          <w:szCs w:val="24"/>
        </w:rPr>
      </w:pPr>
      <w:r w:rsidRPr="00D1363C">
        <w:rPr>
          <w:szCs w:val="24"/>
        </w:rPr>
        <w:t xml:space="preserve">Each defined group of configurations (Group Minimum Down Time),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xml:space="preserve">.  For SCUC modeling purposes, Group Minimum Down Time should be submitted as the minimum amount of time the MCR group must remain offline or operate in an operational configuration that is associated with a different MCR group before the MCR can return to an associated operational configuration with that MCR group; and </w:t>
      </w:r>
    </w:p>
    <w:p w14:paraId="530C1F18" w14:textId="77777777" w:rsidR="00C70F99" w:rsidRPr="00D1363C" w:rsidRDefault="00C70F99" w:rsidP="00C35DA0">
      <w:pPr>
        <w:numPr>
          <w:ilvl w:val="2"/>
          <w:numId w:val="46"/>
        </w:numPr>
        <w:tabs>
          <w:tab w:val="left" w:pos="720"/>
        </w:tabs>
        <w:spacing w:line="300" w:lineRule="auto"/>
        <w:contextualSpacing/>
        <w:rPr>
          <w:szCs w:val="24"/>
        </w:rPr>
      </w:pPr>
      <w:r w:rsidRPr="00D1363C">
        <w:rPr>
          <w:szCs w:val="24"/>
        </w:rPr>
        <w:t xml:space="preserve">The MCR (Plant Minimum Down Time),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For SCUC modeling purposes, Plant Minimum Down Time should be submitted as the minimum amount of time the MCR must remain offline before the MCR can return online.</w:t>
      </w:r>
    </w:p>
    <w:p w14:paraId="1311ADC5" w14:textId="77777777" w:rsidR="00C70F99" w:rsidRPr="00D1363C" w:rsidRDefault="00C70F99" w:rsidP="00C35DA0">
      <w:pPr>
        <w:numPr>
          <w:ilvl w:val="0"/>
          <w:numId w:val="46"/>
        </w:numPr>
        <w:tabs>
          <w:tab w:val="left" w:pos="720"/>
        </w:tabs>
        <w:spacing w:line="300" w:lineRule="auto"/>
        <w:contextualSpacing/>
        <w:rPr>
          <w:szCs w:val="24"/>
        </w:rPr>
      </w:pPr>
      <w:r w:rsidRPr="00D1363C">
        <w:rPr>
          <w:szCs w:val="24"/>
        </w:rPr>
        <w:t xml:space="preserve">As a part of its Start-Up Offer, a Market Participant must submit, if applicable, a hot, intermediate, and cold start-up price per start.  Two temporal parameters that are submitted in the Resource Offer define which of these three prices will be used: (i) Hot-to-Cold Time and (ii) Hot-to-Intermediate Time.  </w:t>
      </w:r>
    </w:p>
    <w:p w14:paraId="28440E13" w14:textId="1058EB8E" w:rsidR="00C70F99" w:rsidRPr="00D1363C" w:rsidRDefault="00C70F99" w:rsidP="00C35DA0">
      <w:pPr>
        <w:numPr>
          <w:ilvl w:val="1"/>
          <w:numId w:val="46"/>
        </w:numPr>
        <w:tabs>
          <w:tab w:val="left" w:pos="720"/>
        </w:tabs>
        <w:spacing w:line="300" w:lineRule="auto"/>
        <w:contextualSpacing/>
        <w:rPr>
          <w:szCs w:val="24"/>
        </w:rPr>
      </w:pPr>
      <w:r w:rsidRPr="00D1363C">
        <w:rPr>
          <w:szCs w:val="24"/>
        </w:rPr>
        <w:t>A Resource’s physical hot-to-intermediate time represents the amount of time between Resource de-synchronization and the next synchronization during which the Resource’s Hot Start-Up Offer will apply.  For SCUC modeling purposes, the submitted Hot-to-Intermediate Time should be equal to the sum of the physical hot-to-intermediate time, the Sync</w:t>
      </w:r>
      <w:r w:rsidR="004030BD">
        <w:rPr>
          <w:szCs w:val="24"/>
        </w:rPr>
        <w:t>-to-</w:t>
      </w:r>
      <w:r w:rsidRPr="00D1363C">
        <w:rPr>
          <w:szCs w:val="24"/>
        </w:rPr>
        <w:t>Min Time, and the Min</w:t>
      </w:r>
      <w:r w:rsidR="004030BD">
        <w:rPr>
          <w:szCs w:val="24"/>
        </w:rPr>
        <w:t>-to-</w:t>
      </w:r>
      <w:r w:rsidRPr="00D1363C">
        <w:rPr>
          <w:szCs w:val="24"/>
        </w:rPr>
        <w:t xml:space="preserve">Off Time for that Resource.  If the Resource is committed in less than the Hot-to-Intermediate Time after its previous </w:t>
      </w:r>
      <w:r w:rsidR="0016394B">
        <w:rPr>
          <w:szCs w:val="24"/>
        </w:rPr>
        <w:t>d</w:t>
      </w:r>
      <w:r w:rsidRPr="00D1363C">
        <w:rPr>
          <w:szCs w:val="24"/>
        </w:rPr>
        <w:t>e-</w:t>
      </w:r>
      <w:r w:rsidR="0016394B">
        <w:rPr>
          <w:szCs w:val="24"/>
        </w:rPr>
        <w:t>c</w:t>
      </w:r>
      <w:r w:rsidRPr="00D1363C">
        <w:rPr>
          <w:szCs w:val="24"/>
        </w:rPr>
        <w:t xml:space="preserve">ommit </w:t>
      </w:r>
      <w:r w:rsidR="0016394B">
        <w:rPr>
          <w:szCs w:val="24"/>
        </w:rPr>
        <w:t>t</w:t>
      </w:r>
      <w:r w:rsidRPr="00D1363C">
        <w:rPr>
          <w:szCs w:val="24"/>
        </w:rPr>
        <w:t>ime, then the hot start-up price will be used in the Resource Offer.  For example, if the physical hot-to-intermediate time is four (4) hours, the Sync</w:t>
      </w:r>
      <w:r w:rsidR="004030BD">
        <w:rPr>
          <w:szCs w:val="24"/>
        </w:rPr>
        <w:t>-to-</w:t>
      </w:r>
      <w:r w:rsidRPr="00D1363C">
        <w:rPr>
          <w:szCs w:val="24"/>
        </w:rPr>
        <w:t>Min Time is one (1) hour and the Min</w:t>
      </w:r>
      <w:r w:rsidR="004030BD">
        <w:rPr>
          <w:szCs w:val="24"/>
        </w:rPr>
        <w:t>-to-</w:t>
      </w:r>
      <w:r w:rsidRPr="00D1363C">
        <w:rPr>
          <w:szCs w:val="24"/>
        </w:rPr>
        <w:t>Off Time is one (1) hour, the submitted Hot</w:t>
      </w:r>
      <w:r w:rsidR="004030BD">
        <w:rPr>
          <w:szCs w:val="24"/>
        </w:rPr>
        <w:t>-to-</w:t>
      </w:r>
      <w:r w:rsidRPr="00D1363C">
        <w:rPr>
          <w:szCs w:val="24"/>
        </w:rPr>
        <w:t xml:space="preserve">Intermediate Time should be six (6) hours.  If the Resource’s </w:t>
      </w:r>
      <w:r w:rsidR="009C3C35">
        <w:rPr>
          <w:szCs w:val="24"/>
        </w:rPr>
        <w:t>d</w:t>
      </w:r>
      <w:r w:rsidRPr="00D1363C">
        <w:rPr>
          <w:szCs w:val="24"/>
        </w:rPr>
        <w:t>e-</w:t>
      </w:r>
      <w:r w:rsidR="009C3C35">
        <w:rPr>
          <w:szCs w:val="24"/>
        </w:rPr>
        <w:t>c</w:t>
      </w:r>
      <w:r w:rsidRPr="00D1363C">
        <w:rPr>
          <w:szCs w:val="24"/>
        </w:rPr>
        <w:t xml:space="preserve">ommit </w:t>
      </w:r>
      <w:r w:rsidR="009C3C35">
        <w:rPr>
          <w:szCs w:val="24"/>
        </w:rPr>
        <w:t>t</w:t>
      </w:r>
      <w:r w:rsidRPr="00D1363C">
        <w:rPr>
          <w:szCs w:val="24"/>
        </w:rPr>
        <w:t>ime is 10:00</w:t>
      </w:r>
      <w:r w:rsidR="00877D7F">
        <w:rPr>
          <w:szCs w:val="24"/>
        </w:rPr>
        <w:t xml:space="preserve"> PPT</w:t>
      </w:r>
      <w:r w:rsidRPr="00D1363C">
        <w:rPr>
          <w:szCs w:val="24"/>
        </w:rPr>
        <w:t>, the Hot Start-Up Offer would apply for Resource commitments between 10</w:t>
      </w:r>
      <w:r w:rsidR="002E3A4B">
        <w:rPr>
          <w:szCs w:val="24"/>
        </w:rPr>
        <w:t>:</w:t>
      </w:r>
      <w:r w:rsidRPr="00D1363C">
        <w:rPr>
          <w:szCs w:val="24"/>
        </w:rPr>
        <w:t xml:space="preserve">00 </w:t>
      </w:r>
      <w:r w:rsidR="00877D7F">
        <w:rPr>
          <w:szCs w:val="24"/>
        </w:rPr>
        <w:t>PPT</w:t>
      </w:r>
      <w:r w:rsidR="00877D7F" w:rsidRPr="00D1363C">
        <w:rPr>
          <w:szCs w:val="24"/>
        </w:rPr>
        <w:t xml:space="preserve"> </w:t>
      </w:r>
      <w:r w:rsidRPr="00D1363C">
        <w:rPr>
          <w:szCs w:val="24"/>
        </w:rPr>
        <w:t xml:space="preserve">and </w:t>
      </w:r>
      <w:r w:rsidR="00877D7F">
        <w:rPr>
          <w:szCs w:val="24"/>
        </w:rPr>
        <w:t>16</w:t>
      </w:r>
      <w:r w:rsidRPr="00D1363C">
        <w:rPr>
          <w:szCs w:val="24"/>
        </w:rPr>
        <w:t xml:space="preserve">:00 </w:t>
      </w:r>
      <w:r w:rsidR="00877D7F">
        <w:rPr>
          <w:szCs w:val="24"/>
        </w:rPr>
        <w:t>PPT</w:t>
      </w:r>
      <w:r w:rsidRPr="00D1363C">
        <w:rPr>
          <w:szCs w:val="24"/>
        </w:rPr>
        <w:t>.</w:t>
      </w:r>
    </w:p>
    <w:p w14:paraId="55DCA885" w14:textId="3E1C9849" w:rsidR="00C70F99" w:rsidRPr="00D1363C" w:rsidRDefault="00C70F99" w:rsidP="00C35DA0">
      <w:pPr>
        <w:numPr>
          <w:ilvl w:val="1"/>
          <w:numId w:val="46"/>
        </w:numPr>
        <w:tabs>
          <w:tab w:val="left" w:pos="720"/>
        </w:tabs>
        <w:spacing w:line="300" w:lineRule="auto"/>
        <w:contextualSpacing/>
        <w:rPr>
          <w:szCs w:val="24"/>
        </w:rPr>
      </w:pPr>
      <w:r w:rsidRPr="00D1363C">
        <w:rPr>
          <w:szCs w:val="24"/>
        </w:rPr>
        <w:t>A Resource’s physical hot-to-cold time represents the amount of time between Resource de-synchronization and the next synchronization during which the Resource’s Cold Start-Up Offer will apply.  For SCUC modeling purposes, the submitted Hot-to-Cold Time should be equal to the sum of the physical hot-to-cold time, the Sync</w:t>
      </w:r>
      <w:r w:rsidR="004030BD">
        <w:rPr>
          <w:szCs w:val="24"/>
        </w:rPr>
        <w:t>-to-</w:t>
      </w:r>
      <w:r w:rsidRPr="00D1363C">
        <w:rPr>
          <w:szCs w:val="24"/>
        </w:rPr>
        <w:t>Min Time and the Min</w:t>
      </w:r>
      <w:r w:rsidR="004030BD">
        <w:rPr>
          <w:szCs w:val="24"/>
        </w:rPr>
        <w:t>-to-</w:t>
      </w:r>
      <w:r w:rsidRPr="00D1363C">
        <w:rPr>
          <w:szCs w:val="24"/>
        </w:rPr>
        <w:t xml:space="preserve">Off Time for that Resource.  If the Resource is committed greater than or equal to the Hot-to-Intermediate Time and less than the amount of time defined by Hot-to-Cold Time after its previous </w:t>
      </w:r>
      <w:r w:rsidR="008C7F23">
        <w:rPr>
          <w:szCs w:val="24"/>
        </w:rPr>
        <w:t>d</w:t>
      </w:r>
      <w:r w:rsidRPr="00D1363C">
        <w:rPr>
          <w:szCs w:val="24"/>
        </w:rPr>
        <w:t>e-</w:t>
      </w:r>
      <w:r w:rsidR="008C7F23">
        <w:rPr>
          <w:szCs w:val="24"/>
        </w:rPr>
        <w:t>c</w:t>
      </w:r>
      <w:r w:rsidRPr="00D1363C">
        <w:rPr>
          <w:szCs w:val="24"/>
        </w:rPr>
        <w:t xml:space="preserve">ommit </w:t>
      </w:r>
      <w:r w:rsidR="008C7F23">
        <w:rPr>
          <w:szCs w:val="24"/>
        </w:rPr>
        <w:t>t</w:t>
      </w:r>
      <w:r w:rsidRPr="00D1363C">
        <w:rPr>
          <w:szCs w:val="24"/>
        </w:rPr>
        <w:t>ime, then the intermediate start-up price will be used in the Resource Offer.  For example, if the physical hot-to-cold time is eight (8) hours, the Sync</w:t>
      </w:r>
      <w:r w:rsidR="004030BD">
        <w:rPr>
          <w:szCs w:val="24"/>
        </w:rPr>
        <w:t>-to-</w:t>
      </w:r>
      <w:r w:rsidRPr="00D1363C">
        <w:rPr>
          <w:szCs w:val="24"/>
        </w:rPr>
        <w:t>Min Time is one (1) hour and the Min</w:t>
      </w:r>
      <w:r w:rsidR="004030BD">
        <w:rPr>
          <w:szCs w:val="24"/>
        </w:rPr>
        <w:t>-to-</w:t>
      </w:r>
      <w:r w:rsidRPr="00D1363C">
        <w:rPr>
          <w:szCs w:val="24"/>
        </w:rPr>
        <w:t>Off Time is one (1) hour, the submitted Hot</w:t>
      </w:r>
      <w:r w:rsidR="004030BD">
        <w:rPr>
          <w:szCs w:val="24"/>
        </w:rPr>
        <w:t>-to-</w:t>
      </w:r>
      <w:r w:rsidRPr="00D1363C">
        <w:rPr>
          <w:szCs w:val="24"/>
        </w:rPr>
        <w:t xml:space="preserve">Cold Time should be ten (10) hours.  If the Resource’s </w:t>
      </w:r>
      <w:r w:rsidR="00854428">
        <w:rPr>
          <w:szCs w:val="24"/>
        </w:rPr>
        <w:t>d</w:t>
      </w:r>
      <w:r w:rsidRPr="00D1363C">
        <w:rPr>
          <w:szCs w:val="24"/>
        </w:rPr>
        <w:t>e-</w:t>
      </w:r>
      <w:r w:rsidR="00854428">
        <w:rPr>
          <w:szCs w:val="24"/>
        </w:rPr>
        <w:t>c</w:t>
      </w:r>
      <w:r w:rsidRPr="00D1363C">
        <w:rPr>
          <w:szCs w:val="24"/>
        </w:rPr>
        <w:t xml:space="preserve">ommit </w:t>
      </w:r>
      <w:r w:rsidR="00854428">
        <w:rPr>
          <w:szCs w:val="24"/>
        </w:rPr>
        <w:t>t</w:t>
      </w:r>
      <w:r w:rsidRPr="00D1363C">
        <w:rPr>
          <w:szCs w:val="24"/>
        </w:rPr>
        <w:t xml:space="preserve">ime is 10:00 </w:t>
      </w:r>
      <w:r w:rsidR="00877D7F">
        <w:rPr>
          <w:szCs w:val="24"/>
        </w:rPr>
        <w:t>PPT</w:t>
      </w:r>
      <w:r w:rsidRPr="00D1363C">
        <w:rPr>
          <w:szCs w:val="24"/>
        </w:rPr>
        <w:t xml:space="preserve">, the Cold Start-Up Offer would apply for Resource commitments after </w:t>
      </w:r>
      <w:r w:rsidR="00877D7F">
        <w:rPr>
          <w:szCs w:val="24"/>
        </w:rPr>
        <w:t>20</w:t>
      </w:r>
      <w:r w:rsidRPr="00D1363C">
        <w:rPr>
          <w:szCs w:val="24"/>
        </w:rPr>
        <w:t xml:space="preserve">:00 </w:t>
      </w:r>
      <w:r w:rsidR="00877D7F">
        <w:rPr>
          <w:szCs w:val="24"/>
        </w:rPr>
        <w:t>PPT</w:t>
      </w:r>
      <w:r w:rsidRPr="00D1363C">
        <w:rPr>
          <w:szCs w:val="24"/>
        </w:rPr>
        <w:t xml:space="preserve">.  </w:t>
      </w:r>
    </w:p>
    <w:p w14:paraId="0D39EA4F" w14:textId="687694F7" w:rsidR="00C70F99" w:rsidRPr="00D1363C" w:rsidRDefault="00C70F99" w:rsidP="00C35DA0">
      <w:pPr>
        <w:numPr>
          <w:ilvl w:val="1"/>
          <w:numId w:val="46"/>
        </w:numPr>
        <w:tabs>
          <w:tab w:val="left" w:pos="720"/>
        </w:tabs>
        <w:spacing w:before="120" w:line="300" w:lineRule="auto"/>
        <w:ind w:left="1454" w:hanging="547"/>
        <w:contextualSpacing/>
        <w:rPr>
          <w:szCs w:val="24"/>
        </w:rPr>
      </w:pPr>
      <w:r w:rsidRPr="00D1363C">
        <w:rPr>
          <w:szCs w:val="24"/>
        </w:rPr>
        <w:t xml:space="preserve">If the Resource is committed greater than or equal to Hot-to-Cold Time after its previous </w:t>
      </w:r>
      <w:r w:rsidR="00854428">
        <w:rPr>
          <w:szCs w:val="24"/>
        </w:rPr>
        <w:t>d</w:t>
      </w:r>
      <w:r w:rsidRPr="00D1363C">
        <w:rPr>
          <w:szCs w:val="24"/>
        </w:rPr>
        <w:t>e-</w:t>
      </w:r>
      <w:r w:rsidR="00854428">
        <w:rPr>
          <w:szCs w:val="24"/>
        </w:rPr>
        <w:t>c</w:t>
      </w:r>
      <w:r w:rsidRPr="00D1363C">
        <w:rPr>
          <w:szCs w:val="24"/>
        </w:rPr>
        <w:t xml:space="preserve">ommit </w:t>
      </w:r>
      <w:r w:rsidR="00854428">
        <w:rPr>
          <w:szCs w:val="24"/>
        </w:rPr>
        <w:t>t</w:t>
      </w:r>
      <w:r w:rsidRPr="00D1363C">
        <w:rPr>
          <w:szCs w:val="24"/>
        </w:rPr>
        <w:t>ime, then the cold start-up price will be used in the Resource Offer.  Using the above Hot</w:t>
      </w:r>
      <w:r w:rsidR="004030BD">
        <w:rPr>
          <w:szCs w:val="24"/>
        </w:rPr>
        <w:t>-to-</w:t>
      </w:r>
      <w:r w:rsidRPr="00D1363C">
        <w:rPr>
          <w:szCs w:val="24"/>
        </w:rPr>
        <w:t>Intermediate Time and Hot</w:t>
      </w:r>
      <w:r w:rsidR="004030BD">
        <w:rPr>
          <w:szCs w:val="24"/>
        </w:rPr>
        <w:t>-to-</w:t>
      </w:r>
      <w:r w:rsidRPr="00D1363C">
        <w:rPr>
          <w:szCs w:val="24"/>
        </w:rPr>
        <w:t xml:space="preserve">Cold Time examples, if the Resource’s </w:t>
      </w:r>
      <w:r w:rsidR="00854428">
        <w:rPr>
          <w:szCs w:val="24"/>
        </w:rPr>
        <w:t>d</w:t>
      </w:r>
      <w:r w:rsidRPr="00D1363C">
        <w:rPr>
          <w:szCs w:val="24"/>
        </w:rPr>
        <w:t>e-</w:t>
      </w:r>
      <w:r w:rsidR="00854428">
        <w:rPr>
          <w:szCs w:val="24"/>
        </w:rPr>
        <w:t>c</w:t>
      </w:r>
      <w:r w:rsidRPr="00D1363C">
        <w:rPr>
          <w:szCs w:val="24"/>
        </w:rPr>
        <w:t xml:space="preserve">ommit </w:t>
      </w:r>
      <w:r w:rsidR="00854428">
        <w:rPr>
          <w:szCs w:val="24"/>
        </w:rPr>
        <w:t>t</w:t>
      </w:r>
      <w:r w:rsidRPr="00D1363C">
        <w:rPr>
          <w:szCs w:val="24"/>
        </w:rPr>
        <w:t xml:space="preserve">ime 10:00 </w:t>
      </w:r>
      <w:r w:rsidR="00877D7F">
        <w:rPr>
          <w:szCs w:val="24"/>
        </w:rPr>
        <w:t>PPT</w:t>
      </w:r>
      <w:r w:rsidRPr="00D1363C">
        <w:rPr>
          <w:szCs w:val="24"/>
        </w:rPr>
        <w:t xml:space="preserve">, the Intermediate Start-Up Offer would apply for Resource commitments between </w:t>
      </w:r>
      <w:r w:rsidR="00877D7F">
        <w:rPr>
          <w:szCs w:val="24"/>
        </w:rPr>
        <w:t>16</w:t>
      </w:r>
      <w:r w:rsidRPr="00D1363C">
        <w:rPr>
          <w:szCs w:val="24"/>
        </w:rPr>
        <w:t xml:space="preserve">:00 </w:t>
      </w:r>
      <w:r w:rsidR="00877D7F">
        <w:rPr>
          <w:szCs w:val="24"/>
        </w:rPr>
        <w:t>PPT</w:t>
      </w:r>
      <w:r w:rsidR="00877D7F" w:rsidRPr="00D1363C">
        <w:rPr>
          <w:szCs w:val="24"/>
        </w:rPr>
        <w:t xml:space="preserve"> </w:t>
      </w:r>
      <w:r w:rsidRPr="00D1363C">
        <w:rPr>
          <w:szCs w:val="24"/>
        </w:rPr>
        <w:t xml:space="preserve">and </w:t>
      </w:r>
      <w:r w:rsidR="00877D7F">
        <w:rPr>
          <w:szCs w:val="24"/>
        </w:rPr>
        <w:t>20</w:t>
      </w:r>
      <w:r w:rsidRPr="00D1363C">
        <w:rPr>
          <w:szCs w:val="24"/>
        </w:rPr>
        <w:t xml:space="preserve">:00 </w:t>
      </w:r>
      <w:r w:rsidR="00877D7F">
        <w:rPr>
          <w:szCs w:val="24"/>
        </w:rPr>
        <w:t>PPT</w:t>
      </w:r>
      <w:r w:rsidRPr="00D1363C">
        <w:rPr>
          <w:szCs w:val="24"/>
        </w:rPr>
        <w:t>.</w:t>
      </w:r>
    </w:p>
    <w:p w14:paraId="01DE9313" w14:textId="283DBAF9" w:rsidR="00C70F99" w:rsidRPr="00D1363C" w:rsidRDefault="00C70F99" w:rsidP="00C35DA0">
      <w:pPr>
        <w:numPr>
          <w:ilvl w:val="0"/>
          <w:numId w:val="46"/>
        </w:numPr>
        <w:spacing w:before="120" w:line="300" w:lineRule="auto"/>
        <w:ind w:left="734" w:hanging="547"/>
        <w:contextualSpacing/>
        <w:rPr>
          <w:szCs w:val="24"/>
        </w:rPr>
      </w:pPr>
      <w:r w:rsidRPr="00D1363C">
        <w:rPr>
          <w:szCs w:val="24"/>
        </w:rPr>
        <w:t>Market Participants should assume the relationships shown in Exhibit 4-</w:t>
      </w:r>
      <w:r w:rsidR="00A013FA">
        <w:rPr>
          <w:szCs w:val="24"/>
        </w:rPr>
        <w:t>6</w:t>
      </w:r>
      <w:r w:rsidRPr="00D1363C">
        <w:rPr>
          <w:szCs w:val="24"/>
        </w:rPr>
        <w:t xml:space="preserve"> when developing the time related Resource Offer parameters.</w:t>
      </w:r>
      <w:r w:rsidRPr="00D1363C">
        <w:rPr>
          <w:szCs w:val="24"/>
        </w:rPr>
        <w:tab/>
      </w:r>
    </w:p>
    <w:p w14:paraId="52BCE01F" w14:textId="77777777" w:rsidR="00C70F99" w:rsidRPr="00D1363C" w:rsidRDefault="00C70F99" w:rsidP="00C70F99">
      <w:pPr>
        <w:spacing w:line="300" w:lineRule="auto"/>
        <w:ind w:left="990"/>
        <w:rPr>
          <w:szCs w:val="24"/>
        </w:rPr>
      </w:pPr>
      <w:r w:rsidRPr="00D1363C">
        <w:rPr>
          <w:szCs w:val="24"/>
        </w:rPr>
        <w:t>(a)</w:t>
      </w:r>
      <w:r w:rsidRPr="00D1363C">
        <w:rPr>
          <w:szCs w:val="24"/>
        </w:rPr>
        <w:tab/>
        <w:t xml:space="preserve">An MSR’s Minimum Charge Time or Minimum Discharge Time begins at the </w:t>
      </w:r>
      <w:r w:rsidRPr="00D1363C">
        <w:rPr>
          <w:szCs w:val="24"/>
        </w:rPr>
        <w:tab/>
        <w:t>Commit Time.</w:t>
      </w:r>
    </w:p>
    <w:p w14:paraId="32EEE326" w14:textId="77777777" w:rsidR="00C70F99" w:rsidRPr="00D1363C" w:rsidRDefault="00C70F99" w:rsidP="00C70F99">
      <w:pPr>
        <w:spacing w:line="300" w:lineRule="auto"/>
        <w:ind w:left="990"/>
        <w:rPr>
          <w:szCs w:val="24"/>
        </w:rPr>
      </w:pPr>
      <w:r w:rsidRPr="00D1363C">
        <w:rPr>
          <w:szCs w:val="24"/>
        </w:rPr>
        <w:t>(b)</w:t>
      </w:r>
      <w:r w:rsidRPr="00D1363C">
        <w:rPr>
          <w:szCs w:val="24"/>
        </w:rPr>
        <w:tab/>
        <w:t xml:space="preserve">An MSR’s Maximum Charge Time or Maximum Discharge Time begins at the </w:t>
      </w:r>
      <w:r w:rsidRPr="00D1363C">
        <w:rPr>
          <w:szCs w:val="24"/>
        </w:rPr>
        <w:tab/>
        <w:t>Commit Time.</w:t>
      </w:r>
    </w:p>
    <w:p w14:paraId="6ACAB8AE" w14:textId="3C9C7951" w:rsidR="00C70F99" w:rsidRPr="00D1363C" w:rsidRDefault="00C70F99" w:rsidP="00E679DC">
      <w:pPr>
        <w:spacing w:after="0" w:line="300" w:lineRule="auto"/>
        <w:ind w:left="1440" w:hanging="450"/>
        <w:jc w:val="left"/>
        <w:rPr>
          <w:b/>
          <w:szCs w:val="24"/>
        </w:rPr>
      </w:pPr>
      <w:r w:rsidRPr="00D1363C" w:rsidDel="000700BE">
        <w:rPr>
          <w:szCs w:val="24"/>
        </w:rPr>
        <w:t>(c)</w:t>
      </w:r>
      <w:r w:rsidRPr="00D1363C" w:rsidDel="000700BE">
        <w:rPr>
          <w:szCs w:val="24"/>
        </w:rPr>
        <w:tab/>
      </w:r>
      <w:r w:rsidRPr="00D1363C">
        <w:rPr>
          <w:szCs w:val="24"/>
        </w:rPr>
        <w:t>A</w:t>
      </w:r>
      <w:r w:rsidR="00AE056C">
        <w:rPr>
          <w:szCs w:val="24"/>
        </w:rPr>
        <w:t>n</w:t>
      </w:r>
      <w:r w:rsidRPr="00D1363C" w:rsidDel="000700BE">
        <w:rPr>
          <w:szCs w:val="24"/>
        </w:rPr>
        <w:t xml:space="preserve"> MSR</w:t>
      </w:r>
      <w:r w:rsidR="00AE056C">
        <w:rPr>
          <w:szCs w:val="24"/>
        </w:rPr>
        <w:t>, with directional commitment limitations,</w:t>
      </w:r>
      <w:r w:rsidRPr="00D1363C" w:rsidDel="000700BE">
        <w:rPr>
          <w:szCs w:val="24"/>
        </w:rPr>
        <w:t xml:space="preserve"> must submit as part of its Resource Offer either a Maximum Charge Limit and Minimum Charge Limit equal to zero or a Maximum Discharge Limit and Minimum Discharge Limit equal to zero for each market </w:t>
      </w:r>
      <w:r w:rsidRPr="00D1363C" w:rsidDel="000700BE">
        <w:rPr>
          <w:szCs w:val="24"/>
        </w:rPr>
        <w:tab/>
        <w:t>interval.</w:t>
      </w:r>
    </w:p>
    <w:p w14:paraId="7E1BCE7D" w14:textId="77777777" w:rsidR="00C70F99" w:rsidRPr="00D1363C" w:rsidRDefault="00C70F99" w:rsidP="00C70F99">
      <w:pPr>
        <w:spacing w:after="0" w:line="300" w:lineRule="auto"/>
        <w:jc w:val="center"/>
        <w:rPr>
          <w:b/>
          <w:szCs w:val="24"/>
        </w:rPr>
      </w:pPr>
    </w:p>
    <w:p w14:paraId="0BCD852E" w14:textId="77777777" w:rsidR="00C70F99" w:rsidRDefault="00C70F99" w:rsidP="00C70F99">
      <w:pPr>
        <w:spacing w:line="300" w:lineRule="auto"/>
        <w:rPr>
          <w:b/>
          <w:szCs w:val="24"/>
        </w:rPr>
      </w:pPr>
      <w:r>
        <w:rPr>
          <w:b/>
          <w:szCs w:val="24"/>
        </w:rPr>
        <w:br w:type="page"/>
      </w:r>
    </w:p>
    <w:p w14:paraId="667ADB3F" w14:textId="59E6DEC8" w:rsidR="00C70F99" w:rsidRPr="00D1363C" w:rsidRDefault="00C70F99" w:rsidP="00C70F99">
      <w:pPr>
        <w:spacing w:after="0" w:line="300" w:lineRule="auto"/>
        <w:jc w:val="center"/>
        <w:rPr>
          <w:b/>
          <w:szCs w:val="24"/>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6</w:t>
      </w:r>
      <w:r w:rsidRPr="00D1363C">
        <w:rPr>
          <w:b/>
          <w:szCs w:val="24"/>
        </w:rPr>
        <w:t>: Resource Commitment Parameter Relationships</w:t>
      </w:r>
    </w:p>
    <w:p w14:paraId="123A002B" w14:textId="77777777" w:rsidR="00C70F99" w:rsidRPr="00D1363C" w:rsidRDefault="00C70F99" w:rsidP="00C70F99">
      <w:pPr>
        <w:spacing w:after="0" w:line="300" w:lineRule="auto"/>
        <w:rPr>
          <w:szCs w:val="24"/>
        </w:rPr>
      </w:pPr>
    </w:p>
    <w:p w14:paraId="562523E6" w14:textId="77777777" w:rsidR="00C70F99" w:rsidRPr="00D1363C" w:rsidRDefault="00C70F99" w:rsidP="00C70F99">
      <w:pPr>
        <w:spacing w:after="0" w:line="300" w:lineRule="auto"/>
        <w:rPr>
          <w:sz w:val="20"/>
        </w:rPr>
      </w:pPr>
      <w:r w:rsidRPr="00D1363C">
        <w:rPr>
          <w:b/>
          <w:noProof/>
          <w:sz w:val="20"/>
          <w:u w:val="single"/>
        </w:rPr>
        <mc:AlternateContent>
          <mc:Choice Requires="wps">
            <w:drawing>
              <wp:anchor distT="45720" distB="45720" distL="114300" distR="114300" simplePos="0" relativeHeight="251658241" behindDoc="0" locked="0" layoutInCell="1" allowOverlap="1" wp14:anchorId="1F56C455" wp14:editId="14C8F703">
                <wp:simplePos x="0" y="0"/>
                <wp:positionH relativeFrom="column">
                  <wp:posOffset>1435286</wp:posOffset>
                </wp:positionH>
                <wp:positionV relativeFrom="paragraph">
                  <wp:posOffset>127153</wp:posOffset>
                </wp:positionV>
                <wp:extent cx="622300" cy="2540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54000"/>
                        </a:xfrm>
                        <a:prstGeom prst="rect">
                          <a:avLst/>
                        </a:prstGeom>
                        <a:solidFill>
                          <a:srgbClr val="FFFFFF"/>
                        </a:solidFill>
                        <a:ln w="9525">
                          <a:solidFill>
                            <a:srgbClr val="000000"/>
                          </a:solidFill>
                          <a:miter lim="800000"/>
                          <a:headEnd/>
                          <a:tailEnd/>
                        </a:ln>
                      </wps:spPr>
                      <wps:txbx>
                        <w:txbxContent>
                          <w:p w14:paraId="39B15042" w14:textId="77777777" w:rsidR="00C70F99" w:rsidRPr="00984D50" w:rsidRDefault="00C70F99" w:rsidP="00C70F99">
                            <w:pPr>
                              <w:rPr>
                                <w:sz w:val="20"/>
                              </w:rPr>
                            </w:pPr>
                            <w:r>
                              <w:rPr>
                                <w:sz w:val="20"/>
                              </w:rPr>
                              <w:t>Group 1</w:t>
                            </w:r>
                            <w:r w:rsidRPr="00984D50">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6C455" id="_x0000_t202" coordsize="21600,21600" o:spt="202" path="m,l,21600r21600,l21600,xe">
                <v:stroke joinstyle="miter"/>
                <v:path gradientshapeok="t" o:connecttype="rect"/>
              </v:shapetype>
              <v:shape id="_x0000_s1026" type="#_x0000_t202" style="position:absolute;left:0;text-align:left;margin-left:113pt;margin-top:10pt;width:49pt;height:2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">
                <v:textbox>
                  <w:txbxContent>
                    <w:p w14:paraId="39B15042" w14:textId="77777777" w:rsidR="00C70F99" w:rsidRPr="00984D50" w:rsidRDefault="00C70F99" w:rsidP="00C70F99">
                      <w:pPr>
                        <w:rPr>
                          <w:sz w:val="20"/>
                        </w:rPr>
                      </w:pPr>
                      <w:r>
                        <w:rPr>
                          <w:sz w:val="20"/>
                        </w:rPr>
                        <w:t>Group 1</w:t>
                      </w:r>
                      <w:r w:rsidRPr="00984D50">
                        <w:rPr>
                          <w:sz w:val="20"/>
                        </w:rPr>
                        <w:t xml:space="preserve"> </w:t>
                      </w:r>
                    </w:p>
                  </w:txbxContent>
                </v:textbox>
                <w10:wrap type="square"/>
              </v:shape>
            </w:pict>
          </mc:Fallback>
        </mc:AlternateContent>
      </w:r>
      <w:r w:rsidRPr="00D1363C">
        <w:rPr>
          <w:b/>
          <w:noProof/>
          <w:sz w:val="20"/>
          <w:u w:val="single"/>
        </w:rPr>
        <mc:AlternateContent>
          <mc:Choice Requires="wps">
            <w:drawing>
              <wp:anchor distT="0" distB="0" distL="114300" distR="114300" simplePos="0" relativeHeight="251658242" behindDoc="0" locked="0" layoutInCell="1" allowOverlap="1" wp14:anchorId="218994B0" wp14:editId="7CB8E54F">
                <wp:simplePos x="0" y="0"/>
                <wp:positionH relativeFrom="column">
                  <wp:posOffset>1159146</wp:posOffset>
                </wp:positionH>
                <wp:positionV relativeFrom="paragraph">
                  <wp:posOffset>23794</wp:posOffset>
                </wp:positionV>
                <wp:extent cx="292100" cy="441903"/>
                <wp:effectExtent l="0" t="0" r="12700" b="15875"/>
                <wp:wrapNone/>
                <wp:docPr id="7" name="Right Brace 7"/>
                <wp:cNvGraphicFramePr/>
                <a:graphic xmlns:a="http://schemas.openxmlformats.org/drawingml/2006/main">
                  <a:graphicData uri="http://schemas.microsoft.com/office/word/2010/wordprocessingShape">
                    <wps:wsp>
                      <wps:cNvSpPr/>
                      <wps:spPr>
                        <a:xfrm>
                          <a:off x="0" y="0"/>
                          <a:ext cx="292100" cy="441903"/>
                        </a:xfrm>
                        <a:prstGeom prst="rightBrace">
                          <a:avLst>
                            <a:gd name="adj1" fmla="val 0"/>
                            <a:gd name="adj2" fmla="val 5444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F1E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91.25pt;margin-top:1.85pt;width:23pt;height:34.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" adj="0,11760" strokecolor="windowText" strokeweight=".5pt">
                <v:stroke joinstyle="miter"/>
              </v:shape>
            </w:pict>
          </mc:Fallback>
        </mc:AlternateContent>
      </w:r>
      <w:r w:rsidRPr="00D1363C">
        <w:rPr>
          <w:sz w:val="20"/>
        </w:rPr>
        <w:t>Blue: Configuration 1</w:t>
      </w:r>
    </w:p>
    <w:p w14:paraId="69DF03D2" w14:textId="504F4AA2" w:rsidR="00C70F99" w:rsidRPr="00D1363C" w:rsidRDefault="00C70F99" w:rsidP="00C70F99">
      <w:pPr>
        <w:spacing w:after="0" w:line="300" w:lineRule="auto"/>
        <w:rPr>
          <w:sz w:val="20"/>
        </w:rPr>
      </w:pPr>
      <w:r w:rsidRPr="00D1363C">
        <w:rPr>
          <w:sz w:val="20"/>
        </w:rPr>
        <w:t>Red: Configuration 2</w:t>
      </w:r>
    </w:p>
    <w:p w14:paraId="2BA28441" w14:textId="77777777" w:rsidR="00C70F99" w:rsidRPr="00D1363C" w:rsidRDefault="00C70F99" w:rsidP="00C70F99">
      <w:pPr>
        <w:spacing w:after="0" w:line="300" w:lineRule="auto"/>
        <w:rPr>
          <w:sz w:val="20"/>
        </w:rPr>
      </w:pPr>
      <w:r w:rsidRPr="00D1363C">
        <w:rPr>
          <w:sz w:val="20"/>
        </w:rPr>
        <w:t>Green: Configuration 3</w:t>
      </w:r>
    </w:p>
    <w:p w14:paraId="14B879D9" w14:textId="77777777" w:rsidR="00C70F99" w:rsidRPr="00D1363C" w:rsidRDefault="00C70F99" w:rsidP="00C70F99">
      <w:pPr>
        <w:spacing w:after="0" w:line="300" w:lineRule="auto"/>
        <w:rPr>
          <w:sz w:val="20"/>
        </w:rPr>
      </w:pPr>
    </w:p>
    <w:p w14:paraId="04273135" w14:textId="77777777" w:rsidR="00C70F99" w:rsidRPr="00D1363C" w:rsidRDefault="00C70F99" w:rsidP="00C70F99">
      <w:pPr>
        <w:spacing w:after="0" w:line="300" w:lineRule="auto"/>
        <w:rPr>
          <w:sz w:val="20"/>
        </w:rPr>
      </w:pPr>
      <w:r w:rsidRPr="00D1363C">
        <w:rPr>
          <w:sz w:val="20"/>
        </w:rPr>
        <w:t>Starting at the end of Configuration 1’s desynchronization:</w:t>
      </w:r>
    </w:p>
    <w:p w14:paraId="6E977AA5" w14:textId="77777777" w:rsidR="00C70F99" w:rsidRPr="00D1363C" w:rsidRDefault="00C70F99" w:rsidP="00C70F99">
      <w:pPr>
        <w:spacing w:after="0" w:line="300" w:lineRule="auto"/>
        <w:rPr>
          <w:sz w:val="20"/>
        </w:rPr>
      </w:pPr>
      <w:r w:rsidRPr="00D1363C">
        <w:rPr>
          <w:sz w:val="20"/>
        </w:rPr>
        <w:t xml:space="preserve">* The next time Configuration 1 can sync, is when the Minimum Down Time has been met.  </w:t>
      </w:r>
    </w:p>
    <w:p w14:paraId="4448F537" w14:textId="77777777" w:rsidR="00C70F99" w:rsidRPr="00D1363C" w:rsidRDefault="00C70F99" w:rsidP="00C70F99">
      <w:pPr>
        <w:spacing w:after="0" w:line="300" w:lineRule="auto"/>
        <w:rPr>
          <w:sz w:val="20"/>
        </w:rPr>
      </w:pPr>
      <w:r w:rsidRPr="00D1363C">
        <w:rPr>
          <w:sz w:val="20"/>
        </w:rPr>
        <w:t xml:space="preserve">* The next time Configuration 2 can sync, is when the Group Minimum Down Time has been met.  </w:t>
      </w:r>
    </w:p>
    <w:p w14:paraId="3DF420C3" w14:textId="77777777" w:rsidR="00C70F99" w:rsidRPr="00D1363C" w:rsidRDefault="00C70F99" w:rsidP="00C70F99">
      <w:pPr>
        <w:spacing w:after="0" w:line="300" w:lineRule="auto"/>
        <w:rPr>
          <w:sz w:val="20"/>
        </w:rPr>
      </w:pPr>
      <w:r w:rsidRPr="00D1363C">
        <w:rPr>
          <w:sz w:val="20"/>
        </w:rPr>
        <w:t>* The next time Configuration 3 can sync, is when the Plant Minimum Down Time has been met.</w:t>
      </w:r>
    </w:p>
    <w:p w14:paraId="5999B440" w14:textId="77777777" w:rsidR="00C70F99" w:rsidRPr="00D1363C" w:rsidRDefault="00C70F99" w:rsidP="00C70F99">
      <w:pPr>
        <w:spacing w:before="120" w:line="300" w:lineRule="auto"/>
        <w:rPr>
          <w:b/>
          <w:sz w:val="16"/>
          <w:szCs w:val="16"/>
        </w:rPr>
      </w:pPr>
    </w:p>
    <w:p w14:paraId="78A4EC2A" w14:textId="77777777" w:rsidR="00C70F99" w:rsidRPr="00D1363C" w:rsidRDefault="00C70F99" w:rsidP="00C70F99">
      <w:pPr>
        <w:spacing w:before="120" w:line="300" w:lineRule="auto"/>
        <w:rPr>
          <w:b/>
          <w:sz w:val="16"/>
          <w:szCs w:val="16"/>
        </w:rPr>
      </w:pPr>
      <w:r w:rsidRPr="00D1363C">
        <w:rPr>
          <w:noProof/>
        </w:rPr>
        <w:drawing>
          <wp:inline distT="0" distB="0" distL="0" distR="0" wp14:anchorId="1A5B18CF" wp14:editId="33D38030">
            <wp:extent cx="5943600" cy="3530839"/>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45"/>
                    <a:stretch>
                      <a:fillRect/>
                    </a:stretch>
                  </pic:blipFill>
                  <pic:spPr>
                    <a:xfrm>
                      <a:off x="0" y="0"/>
                      <a:ext cx="5943600" cy="3530839"/>
                    </a:xfrm>
                    <a:prstGeom prst="rect">
                      <a:avLst/>
                    </a:prstGeom>
                  </pic:spPr>
                </pic:pic>
              </a:graphicData>
            </a:graphic>
          </wp:inline>
        </w:drawing>
      </w:r>
    </w:p>
    <w:p w14:paraId="6A04FD31" w14:textId="023D6CB2" w:rsidR="00C70F99" w:rsidRPr="00E679DC" w:rsidRDefault="00C70F99" w:rsidP="00574654">
      <w:pPr>
        <w:pStyle w:val="Heading5"/>
      </w:pPr>
      <w:bookmarkStart w:id="1642" w:name="_Toc163740165"/>
      <w:bookmarkStart w:id="1643" w:name="_Toc213771819"/>
      <w:bookmarkStart w:id="1644" w:name="_Ref258581375"/>
      <w:bookmarkStart w:id="1645" w:name="_Toc258924848"/>
      <w:bookmarkStart w:id="1646" w:name="_Toc263173283"/>
      <w:bookmarkStart w:id="1647" w:name="_Toc263429403"/>
      <w:bookmarkStart w:id="1648" w:name="_Toc263795433"/>
      <w:bookmarkStart w:id="1649" w:name="_Toc266869616"/>
      <w:r w:rsidRPr="00D1363C">
        <w:t>Sync</w:t>
      </w:r>
      <w:r w:rsidR="004030BD">
        <w:t>-to-</w:t>
      </w:r>
      <w:r w:rsidRPr="00D1363C">
        <w:t>Min and Min</w:t>
      </w:r>
      <w:r w:rsidR="004030BD">
        <w:t>-to-</w:t>
      </w:r>
      <w:r w:rsidRPr="00D1363C">
        <w:t>Off Times</w:t>
      </w:r>
      <w:bookmarkEnd w:id="1642"/>
      <w:bookmarkEnd w:id="1643"/>
    </w:p>
    <w:p w14:paraId="5C723D68" w14:textId="007EB848" w:rsidR="00C70F99" w:rsidRPr="00D1363C" w:rsidRDefault="00C70F99" w:rsidP="00C70F99">
      <w:pPr>
        <w:spacing w:after="0" w:line="300" w:lineRule="auto"/>
        <w:rPr>
          <w:szCs w:val="24"/>
        </w:rPr>
      </w:pPr>
      <w:r w:rsidRPr="00D1363C">
        <w:rPr>
          <w:szCs w:val="24"/>
        </w:rPr>
        <w:t>A Market Participant must submit, as part of a Resource Offer, a Sync</w:t>
      </w:r>
      <w:r w:rsidR="004030BD">
        <w:rPr>
          <w:szCs w:val="24"/>
        </w:rPr>
        <w:t>-to-</w:t>
      </w:r>
      <w:r w:rsidRPr="00D1363C">
        <w:rPr>
          <w:szCs w:val="24"/>
        </w:rPr>
        <w:t>Min Time and a Min</w:t>
      </w:r>
      <w:r w:rsidR="004030BD">
        <w:rPr>
          <w:szCs w:val="24"/>
        </w:rPr>
        <w:t>-to-</w:t>
      </w:r>
      <w:r w:rsidRPr="00D1363C">
        <w:rPr>
          <w:szCs w:val="24"/>
        </w:rPr>
        <w:t>Off Time.  These times will be used by the Market Operator as follows:</w:t>
      </w:r>
    </w:p>
    <w:p w14:paraId="25AA9B3F" w14:textId="77777777" w:rsidR="00C70F99" w:rsidRPr="00D1363C" w:rsidRDefault="00C70F99" w:rsidP="00C70F99">
      <w:pPr>
        <w:spacing w:before="120" w:line="300" w:lineRule="auto"/>
        <w:ind w:left="720" w:hanging="540"/>
        <w:rPr>
          <w:szCs w:val="24"/>
        </w:rPr>
      </w:pPr>
      <w:r w:rsidRPr="00D1363C">
        <w:rPr>
          <w:szCs w:val="24"/>
        </w:rPr>
        <w:t>(1)</w:t>
      </w:r>
      <w:r w:rsidRPr="00D1363C">
        <w:rPr>
          <w:szCs w:val="24"/>
        </w:rPr>
        <w:tab/>
        <w:t xml:space="preserve">To calculate the minimum time between commitments as described under Section </w:t>
      </w:r>
      <w:r w:rsidRPr="00D1363C">
        <w:rPr>
          <w:szCs w:val="24"/>
        </w:rPr>
        <w:fldChar w:fldCharType="begin"/>
      </w:r>
      <w:r w:rsidRPr="00D1363C">
        <w:rPr>
          <w:szCs w:val="24"/>
        </w:rPr>
        <w:instrText xml:space="preserve"> REF _Ref307902100 \r \h </w:instrText>
      </w:r>
      <w:r w:rsidRPr="00D1363C">
        <w:rPr>
          <w:szCs w:val="24"/>
        </w:rPr>
      </w:r>
      <w:r w:rsidRPr="00D1363C">
        <w:rPr>
          <w:szCs w:val="24"/>
        </w:rPr>
        <w:fldChar w:fldCharType="separate"/>
      </w:r>
      <w:r w:rsidRPr="00D1363C">
        <w:rPr>
          <w:szCs w:val="24"/>
        </w:rPr>
        <w:t>4.2.2.4</w:t>
      </w:r>
      <w:r w:rsidRPr="00D1363C">
        <w:rPr>
          <w:szCs w:val="24"/>
        </w:rPr>
        <w:fldChar w:fldCharType="end"/>
      </w:r>
      <w:r w:rsidRPr="00D1363C">
        <w:rPr>
          <w:szCs w:val="24"/>
        </w:rPr>
        <w:t xml:space="preserve"> above;</w:t>
      </w:r>
    </w:p>
    <w:p w14:paraId="1D1278E9" w14:textId="27EAE50B" w:rsidR="00C70F99" w:rsidRPr="00D1363C" w:rsidRDefault="00C70F99" w:rsidP="00C70F99">
      <w:pPr>
        <w:spacing w:before="120" w:line="300" w:lineRule="auto"/>
        <w:ind w:left="720" w:hanging="540"/>
        <w:rPr>
          <w:szCs w:val="24"/>
        </w:rPr>
      </w:pPr>
      <w:r w:rsidRPr="00D1363C">
        <w:rPr>
          <w:szCs w:val="24"/>
        </w:rPr>
        <w:t>(2)</w:t>
      </w:r>
      <w:r w:rsidRPr="00D1363C">
        <w:rPr>
          <w:szCs w:val="24"/>
        </w:rPr>
        <w:tab/>
        <w:t xml:space="preserve">To determine a Day-Ahead Market committed Resource’s eligibility for Start-Up Offer recovery as described </w:t>
      </w:r>
      <w:r w:rsidR="00444786">
        <w:rPr>
          <w:szCs w:val="24"/>
        </w:rPr>
        <w:t xml:space="preserve">in the Markets+ Settlements </w:t>
      </w:r>
      <w:r w:rsidR="00BA0C4B">
        <w:rPr>
          <w:szCs w:val="24"/>
        </w:rPr>
        <w:t xml:space="preserve">Calculation </w:t>
      </w:r>
      <w:r w:rsidR="00444786">
        <w:rPr>
          <w:szCs w:val="24"/>
        </w:rPr>
        <w:t>Guide</w:t>
      </w:r>
      <w:r w:rsidRPr="00D1363C">
        <w:rPr>
          <w:szCs w:val="24"/>
        </w:rPr>
        <w:t>;</w:t>
      </w:r>
    </w:p>
    <w:p w14:paraId="68B53EE2" w14:textId="31D0A220" w:rsidR="00C70F99" w:rsidRPr="00D1363C" w:rsidRDefault="00C70F99" w:rsidP="00C70F99">
      <w:pPr>
        <w:spacing w:before="120" w:line="300" w:lineRule="auto"/>
        <w:ind w:left="720" w:hanging="540"/>
        <w:rPr>
          <w:szCs w:val="24"/>
        </w:rPr>
      </w:pPr>
      <w:r w:rsidRPr="00D1363C">
        <w:rPr>
          <w:szCs w:val="24"/>
        </w:rPr>
        <w:t>(3)</w:t>
      </w:r>
      <w:r w:rsidRPr="00D1363C">
        <w:rPr>
          <w:szCs w:val="24"/>
        </w:rPr>
        <w:tab/>
        <w:t xml:space="preserve">To determine a RUC committed Resource’s eligibility for Start-Up Offer recovery as described </w:t>
      </w:r>
      <w:r w:rsidR="00444786">
        <w:rPr>
          <w:szCs w:val="24"/>
        </w:rPr>
        <w:t xml:space="preserve">in the Markets+ Settlements </w:t>
      </w:r>
      <w:r w:rsidR="00BA0C4B">
        <w:rPr>
          <w:szCs w:val="24"/>
        </w:rPr>
        <w:t>Calculation</w:t>
      </w:r>
      <w:r w:rsidR="00444786">
        <w:rPr>
          <w:szCs w:val="24"/>
        </w:rPr>
        <w:t xml:space="preserve"> Guide</w:t>
      </w:r>
      <w:r w:rsidRPr="00D1363C">
        <w:rPr>
          <w:szCs w:val="24"/>
        </w:rPr>
        <w:t>; and</w:t>
      </w:r>
    </w:p>
    <w:p w14:paraId="0C3A65CE" w14:textId="77777777" w:rsidR="00C70F99" w:rsidRPr="00D1363C" w:rsidRDefault="00C70F99" w:rsidP="00C70F99">
      <w:pPr>
        <w:spacing w:before="120" w:line="300" w:lineRule="auto"/>
        <w:ind w:left="720" w:hanging="540"/>
        <w:rPr>
          <w:szCs w:val="24"/>
        </w:rPr>
      </w:pPr>
      <w:r w:rsidRPr="00D1363C">
        <w:rPr>
          <w:szCs w:val="24"/>
        </w:rPr>
        <w:t>(4)</w:t>
      </w:r>
      <w:r w:rsidRPr="00D1363C">
        <w:rPr>
          <w:szCs w:val="24"/>
        </w:rPr>
        <w:tab/>
        <w:t>For information purposes to monitor a Resource’s progress during start-up and shut-down mode.</w:t>
      </w:r>
    </w:p>
    <w:p w14:paraId="3760536C" w14:textId="2723D498" w:rsidR="00C70F99" w:rsidRPr="00D1363C" w:rsidRDefault="00C70F99" w:rsidP="00C70F99">
      <w:pPr>
        <w:spacing w:after="0" w:line="300" w:lineRule="auto"/>
        <w:rPr>
          <w:szCs w:val="24"/>
        </w:rPr>
      </w:pPr>
      <w:r w:rsidRPr="00D1363C">
        <w:rPr>
          <w:szCs w:val="24"/>
        </w:rPr>
        <w:t>During start-up and shut-down, Market Participants should place their Resources in “Manual” Control Status.  Based on the submitted Sync</w:t>
      </w:r>
      <w:r w:rsidR="004030BD">
        <w:rPr>
          <w:szCs w:val="24"/>
        </w:rPr>
        <w:t>-to-</w:t>
      </w:r>
      <w:r w:rsidRPr="00D1363C">
        <w:rPr>
          <w:szCs w:val="24"/>
        </w:rPr>
        <w:t>Min and Min</w:t>
      </w:r>
      <w:r w:rsidR="004030BD">
        <w:rPr>
          <w:szCs w:val="24"/>
        </w:rPr>
        <w:t>-to</w:t>
      </w:r>
      <w:r w:rsidRPr="00D1363C">
        <w:rPr>
          <w:szCs w:val="24"/>
        </w:rPr>
        <w:t>-Off Times, the Market Operator will monitor progress and may contact a Market Participant if the Resource remains in “Manual” Control Status beyond the submitted Sync</w:t>
      </w:r>
      <w:r w:rsidR="004030BD">
        <w:rPr>
          <w:szCs w:val="24"/>
        </w:rPr>
        <w:t>-to-</w:t>
      </w:r>
      <w:r w:rsidRPr="00D1363C">
        <w:rPr>
          <w:szCs w:val="24"/>
        </w:rPr>
        <w:t xml:space="preserve">Min </w:t>
      </w:r>
      <w:r w:rsidR="0046151A">
        <w:rPr>
          <w:szCs w:val="24"/>
        </w:rPr>
        <w:t>and</w:t>
      </w:r>
      <w:r w:rsidRPr="00D1363C">
        <w:rPr>
          <w:szCs w:val="24"/>
        </w:rPr>
        <w:t xml:space="preserve"> Min</w:t>
      </w:r>
      <w:r w:rsidR="004030BD">
        <w:rPr>
          <w:szCs w:val="24"/>
        </w:rPr>
        <w:t>-to-</w:t>
      </w:r>
      <w:r w:rsidRPr="00D1363C">
        <w:rPr>
          <w:szCs w:val="24"/>
        </w:rPr>
        <w:t>Off Times in order to verify the Market Participants</w:t>
      </w:r>
      <w:r>
        <w:rPr>
          <w:szCs w:val="24"/>
        </w:rPr>
        <w:t>’</w:t>
      </w:r>
      <w:r w:rsidRPr="00D1363C">
        <w:rPr>
          <w:szCs w:val="24"/>
        </w:rPr>
        <w:t xml:space="preserve"> intent. </w:t>
      </w:r>
    </w:p>
    <w:p w14:paraId="056D29EF" w14:textId="77777777" w:rsidR="00C70F99" w:rsidRPr="00D1363C" w:rsidRDefault="00C70F99" w:rsidP="00574EDE">
      <w:pPr>
        <w:pStyle w:val="Heading4"/>
      </w:pPr>
      <w:bookmarkStart w:id="1650" w:name="_Toc163740166"/>
      <w:bookmarkStart w:id="1651" w:name="_Toc213771820"/>
      <w:r w:rsidRPr="00D1363C">
        <w:t xml:space="preserve">Resource </w:t>
      </w:r>
      <w:bookmarkEnd w:id="1626"/>
      <w:bookmarkEnd w:id="1627"/>
      <w:bookmarkEnd w:id="1628"/>
      <w:bookmarkEnd w:id="1629"/>
      <w:bookmarkEnd w:id="1630"/>
      <w:bookmarkEnd w:id="1631"/>
      <w:bookmarkEnd w:id="1632"/>
      <w:bookmarkEnd w:id="1644"/>
      <w:bookmarkEnd w:id="1645"/>
      <w:bookmarkEnd w:id="1646"/>
      <w:bookmarkEnd w:id="1647"/>
      <w:bookmarkEnd w:id="1648"/>
      <w:bookmarkEnd w:id="1649"/>
      <w:r w:rsidRPr="00D1363C">
        <w:t>Participation Types</w:t>
      </w:r>
      <w:bookmarkEnd w:id="1650"/>
      <w:bookmarkEnd w:id="1651"/>
      <w:r w:rsidRPr="00D1363C">
        <w:t xml:space="preserve"> </w:t>
      </w:r>
    </w:p>
    <w:p w14:paraId="47EE652E" w14:textId="7820DC77" w:rsidR="00C70F99" w:rsidRPr="00D1363C" w:rsidRDefault="00C70F99" w:rsidP="00C70F99">
      <w:pPr>
        <w:spacing w:after="0" w:line="300" w:lineRule="auto"/>
        <w:rPr>
          <w:szCs w:val="24"/>
        </w:rPr>
      </w:pPr>
      <w:r w:rsidRPr="00D1363C">
        <w:rPr>
          <w:szCs w:val="24"/>
        </w:rPr>
        <w:t xml:space="preserve">The Offer parameters specified under Sections </w:t>
      </w:r>
      <w:r w:rsidRPr="00D1363C">
        <w:rPr>
          <w:szCs w:val="24"/>
        </w:rPr>
        <w:fldChar w:fldCharType="begin"/>
      </w:r>
      <w:r w:rsidRPr="00D1363C">
        <w:rPr>
          <w:szCs w:val="24"/>
        </w:rPr>
        <w:instrText xml:space="preserve"> REF _Ref244614432 \r \h </w:instrText>
      </w:r>
      <w:r w:rsidRPr="00D1363C">
        <w:rPr>
          <w:szCs w:val="24"/>
        </w:rPr>
      </w:r>
      <w:r w:rsidRPr="00D1363C">
        <w:rPr>
          <w:szCs w:val="24"/>
        </w:rPr>
        <w:fldChar w:fldCharType="separate"/>
      </w:r>
      <w:r w:rsidR="00901909">
        <w:rPr>
          <w:szCs w:val="24"/>
        </w:rPr>
        <w:t>4.2.2.1</w:t>
      </w:r>
      <w:r w:rsidRPr="00D1363C">
        <w:rPr>
          <w:szCs w:val="24"/>
        </w:rPr>
        <w:fldChar w:fldCharType="end"/>
      </w:r>
      <w:r w:rsidRPr="00D1363C">
        <w:rPr>
          <w:szCs w:val="24"/>
        </w:rPr>
        <w:t xml:space="preserve"> and </w:t>
      </w:r>
      <w:r w:rsidRPr="00D1363C">
        <w:rPr>
          <w:szCs w:val="24"/>
        </w:rPr>
        <w:fldChar w:fldCharType="begin"/>
      </w:r>
      <w:r w:rsidRPr="00D1363C">
        <w:rPr>
          <w:szCs w:val="24"/>
        </w:rPr>
        <w:instrText xml:space="preserve"> REF _Ref244614456 \r \h </w:instrText>
      </w:r>
      <w:r w:rsidRPr="00D1363C">
        <w:rPr>
          <w:szCs w:val="24"/>
        </w:rPr>
      </w:r>
      <w:r w:rsidRPr="00D1363C">
        <w:rPr>
          <w:szCs w:val="24"/>
        </w:rPr>
        <w:fldChar w:fldCharType="separate"/>
      </w:r>
      <w:r w:rsidR="00901909">
        <w:rPr>
          <w:szCs w:val="24"/>
        </w:rPr>
        <w:t>4.2.2.2</w:t>
      </w:r>
      <w:r w:rsidRPr="00D1363C">
        <w:rPr>
          <w:szCs w:val="24"/>
        </w:rPr>
        <w:fldChar w:fldCharType="end"/>
      </w:r>
      <w:r w:rsidRPr="00D1363C">
        <w:rPr>
          <w:szCs w:val="24"/>
        </w:rPr>
        <w:t xml:space="preserve"> may be submitted for all Resource types with the understanding that some parameters do not apply or may be optional for certain types of Resources.  Special Resource modeling rules for such Resources are described for specific Resource types as follows:</w:t>
      </w:r>
    </w:p>
    <w:p w14:paraId="1FAC67C2" w14:textId="249F9CF8" w:rsidR="00C70F99" w:rsidRPr="00D1363C" w:rsidRDefault="00C70F99" w:rsidP="00574654">
      <w:pPr>
        <w:pStyle w:val="Heading5"/>
      </w:pPr>
      <w:bookmarkStart w:id="1652" w:name="_Ref260209804"/>
      <w:bookmarkStart w:id="1653" w:name="_Toc263173284"/>
      <w:bookmarkStart w:id="1654" w:name="_Toc263795434"/>
      <w:bookmarkStart w:id="1655" w:name="_Toc163740167"/>
      <w:bookmarkStart w:id="1656" w:name="_Ref212538762"/>
      <w:bookmarkStart w:id="1657" w:name="_Toc213771821"/>
      <w:bookmarkStart w:id="1658" w:name="OLE_LINK109"/>
      <w:bookmarkStart w:id="1659" w:name="OLE_LINK110"/>
      <w:r w:rsidRPr="00D1363C">
        <w:t>Dispatchable Demand Response Resource</w:t>
      </w:r>
      <w:bookmarkEnd w:id="1652"/>
      <w:bookmarkEnd w:id="1653"/>
      <w:bookmarkEnd w:id="1654"/>
      <w:bookmarkEnd w:id="1655"/>
      <w:r>
        <w:t xml:space="preserve"> (</w:t>
      </w:r>
      <w:r w:rsidR="006C27A4">
        <w:t>DDRR</w:t>
      </w:r>
      <w:r>
        <w:t>)</w:t>
      </w:r>
      <w:bookmarkEnd w:id="1656"/>
      <w:bookmarkEnd w:id="1657"/>
    </w:p>
    <w:p w14:paraId="34155358" w14:textId="1A55A718" w:rsidR="00C70F99" w:rsidRPr="00D1363C" w:rsidRDefault="00C70F99" w:rsidP="00C70F99">
      <w:pPr>
        <w:spacing w:before="120" w:line="300" w:lineRule="auto"/>
        <w:rPr>
          <w:szCs w:val="24"/>
        </w:rPr>
      </w:pPr>
      <w:bookmarkStart w:id="1660" w:name="OLE_LINK49"/>
      <w:bookmarkStart w:id="1661" w:name="OLE_LINK50"/>
      <w:r w:rsidRPr="00D1363C">
        <w:rPr>
          <w:szCs w:val="24"/>
        </w:rPr>
        <w:t xml:space="preserve">The following special modeling rules apply to a </w:t>
      </w:r>
      <w:r w:rsidR="006C27A4">
        <w:rPr>
          <w:szCs w:val="24"/>
        </w:rPr>
        <w:t>DDRR</w:t>
      </w:r>
      <w:r w:rsidRPr="00D1363C">
        <w:rPr>
          <w:szCs w:val="24"/>
        </w:rPr>
        <w:t>.</w:t>
      </w:r>
    </w:p>
    <w:p w14:paraId="312B36F4" w14:textId="7CC0B43A" w:rsidR="00C70F99" w:rsidRPr="00D1363C" w:rsidRDefault="00C70F99" w:rsidP="00AE125B">
      <w:pPr>
        <w:numPr>
          <w:ilvl w:val="0"/>
          <w:numId w:val="20"/>
        </w:numPr>
        <w:tabs>
          <w:tab w:val="num" w:pos="720"/>
        </w:tabs>
        <w:spacing w:before="120" w:line="300" w:lineRule="auto"/>
        <w:ind w:left="720" w:hanging="540"/>
        <w:rPr>
          <w:szCs w:val="24"/>
        </w:rPr>
      </w:pPr>
      <w:r w:rsidRPr="00D1363C">
        <w:rPr>
          <w:szCs w:val="24"/>
        </w:rPr>
        <w:t xml:space="preserve">A </w:t>
      </w:r>
      <w:r w:rsidR="006C27A4">
        <w:rPr>
          <w:szCs w:val="24"/>
        </w:rPr>
        <w:t>DDRR</w:t>
      </w:r>
      <w:r w:rsidRPr="00D1363C">
        <w:rPr>
          <w:szCs w:val="24"/>
        </w:rPr>
        <w:t xml:space="preserve"> is a special type of Resource created to model demand reduction associated with controllable load </w:t>
      </w:r>
      <w:r w:rsidRPr="00D1363C" w:rsidDel="0046151A">
        <w:rPr>
          <w:szCs w:val="24"/>
        </w:rPr>
        <w:t>and/or</w:t>
      </w:r>
      <w:r w:rsidRPr="00D1363C" w:rsidDel="000700BE">
        <w:rPr>
          <w:szCs w:val="24"/>
        </w:rPr>
        <w:t xml:space="preserve"> a</w:t>
      </w:r>
      <w:r w:rsidRPr="00D1363C">
        <w:rPr>
          <w:szCs w:val="24"/>
        </w:rPr>
        <w:t xml:space="preserve"> </w:t>
      </w:r>
      <w:r w:rsidR="000700BE">
        <w:rPr>
          <w:szCs w:val="24"/>
        </w:rPr>
        <w:t>B</w:t>
      </w:r>
      <w:r w:rsidRPr="00D1363C">
        <w:rPr>
          <w:szCs w:val="24"/>
        </w:rPr>
        <w:t>ehind-</w:t>
      </w:r>
      <w:r w:rsidR="000700BE">
        <w:rPr>
          <w:szCs w:val="24"/>
        </w:rPr>
        <w:t>T</w:t>
      </w:r>
      <w:r w:rsidRPr="00D1363C">
        <w:rPr>
          <w:szCs w:val="24"/>
        </w:rPr>
        <w:t>he-</w:t>
      </w:r>
      <w:r w:rsidR="000700BE">
        <w:rPr>
          <w:szCs w:val="24"/>
        </w:rPr>
        <w:t>M</w:t>
      </w:r>
      <w:r w:rsidRPr="00D1363C">
        <w:rPr>
          <w:szCs w:val="24"/>
        </w:rPr>
        <w:t xml:space="preserve">eter </w:t>
      </w:r>
      <w:r w:rsidR="000700BE">
        <w:rPr>
          <w:szCs w:val="24"/>
        </w:rPr>
        <w:t>G</w:t>
      </w:r>
      <w:r w:rsidRPr="00D1363C">
        <w:rPr>
          <w:szCs w:val="24"/>
        </w:rPr>
        <w:t>ener</w:t>
      </w:r>
      <w:r w:rsidR="000700BE">
        <w:rPr>
          <w:szCs w:val="24"/>
        </w:rPr>
        <w:t>ation</w:t>
      </w:r>
      <w:r w:rsidRPr="00D1363C">
        <w:rPr>
          <w:szCs w:val="24"/>
        </w:rPr>
        <w:t xml:space="preserve"> that is dispatchable on a 5-minute basis;</w:t>
      </w:r>
    </w:p>
    <w:p w14:paraId="61E7FC44" w14:textId="0D5B22D1" w:rsidR="00C70F99" w:rsidRPr="00D1363C" w:rsidRDefault="00C70F99" w:rsidP="00AE125B">
      <w:pPr>
        <w:numPr>
          <w:ilvl w:val="0"/>
          <w:numId w:val="20"/>
        </w:numPr>
        <w:tabs>
          <w:tab w:val="num" w:pos="720"/>
        </w:tabs>
        <w:spacing w:line="300" w:lineRule="auto"/>
        <w:ind w:left="720" w:hanging="540"/>
        <w:rPr>
          <w:szCs w:val="24"/>
        </w:rPr>
      </w:pPr>
      <w:r w:rsidRPr="00D1363C">
        <w:rPr>
          <w:szCs w:val="24"/>
        </w:rPr>
        <w:t xml:space="preserve">A </w:t>
      </w:r>
      <w:r w:rsidR="006C27A4">
        <w:rPr>
          <w:szCs w:val="24"/>
        </w:rPr>
        <w:t>DDRR</w:t>
      </w:r>
      <w:r w:rsidRPr="00D1363C">
        <w:rPr>
          <w:szCs w:val="24"/>
        </w:rPr>
        <w:t xml:space="preserve"> is modeled in the Commercial Model the same as any other Resource with a defined Settlement Location and associated P</w:t>
      </w:r>
      <w:r w:rsidR="000700BE">
        <w:rPr>
          <w:szCs w:val="24"/>
        </w:rPr>
        <w:t>n</w:t>
      </w:r>
      <w:r w:rsidRPr="00D1363C">
        <w:rPr>
          <w:szCs w:val="24"/>
        </w:rPr>
        <w:t>ode or AP</w:t>
      </w:r>
      <w:r w:rsidR="000700BE">
        <w:rPr>
          <w:szCs w:val="24"/>
        </w:rPr>
        <w:t>n</w:t>
      </w:r>
      <w:r w:rsidRPr="00D1363C">
        <w:rPr>
          <w:szCs w:val="24"/>
        </w:rPr>
        <w:t>ode that corresponds to the associated Demand Response Load P</w:t>
      </w:r>
      <w:r w:rsidR="000700BE">
        <w:rPr>
          <w:szCs w:val="24"/>
        </w:rPr>
        <w:t>n</w:t>
      </w:r>
      <w:r w:rsidRPr="00D1363C">
        <w:rPr>
          <w:szCs w:val="24"/>
        </w:rPr>
        <w:t>ode or AP</w:t>
      </w:r>
      <w:r w:rsidR="000700BE">
        <w:rPr>
          <w:szCs w:val="24"/>
        </w:rPr>
        <w:t>n</w:t>
      </w:r>
      <w:r w:rsidRPr="00D1363C">
        <w:rPr>
          <w:szCs w:val="24"/>
        </w:rPr>
        <w:t>ode definition;</w:t>
      </w:r>
    </w:p>
    <w:p w14:paraId="1BC59D70" w14:textId="7C53664B" w:rsidR="00C70F99" w:rsidRPr="00D1363C" w:rsidRDefault="00C70F99" w:rsidP="00AE125B">
      <w:pPr>
        <w:numPr>
          <w:ilvl w:val="0"/>
          <w:numId w:val="20"/>
        </w:numPr>
        <w:tabs>
          <w:tab w:val="num" w:pos="720"/>
        </w:tabs>
        <w:spacing w:before="120" w:line="300" w:lineRule="auto"/>
        <w:ind w:left="720" w:hanging="540"/>
        <w:rPr>
          <w:szCs w:val="24"/>
        </w:rPr>
      </w:pPr>
      <w:r w:rsidRPr="00D1363C">
        <w:rPr>
          <w:szCs w:val="24"/>
        </w:rPr>
        <w:t xml:space="preserve">A </w:t>
      </w:r>
      <w:r w:rsidR="006C27A4">
        <w:rPr>
          <w:szCs w:val="24"/>
        </w:rPr>
        <w:t>DDRR</w:t>
      </w:r>
      <w:r w:rsidRPr="00D1363C">
        <w:rPr>
          <w:szCs w:val="24"/>
        </w:rPr>
        <w:t xml:space="preserve"> is also included in the Market Operator Network Model as a generator; </w:t>
      </w:r>
    </w:p>
    <w:p w14:paraId="07359846" w14:textId="26883832" w:rsidR="00C70F99" w:rsidRPr="00D1363C" w:rsidRDefault="00C70F99" w:rsidP="00AE125B">
      <w:pPr>
        <w:numPr>
          <w:ilvl w:val="0"/>
          <w:numId w:val="20"/>
        </w:numPr>
        <w:tabs>
          <w:tab w:val="num" w:pos="720"/>
        </w:tabs>
        <w:spacing w:before="120" w:line="300" w:lineRule="auto"/>
        <w:ind w:left="720" w:hanging="540"/>
        <w:rPr>
          <w:szCs w:val="24"/>
        </w:rPr>
      </w:pPr>
      <w:r w:rsidRPr="00D1363C">
        <w:rPr>
          <w:szCs w:val="24"/>
        </w:rPr>
        <w:t xml:space="preserve">A </w:t>
      </w:r>
      <w:r w:rsidR="006C27A4">
        <w:rPr>
          <w:szCs w:val="24"/>
        </w:rPr>
        <w:t>DDRR</w:t>
      </w:r>
      <w:r w:rsidRPr="00D1363C">
        <w:rPr>
          <w:szCs w:val="24"/>
        </w:rPr>
        <w:t xml:space="preserve"> must have a corresponding Demand Response Load (DRL); </w:t>
      </w:r>
    </w:p>
    <w:p w14:paraId="2E1F6CF4" w14:textId="52E08DD6" w:rsidR="00C70F99" w:rsidRPr="00D1363C" w:rsidRDefault="00C70F99" w:rsidP="00AE125B">
      <w:pPr>
        <w:numPr>
          <w:ilvl w:val="0"/>
          <w:numId w:val="20"/>
        </w:numPr>
        <w:tabs>
          <w:tab w:val="num" w:pos="720"/>
        </w:tabs>
        <w:spacing w:before="120" w:line="300" w:lineRule="auto"/>
        <w:ind w:left="720" w:hanging="540"/>
        <w:rPr>
          <w:szCs w:val="24"/>
        </w:rPr>
      </w:pPr>
      <w:r w:rsidRPr="00D1363C">
        <w:rPr>
          <w:szCs w:val="24"/>
        </w:rPr>
        <w:t xml:space="preserve">The Demand Response Load for a </w:t>
      </w:r>
      <w:r w:rsidR="006C27A4">
        <w:rPr>
          <w:szCs w:val="24"/>
        </w:rPr>
        <w:t>DDRR</w:t>
      </w:r>
      <w:r w:rsidRPr="00D1363C">
        <w:rPr>
          <w:szCs w:val="24"/>
        </w:rPr>
        <w:t xml:space="preserve"> must have telemetering installed;</w:t>
      </w:r>
    </w:p>
    <w:p w14:paraId="06A396F9" w14:textId="77777777" w:rsidR="00C70F99" w:rsidRPr="00D1363C" w:rsidRDefault="00C70F99" w:rsidP="00AE125B">
      <w:pPr>
        <w:numPr>
          <w:ilvl w:val="0"/>
          <w:numId w:val="20"/>
        </w:numPr>
        <w:tabs>
          <w:tab w:val="num" w:pos="720"/>
        </w:tabs>
        <w:spacing w:before="120" w:after="0" w:line="300" w:lineRule="auto"/>
        <w:ind w:left="720" w:hanging="540"/>
        <w:rPr>
          <w:szCs w:val="24"/>
        </w:rPr>
      </w:pPr>
      <w:r w:rsidRPr="00D1363C">
        <w:rPr>
          <w:szCs w:val="24"/>
        </w:rPr>
        <w:t>The Market Participant must submit the real-time value of the Demand Response Load to the Market Operator via SCADA on a 10-second basis;</w:t>
      </w:r>
    </w:p>
    <w:p w14:paraId="4CE38920" w14:textId="6846CD06" w:rsidR="00C70F99" w:rsidRPr="00D1363C" w:rsidRDefault="0046151A" w:rsidP="00AE125B">
      <w:pPr>
        <w:numPr>
          <w:ilvl w:val="0"/>
          <w:numId w:val="20"/>
        </w:numPr>
        <w:tabs>
          <w:tab w:val="num" w:pos="720"/>
        </w:tabs>
        <w:spacing w:before="120" w:line="300" w:lineRule="auto"/>
        <w:ind w:left="720" w:hanging="540"/>
        <w:rPr>
          <w:szCs w:val="24"/>
        </w:rPr>
      </w:pPr>
      <w:r>
        <w:rPr>
          <w:szCs w:val="24"/>
        </w:rPr>
        <w:t>The Market Participant must submit Energy Offer Curves for a</w:t>
      </w:r>
      <w:r w:rsidR="00C70F99" w:rsidRPr="00D1363C">
        <w:rPr>
          <w:szCs w:val="24"/>
        </w:rPr>
        <w:t xml:space="preserve"> </w:t>
      </w:r>
      <w:r w:rsidR="000700BE">
        <w:rPr>
          <w:szCs w:val="24"/>
        </w:rPr>
        <w:t>DDRR</w:t>
      </w:r>
      <w:r w:rsidR="00C70F99" w:rsidRPr="00D1363C">
        <w:rPr>
          <w:szCs w:val="24"/>
        </w:rPr>
        <w:t xml:space="preserve"> based on the criteria in Section</w:t>
      </w:r>
      <w:r w:rsidR="004B6AF6">
        <w:rPr>
          <w:szCs w:val="24"/>
        </w:rPr>
        <w:t xml:space="preserve"> </w:t>
      </w:r>
      <w:r w:rsidR="003C58CB">
        <w:rPr>
          <w:szCs w:val="24"/>
        </w:rPr>
        <w:fldChar w:fldCharType="begin"/>
      </w:r>
      <w:r w:rsidR="003C58CB">
        <w:rPr>
          <w:szCs w:val="24"/>
        </w:rPr>
        <w:instrText xml:space="preserve"> REF _Ref323550152 \r \h </w:instrText>
      </w:r>
      <w:r w:rsidR="003C58CB">
        <w:rPr>
          <w:szCs w:val="24"/>
        </w:rPr>
      </w:r>
      <w:r w:rsidR="003C58CB">
        <w:rPr>
          <w:szCs w:val="24"/>
        </w:rPr>
        <w:fldChar w:fldCharType="separate"/>
      </w:r>
      <w:r w:rsidR="003C58CB">
        <w:rPr>
          <w:szCs w:val="24"/>
        </w:rPr>
        <w:t>11.2.2.4</w:t>
      </w:r>
      <w:r w:rsidR="003C58CB">
        <w:rPr>
          <w:szCs w:val="24"/>
        </w:rPr>
        <w:fldChar w:fldCharType="end"/>
      </w:r>
      <w:r w:rsidR="00C70F99" w:rsidRPr="00D1363C">
        <w:rPr>
          <w:szCs w:val="24"/>
        </w:rPr>
        <w:fldChar w:fldCharType="begin"/>
      </w:r>
      <w:r w:rsidR="00C70F99" w:rsidRPr="00D1363C">
        <w:rPr>
          <w:szCs w:val="24"/>
        </w:rPr>
        <w:instrText xml:space="preserve"> REF _Ref323550152 \r \h </w:instrText>
      </w:r>
      <w:r w:rsidR="00C70F99" w:rsidRPr="00D1363C">
        <w:rPr>
          <w:szCs w:val="24"/>
        </w:rPr>
      </w:r>
      <w:r w:rsidR="00C70F99" w:rsidRPr="00D1363C">
        <w:rPr>
          <w:szCs w:val="24"/>
        </w:rPr>
        <w:fldChar w:fldCharType="separate"/>
      </w:r>
      <w:r w:rsidR="00C70F99" w:rsidRPr="00D1363C">
        <w:rPr>
          <w:szCs w:val="24"/>
        </w:rPr>
        <w:fldChar w:fldCharType="end"/>
      </w:r>
      <w:r w:rsidR="00C70F99" w:rsidRPr="00D1363C">
        <w:rPr>
          <w:szCs w:val="24"/>
        </w:rPr>
        <w:t>.  For purposes of these Resources, the short-run marginal cost may equal opportunity cost;</w:t>
      </w:r>
    </w:p>
    <w:p w14:paraId="50107315" w14:textId="1342720F" w:rsidR="00C70F99" w:rsidRPr="00D1363C" w:rsidRDefault="00C70F99" w:rsidP="00AE125B">
      <w:pPr>
        <w:numPr>
          <w:ilvl w:val="0"/>
          <w:numId w:val="20"/>
        </w:numPr>
        <w:tabs>
          <w:tab w:val="num" w:pos="720"/>
        </w:tabs>
        <w:spacing w:before="120" w:line="300" w:lineRule="auto"/>
        <w:ind w:left="720" w:hanging="540"/>
        <w:rPr>
          <w:szCs w:val="24"/>
        </w:rPr>
      </w:pPr>
      <w:r w:rsidRPr="00D1363C">
        <w:rPr>
          <w:szCs w:val="24"/>
        </w:rPr>
        <w:t xml:space="preserve">A </w:t>
      </w:r>
      <w:r w:rsidR="006C27A4">
        <w:rPr>
          <w:szCs w:val="24"/>
        </w:rPr>
        <w:t>DDRR</w:t>
      </w:r>
      <w:r w:rsidRPr="00D1363C">
        <w:rPr>
          <w:szCs w:val="24"/>
        </w:rPr>
        <w:t xml:space="preserve"> may select one of two options for reporting the actual </w:t>
      </w:r>
      <w:r w:rsidR="006C27A4">
        <w:rPr>
          <w:szCs w:val="24"/>
        </w:rPr>
        <w:t>DDRR</w:t>
      </w:r>
      <w:r w:rsidRPr="00D1363C">
        <w:rPr>
          <w:szCs w:val="24"/>
        </w:rPr>
        <w:t xml:space="preserve"> output: </w:t>
      </w:r>
    </w:p>
    <w:p w14:paraId="221BBA08" w14:textId="301D7598" w:rsidR="00C70F99" w:rsidRPr="00D1363C" w:rsidRDefault="00C70F99" w:rsidP="00C35DA0">
      <w:pPr>
        <w:numPr>
          <w:ilvl w:val="0"/>
          <w:numId w:val="21"/>
        </w:numPr>
        <w:spacing w:before="120" w:line="300" w:lineRule="auto"/>
        <w:ind w:hanging="540"/>
        <w:rPr>
          <w:szCs w:val="24"/>
        </w:rPr>
      </w:pPr>
      <w:r w:rsidRPr="00D1363C">
        <w:rPr>
          <w:b/>
          <w:szCs w:val="24"/>
        </w:rPr>
        <w:t>Submitted Resource Production Option</w:t>
      </w:r>
      <w:r w:rsidRPr="00D1363C">
        <w:rPr>
          <w:szCs w:val="24"/>
        </w:rPr>
        <w:t xml:space="preserve"> - For </w:t>
      </w:r>
      <w:r w:rsidR="006C27A4">
        <w:rPr>
          <w:szCs w:val="24"/>
        </w:rPr>
        <w:t>DDRR</w:t>
      </w:r>
      <w:r w:rsidRPr="00D1363C">
        <w:rPr>
          <w:szCs w:val="24"/>
        </w:rPr>
        <w:t xml:space="preserve">s that are utilizing strictly Behind-The-Meter Generation to provide the response or </w:t>
      </w:r>
      <w:r w:rsidR="006C27A4">
        <w:rPr>
          <w:szCs w:val="24"/>
        </w:rPr>
        <w:t>DDRR</w:t>
      </w:r>
      <w:r w:rsidRPr="00D1363C">
        <w:rPr>
          <w:szCs w:val="24"/>
        </w:rPr>
        <w:t xml:space="preserve">s where the retail provider is offering the Resource under an agreed upon retail tariff provision that includes near real-time measurement and verification terms, the amount of the response provided may be sent directly to the Market Operator via ICCP and will represent the real-time Resource production.  </w:t>
      </w:r>
    </w:p>
    <w:p w14:paraId="1CBC90BC" w14:textId="77777777" w:rsidR="00C70F99" w:rsidRPr="00D1363C" w:rsidRDefault="00C70F99" w:rsidP="00C35DA0">
      <w:pPr>
        <w:numPr>
          <w:ilvl w:val="0"/>
          <w:numId w:val="7"/>
        </w:numPr>
        <w:tabs>
          <w:tab w:val="clear" w:pos="360"/>
          <w:tab w:val="num" w:pos="2160"/>
        </w:tabs>
        <w:spacing w:before="120" w:line="300" w:lineRule="auto"/>
        <w:ind w:left="2160" w:hanging="540"/>
        <w:rPr>
          <w:szCs w:val="24"/>
        </w:rPr>
      </w:pPr>
      <w:r w:rsidRPr="00D1363C">
        <w:rPr>
          <w:szCs w:val="24"/>
        </w:rPr>
        <w:t xml:space="preserve">The Market Participant must determine the real-time Resource production and submit the value to the Market Operator via SCADA on a 10-second basis. </w:t>
      </w:r>
    </w:p>
    <w:p w14:paraId="09094F3F" w14:textId="753515EB" w:rsidR="00C70F99" w:rsidRPr="00D1363C" w:rsidRDefault="00C70F99" w:rsidP="00C35DA0">
      <w:pPr>
        <w:numPr>
          <w:ilvl w:val="0"/>
          <w:numId w:val="7"/>
        </w:numPr>
        <w:tabs>
          <w:tab w:val="clear" w:pos="360"/>
          <w:tab w:val="num" w:pos="2160"/>
        </w:tabs>
        <w:spacing w:before="120" w:line="300" w:lineRule="auto"/>
        <w:ind w:left="2160" w:hanging="540"/>
        <w:rPr>
          <w:szCs w:val="24"/>
        </w:rPr>
      </w:pPr>
      <w:r w:rsidRPr="00D1363C">
        <w:rPr>
          <w:szCs w:val="24"/>
        </w:rPr>
        <w:t xml:space="preserve">After-the-fact integrated meter values will be submitted directly by the Meter Agent for the </w:t>
      </w:r>
      <w:r w:rsidR="006C27A4">
        <w:rPr>
          <w:szCs w:val="24"/>
        </w:rPr>
        <w:t>DDRR</w:t>
      </w:r>
      <w:r w:rsidRPr="00D1363C">
        <w:rPr>
          <w:szCs w:val="24"/>
        </w:rPr>
        <w:t xml:space="preserve">. </w:t>
      </w:r>
    </w:p>
    <w:p w14:paraId="4531DA49" w14:textId="77777777" w:rsidR="00C70F99" w:rsidRPr="00D1363C" w:rsidRDefault="00C70F99" w:rsidP="00C35DA0">
      <w:pPr>
        <w:numPr>
          <w:ilvl w:val="0"/>
          <w:numId w:val="21"/>
        </w:numPr>
        <w:spacing w:before="120" w:line="300" w:lineRule="auto"/>
        <w:ind w:hanging="540"/>
        <w:rPr>
          <w:szCs w:val="24"/>
        </w:rPr>
      </w:pPr>
      <w:r w:rsidRPr="00D1363C">
        <w:rPr>
          <w:b/>
          <w:szCs w:val="24"/>
        </w:rPr>
        <w:t xml:space="preserve">Calculated Resource Production Option </w:t>
      </w:r>
      <w:r w:rsidRPr="00D1363C">
        <w:rPr>
          <w:szCs w:val="24"/>
        </w:rPr>
        <w:t xml:space="preserve">– The Market Operator will calculate the real-time Resource output for operational dispatch and actual Resource output for settlements.  </w:t>
      </w:r>
    </w:p>
    <w:p w14:paraId="248FF76A" w14:textId="09D42888" w:rsidR="00C70F99" w:rsidRPr="00D1363C" w:rsidRDefault="00C70F99" w:rsidP="00C35DA0">
      <w:pPr>
        <w:numPr>
          <w:ilvl w:val="0"/>
          <w:numId w:val="6"/>
        </w:numPr>
        <w:tabs>
          <w:tab w:val="left" w:pos="360"/>
          <w:tab w:val="num" w:pos="2160"/>
        </w:tabs>
        <w:spacing w:before="120" w:line="300" w:lineRule="auto"/>
        <w:ind w:left="2160" w:hanging="540"/>
        <w:rPr>
          <w:szCs w:val="24"/>
        </w:rPr>
      </w:pPr>
      <w:r w:rsidRPr="00D1363C">
        <w:rPr>
          <w:szCs w:val="24"/>
        </w:rPr>
        <w:t xml:space="preserve">Market Participants must submit a baseline hourly load profile for the DRL prior to the hour for which the </w:t>
      </w:r>
      <w:r w:rsidR="006C27A4">
        <w:rPr>
          <w:szCs w:val="24"/>
        </w:rPr>
        <w:t>DDRR</w:t>
      </w:r>
      <w:r w:rsidRPr="00D1363C">
        <w:rPr>
          <w:szCs w:val="24"/>
        </w:rPr>
        <w:t xml:space="preserve"> has been committed that represents the forecast consumption for the hour assuming </w:t>
      </w:r>
      <w:r w:rsidR="004B7819">
        <w:rPr>
          <w:szCs w:val="24"/>
        </w:rPr>
        <w:t>n</w:t>
      </w:r>
      <w:r w:rsidRPr="00D1363C">
        <w:rPr>
          <w:szCs w:val="24"/>
        </w:rPr>
        <w:t>o</w:t>
      </w:r>
      <w:r w:rsidR="004B7819">
        <w:rPr>
          <w:szCs w:val="24"/>
        </w:rPr>
        <w:t xml:space="preserve"> l</w:t>
      </w:r>
      <w:r w:rsidRPr="00D1363C">
        <w:rPr>
          <w:szCs w:val="24"/>
        </w:rPr>
        <w:t xml:space="preserve">oad reduction.  </w:t>
      </w:r>
      <w:r w:rsidR="00877D7F">
        <w:rPr>
          <w:szCs w:val="24"/>
        </w:rPr>
        <w:t>Market Participants must calculate and submit the</w:t>
      </w:r>
      <w:r w:rsidR="00877D7F" w:rsidRPr="00D1363C">
        <w:rPr>
          <w:szCs w:val="24"/>
        </w:rPr>
        <w:t xml:space="preserve"> </w:t>
      </w:r>
      <w:r w:rsidRPr="00D1363C">
        <w:rPr>
          <w:szCs w:val="24"/>
        </w:rPr>
        <w:t>hourly baseline in accordance with Attachment A to the Markets+ Tariff.  In addition, the Market Operator may adjust the submitted hourly baseline as described in Attachment A to the Markets+ Tariff.</w:t>
      </w:r>
    </w:p>
    <w:p w14:paraId="42136FA1" w14:textId="2B239ADC" w:rsidR="00C70F99" w:rsidRPr="00D1363C" w:rsidRDefault="00C70F99" w:rsidP="00C35DA0">
      <w:pPr>
        <w:numPr>
          <w:ilvl w:val="0"/>
          <w:numId w:val="6"/>
        </w:numPr>
        <w:tabs>
          <w:tab w:val="left" w:pos="360"/>
          <w:tab w:val="num" w:pos="2160"/>
        </w:tabs>
        <w:spacing w:before="120" w:line="300" w:lineRule="auto"/>
        <w:ind w:left="2160" w:hanging="540"/>
        <w:rPr>
          <w:szCs w:val="24"/>
        </w:rPr>
      </w:pPr>
      <w:r w:rsidRPr="00D1363C">
        <w:rPr>
          <w:szCs w:val="24"/>
        </w:rPr>
        <w:t xml:space="preserve">At the start of the Operating Hour for which a </w:t>
      </w:r>
      <w:r w:rsidR="006C27A4">
        <w:rPr>
          <w:szCs w:val="24"/>
        </w:rPr>
        <w:t>DDRR</w:t>
      </w:r>
      <w:r w:rsidRPr="00D1363C">
        <w:rPr>
          <w:szCs w:val="24"/>
        </w:rPr>
        <w:t xml:space="preserve"> is committed, the Market Operator will take a snapshot of the SCADA demand MW consumption of the Demand Response Load. </w:t>
      </w:r>
    </w:p>
    <w:p w14:paraId="7EAE5052" w14:textId="77777777" w:rsidR="00C70F99" w:rsidRPr="00D1363C" w:rsidRDefault="00C70F99" w:rsidP="00C35DA0">
      <w:pPr>
        <w:numPr>
          <w:ilvl w:val="0"/>
          <w:numId w:val="6"/>
        </w:numPr>
        <w:tabs>
          <w:tab w:val="left" w:pos="360"/>
          <w:tab w:val="num" w:pos="2160"/>
        </w:tabs>
        <w:spacing w:before="120" w:line="300" w:lineRule="auto"/>
        <w:ind w:left="2160" w:hanging="540"/>
        <w:rPr>
          <w:szCs w:val="24"/>
        </w:rPr>
      </w:pPr>
      <w:r w:rsidRPr="00D1363C">
        <w:rPr>
          <w:szCs w:val="24"/>
        </w:rPr>
        <w:t>The Real-Time Resource output for operational dispatch in the Dispatch Interval will be calculated as the maximum of zero (0) or the difference between (1) and (2) below.  If the baseline hourly load profile of the DRL was not submitted, the snapshot of the DRL SCADA will be used for the value in (1).</w:t>
      </w:r>
    </w:p>
    <w:p w14:paraId="004C5C05" w14:textId="77777777" w:rsidR="00C70F99" w:rsidRPr="00D1363C" w:rsidRDefault="00C70F99" w:rsidP="00C70F99">
      <w:pPr>
        <w:spacing w:before="120" w:line="300" w:lineRule="auto"/>
        <w:ind w:left="2880" w:hanging="720"/>
        <w:rPr>
          <w:szCs w:val="24"/>
        </w:rPr>
      </w:pPr>
      <w:r w:rsidRPr="00D1363C">
        <w:rPr>
          <w:szCs w:val="24"/>
        </w:rPr>
        <w:t xml:space="preserve">(1) </w:t>
      </w:r>
      <w:r w:rsidRPr="00D1363C">
        <w:rPr>
          <w:szCs w:val="24"/>
        </w:rPr>
        <w:tab/>
        <w:t xml:space="preserve">The minimum of the baseline hourly load profile of the DRL submitted under (i) above or the snapshot of the DRL SCADA demand MW consumption described in (ii) above. </w:t>
      </w:r>
    </w:p>
    <w:p w14:paraId="0C72D39B" w14:textId="77777777" w:rsidR="00C70F99" w:rsidRPr="00D1363C" w:rsidRDefault="00C70F99" w:rsidP="00C70F99">
      <w:pPr>
        <w:spacing w:before="120" w:line="300" w:lineRule="auto"/>
        <w:ind w:left="2880" w:hanging="720"/>
        <w:rPr>
          <w:szCs w:val="24"/>
        </w:rPr>
      </w:pPr>
      <w:r w:rsidRPr="00D1363C">
        <w:rPr>
          <w:szCs w:val="24"/>
        </w:rPr>
        <w:t xml:space="preserve">(2) </w:t>
      </w:r>
      <w:r w:rsidRPr="00D1363C">
        <w:rPr>
          <w:szCs w:val="24"/>
        </w:rPr>
        <w:tab/>
        <w:t>The Real-Time SCADA value for the DRL.</w:t>
      </w:r>
    </w:p>
    <w:p w14:paraId="2C2CA619" w14:textId="54CE6945" w:rsidR="00C70F99" w:rsidRPr="00D1363C" w:rsidRDefault="00C70F99" w:rsidP="00C35DA0">
      <w:pPr>
        <w:numPr>
          <w:ilvl w:val="0"/>
          <w:numId w:val="6"/>
        </w:numPr>
        <w:tabs>
          <w:tab w:val="left" w:pos="360"/>
          <w:tab w:val="num" w:pos="2160"/>
        </w:tabs>
        <w:spacing w:before="120" w:line="300" w:lineRule="auto"/>
        <w:ind w:left="2160" w:hanging="540"/>
        <w:rPr>
          <w:szCs w:val="24"/>
        </w:rPr>
      </w:pPr>
      <w:r w:rsidRPr="00D1363C">
        <w:rPr>
          <w:szCs w:val="24"/>
        </w:rPr>
        <w:t xml:space="preserve">The actual Resource output for use in settlements in the Dispatch Interval will be calculated as described </w:t>
      </w:r>
      <w:r w:rsidR="00D10D99">
        <w:rPr>
          <w:szCs w:val="24"/>
        </w:rPr>
        <w:t xml:space="preserve">in the Markets+ Settlements </w:t>
      </w:r>
      <w:r w:rsidR="00BA0C4B">
        <w:rPr>
          <w:szCs w:val="24"/>
        </w:rPr>
        <w:t xml:space="preserve">Calculation </w:t>
      </w:r>
      <w:r w:rsidR="00D10D99">
        <w:rPr>
          <w:szCs w:val="24"/>
        </w:rPr>
        <w:t>Guide</w:t>
      </w:r>
      <w:r w:rsidRPr="00D1363C">
        <w:rPr>
          <w:szCs w:val="24"/>
        </w:rPr>
        <w:t>.</w:t>
      </w:r>
    </w:p>
    <w:p w14:paraId="47ECC532" w14:textId="555D1BC2" w:rsidR="00C70F99" w:rsidRPr="00D1363C" w:rsidRDefault="00C70F99" w:rsidP="00C70F99">
      <w:pPr>
        <w:tabs>
          <w:tab w:val="num" w:pos="2160"/>
        </w:tabs>
        <w:spacing w:before="120" w:line="300" w:lineRule="auto"/>
        <w:ind w:left="2160"/>
        <w:rPr>
          <w:szCs w:val="24"/>
        </w:rPr>
      </w:pPr>
      <w:r w:rsidRPr="00D1363C">
        <w:rPr>
          <w:szCs w:val="24"/>
        </w:rPr>
        <w:t>Exhibit 4-</w:t>
      </w:r>
      <w:r w:rsidR="00A013FA">
        <w:rPr>
          <w:szCs w:val="24"/>
        </w:rPr>
        <w:t>7</w:t>
      </w:r>
      <w:r w:rsidRPr="00D1363C">
        <w:rPr>
          <w:szCs w:val="24"/>
        </w:rPr>
        <w:t xml:space="preserve"> shows how a </w:t>
      </w:r>
      <w:r w:rsidR="006C27A4">
        <w:rPr>
          <w:szCs w:val="24"/>
        </w:rPr>
        <w:t>DDRR</w:t>
      </w:r>
      <w:r w:rsidRPr="00D1363C">
        <w:rPr>
          <w:szCs w:val="24"/>
        </w:rPr>
        <w:t>’s Real-Time output for operational dispatch would be calculated within an Operating Hour using the Calculated Resource Production Option.</w:t>
      </w:r>
    </w:p>
    <w:p w14:paraId="6155DBA0" w14:textId="6FFEB625" w:rsidR="00C70F99" w:rsidRPr="00D1363C" w:rsidRDefault="00C70F99" w:rsidP="00C70F99">
      <w:pPr>
        <w:spacing w:after="0" w:line="300" w:lineRule="auto"/>
        <w:jc w:val="center"/>
        <w:rPr>
          <w:b/>
          <w:szCs w:val="24"/>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7</w:t>
      </w:r>
      <w:r w:rsidRPr="00D1363C">
        <w:t xml:space="preserve">:  </w:t>
      </w:r>
      <w:r w:rsidRPr="00D1363C">
        <w:rPr>
          <w:b/>
          <w:szCs w:val="24"/>
        </w:rPr>
        <w:t>Calculated DDR</w:t>
      </w:r>
      <w:r w:rsidR="004B7819">
        <w:rPr>
          <w:b/>
          <w:szCs w:val="24"/>
        </w:rPr>
        <w:t>R</w:t>
      </w:r>
      <w:r w:rsidRPr="00D1363C">
        <w:rPr>
          <w:b/>
          <w:szCs w:val="24"/>
        </w:rPr>
        <w:t xml:space="preserve"> Output</w:t>
      </w:r>
    </w:p>
    <w:p w14:paraId="35D78428" w14:textId="77777777" w:rsidR="00C70F99" w:rsidRPr="00D1363C" w:rsidRDefault="00C70F99" w:rsidP="00C70F99">
      <w:pPr>
        <w:spacing w:after="0" w:line="300" w:lineRule="auto"/>
        <w:jc w:val="center"/>
        <w:rPr>
          <w:szCs w:val="24"/>
        </w:rPr>
      </w:pPr>
    </w:p>
    <w:bookmarkEnd w:id="1660"/>
    <w:bookmarkEnd w:id="1661"/>
    <w:tbl>
      <w:tblPr>
        <w:tblW w:w="6048" w:type="dxa"/>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950"/>
        <w:gridCol w:w="1331"/>
        <w:gridCol w:w="1440"/>
        <w:gridCol w:w="1440"/>
      </w:tblGrid>
      <w:tr w:rsidR="00C70F99" w:rsidRPr="00D1363C" w14:paraId="0E6E5CF2" w14:textId="77777777" w:rsidTr="00D14054">
        <w:trPr>
          <w:trHeight w:val="986"/>
        </w:trPr>
        <w:tc>
          <w:tcPr>
            <w:tcW w:w="887" w:type="dxa"/>
            <w:shd w:val="clear" w:color="auto" w:fill="D9D9D9"/>
          </w:tcPr>
          <w:p w14:paraId="27F5D61D" w14:textId="77777777" w:rsidR="00C70F99" w:rsidRPr="00D1363C" w:rsidRDefault="00C70F99" w:rsidP="00D14054">
            <w:pPr>
              <w:spacing w:after="0" w:line="300" w:lineRule="auto"/>
              <w:jc w:val="center"/>
              <w:rPr>
                <w:sz w:val="20"/>
              </w:rPr>
            </w:pPr>
            <w:r w:rsidRPr="00D1363C">
              <w:rPr>
                <w:szCs w:val="24"/>
              </w:rPr>
              <w:br w:type="page"/>
            </w:r>
            <w:r w:rsidRPr="00D1363C">
              <w:rPr>
                <w:szCs w:val="24"/>
              </w:rPr>
              <w:br w:type="page"/>
            </w:r>
            <w:r w:rsidRPr="00D1363C">
              <w:rPr>
                <w:sz w:val="20"/>
              </w:rPr>
              <w:t>Interval</w:t>
            </w:r>
          </w:p>
        </w:tc>
        <w:tc>
          <w:tcPr>
            <w:tcW w:w="950" w:type="dxa"/>
            <w:shd w:val="clear" w:color="auto" w:fill="D9D9D9"/>
          </w:tcPr>
          <w:p w14:paraId="1D23D960" w14:textId="77777777" w:rsidR="00C70F99" w:rsidRPr="00D1363C" w:rsidRDefault="00C70F99" w:rsidP="00D14054">
            <w:pPr>
              <w:spacing w:after="0" w:line="300" w:lineRule="auto"/>
              <w:jc w:val="center"/>
              <w:rPr>
                <w:sz w:val="20"/>
              </w:rPr>
            </w:pPr>
            <w:r w:rsidRPr="00D1363C">
              <w:rPr>
                <w:sz w:val="20"/>
              </w:rPr>
              <w:t>Net Tele-metered Value of DRL</w:t>
            </w:r>
          </w:p>
          <w:p w14:paraId="0356EC41" w14:textId="77777777" w:rsidR="00C70F99" w:rsidRPr="00D1363C" w:rsidRDefault="00C70F99" w:rsidP="00D14054">
            <w:pPr>
              <w:spacing w:after="0" w:line="300" w:lineRule="auto"/>
              <w:jc w:val="center"/>
              <w:rPr>
                <w:sz w:val="20"/>
              </w:rPr>
            </w:pPr>
            <w:r w:rsidRPr="00D1363C">
              <w:rPr>
                <w:sz w:val="20"/>
              </w:rPr>
              <w:t>(1)</w:t>
            </w:r>
          </w:p>
        </w:tc>
        <w:tc>
          <w:tcPr>
            <w:tcW w:w="1331" w:type="dxa"/>
            <w:shd w:val="clear" w:color="auto" w:fill="D9D9D9"/>
          </w:tcPr>
          <w:p w14:paraId="38B22BD1" w14:textId="77777777" w:rsidR="00C70F99" w:rsidRPr="00D1363C" w:rsidRDefault="00C70F99" w:rsidP="00D14054">
            <w:pPr>
              <w:spacing w:after="0" w:line="300" w:lineRule="auto"/>
              <w:jc w:val="center"/>
              <w:rPr>
                <w:sz w:val="20"/>
              </w:rPr>
            </w:pPr>
            <w:r w:rsidRPr="00D1363C">
              <w:rPr>
                <w:sz w:val="20"/>
              </w:rPr>
              <w:t>Hourly Load Profile</w:t>
            </w:r>
          </w:p>
          <w:p w14:paraId="2647BF3A" w14:textId="77777777" w:rsidR="00C70F99" w:rsidRPr="00D1363C" w:rsidRDefault="00C70F99" w:rsidP="00D14054">
            <w:pPr>
              <w:spacing w:after="0" w:line="300" w:lineRule="auto"/>
              <w:jc w:val="center"/>
              <w:rPr>
                <w:sz w:val="20"/>
              </w:rPr>
            </w:pPr>
            <w:r w:rsidRPr="00D1363C">
              <w:rPr>
                <w:sz w:val="20"/>
              </w:rPr>
              <w:t>(2)</w:t>
            </w:r>
          </w:p>
        </w:tc>
        <w:tc>
          <w:tcPr>
            <w:tcW w:w="1440" w:type="dxa"/>
            <w:shd w:val="clear" w:color="auto" w:fill="D9D9D9"/>
          </w:tcPr>
          <w:p w14:paraId="297FE6CB" w14:textId="77777777" w:rsidR="00C70F99" w:rsidRPr="00D1363C" w:rsidRDefault="00C70F99" w:rsidP="00D14054">
            <w:pPr>
              <w:spacing w:after="0" w:line="300" w:lineRule="auto"/>
              <w:jc w:val="center"/>
              <w:rPr>
                <w:sz w:val="20"/>
              </w:rPr>
            </w:pPr>
            <w:r w:rsidRPr="00D1363C">
              <w:rPr>
                <w:sz w:val="20"/>
              </w:rPr>
              <w:t>Telemetered Value prior to Deployment</w:t>
            </w:r>
          </w:p>
          <w:p w14:paraId="2AC5C19B" w14:textId="77777777" w:rsidR="00C70F99" w:rsidRPr="00D1363C" w:rsidDel="00630ECE" w:rsidRDefault="00C70F99" w:rsidP="00D14054">
            <w:pPr>
              <w:spacing w:after="0" w:line="300" w:lineRule="auto"/>
              <w:jc w:val="center"/>
              <w:rPr>
                <w:sz w:val="20"/>
              </w:rPr>
            </w:pPr>
            <w:r w:rsidRPr="00D1363C">
              <w:rPr>
                <w:sz w:val="20"/>
              </w:rPr>
              <w:t>(3)</w:t>
            </w:r>
          </w:p>
        </w:tc>
        <w:tc>
          <w:tcPr>
            <w:tcW w:w="1440" w:type="dxa"/>
            <w:shd w:val="clear" w:color="auto" w:fill="D9D9D9"/>
          </w:tcPr>
          <w:p w14:paraId="7FA11233" w14:textId="199E8D06" w:rsidR="00C70F99" w:rsidRPr="00D1363C" w:rsidRDefault="006C27A4" w:rsidP="00D14054">
            <w:pPr>
              <w:spacing w:after="0" w:line="300" w:lineRule="auto"/>
              <w:jc w:val="center"/>
              <w:rPr>
                <w:sz w:val="20"/>
              </w:rPr>
            </w:pPr>
            <w:r>
              <w:rPr>
                <w:sz w:val="20"/>
              </w:rPr>
              <w:t>DDRR</w:t>
            </w:r>
            <w:r w:rsidR="00C70F99" w:rsidRPr="00D1363C">
              <w:rPr>
                <w:sz w:val="20"/>
              </w:rPr>
              <w:t xml:space="preserve"> Production</w:t>
            </w:r>
          </w:p>
          <w:p w14:paraId="614425E3" w14:textId="77777777" w:rsidR="00C70F99" w:rsidRPr="00D1363C" w:rsidRDefault="00C70F99" w:rsidP="00D14054">
            <w:pPr>
              <w:spacing w:after="0" w:line="300" w:lineRule="auto"/>
              <w:jc w:val="center"/>
              <w:rPr>
                <w:sz w:val="20"/>
              </w:rPr>
            </w:pPr>
            <w:r w:rsidRPr="00D1363C">
              <w:rPr>
                <w:sz w:val="20"/>
              </w:rPr>
              <w:t>(4) = Min(2,3) – (1)</w:t>
            </w:r>
          </w:p>
        </w:tc>
      </w:tr>
      <w:tr w:rsidR="00C70F99" w:rsidRPr="00D1363C" w14:paraId="114EC2FA" w14:textId="77777777" w:rsidTr="00D14054">
        <w:trPr>
          <w:trHeight w:val="215"/>
        </w:trPr>
        <w:tc>
          <w:tcPr>
            <w:tcW w:w="887" w:type="dxa"/>
            <w:vAlign w:val="bottom"/>
          </w:tcPr>
          <w:p w14:paraId="3AF05D79" w14:textId="77777777" w:rsidR="00C70F99" w:rsidRPr="00D1363C" w:rsidRDefault="00C70F99" w:rsidP="00D14054">
            <w:pPr>
              <w:spacing w:after="0" w:line="300" w:lineRule="auto"/>
              <w:jc w:val="center"/>
              <w:rPr>
                <w:sz w:val="20"/>
                <w:szCs w:val="24"/>
              </w:rPr>
            </w:pPr>
            <w:r w:rsidRPr="00D1363C">
              <w:rPr>
                <w:sz w:val="20"/>
                <w:szCs w:val="24"/>
              </w:rPr>
              <w:t>1</w:t>
            </w:r>
          </w:p>
        </w:tc>
        <w:tc>
          <w:tcPr>
            <w:tcW w:w="950" w:type="dxa"/>
            <w:vAlign w:val="bottom"/>
          </w:tcPr>
          <w:p w14:paraId="323EAF38" w14:textId="77777777" w:rsidR="00C70F99" w:rsidRPr="00D1363C" w:rsidRDefault="00C70F99" w:rsidP="00D14054">
            <w:pPr>
              <w:spacing w:after="0" w:line="300" w:lineRule="auto"/>
              <w:jc w:val="right"/>
              <w:rPr>
                <w:sz w:val="20"/>
                <w:szCs w:val="24"/>
              </w:rPr>
            </w:pPr>
            <w:r w:rsidRPr="00D1363C">
              <w:rPr>
                <w:sz w:val="20"/>
                <w:szCs w:val="24"/>
              </w:rPr>
              <w:t>38</w:t>
            </w:r>
          </w:p>
        </w:tc>
        <w:tc>
          <w:tcPr>
            <w:tcW w:w="1331" w:type="dxa"/>
            <w:vAlign w:val="bottom"/>
          </w:tcPr>
          <w:p w14:paraId="29D4BD07"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61648C88"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69703930" w14:textId="77777777" w:rsidR="00C70F99" w:rsidRPr="00D1363C" w:rsidRDefault="00C70F99" w:rsidP="00D14054">
            <w:pPr>
              <w:spacing w:after="0" w:line="300" w:lineRule="auto"/>
              <w:jc w:val="right"/>
              <w:rPr>
                <w:sz w:val="20"/>
                <w:szCs w:val="24"/>
              </w:rPr>
            </w:pPr>
            <w:r w:rsidRPr="00D1363C">
              <w:rPr>
                <w:sz w:val="20"/>
                <w:szCs w:val="24"/>
              </w:rPr>
              <w:t>30</w:t>
            </w:r>
          </w:p>
        </w:tc>
      </w:tr>
      <w:tr w:rsidR="00C70F99" w:rsidRPr="00D1363C" w14:paraId="208E649D" w14:textId="77777777" w:rsidTr="00D14054">
        <w:trPr>
          <w:trHeight w:val="215"/>
        </w:trPr>
        <w:tc>
          <w:tcPr>
            <w:tcW w:w="887" w:type="dxa"/>
            <w:vAlign w:val="bottom"/>
          </w:tcPr>
          <w:p w14:paraId="159AB0D0" w14:textId="77777777" w:rsidR="00C70F99" w:rsidRPr="00D1363C" w:rsidRDefault="00C70F99" w:rsidP="00D14054">
            <w:pPr>
              <w:spacing w:after="0" w:line="300" w:lineRule="auto"/>
              <w:jc w:val="center"/>
              <w:rPr>
                <w:sz w:val="20"/>
                <w:szCs w:val="24"/>
              </w:rPr>
            </w:pPr>
            <w:r w:rsidRPr="00D1363C">
              <w:rPr>
                <w:sz w:val="20"/>
                <w:szCs w:val="24"/>
              </w:rPr>
              <w:t>2</w:t>
            </w:r>
          </w:p>
        </w:tc>
        <w:tc>
          <w:tcPr>
            <w:tcW w:w="950" w:type="dxa"/>
            <w:vAlign w:val="bottom"/>
          </w:tcPr>
          <w:p w14:paraId="6A7DD3AE" w14:textId="77777777" w:rsidR="00C70F99" w:rsidRPr="00D1363C" w:rsidRDefault="00C70F99" w:rsidP="00D14054">
            <w:pPr>
              <w:spacing w:after="0" w:line="300" w:lineRule="auto"/>
              <w:jc w:val="right"/>
              <w:rPr>
                <w:sz w:val="20"/>
                <w:szCs w:val="24"/>
              </w:rPr>
            </w:pPr>
            <w:r w:rsidRPr="00D1363C">
              <w:rPr>
                <w:sz w:val="20"/>
                <w:szCs w:val="24"/>
              </w:rPr>
              <w:t>40</w:t>
            </w:r>
          </w:p>
        </w:tc>
        <w:tc>
          <w:tcPr>
            <w:tcW w:w="1331" w:type="dxa"/>
            <w:vAlign w:val="bottom"/>
          </w:tcPr>
          <w:p w14:paraId="782EBC49"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33FA22F3"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1E1B8372" w14:textId="77777777" w:rsidR="00C70F99" w:rsidRPr="00D1363C" w:rsidRDefault="00C70F99" w:rsidP="00D14054">
            <w:pPr>
              <w:spacing w:after="0" w:line="300" w:lineRule="auto"/>
              <w:jc w:val="right"/>
              <w:rPr>
                <w:sz w:val="20"/>
                <w:szCs w:val="24"/>
              </w:rPr>
            </w:pPr>
            <w:r w:rsidRPr="00D1363C">
              <w:rPr>
                <w:sz w:val="20"/>
                <w:szCs w:val="24"/>
              </w:rPr>
              <w:t>28</w:t>
            </w:r>
          </w:p>
        </w:tc>
      </w:tr>
      <w:tr w:rsidR="00C70F99" w:rsidRPr="00D1363C" w14:paraId="5332EF51" w14:textId="77777777" w:rsidTr="00D14054">
        <w:trPr>
          <w:trHeight w:val="223"/>
        </w:trPr>
        <w:tc>
          <w:tcPr>
            <w:tcW w:w="887" w:type="dxa"/>
            <w:vAlign w:val="bottom"/>
          </w:tcPr>
          <w:p w14:paraId="11B6975B" w14:textId="77777777" w:rsidR="00C70F99" w:rsidRPr="00D1363C" w:rsidRDefault="00C70F99" w:rsidP="00D14054">
            <w:pPr>
              <w:spacing w:after="0" w:line="300" w:lineRule="auto"/>
              <w:jc w:val="center"/>
              <w:rPr>
                <w:sz w:val="20"/>
                <w:szCs w:val="24"/>
              </w:rPr>
            </w:pPr>
            <w:r w:rsidRPr="00D1363C">
              <w:rPr>
                <w:sz w:val="20"/>
                <w:szCs w:val="24"/>
              </w:rPr>
              <w:t>3</w:t>
            </w:r>
          </w:p>
        </w:tc>
        <w:tc>
          <w:tcPr>
            <w:tcW w:w="950" w:type="dxa"/>
            <w:vAlign w:val="bottom"/>
          </w:tcPr>
          <w:p w14:paraId="24D93A01" w14:textId="77777777" w:rsidR="00C70F99" w:rsidRPr="00D1363C" w:rsidRDefault="00C70F99" w:rsidP="00D14054">
            <w:pPr>
              <w:spacing w:after="0" w:line="300" w:lineRule="auto"/>
              <w:jc w:val="right"/>
              <w:rPr>
                <w:sz w:val="20"/>
                <w:szCs w:val="24"/>
              </w:rPr>
            </w:pPr>
            <w:r w:rsidRPr="00D1363C">
              <w:rPr>
                <w:sz w:val="20"/>
                <w:szCs w:val="24"/>
              </w:rPr>
              <w:t>42</w:t>
            </w:r>
          </w:p>
        </w:tc>
        <w:tc>
          <w:tcPr>
            <w:tcW w:w="1331" w:type="dxa"/>
            <w:vAlign w:val="bottom"/>
          </w:tcPr>
          <w:p w14:paraId="3C92F7D4"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6D3A5415"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71B8A230" w14:textId="77777777" w:rsidR="00C70F99" w:rsidRPr="00D1363C" w:rsidRDefault="00C70F99" w:rsidP="00D14054">
            <w:pPr>
              <w:spacing w:after="0" w:line="300" w:lineRule="auto"/>
              <w:jc w:val="right"/>
              <w:rPr>
                <w:sz w:val="20"/>
                <w:szCs w:val="24"/>
              </w:rPr>
            </w:pPr>
            <w:r w:rsidRPr="00D1363C">
              <w:rPr>
                <w:sz w:val="20"/>
                <w:szCs w:val="24"/>
              </w:rPr>
              <w:t>26</w:t>
            </w:r>
          </w:p>
        </w:tc>
      </w:tr>
      <w:tr w:rsidR="00C70F99" w:rsidRPr="00D1363C" w14:paraId="0D3AF3DC" w14:textId="77777777" w:rsidTr="00D14054">
        <w:trPr>
          <w:trHeight w:val="215"/>
        </w:trPr>
        <w:tc>
          <w:tcPr>
            <w:tcW w:w="887" w:type="dxa"/>
            <w:vAlign w:val="bottom"/>
          </w:tcPr>
          <w:p w14:paraId="6413D535" w14:textId="77777777" w:rsidR="00C70F99" w:rsidRPr="00D1363C" w:rsidRDefault="00C70F99" w:rsidP="00D14054">
            <w:pPr>
              <w:spacing w:after="0" w:line="300" w:lineRule="auto"/>
              <w:jc w:val="center"/>
              <w:rPr>
                <w:sz w:val="20"/>
                <w:szCs w:val="24"/>
              </w:rPr>
            </w:pPr>
            <w:r w:rsidRPr="00D1363C">
              <w:rPr>
                <w:sz w:val="20"/>
                <w:szCs w:val="24"/>
              </w:rPr>
              <w:t>4</w:t>
            </w:r>
          </w:p>
        </w:tc>
        <w:tc>
          <w:tcPr>
            <w:tcW w:w="950" w:type="dxa"/>
            <w:vAlign w:val="bottom"/>
          </w:tcPr>
          <w:p w14:paraId="67E749D6" w14:textId="77777777" w:rsidR="00C70F99" w:rsidRPr="00D1363C" w:rsidRDefault="00C70F99" w:rsidP="00D14054">
            <w:pPr>
              <w:spacing w:after="0" w:line="300" w:lineRule="auto"/>
              <w:jc w:val="right"/>
              <w:rPr>
                <w:sz w:val="20"/>
                <w:szCs w:val="24"/>
              </w:rPr>
            </w:pPr>
            <w:r w:rsidRPr="00D1363C">
              <w:rPr>
                <w:sz w:val="20"/>
                <w:szCs w:val="24"/>
              </w:rPr>
              <w:t>33</w:t>
            </w:r>
          </w:p>
        </w:tc>
        <w:tc>
          <w:tcPr>
            <w:tcW w:w="1331" w:type="dxa"/>
            <w:vAlign w:val="bottom"/>
          </w:tcPr>
          <w:p w14:paraId="2F08930D"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76FE1A4F"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0D443892" w14:textId="77777777" w:rsidR="00C70F99" w:rsidRPr="00D1363C" w:rsidRDefault="00C70F99" w:rsidP="00D14054">
            <w:pPr>
              <w:spacing w:after="0" w:line="300" w:lineRule="auto"/>
              <w:jc w:val="right"/>
              <w:rPr>
                <w:sz w:val="20"/>
                <w:szCs w:val="24"/>
              </w:rPr>
            </w:pPr>
            <w:r w:rsidRPr="00D1363C">
              <w:rPr>
                <w:sz w:val="20"/>
                <w:szCs w:val="24"/>
              </w:rPr>
              <w:t>35</w:t>
            </w:r>
          </w:p>
        </w:tc>
      </w:tr>
      <w:tr w:rsidR="00C70F99" w:rsidRPr="00D1363C" w14:paraId="61D1C40D" w14:textId="77777777" w:rsidTr="00D14054">
        <w:trPr>
          <w:trHeight w:val="215"/>
        </w:trPr>
        <w:tc>
          <w:tcPr>
            <w:tcW w:w="887" w:type="dxa"/>
            <w:vAlign w:val="bottom"/>
          </w:tcPr>
          <w:p w14:paraId="29AA08F4" w14:textId="77777777" w:rsidR="00C70F99" w:rsidRPr="00D1363C" w:rsidRDefault="00C70F99" w:rsidP="00D14054">
            <w:pPr>
              <w:spacing w:after="0" w:line="300" w:lineRule="auto"/>
              <w:jc w:val="center"/>
              <w:rPr>
                <w:sz w:val="20"/>
                <w:szCs w:val="24"/>
              </w:rPr>
            </w:pPr>
            <w:r w:rsidRPr="00D1363C">
              <w:rPr>
                <w:sz w:val="20"/>
                <w:szCs w:val="24"/>
              </w:rPr>
              <w:t>5</w:t>
            </w:r>
          </w:p>
        </w:tc>
        <w:tc>
          <w:tcPr>
            <w:tcW w:w="950" w:type="dxa"/>
            <w:vAlign w:val="bottom"/>
          </w:tcPr>
          <w:p w14:paraId="7B263DCC" w14:textId="77777777" w:rsidR="00C70F99" w:rsidRPr="00D1363C" w:rsidRDefault="00C70F99" w:rsidP="00D14054">
            <w:pPr>
              <w:spacing w:after="0" w:line="300" w:lineRule="auto"/>
              <w:jc w:val="right"/>
              <w:rPr>
                <w:sz w:val="20"/>
                <w:szCs w:val="24"/>
              </w:rPr>
            </w:pPr>
            <w:r w:rsidRPr="00D1363C">
              <w:rPr>
                <w:sz w:val="20"/>
                <w:szCs w:val="24"/>
              </w:rPr>
              <w:t>32</w:t>
            </w:r>
          </w:p>
        </w:tc>
        <w:tc>
          <w:tcPr>
            <w:tcW w:w="1331" w:type="dxa"/>
            <w:vAlign w:val="bottom"/>
          </w:tcPr>
          <w:p w14:paraId="051DAE0E"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5EAAF4C6"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5F7D37C7" w14:textId="77777777" w:rsidR="00C70F99" w:rsidRPr="00D1363C" w:rsidRDefault="00C70F99" w:rsidP="00D14054">
            <w:pPr>
              <w:spacing w:after="0" w:line="300" w:lineRule="auto"/>
              <w:jc w:val="right"/>
              <w:rPr>
                <w:sz w:val="20"/>
                <w:szCs w:val="24"/>
              </w:rPr>
            </w:pPr>
            <w:r w:rsidRPr="00D1363C">
              <w:rPr>
                <w:sz w:val="20"/>
                <w:szCs w:val="24"/>
              </w:rPr>
              <w:t>36</w:t>
            </w:r>
          </w:p>
        </w:tc>
      </w:tr>
      <w:tr w:rsidR="00C70F99" w:rsidRPr="00D1363C" w14:paraId="130BB630" w14:textId="77777777" w:rsidTr="00D14054">
        <w:trPr>
          <w:trHeight w:val="215"/>
        </w:trPr>
        <w:tc>
          <w:tcPr>
            <w:tcW w:w="887" w:type="dxa"/>
            <w:vAlign w:val="bottom"/>
          </w:tcPr>
          <w:p w14:paraId="475B231A" w14:textId="77777777" w:rsidR="00C70F99" w:rsidRPr="00D1363C" w:rsidRDefault="00C70F99" w:rsidP="00D14054">
            <w:pPr>
              <w:spacing w:after="0" w:line="300" w:lineRule="auto"/>
              <w:jc w:val="center"/>
              <w:rPr>
                <w:sz w:val="20"/>
                <w:szCs w:val="24"/>
              </w:rPr>
            </w:pPr>
            <w:r w:rsidRPr="00D1363C">
              <w:rPr>
                <w:sz w:val="20"/>
                <w:szCs w:val="24"/>
              </w:rPr>
              <w:t>6</w:t>
            </w:r>
          </w:p>
        </w:tc>
        <w:tc>
          <w:tcPr>
            <w:tcW w:w="950" w:type="dxa"/>
            <w:vAlign w:val="bottom"/>
          </w:tcPr>
          <w:p w14:paraId="0E5E8A5E" w14:textId="77777777" w:rsidR="00C70F99" w:rsidRPr="00D1363C" w:rsidRDefault="00C70F99" w:rsidP="00D14054">
            <w:pPr>
              <w:spacing w:after="0" w:line="300" w:lineRule="auto"/>
              <w:jc w:val="right"/>
              <w:rPr>
                <w:sz w:val="20"/>
                <w:szCs w:val="24"/>
              </w:rPr>
            </w:pPr>
            <w:r w:rsidRPr="00D1363C">
              <w:rPr>
                <w:sz w:val="20"/>
                <w:szCs w:val="24"/>
              </w:rPr>
              <w:t>30</w:t>
            </w:r>
          </w:p>
        </w:tc>
        <w:tc>
          <w:tcPr>
            <w:tcW w:w="1331" w:type="dxa"/>
            <w:vAlign w:val="bottom"/>
          </w:tcPr>
          <w:p w14:paraId="5BEEFD88"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7A812BE2"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487D895E" w14:textId="77777777" w:rsidR="00C70F99" w:rsidRPr="00D1363C" w:rsidRDefault="00C70F99" w:rsidP="00D14054">
            <w:pPr>
              <w:spacing w:after="0" w:line="300" w:lineRule="auto"/>
              <w:jc w:val="right"/>
              <w:rPr>
                <w:sz w:val="20"/>
                <w:szCs w:val="24"/>
              </w:rPr>
            </w:pPr>
            <w:r w:rsidRPr="00D1363C">
              <w:rPr>
                <w:sz w:val="20"/>
                <w:szCs w:val="24"/>
              </w:rPr>
              <w:t>38</w:t>
            </w:r>
          </w:p>
        </w:tc>
      </w:tr>
      <w:tr w:rsidR="00C70F99" w:rsidRPr="00D1363C" w14:paraId="5FC2476C" w14:textId="77777777" w:rsidTr="00D14054">
        <w:trPr>
          <w:trHeight w:val="215"/>
        </w:trPr>
        <w:tc>
          <w:tcPr>
            <w:tcW w:w="887" w:type="dxa"/>
            <w:vAlign w:val="bottom"/>
          </w:tcPr>
          <w:p w14:paraId="43591D83" w14:textId="77777777" w:rsidR="00C70F99" w:rsidRPr="00D1363C" w:rsidRDefault="00C70F99" w:rsidP="00D14054">
            <w:pPr>
              <w:spacing w:after="0" w:line="300" w:lineRule="auto"/>
              <w:jc w:val="center"/>
              <w:rPr>
                <w:sz w:val="20"/>
                <w:szCs w:val="24"/>
              </w:rPr>
            </w:pPr>
            <w:r w:rsidRPr="00D1363C">
              <w:rPr>
                <w:sz w:val="20"/>
                <w:szCs w:val="24"/>
              </w:rPr>
              <w:t>7</w:t>
            </w:r>
          </w:p>
        </w:tc>
        <w:tc>
          <w:tcPr>
            <w:tcW w:w="950" w:type="dxa"/>
            <w:vAlign w:val="bottom"/>
          </w:tcPr>
          <w:p w14:paraId="4CCE0EC5" w14:textId="77777777" w:rsidR="00C70F99" w:rsidRPr="00D1363C" w:rsidRDefault="00C70F99" w:rsidP="00D14054">
            <w:pPr>
              <w:spacing w:after="0" w:line="300" w:lineRule="auto"/>
              <w:jc w:val="right"/>
              <w:rPr>
                <w:sz w:val="20"/>
                <w:szCs w:val="24"/>
              </w:rPr>
            </w:pPr>
            <w:r w:rsidRPr="00D1363C">
              <w:rPr>
                <w:sz w:val="20"/>
                <w:szCs w:val="24"/>
              </w:rPr>
              <w:t>22</w:t>
            </w:r>
          </w:p>
        </w:tc>
        <w:tc>
          <w:tcPr>
            <w:tcW w:w="1331" w:type="dxa"/>
            <w:vAlign w:val="bottom"/>
          </w:tcPr>
          <w:p w14:paraId="18196FCA"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22E25228"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5F767DBB" w14:textId="77777777" w:rsidR="00C70F99" w:rsidRPr="00D1363C" w:rsidRDefault="00C70F99" w:rsidP="00D14054">
            <w:pPr>
              <w:spacing w:after="0" w:line="300" w:lineRule="auto"/>
              <w:jc w:val="right"/>
              <w:rPr>
                <w:sz w:val="20"/>
                <w:szCs w:val="24"/>
              </w:rPr>
            </w:pPr>
            <w:r w:rsidRPr="00D1363C">
              <w:rPr>
                <w:sz w:val="20"/>
                <w:szCs w:val="24"/>
              </w:rPr>
              <w:t>46</w:t>
            </w:r>
          </w:p>
        </w:tc>
      </w:tr>
      <w:tr w:rsidR="00C70F99" w:rsidRPr="00D1363C" w14:paraId="505580CD" w14:textId="77777777" w:rsidTr="00D14054">
        <w:trPr>
          <w:trHeight w:val="223"/>
        </w:trPr>
        <w:tc>
          <w:tcPr>
            <w:tcW w:w="887" w:type="dxa"/>
            <w:vAlign w:val="bottom"/>
          </w:tcPr>
          <w:p w14:paraId="3B3AE7EE" w14:textId="77777777" w:rsidR="00C70F99" w:rsidRPr="00D1363C" w:rsidRDefault="00C70F99" w:rsidP="00D14054">
            <w:pPr>
              <w:spacing w:after="0" w:line="300" w:lineRule="auto"/>
              <w:jc w:val="center"/>
              <w:rPr>
                <w:sz w:val="20"/>
                <w:szCs w:val="24"/>
              </w:rPr>
            </w:pPr>
            <w:r w:rsidRPr="00D1363C">
              <w:rPr>
                <w:sz w:val="20"/>
                <w:szCs w:val="24"/>
              </w:rPr>
              <w:t>8</w:t>
            </w:r>
          </w:p>
        </w:tc>
        <w:tc>
          <w:tcPr>
            <w:tcW w:w="950" w:type="dxa"/>
            <w:vAlign w:val="bottom"/>
          </w:tcPr>
          <w:p w14:paraId="5DE06C4D" w14:textId="77777777" w:rsidR="00C70F99" w:rsidRPr="00D1363C" w:rsidRDefault="00C70F99" w:rsidP="00D14054">
            <w:pPr>
              <w:spacing w:after="0" w:line="300" w:lineRule="auto"/>
              <w:jc w:val="right"/>
              <w:rPr>
                <w:sz w:val="20"/>
                <w:szCs w:val="24"/>
              </w:rPr>
            </w:pPr>
            <w:r w:rsidRPr="00D1363C">
              <w:rPr>
                <w:sz w:val="20"/>
                <w:szCs w:val="24"/>
              </w:rPr>
              <w:t>24</w:t>
            </w:r>
          </w:p>
        </w:tc>
        <w:tc>
          <w:tcPr>
            <w:tcW w:w="1331" w:type="dxa"/>
          </w:tcPr>
          <w:p w14:paraId="05A7B3D2"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0DAA3DB5"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570E07FE" w14:textId="77777777" w:rsidR="00C70F99" w:rsidRPr="00D1363C" w:rsidRDefault="00C70F99" w:rsidP="00D14054">
            <w:pPr>
              <w:spacing w:after="0" w:line="300" w:lineRule="auto"/>
              <w:jc w:val="right"/>
              <w:rPr>
                <w:sz w:val="20"/>
                <w:szCs w:val="24"/>
              </w:rPr>
            </w:pPr>
            <w:r w:rsidRPr="00D1363C">
              <w:rPr>
                <w:sz w:val="20"/>
                <w:szCs w:val="24"/>
              </w:rPr>
              <w:t>44</w:t>
            </w:r>
          </w:p>
        </w:tc>
      </w:tr>
      <w:tr w:rsidR="00C70F99" w:rsidRPr="00D1363C" w14:paraId="6B557060" w14:textId="77777777" w:rsidTr="00D14054">
        <w:trPr>
          <w:trHeight w:val="215"/>
        </w:trPr>
        <w:tc>
          <w:tcPr>
            <w:tcW w:w="887" w:type="dxa"/>
            <w:vAlign w:val="bottom"/>
          </w:tcPr>
          <w:p w14:paraId="7B3B1707" w14:textId="77777777" w:rsidR="00C70F99" w:rsidRPr="00D1363C" w:rsidRDefault="00C70F99" w:rsidP="00D14054">
            <w:pPr>
              <w:spacing w:after="0" w:line="300" w:lineRule="auto"/>
              <w:jc w:val="center"/>
              <w:rPr>
                <w:sz w:val="20"/>
                <w:szCs w:val="24"/>
              </w:rPr>
            </w:pPr>
            <w:r w:rsidRPr="00D1363C">
              <w:rPr>
                <w:sz w:val="20"/>
                <w:szCs w:val="24"/>
              </w:rPr>
              <w:t>9</w:t>
            </w:r>
          </w:p>
        </w:tc>
        <w:tc>
          <w:tcPr>
            <w:tcW w:w="950" w:type="dxa"/>
            <w:vAlign w:val="bottom"/>
          </w:tcPr>
          <w:p w14:paraId="24EF7097" w14:textId="77777777" w:rsidR="00C70F99" w:rsidRPr="00D1363C" w:rsidRDefault="00C70F99" w:rsidP="00D14054">
            <w:pPr>
              <w:spacing w:after="0" w:line="300" w:lineRule="auto"/>
              <w:jc w:val="right"/>
              <w:rPr>
                <w:sz w:val="20"/>
                <w:szCs w:val="24"/>
              </w:rPr>
            </w:pPr>
            <w:r w:rsidRPr="00D1363C">
              <w:rPr>
                <w:sz w:val="20"/>
                <w:szCs w:val="24"/>
              </w:rPr>
              <w:t>16</w:t>
            </w:r>
          </w:p>
        </w:tc>
        <w:tc>
          <w:tcPr>
            <w:tcW w:w="1331" w:type="dxa"/>
          </w:tcPr>
          <w:p w14:paraId="10BF0CE0"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0C5DB3D0"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01C7DC27" w14:textId="77777777" w:rsidR="00C70F99" w:rsidRPr="00D1363C" w:rsidRDefault="00C70F99" w:rsidP="00D14054">
            <w:pPr>
              <w:spacing w:after="0" w:line="300" w:lineRule="auto"/>
              <w:jc w:val="right"/>
              <w:rPr>
                <w:sz w:val="20"/>
                <w:szCs w:val="24"/>
              </w:rPr>
            </w:pPr>
            <w:r w:rsidRPr="00D1363C">
              <w:rPr>
                <w:sz w:val="20"/>
                <w:szCs w:val="24"/>
              </w:rPr>
              <w:t>52</w:t>
            </w:r>
          </w:p>
        </w:tc>
      </w:tr>
      <w:tr w:rsidR="00C70F99" w:rsidRPr="00D1363C" w14:paraId="0D203EA9" w14:textId="77777777" w:rsidTr="00D14054">
        <w:trPr>
          <w:trHeight w:val="215"/>
        </w:trPr>
        <w:tc>
          <w:tcPr>
            <w:tcW w:w="887" w:type="dxa"/>
            <w:vAlign w:val="bottom"/>
          </w:tcPr>
          <w:p w14:paraId="47C4F329" w14:textId="77777777" w:rsidR="00C70F99" w:rsidRPr="00D1363C" w:rsidRDefault="00C70F99" w:rsidP="00D14054">
            <w:pPr>
              <w:spacing w:after="0" w:line="300" w:lineRule="auto"/>
              <w:jc w:val="center"/>
              <w:rPr>
                <w:sz w:val="20"/>
                <w:szCs w:val="24"/>
              </w:rPr>
            </w:pPr>
            <w:r w:rsidRPr="00D1363C">
              <w:rPr>
                <w:sz w:val="20"/>
                <w:szCs w:val="24"/>
              </w:rPr>
              <w:t>10</w:t>
            </w:r>
          </w:p>
        </w:tc>
        <w:tc>
          <w:tcPr>
            <w:tcW w:w="950" w:type="dxa"/>
            <w:vAlign w:val="bottom"/>
          </w:tcPr>
          <w:p w14:paraId="69B14608" w14:textId="77777777" w:rsidR="00C70F99" w:rsidRPr="00D1363C" w:rsidRDefault="00C70F99" w:rsidP="00D14054">
            <w:pPr>
              <w:spacing w:after="0" w:line="300" w:lineRule="auto"/>
              <w:jc w:val="right"/>
              <w:rPr>
                <w:sz w:val="20"/>
                <w:szCs w:val="24"/>
              </w:rPr>
            </w:pPr>
            <w:r w:rsidRPr="00D1363C">
              <w:rPr>
                <w:sz w:val="20"/>
                <w:szCs w:val="24"/>
              </w:rPr>
              <w:t>25</w:t>
            </w:r>
          </w:p>
        </w:tc>
        <w:tc>
          <w:tcPr>
            <w:tcW w:w="1331" w:type="dxa"/>
          </w:tcPr>
          <w:p w14:paraId="50D88E73"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1EDDC10C"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3C43B915" w14:textId="77777777" w:rsidR="00C70F99" w:rsidRPr="00D1363C" w:rsidRDefault="00C70F99" w:rsidP="00D14054">
            <w:pPr>
              <w:spacing w:after="0" w:line="300" w:lineRule="auto"/>
              <w:jc w:val="right"/>
              <w:rPr>
                <w:sz w:val="20"/>
                <w:szCs w:val="24"/>
              </w:rPr>
            </w:pPr>
            <w:r w:rsidRPr="00D1363C">
              <w:rPr>
                <w:sz w:val="20"/>
                <w:szCs w:val="24"/>
              </w:rPr>
              <w:t>43</w:t>
            </w:r>
          </w:p>
        </w:tc>
      </w:tr>
      <w:tr w:rsidR="00C70F99" w:rsidRPr="00D1363C" w14:paraId="63F7BCF8" w14:textId="77777777" w:rsidTr="00D14054">
        <w:trPr>
          <w:trHeight w:val="215"/>
        </w:trPr>
        <w:tc>
          <w:tcPr>
            <w:tcW w:w="887" w:type="dxa"/>
            <w:vAlign w:val="bottom"/>
          </w:tcPr>
          <w:p w14:paraId="29109FAE" w14:textId="77777777" w:rsidR="00C70F99" w:rsidRPr="00D1363C" w:rsidRDefault="00C70F99" w:rsidP="00D14054">
            <w:pPr>
              <w:spacing w:after="0" w:line="300" w:lineRule="auto"/>
              <w:jc w:val="center"/>
              <w:rPr>
                <w:sz w:val="20"/>
                <w:szCs w:val="24"/>
              </w:rPr>
            </w:pPr>
            <w:r w:rsidRPr="00D1363C">
              <w:rPr>
                <w:sz w:val="20"/>
                <w:szCs w:val="24"/>
              </w:rPr>
              <w:t>11</w:t>
            </w:r>
          </w:p>
        </w:tc>
        <w:tc>
          <w:tcPr>
            <w:tcW w:w="950" w:type="dxa"/>
            <w:vAlign w:val="bottom"/>
          </w:tcPr>
          <w:p w14:paraId="7DCA9838" w14:textId="77777777" w:rsidR="00C70F99" w:rsidRPr="00D1363C" w:rsidRDefault="00C70F99" w:rsidP="00D14054">
            <w:pPr>
              <w:spacing w:after="0" w:line="300" w:lineRule="auto"/>
              <w:jc w:val="right"/>
              <w:rPr>
                <w:sz w:val="20"/>
                <w:szCs w:val="24"/>
              </w:rPr>
            </w:pPr>
            <w:r w:rsidRPr="00D1363C">
              <w:rPr>
                <w:sz w:val="20"/>
                <w:szCs w:val="24"/>
              </w:rPr>
              <w:t>23</w:t>
            </w:r>
          </w:p>
        </w:tc>
        <w:tc>
          <w:tcPr>
            <w:tcW w:w="1331" w:type="dxa"/>
          </w:tcPr>
          <w:p w14:paraId="603E9D85"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Pr>
          <w:p w14:paraId="5D2DD6D9"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vAlign w:val="bottom"/>
          </w:tcPr>
          <w:p w14:paraId="42983360" w14:textId="77777777" w:rsidR="00C70F99" w:rsidRPr="00D1363C" w:rsidRDefault="00C70F99" w:rsidP="00D14054">
            <w:pPr>
              <w:spacing w:after="0" w:line="300" w:lineRule="auto"/>
              <w:jc w:val="right"/>
              <w:rPr>
                <w:sz w:val="20"/>
                <w:szCs w:val="24"/>
              </w:rPr>
            </w:pPr>
            <w:r w:rsidRPr="00D1363C">
              <w:rPr>
                <w:sz w:val="20"/>
                <w:szCs w:val="24"/>
              </w:rPr>
              <w:t>45</w:t>
            </w:r>
          </w:p>
        </w:tc>
      </w:tr>
      <w:tr w:rsidR="00C70F99" w:rsidRPr="00D1363C" w14:paraId="7AD14736" w14:textId="77777777" w:rsidTr="00D14054">
        <w:trPr>
          <w:trHeight w:val="215"/>
        </w:trPr>
        <w:tc>
          <w:tcPr>
            <w:tcW w:w="887" w:type="dxa"/>
            <w:tcBorders>
              <w:bottom w:val="single" w:sz="4" w:space="0" w:color="auto"/>
            </w:tcBorders>
            <w:vAlign w:val="bottom"/>
          </w:tcPr>
          <w:p w14:paraId="321960CB" w14:textId="77777777" w:rsidR="00C70F99" w:rsidRPr="00D1363C" w:rsidRDefault="00C70F99" w:rsidP="00D14054">
            <w:pPr>
              <w:spacing w:after="0" w:line="300" w:lineRule="auto"/>
              <w:jc w:val="center"/>
              <w:rPr>
                <w:sz w:val="20"/>
                <w:szCs w:val="24"/>
              </w:rPr>
            </w:pPr>
            <w:r w:rsidRPr="00D1363C">
              <w:rPr>
                <w:sz w:val="20"/>
                <w:szCs w:val="24"/>
              </w:rPr>
              <w:t>12</w:t>
            </w:r>
          </w:p>
        </w:tc>
        <w:tc>
          <w:tcPr>
            <w:tcW w:w="950" w:type="dxa"/>
            <w:tcBorders>
              <w:bottom w:val="single" w:sz="4" w:space="0" w:color="auto"/>
            </w:tcBorders>
            <w:vAlign w:val="bottom"/>
          </w:tcPr>
          <w:p w14:paraId="12A31867" w14:textId="77777777" w:rsidR="00C70F99" w:rsidRPr="00D1363C" w:rsidRDefault="00C70F99" w:rsidP="00D14054">
            <w:pPr>
              <w:spacing w:after="0" w:line="300" w:lineRule="auto"/>
              <w:jc w:val="right"/>
              <w:rPr>
                <w:sz w:val="20"/>
                <w:szCs w:val="24"/>
              </w:rPr>
            </w:pPr>
            <w:r w:rsidRPr="00D1363C">
              <w:rPr>
                <w:sz w:val="20"/>
                <w:szCs w:val="24"/>
              </w:rPr>
              <w:t>30</w:t>
            </w:r>
          </w:p>
        </w:tc>
        <w:tc>
          <w:tcPr>
            <w:tcW w:w="1331" w:type="dxa"/>
            <w:tcBorders>
              <w:bottom w:val="single" w:sz="4" w:space="0" w:color="auto"/>
            </w:tcBorders>
          </w:tcPr>
          <w:p w14:paraId="15EBD3EE" w14:textId="77777777" w:rsidR="00C70F99" w:rsidRPr="00D1363C" w:rsidRDefault="00C70F99" w:rsidP="00D14054">
            <w:pPr>
              <w:spacing w:after="0" w:line="300" w:lineRule="auto"/>
              <w:jc w:val="right"/>
              <w:rPr>
                <w:sz w:val="20"/>
                <w:szCs w:val="24"/>
              </w:rPr>
            </w:pPr>
            <w:r w:rsidRPr="00D1363C">
              <w:rPr>
                <w:sz w:val="20"/>
                <w:szCs w:val="24"/>
              </w:rPr>
              <w:t>70</w:t>
            </w:r>
          </w:p>
        </w:tc>
        <w:tc>
          <w:tcPr>
            <w:tcW w:w="1440" w:type="dxa"/>
            <w:tcBorders>
              <w:bottom w:val="single" w:sz="4" w:space="0" w:color="auto"/>
            </w:tcBorders>
          </w:tcPr>
          <w:p w14:paraId="132E00E5" w14:textId="77777777" w:rsidR="00C70F99" w:rsidRPr="00D1363C" w:rsidRDefault="00C70F99" w:rsidP="00D14054">
            <w:pPr>
              <w:spacing w:after="0" w:line="300" w:lineRule="auto"/>
              <w:jc w:val="right"/>
              <w:rPr>
                <w:sz w:val="20"/>
                <w:szCs w:val="24"/>
              </w:rPr>
            </w:pPr>
            <w:r w:rsidRPr="00D1363C">
              <w:rPr>
                <w:sz w:val="20"/>
                <w:szCs w:val="24"/>
              </w:rPr>
              <w:t>68</w:t>
            </w:r>
          </w:p>
        </w:tc>
        <w:tc>
          <w:tcPr>
            <w:tcW w:w="1440" w:type="dxa"/>
            <w:tcBorders>
              <w:bottom w:val="single" w:sz="4" w:space="0" w:color="auto"/>
            </w:tcBorders>
            <w:vAlign w:val="bottom"/>
          </w:tcPr>
          <w:p w14:paraId="66E503D7" w14:textId="77777777" w:rsidR="00C70F99" w:rsidRPr="00D1363C" w:rsidRDefault="00C70F99" w:rsidP="00D14054">
            <w:pPr>
              <w:spacing w:after="0" w:line="300" w:lineRule="auto"/>
              <w:jc w:val="right"/>
              <w:rPr>
                <w:sz w:val="20"/>
                <w:szCs w:val="24"/>
              </w:rPr>
            </w:pPr>
            <w:r w:rsidRPr="00D1363C">
              <w:rPr>
                <w:sz w:val="20"/>
                <w:szCs w:val="24"/>
              </w:rPr>
              <w:t>38</w:t>
            </w:r>
          </w:p>
        </w:tc>
      </w:tr>
    </w:tbl>
    <w:p w14:paraId="49A5E957" w14:textId="54B26E10" w:rsidR="00C70F99" w:rsidRPr="00D1363C" w:rsidRDefault="00C70F99" w:rsidP="00C35DA0">
      <w:pPr>
        <w:numPr>
          <w:ilvl w:val="0"/>
          <w:numId w:val="20"/>
        </w:numPr>
        <w:spacing w:before="120" w:line="300" w:lineRule="auto"/>
        <w:ind w:hanging="994"/>
      </w:pPr>
      <w:bookmarkStart w:id="1662" w:name="_Toc263173285"/>
      <w:bookmarkStart w:id="1663" w:name="_Toc263795435"/>
      <w:r w:rsidRPr="00D1363C">
        <w:rPr>
          <w:rFonts w:cs="Courier New"/>
          <w:szCs w:val="24"/>
        </w:rPr>
        <w:t xml:space="preserve">The Market Operator will make available via ICCP Setpoint Target and </w:t>
      </w:r>
      <w:r w:rsidR="006C27A4">
        <w:rPr>
          <w:rFonts w:cs="Courier New"/>
          <w:szCs w:val="24"/>
        </w:rPr>
        <w:t>DDRR</w:t>
      </w:r>
      <w:r w:rsidRPr="00D1363C">
        <w:rPr>
          <w:rFonts w:cs="Courier New"/>
          <w:szCs w:val="24"/>
        </w:rPr>
        <w:t>’s Real-Time output to the local distribution operator, Transmission Operator</w:t>
      </w:r>
      <w:r>
        <w:rPr>
          <w:rFonts w:cs="Courier New"/>
          <w:szCs w:val="24"/>
        </w:rPr>
        <w:t>,</w:t>
      </w:r>
      <w:r w:rsidRPr="00D1363C">
        <w:rPr>
          <w:rFonts w:cs="Courier New"/>
          <w:szCs w:val="24"/>
        </w:rPr>
        <w:t xml:space="preserve"> and the Market Participant representing the load at the node.</w:t>
      </w:r>
    </w:p>
    <w:p w14:paraId="7CF578DB" w14:textId="30A4EC2F" w:rsidR="00C70F99" w:rsidRPr="00D1363C" w:rsidRDefault="00C70F99" w:rsidP="00574654">
      <w:pPr>
        <w:pStyle w:val="Heading5"/>
      </w:pPr>
      <w:bookmarkStart w:id="1664" w:name="_Toc145062669"/>
      <w:bookmarkStart w:id="1665" w:name="_Toc145067281"/>
      <w:bookmarkStart w:id="1666" w:name="_Toc146627597"/>
      <w:bookmarkStart w:id="1667" w:name="_Toc146629462"/>
      <w:bookmarkStart w:id="1668" w:name="_Toc146631324"/>
      <w:bookmarkStart w:id="1669" w:name="_Toc146633191"/>
      <w:bookmarkStart w:id="1670" w:name="_Toc146630918"/>
      <w:bookmarkStart w:id="1671" w:name="_Toc146793088"/>
      <w:bookmarkStart w:id="1672" w:name="_Toc146794784"/>
      <w:bookmarkStart w:id="1673" w:name="_Toc146796479"/>
      <w:bookmarkStart w:id="1674" w:name="_Toc146798169"/>
      <w:bookmarkStart w:id="1675" w:name="_Toc146800781"/>
      <w:bookmarkStart w:id="1676" w:name="_Toc146803416"/>
      <w:bookmarkStart w:id="1677" w:name="_Toc146805120"/>
      <w:bookmarkStart w:id="1678" w:name="_Toc146806824"/>
      <w:bookmarkStart w:id="1679" w:name="_Toc148704878"/>
      <w:bookmarkStart w:id="1680" w:name="_Toc149557836"/>
      <w:bookmarkStart w:id="1681" w:name="_Toc150785292"/>
      <w:bookmarkStart w:id="1682" w:name="_Toc150854746"/>
      <w:bookmarkStart w:id="1683" w:name="_Toc151991685"/>
      <w:bookmarkStart w:id="1684" w:name="_Toc152334785"/>
      <w:bookmarkStart w:id="1685" w:name="_Toc153271151"/>
      <w:bookmarkStart w:id="1686" w:name="_Toc157500986"/>
      <w:bookmarkStart w:id="1687" w:name="_Toc159232161"/>
      <w:bookmarkStart w:id="1688" w:name="_Toc145062670"/>
      <w:bookmarkStart w:id="1689" w:name="_Toc145067282"/>
      <w:bookmarkStart w:id="1690" w:name="_Toc146627598"/>
      <w:bookmarkStart w:id="1691" w:name="_Toc146629463"/>
      <w:bookmarkStart w:id="1692" w:name="_Toc146631325"/>
      <w:bookmarkStart w:id="1693" w:name="_Toc146633192"/>
      <w:bookmarkStart w:id="1694" w:name="_Toc146630919"/>
      <w:bookmarkStart w:id="1695" w:name="_Toc146793089"/>
      <w:bookmarkStart w:id="1696" w:name="_Toc146794785"/>
      <w:bookmarkStart w:id="1697" w:name="_Toc146796480"/>
      <w:bookmarkStart w:id="1698" w:name="_Toc146798170"/>
      <w:bookmarkStart w:id="1699" w:name="_Toc146800782"/>
      <w:bookmarkStart w:id="1700" w:name="_Toc146803417"/>
      <w:bookmarkStart w:id="1701" w:name="_Toc146805121"/>
      <w:bookmarkStart w:id="1702" w:name="_Toc146806825"/>
      <w:bookmarkStart w:id="1703" w:name="_Toc148704879"/>
      <w:bookmarkStart w:id="1704" w:name="_Toc149557837"/>
      <w:bookmarkStart w:id="1705" w:name="_Toc150785293"/>
      <w:bookmarkStart w:id="1706" w:name="_Toc150854747"/>
      <w:bookmarkStart w:id="1707" w:name="_Toc151991686"/>
      <w:bookmarkStart w:id="1708" w:name="_Toc152334786"/>
      <w:bookmarkStart w:id="1709" w:name="_Toc153271152"/>
      <w:bookmarkStart w:id="1710" w:name="_Toc157500987"/>
      <w:bookmarkStart w:id="1711" w:name="_Toc159232162"/>
      <w:bookmarkStart w:id="1712" w:name="_Toc145062671"/>
      <w:bookmarkStart w:id="1713" w:name="_Toc145067283"/>
      <w:bookmarkStart w:id="1714" w:name="_Toc146627599"/>
      <w:bookmarkStart w:id="1715" w:name="_Toc146629464"/>
      <w:bookmarkStart w:id="1716" w:name="_Toc146631326"/>
      <w:bookmarkStart w:id="1717" w:name="_Toc146633193"/>
      <w:bookmarkStart w:id="1718" w:name="_Toc146630920"/>
      <w:bookmarkStart w:id="1719" w:name="_Toc146793090"/>
      <w:bookmarkStart w:id="1720" w:name="_Toc146794786"/>
      <w:bookmarkStart w:id="1721" w:name="_Toc146796481"/>
      <w:bookmarkStart w:id="1722" w:name="_Toc146798171"/>
      <w:bookmarkStart w:id="1723" w:name="_Toc146800783"/>
      <w:bookmarkStart w:id="1724" w:name="_Toc146803418"/>
      <w:bookmarkStart w:id="1725" w:name="_Toc146805122"/>
      <w:bookmarkStart w:id="1726" w:name="_Toc146806826"/>
      <w:bookmarkStart w:id="1727" w:name="_Toc148704880"/>
      <w:bookmarkStart w:id="1728" w:name="_Toc149557838"/>
      <w:bookmarkStart w:id="1729" w:name="_Toc150785294"/>
      <w:bookmarkStart w:id="1730" w:name="_Toc150854748"/>
      <w:bookmarkStart w:id="1731" w:name="_Toc151991687"/>
      <w:bookmarkStart w:id="1732" w:name="_Toc152334787"/>
      <w:bookmarkStart w:id="1733" w:name="_Toc153271153"/>
      <w:bookmarkStart w:id="1734" w:name="_Toc157500988"/>
      <w:bookmarkStart w:id="1735" w:name="_Toc159232163"/>
      <w:bookmarkStart w:id="1736" w:name="_Toc145062672"/>
      <w:bookmarkStart w:id="1737" w:name="_Toc145067284"/>
      <w:bookmarkStart w:id="1738" w:name="_Toc146627600"/>
      <w:bookmarkStart w:id="1739" w:name="_Toc146629465"/>
      <w:bookmarkStart w:id="1740" w:name="_Toc146631327"/>
      <w:bookmarkStart w:id="1741" w:name="_Toc146633194"/>
      <w:bookmarkStart w:id="1742" w:name="_Toc146630921"/>
      <w:bookmarkStart w:id="1743" w:name="_Toc146793091"/>
      <w:bookmarkStart w:id="1744" w:name="_Toc146794787"/>
      <w:bookmarkStart w:id="1745" w:name="_Toc146796482"/>
      <w:bookmarkStart w:id="1746" w:name="_Toc146798172"/>
      <w:bookmarkStart w:id="1747" w:name="_Toc146800784"/>
      <w:bookmarkStart w:id="1748" w:name="_Toc146803419"/>
      <w:bookmarkStart w:id="1749" w:name="_Toc146805123"/>
      <w:bookmarkStart w:id="1750" w:name="_Toc146806827"/>
      <w:bookmarkStart w:id="1751" w:name="_Toc148704881"/>
      <w:bookmarkStart w:id="1752" w:name="_Toc149557839"/>
      <w:bookmarkStart w:id="1753" w:name="_Toc150785295"/>
      <w:bookmarkStart w:id="1754" w:name="_Toc150854749"/>
      <w:bookmarkStart w:id="1755" w:name="_Toc151991688"/>
      <w:bookmarkStart w:id="1756" w:name="_Toc152334788"/>
      <w:bookmarkStart w:id="1757" w:name="_Toc153271154"/>
      <w:bookmarkStart w:id="1758" w:name="_Toc157500989"/>
      <w:bookmarkStart w:id="1759" w:name="_Toc159232164"/>
      <w:bookmarkStart w:id="1760" w:name="_Toc145062673"/>
      <w:bookmarkStart w:id="1761" w:name="_Toc145067285"/>
      <w:bookmarkStart w:id="1762" w:name="_Toc146627601"/>
      <w:bookmarkStart w:id="1763" w:name="_Toc146629466"/>
      <w:bookmarkStart w:id="1764" w:name="_Toc146631328"/>
      <w:bookmarkStart w:id="1765" w:name="_Toc146633195"/>
      <w:bookmarkStart w:id="1766" w:name="_Toc146630922"/>
      <w:bookmarkStart w:id="1767" w:name="_Toc146793092"/>
      <w:bookmarkStart w:id="1768" w:name="_Toc146794788"/>
      <w:bookmarkStart w:id="1769" w:name="_Toc146796483"/>
      <w:bookmarkStart w:id="1770" w:name="_Toc146798173"/>
      <w:bookmarkStart w:id="1771" w:name="_Toc146800785"/>
      <w:bookmarkStart w:id="1772" w:name="_Toc146803420"/>
      <w:bookmarkStart w:id="1773" w:name="_Toc146805124"/>
      <w:bookmarkStart w:id="1774" w:name="_Toc146806828"/>
      <w:bookmarkStart w:id="1775" w:name="_Toc148704882"/>
      <w:bookmarkStart w:id="1776" w:name="_Toc149557840"/>
      <w:bookmarkStart w:id="1777" w:name="_Toc150785296"/>
      <w:bookmarkStart w:id="1778" w:name="_Toc150854750"/>
      <w:bookmarkStart w:id="1779" w:name="_Toc151991689"/>
      <w:bookmarkStart w:id="1780" w:name="_Toc152334789"/>
      <w:bookmarkStart w:id="1781" w:name="_Toc153271155"/>
      <w:bookmarkStart w:id="1782" w:name="_Toc157500990"/>
      <w:bookmarkStart w:id="1783" w:name="_Toc159232165"/>
      <w:bookmarkStart w:id="1784" w:name="_Toc145062674"/>
      <w:bookmarkStart w:id="1785" w:name="_Toc145067286"/>
      <w:bookmarkStart w:id="1786" w:name="_Toc146627602"/>
      <w:bookmarkStart w:id="1787" w:name="_Toc146629467"/>
      <w:bookmarkStart w:id="1788" w:name="_Toc146631329"/>
      <w:bookmarkStart w:id="1789" w:name="_Toc146633196"/>
      <w:bookmarkStart w:id="1790" w:name="_Toc146630923"/>
      <w:bookmarkStart w:id="1791" w:name="_Toc146793093"/>
      <w:bookmarkStart w:id="1792" w:name="_Toc146794789"/>
      <w:bookmarkStart w:id="1793" w:name="_Toc146796484"/>
      <w:bookmarkStart w:id="1794" w:name="_Toc146798174"/>
      <w:bookmarkStart w:id="1795" w:name="_Toc146800786"/>
      <w:bookmarkStart w:id="1796" w:name="_Toc146803421"/>
      <w:bookmarkStart w:id="1797" w:name="_Toc146805125"/>
      <w:bookmarkStart w:id="1798" w:name="_Toc146806829"/>
      <w:bookmarkStart w:id="1799" w:name="_Toc148704883"/>
      <w:bookmarkStart w:id="1800" w:name="_Toc149557841"/>
      <w:bookmarkStart w:id="1801" w:name="_Toc150785297"/>
      <w:bookmarkStart w:id="1802" w:name="_Toc150854751"/>
      <w:bookmarkStart w:id="1803" w:name="_Toc151991690"/>
      <w:bookmarkStart w:id="1804" w:name="_Toc152334790"/>
      <w:bookmarkStart w:id="1805" w:name="_Toc153271156"/>
      <w:bookmarkStart w:id="1806" w:name="_Toc157500991"/>
      <w:bookmarkStart w:id="1807" w:name="_Toc159232166"/>
      <w:bookmarkStart w:id="1808" w:name="_Toc145062675"/>
      <w:bookmarkStart w:id="1809" w:name="_Toc145067287"/>
      <w:bookmarkStart w:id="1810" w:name="_Toc146627603"/>
      <w:bookmarkStart w:id="1811" w:name="_Toc146629468"/>
      <w:bookmarkStart w:id="1812" w:name="_Toc146631330"/>
      <w:bookmarkStart w:id="1813" w:name="_Toc146633197"/>
      <w:bookmarkStart w:id="1814" w:name="_Toc146630924"/>
      <w:bookmarkStart w:id="1815" w:name="_Toc146793094"/>
      <w:bookmarkStart w:id="1816" w:name="_Toc146794790"/>
      <w:bookmarkStart w:id="1817" w:name="_Toc146796485"/>
      <w:bookmarkStart w:id="1818" w:name="_Toc146798175"/>
      <w:bookmarkStart w:id="1819" w:name="_Toc146800787"/>
      <w:bookmarkStart w:id="1820" w:name="_Toc146803422"/>
      <w:bookmarkStart w:id="1821" w:name="_Toc146805126"/>
      <w:bookmarkStart w:id="1822" w:name="_Toc146806830"/>
      <w:bookmarkStart w:id="1823" w:name="_Toc148704884"/>
      <w:bookmarkStart w:id="1824" w:name="_Toc149557842"/>
      <w:bookmarkStart w:id="1825" w:name="_Toc150785298"/>
      <w:bookmarkStart w:id="1826" w:name="_Toc150854752"/>
      <w:bookmarkStart w:id="1827" w:name="_Toc151991691"/>
      <w:bookmarkStart w:id="1828" w:name="_Toc152334791"/>
      <w:bookmarkStart w:id="1829" w:name="_Toc153271157"/>
      <w:bookmarkStart w:id="1830" w:name="_Toc157500992"/>
      <w:bookmarkStart w:id="1831" w:name="_Toc159232167"/>
      <w:bookmarkStart w:id="1832" w:name="_Toc145062676"/>
      <w:bookmarkStart w:id="1833" w:name="_Toc145067288"/>
      <w:bookmarkStart w:id="1834" w:name="_Toc146627604"/>
      <w:bookmarkStart w:id="1835" w:name="_Toc146629469"/>
      <w:bookmarkStart w:id="1836" w:name="_Toc146631331"/>
      <w:bookmarkStart w:id="1837" w:name="_Toc146633198"/>
      <w:bookmarkStart w:id="1838" w:name="_Toc146630925"/>
      <w:bookmarkStart w:id="1839" w:name="_Toc146793095"/>
      <w:bookmarkStart w:id="1840" w:name="_Toc146794791"/>
      <w:bookmarkStart w:id="1841" w:name="_Toc146796486"/>
      <w:bookmarkStart w:id="1842" w:name="_Toc146798176"/>
      <w:bookmarkStart w:id="1843" w:name="_Toc146800788"/>
      <w:bookmarkStart w:id="1844" w:name="_Toc146803423"/>
      <w:bookmarkStart w:id="1845" w:name="_Toc146805127"/>
      <w:bookmarkStart w:id="1846" w:name="_Toc146806831"/>
      <w:bookmarkStart w:id="1847" w:name="_Toc148704885"/>
      <w:bookmarkStart w:id="1848" w:name="_Toc149557843"/>
      <w:bookmarkStart w:id="1849" w:name="_Toc150785299"/>
      <w:bookmarkStart w:id="1850" w:name="_Toc150854753"/>
      <w:bookmarkStart w:id="1851" w:name="_Toc151991692"/>
      <w:bookmarkStart w:id="1852" w:name="_Toc152334792"/>
      <w:bookmarkStart w:id="1853" w:name="_Toc153271158"/>
      <w:bookmarkStart w:id="1854" w:name="_Toc157500993"/>
      <w:bookmarkStart w:id="1855" w:name="_Toc159232168"/>
      <w:bookmarkStart w:id="1856" w:name="_Toc145062677"/>
      <w:bookmarkStart w:id="1857" w:name="_Toc145067289"/>
      <w:bookmarkStart w:id="1858" w:name="_Toc146627605"/>
      <w:bookmarkStart w:id="1859" w:name="_Toc146629470"/>
      <w:bookmarkStart w:id="1860" w:name="_Toc146631332"/>
      <w:bookmarkStart w:id="1861" w:name="_Toc146633199"/>
      <w:bookmarkStart w:id="1862" w:name="_Toc146630926"/>
      <w:bookmarkStart w:id="1863" w:name="_Toc146793096"/>
      <w:bookmarkStart w:id="1864" w:name="_Toc146794792"/>
      <w:bookmarkStart w:id="1865" w:name="_Toc146796487"/>
      <w:bookmarkStart w:id="1866" w:name="_Toc146798177"/>
      <w:bookmarkStart w:id="1867" w:name="_Toc146800789"/>
      <w:bookmarkStart w:id="1868" w:name="_Toc146803424"/>
      <w:bookmarkStart w:id="1869" w:name="_Toc146805128"/>
      <w:bookmarkStart w:id="1870" w:name="_Toc146806832"/>
      <w:bookmarkStart w:id="1871" w:name="_Toc148704886"/>
      <w:bookmarkStart w:id="1872" w:name="_Toc149557844"/>
      <w:bookmarkStart w:id="1873" w:name="_Toc150785300"/>
      <w:bookmarkStart w:id="1874" w:name="_Toc150854754"/>
      <w:bookmarkStart w:id="1875" w:name="_Toc151991693"/>
      <w:bookmarkStart w:id="1876" w:name="_Toc152334793"/>
      <w:bookmarkStart w:id="1877" w:name="_Toc153271159"/>
      <w:bookmarkStart w:id="1878" w:name="_Toc157500994"/>
      <w:bookmarkStart w:id="1879" w:name="_Toc159232169"/>
      <w:bookmarkStart w:id="1880" w:name="_Toc145062678"/>
      <w:bookmarkStart w:id="1881" w:name="_Toc145067290"/>
      <w:bookmarkStart w:id="1882" w:name="_Toc146627606"/>
      <w:bookmarkStart w:id="1883" w:name="_Toc146629471"/>
      <w:bookmarkStart w:id="1884" w:name="_Toc146631333"/>
      <w:bookmarkStart w:id="1885" w:name="_Toc146633200"/>
      <w:bookmarkStart w:id="1886" w:name="_Toc146630927"/>
      <w:bookmarkStart w:id="1887" w:name="_Toc146793097"/>
      <w:bookmarkStart w:id="1888" w:name="_Toc146794793"/>
      <w:bookmarkStart w:id="1889" w:name="_Toc146796488"/>
      <w:bookmarkStart w:id="1890" w:name="_Toc146798178"/>
      <w:bookmarkStart w:id="1891" w:name="_Toc146800790"/>
      <w:bookmarkStart w:id="1892" w:name="_Toc146803425"/>
      <w:bookmarkStart w:id="1893" w:name="_Toc146805129"/>
      <w:bookmarkStart w:id="1894" w:name="_Toc146806833"/>
      <w:bookmarkStart w:id="1895" w:name="_Toc148704887"/>
      <w:bookmarkStart w:id="1896" w:name="_Toc149557845"/>
      <w:bookmarkStart w:id="1897" w:name="_Toc150785301"/>
      <w:bookmarkStart w:id="1898" w:name="_Toc150854755"/>
      <w:bookmarkStart w:id="1899" w:name="_Toc151991694"/>
      <w:bookmarkStart w:id="1900" w:name="_Toc152334794"/>
      <w:bookmarkStart w:id="1901" w:name="_Toc153271160"/>
      <w:bookmarkStart w:id="1902" w:name="_Toc157500995"/>
      <w:bookmarkStart w:id="1903" w:name="_Toc159232170"/>
      <w:bookmarkStart w:id="1904" w:name="_Toc145062679"/>
      <w:bookmarkStart w:id="1905" w:name="_Toc145067291"/>
      <w:bookmarkStart w:id="1906" w:name="_Toc146627607"/>
      <w:bookmarkStart w:id="1907" w:name="_Toc146629472"/>
      <w:bookmarkStart w:id="1908" w:name="_Toc146631334"/>
      <w:bookmarkStart w:id="1909" w:name="_Toc146633201"/>
      <w:bookmarkStart w:id="1910" w:name="_Toc146630928"/>
      <w:bookmarkStart w:id="1911" w:name="_Toc146793098"/>
      <w:bookmarkStart w:id="1912" w:name="_Toc146794794"/>
      <w:bookmarkStart w:id="1913" w:name="_Toc146796489"/>
      <w:bookmarkStart w:id="1914" w:name="_Toc146798179"/>
      <w:bookmarkStart w:id="1915" w:name="_Toc146800791"/>
      <w:bookmarkStart w:id="1916" w:name="_Toc146803426"/>
      <w:bookmarkStart w:id="1917" w:name="_Toc146805130"/>
      <w:bookmarkStart w:id="1918" w:name="_Toc146806834"/>
      <w:bookmarkStart w:id="1919" w:name="_Toc148704888"/>
      <w:bookmarkStart w:id="1920" w:name="_Toc149557846"/>
      <w:bookmarkStart w:id="1921" w:name="_Toc150785302"/>
      <w:bookmarkStart w:id="1922" w:name="_Toc150854756"/>
      <w:bookmarkStart w:id="1923" w:name="_Toc151991695"/>
      <w:bookmarkStart w:id="1924" w:name="_Toc152334795"/>
      <w:bookmarkStart w:id="1925" w:name="_Toc153271161"/>
      <w:bookmarkStart w:id="1926" w:name="_Toc157500996"/>
      <w:bookmarkStart w:id="1927" w:name="_Toc159232171"/>
      <w:bookmarkStart w:id="1928" w:name="_Toc145062680"/>
      <w:bookmarkStart w:id="1929" w:name="_Toc145067292"/>
      <w:bookmarkStart w:id="1930" w:name="_Toc146627608"/>
      <w:bookmarkStart w:id="1931" w:name="_Toc146629473"/>
      <w:bookmarkStart w:id="1932" w:name="_Toc146631335"/>
      <w:bookmarkStart w:id="1933" w:name="_Toc146633202"/>
      <w:bookmarkStart w:id="1934" w:name="_Toc146630929"/>
      <w:bookmarkStart w:id="1935" w:name="_Toc146793099"/>
      <w:bookmarkStart w:id="1936" w:name="_Toc146794795"/>
      <w:bookmarkStart w:id="1937" w:name="_Toc146796490"/>
      <w:bookmarkStart w:id="1938" w:name="_Toc146798180"/>
      <w:bookmarkStart w:id="1939" w:name="_Toc146800792"/>
      <w:bookmarkStart w:id="1940" w:name="_Toc146803427"/>
      <w:bookmarkStart w:id="1941" w:name="_Toc146805131"/>
      <w:bookmarkStart w:id="1942" w:name="_Toc146806835"/>
      <w:bookmarkStart w:id="1943" w:name="_Toc148704889"/>
      <w:bookmarkStart w:id="1944" w:name="_Toc149557847"/>
      <w:bookmarkStart w:id="1945" w:name="_Toc150785303"/>
      <w:bookmarkStart w:id="1946" w:name="_Toc150854757"/>
      <w:bookmarkStart w:id="1947" w:name="_Toc151991696"/>
      <w:bookmarkStart w:id="1948" w:name="_Toc152334796"/>
      <w:bookmarkStart w:id="1949" w:name="_Toc153271162"/>
      <w:bookmarkStart w:id="1950" w:name="_Toc157500997"/>
      <w:bookmarkStart w:id="1951" w:name="_Toc159232172"/>
      <w:bookmarkStart w:id="1952" w:name="_Toc145062681"/>
      <w:bookmarkStart w:id="1953" w:name="_Toc145067293"/>
      <w:bookmarkStart w:id="1954" w:name="_Toc146627609"/>
      <w:bookmarkStart w:id="1955" w:name="_Toc146629474"/>
      <w:bookmarkStart w:id="1956" w:name="_Toc146631336"/>
      <w:bookmarkStart w:id="1957" w:name="_Toc146633203"/>
      <w:bookmarkStart w:id="1958" w:name="_Toc146630930"/>
      <w:bookmarkStart w:id="1959" w:name="_Toc146793100"/>
      <w:bookmarkStart w:id="1960" w:name="_Toc146794796"/>
      <w:bookmarkStart w:id="1961" w:name="_Toc146796491"/>
      <w:bookmarkStart w:id="1962" w:name="_Toc146798181"/>
      <w:bookmarkStart w:id="1963" w:name="_Toc146800793"/>
      <w:bookmarkStart w:id="1964" w:name="_Toc146803428"/>
      <w:bookmarkStart w:id="1965" w:name="_Toc146805132"/>
      <w:bookmarkStart w:id="1966" w:name="_Toc146806836"/>
      <w:bookmarkStart w:id="1967" w:name="_Toc148704890"/>
      <w:bookmarkStart w:id="1968" w:name="_Toc149557848"/>
      <w:bookmarkStart w:id="1969" w:name="_Toc150785304"/>
      <w:bookmarkStart w:id="1970" w:name="_Toc150854758"/>
      <w:bookmarkStart w:id="1971" w:name="_Toc151991697"/>
      <w:bookmarkStart w:id="1972" w:name="_Toc152334797"/>
      <w:bookmarkStart w:id="1973" w:name="_Toc153271163"/>
      <w:bookmarkStart w:id="1974" w:name="_Toc157500998"/>
      <w:bookmarkStart w:id="1975" w:name="_Toc159232173"/>
      <w:bookmarkStart w:id="1976" w:name="_Toc145062682"/>
      <w:bookmarkStart w:id="1977" w:name="_Toc145067294"/>
      <w:bookmarkStart w:id="1978" w:name="_Toc146627610"/>
      <w:bookmarkStart w:id="1979" w:name="_Toc146629475"/>
      <w:bookmarkStart w:id="1980" w:name="_Toc146631337"/>
      <w:bookmarkStart w:id="1981" w:name="_Toc146633204"/>
      <w:bookmarkStart w:id="1982" w:name="_Toc146630931"/>
      <w:bookmarkStart w:id="1983" w:name="_Toc146793101"/>
      <w:bookmarkStart w:id="1984" w:name="_Toc146794797"/>
      <w:bookmarkStart w:id="1985" w:name="_Toc146796492"/>
      <w:bookmarkStart w:id="1986" w:name="_Toc146798182"/>
      <w:bookmarkStart w:id="1987" w:name="_Toc146800794"/>
      <w:bookmarkStart w:id="1988" w:name="_Toc146803429"/>
      <w:bookmarkStart w:id="1989" w:name="_Toc146805133"/>
      <w:bookmarkStart w:id="1990" w:name="_Toc146806837"/>
      <w:bookmarkStart w:id="1991" w:name="_Toc148704891"/>
      <w:bookmarkStart w:id="1992" w:name="_Toc149557849"/>
      <w:bookmarkStart w:id="1993" w:name="_Toc150785305"/>
      <w:bookmarkStart w:id="1994" w:name="_Toc150854759"/>
      <w:bookmarkStart w:id="1995" w:name="_Toc151991698"/>
      <w:bookmarkStart w:id="1996" w:name="_Toc152334798"/>
      <w:bookmarkStart w:id="1997" w:name="_Toc153271164"/>
      <w:bookmarkStart w:id="1998" w:name="_Toc157500999"/>
      <w:bookmarkStart w:id="1999" w:name="_Toc159232174"/>
      <w:bookmarkStart w:id="2000" w:name="_Toc145062683"/>
      <w:bookmarkStart w:id="2001" w:name="_Toc145067295"/>
      <w:bookmarkStart w:id="2002" w:name="_Toc146627611"/>
      <w:bookmarkStart w:id="2003" w:name="_Toc146629476"/>
      <w:bookmarkStart w:id="2004" w:name="_Toc146631338"/>
      <w:bookmarkStart w:id="2005" w:name="_Toc146633205"/>
      <w:bookmarkStart w:id="2006" w:name="_Toc146630932"/>
      <w:bookmarkStart w:id="2007" w:name="_Toc146793102"/>
      <w:bookmarkStart w:id="2008" w:name="_Toc146794798"/>
      <w:bookmarkStart w:id="2009" w:name="_Toc146796493"/>
      <w:bookmarkStart w:id="2010" w:name="_Toc146798183"/>
      <w:bookmarkStart w:id="2011" w:name="_Toc146800795"/>
      <w:bookmarkStart w:id="2012" w:name="_Toc146803430"/>
      <w:bookmarkStart w:id="2013" w:name="_Toc146805134"/>
      <w:bookmarkStart w:id="2014" w:name="_Toc146806838"/>
      <w:bookmarkStart w:id="2015" w:name="_Toc148704892"/>
      <w:bookmarkStart w:id="2016" w:name="_Toc149557850"/>
      <w:bookmarkStart w:id="2017" w:name="_Toc150785306"/>
      <w:bookmarkStart w:id="2018" w:name="_Toc150854760"/>
      <w:bookmarkStart w:id="2019" w:name="_Toc151991699"/>
      <w:bookmarkStart w:id="2020" w:name="_Toc152334799"/>
      <w:bookmarkStart w:id="2021" w:name="_Toc153271165"/>
      <w:bookmarkStart w:id="2022" w:name="_Toc157501000"/>
      <w:bookmarkStart w:id="2023" w:name="_Toc159232175"/>
      <w:bookmarkStart w:id="2024" w:name="_Toc145062684"/>
      <w:bookmarkStart w:id="2025" w:name="_Toc145067296"/>
      <w:bookmarkStart w:id="2026" w:name="_Toc146627612"/>
      <w:bookmarkStart w:id="2027" w:name="_Toc146629477"/>
      <w:bookmarkStart w:id="2028" w:name="_Toc146631339"/>
      <w:bookmarkStart w:id="2029" w:name="_Toc146633206"/>
      <w:bookmarkStart w:id="2030" w:name="_Toc146630933"/>
      <w:bookmarkStart w:id="2031" w:name="_Toc146793103"/>
      <w:bookmarkStart w:id="2032" w:name="_Toc146794799"/>
      <w:bookmarkStart w:id="2033" w:name="_Toc146796494"/>
      <w:bookmarkStart w:id="2034" w:name="_Toc146798184"/>
      <w:bookmarkStart w:id="2035" w:name="_Toc146800796"/>
      <w:bookmarkStart w:id="2036" w:name="_Toc146803431"/>
      <w:bookmarkStart w:id="2037" w:name="_Toc146805135"/>
      <w:bookmarkStart w:id="2038" w:name="_Toc146806839"/>
      <w:bookmarkStart w:id="2039" w:name="_Toc148704893"/>
      <w:bookmarkStart w:id="2040" w:name="_Toc149557851"/>
      <w:bookmarkStart w:id="2041" w:name="_Toc150785307"/>
      <w:bookmarkStart w:id="2042" w:name="_Toc150854761"/>
      <w:bookmarkStart w:id="2043" w:name="_Toc151991700"/>
      <w:bookmarkStart w:id="2044" w:name="_Toc152334800"/>
      <w:bookmarkStart w:id="2045" w:name="_Toc153271166"/>
      <w:bookmarkStart w:id="2046" w:name="_Toc157501001"/>
      <w:bookmarkStart w:id="2047" w:name="_Toc159232176"/>
      <w:bookmarkStart w:id="2048" w:name="_Toc145062685"/>
      <w:bookmarkStart w:id="2049" w:name="_Toc145067297"/>
      <w:bookmarkStart w:id="2050" w:name="_Toc146627613"/>
      <w:bookmarkStart w:id="2051" w:name="_Toc146629478"/>
      <w:bookmarkStart w:id="2052" w:name="_Toc146631340"/>
      <w:bookmarkStart w:id="2053" w:name="_Toc146633207"/>
      <w:bookmarkStart w:id="2054" w:name="_Toc146630934"/>
      <w:bookmarkStart w:id="2055" w:name="_Toc146793104"/>
      <w:bookmarkStart w:id="2056" w:name="_Toc146794800"/>
      <w:bookmarkStart w:id="2057" w:name="_Toc146796495"/>
      <w:bookmarkStart w:id="2058" w:name="_Toc146798185"/>
      <w:bookmarkStart w:id="2059" w:name="_Toc146800797"/>
      <w:bookmarkStart w:id="2060" w:name="_Toc146803432"/>
      <w:bookmarkStart w:id="2061" w:name="_Toc146805136"/>
      <w:bookmarkStart w:id="2062" w:name="_Toc146806840"/>
      <w:bookmarkStart w:id="2063" w:name="_Toc148704894"/>
      <w:bookmarkStart w:id="2064" w:name="_Toc149557852"/>
      <w:bookmarkStart w:id="2065" w:name="_Toc150785308"/>
      <w:bookmarkStart w:id="2066" w:name="_Toc150854762"/>
      <w:bookmarkStart w:id="2067" w:name="_Toc151991701"/>
      <w:bookmarkStart w:id="2068" w:name="_Toc152334801"/>
      <w:bookmarkStart w:id="2069" w:name="_Toc153271167"/>
      <w:bookmarkStart w:id="2070" w:name="_Toc157501002"/>
      <w:bookmarkStart w:id="2071" w:name="_Toc159232177"/>
      <w:bookmarkStart w:id="2072" w:name="_Toc145062686"/>
      <w:bookmarkStart w:id="2073" w:name="_Toc145067298"/>
      <w:bookmarkStart w:id="2074" w:name="_Toc146627614"/>
      <w:bookmarkStart w:id="2075" w:name="_Toc146629479"/>
      <w:bookmarkStart w:id="2076" w:name="_Toc146631341"/>
      <w:bookmarkStart w:id="2077" w:name="_Toc146633208"/>
      <w:bookmarkStart w:id="2078" w:name="_Toc146630935"/>
      <w:bookmarkStart w:id="2079" w:name="_Toc146793105"/>
      <w:bookmarkStart w:id="2080" w:name="_Toc146794801"/>
      <w:bookmarkStart w:id="2081" w:name="_Toc146796496"/>
      <w:bookmarkStart w:id="2082" w:name="_Toc146798186"/>
      <w:bookmarkStart w:id="2083" w:name="_Toc146800798"/>
      <w:bookmarkStart w:id="2084" w:name="_Toc146803433"/>
      <w:bookmarkStart w:id="2085" w:name="_Toc146805137"/>
      <w:bookmarkStart w:id="2086" w:name="_Toc146806841"/>
      <w:bookmarkStart w:id="2087" w:name="_Toc148704895"/>
      <w:bookmarkStart w:id="2088" w:name="_Toc149557853"/>
      <w:bookmarkStart w:id="2089" w:name="_Toc150785309"/>
      <w:bookmarkStart w:id="2090" w:name="_Toc150854763"/>
      <w:bookmarkStart w:id="2091" w:name="_Toc151991702"/>
      <w:bookmarkStart w:id="2092" w:name="_Toc152334802"/>
      <w:bookmarkStart w:id="2093" w:name="_Toc153271168"/>
      <w:bookmarkStart w:id="2094" w:name="_Toc157501003"/>
      <w:bookmarkStart w:id="2095" w:name="_Toc159232178"/>
      <w:bookmarkStart w:id="2096" w:name="_Ref93997694"/>
      <w:bookmarkStart w:id="2097" w:name="_Ref93997957"/>
      <w:bookmarkStart w:id="2098" w:name="_Toc163740168"/>
      <w:bookmarkStart w:id="2099" w:name="_Toc213771822"/>
      <w:bookmarkStart w:id="2100" w:name="_Ref262629048"/>
      <w:bookmarkStart w:id="2101" w:name="_Toc263173286"/>
      <w:bookmarkStart w:id="2102" w:name="_Toc263795436"/>
      <w:bookmarkEnd w:id="1658"/>
      <w:bookmarkEnd w:id="1659"/>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Pr="00D1363C">
        <w:t>Electric Storage Resource (ESR)</w:t>
      </w:r>
      <w:bookmarkEnd w:id="2096"/>
      <w:bookmarkEnd w:id="2097"/>
      <w:bookmarkEnd w:id="2098"/>
      <w:bookmarkEnd w:id="2099"/>
    </w:p>
    <w:p w14:paraId="702A69FC" w14:textId="77777777" w:rsidR="00C70F99" w:rsidRPr="00D1363C" w:rsidRDefault="00C70F99" w:rsidP="00C70F99">
      <w:pPr>
        <w:spacing w:line="300" w:lineRule="auto"/>
      </w:pPr>
      <w:r w:rsidRPr="00D1363C">
        <w:t>ESRs may register as any valid Resource type and are subject to the same service provision rules as any other Resource within that type.</w:t>
      </w:r>
    </w:p>
    <w:p w14:paraId="2630CF47" w14:textId="77777777" w:rsidR="00C70F99" w:rsidRPr="00D1363C" w:rsidRDefault="00C70F99" w:rsidP="00C35DA0">
      <w:pPr>
        <w:numPr>
          <w:ilvl w:val="0"/>
          <w:numId w:val="5"/>
        </w:numPr>
        <w:tabs>
          <w:tab w:val="clear" w:pos="1440"/>
        </w:tabs>
        <w:spacing w:line="300" w:lineRule="auto"/>
        <w:ind w:left="720" w:hanging="720"/>
        <w:contextualSpacing/>
      </w:pPr>
      <w:r w:rsidRPr="00D1363C">
        <w:t xml:space="preserve">If not registered as a Market Storage Resource (MSR), the energy withdrawal from the transmission system must be included in a Load Settlement Location and </w:t>
      </w:r>
      <w:r>
        <w:t>is</w:t>
      </w:r>
      <w:r w:rsidRPr="00D1363C">
        <w:t xml:space="preserve"> subject to the same rules as other </w:t>
      </w:r>
      <w:r>
        <w:t>l</w:t>
      </w:r>
      <w:r w:rsidRPr="00D1363C">
        <w:t xml:space="preserve">oad.  </w:t>
      </w:r>
    </w:p>
    <w:p w14:paraId="398C8B78" w14:textId="77777777" w:rsidR="00C70F99" w:rsidRPr="00D1363C" w:rsidRDefault="00C70F99" w:rsidP="00C35DA0">
      <w:pPr>
        <w:numPr>
          <w:ilvl w:val="0"/>
          <w:numId w:val="5"/>
        </w:numPr>
        <w:tabs>
          <w:tab w:val="clear" w:pos="1440"/>
        </w:tabs>
        <w:spacing w:line="300" w:lineRule="auto"/>
        <w:ind w:left="720" w:hanging="720"/>
        <w:contextualSpacing/>
      </w:pPr>
      <w:r w:rsidRPr="00D1363C">
        <w:t>If an ESR is registered as an MSR, the following applies:</w:t>
      </w:r>
    </w:p>
    <w:p w14:paraId="5FCF48AB" w14:textId="77777777" w:rsidR="00C70F99" w:rsidRPr="00D1363C" w:rsidRDefault="00C70F99" w:rsidP="00C70F99">
      <w:pPr>
        <w:spacing w:line="300" w:lineRule="auto"/>
        <w:ind w:left="1440" w:hanging="720"/>
      </w:pPr>
      <w:r w:rsidRPr="00D1363C">
        <w:t>a)</w:t>
      </w:r>
      <w:r w:rsidRPr="00D1363C">
        <w:tab/>
        <w:t>An MSR is a type of Resource created to model ESRs that choose to participate as a Resource that can both inject into and withdraw from the transmission system with the intent to resell the withdrawn energy back into the market.</w:t>
      </w:r>
    </w:p>
    <w:p w14:paraId="2E23AC4D" w14:textId="77777777" w:rsidR="00C70F99" w:rsidRPr="00D1363C" w:rsidRDefault="00C70F99" w:rsidP="00C70F99">
      <w:pPr>
        <w:spacing w:line="300" w:lineRule="auto"/>
        <w:ind w:left="1440" w:hanging="720"/>
        <w:contextualSpacing/>
      </w:pPr>
      <w:r w:rsidRPr="00D1363C">
        <w:t>b)</w:t>
      </w:r>
      <w:r w:rsidRPr="00D1363C">
        <w:tab/>
        <w:t>MSRs may provide Energy and Flexibility Reserve Products upon meeting the technical and applicable requirements for these services.</w:t>
      </w:r>
    </w:p>
    <w:p w14:paraId="2995DA32" w14:textId="77777777" w:rsidR="00C70F99" w:rsidRPr="00D1363C" w:rsidRDefault="00C70F99" w:rsidP="00C70F99">
      <w:pPr>
        <w:spacing w:line="300" w:lineRule="auto"/>
        <w:ind w:left="1440" w:hanging="720"/>
        <w:contextualSpacing/>
      </w:pPr>
      <w:r w:rsidRPr="00D1363C">
        <w:t>c)</w:t>
      </w:r>
      <w:r w:rsidRPr="00D1363C">
        <w:tab/>
        <w:t xml:space="preserve">MSR Offer Curves may include negative MW values to account for the entire dispatchable range of the MSR.  </w:t>
      </w:r>
    </w:p>
    <w:p w14:paraId="74E069EE" w14:textId="5C353041" w:rsidR="00C70F99" w:rsidRPr="00D1363C" w:rsidRDefault="00C70F99" w:rsidP="00C70F99">
      <w:pPr>
        <w:spacing w:line="300" w:lineRule="auto"/>
        <w:ind w:left="1440" w:hanging="720"/>
        <w:contextualSpacing/>
      </w:pPr>
      <w:r w:rsidRPr="00D1363C">
        <w:t>d)</w:t>
      </w:r>
      <w:r w:rsidRPr="00D1363C">
        <w:tab/>
        <w:t>An MSR is modeled in the Commercial Model, similar to other Resource types, with a defined Settlement Location and associated P</w:t>
      </w:r>
      <w:r w:rsidR="004B7819">
        <w:t>n</w:t>
      </w:r>
      <w:r w:rsidRPr="00D1363C">
        <w:t>ode.</w:t>
      </w:r>
    </w:p>
    <w:p w14:paraId="604CD163" w14:textId="77777777" w:rsidR="00C70F99" w:rsidRPr="00D1363C" w:rsidRDefault="00C70F99" w:rsidP="00C70F99">
      <w:pPr>
        <w:spacing w:line="300" w:lineRule="auto"/>
        <w:ind w:left="1440" w:hanging="720"/>
        <w:contextualSpacing/>
      </w:pPr>
      <w:r w:rsidRPr="00D1363C">
        <w:t>e)</w:t>
      </w:r>
      <w:r w:rsidRPr="00D1363C">
        <w:tab/>
        <w:t xml:space="preserve">An MSR must register Auxiliary Load as described under Section </w:t>
      </w:r>
      <w:r w:rsidRPr="00D1363C">
        <w:fldChar w:fldCharType="begin"/>
      </w:r>
      <w:r w:rsidRPr="00D1363C">
        <w:instrText xml:space="preserve"> REF _Ref371340817 \r \h  \* MERGEFORMAT </w:instrText>
      </w:r>
      <w:r w:rsidRPr="00D1363C">
        <w:fldChar w:fldCharType="separate"/>
      </w:r>
      <w:r w:rsidRPr="00D1363C">
        <w:t>9.1.11</w:t>
      </w:r>
      <w:r w:rsidRPr="00D1363C">
        <w:fldChar w:fldCharType="end"/>
      </w:r>
      <w:r w:rsidRPr="00D1363C">
        <w:t xml:space="preserve">(1)(2). </w:t>
      </w:r>
    </w:p>
    <w:p w14:paraId="7E099B9A" w14:textId="2219903B" w:rsidR="00C70F99" w:rsidRPr="00D1363C" w:rsidRDefault="00C70F99" w:rsidP="00C70F99">
      <w:pPr>
        <w:spacing w:line="300" w:lineRule="auto"/>
        <w:ind w:left="1440" w:hanging="720"/>
        <w:contextualSpacing/>
      </w:pPr>
      <w:r w:rsidRPr="00D1363C">
        <w:t>f)</w:t>
      </w:r>
      <w:r w:rsidRPr="00D1363C">
        <w:tab/>
        <w:t>An MSR that chooses to schedule a target MW to withdraw in order to manage its State of Charge will do so by setting its Maximum Charge Limit equal to its Minimum Charge Limit.</w:t>
      </w:r>
    </w:p>
    <w:p w14:paraId="51A35E94" w14:textId="77777777" w:rsidR="00C70F99" w:rsidRPr="00D1363C" w:rsidRDefault="00C70F99" w:rsidP="00C70F99">
      <w:pPr>
        <w:spacing w:line="300" w:lineRule="auto"/>
        <w:ind w:left="1440" w:hanging="720"/>
        <w:contextualSpacing/>
      </w:pPr>
      <w:r w:rsidRPr="00D1363C">
        <w:t>g)</w:t>
      </w:r>
      <w:r w:rsidRPr="00D1363C">
        <w:tab/>
        <w:t>An MSR that chooses to schedule a target MW to inject in order to manage its State of Charge will do so by setting its Maximum Discharge Limit equal to its Minimum Discharge Limit.</w:t>
      </w:r>
    </w:p>
    <w:p w14:paraId="03702285" w14:textId="77777777" w:rsidR="00C70F99" w:rsidRPr="00D1363C" w:rsidRDefault="00C70F99" w:rsidP="00C70F99">
      <w:pPr>
        <w:spacing w:line="300" w:lineRule="auto"/>
        <w:ind w:left="1440" w:hanging="720"/>
        <w:contextualSpacing/>
      </w:pPr>
      <w:r w:rsidRPr="00D1363C">
        <w:t>h)</w:t>
      </w:r>
      <w:r w:rsidRPr="00D1363C">
        <w:tab/>
        <w:t xml:space="preserve">The following Resource Offer parameters as described under Section </w:t>
      </w:r>
      <w:r w:rsidRPr="00D1363C">
        <w:fldChar w:fldCharType="begin"/>
      </w:r>
      <w:r w:rsidRPr="00D1363C">
        <w:instrText xml:space="preserve"> REF _Ref76733048 \r \h  \* MERGEFORMAT </w:instrText>
      </w:r>
      <w:r w:rsidRPr="00D1363C">
        <w:fldChar w:fldCharType="separate"/>
      </w:r>
      <w:r w:rsidRPr="00D1363C">
        <w:t>4.2.2.1</w:t>
      </w:r>
      <w:r w:rsidRPr="00D1363C">
        <w:fldChar w:fldCharType="end"/>
      </w:r>
      <w:r w:rsidRPr="00D1363C">
        <w:t xml:space="preserve"> are not valid for an MSR: a) Hot and intermediate start-up offers, and b) capacity operating limits that are not related to charging and discharging.</w:t>
      </w:r>
    </w:p>
    <w:p w14:paraId="7FE8F81E" w14:textId="7F8922A6" w:rsidR="00C70F99" w:rsidRPr="00D1363C" w:rsidRDefault="00C70F99" w:rsidP="00C70F99">
      <w:pPr>
        <w:spacing w:line="300" w:lineRule="auto"/>
        <w:ind w:left="1440" w:hanging="720"/>
        <w:contextualSpacing/>
      </w:pPr>
      <w:r w:rsidRPr="00D1363C">
        <w:t>i)</w:t>
      </w:r>
      <w:r w:rsidRPr="00D1363C">
        <w:tab/>
        <w:t xml:space="preserve">The Minimum and Maximum </w:t>
      </w:r>
      <w:r>
        <w:t>Economic</w:t>
      </w:r>
      <w:r w:rsidRPr="00D1363C">
        <w:t xml:space="preserve"> Capacity Run Times will apply to MSR</w:t>
      </w:r>
      <w:r w:rsidR="002A6D74">
        <w:t>’</w:t>
      </w:r>
      <w:r w:rsidRPr="00D1363C">
        <w:t>s charging and discharging range.</w:t>
      </w:r>
    </w:p>
    <w:p w14:paraId="278392C2" w14:textId="4B032FDE" w:rsidR="00C70F99" w:rsidRPr="00D1363C" w:rsidRDefault="00C70F99" w:rsidP="00C70F99">
      <w:pPr>
        <w:spacing w:line="300" w:lineRule="auto"/>
        <w:ind w:left="1440" w:hanging="720"/>
        <w:contextualSpacing/>
      </w:pPr>
      <w:r w:rsidRPr="00D1363C">
        <w:t>j)</w:t>
      </w:r>
      <w:r w:rsidRPr="00D1363C">
        <w:tab/>
        <w:t xml:space="preserve">An MSR’s Maximum and Minimum State of Charge, Maximum and Minimum Charging and Discharging </w:t>
      </w:r>
      <w:r w:rsidR="00D967DD">
        <w:t>L</w:t>
      </w:r>
      <w:r w:rsidRPr="00D1363C">
        <w:t>imits will be used for the available range to clear all market products.</w:t>
      </w:r>
    </w:p>
    <w:p w14:paraId="45294480" w14:textId="77777777" w:rsidR="00C70F99" w:rsidRPr="00D1363C" w:rsidRDefault="00C70F99" w:rsidP="00C70F99">
      <w:pPr>
        <w:spacing w:line="300" w:lineRule="auto"/>
        <w:ind w:left="1440" w:hanging="720"/>
        <w:contextualSpacing/>
      </w:pPr>
      <w:r w:rsidRPr="00D1363C">
        <w:t>l)</w:t>
      </w:r>
      <w:r w:rsidRPr="00D1363C">
        <w:tab/>
        <w:t>As with other Resources, the metering requirements for MSRs include real-time and settlement quality metering.  For MSRs that are not directly connected to the transmission system, metering may include facilities used by the distribution company.</w:t>
      </w:r>
    </w:p>
    <w:p w14:paraId="5B35BD3D" w14:textId="77777777" w:rsidR="00C70F99" w:rsidRPr="00D1363C" w:rsidRDefault="00C70F99" w:rsidP="00574654">
      <w:pPr>
        <w:pStyle w:val="Heading5"/>
      </w:pPr>
      <w:bookmarkStart w:id="2103" w:name="_Toc163740169"/>
      <w:bookmarkStart w:id="2104" w:name="_Toc213771823"/>
      <w:r w:rsidRPr="00D1363C">
        <w:t>Hybrid Storage Market Resource (HSMR)</w:t>
      </w:r>
      <w:bookmarkEnd w:id="2103"/>
      <w:bookmarkEnd w:id="2104"/>
    </w:p>
    <w:p w14:paraId="37A9A5BA" w14:textId="0630D08E" w:rsidR="00C70F99" w:rsidRPr="00D1363C" w:rsidRDefault="00C70F99" w:rsidP="00C70F99">
      <w:pPr>
        <w:spacing w:line="300" w:lineRule="auto"/>
      </w:pPr>
      <w:r w:rsidRPr="00D1363C">
        <w:t xml:space="preserve">HSMRs may register as any valid Resource type and are subject to the same service provision rules as any other Resource within that type.  HSMRs are also eligible to register as MSRs described </w:t>
      </w:r>
      <w:r w:rsidRPr="00BC2DFE">
        <w:t xml:space="preserve">in Section </w:t>
      </w:r>
      <w:r w:rsidR="006338FC">
        <w:fldChar w:fldCharType="begin"/>
      </w:r>
      <w:r w:rsidR="006338FC">
        <w:instrText xml:space="preserve"> REF _Ref93997694 \r \h </w:instrText>
      </w:r>
      <w:r w:rsidR="006338FC">
        <w:fldChar w:fldCharType="separate"/>
      </w:r>
      <w:r w:rsidR="006338FC">
        <w:t>4.2.2.5.2</w:t>
      </w:r>
      <w:r w:rsidR="006338FC">
        <w:fldChar w:fldCharType="end"/>
      </w:r>
      <w:r w:rsidRPr="00BC2DFE">
        <w:t xml:space="preserve"> and Section </w:t>
      </w:r>
      <w:r w:rsidR="006338FC">
        <w:fldChar w:fldCharType="begin"/>
      </w:r>
      <w:r w:rsidR="006338FC">
        <w:instrText xml:space="preserve"> REF _Ref73010983 \r \h </w:instrText>
      </w:r>
      <w:r w:rsidR="006338FC">
        <w:fldChar w:fldCharType="separate"/>
      </w:r>
      <w:r w:rsidR="006338FC">
        <w:t>9.1.12</w:t>
      </w:r>
      <w:r w:rsidR="006338FC">
        <w:fldChar w:fldCharType="end"/>
      </w:r>
      <w:r w:rsidRPr="00BC2DFE">
        <w:t>.</w:t>
      </w:r>
    </w:p>
    <w:p w14:paraId="02479EE0" w14:textId="5164C973" w:rsidR="00C70F99" w:rsidRPr="00D1363C" w:rsidRDefault="00C70F99" w:rsidP="00C35DA0">
      <w:pPr>
        <w:numPr>
          <w:ilvl w:val="0"/>
          <w:numId w:val="65"/>
        </w:numPr>
        <w:spacing w:line="300" w:lineRule="auto"/>
        <w:ind w:hanging="540"/>
        <w:rPr>
          <w:szCs w:val="24"/>
        </w:rPr>
      </w:pPr>
      <w:r w:rsidRPr="00D1363C">
        <w:rPr>
          <w:szCs w:val="24"/>
        </w:rPr>
        <w:t>HSMRs directly connected to the transmission system will have the generating resource(s) modeled separately behind a single point of interconnection in the Network Model.  Physical and operational characteristics, real-time telemetry</w:t>
      </w:r>
      <w:r w:rsidRPr="3507D7EB">
        <w:rPr>
          <w:szCs w:val="24"/>
        </w:rPr>
        <w:t>,</w:t>
      </w:r>
      <w:r w:rsidRPr="00D1363C">
        <w:rPr>
          <w:szCs w:val="24"/>
        </w:rPr>
        <w:t xml:space="preserve"> and other information for the generating resource(s) and the ESR(s) must be provided for individual components to the Market Operator through telemetry using ICCP.  For HSMRs that include wind or solar resources, the data specifications in the subsections of Section </w:t>
      </w:r>
      <w:r w:rsidRPr="00D1363C">
        <w:rPr>
          <w:szCs w:val="24"/>
        </w:rPr>
        <w:fldChar w:fldCharType="begin"/>
      </w:r>
      <w:r w:rsidRPr="00D1363C">
        <w:rPr>
          <w:szCs w:val="24"/>
        </w:rPr>
        <w:instrText xml:space="preserve"> REF _Ref93997888 \r \h  \* MERGEFORMAT </w:instrText>
      </w:r>
      <w:r w:rsidRPr="00D1363C">
        <w:rPr>
          <w:szCs w:val="24"/>
        </w:rPr>
      </w:r>
      <w:r w:rsidRPr="00D1363C">
        <w:rPr>
          <w:szCs w:val="24"/>
        </w:rPr>
        <w:fldChar w:fldCharType="separate"/>
      </w:r>
      <w:r w:rsidRPr="00D1363C">
        <w:rPr>
          <w:szCs w:val="24"/>
        </w:rPr>
        <w:t>4.1.2</w:t>
      </w:r>
      <w:r w:rsidRPr="00D1363C">
        <w:rPr>
          <w:szCs w:val="24"/>
        </w:rPr>
        <w:fldChar w:fldCharType="end"/>
      </w:r>
      <w:r w:rsidRPr="00D1363C">
        <w:rPr>
          <w:szCs w:val="24"/>
        </w:rPr>
        <w:t xml:space="preserve"> will be required for the wind and solar resources including the Real-Time Capability.  The submitted revenue meter data for settlement of the Resource response will represent the total combined HSMR response at the point of interconnection.</w:t>
      </w:r>
    </w:p>
    <w:p w14:paraId="10A6A3BC" w14:textId="77777777" w:rsidR="00C70F99" w:rsidRPr="00D1363C" w:rsidRDefault="00C70F99" w:rsidP="00C35DA0">
      <w:pPr>
        <w:numPr>
          <w:ilvl w:val="0"/>
          <w:numId w:val="65"/>
        </w:numPr>
        <w:spacing w:line="300" w:lineRule="auto"/>
        <w:ind w:hanging="540"/>
      </w:pPr>
      <w:r w:rsidRPr="00D1363C">
        <w:t>If an HSMR is not registered as an MSR, then the Energy withdrawal from the transmission system must be included in a load Settlement Location and is subject to the same rules as other load.</w:t>
      </w:r>
    </w:p>
    <w:p w14:paraId="63E42B27" w14:textId="19BD879E" w:rsidR="00C70F99" w:rsidRPr="00D1363C" w:rsidRDefault="00C70F99" w:rsidP="00C35DA0">
      <w:pPr>
        <w:numPr>
          <w:ilvl w:val="0"/>
          <w:numId w:val="65"/>
        </w:numPr>
        <w:spacing w:line="300" w:lineRule="auto"/>
        <w:ind w:hanging="540"/>
      </w:pPr>
      <w:r w:rsidRPr="00D1363C">
        <w:t xml:space="preserve">If an HSMR is registered as an MSR, then the rules </w:t>
      </w:r>
      <w:r w:rsidRPr="00BC2DFE">
        <w:t xml:space="preserve">in Section </w:t>
      </w:r>
      <w:r w:rsidR="00320C22">
        <w:fldChar w:fldCharType="begin"/>
      </w:r>
      <w:r w:rsidR="00320C22">
        <w:instrText xml:space="preserve"> REF _Ref93997694 \r \h </w:instrText>
      </w:r>
      <w:r w:rsidR="00320C22">
        <w:fldChar w:fldCharType="separate"/>
      </w:r>
      <w:r w:rsidR="00320C22">
        <w:t>4.2.2.5.2</w:t>
      </w:r>
      <w:r w:rsidR="00320C22">
        <w:fldChar w:fldCharType="end"/>
      </w:r>
      <w:r w:rsidRPr="00BC2DFE">
        <w:t xml:space="preserve"> apply</w:t>
      </w:r>
      <w:r w:rsidRPr="00D1363C">
        <w:t>.</w:t>
      </w:r>
    </w:p>
    <w:p w14:paraId="43586F6E" w14:textId="77777777" w:rsidR="00C70F99" w:rsidRPr="00D1363C" w:rsidRDefault="00C70F99" w:rsidP="00574654">
      <w:pPr>
        <w:pStyle w:val="Heading5"/>
      </w:pPr>
      <w:bookmarkStart w:id="2105" w:name="_Toc163740170"/>
      <w:bookmarkStart w:id="2106" w:name="_Ref210121989"/>
      <w:bookmarkStart w:id="2107" w:name="_Toc213771824"/>
      <w:bookmarkStart w:id="2108" w:name="_Ref258932661"/>
      <w:bookmarkStart w:id="2109" w:name="_Ref262715947"/>
      <w:bookmarkStart w:id="2110" w:name="_Ref262716178"/>
      <w:bookmarkStart w:id="2111" w:name="_Toc263173287"/>
      <w:bookmarkStart w:id="2112" w:name="_Toc263795437"/>
      <w:bookmarkStart w:id="2113" w:name="OLE_LINK52"/>
      <w:bookmarkStart w:id="2114" w:name="OLE_LINK53"/>
      <w:bookmarkStart w:id="2115" w:name="OLE_LINK104"/>
      <w:r w:rsidRPr="00D1363C">
        <w:t>Variable Energy Resources (VER)</w:t>
      </w:r>
      <w:bookmarkEnd w:id="2105"/>
      <w:bookmarkEnd w:id="2106"/>
      <w:bookmarkEnd w:id="2107"/>
    </w:p>
    <w:p w14:paraId="32B796E5" w14:textId="0FD985EE" w:rsidR="00C70F99" w:rsidRPr="00D1363C" w:rsidRDefault="00C70F99" w:rsidP="00C70F99">
      <w:pPr>
        <w:spacing w:before="120" w:after="0" w:line="300" w:lineRule="auto"/>
        <w:rPr>
          <w:szCs w:val="24"/>
        </w:rPr>
      </w:pPr>
      <w:r w:rsidRPr="00D1363C">
        <w:rPr>
          <w:szCs w:val="24"/>
        </w:rPr>
        <w:t xml:space="preserve">VERs may register as any valid Resource participation type, including the following Resource participation types in Sections </w:t>
      </w:r>
      <w:r w:rsidR="00D61B9C">
        <w:rPr>
          <w:szCs w:val="24"/>
        </w:rPr>
        <w:fldChar w:fldCharType="begin"/>
      </w:r>
      <w:r w:rsidR="00D61B9C">
        <w:rPr>
          <w:szCs w:val="24"/>
        </w:rPr>
        <w:instrText xml:space="preserve"> REF _Ref195097551 \r \h </w:instrText>
      </w:r>
      <w:r w:rsidR="00D61B9C">
        <w:rPr>
          <w:szCs w:val="24"/>
        </w:rPr>
      </w:r>
      <w:r w:rsidR="00D61B9C">
        <w:rPr>
          <w:szCs w:val="24"/>
        </w:rPr>
        <w:fldChar w:fldCharType="separate"/>
      </w:r>
      <w:r w:rsidR="00D61B9C">
        <w:rPr>
          <w:szCs w:val="24"/>
        </w:rPr>
        <w:t>4.2.2.5.4.1</w:t>
      </w:r>
      <w:r w:rsidR="00D61B9C">
        <w:rPr>
          <w:szCs w:val="24"/>
        </w:rPr>
        <w:fldChar w:fldCharType="end"/>
      </w:r>
      <w:r w:rsidRPr="00D1363C">
        <w:rPr>
          <w:szCs w:val="24"/>
        </w:rPr>
        <w:t xml:space="preserve"> and </w:t>
      </w:r>
      <w:r w:rsidR="00D61B9C">
        <w:rPr>
          <w:szCs w:val="24"/>
        </w:rPr>
        <w:fldChar w:fldCharType="begin"/>
      </w:r>
      <w:r w:rsidR="00D61B9C">
        <w:rPr>
          <w:szCs w:val="24"/>
        </w:rPr>
        <w:instrText xml:space="preserve"> REF _Ref195097569 \r \h </w:instrText>
      </w:r>
      <w:r w:rsidR="00D61B9C">
        <w:rPr>
          <w:szCs w:val="24"/>
        </w:rPr>
      </w:r>
      <w:r w:rsidR="00D61B9C">
        <w:rPr>
          <w:szCs w:val="24"/>
        </w:rPr>
        <w:fldChar w:fldCharType="separate"/>
      </w:r>
      <w:r w:rsidR="00D61B9C">
        <w:rPr>
          <w:szCs w:val="24"/>
        </w:rPr>
        <w:t>4.2.2.5.4.2</w:t>
      </w:r>
      <w:r w:rsidR="00D61B9C">
        <w:rPr>
          <w:szCs w:val="24"/>
        </w:rPr>
        <w:fldChar w:fldCharType="end"/>
      </w:r>
      <w:r w:rsidRPr="00D1363C">
        <w:rPr>
          <w:szCs w:val="24"/>
        </w:rPr>
        <w:t>.</w:t>
      </w:r>
    </w:p>
    <w:p w14:paraId="4824910E" w14:textId="327155A1" w:rsidR="00C70F99" w:rsidRPr="00D1363C" w:rsidRDefault="00C70F99" w:rsidP="00D61B9C">
      <w:pPr>
        <w:pStyle w:val="Heading6"/>
        <w:rPr>
          <w:bCs/>
        </w:rPr>
      </w:pPr>
      <w:bookmarkStart w:id="2116" w:name="_Toc163740171"/>
      <w:bookmarkStart w:id="2117" w:name="_Ref195097551"/>
      <w:bookmarkStart w:id="2118" w:name="_Toc213771825"/>
      <w:r w:rsidRPr="00D1363C">
        <w:t>Dispatchable Variable Energy Resources</w:t>
      </w:r>
      <w:bookmarkEnd w:id="2116"/>
      <w:r>
        <w:t xml:space="preserve"> (DVER)</w:t>
      </w:r>
      <w:bookmarkEnd w:id="2117"/>
      <w:bookmarkEnd w:id="2118"/>
    </w:p>
    <w:p w14:paraId="3DDD92F6" w14:textId="77777777" w:rsidR="00C70F99" w:rsidRPr="00D1363C" w:rsidRDefault="00C70F99" w:rsidP="00C70F99">
      <w:pPr>
        <w:spacing w:before="120" w:line="300" w:lineRule="auto"/>
        <w:rPr>
          <w:szCs w:val="24"/>
        </w:rPr>
      </w:pPr>
      <w:r w:rsidRPr="00D1363C">
        <w:rPr>
          <w:szCs w:val="24"/>
        </w:rPr>
        <w:t>The following rules apply to Resources registered as Dispatchable Variable Energy Resources (DVER):</w:t>
      </w:r>
    </w:p>
    <w:p w14:paraId="785BCF24" w14:textId="52945203" w:rsidR="00C70F99" w:rsidRPr="00D1363C" w:rsidRDefault="00C70F99" w:rsidP="004035ED">
      <w:pPr>
        <w:numPr>
          <w:ilvl w:val="0"/>
          <w:numId w:val="86"/>
        </w:numPr>
        <w:spacing w:before="120" w:line="300" w:lineRule="auto"/>
        <w:ind w:hanging="540"/>
        <w:contextualSpacing/>
        <w:rPr>
          <w:szCs w:val="24"/>
        </w:rPr>
      </w:pPr>
      <w:r w:rsidRPr="00D1363C">
        <w:rPr>
          <w:szCs w:val="24"/>
        </w:rPr>
        <w:t xml:space="preserve">The </w:t>
      </w:r>
      <w:r w:rsidR="00041AC8">
        <w:rPr>
          <w:szCs w:val="24"/>
        </w:rPr>
        <w:t>Min ECOL</w:t>
      </w:r>
      <w:r w:rsidRPr="00D1363C">
        <w:rPr>
          <w:szCs w:val="24"/>
        </w:rPr>
        <w:t xml:space="preserve"> submitted as part of </w:t>
      </w:r>
      <w:r w:rsidR="00AE438C">
        <w:rPr>
          <w:szCs w:val="24"/>
        </w:rPr>
        <w:t>either</w:t>
      </w:r>
      <w:r w:rsidRPr="00D1363C">
        <w:rPr>
          <w:szCs w:val="24"/>
        </w:rPr>
        <w:t xml:space="preserve"> the Day-Ahead Market </w:t>
      </w:r>
      <w:r w:rsidRPr="00D1363C" w:rsidDel="0046151A">
        <w:rPr>
          <w:szCs w:val="24"/>
        </w:rPr>
        <w:t>and/</w:t>
      </w:r>
      <w:r w:rsidRPr="00D1363C">
        <w:rPr>
          <w:szCs w:val="24"/>
        </w:rPr>
        <w:t>or RTBM Resource Offer must be submitted as zero MW.  Otherwise, the Resource Offer will be rejected;</w:t>
      </w:r>
    </w:p>
    <w:p w14:paraId="752687DE" w14:textId="379F91A3" w:rsidR="00C70F99" w:rsidRPr="00D1363C" w:rsidRDefault="00C70F99" w:rsidP="00C35DA0">
      <w:pPr>
        <w:numPr>
          <w:ilvl w:val="0"/>
          <w:numId w:val="86"/>
        </w:numPr>
        <w:spacing w:before="120" w:line="300" w:lineRule="auto"/>
        <w:ind w:hanging="540"/>
        <w:contextualSpacing/>
        <w:rPr>
          <w:szCs w:val="24"/>
        </w:rPr>
      </w:pPr>
      <w:r w:rsidRPr="00D1363C">
        <w:rPr>
          <w:szCs w:val="24"/>
        </w:rPr>
        <w:t xml:space="preserve">For DVERs with a </w:t>
      </w:r>
      <w:r w:rsidR="00041AC8">
        <w:rPr>
          <w:szCs w:val="24"/>
        </w:rPr>
        <w:t>Max ECOL</w:t>
      </w:r>
      <w:r w:rsidRPr="00D1363C">
        <w:rPr>
          <w:szCs w:val="24"/>
        </w:rPr>
        <w:t xml:space="preserve"> of less than 200MW, the maximum ramp rate between MW specified in the Ramp-Rate-Up curve and Ramp-Rate Down curve in the RTBM Resource Offer multiplied by </w:t>
      </w:r>
      <w:r w:rsidR="003608B7">
        <w:rPr>
          <w:szCs w:val="24"/>
        </w:rPr>
        <w:t>five</w:t>
      </w:r>
      <w:r w:rsidRPr="00D1363C">
        <w:rPr>
          <w:szCs w:val="24"/>
        </w:rPr>
        <w:t xml:space="preserve"> </w:t>
      </w:r>
      <w:r w:rsidR="003608B7">
        <w:rPr>
          <w:szCs w:val="24"/>
        </w:rPr>
        <w:t>(</w:t>
      </w:r>
      <w:r w:rsidRPr="00D1363C">
        <w:rPr>
          <w:szCs w:val="24"/>
        </w:rPr>
        <w:t>5</w:t>
      </w:r>
      <w:r w:rsidR="003608B7">
        <w:rPr>
          <w:szCs w:val="24"/>
        </w:rPr>
        <w:t>)</w:t>
      </w:r>
      <w:r w:rsidRPr="00D1363C">
        <w:rPr>
          <w:szCs w:val="24"/>
        </w:rPr>
        <w:t xml:space="preserve"> cannot exceed 40MW.  For DVERs with a </w:t>
      </w:r>
      <w:r w:rsidR="00041AC8">
        <w:rPr>
          <w:szCs w:val="24"/>
        </w:rPr>
        <w:t>Max ECOL</w:t>
      </w:r>
      <w:r w:rsidRPr="00D1363C">
        <w:rPr>
          <w:szCs w:val="24"/>
        </w:rPr>
        <w:t xml:space="preserve"> greater than or equal to 200MW, the maximum ramp rate between MW levels specified in the Ramp-Rate-Up curve and Ramp-Rate-Down curve in the RTBM Resource Offer multiplied by </w:t>
      </w:r>
      <w:r w:rsidR="003608B7">
        <w:rPr>
          <w:szCs w:val="24"/>
        </w:rPr>
        <w:t>five</w:t>
      </w:r>
      <w:r w:rsidRPr="00D1363C">
        <w:rPr>
          <w:szCs w:val="24"/>
        </w:rPr>
        <w:t xml:space="preserve"> </w:t>
      </w:r>
      <w:r w:rsidR="003608B7">
        <w:rPr>
          <w:szCs w:val="24"/>
        </w:rPr>
        <w:t>(</w:t>
      </w:r>
      <w:r w:rsidRPr="00D1363C">
        <w:rPr>
          <w:szCs w:val="24"/>
        </w:rPr>
        <w:t>5</w:t>
      </w:r>
      <w:r w:rsidR="003608B7">
        <w:rPr>
          <w:szCs w:val="24"/>
        </w:rPr>
        <w:t>)</w:t>
      </w:r>
      <w:r w:rsidRPr="00D1363C">
        <w:rPr>
          <w:szCs w:val="24"/>
        </w:rPr>
        <w:t xml:space="preserve"> cannot exceed 20% of the DVER’s </w:t>
      </w:r>
      <w:r w:rsidR="00041AC8">
        <w:rPr>
          <w:szCs w:val="24"/>
        </w:rPr>
        <w:t>Max ECOL</w:t>
      </w:r>
      <w:r w:rsidRPr="00D1363C">
        <w:rPr>
          <w:szCs w:val="24"/>
        </w:rPr>
        <w:t>;</w:t>
      </w:r>
    </w:p>
    <w:p w14:paraId="62375026" w14:textId="38E8F62A" w:rsidR="00C70F99" w:rsidRPr="00D1363C" w:rsidRDefault="00C70F99" w:rsidP="00C35DA0">
      <w:pPr>
        <w:numPr>
          <w:ilvl w:val="0"/>
          <w:numId w:val="86"/>
        </w:numPr>
        <w:spacing w:before="120" w:line="300" w:lineRule="auto"/>
        <w:ind w:hanging="540"/>
        <w:contextualSpacing/>
        <w:rPr>
          <w:szCs w:val="24"/>
        </w:rPr>
      </w:pPr>
      <w:r w:rsidRPr="00D1363C">
        <w:rPr>
          <w:szCs w:val="24"/>
        </w:rPr>
        <w:t xml:space="preserve">For the RUC processes, the maximum operating limit </w:t>
      </w:r>
      <w:r w:rsidR="0046151A">
        <w:rPr>
          <w:szCs w:val="24"/>
        </w:rPr>
        <w:t>will</w:t>
      </w:r>
      <w:r w:rsidR="0046151A" w:rsidRPr="00D1363C">
        <w:rPr>
          <w:szCs w:val="24"/>
        </w:rPr>
        <w:t xml:space="preserve"> </w:t>
      </w:r>
      <w:r w:rsidRPr="00D1363C">
        <w:rPr>
          <w:szCs w:val="24"/>
        </w:rPr>
        <w:t xml:space="preserve">be the lesser of the </w:t>
      </w:r>
      <w:r w:rsidR="00041AC8">
        <w:rPr>
          <w:szCs w:val="24"/>
        </w:rPr>
        <w:t>Max ECOL</w:t>
      </w:r>
      <w:r w:rsidRPr="00D1363C">
        <w:rPr>
          <w:szCs w:val="24"/>
        </w:rPr>
        <w:t xml:space="preserve"> as specified in the DVER RTBM Offer and the Market Operator’s output forecast for that DVER.</w:t>
      </w:r>
      <w:r w:rsidRPr="00D1363C">
        <w:t xml:space="preserve">  DVERs for which the Market Operator is calculating an output forecast are not eligible to receive RUC make whole payments as described </w:t>
      </w:r>
      <w:r w:rsidR="00D10D99">
        <w:rPr>
          <w:szCs w:val="24"/>
        </w:rPr>
        <w:t xml:space="preserve">in the Markets+ Settlements </w:t>
      </w:r>
      <w:r w:rsidR="00BA0C4B">
        <w:rPr>
          <w:szCs w:val="24"/>
        </w:rPr>
        <w:t xml:space="preserve">Calculation </w:t>
      </w:r>
      <w:r w:rsidR="00D10D99">
        <w:rPr>
          <w:szCs w:val="24"/>
        </w:rPr>
        <w:t>Guide</w:t>
      </w:r>
      <w:r w:rsidRPr="00D1363C">
        <w:t>;</w:t>
      </w:r>
    </w:p>
    <w:p w14:paraId="7F0AAF6C" w14:textId="77777777" w:rsidR="00C70F99" w:rsidRPr="00D1363C" w:rsidRDefault="00C70F99" w:rsidP="00C35DA0">
      <w:pPr>
        <w:numPr>
          <w:ilvl w:val="0"/>
          <w:numId w:val="86"/>
        </w:numPr>
        <w:spacing w:before="120" w:line="300" w:lineRule="auto"/>
        <w:ind w:hanging="540"/>
        <w:rPr>
          <w:szCs w:val="24"/>
        </w:rPr>
      </w:pPr>
      <w:r w:rsidRPr="00D1363C">
        <w:rPr>
          <w:szCs w:val="24"/>
        </w:rPr>
        <w:t>For the RTBM,</w:t>
      </w:r>
      <w:r w:rsidRPr="00D1363C">
        <w:t xml:space="preserve"> the Market Operator will provide a dispatch flag to the DVER indicating whether or not the DVER should “follow” or “ignore” its Setpoint Target.  Use of these dispatch flags in calculating Setpoint Target is described under Section </w:t>
      </w:r>
      <w:r w:rsidRPr="00D1363C">
        <w:fldChar w:fldCharType="begin"/>
      </w:r>
      <w:r w:rsidRPr="00D1363C">
        <w:instrText xml:space="preserve"> REF _Ref13561727 \r \h </w:instrText>
      </w:r>
      <w:r w:rsidRPr="00D1363C">
        <w:fldChar w:fldCharType="separate"/>
      </w:r>
      <w:r w:rsidRPr="00D1363C">
        <w:t>4.4.3.1</w:t>
      </w:r>
      <w:r w:rsidRPr="00D1363C">
        <w:fldChar w:fldCharType="end"/>
      </w:r>
      <w:r w:rsidRPr="00D1363C">
        <w:t>.  These flags are set as part of the RTBM solution as follows:</w:t>
      </w:r>
    </w:p>
    <w:p w14:paraId="57F8B878" w14:textId="77777777" w:rsidR="00C70F99" w:rsidRPr="00D1363C" w:rsidRDefault="00C70F99" w:rsidP="00C35DA0">
      <w:pPr>
        <w:numPr>
          <w:ilvl w:val="1"/>
          <w:numId w:val="37"/>
        </w:numPr>
        <w:spacing w:before="120" w:line="300" w:lineRule="auto"/>
        <w:rPr>
          <w:szCs w:val="24"/>
        </w:rPr>
      </w:pPr>
      <w:r w:rsidRPr="00D1363C">
        <w:t>The default value of the dispatch flag will be “ignore”.  When the dispatch flag is “ignore”, the DVER’s maximum operating limit is set equal to the DVER’s actual output at the time of the current RTBM run;</w:t>
      </w:r>
    </w:p>
    <w:p w14:paraId="7BC9C5B5" w14:textId="531107EA" w:rsidR="00C70F99" w:rsidRPr="00D1363C" w:rsidRDefault="00C70F99" w:rsidP="00C35DA0">
      <w:pPr>
        <w:numPr>
          <w:ilvl w:val="1"/>
          <w:numId w:val="37"/>
        </w:numPr>
        <w:spacing w:before="120" w:line="300" w:lineRule="auto"/>
        <w:rPr>
          <w:szCs w:val="24"/>
        </w:rPr>
      </w:pPr>
      <w:r w:rsidRPr="00D1363C">
        <w:rPr>
          <w:szCs w:val="24"/>
        </w:rPr>
        <w:t>The dispatch flag will be set to “follow” if (i) the DVER is dispatched below its maximum operating limit</w:t>
      </w:r>
      <w:r w:rsidR="004035ED">
        <w:rPr>
          <w:szCs w:val="24"/>
        </w:rPr>
        <w:t>,</w:t>
      </w:r>
      <w:r w:rsidRPr="00D1363C">
        <w:rPr>
          <w:szCs w:val="24"/>
        </w:rPr>
        <w:t xml:space="preserve"> or (ii) the DVER is issued an OOME, or (iii) the DVER is cleared for Short-Term Flex Down;</w:t>
      </w:r>
    </w:p>
    <w:p w14:paraId="06B2A319" w14:textId="77777777" w:rsidR="00C70F99" w:rsidRPr="00D1363C" w:rsidRDefault="00C70F99" w:rsidP="00C35DA0">
      <w:pPr>
        <w:numPr>
          <w:ilvl w:val="0"/>
          <w:numId w:val="86"/>
        </w:numPr>
        <w:spacing w:before="240" w:line="300" w:lineRule="auto"/>
        <w:ind w:hanging="540"/>
        <w:contextualSpacing/>
        <w:rPr>
          <w:szCs w:val="24"/>
        </w:rPr>
      </w:pPr>
      <w:r w:rsidRPr="00D1363C">
        <w:rPr>
          <w:szCs w:val="24"/>
        </w:rPr>
        <w:t xml:space="preserve">For the current RTBM run, if the </w:t>
      </w:r>
      <w:r>
        <w:rPr>
          <w:szCs w:val="24"/>
        </w:rPr>
        <w:t xml:space="preserve">previous RTBM run set the </w:t>
      </w:r>
      <w:r w:rsidRPr="00D1363C">
        <w:rPr>
          <w:szCs w:val="24"/>
        </w:rPr>
        <w:t xml:space="preserve">dispatch flag </w:t>
      </w:r>
      <w:r>
        <w:rPr>
          <w:szCs w:val="24"/>
        </w:rPr>
        <w:t>to</w:t>
      </w:r>
      <w:r w:rsidRPr="00D1363C">
        <w:rPr>
          <w:szCs w:val="24"/>
        </w:rPr>
        <w:t xml:space="preserve"> “follow”, then the DVER’s maximum operating limit in each subsequent Dispatch Interval is set equal to </w:t>
      </w:r>
      <w:r>
        <w:rPr>
          <w:szCs w:val="24"/>
        </w:rPr>
        <w:t>the greater of the DVER’s current output; or</w:t>
      </w:r>
      <w:r w:rsidRPr="00D1363C">
        <w:rPr>
          <w:szCs w:val="24"/>
        </w:rPr>
        <w:t>:</w:t>
      </w:r>
    </w:p>
    <w:p w14:paraId="0E27B0C1" w14:textId="5C387289" w:rsidR="00C70F99" w:rsidRPr="00D1363C" w:rsidRDefault="00C70F99" w:rsidP="00C35DA0">
      <w:pPr>
        <w:numPr>
          <w:ilvl w:val="1"/>
          <w:numId w:val="56"/>
        </w:numPr>
        <w:spacing w:before="240" w:line="300" w:lineRule="auto"/>
        <w:contextualSpacing/>
        <w:rPr>
          <w:szCs w:val="24"/>
        </w:rPr>
      </w:pPr>
      <w:r w:rsidRPr="00D1363C">
        <w:rPr>
          <w:szCs w:val="24"/>
        </w:rPr>
        <w:t>The</w:t>
      </w:r>
      <w:r w:rsidRPr="00D1363C">
        <w:t xml:space="preserve"> lesser of (i) the Market Operator’s output forecast for that DVER or (ii) the DVER’s </w:t>
      </w:r>
      <w:r w:rsidR="00041AC8">
        <w:t>Max ECOL</w:t>
      </w:r>
      <w:r w:rsidRPr="00D1363C">
        <w:t>; or</w:t>
      </w:r>
    </w:p>
    <w:p w14:paraId="23B49835" w14:textId="31A9ECD4" w:rsidR="00C70F99" w:rsidRPr="00D1363C" w:rsidRDefault="00C70F99" w:rsidP="00C35DA0">
      <w:pPr>
        <w:numPr>
          <w:ilvl w:val="1"/>
          <w:numId w:val="56"/>
        </w:numPr>
        <w:spacing w:before="240" w:line="300" w:lineRule="auto"/>
        <w:contextualSpacing/>
        <w:rPr>
          <w:szCs w:val="24"/>
        </w:rPr>
      </w:pPr>
      <w:r w:rsidRPr="00D1363C">
        <w:rPr>
          <w:szCs w:val="24"/>
        </w:rPr>
        <w:t>T</w:t>
      </w:r>
      <w:r w:rsidRPr="00D1363C">
        <w:t xml:space="preserve">he </w:t>
      </w:r>
      <w:r w:rsidR="00041AC8">
        <w:t>Max ECOL</w:t>
      </w:r>
      <w:r w:rsidRPr="00D1363C">
        <w:t xml:space="preserve"> as specified in the DVER Offer if the Market Operator output forecast is not available for that DVER</w:t>
      </w:r>
      <w:r w:rsidRPr="00D1363C">
        <w:rPr>
          <w:szCs w:val="24"/>
        </w:rPr>
        <w:t>; or</w:t>
      </w:r>
    </w:p>
    <w:p w14:paraId="623FF6A7" w14:textId="54A0AAD1" w:rsidR="00C70F99" w:rsidRPr="00D1363C" w:rsidRDefault="00C70F99" w:rsidP="00C35DA0">
      <w:pPr>
        <w:numPr>
          <w:ilvl w:val="1"/>
          <w:numId w:val="56"/>
        </w:numPr>
        <w:spacing w:before="240" w:line="300" w:lineRule="auto"/>
        <w:contextualSpacing/>
        <w:rPr>
          <w:szCs w:val="24"/>
        </w:rPr>
      </w:pPr>
      <w:r w:rsidRPr="00D1363C">
        <w:t xml:space="preserve">The Market Operator’s output forecast for that DVER if the </w:t>
      </w:r>
      <w:r w:rsidR="00041AC8">
        <w:t>Max ECOL</w:t>
      </w:r>
      <w:r w:rsidRPr="00D1363C">
        <w:t>:</w:t>
      </w:r>
    </w:p>
    <w:p w14:paraId="4AE656DC" w14:textId="77777777" w:rsidR="00C70F99" w:rsidRPr="00D1363C" w:rsidRDefault="00C70F99" w:rsidP="00C35DA0">
      <w:pPr>
        <w:numPr>
          <w:ilvl w:val="2"/>
          <w:numId w:val="57"/>
        </w:numPr>
        <w:spacing w:before="240" w:line="300" w:lineRule="auto"/>
        <w:contextualSpacing/>
        <w:rPr>
          <w:szCs w:val="24"/>
        </w:rPr>
      </w:pPr>
      <w:r w:rsidRPr="00D1363C">
        <w:t>Was not submitted in the DVER Offer; or</w:t>
      </w:r>
    </w:p>
    <w:p w14:paraId="019F08DF" w14:textId="77777777" w:rsidR="00C70F99" w:rsidRPr="00D1363C" w:rsidRDefault="00C70F99" w:rsidP="00C35DA0">
      <w:pPr>
        <w:numPr>
          <w:ilvl w:val="2"/>
          <w:numId w:val="57"/>
        </w:numPr>
        <w:spacing w:before="240" w:line="300" w:lineRule="auto"/>
        <w:contextualSpacing/>
        <w:rPr>
          <w:szCs w:val="24"/>
        </w:rPr>
      </w:pPr>
      <w:r w:rsidRPr="00D1363C">
        <w:t xml:space="preserve">Was not updated in the Offer during the Operating Hour prior to the Operating Hour in which the Resource limit would apply but before the lead time described in Section </w:t>
      </w:r>
      <w:r w:rsidRPr="00D1363C">
        <w:fldChar w:fldCharType="begin"/>
      </w:r>
      <w:r w:rsidRPr="00D1363C">
        <w:instrText xml:space="preserve"> REF _Ref372641074 \n \h </w:instrText>
      </w:r>
      <w:r w:rsidRPr="00D1363C">
        <w:fldChar w:fldCharType="separate"/>
      </w:r>
      <w:r w:rsidRPr="00D1363C">
        <w:t>4.2.2</w:t>
      </w:r>
      <w:r w:rsidRPr="00D1363C">
        <w:fldChar w:fldCharType="end"/>
      </w:r>
      <w:r w:rsidRPr="00D1363C">
        <w:t>; or</w:t>
      </w:r>
    </w:p>
    <w:p w14:paraId="4D240969" w14:textId="77777777" w:rsidR="00C70F99" w:rsidRPr="00D1363C" w:rsidRDefault="00C70F99" w:rsidP="00C35DA0">
      <w:pPr>
        <w:numPr>
          <w:ilvl w:val="2"/>
          <w:numId w:val="57"/>
        </w:numPr>
        <w:spacing w:before="240" w:line="300" w:lineRule="auto"/>
        <w:contextualSpacing/>
        <w:rPr>
          <w:szCs w:val="24"/>
        </w:rPr>
      </w:pPr>
      <w:r w:rsidRPr="00D1363C">
        <w:t>Exceeds the maximum physical rating of the DVER that was submitted at market registration.</w:t>
      </w:r>
    </w:p>
    <w:p w14:paraId="7A89D609" w14:textId="77777777" w:rsidR="00C70F99" w:rsidRPr="00D1363C" w:rsidRDefault="00C70F99" w:rsidP="00C70F99">
      <w:pPr>
        <w:spacing w:before="240" w:line="300" w:lineRule="auto"/>
        <w:ind w:left="720"/>
        <w:rPr>
          <w:szCs w:val="24"/>
        </w:rPr>
      </w:pPr>
      <w:r w:rsidRPr="00D1363C">
        <w:t>Such maximum operating limit continues to be set as described above until such time that the Resource’s Dispatch Target is equal to the maximum operating limit, after which, the DVER’s maximum operating limit is calculated as described under (4)(a) above.</w:t>
      </w:r>
    </w:p>
    <w:p w14:paraId="14E51B39" w14:textId="68385561" w:rsidR="00C70F99" w:rsidRPr="00D1363C" w:rsidRDefault="00C70F99" w:rsidP="00D61B9C">
      <w:pPr>
        <w:pStyle w:val="Heading6"/>
        <w:rPr>
          <w:bCs/>
        </w:rPr>
      </w:pPr>
      <w:bookmarkStart w:id="2119" w:name="_Ref349289571"/>
      <w:bookmarkStart w:id="2120" w:name="_Toc163740172"/>
      <w:bookmarkStart w:id="2121" w:name="_Ref195097569"/>
      <w:bookmarkStart w:id="2122" w:name="_Toc213771826"/>
      <w:bookmarkStart w:id="2123" w:name="_Ref307831125"/>
      <w:bookmarkStart w:id="2124" w:name="_Ref307831126"/>
      <w:bookmarkStart w:id="2125" w:name="_Ref307831127"/>
      <w:bookmarkStart w:id="2126" w:name="_Ref307831144"/>
      <w:r w:rsidRPr="00D1363C">
        <w:t>Non-Dispatchable Variable Energy Resources</w:t>
      </w:r>
      <w:bookmarkEnd w:id="2119"/>
      <w:bookmarkEnd w:id="2120"/>
      <w:r>
        <w:t xml:space="preserve"> (NDVER)</w:t>
      </w:r>
      <w:bookmarkEnd w:id="2121"/>
      <w:bookmarkEnd w:id="2122"/>
    </w:p>
    <w:bookmarkEnd w:id="2123"/>
    <w:bookmarkEnd w:id="2124"/>
    <w:bookmarkEnd w:id="2125"/>
    <w:bookmarkEnd w:id="2126"/>
    <w:p w14:paraId="3452083D" w14:textId="77777777" w:rsidR="00C70F99" w:rsidRPr="00D1363C" w:rsidRDefault="00C70F99" w:rsidP="00C70F99">
      <w:pPr>
        <w:spacing w:before="120" w:line="300" w:lineRule="auto"/>
        <w:rPr>
          <w:szCs w:val="24"/>
        </w:rPr>
      </w:pPr>
      <w:r w:rsidRPr="00D1363C">
        <w:rPr>
          <w:szCs w:val="24"/>
        </w:rPr>
        <w:t>The following rules apply to Resources registered as Non-Dispatchable Variable Energy Resources (NDVER):</w:t>
      </w:r>
    </w:p>
    <w:p w14:paraId="4A12DE48" w14:textId="32C5F4BC" w:rsidR="00C70F99" w:rsidRPr="00D1363C" w:rsidRDefault="00C70F99" w:rsidP="00C35DA0">
      <w:pPr>
        <w:numPr>
          <w:ilvl w:val="0"/>
          <w:numId w:val="32"/>
        </w:numPr>
        <w:spacing w:before="120" w:line="300" w:lineRule="auto"/>
        <w:ind w:hanging="540"/>
        <w:contextualSpacing/>
        <w:rPr>
          <w:szCs w:val="24"/>
        </w:rPr>
      </w:pPr>
      <w:r w:rsidRPr="00D1363C">
        <w:rPr>
          <w:szCs w:val="24"/>
        </w:rPr>
        <w:t xml:space="preserve">The </w:t>
      </w:r>
      <w:r w:rsidR="00BC3110">
        <w:rPr>
          <w:szCs w:val="24"/>
        </w:rPr>
        <w:t>Min ECOL</w:t>
      </w:r>
      <w:r w:rsidRPr="00D1363C">
        <w:rPr>
          <w:szCs w:val="24"/>
        </w:rPr>
        <w:t xml:space="preserve"> submitted as part of </w:t>
      </w:r>
      <w:r w:rsidR="000A148A">
        <w:rPr>
          <w:szCs w:val="24"/>
        </w:rPr>
        <w:t xml:space="preserve">either </w:t>
      </w:r>
      <w:r w:rsidRPr="00D1363C">
        <w:rPr>
          <w:szCs w:val="24"/>
        </w:rPr>
        <w:t xml:space="preserve">the Day-Ahead Market </w:t>
      </w:r>
      <w:r w:rsidRPr="00D1363C" w:rsidDel="0046151A">
        <w:rPr>
          <w:szCs w:val="24"/>
        </w:rPr>
        <w:t>and/or</w:t>
      </w:r>
      <w:r w:rsidRPr="00D1363C">
        <w:rPr>
          <w:szCs w:val="24"/>
        </w:rPr>
        <w:t xml:space="preserve"> RTBM Resource Offer must be submitted as zero (0) MW.  Otherwise, the Resource Offer will be rejected;</w:t>
      </w:r>
    </w:p>
    <w:p w14:paraId="50E64CFE" w14:textId="198944C6" w:rsidR="00C70F99" w:rsidRPr="00D1363C" w:rsidRDefault="00C70F99" w:rsidP="00C35DA0">
      <w:pPr>
        <w:numPr>
          <w:ilvl w:val="0"/>
          <w:numId w:val="32"/>
        </w:numPr>
        <w:spacing w:before="120" w:line="300" w:lineRule="auto"/>
        <w:ind w:hanging="540"/>
        <w:contextualSpacing/>
        <w:rPr>
          <w:szCs w:val="24"/>
        </w:rPr>
      </w:pPr>
      <w:r w:rsidRPr="00D1363C">
        <w:t xml:space="preserve">For the RUC processes, the maximum operating limit </w:t>
      </w:r>
      <w:r w:rsidR="0046151A">
        <w:t>will</w:t>
      </w:r>
      <w:r w:rsidR="0046151A" w:rsidRPr="00D1363C">
        <w:t xml:space="preserve"> </w:t>
      </w:r>
      <w:r w:rsidRPr="00D1363C">
        <w:t xml:space="preserve">be as submitted in the Resource Offer, except that, for wind or solar powered NDVERs, the lesser of the Resource Offer or the Market Operator’s wind or solar powered output forecast for that Resource </w:t>
      </w:r>
      <w:r w:rsidR="0046151A">
        <w:t>will</w:t>
      </w:r>
      <w:r w:rsidR="0046151A" w:rsidRPr="00D1363C">
        <w:t xml:space="preserve"> </w:t>
      </w:r>
      <w:r w:rsidRPr="00D1363C">
        <w:t>be used to set the maximum operating limit</w:t>
      </w:r>
      <w:r w:rsidRPr="00D1363C">
        <w:rPr>
          <w:szCs w:val="24"/>
        </w:rPr>
        <w:t>;</w:t>
      </w:r>
    </w:p>
    <w:p w14:paraId="2E248823" w14:textId="664CEF27" w:rsidR="00C70F99" w:rsidRPr="00D1363C" w:rsidRDefault="00C70F99" w:rsidP="00C35DA0">
      <w:pPr>
        <w:numPr>
          <w:ilvl w:val="1"/>
          <w:numId w:val="38"/>
        </w:numPr>
        <w:spacing w:before="120" w:line="300" w:lineRule="auto"/>
        <w:contextualSpacing/>
        <w:rPr>
          <w:szCs w:val="24"/>
        </w:rPr>
      </w:pPr>
      <w:r w:rsidRPr="00D1363C">
        <w:t xml:space="preserve">NDVERs for which the Market Operator is calculating an output forecast are not eligible to receive RUC make whole payments as described </w:t>
      </w:r>
      <w:r w:rsidR="00D10D99">
        <w:rPr>
          <w:szCs w:val="24"/>
        </w:rPr>
        <w:t xml:space="preserve">in the Markets+ Settlements </w:t>
      </w:r>
      <w:r w:rsidR="00BA0C4B">
        <w:rPr>
          <w:szCs w:val="24"/>
        </w:rPr>
        <w:t xml:space="preserve">Calculation </w:t>
      </w:r>
      <w:r w:rsidR="00D10D99">
        <w:rPr>
          <w:szCs w:val="24"/>
        </w:rPr>
        <w:t>Guide</w:t>
      </w:r>
      <w:r w:rsidRPr="00D1363C">
        <w:t>.</w:t>
      </w:r>
    </w:p>
    <w:p w14:paraId="4A8774B7" w14:textId="1AFD2268" w:rsidR="00C70F99" w:rsidRPr="00D1363C" w:rsidRDefault="00C70F99" w:rsidP="00C35DA0">
      <w:pPr>
        <w:numPr>
          <w:ilvl w:val="0"/>
          <w:numId w:val="32"/>
        </w:numPr>
        <w:spacing w:before="120" w:line="300" w:lineRule="auto"/>
        <w:ind w:hanging="540"/>
        <w:contextualSpacing/>
        <w:rPr>
          <w:szCs w:val="24"/>
        </w:rPr>
      </w:pPr>
      <w:r w:rsidRPr="00D1363C">
        <w:rPr>
          <w:szCs w:val="24"/>
        </w:rPr>
        <w:t xml:space="preserve">For the RTBM, the Resource’s Energy Offer Curve </w:t>
      </w:r>
      <w:r w:rsidR="0046151A">
        <w:rPr>
          <w:szCs w:val="24"/>
        </w:rPr>
        <w:t>will</w:t>
      </w:r>
      <w:r w:rsidR="0046151A" w:rsidRPr="00D1363C">
        <w:rPr>
          <w:szCs w:val="24"/>
        </w:rPr>
        <w:t xml:space="preserve"> </w:t>
      </w:r>
      <w:r w:rsidRPr="00D1363C">
        <w:rPr>
          <w:szCs w:val="24"/>
        </w:rPr>
        <w:t xml:space="preserve">not apply and offer prices </w:t>
      </w:r>
      <w:r w:rsidR="0046151A">
        <w:rPr>
          <w:szCs w:val="24"/>
        </w:rPr>
        <w:t>will</w:t>
      </w:r>
      <w:r w:rsidR="0046151A" w:rsidRPr="00D1363C">
        <w:rPr>
          <w:szCs w:val="24"/>
        </w:rPr>
        <w:t xml:space="preserve"> </w:t>
      </w:r>
      <w:r w:rsidRPr="00D1363C">
        <w:rPr>
          <w:szCs w:val="24"/>
        </w:rPr>
        <w:t xml:space="preserve">be assumed equal to zero (0) for the purposes of calculating production costs relating to RUC make whole payments and cost allocation thereof </w:t>
      </w:r>
      <w:r w:rsidR="00D10D99">
        <w:rPr>
          <w:szCs w:val="24"/>
        </w:rPr>
        <w:t xml:space="preserve">in the Markets+ Settlements </w:t>
      </w:r>
      <w:r w:rsidR="00BA0C4B">
        <w:rPr>
          <w:szCs w:val="24"/>
        </w:rPr>
        <w:t xml:space="preserve">Calculation </w:t>
      </w:r>
      <w:r w:rsidR="00D10D99">
        <w:rPr>
          <w:szCs w:val="24"/>
        </w:rPr>
        <w:t>Guide</w:t>
      </w:r>
      <w:r w:rsidRPr="001803BE">
        <w:rPr>
          <w:szCs w:val="24"/>
        </w:rPr>
        <w:t>.</w:t>
      </w:r>
      <w:r w:rsidRPr="00D1363C">
        <w:rPr>
          <w:szCs w:val="24"/>
        </w:rPr>
        <w:t xml:space="preserve">  The Resource must operate within Setpoint Targets. The Setpoint Targets will be an echo of actual SCADA output as updated every ten (10) seconds except during the period of time an OOME is imposed; during such time, the Setpoint Targets will be issued in accordance with </w:t>
      </w:r>
      <w:r w:rsidR="00D10D99">
        <w:rPr>
          <w:szCs w:val="24"/>
        </w:rPr>
        <w:t xml:space="preserve">in the Markets+ Settlements </w:t>
      </w:r>
      <w:r w:rsidR="00BA0C4B">
        <w:rPr>
          <w:szCs w:val="24"/>
        </w:rPr>
        <w:t xml:space="preserve">Calculation </w:t>
      </w:r>
      <w:r w:rsidR="00D10D99">
        <w:rPr>
          <w:szCs w:val="24"/>
        </w:rPr>
        <w:t>Guide</w:t>
      </w:r>
      <w:r w:rsidRPr="001803BE">
        <w:rPr>
          <w:szCs w:val="24"/>
        </w:rPr>
        <w:t>.</w:t>
      </w:r>
      <w:r w:rsidRPr="00D1363C">
        <w:rPr>
          <w:szCs w:val="24"/>
        </w:rPr>
        <w:t xml:space="preserve">  For NDVERs, the submission of Control Status is not required.  If it is not provided, it will be set to Manual.</w:t>
      </w:r>
    </w:p>
    <w:p w14:paraId="49956DB1" w14:textId="507C619B" w:rsidR="00C70F99" w:rsidRPr="00D1363C" w:rsidRDefault="00C70F99" w:rsidP="00C70F99">
      <w:pPr>
        <w:spacing w:before="120" w:line="300" w:lineRule="auto"/>
        <w:ind w:left="720"/>
        <w:contextualSpacing/>
        <w:rPr>
          <w:szCs w:val="24"/>
        </w:rPr>
      </w:pPr>
    </w:p>
    <w:p w14:paraId="049DF7A5" w14:textId="77777777" w:rsidR="00C70F99" w:rsidRPr="00D1363C" w:rsidRDefault="00C70F99" w:rsidP="00574654">
      <w:pPr>
        <w:pStyle w:val="Heading5"/>
      </w:pPr>
      <w:bookmarkStart w:id="2127" w:name="_Toc134796594"/>
      <w:bookmarkStart w:id="2128" w:name="_Toc134798890"/>
      <w:bookmarkStart w:id="2129" w:name="_Toc145059298"/>
      <w:bookmarkStart w:id="2130" w:name="_Toc145062692"/>
      <w:bookmarkStart w:id="2131" w:name="_Toc145067304"/>
      <w:bookmarkStart w:id="2132" w:name="_Toc146627620"/>
      <w:bookmarkStart w:id="2133" w:name="_Toc146629485"/>
      <w:bookmarkStart w:id="2134" w:name="_Toc146631347"/>
      <w:bookmarkStart w:id="2135" w:name="_Toc146633214"/>
      <w:bookmarkStart w:id="2136" w:name="_Toc146630941"/>
      <w:bookmarkStart w:id="2137" w:name="_Toc146793111"/>
      <w:bookmarkStart w:id="2138" w:name="_Toc146794807"/>
      <w:bookmarkStart w:id="2139" w:name="_Toc146796502"/>
      <w:bookmarkStart w:id="2140" w:name="_Toc146798192"/>
      <w:bookmarkStart w:id="2141" w:name="_Toc146800804"/>
      <w:bookmarkStart w:id="2142" w:name="_Toc146803439"/>
      <w:bookmarkStart w:id="2143" w:name="_Toc146805143"/>
      <w:bookmarkStart w:id="2144" w:name="_Toc146806847"/>
      <w:bookmarkStart w:id="2145" w:name="_Toc148704901"/>
      <w:bookmarkStart w:id="2146" w:name="_Toc149557859"/>
      <w:bookmarkStart w:id="2147" w:name="_Toc150785315"/>
      <w:bookmarkStart w:id="2148" w:name="_Toc150854769"/>
      <w:bookmarkStart w:id="2149" w:name="_Toc151991708"/>
      <w:bookmarkStart w:id="2150" w:name="_Toc152334808"/>
      <w:bookmarkStart w:id="2151" w:name="_Toc153271174"/>
      <w:bookmarkStart w:id="2152" w:name="_Toc157501009"/>
      <w:bookmarkStart w:id="2153" w:name="_Toc159232184"/>
      <w:bookmarkStart w:id="2154" w:name="_Toc134796595"/>
      <w:bookmarkStart w:id="2155" w:name="_Toc134798891"/>
      <w:bookmarkStart w:id="2156" w:name="_Toc145059299"/>
      <w:bookmarkStart w:id="2157" w:name="_Toc145062693"/>
      <w:bookmarkStart w:id="2158" w:name="_Toc145067305"/>
      <w:bookmarkStart w:id="2159" w:name="_Toc146627621"/>
      <w:bookmarkStart w:id="2160" w:name="_Toc146629486"/>
      <w:bookmarkStart w:id="2161" w:name="_Toc146631348"/>
      <w:bookmarkStart w:id="2162" w:name="_Toc146633215"/>
      <w:bookmarkStart w:id="2163" w:name="_Toc146630942"/>
      <w:bookmarkStart w:id="2164" w:name="_Toc146793112"/>
      <w:bookmarkStart w:id="2165" w:name="_Toc146794808"/>
      <w:bookmarkStart w:id="2166" w:name="_Toc146796503"/>
      <w:bookmarkStart w:id="2167" w:name="_Toc146798193"/>
      <w:bookmarkStart w:id="2168" w:name="_Toc146800805"/>
      <w:bookmarkStart w:id="2169" w:name="_Toc146803440"/>
      <w:bookmarkStart w:id="2170" w:name="_Toc146805144"/>
      <w:bookmarkStart w:id="2171" w:name="_Toc146806848"/>
      <w:bookmarkStart w:id="2172" w:name="_Toc148704902"/>
      <w:bookmarkStart w:id="2173" w:name="_Toc149557860"/>
      <w:bookmarkStart w:id="2174" w:name="_Toc150785316"/>
      <w:bookmarkStart w:id="2175" w:name="_Toc150854770"/>
      <w:bookmarkStart w:id="2176" w:name="_Toc151991709"/>
      <w:bookmarkStart w:id="2177" w:name="_Toc152334809"/>
      <w:bookmarkStart w:id="2178" w:name="_Toc153271175"/>
      <w:bookmarkStart w:id="2179" w:name="_Toc157501010"/>
      <w:bookmarkStart w:id="2180" w:name="_Toc159232185"/>
      <w:bookmarkStart w:id="2181" w:name="_Toc134796596"/>
      <w:bookmarkStart w:id="2182" w:name="_Toc134798892"/>
      <w:bookmarkStart w:id="2183" w:name="_Toc145059300"/>
      <w:bookmarkStart w:id="2184" w:name="_Toc145062694"/>
      <w:bookmarkStart w:id="2185" w:name="_Toc145067306"/>
      <w:bookmarkStart w:id="2186" w:name="_Toc146627622"/>
      <w:bookmarkStart w:id="2187" w:name="_Toc146629487"/>
      <w:bookmarkStart w:id="2188" w:name="_Toc146631349"/>
      <w:bookmarkStart w:id="2189" w:name="_Toc146633216"/>
      <w:bookmarkStart w:id="2190" w:name="_Toc146630943"/>
      <w:bookmarkStart w:id="2191" w:name="_Toc146793113"/>
      <w:bookmarkStart w:id="2192" w:name="_Toc146794809"/>
      <w:bookmarkStart w:id="2193" w:name="_Toc146796504"/>
      <w:bookmarkStart w:id="2194" w:name="_Toc146798194"/>
      <w:bookmarkStart w:id="2195" w:name="_Toc146800806"/>
      <w:bookmarkStart w:id="2196" w:name="_Toc146803441"/>
      <w:bookmarkStart w:id="2197" w:name="_Toc146805145"/>
      <w:bookmarkStart w:id="2198" w:name="_Toc146806849"/>
      <w:bookmarkStart w:id="2199" w:name="_Toc148704903"/>
      <w:bookmarkStart w:id="2200" w:name="_Toc149557861"/>
      <w:bookmarkStart w:id="2201" w:name="_Toc150785317"/>
      <w:bookmarkStart w:id="2202" w:name="_Toc150854771"/>
      <w:bookmarkStart w:id="2203" w:name="_Toc151991710"/>
      <w:bookmarkStart w:id="2204" w:name="_Toc152334810"/>
      <w:bookmarkStart w:id="2205" w:name="_Toc153271176"/>
      <w:bookmarkStart w:id="2206" w:name="_Toc157501011"/>
      <w:bookmarkStart w:id="2207" w:name="_Toc159232186"/>
      <w:bookmarkStart w:id="2208" w:name="_Toc134796597"/>
      <w:bookmarkStart w:id="2209" w:name="_Toc134798893"/>
      <w:bookmarkStart w:id="2210" w:name="_Toc145059301"/>
      <w:bookmarkStart w:id="2211" w:name="_Toc145062695"/>
      <w:bookmarkStart w:id="2212" w:name="_Toc145067307"/>
      <w:bookmarkStart w:id="2213" w:name="_Toc146627623"/>
      <w:bookmarkStart w:id="2214" w:name="_Toc146629488"/>
      <w:bookmarkStart w:id="2215" w:name="_Toc146631350"/>
      <w:bookmarkStart w:id="2216" w:name="_Toc146633217"/>
      <w:bookmarkStart w:id="2217" w:name="_Toc146630944"/>
      <w:bookmarkStart w:id="2218" w:name="_Toc146793114"/>
      <w:bookmarkStart w:id="2219" w:name="_Toc146794810"/>
      <w:bookmarkStart w:id="2220" w:name="_Toc146796505"/>
      <w:bookmarkStart w:id="2221" w:name="_Toc146798195"/>
      <w:bookmarkStart w:id="2222" w:name="_Toc146800807"/>
      <w:bookmarkStart w:id="2223" w:name="_Toc146803442"/>
      <w:bookmarkStart w:id="2224" w:name="_Toc146805146"/>
      <w:bookmarkStart w:id="2225" w:name="_Toc146806850"/>
      <w:bookmarkStart w:id="2226" w:name="_Toc148704904"/>
      <w:bookmarkStart w:id="2227" w:name="_Toc149557862"/>
      <w:bookmarkStart w:id="2228" w:name="_Toc150785318"/>
      <w:bookmarkStart w:id="2229" w:name="_Toc150854772"/>
      <w:bookmarkStart w:id="2230" w:name="_Toc151991711"/>
      <w:bookmarkStart w:id="2231" w:name="_Toc152334811"/>
      <w:bookmarkStart w:id="2232" w:name="_Toc153271177"/>
      <w:bookmarkStart w:id="2233" w:name="_Toc157501012"/>
      <w:bookmarkStart w:id="2234" w:name="_Toc159232187"/>
      <w:bookmarkStart w:id="2235" w:name="_Toc134796598"/>
      <w:bookmarkStart w:id="2236" w:name="_Toc134798894"/>
      <w:bookmarkStart w:id="2237" w:name="_Toc145059302"/>
      <w:bookmarkStart w:id="2238" w:name="_Toc145062696"/>
      <w:bookmarkStart w:id="2239" w:name="_Toc145067308"/>
      <w:bookmarkStart w:id="2240" w:name="_Toc146627624"/>
      <w:bookmarkStart w:id="2241" w:name="_Toc146629489"/>
      <w:bookmarkStart w:id="2242" w:name="_Toc146631351"/>
      <w:bookmarkStart w:id="2243" w:name="_Toc146633218"/>
      <w:bookmarkStart w:id="2244" w:name="_Toc146630945"/>
      <w:bookmarkStart w:id="2245" w:name="_Toc146793115"/>
      <w:bookmarkStart w:id="2246" w:name="_Toc146794811"/>
      <w:bookmarkStart w:id="2247" w:name="_Toc146796506"/>
      <w:bookmarkStart w:id="2248" w:name="_Toc146798196"/>
      <w:bookmarkStart w:id="2249" w:name="_Toc146800808"/>
      <w:bookmarkStart w:id="2250" w:name="_Toc146803443"/>
      <w:bookmarkStart w:id="2251" w:name="_Toc146805147"/>
      <w:bookmarkStart w:id="2252" w:name="_Toc146806851"/>
      <w:bookmarkStart w:id="2253" w:name="_Toc148704905"/>
      <w:bookmarkStart w:id="2254" w:name="_Toc149557863"/>
      <w:bookmarkStart w:id="2255" w:name="_Toc150785319"/>
      <w:bookmarkStart w:id="2256" w:name="_Toc150854773"/>
      <w:bookmarkStart w:id="2257" w:name="_Toc151991712"/>
      <w:bookmarkStart w:id="2258" w:name="_Toc152334812"/>
      <w:bookmarkStart w:id="2259" w:name="_Toc153271178"/>
      <w:bookmarkStart w:id="2260" w:name="_Toc157501013"/>
      <w:bookmarkStart w:id="2261" w:name="_Toc159232188"/>
      <w:bookmarkStart w:id="2262" w:name="_Toc134796599"/>
      <w:bookmarkStart w:id="2263" w:name="_Toc134798895"/>
      <w:bookmarkStart w:id="2264" w:name="_Toc145059303"/>
      <w:bookmarkStart w:id="2265" w:name="_Toc145062697"/>
      <w:bookmarkStart w:id="2266" w:name="_Toc145067309"/>
      <w:bookmarkStart w:id="2267" w:name="_Toc146627625"/>
      <w:bookmarkStart w:id="2268" w:name="_Toc146629490"/>
      <w:bookmarkStart w:id="2269" w:name="_Toc146631352"/>
      <w:bookmarkStart w:id="2270" w:name="_Toc146633219"/>
      <w:bookmarkStart w:id="2271" w:name="_Toc146630946"/>
      <w:bookmarkStart w:id="2272" w:name="_Toc146793116"/>
      <w:bookmarkStart w:id="2273" w:name="_Toc146794812"/>
      <w:bookmarkStart w:id="2274" w:name="_Toc146796507"/>
      <w:bookmarkStart w:id="2275" w:name="_Toc146798197"/>
      <w:bookmarkStart w:id="2276" w:name="_Toc146800809"/>
      <w:bookmarkStart w:id="2277" w:name="_Toc146803444"/>
      <w:bookmarkStart w:id="2278" w:name="_Toc146805148"/>
      <w:bookmarkStart w:id="2279" w:name="_Toc146806852"/>
      <w:bookmarkStart w:id="2280" w:name="_Toc148704906"/>
      <w:bookmarkStart w:id="2281" w:name="_Toc149557864"/>
      <w:bookmarkStart w:id="2282" w:name="_Toc150785320"/>
      <w:bookmarkStart w:id="2283" w:name="_Toc150854774"/>
      <w:bookmarkStart w:id="2284" w:name="_Toc151991713"/>
      <w:bookmarkStart w:id="2285" w:name="_Toc152334813"/>
      <w:bookmarkStart w:id="2286" w:name="_Toc153271179"/>
      <w:bookmarkStart w:id="2287" w:name="_Toc157501014"/>
      <w:bookmarkStart w:id="2288" w:name="_Toc159232189"/>
      <w:bookmarkStart w:id="2289" w:name="_Toc134796600"/>
      <w:bookmarkStart w:id="2290" w:name="_Toc134798896"/>
      <w:bookmarkStart w:id="2291" w:name="_Toc145059304"/>
      <w:bookmarkStart w:id="2292" w:name="_Toc145062698"/>
      <w:bookmarkStart w:id="2293" w:name="_Toc145067310"/>
      <w:bookmarkStart w:id="2294" w:name="_Toc146627626"/>
      <w:bookmarkStart w:id="2295" w:name="_Toc146629491"/>
      <w:bookmarkStart w:id="2296" w:name="_Toc146631353"/>
      <w:bookmarkStart w:id="2297" w:name="_Toc146633220"/>
      <w:bookmarkStart w:id="2298" w:name="_Toc146630947"/>
      <w:bookmarkStart w:id="2299" w:name="_Toc146793117"/>
      <w:bookmarkStart w:id="2300" w:name="_Toc146794813"/>
      <w:bookmarkStart w:id="2301" w:name="_Toc146796508"/>
      <w:bookmarkStart w:id="2302" w:name="_Toc146798198"/>
      <w:bookmarkStart w:id="2303" w:name="_Toc146800810"/>
      <w:bookmarkStart w:id="2304" w:name="_Toc146803445"/>
      <w:bookmarkStart w:id="2305" w:name="_Toc146805149"/>
      <w:bookmarkStart w:id="2306" w:name="_Toc146806853"/>
      <w:bookmarkStart w:id="2307" w:name="_Toc148704907"/>
      <w:bookmarkStart w:id="2308" w:name="_Toc149557865"/>
      <w:bookmarkStart w:id="2309" w:name="_Toc150785321"/>
      <w:bookmarkStart w:id="2310" w:name="_Toc150854775"/>
      <w:bookmarkStart w:id="2311" w:name="_Toc151991714"/>
      <w:bookmarkStart w:id="2312" w:name="_Toc152334814"/>
      <w:bookmarkStart w:id="2313" w:name="_Toc153271180"/>
      <w:bookmarkStart w:id="2314" w:name="_Toc157501015"/>
      <w:bookmarkStart w:id="2315" w:name="_Toc159232190"/>
      <w:bookmarkStart w:id="2316" w:name="_Toc134796601"/>
      <w:bookmarkStart w:id="2317" w:name="_Toc134798897"/>
      <w:bookmarkStart w:id="2318" w:name="_Toc145059305"/>
      <w:bookmarkStart w:id="2319" w:name="_Toc145062699"/>
      <w:bookmarkStart w:id="2320" w:name="_Toc145067311"/>
      <w:bookmarkStart w:id="2321" w:name="_Toc146627627"/>
      <w:bookmarkStart w:id="2322" w:name="_Toc146629492"/>
      <w:bookmarkStart w:id="2323" w:name="_Toc146631354"/>
      <w:bookmarkStart w:id="2324" w:name="_Toc146633221"/>
      <w:bookmarkStart w:id="2325" w:name="_Toc146630948"/>
      <w:bookmarkStart w:id="2326" w:name="_Toc146793118"/>
      <w:bookmarkStart w:id="2327" w:name="_Toc146794814"/>
      <w:bookmarkStart w:id="2328" w:name="_Toc146796509"/>
      <w:bookmarkStart w:id="2329" w:name="_Toc146798199"/>
      <w:bookmarkStart w:id="2330" w:name="_Toc146800811"/>
      <w:bookmarkStart w:id="2331" w:name="_Toc146803446"/>
      <w:bookmarkStart w:id="2332" w:name="_Toc146805150"/>
      <w:bookmarkStart w:id="2333" w:name="_Toc146806854"/>
      <w:bookmarkStart w:id="2334" w:name="_Toc148704908"/>
      <w:bookmarkStart w:id="2335" w:name="_Toc149557866"/>
      <w:bookmarkStart w:id="2336" w:name="_Toc150785322"/>
      <w:bookmarkStart w:id="2337" w:name="_Toc150854776"/>
      <w:bookmarkStart w:id="2338" w:name="_Toc151991715"/>
      <w:bookmarkStart w:id="2339" w:name="_Toc152334815"/>
      <w:bookmarkStart w:id="2340" w:name="_Toc153271181"/>
      <w:bookmarkStart w:id="2341" w:name="_Toc157501016"/>
      <w:bookmarkStart w:id="2342" w:name="_Toc159232191"/>
      <w:bookmarkStart w:id="2343" w:name="_Toc134796602"/>
      <w:bookmarkStart w:id="2344" w:name="_Toc134798898"/>
      <w:bookmarkStart w:id="2345" w:name="_Toc145059306"/>
      <w:bookmarkStart w:id="2346" w:name="_Toc145062700"/>
      <w:bookmarkStart w:id="2347" w:name="_Toc145067312"/>
      <w:bookmarkStart w:id="2348" w:name="_Toc146627628"/>
      <w:bookmarkStart w:id="2349" w:name="_Toc146629493"/>
      <w:bookmarkStart w:id="2350" w:name="_Toc146631355"/>
      <w:bookmarkStart w:id="2351" w:name="_Toc146633222"/>
      <w:bookmarkStart w:id="2352" w:name="_Toc146630949"/>
      <w:bookmarkStart w:id="2353" w:name="_Toc146793119"/>
      <w:bookmarkStart w:id="2354" w:name="_Toc146794815"/>
      <w:bookmarkStart w:id="2355" w:name="_Toc146796510"/>
      <w:bookmarkStart w:id="2356" w:name="_Toc146798200"/>
      <w:bookmarkStart w:id="2357" w:name="_Toc146800812"/>
      <w:bookmarkStart w:id="2358" w:name="_Toc146803447"/>
      <w:bookmarkStart w:id="2359" w:name="_Toc146805151"/>
      <w:bookmarkStart w:id="2360" w:name="_Toc146806855"/>
      <w:bookmarkStart w:id="2361" w:name="_Toc148704909"/>
      <w:bookmarkStart w:id="2362" w:name="_Toc149557867"/>
      <w:bookmarkStart w:id="2363" w:name="_Toc150785323"/>
      <w:bookmarkStart w:id="2364" w:name="_Toc150854777"/>
      <w:bookmarkStart w:id="2365" w:name="_Toc151991716"/>
      <w:bookmarkStart w:id="2366" w:name="_Toc152334816"/>
      <w:bookmarkStart w:id="2367" w:name="_Toc153271182"/>
      <w:bookmarkStart w:id="2368" w:name="_Toc157501017"/>
      <w:bookmarkStart w:id="2369" w:name="_Toc159232192"/>
      <w:bookmarkStart w:id="2370" w:name="_Toc134796603"/>
      <w:bookmarkStart w:id="2371" w:name="_Toc134798899"/>
      <w:bookmarkStart w:id="2372" w:name="_Toc145059307"/>
      <w:bookmarkStart w:id="2373" w:name="_Toc145062701"/>
      <w:bookmarkStart w:id="2374" w:name="_Toc145067313"/>
      <w:bookmarkStart w:id="2375" w:name="_Toc146627629"/>
      <w:bookmarkStart w:id="2376" w:name="_Toc146629494"/>
      <w:bookmarkStart w:id="2377" w:name="_Toc146631356"/>
      <w:bookmarkStart w:id="2378" w:name="_Toc146633223"/>
      <w:bookmarkStart w:id="2379" w:name="_Toc146630950"/>
      <w:bookmarkStart w:id="2380" w:name="_Toc146793120"/>
      <w:bookmarkStart w:id="2381" w:name="_Toc146794816"/>
      <w:bookmarkStart w:id="2382" w:name="_Toc146796511"/>
      <w:bookmarkStart w:id="2383" w:name="_Toc146798201"/>
      <w:bookmarkStart w:id="2384" w:name="_Toc146800813"/>
      <w:bookmarkStart w:id="2385" w:name="_Toc146803448"/>
      <w:bookmarkStart w:id="2386" w:name="_Toc146805152"/>
      <w:bookmarkStart w:id="2387" w:name="_Toc146806856"/>
      <w:bookmarkStart w:id="2388" w:name="_Toc148704910"/>
      <w:bookmarkStart w:id="2389" w:name="_Toc149557868"/>
      <w:bookmarkStart w:id="2390" w:name="_Toc150785324"/>
      <w:bookmarkStart w:id="2391" w:name="_Toc150854778"/>
      <w:bookmarkStart w:id="2392" w:name="_Toc151991717"/>
      <w:bookmarkStart w:id="2393" w:name="_Toc152334817"/>
      <w:bookmarkStart w:id="2394" w:name="_Toc153271183"/>
      <w:bookmarkStart w:id="2395" w:name="_Toc157501018"/>
      <w:bookmarkStart w:id="2396" w:name="_Toc159232193"/>
      <w:bookmarkStart w:id="2397" w:name="_Toc134796604"/>
      <w:bookmarkStart w:id="2398" w:name="_Toc134798900"/>
      <w:bookmarkStart w:id="2399" w:name="_Toc145059308"/>
      <w:bookmarkStart w:id="2400" w:name="_Toc145062702"/>
      <w:bookmarkStart w:id="2401" w:name="_Toc145067314"/>
      <w:bookmarkStart w:id="2402" w:name="_Toc146627630"/>
      <w:bookmarkStart w:id="2403" w:name="_Toc146629495"/>
      <w:bookmarkStart w:id="2404" w:name="_Toc146631357"/>
      <w:bookmarkStart w:id="2405" w:name="_Toc146633224"/>
      <w:bookmarkStart w:id="2406" w:name="_Toc146630951"/>
      <w:bookmarkStart w:id="2407" w:name="_Toc146793121"/>
      <w:bookmarkStart w:id="2408" w:name="_Toc146794817"/>
      <w:bookmarkStart w:id="2409" w:name="_Toc146796512"/>
      <w:bookmarkStart w:id="2410" w:name="_Toc146798202"/>
      <w:bookmarkStart w:id="2411" w:name="_Toc146800814"/>
      <w:bookmarkStart w:id="2412" w:name="_Toc146803449"/>
      <w:bookmarkStart w:id="2413" w:name="_Toc146805153"/>
      <w:bookmarkStart w:id="2414" w:name="_Toc146806857"/>
      <w:bookmarkStart w:id="2415" w:name="_Toc148704911"/>
      <w:bookmarkStart w:id="2416" w:name="_Toc149557869"/>
      <w:bookmarkStart w:id="2417" w:name="_Toc150785325"/>
      <w:bookmarkStart w:id="2418" w:name="_Toc150854779"/>
      <w:bookmarkStart w:id="2419" w:name="_Toc151991718"/>
      <w:bookmarkStart w:id="2420" w:name="_Toc152334818"/>
      <w:bookmarkStart w:id="2421" w:name="_Toc153271184"/>
      <w:bookmarkStart w:id="2422" w:name="_Toc157501019"/>
      <w:bookmarkStart w:id="2423" w:name="_Toc159232194"/>
      <w:bookmarkStart w:id="2424" w:name="_Toc134796605"/>
      <w:bookmarkStart w:id="2425" w:name="_Toc134798901"/>
      <w:bookmarkStart w:id="2426" w:name="_Toc145059309"/>
      <w:bookmarkStart w:id="2427" w:name="_Toc145062703"/>
      <w:bookmarkStart w:id="2428" w:name="_Toc145067315"/>
      <w:bookmarkStart w:id="2429" w:name="_Toc146627631"/>
      <w:bookmarkStart w:id="2430" w:name="_Toc146629496"/>
      <w:bookmarkStart w:id="2431" w:name="_Toc146631358"/>
      <w:bookmarkStart w:id="2432" w:name="_Toc146633225"/>
      <w:bookmarkStart w:id="2433" w:name="_Toc146630952"/>
      <w:bookmarkStart w:id="2434" w:name="_Toc146793122"/>
      <w:bookmarkStart w:id="2435" w:name="_Toc146794818"/>
      <w:bookmarkStart w:id="2436" w:name="_Toc146796513"/>
      <w:bookmarkStart w:id="2437" w:name="_Toc146798203"/>
      <w:bookmarkStart w:id="2438" w:name="_Toc146800815"/>
      <w:bookmarkStart w:id="2439" w:name="_Toc146803450"/>
      <w:bookmarkStart w:id="2440" w:name="_Toc146805154"/>
      <w:bookmarkStart w:id="2441" w:name="_Toc146806858"/>
      <w:bookmarkStart w:id="2442" w:name="_Toc148704912"/>
      <w:bookmarkStart w:id="2443" w:name="_Toc149557870"/>
      <w:bookmarkStart w:id="2444" w:name="_Toc150785326"/>
      <w:bookmarkStart w:id="2445" w:name="_Toc150854780"/>
      <w:bookmarkStart w:id="2446" w:name="_Toc151991719"/>
      <w:bookmarkStart w:id="2447" w:name="_Toc152334819"/>
      <w:bookmarkStart w:id="2448" w:name="_Toc153271185"/>
      <w:bookmarkStart w:id="2449" w:name="_Toc157501020"/>
      <w:bookmarkStart w:id="2450" w:name="_Toc159232195"/>
      <w:bookmarkStart w:id="2451" w:name="_Toc134796606"/>
      <w:bookmarkStart w:id="2452" w:name="_Toc134798902"/>
      <w:bookmarkStart w:id="2453" w:name="_Toc145059310"/>
      <w:bookmarkStart w:id="2454" w:name="_Toc145062704"/>
      <w:bookmarkStart w:id="2455" w:name="_Toc145067316"/>
      <w:bookmarkStart w:id="2456" w:name="_Toc146627632"/>
      <w:bookmarkStart w:id="2457" w:name="_Toc146629497"/>
      <w:bookmarkStart w:id="2458" w:name="_Toc146631359"/>
      <w:bookmarkStart w:id="2459" w:name="_Toc146633226"/>
      <w:bookmarkStart w:id="2460" w:name="_Toc146630953"/>
      <w:bookmarkStart w:id="2461" w:name="_Toc146793123"/>
      <w:bookmarkStart w:id="2462" w:name="_Toc146794819"/>
      <w:bookmarkStart w:id="2463" w:name="_Toc146796514"/>
      <w:bookmarkStart w:id="2464" w:name="_Toc146798204"/>
      <w:bookmarkStart w:id="2465" w:name="_Toc146800816"/>
      <w:bookmarkStart w:id="2466" w:name="_Toc146803451"/>
      <w:bookmarkStart w:id="2467" w:name="_Toc146805155"/>
      <w:bookmarkStart w:id="2468" w:name="_Toc146806859"/>
      <w:bookmarkStart w:id="2469" w:name="_Toc148704913"/>
      <w:bookmarkStart w:id="2470" w:name="_Toc149557871"/>
      <w:bookmarkStart w:id="2471" w:name="_Toc150785327"/>
      <w:bookmarkStart w:id="2472" w:name="_Toc150854781"/>
      <w:bookmarkStart w:id="2473" w:name="_Toc151991720"/>
      <w:bookmarkStart w:id="2474" w:name="_Toc152334820"/>
      <w:bookmarkStart w:id="2475" w:name="_Toc153271186"/>
      <w:bookmarkStart w:id="2476" w:name="_Toc157501021"/>
      <w:bookmarkStart w:id="2477" w:name="_Toc159232196"/>
      <w:bookmarkStart w:id="2478" w:name="_Toc134796607"/>
      <w:bookmarkStart w:id="2479" w:name="_Toc134798903"/>
      <w:bookmarkStart w:id="2480" w:name="_Toc145059311"/>
      <w:bookmarkStart w:id="2481" w:name="_Toc145062705"/>
      <w:bookmarkStart w:id="2482" w:name="_Toc145067317"/>
      <w:bookmarkStart w:id="2483" w:name="_Toc146627633"/>
      <w:bookmarkStart w:id="2484" w:name="_Toc146629498"/>
      <w:bookmarkStart w:id="2485" w:name="_Toc146631360"/>
      <w:bookmarkStart w:id="2486" w:name="_Toc146633227"/>
      <w:bookmarkStart w:id="2487" w:name="_Toc146630954"/>
      <w:bookmarkStart w:id="2488" w:name="_Toc146793124"/>
      <w:bookmarkStart w:id="2489" w:name="_Toc146794820"/>
      <w:bookmarkStart w:id="2490" w:name="_Toc146796515"/>
      <w:bookmarkStart w:id="2491" w:name="_Toc146798205"/>
      <w:bookmarkStart w:id="2492" w:name="_Toc146800817"/>
      <w:bookmarkStart w:id="2493" w:name="_Toc146803452"/>
      <w:bookmarkStart w:id="2494" w:name="_Toc146805156"/>
      <w:bookmarkStart w:id="2495" w:name="_Toc146806860"/>
      <w:bookmarkStart w:id="2496" w:name="_Toc148704914"/>
      <w:bookmarkStart w:id="2497" w:name="_Toc149557872"/>
      <w:bookmarkStart w:id="2498" w:name="_Toc150785328"/>
      <w:bookmarkStart w:id="2499" w:name="_Toc150854782"/>
      <w:bookmarkStart w:id="2500" w:name="_Toc151991721"/>
      <w:bookmarkStart w:id="2501" w:name="_Toc152334821"/>
      <w:bookmarkStart w:id="2502" w:name="_Toc153271187"/>
      <w:bookmarkStart w:id="2503" w:name="_Toc157501022"/>
      <w:bookmarkStart w:id="2504" w:name="_Toc159232197"/>
      <w:bookmarkStart w:id="2505" w:name="_Toc134796608"/>
      <w:bookmarkStart w:id="2506" w:name="_Toc134798904"/>
      <w:bookmarkStart w:id="2507" w:name="_Toc145059312"/>
      <w:bookmarkStart w:id="2508" w:name="_Toc145062706"/>
      <w:bookmarkStart w:id="2509" w:name="_Toc145067318"/>
      <w:bookmarkStart w:id="2510" w:name="_Toc146627634"/>
      <w:bookmarkStart w:id="2511" w:name="_Toc146629499"/>
      <w:bookmarkStart w:id="2512" w:name="_Toc146631361"/>
      <w:bookmarkStart w:id="2513" w:name="_Toc146633228"/>
      <w:bookmarkStart w:id="2514" w:name="_Toc146630955"/>
      <w:bookmarkStart w:id="2515" w:name="_Toc146793125"/>
      <w:bookmarkStart w:id="2516" w:name="_Toc146794821"/>
      <w:bookmarkStart w:id="2517" w:name="_Toc146796516"/>
      <w:bookmarkStart w:id="2518" w:name="_Toc146798206"/>
      <w:bookmarkStart w:id="2519" w:name="_Toc146800818"/>
      <w:bookmarkStart w:id="2520" w:name="_Toc146803453"/>
      <w:bookmarkStart w:id="2521" w:name="_Toc146805157"/>
      <w:bookmarkStart w:id="2522" w:name="_Toc146806861"/>
      <w:bookmarkStart w:id="2523" w:name="_Toc148704915"/>
      <w:bookmarkStart w:id="2524" w:name="_Toc149557873"/>
      <w:bookmarkStart w:id="2525" w:name="_Toc150785329"/>
      <w:bookmarkStart w:id="2526" w:name="_Toc150854783"/>
      <w:bookmarkStart w:id="2527" w:name="_Toc151991722"/>
      <w:bookmarkStart w:id="2528" w:name="_Toc152334822"/>
      <w:bookmarkStart w:id="2529" w:name="_Toc153271188"/>
      <w:bookmarkStart w:id="2530" w:name="_Toc157501023"/>
      <w:bookmarkStart w:id="2531" w:name="_Toc159232198"/>
      <w:bookmarkStart w:id="2532" w:name="_Toc134796609"/>
      <w:bookmarkStart w:id="2533" w:name="_Toc134798905"/>
      <w:bookmarkStart w:id="2534" w:name="_Toc145059313"/>
      <w:bookmarkStart w:id="2535" w:name="_Toc145062707"/>
      <w:bookmarkStart w:id="2536" w:name="_Toc145067319"/>
      <w:bookmarkStart w:id="2537" w:name="_Toc146627635"/>
      <w:bookmarkStart w:id="2538" w:name="_Toc146629500"/>
      <w:bookmarkStart w:id="2539" w:name="_Toc146631362"/>
      <w:bookmarkStart w:id="2540" w:name="_Toc146633229"/>
      <w:bookmarkStart w:id="2541" w:name="_Toc146630956"/>
      <w:bookmarkStart w:id="2542" w:name="_Toc146793126"/>
      <w:bookmarkStart w:id="2543" w:name="_Toc146794822"/>
      <w:bookmarkStart w:id="2544" w:name="_Toc146796517"/>
      <w:bookmarkStart w:id="2545" w:name="_Toc146798207"/>
      <w:bookmarkStart w:id="2546" w:name="_Toc146800819"/>
      <w:bookmarkStart w:id="2547" w:name="_Toc146803454"/>
      <w:bookmarkStart w:id="2548" w:name="_Toc146805158"/>
      <w:bookmarkStart w:id="2549" w:name="_Toc146806862"/>
      <w:bookmarkStart w:id="2550" w:name="_Toc148704916"/>
      <w:bookmarkStart w:id="2551" w:name="_Toc149557874"/>
      <w:bookmarkStart w:id="2552" w:name="_Toc150785330"/>
      <w:bookmarkStart w:id="2553" w:name="_Toc150854784"/>
      <w:bookmarkStart w:id="2554" w:name="_Toc151991723"/>
      <w:bookmarkStart w:id="2555" w:name="_Toc152334823"/>
      <w:bookmarkStart w:id="2556" w:name="_Toc153271189"/>
      <w:bookmarkStart w:id="2557" w:name="_Toc157501024"/>
      <w:bookmarkStart w:id="2558" w:name="_Toc159232199"/>
      <w:bookmarkStart w:id="2559" w:name="_Toc134796610"/>
      <w:bookmarkStart w:id="2560" w:name="_Toc134798906"/>
      <w:bookmarkStart w:id="2561" w:name="_Toc145059314"/>
      <w:bookmarkStart w:id="2562" w:name="_Toc145062708"/>
      <w:bookmarkStart w:id="2563" w:name="_Toc145067320"/>
      <w:bookmarkStart w:id="2564" w:name="_Toc146627636"/>
      <w:bookmarkStart w:id="2565" w:name="_Toc146629501"/>
      <w:bookmarkStart w:id="2566" w:name="_Toc146631363"/>
      <w:bookmarkStart w:id="2567" w:name="_Toc146633230"/>
      <w:bookmarkStart w:id="2568" w:name="_Toc146630957"/>
      <w:bookmarkStart w:id="2569" w:name="_Toc146793127"/>
      <w:bookmarkStart w:id="2570" w:name="_Toc146794823"/>
      <w:bookmarkStart w:id="2571" w:name="_Toc146796518"/>
      <w:bookmarkStart w:id="2572" w:name="_Toc146798208"/>
      <w:bookmarkStart w:id="2573" w:name="_Toc146800820"/>
      <w:bookmarkStart w:id="2574" w:name="_Toc146803455"/>
      <w:bookmarkStart w:id="2575" w:name="_Toc146805159"/>
      <w:bookmarkStart w:id="2576" w:name="_Toc146806863"/>
      <w:bookmarkStart w:id="2577" w:name="_Toc148704917"/>
      <w:bookmarkStart w:id="2578" w:name="_Toc149557875"/>
      <w:bookmarkStart w:id="2579" w:name="_Toc150785331"/>
      <w:bookmarkStart w:id="2580" w:name="_Toc150854785"/>
      <w:bookmarkStart w:id="2581" w:name="_Toc151991724"/>
      <w:bookmarkStart w:id="2582" w:name="_Toc152334824"/>
      <w:bookmarkStart w:id="2583" w:name="_Toc153271190"/>
      <w:bookmarkStart w:id="2584" w:name="_Toc157501025"/>
      <w:bookmarkStart w:id="2585" w:name="_Toc159232200"/>
      <w:bookmarkStart w:id="2586" w:name="_Toc134796611"/>
      <w:bookmarkStart w:id="2587" w:name="_Toc134798907"/>
      <w:bookmarkStart w:id="2588" w:name="_Toc145059315"/>
      <w:bookmarkStart w:id="2589" w:name="_Toc145062709"/>
      <w:bookmarkStart w:id="2590" w:name="_Toc145067321"/>
      <w:bookmarkStart w:id="2591" w:name="_Toc146627637"/>
      <w:bookmarkStart w:id="2592" w:name="_Toc146629502"/>
      <w:bookmarkStart w:id="2593" w:name="_Toc146631364"/>
      <w:bookmarkStart w:id="2594" w:name="_Toc146633231"/>
      <w:bookmarkStart w:id="2595" w:name="_Toc146630958"/>
      <w:bookmarkStart w:id="2596" w:name="_Toc146793128"/>
      <w:bookmarkStart w:id="2597" w:name="_Toc146794824"/>
      <w:bookmarkStart w:id="2598" w:name="_Toc146796519"/>
      <w:bookmarkStart w:id="2599" w:name="_Toc146798209"/>
      <w:bookmarkStart w:id="2600" w:name="_Toc146800821"/>
      <w:bookmarkStart w:id="2601" w:name="_Toc146803456"/>
      <w:bookmarkStart w:id="2602" w:name="_Toc146805160"/>
      <w:bookmarkStart w:id="2603" w:name="_Toc146806864"/>
      <w:bookmarkStart w:id="2604" w:name="_Toc148704918"/>
      <w:bookmarkStart w:id="2605" w:name="_Toc149557876"/>
      <w:bookmarkStart w:id="2606" w:name="_Toc150785332"/>
      <w:bookmarkStart w:id="2607" w:name="_Toc150854786"/>
      <w:bookmarkStart w:id="2608" w:name="_Toc151991725"/>
      <w:bookmarkStart w:id="2609" w:name="_Toc152334825"/>
      <w:bookmarkStart w:id="2610" w:name="_Toc153271191"/>
      <w:bookmarkStart w:id="2611" w:name="_Toc157501026"/>
      <w:bookmarkStart w:id="2612" w:name="_Toc159232201"/>
      <w:bookmarkStart w:id="2613" w:name="_Toc134796612"/>
      <w:bookmarkStart w:id="2614" w:name="_Toc134798908"/>
      <w:bookmarkStart w:id="2615" w:name="_Toc145059316"/>
      <w:bookmarkStart w:id="2616" w:name="_Toc145062710"/>
      <w:bookmarkStart w:id="2617" w:name="_Toc145067322"/>
      <w:bookmarkStart w:id="2618" w:name="_Toc146627638"/>
      <w:bookmarkStart w:id="2619" w:name="_Toc146629503"/>
      <w:bookmarkStart w:id="2620" w:name="_Toc146631365"/>
      <w:bookmarkStart w:id="2621" w:name="_Toc146633232"/>
      <w:bookmarkStart w:id="2622" w:name="_Toc146630959"/>
      <w:bookmarkStart w:id="2623" w:name="_Toc146793129"/>
      <w:bookmarkStart w:id="2624" w:name="_Toc146794825"/>
      <w:bookmarkStart w:id="2625" w:name="_Toc146796520"/>
      <w:bookmarkStart w:id="2626" w:name="_Toc146798210"/>
      <w:bookmarkStart w:id="2627" w:name="_Toc146800822"/>
      <w:bookmarkStart w:id="2628" w:name="_Toc146803457"/>
      <w:bookmarkStart w:id="2629" w:name="_Toc146805161"/>
      <w:bookmarkStart w:id="2630" w:name="_Toc146806865"/>
      <w:bookmarkStart w:id="2631" w:name="_Toc148704919"/>
      <w:bookmarkStart w:id="2632" w:name="_Toc149557877"/>
      <w:bookmarkStart w:id="2633" w:name="_Toc150785333"/>
      <w:bookmarkStart w:id="2634" w:name="_Toc150854787"/>
      <w:bookmarkStart w:id="2635" w:name="_Toc151991726"/>
      <w:bookmarkStart w:id="2636" w:name="_Toc152334826"/>
      <w:bookmarkStart w:id="2637" w:name="_Toc153271192"/>
      <w:bookmarkStart w:id="2638" w:name="_Toc157501027"/>
      <w:bookmarkStart w:id="2639" w:name="_Toc159232202"/>
      <w:bookmarkStart w:id="2640" w:name="_Toc134796613"/>
      <w:bookmarkStart w:id="2641" w:name="_Toc134798909"/>
      <w:bookmarkStart w:id="2642" w:name="_Toc145059317"/>
      <w:bookmarkStart w:id="2643" w:name="_Toc145062711"/>
      <w:bookmarkStart w:id="2644" w:name="_Toc145067323"/>
      <w:bookmarkStart w:id="2645" w:name="_Toc146627639"/>
      <w:bookmarkStart w:id="2646" w:name="_Toc146629504"/>
      <w:bookmarkStart w:id="2647" w:name="_Toc146631366"/>
      <w:bookmarkStart w:id="2648" w:name="_Toc146633233"/>
      <w:bookmarkStart w:id="2649" w:name="_Toc146630960"/>
      <w:bookmarkStart w:id="2650" w:name="_Toc146793130"/>
      <w:bookmarkStart w:id="2651" w:name="_Toc146794826"/>
      <w:bookmarkStart w:id="2652" w:name="_Toc146796521"/>
      <w:bookmarkStart w:id="2653" w:name="_Toc146798211"/>
      <w:bookmarkStart w:id="2654" w:name="_Toc146800823"/>
      <w:bookmarkStart w:id="2655" w:name="_Toc146803458"/>
      <w:bookmarkStart w:id="2656" w:name="_Toc146805162"/>
      <w:bookmarkStart w:id="2657" w:name="_Toc146806866"/>
      <w:bookmarkStart w:id="2658" w:name="_Toc148704920"/>
      <w:bookmarkStart w:id="2659" w:name="_Toc149557878"/>
      <w:bookmarkStart w:id="2660" w:name="_Toc150785334"/>
      <w:bookmarkStart w:id="2661" w:name="_Toc150854788"/>
      <w:bookmarkStart w:id="2662" w:name="_Toc151991727"/>
      <w:bookmarkStart w:id="2663" w:name="_Toc152334827"/>
      <w:bookmarkStart w:id="2664" w:name="_Toc153271193"/>
      <w:bookmarkStart w:id="2665" w:name="_Toc157501028"/>
      <w:bookmarkStart w:id="2666" w:name="_Toc159232203"/>
      <w:bookmarkStart w:id="2667" w:name="_Toc134796614"/>
      <w:bookmarkStart w:id="2668" w:name="_Toc134798910"/>
      <w:bookmarkStart w:id="2669" w:name="_Toc145059318"/>
      <w:bookmarkStart w:id="2670" w:name="_Toc145062712"/>
      <w:bookmarkStart w:id="2671" w:name="_Toc145067324"/>
      <w:bookmarkStart w:id="2672" w:name="_Toc146627640"/>
      <w:bookmarkStart w:id="2673" w:name="_Toc146629505"/>
      <w:bookmarkStart w:id="2674" w:name="_Toc146631367"/>
      <w:bookmarkStart w:id="2675" w:name="_Toc146633234"/>
      <w:bookmarkStart w:id="2676" w:name="_Toc146630961"/>
      <w:bookmarkStart w:id="2677" w:name="_Toc146793131"/>
      <w:bookmarkStart w:id="2678" w:name="_Toc146794827"/>
      <w:bookmarkStart w:id="2679" w:name="_Toc146796522"/>
      <w:bookmarkStart w:id="2680" w:name="_Toc146798212"/>
      <w:bookmarkStart w:id="2681" w:name="_Toc146800824"/>
      <w:bookmarkStart w:id="2682" w:name="_Toc146803459"/>
      <w:bookmarkStart w:id="2683" w:name="_Toc146805163"/>
      <w:bookmarkStart w:id="2684" w:name="_Toc146806867"/>
      <w:bookmarkStart w:id="2685" w:name="_Toc148704921"/>
      <w:bookmarkStart w:id="2686" w:name="_Toc149557879"/>
      <w:bookmarkStart w:id="2687" w:name="_Toc150785335"/>
      <w:bookmarkStart w:id="2688" w:name="_Toc150854789"/>
      <w:bookmarkStart w:id="2689" w:name="_Toc151991728"/>
      <w:bookmarkStart w:id="2690" w:name="_Toc152334828"/>
      <w:bookmarkStart w:id="2691" w:name="_Toc153271194"/>
      <w:bookmarkStart w:id="2692" w:name="_Toc157501029"/>
      <w:bookmarkStart w:id="2693" w:name="_Toc159232204"/>
      <w:bookmarkStart w:id="2694" w:name="_Toc134796615"/>
      <w:bookmarkStart w:id="2695" w:name="_Toc134798911"/>
      <w:bookmarkStart w:id="2696" w:name="_Toc145059319"/>
      <w:bookmarkStart w:id="2697" w:name="_Toc145062713"/>
      <w:bookmarkStart w:id="2698" w:name="_Toc145067325"/>
      <w:bookmarkStart w:id="2699" w:name="_Toc146627641"/>
      <w:bookmarkStart w:id="2700" w:name="_Toc146629506"/>
      <w:bookmarkStart w:id="2701" w:name="_Toc146631368"/>
      <w:bookmarkStart w:id="2702" w:name="_Toc146633235"/>
      <w:bookmarkStart w:id="2703" w:name="_Toc146630962"/>
      <w:bookmarkStart w:id="2704" w:name="_Toc146793132"/>
      <w:bookmarkStart w:id="2705" w:name="_Toc146794828"/>
      <w:bookmarkStart w:id="2706" w:name="_Toc146796523"/>
      <w:bookmarkStart w:id="2707" w:name="_Toc146798213"/>
      <w:bookmarkStart w:id="2708" w:name="_Toc146800825"/>
      <w:bookmarkStart w:id="2709" w:name="_Toc146803460"/>
      <w:bookmarkStart w:id="2710" w:name="_Toc146805164"/>
      <w:bookmarkStart w:id="2711" w:name="_Toc146806868"/>
      <w:bookmarkStart w:id="2712" w:name="_Toc148704922"/>
      <w:bookmarkStart w:id="2713" w:name="_Toc149557880"/>
      <w:bookmarkStart w:id="2714" w:name="_Toc150785336"/>
      <w:bookmarkStart w:id="2715" w:name="_Toc150854790"/>
      <w:bookmarkStart w:id="2716" w:name="_Toc151991729"/>
      <w:bookmarkStart w:id="2717" w:name="_Toc152334829"/>
      <w:bookmarkStart w:id="2718" w:name="_Toc153271195"/>
      <w:bookmarkStart w:id="2719" w:name="_Toc157501030"/>
      <w:bookmarkStart w:id="2720" w:name="_Toc159232205"/>
      <w:bookmarkStart w:id="2721" w:name="_Toc134796616"/>
      <w:bookmarkStart w:id="2722" w:name="_Toc134798912"/>
      <w:bookmarkStart w:id="2723" w:name="_Toc145059320"/>
      <w:bookmarkStart w:id="2724" w:name="_Toc145062714"/>
      <w:bookmarkStart w:id="2725" w:name="_Toc145067326"/>
      <w:bookmarkStart w:id="2726" w:name="_Toc146627642"/>
      <w:bookmarkStart w:id="2727" w:name="_Toc146629507"/>
      <w:bookmarkStart w:id="2728" w:name="_Toc146631369"/>
      <w:bookmarkStart w:id="2729" w:name="_Toc146633236"/>
      <w:bookmarkStart w:id="2730" w:name="_Toc146630963"/>
      <w:bookmarkStart w:id="2731" w:name="_Toc146793133"/>
      <w:bookmarkStart w:id="2732" w:name="_Toc146794829"/>
      <w:bookmarkStart w:id="2733" w:name="_Toc146796524"/>
      <w:bookmarkStart w:id="2734" w:name="_Toc146798214"/>
      <w:bookmarkStart w:id="2735" w:name="_Toc146800826"/>
      <w:bookmarkStart w:id="2736" w:name="_Toc146803461"/>
      <w:bookmarkStart w:id="2737" w:name="_Toc146805165"/>
      <w:bookmarkStart w:id="2738" w:name="_Toc146806869"/>
      <w:bookmarkStart w:id="2739" w:name="_Toc148704923"/>
      <w:bookmarkStart w:id="2740" w:name="_Toc149557881"/>
      <w:bookmarkStart w:id="2741" w:name="_Toc150785337"/>
      <w:bookmarkStart w:id="2742" w:name="_Toc150854791"/>
      <w:bookmarkStart w:id="2743" w:name="_Toc151991730"/>
      <w:bookmarkStart w:id="2744" w:name="_Toc152334830"/>
      <w:bookmarkStart w:id="2745" w:name="_Toc153271196"/>
      <w:bookmarkStart w:id="2746" w:name="_Toc157501031"/>
      <w:bookmarkStart w:id="2747" w:name="_Toc159232206"/>
      <w:bookmarkStart w:id="2748" w:name="_Toc134796617"/>
      <w:bookmarkStart w:id="2749" w:name="_Toc134798913"/>
      <w:bookmarkStart w:id="2750" w:name="_Toc145059321"/>
      <w:bookmarkStart w:id="2751" w:name="_Toc145062715"/>
      <w:bookmarkStart w:id="2752" w:name="_Toc145067327"/>
      <w:bookmarkStart w:id="2753" w:name="_Toc146627643"/>
      <w:bookmarkStart w:id="2754" w:name="_Toc146629508"/>
      <w:bookmarkStart w:id="2755" w:name="_Toc146631370"/>
      <w:bookmarkStart w:id="2756" w:name="_Toc146633237"/>
      <w:bookmarkStart w:id="2757" w:name="_Toc146630964"/>
      <w:bookmarkStart w:id="2758" w:name="_Toc146793134"/>
      <w:bookmarkStart w:id="2759" w:name="_Toc146794830"/>
      <w:bookmarkStart w:id="2760" w:name="_Toc146796525"/>
      <w:bookmarkStart w:id="2761" w:name="_Toc146798215"/>
      <w:bookmarkStart w:id="2762" w:name="_Toc146800827"/>
      <w:bookmarkStart w:id="2763" w:name="_Toc146803462"/>
      <w:bookmarkStart w:id="2764" w:name="_Toc146805166"/>
      <w:bookmarkStart w:id="2765" w:name="_Toc146806870"/>
      <w:bookmarkStart w:id="2766" w:name="_Toc148704924"/>
      <w:bookmarkStart w:id="2767" w:name="_Toc149557882"/>
      <w:bookmarkStart w:id="2768" w:name="_Toc150785338"/>
      <w:bookmarkStart w:id="2769" w:name="_Toc150854792"/>
      <w:bookmarkStart w:id="2770" w:name="_Toc151991731"/>
      <w:bookmarkStart w:id="2771" w:name="_Toc152334831"/>
      <w:bookmarkStart w:id="2772" w:name="_Toc153271197"/>
      <w:bookmarkStart w:id="2773" w:name="_Toc157501032"/>
      <w:bookmarkStart w:id="2774" w:name="_Toc159232207"/>
      <w:bookmarkStart w:id="2775" w:name="_Toc134796618"/>
      <w:bookmarkStart w:id="2776" w:name="_Toc134798914"/>
      <w:bookmarkStart w:id="2777" w:name="_Toc145059322"/>
      <w:bookmarkStart w:id="2778" w:name="_Toc145062716"/>
      <w:bookmarkStart w:id="2779" w:name="_Toc145067328"/>
      <w:bookmarkStart w:id="2780" w:name="_Toc146627644"/>
      <w:bookmarkStart w:id="2781" w:name="_Toc146629509"/>
      <w:bookmarkStart w:id="2782" w:name="_Toc146631371"/>
      <w:bookmarkStart w:id="2783" w:name="_Toc146633238"/>
      <w:bookmarkStart w:id="2784" w:name="_Toc146630965"/>
      <w:bookmarkStart w:id="2785" w:name="_Toc146793135"/>
      <w:bookmarkStart w:id="2786" w:name="_Toc146794831"/>
      <w:bookmarkStart w:id="2787" w:name="_Toc146796526"/>
      <w:bookmarkStart w:id="2788" w:name="_Toc146798216"/>
      <w:bookmarkStart w:id="2789" w:name="_Toc146800828"/>
      <w:bookmarkStart w:id="2790" w:name="_Toc146803463"/>
      <w:bookmarkStart w:id="2791" w:name="_Toc146805167"/>
      <w:bookmarkStart w:id="2792" w:name="_Toc146806871"/>
      <w:bookmarkStart w:id="2793" w:name="_Toc148704925"/>
      <w:bookmarkStart w:id="2794" w:name="_Toc149557883"/>
      <w:bookmarkStart w:id="2795" w:name="_Toc150785339"/>
      <w:bookmarkStart w:id="2796" w:name="_Toc150854793"/>
      <w:bookmarkStart w:id="2797" w:name="_Toc151991732"/>
      <w:bookmarkStart w:id="2798" w:name="_Toc152334832"/>
      <w:bookmarkStart w:id="2799" w:name="_Toc153271198"/>
      <w:bookmarkStart w:id="2800" w:name="_Toc157501033"/>
      <w:bookmarkStart w:id="2801" w:name="_Toc159232208"/>
      <w:bookmarkStart w:id="2802" w:name="_Toc163740173"/>
      <w:bookmarkStart w:id="2803" w:name="_Toc213771827"/>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r w:rsidRPr="00D1363C">
        <w:t>Fuel-Limited Resource</w:t>
      </w:r>
      <w:bookmarkEnd w:id="2802"/>
      <w:bookmarkEnd w:id="2803"/>
    </w:p>
    <w:p w14:paraId="3B322E56" w14:textId="7C1DA67A" w:rsidR="00C70F99" w:rsidRPr="00D1363C" w:rsidRDefault="00C70F99" w:rsidP="00C70F99">
      <w:pPr>
        <w:spacing w:before="240" w:after="240" w:line="300" w:lineRule="auto"/>
        <w:rPr>
          <w:szCs w:val="24"/>
        </w:rPr>
      </w:pPr>
      <w:r w:rsidRPr="00D1363C">
        <w:rPr>
          <w:szCs w:val="24"/>
        </w:rPr>
        <w:t>Fuel-limited Resources may register as any valid Resource type and are subject to the same service provision rules as any other Resource within that type</w:t>
      </w:r>
      <w:r>
        <w:rPr>
          <w:szCs w:val="24"/>
        </w:rPr>
        <w:t xml:space="preserve">.  Impacting fuel-limited Resource offer parameters are located under Section </w:t>
      </w:r>
      <w:r w:rsidR="00CA30A9">
        <w:rPr>
          <w:szCs w:val="24"/>
        </w:rPr>
        <w:fldChar w:fldCharType="begin"/>
      </w:r>
      <w:r w:rsidR="00CA30A9">
        <w:rPr>
          <w:szCs w:val="24"/>
        </w:rPr>
        <w:instrText xml:space="preserve"> REF _Ref195097891 \r \h </w:instrText>
      </w:r>
      <w:r w:rsidR="00CA30A9">
        <w:rPr>
          <w:szCs w:val="24"/>
        </w:rPr>
      </w:r>
      <w:r w:rsidR="00CA30A9">
        <w:rPr>
          <w:szCs w:val="24"/>
        </w:rPr>
        <w:fldChar w:fldCharType="separate"/>
      </w:r>
      <w:r w:rsidR="00CA30A9">
        <w:rPr>
          <w:szCs w:val="24"/>
        </w:rPr>
        <w:t>4.2.2.1</w:t>
      </w:r>
      <w:r w:rsidR="00CA30A9">
        <w:rPr>
          <w:szCs w:val="24"/>
        </w:rPr>
        <w:fldChar w:fldCharType="end"/>
      </w:r>
      <w:r>
        <w:rPr>
          <w:szCs w:val="24"/>
        </w:rPr>
        <w:t>.</w:t>
      </w:r>
    </w:p>
    <w:p w14:paraId="0F287854" w14:textId="0608B65B" w:rsidR="00C70F99" w:rsidRPr="002B6A88" w:rsidRDefault="00C70F99" w:rsidP="00574654">
      <w:pPr>
        <w:pStyle w:val="Heading5"/>
      </w:pPr>
      <w:bookmarkStart w:id="2804" w:name="_Hlt210812416"/>
      <w:bookmarkStart w:id="2805" w:name="_Toc163740174"/>
      <w:bookmarkStart w:id="2806" w:name="_Ref210812384"/>
      <w:bookmarkStart w:id="2807" w:name="_Toc213771828"/>
      <w:bookmarkEnd w:id="2804"/>
      <w:r w:rsidRPr="002B6A88">
        <w:t>Resource Aggregation</w:t>
      </w:r>
      <w:bookmarkEnd w:id="2805"/>
      <w:bookmarkEnd w:id="2806"/>
      <w:bookmarkEnd w:id="2807"/>
    </w:p>
    <w:p w14:paraId="1E9CF540" w14:textId="48B33F11" w:rsidR="00C70F99" w:rsidRDefault="00C70F99" w:rsidP="00C70F99">
      <w:pPr>
        <w:pStyle w:val="Normal88"/>
        <w:spacing w:line="300" w:lineRule="auto"/>
        <w:jc w:val="both"/>
      </w:pPr>
      <w:r w:rsidRPr="00B4045B">
        <w:rPr>
          <w:snapToGrid w:val="0"/>
        </w:rPr>
        <w:t xml:space="preserve">The following rules apply to </w:t>
      </w:r>
      <w:r w:rsidR="007A1DB2">
        <w:rPr>
          <w:snapToGrid w:val="0"/>
        </w:rPr>
        <w:t xml:space="preserve">Resources </w:t>
      </w:r>
      <w:r w:rsidRPr="00B4045B">
        <w:rPr>
          <w:snapToGrid w:val="0"/>
        </w:rPr>
        <w:t>that a Market Participant is registering as a Resource Aggregation.</w:t>
      </w:r>
      <w:r w:rsidRPr="00B4045B">
        <w:t xml:space="preserve"> Registration details relating to Resource Aggregation are described in Section </w:t>
      </w:r>
      <w:r w:rsidR="00C7364E">
        <w:fldChar w:fldCharType="begin"/>
      </w:r>
      <w:r w:rsidR="00C7364E">
        <w:instrText xml:space="preserve"> REF _Ref195097998 \r \h </w:instrText>
      </w:r>
      <w:r w:rsidR="00C7364E">
        <w:fldChar w:fldCharType="separate"/>
      </w:r>
      <w:r w:rsidR="00C7364E">
        <w:t>9.1.13</w:t>
      </w:r>
      <w:r w:rsidR="00C7364E">
        <w:fldChar w:fldCharType="end"/>
      </w:r>
      <w:r w:rsidRPr="00B4045B">
        <w:t xml:space="preserve">.    </w:t>
      </w:r>
    </w:p>
    <w:p w14:paraId="06795DB6" w14:textId="77777777" w:rsidR="00C70F99" w:rsidRPr="00B4045B" w:rsidRDefault="00C70F99" w:rsidP="00C70F99">
      <w:pPr>
        <w:pStyle w:val="Normal88"/>
        <w:spacing w:line="300" w:lineRule="auto"/>
        <w:jc w:val="both"/>
        <w:rPr>
          <w:snapToGrid w:val="0"/>
        </w:rPr>
      </w:pPr>
    </w:p>
    <w:p w14:paraId="790CD133" w14:textId="1CFA3E7B" w:rsidR="00C70F99" w:rsidRDefault="00C70F99" w:rsidP="003B0E39">
      <w:pPr>
        <w:pStyle w:val="Normal17"/>
        <w:numPr>
          <w:ilvl w:val="3"/>
          <w:numId w:val="57"/>
        </w:numPr>
        <w:spacing w:line="300" w:lineRule="auto"/>
        <w:jc w:val="both"/>
      </w:pPr>
      <w:r w:rsidRPr="00B4045B">
        <w:rPr>
          <w:rFonts w:eastAsiaTheme="minorHAnsi"/>
        </w:rPr>
        <w:t>The</w:t>
      </w:r>
      <w:r w:rsidRPr="00B4045B">
        <w:t xml:space="preserve"> Market Participant must include, as a part of its Resource Offer for the Resource Aggregation, a </w:t>
      </w:r>
      <w:r w:rsidR="00CF2B58">
        <w:t>Resource Aggregation B</w:t>
      </w:r>
      <w:r w:rsidR="002B5E3E">
        <w:t xml:space="preserve">ase </w:t>
      </w:r>
      <w:r w:rsidR="00CF2B58">
        <w:t>D</w:t>
      </w:r>
      <w:r w:rsidRPr="00B4045B">
        <w:t xml:space="preserve">istribution </w:t>
      </w:r>
      <w:r w:rsidR="00CF2B58">
        <w:t>F</w:t>
      </w:r>
      <w:r w:rsidRPr="00B4045B">
        <w:t>actor(s)</w:t>
      </w:r>
      <w:r w:rsidR="002B5E3E">
        <w:t xml:space="preserve">, and a </w:t>
      </w:r>
      <w:r w:rsidR="00CF2B58">
        <w:t>Resource Aggreg</w:t>
      </w:r>
      <w:r w:rsidR="00AF771C">
        <w:t>ation</w:t>
      </w:r>
      <w:r w:rsidR="002B5E3E">
        <w:t xml:space="preserve"> </w:t>
      </w:r>
      <w:r w:rsidR="00AF771C">
        <w:t>I</w:t>
      </w:r>
      <w:r w:rsidR="002B5E3E">
        <w:t xml:space="preserve">ncremental </w:t>
      </w:r>
      <w:r w:rsidR="00AF771C">
        <w:t>D</w:t>
      </w:r>
      <w:r w:rsidR="002B5E3E">
        <w:t xml:space="preserve">istribution </w:t>
      </w:r>
      <w:r w:rsidR="001063FA">
        <w:t>F</w:t>
      </w:r>
      <w:r w:rsidR="002B5E3E">
        <w:t>actor(s),</w:t>
      </w:r>
      <w:r w:rsidRPr="00B4045B">
        <w:t xml:space="preserve"> for each </w:t>
      </w:r>
      <w:r>
        <w:t>Point of Interconnection</w:t>
      </w:r>
      <w:r w:rsidRPr="00B4045B">
        <w:t xml:space="preserve"> included in the Resource Aggregation for each hour of each Operating Day in both the Day-Ahead Market and Real-Time Balancing Market (See Section </w:t>
      </w:r>
      <w:r w:rsidR="00C7364E">
        <w:fldChar w:fldCharType="begin"/>
      </w:r>
      <w:r w:rsidR="00C7364E">
        <w:instrText xml:space="preserve"> REF _Ref195098023 \r \h </w:instrText>
      </w:r>
      <w:r w:rsidR="00C7364E">
        <w:fldChar w:fldCharType="separate"/>
      </w:r>
      <w:r w:rsidR="00C7364E">
        <w:t>4.2.2.1</w:t>
      </w:r>
      <w:r w:rsidR="00C7364E">
        <w:fldChar w:fldCharType="end"/>
      </w:r>
      <w:r w:rsidR="00747E33">
        <w:t>)</w:t>
      </w:r>
      <w:r w:rsidRPr="00B4045B">
        <w:t xml:space="preserve">.  The factors must be representative of the respective forecasted participation of each individual </w:t>
      </w:r>
      <w:r w:rsidR="00A2427B">
        <w:t>unit or plant</w:t>
      </w:r>
      <w:r w:rsidR="007A1DB2">
        <w:t xml:space="preserve"> </w:t>
      </w:r>
      <w:r w:rsidRPr="00B4045B">
        <w:t xml:space="preserve"> in the Resource Aggregation. The factor may change over time and may be impacted by </w:t>
      </w:r>
      <w:r w:rsidR="00A2427B">
        <w:t xml:space="preserve">unit or plant </w:t>
      </w:r>
      <w:r w:rsidR="007A1DB2" w:rsidRPr="00B4045B">
        <w:t xml:space="preserve"> </w:t>
      </w:r>
      <w:r w:rsidRPr="00B4045B">
        <w:t xml:space="preserve">outages.  </w:t>
      </w:r>
      <w:r w:rsidR="009E76A9" w:rsidRPr="006B794A">
        <w:t xml:space="preserve">The sum of the </w:t>
      </w:r>
      <w:r w:rsidR="009E76A9">
        <w:t>Resource Aggregation</w:t>
      </w:r>
      <w:r w:rsidR="009E76A9" w:rsidRPr="006B794A">
        <w:t xml:space="preserve"> </w:t>
      </w:r>
      <w:r w:rsidR="009E76A9">
        <w:t>Base</w:t>
      </w:r>
      <w:r w:rsidR="009E76A9" w:rsidRPr="006B794A">
        <w:t xml:space="preserve"> Distribution Factors for all </w:t>
      </w:r>
      <w:r w:rsidR="009E76A9">
        <w:t>units or plants</w:t>
      </w:r>
      <w:r w:rsidR="009E76A9" w:rsidRPr="006B794A">
        <w:t xml:space="preserve"> within the Resource Aggregation must </w:t>
      </w:r>
      <w:r w:rsidR="009E76A9">
        <w:t>equal</w:t>
      </w:r>
      <w:r w:rsidR="009E76A9" w:rsidRPr="006B794A">
        <w:t xml:space="preserve"> </w:t>
      </w:r>
      <w:r w:rsidR="008A6F8C">
        <w:t>one (</w:t>
      </w:r>
      <w:r w:rsidR="009E76A9" w:rsidRPr="006B794A">
        <w:t>1</w:t>
      </w:r>
      <w:r w:rsidR="008A6F8C">
        <w:t>)</w:t>
      </w:r>
      <w:r w:rsidR="009E76A9">
        <w:t xml:space="preserve"> and t</w:t>
      </w:r>
      <w:r w:rsidR="009E76A9" w:rsidRPr="006B794A">
        <w:t xml:space="preserve">he sum of the </w:t>
      </w:r>
      <w:r w:rsidR="009E76A9">
        <w:t>Resource Aggregation</w:t>
      </w:r>
      <w:r w:rsidR="009E76A9" w:rsidRPr="006B794A">
        <w:t xml:space="preserve"> </w:t>
      </w:r>
      <w:r w:rsidR="009E76A9">
        <w:t xml:space="preserve">Incremental </w:t>
      </w:r>
      <w:r w:rsidR="009E76A9" w:rsidRPr="006B794A">
        <w:t xml:space="preserve">Distribution Factors for all </w:t>
      </w:r>
      <w:r w:rsidR="009E76A9">
        <w:t>units or plants</w:t>
      </w:r>
      <w:r w:rsidR="009E76A9" w:rsidRPr="006B794A">
        <w:t xml:space="preserve"> within the Resource Aggregation must </w:t>
      </w:r>
      <w:r w:rsidR="009E76A9">
        <w:t>equal</w:t>
      </w:r>
      <w:r w:rsidR="009E76A9" w:rsidRPr="006B794A">
        <w:t xml:space="preserve"> </w:t>
      </w:r>
      <w:r w:rsidR="008A6F8C">
        <w:t>one</w:t>
      </w:r>
      <w:r w:rsidR="009E76A9" w:rsidRPr="006B794A">
        <w:t xml:space="preserve"> </w:t>
      </w:r>
      <w:r w:rsidR="008A6F8C">
        <w:t>(</w:t>
      </w:r>
      <w:r w:rsidR="009E76A9" w:rsidRPr="006B794A">
        <w:t>1</w:t>
      </w:r>
      <w:r w:rsidR="008A6F8C">
        <w:t>)</w:t>
      </w:r>
      <w:r w:rsidR="009E76A9">
        <w:t>.</w:t>
      </w:r>
    </w:p>
    <w:p w14:paraId="2C016B5B" w14:textId="4FEE685E" w:rsidR="00A2427B" w:rsidRPr="00A2427B" w:rsidRDefault="00DB3AD2" w:rsidP="00E679DC">
      <w:pPr>
        <w:pStyle w:val="Normal17"/>
        <w:numPr>
          <w:ilvl w:val="3"/>
          <w:numId w:val="57"/>
        </w:numPr>
        <w:spacing w:line="300" w:lineRule="auto"/>
        <w:jc w:val="both"/>
      </w:pPr>
      <w:r w:rsidRPr="24365125">
        <w:t>For Settlement purposes, the Resource Aggregation will be represented by an A</w:t>
      </w:r>
      <w:r>
        <w:t>Pnode</w:t>
      </w:r>
      <w:r w:rsidRPr="24365125">
        <w:t xml:space="preserve"> within the Commercial Model.  The LMP at the A</w:t>
      </w:r>
      <w:r>
        <w:t>Pnode</w:t>
      </w:r>
      <w:r w:rsidRPr="24365125">
        <w:t xml:space="preserve"> will be calculated using the individual unit or plant </w:t>
      </w:r>
      <w:r>
        <w:t>Pnode</w:t>
      </w:r>
      <w:r w:rsidRPr="24365125">
        <w:t xml:space="preserve"> LMPs weighted by the submitted </w:t>
      </w:r>
      <w:r>
        <w:t>Resource Aggregation Base D</w:t>
      </w:r>
      <w:r w:rsidRPr="24365125">
        <w:t xml:space="preserve">istribution </w:t>
      </w:r>
      <w:r>
        <w:t>F</w:t>
      </w:r>
      <w:r w:rsidRPr="24365125">
        <w:t>actors</w:t>
      </w:r>
      <w:r>
        <w:t xml:space="preserve"> and Resource Aggregation Incremental Distribution Factors</w:t>
      </w:r>
      <w:r w:rsidRPr="24365125">
        <w:t xml:space="preserve"> as shown in Section </w:t>
      </w:r>
      <w:r>
        <w:fldChar w:fldCharType="begin"/>
      </w:r>
      <w:r>
        <w:instrText xml:space="preserve"> REF _Ref210812696 \r \h </w:instrText>
      </w:r>
      <w:r>
        <w:fldChar w:fldCharType="separate"/>
      </w:r>
      <w:r>
        <w:t>4.5.5.4</w:t>
      </w:r>
      <w:r>
        <w:fldChar w:fldCharType="end"/>
      </w:r>
      <w:r w:rsidRPr="24365125">
        <w:t xml:space="preserve">.  </w:t>
      </w:r>
    </w:p>
    <w:p w14:paraId="789EF86D" w14:textId="77777777" w:rsidR="00A231CB" w:rsidRPr="00A231CB" w:rsidRDefault="00A231CB" w:rsidP="00A2427B">
      <w:pPr>
        <w:pStyle w:val="ListParagraph"/>
        <w:spacing w:line="300" w:lineRule="auto"/>
        <w:rPr>
          <w:szCs w:val="24"/>
        </w:rPr>
      </w:pPr>
    </w:p>
    <w:p w14:paraId="31DFC00E" w14:textId="77777777" w:rsidR="00C70F99" w:rsidRPr="00D1363C" w:rsidRDefault="00C70F99" w:rsidP="00574654">
      <w:pPr>
        <w:pStyle w:val="Heading5"/>
      </w:pPr>
      <w:bookmarkStart w:id="2808" w:name="_Toc163740175"/>
      <w:bookmarkStart w:id="2809" w:name="_Ref211339630"/>
      <w:bookmarkStart w:id="2810" w:name="_Ref212620965"/>
      <w:bookmarkStart w:id="2811" w:name="_Ref212620986"/>
      <w:bookmarkStart w:id="2812" w:name="_Ref212621170"/>
      <w:bookmarkStart w:id="2813" w:name="_Toc213771829"/>
      <w:r w:rsidRPr="00D1363C">
        <w:t>Jointly Owned Unit</w:t>
      </w:r>
      <w:bookmarkEnd w:id="2108"/>
      <w:bookmarkEnd w:id="2109"/>
      <w:bookmarkEnd w:id="2110"/>
      <w:bookmarkEnd w:id="2111"/>
      <w:bookmarkEnd w:id="2112"/>
      <w:r w:rsidRPr="00D1363C">
        <w:t xml:space="preserve"> (JOU)</w:t>
      </w:r>
      <w:bookmarkEnd w:id="2808"/>
      <w:bookmarkEnd w:id="2809"/>
      <w:bookmarkEnd w:id="2810"/>
      <w:bookmarkEnd w:id="2811"/>
      <w:bookmarkEnd w:id="2812"/>
      <w:bookmarkEnd w:id="2813"/>
    </w:p>
    <w:p w14:paraId="6FD7AB94" w14:textId="64242A86" w:rsidR="00C70F99" w:rsidRPr="00D1363C" w:rsidRDefault="00C70F99" w:rsidP="00C70F99">
      <w:pPr>
        <w:spacing w:line="300" w:lineRule="auto"/>
        <w:rPr>
          <w:szCs w:val="24"/>
        </w:rPr>
      </w:pPr>
      <w:bookmarkStart w:id="2814" w:name="OLE_LINK186"/>
      <w:bookmarkStart w:id="2815" w:name="OLE_LINK187"/>
      <w:r w:rsidRPr="00D1363C">
        <w:rPr>
          <w:szCs w:val="24"/>
        </w:rPr>
        <w:t xml:space="preserve">JOUs may model JOU shares using the Individual Resource Option as specified during market registration as described </w:t>
      </w:r>
      <w:r w:rsidRPr="00F22430">
        <w:rPr>
          <w:szCs w:val="24"/>
        </w:rPr>
        <w:t xml:space="preserve">under Section </w:t>
      </w:r>
      <w:r w:rsidR="00833B83">
        <w:rPr>
          <w:szCs w:val="24"/>
        </w:rPr>
        <w:fldChar w:fldCharType="begin"/>
      </w:r>
      <w:r w:rsidR="00833B83">
        <w:rPr>
          <w:szCs w:val="24"/>
        </w:rPr>
        <w:instrText xml:space="preserve"> REF _Ref195098496 \r \h </w:instrText>
      </w:r>
      <w:r w:rsidR="00833B83">
        <w:rPr>
          <w:szCs w:val="24"/>
        </w:rPr>
      </w:r>
      <w:r w:rsidR="00833B83">
        <w:rPr>
          <w:szCs w:val="24"/>
        </w:rPr>
        <w:fldChar w:fldCharType="separate"/>
      </w:r>
      <w:r w:rsidR="00833B83">
        <w:rPr>
          <w:szCs w:val="24"/>
        </w:rPr>
        <w:t>9.1.5.1</w:t>
      </w:r>
      <w:r w:rsidR="00833B83">
        <w:rPr>
          <w:szCs w:val="24"/>
        </w:rPr>
        <w:fldChar w:fldCharType="end"/>
      </w:r>
      <w:r w:rsidRPr="00F22430">
        <w:rPr>
          <w:szCs w:val="24"/>
        </w:rPr>
        <w:t>.</w:t>
      </w:r>
      <w:r w:rsidRPr="00D1363C">
        <w:rPr>
          <w:szCs w:val="24"/>
        </w:rPr>
        <w:t xml:space="preserve">  Otherwise, the Resource is modeled like any other single Resource with an associated single Asset Owner.  </w:t>
      </w:r>
    </w:p>
    <w:p w14:paraId="3FDE4C72" w14:textId="1CB779E3" w:rsidR="00C70F99" w:rsidRPr="00D1363C" w:rsidRDefault="00C70F99" w:rsidP="00EE45E7">
      <w:pPr>
        <w:numPr>
          <w:ilvl w:val="0"/>
          <w:numId w:val="22"/>
        </w:numPr>
        <w:spacing w:line="300" w:lineRule="auto"/>
        <w:ind w:left="720" w:hanging="540"/>
        <w:rPr>
          <w:szCs w:val="24"/>
        </w:rPr>
      </w:pPr>
      <w:r w:rsidRPr="00D1363C">
        <w:rPr>
          <w:szCs w:val="24"/>
        </w:rPr>
        <w:t>As part of market registration, the following offer parameters representing the physical characteristics of the entire JOU (Physical JOU Resource)</w:t>
      </w:r>
      <w:r w:rsidRPr="00D1363C">
        <w:t xml:space="preserve"> must be submitted either by or on behalf of the Asset Owner identified at registration (designated Asset Owner)</w:t>
      </w:r>
      <w:r w:rsidRPr="00D1363C">
        <w:rPr>
          <w:szCs w:val="24"/>
        </w:rPr>
        <w:t>:</w:t>
      </w:r>
    </w:p>
    <w:p w14:paraId="4E2778AC" w14:textId="77777777" w:rsidR="00C70F99" w:rsidRPr="00D1363C" w:rsidRDefault="00C70F99" w:rsidP="00C35DA0">
      <w:pPr>
        <w:numPr>
          <w:ilvl w:val="1"/>
          <w:numId w:val="11"/>
        </w:numPr>
        <w:spacing w:line="300" w:lineRule="auto"/>
        <w:ind w:hanging="540"/>
        <w:rPr>
          <w:szCs w:val="24"/>
        </w:rPr>
      </w:pPr>
      <w:r w:rsidRPr="00D1363C">
        <w:rPr>
          <w:szCs w:val="24"/>
        </w:rPr>
        <w:t>JOU maximum physical capacity operating limit;</w:t>
      </w:r>
    </w:p>
    <w:p w14:paraId="5B4D2E5B" w14:textId="77777777" w:rsidR="00C70F99" w:rsidRPr="00D1363C" w:rsidRDefault="00C70F99" w:rsidP="00C35DA0">
      <w:pPr>
        <w:numPr>
          <w:ilvl w:val="1"/>
          <w:numId w:val="11"/>
        </w:numPr>
        <w:spacing w:line="300" w:lineRule="auto"/>
        <w:ind w:hanging="540"/>
        <w:rPr>
          <w:szCs w:val="24"/>
        </w:rPr>
      </w:pPr>
      <w:r w:rsidRPr="00D1363C">
        <w:rPr>
          <w:szCs w:val="24"/>
        </w:rPr>
        <w:t>JOU maximum physical 10-minute response from an off-line state (if a</w:t>
      </w:r>
      <w:r>
        <w:rPr>
          <w:szCs w:val="24"/>
        </w:rPr>
        <w:t>n FSR</w:t>
      </w:r>
      <w:r w:rsidRPr="00D1363C">
        <w:rPr>
          <w:szCs w:val="24"/>
        </w:rPr>
        <w:t>).</w:t>
      </w:r>
    </w:p>
    <w:p w14:paraId="3AF84B06" w14:textId="7C9EE9E2" w:rsidR="00C70F99" w:rsidRPr="00D1363C" w:rsidRDefault="00C70F99" w:rsidP="00EE45E7">
      <w:pPr>
        <w:numPr>
          <w:ilvl w:val="0"/>
          <w:numId w:val="22"/>
        </w:numPr>
        <w:spacing w:line="300" w:lineRule="auto"/>
        <w:ind w:left="720" w:hanging="540"/>
        <w:rPr>
          <w:szCs w:val="24"/>
        </w:rPr>
      </w:pPr>
      <w:r w:rsidRPr="00D1363C">
        <w:rPr>
          <w:szCs w:val="24"/>
        </w:rPr>
        <w:t xml:space="preserve">The following Offer parameters as submitted by or on behalf of each Asset Owner for its JOU share that has registered under the Individual Resource Option must meet the following criteria in order to be accepted as valid offers, otherwise, all Offers related to the Physical JOU Resource will revert to the last valid offer;    </w:t>
      </w:r>
    </w:p>
    <w:p w14:paraId="62630995" w14:textId="45CBA7FF" w:rsidR="00C70F99" w:rsidRPr="00D1363C" w:rsidRDefault="00C70F99" w:rsidP="00C35DA0">
      <w:pPr>
        <w:numPr>
          <w:ilvl w:val="1"/>
          <w:numId w:val="22"/>
        </w:numPr>
        <w:spacing w:line="300" w:lineRule="auto"/>
        <w:ind w:hanging="540"/>
        <w:rPr>
          <w:szCs w:val="24"/>
        </w:rPr>
      </w:pPr>
      <w:r w:rsidRPr="00D1363C">
        <w:rPr>
          <w:szCs w:val="24"/>
        </w:rPr>
        <w:t xml:space="preserve">The sum of the </w:t>
      </w:r>
      <w:r w:rsidR="00E522FD">
        <w:rPr>
          <w:szCs w:val="24"/>
        </w:rPr>
        <w:t>Max ECOLs</w:t>
      </w:r>
      <w:r w:rsidRPr="00D1363C">
        <w:rPr>
          <w:szCs w:val="24"/>
        </w:rPr>
        <w:t xml:space="preserve"> of each JOU share associated with the Physical JOU Resource must be less than or equal to the Physical JOU Resource maximum physical capacity operating limit.</w:t>
      </w:r>
    </w:p>
    <w:p w14:paraId="0C738242" w14:textId="777F8EEA" w:rsidR="00C70F99" w:rsidRPr="00D1363C" w:rsidRDefault="00C70F99" w:rsidP="00EE45E7">
      <w:pPr>
        <w:numPr>
          <w:ilvl w:val="0"/>
          <w:numId w:val="22"/>
        </w:numPr>
        <w:spacing w:line="300" w:lineRule="auto"/>
        <w:ind w:left="720" w:hanging="540"/>
        <w:rPr>
          <w:szCs w:val="24"/>
        </w:rPr>
      </w:pPr>
      <w:r w:rsidRPr="00D1363C">
        <w:rPr>
          <w:szCs w:val="24"/>
        </w:rPr>
        <w:t>Commitment of individual JOU shares that have registered under the Individual Resource Option will be evaluated by SCUC based on the individually submitted Offers for each JOU share;</w:t>
      </w:r>
    </w:p>
    <w:p w14:paraId="4658CB62" w14:textId="58FA87A2" w:rsidR="00C70F99" w:rsidRPr="00D1363C" w:rsidRDefault="00DF55F6" w:rsidP="0065716E">
      <w:pPr>
        <w:spacing w:line="300" w:lineRule="auto"/>
        <w:ind w:left="720" w:hanging="540"/>
        <w:rPr>
          <w:szCs w:val="24"/>
        </w:rPr>
      </w:pPr>
      <w:r>
        <w:rPr>
          <w:szCs w:val="24"/>
        </w:rPr>
        <w:t>(4)</w:t>
      </w:r>
      <w:r w:rsidR="00711061">
        <w:rPr>
          <w:szCs w:val="24"/>
        </w:rPr>
        <w:tab/>
      </w:r>
      <w:r>
        <w:rPr>
          <w:szCs w:val="24"/>
        </w:rPr>
        <w:t xml:space="preserve"> </w:t>
      </w:r>
      <w:r w:rsidR="00C70F99" w:rsidRPr="00D1363C">
        <w:rPr>
          <w:szCs w:val="24"/>
        </w:rPr>
        <w:t>If committed, each JOU share under the Individual Resource Option will be considered separately for the purposes of dispatch, Flexibility Reserve Products clearing and settlement, and the Physical JOU Resource will receive an aggregate Setpoint Target for the purposes of Energy and Flexibility Reserve Products deployment;</w:t>
      </w:r>
    </w:p>
    <w:p w14:paraId="577F4B49" w14:textId="03820CAB" w:rsidR="00C70F99" w:rsidRPr="00D1363C" w:rsidRDefault="00C70F99" w:rsidP="00AE125B">
      <w:pPr>
        <w:numPr>
          <w:ilvl w:val="0"/>
          <w:numId w:val="23"/>
        </w:numPr>
        <w:tabs>
          <w:tab w:val="num" w:pos="1440"/>
        </w:tabs>
        <w:spacing w:line="300" w:lineRule="auto"/>
        <w:ind w:left="1440" w:hanging="540"/>
        <w:rPr>
          <w:szCs w:val="24"/>
        </w:rPr>
      </w:pPr>
      <w:bookmarkStart w:id="2816" w:name="OLE_LINK101"/>
      <w:bookmarkStart w:id="2817" w:name="OLE_LINK102"/>
      <w:r w:rsidRPr="00D1363C">
        <w:rPr>
          <w:szCs w:val="24"/>
        </w:rPr>
        <w:t>If a JOU share is committed by the Market Operator in the Day-Ahead Market, that JOU Share Resource is cleared for Energy based on the submitted Energy Offer Curve and Ramp Rate and is cleared for Flexibility Reserve Product based on the submitted Flexibility Reserve Product Offers and Ramp Rate;</w:t>
      </w:r>
    </w:p>
    <w:p w14:paraId="497823CF" w14:textId="4F3A36ED" w:rsidR="00C70F99" w:rsidRPr="00F22430" w:rsidRDefault="00C70F99" w:rsidP="00AE125B">
      <w:pPr>
        <w:numPr>
          <w:ilvl w:val="0"/>
          <w:numId w:val="23"/>
        </w:numPr>
        <w:tabs>
          <w:tab w:val="num" w:pos="1440"/>
        </w:tabs>
        <w:spacing w:line="300" w:lineRule="auto"/>
        <w:ind w:left="1440" w:hanging="540"/>
        <w:rPr>
          <w:szCs w:val="24"/>
        </w:rPr>
      </w:pPr>
      <w:r w:rsidRPr="00D1363C">
        <w:rPr>
          <w:szCs w:val="24"/>
        </w:rPr>
        <w:t xml:space="preserve">Each JOU share committed by the Market Operator in the Day-Ahead Market is eligible to receive a Day-Ahead Market make whole payment under the same eligibility rules as any other Resource as described </w:t>
      </w:r>
      <w:r w:rsidR="00444786">
        <w:rPr>
          <w:szCs w:val="24"/>
        </w:rPr>
        <w:t xml:space="preserve">in the Markets+ Settlements </w:t>
      </w:r>
      <w:r w:rsidR="00BA0C4B">
        <w:rPr>
          <w:szCs w:val="24"/>
        </w:rPr>
        <w:t xml:space="preserve">Calculation </w:t>
      </w:r>
      <w:r w:rsidR="00444786">
        <w:rPr>
          <w:szCs w:val="24"/>
        </w:rPr>
        <w:t>Guide</w:t>
      </w:r>
      <w:r w:rsidRPr="00F22430">
        <w:rPr>
          <w:szCs w:val="24"/>
        </w:rPr>
        <w:t>;</w:t>
      </w:r>
    </w:p>
    <w:p w14:paraId="21029272" w14:textId="77777777" w:rsidR="00C70F99" w:rsidRPr="00D1363C" w:rsidRDefault="00C70F99" w:rsidP="00AE125B">
      <w:pPr>
        <w:numPr>
          <w:ilvl w:val="0"/>
          <w:numId w:val="23"/>
        </w:numPr>
        <w:tabs>
          <w:tab w:val="num" w:pos="1440"/>
        </w:tabs>
        <w:spacing w:line="300" w:lineRule="auto"/>
        <w:ind w:left="1440" w:hanging="540"/>
        <w:rPr>
          <w:szCs w:val="24"/>
        </w:rPr>
      </w:pPr>
      <w:r w:rsidRPr="00D1363C">
        <w:rPr>
          <w:szCs w:val="24"/>
        </w:rPr>
        <w:t xml:space="preserve">In the RTBM, each JOU share is dispatched for Energy based on the submitted Energy Offer Curve, Ramp-Rate-Up and Ramp-Rate-Down and is cleared for Flexibility Reserve Products based on the submitted Mid-Term Flex Up Offers, Ramp-Rate-Up, and Ramp-Rate-Down.  </w:t>
      </w:r>
      <w:bookmarkEnd w:id="2816"/>
      <w:bookmarkEnd w:id="2817"/>
      <w:r w:rsidRPr="00D1363C">
        <w:rPr>
          <w:szCs w:val="24"/>
        </w:rPr>
        <w:t xml:space="preserve">The Market Operator sends to each Market Participant its independent Dispatch Target, Setpoint Target, and cleared amount(s) of Flexibility Reserve Products for its individual JOU share.  </w:t>
      </w:r>
    </w:p>
    <w:p w14:paraId="7AB8D582" w14:textId="77777777" w:rsidR="00C70F99" w:rsidRPr="00D1363C" w:rsidRDefault="00C70F99" w:rsidP="00C70F99">
      <w:pPr>
        <w:spacing w:line="300" w:lineRule="auto"/>
        <w:ind w:left="1440"/>
        <w:rPr>
          <w:szCs w:val="24"/>
        </w:rPr>
      </w:pPr>
      <w:r w:rsidRPr="00D1363C">
        <w:rPr>
          <w:szCs w:val="24"/>
        </w:rPr>
        <w:t>The Market Operator will also, for information purposes, send to the JOU Operating Owner each Market Participant’s independent Dispatch Targets and the sum of these independent Dispatch Targets, and each Market Participant’s independent Setpoint Targets and the sum of the Market Participant’s independent Setpoint Targets</w:t>
      </w:r>
      <w:r>
        <w:rPr>
          <w:szCs w:val="24"/>
        </w:rPr>
        <w:t>.</w:t>
      </w:r>
      <w:r w:rsidRPr="00D1363C">
        <w:rPr>
          <w:szCs w:val="24"/>
        </w:rPr>
        <w:t xml:space="preserve">  </w:t>
      </w:r>
    </w:p>
    <w:p w14:paraId="1FE3E1FA" w14:textId="205CCC4C" w:rsidR="00C70F99" w:rsidRPr="00D1363C" w:rsidRDefault="00C70F99" w:rsidP="00C70F99">
      <w:pPr>
        <w:spacing w:line="300" w:lineRule="auto"/>
        <w:ind w:left="1440"/>
        <w:rPr>
          <w:szCs w:val="24"/>
        </w:rPr>
      </w:pPr>
      <w:r w:rsidRPr="00D1363C">
        <w:rPr>
          <w:szCs w:val="24"/>
        </w:rPr>
        <w:t xml:space="preserve">Market Operator provided Setpoint Target(s) for each JOU and the actual output submitted for each JOU Market Participant(s) as submitted by respective Meter Agent(s) </w:t>
      </w:r>
      <w:r w:rsidR="0046151A">
        <w:rPr>
          <w:szCs w:val="24"/>
        </w:rPr>
        <w:t>will</w:t>
      </w:r>
      <w:r w:rsidR="0046151A" w:rsidRPr="00D1363C">
        <w:rPr>
          <w:szCs w:val="24"/>
        </w:rPr>
        <w:t xml:space="preserve"> </w:t>
      </w:r>
      <w:r w:rsidRPr="00D1363C">
        <w:rPr>
          <w:szCs w:val="24"/>
        </w:rPr>
        <w:t>be used for monitoring according to (ii) below and for settlements.</w:t>
      </w:r>
      <w:r w:rsidRPr="00D1363C" w:rsidDel="006D7BF5">
        <w:rPr>
          <w:szCs w:val="24"/>
        </w:rPr>
        <w:t xml:space="preserve"> </w:t>
      </w:r>
    </w:p>
    <w:p w14:paraId="0460F024" w14:textId="3EB126FA" w:rsidR="00C70F99" w:rsidRPr="00D1363C" w:rsidRDefault="00C70F99" w:rsidP="00C35DA0">
      <w:pPr>
        <w:numPr>
          <w:ilvl w:val="0"/>
          <w:numId w:val="17"/>
        </w:numPr>
        <w:tabs>
          <w:tab w:val="num" w:pos="2160"/>
        </w:tabs>
        <w:spacing w:line="300" w:lineRule="auto"/>
        <w:ind w:left="2160" w:hanging="540"/>
        <w:rPr>
          <w:szCs w:val="24"/>
        </w:rPr>
      </w:pPr>
      <w:r w:rsidRPr="00D1363C">
        <w:rPr>
          <w:szCs w:val="24"/>
        </w:rPr>
        <w:t xml:space="preserve">If a JOU share is committed by the Market Operator in any RUC process, that individual JOU share is eligible to receive a RUC make whole payment under the same eligibility rules as any other Resource as described </w:t>
      </w:r>
      <w:r w:rsidR="00D10D99">
        <w:rPr>
          <w:szCs w:val="24"/>
        </w:rPr>
        <w:t xml:space="preserve">in the Markets+ Settlements </w:t>
      </w:r>
      <w:r w:rsidR="00BA0C4B">
        <w:rPr>
          <w:szCs w:val="24"/>
        </w:rPr>
        <w:t xml:space="preserve">Calculation </w:t>
      </w:r>
      <w:r w:rsidR="00D10D99">
        <w:rPr>
          <w:szCs w:val="24"/>
        </w:rPr>
        <w:t>Guide</w:t>
      </w:r>
      <w:r w:rsidR="00D10D99" w:rsidRPr="00D1363C" w:rsidDel="00D10D99">
        <w:rPr>
          <w:szCs w:val="24"/>
        </w:rPr>
        <w:t xml:space="preserve"> </w:t>
      </w:r>
      <w:r w:rsidRPr="00F22430">
        <w:rPr>
          <w:szCs w:val="24"/>
        </w:rPr>
        <w:t>.</w:t>
      </w:r>
      <w:r w:rsidRPr="00D1363C">
        <w:rPr>
          <w:szCs w:val="24"/>
        </w:rPr>
        <w:t xml:space="preserve">  </w:t>
      </w:r>
    </w:p>
    <w:p w14:paraId="15E95106" w14:textId="40C863E2" w:rsidR="00C70F99" w:rsidRPr="00F22430" w:rsidRDefault="00C70F99" w:rsidP="00C35DA0">
      <w:pPr>
        <w:numPr>
          <w:ilvl w:val="0"/>
          <w:numId w:val="17"/>
        </w:numPr>
        <w:tabs>
          <w:tab w:val="num" w:pos="2160"/>
        </w:tabs>
        <w:spacing w:line="300" w:lineRule="auto"/>
        <w:ind w:left="2160" w:hanging="540"/>
        <w:rPr>
          <w:szCs w:val="24"/>
        </w:rPr>
      </w:pPr>
      <w:r w:rsidRPr="00D1363C">
        <w:rPr>
          <w:szCs w:val="24"/>
        </w:rPr>
        <w:t xml:space="preserve">Each JOU share will be subject to charges associated with Uninstructed Resource Deviation that exceeds the JOU share </w:t>
      </w:r>
      <w:r w:rsidR="004863F2">
        <w:rPr>
          <w:szCs w:val="24"/>
        </w:rPr>
        <w:t xml:space="preserve">High </w:t>
      </w:r>
      <w:r w:rsidRPr="00D1363C">
        <w:rPr>
          <w:szCs w:val="24"/>
        </w:rPr>
        <w:t xml:space="preserve">Operating Tolerance </w:t>
      </w:r>
      <w:r w:rsidR="004863F2">
        <w:rPr>
          <w:szCs w:val="24"/>
        </w:rPr>
        <w:t>or Low Operating Tolerance</w:t>
      </w:r>
      <w:r w:rsidRPr="00F22430">
        <w:rPr>
          <w:szCs w:val="24"/>
        </w:rPr>
        <w:t xml:space="preserve">, and Flexibility Reserve Products deployment failure charges as described </w:t>
      </w:r>
      <w:r w:rsidR="00D10D99">
        <w:rPr>
          <w:szCs w:val="24"/>
        </w:rPr>
        <w:t xml:space="preserve">in the Markets+ Settlements </w:t>
      </w:r>
      <w:r w:rsidR="00BA0C4B">
        <w:rPr>
          <w:szCs w:val="24"/>
        </w:rPr>
        <w:t xml:space="preserve">Calculation </w:t>
      </w:r>
      <w:r w:rsidR="00D10D99">
        <w:rPr>
          <w:szCs w:val="24"/>
        </w:rPr>
        <w:t>Guide</w:t>
      </w:r>
      <w:r w:rsidR="00D10D99" w:rsidRPr="00F22430" w:rsidDel="00D10D99">
        <w:rPr>
          <w:szCs w:val="24"/>
        </w:rPr>
        <w:t xml:space="preserve"> </w:t>
      </w:r>
      <w:r w:rsidRPr="00F22430">
        <w:rPr>
          <w:szCs w:val="24"/>
        </w:rPr>
        <w:t xml:space="preserve"> under the same eligibility rules as any other Resource.</w:t>
      </w:r>
    </w:p>
    <w:p w14:paraId="32D612A5" w14:textId="670765A4" w:rsidR="00C70F99" w:rsidRPr="00D1363C" w:rsidRDefault="00C70F99" w:rsidP="00C35DA0">
      <w:pPr>
        <w:numPr>
          <w:ilvl w:val="1"/>
          <w:numId w:val="19"/>
        </w:numPr>
        <w:spacing w:line="300" w:lineRule="auto"/>
        <w:ind w:hanging="540"/>
        <w:rPr>
          <w:szCs w:val="24"/>
        </w:rPr>
      </w:pPr>
      <w:r w:rsidRPr="00D1363C">
        <w:rPr>
          <w:szCs w:val="24"/>
        </w:rPr>
        <w:t xml:space="preserve">The Meter Agent(s) assigned to the Physical JOU Resource registered under the Individual Resource Option must account for all physical Energy produced and properly reflect this Energy in each individual JOU share’s meter data submittal.  </w:t>
      </w:r>
    </w:p>
    <w:p w14:paraId="2E1C744E" w14:textId="3AEE71AF" w:rsidR="00A3354A" w:rsidRPr="00D1363C" w:rsidRDefault="00A3354A" w:rsidP="00E679DC">
      <w:pPr>
        <w:spacing w:line="300" w:lineRule="auto"/>
        <w:rPr>
          <w:szCs w:val="24"/>
        </w:rPr>
      </w:pPr>
    </w:p>
    <w:p w14:paraId="59961802" w14:textId="554510C4" w:rsidR="00C70F99" w:rsidRPr="00D1363C" w:rsidRDefault="00C70F99" w:rsidP="00574654">
      <w:pPr>
        <w:pStyle w:val="Heading5"/>
      </w:pPr>
      <w:bookmarkStart w:id="2818" w:name="_Toc163740176"/>
      <w:bookmarkStart w:id="2819" w:name="_Toc213771830"/>
      <w:bookmarkStart w:id="2820" w:name="_Ref307830433"/>
      <w:bookmarkStart w:id="2821" w:name="_Toc245633956"/>
      <w:bookmarkStart w:id="2822" w:name="_Toc245634108"/>
      <w:bookmarkStart w:id="2823" w:name="_Toc245727998"/>
      <w:bookmarkStart w:id="2824" w:name="_Toc248644122"/>
      <w:bookmarkStart w:id="2825" w:name="_Toc258924849"/>
      <w:bookmarkStart w:id="2826" w:name="_Toc263173289"/>
      <w:bookmarkStart w:id="2827" w:name="_Toc263795439"/>
      <w:bookmarkStart w:id="2828" w:name="_Toc266869617"/>
      <w:bookmarkStart w:id="2829" w:name="_Toc243211978"/>
      <w:bookmarkEnd w:id="2100"/>
      <w:bookmarkEnd w:id="2101"/>
      <w:bookmarkEnd w:id="2102"/>
      <w:bookmarkEnd w:id="2113"/>
      <w:bookmarkEnd w:id="2114"/>
      <w:bookmarkEnd w:id="2115"/>
      <w:bookmarkEnd w:id="2814"/>
      <w:bookmarkEnd w:id="2815"/>
      <w:r w:rsidRPr="00D1363C">
        <w:t>Combined Cycle Resource</w:t>
      </w:r>
      <w:bookmarkEnd w:id="2818"/>
      <w:bookmarkEnd w:id="2819"/>
    </w:p>
    <w:p w14:paraId="6E23FD49" w14:textId="1707D67B" w:rsidR="00C70F99" w:rsidRPr="00D1363C" w:rsidRDefault="00C70F99" w:rsidP="00C70F99">
      <w:pPr>
        <w:spacing w:before="120" w:line="300" w:lineRule="auto"/>
        <w:rPr>
          <w:szCs w:val="24"/>
        </w:rPr>
      </w:pPr>
      <w:r w:rsidRPr="00D1363C">
        <w:rPr>
          <w:szCs w:val="24"/>
        </w:rPr>
        <w:t xml:space="preserve">Combined cycle modeling will be accommodated as follows for </w:t>
      </w:r>
      <w:r w:rsidR="00D52CE1">
        <w:rPr>
          <w:szCs w:val="24"/>
        </w:rPr>
        <w:t>a</w:t>
      </w:r>
      <w:r w:rsidR="00D52CE1" w:rsidRPr="00D1363C">
        <w:rPr>
          <w:szCs w:val="24"/>
        </w:rPr>
        <w:t xml:space="preserve"> </w:t>
      </w:r>
      <w:r w:rsidRPr="00D1363C">
        <w:rPr>
          <w:szCs w:val="24"/>
        </w:rPr>
        <w:t xml:space="preserve">Resource registered as a combined cycle Resource.  Market Participants that jointly own a combined cycle Resource that </w:t>
      </w:r>
      <w:r w:rsidR="00984F4F">
        <w:rPr>
          <w:szCs w:val="24"/>
        </w:rPr>
        <w:t>seek</w:t>
      </w:r>
      <w:r w:rsidR="00984F4F" w:rsidRPr="00D1363C">
        <w:rPr>
          <w:szCs w:val="24"/>
        </w:rPr>
        <w:t xml:space="preserve"> </w:t>
      </w:r>
      <w:r w:rsidRPr="00D1363C">
        <w:rPr>
          <w:szCs w:val="24"/>
        </w:rPr>
        <w:t xml:space="preserve">to use the JOU modeling options described under Section </w:t>
      </w:r>
      <w:r w:rsidR="008B4822">
        <w:rPr>
          <w:szCs w:val="24"/>
        </w:rPr>
        <w:fldChar w:fldCharType="begin"/>
      </w:r>
      <w:r w:rsidR="008B4822">
        <w:rPr>
          <w:szCs w:val="24"/>
        </w:rPr>
        <w:instrText xml:space="preserve"> REF _Ref211339630 \r \h </w:instrText>
      </w:r>
      <w:r w:rsidR="008B4822">
        <w:rPr>
          <w:szCs w:val="24"/>
        </w:rPr>
      </w:r>
      <w:r w:rsidR="008B4822">
        <w:rPr>
          <w:szCs w:val="24"/>
        </w:rPr>
        <w:fldChar w:fldCharType="separate"/>
      </w:r>
      <w:r w:rsidR="008B4822">
        <w:rPr>
          <w:szCs w:val="24"/>
        </w:rPr>
        <w:t>4.2.2.5.7</w:t>
      </w:r>
      <w:r w:rsidR="008B4822">
        <w:rPr>
          <w:szCs w:val="24"/>
        </w:rPr>
        <w:fldChar w:fldCharType="end"/>
      </w:r>
      <w:r w:rsidRPr="00D1363C">
        <w:rPr>
          <w:szCs w:val="24"/>
        </w:rPr>
        <w:t xml:space="preserve"> must register as a JOU and cannot register the Resource as a combined cycle Resource.</w:t>
      </w:r>
    </w:p>
    <w:p w14:paraId="75B8BD52" w14:textId="5F9A2561" w:rsidR="00C70F99" w:rsidRPr="00D1363C" w:rsidRDefault="00C70F99" w:rsidP="00C70F99">
      <w:pPr>
        <w:spacing w:before="120" w:line="300" w:lineRule="auto"/>
        <w:rPr>
          <w:szCs w:val="24"/>
        </w:rPr>
      </w:pPr>
      <w:r w:rsidRPr="00D1363C">
        <w:rPr>
          <w:szCs w:val="24"/>
        </w:rPr>
        <w:t xml:space="preserve">Market Participants will have to select from one of the four </w:t>
      </w:r>
      <w:r w:rsidR="00984F4F">
        <w:rPr>
          <w:szCs w:val="24"/>
        </w:rPr>
        <w:t>(4)</w:t>
      </w:r>
      <w:r w:rsidRPr="00D1363C">
        <w:rPr>
          <w:szCs w:val="24"/>
        </w:rPr>
        <w:t xml:space="preserve"> following options regarding submitting Resource Offers for their registered combined cycle Resources which will need to be declared during asset registration as described under Section </w:t>
      </w:r>
      <w:r w:rsidRPr="00D1363C">
        <w:rPr>
          <w:szCs w:val="24"/>
        </w:rPr>
        <w:fldChar w:fldCharType="begin"/>
      </w:r>
      <w:r w:rsidRPr="00D1363C">
        <w:rPr>
          <w:szCs w:val="24"/>
        </w:rPr>
        <w:instrText xml:space="preserve"> REF _Ref349713043 \n \h </w:instrText>
      </w:r>
      <w:r w:rsidRPr="00D1363C">
        <w:rPr>
          <w:szCs w:val="24"/>
        </w:rPr>
      </w:r>
      <w:r w:rsidRPr="00D1363C">
        <w:rPr>
          <w:szCs w:val="24"/>
        </w:rPr>
        <w:fldChar w:fldCharType="separate"/>
      </w:r>
      <w:r w:rsidRPr="00D1363C">
        <w:rPr>
          <w:szCs w:val="24"/>
        </w:rPr>
        <w:t>9.1.6</w:t>
      </w:r>
      <w:r w:rsidRPr="00D1363C">
        <w:rPr>
          <w:szCs w:val="24"/>
        </w:rPr>
        <w:fldChar w:fldCharType="end"/>
      </w:r>
      <w:r w:rsidRPr="00D1363C">
        <w:rPr>
          <w:szCs w:val="24"/>
        </w:rPr>
        <w:t>:</w:t>
      </w:r>
    </w:p>
    <w:p w14:paraId="4B43F0E5" w14:textId="17AFD633" w:rsidR="00C70F99" w:rsidRPr="00D1363C" w:rsidRDefault="00C70F99" w:rsidP="00C70F99">
      <w:pPr>
        <w:tabs>
          <w:tab w:val="num" w:pos="720"/>
        </w:tabs>
        <w:spacing w:before="120" w:line="300" w:lineRule="auto"/>
        <w:ind w:left="1440" w:hanging="720"/>
        <w:rPr>
          <w:szCs w:val="24"/>
        </w:rPr>
      </w:pPr>
      <w:r w:rsidRPr="00D1363C">
        <w:rPr>
          <w:szCs w:val="24"/>
        </w:rPr>
        <w:t>(1)</w:t>
      </w:r>
      <w:r w:rsidRPr="00D1363C">
        <w:rPr>
          <w:szCs w:val="24"/>
        </w:rPr>
        <w:tab/>
      </w:r>
      <w:r w:rsidRPr="00D1363C">
        <w:rPr>
          <w:b/>
          <w:szCs w:val="24"/>
        </w:rPr>
        <w:t>Aggregate Option:</w:t>
      </w:r>
      <w:r w:rsidRPr="00D1363C">
        <w:rPr>
          <w:szCs w:val="24"/>
        </w:rPr>
        <w:t xml:space="preserve">  A Resource Offer may be submitted for a single aggregate combined cycle Resource, where the aggregate will represent a Market Participant selected operating configuration of combustion turbines (CT) and steams turbines (ST) (e.</w:t>
      </w:r>
      <w:r>
        <w:rPr>
          <w:szCs w:val="24"/>
        </w:rPr>
        <w:t>g.</w:t>
      </w:r>
      <w:r w:rsidR="002B27B3">
        <w:rPr>
          <w:szCs w:val="24"/>
        </w:rPr>
        <w:t>,</w:t>
      </w:r>
      <w:r w:rsidRPr="00D1363C">
        <w:rPr>
          <w:szCs w:val="24"/>
        </w:rPr>
        <w:t xml:space="preserve"> a 1CT x 1ST, 2CT x 1ST, 3CT x 1ST, etc.).  Under this option, the combined cycle Resource will be committed, dispatched, and settled the same as any other Resource; </w:t>
      </w:r>
    </w:p>
    <w:p w14:paraId="087D4FA5" w14:textId="20D7A56D" w:rsidR="00C70F99" w:rsidRPr="00D1363C" w:rsidRDefault="00C70F99" w:rsidP="00C70F99">
      <w:pPr>
        <w:tabs>
          <w:tab w:val="num" w:pos="720"/>
        </w:tabs>
        <w:spacing w:before="120" w:line="300" w:lineRule="auto"/>
        <w:ind w:left="1440" w:hanging="720"/>
        <w:rPr>
          <w:szCs w:val="24"/>
        </w:rPr>
      </w:pPr>
      <w:r w:rsidRPr="00D1363C">
        <w:rPr>
          <w:szCs w:val="24"/>
        </w:rPr>
        <w:t>(2)</w:t>
      </w:r>
      <w:r w:rsidRPr="00D1363C">
        <w:rPr>
          <w:szCs w:val="24"/>
        </w:rPr>
        <w:tab/>
      </w:r>
      <w:r w:rsidRPr="00D1363C">
        <w:rPr>
          <w:b/>
          <w:szCs w:val="24"/>
        </w:rPr>
        <w:t>Individual Component Option</w:t>
      </w:r>
      <w:r w:rsidRPr="00D1363C">
        <w:rPr>
          <w:szCs w:val="24"/>
        </w:rPr>
        <w:t xml:space="preserve">: A Resource Offer may be submitted for each combined cycle Resource </w:t>
      </w:r>
      <w:r>
        <w:rPr>
          <w:szCs w:val="24"/>
        </w:rPr>
        <w:t>CT</w:t>
      </w:r>
      <w:r w:rsidRPr="00D1363C">
        <w:rPr>
          <w:szCs w:val="24"/>
        </w:rPr>
        <w:t xml:space="preserve"> </w:t>
      </w:r>
      <w:r w:rsidRPr="00D1363C" w:rsidDel="0046151A">
        <w:rPr>
          <w:szCs w:val="24"/>
        </w:rPr>
        <w:t>and/</w:t>
      </w:r>
      <w:r w:rsidRPr="00D1363C">
        <w:rPr>
          <w:szCs w:val="24"/>
        </w:rPr>
        <w:t>or steam turbine</w:t>
      </w:r>
      <w:r w:rsidR="00B0188B">
        <w:rPr>
          <w:szCs w:val="24"/>
        </w:rPr>
        <w:t>.</w:t>
      </w:r>
      <w:r w:rsidRPr="00D1363C">
        <w:rPr>
          <w:szCs w:val="24"/>
        </w:rPr>
        <w:t xml:space="preserve"> </w:t>
      </w:r>
      <w:r w:rsidR="00B0188B">
        <w:rPr>
          <w:szCs w:val="24"/>
        </w:rPr>
        <w:t>E</w:t>
      </w:r>
      <w:r w:rsidRPr="00D1363C">
        <w:rPr>
          <w:szCs w:val="24"/>
        </w:rPr>
        <w:t xml:space="preserve">ach component will be committed and dispatched independently and settled the same as any other single Resource; </w:t>
      </w:r>
    </w:p>
    <w:p w14:paraId="4A65273C" w14:textId="2C61CFC4" w:rsidR="00C70F99" w:rsidRPr="00D1363C" w:rsidRDefault="00C70F99" w:rsidP="00C70F99">
      <w:pPr>
        <w:tabs>
          <w:tab w:val="left" w:pos="1440"/>
        </w:tabs>
        <w:spacing w:before="120" w:line="300" w:lineRule="auto"/>
        <w:ind w:left="1440" w:hanging="720"/>
        <w:rPr>
          <w:b/>
          <w:szCs w:val="24"/>
        </w:rPr>
      </w:pPr>
      <w:r w:rsidRPr="00D1363C">
        <w:rPr>
          <w:szCs w:val="24"/>
        </w:rPr>
        <w:t>(3)</w:t>
      </w:r>
      <w:r w:rsidRPr="00D1363C">
        <w:rPr>
          <w:szCs w:val="24"/>
        </w:rPr>
        <w:tab/>
      </w:r>
      <w:r w:rsidRPr="00D1363C">
        <w:rPr>
          <w:b/>
          <w:szCs w:val="24"/>
        </w:rPr>
        <w:t>Pseudo Resource Option</w:t>
      </w:r>
      <w:r w:rsidRPr="00D1363C">
        <w:rPr>
          <w:szCs w:val="24"/>
        </w:rPr>
        <w:t xml:space="preserve">: A Resource Offer may be submitted for each pseudo combined cycle Resource, where each pseudo combined cycle Resource will represent the combination of one </w:t>
      </w:r>
      <w:r>
        <w:rPr>
          <w:szCs w:val="24"/>
        </w:rPr>
        <w:t>CT</w:t>
      </w:r>
      <w:r w:rsidRPr="00D1363C">
        <w:rPr>
          <w:szCs w:val="24"/>
        </w:rPr>
        <w:t xml:space="preserve"> and a portion of the steam turbine.  Under this option, each pseudo combined cycle Resource must be capable of being committed and dispatched independently the same as any other Resource and each pseudo combined cycle Resource will be settled the same as any other Resource</w:t>
      </w:r>
      <w:r>
        <w:rPr>
          <w:szCs w:val="24"/>
        </w:rPr>
        <w:t>; or</w:t>
      </w:r>
    </w:p>
    <w:p w14:paraId="259F0EC7" w14:textId="2B3B18F0" w:rsidR="00C70F99" w:rsidRPr="00D1363C" w:rsidRDefault="00C70F99" w:rsidP="00C70F99">
      <w:pPr>
        <w:spacing w:before="120" w:line="300" w:lineRule="auto"/>
        <w:ind w:left="1440" w:hanging="720"/>
        <w:rPr>
          <w:szCs w:val="24"/>
        </w:rPr>
      </w:pPr>
      <w:r w:rsidRPr="002B5E1C">
        <w:rPr>
          <w:szCs w:val="24"/>
        </w:rPr>
        <w:t>(4)</w:t>
      </w:r>
      <w:r w:rsidRPr="00D1363C">
        <w:rPr>
          <w:b/>
          <w:szCs w:val="24"/>
        </w:rPr>
        <w:t xml:space="preserve">   </w:t>
      </w:r>
      <w:r w:rsidRPr="00D1363C">
        <w:rPr>
          <w:b/>
          <w:szCs w:val="24"/>
        </w:rPr>
        <w:tab/>
        <w:t xml:space="preserve">Multi Configuration Resource (MCR) Option: </w:t>
      </w:r>
      <w:r w:rsidRPr="00D1363C">
        <w:rPr>
          <w:szCs w:val="24"/>
        </w:rPr>
        <w:t xml:space="preserve">A Resource Offer may be submitted for each registered combined cycle Resource configuration, where each configuration represents an operating state of the combined cycle Resource with a distinct set of physical operating characteristics, as dictated by the physical attributes of the combined cycle Resource.  Under this option, Market Participants must define during asset registration: i) Valid configurations, one of which must represent the maximum capacity of the combined cycle Resource; ii) Valid transitions between configurations as defined in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xml:space="preserve">; and iii) One or more sets of physical units that can participate in a configuration as defined in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w:t>
      </w:r>
    </w:p>
    <w:p w14:paraId="6206A3EF" w14:textId="77777777" w:rsidR="00C70F99" w:rsidRPr="00D1363C" w:rsidRDefault="00C70F99" w:rsidP="00C35DA0">
      <w:pPr>
        <w:numPr>
          <w:ilvl w:val="1"/>
          <w:numId w:val="62"/>
        </w:numPr>
        <w:spacing w:before="120" w:line="300" w:lineRule="auto"/>
        <w:ind w:left="1980"/>
        <w:rPr>
          <w:szCs w:val="24"/>
        </w:rPr>
      </w:pPr>
      <w:r w:rsidRPr="00D1363C">
        <w:rPr>
          <w:szCs w:val="24"/>
        </w:rPr>
        <w:t xml:space="preserve">Each configuration will be modeled separately to enable selection of the most economic configuration for economic commitment and dispatch.  Configuration rules defining what configurations are valid when moving from one configuration to another are defined during market registration as described under Section </w:t>
      </w:r>
      <w:r w:rsidRPr="00D1363C">
        <w:rPr>
          <w:szCs w:val="24"/>
        </w:rPr>
        <w:fldChar w:fldCharType="begin"/>
      </w:r>
      <w:r w:rsidRPr="00D1363C">
        <w:rPr>
          <w:szCs w:val="24"/>
        </w:rPr>
        <w:instrText xml:space="preserve"> REF _Ref476207889 \r \h </w:instrText>
      </w:r>
      <w:r w:rsidRPr="00D1363C">
        <w:rPr>
          <w:szCs w:val="24"/>
        </w:rPr>
      </w:r>
      <w:r w:rsidRPr="00D1363C">
        <w:rPr>
          <w:szCs w:val="24"/>
        </w:rPr>
        <w:fldChar w:fldCharType="separate"/>
      </w:r>
      <w:r w:rsidRPr="00D1363C">
        <w:rPr>
          <w:szCs w:val="24"/>
        </w:rPr>
        <w:t>9.1.6.1</w:t>
      </w:r>
      <w:r w:rsidRPr="00D1363C">
        <w:rPr>
          <w:szCs w:val="24"/>
        </w:rPr>
        <w:fldChar w:fldCharType="end"/>
      </w:r>
      <w:r w:rsidRPr="00D1363C">
        <w:rPr>
          <w:szCs w:val="24"/>
        </w:rPr>
        <w:t xml:space="preserve">.  The Offer parameters described under Sections </w:t>
      </w:r>
      <w:r w:rsidRPr="00D1363C">
        <w:rPr>
          <w:szCs w:val="24"/>
        </w:rPr>
        <w:fldChar w:fldCharType="begin"/>
      </w:r>
      <w:r w:rsidRPr="00D1363C">
        <w:rPr>
          <w:szCs w:val="24"/>
        </w:rPr>
        <w:instrText xml:space="preserve"> REF _Ref476748658 \r \h </w:instrText>
      </w:r>
      <w:r w:rsidRPr="00D1363C">
        <w:rPr>
          <w:szCs w:val="24"/>
        </w:rPr>
      </w:r>
      <w:r w:rsidRPr="00D1363C">
        <w:rPr>
          <w:szCs w:val="24"/>
        </w:rPr>
        <w:fldChar w:fldCharType="separate"/>
      </w:r>
      <w:r w:rsidRPr="00D1363C">
        <w:rPr>
          <w:szCs w:val="24"/>
        </w:rPr>
        <w:t>4.2.2.1</w:t>
      </w:r>
      <w:r w:rsidRPr="00D1363C">
        <w:rPr>
          <w:szCs w:val="24"/>
        </w:rPr>
        <w:fldChar w:fldCharType="end"/>
      </w:r>
      <w:r w:rsidRPr="00D1363C">
        <w:rPr>
          <w:szCs w:val="24"/>
        </w:rPr>
        <w:t xml:space="preserve"> and </w:t>
      </w:r>
      <w:r w:rsidRPr="00D1363C">
        <w:rPr>
          <w:szCs w:val="24"/>
        </w:rPr>
        <w:fldChar w:fldCharType="begin"/>
      </w:r>
      <w:r w:rsidRPr="00D1363C">
        <w:rPr>
          <w:szCs w:val="24"/>
        </w:rPr>
        <w:instrText xml:space="preserve"> REF _Ref476748671 \r \h </w:instrText>
      </w:r>
      <w:r w:rsidRPr="00D1363C">
        <w:rPr>
          <w:szCs w:val="24"/>
        </w:rPr>
      </w:r>
      <w:r w:rsidRPr="00D1363C">
        <w:rPr>
          <w:szCs w:val="24"/>
        </w:rPr>
        <w:fldChar w:fldCharType="separate"/>
      </w:r>
      <w:r w:rsidRPr="00D1363C">
        <w:rPr>
          <w:szCs w:val="24"/>
        </w:rPr>
        <w:t>4.2.2.2</w:t>
      </w:r>
      <w:r w:rsidRPr="00D1363C">
        <w:rPr>
          <w:szCs w:val="24"/>
        </w:rPr>
        <w:fldChar w:fldCharType="end"/>
      </w:r>
      <w:r w:rsidRPr="00D1363C">
        <w:rPr>
          <w:szCs w:val="24"/>
        </w:rPr>
        <w:t xml:space="preserve"> must be submitted for each configuration with the following additional rules:</w:t>
      </w:r>
    </w:p>
    <w:p w14:paraId="33CBF825" w14:textId="77777777" w:rsidR="00C70F99" w:rsidRPr="00D1363C" w:rsidRDefault="00C70F99" w:rsidP="00C35DA0">
      <w:pPr>
        <w:numPr>
          <w:ilvl w:val="2"/>
          <w:numId w:val="62"/>
        </w:numPr>
        <w:spacing w:before="120" w:line="300" w:lineRule="auto"/>
        <w:ind w:left="2520"/>
        <w:rPr>
          <w:szCs w:val="24"/>
        </w:rPr>
      </w:pPr>
      <w:r w:rsidRPr="00D1363C">
        <w:t>All operational configurations are assumed capable of starting up from an off-line state and capable of being de-committed from its current state.  Therefore, Market Participants should submit Start-Up Offers and Start-Up Times for all operational configurations, which may need to include transition costs and transition times.</w:t>
      </w:r>
    </w:p>
    <w:p w14:paraId="32FB61A2" w14:textId="77777777" w:rsidR="00C70F99" w:rsidRPr="00D1363C" w:rsidRDefault="00C70F99" w:rsidP="00C35DA0">
      <w:pPr>
        <w:numPr>
          <w:ilvl w:val="2"/>
          <w:numId w:val="62"/>
        </w:numPr>
        <w:spacing w:before="120" w:line="300" w:lineRule="auto"/>
        <w:ind w:left="2520"/>
        <w:rPr>
          <w:szCs w:val="24"/>
        </w:rPr>
      </w:pPr>
      <w:r w:rsidRPr="00D1363C">
        <w:rPr>
          <w:szCs w:val="24"/>
        </w:rPr>
        <w:t>Transition State Offers and Transition State Times are only valid for moving from one configuration to another once the Resource becomes a Synchronized Resource.</w:t>
      </w:r>
    </w:p>
    <w:p w14:paraId="70DD548C" w14:textId="52AE31CD" w:rsidR="00C70F99" w:rsidRPr="00D1363C" w:rsidRDefault="00C70F99" w:rsidP="00C35DA0">
      <w:pPr>
        <w:numPr>
          <w:ilvl w:val="2"/>
          <w:numId w:val="62"/>
        </w:numPr>
        <w:spacing w:before="120" w:line="300" w:lineRule="auto"/>
        <w:ind w:left="2520"/>
        <w:rPr>
          <w:szCs w:val="24"/>
        </w:rPr>
      </w:pPr>
      <w:r w:rsidRPr="00D1363C">
        <w:t xml:space="preserve">Non-zero Maximum Offline Flexibility Reserve Product Response Limit offers, as described in Section </w:t>
      </w:r>
      <w:r w:rsidRPr="00D1363C">
        <w:fldChar w:fldCharType="begin"/>
      </w:r>
      <w:r w:rsidRPr="00D1363C">
        <w:instrText xml:space="preserve"> REF _Ref476748695 \r \h </w:instrText>
      </w:r>
      <w:r w:rsidRPr="00D1363C">
        <w:fldChar w:fldCharType="separate"/>
      </w:r>
      <w:r w:rsidRPr="00D1363C">
        <w:t>4.2.2.1</w:t>
      </w:r>
      <w:r w:rsidRPr="00D1363C">
        <w:fldChar w:fldCharType="end"/>
      </w:r>
      <w:r w:rsidRPr="00D1363C">
        <w:t>, may be submitted for no more than one configuration per operating hour.</w:t>
      </w:r>
    </w:p>
    <w:p w14:paraId="760170BF" w14:textId="7FB96B99" w:rsidR="00C70F99" w:rsidRPr="00D1363C" w:rsidRDefault="00C70F99" w:rsidP="00C35DA0">
      <w:pPr>
        <w:numPr>
          <w:ilvl w:val="2"/>
          <w:numId w:val="62"/>
        </w:numPr>
        <w:spacing w:before="120" w:line="300" w:lineRule="auto"/>
        <w:ind w:left="2520"/>
        <w:rPr>
          <w:szCs w:val="24"/>
        </w:rPr>
      </w:pPr>
      <w:r w:rsidRPr="00D1363C">
        <w:t xml:space="preserve">Non-zero Maximum Transition State Flexibility Reserve Product Resource Response Limit offers, as described in Section </w:t>
      </w:r>
      <w:r w:rsidRPr="00D1363C">
        <w:fldChar w:fldCharType="begin"/>
      </w:r>
      <w:r w:rsidRPr="00D1363C">
        <w:instrText xml:space="preserve"> REF _Ref476748714 \r \h </w:instrText>
      </w:r>
      <w:r w:rsidRPr="00D1363C">
        <w:fldChar w:fldCharType="separate"/>
      </w:r>
      <w:r w:rsidRPr="00D1363C">
        <w:t>4.2.2.1</w:t>
      </w:r>
      <w:r w:rsidRPr="00D1363C">
        <w:fldChar w:fldCharType="end"/>
      </w:r>
      <w:r w:rsidRPr="00D1363C">
        <w:t>, may be submitted for no more than one valid transition per ‘From’ configuration per operating hour.</w:t>
      </w:r>
    </w:p>
    <w:p w14:paraId="304F5330" w14:textId="2F6F96E6" w:rsidR="00C70F99" w:rsidRPr="00D1363C" w:rsidRDefault="00C70F99" w:rsidP="00C35DA0">
      <w:pPr>
        <w:numPr>
          <w:ilvl w:val="1"/>
          <w:numId w:val="62"/>
        </w:numPr>
        <w:spacing w:before="120" w:line="300" w:lineRule="auto"/>
        <w:ind w:left="1980"/>
        <w:rPr>
          <w:szCs w:val="24"/>
        </w:rPr>
      </w:pPr>
      <w:r w:rsidRPr="00D1363C">
        <w:rPr>
          <w:szCs w:val="24"/>
        </w:rPr>
        <w:t xml:space="preserve">For the Day-Ahead Market, configuration changes will be determined on an hourly basis.  For the RTBM, a configuration will be determined prior to the Operating Hour and that configuration will generally remain fixed for dispatch purposes within the Operating Hour.  </w:t>
      </w:r>
    </w:p>
    <w:p w14:paraId="6E371F64" w14:textId="77777777" w:rsidR="00C70F99" w:rsidRPr="00D1363C" w:rsidRDefault="00C70F99" w:rsidP="00C35DA0">
      <w:pPr>
        <w:numPr>
          <w:ilvl w:val="1"/>
          <w:numId w:val="62"/>
        </w:numPr>
        <w:spacing w:before="120" w:line="300" w:lineRule="auto"/>
        <w:ind w:left="1980"/>
        <w:rPr>
          <w:szCs w:val="24"/>
        </w:rPr>
      </w:pPr>
      <w:r w:rsidRPr="00D1363C">
        <w:rPr>
          <w:szCs w:val="24"/>
        </w:rPr>
        <w:t>Meter Data for use in RTBM settlement must be submitted at the MCR plant output level and is not dependent upon which configuration the Resource has operated under.</w:t>
      </w:r>
    </w:p>
    <w:p w14:paraId="53BC400E" w14:textId="5E0AB173" w:rsidR="00C70F99" w:rsidRPr="00D1363C" w:rsidRDefault="00C70F99" w:rsidP="00C35DA0">
      <w:pPr>
        <w:numPr>
          <w:ilvl w:val="1"/>
          <w:numId w:val="62"/>
        </w:numPr>
        <w:spacing w:before="120" w:line="300" w:lineRule="auto"/>
        <w:ind w:left="1980"/>
        <w:rPr>
          <w:szCs w:val="24"/>
        </w:rPr>
      </w:pPr>
      <w:r w:rsidRPr="00D1363C">
        <w:rPr>
          <w:szCs w:val="24"/>
        </w:rPr>
        <w:t xml:space="preserve">If the MCR is committed by the Market Operator in the Day-Ahead Market, and during the Day-Ahead Market Commitment Period the Resource was moved from one configuration to another within the commitment period, any transitions costs incurred will be included in the Day-Ahead Market make whole payment calculation described </w:t>
      </w:r>
      <w:r w:rsidR="00444786">
        <w:rPr>
          <w:szCs w:val="24"/>
        </w:rPr>
        <w:t xml:space="preserve">in the Markets+ Settlements </w:t>
      </w:r>
      <w:r w:rsidR="00BA0C4B">
        <w:rPr>
          <w:szCs w:val="24"/>
        </w:rPr>
        <w:t>Calculation Guide</w:t>
      </w:r>
      <w:r w:rsidRPr="00D1363C">
        <w:rPr>
          <w:szCs w:val="24"/>
        </w:rPr>
        <w:t>.  Moving from one configuration to another will not be considered as the start of a new Day-Ahead Market Commitment Period.</w:t>
      </w:r>
    </w:p>
    <w:p w14:paraId="77F23552" w14:textId="0A6776F2" w:rsidR="00C70F99" w:rsidRPr="00D1363C" w:rsidRDefault="00C70F99" w:rsidP="00C35DA0">
      <w:pPr>
        <w:numPr>
          <w:ilvl w:val="1"/>
          <w:numId w:val="62"/>
        </w:numPr>
        <w:spacing w:before="120" w:line="300" w:lineRule="auto"/>
        <w:ind w:left="1980"/>
        <w:rPr>
          <w:szCs w:val="24"/>
        </w:rPr>
      </w:pPr>
      <w:r w:rsidRPr="00D1363C">
        <w:rPr>
          <w:szCs w:val="24"/>
        </w:rPr>
        <w:t xml:space="preserve">If the MCR is not committed by the Market Operator in the Day-Ahead Market and is committed during a RUC process and during a RUC Commitment Period the Resource was moved from one configuration to another within the commitment period, any transitions costs incurred will be included in a RUC make whole payment calculation described </w:t>
      </w:r>
      <w:r w:rsidR="00D10D99">
        <w:rPr>
          <w:szCs w:val="24"/>
        </w:rPr>
        <w:t xml:space="preserve">in the Markets+ Settlements </w:t>
      </w:r>
      <w:r w:rsidR="00BA0C4B">
        <w:rPr>
          <w:szCs w:val="24"/>
        </w:rPr>
        <w:t xml:space="preserve">Calculation </w:t>
      </w:r>
      <w:r w:rsidR="00D10D99">
        <w:rPr>
          <w:szCs w:val="24"/>
        </w:rPr>
        <w:t>Guide</w:t>
      </w:r>
      <w:r w:rsidRPr="00D1363C">
        <w:rPr>
          <w:szCs w:val="24"/>
        </w:rPr>
        <w:t>.  Moving from one configuration to another will not be considered as the start of a new RUC Commitment Period.</w:t>
      </w:r>
    </w:p>
    <w:p w14:paraId="21F47BA2" w14:textId="5A7B7162" w:rsidR="00C70F99" w:rsidRPr="00D1363C" w:rsidRDefault="00C70F99" w:rsidP="00C35DA0">
      <w:pPr>
        <w:numPr>
          <w:ilvl w:val="1"/>
          <w:numId w:val="62"/>
        </w:numPr>
        <w:spacing w:before="120" w:line="300" w:lineRule="auto"/>
        <w:ind w:left="1980"/>
        <w:rPr>
          <w:szCs w:val="24"/>
        </w:rPr>
      </w:pPr>
      <w:r w:rsidRPr="00D1363C">
        <w:rPr>
          <w:szCs w:val="24"/>
        </w:rPr>
        <w:t xml:space="preserve">If the MCR was committed in the Day-Ahead Market and then, during an RTBM hour within the Day-Ahead Market Commitment Period, the Resource is moved by the Market Operator into a configuration that is different from the configuration used in the Day-Ahead Market Commitment period, any transitional costs incurred are eligible for recovery as described </w:t>
      </w:r>
      <w:r w:rsidR="00D10D99">
        <w:rPr>
          <w:szCs w:val="24"/>
        </w:rPr>
        <w:t xml:space="preserve">in the Markets+ Settlements </w:t>
      </w:r>
      <w:r w:rsidR="00BA0C4B">
        <w:rPr>
          <w:szCs w:val="24"/>
        </w:rPr>
        <w:t xml:space="preserve">Calculation </w:t>
      </w:r>
      <w:r w:rsidR="00D10D99">
        <w:rPr>
          <w:szCs w:val="24"/>
        </w:rPr>
        <w:t>Guide</w:t>
      </w:r>
      <w:r w:rsidRPr="00D1363C">
        <w:rPr>
          <w:szCs w:val="24"/>
        </w:rPr>
        <w:t>.</w:t>
      </w:r>
    </w:p>
    <w:p w14:paraId="3B37BE9C" w14:textId="77777777" w:rsidR="00C70F99" w:rsidRPr="00D1363C" w:rsidRDefault="00C70F99" w:rsidP="00574EDE">
      <w:pPr>
        <w:pStyle w:val="Heading4"/>
      </w:pPr>
      <w:bookmarkStart w:id="2830" w:name="_Toc145062688"/>
      <w:bookmarkStart w:id="2831" w:name="_Toc145067300"/>
      <w:bookmarkStart w:id="2832" w:name="_Toc146627616"/>
      <w:bookmarkStart w:id="2833" w:name="_Toc146629481"/>
      <w:bookmarkStart w:id="2834" w:name="_Toc146631343"/>
      <w:bookmarkStart w:id="2835" w:name="_Toc146633210"/>
      <w:bookmarkStart w:id="2836" w:name="_Toc146630937"/>
      <w:bookmarkStart w:id="2837" w:name="_Toc146793107"/>
      <w:bookmarkStart w:id="2838" w:name="_Toc146794803"/>
      <w:bookmarkStart w:id="2839" w:name="_Toc146796498"/>
      <w:bookmarkStart w:id="2840" w:name="_Toc146798188"/>
      <w:bookmarkStart w:id="2841" w:name="_Toc146800800"/>
      <w:bookmarkStart w:id="2842" w:name="_Toc146803435"/>
      <w:bookmarkStart w:id="2843" w:name="_Toc146805139"/>
      <w:bookmarkStart w:id="2844" w:name="_Toc146806843"/>
      <w:bookmarkStart w:id="2845" w:name="_Toc148704897"/>
      <w:bookmarkStart w:id="2846" w:name="_Toc149557855"/>
      <w:bookmarkStart w:id="2847" w:name="_Toc150785311"/>
      <w:bookmarkStart w:id="2848" w:name="_Toc150854765"/>
      <w:bookmarkStart w:id="2849" w:name="_Toc151991704"/>
      <w:bookmarkStart w:id="2850" w:name="_Toc152334804"/>
      <w:bookmarkStart w:id="2851" w:name="_Toc153271170"/>
      <w:bookmarkStart w:id="2852" w:name="_Toc157501005"/>
      <w:bookmarkStart w:id="2853" w:name="_Toc159232180"/>
      <w:bookmarkStart w:id="2854" w:name="_Toc163740177"/>
      <w:bookmarkStart w:id="2855" w:name="_Toc213771831"/>
      <w:bookmarkEnd w:id="2820"/>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r w:rsidRPr="00D1363C">
        <w:t>Virtual Energy Offers</w:t>
      </w:r>
      <w:bookmarkEnd w:id="2821"/>
      <w:bookmarkEnd w:id="2822"/>
      <w:bookmarkEnd w:id="2823"/>
      <w:bookmarkEnd w:id="2824"/>
      <w:bookmarkEnd w:id="2825"/>
      <w:bookmarkEnd w:id="2826"/>
      <w:bookmarkEnd w:id="2827"/>
      <w:bookmarkEnd w:id="2828"/>
      <w:bookmarkEnd w:id="2854"/>
      <w:bookmarkEnd w:id="2855"/>
    </w:p>
    <w:p w14:paraId="64982875" w14:textId="4CB9A55A" w:rsidR="00C70F99" w:rsidRPr="00D1363C" w:rsidRDefault="00C70F99" w:rsidP="00C70F99">
      <w:pPr>
        <w:spacing w:line="300" w:lineRule="auto"/>
        <w:rPr>
          <w:szCs w:val="24"/>
        </w:rPr>
      </w:pPr>
      <w:r w:rsidRPr="00D1363C">
        <w:t xml:space="preserve">Virtual Transactions (both Demand Bid and Resource Offer) and the settlement thereof will not be implemented earlier than six (6) months after implementation of Markets+, and will not be implemented during the summer season.  </w:t>
      </w:r>
      <w:r w:rsidR="00FF0315">
        <w:t>Once imple</w:t>
      </w:r>
      <w:r w:rsidR="00E246EA">
        <w:t xml:space="preserve">mented, the Market Operator </w:t>
      </w:r>
      <w:r w:rsidR="0066173B">
        <w:t>may suspend</w:t>
      </w:r>
      <w:r w:rsidR="00E246EA">
        <w:t xml:space="preserve"> use of Virtual Transaction Offers </w:t>
      </w:r>
      <w:r w:rsidR="0066173B">
        <w:t>according to the criteria set forth in the Markets+ Tariff.</w:t>
      </w:r>
    </w:p>
    <w:p w14:paraId="3C54FCC7" w14:textId="26E388A9" w:rsidR="00C70F99" w:rsidRPr="00D1363C" w:rsidRDefault="00C70F99" w:rsidP="00C70F99">
      <w:pPr>
        <w:spacing w:line="300" w:lineRule="auto"/>
        <w:rPr>
          <w:szCs w:val="24"/>
        </w:rPr>
      </w:pPr>
      <w:r w:rsidRPr="00D1363C">
        <w:rPr>
          <w:szCs w:val="24"/>
        </w:rPr>
        <w:t>Virtual Energy Offers are purely financial, only apply to Energy</w:t>
      </w:r>
      <w:r w:rsidR="00DE0580">
        <w:rPr>
          <w:szCs w:val="24"/>
        </w:rPr>
        <w:t>,</w:t>
      </w:r>
      <w:r w:rsidRPr="00D1363C">
        <w:rPr>
          <w:szCs w:val="24"/>
        </w:rPr>
        <w:t xml:space="preserve"> and are not associated with a physical Resource asset.  The following rules apply to Virtual Energy Offer submittal.</w:t>
      </w:r>
    </w:p>
    <w:p w14:paraId="237223D4" w14:textId="77777777" w:rsidR="00C70F99" w:rsidRPr="00D1363C" w:rsidRDefault="00C70F99" w:rsidP="00C35DA0">
      <w:pPr>
        <w:numPr>
          <w:ilvl w:val="0"/>
          <w:numId w:val="43"/>
        </w:numPr>
        <w:spacing w:before="120" w:line="300" w:lineRule="auto"/>
        <w:rPr>
          <w:szCs w:val="24"/>
        </w:rPr>
      </w:pPr>
      <w:r w:rsidRPr="00D1363C">
        <w:rPr>
          <w:szCs w:val="24"/>
        </w:rPr>
        <w:t>A Virtual Energy Offer can be submitted by a Market Participant at any Settlement Location, except for at External Interface Settlement Locations;</w:t>
      </w:r>
    </w:p>
    <w:p w14:paraId="6CD54511" w14:textId="2634EFA5" w:rsidR="00C70F99" w:rsidRPr="00D1363C" w:rsidRDefault="00C70F99" w:rsidP="00C35DA0">
      <w:pPr>
        <w:numPr>
          <w:ilvl w:val="0"/>
          <w:numId w:val="43"/>
        </w:numPr>
        <w:spacing w:after="0" w:line="300" w:lineRule="auto"/>
        <w:rPr>
          <w:szCs w:val="24"/>
        </w:rPr>
      </w:pPr>
      <w:bookmarkStart w:id="2856" w:name="OLE_LINK9"/>
      <w:r w:rsidRPr="00D1363C">
        <w:rPr>
          <w:szCs w:val="24"/>
        </w:rPr>
        <w:t xml:space="preserve">A Market Participant may submit a single Virtual Energy Offer for each Asset Owner at any Settlement Location for a particular </w:t>
      </w:r>
      <w:r w:rsidR="00956515">
        <w:rPr>
          <w:szCs w:val="24"/>
        </w:rPr>
        <w:t xml:space="preserve">Operating </w:t>
      </w:r>
      <w:r w:rsidRPr="00D1363C">
        <w:rPr>
          <w:szCs w:val="24"/>
        </w:rPr>
        <w:t>Hour in the form of a Virtual Energy Offer Curve (MW, $/MWh, up to ten (10) price/quantity pairs and slope or block option)</w:t>
      </w:r>
      <w:r w:rsidRPr="00D1363C">
        <w:t>.  The submitted MW values must be increasing and the submitted $/MWh values must be monotonically non-decreasing.  A Virtual Energy Offer will clear when the price at the applicable Settlement Location is greater than or equal to the specified curve price for that Operating Hour.  The highest MW quantity submitted in the Virtual Energy Offer Curve representing the maximum MW amount that can be cleared.  The minimum MW amount that can be cleared is equal to zero (0)</w:t>
      </w:r>
      <w:r w:rsidRPr="00D1363C">
        <w:rPr>
          <w:szCs w:val="24"/>
        </w:rPr>
        <w:t>;</w:t>
      </w:r>
    </w:p>
    <w:p w14:paraId="4CC7A133" w14:textId="77777777" w:rsidR="00C70F99" w:rsidRPr="00D1363C" w:rsidRDefault="00C70F99" w:rsidP="00C35DA0">
      <w:pPr>
        <w:numPr>
          <w:ilvl w:val="1"/>
          <w:numId w:val="43"/>
        </w:numPr>
        <w:spacing w:after="0" w:line="300" w:lineRule="auto"/>
        <w:rPr>
          <w:szCs w:val="24"/>
        </w:rPr>
      </w:pPr>
      <w:r w:rsidRPr="00D1363C">
        <w:t>Block and slope pairs may not coexist.  The Resource Offer in effect for any given period of time must be comprised of all block or all slope price/quantity pairs.</w:t>
      </w:r>
    </w:p>
    <w:p w14:paraId="217FFD77" w14:textId="77777777" w:rsidR="00C70F99" w:rsidRPr="00D1363C" w:rsidRDefault="00C70F99" w:rsidP="00C35DA0">
      <w:pPr>
        <w:numPr>
          <w:ilvl w:val="1"/>
          <w:numId w:val="43"/>
        </w:numPr>
        <w:spacing w:after="0" w:line="300" w:lineRule="auto"/>
        <w:rPr>
          <w:szCs w:val="24"/>
        </w:rPr>
      </w:pPr>
      <w:r w:rsidRPr="00D1363C">
        <w:t>If the DLMP is less than the lowest $/MWh submitted in the curve, then the cleared MWs will be zero (0).</w:t>
      </w:r>
    </w:p>
    <w:p w14:paraId="462B9333" w14:textId="090944FE" w:rsidR="00C70F99" w:rsidRPr="00D1363C" w:rsidRDefault="00C70F99" w:rsidP="00C35DA0">
      <w:pPr>
        <w:numPr>
          <w:ilvl w:val="1"/>
          <w:numId w:val="43"/>
        </w:numPr>
        <w:spacing w:after="0" w:line="300" w:lineRule="auto"/>
        <w:rPr>
          <w:szCs w:val="24"/>
        </w:rPr>
      </w:pPr>
      <w:r w:rsidRPr="00D1363C">
        <w:t xml:space="preserve">Under the slope option, the set of price points that are submitted are used as the beginning and ending values for calculating a linear slope for each set of beginning and ending values.  Therefore, each MW between the two </w:t>
      </w:r>
      <w:r w:rsidR="00E4565F">
        <w:t>(2)</w:t>
      </w:r>
      <w:r w:rsidRPr="00D1363C">
        <w:t xml:space="preserve"> price points has a different price due to the interpolation of the submitted price points.  Under the block option, each MW between the two MW points is offered at the price of the larger MW point.  Exhibit 4-</w:t>
      </w:r>
      <w:r w:rsidR="00A013FA">
        <w:t>8</w:t>
      </w:r>
      <w:r w:rsidRPr="00D1363C">
        <w:t xml:space="preserve"> illustrates Virtual Energy Offer curves developed from submitted price/MWh pairs for both the slope and block options.</w:t>
      </w:r>
    </w:p>
    <w:p w14:paraId="10BAE49F" w14:textId="77777777" w:rsidR="00C70F99" w:rsidRPr="00D1363C" w:rsidRDefault="00C70F99" w:rsidP="00C70F99">
      <w:pPr>
        <w:spacing w:after="0" w:line="300" w:lineRule="auto"/>
        <w:rPr>
          <w:szCs w:val="24"/>
        </w:rPr>
      </w:pPr>
    </w:p>
    <w:p w14:paraId="6CE15A1C" w14:textId="43A868D7" w:rsidR="00C70F99" w:rsidRPr="00D1363C" w:rsidRDefault="00C70F99" w:rsidP="00C70F99">
      <w:pPr>
        <w:keepNext/>
        <w:spacing w:after="0" w:line="300" w:lineRule="auto"/>
        <w:jc w:val="center"/>
        <w:rPr>
          <w:b/>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8</w:t>
      </w:r>
      <w:r w:rsidRPr="00D1363C">
        <w:rPr>
          <w:b/>
          <w:szCs w:val="24"/>
        </w:rPr>
        <w:t xml:space="preserve">: </w:t>
      </w:r>
      <w:r w:rsidRPr="00D1363C">
        <w:rPr>
          <w:b/>
        </w:rPr>
        <w:t>Virtual Energy Offer Curve Development</w:t>
      </w:r>
    </w:p>
    <w:p w14:paraId="1C4AE6C6" w14:textId="77777777" w:rsidR="00C70F99" w:rsidRPr="00D1363C" w:rsidRDefault="00C70F99" w:rsidP="00C70F99">
      <w:pPr>
        <w:keepNext/>
        <w:spacing w:after="0" w:line="300" w:lineRule="auto"/>
        <w:jc w:val="center"/>
        <w:rPr>
          <w:b/>
          <w:szCs w:val="24"/>
        </w:rPr>
      </w:pPr>
    </w:p>
    <w:p w14:paraId="0084047D" w14:textId="2ECACC29" w:rsidR="00C70F99" w:rsidRPr="00D1363C" w:rsidRDefault="00C70F99" w:rsidP="00C70F99">
      <w:pPr>
        <w:spacing w:after="0" w:line="300" w:lineRule="auto"/>
        <w:rPr>
          <w:szCs w:val="24"/>
        </w:rPr>
      </w:pPr>
    </w:p>
    <w:bookmarkEnd w:id="2856"/>
    <w:p w14:paraId="08D5A8BB" w14:textId="6F38EF73" w:rsidR="00842A76" w:rsidRPr="00D1363C" w:rsidRDefault="00842A76" w:rsidP="00C70F99">
      <w:pPr>
        <w:spacing w:after="0" w:line="300" w:lineRule="auto"/>
        <w:rPr>
          <w:szCs w:val="24"/>
        </w:rPr>
      </w:pPr>
      <w:r>
        <w:rPr>
          <w:noProof/>
          <w:szCs w:val="24"/>
        </w:rPr>
        <w:drawing>
          <wp:inline distT="0" distB="0" distL="0" distR="0" wp14:anchorId="7646F1E8" wp14:editId="38FA1BCD">
            <wp:extent cx="5876925" cy="2971800"/>
            <wp:effectExtent l="0" t="0" r="9525" b="0"/>
            <wp:docPr id="1508959513" name="Picture 176"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9513" name="Picture 176" descr="Chart, line char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876925" cy="2971800"/>
                    </a:xfrm>
                    <a:prstGeom prst="rect">
                      <a:avLst/>
                    </a:prstGeom>
                  </pic:spPr>
                </pic:pic>
              </a:graphicData>
            </a:graphic>
          </wp:inline>
        </w:drawing>
      </w:r>
    </w:p>
    <w:p w14:paraId="63ACD89E" w14:textId="77777777" w:rsidR="00C70F99" w:rsidRPr="00D1363C" w:rsidRDefault="00C70F99" w:rsidP="00C35DA0">
      <w:pPr>
        <w:numPr>
          <w:ilvl w:val="0"/>
          <w:numId w:val="43"/>
        </w:numPr>
        <w:spacing w:before="120" w:line="300" w:lineRule="auto"/>
        <w:rPr>
          <w:szCs w:val="24"/>
        </w:rPr>
      </w:pPr>
      <w:r w:rsidRPr="00D1363C">
        <w:rPr>
          <w:szCs w:val="24"/>
        </w:rPr>
        <w:t>Each Virtual Energy Offer must specify a start and stop hour within the applicable Operating Day;</w:t>
      </w:r>
    </w:p>
    <w:p w14:paraId="78FF21DA" w14:textId="77777777" w:rsidR="00C70F99" w:rsidRPr="00D1363C" w:rsidRDefault="00C70F99" w:rsidP="00C35DA0">
      <w:pPr>
        <w:numPr>
          <w:ilvl w:val="0"/>
          <w:numId w:val="43"/>
        </w:numPr>
        <w:spacing w:before="120" w:line="300" w:lineRule="auto"/>
        <w:rPr>
          <w:szCs w:val="24"/>
        </w:rPr>
      </w:pPr>
      <w:r w:rsidRPr="00D1363C">
        <w:rPr>
          <w:szCs w:val="24"/>
        </w:rPr>
        <w:t>Virtual Energy Offers may be submitted up to $2,000/MWh and are not subject to cost verification.</w:t>
      </w:r>
    </w:p>
    <w:p w14:paraId="6EC2A88C" w14:textId="77777777" w:rsidR="00C70F99" w:rsidRPr="00C76C46" w:rsidRDefault="00C70F99" w:rsidP="00574EDE">
      <w:pPr>
        <w:pStyle w:val="Heading4"/>
      </w:pPr>
      <w:bookmarkStart w:id="2857" w:name="_Toc245633957"/>
      <w:bookmarkStart w:id="2858" w:name="_Toc245634109"/>
      <w:bookmarkStart w:id="2859" w:name="_Ref245643665"/>
      <w:bookmarkStart w:id="2860" w:name="_Ref245643701"/>
      <w:bookmarkStart w:id="2861" w:name="_Toc245727999"/>
      <w:bookmarkStart w:id="2862" w:name="_Ref247613691"/>
      <w:bookmarkStart w:id="2863" w:name="_Ref247613727"/>
      <w:bookmarkStart w:id="2864" w:name="_Ref247613851"/>
      <w:bookmarkStart w:id="2865" w:name="_Ref247613891"/>
      <w:bookmarkStart w:id="2866" w:name="_Toc248644123"/>
      <w:bookmarkStart w:id="2867" w:name="_Toc258924850"/>
      <w:bookmarkStart w:id="2868" w:name="_Toc263173290"/>
      <w:bookmarkStart w:id="2869" w:name="_Toc263429404"/>
      <w:bookmarkStart w:id="2870" w:name="_Toc263795440"/>
      <w:bookmarkStart w:id="2871" w:name="_Ref265495288"/>
      <w:bookmarkStart w:id="2872" w:name="_Toc266869618"/>
      <w:bookmarkStart w:id="2873" w:name="_Toc163740178"/>
      <w:bookmarkStart w:id="2874" w:name="_Ref193980790"/>
      <w:bookmarkStart w:id="2875" w:name="_Ref194666001"/>
      <w:bookmarkStart w:id="2876" w:name="_Ref194666124"/>
      <w:bookmarkStart w:id="2877" w:name="_Ref194666814"/>
      <w:bookmarkStart w:id="2878" w:name="_Ref212541597"/>
      <w:bookmarkStart w:id="2879" w:name="_Ref212622697"/>
      <w:bookmarkStart w:id="2880" w:name="_Toc213771832"/>
      <w:bookmarkStart w:id="2881" w:name="_Ref214884207"/>
      <w:bookmarkStart w:id="2882" w:name="_Ref214884231"/>
      <w:r w:rsidRPr="00C76C46">
        <w:t>Import Interchange Transaction Offers</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3CC8E28B" w14:textId="7DD2945A" w:rsidR="00C70F99" w:rsidRPr="00AD5C65" w:rsidRDefault="00C70F99" w:rsidP="00C70F99">
      <w:pPr>
        <w:spacing w:line="300" w:lineRule="auto"/>
        <w:rPr>
          <w:szCs w:val="24"/>
        </w:rPr>
      </w:pPr>
      <w:r w:rsidRPr="00AD5C65">
        <w:rPr>
          <w:szCs w:val="24"/>
        </w:rPr>
        <w:t xml:space="preserve">Market Participants may submit Offers to sell Energy coming from outside the Markets+ Footprint for use in the Day-Ahead Market </w:t>
      </w:r>
      <w:r w:rsidRPr="00AD5C65" w:rsidDel="0046151A">
        <w:rPr>
          <w:szCs w:val="24"/>
        </w:rPr>
        <w:t>and/or</w:t>
      </w:r>
      <w:r w:rsidRPr="00AD5C65">
        <w:rPr>
          <w:szCs w:val="24"/>
        </w:rPr>
        <w:t xml:space="preserve"> RTBM using a transmission service reservation</w:t>
      </w:r>
      <w:r w:rsidRPr="00AD5C65">
        <w:t xml:space="preserve"> </w:t>
      </w:r>
      <w:r>
        <w:t>confirmed</w:t>
      </w:r>
      <w:r w:rsidRPr="00AD5C65">
        <w:t xml:space="preserve"> prior to submittal of the Offer in accordance with the procedures specified in the </w:t>
      </w:r>
      <w:r w:rsidRPr="00207525">
        <w:rPr>
          <w:rFonts w:eastAsia="Aptos"/>
          <w:color w:val="000000"/>
          <w:kern w:val="2"/>
          <w:szCs w:val="24"/>
          <w14:ligatures w14:val="standardContextual"/>
        </w:rPr>
        <w:t>applicable transmission service provider(s)' governing documents, such as its Open Access Transmission Tariff (OATT)</w:t>
      </w:r>
      <w:r w:rsidRPr="00AD5C65">
        <w:rPr>
          <w:szCs w:val="24"/>
        </w:rPr>
        <w:t>. The following rules apply to Import Interchange Transaction Offer submittal.</w:t>
      </w:r>
    </w:p>
    <w:p w14:paraId="01A7C6B1" w14:textId="77777777" w:rsidR="00C70F99" w:rsidRPr="00AD5C65" w:rsidRDefault="00C70F99" w:rsidP="00C70F99">
      <w:pPr>
        <w:numPr>
          <w:ilvl w:val="0"/>
          <w:numId w:val="3"/>
        </w:numPr>
        <w:spacing w:before="120" w:line="300" w:lineRule="auto"/>
        <w:ind w:hanging="540"/>
        <w:rPr>
          <w:szCs w:val="24"/>
        </w:rPr>
      </w:pPr>
      <w:r w:rsidRPr="00CA37EA">
        <w:rPr>
          <w:szCs w:val="24"/>
        </w:rPr>
        <w:t xml:space="preserve">The MW amount of Import Interchange Transactions may be limited on a Dispatch Interval basis by the amount of ramping capability available on the applicable Participating Balancing Authority Area’s system;  </w:t>
      </w:r>
    </w:p>
    <w:p w14:paraId="1C7E1FC3" w14:textId="35070262" w:rsidR="00C70F99" w:rsidRPr="00AD5C65" w:rsidRDefault="00C70F99" w:rsidP="00C70F99">
      <w:pPr>
        <w:numPr>
          <w:ilvl w:val="0"/>
          <w:numId w:val="3"/>
        </w:numPr>
        <w:spacing w:before="120" w:line="300" w:lineRule="auto"/>
        <w:ind w:hanging="540"/>
        <w:rPr>
          <w:szCs w:val="24"/>
        </w:rPr>
      </w:pPr>
      <w:r w:rsidRPr="7879BDED">
        <w:rPr>
          <w:szCs w:val="24"/>
        </w:rPr>
        <w:t>Import Interchange Transaction Offers will be submitted via a valid E-</w:t>
      </w:r>
      <w:r w:rsidR="00EA76D7">
        <w:rPr>
          <w:szCs w:val="24"/>
        </w:rPr>
        <w:t>T</w:t>
      </w:r>
      <w:r w:rsidRPr="7879BDED">
        <w:rPr>
          <w:szCs w:val="24"/>
        </w:rPr>
        <w:t>ag;</w:t>
      </w:r>
    </w:p>
    <w:p w14:paraId="2D953CCE" w14:textId="77777777" w:rsidR="00C70F99" w:rsidRPr="00AD5C65" w:rsidRDefault="00C70F99" w:rsidP="00C70F99">
      <w:pPr>
        <w:numPr>
          <w:ilvl w:val="0"/>
          <w:numId w:val="3"/>
        </w:numPr>
        <w:spacing w:before="120" w:line="300" w:lineRule="auto"/>
        <w:ind w:hanging="540"/>
        <w:rPr>
          <w:szCs w:val="24"/>
        </w:rPr>
      </w:pPr>
      <w:r w:rsidRPr="00AD5C65">
        <w:rPr>
          <w:szCs w:val="24"/>
        </w:rPr>
        <w:t>Two types of Import Interchange Transaction Offers will be supported: Self-Schedule and Economic.</w:t>
      </w:r>
    </w:p>
    <w:p w14:paraId="514A7C52" w14:textId="677D785D" w:rsidR="00C70F99" w:rsidRDefault="00C70F99" w:rsidP="00C35DA0">
      <w:pPr>
        <w:numPr>
          <w:ilvl w:val="0"/>
          <w:numId w:val="24"/>
        </w:numPr>
        <w:spacing w:before="120" w:line="300" w:lineRule="auto"/>
        <w:ind w:left="1440" w:hanging="540"/>
        <w:rPr>
          <w:szCs w:val="24"/>
        </w:rPr>
      </w:pPr>
      <w:r w:rsidRPr="00AD5C65">
        <w:rPr>
          <w:szCs w:val="24"/>
        </w:rPr>
        <w:t>A Self-Schedule Offer is a specified MW that will be cleared regardless of the price</w:t>
      </w:r>
      <w:r>
        <w:rPr>
          <w:szCs w:val="24"/>
        </w:rPr>
        <w:t xml:space="preserve">, unless reduced under Sections </w:t>
      </w:r>
      <w:r w:rsidR="00491A9B">
        <w:rPr>
          <w:szCs w:val="24"/>
        </w:rPr>
        <w:fldChar w:fldCharType="begin"/>
      </w:r>
      <w:r w:rsidR="00491A9B">
        <w:rPr>
          <w:szCs w:val="24"/>
        </w:rPr>
        <w:instrText xml:space="preserve"> REF _Ref270487103 \r \h </w:instrText>
      </w:r>
      <w:r w:rsidR="00491A9B">
        <w:rPr>
          <w:szCs w:val="24"/>
        </w:rPr>
      </w:r>
      <w:r w:rsidR="00491A9B">
        <w:rPr>
          <w:szCs w:val="24"/>
        </w:rPr>
        <w:fldChar w:fldCharType="separate"/>
      </w:r>
      <w:r w:rsidR="00491A9B">
        <w:rPr>
          <w:szCs w:val="24"/>
        </w:rPr>
        <w:t>4.3.1.2.2</w:t>
      </w:r>
      <w:r w:rsidR="00491A9B">
        <w:rPr>
          <w:szCs w:val="24"/>
        </w:rPr>
        <w:fldChar w:fldCharType="end"/>
      </w:r>
      <w:r>
        <w:rPr>
          <w:szCs w:val="24"/>
        </w:rPr>
        <w:t>,</w:t>
      </w:r>
      <w:r w:rsidRPr="00853F36">
        <w:rPr>
          <w:szCs w:val="24"/>
        </w:rPr>
        <w:t xml:space="preserve"> </w:t>
      </w:r>
      <w:r w:rsidR="0079244B">
        <w:rPr>
          <w:szCs w:val="24"/>
        </w:rPr>
        <w:fldChar w:fldCharType="begin"/>
      </w:r>
      <w:r w:rsidR="0079244B">
        <w:rPr>
          <w:szCs w:val="24"/>
        </w:rPr>
        <w:instrText xml:space="preserve"> REF _Ref212549399 \r \h </w:instrText>
      </w:r>
      <w:r w:rsidR="0079244B">
        <w:rPr>
          <w:szCs w:val="24"/>
        </w:rPr>
      </w:r>
      <w:r w:rsidR="0079244B">
        <w:rPr>
          <w:szCs w:val="24"/>
        </w:rPr>
        <w:fldChar w:fldCharType="separate"/>
      </w:r>
      <w:r w:rsidR="0079244B">
        <w:rPr>
          <w:szCs w:val="24"/>
        </w:rPr>
        <w:t>4.3.2.2</w:t>
      </w:r>
      <w:r w:rsidR="0079244B">
        <w:rPr>
          <w:szCs w:val="24"/>
        </w:rPr>
        <w:fldChar w:fldCharType="end"/>
      </w:r>
      <w:r>
        <w:rPr>
          <w:szCs w:val="24"/>
        </w:rPr>
        <w:t>(5)</w:t>
      </w:r>
      <w:r w:rsidR="0079244B">
        <w:rPr>
          <w:szCs w:val="24"/>
        </w:rPr>
        <w:t>,</w:t>
      </w:r>
      <w:r w:rsidR="0079244B">
        <w:rPr>
          <w:szCs w:val="24"/>
        </w:rPr>
        <w:fldChar w:fldCharType="begin"/>
      </w:r>
      <w:r w:rsidR="0079244B">
        <w:rPr>
          <w:szCs w:val="24"/>
        </w:rPr>
        <w:instrText xml:space="preserve"> REF _Ref212549444 \r \h </w:instrText>
      </w:r>
      <w:r w:rsidR="0079244B">
        <w:rPr>
          <w:szCs w:val="24"/>
        </w:rPr>
      </w:r>
      <w:r w:rsidR="0079244B">
        <w:rPr>
          <w:szCs w:val="24"/>
        </w:rPr>
        <w:fldChar w:fldCharType="separate"/>
      </w:r>
      <w:r w:rsidR="0079244B">
        <w:rPr>
          <w:szCs w:val="24"/>
        </w:rPr>
        <w:t>4.4.1.2</w:t>
      </w:r>
      <w:r w:rsidR="0079244B">
        <w:rPr>
          <w:szCs w:val="24"/>
        </w:rPr>
        <w:fldChar w:fldCharType="end"/>
      </w:r>
      <w:r>
        <w:rPr>
          <w:szCs w:val="24"/>
        </w:rPr>
        <w:t>(5) and</w:t>
      </w:r>
      <w:r w:rsidR="007A6328">
        <w:rPr>
          <w:szCs w:val="24"/>
        </w:rPr>
        <w:t xml:space="preserve"> </w:t>
      </w:r>
      <w:r>
        <w:rPr>
          <w:szCs w:val="24"/>
        </w:rPr>
        <w:t xml:space="preserve"> </w:t>
      </w:r>
      <w:r w:rsidR="00221E32">
        <w:rPr>
          <w:szCs w:val="24"/>
        </w:rPr>
        <w:t>4.4.2.2.2</w:t>
      </w:r>
      <w:r>
        <w:rPr>
          <w:szCs w:val="24"/>
        </w:rPr>
        <w:t xml:space="preserve">, </w:t>
      </w:r>
      <w:r w:rsidRPr="00AD5C65">
        <w:rPr>
          <w:szCs w:val="24"/>
        </w:rPr>
        <w:t>at the External Interface Settlement Location (Source G</w:t>
      </w:r>
      <w:r w:rsidR="001A7EB2">
        <w:rPr>
          <w:szCs w:val="24"/>
        </w:rPr>
        <w:t xml:space="preserve">enerator </w:t>
      </w:r>
      <w:r w:rsidRPr="00AD5C65">
        <w:rPr>
          <w:szCs w:val="24"/>
        </w:rPr>
        <w:t>C</w:t>
      </w:r>
      <w:r w:rsidR="001A7EB2">
        <w:rPr>
          <w:szCs w:val="24"/>
        </w:rPr>
        <w:t xml:space="preserve">ontrol </w:t>
      </w:r>
      <w:r w:rsidRPr="00AD5C65">
        <w:rPr>
          <w:szCs w:val="24"/>
        </w:rPr>
        <w:t>A</w:t>
      </w:r>
      <w:r w:rsidR="001A7EB2">
        <w:rPr>
          <w:szCs w:val="24"/>
        </w:rPr>
        <w:t>rea</w:t>
      </w:r>
      <w:r w:rsidR="006D1DE4">
        <w:rPr>
          <w:szCs w:val="24"/>
        </w:rPr>
        <w:t>,</w:t>
      </w:r>
      <w:r w:rsidR="00F84881">
        <w:rPr>
          <w:szCs w:val="24"/>
        </w:rPr>
        <w:t xml:space="preserve"> </w:t>
      </w:r>
      <w:r w:rsidR="001422A0">
        <w:rPr>
          <w:szCs w:val="24"/>
        </w:rPr>
        <w:t>or DC Tie if spanning interconnections</w:t>
      </w:r>
      <w:r w:rsidR="006D1DE4">
        <w:rPr>
          <w:szCs w:val="24"/>
        </w:rPr>
        <w:t>,</w:t>
      </w:r>
      <w:r w:rsidRPr="00AD5C65">
        <w:rPr>
          <w:szCs w:val="24"/>
        </w:rPr>
        <w:t xml:space="preserve"> specified on E-</w:t>
      </w:r>
      <w:r w:rsidR="00EA76D7">
        <w:rPr>
          <w:szCs w:val="24"/>
        </w:rPr>
        <w:t>T</w:t>
      </w:r>
      <w:r w:rsidR="00746537">
        <w:rPr>
          <w:szCs w:val="24"/>
        </w:rPr>
        <w:t>ag</w:t>
      </w:r>
      <w:r w:rsidRPr="00AD5C65">
        <w:rPr>
          <w:szCs w:val="24"/>
        </w:rPr>
        <w:t>).  If the Self-Schedule Import Interchange Transaction is submitted for use in the</w:t>
      </w:r>
      <w:r w:rsidR="00966B55">
        <w:rPr>
          <w:szCs w:val="24"/>
        </w:rPr>
        <w:t xml:space="preserve"> Day-Ahead </w:t>
      </w:r>
      <w:r w:rsidRPr="00AD5C65">
        <w:rPr>
          <w:szCs w:val="24"/>
        </w:rPr>
        <w:t>Market, it will be cleared in the</w:t>
      </w:r>
      <w:r w:rsidR="00966B55">
        <w:rPr>
          <w:szCs w:val="24"/>
        </w:rPr>
        <w:t xml:space="preserve"> Day-Ahead </w:t>
      </w:r>
      <w:r w:rsidRPr="00AD5C65">
        <w:rPr>
          <w:szCs w:val="24"/>
        </w:rPr>
        <w:t xml:space="preserve">Market and automatically roll forward as a fixed MW schedule at the Self-Schedule </w:t>
      </w:r>
      <w:r w:rsidR="003E2A69">
        <w:rPr>
          <w:szCs w:val="24"/>
        </w:rPr>
        <w:t>Offer</w:t>
      </w:r>
      <w:r w:rsidRPr="00AD5C65">
        <w:rPr>
          <w:szCs w:val="24"/>
        </w:rPr>
        <w:t xml:space="preserve"> amount for use in RUC and the RTBM.  If specified for use in the RTBM only, the Self-Schedule Import Interchange Transaction will be considered a fixed MW schedule at the Self-Schedule </w:t>
      </w:r>
      <w:r w:rsidR="006B15DA">
        <w:rPr>
          <w:szCs w:val="24"/>
        </w:rPr>
        <w:t>Offer</w:t>
      </w:r>
      <w:r w:rsidRPr="00AD5C65">
        <w:rPr>
          <w:szCs w:val="24"/>
        </w:rPr>
        <w:t xml:space="preserve"> amount for the RUC processes and RTBM.</w:t>
      </w:r>
    </w:p>
    <w:p w14:paraId="319030F1" w14:textId="58406869" w:rsidR="00C70F99" w:rsidRPr="00AD5C65" w:rsidRDefault="00C70F99" w:rsidP="00C35DA0">
      <w:pPr>
        <w:numPr>
          <w:ilvl w:val="0"/>
          <w:numId w:val="24"/>
        </w:numPr>
        <w:tabs>
          <w:tab w:val="clear" w:pos="720"/>
        </w:tabs>
        <w:spacing w:before="120" w:line="300" w:lineRule="auto"/>
        <w:ind w:left="1440" w:hanging="540"/>
        <w:rPr>
          <w:szCs w:val="24"/>
        </w:rPr>
      </w:pPr>
      <w:r w:rsidRPr="77AFF695">
        <w:rPr>
          <w:szCs w:val="24"/>
        </w:rPr>
        <w:t xml:space="preserve">An Economic Offer specifies both a MW amount and a minimum $/MWh price that the Market Participant must be paid if the transaction clears the Day-Ahead Market.  Economic Offers are only available for use in the Day-Ahead Market.  Import Transactions may be submitted up to $2,000/MWh and are not subject to cost verification.  </w:t>
      </w:r>
      <w:bookmarkStart w:id="2883" w:name="OLE_LINK55"/>
      <w:bookmarkStart w:id="2884" w:name="OLE_LINK56"/>
      <w:r w:rsidRPr="77AFF695">
        <w:rPr>
          <w:szCs w:val="24"/>
        </w:rPr>
        <w:t xml:space="preserve">If the transaction clears the Day-Ahead Market, it automatically rolls forward as a </w:t>
      </w:r>
      <w:r w:rsidR="0029632D">
        <w:rPr>
          <w:szCs w:val="24"/>
        </w:rPr>
        <w:t>S</w:t>
      </w:r>
      <w:r w:rsidR="00C368EC">
        <w:rPr>
          <w:szCs w:val="24"/>
        </w:rPr>
        <w:t>elf-</w:t>
      </w:r>
      <w:r w:rsidR="0029632D">
        <w:rPr>
          <w:szCs w:val="24"/>
        </w:rPr>
        <w:t>S</w:t>
      </w:r>
      <w:r w:rsidR="00C368EC">
        <w:rPr>
          <w:szCs w:val="24"/>
        </w:rPr>
        <w:t>chedule</w:t>
      </w:r>
      <w:r w:rsidR="0029632D">
        <w:rPr>
          <w:szCs w:val="24"/>
        </w:rPr>
        <w:t xml:space="preserve"> Offer</w:t>
      </w:r>
      <w:r w:rsidRPr="77AFF695">
        <w:rPr>
          <w:szCs w:val="24"/>
        </w:rPr>
        <w:t>at the Day-Ahead Market cleared MW for use in RUC and the RTBM.</w:t>
      </w:r>
      <w:bookmarkEnd w:id="2883"/>
      <w:bookmarkEnd w:id="2884"/>
      <w:r w:rsidRPr="77AFF695">
        <w:rPr>
          <w:szCs w:val="24"/>
        </w:rPr>
        <w:t xml:space="preserve">  Any adjustment to the schedule will be settled as a deviation from the Day-Ahead Market.</w:t>
      </w:r>
    </w:p>
    <w:p w14:paraId="03B252F0" w14:textId="39F25FB5" w:rsidR="00C70F99" w:rsidRDefault="00C70F99" w:rsidP="00C70F99">
      <w:pPr>
        <w:numPr>
          <w:ilvl w:val="0"/>
          <w:numId w:val="3"/>
        </w:numPr>
        <w:spacing w:before="120" w:line="300" w:lineRule="auto"/>
        <w:ind w:hanging="540"/>
        <w:rPr>
          <w:szCs w:val="24"/>
        </w:rPr>
      </w:pPr>
      <w:r>
        <w:rPr>
          <w:szCs w:val="24"/>
        </w:rPr>
        <w:t>Import Interchange Transactions can have one of two different priorities associated with the energy profile, High Priority Import Interchange Transaction or Uncommitted Import Interchange Transaction.  Exhibit 4-</w:t>
      </w:r>
      <w:r w:rsidR="00A013FA">
        <w:rPr>
          <w:szCs w:val="24"/>
        </w:rPr>
        <w:t>9</w:t>
      </w:r>
      <w:r>
        <w:rPr>
          <w:szCs w:val="24"/>
        </w:rPr>
        <w:t xml:space="preserve"> provides an overview of the High Priority Import Interchange Transaction qualification process.</w:t>
      </w:r>
    </w:p>
    <w:p w14:paraId="08329F0A" w14:textId="77777777" w:rsidR="00DC0502" w:rsidRDefault="00DC0502" w:rsidP="00C70F99">
      <w:pPr>
        <w:spacing w:before="120" w:line="300" w:lineRule="auto"/>
        <w:jc w:val="center"/>
        <w:rPr>
          <w:b/>
          <w:bCs/>
          <w:szCs w:val="24"/>
        </w:rPr>
      </w:pPr>
    </w:p>
    <w:p w14:paraId="6B247C4E" w14:textId="224E7B3F" w:rsidR="00C70F99" w:rsidRDefault="00C70F99" w:rsidP="00DC0502">
      <w:pPr>
        <w:keepNext/>
        <w:spacing w:after="0" w:line="300" w:lineRule="auto"/>
        <w:jc w:val="center"/>
        <w:rPr>
          <w:b/>
          <w:bCs/>
          <w:szCs w:val="24"/>
        </w:rPr>
      </w:pPr>
      <w:r w:rsidRPr="00EB6C9A">
        <w:rPr>
          <w:b/>
          <w:bCs/>
          <w:szCs w:val="24"/>
        </w:rPr>
        <w:t xml:space="preserve">Exhibit </w:t>
      </w:r>
      <w:r w:rsidR="00DC0502" w:rsidRPr="00D1363C">
        <w:rPr>
          <w:b/>
          <w:szCs w:val="24"/>
        </w:rPr>
        <w:fldChar w:fldCharType="begin"/>
      </w:r>
      <w:r w:rsidR="00DC0502" w:rsidRPr="00D1363C">
        <w:rPr>
          <w:b/>
          <w:szCs w:val="24"/>
        </w:rPr>
        <w:instrText xml:space="preserve"> STYLEREF 1 \s </w:instrText>
      </w:r>
      <w:r w:rsidR="00DC0502" w:rsidRPr="00D1363C">
        <w:rPr>
          <w:b/>
          <w:szCs w:val="24"/>
        </w:rPr>
        <w:fldChar w:fldCharType="separate"/>
      </w:r>
      <w:r w:rsidR="00DC0502" w:rsidRPr="00D1363C">
        <w:rPr>
          <w:b/>
          <w:noProof/>
          <w:szCs w:val="24"/>
        </w:rPr>
        <w:t>4</w:t>
      </w:r>
      <w:r w:rsidR="00DC0502" w:rsidRPr="00D1363C">
        <w:rPr>
          <w:b/>
          <w:szCs w:val="24"/>
        </w:rPr>
        <w:fldChar w:fldCharType="end"/>
      </w:r>
      <w:r w:rsidR="00DC0502" w:rsidRPr="00D1363C">
        <w:rPr>
          <w:b/>
          <w:szCs w:val="24"/>
        </w:rPr>
        <w:noBreakHyphen/>
      </w:r>
      <w:r w:rsidR="00A013FA">
        <w:rPr>
          <w:b/>
          <w:szCs w:val="24"/>
        </w:rPr>
        <w:t>9</w:t>
      </w:r>
      <w:r w:rsidR="00DC0502" w:rsidRPr="00D1363C">
        <w:rPr>
          <w:b/>
          <w:szCs w:val="24"/>
        </w:rPr>
        <w:t>:</w:t>
      </w:r>
      <w:r w:rsidRPr="00EB6C9A">
        <w:rPr>
          <w:b/>
          <w:bCs/>
          <w:szCs w:val="24"/>
        </w:rPr>
        <w:t xml:space="preserve"> High Priority </w:t>
      </w:r>
      <w:r>
        <w:rPr>
          <w:b/>
          <w:bCs/>
          <w:szCs w:val="24"/>
        </w:rPr>
        <w:t>Im</w:t>
      </w:r>
      <w:r w:rsidRPr="00EB6C9A">
        <w:rPr>
          <w:b/>
          <w:bCs/>
          <w:szCs w:val="24"/>
        </w:rPr>
        <w:t>port Qualification Process</w:t>
      </w:r>
    </w:p>
    <w:p w14:paraId="54C0ECCE" w14:textId="77777777" w:rsidR="00DC0502" w:rsidRDefault="00DC0502" w:rsidP="00DC0502">
      <w:pPr>
        <w:keepNext/>
        <w:spacing w:after="0" w:line="300" w:lineRule="auto"/>
        <w:jc w:val="center"/>
        <w:rPr>
          <w:b/>
          <w:bCs/>
          <w:szCs w:val="24"/>
        </w:rPr>
      </w:pPr>
    </w:p>
    <w:p w14:paraId="71C1A23C" w14:textId="645E631E" w:rsidR="00C70F99" w:rsidRDefault="00DD6273" w:rsidP="00C70F99">
      <w:pPr>
        <w:spacing w:before="120" w:line="300" w:lineRule="auto"/>
        <w:rPr>
          <w:szCs w:val="24"/>
        </w:rPr>
      </w:pPr>
      <w:r w:rsidRPr="00A24565">
        <w:rPr>
          <w:b/>
          <w:bCs/>
          <w:noProof/>
          <w:szCs w:val="24"/>
        </w:rPr>
        <w:drawing>
          <wp:inline distT="0" distB="0" distL="0" distR="0" wp14:anchorId="0913CAC4" wp14:editId="57567A13">
            <wp:extent cx="5943600" cy="3994150"/>
            <wp:effectExtent l="0" t="0" r="0" b="6350"/>
            <wp:docPr id="24899852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2650" name="Picture 1"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94150"/>
                    </a:xfrm>
                    <a:prstGeom prst="rect">
                      <a:avLst/>
                    </a:prstGeom>
                    <a:noFill/>
                    <a:ln>
                      <a:noFill/>
                    </a:ln>
                  </pic:spPr>
                </pic:pic>
              </a:graphicData>
            </a:graphic>
          </wp:inline>
        </w:drawing>
      </w:r>
    </w:p>
    <w:p w14:paraId="2C79D933" w14:textId="77777777" w:rsidR="00C70F99" w:rsidRDefault="00C70F99" w:rsidP="00C35DA0">
      <w:pPr>
        <w:numPr>
          <w:ilvl w:val="0"/>
          <w:numId w:val="87"/>
        </w:numPr>
        <w:tabs>
          <w:tab w:val="clear" w:pos="1080"/>
        </w:tabs>
        <w:spacing w:before="120" w:line="300" w:lineRule="auto"/>
        <w:ind w:left="1440" w:hanging="540"/>
        <w:rPr>
          <w:szCs w:val="24"/>
        </w:rPr>
      </w:pPr>
      <w:r w:rsidRPr="00CA37EA">
        <w:rPr>
          <w:szCs w:val="24"/>
        </w:rPr>
        <w:t xml:space="preserve">An Import Interchange Transaction will be considered a High Priority Import Interchange Transaction if the transaction is part of a WRAP forward showing or deployed WRAP holdback.  In addition, an Import Interchange Transaction will also be considered a High Priority Import Interchange Transaction if it has NERC Priority 6 or 7 transmission service </w:t>
      </w:r>
      <w:r w:rsidRPr="00E9358E">
        <w:rPr>
          <w:szCs w:val="24"/>
        </w:rPr>
        <w:t>(or equivalent)</w:t>
      </w:r>
      <w:r w:rsidRPr="00CA37EA">
        <w:rPr>
          <w:szCs w:val="24"/>
        </w:rPr>
        <w:t xml:space="preserve"> reserved from an external source (external Resource or external system) to the internal sink point of the LRE, or to the BAA of the LRE; and satisfied one of the following conditions:</w:t>
      </w:r>
    </w:p>
    <w:p w14:paraId="598E47AD" w14:textId="77777777" w:rsidR="00C70F99" w:rsidRDefault="00C70F99" w:rsidP="00C35DA0">
      <w:pPr>
        <w:numPr>
          <w:ilvl w:val="1"/>
          <w:numId w:val="87"/>
        </w:numPr>
        <w:spacing w:before="120" w:line="300" w:lineRule="auto"/>
        <w:rPr>
          <w:szCs w:val="24"/>
        </w:rPr>
      </w:pPr>
      <w:r w:rsidRPr="7E71820E">
        <w:rPr>
          <w:szCs w:val="24"/>
        </w:rPr>
        <w:t xml:space="preserve">An attested </w:t>
      </w:r>
      <w:r>
        <w:rPr>
          <w:szCs w:val="24"/>
        </w:rPr>
        <w:t>external source from a BAA other than CAISO</w:t>
      </w:r>
      <w:r w:rsidRPr="7E71820E">
        <w:rPr>
          <w:szCs w:val="24"/>
        </w:rPr>
        <w:t xml:space="preserve"> (external Resource or external system) is associated with the High Priority Import Interchange Transaction; or </w:t>
      </w:r>
    </w:p>
    <w:p w14:paraId="4260A2FF" w14:textId="77777777" w:rsidR="00C70F99" w:rsidRDefault="00C70F99" w:rsidP="00C35DA0">
      <w:pPr>
        <w:pStyle w:val="ListParagraph"/>
        <w:numPr>
          <w:ilvl w:val="1"/>
          <w:numId w:val="87"/>
        </w:numPr>
        <w:spacing w:before="120" w:line="300" w:lineRule="auto"/>
        <w:contextualSpacing w:val="0"/>
        <w:rPr>
          <w:szCs w:val="24"/>
        </w:rPr>
      </w:pPr>
      <w:r>
        <w:rPr>
          <w:szCs w:val="24"/>
        </w:rPr>
        <w:t xml:space="preserve">The external source is within the </w:t>
      </w:r>
      <w:r w:rsidRPr="5F7AB88A">
        <w:rPr>
          <w:szCs w:val="24"/>
        </w:rPr>
        <w:t xml:space="preserve">CAISO </w:t>
      </w:r>
      <w:r>
        <w:rPr>
          <w:szCs w:val="24"/>
        </w:rPr>
        <w:t>BAA and is identified as a</w:t>
      </w:r>
      <w:r w:rsidRPr="5F7AB88A">
        <w:rPr>
          <w:szCs w:val="24"/>
        </w:rPr>
        <w:t xml:space="preserve"> G</w:t>
      </w:r>
      <w:r>
        <w:rPr>
          <w:szCs w:val="24"/>
        </w:rPr>
        <w:t>eneration</w:t>
      </w:r>
      <w:r w:rsidRPr="5F7AB88A">
        <w:rPr>
          <w:szCs w:val="24"/>
        </w:rPr>
        <w:t>-F</w:t>
      </w:r>
      <w:r>
        <w:rPr>
          <w:szCs w:val="24"/>
        </w:rPr>
        <w:t>irm (G-F) source on the Import Interchange Transaction tag.</w:t>
      </w:r>
      <w:r w:rsidRPr="5F7AB88A">
        <w:rPr>
          <w:szCs w:val="24"/>
        </w:rPr>
        <w:t xml:space="preserve"> </w:t>
      </w:r>
    </w:p>
    <w:p w14:paraId="1059E0BD" w14:textId="3FB92556" w:rsidR="00C70F99" w:rsidRDefault="00C70F99" w:rsidP="00C70F99">
      <w:pPr>
        <w:pStyle w:val="ListParagraph"/>
        <w:spacing w:before="120" w:line="300" w:lineRule="auto"/>
        <w:rPr>
          <w:szCs w:val="24"/>
        </w:rPr>
      </w:pPr>
      <w:r w:rsidRPr="00CA37EA">
        <w:rPr>
          <w:szCs w:val="24"/>
        </w:rPr>
        <w:t xml:space="preserve">In addition, the Market Participant must indicate on the </w:t>
      </w:r>
      <w:r w:rsidRPr="00CA37EA" w:rsidDel="00EA76D7">
        <w:rPr>
          <w:szCs w:val="24"/>
        </w:rPr>
        <w:t>e</w:t>
      </w:r>
      <w:r w:rsidRPr="00CA37EA">
        <w:rPr>
          <w:szCs w:val="24"/>
        </w:rPr>
        <w:t>-</w:t>
      </w:r>
      <w:r w:rsidR="00EA76D7">
        <w:rPr>
          <w:szCs w:val="24"/>
        </w:rPr>
        <w:t>T</w:t>
      </w:r>
      <w:r w:rsidRPr="00CA37EA">
        <w:rPr>
          <w:szCs w:val="24"/>
        </w:rPr>
        <w:t xml:space="preserve">ag that the Import Interchange Transaction is a High Priority Import Interchange Transaction.  If the transaction is part of a WRAP forward showing or deployed WRAP holdback transaction, then the Market Participant must indicate that on the </w:t>
      </w:r>
      <w:r w:rsidRPr="00CA37EA" w:rsidDel="00EA76D7">
        <w:rPr>
          <w:szCs w:val="24"/>
        </w:rPr>
        <w:t>e</w:t>
      </w:r>
      <w:r w:rsidRPr="00CA37EA">
        <w:rPr>
          <w:szCs w:val="24"/>
        </w:rPr>
        <w:t>-</w:t>
      </w:r>
      <w:r w:rsidR="00EA76D7">
        <w:rPr>
          <w:szCs w:val="24"/>
        </w:rPr>
        <w:t>T</w:t>
      </w:r>
      <w:r w:rsidRPr="00CA37EA">
        <w:rPr>
          <w:szCs w:val="24"/>
        </w:rPr>
        <w:t xml:space="preserve">ag.  Such designation will serve as an attestation from the Market Participant that the Import Interchange Transaction has met the requirements described under </w:t>
      </w:r>
      <w:r>
        <w:rPr>
          <w:szCs w:val="24"/>
        </w:rPr>
        <w:t>Section 4.2.2.7(4)</w:t>
      </w:r>
      <w:r w:rsidRPr="00CA37EA">
        <w:rPr>
          <w:szCs w:val="24"/>
        </w:rPr>
        <w:t xml:space="preserve">(a) above.  For transactions meeting the requirements of </w:t>
      </w:r>
      <w:r>
        <w:rPr>
          <w:szCs w:val="24"/>
        </w:rPr>
        <w:t>Section 4.2.2.7 (4)(</w:t>
      </w:r>
      <w:r w:rsidRPr="00CA37EA">
        <w:rPr>
          <w:szCs w:val="24"/>
        </w:rPr>
        <w:t>a</w:t>
      </w:r>
      <w:r>
        <w:rPr>
          <w:szCs w:val="24"/>
        </w:rPr>
        <w:t>)</w:t>
      </w:r>
      <w:r w:rsidRPr="00CA37EA">
        <w:rPr>
          <w:szCs w:val="24"/>
        </w:rPr>
        <w:t>(i) above, the Market Participant must provide proof that the High Priority Import Interchange Transaction requirements have been met by submitting an executed committed supply form.  Market Participants that fail to provide this necessary proof will have the associated High Priority Import Interchange Transaction redesignated as an Uncommitted Import Interchange Transaction until sufficiently remedied and accepted by the Market Operator</w:t>
      </w:r>
      <w:r w:rsidR="00DD6273" w:rsidRPr="00CA37EA">
        <w:rPr>
          <w:szCs w:val="24"/>
        </w:rPr>
        <w:t>.</w:t>
      </w:r>
      <w:r w:rsidRPr="00CA37EA">
        <w:rPr>
          <w:szCs w:val="24"/>
        </w:rPr>
        <w:t xml:space="preserve"> </w:t>
      </w:r>
      <w:r>
        <w:rPr>
          <w:szCs w:val="24"/>
        </w:rPr>
        <w:t xml:space="preserve"> If an error or discrepancy is discovered, the data may be resubmitted for resettlement in accordance with the timelines in Section </w:t>
      </w:r>
      <w:r w:rsidR="008031F7">
        <w:rPr>
          <w:szCs w:val="24"/>
        </w:rPr>
        <w:fldChar w:fldCharType="begin"/>
      </w:r>
      <w:r w:rsidR="008031F7">
        <w:rPr>
          <w:szCs w:val="24"/>
        </w:rPr>
        <w:instrText xml:space="preserve"> REF _Ref212549739 \r \h </w:instrText>
      </w:r>
      <w:r w:rsidR="008031F7">
        <w:rPr>
          <w:szCs w:val="24"/>
        </w:rPr>
      </w:r>
      <w:r w:rsidR="008031F7">
        <w:rPr>
          <w:szCs w:val="24"/>
        </w:rPr>
        <w:fldChar w:fldCharType="separate"/>
      </w:r>
      <w:r w:rsidR="008031F7">
        <w:rPr>
          <w:szCs w:val="24"/>
        </w:rPr>
        <w:t>4.5.13</w:t>
      </w:r>
      <w:r w:rsidR="008031F7">
        <w:rPr>
          <w:szCs w:val="24"/>
        </w:rPr>
        <w:fldChar w:fldCharType="end"/>
      </w:r>
      <w:r>
        <w:rPr>
          <w:szCs w:val="24"/>
        </w:rPr>
        <w:t>,</w:t>
      </w:r>
      <w:r w:rsidRPr="00360C48">
        <w:rPr>
          <w:szCs w:val="24"/>
        </w:rPr>
        <w:t xml:space="preserve"> </w:t>
      </w:r>
      <w:r>
        <w:rPr>
          <w:szCs w:val="24"/>
        </w:rPr>
        <w:t>S</w:t>
      </w:r>
      <w:r w:rsidRPr="00360C48">
        <w:rPr>
          <w:szCs w:val="24"/>
        </w:rPr>
        <w:t>ettlements timeline</w:t>
      </w:r>
      <w:r>
        <w:rPr>
          <w:szCs w:val="24"/>
        </w:rPr>
        <w:t xml:space="preserve">, </w:t>
      </w:r>
      <w:r w:rsidRPr="00360C48">
        <w:rPr>
          <w:szCs w:val="24"/>
        </w:rPr>
        <w:t xml:space="preserve">and </w:t>
      </w:r>
      <w:r w:rsidR="008031F7">
        <w:rPr>
          <w:szCs w:val="24"/>
        </w:rPr>
        <w:fldChar w:fldCharType="begin"/>
      </w:r>
      <w:r w:rsidR="008031F7">
        <w:rPr>
          <w:szCs w:val="24"/>
        </w:rPr>
        <w:instrText xml:space="preserve"> REF _Ref212549760 \r \h </w:instrText>
      </w:r>
      <w:r w:rsidR="008031F7">
        <w:rPr>
          <w:szCs w:val="24"/>
        </w:rPr>
      </w:r>
      <w:r w:rsidR="008031F7">
        <w:rPr>
          <w:szCs w:val="24"/>
        </w:rPr>
        <w:fldChar w:fldCharType="separate"/>
      </w:r>
      <w:r w:rsidR="008031F7">
        <w:rPr>
          <w:szCs w:val="24"/>
        </w:rPr>
        <w:t>4.5.15</w:t>
      </w:r>
      <w:r w:rsidR="008031F7">
        <w:rPr>
          <w:szCs w:val="24"/>
        </w:rPr>
        <w:fldChar w:fldCharType="end"/>
      </w:r>
      <w:r>
        <w:rPr>
          <w:szCs w:val="24"/>
        </w:rPr>
        <w:t xml:space="preserve">, </w:t>
      </w:r>
      <w:r w:rsidRPr="00360C48">
        <w:rPr>
          <w:szCs w:val="24"/>
        </w:rPr>
        <w:t>Disputes</w:t>
      </w:r>
      <w:r w:rsidRPr="00CA37EA">
        <w:rPr>
          <w:szCs w:val="24"/>
        </w:rPr>
        <w:t>.</w:t>
      </w:r>
      <w:r>
        <w:rPr>
          <w:szCs w:val="24"/>
        </w:rPr>
        <w:t xml:space="preserve"> </w:t>
      </w:r>
    </w:p>
    <w:p w14:paraId="630F6CCD" w14:textId="77777777" w:rsidR="00C70F99" w:rsidRPr="00AD5C65" w:rsidRDefault="00C70F99" w:rsidP="00C35DA0">
      <w:pPr>
        <w:numPr>
          <w:ilvl w:val="0"/>
          <w:numId w:val="87"/>
        </w:numPr>
        <w:spacing w:before="120" w:line="300" w:lineRule="auto"/>
        <w:rPr>
          <w:szCs w:val="24"/>
        </w:rPr>
      </w:pPr>
      <w:r w:rsidRPr="00CA37EA">
        <w:rPr>
          <w:szCs w:val="24"/>
        </w:rPr>
        <w:t xml:space="preserve">Uncommitted Import Interchange Transactions are any transactions that do not meet the requirements of </w:t>
      </w:r>
      <w:r>
        <w:rPr>
          <w:szCs w:val="24"/>
        </w:rPr>
        <w:t>Section 4.2.2.7(4)</w:t>
      </w:r>
      <w:r w:rsidRPr="00CA37EA">
        <w:rPr>
          <w:szCs w:val="24"/>
        </w:rPr>
        <w:t xml:space="preserve">(a) above.  Uncommitted Import Interchange Transactions are not included as part of a Market Participant’s net position and therefore are not to be considered as meeting part of a Market Participant’s must offer obligation as discussed in </w:t>
      </w:r>
      <w:r>
        <w:rPr>
          <w:szCs w:val="24"/>
        </w:rPr>
        <w:t>Section 4.2.1.</w:t>
      </w:r>
    </w:p>
    <w:p w14:paraId="61CDF2E0" w14:textId="77777777" w:rsidR="00C70F99" w:rsidRPr="00AB2F5F" w:rsidRDefault="00C70F99" w:rsidP="00C70F99">
      <w:pPr>
        <w:pStyle w:val="ParaText"/>
      </w:pPr>
    </w:p>
    <w:p w14:paraId="34EB65A0" w14:textId="77777777" w:rsidR="00C70F99" w:rsidRPr="00D1363C" w:rsidRDefault="00C70F99" w:rsidP="00CB5653">
      <w:pPr>
        <w:pStyle w:val="Heading3"/>
      </w:pPr>
      <w:bookmarkStart w:id="2885" w:name="_Toc146631379"/>
      <w:bookmarkStart w:id="2886" w:name="_Toc146633246"/>
      <w:bookmarkStart w:id="2887" w:name="_Toc146630973"/>
      <w:bookmarkStart w:id="2888" w:name="_Toc146793143"/>
      <w:bookmarkStart w:id="2889" w:name="_Toc146794839"/>
      <w:bookmarkStart w:id="2890" w:name="_Toc146796534"/>
      <w:bookmarkStart w:id="2891" w:name="_Toc146798224"/>
      <w:bookmarkStart w:id="2892" w:name="_Toc146800836"/>
      <w:bookmarkStart w:id="2893" w:name="_Toc146803471"/>
      <w:bookmarkStart w:id="2894" w:name="_Toc146805175"/>
      <w:bookmarkStart w:id="2895" w:name="_Toc146806879"/>
      <w:bookmarkStart w:id="2896" w:name="_Toc148704933"/>
      <w:bookmarkStart w:id="2897" w:name="_Toc149557891"/>
      <w:bookmarkStart w:id="2898" w:name="_Toc150785347"/>
      <w:bookmarkStart w:id="2899" w:name="_Toc150854801"/>
      <w:bookmarkStart w:id="2900" w:name="_Toc151991740"/>
      <w:bookmarkStart w:id="2901" w:name="_Toc152334840"/>
      <w:bookmarkStart w:id="2902" w:name="_Toc153271206"/>
      <w:bookmarkStart w:id="2903" w:name="_Toc157501041"/>
      <w:bookmarkStart w:id="2904" w:name="_Toc159232216"/>
      <w:bookmarkStart w:id="2905" w:name="_Toc245633958"/>
      <w:bookmarkStart w:id="2906" w:name="_Toc245634110"/>
      <w:bookmarkStart w:id="2907" w:name="_Toc245728000"/>
      <w:bookmarkStart w:id="2908" w:name="_Toc248644124"/>
      <w:bookmarkStart w:id="2909" w:name="_Toc258924851"/>
      <w:bookmarkStart w:id="2910" w:name="_Toc263173293"/>
      <w:bookmarkStart w:id="2911" w:name="_Toc263173613"/>
      <w:bookmarkStart w:id="2912" w:name="_Toc263173799"/>
      <w:bookmarkStart w:id="2913" w:name="_Toc263174174"/>
      <w:bookmarkStart w:id="2914" w:name="_Toc263235073"/>
      <w:bookmarkStart w:id="2915" w:name="_Toc263235716"/>
      <w:bookmarkStart w:id="2916" w:name="_Toc263429405"/>
      <w:bookmarkStart w:id="2917" w:name="_Toc263795443"/>
      <w:bookmarkStart w:id="2918" w:name="_Toc266869619"/>
      <w:bookmarkStart w:id="2919" w:name="_Toc163740179"/>
      <w:bookmarkStart w:id="2920" w:name="_Toc213771833"/>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r w:rsidRPr="00D1363C">
        <w:t>Bid Submittal</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45A67454" w14:textId="0EDA025D" w:rsidR="00C70F99" w:rsidRPr="00D1363C" w:rsidRDefault="00C70F99" w:rsidP="00C70F99">
      <w:pPr>
        <w:spacing w:line="300" w:lineRule="auto"/>
        <w:rPr>
          <w:szCs w:val="24"/>
        </w:rPr>
      </w:pPr>
      <w:r w:rsidRPr="00D1363C">
        <w:rPr>
          <w:szCs w:val="24"/>
        </w:rPr>
        <w:t xml:space="preserve">Beginning seven (7) days prior to the Operating Day, Market Participants may begin submitting Demand Bids and Virtual Energy Bids for the purchase of Energy in the Day-Ahead Market </w:t>
      </w:r>
      <w:r w:rsidRPr="00D1363C" w:rsidDel="0046151A">
        <w:rPr>
          <w:szCs w:val="24"/>
        </w:rPr>
        <w:t>and/or</w:t>
      </w:r>
      <w:r w:rsidRPr="00D1363C">
        <w:rPr>
          <w:szCs w:val="24"/>
        </w:rPr>
        <w:t xml:space="preserve"> Export Interchange Transaction Bids for the purchase of Energy in the Day-Ahead Market or RTBM.  </w:t>
      </w:r>
    </w:p>
    <w:p w14:paraId="1DC9A61D" w14:textId="77777777" w:rsidR="00C70F99" w:rsidRPr="00D1363C" w:rsidRDefault="00C70F99" w:rsidP="00C70F99">
      <w:pPr>
        <w:spacing w:line="300" w:lineRule="auto"/>
        <w:rPr>
          <w:szCs w:val="24"/>
        </w:rPr>
      </w:pPr>
      <w:r w:rsidRPr="00D1363C">
        <w:rPr>
          <w:szCs w:val="24"/>
        </w:rPr>
        <w:t xml:space="preserve"> The following business rules apply to Bid submittal:</w:t>
      </w:r>
    </w:p>
    <w:p w14:paraId="5BF67A14" w14:textId="77777777" w:rsidR="00C70F99" w:rsidRPr="00D1363C" w:rsidRDefault="00C70F99" w:rsidP="00C35DA0">
      <w:pPr>
        <w:numPr>
          <w:ilvl w:val="0"/>
          <w:numId w:val="25"/>
        </w:numPr>
        <w:spacing w:after="0" w:line="300" w:lineRule="auto"/>
        <w:ind w:left="720" w:hanging="540"/>
        <w:rPr>
          <w:szCs w:val="24"/>
        </w:rPr>
      </w:pPr>
      <w:r w:rsidRPr="00D1363C">
        <w:rPr>
          <w:szCs w:val="24"/>
        </w:rPr>
        <w:t>Bid submittal other than for a Self-Schedule Export Interchange Transaction Bid does not apply to any of the RUC processes or the RTBM;</w:t>
      </w:r>
    </w:p>
    <w:p w14:paraId="19B63F6A" w14:textId="77777777" w:rsidR="00C70F99" w:rsidRPr="00D1363C" w:rsidRDefault="00C70F99" w:rsidP="00C35DA0">
      <w:pPr>
        <w:numPr>
          <w:ilvl w:val="0"/>
          <w:numId w:val="25"/>
        </w:numPr>
        <w:spacing w:before="120" w:line="300" w:lineRule="auto"/>
        <w:ind w:left="720" w:hanging="540"/>
        <w:rPr>
          <w:szCs w:val="24"/>
        </w:rPr>
      </w:pPr>
      <w:r w:rsidRPr="00D1363C">
        <w:rPr>
          <w:szCs w:val="24"/>
        </w:rPr>
        <w:t>Submitted Bids do not roll forward hour to hour;</w:t>
      </w:r>
    </w:p>
    <w:p w14:paraId="7FAB796E" w14:textId="468A0637" w:rsidR="00C70F99" w:rsidRPr="00D1363C" w:rsidRDefault="00C70F99" w:rsidP="00C35DA0">
      <w:pPr>
        <w:numPr>
          <w:ilvl w:val="0"/>
          <w:numId w:val="25"/>
        </w:numPr>
        <w:spacing w:after="0" w:line="300" w:lineRule="auto"/>
        <w:ind w:left="720" w:hanging="540"/>
        <w:rPr>
          <w:szCs w:val="24"/>
        </w:rPr>
      </w:pPr>
      <w:r w:rsidRPr="00D1363C">
        <w:rPr>
          <w:szCs w:val="24"/>
        </w:rPr>
        <w:t>Demand Bids may be submitted only at Load Settlement Locations, Export Interchange Transaction Bids may be submitted only at External Interface Settlement Locations; Virtual Energy Bids may be submitted at any Settlement Location</w:t>
      </w:r>
      <w:r w:rsidR="00C05562">
        <w:rPr>
          <w:szCs w:val="24"/>
        </w:rPr>
        <w:t xml:space="preserve"> except for External Interface Settlement Locations</w:t>
      </w:r>
      <w:r w:rsidRPr="00D1363C">
        <w:rPr>
          <w:szCs w:val="24"/>
        </w:rPr>
        <w:t xml:space="preserve">;  </w:t>
      </w:r>
    </w:p>
    <w:p w14:paraId="705E6C71" w14:textId="77777777" w:rsidR="00C70F99" w:rsidRPr="00D1363C" w:rsidRDefault="00C70F99" w:rsidP="00C35DA0">
      <w:pPr>
        <w:numPr>
          <w:ilvl w:val="0"/>
          <w:numId w:val="25"/>
        </w:numPr>
        <w:spacing w:after="0" w:line="300" w:lineRule="auto"/>
        <w:ind w:left="720" w:hanging="540"/>
        <w:rPr>
          <w:szCs w:val="24"/>
        </w:rPr>
      </w:pPr>
      <w:r w:rsidRPr="00D1363C">
        <w:rPr>
          <w:szCs w:val="24"/>
        </w:rPr>
        <w:t>Bid submittal for use in the Day-Ahead Market is voluntary; and</w:t>
      </w:r>
    </w:p>
    <w:p w14:paraId="71731213" w14:textId="77777777" w:rsidR="00C70F99" w:rsidRPr="00D1363C" w:rsidRDefault="00C70F99" w:rsidP="00C35DA0">
      <w:pPr>
        <w:numPr>
          <w:ilvl w:val="0"/>
          <w:numId w:val="25"/>
        </w:numPr>
        <w:spacing w:after="0" w:line="300" w:lineRule="auto"/>
        <w:ind w:left="720" w:hanging="540"/>
        <w:rPr>
          <w:szCs w:val="24"/>
        </w:rPr>
      </w:pPr>
      <w:r w:rsidRPr="00D1363C">
        <w:rPr>
          <w:szCs w:val="24"/>
        </w:rPr>
        <w:t>Bid submittal associated with a load pseudo-tied out of the Markets+ Footprint is not permitted.</w:t>
      </w:r>
    </w:p>
    <w:p w14:paraId="668959D0" w14:textId="77777777" w:rsidR="00C70F99" w:rsidRPr="00D1363C" w:rsidRDefault="00C70F99" w:rsidP="00574EDE">
      <w:pPr>
        <w:pStyle w:val="Heading4"/>
      </w:pPr>
      <w:bookmarkStart w:id="2921" w:name="_Toc245633959"/>
      <w:bookmarkStart w:id="2922" w:name="_Toc245634111"/>
      <w:bookmarkStart w:id="2923" w:name="_Toc245728001"/>
      <w:bookmarkStart w:id="2924" w:name="_Toc248644125"/>
      <w:bookmarkStart w:id="2925" w:name="_Toc258924852"/>
      <w:bookmarkStart w:id="2926" w:name="_Toc263173294"/>
      <w:bookmarkStart w:id="2927" w:name="_Toc263429406"/>
      <w:bookmarkStart w:id="2928" w:name="_Toc263795444"/>
      <w:bookmarkStart w:id="2929" w:name="_Toc266869620"/>
      <w:bookmarkStart w:id="2930" w:name="_Toc163740180"/>
      <w:bookmarkStart w:id="2931" w:name="_Toc213771834"/>
      <w:r w:rsidRPr="00D1363C">
        <w:t>Demand Bids</w:t>
      </w:r>
      <w:bookmarkEnd w:id="2921"/>
      <w:bookmarkEnd w:id="2922"/>
      <w:bookmarkEnd w:id="2923"/>
      <w:bookmarkEnd w:id="2924"/>
      <w:bookmarkEnd w:id="2925"/>
      <w:bookmarkEnd w:id="2926"/>
      <w:bookmarkEnd w:id="2927"/>
      <w:bookmarkEnd w:id="2928"/>
      <w:bookmarkEnd w:id="2929"/>
      <w:bookmarkEnd w:id="2930"/>
      <w:bookmarkEnd w:id="2931"/>
    </w:p>
    <w:p w14:paraId="3E476498" w14:textId="77777777" w:rsidR="00C70F99" w:rsidRPr="00D1363C" w:rsidRDefault="00C70F99" w:rsidP="00C70F99">
      <w:pPr>
        <w:spacing w:line="300" w:lineRule="auto"/>
        <w:rPr>
          <w:szCs w:val="24"/>
        </w:rPr>
      </w:pPr>
      <w:r w:rsidRPr="00D1363C">
        <w:rPr>
          <w:szCs w:val="24"/>
        </w:rPr>
        <w:t>Only Market Participants with registered load assets may submit Demand Bids for use in the Day-Ahead Market.  Demand Bids are associated with physical load assets.  The following rules apply to Demand Bid submittal:</w:t>
      </w:r>
    </w:p>
    <w:p w14:paraId="53EAE180" w14:textId="77777777" w:rsidR="00C70F99" w:rsidRPr="00D1363C" w:rsidRDefault="00C70F99" w:rsidP="00C35DA0">
      <w:pPr>
        <w:numPr>
          <w:ilvl w:val="0"/>
          <w:numId w:val="44"/>
        </w:numPr>
        <w:spacing w:before="120" w:line="300" w:lineRule="auto"/>
        <w:rPr>
          <w:szCs w:val="24"/>
        </w:rPr>
      </w:pPr>
      <w:r w:rsidRPr="00D1363C">
        <w:rPr>
          <w:szCs w:val="24"/>
        </w:rPr>
        <w:t>A Market Participant can only submit Demand Bids for the registered load Settlement Locations of the Asset Owner(s);</w:t>
      </w:r>
    </w:p>
    <w:p w14:paraId="74D9D3DF" w14:textId="77777777" w:rsidR="00C70F99" w:rsidRPr="00D1363C" w:rsidRDefault="00C70F99" w:rsidP="00C35DA0">
      <w:pPr>
        <w:numPr>
          <w:ilvl w:val="0"/>
          <w:numId w:val="44"/>
        </w:numPr>
        <w:spacing w:before="120" w:line="300" w:lineRule="auto"/>
        <w:rPr>
          <w:szCs w:val="24"/>
        </w:rPr>
      </w:pPr>
      <w:r w:rsidRPr="00D1363C">
        <w:rPr>
          <w:szCs w:val="24"/>
        </w:rPr>
        <w:t>A Market Participant is not permitted to submit a Demand Bid for a load asset pseudo-tied out of the Markets+ Footprint;</w:t>
      </w:r>
    </w:p>
    <w:p w14:paraId="63A21330" w14:textId="77777777" w:rsidR="00C70F99" w:rsidRPr="00D1363C" w:rsidRDefault="00C70F99" w:rsidP="00C35DA0">
      <w:pPr>
        <w:numPr>
          <w:ilvl w:val="0"/>
          <w:numId w:val="44"/>
        </w:numPr>
        <w:spacing w:before="120" w:line="300" w:lineRule="auto"/>
        <w:rPr>
          <w:szCs w:val="24"/>
        </w:rPr>
      </w:pPr>
      <w:r w:rsidRPr="00D1363C">
        <w:rPr>
          <w:szCs w:val="24"/>
        </w:rPr>
        <w:t xml:space="preserve">Two types of Demand Bids will be supported:  </w:t>
      </w:r>
    </w:p>
    <w:p w14:paraId="5BC6F7F8" w14:textId="77777777" w:rsidR="00C70F99" w:rsidRPr="00D1363C" w:rsidRDefault="00C70F99" w:rsidP="00AE125B">
      <w:pPr>
        <w:numPr>
          <w:ilvl w:val="1"/>
          <w:numId w:val="44"/>
        </w:numPr>
        <w:spacing w:before="120" w:line="300" w:lineRule="auto"/>
        <w:rPr>
          <w:szCs w:val="24"/>
        </w:rPr>
      </w:pPr>
      <w:r w:rsidRPr="00D1363C">
        <w:rPr>
          <w:b/>
          <w:bCs/>
          <w:szCs w:val="24"/>
        </w:rPr>
        <w:t>Self-Schedule</w:t>
      </w:r>
      <w:r w:rsidRPr="00D1363C">
        <w:rPr>
          <w:szCs w:val="24"/>
        </w:rPr>
        <w:t>: A Self-Schedule Demand Bid is a specified MW that will be cleared in the Day-Ahead Market regardless of the price at the Load Settlement Location based on the start and stop time submitted for the applicable Operating Day.</w:t>
      </w:r>
    </w:p>
    <w:p w14:paraId="7B23D5A2" w14:textId="7EA25FE9" w:rsidR="00C70F99" w:rsidRPr="00D1363C" w:rsidRDefault="00C70F99" w:rsidP="00AE125B">
      <w:pPr>
        <w:numPr>
          <w:ilvl w:val="1"/>
          <w:numId w:val="44"/>
        </w:numPr>
        <w:spacing w:before="120" w:line="300" w:lineRule="auto"/>
        <w:rPr>
          <w:szCs w:val="24"/>
        </w:rPr>
      </w:pPr>
      <w:r w:rsidRPr="00D1363C">
        <w:rPr>
          <w:b/>
          <w:bCs/>
          <w:szCs w:val="24"/>
        </w:rPr>
        <w:t>Economic:</w:t>
      </w:r>
      <w:r w:rsidRPr="00D1363C">
        <w:rPr>
          <w:szCs w:val="24"/>
        </w:rPr>
        <w:t xml:space="preserve"> An Economic Demand Bid is specified as a Demand Bid Curve (MW, $/MWh, up to </w:t>
      </w:r>
      <w:r w:rsidR="002705D5">
        <w:rPr>
          <w:szCs w:val="24"/>
        </w:rPr>
        <w:t>ten</w:t>
      </w:r>
      <w:r w:rsidRPr="00D1363C">
        <w:rPr>
          <w:szCs w:val="24"/>
        </w:rPr>
        <w:t xml:space="preserve"> </w:t>
      </w:r>
      <w:r w:rsidR="002705D5">
        <w:rPr>
          <w:szCs w:val="24"/>
        </w:rPr>
        <w:t>(</w:t>
      </w:r>
      <w:r w:rsidRPr="00D1363C">
        <w:rPr>
          <w:szCs w:val="24"/>
        </w:rPr>
        <w:t>10</w:t>
      </w:r>
      <w:r w:rsidR="002705D5">
        <w:rPr>
          <w:szCs w:val="24"/>
        </w:rPr>
        <w:t>)</w:t>
      </w:r>
      <w:r w:rsidRPr="00D1363C">
        <w:rPr>
          <w:szCs w:val="24"/>
        </w:rPr>
        <w:t xml:space="preserve"> price/quantity pairs</w:t>
      </w:r>
      <w:r w:rsidR="00B00F8D">
        <w:rPr>
          <w:szCs w:val="24"/>
        </w:rPr>
        <w:t>,</w:t>
      </w:r>
      <w:r w:rsidRPr="00D1363C">
        <w:rPr>
          <w:szCs w:val="24"/>
        </w:rPr>
        <w:t xml:space="preserve"> and slope or block option).  </w:t>
      </w:r>
      <w:r w:rsidRPr="00D1363C">
        <w:t xml:space="preserve"> The submitted MW values must be increasing and the submitted $/MWh values must be monotonically non-increasing.  An Economic Demand Bid</w:t>
      </w:r>
      <w:r w:rsidRPr="00D1363C">
        <w:rPr>
          <w:szCs w:val="24"/>
        </w:rPr>
        <w:t xml:space="preserve"> will clear when the price at the applicable Load Settlement Location is less than or equal to the specified curve price for that Operating Hour.  The maximum MW amount that can be cleared is equal to </w:t>
      </w:r>
      <w:r w:rsidRPr="00D1363C">
        <w:t>the highest MW quantity submitted in the Demand Bid Curve.  The minimum MW amount that can be cleared is equal to zero (0)</w:t>
      </w:r>
      <w:r w:rsidRPr="00D1363C">
        <w:rPr>
          <w:szCs w:val="24"/>
        </w:rPr>
        <w:t>.  The price of all MWhs below the lowest MW amount submitted is equal to the first pricing point price.</w:t>
      </w:r>
    </w:p>
    <w:p w14:paraId="28C7A150" w14:textId="77777777" w:rsidR="00C70F99" w:rsidRPr="00D1363C" w:rsidRDefault="00C70F99" w:rsidP="00C35DA0">
      <w:pPr>
        <w:numPr>
          <w:ilvl w:val="2"/>
          <w:numId w:val="44"/>
        </w:numPr>
        <w:tabs>
          <w:tab w:val="left" w:pos="2160"/>
        </w:tabs>
        <w:spacing w:before="120" w:line="300" w:lineRule="auto"/>
        <w:rPr>
          <w:szCs w:val="24"/>
        </w:rPr>
      </w:pPr>
      <w:r w:rsidRPr="00D1363C">
        <w:rPr>
          <w:szCs w:val="24"/>
        </w:rPr>
        <w:t>Block and slope pairs may not coexist.  The price sensitive Demand Bid in effect for any given period of time must be comprised of all block or all slope price/quantity pairs.</w:t>
      </w:r>
    </w:p>
    <w:p w14:paraId="0D843E7A" w14:textId="77777777" w:rsidR="00C70F99" w:rsidRPr="00D1363C" w:rsidRDefault="00C70F99" w:rsidP="00C35DA0">
      <w:pPr>
        <w:numPr>
          <w:ilvl w:val="2"/>
          <w:numId w:val="44"/>
        </w:numPr>
        <w:tabs>
          <w:tab w:val="left" w:pos="2160"/>
        </w:tabs>
        <w:spacing w:before="120" w:line="300" w:lineRule="auto"/>
        <w:rPr>
          <w:szCs w:val="24"/>
        </w:rPr>
      </w:pPr>
      <w:r w:rsidRPr="00D1363C">
        <w:t>If the DLMP is greater than the highest $/MWh submitted in the curve, then the cleared MWs will be zero (0).</w:t>
      </w:r>
    </w:p>
    <w:p w14:paraId="255D7B94" w14:textId="3CDA179A" w:rsidR="00C70F99" w:rsidRPr="00D1363C" w:rsidRDefault="00C70F99" w:rsidP="00C35DA0">
      <w:pPr>
        <w:numPr>
          <w:ilvl w:val="2"/>
          <w:numId w:val="44"/>
        </w:numPr>
        <w:tabs>
          <w:tab w:val="left" w:pos="2160"/>
        </w:tabs>
        <w:spacing w:before="120" w:line="300" w:lineRule="auto"/>
        <w:rPr>
          <w:szCs w:val="24"/>
        </w:rPr>
      </w:pPr>
      <w:r w:rsidRPr="00D1363C">
        <w:t>Under the slope option, the set of price points that are submitted are used as the beginning and ending values for calculating a linear slope for each set of beginning and ending values.  Therefore, each MW between the two price points has a different price due to the interpolation of the submitted price points.  Under the block option, each MW between the two</w:t>
      </w:r>
      <w:r w:rsidR="0091536C">
        <w:t xml:space="preserve"> (2)</w:t>
      </w:r>
      <w:r w:rsidRPr="00D1363C">
        <w:t xml:space="preserve"> MW points is offered at the price of the larger MW point.  Exhibit 4-</w:t>
      </w:r>
      <w:r w:rsidR="00A013FA">
        <w:t>10</w:t>
      </w:r>
      <w:r w:rsidRPr="00D1363C">
        <w:t xml:space="preserve"> illustrates Demand Bid Curves developed from submitted price/MWh pairs for both the slope and block options.</w:t>
      </w:r>
    </w:p>
    <w:p w14:paraId="0E5AAB85" w14:textId="77777777" w:rsidR="00C70F99" w:rsidRPr="00D1363C" w:rsidRDefault="00C70F99" w:rsidP="00C70F99">
      <w:pPr>
        <w:keepNext/>
        <w:spacing w:after="0" w:line="300" w:lineRule="auto"/>
        <w:jc w:val="center"/>
        <w:rPr>
          <w:b/>
          <w:szCs w:val="24"/>
        </w:rPr>
      </w:pPr>
    </w:p>
    <w:p w14:paraId="4772BD1F" w14:textId="15C8541A" w:rsidR="00C70F99" w:rsidRPr="00D1363C" w:rsidRDefault="00C70F99" w:rsidP="00C70F99">
      <w:pPr>
        <w:keepNext/>
        <w:spacing w:after="0" w:line="300" w:lineRule="auto"/>
        <w:jc w:val="center"/>
        <w:rPr>
          <w:b/>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10</w:t>
      </w:r>
      <w:r w:rsidRPr="00D1363C">
        <w:rPr>
          <w:b/>
          <w:szCs w:val="24"/>
        </w:rPr>
        <w:t xml:space="preserve">: </w:t>
      </w:r>
      <w:r w:rsidRPr="00D1363C">
        <w:rPr>
          <w:b/>
        </w:rPr>
        <w:t>Demand Bid Curve Development</w:t>
      </w:r>
    </w:p>
    <w:p w14:paraId="17CE23C2" w14:textId="77777777" w:rsidR="00C70F99" w:rsidRPr="00D1363C" w:rsidRDefault="00C70F99" w:rsidP="00C70F99">
      <w:pPr>
        <w:spacing w:before="120" w:line="300" w:lineRule="auto"/>
      </w:pPr>
    </w:p>
    <w:p w14:paraId="5A3E869E" w14:textId="77777777" w:rsidR="00C70F99" w:rsidRPr="00D1363C" w:rsidRDefault="00C70F99" w:rsidP="00C70F99">
      <w:pPr>
        <w:spacing w:before="120" w:line="300" w:lineRule="auto"/>
        <w:jc w:val="center"/>
        <w:rPr>
          <w:szCs w:val="24"/>
        </w:rPr>
      </w:pPr>
      <w:r w:rsidRPr="00D1363C">
        <w:rPr>
          <w:noProof/>
        </w:rPr>
        <w:drawing>
          <wp:inline distT="0" distB="0" distL="0" distR="0" wp14:anchorId="2C206ACD" wp14:editId="72ADF91D">
            <wp:extent cx="5943600" cy="3017520"/>
            <wp:effectExtent l="0" t="0" r="0" b="0"/>
            <wp:docPr id="10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2BBF3DA2" w14:textId="77777777" w:rsidR="00C70F99" w:rsidRPr="00D72B1A" w:rsidRDefault="00C70F99" w:rsidP="00574EDE">
      <w:pPr>
        <w:pStyle w:val="Heading4"/>
      </w:pPr>
      <w:bookmarkStart w:id="2932" w:name="_Toc245633960"/>
      <w:bookmarkStart w:id="2933" w:name="_Toc245634112"/>
      <w:bookmarkStart w:id="2934" w:name="_Toc245728002"/>
      <w:bookmarkStart w:id="2935" w:name="_Toc248644126"/>
      <w:bookmarkStart w:id="2936" w:name="_Toc258924853"/>
      <w:bookmarkStart w:id="2937" w:name="_Toc263173295"/>
      <w:bookmarkStart w:id="2938" w:name="_Toc263429407"/>
      <w:bookmarkStart w:id="2939" w:name="_Toc263795445"/>
      <w:bookmarkStart w:id="2940" w:name="_Toc266869621"/>
      <w:bookmarkStart w:id="2941" w:name="_Toc163740181"/>
      <w:bookmarkStart w:id="2942" w:name="_Toc213771835"/>
      <w:r w:rsidRPr="00D72B1A">
        <w:t>Virtual Energy Bids</w:t>
      </w:r>
      <w:bookmarkEnd w:id="2932"/>
      <w:bookmarkEnd w:id="2933"/>
      <w:bookmarkEnd w:id="2934"/>
      <w:bookmarkEnd w:id="2935"/>
      <w:bookmarkEnd w:id="2936"/>
      <w:bookmarkEnd w:id="2937"/>
      <w:bookmarkEnd w:id="2938"/>
      <w:bookmarkEnd w:id="2939"/>
      <w:bookmarkEnd w:id="2940"/>
      <w:bookmarkEnd w:id="2941"/>
      <w:bookmarkEnd w:id="2942"/>
    </w:p>
    <w:p w14:paraId="3E79371C" w14:textId="414F252A" w:rsidR="0066173B" w:rsidRPr="00D1363C" w:rsidRDefault="00C70F99" w:rsidP="0066173B">
      <w:pPr>
        <w:spacing w:line="300" w:lineRule="auto"/>
        <w:rPr>
          <w:szCs w:val="24"/>
        </w:rPr>
      </w:pPr>
      <w:r w:rsidRPr="00D1363C">
        <w:t>Virtual Transactions (both Demand Bid and Resource Offer) and the settlement thereof will not be implemented earlier than six (6) months after implementation of Markets+ and will not be implemented during the summer season.</w:t>
      </w:r>
      <w:r w:rsidR="0066173B" w:rsidRPr="0066173B">
        <w:t xml:space="preserve"> </w:t>
      </w:r>
      <w:r w:rsidR="0066173B">
        <w:t>Once implemented, the Market Operator may suspend use of Virtual Transaction Bids according to the criteria set forth in the Markets+ Tariff.</w:t>
      </w:r>
    </w:p>
    <w:p w14:paraId="0194B687" w14:textId="3C9FA284" w:rsidR="00C70F99" w:rsidRPr="00D1363C" w:rsidRDefault="00C70F99" w:rsidP="00C70F99">
      <w:pPr>
        <w:spacing w:line="300" w:lineRule="auto"/>
        <w:rPr>
          <w:szCs w:val="24"/>
        </w:rPr>
      </w:pPr>
      <w:r w:rsidRPr="00D1363C">
        <w:rPr>
          <w:szCs w:val="24"/>
        </w:rPr>
        <w:t>Virtual Energy Bids are supported in the Day-Ahead Market.  Virtual Energy Bids are purely financial in nature, only apply to Energy</w:t>
      </w:r>
      <w:r>
        <w:rPr>
          <w:szCs w:val="24"/>
        </w:rPr>
        <w:t>,</w:t>
      </w:r>
      <w:r w:rsidRPr="00D1363C">
        <w:rPr>
          <w:szCs w:val="24"/>
        </w:rPr>
        <w:t xml:space="preserve"> and are not associated with a physical </w:t>
      </w:r>
      <w:r w:rsidR="00234F79">
        <w:rPr>
          <w:szCs w:val="24"/>
        </w:rPr>
        <w:t>l</w:t>
      </w:r>
      <w:r w:rsidRPr="00D1363C">
        <w:rPr>
          <w:szCs w:val="24"/>
        </w:rPr>
        <w:t xml:space="preserve">oad asset.  The </w:t>
      </w:r>
      <w:r>
        <w:rPr>
          <w:szCs w:val="24"/>
        </w:rPr>
        <w:t>following</w:t>
      </w:r>
      <w:r w:rsidRPr="00D1363C">
        <w:rPr>
          <w:szCs w:val="24"/>
        </w:rPr>
        <w:t xml:space="preserve"> rules apply to Virtual Energy Bid submittal.</w:t>
      </w:r>
    </w:p>
    <w:p w14:paraId="412B0480" w14:textId="77777777" w:rsidR="00C70F99" w:rsidRPr="00D1363C" w:rsidRDefault="00C70F99" w:rsidP="00C35DA0">
      <w:pPr>
        <w:numPr>
          <w:ilvl w:val="0"/>
          <w:numId w:val="45"/>
        </w:numPr>
        <w:spacing w:before="120" w:line="300" w:lineRule="auto"/>
        <w:rPr>
          <w:szCs w:val="24"/>
        </w:rPr>
      </w:pPr>
      <w:r w:rsidRPr="00D1363C">
        <w:rPr>
          <w:szCs w:val="24"/>
        </w:rPr>
        <w:t>A Virtual Energy Bid can be submitted at any Settlement Location except for External Interface Settlement Locations;</w:t>
      </w:r>
    </w:p>
    <w:p w14:paraId="2A5889D4" w14:textId="1617021B" w:rsidR="00C70F99" w:rsidRPr="00D1363C" w:rsidRDefault="00C70F99" w:rsidP="00C35DA0">
      <w:pPr>
        <w:numPr>
          <w:ilvl w:val="0"/>
          <w:numId w:val="45"/>
        </w:numPr>
        <w:spacing w:after="0" w:line="300" w:lineRule="auto"/>
        <w:rPr>
          <w:szCs w:val="24"/>
        </w:rPr>
      </w:pPr>
      <w:r w:rsidRPr="00D1363C">
        <w:rPr>
          <w:szCs w:val="24"/>
        </w:rPr>
        <w:t xml:space="preserve">A Market Participant may submit a single Virtual Energy Bid for each Asset Owner at any Settlement Location for a particular </w:t>
      </w:r>
      <w:r w:rsidR="005C4BC0">
        <w:rPr>
          <w:szCs w:val="24"/>
        </w:rPr>
        <w:t xml:space="preserve">Operating </w:t>
      </w:r>
      <w:r w:rsidRPr="00D1363C">
        <w:rPr>
          <w:szCs w:val="24"/>
        </w:rPr>
        <w:t xml:space="preserve">Hour in the form of a Virtual Energy Bid Curve (MW, $/MWh, up to </w:t>
      </w:r>
      <w:r w:rsidR="00430B38">
        <w:rPr>
          <w:szCs w:val="24"/>
        </w:rPr>
        <w:t>ten (</w:t>
      </w:r>
      <w:r w:rsidRPr="00D1363C">
        <w:rPr>
          <w:szCs w:val="24"/>
        </w:rPr>
        <w:t>10</w:t>
      </w:r>
      <w:r w:rsidR="00430B38">
        <w:rPr>
          <w:szCs w:val="24"/>
        </w:rPr>
        <w:t>)</w:t>
      </w:r>
      <w:r w:rsidRPr="00D1363C">
        <w:rPr>
          <w:szCs w:val="24"/>
        </w:rPr>
        <w:t xml:space="preserve"> price/quantity pairs</w:t>
      </w:r>
      <w:r w:rsidR="006B3D4A">
        <w:rPr>
          <w:szCs w:val="24"/>
        </w:rPr>
        <w:t>,</w:t>
      </w:r>
      <w:r w:rsidRPr="00D1363C">
        <w:rPr>
          <w:szCs w:val="24"/>
        </w:rPr>
        <w:t xml:space="preserve"> and slope or block option)</w:t>
      </w:r>
      <w:r w:rsidRPr="00D1363C">
        <w:t>.  The submitted MW values must be increasing and the submitted $/MWh values must be monotonically non-increasing.  A Virtual Energy Bid will clear when the price at the applicable Settlement Location is less than or equal to the specified curve price for that Operating Hour.  The maximum MW amount that can be cleared is equal to the highest MW quantity submitted in the Virtual Energy Bid Curve.  The minimum MW amount that can be cleared is equal to zero (0).  The price of all MWhs below the lowest MW amount submitted is equal to the first pricing point price</w:t>
      </w:r>
      <w:r w:rsidRPr="00D1363C">
        <w:rPr>
          <w:szCs w:val="24"/>
        </w:rPr>
        <w:t>;</w:t>
      </w:r>
    </w:p>
    <w:p w14:paraId="21AC5B77" w14:textId="77777777" w:rsidR="00C70F99" w:rsidRPr="00D1363C" w:rsidRDefault="00C70F99" w:rsidP="00C35DA0">
      <w:pPr>
        <w:numPr>
          <w:ilvl w:val="1"/>
          <w:numId w:val="45"/>
        </w:numPr>
        <w:spacing w:after="0" w:line="300" w:lineRule="auto"/>
        <w:rPr>
          <w:szCs w:val="24"/>
        </w:rPr>
      </w:pPr>
      <w:r w:rsidRPr="00D1363C">
        <w:t>Block and slope pairs may not coexist.  The Resource Offer in effect for any given period of time must be comprised of all block or all slope price/quantity pairs.</w:t>
      </w:r>
    </w:p>
    <w:p w14:paraId="6C3DA8B6" w14:textId="77777777" w:rsidR="00C70F99" w:rsidRPr="00D1363C" w:rsidRDefault="00C70F99" w:rsidP="00C35DA0">
      <w:pPr>
        <w:numPr>
          <w:ilvl w:val="1"/>
          <w:numId w:val="45"/>
        </w:numPr>
        <w:spacing w:after="0" w:line="300" w:lineRule="auto"/>
        <w:rPr>
          <w:szCs w:val="24"/>
        </w:rPr>
      </w:pPr>
      <w:r w:rsidRPr="00D1363C">
        <w:t>If the LMP is greater than the highest $/MWh submitted in the curve, then the cleared MWs will be zero (0).</w:t>
      </w:r>
    </w:p>
    <w:p w14:paraId="147E4F12" w14:textId="532A69F5" w:rsidR="00C70F99" w:rsidRPr="00D1363C" w:rsidRDefault="00C70F99" w:rsidP="00C35DA0">
      <w:pPr>
        <w:numPr>
          <w:ilvl w:val="1"/>
          <w:numId w:val="45"/>
        </w:numPr>
        <w:spacing w:after="0" w:line="300" w:lineRule="auto"/>
        <w:rPr>
          <w:szCs w:val="24"/>
        </w:rPr>
      </w:pPr>
      <w:r w:rsidRPr="00D1363C">
        <w:t>Under the slope option, the set of price points that are submitted are used as the beginning and ending values for calculating a linear slope for each set of beginning and ending values.  Therefore, each MW between the two</w:t>
      </w:r>
      <w:r w:rsidR="00195F24">
        <w:t xml:space="preserve"> (2)</w:t>
      </w:r>
      <w:r w:rsidRPr="00D1363C">
        <w:t xml:space="preserve"> price points has a different price due to the interpolation of the submitted price points.  Under the block option, each MW between the two </w:t>
      </w:r>
      <w:r w:rsidR="00EE66F6">
        <w:t>(2)</w:t>
      </w:r>
      <w:r w:rsidRPr="00D1363C">
        <w:t xml:space="preserve"> MW points is offered at the price of the larger MW point.  Exhibit 4-1</w:t>
      </w:r>
      <w:r w:rsidR="00A013FA">
        <w:t>1</w:t>
      </w:r>
      <w:r w:rsidRPr="00D1363C">
        <w:t xml:space="preserve"> illustrates Virtual Energy Bid Curves developed from submitted price/MWh pairs for both the slope and block options.</w:t>
      </w:r>
    </w:p>
    <w:p w14:paraId="4CAC303E" w14:textId="77777777" w:rsidR="00C70F99" w:rsidRPr="00D1363C" w:rsidRDefault="00C70F99" w:rsidP="00C70F99">
      <w:pPr>
        <w:spacing w:after="0" w:line="300" w:lineRule="auto"/>
        <w:rPr>
          <w:szCs w:val="24"/>
        </w:rPr>
      </w:pPr>
    </w:p>
    <w:p w14:paraId="04C3980A" w14:textId="1D2FCB33" w:rsidR="00C70F99" w:rsidRPr="00D1363C" w:rsidRDefault="00C70F99" w:rsidP="00C70F99">
      <w:pPr>
        <w:keepNext/>
        <w:spacing w:after="0" w:line="300" w:lineRule="auto"/>
        <w:jc w:val="center"/>
        <w:rPr>
          <w:b/>
        </w:rPr>
      </w:pPr>
      <w:r w:rsidRPr="00D1363C">
        <w:rPr>
          <w:b/>
          <w:szCs w:val="24"/>
        </w:rPr>
        <w:t xml:space="preserve">Exhibit </w:t>
      </w:r>
      <w:r w:rsidRPr="00D1363C">
        <w:rPr>
          <w:b/>
          <w:szCs w:val="24"/>
        </w:rPr>
        <w:fldChar w:fldCharType="begin"/>
      </w:r>
      <w:r w:rsidRPr="00D1363C">
        <w:rPr>
          <w:b/>
          <w:szCs w:val="24"/>
        </w:rPr>
        <w:instrText xml:space="preserve"> STYLEREF 1 \s </w:instrText>
      </w:r>
      <w:r w:rsidRPr="00D1363C">
        <w:rPr>
          <w:b/>
          <w:szCs w:val="24"/>
        </w:rPr>
        <w:fldChar w:fldCharType="separate"/>
      </w:r>
      <w:r w:rsidRPr="00D1363C">
        <w:rPr>
          <w:b/>
          <w:noProof/>
          <w:szCs w:val="24"/>
        </w:rPr>
        <w:t>4</w:t>
      </w:r>
      <w:r w:rsidRPr="00D1363C">
        <w:rPr>
          <w:b/>
          <w:szCs w:val="24"/>
        </w:rPr>
        <w:fldChar w:fldCharType="end"/>
      </w:r>
      <w:r w:rsidRPr="00D1363C">
        <w:rPr>
          <w:b/>
          <w:szCs w:val="24"/>
        </w:rPr>
        <w:noBreakHyphen/>
      </w:r>
      <w:r w:rsidR="00A013FA">
        <w:rPr>
          <w:b/>
          <w:szCs w:val="24"/>
        </w:rPr>
        <w:t>1</w:t>
      </w:r>
      <w:r w:rsidRPr="00D1363C">
        <w:rPr>
          <w:b/>
          <w:szCs w:val="24"/>
        </w:rPr>
        <w:t xml:space="preserve">: </w:t>
      </w:r>
      <w:r w:rsidRPr="00D1363C">
        <w:rPr>
          <w:b/>
        </w:rPr>
        <w:t>Virtual Energy Bid Curve Development</w:t>
      </w:r>
    </w:p>
    <w:p w14:paraId="5EAC5F1E" w14:textId="77777777" w:rsidR="00C70F99" w:rsidRPr="00D1363C" w:rsidRDefault="00C70F99" w:rsidP="00C70F99">
      <w:pPr>
        <w:keepNext/>
        <w:spacing w:after="0" w:line="300" w:lineRule="auto"/>
        <w:jc w:val="center"/>
        <w:rPr>
          <w:b/>
        </w:rPr>
      </w:pPr>
    </w:p>
    <w:p w14:paraId="15C9F78A" w14:textId="77777777" w:rsidR="00C70F99" w:rsidRPr="00D1363C" w:rsidRDefault="00C70F99" w:rsidP="00C70F99">
      <w:pPr>
        <w:keepNext/>
        <w:spacing w:after="0" w:line="300" w:lineRule="auto"/>
        <w:jc w:val="center"/>
        <w:rPr>
          <w:b/>
        </w:rPr>
      </w:pPr>
      <w:r w:rsidRPr="00D1363C">
        <w:rPr>
          <w:noProof/>
        </w:rPr>
        <w:drawing>
          <wp:inline distT="0" distB="0" distL="0" distR="0" wp14:anchorId="173AB8AF" wp14:editId="42CBE1D3">
            <wp:extent cx="5943600" cy="3017520"/>
            <wp:effectExtent l="0" t="0" r="0" b="0"/>
            <wp:docPr id="100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002A235B" w14:textId="77777777" w:rsidR="00C70F99" w:rsidRPr="00D1363C" w:rsidRDefault="00C70F99" w:rsidP="00C70F99">
      <w:pPr>
        <w:keepNext/>
        <w:spacing w:after="0" w:line="300" w:lineRule="auto"/>
        <w:jc w:val="center"/>
        <w:rPr>
          <w:szCs w:val="24"/>
        </w:rPr>
      </w:pPr>
    </w:p>
    <w:p w14:paraId="6B9B12B4" w14:textId="4D932C48" w:rsidR="00C70F99" w:rsidRPr="00D1363C" w:rsidRDefault="00C70F99" w:rsidP="00C35DA0">
      <w:pPr>
        <w:numPr>
          <w:ilvl w:val="0"/>
          <w:numId w:val="45"/>
        </w:numPr>
        <w:spacing w:before="120" w:line="300" w:lineRule="auto"/>
        <w:rPr>
          <w:szCs w:val="24"/>
        </w:rPr>
      </w:pPr>
      <w:r w:rsidRPr="00D1363C">
        <w:rPr>
          <w:szCs w:val="24"/>
        </w:rPr>
        <w:t xml:space="preserve">Each Virtual Energy Bid must specify a start and stop </w:t>
      </w:r>
      <w:r w:rsidR="00263D8C">
        <w:rPr>
          <w:szCs w:val="24"/>
        </w:rPr>
        <w:t>h</w:t>
      </w:r>
      <w:r w:rsidRPr="00D1363C">
        <w:rPr>
          <w:szCs w:val="24"/>
        </w:rPr>
        <w:t>our within the applicable Operating Day;</w:t>
      </w:r>
    </w:p>
    <w:p w14:paraId="37296985" w14:textId="77777777" w:rsidR="00C70F99" w:rsidRPr="00D1363C" w:rsidRDefault="00C70F99" w:rsidP="00C35DA0">
      <w:pPr>
        <w:numPr>
          <w:ilvl w:val="0"/>
          <w:numId w:val="45"/>
        </w:numPr>
        <w:spacing w:before="120" w:line="300" w:lineRule="auto"/>
        <w:rPr>
          <w:szCs w:val="24"/>
        </w:rPr>
      </w:pPr>
      <w:r w:rsidRPr="00D1363C">
        <w:rPr>
          <w:szCs w:val="24"/>
        </w:rPr>
        <w:t>Virtual Energy Bids may be submitted up to $2,000/MWh and are not subject to cost verification.</w:t>
      </w:r>
    </w:p>
    <w:p w14:paraId="4AC1EB5B" w14:textId="77777777" w:rsidR="00C70F99" w:rsidRPr="0014724C" w:rsidRDefault="00C70F99" w:rsidP="00574EDE">
      <w:pPr>
        <w:pStyle w:val="Heading4"/>
      </w:pPr>
      <w:bookmarkStart w:id="2943" w:name="_Toc245633961"/>
      <w:bookmarkStart w:id="2944" w:name="_Toc245634113"/>
      <w:bookmarkStart w:id="2945" w:name="_Toc245728003"/>
      <w:bookmarkStart w:id="2946" w:name="_Toc248644127"/>
      <w:bookmarkStart w:id="2947" w:name="_Toc258924855"/>
      <w:bookmarkStart w:id="2948" w:name="_Ref260171559"/>
      <w:bookmarkStart w:id="2949" w:name="_Toc263173296"/>
      <w:bookmarkStart w:id="2950" w:name="_Toc263429408"/>
      <w:bookmarkStart w:id="2951" w:name="_Toc263795446"/>
      <w:bookmarkStart w:id="2952" w:name="_Ref265495308"/>
      <w:bookmarkStart w:id="2953" w:name="_Toc266869622"/>
      <w:bookmarkStart w:id="2954" w:name="_Toc163740182"/>
      <w:bookmarkStart w:id="2955" w:name="_Ref193980813"/>
      <w:bookmarkStart w:id="2956" w:name="_Ref194666074"/>
      <w:bookmarkStart w:id="2957" w:name="_Ref194666139"/>
      <w:bookmarkStart w:id="2958" w:name="_Ref194666851"/>
      <w:bookmarkStart w:id="2959" w:name="_Ref212541621"/>
      <w:bookmarkStart w:id="2960" w:name="_Ref212622438"/>
      <w:bookmarkStart w:id="2961" w:name="_Toc213771836"/>
      <w:bookmarkStart w:id="2962" w:name="_Ref214884011"/>
      <w:bookmarkStart w:id="2963" w:name="OLE_LINK121"/>
      <w:bookmarkStart w:id="2964" w:name="OLE_LINK122"/>
      <w:r w:rsidRPr="0014724C">
        <w:t>Export Interchange Transaction Bids</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2CF28F97" w14:textId="0DB391FE" w:rsidR="00C70F99" w:rsidRPr="00AD5C65" w:rsidRDefault="00C70F99" w:rsidP="00C70F99">
      <w:pPr>
        <w:spacing w:line="300" w:lineRule="auto"/>
        <w:rPr>
          <w:szCs w:val="24"/>
        </w:rPr>
      </w:pPr>
      <w:r w:rsidRPr="00AD5C65">
        <w:rPr>
          <w:szCs w:val="24"/>
        </w:rPr>
        <w:t>Market Participants may submit bids to purchase Energy from the Day-Ahead Market for sale outside of the Markets+ Footprint. A Market Participant must reserve transmission service prior to submittal of the Bid in accordance with the procedures specified in the applicable Markets+ Transmission Service Providers’ OATT</w:t>
      </w:r>
      <w:r w:rsidR="00C161B7">
        <w:rPr>
          <w:szCs w:val="24"/>
        </w:rPr>
        <w:t>, or other governing documents</w:t>
      </w:r>
      <w:r w:rsidRPr="00AD5C65">
        <w:rPr>
          <w:szCs w:val="24"/>
        </w:rPr>
        <w:t>.  The following rules apply to Export Interchange Transaction Bid submittal.</w:t>
      </w:r>
    </w:p>
    <w:p w14:paraId="707B64C7" w14:textId="77777777" w:rsidR="00C70F99" w:rsidRPr="00AD5C65" w:rsidRDefault="00C70F99" w:rsidP="00C70F99">
      <w:pPr>
        <w:numPr>
          <w:ilvl w:val="0"/>
          <w:numId w:val="4"/>
        </w:numPr>
        <w:spacing w:before="120" w:line="300" w:lineRule="auto"/>
        <w:ind w:hanging="540"/>
        <w:rPr>
          <w:szCs w:val="24"/>
        </w:rPr>
      </w:pPr>
      <w:r w:rsidRPr="00CA37EA">
        <w:rPr>
          <w:szCs w:val="24"/>
        </w:rPr>
        <w:t>The MW amount of Export Interchange Transactions may be limited on a Dispatch Interval basis by the amount of ramping capability available on the applicable Participating Balancing Authority Area’s system;</w:t>
      </w:r>
    </w:p>
    <w:p w14:paraId="48D606BA" w14:textId="5B29D29B" w:rsidR="00C70F99" w:rsidRPr="00AD5C65" w:rsidRDefault="00C70F99" w:rsidP="00C70F99">
      <w:pPr>
        <w:numPr>
          <w:ilvl w:val="0"/>
          <w:numId w:val="4"/>
        </w:numPr>
        <w:spacing w:before="120" w:line="300" w:lineRule="auto"/>
        <w:ind w:hanging="540"/>
        <w:rPr>
          <w:szCs w:val="24"/>
        </w:rPr>
      </w:pPr>
      <w:r w:rsidRPr="77AFF695">
        <w:rPr>
          <w:szCs w:val="24"/>
        </w:rPr>
        <w:t>Export Interchange Transaction Bids will be submitted via</w:t>
      </w:r>
      <w:r>
        <w:rPr>
          <w:szCs w:val="24"/>
        </w:rPr>
        <w:t xml:space="preserve"> valid </w:t>
      </w:r>
      <w:r w:rsidR="00CA24BE">
        <w:rPr>
          <w:szCs w:val="24"/>
        </w:rPr>
        <w:t>e</w:t>
      </w:r>
      <w:r w:rsidR="00281D5A" w:rsidRPr="77AFF695">
        <w:rPr>
          <w:szCs w:val="24"/>
        </w:rPr>
        <w:t>-</w:t>
      </w:r>
      <w:r w:rsidR="00EA76D7">
        <w:rPr>
          <w:szCs w:val="24"/>
        </w:rPr>
        <w:t>T</w:t>
      </w:r>
      <w:r w:rsidR="00746537">
        <w:rPr>
          <w:szCs w:val="24"/>
        </w:rPr>
        <w:t>ag</w:t>
      </w:r>
      <w:r w:rsidR="00281D5A" w:rsidRPr="77AFF695">
        <w:rPr>
          <w:szCs w:val="24"/>
        </w:rPr>
        <w:t>;</w:t>
      </w:r>
    </w:p>
    <w:p w14:paraId="55CCDEB7" w14:textId="77777777" w:rsidR="00C70F99" w:rsidRPr="00AD5C65" w:rsidRDefault="00C70F99" w:rsidP="00C70F99">
      <w:pPr>
        <w:numPr>
          <w:ilvl w:val="0"/>
          <w:numId w:val="4"/>
        </w:numPr>
        <w:spacing w:before="120" w:line="300" w:lineRule="auto"/>
        <w:ind w:hanging="540"/>
        <w:rPr>
          <w:szCs w:val="24"/>
        </w:rPr>
      </w:pPr>
      <w:r w:rsidRPr="00AD5C65">
        <w:rPr>
          <w:szCs w:val="24"/>
        </w:rPr>
        <w:t>Two types of Export Interchange Transaction Bids will be supported:  Self-Schedule and Economic;</w:t>
      </w:r>
    </w:p>
    <w:p w14:paraId="2F8907D2" w14:textId="78666522" w:rsidR="00C70F99" w:rsidRPr="00AD5C65" w:rsidRDefault="00C70F99" w:rsidP="00AE125B">
      <w:pPr>
        <w:numPr>
          <w:ilvl w:val="0"/>
          <w:numId w:val="26"/>
        </w:numPr>
        <w:tabs>
          <w:tab w:val="num" w:pos="1440"/>
        </w:tabs>
        <w:spacing w:before="120" w:line="300" w:lineRule="auto"/>
        <w:ind w:left="1440" w:hanging="540"/>
        <w:rPr>
          <w:szCs w:val="24"/>
        </w:rPr>
      </w:pPr>
      <w:r w:rsidRPr="00AD5C65">
        <w:rPr>
          <w:szCs w:val="24"/>
        </w:rPr>
        <w:t xml:space="preserve">A Self-Schedule Bid is a specified MW that will be cleared regardless of the price </w:t>
      </w:r>
      <w:r>
        <w:rPr>
          <w:szCs w:val="24"/>
        </w:rPr>
        <w:t xml:space="preserve">unless reduced under Sections </w:t>
      </w:r>
      <w:r w:rsidR="00D23F23">
        <w:rPr>
          <w:szCs w:val="24"/>
        </w:rPr>
        <w:fldChar w:fldCharType="begin"/>
      </w:r>
      <w:r w:rsidR="00D23F23">
        <w:rPr>
          <w:szCs w:val="24"/>
        </w:rPr>
        <w:instrText xml:space="preserve"> REF _Ref212549842 \r \h </w:instrText>
      </w:r>
      <w:r w:rsidR="00D23F23">
        <w:rPr>
          <w:szCs w:val="24"/>
        </w:rPr>
      </w:r>
      <w:r w:rsidR="00D23F23">
        <w:rPr>
          <w:szCs w:val="24"/>
        </w:rPr>
        <w:fldChar w:fldCharType="separate"/>
      </w:r>
      <w:r w:rsidR="00D23F23">
        <w:rPr>
          <w:szCs w:val="24"/>
        </w:rPr>
        <w:t>4.3.1.2.1</w:t>
      </w:r>
      <w:r w:rsidR="00D23F23">
        <w:rPr>
          <w:szCs w:val="24"/>
        </w:rPr>
        <w:fldChar w:fldCharType="end"/>
      </w:r>
      <w:r>
        <w:rPr>
          <w:szCs w:val="24"/>
        </w:rPr>
        <w:t>,</w:t>
      </w:r>
      <w:r w:rsidRPr="00853F36">
        <w:rPr>
          <w:szCs w:val="24"/>
        </w:rPr>
        <w:t xml:space="preserve"> </w:t>
      </w:r>
      <w:r w:rsidR="00D23F23">
        <w:rPr>
          <w:szCs w:val="24"/>
        </w:rPr>
        <w:fldChar w:fldCharType="begin"/>
      </w:r>
      <w:r w:rsidR="00D23F23">
        <w:rPr>
          <w:szCs w:val="24"/>
        </w:rPr>
        <w:instrText xml:space="preserve"> REF _Ref212549864 \r \h </w:instrText>
      </w:r>
      <w:r w:rsidR="00D23F23">
        <w:rPr>
          <w:szCs w:val="24"/>
        </w:rPr>
      </w:r>
      <w:r w:rsidR="00D23F23">
        <w:rPr>
          <w:szCs w:val="24"/>
        </w:rPr>
        <w:fldChar w:fldCharType="separate"/>
      </w:r>
      <w:r w:rsidR="00D23F23">
        <w:rPr>
          <w:szCs w:val="24"/>
        </w:rPr>
        <w:t>4.3.2.2</w:t>
      </w:r>
      <w:r w:rsidR="00D23F23">
        <w:rPr>
          <w:szCs w:val="24"/>
        </w:rPr>
        <w:fldChar w:fldCharType="end"/>
      </w:r>
      <w:r>
        <w:rPr>
          <w:szCs w:val="24"/>
        </w:rPr>
        <w:t>(4</w:t>
      </w:r>
      <w:r w:rsidR="00281D5A">
        <w:rPr>
          <w:szCs w:val="24"/>
        </w:rPr>
        <w:t>)</w:t>
      </w:r>
      <w:r w:rsidR="00B13496">
        <w:rPr>
          <w:szCs w:val="24"/>
        </w:rPr>
        <w:t>,</w:t>
      </w:r>
      <w:r>
        <w:rPr>
          <w:szCs w:val="24"/>
        </w:rPr>
        <w:t xml:space="preserve"> </w:t>
      </w:r>
      <w:r w:rsidR="00D23F23">
        <w:rPr>
          <w:szCs w:val="24"/>
        </w:rPr>
        <w:fldChar w:fldCharType="begin"/>
      </w:r>
      <w:r w:rsidR="00D23F23">
        <w:rPr>
          <w:szCs w:val="24"/>
        </w:rPr>
        <w:instrText xml:space="preserve"> REF _Ref212549883 \r \h </w:instrText>
      </w:r>
      <w:r w:rsidR="00D23F23">
        <w:rPr>
          <w:szCs w:val="24"/>
        </w:rPr>
      </w:r>
      <w:r w:rsidR="00D23F23">
        <w:rPr>
          <w:szCs w:val="24"/>
        </w:rPr>
        <w:fldChar w:fldCharType="separate"/>
      </w:r>
      <w:r w:rsidR="00D23F23">
        <w:rPr>
          <w:szCs w:val="24"/>
        </w:rPr>
        <w:t>4.4.1.2</w:t>
      </w:r>
      <w:r w:rsidR="00D23F23">
        <w:rPr>
          <w:szCs w:val="24"/>
        </w:rPr>
        <w:fldChar w:fldCharType="end"/>
      </w:r>
      <w:r>
        <w:rPr>
          <w:szCs w:val="24"/>
        </w:rPr>
        <w:t>(4</w:t>
      </w:r>
      <w:r w:rsidR="00281D5A">
        <w:rPr>
          <w:szCs w:val="24"/>
        </w:rPr>
        <w:t>)</w:t>
      </w:r>
      <w:r w:rsidR="00B13496">
        <w:rPr>
          <w:szCs w:val="24"/>
        </w:rPr>
        <w:t>,</w:t>
      </w:r>
      <w:r w:rsidR="00281D5A" w:rsidRPr="00AA3ABC">
        <w:rPr>
          <w:szCs w:val="24"/>
        </w:rPr>
        <w:t xml:space="preserve"> </w:t>
      </w:r>
      <w:r w:rsidR="00281D5A">
        <w:rPr>
          <w:szCs w:val="24"/>
        </w:rPr>
        <w:t xml:space="preserve">and </w:t>
      </w:r>
      <w:r w:rsidR="00D23F23">
        <w:rPr>
          <w:szCs w:val="24"/>
        </w:rPr>
        <w:fldChar w:fldCharType="begin"/>
      </w:r>
      <w:r w:rsidR="00D23F23">
        <w:rPr>
          <w:szCs w:val="24"/>
        </w:rPr>
        <w:instrText xml:space="preserve"> REF _Ref212549906 \r \h </w:instrText>
      </w:r>
      <w:r w:rsidR="00D23F23">
        <w:rPr>
          <w:szCs w:val="24"/>
        </w:rPr>
      </w:r>
      <w:r w:rsidR="00D23F23">
        <w:rPr>
          <w:szCs w:val="24"/>
        </w:rPr>
        <w:fldChar w:fldCharType="separate"/>
      </w:r>
      <w:r w:rsidR="00D23F23">
        <w:rPr>
          <w:szCs w:val="24"/>
        </w:rPr>
        <w:t>4.4.2.2.1</w:t>
      </w:r>
      <w:r w:rsidR="00D23F23">
        <w:rPr>
          <w:szCs w:val="24"/>
        </w:rPr>
        <w:fldChar w:fldCharType="end"/>
      </w:r>
      <w:r w:rsidR="00281D5A">
        <w:rPr>
          <w:szCs w:val="24"/>
        </w:rPr>
        <w:t xml:space="preserve">, </w:t>
      </w:r>
      <w:r w:rsidR="00281D5A" w:rsidRPr="00AD5C65">
        <w:rPr>
          <w:szCs w:val="24"/>
        </w:rPr>
        <w:t>at the External Interface Settlement Location (Sink L</w:t>
      </w:r>
      <w:r w:rsidR="0089533F">
        <w:rPr>
          <w:szCs w:val="24"/>
        </w:rPr>
        <w:t xml:space="preserve">oad </w:t>
      </w:r>
      <w:r w:rsidR="00281D5A" w:rsidRPr="00AD5C65">
        <w:rPr>
          <w:szCs w:val="24"/>
        </w:rPr>
        <w:t>C</w:t>
      </w:r>
      <w:r w:rsidR="0089533F">
        <w:rPr>
          <w:szCs w:val="24"/>
        </w:rPr>
        <w:t xml:space="preserve">ontrol </w:t>
      </w:r>
      <w:r w:rsidR="00281D5A" w:rsidRPr="00AD5C65">
        <w:rPr>
          <w:szCs w:val="24"/>
        </w:rPr>
        <w:t>A</w:t>
      </w:r>
      <w:r w:rsidR="0089533F">
        <w:rPr>
          <w:szCs w:val="24"/>
        </w:rPr>
        <w:t>rea</w:t>
      </w:r>
      <w:r w:rsidR="006D1DE4">
        <w:rPr>
          <w:szCs w:val="24"/>
        </w:rPr>
        <w:t>,</w:t>
      </w:r>
      <w:r w:rsidR="00DD2F62">
        <w:rPr>
          <w:szCs w:val="24"/>
        </w:rPr>
        <w:t xml:space="preserve"> or DC Tie</w:t>
      </w:r>
      <w:r w:rsidR="006D1DE4">
        <w:rPr>
          <w:szCs w:val="24"/>
        </w:rPr>
        <w:t xml:space="preserve"> if spanning interconnections,</w:t>
      </w:r>
      <w:r w:rsidR="00281D5A" w:rsidRPr="00AD5C65">
        <w:rPr>
          <w:szCs w:val="24"/>
        </w:rPr>
        <w:t xml:space="preserve"> specified on </w:t>
      </w:r>
      <w:r w:rsidR="00CA24BE">
        <w:rPr>
          <w:szCs w:val="24"/>
        </w:rPr>
        <w:t>e</w:t>
      </w:r>
      <w:r w:rsidR="00281D5A" w:rsidRPr="00AD5C65">
        <w:rPr>
          <w:szCs w:val="24"/>
        </w:rPr>
        <w:t>-</w:t>
      </w:r>
      <w:r w:rsidR="00EA76D7">
        <w:rPr>
          <w:szCs w:val="24"/>
        </w:rPr>
        <w:t>T</w:t>
      </w:r>
      <w:r w:rsidR="00746537">
        <w:rPr>
          <w:szCs w:val="24"/>
        </w:rPr>
        <w:t>ag</w:t>
      </w:r>
      <w:r w:rsidR="00281D5A" w:rsidRPr="00AD5C65">
        <w:rPr>
          <w:szCs w:val="24"/>
        </w:rPr>
        <w:t>).</w:t>
      </w:r>
      <w:r>
        <w:rPr>
          <w:szCs w:val="24"/>
        </w:rPr>
        <w:t xml:space="preserve"> </w:t>
      </w:r>
      <w:r w:rsidRPr="00AD5C65">
        <w:rPr>
          <w:szCs w:val="24"/>
        </w:rPr>
        <w:t xml:space="preserve">  If the Self-Schedule Export Interchange Transaction is submitted for use in the Day-Ahead Market, it will be cleared in the Day-Ahead Market and automatically roll forward as a fixed schedule at the Self-Schedule </w:t>
      </w:r>
      <w:r w:rsidR="007E203E">
        <w:rPr>
          <w:szCs w:val="24"/>
        </w:rPr>
        <w:t>Bid</w:t>
      </w:r>
      <w:r w:rsidRPr="00AD5C65">
        <w:rPr>
          <w:szCs w:val="24"/>
        </w:rPr>
        <w:t xml:space="preserve"> MW for use in RUC and the RTBM.  If specified for use in the RTBM only, the Self-Schedule Export Interchange Transaction will be considered a fixed schedule at the Self-Schedule </w:t>
      </w:r>
      <w:r w:rsidR="007E203E">
        <w:rPr>
          <w:szCs w:val="24"/>
        </w:rPr>
        <w:t>Bid</w:t>
      </w:r>
      <w:r w:rsidRPr="00AD5C65">
        <w:rPr>
          <w:szCs w:val="24"/>
        </w:rPr>
        <w:t xml:space="preserve"> MW for the RUC processes and RTBM.</w:t>
      </w:r>
    </w:p>
    <w:p w14:paraId="36FDC800" w14:textId="1CAE192A" w:rsidR="00C70F99" w:rsidRDefault="00C70F99" w:rsidP="00AE125B">
      <w:pPr>
        <w:numPr>
          <w:ilvl w:val="0"/>
          <w:numId w:val="26"/>
        </w:numPr>
        <w:tabs>
          <w:tab w:val="num" w:pos="1440"/>
        </w:tabs>
        <w:spacing w:before="120" w:line="300" w:lineRule="auto"/>
        <w:ind w:left="1440" w:hanging="540"/>
        <w:rPr>
          <w:szCs w:val="24"/>
        </w:rPr>
      </w:pPr>
      <w:r w:rsidRPr="77AFF695">
        <w:rPr>
          <w:szCs w:val="24"/>
        </w:rPr>
        <w:t>An Economic Bid specifies both a MW amount and a maximum $/MWh price that the Market Participant is willing to pay if the transaction clears the Day-Ahead Market.  Economic Bids are only available for use in the Day-Ahead Market.  Export Transactions may be submitted up to $2,000/MWh and are not subject to cost verification.  If the transaction clears the</w:t>
      </w:r>
      <w:r w:rsidR="00966B55">
        <w:rPr>
          <w:szCs w:val="24"/>
        </w:rPr>
        <w:t xml:space="preserve"> Day-Ahead </w:t>
      </w:r>
      <w:r w:rsidRPr="77AFF695">
        <w:rPr>
          <w:szCs w:val="24"/>
        </w:rPr>
        <w:t xml:space="preserve">Market, it automatically rolls forward as a </w:t>
      </w:r>
      <w:r w:rsidR="00BC770C">
        <w:rPr>
          <w:szCs w:val="24"/>
        </w:rPr>
        <w:t>self-</w:t>
      </w:r>
      <w:r w:rsidRPr="77AFF695">
        <w:rPr>
          <w:szCs w:val="24"/>
        </w:rPr>
        <w:t>schedule at the cleared Day-Ahead Market MW for use in RUC and the RTBM.  Any adjustment to the schedule will be settled as a deviation from the Day-Ahead Market.</w:t>
      </w:r>
    </w:p>
    <w:p w14:paraId="40EE7121" w14:textId="5E080EDD" w:rsidR="00C70F99" w:rsidRDefault="00C70F99" w:rsidP="00C70F99">
      <w:pPr>
        <w:spacing w:before="120" w:line="300" w:lineRule="auto"/>
        <w:ind w:left="720" w:hanging="540"/>
        <w:rPr>
          <w:szCs w:val="24"/>
        </w:rPr>
      </w:pPr>
      <w:r>
        <w:rPr>
          <w:szCs w:val="24"/>
        </w:rPr>
        <w:t>(4)</w:t>
      </w:r>
      <w:r>
        <w:rPr>
          <w:szCs w:val="24"/>
        </w:rPr>
        <w:tab/>
        <w:t>Export Interchange Transactions can have one of two</w:t>
      </w:r>
      <w:r w:rsidR="00947AA0">
        <w:rPr>
          <w:szCs w:val="24"/>
        </w:rPr>
        <w:t xml:space="preserve"> (2)</w:t>
      </w:r>
      <w:r>
        <w:rPr>
          <w:szCs w:val="24"/>
        </w:rPr>
        <w:t xml:space="preserve"> different priorities associated with the energy profile, </w:t>
      </w:r>
      <w:r w:rsidRPr="001145DF">
        <w:rPr>
          <w:szCs w:val="24"/>
        </w:rPr>
        <w:t xml:space="preserve">High Priority </w:t>
      </w:r>
      <w:r>
        <w:rPr>
          <w:szCs w:val="24"/>
        </w:rPr>
        <w:t>Export</w:t>
      </w:r>
      <w:r w:rsidRPr="001145DF">
        <w:rPr>
          <w:szCs w:val="24"/>
        </w:rPr>
        <w:t xml:space="preserve"> Interchange Transaction or Uncommitted </w:t>
      </w:r>
      <w:r>
        <w:rPr>
          <w:szCs w:val="24"/>
        </w:rPr>
        <w:t>Ex</w:t>
      </w:r>
      <w:r w:rsidRPr="001145DF">
        <w:rPr>
          <w:szCs w:val="24"/>
        </w:rPr>
        <w:t>port Interchange Transaction.  Exhibit 4-</w:t>
      </w:r>
      <w:r w:rsidR="00DC0502">
        <w:rPr>
          <w:szCs w:val="24"/>
        </w:rPr>
        <w:t>1</w:t>
      </w:r>
      <w:r w:rsidR="00A013FA">
        <w:rPr>
          <w:szCs w:val="24"/>
        </w:rPr>
        <w:t>2</w:t>
      </w:r>
      <w:r w:rsidRPr="001145DF">
        <w:rPr>
          <w:szCs w:val="24"/>
        </w:rPr>
        <w:t xml:space="preserve"> provides an overview of the High Priority </w:t>
      </w:r>
      <w:r>
        <w:rPr>
          <w:szCs w:val="24"/>
        </w:rPr>
        <w:t>Export</w:t>
      </w:r>
      <w:r w:rsidRPr="001145DF">
        <w:rPr>
          <w:szCs w:val="24"/>
        </w:rPr>
        <w:t xml:space="preserve"> Interchange Transaction qualification process.</w:t>
      </w:r>
    </w:p>
    <w:p w14:paraId="1676E39F" w14:textId="77777777" w:rsidR="00C70F99" w:rsidRDefault="00C70F99" w:rsidP="00281D5A">
      <w:pPr>
        <w:spacing w:after="160" w:line="259" w:lineRule="auto"/>
        <w:rPr>
          <w:b/>
          <w:bCs/>
          <w:szCs w:val="24"/>
        </w:rPr>
      </w:pPr>
      <w:r>
        <w:rPr>
          <w:b/>
          <w:bCs/>
          <w:szCs w:val="24"/>
        </w:rPr>
        <w:br w:type="page"/>
      </w:r>
    </w:p>
    <w:p w14:paraId="6A06FC10" w14:textId="762F0D5F" w:rsidR="00C70F99" w:rsidRPr="00E9358E" w:rsidRDefault="00C70F99" w:rsidP="00DC0502">
      <w:pPr>
        <w:keepNext/>
        <w:spacing w:after="0" w:line="300" w:lineRule="auto"/>
        <w:jc w:val="center"/>
        <w:rPr>
          <w:b/>
          <w:bCs/>
          <w:szCs w:val="24"/>
        </w:rPr>
      </w:pPr>
      <w:r w:rsidRPr="00E9358E">
        <w:rPr>
          <w:b/>
          <w:bCs/>
          <w:szCs w:val="24"/>
        </w:rPr>
        <w:t xml:space="preserve">Exhibit </w:t>
      </w:r>
      <w:r w:rsidR="00DC0502" w:rsidRPr="00D1363C">
        <w:rPr>
          <w:b/>
          <w:szCs w:val="24"/>
        </w:rPr>
        <w:fldChar w:fldCharType="begin"/>
      </w:r>
      <w:r w:rsidR="00DC0502" w:rsidRPr="00D1363C">
        <w:rPr>
          <w:b/>
          <w:szCs w:val="24"/>
        </w:rPr>
        <w:instrText xml:space="preserve"> STYLEREF 1 \s </w:instrText>
      </w:r>
      <w:r w:rsidR="00DC0502" w:rsidRPr="00D1363C">
        <w:rPr>
          <w:b/>
          <w:szCs w:val="24"/>
        </w:rPr>
        <w:fldChar w:fldCharType="separate"/>
      </w:r>
      <w:r w:rsidR="00DC0502" w:rsidRPr="00D1363C">
        <w:rPr>
          <w:b/>
          <w:noProof/>
          <w:szCs w:val="24"/>
        </w:rPr>
        <w:t>4</w:t>
      </w:r>
      <w:r w:rsidR="00DC0502" w:rsidRPr="00D1363C">
        <w:rPr>
          <w:b/>
          <w:szCs w:val="24"/>
        </w:rPr>
        <w:fldChar w:fldCharType="end"/>
      </w:r>
      <w:r w:rsidR="00DC0502" w:rsidRPr="00D1363C">
        <w:rPr>
          <w:b/>
          <w:szCs w:val="24"/>
        </w:rPr>
        <w:noBreakHyphen/>
      </w:r>
      <w:r w:rsidR="00A013FA">
        <w:rPr>
          <w:b/>
          <w:szCs w:val="24"/>
        </w:rPr>
        <w:t>2</w:t>
      </w:r>
      <w:r w:rsidR="00DC0502" w:rsidRPr="00D1363C">
        <w:rPr>
          <w:b/>
          <w:szCs w:val="24"/>
        </w:rPr>
        <w:t>:</w:t>
      </w:r>
      <w:r w:rsidRPr="00E9358E">
        <w:rPr>
          <w:b/>
          <w:bCs/>
          <w:szCs w:val="24"/>
        </w:rPr>
        <w:t xml:space="preserve"> High Priority Export Qualification Process</w:t>
      </w:r>
    </w:p>
    <w:p w14:paraId="7F1A6233" w14:textId="77777777" w:rsidR="00DC0502" w:rsidRPr="00E9358E" w:rsidRDefault="00DC0502" w:rsidP="00DC0502">
      <w:pPr>
        <w:keepNext/>
        <w:spacing w:after="0" w:line="300" w:lineRule="auto"/>
        <w:jc w:val="center"/>
        <w:rPr>
          <w:b/>
          <w:bCs/>
          <w:szCs w:val="24"/>
        </w:rPr>
      </w:pPr>
    </w:p>
    <w:p w14:paraId="2900DF96" w14:textId="39542118" w:rsidR="00C70F99" w:rsidRDefault="003662E3" w:rsidP="00C70F99">
      <w:pPr>
        <w:spacing w:before="120" w:line="300" w:lineRule="auto"/>
        <w:ind w:left="720" w:hanging="540"/>
        <w:rPr>
          <w:szCs w:val="24"/>
        </w:rPr>
      </w:pPr>
      <w:r>
        <w:object w:dxaOrig="13021" w:dyaOrig="11565" w14:anchorId="4869811E">
          <v:shape id="_x0000_i1027" type="#_x0000_t75" style="width:466.8pt;height:415.2pt" o:ole="">
            <v:imagedata r:id="rId50" o:title=""/>
          </v:shape>
          <o:OLEObject Type="Embed" ProgID="Visio.Drawing.15" ShapeID="_x0000_i1027" DrawAspect="Content" ObjectID="_1829396212" r:id="rId51"/>
        </w:object>
      </w:r>
    </w:p>
    <w:p w14:paraId="218E34F1" w14:textId="77777777" w:rsidR="00281D5A" w:rsidRDefault="00281D5A" w:rsidP="00281D5A">
      <w:pPr>
        <w:spacing w:before="120" w:line="300" w:lineRule="auto"/>
        <w:ind w:left="720" w:hanging="540"/>
        <w:rPr>
          <w:szCs w:val="24"/>
        </w:rPr>
      </w:pPr>
    </w:p>
    <w:p w14:paraId="6791C4E9" w14:textId="77777777" w:rsidR="00281D5A" w:rsidRDefault="00281D5A" w:rsidP="00281D5A">
      <w:pPr>
        <w:spacing w:before="120" w:line="300" w:lineRule="auto"/>
        <w:ind w:left="720" w:hanging="540"/>
        <w:rPr>
          <w:szCs w:val="24"/>
        </w:rPr>
      </w:pPr>
    </w:p>
    <w:p w14:paraId="5E3C03CC" w14:textId="40D1DEB1" w:rsidR="00281D5A" w:rsidRDefault="00281D5A" w:rsidP="00281D5A">
      <w:pPr>
        <w:numPr>
          <w:ilvl w:val="0"/>
          <w:numId w:val="88"/>
        </w:numPr>
        <w:spacing w:before="120" w:line="300" w:lineRule="auto"/>
        <w:rPr>
          <w:szCs w:val="24"/>
        </w:rPr>
      </w:pPr>
      <w:r w:rsidRPr="00CA37EA">
        <w:rPr>
          <w:szCs w:val="24"/>
        </w:rPr>
        <w:t xml:space="preserve">An </w:t>
      </w:r>
      <w:r>
        <w:rPr>
          <w:szCs w:val="24"/>
        </w:rPr>
        <w:t>Ex</w:t>
      </w:r>
      <w:r w:rsidRPr="00CA37EA">
        <w:rPr>
          <w:szCs w:val="24"/>
        </w:rPr>
        <w:t xml:space="preserve">port Interchange Transaction will be considered a High Priority </w:t>
      </w:r>
      <w:r>
        <w:rPr>
          <w:szCs w:val="24"/>
        </w:rPr>
        <w:t>Ex</w:t>
      </w:r>
      <w:r w:rsidRPr="00CA37EA">
        <w:rPr>
          <w:szCs w:val="24"/>
        </w:rPr>
        <w:t>port Interchange Transaction if the transaction is part of a WRAP forward showing or deployed WRAP holdback.</w:t>
      </w:r>
      <w:r>
        <w:rPr>
          <w:szCs w:val="24"/>
        </w:rPr>
        <w:t xml:space="preserve">  In addition, a</w:t>
      </w:r>
      <w:r w:rsidRPr="7E71820E">
        <w:rPr>
          <w:szCs w:val="24"/>
        </w:rPr>
        <w:t xml:space="preserve">n </w:t>
      </w:r>
      <w:r>
        <w:rPr>
          <w:szCs w:val="24"/>
        </w:rPr>
        <w:t xml:space="preserve">Export </w:t>
      </w:r>
      <w:r w:rsidRPr="7E71820E">
        <w:rPr>
          <w:szCs w:val="24"/>
        </w:rPr>
        <w:t xml:space="preserve">Interchange Transaction will be considered a High Priority </w:t>
      </w:r>
      <w:r>
        <w:rPr>
          <w:szCs w:val="24"/>
        </w:rPr>
        <w:t>Export</w:t>
      </w:r>
      <w:r w:rsidRPr="7E71820E">
        <w:rPr>
          <w:szCs w:val="24"/>
        </w:rPr>
        <w:t xml:space="preserve"> Interchange Transaction if </w:t>
      </w:r>
      <w:r>
        <w:rPr>
          <w:szCs w:val="24"/>
        </w:rPr>
        <w:t xml:space="preserve">it has </w:t>
      </w:r>
      <w:r w:rsidRPr="7E71820E">
        <w:rPr>
          <w:szCs w:val="24"/>
        </w:rPr>
        <w:t xml:space="preserve">NERC Priority 6 or 7 transmission service reserved from </w:t>
      </w:r>
      <w:r>
        <w:rPr>
          <w:szCs w:val="24"/>
        </w:rPr>
        <w:t>an internal</w:t>
      </w:r>
      <w:r w:rsidRPr="7E71820E">
        <w:rPr>
          <w:szCs w:val="24"/>
        </w:rPr>
        <w:t xml:space="preserve"> source (</w:t>
      </w:r>
      <w:r>
        <w:rPr>
          <w:szCs w:val="24"/>
        </w:rPr>
        <w:t>internal</w:t>
      </w:r>
      <w:r w:rsidRPr="7E71820E">
        <w:rPr>
          <w:szCs w:val="24"/>
        </w:rPr>
        <w:t xml:space="preserve"> Resource or </w:t>
      </w:r>
      <w:r w:rsidR="00583BCB">
        <w:rPr>
          <w:szCs w:val="24"/>
        </w:rPr>
        <w:t>qualified WRAP System Sale</w:t>
      </w:r>
      <w:r w:rsidRPr="7E71820E">
        <w:rPr>
          <w:szCs w:val="24"/>
        </w:rPr>
        <w:t>) to</w:t>
      </w:r>
      <w:r>
        <w:rPr>
          <w:szCs w:val="24"/>
        </w:rPr>
        <w:t xml:space="preserve"> the</w:t>
      </w:r>
      <w:r w:rsidRPr="7E71820E">
        <w:rPr>
          <w:szCs w:val="24"/>
        </w:rPr>
        <w:t xml:space="preserve"> </w:t>
      </w:r>
      <w:r>
        <w:rPr>
          <w:szCs w:val="24"/>
        </w:rPr>
        <w:t>applicable External Interface and</w:t>
      </w:r>
      <w:r w:rsidRPr="7E71820E">
        <w:rPr>
          <w:szCs w:val="24"/>
        </w:rPr>
        <w:t xml:space="preserve"> </w:t>
      </w:r>
      <w:r>
        <w:rPr>
          <w:szCs w:val="24"/>
        </w:rPr>
        <w:t xml:space="preserve">has satisfied one of </w:t>
      </w:r>
      <w:r w:rsidRPr="7E71820E">
        <w:rPr>
          <w:szCs w:val="24"/>
        </w:rPr>
        <w:t>the following conditions:</w:t>
      </w:r>
    </w:p>
    <w:p w14:paraId="3F6A8B31" w14:textId="72BACD90" w:rsidR="00C70F99" w:rsidRDefault="00C70F99" w:rsidP="00C35DA0">
      <w:pPr>
        <w:numPr>
          <w:ilvl w:val="1"/>
          <w:numId w:val="88"/>
        </w:numPr>
        <w:spacing w:before="120" w:line="300" w:lineRule="auto"/>
        <w:rPr>
          <w:szCs w:val="24"/>
        </w:rPr>
      </w:pPr>
      <w:r w:rsidRPr="00CA37EA">
        <w:rPr>
          <w:szCs w:val="24"/>
        </w:rPr>
        <w:t xml:space="preserve">The export is associated with a Market+ Load Responsible Entity (LRE), is occurring during a WRAP Binding Season month and is confirmed by the Market Participant to be from seasonal surplus </w:t>
      </w:r>
      <w:r w:rsidRPr="00CA37EA" w:rsidDel="00A43D23">
        <w:rPr>
          <w:szCs w:val="24"/>
        </w:rPr>
        <w:t>or</w:t>
      </w:r>
      <w:r w:rsidRPr="00CA37EA">
        <w:rPr>
          <w:szCs w:val="24"/>
        </w:rPr>
        <w:t xml:space="preserve"> already accounted for in the Forward Showing Workbook respecting any approved adjustments to the Forward Showing Workbook</w:t>
      </w:r>
      <w:r w:rsidR="005855E1">
        <w:rPr>
          <w:szCs w:val="24"/>
        </w:rPr>
        <w:t>.  The export can be supported by a WRAP identified Resource</w:t>
      </w:r>
      <w:r w:rsidR="00592009">
        <w:rPr>
          <w:szCs w:val="24"/>
        </w:rPr>
        <w:t xml:space="preserve"> or WRAP System Sale</w:t>
      </w:r>
      <w:r w:rsidR="00FD1AA2">
        <w:rPr>
          <w:szCs w:val="24"/>
        </w:rPr>
        <w:t>, where WRAP System Sale is as described in WRAP Business Practice Manual 106</w:t>
      </w:r>
      <w:r w:rsidR="00281D5A" w:rsidRPr="00CA37EA">
        <w:rPr>
          <w:szCs w:val="24"/>
        </w:rPr>
        <w:t>;</w:t>
      </w:r>
      <w:r w:rsidRPr="00CA37EA">
        <w:rPr>
          <w:szCs w:val="24"/>
        </w:rPr>
        <w:t xml:space="preserve"> </w:t>
      </w:r>
      <w:r>
        <w:rPr>
          <w:szCs w:val="24"/>
        </w:rPr>
        <w:t xml:space="preserve"> </w:t>
      </w:r>
    </w:p>
    <w:p w14:paraId="756AA7B8" w14:textId="77777777" w:rsidR="00C70F99" w:rsidRDefault="00C70F99" w:rsidP="00C35DA0">
      <w:pPr>
        <w:numPr>
          <w:ilvl w:val="1"/>
          <w:numId w:val="88"/>
        </w:numPr>
        <w:spacing w:before="120" w:line="300" w:lineRule="auto"/>
        <w:rPr>
          <w:szCs w:val="24"/>
        </w:rPr>
      </w:pPr>
      <w:r w:rsidRPr="00CA37EA">
        <w:rPr>
          <w:szCs w:val="24"/>
        </w:rPr>
        <w:t>The export is associated with a Markets+ LRE, is occurring during a WRAP non-binding season; or</w:t>
      </w:r>
    </w:p>
    <w:p w14:paraId="17B144A4" w14:textId="46E8F4C9" w:rsidR="00C70F99" w:rsidRDefault="00C70F99" w:rsidP="00C35DA0">
      <w:pPr>
        <w:numPr>
          <w:ilvl w:val="1"/>
          <w:numId w:val="88"/>
        </w:numPr>
        <w:spacing w:before="120" w:line="300" w:lineRule="auto"/>
        <w:rPr>
          <w:szCs w:val="24"/>
        </w:rPr>
      </w:pPr>
      <w:r>
        <w:rPr>
          <w:szCs w:val="24"/>
        </w:rPr>
        <w:t xml:space="preserve">The export is not associated with a Markets+ LRE and the internal source is not committed  via WRAP to an LRE within the Markets+ Footprint and the internal </w:t>
      </w:r>
      <w:r w:rsidR="00633425">
        <w:rPr>
          <w:szCs w:val="24"/>
        </w:rPr>
        <w:t>R</w:t>
      </w:r>
      <w:r>
        <w:rPr>
          <w:szCs w:val="24"/>
        </w:rPr>
        <w:t>esource has been registered as such as part of the Market Operator</w:t>
      </w:r>
      <w:r w:rsidR="007206B7">
        <w:rPr>
          <w:szCs w:val="24"/>
        </w:rPr>
        <w:t>’</w:t>
      </w:r>
      <w:r>
        <w:rPr>
          <w:szCs w:val="24"/>
        </w:rPr>
        <w:t xml:space="preserve">s Resource registration process as described under Section </w:t>
      </w:r>
      <w:r w:rsidR="00EA4AFF">
        <w:rPr>
          <w:szCs w:val="24"/>
        </w:rPr>
        <w:fldChar w:fldCharType="begin"/>
      </w:r>
      <w:r w:rsidR="00EA4AFF">
        <w:rPr>
          <w:szCs w:val="24"/>
        </w:rPr>
        <w:instrText xml:space="preserve"> REF _Ref212550017 \r \h </w:instrText>
      </w:r>
      <w:r w:rsidR="00EA4AFF">
        <w:rPr>
          <w:szCs w:val="24"/>
        </w:rPr>
      </w:r>
      <w:r w:rsidR="00EA4AFF">
        <w:rPr>
          <w:szCs w:val="24"/>
        </w:rPr>
        <w:fldChar w:fldCharType="separate"/>
      </w:r>
      <w:r w:rsidR="00EA4AFF">
        <w:rPr>
          <w:szCs w:val="24"/>
        </w:rPr>
        <w:t>9.1.14</w:t>
      </w:r>
      <w:r w:rsidR="00EA4AFF">
        <w:rPr>
          <w:szCs w:val="24"/>
        </w:rPr>
        <w:fldChar w:fldCharType="end"/>
      </w:r>
      <w:r>
        <w:rPr>
          <w:szCs w:val="24"/>
        </w:rPr>
        <w:t>.</w:t>
      </w:r>
    </w:p>
    <w:p w14:paraId="06A318BB" w14:textId="77777777" w:rsidR="00C70F99" w:rsidRDefault="00C70F99" w:rsidP="00C35DA0">
      <w:pPr>
        <w:pStyle w:val="ListParagraph"/>
        <w:numPr>
          <w:ilvl w:val="0"/>
          <w:numId w:val="88"/>
        </w:numPr>
        <w:spacing w:before="120" w:line="300" w:lineRule="auto"/>
        <w:contextualSpacing w:val="0"/>
        <w:rPr>
          <w:szCs w:val="24"/>
        </w:rPr>
      </w:pPr>
      <w:r>
        <w:rPr>
          <w:szCs w:val="24"/>
        </w:rPr>
        <w:t>On a daily basis, prior to the close of the Day-Ahead Market and throughout the Operating Day, the Resources registered as described under Section 4.2.3.3(4)(a)(iii) above must adhere to the following rules:</w:t>
      </w:r>
    </w:p>
    <w:p w14:paraId="39F8668C" w14:textId="4F50A94D" w:rsidR="00C70F99" w:rsidRDefault="00C70F99" w:rsidP="52B7C432">
      <w:pPr>
        <w:pStyle w:val="ListParagraph"/>
        <w:numPr>
          <w:ilvl w:val="0"/>
          <w:numId w:val="77"/>
        </w:numPr>
        <w:spacing w:before="120" w:line="300" w:lineRule="auto"/>
        <w:ind w:left="1440"/>
      </w:pPr>
      <w:r>
        <w:t xml:space="preserve">The Resource must be made available for commitment by the Market Participant with a Commit Status of either “Self” or “Market” with a </w:t>
      </w:r>
      <w:r w:rsidR="00CA24BE">
        <w:rPr>
          <w:szCs w:val="24"/>
        </w:rPr>
        <w:t>Max ECOL</w:t>
      </w:r>
      <w:r w:rsidR="0002507C">
        <w:t>, or in the case</w:t>
      </w:r>
      <w:r w:rsidR="00321AF2">
        <w:t xml:space="preserve"> of</w:t>
      </w:r>
      <w:r w:rsidR="0002507C">
        <w:t xml:space="preserve"> an MSR</w:t>
      </w:r>
      <w:r w:rsidR="00321AF2">
        <w:t>,</w:t>
      </w:r>
      <w:r w:rsidR="0002507C">
        <w:t xml:space="preserve"> the Maximum Discharge Limit</w:t>
      </w:r>
      <w:r w:rsidR="00C510AE">
        <w:t>,</w:t>
      </w:r>
      <w:r>
        <w:t xml:space="preserve"> that is greater than or equal to the specified export MW amount on the </w:t>
      </w:r>
      <w:r w:rsidDel="00EA76D7">
        <w:t>e</w:t>
      </w:r>
      <w:r>
        <w:t>-</w:t>
      </w:r>
      <w:r w:rsidR="00EA76D7">
        <w:t>T</w:t>
      </w:r>
      <w:r>
        <w:t xml:space="preserve">ag.  </w:t>
      </w:r>
      <w:r w:rsidR="00321AF2">
        <w:t>Following the close of the Day-Ahead Market and following the close of the Real-Time Balancing Market, if the</w:t>
      </w:r>
      <w:r>
        <w:t xml:space="preserve"> </w:t>
      </w:r>
      <w:r w:rsidR="00CA24BE">
        <w:rPr>
          <w:szCs w:val="24"/>
        </w:rPr>
        <w:t>Max ECOL</w:t>
      </w:r>
      <w:r w:rsidR="00C510AE">
        <w:t>, or in the case</w:t>
      </w:r>
      <w:r w:rsidR="00321AF2">
        <w:t xml:space="preserve"> of</w:t>
      </w:r>
      <w:r w:rsidR="00C510AE">
        <w:t xml:space="preserve"> an MSR</w:t>
      </w:r>
      <w:r w:rsidR="00321AF2">
        <w:t>,</w:t>
      </w:r>
      <w:r w:rsidR="00C510AE">
        <w:t xml:space="preserve"> the Maximum Discharge Limit, </w:t>
      </w:r>
      <w:r>
        <w:t xml:space="preserve"> is less than the specified export MW amount on the </w:t>
      </w:r>
      <w:r w:rsidR="00C731F4">
        <w:rPr>
          <w:szCs w:val="24"/>
        </w:rPr>
        <w:t>e</w:t>
      </w:r>
      <w:r w:rsidR="00EA76D7">
        <w:t>-Tag</w:t>
      </w:r>
      <w:r>
        <w:t xml:space="preserve">, , the Market Operator will adjust the export MW amount on the </w:t>
      </w:r>
      <w:r w:rsidR="00C731F4">
        <w:rPr>
          <w:szCs w:val="24"/>
        </w:rPr>
        <w:t>e</w:t>
      </w:r>
      <w:r w:rsidR="00EA76D7">
        <w:t>-Tag</w:t>
      </w:r>
      <w:r>
        <w:t xml:space="preserve"> to match the </w:t>
      </w:r>
      <w:r w:rsidR="00CA24BE">
        <w:rPr>
          <w:szCs w:val="24"/>
        </w:rPr>
        <w:t>Max ECOL</w:t>
      </w:r>
      <w:r w:rsidR="00C510AE">
        <w:t>, or in the case</w:t>
      </w:r>
      <w:r w:rsidR="00321AF2">
        <w:t xml:space="preserve"> of</w:t>
      </w:r>
      <w:r w:rsidR="00C510AE">
        <w:t xml:space="preserve"> an MSR</w:t>
      </w:r>
      <w:r w:rsidR="00321AF2">
        <w:t>,</w:t>
      </w:r>
      <w:r w:rsidR="00C510AE">
        <w:t xml:space="preserve"> the Maximum Discharge Limit</w:t>
      </w:r>
      <w:r>
        <w:t>.</w:t>
      </w:r>
    </w:p>
    <w:p w14:paraId="0982CD93" w14:textId="7F20D636" w:rsidR="00C70F99" w:rsidRPr="00E36B93" w:rsidRDefault="00C70F99" w:rsidP="52B7C432">
      <w:pPr>
        <w:pStyle w:val="ListParagraph"/>
        <w:numPr>
          <w:ilvl w:val="0"/>
          <w:numId w:val="77"/>
        </w:numPr>
        <w:spacing w:before="120" w:line="300" w:lineRule="auto"/>
        <w:ind w:left="1440"/>
      </w:pPr>
      <w:r>
        <w:t xml:space="preserve">If the Resource is a Variable Energy Resource (VER), </w:t>
      </w:r>
      <w:r w:rsidR="00281D5A">
        <w:t xml:space="preserve">and not a Hybrid Storage Market Resource (HSMR), </w:t>
      </w:r>
      <w:r>
        <w:t xml:space="preserve">the export MW amount on the </w:t>
      </w:r>
      <w:r w:rsidR="00C731F4">
        <w:rPr>
          <w:szCs w:val="24"/>
        </w:rPr>
        <w:t>e</w:t>
      </w:r>
      <w:r w:rsidR="00EA76D7">
        <w:t>-Tag</w:t>
      </w:r>
      <w:r>
        <w:t xml:space="preserve"> must be less than or equal to the Market Operator’s VER output </w:t>
      </w:r>
      <w:r w:rsidR="00281D5A">
        <w:t>hourly forecast for that Resource.</w:t>
      </w:r>
      <w:r>
        <w:t xml:space="preserve">  Otherwise, following the close of the Day-Ahead Market and following the close of the Real-Time Balancing Market, the Market Operator will adjust the export MW amount on the </w:t>
      </w:r>
      <w:r w:rsidR="00C731F4">
        <w:rPr>
          <w:szCs w:val="24"/>
        </w:rPr>
        <w:t>e</w:t>
      </w:r>
      <w:r w:rsidR="00EA76D7">
        <w:t>-Tag</w:t>
      </w:r>
      <w:r>
        <w:t xml:space="preserve"> to match the VER output forecast.</w:t>
      </w:r>
    </w:p>
    <w:p w14:paraId="7A15232A" w14:textId="6410A1B8" w:rsidR="00C70F99" w:rsidRPr="00E9479A" w:rsidRDefault="00C70F99" w:rsidP="00C70F99">
      <w:pPr>
        <w:pStyle w:val="ListParagraph"/>
        <w:spacing w:before="120" w:line="300" w:lineRule="auto"/>
        <w:rPr>
          <w:szCs w:val="24"/>
        </w:rPr>
      </w:pPr>
      <w:r w:rsidRPr="00CA37EA">
        <w:rPr>
          <w:szCs w:val="24"/>
        </w:rPr>
        <w:t xml:space="preserve">In addition, the Market Participant must indicate on the </w:t>
      </w:r>
      <w:r w:rsidR="00C731F4">
        <w:rPr>
          <w:szCs w:val="24"/>
        </w:rPr>
        <w:t>e</w:t>
      </w:r>
      <w:r w:rsidR="00EA76D7">
        <w:rPr>
          <w:szCs w:val="24"/>
        </w:rPr>
        <w:t>-Tag</w:t>
      </w:r>
      <w:r w:rsidRPr="00CA37EA">
        <w:rPr>
          <w:szCs w:val="24"/>
        </w:rPr>
        <w:t xml:space="preserve"> that the Export Interchange Transaction is a High Priority Export Interchange Transaction.  If the transaction is associated with WRAP as described under </w:t>
      </w:r>
      <w:r>
        <w:rPr>
          <w:szCs w:val="24"/>
        </w:rPr>
        <w:t>Section 4.2.3.3(4)(a)</w:t>
      </w:r>
      <w:r w:rsidRPr="00CA37EA">
        <w:rPr>
          <w:szCs w:val="24"/>
        </w:rPr>
        <w:t xml:space="preserve"> above, then the Market Participant must indicate that on the </w:t>
      </w:r>
      <w:r w:rsidR="00C731F4">
        <w:rPr>
          <w:szCs w:val="24"/>
        </w:rPr>
        <w:t>e</w:t>
      </w:r>
      <w:r w:rsidR="00EA76D7">
        <w:rPr>
          <w:szCs w:val="24"/>
        </w:rPr>
        <w:t>-Tag</w:t>
      </w:r>
      <w:r w:rsidRPr="00CA37EA">
        <w:rPr>
          <w:szCs w:val="24"/>
        </w:rPr>
        <w:t xml:space="preserve">.  Such designation will serve as an attestation from the Market Participant that the Export Interchange Transaction has met the requirements described under </w:t>
      </w:r>
      <w:r>
        <w:rPr>
          <w:szCs w:val="24"/>
        </w:rPr>
        <w:t>Section 4.2.3.3(4)</w:t>
      </w:r>
      <w:r w:rsidRPr="00CA37EA">
        <w:rPr>
          <w:szCs w:val="24"/>
        </w:rPr>
        <w:t>(a)</w:t>
      </w:r>
      <w:r>
        <w:rPr>
          <w:szCs w:val="24"/>
        </w:rPr>
        <w:t>(</w:t>
      </w:r>
      <w:r w:rsidR="00281D5A">
        <w:rPr>
          <w:szCs w:val="24"/>
        </w:rPr>
        <w:t xml:space="preserve">i) </w:t>
      </w:r>
      <w:r w:rsidR="00281D5A" w:rsidRPr="00CA37EA">
        <w:rPr>
          <w:szCs w:val="24"/>
        </w:rPr>
        <w:t xml:space="preserve">above.  For transactions meeting the requirements </w:t>
      </w:r>
      <w:r w:rsidR="00AA54BC">
        <w:rPr>
          <w:szCs w:val="24"/>
        </w:rPr>
        <w:t>described under</w:t>
      </w:r>
      <w:r w:rsidR="00281D5A" w:rsidRPr="00CA37EA">
        <w:rPr>
          <w:szCs w:val="24"/>
        </w:rPr>
        <w:t xml:space="preserve"> </w:t>
      </w:r>
      <w:r w:rsidR="00AA54BC">
        <w:rPr>
          <w:szCs w:val="24"/>
        </w:rPr>
        <w:t>Section 4.2.2.3(4)</w:t>
      </w:r>
      <w:r w:rsidR="00F306DE">
        <w:rPr>
          <w:szCs w:val="24"/>
        </w:rPr>
        <w:t>(a)</w:t>
      </w:r>
      <w:r w:rsidR="00281D5A" w:rsidRPr="000F729D">
        <w:rPr>
          <w:szCs w:val="24"/>
        </w:rPr>
        <w:t>(iii)</w:t>
      </w:r>
      <w:r w:rsidR="00281D5A" w:rsidRPr="00CA37EA">
        <w:rPr>
          <w:szCs w:val="24"/>
        </w:rPr>
        <w:t xml:space="preserve"> above, </w:t>
      </w:r>
      <w:r w:rsidR="00FD23DA">
        <w:rPr>
          <w:szCs w:val="24"/>
        </w:rPr>
        <w:t xml:space="preserve">if </w:t>
      </w:r>
      <w:r w:rsidR="00281D5A" w:rsidRPr="00CA37EA">
        <w:rPr>
          <w:szCs w:val="24"/>
        </w:rPr>
        <w:t xml:space="preserve">Market Participants </w:t>
      </w:r>
      <w:r w:rsidR="00FD23DA">
        <w:rPr>
          <w:szCs w:val="24"/>
        </w:rPr>
        <w:t>do not</w:t>
      </w:r>
      <w:r w:rsidR="00281D5A" w:rsidRPr="00CA37EA">
        <w:rPr>
          <w:szCs w:val="24"/>
        </w:rPr>
        <w:t xml:space="preserve"> </w:t>
      </w:r>
      <w:r w:rsidR="00281D5A">
        <w:rPr>
          <w:szCs w:val="24"/>
        </w:rPr>
        <w:t>follow the Resource registration process</w:t>
      </w:r>
      <w:r w:rsidR="003A50F9">
        <w:rPr>
          <w:szCs w:val="24"/>
        </w:rPr>
        <w:t xml:space="preserve"> described under Section</w:t>
      </w:r>
      <w:r w:rsidR="00281D5A">
        <w:rPr>
          <w:szCs w:val="24"/>
        </w:rPr>
        <w:t xml:space="preserve"> </w:t>
      </w:r>
      <w:r w:rsidR="00B826EB">
        <w:rPr>
          <w:szCs w:val="24"/>
        </w:rPr>
        <w:fldChar w:fldCharType="begin"/>
      </w:r>
      <w:r w:rsidR="00B826EB">
        <w:rPr>
          <w:szCs w:val="24"/>
        </w:rPr>
        <w:instrText xml:space="preserve"> REF _Ref212550090 \r \h </w:instrText>
      </w:r>
      <w:r w:rsidR="00B826EB">
        <w:rPr>
          <w:szCs w:val="24"/>
        </w:rPr>
      </w:r>
      <w:r w:rsidR="00B826EB">
        <w:rPr>
          <w:szCs w:val="24"/>
        </w:rPr>
        <w:fldChar w:fldCharType="separate"/>
      </w:r>
      <w:r w:rsidR="00B826EB">
        <w:rPr>
          <w:szCs w:val="24"/>
        </w:rPr>
        <w:t>9.1.14</w:t>
      </w:r>
      <w:r w:rsidR="00B826EB">
        <w:rPr>
          <w:szCs w:val="24"/>
        </w:rPr>
        <w:fldChar w:fldCharType="end"/>
      </w:r>
      <w:r w:rsidR="00FD23DA">
        <w:rPr>
          <w:szCs w:val="24"/>
        </w:rPr>
        <w:t xml:space="preserve">, the Market Operator will redesignate </w:t>
      </w:r>
      <w:r w:rsidR="00281D5A" w:rsidRPr="00CA37EA">
        <w:rPr>
          <w:szCs w:val="24"/>
        </w:rPr>
        <w:t xml:space="preserve"> the associated High Priority Export Interchange Transaction as an Uncommitted Export Interchange Transaction</w:t>
      </w:r>
      <w:r w:rsidR="00FD23DA">
        <w:rPr>
          <w:szCs w:val="24"/>
        </w:rPr>
        <w:t>. If the Market Participant</w:t>
      </w:r>
      <w:r w:rsidR="00CB3A49">
        <w:rPr>
          <w:szCs w:val="24"/>
        </w:rPr>
        <w:t xml:space="preserve"> sufficiently</w:t>
      </w:r>
      <w:r w:rsidR="00FD23DA">
        <w:rPr>
          <w:szCs w:val="24"/>
        </w:rPr>
        <w:t xml:space="preserve"> remedies </w:t>
      </w:r>
      <w:r w:rsidR="00AD0A53">
        <w:rPr>
          <w:szCs w:val="24"/>
        </w:rPr>
        <w:t xml:space="preserve">and the Market Operator </w:t>
      </w:r>
      <w:r w:rsidR="00CB3A49">
        <w:rPr>
          <w:szCs w:val="24"/>
        </w:rPr>
        <w:t>a</w:t>
      </w:r>
      <w:r w:rsidR="00AD0A53">
        <w:rPr>
          <w:szCs w:val="24"/>
        </w:rPr>
        <w:t>ccepts the registration</w:t>
      </w:r>
      <w:r w:rsidR="00FD23DA">
        <w:rPr>
          <w:szCs w:val="24"/>
        </w:rPr>
        <w:t xml:space="preserve">, </w:t>
      </w:r>
      <w:r w:rsidR="0028538E">
        <w:rPr>
          <w:szCs w:val="24"/>
        </w:rPr>
        <w:t>the Market Participant may submit High Priority Export Interchange Transaction</w:t>
      </w:r>
      <w:r w:rsidR="0011338B">
        <w:rPr>
          <w:szCs w:val="24"/>
        </w:rPr>
        <w:t>s for that Resource.</w:t>
      </w:r>
      <w:r w:rsidR="0028538E">
        <w:rPr>
          <w:szCs w:val="24"/>
        </w:rPr>
        <w:t xml:space="preserve"> </w:t>
      </w:r>
      <w:r w:rsidR="00281D5A">
        <w:rPr>
          <w:szCs w:val="24"/>
        </w:rPr>
        <w:t xml:space="preserve">  If an error or discrepancy is discovered, the data may be resubmitted for resettlement in accordance with the timelines in Section </w:t>
      </w:r>
      <w:r w:rsidR="00B826EB">
        <w:rPr>
          <w:szCs w:val="24"/>
        </w:rPr>
        <w:fldChar w:fldCharType="begin"/>
      </w:r>
      <w:r w:rsidR="00B826EB">
        <w:rPr>
          <w:szCs w:val="24"/>
        </w:rPr>
        <w:instrText xml:space="preserve"> REF _Ref212550111 \r \h </w:instrText>
      </w:r>
      <w:r w:rsidR="00B826EB">
        <w:rPr>
          <w:szCs w:val="24"/>
        </w:rPr>
      </w:r>
      <w:r w:rsidR="00B826EB">
        <w:rPr>
          <w:szCs w:val="24"/>
        </w:rPr>
        <w:fldChar w:fldCharType="separate"/>
      </w:r>
      <w:r w:rsidR="00B826EB">
        <w:rPr>
          <w:szCs w:val="24"/>
        </w:rPr>
        <w:t>4.5.13</w:t>
      </w:r>
      <w:r w:rsidR="00B826EB">
        <w:rPr>
          <w:szCs w:val="24"/>
        </w:rPr>
        <w:fldChar w:fldCharType="end"/>
      </w:r>
      <w:r w:rsidR="00281D5A">
        <w:rPr>
          <w:szCs w:val="24"/>
        </w:rPr>
        <w:t>,</w:t>
      </w:r>
      <w:r w:rsidR="00281D5A" w:rsidRPr="00360C48">
        <w:rPr>
          <w:szCs w:val="24"/>
        </w:rPr>
        <w:t xml:space="preserve"> </w:t>
      </w:r>
      <w:r w:rsidR="00281D5A">
        <w:rPr>
          <w:szCs w:val="24"/>
        </w:rPr>
        <w:t>S</w:t>
      </w:r>
      <w:r w:rsidR="00281D5A" w:rsidRPr="00360C48">
        <w:rPr>
          <w:szCs w:val="24"/>
        </w:rPr>
        <w:t>ettlements timeline</w:t>
      </w:r>
      <w:r w:rsidR="00281D5A">
        <w:rPr>
          <w:szCs w:val="24"/>
        </w:rPr>
        <w:t xml:space="preserve">, </w:t>
      </w:r>
      <w:r w:rsidR="00281D5A" w:rsidRPr="00360C48">
        <w:rPr>
          <w:szCs w:val="24"/>
        </w:rPr>
        <w:t xml:space="preserve">and </w:t>
      </w:r>
      <w:r w:rsidR="00B826EB">
        <w:rPr>
          <w:szCs w:val="24"/>
        </w:rPr>
        <w:fldChar w:fldCharType="begin"/>
      </w:r>
      <w:r w:rsidR="00B826EB">
        <w:rPr>
          <w:szCs w:val="24"/>
        </w:rPr>
        <w:instrText xml:space="preserve"> REF _Ref212550132 \r \h </w:instrText>
      </w:r>
      <w:r w:rsidR="00B826EB">
        <w:rPr>
          <w:szCs w:val="24"/>
        </w:rPr>
      </w:r>
      <w:r w:rsidR="00B826EB">
        <w:rPr>
          <w:szCs w:val="24"/>
        </w:rPr>
        <w:fldChar w:fldCharType="separate"/>
      </w:r>
      <w:r w:rsidR="00B826EB">
        <w:rPr>
          <w:szCs w:val="24"/>
        </w:rPr>
        <w:t>4.5.15</w:t>
      </w:r>
      <w:r w:rsidR="00B826EB">
        <w:rPr>
          <w:szCs w:val="24"/>
        </w:rPr>
        <w:fldChar w:fldCharType="end"/>
      </w:r>
      <w:r w:rsidR="00764FE4" w:rsidRPr="00360C48">
        <w:rPr>
          <w:szCs w:val="24"/>
        </w:rPr>
        <w:t xml:space="preserve">, </w:t>
      </w:r>
      <w:r w:rsidRPr="00360C48">
        <w:rPr>
          <w:szCs w:val="24"/>
        </w:rPr>
        <w:t>Disputes</w:t>
      </w:r>
      <w:r w:rsidRPr="00CA37EA">
        <w:rPr>
          <w:szCs w:val="24"/>
        </w:rPr>
        <w:t>.</w:t>
      </w:r>
    </w:p>
    <w:p w14:paraId="17F30D41" w14:textId="6D190B40" w:rsidR="00C70F99" w:rsidRPr="00AD5C65" w:rsidRDefault="00C70F99" w:rsidP="00C35DA0">
      <w:pPr>
        <w:numPr>
          <w:ilvl w:val="0"/>
          <w:numId w:val="88"/>
        </w:numPr>
        <w:spacing w:before="120" w:line="300" w:lineRule="auto"/>
        <w:rPr>
          <w:szCs w:val="24"/>
        </w:rPr>
      </w:pPr>
      <w:r w:rsidRPr="11AF4B1B">
        <w:rPr>
          <w:szCs w:val="24"/>
        </w:rPr>
        <w:t xml:space="preserve">Uncommitted </w:t>
      </w:r>
      <w:r>
        <w:rPr>
          <w:szCs w:val="24"/>
        </w:rPr>
        <w:t>Export</w:t>
      </w:r>
      <w:r w:rsidRPr="11AF4B1B">
        <w:rPr>
          <w:szCs w:val="24"/>
        </w:rPr>
        <w:t xml:space="preserve"> Interchange Transactions are any transactions that do not meet the requirements of </w:t>
      </w:r>
      <w:r>
        <w:rPr>
          <w:szCs w:val="24"/>
        </w:rPr>
        <w:t>Section 4.2.3.3(4)(</w:t>
      </w:r>
      <w:r w:rsidRPr="11AF4B1B">
        <w:rPr>
          <w:szCs w:val="24"/>
        </w:rPr>
        <w:t>a</w:t>
      </w:r>
      <w:r>
        <w:rPr>
          <w:szCs w:val="24"/>
        </w:rPr>
        <w:t>) above.</w:t>
      </w:r>
      <w:r w:rsidRPr="11AF4B1B">
        <w:rPr>
          <w:szCs w:val="24"/>
        </w:rPr>
        <w:t xml:space="preserve">  Uncommitted </w:t>
      </w:r>
      <w:r>
        <w:rPr>
          <w:szCs w:val="24"/>
        </w:rPr>
        <w:t>Export</w:t>
      </w:r>
      <w:r w:rsidRPr="11AF4B1B">
        <w:rPr>
          <w:szCs w:val="24"/>
        </w:rPr>
        <w:t xml:space="preserve"> Interchange Transactions are not </w:t>
      </w:r>
      <w:r>
        <w:rPr>
          <w:szCs w:val="24"/>
        </w:rPr>
        <w:t xml:space="preserve">included as </w:t>
      </w:r>
      <w:r w:rsidRPr="11AF4B1B">
        <w:rPr>
          <w:szCs w:val="24"/>
        </w:rPr>
        <w:t xml:space="preserve">part of a </w:t>
      </w:r>
      <w:r>
        <w:rPr>
          <w:szCs w:val="24"/>
        </w:rPr>
        <w:t>Market Participant’</w:t>
      </w:r>
      <w:r w:rsidRPr="11AF4B1B">
        <w:rPr>
          <w:szCs w:val="24"/>
        </w:rPr>
        <w:t xml:space="preserve">s net position and therefore are not to be considered as </w:t>
      </w:r>
      <w:r>
        <w:rPr>
          <w:szCs w:val="24"/>
        </w:rPr>
        <w:t xml:space="preserve">meeting </w:t>
      </w:r>
      <w:r w:rsidRPr="11AF4B1B">
        <w:rPr>
          <w:szCs w:val="24"/>
        </w:rPr>
        <w:t>part of a M</w:t>
      </w:r>
      <w:r>
        <w:rPr>
          <w:szCs w:val="24"/>
        </w:rPr>
        <w:t xml:space="preserve">arket </w:t>
      </w:r>
      <w:r w:rsidRPr="11AF4B1B">
        <w:rPr>
          <w:szCs w:val="24"/>
        </w:rPr>
        <w:t>P</w:t>
      </w:r>
      <w:r>
        <w:rPr>
          <w:szCs w:val="24"/>
        </w:rPr>
        <w:t>articipant’s</w:t>
      </w:r>
      <w:r w:rsidRPr="11AF4B1B">
        <w:rPr>
          <w:szCs w:val="24"/>
        </w:rPr>
        <w:t xml:space="preserve"> must offer obligation as discussed in </w:t>
      </w:r>
      <w:r>
        <w:rPr>
          <w:szCs w:val="24"/>
        </w:rPr>
        <w:t>S</w:t>
      </w:r>
      <w:r w:rsidRPr="11AF4B1B">
        <w:rPr>
          <w:szCs w:val="24"/>
        </w:rPr>
        <w:t xml:space="preserve">ection </w:t>
      </w:r>
      <w:r w:rsidR="00B826EB">
        <w:rPr>
          <w:szCs w:val="24"/>
        </w:rPr>
        <w:fldChar w:fldCharType="begin"/>
      </w:r>
      <w:r w:rsidR="00B826EB">
        <w:rPr>
          <w:szCs w:val="24"/>
        </w:rPr>
        <w:instrText xml:space="preserve"> REF _Ref212550178 \r \h </w:instrText>
      </w:r>
      <w:r w:rsidR="00B826EB">
        <w:rPr>
          <w:szCs w:val="24"/>
        </w:rPr>
      </w:r>
      <w:r w:rsidR="00B826EB">
        <w:rPr>
          <w:szCs w:val="24"/>
        </w:rPr>
        <w:fldChar w:fldCharType="separate"/>
      </w:r>
      <w:r w:rsidR="00B826EB">
        <w:rPr>
          <w:szCs w:val="24"/>
        </w:rPr>
        <w:t>4.2.1</w:t>
      </w:r>
      <w:r w:rsidR="00B826EB">
        <w:rPr>
          <w:szCs w:val="24"/>
        </w:rPr>
        <w:fldChar w:fldCharType="end"/>
      </w:r>
      <w:r w:rsidR="00B826EB">
        <w:rPr>
          <w:szCs w:val="24"/>
        </w:rPr>
        <w:t>.</w:t>
      </w:r>
    </w:p>
    <w:p w14:paraId="22C6C337" w14:textId="77777777" w:rsidR="00C70F99" w:rsidRPr="00D1363C" w:rsidRDefault="00C70F99" w:rsidP="00C70F99">
      <w:pPr>
        <w:spacing w:before="120" w:line="300" w:lineRule="auto"/>
        <w:rPr>
          <w:szCs w:val="24"/>
        </w:rPr>
      </w:pPr>
    </w:p>
    <w:p w14:paraId="3E3BD8F1" w14:textId="77777777" w:rsidR="00C70F99" w:rsidRPr="00FE298F" w:rsidRDefault="00C70F99" w:rsidP="00CB5653">
      <w:pPr>
        <w:pStyle w:val="Heading3"/>
      </w:pPr>
      <w:bookmarkStart w:id="2965" w:name="_Toc148704938"/>
      <w:bookmarkStart w:id="2966" w:name="_Toc149557896"/>
      <w:bookmarkStart w:id="2967" w:name="_Toc150785352"/>
      <w:bookmarkStart w:id="2968" w:name="_Toc150854806"/>
      <w:bookmarkStart w:id="2969" w:name="_Toc151991745"/>
      <w:bookmarkStart w:id="2970" w:name="_Toc152334845"/>
      <w:bookmarkStart w:id="2971" w:name="_Toc153271211"/>
      <w:bookmarkStart w:id="2972" w:name="_Toc157501046"/>
      <w:bookmarkStart w:id="2973" w:name="_Toc159232221"/>
      <w:bookmarkStart w:id="2974" w:name="_Toc148704939"/>
      <w:bookmarkStart w:id="2975" w:name="_Toc149557897"/>
      <w:bookmarkStart w:id="2976" w:name="_Toc150785353"/>
      <w:bookmarkStart w:id="2977" w:name="_Toc150854807"/>
      <w:bookmarkStart w:id="2978" w:name="_Toc151991746"/>
      <w:bookmarkStart w:id="2979" w:name="_Toc152334846"/>
      <w:bookmarkStart w:id="2980" w:name="_Toc153271212"/>
      <w:bookmarkStart w:id="2981" w:name="_Toc157501047"/>
      <w:bookmarkStart w:id="2982" w:name="_Toc159232222"/>
      <w:bookmarkStart w:id="2983" w:name="_Toc148704940"/>
      <w:bookmarkStart w:id="2984" w:name="_Toc149557898"/>
      <w:bookmarkStart w:id="2985" w:name="_Toc150785354"/>
      <w:bookmarkStart w:id="2986" w:name="_Toc150854808"/>
      <w:bookmarkStart w:id="2987" w:name="_Toc151991747"/>
      <w:bookmarkStart w:id="2988" w:name="_Toc152334847"/>
      <w:bookmarkStart w:id="2989" w:name="_Toc153271213"/>
      <w:bookmarkStart w:id="2990" w:name="_Toc157501048"/>
      <w:bookmarkStart w:id="2991" w:name="_Toc159232223"/>
      <w:bookmarkStart w:id="2992" w:name="_Toc148704941"/>
      <w:bookmarkStart w:id="2993" w:name="_Toc149557899"/>
      <w:bookmarkStart w:id="2994" w:name="_Toc150785355"/>
      <w:bookmarkStart w:id="2995" w:name="_Toc150854809"/>
      <w:bookmarkStart w:id="2996" w:name="_Toc151991748"/>
      <w:bookmarkStart w:id="2997" w:name="_Toc152334848"/>
      <w:bookmarkStart w:id="2998" w:name="_Toc153271214"/>
      <w:bookmarkStart w:id="2999" w:name="_Toc157501049"/>
      <w:bookmarkStart w:id="3000" w:name="_Toc159232224"/>
      <w:bookmarkStart w:id="3001" w:name="_Toc148704942"/>
      <w:bookmarkStart w:id="3002" w:name="_Toc149557900"/>
      <w:bookmarkStart w:id="3003" w:name="_Toc150785356"/>
      <w:bookmarkStart w:id="3004" w:name="_Toc150854810"/>
      <w:bookmarkStart w:id="3005" w:name="_Toc151991749"/>
      <w:bookmarkStart w:id="3006" w:name="_Toc152334849"/>
      <w:bookmarkStart w:id="3007" w:name="_Toc153271215"/>
      <w:bookmarkStart w:id="3008" w:name="_Toc157501050"/>
      <w:bookmarkStart w:id="3009" w:name="_Toc159232225"/>
      <w:bookmarkStart w:id="3010" w:name="_Toc146631384"/>
      <w:bookmarkStart w:id="3011" w:name="_Toc146633251"/>
      <w:bookmarkStart w:id="3012" w:name="_Toc146630978"/>
      <w:bookmarkStart w:id="3013" w:name="_Toc146793148"/>
      <w:bookmarkStart w:id="3014" w:name="_Toc146794844"/>
      <w:bookmarkStart w:id="3015" w:name="_Toc146796539"/>
      <w:bookmarkStart w:id="3016" w:name="_Toc146798229"/>
      <w:bookmarkStart w:id="3017" w:name="_Toc146800841"/>
      <w:bookmarkStart w:id="3018" w:name="_Toc146803476"/>
      <w:bookmarkStart w:id="3019" w:name="_Toc146805180"/>
      <w:bookmarkStart w:id="3020" w:name="_Toc146806884"/>
      <w:bookmarkStart w:id="3021" w:name="_Toc148704943"/>
      <w:bookmarkStart w:id="3022" w:name="_Toc149557901"/>
      <w:bookmarkStart w:id="3023" w:name="_Toc150785357"/>
      <w:bookmarkStart w:id="3024" w:name="_Toc150854811"/>
      <w:bookmarkStart w:id="3025" w:name="_Toc151991750"/>
      <w:bookmarkStart w:id="3026" w:name="_Toc152334850"/>
      <w:bookmarkStart w:id="3027" w:name="_Toc153271216"/>
      <w:bookmarkStart w:id="3028" w:name="_Toc157501051"/>
      <w:bookmarkStart w:id="3029" w:name="_Toc159232226"/>
      <w:bookmarkStart w:id="3030" w:name="_Toc146631385"/>
      <w:bookmarkStart w:id="3031" w:name="_Toc146633252"/>
      <w:bookmarkStart w:id="3032" w:name="_Toc146630979"/>
      <w:bookmarkStart w:id="3033" w:name="_Toc146793149"/>
      <w:bookmarkStart w:id="3034" w:name="_Toc146794845"/>
      <w:bookmarkStart w:id="3035" w:name="_Toc146796540"/>
      <w:bookmarkStart w:id="3036" w:name="_Toc146798230"/>
      <w:bookmarkStart w:id="3037" w:name="_Toc146800842"/>
      <w:bookmarkStart w:id="3038" w:name="_Toc146803477"/>
      <w:bookmarkStart w:id="3039" w:name="_Toc146805181"/>
      <w:bookmarkStart w:id="3040" w:name="_Toc146806885"/>
      <w:bookmarkStart w:id="3041" w:name="_Toc148704944"/>
      <w:bookmarkStart w:id="3042" w:name="_Toc149557902"/>
      <w:bookmarkStart w:id="3043" w:name="_Toc150785358"/>
      <w:bookmarkStart w:id="3044" w:name="_Toc150854812"/>
      <w:bookmarkStart w:id="3045" w:name="_Toc151991751"/>
      <w:bookmarkStart w:id="3046" w:name="_Toc152334851"/>
      <w:bookmarkStart w:id="3047" w:name="_Toc153271217"/>
      <w:bookmarkStart w:id="3048" w:name="_Toc157501052"/>
      <w:bookmarkStart w:id="3049" w:name="_Toc159232227"/>
      <w:bookmarkStart w:id="3050" w:name="_Toc146631386"/>
      <w:bookmarkStart w:id="3051" w:name="_Toc146633253"/>
      <w:bookmarkStart w:id="3052" w:name="_Toc146630980"/>
      <w:bookmarkStart w:id="3053" w:name="_Toc146793150"/>
      <w:bookmarkStart w:id="3054" w:name="_Toc146794846"/>
      <w:bookmarkStart w:id="3055" w:name="_Toc146796541"/>
      <w:bookmarkStart w:id="3056" w:name="_Toc146798231"/>
      <w:bookmarkStart w:id="3057" w:name="_Toc146800843"/>
      <w:bookmarkStart w:id="3058" w:name="_Toc146803478"/>
      <w:bookmarkStart w:id="3059" w:name="_Toc146805182"/>
      <w:bookmarkStart w:id="3060" w:name="_Toc146806886"/>
      <w:bookmarkStart w:id="3061" w:name="_Toc148704945"/>
      <w:bookmarkStart w:id="3062" w:name="_Toc149557903"/>
      <w:bookmarkStart w:id="3063" w:name="_Toc150785359"/>
      <w:bookmarkStart w:id="3064" w:name="_Toc150854813"/>
      <w:bookmarkStart w:id="3065" w:name="_Toc151991752"/>
      <w:bookmarkStart w:id="3066" w:name="_Toc152334852"/>
      <w:bookmarkStart w:id="3067" w:name="_Toc153271218"/>
      <w:bookmarkStart w:id="3068" w:name="_Toc157501053"/>
      <w:bookmarkStart w:id="3069" w:name="_Toc159232228"/>
      <w:bookmarkStart w:id="3070" w:name="_Toc245633962"/>
      <w:bookmarkStart w:id="3071" w:name="_Toc245634114"/>
      <w:bookmarkStart w:id="3072" w:name="_Toc245728004"/>
      <w:bookmarkStart w:id="3073" w:name="_Toc248644128"/>
      <w:bookmarkStart w:id="3074" w:name="_Toc258924856"/>
      <w:bookmarkStart w:id="3075" w:name="_Toc263173297"/>
      <w:bookmarkStart w:id="3076" w:name="_Toc263173614"/>
      <w:bookmarkStart w:id="3077" w:name="_Toc263173800"/>
      <w:bookmarkStart w:id="3078" w:name="_Toc263174175"/>
      <w:bookmarkStart w:id="3079" w:name="_Toc263235074"/>
      <w:bookmarkStart w:id="3080" w:name="_Toc263235717"/>
      <w:bookmarkStart w:id="3081" w:name="_Toc263429409"/>
      <w:bookmarkStart w:id="3082" w:name="_Toc263795447"/>
      <w:bookmarkStart w:id="3083" w:name="_Toc266869623"/>
      <w:bookmarkStart w:id="3084" w:name="_Toc163740183"/>
      <w:bookmarkStart w:id="3085" w:name="_Toc213771837"/>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r w:rsidRPr="00FE298F">
        <w:t>Through Interchange Transactions</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5996E2B1" w14:textId="23FC1B41" w:rsidR="00C70F99" w:rsidRPr="00AD5C65" w:rsidRDefault="00C70F99" w:rsidP="00C70F99">
      <w:pPr>
        <w:tabs>
          <w:tab w:val="left" w:pos="4590"/>
        </w:tabs>
        <w:spacing w:before="120" w:line="300" w:lineRule="auto"/>
        <w:rPr>
          <w:szCs w:val="24"/>
        </w:rPr>
      </w:pPr>
      <w:r w:rsidRPr="00AD5C65">
        <w:rPr>
          <w:szCs w:val="24"/>
        </w:rPr>
        <w:t>Energy scheduled through the Markets + Footprint will be settled in the Day-Ahead Market, RTBM</w:t>
      </w:r>
      <w:r w:rsidR="003B7B25">
        <w:rPr>
          <w:szCs w:val="24"/>
        </w:rPr>
        <w:t>,</w:t>
      </w:r>
      <w:r w:rsidRPr="00AD5C65">
        <w:rPr>
          <w:szCs w:val="24"/>
        </w:rPr>
        <w:t xml:space="preserve"> or both.  A Market Participant must reserve transmission service prior to submittal of the schedule in an amount sufficient to cover the request in accordance with the applicable Markets+ Transmission Service Providers</w:t>
      </w:r>
      <w:r w:rsidR="00920CF3">
        <w:rPr>
          <w:szCs w:val="24"/>
        </w:rPr>
        <w:t>’</w:t>
      </w:r>
      <w:r w:rsidRPr="00AD5C65">
        <w:rPr>
          <w:szCs w:val="24"/>
        </w:rPr>
        <w:t xml:space="preserve"> OATTs.</w:t>
      </w:r>
    </w:p>
    <w:p w14:paraId="0C838036" w14:textId="74D1764E" w:rsidR="00C70F99" w:rsidRPr="00AD5C65" w:rsidRDefault="00C70F99" w:rsidP="00C35DA0">
      <w:pPr>
        <w:numPr>
          <w:ilvl w:val="0"/>
          <w:numId w:val="18"/>
        </w:numPr>
        <w:tabs>
          <w:tab w:val="left" w:pos="4590"/>
        </w:tabs>
        <w:spacing w:before="120" w:line="300" w:lineRule="auto"/>
        <w:ind w:hanging="540"/>
        <w:rPr>
          <w:szCs w:val="24"/>
        </w:rPr>
      </w:pPr>
      <w:r w:rsidRPr="00AD5C65">
        <w:rPr>
          <w:szCs w:val="24"/>
        </w:rPr>
        <w:t xml:space="preserve">Through Interchange Transactions will be submitted via </w:t>
      </w:r>
      <w:r>
        <w:rPr>
          <w:szCs w:val="24"/>
        </w:rPr>
        <w:t xml:space="preserve">valid </w:t>
      </w:r>
      <w:r w:rsidR="00746537">
        <w:rPr>
          <w:szCs w:val="24"/>
        </w:rPr>
        <w:t>e</w:t>
      </w:r>
      <w:r w:rsidRPr="00AD5C65">
        <w:rPr>
          <w:szCs w:val="24"/>
        </w:rPr>
        <w:t>-tag;</w:t>
      </w:r>
    </w:p>
    <w:p w14:paraId="2BDA5E47" w14:textId="03099EAE" w:rsidR="00C70F99" w:rsidRPr="00081725" w:rsidRDefault="00C70F99" w:rsidP="00C35DA0">
      <w:pPr>
        <w:numPr>
          <w:ilvl w:val="0"/>
          <w:numId w:val="18"/>
        </w:numPr>
        <w:tabs>
          <w:tab w:val="left" w:pos="4590"/>
        </w:tabs>
        <w:spacing w:before="120" w:line="300" w:lineRule="auto"/>
        <w:ind w:hanging="540"/>
        <w:rPr>
          <w:szCs w:val="24"/>
        </w:rPr>
      </w:pPr>
      <w:r w:rsidRPr="00081725">
        <w:rPr>
          <w:szCs w:val="24"/>
        </w:rPr>
        <w:t>On</w:t>
      </w:r>
      <w:r>
        <w:rPr>
          <w:szCs w:val="24"/>
        </w:rPr>
        <w:t xml:space="preserve">ly Self-Schedule </w:t>
      </w:r>
      <w:r w:rsidRPr="00081725">
        <w:rPr>
          <w:szCs w:val="24"/>
        </w:rPr>
        <w:t>Through Interchange Transactions will be supported.</w:t>
      </w:r>
      <w:r>
        <w:rPr>
          <w:szCs w:val="24"/>
        </w:rPr>
        <w:t xml:space="preserve"> </w:t>
      </w:r>
      <w:r w:rsidRPr="00081725">
        <w:rPr>
          <w:szCs w:val="24"/>
        </w:rPr>
        <w:t>A Self-Schedule Through Interchange Transaction is a specified MW that will be cleared regardless of the price at either of the External Interface Settlement Locations (Source G</w:t>
      </w:r>
      <w:r w:rsidR="007E203E">
        <w:rPr>
          <w:szCs w:val="24"/>
        </w:rPr>
        <w:t xml:space="preserve">enerator </w:t>
      </w:r>
      <w:r w:rsidRPr="00081725">
        <w:rPr>
          <w:szCs w:val="24"/>
        </w:rPr>
        <w:t>C</w:t>
      </w:r>
      <w:r w:rsidR="007E203E">
        <w:rPr>
          <w:szCs w:val="24"/>
        </w:rPr>
        <w:t xml:space="preserve">ontrol </w:t>
      </w:r>
      <w:r w:rsidRPr="00081725">
        <w:rPr>
          <w:szCs w:val="24"/>
        </w:rPr>
        <w:t>A</w:t>
      </w:r>
      <w:r w:rsidR="007E203E">
        <w:rPr>
          <w:szCs w:val="24"/>
        </w:rPr>
        <w:t>rea</w:t>
      </w:r>
      <w:r w:rsidRPr="00081725">
        <w:rPr>
          <w:szCs w:val="24"/>
        </w:rPr>
        <w:t xml:space="preserve"> and Sink L</w:t>
      </w:r>
      <w:r w:rsidR="001A7EB2">
        <w:rPr>
          <w:szCs w:val="24"/>
        </w:rPr>
        <w:t xml:space="preserve">oad </w:t>
      </w:r>
      <w:r w:rsidRPr="00081725">
        <w:rPr>
          <w:szCs w:val="24"/>
        </w:rPr>
        <w:t>C</w:t>
      </w:r>
      <w:r w:rsidR="001A7EB2">
        <w:rPr>
          <w:szCs w:val="24"/>
        </w:rPr>
        <w:t xml:space="preserve">ontrol </w:t>
      </w:r>
      <w:r w:rsidRPr="00081725">
        <w:rPr>
          <w:szCs w:val="24"/>
        </w:rPr>
        <w:t>A</w:t>
      </w:r>
      <w:r w:rsidR="001A7EB2">
        <w:rPr>
          <w:szCs w:val="24"/>
        </w:rPr>
        <w:t>rea</w:t>
      </w:r>
      <w:r w:rsidR="00F84881">
        <w:rPr>
          <w:szCs w:val="24"/>
        </w:rPr>
        <w:t xml:space="preserve"> or DC Tie</w:t>
      </w:r>
      <w:r w:rsidR="006D1DE4">
        <w:rPr>
          <w:szCs w:val="24"/>
        </w:rPr>
        <w:t>, if spanning interconnections,</w:t>
      </w:r>
      <w:r w:rsidRPr="00081725">
        <w:rPr>
          <w:szCs w:val="24"/>
        </w:rPr>
        <w:t xml:space="preserve"> specified on </w:t>
      </w:r>
      <w:r w:rsidR="00C731F4">
        <w:rPr>
          <w:szCs w:val="24"/>
        </w:rPr>
        <w:t>e</w:t>
      </w:r>
      <w:r w:rsidRPr="00081725">
        <w:rPr>
          <w:szCs w:val="24"/>
        </w:rPr>
        <w:t>-Tag).  If submitted for use in the</w:t>
      </w:r>
      <w:r w:rsidR="00966B55">
        <w:rPr>
          <w:szCs w:val="24"/>
        </w:rPr>
        <w:t xml:space="preserve"> Day-Ahead </w:t>
      </w:r>
      <w:r w:rsidRPr="00081725">
        <w:rPr>
          <w:szCs w:val="24"/>
        </w:rPr>
        <w:t>Market, a Self-Schedule Through Interchange Transaction will automatically roll forward as a fixed MW schedule for use in RUC and the RTBM.  If submitted for use in the RTBM, the Self-Schedule Through Interchange Transaction will clear in the RTBM and will be considered a fixed MW schedule for use in any RUC processes.</w:t>
      </w:r>
    </w:p>
    <w:p w14:paraId="70231E65" w14:textId="77777777" w:rsidR="00C70F99" w:rsidRPr="00BA5CBB" w:rsidRDefault="00C70F99" w:rsidP="00C70F99">
      <w:pPr>
        <w:pStyle w:val="ParaText"/>
      </w:pPr>
    </w:p>
    <w:p w14:paraId="0E51F4BE" w14:textId="5163784F" w:rsidR="00C70F99" w:rsidRPr="00D1363C" w:rsidRDefault="00C70F99" w:rsidP="00CB5653">
      <w:pPr>
        <w:pStyle w:val="Heading3"/>
      </w:pPr>
      <w:bookmarkStart w:id="3086" w:name="_Toc145062731"/>
      <w:bookmarkStart w:id="3087" w:name="_Toc145067343"/>
      <w:bookmarkStart w:id="3088" w:name="_Toc146627659"/>
      <w:bookmarkStart w:id="3089" w:name="_Toc146629524"/>
      <w:bookmarkStart w:id="3090" w:name="_Toc146631391"/>
      <w:bookmarkStart w:id="3091" w:name="_Toc146633258"/>
      <w:bookmarkStart w:id="3092" w:name="_Toc146630985"/>
      <w:bookmarkStart w:id="3093" w:name="_Toc146793155"/>
      <w:bookmarkStart w:id="3094" w:name="_Toc146794851"/>
      <w:bookmarkStart w:id="3095" w:name="_Toc146796546"/>
      <w:bookmarkStart w:id="3096" w:name="_Toc146798236"/>
      <w:bookmarkStart w:id="3097" w:name="_Toc146800848"/>
      <w:bookmarkStart w:id="3098" w:name="_Toc146803483"/>
      <w:bookmarkStart w:id="3099" w:name="_Toc146805187"/>
      <w:bookmarkStart w:id="3100" w:name="_Toc146806891"/>
      <w:bookmarkStart w:id="3101" w:name="_Toc148704950"/>
      <w:bookmarkStart w:id="3102" w:name="_Toc149557908"/>
      <w:bookmarkStart w:id="3103" w:name="_Toc150785364"/>
      <w:bookmarkStart w:id="3104" w:name="_Toc150854818"/>
      <w:bookmarkStart w:id="3105" w:name="_Toc151991757"/>
      <w:bookmarkStart w:id="3106" w:name="_Toc152334857"/>
      <w:bookmarkStart w:id="3107" w:name="_Toc153271223"/>
      <w:bookmarkStart w:id="3108" w:name="_Toc157501058"/>
      <w:bookmarkStart w:id="3109" w:name="_Toc159232233"/>
      <w:bookmarkStart w:id="3110" w:name="_Toc145062735"/>
      <w:bookmarkStart w:id="3111" w:name="_Toc145067347"/>
      <w:bookmarkStart w:id="3112" w:name="_Toc146627663"/>
      <w:bookmarkStart w:id="3113" w:name="_Toc146629528"/>
      <w:bookmarkStart w:id="3114" w:name="_Toc146631395"/>
      <w:bookmarkStart w:id="3115" w:name="_Toc146633262"/>
      <w:bookmarkStart w:id="3116" w:name="_Toc146630989"/>
      <w:bookmarkStart w:id="3117" w:name="_Toc146793159"/>
      <w:bookmarkStart w:id="3118" w:name="_Toc146794855"/>
      <w:bookmarkStart w:id="3119" w:name="_Toc146796550"/>
      <w:bookmarkStart w:id="3120" w:name="_Toc146798240"/>
      <w:bookmarkStart w:id="3121" w:name="_Toc146800852"/>
      <w:bookmarkStart w:id="3122" w:name="_Toc146803487"/>
      <w:bookmarkStart w:id="3123" w:name="_Toc146805191"/>
      <w:bookmarkStart w:id="3124" w:name="_Toc146806895"/>
      <w:bookmarkStart w:id="3125" w:name="_Toc148704954"/>
      <w:bookmarkStart w:id="3126" w:name="_Toc149557912"/>
      <w:bookmarkStart w:id="3127" w:name="_Toc150785368"/>
      <w:bookmarkStart w:id="3128" w:name="_Toc150854822"/>
      <w:bookmarkStart w:id="3129" w:name="_Toc151991761"/>
      <w:bookmarkStart w:id="3130" w:name="_Toc152334861"/>
      <w:bookmarkStart w:id="3131" w:name="_Toc153271227"/>
      <w:bookmarkStart w:id="3132" w:name="_Toc157501062"/>
      <w:bookmarkStart w:id="3133" w:name="_Toc159232237"/>
      <w:bookmarkStart w:id="3134" w:name="_Toc234814886"/>
      <w:bookmarkStart w:id="3135" w:name="_Toc237163842"/>
      <w:bookmarkStart w:id="3136" w:name="_Toc243211979"/>
      <w:bookmarkStart w:id="3137" w:name="_Toc245633963"/>
      <w:bookmarkStart w:id="3138" w:name="_Toc245634115"/>
      <w:bookmarkStart w:id="3139" w:name="_Toc245728005"/>
      <w:bookmarkStart w:id="3140" w:name="_Toc248644129"/>
      <w:bookmarkStart w:id="3141" w:name="_Toc258924857"/>
      <w:bookmarkStart w:id="3142" w:name="_Toc263173298"/>
      <w:bookmarkStart w:id="3143" w:name="_Toc263173615"/>
      <w:bookmarkStart w:id="3144" w:name="_Toc263173801"/>
      <w:bookmarkStart w:id="3145" w:name="_Toc263174176"/>
      <w:bookmarkStart w:id="3146" w:name="_Toc263235075"/>
      <w:bookmarkStart w:id="3147" w:name="_Toc263235718"/>
      <w:bookmarkStart w:id="3148" w:name="_Toc263429410"/>
      <w:bookmarkStart w:id="3149" w:name="_Toc263795448"/>
      <w:bookmarkStart w:id="3150" w:name="_Toc266869625"/>
      <w:bookmarkStart w:id="3151" w:name="_Toc163740184"/>
      <w:bookmarkStart w:id="3152" w:name="_Toc213771838"/>
      <w:bookmarkEnd w:id="735"/>
      <w:bookmarkEnd w:id="736"/>
      <w:bookmarkEnd w:id="2829"/>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r w:rsidRPr="00D1363C">
        <w:t>Multi-Day Forecast Analysis</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7926CDCC" w14:textId="5D80443E" w:rsidR="00C70F99" w:rsidRPr="00D1363C" w:rsidRDefault="00C70F99" w:rsidP="00C70F99">
      <w:pPr>
        <w:spacing w:before="120" w:line="300" w:lineRule="auto"/>
      </w:pPr>
      <w:r w:rsidRPr="00D1363C">
        <w:t>The Multi-Day Forecast Analysis (MDFA) study</w:t>
      </w:r>
      <w:r w:rsidRPr="00D1363C">
        <w:rPr>
          <w:szCs w:val="24"/>
        </w:rPr>
        <w:t xml:space="preserve"> is a non-binding, informational study that provides a commitment</w:t>
      </w:r>
      <w:r w:rsidR="007C0F31">
        <w:rPr>
          <w:szCs w:val="24"/>
        </w:rPr>
        <w:t>, dispatch</w:t>
      </w:r>
      <w:r w:rsidR="00103224">
        <w:rPr>
          <w:szCs w:val="24"/>
        </w:rPr>
        <w:t>,</w:t>
      </w:r>
      <w:r w:rsidRPr="00D1363C">
        <w:rPr>
          <w:szCs w:val="24"/>
        </w:rPr>
        <w:t xml:space="preserve"> and pricing forecast based on the latest available forecast and commitment data.  It runs daily after the Day-Ahead Market posting and has a study period covering the next three</w:t>
      </w:r>
      <w:r w:rsidR="00DA3FA5">
        <w:rPr>
          <w:szCs w:val="24"/>
        </w:rPr>
        <w:t xml:space="preserve"> (3)</w:t>
      </w:r>
      <w:r w:rsidRPr="00D1363C">
        <w:rPr>
          <w:szCs w:val="24"/>
        </w:rPr>
        <w:t xml:space="preserve"> to seven</w:t>
      </w:r>
      <w:r w:rsidR="00DA3FA5">
        <w:rPr>
          <w:szCs w:val="24"/>
        </w:rPr>
        <w:t xml:space="preserve"> (7)</w:t>
      </w:r>
      <w:r w:rsidRPr="00D1363C">
        <w:rPr>
          <w:szCs w:val="24"/>
        </w:rPr>
        <w:t xml:space="preserve"> Operating Days at an hourly granularity.  The Market Operator uses a RUC combined with a SCED, similar to the Day-Ahead Market clearing, to perform the analysis.</w:t>
      </w:r>
      <w:r w:rsidRPr="00D1363C">
        <w:t xml:space="preserve"> </w:t>
      </w:r>
    </w:p>
    <w:p w14:paraId="60B214D3" w14:textId="0761BC87" w:rsidR="00C70F99" w:rsidRPr="00D1363C" w:rsidRDefault="00C70F99" w:rsidP="00574EDE">
      <w:pPr>
        <w:pStyle w:val="Heading4"/>
      </w:pPr>
      <w:bookmarkStart w:id="3153" w:name="_Toc134796633"/>
      <w:bookmarkStart w:id="3154" w:name="_Toc134798929"/>
      <w:bookmarkStart w:id="3155" w:name="_Toc145059337"/>
      <w:bookmarkStart w:id="3156" w:name="_Toc145062739"/>
      <w:bookmarkStart w:id="3157" w:name="_Toc145067351"/>
      <w:bookmarkStart w:id="3158" w:name="_Toc146627667"/>
      <w:bookmarkStart w:id="3159" w:name="_Toc146629532"/>
      <w:bookmarkStart w:id="3160" w:name="_Toc146631399"/>
      <w:bookmarkStart w:id="3161" w:name="_Toc146633266"/>
      <w:bookmarkStart w:id="3162" w:name="_Toc146630993"/>
      <w:bookmarkStart w:id="3163" w:name="_Toc146793163"/>
      <w:bookmarkStart w:id="3164" w:name="_Toc146794859"/>
      <w:bookmarkStart w:id="3165" w:name="_Toc146796554"/>
      <w:bookmarkStart w:id="3166" w:name="_Toc146798244"/>
      <w:bookmarkStart w:id="3167" w:name="_Toc146800856"/>
      <w:bookmarkStart w:id="3168" w:name="_Toc146803491"/>
      <w:bookmarkStart w:id="3169" w:name="_Toc146805195"/>
      <w:bookmarkStart w:id="3170" w:name="_Toc146806899"/>
      <w:bookmarkStart w:id="3171" w:name="_Toc148704958"/>
      <w:bookmarkStart w:id="3172" w:name="_Toc149557916"/>
      <w:bookmarkStart w:id="3173" w:name="_Toc150785372"/>
      <w:bookmarkStart w:id="3174" w:name="_Toc150854826"/>
      <w:bookmarkStart w:id="3175" w:name="_Toc151991765"/>
      <w:bookmarkStart w:id="3176" w:name="_Toc152334865"/>
      <w:bookmarkStart w:id="3177" w:name="_Toc153271231"/>
      <w:bookmarkStart w:id="3178" w:name="_Toc157501066"/>
      <w:bookmarkStart w:id="3179" w:name="_Toc159232241"/>
      <w:bookmarkStart w:id="3180" w:name="_Toc245633964"/>
      <w:bookmarkStart w:id="3181" w:name="_Toc245634116"/>
      <w:bookmarkStart w:id="3182" w:name="_Toc245728006"/>
      <w:bookmarkStart w:id="3183" w:name="_Toc248644130"/>
      <w:bookmarkStart w:id="3184" w:name="_Toc258924858"/>
      <w:bookmarkStart w:id="3185" w:name="_Toc263173299"/>
      <w:bookmarkStart w:id="3186" w:name="_Toc263429411"/>
      <w:bookmarkStart w:id="3187" w:name="_Toc263795449"/>
      <w:bookmarkStart w:id="3188" w:name="_Toc266869626"/>
      <w:bookmarkStart w:id="3189" w:name="_Toc163740185"/>
      <w:bookmarkStart w:id="3190" w:name="_Toc213771839"/>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r w:rsidRPr="00D1363C">
        <w:t>Multi-Day Forecast Analysis Inputs</w:t>
      </w:r>
      <w:bookmarkEnd w:id="3180"/>
      <w:bookmarkEnd w:id="3181"/>
      <w:bookmarkEnd w:id="3182"/>
      <w:bookmarkEnd w:id="3183"/>
      <w:bookmarkEnd w:id="3184"/>
      <w:bookmarkEnd w:id="3185"/>
      <w:bookmarkEnd w:id="3186"/>
      <w:bookmarkEnd w:id="3187"/>
      <w:bookmarkEnd w:id="3188"/>
      <w:bookmarkEnd w:id="3189"/>
      <w:bookmarkEnd w:id="3190"/>
    </w:p>
    <w:p w14:paraId="2AD5DD76" w14:textId="77777777" w:rsidR="00C70F99" w:rsidRPr="00D1363C" w:rsidRDefault="00C70F99" w:rsidP="00C70F99">
      <w:pPr>
        <w:spacing w:before="120" w:line="300" w:lineRule="auto"/>
        <w:rPr>
          <w:szCs w:val="24"/>
        </w:rPr>
      </w:pPr>
      <w:r w:rsidRPr="00D1363C">
        <w:rPr>
          <w:szCs w:val="24"/>
        </w:rPr>
        <w:t>Inputs to the Multi-Day Forecast Analysis process will consist of:</w:t>
      </w:r>
    </w:p>
    <w:p w14:paraId="699DC68A" w14:textId="77777777" w:rsidR="00C70F99" w:rsidRPr="00D1363C" w:rsidRDefault="00C70F99" w:rsidP="00C70F99">
      <w:pPr>
        <w:numPr>
          <w:ilvl w:val="0"/>
          <w:numId w:val="2"/>
        </w:numPr>
        <w:spacing w:before="120" w:line="300" w:lineRule="auto"/>
        <w:ind w:hanging="540"/>
        <w:rPr>
          <w:szCs w:val="24"/>
        </w:rPr>
      </w:pPr>
      <w:r w:rsidRPr="00D1363C">
        <w:rPr>
          <w:szCs w:val="24"/>
        </w:rPr>
        <w:t>RTBM Resource Offers;</w:t>
      </w:r>
    </w:p>
    <w:p w14:paraId="64D691B2" w14:textId="77777777" w:rsidR="00C70F99" w:rsidRPr="00D1363C" w:rsidRDefault="00C70F99" w:rsidP="00C70F99">
      <w:pPr>
        <w:numPr>
          <w:ilvl w:val="0"/>
          <w:numId w:val="2"/>
        </w:numPr>
        <w:spacing w:before="120" w:line="300" w:lineRule="auto"/>
        <w:ind w:hanging="540"/>
        <w:rPr>
          <w:szCs w:val="24"/>
        </w:rPr>
      </w:pPr>
      <w:r w:rsidRPr="00D1363C">
        <w:rPr>
          <w:szCs w:val="24"/>
        </w:rPr>
        <w:t>Estimated Self-Schedule Export Interchange Transaction Bids;</w:t>
      </w:r>
    </w:p>
    <w:p w14:paraId="16A03348" w14:textId="77777777" w:rsidR="00C70F99" w:rsidRPr="00D1363C" w:rsidRDefault="00C70F99" w:rsidP="00C70F99">
      <w:pPr>
        <w:numPr>
          <w:ilvl w:val="0"/>
          <w:numId w:val="2"/>
        </w:numPr>
        <w:spacing w:before="120" w:line="300" w:lineRule="auto"/>
        <w:ind w:hanging="540"/>
        <w:rPr>
          <w:szCs w:val="24"/>
        </w:rPr>
      </w:pPr>
      <w:r w:rsidRPr="00D1363C">
        <w:rPr>
          <w:szCs w:val="24"/>
        </w:rPr>
        <w:t>Estimated Self-Schedule Import Interchange Transaction Offers;</w:t>
      </w:r>
    </w:p>
    <w:p w14:paraId="070EFC7E" w14:textId="77777777" w:rsidR="00C70F99" w:rsidRPr="00D1363C" w:rsidRDefault="00C70F99" w:rsidP="00C70F99">
      <w:pPr>
        <w:numPr>
          <w:ilvl w:val="0"/>
          <w:numId w:val="2"/>
        </w:numPr>
        <w:spacing w:before="120" w:line="300" w:lineRule="auto"/>
        <w:ind w:hanging="540"/>
        <w:rPr>
          <w:szCs w:val="24"/>
        </w:rPr>
      </w:pPr>
      <w:r w:rsidRPr="00D1363C">
        <w:rPr>
          <w:szCs w:val="24"/>
        </w:rPr>
        <w:t>Estimated Markets+ Footprint Flexibility Reserve requirements (market-wide and Reserve Zone min and max) based on historical requirements;</w:t>
      </w:r>
    </w:p>
    <w:p w14:paraId="64F91482" w14:textId="4A585358" w:rsidR="00C70F99" w:rsidRPr="00D1363C" w:rsidRDefault="00C70F99" w:rsidP="00C70F99">
      <w:pPr>
        <w:numPr>
          <w:ilvl w:val="0"/>
          <w:numId w:val="2"/>
        </w:numPr>
        <w:spacing w:before="120" w:line="300" w:lineRule="auto"/>
        <w:ind w:hanging="540"/>
        <w:rPr>
          <w:szCs w:val="24"/>
        </w:rPr>
      </w:pPr>
      <w:r w:rsidRPr="00D1363C">
        <w:rPr>
          <w:szCs w:val="24"/>
        </w:rPr>
        <w:t xml:space="preserve">Market Operator Mid-Term Load Forecast (MTLF) as described under Section </w:t>
      </w:r>
      <w:r w:rsidRPr="00527493">
        <w:rPr>
          <w:szCs w:val="24"/>
        </w:rPr>
        <w:fldChar w:fldCharType="begin"/>
      </w:r>
      <w:r w:rsidRPr="00527493">
        <w:rPr>
          <w:szCs w:val="24"/>
        </w:rPr>
        <w:instrText xml:space="preserve"> REF _Ref270488652 \r \h  \* MERGEFORMAT </w:instrText>
      </w:r>
      <w:r w:rsidRPr="00527493">
        <w:rPr>
          <w:szCs w:val="24"/>
        </w:rPr>
      </w:r>
      <w:r w:rsidRPr="00527493">
        <w:rPr>
          <w:szCs w:val="24"/>
        </w:rPr>
        <w:fldChar w:fldCharType="separate"/>
      </w:r>
      <w:r w:rsidR="001B2CA0">
        <w:rPr>
          <w:szCs w:val="24"/>
        </w:rPr>
        <w:t>4.1.2.1</w:t>
      </w:r>
      <w:r w:rsidRPr="00527493">
        <w:rPr>
          <w:szCs w:val="24"/>
        </w:rPr>
        <w:fldChar w:fldCharType="end"/>
      </w:r>
      <w:r w:rsidRPr="00D1363C">
        <w:rPr>
          <w:szCs w:val="24"/>
        </w:rPr>
        <w:t>;</w:t>
      </w:r>
    </w:p>
    <w:p w14:paraId="4294BBE8" w14:textId="762B4B4A" w:rsidR="00C70F99" w:rsidRPr="00D1363C" w:rsidRDefault="00C70F99" w:rsidP="00C70F99">
      <w:pPr>
        <w:numPr>
          <w:ilvl w:val="0"/>
          <w:numId w:val="2"/>
        </w:numPr>
        <w:spacing w:before="120" w:line="300" w:lineRule="auto"/>
        <w:ind w:hanging="540"/>
        <w:rPr>
          <w:szCs w:val="24"/>
        </w:rPr>
      </w:pPr>
      <w:r w:rsidRPr="00D1363C">
        <w:rPr>
          <w:szCs w:val="24"/>
        </w:rPr>
        <w:t xml:space="preserve">Variable Energy Resource output forecasts as described under Section </w:t>
      </w:r>
      <w:r w:rsidRPr="00527493">
        <w:rPr>
          <w:szCs w:val="24"/>
        </w:rPr>
        <w:fldChar w:fldCharType="begin"/>
      </w:r>
      <w:r w:rsidRPr="00527493">
        <w:rPr>
          <w:szCs w:val="24"/>
        </w:rPr>
        <w:instrText xml:space="preserve"> REF _Ref270488682 \r \h  \* MERGEFORMAT </w:instrText>
      </w:r>
      <w:r w:rsidRPr="00527493">
        <w:rPr>
          <w:szCs w:val="24"/>
        </w:rPr>
      </w:r>
      <w:r w:rsidRPr="00527493">
        <w:rPr>
          <w:szCs w:val="24"/>
        </w:rPr>
        <w:fldChar w:fldCharType="separate"/>
      </w:r>
      <w:r w:rsidR="001B2CA0">
        <w:rPr>
          <w:szCs w:val="24"/>
        </w:rPr>
        <w:t>4.1.2.1.6</w:t>
      </w:r>
      <w:r w:rsidRPr="00527493">
        <w:rPr>
          <w:szCs w:val="24"/>
        </w:rPr>
        <w:fldChar w:fldCharType="end"/>
      </w:r>
      <w:r w:rsidRPr="00D1363C">
        <w:rPr>
          <w:szCs w:val="24"/>
        </w:rPr>
        <w:t>;</w:t>
      </w:r>
    </w:p>
    <w:p w14:paraId="5EF996B6" w14:textId="77777777" w:rsidR="00C70F99" w:rsidRPr="00D1363C" w:rsidRDefault="00C70F99" w:rsidP="00C70F99">
      <w:pPr>
        <w:numPr>
          <w:ilvl w:val="0"/>
          <w:numId w:val="2"/>
        </w:numPr>
        <w:spacing w:before="120" w:line="300" w:lineRule="auto"/>
        <w:ind w:hanging="540"/>
        <w:rPr>
          <w:szCs w:val="24"/>
        </w:rPr>
      </w:pPr>
      <w:r w:rsidRPr="00D1363C">
        <w:rPr>
          <w:szCs w:val="24"/>
        </w:rPr>
        <w:t xml:space="preserve">Transmission system topology with approved transmission system outages; </w:t>
      </w:r>
    </w:p>
    <w:p w14:paraId="28179F62" w14:textId="77777777" w:rsidR="00C70F99" w:rsidRPr="00D1363C" w:rsidRDefault="00C70F99" w:rsidP="00C70F99">
      <w:pPr>
        <w:numPr>
          <w:ilvl w:val="0"/>
          <w:numId w:val="2"/>
        </w:numPr>
        <w:spacing w:before="120" w:line="300" w:lineRule="auto"/>
        <w:ind w:hanging="540"/>
        <w:rPr>
          <w:szCs w:val="24"/>
        </w:rPr>
      </w:pPr>
      <w:r w:rsidRPr="00D1363C">
        <w:rPr>
          <w:szCs w:val="24"/>
        </w:rPr>
        <w:t xml:space="preserve">Resource outages; </w:t>
      </w:r>
    </w:p>
    <w:p w14:paraId="2D4A2F38" w14:textId="77777777" w:rsidR="00C70F99" w:rsidRPr="00D1363C" w:rsidRDefault="00C70F99" w:rsidP="00C70F99">
      <w:pPr>
        <w:numPr>
          <w:ilvl w:val="0"/>
          <w:numId w:val="2"/>
        </w:numPr>
        <w:spacing w:before="120" w:line="300" w:lineRule="auto"/>
        <w:ind w:hanging="540"/>
        <w:rPr>
          <w:szCs w:val="24"/>
        </w:rPr>
      </w:pPr>
      <w:r w:rsidRPr="00D1363C">
        <w:rPr>
          <w:szCs w:val="24"/>
        </w:rPr>
        <w:t>RTBM Resource Commitment Status; and</w:t>
      </w:r>
    </w:p>
    <w:p w14:paraId="12024F2A" w14:textId="77777777" w:rsidR="00C70F99" w:rsidRPr="00D1363C" w:rsidRDefault="00C70F99" w:rsidP="00C70F99">
      <w:pPr>
        <w:numPr>
          <w:ilvl w:val="0"/>
          <w:numId w:val="2"/>
        </w:numPr>
        <w:spacing w:before="120" w:line="300" w:lineRule="auto"/>
        <w:ind w:hanging="540"/>
        <w:rPr>
          <w:szCs w:val="24"/>
        </w:rPr>
      </w:pPr>
      <w:r w:rsidRPr="00D1363C">
        <w:rPr>
          <w:szCs w:val="24"/>
        </w:rPr>
        <w:t xml:space="preserve">Current Operating Plan (COP). </w:t>
      </w:r>
    </w:p>
    <w:p w14:paraId="7DA3AD3C" w14:textId="3069553E" w:rsidR="00C70F99" w:rsidRPr="00D1363C" w:rsidRDefault="00C70F99" w:rsidP="00574EDE">
      <w:pPr>
        <w:pStyle w:val="Heading4"/>
      </w:pPr>
      <w:bookmarkStart w:id="3191" w:name="_Toc134796635"/>
      <w:bookmarkStart w:id="3192" w:name="_Toc134798931"/>
      <w:bookmarkStart w:id="3193" w:name="_Toc145059339"/>
      <w:bookmarkStart w:id="3194" w:name="_Toc145062741"/>
      <w:bookmarkStart w:id="3195" w:name="_Toc145067353"/>
      <w:bookmarkStart w:id="3196" w:name="_Toc146627669"/>
      <w:bookmarkStart w:id="3197" w:name="_Toc146629534"/>
      <w:bookmarkStart w:id="3198" w:name="_Toc146631401"/>
      <w:bookmarkStart w:id="3199" w:name="_Toc146633268"/>
      <w:bookmarkStart w:id="3200" w:name="_Toc146630995"/>
      <w:bookmarkStart w:id="3201" w:name="_Toc146793165"/>
      <w:bookmarkStart w:id="3202" w:name="_Toc146794861"/>
      <w:bookmarkStart w:id="3203" w:name="_Toc146796556"/>
      <w:bookmarkStart w:id="3204" w:name="_Toc146798246"/>
      <w:bookmarkStart w:id="3205" w:name="_Toc146800858"/>
      <w:bookmarkStart w:id="3206" w:name="_Toc146803493"/>
      <w:bookmarkStart w:id="3207" w:name="_Toc146805197"/>
      <w:bookmarkStart w:id="3208" w:name="_Toc146806901"/>
      <w:bookmarkStart w:id="3209" w:name="_Toc148704960"/>
      <w:bookmarkStart w:id="3210" w:name="_Toc149557918"/>
      <w:bookmarkStart w:id="3211" w:name="_Toc150785374"/>
      <w:bookmarkStart w:id="3212" w:name="_Toc150854828"/>
      <w:bookmarkStart w:id="3213" w:name="_Toc151991767"/>
      <w:bookmarkStart w:id="3214" w:name="_Toc152334867"/>
      <w:bookmarkStart w:id="3215" w:name="_Toc153271233"/>
      <w:bookmarkStart w:id="3216" w:name="_Toc157501068"/>
      <w:bookmarkStart w:id="3217" w:name="_Toc159232243"/>
      <w:bookmarkStart w:id="3218" w:name="_Toc134796636"/>
      <w:bookmarkStart w:id="3219" w:name="_Toc134798932"/>
      <w:bookmarkStart w:id="3220" w:name="_Toc145059340"/>
      <w:bookmarkStart w:id="3221" w:name="_Toc145062742"/>
      <w:bookmarkStart w:id="3222" w:name="_Toc145067354"/>
      <w:bookmarkStart w:id="3223" w:name="_Toc146627670"/>
      <w:bookmarkStart w:id="3224" w:name="_Toc146629535"/>
      <w:bookmarkStart w:id="3225" w:name="_Toc146631402"/>
      <w:bookmarkStart w:id="3226" w:name="_Toc146633269"/>
      <w:bookmarkStart w:id="3227" w:name="_Toc146630996"/>
      <w:bookmarkStart w:id="3228" w:name="_Toc146793166"/>
      <w:bookmarkStart w:id="3229" w:name="_Toc146794862"/>
      <w:bookmarkStart w:id="3230" w:name="_Toc146796557"/>
      <w:bookmarkStart w:id="3231" w:name="_Toc146798247"/>
      <w:bookmarkStart w:id="3232" w:name="_Toc146800859"/>
      <w:bookmarkStart w:id="3233" w:name="_Toc146803494"/>
      <w:bookmarkStart w:id="3234" w:name="_Toc146805198"/>
      <w:bookmarkStart w:id="3235" w:name="_Toc146806902"/>
      <w:bookmarkStart w:id="3236" w:name="_Toc148704961"/>
      <w:bookmarkStart w:id="3237" w:name="_Toc149557919"/>
      <w:bookmarkStart w:id="3238" w:name="_Toc150785375"/>
      <w:bookmarkStart w:id="3239" w:name="_Toc150854829"/>
      <w:bookmarkStart w:id="3240" w:name="_Toc151991768"/>
      <w:bookmarkStart w:id="3241" w:name="_Toc152334868"/>
      <w:bookmarkStart w:id="3242" w:name="_Toc153271234"/>
      <w:bookmarkStart w:id="3243" w:name="_Toc157501069"/>
      <w:bookmarkStart w:id="3244" w:name="_Toc159232244"/>
      <w:bookmarkStart w:id="3245" w:name="_Toc134796637"/>
      <w:bookmarkStart w:id="3246" w:name="_Toc134798933"/>
      <w:bookmarkStart w:id="3247" w:name="_Toc145059341"/>
      <w:bookmarkStart w:id="3248" w:name="_Toc145062743"/>
      <w:bookmarkStart w:id="3249" w:name="_Toc145067355"/>
      <w:bookmarkStart w:id="3250" w:name="_Toc146627671"/>
      <w:bookmarkStart w:id="3251" w:name="_Toc146629536"/>
      <w:bookmarkStart w:id="3252" w:name="_Toc146631403"/>
      <w:bookmarkStart w:id="3253" w:name="_Toc146633270"/>
      <w:bookmarkStart w:id="3254" w:name="_Toc146630997"/>
      <w:bookmarkStart w:id="3255" w:name="_Toc146793167"/>
      <w:bookmarkStart w:id="3256" w:name="_Toc146794863"/>
      <w:bookmarkStart w:id="3257" w:name="_Toc146796558"/>
      <w:bookmarkStart w:id="3258" w:name="_Toc146798248"/>
      <w:bookmarkStart w:id="3259" w:name="_Toc146800860"/>
      <w:bookmarkStart w:id="3260" w:name="_Toc146803495"/>
      <w:bookmarkStart w:id="3261" w:name="_Toc146805199"/>
      <w:bookmarkStart w:id="3262" w:name="_Toc146806903"/>
      <w:bookmarkStart w:id="3263" w:name="_Toc148704962"/>
      <w:bookmarkStart w:id="3264" w:name="_Toc149557920"/>
      <w:bookmarkStart w:id="3265" w:name="_Toc150785376"/>
      <w:bookmarkStart w:id="3266" w:name="_Toc150854830"/>
      <w:bookmarkStart w:id="3267" w:name="_Toc151991769"/>
      <w:bookmarkStart w:id="3268" w:name="_Toc152334869"/>
      <w:bookmarkStart w:id="3269" w:name="_Toc153271235"/>
      <w:bookmarkStart w:id="3270" w:name="_Toc157501070"/>
      <w:bookmarkStart w:id="3271" w:name="_Toc159232245"/>
      <w:bookmarkStart w:id="3272" w:name="_Toc134796638"/>
      <w:bookmarkStart w:id="3273" w:name="_Toc134798934"/>
      <w:bookmarkStart w:id="3274" w:name="_Toc145059342"/>
      <w:bookmarkStart w:id="3275" w:name="_Toc145062744"/>
      <w:bookmarkStart w:id="3276" w:name="_Toc145067356"/>
      <w:bookmarkStart w:id="3277" w:name="_Toc146627672"/>
      <w:bookmarkStart w:id="3278" w:name="_Toc146629537"/>
      <w:bookmarkStart w:id="3279" w:name="_Toc146631404"/>
      <w:bookmarkStart w:id="3280" w:name="_Toc146633271"/>
      <w:bookmarkStart w:id="3281" w:name="_Toc146630998"/>
      <w:bookmarkStart w:id="3282" w:name="_Toc146793168"/>
      <w:bookmarkStart w:id="3283" w:name="_Toc146794864"/>
      <w:bookmarkStart w:id="3284" w:name="_Toc146796559"/>
      <w:bookmarkStart w:id="3285" w:name="_Toc146798249"/>
      <w:bookmarkStart w:id="3286" w:name="_Toc146800861"/>
      <w:bookmarkStart w:id="3287" w:name="_Toc146803496"/>
      <w:bookmarkStart w:id="3288" w:name="_Toc146805200"/>
      <w:bookmarkStart w:id="3289" w:name="_Toc146806904"/>
      <w:bookmarkStart w:id="3290" w:name="_Toc148704963"/>
      <w:bookmarkStart w:id="3291" w:name="_Toc149557921"/>
      <w:bookmarkStart w:id="3292" w:name="_Toc150785377"/>
      <w:bookmarkStart w:id="3293" w:name="_Toc150854831"/>
      <w:bookmarkStart w:id="3294" w:name="_Toc151991770"/>
      <w:bookmarkStart w:id="3295" w:name="_Toc152334870"/>
      <w:bookmarkStart w:id="3296" w:name="_Toc153271236"/>
      <w:bookmarkStart w:id="3297" w:name="_Toc157501071"/>
      <w:bookmarkStart w:id="3298" w:name="_Toc159232246"/>
      <w:bookmarkStart w:id="3299" w:name="_Toc134796639"/>
      <w:bookmarkStart w:id="3300" w:name="_Toc134798935"/>
      <w:bookmarkStart w:id="3301" w:name="_Toc145059343"/>
      <w:bookmarkStart w:id="3302" w:name="_Toc145062745"/>
      <w:bookmarkStart w:id="3303" w:name="_Toc145067357"/>
      <w:bookmarkStart w:id="3304" w:name="_Toc146627673"/>
      <w:bookmarkStart w:id="3305" w:name="_Toc146629538"/>
      <w:bookmarkStart w:id="3306" w:name="_Toc146631405"/>
      <w:bookmarkStart w:id="3307" w:name="_Toc146633272"/>
      <w:bookmarkStart w:id="3308" w:name="_Toc146630999"/>
      <w:bookmarkStart w:id="3309" w:name="_Toc146793169"/>
      <w:bookmarkStart w:id="3310" w:name="_Toc146794865"/>
      <w:bookmarkStart w:id="3311" w:name="_Toc146796560"/>
      <w:bookmarkStart w:id="3312" w:name="_Toc146798250"/>
      <w:bookmarkStart w:id="3313" w:name="_Toc146800862"/>
      <w:bookmarkStart w:id="3314" w:name="_Toc146803497"/>
      <w:bookmarkStart w:id="3315" w:name="_Toc146805201"/>
      <w:bookmarkStart w:id="3316" w:name="_Toc146806905"/>
      <w:bookmarkStart w:id="3317" w:name="_Toc148704964"/>
      <w:bookmarkStart w:id="3318" w:name="_Toc149557922"/>
      <w:bookmarkStart w:id="3319" w:name="_Toc150785378"/>
      <w:bookmarkStart w:id="3320" w:name="_Toc150854832"/>
      <w:bookmarkStart w:id="3321" w:name="_Toc151991771"/>
      <w:bookmarkStart w:id="3322" w:name="_Toc152334871"/>
      <w:bookmarkStart w:id="3323" w:name="_Toc153271237"/>
      <w:bookmarkStart w:id="3324" w:name="_Toc157501072"/>
      <w:bookmarkStart w:id="3325" w:name="_Toc159232247"/>
      <w:bookmarkStart w:id="3326" w:name="_Toc134796640"/>
      <w:bookmarkStart w:id="3327" w:name="_Toc134798936"/>
      <w:bookmarkStart w:id="3328" w:name="_Toc145059344"/>
      <w:bookmarkStart w:id="3329" w:name="_Toc145062746"/>
      <w:bookmarkStart w:id="3330" w:name="_Toc145067358"/>
      <w:bookmarkStart w:id="3331" w:name="_Toc146627674"/>
      <w:bookmarkStart w:id="3332" w:name="_Toc146629539"/>
      <w:bookmarkStart w:id="3333" w:name="_Toc146631406"/>
      <w:bookmarkStart w:id="3334" w:name="_Toc146633273"/>
      <w:bookmarkStart w:id="3335" w:name="_Toc146631000"/>
      <w:bookmarkStart w:id="3336" w:name="_Toc146793170"/>
      <w:bookmarkStart w:id="3337" w:name="_Toc146794866"/>
      <w:bookmarkStart w:id="3338" w:name="_Toc146796561"/>
      <w:bookmarkStart w:id="3339" w:name="_Toc146798251"/>
      <w:bookmarkStart w:id="3340" w:name="_Toc146800863"/>
      <w:bookmarkStart w:id="3341" w:name="_Toc146803498"/>
      <w:bookmarkStart w:id="3342" w:name="_Toc146805202"/>
      <w:bookmarkStart w:id="3343" w:name="_Toc146806906"/>
      <w:bookmarkStart w:id="3344" w:name="_Toc148704965"/>
      <w:bookmarkStart w:id="3345" w:name="_Toc149557923"/>
      <w:bookmarkStart w:id="3346" w:name="_Toc150785379"/>
      <w:bookmarkStart w:id="3347" w:name="_Toc150854833"/>
      <w:bookmarkStart w:id="3348" w:name="_Toc151991772"/>
      <w:bookmarkStart w:id="3349" w:name="_Toc152334872"/>
      <w:bookmarkStart w:id="3350" w:name="_Toc153271238"/>
      <w:bookmarkStart w:id="3351" w:name="_Toc157501073"/>
      <w:bookmarkStart w:id="3352" w:name="_Toc159232248"/>
      <w:bookmarkStart w:id="3353" w:name="_Toc134796641"/>
      <w:bookmarkStart w:id="3354" w:name="_Toc134798937"/>
      <w:bookmarkStart w:id="3355" w:name="_Toc145059345"/>
      <w:bookmarkStart w:id="3356" w:name="_Toc145062747"/>
      <w:bookmarkStart w:id="3357" w:name="_Toc145067359"/>
      <w:bookmarkStart w:id="3358" w:name="_Toc146627675"/>
      <w:bookmarkStart w:id="3359" w:name="_Toc146629540"/>
      <w:bookmarkStart w:id="3360" w:name="_Toc146631407"/>
      <w:bookmarkStart w:id="3361" w:name="_Toc146633274"/>
      <w:bookmarkStart w:id="3362" w:name="_Toc146631001"/>
      <w:bookmarkStart w:id="3363" w:name="_Toc146793171"/>
      <w:bookmarkStart w:id="3364" w:name="_Toc146794867"/>
      <w:bookmarkStart w:id="3365" w:name="_Toc146796562"/>
      <w:bookmarkStart w:id="3366" w:name="_Toc146798252"/>
      <w:bookmarkStart w:id="3367" w:name="_Toc146800864"/>
      <w:bookmarkStart w:id="3368" w:name="_Toc146803499"/>
      <w:bookmarkStart w:id="3369" w:name="_Toc146805203"/>
      <w:bookmarkStart w:id="3370" w:name="_Toc146806907"/>
      <w:bookmarkStart w:id="3371" w:name="_Toc148704966"/>
      <w:bookmarkStart w:id="3372" w:name="_Toc149557924"/>
      <w:bookmarkStart w:id="3373" w:name="_Toc150785380"/>
      <w:bookmarkStart w:id="3374" w:name="_Toc150854834"/>
      <w:bookmarkStart w:id="3375" w:name="_Toc151991773"/>
      <w:bookmarkStart w:id="3376" w:name="_Toc152334873"/>
      <w:bookmarkStart w:id="3377" w:name="_Toc153271239"/>
      <w:bookmarkStart w:id="3378" w:name="_Toc157501074"/>
      <w:bookmarkStart w:id="3379" w:name="_Toc159232249"/>
      <w:bookmarkStart w:id="3380" w:name="_Toc134796642"/>
      <w:bookmarkStart w:id="3381" w:name="_Toc134798938"/>
      <w:bookmarkStart w:id="3382" w:name="_Toc145059346"/>
      <w:bookmarkStart w:id="3383" w:name="_Toc145062748"/>
      <w:bookmarkStart w:id="3384" w:name="_Toc145067360"/>
      <w:bookmarkStart w:id="3385" w:name="_Toc146627676"/>
      <w:bookmarkStart w:id="3386" w:name="_Toc146629541"/>
      <w:bookmarkStart w:id="3387" w:name="_Toc146631408"/>
      <w:bookmarkStart w:id="3388" w:name="_Toc146633275"/>
      <w:bookmarkStart w:id="3389" w:name="_Toc146631002"/>
      <w:bookmarkStart w:id="3390" w:name="_Toc146793172"/>
      <w:bookmarkStart w:id="3391" w:name="_Toc146794868"/>
      <w:bookmarkStart w:id="3392" w:name="_Toc146796563"/>
      <w:bookmarkStart w:id="3393" w:name="_Toc146798253"/>
      <w:bookmarkStart w:id="3394" w:name="_Toc146800865"/>
      <w:bookmarkStart w:id="3395" w:name="_Toc146803500"/>
      <w:bookmarkStart w:id="3396" w:name="_Toc146805204"/>
      <w:bookmarkStart w:id="3397" w:name="_Toc146806908"/>
      <w:bookmarkStart w:id="3398" w:name="_Toc148704967"/>
      <w:bookmarkStart w:id="3399" w:name="_Toc149557925"/>
      <w:bookmarkStart w:id="3400" w:name="_Toc150785381"/>
      <w:bookmarkStart w:id="3401" w:name="_Toc150854835"/>
      <w:bookmarkStart w:id="3402" w:name="_Toc151991774"/>
      <w:bookmarkStart w:id="3403" w:name="_Toc152334874"/>
      <w:bookmarkStart w:id="3404" w:name="_Toc153271240"/>
      <w:bookmarkStart w:id="3405" w:name="_Toc157501075"/>
      <w:bookmarkStart w:id="3406" w:name="_Toc159232250"/>
      <w:bookmarkStart w:id="3407" w:name="_Toc134796643"/>
      <w:bookmarkStart w:id="3408" w:name="_Toc134798939"/>
      <w:bookmarkStart w:id="3409" w:name="_Toc145059347"/>
      <w:bookmarkStart w:id="3410" w:name="_Toc145062749"/>
      <w:bookmarkStart w:id="3411" w:name="_Toc145067361"/>
      <w:bookmarkStart w:id="3412" w:name="_Toc146627677"/>
      <w:bookmarkStart w:id="3413" w:name="_Toc146629542"/>
      <w:bookmarkStart w:id="3414" w:name="_Toc146631409"/>
      <w:bookmarkStart w:id="3415" w:name="_Toc146633276"/>
      <w:bookmarkStart w:id="3416" w:name="_Toc146631003"/>
      <w:bookmarkStart w:id="3417" w:name="_Toc146793173"/>
      <w:bookmarkStart w:id="3418" w:name="_Toc146794869"/>
      <w:bookmarkStart w:id="3419" w:name="_Toc146796564"/>
      <w:bookmarkStart w:id="3420" w:name="_Toc146798254"/>
      <w:bookmarkStart w:id="3421" w:name="_Toc146800866"/>
      <w:bookmarkStart w:id="3422" w:name="_Toc146803501"/>
      <w:bookmarkStart w:id="3423" w:name="_Toc146805205"/>
      <w:bookmarkStart w:id="3424" w:name="_Toc146806909"/>
      <w:bookmarkStart w:id="3425" w:name="_Toc148704968"/>
      <w:bookmarkStart w:id="3426" w:name="_Toc149557926"/>
      <w:bookmarkStart w:id="3427" w:name="_Toc150785382"/>
      <w:bookmarkStart w:id="3428" w:name="_Toc150854836"/>
      <w:bookmarkStart w:id="3429" w:name="_Toc151991775"/>
      <w:bookmarkStart w:id="3430" w:name="_Toc152334875"/>
      <w:bookmarkStart w:id="3431" w:name="_Toc153271241"/>
      <w:bookmarkStart w:id="3432" w:name="_Toc157501076"/>
      <w:bookmarkStart w:id="3433" w:name="_Toc159232251"/>
      <w:bookmarkStart w:id="3434" w:name="_Toc134796644"/>
      <w:bookmarkStart w:id="3435" w:name="_Toc134798940"/>
      <w:bookmarkStart w:id="3436" w:name="_Toc145059348"/>
      <w:bookmarkStart w:id="3437" w:name="_Toc145062750"/>
      <w:bookmarkStart w:id="3438" w:name="_Toc145067362"/>
      <w:bookmarkStart w:id="3439" w:name="_Toc146627678"/>
      <w:bookmarkStart w:id="3440" w:name="_Toc146629543"/>
      <w:bookmarkStart w:id="3441" w:name="_Toc146631410"/>
      <w:bookmarkStart w:id="3442" w:name="_Toc146633277"/>
      <w:bookmarkStart w:id="3443" w:name="_Toc146631004"/>
      <w:bookmarkStart w:id="3444" w:name="_Toc146793174"/>
      <w:bookmarkStart w:id="3445" w:name="_Toc146794870"/>
      <w:bookmarkStart w:id="3446" w:name="_Toc146796565"/>
      <w:bookmarkStart w:id="3447" w:name="_Toc146798255"/>
      <w:bookmarkStart w:id="3448" w:name="_Toc146800867"/>
      <w:bookmarkStart w:id="3449" w:name="_Toc146803502"/>
      <w:bookmarkStart w:id="3450" w:name="_Toc146805206"/>
      <w:bookmarkStart w:id="3451" w:name="_Toc146806910"/>
      <w:bookmarkStart w:id="3452" w:name="_Toc148704969"/>
      <w:bookmarkStart w:id="3453" w:name="_Toc149557927"/>
      <w:bookmarkStart w:id="3454" w:name="_Toc150785383"/>
      <w:bookmarkStart w:id="3455" w:name="_Toc150854837"/>
      <w:bookmarkStart w:id="3456" w:name="_Toc151991776"/>
      <w:bookmarkStart w:id="3457" w:name="_Toc152334876"/>
      <w:bookmarkStart w:id="3458" w:name="_Toc153271242"/>
      <w:bookmarkStart w:id="3459" w:name="_Toc157501077"/>
      <w:bookmarkStart w:id="3460" w:name="_Toc159232252"/>
      <w:bookmarkStart w:id="3461" w:name="_Toc134796645"/>
      <w:bookmarkStart w:id="3462" w:name="_Toc134798941"/>
      <w:bookmarkStart w:id="3463" w:name="_Toc145059349"/>
      <w:bookmarkStart w:id="3464" w:name="_Toc145062751"/>
      <w:bookmarkStart w:id="3465" w:name="_Toc145067363"/>
      <w:bookmarkStart w:id="3466" w:name="_Toc146627679"/>
      <w:bookmarkStart w:id="3467" w:name="_Toc146629544"/>
      <w:bookmarkStart w:id="3468" w:name="_Toc146631411"/>
      <w:bookmarkStart w:id="3469" w:name="_Toc146633278"/>
      <w:bookmarkStart w:id="3470" w:name="_Toc146631005"/>
      <w:bookmarkStart w:id="3471" w:name="_Toc146793175"/>
      <w:bookmarkStart w:id="3472" w:name="_Toc146794871"/>
      <w:bookmarkStart w:id="3473" w:name="_Toc146796566"/>
      <w:bookmarkStart w:id="3474" w:name="_Toc146798256"/>
      <w:bookmarkStart w:id="3475" w:name="_Toc146800868"/>
      <w:bookmarkStart w:id="3476" w:name="_Toc146803503"/>
      <w:bookmarkStart w:id="3477" w:name="_Toc146805207"/>
      <w:bookmarkStart w:id="3478" w:name="_Toc146806911"/>
      <w:bookmarkStart w:id="3479" w:name="_Toc148704970"/>
      <w:bookmarkStart w:id="3480" w:name="_Toc149557928"/>
      <w:bookmarkStart w:id="3481" w:name="_Toc150785384"/>
      <w:bookmarkStart w:id="3482" w:name="_Toc150854838"/>
      <w:bookmarkStart w:id="3483" w:name="_Toc151991777"/>
      <w:bookmarkStart w:id="3484" w:name="_Toc152334877"/>
      <w:bookmarkStart w:id="3485" w:name="_Toc153271243"/>
      <w:bookmarkStart w:id="3486" w:name="_Toc157501078"/>
      <w:bookmarkStart w:id="3487" w:name="_Toc159232253"/>
      <w:bookmarkStart w:id="3488" w:name="_Toc245633966"/>
      <w:bookmarkStart w:id="3489" w:name="_Toc245634118"/>
      <w:bookmarkStart w:id="3490" w:name="_Toc245728008"/>
      <w:bookmarkStart w:id="3491" w:name="_Toc248644132"/>
      <w:bookmarkStart w:id="3492" w:name="_Toc258924860"/>
      <w:bookmarkStart w:id="3493" w:name="_Toc263173301"/>
      <w:bookmarkStart w:id="3494" w:name="_Toc263429413"/>
      <w:bookmarkStart w:id="3495" w:name="_Toc263795451"/>
      <w:bookmarkStart w:id="3496" w:name="_Toc266869628"/>
      <w:bookmarkStart w:id="3497" w:name="_Ref349574951"/>
      <w:bookmarkStart w:id="3498" w:name="_Toc163740186"/>
      <w:bookmarkStart w:id="3499" w:name="_Toc21377184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r w:rsidRPr="00D1363C">
        <w:t>Multi-Day Forecast Analysis Results</w:t>
      </w:r>
      <w:bookmarkEnd w:id="3488"/>
      <w:bookmarkEnd w:id="3489"/>
      <w:bookmarkEnd w:id="3490"/>
      <w:bookmarkEnd w:id="3491"/>
      <w:bookmarkEnd w:id="3492"/>
      <w:bookmarkEnd w:id="3493"/>
      <w:bookmarkEnd w:id="3494"/>
      <w:bookmarkEnd w:id="3495"/>
      <w:bookmarkEnd w:id="3496"/>
      <w:bookmarkEnd w:id="3497"/>
      <w:bookmarkEnd w:id="3498"/>
      <w:bookmarkEnd w:id="3499"/>
    </w:p>
    <w:p w14:paraId="0B39D2BB" w14:textId="77777777" w:rsidR="00C70F99" w:rsidRPr="00D1363C" w:rsidRDefault="00C70F99" w:rsidP="00C70F99">
      <w:pPr>
        <w:spacing w:before="120" w:line="300" w:lineRule="auto"/>
        <w:rPr>
          <w:szCs w:val="24"/>
        </w:rPr>
      </w:pPr>
      <w:r w:rsidRPr="00D1363C">
        <w:rPr>
          <w:szCs w:val="24"/>
        </w:rPr>
        <w:t xml:space="preserve">The primary outputs of the MDFA </w:t>
      </w:r>
      <w:r>
        <w:rPr>
          <w:szCs w:val="24"/>
        </w:rPr>
        <w:t>will be available after the posting of the Day-Ahead Market and include</w:t>
      </w:r>
      <w:r w:rsidRPr="00D1363C">
        <w:rPr>
          <w:szCs w:val="24"/>
        </w:rPr>
        <w:t>:</w:t>
      </w:r>
    </w:p>
    <w:p w14:paraId="44561431" w14:textId="77777777" w:rsidR="00C70F99" w:rsidRPr="00D1363C" w:rsidRDefault="00C70F99" w:rsidP="00E679DC">
      <w:pPr>
        <w:numPr>
          <w:ilvl w:val="3"/>
          <w:numId w:val="458"/>
        </w:numPr>
        <w:spacing w:before="120" w:line="300" w:lineRule="auto"/>
        <w:ind w:left="630"/>
        <w:rPr>
          <w:szCs w:val="24"/>
        </w:rPr>
      </w:pPr>
      <w:r w:rsidRPr="00D1363C">
        <w:rPr>
          <w:szCs w:val="24"/>
        </w:rPr>
        <w:t xml:space="preserve">Hourly LMP, MCP, and </w:t>
      </w:r>
      <w:r>
        <w:rPr>
          <w:szCs w:val="24"/>
        </w:rPr>
        <w:t xml:space="preserve">Marginal </w:t>
      </w:r>
      <w:r w:rsidRPr="00D1363C">
        <w:rPr>
          <w:szCs w:val="24"/>
        </w:rPr>
        <w:t xml:space="preserve">GHG </w:t>
      </w:r>
      <w:r>
        <w:rPr>
          <w:szCs w:val="24"/>
        </w:rPr>
        <w:t>P</w:t>
      </w:r>
      <w:r w:rsidRPr="00D1363C">
        <w:rPr>
          <w:szCs w:val="24"/>
        </w:rPr>
        <w:t>ric</w:t>
      </w:r>
      <w:r>
        <w:rPr>
          <w:szCs w:val="24"/>
        </w:rPr>
        <w:t>e</w:t>
      </w:r>
      <w:r w:rsidRPr="00D1363C">
        <w:rPr>
          <w:szCs w:val="24"/>
        </w:rPr>
        <w:t xml:space="preserve"> forecasts that will be posted publicly;</w:t>
      </w:r>
    </w:p>
    <w:p w14:paraId="355187D9" w14:textId="77777777" w:rsidR="00C70F99" w:rsidRPr="00D1363C" w:rsidRDefault="00C70F99" w:rsidP="00E679DC">
      <w:pPr>
        <w:numPr>
          <w:ilvl w:val="3"/>
          <w:numId w:val="458"/>
        </w:numPr>
        <w:spacing w:before="120" w:line="300" w:lineRule="auto"/>
        <w:ind w:left="630"/>
        <w:rPr>
          <w:szCs w:val="24"/>
        </w:rPr>
      </w:pPr>
      <w:r w:rsidRPr="00D1363C">
        <w:rPr>
          <w:szCs w:val="24"/>
        </w:rPr>
        <w:t xml:space="preserve">Prospective, non-binding commitments </w:t>
      </w:r>
      <w:r>
        <w:rPr>
          <w:szCs w:val="24"/>
        </w:rPr>
        <w:t xml:space="preserve">including start/stop times and hourly dispatch targets </w:t>
      </w:r>
      <w:r w:rsidRPr="00D1363C">
        <w:rPr>
          <w:szCs w:val="24"/>
        </w:rPr>
        <w:t>that the Market Operator will communicate to corresponding Market Participants through the Markets User Interface (MUI); and</w:t>
      </w:r>
    </w:p>
    <w:p w14:paraId="13D566D4" w14:textId="77777777" w:rsidR="00C70F99" w:rsidRPr="00C37E42" w:rsidRDefault="00C70F99" w:rsidP="00E679DC">
      <w:pPr>
        <w:numPr>
          <w:ilvl w:val="3"/>
          <w:numId w:val="458"/>
        </w:numPr>
        <w:spacing w:before="120" w:line="300" w:lineRule="auto"/>
        <w:ind w:left="630"/>
        <w:rPr>
          <w:szCs w:val="24"/>
        </w:rPr>
      </w:pPr>
      <w:r w:rsidRPr="00D1363C">
        <w:rPr>
          <w:szCs w:val="24"/>
        </w:rPr>
        <w:t xml:space="preserve">Potential </w:t>
      </w:r>
      <w:r>
        <w:rPr>
          <w:szCs w:val="24"/>
        </w:rPr>
        <w:t xml:space="preserve">minimum and maximum generation and scarcity issues the </w:t>
      </w:r>
      <w:r w:rsidRPr="00D1363C">
        <w:rPr>
          <w:szCs w:val="24"/>
        </w:rPr>
        <w:t>Market Operator will communicate to the appropriate Transmission Operator, Balancing Authority, or Reliability Coordinator.</w:t>
      </w:r>
    </w:p>
    <w:p w14:paraId="783095BF" w14:textId="61B320EC" w:rsidR="00F83CA0" w:rsidRPr="00FC3438" w:rsidRDefault="00F83CA0" w:rsidP="00C20DF9">
      <w:pPr>
        <w:pStyle w:val="Heading2"/>
      </w:pPr>
      <w:bookmarkStart w:id="3500" w:name="_Toc159232255"/>
      <w:bookmarkStart w:id="3501" w:name="_Toc213771842"/>
      <w:r w:rsidRPr="00FC3438">
        <w:t>Day-Ahead Activities</w:t>
      </w:r>
      <w:bookmarkEnd w:id="3500"/>
      <w:bookmarkEnd w:id="3501"/>
    </w:p>
    <w:p w14:paraId="7AEDA5FC" w14:textId="1B769DDB" w:rsidR="00F83CA0" w:rsidRPr="00FC3438" w:rsidRDefault="00F83CA0" w:rsidP="00F83CA0">
      <w:pPr>
        <w:spacing w:line="300" w:lineRule="auto"/>
        <w:rPr>
          <w:szCs w:val="24"/>
        </w:rPr>
      </w:pPr>
      <w:bookmarkStart w:id="3502" w:name="OLE_LINK11"/>
      <w:bookmarkStart w:id="3503" w:name="OLE_LINK12"/>
      <w:r w:rsidRPr="00FC3438">
        <w:rPr>
          <w:szCs w:val="24"/>
        </w:rPr>
        <w:t>Day-Ahead activities begin</w:t>
      </w:r>
      <w:r w:rsidR="00BC108C">
        <w:rPr>
          <w:szCs w:val="24"/>
        </w:rPr>
        <w:t xml:space="preserve"> twenty</w:t>
      </w:r>
      <w:r w:rsidR="009D055E">
        <w:rPr>
          <w:szCs w:val="24"/>
        </w:rPr>
        <w:t>-four</w:t>
      </w:r>
      <w:r w:rsidRPr="00FC3438">
        <w:rPr>
          <w:szCs w:val="24"/>
        </w:rPr>
        <w:t xml:space="preserve"> </w:t>
      </w:r>
      <w:r w:rsidR="009D055E">
        <w:rPr>
          <w:szCs w:val="24"/>
        </w:rPr>
        <w:t>(</w:t>
      </w:r>
      <w:r w:rsidRPr="00FC3438">
        <w:rPr>
          <w:szCs w:val="24"/>
        </w:rPr>
        <w:t>24</w:t>
      </w:r>
      <w:r w:rsidR="009D055E">
        <w:rPr>
          <w:szCs w:val="24"/>
        </w:rPr>
        <w:t>)</w:t>
      </w:r>
      <w:r w:rsidRPr="00FC3438">
        <w:rPr>
          <w:szCs w:val="24"/>
        </w:rPr>
        <w:t xml:space="preserve"> hours prior to the Operating Day and consist of the D</w:t>
      </w:r>
      <w:r>
        <w:rPr>
          <w:szCs w:val="24"/>
        </w:rPr>
        <w:t>ay-Ahead</w:t>
      </w:r>
      <w:r w:rsidRPr="00FC3438">
        <w:rPr>
          <w:szCs w:val="24"/>
        </w:rPr>
        <w:t xml:space="preserve"> Market and Day-Ahead RUC processes.  Exhibit 4-1</w:t>
      </w:r>
      <w:r w:rsidR="00A013FA">
        <w:rPr>
          <w:szCs w:val="24"/>
        </w:rPr>
        <w:t>3</w:t>
      </w:r>
      <w:r w:rsidRPr="00FC3438">
        <w:rPr>
          <w:szCs w:val="24"/>
        </w:rPr>
        <w:t xml:space="preserve"> provides a representative overall timeline of Day-Ahead activities. The times specified in the timeline are the times associated with normal operating conditions.  </w:t>
      </w:r>
      <w:r>
        <w:rPr>
          <w:szCs w:val="24"/>
        </w:rPr>
        <w:t>The Market Operator</w:t>
      </w:r>
      <w:r w:rsidRPr="00FC3438">
        <w:rPr>
          <w:szCs w:val="24"/>
        </w:rPr>
        <w:t xml:space="preserve"> may delay these times to account for unforeseen circumstances and, under such circumstances, </w:t>
      </w:r>
      <w:r>
        <w:rPr>
          <w:szCs w:val="24"/>
        </w:rPr>
        <w:t>the Market Operator</w:t>
      </w:r>
      <w:r w:rsidRPr="00FC3438">
        <w:rPr>
          <w:szCs w:val="24"/>
        </w:rPr>
        <w:t xml:space="preserve"> will notify Market Participants of any such timing delays. </w:t>
      </w:r>
    </w:p>
    <w:p w14:paraId="0A05C071" w14:textId="77777777" w:rsidR="00F83CA0" w:rsidRPr="00FC3438" w:rsidRDefault="00F83CA0" w:rsidP="00F83CA0">
      <w:pPr>
        <w:spacing w:after="0"/>
        <w:jc w:val="center"/>
        <w:rPr>
          <w:b/>
          <w:szCs w:val="24"/>
        </w:rPr>
      </w:pPr>
    </w:p>
    <w:p w14:paraId="19B46753" w14:textId="3092ACD5" w:rsidR="00F83CA0" w:rsidRPr="00FC3438" w:rsidRDefault="00F83CA0" w:rsidP="00F83CA0">
      <w:pPr>
        <w:keepNext/>
        <w:spacing w:after="0"/>
        <w:jc w:val="center"/>
        <w:rPr>
          <w:b/>
        </w:rPr>
      </w:pPr>
      <w:r w:rsidRPr="00FC3438">
        <w:rPr>
          <w:b/>
          <w:szCs w:val="24"/>
        </w:rPr>
        <w:t xml:space="preserve">Exhibit </w:t>
      </w:r>
      <w:r w:rsidRPr="00FC3438">
        <w:rPr>
          <w:b/>
          <w:szCs w:val="24"/>
        </w:rPr>
        <w:fldChar w:fldCharType="begin"/>
      </w:r>
      <w:r w:rsidRPr="00FC3438">
        <w:rPr>
          <w:b/>
          <w:szCs w:val="24"/>
        </w:rPr>
        <w:instrText xml:space="preserve"> STYLEREF 1 \s </w:instrText>
      </w:r>
      <w:r w:rsidRPr="00FC3438">
        <w:rPr>
          <w:b/>
          <w:szCs w:val="24"/>
        </w:rPr>
        <w:fldChar w:fldCharType="separate"/>
      </w:r>
      <w:r w:rsidRPr="00FC3438">
        <w:rPr>
          <w:b/>
          <w:noProof/>
          <w:szCs w:val="24"/>
        </w:rPr>
        <w:t>4</w:t>
      </w:r>
      <w:r w:rsidRPr="00FC3438">
        <w:rPr>
          <w:b/>
          <w:szCs w:val="24"/>
        </w:rPr>
        <w:fldChar w:fldCharType="end"/>
      </w:r>
      <w:r w:rsidRPr="00FC3438">
        <w:rPr>
          <w:b/>
          <w:szCs w:val="24"/>
        </w:rPr>
        <w:noBreakHyphen/>
      </w:r>
      <w:r w:rsidR="00A013FA">
        <w:rPr>
          <w:b/>
          <w:szCs w:val="24"/>
        </w:rPr>
        <w:t>3</w:t>
      </w:r>
      <w:r w:rsidRPr="00FC3438">
        <w:rPr>
          <w:b/>
          <w:szCs w:val="24"/>
        </w:rPr>
        <w:t>: Day-Ahead Activities Timeline</w:t>
      </w:r>
    </w:p>
    <w:p w14:paraId="38EC9E70" w14:textId="77777777" w:rsidR="00F83CA0" w:rsidRPr="00FC3438" w:rsidRDefault="00F83CA0" w:rsidP="00F83CA0">
      <w:pPr>
        <w:spacing w:after="0"/>
        <w:rPr>
          <w:b/>
          <w:szCs w:val="24"/>
        </w:rPr>
      </w:pPr>
      <w:bookmarkStart w:id="3504" w:name="_Toc247468358"/>
      <w:bookmarkEnd w:id="3502"/>
      <w:bookmarkEnd w:id="3503"/>
    </w:p>
    <w:bookmarkEnd w:id="3504"/>
    <w:p w14:paraId="68870CDF" w14:textId="77777777" w:rsidR="00F83CA0" w:rsidRPr="00FC3438" w:rsidRDefault="00F83CA0" w:rsidP="00F83CA0">
      <w:pPr>
        <w:spacing w:line="300" w:lineRule="auto"/>
      </w:pPr>
    </w:p>
    <w:p w14:paraId="2005AD37" w14:textId="77777777" w:rsidR="00F83CA0" w:rsidRPr="00FC3438" w:rsidRDefault="00F83CA0" w:rsidP="00F83CA0">
      <w:pPr>
        <w:spacing w:line="300" w:lineRule="auto"/>
      </w:pPr>
      <w:r w:rsidRPr="00FC3438">
        <w:rPr>
          <w:noProof/>
        </w:rPr>
        <w:drawing>
          <wp:inline distT="0" distB="0" distL="0" distR="0" wp14:anchorId="442C75DA" wp14:editId="78B214F1">
            <wp:extent cx="5943600" cy="2070735"/>
            <wp:effectExtent l="0" t="0" r="0" b="5715"/>
            <wp:docPr id="495391611" name="Picture 1"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1611" name="Picture 1" descr="Diagram, timeline&#10;&#10;Description automatically generated with medium confidence"/>
                    <pic:cNvPicPr/>
                  </pic:nvPicPr>
                  <pic:blipFill>
                    <a:blip r:embed="rId52"/>
                    <a:stretch>
                      <a:fillRect/>
                    </a:stretch>
                  </pic:blipFill>
                  <pic:spPr>
                    <a:xfrm>
                      <a:off x="0" y="0"/>
                      <a:ext cx="5943600" cy="2070735"/>
                    </a:xfrm>
                    <a:prstGeom prst="rect">
                      <a:avLst/>
                    </a:prstGeom>
                  </pic:spPr>
                </pic:pic>
              </a:graphicData>
            </a:graphic>
          </wp:inline>
        </w:drawing>
      </w:r>
    </w:p>
    <w:p w14:paraId="14D2E788" w14:textId="77777777" w:rsidR="00F83CA0" w:rsidRPr="00FC3438" w:rsidRDefault="00F83CA0" w:rsidP="00F83CA0">
      <w:pPr>
        <w:spacing w:line="300" w:lineRule="auto"/>
        <w:rPr>
          <w:szCs w:val="24"/>
        </w:rPr>
      </w:pPr>
    </w:p>
    <w:p w14:paraId="7A0909FE" w14:textId="77777777" w:rsidR="00F83CA0" w:rsidRPr="00FC3438" w:rsidRDefault="00F83CA0" w:rsidP="00F83CA0">
      <w:pPr>
        <w:spacing w:line="300" w:lineRule="auto"/>
        <w:rPr>
          <w:szCs w:val="24"/>
        </w:rPr>
      </w:pPr>
      <w:r w:rsidRPr="00FC3438">
        <w:rPr>
          <w:szCs w:val="24"/>
        </w:rPr>
        <w:t>A detailed description of the D</w:t>
      </w:r>
      <w:r>
        <w:rPr>
          <w:szCs w:val="24"/>
        </w:rPr>
        <w:t>ay-Ahead</w:t>
      </w:r>
      <w:r w:rsidRPr="00FC3438">
        <w:rPr>
          <w:szCs w:val="24"/>
        </w:rPr>
        <w:t xml:space="preserve"> Market and Day-Ahead RUC processes is provided in the following subsections. </w:t>
      </w:r>
    </w:p>
    <w:p w14:paraId="47D16150" w14:textId="43CCFD1D" w:rsidR="00F83CA0" w:rsidRPr="00FC3438" w:rsidRDefault="00F83CA0" w:rsidP="00CB5653">
      <w:pPr>
        <w:pStyle w:val="Heading3"/>
      </w:pPr>
      <w:bookmarkStart w:id="3505" w:name="_Toc234814888"/>
      <w:bookmarkStart w:id="3506" w:name="_Toc237163844"/>
      <w:bookmarkStart w:id="3507" w:name="_Toc243211981"/>
      <w:bookmarkStart w:id="3508" w:name="_Toc245633970"/>
      <w:bookmarkStart w:id="3509" w:name="_Toc245634122"/>
      <w:bookmarkStart w:id="3510" w:name="_Toc245728012"/>
      <w:bookmarkStart w:id="3511" w:name="_Toc248644136"/>
      <w:bookmarkStart w:id="3512" w:name="_Toc258924862"/>
      <w:bookmarkStart w:id="3513" w:name="_Toc263173302"/>
      <w:bookmarkStart w:id="3514" w:name="_Toc263173616"/>
      <w:bookmarkStart w:id="3515" w:name="_Toc263173802"/>
      <w:bookmarkStart w:id="3516" w:name="_Toc263174178"/>
      <w:bookmarkStart w:id="3517" w:name="_Toc263235077"/>
      <w:bookmarkStart w:id="3518" w:name="_Toc263235720"/>
      <w:bookmarkStart w:id="3519" w:name="_Toc263429415"/>
      <w:bookmarkStart w:id="3520" w:name="_Toc263795453"/>
      <w:bookmarkStart w:id="3521" w:name="_Toc266869630"/>
      <w:bookmarkStart w:id="3522" w:name="_Ref462823345"/>
      <w:bookmarkStart w:id="3523" w:name="_Toc159232256"/>
      <w:bookmarkStart w:id="3524" w:name="_Ref194666779"/>
      <w:bookmarkStart w:id="3525" w:name="_Toc213771843"/>
      <w:r w:rsidRPr="00FC3438">
        <w:t>Day-Ahead Market</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r w:rsidRPr="00FC3438">
        <w:t xml:space="preserve"> </w:t>
      </w:r>
    </w:p>
    <w:p w14:paraId="468F26A2" w14:textId="77777777" w:rsidR="00F83CA0" w:rsidRPr="00FC3438" w:rsidRDefault="00F83CA0" w:rsidP="00F83CA0">
      <w:pPr>
        <w:spacing w:line="300" w:lineRule="auto"/>
        <w:rPr>
          <w:szCs w:val="24"/>
        </w:rPr>
      </w:pPr>
      <w:r w:rsidRPr="00FC3438">
        <w:rPr>
          <w:szCs w:val="24"/>
        </w:rPr>
        <w:t>The D</w:t>
      </w:r>
      <w:r>
        <w:rPr>
          <w:szCs w:val="24"/>
        </w:rPr>
        <w:t>ay-Ahead</w:t>
      </w:r>
      <w:r w:rsidRPr="00FC3438">
        <w:rPr>
          <w:szCs w:val="24"/>
        </w:rPr>
        <w:t xml:space="preserve"> Market process begins with the submittal of new Offers and Bids, </w:t>
      </w:r>
      <w:bookmarkStart w:id="3526" w:name="OLE_LINK19"/>
      <w:bookmarkStart w:id="3527" w:name="OLE_LINK20"/>
      <w:r w:rsidRPr="00FC3438">
        <w:rPr>
          <w:szCs w:val="24"/>
        </w:rPr>
        <w:t>or updates to the Offers and Bids submitted in Pre-Day-Ahead</w:t>
      </w:r>
      <w:bookmarkEnd w:id="3526"/>
      <w:bookmarkEnd w:id="3527"/>
      <w:r w:rsidRPr="00FC3438">
        <w:rPr>
          <w:szCs w:val="24"/>
        </w:rPr>
        <w:t>, for use in the D</w:t>
      </w:r>
      <w:r>
        <w:rPr>
          <w:szCs w:val="24"/>
        </w:rPr>
        <w:t>ay-Ahead</w:t>
      </w:r>
      <w:r w:rsidRPr="00FC3438">
        <w:rPr>
          <w:szCs w:val="24"/>
        </w:rPr>
        <w:t xml:space="preserve"> Market clearing.  Energy clearing is based upon the Offers and Bids submitted.  Mid-Term Flex Up clearing is based upon the Offers submitted to meet </w:t>
      </w:r>
      <w:r>
        <w:rPr>
          <w:szCs w:val="24"/>
        </w:rPr>
        <w:t>the Market Operator’s</w:t>
      </w:r>
      <w:r w:rsidRPr="00FC3438">
        <w:rPr>
          <w:szCs w:val="24"/>
        </w:rPr>
        <w:t xml:space="preserve"> Mid-Term Flex Up requirement.  Separate offers may not be submitted for Short-Term Flex Up and Short-Term Flex Down and the MCP is solely based on opportunity costs realized to meet the Short-Term Flex Up and Short</w:t>
      </w:r>
      <w:r>
        <w:rPr>
          <w:szCs w:val="24"/>
        </w:rPr>
        <w:t>-</w:t>
      </w:r>
      <w:r w:rsidRPr="00FC3438">
        <w:rPr>
          <w:szCs w:val="24"/>
        </w:rPr>
        <w:t>Term Flex Down requirements.  Market Participants must submit final Offers and Bids by the close of the D</w:t>
      </w:r>
      <w:r>
        <w:rPr>
          <w:szCs w:val="24"/>
        </w:rPr>
        <w:t>ay-Ahead</w:t>
      </w:r>
      <w:r w:rsidRPr="00FC3438">
        <w:rPr>
          <w:szCs w:val="24"/>
        </w:rPr>
        <w:t xml:space="preserve"> Market which is no later than 10:00 PPT hours Day-Ahead.</w:t>
      </w:r>
    </w:p>
    <w:p w14:paraId="7CC9F641" w14:textId="01A30291" w:rsidR="00F83CA0" w:rsidRPr="00FC3438" w:rsidRDefault="00F83CA0" w:rsidP="00F83CA0">
      <w:pPr>
        <w:spacing w:line="300" w:lineRule="auto"/>
        <w:rPr>
          <w:szCs w:val="24"/>
        </w:rPr>
      </w:pPr>
      <w:r w:rsidRPr="00FC3438">
        <w:rPr>
          <w:szCs w:val="24"/>
        </w:rPr>
        <w:t>Immediately following the close of the D</w:t>
      </w:r>
      <w:r>
        <w:rPr>
          <w:szCs w:val="24"/>
        </w:rPr>
        <w:t>ay-Ahead</w:t>
      </w:r>
      <w:r w:rsidRPr="00FC3438">
        <w:rPr>
          <w:szCs w:val="24"/>
        </w:rPr>
        <w:t xml:space="preserve"> Market, </w:t>
      </w:r>
      <w:r>
        <w:rPr>
          <w:szCs w:val="24"/>
        </w:rPr>
        <w:t>the Market Operator</w:t>
      </w:r>
      <w:r w:rsidRPr="00FC3438">
        <w:rPr>
          <w:szCs w:val="24"/>
        </w:rPr>
        <w:t xml:space="preserve"> begins the process of clearing the D</w:t>
      </w:r>
      <w:r>
        <w:rPr>
          <w:szCs w:val="24"/>
        </w:rPr>
        <w:t>ay-Ahead</w:t>
      </w:r>
      <w:r w:rsidRPr="00FC3438">
        <w:rPr>
          <w:szCs w:val="24"/>
        </w:rPr>
        <w:t xml:space="preserve"> Market. </w:t>
      </w:r>
      <w:r>
        <w:rPr>
          <w:szCs w:val="24"/>
        </w:rPr>
        <w:t xml:space="preserve"> </w:t>
      </w:r>
      <w:r w:rsidRPr="00FC3438">
        <w:rPr>
          <w:szCs w:val="24"/>
        </w:rPr>
        <w:t xml:space="preserve">This process is completed, and </w:t>
      </w:r>
      <w:r>
        <w:rPr>
          <w:szCs w:val="24"/>
        </w:rPr>
        <w:t>the Market Operator</w:t>
      </w:r>
      <w:r w:rsidRPr="00FC3438">
        <w:rPr>
          <w:szCs w:val="24"/>
        </w:rPr>
        <w:t xml:space="preserve"> posts the results from the SCED dispatch solution, described in Section </w:t>
      </w:r>
      <w:r w:rsidRPr="00FC3438">
        <w:rPr>
          <w:szCs w:val="24"/>
        </w:rPr>
        <w:fldChar w:fldCharType="begin"/>
      </w:r>
      <w:r w:rsidRPr="00FC3438">
        <w:rPr>
          <w:szCs w:val="24"/>
        </w:rPr>
        <w:instrText xml:space="preserve"> REF _Ref100146196 \r \h </w:instrText>
      </w:r>
      <w:r w:rsidRPr="00FC3438">
        <w:rPr>
          <w:szCs w:val="24"/>
        </w:rPr>
      </w:r>
      <w:r w:rsidRPr="00FC3438">
        <w:rPr>
          <w:szCs w:val="24"/>
        </w:rPr>
        <w:fldChar w:fldCharType="separate"/>
      </w:r>
      <w:r w:rsidRPr="00FC3438">
        <w:rPr>
          <w:szCs w:val="24"/>
        </w:rPr>
        <w:t>3.1.1</w:t>
      </w:r>
      <w:r w:rsidRPr="00FC3438">
        <w:rPr>
          <w:szCs w:val="24"/>
        </w:rPr>
        <w:fldChar w:fldCharType="end"/>
      </w:r>
      <w:r w:rsidRPr="00FC3438">
        <w:rPr>
          <w:szCs w:val="24"/>
        </w:rPr>
        <w:t xml:space="preserve"> of the Day-Ahead Market by 13:30 PPT Day-Ahead.  </w:t>
      </w:r>
      <w:r>
        <w:rPr>
          <w:szCs w:val="24"/>
        </w:rPr>
        <w:t>The Market Operator</w:t>
      </w:r>
      <w:r w:rsidRPr="00FC3438">
        <w:rPr>
          <w:szCs w:val="24"/>
        </w:rPr>
        <w:t xml:space="preserve"> will post the Day-Ahead Market LMPs and MCPs results from the SCED pricing solution, described in </w:t>
      </w:r>
      <w:r>
        <w:rPr>
          <w:szCs w:val="24"/>
        </w:rPr>
        <w:t>Section</w:t>
      </w:r>
      <w:r w:rsidRPr="00FC3438">
        <w:rPr>
          <w:szCs w:val="24"/>
        </w:rPr>
        <w:t xml:space="preserve"> </w:t>
      </w:r>
      <w:r w:rsidRPr="00FC3438">
        <w:rPr>
          <w:szCs w:val="24"/>
        </w:rPr>
        <w:fldChar w:fldCharType="begin"/>
      </w:r>
      <w:r w:rsidRPr="00FC3438">
        <w:rPr>
          <w:szCs w:val="24"/>
        </w:rPr>
        <w:instrText xml:space="preserve"> REF _Ref100146196 \r \h </w:instrText>
      </w:r>
      <w:r w:rsidRPr="00FC3438">
        <w:rPr>
          <w:szCs w:val="24"/>
        </w:rPr>
      </w:r>
      <w:r w:rsidRPr="00FC3438">
        <w:rPr>
          <w:szCs w:val="24"/>
        </w:rPr>
        <w:fldChar w:fldCharType="separate"/>
      </w:r>
      <w:r w:rsidRPr="00FC3438">
        <w:rPr>
          <w:szCs w:val="24"/>
        </w:rPr>
        <w:t>3.1.1</w:t>
      </w:r>
      <w:r w:rsidRPr="00FC3438">
        <w:rPr>
          <w:szCs w:val="24"/>
        </w:rPr>
        <w:fldChar w:fldCharType="end"/>
      </w:r>
      <w:r w:rsidRPr="00FC3438">
        <w:rPr>
          <w:szCs w:val="24"/>
        </w:rPr>
        <w:t>, after the posting of the dispatch solution results.  D</w:t>
      </w:r>
      <w:r>
        <w:rPr>
          <w:szCs w:val="24"/>
        </w:rPr>
        <w:t>ay-Ahead</w:t>
      </w:r>
      <w:r w:rsidRPr="00FC3438">
        <w:rPr>
          <w:szCs w:val="24"/>
        </w:rPr>
        <w:t xml:space="preserve"> Market operations consist of three</w:t>
      </w:r>
      <w:r w:rsidR="00B964B6">
        <w:rPr>
          <w:szCs w:val="24"/>
        </w:rPr>
        <w:t xml:space="preserve"> (3)</w:t>
      </w:r>
      <w:r w:rsidRPr="00FC3438">
        <w:rPr>
          <w:szCs w:val="24"/>
        </w:rPr>
        <w:t xml:space="preserve"> steps: (1) process D</w:t>
      </w:r>
      <w:r>
        <w:rPr>
          <w:szCs w:val="24"/>
        </w:rPr>
        <w:t>ay-Ahead</w:t>
      </w:r>
      <w:r w:rsidRPr="00FC3438">
        <w:rPr>
          <w:szCs w:val="24"/>
        </w:rPr>
        <w:t xml:space="preserve"> Market inputs; (2) D</w:t>
      </w:r>
      <w:r>
        <w:rPr>
          <w:szCs w:val="24"/>
        </w:rPr>
        <w:t>ay-Ahead</w:t>
      </w:r>
      <w:r w:rsidRPr="00FC3438">
        <w:rPr>
          <w:szCs w:val="24"/>
        </w:rPr>
        <w:t xml:space="preserve"> Market execution and (3) D</w:t>
      </w:r>
      <w:r>
        <w:rPr>
          <w:szCs w:val="24"/>
        </w:rPr>
        <w:t>ay-Ahead</w:t>
      </w:r>
      <w:r w:rsidRPr="00FC3438">
        <w:rPr>
          <w:szCs w:val="24"/>
        </w:rPr>
        <w:t xml:space="preserve"> Market results.  Each of these steps is described in the following subsections.</w:t>
      </w:r>
    </w:p>
    <w:p w14:paraId="6AF920E9" w14:textId="5F54A35F" w:rsidR="00F83CA0" w:rsidRPr="00FC3438" w:rsidRDefault="00F83CA0" w:rsidP="00574EDE">
      <w:pPr>
        <w:pStyle w:val="Heading4"/>
      </w:pPr>
      <w:bookmarkStart w:id="3528" w:name="_Toc245633971"/>
      <w:bookmarkStart w:id="3529" w:name="_Toc245634123"/>
      <w:bookmarkStart w:id="3530" w:name="_Toc245728013"/>
      <w:bookmarkStart w:id="3531" w:name="_Toc248644137"/>
      <w:bookmarkStart w:id="3532" w:name="_Toc258924863"/>
      <w:bookmarkStart w:id="3533" w:name="_Ref260921087"/>
      <w:bookmarkStart w:id="3534" w:name="_Ref261348373"/>
      <w:bookmarkStart w:id="3535" w:name="_Toc263173303"/>
      <w:bookmarkStart w:id="3536" w:name="_Toc263174179"/>
      <w:bookmarkStart w:id="3537" w:name="_Toc263235078"/>
      <w:bookmarkStart w:id="3538" w:name="_Toc263235721"/>
      <w:bookmarkStart w:id="3539" w:name="_Toc263429416"/>
      <w:bookmarkStart w:id="3540" w:name="_Toc263795454"/>
      <w:bookmarkStart w:id="3541" w:name="_Toc266869631"/>
      <w:bookmarkStart w:id="3542" w:name="_Toc159232257"/>
      <w:bookmarkStart w:id="3543" w:name="_Ref212559134"/>
      <w:bookmarkStart w:id="3544" w:name="_Toc213771844"/>
      <w:r w:rsidRPr="00FC3438">
        <w:t>D</w:t>
      </w:r>
      <w:r>
        <w:t>ay-Ahead</w:t>
      </w:r>
      <w:r w:rsidRPr="00FC3438">
        <w:t xml:space="preserve"> Market Inputs</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727069E0" w14:textId="77777777" w:rsidR="00F83CA0" w:rsidRPr="00FC3438" w:rsidRDefault="00F83CA0" w:rsidP="00F83CA0">
      <w:pPr>
        <w:spacing w:before="120" w:line="300" w:lineRule="auto"/>
        <w:rPr>
          <w:szCs w:val="24"/>
        </w:rPr>
      </w:pPr>
      <w:r w:rsidRPr="00FC3438">
        <w:rPr>
          <w:szCs w:val="24"/>
        </w:rPr>
        <w:t>Inputs to the D</w:t>
      </w:r>
      <w:r>
        <w:rPr>
          <w:szCs w:val="24"/>
        </w:rPr>
        <w:t>ay-Ahead</w:t>
      </w:r>
      <w:r w:rsidRPr="00FC3438">
        <w:rPr>
          <w:szCs w:val="24"/>
        </w:rPr>
        <w:t xml:space="preserve"> Market algorithm consist of:</w:t>
      </w:r>
    </w:p>
    <w:p w14:paraId="5D9AB17B" w14:textId="77777777" w:rsidR="00F83CA0" w:rsidRPr="00FC3438" w:rsidRDefault="00F83CA0" w:rsidP="00EE45E7">
      <w:pPr>
        <w:numPr>
          <w:ilvl w:val="0"/>
          <w:numId w:val="116"/>
        </w:numPr>
        <w:spacing w:before="120" w:line="300" w:lineRule="auto"/>
        <w:rPr>
          <w:szCs w:val="24"/>
        </w:rPr>
      </w:pPr>
      <w:r w:rsidRPr="00FC3438">
        <w:rPr>
          <w:szCs w:val="24"/>
        </w:rPr>
        <w:t>D</w:t>
      </w:r>
      <w:r>
        <w:rPr>
          <w:szCs w:val="24"/>
        </w:rPr>
        <w:t>ay-Ahead</w:t>
      </w:r>
      <w:r w:rsidRPr="00FC3438">
        <w:rPr>
          <w:szCs w:val="24"/>
        </w:rPr>
        <w:t xml:space="preserve"> Market</w:t>
      </w:r>
      <w:r>
        <w:rPr>
          <w:szCs w:val="24"/>
        </w:rPr>
        <w:t xml:space="preserve"> Resource</w:t>
      </w:r>
      <w:r w:rsidRPr="00FC3438">
        <w:rPr>
          <w:szCs w:val="24"/>
        </w:rPr>
        <w:t xml:space="preserve"> Offers</w:t>
      </w:r>
      <w:r>
        <w:rPr>
          <w:szCs w:val="24"/>
        </w:rPr>
        <w:t>,</w:t>
      </w:r>
      <w:r w:rsidRPr="00FC3438">
        <w:rPr>
          <w:szCs w:val="24"/>
        </w:rPr>
        <w:t xml:space="preserve"> </w:t>
      </w:r>
      <w:r>
        <w:rPr>
          <w:szCs w:val="24"/>
        </w:rPr>
        <w:t>Demand</w:t>
      </w:r>
      <w:r w:rsidRPr="00FC3438">
        <w:rPr>
          <w:szCs w:val="24"/>
        </w:rPr>
        <w:t xml:space="preserve"> Bids</w:t>
      </w:r>
      <w:r>
        <w:rPr>
          <w:szCs w:val="24"/>
        </w:rPr>
        <w:t>, Virtual Energy Offers, and Virtual Energy Bids</w:t>
      </w:r>
      <w:r w:rsidRPr="00FC3438">
        <w:rPr>
          <w:szCs w:val="24"/>
        </w:rPr>
        <w:t xml:space="preserve"> as submitted by Market Participants prior to the close of the D</w:t>
      </w:r>
      <w:r>
        <w:rPr>
          <w:szCs w:val="24"/>
        </w:rPr>
        <w:t>ay-Ahead</w:t>
      </w:r>
      <w:r w:rsidRPr="00FC3438">
        <w:rPr>
          <w:szCs w:val="24"/>
        </w:rPr>
        <w:t xml:space="preserve"> Market;</w:t>
      </w:r>
    </w:p>
    <w:p w14:paraId="1297A64F" w14:textId="7086A5B8" w:rsidR="00F83CA0" w:rsidRPr="00FC3438" w:rsidRDefault="00F83CA0" w:rsidP="00EE45E7">
      <w:pPr>
        <w:numPr>
          <w:ilvl w:val="0"/>
          <w:numId w:val="109"/>
        </w:numPr>
        <w:tabs>
          <w:tab w:val="clear" w:pos="720"/>
          <w:tab w:val="num" w:pos="1440"/>
        </w:tabs>
        <w:spacing w:before="120" w:line="300" w:lineRule="auto"/>
        <w:ind w:left="1440" w:hanging="540"/>
        <w:rPr>
          <w:szCs w:val="24"/>
        </w:rPr>
      </w:pPr>
      <w:bookmarkStart w:id="3545" w:name="OLE_LINK112"/>
      <w:bookmarkStart w:id="3546" w:name="OLE_LINK113"/>
      <w:r w:rsidRPr="00FC3438">
        <w:rPr>
          <w:szCs w:val="24"/>
        </w:rPr>
        <w:t xml:space="preserve">For Demand Bids, Virtual Energy Bids </w:t>
      </w:r>
      <w:r w:rsidR="0046151A">
        <w:rPr>
          <w:szCs w:val="24"/>
        </w:rPr>
        <w:t>and</w:t>
      </w:r>
      <w:r w:rsidRPr="00FC3438">
        <w:rPr>
          <w:szCs w:val="24"/>
        </w:rPr>
        <w:t xml:space="preserve"> Virtual Energy Offers submitted at a </w:t>
      </w:r>
      <w:r>
        <w:rPr>
          <w:szCs w:val="24"/>
        </w:rPr>
        <w:t>l</w:t>
      </w:r>
      <w:r w:rsidRPr="00FC3438">
        <w:rPr>
          <w:szCs w:val="24"/>
        </w:rPr>
        <w:t xml:space="preserve">oad Settlement Location that contains more than one </w:t>
      </w:r>
      <w:r w:rsidR="002D623C">
        <w:rPr>
          <w:szCs w:val="24"/>
        </w:rPr>
        <w:t>Pnode</w:t>
      </w:r>
      <w:r w:rsidRPr="00FC3438">
        <w:rPr>
          <w:szCs w:val="24"/>
        </w:rPr>
        <w:t xml:space="preserve">, </w:t>
      </w:r>
      <w:r>
        <w:rPr>
          <w:szCs w:val="24"/>
        </w:rPr>
        <w:t>the Market Operator</w:t>
      </w:r>
      <w:r w:rsidRPr="00FC3438">
        <w:rPr>
          <w:szCs w:val="24"/>
        </w:rPr>
        <w:t xml:space="preserve"> distributes the Bid MW down to the associated </w:t>
      </w:r>
      <w:r w:rsidR="002D623C">
        <w:rPr>
          <w:szCs w:val="24"/>
        </w:rPr>
        <w:t>Pnode</w:t>
      </w:r>
      <w:r w:rsidRPr="00FC3438">
        <w:rPr>
          <w:szCs w:val="24"/>
        </w:rPr>
        <w:t xml:space="preserve">s using weighting factors for modeling purposes as described under Section </w:t>
      </w:r>
      <w:r w:rsidRPr="00FC3438">
        <w:rPr>
          <w:szCs w:val="24"/>
        </w:rPr>
        <w:fldChar w:fldCharType="begin"/>
      </w:r>
      <w:r w:rsidRPr="00FC3438">
        <w:rPr>
          <w:szCs w:val="24"/>
        </w:rPr>
        <w:instrText xml:space="preserve"> REF _Ref258484770 \r \h </w:instrText>
      </w:r>
      <w:r w:rsidRPr="00FC3438">
        <w:rPr>
          <w:szCs w:val="24"/>
        </w:rPr>
      </w:r>
      <w:r w:rsidRPr="00FC3438">
        <w:rPr>
          <w:szCs w:val="24"/>
        </w:rPr>
        <w:fldChar w:fldCharType="separate"/>
      </w:r>
      <w:r w:rsidR="0033339C">
        <w:rPr>
          <w:szCs w:val="24"/>
        </w:rPr>
        <w:t>4.1.2.1.6</w:t>
      </w:r>
      <w:r w:rsidRPr="00FC3438">
        <w:rPr>
          <w:szCs w:val="24"/>
        </w:rPr>
        <w:fldChar w:fldCharType="end"/>
      </w:r>
      <w:r>
        <w:rPr>
          <w:szCs w:val="24"/>
        </w:rPr>
        <w:t xml:space="preserve">; </w:t>
      </w:r>
      <w:r w:rsidRPr="00FC3438">
        <w:rPr>
          <w:szCs w:val="24"/>
        </w:rPr>
        <w:t xml:space="preserve">  </w:t>
      </w:r>
    </w:p>
    <w:p w14:paraId="5ED3EA62" w14:textId="117658D3" w:rsidR="00F83CA0" w:rsidRPr="00FC3438" w:rsidRDefault="00F83CA0" w:rsidP="00EE45E7">
      <w:pPr>
        <w:numPr>
          <w:ilvl w:val="0"/>
          <w:numId w:val="109"/>
        </w:numPr>
        <w:tabs>
          <w:tab w:val="clear" w:pos="720"/>
          <w:tab w:val="num" w:pos="1440"/>
        </w:tabs>
        <w:spacing w:before="120" w:line="300" w:lineRule="auto"/>
        <w:ind w:left="1440" w:hanging="540"/>
        <w:rPr>
          <w:szCs w:val="24"/>
        </w:rPr>
      </w:pPr>
      <w:r w:rsidRPr="00FC3438">
        <w:rPr>
          <w:szCs w:val="24"/>
        </w:rPr>
        <w:t xml:space="preserve">For Virtual Energy Bids </w:t>
      </w:r>
      <w:r w:rsidR="0046151A">
        <w:rPr>
          <w:szCs w:val="24"/>
        </w:rPr>
        <w:t>and</w:t>
      </w:r>
      <w:r w:rsidRPr="00FC3438">
        <w:rPr>
          <w:szCs w:val="24"/>
        </w:rPr>
        <w:t xml:space="preserve"> Virtual Energy Offers submitted at a Trading Hub Settlement Location</w:t>
      </w:r>
      <w:r>
        <w:rPr>
          <w:szCs w:val="24"/>
        </w:rPr>
        <w:t>, except for External Interfaces,</w:t>
      </w:r>
      <w:r w:rsidRPr="00FC3438">
        <w:rPr>
          <w:szCs w:val="24"/>
        </w:rPr>
        <w:t xml:space="preserve"> </w:t>
      </w:r>
      <w:r>
        <w:rPr>
          <w:szCs w:val="24"/>
        </w:rPr>
        <w:t>the Market Operator</w:t>
      </w:r>
      <w:r w:rsidRPr="00FC3438">
        <w:rPr>
          <w:szCs w:val="24"/>
        </w:rPr>
        <w:t xml:space="preserve"> uses a common set of weighting factors to distribute the Bid </w:t>
      </w:r>
      <w:r w:rsidR="0046151A">
        <w:rPr>
          <w:szCs w:val="24"/>
        </w:rPr>
        <w:t>and</w:t>
      </w:r>
      <w:r w:rsidRPr="00FC3438">
        <w:rPr>
          <w:szCs w:val="24"/>
        </w:rPr>
        <w:t xml:space="preserve"> Offer MWs down to </w:t>
      </w:r>
      <w:r w:rsidR="002D623C">
        <w:rPr>
          <w:szCs w:val="24"/>
        </w:rPr>
        <w:t>Pnode</w:t>
      </w:r>
      <w:r w:rsidRPr="00FC3438">
        <w:rPr>
          <w:szCs w:val="24"/>
        </w:rPr>
        <w:t>s included in the Trading Hub</w:t>
      </w:r>
      <w:r>
        <w:rPr>
          <w:szCs w:val="24"/>
        </w:rPr>
        <w:t xml:space="preserve"> </w:t>
      </w:r>
      <w:r w:rsidRPr="00FC3438">
        <w:rPr>
          <w:szCs w:val="24"/>
        </w:rPr>
        <w:t xml:space="preserve">for modeling purposes.  </w:t>
      </w:r>
    </w:p>
    <w:bookmarkEnd w:id="3545"/>
    <w:bookmarkEnd w:id="3546"/>
    <w:p w14:paraId="02D38899" w14:textId="77777777" w:rsidR="00F83CA0" w:rsidRPr="00FC3438" w:rsidRDefault="00F83CA0" w:rsidP="00EE45E7">
      <w:pPr>
        <w:numPr>
          <w:ilvl w:val="0"/>
          <w:numId w:val="116"/>
        </w:numPr>
        <w:spacing w:before="120" w:line="300" w:lineRule="auto"/>
        <w:ind w:hanging="540"/>
        <w:rPr>
          <w:szCs w:val="24"/>
        </w:rPr>
      </w:pPr>
      <w:r w:rsidRPr="00FC3438">
        <w:rPr>
          <w:szCs w:val="24"/>
        </w:rPr>
        <w:t>Through Interchange Transactions as submitted by Market Participants and confirmed prior to the close of the D</w:t>
      </w:r>
      <w:r>
        <w:rPr>
          <w:szCs w:val="24"/>
        </w:rPr>
        <w:t>ay-Ahead</w:t>
      </w:r>
      <w:r w:rsidRPr="00FC3438">
        <w:rPr>
          <w:szCs w:val="24"/>
        </w:rPr>
        <w:t xml:space="preserve"> Market;</w:t>
      </w:r>
    </w:p>
    <w:p w14:paraId="082C04A4" w14:textId="77777777" w:rsidR="00F83CA0" w:rsidRDefault="00F83CA0" w:rsidP="00EE45E7">
      <w:pPr>
        <w:numPr>
          <w:ilvl w:val="0"/>
          <w:numId w:val="116"/>
        </w:numPr>
        <w:spacing w:before="120" w:line="300" w:lineRule="auto"/>
        <w:ind w:hanging="540"/>
        <w:rPr>
          <w:szCs w:val="24"/>
        </w:rPr>
      </w:pPr>
      <w:r>
        <w:rPr>
          <w:szCs w:val="24"/>
        </w:rPr>
        <w:t>Export Interchange Transaction Bids;</w:t>
      </w:r>
    </w:p>
    <w:p w14:paraId="1BBABDC2" w14:textId="77777777" w:rsidR="00F83CA0" w:rsidRDefault="00F83CA0" w:rsidP="00EE45E7">
      <w:pPr>
        <w:numPr>
          <w:ilvl w:val="0"/>
          <w:numId w:val="116"/>
        </w:numPr>
        <w:spacing w:before="120" w:line="300" w:lineRule="auto"/>
        <w:ind w:hanging="540"/>
        <w:rPr>
          <w:szCs w:val="24"/>
        </w:rPr>
      </w:pPr>
      <w:r>
        <w:rPr>
          <w:szCs w:val="24"/>
        </w:rPr>
        <w:t>Import Interchange Transaction Offers;</w:t>
      </w:r>
    </w:p>
    <w:p w14:paraId="5255C140" w14:textId="77777777" w:rsidR="00F83CA0" w:rsidRPr="00FC3438" w:rsidRDefault="00F83CA0" w:rsidP="00EE45E7">
      <w:pPr>
        <w:numPr>
          <w:ilvl w:val="0"/>
          <w:numId w:val="116"/>
        </w:numPr>
        <w:spacing w:before="120" w:line="300" w:lineRule="auto"/>
        <w:ind w:hanging="540"/>
        <w:rPr>
          <w:szCs w:val="24"/>
        </w:rPr>
      </w:pPr>
      <w:r w:rsidRPr="00FC3438">
        <w:rPr>
          <w:szCs w:val="24"/>
        </w:rPr>
        <w:t>Flexibility Reserve Products requirements (</w:t>
      </w:r>
      <w:r>
        <w:rPr>
          <w:szCs w:val="24"/>
        </w:rPr>
        <w:t>market</w:t>
      </w:r>
      <w:r w:rsidRPr="00FC3438">
        <w:rPr>
          <w:szCs w:val="24"/>
        </w:rPr>
        <w:t>-wide and Reserve Zone min and max);</w:t>
      </w:r>
    </w:p>
    <w:p w14:paraId="3EE3A564" w14:textId="77777777" w:rsidR="00F83CA0" w:rsidRPr="00FC3438" w:rsidRDefault="00F83CA0" w:rsidP="00EE45E7">
      <w:pPr>
        <w:numPr>
          <w:ilvl w:val="0"/>
          <w:numId w:val="116"/>
        </w:numPr>
        <w:spacing w:before="120" w:line="300" w:lineRule="auto"/>
        <w:ind w:hanging="540"/>
        <w:rPr>
          <w:szCs w:val="24"/>
        </w:rPr>
      </w:pPr>
      <w:r w:rsidRPr="00FC3438">
        <w:rPr>
          <w:szCs w:val="24"/>
        </w:rPr>
        <w:t xml:space="preserve">Transmission </w:t>
      </w:r>
      <w:r>
        <w:rPr>
          <w:szCs w:val="24"/>
        </w:rPr>
        <w:t>s</w:t>
      </w:r>
      <w:r w:rsidRPr="00FC3438">
        <w:rPr>
          <w:szCs w:val="24"/>
        </w:rPr>
        <w:t xml:space="preserve">ystem topology consistent with Network Model in place for </w:t>
      </w:r>
      <w:r>
        <w:rPr>
          <w:szCs w:val="24"/>
        </w:rPr>
        <w:t>upcoming</w:t>
      </w:r>
      <w:r w:rsidRPr="00FC3438">
        <w:rPr>
          <w:szCs w:val="24"/>
        </w:rPr>
        <w:t xml:space="preserve"> Operating Day; </w:t>
      </w:r>
    </w:p>
    <w:p w14:paraId="3E4CD1CF" w14:textId="77777777" w:rsidR="00F83CA0" w:rsidRDefault="00F83CA0" w:rsidP="00EE45E7">
      <w:pPr>
        <w:numPr>
          <w:ilvl w:val="0"/>
          <w:numId w:val="116"/>
        </w:numPr>
        <w:spacing w:before="120" w:line="300" w:lineRule="auto"/>
        <w:ind w:hanging="540"/>
        <w:rPr>
          <w:szCs w:val="24"/>
        </w:rPr>
      </w:pPr>
      <w:r>
        <w:rPr>
          <w:szCs w:val="24"/>
        </w:rPr>
        <w:t xml:space="preserve">Scheduled Outages (Resource and Transmission); </w:t>
      </w:r>
    </w:p>
    <w:p w14:paraId="2419BBEE" w14:textId="77777777" w:rsidR="00F83CA0" w:rsidRPr="00FC3438" w:rsidRDefault="00F83CA0" w:rsidP="00EE45E7">
      <w:pPr>
        <w:numPr>
          <w:ilvl w:val="0"/>
          <w:numId w:val="116"/>
        </w:numPr>
        <w:spacing w:before="120" w:line="300" w:lineRule="auto"/>
        <w:ind w:hanging="540"/>
        <w:rPr>
          <w:szCs w:val="24"/>
        </w:rPr>
      </w:pPr>
      <w:r w:rsidRPr="00FC3438">
        <w:rPr>
          <w:szCs w:val="24"/>
        </w:rPr>
        <w:t>Service Flow Constrain</w:t>
      </w:r>
      <w:r>
        <w:rPr>
          <w:szCs w:val="24"/>
        </w:rPr>
        <w:t>t</w:t>
      </w:r>
      <w:r w:rsidRPr="00FC3438">
        <w:rPr>
          <w:szCs w:val="24"/>
        </w:rPr>
        <w:t>s</w:t>
      </w:r>
      <w:r>
        <w:rPr>
          <w:szCs w:val="24"/>
        </w:rPr>
        <w:t>;</w:t>
      </w:r>
    </w:p>
    <w:p w14:paraId="0A4B691D" w14:textId="198E5371" w:rsidR="00F83CA0" w:rsidRPr="00FC3438" w:rsidRDefault="00F83CA0" w:rsidP="00EE45E7">
      <w:pPr>
        <w:numPr>
          <w:ilvl w:val="0"/>
          <w:numId w:val="116"/>
        </w:numPr>
        <w:spacing w:before="120" w:line="300" w:lineRule="auto"/>
        <w:ind w:hanging="540"/>
        <w:rPr>
          <w:szCs w:val="24"/>
        </w:rPr>
      </w:pPr>
      <w:r>
        <w:rPr>
          <w:szCs w:val="24"/>
        </w:rPr>
        <w:t>Market Operator</w:t>
      </w:r>
      <w:r w:rsidRPr="00FC3438">
        <w:rPr>
          <w:szCs w:val="24"/>
        </w:rPr>
        <w:t xml:space="preserve"> Instantaneous Load Capacity requirements;</w:t>
      </w:r>
      <w:r>
        <w:rPr>
          <w:szCs w:val="24"/>
        </w:rPr>
        <w:t xml:space="preserve"> </w:t>
      </w:r>
    </w:p>
    <w:p w14:paraId="0A0C343D" w14:textId="0423D645" w:rsidR="00F83CA0" w:rsidRPr="00FC3438" w:rsidRDefault="00F83CA0" w:rsidP="00EE45E7">
      <w:pPr>
        <w:numPr>
          <w:ilvl w:val="0"/>
          <w:numId w:val="116"/>
        </w:numPr>
        <w:spacing w:before="120" w:line="300" w:lineRule="auto"/>
        <w:ind w:hanging="540"/>
        <w:rPr>
          <w:szCs w:val="24"/>
        </w:rPr>
      </w:pPr>
      <w:r w:rsidRPr="00FC3438">
        <w:rPr>
          <w:szCs w:val="24"/>
        </w:rPr>
        <w:t>Local Reliability Issue Commitments</w:t>
      </w:r>
      <w:r w:rsidR="0073482C">
        <w:rPr>
          <w:szCs w:val="24"/>
        </w:rPr>
        <w:t>;</w:t>
      </w:r>
    </w:p>
    <w:p w14:paraId="03758031" w14:textId="7FF690AC" w:rsidR="004C7F2A" w:rsidRPr="00EA5E8F" w:rsidRDefault="004C7F2A" w:rsidP="00EA5E8F">
      <w:pPr>
        <w:pStyle w:val="ListParagraph"/>
        <w:numPr>
          <w:ilvl w:val="0"/>
          <w:numId w:val="116"/>
        </w:numPr>
        <w:tabs>
          <w:tab w:val="clear" w:pos="720"/>
        </w:tabs>
        <w:spacing w:before="120" w:line="300" w:lineRule="auto"/>
        <w:ind w:left="540"/>
        <w:rPr>
          <w:szCs w:val="24"/>
        </w:rPr>
      </w:pPr>
      <w:r w:rsidRPr="00EA5E8F">
        <w:rPr>
          <w:szCs w:val="24"/>
        </w:rPr>
        <w:t>Market Transfer Interface Limits</w:t>
      </w:r>
      <w:r w:rsidR="006E1D9E">
        <w:rPr>
          <w:szCs w:val="24"/>
        </w:rPr>
        <w:t>;</w:t>
      </w:r>
    </w:p>
    <w:p w14:paraId="4DC392EB" w14:textId="42E544A5" w:rsidR="004C7F2A" w:rsidRDefault="004C7F2A" w:rsidP="00EA5E8F">
      <w:pPr>
        <w:numPr>
          <w:ilvl w:val="0"/>
          <w:numId w:val="116"/>
        </w:numPr>
        <w:tabs>
          <w:tab w:val="clear" w:pos="720"/>
        </w:tabs>
        <w:spacing w:before="120" w:line="300" w:lineRule="auto"/>
        <w:ind w:left="540"/>
        <w:rPr>
          <w:szCs w:val="24"/>
        </w:rPr>
      </w:pPr>
      <w:r>
        <w:rPr>
          <w:szCs w:val="24"/>
        </w:rPr>
        <w:t>Market Opt-in Transfer Interface Limits</w:t>
      </w:r>
      <w:r w:rsidR="006E1D9E">
        <w:rPr>
          <w:szCs w:val="24"/>
        </w:rPr>
        <w:t>; and</w:t>
      </w:r>
    </w:p>
    <w:p w14:paraId="62E82746" w14:textId="02BFAA7B" w:rsidR="004C7F2A" w:rsidRPr="00FC3438" w:rsidRDefault="004C7F2A" w:rsidP="00EA5E8F">
      <w:pPr>
        <w:numPr>
          <w:ilvl w:val="0"/>
          <w:numId w:val="116"/>
        </w:numPr>
        <w:tabs>
          <w:tab w:val="clear" w:pos="720"/>
        </w:tabs>
        <w:spacing w:before="120" w:line="300" w:lineRule="auto"/>
        <w:ind w:left="540"/>
        <w:rPr>
          <w:szCs w:val="24"/>
        </w:rPr>
      </w:pPr>
      <w:r>
        <w:rPr>
          <w:szCs w:val="24"/>
        </w:rPr>
        <w:t>BAA Scheduling Constraint Limits</w:t>
      </w:r>
      <w:r w:rsidR="006E1D9E">
        <w:rPr>
          <w:szCs w:val="24"/>
        </w:rPr>
        <w:t>.</w:t>
      </w:r>
    </w:p>
    <w:p w14:paraId="113CAC34" w14:textId="2AA26467" w:rsidR="00F83CA0" w:rsidRPr="00FC3438" w:rsidRDefault="00F83CA0" w:rsidP="00574EDE">
      <w:pPr>
        <w:pStyle w:val="Heading4"/>
      </w:pPr>
      <w:bookmarkStart w:id="3547" w:name="_Toc245633972"/>
      <w:bookmarkStart w:id="3548" w:name="_Toc245634124"/>
      <w:bookmarkStart w:id="3549" w:name="_Toc245728014"/>
      <w:bookmarkStart w:id="3550" w:name="_Toc248644138"/>
      <w:bookmarkStart w:id="3551" w:name="_Toc258924864"/>
      <w:bookmarkStart w:id="3552" w:name="_Toc263173304"/>
      <w:bookmarkStart w:id="3553" w:name="_Toc263174180"/>
      <w:bookmarkStart w:id="3554" w:name="_Toc263235079"/>
      <w:bookmarkStart w:id="3555" w:name="_Toc263235722"/>
      <w:bookmarkStart w:id="3556" w:name="_Ref263252159"/>
      <w:bookmarkStart w:id="3557" w:name="_Toc263429417"/>
      <w:bookmarkStart w:id="3558" w:name="_Toc263795455"/>
      <w:bookmarkStart w:id="3559" w:name="_Toc266869632"/>
      <w:bookmarkStart w:id="3560" w:name="_Ref267555409"/>
      <w:bookmarkStart w:id="3561" w:name="_Ref270427459"/>
      <w:bookmarkStart w:id="3562" w:name="_Ref476208742"/>
      <w:bookmarkStart w:id="3563" w:name="_Ref476736543"/>
      <w:bookmarkStart w:id="3564" w:name="_Ref476736578"/>
      <w:bookmarkStart w:id="3565" w:name="_Ref476737242"/>
      <w:bookmarkStart w:id="3566" w:name="_Toc159232258"/>
      <w:bookmarkStart w:id="3567" w:name="_Toc213771845"/>
      <w:r w:rsidRPr="00FC3438">
        <w:t>D</w:t>
      </w:r>
      <w:r>
        <w:t>ay-Ahead</w:t>
      </w:r>
      <w:r w:rsidRPr="00FC3438">
        <w:t xml:space="preserve"> Market Execution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5FA70887" w14:textId="77777777" w:rsidR="00F83CA0" w:rsidRPr="00FC3438" w:rsidRDefault="00F83CA0" w:rsidP="00F83CA0">
      <w:pPr>
        <w:spacing w:before="120" w:line="300" w:lineRule="auto"/>
        <w:rPr>
          <w:szCs w:val="24"/>
        </w:rPr>
      </w:pPr>
      <w:r>
        <w:rPr>
          <w:szCs w:val="24"/>
        </w:rPr>
        <w:t xml:space="preserve">The Market Operator </w:t>
      </w:r>
      <w:r w:rsidRPr="00FC3438">
        <w:rPr>
          <w:szCs w:val="24"/>
        </w:rPr>
        <w:t xml:space="preserve">clears the Day-Ahead Market for each hour of the upcoming Operating Day based on the inputs described above.  A </w:t>
      </w:r>
      <w:r>
        <w:rPr>
          <w:szCs w:val="24"/>
        </w:rPr>
        <w:t>S</w:t>
      </w:r>
      <w:r w:rsidRPr="00FC3438">
        <w:rPr>
          <w:szCs w:val="24"/>
        </w:rPr>
        <w:t xml:space="preserve">imultaneous </w:t>
      </w:r>
      <w:r>
        <w:rPr>
          <w:szCs w:val="24"/>
        </w:rPr>
        <w:t>C</w:t>
      </w:r>
      <w:r w:rsidRPr="00FC3438">
        <w:rPr>
          <w:szCs w:val="24"/>
        </w:rPr>
        <w:t xml:space="preserve">o-optimization </w:t>
      </w:r>
      <w:r>
        <w:rPr>
          <w:szCs w:val="24"/>
        </w:rPr>
        <w:t>M</w:t>
      </w:r>
      <w:r w:rsidRPr="00FC3438">
        <w:rPr>
          <w:szCs w:val="24"/>
        </w:rPr>
        <w:t>ethodology, utilizing the SCUC and SCED algorithms</w:t>
      </w:r>
      <w:r>
        <w:rPr>
          <w:szCs w:val="24"/>
        </w:rPr>
        <w:t>,</w:t>
      </w:r>
      <w:r w:rsidRPr="00FC3438">
        <w:rPr>
          <w:szCs w:val="24"/>
        </w:rPr>
        <w:t xml:space="preserve"> is employed to simultaneously perform the following tasks:</w:t>
      </w:r>
    </w:p>
    <w:p w14:paraId="25FF0161" w14:textId="3B31C449" w:rsidR="00F83CA0" w:rsidRPr="00FC3438" w:rsidRDefault="00F83CA0" w:rsidP="00EE45E7">
      <w:pPr>
        <w:numPr>
          <w:ilvl w:val="0"/>
          <w:numId w:val="110"/>
        </w:numPr>
        <w:spacing w:line="300" w:lineRule="auto"/>
        <w:ind w:hanging="720"/>
        <w:rPr>
          <w:szCs w:val="24"/>
        </w:rPr>
      </w:pPr>
      <w:r w:rsidRPr="00FC3438">
        <w:rPr>
          <w:szCs w:val="24"/>
        </w:rPr>
        <w:t>Commit offered Resources, Import Interchange Transaction Offers</w:t>
      </w:r>
      <w:r>
        <w:rPr>
          <w:szCs w:val="24"/>
        </w:rPr>
        <w:t>,</w:t>
      </w:r>
      <w:r w:rsidRPr="00FC3438">
        <w:rPr>
          <w:szCs w:val="24"/>
        </w:rPr>
        <w:t xml:space="preserve"> and Virtual Energy Offers using the SCUC algorithm to meet the Demand Bids, Virtual Energy Bids, Export Interchange Transactions Bids, Instantaneous Load Capacity requirements</w:t>
      </w:r>
      <w:r>
        <w:rPr>
          <w:szCs w:val="24"/>
        </w:rPr>
        <w:t>,</w:t>
      </w:r>
      <w:r w:rsidRPr="00FC3438">
        <w:rPr>
          <w:szCs w:val="24"/>
        </w:rPr>
        <w:t xml:space="preserve"> and Flexibility Reserve Products requirements </w:t>
      </w:r>
      <w:r>
        <w:rPr>
          <w:szCs w:val="24"/>
        </w:rPr>
        <w:t>on a</w:t>
      </w:r>
      <w:r w:rsidRPr="00FC3438">
        <w:rPr>
          <w:szCs w:val="24"/>
        </w:rPr>
        <w:t xml:space="preserve"> least</w:t>
      </w:r>
      <w:r>
        <w:rPr>
          <w:szCs w:val="24"/>
        </w:rPr>
        <w:t>-</w:t>
      </w:r>
      <w:r w:rsidRPr="00FC3438">
        <w:rPr>
          <w:szCs w:val="24"/>
        </w:rPr>
        <w:t xml:space="preserve">cost </w:t>
      </w:r>
      <w:r>
        <w:rPr>
          <w:szCs w:val="24"/>
        </w:rPr>
        <w:t xml:space="preserve">basis </w:t>
      </w:r>
      <w:r w:rsidRPr="00FC3438">
        <w:rPr>
          <w:szCs w:val="24"/>
        </w:rPr>
        <w:t xml:space="preserve">throughout the projected upcoming Operating Day while respecting </w:t>
      </w:r>
      <w:r w:rsidR="00D87279">
        <w:rPr>
          <w:szCs w:val="24"/>
        </w:rPr>
        <w:t>applicable</w:t>
      </w:r>
      <w:r w:rsidR="004F6184">
        <w:rPr>
          <w:szCs w:val="24"/>
        </w:rPr>
        <w:t xml:space="preserve"> constraints</w:t>
      </w:r>
      <w:r w:rsidRPr="00FC3438">
        <w:rPr>
          <w:szCs w:val="24"/>
        </w:rPr>
        <w:t>;</w:t>
      </w:r>
    </w:p>
    <w:p w14:paraId="42E4B404" w14:textId="693B0C73" w:rsidR="00F83CA0" w:rsidRPr="00FC3438" w:rsidRDefault="00F83CA0" w:rsidP="00EE45E7">
      <w:pPr>
        <w:numPr>
          <w:ilvl w:val="0"/>
          <w:numId w:val="105"/>
        </w:numPr>
        <w:tabs>
          <w:tab w:val="clear" w:pos="720"/>
        </w:tabs>
        <w:spacing w:before="120" w:line="300" w:lineRule="auto"/>
        <w:ind w:left="1440" w:hanging="720"/>
        <w:rPr>
          <w:szCs w:val="24"/>
        </w:rPr>
      </w:pPr>
      <w:r w:rsidRPr="00FC3438">
        <w:rPr>
          <w:szCs w:val="24"/>
        </w:rPr>
        <w:t xml:space="preserve">The </w:t>
      </w:r>
      <w:r>
        <w:rPr>
          <w:szCs w:val="24"/>
        </w:rPr>
        <w:t>Day-Ahead</w:t>
      </w:r>
      <w:r w:rsidRPr="00FC3438">
        <w:rPr>
          <w:szCs w:val="24"/>
        </w:rPr>
        <w:t xml:space="preserve"> Market SCUC algorithm will consider commitment of Resources with a Commit Status of Market, Self</w:t>
      </w:r>
      <w:r w:rsidR="003C298B">
        <w:rPr>
          <w:szCs w:val="24"/>
        </w:rPr>
        <w:t>,</w:t>
      </w:r>
      <w:r w:rsidRPr="00FC3438">
        <w:rPr>
          <w:szCs w:val="24"/>
        </w:rPr>
        <w:t xml:space="preserve"> and Reliability Must Run, including capacity up to the Resources’ Maximum Economic Capacity Operating Limit</w:t>
      </w:r>
      <w:r w:rsidR="00BC3110">
        <w:rPr>
          <w:szCs w:val="24"/>
        </w:rPr>
        <w:t xml:space="preserve"> (Max ECOL)</w:t>
      </w:r>
      <w:r w:rsidRPr="00FC3438">
        <w:rPr>
          <w:szCs w:val="24"/>
        </w:rPr>
        <w:t>, Maximum Discharge Limit, or down to Minimum Charge Limit</w:t>
      </w:r>
      <w:r w:rsidR="00D22E3C">
        <w:rPr>
          <w:szCs w:val="24"/>
        </w:rPr>
        <w:t>,</w:t>
      </w:r>
      <w:r w:rsidRPr="00FC3438">
        <w:rPr>
          <w:szCs w:val="24"/>
        </w:rPr>
        <w:t xml:space="preserve"> and</w:t>
      </w:r>
      <w:r w:rsidR="00B72CE0">
        <w:rPr>
          <w:szCs w:val="24"/>
        </w:rPr>
        <w:t xml:space="preserve"> including capacity</w:t>
      </w:r>
      <w:r w:rsidRPr="00FC3438">
        <w:rPr>
          <w:szCs w:val="24"/>
        </w:rPr>
        <w:t xml:space="preserve"> down to the Resources Minimum Economic Capacity Operating Limit</w:t>
      </w:r>
      <w:r w:rsidR="00BC3110">
        <w:rPr>
          <w:szCs w:val="24"/>
        </w:rPr>
        <w:t xml:space="preserve"> (Min ECOL)</w:t>
      </w:r>
      <w:r w:rsidRPr="00FC3438">
        <w:rPr>
          <w:szCs w:val="24"/>
        </w:rPr>
        <w:t xml:space="preserve">, Minimum Discharge Limit, or up to Maximum Charge Limit.  </w:t>
      </w:r>
      <w:r w:rsidRPr="00FC3438">
        <w:t xml:space="preserve">    </w:t>
      </w:r>
    </w:p>
    <w:p w14:paraId="5ADAC5C2" w14:textId="7F43E5C7" w:rsidR="00F83CA0" w:rsidRPr="00FC3438" w:rsidRDefault="00F83CA0" w:rsidP="00EE45E7">
      <w:pPr>
        <w:numPr>
          <w:ilvl w:val="0"/>
          <w:numId w:val="110"/>
        </w:numPr>
        <w:spacing w:line="300" w:lineRule="auto"/>
        <w:ind w:hanging="720"/>
        <w:rPr>
          <w:szCs w:val="24"/>
        </w:rPr>
      </w:pPr>
      <w:r w:rsidRPr="00FC3438">
        <w:rPr>
          <w:szCs w:val="24"/>
        </w:rPr>
        <w:t xml:space="preserve">Using the </w:t>
      </w:r>
      <w:r>
        <w:rPr>
          <w:szCs w:val="24"/>
        </w:rPr>
        <w:t xml:space="preserve">Resource </w:t>
      </w:r>
      <w:r w:rsidRPr="00FC3438">
        <w:rPr>
          <w:szCs w:val="24"/>
        </w:rPr>
        <w:t>commitment results from the SCUC, clear Resource Offers</w:t>
      </w:r>
      <w:r>
        <w:rPr>
          <w:szCs w:val="24"/>
        </w:rPr>
        <w:t>, Virtual Energy Offers,</w:t>
      </w:r>
      <w:r w:rsidRPr="00FC3438">
        <w:rPr>
          <w:szCs w:val="24"/>
        </w:rPr>
        <w:t xml:space="preserve"> and Import Interchange Transaction Offers to meet Demand Bids, Virtual Energy Bids, Export Interchange Transaction Bids</w:t>
      </w:r>
      <w:r>
        <w:rPr>
          <w:szCs w:val="24"/>
        </w:rPr>
        <w:t>,</w:t>
      </w:r>
      <w:r w:rsidRPr="00FC3438">
        <w:rPr>
          <w:szCs w:val="24"/>
        </w:rPr>
        <w:t xml:space="preserve"> and Flexibility Reserve Products requirements </w:t>
      </w:r>
      <w:r>
        <w:rPr>
          <w:szCs w:val="24"/>
        </w:rPr>
        <w:t>on a least-</w:t>
      </w:r>
      <w:r w:rsidRPr="00FC3438">
        <w:rPr>
          <w:szCs w:val="24"/>
        </w:rPr>
        <w:t>cost</w:t>
      </w:r>
      <w:r>
        <w:rPr>
          <w:szCs w:val="24"/>
        </w:rPr>
        <w:t xml:space="preserve"> basis</w:t>
      </w:r>
      <w:r w:rsidRPr="00FC3438">
        <w:rPr>
          <w:szCs w:val="24"/>
        </w:rPr>
        <w:t xml:space="preserve"> for each hour of the upcoming Operating Day using the SCED algorithm.  </w:t>
      </w:r>
    </w:p>
    <w:p w14:paraId="15E1882F" w14:textId="77777777" w:rsidR="00F83CA0" w:rsidRPr="00FC3438" w:rsidRDefault="00F83CA0" w:rsidP="00EE45E7">
      <w:pPr>
        <w:numPr>
          <w:ilvl w:val="0"/>
          <w:numId w:val="108"/>
        </w:numPr>
        <w:tabs>
          <w:tab w:val="clear" w:pos="720"/>
          <w:tab w:val="num" w:pos="1440"/>
        </w:tabs>
        <w:spacing w:line="300" w:lineRule="auto"/>
        <w:ind w:left="1440" w:hanging="720"/>
        <w:rPr>
          <w:szCs w:val="24"/>
        </w:rPr>
      </w:pPr>
      <w:r w:rsidRPr="00FC3438">
        <w:rPr>
          <w:szCs w:val="24"/>
        </w:rPr>
        <w:t>The SCED algorithm includes marginal loss sensitivity factors which approximate the change in marginal system losses for a change in Energy dispatch.  The inclusion of these factors further optimizes the Energy dispatch and reduces overall production costs.</w:t>
      </w:r>
    </w:p>
    <w:p w14:paraId="08322B59" w14:textId="6AD30B83" w:rsidR="00F83CA0" w:rsidRPr="00FC3438" w:rsidRDefault="00F83CA0" w:rsidP="00EE45E7">
      <w:pPr>
        <w:numPr>
          <w:ilvl w:val="0"/>
          <w:numId w:val="108"/>
        </w:numPr>
        <w:tabs>
          <w:tab w:val="clear" w:pos="720"/>
          <w:tab w:val="num" w:pos="1440"/>
        </w:tabs>
        <w:spacing w:line="300" w:lineRule="auto"/>
        <w:ind w:left="1440" w:hanging="720"/>
        <w:rPr>
          <w:szCs w:val="24"/>
        </w:rPr>
      </w:pPr>
      <w:r w:rsidRPr="00FC3438">
        <w:t xml:space="preserve">In certain situations, enforcing constraints may result in a solution that is not feasible at a Shadow Price less than an appropriately priced </w:t>
      </w:r>
      <w:r>
        <w:t>Violation Relaxation Limit (</w:t>
      </w:r>
      <w:r w:rsidRPr="00FC3438">
        <w:t>VRL</w:t>
      </w:r>
      <w:r>
        <w:t>)</w:t>
      </w:r>
      <w:r w:rsidRPr="00FC3438">
        <w:t xml:space="preserve">.  In such cases, </w:t>
      </w:r>
      <w:r>
        <w:t>the Market Operator</w:t>
      </w:r>
      <w:r w:rsidRPr="00FC3438">
        <w:t xml:space="preserve"> must apply VRLs in SCED as described under Section </w:t>
      </w:r>
      <w:r w:rsidR="00316988">
        <w:fldChar w:fldCharType="begin"/>
      </w:r>
      <w:r w:rsidR="00316988">
        <w:instrText xml:space="preserve"> REF _Ref212550326 \r \h </w:instrText>
      </w:r>
      <w:r w:rsidR="00316988">
        <w:fldChar w:fldCharType="separate"/>
      </w:r>
      <w:r w:rsidR="00316988">
        <w:t>4.1.4</w:t>
      </w:r>
      <w:r w:rsidR="00316988">
        <w:fldChar w:fldCharType="end"/>
      </w:r>
      <w:r w:rsidRPr="00FC3438">
        <w:fldChar w:fldCharType="begin"/>
      </w:r>
      <w:r w:rsidRPr="00FC3438">
        <w:instrText xml:space="preserve"> REF _Ref257896065 \r \h </w:instrText>
      </w:r>
      <w:r w:rsidRPr="00FC3438">
        <w:fldChar w:fldCharType="separate"/>
      </w:r>
      <w:r w:rsidRPr="00FC3438">
        <w:fldChar w:fldCharType="end"/>
      </w:r>
      <w:r w:rsidRPr="00FC3438">
        <w:t>.</w:t>
      </w:r>
    </w:p>
    <w:p w14:paraId="07B5B89F" w14:textId="77777777" w:rsidR="00F83CA0" w:rsidRDefault="00F83CA0" w:rsidP="00EE45E7">
      <w:pPr>
        <w:numPr>
          <w:ilvl w:val="0"/>
          <w:numId w:val="108"/>
        </w:numPr>
        <w:tabs>
          <w:tab w:val="clear" w:pos="720"/>
          <w:tab w:val="num" w:pos="1440"/>
        </w:tabs>
        <w:spacing w:line="300" w:lineRule="auto"/>
        <w:ind w:left="1440" w:hanging="720"/>
        <w:rPr>
          <w:szCs w:val="24"/>
        </w:rPr>
      </w:pPr>
      <w:bookmarkStart w:id="3568" w:name="_Toc237163871"/>
      <w:bookmarkStart w:id="3569" w:name="_Toc241309294"/>
      <w:r w:rsidRPr="00FC3438">
        <w:rPr>
          <w:szCs w:val="24"/>
        </w:rPr>
        <w:t xml:space="preserve">To ensure that Market Participants are indifferent as to whether they are cleared for Energy or Flexibility Reserve Products, the co-optimization logic will provide through the Shadow Price calculation Market Clearing Prices </w:t>
      </w:r>
      <w:r>
        <w:rPr>
          <w:szCs w:val="24"/>
        </w:rPr>
        <w:t>(MCPs)</w:t>
      </w:r>
      <w:r w:rsidRPr="00FC3438">
        <w:rPr>
          <w:szCs w:val="24"/>
        </w:rPr>
        <w:t xml:space="preserve"> for Flexibility Reserve Products that include any lost opportunity costs incurred as a result of Flexibility Reserve Products clearing.</w:t>
      </w:r>
    </w:p>
    <w:p w14:paraId="645DD7C1" w14:textId="674158D6" w:rsidR="0059234D" w:rsidRDefault="0059234D" w:rsidP="00EE45E7">
      <w:pPr>
        <w:numPr>
          <w:ilvl w:val="0"/>
          <w:numId w:val="108"/>
        </w:numPr>
        <w:tabs>
          <w:tab w:val="clear" w:pos="720"/>
          <w:tab w:val="num" w:pos="1440"/>
        </w:tabs>
        <w:spacing w:line="300" w:lineRule="auto"/>
        <w:ind w:left="1440" w:hanging="720"/>
        <w:rPr>
          <w:szCs w:val="24"/>
        </w:rPr>
      </w:pPr>
      <w:r>
        <w:t xml:space="preserve">An MCR with a Transition State Time greater than </w:t>
      </w:r>
      <w:r w:rsidR="006E1D9E">
        <w:t>thirty (</w:t>
      </w:r>
      <w:r>
        <w:t>30</w:t>
      </w:r>
      <w:r w:rsidR="006E1D9E">
        <w:t>)</w:t>
      </w:r>
      <w:r>
        <w:t xml:space="preserve"> minutes in any hour in which it is transitioning between configurations is not eligible to clear Flexibility Reserve Products.</w:t>
      </w:r>
    </w:p>
    <w:p w14:paraId="61786395" w14:textId="77777777" w:rsidR="00F83CA0" w:rsidRPr="00FC3438" w:rsidRDefault="00F83CA0" w:rsidP="00F83CA0">
      <w:pPr>
        <w:spacing w:line="300" w:lineRule="auto"/>
        <w:ind w:left="1440"/>
        <w:rPr>
          <w:szCs w:val="24"/>
        </w:rPr>
      </w:pPr>
    </w:p>
    <w:p w14:paraId="62913154" w14:textId="73D9C456" w:rsidR="00F83CA0" w:rsidRPr="00FC3438" w:rsidRDefault="00F83CA0" w:rsidP="00574654">
      <w:pPr>
        <w:pStyle w:val="Heading5"/>
      </w:pPr>
      <w:bookmarkStart w:id="3570" w:name="_Toc159232259"/>
      <w:bookmarkStart w:id="3571" w:name="_Ref212549842"/>
      <w:bookmarkStart w:id="3572" w:name="_Toc213771846"/>
      <w:r w:rsidRPr="00FC3438">
        <w:t>Clearing During Capacity Shortage</w:t>
      </w:r>
      <w:bookmarkEnd w:id="3570"/>
      <w:bookmarkEnd w:id="3571"/>
      <w:bookmarkEnd w:id="3572"/>
    </w:p>
    <w:p w14:paraId="771E5A6C" w14:textId="77777777" w:rsidR="00F83CA0" w:rsidRPr="00FC3438" w:rsidRDefault="00F83CA0" w:rsidP="00EE45E7">
      <w:pPr>
        <w:numPr>
          <w:ilvl w:val="0"/>
          <w:numId w:val="121"/>
        </w:numPr>
        <w:spacing w:line="300" w:lineRule="auto"/>
        <w:ind w:hanging="540"/>
        <w:rPr>
          <w:szCs w:val="24"/>
        </w:rPr>
      </w:pPr>
      <w:r>
        <w:rPr>
          <w:szCs w:val="24"/>
        </w:rPr>
        <w:t>In the event of a Flexibility Reserve Product(s) shortage in any hour, the Market Operator will implement Scarcity Pricing</w:t>
      </w:r>
      <w:r w:rsidRPr="00FC3438">
        <w:rPr>
          <w:szCs w:val="24"/>
        </w:rPr>
        <w:t>;</w:t>
      </w:r>
    </w:p>
    <w:p w14:paraId="627FEB8D" w14:textId="70EAB1EB" w:rsidR="00F83CA0" w:rsidRPr="00FC3438" w:rsidRDefault="00F83CA0" w:rsidP="00F83CA0">
      <w:pPr>
        <w:spacing w:before="120" w:line="300" w:lineRule="auto"/>
        <w:ind w:left="720" w:hanging="540"/>
      </w:pPr>
      <w:r w:rsidRPr="00FC3438">
        <w:t>(2)</w:t>
      </w:r>
      <w:r w:rsidRPr="00FC3438">
        <w:tab/>
      </w:r>
      <w:bookmarkStart w:id="3573" w:name="_Hlk159937235"/>
      <w:r w:rsidRPr="00FC3438">
        <w:t xml:space="preserve">In the event a capacity shortage results in an inability to meet </w:t>
      </w:r>
      <w:r>
        <w:t xml:space="preserve">at least </w:t>
      </w:r>
      <w:r w:rsidRPr="00FC3438">
        <w:rPr>
          <w:szCs w:val="24"/>
        </w:rPr>
        <w:t>fifty percent</w:t>
      </w:r>
      <w:r w:rsidR="00A87E2F">
        <w:rPr>
          <w:szCs w:val="24"/>
        </w:rPr>
        <w:t xml:space="preserve"> (50%)</w:t>
      </w:r>
      <w:r>
        <w:rPr>
          <w:szCs w:val="24"/>
        </w:rPr>
        <w:t xml:space="preserve"> </w:t>
      </w:r>
      <w:r w:rsidRPr="00FC3438">
        <w:t>of the Mid-Term Flex Up requirement, the self-scheduled Demand Bids, self-scheduled High Priority Export Interchange Transactions, self-scheduled Uncommitted Export Interchange Transactions</w:t>
      </w:r>
      <w:r w:rsidRPr="00FC3438">
        <w:rPr>
          <w:szCs w:val="24"/>
        </w:rPr>
        <w:t>,</w:t>
      </w:r>
      <w:r w:rsidRPr="00FC3438">
        <w:t xml:space="preserve"> and MSRs’ charge MWs in any hour, </w:t>
      </w:r>
      <w:r w:rsidRPr="00FC3438">
        <w:rPr>
          <w:szCs w:val="24"/>
        </w:rPr>
        <w:t xml:space="preserve">the </w:t>
      </w:r>
      <w:r w:rsidRPr="00FC3438">
        <w:t xml:space="preserve">Market Operator will: </w:t>
      </w:r>
    </w:p>
    <w:p w14:paraId="607C660C" w14:textId="3D6D831F" w:rsidR="00F83CA0" w:rsidRPr="00FC3438" w:rsidRDefault="00F83CA0" w:rsidP="00F83CA0">
      <w:pPr>
        <w:spacing w:before="120" w:line="300" w:lineRule="auto"/>
        <w:ind w:left="1350" w:hanging="630"/>
      </w:pPr>
      <w:r w:rsidRPr="00FC3438">
        <w:t xml:space="preserve">(a) </w:t>
      </w:r>
      <w:r w:rsidRPr="00FC3438">
        <w:tab/>
      </w:r>
      <w:r w:rsidRPr="00FC3438">
        <w:rPr>
          <w:szCs w:val="24"/>
        </w:rPr>
        <w:t>First</w:t>
      </w:r>
      <w:r w:rsidRPr="00FC3438">
        <w:t xml:space="preserve"> reduce the self-scheduled Uncommitted Export Interchange Transactions on a pro-rata basis based on the MW amounts until such time that the Mid-Term Flex-Up requirement is restored back to 50% Mid-Term Flex-Up requirement, and administratively set LMPs as described under Section </w:t>
      </w:r>
      <w:r w:rsidR="00E6512B">
        <w:fldChar w:fldCharType="begin"/>
      </w:r>
      <w:r w:rsidR="00E6512B">
        <w:instrText xml:space="preserve"> REF _Ref212550364 \r \h </w:instrText>
      </w:r>
      <w:r w:rsidR="00E6512B">
        <w:fldChar w:fldCharType="separate"/>
      </w:r>
      <w:r w:rsidR="00E6512B">
        <w:t>4.1.5</w:t>
      </w:r>
      <w:r w:rsidR="00E6512B">
        <w:fldChar w:fldCharType="end"/>
      </w:r>
      <w:r w:rsidRPr="00FC3438">
        <w:t xml:space="preserve">(5); </w:t>
      </w:r>
    </w:p>
    <w:p w14:paraId="1F63D4CB" w14:textId="77777777" w:rsidR="00F83CA0" w:rsidRPr="00FC3438" w:rsidRDefault="00F83CA0" w:rsidP="00F83CA0">
      <w:pPr>
        <w:spacing w:before="120" w:line="300" w:lineRule="auto"/>
        <w:ind w:left="1350" w:hanging="630"/>
      </w:pPr>
      <w:r w:rsidRPr="00FC3438">
        <w:t>(b)</w:t>
      </w:r>
      <w:r w:rsidRPr="00FC3438">
        <w:tab/>
      </w:r>
      <w:r w:rsidRPr="00FC3438">
        <w:rPr>
          <w:szCs w:val="24"/>
        </w:rPr>
        <w:t>If the</w:t>
      </w:r>
      <w:r w:rsidRPr="00FC3438">
        <w:t xml:space="preserve"> reduction of all Uncommitted Export Interchanges Transaction does not restore the Mid-Term Flex-Up requirement back up to 50% of the requirement, reduce self-scheduled Demand Bids, self-scheduled High Priority Export Interchange Transactions, and Resources’ charge MWs on a pro-rata basis based on the MW amounts to match the available capacity.</w:t>
      </w:r>
      <w:bookmarkEnd w:id="3573"/>
    </w:p>
    <w:p w14:paraId="53E741F1" w14:textId="2D4C10B5" w:rsidR="00F83CA0" w:rsidRDefault="00F83CA0" w:rsidP="00F83CA0">
      <w:pPr>
        <w:spacing w:line="300" w:lineRule="auto"/>
        <w:ind w:left="720" w:hanging="540"/>
        <w:rPr>
          <w:szCs w:val="24"/>
        </w:rPr>
      </w:pPr>
      <w:r w:rsidRPr="00FC3438">
        <w:rPr>
          <w:szCs w:val="24"/>
        </w:rPr>
        <w:t>(3)</w:t>
      </w:r>
      <w:r w:rsidRPr="00FC3438">
        <w:rPr>
          <w:szCs w:val="24"/>
        </w:rPr>
        <w:tab/>
        <w:t xml:space="preserve">If a transmission constraint cannot be relieved due to a shortage of capacity in any hour, the SCED algorithm will clear the </w:t>
      </w:r>
      <w:r>
        <w:rPr>
          <w:szCs w:val="24"/>
        </w:rPr>
        <w:t>self-scheduled Demand B</w:t>
      </w:r>
      <w:r w:rsidRPr="00FC3438">
        <w:rPr>
          <w:szCs w:val="24"/>
        </w:rPr>
        <w:t>id</w:t>
      </w:r>
      <w:r>
        <w:rPr>
          <w:szCs w:val="24"/>
        </w:rPr>
        <w:t>s</w:t>
      </w:r>
      <w:r w:rsidRPr="00FC3438">
        <w:rPr>
          <w:szCs w:val="24"/>
        </w:rPr>
        <w:t xml:space="preserve"> on a pro-rata basis based upon the impact on relieving the constraint</w:t>
      </w:r>
      <w:r w:rsidR="006E1D9E">
        <w:rPr>
          <w:szCs w:val="24"/>
        </w:rPr>
        <w:t>.</w:t>
      </w:r>
      <w:r w:rsidRPr="00FC3438">
        <w:rPr>
          <w:szCs w:val="24"/>
        </w:rPr>
        <w:t xml:space="preserve">  </w:t>
      </w:r>
    </w:p>
    <w:p w14:paraId="69D99E5A" w14:textId="77777777" w:rsidR="00F83CA0" w:rsidRPr="00FC3438" w:rsidRDefault="00F83CA0" w:rsidP="00F83CA0">
      <w:pPr>
        <w:spacing w:line="300" w:lineRule="auto"/>
        <w:rPr>
          <w:szCs w:val="24"/>
        </w:rPr>
      </w:pPr>
    </w:p>
    <w:p w14:paraId="5C9CE0CC" w14:textId="08366B5B" w:rsidR="00F83CA0" w:rsidRPr="00FC3438" w:rsidRDefault="00F83CA0" w:rsidP="00574654">
      <w:pPr>
        <w:pStyle w:val="Heading5"/>
      </w:pPr>
      <w:bookmarkStart w:id="3574" w:name="_Ref270487103"/>
      <w:bookmarkStart w:id="3575" w:name="_Toc159232260"/>
      <w:bookmarkStart w:id="3576" w:name="_Toc213771847"/>
      <w:r w:rsidRPr="00FC3438">
        <w:t>Clearing During Excess Generation Conditions</w:t>
      </w:r>
      <w:bookmarkEnd w:id="3574"/>
      <w:bookmarkEnd w:id="3575"/>
      <w:bookmarkEnd w:id="3576"/>
    </w:p>
    <w:p w14:paraId="0968E6DA" w14:textId="77777777" w:rsidR="00F83CA0" w:rsidRPr="00FC3438" w:rsidRDefault="00F83CA0" w:rsidP="00F83CA0">
      <w:pPr>
        <w:spacing w:before="120" w:line="300" w:lineRule="auto"/>
        <w:ind w:left="720" w:hanging="540"/>
      </w:pPr>
      <w:r w:rsidRPr="00FC3438">
        <w:t>(1)</w:t>
      </w:r>
      <w:r w:rsidRPr="00FC3438">
        <w:tab/>
        <w:t>If the sum of self-scheduled Demand Bids, self-scheduled Uncommitted Export Interchange Transaction Bids</w:t>
      </w:r>
      <w:r w:rsidRPr="00FC3438">
        <w:rPr>
          <w:szCs w:val="24"/>
        </w:rPr>
        <w:t>,</w:t>
      </w:r>
      <w:r w:rsidRPr="00FC3438">
        <w:t xml:space="preserve"> and self-scheduled High Priority Export Interchange Transaction Bids in any hour are less than the sum of </w:t>
      </w:r>
      <w:r>
        <w:rPr>
          <w:szCs w:val="24"/>
        </w:rPr>
        <w:t>the minimum outputs</w:t>
      </w:r>
      <w:r w:rsidRPr="00FC3438">
        <w:rPr>
          <w:szCs w:val="24"/>
        </w:rPr>
        <w:t xml:space="preserve"> </w:t>
      </w:r>
      <w:r>
        <w:rPr>
          <w:szCs w:val="24"/>
        </w:rPr>
        <w:t xml:space="preserve">of the </w:t>
      </w:r>
      <w:r w:rsidRPr="00FC3438">
        <w:rPr>
          <w:szCs w:val="24"/>
        </w:rPr>
        <w:t>committed Resources</w:t>
      </w:r>
      <w:r>
        <w:rPr>
          <w:szCs w:val="24"/>
        </w:rPr>
        <w:t xml:space="preserve">, self-scheduled </w:t>
      </w:r>
      <w:r w:rsidRPr="00FC3438">
        <w:t>Uncommitted Import Interchange Transaction Offers</w:t>
      </w:r>
      <w:r w:rsidRPr="00FC3438">
        <w:rPr>
          <w:szCs w:val="24"/>
        </w:rPr>
        <w:t>,</w:t>
      </w:r>
      <w:r w:rsidRPr="00FC3438">
        <w:t xml:space="preserve"> and self-scheduled High Priority Import Interchanges Transaction Offers in that hour, then the SCED algorithm will</w:t>
      </w:r>
      <w:r w:rsidRPr="00FC3438">
        <w:rPr>
          <w:szCs w:val="24"/>
        </w:rPr>
        <w:t xml:space="preserve"> i</w:t>
      </w:r>
      <w:r w:rsidRPr="00FC3438">
        <w:t xml:space="preserve">mplement Scarcity Pricing to the extent that the </w:t>
      </w:r>
      <w:r>
        <w:t>Flexibility Reserve Products</w:t>
      </w:r>
      <w:r w:rsidRPr="00FC3438">
        <w:t xml:space="preserve"> requirement</w:t>
      </w:r>
      <w:r>
        <w:t>s</w:t>
      </w:r>
      <w:r w:rsidRPr="00FC3438">
        <w:t xml:space="preserve"> cannot be maintained, and sequentially: </w:t>
      </w:r>
    </w:p>
    <w:p w14:paraId="186CEC86" w14:textId="77777777" w:rsidR="00F83CA0" w:rsidRPr="00FC3438" w:rsidRDefault="00F83CA0" w:rsidP="00F83CA0">
      <w:pPr>
        <w:spacing w:before="120" w:line="300" w:lineRule="auto"/>
        <w:ind w:left="1350" w:hanging="630"/>
      </w:pPr>
      <w:r w:rsidRPr="00FC3438">
        <w:t>(a)</w:t>
      </w:r>
      <w:r w:rsidRPr="00FC3438">
        <w:tab/>
      </w:r>
      <w:r w:rsidRPr="00FC3438">
        <w:rPr>
          <w:szCs w:val="24"/>
        </w:rPr>
        <w:t>Reduce</w:t>
      </w:r>
      <w:r w:rsidRPr="00FC3438">
        <w:t xml:space="preserve"> self-scheduled Uncommitted Import Interchanges Transaction Offers pro-rata based on MW amounts;</w:t>
      </w:r>
    </w:p>
    <w:p w14:paraId="25BA946B" w14:textId="77777777" w:rsidR="00F83CA0" w:rsidRPr="00FC3438" w:rsidRDefault="00F83CA0" w:rsidP="00F83CA0">
      <w:pPr>
        <w:spacing w:before="120" w:line="300" w:lineRule="auto"/>
        <w:ind w:left="1350" w:hanging="630"/>
      </w:pPr>
      <w:r w:rsidRPr="00FC3438">
        <w:t>(b)</w:t>
      </w:r>
      <w:r w:rsidRPr="00FC3438">
        <w:tab/>
      </w:r>
      <w:r w:rsidRPr="00FC3438">
        <w:rPr>
          <w:szCs w:val="24"/>
        </w:rPr>
        <w:t>Reduce</w:t>
      </w:r>
      <w:r w:rsidRPr="00FC3438">
        <w:t xml:space="preserve"> self-scheduled High Priority Import Interchange Transaction Offers pro-rata based on MW amounts; then</w:t>
      </w:r>
    </w:p>
    <w:p w14:paraId="01DC8825" w14:textId="4C65C6DC" w:rsidR="00F83CA0" w:rsidRPr="00FC3438" w:rsidRDefault="00F83CA0" w:rsidP="00F83CA0">
      <w:pPr>
        <w:spacing w:before="120" w:line="300" w:lineRule="auto"/>
        <w:ind w:left="1350" w:hanging="630"/>
      </w:pPr>
      <w:r w:rsidRPr="00FC3438">
        <w:t>(c)</w:t>
      </w:r>
      <w:r w:rsidRPr="00FC3438">
        <w:tab/>
      </w:r>
      <w:r w:rsidRPr="00FC3438">
        <w:rPr>
          <w:szCs w:val="24"/>
        </w:rPr>
        <w:t>Relax</w:t>
      </w:r>
      <w:r w:rsidRPr="00FC3438">
        <w:t xml:space="preserve"> enforcement of Resource minimum limits</w:t>
      </w:r>
      <w:r w:rsidR="0090690F">
        <w:t xml:space="preserve"> (or for MSRs, the Minimum Discharge Limit)</w:t>
      </w:r>
      <w:r w:rsidRPr="00FC3438">
        <w:t xml:space="preserve"> on a pro-rata basis to clear Resource Offers to meet Demand Bids, Uncommitted Export Interchange Transaction Bids, High Priority Export Interchange Transaction</w:t>
      </w:r>
      <w:r w:rsidR="0096649C">
        <w:t>s</w:t>
      </w:r>
      <w:r w:rsidRPr="00FC3438">
        <w:t>.</w:t>
      </w:r>
    </w:p>
    <w:p w14:paraId="045F9A8F" w14:textId="2BE56B83" w:rsidR="00F83CA0" w:rsidRPr="00FC3438" w:rsidRDefault="00F83CA0" w:rsidP="00EE45E7">
      <w:pPr>
        <w:numPr>
          <w:ilvl w:val="0"/>
          <w:numId w:val="121"/>
        </w:numPr>
        <w:spacing w:line="300" w:lineRule="auto"/>
        <w:ind w:hanging="540"/>
        <w:rPr>
          <w:szCs w:val="24"/>
        </w:rPr>
      </w:pPr>
      <w:r w:rsidRPr="00FC3438">
        <w:rPr>
          <w:szCs w:val="24"/>
        </w:rPr>
        <w:t xml:space="preserve">LMPs will be set by the Offer prices associated with Energy down to the </w:t>
      </w:r>
      <w:r w:rsidR="00BC3110">
        <w:rPr>
          <w:szCs w:val="24"/>
        </w:rPr>
        <w:t>Min ECOL</w:t>
      </w:r>
      <w:r w:rsidRPr="00FC3438">
        <w:rPr>
          <w:szCs w:val="24"/>
        </w:rPr>
        <w:t xml:space="preserve">, Minimum Discharge Limit, and Maximum Charge Limit on Resources for which no Short-Term Flex Down has cleared.  If the actions under 4.3.1.2.2(1) above create a Short-Term Flex Down shortage during any </w:t>
      </w:r>
      <w:r w:rsidR="00FE3BC2">
        <w:rPr>
          <w:szCs w:val="24"/>
        </w:rPr>
        <w:t>h</w:t>
      </w:r>
      <w:r w:rsidRPr="00FC3438">
        <w:rPr>
          <w:szCs w:val="24"/>
        </w:rPr>
        <w:t xml:space="preserve">our either on a system-wide basis or Reserve Zone basis, the MCPs for Short-Term Flex Down will reflect Scarcity Prices and LMPs will reflect negative Scarcity Prices as described under Section </w:t>
      </w:r>
      <w:r w:rsidRPr="00FC3438">
        <w:rPr>
          <w:szCs w:val="24"/>
        </w:rPr>
        <w:fldChar w:fldCharType="begin"/>
      </w:r>
      <w:r w:rsidRPr="00FC3438">
        <w:rPr>
          <w:szCs w:val="24"/>
        </w:rPr>
        <w:instrText xml:space="preserve"> REF _Ref270427517 \r \h </w:instrText>
      </w:r>
      <w:r w:rsidRPr="00FC3438">
        <w:rPr>
          <w:szCs w:val="24"/>
        </w:rPr>
      </w:r>
      <w:r w:rsidRPr="00FC3438">
        <w:rPr>
          <w:szCs w:val="24"/>
        </w:rPr>
        <w:fldChar w:fldCharType="separate"/>
      </w:r>
      <w:r w:rsidRPr="00FC3438">
        <w:rPr>
          <w:szCs w:val="24"/>
        </w:rPr>
        <w:t>4.1.5</w:t>
      </w:r>
      <w:r w:rsidRPr="00FC3438">
        <w:rPr>
          <w:szCs w:val="24"/>
        </w:rPr>
        <w:fldChar w:fldCharType="end"/>
      </w:r>
      <w:r w:rsidRPr="00FC3438">
        <w:rPr>
          <w:szCs w:val="24"/>
        </w:rPr>
        <w:t>.</w:t>
      </w:r>
    </w:p>
    <w:p w14:paraId="62B90C62" w14:textId="5272E51B" w:rsidR="00F83CA0" w:rsidRPr="00FC3438" w:rsidRDefault="00F83CA0" w:rsidP="00574EDE">
      <w:pPr>
        <w:pStyle w:val="Heading4"/>
      </w:pPr>
      <w:bookmarkStart w:id="3577" w:name="_Toc245633973"/>
      <w:bookmarkStart w:id="3578" w:name="_Toc245634125"/>
      <w:bookmarkStart w:id="3579" w:name="_Toc245728015"/>
      <w:bookmarkStart w:id="3580" w:name="_Toc248644139"/>
      <w:bookmarkStart w:id="3581" w:name="_Toc258924865"/>
      <w:bookmarkStart w:id="3582" w:name="_Ref260920532"/>
      <w:bookmarkStart w:id="3583" w:name="_Toc263173305"/>
      <w:bookmarkStart w:id="3584" w:name="_Toc263174181"/>
      <w:bookmarkStart w:id="3585" w:name="_Toc263235080"/>
      <w:bookmarkStart w:id="3586" w:name="_Toc263235723"/>
      <w:bookmarkStart w:id="3587" w:name="_Toc263429418"/>
      <w:bookmarkStart w:id="3588" w:name="_Toc263795456"/>
      <w:bookmarkStart w:id="3589" w:name="_Toc266869633"/>
      <w:bookmarkStart w:id="3590" w:name="_Ref476736708"/>
      <w:bookmarkStart w:id="3591" w:name="_Ref476736749"/>
      <w:bookmarkStart w:id="3592" w:name="_Ref476736794"/>
      <w:bookmarkStart w:id="3593" w:name="_Ref476749392"/>
      <w:bookmarkStart w:id="3594" w:name="_Ref476749421"/>
      <w:bookmarkStart w:id="3595" w:name="_Ref476749463"/>
      <w:bookmarkStart w:id="3596" w:name="_Toc159232261"/>
      <w:bookmarkStart w:id="3597" w:name="_Toc213771848"/>
      <w:r w:rsidRPr="00FC3438">
        <w:t>D</w:t>
      </w:r>
      <w:r>
        <w:t>ay-Ahead</w:t>
      </w:r>
      <w:r w:rsidRPr="00FC3438">
        <w:t xml:space="preserve"> Market Results</w:t>
      </w:r>
      <w:bookmarkEnd w:id="3568"/>
      <w:bookmarkEnd w:id="3569"/>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r w:rsidRPr="00FC3438">
        <w:t xml:space="preserve"> </w:t>
      </w:r>
    </w:p>
    <w:p w14:paraId="701CF16B" w14:textId="6FF0B1CF" w:rsidR="00F83CA0" w:rsidRDefault="00F83CA0" w:rsidP="00F83CA0">
      <w:pPr>
        <w:spacing w:line="300" w:lineRule="auto"/>
        <w:rPr>
          <w:szCs w:val="24"/>
        </w:rPr>
      </w:pPr>
      <w:r>
        <w:rPr>
          <w:szCs w:val="24"/>
        </w:rPr>
        <w:t>The Market Operator</w:t>
      </w:r>
      <w:r w:rsidRPr="00FC3438">
        <w:rPr>
          <w:szCs w:val="24"/>
        </w:rPr>
        <w:t xml:space="preserve"> electronically communicates the D</w:t>
      </w:r>
      <w:r>
        <w:rPr>
          <w:szCs w:val="24"/>
        </w:rPr>
        <w:t>ay-Ahead</w:t>
      </w:r>
      <w:r w:rsidRPr="00FC3438">
        <w:rPr>
          <w:szCs w:val="24"/>
        </w:rPr>
        <w:t xml:space="preserve"> Market results for each hour of the Operating Day to Market Participants as</w:t>
      </w:r>
      <w:r w:rsidR="00745014">
        <w:rPr>
          <w:szCs w:val="24"/>
        </w:rPr>
        <w:t xml:space="preserve"> follows</w:t>
      </w:r>
      <w:r w:rsidRPr="00FC3438">
        <w:rPr>
          <w:szCs w:val="24"/>
        </w:rPr>
        <w:t xml:space="preserve">.  </w:t>
      </w:r>
    </w:p>
    <w:p w14:paraId="21668105" w14:textId="77777777" w:rsidR="00F83CA0" w:rsidRPr="00DE2D2B" w:rsidRDefault="00F83CA0" w:rsidP="00EE45E7">
      <w:pPr>
        <w:pStyle w:val="ListParagraph"/>
        <w:numPr>
          <w:ilvl w:val="0"/>
          <w:numId w:val="130"/>
        </w:numPr>
        <w:spacing w:line="300" w:lineRule="auto"/>
        <w:ind w:left="720" w:hanging="720"/>
        <w:rPr>
          <w:szCs w:val="24"/>
        </w:rPr>
      </w:pPr>
      <w:r w:rsidRPr="00DE2D2B">
        <w:rPr>
          <w:szCs w:val="24"/>
        </w:rPr>
        <w:t xml:space="preserve">The following results are communicated to each Market Participant that relates only to that Market Participant:  </w:t>
      </w:r>
    </w:p>
    <w:p w14:paraId="74706D10" w14:textId="558C17D1" w:rsidR="00F83CA0" w:rsidRPr="00FC3438" w:rsidRDefault="00F83CA0" w:rsidP="00EE45E7">
      <w:pPr>
        <w:numPr>
          <w:ilvl w:val="0"/>
          <w:numId w:val="117"/>
        </w:numPr>
        <w:spacing w:before="120" w:line="300" w:lineRule="auto"/>
        <w:ind w:hanging="720"/>
        <w:rPr>
          <w:szCs w:val="24"/>
        </w:rPr>
      </w:pPr>
      <w:r w:rsidRPr="00FC3438">
        <w:rPr>
          <w:szCs w:val="24"/>
        </w:rPr>
        <w:t>Cleared Resource Offers for Energy and Flexibility Reserve Products</w:t>
      </w:r>
      <w:r w:rsidRPr="00FC3438">
        <w:t xml:space="preserve"> in MW</w:t>
      </w:r>
      <w:r w:rsidRPr="00FC3438">
        <w:rPr>
          <w:szCs w:val="24"/>
        </w:rPr>
        <w:t>;</w:t>
      </w:r>
    </w:p>
    <w:p w14:paraId="1814ED42" w14:textId="7FE245A9" w:rsidR="00F83CA0" w:rsidRPr="00E856A1" w:rsidRDefault="00F83CA0" w:rsidP="00F83CA0">
      <w:pPr>
        <w:numPr>
          <w:ilvl w:val="1"/>
          <w:numId w:val="4"/>
        </w:numPr>
        <w:tabs>
          <w:tab w:val="clear" w:pos="1440"/>
        </w:tabs>
        <w:spacing w:before="120" w:line="300" w:lineRule="auto"/>
        <w:ind w:left="2160" w:hanging="720"/>
        <w:rPr>
          <w:szCs w:val="24"/>
        </w:rPr>
      </w:pPr>
      <w:r w:rsidRPr="00E856A1">
        <w:rPr>
          <w:szCs w:val="24"/>
        </w:rPr>
        <w:t>Cleared Offers for Energy associated with Resource Offers represent a physical Resource commitment schedule that forms the basis for the Current Operating Plan for the upcoming Operating Day.  Market Participants should consider Resource commitment schedules resulting from the Market Operator commitment of Resources with a Commit Status of “Market” as the Market Operator start-up orders and shut-down orders</w:t>
      </w:r>
      <w:r w:rsidR="00426278">
        <w:rPr>
          <w:szCs w:val="24"/>
        </w:rPr>
        <w:t>;</w:t>
      </w:r>
      <w:r w:rsidRPr="00E856A1">
        <w:rPr>
          <w:szCs w:val="24"/>
        </w:rPr>
        <w:t xml:space="preserve">  </w:t>
      </w:r>
    </w:p>
    <w:p w14:paraId="75DECCEC" w14:textId="227A56E8" w:rsidR="00F83CA0" w:rsidRPr="00E856A1" w:rsidRDefault="00F83CA0" w:rsidP="00F83CA0">
      <w:pPr>
        <w:numPr>
          <w:ilvl w:val="1"/>
          <w:numId w:val="4"/>
        </w:numPr>
        <w:tabs>
          <w:tab w:val="clear" w:pos="1440"/>
        </w:tabs>
        <w:spacing w:before="120" w:line="300" w:lineRule="auto"/>
        <w:ind w:left="2160" w:hanging="720"/>
        <w:rPr>
          <w:szCs w:val="24"/>
        </w:rPr>
      </w:pPr>
      <w:r w:rsidRPr="00E856A1">
        <w:rPr>
          <w:szCs w:val="24"/>
        </w:rPr>
        <w:t xml:space="preserve">Resources committed by the Market Operator in the Day-Ahead Market with a Commit Status of “Market” or committed by a Participating Balancing Authority with a Commit Status of “Reliability Must Run” are guaranteed to receive Day-Ahead Market revenues that are at least equal to the Day-Ahead Market Resource Offer costs for the associated cleared amount of Energy and Flexibility Reserve Products.  See </w:t>
      </w:r>
      <w:r w:rsidR="00E5795E">
        <w:rPr>
          <w:szCs w:val="24"/>
        </w:rPr>
        <w:t xml:space="preserve">the Markets+ Settlements </w:t>
      </w:r>
      <w:r w:rsidR="00BA0C4B">
        <w:rPr>
          <w:szCs w:val="24"/>
        </w:rPr>
        <w:t xml:space="preserve">Calculation </w:t>
      </w:r>
      <w:r w:rsidR="00E5795E">
        <w:rPr>
          <w:szCs w:val="24"/>
        </w:rPr>
        <w:t>Guide</w:t>
      </w:r>
      <w:r w:rsidRPr="00E856A1">
        <w:rPr>
          <w:szCs w:val="24"/>
        </w:rPr>
        <w:t xml:space="preserve"> for additional details</w:t>
      </w:r>
      <w:r w:rsidR="00426278">
        <w:rPr>
          <w:szCs w:val="24"/>
        </w:rPr>
        <w:t>;</w:t>
      </w:r>
      <w:r w:rsidRPr="00E856A1">
        <w:rPr>
          <w:szCs w:val="24"/>
        </w:rPr>
        <w:t xml:space="preserve">  </w:t>
      </w:r>
    </w:p>
    <w:p w14:paraId="7F6872AA" w14:textId="4A64BB27" w:rsidR="00F83CA0" w:rsidRPr="00E856A1" w:rsidRDefault="00F83CA0" w:rsidP="00F83CA0">
      <w:pPr>
        <w:numPr>
          <w:ilvl w:val="1"/>
          <w:numId w:val="4"/>
        </w:numPr>
        <w:tabs>
          <w:tab w:val="clear" w:pos="1440"/>
        </w:tabs>
        <w:spacing w:before="120" w:line="300" w:lineRule="auto"/>
        <w:ind w:left="2160" w:hanging="720"/>
        <w:rPr>
          <w:szCs w:val="24"/>
        </w:rPr>
      </w:pPr>
      <w:r w:rsidRPr="00E856A1">
        <w:rPr>
          <w:szCs w:val="24"/>
        </w:rPr>
        <w:t>Cleared Flexibility Reserve Products in MW;</w:t>
      </w:r>
    </w:p>
    <w:p w14:paraId="559CDB23" w14:textId="5341ACA7" w:rsidR="00F83CA0" w:rsidRPr="00FC3438" w:rsidRDefault="00F83CA0" w:rsidP="00EE45E7">
      <w:pPr>
        <w:numPr>
          <w:ilvl w:val="0"/>
          <w:numId w:val="117"/>
        </w:numPr>
        <w:spacing w:before="120" w:line="300" w:lineRule="auto"/>
        <w:ind w:hanging="540"/>
        <w:rPr>
          <w:szCs w:val="24"/>
        </w:rPr>
      </w:pPr>
      <w:r w:rsidRPr="00FC3438">
        <w:rPr>
          <w:szCs w:val="24"/>
        </w:rPr>
        <w:t>Cleared Virtual Energy Offers in MW;</w:t>
      </w:r>
    </w:p>
    <w:p w14:paraId="7D8FBD34" w14:textId="19895325" w:rsidR="00F83CA0" w:rsidRPr="00FC3438" w:rsidRDefault="00F83CA0" w:rsidP="00EE45E7">
      <w:pPr>
        <w:numPr>
          <w:ilvl w:val="0"/>
          <w:numId w:val="117"/>
        </w:numPr>
        <w:spacing w:before="120" w:line="300" w:lineRule="auto"/>
        <w:ind w:hanging="540"/>
        <w:rPr>
          <w:szCs w:val="24"/>
        </w:rPr>
      </w:pPr>
      <w:r w:rsidRPr="00FC3438">
        <w:rPr>
          <w:szCs w:val="24"/>
        </w:rPr>
        <w:t>Cleared Import Interchange Transaction Offers in MW;</w:t>
      </w:r>
    </w:p>
    <w:p w14:paraId="0E5A7EE3" w14:textId="44476910" w:rsidR="00F83CA0" w:rsidRPr="00FC3438" w:rsidRDefault="00F83CA0" w:rsidP="00EE45E7">
      <w:pPr>
        <w:numPr>
          <w:ilvl w:val="0"/>
          <w:numId w:val="117"/>
        </w:numPr>
        <w:spacing w:before="120" w:line="300" w:lineRule="auto"/>
        <w:ind w:hanging="540"/>
        <w:rPr>
          <w:szCs w:val="24"/>
        </w:rPr>
      </w:pPr>
      <w:r w:rsidRPr="00FC3438">
        <w:rPr>
          <w:szCs w:val="24"/>
        </w:rPr>
        <w:t>Cleared Demand Bids in MW;</w:t>
      </w:r>
    </w:p>
    <w:p w14:paraId="40C27BD8" w14:textId="0296749E" w:rsidR="00F83CA0" w:rsidRPr="00FC3438" w:rsidRDefault="00F83CA0" w:rsidP="00EE45E7">
      <w:pPr>
        <w:numPr>
          <w:ilvl w:val="0"/>
          <w:numId w:val="117"/>
        </w:numPr>
        <w:spacing w:before="120" w:line="300" w:lineRule="auto"/>
        <w:ind w:hanging="540"/>
        <w:rPr>
          <w:szCs w:val="24"/>
        </w:rPr>
      </w:pPr>
      <w:r w:rsidRPr="00FC3438">
        <w:rPr>
          <w:szCs w:val="24"/>
        </w:rPr>
        <w:t>Cleared Virtual Energy Bids in MW;</w:t>
      </w:r>
    </w:p>
    <w:p w14:paraId="0015DBD9" w14:textId="610470CB" w:rsidR="00F83CA0" w:rsidRPr="00FC3438" w:rsidRDefault="00F83CA0" w:rsidP="00EE45E7">
      <w:pPr>
        <w:numPr>
          <w:ilvl w:val="0"/>
          <w:numId w:val="117"/>
        </w:numPr>
        <w:spacing w:before="120" w:line="300" w:lineRule="auto"/>
        <w:ind w:hanging="540"/>
        <w:rPr>
          <w:szCs w:val="24"/>
        </w:rPr>
      </w:pPr>
      <w:r w:rsidRPr="00FC3438">
        <w:rPr>
          <w:szCs w:val="24"/>
        </w:rPr>
        <w:t>Cleared Export Interchange Transaction Bids in MW;</w:t>
      </w:r>
    </w:p>
    <w:p w14:paraId="619FC728" w14:textId="0267F9B6" w:rsidR="00F83CA0" w:rsidRPr="00FC3438" w:rsidRDefault="00F83CA0" w:rsidP="00EE45E7">
      <w:pPr>
        <w:numPr>
          <w:ilvl w:val="0"/>
          <w:numId w:val="117"/>
        </w:numPr>
        <w:spacing w:before="120" w:line="300" w:lineRule="auto"/>
        <w:ind w:hanging="540"/>
        <w:rPr>
          <w:szCs w:val="24"/>
        </w:rPr>
      </w:pPr>
      <w:r w:rsidRPr="00FC3438">
        <w:rPr>
          <w:szCs w:val="24"/>
        </w:rPr>
        <w:t>Cleared Through Interchange Transactions in MW;</w:t>
      </w:r>
    </w:p>
    <w:p w14:paraId="49A833A1" w14:textId="69E37D0D" w:rsidR="00F83CA0" w:rsidRPr="00FC3438" w:rsidRDefault="00F83CA0" w:rsidP="00EE45E7">
      <w:pPr>
        <w:numPr>
          <w:ilvl w:val="0"/>
          <w:numId w:val="117"/>
        </w:numPr>
        <w:spacing w:before="120" w:line="300" w:lineRule="auto"/>
        <w:ind w:hanging="540"/>
        <w:rPr>
          <w:szCs w:val="24"/>
        </w:rPr>
      </w:pPr>
      <w:r w:rsidRPr="00FC3438">
        <w:rPr>
          <w:szCs w:val="24"/>
        </w:rPr>
        <w:t xml:space="preserve">GHG attributed MWs on Internal </w:t>
      </w:r>
      <w:r w:rsidR="00FB181C">
        <w:rPr>
          <w:szCs w:val="24"/>
        </w:rPr>
        <w:t>GHG</w:t>
      </w:r>
      <w:r w:rsidR="00FB181C" w:rsidRPr="00FC3438">
        <w:rPr>
          <w:szCs w:val="24"/>
        </w:rPr>
        <w:t xml:space="preserve"> </w:t>
      </w:r>
      <w:r w:rsidRPr="00FC3438">
        <w:rPr>
          <w:szCs w:val="24"/>
        </w:rPr>
        <w:t>Resources, in MW</w:t>
      </w:r>
      <w:r w:rsidR="009332C5">
        <w:rPr>
          <w:szCs w:val="24"/>
        </w:rPr>
        <w:t>h</w:t>
      </w:r>
      <w:r w:rsidRPr="00FC3438">
        <w:rPr>
          <w:szCs w:val="24"/>
        </w:rPr>
        <w:t>, for each GHG Pricing Zone;</w:t>
      </w:r>
    </w:p>
    <w:p w14:paraId="54D196C1" w14:textId="2C53452D" w:rsidR="00F83CA0" w:rsidRPr="00FC3438" w:rsidRDefault="00F83CA0" w:rsidP="00EE45E7">
      <w:pPr>
        <w:numPr>
          <w:ilvl w:val="0"/>
          <w:numId w:val="117"/>
        </w:numPr>
        <w:spacing w:before="120" w:line="300" w:lineRule="auto"/>
        <w:ind w:hanging="540"/>
        <w:rPr>
          <w:szCs w:val="24"/>
        </w:rPr>
      </w:pPr>
      <w:r w:rsidRPr="00FC3438">
        <w:rPr>
          <w:szCs w:val="24"/>
        </w:rPr>
        <w:t>GHG attributed MWs on Specified Source Resources, in MW</w:t>
      </w:r>
      <w:r w:rsidR="009332C5">
        <w:rPr>
          <w:szCs w:val="24"/>
        </w:rPr>
        <w:t>h</w:t>
      </w:r>
      <w:r w:rsidRPr="00FC3438">
        <w:rPr>
          <w:szCs w:val="24"/>
        </w:rPr>
        <w:t>, for each GHG Pricing Zone;</w:t>
      </w:r>
    </w:p>
    <w:p w14:paraId="07916034" w14:textId="574155EF" w:rsidR="00F83CA0" w:rsidRPr="00FC3438" w:rsidRDefault="00F83CA0" w:rsidP="00EE45E7">
      <w:pPr>
        <w:numPr>
          <w:ilvl w:val="0"/>
          <w:numId w:val="117"/>
        </w:numPr>
        <w:spacing w:before="120" w:line="300" w:lineRule="auto"/>
        <w:ind w:hanging="540"/>
        <w:rPr>
          <w:szCs w:val="24"/>
        </w:rPr>
      </w:pPr>
      <w:r w:rsidRPr="00FC3438">
        <w:rPr>
          <w:szCs w:val="24"/>
        </w:rPr>
        <w:t>GHG attributed MWs for Import Interchange Transactions, in MW</w:t>
      </w:r>
      <w:r w:rsidR="009332C5">
        <w:rPr>
          <w:szCs w:val="24"/>
        </w:rPr>
        <w:t>h</w:t>
      </w:r>
      <w:r w:rsidRPr="00FC3438">
        <w:rPr>
          <w:szCs w:val="24"/>
        </w:rPr>
        <w:t xml:space="preserve">, for each GHG Pricing Zone; </w:t>
      </w:r>
    </w:p>
    <w:p w14:paraId="6F24688E" w14:textId="008A861F" w:rsidR="00F83CA0" w:rsidRPr="00FC3438" w:rsidRDefault="00F83CA0" w:rsidP="00EE45E7">
      <w:pPr>
        <w:numPr>
          <w:ilvl w:val="0"/>
          <w:numId w:val="117"/>
        </w:numPr>
        <w:spacing w:before="120" w:line="300" w:lineRule="auto"/>
        <w:ind w:hanging="540"/>
        <w:rPr>
          <w:szCs w:val="24"/>
        </w:rPr>
      </w:pPr>
      <w:r w:rsidRPr="00FC3438">
        <w:rPr>
          <w:szCs w:val="24"/>
        </w:rPr>
        <w:t>GHG attributed MWs for Unspecified Source Imports, in MW</w:t>
      </w:r>
      <w:r w:rsidR="009332C5">
        <w:rPr>
          <w:szCs w:val="24"/>
        </w:rPr>
        <w:t>h</w:t>
      </w:r>
      <w:r w:rsidRPr="00FC3438">
        <w:rPr>
          <w:szCs w:val="24"/>
        </w:rPr>
        <w:t>, for each GHG Pricing Zone</w:t>
      </w:r>
      <w:r w:rsidR="00662817">
        <w:rPr>
          <w:szCs w:val="24"/>
        </w:rPr>
        <w:t>;</w:t>
      </w:r>
    </w:p>
    <w:p w14:paraId="5CE855E5" w14:textId="5D481400" w:rsidR="00092AE8" w:rsidRPr="00A00D5A" w:rsidRDefault="00092AE8" w:rsidP="00A00D5A">
      <w:pPr>
        <w:pStyle w:val="ListParagraph"/>
        <w:numPr>
          <w:ilvl w:val="0"/>
          <w:numId w:val="117"/>
        </w:numPr>
        <w:tabs>
          <w:tab w:val="clear" w:pos="1440"/>
        </w:tabs>
        <w:spacing w:before="120" w:line="300" w:lineRule="auto"/>
        <w:ind w:hanging="540"/>
        <w:rPr>
          <w:szCs w:val="24"/>
        </w:rPr>
      </w:pPr>
      <w:r w:rsidRPr="00A00D5A">
        <w:rPr>
          <w:szCs w:val="24"/>
        </w:rPr>
        <w:t>Market Transfer Interface quantities in MW for each paired set of Market Transfer Interfaces</w:t>
      </w:r>
      <w:r w:rsidR="00662817">
        <w:rPr>
          <w:szCs w:val="24"/>
        </w:rPr>
        <w:t>; and</w:t>
      </w:r>
    </w:p>
    <w:p w14:paraId="58340D61" w14:textId="77777777" w:rsidR="00092AE8" w:rsidRPr="00FC3438" w:rsidRDefault="00092AE8" w:rsidP="00A00D5A">
      <w:pPr>
        <w:numPr>
          <w:ilvl w:val="0"/>
          <w:numId w:val="117"/>
        </w:numPr>
        <w:spacing w:before="120" w:line="300" w:lineRule="auto"/>
        <w:ind w:hanging="540"/>
        <w:rPr>
          <w:szCs w:val="24"/>
        </w:rPr>
      </w:pPr>
      <w:r>
        <w:rPr>
          <w:szCs w:val="24"/>
        </w:rPr>
        <w:t>Market Opt-in Transfer Interface quantities in MW for each paired set of Market Opt-in Transfer Interfaces.</w:t>
      </w:r>
    </w:p>
    <w:p w14:paraId="650D4485" w14:textId="77777777" w:rsidR="00092AE8" w:rsidRPr="00FC3438" w:rsidRDefault="00092AE8" w:rsidP="00092AE8">
      <w:pPr>
        <w:spacing w:before="120" w:line="300" w:lineRule="auto"/>
        <w:ind w:left="900"/>
        <w:rPr>
          <w:szCs w:val="24"/>
        </w:rPr>
      </w:pPr>
    </w:p>
    <w:p w14:paraId="62CBFC3B" w14:textId="77777777" w:rsidR="00F83CA0" w:rsidRPr="00CF1602" w:rsidRDefault="00F83CA0" w:rsidP="00EE45E7">
      <w:pPr>
        <w:pStyle w:val="ListParagraph"/>
        <w:numPr>
          <w:ilvl w:val="0"/>
          <w:numId w:val="130"/>
        </w:numPr>
        <w:spacing w:after="0" w:line="360" w:lineRule="auto"/>
        <w:ind w:left="720" w:hanging="720"/>
      </w:pPr>
      <w:r w:rsidRPr="00CF1602">
        <w:t xml:space="preserve">The following dispatch solution results are communicated to all Market Participants prior to the posting of the pricing solution results: </w:t>
      </w:r>
    </w:p>
    <w:p w14:paraId="46984BF5" w14:textId="707F3961" w:rsidR="00F83CA0" w:rsidRPr="00FC3438" w:rsidRDefault="00F83CA0" w:rsidP="00734F32">
      <w:pPr>
        <w:spacing w:after="0" w:line="360" w:lineRule="auto"/>
        <w:ind w:left="1440" w:hanging="720"/>
      </w:pPr>
      <w:r w:rsidRPr="00FC3438">
        <w:t>(1)</w:t>
      </w:r>
      <w:r w:rsidRPr="00FC3438">
        <w:tab/>
        <w:t xml:space="preserve">Dispatch Locational Marginal Prices (DLMPs) for each Settlement Location, the </w:t>
      </w:r>
      <w:r>
        <w:t>M</w:t>
      </w:r>
      <w:r w:rsidRPr="00FC3438">
        <w:t xml:space="preserve">arginal Energy </w:t>
      </w:r>
      <w:r>
        <w:t>C</w:t>
      </w:r>
      <w:r w:rsidRPr="00FC3438">
        <w:t>omponent (MEC) of the DLMP, the Marginal Congestion Component (MCC) of the DLMP</w:t>
      </w:r>
      <w:r w:rsidR="00772391">
        <w:t>,</w:t>
      </w:r>
      <w:r w:rsidRPr="00FC3438">
        <w:t xml:space="preserve"> and the Marginal Loss Component (MLC) of the DLMP for each Settlement Location; </w:t>
      </w:r>
    </w:p>
    <w:p w14:paraId="5BA6DEC1" w14:textId="77777777" w:rsidR="00F83CA0" w:rsidRPr="00FC3438" w:rsidRDefault="00F83CA0" w:rsidP="00734F32">
      <w:pPr>
        <w:spacing w:after="0" w:line="360" w:lineRule="auto"/>
        <w:ind w:left="1440" w:hanging="720"/>
      </w:pPr>
      <w:r w:rsidRPr="00FC3438">
        <w:t>(2)</w:t>
      </w:r>
      <w:r w:rsidRPr="00FC3438">
        <w:tab/>
        <w:t>MCPs for Flexibility Reserve Products; and</w:t>
      </w:r>
    </w:p>
    <w:p w14:paraId="2BBC6968" w14:textId="21F65CF0" w:rsidR="00F83CA0" w:rsidRPr="00FC3438" w:rsidRDefault="00F83CA0" w:rsidP="00734F32">
      <w:pPr>
        <w:spacing w:after="0" w:line="360" w:lineRule="auto"/>
        <w:ind w:left="1440" w:hanging="720"/>
      </w:pPr>
      <w:r w:rsidRPr="00FC3438">
        <w:t>(3)</w:t>
      </w:r>
      <w:r w:rsidRPr="00FC3438">
        <w:tab/>
        <w:t>Marginal GHG Price for each GHG Pricing Zone.</w:t>
      </w:r>
    </w:p>
    <w:p w14:paraId="762485B5" w14:textId="77777777" w:rsidR="00F83CA0" w:rsidRPr="00CF1602" w:rsidRDefault="00F83CA0" w:rsidP="00EE45E7">
      <w:pPr>
        <w:pStyle w:val="ListParagraph"/>
        <w:numPr>
          <w:ilvl w:val="0"/>
          <w:numId w:val="130"/>
        </w:numPr>
        <w:spacing w:after="0" w:line="360" w:lineRule="auto"/>
        <w:ind w:left="720" w:hanging="720"/>
      </w:pPr>
      <w:r w:rsidRPr="00CF1602">
        <w:t xml:space="preserve">The following pricing solution results are communicated to all Market Participants after the posting of the dispatch solution results: </w:t>
      </w:r>
    </w:p>
    <w:p w14:paraId="722A632B" w14:textId="31341B72" w:rsidR="00F83CA0" w:rsidRPr="00FC3438" w:rsidRDefault="00F83CA0" w:rsidP="00F83CA0">
      <w:pPr>
        <w:spacing w:after="0" w:line="360" w:lineRule="auto"/>
        <w:ind w:left="1440" w:hanging="720"/>
        <w:rPr>
          <w:szCs w:val="24"/>
        </w:rPr>
      </w:pPr>
      <w:r w:rsidRPr="00FC3438">
        <w:rPr>
          <w:szCs w:val="24"/>
        </w:rPr>
        <w:t>(1)</w:t>
      </w:r>
      <w:r w:rsidRPr="00FC3438">
        <w:tab/>
      </w:r>
      <w:r w:rsidRPr="00FC3438">
        <w:rPr>
          <w:szCs w:val="24"/>
        </w:rPr>
        <w:t>LMPs for each Settlement Location, the MEC of the LMP, the MCC of the LMP</w:t>
      </w:r>
      <w:r w:rsidR="00C82883">
        <w:rPr>
          <w:szCs w:val="24"/>
        </w:rPr>
        <w:t>,</w:t>
      </w:r>
      <w:r w:rsidRPr="00FC3438">
        <w:rPr>
          <w:szCs w:val="24"/>
        </w:rPr>
        <w:t xml:space="preserve"> and the MLC of the LMP for each Settlement Location; </w:t>
      </w:r>
    </w:p>
    <w:p w14:paraId="5F2B508C" w14:textId="370DA261" w:rsidR="00F83CA0" w:rsidRPr="00FC3438" w:rsidRDefault="00F83CA0" w:rsidP="00F83CA0">
      <w:pPr>
        <w:spacing w:after="0" w:line="360" w:lineRule="auto"/>
        <w:ind w:left="1440" w:hanging="720"/>
      </w:pPr>
      <w:r w:rsidRPr="00FC3438">
        <w:t>(2)</w:t>
      </w:r>
      <w:r w:rsidRPr="00FC3438">
        <w:tab/>
        <w:t>MCPs for Flexibility Reserve Products</w:t>
      </w:r>
      <w:r w:rsidR="00EF63A5">
        <w:t>; and</w:t>
      </w:r>
    </w:p>
    <w:p w14:paraId="40F0F2F3" w14:textId="77777777" w:rsidR="00EF63A5" w:rsidRPr="00FC3438" w:rsidRDefault="00EF63A5" w:rsidP="00EF63A5">
      <w:pPr>
        <w:spacing w:after="0" w:line="360" w:lineRule="auto"/>
        <w:ind w:left="1440" w:hanging="720"/>
      </w:pPr>
      <w:r w:rsidRPr="00FC3438">
        <w:t>(3)</w:t>
      </w:r>
      <w:r w:rsidRPr="00FC3438">
        <w:tab/>
        <w:t>Marginal GHG Price for each GHG Pricing Zone.</w:t>
      </w:r>
    </w:p>
    <w:p w14:paraId="5E9F7CD6" w14:textId="096199FD" w:rsidR="00F83CA0" w:rsidRPr="00FC3438" w:rsidRDefault="00F83CA0" w:rsidP="00F83CA0">
      <w:pPr>
        <w:spacing w:after="0"/>
        <w:rPr>
          <w:b/>
          <w:sz w:val="26"/>
        </w:rPr>
      </w:pPr>
    </w:p>
    <w:p w14:paraId="278507EB" w14:textId="44123F80" w:rsidR="00F83CA0" w:rsidRPr="00FC3438" w:rsidRDefault="00F83CA0" w:rsidP="00CB5653">
      <w:pPr>
        <w:pStyle w:val="Heading3"/>
      </w:pPr>
      <w:bookmarkStart w:id="3598" w:name="_Toc159232262"/>
      <w:bookmarkStart w:id="3599" w:name="_Toc213771849"/>
      <w:r w:rsidRPr="00FC3438">
        <w:t xml:space="preserve">Day-Ahead Reliability Unit </w:t>
      </w:r>
      <w:bookmarkEnd w:id="3598"/>
      <w:r w:rsidRPr="00FC3438">
        <w:t>Commitment</w:t>
      </w:r>
      <w:bookmarkEnd w:id="3599"/>
    </w:p>
    <w:p w14:paraId="358D849C" w14:textId="2EBF6343" w:rsidR="00F83CA0" w:rsidRPr="00FC3438" w:rsidRDefault="00F83CA0" w:rsidP="00F83CA0">
      <w:pPr>
        <w:spacing w:line="300" w:lineRule="auto"/>
        <w:rPr>
          <w:szCs w:val="24"/>
        </w:rPr>
      </w:pPr>
      <w:r>
        <w:rPr>
          <w:szCs w:val="24"/>
        </w:rPr>
        <w:t xml:space="preserve">The Market Operator </w:t>
      </w:r>
      <w:r w:rsidRPr="00FC3438">
        <w:rPr>
          <w:szCs w:val="24"/>
        </w:rPr>
        <w:t xml:space="preserve">will begin the Day-Ahead RUC process no earlier than </w:t>
      </w:r>
      <w:r>
        <w:rPr>
          <w:szCs w:val="24"/>
        </w:rPr>
        <w:t>forty-five</w:t>
      </w:r>
      <w:r w:rsidRPr="00FC3438">
        <w:rPr>
          <w:szCs w:val="24"/>
        </w:rPr>
        <w:t xml:space="preserve"> </w:t>
      </w:r>
      <w:r>
        <w:rPr>
          <w:szCs w:val="24"/>
        </w:rPr>
        <w:t>(</w:t>
      </w:r>
      <w:r w:rsidRPr="00FC3438">
        <w:rPr>
          <w:szCs w:val="24"/>
        </w:rPr>
        <w:t>45</w:t>
      </w:r>
      <w:r>
        <w:rPr>
          <w:szCs w:val="24"/>
        </w:rPr>
        <w:t>)</w:t>
      </w:r>
      <w:r w:rsidRPr="00FC3438">
        <w:rPr>
          <w:szCs w:val="24"/>
        </w:rPr>
        <w:t xml:space="preserve"> minutes following the posting of the Day-Ahead Market results </w:t>
      </w:r>
      <w:r w:rsidRPr="00FC3438">
        <w:t xml:space="preserve">to assess capacity adequacy during the Day-Ahead period and the remainder of the current Operating Day.  </w:t>
      </w:r>
      <w:r w:rsidRPr="00FC3438">
        <w:rPr>
          <w:szCs w:val="24"/>
        </w:rPr>
        <w:t xml:space="preserve">No later than two and a half hours following the start of the Day-Ahead RUC process, </w:t>
      </w:r>
      <w:r>
        <w:rPr>
          <w:szCs w:val="24"/>
        </w:rPr>
        <w:t>the Market Operator</w:t>
      </w:r>
      <w:r w:rsidRPr="00FC3438">
        <w:rPr>
          <w:szCs w:val="24"/>
        </w:rPr>
        <w:t xml:space="preserve"> </w:t>
      </w:r>
      <w:r>
        <w:rPr>
          <w:szCs w:val="24"/>
        </w:rPr>
        <w:t>will</w:t>
      </w:r>
      <w:r w:rsidRPr="00FC3438">
        <w:rPr>
          <w:szCs w:val="24"/>
        </w:rPr>
        <w:t xml:space="preserve"> communicate the results of the Day-Ahead RUC as described under Section </w:t>
      </w:r>
      <w:r w:rsidRPr="00FC3438">
        <w:rPr>
          <w:szCs w:val="24"/>
        </w:rPr>
        <w:fldChar w:fldCharType="begin"/>
      </w:r>
      <w:r w:rsidRPr="00FC3438">
        <w:rPr>
          <w:szCs w:val="24"/>
        </w:rPr>
        <w:instrText xml:space="preserve"> REF _Ref307906724 \r \h </w:instrText>
      </w:r>
      <w:r w:rsidRPr="00FC3438">
        <w:rPr>
          <w:szCs w:val="24"/>
        </w:rPr>
      </w:r>
      <w:r w:rsidRPr="00FC3438">
        <w:rPr>
          <w:szCs w:val="24"/>
        </w:rPr>
        <w:fldChar w:fldCharType="separate"/>
      </w:r>
      <w:r w:rsidR="00D60BF1">
        <w:rPr>
          <w:szCs w:val="24"/>
        </w:rPr>
        <w:t>4.3.2.3</w:t>
      </w:r>
      <w:r w:rsidRPr="00FC3438">
        <w:rPr>
          <w:szCs w:val="24"/>
        </w:rPr>
        <w:fldChar w:fldCharType="end"/>
      </w:r>
      <w:r w:rsidRPr="00FC3438">
        <w:rPr>
          <w:szCs w:val="24"/>
        </w:rPr>
        <w:t xml:space="preserve">.  </w:t>
      </w:r>
      <w:r>
        <w:rPr>
          <w:szCs w:val="24"/>
        </w:rPr>
        <w:t>The Market Operator</w:t>
      </w:r>
      <w:r w:rsidRPr="00FC3438">
        <w:rPr>
          <w:szCs w:val="24"/>
        </w:rPr>
        <w:t xml:space="preserve"> then updates the Current Operating Plan</w:t>
      </w:r>
      <w:r>
        <w:rPr>
          <w:szCs w:val="24"/>
        </w:rPr>
        <w:t xml:space="preserve"> (COP)</w:t>
      </w:r>
      <w:r w:rsidRPr="00FC3438">
        <w:rPr>
          <w:szCs w:val="24"/>
        </w:rPr>
        <w:t xml:space="preserve">, if needed, and start-up </w:t>
      </w:r>
      <w:r w:rsidRPr="00FC3438" w:rsidDel="0046151A">
        <w:rPr>
          <w:szCs w:val="24"/>
        </w:rPr>
        <w:t>and/or</w:t>
      </w:r>
      <w:r w:rsidRPr="00FC3438">
        <w:rPr>
          <w:szCs w:val="24"/>
        </w:rPr>
        <w:t xml:space="preserve"> shutdown orders are issued simultaneously </w:t>
      </w:r>
      <w:r w:rsidRPr="00FC3438">
        <w:t xml:space="preserve">for Resources other than DVERs and NDVERs for which </w:t>
      </w:r>
      <w:r>
        <w:t>the Market Operator</w:t>
      </w:r>
      <w:r w:rsidRPr="00FC3438">
        <w:t xml:space="preserve"> is calculating an output forecast (these Resources are always assumed to be self-committed if available) </w:t>
      </w:r>
      <w:r w:rsidRPr="00FC3438">
        <w:rPr>
          <w:szCs w:val="24"/>
        </w:rPr>
        <w:t xml:space="preserve">which may be any time after the posting of the Day-Ahead RUC results.      </w:t>
      </w:r>
    </w:p>
    <w:p w14:paraId="11251E08" w14:textId="77777777" w:rsidR="00F83CA0" w:rsidRPr="00FC3438" w:rsidRDefault="00F83CA0" w:rsidP="00F83CA0">
      <w:pPr>
        <w:spacing w:after="240" w:line="300" w:lineRule="auto"/>
      </w:pPr>
      <w:bookmarkStart w:id="3600" w:name="_Toc245633975"/>
      <w:bookmarkStart w:id="3601" w:name="_Toc245634127"/>
      <w:r w:rsidRPr="00FC3438">
        <w:t>The Day-Ahead RUC consists of four steps: (1) process RUC inputs; (2) execute RUC algorithm; (3) evaluate and communicate RUC results; and (4) update Current Operating Plan as needed.</w:t>
      </w:r>
    </w:p>
    <w:p w14:paraId="57FDC5B6" w14:textId="5B828F87" w:rsidR="00F83CA0" w:rsidRPr="00FC3438" w:rsidRDefault="00F83CA0" w:rsidP="00574EDE">
      <w:pPr>
        <w:pStyle w:val="Heading4"/>
      </w:pPr>
      <w:bookmarkStart w:id="3602" w:name="_Toc245728017"/>
      <w:bookmarkStart w:id="3603" w:name="_Toc248644141"/>
      <w:bookmarkStart w:id="3604" w:name="_Toc258924867"/>
      <w:bookmarkStart w:id="3605" w:name="_Toc263173307"/>
      <w:bookmarkStart w:id="3606" w:name="_Toc263429420"/>
      <w:bookmarkStart w:id="3607" w:name="_Toc263795458"/>
      <w:bookmarkStart w:id="3608" w:name="_Toc266869635"/>
      <w:bookmarkStart w:id="3609" w:name="_Toc159232263"/>
      <w:bookmarkStart w:id="3610" w:name="_Toc213771850"/>
      <w:r w:rsidRPr="00FC3438">
        <w:t>Day-Ahead RUC Inputs</w:t>
      </w:r>
      <w:bookmarkEnd w:id="3600"/>
      <w:bookmarkEnd w:id="3601"/>
      <w:bookmarkEnd w:id="3602"/>
      <w:bookmarkEnd w:id="3603"/>
      <w:bookmarkEnd w:id="3604"/>
      <w:bookmarkEnd w:id="3605"/>
      <w:bookmarkEnd w:id="3606"/>
      <w:bookmarkEnd w:id="3607"/>
      <w:bookmarkEnd w:id="3608"/>
      <w:bookmarkEnd w:id="3609"/>
      <w:bookmarkEnd w:id="3610"/>
    </w:p>
    <w:p w14:paraId="3D96C8C9" w14:textId="77777777" w:rsidR="00F83CA0" w:rsidRPr="00FC3438" w:rsidRDefault="00F83CA0" w:rsidP="00F83CA0">
      <w:pPr>
        <w:spacing w:before="120" w:line="300" w:lineRule="auto"/>
        <w:rPr>
          <w:szCs w:val="24"/>
        </w:rPr>
      </w:pPr>
      <w:r w:rsidRPr="00FC3438">
        <w:rPr>
          <w:szCs w:val="24"/>
        </w:rPr>
        <w:t>Inputs to the RUC algorithm consist of:</w:t>
      </w:r>
    </w:p>
    <w:p w14:paraId="5CA18F8C" w14:textId="6A2B4775" w:rsidR="00F83CA0" w:rsidRPr="00FC3438" w:rsidRDefault="00F83CA0" w:rsidP="00F83CA0">
      <w:pPr>
        <w:numPr>
          <w:ilvl w:val="0"/>
          <w:numId w:val="96"/>
        </w:numPr>
        <w:spacing w:before="120" w:line="300" w:lineRule="auto"/>
        <w:ind w:hanging="540"/>
      </w:pPr>
      <w:r w:rsidRPr="00FC3438">
        <w:t xml:space="preserve">RTBM Resource Offers, including Resources with a Commitment Status of Self or RMR received by </w:t>
      </w:r>
      <w:r>
        <w:t>the Market Operator</w:t>
      </w:r>
      <w:r w:rsidRPr="00FC3438">
        <w:t>;</w:t>
      </w:r>
    </w:p>
    <w:p w14:paraId="3D0CE778" w14:textId="77777777" w:rsidR="00F83CA0" w:rsidRPr="00FC3438" w:rsidRDefault="00F83CA0" w:rsidP="00EE45E7">
      <w:pPr>
        <w:numPr>
          <w:ilvl w:val="1"/>
          <w:numId w:val="123"/>
        </w:numPr>
        <w:spacing w:before="120" w:line="300" w:lineRule="auto"/>
      </w:pPr>
      <w:r w:rsidRPr="00FC3438">
        <w:t>During all hours between the start and completion of the Day-Ahead RUC process, Market Participants may continue to update RTBM Offers during Day-Ahead RUC process.  If the D</w:t>
      </w:r>
      <w:r>
        <w:t>ay-Ahead</w:t>
      </w:r>
      <w:r w:rsidRPr="00FC3438">
        <w:t xml:space="preserve"> RUC offer being updated is for the D</w:t>
      </w:r>
      <w:r>
        <w:t>ay-Ahead</w:t>
      </w:r>
      <w:r w:rsidRPr="00FC3438">
        <w:t xml:space="preserve"> RUC Study Period, </w:t>
      </w:r>
      <w:r>
        <w:t xml:space="preserve">the Market Operator </w:t>
      </w:r>
      <w:r w:rsidRPr="00FC3438">
        <w:t xml:space="preserve">will notify the Market Participant that the offer will not be used in the ongoing </w:t>
      </w:r>
      <w:r w:rsidRPr="00FC3438">
        <w:rPr>
          <w:szCs w:val="24"/>
        </w:rPr>
        <w:t xml:space="preserve">Day-Ahead </w:t>
      </w:r>
      <w:r w:rsidRPr="00FC3438">
        <w:t xml:space="preserve">RUC solution. </w:t>
      </w:r>
    </w:p>
    <w:p w14:paraId="3318B8DE" w14:textId="77777777" w:rsidR="00F83CA0" w:rsidRPr="00FC3438" w:rsidRDefault="00F83CA0" w:rsidP="00F83CA0">
      <w:pPr>
        <w:numPr>
          <w:ilvl w:val="0"/>
          <w:numId w:val="96"/>
        </w:numPr>
        <w:spacing w:before="120" w:line="300" w:lineRule="auto"/>
        <w:ind w:hanging="540"/>
        <w:rPr>
          <w:szCs w:val="24"/>
        </w:rPr>
      </w:pPr>
      <w:r w:rsidRPr="00FC3438">
        <w:rPr>
          <w:szCs w:val="24"/>
        </w:rPr>
        <w:t>Confirmed cleared Export Interchange Transaction Bids from the D</w:t>
      </w:r>
      <w:r>
        <w:rPr>
          <w:szCs w:val="24"/>
        </w:rPr>
        <w:t>ay-Ahead</w:t>
      </w:r>
      <w:r w:rsidRPr="00FC3438">
        <w:rPr>
          <w:szCs w:val="24"/>
        </w:rPr>
        <w:t xml:space="preserve"> Market;</w:t>
      </w:r>
    </w:p>
    <w:p w14:paraId="5678E10F" w14:textId="77777777" w:rsidR="00F83CA0" w:rsidRPr="00FC3438" w:rsidRDefault="00F83CA0" w:rsidP="00F83CA0">
      <w:pPr>
        <w:numPr>
          <w:ilvl w:val="0"/>
          <w:numId w:val="96"/>
        </w:numPr>
        <w:spacing w:before="120" w:line="300" w:lineRule="auto"/>
        <w:ind w:hanging="540"/>
        <w:rPr>
          <w:szCs w:val="24"/>
        </w:rPr>
      </w:pPr>
      <w:r w:rsidRPr="00FC3438">
        <w:rPr>
          <w:szCs w:val="24"/>
        </w:rPr>
        <w:t>Confirmed cleared Import Interchange Transaction Offers from the D</w:t>
      </w:r>
      <w:r>
        <w:rPr>
          <w:szCs w:val="24"/>
        </w:rPr>
        <w:t>ay-Ahead</w:t>
      </w:r>
      <w:r w:rsidRPr="00FC3438">
        <w:rPr>
          <w:szCs w:val="24"/>
        </w:rPr>
        <w:t xml:space="preserve"> Market;</w:t>
      </w:r>
    </w:p>
    <w:p w14:paraId="765ED011" w14:textId="77777777" w:rsidR="00F83CA0" w:rsidRPr="00FC3438" w:rsidRDefault="00F83CA0" w:rsidP="00F83CA0">
      <w:pPr>
        <w:numPr>
          <w:ilvl w:val="0"/>
          <w:numId w:val="96"/>
        </w:numPr>
        <w:spacing w:before="120" w:line="300" w:lineRule="auto"/>
        <w:ind w:hanging="540"/>
        <w:rPr>
          <w:szCs w:val="24"/>
        </w:rPr>
      </w:pPr>
      <w:r w:rsidRPr="00FC3438">
        <w:rPr>
          <w:szCs w:val="24"/>
        </w:rPr>
        <w:t>Confirmed cleared Through Interchange Transactions from the D</w:t>
      </w:r>
      <w:r>
        <w:rPr>
          <w:szCs w:val="24"/>
        </w:rPr>
        <w:t>ay-Ahead</w:t>
      </w:r>
      <w:r w:rsidRPr="00FC3438">
        <w:rPr>
          <w:szCs w:val="24"/>
        </w:rPr>
        <w:t xml:space="preserve"> Market;</w:t>
      </w:r>
    </w:p>
    <w:p w14:paraId="2E61114A" w14:textId="77777777" w:rsidR="00F83CA0" w:rsidRPr="00FC3438" w:rsidRDefault="00F83CA0" w:rsidP="00F83CA0">
      <w:pPr>
        <w:numPr>
          <w:ilvl w:val="0"/>
          <w:numId w:val="96"/>
        </w:numPr>
        <w:spacing w:before="120" w:line="300" w:lineRule="auto"/>
        <w:ind w:hanging="540"/>
        <w:rPr>
          <w:szCs w:val="24"/>
        </w:rPr>
      </w:pPr>
      <w:r w:rsidRPr="00FC3438">
        <w:rPr>
          <w:szCs w:val="24"/>
        </w:rPr>
        <w:t>Confirmed Export Interchange Transactions specified for use in the RTBM only;</w:t>
      </w:r>
    </w:p>
    <w:p w14:paraId="5CE11A20" w14:textId="77777777" w:rsidR="00F83CA0" w:rsidRPr="00FC3438" w:rsidRDefault="00F83CA0" w:rsidP="00F83CA0">
      <w:pPr>
        <w:numPr>
          <w:ilvl w:val="0"/>
          <w:numId w:val="96"/>
        </w:numPr>
        <w:spacing w:before="120" w:line="300" w:lineRule="auto"/>
        <w:ind w:hanging="540"/>
        <w:rPr>
          <w:szCs w:val="24"/>
        </w:rPr>
      </w:pPr>
      <w:r w:rsidRPr="00FC3438">
        <w:rPr>
          <w:szCs w:val="24"/>
        </w:rPr>
        <w:t>Confirmed Import Interchange Transactions specified for use in the RTBM only;</w:t>
      </w:r>
    </w:p>
    <w:p w14:paraId="42B41A16" w14:textId="77777777" w:rsidR="00F83CA0" w:rsidRPr="00FC3438" w:rsidRDefault="00F83CA0" w:rsidP="00F83CA0">
      <w:pPr>
        <w:numPr>
          <w:ilvl w:val="0"/>
          <w:numId w:val="96"/>
        </w:numPr>
        <w:spacing w:before="120" w:line="300" w:lineRule="auto"/>
        <w:ind w:hanging="540"/>
        <w:rPr>
          <w:szCs w:val="24"/>
        </w:rPr>
      </w:pPr>
      <w:r w:rsidRPr="00FC3438">
        <w:rPr>
          <w:szCs w:val="24"/>
        </w:rPr>
        <w:t>Confirmed Through Interchange Transactions specified for use in the RTBM only;</w:t>
      </w:r>
    </w:p>
    <w:p w14:paraId="12599D61" w14:textId="77777777" w:rsidR="00F83CA0" w:rsidRPr="00FC3438" w:rsidRDefault="00F83CA0" w:rsidP="00F83CA0">
      <w:pPr>
        <w:numPr>
          <w:ilvl w:val="0"/>
          <w:numId w:val="96"/>
        </w:numPr>
        <w:spacing w:before="120" w:line="300" w:lineRule="auto"/>
        <w:ind w:hanging="540"/>
        <w:rPr>
          <w:szCs w:val="24"/>
        </w:rPr>
      </w:pPr>
      <w:r>
        <w:rPr>
          <w:szCs w:val="24"/>
        </w:rPr>
        <w:t>Market Operator</w:t>
      </w:r>
      <w:r w:rsidRPr="00FC3438">
        <w:rPr>
          <w:szCs w:val="24"/>
        </w:rPr>
        <w:t xml:space="preserve"> Flexibility Products requirements (</w:t>
      </w:r>
      <w:r>
        <w:rPr>
          <w:szCs w:val="24"/>
        </w:rPr>
        <w:t>market</w:t>
      </w:r>
      <w:r w:rsidRPr="00FC3438">
        <w:rPr>
          <w:szCs w:val="24"/>
        </w:rPr>
        <w:t>-wide and Reserve Zone min and max);</w:t>
      </w:r>
    </w:p>
    <w:p w14:paraId="12F74E7C" w14:textId="77777777" w:rsidR="00F83CA0" w:rsidRPr="00FC3438" w:rsidRDefault="00F83CA0" w:rsidP="00F83CA0">
      <w:pPr>
        <w:numPr>
          <w:ilvl w:val="0"/>
          <w:numId w:val="96"/>
        </w:numPr>
        <w:spacing w:before="120" w:line="300" w:lineRule="auto"/>
        <w:ind w:hanging="540"/>
        <w:rPr>
          <w:szCs w:val="24"/>
        </w:rPr>
      </w:pPr>
      <w:r>
        <w:rPr>
          <w:szCs w:val="24"/>
        </w:rPr>
        <w:t>Market Operator</w:t>
      </w:r>
      <w:r w:rsidRPr="00FC3438">
        <w:rPr>
          <w:szCs w:val="24"/>
        </w:rPr>
        <w:t xml:space="preserve"> Instantaneous Load Capacity requirements;</w:t>
      </w:r>
    </w:p>
    <w:p w14:paraId="348AA006" w14:textId="12855016" w:rsidR="00F83CA0" w:rsidRPr="00FC3438" w:rsidRDefault="00F83CA0" w:rsidP="00F83CA0">
      <w:pPr>
        <w:numPr>
          <w:ilvl w:val="0"/>
          <w:numId w:val="96"/>
        </w:numPr>
        <w:spacing w:before="120" w:line="300" w:lineRule="auto"/>
        <w:ind w:hanging="540"/>
        <w:rPr>
          <w:szCs w:val="24"/>
        </w:rPr>
      </w:pPr>
      <w:r>
        <w:rPr>
          <w:szCs w:val="24"/>
        </w:rPr>
        <w:t>Market Operator</w:t>
      </w:r>
      <w:r w:rsidRPr="00FC3438">
        <w:rPr>
          <w:szCs w:val="24"/>
        </w:rPr>
        <w:t xml:space="preserve"> Mid-Term Load Forecast (MTLF) as described under Section</w:t>
      </w:r>
      <w:r w:rsidR="003B6B76">
        <w:rPr>
          <w:szCs w:val="24"/>
        </w:rPr>
        <w:t xml:space="preserve"> </w:t>
      </w:r>
      <w:r w:rsidR="0090125D">
        <w:rPr>
          <w:szCs w:val="24"/>
        </w:rPr>
        <w:fldChar w:fldCharType="begin"/>
      </w:r>
      <w:r w:rsidR="0090125D">
        <w:rPr>
          <w:szCs w:val="24"/>
        </w:rPr>
        <w:instrText xml:space="preserve"> REF _Ref212550790 \r \h </w:instrText>
      </w:r>
      <w:r w:rsidR="0090125D">
        <w:rPr>
          <w:szCs w:val="24"/>
        </w:rPr>
      </w:r>
      <w:r w:rsidR="0090125D">
        <w:rPr>
          <w:szCs w:val="24"/>
        </w:rPr>
        <w:fldChar w:fldCharType="separate"/>
      </w:r>
      <w:r w:rsidR="0090125D">
        <w:rPr>
          <w:szCs w:val="24"/>
        </w:rPr>
        <w:t>4.1.2.1</w:t>
      </w:r>
      <w:r w:rsidR="0090125D">
        <w:rPr>
          <w:szCs w:val="24"/>
        </w:rPr>
        <w:fldChar w:fldCharType="end"/>
      </w:r>
      <w:r w:rsidRPr="00FC3438">
        <w:rPr>
          <w:szCs w:val="24"/>
        </w:rPr>
        <w:fldChar w:fldCharType="begin"/>
      </w:r>
      <w:r w:rsidRPr="00FC3438">
        <w:rPr>
          <w:szCs w:val="24"/>
        </w:rPr>
        <w:instrText xml:space="preserve"> REF _Ref270489440 \r \h </w:instrText>
      </w:r>
      <w:r w:rsidRPr="00FC3438">
        <w:rPr>
          <w:szCs w:val="24"/>
        </w:rPr>
      </w:r>
      <w:r w:rsidRPr="00FC3438">
        <w:rPr>
          <w:szCs w:val="24"/>
        </w:rPr>
        <w:fldChar w:fldCharType="separate"/>
      </w:r>
      <w:r w:rsidRPr="00FC3438">
        <w:rPr>
          <w:szCs w:val="24"/>
        </w:rPr>
        <w:fldChar w:fldCharType="end"/>
      </w:r>
      <w:r w:rsidRPr="00FC3438">
        <w:rPr>
          <w:szCs w:val="24"/>
        </w:rPr>
        <w:t>;</w:t>
      </w:r>
    </w:p>
    <w:p w14:paraId="4529C9C4" w14:textId="77777777" w:rsidR="00F83CA0" w:rsidRPr="00FC3438" w:rsidRDefault="00F83CA0" w:rsidP="00F83CA0">
      <w:pPr>
        <w:numPr>
          <w:ilvl w:val="0"/>
          <w:numId w:val="96"/>
        </w:numPr>
        <w:spacing w:before="120" w:line="300" w:lineRule="auto"/>
        <w:ind w:hanging="540"/>
        <w:rPr>
          <w:szCs w:val="24"/>
        </w:rPr>
      </w:pPr>
      <w:r>
        <w:rPr>
          <w:szCs w:val="24"/>
        </w:rPr>
        <w:t>Market Operator</w:t>
      </w:r>
      <w:r w:rsidRPr="00FC3438">
        <w:rPr>
          <w:szCs w:val="24"/>
        </w:rPr>
        <w:t xml:space="preserve"> transmission system topology consistent with Network Model in place for the Operating Day;</w:t>
      </w:r>
    </w:p>
    <w:p w14:paraId="6F2E37E5" w14:textId="77777777" w:rsidR="00F83CA0" w:rsidRPr="00FC3438" w:rsidRDefault="00F83CA0" w:rsidP="00F83CA0">
      <w:pPr>
        <w:numPr>
          <w:ilvl w:val="0"/>
          <w:numId w:val="96"/>
        </w:numPr>
        <w:spacing w:before="120" w:line="300" w:lineRule="auto"/>
        <w:ind w:hanging="540"/>
        <w:rPr>
          <w:szCs w:val="24"/>
        </w:rPr>
      </w:pPr>
      <w:r w:rsidRPr="00FC3438">
        <w:rPr>
          <w:szCs w:val="24"/>
        </w:rPr>
        <w:t>Service Flow Constraints;</w:t>
      </w:r>
    </w:p>
    <w:p w14:paraId="5B234845" w14:textId="77777777" w:rsidR="00F83CA0" w:rsidRPr="00FC3438" w:rsidRDefault="00F83CA0" w:rsidP="00F83CA0">
      <w:pPr>
        <w:numPr>
          <w:ilvl w:val="0"/>
          <w:numId w:val="96"/>
        </w:numPr>
        <w:spacing w:before="120" w:line="300" w:lineRule="auto"/>
        <w:ind w:hanging="540"/>
        <w:rPr>
          <w:szCs w:val="24"/>
        </w:rPr>
      </w:pPr>
      <w:r w:rsidRPr="00FC3438">
        <w:rPr>
          <w:szCs w:val="24"/>
        </w:rPr>
        <w:t>Resource commitment schedules from the D</w:t>
      </w:r>
      <w:r>
        <w:rPr>
          <w:szCs w:val="24"/>
        </w:rPr>
        <w:t>ay-Ahead</w:t>
      </w:r>
      <w:r w:rsidRPr="00FC3438">
        <w:rPr>
          <w:szCs w:val="24"/>
        </w:rPr>
        <w:t xml:space="preserve"> Market unless </w:t>
      </w:r>
      <w:r>
        <w:rPr>
          <w:szCs w:val="24"/>
        </w:rPr>
        <w:t>the Market Operator</w:t>
      </w:r>
      <w:r w:rsidRPr="00FC3438">
        <w:rPr>
          <w:szCs w:val="24"/>
        </w:rPr>
        <w:t xml:space="preserve"> is informed of a Resource outage;  </w:t>
      </w:r>
    </w:p>
    <w:p w14:paraId="73987779" w14:textId="77777777" w:rsidR="00F83CA0" w:rsidRPr="00FC3438" w:rsidRDefault="00F83CA0" w:rsidP="00F83CA0">
      <w:pPr>
        <w:numPr>
          <w:ilvl w:val="0"/>
          <w:numId w:val="96"/>
        </w:numPr>
        <w:spacing w:before="120" w:line="300" w:lineRule="auto"/>
        <w:ind w:hanging="540"/>
        <w:rPr>
          <w:szCs w:val="24"/>
        </w:rPr>
      </w:pPr>
      <w:r w:rsidRPr="00FC3438">
        <w:rPr>
          <w:szCs w:val="24"/>
        </w:rPr>
        <w:t>Local Reliability Issues Commitments</w:t>
      </w:r>
      <w:r>
        <w:rPr>
          <w:szCs w:val="24"/>
        </w:rPr>
        <w:t>;</w:t>
      </w:r>
    </w:p>
    <w:p w14:paraId="3B2C5930" w14:textId="77777777" w:rsidR="00F83CA0" w:rsidRPr="00FC3438" w:rsidRDefault="00F83CA0" w:rsidP="00F83CA0">
      <w:pPr>
        <w:numPr>
          <w:ilvl w:val="0"/>
          <w:numId w:val="96"/>
        </w:numPr>
        <w:spacing w:before="120" w:line="300" w:lineRule="auto"/>
        <w:ind w:hanging="540"/>
        <w:rPr>
          <w:szCs w:val="24"/>
        </w:rPr>
      </w:pPr>
      <w:r w:rsidRPr="00FC3438">
        <w:rPr>
          <w:szCs w:val="24"/>
        </w:rPr>
        <w:t xml:space="preserve">Emergency Condition Commitments;  </w:t>
      </w:r>
    </w:p>
    <w:p w14:paraId="2F666692" w14:textId="77777777" w:rsidR="00F83CA0" w:rsidRPr="00FC3438" w:rsidRDefault="00F83CA0" w:rsidP="00F83CA0">
      <w:pPr>
        <w:numPr>
          <w:ilvl w:val="0"/>
          <w:numId w:val="96"/>
        </w:numPr>
        <w:spacing w:before="120" w:line="300" w:lineRule="auto"/>
        <w:ind w:hanging="540"/>
        <w:rPr>
          <w:szCs w:val="24"/>
        </w:rPr>
      </w:pPr>
      <w:r>
        <w:rPr>
          <w:szCs w:val="24"/>
        </w:rPr>
        <w:t>Variable Energy</w:t>
      </w:r>
      <w:r w:rsidRPr="00FC3438">
        <w:rPr>
          <w:szCs w:val="24"/>
        </w:rPr>
        <w:t xml:space="preserve"> Resource</w:t>
      </w:r>
      <w:r>
        <w:rPr>
          <w:szCs w:val="24"/>
        </w:rPr>
        <w:t>s</w:t>
      </w:r>
      <w:r w:rsidRPr="00FC3438">
        <w:rPr>
          <w:szCs w:val="24"/>
        </w:rPr>
        <w:t xml:space="preserve"> MWh output forecast as described under Section </w:t>
      </w:r>
      <w:r w:rsidRPr="00FC3438">
        <w:rPr>
          <w:szCs w:val="24"/>
        </w:rPr>
        <w:fldChar w:fldCharType="begin"/>
      </w:r>
      <w:r w:rsidRPr="00FC3438">
        <w:rPr>
          <w:szCs w:val="24"/>
        </w:rPr>
        <w:instrText xml:space="preserve"> REF _Ref160005369 \r \h </w:instrText>
      </w:r>
      <w:r w:rsidRPr="00FC3438">
        <w:rPr>
          <w:szCs w:val="24"/>
        </w:rPr>
      </w:r>
      <w:r w:rsidRPr="00FC3438">
        <w:rPr>
          <w:szCs w:val="24"/>
        </w:rPr>
        <w:fldChar w:fldCharType="separate"/>
      </w:r>
      <w:r w:rsidRPr="00FC3438">
        <w:rPr>
          <w:szCs w:val="24"/>
        </w:rPr>
        <w:t>4.1.2.2</w:t>
      </w:r>
      <w:r w:rsidRPr="00FC3438">
        <w:rPr>
          <w:szCs w:val="24"/>
        </w:rPr>
        <w:fldChar w:fldCharType="end"/>
      </w:r>
      <w:r w:rsidRPr="00FC3438">
        <w:rPr>
          <w:szCs w:val="24"/>
        </w:rPr>
        <w:t>;</w:t>
      </w:r>
    </w:p>
    <w:p w14:paraId="0679CA9B" w14:textId="1F5E2A4C" w:rsidR="00F83CA0" w:rsidRPr="00FC3438" w:rsidRDefault="00F83CA0" w:rsidP="00F83CA0">
      <w:pPr>
        <w:numPr>
          <w:ilvl w:val="0"/>
          <w:numId w:val="96"/>
        </w:numPr>
        <w:spacing w:before="120" w:line="300" w:lineRule="auto"/>
        <w:ind w:hanging="540"/>
        <w:rPr>
          <w:szCs w:val="24"/>
        </w:rPr>
      </w:pPr>
      <w:r w:rsidRPr="00FC3438">
        <w:rPr>
          <w:szCs w:val="24"/>
        </w:rPr>
        <w:t xml:space="preserve">Solar-Powered Resource MWh output forecast as described under Section </w:t>
      </w:r>
      <w:r w:rsidRPr="00FC3438">
        <w:rPr>
          <w:szCs w:val="24"/>
        </w:rPr>
        <w:fldChar w:fldCharType="begin"/>
      </w:r>
      <w:r w:rsidRPr="00FC3438">
        <w:rPr>
          <w:szCs w:val="24"/>
        </w:rPr>
        <w:instrText xml:space="preserve"> REF _Ref160005385 \r \h </w:instrText>
      </w:r>
      <w:r w:rsidRPr="00FC3438">
        <w:rPr>
          <w:szCs w:val="24"/>
        </w:rPr>
      </w:r>
      <w:r w:rsidRPr="00FC3438">
        <w:rPr>
          <w:szCs w:val="24"/>
        </w:rPr>
        <w:fldChar w:fldCharType="separate"/>
      </w:r>
      <w:r w:rsidRPr="00FC3438">
        <w:rPr>
          <w:szCs w:val="24"/>
        </w:rPr>
        <w:t>4.1.2.5</w:t>
      </w:r>
      <w:r w:rsidRPr="00FC3438">
        <w:rPr>
          <w:szCs w:val="24"/>
        </w:rPr>
        <w:fldChar w:fldCharType="end"/>
      </w:r>
      <w:r w:rsidRPr="00FC3438">
        <w:rPr>
          <w:szCs w:val="24"/>
        </w:rPr>
        <w:t xml:space="preserve">;  </w:t>
      </w:r>
    </w:p>
    <w:p w14:paraId="095E4E70" w14:textId="77777777" w:rsidR="00F83CA0" w:rsidRPr="00FC3438" w:rsidRDefault="00F83CA0" w:rsidP="00F83CA0">
      <w:pPr>
        <w:numPr>
          <w:ilvl w:val="0"/>
          <w:numId w:val="96"/>
        </w:numPr>
        <w:spacing w:before="120" w:line="300" w:lineRule="auto"/>
        <w:ind w:hanging="540"/>
        <w:rPr>
          <w:szCs w:val="24"/>
        </w:rPr>
      </w:pPr>
      <w:r>
        <w:rPr>
          <w:szCs w:val="24"/>
        </w:rPr>
        <w:t>T</w:t>
      </w:r>
      <w:r w:rsidRPr="00FC3438">
        <w:rPr>
          <w:szCs w:val="24"/>
        </w:rPr>
        <w:t xml:space="preserve">ransmission system outages; </w:t>
      </w:r>
    </w:p>
    <w:p w14:paraId="01F3E606" w14:textId="7A896055" w:rsidR="00F83CA0" w:rsidRPr="00FC3438" w:rsidRDefault="00F83CA0" w:rsidP="00F83CA0">
      <w:pPr>
        <w:numPr>
          <w:ilvl w:val="0"/>
          <w:numId w:val="96"/>
        </w:numPr>
        <w:spacing w:before="120" w:line="300" w:lineRule="auto"/>
        <w:ind w:hanging="540"/>
        <w:rPr>
          <w:szCs w:val="24"/>
        </w:rPr>
      </w:pPr>
      <w:r w:rsidRPr="00FC3438">
        <w:rPr>
          <w:szCs w:val="24"/>
        </w:rPr>
        <w:t>Resource outages;</w:t>
      </w:r>
    </w:p>
    <w:p w14:paraId="04CC24AA" w14:textId="04F7FA0A" w:rsidR="00F83CA0" w:rsidRPr="00FC3438" w:rsidRDefault="00F83CA0" w:rsidP="00F83CA0">
      <w:pPr>
        <w:numPr>
          <w:ilvl w:val="0"/>
          <w:numId w:val="96"/>
        </w:numPr>
        <w:spacing w:before="120" w:line="300" w:lineRule="auto"/>
        <w:ind w:hanging="540"/>
        <w:rPr>
          <w:szCs w:val="24"/>
        </w:rPr>
      </w:pPr>
      <w:r>
        <w:rPr>
          <w:szCs w:val="24"/>
        </w:rPr>
        <w:t>The Market Operator</w:t>
      </w:r>
      <w:r w:rsidRPr="00FC3438">
        <w:rPr>
          <w:szCs w:val="24"/>
        </w:rPr>
        <w:t xml:space="preserve"> input for non-price </w:t>
      </w:r>
      <w:r w:rsidR="008E7508">
        <w:rPr>
          <w:szCs w:val="24"/>
        </w:rPr>
        <w:t>O</w:t>
      </w:r>
      <w:r w:rsidRPr="00FC3438">
        <w:rPr>
          <w:szCs w:val="24"/>
        </w:rPr>
        <w:t>ffer parameter changes that occur flowing the close of the RTBM Offer deadline</w:t>
      </w:r>
      <w:r w:rsidR="00AF6E86">
        <w:rPr>
          <w:szCs w:val="24"/>
        </w:rPr>
        <w:t>;</w:t>
      </w:r>
    </w:p>
    <w:p w14:paraId="59BA4EE2" w14:textId="046BBB60" w:rsidR="00237C2D" w:rsidRPr="001E636B" w:rsidRDefault="00237C2D" w:rsidP="001E636B">
      <w:pPr>
        <w:pStyle w:val="ListParagraph"/>
        <w:numPr>
          <w:ilvl w:val="0"/>
          <w:numId w:val="96"/>
        </w:numPr>
        <w:tabs>
          <w:tab w:val="clear" w:pos="720"/>
        </w:tabs>
        <w:spacing w:before="120" w:line="300" w:lineRule="auto"/>
        <w:ind w:left="540"/>
        <w:rPr>
          <w:szCs w:val="24"/>
        </w:rPr>
      </w:pPr>
      <w:r w:rsidRPr="001E636B">
        <w:rPr>
          <w:szCs w:val="24"/>
        </w:rPr>
        <w:t>Market Transfer Interface Limits</w:t>
      </w:r>
      <w:r w:rsidR="00E3073E">
        <w:rPr>
          <w:szCs w:val="24"/>
        </w:rPr>
        <w:t>;</w:t>
      </w:r>
    </w:p>
    <w:p w14:paraId="5B7128FD" w14:textId="3ED4777A" w:rsidR="00237C2D" w:rsidRDefault="00237C2D" w:rsidP="001E636B">
      <w:pPr>
        <w:numPr>
          <w:ilvl w:val="0"/>
          <w:numId w:val="96"/>
        </w:numPr>
        <w:tabs>
          <w:tab w:val="clear" w:pos="720"/>
        </w:tabs>
        <w:spacing w:before="120" w:line="300" w:lineRule="auto"/>
        <w:ind w:left="540"/>
        <w:rPr>
          <w:szCs w:val="24"/>
        </w:rPr>
      </w:pPr>
      <w:r>
        <w:rPr>
          <w:szCs w:val="24"/>
        </w:rPr>
        <w:t>Market Opt-in Transfer Interface Limits</w:t>
      </w:r>
      <w:r w:rsidR="00E3073E">
        <w:rPr>
          <w:szCs w:val="24"/>
        </w:rPr>
        <w:t>; and</w:t>
      </w:r>
    </w:p>
    <w:p w14:paraId="1F3E598A" w14:textId="5E4E5F6F" w:rsidR="00237C2D" w:rsidRDefault="00237C2D" w:rsidP="001E636B">
      <w:pPr>
        <w:numPr>
          <w:ilvl w:val="0"/>
          <w:numId w:val="96"/>
        </w:numPr>
        <w:tabs>
          <w:tab w:val="clear" w:pos="720"/>
        </w:tabs>
        <w:spacing w:before="120" w:line="300" w:lineRule="auto"/>
        <w:ind w:left="540"/>
        <w:rPr>
          <w:szCs w:val="24"/>
        </w:rPr>
      </w:pPr>
      <w:r>
        <w:rPr>
          <w:szCs w:val="24"/>
        </w:rPr>
        <w:t>BAA Scheduling Constraint Limits</w:t>
      </w:r>
      <w:r w:rsidR="00B563D7">
        <w:rPr>
          <w:szCs w:val="24"/>
        </w:rPr>
        <w:t>.</w:t>
      </w:r>
    </w:p>
    <w:p w14:paraId="26A72EE1" w14:textId="65C501A6" w:rsidR="00F83CA0" w:rsidRPr="00FC3438" w:rsidRDefault="00F83CA0" w:rsidP="00574EDE">
      <w:pPr>
        <w:pStyle w:val="Heading4"/>
      </w:pPr>
      <w:bookmarkStart w:id="3611" w:name="_Toc245633976"/>
      <w:bookmarkStart w:id="3612" w:name="_Toc245634128"/>
      <w:bookmarkStart w:id="3613" w:name="_Toc245728018"/>
      <w:bookmarkStart w:id="3614" w:name="_Toc248644142"/>
      <w:bookmarkStart w:id="3615" w:name="_Toc258924868"/>
      <w:bookmarkStart w:id="3616" w:name="_Toc263173308"/>
      <w:bookmarkStart w:id="3617" w:name="_Toc263429421"/>
      <w:bookmarkStart w:id="3618" w:name="_Toc263795459"/>
      <w:bookmarkStart w:id="3619" w:name="_Toc266869636"/>
      <w:bookmarkStart w:id="3620" w:name="_Ref270489610"/>
      <w:bookmarkStart w:id="3621" w:name="_Ref349214645"/>
      <w:bookmarkStart w:id="3622" w:name="_Ref349294066"/>
      <w:bookmarkStart w:id="3623" w:name="_Ref349553112"/>
      <w:bookmarkStart w:id="3624" w:name="_Ref349714486"/>
      <w:bookmarkStart w:id="3625" w:name="_Toc159232264"/>
      <w:bookmarkStart w:id="3626" w:name="_Ref212549399"/>
      <w:bookmarkStart w:id="3627" w:name="_Ref212549864"/>
      <w:bookmarkStart w:id="3628" w:name="_Toc213771851"/>
      <w:r w:rsidRPr="00FC3438">
        <w:t>Day-Ahead RUC Execution</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76BE4325" w14:textId="77777777" w:rsidR="00F83CA0" w:rsidRPr="00FC3438" w:rsidRDefault="00F83CA0" w:rsidP="00F83CA0">
      <w:pPr>
        <w:spacing w:before="120" w:line="300" w:lineRule="auto"/>
        <w:rPr>
          <w:szCs w:val="24"/>
        </w:rPr>
      </w:pPr>
      <w:r w:rsidRPr="00FC3438">
        <w:rPr>
          <w:szCs w:val="24"/>
        </w:rPr>
        <w:t xml:space="preserve">Using the inputs described above, </w:t>
      </w:r>
      <w:r>
        <w:rPr>
          <w:szCs w:val="24"/>
        </w:rPr>
        <w:t>the Market Operator</w:t>
      </w:r>
      <w:r w:rsidRPr="00FC3438">
        <w:rPr>
          <w:szCs w:val="24"/>
        </w:rPr>
        <w:t xml:space="preserve"> performs a capacity adequacy analysis for the upcoming Operating Day using the SCUC algorithm.  The capacity adequacy analysis provides advisory information to the Market Operator.  </w:t>
      </w:r>
    </w:p>
    <w:p w14:paraId="7C22D617" w14:textId="6521E78C" w:rsidR="00F83CA0" w:rsidRPr="00FC3438" w:rsidRDefault="00F83CA0" w:rsidP="00EE45E7">
      <w:pPr>
        <w:numPr>
          <w:ilvl w:val="0"/>
          <w:numId w:val="118"/>
        </w:numPr>
        <w:tabs>
          <w:tab w:val="num" w:pos="720"/>
        </w:tabs>
        <w:spacing w:before="120" w:line="300" w:lineRule="auto"/>
        <w:ind w:left="720" w:hanging="540"/>
        <w:rPr>
          <w:szCs w:val="24"/>
        </w:rPr>
      </w:pPr>
      <w:r w:rsidRPr="00FC3438">
        <w:rPr>
          <w:szCs w:val="24"/>
        </w:rPr>
        <w:t xml:space="preserve">The objective of the SCUC is to commit Resources to meet Mid-Term Load Forecast, </w:t>
      </w:r>
      <w:r>
        <w:rPr>
          <w:szCs w:val="24"/>
        </w:rPr>
        <w:t xml:space="preserve">High Priority </w:t>
      </w:r>
      <w:r w:rsidRPr="00FC3438">
        <w:rPr>
          <w:szCs w:val="24"/>
        </w:rPr>
        <w:t>Export Interchange Transactions</w:t>
      </w:r>
      <w:r>
        <w:rPr>
          <w:szCs w:val="24"/>
        </w:rPr>
        <w:t>, Uncommitted Export Interchange Transactions</w:t>
      </w:r>
      <w:r w:rsidRPr="00FC3438">
        <w:rPr>
          <w:szCs w:val="24"/>
        </w:rPr>
        <w:t>, Instantaneous Load Capacity requirements</w:t>
      </w:r>
      <w:r w:rsidR="00C63FA6">
        <w:rPr>
          <w:szCs w:val="24"/>
        </w:rPr>
        <w:t>,</w:t>
      </w:r>
      <w:r w:rsidRPr="00FC3438">
        <w:rPr>
          <w:szCs w:val="24"/>
        </w:rPr>
        <w:t xml:space="preserve"> and Flexibility Reserve Product requirements less </w:t>
      </w:r>
      <w:r>
        <w:rPr>
          <w:szCs w:val="24"/>
        </w:rPr>
        <w:t xml:space="preserve">High Priority </w:t>
      </w:r>
      <w:r w:rsidRPr="00FC3438">
        <w:rPr>
          <w:szCs w:val="24"/>
        </w:rPr>
        <w:t>Import Interchange Transactions</w:t>
      </w:r>
      <w:r>
        <w:rPr>
          <w:szCs w:val="24"/>
        </w:rPr>
        <w:t xml:space="preserve"> and Uncommitted Import Interchange Transactions</w:t>
      </w:r>
      <w:r w:rsidRPr="00FC3438">
        <w:rPr>
          <w:szCs w:val="24"/>
        </w:rPr>
        <w:t xml:space="preserve"> over the Operating Day such that commitment costs are minimized while adhering to transmission system security constraints and the Resource operating parameter constraints submitted as part of the RTBM Offers;</w:t>
      </w:r>
    </w:p>
    <w:p w14:paraId="5F7C2B50" w14:textId="79723159" w:rsidR="00F83CA0" w:rsidRPr="00FC3438" w:rsidRDefault="00F83CA0" w:rsidP="00EE45E7">
      <w:pPr>
        <w:numPr>
          <w:ilvl w:val="0"/>
          <w:numId w:val="118"/>
        </w:numPr>
        <w:tabs>
          <w:tab w:val="num" w:pos="720"/>
        </w:tabs>
        <w:spacing w:before="120" w:line="300" w:lineRule="auto"/>
        <w:ind w:left="720" w:hanging="540"/>
        <w:rPr>
          <w:szCs w:val="24"/>
        </w:rPr>
      </w:pPr>
      <w:r w:rsidRPr="00FC3438">
        <w:rPr>
          <w:szCs w:val="24"/>
        </w:rPr>
        <w:t>Commitment costs are defined as Start-Up Offer, No-Load Offer</w:t>
      </w:r>
      <w:r w:rsidR="005A4F1B">
        <w:rPr>
          <w:szCs w:val="24"/>
        </w:rPr>
        <w:t>,</w:t>
      </w:r>
      <w:r w:rsidRPr="00FC3438">
        <w:rPr>
          <w:szCs w:val="24"/>
        </w:rPr>
        <w:t xml:space="preserve"> and incremental cost to operate at minimum output as defined in the submitted Energy Offer Curve.  Incremental Energy costs above minimum output and Mid-Term Flex Up Offers are not considered by the RUC SCUC in making commitment decisions;    </w:t>
      </w:r>
    </w:p>
    <w:p w14:paraId="399678C0" w14:textId="0D2A73A8" w:rsidR="00F83CA0" w:rsidRPr="00FC3438" w:rsidRDefault="00F83CA0" w:rsidP="00EE45E7">
      <w:pPr>
        <w:numPr>
          <w:ilvl w:val="0"/>
          <w:numId w:val="118"/>
        </w:numPr>
        <w:tabs>
          <w:tab w:val="num" w:pos="720"/>
        </w:tabs>
        <w:spacing w:before="120" w:line="300" w:lineRule="auto"/>
        <w:ind w:left="720" w:hanging="540"/>
        <w:rPr>
          <w:szCs w:val="24"/>
        </w:rPr>
      </w:pPr>
      <w:r w:rsidRPr="00FC3438">
        <w:rPr>
          <w:szCs w:val="24"/>
        </w:rPr>
        <w:t>The SCUC algorithm will consider commitment of Resources with a Commit Status of Market, Self</w:t>
      </w:r>
      <w:r w:rsidR="00E5346A">
        <w:rPr>
          <w:szCs w:val="24"/>
        </w:rPr>
        <w:t>,</w:t>
      </w:r>
      <w:r w:rsidRPr="00FC3438">
        <w:rPr>
          <w:szCs w:val="24"/>
        </w:rPr>
        <w:t xml:space="preserve"> or RMR including capacity up to the Resources’ </w:t>
      </w:r>
      <w:r w:rsidR="00BC3110">
        <w:rPr>
          <w:szCs w:val="24"/>
        </w:rPr>
        <w:t>Max ECOL</w:t>
      </w:r>
      <w:r w:rsidRPr="00FC3438">
        <w:rPr>
          <w:szCs w:val="24"/>
        </w:rPr>
        <w:t xml:space="preserve">, Maximum Discharge Limit, or Minimum Charge Limit and down to the Resources </w:t>
      </w:r>
      <w:r w:rsidR="00BC3110">
        <w:rPr>
          <w:szCs w:val="24"/>
        </w:rPr>
        <w:t>Min ECOL</w:t>
      </w:r>
      <w:r w:rsidRPr="00FC3438">
        <w:rPr>
          <w:szCs w:val="24"/>
        </w:rPr>
        <w:t>, Minimum Discharge Limit, or Maximum Charge Limit</w:t>
      </w:r>
      <w:r>
        <w:rPr>
          <w:szCs w:val="24"/>
        </w:rPr>
        <w:t>;</w:t>
      </w:r>
      <w:r w:rsidRPr="00FC3438">
        <w:rPr>
          <w:szCs w:val="24"/>
        </w:rPr>
        <w:t xml:space="preserve">  </w:t>
      </w:r>
      <w:r w:rsidRPr="00FC3438">
        <w:t xml:space="preserve">    </w:t>
      </w:r>
      <w:r w:rsidRPr="00FC3438">
        <w:rPr>
          <w:szCs w:val="24"/>
        </w:rPr>
        <w:t xml:space="preserve"> </w:t>
      </w:r>
    </w:p>
    <w:p w14:paraId="5CA32BAD" w14:textId="77777777" w:rsidR="00F83CA0" w:rsidRPr="00FC3438" w:rsidRDefault="00F83CA0" w:rsidP="00EE45E7">
      <w:pPr>
        <w:numPr>
          <w:ilvl w:val="0"/>
          <w:numId w:val="118"/>
        </w:numPr>
        <w:spacing w:before="120" w:line="300" w:lineRule="auto"/>
        <w:ind w:left="720" w:hanging="540"/>
        <w:rPr>
          <w:szCs w:val="24"/>
        </w:rPr>
      </w:pPr>
      <w:r w:rsidRPr="00FC3438">
        <w:t xml:space="preserve">If available capacity plus Uncommitted Import Interchange Transactions plus High Priority Import Interchange Transactions is not sufficient on a market-wide basis to meet the Market Operator load forecast, Uncommitted Export Interchange Transactions, High Priority Export Interchange Transactions, the upper bound of Instantaneous Load Capacity requirement, and </w:t>
      </w:r>
      <w:r w:rsidRPr="00FC3438">
        <w:rPr>
          <w:szCs w:val="24"/>
        </w:rPr>
        <w:t>fifty percent (50%)</w:t>
      </w:r>
      <w:r w:rsidRPr="00FC3438">
        <w:t xml:space="preserve"> of the Mid-Term Flex Up requirement, the Market Operator will</w:t>
      </w:r>
      <w:r w:rsidRPr="00FC3438">
        <w:rPr>
          <w:szCs w:val="24"/>
        </w:rPr>
        <w:t xml:space="preserve"> c</w:t>
      </w:r>
      <w:r w:rsidRPr="00FC3438">
        <w:t>ommunicate and coordinate with Market Participants and Participating Balancing Authorities to sequentially</w:t>
      </w:r>
      <w:r w:rsidRPr="00FC3438">
        <w:rPr>
          <w:szCs w:val="24"/>
        </w:rPr>
        <w:t>:</w:t>
      </w:r>
    </w:p>
    <w:p w14:paraId="7ACF6216" w14:textId="77777777" w:rsidR="00F83CA0" w:rsidRPr="00FC3438" w:rsidRDefault="00F83CA0" w:rsidP="00F83CA0">
      <w:pPr>
        <w:spacing w:before="120" w:line="300" w:lineRule="auto"/>
        <w:ind w:left="1350" w:hanging="630"/>
      </w:pPr>
      <w:r w:rsidRPr="00FC3438">
        <w:t>(a)</w:t>
      </w:r>
      <w:r w:rsidRPr="00FC3438">
        <w:tab/>
        <w:t>Reduce self-schedule Uncommitted Export Interchange Transactions pro-rata based on MW amounts to relieve the capacity shortage; and</w:t>
      </w:r>
    </w:p>
    <w:p w14:paraId="00F2E8D2" w14:textId="30A3B1B3" w:rsidR="00F83CA0" w:rsidRPr="00FC3438" w:rsidRDefault="00F83CA0" w:rsidP="00F83CA0">
      <w:pPr>
        <w:spacing w:before="120" w:line="300" w:lineRule="auto"/>
        <w:ind w:left="1350" w:hanging="630"/>
        <w:rPr>
          <w:szCs w:val="24"/>
        </w:rPr>
      </w:pPr>
      <w:r w:rsidRPr="00FC3438">
        <w:rPr>
          <w:szCs w:val="24"/>
        </w:rPr>
        <w:t xml:space="preserve">(b) </w:t>
      </w:r>
      <w:r w:rsidRPr="00FC3438">
        <w:tab/>
      </w:r>
      <w:r w:rsidRPr="00FC3438">
        <w:rPr>
          <w:szCs w:val="24"/>
        </w:rPr>
        <w:t>Commit additional available Resources that were</w:t>
      </w:r>
      <w:r>
        <w:rPr>
          <w:szCs w:val="24"/>
        </w:rPr>
        <w:t xml:space="preserve"> submitted with a Commitment Status of  “Not Available” </w:t>
      </w:r>
      <w:r w:rsidRPr="00FC3438">
        <w:rPr>
          <w:szCs w:val="24"/>
        </w:rPr>
        <w:t xml:space="preserve">to relieve the capacity shortage if needed.  </w:t>
      </w:r>
    </w:p>
    <w:p w14:paraId="01DA7977" w14:textId="12E4E650" w:rsidR="00F83CA0" w:rsidRPr="00FC3438" w:rsidRDefault="00F83CA0" w:rsidP="00AE125B">
      <w:pPr>
        <w:numPr>
          <w:ilvl w:val="0"/>
          <w:numId w:val="118"/>
        </w:numPr>
        <w:tabs>
          <w:tab w:val="num" w:pos="3780"/>
        </w:tabs>
        <w:spacing w:before="120" w:line="300" w:lineRule="auto"/>
        <w:ind w:left="720" w:hanging="540"/>
      </w:pPr>
      <w:r w:rsidRPr="00FC3438">
        <w:t xml:space="preserve">If there is a capacity surplus on a market-wide basis identified when the sum of (a) self-committed and </w:t>
      </w:r>
      <w:r w:rsidR="00285FA3">
        <w:t>RMR</w:t>
      </w:r>
      <w:r w:rsidRPr="00FC3438">
        <w:t xml:space="preserve"> capacity at minimum output, (b) self-schedule Uncommitted  Import Interchange Transactions, (c) self-schedule High Priority Import Interchange Transactions</w:t>
      </w:r>
      <w:r>
        <w:t>,</w:t>
      </w:r>
      <w:r w:rsidRPr="00FC3438">
        <w:t xml:space="preserve"> (d) the lower bound of Instantaneous Load Capacity requirement</w:t>
      </w:r>
      <w:bookmarkStart w:id="3629" w:name="_GoBack_18_0_0"/>
      <w:bookmarkEnd w:id="3629"/>
      <w:r w:rsidRPr="00FC3438">
        <w:t xml:space="preserve">, and (e) the Flexibility Reserve Products requirements is </w:t>
      </w:r>
      <w:r w:rsidRPr="00FC3438">
        <w:rPr>
          <w:szCs w:val="24"/>
        </w:rPr>
        <w:t>more than</w:t>
      </w:r>
      <w:r w:rsidRPr="00FC3438">
        <w:t xml:space="preserve"> the sum of the Market Operator load forecast, self-scheduled Uncommitted Export Interchange Transactions and self-scheduled High Priority Export Interchange Transactions,</w:t>
      </w:r>
      <w:r w:rsidRPr="00FC3438">
        <w:rPr>
          <w:szCs w:val="24"/>
        </w:rPr>
        <w:t xml:space="preserve"> </w:t>
      </w:r>
      <w:r w:rsidRPr="00FC3438">
        <w:t>the Market Operator will</w:t>
      </w:r>
      <w:r w:rsidRPr="00FC3438">
        <w:rPr>
          <w:szCs w:val="24"/>
        </w:rPr>
        <w:t xml:space="preserve"> c</w:t>
      </w:r>
      <w:r w:rsidRPr="00FC3438">
        <w:t>ommunicate and coordinate with the Market Participants and Participating Balancing Authorities to sequentially:</w:t>
      </w:r>
    </w:p>
    <w:p w14:paraId="35726E0C" w14:textId="77777777" w:rsidR="00F83CA0" w:rsidRPr="00FC3438" w:rsidRDefault="00F83CA0" w:rsidP="00F83CA0">
      <w:pPr>
        <w:spacing w:before="120" w:line="300" w:lineRule="auto"/>
        <w:ind w:left="1350" w:hanging="630"/>
      </w:pPr>
      <w:r w:rsidRPr="00FC3438">
        <w:t>(a)</w:t>
      </w:r>
      <w:r w:rsidRPr="00FC3438">
        <w:tab/>
        <w:t>Reduce self-scheduled Uncommitted Import Interchanges Transaction Offers pro-rata based on MW amounts; and</w:t>
      </w:r>
    </w:p>
    <w:p w14:paraId="01F4A0F5" w14:textId="77777777" w:rsidR="00F83CA0" w:rsidRPr="00FC3438" w:rsidRDefault="00F83CA0" w:rsidP="00F83CA0">
      <w:pPr>
        <w:spacing w:before="120" w:line="300" w:lineRule="auto"/>
        <w:ind w:left="1350" w:hanging="630"/>
      </w:pPr>
      <w:r w:rsidRPr="00FC3438">
        <w:t>(b)</w:t>
      </w:r>
      <w:r w:rsidRPr="00FC3438">
        <w:tab/>
        <w:t>Reduce self-scheduled High Priority Import Interchange Transactions Offers pro-rata based on MW amounts.</w:t>
      </w:r>
    </w:p>
    <w:p w14:paraId="20CF9306" w14:textId="77777777" w:rsidR="00F83CA0" w:rsidRPr="00FC3438" w:rsidRDefault="00F83CA0" w:rsidP="00F83CA0">
      <w:pPr>
        <w:spacing w:before="120" w:line="300" w:lineRule="auto"/>
        <w:rPr>
          <w:szCs w:val="24"/>
        </w:rPr>
      </w:pPr>
    </w:p>
    <w:p w14:paraId="5648139D" w14:textId="05CF765A" w:rsidR="00F83CA0" w:rsidRPr="00FC3438" w:rsidRDefault="00F83CA0" w:rsidP="00574EDE">
      <w:pPr>
        <w:pStyle w:val="Heading4"/>
      </w:pPr>
      <w:bookmarkStart w:id="3630" w:name="_Toc245633977"/>
      <w:bookmarkStart w:id="3631" w:name="_Toc245634129"/>
      <w:bookmarkStart w:id="3632" w:name="_Toc245728019"/>
      <w:bookmarkStart w:id="3633" w:name="_Toc248644143"/>
      <w:bookmarkStart w:id="3634" w:name="_Toc258924869"/>
      <w:bookmarkStart w:id="3635" w:name="_Toc263173309"/>
      <w:bookmarkStart w:id="3636" w:name="_Toc263429422"/>
      <w:bookmarkStart w:id="3637" w:name="_Toc263795460"/>
      <w:bookmarkStart w:id="3638" w:name="_Toc266869637"/>
      <w:bookmarkStart w:id="3639" w:name="_Ref307906724"/>
      <w:bookmarkStart w:id="3640" w:name="_Ref322092719"/>
      <w:bookmarkStart w:id="3641" w:name="_Toc159232265"/>
      <w:bookmarkStart w:id="3642" w:name="_Ref160008264"/>
      <w:bookmarkStart w:id="3643" w:name="_Toc213771852"/>
      <w:bookmarkStart w:id="3644" w:name="OLE_LINK106"/>
      <w:bookmarkStart w:id="3645" w:name="OLE_LINK107"/>
      <w:bookmarkStart w:id="3646" w:name="OLE_LINK192"/>
      <w:r w:rsidRPr="00FC3438">
        <w:t>Day-Ahead RUC Results</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14:paraId="262554FD" w14:textId="77777777" w:rsidR="00F83CA0" w:rsidRPr="00FC3438" w:rsidRDefault="00F83CA0" w:rsidP="00F83CA0">
      <w:pPr>
        <w:spacing w:line="300" w:lineRule="auto"/>
        <w:rPr>
          <w:szCs w:val="24"/>
        </w:rPr>
      </w:pPr>
      <w:r w:rsidRPr="00FC3438">
        <w:rPr>
          <w:szCs w:val="24"/>
        </w:rPr>
        <w:t xml:space="preserve">No later than two and a half hours following the start of the Day-Ahead RUC process, </w:t>
      </w:r>
      <w:r>
        <w:rPr>
          <w:szCs w:val="24"/>
        </w:rPr>
        <w:t>the Market Operator</w:t>
      </w:r>
      <w:r w:rsidRPr="00FC3438">
        <w:rPr>
          <w:szCs w:val="24"/>
        </w:rPr>
        <w:t xml:space="preserve"> electronically communicates the following Day-Ahead RUC results for each hour of the Operating Day to Market Participants: </w:t>
      </w:r>
    </w:p>
    <w:p w14:paraId="013A376B" w14:textId="77777777" w:rsidR="00F83CA0" w:rsidRDefault="00F83CA0" w:rsidP="00F83CA0">
      <w:pPr>
        <w:numPr>
          <w:ilvl w:val="0"/>
          <w:numId w:val="97"/>
        </w:numPr>
        <w:spacing w:before="120" w:line="300" w:lineRule="auto"/>
        <w:ind w:hanging="540"/>
        <w:rPr>
          <w:szCs w:val="24"/>
        </w:rPr>
      </w:pPr>
      <w:r w:rsidRPr="00FC3438">
        <w:rPr>
          <w:szCs w:val="24"/>
        </w:rPr>
        <w:t>New market commitments;</w:t>
      </w:r>
    </w:p>
    <w:p w14:paraId="79B6A8B4" w14:textId="07533443" w:rsidR="008320F3" w:rsidRPr="00FC3438" w:rsidRDefault="000B672E" w:rsidP="00F83CA0">
      <w:pPr>
        <w:numPr>
          <w:ilvl w:val="0"/>
          <w:numId w:val="97"/>
        </w:numPr>
        <w:spacing w:before="120" w:line="300" w:lineRule="auto"/>
        <w:ind w:hanging="540"/>
        <w:rPr>
          <w:szCs w:val="24"/>
        </w:rPr>
      </w:pPr>
      <w:r>
        <w:rPr>
          <w:szCs w:val="24"/>
        </w:rPr>
        <w:t xml:space="preserve">Resource output MWhs for </w:t>
      </w:r>
      <w:r w:rsidR="00397D57">
        <w:rPr>
          <w:szCs w:val="24"/>
        </w:rPr>
        <w:t>new market</w:t>
      </w:r>
      <w:r w:rsidR="00325A30">
        <w:rPr>
          <w:szCs w:val="24"/>
        </w:rPr>
        <w:t xml:space="preserve"> commitments</w:t>
      </w:r>
      <w:r>
        <w:rPr>
          <w:szCs w:val="24"/>
        </w:rPr>
        <w:t xml:space="preserve"> for use in must offer calculations.</w:t>
      </w:r>
    </w:p>
    <w:p w14:paraId="316CBE9E" w14:textId="77777777" w:rsidR="00F83CA0" w:rsidRPr="00FC3438" w:rsidRDefault="00F83CA0" w:rsidP="00F83CA0">
      <w:pPr>
        <w:numPr>
          <w:ilvl w:val="0"/>
          <w:numId w:val="97"/>
        </w:numPr>
        <w:spacing w:before="120" w:line="300" w:lineRule="auto"/>
        <w:ind w:hanging="540"/>
        <w:rPr>
          <w:szCs w:val="24"/>
        </w:rPr>
      </w:pPr>
      <w:r w:rsidRPr="00FC3438">
        <w:rPr>
          <w:szCs w:val="24"/>
        </w:rPr>
        <w:t>Modifications to previous market commitments;</w:t>
      </w:r>
    </w:p>
    <w:p w14:paraId="33D97676" w14:textId="0CEDACB8" w:rsidR="00F83CA0" w:rsidRDefault="00F83CA0" w:rsidP="00F83CA0">
      <w:pPr>
        <w:numPr>
          <w:ilvl w:val="0"/>
          <w:numId w:val="97"/>
        </w:numPr>
        <w:spacing w:before="120" w:line="300" w:lineRule="auto"/>
        <w:ind w:hanging="540"/>
        <w:rPr>
          <w:szCs w:val="24"/>
        </w:rPr>
      </w:pPr>
      <w:r w:rsidRPr="00FC3438">
        <w:rPr>
          <w:szCs w:val="24"/>
        </w:rPr>
        <w:t xml:space="preserve">For any future hours in which </w:t>
      </w:r>
      <w:r>
        <w:rPr>
          <w:szCs w:val="24"/>
        </w:rPr>
        <w:t>the Market Operator</w:t>
      </w:r>
      <w:r w:rsidRPr="00FC3438">
        <w:rPr>
          <w:szCs w:val="24"/>
        </w:rPr>
        <w:t xml:space="preserve"> anticipates a capacity shortage, </w:t>
      </w:r>
      <w:r>
        <w:rPr>
          <w:szCs w:val="24"/>
        </w:rPr>
        <w:t>the Market Operator</w:t>
      </w:r>
      <w:r w:rsidRPr="00FC3438">
        <w:rPr>
          <w:szCs w:val="24"/>
        </w:rPr>
        <w:t xml:space="preserve"> </w:t>
      </w:r>
      <w:r>
        <w:rPr>
          <w:szCs w:val="24"/>
        </w:rPr>
        <w:t>will</w:t>
      </w:r>
      <w:r w:rsidRPr="00FC3438">
        <w:rPr>
          <w:szCs w:val="24"/>
        </w:rPr>
        <w:t xml:space="preserve"> notify Market Participants and Participating Balancing Authorities identifying the hours in which Resources that were </w:t>
      </w:r>
      <w:r>
        <w:rPr>
          <w:szCs w:val="24"/>
        </w:rPr>
        <w:t>in “N</w:t>
      </w:r>
      <w:r w:rsidRPr="00FC3438">
        <w:rPr>
          <w:szCs w:val="24"/>
        </w:rPr>
        <w:t xml:space="preserve">ot </w:t>
      </w:r>
      <w:r>
        <w:rPr>
          <w:szCs w:val="24"/>
        </w:rPr>
        <w:t>A</w:t>
      </w:r>
      <w:r w:rsidRPr="00FC3438">
        <w:rPr>
          <w:szCs w:val="24"/>
        </w:rPr>
        <w:t>vailable</w:t>
      </w:r>
      <w:r>
        <w:rPr>
          <w:szCs w:val="24"/>
        </w:rPr>
        <w:t>” Commitment Status</w:t>
      </w:r>
      <w:r w:rsidRPr="00FC3438">
        <w:rPr>
          <w:szCs w:val="24"/>
        </w:rPr>
        <w:t xml:space="preserve"> are expected to be required </w:t>
      </w:r>
      <w:r>
        <w:rPr>
          <w:szCs w:val="24"/>
        </w:rPr>
        <w:t xml:space="preserve">and </w:t>
      </w:r>
      <w:r w:rsidRPr="00FC3438">
        <w:rPr>
          <w:szCs w:val="24"/>
        </w:rPr>
        <w:t xml:space="preserve">the hours in which self-schedule Uncommitted Export Interchange Transactions are expected to be curtailed. </w:t>
      </w:r>
      <w:r>
        <w:rPr>
          <w:szCs w:val="24"/>
        </w:rPr>
        <w:t xml:space="preserve"> </w:t>
      </w:r>
      <w:bookmarkStart w:id="3647" w:name="_Hlk172192452"/>
      <w:r>
        <w:rPr>
          <w:szCs w:val="24"/>
        </w:rPr>
        <w:t>Following this notification, Market Participants are required to confirm with the Market Operator that the Resources in “Not Available” Commitment Status selected as part of the</w:t>
      </w:r>
      <w:r w:rsidR="00966B55">
        <w:rPr>
          <w:szCs w:val="24"/>
        </w:rPr>
        <w:t xml:space="preserve"> Day-Ahead </w:t>
      </w:r>
      <w:r>
        <w:rPr>
          <w:szCs w:val="24"/>
        </w:rPr>
        <w:t>RUC execution are available to be committed.</w:t>
      </w:r>
      <w:r w:rsidRPr="00C72F21">
        <w:rPr>
          <w:szCs w:val="24"/>
        </w:rPr>
        <w:t xml:space="preserve"> </w:t>
      </w:r>
      <w:r w:rsidRPr="0053478E">
        <w:rPr>
          <w:szCs w:val="24"/>
        </w:rPr>
        <w:t xml:space="preserve">Such availability will be subject to the Market Participant’s contractual rights and obligations and any operational limitations related to the Resources in “Not Available” </w:t>
      </w:r>
      <w:r>
        <w:rPr>
          <w:szCs w:val="24"/>
        </w:rPr>
        <w:t>Commitment S</w:t>
      </w:r>
      <w:r w:rsidRPr="0053478E">
        <w:rPr>
          <w:szCs w:val="24"/>
        </w:rPr>
        <w:t xml:space="preserve">tatus as determined by the Market Participant </w:t>
      </w:r>
      <w:r w:rsidRPr="0053478E" w:rsidDel="0046151A">
        <w:rPr>
          <w:szCs w:val="24"/>
        </w:rPr>
        <w:t>and/or</w:t>
      </w:r>
      <w:r w:rsidRPr="0053478E">
        <w:rPr>
          <w:szCs w:val="24"/>
        </w:rPr>
        <w:t xml:space="preserve"> Participating Balancing Authority.  </w:t>
      </w:r>
      <w:r>
        <w:rPr>
          <w:szCs w:val="24"/>
        </w:rPr>
        <w:t>Once this verification is complete, if the Market Operator commits such Resources, they will be considered as “Market” Commitment S</w:t>
      </w:r>
      <w:r w:rsidRPr="0053478E">
        <w:rPr>
          <w:szCs w:val="24"/>
        </w:rPr>
        <w:t>tatus</w:t>
      </w:r>
      <w:r>
        <w:rPr>
          <w:szCs w:val="24"/>
        </w:rPr>
        <w:t xml:space="preserve"> for settlement purposes</w:t>
      </w:r>
      <w:bookmarkEnd w:id="3647"/>
      <w:r w:rsidR="006628F3">
        <w:rPr>
          <w:szCs w:val="24"/>
        </w:rPr>
        <w:t>;</w:t>
      </w:r>
    </w:p>
    <w:p w14:paraId="38A261A6" w14:textId="77777777" w:rsidR="00F83CA0" w:rsidRPr="00FC3438" w:rsidRDefault="00F83CA0" w:rsidP="00F83CA0">
      <w:pPr>
        <w:numPr>
          <w:ilvl w:val="0"/>
          <w:numId w:val="97"/>
        </w:numPr>
        <w:spacing w:before="120" w:line="300" w:lineRule="auto"/>
        <w:ind w:hanging="540"/>
        <w:rPr>
          <w:szCs w:val="24"/>
        </w:rPr>
      </w:pPr>
      <w:r w:rsidRPr="00FC3438">
        <w:t xml:space="preserve">For any future hours in which </w:t>
      </w:r>
      <w:r>
        <w:t xml:space="preserve">the Market Operator </w:t>
      </w:r>
      <w:r w:rsidRPr="00FC3438">
        <w:t xml:space="preserve">anticipates an excess capacity situation, </w:t>
      </w:r>
      <w:r>
        <w:rPr>
          <w:szCs w:val="24"/>
        </w:rPr>
        <w:t>the Market Operator will</w:t>
      </w:r>
      <w:r w:rsidRPr="00FC3438">
        <w:rPr>
          <w:szCs w:val="24"/>
        </w:rPr>
        <w:t xml:space="preserve"> notify Market Participants and Participating Balancing Authorities identifying the hours in which the excess capacity situation is expected to occur, hours in which self-schedule Uncommitted Import Interchange Transactions are expected to be curtailed and the hours in which self-schedule High Priority Import Interchange Transactions are expected to be curtailed.</w:t>
      </w:r>
    </w:p>
    <w:p w14:paraId="4888F828" w14:textId="30EBABDE" w:rsidR="00F83CA0" w:rsidRPr="00FC3438" w:rsidRDefault="00F83CA0" w:rsidP="00574EDE">
      <w:pPr>
        <w:pStyle w:val="Heading4"/>
      </w:pPr>
      <w:bookmarkStart w:id="3648" w:name="_Ref465252899"/>
      <w:bookmarkStart w:id="3649" w:name="_Toc159232266"/>
      <w:bookmarkStart w:id="3650" w:name="_Toc213771853"/>
      <w:r w:rsidRPr="00FC3438">
        <w:t>Updat</w:t>
      </w:r>
      <w:r>
        <w:t>ing the</w:t>
      </w:r>
      <w:r w:rsidRPr="00FC3438">
        <w:t xml:space="preserve"> Current Operating Plan</w:t>
      </w:r>
      <w:bookmarkEnd w:id="3648"/>
      <w:bookmarkEnd w:id="3649"/>
      <w:r>
        <w:t xml:space="preserve"> (COP)</w:t>
      </w:r>
      <w:bookmarkEnd w:id="3650"/>
    </w:p>
    <w:p w14:paraId="49A4E668" w14:textId="4B61E69D" w:rsidR="00F83CA0" w:rsidRPr="00FC3438" w:rsidRDefault="00F83CA0" w:rsidP="00F83CA0">
      <w:pPr>
        <w:spacing w:after="200" w:line="300" w:lineRule="auto"/>
        <w:rPr>
          <w:szCs w:val="24"/>
        </w:rPr>
      </w:pPr>
      <w:r w:rsidRPr="00FC3438">
        <w:rPr>
          <w:szCs w:val="24"/>
        </w:rPr>
        <w:t xml:space="preserve">Using the results from the Day-Ahead RUC analysis, </w:t>
      </w:r>
      <w:r>
        <w:rPr>
          <w:szCs w:val="24"/>
        </w:rPr>
        <w:t>the Market Operator</w:t>
      </w:r>
      <w:r w:rsidRPr="00FC3438">
        <w:rPr>
          <w:szCs w:val="24"/>
        </w:rPr>
        <w:t xml:space="preserve"> will update the </w:t>
      </w:r>
      <w:r>
        <w:rPr>
          <w:szCs w:val="24"/>
        </w:rPr>
        <w:t>COP</w:t>
      </w:r>
      <w:r w:rsidRPr="00FC3438">
        <w:rPr>
          <w:szCs w:val="24"/>
        </w:rPr>
        <w:t xml:space="preserve"> and will issue </w:t>
      </w:r>
      <w:r>
        <w:rPr>
          <w:szCs w:val="24"/>
        </w:rPr>
        <w:t>Market Commitment instructions</w:t>
      </w:r>
      <w:r w:rsidRPr="00FC3438">
        <w:rPr>
          <w:szCs w:val="24"/>
        </w:rPr>
        <w:t xml:space="preserve"> </w:t>
      </w:r>
      <w:r w:rsidRPr="00FC3438">
        <w:t xml:space="preserve">to Resources other than DVERs and NDVERs for which </w:t>
      </w:r>
      <w:r>
        <w:t>the Market Operator</w:t>
      </w:r>
      <w:r w:rsidRPr="00FC3438">
        <w:t xml:space="preserve"> is calculating an output forecast (these Resources are always assumed to be self-committed if available) </w:t>
      </w:r>
      <w:r w:rsidRPr="00FC3438">
        <w:rPr>
          <w:szCs w:val="24"/>
        </w:rPr>
        <w:t>as appropriate.  If a Participating Balancing Authority</w:t>
      </w:r>
      <w:r w:rsidR="00F33D94">
        <w:rPr>
          <w:szCs w:val="24"/>
        </w:rPr>
        <w:t>,</w:t>
      </w:r>
      <w:r w:rsidRPr="00FC3438">
        <w:rPr>
          <w:szCs w:val="24"/>
        </w:rPr>
        <w:t xml:space="preserve">  Reliability Coordinator</w:t>
      </w:r>
      <w:r w:rsidR="007F2A1F">
        <w:rPr>
          <w:szCs w:val="24"/>
        </w:rPr>
        <w:t>,</w:t>
      </w:r>
      <w:r w:rsidRPr="00FC3438">
        <w:rPr>
          <w:szCs w:val="24"/>
        </w:rPr>
        <w:t xml:space="preserve"> </w:t>
      </w:r>
      <w:r w:rsidR="00CD0555">
        <w:rPr>
          <w:szCs w:val="24"/>
        </w:rPr>
        <w:t xml:space="preserve">or Transmission Operator </w:t>
      </w:r>
      <w:r w:rsidRPr="00FC3438">
        <w:rPr>
          <w:szCs w:val="24"/>
        </w:rPr>
        <w:t xml:space="preserve">de-commits a Resource that was not self-committed </w:t>
      </w:r>
      <w:r w:rsidRPr="00FC3438">
        <w:t xml:space="preserve">or moves an MCR into a lower configuration </w:t>
      </w:r>
      <w:r w:rsidRPr="00FC3438">
        <w:rPr>
          <w:szCs w:val="24"/>
        </w:rPr>
        <w:t>for any hour of the D</w:t>
      </w:r>
      <w:r>
        <w:rPr>
          <w:szCs w:val="24"/>
        </w:rPr>
        <w:t>ay-Ahead</w:t>
      </w:r>
      <w:r w:rsidRPr="00FC3438">
        <w:rPr>
          <w:szCs w:val="24"/>
        </w:rPr>
        <w:t xml:space="preserve"> Market commitment schedule, and causes that Resource to buy back its Energy </w:t>
      </w:r>
      <w:r w:rsidRPr="00FC3438" w:rsidDel="0046151A">
        <w:rPr>
          <w:szCs w:val="24"/>
        </w:rPr>
        <w:t>and/or</w:t>
      </w:r>
      <w:r w:rsidRPr="00FC3438">
        <w:rPr>
          <w:szCs w:val="24"/>
        </w:rPr>
        <w:t xml:space="preserve"> Flexibility Reserve Products position at RTBM prices that exceed the D</w:t>
      </w:r>
      <w:r>
        <w:rPr>
          <w:szCs w:val="24"/>
        </w:rPr>
        <w:t>ay-Ahead</w:t>
      </w:r>
      <w:r w:rsidRPr="00FC3438">
        <w:rPr>
          <w:szCs w:val="24"/>
        </w:rPr>
        <w:t xml:space="preserve"> Market prices for the comparable products, then that Resource is eligible for compensation </w:t>
      </w:r>
      <w:r w:rsidR="00A918E1">
        <w:rPr>
          <w:szCs w:val="24"/>
        </w:rPr>
        <w:t>as described in the Markets+ Settlements Calculation Guide</w:t>
      </w:r>
      <w:r w:rsidRPr="00FC3438" w:rsidDel="00E72E7C">
        <w:fldChar w:fldCharType="begin"/>
      </w:r>
      <w:r w:rsidRPr="00FC3438" w:rsidDel="00E72E7C">
        <w:fldChar w:fldCharType="separate"/>
      </w:r>
      <w:r w:rsidRPr="00FC3438">
        <w:rPr>
          <w:szCs w:val="24"/>
        </w:rPr>
        <w:t>4.5.8.5</w:t>
      </w:r>
      <w:r w:rsidRPr="00FC3438" w:rsidDel="00E72E7C">
        <w:fldChar w:fldCharType="end"/>
      </w:r>
      <w:r w:rsidRPr="00FC3438" w:rsidDel="00E72E7C">
        <w:rPr>
          <w:szCs w:val="24"/>
        </w:rPr>
        <w:t xml:space="preserve">.  </w:t>
      </w:r>
    </w:p>
    <w:p w14:paraId="5627EF62" w14:textId="77777777" w:rsidR="00F83CA0" w:rsidRPr="00FC3438" w:rsidRDefault="00F83CA0" w:rsidP="00F83CA0">
      <w:pPr>
        <w:spacing w:after="0"/>
        <w:rPr>
          <w:b/>
          <w:bCs/>
          <w:sz w:val="30"/>
        </w:rPr>
      </w:pPr>
      <w:bookmarkStart w:id="3651" w:name="_Toc277929521"/>
      <w:bookmarkStart w:id="3652" w:name="_Toc278285671"/>
      <w:bookmarkStart w:id="3653" w:name="_Toc278978553"/>
      <w:bookmarkStart w:id="3654" w:name="_Toc279571674"/>
      <w:bookmarkStart w:id="3655" w:name="_Toc280278564"/>
      <w:bookmarkEnd w:id="3644"/>
      <w:bookmarkEnd w:id="3645"/>
      <w:bookmarkEnd w:id="3646"/>
      <w:bookmarkEnd w:id="3651"/>
      <w:bookmarkEnd w:id="3652"/>
      <w:bookmarkEnd w:id="3653"/>
      <w:bookmarkEnd w:id="3654"/>
      <w:bookmarkEnd w:id="3655"/>
      <w:r w:rsidRPr="00FC3438">
        <w:rPr>
          <w:bCs/>
        </w:rPr>
        <w:br w:type="page"/>
      </w:r>
    </w:p>
    <w:p w14:paraId="55176701" w14:textId="26E4D03B" w:rsidR="00F83CA0" w:rsidRPr="00FC3438" w:rsidRDefault="00F83CA0" w:rsidP="00C20DF9">
      <w:pPr>
        <w:pStyle w:val="Heading2"/>
      </w:pPr>
      <w:bookmarkStart w:id="3656" w:name="_Toc159232267"/>
      <w:bookmarkStart w:id="3657" w:name="_Toc213771854"/>
      <w:r w:rsidRPr="00FC3438">
        <w:t>Operating Day Activities</w:t>
      </w:r>
      <w:bookmarkEnd w:id="3656"/>
      <w:bookmarkEnd w:id="3657"/>
    </w:p>
    <w:p w14:paraId="7DD77A7C" w14:textId="279C4002" w:rsidR="00F83CA0" w:rsidRPr="00FC3438" w:rsidRDefault="00F83CA0" w:rsidP="00F83CA0">
      <w:pPr>
        <w:spacing w:line="300" w:lineRule="auto"/>
        <w:rPr>
          <w:szCs w:val="24"/>
        </w:rPr>
      </w:pPr>
      <w:r w:rsidRPr="00FC3438">
        <w:rPr>
          <w:szCs w:val="24"/>
        </w:rPr>
        <w:t xml:space="preserve">Operating Day activities begin when </w:t>
      </w:r>
      <w:r>
        <w:rPr>
          <w:szCs w:val="24"/>
        </w:rPr>
        <w:t>the Market Operator</w:t>
      </w:r>
      <w:r w:rsidRPr="00FC3438">
        <w:rPr>
          <w:szCs w:val="24"/>
        </w:rPr>
        <w:t xml:space="preserve"> posts the results of the D</w:t>
      </w:r>
      <w:r>
        <w:rPr>
          <w:szCs w:val="24"/>
        </w:rPr>
        <w:t>ay-Ahead</w:t>
      </w:r>
      <w:r w:rsidRPr="00FC3438">
        <w:rPr>
          <w:szCs w:val="24"/>
        </w:rPr>
        <w:t xml:space="preserve"> RUC as described under Section </w:t>
      </w:r>
      <w:r w:rsidRPr="00FC3438">
        <w:rPr>
          <w:szCs w:val="24"/>
        </w:rPr>
        <w:fldChar w:fldCharType="begin"/>
      </w:r>
      <w:r w:rsidRPr="00FC3438">
        <w:rPr>
          <w:szCs w:val="24"/>
        </w:rPr>
        <w:instrText xml:space="preserve"> REF _Ref160008264 \r \h </w:instrText>
      </w:r>
      <w:r w:rsidRPr="00FC3438">
        <w:rPr>
          <w:szCs w:val="24"/>
        </w:rPr>
      </w:r>
      <w:r w:rsidRPr="00FC3438">
        <w:rPr>
          <w:szCs w:val="24"/>
        </w:rPr>
        <w:fldChar w:fldCharType="separate"/>
      </w:r>
      <w:r w:rsidRPr="00FC3438">
        <w:rPr>
          <w:szCs w:val="24"/>
        </w:rPr>
        <w:t>4.3.2.3</w:t>
      </w:r>
      <w:r w:rsidRPr="00FC3438">
        <w:rPr>
          <w:szCs w:val="24"/>
        </w:rPr>
        <w:fldChar w:fldCharType="end"/>
      </w:r>
      <w:r w:rsidRPr="00FC3438">
        <w:rPr>
          <w:szCs w:val="24"/>
        </w:rPr>
        <w:t xml:space="preserve"> and consist of the Intra-Day RUC processes and RTBM.  Exhibit 4-1</w:t>
      </w:r>
      <w:r w:rsidR="00A013FA">
        <w:rPr>
          <w:szCs w:val="24"/>
        </w:rPr>
        <w:t>4</w:t>
      </w:r>
      <w:r w:rsidRPr="00FC3438">
        <w:rPr>
          <w:szCs w:val="24"/>
        </w:rPr>
        <w:t xml:space="preserve"> provides a representative overall timeline of Operating Day activities.</w:t>
      </w:r>
      <w:bookmarkStart w:id="3658" w:name="_Toc247468359"/>
    </w:p>
    <w:p w14:paraId="4E82E12E" w14:textId="30504D78" w:rsidR="00F83CA0" w:rsidRPr="00FC3438" w:rsidRDefault="00F83CA0" w:rsidP="00F83CA0">
      <w:pPr>
        <w:spacing w:after="0"/>
        <w:jc w:val="center"/>
        <w:rPr>
          <w:b/>
          <w:szCs w:val="24"/>
        </w:rPr>
      </w:pPr>
      <w:r w:rsidRPr="00FC3438">
        <w:rPr>
          <w:b/>
          <w:szCs w:val="24"/>
        </w:rPr>
        <w:t xml:space="preserve">Exhibit </w:t>
      </w:r>
      <w:r w:rsidRPr="00FC3438">
        <w:rPr>
          <w:b/>
          <w:szCs w:val="24"/>
        </w:rPr>
        <w:fldChar w:fldCharType="begin"/>
      </w:r>
      <w:r w:rsidRPr="00FC3438">
        <w:rPr>
          <w:b/>
          <w:szCs w:val="24"/>
        </w:rPr>
        <w:instrText xml:space="preserve"> STYLEREF 1 \s </w:instrText>
      </w:r>
      <w:r w:rsidRPr="00FC3438">
        <w:rPr>
          <w:b/>
          <w:szCs w:val="24"/>
        </w:rPr>
        <w:fldChar w:fldCharType="separate"/>
      </w:r>
      <w:r w:rsidRPr="00FC3438">
        <w:rPr>
          <w:b/>
          <w:noProof/>
          <w:szCs w:val="24"/>
        </w:rPr>
        <w:t>4</w:t>
      </w:r>
      <w:r w:rsidRPr="00FC3438">
        <w:rPr>
          <w:b/>
          <w:szCs w:val="24"/>
        </w:rPr>
        <w:fldChar w:fldCharType="end"/>
      </w:r>
      <w:r w:rsidRPr="00FC3438">
        <w:rPr>
          <w:b/>
          <w:szCs w:val="24"/>
        </w:rPr>
        <w:noBreakHyphen/>
      </w:r>
      <w:r w:rsidR="00A013FA">
        <w:rPr>
          <w:b/>
          <w:szCs w:val="24"/>
        </w:rPr>
        <w:t>4</w:t>
      </w:r>
      <w:r w:rsidRPr="00FC3438">
        <w:rPr>
          <w:b/>
          <w:szCs w:val="24"/>
        </w:rPr>
        <w:t>: Operating Day Activities Timeline</w:t>
      </w:r>
    </w:p>
    <w:p w14:paraId="0E057E8D" w14:textId="77777777" w:rsidR="00F83CA0" w:rsidRPr="00FC3438" w:rsidRDefault="00F83CA0" w:rsidP="00F83CA0">
      <w:pPr>
        <w:spacing w:after="0"/>
        <w:jc w:val="center"/>
        <w:rPr>
          <w:b/>
          <w:szCs w:val="24"/>
        </w:rPr>
      </w:pPr>
    </w:p>
    <w:bookmarkEnd w:id="3658"/>
    <w:p w14:paraId="03D49CBA" w14:textId="77777777" w:rsidR="00F83CA0" w:rsidRPr="00FC3438" w:rsidRDefault="00F83CA0" w:rsidP="00F83CA0">
      <w:pPr>
        <w:spacing w:line="300" w:lineRule="auto"/>
      </w:pPr>
      <w:r w:rsidRPr="00FC3438">
        <w:rPr>
          <w:noProof/>
        </w:rPr>
        <w:drawing>
          <wp:inline distT="0" distB="0" distL="0" distR="0" wp14:anchorId="62DA5F34" wp14:editId="6E833F41">
            <wp:extent cx="5943600" cy="4327525"/>
            <wp:effectExtent l="0" t="0" r="0" b="0"/>
            <wp:docPr id="425478872"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8872" name="Picture 1" descr="Timeline&#10;&#10;Description automatically generated"/>
                    <pic:cNvPicPr/>
                  </pic:nvPicPr>
                  <pic:blipFill>
                    <a:blip r:embed="rId53"/>
                    <a:stretch>
                      <a:fillRect/>
                    </a:stretch>
                  </pic:blipFill>
                  <pic:spPr>
                    <a:xfrm>
                      <a:off x="0" y="0"/>
                      <a:ext cx="5943600" cy="4327525"/>
                    </a:xfrm>
                    <a:prstGeom prst="rect">
                      <a:avLst/>
                    </a:prstGeom>
                  </pic:spPr>
                </pic:pic>
              </a:graphicData>
            </a:graphic>
          </wp:inline>
        </w:drawing>
      </w:r>
      <w:r w:rsidRPr="00FC3438" w:rsidDel="00BC682B">
        <w:t xml:space="preserve"> </w:t>
      </w:r>
    </w:p>
    <w:p w14:paraId="0E8D3336" w14:textId="77777777" w:rsidR="00F83CA0" w:rsidRPr="00FC3438" w:rsidRDefault="00F83CA0" w:rsidP="00F83CA0">
      <w:pPr>
        <w:spacing w:line="300" w:lineRule="auto"/>
        <w:rPr>
          <w:szCs w:val="24"/>
        </w:rPr>
      </w:pPr>
      <w:r w:rsidRPr="00FC3438">
        <w:rPr>
          <w:szCs w:val="24"/>
        </w:rPr>
        <w:t xml:space="preserve">A detailed description of the Intra-Day RUC and RTBM processes is provided in the following subsections. </w:t>
      </w:r>
    </w:p>
    <w:p w14:paraId="28A72E4E" w14:textId="77777777" w:rsidR="000B590B" w:rsidRPr="000B590B" w:rsidRDefault="000B590B" w:rsidP="000B590B">
      <w:pPr>
        <w:pStyle w:val="ListParagraph"/>
        <w:keepNext/>
        <w:keepLines/>
        <w:numPr>
          <w:ilvl w:val="0"/>
          <w:numId w:val="1"/>
        </w:numPr>
        <w:spacing w:before="160" w:after="80"/>
        <w:contextualSpacing w:val="0"/>
        <w:outlineLvl w:val="2"/>
        <w:rPr>
          <w:b/>
          <w:bCs/>
          <w:vanish/>
          <w:sz w:val="26"/>
        </w:rPr>
      </w:pPr>
      <w:bookmarkStart w:id="3659" w:name="_Toc234814891"/>
      <w:bookmarkStart w:id="3660" w:name="_Toc237163847"/>
      <w:bookmarkStart w:id="3661" w:name="_Toc243211984"/>
      <w:bookmarkStart w:id="3662" w:name="_Toc245633979"/>
      <w:bookmarkStart w:id="3663" w:name="_Toc245634131"/>
      <w:bookmarkStart w:id="3664" w:name="_Toc245728021"/>
      <w:bookmarkStart w:id="3665" w:name="_Toc248644145"/>
      <w:bookmarkStart w:id="3666" w:name="_Toc258924871"/>
      <w:bookmarkStart w:id="3667" w:name="_Toc263173310"/>
      <w:bookmarkStart w:id="3668" w:name="_Toc263173618"/>
      <w:bookmarkStart w:id="3669" w:name="_Toc263173804"/>
      <w:bookmarkStart w:id="3670" w:name="_Toc263174184"/>
      <w:bookmarkStart w:id="3671" w:name="_Toc263235083"/>
      <w:bookmarkStart w:id="3672" w:name="_Toc263235726"/>
      <w:bookmarkStart w:id="3673" w:name="_Toc263429424"/>
      <w:bookmarkStart w:id="3674" w:name="_Toc263795462"/>
      <w:bookmarkStart w:id="3675" w:name="_Toc266869639"/>
      <w:bookmarkStart w:id="3676" w:name="_Ref524006944"/>
      <w:bookmarkStart w:id="3677" w:name="_Ref121900885"/>
      <w:bookmarkStart w:id="3678" w:name="_Toc159232268"/>
      <w:bookmarkStart w:id="3679" w:name="_Toc208563061"/>
    </w:p>
    <w:p w14:paraId="3D93DF7C" w14:textId="77777777" w:rsidR="000B590B" w:rsidRPr="000B590B" w:rsidRDefault="000B590B" w:rsidP="000B590B">
      <w:pPr>
        <w:pStyle w:val="ListParagraph"/>
        <w:keepNext/>
        <w:keepLines/>
        <w:numPr>
          <w:ilvl w:val="0"/>
          <w:numId w:val="1"/>
        </w:numPr>
        <w:spacing w:before="160" w:after="80"/>
        <w:contextualSpacing w:val="0"/>
        <w:outlineLvl w:val="2"/>
        <w:rPr>
          <w:b/>
          <w:bCs/>
          <w:vanish/>
          <w:sz w:val="26"/>
        </w:rPr>
      </w:pPr>
    </w:p>
    <w:p w14:paraId="0249AA11" w14:textId="77777777" w:rsidR="000B590B" w:rsidRPr="000B590B" w:rsidRDefault="000B590B" w:rsidP="000B590B">
      <w:pPr>
        <w:pStyle w:val="ListParagraph"/>
        <w:keepNext/>
        <w:keepLines/>
        <w:numPr>
          <w:ilvl w:val="0"/>
          <w:numId w:val="1"/>
        </w:numPr>
        <w:spacing w:before="160" w:after="80"/>
        <w:contextualSpacing w:val="0"/>
        <w:outlineLvl w:val="2"/>
        <w:rPr>
          <w:b/>
          <w:bCs/>
          <w:vanish/>
          <w:sz w:val="26"/>
        </w:rPr>
      </w:pPr>
    </w:p>
    <w:p w14:paraId="393F5FE0" w14:textId="77777777" w:rsidR="000B590B" w:rsidRPr="000B590B" w:rsidRDefault="000B590B" w:rsidP="000B590B">
      <w:pPr>
        <w:pStyle w:val="ListParagraph"/>
        <w:keepNext/>
        <w:keepLines/>
        <w:numPr>
          <w:ilvl w:val="0"/>
          <w:numId w:val="1"/>
        </w:numPr>
        <w:spacing w:before="160" w:after="80"/>
        <w:contextualSpacing w:val="0"/>
        <w:outlineLvl w:val="2"/>
        <w:rPr>
          <w:b/>
          <w:bCs/>
          <w:vanish/>
          <w:sz w:val="26"/>
        </w:rPr>
      </w:pPr>
    </w:p>
    <w:p w14:paraId="7A5135D1" w14:textId="77777777" w:rsidR="000B590B" w:rsidRPr="000B590B" w:rsidRDefault="000B590B" w:rsidP="000B590B">
      <w:pPr>
        <w:pStyle w:val="ListParagraph"/>
        <w:keepNext/>
        <w:keepLines/>
        <w:numPr>
          <w:ilvl w:val="1"/>
          <w:numId w:val="1"/>
        </w:numPr>
        <w:spacing w:before="160" w:after="80"/>
        <w:contextualSpacing w:val="0"/>
        <w:outlineLvl w:val="2"/>
        <w:rPr>
          <w:b/>
          <w:bCs/>
          <w:vanish/>
          <w:sz w:val="26"/>
        </w:rPr>
      </w:pPr>
    </w:p>
    <w:p w14:paraId="06316422" w14:textId="4F4DE4D9" w:rsidR="00EE4578" w:rsidRPr="007A133D" w:rsidRDefault="00EE4578" w:rsidP="00E679DC">
      <w:pPr>
        <w:pStyle w:val="Heading3"/>
      </w:pPr>
      <w:r w:rsidRPr="007F4FA3">
        <w:t>Intra-Day Reliability Unit Commitment</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r w:rsidRPr="007F4FA3">
        <w:t>, Short-Term Intra-Day RUC and Pre-RTBM SCED</w:t>
      </w:r>
    </w:p>
    <w:p w14:paraId="06B3DEEC" w14:textId="77777777" w:rsidR="00F83CA0" w:rsidRPr="008D48FC" w:rsidRDefault="00F83CA0" w:rsidP="00E679DC">
      <w:pPr>
        <w:spacing w:before="120" w:line="300" w:lineRule="auto"/>
        <w:rPr>
          <w:szCs w:val="24"/>
        </w:rPr>
      </w:pPr>
      <w:r w:rsidRPr="008D48FC">
        <w:rPr>
          <w:szCs w:val="24"/>
        </w:rPr>
        <w:t xml:space="preserve">The Market Operator performs Intra-Day RUCs at least every four (4) hours.  In the event a failure of the Intra-Day RUC systems results in the loss of the ability to perform an Intra-Day RUC at least every four (4) hours, at least every four (4) hours the Market Operator will assess capacity adequacy during the Operating Day and commit Resources as needed.  Additionally, the Market Operator continually evaluates the need for an Intra-Day RUC for the current Operating Day and the approved Day-Ahead period.  Although the minimum Intra-Day RUC obligation is every four (4) hours, the Market Operator also solves Intra-Day RUC up to fifteen (15) minutes before real-time.  Consistent with the Day-Ahead RUC, these additional Intra-Day RUCs </w:t>
      </w:r>
      <w:r w:rsidRPr="00FC3438">
        <w:t>assess capacity adequacy during the Operating Day</w:t>
      </w:r>
      <w:r w:rsidRPr="008D48FC">
        <w:rPr>
          <w:szCs w:val="24"/>
        </w:rPr>
        <w:t xml:space="preserve">.  </w:t>
      </w:r>
    </w:p>
    <w:p w14:paraId="3D7BADB2" w14:textId="77777777" w:rsidR="00F83CA0" w:rsidRPr="00FC3438" w:rsidRDefault="00F83CA0" w:rsidP="00F83CA0">
      <w:pPr>
        <w:spacing w:line="300" w:lineRule="auto"/>
        <w:rPr>
          <w:szCs w:val="24"/>
        </w:rPr>
      </w:pPr>
      <w:r w:rsidRPr="00FC3438">
        <w:rPr>
          <w:szCs w:val="24"/>
        </w:rPr>
        <w:t xml:space="preserve">The Intra-Day RUC consists of four </w:t>
      </w:r>
      <w:r>
        <w:rPr>
          <w:szCs w:val="24"/>
        </w:rPr>
        <w:t>(4)</w:t>
      </w:r>
      <w:r w:rsidRPr="00FC3438">
        <w:rPr>
          <w:szCs w:val="24"/>
        </w:rPr>
        <w:t xml:space="preserve"> steps: (1) process RUC inputs; (2) execute RUC algorithm; (3) evaluate and communicate RUC results; and (4) update </w:t>
      </w:r>
      <w:r>
        <w:rPr>
          <w:szCs w:val="24"/>
        </w:rPr>
        <w:t>the</w:t>
      </w:r>
      <w:r w:rsidRPr="00FC3438">
        <w:rPr>
          <w:szCs w:val="24"/>
        </w:rPr>
        <w:t xml:space="preserve"> </w:t>
      </w:r>
      <w:r>
        <w:rPr>
          <w:szCs w:val="24"/>
        </w:rPr>
        <w:t>COP</w:t>
      </w:r>
      <w:r w:rsidRPr="00FC3438">
        <w:rPr>
          <w:szCs w:val="24"/>
        </w:rPr>
        <w:t xml:space="preserve"> as needed.</w:t>
      </w:r>
    </w:p>
    <w:p w14:paraId="4CC354B7" w14:textId="77777777" w:rsidR="00F83CA0" w:rsidRPr="00FC3438" w:rsidRDefault="00F83CA0" w:rsidP="00F83CA0">
      <w:pPr>
        <w:spacing w:line="300" w:lineRule="auto"/>
        <w:rPr>
          <w:szCs w:val="24"/>
        </w:rPr>
      </w:pPr>
      <w:r w:rsidRPr="00FC3438">
        <w:rPr>
          <w:szCs w:val="24"/>
        </w:rPr>
        <w:t>As soon as practicable following completion of an Intra-Day RUC study,</w:t>
      </w:r>
      <w:r>
        <w:rPr>
          <w:szCs w:val="24"/>
        </w:rPr>
        <w:t xml:space="preserve"> the Market Operator</w:t>
      </w:r>
      <w:r w:rsidRPr="00FC3438">
        <w:rPr>
          <w:szCs w:val="24"/>
        </w:rPr>
        <w:t xml:space="preserve"> will communicate the results described under Section </w:t>
      </w:r>
      <w:r w:rsidRPr="00FC3438">
        <w:rPr>
          <w:szCs w:val="24"/>
        </w:rPr>
        <w:fldChar w:fldCharType="begin"/>
      </w:r>
      <w:r w:rsidRPr="00FC3438">
        <w:rPr>
          <w:szCs w:val="24"/>
        </w:rPr>
        <w:instrText xml:space="preserve"> REF _Ref307907222 \r \h </w:instrText>
      </w:r>
      <w:r w:rsidRPr="00FC3438">
        <w:rPr>
          <w:szCs w:val="24"/>
        </w:rPr>
      </w:r>
      <w:r w:rsidRPr="00FC3438">
        <w:rPr>
          <w:szCs w:val="24"/>
        </w:rPr>
        <w:fldChar w:fldCharType="separate"/>
      </w:r>
      <w:r w:rsidRPr="00FC3438">
        <w:rPr>
          <w:szCs w:val="24"/>
        </w:rPr>
        <w:t>4.4.1.3</w:t>
      </w:r>
      <w:r w:rsidRPr="00FC3438">
        <w:rPr>
          <w:szCs w:val="24"/>
        </w:rPr>
        <w:fldChar w:fldCharType="end"/>
      </w:r>
      <w:r w:rsidRPr="00FC3438">
        <w:rPr>
          <w:szCs w:val="24"/>
        </w:rPr>
        <w:t xml:space="preserve">.  </w:t>
      </w:r>
      <w:r w:rsidR="00EE4578">
        <w:rPr>
          <w:szCs w:val="24"/>
        </w:rPr>
        <w:t>The Market Operator</w:t>
      </w:r>
      <w:r w:rsidR="00EE4578" w:rsidRPr="00FC3438">
        <w:rPr>
          <w:szCs w:val="24"/>
        </w:rPr>
        <w:t xml:space="preserve"> then updates the </w:t>
      </w:r>
      <w:r w:rsidR="00EE4578">
        <w:rPr>
          <w:szCs w:val="24"/>
        </w:rPr>
        <w:t>COP</w:t>
      </w:r>
      <w:r w:rsidR="00EE4578" w:rsidRPr="00FC3438">
        <w:rPr>
          <w:szCs w:val="24"/>
        </w:rPr>
        <w:t xml:space="preserve">, if needed, and start-up </w:t>
      </w:r>
      <w:r w:rsidR="00EE4578">
        <w:rPr>
          <w:szCs w:val="24"/>
        </w:rPr>
        <w:t>and</w:t>
      </w:r>
      <w:r w:rsidRPr="00FC3438">
        <w:rPr>
          <w:szCs w:val="24"/>
        </w:rPr>
        <w:t xml:space="preserve"> shutdown orders </w:t>
      </w:r>
      <w:r w:rsidRPr="00FC3438">
        <w:t xml:space="preserve">to Resources other than DVERs and NDVERs for which </w:t>
      </w:r>
      <w:r>
        <w:t>the Market Operator</w:t>
      </w:r>
      <w:r w:rsidRPr="00FC3438">
        <w:t xml:space="preserve"> is calculating an output forecast (these Resources are always assumed to be self-committed if available) </w:t>
      </w:r>
      <w:r w:rsidRPr="00FC3438">
        <w:rPr>
          <w:szCs w:val="24"/>
        </w:rPr>
        <w:t>are issued simultaneously which may be any time after completion of an Intra-Day RUC study.</w:t>
      </w:r>
    </w:p>
    <w:p w14:paraId="354837E3" w14:textId="19D0AD91" w:rsidR="00F83CA0" w:rsidRPr="00FC3438" w:rsidRDefault="00F83CA0" w:rsidP="00574EDE">
      <w:pPr>
        <w:pStyle w:val="Heading4"/>
      </w:pPr>
      <w:bookmarkStart w:id="3680" w:name="_Toc245633980"/>
      <w:bookmarkStart w:id="3681" w:name="_Toc245634132"/>
      <w:bookmarkStart w:id="3682" w:name="_Toc245728022"/>
      <w:bookmarkStart w:id="3683" w:name="_Toc248644146"/>
      <w:bookmarkStart w:id="3684" w:name="_Toc258924872"/>
      <w:bookmarkStart w:id="3685" w:name="_Toc263173311"/>
      <w:bookmarkStart w:id="3686" w:name="_Toc263429425"/>
      <w:bookmarkStart w:id="3687" w:name="_Toc263795463"/>
      <w:bookmarkStart w:id="3688" w:name="_Toc266869640"/>
      <w:bookmarkStart w:id="3689" w:name="_Toc159232269"/>
      <w:bookmarkStart w:id="3690" w:name="_Toc213771856"/>
      <w:bookmarkStart w:id="3691" w:name="_Toc234814892"/>
      <w:bookmarkStart w:id="3692" w:name="_Toc237163848"/>
      <w:bookmarkStart w:id="3693" w:name="_Toc243211985"/>
      <w:r w:rsidRPr="00FC3438">
        <w:t>Intra-Day RUC Inputs</w:t>
      </w:r>
      <w:bookmarkEnd w:id="3680"/>
      <w:bookmarkEnd w:id="3681"/>
      <w:bookmarkEnd w:id="3682"/>
      <w:bookmarkEnd w:id="3683"/>
      <w:bookmarkEnd w:id="3684"/>
      <w:bookmarkEnd w:id="3685"/>
      <w:bookmarkEnd w:id="3686"/>
      <w:bookmarkEnd w:id="3687"/>
      <w:bookmarkEnd w:id="3688"/>
      <w:bookmarkEnd w:id="3689"/>
      <w:bookmarkEnd w:id="3690"/>
    </w:p>
    <w:p w14:paraId="2E94BD6F" w14:textId="77777777" w:rsidR="00F83CA0" w:rsidRPr="00FC3438" w:rsidRDefault="00F83CA0" w:rsidP="00F83CA0">
      <w:pPr>
        <w:spacing w:before="120" w:line="300" w:lineRule="auto"/>
        <w:rPr>
          <w:szCs w:val="24"/>
        </w:rPr>
      </w:pPr>
      <w:r w:rsidRPr="00FC3438">
        <w:rPr>
          <w:szCs w:val="24"/>
        </w:rPr>
        <w:t>Inputs to the RUC algorithm consist of:</w:t>
      </w:r>
    </w:p>
    <w:p w14:paraId="1B34071F" w14:textId="77777777" w:rsidR="00F83CA0" w:rsidRPr="00FC3438" w:rsidRDefault="00F83CA0" w:rsidP="00EE45E7">
      <w:pPr>
        <w:numPr>
          <w:ilvl w:val="0"/>
          <w:numId w:val="98"/>
        </w:numPr>
        <w:spacing w:before="120" w:line="300" w:lineRule="auto"/>
        <w:ind w:hanging="540"/>
        <w:rPr>
          <w:szCs w:val="24"/>
        </w:rPr>
      </w:pPr>
      <w:r w:rsidRPr="00FC3438">
        <w:rPr>
          <w:szCs w:val="24"/>
        </w:rPr>
        <w:t>RTBM Resource Offers;</w:t>
      </w:r>
    </w:p>
    <w:p w14:paraId="3601E1CA" w14:textId="77777777" w:rsidR="00F83CA0" w:rsidRPr="00FC3438" w:rsidRDefault="00F83CA0" w:rsidP="00EE45E7">
      <w:pPr>
        <w:numPr>
          <w:ilvl w:val="0"/>
          <w:numId w:val="98"/>
        </w:numPr>
        <w:spacing w:before="120" w:line="300" w:lineRule="auto"/>
        <w:ind w:hanging="540"/>
        <w:rPr>
          <w:szCs w:val="24"/>
        </w:rPr>
      </w:pPr>
      <w:r>
        <w:rPr>
          <w:szCs w:val="24"/>
        </w:rPr>
        <w:t>Approved</w:t>
      </w:r>
      <w:r w:rsidRPr="00FC3438">
        <w:rPr>
          <w:szCs w:val="24"/>
        </w:rPr>
        <w:t xml:space="preserve"> Export Interchange Transactions;</w:t>
      </w:r>
    </w:p>
    <w:p w14:paraId="013FDEB3" w14:textId="77777777" w:rsidR="00F83CA0" w:rsidRPr="00FC3438" w:rsidRDefault="00F83CA0" w:rsidP="00EE45E7">
      <w:pPr>
        <w:numPr>
          <w:ilvl w:val="0"/>
          <w:numId w:val="98"/>
        </w:numPr>
        <w:spacing w:before="120" w:line="300" w:lineRule="auto"/>
        <w:ind w:hanging="540"/>
        <w:rPr>
          <w:szCs w:val="24"/>
        </w:rPr>
      </w:pPr>
      <w:r>
        <w:rPr>
          <w:szCs w:val="24"/>
        </w:rPr>
        <w:t>Approved</w:t>
      </w:r>
      <w:r w:rsidRPr="00FC3438">
        <w:rPr>
          <w:szCs w:val="24"/>
        </w:rPr>
        <w:t xml:space="preserve"> Import Interchange Transactions;</w:t>
      </w:r>
    </w:p>
    <w:p w14:paraId="0A4F241D" w14:textId="77777777" w:rsidR="00F83CA0" w:rsidRPr="00FC3438" w:rsidRDefault="00F83CA0" w:rsidP="00EE45E7">
      <w:pPr>
        <w:numPr>
          <w:ilvl w:val="0"/>
          <w:numId w:val="98"/>
        </w:numPr>
        <w:spacing w:before="120" w:line="300" w:lineRule="auto"/>
        <w:ind w:hanging="540"/>
        <w:rPr>
          <w:szCs w:val="24"/>
        </w:rPr>
      </w:pPr>
      <w:r>
        <w:rPr>
          <w:szCs w:val="24"/>
        </w:rPr>
        <w:t>Approved</w:t>
      </w:r>
      <w:r w:rsidRPr="00FC3438">
        <w:rPr>
          <w:szCs w:val="24"/>
        </w:rPr>
        <w:t xml:space="preserve"> Through Interchange Transactions;</w:t>
      </w:r>
    </w:p>
    <w:p w14:paraId="19293106" w14:textId="77777777" w:rsidR="00F83CA0" w:rsidRPr="00FC3438" w:rsidRDefault="00F83CA0" w:rsidP="00EE45E7">
      <w:pPr>
        <w:numPr>
          <w:ilvl w:val="0"/>
          <w:numId w:val="98"/>
        </w:numPr>
        <w:spacing w:before="120" w:line="300" w:lineRule="auto"/>
        <w:ind w:hanging="540"/>
        <w:rPr>
          <w:szCs w:val="24"/>
        </w:rPr>
      </w:pPr>
      <w:r w:rsidRPr="00FC3438">
        <w:rPr>
          <w:szCs w:val="24"/>
        </w:rPr>
        <w:t>Flexibility Reserve Product</w:t>
      </w:r>
      <w:r>
        <w:rPr>
          <w:szCs w:val="24"/>
        </w:rPr>
        <w:t>s</w:t>
      </w:r>
      <w:r w:rsidRPr="00FC3438">
        <w:rPr>
          <w:szCs w:val="24"/>
        </w:rPr>
        <w:t xml:space="preserve"> requirements (</w:t>
      </w:r>
      <w:r>
        <w:rPr>
          <w:szCs w:val="24"/>
        </w:rPr>
        <w:t>market</w:t>
      </w:r>
      <w:r w:rsidRPr="00FC3438">
        <w:rPr>
          <w:szCs w:val="24"/>
        </w:rPr>
        <w:t>-wide and Reserve Zone min and max);</w:t>
      </w:r>
    </w:p>
    <w:p w14:paraId="5C4A72E8" w14:textId="7AB86F53" w:rsidR="00F83CA0" w:rsidRPr="00FC3438" w:rsidRDefault="00F83CA0" w:rsidP="00EE45E7">
      <w:pPr>
        <w:numPr>
          <w:ilvl w:val="0"/>
          <w:numId w:val="98"/>
        </w:numPr>
        <w:spacing w:before="120" w:line="300" w:lineRule="auto"/>
        <w:ind w:hanging="540"/>
        <w:rPr>
          <w:szCs w:val="24"/>
        </w:rPr>
      </w:pPr>
      <w:r>
        <w:rPr>
          <w:szCs w:val="24"/>
        </w:rPr>
        <w:t>Market Operator l</w:t>
      </w:r>
      <w:r w:rsidRPr="00FC3438">
        <w:rPr>
          <w:szCs w:val="24"/>
        </w:rPr>
        <w:t xml:space="preserve">oad </w:t>
      </w:r>
      <w:r>
        <w:rPr>
          <w:szCs w:val="24"/>
        </w:rPr>
        <w:t>f</w:t>
      </w:r>
      <w:r w:rsidRPr="00FC3438">
        <w:rPr>
          <w:szCs w:val="24"/>
        </w:rPr>
        <w:t>orecast as described under Section</w:t>
      </w:r>
      <w:r w:rsidR="007F617F">
        <w:rPr>
          <w:szCs w:val="24"/>
        </w:rPr>
        <w:t xml:space="preserve"> </w:t>
      </w:r>
      <w:r w:rsidR="007F617F">
        <w:rPr>
          <w:szCs w:val="24"/>
        </w:rPr>
        <w:fldChar w:fldCharType="begin"/>
      </w:r>
      <w:r w:rsidR="007F617F">
        <w:rPr>
          <w:szCs w:val="24"/>
        </w:rPr>
        <w:instrText xml:space="preserve"> REF _Ref212550894 \r \h </w:instrText>
      </w:r>
      <w:r w:rsidR="007F617F">
        <w:rPr>
          <w:szCs w:val="24"/>
        </w:rPr>
      </w:r>
      <w:r w:rsidR="007F617F">
        <w:rPr>
          <w:szCs w:val="24"/>
        </w:rPr>
        <w:fldChar w:fldCharType="separate"/>
      </w:r>
      <w:r w:rsidR="007F617F">
        <w:rPr>
          <w:szCs w:val="24"/>
        </w:rPr>
        <w:t>4.1.2.1</w:t>
      </w:r>
      <w:r w:rsidR="007F617F">
        <w:rPr>
          <w:szCs w:val="24"/>
        </w:rPr>
        <w:fldChar w:fldCharType="end"/>
      </w:r>
      <w:r w:rsidRPr="00FC3438">
        <w:rPr>
          <w:szCs w:val="24"/>
        </w:rPr>
        <w:t xml:space="preserve"> </w:t>
      </w:r>
      <w:r w:rsidRPr="00FC3438">
        <w:rPr>
          <w:szCs w:val="24"/>
        </w:rPr>
        <w:fldChar w:fldCharType="begin"/>
      </w:r>
      <w:r w:rsidRPr="00FC3438">
        <w:rPr>
          <w:szCs w:val="24"/>
        </w:rPr>
        <w:instrText xml:space="preserve"> REF _Ref270489744 \r \h </w:instrText>
      </w:r>
      <w:r w:rsidRPr="00FC3438">
        <w:rPr>
          <w:szCs w:val="24"/>
        </w:rPr>
      </w:r>
      <w:r w:rsidRPr="00FC3438">
        <w:rPr>
          <w:szCs w:val="24"/>
        </w:rPr>
        <w:fldChar w:fldCharType="separate"/>
      </w:r>
      <w:r w:rsidRPr="00FC3438">
        <w:rPr>
          <w:szCs w:val="24"/>
        </w:rPr>
        <w:fldChar w:fldCharType="end"/>
      </w:r>
      <w:r w:rsidRPr="00FC3438">
        <w:rPr>
          <w:szCs w:val="24"/>
        </w:rPr>
        <w:t>;</w:t>
      </w:r>
    </w:p>
    <w:p w14:paraId="2F27078F" w14:textId="77777777" w:rsidR="00F83CA0" w:rsidRPr="00FC3438" w:rsidRDefault="00F83CA0" w:rsidP="00EE45E7">
      <w:pPr>
        <w:numPr>
          <w:ilvl w:val="0"/>
          <w:numId w:val="98"/>
        </w:numPr>
        <w:tabs>
          <w:tab w:val="clear" w:pos="720"/>
        </w:tabs>
        <w:spacing w:before="120" w:line="300" w:lineRule="auto"/>
        <w:ind w:hanging="540"/>
        <w:rPr>
          <w:szCs w:val="24"/>
        </w:rPr>
      </w:pPr>
      <w:r w:rsidRPr="00FC3438">
        <w:rPr>
          <w:szCs w:val="24"/>
        </w:rPr>
        <w:t>Instantaneous Load Capacity requirements;</w:t>
      </w:r>
    </w:p>
    <w:p w14:paraId="0759CFDF" w14:textId="77777777" w:rsidR="00F83CA0" w:rsidRPr="00FC3438" w:rsidRDefault="00F83CA0" w:rsidP="00EE45E7">
      <w:pPr>
        <w:numPr>
          <w:ilvl w:val="0"/>
          <w:numId w:val="98"/>
        </w:numPr>
        <w:tabs>
          <w:tab w:val="clear" w:pos="720"/>
        </w:tabs>
        <w:spacing w:before="120" w:line="300" w:lineRule="auto"/>
        <w:ind w:hanging="540"/>
        <w:rPr>
          <w:szCs w:val="24"/>
        </w:rPr>
      </w:pPr>
      <w:r>
        <w:rPr>
          <w:szCs w:val="24"/>
        </w:rPr>
        <w:t>T</w:t>
      </w:r>
      <w:r w:rsidRPr="00FC3438">
        <w:rPr>
          <w:szCs w:val="24"/>
        </w:rPr>
        <w:t xml:space="preserve">ransmission system topology consistent with Network Model in place for the </w:t>
      </w:r>
      <w:r>
        <w:rPr>
          <w:szCs w:val="24"/>
        </w:rPr>
        <w:t>upcoming RUC study period</w:t>
      </w:r>
      <w:r w:rsidRPr="00FC3438">
        <w:rPr>
          <w:szCs w:val="24"/>
        </w:rPr>
        <w:t>;</w:t>
      </w:r>
    </w:p>
    <w:p w14:paraId="1B88461A" w14:textId="77777777" w:rsidR="00F83CA0" w:rsidRPr="00FC3438" w:rsidRDefault="00F83CA0" w:rsidP="00EE45E7">
      <w:pPr>
        <w:numPr>
          <w:ilvl w:val="0"/>
          <w:numId w:val="98"/>
        </w:numPr>
        <w:tabs>
          <w:tab w:val="clear" w:pos="720"/>
        </w:tabs>
        <w:spacing w:before="120" w:line="300" w:lineRule="auto"/>
        <w:ind w:hanging="540"/>
        <w:rPr>
          <w:szCs w:val="24"/>
        </w:rPr>
      </w:pPr>
      <w:r w:rsidRPr="00FC3438">
        <w:rPr>
          <w:szCs w:val="24"/>
        </w:rPr>
        <w:t>Service Flow Constraints;</w:t>
      </w:r>
    </w:p>
    <w:p w14:paraId="55F60DBD" w14:textId="77777777" w:rsidR="00F83CA0" w:rsidRPr="00FC3438" w:rsidRDefault="00F83CA0" w:rsidP="00EE45E7">
      <w:pPr>
        <w:numPr>
          <w:ilvl w:val="0"/>
          <w:numId w:val="98"/>
        </w:numPr>
        <w:tabs>
          <w:tab w:val="clear" w:pos="720"/>
        </w:tabs>
        <w:spacing w:before="120" w:line="300" w:lineRule="auto"/>
        <w:ind w:hanging="540"/>
        <w:rPr>
          <w:szCs w:val="24"/>
        </w:rPr>
      </w:pPr>
      <w:r w:rsidRPr="00FC3438">
        <w:rPr>
          <w:szCs w:val="24"/>
        </w:rPr>
        <w:t>Resource commitment and de-commitment schedules from the Day-Ahead RUC or previous Intra-Day RUCs;</w:t>
      </w:r>
    </w:p>
    <w:p w14:paraId="5B79F1A3" w14:textId="77777777" w:rsidR="00F83CA0" w:rsidRPr="00FC3438" w:rsidRDefault="00F83CA0" w:rsidP="00EE45E7">
      <w:pPr>
        <w:numPr>
          <w:ilvl w:val="0"/>
          <w:numId w:val="98"/>
        </w:numPr>
        <w:tabs>
          <w:tab w:val="clear" w:pos="720"/>
        </w:tabs>
        <w:spacing w:before="120" w:line="300" w:lineRule="auto"/>
        <w:ind w:hanging="540"/>
        <w:rPr>
          <w:szCs w:val="24"/>
        </w:rPr>
      </w:pPr>
      <w:r>
        <w:rPr>
          <w:szCs w:val="24"/>
        </w:rPr>
        <w:t xml:space="preserve">The Market Operator’s wind and solar </w:t>
      </w:r>
      <w:r w:rsidRPr="00FC3438">
        <w:rPr>
          <w:szCs w:val="24"/>
        </w:rPr>
        <w:t>Resource</w:t>
      </w:r>
      <w:r>
        <w:rPr>
          <w:szCs w:val="24"/>
        </w:rPr>
        <w:t xml:space="preserve"> MWh</w:t>
      </w:r>
      <w:r w:rsidRPr="00FC3438">
        <w:rPr>
          <w:szCs w:val="24"/>
        </w:rPr>
        <w:t xml:space="preserve"> output forecast as described under Section </w:t>
      </w:r>
      <w:r w:rsidRPr="00FC3438">
        <w:rPr>
          <w:szCs w:val="24"/>
        </w:rPr>
        <w:fldChar w:fldCharType="begin"/>
      </w:r>
      <w:r w:rsidRPr="00FC3438">
        <w:rPr>
          <w:szCs w:val="24"/>
        </w:rPr>
        <w:instrText xml:space="preserve"> REF _Ref160009567 \r \h </w:instrText>
      </w:r>
      <w:r w:rsidRPr="00FC3438">
        <w:rPr>
          <w:szCs w:val="24"/>
        </w:rPr>
      </w:r>
      <w:r w:rsidRPr="00FC3438">
        <w:rPr>
          <w:szCs w:val="24"/>
        </w:rPr>
        <w:fldChar w:fldCharType="separate"/>
      </w:r>
      <w:r w:rsidRPr="00FC3438">
        <w:rPr>
          <w:szCs w:val="24"/>
        </w:rPr>
        <w:t>4.1.2.2</w:t>
      </w:r>
      <w:r w:rsidRPr="00FC3438">
        <w:rPr>
          <w:szCs w:val="24"/>
        </w:rPr>
        <w:fldChar w:fldCharType="end"/>
      </w:r>
      <w:r w:rsidRPr="00FC3438">
        <w:rPr>
          <w:szCs w:val="24"/>
        </w:rPr>
        <w:t>;</w:t>
      </w:r>
    </w:p>
    <w:p w14:paraId="7037DC38" w14:textId="326F1D35" w:rsidR="00F83CA0" w:rsidRPr="00FC3438" w:rsidRDefault="00F83CA0" w:rsidP="00EE45E7">
      <w:pPr>
        <w:numPr>
          <w:ilvl w:val="0"/>
          <w:numId w:val="98"/>
        </w:numPr>
        <w:tabs>
          <w:tab w:val="clear" w:pos="720"/>
        </w:tabs>
        <w:spacing w:before="120" w:line="300" w:lineRule="auto"/>
        <w:ind w:hanging="540"/>
        <w:rPr>
          <w:szCs w:val="24"/>
        </w:rPr>
      </w:pPr>
      <w:r>
        <w:rPr>
          <w:szCs w:val="24"/>
        </w:rPr>
        <w:t xml:space="preserve">Actual and approved scheduled transmission system outages as documented in </w:t>
      </w:r>
      <w:r w:rsidR="00E75BE0">
        <w:rPr>
          <w:szCs w:val="24"/>
        </w:rPr>
        <w:t>CROW</w:t>
      </w:r>
      <w:r w:rsidR="00495A91">
        <w:rPr>
          <w:szCs w:val="24"/>
        </w:rPr>
        <w:t>.</w:t>
      </w:r>
      <w:r>
        <w:rPr>
          <w:szCs w:val="24"/>
        </w:rPr>
        <w:t xml:space="preserve"> </w:t>
      </w:r>
      <w:r w:rsidRPr="00FC3438">
        <w:rPr>
          <w:szCs w:val="24"/>
        </w:rPr>
        <w:t xml:space="preserve">; </w:t>
      </w:r>
    </w:p>
    <w:p w14:paraId="2A0840AA" w14:textId="77777777" w:rsidR="00F83CA0" w:rsidRPr="00FC3438" w:rsidRDefault="00F83CA0" w:rsidP="00EE45E7">
      <w:pPr>
        <w:numPr>
          <w:ilvl w:val="0"/>
          <w:numId w:val="98"/>
        </w:numPr>
        <w:tabs>
          <w:tab w:val="clear" w:pos="720"/>
          <w:tab w:val="num" w:pos="540"/>
        </w:tabs>
        <w:spacing w:before="120" w:line="300" w:lineRule="auto"/>
        <w:ind w:left="540"/>
        <w:rPr>
          <w:szCs w:val="24"/>
        </w:rPr>
      </w:pPr>
      <w:r w:rsidRPr="00FC3438">
        <w:rPr>
          <w:szCs w:val="24"/>
        </w:rPr>
        <w:t>Local Reliability Issue Commitments;</w:t>
      </w:r>
    </w:p>
    <w:p w14:paraId="19A57807" w14:textId="6BC04DA6" w:rsidR="00F83CA0" w:rsidRPr="00FC3438" w:rsidRDefault="00F83CA0" w:rsidP="00EE45E7">
      <w:pPr>
        <w:numPr>
          <w:ilvl w:val="0"/>
          <w:numId w:val="98"/>
        </w:numPr>
        <w:tabs>
          <w:tab w:val="clear" w:pos="720"/>
          <w:tab w:val="num" w:pos="540"/>
        </w:tabs>
        <w:spacing w:before="120" w:line="300" w:lineRule="auto"/>
        <w:ind w:left="540"/>
        <w:rPr>
          <w:szCs w:val="24"/>
        </w:rPr>
      </w:pPr>
      <w:r w:rsidRPr="00FC3438">
        <w:rPr>
          <w:szCs w:val="24"/>
        </w:rPr>
        <w:t>Emergency Condition Commitments;</w:t>
      </w:r>
      <w:r>
        <w:rPr>
          <w:szCs w:val="24"/>
        </w:rPr>
        <w:t xml:space="preserve"> </w:t>
      </w:r>
    </w:p>
    <w:p w14:paraId="7BFA55D8" w14:textId="4B6FB983" w:rsidR="00F83CA0" w:rsidRPr="00FC3438" w:rsidRDefault="00F83CA0" w:rsidP="00EE45E7">
      <w:pPr>
        <w:numPr>
          <w:ilvl w:val="0"/>
          <w:numId w:val="98"/>
        </w:numPr>
        <w:tabs>
          <w:tab w:val="clear" w:pos="720"/>
        </w:tabs>
        <w:spacing w:before="120" w:line="300" w:lineRule="auto"/>
        <w:ind w:hanging="540"/>
        <w:rPr>
          <w:szCs w:val="24"/>
        </w:rPr>
      </w:pPr>
      <w:r>
        <w:rPr>
          <w:szCs w:val="24"/>
        </w:rPr>
        <w:t>Balancing Authority overrides</w:t>
      </w:r>
      <w:r w:rsidR="00CA22B3">
        <w:rPr>
          <w:szCs w:val="24"/>
        </w:rPr>
        <w:t>;</w:t>
      </w:r>
      <w:r>
        <w:rPr>
          <w:szCs w:val="24"/>
        </w:rPr>
        <w:t xml:space="preserve"> </w:t>
      </w:r>
    </w:p>
    <w:p w14:paraId="280B8FE7" w14:textId="51BE61DB" w:rsidR="003118F9" w:rsidRPr="001E636B" w:rsidRDefault="003118F9" w:rsidP="00E679DC">
      <w:pPr>
        <w:pStyle w:val="ListParagraph"/>
        <w:numPr>
          <w:ilvl w:val="0"/>
          <w:numId w:val="98"/>
        </w:numPr>
        <w:tabs>
          <w:tab w:val="clear" w:pos="720"/>
        </w:tabs>
        <w:spacing w:before="120" w:line="300" w:lineRule="auto"/>
        <w:ind w:left="540"/>
        <w:rPr>
          <w:szCs w:val="24"/>
        </w:rPr>
      </w:pPr>
      <w:r w:rsidRPr="001E636B">
        <w:rPr>
          <w:szCs w:val="24"/>
        </w:rPr>
        <w:t>Market Transfer Interface Limits</w:t>
      </w:r>
      <w:r w:rsidR="0080195C">
        <w:rPr>
          <w:szCs w:val="24"/>
        </w:rPr>
        <w:t>;</w:t>
      </w:r>
    </w:p>
    <w:p w14:paraId="5E9C49DD" w14:textId="3E92CBEB" w:rsidR="003118F9" w:rsidRDefault="003118F9" w:rsidP="00E679DC">
      <w:pPr>
        <w:numPr>
          <w:ilvl w:val="0"/>
          <w:numId w:val="98"/>
        </w:numPr>
        <w:tabs>
          <w:tab w:val="clear" w:pos="720"/>
        </w:tabs>
        <w:spacing w:before="120" w:line="300" w:lineRule="auto"/>
        <w:ind w:left="540"/>
        <w:rPr>
          <w:szCs w:val="24"/>
        </w:rPr>
      </w:pPr>
      <w:r>
        <w:rPr>
          <w:szCs w:val="24"/>
        </w:rPr>
        <w:t>Market Opt-in Transfer Interface Limits</w:t>
      </w:r>
      <w:r w:rsidR="0080195C">
        <w:rPr>
          <w:szCs w:val="24"/>
        </w:rPr>
        <w:t>; and</w:t>
      </w:r>
    </w:p>
    <w:p w14:paraId="2CCA7EED" w14:textId="278B369C" w:rsidR="003118F9" w:rsidRDefault="003118F9" w:rsidP="00E679DC">
      <w:pPr>
        <w:numPr>
          <w:ilvl w:val="0"/>
          <w:numId w:val="98"/>
        </w:numPr>
        <w:tabs>
          <w:tab w:val="clear" w:pos="720"/>
        </w:tabs>
        <w:spacing w:before="120" w:line="300" w:lineRule="auto"/>
        <w:ind w:left="540"/>
        <w:rPr>
          <w:szCs w:val="24"/>
        </w:rPr>
      </w:pPr>
      <w:r>
        <w:rPr>
          <w:szCs w:val="24"/>
        </w:rPr>
        <w:t>BAA Scheduling Constraint Limits</w:t>
      </w:r>
      <w:r w:rsidR="0080195C">
        <w:rPr>
          <w:szCs w:val="24"/>
        </w:rPr>
        <w:t>.</w:t>
      </w:r>
    </w:p>
    <w:p w14:paraId="4DBC2D3D" w14:textId="6D05D42C" w:rsidR="00F83CA0" w:rsidRPr="00FC3438" w:rsidRDefault="00F83CA0" w:rsidP="00574EDE">
      <w:pPr>
        <w:pStyle w:val="Heading4"/>
      </w:pPr>
      <w:bookmarkStart w:id="3694" w:name="_Toc245633981"/>
      <w:bookmarkStart w:id="3695" w:name="_Toc245634133"/>
      <w:bookmarkStart w:id="3696" w:name="_Toc245728023"/>
      <w:bookmarkStart w:id="3697" w:name="_Toc248644147"/>
      <w:bookmarkStart w:id="3698" w:name="_Toc258924873"/>
      <w:bookmarkStart w:id="3699" w:name="_Toc263173312"/>
      <w:bookmarkStart w:id="3700" w:name="_Toc263429426"/>
      <w:bookmarkStart w:id="3701" w:name="_Toc263795464"/>
      <w:bookmarkStart w:id="3702" w:name="_Toc266869641"/>
      <w:bookmarkStart w:id="3703" w:name="_Ref270489898"/>
      <w:bookmarkStart w:id="3704" w:name="_Ref349214668"/>
      <w:bookmarkStart w:id="3705" w:name="_Ref349294085"/>
      <w:bookmarkStart w:id="3706" w:name="_Ref349553133"/>
      <w:bookmarkStart w:id="3707" w:name="_Toc159232270"/>
      <w:bookmarkStart w:id="3708" w:name="_Ref212549444"/>
      <w:bookmarkStart w:id="3709" w:name="_Ref212549883"/>
      <w:bookmarkStart w:id="3710" w:name="_Toc213771857"/>
      <w:r w:rsidRPr="00FC3438">
        <w:t>Intra-Day RUC Execution</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14:paraId="47205B0C" w14:textId="77777777" w:rsidR="00F83CA0" w:rsidRPr="00FC3438" w:rsidRDefault="00F83CA0" w:rsidP="00F83CA0">
      <w:pPr>
        <w:spacing w:before="120" w:line="300" w:lineRule="auto"/>
        <w:rPr>
          <w:szCs w:val="24"/>
        </w:rPr>
      </w:pPr>
      <w:r w:rsidRPr="00FC3438">
        <w:rPr>
          <w:szCs w:val="24"/>
        </w:rPr>
        <w:t xml:space="preserve">Using the inputs described above, </w:t>
      </w:r>
      <w:r>
        <w:rPr>
          <w:szCs w:val="24"/>
        </w:rPr>
        <w:t>the Market Operator</w:t>
      </w:r>
      <w:r w:rsidRPr="00FC3438">
        <w:rPr>
          <w:szCs w:val="24"/>
        </w:rPr>
        <w:t xml:space="preserve"> performs a capacity adequacy analysis for the upcoming Operating Day and throughout the Operating Day using a SCUC algorithm.  The capacity adequacy analysis provides advisory information to </w:t>
      </w:r>
      <w:r>
        <w:rPr>
          <w:szCs w:val="24"/>
        </w:rPr>
        <w:t>the Market Operator</w:t>
      </w:r>
      <w:r w:rsidRPr="00FC3438">
        <w:rPr>
          <w:szCs w:val="24"/>
        </w:rPr>
        <w:t xml:space="preserve">.  </w:t>
      </w:r>
    </w:p>
    <w:p w14:paraId="3F51A5B0" w14:textId="65A36246" w:rsidR="00F83CA0" w:rsidRPr="00FC3438" w:rsidRDefault="00F83CA0" w:rsidP="00EE45E7">
      <w:pPr>
        <w:numPr>
          <w:ilvl w:val="0"/>
          <w:numId w:val="106"/>
        </w:numPr>
        <w:spacing w:before="120" w:line="300" w:lineRule="auto"/>
        <w:ind w:hanging="540"/>
        <w:rPr>
          <w:szCs w:val="24"/>
        </w:rPr>
      </w:pPr>
      <w:r w:rsidRPr="00FC3438">
        <w:rPr>
          <w:szCs w:val="24"/>
        </w:rPr>
        <w:t>The objective of the SCUC is to commit Resources to meet Load Forecast, Export Interchange Transactions, Instantaneous Load Capacity requirements</w:t>
      </w:r>
      <w:r w:rsidR="00C73DF5">
        <w:rPr>
          <w:szCs w:val="24"/>
        </w:rPr>
        <w:t>,</w:t>
      </w:r>
      <w:r w:rsidRPr="00FC3438">
        <w:rPr>
          <w:szCs w:val="24"/>
        </w:rPr>
        <w:t xml:space="preserve"> and Flexibility Reserve Products requirements less Import Interchange Transactions over the Operating Day such that commitment costs are minimized while adhering to transmission system security constraints and the Resource operating parameter constraints submitted as part of the RTBM Offers;</w:t>
      </w:r>
    </w:p>
    <w:p w14:paraId="3A4E31F8" w14:textId="337873A7" w:rsidR="00F83CA0" w:rsidRPr="00FC3438" w:rsidRDefault="00F83CA0" w:rsidP="00EE45E7">
      <w:pPr>
        <w:numPr>
          <w:ilvl w:val="0"/>
          <w:numId w:val="106"/>
        </w:numPr>
        <w:spacing w:before="120" w:line="300" w:lineRule="auto"/>
        <w:ind w:hanging="540"/>
        <w:rPr>
          <w:szCs w:val="24"/>
        </w:rPr>
      </w:pPr>
      <w:r w:rsidRPr="00FC3438">
        <w:rPr>
          <w:szCs w:val="24"/>
        </w:rPr>
        <w:t>Commitment costs are defined as Start-Up Offer, No-Load Offer</w:t>
      </w:r>
      <w:r w:rsidR="00C73DF5">
        <w:rPr>
          <w:szCs w:val="24"/>
        </w:rPr>
        <w:t>,</w:t>
      </w:r>
      <w:r w:rsidRPr="00FC3438">
        <w:rPr>
          <w:szCs w:val="24"/>
        </w:rPr>
        <w:t xml:space="preserve"> and incremental cost to operate at minimum output as defined on the submitted Energy Offer Curve.  Incremental Energy costs above minimum output and Mid-Term Flex Up Offers are not considered by the RUC SCUC in making commitment decisions;    </w:t>
      </w:r>
    </w:p>
    <w:p w14:paraId="64DFD98C" w14:textId="4A20F545" w:rsidR="00F83CA0" w:rsidRPr="00FC3438" w:rsidRDefault="00F83CA0" w:rsidP="00EE45E7">
      <w:pPr>
        <w:numPr>
          <w:ilvl w:val="0"/>
          <w:numId w:val="106"/>
        </w:numPr>
        <w:spacing w:before="120" w:line="300" w:lineRule="auto"/>
        <w:ind w:hanging="540"/>
        <w:rPr>
          <w:szCs w:val="24"/>
        </w:rPr>
      </w:pPr>
      <w:r w:rsidRPr="00FC3438">
        <w:rPr>
          <w:szCs w:val="24"/>
        </w:rPr>
        <w:t>The SCUC algorithm will consider commitment of Resources with a Commit Status of Market, Self</w:t>
      </w:r>
      <w:r w:rsidR="00C73DF5">
        <w:rPr>
          <w:szCs w:val="24"/>
        </w:rPr>
        <w:t>,</w:t>
      </w:r>
      <w:r w:rsidRPr="00FC3438">
        <w:rPr>
          <w:szCs w:val="24"/>
        </w:rPr>
        <w:t xml:space="preserve"> or RMR including capacity up to the Resources’ </w:t>
      </w:r>
      <w:r w:rsidR="00BC3110">
        <w:rPr>
          <w:szCs w:val="24"/>
        </w:rPr>
        <w:t>Max ECOL</w:t>
      </w:r>
      <w:r w:rsidRPr="00FC3438">
        <w:rPr>
          <w:szCs w:val="24"/>
        </w:rPr>
        <w:t>, Maximum Discharge Limit, or Minimum Charge Limit and down to the Resources</w:t>
      </w:r>
      <w:r w:rsidR="00BC3110">
        <w:rPr>
          <w:szCs w:val="24"/>
        </w:rPr>
        <w:t>’</w:t>
      </w:r>
      <w:r w:rsidRPr="00FC3438">
        <w:rPr>
          <w:szCs w:val="24"/>
        </w:rPr>
        <w:t xml:space="preserve"> </w:t>
      </w:r>
      <w:r w:rsidR="00BC3110">
        <w:rPr>
          <w:szCs w:val="24"/>
        </w:rPr>
        <w:t>Min ECOL</w:t>
      </w:r>
      <w:r w:rsidRPr="00FC3438">
        <w:rPr>
          <w:szCs w:val="24"/>
        </w:rPr>
        <w:t>, Minimum Discharge Limit, or Maximum Charge Limit.</w:t>
      </w:r>
      <w:r w:rsidRPr="00FC3438">
        <w:t xml:space="preserve">  </w:t>
      </w:r>
      <w:r w:rsidRPr="00FC3438">
        <w:rPr>
          <w:szCs w:val="24"/>
        </w:rPr>
        <w:t xml:space="preserve">   </w:t>
      </w:r>
    </w:p>
    <w:p w14:paraId="7AA9C39F" w14:textId="77777777" w:rsidR="00F83CA0" w:rsidRPr="00FC3438" w:rsidRDefault="00F83CA0" w:rsidP="00EE45E7">
      <w:pPr>
        <w:numPr>
          <w:ilvl w:val="0"/>
          <w:numId w:val="128"/>
        </w:numPr>
        <w:tabs>
          <w:tab w:val="left" w:pos="2430"/>
        </w:tabs>
        <w:spacing w:before="120" w:line="300" w:lineRule="auto"/>
        <w:ind w:left="720" w:hanging="540"/>
        <w:rPr>
          <w:szCs w:val="24"/>
        </w:rPr>
      </w:pPr>
      <w:r w:rsidRPr="00FC3438">
        <w:t xml:space="preserve">If available capacity plus Uncommitted Import Interchange Transactions plus High Priority Import Interchange Transactions is not sufficient on a market-wide basis to meet the Market Operator load forecast, Uncommitted Export Interchange Transactions, High Priority Export Interchange Transactions, the upper bound of Instantaneous Load Capacity requirement, and </w:t>
      </w:r>
      <w:r w:rsidRPr="00FC3438">
        <w:rPr>
          <w:szCs w:val="24"/>
        </w:rPr>
        <w:t>fifty percent (50%)</w:t>
      </w:r>
      <w:r w:rsidRPr="00FC3438">
        <w:t xml:space="preserve"> of the Mid-Term Flex Up requirement, the Market Operator will</w:t>
      </w:r>
      <w:r w:rsidRPr="00FC3438">
        <w:rPr>
          <w:szCs w:val="24"/>
        </w:rPr>
        <w:t xml:space="preserve"> c</w:t>
      </w:r>
      <w:r w:rsidRPr="00FC3438">
        <w:t>ommunicate and coordinate with Market Participants and Participating Balancing Authorities to sequentially</w:t>
      </w:r>
      <w:r w:rsidRPr="00FC3438">
        <w:rPr>
          <w:szCs w:val="24"/>
        </w:rPr>
        <w:t>:</w:t>
      </w:r>
    </w:p>
    <w:p w14:paraId="5DC29CF3" w14:textId="77777777" w:rsidR="00F83CA0" w:rsidRPr="00FC3438" w:rsidRDefault="00F83CA0" w:rsidP="00F83CA0">
      <w:pPr>
        <w:spacing w:before="120" w:line="300" w:lineRule="auto"/>
        <w:ind w:left="1350" w:hanging="630"/>
      </w:pPr>
      <w:r w:rsidRPr="00FC3438">
        <w:t>(a)</w:t>
      </w:r>
      <w:r w:rsidRPr="00FC3438">
        <w:tab/>
        <w:t>Reduce self-schedule Uncommitted Export Interchange Transactions pro-rata based on MW amounts to relieve the capacity shortage; and</w:t>
      </w:r>
    </w:p>
    <w:p w14:paraId="0E0C0F97" w14:textId="77777777" w:rsidR="00F83CA0" w:rsidRPr="00FC3438" w:rsidRDefault="00F83CA0" w:rsidP="00F83CA0">
      <w:pPr>
        <w:spacing w:before="120" w:line="300" w:lineRule="auto"/>
        <w:ind w:left="1350" w:hanging="630"/>
      </w:pPr>
      <w:r w:rsidRPr="00FC3438">
        <w:t xml:space="preserve">(b) </w:t>
      </w:r>
      <w:r w:rsidRPr="00FC3438">
        <w:tab/>
        <w:t>Commit additional available Resources that were</w:t>
      </w:r>
      <w:r>
        <w:t xml:space="preserve"> submitted with a Commitment Status of “Not Available” </w:t>
      </w:r>
      <w:r w:rsidRPr="00FC3438">
        <w:t xml:space="preserve">to relieve the capacity shortage if needed.  </w:t>
      </w:r>
    </w:p>
    <w:p w14:paraId="7FBECA40" w14:textId="6D6E314E" w:rsidR="00F83CA0" w:rsidRPr="00FC3438" w:rsidRDefault="00F83CA0" w:rsidP="00EE45E7">
      <w:pPr>
        <w:numPr>
          <w:ilvl w:val="0"/>
          <w:numId w:val="128"/>
        </w:numPr>
        <w:spacing w:before="120" w:line="300" w:lineRule="auto"/>
        <w:ind w:left="720" w:hanging="540"/>
      </w:pPr>
      <w:r w:rsidRPr="00FC3438">
        <w:t xml:space="preserve">If there is a capacity surplus on a market-wide basis identified when the sum of (a) self-committed and </w:t>
      </w:r>
      <w:r w:rsidR="00285FA3">
        <w:t>RMR</w:t>
      </w:r>
      <w:r w:rsidRPr="00FC3438">
        <w:t xml:space="preserve"> capacity at minimum output, (b) self-schedule Uncommitted  Import Interchange Transactions, (c) self-schedule High Priority Import Interchange Transactions</w:t>
      </w:r>
      <w:r>
        <w:t>,</w:t>
      </w:r>
      <w:r w:rsidRPr="00FC3438">
        <w:t xml:space="preserve"> (d) the lower bound of Instantaneous Load Capacity requirement, and (e) the Flexibility Reserve Products requirements is </w:t>
      </w:r>
      <w:r w:rsidRPr="00FC3438">
        <w:rPr>
          <w:szCs w:val="24"/>
        </w:rPr>
        <w:t>more than</w:t>
      </w:r>
      <w:r w:rsidRPr="00FC3438">
        <w:t xml:space="preserve"> the sum of the Market Operator load forecast, self-scheduled Uncommitted Export Interchange Transactions and self-scheduled High Priority Export Interchange Transactions,</w:t>
      </w:r>
      <w:r w:rsidRPr="00FC3438">
        <w:rPr>
          <w:szCs w:val="24"/>
        </w:rPr>
        <w:t xml:space="preserve"> </w:t>
      </w:r>
      <w:r w:rsidRPr="00FC3438">
        <w:t>the Market Operator will</w:t>
      </w:r>
      <w:r w:rsidRPr="00FC3438">
        <w:rPr>
          <w:szCs w:val="24"/>
        </w:rPr>
        <w:t xml:space="preserve"> c</w:t>
      </w:r>
      <w:r w:rsidRPr="00FC3438">
        <w:t>ommunicate and coordinate with the Market Participants and Participating Balancing Authorities to sequentially:</w:t>
      </w:r>
    </w:p>
    <w:p w14:paraId="5561F482" w14:textId="77777777" w:rsidR="00F83CA0" w:rsidRPr="00FC3438" w:rsidRDefault="00F83CA0" w:rsidP="00F83CA0">
      <w:pPr>
        <w:spacing w:before="120" w:line="300" w:lineRule="auto"/>
        <w:ind w:left="1350" w:hanging="630"/>
      </w:pPr>
      <w:r w:rsidRPr="00FC3438">
        <w:t>(a)</w:t>
      </w:r>
      <w:r w:rsidRPr="00FC3438">
        <w:tab/>
        <w:t>Reduce self-scheduled Uncommitted Import Interchanges Transaction Offers pro-rata based on MW amounts; and</w:t>
      </w:r>
    </w:p>
    <w:p w14:paraId="73EE8270" w14:textId="0B0988E7" w:rsidR="00C52D2C" w:rsidRPr="00FC3438" w:rsidRDefault="00F83CA0" w:rsidP="00EA288E">
      <w:pPr>
        <w:ind w:left="1350" w:hanging="630"/>
        <w:rPr>
          <w:szCs w:val="24"/>
        </w:rPr>
      </w:pPr>
      <w:r w:rsidRPr="00FC3438">
        <w:t>(b)</w:t>
      </w:r>
      <w:r w:rsidRPr="00FC3438">
        <w:tab/>
        <w:t>Reduce self-scheduled High Priority Import Interchange Transactions Offers pro-rata based on MW amounts.</w:t>
      </w:r>
    </w:p>
    <w:p w14:paraId="4070297D" w14:textId="77777777" w:rsidR="00EA288E" w:rsidRPr="00EA288E" w:rsidRDefault="00EA288E" w:rsidP="00EA288E">
      <w:pPr>
        <w:ind w:left="1350" w:hanging="630"/>
      </w:pPr>
    </w:p>
    <w:p w14:paraId="2853A00A" w14:textId="1E6EBAAD" w:rsidR="00F83CA0" w:rsidRPr="00FC3438" w:rsidRDefault="00F83CA0" w:rsidP="00574EDE">
      <w:pPr>
        <w:pStyle w:val="Heading4"/>
      </w:pPr>
      <w:bookmarkStart w:id="3711" w:name="_Toc245633982"/>
      <w:bookmarkStart w:id="3712" w:name="_Toc245634134"/>
      <w:bookmarkStart w:id="3713" w:name="_Toc245728024"/>
      <w:bookmarkStart w:id="3714" w:name="_Toc248644148"/>
      <w:bookmarkStart w:id="3715" w:name="_Toc258924874"/>
      <w:bookmarkStart w:id="3716" w:name="_Toc263173313"/>
      <w:bookmarkStart w:id="3717" w:name="_Toc263429427"/>
      <w:bookmarkStart w:id="3718" w:name="_Toc263795465"/>
      <w:bookmarkStart w:id="3719" w:name="_Toc266869642"/>
      <w:bookmarkStart w:id="3720" w:name="_Ref307907222"/>
      <w:bookmarkStart w:id="3721" w:name="_Ref322092734"/>
      <w:bookmarkStart w:id="3722" w:name="_Toc159232277"/>
      <w:bookmarkStart w:id="3723" w:name="_Toc213771858"/>
      <w:r w:rsidRPr="00FC3438">
        <w:t>Intra-Day RUC Results</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2B2F7760" w14:textId="77777777" w:rsidR="00F83CA0" w:rsidRDefault="00F83CA0" w:rsidP="00F83CA0">
      <w:pPr>
        <w:spacing w:line="300" w:lineRule="auto"/>
        <w:rPr>
          <w:szCs w:val="24"/>
        </w:rPr>
      </w:pPr>
      <w:r>
        <w:rPr>
          <w:szCs w:val="24"/>
        </w:rPr>
        <w:t>The Market Operator</w:t>
      </w:r>
      <w:r w:rsidRPr="00FC3438">
        <w:rPr>
          <w:szCs w:val="24"/>
        </w:rPr>
        <w:t xml:space="preserve"> electronically communicates the RUC results for each hour of the Operating Day to Market Participants as soon as practical following completion of each Intra-Day RUC execution.  These results consist of the following: </w:t>
      </w:r>
    </w:p>
    <w:p w14:paraId="57036C40" w14:textId="77777777" w:rsidR="00F83CA0" w:rsidRPr="0067781A" w:rsidRDefault="00F83CA0" w:rsidP="00EE45E7">
      <w:pPr>
        <w:pStyle w:val="ListParagraph"/>
        <w:numPr>
          <w:ilvl w:val="0"/>
          <w:numId w:val="129"/>
        </w:numPr>
        <w:spacing w:line="300" w:lineRule="auto"/>
        <w:ind w:hanging="720"/>
        <w:rPr>
          <w:szCs w:val="24"/>
        </w:rPr>
      </w:pPr>
      <w:r w:rsidRPr="0067781A">
        <w:rPr>
          <w:szCs w:val="24"/>
        </w:rPr>
        <w:t>New market commitments;</w:t>
      </w:r>
    </w:p>
    <w:p w14:paraId="395CACF1" w14:textId="77777777" w:rsidR="00F83CA0" w:rsidRDefault="00F83CA0" w:rsidP="00EE45E7">
      <w:pPr>
        <w:numPr>
          <w:ilvl w:val="0"/>
          <w:numId w:val="129"/>
        </w:numPr>
        <w:spacing w:before="120" w:line="300" w:lineRule="auto"/>
        <w:ind w:hanging="720"/>
        <w:rPr>
          <w:szCs w:val="24"/>
        </w:rPr>
      </w:pPr>
      <w:r w:rsidRPr="0067781A">
        <w:rPr>
          <w:szCs w:val="24"/>
        </w:rPr>
        <w:t>Modifications to previous market commitments;</w:t>
      </w:r>
    </w:p>
    <w:p w14:paraId="33635D49" w14:textId="3022D1C2" w:rsidR="00F83CA0" w:rsidRPr="00272320" w:rsidRDefault="00F83CA0" w:rsidP="00EE45E7">
      <w:pPr>
        <w:numPr>
          <w:ilvl w:val="0"/>
          <w:numId w:val="129"/>
        </w:numPr>
        <w:spacing w:before="120" w:line="300" w:lineRule="auto"/>
        <w:ind w:hanging="720"/>
        <w:rPr>
          <w:szCs w:val="24"/>
        </w:rPr>
      </w:pPr>
      <w:r w:rsidRPr="00272320">
        <w:rPr>
          <w:szCs w:val="24"/>
        </w:rPr>
        <w:t xml:space="preserve">For any future hours in which the Market Operator anticipates a capacity shortage, the Market Operator will notify Market Participants and Participating Balancing Authorities identifying the hours in which Resources that were in “Not Available” Commitment Status are expected to be required and the hours in which self-schedule Uncommitted Export Interchange Transactions are expected to be curtailed.  </w:t>
      </w:r>
      <w:bookmarkStart w:id="3724" w:name="_Hlk172192656"/>
      <w:r w:rsidRPr="00272320">
        <w:rPr>
          <w:szCs w:val="24"/>
        </w:rPr>
        <w:t>Following this notification, Market Participants are required to confirm with the Market Operator that the Resources in “Not Available” Commitment Status selected as part of the</w:t>
      </w:r>
      <w:r w:rsidR="00966B55">
        <w:rPr>
          <w:szCs w:val="24"/>
        </w:rPr>
        <w:t xml:space="preserve"> Day-Ahead </w:t>
      </w:r>
      <w:r w:rsidRPr="00272320">
        <w:rPr>
          <w:szCs w:val="24"/>
        </w:rPr>
        <w:t xml:space="preserve">RUC execution are available to be committed. Such availability will be subject to the Market Participant’s contractual rights and obligations and any operational limitations related to the Resources in “Not Available” Commitment Status as determined by the Market Participant </w:t>
      </w:r>
      <w:r w:rsidR="0046151A">
        <w:rPr>
          <w:szCs w:val="24"/>
        </w:rPr>
        <w:t>and</w:t>
      </w:r>
      <w:r w:rsidRPr="00272320">
        <w:rPr>
          <w:szCs w:val="24"/>
        </w:rPr>
        <w:t xml:space="preserve"> Participating Balancing Authority. Once this verification is complete, if the Market Operator commits such Resources, they will be considered as "Market" Commitment Status for settlement purposes</w:t>
      </w:r>
      <w:bookmarkEnd w:id="3724"/>
      <w:r w:rsidR="00FC0AE7">
        <w:t>;</w:t>
      </w:r>
    </w:p>
    <w:p w14:paraId="5A4546E7" w14:textId="42D5C90E" w:rsidR="00F83CA0" w:rsidRPr="0067781A" w:rsidRDefault="00F83CA0" w:rsidP="00EE45E7">
      <w:pPr>
        <w:numPr>
          <w:ilvl w:val="0"/>
          <w:numId w:val="129"/>
        </w:numPr>
        <w:spacing w:before="120" w:line="300" w:lineRule="auto"/>
        <w:ind w:hanging="720"/>
        <w:rPr>
          <w:szCs w:val="24"/>
        </w:rPr>
      </w:pPr>
      <w:r w:rsidRPr="0067781A">
        <w:t xml:space="preserve">For any future hours in which </w:t>
      </w:r>
      <w:r>
        <w:t xml:space="preserve">the Market Operator </w:t>
      </w:r>
      <w:r w:rsidRPr="0067781A">
        <w:t xml:space="preserve">anticipates an excess capacity situation, </w:t>
      </w:r>
      <w:r>
        <w:rPr>
          <w:szCs w:val="24"/>
        </w:rPr>
        <w:t>the Market Operator</w:t>
      </w:r>
      <w:r w:rsidRPr="0067781A">
        <w:rPr>
          <w:szCs w:val="24"/>
        </w:rPr>
        <w:t xml:space="preserve"> </w:t>
      </w:r>
      <w:r>
        <w:rPr>
          <w:szCs w:val="24"/>
        </w:rPr>
        <w:t>will</w:t>
      </w:r>
      <w:r w:rsidRPr="0067781A">
        <w:rPr>
          <w:szCs w:val="24"/>
        </w:rPr>
        <w:t xml:space="preserve"> notify Market Participants and Participating Balancing Authorities identifying the hours in which the excess capacity situation is expected to occur, hours in which self-schedule Uncommitted Import Interchange Transactions are expected to be curtailed</w:t>
      </w:r>
      <w:r w:rsidR="00B7655B">
        <w:rPr>
          <w:szCs w:val="24"/>
        </w:rPr>
        <w:t>,</w:t>
      </w:r>
      <w:r w:rsidRPr="0067781A">
        <w:rPr>
          <w:szCs w:val="24"/>
        </w:rPr>
        <w:t xml:space="preserve"> and the hours in which self-schedule High Priority Import Interchange Transactions are expected to be curtailed</w:t>
      </w:r>
      <w:r w:rsidR="00960C5C">
        <w:rPr>
          <w:szCs w:val="24"/>
        </w:rPr>
        <w:t>;</w:t>
      </w:r>
    </w:p>
    <w:p w14:paraId="76476D55" w14:textId="1E8F062A" w:rsidR="00C323EB" w:rsidRDefault="00C323EB" w:rsidP="00DE674C">
      <w:pPr>
        <w:pStyle w:val="ListParagraph"/>
        <w:numPr>
          <w:ilvl w:val="0"/>
          <w:numId w:val="129"/>
        </w:numPr>
        <w:tabs>
          <w:tab w:val="clear" w:pos="720"/>
          <w:tab w:val="left" w:pos="990"/>
        </w:tabs>
        <w:spacing w:before="120" w:line="300" w:lineRule="auto"/>
        <w:ind w:hanging="720"/>
      </w:pPr>
      <w:r>
        <w:t>Market Transfer Interface quantities in MW for each paired set of Market Transfer Interfaces</w:t>
      </w:r>
      <w:r w:rsidR="00960C5C">
        <w:t>;</w:t>
      </w:r>
    </w:p>
    <w:p w14:paraId="2D3A460C" w14:textId="77777777" w:rsidR="00C323EB" w:rsidRDefault="00C323EB" w:rsidP="00DE674C">
      <w:pPr>
        <w:pStyle w:val="ListParagraph"/>
        <w:numPr>
          <w:ilvl w:val="0"/>
          <w:numId w:val="129"/>
        </w:numPr>
        <w:tabs>
          <w:tab w:val="clear" w:pos="720"/>
        </w:tabs>
        <w:spacing w:before="120" w:line="300" w:lineRule="auto"/>
        <w:ind w:hanging="720"/>
      </w:pPr>
      <w:r>
        <w:t>Market Opt-in Transfer Interface quantities in MW for each paired set of Market Opt-in Transfer Interfaces.</w:t>
      </w:r>
    </w:p>
    <w:p w14:paraId="1392F4A6" w14:textId="24D8232E" w:rsidR="00F83CA0" w:rsidRPr="00FC3438" w:rsidRDefault="00F83CA0" w:rsidP="00574EDE">
      <w:pPr>
        <w:pStyle w:val="Heading4"/>
      </w:pPr>
      <w:bookmarkStart w:id="3725" w:name="_Ref465252916"/>
      <w:bookmarkStart w:id="3726" w:name="_Toc159232278"/>
      <w:bookmarkStart w:id="3727" w:name="_Toc213771859"/>
      <w:r w:rsidRPr="00FC3438">
        <w:t>Updat</w:t>
      </w:r>
      <w:bookmarkEnd w:id="3725"/>
      <w:bookmarkEnd w:id="3726"/>
      <w:r>
        <w:t>ing the COP</w:t>
      </w:r>
      <w:bookmarkEnd w:id="3727"/>
    </w:p>
    <w:p w14:paraId="090769A8" w14:textId="580DBBF0" w:rsidR="00853333" w:rsidRDefault="00F83CA0" w:rsidP="004F22D7">
      <w:pPr>
        <w:spacing w:after="200" w:line="300" w:lineRule="auto"/>
        <w:rPr>
          <w:szCs w:val="24"/>
        </w:rPr>
      </w:pPr>
      <w:r w:rsidRPr="00FC3438">
        <w:rPr>
          <w:szCs w:val="24"/>
        </w:rPr>
        <w:t xml:space="preserve">Using the results from the </w:t>
      </w:r>
      <w:r w:rsidR="007A21D6">
        <w:rPr>
          <w:szCs w:val="24"/>
        </w:rPr>
        <w:t>Intra-Day</w:t>
      </w:r>
      <w:r w:rsidRPr="00FC3438">
        <w:rPr>
          <w:szCs w:val="24"/>
        </w:rPr>
        <w:t xml:space="preserve"> RUC analysis, </w:t>
      </w:r>
      <w:r>
        <w:rPr>
          <w:szCs w:val="24"/>
        </w:rPr>
        <w:t>the Market Operator</w:t>
      </w:r>
      <w:r w:rsidRPr="00FC3438">
        <w:rPr>
          <w:szCs w:val="24"/>
        </w:rPr>
        <w:t xml:space="preserve"> will update the Current Operating Plan and will issue </w:t>
      </w:r>
      <w:r>
        <w:rPr>
          <w:szCs w:val="24"/>
        </w:rPr>
        <w:t>Market Commitment instructions</w:t>
      </w:r>
      <w:r w:rsidRPr="00FC3438">
        <w:rPr>
          <w:szCs w:val="24"/>
        </w:rPr>
        <w:t xml:space="preserve"> </w:t>
      </w:r>
      <w:r w:rsidRPr="00FC3438">
        <w:t xml:space="preserve">to Resources other than DVERs and NDVERs for which </w:t>
      </w:r>
      <w:r>
        <w:t>the Market Operator</w:t>
      </w:r>
      <w:r w:rsidRPr="00FC3438">
        <w:t xml:space="preserve"> is calculating an output forecast (these Resources are always assumed to be self-committed if available) </w:t>
      </w:r>
      <w:r w:rsidRPr="00FC3438">
        <w:rPr>
          <w:szCs w:val="24"/>
        </w:rPr>
        <w:t xml:space="preserve">as appropriate.  </w:t>
      </w:r>
      <w:r>
        <w:rPr>
          <w:szCs w:val="24"/>
        </w:rPr>
        <w:t>The Market Operator</w:t>
      </w:r>
      <w:r w:rsidRPr="00FC3438">
        <w:rPr>
          <w:szCs w:val="24"/>
        </w:rPr>
        <w:t xml:space="preserve"> confirms </w:t>
      </w:r>
      <w:r>
        <w:rPr>
          <w:szCs w:val="24"/>
        </w:rPr>
        <w:t>that Market Commitment instructions</w:t>
      </w:r>
      <w:r w:rsidRPr="00FC3438">
        <w:rPr>
          <w:szCs w:val="24"/>
        </w:rPr>
        <w:t xml:space="preserve"> for all Resource commitments</w:t>
      </w:r>
      <w:r>
        <w:rPr>
          <w:szCs w:val="24"/>
        </w:rPr>
        <w:t xml:space="preserve"> have been received</w:t>
      </w:r>
      <w:r w:rsidR="002E63EA">
        <w:rPr>
          <w:szCs w:val="24"/>
        </w:rPr>
        <w:t xml:space="preserve"> </w:t>
      </w:r>
      <w:r w:rsidR="001513B9">
        <w:t>by the Market Participant</w:t>
      </w:r>
      <w:r w:rsidR="001513B9" w:rsidRPr="001513B9">
        <w:rPr>
          <w:szCs w:val="24"/>
        </w:rPr>
        <w:t xml:space="preserve">, except for </w:t>
      </w:r>
      <w:r w:rsidR="00D91DB0">
        <w:rPr>
          <w:szCs w:val="24"/>
        </w:rPr>
        <w:t>Market Commitment instructions</w:t>
      </w:r>
      <w:r w:rsidR="001513B9" w:rsidRPr="001513B9">
        <w:rPr>
          <w:szCs w:val="24"/>
        </w:rPr>
        <w:t xml:space="preserve"> for FSRs described in Section 4.4.1.</w:t>
      </w:r>
      <w:r w:rsidRPr="00FC3438">
        <w:rPr>
          <w:szCs w:val="24"/>
        </w:rPr>
        <w:t xml:space="preserve">  In the event a confirmation is not received, </w:t>
      </w:r>
      <w:r>
        <w:rPr>
          <w:szCs w:val="24"/>
        </w:rPr>
        <w:t>the Market Operator</w:t>
      </w:r>
      <w:r w:rsidRPr="00FC3438">
        <w:rPr>
          <w:szCs w:val="24"/>
        </w:rPr>
        <w:t xml:space="preserve"> will follow up with a phone call in time to allow the Resource to act based on the </w:t>
      </w:r>
      <w:r>
        <w:rPr>
          <w:szCs w:val="24"/>
        </w:rPr>
        <w:t>Market C</w:t>
      </w:r>
      <w:r w:rsidRPr="00FC3438">
        <w:rPr>
          <w:szCs w:val="24"/>
        </w:rPr>
        <w:t>ommitment instruction.  If a Participating Balancing Authority</w:t>
      </w:r>
      <w:r w:rsidR="00CD0555">
        <w:rPr>
          <w:szCs w:val="24"/>
        </w:rPr>
        <w:t>,</w:t>
      </w:r>
      <w:r w:rsidRPr="00FC3438">
        <w:rPr>
          <w:szCs w:val="24"/>
        </w:rPr>
        <w:t xml:space="preserve"> Reliability Coordinator</w:t>
      </w:r>
      <w:r w:rsidR="00C31C48">
        <w:rPr>
          <w:szCs w:val="24"/>
        </w:rPr>
        <w:t>,</w:t>
      </w:r>
      <w:r w:rsidR="00CD0555">
        <w:rPr>
          <w:szCs w:val="24"/>
        </w:rPr>
        <w:t xml:space="preserve"> or Transmission Operator</w:t>
      </w:r>
      <w:r w:rsidRPr="00FC3438">
        <w:rPr>
          <w:szCs w:val="24"/>
        </w:rPr>
        <w:t xml:space="preserve"> de-commits a Resource that was not self-committed </w:t>
      </w:r>
      <w:r w:rsidRPr="00FC3438">
        <w:t xml:space="preserve">or moves an MCR into a lower configuration </w:t>
      </w:r>
      <w:r w:rsidRPr="00FC3438">
        <w:rPr>
          <w:szCs w:val="24"/>
        </w:rPr>
        <w:t>for any hour of the D</w:t>
      </w:r>
      <w:r>
        <w:rPr>
          <w:szCs w:val="24"/>
        </w:rPr>
        <w:t>ay-Ahead</w:t>
      </w:r>
      <w:r w:rsidRPr="00FC3438">
        <w:rPr>
          <w:szCs w:val="24"/>
        </w:rPr>
        <w:t xml:space="preserve"> Market commitment schedule, and causes that Resource to buy back its Energy </w:t>
      </w:r>
      <w:r w:rsidRPr="00FC3438" w:rsidDel="0046151A">
        <w:rPr>
          <w:szCs w:val="24"/>
        </w:rPr>
        <w:t>and/or</w:t>
      </w:r>
      <w:r w:rsidRPr="00FC3438">
        <w:rPr>
          <w:szCs w:val="24"/>
        </w:rPr>
        <w:t xml:space="preserve"> Flexibility Reserve Products position at RTBM prices that exceed the D</w:t>
      </w:r>
      <w:r>
        <w:rPr>
          <w:szCs w:val="24"/>
        </w:rPr>
        <w:t>ay-Ahead</w:t>
      </w:r>
      <w:r w:rsidRPr="00FC3438">
        <w:rPr>
          <w:szCs w:val="24"/>
        </w:rPr>
        <w:t xml:space="preserve"> Market prices for the comparable products, then that Resource is eligible for compensation </w:t>
      </w:r>
      <w:r w:rsidR="00D10D99" w:rsidRPr="00FC3438">
        <w:rPr>
          <w:szCs w:val="24"/>
        </w:rPr>
        <w:t xml:space="preserve"> </w:t>
      </w:r>
      <w:r w:rsidR="00D10D99">
        <w:rPr>
          <w:szCs w:val="24"/>
        </w:rPr>
        <w:t xml:space="preserve">per the Markets+ Settlements </w:t>
      </w:r>
      <w:r w:rsidR="00BA0C4B">
        <w:rPr>
          <w:szCs w:val="24"/>
        </w:rPr>
        <w:t xml:space="preserve">Calculation </w:t>
      </w:r>
      <w:r w:rsidR="00D10D99">
        <w:rPr>
          <w:szCs w:val="24"/>
        </w:rPr>
        <w:t>Guide</w:t>
      </w:r>
      <w:r w:rsidRPr="00FC3438">
        <w:rPr>
          <w:szCs w:val="24"/>
        </w:rPr>
        <w:t xml:space="preserve">.  </w:t>
      </w:r>
      <w:bookmarkStart w:id="3728" w:name="_Toc245633983"/>
      <w:bookmarkStart w:id="3729" w:name="_Toc245634135"/>
      <w:bookmarkStart w:id="3730" w:name="_Toc245728025"/>
      <w:bookmarkStart w:id="3731" w:name="_Toc248644149"/>
      <w:bookmarkStart w:id="3732" w:name="_Toc258924875"/>
      <w:bookmarkStart w:id="3733" w:name="_Toc263173314"/>
      <w:bookmarkStart w:id="3734" w:name="_Toc263173619"/>
      <w:bookmarkStart w:id="3735" w:name="_Toc263173805"/>
      <w:bookmarkStart w:id="3736" w:name="_Toc263174185"/>
      <w:bookmarkStart w:id="3737" w:name="_Toc263235084"/>
      <w:bookmarkStart w:id="3738" w:name="_Toc263235727"/>
      <w:bookmarkStart w:id="3739" w:name="_Toc263429428"/>
      <w:bookmarkStart w:id="3740" w:name="_Toc263795466"/>
      <w:bookmarkStart w:id="3741" w:name="_Toc266869643"/>
    </w:p>
    <w:p w14:paraId="247DCEBB" w14:textId="07A34457" w:rsidR="00853333" w:rsidRPr="00853333" w:rsidRDefault="00853333" w:rsidP="00E679DC">
      <w:pPr>
        <w:pStyle w:val="Heading4"/>
      </w:pPr>
      <w:r w:rsidRPr="00853333">
        <w:t>Short-Term Intra-Day RUC</w:t>
      </w:r>
    </w:p>
    <w:p w14:paraId="09709ED9" w14:textId="77777777" w:rsidR="00853333" w:rsidRPr="00853333" w:rsidRDefault="00853333" w:rsidP="00853333">
      <w:pPr>
        <w:spacing w:after="240" w:line="300" w:lineRule="auto"/>
        <w:rPr>
          <w14:ligatures w14:val="standardContextual"/>
        </w:rPr>
      </w:pPr>
      <w:r w:rsidRPr="00853333">
        <w:rPr>
          <w14:ligatures w14:val="standardContextual"/>
        </w:rPr>
        <w:t xml:space="preserve">Additionally, the Market Operator will execute a short-term Intra-Day RUC (ST-RUC) every fifteen (15) minutes to assess Resource adequacy over at least the next 120-minute period as part of the Intra-Day RUC process.  As part of the short-term Intra-Day RUC assessment, Fast-Start Resources (FSRs) that are recommended for commitment by a short-term Intra-Day RUC and have not been previously committed will be evaluated by a SCED prior to the Dispatch Interval.  The SCED will utilize inputs described in Section </w:t>
      </w:r>
      <w:r w:rsidRPr="00853333">
        <w:rPr>
          <w14:ligatures w14:val="standardContextual"/>
        </w:rPr>
        <w:fldChar w:fldCharType="begin"/>
      </w:r>
      <w:r w:rsidRPr="00853333">
        <w:rPr>
          <w14:ligatures w14:val="standardContextual"/>
        </w:rPr>
        <w:instrText xml:space="preserve"> REF _Ref121900535 \r \h </w:instrText>
      </w:r>
      <w:r w:rsidRPr="00853333">
        <w:rPr>
          <w14:ligatures w14:val="standardContextual"/>
        </w:rPr>
      </w:r>
      <w:r w:rsidRPr="00853333">
        <w:rPr>
          <w14:ligatures w14:val="standardContextual"/>
        </w:rPr>
        <w:fldChar w:fldCharType="separate"/>
      </w:r>
      <w:r w:rsidRPr="00853333">
        <w:rPr>
          <w14:ligatures w14:val="standardContextual"/>
        </w:rPr>
        <w:t>4.4.2.1</w:t>
      </w:r>
      <w:r w:rsidRPr="00853333">
        <w:rPr>
          <w14:ligatures w14:val="standardContextual"/>
        </w:rPr>
        <w:fldChar w:fldCharType="end"/>
      </w:r>
      <w:r w:rsidRPr="00853333">
        <w:rPr>
          <w14:ligatures w14:val="standardContextual"/>
        </w:rPr>
        <w:t xml:space="preserve">.  If the SCED determines the FSR is economic for Energy then the FSR will receive a commitment instruction from </w:t>
      </w:r>
      <w:r w:rsidRPr="00853333">
        <w:rPr>
          <w:szCs w:val="24"/>
          <w14:ligatures w14:val="standardContextual"/>
        </w:rPr>
        <w:t xml:space="preserve">the Market Operator </w:t>
      </w:r>
      <w:r w:rsidRPr="00853333">
        <w:rPr>
          <w14:ligatures w14:val="standardContextual"/>
        </w:rPr>
        <w:t xml:space="preserve">that begins at the start of the nearest Dispatch Interval that the FSR can start according to the submitted cold Start-Up Time and will end at the end of the Dispatch Interval after the Minimum Run Time is met.  The COP will be updated with this commitment instruction, which is presumed to have been received by the Market Participant.  FSRs may also receive 5-minute extensions at the end of a commitment when determined economic by the SCED.  The COP will be updated with this new shut-down order, which is presumed to have been received by the Market Participant.  </w:t>
      </w:r>
    </w:p>
    <w:p w14:paraId="408AA62D" w14:textId="7D693C1E" w:rsidR="00853333" w:rsidRPr="00853333" w:rsidRDefault="00853333" w:rsidP="00E679DC">
      <w:pPr>
        <w:pStyle w:val="Heading4"/>
      </w:pPr>
      <w:r w:rsidRPr="00853333">
        <w:t>Pre-RTBM SCED</w:t>
      </w:r>
    </w:p>
    <w:p w14:paraId="2215E0CB" w14:textId="21EFD59C" w:rsidR="00853333" w:rsidRPr="00853333" w:rsidRDefault="00853333" w:rsidP="00853333">
      <w:pPr>
        <w:spacing w:before="120" w:line="300" w:lineRule="auto"/>
        <w:rPr>
          <w:szCs w:val="24"/>
          <w14:ligatures w14:val="standardContextual"/>
        </w:rPr>
      </w:pPr>
      <w:r w:rsidRPr="00853333">
        <w:rPr>
          <w:szCs w:val="24"/>
          <w14:ligatures w14:val="standardContextual"/>
        </w:rPr>
        <w:t>Following the ST-RUC executed 30 minutes prior to each Operating Hour, the Market Operator will execute a Pre-RTBM SCED for the upcoming Operating Hour using the results following the ST-RUC and the inputs provided for the Intra-Day RUC.  This Pre-RTBM SCED will produce advisory analysis for Resource and load quantities and will be used to establish the market optimized transfer quantity for MTIs and MOTIs with a transaction type of “Normal”. These quantities, however, do not reflect settled charge types and no binding shadow prices will be set by Pre-RTBM SCED even if the study contains constraints.  A Simultaneous Co-optimization Methodology, utilizing just the SCED algorithms, is employed to simultaneously perform the following tasks:</w:t>
      </w:r>
    </w:p>
    <w:p w14:paraId="3C5D9A6C" w14:textId="77777777" w:rsidR="00853333" w:rsidRPr="00853333" w:rsidRDefault="00853333" w:rsidP="00853333">
      <w:pPr>
        <w:numPr>
          <w:ilvl w:val="0"/>
          <w:numId w:val="110"/>
        </w:numPr>
        <w:spacing w:line="300" w:lineRule="auto"/>
        <w:ind w:hanging="720"/>
        <w:rPr>
          <w:szCs w:val="24"/>
          <w14:ligatures w14:val="standardContextual"/>
        </w:rPr>
      </w:pPr>
      <w:r w:rsidRPr="00853333">
        <w:rPr>
          <w:szCs w:val="24"/>
          <w14:ligatures w14:val="standardContextual"/>
        </w:rPr>
        <w:t xml:space="preserve">Using the Resource commitment results from the ST-RUC executed 30 minutes prior to the Operating Hour, the Market Operator will optimize Resource Offers to meet load forecast, Net Export and Import Interchange Transactions and Flexibility Reserve Products requirements on a least-cost basis.  </w:t>
      </w:r>
    </w:p>
    <w:p w14:paraId="6DF9F06E" w14:textId="77777777" w:rsidR="00853333" w:rsidRPr="00853333" w:rsidRDefault="00853333" w:rsidP="00853333">
      <w:pPr>
        <w:numPr>
          <w:ilvl w:val="0"/>
          <w:numId w:val="382"/>
        </w:numPr>
        <w:tabs>
          <w:tab w:val="clear" w:pos="720"/>
        </w:tabs>
        <w:spacing w:line="300" w:lineRule="auto"/>
        <w:ind w:left="1440" w:hanging="720"/>
        <w:rPr>
          <w:szCs w:val="24"/>
          <w14:ligatures w14:val="standardContextual"/>
        </w:rPr>
      </w:pPr>
      <w:r w:rsidRPr="00853333">
        <w:rPr>
          <w:szCs w:val="24"/>
          <w14:ligatures w14:val="standardContextual"/>
        </w:rPr>
        <w:t>The SCED algorithm includes marginal loss sensitivity factors which approximate the change in marginal system losses for a change in Energy dispatch.  The inclusion of these factors further optimizes the Energy dispatch and reduces overall production costs.</w:t>
      </w:r>
    </w:p>
    <w:p w14:paraId="2889ABF1" w14:textId="77777777" w:rsidR="00853333" w:rsidRPr="00853333" w:rsidRDefault="00853333" w:rsidP="00853333">
      <w:pPr>
        <w:numPr>
          <w:ilvl w:val="0"/>
          <w:numId w:val="382"/>
        </w:numPr>
        <w:spacing w:line="300" w:lineRule="auto"/>
        <w:ind w:left="1440" w:hanging="720"/>
        <w:rPr>
          <w:szCs w:val="24"/>
          <w14:ligatures w14:val="standardContextual"/>
        </w:rPr>
      </w:pPr>
      <w:r w:rsidRPr="00853333">
        <w:rPr>
          <w14:ligatures w14:val="standardContextual"/>
        </w:rPr>
        <w:t xml:space="preserve">In certain situations, enforcing constraints may result in a solution that is not feasible at a Shadow Price less than an appropriately priced Violation Relaxation Limit (VRL).  In such cases, the Market Operator must apply VRLs in SCED as described under Section </w:t>
      </w:r>
      <w:r w:rsidRPr="00853333">
        <w:rPr>
          <w14:ligatures w14:val="standardContextual"/>
        </w:rPr>
        <w:fldChar w:fldCharType="begin"/>
      </w:r>
      <w:r w:rsidRPr="00853333">
        <w:rPr>
          <w14:ligatures w14:val="standardContextual"/>
        </w:rPr>
        <w:instrText xml:space="preserve"> REF _Ref257896065 \r \h </w:instrText>
      </w:r>
      <w:r w:rsidRPr="00853333">
        <w:rPr>
          <w14:ligatures w14:val="standardContextual"/>
        </w:rPr>
      </w:r>
      <w:r w:rsidRPr="00853333">
        <w:rPr>
          <w14:ligatures w14:val="standardContextual"/>
        </w:rPr>
        <w:fldChar w:fldCharType="separate"/>
      </w:r>
      <w:r w:rsidRPr="00853333">
        <w:rPr>
          <w14:ligatures w14:val="standardContextual"/>
        </w:rPr>
        <w:t>4.1.4</w:t>
      </w:r>
      <w:r w:rsidRPr="00853333">
        <w:rPr>
          <w14:ligatures w14:val="standardContextual"/>
        </w:rPr>
        <w:fldChar w:fldCharType="end"/>
      </w:r>
      <w:r w:rsidRPr="00853333">
        <w:rPr>
          <w14:ligatures w14:val="standardContextual"/>
        </w:rPr>
        <w:t>.</w:t>
      </w:r>
    </w:p>
    <w:p w14:paraId="4495F951" w14:textId="0457AFC8" w:rsidR="00853333" w:rsidRPr="00853333" w:rsidRDefault="00853333" w:rsidP="00E679DC">
      <w:pPr>
        <w:pStyle w:val="Heading5"/>
      </w:pPr>
      <w:bookmarkStart w:id="3742" w:name="_Toc208563066"/>
      <w:bookmarkStart w:id="3743" w:name="_Ref214958266"/>
      <w:r w:rsidRPr="00853333">
        <w:t>Solutions During Capacity Shortage</w:t>
      </w:r>
      <w:bookmarkEnd w:id="3742"/>
      <w:bookmarkEnd w:id="3743"/>
    </w:p>
    <w:p w14:paraId="488A7E2E" w14:textId="77777777" w:rsidR="00853333" w:rsidRPr="00853333" w:rsidRDefault="00853333" w:rsidP="00853333">
      <w:pPr>
        <w:spacing w:before="120" w:after="0" w:line="300" w:lineRule="auto"/>
        <w:ind w:left="720"/>
        <w:rPr>
          <w14:ligatures w14:val="standardContextual"/>
        </w:rPr>
      </w:pPr>
      <w:r w:rsidRPr="00853333">
        <w:rPr>
          <w14:ligatures w14:val="standardContextual"/>
        </w:rPr>
        <w:t xml:space="preserve">In the event a capacity shortage results in an inability to meet 50% of the Mid-Term Flex Up requirement, the Short-Term Load Forecast, self-scheduled High Priority Export Interchange Transactions, self-scheduled Uncommitted Export Interchange Transactions, and MSR charge MWs in the subsequent Operating Hour, the Market Operator will </w:t>
      </w:r>
      <w:r w:rsidRPr="00853333">
        <w:rPr>
          <w:szCs w:val="24"/>
          <w14:ligatures w14:val="standardContextual"/>
        </w:rPr>
        <w:t>communicate</w:t>
      </w:r>
      <w:r w:rsidRPr="00853333">
        <w:rPr>
          <w14:ligatures w14:val="standardContextual"/>
        </w:rPr>
        <w:t xml:space="preserve"> the potential market capacity shortage condition to Participating Balancing Authorities and applicable Reliability Coordinators, and sequentially:</w:t>
      </w:r>
    </w:p>
    <w:p w14:paraId="041777D1" w14:textId="77777777" w:rsidR="00853333" w:rsidRPr="00853333" w:rsidRDefault="00853333" w:rsidP="00853333">
      <w:pPr>
        <w:spacing w:before="120" w:after="0" w:line="300" w:lineRule="auto"/>
        <w:ind w:left="2070" w:hanging="720"/>
        <w:rPr>
          <w14:ligatures w14:val="standardContextual"/>
        </w:rPr>
      </w:pPr>
      <w:r w:rsidRPr="00853333">
        <w:rPr>
          <w14:ligatures w14:val="standardContextual"/>
        </w:rPr>
        <w:t>(i)</w:t>
      </w:r>
      <w:r w:rsidRPr="00853333">
        <w:rPr>
          <w14:ligatures w14:val="standardContextual"/>
        </w:rPr>
        <w:tab/>
        <w:t>Reduce the self-scheduled Uncommitted Export Interchange Transactions pro-rata based on the MW amounts in accordance with Western Electricity Coordinating Council (WECC) schedule change requirements until the Mid-Term Flex-Up requirement is restored; and</w:t>
      </w:r>
    </w:p>
    <w:p w14:paraId="135C3CE2" w14:textId="77777777" w:rsidR="00853333" w:rsidRPr="00853333" w:rsidRDefault="00853333" w:rsidP="00853333">
      <w:pPr>
        <w:spacing w:before="120" w:after="0" w:line="300" w:lineRule="auto"/>
        <w:ind w:left="2070" w:hanging="720"/>
        <w:rPr>
          <w14:ligatures w14:val="standardContextual"/>
        </w:rPr>
      </w:pPr>
      <w:r w:rsidRPr="00853333">
        <w:rPr>
          <w14:ligatures w14:val="standardContextual"/>
        </w:rPr>
        <w:t xml:space="preserve">(ii) </w:t>
      </w:r>
      <w:r w:rsidRPr="00853333">
        <w:rPr>
          <w14:ligatures w14:val="standardContextual"/>
        </w:rPr>
        <w:tab/>
      </w:r>
      <w:r w:rsidRPr="00853333">
        <w:rPr>
          <w:szCs w:val="24"/>
          <w14:ligatures w14:val="standardContextual"/>
        </w:rPr>
        <w:t>Maintain</w:t>
      </w:r>
      <w:r w:rsidRPr="00853333">
        <w:rPr>
          <w14:ligatures w14:val="standardContextual"/>
        </w:rPr>
        <w:t xml:space="preserve"> power balance through</w:t>
      </w:r>
      <w:r w:rsidRPr="00853333">
        <w:rPr>
          <w:szCs w:val="24"/>
          <w14:ligatures w14:val="standardContextual"/>
        </w:rPr>
        <w:t xml:space="preserve"> the</w:t>
      </w:r>
      <w:r w:rsidRPr="00853333">
        <w:rPr>
          <w14:ligatures w14:val="standardContextual"/>
        </w:rPr>
        <w:t xml:space="preserve"> implementation of VRLs to reduce the Short-Term Load Forecast, self-scheduled High Priority Export Interchange Transactions, and MSR charge MWs pro-rata based on the MW amounts to match the available capacity.</w:t>
      </w:r>
    </w:p>
    <w:p w14:paraId="5498672B" w14:textId="6119F6B3" w:rsidR="00853333" w:rsidRPr="00853333" w:rsidRDefault="00853333" w:rsidP="00E679DC">
      <w:pPr>
        <w:pStyle w:val="Heading5"/>
      </w:pPr>
      <w:bookmarkStart w:id="3744" w:name="_Toc208563067"/>
      <w:bookmarkStart w:id="3745" w:name="_Ref214958438"/>
      <w:bookmarkStart w:id="3746" w:name="_Ref214958471"/>
      <w:r w:rsidRPr="00853333">
        <w:t>Solutions During Excess Generation Conditions</w:t>
      </w:r>
      <w:bookmarkEnd w:id="3744"/>
      <w:bookmarkEnd w:id="3745"/>
      <w:bookmarkEnd w:id="3746"/>
    </w:p>
    <w:p w14:paraId="75BAB7E1" w14:textId="77777777" w:rsidR="00853333" w:rsidRPr="00853333" w:rsidRDefault="00853333" w:rsidP="00853333">
      <w:pPr>
        <w:spacing w:before="120" w:line="300" w:lineRule="auto"/>
        <w:ind w:left="720" w:hanging="540"/>
        <w:rPr>
          <w14:ligatures w14:val="standardContextual"/>
        </w:rPr>
      </w:pPr>
      <w:r w:rsidRPr="00853333">
        <w:rPr>
          <w14:ligatures w14:val="standardContextual"/>
        </w:rPr>
        <w:t>(1)</w:t>
      </w:r>
      <w:r w:rsidRPr="00853333">
        <w:rPr>
          <w14:ligatures w14:val="standardContextual"/>
        </w:rPr>
        <w:tab/>
        <w:t>If the sum of Load Forecast, self-scheduled Uncommitted Export Interchange Transaction Bids</w:t>
      </w:r>
      <w:r w:rsidRPr="00853333">
        <w:rPr>
          <w:szCs w:val="24"/>
          <w14:ligatures w14:val="standardContextual"/>
        </w:rPr>
        <w:t>,</w:t>
      </w:r>
      <w:r w:rsidRPr="00853333">
        <w:rPr>
          <w14:ligatures w14:val="standardContextual"/>
        </w:rPr>
        <w:t xml:space="preserve"> and self-scheduled High Priority Export Interchange Transaction Bids in any hour are less than the sum of </w:t>
      </w:r>
      <w:r w:rsidRPr="00853333">
        <w:rPr>
          <w:szCs w:val="24"/>
          <w14:ligatures w14:val="standardContextual"/>
        </w:rPr>
        <w:t xml:space="preserve">the minimum outputs of the committed Resources, self-scheduled </w:t>
      </w:r>
      <w:r w:rsidRPr="00853333">
        <w:rPr>
          <w14:ligatures w14:val="standardContextual"/>
        </w:rPr>
        <w:t>Uncommitted Import Interchange Transaction Offers</w:t>
      </w:r>
      <w:r w:rsidRPr="00853333">
        <w:rPr>
          <w:szCs w:val="24"/>
          <w14:ligatures w14:val="standardContextual"/>
        </w:rPr>
        <w:t>,</w:t>
      </w:r>
      <w:r w:rsidRPr="00853333">
        <w:rPr>
          <w14:ligatures w14:val="standardContextual"/>
        </w:rPr>
        <w:t xml:space="preserve"> and self-scheduled High Priority Import Interchanges Transaction Offers in the subsequent Operating Hour, then the SCED algorithm will</w:t>
      </w:r>
      <w:r w:rsidRPr="00853333">
        <w:rPr>
          <w:szCs w:val="24"/>
          <w14:ligatures w14:val="standardContextual"/>
        </w:rPr>
        <w:t xml:space="preserve"> i</w:t>
      </w:r>
      <w:r w:rsidRPr="00853333">
        <w:rPr>
          <w14:ligatures w14:val="standardContextual"/>
        </w:rPr>
        <w:t xml:space="preserve">mplement Scarcity Pricing to the extent that the Flexibility Reserve Products requirements cannot be maintained, and sequentially: </w:t>
      </w:r>
    </w:p>
    <w:p w14:paraId="172D3C16" w14:textId="77777777" w:rsidR="00853333" w:rsidRPr="00853333" w:rsidRDefault="00853333" w:rsidP="00853333">
      <w:pPr>
        <w:spacing w:before="120" w:line="300" w:lineRule="auto"/>
        <w:ind w:left="1350" w:hanging="630"/>
        <w:rPr>
          <w14:ligatures w14:val="standardContextual"/>
        </w:rPr>
      </w:pPr>
      <w:r w:rsidRPr="00853333">
        <w:rPr>
          <w14:ligatures w14:val="standardContextual"/>
        </w:rPr>
        <w:t>(a)</w:t>
      </w:r>
      <w:r w:rsidRPr="00853333">
        <w:rPr>
          <w14:ligatures w14:val="standardContextual"/>
        </w:rPr>
        <w:tab/>
        <w:t>Dispatch any available Resource that is capable of charging;</w:t>
      </w:r>
    </w:p>
    <w:p w14:paraId="3D66C985" w14:textId="08E2869C" w:rsidR="00853333" w:rsidRPr="00853333" w:rsidRDefault="00853333" w:rsidP="00853333">
      <w:pPr>
        <w:spacing w:before="120" w:line="300" w:lineRule="auto"/>
        <w:ind w:left="1440" w:hanging="720"/>
        <w:rPr>
          <w14:ligatures w14:val="standardContextual"/>
        </w:rPr>
      </w:pPr>
      <w:r w:rsidRPr="00853333">
        <w:rPr>
          <w14:ligatures w14:val="standardContextual"/>
        </w:rPr>
        <w:t>(b)</w:t>
      </w:r>
      <w:r w:rsidRPr="00853333">
        <w:rPr>
          <w14:ligatures w14:val="standardContextual"/>
        </w:rPr>
        <w:tab/>
        <w:t>R</w:t>
      </w:r>
      <w:r w:rsidRPr="00853333">
        <w:rPr>
          <w:szCs w:val="24"/>
          <w14:ligatures w14:val="standardContextual"/>
        </w:rPr>
        <w:t>educe</w:t>
      </w:r>
      <w:r w:rsidRPr="00853333">
        <w:rPr>
          <w14:ligatures w14:val="standardContextual"/>
        </w:rPr>
        <w:t xml:space="preserve"> self-scheduled Uncommitted Import Interchanges Transaction Offers pro-rata based on MW amounts</w:t>
      </w:r>
      <w:r w:rsidRPr="00853333">
        <w:t xml:space="preserve"> </w:t>
      </w:r>
      <w:r w:rsidRPr="00853333">
        <w:rPr>
          <w14:ligatures w14:val="standardContextual"/>
        </w:rPr>
        <w:t>in accordance with WECC schedule change requirements; and</w:t>
      </w:r>
    </w:p>
    <w:p w14:paraId="632324EF" w14:textId="4E820170" w:rsidR="00853333" w:rsidRPr="00853333" w:rsidRDefault="00853333" w:rsidP="00E679DC">
      <w:pPr>
        <w:spacing w:before="120" w:line="300" w:lineRule="auto"/>
        <w:ind w:left="1350" w:hanging="630"/>
        <w:rPr>
          <w14:ligatures w14:val="standardContextual"/>
        </w:rPr>
      </w:pPr>
      <w:r w:rsidRPr="00853333">
        <w:rPr>
          <w14:ligatures w14:val="standardContextual"/>
        </w:rPr>
        <w:t>(c)</w:t>
      </w:r>
      <w:r w:rsidRPr="00853333">
        <w:rPr>
          <w14:ligatures w14:val="standardContextual"/>
        </w:rPr>
        <w:tab/>
      </w:r>
      <w:r w:rsidRPr="00853333">
        <w:rPr>
          <w:szCs w:val="24"/>
          <w14:ligatures w14:val="standardContextual"/>
        </w:rPr>
        <w:t>Reduce</w:t>
      </w:r>
      <w:r w:rsidRPr="00853333">
        <w:rPr>
          <w14:ligatures w14:val="standardContextual"/>
        </w:rPr>
        <w:t xml:space="preserve"> self-scheduled High Priority Import Interchange Transaction Offers pro-rata based on MW amounts</w:t>
      </w:r>
      <w:r w:rsidRPr="00853333">
        <w:t xml:space="preserve"> </w:t>
      </w:r>
      <w:r w:rsidRPr="00853333">
        <w:rPr>
          <w14:ligatures w14:val="standardContextual"/>
        </w:rPr>
        <w:t>in accordance with WECC schedule change requirements; then</w:t>
      </w:r>
    </w:p>
    <w:p w14:paraId="564CCFAC" w14:textId="77777777" w:rsidR="00853333" w:rsidRPr="00853333" w:rsidRDefault="00853333" w:rsidP="00853333">
      <w:pPr>
        <w:spacing w:before="120" w:line="300" w:lineRule="auto"/>
        <w:ind w:left="1350" w:hanging="630"/>
        <w:rPr>
          <w14:ligatures w14:val="standardContextual"/>
        </w:rPr>
      </w:pPr>
      <w:r w:rsidRPr="00853333">
        <w:rPr>
          <w14:ligatures w14:val="standardContextual"/>
        </w:rPr>
        <w:t>(d)</w:t>
      </w:r>
      <w:r w:rsidRPr="00853333">
        <w:rPr>
          <w14:ligatures w14:val="standardContextual"/>
        </w:rPr>
        <w:tab/>
      </w:r>
      <w:r w:rsidRPr="00853333">
        <w:rPr>
          <w:szCs w:val="24"/>
          <w14:ligatures w14:val="standardContextual"/>
        </w:rPr>
        <w:t>Relax</w:t>
      </w:r>
      <w:r w:rsidRPr="00853333">
        <w:rPr>
          <w14:ligatures w14:val="standardContextual"/>
        </w:rPr>
        <w:t xml:space="preserve"> enforcement of Resource minimum limits on a pro-rata basis to clear Resource Offers to meet Load Forecast, Uncommitted Export Interchange Transaction Bids, and High Priority Export Interchange Transactions</w:t>
      </w:r>
      <w:r w:rsidRPr="00853333">
        <w:rPr>
          <w:szCs w:val="24"/>
          <w14:ligatures w14:val="standardContextual"/>
        </w:rPr>
        <w:t xml:space="preserve">.   </w:t>
      </w:r>
    </w:p>
    <w:p w14:paraId="5BC7D412" w14:textId="77777777" w:rsidR="00853333" w:rsidRPr="00853333" w:rsidRDefault="00853333" w:rsidP="00853333">
      <w:pPr>
        <w:spacing w:before="120" w:line="300" w:lineRule="auto"/>
        <w:ind w:left="1350" w:hanging="630"/>
        <w:rPr>
          <w14:ligatures w14:val="standardContextual"/>
        </w:rPr>
      </w:pPr>
    </w:p>
    <w:p w14:paraId="1C1FA789" w14:textId="30C75F33" w:rsidR="00853333" w:rsidRPr="00853333" w:rsidRDefault="00853333" w:rsidP="00E679DC">
      <w:pPr>
        <w:pStyle w:val="Heading4"/>
      </w:pPr>
      <w:bookmarkStart w:id="3747" w:name="_Toc208563068"/>
      <w:r w:rsidRPr="00853333">
        <w:t>ST-RUC and Pre-RTBM Results</w:t>
      </w:r>
      <w:bookmarkEnd w:id="3747"/>
    </w:p>
    <w:p w14:paraId="056AE2F4" w14:textId="77777777" w:rsidR="00853333" w:rsidRPr="00853333" w:rsidRDefault="00853333" w:rsidP="00853333">
      <w:pPr>
        <w:spacing w:before="120" w:line="300" w:lineRule="auto"/>
        <w:rPr>
          <w:szCs w:val="24"/>
          <w14:ligatures w14:val="standardContextual"/>
        </w:rPr>
      </w:pPr>
      <w:r w:rsidRPr="00853333">
        <w:rPr>
          <w:szCs w:val="24"/>
          <w14:ligatures w14:val="standardContextual"/>
        </w:rPr>
        <w:t xml:space="preserve">The following results will be communicated to the Market Participants and BAs from the ST-RUC: </w:t>
      </w:r>
    </w:p>
    <w:p w14:paraId="7091563F" w14:textId="77777777" w:rsidR="00853333" w:rsidRPr="00853333" w:rsidRDefault="00853333" w:rsidP="00853333">
      <w:pPr>
        <w:numPr>
          <w:ilvl w:val="0"/>
          <w:numId w:val="455"/>
        </w:numPr>
        <w:spacing w:before="120" w:line="300" w:lineRule="auto"/>
        <w:ind w:left="450" w:hanging="450"/>
        <w:contextualSpacing/>
        <w:rPr>
          <w:szCs w:val="24"/>
          <w14:ligatures w14:val="standardContextual"/>
        </w:rPr>
      </w:pPr>
      <w:r w:rsidRPr="00853333">
        <w:rPr>
          <w:szCs w:val="24"/>
          <w14:ligatures w14:val="standardContextual"/>
        </w:rPr>
        <w:t>Commitment instructions for FSRs or any extensions to previous commitments.</w:t>
      </w:r>
    </w:p>
    <w:p w14:paraId="643430FA" w14:textId="77777777" w:rsidR="0027490B" w:rsidRDefault="0027490B" w:rsidP="00853333">
      <w:pPr>
        <w:rPr>
          <w:szCs w:val="24"/>
          <w14:ligatures w14:val="standardContextual"/>
        </w:rPr>
      </w:pPr>
    </w:p>
    <w:p w14:paraId="12A6A427" w14:textId="77777777" w:rsidR="00853333" w:rsidRPr="00853333" w:rsidRDefault="00853333" w:rsidP="00853333">
      <w:pPr>
        <w:rPr>
          <w:szCs w:val="24"/>
          <w14:ligatures w14:val="standardContextual"/>
        </w:rPr>
      </w:pPr>
      <w:r w:rsidRPr="00853333">
        <w:rPr>
          <w:szCs w:val="24"/>
          <w14:ligatures w14:val="standardContextual"/>
        </w:rPr>
        <w:t xml:space="preserve">The following results will be communicated to the Market Participants and BAs following the  Pre-RTBM SCED: </w:t>
      </w:r>
      <w:r w:rsidRPr="00853333">
        <w:rPr>
          <w:szCs w:val="24"/>
          <w14:ligatures w14:val="standardContextual"/>
        </w:rPr>
        <w:tab/>
      </w:r>
    </w:p>
    <w:p w14:paraId="1DF429FC" w14:textId="77777777" w:rsidR="00853333" w:rsidRPr="00853333" w:rsidRDefault="00853333" w:rsidP="00853333">
      <w:pPr>
        <w:numPr>
          <w:ilvl w:val="1"/>
          <w:numId w:val="389"/>
        </w:numPr>
        <w:spacing w:before="120" w:line="300" w:lineRule="auto"/>
        <w:ind w:left="547" w:hanging="547"/>
        <w:rPr>
          <w:szCs w:val="24"/>
          <w14:ligatures w14:val="standardContextual"/>
        </w:rPr>
      </w:pPr>
      <w:r w:rsidRPr="00853333">
        <w:rPr>
          <w:szCs w:val="24"/>
          <w14:ligatures w14:val="standardContextual"/>
        </w:rPr>
        <w:t xml:space="preserve">advisory Resource </w:t>
      </w:r>
      <w:r w:rsidRPr="00853333">
        <w:rPr>
          <w14:ligatures w14:val="standardContextual"/>
        </w:rPr>
        <w:t>volume</w:t>
      </w:r>
      <w:r w:rsidRPr="00853333">
        <w:rPr>
          <w:szCs w:val="24"/>
          <w14:ligatures w14:val="standardContextual"/>
        </w:rPr>
        <w:t xml:space="preserve"> for the next Operating Hour as a single hourly MW quantity for each Resource.  </w:t>
      </w:r>
    </w:p>
    <w:p w14:paraId="3AFB7CC4" w14:textId="77777777" w:rsidR="00853333" w:rsidRPr="00853333" w:rsidRDefault="00853333" w:rsidP="00853333">
      <w:pPr>
        <w:numPr>
          <w:ilvl w:val="1"/>
          <w:numId w:val="389"/>
        </w:numPr>
        <w:spacing w:before="120" w:line="300" w:lineRule="auto"/>
        <w:ind w:left="547" w:hanging="547"/>
        <w:rPr>
          <w:szCs w:val="24"/>
          <w14:ligatures w14:val="standardContextual"/>
        </w:rPr>
      </w:pPr>
      <w:r w:rsidRPr="00853333">
        <w:rPr>
          <w:szCs w:val="24"/>
          <w14:ligatures w14:val="standardContextual"/>
        </w:rPr>
        <w:t>Any necessary curtailment of tagged schedules resulting from capacity shortage or capacity excess conditions.</w:t>
      </w:r>
    </w:p>
    <w:p w14:paraId="5CEE4B56" w14:textId="77777777" w:rsidR="00853333" w:rsidRPr="00853333" w:rsidRDefault="00853333" w:rsidP="00853333">
      <w:pPr>
        <w:spacing w:before="120" w:line="300" w:lineRule="auto"/>
        <w:ind w:left="90"/>
        <w:rPr>
          <w:szCs w:val="24"/>
          <w14:ligatures w14:val="standardContextual"/>
        </w:rPr>
      </w:pPr>
      <w:r w:rsidRPr="00853333">
        <w:rPr>
          <w:szCs w:val="24"/>
          <w14:ligatures w14:val="standardContextual"/>
        </w:rPr>
        <w:t>The following results will be communicated only to the participating BAs following the Pre-RTBM SCED:</w:t>
      </w:r>
    </w:p>
    <w:p w14:paraId="3CCCFDCE" w14:textId="77777777" w:rsidR="00853333" w:rsidRPr="00853333" w:rsidRDefault="00853333" w:rsidP="00853333">
      <w:pPr>
        <w:numPr>
          <w:ilvl w:val="3"/>
          <w:numId w:val="454"/>
        </w:numPr>
        <w:spacing w:before="120" w:line="300" w:lineRule="auto"/>
        <w:ind w:left="540"/>
        <w:contextualSpacing/>
        <w:rPr>
          <w:szCs w:val="24"/>
          <w14:ligatures w14:val="standardContextual"/>
        </w:rPr>
      </w:pPr>
      <w:r w:rsidRPr="00853333">
        <w:rPr>
          <w:szCs w:val="24"/>
          <w14:ligatures w14:val="standardContextual"/>
        </w:rPr>
        <w:t>Real-time amounts for each MTI and MOTI that specifies a Normal transaction type on its associated e-Tag.  These will be communicated through the MUI and the Market Operator will perform a tag adjustment to reflect these volumes that wi</w:t>
      </w:r>
      <w:r w:rsidRPr="00853333">
        <w:rPr>
          <w:szCs w:val="24"/>
          <w:lang w:val="en"/>
          <w14:ligatures w14:val="standardContextual"/>
        </w:rPr>
        <w:t>ll remain fixed</w:t>
      </w:r>
      <w:r w:rsidRPr="00853333">
        <w:rPr>
          <w:szCs w:val="24"/>
          <w14:ligatures w14:val="standardContextual"/>
        </w:rPr>
        <w:t xml:space="preserve"> for the upcoming Operating Hour.</w:t>
      </w:r>
    </w:p>
    <w:p w14:paraId="1F31A054" w14:textId="6C7E0A2A" w:rsidR="00853333" w:rsidRPr="00853333" w:rsidRDefault="00853333" w:rsidP="00853333">
      <w:pPr>
        <w:numPr>
          <w:ilvl w:val="3"/>
          <w:numId w:val="454"/>
        </w:numPr>
        <w:spacing w:before="120" w:line="300" w:lineRule="auto"/>
        <w:ind w:left="540"/>
        <w:contextualSpacing/>
        <w:rPr>
          <w:szCs w:val="24"/>
          <w14:ligatures w14:val="standardContextual"/>
        </w:rPr>
      </w:pPr>
      <w:r w:rsidRPr="00853333">
        <w:rPr>
          <w:szCs w:val="24"/>
          <w14:ligatures w14:val="standardContextual"/>
        </w:rPr>
        <w:t xml:space="preserve">Advisory volumes for each MTI and MOTI that specifies a Dynamic transaction type on its associated e-Tag.  These will be communicated through the MUI for informational purposes.  </w:t>
      </w:r>
    </w:p>
    <w:p w14:paraId="51ADBBC9" w14:textId="77777777" w:rsidR="00853333" w:rsidRDefault="00853333" w:rsidP="004F22D7">
      <w:pPr>
        <w:spacing w:after="200" w:line="300" w:lineRule="auto"/>
        <w:rPr>
          <w:szCs w:val="24"/>
        </w:rPr>
      </w:pPr>
    </w:p>
    <w:p w14:paraId="731A917B" w14:textId="1B98D846" w:rsidR="00F83CA0" w:rsidRDefault="00F83CA0" w:rsidP="004F22D7">
      <w:pPr>
        <w:spacing w:after="200" w:line="300" w:lineRule="auto"/>
      </w:pPr>
      <w:r w:rsidRPr="00FC3438">
        <w:rPr>
          <w:bCs/>
        </w:rPr>
        <w:br w:type="page"/>
      </w:r>
    </w:p>
    <w:p w14:paraId="718D6D51" w14:textId="77777777" w:rsidR="00853333" w:rsidRPr="00FC3438" w:rsidRDefault="00853333" w:rsidP="004F22D7">
      <w:pPr>
        <w:spacing w:after="200" w:line="300" w:lineRule="auto"/>
        <w:rPr>
          <w:b/>
          <w:bCs/>
          <w:sz w:val="26"/>
        </w:rPr>
      </w:pPr>
    </w:p>
    <w:p w14:paraId="5D4C1F2E" w14:textId="2C9ADB1B" w:rsidR="00F83CA0" w:rsidRPr="00FC3438" w:rsidRDefault="00F83CA0" w:rsidP="00CB5653">
      <w:pPr>
        <w:pStyle w:val="Heading3"/>
      </w:pPr>
      <w:bookmarkStart w:id="3748" w:name="_Toc159232279"/>
      <w:bookmarkStart w:id="3749" w:name="_Toc213771860"/>
      <w:r w:rsidRPr="00FC3438">
        <w:t>Real-Time Balancing Market</w:t>
      </w:r>
      <w:bookmarkEnd w:id="3691"/>
      <w:bookmarkEnd w:id="3692"/>
      <w:bookmarkEnd w:id="3693"/>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8"/>
      <w:bookmarkEnd w:id="3749"/>
    </w:p>
    <w:p w14:paraId="4C551F85" w14:textId="4C7665BA" w:rsidR="00F83CA0" w:rsidRPr="00FC3438" w:rsidRDefault="00F83CA0" w:rsidP="00F83CA0">
      <w:pPr>
        <w:spacing w:line="300" w:lineRule="auto"/>
        <w:rPr>
          <w:szCs w:val="24"/>
        </w:rPr>
      </w:pPr>
      <w:r>
        <w:rPr>
          <w:szCs w:val="24"/>
        </w:rPr>
        <w:t>The Market Operator</w:t>
      </w:r>
      <w:r w:rsidRPr="00FC3438">
        <w:rPr>
          <w:szCs w:val="24"/>
        </w:rPr>
        <w:t xml:space="preserve"> operates the RTBM on a continuous 5-minute basis.  </w:t>
      </w:r>
      <w:r>
        <w:rPr>
          <w:szCs w:val="24"/>
        </w:rPr>
        <w:t>The Market Operator</w:t>
      </w:r>
      <w:r w:rsidRPr="00FC3438">
        <w:rPr>
          <w:szCs w:val="24"/>
        </w:rPr>
        <w:t xml:space="preserve"> clears the RTBM by determining the security-constrained dispatch that is the least costly means of balancing generation and load (supply/demand) while meeting Flexibility Reserve Products requirements within </w:t>
      </w:r>
      <w:r>
        <w:rPr>
          <w:szCs w:val="24"/>
        </w:rPr>
        <w:t xml:space="preserve">the </w:t>
      </w:r>
      <w:r w:rsidRPr="00FC3438">
        <w:rPr>
          <w:szCs w:val="24"/>
        </w:rPr>
        <w:t>Markets+ Footprint based on actual conditions, forecasted conditions, and submitted Offers.  The RTBM uses the same Network Model that is used in the D</w:t>
      </w:r>
      <w:r>
        <w:rPr>
          <w:szCs w:val="24"/>
        </w:rPr>
        <w:t xml:space="preserve">ay-Ahead </w:t>
      </w:r>
      <w:r w:rsidRPr="00FC3438">
        <w:rPr>
          <w:szCs w:val="24"/>
        </w:rPr>
        <w:t xml:space="preserve">Market, with all RTBM network configurations and constraints as determined from the most recent State Estimator results.  </w:t>
      </w:r>
    </w:p>
    <w:p w14:paraId="78A71C29" w14:textId="77777777" w:rsidR="00F83CA0" w:rsidRPr="00FC3438" w:rsidRDefault="00F83CA0" w:rsidP="00F83CA0">
      <w:pPr>
        <w:spacing w:line="300" w:lineRule="auto"/>
        <w:rPr>
          <w:szCs w:val="24"/>
        </w:rPr>
      </w:pPr>
      <w:r w:rsidRPr="00FC3438">
        <w:rPr>
          <w:szCs w:val="24"/>
        </w:rPr>
        <w:t>RTBM operations consist of three steps: (1) Process RTBM inputs; (2) Execute RTBM</w:t>
      </w:r>
      <w:r>
        <w:rPr>
          <w:szCs w:val="24"/>
        </w:rPr>
        <w:t>;</w:t>
      </w:r>
      <w:r w:rsidRPr="00FC3438">
        <w:rPr>
          <w:szCs w:val="24"/>
        </w:rPr>
        <w:t xml:space="preserve"> and (3) Post RTBM results.  Each of these steps is described in the following subsections.</w:t>
      </w:r>
    </w:p>
    <w:p w14:paraId="3DF051D9" w14:textId="45545CAB" w:rsidR="00F83CA0" w:rsidRPr="00FC3438" w:rsidRDefault="00F83CA0" w:rsidP="00574EDE">
      <w:pPr>
        <w:pStyle w:val="Heading4"/>
      </w:pPr>
      <w:bookmarkStart w:id="3750" w:name="_Toc145062779"/>
      <w:bookmarkStart w:id="3751" w:name="_Toc145067391"/>
      <w:bookmarkStart w:id="3752" w:name="_Toc146627713"/>
      <w:bookmarkStart w:id="3753" w:name="_Toc146629575"/>
      <w:bookmarkStart w:id="3754" w:name="_Toc146631442"/>
      <w:bookmarkStart w:id="3755" w:name="_Toc146633307"/>
      <w:bookmarkStart w:id="3756" w:name="_Toc146631034"/>
      <w:bookmarkStart w:id="3757" w:name="_Toc146793204"/>
      <w:bookmarkStart w:id="3758" w:name="_Toc146794900"/>
      <w:bookmarkStart w:id="3759" w:name="_Toc146796595"/>
      <w:bookmarkStart w:id="3760" w:name="_Toc146798283"/>
      <w:bookmarkStart w:id="3761" w:name="_Toc146800895"/>
      <w:bookmarkStart w:id="3762" w:name="_Toc146803530"/>
      <w:bookmarkStart w:id="3763" w:name="_Toc146805234"/>
      <w:bookmarkStart w:id="3764" w:name="_Toc146806938"/>
      <w:bookmarkStart w:id="3765" w:name="_Toc148704997"/>
      <w:bookmarkStart w:id="3766" w:name="_Toc149557955"/>
      <w:bookmarkStart w:id="3767" w:name="_Toc150785411"/>
      <w:bookmarkStart w:id="3768" w:name="_Toc150854865"/>
      <w:bookmarkStart w:id="3769" w:name="_Toc151991804"/>
      <w:bookmarkStart w:id="3770" w:name="_Toc152334904"/>
      <w:bookmarkStart w:id="3771" w:name="_Toc153271270"/>
      <w:bookmarkStart w:id="3772" w:name="_Toc157501105"/>
      <w:bookmarkStart w:id="3773" w:name="_Toc159232280"/>
      <w:bookmarkStart w:id="3774" w:name="_Toc145062783"/>
      <w:bookmarkStart w:id="3775" w:name="_Toc145067395"/>
      <w:bookmarkStart w:id="3776" w:name="_Toc146627717"/>
      <w:bookmarkStart w:id="3777" w:name="_Toc146629579"/>
      <w:bookmarkStart w:id="3778" w:name="_Toc146631446"/>
      <w:bookmarkStart w:id="3779" w:name="_Toc146633311"/>
      <w:bookmarkStart w:id="3780" w:name="_Toc146631038"/>
      <w:bookmarkStart w:id="3781" w:name="_Toc146793208"/>
      <w:bookmarkStart w:id="3782" w:name="_Toc146794904"/>
      <w:bookmarkStart w:id="3783" w:name="_Toc146796599"/>
      <w:bookmarkStart w:id="3784" w:name="_Toc146798287"/>
      <w:bookmarkStart w:id="3785" w:name="_Toc146800899"/>
      <w:bookmarkStart w:id="3786" w:name="_Toc146803534"/>
      <w:bookmarkStart w:id="3787" w:name="_Toc146805238"/>
      <w:bookmarkStart w:id="3788" w:name="_Toc146806942"/>
      <w:bookmarkStart w:id="3789" w:name="_Toc148705001"/>
      <w:bookmarkStart w:id="3790" w:name="_Toc149557959"/>
      <w:bookmarkStart w:id="3791" w:name="_Toc150785415"/>
      <w:bookmarkStart w:id="3792" w:name="_Toc150854869"/>
      <w:bookmarkStart w:id="3793" w:name="_Toc151991808"/>
      <w:bookmarkStart w:id="3794" w:name="_Toc152334908"/>
      <w:bookmarkStart w:id="3795" w:name="_Toc153271274"/>
      <w:bookmarkStart w:id="3796" w:name="_Toc157501109"/>
      <w:bookmarkStart w:id="3797" w:name="_Toc159232284"/>
      <w:bookmarkStart w:id="3798" w:name="_Toc145062785"/>
      <w:bookmarkStart w:id="3799" w:name="_Toc145067397"/>
      <w:bookmarkStart w:id="3800" w:name="_Toc146627719"/>
      <w:bookmarkStart w:id="3801" w:name="_Toc146629581"/>
      <w:bookmarkStart w:id="3802" w:name="_Toc146631448"/>
      <w:bookmarkStart w:id="3803" w:name="_Toc146633313"/>
      <w:bookmarkStart w:id="3804" w:name="_Toc146631040"/>
      <w:bookmarkStart w:id="3805" w:name="_Toc146793210"/>
      <w:bookmarkStart w:id="3806" w:name="_Toc146794906"/>
      <w:bookmarkStart w:id="3807" w:name="_Toc146796601"/>
      <w:bookmarkStart w:id="3808" w:name="_Toc146798289"/>
      <w:bookmarkStart w:id="3809" w:name="_Toc146800901"/>
      <w:bookmarkStart w:id="3810" w:name="_Toc146803536"/>
      <w:bookmarkStart w:id="3811" w:name="_Toc146805240"/>
      <w:bookmarkStart w:id="3812" w:name="_Toc146806944"/>
      <w:bookmarkStart w:id="3813" w:name="_Toc148705003"/>
      <w:bookmarkStart w:id="3814" w:name="_Toc149557961"/>
      <w:bookmarkStart w:id="3815" w:name="_Toc150785417"/>
      <w:bookmarkStart w:id="3816" w:name="_Toc150854871"/>
      <w:bookmarkStart w:id="3817" w:name="_Toc151991810"/>
      <w:bookmarkStart w:id="3818" w:name="_Toc152334910"/>
      <w:bookmarkStart w:id="3819" w:name="_Toc153271276"/>
      <w:bookmarkStart w:id="3820" w:name="_Toc157501111"/>
      <w:bookmarkStart w:id="3821" w:name="_Toc159232286"/>
      <w:bookmarkStart w:id="3822" w:name="_Toc145062787"/>
      <w:bookmarkStart w:id="3823" w:name="_Toc145067399"/>
      <w:bookmarkStart w:id="3824" w:name="_Toc146627721"/>
      <w:bookmarkStart w:id="3825" w:name="_Toc146629583"/>
      <w:bookmarkStart w:id="3826" w:name="_Toc146631450"/>
      <w:bookmarkStart w:id="3827" w:name="_Toc146633315"/>
      <w:bookmarkStart w:id="3828" w:name="_Toc146631042"/>
      <w:bookmarkStart w:id="3829" w:name="_Toc146793212"/>
      <w:bookmarkStart w:id="3830" w:name="_Toc146794908"/>
      <w:bookmarkStart w:id="3831" w:name="_Toc146796603"/>
      <w:bookmarkStart w:id="3832" w:name="_Toc146798291"/>
      <w:bookmarkStart w:id="3833" w:name="_Toc146800903"/>
      <w:bookmarkStart w:id="3834" w:name="_Toc146803538"/>
      <w:bookmarkStart w:id="3835" w:name="_Toc146805242"/>
      <w:bookmarkStart w:id="3836" w:name="_Toc146806946"/>
      <w:bookmarkStart w:id="3837" w:name="_Toc148705005"/>
      <w:bookmarkStart w:id="3838" w:name="_Toc149557963"/>
      <w:bookmarkStart w:id="3839" w:name="_Toc150785419"/>
      <w:bookmarkStart w:id="3840" w:name="_Toc150854873"/>
      <w:bookmarkStart w:id="3841" w:name="_Toc151991812"/>
      <w:bookmarkStart w:id="3842" w:name="_Toc152334912"/>
      <w:bookmarkStart w:id="3843" w:name="_Toc153271278"/>
      <w:bookmarkStart w:id="3844" w:name="_Toc157501113"/>
      <w:bookmarkStart w:id="3845" w:name="_Toc159232288"/>
      <w:bookmarkStart w:id="3846" w:name="_Toc145062791"/>
      <w:bookmarkStart w:id="3847" w:name="_Toc145067403"/>
      <w:bookmarkStart w:id="3848" w:name="_Toc146627725"/>
      <w:bookmarkStart w:id="3849" w:name="_Toc146629587"/>
      <w:bookmarkStart w:id="3850" w:name="_Toc146631454"/>
      <w:bookmarkStart w:id="3851" w:name="_Toc146633319"/>
      <w:bookmarkStart w:id="3852" w:name="_Toc146631046"/>
      <w:bookmarkStart w:id="3853" w:name="_Toc146793216"/>
      <w:bookmarkStart w:id="3854" w:name="_Toc146794912"/>
      <w:bookmarkStart w:id="3855" w:name="_Toc146796607"/>
      <w:bookmarkStart w:id="3856" w:name="_Toc146798295"/>
      <w:bookmarkStart w:id="3857" w:name="_Toc146800907"/>
      <w:bookmarkStart w:id="3858" w:name="_Toc146803542"/>
      <w:bookmarkStart w:id="3859" w:name="_Toc146805246"/>
      <w:bookmarkStart w:id="3860" w:name="_Toc146806950"/>
      <w:bookmarkStart w:id="3861" w:name="_Toc148705009"/>
      <w:bookmarkStart w:id="3862" w:name="_Toc149557967"/>
      <w:bookmarkStart w:id="3863" w:name="_Toc150785423"/>
      <w:bookmarkStart w:id="3864" w:name="_Toc150854877"/>
      <w:bookmarkStart w:id="3865" w:name="_Toc151991816"/>
      <w:bookmarkStart w:id="3866" w:name="_Toc152334916"/>
      <w:bookmarkStart w:id="3867" w:name="_Toc153271282"/>
      <w:bookmarkStart w:id="3868" w:name="_Toc157501117"/>
      <w:bookmarkStart w:id="3869" w:name="_Toc159232292"/>
      <w:bookmarkStart w:id="3870" w:name="_Toc145062792"/>
      <w:bookmarkStart w:id="3871" w:name="_Toc145067404"/>
      <w:bookmarkStart w:id="3872" w:name="_Toc146627726"/>
      <w:bookmarkStart w:id="3873" w:name="_Toc146629588"/>
      <w:bookmarkStart w:id="3874" w:name="_Toc146631455"/>
      <w:bookmarkStart w:id="3875" w:name="_Toc146633320"/>
      <w:bookmarkStart w:id="3876" w:name="_Toc146631047"/>
      <w:bookmarkStart w:id="3877" w:name="_Toc146793217"/>
      <w:bookmarkStart w:id="3878" w:name="_Toc146794913"/>
      <w:bookmarkStart w:id="3879" w:name="_Toc146796608"/>
      <w:bookmarkStart w:id="3880" w:name="_Toc146798296"/>
      <w:bookmarkStart w:id="3881" w:name="_Toc146800908"/>
      <w:bookmarkStart w:id="3882" w:name="_Toc146803543"/>
      <w:bookmarkStart w:id="3883" w:name="_Toc146805247"/>
      <w:bookmarkStart w:id="3884" w:name="_Toc146806951"/>
      <w:bookmarkStart w:id="3885" w:name="_Toc148705010"/>
      <w:bookmarkStart w:id="3886" w:name="_Toc149557968"/>
      <w:bookmarkStart w:id="3887" w:name="_Toc150785424"/>
      <w:bookmarkStart w:id="3888" w:name="_Toc150854878"/>
      <w:bookmarkStart w:id="3889" w:name="_Toc151991817"/>
      <w:bookmarkStart w:id="3890" w:name="_Toc152334917"/>
      <w:bookmarkStart w:id="3891" w:name="_Toc153271283"/>
      <w:bookmarkStart w:id="3892" w:name="_Toc157501118"/>
      <w:bookmarkStart w:id="3893" w:name="_Toc159232293"/>
      <w:bookmarkStart w:id="3894" w:name="_Toc145062793"/>
      <w:bookmarkStart w:id="3895" w:name="_Toc145067405"/>
      <w:bookmarkStart w:id="3896" w:name="_Toc146627727"/>
      <w:bookmarkStart w:id="3897" w:name="_Toc146629589"/>
      <w:bookmarkStart w:id="3898" w:name="_Toc146631456"/>
      <w:bookmarkStart w:id="3899" w:name="_Toc146633321"/>
      <w:bookmarkStart w:id="3900" w:name="_Toc146631048"/>
      <w:bookmarkStart w:id="3901" w:name="_Toc146793218"/>
      <w:bookmarkStart w:id="3902" w:name="_Toc146794914"/>
      <w:bookmarkStart w:id="3903" w:name="_Toc146796609"/>
      <w:bookmarkStart w:id="3904" w:name="_Toc146798297"/>
      <w:bookmarkStart w:id="3905" w:name="_Toc146800909"/>
      <w:bookmarkStart w:id="3906" w:name="_Toc146803544"/>
      <w:bookmarkStart w:id="3907" w:name="_Toc146805248"/>
      <w:bookmarkStart w:id="3908" w:name="_Toc146806952"/>
      <w:bookmarkStart w:id="3909" w:name="_Toc148705011"/>
      <w:bookmarkStart w:id="3910" w:name="_Toc149557969"/>
      <w:bookmarkStart w:id="3911" w:name="_Toc150785425"/>
      <w:bookmarkStart w:id="3912" w:name="_Toc150854879"/>
      <w:bookmarkStart w:id="3913" w:name="_Toc151991818"/>
      <w:bookmarkStart w:id="3914" w:name="_Toc152334918"/>
      <w:bookmarkStart w:id="3915" w:name="_Toc153271284"/>
      <w:bookmarkStart w:id="3916" w:name="_Toc157501119"/>
      <w:bookmarkStart w:id="3917" w:name="_Toc159232294"/>
      <w:bookmarkStart w:id="3918" w:name="_Toc145062794"/>
      <w:bookmarkStart w:id="3919" w:name="_Toc145067406"/>
      <w:bookmarkStart w:id="3920" w:name="_Toc146627728"/>
      <w:bookmarkStart w:id="3921" w:name="_Toc146629590"/>
      <w:bookmarkStart w:id="3922" w:name="_Toc146631457"/>
      <w:bookmarkStart w:id="3923" w:name="_Toc146633322"/>
      <w:bookmarkStart w:id="3924" w:name="_Toc146631049"/>
      <w:bookmarkStart w:id="3925" w:name="_Toc146793219"/>
      <w:bookmarkStart w:id="3926" w:name="_Toc146794915"/>
      <w:bookmarkStart w:id="3927" w:name="_Toc146796610"/>
      <w:bookmarkStart w:id="3928" w:name="_Toc146798298"/>
      <w:bookmarkStart w:id="3929" w:name="_Toc146800910"/>
      <w:bookmarkStart w:id="3930" w:name="_Toc146803545"/>
      <w:bookmarkStart w:id="3931" w:name="_Toc146805249"/>
      <w:bookmarkStart w:id="3932" w:name="_Toc146806953"/>
      <w:bookmarkStart w:id="3933" w:name="_Toc148705012"/>
      <w:bookmarkStart w:id="3934" w:name="_Toc149557970"/>
      <w:bookmarkStart w:id="3935" w:name="_Toc150785426"/>
      <w:bookmarkStart w:id="3936" w:name="_Toc150854880"/>
      <w:bookmarkStart w:id="3937" w:name="_Toc151991819"/>
      <w:bookmarkStart w:id="3938" w:name="_Toc152334919"/>
      <w:bookmarkStart w:id="3939" w:name="_Toc153271285"/>
      <w:bookmarkStart w:id="3940" w:name="_Toc157501120"/>
      <w:bookmarkStart w:id="3941" w:name="_Toc159232295"/>
      <w:bookmarkStart w:id="3942" w:name="_Toc145062795"/>
      <w:bookmarkStart w:id="3943" w:name="_Toc145067407"/>
      <w:bookmarkStart w:id="3944" w:name="_Toc146627729"/>
      <w:bookmarkStart w:id="3945" w:name="_Toc146629591"/>
      <w:bookmarkStart w:id="3946" w:name="_Toc146631458"/>
      <w:bookmarkStart w:id="3947" w:name="_Toc146633323"/>
      <w:bookmarkStart w:id="3948" w:name="_Toc146631050"/>
      <w:bookmarkStart w:id="3949" w:name="_Toc146793220"/>
      <w:bookmarkStart w:id="3950" w:name="_Toc146794916"/>
      <w:bookmarkStart w:id="3951" w:name="_Toc146796611"/>
      <w:bookmarkStart w:id="3952" w:name="_Toc146798299"/>
      <w:bookmarkStart w:id="3953" w:name="_Toc146800911"/>
      <w:bookmarkStart w:id="3954" w:name="_Toc146803546"/>
      <w:bookmarkStart w:id="3955" w:name="_Toc146805250"/>
      <w:bookmarkStart w:id="3956" w:name="_Toc146806954"/>
      <w:bookmarkStart w:id="3957" w:name="_Toc148705013"/>
      <w:bookmarkStart w:id="3958" w:name="_Toc149557971"/>
      <w:bookmarkStart w:id="3959" w:name="_Toc150785427"/>
      <w:bookmarkStart w:id="3960" w:name="_Toc150854881"/>
      <w:bookmarkStart w:id="3961" w:name="_Toc151991820"/>
      <w:bookmarkStart w:id="3962" w:name="_Toc152334920"/>
      <w:bookmarkStart w:id="3963" w:name="_Toc153271286"/>
      <w:bookmarkStart w:id="3964" w:name="_Toc157501121"/>
      <w:bookmarkStart w:id="3965" w:name="_Toc159232296"/>
      <w:bookmarkStart w:id="3966" w:name="_Toc145062796"/>
      <w:bookmarkStart w:id="3967" w:name="_Toc145067408"/>
      <w:bookmarkStart w:id="3968" w:name="_Toc146627730"/>
      <w:bookmarkStart w:id="3969" w:name="_Toc146629592"/>
      <w:bookmarkStart w:id="3970" w:name="_Toc146631459"/>
      <w:bookmarkStart w:id="3971" w:name="_Toc146633324"/>
      <w:bookmarkStart w:id="3972" w:name="_Toc146631051"/>
      <w:bookmarkStart w:id="3973" w:name="_Toc146793221"/>
      <w:bookmarkStart w:id="3974" w:name="_Toc146794917"/>
      <w:bookmarkStart w:id="3975" w:name="_Toc146796612"/>
      <w:bookmarkStart w:id="3976" w:name="_Toc146798300"/>
      <w:bookmarkStart w:id="3977" w:name="_Toc146800912"/>
      <w:bookmarkStart w:id="3978" w:name="_Toc146803547"/>
      <w:bookmarkStart w:id="3979" w:name="_Toc146805251"/>
      <w:bookmarkStart w:id="3980" w:name="_Toc146806955"/>
      <w:bookmarkStart w:id="3981" w:name="_Toc148705014"/>
      <w:bookmarkStart w:id="3982" w:name="_Toc149557972"/>
      <w:bookmarkStart w:id="3983" w:name="_Toc150785428"/>
      <w:bookmarkStart w:id="3984" w:name="_Toc150854882"/>
      <w:bookmarkStart w:id="3985" w:name="_Toc151991821"/>
      <w:bookmarkStart w:id="3986" w:name="_Toc152334921"/>
      <w:bookmarkStart w:id="3987" w:name="_Toc153271287"/>
      <w:bookmarkStart w:id="3988" w:name="_Toc157501122"/>
      <w:bookmarkStart w:id="3989" w:name="_Toc159232297"/>
      <w:bookmarkStart w:id="3990" w:name="_Toc145062797"/>
      <w:bookmarkStart w:id="3991" w:name="_Toc145067409"/>
      <w:bookmarkStart w:id="3992" w:name="_Toc146627731"/>
      <w:bookmarkStart w:id="3993" w:name="_Toc146629593"/>
      <w:bookmarkStart w:id="3994" w:name="_Toc146631460"/>
      <w:bookmarkStart w:id="3995" w:name="_Toc146633325"/>
      <w:bookmarkStart w:id="3996" w:name="_Toc146631052"/>
      <w:bookmarkStart w:id="3997" w:name="_Toc146793222"/>
      <w:bookmarkStart w:id="3998" w:name="_Toc146794918"/>
      <w:bookmarkStart w:id="3999" w:name="_Toc146796613"/>
      <w:bookmarkStart w:id="4000" w:name="_Toc146798301"/>
      <w:bookmarkStart w:id="4001" w:name="_Toc146800913"/>
      <w:bookmarkStart w:id="4002" w:name="_Toc146803548"/>
      <w:bookmarkStart w:id="4003" w:name="_Toc146805252"/>
      <w:bookmarkStart w:id="4004" w:name="_Toc146806956"/>
      <w:bookmarkStart w:id="4005" w:name="_Toc148705015"/>
      <w:bookmarkStart w:id="4006" w:name="_Toc149557973"/>
      <w:bookmarkStart w:id="4007" w:name="_Toc150785429"/>
      <w:bookmarkStart w:id="4008" w:name="_Toc150854883"/>
      <w:bookmarkStart w:id="4009" w:name="_Toc151991822"/>
      <w:bookmarkStart w:id="4010" w:name="_Toc152334922"/>
      <w:bookmarkStart w:id="4011" w:name="_Toc153271288"/>
      <w:bookmarkStart w:id="4012" w:name="_Toc157501123"/>
      <w:bookmarkStart w:id="4013" w:name="_Toc159232298"/>
      <w:bookmarkStart w:id="4014" w:name="_Toc145062798"/>
      <w:bookmarkStart w:id="4015" w:name="_Toc145067410"/>
      <w:bookmarkStart w:id="4016" w:name="_Toc146627732"/>
      <w:bookmarkStart w:id="4017" w:name="_Toc146629594"/>
      <w:bookmarkStart w:id="4018" w:name="_Toc146631461"/>
      <w:bookmarkStart w:id="4019" w:name="_Toc146633326"/>
      <w:bookmarkStart w:id="4020" w:name="_Toc146631053"/>
      <w:bookmarkStart w:id="4021" w:name="_Toc146793223"/>
      <w:bookmarkStart w:id="4022" w:name="_Toc146794919"/>
      <w:bookmarkStart w:id="4023" w:name="_Toc146796614"/>
      <w:bookmarkStart w:id="4024" w:name="_Toc146798302"/>
      <w:bookmarkStart w:id="4025" w:name="_Toc146800914"/>
      <w:bookmarkStart w:id="4026" w:name="_Toc146803549"/>
      <w:bookmarkStart w:id="4027" w:name="_Toc146805253"/>
      <w:bookmarkStart w:id="4028" w:name="_Toc146806957"/>
      <w:bookmarkStart w:id="4029" w:name="_Toc148705016"/>
      <w:bookmarkStart w:id="4030" w:name="_Toc149557974"/>
      <w:bookmarkStart w:id="4031" w:name="_Toc150785430"/>
      <w:bookmarkStart w:id="4032" w:name="_Toc150854884"/>
      <w:bookmarkStart w:id="4033" w:name="_Toc151991823"/>
      <w:bookmarkStart w:id="4034" w:name="_Toc152334923"/>
      <w:bookmarkStart w:id="4035" w:name="_Toc153271289"/>
      <w:bookmarkStart w:id="4036" w:name="_Toc157501124"/>
      <w:bookmarkStart w:id="4037" w:name="_Toc159232299"/>
      <w:bookmarkStart w:id="4038" w:name="_Toc134796675"/>
      <w:bookmarkStart w:id="4039" w:name="_Toc134798971"/>
      <w:bookmarkStart w:id="4040" w:name="_Toc145059379"/>
      <w:bookmarkStart w:id="4041" w:name="_Toc145062801"/>
      <w:bookmarkStart w:id="4042" w:name="_Toc145067413"/>
      <w:bookmarkStart w:id="4043" w:name="_Toc146627735"/>
      <w:bookmarkStart w:id="4044" w:name="_Toc146629597"/>
      <w:bookmarkStart w:id="4045" w:name="_Toc146631464"/>
      <w:bookmarkStart w:id="4046" w:name="_Toc146633329"/>
      <w:bookmarkStart w:id="4047" w:name="_Toc146631056"/>
      <w:bookmarkStart w:id="4048" w:name="_Toc146793226"/>
      <w:bookmarkStart w:id="4049" w:name="_Toc146794922"/>
      <w:bookmarkStart w:id="4050" w:name="_Toc146796617"/>
      <w:bookmarkStart w:id="4051" w:name="_Toc146798305"/>
      <w:bookmarkStart w:id="4052" w:name="_Toc146800917"/>
      <w:bookmarkStart w:id="4053" w:name="_Toc146803552"/>
      <w:bookmarkStart w:id="4054" w:name="_Toc146805256"/>
      <w:bookmarkStart w:id="4055" w:name="_Toc146806960"/>
      <w:bookmarkStart w:id="4056" w:name="_Toc148705019"/>
      <w:bookmarkStart w:id="4057" w:name="_Toc149557977"/>
      <w:bookmarkStart w:id="4058" w:name="_Toc150785433"/>
      <w:bookmarkStart w:id="4059" w:name="_Toc150854887"/>
      <w:bookmarkStart w:id="4060" w:name="_Toc151991826"/>
      <w:bookmarkStart w:id="4061" w:name="_Toc152334926"/>
      <w:bookmarkStart w:id="4062" w:name="_Toc153271292"/>
      <w:bookmarkStart w:id="4063" w:name="_Toc157501127"/>
      <w:bookmarkStart w:id="4064" w:name="_Toc159232302"/>
      <w:bookmarkStart w:id="4065" w:name="_Toc241309305"/>
      <w:bookmarkStart w:id="4066" w:name="_Toc245633984"/>
      <w:bookmarkStart w:id="4067" w:name="_Toc245634136"/>
      <w:bookmarkStart w:id="4068" w:name="_Toc245728026"/>
      <w:bookmarkStart w:id="4069" w:name="_Toc248644150"/>
      <w:bookmarkStart w:id="4070" w:name="_Toc258924876"/>
      <w:bookmarkStart w:id="4071" w:name="_Ref261348446"/>
      <w:bookmarkStart w:id="4072" w:name="_Toc263173315"/>
      <w:bookmarkStart w:id="4073" w:name="_Toc263429429"/>
      <w:bookmarkStart w:id="4074" w:name="_Toc263795467"/>
      <w:bookmarkStart w:id="4075" w:name="_Toc266869644"/>
      <w:bookmarkStart w:id="4076" w:name="_Ref121900535"/>
      <w:bookmarkStart w:id="4077" w:name="_Toc159232303"/>
      <w:bookmarkStart w:id="4078" w:name="_Toc213771861"/>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r w:rsidRPr="00FC3438">
        <w:t>RTBM</w:t>
      </w:r>
      <w:bookmarkEnd w:id="4065"/>
      <w:r w:rsidRPr="00FC3438">
        <w:t xml:space="preserve"> Inputs</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14:paraId="4780BC89" w14:textId="77777777" w:rsidR="00F83CA0" w:rsidRPr="00FC3438" w:rsidRDefault="00F83CA0" w:rsidP="00F83CA0">
      <w:pPr>
        <w:spacing w:line="300" w:lineRule="auto"/>
        <w:rPr>
          <w:szCs w:val="24"/>
        </w:rPr>
      </w:pPr>
      <w:r w:rsidRPr="00FC3438">
        <w:rPr>
          <w:szCs w:val="24"/>
        </w:rPr>
        <w:t>Inputs into the RTBM algorithm consist of data provided prior to each Operating Hour and data provided within each Operating Hour.</w:t>
      </w:r>
    </w:p>
    <w:p w14:paraId="30CDB148" w14:textId="1AA201C8" w:rsidR="00F83CA0" w:rsidRPr="00FC3438" w:rsidRDefault="00F83CA0" w:rsidP="00574654">
      <w:pPr>
        <w:pStyle w:val="Heading5"/>
      </w:pPr>
      <w:bookmarkStart w:id="4079" w:name="_Toc241309306"/>
      <w:bookmarkStart w:id="4080" w:name="_Toc159232304"/>
      <w:bookmarkStart w:id="4081" w:name="_Toc213771862"/>
      <w:r w:rsidRPr="00FC3438">
        <w:t>Pre-Operating Hour Inputs</w:t>
      </w:r>
      <w:bookmarkEnd w:id="4079"/>
      <w:bookmarkEnd w:id="4080"/>
      <w:bookmarkEnd w:id="4081"/>
    </w:p>
    <w:p w14:paraId="5E16E501" w14:textId="77777777" w:rsidR="00F83CA0" w:rsidRPr="00FC3438" w:rsidRDefault="00F83CA0" w:rsidP="00EE45E7">
      <w:pPr>
        <w:numPr>
          <w:ilvl w:val="0"/>
          <w:numId w:val="99"/>
        </w:numPr>
        <w:spacing w:before="120" w:line="300" w:lineRule="auto"/>
        <w:ind w:hanging="540"/>
        <w:rPr>
          <w:szCs w:val="24"/>
        </w:rPr>
      </w:pPr>
      <w:r w:rsidRPr="00FC3438">
        <w:rPr>
          <w:szCs w:val="24"/>
        </w:rPr>
        <w:t>RTBM Resource Offers;</w:t>
      </w:r>
    </w:p>
    <w:p w14:paraId="2F5C4D01" w14:textId="206EBB60" w:rsidR="00F83CA0" w:rsidRPr="00FC3438" w:rsidRDefault="00F83CA0" w:rsidP="00EE45E7">
      <w:pPr>
        <w:numPr>
          <w:ilvl w:val="0"/>
          <w:numId w:val="99"/>
        </w:numPr>
        <w:spacing w:before="120" w:line="300" w:lineRule="auto"/>
        <w:ind w:hanging="540"/>
        <w:rPr>
          <w:szCs w:val="24"/>
        </w:rPr>
      </w:pPr>
      <w:r w:rsidRPr="00FC3438">
        <w:rPr>
          <w:szCs w:val="24"/>
        </w:rPr>
        <w:t>Approved and tagged Export Interchange Transactions, Import Interchange Transactions</w:t>
      </w:r>
      <w:r w:rsidR="00A23805">
        <w:rPr>
          <w:szCs w:val="24"/>
        </w:rPr>
        <w:t>,</w:t>
      </w:r>
      <w:r w:rsidRPr="00FC3438">
        <w:rPr>
          <w:szCs w:val="24"/>
        </w:rPr>
        <w:t xml:space="preserve"> and Through Interchange Transactions;</w:t>
      </w:r>
    </w:p>
    <w:p w14:paraId="0302D996" w14:textId="62AE24BB" w:rsidR="00F83CA0" w:rsidRPr="00FC3438" w:rsidRDefault="00F83CA0" w:rsidP="00EE45E7">
      <w:pPr>
        <w:numPr>
          <w:ilvl w:val="0"/>
          <w:numId w:val="114"/>
        </w:numPr>
        <w:tabs>
          <w:tab w:val="num" w:pos="1440"/>
        </w:tabs>
        <w:spacing w:before="120" w:line="300" w:lineRule="auto"/>
        <w:ind w:left="1440" w:hanging="540"/>
        <w:rPr>
          <w:szCs w:val="24"/>
        </w:rPr>
      </w:pPr>
      <w:r w:rsidRPr="00FC3438">
        <w:rPr>
          <w:szCs w:val="24"/>
        </w:rPr>
        <w:t xml:space="preserve">Interchange Transactions submitted at an External Interface, </w:t>
      </w:r>
      <w:r>
        <w:rPr>
          <w:szCs w:val="24"/>
        </w:rPr>
        <w:t>the Market Operator</w:t>
      </w:r>
      <w:r w:rsidRPr="00FC3438">
        <w:rPr>
          <w:szCs w:val="24"/>
        </w:rPr>
        <w:t xml:space="preserve"> uses a common set of weighting factors to distribute the MWs down to </w:t>
      </w:r>
      <w:r w:rsidR="002D623C">
        <w:rPr>
          <w:szCs w:val="24"/>
        </w:rPr>
        <w:t>Pnode</w:t>
      </w:r>
      <w:r w:rsidRPr="00FC3438">
        <w:rPr>
          <w:szCs w:val="24"/>
        </w:rPr>
        <w:t xml:space="preserve">s included in the External Interface for modeling purposes.  These weighting factors are determined by </w:t>
      </w:r>
      <w:r>
        <w:rPr>
          <w:szCs w:val="24"/>
        </w:rPr>
        <w:t>the Market Operator</w:t>
      </w:r>
      <w:r w:rsidRPr="00FC3438">
        <w:rPr>
          <w:szCs w:val="24"/>
        </w:rPr>
        <w:t xml:space="preserve"> at the time the External Interface is created and are not dependent upon historical injections or withdrawals.</w:t>
      </w:r>
    </w:p>
    <w:p w14:paraId="1F620824" w14:textId="7223BC52" w:rsidR="00F83CA0" w:rsidRPr="00FC3438" w:rsidRDefault="00F83CA0" w:rsidP="00EE45E7">
      <w:pPr>
        <w:numPr>
          <w:ilvl w:val="0"/>
          <w:numId w:val="99"/>
        </w:numPr>
        <w:spacing w:before="120" w:line="300" w:lineRule="auto"/>
        <w:ind w:hanging="540"/>
        <w:rPr>
          <w:szCs w:val="24"/>
        </w:rPr>
      </w:pPr>
      <w:r w:rsidRPr="00FC3438">
        <w:rPr>
          <w:szCs w:val="24"/>
        </w:rPr>
        <w:t>Flexibility Reserve Products requirements (</w:t>
      </w:r>
      <w:r>
        <w:rPr>
          <w:szCs w:val="24"/>
        </w:rPr>
        <w:t>market</w:t>
      </w:r>
      <w:r w:rsidRPr="00FC3438">
        <w:rPr>
          <w:szCs w:val="24"/>
        </w:rPr>
        <w:t xml:space="preserve">-wide and Reserve Zone min and max); </w:t>
      </w:r>
    </w:p>
    <w:p w14:paraId="0EDF0CD9" w14:textId="77777777" w:rsidR="00F83CA0" w:rsidRPr="00FC3438" w:rsidRDefault="00F83CA0" w:rsidP="00EE45E7">
      <w:pPr>
        <w:numPr>
          <w:ilvl w:val="0"/>
          <w:numId w:val="99"/>
        </w:numPr>
        <w:spacing w:before="120" w:line="300" w:lineRule="auto"/>
        <w:ind w:hanging="540"/>
        <w:rPr>
          <w:szCs w:val="24"/>
        </w:rPr>
      </w:pPr>
      <w:r w:rsidRPr="00FC3438">
        <w:rPr>
          <w:szCs w:val="24"/>
        </w:rPr>
        <w:t>Resource commitment from the Current Operating Plan;</w:t>
      </w:r>
    </w:p>
    <w:p w14:paraId="1DFC9B0E" w14:textId="77777777" w:rsidR="00F83CA0" w:rsidRDefault="00F83CA0" w:rsidP="00EE45E7">
      <w:pPr>
        <w:numPr>
          <w:ilvl w:val="0"/>
          <w:numId w:val="100"/>
        </w:numPr>
        <w:spacing w:before="120" w:line="300" w:lineRule="auto"/>
        <w:rPr>
          <w:szCs w:val="24"/>
        </w:rPr>
      </w:pPr>
      <w:r w:rsidRPr="00FC3438">
        <w:rPr>
          <w:szCs w:val="24"/>
        </w:rPr>
        <w:t xml:space="preserve">The Current Operating Plan includes Resource commitments and Resource de-commitments from the </w:t>
      </w:r>
      <w:r>
        <w:rPr>
          <w:szCs w:val="24"/>
        </w:rPr>
        <w:t>Day-Ahead</w:t>
      </w:r>
      <w:r w:rsidRPr="00FC3438">
        <w:rPr>
          <w:szCs w:val="24"/>
        </w:rPr>
        <w:t xml:space="preserve"> Market, Day-Ahead RUC</w:t>
      </w:r>
      <w:r>
        <w:rPr>
          <w:szCs w:val="24"/>
        </w:rPr>
        <w:t>,</w:t>
      </w:r>
      <w:r w:rsidRPr="00FC3438">
        <w:rPr>
          <w:szCs w:val="24"/>
        </w:rPr>
        <w:t xml:space="preserve"> and Intra-Day RUC</w:t>
      </w:r>
      <w:r>
        <w:rPr>
          <w:szCs w:val="24"/>
        </w:rPr>
        <w:t xml:space="preserve">; </w:t>
      </w:r>
    </w:p>
    <w:p w14:paraId="66117ECF" w14:textId="5FFC9A56" w:rsidR="001F5D55" w:rsidRDefault="001F5D55" w:rsidP="007434C0">
      <w:pPr>
        <w:numPr>
          <w:ilvl w:val="0"/>
          <w:numId w:val="99"/>
        </w:numPr>
        <w:tabs>
          <w:tab w:val="clear" w:pos="720"/>
        </w:tabs>
        <w:spacing w:before="120" w:line="300" w:lineRule="auto"/>
        <w:ind w:hanging="540"/>
        <w:rPr>
          <w:szCs w:val="24"/>
        </w:rPr>
      </w:pPr>
      <w:r>
        <w:rPr>
          <w:szCs w:val="24"/>
        </w:rPr>
        <w:t>MTI and MOTI fixed quantities from the Pre-RTBM solution for MTIs and MOTIs with a transaction type of “Normal”</w:t>
      </w:r>
      <w:r w:rsidRPr="006E7418">
        <w:rPr>
          <w:szCs w:val="24"/>
        </w:rPr>
        <w:t>;</w:t>
      </w:r>
    </w:p>
    <w:p w14:paraId="483AC841" w14:textId="77777777" w:rsidR="001F5D55" w:rsidRDefault="001F5D55" w:rsidP="007434C0">
      <w:pPr>
        <w:numPr>
          <w:ilvl w:val="0"/>
          <w:numId w:val="99"/>
        </w:numPr>
        <w:tabs>
          <w:tab w:val="clear" w:pos="720"/>
        </w:tabs>
        <w:spacing w:before="120" w:line="300" w:lineRule="auto"/>
        <w:ind w:hanging="540"/>
        <w:rPr>
          <w:szCs w:val="24"/>
        </w:rPr>
      </w:pPr>
      <w:r>
        <w:rPr>
          <w:szCs w:val="24"/>
        </w:rPr>
        <w:t xml:space="preserve">MTI and MOTI limits for MTIs and MOTIs with a transaction type of “Dynamic”; and </w:t>
      </w:r>
    </w:p>
    <w:p w14:paraId="12214586" w14:textId="77777777" w:rsidR="001F5D55" w:rsidRPr="00B3509D" w:rsidRDefault="001F5D55" w:rsidP="007434C0">
      <w:pPr>
        <w:numPr>
          <w:ilvl w:val="0"/>
          <w:numId w:val="99"/>
        </w:numPr>
        <w:tabs>
          <w:tab w:val="clear" w:pos="720"/>
        </w:tabs>
        <w:spacing w:before="120" w:line="300" w:lineRule="auto"/>
        <w:ind w:hanging="540"/>
        <w:rPr>
          <w:szCs w:val="24"/>
        </w:rPr>
      </w:pPr>
      <w:r>
        <w:rPr>
          <w:szCs w:val="24"/>
        </w:rPr>
        <w:t>BAA Scheduling Constraint limits.</w:t>
      </w:r>
    </w:p>
    <w:p w14:paraId="51558C0F" w14:textId="60FFA4CB" w:rsidR="00F83CA0" w:rsidRPr="00FC3438" w:rsidRDefault="00F83CA0" w:rsidP="00574654">
      <w:pPr>
        <w:pStyle w:val="Heading5"/>
      </w:pPr>
      <w:bookmarkStart w:id="4082" w:name="_Toc159232305"/>
      <w:bookmarkStart w:id="4083" w:name="_Toc213771863"/>
      <w:r w:rsidRPr="00FC3438">
        <w:t>In-Operating Hour Inputs</w:t>
      </w:r>
      <w:bookmarkEnd w:id="4082"/>
      <w:bookmarkEnd w:id="4083"/>
    </w:p>
    <w:p w14:paraId="59EB0B77" w14:textId="77777777" w:rsidR="00F83CA0" w:rsidRPr="00FC3438" w:rsidRDefault="00F83CA0" w:rsidP="00EE45E7">
      <w:pPr>
        <w:numPr>
          <w:ilvl w:val="0"/>
          <w:numId w:val="101"/>
        </w:numPr>
        <w:spacing w:before="120" w:line="300" w:lineRule="auto"/>
        <w:rPr>
          <w:szCs w:val="24"/>
        </w:rPr>
      </w:pPr>
      <w:r w:rsidRPr="00FC3438">
        <w:rPr>
          <w:szCs w:val="24"/>
        </w:rPr>
        <w:t>Latest State Estimator solution for:</w:t>
      </w:r>
    </w:p>
    <w:p w14:paraId="2923C347" w14:textId="77777777" w:rsidR="00F83CA0" w:rsidRPr="00FC3438" w:rsidRDefault="00F83CA0" w:rsidP="00EE45E7">
      <w:pPr>
        <w:numPr>
          <w:ilvl w:val="0"/>
          <w:numId w:val="111"/>
        </w:numPr>
        <w:spacing w:before="120" w:line="300" w:lineRule="auto"/>
        <w:ind w:hanging="540"/>
        <w:rPr>
          <w:szCs w:val="24"/>
        </w:rPr>
      </w:pPr>
      <w:r w:rsidRPr="00FC3438">
        <w:rPr>
          <w:szCs w:val="24"/>
        </w:rPr>
        <w:t>Distribution of load forecast throughout the Network Model;</w:t>
      </w:r>
    </w:p>
    <w:p w14:paraId="5C07359C" w14:textId="77777777" w:rsidR="00F83CA0" w:rsidRPr="00FC3438" w:rsidRDefault="00F83CA0" w:rsidP="00EE45E7">
      <w:pPr>
        <w:numPr>
          <w:ilvl w:val="0"/>
          <w:numId w:val="111"/>
        </w:numPr>
        <w:spacing w:before="120" w:line="300" w:lineRule="auto"/>
        <w:ind w:hanging="540"/>
        <w:rPr>
          <w:szCs w:val="24"/>
        </w:rPr>
      </w:pPr>
      <w:r w:rsidRPr="00FC3438">
        <w:rPr>
          <w:szCs w:val="24"/>
        </w:rPr>
        <w:t>Latest transmission topology for the Network Model; and</w:t>
      </w:r>
    </w:p>
    <w:p w14:paraId="1BA09211" w14:textId="78B9BB84" w:rsidR="00F83CA0" w:rsidRPr="00FC3438" w:rsidRDefault="00F83CA0" w:rsidP="00EE45E7">
      <w:pPr>
        <w:numPr>
          <w:ilvl w:val="0"/>
          <w:numId w:val="111"/>
        </w:numPr>
        <w:spacing w:before="120" w:line="300" w:lineRule="auto"/>
        <w:ind w:hanging="540"/>
        <w:rPr>
          <w:szCs w:val="24"/>
        </w:rPr>
      </w:pPr>
      <w:r w:rsidRPr="00FC3438">
        <w:rPr>
          <w:szCs w:val="24"/>
        </w:rPr>
        <w:t xml:space="preserve">Backup initial </w:t>
      </w:r>
      <w:r w:rsidR="00CD6E71">
        <w:rPr>
          <w:szCs w:val="24"/>
        </w:rPr>
        <w:t>E</w:t>
      </w:r>
      <w:r w:rsidRPr="00FC3438">
        <w:rPr>
          <w:szCs w:val="24"/>
        </w:rPr>
        <w:t>nergy injection of Resources if SCADA not available.</w:t>
      </w:r>
    </w:p>
    <w:p w14:paraId="7A105B55" w14:textId="085BB4D6" w:rsidR="00F83CA0" w:rsidRPr="00FC3438" w:rsidRDefault="00F83CA0" w:rsidP="00EE45E7">
      <w:pPr>
        <w:numPr>
          <w:ilvl w:val="0"/>
          <w:numId w:val="101"/>
        </w:numPr>
        <w:spacing w:before="120" w:line="300" w:lineRule="auto"/>
        <w:rPr>
          <w:szCs w:val="24"/>
        </w:rPr>
      </w:pPr>
      <w:r w:rsidRPr="00FC3438">
        <w:rPr>
          <w:szCs w:val="24"/>
        </w:rPr>
        <w:t xml:space="preserve">Real-Time Resource data from latest SCADA snapshot to determine initial </w:t>
      </w:r>
      <w:r w:rsidR="00CD6E71">
        <w:rPr>
          <w:szCs w:val="24"/>
        </w:rPr>
        <w:t>E</w:t>
      </w:r>
      <w:r w:rsidRPr="00FC3438">
        <w:rPr>
          <w:szCs w:val="24"/>
        </w:rPr>
        <w:t>nergy injection of Resources, Control Status, Generator outages, and State of Charge;</w:t>
      </w:r>
    </w:p>
    <w:p w14:paraId="608CBED1" w14:textId="77777777" w:rsidR="00F83CA0" w:rsidRPr="00FC3438" w:rsidRDefault="00F83CA0" w:rsidP="00EE45E7">
      <w:pPr>
        <w:numPr>
          <w:ilvl w:val="0"/>
          <w:numId w:val="101"/>
        </w:numPr>
        <w:spacing w:before="120" w:line="300" w:lineRule="auto"/>
        <w:rPr>
          <w:szCs w:val="24"/>
        </w:rPr>
      </w:pPr>
      <w:r w:rsidRPr="00FC3438">
        <w:rPr>
          <w:szCs w:val="24"/>
        </w:rPr>
        <w:t>Active transmission constraints</w:t>
      </w:r>
      <w:r>
        <w:rPr>
          <w:szCs w:val="24"/>
        </w:rPr>
        <w:t>, including Service Flow Constraints</w:t>
      </w:r>
      <w:r w:rsidRPr="00FC3438">
        <w:rPr>
          <w:szCs w:val="24"/>
        </w:rPr>
        <w:t xml:space="preserve">; </w:t>
      </w:r>
    </w:p>
    <w:p w14:paraId="12814A58" w14:textId="77777777" w:rsidR="00F83CA0" w:rsidRPr="00DA0E30" w:rsidRDefault="00F83CA0" w:rsidP="00EE45E7">
      <w:pPr>
        <w:numPr>
          <w:ilvl w:val="0"/>
          <w:numId w:val="101"/>
        </w:numPr>
        <w:spacing w:before="120" w:line="360" w:lineRule="auto"/>
        <w:rPr>
          <w:szCs w:val="24"/>
        </w:rPr>
      </w:pPr>
      <w:r>
        <w:rPr>
          <w:szCs w:val="24"/>
        </w:rPr>
        <w:t>Participating Balancing Authority Net Scheduled Interchange</w:t>
      </w:r>
      <w:r w:rsidRPr="00DA0E30">
        <w:rPr>
          <w:szCs w:val="24"/>
        </w:rPr>
        <w:t xml:space="preserve"> from latest SCADA snapshot;</w:t>
      </w:r>
    </w:p>
    <w:p w14:paraId="050DD376" w14:textId="77777777" w:rsidR="00F83CA0" w:rsidRPr="00DA0E30" w:rsidRDefault="00F83CA0" w:rsidP="00EE45E7">
      <w:pPr>
        <w:numPr>
          <w:ilvl w:val="0"/>
          <w:numId w:val="101"/>
        </w:numPr>
        <w:spacing w:before="120" w:line="360" w:lineRule="auto"/>
        <w:rPr>
          <w:szCs w:val="24"/>
        </w:rPr>
      </w:pPr>
      <w:r w:rsidRPr="00DA0E30">
        <w:rPr>
          <w:szCs w:val="24"/>
        </w:rPr>
        <w:t>Intra-</w:t>
      </w:r>
      <w:r>
        <w:rPr>
          <w:szCs w:val="24"/>
        </w:rPr>
        <w:t>h</w:t>
      </w:r>
      <w:r w:rsidRPr="00DA0E30">
        <w:rPr>
          <w:szCs w:val="24"/>
        </w:rPr>
        <w:t xml:space="preserve">our adjustments to </w:t>
      </w:r>
      <w:r>
        <w:rPr>
          <w:szCs w:val="24"/>
        </w:rPr>
        <w:t>Net Scheduled Interchange</w:t>
      </w:r>
      <w:r w:rsidRPr="00DA0E30">
        <w:rPr>
          <w:szCs w:val="24"/>
        </w:rPr>
        <w:t>;</w:t>
      </w:r>
    </w:p>
    <w:p w14:paraId="7E75FFE6" w14:textId="77777777" w:rsidR="00F83CA0" w:rsidRPr="00FC3438" w:rsidRDefault="00F83CA0" w:rsidP="00EE45E7">
      <w:pPr>
        <w:numPr>
          <w:ilvl w:val="0"/>
          <w:numId w:val="101"/>
        </w:numPr>
        <w:spacing w:before="120" w:line="300" w:lineRule="auto"/>
        <w:rPr>
          <w:szCs w:val="24"/>
        </w:rPr>
      </w:pPr>
      <w:r w:rsidRPr="00FC3438">
        <w:rPr>
          <w:szCs w:val="24"/>
        </w:rPr>
        <w:t>Intra-</w:t>
      </w:r>
      <w:r>
        <w:rPr>
          <w:szCs w:val="24"/>
        </w:rPr>
        <w:t>h</w:t>
      </w:r>
      <w:r w:rsidRPr="00FC3438">
        <w:rPr>
          <w:szCs w:val="24"/>
        </w:rPr>
        <w:t>our adjustments to Interchange Transactions due to curtailments;</w:t>
      </w:r>
    </w:p>
    <w:p w14:paraId="0FE716F0" w14:textId="77777777" w:rsidR="00F83CA0" w:rsidRPr="00FC3438" w:rsidRDefault="00F83CA0" w:rsidP="00EE45E7">
      <w:pPr>
        <w:numPr>
          <w:ilvl w:val="0"/>
          <w:numId w:val="101"/>
        </w:numPr>
        <w:spacing w:before="120" w:line="300" w:lineRule="auto"/>
        <w:rPr>
          <w:szCs w:val="24"/>
        </w:rPr>
      </w:pPr>
      <w:r w:rsidRPr="00FC3438">
        <w:rPr>
          <w:szCs w:val="24"/>
        </w:rPr>
        <w:t>Intra-</w:t>
      </w:r>
      <w:r>
        <w:rPr>
          <w:szCs w:val="24"/>
        </w:rPr>
        <w:t>h</w:t>
      </w:r>
      <w:r w:rsidRPr="00FC3438">
        <w:rPr>
          <w:szCs w:val="24"/>
        </w:rPr>
        <w:t>our adjustments to Resource Offer parameters;</w:t>
      </w:r>
    </w:p>
    <w:p w14:paraId="25FCF614" w14:textId="6E28C119" w:rsidR="008E6CEF" w:rsidRPr="00FC3438" w:rsidRDefault="00F83CA0" w:rsidP="00EE45E7">
      <w:pPr>
        <w:numPr>
          <w:ilvl w:val="0"/>
          <w:numId w:val="119"/>
        </w:numPr>
        <w:spacing w:before="120" w:line="300" w:lineRule="auto"/>
        <w:ind w:left="1440" w:hanging="540"/>
        <w:rPr>
          <w:szCs w:val="24"/>
        </w:rPr>
      </w:pPr>
      <w:r w:rsidRPr="00FC3438">
        <w:rPr>
          <w:szCs w:val="24"/>
        </w:rPr>
        <w:t xml:space="preserve">Market Participants are required to keep their Resource Offer operating parameters up-to-date during the Operating Day.  In the event of a required change in a Resource Offer operating parameter due to physical Resource changes during an Operating Hour, the Market Participant is responsible for notifying </w:t>
      </w:r>
      <w:r>
        <w:rPr>
          <w:szCs w:val="24"/>
        </w:rPr>
        <w:t>the Market Operator</w:t>
      </w:r>
      <w:r w:rsidRPr="00FC3438">
        <w:rPr>
          <w:szCs w:val="24"/>
        </w:rPr>
        <w:t xml:space="preserve"> of required changes, and </w:t>
      </w:r>
      <w:r>
        <w:rPr>
          <w:szCs w:val="24"/>
        </w:rPr>
        <w:t>the Market Operator</w:t>
      </w:r>
      <w:r w:rsidRPr="00FC3438">
        <w:rPr>
          <w:szCs w:val="24"/>
        </w:rPr>
        <w:t xml:space="preserve"> will make the required modification for the current Operating Hour.  Market Participants </w:t>
      </w:r>
      <w:r>
        <w:rPr>
          <w:szCs w:val="24"/>
        </w:rPr>
        <w:t>will</w:t>
      </w:r>
      <w:r w:rsidRPr="00FC3438">
        <w:rPr>
          <w:szCs w:val="24"/>
        </w:rPr>
        <w:t xml:space="preserve"> remain responsible for accurately reflecting Resource operating parameters in their Resource Offer submissions for subsequent hours.</w:t>
      </w:r>
    </w:p>
    <w:p w14:paraId="39C0B0C5" w14:textId="306110AC" w:rsidR="00F83CA0" w:rsidRPr="00FC3438" w:rsidRDefault="00F83CA0" w:rsidP="00EE45E7">
      <w:pPr>
        <w:numPr>
          <w:ilvl w:val="0"/>
          <w:numId w:val="101"/>
        </w:numPr>
        <w:spacing w:before="120" w:line="300" w:lineRule="auto"/>
        <w:rPr>
          <w:szCs w:val="24"/>
        </w:rPr>
      </w:pPr>
      <w:r>
        <w:rPr>
          <w:szCs w:val="24"/>
        </w:rPr>
        <w:t>Market Operator</w:t>
      </w:r>
      <w:r w:rsidRPr="00FC3438">
        <w:rPr>
          <w:szCs w:val="24"/>
        </w:rPr>
        <w:t xml:space="preserve"> Short-Term Load Forecast (STLF) as described under Section</w:t>
      </w:r>
      <w:r w:rsidR="003A7E51">
        <w:rPr>
          <w:szCs w:val="24"/>
        </w:rPr>
        <w:t xml:space="preserve"> </w:t>
      </w:r>
      <w:r w:rsidR="005C2BD3">
        <w:rPr>
          <w:szCs w:val="24"/>
        </w:rPr>
        <w:fldChar w:fldCharType="begin"/>
      </w:r>
      <w:r w:rsidR="005C2BD3">
        <w:rPr>
          <w:szCs w:val="24"/>
        </w:rPr>
        <w:instrText xml:space="preserve"> REF _Ref212551906 \r \h </w:instrText>
      </w:r>
      <w:r w:rsidR="005C2BD3">
        <w:rPr>
          <w:szCs w:val="24"/>
        </w:rPr>
      </w:r>
      <w:r w:rsidR="005C2BD3">
        <w:rPr>
          <w:szCs w:val="24"/>
        </w:rPr>
        <w:fldChar w:fldCharType="separate"/>
      </w:r>
      <w:r w:rsidR="005C2BD3">
        <w:rPr>
          <w:szCs w:val="24"/>
        </w:rPr>
        <w:t>4.1.2.1</w:t>
      </w:r>
      <w:r w:rsidR="005C2BD3">
        <w:rPr>
          <w:szCs w:val="24"/>
        </w:rPr>
        <w:fldChar w:fldCharType="end"/>
      </w:r>
      <w:r w:rsidRPr="00FC3438">
        <w:rPr>
          <w:szCs w:val="24"/>
        </w:rPr>
        <w:fldChar w:fldCharType="begin"/>
      </w:r>
      <w:r w:rsidRPr="00FC3438">
        <w:rPr>
          <w:szCs w:val="24"/>
        </w:rPr>
        <w:instrText xml:space="preserve"> REF _Ref270489990 \r \h </w:instrText>
      </w:r>
      <w:r w:rsidRPr="00FC3438">
        <w:rPr>
          <w:szCs w:val="24"/>
        </w:rPr>
      </w:r>
      <w:r w:rsidRPr="00FC3438">
        <w:rPr>
          <w:szCs w:val="24"/>
        </w:rPr>
        <w:fldChar w:fldCharType="separate"/>
      </w:r>
      <w:r w:rsidRPr="00FC3438">
        <w:rPr>
          <w:szCs w:val="24"/>
        </w:rPr>
        <w:fldChar w:fldCharType="end"/>
      </w:r>
      <w:r w:rsidRPr="00FC3438">
        <w:rPr>
          <w:szCs w:val="24"/>
        </w:rPr>
        <w:t>;</w:t>
      </w:r>
    </w:p>
    <w:p w14:paraId="304A570D" w14:textId="16C95919" w:rsidR="00F83CA0" w:rsidRPr="00FC3438" w:rsidRDefault="00F83CA0" w:rsidP="00EE45E7">
      <w:pPr>
        <w:numPr>
          <w:ilvl w:val="0"/>
          <w:numId w:val="112"/>
        </w:numPr>
        <w:spacing w:before="120" w:line="300" w:lineRule="auto"/>
        <w:ind w:hanging="540"/>
        <w:rPr>
          <w:szCs w:val="24"/>
        </w:rPr>
      </w:pPr>
      <w:r>
        <w:rPr>
          <w:szCs w:val="24"/>
        </w:rPr>
        <w:t>The Market Operator</w:t>
      </w:r>
      <w:r w:rsidRPr="00FC3438">
        <w:rPr>
          <w:szCs w:val="24"/>
        </w:rPr>
        <w:t xml:space="preserve"> distributes the STLF down to the associated </w:t>
      </w:r>
      <w:r w:rsidR="002D623C">
        <w:rPr>
          <w:szCs w:val="24"/>
        </w:rPr>
        <w:t>Pnode</w:t>
      </w:r>
      <w:r w:rsidRPr="00FC3438">
        <w:rPr>
          <w:szCs w:val="24"/>
        </w:rPr>
        <w:t xml:space="preserve">s using weighting factors for modeling purposes as described under Section </w:t>
      </w:r>
      <w:r w:rsidRPr="00FC3438">
        <w:rPr>
          <w:szCs w:val="24"/>
        </w:rPr>
        <w:fldChar w:fldCharType="begin"/>
      </w:r>
      <w:r w:rsidRPr="00FC3438">
        <w:rPr>
          <w:szCs w:val="24"/>
        </w:rPr>
        <w:instrText xml:space="preserve"> REF _Ref258484770 \r \h </w:instrText>
      </w:r>
      <w:r w:rsidRPr="00FC3438">
        <w:rPr>
          <w:szCs w:val="24"/>
        </w:rPr>
      </w:r>
      <w:r w:rsidRPr="00FC3438">
        <w:rPr>
          <w:szCs w:val="24"/>
        </w:rPr>
        <w:fldChar w:fldCharType="separate"/>
      </w:r>
      <w:r w:rsidRPr="00FC3438">
        <w:rPr>
          <w:szCs w:val="24"/>
        </w:rPr>
        <w:t>4.1.2.1.6</w:t>
      </w:r>
      <w:r w:rsidRPr="00FC3438">
        <w:rPr>
          <w:szCs w:val="24"/>
        </w:rPr>
        <w:fldChar w:fldCharType="end"/>
      </w:r>
      <w:r w:rsidRPr="00FC3438">
        <w:rPr>
          <w:szCs w:val="24"/>
        </w:rPr>
        <w:t xml:space="preserve">  </w:t>
      </w:r>
    </w:p>
    <w:p w14:paraId="2EFA4D43" w14:textId="77777777" w:rsidR="00F83CA0" w:rsidRPr="00FC3438" w:rsidRDefault="00F83CA0" w:rsidP="00EE45E7">
      <w:pPr>
        <w:numPr>
          <w:ilvl w:val="0"/>
          <w:numId w:val="101"/>
        </w:numPr>
        <w:spacing w:before="120" w:line="300" w:lineRule="auto"/>
        <w:rPr>
          <w:szCs w:val="24"/>
        </w:rPr>
      </w:pPr>
      <w:r>
        <w:rPr>
          <w:szCs w:val="24"/>
        </w:rPr>
        <w:t>Variable Energy</w:t>
      </w:r>
      <w:r w:rsidRPr="00FC3438">
        <w:rPr>
          <w:szCs w:val="24"/>
        </w:rPr>
        <w:t xml:space="preserve"> Resource</w:t>
      </w:r>
      <w:r>
        <w:rPr>
          <w:szCs w:val="24"/>
        </w:rPr>
        <w:t>s</w:t>
      </w:r>
      <w:r w:rsidRPr="00FC3438">
        <w:rPr>
          <w:szCs w:val="24"/>
        </w:rPr>
        <w:t xml:space="preserve"> output forecast as described under Section </w:t>
      </w:r>
      <w:r w:rsidRPr="00FC3438">
        <w:rPr>
          <w:szCs w:val="24"/>
        </w:rPr>
        <w:fldChar w:fldCharType="begin"/>
      </w:r>
      <w:r w:rsidRPr="00FC3438">
        <w:rPr>
          <w:szCs w:val="24"/>
        </w:rPr>
        <w:instrText xml:space="preserve"> REF _Ref160010533 \r \h </w:instrText>
      </w:r>
      <w:r w:rsidRPr="00FC3438">
        <w:rPr>
          <w:szCs w:val="24"/>
        </w:rPr>
      </w:r>
      <w:r w:rsidRPr="00FC3438">
        <w:rPr>
          <w:szCs w:val="24"/>
        </w:rPr>
        <w:fldChar w:fldCharType="separate"/>
      </w:r>
      <w:r w:rsidRPr="00FC3438">
        <w:rPr>
          <w:szCs w:val="24"/>
        </w:rPr>
        <w:t>4.1.2.2</w:t>
      </w:r>
      <w:r w:rsidRPr="00FC3438">
        <w:rPr>
          <w:szCs w:val="24"/>
        </w:rPr>
        <w:fldChar w:fldCharType="end"/>
      </w:r>
      <w:r w:rsidRPr="00FC3438">
        <w:rPr>
          <w:szCs w:val="24"/>
        </w:rPr>
        <w:t>.</w:t>
      </w:r>
    </w:p>
    <w:p w14:paraId="5372DE60" w14:textId="77777777" w:rsidR="00F83CA0" w:rsidRDefault="00F83CA0" w:rsidP="00F83CA0">
      <w:pPr>
        <w:spacing w:before="120" w:line="300" w:lineRule="auto"/>
        <w:ind w:left="540"/>
        <w:rPr>
          <w:szCs w:val="24"/>
        </w:rPr>
      </w:pPr>
    </w:p>
    <w:p w14:paraId="78C9FD4F" w14:textId="237D6184" w:rsidR="00F83CA0" w:rsidRPr="00FC3438" w:rsidRDefault="00F83CA0" w:rsidP="00574654">
      <w:pPr>
        <w:pStyle w:val="Heading5"/>
      </w:pPr>
      <w:bookmarkStart w:id="4084" w:name="_Ref425854525"/>
      <w:bookmarkStart w:id="4085" w:name="_Toc159232306"/>
      <w:bookmarkStart w:id="4086" w:name="_Toc213771864"/>
      <w:bookmarkStart w:id="4087" w:name="_Toc245633985"/>
      <w:bookmarkStart w:id="4088" w:name="_Toc245634137"/>
      <w:bookmarkStart w:id="4089" w:name="_Toc245728027"/>
      <w:bookmarkStart w:id="4090" w:name="_Toc248644151"/>
      <w:bookmarkStart w:id="4091" w:name="_Toc258924877"/>
      <w:bookmarkStart w:id="4092" w:name="_Toc263173316"/>
      <w:bookmarkStart w:id="4093" w:name="_Toc263429430"/>
      <w:bookmarkStart w:id="4094" w:name="_Toc263795468"/>
      <w:bookmarkStart w:id="4095" w:name="_Toc266869645"/>
      <w:bookmarkStart w:id="4096" w:name="_Ref267555450"/>
      <w:r w:rsidRPr="00FC3438">
        <w:t>Control Status</w:t>
      </w:r>
      <w:bookmarkEnd w:id="4084"/>
      <w:bookmarkEnd w:id="4085"/>
      <w:bookmarkEnd w:id="4086"/>
    </w:p>
    <w:p w14:paraId="7807CA3D" w14:textId="741BA960" w:rsidR="00F83CA0" w:rsidRPr="00FC3438" w:rsidRDefault="00F83CA0" w:rsidP="00F83CA0">
      <w:pPr>
        <w:spacing w:before="120" w:line="300" w:lineRule="auto"/>
      </w:pPr>
      <w:r w:rsidRPr="00FC3438">
        <w:t xml:space="preserve">The Control Statuses below apply to all Resources except for NDVERs.  The Control Status as it applies to NDVERs is discussed in Section </w:t>
      </w:r>
      <w:r w:rsidRPr="00FC3438">
        <w:fldChar w:fldCharType="begin"/>
      </w:r>
      <w:r w:rsidRPr="00FC3438">
        <w:instrText xml:space="preserve"> REF _Ref349289571 \r \h </w:instrText>
      </w:r>
      <w:r w:rsidRPr="00FC3438">
        <w:fldChar w:fldCharType="separate"/>
      </w:r>
      <w:r w:rsidRPr="00FC3438">
        <w:t>4.2.2.5.5</w:t>
      </w:r>
      <w:r w:rsidRPr="00FC3438">
        <w:fldChar w:fldCharType="end"/>
      </w:r>
      <w:r w:rsidRPr="00FC3438">
        <w:t xml:space="preserve">.  </w:t>
      </w:r>
    </w:p>
    <w:p w14:paraId="5DE680D1" w14:textId="77777777" w:rsidR="00F83CA0" w:rsidRPr="00FC3438" w:rsidRDefault="00F83CA0" w:rsidP="00EE45E7">
      <w:pPr>
        <w:numPr>
          <w:ilvl w:val="0"/>
          <w:numId w:val="125"/>
        </w:numPr>
        <w:spacing w:before="120" w:line="300" w:lineRule="auto"/>
        <w:contextualSpacing/>
      </w:pPr>
      <w:r w:rsidRPr="00FC3438">
        <w:rPr>
          <w:b/>
        </w:rPr>
        <w:t xml:space="preserve">Off-line (Control Status 0) – </w:t>
      </w:r>
      <w:r w:rsidRPr="00FC3438">
        <w:t>This Control Status indicates that the Resource is off-line and not available to the RTBM.  This status is reserved for Resources which are generating 0 MWs.  This includes Resources which are disconnected from the grid for an approved outage and Resources lacking a current commitment or start instruction.</w:t>
      </w:r>
    </w:p>
    <w:p w14:paraId="6EE8B919" w14:textId="1B839409" w:rsidR="00F83CA0" w:rsidRPr="00FC3438" w:rsidDel="00574A22" w:rsidRDefault="00F83CA0" w:rsidP="00EE45E7">
      <w:pPr>
        <w:numPr>
          <w:ilvl w:val="0"/>
          <w:numId w:val="125"/>
        </w:numPr>
        <w:spacing w:before="120" w:line="300" w:lineRule="auto"/>
      </w:pPr>
      <w:r>
        <w:rPr>
          <w:b/>
        </w:rPr>
        <w:t>Dispatchable</w:t>
      </w:r>
      <w:r w:rsidRPr="00FC3438" w:rsidDel="00574A22">
        <w:rPr>
          <w:b/>
        </w:rPr>
        <w:t xml:space="preserve"> (Control Status 1)</w:t>
      </w:r>
      <w:r w:rsidRPr="00FC3438" w:rsidDel="00574A22">
        <w:t xml:space="preserve"> – This Control Status indicates that the Resource is on-line and capable of following a Dispatch Target </w:t>
      </w:r>
      <w:r w:rsidRPr="00FC3438" w:rsidDel="008630A4">
        <w:t>and/or</w:t>
      </w:r>
      <w:r w:rsidRPr="00FC3438">
        <w:t xml:space="preserve"> deploy contingency reserve</w:t>
      </w:r>
      <w:r w:rsidRPr="00FC3438" w:rsidDel="00574A22">
        <w:t xml:space="preserve">.  </w:t>
      </w:r>
    </w:p>
    <w:p w14:paraId="7111F8DA" w14:textId="77777777" w:rsidR="00F83CA0" w:rsidRPr="00FC3438" w:rsidRDefault="00F83CA0" w:rsidP="00EE45E7">
      <w:pPr>
        <w:numPr>
          <w:ilvl w:val="0"/>
          <w:numId w:val="125"/>
        </w:numPr>
        <w:spacing w:before="120" w:line="300" w:lineRule="auto"/>
      </w:pPr>
      <w:r w:rsidRPr="00FC3438">
        <w:rPr>
          <w:b/>
        </w:rPr>
        <w:t>Manual (Control Status 3)</w:t>
      </w:r>
      <w:r w:rsidRPr="00FC3438">
        <w:t xml:space="preserve"> – This Control Status indicates that the Resource is on-line but not capable of following a Dispatch Target.  This status is reserved for generating Resources operating under the following conditions:</w:t>
      </w:r>
    </w:p>
    <w:p w14:paraId="5984BE4D" w14:textId="77777777" w:rsidR="00F83CA0" w:rsidRPr="00FC3438" w:rsidRDefault="00F83CA0" w:rsidP="00EE45E7">
      <w:pPr>
        <w:numPr>
          <w:ilvl w:val="1"/>
          <w:numId w:val="126"/>
        </w:numPr>
        <w:spacing w:before="120" w:line="300" w:lineRule="auto"/>
        <w:rPr>
          <w:szCs w:val="24"/>
        </w:rPr>
      </w:pPr>
      <w:r w:rsidRPr="00FC3438">
        <w:rPr>
          <w:szCs w:val="24"/>
        </w:rPr>
        <w:t>Start-up</w:t>
      </w:r>
    </w:p>
    <w:p w14:paraId="54857A98" w14:textId="77777777" w:rsidR="00F83CA0" w:rsidRPr="00FC3438" w:rsidRDefault="00F83CA0" w:rsidP="00EE45E7">
      <w:pPr>
        <w:numPr>
          <w:ilvl w:val="1"/>
          <w:numId w:val="126"/>
        </w:numPr>
        <w:spacing w:before="120" w:line="300" w:lineRule="auto"/>
      </w:pPr>
      <w:r w:rsidRPr="00FC3438">
        <w:t>Shut-down</w:t>
      </w:r>
    </w:p>
    <w:p w14:paraId="1FBD0545" w14:textId="77777777" w:rsidR="00F83CA0" w:rsidRPr="00FC3438" w:rsidRDefault="00F83CA0" w:rsidP="00EE45E7">
      <w:pPr>
        <w:numPr>
          <w:ilvl w:val="1"/>
          <w:numId w:val="126"/>
        </w:numPr>
        <w:spacing w:before="120" w:line="300" w:lineRule="auto"/>
        <w:rPr>
          <w:szCs w:val="24"/>
        </w:rPr>
      </w:pPr>
      <w:r w:rsidRPr="00FC3438">
        <w:rPr>
          <w:szCs w:val="24"/>
        </w:rPr>
        <w:t>Testing</w:t>
      </w:r>
    </w:p>
    <w:p w14:paraId="317FD8B2" w14:textId="77777777" w:rsidR="00F83CA0" w:rsidRPr="00FC3438" w:rsidRDefault="00F83CA0" w:rsidP="00EE45E7">
      <w:pPr>
        <w:numPr>
          <w:ilvl w:val="1"/>
          <w:numId w:val="126"/>
        </w:numPr>
        <w:spacing w:before="120" w:line="300" w:lineRule="auto"/>
      </w:pPr>
      <w:r w:rsidRPr="00FC3438">
        <w:t>Experiencing, or recovering from, a unit trip</w:t>
      </w:r>
    </w:p>
    <w:p w14:paraId="10A8FA16" w14:textId="77777777" w:rsidR="00F83CA0" w:rsidRPr="00FC3438" w:rsidRDefault="00F83CA0" w:rsidP="00EE45E7">
      <w:pPr>
        <w:numPr>
          <w:ilvl w:val="1"/>
          <w:numId w:val="126"/>
        </w:numPr>
        <w:spacing w:before="120" w:line="300" w:lineRule="auto"/>
        <w:rPr>
          <w:szCs w:val="24"/>
        </w:rPr>
      </w:pPr>
      <w:r w:rsidRPr="00FC3438">
        <w:rPr>
          <w:szCs w:val="24"/>
        </w:rPr>
        <w:t>Generating at an output to which the Resource is not capable of responding to a Dispatch Target</w:t>
      </w:r>
    </w:p>
    <w:p w14:paraId="3D8ED42A" w14:textId="77777777" w:rsidR="00F83CA0" w:rsidRPr="00FC3438" w:rsidRDefault="00F83CA0" w:rsidP="00EE45E7">
      <w:pPr>
        <w:numPr>
          <w:ilvl w:val="1"/>
          <w:numId w:val="126"/>
        </w:numPr>
        <w:spacing w:before="120" w:line="300" w:lineRule="auto"/>
      </w:pPr>
      <w:r w:rsidRPr="00FC3438">
        <w:t>Condensing</w:t>
      </w:r>
    </w:p>
    <w:p w14:paraId="2B6E359D" w14:textId="77777777" w:rsidR="00F83CA0" w:rsidRPr="00FC3438" w:rsidRDefault="00F83CA0" w:rsidP="00EE45E7">
      <w:pPr>
        <w:numPr>
          <w:ilvl w:val="1"/>
          <w:numId w:val="126"/>
        </w:numPr>
        <w:spacing w:before="120" w:line="300" w:lineRule="auto"/>
      </w:pPr>
      <w:r w:rsidRPr="00FC3438">
        <w:t>Experiencing environmental, control</w:t>
      </w:r>
      <w:r>
        <w:t>,</w:t>
      </w:r>
      <w:r w:rsidRPr="00FC3438">
        <w:t xml:space="preserve"> or mechanical issues  </w:t>
      </w:r>
    </w:p>
    <w:p w14:paraId="3E0B8028" w14:textId="77777777" w:rsidR="00F83CA0" w:rsidRPr="00FC3438" w:rsidRDefault="00F83CA0" w:rsidP="00EE45E7">
      <w:pPr>
        <w:numPr>
          <w:ilvl w:val="1"/>
          <w:numId w:val="126"/>
        </w:numPr>
        <w:spacing w:before="120" w:line="300" w:lineRule="auto"/>
      </w:pPr>
      <w:r w:rsidRPr="00FC3438">
        <w:t>Qualifying Facility exercising its rights under PURPA to deliver its net output to its host utility.</w:t>
      </w:r>
    </w:p>
    <w:p w14:paraId="5A405A3E" w14:textId="77777777" w:rsidR="00F83CA0" w:rsidRPr="00FC3438" w:rsidRDefault="00F83CA0" w:rsidP="00F83CA0">
      <w:pPr>
        <w:spacing w:line="300" w:lineRule="auto"/>
      </w:pPr>
      <w:r w:rsidRPr="00FC3438">
        <w:t xml:space="preserve">While operating in “Manual” Control Status, the Setpoint Target is an echo of the latest SCADA output or State Estimator solution output, if SCADA is not available. </w:t>
      </w:r>
    </w:p>
    <w:p w14:paraId="71D2E2F3" w14:textId="12748F14" w:rsidR="00F83CA0" w:rsidRPr="00FC3438" w:rsidRDefault="00F83CA0" w:rsidP="00574EDE">
      <w:pPr>
        <w:pStyle w:val="Heading4"/>
      </w:pPr>
      <w:bookmarkStart w:id="4097" w:name="_Toc159232307"/>
      <w:bookmarkStart w:id="4098" w:name="_Toc213771865"/>
      <w:r w:rsidRPr="00FC3438">
        <w:t>RTBM Execution</w:t>
      </w:r>
      <w:bookmarkEnd w:id="4087"/>
      <w:bookmarkEnd w:id="4088"/>
      <w:bookmarkEnd w:id="4089"/>
      <w:bookmarkEnd w:id="4090"/>
      <w:bookmarkEnd w:id="4091"/>
      <w:bookmarkEnd w:id="4092"/>
      <w:bookmarkEnd w:id="4093"/>
      <w:bookmarkEnd w:id="4094"/>
      <w:bookmarkEnd w:id="4095"/>
      <w:bookmarkEnd w:id="4096"/>
      <w:bookmarkEnd w:id="4097"/>
      <w:bookmarkEnd w:id="4098"/>
    </w:p>
    <w:p w14:paraId="425969BB" w14:textId="77777777" w:rsidR="00F83CA0" w:rsidRPr="00FC3438" w:rsidRDefault="00F83CA0" w:rsidP="00F83CA0">
      <w:pPr>
        <w:spacing w:before="120" w:line="300" w:lineRule="auto"/>
        <w:rPr>
          <w:szCs w:val="24"/>
        </w:rPr>
      </w:pPr>
      <w:r>
        <w:rPr>
          <w:szCs w:val="24"/>
        </w:rPr>
        <w:t>The Market Operator</w:t>
      </w:r>
      <w:r w:rsidRPr="00FC3438">
        <w:rPr>
          <w:szCs w:val="24"/>
        </w:rPr>
        <w:t xml:space="preserve"> will attempt to execute the RTBM every 5-minutes for the next Dispatch Interval based on the inputs described above.  In the event</w:t>
      </w:r>
      <w:r w:rsidRPr="003F45EE">
        <w:rPr>
          <w:szCs w:val="24"/>
        </w:rPr>
        <w:t xml:space="preserve"> </w:t>
      </w:r>
      <w:r>
        <w:rPr>
          <w:szCs w:val="24"/>
        </w:rPr>
        <w:t>the Market Operator</w:t>
      </w:r>
      <w:r w:rsidRPr="00FC3438">
        <w:rPr>
          <w:szCs w:val="24"/>
        </w:rPr>
        <w:t xml:space="preserve"> is unable to execute the RTBM or to approve a valid solution for the RTBM, the </w:t>
      </w:r>
      <w:r>
        <w:rPr>
          <w:szCs w:val="24"/>
        </w:rPr>
        <w:t>results</w:t>
      </w:r>
      <w:r w:rsidRPr="00FC3438">
        <w:rPr>
          <w:szCs w:val="24"/>
        </w:rPr>
        <w:t xml:space="preserve"> from the last approved RTBM will carry forward until the approval of a new RTBM. </w:t>
      </w:r>
    </w:p>
    <w:p w14:paraId="7B3A02AC" w14:textId="77777777" w:rsidR="00F83CA0" w:rsidRPr="00FC3438" w:rsidRDefault="00F83CA0" w:rsidP="00EE45E7">
      <w:pPr>
        <w:numPr>
          <w:ilvl w:val="0"/>
          <w:numId w:val="102"/>
        </w:numPr>
        <w:spacing w:before="120" w:line="300" w:lineRule="auto"/>
        <w:ind w:hanging="540"/>
        <w:rPr>
          <w:szCs w:val="24"/>
        </w:rPr>
      </w:pPr>
      <w:r w:rsidRPr="00FC3438">
        <w:rPr>
          <w:szCs w:val="24"/>
        </w:rPr>
        <w:t xml:space="preserve">A simultaneous co-optimization methodology utilizing a SCED algorithm is employed to calculate Resource </w:t>
      </w:r>
      <w:r w:rsidRPr="00FC3438" w:rsidDel="00A77FA7">
        <w:rPr>
          <w:szCs w:val="24"/>
        </w:rPr>
        <w:t xml:space="preserve">Dispatch </w:t>
      </w:r>
      <w:r w:rsidRPr="00FC3438">
        <w:rPr>
          <w:szCs w:val="24"/>
        </w:rPr>
        <w:t>Targets for Energy and clear Flexibility</w:t>
      </w:r>
      <w:r w:rsidRPr="00FC3438" w:rsidDel="00F014D2">
        <w:rPr>
          <w:szCs w:val="24"/>
        </w:rPr>
        <w:t xml:space="preserve"> Reserve</w:t>
      </w:r>
      <w:r w:rsidRPr="00FC3438">
        <w:rPr>
          <w:szCs w:val="24"/>
        </w:rPr>
        <w:t xml:space="preserve"> Products to meet Short-Term Load Forecast and Flexibility Reserve Products requirements at minimum costs based upon submitted Offers while respecting Resource operating constraints and transmission constraints as described in Section </w:t>
      </w:r>
      <w:r w:rsidRPr="00FC3438">
        <w:rPr>
          <w:szCs w:val="24"/>
        </w:rPr>
        <w:fldChar w:fldCharType="begin"/>
      </w:r>
      <w:r w:rsidRPr="00FC3438">
        <w:rPr>
          <w:szCs w:val="24"/>
        </w:rPr>
        <w:instrText xml:space="preserve"> REF _Ref100146196 \r \h </w:instrText>
      </w:r>
      <w:r w:rsidRPr="00FC3438">
        <w:rPr>
          <w:szCs w:val="24"/>
        </w:rPr>
      </w:r>
      <w:r w:rsidRPr="00FC3438">
        <w:rPr>
          <w:szCs w:val="24"/>
        </w:rPr>
        <w:fldChar w:fldCharType="separate"/>
      </w:r>
      <w:r w:rsidRPr="00FC3438">
        <w:rPr>
          <w:szCs w:val="24"/>
        </w:rPr>
        <w:t>3.1.1</w:t>
      </w:r>
      <w:r w:rsidRPr="00FC3438">
        <w:rPr>
          <w:szCs w:val="24"/>
        </w:rPr>
        <w:fldChar w:fldCharType="end"/>
      </w:r>
      <w:r w:rsidRPr="00FC3438">
        <w:rPr>
          <w:szCs w:val="24"/>
        </w:rPr>
        <w:t xml:space="preserve">;  </w:t>
      </w:r>
    </w:p>
    <w:p w14:paraId="7B857538" w14:textId="77777777" w:rsidR="00F83CA0" w:rsidRPr="00FC3438" w:rsidRDefault="00F83CA0" w:rsidP="00EE45E7">
      <w:pPr>
        <w:numPr>
          <w:ilvl w:val="0"/>
          <w:numId w:val="102"/>
        </w:numPr>
        <w:spacing w:line="300" w:lineRule="auto"/>
        <w:ind w:hanging="540"/>
        <w:rPr>
          <w:szCs w:val="24"/>
        </w:rPr>
      </w:pPr>
      <w:r w:rsidRPr="00FC3438">
        <w:rPr>
          <w:szCs w:val="24"/>
        </w:rPr>
        <w:t>The SCED algorithm includes marginal loss sensitivity factors which approximate the change in marginal system losses for a change in Energy dispatch.  Inclusion of these factors further optimizes the Energy dispatch and reduces overall production costs;</w:t>
      </w:r>
    </w:p>
    <w:p w14:paraId="49EEE58C" w14:textId="456BD9EA" w:rsidR="00F83CA0" w:rsidRPr="00FC3438" w:rsidRDefault="00F83CA0" w:rsidP="00EE45E7">
      <w:pPr>
        <w:numPr>
          <w:ilvl w:val="0"/>
          <w:numId w:val="102"/>
        </w:numPr>
        <w:spacing w:line="300" w:lineRule="auto"/>
        <w:ind w:hanging="540"/>
        <w:rPr>
          <w:szCs w:val="24"/>
        </w:rPr>
      </w:pPr>
      <w:r w:rsidRPr="00FC3438">
        <w:t xml:space="preserve">In certain situations, enforcing constraints may result in a solution that is not feasible at a Shadow Price less than </w:t>
      </w:r>
      <w:r>
        <w:t>the</w:t>
      </w:r>
      <w:r w:rsidRPr="00FC3438">
        <w:t xml:space="preserve"> appropriately priced VRL.  In such cases, </w:t>
      </w:r>
      <w:r>
        <w:rPr>
          <w:szCs w:val="24"/>
        </w:rPr>
        <w:t>the Market Operator</w:t>
      </w:r>
      <w:r w:rsidRPr="00FC3438">
        <w:rPr>
          <w:szCs w:val="24"/>
        </w:rPr>
        <w:t xml:space="preserve"> </w:t>
      </w:r>
      <w:r w:rsidRPr="00FC3438">
        <w:t xml:space="preserve">must apply VRLs in SCED as described under Section </w:t>
      </w:r>
      <w:r w:rsidR="0079761B">
        <w:fldChar w:fldCharType="begin"/>
      </w:r>
      <w:r w:rsidR="0079761B">
        <w:instrText xml:space="preserve"> REF _Ref212550326 \r \h </w:instrText>
      </w:r>
      <w:r w:rsidR="0079761B">
        <w:fldChar w:fldCharType="separate"/>
      </w:r>
      <w:r w:rsidR="0079761B">
        <w:t>4.1.4</w:t>
      </w:r>
      <w:r w:rsidR="0079761B">
        <w:fldChar w:fldCharType="end"/>
      </w:r>
      <w:r w:rsidRPr="00FC3438">
        <w:fldChar w:fldCharType="begin"/>
      </w:r>
      <w:r w:rsidRPr="00FC3438">
        <w:instrText xml:space="preserve"> REF _Ref257896065 \r \h </w:instrText>
      </w:r>
      <w:r w:rsidRPr="00FC3438">
        <w:fldChar w:fldCharType="separate"/>
      </w:r>
      <w:r w:rsidRPr="00FC3438">
        <w:fldChar w:fldCharType="end"/>
      </w:r>
      <w:r w:rsidRPr="00FC3438">
        <w:t>;</w:t>
      </w:r>
    </w:p>
    <w:p w14:paraId="6CE8FD9B" w14:textId="77777777" w:rsidR="00F83CA0" w:rsidRPr="00FC3438" w:rsidRDefault="00F83CA0" w:rsidP="00EE45E7">
      <w:pPr>
        <w:numPr>
          <w:ilvl w:val="0"/>
          <w:numId w:val="102"/>
        </w:numPr>
        <w:spacing w:line="300" w:lineRule="auto"/>
        <w:ind w:hanging="540"/>
        <w:rPr>
          <w:szCs w:val="24"/>
        </w:rPr>
      </w:pPr>
      <w:r w:rsidRPr="00FC3438">
        <w:rPr>
          <w:szCs w:val="24"/>
        </w:rPr>
        <w:t>To ensure that Market Participants are indifferent as to whether they are cleared for Energy or Flexibility Reserve Products, the co-optimization logic will provide through the Shadow Price calculation Market Clearing Prices for Flexibility Reserve Products that include any lost opportunity costs incurred as a result of Flexibility Reserve Product clearing</w:t>
      </w:r>
      <w:r>
        <w:rPr>
          <w:szCs w:val="24"/>
        </w:rPr>
        <w:t>.</w:t>
      </w:r>
    </w:p>
    <w:p w14:paraId="415603AB" w14:textId="26F9E5F7" w:rsidR="00F83CA0" w:rsidRPr="00FC3438" w:rsidRDefault="00F83CA0" w:rsidP="00574654">
      <w:pPr>
        <w:pStyle w:val="Heading5"/>
      </w:pPr>
      <w:bookmarkStart w:id="4099" w:name="_Ref148010269"/>
      <w:bookmarkStart w:id="4100" w:name="_Toc159232310"/>
      <w:bookmarkStart w:id="4101" w:name="_Ref212549505"/>
      <w:bookmarkStart w:id="4102" w:name="_Ref212549906"/>
      <w:bookmarkStart w:id="4103" w:name="_Toc213771866"/>
      <w:r w:rsidRPr="00FC3438">
        <w:t>Energy Shortage</w:t>
      </w:r>
      <w:bookmarkEnd w:id="4099"/>
      <w:bookmarkEnd w:id="4100"/>
      <w:r w:rsidRPr="00FC3438">
        <w:t xml:space="preserve"> Conditions</w:t>
      </w:r>
      <w:bookmarkEnd w:id="4101"/>
      <w:bookmarkEnd w:id="4102"/>
      <w:bookmarkEnd w:id="4103"/>
    </w:p>
    <w:p w14:paraId="02C4F8B6" w14:textId="7087F466" w:rsidR="003D2A45" w:rsidRPr="00FC3438" w:rsidRDefault="003D2A45" w:rsidP="003D2A45">
      <w:pPr>
        <w:spacing w:before="120" w:after="0" w:line="300" w:lineRule="auto"/>
        <w:ind w:left="720" w:hanging="540"/>
      </w:pPr>
      <w:r w:rsidRPr="00FC3438">
        <w:t>(1)</w:t>
      </w:r>
      <w:r w:rsidRPr="00FC3438">
        <w:tab/>
        <w:t xml:space="preserve">If there is an actual shortage of Short-Term Flex Up </w:t>
      </w:r>
      <w:r>
        <w:t>or</w:t>
      </w:r>
      <w:r w:rsidRPr="00FC3438">
        <w:t xml:space="preserve"> Mid-Term Flex Up during a Dispatch Interval, either on a market-wide or a Reserve Zone basis, Scarcity Prices will be implemented on a market-wide basis or Reserve Zone basis to set Short-Term Flex Up </w:t>
      </w:r>
      <w:r>
        <w:t>or</w:t>
      </w:r>
      <w:r w:rsidRPr="00FC3438">
        <w:t xml:space="preserve"> Mid-Term Flex Up MCPs as described under Section</w:t>
      </w:r>
      <w:r w:rsidR="008D5FAF">
        <w:t xml:space="preserve"> </w:t>
      </w:r>
      <w:r w:rsidR="008D5FAF">
        <w:fldChar w:fldCharType="begin"/>
      </w:r>
      <w:r w:rsidR="008D5FAF">
        <w:instrText xml:space="preserve"> REF _Ref214883939 \r \h </w:instrText>
      </w:r>
      <w:r w:rsidR="008D5FAF">
        <w:fldChar w:fldCharType="separate"/>
      </w:r>
      <w:r w:rsidR="008D5FAF">
        <w:t>4.1.5</w:t>
      </w:r>
      <w:r w:rsidR="008D5FAF">
        <w:fldChar w:fldCharType="end"/>
      </w:r>
      <w:r w:rsidRPr="00FC3438">
        <w:t>.</w:t>
      </w:r>
    </w:p>
    <w:p w14:paraId="59861FAE" w14:textId="77777777" w:rsidR="00F83CA0" w:rsidRPr="00FC3438" w:rsidRDefault="00F83CA0" w:rsidP="00F83CA0">
      <w:pPr>
        <w:spacing w:before="120" w:after="0" w:line="300" w:lineRule="auto"/>
        <w:ind w:left="720" w:hanging="540"/>
      </w:pPr>
      <w:r w:rsidRPr="00FC3438">
        <w:t>(2)</w:t>
      </w:r>
      <w:r w:rsidRPr="00FC3438">
        <w:tab/>
        <w:t xml:space="preserve">In the event a capacity shortage results in an inability to meet 50% of the Mid-Term Flex Up requirement, the Short-Term Load Forecast, self-scheduled High Priority Export Interchange Transactions, self-scheduled Uncommitted Export Interchange Transactions, and Resources’ charge MWs in any hour, the Market Operator will </w:t>
      </w:r>
      <w:r w:rsidRPr="00FC3438">
        <w:rPr>
          <w:szCs w:val="24"/>
        </w:rPr>
        <w:t>communicate</w:t>
      </w:r>
      <w:r w:rsidRPr="00FC3438">
        <w:t xml:space="preserve"> the market capacity shortage condition to Participating Balancing Authorities and applicable Reliability Coordinators, and sequentially:</w:t>
      </w:r>
    </w:p>
    <w:p w14:paraId="097A2D95" w14:textId="5593CAEF" w:rsidR="003D2A45" w:rsidRPr="00FC3438" w:rsidRDefault="003D2A45" w:rsidP="003D2A45">
      <w:pPr>
        <w:spacing w:before="120" w:after="0" w:line="300" w:lineRule="auto"/>
        <w:ind w:left="2070" w:hanging="720"/>
      </w:pPr>
      <w:r w:rsidRPr="00FC3438">
        <w:t>(i)</w:t>
      </w:r>
      <w:r w:rsidRPr="00FC3438">
        <w:tab/>
        <w:t xml:space="preserve">Reduce the self-scheduled Uncommitted Export Interchange Transactions </w:t>
      </w:r>
      <w:r>
        <w:t xml:space="preserve">as described under Section </w:t>
      </w:r>
      <w:r w:rsidR="00E15157">
        <w:fldChar w:fldCharType="begin"/>
      </w:r>
      <w:r w:rsidR="00E15157">
        <w:instrText xml:space="preserve"> REF _Ref214958266 \r \h </w:instrText>
      </w:r>
      <w:r w:rsidR="00E15157">
        <w:fldChar w:fldCharType="separate"/>
      </w:r>
      <w:r w:rsidR="00E15157">
        <w:t>4.4.1.6.1</w:t>
      </w:r>
      <w:r w:rsidR="00E15157">
        <w:fldChar w:fldCharType="end"/>
      </w:r>
      <w:r>
        <w:t xml:space="preserve"> </w:t>
      </w:r>
      <w:r w:rsidRPr="00FC3438">
        <w:t xml:space="preserve">and administratively set LMPs as described under Section </w:t>
      </w:r>
      <w:r w:rsidR="00331F01">
        <w:fldChar w:fldCharType="begin"/>
      </w:r>
      <w:r w:rsidR="00331F01">
        <w:instrText xml:space="preserve"> REF _Ref214884056 \r \h </w:instrText>
      </w:r>
      <w:r w:rsidR="00331F01">
        <w:fldChar w:fldCharType="separate"/>
      </w:r>
      <w:r w:rsidR="00331F01">
        <w:t>4.1.5</w:t>
      </w:r>
      <w:r w:rsidR="00331F01">
        <w:fldChar w:fldCharType="end"/>
      </w:r>
      <w:r w:rsidRPr="00FC3438">
        <w:t>(5); and</w:t>
      </w:r>
    </w:p>
    <w:p w14:paraId="2F336FAB" w14:textId="77777777" w:rsidR="003D2A45" w:rsidRPr="00FC3438" w:rsidRDefault="003D2A45" w:rsidP="003D2A45">
      <w:pPr>
        <w:spacing w:before="120" w:after="0" w:line="300" w:lineRule="auto"/>
        <w:ind w:left="2070" w:hanging="720"/>
      </w:pPr>
      <w:r w:rsidRPr="00FC3438">
        <w:t xml:space="preserve">(ii) </w:t>
      </w:r>
      <w:r w:rsidRPr="00FC3438">
        <w:tab/>
      </w:r>
      <w:r w:rsidRPr="00FC3438">
        <w:rPr>
          <w:szCs w:val="24"/>
        </w:rPr>
        <w:t>Maintain</w:t>
      </w:r>
      <w:r w:rsidRPr="00FC3438">
        <w:t xml:space="preserve"> power balance through</w:t>
      </w:r>
      <w:r w:rsidRPr="00FC3438">
        <w:rPr>
          <w:szCs w:val="24"/>
        </w:rPr>
        <w:t xml:space="preserve"> the</w:t>
      </w:r>
      <w:r w:rsidRPr="00FC3438">
        <w:t xml:space="preserve"> implementation of VRLs to reduce the Short-Term Load Forecast, self-scheduled High Priority Export Interchange Transactions, and </w:t>
      </w:r>
      <w:r>
        <w:t>MS</w:t>
      </w:r>
      <w:r w:rsidRPr="00FC3438">
        <w:t>R charge MWs on a pro-rata basis based on the MW amounts to match the available capacity</w:t>
      </w:r>
      <w:r>
        <w:t xml:space="preserve"> in the market solution</w:t>
      </w:r>
      <w:r w:rsidRPr="00FC3438">
        <w:t>.</w:t>
      </w:r>
      <w:r>
        <w:t xml:space="preserve"> </w:t>
      </w:r>
    </w:p>
    <w:p w14:paraId="5DB5A4C8" w14:textId="21DD265E" w:rsidR="00F83CA0" w:rsidRPr="008031F7" w:rsidRDefault="00F83CA0" w:rsidP="00574654">
      <w:pPr>
        <w:pStyle w:val="Heading5"/>
      </w:pPr>
      <w:bookmarkStart w:id="4104" w:name="_Ref270487120"/>
      <w:bookmarkStart w:id="4105" w:name="_Toc159232311"/>
      <w:bookmarkStart w:id="4106" w:name="_Toc213771867"/>
      <w:r w:rsidRPr="008031F7">
        <w:t>Excess Generation</w:t>
      </w:r>
      <w:bookmarkEnd w:id="4104"/>
      <w:bookmarkEnd w:id="4105"/>
      <w:r w:rsidR="00C54FE1" w:rsidRPr="008031F7">
        <w:t xml:space="preserve"> Conditions</w:t>
      </w:r>
      <w:bookmarkEnd w:id="4106"/>
    </w:p>
    <w:p w14:paraId="1C7F7436" w14:textId="77777777" w:rsidR="00F83CA0" w:rsidRPr="00FC3438" w:rsidRDefault="00F83CA0" w:rsidP="001C2A4A">
      <w:pPr>
        <w:numPr>
          <w:ilvl w:val="2"/>
          <w:numId w:val="115"/>
        </w:numPr>
        <w:tabs>
          <w:tab w:val="clear" w:pos="2160"/>
        </w:tabs>
        <w:spacing w:before="120" w:line="300" w:lineRule="auto"/>
        <w:ind w:left="720" w:hanging="540"/>
        <w:rPr>
          <w:szCs w:val="24"/>
        </w:rPr>
      </w:pPr>
      <w:r w:rsidRPr="00FC3438">
        <w:rPr>
          <w:szCs w:val="24"/>
        </w:rPr>
        <w:t xml:space="preserve">If the sum of Short-Term Load Forecast, self-scheduled Uncommitted Export Interchange Transaction Bids, and self-scheduled High Priority Export Interchange Transaction Bids in any hour are less than the sum of the minimum outputs of the committed Resources, self-scheduled Uncommitted Import Interchange Transaction Offers and self-scheduled High Priority Import Interchanges Transaction Offers in that hour, then the Market Operator will communicate the excess market generation situation to Participating Balancing Authorities and to applicable Reliability Coordinators, </w:t>
      </w:r>
      <w:r>
        <w:rPr>
          <w:szCs w:val="24"/>
        </w:rPr>
        <w:t xml:space="preserve">and </w:t>
      </w:r>
      <w:r w:rsidRPr="00FC3438">
        <w:rPr>
          <w:szCs w:val="24"/>
        </w:rPr>
        <w:t xml:space="preserve">implement Scarcity Pricing to the extent that the Flexibility Reserve Products requirements cannot be maintained.  </w:t>
      </w:r>
      <w:r>
        <w:rPr>
          <w:szCs w:val="24"/>
        </w:rPr>
        <w:t>The Market Operator</w:t>
      </w:r>
      <w:r w:rsidRPr="00FC3438">
        <w:rPr>
          <w:szCs w:val="24"/>
        </w:rPr>
        <w:t xml:space="preserve"> may take any or all of the following actions, as time permits, within the Operating Hour to address excess generation conditions on either a </w:t>
      </w:r>
      <w:r>
        <w:rPr>
          <w:szCs w:val="24"/>
        </w:rPr>
        <w:t>market</w:t>
      </w:r>
      <w:r w:rsidRPr="00FC3438">
        <w:rPr>
          <w:szCs w:val="24"/>
        </w:rPr>
        <w:t>-wide or Reserve Zone basis, that were not alleviated through actions taken prior to the Operating Hour</w:t>
      </w:r>
      <w:r w:rsidRPr="007F7F50">
        <w:rPr>
          <w:szCs w:val="24"/>
        </w:rPr>
        <w:t>. The Market Operator will coordinate with generation operators, Participating Balancing Authorities, and Reliability Coordinators within the Markets+ Footprint to de-commit generation to meet power balance</w:t>
      </w:r>
      <w:r>
        <w:rPr>
          <w:szCs w:val="24"/>
        </w:rPr>
        <w:t>, and s</w:t>
      </w:r>
      <w:r w:rsidRPr="00FC3438">
        <w:t>equentially</w:t>
      </w:r>
      <w:r>
        <w:t>:</w:t>
      </w:r>
      <w:r>
        <w:rPr>
          <w:szCs w:val="24"/>
        </w:rPr>
        <w:t xml:space="preserve"> </w:t>
      </w:r>
    </w:p>
    <w:p w14:paraId="1E5B4C17" w14:textId="77777777" w:rsidR="00E646B6" w:rsidRPr="00E646B6" w:rsidRDefault="00E646B6" w:rsidP="00E646B6">
      <w:pPr>
        <w:numPr>
          <w:ilvl w:val="2"/>
          <w:numId w:val="126"/>
        </w:numPr>
        <w:spacing w:after="60" w:line="300" w:lineRule="auto"/>
        <w:ind w:left="1350" w:hanging="630"/>
        <w:rPr>
          <w:szCs w:val="24"/>
        </w:rPr>
      </w:pPr>
      <w:r w:rsidRPr="00E646B6">
        <w:rPr>
          <w:szCs w:val="24"/>
        </w:rPr>
        <w:t>Dispatch any available Resource that is capable of charging;</w:t>
      </w:r>
    </w:p>
    <w:p w14:paraId="2F82CA60" w14:textId="23EAE0DA" w:rsidR="00E646B6" w:rsidRPr="00E646B6" w:rsidRDefault="00E646B6" w:rsidP="00E646B6">
      <w:pPr>
        <w:spacing w:before="120" w:line="300" w:lineRule="auto"/>
        <w:ind w:left="1354" w:hanging="634"/>
      </w:pPr>
      <w:r w:rsidRPr="00E646B6">
        <w:t xml:space="preserve">(b) </w:t>
      </w:r>
      <w:r w:rsidRPr="00E646B6">
        <w:tab/>
        <w:t xml:space="preserve">Reduce self-scheduled Uncommitted Import Interchanges Transaction Offers </w:t>
      </w:r>
      <w:r w:rsidRPr="00E646B6">
        <w:rPr>
          <w14:ligatures w14:val="standardContextual"/>
        </w:rPr>
        <w:t>as described under Section</w:t>
      </w:r>
      <w:r w:rsidR="00B94947">
        <w:rPr>
          <w14:ligatures w14:val="standardContextual"/>
        </w:rPr>
        <w:t xml:space="preserve"> </w:t>
      </w:r>
      <w:r w:rsidR="002D7BE4">
        <w:rPr>
          <w14:ligatures w14:val="standardContextual"/>
        </w:rPr>
        <w:fldChar w:fldCharType="begin"/>
      </w:r>
      <w:r w:rsidR="002D7BE4">
        <w:rPr>
          <w14:ligatures w14:val="standardContextual"/>
        </w:rPr>
        <w:instrText xml:space="preserve"> REF _Ref214958438 \r \h </w:instrText>
      </w:r>
      <w:r w:rsidR="002D7BE4">
        <w:rPr>
          <w14:ligatures w14:val="standardContextual"/>
        </w:rPr>
      </w:r>
      <w:r w:rsidR="002D7BE4">
        <w:rPr>
          <w14:ligatures w14:val="standardContextual"/>
        </w:rPr>
        <w:fldChar w:fldCharType="separate"/>
      </w:r>
      <w:r w:rsidR="002D7BE4">
        <w:rPr>
          <w14:ligatures w14:val="standardContextual"/>
        </w:rPr>
        <w:t>4.4.1.6.2</w:t>
      </w:r>
      <w:r w:rsidR="002D7BE4">
        <w:rPr>
          <w14:ligatures w14:val="standardContextual"/>
        </w:rPr>
        <w:fldChar w:fldCharType="end"/>
      </w:r>
      <w:r w:rsidRPr="00E646B6">
        <w:t>; and</w:t>
      </w:r>
    </w:p>
    <w:p w14:paraId="479A8B4F" w14:textId="71A49B0D" w:rsidR="00E646B6" w:rsidRPr="00E646B6" w:rsidRDefault="00E646B6" w:rsidP="00E646B6">
      <w:pPr>
        <w:spacing w:before="120" w:line="300" w:lineRule="auto"/>
        <w:ind w:left="1354" w:hanging="634"/>
      </w:pPr>
      <w:r w:rsidRPr="00E646B6">
        <w:t>(c)</w:t>
      </w:r>
      <w:r w:rsidRPr="00E646B6">
        <w:tab/>
        <w:t xml:space="preserve">Reduce self-scheduled High Priority Import Interchange Transactions Offers </w:t>
      </w:r>
      <w:r w:rsidRPr="00E646B6">
        <w:rPr>
          <w14:ligatures w14:val="standardContextual"/>
        </w:rPr>
        <w:t>as described under Section</w:t>
      </w:r>
      <w:r w:rsidR="002D7BE4">
        <w:rPr>
          <w14:ligatures w14:val="standardContextual"/>
        </w:rPr>
        <w:t xml:space="preserve"> </w:t>
      </w:r>
      <w:r w:rsidR="001D44CA">
        <w:rPr>
          <w14:ligatures w14:val="standardContextual"/>
        </w:rPr>
        <w:fldChar w:fldCharType="begin"/>
      </w:r>
      <w:r w:rsidR="001D44CA">
        <w:rPr>
          <w14:ligatures w14:val="standardContextual"/>
        </w:rPr>
        <w:instrText xml:space="preserve"> REF _Ref214958471 \r \h </w:instrText>
      </w:r>
      <w:r w:rsidR="001D44CA">
        <w:rPr>
          <w14:ligatures w14:val="standardContextual"/>
        </w:rPr>
      </w:r>
      <w:r w:rsidR="001D44CA">
        <w:rPr>
          <w14:ligatures w14:val="standardContextual"/>
        </w:rPr>
        <w:fldChar w:fldCharType="separate"/>
      </w:r>
      <w:r w:rsidR="001D44CA">
        <w:rPr>
          <w14:ligatures w14:val="standardContextual"/>
        </w:rPr>
        <w:t>4.4.1.6.2</w:t>
      </w:r>
      <w:r w:rsidR="001D44CA">
        <w:rPr>
          <w14:ligatures w14:val="standardContextual"/>
        </w:rPr>
        <w:fldChar w:fldCharType="end"/>
      </w:r>
      <w:r w:rsidRPr="00E646B6">
        <w:t>.</w:t>
      </w:r>
    </w:p>
    <w:p w14:paraId="5AEE09E8" w14:textId="52DD2B4C" w:rsidR="00F83CA0" w:rsidRPr="00FC3438" w:rsidRDefault="00F83CA0" w:rsidP="00EE45E7">
      <w:pPr>
        <w:numPr>
          <w:ilvl w:val="0"/>
          <w:numId w:val="120"/>
        </w:numPr>
        <w:spacing w:before="120" w:line="300" w:lineRule="auto"/>
        <w:ind w:hanging="540"/>
        <w:rPr>
          <w:szCs w:val="24"/>
        </w:rPr>
      </w:pPr>
      <w:r w:rsidRPr="00FC3438">
        <w:rPr>
          <w:szCs w:val="24"/>
        </w:rPr>
        <w:t xml:space="preserve">If actions taken under (1) above are not sufficient to relieve the excess generation condition in any Dispatch Interval either on a </w:t>
      </w:r>
      <w:r>
        <w:rPr>
          <w:szCs w:val="24"/>
        </w:rPr>
        <w:t>market</w:t>
      </w:r>
      <w:r w:rsidRPr="00FC3438">
        <w:rPr>
          <w:szCs w:val="24"/>
        </w:rPr>
        <w:t>-wide basis or Reserve Zone basis, LMPs will be set by the Offer prices associated with Energy down to the Minimum Economic Capacity Operating Limit for Resources.  If power balance cannot be attained under (1) and the Short-Term Flex Down requirement cannot be maintained, LMPs</w:t>
      </w:r>
      <w:r w:rsidRPr="00FC3438" w:rsidDel="00BF3B1D">
        <w:rPr>
          <w:szCs w:val="24"/>
        </w:rPr>
        <w:t xml:space="preserve"> </w:t>
      </w:r>
      <w:r w:rsidRPr="00FC3438">
        <w:rPr>
          <w:szCs w:val="24"/>
        </w:rPr>
        <w:t xml:space="preserve">may reflect negative Scarcity Prices as described under Section </w:t>
      </w:r>
      <w:r w:rsidR="004376FB">
        <w:rPr>
          <w:szCs w:val="24"/>
        </w:rPr>
        <w:fldChar w:fldCharType="begin"/>
      </w:r>
      <w:r w:rsidR="004376FB">
        <w:rPr>
          <w:szCs w:val="24"/>
        </w:rPr>
        <w:instrText xml:space="preserve"> REF _Ref214884252 \r \h </w:instrText>
      </w:r>
      <w:r w:rsidR="004376FB">
        <w:rPr>
          <w:szCs w:val="24"/>
        </w:rPr>
      </w:r>
      <w:r w:rsidR="004376FB">
        <w:rPr>
          <w:szCs w:val="24"/>
        </w:rPr>
        <w:fldChar w:fldCharType="separate"/>
      </w:r>
      <w:r w:rsidR="004376FB">
        <w:rPr>
          <w:szCs w:val="24"/>
        </w:rPr>
        <w:t>4.1.5</w:t>
      </w:r>
      <w:r w:rsidR="004376FB">
        <w:rPr>
          <w:szCs w:val="24"/>
        </w:rPr>
        <w:fldChar w:fldCharType="end"/>
      </w:r>
      <w:r w:rsidR="00570542">
        <w:rPr>
          <w:szCs w:val="24"/>
        </w:rPr>
        <w:t>.</w:t>
      </w:r>
    </w:p>
    <w:p w14:paraId="78FEF074" w14:textId="1E9CD986" w:rsidR="00F83CA0" w:rsidRPr="00FC3438" w:rsidRDefault="00F83CA0" w:rsidP="00574EDE">
      <w:pPr>
        <w:pStyle w:val="Heading4"/>
      </w:pPr>
      <w:bookmarkStart w:id="4107" w:name="_Toc245633986"/>
      <w:bookmarkStart w:id="4108" w:name="_Toc245634138"/>
      <w:bookmarkStart w:id="4109" w:name="_Toc245728028"/>
      <w:bookmarkStart w:id="4110" w:name="_Toc248644152"/>
      <w:bookmarkStart w:id="4111" w:name="_Ref257910633"/>
      <w:bookmarkStart w:id="4112" w:name="_Toc258924878"/>
      <w:bookmarkStart w:id="4113" w:name="_Ref260920573"/>
      <w:bookmarkStart w:id="4114" w:name="_Toc263173317"/>
      <w:bookmarkStart w:id="4115" w:name="_Toc263429431"/>
      <w:bookmarkStart w:id="4116" w:name="_Toc263795469"/>
      <w:bookmarkStart w:id="4117" w:name="_Toc266869646"/>
      <w:bookmarkStart w:id="4118" w:name="_Ref425854337"/>
      <w:bookmarkStart w:id="4119" w:name="_Toc159232314"/>
      <w:bookmarkStart w:id="4120" w:name="_Ref212559063"/>
      <w:bookmarkStart w:id="4121" w:name="_Toc213771868"/>
      <w:r w:rsidRPr="00FC3438">
        <w:t>RTBM Results</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675B96E9" w14:textId="77777777" w:rsidR="00F83CA0" w:rsidRPr="00FC3438" w:rsidRDefault="00F83CA0" w:rsidP="00F83CA0">
      <w:pPr>
        <w:spacing w:before="120" w:line="300" w:lineRule="auto"/>
        <w:ind w:left="720" w:hanging="720"/>
        <w:rPr>
          <w:szCs w:val="24"/>
        </w:rPr>
      </w:pPr>
      <w:bookmarkStart w:id="4122" w:name="_Hlk167089622"/>
      <w:r>
        <w:rPr>
          <w:szCs w:val="24"/>
        </w:rPr>
        <w:t>(1)</w:t>
      </w:r>
      <w:r>
        <w:rPr>
          <w:szCs w:val="24"/>
        </w:rPr>
        <w:tab/>
      </w:r>
      <w:r w:rsidRPr="00FC3438">
        <w:rPr>
          <w:szCs w:val="24"/>
        </w:rPr>
        <w:t>Following execution of the RTBM SCED, the following results are communicated to Market Participants prior to the start of the applicable Dispatch Interval.</w:t>
      </w:r>
      <w:r w:rsidRPr="00FC3438">
        <w:t xml:space="preserve">  All Market Participants must </w:t>
      </w:r>
      <w:r>
        <w:t>have</w:t>
      </w:r>
      <w:r w:rsidRPr="00FC3438">
        <w:t xml:space="preserve"> the capability to receive and follow Resource </w:t>
      </w:r>
      <w:r w:rsidRPr="00FC3438" w:rsidDel="00A77FA7">
        <w:t xml:space="preserve">Dispatch </w:t>
      </w:r>
      <w:r w:rsidRPr="00FC3438">
        <w:t xml:space="preserve">Targets. </w:t>
      </w:r>
      <w:r w:rsidRPr="00FC3438">
        <w:rPr>
          <w:szCs w:val="24"/>
        </w:rPr>
        <w:t xml:space="preserve">The following results are communicated to each Market Participant </w:t>
      </w:r>
      <w:r>
        <w:rPr>
          <w:szCs w:val="24"/>
        </w:rPr>
        <w:t>for their specific Resources</w:t>
      </w:r>
      <w:r w:rsidRPr="00FC3438">
        <w:rPr>
          <w:szCs w:val="24"/>
        </w:rPr>
        <w:t xml:space="preserve">:  </w:t>
      </w:r>
    </w:p>
    <w:bookmarkEnd w:id="4122"/>
    <w:p w14:paraId="3FB963C1" w14:textId="77777777" w:rsidR="00F83CA0" w:rsidRPr="00FC3438" w:rsidRDefault="00F83CA0" w:rsidP="00EE45E7">
      <w:pPr>
        <w:numPr>
          <w:ilvl w:val="0"/>
          <w:numId w:val="103"/>
        </w:numPr>
        <w:tabs>
          <w:tab w:val="num" w:pos="1350"/>
        </w:tabs>
        <w:spacing w:before="120" w:line="300" w:lineRule="auto"/>
        <w:ind w:left="1440" w:hanging="720"/>
        <w:rPr>
          <w:szCs w:val="24"/>
        </w:rPr>
      </w:pPr>
      <w:r w:rsidRPr="00FC3438">
        <w:rPr>
          <w:szCs w:val="24"/>
        </w:rPr>
        <w:t xml:space="preserve">Resource </w:t>
      </w:r>
      <w:r w:rsidRPr="00FC3438" w:rsidDel="00A77FA7">
        <w:rPr>
          <w:szCs w:val="24"/>
        </w:rPr>
        <w:t xml:space="preserve">Dispatch </w:t>
      </w:r>
      <w:r w:rsidRPr="00FC3438">
        <w:rPr>
          <w:szCs w:val="24"/>
        </w:rPr>
        <w:t xml:space="preserve">Targets.  The </w:t>
      </w:r>
      <w:r w:rsidRPr="00FC3438" w:rsidDel="00A77FA7">
        <w:rPr>
          <w:szCs w:val="24"/>
        </w:rPr>
        <w:t xml:space="preserve">Dispatch </w:t>
      </w:r>
      <w:r w:rsidRPr="00FC3438">
        <w:rPr>
          <w:szCs w:val="24"/>
        </w:rPr>
        <w:t>Target is a MW output target for the end of the applicable Dispatch Interval;</w:t>
      </w:r>
    </w:p>
    <w:p w14:paraId="4634A74C" w14:textId="77777777" w:rsidR="00F83CA0" w:rsidRPr="00FC3438" w:rsidRDefault="00F83CA0" w:rsidP="00EE45E7">
      <w:pPr>
        <w:numPr>
          <w:ilvl w:val="0"/>
          <w:numId w:val="103"/>
        </w:numPr>
        <w:tabs>
          <w:tab w:val="num" w:pos="2430"/>
        </w:tabs>
        <w:spacing w:before="120" w:line="300" w:lineRule="auto"/>
        <w:ind w:left="1440" w:hanging="720"/>
        <w:rPr>
          <w:szCs w:val="24"/>
        </w:rPr>
      </w:pPr>
      <w:r w:rsidRPr="00FC3438">
        <w:t>Cleared Flexibility Reserve Products by Resource;</w:t>
      </w:r>
    </w:p>
    <w:p w14:paraId="6D02F3AF" w14:textId="78FE3DD8" w:rsidR="00F83CA0" w:rsidRPr="00FC3438" w:rsidRDefault="00F83CA0" w:rsidP="00EE45E7">
      <w:pPr>
        <w:numPr>
          <w:ilvl w:val="0"/>
          <w:numId w:val="103"/>
        </w:numPr>
        <w:tabs>
          <w:tab w:val="num" w:pos="2430"/>
        </w:tabs>
        <w:spacing w:before="120" w:line="300" w:lineRule="auto"/>
        <w:ind w:left="1440" w:hanging="720"/>
        <w:rPr>
          <w:szCs w:val="24"/>
        </w:rPr>
      </w:pPr>
      <w:r w:rsidRPr="00FC3438">
        <w:rPr>
          <w:szCs w:val="24"/>
        </w:rPr>
        <w:t>GHG attributed MWs for Internal</w:t>
      </w:r>
      <w:r w:rsidR="00E6221D">
        <w:rPr>
          <w:szCs w:val="24"/>
        </w:rPr>
        <w:t xml:space="preserve"> GHG</w:t>
      </w:r>
      <w:r w:rsidRPr="00FC3438">
        <w:rPr>
          <w:szCs w:val="24"/>
        </w:rPr>
        <w:t xml:space="preserve"> Resources by Dispatch Interval and GHG Pricing Zone;</w:t>
      </w:r>
    </w:p>
    <w:p w14:paraId="254B820D" w14:textId="6A2BBB06" w:rsidR="00F83CA0" w:rsidRPr="00FC3438" w:rsidRDefault="00F83CA0" w:rsidP="00EE45E7">
      <w:pPr>
        <w:numPr>
          <w:ilvl w:val="0"/>
          <w:numId w:val="103"/>
        </w:numPr>
        <w:tabs>
          <w:tab w:val="num" w:pos="2430"/>
        </w:tabs>
        <w:spacing w:before="120" w:line="300" w:lineRule="auto"/>
        <w:ind w:left="1440" w:hanging="720"/>
        <w:rPr>
          <w:szCs w:val="24"/>
        </w:rPr>
      </w:pPr>
      <w:r w:rsidRPr="00FC3438">
        <w:t xml:space="preserve">GHG attributed MWs for </w:t>
      </w:r>
      <w:r w:rsidR="00FB181C">
        <w:t>S</w:t>
      </w:r>
      <w:r w:rsidRPr="00FC3438">
        <w:t>pecified Source Resources by Dispatch Interval and GHG Pricing Zone;</w:t>
      </w:r>
    </w:p>
    <w:p w14:paraId="5CC901C4" w14:textId="77777777" w:rsidR="00F83CA0" w:rsidRPr="00FC3438" w:rsidRDefault="00F83CA0" w:rsidP="00EE45E7">
      <w:pPr>
        <w:numPr>
          <w:ilvl w:val="0"/>
          <w:numId w:val="103"/>
        </w:numPr>
        <w:tabs>
          <w:tab w:val="num" w:pos="2430"/>
        </w:tabs>
        <w:spacing w:before="120" w:line="300" w:lineRule="auto"/>
        <w:ind w:left="1440" w:hanging="720"/>
        <w:rPr>
          <w:szCs w:val="24"/>
        </w:rPr>
      </w:pPr>
      <w:r w:rsidRPr="00FC3438">
        <w:t>GHG attributed MWs for Import Interchange Transactions by Dispatch Interval and GHG Pricing Zone; and</w:t>
      </w:r>
    </w:p>
    <w:p w14:paraId="26559C43" w14:textId="77777777" w:rsidR="00F83CA0" w:rsidRPr="00FC3438" w:rsidRDefault="00F83CA0" w:rsidP="00EE45E7">
      <w:pPr>
        <w:numPr>
          <w:ilvl w:val="0"/>
          <w:numId w:val="103"/>
        </w:numPr>
        <w:tabs>
          <w:tab w:val="num" w:pos="2430"/>
        </w:tabs>
        <w:spacing w:before="120" w:line="300" w:lineRule="auto"/>
        <w:ind w:left="1440" w:hanging="720"/>
      </w:pPr>
      <w:r w:rsidRPr="00FC3438">
        <w:t>GHG attributed MWs for Unspecified Source Imports by Dispatch Interval and GHG Pricing Zone.</w:t>
      </w:r>
    </w:p>
    <w:p w14:paraId="3D588AEF" w14:textId="77777777" w:rsidR="00F83CA0" w:rsidRPr="00FC3438" w:rsidRDefault="00F83CA0" w:rsidP="00F83CA0">
      <w:pPr>
        <w:spacing w:after="0" w:line="360" w:lineRule="auto"/>
        <w:ind w:left="720" w:hanging="720"/>
      </w:pPr>
      <w:r>
        <w:t>(2)</w:t>
      </w:r>
      <w:r>
        <w:tab/>
      </w:r>
      <w:r w:rsidRPr="00FC3438">
        <w:t xml:space="preserve">The following dispatch solution results are communicated to all Market Participants prior to the posting of the pricing solution results: </w:t>
      </w:r>
    </w:p>
    <w:p w14:paraId="08D6CF70" w14:textId="77777777" w:rsidR="00F83CA0" w:rsidRPr="00FC3438" w:rsidRDefault="00F83CA0" w:rsidP="00F83CA0">
      <w:pPr>
        <w:spacing w:after="0" w:line="360" w:lineRule="auto"/>
        <w:ind w:left="1440" w:hanging="720"/>
      </w:pPr>
      <w:r>
        <w:t>(a)</w:t>
      </w:r>
      <w:r>
        <w:tab/>
      </w:r>
      <w:r w:rsidRPr="00FC3438">
        <w:t xml:space="preserve">Dispatchable Locational Marginal Prices (DLMPs) for each Settlement Location, the </w:t>
      </w:r>
      <w:r>
        <w:t>M</w:t>
      </w:r>
      <w:r w:rsidRPr="00FC3438">
        <w:t xml:space="preserve">arginal Energy </w:t>
      </w:r>
      <w:r>
        <w:t>C</w:t>
      </w:r>
      <w:r w:rsidRPr="00FC3438">
        <w:t xml:space="preserve">omponent (MEC) of the DLMP, the Marginal Congestion Component (MCC) of the DLMP and the Marginal Loss Component (MLC) of the DLMP for each Settlement Location; </w:t>
      </w:r>
    </w:p>
    <w:p w14:paraId="33E0C2A5" w14:textId="77777777" w:rsidR="00F83CA0" w:rsidRPr="00FC3438" w:rsidRDefault="00F83CA0" w:rsidP="00F83CA0">
      <w:pPr>
        <w:spacing w:after="0" w:line="360" w:lineRule="auto"/>
        <w:ind w:left="1440" w:hanging="720"/>
      </w:pPr>
      <w:r>
        <w:t>(b)</w:t>
      </w:r>
      <w:r>
        <w:tab/>
      </w:r>
      <w:r w:rsidRPr="00FC3438">
        <w:t>Market Clearing Prices for Flexibility Reserve Products for each Reserve Zone; and</w:t>
      </w:r>
    </w:p>
    <w:p w14:paraId="50980E4E" w14:textId="01203B56" w:rsidR="00F83CA0" w:rsidRPr="00FC3438" w:rsidRDefault="00F83CA0" w:rsidP="00F83CA0">
      <w:pPr>
        <w:spacing w:after="0" w:line="360" w:lineRule="auto"/>
        <w:ind w:left="1440" w:hanging="720"/>
      </w:pPr>
      <w:r>
        <w:t>(c)</w:t>
      </w:r>
      <w:r>
        <w:tab/>
      </w:r>
      <w:r w:rsidRPr="00FC3438">
        <w:t>Marginal GHG Prices for each GHG Pricing Zone.</w:t>
      </w:r>
    </w:p>
    <w:p w14:paraId="7469A26C" w14:textId="77777777" w:rsidR="00F83CA0" w:rsidRPr="00FC3438" w:rsidRDefault="00F83CA0" w:rsidP="00F83CA0">
      <w:pPr>
        <w:spacing w:before="120" w:line="300" w:lineRule="auto"/>
        <w:ind w:left="720" w:hanging="720"/>
        <w:rPr>
          <w:szCs w:val="24"/>
        </w:rPr>
      </w:pPr>
      <w:r>
        <w:rPr>
          <w:szCs w:val="24"/>
        </w:rPr>
        <w:t>(3)</w:t>
      </w:r>
      <w:r>
        <w:rPr>
          <w:szCs w:val="24"/>
        </w:rPr>
        <w:tab/>
      </w:r>
      <w:r w:rsidRPr="00FC3438">
        <w:rPr>
          <w:szCs w:val="24"/>
        </w:rPr>
        <w:t xml:space="preserve">The following pricing solution results are communicated to all Market Participants after the posting of the dispatch solution; </w:t>
      </w:r>
    </w:p>
    <w:p w14:paraId="1388EC25" w14:textId="2AB2D2E9" w:rsidR="00F83CA0" w:rsidRDefault="00F83CA0" w:rsidP="00F83CA0">
      <w:pPr>
        <w:spacing w:before="120" w:line="300" w:lineRule="auto"/>
        <w:ind w:left="1440" w:hanging="720"/>
        <w:rPr>
          <w:szCs w:val="24"/>
        </w:rPr>
      </w:pPr>
      <w:r>
        <w:rPr>
          <w:szCs w:val="24"/>
        </w:rPr>
        <w:t>(a)</w:t>
      </w:r>
      <w:r>
        <w:rPr>
          <w:szCs w:val="24"/>
        </w:rPr>
        <w:tab/>
      </w:r>
      <w:r w:rsidRPr="00FC3438">
        <w:rPr>
          <w:szCs w:val="24"/>
        </w:rPr>
        <w:t>Locational Marginal Prices (LMPs) for each Settlement Location, the Marginal Congestion Component (MCC) of LMP for each Settlement Location and the Marginal Loss Component (MLC) of LMP for each Settlement Location</w:t>
      </w:r>
      <w:r w:rsidR="00CE12D5">
        <w:rPr>
          <w:szCs w:val="24"/>
        </w:rPr>
        <w:t>; and</w:t>
      </w:r>
    </w:p>
    <w:p w14:paraId="13AECCBE" w14:textId="5A33DD70" w:rsidR="00CE12D5" w:rsidRPr="00FC3438" w:rsidRDefault="00CE12D5" w:rsidP="00CE12D5">
      <w:pPr>
        <w:spacing w:after="0" w:line="360" w:lineRule="auto"/>
        <w:ind w:left="1440" w:hanging="720"/>
      </w:pPr>
      <w:r>
        <w:t>(b)</w:t>
      </w:r>
      <w:r>
        <w:tab/>
      </w:r>
      <w:r w:rsidRPr="00FC3438">
        <w:t>Marginal GHG Prices for each GHG Pricing Zone.</w:t>
      </w:r>
    </w:p>
    <w:p w14:paraId="06D7F1EE" w14:textId="24003A03" w:rsidR="00F83CA0" w:rsidRDefault="00F83CA0" w:rsidP="00F83CA0">
      <w:pPr>
        <w:spacing w:before="120" w:line="300" w:lineRule="auto"/>
        <w:ind w:left="720" w:hanging="720"/>
        <w:rPr>
          <w:szCs w:val="24"/>
        </w:rPr>
      </w:pPr>
      <w:r>
        <w:rPr>
          <w:szCs w:val="24"/>
        </w:rPr>
        <w:t>(4)</w:t>
      </w:r>
      <w:r>
        <w:rPr>
          <w:szCs w:val="24"/>
        </w:rPr>
        <w:tab/>
      </w:r>
      <w:r w:rsidRPr="000F50E3">
        <w:rPr>
          <w:szCs w:val="24"/>
        </w:rPr>
        <w:t xml:space="preserve">Following execution of the RTBM SCED, the following results are communicated to </w:t>
      </w:r>
      <w:r>
        <w:rPr>
          <w:szCs w:val="24"/>
        </w:rPr>
        <w:t xml:space="preserve">Participating Balancing Authorities </w:t>
      </w:r>
      <w:r w:rsidRPr="000F50E3">
        <w:rPr>
          <w:szCs w:val="24"/>
        </w:rPr>
        <w:t xml:space="preserve">prior to the start of the applicable Dispatch Interval.  All </w:t>
      </w:r>
      <w:r>
        <w:rPr>
          <w:szCs w:val="24"/>
        </w:rPr>
        <w:t xml:space="preserve">Participating Balancing Authorities </w:t>
      </w:r>
      <w:r w:rsidRPr="000F50E3">
        <w:rPr>
          <w:szCs w:val="24"/>
        </w:rPr>
        <w:t xml:space="preserve">must have the capability to receive </w:t>
      </w:r>
      <w:r>
        <w:rPr>
          <w:szCs w:val="24"/>
        </w:rPr>
        <w:t>this information via ICCP.</w:t>
      </w:r>
    </w:p>
    <w:p w14:paraId="2568EA90" w14:textId="22B32E88" w:rsidR="00F83CA0" w:rsidRDefault="00F83CA0" w:rsidP="00F83CA0">
      <w:pPr>
        <w:spacing w:before="120" w:line="300" w:lineRule="auto"/>
        <w:ind w:left="1440" w:hanging="720"/>
        <w:rPr>
          <w:szCs w:val="24"/>
        </w:rPr>
      </w:pPr>
      <w:r>
        <w:rPr>
          <w:szCs w:val="24"/>
        </w:rPr>
        <w:t>(a)</w:t>
      </w:r>
      <w:r>
        <w:rPr>
          <w:szCs w:val="24"/>
        </w:rPr>
        <w:tab/>
        <w:t>NSI offset which the Participating Balancing Authority will use to adjust their p</w:t>
      </w:r>
      <w:r w:rsidR="00B92265">
        <w:rPr>
          <w:szCs w:val="24"/>
        </w:rPr>
        <w:t>re</w:t>
      </w:r>
      <w:r>
        <w:rPr>
          <w:szCs w:val="24"/>
        </w:rPr>
        <w:t>-Dispatch Interval NSI to account for Markets+ flow created as a result of the Dispatch Targets generated and communicated as described above.  Each BA will implement the NSI Off</w:t>
      </w:r>
      <w:r w:rsidR="00482E23">
        <w:rPr>
          <w:szCs w:val="24"/>
        </w:rPr>
        <w:t>set</w:t>
      </w:r>
      <w:r>
        <w:rPr>
          <w:szCs w:val="24"/>
        </w:rPr>
        <w:t xml:space="preserve"> via a Dynamic Schedule.  The following example illustrates how this value is calculated and how the BA Dispatch Interval NSI needs to be adjusted.</w:t>
      </w:r>
    </w:p>
    <w:p w14:paraId="728370E2" w14:textId="77777777" w:rsidR="00BC1B04" w:rsidRPr="00BC1B04" w:rsidRDefault="00BC1B04" w:rsidP="00BC1B04">
      <w:pPr>
        <w:spacing w:before="120" w:line="300" w:lineRule="auto"/>
        <w:ind w:left="1440" w:hanging="720"/>
        <w:rPr>
          <w:szCs w:val="24"/>
          <w14:ligatures w14:val="standardContextual"/>
        </w:rPr>
      </w:pPr>
      <w:r w:rsidRPr="00BC1B04">
        <w:rPr>
          <w:szCs w:val="24"/>
          <w14:ligatures w14:val="standardContextual"/>
        </w:rPr>
        <w:t>(b)</w:t>
      </w:r>
      <w:r w:rsidRPr="00BC1B04">
        <w:rPr>
          <w:szCs w:val="24"/>
          <w14:ligatures w14:val="standardContextual"/>
        </w:rPr>
        <w:tab/>
        <w:t>Incremental Markets+ NSI adjustments will be allocated to MTIs and MOTIs specifying a Dynamic transaction type on their associated e-Tags.  These will be communicated via ICCP and through the MUI.</w:t>
      </w:r>
    </w:p>
    <w:p w14:paraId="44FB6B82" w14:textId="77777777" w:rsidR="00F83CA0" w:rsidRDefault="00F83CA0" w:rsidP="00F83CA0">
      <w:pPr>
        <w:spacing w:before="120" w:line="300" w:lineRule="auto"/>
        <w:ind w:left="720"/>
        <w:rPr>
          <w:szCs w:val="24"/>
        </w:rPr>
      </w:pPr>
      <w:r>
        <w:rPr>
          <w:szCs w:val="24"/>
        </w:rPr>
        <w:t>Consider the following four (4) Participating Balancing Authority’s with the following per Dispatch Interval load, generation and NSI data, where Market Obligation is equal to the sum of Load+Losses and NSI and Market Generation is equal to the sum of Dispatch Targets within each BA:</w:t>
      </w:r>
    </w:p>
    <w:p w14:paraId="5C17C146" w14:textId="77777777" w:rsidR="00F83CA0" w:rsidRDefault="00F83CA0" w:rsidP="00F83CA0">
      <w:pPr>
        <w:spacing w:before="120" w:line="300" w:lineRule="auto"/>
        <w:ind w:left="720"/>
        <w:rPr>
          <w:szCs w:val="24"/>
        </w:rPr>
      </w:pPr>
    </w:p>
    <w:tbl>
      <w:tblPr>
        <w:tblStyle w:val="TableGrid"/>
        <w:tblW w:w="0" w:type="auto"/>
        <w:tblInd w:w="720" w:type="dxa"/>
        <w:tblLook w:val="04A0" w:firstRow="1" w:lastRow="0" w:firstColumn="1" w:lastColumn="0" w:noHBand="0" w:noVBand="1"/>
      </w:tblPr>
      <w:tblGrid>
        <w:gridCol w:w="1680"/>
        <w:gridCol w:w="1421"/>
        <w:gridCol w:w="1411"/>
        <w:gridCol w:w="1411"/>
        <w:gridCol w:w="1421"/>
        <w:gridCol w:w="1286"/>
      </w:tblGrid>
      <w:tr w:rsidR="00F83CA0" w:rsidRPr="00A502CF" w14:paraId="1603AFA1" w14:textId="77777777" w:rsidTr="00D14054">
        <w:tc>
          <w:tcPr>
            <w:tcW w:w="1680" w:type="dxa"/>
            <w:shd w:val="clear" w:color="auto" w:fill="B8CCE4" w:themeFill="accent1" w:themeFillTint="66"/>
          </w:tcPr>
          <w:p w14:paraId="165E77DE" w14:textId="77777777" w:rsidR="00F83CA0" w:rsidRPr="00A502CF" w:rsidRDefault="00F83CA0" w:rsidP="00D14054">
            <w:pPr>
              <w:spacing w:before="120" w:line="300" w:lineRule="auto"/>
              <w:jc w:val="center"/>
              <w:rPr>
                <w:b/>
                <w:bCs/>
                <w:szCs w:val="24"/>
              </w:rPr>
            </w:pPr>
          </w:p>
        </w:tc>
        <w:tc>
          <w:tcPr>
            <w:tcW w:w="1421" w:type="dxa"/>
            <w:shd w:val="clear" w:color="auto" w:fill="B8CCE4" w:themeFill="accent1" w:themeFillTint="66"/>
          </w:tcPr>
          <w:p w14:paraId="41294688" w14:textId="77777777" w:rsidR="00F83CA0" w:rsidRDefault="00F83CA0" w:rsidP="00D14054">
            <w:pPr>
              <w:spacing w:before="120" w:line="300" w:lineRule="auto"/>
              <w:jc w:val="center"/>
              <w:rPr>
                <w:b/>
                <w:bCs/>
                <w:szCs w:val="24"/>
              </w:rPr>
            </w:pPr>
            <w:r w:rsidRPr="00A502CF">
              <w:rPr>
                <w:b/>
                <w:bCs/>
                <w:szCs w:val="24"/>
              </w:rPr>
              <w:t>BA1</w:t>
            </w:r>
          </w:p>
          <w:p w14:paraId="6783A2CD" w14:textId="77777777" w:rsidR="00F83CA0" w:rsidRPr="00A502CF" w:rsidRDefault="00F83CA0" w:rsidP="00D14054">
            <w:pPr>
              <w:spacing w:before="120" w:line="300" w:lineRule="auto"/>
              <w:jc w:val="center"/>
              <w:rPr>
                <w:b/>
                <w:bCs/>
                <w:szCs w:val="24"/>
              </w:rPr>
            </w:pPr>
            <w:r>
              <w:rPr>
                <w:b/>
                <w:bCs/>
                <w:szCs w:val="24"/>
              </w:rPr>
              <w:t>MW</w:t>
            </w:r>
          </w:p>
        </w:tc>
        <w:tc>
          <w:tcPr>
            <w:tcW w:w="1411" w:type="dxa"/>
            <w:shd w:val="clear" w:color="auto" w:fill="B8CCE4" w:themeFill="accent1" w:themeFillTint="66"/>
          </w:tcPr>
          <w:p w14:paraId="400972AE" w14:textId="77777777" w:rsidR="00F83CA0" w:rsidRDefault="00F83CA0" w:rsidP="00D14054">
            <w:pPr>
              <w:spacing w:before="120" w:line="300" w:lineRule="auto"/>
              <w:jc w:val="center"/>
              <w:rPr>
                <w:b/>
                <w:bCs/>
                <w:szCs w:val="24"/>
              </w:rPr>
            </w:pPr>
            <w:r w:rsidRPr="00A502CF">
              <w:rPr>
                <w:b/>
                <w:bCs/>
                <w:szCs w:val="24"/>
              </w:rPr>
              <w:t>BA2</w:t>
            </w:r>
          </w:p>
          <w:p w14:paraId="45815FBE" w14:textId="77777777" w:rsidR="00F83CA0" w:rsidRPr="00A502CF" w:rsidRDefault="00F83CA0" w:rsidP="00D14054">
            <w:pPr>
              <w:spacing w:before="120" w:line="300" w:lineRule="auto"/>
              <w:jc w:val="center"/>
              <w:rPr>
                <w:b/>
                <w:bCs/>
                <w:szCs w:val="24"/>
              </w:rPr>
            </w:pPr>
            <w:r>
              <w:rPr>
                <w:b/>
                <w:bCs/>
                <w:szCs w:val="24"/>
              </w:rPr>
              <w:t>MW</w:t>
            </w:r>
          </w:p>
        </w:tc>
        <w:tc>
          <w:tcPr>
            <w:tcW w:w="1411" w:type="dxa"/>
            <w:shd w:val="clear" w:color="auto" w:fill="B8CCE4" w:themeFill="accent1" w:themeFillTint="66"/>
          </w:tcPr>
          <w:p w14:paraId="0F42D065" w14:textId="77777777" w:rsidR="00F83CA0" w:rsidRDefault="00F83CA0" w:rsidP="00D14054">
            <w:pPr>
              <w:spacing w:before="120" w:line="300" w:lineRule="auto"/>
              <w:jc w:val="center"/>
              <w:rPr>
                <w:b/>
                <w:bCs/>
                <w:szCs w:val="24"/>
              </w:rPr>
            </w:pPr>
            <w:r w:rsidRPr="00A502CF">
              <w:rPr>
                <w:b/>
                <w:bCs/>
                <w:szCs w:val="24"/>
              </w:rPr>
              <w:t>BA3</w:t>
            </w:r>
          </w:p>
          <w:p w14:paraId="11417A67" w14:textId="77777777" w:rsidR="00F83CA0" w:rsidRPr="00A502CF" w:rsidRDefault="00F83CA0" w:rsidP="00D14054">
            <w:pPr>
              <w:spacing w:before="120" w:line="300" w:lineRule="auto"/>
              <w:jc w:val="center"/>
              <w:rPr>
                <w:b/>
                <w:bCs/>
                <w:szCs w:val="24"/>
              </w:rPr>
            </w:pPr>
            <w:r>
              <w:rPr>
                <w:b/>
                <w:bCs/>
                <w:szCs w:val="24"/>
              </w:rPr>
              <w:t>MW</w:t>
            </w:r>
          </w:p>
        </w:tc>
        <w:tc>
          <w:tcPr>
            <w:tcW w:w="1421" w:type="dxa"/>
            <w:shd w:val="clear" w:color="auto" w:fill="B8CCE4" w:themeFill="accent1" w:themeFillTint="66"/>
          </w:tcPr>
          <w:p w14:paraId="18016E61" w14:textId="77777777" w:rsidR="00F83CA0" w:rsidRDefault="00F83CA0" w:rsidP="00D14054">
            <w:pPr>
              <w:spacing w:before="120" w:line="300" w:lineRule="auto"/>
              <w:jc w:val="center"/>
              <w:rPr>
                <w:b/>
                <w:bCs/>
                <w:szCs w:val="24"/>
              </w:rPr>
            </w:pPr>
            <w:r w:rsidRPr="00A502CF">
              <w:rPr>
                <w:b/>
                <w:bCs/>
                <w:szCs w:val="24"/>
              </w:rPr>
              <w:t>BA4</w:t>
            </w:r>
          </w:p>
          <w:p w14:paraId="09F4321E" w14:textId="77777777" w:rsidR="00F83CA0" w:rsidRPr="00A502CF" w:rsidRDefault="00F83CA0" w:rsidP="00D14054">
            <w:pPr>
              <w:spacing w:before="120" w:line="300" w:lineRule="auto"/>
              <w:jc w:val="center"/>
              <w:rPr>
                <w:b/>
                <w:bCs/>
                <w:szCs w:val="24"/>
              </w:rPr>
            </w:pPr>
            <w:r>
              <w:rPr>
                <w:b/>
                <w:bCs/>
                <w:szCs w:val="24"/>
              </w:rPr>
              <w:t>MW</w:t>
            </w:r>
          </w:p>
        </w:tc>
        <w:tc>
          <w:tcPr>
            <w:tcW w:w="1286" w:type="dxa"/>
            <w:shd w:val="clear" w:color="auto" w:fill="B8CCE4" w:themeFill="accent1" w:themeFillTint="66"/>
          </w:tcPr>
          <w:p w14:paraId="7833692F" w14:textId="77777777" w:rsidR="00F83CA0" w:rsidRDefault="00F83CA0" w:rsidP="00D14054">
            <w:pPr>
              <w:spacing w:before="120" w:line="300" w:lineRule="auto"/>
              <w:jc w:val="center"/>
              <w:rPr>
                <w:b/>
                <w:bCs/>
                <w:szCs w:val="24"/>
              </w:rPr>
            </w:pPr>
            <w:r>
              <w:rPr>
                <w:b/>
                <w:bCs/>
                <w:szCs w:val="24"/>
              </w:rPr>
              <w:t>Total</w:t>
            </w:r>
          </w:p>
          <w:p w14:paraId="67572A6E" w14:textId="77777777" w:rsidR="00F83CA0" w:rsidRPr="00A502CF" w:rsidRDefault="00F83CA0" w:rsidP="00D14054">
            <w:pPr>
              <w:spacing w:before="120" w:line="300" w:lineRule="auto"/>
              <w:jc w:val="center"/>
              <w:rPr>
                <w:b/>
                <w:bCs/>
                <w:szCs w:val="24"/>
              </w:rPr>
            </w:pPr>
            <w:r>
              <w:rPr>
                <w:b/>
                <w:bCs/>
                <w:szCs w:val="24"/>
              </w:rPr>
              <w:t>MW</w:t>
            </w:r>
          </w:p>
        </w:tc>
      </w:tr>
      <w:tr w:rsidR="00F83CA0" w14:paraId="3D0CB1C5" w14:textId="77777777" w:rsidTr="00D14054">
        <w:tc>
          <w:tcPr>
            <w:tcW w:w="1680" w:type="dxa"/>
          </w:tcPr>
          <w:p w14:paraId="26757C05" w14:textId="77777777" w:rsidR="00F83CA0" w:rsidRPr="00A502CF" w:rsidRDefault="00F83CA0" w:rsidP="00D14054">
            <w:pPr>
              <w:spacing w:before="120" w:line="300" w:lineRule="auto"/>
              <w:rPr>
                <w:b/>
                <w:bCs/>
                <w:szCs w:val="24"/>
              </w:rPr>
            </w:pPr>
            <w:r w:rsidRPr="00A502CF">
              <w:rPr>
                <w:b/>
                <w:bCs/>
                <w:szCs w:val="24"/>
              </w:rPr>
              <w:t>Load</w:t>
            </w:r>
            <w:r>
              <w:rPr>
                <w:b/>
                <w:bCs/>
                <w:szCs w:val="24"/>
              </w:rPr>
              <w:t>+Losses</w:t>
            </w:r>
          </w:p>
        </w:tc>
        <w:tc>
          <w:tcPr>
            <w:tcW w:w="1421" w:type="dxa"/>
          </w:tcPr>
          <w:p w14:paraId="04239F11" w14:textId="77777777" w:rsidR="00F83CA0" w:rsidRDefault="00F83CA0" w:rsidP="00D14054">
            <w:pPr>
              <w:spacing w:before="120" w:line="300" w:lineRule="auto"/>
              <w:jc w:val="center"/>
              <w:rPr>
                <w:szCs w:val="24"/>
              </w:rPr>
            </w:pPr>
            <w:r>
              <w:rPr>
                <w:szCs w:val="24"/>
              </w:rPr>
              <w:t>1,750</w:t>
            </w:r>
          </w:p>
        </w:tc>
        <w:tc>
          <w:tcPr>
            <w:tcW w:w="1411" w:type="dxa"/>
          </w:tcPr>
          <w:p w14:paraId="6599FB15" w14:textId="77777777" w:rsidR="00F83CA0" w:rsidRDefault="00F83CA0" w:rsidP="00D14054">
            <w:pPr>
              <w:spacing w:before="120" w:line="300" w:lineRule="auto"/>
              <w:jc w:val="center"/>
              <w:rPr>
                <w:szCs w:val="24"/>
              </w:rPr>
            </w:pPr>
            <w:r>
              <w:rPr>
                <w:szCs w:val="24"/>
              </w:rPr>
              <w:t>400</w:t>
            </w:r>
          </w:p>
        </w:tc>
        <w:tc>
          <w:tcPr>
            <w:tcW w:w="1411" w:type="dxa"/>
          </w:tcPr>
          <w:p w14:paraId="5F423F66" w14:textId="77777777" w:rsidR="00F83CA0" w:rsidRDefault="00F83CA0" w:rsidP="00D14054">
            <w:pPr>
              <w:spacing w:before="120" w:line="300" w:lineRule="auto"/>
              <w:jc w:val="center"/>
              <w:rPr>
                <w:szCs w:val="24"/>
              </w:rPr>
            </w:pPr>
            <w:r>
              <w:rPr>
                <w:szCs w:val="24"/>
              </w:rPr>
              <w:t>600</w:t>
            </w:r>
          </w:p>
        </w:tc>
        <w:tc>
          <w:tcPr>
            <w:tcW w:w="1421" w:type="dxa"/>
          </w:tcPr>
          <w:p w14:paraId="0B87260B" w14:textId="77777777" w:rsidR="00F83CA0" w:rsidRDefault="00F83CA0" w:rsidP="00D14054">
            <w:pPr>
              <w:spacing w:before="120" w:line="300" w:lineRule="auto"/>
              <w:jc w:val="center"/>
              <w:rPr>
                <w:szCs w:val="24"/>
              </w:rPr>
            </w:pPr>
            <w:r>
              <w:rPr>
                <w:szCs w:val="24"/>
              </w:rPr>
              <w:t>2,000</w:t>
            </w:r>
          </w:p>
        </w:tc>
        <w:tc>
          <w:tcPr>
            <w:tcW w:w="1286" w:type="dxa"/>
          </w:tcPr>
          <w:p w14:paraId="5ACB1C62" w14:textId="77777777" w:rsidR="00F83CA0" w:rsidRDefault="00F83CA0" w:rsidP="00D14054">
            <w:pPr>
              <w:spacing w:before="120" w:line="300" w:lineRule="auto"/>
              <w:jc w:val="center"/>
              <w:rPr>
                <w:szCs w:val="24"/>
              </w:rPr>
            </w:pPr>
            <w:r>
              <w:rPr>
                <w:szCs w:val="24"/>
              </w:rPr>
              <w:t>4,750</w:t>
            </w:r>
          </w:p>
        </w:tc>
      </w:tr>
      <w:tr w:rsidR="00F83CA0" w14:paraId="3B78D572" w14:textId="77777777" w:rsidTr="00D14054">
        <w:tc>
          <w:tcPr>
            <w:tcW w:w="1680" w:type="dxa"/>
          </w:tcPr>
          <w:p w14:paraId="2B0CA810" w14:textId="77777777" w:rsidR="00F83CA0" w:rsidRPr="00A502CF" w:rsidRDefault="00F83CA0" w:rsidP="00D14054">
            <w:pPr>
              <w:spacing w:before="120" w:line="300" w:lineRule="auto"/>
              <w:rPr>
                <w:b/>
                <w:bCs/>
                <w:szCs w:val="24"/>
              </w:rPr>
            </w:pPr>
            <w:r>
              <w:rPr>
                <w:b/>
                <w:bCs/>
                <w:szCs w:val="24"/>
              </w:rPr>
              <w:t xml:space="preserve">Dispatch Interval </w:t>
            </w:r>
            <w:r w:rsidRPr="00A502CF">
              <w:rPr>
                <w:b/>
                <w:bCs/>
                <w:szCs w:val="24"/>
              </w:rPr>
              <w:t>NSI</w:t>
            </w:r>
          </w:p>
        </w:tc>
        <w:tc>
          <w:tcPr>
            <w:tcW w:w="1421" w:type="dxa"/>
          </w:tcPr>
          <w:p w14:paraId="1F982AF5" w14:textId="77777777" w:rsidR="00F83CA0" w:rsidRDefault="00F83CA0" w:rsidP="00D14054">
            <w:pPr>
              <w:spacing w:before="120" w:line="300" w:lineRule="auto"/>
              <w:jc w:val="center"/>
              <w:rPr>
                <w:szCs w:val="24"/>
              </w:rPr>
            </w:pPr>
            <w:r>
              <w:rPr>
                <w:szCs w:val="24"/>
              </w:rPr>
              <w:t>350</w:t>
            </w:r>
          </w:p>
        </w:tc>
        <w:tc>
          <w:tcPr>
            <w:tcW w:w="1411" w:type="dxa"/>
          </w:tcPr>
          <w:p w14:paraId="2BB4B4E0" w14:textId="77777777" w:rsidR="00F83CA0" w:rsidRDefault="00F83CA0" w:rsidP="00D14054">
            <w:pPr>
              <w:spacing w:before="120" w:line="300" w:lineRule="auto"/>
              <w:jc w:val="center"/>
              <w:rPr>
                <w:szCs w:val="24"/>
              </w:rPr>
            </w:pPr>
            <w:r>
              <w:rPr>
                <w:szCs w:val="24"/>
              </w:rPr>
              <w:t>0</w:t>
            </w:r>
          </w:p>
        </w:tc>
        <w:tc>
          <w:tcPr>
            <w:tcW w:w="1411" w:type="dxa"/>
          </w:tcPr>
          <w:p w14:paraId="4E8BADDF" w14:textId="77777777" w:rsidR="00F83CA0" w:rsidRDefault="00F83CA0" w:rsidP="00D14054">
            <w:pPr>
              <w:spacing w:before="120" w:line="300" w:lineRule="auto"/>
              <w:jc w:val="center"/>
              <w:rPr>
                <w:szCs w:val="24"/>
              </w:rPr>
            </w:pPr>
            <w:r>
              <w:rPr>
                <w:szCs w:val="24"/>
              </w:rPr>
              <w:t>-100</w:t>
            </w:r>
          </w:p>
        </w:tc>
        <w:tc>
          <w:tcPr>
            <w:tcW w:w="1421" w:type="dxa"/>
          </w:tcPr>
          <w:p w14:paraId="5F9A1C33" w14:textId="77777777" w:rsidR="00F83CA0" w:rsidRDefault="00F83CA0" w:rsidP="00D14054">
            <w:pPr>
              <w:spacing w:before="120" w:line="300" w:lineRule="auto"/>
              <w:jc w:val="center"/>
              <w:rPr>
                <w:szCs w:val="24"/>
              </w:rPr>
            </w:pPr>
            <w:r>
              <w:rPr>
                <w:szCs w:val="24"/>
              </w:rPr>
              <w:t>50</w:t>
            </w:r>
          </w:p>
        </w:tc>
        <w:tc>
          <w:tcPr>
            <w:tcW w:w="1286" w:type="dxa"/>
          </w:tcPr>
          <w:p w14:paraId="3638C8B7" w14:textId="77777777" w:rsidR="00F83CA0" w:rsidRDefault="00F83CA0" w:rsidP="00D14054">
            <w:pPr>
              <w:spacing w:before="120" w:line="300" w:lineRule="auto"/>
              <w:jc w:val="center"/>
              <w:rPr>
                <w:szCs w:val="24"/>
              </w:rPr>
            </w:pPr>
            <w:r>
              <w:rPr>
                <w:szCs w:val="24"/>
              </w:rPr>
              <w:t>300</w:t>
            </w:r>
          </w:p>
        </w:tc>
      </w:tr>
      <w:tr w:rsidR="00F83CA0" w14:paraId="6D592F8D" w14:textId="77777777" w:rsidTr="00D14054">
        <w:tc>
          <w:tcPr>
            <w:tcW w:w="1680" w:type="dxa"/>
          </w:tcPr>
          <w:p w14:paraId="25A13C66" w14:textId="77777777" w:rsidR="00F83CA0" w:rsidRDefault="00F83CA0" w:rsidP="00D14054">
            <w:pPr>
              <w:spacing w:before="120" w:line="300" w:lineRule="auto"/>
              <w:rPr>
                <w:b/>
                <w:bCs/>
                <w:szCs w:val="24"/>
              </w:rPr>
            </w:pPr>
            <w:r>
              <w:rPr>
                <w:b/>
                <w:bCs/>
                <w:szCs w:val="24"/>
              </w:rPr>
              <w:t>Market Obligation</w:t>
            </w:r>
          </w:p>
        </w:tc>
        <w:tc>
          <w:tcPr>
            <w:tcW w:w="1421" w:type="dxa"/>
          </w:tcPr>
          <w:p w14:paraId="3596E18F" w14:textId="77777777" w:rsidR="00F83CA0" w:rsidRDefault="00F83CA0" w:rsidP="00D14054">
            <w:pPr>
              <w:spacing w:before="120" w:line="300" w:lineRule="auto"/>
              <w:jc w:val="center"/>
              <w:rPr>
                <w:szCs w:val="24"/>
              </w:rPr>
            </w:pPr>
            <w:r>
              <w:rPr>
                <w:szCs w:val="24"/>
              </w:rPr>
              <w:t>2,100</w:t>
            </w:r>
          </w:p>
        </w:tc>
        <w:tc>
          <w:tcPr>
            <w:tcW w:w="1411" w:type="dxa"/>
          </w:tcPr>
          <w:p w14:paraId="7857EFE1" w14:textId="77777777" w:rsidR="00F83CA0" w:rsidRDefault="00F83CA0" w:rsidP="00D14054">
            <w:pPr>
              <w:spacing w:before="120" w:line="300" w:lineRule="auto"/>
              <w:jc w:val="center"/>
              <w:rPr>
                <w:szCs w:val="24"/>
              </w:rPr>
            </w:pPr>
            <w:r>
              <w:rPr>
                <w:szCs w:val="24"/>
              </w:rPr>
              <w:t>400</w:t>
            </w:r>
          </w:p>
        </w:tc>
        <w:tc>
          <w:tcPr>
            <w:tcW w:w="1411" w:type="dxa"/>
          </w:tcPr>
          <w:p w14:paraId="609A8F23" w14:textId="77777777" w:rsidR="00F83CA0" w:rsidRDefault="00F83CA0" w:rsidP="00D14054">
            <w:pPr>
              <w:spacing w:before="120" w:line="300" w:lineRule="auto"/>
              <w:jc w:val="center"/>
              <w:rPr>
                <w:szCs w:val="24"/>
              </w:rPr>
            </w:pPr>
            <w:r>
              <w:rPr>
                <w:szCs w:val="24"/>
              </w:rPr>
              <w:t>500</w:t>
            </w:r>
          </w:p>
        </w:tc>
        <w:tc>
          <w:tcPr>
            <w:tcW w:w="1421" w:type="dxa"/>
          </w:tcPr>
          <w:p w14:paraId="24720A0F" w14:textId="77777777" w:rsidR="00F83CA0" w:rsidRDefault="00F83CA0" w:rsidP="00D14054">
            <w:pPr>
              <w:spacing w:before="120" w:line="300" w:lineRule="auto"/>
              <w:jc w:val="center"/>
              <w:rPr>
                <w:szCs w:val="24"/>
              </w:rPr>
            </w:pPr>
            <w:r>
              <w:rPr>
                <w:szCs w:val="24"/>
              </w:rPr>
              <w:t>2,050</w:t>
            </w:r>
          </w:p>
        </w:tc>
        <w:tc>
          <w:tcPr>
            <w:tcW w:w="1286" w:type="dxa"/>
          </w:tcPr>
          <w:p w14:paraId="45F89AD8" w14:textId="77777777" w:rsidR="00F83CA0" w:rsidRDefault="00F83CA0" w:rsidP="00D14054">
            <w:pPr>
              <w:spacing w:before="120" w:line="300" w:lineRule="auto"/>
              <w:jc w:val="center"/>
              <w:rPr>
                <w:szCs w:val="24"/>
              </w:rPr>
            </w:pPr>
            <w:r>
              <w:rPr>
                <w:szCs w:val="24"/>
              </w:rPr>
              <w:t>5,050</w:t>
            </w:r>
          </w:p>
        </w:tc>
      </w:tr>
      <w:tr w:rsidR="00F83CA0" w14:paraId="2B184F81" w14:textId="77777777" w:rsidTr="00D14054">
        <w:tc>
          <w:tcPr>
            <w:tcW w:w="1680" w:type="dxa"/>
          </w:tcPr>
          <w:p w14:paraId="11822152" w14:textId="77777777" w:rsidR="00F83CA0" w:rsidRPr="00A502CF" w:rsidRDefault="00F83CA0" w:rsidP="00D14054">
            <w:pPr>
              <w:spacing w:before="120" w:line="300" w:lineRule="auto"/>
              <w:rPr>
                <w:b/>
                <w:bCs/>
                <w:szCs w:val="24"/>
              </w:rPr>
            </w:pPr>
            <w:bookmarkStart w:id="4123" w:name="_Hlk167175611"/>
            <w:r>
              <w:rPr>
                <w:b/>
                <w:bCs/>
                <w:szCs w:val="24"/>
              </w:rPr>
              <w:t xml:space="preserve">Market </w:t>
            </w:r>
            <w:r w:rsidRPr="00A502CF">
              <w:rPr>
                <w:b/>
                <w:bCs/>
                <w:szCs w:val="24"/>
              </w:rPr>
              <w:t>Generation</w:t>
            </w:r>
          </w:p>
        </w:tc>
        <w:tc>
          <w:tcPr>
            <w:tcW w:w="1421" w:type="dxa"/>
          </w:tcPr>
          <w:p w14:paraId="48450C3F" w14:textId="77777777" w:rsidR="00F83CA0" w:rsidRDefault="00F83CA0" w:rsidP="00D14054">
            <w:pPr>
              <w:spacing w:before="120" w:line="300" w:lineRule="auto"/>
              <w:jc w:val="center"/>
              <w:rPr>
                <w:szCs w:val="24"/>
              </w:rPr>
            </w:pPr>
            <w:r>
              <w:rPr>
                <w:szCs w:val="24"/>
              </w:rPr>
              <w:t>1,900</w:t>
            </w:r>
          </w:p>
        </w:tc>
        <w:tc>
          <w:tcPr>
            <w:tcW w:w="1411" w:type="dxa"/>
          </w:tcPr>
          <w:p w14:paraId="1BF3B557" w14:textId="77777777" w:rsidR="00F83CA0" w:rsidRDefault="00F83CA0" w:rsidP="00D14054">
            <w:pPr>
              <w:spacing w:before="120" w:line="300" w:lineRule="auto"/>
              <w:jc w:val="center"/>
              <w:rPr>
                <w:szCs w:val="24"/>
              </w:rPr>
            </w:pPr>
            <w:r>
              <w:rPr>
                <w:szCs w:val="24"/>
              </w:rPr>
              <w:t>200</w:t>
            </w:r>
          </w:p>
        </w:tc>
        <w:tc>
          <w:tcPr>
            <w:tcW w:w="1411" w:type="dxa"/>
          </w:tcPr>
          <w:p w14:paraId="6F808605" w14:textId="77777777" w:rsidR="00F83CA0" w:rsidRDefault="00F83CA0" w:rsidP="00D14054">
            <w:pPr>
              <w:spacing w:before="120" w:line="300" w:lineRule="auto"/>
              <w:jc w:val="center"/>
              <w:rPr>
                <w:szCs w:val="24"/>
              </w:rPr>
            </w:pPr>
            <w:r>
              <w:rPr>
                <w:szCs w:val="24"/>
              </w:rPr>
              <w:t>850</w:t>
            </w:r>
          </w:p>
        </w:tc>
        <w:tc>
          <w:tcPr>
            <w:tcW w:w="1421" w:type="dxa"/>
          </w:tcPr>
          <w:p w14:paraId="30A26F98" w14:textId="77777777" w:rsidR="00F83CA0" w:rsidRDefault="00F83CA0" w:rsidP="00D14054">
            <w:pPr>
              <w:spacing w:before="120" w:line="300" w:lineRule="auto"/>
              <w:jc w:val="center"/>
              <w:rPr>
                <w:szCs w:val="24"/>
              </w:rPr>
            </w:pPr>
            <w:r>
              <w:rPr>
                <w:szCs w:val="24"/>
              </w:rPr>
              <w:t>2,100</w:t>
            </w:r>
          </w:p>
        </w:tc>
        <w:tc>
          <w:tcPr>
            <w:tcW w:w="1286" w:type="dxa"/>
          </w:tcPr>
          <w:p w14:paraId="629FE4C5" w14:textId="77777777" w:rsidR="00F83CA0" w:rsidRDefault="00F83CA0" w:rsidP="00D14054">
            <w:pPr>
              <w:spacing w:before="120" w:line="300" w:lineRule="auto"/>
              <w:jc w:val="center"/>
              <w:rPr>
                <w:szCs w:val="24"/>
              </w:rPr>
            </w:pPr>
            <w:r>
              <w:rPr>
                <w:szCs w:val="24"/>
              </w:rPr>
              <w:t>5,050</w:t>
            </w:r>
          </w:p>
        </w:tc>
      </w:tr>
      <w:bookmarkEnd w:id="4123"/>
      <w:tr w:rsidR="00F83CA0" w14:paraId="2E0C1B61" w14:textId="77777777" w:rsidTr="00D14054">
        <w:tc>
          <w:tcPr>
            <w:tcW w:w="1680" w:type="dxa"/>
          </w:tcPr>
          <w:p w14:paraId="5EAEDDF4" w14:textId="77777777" w:rsidR="00F83CA0" w:rsidRPr="00A502CF" w:rsidRDefault="00F83CA0" w:rsidP="00D14054">
            <w:pPr>
              <w:spacing w:before="120" w:line="300" w:lineRule="auto"/>
              <w:rPr>
                <w:b/>
                <w:bCs/>
                <w:szCs w:val="24"/>
              </w:rPr>
            </w:pPr>
            <w:r>
              <w:rPr>
                <w:b/>
                <w:bCs/>
                <w:szCs w:val="24"/>
              </w:rPr>
              <w:t>NSI Offset</w:t>
            </w:r>
          </w:p>
        </w:tc>
        <w:tc>
          <w:tcPr>
            <w:tcW w:w="1421" w:type="dxa"/>
          </w:tcPr>
          <w:p w14:paraId="7585CE87" w14:textId="77777777" w:rsidR="00F83CA0" w:rsidRDefault="00F83CA0" w:rsidP="00D14054">
            <w:pPr>
              <w:spacing w:before="120" w:line="300" w:lineRule="auto"/>
              <w:jc w:val="center"/>
              <w:rPr>
                <w:szCs w:val="24"/>
              </w:rPr>
            </w:pPr>
            <w:r>
              <w:rPr>
                <w:szCs w:val="24"/>
              </w:rPr>
              <w:t>-200</w:t>
            </w:r>
          </w:p>
        </w:tc>
        <w:tc>
          <w:tcPr>
            <w:tcW w:w="1411" w:type="dxa"/>
          </w:tcPr>
          <w:p w14:paraId="2950F8AC" w14:textId="77777777" w:rsidR="00F83CA0" w:rsidRDefault="00F83CA0" w:rsidP="00D14054">
            <w:pPr>
              <w:spacing w:before="120" w:line="300" w:lineRule="auto"/>
              <w:jc w:val="center"/>
              <w:rPr>
                <w:szCs w:val="24"/>
              </w:rPr>
            </w:pPr>
            <w:r>
              <w:rPr>
                <w:szCs w:val="24"/>
              </w:rPr>
              <w:t>-200</w:t>
            </w:r>
          </w:p>
        </w:tc>
        <w:tc>
          <w:tcPr>
            <w:tcW w:w="1411" w:type="dxa"/>
          </w:tcPr>
          <w:p w14:paraId="22609A0E" w14:textId="77777777" w:rsidR="00F83CA0" w:rsidRDefault="00F83CA0" w:rsidP="00D14054">
            <w:pPr>
              <w:spacing w:before="120" w:line="300" w:lineRule="auto"/>
              <w:jc w:val="center"/>
              <w:rPr>
                <w:szCs w:val="24"/>
              </w:rPr>
            </w:pPr>
            <w:r>
              <w:rPr>
                <w:szCs w:val="24"/>
              </w:rPr>
              <w:t>350</w:t>
            </w:r>
          </w:p>
        </w:tc>
        <w:tc>
          <w:tcPr>
            <w:tcW w:w="1421" w:type="dxa"/>
          </w:tcPr>
          <w:p w14:paraId="6F02CE12" w14:textId="77777777" w:rsidR="00F83CA0" w:rsidRDefault="00F83CA0" w:rsidP="00D14054">
            <w:pPr>
              <w:spacing w:before="120" w:line="300" w:lineRule="auto"/>
              <w:jc w:val="center"/>
              <w:rPr>
                <w:szCs w:val="24"/>
              </w:rPr>
            </w:pPr>
            <w:r>
              <w:rPr>
                <w:szCs w:val="24"/>
              </w:rPr>
              <w:t>50</w:t>
            </w:r>
          </w:p>
        </w:tc>
        <w:tc>
          <w:tcPr>
            <w:tcW w:w="1286" w:type="dxa"/>
          </w:tcPr>
          <w:p w14:paraId="59A87136" w14:textId="77777777" w:rsidR="00F83CA0" w:rsidRDefault="00F83CA0" w:rsidP="00D14054">
            <w:pPr>
              <w:spacing w:before="120" w:line="300" w:lineRule="auto"/>
              <w:jc w:val="center"/>
              <w:rPr>
                <w:szCs w:val="24"/>
              </w:rPr>
            </w:pPr>
            <w:r>
              <w:rPr>
                <w:szCs w:val="24"/>
              </w:rPr>
              <w:t>0</w:t>
            </w:r>
          </w:p>
        </w:tc>
      </w:tr>
      <w:tr w:rsidR="00F83CA0" w14:paraId="7994E451" w14:textId="77777777" w:rsidTr="00D14054">
        <w:tc>
          <w:tcPr>
            <w:tcW w:w="1680" w:type="dxa"/>
          </w:tcPr>
          <w:p w14:paraId="21832E42" w14:textId="77777777" w:rsidR="00F83CA0" w:rsidRDefault="00F83CA0" w:rsidP="00D14054">
            <w:pPr>
              <w:spacing w:before="120" w:line="300" w:lineRule="auto"/>
              <w:rPr>
                <w:b/>
                <w:bCs/>
                <w:szCs w:val="24"/>
              </w:rPr>
            </w:pPr>
            <w:r>
              <w:rPr>
                <w:b/>
                <w:bCs/>
                <w:szCs w:val="24"/>
              </w:rPr>
              <w:t>Adjusted NSI</w:t>
            </w:r>
          </w:p>
        </w:tc>
        <w:tc>
          <w:tcPr>
            <w:tcW w:w="1421" w:type="dxa"/>
          </w:tcPr>
          <w:p w14:paraId="40926189" w14:textId="77777777" w:rsidR="00F83CA0" w:rsidRDefault="00F83CA0" w:rsidP="00D14054">
            <w:pPr>
              <w:spacing w:before="120" w:line="300" w:lineRule="auto"/>
              <w:jc w:val="center"/>
              <w:rPr>
                <w:szCs w:val="24"/>
              </w:rPr>
            </w:pPr>
            <w:r>
              <w:rPr>
                <w:szCs w:val="24"/>
              </w:rPr>
              <w:t>150</w:t>
            </w:r>
          </w:p>
        </w:tc>
        <w:tc>
          <w:tcPr>
            <w:tcW w:w="1411" w:type="dxa"/>
          </w:tcPr>
          <w:p w14:paraId="4AB48A27" w14:textId="77777777" w:rsidR="00F83CA0" w:rsidRDefault="00F83CA0" w:rsidP="00D14054">
            <w:pPr>
              <w:spacing w:before="120" w:line="300" w:lineRule="auto"/>
              <w:jc w:val="center"/>
              <w:rPr>
                <w:szCs w:val="24"/>
              </w:rPr>
            </w:pPr>
            <w:r>
              <w:rPr>
                <w:szCs w:val="24"/>
              </w:rPr>
              <w:t>-200</w:t>
            </w:r>
          </w:p>
        </w:tc>
        <w:tc>
          <w:tcPr>
            <w:tcW w:w="1411" w:type="dxa"/>
          </w:tcPr>
          <w:p w14:paraId="0B24DBA7" w14:textId="77777777" w:rsidR="00F83CA0" w:rsidRDefault="00F83CA0" w:rsidP="00D14054">
            <w:pPr>
              <w:spacing w:before="120" w:line="300" w:lineRule="auto"/>
              <w:jc w:val="center"/>
              <w:rPr>
                <w:szCs w:val="24"/>
              </w:rPr>
            </w:pPr>
            <w:r>
              <w:rPr>
                <w:szCs w:val="24"/>
              </w:rPr>
              <w:t>250</w:t>
            </w:r>
          </w:p>
        </w:tc>
        <w:tc>
          <w:tcPr>
            <w:tcW w:w="1421" w:type="dxa"/>
          </w:tcPr>
          <w:p w14:paraId="200B5536" w14:textId="77777777" w:rsidR="00F83CA0" w:rsidRDefault="00F83CA0" w:rsidP="00D14054">
            <w:pPr>
              <w:spacing w:before="120" w:line="300" w:lineRule="auto"/>
              <w:jc w:val="center"/>
              <w:rPr>
                <w:szCs w:val="24"/>
              </w:rPr>
            </w:pPr>
            <w:r>
              <w:rPr>
                <w:szCs w:val="24"/>
              </w:rPr>
              <w:t>100</w:t>
            </w:r>
          </w:p>
        </w:tc>
        <w:tc>
          <w:tcPr>
            <w:tcW w:w="1286" w:type="dxa"/>
          </w:tcPr>
          <w:p w14:paraId="6DD0AD4A" w14:textId="77777777" w:rsidR="00F83CA0" w:rsidRDefault="00F83CA0" w:rsidP="00D14054">
            <w:pPr>
              <w:spacing w:before="120" w:line="300" w:lineRule="auto"/>
              <w:jc w:val="center"/>
              <w:rPr>
                <w:szCs w:val="24"/>
              </w:rPr>
            </w:pPr>
            <w:r>
              <w:rPr>
                <w:szCs w:val="24"/>
              </w:rPr>
              <w:t>300</w:t>
            </w:r>
          </w:p>
        </w:tc>
      </w:tr>
    </w:tbl>
    <w:p w14:paraId="6008021E" w14:textId="77777777" w:rsidR="00F83CA0" w:rsidRDefault="00F83CA0" w:rsidP="00F83CA0">
      <w:pPr>
        <w:spacing w:before="120" w:line="300" w:lineRule="auto"/>
        <w:ind w:left="720"/>
        <w:rPr>
          <w:szCs w:val="24"/>
        </w:rPr>
      </w:pPr>
    </w:p>
    <w:p w14:paraId="2E461B21" w14:textId="77777777" w:rsidR="00F83CA0" w:rsidRDefault="00F83CA0" w:rsidP="00F83CA0">
      <w:pPr>
        <w:spacing w:before="120" w:line="300" w:lineRule="auto"/>
        <w:ind w:left="720"/>
        <w:rPr>
          <w:szCs w:val="24"/>
        </w:rPr>
      </w:pPr>
      <w:r>
        <w:rPr>
          <w:szCs w:val="24"/>
        </w:rPr>
        <w:t>Where NSI Offset = Market Generation – Market Obligation</w:t>
      </w:r>
    </w:p>
    <w:p w14:paraId="528B9FD9" w14:textId="77777777" w:rsidR="00F83CA0" w:rsidRDefault="00F83CA0" w:rsidP="00F83CA0">
      <w:pPr>
        <w:spacing w:before="120" w:line="300" w:lineRule="auto"/>
        <w:ind w:left="720"/>
        <w:rPr>
          <w:szCs w:val="24"/>
        </w:rPr>
      </w:pPr>
      <w:r>
        <w:rPr>
          <w:szCs w:val="24"/>
        </w:rPr>
        <w:t>And,</w:t>
      </w:r>
    </w:p>
    <w:p w14:paraId="51802006" w14:textId="77777777" w:rsidR="00F83CA0" w:rsidRDefault="00F83CA0" w:rsidP="00F83CA0">
      <w:pPr>
        <w:spacing w:before="120" w:line="300" w:lineRule="auto"/>
        <w:ind w:left="720"/>
        <w:rPr>
          <w:szCs w:val="24"/>
        </w:rPr>
      </w:pPr>
      <w:r>
        <w:rPr>
          <w:szCs w:val="24"/>
        </w:rPr>
        <w:t>Adjusted NSI = NSI Offset + Dispatch Interval NSI.</w:t>
      </w:r>
    </w:p>
    <w:p w14:paraId="3B595801" w14:textId="77777777" w:rsidR="00F83CA0" w:rsidRDefault="00F83CA0" w:rsidP="00F83CA0">
      <w:pPr>
        <w:spacing w:before="120" w:line="300" w:lineRule="auto"/>
        <w:ind w:left="720"/>
        <w:rPr>
          <w:szCs w:val="24"/>
        </w:rPr>
      </w:pPr>
    </w:p>
    <w:p w14:paraId="6D91DF53" w14:textId="4CC3796C" w:rsidR="00F83CA0" w:rsidRPr="00FC3438" w:rsidRDefault="00F83CA0" w:rsidP="00574EDE">
      <w:pPr>
        <w:pStyle w:val="Heading4"/>
      </w:pPr>
      <w:bookmarkStart w:id="4124" w:name="_Ref257910740"/>
      <w:bookmarkStart w:id="4125" w:name="_Toc258924879"/>
      <w:bookmarkStart w:id="4126" w:name="_Toc263173318"/>
      <w:bookmarkStart w:id="4127" w:name="_Toc263429432"/>
      <w:bookmarkStart w:id="4128" w:name="_Toc263795470"/>
      <w:bookmarkStart w:id="4129" w:name="_Toc266869647"/>
      <w:bookmarkStart w:id="4130" w:name="_Toc159232315"/>
      <w:bookmarkStart w:id="4131" w:name="_Toc213771869"/>
      <w:bookmarkStart w:id="4132" w:name="_Toc243211986"/>
      <w:bookmarkStart w:id="4133" w:name="_Toc245633987"/>
      <w:bookmarkStart w:id="4134" w:name="_Toc245634139"/>
      <w:bookmarkStart w:id="4135" w:name="_Toc245728029"/>
      <w:bookmarkStart w:id="4136" w:name="_Toc248644153"/>
      <w:r w:rsidRPr="00FC3438">
        <w:t>Out-of-Merit Energy (OOME) Dispatch</w:t>
      </w:r>
      <w:bookmarkEnd w:id="4124"/>
      <w:bookmarkEnd w:id="4125"/>
      <w:bookmarkEnd w:id="4126"/>
      <w:bookmarkEnd w:id="4127"/>
      <w:bookmarkEnd w:id="4128"/>
      <w:bookmarkEnd w:id="4129"/>
      <w:bookmarkEnd w:id="4130"/>
      <w:bookmarkEnd w:id="4131"/>
    </w:p>
    <w:p w14:paraId="10315F80" w14:textId="1C3EA823" w:rsidR="00F83CA0" w:rsidRPr="00FC3438" w:rsidRDefault="00F83CA0" w:rsidP="00F83CA0">
      <w:pPr>
        <w:spacing w:before="120" w:line="300" w:lineRule="auto"/>
        <w:rPr>
          <w:rFonts w:cs="Segoe UI"/>
        </w:rPr>
      </w:pPr>
      <w:r w:rsidRPr="00FC3438">
        <w:rPr>
          <w:rFonts w:cs="Segoe UI"/>
        </w:rPr>
        <w:t>An instruction by a</w:t>
      </w:r>
      <w:r>
        <w:rPr>
          <w:rFonts w:cs="Segoe UI"/>
        </w:rPr>
        <w:t xml:space="preserve"> Transmission Operator, </w:t>
      </w:r>
      <w:r w:rsidRPr="00FC3438">
        <w:rPr>
          <w:rFonts w:cs="Segoe UI"/>
        </w:rPr>
        <w:t>Reliability Coordinator</w:t>
      </w:r>
      <w:r>
        <w:rPr>
          <w:rFonts w:cs="Segoe UI"/>
        </w:rPr>
        <w:t>, or Participating Balancing Authority</w:t>
      </w:r>
      <w:r w:rsidRPr="00FC3438">
        <w:rPr>
          <w:rFonts w:cs="Segoe UI"/>
        </w:rPr>
        <w:t xml:space="preserve"> limiting a Resource’s output is reflected in</w:t>
      </w:r>
      <w:r w:rsidRPr="00FC3438" w:rsidDel="007E4598">
        <w:rPr>
          <w:rFonts w:cs="Segoe UI"/>
        </w:rPr>
        <w:t xml:space="preserve"> </w:t>
      </w:r>
      <w:r w:rsidRPr="00FC3438">
        <w:rPr>
          <w:rFonts w:cs="Segoe UI"/>
        </w:rPr>
        <w:t xml:space="preserve">Markets+ through an OOME.  The Market Participant responsible for the Resource subject to the instruction will communicate an OOME to </w:t>
      </w:r>
      <w:r>
        <w:rPr>
          <w:szCs w:val="24"/>
        </w:rPr>
        <w:t>the Market Operator</w:t>
      </w:r>
      <w:r w:rsidRPr="00FC3438">
        <w:rPr>
          <w:szCs w:val="24"/>
        </w:rPr>
        <w:t xml:space="preserve"> </w:t>
      </w:r>
      <w:r w:rsidRPr="00FC3438">
        <w:rPr>
          <w:rFonts w:cs="Segoe UI"/>
        </w:rPr>
        <w:t xml:space="preserve">to reflect the Resource’s dispatchability based on the instruction.  For </w:t>
      </w:r>
      <w:r>
        <w:rPr>
          <w:rFonts w:cs="Segoe UI"/>
        </w:rPr>
        <w:t>J</w:t>
      </w:r>
      <w:r w:rsidRPr="00FC3438">
        <w:rPr>
          <w:rFonts w:cs="Segoe UI"/>
        </w:rPr>
        <w:t xml:space="preserve">ointly </w:t>
      </w:r>
      <w:r>
        <w:rPr>
          <w:rFonts w:cs="Segoe UI"/>
        </w:rPr>
        <w:t>O</w:t>
      </w:r>
      <w:r w:rsidRPr="00FC3438">
        <w:rPr>
          <w:rFonts w:cs="Segoe UI"/>
        </w:rPr>
        <w:t xml:space="preserve">wned </w:t>
      </w:r>
      <w:r>
        <w:rPr>
          <w:rFonts w:cs="Segoe UI"/>
        </w:rPr>
        <w:t>U</w:t>
      </w:r>
      <w:r w:rsidRPr="00FC3438">
        <w:rPr>
          <w:rFonts w:cs="Segoe UI"/>
        </w:rPr>
        <w:t xml:space="preserve">nits that are modeled as separate Resources, the primary Market Participant responsible for the </w:t>
      </w:r>
      <w:r>
        <w:rPr>
          <w:rFonts w:cs="Segoe UI"/>
        </w:rPr>
        <w:t>J</w:t>
      </w:r>
      <w:r w:rsidRPr="00FC3438">
        <w:rPr>
          <w:rFonts w:cs="Segoe UI"/>
        </w:rPr>
        <w:t xml:space="preserve">ointly </w:t>
      </w:r>
      <w:r>
        <w:rPr>
          <w:rFonts w:cs="Segoe UI"/>
        </w:rPr>
        <w:t>O</w:t>
      </w:r>
      <w:r w:rsidRPr="00FC3438">
        <w:rPr>
          <w:rFonts w:cs="Segoe UI"/>
        </w:rPr>
        <w:t xml:space="preserve">wned </w:t>
      </w:r>
      <w:r>
        <w:rPr>
          <w:rFonts w:cs="Segoe UI"/>
        </w:rPr>
        <w:t>U</w:t>
      </w:r>
      <w:r w:rsidRPr="00FC3438">
        <w:rPr>
          <w:rFonts w:cs="Segoe UI"/>
        </w:rPr>
        <w:t xml:space="preserve">nit will communicate the OOME for each share.  An OOME will specify either a </w:t>
      </w:r>
      <w:r>
        <w:rPr>
          <w:rFonts w:cs="Segoe UI"/>
        </w:rPr>
        <w:t>f</w:t>
      </w:r>
      <w:r w:rsidRPr="00FC3438">
        <w:rPr>
          <w:rFonts w:cs="Segoe UI"/>
        </w:rPr>
        <w:t xml:space="preserve">ixed MW level or an OOME cap and/or OOME floor MW level that the Resource is expected to produce until the issue can be resolved.  The OOME will specify the communicated effective time and the communicated termination time.  If the termination is not known during the initial communication, the initial end time will be set in the future by a system default value.  Once the termination time is known the Market Participant will communicate the termination time to </w:t>
      </w:r>
      <w:r>
        <w:rPr>
          <w:szCs w:val="24"/>
        </w:rPr>
        <w:t>the Market Operator</w:t>
      </w:r>
      <w:r w:rsidRPr="00FC3438">
        <w:rPr>
          <w:szCs w:val="24"/>
        </w:rPr>
        <w:t xml:space="preserve"> </w:t>
      </w:r>
      <w:r w:rsidRPr="00FC3438">
        <w:rPr>
          <w:rFonts w:cs="Segoe UI"/>
        </w:rPr>
        <w:t xml:space="preserve">when it is received from the reliability entity.  Any updates from the reliability entity must also be communicated to </w:t>
      </w:r>
      <w:r>
        <w:rPr>
          <w:szCs w:val="24"/>
        </w:rPr>
        <w:t>the Market Operator</w:t>
      </w:r>
      <w:r w:rsidRPr="00FC3438">
        <w:rPr>
          <w:szCs w:val="24"/>
        </w:rPr>
        <w:t xml:space="preserve"> </w:t>
      </w:r>
      <w:r w:rsidRPr="00FC3438">
        <w:rPr>
          <w:rFonts w:cs="Segoe UI"/>
        </w:rPr>
        <w:t xml:space="preserve">by the Market Participant.  Any updates to the OOME will be updated in the market system to reflect these changes.  While the OOME is effective, the OOME flag will be set to true. </w:t>
      </w:r>
      <w:r>
        <w:rPr>
          <w:rFonts w:cs="Segoe UI"/>
        </w:rPr>
        <w:t xml:space="preserve"> </w:t>
      </w:r>
      <w:r w:rsidRPr="00FC3438">
        <w:rPr>
          <w:rFonts w:cs="Segoe UI"/>
        </w:rPr>
        <w:t xml:space="preserve">When the termination time has been reached the OOME ends and the OOME flag will be set to false.  When an OOME contains a </w:t>
      </w:r>
      <w:r>
        <w:rPr>
          <w:rFonts w:cs="Segoe UI"/>
        </w:rPr>
        <w:t>f</w:t>
      </w:r>
      <w:r w:rsidRPr="00FC3438">
        <w:rPr>
          <w:rFonts w:cs="Segoe UI"/>
        </w:rPr>
        <w:t xml:space="preserve">ixed OOME MW, the Resource will receive a </w:t>
      </w:r>
      <w:r w:rsidRPr="00FC3438" w:rsidDel="00A77FA7">
        <w:rPr>
          <w:rFonts w:cs="Segoe UI"/>
        </w:rPr>
        <w:t xml:space="preserve">Dispatch </w:t>
      </w:r>
      <w:r w:rsidRPr="00FC3438">
        <w:rPr>
          <w:rFonts w:cs="Segoe UI"/>
        </w:rPr>
        <w:t xml:space="preserve">Target equal to the specified </w:t>
      </w:r>
      <w:r>
        <w:rPr>
          <w:rFonts w:cs="Segoe UI"/>
        </w:rPr>
        <w:t>f</w:t>
      </w:r>
      <w:r w:rsidRPr="00FC3438">
        <w:rPr>
          <w:rFonts w:cs="Segoe UI"/>
        </w:rPr>
        <w:t xml:space="preserve">ixed OOME MW.  When an OOME contains an OOME cap MW and/or OOME floor MW, the Resource will receive a </w:t>
      </w:r>
      <w:r w:rsidRPr="00FC3438" w:rsidDel="00A77FA7">
        <w:rPr>
          <w:rFonts w:cs="Segoe UI"/>
        </w:rPr>
        <w:t xml:space="preserve">Dispatch </w:t>
      </w:r>
      <w:r w:rsidRPr="00FC3438">
        <w:rPr>
          <w:rFonts w:cs="Segoe UI"/>
        </w:rPr>
        <w:t xml:space="preserve">Target to generate below the OOME cap MW and/or above the OOME floor MW respectively.  </w:t>
      </w:r>
      <w:r w:rsidRPr="00FC3438">
        <w:t>During the period of time an OOME is imposed, the Resource will not be eligible to clear Flexibility Reserve Products</w:t>
      </w:r>
      <w:r w:rsidRPr="00FC3438">
        <w:rPr>
          <w:rFonts w:cs="Segoe UI"/>
        </w:rPr>
        <w:t xml:space="preserve">.   </w:t>
      </w:r>
      <w:r w:rsidRPr="00FC3438">
        <w:rPr>
          <w:rFonts w:cs="Segoe UI"/>
          <w:bCs/>
        </w:rPr>
        <w:t xml:space="preserve">  </w:t>
      </w:r>
    </w:p>
    <w:p w14:paraId="51297E27" w14:textId="544D05B7" w:rsidR="00F83CA0" w:rsidRPr="00FC3438" w:rsidRDefault="00F83CA0" w:rsidP="00574654">
      <w:pPr>
        <w:pStyle w:val="Heading5"/>
      </w:pPr>
      <w:bookmarkStart w:id="4137" w:name="_Toc213771870"/>
      <w:r w:rsidRPr="00FC3438" w:rsidDel="009C6DEB">
        <w:t>Fixed</w:t>
      </w:r>
      <w:bookmarkStart w:id="4138" w:name="_Toc159232317"/>
      <w:r w:rsidRPr="00FC3438">
        <w:t xml:space="preserve"> OOME</w:t>
      </w:r>
      <w:bookmarkEnd w:id="4137"/>
      <w:bookmarkEnd w:id="4138"/>
      <w:r w:rsidRPr="00FC3438">
        <w:t xml:space="preserve"> </w:t>
      </w:r>
    </w:p>
    <w:p w14:paraId="3FD9710A" w14:textId="2AC50894" w:rsidR="00F83CA0" w:rsidRPr="00FC3438" w:rsidRDefault="00F83CA0" w:rsidP="00EE45E7">
      <w:pPr>
        <w:numPr>
          <w:ilvl w:val="0"/>
          <w:numId w:val="122"/>
        </w:numPr>
        <w:spacing w:before="120" w:line="300" w:lineRule="auto"/>
        <w:rPr>
          <w:szCs w:val="24"/>
        </w:rPr>
      </w:pPr>
      <w:r w:rsidRPr="00FC3438">
        <w:rPr>
          <w:szCs w:val="24"/>
        </w:rPr>
        <w:t xml:space="preserve">During the period of time when a </w:t>
      </w:r>
      <w:r>
        <w:rPr>
          <w:szCs w:val="24"/>
        </w:rPr>
        <w:t>f</w:t>
      </w:r>
      <w:r w:rsidRPr="00FC3438">
        <w:rPr>
          <w:szCs w:val="24"/>
        </w:rPr>
        <w:t xml:space="preserve">ixed OOME is imposed, </w:t>
      </w:r>
      <w:r w:rsidR="009F40B6">
        <w:rPr>
          <w:szCs w:val="24"/>
        </w:rPr>
        <w:t xml:space="preserve">the </w:t>
      </w:r>
      <w:r>
        <w:rPr>
          <w:szCs w:val="24"/>
        </w:rPr>
        <w:t>Transmission Operator, Participating Balancing Authority, or Reliability Coordinator</w:t>
      </w:r>
      <w:r w:rsidRPr="00FC3438" w:rsidDel="007E4598">
        <w:rPr>
          <w:szCs w:val="24"/>
        </w:rPr>
        <w:t xml:space="preserve"> </w:t>
      </w:r>
      <w:r w:rsidRPr="00FC3438">
        <w:rPr>
          <w:szCs w:val="24"/>
        </w:rPr>
        <w:t>will ensure that the following occurs:</w:t>
      </w:r>
    </w:p>
    <w:p w14:paraId="13D2626E" w14:textId="77777777" w:rsidR="00F83CA0" w:rsidRPr="00FC3438" w:rsidRDefault="00F83CA0" w:rsidP="00EE45E7">
      <w:pPr>
        <w:numPr>
          <w:ilvl w:val="1"/>
          <w:numId w:val="122"/>
        </w:numPr>
        <w:spacing w:before="120" w:line="300" w:lineRule="auto"/>
        <w:rPr>
          <w:szCs w:val="24"/>
        </w:rPr>
      </w:pPr>
      <w:r w:rsidRPr="00FC3438">
        <w:rPr>
          <w:szCs w:val="24"/>
        </w:rPr>
        <w:t xml:space="preserve">A notification is immediately issued containing a </w:t>
      </w:r>
      <w:r w:rsidRPr="00FC3438" w:rsidDel="00A77FA7">
        <w:rPr>
          <w:szCs w:val="24"/>
        </w:rPr>
        <w:t xml:space="preserve">Dispatch </w:t>
      </w:r>
      <w:r w:rsidRPr="00FC3438">
        <w:rPr>
          <w:szCs w:val="24"/>
        </w:rPr>
        <w:t xml:space="preserve">Target equal to the </w:t>
      </w:r>
      <w:r>
        <w:rPr>
          <w:szCs w:val="24"/>
        </w:rPr>
        <w:t>f</w:t>
      </w:r>
      <w:r w:rsidRPr="00FC3438">
        <w:rPr>
          <w:szCs w:val="24"/>
        </w:rPr>
        <w:t>ixed MW level the Resource is instructed to produce and the OOME flag is set equal to “True”;</w:t>
      </w:r>
    </w:p>
    <w:p w14:paraId="0916C89E" w14:textId="5B852D1D" w:rsidR="00F83CA0" w:rsidRPr="00FC3438" w:rsidRDefault="00F83CA0" w:rsidP="00EE45E7">
      <w:pPr>
        <w:numPr>
          <w:ilvl w:val="1"/>
          <w:numId w:val="122"/>
        </w:numPr>
        <w:spacing w:before="120" w:line="300" w:lineRule="auto"/>
        <w:rPr>
          <w:szCs w:val="24"/>
        </w:rPr>
      </w:pPr>
      <w:r w:rsidRPr="00FC3438" w:rsidDel="00551FAD">
        <w:rPr>
          <w:szCs w:val="24"/>
        </w:rPr>
        <w:t xml:space="preserve">Setpoint </w:t>
      </w:r>
      <w:r w:rsidRPr="00FC3438">
        <w:rPr>
          <w:szCs w:val="24"/>
        </w:rPr>
        <w:t xml:space="preserve">Targets and </w:t>
      </w:r>
      <w:r w:rsidR="00BC3110">
        <w:rPr>
          <w:szCs w:val="24"/>
        </w:rPr>
        <w:t>Min ECOL</w:t>
      </w:r>
      <w:r w:rsidRPr="00FC3438">
        <w:rPr>
          <w:szCs w:val="24"/>
        </w:rPr>
        <w:t xml:space="preserve"> and </w:t>
      </w:r>
      <w:r w:rsidR="00BC3110">
        <w:rPr>
          <w:szCs w:val="24"/>
        </w:rPr>
        <w:t>Max ECOL</w:t>
      </w:r>
      <w:r w:rsidR="00804016">
        <w:rPr>
          <w:szCs w:val="24"/>
        </w:rPr>
        <w:t>, or in the case of an MSR, the Minimum and Maximum Dis</w:t>
      </w:r>
      <w:r w:rsidR="00A2762B">
        <w:rPr>
          <w:szCs w:val="24"/>
        </w:rPr>
        <w:t>charge and Charge Limits</w:t>
      </w:r>
      <w:r w:rsidRPr="00FC3438">
        <w:rPr>
          <w:szCs w:val="24"/>
        </w:rPr>
        <w:t xml:space="preserve"> for the current Dispatch Interval are immediately adjusted to the </w:t>
      </w:r>
      <w:r>
        <w:rPr>
          <w:szCs w:val="24"/>
        </w:rPr>
        <w:t>f</w:t>
      </w:r>
      <w:r w:rsidRPr="00FC3438">
        <w:rPr>
          <w:szCs w:val="24"/>
        </w:rPr>
        <w:t>ixed MW level the Resource is instructed to produce;</w:t>
      </w:r>
    </w:p>
    <w:p w14:paraId="4A1B00C8" w14:textId="63E41A4A" w:rsidR="00F83CA0" w:rsidRPr="00FC3438" w:rsidRDefault="00F83CA0" w:rsidP="00EE45E7">
      <w:pPr>
        <w:numPr>
          <w:ilvl w:val="2"/>
          <w:numId w:val="122"/>
        </w:numPr>
        <w:spacing w:before="120" w:line="300" w:lineRule="auto"/>
        <w:rPr>
          <w:szCs w:val="24"/>
        </w:rPr>
      </w:pPr>
      <w:r w:rsidRPr="00FC3438">
        <w:rPr>
          <w:szCs w:val="24"/>
        </w:rPr>
        <w:t xml:space="preserve">For VERs, the </w:t>
      </w:r>
      <w:r w:rsidR="00BC3110">
        <w:rPr>
          <w:szCs w:val="24"/>
        </w:rPr>
        <w:t>Min ECOL</w:t>
      </w:r>
      <w:r w:rsidRPr="00FC3438">
        <w:rPr>
          <w:szCs w:val="24"/>
        </w:rPr>
        <w:t xml:space="preserve"> and </w:t>
      </w:r>
      <w:r w:rsidR="00BC3110">
        <w:rPr>
          <w:szCs w:val="24"/>
        </w:rPr>
        <w:t>Max ECOL</w:t>
      </w:r>
      <w:r w:rsidRPr="00FC3438">
        <w:rPr>
          <w:szCs w:val="24"/>
        </w:rPr>
        <w:t xml:space="preserve"> for the current Dispatch Interval are immediately adjusted to the Fixed MW level the Resource is instructed to produce and the </w:t>
      </w:r>
      <w:r w:rsidRPr="00FC3438" w:rsidDel="00551FAD">
        <w:rPr>
          <w:szCs w:val="24"/>
        </w:rPr>
        <w:t xml:space="preserve">Setpoint </w:t>
      </w:r>
      <w:r w:rsidRPr="00FC3438">
        <w:rPr>
          <w:szCs w:val="24"/>
        </w:rPr>
        <w:t>Targets will be immediately adjusted to the lesser of the Fixed MW level the Resource is instructed to produce or the echo of the actual SCADA;</w:t>
      </w:r>
    </w:p>
    <w:p w14:paraId="08F9D905" w14:textId="04A7D551" w:rsidR="00F83CA0" w:rsidRPr="00FC3438" w:rsidRDefault="00F83CA0" w:rsidP="00EE45E7">
      <w:pPr>
        <w:numPr>
          <w:ilvl w:val="1"/>
          <w:numId w:val="122"/>
        </w:numPr>
        <w:spacing w:before="120" w:line="300" w:lineRule="auto"/>
        <w:rPr>
          <w:szCs w:val="24"/>
        </w:rPr>
      </w:pPr>
      <w:r w:rsidRPr="00FC3438" w:rsidDel="00551FAD">
        <w:rPr>
          <w:szCs w:val="24"/>
        </w:rPr>
        <w:t xml:space="preserve">Setpoint </w:t>
      </w:r>
      <w:r w:rsidRPr="00FC3438">
        <w:rPr>
          <w:szCs w:val="24"/>
        </w:rPr>
        <w:t xml:space="preserve">Targets for future intervals and </w:t>
      </w:r>
      <w:r w:rsidR="00BC3110">
        <w:rPr>
          <w:szCs w:val="24"/>
        </w:rPr>
        <w:t>Min ECOL</w:t>
      </w:r>
      <w:r w:rsidRPr="00FC3438">
        <w:rPr>
          <w:szCs w:val="24"/>
        </w:rPr>
        <w:t xml:space="preserve"> and </w:t>
      </w:r>
      <w:r w:rsidR="00BC3110">
        <w:rPr>
          <w:szCs w:val="24"/>
        </w:rPr>
        <w:t>Max ECOL</w:t>
      </w:r>
      <w:r w:rsidR="00A2762B">
        <w:rPr>
          <w:szCs w:val="24"/>
        </w:rPr>
        <w:t>, or in the case of an MSR, the Minimum and Maximum Discharge and Charge Limits</w:t>
      </w:r>
      <w:r w:rsidR="00A2762B" w:rsidRPr="00FC3438">
        <w:rPr>
          <w:szCs w:val="24"/>
        </w:rPr>
        <w:t xml:space="preserve"> </w:t>
      </w:r>
      <w:r w:rsidRPr="00FC3438">
        <w:rPr>
          <w:szCs w:val="24"/>
        </w:rPr>
        <w:t xml:space="preserve"> not yet dispatched will be set to the Fixed MW level the Resource is instructed to produce; </w:t>
      </w:r>
    </w:p>
    <w:p w14:paraId="7407388E" w14:textId="117626F8" w:rsidR="00F83CA0" w:rsidRPr="00FC3438" w:rsidRDefault="00F83CA0" w:rsidP="00EE45E7">
      <w:pPr>
        <w:numPr>
          <w:ilvl w:val="2"/>
          <w:numId w:val="122"/>
        </w:numPr>
        <w:spacing w:before="120" w:line="300" w:lineRule="auto"/>
        <w:rPr>
          <w:szCs w:val="24"/>
        </w:rPr>
      </w:pPr>
      <w:r w:rsidRPr="00FC3438">
        <w:rPr>
          <w:szCs w:val="24"/>
        </w:rPr>
        <w:t xml:space="preserve">For VERs, the </w:t>
      </w:r>
      <w:r w:rsidR="00BC3110">
        <w:rPr>
          <w:szCs w:val="24"/>
        </w:rPr>
        <w:t>Min ECOL</w:t>
      </w:r>
      <w:r w:rsidRPr="00FC3438">
        <w:rPr>
          <w:szCs w:val="24"/>
        </w:rPr>
        <w:t xml:space="preserve"> and </w:t>
      </w:r>
      <w:r w:rsidR="00BC3110">
        <w:rPr>
          <w:szCs w:val="24"/>
        </w:rPr>
        <w:t>Max ECOL</w:t>
      </w:r>
      <w:r w:rsidRPr="00FC3438">
        <w:rPr>
          <w:szCs w:val="24"/>
        </w:rPr>
        <w:t xml:space="preserve"> not yet dispatched will be set to the MW level the Resource is instructed to produce and the </w:t>
      </w:r>
      <w:r w:rsidRPr="00FC3438" w:rsidDel="00551FAD">
        <w:rPr>
          <w:szCs w:val="24"/>
        </w:rPr>
        <w:t xml:space="preserve">Setpoint </w:t>
      </w:r>
      <w:r w:rsidRPr="00FC3438">
        <w:rPr>
          <w:szCs w:val="24"/>
        </w:rPr>
        <w:t>Targets will be set to the lesser of the Fixed MW level the Resource is instructed to produce or the echo of actual SCADA output; and</w:t>
      </w:r>
    </w:p>
    <w:p w14:paraId="54119213" w14:textId="77777777" w:rsidR="00F83CA0" w:rsidRPr="00FC3438" w:rsidRDefault="00F83CA0" w:rsidP="00EE45E7">
      <w:pPr>
        <w:numPr>
          <w:ilvl w:val="1"/>
          <w:numId w:val="122"/>
        </w:numPr>
        <w:spacing w:before="120" w:line="300" w:lineRule="auto"/>
        <w:ind w:left="1454" w:hanging="547"/>
        <w:rPr>
          <w:szCs w:val="24"/>
        </w:rPr>
      </w:pPr>
      <w:r w:rsidRPr="0083757A">
        <w:rPr>
          <w:szCs w:val="24"/>
        </w:rPr>
        <w:t xml:space="preserve">Once the OOME has ended the Resource will return to normal </w:t>
      </w:r>
      <w:r>
        <w:rPr>
          <w:szCs w:val="24"/>
        </w:rPr>
        <w:t xml:space="preserve">market </w:t>
      </w:r>
      <w:r w:rsidRPr="0083757A">
        <w:rPr>
          <w:szCs w:val="24"/>
        </w:rPr>
        <w:t>operations</w:t>
      </w:r>
      <w:r w:rsidRPr="00FC3438">
        <w:rPr>
          <w:szCs w:val="24"/>
        </w:rPr>
        <w:t>.</w:t>
      </w:r>
    </w:p>
    <w:p w14:paraId="411DD1B9" w14:textId="7E8DABBD" w:rsidR="00F83CA0" w:rsidRPr="00FC3438" w:rsidRDefault="00F83CA0" w:rsidP="00574654">
      <w:pPr>
        <w:pStyle w:val="Heading5"/>
      </w:pPr>
      <w:bookmarkStart w:id="4139" w:name="_Ref21590844"/>
      <w:bookmarkStart w:id="4140" w:name="_Toc159232318"/>
      <w:bookmarkStart w:id="4141" w:name="_Toc213771871"/>
      <w:r w:rsidRPr="00FC3438">
        <w:t>OOME Cap and OOME Floor</w:t>
      </w:r>
      <w:bookmarkEnd w:id="4139"/>
      <w:bookmarkEnd w:id="4140"/>
      <w:bookmarkEnd w:id="4141"/>
    </w:p>
    <w:p w14:paraId="3003727C" w14:textId="7C6AB171" w:rsidR="00F83CA0" w:rsidRPr="00FC3438" w:rsidRDefault="00F83CA0" w:rsidP="00EE45E7">
      <w:pPr>
        <w:numPr>
          <w:ilvl w:val="3"/>
          <w:numId w:val="124"/>
        </w:numPr>
        <w:spacing w:line="300" w:lineRule="auto"/>
        <w:ind w:left="720"/>
        <w:contextualSpacing/>
      </w:pPr>
      <w:r w:rsidRPr="00FC3438">
        <w:t xml:space="preserve">During the period of time when an OOME contains an OOME cap and/or OOME floor, </w:t>
      </w:r>
      <w:r>
        <w:rPr>
          <w:szCs w:val="24"/>
        </w:rPr>
        <w:t>the Market Operator</w:t>
      </w:r>
      <w:r w:rsidRPr="00FC3438">
        <w:rPr>
          <w:szCs w:val="24"/>
        </w:rPr>
        <w:t xml:space="preserve"> </w:t>
      </w:r>
      <w:r w:rsidRPr="00FC3438">
        <w:t xml:space="preserve">will ensure that the following occurs: </w:t>
      </w:r>
    </w:p>
    <w:p w14:paraId="0F4BD571" w14:textId="77777777" w:rsidR="00F83CA0" w:rsidRPr="0083757A" w:rsidRDefault="00F83CA0" w:rsidP="00EE45E7">
      <w:pPr>
        <w:numPr>
          <w:ilvl w:val="1"/>
          <w:numId w:val="127"/>
        </w:numPr>
        <w:spacing w:line="300" w:lineRule="auto"/>
        <w:ind w:left="1080"/>
        <w:rPr>
          <w:szCs w:val="24"/>
        </w:rPr>
      </w:pPr>
      <w:r w:rsidRPr="0083757A">
        <w:rPr>
          <w:szCs w:val="24"/>
        </w:rPr>
        <w:t xml:space="preserve">A </w:t>
      </w:r>
      <w:r w:rsidRPr="00FC3438" w:rsidDel="00A77FA7">
        <w:rPr>
          <w:szCs w:val="24"/>
        </w:rPr>
        <w:t xml:space="preserve">Dispatch </w:t>
      </w:r>
      <w:r w:rsidRPr="00FC3438">
        <w:rPr>
          <w:szCs w:val="24"/>
        </w:rPr>
        <w:t>Target</w:t>
      </w:r>
      <w:r w:rsidRPr="0083757A">
        <w:rPr>
          <w:szCs w:val="24"/>
        </w:rPr>
        <w:t xml:space="preserve"> is immediately </w:t>
      </w:r>
      <w:r w:rsidRPr="00FC3438" w:rsidDel="001B7BEB">
        <w:rPr>
          <w:szCs w:val="24"/>
        </w:rPr>
        <w:t xml:space="preserve">issued </w:t>
      </w:r>
      <w:r w:rsidRPr="00FC3438">
        <w:rPr>
          <w:szCs w:val="24"/>
        </w:rPr>
        <w:t>as</w:t>
      </w:r>
      <w:r w:rsidRPr="0083757A">
        <w:rPr>
          <w:szCs w:val="24"/>
        </w:rPr>
        <w:t xml:space="preserve"> defined in (i) to (iii) below and the OOME flag is set equal to “True”;</w:t>
      </w:r>
    </w:p>
    <w:p w14:paraId="6B481415" w14:textId="77777777" w:rsidR="00F83CA0" w:rsidRPr="0083757A" w:rsidRDefault="00F83CA0" w:rsidP="00EE45E7">
      <w:pPr>
        <w:numPr>
          <w:ilvl w:val="2"/>
          <w:numId w:val="127"/>
        </w:numPr>
        <w:spacing w:line="300" w:lineRule="auto"/>
        <w:ind w:left="1714"/>
        <w:rPr>
          <w:szCs w:val="24"/>
        </w:rPr>
      </w:pPr>
      <w:r w:rsidRPr="0083757A">
        <w:rPr>
          <w:szCs w:val="24"/>
        </w:rPr>
        <w:t xml:space="preserve">If the current </w:t>
      </w:r>
      <w:r w:rsidRPr="00FC3438" w:rsidDel="00A77FA7">
        <w:rPr>
          <w:szCs w:val="24"/>
        </w:rPr>
        <w:t xml:space="preserve">Dispatch </w:t>
      </w:r>
      <w:r w:rsidRPr="00FC3438">
        <w:rPr>
          <w:szCs w:val="24"/>
        </w:rPr>
        <w:t>Target</w:t>
      </w:r>
      <w:r w:rsidRPr="0083757A">
        <w:rPr>
          <w:szCs w:val="24"/>
        </w:rPr>
        <w:t xml:space="preserve"> is greater than the OOME cap MW, the </w:t>
      </w:r>
      <w:r w:rsidRPr="00FC3438" w:rsidDel="00A77FA7">
        <w:rPr>
          <w:szCs w:val="24"/>
        </w:rPr>
        <w:t xml:space="preserve">Dispatch </w:t>
      </w:r>
      <w:r w:rsidRPr="00FC3438">
        <w:rPr>
          <w:szCs w:val="24"/>
        </w:rPr>
        <w:t>Target</w:t>
      </w:r>
      <w:r w:rsidRPr="0083757A">
        <w:rPr>
          <w:szCs w:val="24"/>
        </w:rPr>
        <w:t xml:space="preserve"> will be adjusted to the OOME cap MW.</w:t>
      </w:r>
    </w:p>
    <w:p w14:paraId="47376722" w14:textId="77777777" w:rsidR="00F83CA0" w:rsidRPr="0083757A" w:rsidRDefault="00F83CA0" w:rsidP="00EE45E7">
      <w:pPr>
        <w:numPr>
          <w:ilvl w:val="2"/>
          <w:numId w:val="127"/>
        </w:numPr>
        <w:spacing w:line="300" w:lineRule="auto"/>
        <w:ind w:left="1714"/>
        <w:rPr>
          <w:szCs w:val="24"/>
        </w:rPr>
      </w:pPr>
      <w:r w:rsidRPr="0083757A">
        <w:rPr>
          <w:szCs w:val="24"/>
        </w:rPr>
        <w:t xml:space="preserve">If the current </w:t>
      </w:r>
      <w:r w:rsidRPr="00FC3438" w:rsidDel="00A77FA7">
        <w:rPr>
          <w:szCs w:val="24"/>
        </w:rPr>
        <w:t xml:space="preserve">Dispatch </w:t>
      </w:r>
      <w:r w:rsidRPr="00FC3438">
        <w:rPr>
          <w:szCs w:val="24"/>
        </w:rPr>
        <w:t>Target</w:t>
      </w:r>
      <w:r w:rsidRPr="0083757A">
        <w:rPr>
          <w:szCs w:val="24"/>
        </w:rPr>
        <w:t xml:space="preserve"> is less than the OOME floor MW, the </w:t>
      </w:r>
      <w:r w:rsidRPr="00FC3438" w:rsidDel="00A77FA7">
        <w:rPr>
          <w:szCs w:val="24"/>
        </w:rPr>
        <w:t xml:space="preserve">Dispatch </w:t>
      </w:r>
      <w:r w:rsidRPr="00FC3438">
        <w:rPr>
          <w:szCs w:val="24"/>
        </w:rPr>
        <w:t>Target</w:t>
      </w:r>
      <w:r w:rsidRPr="0083757A">
        <w:rPr>
          <w:szCs w:val="24"/>
        </w:rPr>
        <w:t xml:space="preserve"> will be adjusted to the OOME floor MW.</w:t>
      </w:r>
    </w:p>
    <w:p w14:paraId="337C66C8" w14:textId="242644DF" w:rsidR="00F83CA0" w:rsidRPr="0083757A" w:rsidRDefault="00F83CA0" w:rsidP="00EE45E7">
      <w:pPr>
        <w:numPr>
          <w:ilvl w:val="2"/>
          <w:numId w:val="127"/>
        </w:numPr>
        <w:spacing w:line="300" w:lineRule="auto"/>
        <w:ind w:left="1710"/>
        <w:rPr>
          <w:szCs w:val="24"/>
        </w:rPr>
      </w:pPr>
      <w:r w:rsidRPr="0083757A">
        <w:rPr>
          <w:szCs w:val="24"/>
        </w:rPr>
        <w:t xml:space="preserve">If the current </w:t>
      </w:r>
      <w:r w:rsidRPr="00FC3438" w:rsidDel="00A77FA7">
        <w:rPr>
          <w:szCs w:val="24"/>
        </w:rPr>
        <w:t xml:space="preserve">Dispatch </w:t>
      </w:r>
      <w:r w:rsidRPr="00FC3438">
        <w:rPr>
          <w:szCs w:val="24"/>
        </w:rPr>
        <w:t>Target</w:t>
      </w:r>
      <w:r w:rsidRPr="0083757A">
        <w:rPr>
          <w:szCs w:val="24"/>
        </w:rPr>
        <w:t xml:space="preserve"> is less than or equal to the OOME cap MW and/or greater than or equal to the OOME floor MW, the </w:t>
      </w:r>
      <w:r w:rsidRPr="00FC3438" w:rsidDel="00A77FA7">
        <w:rPr>
          <w:szCs w:val="24"/>
        </w:rPr>
        <w:t xml:space="preserve">Dispatch </w:t>
      </w:r>
      <w:r w:rsidRPr="00FC3438">
        <w:rPr>
          <w:szCs w:val="24"/>
        </w:rPr>
        <w:t>Target</w:t>
      </w:r>
      <w:r w:rsidRPr="0083757A">
        <w:rPr>
          <w:szCs w:val="24"/>
        </w:rPr>
        <w:t xml:space="preserve"> will not be adjusted.</w:t>
      </w:r>
    </w:p>
    <w:p w14:paraId="467FE1EB" w14:textId="77777777" w:rsidR="00F83CA0" w:rsidRPr="0083757A" w:rsidRDefault="00F83CA0" w:rsidP="00EE45E7">
      <w:pPr>
        <w:numPr>
          <w:ilvl w:val="1"/>
          <w:numId w:val="127"/>
        </w:numPr>
        <w:spacing w:line="300" w:lineRule="auto"/>
        <w:ind w:left="1080"/>
        <w:rPr>
          <w:szCs w:val="24"/>
        </w:rPr>
      </w:pPr>
      <w:r w:rsidRPr="00FC3438" w:rsidDel="00551FAD">
        <w:rPr>
          <w:szCs w:val="24"/>
        </w:rPr>
        <w:t xml:space="preserve">Setpoint </w:t>
      </w:r>
      <w:r w:rsidRPr="00FC3438">
        <w:rPr>
          <w:szCs w:val="24"/>
        </w:rPr>
        <w:t>Target</w:t>
      </w:r>
      <w:r w:rsidRPr="0083757A">
        <w:rPr>
          <w:szCs w:val="24"/>
        </w:rPr>
        <w:t>s for the current Dispatch Interval are immediately adjusted;</w:t>
      </w:r>
    </w:p>
    <w:p w14:paraId="330AD75A" w14:textId="77777777" w:rsidR="00F83CA0" w:rsidRPr="0083757A" w:rsidRDefault="00F83CA0" w:rsidP="00EE45E7">
      <w:pPr>
        <w:numPr>
          <w:ilvl w:val="2"/>
          <w:numId w:val="127"/>
        </w:numPr>
        <w:spacing w:line="300" w:lineRule="auto"/>
        <w:ind w:left="1620"/>
        <w:rPr>
          <w:szCs w:val="24"/>
        </w:rPr>
      </w:pPr>
      <w:r w:rsidRPr="0083757A">
        <w:rPr>
          <w:szCs w:val="24"/>
        </w:rPr>
        <w:t xml:space="preserve">If the current </w:t>
      </w:r>
      <w:r w:rsidRPr="00FC3438" w:rsidDel="00551FAD">
        <w:rPr>
          <w:szCs w:val="24"/>
        </w:rPr>
        <w:t xml:space="preserve">Setpoint </w:t>
      </w:r>
      <w:r w:rsidRPr="00FC3438">
        <w:rPr>
          <w:szCs w:val="24"/>
        </w:rPr>
        <w:t>Target</w:t>
      </w:r>
      <w:r w:rsidRPr="0083757A">
        <w:rPr>
          <w:szCs w:val="24"/>
        </w:rPr>
        <w:t xml:space="preserve"> is greater than the OOME cap MW, the </w:t>
      </w:r>
      <w:r w:rsidRPr="00FC3438" w:rsidDel="00551FAD">
        <w:rPr>
          <w:szCs w:val="24"/>
        </w:rPr>
        <w:t xml:space="preserve">Setpoint </w:t>
      </w:r>
      <w:r w:rsidRPr="00FC3438">
        <w:rPr>
          <w:szCs w:val="24"/>
        </w:rPr>
        <w:t>Target</w:t>
      </w:r>
      <w:r w:rsidRPr="0083757A">
        <w:rPr>
          <w:szCs w:val="24"/>
        </w:rPr>
        <w:t xml:space="preserve"> will be adjusted to the OOME cap MW.</w:t>
      </w:r>
    </w:p>
    <w:p w14:paraId="41F46F83" w14:textId="77777777" w:rsidR="00F83CA0" w:rsidRPr="0083757A" w:rsidRDefault="00F83CA0" w:rsidP="00EE45E7">
      <w:pPr>
        <w:numPr>
          <w:ilvl w:val="2"/>
          <w:numId w:val="127"/>
        </w:numPr>
        <w:spacing w:line="300" w:lineRule="auto"/>
        <w:ind w:left="1620"/>
        <w:rPr>
          <w:szCs w:val="24"/>
        </w:rPr>
      </w:pPr>
      <w:r w:rsidRPr="0083757A">
        <w:rPr>
          <w:szCs w:val="24"/>
        </w:rPr>
        <w:t xml:space="preserve">If the current </w:t>
      </w:r>
      <w:r w:rsidRPr="00FC3438" w:rsidDel="00551FAD">
        <w:rPr>
          <w:szCs w:val="24"/>
        </w:rPr>
        <w:t xml:space="preserve">Setpoint </w:t>
      </w:r>
      <w:r w:rsidRPr="00FC3438">
        <w:rPr>
          <w:szCs w:val="24"/>
        </w:rPr>
        <w:t>Target</w:t>
      </w:r>
      <w:r w:rsidRPr="0083757A">
        <w:rPr>
          <w:szCs w:val="24"/>
        </w:rPr>
        <w:t xml:space="preserve"> is less than the OOME floor MW, the </w:t>
      </w:r>
      <w:r w:rsidRPr="00FC3438" w:rsidDel="00551FAD">
        <w:rPr>
          <w:szCs w:val="24"/>
        </w:rPr>
        <w:t xml:space="preserve">Setpoint </w:t>
      </w:r>
      <w:r w:rsidRPr="00FC3438">
        <w:rPr>
          <w:szCs w:val="24"/>
        </w:rPr>
        <w:t>Target</w:t>
      </w:r>
      <w:r w:rsidRPr="0083757A">
        <w:rPr>
          <w:szCs w:val="24"/>
        </w:rPr>
        <w:t xml:space="preserve"> will be adjusted to the OOME floor MW.</w:t>
      </w:r>
    </w:p>
    <w:p w14:paraId="5966C9EF" w14:textId="6B2CEC8F" w:rsidR="00F83CA0" w:rsidRPr="0083757A" w:rsidRDefault="00F83CA0" w:rsidP="00EE45E7">
      <w:pPr>
        <w:numPr>
          <w:ilvl w:val="2"/>
          <w:numId w:val="127"/>
        </w:numPr>
        <w:spacing w:line="300" w:lineRule="auto"/>
        <w:ind w:left="1620"/>
        <w:rPr>
          <w:szCs w:val="24"/>
        </w:rPr>
      </w:pPr>
      <w:r w:rsidRPr="0083757A">
        <w:rPr>
          <w:szCs w:val="24"/>
        </w:rPr>
        <w:t xml:space="preserve">If the current </w:t>
      </w:r>
      <w:r w:rsidRPr="00FC3438" w:rsidDel="00551FAD">
        <w:rPr>
          <w:szCs w:val="24"/>
        </w:rPr>
        <w:t xml:space="preserve">Setpoint </w:t>
      </w:r>
      <w:r w:rsidRPr="00FC3438">
        <w:rPr>
          <w:szCs w:val="24"/>
        </w:rPr>
        <w:t>Target</w:t>
      </w:r>
      <w:r w:rsidRPr="0083757A">
        <w:rPr>
          <w:szCs w:val="24"/>
        </w:rPr>
        <w:t xml:space="preserve"> is less than or equal to the OOME cap MW and/or greater than or equal to the OOME floor MW, the </w:t>
      </w:r>
      <w:r w:rsidRPr="00FC3438" w:rsidDel="00551FAD">
        <w:rPr>
          <w:szCs w:val="24"/>
        </w:rPr>
        <w:t xml:space="preserve">Setpoint </w:t>
      </w:r>
      <w:r w:rsidRPr="00FC3438">
        <w:rPr>
          <w:szCs w:val="24"/>
        </w:rPr>
        <w:t>Target</w:t>
      </w:r>
      <w:r w:rsidRPr="0083757A">
        <w:rPr>
          <w:szCs w:val="24"/>
        </w:rPr>
        <w:t>s will not be adjusted.</w:t>
      </w:r>
    </w:p>
    <w:p w14:paraId="575DAB64" w14:textId="21D11206" w:rsidR="00F83CA0" w:rsidRPr="0083757A" w:rsidRDefault="00D7681D" w:rsidP="00EE45E7">
      <w:pPr>
        <w:numPr>
          <w:ilvl w:val="1"/>
          <w:numId w:val="127"/>
        </w:numPr>
        <w:spacing w:line="300" w:lineRule="auto"/>
        <w:ind w:left="1080"/>
        <w:rPr>
          <w:szCs w:val="24"/>
        </w:rPr>
      </w:pPr>
      <w:r>
        <w:rPr>
          <w:szCs w:val="24"/>
        </w:rPr>
        <w:t>Min ECOLs</w:t>
      </w:r>
      <w:r w:rsidR="00051A54">
        <w:rPr>
          <w:szCs w:val="24"/>
        </w:rPr>
        <w:t xml:space="preserve">, or in the case of an MSR, the Minimum Discharge Limit or </w:t>
      </w:r>
      <w:r w:rsidR="00764A6A">
        <w:rPr>
          <w:szCs w:val="24"/>
        </w:rPr>
        <w:t>Maximum</w:t>
      </w:r>
      <w:r w:rsidR="00051A54">
        <w:rPr>
          <w:szCs w:val="24"/>
        </w:rPr>
        <w:t xml:space="preserve"> Charge Limit,</w:t>
      </w:r>
      <w:r w:rsidR="00F83CA0" w:rsidRPr="00FC3438">
        <w:rPr>
          <w:szCs w:val="24"/>
        </w:rPr>
        <w:t xml:space="preserve"> </w:t>
      </w:r>
      <w:r w:rsidR="00F83CA0" w:rsidRPr="0083757A">
        <w:rPr>
          <w:szCs w:val="24"/>
        </w:rPr>
        <w:t xml:space="preserve">for the current Dispatch Interval are immediately adjusted to the OOME floor MW.  </w:t>
      </w:r>
      <w:r>
        <w:rPr>
          <w:szCs w:val="24"/>
        </w:rPr>
        <w:t>Max ECOLs</w:t>
      </w:r>
      <w:r w:rsidR="00051A54">
        <w:rPr>
          <w:szCs w:val="24"/>
        </w:rPr>
        <w:t xml:space="preserve">, or in the case of an MSR, the Maximum Discharge Limit or </w:t>
      </w:r>
      <w:r w:rsidR="00764A6A">
        <w:rPr>
          <w:szCs w:val="24"/>
        </w:rPr>
        <w:t>Minimum</w:t>
      </w:r>
      <w:r w:rsidR="00051A54">
        <w:rPr>
          <w:szCs w:val="24"/>
        </w:rPr>
        <w:t xml:space="preserve"> Charge Limit,</w:t>
      </w:r>
      <w:r w:rsidR="00051A54" w:rsidRPr="00FC3438">
        <w:rPr>
          <w:szCs w:val="24"/>
        </w:rPr>
        <w:t xml:space="preserve"> </w:t>
      </w:r>
      <w:r w:rsidR="00F83CA0" w:rsidRPr="0083757A">
        <w:rPr>
          <w:szCs w:val="24"/>
        </w:rPr>
        <w:t xml:space="preserve"> for the current Dispatch Interval are immediately adjusted to the OOME cap MW; and</w:t>
      </w:r>
    </w:p>
    <w:p w14:paraId="3F8505CD" w14:textId="1B20263E" w:rsidR="00F83CA0" w:rsidRPr="0083757A" w:rsidRDefault="00F83CA0" w:rsidP="00EE45E7">
      <w:pPr>
        <w:numPr>
          <w:ilvl w:val="1"/>
          <w:numId w:val="127"/>
        </w:numPr>
        <w:spacing w:line="300" w:lineRule="auto"/>
        <w:ind w:left="1080"/>
        <w:rPr>
          <w:szCs w:val="24"/>
        </w:rPr>
      </w:pPr>
      <w:r w:rsidRPr="0083757A">
        <w:rPr>
          <w:szCs w:val="24"/>
        </w:rPr>
        <w:t xml:space="preserve">For future intervals not yet dispatched the </w:t>
      </w:r>
      <w:r w:rsidR="00D7681D">
        <w:rPr>
          <w:szCs w:val="24"/>
        </w:rPr>
        <w:t>Max ECOL</w:t>
      </w:r>
      <w:r w:rsidR="00051A54">
        <w:rPr>
          <w:szCs w:val="24"/>
        </w:rPr>
        <w:t>, or in the case of an MSR, the Maximum Discharge Limit or Maximum Charge Limit,</w:t>
      </w:r>
      <w:r w:rsidR="00051A54" w:rsidRPr="00FC3438">
        <w:rPr>
          <w:szCs w:val="24"/>
        </w:rPr>
        <w:t xml:space="preserve"> </w:t>
      </w:r>
      <w:r w:rsidR="00051A54" w:rsidRPr="0083757A">
        <w:rPr>
          <w:szCs w:val="24"/>
        </w:rPr>
        <w:t xml:space="preserve"> </w:t>
      </w:r>
      <w:r w:rsidRPr="0083757A">
        <w:rPr>
          <w:szCs w:val="24"/>
        </w:rPr>
        <w:t xml:space="preserve">will be set equal to the OOME cap MW less the upward </w:t>
      </w:r>
      <w:r w:rsidR="004909EC">
        <w:rPr>
          <w:szCs w:val="24"/>
        </w:rPr>
        <w:t>Flexibility Reserve Product</w:t>
      </w:r>
      <w:r w:rsidR="00F8703C">
        <w:rPr>
          <w:szCs w:val="24"/>
        </w:rPr>
        <w:t>s</w:t>
      </w:r>
      <w:r w:rsidRPr="0083757A">
        <w:rPr>
          <w:szCs w:val="24"/>
        </w:rPr>
        <w:t xml:space="preserve"> carried, limited by the effective minimum operating limit.  For future intervals not yet dispatched the </w:t>
      </w:r>
      <w:r w:rsidR="00D7681D">
        <w:rPr>
          <w:szCs w:val="24"/>
        </w:rPr>
        <w:t>Min ECOL</w:t>
      </w:r>
      <w:r w:rsidR="001E23DD">
        <w:rPr>
          <w:szCs w:val="24"/>
        </w:rPr>
        <w:t>, or in the case of an MSR, the Minimum Discharge Limit or Minimum Charge Limit,</w:t>
      </w:r>
      <w:r w:rsidR="001E23DD" w:rsidRPr="00FC3438">
        <w:rPr>
          <w:szCs w:val="24"/>
        </w:rPr>
        <w:t xml:space="preserve"> </w:t>
      </w:r>
      <w:r w:rsidR="001E23DD" w:rsidRPr="0083757A">
        <w:rPr>
          <w:szCs w:val="24"/>
        </w:rPr>
        <w:t xml:space="preserve"> </w:t>
      </w:r>
      <w:r w:rsidRPr="00FC3438">
        <w:rPr>
          <w:szCs w:val="24"/>
        </w:rPr>
        <w:t xml:space="preserve"> </w:t>
      </w:r>
      <w:r w:rsidRPr="0083757A">
        <w:rPr>
          <w:szCs w:val="24"/>
        </w:rPr>
        <w:t xml:space="preserve">will be set equal to the OOME floor MW plus downward </w:t>
      </w:r>
      <w:r w:rsidR="00576999">
        <w:rPr>
          <w:szCs w:val="24"/>
        </w:rPr>
        <w:t xml:space="preserve">Flexibility </w:t>
      </w:r>
      <w:r w:rsidR="00A04D3A">
        <w:rPr>
          <w:szCs w:val="24"/>
        </w:rPr>
        <w:t>Reserve Products</w:t>
      </w:r>
      <w:r w:rsidRPr="0083757A">
        <w:rPr>
          <w:szCs w:val="24"/>
        </w:rPr>
        <w:t xml:space="preserve"> carried, limited by the effective maximum operating limit;</w:t>
      </w:r>
    </w:p>
    <w:p w14:paraId="6D3C6795" w14:textId="010B9E5F" w:rsidR="00F83CA0" w:rsidRPr="0083757A" w:rsidRDefault="00F83CA0" w:rsidP="00EE45E7">
      <w:pPr>
        <w:numPr>
          <w:ilvl w:val="1"/>
          <w:numId w:val="127"/>
        </w:numPr>
        <w:spacing w:line="300" w:lineRule="auto"/>
        <w:ind w:left="1080"/>
        <w:rPr>
          <w:szCs w:val="24"/>
        </w:rPr>
      </w:pPr>
      <w:r w:rsidRPr="0083757A">
        <w:rPr>
          <w:szCs w:val="24"/>
        </w:rPr>
        <w:t xml:space="preserve">Once the OOME has ended the Resource will return to normal operations.  For DVERs the signal described in Section </w:t>
      </w:r>
      <w:r w:rsidR="000A6B7D">
        <w:rPr>
          <w:szCs w:val="24"/>
        </w:rPr>
        <w:fldChar w:fldCharType="begin"/>
      </w:r>
      <w:r w:rsidR="000A6B7D">
        <w:rPr>
          <w:szCs w:val="24"/>
        </w:rPr>
        <w:instrText xml:space="preserve"> REF _Ref13561727 \r \h </w:instrText>
      </w:r>
      <w:r w:rsidR="000A6B7D">
        <w:rPr>
          <w:szCs w:val="24"/>
        </w:rPr>
      </w:r>
      <w:r w:rsidR="000A6B7D">
        <w:rPr>
          <w:szCs w:val="24"/>
        </w:rPr>
        <w:fldChar w:fldCharType="separate"/>
      </w:r>
      <w:r w:rsidR="000A6B7D">
        <w:rPr>
          <w:szCs w:val="24"/>
        </w:rPr>
        <w:t>4.4.3.1</w:t>
      </w:r>
      <w:r w:rsidR="000A6B7D">
        <w:rPr>
          <w:szCs w:val="24"/>
        </w:rPr>
        <w:fldChar w:fldCharType="end"/>
      </w:r>
      <w:r w:rsidRPr="0083757A">
        <w:rPr>
          <w:szCs w:val="24"/>
        </w:rPr>
        <w:t xml:space="preserve"> will be set to ignore.  NDVERs will be dispatched according to Section </w:t>
      </w:r>
      <w:r w:rsidR="000A6B7D">
        <w:rPr>
          <w:szCs w:val="24"/>
        </w:rPr>
        <w:fldChar w:fldCharType="begin"/>
      </w:r>
      <w:r w:rsidR="000A6B7D">
        <w:rPr>
          <w:szCs w:val="24"/>
        </w:rPr>
        <w:instrText xml:space="preserve"> REF _Ref212552281 \r \h </w:instrText>
      </w:r>
      <w:r w:rsidR="000A6B7D">
        <w:rPr>
          <w:szCs w:val="24"/>
        </w:rPr>
      </w:r>
      <w:r w:rsidR="000A6B7D">
        <w:rPr>
          <w:szCs w:val="24"/>
        </w:rPr>
        <w:fldChar w:fldCharType="separate"/>
      </w:r>
      <w:r w:rsidR="000A6B7D">
        <w:rPr>
          <w:szCs w:val="24"/>
        </w:rPr>
        <w:t>4.4.3.2</w:t>
      </w:r>
      <w:r w:rsidR="000A6B7D">
        <w:rPr>
          <w:szCs w:val="24"/>
        </w:rPr>
        <w:fldChar w:fldCharType="end"/>
      </w:r>
      <w:r w:rsidRPr="0083757A">
        <w:rPr>
          <w:szCs w:val="24"/>
        </w:rPr>
        <w:t>.</w:t>
      </w:r>
    </w:p>
    <w:p w14:paraId="415E9E5D" w14:textId="2B2F4BE9" w:rsidR="00F83CA0" w:rsidRPr="00FC3438" w:rsidRDefault="00F83CA0" w:rsidP="00F83CA0">
      <w:pPr>
        <w:spacing w:line="300" w:lineRule="auto"/>
        <w:ind w:left="720" w:hanging="540"/>
      </w:pPr>
      <w:r w:rsidRPr="00FC3438">
        <w:t>(2)</w:t>
      </w:r>
      <w:r w:rsidRPr="00FC3438">
        <w:tab/>
        <w:t xml:space="preserve">Market Participants </w:t>
      </w:r>
      <w:r>
        <w:t>will</w:t>
      </w:r>
      <w:r w:rsidRPr="00FC3438">
        <w:t xml:space="preserve"> be compensated for the period of time the OOME was imposed</w:t>
      </w:r>
      <w:r w:rsidRPr="00FC3438">
        <w:fldChar w:fldCharType="begin"/>
      </w:r>
      <w:r w:rsidRPr="00FC3438">
        <w:instrText xml:space="preserve"> REF _Ref257912936 \n \h </w:instrText>
      </w:r>
      <w:r w:rsidRPr="00FC3438">
        <w:fldChar w:fldCharType="separate"/>
      </w:r>
      <w:r w:rsidRPr="00FC3438">
        <w:fldChar w:fldCharType="end"/>
      </w:r>
      <w:r w:rsidRPr="00FC3438">
        <w:t xml:space="preserve">; except that if the Market Monitor determines that the Resource selected pursuant to Attachment A </w:t>
      </w:r>
      <w:r w:rsidR="00877D7F">
        <w:t>of</w:t>
      </w:r>
      <w:r w:rsidR="00877D7F" w:rsidRPr="00FC3438">
        <w:t xml:space="preserve"> </w:t>
      </w:r>
      <w:r w:rsidRPr="00FC3438">
        <w:t>the Markets+ Tariff</w:t>
      </w:r>
      <w:r>
        <w:t xml:space="preserve">, </w:t>
      </w:r>
      <w:r w:rsidRPr="00FC3438">
        <w:t xml:space="preserve"> </w:t>
      </w:r>
      <w:r w:rsidRPr="00FC3438">
        <w:fldChar w:fldCharType="begin"/>
      </w:r>
      <w:r w:rsidRPr="00FC3438">
        <w:instrText xml:space="preserve"> REF _Ref257910740 \n \h </w:instrText>
      </w:r>
      <w:r w:rsidRPr="00FC3438">
        <w:fldChar w:fldCharType="separate"/>
      </w:r>
      <w:r w:rsidRPr="00FC3438">
        <w:fldChar w:fldCharType="end"/>
      </w:r>
      <w:r w:rsidRPr="00FC3438">
        <w:t xml:space="preserve"> </w:t>
      </w:r>
      <w:r>
        <w:t>will</w:t>
      </w:r>
      <w:r w:rsidRPr="00FC3438">
        <w:t xml:space="preserve"> not be eligible for compensation </w:t>
      </w:r>
      <w:r w:rsidR="00D10D99">
        <w:t>according to</w:t>
      </w:r>
      <w:r w:rsidR="00D10D99">
        <w:rPr>
          <w:szCs w:val="24"/>
        </w:rPr>
        <w:t xml:space="preserve"> the Markets+ Settlements </w:t>
      </w:r>
      <w:r w:rsidR="00BA0C4B">
        <w:rPr>
          <w:szCs w:val="24"/>
        </w:rPr>
        <w:t xml:space="preserve">Calculation </w:t>
      </w:r>
      <w:r w:rsidR="00D10D99">
        <w:rPr>
          <w:szCs w:val="24"/>
        </w:rPr>
        <w:t>Guide</w:t>
      </w:r>
      <w:r w:rsidR="00D10D99" w:rsidRPr="00FC3438" w:rsidDel="00D10D99">
        <w:t xml:space="preserve"> </w:t>
      </w:r>
      <w:r w:rsidRPr="00FC3438">
        <w:fldChar w:fldCharType="begin"/>
      </w:r>
      <w:r w:rsidRPr="00FC3438">
        <w:instrText xml:space="preserve"> REF _Ref257912936 \n \h </w:instrText>
      </w:r>
      <w:r w:rsidRPr="00FC3438">
        <w:fldChar w:fldCharType="separate"/>
      </w:r>
      <w:r w:rsidRPr="00FC3438">
        <w:fldChar w:fldCharType="end"/>
      </w:r>
      <w:r w:rsidRPr="00FC3438">
        <w:t xml:space="preserve">.    </w:t>
      </w:r>
    </w:p>
    <w:p w14:paraId="65EE2A87" w14:textId="1D41C47F" w:rsidR="00F83CA0" w:rsidRPr="00FC3438" w:rsidRDefault="00F83CA0" w:rsidP="00574EDE">
      <w:pPr>
        <w:pStyle w:val="Heading4"/>
      </w:pPr>
      <w:bookmarkStart w:id="4142" w:name="_Ref378852121"/>
      <w:bookmarkStart w:id="4143" w:name="_Toc159232327"/>
      <w:bookmarkStart w:id="4144" w:name="_Toc213771872"/>
      <w:bookmarkStart w:id="4145" w:name="_Toc258924880"/>
      <w:bookmarkStart w:id="4146" w:name="_Toc263173319"/>
      <w:bookmarkStart w:id="4147" w:name="_Toc263173620"/>
      <w:bookmarkStart w:id="4148" w:name="_Toc263173806"/>
      <w:bookmarkStart w:id="4149" w:name="_Toc263174186"/>
      <w:bookmarkStart w:id="4150" w:name="_Toc263235085"/>
      <w:bookmarkStart w:id="4151" w:name="_Toc263235728"/>
      <w:bookmarkStart w:id="4152" w:name="_Toc263429433"/>
      <w:bookmarkStart w:id="4153" w:name="_Toc263795471"/>
      <w:bookmarkStart w:id="4154" w:name="_Toc266869648"/>
      <w:r w:rsidRPr="00FC3438">
        <w:t>Congestion Management</w:t>
      </w:r>
      <w:bookmarkEnd w:id="4142"/>
      <w:bookmarkEnd w:id="4143"/>
      <w:bookmarkEnd w:id="4144"/>
    </w:p>
    <w:p w14:paraId="7CE26796" w14:textId="20FB685B" w:rsidR="00F83CA0" w:rsidRPr="00DA0E30" w:rsidRDefault="00F83CA0" w:rsidP="00F83CA0">
      <w:pPr>
        <w:keepLines/>
        <w:spacing w:before="120" w:line="300" w:lineRule="auto"/>
        <w:rPr>
          <w:szCs w:val="24"/>
          <w:lang w:val="en-AU"/>
        </w:rPr>
      </w:pPr>
      <w:r w:rsidRPr="00342099">
        <w:rPr>
          <w:szCs w:val="24"/>
          <w:lang w:val="en-AU"/>
        </w:rPr>
        <w:t xml:space="preserve">Markets+ will incorporate two </w:t>
      </w:r>
      <w:r w:rsidR="00124F2F">
        <w:rPr>
          <w:szCs w:val="24"/>
          <w:lang w:val="en-AU"/>
        </w:rPr>
        <w:t>(2)</w:t>
      </w:r>
      <w:r w:rsidRPr="00342099">
        <w:rPr>
          <w:szCs w:val="24"/>
          <w:lang w:val="en-AU"/>
        </w:rPr>
        <w:t xml:space="preserve"> categories of transmission constraints, 1) physical transmission constraints discussed in </w:t>
      </w:r>
      <w:r w:rsidRPr="005D6245">
        <w:rPr>
          <w:szCs w:val="24"/>
          <w:lang w:val="en-AU"/>
        </w:rPr>
        <w:t>Section</w:t>
      </w:r>
      <w:r>
        <w:rPr>
          <w:szCs w:val="24"/>
          <w:lang w:val="en-AU"/>
        </w:rPr>
        <w:t xml:space="preserve"> </w:t>
      </w:r>
      <w:r w:rsidR="00B00B5B">
        <w:rPr>
          <w:szCs w:val="24"/>
          <w:lang w:val="en-AU"/>
        </w:rPr>
        <w:fldChar w:fldCharType="begin"/>
      </w:r>
      <w:r w:rsidR="00B00B5B">
        <w:rPr>
          <w:szCs w:val="24"/>
          <w:lang w:val="en-AU"/>
        </w:rPr>
        <w:instrText xml:space="preserve"> REF _Ref61463568 \r \h </w:instrText>
      </w:r>
      <w:r w:rsidR="00B00B5B">
        <w:rPr>
          <w:szCs w:val="24"/>
          <w:lang w:val="en-AU"/>
        </w:rPr>
      </w:r>
      <w:r w:rsidR="00B00B5B">
        <w:rPr>
          <w:szCs w:val="24"/>
          <w:lang w:val="en-AU"/>
        </w:rPr>
        <w:fldChar w:fldCharType="separate"/>
      </w:r>
      <w:r w:rsidR="00B00B5B">
        <w:rPr>
          <w:szCs w:val="24"/>
          <w:lang w:val="en-AU"/>
        </w:rPr>
        <w:t>4.4.2.5.1</w:t>
      </w:r>
      <w:r w:rsidR="00B00B5B">
        <w:rPr>
          <w:szCs w:val="24"/>
          <w:lang w:val="en-AU"/>
        </w:rPr>
        <w:fldChar w:fldCharType="end"/>
      </w:r>
      <w:r>
        <w:rPr>
          <w:szCs w:val="24"/>
          <w:lang w:val="en-AU"/>
        </w:rPr>
        <w:t xml:space="preserve"> </w:t>
      </w:r>
      <w:r w:rsidRPr="00342099">
        <w:rPr>
          <w:szCs w:val="24"/>
          <w:lang w:val="en-AU"/>
        </w:rPr>
        <w:t xml:space="preserve">and 2) non-physical transmission constraints called </w:t>
      </w:r>
      <w:r w:rsidRPr="008A0AD1">
        <w:rPr>
          <w:szCs w:val="24"/>
          <w:lang w:val="en-AU"/>
        </w:rPr>
        <w:t xml:space="preserve">Service Flow Constraints discussed in </w:t>
      </w:r>
      <w:r w:rsidRPr="00FE7AA5">
        <w:rPr>
          <w:szCs w:val="24"/>
          <w:lang w:val="en-AU"/>
        </w:rPr>
        <w:t>Section</w:t>
      </w:r>
      <w:r w:rsidR="000A6B7D" w:rsidRPr="008A0AD1">
        <w:rPr>
          <w:szCs w:val="24"/>
          <w:lang w:val="en-AU"/>
        </w:rPr>
        <w:t xml:space="preserve"> </w:t>
      </w:r>
      <w:r w:rsidR="008A0AD1" w:rsidRPr="00FE7AA5">
        <w:rPr>
          <w:szCs w:val="24"/>
          <w:lang w:val="en-AU"/>
        </w:rPr>
        <w:fldChar w:fldCharType="begin"/>
      </w:r>
      <w:r w:rsidR="008A0AD1" w:rsidRPr="008A0AD1">
        <w:rPr>
          <w:szCs w:val="24"/>
          <w:lang w:val="en-AU"/>
        </w:rPr>
        <w:instrText xml:space="preserve"> REF _Ref61463576 \r \h </w:instrText>
      </w:r>
      <w:r w:rsidR="008A0AD1">
        <w:rPr>
          <w:szCs w:val="24"/>
          <w:lang w:val="en-AU"/>
        </w:rPr>
        <w:instrText xml:space="preserve"> \* MERGEFORMAT </w:instrText>
      </w:r>
      <w:r w:rsidR="008A0AD1" w:rsidRPr="00FE7AA5">
        <w:rPr>
          <w:szCs w:val="24"/>
          <w:lang w:val="en-AU"/>
        </w:rPr>
      </w:r>
      <w:r w:rsidR="008A0AD1" w:rsidRPr="00FE7AA5">
        <w:rPr>
          <w:szCs w:val="24"/>
          <w:lang w:val="en-AU"/>
        </w:rPr>
        <w:fldChar w:fldCharType="separate"/>
      </w:r>
      <w:r w:rsidR="008A0AD1" w:rsidRPr="008A0AD1">
        <w:rPr>
          <w:szCs w:val="24"/>
          <w:lang w:val="en-AU"/>
        </w:rPr>
        <w:t>4.4.2.5.2</w:t>
      </w:r>
      <w:r w:rsidR="008A0AD1" w:rsidRPr="00FE7AA5">
        <w:rPr>
          <w:szCs w:val="24"/>
          <w:lang w:val="en-AU"/>
        </w:rPr>
        <w:fldChar w:fldCharType="end"/>
      </w:r>
      <w:r w:rsidR="00B00B5B" w:rsidRPr="008A0AD1">
        <w:rPr>
          <w:szCs w:val="24"/>
          <w:lang w:val="en-AU"/>
        </w:rPr>
        <w:t xml:space="preserve"> </w:t>
      </w:r>
      <w:r w:rsidRPr="008A0AD1">
        <w:rPr>
          <w:szCs w:val="24"/>
          <w:lang w:val="en-AU"/>
        </w:rPr>
        <w:t>.</w:t>
      </w:r>
    </w:p>
    <w:p w14:paraId="14ACF0F0" w14:textId="4717477F" w:rsidR="00F83CA0" w:rsidRPr="00FC3438" w:rsidRDefault="00F83CA0" w:rsidP="00574654">
      <w:pPr>
        <w:pStyle w:val="Heading5"/>
      </w:pPr>
      <w:bookmarkStart w:id="4155" w:name="_Ref61463568"/>
      <w:bookmarkStart w:id="4156" w:name="_Toc159232328"/>
      <w:bookmarkStart w:id="4157" w:name="_Toc213771873"/>
      <w:r w:rsidRPr="00FC3438">
        <w:t>Physical Transmission Constraint</w:t>
      </w:r>
      <w:bookmarkEnd w:id="4155"/>
      <w:bookmarkEnd w:id="4156"/>
      <w:bookmarkEnd w:id="4157"/>
    </w:p>
    <w:p w14:paraId="49A3DC03" w14:textId="5A06FE3C" w:rsidR="00F83CA0" w:rsidRPr="001141A8" w:rsidRDefault="00F83CA0" w:rsidP="00F83CA0">
      <w:pPr>
        <w:spacing w:before="120" w:line="300" w:lineRule="auto"/>
        <w:rPr>
          <w:szCs w:val="24"/>
        </w:rPr>
      </w:pPr>
      <w:r w:rsidRPr="001141A8">
        <w:rPr>
          <w:szCs w:val="24"/>
        </w:rPr>
        <w:t xml:space="preserve">A physical transmission constraint is a physical limitation on the transmission system that is represented by a </w:t>
      </w:r>
      <w:r>
        <w:rPr>
          <w:szCs w:val="24"/>
        </w:rPr>
        <w:t>s</w:t>
      </w:r>
      <w:r w:rsidRPr="001141A8">
        <w:rPr>
          <w:szCs w:val="24"/>
        </w:rPr>
        <w:t xml:space="preserve">ystem </w:t>
      </w:r>
      <w:r>
        <w:rPr>
          <w:szCs w:val="24"/>
        </w:rPr>
        <w:t>o</w:t>
      </w:r>
      <w:r w:rsidRPr="001141A8">
        <w:rPr>
          <w:szCs w:val="24"/>
        </w:rPr>
        <w:t xml:space="preserve">perating </w:t>
      </w:r>
      <w:r>
        <w:rPr>
          <w:szCs w:val="24"/>
        </w:rPr>
        <w:t>l</w:t>
      </w:r>
      <w:r w:rsidRPr="001141A8">
        <w:rPr>
          <w:szCs w:val="24"/>
        </w:rPr>
        <w:t xml:space="preserve">imit (SOL) or </w:t>
      </w:r>
      <w:r>
        <w:rPr>
          <w:szCs w:val="24"/>
        </w:rPr>
        <w:t>i</w:t>
      </w:r>
      <w:r w:rsidRPr="001141A8">
        <w:rPr>
          <w:szCs w:val="24"/>
        </w:rPr>
        <w:t xml:space="preserve">nterconnection </w:t>
      </w:r>
      <w:r>
        <w:rPr>
          <w:szCs w:val="24"/>
        </w:rPr>
        <w:t>r</w:t>
      </w:r>
      <w:r w:rsidRPr="001141A8">
        <w:rPr>
          <w:szCs w:val="24"/>
        </w:rPr>
        <w:t xml:space="preserve">eliability </w:t>
      </w:r>
      <w:r>
        <w:rPr>
          <w:szCs w:val="24"/>
        </w:rPr>
        <w:t>o</w:t>
      </w:r>
      <w:r w:rsidRPr="001141A8">
        <w:rPr>
          <w:szCs w:val="24"/>
        </w:rPr>
        <w:t xml:space="preserve">perating </w:t>
      </w:r>
      <w:r>
        <w:rPr>
          <w:szCs w:val="24"/>
        </w:rPr>
        <w:t>l</w:t>
      </w:r>
      <w:r w:rsidRPr="001141A8">
        <w:rPr>
          <w:szCs w:val="24"/>
        </w:rPr>
        <w:t xml:space="preserve">imit (IROL).  Physical transmission constraints will be managed in </w:t>
      </w:r>
      <w:r w:rsidRPr="00FC3438">
        <w:rPr>
          <w:szCs w:val="24"/>
        </w:rPr>
        <w:t>Markets+</w:t>
      </w:r>
      <w:r w:rsidRPr="001141A8">
        <w:rPr>
          <w:szCs w:val="24"/>
        </w:rPr>
        <w:t xml:space="preserve"> by activating a market constraint in RTBM at the request of a Reliability Coordinator</w:t>
      </w:r>
      <w:r>
        <w:rPr>
          <w:szCs w:val="24"/>
        </w:rPr>
        <w:t xml:space="preserve">, </w:t>
      </w:r>
      <w:r w:rsidR="004A395D">
        <w:rPr>
          <w:szCs w:val="24"/>
        </w:rPr>
        <w:t>a Transmission Operator</w:t>
      </w:r>
      <w:r>
        <w:rPr>
          <w:szCs w:val="24"/>
        </w:rPr>
        <w:t xml:space="preserve">, or </w:t>
      </w:r>
      <w:r w:rsidR="004A395D">
        <w:rPr>
          <w:szCs w:val="24"/>
        </w:rPr>
        <w:t xml:space="preserve">a </w:t>
      </w:r>
      <w:r>
        <w:rPr>
          <w:szCs w:val="24"/>
        </w:rPr>
        <w:t>Participating Balancing Authorit</w:t>
      </w:r>
      <w:r w:rsidR="004A395D">
        <w:rPr>
          <w:szCs w:val="24"/>
        </w:rPr>
        <w:t>y</w:t>
      </w:r>
      <w:r w:rsidRPr="001141A8">
        <w:rPr>
          <w:szCs w:val="24"/>
        </w:rPr>
        <w:t xml:space="preserve"> in accordance with approved Western Interconnection congestion management processes.</w:t>
      </w:r>
    </w:p>
    <w:p w14:paraId="2E3C3B1A" w14:textId="0D68EC37" w:rsidR="00F83CA0" w:rsidRPr="00DA0E30" w:rsidRDefault="00F83CA0" w:rsidP="00F83CA0">
      <w:pPr>
        <w:spacing w:before="120" w:line="300" w:lineRule="auto"/>
        <w:rPr>
          <w:szCs w:val="24"/>
        </w:rPr>
      </w:pPr>
      <w:r w:rsidRPr="001141A8">
        <w:rPr>
          <w:szCs w:val="24"/>
        </w:rPr>
        <w:t xml:space="preserve">Once activated, the market constraint will cause RTBM to redispatch available Resources to provide </w:t>
      </w:r>
      <w:r>
        <w:rPr>
          <w:szCs w:val="24"/>
        </w:rPr>
        <w:t xml:space="preserve">an </w:t>
      </w:r>
      <w:r w:rsidRPr="001141A8">
        <w:rPr>
          <w:szCs w:val="24"/>
        </w:rPr>
        <w:t>appropriate reduction in flows to provide the relief requested by a Reliability Coordinator</w:t>
      </w:r>
      <w:r>
        <w:rPr>
          <w:szCs w:val="24"/>
        </w:rPr>
        <w:t xml:space="preserve">, </w:t>
      </w:r>
      <w:r w:rsidR="004A395D">
        <w:rPr>
          <w:szCs w:val="24"/>
        </w:rPr>
        <w:t>Transmission Operator</w:t>
      </w:r>
      <w:r>
        <w:rPr>
          <w:szCs w:val="24"/>
        </w:rPr>
        <w:t xml:space="preserve">, or </w:t>
      </w:r>
      <w:r w:rsidR="004A395D">
        <w:rPr>
          <w:szCs w:val="24"/>
        </w:rPr>
        <w:t xml:space="preserve">a </w:t>
      </w:r>
      <w:r>
        <w:rPr>
          <w:szCs w:val="24"/>
        </w:rPr>
        <w:t>Participating Balancing Authority</w:t>
      </w:r>
      <w:r w:rsidRPr="001141A8">
        <w:rPr>
          <w:szCs w:val="24"/>
        </w:rPr>
        <w:t xml:space="preserve"> on the constraint.  </w:t>
      </w:r>
      <w:r>
        <w:rPr>
          <w:szCs w:val="24"/>
        </w:rPr>
        <w:t>The Market Operator</w:t>
      </w:r>
      <w:r w:rsidRPr="00FC3438">
        <w:rPr>
          <w:szCs w:val="24"/>
        </w:rPr>
        <w:t xml:space="preserve"> </w:t>
      </w:r>
      <w:r w:rsidRPr="00DA0E30">
        <w:rPr>
          <w:szCs w:val="24"/>
        </w:rPr>
        <w:t>uses RTBM to reliably manage and economically maximize the flow of power on the transmission constraint to within the applicable operating limits set by a Reliability Coordinator</w:t>
      </w:r>
      <w:r>
        <w:rPr>
          <w:szCs w:val="24"/>
        </w:rPr>
        <w:t xml:space="preserve">, </w:t>
      </w:r>
      <w:r w:rsidR="00C52D3C">
        <w:rPr>
          <w:szCs w:val="24"/>
        </w:rPr>
        <w:t>Transmission Operator</w:t>
      </w:r>
      <w:r>
        <w:rPr>
          <w:szCs w:val="24"/>
        </w:rPr>
        <w:t>, or Participating Balancing Authority</w:t>
      </w:r>
      <w:r w:rsidRPr="00DA0E30">
        <w:rPr>
          <w:szCs w:val="24"/>
        </w:rPr>
        <w:t>.</w:t>
      </w:r>
    </w:p>
    <w:p w14:paraId="57B43062" w14:textId="5C68CB56" w:rsidR="00F83CA0" w:rsidRPr="00FC3438" w:rsidRDefault="00F83CA0" w:rsidP="00574654">
      <w:pPr>
        <w:pStyle w:val="Heading5"/>
      </w:pPr>
      <w:bookmarkStart w:id="4158" w:name="_Ref61463576"/>
      <w:bookmarkStart w:id="4159" w:name="_Toc159232329"/>
      <w:bookmarkStart w:id="4160" w:name="_Toc213771874"/>
      <w:r w:rsidRPr="00FC3438">
        <w:t>Service Flow Constraints</w:t>
      </w:r>
      <w:bookmarkEnd w:id="4158"/>
      <w:bookmarkEnd w:id="4159"/>
      <w:bookmarkEnd w:id="4160"/>
    </w:p>
    <w:p w14:paraId="36B0F492" w14:textId="0D3AAD76" w:rsidR="00F83CA0" w:rsidRPr="00FC3438" w:rsidRDefault="00F83CA0" w:rsidP="00F83CA0">
      <w:pPr>
        <w:spacing w:before="120" w:line="300" w:lineRule="auto"/>
        <w:rPr>
          <w:szCs w:val="24"/>
        </w:rPr>
      </w:pPr>
      <w:r w:rsidRPr="001141A8">
        <w:rPr>
          <w:szCs w:val="24"/>
        </w:rPr>
        <w:t xml:space="preserve">The SFC represents the transmission capacity available to </w:t>
      </w:r>
      <w:r>
        <w:rPr>
          <w:szCs w:val="24"/>
        </w:rPr>
        <w:t>the</w:t>
      </w:r>
      <w:r w:rsidRPr="00FC3438">
        <w:rPr>
          <w:szCs w:val="24"/>
        </w:rPr>
        <w:t xml:space="preserve"> Markets+ Footprint</w:t>
      </w:r>
      <w:r w:rsidRPr="001141A8">
        <w:rPr>
          <w:szCs w:val="24"/>
        </w:rPr>
        <w:t xml:space="preserve">.  Market Participants and </w:t>
      </w:r>
      <w:r>
        <w:rPr>
          <w:szCs w:val="24"/>
        </w:rPr>
        <w:t>P</w:t>
      </w:r>
      <w:r w:rsidRPr="001141A8">
        <w:rPr>
          <w:szCs w:val="24"/>
        </w:rPr>
        <w:t xml:space="preserve">articipating Balancing Authorities are required to communicate, and accurately represent, the transmission capacity available to </w:t>
      </w:r>
      <w:r>
        <w:rPr>
          <w:szCs w:val="24"/>
        </w:rPr>
        <w:t>the Market Operator</w:t>
      </w:r>
      <w:r w:rsidRPr="00FC3438">
        <w:rPr>
          <w:szCs w:val="24"/>
        </w:rPr>
        <w:t xml:space="preserve"> </w:t>
      </w:r>
      <w:r w:rsidRPr="00DA0E30">
        <w:rPr>
          <w:szCs w:val="24"/>
        </w:rPr>
        <w:t xml:space="preserve">through their </w:t>
      </w:r>
      <w:r>
        <w:rPr>
          <w:szCs w:val="24"/>
        </w:rPr>
        <w:t>P</w:t>
      </w:r>
      <w:r w:rsidRPr="001141A8">
        <w:rPr>
          <w:szCs w:val="24"/>
        </w:rPr>
        <w:t>articipating Balancing Authority in accordance with Section</w:t>
      </w:r>
      <w:r w:rsidRPr="00FC3438">
        <w:rPr>
          <w:szCs w:val="24"/>
        </w:rPr>
        <w:t xml:space="preserve"> </w:t>
      </w:r>
      <w:r w:rsidR="00C53DE4">
        <w:rPr>
          <w:szCs w:val="24"/>
        </w:rPr>
        <w:fldChar w:fldCharType="begin"/>
      </w:r>
      <w:r w:rsidR="00C53DE4">
        <w:rPr>
          <w:szCs w:val="24"/>
        </w:rPr>
        <w:instrText xml:space="preserve"> REF _Ref212552433 \r \h </w:instrText>
      </w:r>
      <w:r w:rsidR="00C53DE4">
        <w:rPr>
          <w:szCs w:val="24"/>
        </w:rPr>
      </w:r>
      <w:r w:rsidR="00C53DE4">
        <w:rPr>
          <w:szCs w:val="24"/>
        </w:rPr>
        <w:fldChar w:fldCharType="separate"/>
      </w:r>
      <w:r w:rsidR="00C53DE4">
        <w:rPr>
          <w:szCs w:val="24"/>
        </w:rPr>
        <w:t>8.2</w:t>
      </w:r>
      <w:r w:rsidR="00C53DE4">
        <w:rPr>
          <w:szCs w:val="24"/>
        </w:rPr>
        <w:fldChar w:fldCharType="end"/>
      </w:r>
      <w:r w:rsidRPr="00DA0E30">
        <w:rPr>
          <w:szCs w:val="24"/>
        </w:rPr>
        <w:t xml:space="preserve">. </w:t>
      </w:r>
    </w:p>
    <w:p w14:paraId="025F58ED" w14:textId="7D519FD8" w:rsidR="005642E2" w:rsidRPr="005642E2" w:rsidRDefault="005642E2" w:rsidP="0086575C">
      <w:pPr>
        <w:pStyle w:val="Heading5"/>
      </w:pPr>
      <w:bookmarkStart w:id="4161" w:name="_Toc208563085"/>
      <w:r w:rsidRPr="005642E2">
        <w:t>Coordinated Interchange Scheduling Limits</w:t>
      </w:r>
      <w:bookmarkEnd w:id="4161"/>
    </w:p>
    <w:p w14:paraId="1EE31F9E" w14:textId="77777777" w:rsidR="005642E2" w:rsidRPr="005642E2" w:rsidRDefault="005642E2" w:rsidP="005642E2">
      <w:pPr>
        <w:spacing w:before="120" w:line="300" w:lineRule="auto"/>
        <w:rPr>
          <w14:ligatures w14:val="standardContextual"/>
        </w:rPr>
      </w:pPr>
      <w:r w:rsidRPr="005642E2">
        <w:rPr>
          <w14:ligatures w14:val="standardContextual"/>
        </w:rPr>
        <w:t>Coordinated Interchange Scheduling Limits (CISL) will be submitted for the three types of scheduling constraints that may limit Markets+ interchange transfers between the Participating BAAs.  Any CISL set by the BA will be enforced in the DAM, RUC, and in RTBM runs.</w:t>
      </w:r>
    </w:p>
    <w:p w14:paraId="0A40A7A0" w14:textId="77777777" w:rsidR="005642E2" w:rsidRPr="005642E2" w:rsidRDefault="005642E2" w:rsidP="005642E2">
      <w:pPr>
        <w:numPr>
          <w:ilvl w:val="3"/>
          <w:numId w:val="389"/>
        </w:numPr>
        <w:spacing w:before="120" w:line="300" w:lineRule="auto"/>
        <w:ind w:left="547" w:hanging="547"/>
        <w:rPr>
          <w14:ligatures w14:val="standardContextual"/>
        </w:rPr>
      </w:pPr>
      <w:r w:rsidRPr="005642E2">
        <w:rPr>
          <w14:ligatures w14:val="standardContextual"/>
        </w:rPr>
        <w:t>Market Transfer Interface and Market Opt-in Transfer limits will be conveyed via the Market User Interface in hourly granularity by each BA as inputs to the Market.  For Market Transfer Interfaces, each Participating BA will submit its limit for the transfer independently.  The lower of the limits submitted for the linked pair will be enforced as the Coordinated Interchange Scheduling Limit. If not submitted, the default will be 99999.   The limits enforced will be capped by the transmission capacity of the e-Tag also.</w:t>
      </w:r>
    </w:p>
    <w:p w14:paraId="6D6B6A95" w14:textId="16583884" w:rsidR="005642E2" w:rsidRPr="005642E2" w:rsidRDefault="005642E2" w:rsidP="005642E2">
      <w:pPr>
        <w:numPr>
          <w:ilvl w:val="1"/>
          <w:numId w:val="456"/>
        </w:numPr>
        <w:spacing w:before="120" w:line="300" w:lineRule="auto"/>
        <w:ind w:left="547" w:hanging="547"/>
        <w:rPr>
          <w14:ligatures w14:val="standardContextual"/>
        </w:rPr>
      </w:pPr>
      <w:r w:rsidRPr="005642E2">
        <w:rPr>
          <w14:ligatures w14:val="standardContextual"/>
        </w:rPr>
        <w:t xml:space="preserve">Each Participating BA will submit its BAA Scheduling Constraint limits also via the Market User Interface in hourly granularity.  Each submission will have a lower and an upper limit.  Net Exports will be constrained by the upper limit and net imports will be constrained by the lower limit.  If only MTI and MOTI exports are included in the registered BAA Scheduling Constraint, the lower limit must be 0.  If only MTI and MOTI imports are included in the registered BA Scheduling Constraint, the upper limit must be 0.  Limits of 99999 or -99999 may be used to exclude these constraints from the solution when deemed not necessary by the Participating BA.  These will also be the default limits if not submitted.  </w:t>
      </w:r>
      <w:r w:rsidR="00BF0540">
        <w:rPr>
          <w14:ligatures w14:val="standardContextual"/>
        </w:rPr>
        <w:t xml:space="preserve">Specific </w:t>
      </w:r>
      <w:r w:rsidRPr="005642E2">
        <w:rPr>
          <w14:ligatures w14:val="standardContextual"/>
        </w:rPr>
        <w:t>BAA Scheduling Constraint</w:t>
      </w:r>
      <w:r w:rsidR="00BF0540">
        <w:rPr>
          <w14:ligatures w14:val="standardContextual"/>
        </w:rPr>
        <w:t xml:space="preserve"> limit</w:t>
      </w:r>
      <w:r w:rsidRPr="005642E2">
        <w:rPr>
          <w14:ligatures w14:val="standardContextual"/>
        </w:rPr>
        <w:t xml:space="preserve">s are only associated with the submitting Participating BA’s side of the MTIs or MOTIs.  </w:t>
      </w:r>
    </w:p>
    <w:p w14:paraId="3DA35E21" w14:textId="43EBA5C2" w:rsidR="00F83CA0" w:rsidRPr="00FC3438" w:rsidRDefault="00F83CA0" w:rsidP="00CB5653">
      <w:pPr>
        <w:pStyle w:val="Heading3"/>
      </w:pPr>
      <w:bookmarkStart w:id="4162" w:name="_Toc159232339"/>
      <w:bookmarkStart w:id="4163" w:name="_Toc213771876"/>
      <w:bookmarkEnd w:id="4132"/>
      <w:bookmarkEnd w:id="4133"/>
      <w:bookmarkEnd w:id="4134"/>
      <w:bookmarkEnd w:id="4135"/>
      <w:bookmarkEnd w:id="4136"/>
      <w:bookmarkEnd w:id="4145"/>
      <w:bookmarkEnd w:id="4146"/>
      <w:bookmarkEnd w:id="4147"/>
      <w:bookmarkEnd w:id="4148"/>
      <w:bookmarkEnd w:id="4149"/>
      <w:bookmarkEnd w:id="4150"/>
      <w:bookmarkEnd w:id="4151"/>
      <w:bookmarkEnd w:id="4152"/>
      <w:bookmarkEnd w:id="4153"/>
      <w:bookmarkEnd w:id="4154"/>
      <w:r w:rsidRPr="00FC3438">
        <w:t>Energy Deployment</w:t>
      </w:r>
      <w:bookmarkEnd w:id="4162"/>
      <w:bookmarkEnd w:id="4163"/>
    </w:p>
    <w:p w14:paraId="3F5EF0B4" w14:textId="39FDC3BB" w:rsidR="00F83CA0" w:rsidRDefault="00F83CA0" w:rsidP="00F83CA0">
      <w:pPr>
        <w:spacing w:before="120" w:line="300" w:lineRule="auto"/>
        <w:rPr>
          <w:szCs w:val="24"/>
        </w:rPr>
      </w:pPr>
      <w:r>
        <w:rPr>
          <w:szCs w:val="24"/>
        </w:rPr>
        <w:t>The Market Operator</w:t>
      </w:r>
      <w:r w:rsidRPr="00FC3438">
        <w:rPr>
          <w:szCs w:val="24"/>
        </w:rPr>
        <w:t xml:space="preserve"> deploys </w:t>
      </w:r>
      <w:r w:rsidRPr="00FC3438" w:rsidDel="001D6768">
        <w:rPr>
          <w:szCs w:val="24"/>
        </w:rPr>
        <w:t>Energy</w:t>
      </w:r>
      <w:r w:rsidRPr="00FC3438">
        <w:rPr>
          <w:szCs w:val="24"/>
        </w:rPr>
        <w:t xml:space="preserve"> through the issuance of </w:t>
      </w:r>
      <w:r w:rsidRPr="00FC3438" w:rsidDel="00551FAD">
        <w:rPr>
          <w:szCs w:val="24"/>
        </w:rPr>
        <w:t xml:space="preserve">Setpoint </w:t>
      </w:r>
      <w:r w:rsidRPr="00FC3438">
        <w:rPr>
          <w:szCs w:val="24"/>
        </w:rPr>
        <w:t xml:space="preserve">Targets via ICCP to each </w:t>
      </w:r>
      <w:r w:rsidR="006557A5">
        <w:rPr>
          <w:szCs w:val="24"/>
        </w:rPr>
        <w:t>Participating Balancing Authority</w:t>
      </w:r>
      <w:r w:rsidR="009A5491">
        <w:rPr>
          <w:szCs w:val="24"/>
        </w:rPr>
        <w:t>, Market Participants</w:t>
      </w:r>
      <w:r w:rsidR="009A6B66">
        <w:rPr>
          <w:szCs w:val="24"/>
        </w:rPr>
        <w:t>,</w:t>
      </w:r>
      <w:r w:rsidR="009A5491">
        <w:rPr>
          <w:szCs w:val="24"/>
        </w:rPr>
        <w:t xml:space="preserve"> </w:t>
      </w:r>
      <w:r w:rsidR="00AA33A8">
        <w:rPr>
          <w:szCs w:val="24"/>
        </w:rPr>
        <w:t>Asset Owner</w:t>
      </w:r>
      <w:r w:rsidR="009A6B66">
        <w:rPr>
          <w:szCs w:val="24"/>
        </w:rPr>
        <w:t>, and/or</w:t>
      </w:r>
      <w:r w:rsidR="00AA33A8">
        <w:rPr>
          <w:szCs w:val="24"/>
        </w:rPr>
        <w:t xml:space="preserve"> </w:t>
      </w:r>
      <w:r w:rsidR="009A5491">
        <w:rPr>
          <w:szCs w:val="24"/>
        </w:rPr>
        <w:t>generator operators, as applicable,</w:t>
      </w:r>
      <w:r w:rsidR="006557A5" w:rsidRPr="00FC3438">
        <w:rPr>
          <w:szCs w:val="24"/>
        </w:rPr>
        <w:t xml:space="preserve"> </w:t>
      </w:r>
      <w:r w:rsidRPr="00FC3438">
        <w:rPr>
          <w:szCs w:val="24"/>
        </w:rPr>
        <w:t xml:space="preserve">on a 4-second basis.  Deployment of Mid-Term Flex Up from off-line Resources or from MCRs that have registered under the option described under Section </w:t>
      </w:r>
      <w:r w:rsidRPr="00FC3438">
        <w:rPr>
          <w:szCs w:val="24"/>
        </w:rPr>
        <w:fldChar w:fldCharType="begin"/>
      </w:r>
      <w:r w:rsidRPr="00FC3438">
        <w:rPr>
          <w:szCs w:val="24"/>
        </w:rPr>
        <w:instrText xml:space="preserve"> REF _Ref476207889 \r \h </w:instrText>
      </w:r>
      <w:r w:rsidRPr="00FC3438">
        <w:rPr>
          <w:szCs w:val="24"/>
        </w:rPr>
      </w:r>
      <w:r w:rsidRPr="00FC3438">
        <w:rPr>
          <w:szCs w:val="24"/>
        </w:rPr>
        <w:fldChar w:fldCharType="separate"/>
      </w:r>
      <w:r w:rsidRPr="00FC3438">
        <w:rPr>
          <w:szCs w:val="24"/>
        </w:rPr>
        <w:t>9.1.6.</w:t>
      </w:r>
      <w:r w:rsidRPr="00FC3438" w:rsidDel="004F00AB">
        <w:rPr>
          <w:szCs w:val="24"/>
        </w:rPr>
        <w:t>1</w:t>
      </w:r>
      <w:r w:rsidRPr="00FC3438">
        <w:rPr>
          <w:szCs w:val="24"/>
        </w:rPr>
        <w:fldChar w:fldCharType="end"/>
      </w:r>
      <w:r w:rsidRPr="00FC3438" w:rsidDel="002548D3">
        <w:rPr>
          <w:szCs w:val="24"/>
        </w:rPr>
        <w:t xml:space="preserve"> </w:t>
      </w:r>
      <w:r w:rsidRPr="00FC3438">
        <w:rPr>
          <w:szCs w:val="24"/>
        </w:rPr>
        <w:t>that have cleared Flexibility Reserve</w:t>
      </w:r>
      <w:r>
        <w:rPr>
          <w:szCs w:val="24"/>
        </w:rPr>
        <w:t xml:space="preserve"> Products</w:t>
      </w:r>
      <w:r w:rsidRPr="00FC3438">
        <w:rPr>
          <w:szCs w:val="24"/>
        </w:rPr>
        <w:t xml:space="preserve"> on a higher configuration is accomplished through </w:t>
      </w:r>
      <w:r>
        <w:rPr>
          <w:szCs w:val="24"/>
        </w:rPr>
        <w:t>the Market Operator's</w:t>
      </w:r>
      <w:r w:rsidRPr="00FC3438">
        <w:rPr>
          <w:szCs w:val="24"/>
        </w:rPr>
        <w:t xml:space="preserve"> issuance of a </w:t>
      </w:r>
      <w:r>
        <w:rPr>
          <w:szCs w:val="24"/>
        </w:rPr>
        <w:t>Market Commitment instruction</w:t>
      </w:r>
      <w:r w:rsidRPr="00FC3438">
        <w:rPr>
          <w:szCs w:val="24"/>
        </w:rPr>
        <w:t xml:space="preserve">.  </w:t>
      </w:r>
    </w:p>
    <w:p w14:paraId="384505A1" w14:textId="1DC8F13F" w:rsidR="00F83CA0" w:rsidRPr="00FC3438" w:rsidRDefault="00F83CA0" w:rsidP="00F83CA0">
      <w:pPr>
        <w:spacing w:before="120" w:line="300" w:lineRule="auto"/>
        <w:ind w:left="720" w:hanging="720"/>
        <w:rPr>
          <w:szCs w:val="24"/>
        </w:rPr>
      </w:pPr>
      <w:r>
        <w:rPr>
          <w:szCs w:val="24"/>
        </w:rPr>
        <w:t xml:space="preserve">(1)  </w:t>
      </w:r>
      <w:r>
        <w:rPr>
          <w:szCs w:val="24"/>
        </w:rPr>
        <w:tab/>
      </w:r>
      <w:r w:rsidRPr="00FC3438">
        <w:rPr>
          <w:szCs w:val="24"/>
        </w:rPr>
        <w:t xml:space="preserve">The </w:t>
      </w:r>
      <w:r w:rsidRPr="00FC3438" w:rsidDel="00551FAD">
        <w:rPr>
          <w:szCs w:val="24"/>
        </w:rPr>
        <w:t xml:space="preserve">Setpoint </w:t>
      </w:r>
      <w:r w:rsidRPr="00FC3438">
        <w:rPr>
          <w:szCs w:val="24"/>
        </w:rPr>
        <w:t xml:space="preserve">Target </w:t>
      </w:r>
      <w:r>
        <w:rPr>
          <w:szCs w:val="24"/>
        </w:rPr>
        <w:t>is equal to t</w:t>
      </w:r>
      <w:r w:rsidRPr="00FC3438">
        <w:rPr>
          <w:szCs w:val="24"/>
        </w:rPr>
        <w:t xml:space="preserve">he Resource MW </w:t>
      </w:r>
      <w:r w:rsidRPr="00FC3438" w:rsidDel="00A77FA7">
        <w:rPr>
          <w:szCs w:val="24"/>
        </w:rPr>
        <w:t xml:space="preserve">Dispatch </w:t>
      </w:r>
      <w:r w:rsidRPr="00FC3438">
        <w:rPr>
          <w:szCs w:val="24"/>
        </w:rPr>
        <w:t xml:space="preserve">Target for the current Dispatch Interval either as developed by SCED under Section </w:t>
      </w:r>
      <w:r w:rsidRPr="00FC3438">
        <w:rPr>
          <w:szCs w:val="24"/>
        </w:rPr>
        <w:fldChar w:fldCharType="begin"/>
      </w:r>
      <w:r w:rsidRPr="00FC3438">
        <w:rPr>
          <w:szCs w:val="24"/>
        </w:rPr>
        <w:instrText xml:space="preserve"> REF _Ref425854337 \r \h </w:instrText>
      </w:r>
      <w:r w:rsidRPr="00FC3438">
        <w:rPr>
          <w:szCs w:val="24"/>
        </w:rPr>
      </w:r>
      <w:r w:rsidRPr="00FC3438">
        <w:rPr>
          <w:szCs w:val="24"/>
        </w:rPr>
        <w:fldChar w:fldCharType="separate"/>
      </w:r>
      <w:r w:rsidRPr="00FC3438">
        <w:rPr>
          <w:szCs w:val="24"/>
        </w:rPr>
        <w:t>4.4.2.3</w:t>
      </w:r>
      <w:r w:rsidRPr="00FC3438">
        <w:rPr>
          <w:szCs w:val="24"/>
        </w:rPr>
        <w:fldChar w:fldCharType="end"/>
      </w:r>
      <w:r w:rsidRPr="00FC3438">
        <w:rPr>
          <w:szCs w:val="24"/>
        </w:rPr>
        <w:t xml:space="preserve"> or by an OOME as described under Section </w:t>
      </w:r>
      <w:r w:rsidRPr="00FC3438">
        <w:rPr>
          <w:szCs w:val="24"/>
        </w:rPr>
        <w:fldChar w:fldCharType="begin"/>
      </w:r>
      <w:r w:rsidRPr="00FC3438">
        <w:rPr>
          <w:szCs w:val="24"/>
        </w:rPr>
        <w:instrText xml:space="preserve"> REF _Ref257910740 \r \h </w:instrText>
      </w:r>
      <w:r w:rsidRPr="00FC3438">
        <w:rPr>
          <w:szCs w:val="24"/>
        </w:rPr>
      </w:r>
      <w:r w:rsidRPr="00FC3438">
        <w:rPr>
          <w:szCs w:val="24"/>
        </w:rPr>
        <w:fldChar w:fldCharType="separate"/>
      </w:r>
      <w:r w:rsidRPr="00FC3438">
        <w:rPr>
          <w:szCs w:val="24"/>
        </w:rPr>
        <w:t>4.4.2.</w:t>
      </w:r>
      <w:r w:rsidRPr="00FC3438" w:rsidDel="004F00AB">
        <w:rPr>
          <w:szCs w:val="24"/>
        </w:rPr>
        <w:t>4</w:t>
      </w:r>
      <w:r w:rsidRPr="00FC3438">
        <w:rPr>
          <w:szCs w:val="24"/>
        </w:rPr>
        <w:fldChar w:fldCharType="end"/>
      </w:r>
      <w:r>
        <w:rPr>
          <w:szCs w:val="24"/>
        </w:rPr>
        <w:t xml:space="preserve">  F</w:t>
      </w:r>
      <w:r w:rsidRPr="00FC3438">
        <w:rPr>
          <w:szCs w:val="24"/>
        </w:rPr>
        <w:t xml:space="preserve">or DVERs that are not being incrementally dispatched by RTBM this RTBM </w:t>
      </w:r>
      <w:r w:rsidRPr="00FC3438" w:rsidDel="00A77FA7">
        <w:rPr>
          <w:szCs w:val="24"/>
        </w:rPr>
        <w:t xml:space="preserve">Dispatch </w:t>
      </w:r>
      <w:r w:rsidRPr="00FC3438">
        <w:rPr>
          <w:szCs w:val="24"/>
        </w:rPr>
        <w:t>Target will be replaced with the Real-Time Capability value submitted under Section</w:t>
      </w:r>
      <w:r w:rsidRPr="00FC3438" w:rsidDel="004F00AB">
        <w:rPr>
          <w:szCs w:val="24"/>
        </w:rPr>
        <w:t xml:space="preserve"> </w:t>
      </w:r>
      <w:r w:rsidRPr="00FC3438">
        <w:rPr>
          <w:szCs w:val="24"/>
        </w:rPr>
        <w:fldChar w:fldCharType="begin"/>
      </w:r>
      <w:r w:rsidRPr="00FC3438">
        <w:rPr>
          <w:szCs w:val="24"/>
        </w:rPr>
        <w:instrText xml:space="preserve"> REF _Ref350493338 \r \h </w:instrText>
      </w:r>
      <w:r w:rsidRPr="00FC3438">
        <w:rPr>
          <w:szCs w:val="24"/>
        </w:rPr>
      </w:r>
      <w:r w:rsidRPr="00FC3438">
        <w:rPr>
          <w:szCs w:val="24"/>
        </w:rPr>
        <w:fldChar w:fldCharType="separate"/>
      </w:r>
      <w:r w:rsidRPr="00FC3438">
        <w:rPr>
          <w:szCs w:val="24"/>
        </w:rPr>
        <w:t>4.1.2.3</w:t>
      </w:r>
      <w:r w:rsidRPr="00FC3438">
        <w:rPr>
          <w:szCs w:val="24"/>
        </w:rPr>
        <w:fldChar w:fldCharType="end"/>
      </w:r>
      <w:r>
        <w:rPr>
          <w:szCs w:val="24"/>
        </w:rPr>
        <w:t>.</w:t>
      </w:r>
    </w:p>
    <w:p w14:paraId="4AF5BBF7" w14:textId="35966496" w:rsidR="00F83CA0" w:rsidRPr="00FC3438" w:rsidRDefault="00F83CA0" w:rsidP="00F83CA0">
      <w:pPr>
        <w:spacing w:before="120" w:line="300" w:lineRule="auto"/>
        <w:ind w:left="1440" w:hanging="720"/>
        <w:rPr>
          <w:szCs w:val="24"/>
        </w:rPr>
      </w:pPr>
      <w:r>
        <w:rPr>
          <w:szCs w:val="24"/>
        </w:rPr>
        <w:t>(a)</w:t>
      </w:r>
      <w:r>
        <w:rPr>
          <w:szCs w:val="24"/>
        </w:rPr>
        <w:tab/>
        <w:t xml:space="preserve">The Setpoint </w:t>
      </w:r>
      <w:r w:rsidR="00A05DA9">
        <w:rPr>
          <w:szCs w:val="24"/>
        </w:rPr>
        <w:t>Targets</w:t>
      </w:r>
      <w:r>
        <w:rPr>
          <w:szCs w:val="24"/>
        </w:rPr>
        <w:t xml:space="preserve"> received by Participating </w:t>
      </w:r>
      <w:r w:rsidRPr="00FC3438">
        <w:rPr>
          <w:szCs w:val="24"/>
        </w:rPr>
        <w:t xml:space="preserve">BAs </w:t>
      </w:r>
      <w:r>
        <w:rPr>
          <w:szCs w:val="24"/>
        </w:rPr>
        <w:t xml:space="preserve">are adjusted by the Participating BAs to account for </w:t>
      </w:r>
      <w:r w:rsidR="0065056C">
        <w:rPr>
          <w:szCs w:val="24"/>
        </w:rPr>
        <w:t>r</w:t>
      </w:r>
      <w:r w:rsidRPr="00FC3438">
        <w:rPr>
          <w:szCs w:val="24"/>
        </w:rPr>
        <w:t>egulation up/down deployment</w:t>
      </w:r>
      <w:r>
        <w:rPr>
          <w:szCs w:val="24"/>
        </w:rPr>
        <w:t>.</w:t>
      </w:r>
    </w:p>
    <w:p w14:paraId="5038E1B3" w14:textId="384C8813" w:rsidR="00F83CA0" w:rsidRDefault="00F83CA0" w:rsidP="00F83CA0">
      <w:pPr>
        <w:spacing w:before="120" w:line="300" w:lineRule="auto"/>
        <w:ind w:left="1440" w:hanging="720"/>
        <w:rPr>
          <w:szCs w:val="24"/>
        </w:rPr>
      </w:pPr>
      <w:r>
        <w:t>(b)</w:t>
      </w:r>
      <w:r>
        <w:tab/>
      </w:r>
      <w:r>
        <w:rPr>
          <w:szCs w:val="24"/>
        </w:rPr>
        <w:t xml:space="preserve">The Setpoint </w:t>
      </w:r>
      <w:r w:rsidR="00A05DA9">
        <w:rPr>
          <w:szCs w:val="24"/>
        </w:rPr>
        <w:t>Targets</w:t>
      </w:r>
      <w:r>
        <w:rPr>
          <w:szCs w:val="24"/>
        </w:rPr>
        <w:t xml:space="preserve"> received by Participating </w:t>
      </w:r>
      <w:r w:rsidRPr="00FC3438">
        <w:rPr>
          <w:szCs w:val="24"/>
        </w:rPr>
        <w:t xml:space="preserve">BAs </w:t>
      </w:r>
      <w:r>
        <w:rPr>
          <w:szCs w:val="24"/>
        </w:rPr>
        <w:t xml:space="preserve">are adjusted by the Participating BAs to account for </w:t>
      </w:r>
      <w:r w:rsidR="0065056C">
        <w:rPr>
          <w:szCs w:val="24"/>
        </w:rPr>
        <w:t>c</w:t>
      </w:r>
      <w:r>
        <w:rPr>
          <w:szCs w:val="24"/>
        </w:rPr>
        <w:t xml:space="preserve">ontingency </w:t>
      </w:r>
      <w:r w:rsidR="0065056C">
        <w:rPr>
          <w:szCs w:val="24"/>
        </w:rPr>
        <w:t>r</w:t>
      </w:r>
      <w:r>
        <w:rPr>
          <w:szCs w:val="24"/>
        </w:rPr>
        <w:t xml:space="preserve">eserve </w:t>
      </w:r>
      <w:r w:rsidRPr="00FC3438">
        <w:rPr>
          <w:szCs w:val="24"/>
        </w:rPr>
        <w:t>deployment</w:t>
      </w:r>
      <w:r>
        <w:rPr>
          <w:szCs w:val="24"/>
        </w:rPr>
        <w:t>.</w:t>
      </w:r>
    </w:p>
    <w:p w14:paraId="45E32CD4" w14:textId="6B0D1FAF" w:rsidR="0042116C" w:rsidRPr="00FC3438" w:rsidRDefault="0042116C" w:rsidP="00F83CA0">
      <w:pPr>
        <w:spacing w:before="120" w:line="300" w:lineRule="auto"/>
        <w:ind w:left="1440" w:hanging="720"/>
        <w:rPr>
          <w:szCs w:val="24"/>
        </w:rPr>
      </w:pPr>
      <w:r>
        <w:rPr>
          <w:szCs w:val="24"/>
        </w:rPr>
        <w:t>(c)</w:t>
      </w:r>
      <w:r>
        <w:rPr>
          <w:szCs w:val="24"/>
        </w:rPr>
        <w:tab/>
      </w:r>
      <w:r w:rsidR="00EC370A">
        <w:rPr>
          <w:szCs w:val="24"/>
        </w:rPr>
        <w:t xml:space="preserve">The Participating BAs </w:t>
      </w:r>
      <w:r w:rsidR="00DB6ACF">
        <w:rPr>
          <w:szCs w:val="24"/>
        </w:rPr>
        <w:t xml:space="preserve">must </w:t>
      </w:r>
      <w:r w:rsidR="00EC370A">
        <w:rPr>
          <w:szCs w:val="24"/>
        </w:rPr>
        <w:t xml:space="preserve">provide the Market Operator with the combined </w:t>
      </w:r>
      <w:r w:rsidR="004349AD">
        <w:rPr>
          <w:szCs w:val="24"/>
        </w:rPr>
        <w:t>r</w:t>
      </w:r>
      <w:r w:rsidR="00EC370A">
        <w:rPr>
          <w:szCs w:val="24"/>
        </w:rPr>
        <w:t xml:space="preserve">egulation and </w:t>
      </w:r>
      <w:r w:rsidR="004349AD">
        <w:rPr>
          <w:szCs w:val="24"/>
        </w:rPr>
        <w:t>c</w:t>
      </w:r>
      <w:r w:rsidR="00EC370A">
        <w:rPr>
          <w:szCs w:val="24"/>
        </w:rPr>
        <w:t xml:space="preserve">ontingency </w:t>
      </w:r>
      <w:r w:rsidR="004349AD">
        <w:rPr>
          <w:szCs w:val="24"/>
        </w:rPr>
        <w:t>r</w:t>
      </w:r>
      <w:r w:rsidR="00EC370A">
        <w:rPr>
          <w:szCs w:val="24"/>
        </w:rPr>
        <w:t xml:space="preserve">eserve deployments </w:t>
      </w:r>
      <w:r w:rsidR="00EB7B41">
        <w:rPr>
          <w:szCs w:val="24"/>
        </w:rPr>
        <w:t>via ICCP every four (4) seconds for settlement purposes</w:t>
      </w:r>
      <w:r w:rsidR="00BE3314">
        <w:rPr>
          <w:szCs w:val="24"/>
        </w:rPr>
        <w:t xml:space="preserve"> and to adjust</w:t>
      </w:r>
      <w:r w:rsidR="009436D5">
        <w:rPr>
          <w:szCs w:val="24"/>
        </w:rPr>
        <w:t xml:space="preserve"> the Resource ICCP output values for input into the RTBM</w:t>
      </w:r>
      <w:r w:rsidR="00EB7B41">
        <w:rPr>
          <w:szCs w:val="24"/>
        </w:rPr>
        <w:t xml:space="preserve">.  A negative value will indicate a </w:t>
      </w:r>
      <w:r w:rsidR="0065056C">
        <w:rPr>
          <w:szCs w:val="24"/>
        </w:rPr>
        <w:t>regulation down deployment.</w:t>
      </w:r>
    </w:p>
    <w:p w14:paraId="31376A3E" w14:textId="71857428" w:rsidR="00F83CA0" w:rsidRPr="00FC3438" w:rsidRDefault="00F83CA0" w:rsidP="00F83CA0">
      <w:pPr>
        <w:spacing w:line="300" w:lineRule="auto"/>
        <w:rPr>
          <w:szCs w:val="24"/>
        </w:rPr>
      </w:pPr>
      <w:r w:rsidRPr="00FC3438">
        <w:rPr>
          <w:szCs w:val="24"/>
        </w:rPr>
        <w:t xml:space="preserve">Both a stepped and ramped </w:t>
      </w:r>
      <w:r w:rsidRPr="00FC3438" w:rsidDel="00551FAD">
        <w:rPr>
          <w:szCs w:val="24"/>
        </w:rPr>
        <w:t xml:space="preserve">Setpoint </w:t>
      </w:r>
      <w:r w:rsidRPr="00FC3438">
        <w:rPr>
          <w:szCs w:val="24"/>
        </w:rPr>
        <w:t xml:space="preserve">Target will be issued on a 4-second basis.  The stepped </w:t>
      </w:r>
      <w:r w:rsidRPr="00FC3438" w:rsidDel="00551FAD">
        <w:rPr>
          <w:szCs w:val="24"/>
        </w:rPr>
        <w:t xml:space="preserve">Setpoint </w:t>
      </w:r>
      <w:r w:rsidRPr="00FC3438">
        <w:rPr>
          <w:szCs w:val="24"/>
        </w:rPr>
        <w:t xml:space="preserve">Target is a step change that represents the total amount of </w:t>
      </w:r>
      <w:r w:rsidRPr="00AA1227">
        <w:rPr>
          <w:szCs w:val="24"/>
        </w:rPr>
        <w:t>desired</w:t>
      </w:r>
      <w:r w:rsidRPr="00FC3438">
        <w:rPr>
          <w:szCs w:val="24"/>
        </w:rPr>
        <w:t xml:space="preserve"> </w:t>
      </w:r>
      <w:r>
        <w:rPr>
          <w:szCs w:val="24"/>
        </w:rPr>
        <w:t xml:space="preserve">Energy </w:t>
      </w:r>
      <w:r w:rsidRPr="00FC3438">
        <w:rPr>
          <w:szCs w:val="24"/>
        </w:rPr>
        <w:t xml:space="preserve">deployment.  The ramped </w:t>
      </w:r>
      <w:r w:rsidRPr="00FC3438" w:rsidDel="00551FAD">
        <w:rPr>
          <w:szCs w:val="24"/>
        </w:rPr>
        <w:t xml:space="preserve">Setpoint </w:t>
      </w:r>
      <w:r w:rsidRPr="00FC3438">
        <w:rPr>
          <w:szCs w:val="24"/>
        </w:rPr>
        <w:t xml:space="preserve">Target also represents the total amount of </w:t>
      </w:r>
      <w:r w:rsidRPr="00AA1227">
        <w:rPr>
          <w:szCs w:val="24"/>
        </w:rPr>
        <w:t>desired</w:t>
      </w:r>
      <w:r w:rsidRPr="00FC3438">
        <w:rPr>
          <w:szCs w:val="24"/>
        </w:rPr>
        <w:t xml:space="preserve"> </w:t>
      </w:r>
      <w:r>
        <w:rPr>
          <w:szCs w:val="24"/>
        </w:rPr>
        <w:t xml:space="preserve">Energy </w:t>
      </w:r>
      <w:r w:rsidRPr="00FC3438" w:rsidDel="00094292">
        <w:rPr>
          <w:szCs w:val="24"/>
        </w:rPr>
        <w:t>deployment</w:t>
      </w:r>
      <w:r w:rsidRPr="00FC3438">
        <w:rPr>
          <w:szCs w:val="24"/>
        </w:rPr>
        <w:t xml:space="preserve">, but the 4-second instruction will change gradually towards the stepped </w:t>
      </w:r>
      <w:r w:rsidRPr="00FC3438" w:rsidDel="00551FAD">
        <w:rPr>
          <w:szCs w:val="24"/>
        </w:rPr>
        <w:t xml:space="preserve">Setpoint </w:t>
      </w:r>
      <w:r w:rsidRPr="00FC3438">
        <w:rPr>
          <w:szCs w:val="24"/>
        </w:rPr>
        <w:t xml:space="preserve">Target based on </w:t>
      </w:r>
      <w:r w:rsidR="00544537">
        <w:rPr>
          <w:szCs w:val="24"/>
        </w:rPr>
        <w:t xml:space="preserve">a linear </w:t>
      </w:r>
      <w:r w:rsidRPr="00FC3438">
        <w:rPr>
          <w:szCs w:val="24"/>
        </w:rPr>
        <w:t xml:space="preserve">ramp rate.  Market Participants may use either the ramped or stepped </w:t>
      </w:r>
      <w:r w:rsidRPr="00FC3438" w:rsidDel="00551FAD">
        <w:rPr>
          <w:szCs w:val="24"/>
        </w:rPr>
        <w:t xml:space="preserve">Setpoint </w:t>
      </w:r>
      <w:r w:rsidRPr="00FC3438">
        <w:rPr>
          <w:szCs w:val="24"/>
        </w:rPr>
        <w:t>Target as input into their AGC systems</w:t>
      </w:r>
      <w:r w:rsidRPr="00FC3438" w:rsidDel="00CF5BE6">
        <w:rPr>
          <w:szCs w:val="24"/>
        </w:rPr>
        <w:t>.</w:t>
      </w:r>
    </w:p>
    <w:p w14:paraId="35F39AAD" w14:textId="77777777" w:rsidR="00F83CA0" w:rsidRPr="00FC3438" w:rsidRDefault="00F83CA0" w:rsidP="00F83CA0">
      <w:pPr>
        <w:spacing w:line="300" w:lineRule="auto"/>
        <w:rPr>
          <w:szCs w:val="24"/>
        </w:rPr>
      </w:pPr>
      <w:r w:rsidRPr="00FC3438">
        <w:t xml:space="preserve">In the event of a primary ICCP communications failure, </w:t>
      </w:r>
      <w:r>
        <w:rPr>
          <w:szCs w:val="24"/>
        </w:rPr>
        <w:t>the Market Operator</w:t>
      </w:r>
      <w:r w:rsidRPr="00FC3438">
        <w:rPr>
          <w:szCs w:val="24"/>
        </w:rPr>
        <w:t xml:space="preserve"> </w:t>
      </w:r>
      <w:r w:rsidRPr="00FC3438">
        <w:t xml:space="preserve">will systematically communicate Energy </w:t>
      </w:r>
      <w:r w:rsidRPr="00FC3438" w:rsidDel="00A77FA7">
        <w:t xml:space="preserve">Dispatch </w:t>
      </w:r>
      <w:r w:rsidRPr="00FC3438">
        <w:t xml:space="preserve">Targets to Market Participants.  Market Participants must have the capability to receive and follow </w:t>
      </w:r>
      <w:r w:rsidRPr="00FC3438" w:rsidDel="00A77FA7">
        <w:t xml:space="preserve">Dispatch </w:t>
      </w:r>
      <w:r w:rsidRPr="00FC3438">
        <w:t xml:space="preserve">Targets.  Market Participants with </w:t>
      </w:r>
      <w:r>
        <w:t>D</w:t>
      </w:r>
      <w:r w:rsidRPr="00FC3438">
        <w:t>ispatchable Resources must have primary and secondary connections and be capable of following instructions from both.</w:t>
      </w:r>
    </w:p>
    <w:p w14:paraId="5D81A3A1" w14:textId="13D7F96C" w:rsidR="00F83CA0" w:rsidRPr="00FC3438" w:rsidRDefault="00F83CA0" w:rsidP="00574EDE">
      <w:pPr>
        <w:pStyle w:val="Heading4"/>
      </w:pPr>
      <w:bookmarkStart w:id="4164" w:name="_Ref13561727"/>
      <w:bookmarkStart w:id="4165" w:name="_Toc159232340"/>
      <w:bookmarkStart w:id="4166" w:name="_Toc213771877"/>
      <w:bookmarkStart w:id="4167" w:name="_Toc241309311"/>
      <w:bookmarkStart w:id="4168" w:name="_Toc245633988"/>
      <w:bookmarkStart w:id="4169" w:name="_Toc245634140"/>
      <w:bookmarkStart w:id="4170" w:name="_Toc245728030"/>
      <w:bookmarkStart w:id="4171" w:name="_Toc248644154"/>
      <w:bookmarkStart w:id="4172" w:name="_Toc258924881"/>
      <w:bookmarkStart w:id="4173" w:name="_Toc263173320"/>
      <w:bookmarkStart w:id="4174" w:name="_Toc263429434"/>
      <w:bookmarkStart w:id="4175" w:name="_Toc263795472"/>
      <w:bookmarkStart w:id="4176" w:name="_Ref265580322"/>
      <w:bookmarkStart w:id="4177" w:name="_Toc266869649"/>
      <w:bookmarkStart w:id="4178" w:name="_Ref307828104"/>
      <w:bookmarkStart w:id="4179" w:name="_Ref307828128"/>
      <w:bookmarkStart w:id="4180" w:name="OLE_LINK193"/>
      <w:bookmarkStart w:id="4181" w:name="OLE_LINK194"/>
      <w:r w:rsidRPr="00FC3438">
        <w:t>Dispatchable Variable Energy Resource Deployment</w:t>
      </w:r>
      <w:bookmarkEnd w:id="4164"/>
      <w:bookmarkEnd w:id="4165"/>
      <w:bookmarkEnd w:id="4166"/>
    </w:p>
    <w:p w14:paraId="516F4DF3" w14:textId="5CA690BC" w:rsidR="00F83CA0" w:rsidRDefault="00F83CA0" w:rsidP="00F83CA0">
      <w:pPr>
        <w:spacing w:line="300" w:lineRule="auto"/>
        <w:rPr>
          <w:szCs w:val="24"/>
        </w:rPr>
      </w:pPr>
      <w:r>
        <w:rPr>
          <w:szCs w:val="24"/>
        </w:rPr>
        <w:t>The Market Operator</w:t>
      </w:r>
      <w:r w:rsidRPr="00FC3438">
        <w:rPr>
          <w:szCs w:val="24"/>
        </w:rPr>
        <w:t xml:space="preserve"> </w:t>
      </w:r>
      <w:r>
        <w:rPr>
          <w:szCs w:val="24"/>
        </w:rPr>
        <w:t>will</w:t>
      </w:r>
      <w:r w:rsidRPr="00FC3438">
        <w:rPr>
          <w:szCs w:val="24"/>
        </w:rPr>
        <w:t xml:space="preserve"> systematically provide a binary signal flag which notifies the Dispatchable Variable Energy Resource (DVERs) to either “Follow” or “Ignore” </w:t>
      </w:r>
      <w:r>
        <w:rPr>
          <w:szCs w:val="24"/>
        </w:rPr>
        <w:t>the Market Operator's</w:t>
      </w:r>
      <w:r w:rsidRPr="00FC3438">
        <w:rPr>
          <w:szCs w:val="24"/>
        </w:rPr>
        <w:t xml:space="preserve"> Setpoint Target.  When the “Follow” signal is received, the </w:t>
      </w:r>
      <w:r>
        <w:rPr>
          <w:szCs w:val="24"/>
        </w:rPr>
        <w:t>DVER</w:t>
      </w:r>
      <w:r w:rsidRPr="00FC3438" w:rsidDel="00546B64">
        <w:rPr>
          <w:szCs w:val="24"/>
        </w:rPr>
        <w:t xml:space="preserve"> </w:t>
      </w:r>
      <w:r>
        <w:rPr>
          <w:szCs w:val="24"/>
        </w:rPr>
        <w:t>will</w:t>
      </w:r>
      <w:r w:rsidRPr="00FC3438">
        <w:rPr>
          <w:szCs w:val="24"/>
        </w:rPr>
        <w:t xml:space="preserve"> follow the </w:t>
      </w:r>
      <w:r w:rsidRPr="00FC3438" w:rsidDel="00551FAD">
        <w:rPr>
          <w:szCs w:val="24"/>
        </w:rPr>
        <w:t xml:space="preserve">Setpoint </w:t>
      </w:r>
      <w:r w:rsidRPr="00FC3438">
        <w:rPr>
          <w:szCs w:val="24"/>
        </w:rPr>
        <w:t xml:space="preserve">Target and the </w:t>
      </w:r>
      <w:r w:rsidRPr="00FC3438" w:rsidDel="00551FAD">
        <w:rPr>
          <w:szCs w:val="24"/>
        </w:rPr>
        <w:t xml:space="preserve">Setpoint </w:t>
      </w:r>
      <w:r w:rsidRPr="00FC3438">
        <w:rPr>
          <w:szCs w:val="24"/>
        </w:rPr>
        <w:t xml:space="preserve">Target </w:t>
      </w:r>
      <w:r>
        <w:rPr>
          <w:szCs w:val="24"/>
        </w:rPr>
        <w:t>will</w:t>
      </w:r>
      <w:r w:rsidRPr="00FC3438">
        <w:rPr>
          <w:szCs w:val="24"/>
        </w:rPr>
        <w:t xml:space="preserve"> be equal to the RTBM </w:t>
      </w:r>
      <w:r w:rsidRPr="00FC3438" w:rsidDel="00A77FA7">
        <w:rPr>
          <w:szCs w:val="24"/>
        </w:rPr>
        <w:t xml:space="preserve">Dispatch </w:t>
      </w:r>
      <w:r w:rsidRPr="00FC3438">
        <w:rPr>
          <w:szCs w:val="24"/>
        </w:rPr>
        <w:t xml:space="preserve">Target if Control Status is “Non-Regulating” or “Manual”.    In any Dispatch Interval in which the DVER Follow flag is set to “Ignore”, the </w:t>
      </w:r>
      <w:r w:rsidRPr="00FC3438" w:rsidDel="00551FAD">
        <w:rPr>
          <w:szCs w:val="24"/>
        </w:rPr>
        <w:t xml:space="preserve">Setpoint </w:t>
      </w:r>
      <w:r w:rsidRPr="00FC3438">
        <w:rPr>
          <w:szCs w:val="24"/>
        </w:rPr>
        <w:t xml:space="preserve">Target is calculated </w:t>
      </w:r>
      <w:r w:rsidRPr="00FC3438">
        <w:t>as the echo of actual SCADA output</w:t>
      </w:r>
      <w:r w:rsidRPr="00FC3438">
        <w:rPr>
          <w:szCs w:val="24"/>
        </w:rPr>
        <w:t>.  In addition, DVERS will receive a “Follow” dispatch flag in accordance with Section</w:t>
      </w:r>
      <w:r w:rsidR="00FC674F">
        <w:rPr>
          <w:szCs w:val="24"/>
        </w:rPr>
        <w:t xml:space="preserve"> </w:t>
      </w:r>
      <w:r w:rsidR="00501B17">
        <w:rPr>
          <w:szCs w:val="24"/>
        </w:rPr>
        <w:fldChar w:fldCharType="begin"/>
      </w:r>
      <w:r w:rsidR="00501B17">
        <w:rPr>
          <w:szCs w:val="24"/>
        </w:rPr>
        <w:instrText xml:space="preserve"> REF _Ref195097551 \r \h </w:instrText>
      </w:r>
      <w:r w:rsidR="00501B17">
        <w:rPr>
          <w:szCs w:val="24"/>
        </w:rPr>
      </w:r>
      <w:r w:rsidR="00501B17">
        <w:rPr>
          <w:szCs w:val="24"/>
        </w:rPr>
        <w:fldChar w:fldCharType="separate"/>
      </w:r>
      <w:r w:rsidR="00501B17">
        <w:rPr>
          <w:szCs w:val="24"/>
        </w:rPr>
        <w:t>4.2.2.5.4.1</w:t>
      </w:r>
      <w:r w:rsidR="00501B17">
        <w:rPr>
          <w:szCs w:val="24"/>
        </w:rPr>
        <w:fldChar w:fldCharType="end"/>
      </w:r>
      <w:r w:rsidRPr="00FC3438">
        <w:rPr>
          <w:szCs w:val="24"/>
        </w:rPr>
        <w:t>.</w:t>
      </w:r>
    </w:p>
    <w:p w14:paraId="360E43C9" w14:textId="419CD4B4" w:rsidR="00F83CA0" w:rsidRPr="00FC3438" w:rsidRDefault="00F83CA0" w:rsidP="00574EDE">
      <w:pPr>
        <w:pStyle w:val="Heading4"/>
      </w:pPr>
      <w:bookmarkStart w:id="4182" w:name="_Toc212633356"/>
      <w:bookmarkStart w:id="4183" w:name="_Toc212634037"/>
      <w:bookmarkStart w:id="4184" w:name="_Toc212633355"/>
      <w:bookmarkStart w:id="4185" w:name="_Toc212634036"/>
      <w:bookmarkStart w:id="4186" w:name="_Toc159232341"/>
      <w:bookmarkStart w:id="4187" w:name="_Ref212552281"/>
      <w:bookmarkStart w:id="4188" w:name="_Toc213771878"/>
      <w:bookmarkEnd w:id="4182"/>
      <w:bookmarkEnd w:id="4183"/>
      <w:bookmarkEnd w:id="4184"/>
      <w:bookmarkEnd w:id="4185"/>
      <w:r w:rsidRPr="00FC3438">
        <w:t>Non-Dispatchable Variable Energy Resource Deployment</w:t>
      </w:r>
      <w:bookmarkEnd w:id="4186"/>
      <w:bookmarkEnd w:id="4187"/>
      <w:bookmarkEnd w:id="4188"/>
    </w:p>
    <w:p w14:paraId="5C4B4E0F" w14:textId="484F8186" w:rsidR="00F83CA0" w:rsidRPr="00FC3438" w:rsidRDefault="00F83CA0" w:rsidP="00F83CA0">
      <w:pPr>
        <w:spacing w:line="300" w:lineRule="auto"/>
        <w:rPr>
          <w:szCs w:val="24"/>
        </w:rPr>
      </w:pPr>
      <w:r w:rsidRPr="00FC3438">
        <w:rPr>
          <w:szCs w:val="24"/>
        </w:rPr>
        <w:t xml:space="preserve">Non-Dispatchable Variable Energy Resources (NDVERs) Setpoint Targets will be an echo of actual SCADA output as updated every ten </w:t>
      </w:r>
      <w:r>
        <w:rPr>
          <w:szCs w:val="24"/>
        </w:rPr>
        <w:t xml:space="preserve">(10) </w:t>
      </w:r>
      <w:r w:rsidRPr="00FC3438">
        <w:rPr>
          <w:szCs w:val="24"/>
        </w:rPr>
        <w:t xml:space="preserve">seconds except during the period of time an OOME is imposed; during such time, the Setpoint Targets will be issued in accordance with Section  </w:t>
      </w:r>
      <w:r w:rsidRPr="00FC3438">
        <w:fldChar w:fldCharType="begin"/>
      </w:r>
      <w:r w:rsidRPr="00FC3438">
        <w:instrText xml:space="preserve"> REF _Ref257910740 \n \h </w:instrText>
      </w:r>
      <w:r w:rsidRPr="00FC3438">
        <w:fldChar w:fldCharType="separate"/>
      </w:r>
      <w:r w:rsidRPr="00FC3438">
        <w:t>4.4.2.</w:t>
      </w:r>
      <w:r w:rsidRPr="00FC3438" w:rsidDel="00EC22D7">
        <w:t>4</w:t>
      </w:r>
      <w:r w:rsidRPr="00FC3438">
        <w:fldChar w:fldCharType="end"/>
      </w:r>
      <w:r w:rsidRPr="00FC3438">
        <w:t>.</w:t>
      </w:r>
    </w:p>
    <w:p w14:paraId="4FFE7FB2" w14:textId="1C03B2FF" w:rsidR="00F83CA0" w:rsidRPr="00FC3438" w:rsidRDefault="00F83CA0" w:rsidP="00574EDE">
      <w:pPr>
        <w:pStyle w:val="Heading4"/>
      </w:pPr>
      <w:bookmarkStart w:id="4189" w:name="_Toc159232365"/>
      <w:bookmarkStart w:id="4190" w:name="_Toc213771879"/>
      <w:bookmarkStart w:id="4191" w:name="_Toc241309313"/>
      <w:bookmarkStart w:id="4192" w:name="_Toc245633991"/>
      <w:bookmarkStart w:id="4193" w:name="_Toc245634143"/>
      <w:bookmarkStart w:id="4194" w:name="_Toc245728033"/>
      <w:bookmarkStart w:id="4195" w:name="_Toc248644157"/>
      <w:bookmarkStart w:id="4196" w:name="_Toc258924884"/>
      <w:bookmarkStart w:id="4197" w:name="_Toc263173323"/>
      <w:bookmarkStart w:id="4198" w:name="_Toc263173621"/>
      <w:bookmarkStart w:id="4199" w:name="_Toc263173807"/>
      <w:bookmarkStart w:id="4200" w:name="_Toc263174187"/>
      <w:bookmarkStart w:id="4201" w:name="_Toc263235086"/>
      <w:bookmarkStart w:id="4202" w:name="_Toc263235729"/>
      <w:bookmarkStart w:id="4203" w:name="_Toc263429437"/>
      <w:bookmarkStart w:id="4204" w:name="_Toc263795475"/>
      <w:bookmarkStart w:id="4205" w:name="_Toc266869653"/>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r w:rsidRPr="00FC3438">
        <w:t>Market Storage Resource Deployment</w:t>
      </w:r>
      <w:bookmarkEnd w:id="4189"/>
      <w:bookmarkEnd w:id="4190"/>
    </w:p>
    <w:p w14:paraId="7175BF3B" w14:textId="77777777" w:rsidR="00F83CA0" w:rsidRPr="00FC3438" w:rsidRDefault="00F83CA0" w:rsidP="00F83CA0">
      <w:pPr>
        <w:spacing w:line="300" w:lineRule="auto"/>
      </w:pPr>
      <w:r w:rsidRPr="00FC3438">
        <w:t xml:space="preserve">When the Real-Time State of Charge is insufficient to sustain a deployment within </w:t>
      </w:r>
      <w:r>
        <w:t>its</w:t>
      </w:r>
      <w:r w:rsidRPr="00FC3438">
        <w:t xml:space="preserve"> operating range for a </w:t>
      </w:r>
      <w:r>
        <w:t>Dispatch Interval</w:t>
      </w:r>
      <w:r w:rsidRPr="00FC3438">
        <w:t xml:space="preserve">, an MSR will receive a zero </w:t>
      </w:r>
      <w:r>
        <w:t xml:space="preserve">(0) </w:t>
      </w:r>
      <w:r w:rsidRPr="00FC3438">
        <w:t>MW Setpoint.</w:t>
      </w:r>
    </w:p>
    <w:p w14:paraId="4D362608" w14:textId="566B96AF" w:rsidR="00F83CA0" w:rsidRPr="00FC3438" w:rsidRDefault="00F83CA0" w:rsidP="00CB5653">
      <w:pPr>
        <w:pStyle w:val="Heading3"/>
      </w:pPr>
      <w:bookmarkStart w:id="4206" w:name="_Toc159232366"/>
      <w:bookmarkStart w:id="4207" w:name="_Toc213771880"/>
      <w:r w:rsidRPr="00FC3438">
        <w:t>Energy Deployment Failure</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315DD474" w14:textId="2AAB4FD6" w:rsidR="00F83CA0" w:rsidRPr="00FC3438" w:rsidRDefault="00F83CA0" w:rsidP="00F83CA0">
      <w:pPr>
        <w:spacing w:line="300" w:lineRule="auto"/>
        <w:rPr>
          <w:szCs w:val="24"/>
        </w:rPr>
      </w:pPr>
      <w:r w:rsidRPr="00FC3438">
        <w:rPr>
          <w:szCs w:val="24"/>
        </w:rPr>
        <w:t xml:space="preserve">Market Participants that fail to comply with </w:t>
      </w:r>
      <w:r w:rsidRPr="00FC3438" w:rsidDel="00551FAD">
        <w:rPr>
          <w:szCs w:val="24"/>
        </w:rPr>
        <w:t xml:space="preserve">Setpoint </w:t>
      </w:r>
      <w:r w:rsidRPr="00FC3438">
        <w:rPr>
          <w:szCs w:val="24"/>
        </w:rPr>
        <w:t>Targets will incur a portion of RUC make whole payment amount costs</w:t>
      </w:r>
      <w:r w:rsidR="007D5996">
        <w:rPr>
          <w:szCs w:val="24"/>
        </w:rPr>
        <w:t>, as described in the Markets+ Settlements Calculation Guide,</w:t>
      </w:r>
      <w:r w:rsidRPr="00FC3438">
        <w:rPr>
          <w:szCs w:val="24"/>
        </w:rPr>
        <w:t xml:space="preserve"> unless specifically exempted per Section </w:t>
      </w:r>
      <w:r w:rsidRPr="00FC3438">
        <w:rPr>
          <w:szCs w:val="24"/>
        </w:rPr>
        <w:fldChar w:fldCharType="begin"/>
      </w:r>
      <w:r w:rsidRPr="00FC3438">
        <w:rPr>
          <w:szCs w:val="24"/>
        </w:rPr>
        <w:instrText xml:space="preserve"> REF _Ref349716276 \n \h </w:instrText>
      </w:r>
      <w:r w:rsidRPr="00FC3438">
        <w:rPr>
          <w:szCs w:val="24"/>
        </w:rPr>
      </w:r>
      <w:r w:rsidRPr="00FC3438">
        <w:rPr>
          <w:szCs w:val="24"/>
        </w:rPr>
        <w:fldChar w:fldCharType="separate"/>
      </w:r>
      <w:r w:rsidRPr="00FC3438">
        <w:rPr>
          <w:szCs w:val="24"/>
        </w:rPr>
        <w:t>4.4.4.1.1</w:t>
      </w:r>
      <w:r w:rsidRPr="00FC3438">
        <w:rPr>
          <w:szCs w:val="24"/>
        </w:rPr>
        <w:fldChar w:fldCharType="end"/>
      </w:r>
      <w:r w:rsidRPr="00FC3438">
        <w:rPr>
          <w:szCs w:val="24"/>
        </w:rPr>
        <w:t>.  Resources that are cleared for on-line Flexibility Reserve Products may be subject to additional non-performance charges if the Resource</w:t>
      </w:r>
      <w:r>
        <w:rPr>
          <w:szCs w:val="24"/>
        </w:rPr>
        <w:t>’</w:t>
      </w:r>
      <w:r w:rsidRPr="00FC3438">
        <w:rPr>
          <w:szCs w:val="24"/>
        </w:rPr>
        <w:t xml:space="preserve">s </w:t>
      </w:r>
      <w:r>
        <w:rPr>
          <w:szCs w:val="24"/>
        </w:rPr>
        <w:t>Uninstructed Resource Deviation (</w:t>
      </w:r>
      <w:r w:rsidRPr="00FC3438">
        <w:rPr>
          <w:szCs w:val="24"/>
        </w:rPr>
        <w:t>URD</w:t>
      </w:r>
      <w:r>
        <w:rPr>
          <w:szCs w:val="24"/>
        </w:rPr>
        <w:t>)</w:t>
      </w:r>
      <w:r w:rsidRPr="00FC3438">
        <w:rPr>
          <w:szCs w:val="24"/>
        </w:rPr>
        <w:t xml:space="preserve"> is outside of its </w:t>
      </w:r>
      <w:r w:rsidR="004863F2">
        <w:rPr>
          <w:szCs w:val="24"/>
        </w:rPr>
        <w:t xml:space="preserve">High </w:t>
      </w:r>
      <w:r w:rsidRPr="00FC3438">
        <w:rPr>
          <w:szCs w:val="24"/>
        </w:rPr>
        <w:t>Operating Tolerance</w:t>
      </w:r>
      <w:r w:rsidR="004863F2">
        <w:rPr>
          <w:szCs w:val="24"/>
        </w:rPr>
        <w:t xml:space="preserve"> or Low Operating Tolerance.  </w:t>
      </w:r>
      <w:r w:rsidRPr="00FC3438">
        <w:rPr>
          <w:szCs w:val="24"/>
        </w:rPr>
        <w:t xml:space="preserve">Cleared off-line Mid-Term Flex Up may be subject to non-performance charges if they fail to start when deployed as described </w:t>
      </w:r>
      <w:r w:rsidR="00D10D99">
        <w:rPr>
          <w:szCs w:val="24"/>
        </w:rPr>
        <w:t xml:space="preserve">in the Markets+ Settlements </w:t>
      </w:r>
      <w:r w:rsidR="00687CA8">
        <w:rPr>
          <w:szCs w:val="24"/>
        </w:rPr>
        <w:t xml:space="preserve">Calculation </w:t>
      </w:r>
      <w:r w:rsidR="00D10D99">
        <w:rPr>
          <w:szCs w:val="24"/>
        </w:rPr>
        <w:t>Guide</w:t>
      </w:r>
      <w:r w:rsidRPr="00FC3438">
        <w:rPr>
          <w:szCs w:val="24"/>
        </w:rPr>
        <w:t xml:space="preserve">.  </w:t>
      </w:r>
      <w:r>
        <w:rPr>
          <w:szCs w:val="24"/>
        </w:rPr>
        <w:t>URD</w:t>
      </w:r>
      <w:r w:rsidRPr="00FC3438">
        <w:rPr>
          <w:szCs w:val="24"/>
        </w:rPr>
        <w:t xml:space="preserve"> is described in the following subsections.</w:t>
      </w:r>
    </w:p>
    <w:p w14:paraId="77AC2DEB" w14:textId="25C1D141" w:rsidR="00F83CA0" w:rsidRPr="00FC3438" w:rsidRDefault="00F83CA0" w:rsidP="00574EDE">
      <w:pPr>
        <w:pStyle w:val="Heading4"/>
      </w:pPr>
      <w:bookmarkStart w:id="4208" w:name="_Ref247975819"/>
      <w:bookmarkStart w:id="4209" w:name="_Toc248644158"/>
      <w:bookmarkStart w:id="4210" w:name="_Toc258924885"/>
      <w:bookmarkStart w:id="4211" w:name="_Toc263173324"/>
      <w:bookmarkStart w:id="4212" w:name="_Toc263429438"/>
      <w:bookmarkStart w:id="4213" w:name="_Toc263795476"/>
      <w:bookmarkStart w:id="4214" w:name="_Toc266869654"/>
      <w:bookmarkStart w:id="4215" w:name="_Toc159232367"/>
      <w:bookmarkStart w:id="4216" w:name="_Toc213771881"/>
      <w:bookmarkStart w:id="4217" w:name="_Toc241309314"/>
      <w:bookmarkStart w:id="4218" w:name="_Ref244358462"/>
      <w:bookmarkStart w:id="4219" w:name="_Ref244358496"/>
      <w:bookmarkStart w:id="4220" w:name="_Toc245633992"/>
      <w:bookmarkStart w:id="4221" w:name="_Toc245634144"/>
      <w:bookmarkStart w:id="4222" w:name="_Toc245728034"/>
      <w:r w:rsidRPr="243E6803">
        <w:t>Uninstructed Resource Deviation</w:t>
      </w:r>
      <w:bookmarkEnd w:id="4208"/>
      <w:bookmarkEnd w:id="4209"/>
      <w:bookmarkEnd w:id="4210"/>
      <w:bookmarkEnd w:id="4211"/>
      <w:bookmarkEnd w:id="4212"/>
      <w:bookmarkEnd w:id="4213"/>
      <w:bookmarkEnd w:id="4214"/>
      <w:bookmarkEnd w:id="4215"/>
      <w:bookmarkEnd w:id="4216"/>
      <w:r w:rsidRPr="243E6803">
        <w:t xml:space="preserve"> </w:t>
      </w:r>
      <w:bookmarkEnd w:id="4217"/>
      <w:bookmarkEnd w:id="4218"/>
      <w:bookmarkEnd w:id="4219"/>
      <w:bookmarkEnd w:id="4220"/>
      <w:bookmarkEnd w:id="4221"/>
      <w:bookmarkEnd w:id="4222"/>
    </w:p>
    <w:p w14:paraId="236A9106" w14:textId="77777777" w:rsidR="00F83CA0" w:rsidRPr="00FC3438" w:rsidRDefault="00F83CA0" w:rsidP="00F83CA0">
      <w:pPr>
        <w:spacing w:line="300" w:lineRule="auto"/>
        <w:rPr>
          <w:szCs w:val="24"/>
        </w:rPr>
      </w:pPr>
      <w:bookmarkStart w:id="4223" w:name="_Toc241309315"/>
      <w:bookmarkStart w:id="4224" w:name="_Ref260171922"/>
      <w:bookmarkStart w:id="4225" w:name="_Toc263173325"/>
      <w:bookmarkStart w:id="4226" w:name="_Toc263795477"/>
      <w:bookmarkStart w:id="4227" w:name="_Ref349552944"/>
      <w:bookmarkStart w:id="4228" w:name="_Ref349716276"/>
      <w:bookmarkStart w:id="4229" w:name="_Ref349718293"/>
      <w:bookmarkStart w:id="4230" w:name="_Ref368556825"/>
      <w:bookmarkStart w:id="4231" w:name="_Ref372289658"/>
      <w:bookmarkStart w:id="4232" w:name="_Ref431624178"/>
      <w:r w:rsidRPr="00FC3438">
        <w:rPr>
          <w:szCs w:val="24"/>
        </w:rPr>
        <w:t xml:space="preserve">The following rules apply to the calculation of URD.   </w:t>
      </w:r>
    </w:p>
    <w:p w14:paraId="4A4A685F" w14:textId="0D842A53" w:rsidR="00F83CA0" w:rsidRPr="00FC3438" w:rsidRDefault="00F83CA0" w:rsidP="00EE45E7">
      <w:pPr>
        <w:numPr>
          <w:ilvl w:val="0"/>
          <w:numId w:val="104"/>
        </w:numPr>
        <w:spacing w:before="120" w:line="300" w:lineRule="auto"/>
        <w:ind w:hanging="547"/>
        <w:rPr>
          <w:szCs w:val="24"/>
        </w:rPr>
      </w:pPr>
      <w:r w:rsidRPr="00FC3438">
        <w:rPr>
          <w:szCs w:val="24"/>
        </w:rPr>
        <w:t xml:space="preserve">URD is the difference between a Resource’s actual average MW output over the Dispatch Interval and the Resource’s average ramped MW Setpoint </w:t>
      </w:r>
      <w:r>
        <w:rPr>
          <w:szCs w:val="24"/>
        </w:rPr>
        <w:t xml:space="preserve">Target </w:t>
      </w:r>
      <w:r w:rsidRPr="00FC3438">
        <w:rPr>
          <w:szCs w:val="24"/>
        </w:rPr>
        <w:t xml:space="preserve">over a Dispatch Interval.  For the purposes of determining URD exemptions for Resources that are part of a Common Bus as described under Section </w:t>
      </w:r>
      <w:r w:rsidR="0004103D">
        <w:rPr>
          <w:szCs w:val="24"/>
        </w:rPr>
        <w:fldChar w:fldCharType="begin"/>
      </w:r>
      <w:r w:rsidR="0004103D">
        <w:rPr>
          <w:szCs w:val="24"/>
        </w:rPr>
        <w:instrText xml:space="preserve"> REF _Ref212553197 \r \h </w:instrText>
      </w:r>
      <w:r w:rsidR="0004103D">
        <w:rPr>
          <w:szCs w:val="24"/>
        </w:rPr>
      </w:r>
      <w:r w:rsidR="0004103D">
        <w:rPr>
          <w:szCs w:val="24"/>
        </w:rPr>
        <w:fldChar w:fldCharType="separate"/>
      </w:r>
      <w:r w:rsidR="0004103D">
        <w:rPr>
          <w:szCs w:val="24"/>
        </w:rPr>
        <w:t>4.4.4.1.1</w:t>
      </w:r>
      <w:r w:rsidR="0004103D">
        <w:rPr>
          <w:szCs w:val="24"/>
        </w:rPr>
        <w:fldChar w:fldCharType="end"/>
      </w:r>
      <w:r w:rsidRPr="00FC3438">
        <w:rPr>
          <w:szCs w:val="24"/>
        </w:rPr>
        <w:t xml:space="preserve">, each Asset Owner’s Resources’ combined average ramped MW Setpoint </w:t>
      </w:r>
      <w:r>
        <w:rPr>
          <w:szCs w:val="24"/>
        </w:rPr>
        <w:t>Target</w:t>
      </w:r>
      <w:r w:rsidRPr="00FC3438">
        <w:rPr>
          <w:szCs w:val="24"/>
        </w:rPr>
        <w:t xml:space="preserve"> and combined actual average MW output at the Common Bus will be used to calculate URD at the Common Bus for the Dispatch Interval for each Asset Owner;     </w:t>
      </w:r>
    </w:p>
    <w:p w14:paraId="2392F282" w14:textId="7654339F" w:rsidR="00F83CA0" w:rsidRPr="00FC3438" w:rsidRDefault="00F83CA0" w:rsidP="00EE45E7">
      <w:pPr>
        <w:numPr>
          <w:ilvl w:val="0"/>
          <w:numId w:val="104"/>
        </w:numPr>
        <w:spacing w:before="120" w:line="300" w:lineRule="auto"/>
        <w:ind w:hanging="547"/>
        <w:rPr>
          <w:szCs w:val="24"/>
        </w:rPr>
      </w:pPr>
      <w:r w:rsidRPr="00FC3438">
        <w:rPr>
          <w:szCs w:val="24"/>
        </w:rPr>
        <w:t xml:space="preserve">A URD charge will be issued for any Dispatch Interval where </w:t>
      </w:r>
      <w:r>
        <w:rPr>
          <w:szCs w:val="24"/>
        </w:rPr>
        <w:t xml:space="preserve">a </w:t>
      </w:r>
      <w:r w:rsidRPr="00FC3438">
        <w:rPr>
          <w:szCs w:val="24"/>
        </w:rPr>
        <w:t xml:space="preserve">Resource’s URD is outside of its </w:t>
      </w:r>
      <w:r w:rsidR="004863F2">
        <w:rPr>
          <w:szCs w:val="24"/>
        </w:rPr>
        <w:t xml:space="preserve">High </w:t>
      </w:r>
      <w:r w:rsidRPr="00FC3438">
        <w:rPr>
          <w:szCs w:val="24"/>
        </w:rPr>
        <w:t>Operating Tolerance</w:t>
      </w:r>
      <w:r w:rsidR="004863F2">
        <w:rPr>
          <w:szCs w:val="24"/>
        </w:rPr>
        <w:t xml:space="preserve"> or Low Operating Tolerance</w:t>
      </w:r>
      <w:r w:rsidRPr="00FC3438">
        <w:rPr>
          <w:szCs w:val="24"/>
        </w:rPr>
        <w:t xml:space="preserve"> unless that Resource has been exempted from URD under Section </w:t>
      </w:r>
      <w:r w:rsidR="0004103D">
        <w:rPr>
          <w:szCs w:val="24"/>
        </w:rPr>
        <w:fldChar w:fldCharType="begin"/>
      </w:r>
      <w:r w:rsidR="0004103D">
        <w:rPr>
          <w:szCs w:val="24"/>
        </w:rPr>
        <w:instrText xml:space="preserve"> REF _Ref212553245 \r \h </w:instrText>
      </w:r>
      <w:r w:rsidR="0004103D">
        <w:rPr>
          <w:szCs w:val="24"/>
        </w:rPr>
      </w:r>
      <w:r w:rsidR="0004103D">
        <w:rPr>
          <w:szCs w:val="24"/>
        </w:rPr>
        <w:fldChar w:fldCharType="separate"/>
      </w:r>
      <w:r w:rsidR="0004103D">
        <w:rPr>
          <w:szCs w:val="24"/>
        </w:rPr>
        <w:t>4.4.4.1.1</w:t>
      </w:r>
      <w:r w:rsidR="0004103D">
        <w:rPr>
          <w:szCs w:val="24"/>
        </w:rPr>
        <w:fldChar w:fldCharType="end"/>
      </w:r>
      <w:r w:rsidRPr="00FC3438">
        <w:rPr>
          <w:szCs w:val="24"/>
        </w:rPr>
        <w:t>.  The URD charge will be equal to the Real-Time deviation above</w:t>
      </w:r>
      <w:r w:rsidR="004863F2">
        <w:rPr>
          <w:szCs w:val="24"/>
        </w:rPr>
        <w:t xml:space="preserve"> the Resource’s High Operating Tolerance</w:t>
      </w:r>
      <w:r w:rsidRPr="00FC3438">
        <w:rPr>
          <w:szCs w:val="24"/>
        </w:rPr>
        <w:t xml:space="preserve"> or below the Resource</w:t>
      </w:r>
      <w:r>
        <w:rPr>
          <w:szCs w:val="24"/>
        </w:rPr>
        <w:t>’s</w:t>
      </w:r>
      <w:r w:rsidRPr="00FC3438">
        <w:rPr>
          <w:szCs w:val="24"/>
        </w:rPr>
        <w:t xml:space="preserve"> </w:t>
      </w:r>
      <w:r w:rsidR="004863F2">
        <w:rPr>
          <w:szCs w:val="24"/>
        </w:rPr>
        <w:t xml:space="preserve">Low </w:t>
      </w:r>
      <w:r w:rsidRPr="00FC3438">
        <w:rPr>
          <w:szCs w:val="24"/>
        </w:rPr>
        <w:t xml:space="preserve">Operating Tolerance multiplied by the absolute value of the Real-Time LMP.  Charges collected will be distributed among Asset Owners based on the Asset Owner’s hourly </w:t>
      </w:r>
      <w:r>
        <w:rPr>
          <w:szCs w:val="24"/>
        </w:rPr>
        <w:t>R</w:t>
      </w:r>
      <w:r w:rsidRPr="00FC3438">
        <w:rPr>
          <w:szCs w:val="24"/>
        </w:rPr>
        <w:t>eal-</w:t>
      </w:r>
      <w:r>
        <w:rPr>
          <w:szCs w:val="24"/>
        </w:rPr>
        <w:t>T</w:t>
      </w:r>
      <w:r w:rsidRPr="00FC3438">
        <w:rPr>
          <w:szCs w:val="24"/>
        </w:rPr>
        <w:t xml:space="preserve">ime load ratio share.  See </w:t>
      </w:r>
      <w:r w:rsidR="00253161">
        <w:rPr>
          <w:szCs w:val="24"/>
        </w:rPr>
        <w:t xml:space="preserve">the Markets+ Settlement Calculations Guide </w:t>
      </w:r>
      <w:r w:rsidRPr="00FC3438">
        <w:rPr>
          <w:szCs w:val="24"/>
        </w:rPr>
        <w:t>for calculation details.</w:t>
      </w:r>
    </w:p>
    <w:p w14:paraId="576E3194" w14:textId="174D5BA4" w:rsidR="00F83CA0" w:rsidRPr="00FC3438" w:rsidRDefault="00F83CA0" w:rsidP="00EE45E7">
      <w:pPr>
        <w:numPr>
          <w:ilvl w:val="0"/>
          <w:numId w:val="104"/>
        </w:numPr>
        <w:spacing w:before="120" w:line="300" w:lineRule="auto"/>
        <w:ind w:hanging="547"/>
        <w:rPr>
          <w:szCs w:val="24"/>
        </w:rPr>
      </w:pPr>
      <w:r w:rsidRPr="00FC3438">
        <w:rPr>
          <w:szCs w:val="24"/>
        </w:rPr>
        <w:t xml:space="preserve">In addition to the URD charge described under </w:t>
      </w:r>
      <w:r w:rsidR="001877E2">
        <w:rPr>
          <w:szCs w:val="24"/>
        </w:rPr>
        <w:fldChar w:fldCharType="begin"/>
      </w:r>
      <w:r w:rsidR="001877E2">
        <w:rPr>
          <w:szCs w:val="24"/>
        </w:rPr>
        <w:instrText xml:space="preserve"> REF _Ref247975819 \r \h </w:instrText>
      </w:r>
      <w:r w:rsidR="001877E2">
        <w:rPr>
          <w:szCs w:val="24"/>
        </w:rPr>
      </w:r>
      <w:r w:rsidR="001877E2">
        <w:rPr>
          <w:szCs w:val="24"/>
        </w:rPr>
        <w:fldChar w:fldCharType="separate"/>
      </w:r>
      <w:r w:rsidR="001877E2">
        <w:rPr>
          <w:szCs w:val="24"/>
        </w:rPr>
        <w:t>4.4.4.1</w:t>
      </w:r>
      <w:r w:rsidR="001877E2">
        <w:rPr>
          <w:szCs w:val="24"/>
        </w:rPr>
        <w:fldChar w:fldCharType="end"/>
      </w:r>
      <w:r w:rsidRPr="00FC3438">
        <w:rPr>
          <w:szCs w:val="24"/>
        </w:rPr>
        <w:t xml:space="preserve">, a Resource is allocated a portion of the RUC make whole payment costs in any Dispatch Interval where the Resource’s URD is outside of its Operating Tolerance unless that Resource has been exempted from URD under Section </w:t>
      </w:r>
      <w:r w:rsidRPr="00FC3438">
        <w:rPr>
          <w:szCs w:val="24"/>
        </w:rPr>
        <w:fldChar w:fldCharType="begin"/>
      </w:r>
      <w:r w:rsidRPr="00FC3438">
        <w:rPr>
          <w:szCs w:val="24"/>
        </w:rPr>
        <w:instrText xml:space="preserve"> REF _Ref260171922 \r \h </w:instrText>
      </w:r>
      <w:r w:rsidRPr="00FC3438">
        <w:rPr>
          <w:szCs w:val="24"/>
        </w:rPr>
      </w:r>
      <w:r w:rsidRPr="00FC3438">
        <w:rPr>
          <w:szCs w:val="24"/>
        </w:rPr>
        <w:fldChar w:fldCharType="separate"/>
      </w:r>
      <w:r w:rsidRPr="00FC3438">
        <w:rPr>
          <w:szCs w:val="24"/>
        </w:rPr>
        <w:t>4.4.4.1.1</w:t>
      </w:r>
      <w:r w:rsidRPr="00FC3438">
        <w:rPr>
          <w:szCs w:val="24"/>
        </w:rPr>
        <w:fldChar w:fldCharType="end"/>
      </w:r>
      <w:r w:rsidRPr="00FC3438">
        <w:rPr>
          <w:szCs w:val="24"/>
        </w:rPr>
        <w:t>.</w:t>
      </w:r>
    </w:p>
    <w:p w14:paraId="3970D821" w14:textId="1E47FB42" w:rsidR="00F83CA0" w:rsidRPr="00FC3438" w:rsidRDefault="007F5C2B" w:rsidP="00EE45E7">
      <w:pPr>
        <w:numPr>
          <w:ilvl w:val="0"/>
          <w:numId w:val="104"/>
        </w:numPr>
        <w:spacing w:before="120" w:line="300" w:lineRule="auto"/>
        <w:ind w:hanging="547"/>
        <w:rPr>
          <w:szCs w:val="24"/>
        </w:rPr>
      </w:pPr>
      <w:r>
        <w:rPr>
          <w:szCs w:val="24"/>
        </w:rPr>
        <w:t xml:space="preserve">A </w:t>
      </w:r>
      <w:r w:rsidR="00F83CA0" w:rsidRPr="00FC3438">
        <w:rPr>
          <w:szCs w:val="24"/>
        </w:rPr>
        <w:t>Resource’s Operating Tolerances are as follows:</w:t>
      </w:r>
    </w:p>
    <w:p w14:paraId="392029E7" w14:textId="041C85AD" w:rsidR="00F83CA0" w:rsidRPr="00FC3438" w:rsidRDefault="00F83CA0" w:rsidP="00EE45E7">
      <w:pPr>
        <w:numPr>
          <w:ilvl w:val="0"/>
          <w:numId w:val="113"/>
        </w:numPr>
        <w:spacing w:before="120" w:line="300" w:lineRule="auto"/>
        <w:ind w:left="2160" w:hanging="720"/>
        <w:rPr>
          <w:szCs w:val="24"/>
        </w:rPr>
      </w:pPr>
      <w:r w:rsidRPr="00FC3438">
        <w:rPr>
          <w:szCs w:val="24"/>
        </w:rPr>
        <w:t xml:space="preserve">If a Resource’s RTBM </w:t>
      </w:r>
      <w:r w:rsidR="00A259C0">
        <w:rPr>
          <w:szCs w:val="24"/>
        </w:rPr>
        <w:t>Max ECOL</w:t>
      </w:r>
      <w:r w:rsidRPr="00FC3438">
        <w:rPr>
          <w:szCs w:val="24"/>
        </w:rPr>
        <w:t xml:space="preserve"> is greater than </w:t>
      </w:r>
      <w:r>
        <w:rPr>
          <w:szCs w:val="24"/>
        </w:rPr>
        <w:t>fifty (</w:t>
      </w:r>
      <w:r w:rsidRPr="00FC3438">
        <w:rPr>
          <w:szCs w:val="24"/>
        </w:rPr>
        <w:t>50</w:t>
      </w:r>
      <w:r>
        <w:rPr>
          <w:szCs w:val="24"/>
        </w:rPr>
        <w:t xml:space="preserve">) </w:t>
      </w:r>
      <w:r w:rsidRPr="00FC3438">
        <w:rPr>
          <w:szCs w:val="24"/>
        </w:rPr>
        <w:t xml:space="preserve">MW, the Operating Tolerance in each Dispatch Interval is equal to the Resource’s RTBM </w:t>
      </w:r>
      <w:r w:rsidR="00A259C0">
        <w:rPr>
          <w:szCs w:val="24"/>
        </w:rPr>
        <w:t>Max ECOL</w:t>
      </w:r>
      <w:r w:rsidRPr="00FC3438">
        <w:rPr>
          <w:szCs w:val="24"/>
        </w:rPr>
        <w:t xml:space="preserve"> multiplied by </w:t>
      </w:r>
      <w:r>
        <w:rPr>
          <w:szCs w:val="24"/>
        </w:rPr>
        <w:t>five percent (</w:t>
      </w:r>
      <w:r w:rsidRPr="00FC3438">
        <w:rPr>
          <w:szCs w:val="24"/>
        </w:rPr>
        <w:t>5%</w:t>
      </w:r>
      <w:r>
        <w:rPr>
          <w:szCs w:val="24"/>
        </w:rPr>
        <w:t>)</w:t>
      </w:r>
      <w:r w:rsidRPr="00FC3438">
        <w:rPr>
          <w:szCs w:val="24"/>
        </w:rPr>
        <w:t xml:space="preserve">, subject to a minimum of </w:t>
      </w:r>
      <w:r>
        <w:rPr>
          <w:szCs w:val="24"/>
        </w:rPr>
        <w:t>five (</w:t>
      </w:r>
      <w:r w:rsidRPr="00FC3438">
        <w:rPr>
          <w:szCs w:val="24"/>
        </w:rPr>
        <w:t>5</w:t>
      </w:r>
      <w:r>
        <w:rPr>
          <w:szCs w:val="24"/>
        </w:rPr>
        <w:t>)</w:t>
      </w:r>
      <w:r w:rsidRPr="00FC3438">
        <w:rPr>
          <w:szCs w:val="24"/>
        </w:rPr>
        <w:t xml:space="preserve"> MW and a maximum of </w:t>
      </w:r>
      <w:r>
        <w:rPr>
          <w:szCs w:val="24"/>
        </w:rPr>
        <w:t>twenty (</w:t>
      </w:r>
      <w:r w:rsidRPr="00FC3438">
        <w:rPr>
          <w:szCs w:val="24"/>
        </w:rPr>
        <w:t>20</w:t>
      </w:r>
      <w:r>
        <w:rPr>
          <w:szCs w:val="24"/>
        </w:rPr>
        <w:t>)</w:t>
      </w:r>
      <w:r w:rsidRPr="00FC3438">
        <w:rPr>
          <w:szCs w:val="24"/>
        </w:rPr>
        <w:t xml:space="preserve"> MW.  If the Resource’s RTBM </w:t>
      </w:r>
      <w:r w:rsidR="00A259C0">
        <w:rPr>
          <w:szCs w:val="24"/>
        </w:rPr>
        <w:t>Max ECOL</w:t>
      </w:r>
      <w:r w:rsidR="00A259C0" w:rsidRPr="00FC3438">
        <w:rPr>
          <w:szCs w:val="24"/>
        </w:rPr>
        <w:t xml:space="preserve"> </w:t>
      </w:r>
      <w:r w:rsidRPr="00FC3438">
        <w:rPr>
          <w:szCs w:val="24"/>
        </w:rPr>
        <w:t xml:space="preserve">is less than or equal to </w:t>
      </w:r>
      <w:r>
        <w:rPr>
          <w:szCs w:val="24"/>
        </w:rPr>
        <w:t>fifty (</w:t>
      </w:r>
      <w:r w:rsidRPr="00FC3438">
        <w:rPr>
          <w:szCs w:val="24"/>
        </w:rPr>
        <w:t>50</w:t>
      </w:r>
      <w:r>
        <w:rPr>
          <w:szCs w:val="24"/>
        </w:rPr>
        <w:t>)</w:t>
      </w:r>
      <w:r w:rsidRPr="00FC3438">
        <w:rPr>
          <w:szCs w:val="24"/>
        </w:rPr>
        <w:t xml:space="preserve"> MW, the Resource’s Operating Tolerance in each Dispatch Interval is equal to the Resource’s RTBM </w:t>
      </w:r>
      <w:r w:rsidR="00A259C0">
        <w:rPr>
          <w:szCs w:val="24"/>
        </w:rPr>
        <w:t>Max ECOL</w:t>
      </w:r>
      <w:r w:rsidR="00A259C0" w:rsidRPr="00FC3438">
        <w:rPr>
          <w:szCs w:val="24"/>
        </w:rPr>
        <w:t xml:space="preserve"> </w:t>
      </w:r>
      <w:r w:rsidRPr="00FC3438">
        <w:rPr>
          <w:szCs w:val="24"/>
        </w:rPr>
        <w:t xml:space="preserve">multiplied by </w:t>
      </w:r>
      <w:r>
        <w:rPr>
          <w:szCs w:val="24"/>
        </w:rPr>
        <w:t>ten percent (</w:t>
      </w:r>
      <w:r w:rsidRPr="00FC3438">
        <w:rPr>
          <w:szCs w:val="24"/>
        </w:rPr>
        <w:t>10%</w:t>
      </w:r>
      <w:r>
        <w:rPr>
          <w:szCs w:val="24"/>
        </w:rPr>
        <w:t>)</w:t>
      </w:r>
      <w:r w:rsidRPr="00FC3438">
        <w:rPr>
          <w:szCs w:val="24"/>
        </w:rPr>
        <w:t>.</w:t>
      </w:r>
    </w:p>
    <w:p w14:paraId="21F45A70" w14:textId="3E9475F2" w:rsidR="00F83CA0" w:rsidRPr="00FC3438" w:rsidRDefault="00F83CA0" w:rsidP="00EE45E7">
      <w:pPr>
        <w:numPr>
          <w:ilvl w:val="0"/>
          <w:numId w:val="113"/>
        </w:numPr>
        <w:spacing w:before="120" w:line="300" w:lineRule="auto"/>
        <w:ind w:left="2160" w:hanging="720"/>
        <w:rPr>
          <w:szCs w:val="24"/>
        </w:rPr>
      </w:pPr>
      <w:r w:rsidRPr="00FC3438">
        <w:rPr>
          <w:szCs w:val="24"/>
        </w:rPr>
        <w:t xml:space="preserve">If a Dispatchable Demand Response Resource’s RTBM </w:t>
      </w:r>
      <w:r w:rsidR="00A259C0">
        <w:rPr>
          <w:szCs w:val="24"/>
        </w:rPr>
        <w:t>Max ECOL</w:t>
      </w:r>
      <w:r w:rsidRPr="00FC3438">
        <w:rPr>
          <w:szCs w:val="24"/>
        </w:rPr>
        <w:t xml:space="preserve"> is greater than </w:t>
      </w:r>
      <w:r>
        <w:rPr>
          <w:szCs w:val="24"/>
        </w:rPr>
        <w:t>fifty (</w:t>
      </w:r>
      <w:r w:rsidRPr="00FC3438">
        <w:rPr>
          <w:szCs w:val="24"/>
        </w:rPr>
        <w:t>50</w:t>
      </w:r>
      <w:r>
        <w:rPr>
          <w:szCs w:val="24"/>
        </w:rPr>
        <w:t xml:space="preserve">) </w:t>
      </w:r>
      <w:r w:rsidRPr="00FC3438">
        <w:rPr>
          <w:szCs w:val="24"/>
        </w:rPr>
        <w:t xml:space="preserve">MW, the Operating Tolerance in each Dispatch Interval is equal to the Resource’s RTBM </w:t>
      </w:r>
      <w:r w:rsidR="00A259C0">
        <w:rPr>
          <w:szCs w:val="24"/>
        </w:rPr>
        <w:t>Max ECOL</w:t>
      </w:r>
      <w:r w:rsidR="00A259C0" w:rsidRPr="00FC3438">
        <w:rPr>
          <w:szCs w:val="24"/>
        </w:rPr>
        <w:t xml:space="preserve"> </w:t>
      </w:r>
      <w:r w:rsidRPr="00FC3438">
        <w:rPr>
          <w:szCs w:val="24"/>
        </w:rPr>
        <w:t xml:space="preserve">multiplied by </w:t>
      </w:r>
      <w:r>
        <w:rPr>
          <w:szCs w:val="24"/>
        </w:rPr>
        <w:t>five percent (</w:t>
      </w:r>
      <w:r w:rsidRPr="00FC3438">
        <w:rPr>
          <w:szCs w:val="24"/>
        </w:rPr>
        <w:t>5%</w:t>
      </w:r>
      <w:r>
        <w:rPr>
          <w:szCs w:val="24"/>
        </w:rPr>
        <w:t>)</w:t>
      </w:r>
      <w:r w:rsidRPr="00FC3438">
        <w:rPr>
          <w:szCs w:val="24"/>
        </w:rPr>
        <w:t xml:space="preserve">, subject to a minimum of </w:t>
      </w:r>
      <w:r>
        <w:rPr>
          <w:szCs w:val="24"/>
        </w:rPr>
        <w:t>five (</w:t>
      </w:r>
      <w:r w:rsidRPr="00FC3438">
        <w:rPr>
          <w:szCs w:val="24"/>
        </w:rPr>
        <w:t>5</w:t>
      </w:r>
      <w:r>
        <w:rPr>
          <w:szCs w:val="24"/>
        </w:rPr>
        <w:t>)</w:t>
      </w:r>
      <w:r w:rsidRPr="00FC3438">
        <w:rPr>
          <w:szCs w:val="24"/>
        </w:rPr>
        <w:t xml:space="preserve"> MW and a maximum of </w:t>
      </w:r>
      <w:r>
        <w:rPr>
          <w:szCs w:val="24"/>
        </w:rPr>
        <w:t>twenty (</w:t>
      </w:r>
      <w:r w:rsidRPr="00FC3438">
        <w:rPr>
          <w:szCs w:val="24"/>
        </w:rPr>
        <w:t>20</w:t>
      </w:r>
      <w:r>
        <w:rPr>
          <w:szCs w:val="24"/>
        </w:rPr>
        <w:t>)</w:t>
      </w:r>
      <w:r w:rsidRPr="00FC3438">
        <w:rPr>
          <w:szCs w:val="24"/>
        </w:rPr>
        <w:t xml:space="preserve"> MW.  If the Resource’s RTBM </w:t>
      </w:r>
      <w:r w:rsidR="00A259C0">
        <w:rPr>
          <w:szCs w:val="24"/>
        </w:rPr>
        <w:t>Max ECOL</w:t>
      </w:r>
      <w:r w:rsidRPr="00FC3438">
        <w:rPr>
          <w:szCs w:val="24"/>
        </w:rPr>
        <w:t xml:space="preserve"> is less than or equal to </w:t>
      </w:r>
      <w:r>
        <w:rPr>
          <w:szCs w:val="24"/>
        </w:rPr>
        <w:t>fifty</w:t>
      </w:r>
      <w:r w:rsidRPr="00FC3438">
        <w:rPr>
          <w:szCs w:val="24"/>
        </w:rPr>
        <w:t xml:space="preserve"> </w:t>
      </w:r>
      <w:r>
        <w:rPr>
          <w:szCs w:val="24"/>
        </w:rPr>
        <w:t>(</w:t>
      </w:r>
      <w:r w:rsidRPr="00FC3438">
        <w:rPr>
          <w:szCs w:val="24"/>
        </w:rPr>
        <w:t>50</w:t>
      </w:r>
      <w:r>
        <w:rPr>
          <w:szCs w:val="24"/>
        </w:rPr>
        <w:t>)</w:t>
      </w:r>
      <w:r w:rsidRPr="00FC3438">
        <w:rPr>
          <w:szCs w:val="24"/>
        </w:rPr>
        <w:t xml:space="preserve"> MW, the Resource’s Operating Tolerance in each Dispatch Interval is equal to the Resource’s RTBM </w:t>
      </w:r>
      <w:r w:rsidR="00A259C0">
        <w:rPr>
          <w:szCs w:val="24"/>
        </w:rPr>
        <w:t>Max ECOL</w:t>
      </w:r>
      <w:r w:rsidRPr="00FC3438">
        <w:rPr>
          <w:szCs w:val="24"/>
        </w:rPr>
        <w:t xml:space="preserve"> multiplied by </w:t>
      </w:r>
      <w:r>
        <w:rPr>
          <w:szCs w:val="24"/>
        </w:rPr>
        <w:t>ten percent (</w:t>
      </w:r>
      <w:r w:rsidRPr="00FC3438">
        <w:rPr>
          <w:szCs w:val="24"/>
        </w:rPr>
        <w:t>10%</w:t>
      </w:r>
      <w:r>
        <w:rPr>
          <w:szCs w:val="24"/>
        </w:rPr>
        <w:t>)</w:t>
      </w:r>
      <w:r w:rsidRPr="00FC3438">
        <w:rPr>
          <w:szCs w:val="24"/>
        </w:rPr>
        <w:t>.</w:t>
      </w:r>
    </w:p>
    <w:p w14:paraId="363E3429" w14:textId="77777777" w:rsidR="00F83CA0" w:rsidRPr="00FC3438" w:rsidRDefault="00F83CA0" w:rsidP="00EE45E7">
      <w:pPr>
        <w:numPr>
          <w:ilvl w:val="0"/>
          <w:numId w:val="113"/>
        </w:numPr>
        <w:spacing w:before="120" w:line="300" w:lineRule="auto"/>
        <w:ind w:left="2160" w:hanging="720"/>
        <w:rPr>
          <w:szCs w:val="24"/>
        </w:rPr>
      </w:pPr>
      <w:r w:rsidRPr="00FC3438">
        <w:rPr>
          <w:szCs w:val="24"/>
        </w:rPr>
        <w:t xml:space="preserve">If the absolute value of an MSR’s RTBM Maximum Charge Limit and the Maximum Discharge Limit is greater than fifty (50) MW, the Operating Tolerance in each Dispatch Interval is equal to the greater of the absolute value of the RTBM Maximum Charge Limit and the Maximum Discharge Limit multiplied by </w:t>
      </w:r>
      <w:r>
        <w:rPr>
          <w:szCs w:val="24"/>
        </w:rPr>
        <w:t>five percent (</w:t>
      </w:r>
      <w:r w:rsidRPr="00FC3438">
        <w:rPr>
          <w:szCs w:val="24"/>
        </w:rPr>
        <w:t>5%</w:t>
      </w:r>
      <w:r>
        <w:rPr>
          <w:szCs w:val="24"/>
        </w:rPr>
        <w:t>)</w:t>
      </w:r>
      <w:r w:rsidRPr="00FC3438">
        <w:rPr>
          <w:szCs w:val="24"/>
        </w:rPr>
        <w:t xml:space="preserve">, subject to a minimum of </w:t>
      </w:r>
      <w:r>
        <w:rPr>
          <w:szCs w:val="24"/>
        </w:rPr>
        <w:t>five (</w:t>
      </w:r>
      <w:r w:rsidRPr="00FC3438">
        <w:rPr>
          <w:szCs w:val="24"/>
        </w:rPr>
        <w:t>5</w:t>
      </w:r>
      <w:r>
        <w:rPr>
          <w:szCs w:val="24"/>
        </w:rPr>
        <w:t>)</w:t>
      </w:r>
      <w:r w:rsidRPr="00FC3438">
        <w:rPr>
          <w:szCs w:val="24"/>
        </w:rPr>
        <w:t xml:space="preserve"> MW and a maximum of </w:t>
      </w:r>
      <w:r>
        <w:rPr>
          <w:szCs w:val="24"/>
        </w:rPr>
        <w:t>twenty (</w:t>
      </w:r>
      <w:r w:rsidRPr="00FC3438">
        <w:rPr>
          <w:szCs w:val="24"/>
        </w:rPr>
        <w:t>20</w:t>
      </w:r>
      <w:r>
        <w:rPr>
          <w:szCs w:val="24"/>
        </w:rPr>
        <w:t>)</w:t>
      </w:r>
      <w:r w:rsidRPr="00FC3438">
        <w:rPr>
          <w:szCs w:val="24"/>
        </w:rPr>
        <w:t xml:space="preserve"> MW.  If the greater of the absolute value of the RTBM Maximum Charge Limit or the Maximum Discharge Limit is less than or equal to fifty (50) MW, the Resource’s Operating Tolerance in each Dispatch Interval is equal to the greater of the absolute value of the RTBM Maximum Charge Limit and the Maximum Discharge Limit multiplied by ten percent (10%). </w:t>
      </w:r>
    </w:p>
    <w:p w14:paraId="0B63C896" w14:textId="051D09E8" w:rsidR="00F83CA0" w:rsidRPr="00FC3438" w:rsidRDefault="00F83CA0" w:rsidP="00EE45E7">
      <w:pPr>
        <w:numPr>
          <w:ilvl w:val="0"/>
          <w:numId w:val="113"/>
        </w:numPr>
        <w:tabs>
          <w:tab w:val="num" w:pos="1440"/>
        </w:tabs>
        <w:spacing w:before="120" w:line="300" w:lineRule="auto"/>
        <w:ind w:left="2160" w:hanging="720"/>
        <w:rPr>
          <w:szCs w:val="24"/>
        </w:rPr>
      </w:pPr>
      <w:r w:rsidRPr="00FC3438">
        <w:rPr>
          <w:szCs w:val="24"/>
        </w:rPr>
        <w:t xml:space="preserve">If Resources on a Common Bus </w:t>
      </w:r>
      <w:r>
        <w:rPr>
          <w:szCs w:val="24"/>
        </w:rPr>
        <w:t>have a</w:t>
      </w:r>
      <w:r w:rsidRPr="00FC3438">
        <w:rPr>
          <w:szCs w:val="24"/>
        </w:rPr>
        <w:t xml:space="preserve"> combined RTBM </w:t>
      </w:r>
      <w:r w:rsidR="00A259C0">
        <w:rPr>
          <w:szCs w:val="24"/>
        </w:rPr>
        <w:t>Max ECOL</w:t>
      </w:r>
      <w:r w:rsidR="00A259C0" w:rsidRPr="00FC3438">
        <w:rPr>
          <w:szCs w:val="24"/>
        </w:rPr>
        <w:t xml:space="preserve"> </w:t>
      </w:r>
      <w:r w:rsidRPr="00FC3438">
        <w:rPr>
          <w:szCs w:val="24"/>
        </w:rPr>
        <w:t xml:space="preserve">greater than </w:t>
      </w:r>
      <w:r>
        <w:rPr>
          <w:szCs w:val="24"/>
        </w:rPr>
        <w:t>fifty (</w:t>
      </w:r>
      <w:r w:rsidRPr="00FC3438">
        <w:rPr>
          <w:szCs w:val="24"/>
        </w:rPr>
        <w:t>50</w:t>
      </w:r>
      <w:r>
        <w:rPr>
          <w:szCs w:val="24"/>
        </w:rPr>
        <w:t>)</w:t>
      </w:r>
      <w:r w:rsidRPr="00FC3438">
        <w:rPr>
          <w:szCs w:val="24"/>
        </w:rPr>
        <w:t xml:space="preserve"> MW, the Operating Tolerance for each Asset Owner registered at a Common Bus is equal to the sum of that Asset Owner’s Resources’ RTBM </w:t>
      </w:r>
      <w:r w:rsidR="00A259C0">
        <w:rPr>
          <w:szCs w:val="24"/>
        </w:rPr>
        <w:t>Max ECOLs</w:t>
      </w:r>
      <w:r w:rsidR="00A259C0" w:rsidRPr="00FC3438">
        <w:rPr>
          <w:szCs w:val="24"/>
        </w:rPr>
        <w:t xml:space="preserve"> </w:t>
      </w:r>
      <w:r w:rsidRPr="00FC3438">
        <w:rPr>
          <w:szCs w:val="24"/>
        </w:rPr>
        <w:t xml:space="preserve">plus the greater of the absolute value of each MSR’s RTBM Maximum Charge Limit and the Maximum Discharge Limit for Resources that are on-line multiplied by </w:t>
      </w:r>
      <w:r>
        <w:rPr>
          <w:szCs w:val="24"/>
        </w:rPr>
        <w:t>five percent (</w:t>
      </w:r>
      <w:r w:rsidRPr="00FC3438">
        <w:rPr>
          <w:szCs w:val="24"/>
        </w:rPr>
        <w:t>5%</w:t>
      </w:r>
      <w:r>
        <w:rPr>
          <w:szCs w:val="24"/>
        </w:rPr>
        <w:t>)</w:t>
      </w:r>
      <w:r w:rsidRPr="00FC3438">
        <w:rPr>
          <w:szCs w:val="24"/>
        </w:rPr>
        <w:t xml:space="preserve">, subject to a minimum of </w:t>
      </w:r>
      <w:r>
        <w:rPr>
          <w:szCs w:val="24"/>
        </w:rPr>
        <w:t>five (</w:t>
      </w:r>
      <w:r w:rsidRPr="00FC3438">
        <w:rPr>
          <w:szCs w:val="24"/>
        </w:rPr>
        <w:t>5</w:t>
      </w:r>
      <w:r>
        <w:rPr>
          <w:szCs w:val="24"/>
        </w:rPr>
        <w:t>)</w:t>
      </w:r>
      <w:r w:rsidRPr="00FC3438">
        <w:rPr>
          <w:szCs w:val="24"/>
        </w:rPr>
        <w:t xml:space="preserve"> MW and a maximum of </w:t>
      </w:r>
      <w:r>
        <w:rPr>
          <w:szCs w:val="24"/>
        </w:rPr>
        <w:t>twenty (</w:t>
      </w:r>
      <w:r w:rsidRPr="00FC3438">
        <w:rPr>
          <w:szCs w:val="24"/>
        </w:rPr>
        <w:t>20</w:t>
      </w:r>
      <w:r>
        <w:rPr>
          <w:szCs w:val="24"/>
        </w:rPr>
        <w:t>)</w:t>
      </w:r>
      <w:r w:rsidRPr="00FC3438">
        <w:rPr>
          <w:szCs w:val="24"/>
        </w:rPr>
        <w:t xml:space="preserve"> MW.  If the Resources’ combined </w:t>
      </w:r>
      <w:r w:rsidR="00A259C0">
        <w:rPr>
          <w:szCs w:val="24"/>
        </w:rPr>
        <w:t>Max ECOL</w:t>
      </w:r>
      <w:r w:rsidRPr="00FC3438">
        <w:rPr>
          <w:szCs w:val="24"/>
        </w:rPr>
        <w:t xml:space="preserve"> is less than or equal to fifty (50) MW, the Operating Tolerance for each Market Participant registered at a Common Bus is equal to the sum of that Market Participant’s Resources’ RTBM </w:t>
      </w:r>
      <w:r w:rsidR="00A259C0">
        <w:rPr>
          <w:szCs w:val="24"/>
        </w:rPr>
        <w:t>Max ECOLs</w:t>
      </w:r>
      <w:r w:rsidR="00A259C0" w:rsidRPr="00FC3438">
        <w:rPr>
          <w:szCs w:val="24"/>
        </w:rPr>
        <w:t xml:space="preserve"> </w:t>
      </w:r>
      <w:r w:rsidRPr="00FC3438">
        <w:rPr>
          <w:szCs w:val="24"/>
        </w:rPr>
        <w:t>for Resources that are on-line multiplied by ten percent (10%).</w:t>
      </w:r>
    </w:p>
    <w:p w14:paraId="0E12E51B" w14:textId="5F9A89C9" w:rsidR="00F83CA0" w:rsidRPr="00FC3438" w:rsidRDefault="00F83CA0" w:rsidP="00EE45E7">
      <w:pPr>
        <w:numPr>
          <w:ilvl w:val="0"/>
          <w:numId w:val="113"/>
        </w:numPr>
        <w:tabs>
          <w:tab w:val="num" w:pos="2160"/>
        </w:tabs>
        <w:spacing w:before="120" w:line="300" w:lineRule="auto"/>
        <w:ind w:left="2160" w:hanging="720"/>
        <w:rPr>
          <w:szCs w:val="24"/>
        </w:rPr>
      </w:pPr>
      <w:r w:rsidRPr="00FC3438">
        <w:rPr>
          <w:szCs w:val="24"/>
        </w:rPr>
        <w:t xml:space="preserve">If  a Resource’s URD is greater than the Resource’s </w:t>
      </w:r>
      <w:r w:rsidR="004863F2">
        <w:rPr>
          <w:szCs w:val="24"/>
        </w:rPr>
        <w:t xml:space="preserve">High Operating Tolerance or </w:t>
      </w:r>
      <w:r w:rsidR="003543D1">
        <w:rPr>
          <w:szCs w:val="24"/>
        </w:rPr>
        <w:t>less</w:t>
      </w:r>
      <w:r w:rsidR="004863F2">
        <w:rPr>
          <w:szCs w:val="24"/>
        </w:rPr>
        <w:t xml:space="preserve"> than a Resource’s Low Operating Tolerance</w:t>
      </w:r>
      <w:r w:rsidRPr="00FC3438">
        <w:rPr>
          <w:szCs w:val="24"/>
        </w:rPr>
        <w:t xml:space="preserve"> in any Dispatch Interval, the Resource URD / 12 is included in the hourly allocation of RUC make whole payment cost allocation.  The hourly URD amount is calculated as the sum of Dispatch Interval URD for the hour.    Additionally, if that Resource was eligible to receive a RUC make whole payment, the payment may be reduced.    </w:t>
      </w:r>
    </w:p>
    <w:p w14:paraId="05EC02A5" w14:textId="0225AEAB" w:rsidR="00F83CA0" w:rsidDel="004863F2" w:rsidRDefault="00F06B8B" w:rsidP="00EE45E7">
      <w:pPr>
        <w:pStyle w:val="Normal119"/>
        <w:numPr>
          <w:ilvl w:val="0"/>
          <w:numId w:val="113"/>
        </w:numPr>
        <w:tabs>
          <w:tab w:val="clear" w:pos="360"/>
        </w:tabs>
        <w:spacing w:line="360" w:lineRule="auto"/>
        <w:ind w:left="2160" w:hanging="720"/>
      </w:pPr>
      <w:r w:rsidDel="004863F2">
        <w:t xml:space="preserve">A </w:t>
      </w:r>
      <w:r w:rsidR="00F83CA0" w:rsidRPr="001B3E8A" w:rsidDel="004863F2">
        <w:t>Resource’s Operating Tolerance in each Dispatch Interval is adjusted by the quantity of ancillary service being deployed on the Resource as communicated by the Market Participant in real-time for the Dispatch Interval</w:t>
      </w:r>
      <w:r w:rsidR="00F83CA0" w:rsidDel="004863F2">
        <w:t>.</w:t>
      </w:r>
    </w:p>
    <w:p w14:paraId="69547267" w14:textId="61E6D8AF" w:rsidR="00F83CA0" w:rsidRPr="00FC3438" w:rsidRDefault="00F83CA0" w:rsidP="00574654">
      <w:pPr>
        <w:pStyle w:val="Heading5"/>
      </w:pPr>
      <w:bookmarkStart w:id="4233" w:name="_Toc212633361"/>
      <w:bookmarkStart w:id="4234" w:name="_Toc212634042"/>
      <w:bookmarkStart w:id="4235" w:name="_Toc213746417"/>
      <w:bookmarkStart w:id="4236" w:name="_Toc213771882"/>
      <w:bookmarkEnd w:id="4233"/>
      <w:bookmarkEnd w:id="4234"/>
      <w:bookmarkEnd w:id="4235"/>
      <w:bookmarkEnd w:id="4236"/>
      <w:r w:rsidRPr="001B3E8A">
        <w:rPr>
          <w:szCs w:val="24"/>
        </w:rPr>
        <w:t xml:space="preserve"> </w:t>
      </w:r>
      <w:bookmarkStart w:id="4237" w:name="_Toc159232368"/>
      <w:bookmarkStart w:id="4238" w:name="_Ref160198880"/>
      <w:bookmarkStart w:id="4239" w:name="_Ref160444299"/>
      <w:bookmarkStart w:id="4240" w:name="_Ref212128018"/>
      <w:bookmarkStart w:id="4241" w:name="_Ref212553197"/>
      <w:bookmarkStart w:id="4242" w:name="_Ref212553245"/>
      <w:bookmarkStart w:id="4243" w:name="_Ref212632370"/>
      <w:bookmarkStart w:id="4244" w:name="_Toc213771883"/>
      <w:r w:rsidRPr="00FC3438">
        <w:t>URD Exemptions</w:t>
      </w:r>
      <w:bookmarkEnd w:id="4223"/>
      <w:bookmarkEnd w:id="4224"/>
      <w:bookmarkEnd w:id="4225"/>
      <w:bookmarkEnd w:id="4226"/>
      <w:bookmarkEnd w:id="4227"/>
      <w:bookmarkEnd w:id="4228"/>
      <w:bookmarkEnd w:id="4229"/>
      <w:bookmarkEnd w:id="4230"/>
      <w:bookmarkEnd w:id="4231"/>
      <w:bookmarkEnd w:id="4232"/>
      <w:bookmarkEnd w:id="4237"/>
      <w:bookmarkEnd w:id="4238"/>
      <w:bookmarkEnd w:id="4239"/>
      <w:bookmarkEnd w:id="4240"/>
      <w:bookmarkEnd w:id="4241"/>
      <w:bookmarkEnd w:id="4242"/>
      <w:bookmarkEnd w:id="4243"/>
      <w:bookmarkEnd w:id="4244"/>
    </w:p>
    <w:p w14:paraId="67B5B6B4" w14:textId="77777777" w:rsidR="00F83CA0" w:rsidRPr="00FC3438" w:rsidRDefault="00F83CA0" w:rsidP="00F83CA0">
      <w:pPr>
        <w:spacing w:before="120" w:line="300" w:lineRule="auto"/>
        <w:rPr>
          <w:szCs w:val="24"/>
        </w:rPr>
      </w:pPr>
      <w:r w:rsidRPr="00FC3438">
        <w:rPr>
          <w:szCs w:val="24"/>
        </w:rPr>
        <w:t>A Resource will receive a URD exemption in a Dispatch Interval under the following situations</w:t>
      </w:r>
      <w:r w:rsidRPr="00FC3438">
        <w:rPr>
          <w:w w:val="0"/>
          <w:szCs w:val="24"/>
        </w:rPr>
        <w:t>:</w:t>
      </w:r>
      <w:r w:rsidRPr="00FC3438">
        <w:rPr>
          <w:szCs w:val="24"/>
        </w:rPr>
        <w:t xml:space="preserve"> </w:t>
      </w:r>
    </w:p>
    <w:p w14:paraId="412EF6B3" w14:textId="77777777" w:rsidR="00F83CA0" w:rsidRPr="00FC3438" w:rsidRDefault="00F83CA0" w:rsidP="00EE45E7">
      <w:pPr>
        <w:numPr>
          <w:ilvl w:val="0"/>
          <w:numId w:val="107"/>
        </w:numPr>
        <w:tabs>
          <w:tab w:val="clear" w:pos="360"/>
          <w:tab w:val="num" w:pos="720"/>
        </w:tabs>
        <w:spacing w:before="120" w:line="300" w:lineRule="auto"/>
        <w:ind w:left="720" w:hanging="540"/>
        <w:rPr>
          <w:bCs/>
          <w:w w:val="0"/>
          <w:szCs w:val="24"/>
        </w:rPr>
      </w:pPr>
      <w:r w:rsidRPr="00FC3438">
        <w:rPr>
          <w:bCs/>
          <w:w w:val="0"/>
          <w:szCs w:val="24"/>
        </w:rPr>
        <w:t xml:space="preserve">The Resource trips or is derated after receiving </w:t>
      </w:r>
      <w:r w:rsidRPr="00FC3438" w:rsidDel="00A77FA7">
        <w:rPr>
          <w:bCs/>
          <w:w w:val="0"/>
          <w:szCs w:val="24"/>
        </w:rPr>
        <w:t xml:space="preserve">Dispatch </w:t>
      </w:r>
      <w:r w:rsidRPr="00FC3438">
        <w:rPr>
          <w:bCs/>
          <w:w w:val="0"/>
          <w:szCs w:val="24"/>
        </w:rPr>
        <w:t>Targets;</w:t>
      </w:r>
    </w:p>
    <w:p w14:paraId="41BB0CAA" w14:textId="77777777" w:rsidR="00F83CA0" w:rsidRPr="00FC3438" w:rsidRDefault="00F83CA0" w:rsidP="00EE45E7">
      <w:pPr>
        <w:numPr>
          <w:ilvl w:val="0"/>
          <w:numId w:val="107"/>
        </w:numPr>
        <w:tabs>
          <w:tab w:val="clear" w:pos="360"/>
          <w:tab w:val="num" w:pos="720"/>
        </w:tabs>
        <w:spacing w:before="120" w:line="300" w:lineRule="auto"/>
        <w:ind w:left="720" w:hanging="540"/>
        <w:rPr>
          <w:bCs/>
          <w:w w:val="0"/>
          <w:szCs w:val="24"/>
        </w:rPr>
      </w:pPr>
      <w:r w:rsidRPr="00FC3438">
        <w:rPr>
          <w:bCs/>
          <w:w w:val="0"/>
          <w:szCs w:val="24"/>
        </w:rPr>
        <w:t>There is missing or bad Resource SCADA data in the Dispatch Interval;</w:t>
      </w:r>
    </w:p>
    <w:p w14:paraId="3FE1B537" w14:textId="594798ED" w:rsidR="00F83CA0" w:rsidRPr="00FC3438" w:rsidRDefault="00F83CA0" w:rsidP="00EE45E7">
      <w:pPr>
        <w:numPr>
          <w:ilvl w:val="0"/>
          <w:numId w:val="107"/>
        </w:numPr>
        <w:tabs>
          <w:tab w:val="clear" w:pos="360"/>
        </w:tabs>
        <w:spacing w:before="120" w:line="300" w:lineRule="auto"/>
        <w:ind w:left="720" w:hanging="540"/>
        <w:rPr>
          <w:bCs/>
          <w:w w:val="0"/>
          <w:szCs w:val="24"/>
        </w:rPr>
      </w:pPr>
      <w:r w:rsidRPr="00F927F0">
        <w:rPr>
          <w:bCs/>
          <w:w w:val="0"/>
          <w:szCs w:val="24"/>
        </w:rPr>
        <w:t xml:space="preserve">If during </w:t>
      </w:r>
      <w:r w:rsidRPr="00C2748C">
        <w:rPr>
          <w:w w:val="0"/>
          <w:szCs w:val="24"/>
        </w:rPr>
        <w:t>Emergency Conditions</w:t>
      </w:r>
      <w:r w:rsidRPr="00F927F0">
        <w:rPr>
          <w:bCs/>
          <w:w w:val="0"/>
          <w:szCs w:val="24"/>
        </w:rPr>
        <w:t xml:space="preserve"> the URD is due to a Resource output above the Resource’s </w:t>
      </w:r>
      <w:r>
        <w:rPr>
          <w:bCs/>
          <w:w w:val="0"/>
          <w:szCs w:val="24"/>
        </w:rPr>
        <w:t>Dispatch Target</w:t>
      </w:r>
      <w:r w:rsidRPr="00F927F0">
        <w:rPr>
          <w:bCs/>
          <w:w w:val="0"/>
          <w:szCs w:val="24"/>
        </w:rPr>
        <w:t xml:space="preserve"> in a shortage condition or the URD is due to a</w:t>
      </w:r>
      <w:r>
        <w:rPr>
          <w:bCs/>
          <w:w w:val="0"/>
          <w:szCs w:val="24"/>
        </w:rPr>
        <w:t xml:space="preserve"> </w:t>
      </w:r>
      <w:r w:rsidRPr="00F927F0">
        <w:rPr>
          <w:bCs/>
          <w:w w:val="0"/>
          <w:szCs w:val="24"/>
        </w:rPr>
        <w:t xml:space="preserve">Resource output below the Resource’s </w:t>
      </w:r>
      <w:r>
        <w:rPr>
          <w:bCs/>
          <w:w w:val="0"/>
          <w:szCs w:val="24"/>
        </w:rPr>
        <w:t>D</w:t>
      </w:r>
      <w:r w:rsidRPr="00F927F0">
        <w:rPr>
          <w:bCs/>
          <w:w w:val="0"/>
          <w:szCs w:val="24"/>
        </w:rPr>
        <w:t xml:space="preserve">ispatch </w:t>
      </w:r>
      <w:r>
        <w:rPr>
          <w:bCs/>
          <w:w w:val="0"/>
          <w:szCs w:val="24"/>
        </w:rPr>
        <w:t>Target</w:t>
      </w:r>
      <w:r w:rsidRPr="00F927F0">
        <w:rPr>
          <w:bCs/>
          <w:w w:val="0"/>
          <w:szCs w:val="24"/>
        </w:rPr>
        <w:t xml:space="preserve"> during an excess</w:t>
      </w:r>
      <w:r>
        <w:rPr>
          <w:bCs/>
          <w:w w:val="0"/>
          <w:szCs w:val="24"/>
        </w:rPr>
        <w:t xml:space="preserve"> </w:t>
      </w:r>
      <w:r w:rsidRPr="00F927F0">
        <w:rPr>
          <w:bCs/>
          <w:w w:val="0"/>
          <w:szCs w:val="24"/>
        </w:rPr>
        <w:t xml:space="preserve">generation condition; </w:t>
      </w:r>
    </w:p>
    <w:p w14:paraId="50F1E88E" w14:textId="77777777" w:rsidR="00F83CA0" w:rsidRPr="00FC3438" w:rsidRDefault="00F83CA0" w:rsidP="00EE45E7">
      <w:pPr>
        <w:numPr>
          <w:ilvl w:val="0"/>
          <w:numId w:val="107"/>
        </w:numPr>
        <w:tabs>
          <w:tab w:val="clear" w:pos="360"/>
          <w:tab w:val="num" w:pos="720"/>
        </w:tabs>
        <w:spacing w:before="120" w:line="300" w:lineRule="auto"/>
        <w:ind w:left="720" w:hanging="540"/>
        <w:rPr>
          <w:w w:val="0"/>
          <w:szCs w:val="24"/>
        </w:rPr>
      </w:pPr>
      <w:r w:rsidRPr="00FC3438">
        <w:rPr>
          <w:bCs/>
          <w:w w:val="0"/>
          <w:szCs w:val="24"/>
        </w:rPr>
        <w:t>If a</w:t>
      </w:r>
      <w:r w:rsidRPr="00FC3438" w:rsidDel="00A77FA7">
        <w:rPr>
          <w:bCs/>
          <w:w w:val="0"/>
          <w:szCs w:val="24"/>
        </w:rPr>
        <w:t xml:space="preserve"> </w:t>
      </w:r>
      <w:r>
        <w:rPr>
          <w:bCs/>
          <w:w w:val="0"/>
          <w:szCs w:val="24"/>
        </w:rPr>
        <w:t>Setpoint</w:t>
      </w:r>
      <w:r w:rsidRPr="00FC3438">
        <w:rPr>
          <w:bCs/>
          <w:w w:val="0"/>
          <w:szCs w:val="24"/>
        </w:rPr>
        <w:t xml:space="preserve"> Target is issued to a Resource beyond the reported capabilities due to the application of a VRL;</w:t>
      </w:r>
    </w:p>
    <w:p w14:paraId="6B7366CD" w14:textId="0ABB3FAC" w:rsidR="00F83CA0" w:rsidRPr="00764820" w:rsidRDefault="00F83CA0" w:rsidP="00EE45E7">
      <w:pPr>
        <w:numPr>
          <w:ilvl w:val="0"/>
          <w:numId w:val="107"/>
        </w:numPr>
        <w:tabs>
          <w:tab w:val="clear" w:pos="360"/>
          <w:tab w:val="num" w:pos="720"/>
        </w:tabs>
        <w:spacing w:before="120" w:line="300" w:lineRule="auto"/>
        <w:ind w:left="720" w:hanging="540"/>
        <w:rPr>
          <w:w w:val="0"/>
          <w:szCs w:val="24"/>
        </w:rPr>
      </w:pPr>
      <w:r w:rsidRPr="00764820">
        <w:rPr>
          <w:w w:val="0"/>
          <w:szCs w:val="24"/>
        </w:rPr>
        <w:t xml:space="preserve">If the URD results from an event of Force Majeure as defined in </w:t>
      </w:r>
      <w:r>
        <w:rPr>
          <w:w w:val="0"/>
          <w:szCs w:val="24"/>
        </w:rPr>
        <w:t>Markets+ Tariff</w:t>
      </w:r>
      <w:r w:rsidRPr="00764820">
        <w:rPr>
          <w:w w:val="0"/>
          <w:szCs w:val="24"/>
        </w:rPr>
        <w:t xml:space="preserve"> or, in the case of a Variable Energy Resource, if the URD results from extreme weather-related conditions materially and directly impacting a Variable Energy Resource’s ability to provide or reduce output of Energy.  Market initiated curtailments do not qualify;</w:t>
      </w:r>
    </w:p>
    <w:p w14:paraId="453BB0CC" w14:textId="77777777" w:rsidR="00F83CA0" w:rsidRPr="00FC3438" w:rsidRDefault="00F83CA0" w:rsidP="00EE45E7">
      <w:pPr>
        <w:numPr>
          <w:ilvl w:val="0"/>
          <w:numId w:val="107"/>
        </w:numPr>
        <w:tabs>
          <w:tab w:val="clear" w:pos="360"/>
          <w:tab w:val="num" w:pos="720"/>
        </w:tabs>
        <w:spacing w:before="120" w:line="300" w:lineRule="auto"/>
        <w:ind w:left="720" w:hanging="540"/>
        <w:rPr>
          <w:w w:val="0"/>
          <w:szCs w:val="24"/>
        </w:rPr>
      </w:pPr>
      <w:r w:rsidRPr="00FC3438">
        <w:rPr>
          <w:w w:val="0"/>
          <w:szCs w:val="24"/>
        </w:rPr>
        <w:t xml:space="preserve">The Resource is issued an OOME instruction for </w:t>
      </w:r>
      <w:r>
        <w:rPr>
          <w:w w:val="0"/>
          <w:szCs w:val="24"/>
        </w:rPr>
        <w:t>E</w:t>
      </w:r>
      <w:r w:rsidRPr="00FC3438">
        <w:rPr>
          <w:w w:val="0"/>
          <w:szCs w:val="24"/>
        </w:rPr>
        <w:t>nergy</w:t>
      </w:r>
      <w:r>
        <w:rPr>
          <w:w w:val="0"/>
          <w:szCs w:val="24"/>
        </w:rPr>
        <w:t>; or</w:t>
      </w:r>
    </w:p>
    <w:p w14:paraId="1DFA525C" w14:textId="710D39FB" w:rsidR="00F83CA0" w:rsidRPr="00FC3438" w:rsidRDefault="00F83CA0" w:rsidP="00EE45E7">
      <w:pPr>
        <w:numPr>
          <w:ilvl w:val="0"/>
          <w:numId w:val="107"/>
        </w:numPr>
        <w:tabs>
          <w:tab w:val="clear" w:pos="360"/>
          <w:tab w:val="num" w:pos="720"/>
        </w:tabs>
        <w:spacing w:before="120" w:line="300" w:lineRule="auto"/>
        <w:ind w:left="720" w:hanging="540"/>
        <w:rPr>
          <w:w w:val="0"/>
          <w:szCs w:val="24"/>
        </w:rPr>
      </w:pPr>
      <w:r w:rsidRPr="00FC3438">
        <w:rPr>
          <w:bCs/>
          <w:w w:val="0"/>
          <w:szCs w:val="24"/>
        </w:rPr>
        <w:t xml:space="preserve">If the Resource is part of a Common Bus and the URD calculated at the Common Bus is less than the </w:t>
      </w:r>
      <w:r w:rsidR="004863F2">
        <w:rPr>
          <w:bCs/>
          <w:w w:val="0"/>
          <w:szCs w:val="24"/>
        </w:rPr>
        <w:t xml:space="preserve">High </w:t>
      </w:r>
      <w:r w:rsidRPr="00FC3438">
        <w:rPr>
          <w:bCs/>
          <w:w w:val="0"/>
          <w:szCs w:val="24"/>
        </w:rPr>
        <w:t>Operating Tolerance</w:t>
      </w:r>
      <w:r w:rsidR="004863F2">
        <w:rPr>
          <w:bCs/>
          <w:w w:val="0"/>
          <w:szCs w:val="24"/>
        </w:rPr>
        <w:t xml:space="preserve"> or less than the Low Operating Tolerance</w:t>
      </w:r>
      <w:r w:rsidRPr="00FC3438">
        <w:rPr>
          <w:bCs/>
          <w:w w:val="0"/>
          <w:szCs w:val="24"/>
        </w:rPr>
        <w:t xml:space="preserve"> calculated at the Common Bus</w:t>
      </w:r>
      <w:r>
        <w:rPr>
          <w:bCs/>
          <w:w w:val="0"/>
          <w:szCs w:val="24"/>
        </w:rPr>
        <w:t>.</w:t>
      </w:r>
    </w:p>
    <w:p w14:paraId="27365B81" w14:textId="17626740" w:rsidR="00F83CA0" w:rsidRPr="00FC3438" w:rsidRDefault="00F83CA0" w:rsidP="00F83CA0">
      <w:pPr>
        <w:autoSpaceDE w:val="0"/>
        <w:autoSpaceDN w:val="0"/>
        <w:adjustRightInd w:val="0"/>
        <w:spacing w:before="120" w:line="300" w:lineRule="auto"/>
        <w:rPr>
          <w:szCs w:val="24"/>
        </w:rPr>
      </w:pPr>
      <w:r w:rsidRPr="00FC3438">
        <w:rPr>
          <w:szCs w:val="24"/>
        </w:rPr>
        <w:t xml:space="preserve">In the event a Resource does not receive a URD exemption in a Dispatch Interval, the Market Participant may provide </w:t>
      </w:r>
      <w:r>
        <w:rPr>
          <w:szCs w:val="24"/>
        </w:rPr>
        <w:t>the Market Operator</w:t>
      </w:r>
      <w:r w:rsidRPr="00FC3438">
        <w:rPr>
          <w:szCs w:val="24"/>
        </w:rPr>
        <w:t xml:space="preserve"> with adequate documentation through the dispute process in order for the Market Participant to be eligible to avoid such </w:t>
      </w:r>
      <w:r>
        <w:rPr>
          <w:szCs w:val="24"/>
        </w:rPr>
        <w:t>URD</w:t>
      </w:r>
      <w:r w:rsidRPr="00FC3438">
        <w:rPr>
          <w:szCs w:val="24"/>
        </w:rPr>
        <w:t xml:space="preserve">.  </w:t>
      </w:r>
      <w:r>
        <w:rPr>
          <w:szCs w:val="24"/>
        </w:rPr>
        <w:t>The Market Operator</w:t>
      </w:r>
      <w:r w:rsidRPr="00FC3438">
        <w:rPr>
          <w:szCs w:val="24"/>
        </w:rPr>
        <w:t xml:space="preserve"> </w:t>
      </w:r>
      <w:r>
        <w:rPr>
          <w:szCs w:val="24"/>
        </w:rPr>
        <w:t>will</w:t>
      </w:r>
      <w:r w:rsidRPr="00FC3438">
        <w:rPr>
          <w:szCs w:val="24"/>
        </w:rPr>
        <w:t xml:space="preserve"> determine through the dispute process whether an exemption will be given.  Adequate documentation may include</w:t>
      </w:r>
      <w:r w:rsidR="00C2748C">
        <w:rPr>
          <w:szCs w:val="24"/>
        </w:rPr>
        <w:t>,</w:t>
      </w:r>
      <w:r w:rsidRPr="00FC3438">
        <w:rPr>
          <w:szCs w:val="24"/>
        </w:rPr>
        <w:t xml:space="preserve"> but is not limited to</w:t>
      </w:r>
      <w:r w:rsidR="00C2748C">
        <w:rPr>
          <w:szCs w:val="24"/>
        </w:rPr>
        <w:t>,</w:t>
      </w:r>
      <w:r w:rsidRPr="00FC3438">
        <w:rPr>
          <w:szCs w:val="24"/>
        </w:rPr>
        <w:t xml:space="preserve"> an audio file documenting a call between the Market Participant and </w:t>
      </w:r>
      <w:r>
        <w:rPr>
          <w:szCs w:val="24"/>
        </w:rPr>
        <w:t>the Market Operator</w:t>
      </w:r>
      <w:r w:rsidRPr="00FC3438">
        <w:rPr>
          <w:szCs w:val="24"/>
        </w:rPr>
        <w:t>.</w:t>
      </w:r>
    </w:p>
    <w:p w14:paraId="6B6133A9" w14:textId="77777777" w:rsidR="00F83CA0" w:rsidRPr="00FC3438" w:rsidRDefault="00F83CA0" w:rsidP="00574654">
      <w:pPr>
        <w:pStyle w:val="Heading5"/>
      </w:pPr>
      <w:bookmarkStart w:id="4245" w:name="_Toc159232369"/>
      <w:bookmarkStart w:id="4246" w:name="_Ref160444292"/>
      <w:bookmarkStart w:id="4247" w:name="_Toc213771884"/>
      <w:r w:rsidRPr="00FC3438">
        <w:t>Load Deviation Exemptions</w:t>
      </w:r>
      <w:bookmarkEnd w:id="4245"/>
      <w:bookmarkEnd w:id="4246"/>
      <w:bookmarkEnd w:id="4247"/>
    </w:p>
    <w:p w14:paraId="0B07C565" w14:textId="046D9BD0" w:rsidR="003F0246" w:rsidRDefault="00F83CA0" w:rsidP="00F83CA0">
      <w:pPr>
        <w:spacing w:before="120" w:line="300" w:lineRule="auto"/>
        <w:rPr>
          <w:bCs/>
          <w:w w:val="0"/>
          <w:szCs w:val="24"/>
        </w:rPr>
      </w:pPr>
      <w:r w:rsidRPr="00FC3438">
        <w:rPr>
          <w:szCs w:val="24"/>
        </w:rPr>
        <w:t xml:space="preserve">A load is exempt from deviation based charges for cost allocation of RUC MWP </w:t>
      </w:r>
      <w:r>
        <w:rPr>
          <w:bCs/>
          <w:w w:val="0"/>
          <w:szCs w:val="24"/>
        </w:rPr>
        <w:t>when t</w:t>
      </w:r>
      <w:r w:rsidRPr="00FC3438">
        <w:rPr>
          <w:bCs/>
          <w:w w:val="0"/>
          <w:szCs w:val="24"/>
        </w:rPr>
        <w:t>he load Real-Time Billing Meter Quantity is less than its Day-Ahead Market cleared quantity during a</w:t>
      </w:r>
      <w:r>
        <w:rPr>
          <w:bCs/>
          <w:w w:val="0"/>
          <w:szCs w:val="24"/>
        </w:rPr>
        <w:t xml:space="preserve">n </w:t>
      </w:r>
      <w:r w:rsidRPr="00C2748C">
        <w:rPr>
          <w:w w:val="0"/>
          <w:szCs w:val="24"/>
        </w:rPr>
        <w:t>Emergency Condition</w:t>
      </w:r>
      <w:r w:rsidRPr="00FC3438">
        <w:rPr>
          <w:bCs/>
          <w:w w:val="0"/>
          <w:szCs w:val="24"/>
        </w:rPr>
        <w:t>.</w:t>
      </w:r>
    </w:p>
    <w:p w14:paraId="7BFF299D" w14:textId="77777777" w:rsidR="003F0246" w:rsidRDefault="003F0246">
      <w:pPr>
        <w:spacing w:after="0"/>
        <w:jc w:val="left"/>
        <w:rPr>
          <w:bCs/>
          <w:w w:val="0"/>
          <w:szCs w:val="24"/>
        </w:rPr>
      </w:pPr>
      <w:r>
        <w:rPr>
          <w:bCs/>
          <w:w w:val="0"/>
          <w:szCs w:val="24"/>
        </w:rPr>
        <w:br w:type="page"/>
      </w:r>
    </w:p>
    <w:p w14:paraId="6EEAE6CB" w14:textId="77777777" w:rsidR="00B943FB" w:rsidRPr="009C6A8F" w:rsidRDefault="00B943FB" w:rsidP="00C20DF9">
      <w:pPr>
        <w:pStyle w:val="Heading2"/>
      </w:pPr>
      <w:bookmarkStart w:id="4248" w:name="_Toc213771885"/>
      <w:r w:rsidRPr="009C6A8F">
        <w:t>Post Operating Day and Settlement Activities</w:t>
      </w:r>
      <w:bookmarkEnd w:id="4248"/>
    </w:p>
    <w:p w14:paraId="44A4FE4B" w14:textId="5BFC2044" w:rsidR="00B943FB" w:rsidRPr="00375401" w:rsidRDefault="00B943FB" w:rsidP="00B943FB">
      <w:pPr>
        <w:spacing w:line="300" w:lineRule="auto"/>
        <w:rPr>
          <w:szCs w:val="24"/>
        </w:rPr>
      </w:pPr>
      <w:r w:rsidRPr="00375401">
        <w:rPr>
          <w:szCs w:val="24"/>
        </w:rPr>
        <w:t xml:space="preserve">Post Operating Day activities begin on the </w:t>
      </w:r>
      <w:r w:rsidR="00870D71">
        <w:rPr>
          <w:szCs w:val="24"/>
        </w:rPr>
        <w:t>Calendar</w:t>
      </w:r>
      <w:r w:rsidRPr="00375401">
        <w:rPr>
          <w:szCs w:val="24"/>
        </w:rPr>
        <w:t xml:space="preserve"> </w:t>
      </w:r>
      <w:r w:rsidR="00870D71">
        <w:rPr>
          <w:szCs w:val="24"/>
        </w:rPr>
        <w:t>D</w:t>
      </w:r>
      <w:r w:rsidRPr="00375401">
        <w:rPr>
          <w:szCs w:val="24"/>
        </w:rPr>
        <w:t xml:space="preserve">ay immediately following the Operating Day.  </w:t>
      </w:r>
      <w:r>
        <w:rPr>
          <w:szCs w:val="24"/>
        </w:rPr>
        <w:t>The</w:t>
      </w:r>
      <w:r w:rsidRPr="00375401">
        <w:rPr>
          <w:szCs w:val="24"/>
        </w:rPr>
        <w:t xml:space="preserve"> Settlement Statement process is outlined in Section </w:t>
      </w:r>
      <w:r w:rsidRPr="00375401">
        <w:rPr>
          <w:szCs w:val="24"/>
        </w:rPr>
        <w:fldChar w:fldCharType="begin"/>
      </w:r>
      <w:r w:rsidRPr="00375401">
        <w:rPr>
          <w:szCs w:val="24"/>
        </w:rPr>
        <w:instrText xml:space="preserve"> REF _Ref160443058 \r \h </w:instrText>
      </w:r>
      <w:r w:rsidRPr="00375401">
        <w:rPr>
          <w:szCs w:val="24"/>
        </w:rPr>
      </w:r>
      <w:r w:rsidRPr="00375401">
        <w:rPr>
          <w:szCs w:val="24"/>
        </w:rPr>
        <w:fldChar w:fldCharType="separate"/>
      </w:r>
      <w:r w:rsidRPr="00375401">
        <w:rPr>
          <w:szCs w:val="24"/>
        </w:rPr>
        <w:t>4.5.13</w:t>
      </w:r>
      <w:r w:rsidRPr="00375401">
        <w:rPr>
          <w:szCs w:val="24"/>
        </w:rPr>
        <w:fldChar w:fldCharType="end"/>
      </w:r>
      <w:r w:rsidR="00D24800">
        <w:rPr>
          <w:szCs w:val="24"/>
        </w:rPr>
        <w:t>.</w:t>
      </w:r>
      <w:r w:rsidRPr="00375401">
        <w:rPr>
          <w:szCs w:val="24"/>
        </w:rPr>
        <w:t xml:space="preserve"> Settlement Statements will be configurable by Market Participants to show hourly net amounts or to show that Market Participants</w:t>
      </w:r>
      <w:r w:rsidR="00821FCC">
        <w:rPr>
          <w:szCs w:val="24"/>
        </w:rPr>
        <w:t>’</w:t>
      </w:r>
      <w:r w:rsidRPr="00375401">
        <w:rPr>
          <w:szCs w:val="24"/>
        </w:rPr>
        <w:t xml:space="preserve"> hourly and sub-hourly billing quantities at each Settlement Location to be paid or credited resulting from the D</w:t>
      </w:r>
      <w:r>
        <w:rPr>
          <w:szCs w:val="24"/>
        </w:rPr>
        <w:t>ay-Ahead</w:t>
      </w:r>
      <w:r w:rsidRPr="00375401">
        <w:rPr>
          <w:szCs w:val="24"/>
        </w:rPr>
        <w:t xml:space="preserve"> Market and RTBM settlements. All charge types and billing determinants defined are available on the Settlement Statement and Settlement Determinant Report unless specifically excluded as identified in the table definitions under each charge type.  Settlement Invoices are issued on weekly basis.  </w:t>
      </w:r>
    </w:p>
    <w:p w14:paraId="08BC6987" w14:textId="10B888A8" w:rsidR="00B943FB" w:rsidRPr="00375401" w:rsidRDefault="00B943FB" w:rsidP="00B943FB">
      <w:pPr>
        <w:spacing w:line="300" w:lineRule="auto"/>
        <w:rPr>
          <w:szCs w:val="24"/>
        </w:rPr>
      </w:pPr>
      <w:r w:rsidRPr="00375401">
        <w:rPr>
          <w:szCs w:val="24"/>
        </w:rPr>
        <w:t>Metering standards associated with submittal of actual load and Resource Energy quantities are specified in Appendix A and</w:t>
      </w:r>
      <w:r w:rsidRPr="00375401">
        <w:t xml:space="preserve"> </w:t>
      </w:r>
      <w:r w:rsidRPr="00375401">
        <w:rPr>
          <w:szCs w:val="24"/>
        </w:rPr>
        <w:t>settlement data reporting processes are specified in Appendix B.</w:t>
      </w:r>
    </w:p>
    <w:p w14:paraId="3F291132" w14:textId="11EBA641" w:rsidR="00B943FB" w:rsidRPr="00375401" w:rsidRDefault="00B943FB" w:rsidP="00B943FB">
      <w:pPr>
        <w:spacing w:line="300" w:lineRule="auto"/>
        <w:rPr>
          <w:szCs w:val="24"/>
        </w:rPr>
      </w:pPr>
      <w:r w:rsidRPr="00375401">
        <w:rPr>
          <w:szCs w:val="24"/>
        </w:rPr>
        <w:t>Exhibit 4-1</w:t>
      </w:r>
      <w:r w:rsidR="00A013FA">
        <w:rPr>
          <w:szCs w:val="24"/>
        </w:rPr>
        <w:t>5</w:t>
      </w:r>
      <w:r w:rsidRPr="00375401">
        <w:rPr>
          <w:szCs w:val="24"/>
        </w:rPr>
        <w:t xml:space="preserve"> provides a representative overall timeline of Post Operating Day activities.</w:t>
      </w:r>
    </w:p>
    <w:p w14:paraId="25858B00" w14:textId="1855C623" w:rsidR="00B943FB" w:rsidRPr="00375401" w:rsidRDefault="00B943FB" w:rsidP="00B943FB">
      <w:pPr>
        <w:keepNext/>
        <w:spacing w:after="0"/>
        <w:jc w:val="center"/>
        <w:rPr>
          <w:b/>
          <w:szCs w:val="24"/>
        </w:rPr>
      </w:pPr>
      <w:r w:rsidRPr="00375401">
        <w:rPr>
          <w:b/>
          <w:szCs w:val="24"/>
        </w:rPr>
        <w:t xml:space="preserve">Exhibit </w:t>
      </w:r>
      <w:r w:rsidRPr="00375401">
        <w:rPr>
          <w:b/>
          <w:szCs w:val="24"/>
        </w:rPr>
        <w:fldChar w:fldCharType="begin"/>
      </w:r>
      <w:r w:rsidRPr="00375401">
        <w:rPr>
          <w:b/>
          <w:szCs w:val="24"/>
        </w:rPr>
        <w:instrText xml:space="preserve"> STYLEREF 1 \s </w:instrText>
      </w:r>
      <w:r w:rsidRPr="00375401">
        <w:rPr>
          <w:b/>
          <w:szCs w:val="24"/>
        </w:rPr>
        <w:fldChar w:fldCharType="separate"/>
      </w:r>
      <w:r w:rsidRPr="00375401">
        <w:rPr>
          <w:b/>
          <w:noProof/>
          <w:szCs w:val="24"/>
        </w:rPr>
        <w:t>4</w:t>
      </w:r>
      <w:r w:rsidRPr="00375401">
        <w:rPr>
          <w:b/>
          <w:szCs w:val="24"/>
        </w:rPr>
        <w:fldChar w:fldCharType="end"/>
      </w:r>
      <w:r w:rsidRPr="00375401">
        <w:rPr>
          <w:b/>
          <w:szCs w:val="24"/>
        </w:rPr>
        <w:noBreakHyphen/>
      </w:r>
      <w:r w:rsidR="00A013FA">
        <w:rPr>
          <w:b/>
          <w:szCs w:val="24"/>
        </w:rPr>
        <w:t>5</w:t>
      </w:r>
      <w:r w:rsidRPr="00375401">
        <w:rPr>
          <w:b/>
          <w:szCs w:val="24"/>
        </w:rPr>
        <w:t>: Post Operating Day Activities Timeline</w:t>
      </w:r>
    </w:p>
    <w:p w14:paraId="0F323EB1" w14:textId="77777777" w:rsidR="00B943FB" w:rsidRPr="00375401" w:rsidRDefault="00B943FB" w:rsidP="00B943FB">
      <w:pPr>
        <w:keepNext/>
        <w:spacing w:after="0"/>
        <w:jc w:val="center"/>
      </w:pPr>
    </w:p>
    <w:p w14:paraId="159BCEEA" w14:textId="77777777" w:rsidR="00B943FB" w:rsidRPr="00375401" w:rsidRDefault="00B943FB" w:rsidP="00B943FB">
      <w:pPr>
        <w:spacing w:after="0"/>
      </w:pPr>
      <w:r w:rsidRPr="00375401">
        <w:rPr>
          <w:noProof/>
        </w:rPr>
        <w:drawing>
          <wp:inline distT="0" distB="0" distL="0" distR="0" wp14:anchorId="462046DD" wp14:editId="5F4B63A6">
            <wp:extent cx="5943600" cy="2259330"/>
            <wp:effectExtent l="0" t="0" r="0" b="7620"/>
            <wp:docPr id="60" name="Picture 6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imeline&#10;&#10;Description automatically generated"/>
                    <pic:cNvPicPr/>
                  </pic:nvPicPr>
                  <pic:blipFill>
                    <a:blip r:embed="rId54"/>
                    <a:stretch>
                      <a:fillRect/>
                    </a:stretch>
                  </pic:blipFill>
                  <pic:spPr>
                    <a:xfrm>
                      <a:off x="0" y="0"/>
                      <a:ext cx="5943600" cy="2259330"/>
                    </a:xfrm>
                    <a:prstGeom prst="rect">
                      <a:avLst/>
                    </a:prstGeom>
                  </pic:spPr>
                </pic:pic>
              </a:graphicData>
            </a:graphic>
          </wp:inline>
        </w:drawing>
      </w:r>
    </w:p>
    <w:p w14:paraId="155DACD8" w14:textId="2D9EDADF" w:rsidR="00B943FB" w:rsidRPr="00375401" w:rsidRDefault="00B943FB" w:rsidP="00B943FB">
      <w:pPr>
        <w:spacing w:line="300" w:lineRule="auto"/>
        <w:rPr>
          <w:szCs w:val="24"/>
        </w:rPr>
      </w:pPr>
      <w:r w:rsidRPr="00375401">
        <w:rPr>
          <w:szCs w:val="24"/>
        </w:rPr>
        <w:t>A description of the</w:t>
      </w:r>
      <w:r w:rsidR="00966B55">
        <w:rPr>
          <w:szCs w:val="24"/>
        </w:rPr>
        <w:t xml:space="preserve"> Day-Ahead </w:t>
      </w:r>
      <w:r w:rsidRPr="00375401">
        <w:rPr>
          <w:szCs w:val="24"/>
        </w:rPr>
        <w:t xml:space="preserve">Market and RTBM settlements is provided in the following subsections. </w:t>
      </w:r>
    </w:p>
    <w:p w14:paraId="45BC9909" w14:textId="77777777" w:rsidR="00B943FB" w:rsidRDefault="00B943FB" w:rsidP="00CB5653">
      <w:pPr>
        <w:pStyle w:val="Heading3"/>
      </w:pPr>
      <w:bookmarkStart w:id="4249" w:name="_Toc245633996"/>
      <w:bookmarkStart w:id="4250" w:name="_Toc245634148"/>
      <w:bookmarkStart w:id="4251" w:name="_Toc245728038"/>
      <w:bookmarkStart w:id="4252" w:name="_Toc248644162"/>
      <w:bookmarkStart w:id="4253" w:name="_Toc258924896"/>
      <w:bookmarkStart w:id="4254" w:name="_Toc263173330"/>
      <w:bookmarkStart w:id="4255" w:name="_Toc263173623"/>
      <w:bookmarkStart w:id="4256" w:name="_Toc263173809"/>
      <w:bookmarkStart w:id="4257" w:name="_Toc263174190"/>
      <w:bookmarkStart w:id="4258" w:name="_Toc263235089"/>
      <w:bookmarkStart w:id="4259" w:name="_Toc263235732"/>
      <w:bookmarkStart w:id="4260" w:name="_Toc263429444"/>
      <w:bookmarkStart w:id="4261" w:name="_Toc263795483"/>
      <w:bookmarkStart w:id="4262" w:name="_Toc266869660"/>
      <w:bookmarkStart w:id="4263" w:name="_Toc159232429"/>
      <w:bookmarkStart w:id="4264" w:name="_Toc163908428"/>
      <w:bookmarkStart w:id="4265" w:name="_Toc166853387"/>
      <w:bookmarkStart w:id="4266" w:name="_Toc213771886"/>
      <w:r w:rsidRPr="009C6A8F">
        <w:t>Settlement Sign Conventions</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38F0DB64" w14:textId="5F2BCB11" w:rsidR="00464B14" w:rsidRPr="00464B14" w:rsidRDefault="00464B14" w:rsidP="00E94CBF">
      <w:pPr>
        <w:pStyle w:val="ParaText"/>
      </w:pPr>
      <w:r>
        <w:t xml:space="preserve">Moved to </w:t>
      </w:r>
      <w:r w:rsidR="00D0506A">
        <w:t xml:space="preserve">Markets+ Settlements </w:t>
      </w:r>
      <w:r>
        <w:t>Calculation Guide.</w:t>
      </w:r>
    </w:p>
    <w:p w14:paraId="13E2C8A0" w14:textId="3024D51C" w:rsidR="00B943FB" w:rsidRPr="00ED37BD" w:rsidRDefault="00B943FB" w:rsidP="00CB5653">
      <w:pPr>
        <w:pStyle w:val="Heading3"/>
      </w:pPr>
      <w:bookmarkStart w:id="4267" w:name="_Toc163908429"/>
      <w:bookmarkStart w:id="4268" w:name="_Toc166853268"/>
      <w:bookmarkStart w:id="4269" w:name="_Toc166853388"/>
      <w:bookmarkStart w:id="4270" w:name="_Toc163908430"/>
      <w:bookmarkStart w:id="4271" w:name="_Toc166853269"/>
      <w:bookmarkStart w:id="4272" w:name="_Toc166853389"/>
      <w:bookmarkStart w:id="4273" w:name="_Toc163908431"/>
      <w:bookmarkStart w:id="4274" w:name="_Toc166853270"/>
      <w:bookmarkStart w:id="4275" w:name="_Toc166853390"/>
      <w:bookmarkStart w:id="4276" w:name="_Toc163908432"/>
      <w:bookmarkStart w:id="4277" w:name="_Toc166853271"/>
      <w:bookmarkStart w:id="4278" w:name="_Toc166853391"/>
      <w:bookmarkStart w:id="4279" w:name="_Toc163908433"/>
      <w:bookmarkStart w:id="4280" w:name="_Toc166853272"/>
      <w:bookmarkStart w:id="4281" w:name="_Toc166853392"/>
      <w:bookmarkStart w:id="4282" w:name="_Toc163908434"/>
      <w:bookmarkStart w:id="4283" w:name="_Toc166853273"/>
      <w:bookmarkStart w:id="4284" w:name="_Toc166853393"/>
      <w:bookmarkStart w:id="4285" w:name="_Toc163908435"/>
      <w:bookmarkStart w:id="4286" w:name="_Toc166853274"/>
      <w:bookmarkStart w:id="4287" w:name="_Toc166853394"/>
      <w:bookmarkStart w:id="4288" w:name="_Toc163908436"/>
      <w:bookmarkStart w:id="4289" w:name="_Toc166853275"/>
      <w:bookmarkStart w:id="4290" w:name="_Toc166853395"/>
      <w:bookmarkStart w:id="4291" w:name="_Toc245633997"/>
      <w:bookmarkStart w:id="4292" w:name="_Toc245634149"/>
      <w:bookmarkStart w:id="4293" w:name="_Toc245728039"/>
      <w:bookmarkStart w:id="4294" w:name="_Toc248644163"/>
      <w:bookmarkStart w:id="4295" w:name="_Toc258924897"/>
      <w:bookmarkStart w:id="4296" w:name="_Toc263173331"/>
      <w:bookmarkStart w:id="4297" w:name="_Toc263173624"/>
      <w:bookmarkStart w:id="4298" w:name="_Toc263173810"/>
      <w:bookmarkStart w:id="4299" w:name="_Toc263174191"/>
      <w:bookmarkStart w:id="4300" w:name="_Toc263235090"/>
      <w:bookmarkStart w:id="4301" w:name="_Toc263235733"/>
      <w:bookmarkStart w:id="4302" w:name="_Toc263429445"/>
      <w:bookmarkStart w:id="4303" w:name="_Toc263795484"/>
      <w:bookmarkStart w:id="4304" w:name="_Toc266869661"/>
      <w:bookmarkStart w:id="4305" w:name="_Toc159232430"/>
      <w:bookmarkStart w:id="4306" w:name="_Toc163908437"/>
      <w:bookmarkStart w:id="4307" w:name="_Toc166853396"/>
      <w:bookmarkStart w:id="4308" w:name="_Ref212563678"/>
      <w:bookmarkStart w:id="4309" w:name="_Toc213771887"/>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r w:rsidRPr="00ED37BD">
        <w:t>Commercial Model</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7E376E40" w14:textId="423F72A8" w:rsidR="00B943FB" w:rsidRPr="00D340EE" w:rsidRDefault="00B943FB" w:rsidP="00B943FB">
      <w:pPr>
        <w:spacing w:line="300" w:lineRule="auto"/>
        <w:rPr>
          <w:szCs w:val="24"/>
        </w:rPr>
      </w:pPr>
      <w:r w:rsidRPr="00D340EE">
        <w:rPr>
          <w:szCs w:val="24"/>
        </w:rPr>
        <w:t xml:space="preserve">The Commercial Model describes the financial market relationships of the Market Participants and the Asset Owners, and the commercial relationships among the elements of the Network Model. The hierarchy of relationships along with their descriptions is as follows.  </w:t>
      </w:r>
    </w:p>
    <w:p w14:paraId="2F8D7C12" w14:textId="77777777" w:rsidR="00B943FB" w:rsidRPr="00D340EE" w:rsidRDefault="00B943FB" w:rsidP="00B943FB">
      <w:pPr>
        <w:numPr>
          <w:ilvl w:val="0"/>
          <w:numId w:val="132"/>
        </w:numPr>
        <w:tabs>
          <w:tab w:val="num" w:pos="720"/>
        </w:tabs>
        <w:spacing w:before="120" w:line="300" w:lineRule="auto"/>
        <w:ind w:left="720" w:hanging="540"/>
        <w:rPr>
          <w:szCs w:val="24"/>
        </w:rPr>
      </w:pPr>
      <w:bookmarkStart w:id="4310" w:name="_Toc97790906"/>
      <w:bookmarkStart w:id="4311" w:name="_Toc227654683"/>
      <w:r w:rsidRPr="00D340EE">
        <w:rPr>
          <w:szCs w:val="24"/>
        </w:rPr>
        <w:t>Node Level</w:t>
      </w:r>
    </w:p>
    <w:p w14:paraId="61DD8AE4" w14:textId="171E621D" w:rsidR="00B943FB" w:rsidRPr="00D340EE" w:rsidRDefault="00B943FB" w:rsidP="00B943FB">
      <w:pPr>
        <w:numPr>
          <w:ilvl w:val="0"/>
          <w:numId w:val="132"/>
        </w:numPr>
        <w:tabs>
          <w:tab w:val="num" w:pos="720"/>
        </w:tabs>
        <w:spacing w:before="120" w:line="300" w:lineRule="auto"/>
        <w:ind w:left="720" w:hanging="540"/>
        <w:rPr>
          <w:szCs w:val="24"/>
        </w:rPr>
      </w:pPr>
      <w:r w:rsidRPr="00D340EE">
        <w:rPr>
          <w:szCs w:val="24"/>
        </w:rPr>
        <w:t>Pricing Node Level (</w:t>
      </w:r>
      <w:r w:rsidR="002D623C">
        <w:rPr>
          <w:szCs w:val="24"/>
        </w:rPr>
        <w:t>Pnode</w:t>
      </w:r>
      <w:r w:rsidRPr="00D340EE">
        <w:rPr>
          <w:szCs w:val="24"/>
        </w:rPr>
        <w:t xml:space="preserve">) Level </w:t>
      </w:r>
    </w:p>
    <w:p w14:paraId="0B262A31" w14:textId="03A6A62A" w:rsidR="00B943FB" w:rsidRPr="00D340EE" w:rsidRDefault="00B943FB" w:rsidP="00B943FB">
      <w:pPr>
        <w:numPr>
          <w:ilvl w:val="1"/>
          <w:numId w:val="132"/>
        </w:numPr>
        <w:spacing w:before="120" w:line="300" w:lineRule="auto"/>
        <w:ind w:hanging="540"/>
        <w:rPr>
          <w:szCs w:val="24"/>
        </w:rPr>
      </w:pPr>
      <w:r w:rsidRPr="00D340EE">
        <w:rPr>
          <w:szCs w:val="24"/>
        </w:rPr>
        <w:t>Aggregate Pricing Node Level (A</w:t>
      </w:r>
      <w:r w:rsidR="002D623C">
        <w:rPr>
          <w:szCs w:val="24"/>
        </w:rPr>
        <w:t>Pnode</w:t>
      </w:r>
      <w:r w:rsidRPr="00D340EE">
        <w:rPr>
          <w:szCs w:val="24"/>
        </w:rPr>
        <w:t xml:space="preserve">) Level </w:t>
      </w:r>
    </w:p>
    <w:p w14:paraId="522D59B7" w14:textId="77777777" w:rsidR="00B943FB" w:rsidRPr="00D340EE" w:rsidRDefault="00B943FB" w:rsidP="00B943FB">
      <w:pPr>
        <w:numPr>
          <w:ilvl w:val="0"/>
          <w:numId w:val="132"/>
        </w:numPr>
        <w:tabs>
          <w:tab w:val="num" w:pos="720"/>
        </w:tabs>
        <w:spacing w:before="120" w:line="300" w:lineRule="auto"/>
        <w:ind w:left="720" w:hanging="540"/>
        <w:rPr>
          <w:szCs w:val="24"/>
        </w:rPr>
      </w:pPr>
      <w:r w:rsidRPr="00D340EE">
        <w:rPr>
          <w:szCs w:val="24"/>
        </w:rPr>
        <w:t>Meter Data Submittal Locations (MDSL)</w:t>
      </w:r>
    </w:p>
    <w:p w14:paraId="30D798FF" w14:textId="77777777" w:rsidR="00B943FB" w:rsidRPr="00D340EE" w:rsidRDefault="00B943FB" w:rsidP="00B943FB">
      <w:pPr>
        <w:numPr>
          <w:ilvl w:val="0"/>
          <w:numId w:val="132"/>
        </w:numPr>
        <w:tabs>
          <w:tab w:val="num" w:pos="720"/>
        </w:tabs>
        <w:spacing w:before="120" w:line="300" w:lineRule="auto"/>
        <w:ind w:left="720" w:hanging="540"/>
        <w:rPr>
          <w:szCs w:val="24"/>
        </w:rPr>
      </w:pPr>
      <w:r w:rsidRPr="00D340EE">
        <w:rPr>
          <w:szCs w:val="24"/>
        </w:rPr>
        <w:t>Settlement Locations</w:t>
      </w:r>
    </w:p>
    <w:p w14:paraId="5A154E78" w14:textId="77777777" w:rsidR="00B943FB" w:rsidRPr="00D340EE" w:rsidRDefault="00B943FB" w:rsidP="00B943FB">
      <w:pPr>
        <w:numPr>
          <w:ilvl w:val="0"/>
          <w:numId w:val="132"/>
        </w:numPr>
        <w:tabs>
          <w:tab w:val="num" w:pos="720"/>
        </w:tabs>
        <w:spacing w:before="120" w:line="300" w:lineRule="auto"/>
        <w:ind w:left="720" w:hanging="540"/>
        <w:rPr>
          <w:szCs w:val="24"/>
        </w:rPr>
      </w:pPr>
      <w:r w:rsidRPr="00D340EE">
        <w:rPr>
          <w:szCs w:val="24"/>
        </w:rPr>
        <w:t>Asset Owner Level</w:t>
      </w:r>
    </w:p>
    <w:p w14:paraId="7E7037A5" w14:textId="77777777" w:rsidR="00B943FB" w:rsidRPr="00D340EE" w:rsidRDefault="00B943FB" w:rsidP="00B943FB">
      <w:pPr>
        <w:numPr>
          <w:ilvl w:val="0"/>
          <w:numId w:val="132"/>
        </w:numPr>
        <w:tabs>
          <w:tab w:val="num" w:pos="720"/>
        </w:tabs>
        <w:spacing w:before="120" w:line="300" w:lineRule="auto"/>
        <w:ind w:left="720" w:hanging="540"/>
        <w:rPr>
          <w:szCs w:val="24"/>
        </w:rPr>
      </w:pPr>
      <w:r w:rsidRPr="00D340EE">
        <w:rPr>
          <w:szCs w:val="24"/>
        </w:rPr>
        <w:t>Market Participant Level</w:t>
      </w:r>
    </w:p>
    <w:p w14:paraId="32139DEB" w14:textId="77777777" w:rsidR="00B943FB" w:rsidRPr="00A972A3" w:rsidRDefault="00B943FB" w:rsidP="00574EDE">
      <w:pPr>
        <w:pStyle w:val="Heading4"/>
      </w:pPr>
      <w:bookmarkStart w:id="4312" w:name="_Toc159232431"/>
      <w:bookmarkStart w:id="4313" w:name="_Toc163908438"/>
      <w:bookmarkStart w:id="4314" w:name="_Toc166853397"/>
      <w:bookmarkStart w:id="4315" w:name="_Toc213771888"/>
      <w:r w:rsidRPr="00A972A3">
        <w:t>Nodes</w:t>
      </w:r>
      <w:bookmarkEnd w:id="4310"/>
      <w:bookmarkEnd w:id="4311"/>
      <w:bookmarkEnd w:id="4312"/>
      <w:bookmarkEnd w:id="4313"/>
      <w:bookmarkEnd w:id="4314"/>
      <w:bookmarkEnd w:id="4315"/>
    </w:p>
    <w:p w14:paraId="359E0648" w14:textId="6E679C46" w:rsidR="00B943FB" w:rsidRPr="00375401" w:rsidRDefault="00B943FB" w:rsidP="00B943FB">
      <w:pPr>
        <w:spacing w:before="120" w:line="300" w:lineRule="auto"/>
        <w:rPr>
          <w:szCs w:val="24"/>
        </w:rPr>
      </w:pPr>
      <w:r w:rsidRPr="00375401">
        <w:rPr>
          <w:szCs w:val="24"/>
        </w:rPr>
        <w:t>Nodes represent Electrical Nodes (</w:t>
      </w:r>
      <w:r w:rsidR="002D623C">
        <w:rPr>
          <w:szCs w:val="24"/>
        </w:rPr>
        <w:t>Enode</w:t>
      </w:r>
      <w:r w:rsidRPr="00375401">
        <w:rPr>
          <w:szCs w:val="24"/>
        </w:rPr>
        <w:t xml:space="preserve">s) within the Network Model where LMPs are calculated. </w:t>
      </w:r>
      <w:r w:rsidR="002D623C">
        <w:rPr>
          <w:szCs w:val="24"/>
        </w:rPr>
        <w:t>Enode</w:t>
      </w:r>
      <w:r w:rsidRPr="00375401">
        <w:rPr>
          <w:szCs w:val="24"/>
        </w:rPr>
        <w:t xml:space="preserve">s represent the physical connection points in </w:t>
      </w:r>
      <w:r>
        <w:rPr>
          <w:szCs w:val="24"/>
        </w:rPr>
        <w:t>the</w:t>
      </w:r>
      <w:r w:rsidRPr="00375401">
        <w:rPr>
          <w:szCs w:val="24"/>
        </w:rPr>
        <w:t xml:space="preserve"> Markets+ Footprint transmission system Network Model.  </w:t>
      </w:r>
      <w:r w:rsidR="002D623C">
        <w:rPr>
          <w:szCs w:val="24"/>
        </w:rPr>
        <w:t>Enode</w:t>
      </w:r>
      <w:r w:rsidRPr="00375401">
        <w:rPr>
          <w:szCs w:val="24"/>
        </w:rPr>
        <w:t>s include all locations in the Network Model where electrical equipment components (e.g.</w:t>
      </w:r>
      <w:r w:rsidR="002B27B3">
        <w:rPr>
          <w:szCs w:val="24"/>
        </w:rPr>
        <w:t>,</w:t>
      </w:r>
      <w:r w:rsidRPr="00375401">
        <w:rPr>
          <w:szCs w:val="24"/>
        </w:rPr>
        <w:t xml:space="preserve"> generators, loads, transmission lines, and transformers) connect</w:t>
      </w:r>
      <w:r>
        <w:rPr>
          <w:szCs w:val="24"/>
        </w:rPr>
        <w:t>,</w:t>
      </w:r>
      <w:r w:rsidRPr="00375401">
        <w:rPr>
          <w:szCs w:val="24"/>
        </w:rPr>
        <w:t xml:space="preserve"> but LMPs are calculated at only a subset of </w:t>
      </w:r>
      <w:r w:rsidR="002D623C">
        <w:rPr>
          <w:szCs w:val="24"/>
        </w:rPr>
        <w:t>Enode</w:t>
      </w:r>
      <w:r w:rsidRPr="00375401">
        <w:rPr>
          <w:szCs w:val="24"/>
        </w:rPr>
        <w:t>s (i.e.</w:t>
      </w:r>
      <w:r w:rsidR="00D0506A">
        <w:rPr>
          <w:szCs w:val="24"/>
        </w:rPr>
        <w:t>,</w:t>
      </w:r>
      <w:r w:rsidRPr="00375401">
        <w:rPr>
          <w:szCs w:val="24"/>
        </w:rPr>
        <w:t xml:space="preserve"> Nodes).  </w:t>
      </w:r>
      <w:bookmarkStart w:id="4316" w:name="_Toc97790907"/>
    </w:p>
    <w:p w14:paraId="0A63BDB1" w14:textId="77777777" w:rsidR="00B943FB" w:rsidRPr="00A972A3" w:rsidRDefault="00B943FB" w:rsidP="00574654">
      <w:pPr>
        <w:pStyle w:val="Heading5"/>
      </w:pPr>
      <w:bookmarkStart w:id="4317" w:name="_Toc227654684"/>
      <w:bookmarkStart w:id="4318" w:name="_Toc159232432"/>
      <w:bookmarkStart w:id="4319" w:name="_Toc163908439"/>
      <w:bookmarkStart w:id="4320" w:name="_Toc166853398"/>
      <w:bookmarkStart w:id="4321" w:name="_Toc213771889"/>
      <w:r w:rsidRPr="00A972A3">
        <w:t>Pricing Nodes</w:t>
      </w:r>
      <w:bookmarkEnd w:id="4317"/>
      <w:bookmarkEnd w:id="4318"/>
      <w:bookmarkEnd w:id="4319"/>
      <w:bookmarkEnd w:id="4320"/>
      <w:bookmarkEnd w:id="4321"/>
    </w:p>
    <w:p w14:paraId="2F70F85B" w14:textId="0167B61A" w:rsidR="00B943FB" w:rsidRPr="00375401" w:rsidRDefault="00B943FB" w:rsidP="00B943FB">
      <w:pPr>
        <w:spacing w:before="120" w:line="300" w:lineRule="auto"/>
        <w:rPr>
          <w:szCs w:val="24"/>
        </w:rPr>
      </w:pPr>
      <w:r w:rsidRPr="00375401">
        <w:rPr>
          <w:szCs w:val="24"/>
        </w:rPr>
        <w:t>Pricing Nodes (</w:t>
      </w:r>
      <w:r w:rsidR="002D623C">
        <w:rPr>
          <w:szCs w:val="24"/>
        </w:rPr>
        <w:t>Pnode</w:t>
      </w:r>
      <w:r w:rsidRPr="00375401">
        <w:rPr>
          <w:szCs w:val="24"/>
        </w:rPr>
        <w:t xml:space="preserve">s) provide the linkage between the Network Model and the Commercial Model and are the finest level of granularity in the Commercial Model and have a one-to-one relationship with a Node.  </w:t>
      </w:r>
      <w:r w:rsidR="002D623C">
        <w:rPr>
          <w:szCs w:val="24"/>
        </w:rPr>
        <w:t>Pnode</w:t>
      </w:r>
      <w:r w:rsidRPr="00375401">
        <w:rPr>
          <w:szCs w:val="24"/>
        </w:rPr>
        <w:t xml:space="preserve">s are defined for all locations where </w:t>
      </w:r>
      <w:r>
        <w:rPr>
          <w:szCs w:val="24"/>
        </w:rPr>
        <w:t>E</w:t>
      </w:r>
      <w:r w:rsidRPr="00375401">
        <w:rPr>
          <w:szCs w:val="24"/>
        </w:rPr>
        <w:t xml:space="preserve">nergy is injected </w:t>
      </w:r>
      <w:r w:rsidRPr="00375401" w:rsidDel="0046151A">
        <w:rPr>
          <w:szCs w:val="24"/>
        </w:rPr>
        <w:t>and/or</w:t>
      </w:r>
      <w:r w:rsidRPr="00375401">
        <w:rPr>
          <w:szCs w:val="24"/>
        </w:rPr>
        <w:t xml:space="preserve"> withdrawn from the transmission system, as well as other commercially significant buses.    </w:t>
      </w:r>
    </w:p>
    <w:p w14:paraId="1BF498B9" w14:textId="77777777" w:rsidR="00B943FB" w:rsidRPr="00375401" w:rsidRDefault="00B943FB" w:rsidP="00574654">
      <w:pPr>
        <w:pStyle w:val="Heading5"/>
      </w:pPr>
      <w:bookmarkStart w:id="4322" w:name="_Toc227654685"/>
      <w:bookmarkStart w:id="4323" w:name="_Toc159232433"/>
      <w:bookmarkStart w:id="4324" w:name="_Toc163908440"/>
      <w:bookmarkStart w:id="4325" w:name="_Toc166853399"/>
      <w:bookmarkStart w:id="4326" w:name="_Toc213771890"/>
      <w:r w:rsidRPr="00375401">
        <w:t>Aggregated Pricing Nodes</w:t>
      </w:r>
      <w:bookmarkEnd w:id="4316"/>
      <w:bookmarkEnd w:id="4322"/>
      <w:bookmarkEnd w:id="4323"/>
      <w:bookmarkEnd w:id="4324"/>
      <w:bookmarkEnd w:id="4325"/>
      <w:bookmarkEnd w:id="4326"/>
    </w:p>
    <w:p w14:paraId="1193A6A2" w14:textId="6FC54E08" w:rsidR="00B943FB" w:rsidRPr="00375401" w:rsidRDefault="00B943FB" w:rsidP="00B943FB">
      <w:pPr>
        <w:spacing w:before="120" w:line="300" w:lineRule="auto"/>
        <w:rPr>
          <w:szCs w:val="24"/>
        </w:rPr>
      </w:pPr>
      <w:r w:rsidRPr="00375401">
        <w:rPr>
          <w:szCs w:val="24"/>
        </w:rPr>
        <w:t>The Aggregated Pricing Node (A</w:t>
      </w:r>
      <w:r w:rsidR="002D623C">
        <w:rPr>
          <w:szCs w:val="24"/>
        </w:rPr>
        <w:t>Pnode</w:t>
      </w:r>
      <w:r w:rsidRPr="00375401">
        <w:rPr>
          <w:szCs w:val="24"/>
        </w:rPr>
        <w:t xml:space="preserve">) represents an aggregation of two </w:t>
      </w:r>
      <w:r w:rsidR="00515655">
        <w:rPr>
          <w:szCs w:val="24"/>
        </w:rPr>
        <w:t>(2)</w:t>
      </w:r>
      <w:r w:rsidRPr="00375401">
        <w:rPr>
          <w:szCs w:val="24"/>
        </w:rPr>
        <w:t xml:space="preserve"> or more </w:t>
      </w:r>
      <w:r w:rsidR="002D623C">
        <w:rPr>
          <w:szCs w:val="24"/>
        </w:rPr>
        <w:t>Pnode</w:t>
      </w:r>
      <w:r w:rsidRPr="00375401">
        <w:rPr>
          <w:szCs w:val="24"/>
        </w:rPr>
        <w:t>s using weighting factors.  For each A</w:t>
      </w:r>
      <w:r w:rsidR="002D623C">
        <w:rPr>
          <w:szCs w:val="24"/>
        </w:rPr>
        <w:t>Pnode</w:t>
      </w:r>
      <w:r w:rsidRPr="00375401">
        <w:rPr>
          <w:szCs w:val="24"/>
        </w:rPr>
        <w:t xml:space="preserve">, the relationship of </w:t>
      </w:r>
      <w:r w:rsidR="002D623C">
        <w:rPr>
          <w:szCs w:val="24"/>
        </w:rPr>
        <w:t>Pnode</w:t>
      </w:r>
      <w:r w:rsidRPr="00375401">
        <w:rPr>
          <w:szCs w:val="24"/>
        </w:rPr>
        <w:t>s to A</w:t>
      </w:r>
      <w:r w:rsidR="002D623C">
        <w:rPr>
          <w:szCs w:val="24"/>
        </w:rPr>
        <w:t>Pnode</w:t>
      </w:r>
      <w:r w:rsidRPr="00375401">
        <w:rPr>
          <w:szCs w:val="24"/>
        </w:rPr>
        <w:t>s determines how Energy at the A</w:t>
      </w:r>
      <w:r w:rsidR="002D623C">
        <w:rPr>
          <w:szCs w:val="24"/>
        </w:rPr>
        <w:t>Pnode</w:t>
      </w:r>
      <w:r w:rsidRPr="00375401">
        <w:rPr>
          <w:szCs w:val="24"/>
        </w:rPr>
        <w:t xml:space="preserve"> level is allocated at the </w:t>
      </w:r>
      <w:r w:rsidR="002D623C">
        <w:rPr>
          <w:szCs w:val="24"/>
        </w:rPr>
        <w:t>Pnode</w:t>
      </w:r>
      <w:r w:rsidRPr="00375401">
        <w:rPr>
          <w:szCs w:val="24"/>
        </w:rPr>
        <w:t>/</w:t>
      </w:r>
      <w:r w:rsidR="002D623C">
        <w:rPr>
          <w:szCs w:val="24"/>
        </w:rPr>
        <w:t>Enode</w:t>
      </w:r>
      <w:r w:rsidRPr="00375401">
        <w:rPr>
          <w:szCs w:val="24"/>
        </w:rPr>
        <w:t xml:space="preserve"> level </w:t>
      </w:r>
      <w:r w:rsidRPr="00375401" w:rsidDel="0046151A">
        <w:rPr>
          <w:szCs w:val="24"/>
        </w:rPr>
        <w:t>and/or</w:t>
      </w:r>
      <w:r w:rsidRPr="00375401">
        <w:rPr>
          <w:szCs w:val="24"/>
        </w:rPr>
        <w:t xml:space="preserve"> how prices at the </w:t>
      </w:r>
      <w:r w:rsidR="002D623C">
        <w:rPr>
          <w:szCs w:val="24"/>
        </w:rPr>
        <w:t>Pnode</w:t>
      </w:r>
      <w:r w:rsidRPr="00375401">
        <w:rPr>
          <w:szCs w:val="24"/>
        </w:rPr>
        <w:t xml:space="preserve"> level are weighted at the A</w:t>
      </w:r>
      <w:r w:rsidR="002D623C">
        <w:rPr>
          <w:szCs w:val="24"/>
        </w:rPr>
        <w:t>Pnode</w:t>
      </w:r>
      <w:r w:rsidRPr="00375401">
        <w:rPr>
          <w:szCs w:val="24"/>
        </w:rPr>
        <w:t xml:space="preserve"> level.  This nodal relationship is maintained in </w:t>
      </w:r>
      <w:r>
        <w:rPr>
          <w:szCs w:val="24"/>
        </w:rPr>
        <w:t>the Market Operator’s</w:t>
      </w:r>
      <w:r w:rsidRPr="00375401">
        <w:rPr>
          <w:szCs w:val="24"/>
        </w:rPr>
        <w:t xml:space="preserve"> registration system. However, weighting factors may vary based on projected or historical injection/withdrawal values at each </w:t>
      </w:r>
      <w:r w:rsidR="002D623C">
        <w:rPr>
          <w:szCs w:val="24"/>
        </w:rPr>
        <w:t>Pnode</w:t>
      </w:r>
      <w:r w:rsidRPr="00375401">
        <w:rPr>
          <w:szCs w:val="24"/>
        </w:rPr>
        <w:t xml:space="preserve"> for the applicable market process.</w:t>
      </w:r>
    </w:p>
    <w:p w14:paraId="686C5BE2" w14:textId="77777777" w:rsidR="00B943FB" w:rsidRPr="008361AF" w:rsidRDefault="00B943FB" w:rsidP="00574654">
      <w:pPr>
        <w:pStyle w:val="Heading5"/>
      </w:pPr>
      <w:bookmarkStart w:id="4327" w:name="_Toc213771891"/>
      <w:r w:rsidRPr="008361AF">
        <w:t>Meter Data Submittal Location</w:t>
      </w:r>
      <w:bookmarkEnd w:id="4327"/>
    </w:p>
    <w:p w14:paraId="200DCE70" w14:textId="77777777" w:rsidR="00B943FB" w:rsidRPr="00FA41F7" w:rsidRDefault="00B943FB" w:rsidP="00B943FB">
      <w:pPr>
        <w:spacing w:line="300" w:lineRule="auto"/>
        <w:rPr>
          <w:szCs w:val="24"/>
        </w:rPr>
      </w:pPr>
      <w:r w:rsidRPr="00C56B7C">
        <w:rPr>
          <w:szCs w:val="24"/>
        </w:rPr>
        <w:t>Meter Data Submittal Location (MDSL) represent</w:t>
      </w:r>
      <w:r>
        <w:rPr>
          <w:szCs w:val="24"/>
        </w:rPr>
        <w:t>s</w:t>
      </w:r>
      <w:r w:rsidRPr="00C56B7C">
        <w:rPr>
          <w:szCs w:val="24"/>
        </w:rPr>
        <w:t xml:space="preserve"> a point where meter data is submitted to the Market Operator. </w:t>
      </w:r>
      <w:r>
        <w:rPr>
          <w:szCs w:val="24"/>
        </w:rPr>
        <w:t>MDSLs are children</w:t>
      </w:r>
      <w:r w:rsidRPr="00FA41F7">
        <w:rPr>
          <w:szCs w:val="24"/>
        </w:rPr>
        <w:t xml:space="preserve"> of S</w:t>
      </w:r>
      <w:r>
        <w:rPr>
          <w:szCs w:val="24"/>
        </w:rPr>
        <w:t xml:space="preserve">ettlement </w:t>
      </w:r>
      <w:r w:rsidRPr="00FA41F7">
        <w:rPr>
          <w:szCs w:val="24"/>
        </w:rPr>
        <w:t>L</w:t>
      </w:r>
      <w:r>
        <w:rPr>
          <w:szCs w:val="24"/>
        </w:rPr>
        <w:t>ocations</w:t>
      </w:r>
      <w:r w:rsidRPr="00FA41F7">
        <w:rPr>
          <w:szCs w:val="24"/>
        </w:rPr>
        <w:t xml:space="preserve"> </w:t>
      </w:r>
      <w:r>
        <w:rPr>
          <w:szCs w:val="24"/>
        </w:rPr>
        <w:t>and are</w:t>
      </w:r>
      <w:r w:rsidRPr="00FA41F7">
        <w:rPr>
          <w:szCs w:val="24"/>
        </w:rPr>
        <w:t xml:space="preserve"> the level at which meter data is submitted. </w:t>
      </w:r>
      <w:r>
        <w:rPr>
          <w:szCs w:val="24"/>
        </w:rPr>
        <w:t>They are</w:t>
      </w:r>
      <w:r w:rsidRPr="00FA41F7">
        <w:rPr>
          <w:szCs w:val="24"/>
        </w:rPr>
        <w:t xml:space="preserve"> usually 1:1 with </w:t>
      </w:r>
      <w:r>
        <w:rPr>
          <w:szCs w:val="24"/>
        </w:rPr>
        <w:t xml:space="preserve">the </w:t>
      </w:r>
      <w:r w:rsidRPr="00FA41F7">
        <w:rPr>
          <w:szCs w:val="24"/>
        </w:rPr>
        <w:t>S</w:t>
      </w:r>
      <w:r>
        <w:rPr>
          <w:szCs w:val="24"/>
        </w:rPr>
        <w:t xml:space="preserve">ettlement </w:t>
      </w:r>
      <w:r w:rsidRPr="00FA41F7">
        <w:rPr>
          <w:szCs w:val="24"/>
        </w:rPr>
        <w:t>L</w:t>
      </w:r>
      <w:r>
        <w:rPr>
          <w:szCs w:val="24"/>
        </w:rPr>
        <w:t>ocation</w:t>
      </w:r>
      <w:r w:rsidRPr="00FA41F7">
        <w:rPr>
          <w:szCs w:val="24"/>
        </w:rPr>
        <w:t>, but in certain cases</w:t>
      </w:r>
      <w:r>
        <w:rPr>
          <w:szCs w:val="24"/>
        </w:rPr>
        <w:t>,</w:t>
      </w:r>
      <w:r w:rsidRPr="00FA41F7">
        <w:rPr>
          <w:szCs w:val="24"/>
        </w:rPr>
        <w:t xml:space="preserve"> multiple MDSLs may relate to a single S</w:t>
      </w:r>
      <w:r>
        <w:rPr>
          <w:szCs w:val="24"/>
        </w:rPr>
        <w:t xml:space="preserve">ettlement </w:t>
      </w:r>
      <w:r w:rsidRPr="00FA41F7">
        <w:rPr>
          <w:szCs w:val="24"/>
        </w:rPr>
        <w:t>L</w:t>
      </w:r>
      <w:r>
        <w:rPr>
          <w:szCs w:val="24"/>
        </w:rPr>
        <w:t>ocation</w:t>
      </w:r>
      <w:r w:rsidRPr="00FA41F7">
        <w:rPr>
          <w:szCs w:val="24"/>
        </w:rPr>
        <w:t>. MDSLs are confined to a single S</w:t>
      </w:r>
      <w:r>
        <w:rPr>
          <w:szCs w:val="24"/>
        </w:rPr>
        <w:t xml:space="preserve">ettlement </w:t>
      </w:r>
      <w:r w:rsidRPr="00FA41F7">
        <w:rPr>
          <w:szCs w:val="24"/>
        </w:rPr>
        <w:t>A</w:t>
      </w:r>
      <w:r>
        <w:rPr>
          <w:szCs w:val="24"/>
        </w:rPr>
        <w:t>rea</w:t>
      </w:r>
      <w:r w:rsidRPr="00FA41F7">
        <w:rPr>
          <w:szCs w:val="24"/>
        </w:rPr>
        <w:t xml:space="preserve"> (necessary for the purpose of calibration calculation) while a S</w:t>
      </w:r>
      <w:r>
        <w:rPr>
          <w:szCs w:val="24"/>
        </w:rPr>
        <w:t xml:space="preserve">ettlement </w:t>
      </w:r>
      <w:r w:rsidRPr="00FA41F7">
        <w:rPr>
          <w:szCs w:val="24"/>
        </w:rPr>
        <w:t>L</w:t>
      </w:r>
      <w:r>
        <w:rPr>
          <w:szCs w:val="24"/>
        </w:rPr>
        <w:t xml:space="preserve">ocation </w:t>
      </w:r>
      <w:r w:rsidRPr="00FA41F7">
        <w:rPr>
          <w:szCs w:val="24"/>
        </w:rPr>
        <w:t>may span multiple S</w:t>
      </w:r>
      <w:r>
        <w:rPr>
          <w:szCs w:val="24"/>
        </w:rPr>
        <w:t xml:space="preserve">ettlement </w:t>
      </w:r>
      <w:r w:rsidRPr="00FA41F7">
        <w:rPr>
          <w:szCs w:val="24"/>
        </w:rPr>
        <w:t>A</w:t>
      </w:r>
      <w:r>
        <w:rPr>
          <w:szCs w:val="24"/>
        </w:rPr>
        <w:t>rea</w:t>
      </w:r>
      <w:r w:rsidRPr="00FA41F7">
        <w:rPr>
          <w:szCs w:val="24"/>
        </w:rPr>
        <w:t>s.</w:t>
      </w:r>
    </w:p>
    <w:p w14:paraId="4CB5504A" w14:textId="77777777" w:rsidR="00B943FB" w:rsidRPr="00A972A3" w:rsidRDefault="00B943FB" w:rsidP="00574EDE">
      <w:pPr>
        <w:pStyle w:val="Heading4"/>
      </w:pPr>
      <w:bookmarkStart w:id="4328" w:name="_Toc227654686"/>
      <w:bookmarkStart w:id="4329" w:name="_Toc159232434"/>
      <w:bookmarkStart w:id="4330" w:name="_Toc163908441"/>
      <w:bookmarkStart w:id="4331" w:name="_Toc166853400"/>
      <w:bookmarkStart w:id="4332" w:name="_Toc213771892"/>
      <w:r w:rsidRPr="00A972A3">
        <w:t>Settlement Locations</w:t>
      </w:r>
      <w:bookmarkEnd w:id="4328"/>
      <w:bookmarkEnd w:id="4329"/>
      <w:bookmarkEnd w:id="4330"/>
      <w:bookmarkEnd w:id="4331"/>
      <w:bookmarkEnd w:id="4332"/>
    </w:p>
    <w:p w14:paraId="62D60A29" w14:textId="098EC3C2" w:rsidR="00B943FB" w:rsidRPr="00375401" w:rsidRDefault="00B943FB" w:rsidP="00B943FB">
      <w:pPr>
        <w:spacing w:before="120" w:line="300" w:lineRule="auto"/>
        <w:rPr>
          <w:szCs w:val="24"/>
        </w:rPr>
      </w:pPr>
      <w:r w:rsidRPr="00375401">
        <w:rPr>
          <w:szCs w:val="24"/>
        </w:rPr>
        <w:t xml:space="preserve">Settlement Locations represent the next hierarchical level in the Commercial Model and have a relationship to a single </w:t>
      </w:r>
      <w:r w:rsidR="002D623C">
        <w:rPr>
          <w:szCs w:val="24"/>
        </w:rPr>
        <w:t>Pnode</w:t>
      </w:r>
      <w:r w:rsidRPr="00375401">
        <w:rPr>
          <w:szCs w:val="24"/>
        </w:rPr>
        <w:t xml:space="preserve"> or A</w:t>
      </w:r>
      <w:r w:rsidR="002D623C">
        <w:rPr>
          <w:szCs w:val="24"/>
        </w:rPr>
        <w:t>Pnode</w:t>
      </w:r>
      <w:r w:rsidRPr="00375401">
        <w:rPr>
          <w:szCs w:val="24"/>
        </w:rPr>
        <w:t xml:space="preserve">.  Energy supply and demand </w:t>
      </w:r>
      <w:r>
        <w:rPr>
          <w:szCs w:val="24"/>
        </w:rPr>
        <w:t>are</w:t>
      </w:r>
      <w:r w:rsidRPr="00375401">
        <w:rPr>
          <w:szCs w:val="24"/>
        </w:rPr>
        <w:t xml:space="preserve"> financially settled at the Settlement Locations based on the appropriate </w:t>
      </w:r>
      <w:r w:rsidR="002D623C">
        <w:rPr>
          <w:szCs w:val="24"/>
        </w:rPr>
        <w:t>Pnode</w:t>
      </w:r>
      <w:r w:rsidRPr="00375401">
        <w:rPr>
          <w:szCs w:val="24"/>
        </w:rPr>
        <w:t xml:space="preserve"> or A</w:t>
      </w:r>
      <w:r w:rsidR="002D623C">
        <w:rPr>
          <w:szCs w:val="24"/>
        </w:rPr>
        <w:t>Pnode</w:t>
      </w:r>
      <w:r w:rsidRPr="00375401">
        <w:rPr>
          <w:szCs w:val="24"/>
        </w:rPr>
        <w:t xml:space="preserve"> LMP and Settlement Location energy injection or withdrawal level.   There are five (5) types of Settlement Locations:  Resource</w:t>
      </w:r>
      <w:r w:rsidRPr="00375401">
        <w:rPr>
          <w:bCs/>
          <w:szCs w:val="24"/>
        </w:rPr>
        <w:t xml:space="preserve"> (including </w:t>
      </w:r>
      <w:r w:rsidR="00184B69">
        <w:rPr>
          <w:bCs/>
          <w:szCs w:val="24"/>
        </w:rPr>
        <w:t>p</w:t>
      </w:r>
      <w:r w:rsidRPr="00375401">
        <w:rPr>
          <w:bCs/>
          <w:szCs w:val="24"/>
        </w:rPr>
        <w:t>seudo-</w:t>
      </w:r>
      <w:r w:rsidR="00184B69">
        <w:rPr>
          <w:bCs/>
          <w:szCs w:val="24"/>
        </w:rPr>
        <w:t>t</w:t>
      </w:r>
      <w:r w:rsidRPr="00375401">
        <w:rPr>
          <w:bCs/>
          <w:szCs w:val="24"/>
        </w:rPr>
        <w:t>ied Resources)</w:t>
      </w:r>
      <w:r w:rsidRPr="00375401">
        <w:rPr>
          <w:szCs w:val="24"/>
        </w:rPr>
        <w:t>, Load</w:t>
      </w:r>
      <w:r w:rsidRPr="00375401">
        <w:rPr>
          <w:bCs/>
          <w:szCs w:val="24"/>
        </w:rPr>
        <w:t xml:space="preserve"> (including </w:t>
      </w:r>
      <w:r w:rsidR="00184B69">
        <w:rPr>
          <w:bCs/>
          <w:szCs w:val="24"/>
        </w:rPr>
        <w:t>p</w:t>
      </w:r>
      <w:r w:rsidRPr="00375401">
        <w:rPr>
          <w:bCs/>
          <w:szCs w:val="24"/>
        </w:rPr>
        <w:t>seudo-</w:t>
      </w:r>
      <w:r w:rsidR="00184B69">
        <w:rPr>
          <w:bCs/>
          <w:szCs w:val="24"/>
        </w:rPr>
        <w:t>t</w:t>
      </w:r>
      <w:r w:rsidRPr="00375401">
        <w:rPr>
          <w:bCs/>
          <w:szCs w:val="24"/>
        </w:rPr>
        <w:t>ied loads)</w:t>
      </w:r>
      <w:r w:rsidRPr="00375401">
        <w:rPr>
          <w:szCs w:val="24"/>
        </w:rPr>
        <w:t>, Resource Hub, Trading Hub</w:t>
      </w:r>
      <w:r>
        <w:rPr>
          <w:szCs w:val="24"/>
        </w:rPr>
        <w:t>,</w:t>
      </w:r>
      <w:r w:rsidRPr="00375401">
        <w:rPr>
          <w:szCs w:val="24"/>
        </w:rPr>
        <w:t xml:space="preserve"> and Interface.</w:t>
      </w:r>
    </w:p>
    <w:p w14:paraId="4850BA95" w14:textId="77777777" w:rsidR="00B943FB" w:rsidRPr="00375401" w:rsidRDefault="00B943FB" w:rsidP="00574654">
      <w:pPr>
        <w:pStyle w:val="Heading5"/>
      </w:pPr>
      <w:bookmarkStart w:id="4333" w:name="_Ref350420468"/>
      <w:bookmarkStart w:id="4334" w:name="_Toc159232435"/>
      <w:bookmarkStart w:id="4335" w:name="_Toc163908442"/>
      <w:bookmarkStart w:id="4336" w:name="_Toc166853401"/>
      <w:bookmarkStart w:id="4337" w:name="_Toc213771893"/>
      <w:bookmarkStart w:id="4338" w:name="_Toc97790909"/>
      <w:bookmarkStart w:id="4339" w:name="_Toc227654687"/>
      <w:r w:rsidRPr="00375401">
        <w:t>Trading Hubs</w:t>
      </w:r>
      <w:bookmarkEnd w:id="4333"/>
      <w:bookmarkEnd w:id="4334"/>
      <w:bookmarkEnd w:id="4335"/>
      <w:bookmarkEnd w:id="4336"/>
      <w:bookmarkEnd w:id="4337"/>
    </w:p>
    <w:p w14:paraId="5C12D15A" w14:textId="009240A6" w:rsidR="00B943FB" w:rsidRPr="00375401" w:rsidRDefault="00B943FB" w:rsidP="00B943FB">
      <w:pPr>
        <w:spacing w:before="120" w:line="300" w:lineRule="auto"/>
      </w:pPr>
      <w:r>
        <w:t>The Market Operator</w:t>
      </w:r>
      <w:r w:rsidRPr="00375401">
        <w:t xml:space="preserve"> must establish and maintain at least one Trading Hub in accordance with the criteria specified in this Trading Hubs process.  An existing Trading Hub may be modified or terminated only in the event that existing </w:t>
      </w:r>
      <w:r w:rsidR="002D623C">
        <w:t>Pnode</w:t>
      </w:r>
      <w:r w:rsidRPr="00375401">
        <w:t xml:space="preserve">s in the commercial model change such that the LMP at that Trading Hub can no longer be calculated.  </w:t>
      </w:r>
      <w:r>
        <w:t>The Market Operator</w:t>
      </w:r>
      <w:r w:rsidRPr="00375401">
        <w:t xml:space="preserve"> will not limit the number of Trading Hubs established at any one time.  Any Market Participant may utilize a Trading Hub for financial and trading purposes in the</w:t>
      </w:r>
      <w:r w:rsidR="00966B55">
        <w:t xml:space="preserve"> Day-Ahead </w:t>
      </w:r>
      <w:r w:rsidRPr="00375401">
        <w:t xml:space="preserve">Market </w:t>
      </w:r>
      <w:r w:rsidRPr="00375401" w:rsidDel="0046151A">
        <w:t>and/or</w:t>
      </w:r>
      <w:r w:rsidRPr="00375401">
        <w:t xml:space="preserve"> Real-Time Balancing Market.  A Trading Hub is a Settlement Location representing an aggregation of </w:t>
      </w:r>
      <w:r w:rsidR="002D623C">
        <w:t>Pnode</w:t>
      </w:r>
      <w:r w:rsidRPr="00375401">
        <w:t xml:space="preserve">s as defined by this Trading Hubs process.  The approval process for a Trading Hub as proposed by either </w:t>
      </w:r>
      <w:r w:rsidR="003B3A13">
        <w:t>the Market Operator</w:t>
      </w:r>
      <w:r w:rsidR="003B3A13" w:rsidRPr="00375401">
        <w:t xml:space="preserve"> </w:t>
      </w:r>
      <w:r w:rsidRPr="00375401">
        <w:t>or a Market Participant is as follows:</w:t>
      </w:r>
    </w:p>
    <w:p w14:paraId="58F640C3" w14:textId="77777777" w:rsidR="00B943FB" w:rsidRPr="00375401" w:rsidRDefault="00B943FB" w:rsidP="00B943FB">
      <w:pPr>
        <w:numPr>
          <w:ilvl w:val="0"/>
          <w:numId w:val="134"/>
        </w:numPr>
        <w:spacing w:before="120" w:line="300" w:lineRule="auto"/>
        <w:contextualSpacing/>
      </w:pPr>
      <w:r w:rsidRPr="00375401">
        <w:t xml:space="preserve">Submission of </w:t>
      </w:r>
      <w:r>
        <w:t xml:space="preserve">a </w:t>
      </w:r>
      <w:r w:rsidRPr="00375401">
        <w:t>proposal of a Trading Hub to the M</w:t>
      </w:r>
      <w:r>
        <w:t>D</w:t>
      </w:r>
      <w:r w:rsidRPr="00375401">
        <w:t>WG;</w:t>
      </w:r>
    </w:p>
    <w:p w14:paraId="7A1F5539" w14:textId="77777777" w:rsidR="00B943FB" w:rsidRPr="00375401" w:rsidRDefault="00B943FB" w:rsidP="00B943FB">
      <w:pPr>
        <w:numPr>
          <w:ilvl w:val="0"/>
          <w:numId w:val="134"/>
        </w:numPr>
        <w:spacing w:before="120" w:line="300" w:lineRule="auto"/>
        <w:contextualSpacing/>
      </w:pPr>
      <w:r w:rsidRPr="00375401">
        <w:t>M</w:t>
      </w:r>
      <w:r>
        <w:t>D</w:t>
      </w:r>
      <w:r w:rsidRPr="00375401">
        <w:t>WG review to determine if the proposed Trading Hub should be considered for further analysis;</w:t>
      </w:r>
    </w:p>
    <w:p w14:paraId="1F156A7D" w14:textId="05C6BECE" w:rsidR="00B943FB" w:rsidRPr="00375401" w:rsidRDefault="00B943FB" w:rsidP="00B943FB">
      <w:pPr>
        <w:numPr>
          <w:ilvl w:val="0"/>
          <w:numId w:val="134"/>
        </w:numPr>
        <w:spacing w:before="120" w:line="300" w:lineRule="auto"/>
        <w:contextualSpacing/>
      </w:pPr>
      <w:r w:rsidRPr="00375401">
        <w:t xml:space="preserve">If approved for consideration, the Trading Hub proposal will be analyzed by </w:t>
      </w:r>
      <w:r>
        <w:t>the Market Operator</w:t>
      </w:r>
      <w:r w:rsidRPr="00375401">
        <w:t xml:space="preserve"> based on the criteria listed in this Section;</w:t>
      </w:r>
    </w:p>
    <w:p w14:paraId="13A2FDC7" w14:textId="77777777" w:rsidR="00B943FB" w:rsidRPr="00375401" w:rsidRDefault="00B943FB" w:rsidP="00B943FB">
      <w:pPr>
        <w:numPr>
          <w:ilvl w:val="0"/>
          <w:numId w:val="134"/>
        </w:numPr>
        <w:spacing w:before="120" w:line="300" w:lineRule="auto"/>
        <w:contextualSpacing/>
      </w:pPr>
      <w:r>
        <w:t>The Market Operator</w:t>
      </w:r>
      <w:r w:rsidRPr="00375401">
        <w:t xml:space="preserve"> will bring back the results of the analysis at a subsequent meeting of the M</w:t>
      </w:r>
      <w:r>
        <w:t>D</w:t>
      </w:r>
      <w:r w:rsidRPr="00375401">
        <w:t>WG for review to determine a recommendation for the M</w:t>
      </w:r>
      <w:r>
        <w:t>PEC</w:t>
      </w:r>
      <w:r w:rsidRPr="00375401">
        <w:t>;</w:t>
      </w:r>
    </w:p>
    <w:p w14:paraId="6EEE6FE4" w14:textId="77777777" w:rsidR="00B943FB" w:rsidRPr="00375401" w:rsidRDefault="00B943FB" w:rsidP="00B943FB">
      <w:pPr>
        <w:numPr>
          <w:ilvl w:val="0"/>
          <w:numId w:val="134"/>
        </w:numPr>
        <w:spacing w:before="120" w:line="300" w:lineRule="auto"/>
        <w:contextualSpacing/>
      </w:pPr>
      <w:r w:rsidRPr="00375401">
        <w:t xml:space="preserve">The </w:t>
      </w:r>
      <w:r>
        <w:t>MPEC</w:t>
      </w:r>
      <w:r w:rsidRPr="00375401">
        <w:t xml:space="preserve"> will consider the proposed establishment, modification, or termination of a Trading Hub and will provide its own recommendation to SPP Board of Directors for review and approval.  Updating a Trading Hub to reflect a terminated Pnode, due to termination of the load or generation at the Pnode, is not considered a modification of the Trading Hub for approval purposes and does not require the consideration, review, or approval of the M</w:t>
      </w:r>
      <w:r>
        <w:t>PEC</w:t>
      </w:r>
      <w:r w:rsidRPr="00375401">
        <w:t xml:space="preserve"> or SPP Board of Directors.</w:t>
      </w:r>
    </w:p>
    <w:p w14:paraId="4C476B4C" w14:textId="77777777" w:rsidR="00B943FB" w:rsidRPr="00375401" w:rsidRDefault="00B943FB" w:rsidP="00B943FB">
      <w:pPr>
        <w:spacing w:before="120" w:line="300" w:lineRule="auto"/>
      </w:pPr>
      <w:r>
        <w:t>The Market Operator</w:t>
      </w:r>
      <w:r w:rsidRPr="00375401">
        <w:t xml:space="preserve"> will post the identification of any approved establishment of a Trading Hub at least </w:t>
      </w:r>
      <w:r>
        <w:t>forty-five (</w:t>
      </w:r>
      <w:r w:rsidRPr="00375401">
        <w:t>45</w:t>
      </w:r>
      <w:r>
        <w:t>)</w:t>
      </w:r>
      <w:r w:rsidRPr="00375401">
        <w:t xml:space="preserve"> </w:t>
      </w:r>
      <w:r>
        <w:t>Calendar D</w:t>
      </w:r>
      <w:r w:rsidRPr="00375401">
        <w:t xml:space="preserve">ays prior to the proposed effective date.  </w:t>
      </w:r>
      <w:r>
        <w:t>The Market Operator</w:t>
      </w:r>
      <w:r w:rsidRPr="00375401">
        <w:t xml:space="preserve"> will post the identification of any modification or termination of a Trading Hub within</w:t>
      </w:r>
      <w:r>
        <w:t xml:space="preserve"> thirty</w:t>
      </w:r>
      <w:r w:rsidRPr="00375401">
        <w:t xml:space="preserve"> </w:t>
      </w:r>
      <w:r>
        <w:t>(</w:t>
      </w:r>
      <w:r w:rsidRPr="00375401">
        <w:t>30</w:t>
      </w:r>
      <w:r>
        <w:t>)</w:t>
      </w:r>
      <w:r w:rsidRPr="00375401">
        <w:t xml:space="preserve"> </w:t>
      </w:r>
      <w:r>
        <w:t>Calendar Days</w:t>
      </w:r>
      <w:r w:rsidRPr="00375401">
        <w:t xml:space="preserve"> after </w:t>
      </w:r>
      <w:r>
        <w:t>the Market Operator</w:t>
      </w:r>
      <w:r w:rsidRPr="00375401">
        <w:t xml:space="preserve"> has determined that there is a need for modification or termination.  </w:t>
      </w:r>
    </w:p>
    <w:p w14:paraId="6AEC2AFB" w14:textId="77777777" w:rsidR="00B943FB" w:rsidRPr="00375401" w:rsidRDefault="00B943FB" w:rsidP="00B943FB">
      <w:pPr>
        <w:spacing w:before="120" w:line="300" w:lineRule="auto"/>
      </w:pPr>
      <w:r>
        <w:t>The Market Operator</w:t>
      </w:r>
      <w:r w:rsidRPr="00375401">
        <w:t xml:space="preserve"> </w:t>
      </w:r>
      <w:r>
        <w:t>will</w:t>
      </w:r>
      <w:r w:rsidRPr="00375401">
        <w:t xml:space="preserve"> use the following criteria to establish all Trading Hubs:</w:t>
      </w:r>
    </w:p>
    <w:p w14:paraId="0139E05D" w14:textId="3492958B" w:rsidR="00B943FB" w:rsidRPr="00375401" w:rsidRDefault="00B943FB" w:rsidP="00B943FB">
      <w:pPr>
        <w:numPr>
          <w:ilvl w:val="0"/>
          <w:numId w:val="133"/>
        </w:numPr>
        <w:spacing w:before="120" w:line="300" w:lineRule="auto"/>
      </w:pPr>
      <w:r w:rsidRPr="00375401">
        <w:t xml:space="preserve">Each Trading Hub </w:t>
      </w:r>
      <w:r>
        <w:t>will</w:t>
      </w:r>
      <w:r w:rsidRPr="00375401">
        <w:t xml:space="preserve"> contain a sufficient number of </w:t>
      </w:r>
      <w:r w:rsidR="002D623C">
        <w:t>Pnode</w:t>
      </w:r>
      <w:r w:rsidRPr="00375401">
        <w:t>s to ensure that a Trading Hub Locational Marginal Price (LMP) can be calculated for that Trading Hub at all times;</w:t>
      </w:r>
    </w:p>
    <w:p w14:paraId="246108F5" w14:textId="4C44AB52" w:rsidR="00B943FB" w:rsidRPr="00375401" w:rsidRDefault="00B943FB" w:rsidP="00B943FB">
      <w:pPr>
        <w:numPr>
          <w:ilvl w:val="0"/>
          <w:numId w:val="133"/>
        </w:numPr>
        <w:spacing w:before="120" w:line="300" w:lineRule="auto"/>
      </w:pPr>
      <w:r w:rsidRPr="00375401">
        <w:t xml:space="preserve">Each Trading Hub </w:t>
      </w:r>
      <w:r>
        <w:t>will</w:t>
      </w:r>
      <w:r w:rsidRPr="00375401">
        <w:t xml:space="preserve"> contain a sufficient number of </w:t>
      </w:r>
      <w:r w:rsidR="002D623C">
        <w:t>Pnode</w:t>
      </w:r>
      <w:r w:rsidRPr="00375401">
        <w:t xml:space="preserve">s to ensure that the unavailability of, or an adjacent line outage to, any one </w:t>
      </w:r>
      <w:r w:rsidR="002D623C">
        <w:t>Pnode</w:t>
      </w:r>
      <w:r w:rsidRPr="00375401">
        <w:t xml:space="preserve"> or set of </w:t>
      </w:r>
      <w:r w:rsidR="002D623C">
        <w:t>Pnode</w:t>
      </w:r>
      <w:r w:rsidRPr="00375401">
        <w:t xml:space="preserve">s would have only a minor impact on the Trading Hub LMP; </w:t>
      </w:r>
    </w:p>
    <w:p w14:paraId="39A1692F" w14:textId="5812071E" w:rsidR="00B943FB" w:rsidRPr="00375401" w:rsidRDefault="00B943FB" w:rsidP="00B943FB">
      <w:pPr>
        <w:numPr>
          <w:ilvl w:val="0"/>
          <w:numId w:val="133"/>
        </w:numPr>
        <w:spacing w:before="120" w:line="300" w:lineRule="auto"/>
      </w:pPr>
      <w:r w:rsidRPr="00375401">
        <w:t xml:space="preserve">Each Trading Hub </w:t>
      </w:r>
      <w:r>
        <w:t>will</w:t>
      </w:r>
      <w:r w:rsidRPr="00375401">
        <w:t xml:space="preserve"> consist of </w:t>
      </w:r>
      <w:r w:rsidR="002D623C">
        <w:t>Pnode</w:t>
      </w:r>
      <w:r w:rsidRPr="00375401">
        <w:t xml:space="preserve">s with a relatively high rate of service availability; </w:t>
      </w:r>
    </w:p>
    <w:p w14:paraId="004D0EAD" w14:textId="30B0941E" w:rsidR="00B943FB" w:rsidRPr="00375401" w:rsidRDefault="00B943FB" w:rsidP="00B943FB">
      <w:pPr>
        <w:numPr>
          <w:ilvl w:val="0"/>
          <w:numId w:val="133"/>
        </w:numPr>
        <w:spacing w:before="120" w:line="300" w:lineRule="auto"/>
        <w:contextualSpacing/>
      </w:pPr>
      <w:r w:rsidRPr="00375401">
        <w:t xml:space="preserve">Each Trading Hub </w:t>
      </w:r>
      <w:r>
        <w:t>will</w:t>
      </w:r>
      <w:r w:rsidRPr="00375401">
        <w:t xml:space="preserve"> consist of </w:t>
      </w:r>
      <w:r w:rsidR="002D623C">
        <w:t>Pnode</w:t>
      </w:r>
      <w:r w:rsidRPr="00375401">
        <w:t>s among which Transmission Service is relatively unconstrained</w:t>
      </w:r>
      <w:r w:rsidR="00CE2D63">
        <w:t>; and</w:t>
      </w:r>
    </w:p>
    <w:p w14:paraId="2738AF82" w14:textId="77777777" w:rsidR="00B943FB" w:rsidRPr="00D340EE" w:rsidRDefault="00B943FB" w:rsidP="00B943FB">
      <w:pPr>
        <w:numPr>
          <w:ilvl w:val="0"/>
          <w:numId w:val="133"/>
        </w:numPr>
        <w:spacing w:before="120" w:line="300" w:lineRule="auto"/>
        <w:rPr>
          <w:szCs w:val="24"/>
        </w:rPr>
      </w:pPr>
      <w:r w:rsidRPr="00375401">
        <w:t xml:space="preserve">A Trading Hub </w:t>
      </w:r>
      <w:r>
        <w:t>will</w:t>
      </w:r>
      <w:r w:rsidRPr="00375401">
        <w:t xml:space="preserve"> not encompass the combined loads and Resources of a single vertically</w:t>
      </w:r>
      <w:r>
        <w:t xml:space="preserve"> </w:t>
      </w:r>
      <w:r w:rsidRPr="00375401">
        <w:t>integrated utility into a single Settlement Location.</w:t>
      </w:r>
    </w:p>
    <w:p w14:paraId="44B1CB98" w14:textId="012F16BF" w:rsidR="00B943FB" w:rsidRPr="00375401" w:rsidRDefault="00B943FB" w:rsidP="00B943FB">
      <w:pPr>
        <w:spacing w:before="120" w:line="300" w:lineRule="auto"/>
      </w:pPr>
      <w:r w:rsidRPr="00375401">
        <w:t>Approved establishment, modification, or termination of a Trading Hub will be added to the commercial model consistent with the commercial model updates for existing Market Participants set forth in Section</w:t>
      </w:r>
      <w:r w:rsidRPr="00375401" w:rsidDel="00D358F0">
        <w:t xml:space="preserve"> </w:t>
      </w:r>
      <w:r w:rsidR="009A1615">
        <w:fldChar w:fldCharType="begin"/>
      </w:r>
      <w:r w:rsidR="009A1615">
        <w:instrText xml:space="preserve"> REF _Ref212558205 \r \h </w:instrText>
      </w:r>
      <w:r w:rsidR="009A1615">
        <w:fldChar w:fldCharType="separate"/>
      </w:r>
      <w:r w:rsidR="009A1615">
        <w:t>9.6</w:t>
      </w:r>
      <w:r w:rsidR="009A1615">
        <w:fldChar w:fldCharType="end"/>
      </w:r>
      <w:r w:rsidRPr="00375401">
        <w:t xml:space="preserve">, provided that the associated posting requirements </w:t>
      </w:r>
      <w:r>
        <w:t>are</w:t>
      </w:r>
      <w:r w:rsidRPr="00375401">
        <w:t xml:space="preserve"> met.</w:t>
      </w:r>
    </w:p>
    <w:p w14:paraId="73DC6560" w14:textId="77777777" w:rsidR="00B943FB" w:rsidRPr="00A972A3" w:rsidRDefault="00B943FB" w:rsidP="00574EDE">
      <w:pPr>
        <w:pStyle w:val="Heading4"/>
      </w:pPr>
      <w:bookmarkStart w:id="4340" w:name="_Toc159232436"/>
      <w:bookmarkStart w:id="4341" w:name="_Toc163908443"/>
      <w:bookmarkStart w:id="4342" w:name="_Toc166853402"/>
      <w:bookmarkStart w:id="4343" w:name="_Toc213771894"/>
      <w:r w:rsidRPr="00A972A3">
        <w:t>Resource Hubs</w:t>
      </w:r>
      <w:bookmarkEnd w:id="4340"/>
      <w:bookmarkEnd w:id="4341"/>
      <w:bookmarkEnd w:id="4342"/>
      <w:bookmarkEnd w:id="4343"/>
    </w:p>
    <w:p w14:paraId="692A07F0" w14:textId="29F090A9" w:rsidR="00B943FB" w:rsidRPr="00375401" w:rsidRDefault="00B943FB" w:rsidP="00B943FB">
      <w:pPr>
        <w:spacing w:before="120" w:line="300" w:lineRule="auto"/>
      </w:pPr>
      <w:r w:rsidRPr="00375401">
        <w:t xml:space="preserve">A Resource Hub is a Settlement Location representing an aggregation of Resource </w:t>
      </w:r>
      <w:r w:rsidR="002D623C">
        <w:t>Pnode</w:t>
      </w:r>
      <w:r w:rsidRPr="00375401">
        <w:t xml:space="preserve">s.  </w:t>
      </w:r>
      <w:r>
        <w:t>The Market Operator</w:t>
      </w:r>
      <w:r w:rsidRPr="00375401">
        <w:t xml:space="preserve"> will not limit the number of Resource Hubs established at any one time.  The Resource Hub proposal may be composed of any combination of Resources that have not been retired or otherwise decommissioned with which the requesting Market Participant has </w:t>
      </w:r>
      <w:r>
        <w:t xml:space="preserve">an </w:t>
      </w:r>
      <w:r w:rsidRPr="00375401">
        <w:t xml:space="preserve">affiliation.  Proposals for the establishment or termination of Resource Hubs </w:t>
      </w:r>
      <w:r>
        <w:t>must</w:t>
      </w:r>
      <w:r w:rsidRPr="00375401">
        <w:t xml:space="preserve"> be submitted by the Market Participants to </w:t>
      </w:r>
      <w:r>
        <w:t>the Market Operator</w:t>
      </w:r>
      <w:r w:rsidRPr="00375401">
        <w:t xml:space="preserve"> within the Settlement Location update duration set forth in Appendix </w:t>
      </w:r>
      <w:r>
        <w:t>C</w:t>
      </w:r>
      <w:r w:rsidRPr="00375401">
        <w:t xml:space="preserve">.  </w:t>
      </w:r>
      <w:r>
        <w:t>The Market Operator</w:t>
      </w:r>
      <w:r w:rsidRPr="00375401">
        <w:t xml:space="preserve"> will review and approve Resource Hubs based on the criteria defined in this Resource Hubs process.  </w:t>
      </w:r>
      <w:r>
        <w:t>The Market Operator will</w:t>
      </w:r>
      <w:r w:rsidRPr="00375401">
        <w:t xml:space="preserve"> post any approved establishment of a Resource Hub at least forty-five (45) </w:t>
      </w:r>
      <w:r>
        <w:t>Calendar Days</w:t>
      </w:r>
      <w:r w:rsidRPr="00375401">
        <w:t xml:space="preserve"> prior to the proposed effective date.  </w:t>
      </w:r>
      <w:r>
        <w:t>The Market Operator will</w:t>
      </w:r>
      <w:r w:rsidRPr="00375401">
        <w:t xml:space="preserve"> post any approved termination of a Resource Hub and </w:t>
      </w:r>
      <w:r>
        <w:t>will</w:t>
      </w:r>
      <w:r w:rsidRPr="00375401">
        <w:t xml:space="preserve"> not terminate a Resource Hub that is tied to a bilateral contract and related Internal Energy Schedule Settlement Adjustment unless both parties to the Internal Energy Schedule Settlement Adjustment agree to the termination of the Resource Hub.</w:t>
      </w:r>
      <w:r w:rsidR="00DD302E">
        <w:t xml:space="preserve">  </w:t>
      </w:r>
    </w:p>
    <w:p w14:paraId="0C7F69F7" w14:textId="77777777" w:rsidR="00B943FB" w:rsidRPr="00A972A3" w:rsidRDefault="00B943FB" w:rsidP="00574EDE">
      <w:pPr>
        <w:pStyle w:val="Heading4"/>
      </w:pPr>
      <w:bookmarkStart w:id="4344" w:name="_Toc159232437"/>
      <w:bookmarkStart w:id="4345" w:name="_Toc163908444"/>
      <w:bookmarkStart w:id="4346" w:name="_Toc166853403"/>
      <w:bookmarkStart w:id="4347" w:name="_Toc213771895"/>
      <w:r w:rsidRPr="00A972A3">
        <w:t>Asset Owners</w:t>
      </w:r>
      <w:bookmarkEnd w:id="4338"/>
      <w:bookmarkEnd w:id="4339"/>
      <w:bookmarkEnd w:id="4344"/>
      <w:bookmarkEnd w:id="4345"/>
      <w:bookmarkEnd w:id="4346"/>
      <w:bookmarkEnd w:id="4347"/>
    </w:p>
    <w:p w14:paraId="0F10F22A" w14:textId="3182F9A7" w:rsidR="00B943FB" w:rsidRPr="00375401" w:rsidRDefault="00B943FB" w:rsidP="00B943FB">
      <w:pPr>
        <w:spacing w:before="120" w:line="300" w:lineRule="auto"/>
        <w:rPr>
          <w:szCs w:val="24"/>
        </w:rPr>
      </w:pPr>
      <w:r w:rsidRPr="00375401">
        <w:rPr>
          <w:szCs w:val="24"/>
        </w:rPr>
        <w:t xml:space="preserve">The Asset Owner is the next higher hierarchical level in the Commercial Model and typically, but not necessarily, represents a company. A company may choose to be registered as more than one Asset Owner.  Within the Commercial Model, Asset Owners can own any combination of </w:t>
      </w:r>
      <w:r w:rsidR="0061395C">
        <w:rPr>
          <w:szCs w:val="24"/>
        </w:rPr>
        <w:t>Resource</w:t>
      </w:r>
      <w:r w:rsidR="0061395C" w:rsidRPr="00375401">
        <w:rPr>
          <w:szCs w:val="24"/>
        </w:rPr>
        <w:t xml:space="preserve"> </w:t>
      </w:r>
      <w:r w:rsidRPr="00375401" w:rsidDel="0046151A">
        <w:rPr>
          <w:szCs w:val="24"/>
        </w:rPr>
        <w:t>and/or</w:t>
      </w:r>
      <w:r w:rsidRPr="00375401">
        <w:rPr>
          <w:szCs w:val="24"/>
        </w:rPr>
        <w:t xml:space="preserve"> </w:t>
      </w:r>
      <w:r w:rsidR="0061395C">
        <w:rPr>
          <w:szCs w:val="24"/>
        </w:rPr>
        <w:t>l</w:t>
      </w:r>
      <w:r w:rsidRPr="00375401">
        <w:rPr>
          <w:szCs w:val="24"/>
        </w:rPr>
        <w:t xml:space="preserve">oad assets within </w:t>
      </w:r>
      <w:r>
        <w:rPr>
          <w:szCs w:val="24"/>
        </w:rPr>
        <w:t>the</w:t>
      </w:r>
      <w:r w:rsidRPr="00375401">
        <w:rPr>
          <w:szCs w:val="24"/>
        </w:rPr>
        <w:t xml:space="preserve"> Markets+ Footprint.  All Asset Owners must each be represented by a Market Participant.   </w:t>
      </w:r>
      <w:r>
        <w:rPr>
          <w:szCs w:val="24"/>
        </w:rPr>
        <w:t>The Market Operator</w:t>
      </w:r>
      <w:r w:rsidRPr="00375401">
        <w:rPr>
          <w:szCs w:val="24"/>
        </w:rPr>
        <w:t xml:space="preserve"> calculates charges and produces market </w:t>
      </w:r>
      <w:r>
        <w:rPr>
          <w:szCs w:val="24"/>
        </w:rPr>
        <w:t>Settlement</w:t>
      </w:r>
      <w:r w:rsidRPr="00375401">
        <w:rPr>
          <w:szCs w:val="24"/>
        </w:rPr>
        <w:t xml:space="preserve"> </w:t>
      </w:r>
      <w:r>
        <w:rPr>
          <w:szCs w:val="24"/>
        </w:rPr>
        <w:t>S</w:t>
      </w:r>
      <w:r w:rsidRPr="00375401">
        <w:rPr>
          <w:szCs w:val="24"/>
        </w:rPr>
        <w:t xml:space="preserve">tatements for each Asset Owner.  Each Settlement </w:t>
      </w:r>
      <w:r>
        <w:rPr>
          <w:szCs w:val="24"/>
        </w:rPr>
        <w:t>S</w:t>
      </w:r>
      <w:r w:rsidRPr="00375401">
        <w:rPr>
          <w:szCs w:val="24"/>
        </w:rPr>
        <w:t>tatement provides the billing determinants for each transaction, along with the Asset Owner’s total financial obligation resulting from its transactions.</w:t>
      </w:r>
    </w:p>
    <w:p w14:paraId="1826E909" w14:textId="77777777" w:rsidR="00B943FB" w:rsidRPr="00A972A3" w:rsidRDefault="00B943FB" w:rsidP="00574EDE">
      <w:pPr>
        <w:pStyle w:val="Heading4"/>
      </w:pPr>
      <w:bookmarkStart w:id="4348" w:name="_Toc97790910"/>
      <w:bookmarkStart w:id="4349" w:name="_Toc227654688"/>
      <w:bookmarkStart w:id="4350" w:name="_Toc159232438"/>
      <w:bookmarkStart w:id="4351" w:name="_Toc163908445"/>
      <w:bookmarkStart w:id="4352" w:name="_Toc166853404"/>
      <w:bookmarkStart w:id="4353" w:name="_Toc213771896"/>
      <w:r w:rsidRPr="00A972A3">
        <w:t>Market Participants</w:t>
      </w:r>
      <w:bookmarkEnd w:id="4348"/>
      <w:bookmarkEnd w:id="4349"/>
      <w:bookmarkEnd w:id="4350"/>
      <w:bookmarkEnd w:id="4351"/>
      <w:bookmarkEnd w:id="4352"/>
      <w:bookmarkEnd w:id="4353"/>
    </w:p>
    <w:p w14:paraId="27C6C574" w14:textId="77777777" w:rsidR="00B943FB" w:rsidRPr="00375401" w:rsidRDefault="00B943FB" w:rsidP="00B943FB">
      <w:pPr>
        <w:spacing w:before="120" w:line="300" w:lineRule="auto"/>
        <w:rPr>
          <w:szCs w:val="24"/>
        </w:rPr>
      </w:pPr>
      <w:r w:rsidRPr="00375401">
        <w:rPr>
          <w:szCs w:val="24"/>
        </w:rPr>
        <w:t xml:space="preserve">The Market Participant is the highest hierarchical level in the Commercial Model and is the entity in the Commercial Model that is financially obligated to </w:t>
      </w:r>
      <w:r>
        <w:rPr>
          <w:szCs w:val="24"/>
        </w:rPr>
        <w:t>the Market Operator</w:t>
      </w:r>
      <w:r w:rsidRPr="00375401">
        <w:rPr>
          <w:szCs w:val="24"/>
        </w:rPr>
        <w:t xml:space="preserve"> for market settlements.  A single Market Participant represents one or more Asset Owners.  A single Market Participant may authorize other entities to act on its behalf.  The Market Participant remains financially responsible for market settlements.   </w:t>
      </w:r>
    </w:p>
    <w:p w14:paraId="0F91BC0D" w14:textId="08B047E0" w:rsidR="00B943FB" w:rsidRPr="00375401" w:rsidRDefault="00B943FB" w:rsidP="00B943FB">
      <w:pPr>
        <w:spacing w:before="120" w:line="300" w:lineRule="auto"/>
        <w:rPr>
          <w:szCs w:val="24"/>
        </w:rPr>
      </w:pPr>
      <w:r w:rsidRPr="00375401">
        <w:rPr>
          <w:szCs w:val="24"/>
        </w:rPr>
        <w:t>Exhibit 4-</w:t>
      </w:r>
      <w:r w:rsidR="00A4572D">
        <w:rPr>
          <w:szCs w:val="24"/>
        </w:rPr>
        <w:t>1</w:t>
      </w:r>
      <w:r w:rsidR="00A013FA">
        <w:rPr>
          <w:szCs w:val="24"/>
        </w:rPr>
        <w:t>6</w:t>
      </w:r>
      <w:r w:rsidRPr="00375401">
        <w:rPr>
          <w:szCs w:val="24"/>
        </w:rPr>
        <w:t xml:space="preserve"> provides an illustration of potential relationships within the Commercial Model.</w:t>
      </w:r>
    </w:p>
    <w:p w14:paraId="64E7E815" w14:textId="77777777" w:rsidR="00B943FB" w:rsidRDefault="00B943FB" w:rsidP="00B943FB">
      <w:pPr>
        <w:rPr>
          <w:b/>
          <w:szCs w:val="24"/>
        </w:rPr>
      </w:pPr>
      <w:bookmarkStart w:id="4354" w:name="_Toc247468362"/>
      <w:r>
        <w:rPr>
          <w:b/>
          <w:szCs w:val="24"/>
        </w:rPr>
        <w:br w:type="page"/>
      </w:r>
    </w:p>
    <w:p w14:paraId="2FBF51A9" w14:textId="6DC2056F" w:rsidR="00B943FB" w:rsidRPr="00375401" w:rsidRDefault="00B943FB" w:rsidP="00B943FB">
      <w:pPr>
        <w:spacing w:after="0"/>
        <w:jc w:val="center"/>
        <w:rPr>
          <w:b/>
          <w:bCs/>
          <w:szCs w:val="24"/>
        </w:rPr>
      </w:pPr>
      <w:r w:rsidRPr="71220019">
        <w:rPr>
          <w:b/>
          <w:bCs/>
          <w:szCs w:val="24"/>
        </w:rPr>
        <w:t xml:space="preserve">Exhibit </w:t>
      </w:r>
      <w:r w:rsidRPr="71220019">
        <w:rPr>
          <w:b/>
          <w:bCs/>
          <w:szCs w:val="24"/>
        </w:rPr>
        <w:fldChar w:fldCharType="begin"/>
      </w:r>
      <w:r w:rsidRPr="71220019">
        <w:rPr>
          <w:b/>
          <w:bCs/>
          <w:szCs w:val="24"/>
        </w:rPr>
        <w:instrText xml:space="preserve"> STYLEREF 1 \s </w:instrText>
      </w:r>
      <w:r w:rsidRPr="71220019">
        <w:rPr>
          <w:b/>
          <w:bCs/>
          <w:szCs w:val="24"/>
        </w:rPr>
        <w:fldChar w:fldCharType="separate"/>
      </w:r>
      <w:r w:rsidRPr="71220019">
        <w:rPr>
          <w:b/>
          <w:bCs/>
          <w:noProof/>
          <w:szCs w:val="24"/>
        </w:rPr>
        <w:t>4</w:t>
      </w:r>
      <w:r w:rsidRPr="71220019">
        <w:rPr>
          <w:b/>
          <w:bCs/>
          <w:szCs w:val="24"/>
        </w:rPr>
        <w:fldChar w:fldCharType="end"/>
      </w:r>
      <w:r w:rsidRPr="00375401">
        <w:rPr>
          <w:b/>
          <w:szCs w:val="24"/>
        </w:rPr>
        <w:noBreakHyphen/>
      </w:r>
      <w:r w:rsidR="00A013FA">
        <w:rPr>
          <w:b/>
          <w:bCs/>
          <w:szCs w:val="24"/>
        </w:rPr>
        <w:t>6</w:t>
      </w:r>
      <w:r w:rsidRPr="71220019">
        <w:rPr>
          <w:b/>
          <w:bCs/>
          <w:szCs w:val="24"/>
        </w:rPr>
        <w:t>: Example of Commercial Model Relationships</w:t>
      </w:r>
    </w:p>
    <w:p w14:paraId="59AC86AD" w14:textId="77777777" w:rsidR="00B943FB" w:rsidRPr="00375401" w:rsidRDefault="00B943FB" w:rsidP="00B943FB">
      <w:pPr>
        <w:spacing w:before="120" w:line="300" w:lineRule="auto"/>
        <w:jc w:val="center"/>
        <w:rPr>
          <w:szCs w:val="24"/>
        </w:rPr>
      </w:pPr>
      <w:bookmarkStart w:id="4355" w:name="OLE_LINK117"/>
      <w:bookmarkStart w:id="4356" w:name="OLE_LINK118"/>
      <w:bookmarkEnd w:id="4354"/>
      <w:r w:rsidRPr="00375401">
        <w:rPr>
          <w:noProof/>
        </w:rPr>
        <w:drawing>
          <wp:inline distT="0" distB="0" distL="0" distR="0" wp14:anchorId="6A3ACF90" wp14:editId="6D39B59B">
            <wp:extent cx="5866765" cy="4208145"/>
            <wp:effectExtent l="19050" t="0" r="635" b="0"/>
            <wp:docPr id="14"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iagram&#10;&#10;Description automatically generated"/>
                    <pic:cNvPicPr>
                      <a:picLocks noChangeAspect="1" noChangeArrowheads="1"/>
                    </pic:cNvPicPr>
                  </pic:nvPicPr>
                  <pic:blipFill>
                    <a:blip r:embed="rId55" cstate="print"/>
                    <a:srcRect/>
                    <a:stretch>
                      <a:fillRect/>
                    </a:stretch>
                  </pic:blipFill>
                  <pic:spPr bwMode="auto">
                    <a:xfrm>
                      <a:off x="0" y="0"/>
                      <a:ext cx="5866765" cy="4208145"/>
                    </a:xfrm>
                    <a:prstGeom prst="rect">
                      <a:avLst/>
                    </a:prstGeom>
                    <a:noFill/>
                    <a:ln w="9525">
                      <a:noFill/>
                      <a:miter lim="800000"/>
                      <a:headEnd/>
                      <a:tailEnd/>
                    </a:ln>
                  </pic:spPr>
                </pic:pic>
              </a:graphicData>
            </a:graphic>
          </wp:inline>
        </w:drawing>
      </w:r>
      <w:bookmarkEnd w:id="4355"/>
      <w:bookmarkEnd w:id="4356"/>
    </w:p>
    <w:p w14:paraId="4AB78339" w14:textId="77777777" w:rsidR="00B943FB" w:rsidRPr="00375401" w:rsidRDefault="00B943FB" w:rsidP="00B943FB">
      <w:pPr>
        <w:spacing w:after="0"/>
        <w:rPr>
          <w:b/>
          <w:sz w:val="20"/>
        </w:rPr>
      </w:pPr>
      <w:r w:rsidRPr="00375401">
        <w:rPr>
          <w:b/>
          <w:szCs w:val="24"/>
        </w:rPr>
        <w:t xml:space="preserve"> </w:t>
      </w:r>
      <w:r w:rsidRPr="00375401">
        <w:rPr>
          <w:b/>
          <w:noProof/>
          <w:szCs w:val="24"/>
        </w:rPr>
        <mc:AlternateContent>
          <mc:Choice Requires="wps">
            <w:drawing>
              <wp:inline distT="0" distB="0" distL="0" distR="0" wp14:anchorId="59F8E388" wp14:editId="3C3DCBB9">
                <wp:extent cx="2743200" cy="822960"/>
                <wp:effectExtent l="0" t="0" r="19050" b="152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2960"/>
                        </a:xfrm>
                        <a:prstGeom prst="rect">
                          <a:avLst/>
                        </a:prstGeom>
                        <a:solidFill>
                          <a:srgbClr val="FFFFFF"/>
                        </a:solidFill>
                        <a:ln w="9525">
                          <a:solidFill>
                            <a:srgbClr val="000000"/>
                          </a:solidFill>
                          <a:miter lim="800000"/>
                          <a:headEnd/>
                          <a:tailEnd/>
                        </a:ln>
                      </wps:spPr>
                      <wps:txbx>
                        <w:txbxContent>
                          <w:p w14:paraId="74F93B4B" w14:textId="77777777" w:rsidR="00B943FB" w:rsidRPr="007E6315" w:rsidRDefault="00B943FB" w:rsidP="00B943FB">
                            <w:pPr>
                              <w:pStyle w:val="ParaText"/>
                              <w:spacing w:after="0" w:line="240" w:lineRule="auto"/>
                              <w:rPr>
                                <w:b/>
                                <w:sz w:val="20"/>
                              </w:rPr>
                            </w:pPr>
                            <w:r w:rsidRPr="007E6315">
                              <w:rPr>
                                <w:b/>
                                <w:sz w:val="20"/>
                              </w:rPr>
                              <w:t xml:space="preserve">Legend:  </w:t>
                            </w:r>
                            <w:r w:rsidRPr="007E6315">
                              <w:rPr>
                                <w:b/>
                                <w:sz w:val="20"/>
                              </w:rPr>
                              <w:tab/>
                              <w:t xml:space="preserve">AO = Asset Owner </w:t>
                            </w:r>
                          </w:p>
                          <w:p w14:paraId="186495E6" w14:textId="77777777" w:rsidR="00B943FB" w:rsidRPr="007E6315" w:rsidRDefault="00B943FB" w:rsidP="00B943FB">
                            <w:pPr>
                              <w:pStyle w:val="ParaText"/>
                              <w:spacing w:after="0" w:line="240" w:lineRule="auto"/>
                              <w:ind w:left="720" w:firstLine="720"/>
                              <w:rPr>
                                <w:b/>
                                <w:sz w:val="20"/>
                              </w:rPr>
                            </w:pPr>
                            <w:r w:rsidRPr="007E6315">
                              <w:rPr>
                                <w:b/>
                                <w:sz w:val="20"/>
                              </w:rPr>
                              <w:t>MP = Market Participant</w:t>
                            </w:r>
                          </w:p>
                          <w:p w14:paraId="65D75086" w14:textId="77777777" w:rsidR="00B943FB" w:rsidRPr="007E6315" w:rsidRDefault="00B943FB" w:rsidP="00B943FB">
                            <w:pPr>
                              <w:pStyle w:val="ParaText"/>
                              <w:spacing w:after="0" w:line="240" w:lineRule="auto"/>
                              <w:ind w:left="720" w:firstLine="720"/>
                              <w:rPr>
                                <w:b/>
                                <w:sz w:val="20"/>
                              </w:rPr>
                            </w:pPr>
                            <w:r w:rsidRPr="007E6315">
                              <w:rPr>
                                <w:b/>
                                <w:sz w:val="20"/>
                              </w:rPr>
                              <w:t>G = Generator</w:t>
                            </w:r>
                          </w:p>
                          <w:p w14:paraId="103918D2" w14:textId="77777777" w:rsidR="00B943FB" w:rsidRPr="007E6315" w:rsidRDefault="00B943FB" w:rsidP="00B943FB">
                            <w:pPr>
                              <w:pStyle w:val="ParaText"/>
                              <w:spacing w:after="0" w:line="240" w:lineRule="auto"/>
                              <w:ind w:left="720" w:firstLine="720"/>
                              <w:rPr>
                                <w:b/>
                                <w:sz w:val="20"/>
                              </w:rPr>
                            </w:pPr>
                            <w:r w:rsidRPr="007E6315">
                              <w:rPr>
                                <w:b/>
                                <w:sz w:val="20"/>
                              </w:rPr>
                              <w:t>L = Load</w:t>
                            </w:r>
                          </w:p>
                          <w:p w14:paraId="7979F897" w14:textId="77777777" w:rsidR="00B943FB" w:rsidRPr="007E6315" w:rsidRDefault="00B943FB" w:rsidP="00B943FB">
                            <w:pPr>
                              <w:pStyle w:val="ParaText"/>
                              <w:spacing w:after="0" w:line="240" w:lineRule="auto"/>
                              <w:ind w:left="720" w:firstLine="720"/>
                              <w:rPr>
                                <w:b/>
                                <w:sz w:val="20"/>
                              </w:rPr>
                            </w:pPr>
                            <w:r w:rsidRPr="007E6315">
                              <w:rPr>
                                <w:b/>
                                <w:sz w:val="20"/>
                              </w:rPr>
                              <w:t>D = Demand Response</w:t>
                            </w:r>
                          </w:p>
                          <w:p w14:paraId="5742C3EC" w14:textId="77777777" w:rsidR="00B943FB" w:rsidRDefault="00B943FB" w:rsidP="00B943FB"/>
                        </w:txbxContent>
                      </wps:txbx>
                      <wps:bodyPr rot="0" vert="horz" wrap="square" lIns="91440" tIns="45720" rIns="91440" bIns="45720" anchor="t" anchorCtr="0">
                        <a:noAutofit/>
                      </wps:bodyPr>
                    </wps:wsp>
                  </a:graphicData>
                </a:graphic>
              </wp:inline>
            </w:drawing>
          </mc:Choice>
          <mc:Fallback>
            <w:pict>
              <v:shape w14:anchorId="59F8E388" id="Text Box 2" o:spid="_x0000_s1027" type="#_x0000_t202" style="width:3in;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">
                <v:textbox>
                  <w:txbxContent>
                    <w:p w14:paraId="74F93B4B" w14:textId="77777777" w:rsidR="00B943FB" w:rsidRPr="007E6315" w:rsidRDefault="00B943FB" w:rsidP="00B943FB">
                      <w:pPr>
                        <w:pStyle w:val="ParaText"/>
                        <w:spacing w:after="0" w:line="240" w:lineRule="auto"/>
                        <w:rPr>
                          <w:b/>
                          <w:sz w:val="20"/>
                        </w:rPr>
                      </w:pPr>
                      <w:r w:rsidRPr="007E6315">
                        <w:rPr>
                          <w:b/>
                          <w:sz w:val="20"/>
                        </w:rPr>
                        <w:t xml:space="preserve">Legend:  </w:t>
                      </w:r>
                      <w:r w:rsidRPr="007E6315">
                        <w:rPr>
                          <w:b/>
                          <w:sz w:val="20"/>
                        </w:rPr>
                        <w:tab/>
                        <w:t xml:space="preserve">AO = Asset Owner </w:t>
                      </w:r>
                    </w:p>
                    <w:p w14:paraId="186495E6" w14:textId="77777777" w:rsidR="00B943FB" w:rsidRPr="007E6315" w:rsidRDefault="00B943FB" w:rsidP="00B943FB">
                      <w:pPr>
                        <w:pStyle w:val="ParaText"/>
                        <w:spacing w:after="0" w:line="240" w:lineRule="auto"/>
                        <w:ind w:left="720" w:firstLine="720"/>
                        <w:rPr>
                          <w:b/>
                          <w:sz w:val="20"/>
                        </w:rPr>
                      </w:pPr>
                      <w:r w:rsidRPr="007E6315">
                        <w:rPr>
                          <w:b/>
                          <w:sz w:val="20"/>
                        </w:rPr>
                        <w:t>MP = Market Participant</w:t>
                      </w:r>
                    </w:p>
                    <w:p w14:paraId="65D75086" w14:textId="77777777" w:rsidR="00B943FB" w:rsidRPr="007E6315" w:rsidRDefault="00B943FB" w:rsidP="00B943FB">
                      <w:pPr>
                        <w:pStyle w:val="ParaText"/>
                        <w:spacing w:after="0" w:line="240" w:lineRule="auto"/>
                        <w:ind w:left="720" w:firstLine="720"/>
                        <w:rPr>
                          <w:b/>
                          <w:sz w:val="20"/>
                        </w:rPr>
                      </w:pPr>
                      <w:r w:rsidRPr="007E6315">
                        <w:rPr>
                          <w:b/>
                          <w:sz w:val="20"/>
                        </w:rPr>
                        <w:t>G = Generator</w:t>
                      </w:r>
                    </w:p>
                    <w:p w14:paraId="103918D2" w14:textId="77777777" w:rsidR="00B943FB" w:rsidRPr="007E6315" w:rsidRDefault="00B943FB" w:rsidP="00B943FB">
                      <w:pPr>
                        <w:pStyle w:val="ParaText"/>
                        <w:spacing w:after="0" w:line="240" w:lineRule="auto"/>
                        <w:ind w:left="720" w:firstLine="720"/>
                        <w:rPr>
                          <w:b/>
                          <w:sz w:val="20"/>
                        </w:rPr>
                      </w:pPr>
                      <w:r w:rsidRPr="007E6315">
                        <w:rPr>
                          <w:b/>
                          <w:sz w:val="20"/>
                        </w:rPr>
                        <w:t>L = Load</w:t>
                      </w:r>
                    </w:p>
                    <w:p w14:paraId="7979F897" w14:textId="77777777" w:rsidR="00B943FB" w:rsidRPr="007E6315" w:rsidRDefault="00B943FB" w:rsidP="00B943FB">
                      <w:pPr>
                        <w:pStyle w:val="ParaText"/>
                        <w:spacing w:after="0" w:line="240" w:lineRule="auto"/>
                        <w:ind w:left="720" w:firstLine="720"/>
                        <w:rPr>
                          <w:b/>
                          <w:sz w:val="20"/>
                        </w:rPr>
                      </w:pPr>
                      <w:r w:rsidRPr="007E6315">
                        <w:rPr>
                          <w:b/>
                          <w:sz w:val="20"/>
                        </w:rPr>
                        <w:t>D = Demand Response</w:t>
                      </w:r>
                    </w:p>
                    <w:p w14:paraId="5742C3EC" w14:textId="77777777" w:rsidR="00B943FB" w:rsidRDefault="00B943FB" w:rsidP="00B943FB"/>
                  </w:txbxContent>
                </v:textbox>
                <w10:anchorlock/>
              </v:shape>
            </w:pict>
          </mc:Fallback>
        </mc:AlternateContent>
      </w:r>
    </w:p>
    <w:p w14:paraId="7D31FC84" w14:textId="77777777" w:rsidR="00B943FB" w:rsidRPr="00375401" w:rsidRDefault="00B943FB" w:rsidP="00B943FB">
      <w:pPr>
        <w:spacing w:line="300" w:lineRule="auto"/>
      </w:pPr>
    </w:p>
    <w:p w14:paraId="01B159DB" w14:textId="573ED25D" w:rsidR="00B943FB" w:rsidRPr="00375401" w:rsidRDefault="00B943FB" w:rsidP="00B943FB">
      <w:pPr>
        <w:spacing w:line="300" w:lineRule="auto"/>
      </w:pPr>
      <w:r w:rsidRPr="00375401">
        <w:t xml:space="preserve">In addition to these defined financial relationships, the Commercial Model is also used to define and represent Common Buses, Reserve Zones, </w:t>
      </w:r>
      <w:r>
        <w:t xml:space="preserve">GHG Pricing Zones, </w:t>
      </w:r>
      <w:r w:rsidRPr="00375401">
        <w:t>Meter Data Submittal Locations, Meter Settlement Locations</w:t>
      </w:r>
      <w:r>
        <w:t>,</w:t>
      </w:r>
      <w:r w:rsidRPr="00375401">
        <w:t xml:space="preserve"> and Demand Response Load.  These relationships are defined under Section</w:t>
      </w:r>
      <w:r w:rsidR="00CB7D42">
        <w:t xml:space="preserve"> </w:t>
      </w:r>
      <w:r w:rsidR="00CB7D42">
        <w:fldChar w:fldCharType="begin"/>
      </w:r>
      <w:r w:rsidR="00CB7D42">
        <w:instrText xml:space="preserve"> REF _Ref212558522 \r \h </w:instrText>
      </w:r>
      <w:r w:rsidR="00CB7D42">
        <w:fldChar w:fldCharType="separate"/>
      </w:r>
      <w:r w:rsidR="00CB7D42">
        <w:t>9</w:t>
      </w:r>
      <w:r w:rsidR="00CB7D42">
        <w:fldChar w:fldCharType="end"/>
      </w:r>
      <w:r w:rsidRPr="00375401">
        <w:fldChar w:fldCharType="begin"/>
      </w:r>
      <w:r w:rsidRPr="00375401">
        <w:instrText xml:space="preserve"> REF _Ref263316719 \r \h </w:instrText>
      </w:r>
      <w:r w:rsidRPr="00375401">
        <w:fldChar w:fldCharType="separate"/>
      </w:r>
      <w:r w:rsidRPr="00375401">
        <w:fldChar w:fldCharType="end"/>
      </w:r>
      <w:r w:rsidRPr="00375401">
        <w:t>, Market Registration.</w:t>
      </w:r>
    </w:p>
    <w:p w14:paraId="0BD0CA74" w14:textId="77777777" w:rsidR="00B943FB" w:rsidRPr="00A972A3" w:rsidRDefault="00B943FB" w:rsidP="00CB5653">
      <w:pPr>
        <w:pStyle w:val="Heading3"/>
      </w:pPr>
      <w:bookmarkStart w:id="4357" w:name="_Toc159232439"/>
      <w:bookmarkStart w:id="4358" w:name="_Toc163908446"/>
      <w:bookmarkStart w:id="4359" w:name="_Toc245728040"/>
      <w:bookmarkStart w:id="4360" w:name="_Toc248644164"/>
      <w:bookmarkStart w:id="4361" w:name="_Toc258924898"/>
      <w:bookmarkStart w:id="4362" w:name="_Toc263173332"/>
      <w:bookmarkStart w:id="4363" w:name="_Toc263173625"/>
      <w:bookmarkStart w:id="4364" w:name="_Toc263173811"/>
      <w:bookmarkStart w:id="4365" w:name="_Toc263174192"/>
      <w:bookmarkStart w:id="4366" w:name="_Toc263235091"/>
      <w:bookmarkStart w:id="4367" w:name="_Toc263235734"/>
      <w:bookmarkStart w:id="4368" w:name="_Toc263429446"/>
      <w:bookmarkStart w:id="4369" w:name="_Toc263795485"/>
      <w:bookmarkStart w:id="4370" w:name="_Toc266869662"/>
      <w:bookmarkStart w:id="4371" w:name="_Ref367804263"/>
      <w:bookmarkStart w:id="4372" w:name="_Toc166853405"/>
      <w:bookmarkStart w:id="4373" w:name="_Toc213771897"/>
      <w:r w:rsidRPr="00A972A3">
        <w:t>Markets+ Internal Energy Schedule Settlement Adjustment</w:t>
      </w:r>
      <w:bookmarkStart w:id="4374" w:name="_Toc134796755"/>
      <w:bookmarkStart w:id="4375" w:name="_Toc134799051"/>
      <w:bookmarkStart w:id="4376" w:name="_Toc145059459"/>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1344771D" w14:textId="20192EE6" w:rsidR="00B56F75" w:rsidRPr="00EC721E" w:rsidRDefault="00B56F75" w:rsidP="00B56F75">
      <w:pPr>
        <w:tabs>
          <w:tab w:val="left" w:pos="810"/>
        </w:tabs>
        <w:spacing w:line="300" w:lineRule="auto"/>
        <w:ind w:left="360"/>
        <w:rPr>
          <w:szCs w:val="24"/>
        </w:rPr>
      </w:pPr>
      <w:r w:rsidRPr="00EC721E">
        <w:rPr>
          <w:szCs w:val="24"/>
        </w:rPr>
        <w:t xml:space="preserve">Market Participants may optionally request a Markets+ Internal Energy Schedule Settlement Adjustment (IESSA) for their associated Energy Schedules that source and sink within the Markets+ Footprint.  </w:t>
      </w:r>
      <w:r w:rsidRPr="00EC721E">
        <w:t xml:space="preserve">For purposes of this section, where an energy schedule sources and sinks corresponds to the points of injection and withdrawal found in the Energy Schedule. The points of injection and withdrawal must also correspond to Settlement Locations, which may be External Interfaces. </w:t>
      </w:r>
      <w:r w:rsidRPr="00EC721E">
        <w:rPr>
          <w:szCs w:val="24"/>
        </w:rPr>
        <w:t>In addition, a Market Participant with an Internal GHG Resource or a Specified Source Resource with a contract to serve GHG Load within a GHG Pricing Zone may submit an IESSA transaction for MWs attributed to that GHG Pricing Zone by including such attributed MW amount as part of their IESSA for Energy submission.  For the Market Operator to process the IESSA, the transacting parties must submit an e-</w:t>
      </w:r>
      <w:r w:rsidR="003800B8">
        <w:rPr>
          <w:szCs w:val="24"/>
        </w:rPr>
        <w:t>T</w:t>
      </w:r>
      <w:r w:rsidRPr="00EC721E">
        <w:rPr>
          <w:szCs w:val="24"/>
        </w:rPr>
        <w:t xml:space="preserve">ag to the Market Operator reflecting the buyer and seller pair on the transaction and location within the Markets+ Footprint.   </w:t>
      </w:r>
    </w:p>
    <w:p w14:paraId="449A5B9E" w14:textId="77777777" w:rsidR="00B943FB" w:rsidRDefault="00B943FB" w:rsidP="00B943FB">
      <w:pPr>
        <w:tabs>
          <w:tab w:val="left" w:pos="8640"/>
        </w:tabs>
        <w:spacing w:line="300" w:lineRule="auto"/>
        <w:ind w:left="1080" w:hanging="540"/>
        <w:rPr>
          <w:szCs w:val="24"/>
        </w:rPr>
      </w:pPr>
      <w:r>
        <w:rPr>
          <w:szCs w:val="24"/>
        </w:rPr>
        <w:t>(a)</w:t>
      </w:r>
      <w:r>
        <w:rPr>
          <w:szCs w:val="24"/>
        </w:rPr>
        <w:tab/>
      </w:r>
      <w:r w:rsidRPr="007B4556">
        <w:rPr>
          <w:szCs w:val="24"/>
        </w:rPr>
        <w:t xml:space="preserve">Transactions related to Markets+ </w:t>
      </w:r>
      <w:r>
        <w:rPr>
          <w:szCs w:val="24"/>
        </w:rPr>
        <w:t>IESSA</w:t>
      </w:r>
      <w:r w:rsidRPr="007B4556">
        <w:rPr>
          <w:szCs w:val="24"/>
        </w:rPr>
        <w:t xml:space="preserve"> for Energy must specify the Settlement Location, the MW quantity, the buyer, the seller, and which market it applies to (Day-Ahead Market or RTBM), and must be for the physical transfer of Energy, with title of the energy transferring from the seller to the buyer at the Settlement Location specified for the transaction.  Transactions do not preclude Resources from economically participating in the market nor require a Resource self-commitment.</w:t>
      </w:r>
      <w:r>
        <w:rPr>
          <w:szCs w:val="24"/>
        </w:rPr>
        <w:t xml:space="preserve">  The following rules apply to a valid submission of an IESSA:</w:t>
      </w:r>
      <w:r w:rsidRPr="007B4556">
        <w:rPr>
          <w:szCs w:val="24"/>
        </w:rPr>
        <w:t> </w:t>
      </w:r>
    </w:p>
    <w:p w14:paraId="70B98C32" w14:textId="1D80A5B4" w:rsidR="00B943FB" w:rsidRPr="00F66D84" w:rsidRDefault="00B943FB" w:rsidP="00B56F75">
      <w:pPr>
        <w:tabs>
          <w:tab w:val="left" w:pos="8640"/>
        </w:tabs>
        <w:spacing w:before="120" w:line="300" w:lineRule="auto"/>
        <w:ind w:left="1530" w:hanging="540"/>
        <w:rPr>
          <w:szCs w:val="24"/>
        </w:rPr>
      </w:pPr>
      <w:r>
        <w:rPr>
          <w:szCs w:val="24"/>
        </w:rPr>
        <w:t>(i)</w:t>
      </w:r>
      <w:r>
        <w:rPr>
          <w:szCs w:val="24"/>
        </w:rPr>
        <w:tab/>
      </w:r>
      <w:r w:rsidRPr="00F66D84">
        <w:rPr>
          <w:szCs w:val="24"/>
        </w:rPr>
        <w:t xml:space="preserve">The Settlement Location selected must correspond to an </w:t>
      </w:r>
      <w:r w:rsidR="005B1424">
        <w:rPr>
          <w:szCs w:val="24"/>
        </w:rPr>
        <w:t>ENode</w:t>
      </w:r>
      <w:r w:rsidRPr="00F66D84">
        <w:rPr>
          <w:szCs w:val="24"/>
        </w:rPr>
        <w:t xml:space="preserve"> (or aggregation of locations) reflected on the physical path of the </w:t>
      </w:r>
      <w:r w:rsidR="00C731F4">
        <w:rPr>
          <w:szCs w:val="24"/>
        </w:rPr>
        <w:t>e</w:t>
      </w:r>
      <w:r w:rsidR="00EA76D7">
        <w:rPr>
          <w:szCs w:val="24"/>
        </w:rPr>
        <w:t>-Tag</w:t>
      </w:r>
      <w:r w:rsidRPr="00F66D84">
        <w:rPr>
          <w:szCs w:val="24"/>
        </w:rPr>
        <w:t xml:space="preserve"> within the Markets+ Footprint</w:t>
      </w:r>
      <w:r>
        <w:rPr>
          <w:szCs w:val="24"/>
        </w:rPr>
        <w:t>;</w:t>
      </w:r>
      <w:r w:rsidRPr="00F66D84">
        <w:rPr>
          <w:szCs w:val="24"/>
        </w:rPr>
        <w:t xml:space="preserve">  </w:t>
      </w:r>
    </w:p>
    <w:p w14:paraId="1944452A" w14:textId="6B61A788" w:rsidR="00B943FB" w:rsidRDefault="00B943FB" w:rsidP="00B56F75">
      <w:pPr>
        <w:tabs>
          <w:tab w:val="left" w:pos="8640"/>
        </w:tabs>
        <w:spacing w:before="120" w:line="300" w:lineRule="auto"/>
        <w:ind w:left="1530" w:hanging="540"/>
        <w:rPr>
          <w:szCs w:val="24"/>
        </w:rPr>
      </w:pPr>
      <w:r>
        <w:rPr>
          <w:szCs w:val="24"/>
        </w:rPr>
        <w:t>(ii)</w:t>
      </w:r>
      <w:r>
        <w:rPr>
          <w:szCs w:val="24"/>
        </w:rPr>
        <w:tab/>
        <w:t>The MW quantity</w:t>
      </w:r>
      <w:r w:rsidRPr="00F66D84">
        <w:rPr>
          <w:szCs w:val="24"/>
        </w:rPr>
        <w:t xml:space="preserve"> must not exceed the volume on the e-</w:t>
      </w:r>
      <w:r w:rsidR="00894D38">
        <w:rPr>
          <w:szCs w:val="24"/>
        </w:rPr>
        <w:t>T</w:t>
      </w:r>
      <w:r w:rsidRPr="00F66D84">
        <w:rPr>
          <w:szCs w:val="24"/>
        </w:rPr>
        <w:t>ag underlying the transaction</w:t>
      </w:r>
      <w:r>
        <w:rPr>
          <w:szCs w:val="24"/>
        </w:rPr>
        <w:t>; and</w:t>
      </w:r>
    </w:p>
    <w:p w14:paraId="6B1E1E6B" w14:textId="1C64FA24" w:rsidR="00B943FB" w:rsidRDefault="00B943FB" w:rsidP="00B56F75">
      <w:pPr>
        <w:tabs>
          <w:tab w:val="left" w:pos="8640"/>
        </w:tabs>
        <w:spacing w:before="120" w:line="300" w:lineRule="auto"/>
        <w:ind w:left="1530" w:hanging="540"/>
        <w:rPr>
          <w:szCs w:val="24"/>
        </w:rPr>
      </w:pPr>
      <w:r>
        <w:rPr>
          <w:szCs w:val="24"/>
        </w:rPr>
        <w:t>(iii)</w:t>
      </w:r>
      <w:r>
        <w:rPr>
          <w:szCs w:val="24"/>
        </w:rPr>
        <w:tab/>
        <w:t>The buyer and seller must be adjacent on the market path specified on the e-</w:t>
      </w:r>
      <w:r w:rsidR="00261383">
        <w:rPr>
          <w:szCs w:val="24"/>
        </w:rPr>
        <w:t>T</w:t>
      </w:r>
      <w:r>
        <w:rPr>
          <w:szCs w:val="24"/>
        </w:rPr>
        <w:t>ag.</w:t>
      </w:r>
      <w:r w:rsidRPr="00F66D84">
        <w:rPr>
          <w:szCs w:val="24"/>
        </w:rPr>
        <w:t>   </w:t>
      </w:r>
    </w:p>
    <w:p w14:paraId="7D81D79E" w14:textId="77777777" w:rsidR="00B943FB" w:rsidRDefault="00B943FB" w:rsidP="00B943FB">
      <w:pPr>
        <w:tabs>
          <w:tab w:val="left" w:pos="8640"/>
        </w:tabs>
        <w:spacing w:line="300" w:lineRule="auto"/>
        <w:ind w:left="1080" w:hanging="540"/>
        <w:rPr>
          <w:szCs w:val="24"/>
        </w:rPr>
      </w:pPr>
      <w:r>
        <w:rPr>
          <w:szCs w:val="24"/>
        </w:rPr>
        <w:t>(b)</w:t>
      </w:r>
      <w:r>
        <w:rPr>
          <w:szCs w:val="24"/>
        </w:rPr>
        <w:tab/>
      </w:r>
      <w:r w:rsidRPr="007B4556">
        <w:rPr>
          <w:szCs w:val="24"/>
        </w:rPr>
        <w:t xml:space="preserve">Transactions related to Markets+ </w:t>
      </w:r>
      <w:r>
        <w:rPr>
          <w:szCs w:val="24"/>
        </w:rPr>
        <w:t>IESSA</w:t>
      </w:r>
      <w:r w:rsidRPr="007B4556">
        <w:rPr>
          <w:szCs w:val="24"/>
        </w:rPr>
        <w:t xml:space="preserve"> for </w:t>
      </w:r>
      <w:r>
        <w:rPr>
          <w:szCs w:val="24"/>
        </w:rPr>
        <w:t xml:space="preserve">GHG </w:t>
      </w:r>
      <w:r w:rsidRPr="007B4556">
        <w:rPr>
          <w:szCs w:val="24"/>
        </w:rPr>
        <w:t>attributed</w:t>
      </w:r>
      <w:r>
        <w:rPr>
          <w:szCs w:val="24"/>
        </w:rPr>
        <w:t xml:space="preserve"> MWs </w:t>
      </w:r>
      <w:r w:rsidRPr="007B4556">
        <w:rPr>
          <w:szCs w:val="24"/>
        </w:rPr>
        <w:t xml:space="preserve">must specify the </w:t>
      </w:r>
      <w:r>
        <w:rPr>
          <w:szCs w:val="24"/>
        </w:rPr>
        <w:t xml:space="preserve">MW quantity as part of the corresponding IESSA for Energy.  The MW quantity must be less than or equal to the MW quantity specified in the corresponding IESSA for Energy.  The </w:t>
      </w:r>
      <w:r w:rsidRPr="007B4556">
        <w:rPr>
          <w:szCs w:val="24"/>
        </w:rPr>
        <w:t>Settlement Location, the buyer, the seller, and which market it applies to (Day-Ahead Market or RTBM)</w:t>
      </w:r>
      <w:r>
        <w:rPr>
          <w:szCs w:val="24"/>
        </w:rPr>
        <w:t xml:space="preserve"> will be as specified in the corresponding IESSA for Energy.</w:t>
      </w:r>
    </w:p>
    <w:p w14:paraId="7939C633" w14:textId="77777777" w:rsidR="00B56F75" w:rsidRPr="00EC721E" w:rsidRDefault="00B56F75" w:rsidP="00B56F75">
      <w:pPr>
        <w:tabs>
          <w:tab w:val="left" w:pos="8640"/>
        </w:tabs>
        <w:spacing w:before="120" w:line="300" w:lineRule="auto"/>
        <w:ind w:left="540" w:hanging="540"/>
        <w:rPr>
          <w:szCs w:val="24"/>
        </w:rPr>
      </w:pPr>
      <w:r w:rsidRPr="00EC721E">
        <w:rPr>
          <w:szCs w:val="24"/>
        </w:rPr>
        <w:t>(2)</w:t>
      </w:r>
      <w:r w:rsidRPr="00EC721E">
        <w:rPr>
          <w:szCs w:val="24"/>
        </w:rPr>
        <w:tab/>
        <w:t xml:space="preserve">For Markets+ IESSA for Energy and GHG attributed MW, the seller receives an increase in load obligation equal to the specified MW amount and the buyer receives a reduction in load obligation equal to the specified MW amount (the equivalent of a Resource settlement) at the specified Settlement Location. </w:t>
      </w:r>
    </w:p>
    <w:p w14:paraId="7C5B4471" w14:textId="3262BAA8" w:rsidR="00B943FB" w:rsidRPr="009F307F" w:rsidRDefault="00B943FB" w:rsidP="00CB5653">
      <w:pPr>
        <w:pStyle w:val="Heading3"/>
      </w:pPr>
      <w:bookmarkStart w:id="4377" w:name="_Toc134796759"/>
      <w:bookmarkStart w:id="4378" w:name="_Toc134799055"/>
      <w:bookmarkStart w:id="4379" w:name="_Toc145059463"/>
      <w:bookmarkStart w:id="4380" w:name="_Toc148705157"/>
      <w:bookmarkStart w:id="4381" w:name="_Toc149558115"/>
      <w:bookmarkStart w:id="4382" w:name="_Toc150785571"/>
      <w:bookmarkStart w:id="4383" w:name="_Toc150855025"/>
      <w:bookmarkStart w:id="4384" w:name="_Toc151991964"/>
      <w:bookmarkStart w:id="4385" w:name="_Toc152335064"/>
      <w:bookmarkStart w:id="4386" w:name="_Toc153271430"/>
      <w:bookmarkStart w:id="4387" w:name="_Toc157501265"/>
      <w:bookmarkStart w:id="4388" w:name="_Toc159232440"/>
      <w:bookmarkStart w:id="4389" w:name="_Toc163908447"/>
      <w:bookmarkStart w:id="4390" w:name="_Toc166853286"/>
      <w:bookmarkStart w:id="4391" w:name="_Toc166853406"/>
      <w:bookmarkStart w:id="4392" w:name="_Toc134796760"/>
      <w:bookmarkStart w:id="4393" w:name="_Toc134799056"/>
      <w:bookmarkStart w:id="4394" w:name="_Toc145059464"/>
      <w:bookmarkStart w:id="4395" w:name="_Toc145062883"/>
      <w:bookmarkStart w:id="4396" w:name="_Toc145067495"/>
      <w:bookmarkStart w:id="4397" w:name="_Toc146627865"/>
      <w:bookmarkStart w:id="4398" w:name="_Toc146629727"/>
      <w:bookmarkStart w:id="4399" w:name="_Toc146631594"/>
      <w:bookmarkStart w:id="4400" w:name="_Toc146633459"/>
      <w:bookmarkStart w:id="4401" w:name="_Toc146631186"/>
      <w:bookmarkStart w:id="4402" w:name="_Toc146793356"/>
      <w:bookmarkStart w:id="4403" w:name="_Toc146795052"/>
      <w:bookmarkStart w:id="4404" w:name="_Toc146796747"/>
      <w:bookmarkStart w:id="4405" w:name="_Toc146798435"/>
      <w:bookmarkStart w:id="4406" w:name="_Toc146801047"/>
      <w:bookmarkStart w:id="4407" w:name="_Toc146803682"/>
      <w:bookmarkStart w:id="4408" w:name="_Toc146805386"/>
      <w:bookmarkStart w:id="4409" w:name="_Toc146807090"/>
      <w:bookmarkStart w:id="4410" w:name="_Toc148705158"/>
      <w:bookmarkStart w:id="4411" w:name="_Toc149558116"/>
      <w:bookmarkStart w:id="4412" w:name="_Toc150785572"/>
      <w:bookmarkStart w:id="4413" w:name="_Toc150855026"/>
      <w:bookmarkStart w:id="4414" w:name="_Toc151991965"/>
      <w:bookmarkStart w:id="4415" w:name="_Toc152335065"/>
      <w:bookmarkStart w:id="4416" w:name="_Toc153271431"/>
      <w:bookmarkStart w:id="4417" w:name="_Toc157501266"/>
      <w:bookmarkStart w:id="4418" w:name="_Toc159232441"/>
      <w:bookmarkStart w:id="4419" w:name="_Toc163908448"/>
      <w:bookmarkStart w:id="4420" w:name="_Toc166853287"/>
      <w:bookmarkStart w:id="4421" w:name="_Toc166853407"/>
      <w:bookmarkStart w:id="4422" w:name="_Toc134796761"/>
      <w:bookmarkStart w:id="4423" w:name="_Toc134799057"/>
      <w:bookmarkStart w:id="4424" w:name="_Toc145059465"/>
      <w:bookmarkStart w:id="4425" w:name="_Toc145062884"/>
      <w:bookmarkStart w:id="4426" w:name="_Toc145067496"/>
      <w:bookmarkStart w:id="4427" w:name="_Toc146627866"/>
      <w:bookmarkStart w:id="4428" w:name="_Toc146629728"/>
      <w:bookmarkStart w:id="4429" w:name="_Toc146631595"/>
      <w:bookmarkStart w:id="4430" w:name="_Toc146633460"/>
      <w:bookmarkStart w:id="4431" w:name="_Toc146631187"/>
      <w:bookmarkStart w:id="4432" w:name="_Toc146793357"/>
      <w:bookmarkStart w:id="4433" w:name="_Toc146795053"/>
      <w:bookmarkStart w:id="4434" w:name="_Toc146796748"/>
      <w:bookmarkStart w:id="4435" w:name="_Toc146798436"/>
      <w:bookmarkStart w:id="4436" w:name="_Toc146801048"/>
      <w:bookmarkStart w:id="4437" w:name="_Toc146803683"/>
      <w:bookmarkStart w:id="4438" w:name="_Toc146805387"/>
      <w:bookmarkStart w:id="4439" w:name="_Toc146807091"/>
      <w:bookmarkStart w:id="4440" w:name="_Toc148705159"/>
      <w:bookmarkStart w:id="4441" w:name="_Toc149558117"/>
      <w:bookmarkStart w:id="4442" w:name="_Toc150785573"/>
      <w:bookmarkStart w:id="4443" w:name="_Toc150855027"/>
      <w:bookmarkStart w:id="4444" w:name="_Toc151991966"/>
      <w:bookmarkStart w:id="4445" w:name="_Toc152335066"/>
      <w:bookmarkStart w:id="4446" w:name="_Toc153271432"/>
      <w:bookmarkStart w:id="4447" w:name="_Toc157501267"/>
      <w:bookmarkStart w:id="4448" w:name="_Toc159232442"/>
      <w:bookmarkStart w:id="4449" w:name="_Toc163908449"/>
      <w:bookmarkStart w:id="4450" w:name="_Toc166853288"/>
      <w:bookmarkStart w:id="4451" w:name="_Toc166853408"/>
      <w:bookmarkStart w:id="4452" w:name="_Toc134796762"/>
      <w:bookmarkStart w:id="4453" w:name="_Toc134799058"/>
      <w:bookmarkStart w:id="4454" w:name="_Toc145059466"/>
      <w:bookmarkStart w:id="4455" w:name="_Toc145062885"/>
      <w:bookmarkStart w:id="4456" w:name="_Toc145067497"/>
      <w:bookmarkStart w:id="4457" w:name="_Toc146627867"/>
      <w:bookmarkStart w:id="4458" w:name="_Toc146629729"/>
      <w:bookmarkStart w:id="4459" w:name="_Toc146631596"/>
      <w:bookmarkStart w:id="4460" w:name="_Toc146633461"/>
      <w:bookmarkStart w:id="4461" w:name="_Toc146631188"/>
      <w:bookmarkStart w:id="4462" w:name="_Toc146793358"/>
      <w:bookmarkStart w:id="4463" w:name="_Toc146795054"/>
      <w:bookmarkStart w:id="4464" w:name="_Toc146796749"/>
      <w:bookmarkStart w:id="4465" w:name="_Toc146798437"/>
      <w:bookmarkStart w:id="4466" w:name="_Toc146801049"/>
      <w:bookmarkStart w:id="4467" w:name="_Toc146803684"/>
      <w:bookmarkStart w:id="4468" w:name="_Toc146805388"/>
      <w:bookmarkStart w:id="4469" w:name="_Toc146807092"/>
      <w:bookmarkStart w:id="4470" w:name="_Toc148705160"/>
      <w:bookmarkStart w:id="4471" w:name="_Toc149558118"/>
      <w:bookmarkStart w:id="4472" w:name="_Toc150785574"/>
      <w:bookmarkStart w:id="4473" w:name="_Toc150855028"/>
      <w:bookmarkStart w:id="4474" w:name="_Toc151991967"/>
      <w:bookmarkStart w:id="4475" w:name="_Toc152335067"/>
      <w:bookmarkStart w:id="4476" w:name="_Toc153271433"/>
      <w:bookmarkStart w:id="4477" w:name="_Toc157501268"/>
      <w:bookmarkStart w:id="4478" w:name="_Toc159232443"/>
      <w:bookmarkStart w:id="4479" w:name="_Toc163908450"/>
      <w:bookmarkStart w:id="4480" w:name="_Toc166853289"/>
      <w:bookmarkStart w:id="4481" w:name="_Toc166853409"/>
      <w:bookmarkStart w:id="4482" w:name="_Toc134796763"/>
      <w:bookmarkStart w:id="4483" w:name="_Toc134799059"/>
      <w:bookmarkStart w:id="4484" w:name="_Toc145059467"/>
      <w:bookmarkStart w:id="4485" w:name="_Toc145062886"/>
      <w:bookmarkStart w:id="4486" w:name="_Toc145067498"/>
      <w:bookmarkStart w:id="4487" w:name="_Toc146627868"/>
      <w:bookmarkStart w:id="4488" w:name="_Toc146629730"/>
      <w:bookmarkStart w:id="4489" w:name="_Toc146631597"/>
      <w:bookmarkStart w:id="4490" w:name="_Toc146633462"/>
      <w:bookmarkStart w:id="4491" w:name="_Toc146631189"/>
      <w:bookmarkStart w:id="4492" w:name="_Toc146793359"/>
      <w:bookmarkStart w:id="4493" w:name="_Toc146795055"/>
      <w:bookmarkStart w:id="4494" w:name="_Toc146796750"/>
      <w:bookmarkStart w:id="4495" w:name="_Toc146798438"/>
      <w:bookmarkStart w:id="4496" w:name="_Toc146801050"/>
      <w:bookmarkStart w:id="4497" w:name="_Toc146803685"/>
      <w:bookmarkStart w:id="4498" w:name="_Toc146805389"/>
      <w:bookmarkStart w:id="4499" w:name="_Toc146807093"/>
      <w:bookmarkStart w:id="4500" w:name="_Toc148705161"/>
      <w:bookmarkStart w:id="4501" w:name="_Toc149558119"/>
      <w:bookmarkStart w:id="4502" w:name="_Toc150785575"/>
      <w:bookmarkStart w:id="4503" w:name="_Toc150855029"/>
      <w:bookmarkStart w:id="4504" w:name="_Toc151991968"/>
      <w:bookmarkStart w:id="4505" w:name="_Toc152335068"/>
      <w:bookmarkStart w:id="4506" w:name="_Toc153271434"/>
      <w:bookmarkStart w:id="4507" w:name="_Toc157501269"/>
      <w:bookmarkStart w:id="4508" w:name="_Toc159232444"/>
      <w:bookmarkStart w:id="4509" w:name="_Toc163908451"/>
      <w:bookmarkStart w:id="4510" w:name="_Toc166853290"/>
      <w:bookmarkStart w:id="4511" w:name="_Toc166853410"/>
      <w:bookmarkStart w:id="4512" w:name="_Toc134796764"/>
      <w:bookmarkStart w:id="4513" w:name="_Toc134799060"/>
      <w:bookmarkStart w:id="4514" w:name="_Toc145059468"/>
      <w:bookmarkStart w:id="4515" w:name="_Toc145062887"/>
      <w:bookmarkStart w:id="4516" w:name="_Toc145067499"/>
      <w:bookmarkStart w:id="4517" w:name="_Toc146627869"/>
      <w:bookmarkStart w:id="4518" w:name="_Toc146629731"/>
      <w:bookmarkStart w:id="4519" w:name="_Toc146631598"/>
      <w:bookmarkStart w:id="4520" w:name="_Toc146633463"/>
      <w:bookmarkStart w:id="4521" w:name="_Toc146631190"/>
      <w:bookmarkStart w:id="4522" w:name="_Toc146793360"/>
      <w:bookmarkStart w:id="4523" w:name="_Toc146795056"/>
      <w:bookmarkStart w:id="4524" w:name="_Toc146796751"/>
      <w:bookmarkStart w:id="4525" w:name="_Toc146798439"/>
      <w:bookmarkStart w:id="4526" w:name="_Toc146801051"/>
      <w:bookmarkStart w:id="4527" w:name="_Toc146803686"/>
      <w:bookmarkStart w:id="4528" w:name="_Toc146805390"/>
      <w:bookmarkStart w:id="4529" w:name="_Toc146807094"/>
      <w:bookmarkStart w:id="4530" w:name="_Toc148705162"/>
      <w:bookmarkStart w:id="4531" w:name="_Toc149558120"/>
      <w:bookmarkStart w:id="4532" w:name="_Toc150785576"/>
      <w:bookmarkStart w:id="4533" w:name="_Toc150855030"/>
      <w:bookmarkStart w:id="4534" w:name="_Toc151991969"/>
      <w:bookmarkStart w:id="4535" w:name="_Toc152335069"/>
      <w:bookmarkStart w:id="4536" w:name="_Toc153271435"/>
      <w:bookmarkStart w:id="4537" w:name="_Toc157501270"/>
      <w:bookmarkStart w:id="4538" w:name="_Toc159232445"/>
      <w:bookmarkStart w:id="4539" w:name="_Toc163908452"/>
      <w:bookmarkStart w:id="4540" w:name="_Toc166853291"/>
      <w:bookmarkStart w:id="4541" w:name="_Toc166853411"/>
      <w:bookmarkStart w:id="4542" w:name="_Toc134796765"/>
      <w:bookmarkStart w:id="4543" w:name="_Toc134799061"/>
      <w:bookmarkStart w:id="4544" w:name="_Toc145059469"/>
      <w:bookmarkStart w:id="4545" w:name="_Toc145062888"/>
      <w:bookmarkStart w:id="4546" w:name="_Toc145067500"/>
      <w:bookmarkStart w:id="4547" w:name="_Toc146627870"/>
      <w:bookmarkStart w:id="4548" w:name="_Toc146629732"/>
      <w:bookmarkStart w:id="4549" w:name="_Toc146631599"/>
      <w:bookmarkStart w:id="4550" w:name="_Toc146633464"/>
      <w:bookmarkStart w:id="4551" w:name="_Toc146631191"/>
      <w:bookmarkStart w:id="4552" w:name="_Toc146793361"/>
      <w:bookmarkStart w:id="4553" w:name="_Toc146795057"/>
      <w:bookmarkStart w:id="4554" w:name="_Toc146796752"/>
      <w:bookmarkStart w:id="4555" w:name="_Toc146798440"/>
      <w:bookmarkStart w:id="4556" w:name="_Toc146801052"/>
      <w:bookmarkStart w:id="4557" w:name="_Toc146803687"/>
      <w:bookmarkStart w:id="4558" w:name="_Toc146805391"/>
      <w:bookmarkStart w:id="4559" w:name="_Toc146807095"/>
      <w:bookmarkStart w:id="4560" w:name="_Toc148705163"/>
      <w:bookmarkStart w:id="4561" w:name="_Toc149558121"/>
      <w:bookmarkStart w:id="4562" w:name="_Toc150785577"/>
      <w:bookmarkStart w:id="4563" w:name="_Toc150855031"/>
      <w:bookmarkStart w:id="4564" w:name="_Toc151991970"/>
      <w:bookmarkStart w:id="4565" w:name="_Toc152335070"/>
      <w:bookmarkStart w:id="4566" w:name="_Toc153271436"/>
      <w:bookmarkStart w:id="4567" w:name="_Toc157501271"/>
      <w:bookmarkStart w:id="4568" w:name="_Toc159232446"/>
      <w:bookmarkStart w:id="4569" w:name="_Toc163908453"/>
      <w:bookmarkStart w:id="4570" w:name="_Toc166853292"/>
      <w:bookmarkStart w:id="4571" w:name="_Toc166853412"/>
      <w:bookmarkStart w:id="4572" w:name="_Toc134796766"/>
      <w:bookmarkStart w:id="4573" w:name="_Toc134799062"/>
      <w:bookmarkStart w:id="4574" w:name="_Toc145059470"/>
      <w:bookmarkStart w:id="4575" w:name="_Toc145062889"/>
      <w:bookmarkStart w:id="4576" w:name="_Toc145067501"/>
      <w:bookmarkStart w:id="4577" w:name="_Toc146627871"/>
      <w:bookmarkStart w:id="4578" w:name="_Toc146629733"/>
      <w:bookmarkStart w:id="4579" w:name="_Toc146631600"/>
      <w:bookmarkStart w:id="4580" w:name="_Toc146633465"/>
      <w:bookmarkStart w:id="4581" w:name="_Toc146631192"/>
      <w:bookmarkStart w:id="4582" w:name="_Toc146793362"/>
      <w:bookmarkStart w:id="4583" w:name="_Toc146795058"/>
      <w:bookmarkStart w:id="4584" w:name="_Toc146796753"/>
      <w:bookmarkStart w:id="4585" w:name="_Toc146798441"/>
      <w:bookmarkStart w:id="4586" w:name="_Toc146801053"/>
      <w:bookmarkStart w:id="4587" w:name="_Toc146803688"/>
      <w:bookmarkStart w:id="4588" w:name="_Toc146805392"/>
      <w:bookmarkStart w:id="4589" w:name="_Toc146807096"/>
      <w:bookmarkStart w:id="4590" w:name="_Toc148705164"/>
      <w:bookmarkStart w:id="4591" w:name="_Toc149558122"/>
      <w:bookmarkStart w:id="4592" w:name="_Toc150785578"/>
      <w:bookmarkStart w:id="4593" w:name="_Toc150855032"/>
      <w:bookmarkStart w:id="4594" w:name="_Toc151991971"/>
      <w:bookmarkStart w:id="4595" w:name="_Toc152335071"/>
      <w:bookmarkStart w:id="4596" w:name="_Toc153271437"/>
      <w:bookmarkStart w:id="4597" w:name="_Toc157501272"/>
      <w:bookmarkStart w:id="4598" w:name="_Toc159232447"/>
      <w:bookmarkStart w:id="4599" w:name="_Toc163908454"/>
      <w:bookmarkStart w:id="4600" w:name="_Toc166853293"/>
      <w:bookmarkStart w:id="4601" w:name="_Toc166853413"/>
      <w:bookmarkStart w:id="4602" w:name="_Toc134796767"/>
      <w:bookmarkStart w:id="4603" w:name="_Toc134799063"/>
      <w:bookmarkStart w:id="4604" w:name="_Toc145059471"/>
      <w:bookmarkStart w:id="4605" w:name="_Toc145062890"/>
      <w:bookmarkStart w:id="4606" w:name="_Toc145067502"/>
      <w:bookmarkStart w:id="4607" w:name="_Toc146627872"/>
      <w:bookmarkStart w:id="4608" w:name="_Toc146629734"/>
      <w:bookmarkStart w:id="4609" w:name="_Toc146631601"/>
      <w:bookmarkStart w:id="4610" w:name="_Toc146633466"/>
      <w:bookmarkStart w:id="4611" w:name="_Toc146631193"/>
      <w:bookmarkStart w:id="4612" w:name="_Toc146793363"/>
      <w:bookmarkStart w:id="4613" w:name="_Toc146795059"/>
      <w:bookmarkStart w:id="4614" w:name="_Toc146796754"/>
      <w:bookmarkStart w:id="4615" w:name="_Toc146798442"/>
      <w:bookmarkStart w:id="4616" w:name="_Toc146801054"/>
      <w:bookmarkStart w:id="4617" w:name="_Toc146803689"/>
      <w:bookmarkStart w:id="4618" w:name="_Toc146805393"/>
      <w:bookmarkStart w:id="4619" w:name="_Toc146807097"/>
      <w:bookmarkStart w:id="4620" w:name="_Toc148705165"/>
      <w:bookmarkStart w:id="4621" w:name="_Toc149558123"/>
      <w:bookmarkStart w:id="4622" w:name="_Toc150785579"/>
      <w:bookmarkStart w:id="4623" w:name="_Toc150855033"/>
      <w:bookmarkStart w:id="4624" w:name="_Toc151991972"/>
      <w:bookmarkStart w:id="4625" w:name="_Toc152335072"/>
      <w:bookmarkStart w:id="4626" w:name="_Toc153271438"/>
      <w:bookmarkStart w:id="4627" w:name="_Toc157501273"/>
      <w:bookmarkStart w:id="4628" w:name="_Toc159232448"/>
      <w:bookmarkStart w:id="4629" w:name="_Toc163908455"/>
      <w:bookmarkStart w:id="4630" w:name="_Toc166853294"/>
      <w:bookmarkStart w:id="4631" w:name="_Toc166853414"/>
      <w:bookmarkStart w:id="4632" w:name="_Toc134796768"/>
      <w:bookmarkStart w:id="4633" w:name="_Toc134799064"/>
      <w:bookmarkStart w:id="4634" w:name="_Toc145059472"/>
      <w:bookmarkStart w:id="4635" w:name="_Toc145062891"/>
      <w:bookmarkStart w:id="4636" w:name="_Toc145067503"/>
      <w:bookmarkStart w:id="4637" w:name="_Toc146627873"/>
      <w:bookmarkStart w:id="4638" w:name="_Toc146629735"/>
      <w:bookmarkStart w:id="4639" w:name="_Toc146631602"/>
      <w:bookmarkStart w:id="4640" w:name="_Toc146633467"/>
      <w:bookmarkStart w:id="4641" w:name="_Toc146631194"/>
      <w:bookmarkStart w:id="4642" w:name="_Toc146793364"/>
      <w:bookmarkStart w:id="4643" w:name="_Toc146795060"/>
      <w:bookmarkStart w:id="4644" w:name="_Toc146796755"/>
      <w:bookmarkStart w:id="4645" w:name="_Toc146798443"/>
      <w:bookmarkStart w:id="4646" w:name="_Toc146801055"/>
      <w:bookmarkStart w:id="4647" w:name="_Toc146803690"/>
      <w:bookmarkStart w:id="4648" w:name="_Toc146805394"/>
      <w:bookmarkStart w:id="4649" w:name="_Toc146807098"/>
      <w:bookmarkStart w:id="4650" w:name="_Toc148705166"/>
      <w:bookmarkStart w:id="4651" w:name="_Toc149558124"/>
      <w:bookmarkStart w:id="4652" w:name="_Toc150785580"/>
      <w:bookmarkStart w:id="4653" w:name="_Toc150855034"/>
      <w:bookmarkStart w:id="4654" w:name="_Toc151991973"/>
      <w:bookmarkStart w:id="4655" w:name="_Toc152335073"/>
      <w:bookmarkStart w:id="4656" w:name="_Toc153271439"/>
      <w:bookmarkStart w:id="4657" w:name="_Toc157501274"/>
      <w:bookmarkStart w:id="4658" w:name="_Toc159232449"/>
      <w:bookmarkStart w:id="4659" w:name="_Toc163908456"/>
      <w:bookmarkStart w:id="4660" w:name="_Toc166853295"/>
      <w:bookmarkStart w:id="4661" w:name="_Toc166853415"/>
      <w:bookmarkStart w:id="4662" w:name="_Toc134796769"/>
      <w:bookmarkStart w:id="4663" w:name="_Toc134799065"/>
      <w:bookmarkStart w:id="4664" w:name="_Toc145059473"/>
      <w:bookmarkStart w:id="4665" w:name="_Toc145062892"/>
      <w:bookmarkStart w:id="4666" w:name="_Toc145067504"/>
      <w:bookmarkStart w:id="4667" w:name="_Toc146627874"/>
      <w:bookmarkStart w:id="4668" w:name="_Toc146629736"/>
      <w:bookmarkStart w:id="4669" w:name="_Toc146631603"/>
      <w:bookmarkStart w:id="4670" w:name="_Toc146633468"/>
      <w:bookmarkStart w:id="4671" w:name="_Toc146631195"/>
      <w:bookmarkStart w:id="4672" w:name="_Toc146793365"/>
      <w:bookmarkStart w:id="4673" w:name="_Toc146795061"/>
      <w:bookmarkStart w:id="4674" w:name="_Toc146796756"/>
      <w:bookmarkStart w:id="4675" w:name="_Toc146798444"/>
      <w:bookmarkStart w:id="4676" w:name="_Toc146801056"/>
      <w:bookmarkStart w:id="4677" w:name="_Toc146803691"/>
      <w:bookmarkStart w:id="4678" w:name="_Toc146805395"/>
      <w:bookmarkStart w:id="4679" w:name="_Toc146807099"/>
      <w:bookmarkStart w:id="4680" w:name="_Toc148705167"/>
      <w:bookmarkStart w:id="4681" w:name="_Toc149558125"/>
      <w:bookmarkStart w:id="4682" w:name="_Toc150785581"/>
      <w:bookmarkStart w:id="4683" w:name="_Toc150855035"/>
      <w:bookmarkStart w:id="4684" w:name="_Toc151991974"/>
      <w:bookmarkStart w:id="4685" w:name="_Toc152335074"/>
      <w:bookmarkStart w:id="4686" w:name="_Toc153271440"/>
      <w:bookmarkStart w:id="4687" w:name="_Toc157501275"/>
      <w:bookmarkStart w:id="4688" w:name="_Toc159232450"/>
      <w:bookmarkStart w:id="4689" w:name="_Toc163908457"/>
      <w:bookmarkStart w:id="4690" w:name="_Toc166853296"/>
      <w:bookmarkStart w:id="4691" w:name="_Toc166853416"/>
      <w:bookmarkStart w:id="4692" w:name="_Toc134796770"/>
      <w:bookmarkStart w:id="4693" w:name="_Toc134799066"/>
      <w:bookmarkStart w:id="4694" w:name="_Toc145059474"/>
      <w:bookmarkStart w:id="4695" w:name="_Toc145062893"/>
      <w:bookmarkStart w:id="4696" w:name="_Toc145067505"/>
      <w:bookmarkStart w:id="4697" w:name="_Toc146627875"/>
      <w:bookmarkStart w:id="4698" w:name="_Toc146629737"/>
      <w:bookmarkStart w:id="4699" w:name="_Toc146631604"/>
      <w:bookmarkStart w:id="4700" w:name="_Toc146633469"/>
      <w:bookmarkStart w:id="4701" w:name="_Toc146631196"/>
      <w:bookmarkStart w:id="4702" w:name="_Toc146793366"/>
      <w:bookmarkStart w:id="4703" w:name="_Toc146795062"/>
      <w:bookmarkStart w:id="4704" w:name="_Toc146796757"/>
      <w:bookmarkStart w:id="4705" w:name="_Toc146798445"/>
      <w:bookmarkStart w:id="4706" w:name="_Toc146801057"/>
      <w:bookmarkStart w:id="4707" w:name="_Toc146803692"/>
      <w:bookmarkStart w:id="4708" w:name="_Toc146805396"/>
      <w:bookmarkStart w:id="4709" w:name="_Toc146807100"/>
      <w:bookmarkStart w:id="4710" w:name="_Toc148705168"/>
      <w:bookmarkStart w:id="4711" w:name="_Toc149558126"/>
      <w:bookmarkStart w:id="4712" w:name="_Toc150785582"/>
      <w:bookmarkStart w:id="4713" w:name="_Toc150855036"/>
      <w:bookmarkStart w:id="4714" w:name="_Toc151991975"/>
      <w:bookmarkStart w:id="4715" w:name="_Toc152335075"/>
      <w:bookmarkStart w:id="4716" w:name="_Toc153271441"/>
      <w:bookmarkStart w:id="4717" w:name="_Toc157501276"/>
      <w:bookmarkStart w:id="4718" w:name="_Toc159232451"/>
      <w:bookmarkStart w:id="4719" w:name="_Toc163908458"/>
      <w:bookmarkStart w:id="4720" w:name="_Toc166853297"/>
      <w:bookmarkStart w:id="4721" w:name="_Toc166853417"/>
      <w:bookmarkStart w:id="4722" w:name="_Toc134796771"/>
      <w:bookmarkStart w:id="4723" w:name="_Toc134799067"/>
      <w:bookmarkStart w:id="4724" w:name="_Toc145059475"/>
      <w:bookmarkStart w:id="4725" w:name="_Toc145062894"/>
      <w:bookmarkStart w:id="4726" w:name="_Toc145067506"/>
      <w:bookmarkStart w:id="4727" w:name="_Toc146627876"/>
      <w:bookmarkStart w:id="4728" w:name="_Toc146629738"/>
      <w:bookmarkStart w:id="4729" w:name="_Toc146631605"/>
      <w:bookmarkStart w:id="4730" w:name="_Toc146633470"/>
      <w:bookmarkStart w:id="4731" w:name="_Toc146631197"/>
      <w:bookmarkStart w:id="4732" w:name="_Toc146793367"/>
      <w:bookmarkStart w:id="4733" w:name="_Toc146795063"/>
      <w:bookmarkStart w:id="4734" w:name="_Toc146796758"/>
      <w:bookmarkStart w:id="4735" w:name="_Toc146798446"/>
      <w:bookmarkStart w:id="4736" w:name="_Toc146801058"/>
      <w:bookmarkStart w:id="4737" w:name="_Toc146803693"/>
      <w:bookmarkStart w:id="4738" w:name="_Toc146805397"/>
      <w:bookmarkStart w:id="4739" w:name="_Toc146807101"/>
      <w:bookmarkStart w:id="4740" w:name="_Toc148705169"/>
      <w:bookmarkStart w:id="4741" w:name="_Toc149558127"/>
      <w:bookmarkStart w:id="4742" w:name="_Toc150785583"/>
      <w:bookmarkStart w:id="4743" w:name="_Toc150855037"/>
      <w:bookmarkStart w:id="4744" w:name="_Toc151991976"/>
      <w:bookmarkStart w:id="4745" w:name="_Toc152335076"/>
      <w:bookmarkStart w:id="4746" w:name="_Toc153271442"/>
      <w:bookmarkStart w:id="4747" w:name="_Toc157501277"/>
      <w:bookmarkStart w:id="4748" w:name="_Toc159232452"/>
      <w:bookmarkStart w:id="4749" w:name="_Toc163908459"/>
      <w:bookmarkStart w:id="4750" w:name="_Toc166853298"/>
      <w:bookmarkStart w:id="4751" w:name="_Toc166853418"/>
      <w:bookmarkStart w:id="4752" w:name="_Toc134796772"/>
      <w:bookmarkStart w:id="4753" w:name="_Toc134799068"/>
      <w:bookmarkStart w:id="4754" w:name="_Toc145059476"/>
      <w:bookmarkStart w:id="4755" w:name="_Toc145062895"/>
      <w:bookmarkStart w:id="4756" w:name="_Toc145067507"/>
      <w:bookmarkStart w:id="4757" w:name="_Toc146627877"/>
      <w:bookmarkStart w:id="4758" w:name="_Toc146629739"/>
      <w:bookmarkStart w:id="4759" w:name="_Toc146631606"/>
      <w:bookmarkStart w:id="4760" w:name="_Toc146633471"/>
      <w:bookmarkStart w:id="4761" w:name="_Toc146631198"/>
      <w:bookmarkStart w:id="4762" w:name="_Toc146793368"/>
      <w:bookmarkStart w:id="4763" w:name="_Toc146795064"/>
      <w:bookmarkStart w:id="4764" w:name="_Toc146796759"/>
      <w:bookmarkStart w:id="4765" w:name="_Toc146798447"/>
      <w:bookmarkStart w:id="4766" w:name="_Toc146801059"/>
      <w:bookmarkStart w:id="4767" w:name="_Toc146803694"/>
      <w:bookmarkStart w:id="4768" w:name="_Toc146805398"/>
      <w:bookmarkStart w:id="4769" w:name="_Toc146807102"/>
      <w:bookmarkStart w:id="4770" w:name="_Toc148705170"/>
      <w:bookmarkStart w:id="4771" w:name="_Toc149558128"/>
      <w:bookmarkStart w:id="4772" w:name="_Toc150785584"/>
      <w:bookmarkStart w:id="4773" w:name="_Toc150855038"/>
      <w:bookmarkStart w:id="4774" w:name="_Toc151991977"/>
      <w:bookmarkStart w:id="4775" w:name="_Toc152335077"/>
      <w:bookmarkStart w:id="4776" w:name="_Toc153271443"/>
      <w:bookmarkStart w:id="4777" w:name="_Toc157501278"/>
      <w:bookmarkStart w:id="4778" w:name="_Toc159232453"/>
      <w:bookmarkStart w:id="4779" w:name="_Toc163908460"/>
      <w:bookmarkStart w:id="4780" w:name="_Toc166853299"/>
      <w:bookmarkStart w:id="4781" w:name="_Toc166853419"/>
      <w:bookmarkStart w:id="4782" w:name="_Toc134796773"/>
      <w:bookmarkStart w:id="4783" w:name="_Toc134799069"/>
      <w:bookmarkStart w:id="4784" w:name="_Toc145059477"/>
      <w:bookmarkStart w:id="4785" w:name="_Toc145062896"/>
      <w:bookmarkStart w:id="4786" w:name="_Toc145067508"/>
      <w:bookmarkStart w:id="4787" w:name="_Toc146627878"/>
      <w:bookmarkStart w:id="4788" w:name="_Toc146629740"/>
      <w:bookmarkStart w:id="4789" w:name="_Toc146631607"/>
      <w:bookmarkStart w:id="4790" w:name="_Toc146633472"/>
      <w:bookmarkStart w:id="4791" w:name="_Toc146631199"/>
      <w:bookmarkStart w:id="4792" w:name="_Toc146793369"/>
      <w:bookmarkStart w:id="4793" w:name="_Toc146795065"/>
      <w:bookmarkStart w:id="4794" w:name="_Toc146796760"/>
      <w:bookmarkStart w:id="4795" w:name="_Toc146798448"/>
      <w:bookmarkStart w:id="4796" w:name="_Toc146801060"/>
      <w:bookmarkStart w:id="4797" w:name="_Toc146803695"/>
      <w:bookmarkStart w:id="4798" w:name="_Toc146805399"/>
      <w:bookmarkStart w:id="4799" w:name="_Toc146807103"/>
      <w:bookmarkStart w:id="4800" w:name="_Toc148705171"/>
      <w:bookmarkStart w:id="4801" w:name="_Toc149558129"/>
      <w:bookmarkStart w:id="4802" w:name="_Toc150785585"/>
      <w:bookmarkStart w:id="4803" w:name="_Toc150855039"/>
      <w:bookmarkStart w:id="4804" w:name="_Toc151991978"/>
      <w:bookmarkStart w:id="4805" w:name="_Toc152335078"/>
      <w:bookmarkStart w:id="4806" w:name="_Toc153271444"/>
      <w:bookmarkStart w:id="4807" w:name="_Toc157501279"/>
      <w:bookmarkStart w:id="4808" w:name="_Toc159232454"/>
      <w:bookmarkStart w:id="4809" w:name="_Toc163908461"/>
      <w:bookmarkStart w:id="4810" w:name="_Toc166853300"/>
      <w:bookmarkStart w:id="4811" w:name="_Toc166853420"/>
      <w:bookmarkStart w:id="4812" w:name="_Toc134796774"/>
      <w:bookmarkStart w:id="4813" w:name="_Toc134799070"/>
      <w:bookmarkStart w:id="4814" w:name="_Toc145059478"/>
      <w:bookmarkStart w:id="4815" w:name="_Toc145062897"/>
      <w:bookmarkStart w:id="4816" w:name="_Toc145067509"/>
      <w:bookmarkStart w:id="4817" w:name="_Toc146627879"/>
      <w:bookmarkStart w:id="4818" w:name="_Toc146629741"/>
      <w:bookmarkStart w:id="4819" w:name="_Toc146631608"/>
      <w:bookmarkStart w:id="4820" w:name="_Toc146633473"/>
      <w:bookmarkStart w:id="4821" w:name="_Toc146631200"/>
      <w:bookmarkStart w:id="4822" w:name="_Toc146793370"/>
      <w:bookmarkStart w:id="4823" w:name="_Toc146795066"/>
      <w:bookmarkStart w:id="4824" w:name="_Toc146796761"/>
      <w:bookmarkStart w:id="4825" w:name="_Toc146798449"/>
      <w:bookmarkStart w:id="4826" w:name="_Toc146801061"/>
      <w:bookmarkStart w:id="4827" w:name="_Toc146803696"/>
      <w:bookmarkStart w:id="4828" w:name="_Toc146805400"/>
      <w:bookmarkStart w:id="4829" w:name="_Toc146807104"/>
      <w:bookmarkStart w:id="4830" w:name="_Toc148705172"/>
      <w:bookmarkStart w:id="4831" w:name="_Toc149558130"/>
      <w:bookmarkStart w:id="4832" w:name="_Toc150785586"/>
      <w:bookmarkStart w:id="4833" w:name="_Toc150855040"/>
      <w:bookmarkStart w:id="4834" w:name="_Toc151991979"/>
      <w:bookmarkStart w:id="4835" w:name="_Toc152335079"/>
      <w:bookmarkStart w:id="4836" w:name="_Toc153271445"/>
      <w:bookmarkStart w:id="4837" w:name="_Toc157501280"/>
      <w:bookmarkStart w:id="4838" w:name="_Toc159232455"/>
      <w:bookmarkStart w:id="4839" w:name="_Toc163908462"/>
      <w:bookmarkStart w:id="4840" w:name="_Toc166853301"/>
      <w:bookmarkStart w:id="4841" w:name="_Toc166853421"/>
      <w:bookmarkStart w:id="4842" w:name="_Toc134796775"/>
      <w:bookmarkStart w:id="4843" w:name="_Toc134799071"/>
      <w:bookmarkStart w:id="4844" w:name="_Toc145059479"/>
      <w:bookmarkStart w:id="4845" w:name="_Toc145062898"/>
      <w:bookmarkStart w:id="4846" w:name="_Toc145067510"/>
      <w:bookmarkStart w:id="4847" w:name="_Toc146627880"/>
      <w:bookmarkStart w:id="4848" w:name="_Toc146629742"/>
      <w:bookmarkStart w:id="4849" w:name="_Toc146631609"/>
      <w:bookmarkStart w:id="4850" w:name="_Toc146633474"/>
      <w:bookmarkStart w:id="4851" w:name="_Toc146631201"/>
      <w:bookmarkStart w:id="4852" w:name="_Toc146793371"/>
      <w:bookmarkStart w:id="4853" w:name="_Toc146795067"/>
      <w:bookmarkStart w:id="4854" w:name="_Toc146796762"/>
      <w:bookmarkStart w:id="4855" w:name="_Toc146798450"/>
      <w:bookmarkStart w:id="4856" w:name="_Toc146801062"/>
      <w:bookmarkStart w:id="4857" w:name="_Toc146803697"/>
      <w:bookmarkStart w:id="4858" w:name="_Toc146805401"/>
      <w:bookmarkStart w:id="4859" w:name="_Toc146807105"/>
      <w:bookmarkStart w:id="4860" w:name="_Toc148705173"/>
      <w:bookmarkStart w:id="4861" w:name="_Toc149558131"/>
      <w:bookmarkStart w:id="4862" w:name="_Toc150785587"/>
      <w:bookmarkStart w:id="4863" w:name="_Toc150855041"/>
      <w:bookmarkStart w:id="4864" w:name="_Toc151991980"/>
      <w:bookmarkStart w:id="4865" w:name="_Toc152335080"/>
      <w:bookmarkStart w:id="4866" w:name="_Toc153271446"/>
      <w:bookmarkStart w:id="4867" w:name="_Toc157501281"/>
      <w:bookmarkStart w:id="4868" w:name="_Toc159232456"/>
      <w:bookmarkStart w:id="4869" w:name="_Toc163908463"/>
      <w:bookmarkStart w:id="4870" w:name="_Toc166853302"/>
      <w:bookmarkStart w:id="4871" w:name="_Toc166853422"/>
      <w:bookmarkStart w:id="4872" w:name="_Toc134796776"/>
      <w:bookmarkStart w:id="4873" w:name="_Toc134799072"/>
      <w:bookmarkStart w:id="4874" w:name="_Toc145059480"/>
      <w:bookmarkStart w:id="4875" w:name="_Toc145062899"/>
      <w:bookmarkStart w:id="4876" w:name="_Toc145067511"/>
      <w:bookmarkStart w:id="4877" w:name="_Toc146627881"/>
      <w:bookmarkStart w:id="4878" w:name="_Toc146629743"/>
      <w:bookmarkStart w:id="4879" w:name="_Toc146631610"/>
      <w:bookmarkStart w:id="4880" w:name="_Toc146633475"/>
      <w:bookmarkStart w:id="4881" w:name="_Toc146631202"/>
      <w:bookmarkStart w:id="4882" w:name="_Toc146793372"/>
      <w:bookmarkStart w:id="4883" w:name="_Toc146795068"/>
      <w:bookmarkStart w:id="4884" w:name="_Toc146796763"/>
      <w:bookmarkStart w:id="4885" w:name="_Toc146798451"/>
      <w:bookmarkStart w:id="4886" w:name="_Toc146801063"/>
      <w:bookmarkStart w:id="4887" w:name="_Toc146803698"/>
      <w:bookmarkStart w:id="4888" w:name="_Toc146805402"/>
      <w:bookmarkStart w:id="4889" w:name="_Toc146807106"/>
      <w:bookmarkStart w:id="4890" w:name="_Toc148705174"/>
      <w:bookmarkStart w:id="4891" w:name="_Toc149558132"/>
      <w:bookmarkStart w:id="4892" w:name="_Toc150785588"/>
      <w:bookmarkStart w:id="4893" w:name="_Toc150855042"/>
      <w:bookmarkStart w:id="4894" w:name="_Toc151991981"/>
      <w:bookmarkStart w:id="4895" w:name="_Toc152335081"/>
      <w:bookmarkStart w:id="4896" w:name="_Toc153271447"/>
      <w:bookmarkStart w:id="4897" w:name="_Toc157501282"/>
      <w:bookmarkStart w:id="4898" w:name="_Toc159232457"/>
      <w:bookmarkStart w:id="4899" w:name="_Toc163908464"/>
      <w:bookmarkStart w:id="4900" w:name="_Toc166853303"/>
      <w:bookmarkStart w:id="4901" w:name="_Toc166853423"/>
      <w:bookmarkStart w:id="4902" w:name="_Toc134796777"/>
      <w:bookmarkStart w:id="4903" w:name="_Toc134799073"/>
      <w:bookmarkStart w:id="4904" w:name="_Toc145059481"/>
      <w:bookmarkStart w:id="4905" w:name="_Toc145062900"/>
      <w:bookmarkStart w:id="4906" w:name="_Toc145067512"/>
      <w:bookmarkStart w:id="4907" w:name="_Toc146627882"/>
      <w:bookmarkStart w:id="4908" w:name="_Toc146629744"/>
      <w:bookmarkStart w:id="4909" w:name="_Toc146631611"/>
      <w:bookmarkStart w:id="4910" w:name="_Toc146633476"/>
      <w:bookmarkStart w:id="4911" w:name="_Toc146631203"/>
      <w:bookmarkStart w:id="4912" w:name="_Toc146793373"/>
      <w:bookmarkStart w:id="4913" w:name="_Toc146795069"/>
      <w:bookmarkStart w:id="4914" w:name="_Toc146796764"/>
      <w:bookmarkStart w:id="4915" w:name="_Toc146798452"/>
      <w:bookmarkStart w:id="4916" w:name="_Toc146801064"/>
      <w:bookmarkStart w:id="4917" w:name="_Toc146803699"/>
      <w:bookmarkStart w:id="4918" w:name="_Toc146805403"/>
      <w:bookmarkStart w:id="4919" w:name="_Toc146807107"/>
      <w:bookmarkStart w:id="4920" w:name="_Toc148705175"/>
      <w:bookmarkStart w:id="4921" w:name="_Toc149558133"/>
      <w:bookmarkStart w:id="4922" w:name="_Toc150785589"/>
      <w:bookmarkStart w:id="4923" w:name="_Toc150855043"/>
      <w:bookmarkStart w:id="4924" w:name="_Toc151991982"/>
      <w:bookmarkStart w:id="4925" w:name="_Toc152335082"/>
      <w:bookmarkStart w:id="4926" w:name="_Toc153271448"/>
      <w:bookmarkStart w:id="4927" w:name="_Toc157501283"/>
      <w:bookmarkStart w:id="4928" w:name="_Toc159232458"/>
      <w:bookmarkStart w:id="4929" w:name="_Toc163908465"/>
      <w:bookmarkStart w:id="4930" w:name="_Toc166853304"/>
      <w:bookmarkStart w:id="4931" w:name="_Toc166853424"/>
      <w:bookmarkStart w:id="4932" w:name="_Toc134796778"/>
      <w:bookmarkStart w:id="4933" w:name="_Toc134799074"/>
      <w:bookmarkStart w:id="4934" w:name="_Toc145059482"/>
      <w:bookmarkStart w:id="4935" w:name="_Toc145062901"/>
      <w:bookmarkStart w:id="4936" w:name="_Toc145067513"/>
      <w:bookmarkStart w:id="4937" w:name="_Toc146627883"/>
      <w:bookmarkStart w:id="4938" w:name="_Toc146629745"/>
      <w:bookmarkStart w:id="4939" w:name="_Toc146631612"/>
      <w:bookmarkStart w:id="4940" w:name="_Toc146633477"/>
      <w:bookmarkStart w:id="4941" w:name="_Toc146631204"/>
      <w:bookmarkStart w:id="4942" w:name="_Toc146793374"/>
      <w:bookmarkStart w:id="4943" w:name="_Toc146795070"/>
      <w:bookmarkStart w:id="4944" w:name="_Toc146796765"/>
      <w:bookmarkStart w:id="4945" w:name="_Toc146798453"/>
      <w:bookmarkStart w:id="4946" w:name="_Toc146801065"/>
      <w:bookmarkStart w:id="4947" w:name="_Toc146803700"/>
      <w:bookmarkStart w:id="4948" w:name="_Toc146805404"/>
      <w:bookmarkStart w:id="4949" w:name="_Toc146807108"/>
      <w:bookmarkStart w:id="4950" w:name="_Toc148705176"/>
      <w:bookmarkStart w:id="4951" w:name="_Toc149558134"/>
      <w:bookmarkStart w:id="4952" w:name="_Toc150785590"/>
      <w:bookmarkStart w:id="4953" w:name="_Toc150855044"/>
      <w:bookmarkStart w:id="4954" w:name="_Toc151991983"/>
      <w:bookmarkStart w:id="4955" w:name="_Toc152335083"/>
      <w:bookmarkStart w:id="4956" w:name="_Toc153271449"/>
      <w:bookmarkStart w:id="4957" w:name="_Toc157501284"/>
      <w:bookmarkStart w:id="4958" w:name="_Toc159232459"/>
      <w:bookmarkStart w:id="4959" w:name="_Toc163908466"/>
      <w:bookmarkStart w:id="4960" w:name="_Toc166853305"/>
      <w:bookmarkStart w:id="4961" w:name="_Toc166853425"/>
      <w:bookmarkStart w:id="4962" w:name="_Toc134796779"/>
      <w:bookmarkStart w:id="4963" w:name="_Toc134799075"/>
      <w:bookmarkStart w:id="4964" w:name="_Toc145059483"/>
      <w:bookmarkStart w:id="4965" w:name="_Toc145062902"/>
      <w:bookmarkStart w:id="4966" w:name="_Toc145067514"/>
      <w:bookmarkStart w:id="4967" w:name="_Toc146627884"/>
      <w:bookmarkStart w:id="4968" w:name="_Toc146629746"/>
      <w:bookmarkStart w:id="4969" w:name="_Toc146631613"/>
      <w:bookmarkStart w:id="4970" w:name="_Toc146633478"/>
      <w:bookmarkStart w:id="4971" w:name="_Toc146631205"/>
      <w:bookmarkStart w:id="4972" w:name="_Toc146793375"/>
      <w:bookmarkStart w:id="4973" w:name="_Toc146795071"/>
      <w:bookmarkStart w:id="4974" w:name="_Toc146796766"/>
      <w:bookmarkStart w:id="4975" w:name="_Toc146798454"/>
      <w:bookmarkStart w:id="4976" w:name="_Toc146801066"/>
      <w:bookmarkStart w:id="4977" w:name="_Toc146803701"/>
      <w:bookmarkStart w:id="4978" w:name="_Toc146805405"/>
      <w:bookmarkStart w:id="4979" w:name="_Toc146807109"/>
      <w:bookmarkStart w:id="4980" w:name="_Toc148705177"/>
      <w:bookmarkStart w:id="4981" w:name="_Toc149558135"/>
      <w:bookmarkStart w:id="4982" w:name="_Toc150785591"/>
      <w:bookmarkStart w:id="4983" w:name="_Toc150855045"/>
      <w:bookmarkStart w:id="4984" w:name="_Toc151991984"/>
      <w:bookmarkStart w:id="4985" w:name="_Toc152335084"/>
      <w:bookmarkStart w:id="4986" w:name="_Toc153271450"/>
      <w:bookmarkStart w:id="4987" w:name="_Toc157501285"/>
      <w:bookmarkStart w:id="4988" w:name="_Toc159232460"/>
      <w:bookmarkStart w:id="4989" w:name="_Toc163908467"/>
      <w:bookmarkStart w:id="4990" w:name="_Toc166853306"/>
      <w:bookmarkStart w:id="4991" w:name="_Toc166853426"/>
      <w:bookmarkStart w:id="4992" w:name="_Toc134796780"/>
      <w:bookmarkStart w:id="4993" w:name="_Toc134799076"/>
      <w:bookmarkStart w:id="4994" w:name="_Toc145059484"/>
      <w:bookmarkStart w:id="4995" w:name="_Toc145062903"/>
      <w:bookmarkStart w:id="4996" w:name="_Toc145067515"/>
      <w:bookmarkStart w:id="4997" w:name="_Toc146627885"/>
      <w:bookmarkStart w:id="4998" w:name="_Toc146629747"/>
      <w:bookmarkStart w:id="4999" w:name="_Toc146631614"/>
      <w:bookmarkStart w:id="5000" w:name="_Toc146633479"/>
      <w:bookmarkStart w:id="5001" w:name="_Toc146631206"/>
      <w:bookmarkStart w:id="5002" w:name="_Toc146793376"/>
      <w:bookmarkStart w:id="5003" w:name="_Toc146795072"/>
      <w:bookmarkStart w:id="5004" w:name="_Toc146796767"/>
      <w:bookmarkStart w:id="5005" w:name="_Toc146798455"/>
      <w:bookmarkStart w:id="5006" w:name="_Toc146801067"/>
      <w:bookmarkStart w:id="5007" w:name="_Toc146803702"/>
      <w:bookmarkStart w:id="5008" w:name="_Toc146805406"/>
      <w:bookmarkStart w:id="5009" w:name="_Toc146807110"/>
      <w:bookmarkStart w:id="5010" w:name="_Toc148705178"/>
      <w:bookmarkStart w:id="5011" w:name="_Toc149558136"/>
      <w:bookmarkStart w:id="5012" w:name="_Toc150785592"/>
      <w:bookmarkStart w:id="5013" w:name="_Toc150855046"/>
      <w:bookmarkStart w:id="5014" w:name="_Toc151991985"/>
      <w:bookmarkStart w:id="5015" w:name="_Toc152335085"/>
      <w:bookmarkStart w:id="5016" w:name="_Toc153271451"/>
      <w:bookmarkStart w:id="5017" w:name="_Toc157501286"/>
      <w:bookmarkStart w:id="5018" w:name="_Toc159232461"/>
      <w:bookmarkStart w:id="5019" w:name="_Toc163908468"/>
      <w:bookmarkStart w:id="5020" w:name="_Toc166853307"/>
      <w:bookmarkStart w:id="5021" w:name="_Toc166853427"/>
      <w:bookmarkStart w:id="5022" w:name="_Toc134796781"/>
      <w:bookmarkStart w:id="5023" w:name="_Toc134799077"/>
      <w:bookmarkStart w:id="5024" w:name="_Toc145059485"/>
      <w:bookmarkStart w:id="5025" w:name="_Toc145062904"/>
      <w:bookmarkStart w:id="5026" w:name="_Toc145067516"/>
      <w:bookmarkStart w:id="5027" w:name="_Toc146627886"/>
      <w:bookmarkStart w:id="5028" w:name="_Toc146629748"/>
      <w:bookmarkStart w:id="5029" w:name="_Toc146631615"/>
      <w:bookmarkStart w:id="5030" w:name="_Toc146633480"/>
      <w:bookmarkStart w:id="5031" w:name="_Toc146631207"/>
      <w:bookmarkStart w:id="5032" w:name="_Toc146793377"/>
      <w:bookmarkStart w:id="5033" w:name="_Toc146795073"/>
      <w:bookmarkStart w:id="5034" w:name="_Toc146796768"/>
      <w:bookmarkStart w:id="5035" w:name="_Toc146798456"/>
      <w:bookmarkStart w:id="5036" w:name="_Toc146801068"/>
      <w:bookmarkStart w:id="5037" w:name="_Toc146803703"/>
      <w:bookmarkStart w:id="5038" w:name="_Toc146805407"/>
      <w:bookmarkStart w:id="5039" w:name="_Toc146807111"/>
      <w:bookmarkStart w:id="5040" w:name="_Toc148705179"/>
      <w:bookmarkStart w:id="5041" w:name="_Toc149558137"/>
      <w:bookmarkStart w:id="5042" w:name="_Toc150785593"/>
      <w:bookmarkStart w:id="5043" w:name="_Toc150855047"/>
      <w:bookmarkStart w:id="5044" w:name="_Toc151991986"/>
      <w:bookmarkStart w:id="5045" w:name="_Toc152335086"/>
      <w:bookmarkStart w:id="5046" w:name="_Toc153271452"/>
      <w:bookmarkStart w:id="5047" w:name="_Toc157501287"/>
      <w:bookmarkStart w:id="5048" w:name="_Toc159232462"/>
      <w:bookmarkStart w:id="5049" w:name="_Toc163908469"/>
      <w:bookmarkStart w:id="5050" w:name="_Toc166853308"/>
      <w:bookmarkStart w:id="5051" w:name="_Toc166853428"/>
      <w:bookmarkStart w:id="5052" w:name="_Toc134796782"/>
      <w:bookmarkStart w:id="5053" w:name="_Toc134799078"/>
      <w:bookmarkStart w:id="5054" w:name="_Toc145059486"/>
      <w:bookmarkStart w:id="5055" w:name="_Toc145062905"/>
      <w:bookmarkStart w:id="5056" w:name="_Toc145067517"/>
      <w:bookmarkStart w:id="5057" w:name="_Toc146627887"/>
      <w:bookmarkStart w:id="5058" w:name="_Toc146629749"/>
      <w:bookmarkStart w:id="5059" w:name="_Toc146631616"/>
      <w:bookmarkStart w:id="5060" w:name="_Toc146633481"/>
      <w:bookmarkStart w:id="5061" w:name="_Toc146631208"/>
      <w:bookmarkStart w:id="5062" w:name="_Toc146793378"/>
      <w:bookmarkStart w:id="5063" w:name="_Toc146795074"/>
      <w:bookmarkStart w:id="5064" w:name="_Toc146796769"/>
      <w:bookmarkStart w:id="5065" w:name="_Toc146798457"/>
      <w:bookmarkStart w:id="5066" w:name="_Toc146801069"/>
      <w:bookmarkStart w:id="5067" w:name="_Toc146803704"/>
      <w:bookmarkStart w:id="5068" w:name="_Toc146805408"/>
      <w:bookmarkStart w:id="5069" w:name="_Toc146807112"/>
      <w:bookmarkStart w:id="5070" w:name="_Toc148705180"/>
      <w:bookmarkStart w:id="5071" w:name="_Toc149558138"/>
      <w:bookmarkStart w:id="5072" w:name="_Toc150785594"/>
      <w:bookmarkStart w:id="5073" w:name="_Toc150855048"/>
      <w:bookmarkStart w:id="5074" w:name="_Toc151991987"/>
      <w:bookmarkStart w:id="5075" w:name="_Toc152335087"/>
      <w:bookmarkStart w:id="5076" w:name="_Toc153271453"/>
      <w:bookmarkStart w:id="5077" w:name="_Toc157501288"/>
      <w:bookmarkStart w:id="5078" w:name="_Toc159232463"/>
      <w:bookmarkStart w:id="5079" w:name="_Toc163908470"/>
      <w:bookmarkStart w:id="5080" w:name="_Toc166853309"/>
      <w:bookmarkStart w:id="5081" w:name="_Toc166853429"/>
      <w:bookmarkStart w:id="5082" w:name="_Toc134796783"/>
      <w:bookmarkStart w:id="5083" w:name="_Toc134799079"/>
      <w:bookmarkStart w:id="5084" w:name="_Toc145059487"/>
      <w:bookmarkStart w:id="5085" w:name="_Toc145062906"/>
      <w:bookmarkStart w:id="5086" w:name="_Toc145067518"/>
      <w:bookmarkStart w:id="5087" w:name="_Toc146627888"/>
      <w:bookmarkStart w:id="5088" w:name="_Toc146629750"/>
      <w:bookmarkStart w:id="5089" w:name="_Toc146631617"/>
      <w:bookmarkStart w:id="5090" w:name="_Toc146633482"/>
      <w:bookmarkStart w:id="5091" w:name="_Toc146631209"/>
      <w:bookmarkStart w:id="5092" w:name="_Toc146793379"/>
      <w:bookmarkStart w:id="5093" w:name="_Toc146795075"/>
      <w:bookmarkStart w:id="5094" w:name="_Toc146796770"/>
      <w:bookmarkStart w:id="5095" w:name="_Toc146798458"/>
      <w:bookmarkStart w:id="5096" w:name="_Toc146801070"/>
      <w:bookmarkStart w:id="5097" w:name="_Toc146803705"/>
      <w:bookmarkStart w:id="5098" w:name="_Toc146805409"/>
      <w:bookmarkStart w:id="5099" w:name="_Toc146807113"/>
      <w:bookmarkStart w:id="5100" w:name="_Toc148705181"/>
      <w:bookmarkStart w:id="5101" w:name="_Toc149558139"/>
      <w:bookmarkStart w:id="5102" w:name="_Toc150785595"/>
      <w:bookmarkStart w:id="5103" w:name="_Toc150855049"/>
      <w:bookmarkStart w:id="5104" w:name="_Toc151991988"/>
      <w:bookmarkStart w:id="5105" w:name="_Toc152335088"/>
      <w:bookmarkStart w:id="5106" w:name="_Toc153271454"/>
      <w:bookmarkStart w:id="5107" w:name="_Toc157501289"/>
      <w:bookmarkStart w:id="5108" w:name="_Toc159232464"/>
      <w:bookmarkStart w:id="5109" w:name="_Toc163908471"/>
      <w:bookmarkStart w:id="5110" w:name="_Toc166853310"/>
      <w:bookmarkStart w:id="5111" w:name="_Toc166853430"/>
      <w:bookmarkStart w:id="5112" w:name="_Toc134796784"/>
      <w:bookmarkStart w:id="5113" w:name="_Toc134799080"/>
      <w:bookmarkStart w:id="5114" w:name="_Toc145059488"/>
      <w:bookmarkStart w:id="5115" w:name="_Toc145062907"/>
      <w:bookmarkStart w:id="5116" w:name="_Toc145067519"/>
      <w:bookmarkStart w:id="5117" w:name="_Toc146627889"/>
      <w:bookmarkStart w:id="5118" w:name="_Toc146629751"/>
      <w:bookmarkStart w:id="5119" w:name="_Toc146631618"/>
      <w:bookmarkStart w:id="5120" w:name="_Toc146633483"/>
      <w:bookmarkStart w:id="5121" w:name="_Toc146631210"/>
      <w:bookmarkStart w:id="5122" w:name="_Toc146793380"/>
      <w:bookmarkStart w:id="5123" w:name="_Toc146795076"/>
      <w:bookmarkStart w:id="5124" w:name="_Toc146796771"/>
      <w:bookmarkStart w:id="5125" w:name="_Toc146798459"/>
      <w:bookmarkStart w:id="5126" w:name="_Toc146801071"/>
      <w:bookmarkStart w:id="5127" w:name="_Toc146803706"/>
      <w:bookmarkStart w:id="5128" w:name="_Toc146805410"/>
      <w:bookmarkStart w:id="5129" w:name="_Toc146807114"/>
      <w:bookmarkStart w:id="5130" w:name="_Toc148705182"/>
      <w:bookmarkStart w:id="5131" w:name="_Toc149558140"/>
      <w:bookmarkStart w:id="5132" w:name="_Toc150785596"/>
      <w:bookmarkStart w:id="5133" w:name="_Toc150855050"/>
      <w:bookmarkStart w:id="5134" w:name="_Toc151991989"/>
      <w:bookmarkStart w:id="5135" w:name="_Toc152335089"/>
      <w:bookmarkStart w:id="5136" w:name="_Toc153271455"/>
      <w:bookmarkStart w:id="5137" w:name="_Toc157501290"/>
      <w:bookmarkStart w:id="5138" w:name="_Toc159232465"/>
      <w:bookmarkStart w:id="5139" w:name="_Toc163908472"/>
      <w:bookmarkStart w:id="5140" w:name="_Toc166853311"/>
      <w:bookmarkStart w:id="5141" w:name="_Toc166853431"/>
      <w:bookmarkStart w:id="5142" w:name="_Toc134796785"/>
      <w:bookmarkStart w:id="5143" w:name="_Toc134799081"/>
      <w:bookmarkStart w:id="5144" w:name="_Toc145059489"/>
      <w:bookmarkStart w:id="5145" w:name="_Toc145062908"/>
      <w:bookmarkStart w:id="5146" w:name="_Toc145067520"/>
      <w:bookmarkStart w:id="5147" w:name="_Toc146627890"/>
      <w:bookmarkStart w:id="5148" w:name="_Toc146629752"/>
      <w:bookmarkStart w:id="5149" w:name="_Toc146631619"/>
      <w:bookmarkStart w:id="5150" w:name="_Toc146633484"/>
      <w:bookmarkStart w:id="5151" w:name="_Toc146631211"/>
      <w:bookmarkStart w:id="5152" w:name="_Toc146793381"/>
      <w:bookmarkStart w:id="5153" w:name="_Toc146795077"/>
      <w:bookmarkStart w:id="5154" w:name="_Toc146796772"/>
      <w:bookmarkStart w:id="5155" w:name="_Toc146798460"/>
      <w:bookmarkStart w:id="5156" w:name="_Toc146801072"/>
      <w:bookmarkStart w:id="5157" w:name="_Toc146803707"/>
      <w:bookmarkStart w:id="5158" w:name="_Toc146805411"/>
      <w:bookmarkStart w:id="5159" w:name="_Toc146807115"/>
      <w:bookmarkStart w:id="5160" w:name="_Toc148705183"/>
      <w:bookmarkStart w:id="5161" w:name="_Toc149558141"/>
      <w:bookmarkStart w:id="5162" w:name="_Toc150785597"/>
      <w:bookmarkStart w:id="5163" w:name="_Toc150855051"/>
      <w:bookmarkStart w:id="5164" w:name="_Toc151991990"/>
      <w:bookmarkStart w:id="5165" w:name="_Toc152335090"/>
      <w:bookmarkStart w:id="5166" w:name="_Toc153271456"/>
      <w:bookmarkStart w:id="5167" w:name="_Toc157501291"/>
      <w:bookmarkStart w:id="5168" w:name="_Toc159232466"/>
      <w:bookmarkStart w:id="5169" w:name="_Toc163908473"/>
      <w:bookmarkStart w:id="5170" w:name="_Toc166853312"/>
      <w:bookmarkStart w:id="5171" w:name="_Toc166853432"/>
      <w:bookmarkStart w:id="5172" w:name="_Toc134796786"/>
      <w:bookmarkStart w:id="5173" w:name="_Toc134799082"/>
      <w:bookmarkStart w:id="5174" w:name="_Toc145059490"/>
      <w:bookmarkStart w:id="5175" w:name="_Toc145062909"/>
      <w:bookmarkStart w:id="5176" w:name="_Toc145067521"/>
      <w:bookmarkStart w:id="5177" w:name="_Toc146627891"/>
      <w:bookmarkStart w:id="5178" w:name="_Toc146629753"/>
      <w:bookmarkStart w:id="5179" w:name="_Toc146631620"/>
      <w:bookmarkStart w:id="5180" w:name="_Toc146633485"/>
      <w:bookmarkStart w:id="5181" w:name="_Toc146631212"/>
      <w:bookmarkStart w:id="5182" w:name="_Toc146793382"/>
      <w:bookmarkStart w:id="5183" w:name="_Toc146795078"/>
      <w:bookmarkStart w:id="5184" w:name="_Toc146796773"/>
      <w:bookmarkStart w:id="5185" w:name="_Toc146798461"/>
      <w:bookmarkStart w:id="5186" w:name="_Toc146801073"/>
      <w:bookmarkStart w:id="5187" w:name="_Toc146803708"/>
      <w:bookmarkStart w:id="5188" w:name="_Toc146805412"/>
      <w:bookmarkStart w:id="5189" w:name="_Toc146807116"/>
      <w:bookmarkStart w:id="5190" w:name="_Toc148705184"/>
      <w:bookmarkStart w:id="5191" w:name="_Toc149558142"/>
      <w:bookmarkStart w:id="5192" w:name="_Toc150785598"/>
      <w:bookmarkStart w:id="5193" w:name="_Toc150855052"/>
      <w:bookmarkStart w:id="5194" w:name="_Toc151991991"/>
      <w:bookmarkStart w:id="5195" w:name="_Toc152335091"/>
      <w:bookmarkStart w:id="5196" w:name="_Toc153271457"/>
      <w:bookmarkStart w:id="5197" w:name="_Toc157501292"/>
      <w:bookmarkStart w:id="5198" w:name="_Toc159232467"/>
      <w:bookmarkStart w:id="5199" w:name="_Toc163908474"/>
      <w:bookmarkStart w:id="5200" w:name="_Toc166853313"/>
      <w:bookmarkStart w:id="5201" w:name="_Toc166853433"/>
      <w:bookmarkStart w:id="5202" w:name="_Toc134796787"/>
      <w:bookmarkStart w:id="5203" w:name="_Toc134799083"/>
      <w:bookmarkStart w:id="5204" w:name="_Toc145059491"/>
      <w:bookmarkStart w:id="5205" w:name="_Toc145062910"/>
      <w:bookmarkStart w:id="5206" w:name="_Toc145067522"/>
      <w:bookmarkStart w:id="5207" w:name="_Toc146627892"/>
      <w:bookmarkStart w:id="5208" w:name="_Toc146629754"/>
      <w:bookmarkStart w:id="5209" w:name="_Toc146631621"/>
      <w:bookmarkStart w:id="5210" w:name="_Toc146633486"/>
      <w:bookmarkStart w:id="5211" w:name="_Toc146631213"/>
      <w:bookmarkStart w:id="5212" w:name="_Toc146793383"/>
      <w:bookmarkStart w:id="5213" w:name="_Toc146795079"/>
      <w:bookmarkStart w:id="5214" w:name="_Toc146796774"/>
      <w:bookmarkStart w:id="5215" w:name="_Toc146798462"/>
      <w:bookmarkStart w:id="5216" w:name="_Toc146801074"/>
      <w:bookmarkStart w:id="5217" w:name="_Toc146803709"/>
      <w:bookmarkStart w:id="5218" w:name="_Toc146805413"/>
      <w:bookmarkStart w:id="5219" w:name="_Toc146807117"/>
      <w:bookmarkStart w:id="5220" w:name="_Toc148705185"/>
      <w:bookmarkStart w:id="5221" w:name="_Toc149558143"/>
      <w:bookmarkStart w:id="5222" w:name="_Toc150785599"/>
      <w:bookmarkStart w:id="5223" w:name="_Toc150855053"/>
      <w:bookmarkStart w:id="5224" w:name="_Toc151991992"/>
      <w:bookmarkStart w:id="5225" w:name="_Toc152335092"/>
      <w:bookmarkStart w:id="5226" w:name="_Toc153271458"/>
      <w:bookmarkStart w:id="5227" w:name="_Toc157501293"/>
      <w:bookmarkStart w:id="5228" w:name="_Toc159232468"/>
      <w:bookmarkStart w:id="5229" w:name="_Toc163908475"/>
      <w:bookmarkStart w:id="5230" w:name="_Toc166853314"/>
      <w:bookmarkStart w:id="5231" w:name="_Toc166853434"/>
      <w:bookmarkStart w:id="5232" w:name="_Toc134796788"/>
      <w:bookmarkStart w:id="5233" w:name="_Toc134799084"/>
      <w:bookmarkStart w:id="5234" w:name="_Toc145059492"/>
      <w:bookmarkStart w:id="5235" w:name="_Toc145062911"/>
      <w:bookmarkStart w:id="5236" w:name="_Toc145067523"/>
      <w:bookmarkStart w:id="5237" w:name="_Toc146627893"/>
      <w:bookmarkStart w:id="5238" w:name="_Toc146629755"/>
      <w:bookmarkStart w:id="5239" w:name="_Toc146631622"/>
      <w:bookmarkStart w:id="5240" w:name="_Toc146633487"/>
      <w:bookmarkStart w:id="5241" w:name="_Toc146631214"/>
      <w:bookmarkStart w:id="5242" w:name="_Toc146793384"/>
      <w:bookmarkStart w:id="5243" w:name="_Toc146795080"/>
      <w:bookmarkStart w:id="5244" w:name="_Toc146796775"/>
      <w:bookmarkStart w:id="5245" w:name="_Toc146798463"/>
      <w:bookmarkStart w:id="5246" w:name="_Toc146801075"/>
      <w:bookmarkStart w:id="5247" w:name="_Toc146803710"/>
      <w:bookmarkStart w:id="5248" w:name="_Toc146805414"/>
      <w:bookmarkStart w:id="5249" w:name="_Toc146807118"/>
      <w:bookmarkStart w:id="5250" w:name="_Toc148705186"/>
      <w:bookmarkStart w:id="5251" w:name="_Toc149558144"/>
      <w:bookmarkStart w:id="5252" w:name="_Toc150785600"/>
      <w:bookmarkStart w:id="5253" w:name="_Toc150855054"/>
      <w:bookmarkStart w:id="5254" w:name="_Toc151991993"/>
      <w:bookmarkStart w:id="5255" w:name="_Toc152335093"/>
      <w:bookmarkStart w:id="5256" w:name="_Toc153271459"/>
      <w:bookmarkStart w:id="5257" w:name="_Toc157501294"/>
      <w:bookmarkStart w:id="5258" w:name="_Toc159232469"/>
      <w:bookmarkStart w:id="5259" w:name="_Toc163908476"/>
      <w:bookmarkStart w:id="5260" w:name="_Toc166853315"/>
      <w:bookmarkStart w:id="5261" w:name="_Toc166853435"/>
      <w:bookmarkStart w:id="5262" w:name="_Toc134796789"/>
      <w:bookmarkStart w:id="5263" w:name="_Toc134799085"/>
      <w:bookmarkStart w:id="5264" w:name="_Toc145059493"/>
      <w:bookmarkStart w:id="5265" w:name="_Toc145062912"/>
      <w:bookmarkStart w:id="5266" w:name="_Toc145067524"/>
      <w:bookmarkStart w:id="5267" w:name="_Toc146627894"/>
      <w:bookmarkStart w:id="5268" w:name="_Toc146629756"/>
      <w:bookmarkStart w:id="5269" w:name="_Toc146631623"/>
      <w:bookmarkStart w:id="5270" w:name="_Toc146633488"/>
      <w:bookmarkStart w:id="5271" w:name="_Toc146631215"/>
      <w:bookmarkStart w:id="5272" w:name="_Toc146793385"/>
      <w:bookmarkStart w:id="5273" w:name="_Toc146795081"/>
      <w:bookmarkStart w:id="5274" w:name="_Toc146796776"/>
      <w:bookmarkStart w:id="5275" w:name="_Toc146798464"/>
      <w:bookmarkStart w:id="5276" w:name="_Toc146801076"/>
      <w:bookmarkStart w:id="5277" w:name="_Toc146803711"/>
      <w:bookmarkStart w:id="5278" w:name="_Toc146805415"/>
      <w:bookmarkStart w:id="5279" w:name="_Toc146807119"/>
      <w:bookmarkStart w:id="5280" w:name="_Toc148705187"/>
      <w:bookmarkStart w:id="5281" w:name="_Toc149558145"/>
      <w:bookmarkStart w:id="5282" w:name="_Toc150785601"/>
      <w:bookmarkStart w:id="5283" w:name="_Toc150855055"/>
      <w:bookmarkStart w:id="5284" w:name="_Toc151991994"/>
      <w:bookmarkStart w:id="5285" w:name="_Toc152335094"/>
      <w:bookmarkStart w:id="5286" w:name="_Toc153271460"/>
      <w:bookmarkStart w:id="5287" w:name="_Toc157501295"/>
      <w:bookmarkStart w:id="5288" w:name="_Toc159232470"/>
      <w:bookmarkStart w:id="5289" w:name="_Toc163908477"/>
      <w:bookmarkStart w:id="5290" w:name="_Toc166853316"/>
      <w:bookmarkStart w:id="5291" w:name="_Toc166853436"/>
      <w:bookmarkStart w:id="5292" w:name="_Toc134796790"/>
      <w:bookmarkStart w:id="5293" w:name="_Toc134799086"/>
      <w:bookmarkStart w:id="5294" w:name="_Toc145059494"/>
      <w:bookmarkStart w:id="5295" w:name="_Toc145062913"/>
      <w:bookmarkStart w:id="5296" w:name="_Toc145067525"/>
      <w:bookmarkStart w:id="5297" w:name="_Toc146627895"/>
      <w:bookmarkStart w:id="5298" w:name="_Toc146629757"/>
      <w:bookmarkStart w:id="5299" w:name="_Toc146631624"/>
      <w:bookmarkStart w:id="5300" w:name="_Toc146633489"/>
      <w:bookmarkStart w:id="5301" w:name="_Toc146631216"/>
      <w:bookmarkStart w:id="5302" w:name="_Toc146793386"/>
      <w:bookmarkStart w:id="5303" w:name="_Toc146795082"/>
      <w:bookmarkStart w:id="5304" w:name="_Toc146796777"/>
      <w:bookmarkStart w:id="5305" w:name="_Toc146798465"/>
      <w:bookmarkStart w:id="5306" w:name="_Toc146801077"/>
      <w:bookmarkStart w:id="5307" w:name="_Toc146803712"/>
      <w:bookmarkStart w:id="5308" w:name="_Toc146805416"/>
      <w:bookmarkStart w:id="5309" w:name="_Toc146807120"/>
      <w:bookmarkStart w:id="5310" w:name="_Toc148705188"/>
      <w:bookmarkStart w:id="5311" w:name="_Toc149558146"/>
      <w:bookmarkStart w:id="5312" w:name="_Toc150785602"/>
      <w:bookmarkStart w:id="5313" w:name="_Toc150855056"/>
      <w:bookmarkStart w:id="5314" w:name="_Toc151991995"/>
      <w:bookmarkStart w:id="5315" w:name="_Toc152335095"/>
      <w:bookmarkStart w:id="5316" w:name="_Toc153271461"/>
      <w:bookmarkStart w:id="5317" w:name="_Toc157501296"/>
      <w:bookmarkStart w:id="5318" w:name="_Toc159232471"/>
      <w:bookmarkStart w:id="5319" w:name="_Toc163908478"/>
      <w:bookmarkStart w:id="5320" w:name="_Toc166853317"/>
      <w:bookmarkStart w:id="5321" w:name="_Toc166853437"/>
      <w:bookmarkStart w:id="5322" w:name="_Toc134796791"/>
      <w:bookmarkStart w:id="5323" w:name="_Toc134799087"/>
      <w:bookmarkStart w:id="5324" w:name="_Toc145059495"/>
      <w:bookmarkStart w:id="5325" w:name="_Toc145062914"/>
      <w:bookmarkStart w:id="5326" w:name="_Toc145067526"/>
      <w:bookmarkStart w:id="5327" w:name="_Toc146627896"/>
      <w:bookmarkStart w:id="5328" w:name="_Toc146629758"/>
      <w:bookmarkStart w:id="5329" w:name="_Toc146631625"/>
      <w:bookmarkStart w:id="5330" w:name="_Toc146633490"/>
      <w:bookmarkStart w:id="5331" w:name="_Toc146631217"/>
      <w:bookmarkStart w:id="5332" w:name="_Toc146793387"/>
      <w:bookmarkStart w:id="5333" w:name="_Toc146795083"/>
      <w:bookmarkStart w:id="5334" w:name="_Toc146796778"/>
      <w:bookmarkStart w:id="5335" w:name="_Toc146798466"/>
      <w:bookmarkStart w:id="5336" w:name="_Toc146801078"/>
      <w:bookmarkStart w:id="5337" w:name="_Toc146803713"/>
      <w:bookmarkStart w:id="5338" w:name="_Toc146805417"/>
      <w:bookmarkStart w:id="5339" w:name="_Toc146807121"/>
      <w:bookmarkStart w:id="5340" w:name="_Toc148705189"/>
      <w:bookmarkStart w:id="5341" w:name="_Toc149558147"/>
      <w:bookmarkStart w:id="5342" w:name="_Toc150785603"/>
      <w:bookmarkStart w:id="5343" w:name="_Toc150855057"/>
      <w:bookmarkStart w:id="5344" w:name="_Toc151991996"/>
      <w:bookmarkStart w:id="5345" w:name="_Toc152335096"/>
      <w:bookmarkStart w:id="5346" w:name="_Toc153271462"/>
      <w:bookmarkStart w:id="5347" w:name="_Toc157501297"/>
      <w:bookmarkStart w:id="5348" w:name="_Toc159232472"/>
      <w:bookmarkStart w:id="5349" w:name="_Toc163908479"/>
      <w:bookmarkStart w:id="5350" w:name="_Toc166853318"/>
      <w:bookmarkStart w:id="5351" w:name="_Toc166853438"/>
      <w:bookmarkStart w:id="5352" w:name="_Toc134796792"/>
      <w:bookmarkStart w:id="5353" w:name="_Toc134799088"/>
      <w:bookmarkStart w:id="5354" w:name="_Toc145059496"/>
      <w:bookmarkStart w:id="5355" w:name="_Toc145062915"/>
      <w:bookmarkStart w:id="5356" w:name="_Toc145067527"/>
      <w:bookmarkStart w:id="5357" w:name="_Toc146627897"/>
      <w:bookmarkStart w:id="5358" w:name="_Toc146629759"/>
      <w:bookmarkStart w:id="5359" w:name="_Toc146631626"/>
      <w:bookmarkStart w:id="5360" w:name="_Toc146633491"/>
      <w:bookmarkStart w:id="5361" w:name="_Toc146631218"/>
      <w:bookmarkStart w:id="5362" w:name="_Toc146793388"/>
      <w:bookmarkStart w:id="5363" w:name="_Toc146795084"/>
      <w:bookmarkStart w:id="5364" w:name="_Toc146796779"/>
      <w:bookmarkStart w:id="5365" w:name="_Toc146798467"/>
      <w:bookmarkStart w:id="5366" w:name="_Toc146801079"/>
      <w:bookmarkStart w:id="5367" w:name="_Toc146803714"/>
      <w:bookmarkStart w:id="5368" w:name="_Toc146805418"/>
      <w:bookmarkStart w:id="5369" w:name="_Toc146807122"/>
      <w:bookmarkStart w:id="5370" w:name="_Toc148705190"/>
      <w:bookmarkStart w:id="5371" w:name="_Toc149558148"/>
      <w:bookmarkStart w:id="5372" w:name="_Toc150785604"/>
      <w:bookmarkStart w:id="5373" w:name="_Toc150855058"/>
      <w:bookmarkStart w:id="5374" w:name="_Toc151991997"/>
      <w:bookmarkStart w:id="5375" w:name="_Toc152335097"/>
      <w:bookmarkStart w:id="5376" w:name="_Toc153271463"/>
      <w:bookmarkStart w:id="5377" w:name="_Toc157501298"/>
      <w:bookmarkStart w:id="5378" w:name="_Toc159232473"/>
      <w:bookmarkStart w:id="5379" w:name="_Toc163908480"/>
      <w:bookmarkStart w:id="5380" w:name="_Toc166853319"/>
      <w:bookmarkStart w:id="5381" w:name="_Toc166853439"/>
      <w:bookmarkStart w:id="5382" w:name="_Toc134796793"/>
      <w:bookmarkStart w:id="5383" w:name="_Toc134799089"/>
      <w:bookmarkStart w:id="5384" w:name="_Toc145059497"/>
      <w:bookmarkStart w:id="5385" w:name="_Toc145062916"/>
      <w:bookmarkStart w:id="5386" w:name="_Toc145067528"/>
      <w:bookmarkStart w:id="5387" w:name="_Toc146627898"/>
      <w:bookmarkStart w:id="5388" w:name="_Toc146629760"/>
      <w:bookmarkStart w:id="5389" w:name="_Toc146631627"/>
      <w:bookmarkStart w:id="5390" w:name="_Toc146633492"/>
      <w:bookmarkStart w:id="5391" w:name="_Toc146631219"/>
      <w:bookmarkStart w:id="5392" w:name="_Toc146793389"/>
      <w:bookmarkStart w:id="5393" w:name="_Toc146795085"/>
      <w:bookmarkStart w:id="5394" w:name="_Toc146796780"/>
      <w:bookmarkStart w:id="5395" w:name="_Toc146798468"/>
      <w:bookmarkStart w:id="5396" w:name="_Toc146801080"/>
      <w:bookmarkStart w:id="5397" w:name="_Toc146803715"/>
      <w:bookmarkStart w:id="5398" w:name="_Toc146805419"/>
      <w:bookmarkStart w:id="5399" w:name="_Toc146807123"/>
      <w:bookmarkStart w:id="5400" w:name="_Toc148705191"/>
      <w:bookmarkStart w:id="5401" w:name="_Toc149558149"/>
      <w:bookmarkStart w:id="5402" w:name="_Toc150785605"/>
      <w:bookmarkStart w:id="5403" w:name="_Toc150855059"/>
      <w:bookmarkStart w:id="5404" w:name="_Toc151991998"/>
      <w:bookmarkStart w:id="5405" w:name="_Toc152335098"/>
      <w:bookmarkStart w:id="5406" w:name="_Toc153271464"/>
      <w:bookmarkStart w:id="5407" w:name="_Toc157501299"/>
      <w:bookmarkStart w:id="5408" w:name="_Toc159232474"/>
      <w:bookmarkStart w:id="5409" w:name="_Toc163908481"/>
      <w:bookmarkStart w:id="5410" w:name="_Toc166853320"/>
      <w:bookmarkStart w:id="5411" w:name="_Toc166853440"/>
      <w:bookmarkStart w:id="5412" w:name="_Toc134796794"/>
      <w:bookmarkStart w:id="5413" w:name="_Toc134799090"/>
      <w:bookmarkStart w:id="5414" w:name="_Toc145059498"/>
      <w:bookmarkStart w:id="5415" w:name="_Toc145062917"/>
      <w:bookmarkStart w:id="5416" w:name="_Toc145067529"/>
      <w:bookmarkStart w:id="5417" w:name="_Toc146627899"/>
      <w:bookmarkStart w:id="5418" w:name="_Toc146629761"/>
      <w:bookmarkStart w:id="5419" w:name="_Toc146631628"/>
      <w:bookmarkStart w:id="5420" w:name="_Toc146633493"/>
      <w:bookmarkStart w:id="5421" w:name="_Toc146631225"/>
      <w:bookmarkStart w:id="5422" w:name="_Toc146793390"/>
      <w:bookmarkStart w:id="5423" w:name="_Toc146795086"/>
      <w:bookmarkStart w:id="5424" w:name="_Toc146796781"/>
      <w:bookmarkStart w:id="5425" w:name="_Toc146798469"/>
      <w:bookmarkStart w:id="5426" w:name="_Toc146801081"/>
      <w:bookmarkStart w:id="5427" w:name="_Toc146803716"/>
      <w:bookmarkStart w:id="5428" w:name="_Toc146805420"/>
      <w:bookmarkStart w:id="5429" w:name="_Toc146807124"/>
      <w:bookmarkStart w:id="5430" w:name="_Toc148705192"/>
      <w:bookmarkStart w:id="5431" w:name="_Toc149558150"/>
      <w:bookmarkStart w:id="5432" w:name="_Toc150785606"/>
      <w:bookmarkStart w:id="5433" w:name="_Toc150855060"/>
      <w:bookmarkStart w:id="5434" w:name="_Toc151991999"/>
      <w:bookmarkStart w:id="5435" w:name="_Toc152335099"/>
      <w:bookmarkStart w:id="5436" w:name="_Toc153271465"/>
      <w:bookmarkStart w:id="5437" w:name="_Toc157501300"/>
      <w:bookmarkStart w:id="5438" w:name="_Toc159232475"/>
      <w:bookmarkStart w:id="5439" w:name="_Toc163908482"/>
      <w:bookmarkStart w:id="5440" w:name="_Toc166853321"/>
      <w:bookmarkStart w:id="5441" w:name="_Toc166853441"/>
      <w:bookmarkStart w:id="5442" w:name="_Toc134796795"/>
      <w:bookmarkStart w:id="5443" w:name="_Toc134799091"/>
      <w:bookmarkStart w:id="5444" w:name="_Toc145059499"/>
      <w:bookmarkStart w:id="5445" w:name="_Toc145062918"/>
      <w:bookmarkStart w:id="5446" w:name="_Toc145067530"/>
      <w:bookmarkStart w:id="5447" w:name="_Toc146627900"/>
      <w:bookmarkStart w:id="5448" w:name="_Toc146629762"/>
      <w:bookmarkStart w:id="5449" w:name="_Toc146631629"/>
      <w:bookmarkStart w:id="5450" w:name="_Toc146633494"/>
      <w:bookmarkStart w:id="5451" w:name="_Toc146631226"/>
      <w:bookmarkStart w:id="5452" w:name="_Toc146793391"/>
      <w:bookmarkStart w:id="5453" w:name="_Toc146795087"/>
      <w:bookmarkStart w:id="5454" w:name="_Toc146796782"/>
      <w:bookmarkStart w:id="5455" w:name="_Toc146798470"/>
      <w:bookmarkStart w:id="5456" w:name="_Toc146801082"/>
      <w:bookmarkStart w:id="5457" w:name="_Toc146803717"/>
      <w:bookmarkStart w:id="5458" w:name="_Toc146805421"/>
      <w:bookmarkStart w:id="5459" w:name="_Toc146807125"/>
      <w:bookmarkStart w:id="5460" w:name="_Toc148705193"/>
      <w:bookmarkStart w:id="5461" w:name="_Toc149558151"/>
      <w:bookmarkStart w:id="5462" w:name="_Toc150785607"/>
      <w:bookmarkStart w:id="5463" w:name="_Toc150855061"/>
      <w:bookmarkStart w:id="5464" w:name="_Toc151992000"/>
      <w:bookmarkStart w:id="5465" w:name="_Toc152335100"/>
      <w:bookmarkStart w:id="5466" w:name="_Toc153271466"/>
      <w:bookmarkStart w:id="5467" w:name="_Toc157501301"/>
      <w:bookmarkStart w:id="5468" w:name="_Toc159232476"/>
      <w:bookmarkStart w:id="5469" w:name="_Toc163908483"/>
      <w:bookmarkStart w:id="5470" w:name="_Toc166853322"/>
      <w:bookmarkStart w:id="5471" w:name="_Toc166853442"/>
      <w:bookmarkStart w:id="5472" w:name="_Toc159232477"/>
      <w:bookmarkStart w:id="5473" w:name="_Toc163908484"/>
      <w:bookmarkStart w:id="5474" w:name="_Toc166853443"/>
      <w:bookmarkStart w:id="5475" w:name="_Toc213771898"/>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r w:rsidRPr="009F307F">
        <w:t>Calculation of LMPs, LMP Components</w:t>
      </w:r>
      <w:r w:rsidR="00261383">
        <w:t>,</w:t>
      </w:r>
      <w:r w:rsidRPr="009F307F">
        <w:t xml:space="preserve"> and MCPs</w:t>
      </w:r>
      <w:bookmarkEnd w:id="5472"/>
      <w:bookmarkEnd w:id="5473"/>
      <w:bookmarkEnd w:id="5474"/>
      <w:bookmarkEnd w:id="5475"/>
    </w:p>
    <w:p w14:paraId="545DA1E7" w14:textId="26622902" w:rsidR="00B943FB" w:rsidRPr="00375401" w:rsidRDefault="00B943FB" w:rsidP="00B943FB">
      <w:pPr>
        <w:autoSpaceDE w:val="0"/>
        <w:autoSpaceDN w:val="0"/>
        <w:adjustRightInd w:val="0"/>
        <w:spacing w:before="240" w:line="300" w:lineRule="auto"/>
        <w:rPr>
          <w:szCs w:val="24"/>
        </w:rPr>
      </w:pPr>
      <w:r>
        <w:rPr>
          <w:szCs w:val="24"/>
        </w:rPr>
        <w:t>The Market Operator</w:t>
      </w:r>
      <w:r w:rsidRPr="00375401">
        <w:rPr>
          <w:szCs w:val="24"/>
        </w:rPr>
        <w:t xml:space="preserve"> uses a co-optimized SCED model to compute Locational Marginal Prices (LMPs) for Energy at </w:t>
      </w:r>
      <w:r w:rsidR="002D623C">
        <w:rPr>
          <w:szCs w:val="24"/>
        </w:rPr>
        <w:t>Pnode</w:t>
      </w:r>
      <w:r w:rsidRPr="00375401">
        <w:rPr>
          <w:szCs w:val="24"/>
        </w:rPr>
        <w:t>s.  The LMPs are then mapped to Settlement Locations in the commercial model.  The SCED model also computes Market Clearing Prices (MCPs) for Flexibility Reserve Products on a Reserve Zone basis.  For the</w:t>
      </w:r>
      <w:r w:rsidR="00966B55">
        <w:rPr>
          <w:szCs w:val="24"/>
        </w:rPr>
        <w:t xml:space="preserve"> Day-Ahead </w:t>
      </w:r>
      <w:r w:rsidRPr="00375401">
        <w:rPr>
          <w:szCs w:val="24"/>
        </w:rPr>
        <w:t>Market, LMPs and MCPs are calculated on an hourly basis.  For the RTBM, LMPs and MCPs are calculated for each 5-minute Dispatch Interval.  Inputs to SCED for the</w:t>
      </w:r>
      <w:r w:rsidR="00966B55">
        <w:rPr>
          <w:szCs w:val="24"/>
        </w:rPr>
        <w:t xml:space="preserve"> Day-Ahead </w:t>
      </w:r>
      <w:r w:rsidRPr="00375401">
        <w:rPr>
          <w:szCs w:val="24"/>
        </w:rPr>
        <w:t xml:space="preserve">Market are as described under </w:t>
      </w:r>
      <w:r w:rsidRPr="00B31EDB">
        <w:rPr>
          <w:szCs w:val="24"/>
        </w:rPr>
        <w:t xml:space="preserve">Section </w:t>
      </w:r>
      <w:r w:rsidRPr="00B31EDB">
        <w:rPr>
          <w:szCs w:val="24"/>
        </w:rPr>
        <w:fldChar w:fldCharType="begin"/>
      </w:r>
      <w:r w:rsidRPr="00B31EDB">
        <w:rPr>
          <w:szCs w:val="24"/>
        </w:rPr>
        <w:instrText xml:space="preserve"> REF _Ref261348373 \r \h  \* MERGEFORMAT </w:instrText>
      </w:r>
      <w:r w:rsidRPr="00B31EDB">
        <w:rPr>
          <w:szCs w:val="24"/>
        </w:rPr>
      </w:r>
      <w:r w:rsidRPr="00B31EDB">
        <w:rPr>
          <w:szCs w:val="24"/>
        </w:rPr>
        <w:fldChar w:fldCharType="separate"/>
      </w:r>
      <w:r w:rsidRPr="00B31EDB">
        <w:rPr>
          <w:szCs w:val="24"/>
        </w:rPr>
        <w:t>4.3.1.1</w:t>
      </w:r>
      <w:r w:rsidRPr="00B31EDB">
        <w:rPr>
          <w:szCs w:val="24"/>
        </w:rPr>
        <w:fldChar w:fldCharType="end"/>
      </w:r>
      <w:r w:rsidRPr="00375401">
        <w:rPr>
          <w:szCs w:val="24"/>
        </w:rPr>
        <w:t xml:space="preserve"> and inputs to SCED for the RTBM are as described under </w:t>
      </w:r>
      <w:r w:rsidRPr="00B31EDB">
        <w:rPr>
          <w:szCs w:val="24"/>
        </w:rPr>
        <w:t xml:space="preserve">Section </w:t>
      </w:r>
      <w:r w:rsidRPr="00B31EDB">
        <w:rPr>
          <w:szCs w:val="24"/>
        </w:rPr>
        <w:fldChar w:fldCharType="begin"/>
      </w:r>
      <w:r w:rsidRPr="00B31EDB">
        <w:rPr>
          <w:szCs w:val="24"/>
        </w:rPr>
        <w:instrText xml:space="preserve"> REF _Ref261348446 \r \h  \* MERGEFORMAT </w:instrText>
      </w:r>
      <w:r w:rsidRPr="00B31EDB">
        <w:rPr>
          <w:szCs w:val="24"/>
        </w:rPr>
      </w:r>
      <w:r w:rsidRPr="00B31EDB">
        <w:rPr>
          <w:szCs w:val="24"/>
        </w:rPr>
        <w:fldChar w:fldCharType="separate"/>
      </w:r>
      <w:r w:rsidRPr="00B31EDB">
        <w:rPr>
          <w:szCs w:val="24"/>
        </w:rPr>
        <w:t>4.4.2.2</w:t>
      </w:r>
      <w:r w:rsidRPr="00B31EDB">
        <w:rPr>
          <w:szCs w:val="24"/>
        </w:rPr>
        <w:fldChar w:fldCharType="end"/>
      </w:r>
      <w:r w:rsidRPr="00375401">
        <w:rPr>
          <w:szCs w:val="24"/>
        </w:rPr>
        <w:t>.  The following subsections further describe how LMPs, LMP Components</w:t>
      </w:r>
      <w:r>
        <w:rPr>
          <w:szCs w:val="24"/>
        </w:rPr>
        <w:t>,</w:t>
      </w:r>
      <w:r w:rsidRPr="00375401">
        <w:rPr>
          <w:szCs w:val="24"/>
        </w:rPr>
        <w:t xml:space="preserve"> and MCPs are calculated.</w:t>
      </w:r>
    </w:p>
    <w:p w14:paraId="271908B1" w14:textId="77777777" w:rsidR="00B943FB" w:rsidRPr="00D340EE" w:rsidRDefault="00B943FB" w:rsidP="00574EDE">
      <w:pPr>
        <w:pStyle w:val="Heading4"/>
      </w:pPr>
      <w:bookmarkStart w:id="5476" w:name="_Toc263173407"/>
      <w:bookmarkStart w:id="5477" w:name="_Toc263173639"/>
      <w:bookmarkStart w:id="5478" w:name="_Toc263173825"/>
      <w:bookmarkStart w:id="5479" w:name="_Toc263174234"/>
      <w:bookmarkStart w:id="5480" w:name="_Toc263235133"/>
      <w:bookmarkStart w:id="5481" w:name="_Toc263235777"/>
      <w:bookmarkStart w:id="5482" w:name="_Toc263429520"/>
      <w:bookmarkStart w:id="5483" w:name="_Toc263795560"/>
      <w:bookmarkStart w:id="5484" w:name="_Toc266869664"/>
      <w:bookmarkStart w:id="5485" w:name="_Toc159232478"/>
      <w:bookmarkStart w:id="5486" w:name="_Toc163908485"/>
      <w:bookmarkStart w:id="5487" w:name="_Toc166853444"/>
      <w:bookmarkStart w:id="5488" w:name="_Ref194664929"/>
      <w:bookmarkStart w:id="5489" w:name="_Toc213771899"/>
      <w:r w:rsidRPr="00D340EE">
        <w:t>LMP Calculations</w:t>
      </w:r>
      <w:bookmarkEnd w:id="5476"/>
      <w:bookmarkEnd w:id="5477"/>
      <w:bookmarkEnd w:id="5478"/>
      <w:bookmarkEnd w:id="5479"/>
      <w:bookmarkEnd w:id="5480"/>
      <w:bookmarkEnd w:id="5481"/>
      <w:bookmarkEnd w:id="5482"/>
      <w:bookmarkEnd w:id="5483"/>
      <w:r w:rsidRPr="00D340EE">
        <w:t xml:space="preserve"> and LMP Components</w:t>
      </w:r>
      <w:bookmarkEnd w:id="5484"/>
      <w:bookmarkEnd w:id="5485"/>
      <w:bookmarkEnd w:id="5486"/>
      <w:bookmarkEnd w:id="5487"/>
      <w:bookmarkEnd w:id="5488"/>
      <w:bookmarkEnd w:id="5489"/>
    </w:p>
    <w:p w14:paraId="066F25C0" w14:textId="406E13FC" w:rsidR="00B943FB" w:rsidRPr="00375401" w:rsidRDefault="00B943FB" w:rsidP="00B943FB">
      <w:pPr>
        <w:spacing w:line="300" w:lineRule="auto"/>
        <w:rPr>
          <w:szCs w:val="24"/>
        </w:rPr>
      </w:pPr>
      <w:r w:rsidRPr="00375401">
        <w:t xml:space="preserve">The LMP at a </w:t>
      </w:r>
      <w:r w:rsidR="002D623C">
        <w:t>Pnode</w:t>
      </w:r>
      <w:r w:rsidRPr="00375401">
        <w:t xml:space="preserve"> is the cost of delivering an incremental MW of energy at that specific </w:t>
      </w:r>
      <w:r w:rsidR="002D623C">
        <w:t>Pnode</w:t>
      </w:r>
      <w:r w:rsidRPr="00375401">
        <w:t xml:space="preserve">, while satisfying all operational constraints where such cost will include applicable Demand Curve prices if the incremental MW of energy causes a corresponding increase in shortage conditions where such Demand Curve prices and shortage conditions are as described under </w:t>
      </w:r>
      <w:r w:rsidRPr="00B31EDB">
        <w:t xml:space="preserve">Section </w:t>
      </w:r>
      <w:r w:rsidRPr="00B31EDB">
        <w:fldChar w:fldCharType="begin"/>
      </w:r>
      <w:r w:rsidRPr="00B31EDB">
        <w:instrText xml:space="preserve"> REF _Ref270664111 \r \h  \* MERGEFORMAT </w:instrText>
      </w:r>
      <w:r w:rsidRPr="00B31EDB">
        <w:fldChar w:fldCharType="separate"/>
      </w:r>
      <w:r w:rsidRPr="00B31EDB">
        <w:t>4.1.5</w:t>
      </w:r>
      <w:r w:rsidRPr="00B31EDB">
        <w:fldChar w:fldCharType="end"/>
      </w:r>
      <w:r w:rsidRPr="00375401">
        <w:t xml:space="preserve">.  </w:t>
      </w:r>
      <w:r w:rsidRPr="00375401">
        <w:rPr>
          <w:szCs w:val="24"/>
        </w:rPr>
        <w:t xml:space="preserve">The LMP at any </w:t>
      </w:r>
      <w:r w:rsidR="002D623C">
        <w:rPr>
          <w:szCs w:val="24"/>
        </w:rPr>
        <w:t>Pnode</w:t>
      </w:r>
      <w:r w:rsidRPr="00375401">
        <w:rPr>
          <w:szCs w:val="24"/>
        </w:rPr>
        <w:t xml:space="preserve"> is the sum of three components</w:t>
      </w:r>
      <w:r>
        <w:rPr>
          <w:szCs w:val="24"/>
        </w:rPr>
        <w:t>:</w:t>
      </w:r>
      <w:r w:rsidRPr="00375401">
        <w:rPr>
          <w:szCs w:val="24"/>
        </w:rPr>
        <w:t xml:space="preserve"> the marginal costs of Energy (Marginal Energy Component or MEC), the marginal cost of losses (Marginal Loss Component or MLC), and the marginal cost of congestion (Marginal Congestion Component or MCC).  </w:t>
      </w:r>
    </w:p>
    <w:p w14:paraId="7107FA1C" w14:textId="5A01788C" w:rsidR="00B943FB" w:rsidRPr="00375401" w:rsidRDefault="00B943FB" w:rsidP="00B943FB">
      <w:pPr>
        <w:autoSpaceDE w:val="0"/>
        <w:autoSpaceDN w:val="0"/>
        <w:adjustRightInd w:val="0"/>
        <w:spacing w:line="300" w:lineRule="auto"/>
        <w:rPr>
          <w:szCs w:val="24"/>
        </w:rPr>
      </w:pPr>
      <w:r w:rsidRPr="00375401">
        <w:rPr>
          <w:szCs w:val="24"/>
        </w:rPr>
        <w:t xml:space="preserve">LMP Components at </w:t>
      </w:r>
      <w:r w:rsidR="002D623C">
        <w:rPr>
          <w:szCs w:val="24"/>
        </w:rPr>
        <w:t>Pnode</w:t>
      </w:r>
      <w:r w:rsidRPr="00375401">
        <w:rPr>
          <w:szCs w:val="24"/>
        </w:rPr>
        <w:t xml:space="preserve"> </w:t>
      </w:r>
      <w:r w:rsidRPr="00375401">
        <w:rPr>
          <w:i/>
          <w:szCs w:val="24"/>
        </w:rPr>
        <w:t xml:space="preserve">i </w:t>
      </w:r>
      <w:r w:rsidRPr="00375401">
        <w:rPr>
          <w:szCs w:val="24"/>
        </w:rPr>
        <w:t>are calculated based upon the following formulas:</w:t>
      </w:r>
    </w:p>
    <w:p w14:paraId="5A12E953" w14:textId="77777777" w:rsidR="00B943FB" w:rsidRPr="00375401" w:rsidRDefault="00B943FB" w:rsidP="00B943FB">
      <w:pPr>
        <w:autoSpaceDE w:val="0"/>
        <w:autoSpaceDN w:val="0"/>
        <w:adjustRightInd w:val="0"/>
        <w:spacing w:before="120" w:line="300" w:lineRule="auto"/>
        <w:ind w:left="2880" w:hanging="1260"/>
        <w:rPr>
          <w:i/>
          <w:szCs w:val="24"/>
          <w:vertAlign w:val="subscript"/>
        </w:rPr>
      </w:pPr>
      <w:r w:rsidRPr="00375401">
        <w:rPr>
          <w:szCs w:val="24"/>
        </w:rPr>
        <w:t>LMP</w:t>
      </w:r>
      <w:r w:rsidRPr="00375401">
        <w:rPr>
          <w:i/>
          <w:szCs w:val="24"/>
          <w:vertAlign w:val="subscript"/>
        </w:rPr>
        <w:t>i</w:t>
      </w:r>
      <w:r w:rsidRPr="00375401">
        <w:rPr>
          <w:szCs w:val="24"/>
        </w:rPr>
        <w:t xml:space="preserve"> = MEC + MLC</w:t>
      </w:r>
      <w:r w:rsidRPr="00375401">
        <w:rPr>
          <w:i/>
          <w:szCs w:val="24"/>
          <w:vertAlign w:val="subscript"/>
        </w:rPr>
        <w:t>i</w:t>
      </w:r>
      <w:r w:rsidRPr="00375401">
        <w:rPr>
          <w:szCs w:val="24"/>
        </w:rPr>
        <w:t xml:space="preserve"> + MCC</w:t>
      </w:r>
      <w:r w:rsidRPr="00375401">
        <w:rPr>
          <w:i/>
          <w:szCs w:val="24"/>
          <w:vertAlign w:val="subscript"/>
        </w:rPr>
        <w:t>i</w:t>
      </w:r>
    </w:p>
    <w:p w14:paraId="228DF763" w14:textId="77777777" w:rsidR="00B943FB" w:rsidRPr="00375401" w:rsidRDefault="00B943FB" w:rsidP="00B943FB">
      <w:pPr>
        <w:autoSpaceDE w:val="0"/>
        <w:autoSpaceDN w:val="0"/>
        <w:adjustRightInd w:val="0"/>
        <w:spacing w:before="120" w:line="300" w:lineRule="auto"/>
        <w:ind w:left="1620" w:hanging="14"/>
        <w:rPr>
          <w:szCs w:val="24"/>
        </w:rPr>
      </w:pPr>
      <w:r w:rsidRPr="00375401">
        <w:rPr>
          <w:szCs w:val="24"/>
        </w:rPr>
        <w:t>Where:</w:t>
      </w:r>
    </w:p>
    <w:p w14:paraId="3B584976" w14:textId="77777777" w:rsidR="00B943FB" w:rsidRPr="00375401" w:rsidRDefault="00B943FB" w:rsidP="00B943FB">
      <w:pPr>
        <w:numPr>
          <w:ilvl w:val="0"/>
          <w:numId w:val="135"/>
        </w:numPr>
        <w:tabs>
          <w:tab w:val="num" w:pos="1620"/>
        </w:tabs>
        <w:autoSpaceDE w:val="0"/>
        <w:autoSpaceDN w:val="0"/>
        <w:adjustRightInd w:val="0"/>
        <w:spacing w:before="120" w:line="300" w:lineRule="auto"/>
        <w:ind w:left="1620" w:hanging="540"/>
        <w:rPr>
          <w:szCs w:val="24"/>
        </w:rPr>
      </w:pPr>
      <w:r w:rsidRPr="00375401">
        <w:rPr>
          <w:szCs w:val="24"/>
        </w:rPr>
        <w:t>MEC</w:t>
      </w:r>
      <w:r w:rsidRPr="00375401">
        <w:rPr>
          <w:i/>
          <w:iCs/>
          <w:szCs w:val="24"/>
        </w:rPr>
        <w:t xml:space="preserve"> </w:t>
      </w:r>
      <w:r w:rsidRPr="00375401">
        <w:rPr>
          <w:szCs w:val="24"/>
        </w:rPr>
        <w:t>is the component of LMP</w:t>
      </w:r>
      <w:r w:rsidRPr="00375401">
        <w:rPr>
          <w:i/>
          <w:szCs w:val="24"/>
          <w:vertAlign w:val="subscript"/>
        </w:rPr>
        <w:t>i</w:t>
      </w:r>
      <w:r w:rsidRPr="00375401">
        <w:rPr>
          <w:i/>
          <w:iCs/>
          <w:szCs w:val="24"/>
        </w:rPr>
        <w:t xml:space="preserve"> </w:t>
      </w:r>
      <w:r w:rsidRPr="00375401">
        <w:rPr>
          <w:szCs w:val="24"/>
        </w:rPr>
        <w:t>representing the marginal cost of Energy;</w:t>
      </w:r>
    </w:p>
    <w:p w14:paraId="45070C0F" w14:textId="057A7013" w:rsidR="00B943FB" w:rsidRPr="00375401" w:rsidRDefault="00B943FB" w:rsidP="00B943FB">
      <w:pPr>
        <w:numPr>
          <w:ilvl w:val="0"/>
          <w:numId w:val="135"/>
        </w:numPr>
        <w:tabs>
          <w:tab w:val="num" w:pos="1620"/>
        </w:tabs>
        <w:autoSpaceDE w:val="0"/>
        <w:autoSpaceDN w:val="0"/>
        <w:adjustRightInd w:val="0"/>
        <w:spacing w:before="120" w:line="300" w:lineRule="auto"/>
        <w:ind w:left="1620" w:hanging="540"/>
        <w:rPr>
          <w:szCs w:val="24"/>
        </w:rPr>
      </w:pPr>
      <w:r w:rsidRPr="00375401">
        <w:rPr>
          <w:szCs w:val="24"/>
        </w:rPr>
        <w:t>MLC</w:t>
      </w:r>
      <w:r w:rsidRPr="00375401">
        <w:rPr>
          <w:i/>
          <w:szCs w:val="24"/>
          <w:vertAlign w:val="subscript"/>
        </w:rPr>
        <w:t>i</w:t>
      </w:r>
      <w:r w:rsidRPr="00375401">
        <w:rPr>
          <w:i/>
          <w:iCs/>
          <w:szCs w:val="24"/>
        </w:rPr>
        <w:t xml:space="preserve"> </w:t>
      </w:r>
      <w:r w:rsidRPr="00375401">
        <w:rPr>
          <w:szCs w:val="24"/>
        </w:rPr>
        <w:t>is the component of LMP</w:t>
      </w:r>
      <w:r w:rsidRPr="00375401">
        <w:rPr>
          <w:i/>
          <w:szCs w:val="24"/>
          <w:vertAlign w:val="subscript"/>
        </w:rPr>
        <w:t>i</w:t>
      </w:r>
      <w:r w:rsidRPr="00375401">
        <w:rPr>
          <w:i/>
          <w:iCs/>
          <w:szCs w:val="24"/>
        </w:rPr>
        <w:t xml:space="preserve"> </w:t>
      </w:r>
      <w:r w:rsidRPr="00375401">
        <w:rPr>
          <w:szCs w:val="24"/>
        </w:rPr>
        <w:t xml:space="preserve">representing the marginal cost of losses at </w:t>
      </w:r>
      <w:r w:rsidR="002D623C">
        <w:rPr>
          <w:szCs w:val="24"/>
        </w:rPr>
        <w:t>Pnode</w:t>
      </w:r>
      <w:r w:rsidRPr="00375401">
        <w:rPr>
          <w:szCs w:val="24"/>
        </w:rPr>
        <w:t xml:space="preserve"> </w:t>
      </w:r>
      <w:r w:rsidRPr="00375401">
        <w:rPr>
          <w:i/>
          <w:iCs/>
          <w:szCs w:val="24"/>
        </w:rPr>
        <w:t xml:space="preserve">i </w:t>
      </w:r>
      <w:r w:rsidRPr="00375401">
        <w:rPr>
          <w:szCs w:val="24"/>
        </w:rPr>
        <w:t>relative to the Reference Bus;</w:t>
      </w:r>
    </w:p>
    <w:p w14:paraId="3A666D46" w14:textId="452A3AE1" w:rsidR="00B943FB" w:rsidRPr="00375401" w:rsidRDefault="00B943FB" w:rsidP="00B943FB">
      <w:pPr>
        <w:numPr>
          <w:ilvl w:val="0"/>
          <w:numId w:val="135"/>
        </w:numPr>
        <w:tabs>
          <w:tab w:val="num" w:pos="1620"/>
        </w:tabs>
        <w:autoSpaceDE w:val="0"/>
        <w:autoSpaceDN w:val="0"/>
        <w:adjustRightInd w:val="0"/>
        <w:spacing w:before="120" w:line="300" w:lineRule="auto"/>
        <w:ind w:left="1620" w:hanging="540"/>
        <w:rPr>
          <w:szCs w:val="24"/>
        </w:rPr>
      </w:pPr>
      <w:r w:rsidRPr="00375401">
        <w:rPr>
          <w:szCs w:val="24"/>
        </w:rPr>
        <w:t>MCC</w:t>
      </w:r>
      <w:r w:rsidRPr="00375401">
        <w:rPr>
          <w:i/>
          <w:szCs w:val="24"/>
          <w:vertAlign w:val="subscript"/>
        </w:rPr>
        <w:t>i</w:t>
      </w:r>
      <w:r w:rsidRPr="00375401">
        <w:rPr>
          <w:i/>
          <w:iCs/>
          <w:szCs w:val="24"/>
        </w:rPr>
        <w:t xml:space="preserve"> </w:t>
      </w:r>
      <w:r w:rsidRPr="00375401">
        <w:rPr>
          <w:szCs w:val="24"/>
        </w:rPr>
        <w:t>is the component of LMP</w:t>
      </w:r>
      <w:r w:rsidRPr="00375401">
        <w:rPr>
          <w:i/>
          <w:iCs/>
          <w:szCs w:val="24"/>
        </w:rPr>
        <w:t xml:space="preserve">i </w:t>
      </w:r>
      <w:r w:rsidRPr="00375401">
        <w:rPr>
          <w:szCs w:val="24"/>
        </w:rPr>
        <w:t xml:space="preserve">representing the marginal cost of congestion at </w:t>
      </w:r>
      <w:r w:rsidR="002D623C">
        <w:rPr>
          <w:szCs w:val="24"/>
        </w:rPr>
        <w:t>Enode</w:t>
      </w:r>
      <w:r w:rsidRPr="00375401">
        <w:rPr>
          <w:szCs w:val="24"/>
        </w:rPr>
        <w:t xml:space="preserve"> </w:t>
      </w:r>
      <w:r w:rsidRPr="00375401">
        <w:rPr>
          <w:i/>
          <w:iCs/>
          <w:szCs w:val="24"/>
        </w:rPr>
        <w:t xml:space="preserve">i </w:t>
      </w:r>
      <w:r w:rsidRPr="00375401">
        <w:rPr>
          <w:szCs w:val="24"/>
        </w:rPr>
        <w:t>relative to the Reference Bus; and</w:t>
      </w:r>
    </w:p>
    <w:p w14:paraId="067AD765" w14:textId="77777777" w:rsidR="00B943FB" w:rsidRPr="00375401" w:rsidRDefault="00B943FB" w:rsidP="00B943FB">
      <w:pPr>
        <w:numPr>
          <w:ilvl w:val="0"/>
          <w:numId w:val="135"/>
        </w:numPr>
        <w:tabs>
          <w:tab w:val="num" w:pos="1620"/>
        </w:tabs>
        <w:autoSpaceDE w:val="0"/>
        <w:autoSpaceDN w:val="0"/>
        <w:adjustRightInd w:val="0"/>
        <w:spacing w:before="120" w:line="300" w:lineRule="auto"/>
        <w:ind w:left="1620" w:hanging="540"/>
        <w:rPr>
          <w:szCs w:val="24"/>
        </w:rPr>
      </w:pPr>
      <w:r w:rsidRPr="00375401">
        <w:rPr>
          <w:szCs w:val="24"/>
        </w:rPr>
        <w:t xml:space="preserve">The Reference Bus represents the network </w:t>
      </w:r>
      <w:r>
        <w:rPr>
          <w:szCs w:val="24"/>
        </w:rPr>
        <w:t>d</w:t>
      </w:r>
      <w:r w:rsidRPr="00375401">
        <w:rPr>
          <w:szCs w:val="24"/>
        </w:rPr>
        <w:t xml:space="preserve">istributed </w:t>
      </w:r>
      <w:r>
        <w:rPr>
          <w:szCs w:val="24"/>
        </w:rPr>
        <w:t>l</w:t>
      </w:r>
      <w:r w:rsidRPr="00375401">
        <w:rPr>
          <w:szCs w:val="24"/>
        </w:rPr>
        <w:t xml:space="preserve">oad </w:t>
      </w:r>
      <w:r>
        <w:rPr>
          <w:szCs w:val="24"/>
        </w:rPr>
        <w:t>b</w:t>
      </w:r>
      <w:r w:rsidRPr="00375401">
        <w:rPr>
          <w:szCs w:val="24"/>
        </w:rPr>
        <w:t>us.</w:t>
      </w:r>
    </w:p>
    <w:p w14:paraId="31A603AD" w14:textId="77777777" w:rsidR="00B943FB" w:rsidRPr="00375401" w:rsidRDefault="00B943FB" w:rsidP="00574654">
      <w:pPr>
        <w:pStyle w:val="Heading5"/>
      </w:pPr>
      <w:bookmarkStart w:id="5490" w:name="_Toc263173409"/>
      <w:bookmarkStart w:id="5491" w:name="_Toc263174236"/>
      <w:bookmarkStart w:id="5492" w:name="_Toc263235135"/>
      <w:bookmarkStart w:id="5493" w:name="_Toc263235779"/>
      <w:bookmarkStart w:id="5494" w:name="_Toc263429522"/>
      <w:bookmarkStart w:id="5495" w:name="_Toc263795562"/>
      <w:bookmarkStart w:id="5496" w:name="_Toc159232479"/>
      <w:bookmarkStart w:id="5497" w:name="_Toc163908486"/>
      <w:bookmarkStart w:id="5498" w:name="_Toc166853445"/>
      <w:bookmarkStart w:id="5499" w:name="_Toc213771900"/>
      <w:r w:rsidRPr="00375401">
        <w:t>Marginal Loss Component Calculation</w:t>
      </w:r>
      <w:bookmarkEnd w:id="5490"/>
      <w:bookmarkEnd w:id="5491"/>
      <w:bookmarkEnd w:id="5492"/>
      <w:bookmarkEnd w:id="5493"/>
      <w:bookmarkEnd w:id="5494"/>
      <w:bookmarkEnd w:id="5495"/>
      <w:bookmarkEnd w:id="5496"/>
      <w:bookmarkEnd w:id="5497"/>
      <w:bookmarkEnd w:id="5498"/>
      <w:bookmarkEnd w:id="5499"/>
    </w:p>
    <w:p w14:paraId="48E7D059" w14:textId="0021A980" w:rsidR="00B943FB" w:rsidRPr="00375401" w:rsidRDefault="00B943FB" w:rsidP="00B943FB">
      <w:pPr>
        <w:autoSpaceDE w:val="0"/>
        <w:autoSpaceDN w:val="0"/>
        <w:adjustRightInd w:val="0"/>
        <w:spacing w:line="300" w:lineRule="auto"/>
        <w:rPr>
          <w:szCs w:val="24"/>
        </w:rPr>
      </w:pPr>
      <w:r w:rsidRPr="00375401">
        <w:rPr>
          <w:szCs w:val="24"/>
        </w:rPr>
        <w:t>The MLC</w:t>
      </w:r>
      <w:r w:rsidRPr="00375401">
        <w:rPr>
          <w:i/>
          <w:iCs/>
          <w:szCs w:val="24"/>
          <w:vertAlign w:val="subscript"/>
        </w:rPr>
        <w:t>i</w:t>
      </w:r>
      <w:r w:rsidRPr="00375401">
        <w:rPr>
          <w:i/>
          <w:iCs/>
          <w:szCs w:val="24"/>
        </w:rPr>
        <w:t xml:space="preserve"> </w:t>
      </w:r>
      <w:r w:rsidRPr="00375401">
        <w:rPr>
          <w:szCs w:val="24"/>
        </w:rPr>
        <w:t xml:space="preserve">at each </w:t>
      </w:r>
      <w:r w:rsidR="002D623C">
        <w:rPr>
          <w:szCs w:val="24"/>
        </w:rPr>
        <w:t>Pnode</w:t>
      </w:r>
      <w:r w:rsidRPr="00375401">
        <w:rPr>
          <w:szCs w:val="24"/>
        </w:rPr>
        <w:t xml:space="preserve"> </w:t>
      </w:r>
      <w:r w:rsidRPr="00375401">
        <w:rPr>
          <w:i/>
          <w:szCs w:val="24"/>
        </w:rPr>
        <w:t>i</w:t>
      </w:r>
      <w:r w:rsidRPr="00375401">
        <w:rPr>
          <w:szCs w:val="24"/>
        </w:rPr>
        <w:t xml:space="preserve"> is defined by the following equations:</w:t>
      </w:r>
    </w:p>
    <w:p w14:paraId="0030D1A2" w14:textId="77777777" w:rsidR="00B943FB" w:rsidRPr="00375401" w:rsidRDefault="00B943FB" w:rsidP="00B943FB">
      <w:pPr>
        <w:autoSpaceDE w:val="0"/>
        <w:autoSpaceDN w:val="0"/>
        <w:adjustRightInd w:val="0"/>
        <w:spacing w:before="120" w:line="300" w:lineRule="auto"/>
        <w:ind w:left="2880" w:hanging="1260"/>
        <w:rPr>
          <w:szCs w:val="24"/>
        </w:rPr>
      </w:pPr>
      <w:r w:rsidRPr="00375401">
        <w:rPr>
          <w:szCs w:val="24"/>
        </w:rPr>
        <w:t>MLC</w:t>
      </w:r>
      <w:r w:rsidRPr="00375401">
        <w:rPr>
          <w:i/>
          <w:szCs w:val="24"/>
          <w:vertAlign w:val="subscript"/>
        </w:rPr>
        <w:t>i</w:t>
      </w:r>
      <w:r w:rsidRPr="00375401">
        <w:rPr>
          <w:szCs w:val="24"/>
        </w:rPr>
        <w:t xml:space="preserve"> = -MLSF</w:t>
      </w:r>
      <w:r w:rsidRPr="00375401">
        <w:rPr>
          <w:i/>
          <w:szCs w:val="24"/>
          <w:vertAlign w:val="subscript"/>
        </w:rPr>
        <w:t>i</w:t>
      </w:r>
      <w:r w:rsidRPr="00375401">
        <w:rPr>
          <w:szCs w:val="24"/>
        </w:rPr>
        <w:t xml:space="preserve"> * MEC  </w:t>
      </w:r>
    </w:p>
    <w:p w14:paraId="6BE6EB85" w14:textId="77777777" w:rsidR="00B943FB" w:rsidRPr="00375401" w:rsidRDefault="00B943FB" w:rsidP="00B943FB">
      <w:pPr>
        <w:autoSpaceDE w:val="0"/>
        <w:autoSpaceDN w:val="0"/>
        <w:adjustRightInd w:val="0"/>
        <w:spacing w:before="120" w:line="300" w:lineRule="auto"/>
        <w:ind w:left="2880" w:hanging="1260"/>
        <w:rPr>
          <w:i/>
          <w:szCs w:val="24"/>
          <w:vertAlign w:val="subscript"/>
        </w:rPr>
      </w:pPr>
      <w:r w:rsidRPr="00375401">
        <w:rPr>
          <w:szCs w:val="24"/>
        </w:rPr>
        <w:t>MLSF</w:t>
      </w:r>
      <w:r w:rsidRPr="00375401">
        <w:rPr>
          <w:i/>
          <w:szCs w:val="24"/>
          <w:vertAlign w:val="subscript"/>
        </w:rPr>
        <w:t>i</w:t>
      </w:r>
      <w:r w:rsidRPr="00375401">
        <w:rPr>
          <w:szCs w:val="24"/>
        </w:rPr>
        <w:t xml:space="preserve"> = </w:t>
      </w:r>
      <w:r w:rsidRPr="00375401">
        <w:rPr>
          <w:position w:val="-6"/>
          <w:szCs w:val="24"/>
          <w:lang w:val="pt-BR"/>
        </w:rPr>
        <w:object w:dxaOrig="200" w:dyaOrig="279" w14:anchorId="6F199779">
          <v:shape id="_x0000_i1028" type="#_x0000_t75" style="width:18.6pt;height:12pt" o:ole="">
            <v:imagedata r:id="rId56" o:title=""/>
          </v:shape>
          <o:OLEObject Type="Embed" ProgID="Equation.3" ShapeID="_x0000_i1028" DrawAspect="Content" ObjectID="_1829396213" r:id="rId57"/>
        </w:object>
      </w:r>
      <w:r w:rsidRPr="00375401">
        <w:rPr>
          <w:szCs w:val="24"/>
        </w:rPr>
        <w:t xml:space="preserve">(Losses) / </w:t>
      </w:r>
      <w:r w:rsidRPr="00375401">
        <w:rPr>
          <w:position w:val="-6"/>
          <w:szCs w:val="24"/>
          <w:lang w:val="pt-BR"/>
        </w:rPr>
        <w:object w:dxaOrig="200" w:dyaOrig="279" w14:anchorId="43D4FD3C">
          <v:shape id="_x0000_i1029" type="#_x0000_t75" style="width:18.6pt;height:12pt" o:ole="">
            <v:imagedata r:id="rId58" o:title=""/>
          </v:shape>
          <o:OLEObject Type="Embed" ProgID="Equation.3" ShapeID="_x0000_i1029" DrawAspect="Content" ObjectID="_1829396214" r:id="rId59"/>
        </w:object>
      </w:r>
      <w:r w:rsidRPr="00375401">
        <w:rPr>
          <w:szCs w:val="24"/>
        </w:rPr>
        <w:t>P</w:t>
      </w:r>
      <w:r w:rsidRPr="00375401">
        <w:rPr>
          <w:i/>
          <w:szCs w:val="24"/>
          <w:vertAlign w:val="subscript"/>
        </w:rPr>
        <w:t>i</w:t>
      </w:r>
    </w:p>
    <w:p w14:paraId="14E64BF3" w14:textId="77777777" w:rsidR="00B943FB" w:rsidRPr="00375401" w:rsidRDefault="00B943FB" w:rsidP="00B943FB">
      <w:pPr>
        <w:autoSpaceDE w:val="0"/>
        <w:autoSpaceDN w:val="0"/>
        <w:adjustRightInd w:val="0"/>
        <w:spacing w:before="120" w:line="300" w:lineRule="auto"/>
        <w:ind w:left="1620" w:hanging="14"/>
        <w:rPr>
          <w:szCs w:val="24"/>
        </w:rPr>
      </w:pPr>
      <w:r w:rsidRPr="00375401">
        <w:rPr>
          <w:szCs w:val="24"/>
        </w:rPr>
        <w:t>Where:</w:t>
      </w:r>
    </w:p>
    <w:p w14:paraId="61FC6A17" w14:textId="77777777" w:rsidR="00B943FB" w:rsidRPr="00375401" w:rsidRDefault="00B943FB" w:rsidP="00B943FB">
      <w:pPr>
        <w:numPr>
          <w:ilvl w:val="0"/>
          <w:numId w:val="136"/>
        </w:numPr>
        <w:tabs>
          <w:tab w:val="num" w:pos="1620"/>
        </w:tabs>
        <w:spacing w:line="300" w:lineRule="auto"/>
        <w:ind w:left="1620" w:hanging="540"/>
        <w:rPr>
          <w:szCs w:val="24"/>
        </w:rPr>
      </w:pPr>
      <w:r w:rsidRPr="00375401">
        <w:rPr>
          <w:szCs w:val="24"/>
        </w:rPr>
        <w:t xml:space="preserve">Losses = transmission system losses; </w:t>
      </w:r>
    </w:p>
    <w:p w14:paraId="2B7ED2C4" w14:textId="26704C39" w:rsidR="00B943FB" w:rsidRPr="00375401" w:rsidRDefault="00B943FB" w:rsidP="00B943FB">
      <w:pPr>
        <w:numPr>
          <w:ilvl w:val="0"/>
          <w:numId w:val="136"/>
        </w:numPr>
        <w:tabs>
          <w:tab w:val="num" w:pos="1620"/>
        </w:tabs>
        <w:autoSpaceDE w:val="0"/>
        <w:autoSpaceDN w:val="0"/>
        <w:adjustRightInd w:val="0"/>
        <w:spacing w:before="120" w:line="300" w:lineRule="auto"/>
        <w:ind w:left="1620" w:hanging="540"/>
        <w:rPr>
          <w:szCs w:val="24"/>
        </w:rPr>
      </w:pPr>
      <w:r w:rsidRPr="00375401">
        <w:rPr>
          <w:szCs w:val="24"/>
        </w:rPr>
        <w:t>MLSF</w:t>
      </w:r>
      <w:r w:rsidRPr="00375401">
        <w:rPr>
          <w:i/>
          <w:szCs w:val="24"/>
          <w:vertAlign w:val="subscript"/>
        </w:rPr>
        <w:t>i</w:t>
      </w:r>
      <w:r w:rsidRPr="00375401">
        <w:rPr>
          <w:szCs w:val="24"/>
        </w:rPr>
        <w:t xml:space="preserve"> = Marginal Loss Sensitivity Factor at </w:t>
      </w:r>
      <w:r w:rsidR="002D623C">
        <w:rPr>
          <w:szCs w:val="24"/>
        </w:rPr>
        <w:t>Pnode</w:t>
      </w:r>
      <w:r w:rsidRPr="00375401">
        <w:rPr>
          <w:szCs w:val="24"/>
        </w:rPr>
        <w:t xml:space="preserve"> </w:t>
      </w:r>
      <w:r w:rsidRPr="00375401">
        <w:rPr>
          <w:i/>
          <w:szCs w:val="24"/>
        </w:rPr>
        <w:t>i</w:t>
      </w:r>
      <w:r w:rsidRPr="00375401">
        <w:rPr>
          <w:szCs w:val="24"/>
        </w:rPr>
        <w:t>;</w:t>
      </w:r>
    </w:p>
    <w:p w14:paraId="3B687DF3" w14:textId="77777777" w:rsidR="00B943FB" w:rsidRPr="00375401" w:rsidRDefault="00B943FB" w:rsidP="00B943FB">
      <w:pPr>
        <w:numPr>
          <w:ilvl w:val="0"/>
          <w:numId w:val="136"/>
        </w:numPr>
        <w:tabs>
          <w:tab w:val="num" w:pos="1620"/>
        </w:tabs>
        <w:autoSpaceDE w:val="0"/>
        <w:autoSpaceDN w:val="0"/>
        <w:adjustRightInd w:val="0"/>
        <w:spacing w:before="120" w:line="300" w:lineRule="auto"/>
        <w:ind w:left="1620" w:hanging="540"/>
        <w:rPr>
          <w:szCs w:val="24"/>
        </w:rPr>
      </w:pPr>
      <w:r w:rsidRPr="00375401">
        <w:rPr>
          <w:szCs w:val="24"/>
        </w:rPr>
        <w:t>MEC</w:t>
      </w:r>
      <w:r w:rsidRPr="00375401">
        <w:rPr>
          <w:i/>
          <w:iCs/>
          <w:szCs w:val="24"/>
        </w:rPr>
        <w:t xml:space="preserve"> </w:t>
      </w:r>
      <w:r w:rsidRPr="00375401">
        <w:rPr>
          <w:szCs w:val="24"/>
        </w:rPr>
        <w:t>is the component of LMP</w:t>
      </w:r>
      <w:r w:rsidRPr="00375401">
        <w:rPr>
          <w:i/>
          <w:szCs w:val="24"/>
          <w:vertAlign w:val="subscript"/>
        </w:rPr>
        <w:t>i</w:t>
      </w:r>
      <w:r w:rsidRPr="00375401">
        <w:rPr>
          <w:i/>
          <w:iCs/>
          <w:szCs w:val="24"/>
        </w:rPr>
        <w:t xml:space="preserve"> </w:t>
      </w:r>
      <w:r w:rsidRPr="00375401">
        <w:rPr>
          <w:szCs w:val="24"/>
        </w:rPr>
        <w:t>representing the marginal cost of Energy;</w:t>
      </w:r>
    </w:p>
    <w:p w14:paraId="32B49777" w14:textId="3D28ED71" w:rsidR="00B943FB" w:rsidRPr="00375401" w:rsidRDefault="00B943FB" w:rsidP="00B943FB">
      <w:pPr>
        <w:numPr>
          <w:ilvl w:val="0"/>
          <w:numId w:val="136"/>
        </w:numPr>
        <w:tabs>
          <w:tab w:val="num" w:pos="1620"/>
        </w:tabs>
        <w:autoSpaceDE w:val="0"/>
        <w:autoSpaceDN w:val="0"/>
        <w:adjustRightInd w:val="0"/>
        <w:spacing w:before="120" w:line="300" w:lineRule="auto"/>
        <w:ind w:left="1620" w:hanging="540"/>
        <w:rPr>
          <w:szCs w:val="24"/>
        </w:rPr>
      </w:pPr>
      <w:r w:rsidRPr="00375401">
        <w:rPr>
          <w:szCs w:val="24"/>
        </w:rPr>
        <w:t>P</w:t>
      </w:r>
      <w:r w:rsidRPr="00375401">
        <w:rPr>
          <w:i/>
          <w:szCs w:val="24"/>
          <w:vertAlign w:val="subscript"/>
        </w:rPr>
        <w:t>i</w:t>
      </w:r>
      <w:r w:rsidRPr="00375401">
        <w:rPr>
          <w:szCs w:val="24"/>
        </w:rPr>
        <w:t xml:space="preserve"> = Net injection at </w:t>
      </w:r>
      <w:r w:rsidR="002D623C">
        <w:rPr>
          <w:szCs w:val="24"/>
        </w:rPr>
        <w:t>Pnode</w:t>
      </w:r>
      <w:r w:rsidRPr="00375401">
        <w:rPr>
          <w:szCs w:val="24"/>
        </w:rPr>
        <w:t xml:space="preserve"> </w:t>
      </w:r>
      <w:r w:rsidRPr="00375401">
        <w:rPr>
          <w:i/>
          <w:szCs w:val="24"/>
        </w:rPr>
        <w:t>i.</w:t>
      </w:r>
    </w:p>
    <w:p w14:paraId="55236EF2" w14:textId="6629DBE5" w:rsidR="00B943FB" w:rsidRPr="00375401" w:rsidRDefault="00B943FB" w:rsidP="00B943FB">
      <w:pPr>
        <w:autoSpaceDE w:val="0"/>
        <w:autoSpaceDN w:val="0"/>
        <w:adjustRightInd w:val="0"/>
        <w:spacing w:line="300" w:lineRule="auto"/>
        <w:rPr>
          <w:szCs w:val="24"/>
        </w:rPr>
      </w:pPr>
      <w:r w:rsidRPr="00375401">
        <w:rPr>
          <w:szCs w:val="24"/>
        </w:rPr>
        <w:t>The MLSF</w:t>
      </w:r>
      <w:r w:rsidRPr="00375401">
        <w:rPr>
          <w:i/>
          <w:szCs w:val="24"/>
          <w:vertAlign w:val="subscript"/>
        </w:rPr>
        <w:t>i</w:t>
      </w:r>
      <w:r w:rsidRPr="00375401">
        <w:rPr>
          <w:i/>
          <w:iCs/>
          <w:szCs w:val="24"/>
        </w:rPr>
        <w:t xml:space="preserve"> </w:t>
      </w:r>
      <w:r w:rsidRPr="00375401">
        <w:rPr>
          <w:szCs w:val="24"/>
        </w:rPr>
        <w:t xml:space="preserve">is a linearized estimate of the change in transmission losses within </w:t>
      </w:r>
      <w:r>
        <w:rPr>
          <w:szCs w:val="24"/>
        </w:rPr>
        <w:t>the</w:t>
      </w:r>
      <w:r w:rsidRPr="00375401">
        <w:rPr>
          <w:szCs w:val="24"/>
        </w:rPr>
        <w:t xml:space="preserve"> Markets+ Footprint that will result from a </w:t>
      </w:r>
      <w:r w:rsidR="006D6A3F">
        <w:rPr>
          <w:szCs w:val="24"/>
        </w:rPr>
        <w:t>one (</w:t>
      </w:r>
      <w:r w:rsidRPr="00375401">
        <w:rPr>
          <w:szCs w:val="24"/>
        </w:rPr>
        <w:t>1</w:t>
      </w:r>
      <w:r w:rsidR="006D6A3F">
        <w:rPr>
          <w:szCs w:val="24"/>
        </w:rPr>
        <w:t>)</w:t>
      </w:r>
      <w:r w:rsidRPr="00375401">
        <w:rPr>
          <w:szCs w:val="24"/>
        </w:rPr>
        <w:t xml:space="preserve"> MW injection at </w:t>
      </w:r>
      <w:r w:rsidR="002D623C">
        <w:rPr>
          <w:szCs w:val="24"/>
        </w:rPr>
        <w:t>Pnode</w:t>
      </w:r>
      <w:r w:rsidRPr="00375401">
        <w:rPr>
          <w:szCs w:val="24"/>
        </w:rPr>
        <w:t xml:space="preserve"> </w:t>
      </w:r>
      <w:r w:rsidRPr="00375401">
        <w:rPr>
          <w:i/>
          <w:iCs/>
          <w:szCs w:val="24"/>
        </w:rPr>
        <w:t xml:space="preserve">i </w:t>
      </w:r>
      <w:r w:rsidRPr="00375401">
        <w:rPr>
          <w:szCs w:val="24"/>
        </w:rPr>
        <w:t>coupled with a corresponding withdrawal at the Reference Bus to maintain global power balance</w:t>
      </w:r>
      <w:r w:rsidR="00C545A7">
        <w:rPr>
          <w:szCs w:val="24"/>
        </w:rPr>
        <w:t xml:space="preserve">, as described in </w:t>
      </w:r>
      <w:r w:rsidR="006C20D0">
        <w:rPr>
          <w:szCs w:val="24"/>
        </w:rPr>
        <w:t>Section 4.1.4</w:t>
      </w:r>
      <w:r w:rsidR="00C545A7">
        <w:rPr>
          <w:szCs w:val="24"/>
        </w:rPr>
        <w:t>,</w:t>
      </w:r>
      <w:r w:rsidRPr="00375401">
        <w:rPr>
          <w:szCs w:val="24"/>
        </w:rPr>
        <w:t xml:space="preserve"> (the withdrawal at the Reference Bus will generally be higher or lower than </w:t>
      </w:r>
      <w:r w:rsidR="006D6A3F">
        <w:rPr>
          <w:szCs w:val="24"/>
        </w:rPr>
        <w:t>one</w:t>
      </w:r>
      <w:r w:rsidRPr="00375401">
        <w:rPr>
          <w:szCs w:val="24"/>
        </w:rPr>
        <w:t xml:space="preserve"> </w:t>
      </w:r>
      <w:r w:rsidR="006D6A3F">
        <w:rPr>
          <w:szCs w:val="24"/>
        </w:rPr>
        <w:t>(</w:t>
      </w:r>
      <w:r w:rsidRPr="00375401">
        <w:rPr>
          <w:szCs w:val="24"/>
        </w:rPr>
        <w:t>1</w:t>
      </w:r>
      <w:r w:rsidR="006D6A3F">
        <w:rPr>
          <w:szCs w:val="24"/>
        </w:rPr>
        <w:t>)</w:t>
      </w:r>
      <w:r w:rsidRPr="00375401">
        <w:rPr>
          <w:szCs w:val="24"/>
        </w:rPr>
        <w:t xml:space="preserve"> MW since there will be a change in losses).  Marginal loss sensitivity factors are dependent on topology, node injections</w:t>
      </w:r>
      <w:r>
        <w:rPr>
          <w:szCs w:val="24"/>
        </w:rPr>
        <w:t>,</w:t>
      </w:r>
      <w:r w:rsidRPr="00375401">
        <w:rPr>
          <w:szCs w:val="24"/>
        </w:rPr>
        <w:t xml:space="preserve"> and node withdrawals, and are only considered constant within a small deviation from a fixed operating point.</w:t>
      </w:r>
    </w:p>
    <w:p w14:paraId="4B641507" w14:textId="77777777" w:rsidR="00B943FB" w:rsidRPr="00375401" w:rsidRDefault="00B943FB" w:rsidP="00574654">
      <w:pPr>
        <w:pStyle w:val="Heading5"/>
      </w:pPr>
      <w:bookmarkStart w:id="5500" w:name="_Toc263173410"/>
      <w:bookmarkStart w:id="5501" w:name="_Toc263174237"/>
      <w:bookmarkStart w:id="5502" w:name="_Toc263235136"/>
      <w:bookmarkStart w:id="5503" w:name="_Toc263235780"/>
      <w:bookmarkStart w:id="5504" w:name="_Toc263429523"/>
      <w:bookmarkStart w:id="5505" w:name="_Toc263795563"/>
      <w:bookmarkStart w:id="5506" w:name="_Ref279566562"/>
      <w:bookmarkStart w:id="5507" w:name="_Toc159232480"/>
      <w:bookmarkStart w:id="5508" w:name="_Toc163908487"/>
      <w:bookmarkStart w:id="5509" w:name="_Toc166853446"/>
      <w:bookmarkStart w:id="5510" w:name="_Toc213771901"/>
      <w:r w:rsidRPr="00375401">
        <w:t>Marginal Congestion Component Calculation</w:t>
      </w:r>
      <w:bookmarkEnd w:id="5500"/>
      <w:bookmarkEnd w:id="5501"/>
      <w:bookmarkEnd w:id="5502"/>
      <w:bookmarkEnd w:id="5503"/>
      <w:bookmarkEnd w:id="5504"/>
      <w:bookmarkEnd w:id="5505"/>
      <w:bookmarkEnd w:id="5506"/>
      <w:bookmarkEnd w:id="5507"/>
      <w:bookmarkEnd w:id="5508"/>
      <w:bookmarkEnd w:id="5509"/>
      <w:bookmarkEnd w:id="5510"/>
    </w:p>
    <w:p w14:paraId="59878296" w14:textId="6EE5C3D8" w:rsidR="00B943FB" w:rsidRPr="00375401" w:rsidRDefault="00B943FB" w:rsidP="00B943FB">
      <w:pPr>
        <w:autoSpaceDE w:val="0"/>
        <w:autoSpaceDN w:val="0"/>
        <w:adjustRightInd w:val="0"/>
        <w:spacing w:line="300" w:lineRule="auto"/>
        <w:rPr>
          <w:szCs w:val="24"/>
        </w:rPr>
      </w:pPr>
      <w:r w:rsidRPr="00375401">
        <w:rPr>
          <w:szCs w:val="24"/>
        </w:rPr>
        <w:t>The MCC</w:t>
      </w:r>
      <w:r w:rsidRPr="00375401">
        <w:rPr>
          <w:i/>
          <w:iCs/>
          <w:szCs w:val="24"/>
        </w:rPr>
        <w:t xml:space="preserve"> </w:t>
      </w:r>
      <w:r w:rsidRPr="00375401">
        <w:rPr>
          <w:szCs w:val="24"/>
        </w:rPr>
        <w:t xml:space="preserve">at each </w:t>
      </w:r>
      <w:r w:rsidR="002D623C">
        <w:rPr>
          <w:szCs w:val="24"/>
        </w:rPr>
        <w:t>Pnode</w:t>
      </w:r>
      <w:r w:rsidRPr="00375401">
        <w:rPr>
          <w:szCs w:val="24"/>
        </w:rPr>
        <w:t xml:space="preserve"> </w:t>
      </w:r>
      <w:r w:rsidRPr="00375401">
        <w:rPr>
          <w:i/>
          <w:iCs/>
          <w:szCs w:val="24"/>
        </w:rPr>
        <w:t xml:space="preserve">i </w:t>
      </w:r>
      <w:r w:rsidRPr="00375401">
        <w:rPr>
          <w:iCs/>
          <w:szCs w:val="24"/>
        </w:rPr>
        <w:t>is defined by the following equations</w:t>
      </w:r>
      <w:r>
        <w:rPr>
          <w:iCs/>
          <w:szCs w:val="24"/>
        </w:rPr>
        <w:t>:</w:t>
      </w:r>
    </w:p>
    <w:p w14:paraId="3EA9948D" w14:textId="77777777" w:rsidR="00B943FB" w:rsidRPr="00375401" w:rsidRDefault="00B943FB" w:rsidP="00B943FB">
      <w:pPr>
        <w:autoSpaceDE w:val="0"/>
        <w:autoSpaceDN w:val="0"/>
        <w:adjustRightInd w:val="0"/>
        <w:spacing w:before="120" w:line="300" w:lineRule="auto"/>
        <w:ind w:left="2880" w:hanging="1260"/>
        <w:rPr>
          <w:szCs w:val="24"/>
          <w:lang w:val="de-DE"/>
        </w:rPr>
      </w:pPr>
      <w:r w:rsidRPr="00375401">
        <w:rPr>
          <w:szCs w:val="24"/>
          <w:lang w:val="de-DE"/>
        </w:rPr>
        <w:t>MCC</w:t>
      </w:r>
      <w:r w:rsidRPr="00375401">
        <w:rPr>
          <w:i/>
          <w:szCs w:val="24"/>
          <w:vertAlign w:val="subscript"/>
          <w:lang w:val="de-DE"/>
        </w:rPr>
        <w:t>i</w:t>
      </w:r>
      <w:r w:rsidRPr="00375401">
        <w:rPr>
          <w:szCs w:val="24"/>
          <w:lang w:val="de-DE"/>
        </w:rPr>
        <w:t xml:space="preserve"> = - ( </w:t>
      </w:r>
      <w:r w:rsidRPr="00375401">
        <w:rPr>
          <w:position w:val="-28"/>
          <w:szCs w:val="24"/>
        </w:rPr>
        <w:object w:dxaOrig="460" w:dyaOrig="680" w14:anchorId="5D03BF70">
          <v:shape id="_x0000_i1030" type="#_x0000_t75" style="width:24pt;height:37.8pt" o:ole="">
            <v:imagedata r:id="rId60" o:title=""/>
          </v:shape>
          <o:OLEObject Type="Embed" ProgID="Equation.3" ShapeID="_x0000_i1030" DrawAspect="Content" ObjectID="_1829396215" r:id="rId61"/>
        </w:object>
      </w:r>
      <w:r w:rsidRPr="00375401">
        <w:rPr>
          <w:szCs w:val="24"/>
          <w:lang w:val="de-DE"/>
        </w:rPr>
        <w:t>Sens</w:t>
      </w:r>
      <w:r w:rsidRPr="00375401">
        <w:rPr>
          <w:i/>
          <w:szCs w:val="24"/>
          <w:vertAlign w:val="subscript"/>
          <w:lang w:val="de-DE"/>
        </w:rPr>
        <w:t>ik</w:t>
      </w:r>
      <w:r w:rsidRPr="00375401">
        <w:rPr>
          <w:szCs w:val="24"/>
          <w:lang w:val="de-DE"/>
        </w:rPr>
        <w:t xml:space="preserve"> * SP</w:t>
      </w:r>
      <w:r w:rsidRPr="00375401">
        <w:rPr>
          <w:i/>
          <w:szCs w:val="24"/>
          <w:vertAlign w:val="subscript"/>
          <w:lang w:val="de-DE"/>
        </w:rPr>
        <w:t>k</w:t>
      </w:r>
      <w:r w:rsidRPr="00375401">
        <w:rPr>
          <w:szCs w:val="24"/>
          <w:lang w:val="de-DE"/>
        </w:rPr>
        <w:t xml:space="preserve">  )</w:t>
      </w:r>
    </w:p>
    <w:p w14:paraId="0AB4B9D2" w14:textId="77777777" w:rsidR="00B943FB" w:rsidRPr="00375401" w:rsidRDefault="00B943FB" w:rsidP="00B943FB">
      <w:pPr>
        <w:autoSpaceDE w:val="0"/>
        <w:autoSpaceDN w:val="0"/>
        <w:adjustRightInd w:val="0"/>
        <w:spacing w:before="120" w:line="300" w:lineRule="auto"/>
        <w:ind w:left="2880" w:hanging="1260"/>
        <w:rPr>
          <w:i/>
          <w:szCs w:val="24"/>
          <w:vertAlign w:val="subscript"/>
          <w:lang w:val="de-DE"/>
        </w:rPr>
      </w:pPr>
      <w:r w:rsidRPr="00375401">
        <w:rPr>
          <w:szCs w:val="24"/>
          <w:lang w:val="de-DE"/>
        </w:rPr>
        <w:t>Sens</w:t>
      </w:r>
      <w:r w:rsidRPr="00375401">
        <w:rPr>
          <w:i/>
          <w:szCs w:val="24"/>
          <w:vertAlign w:val="subscript"/>
          <w:lang w:val="de-DE"/>
        </w:rPr>
        <w:t>ik</w:t>
      </w:r>
      <w:r w:rsidRPr="00375401">
        <w:rPr>
          <w:szCs w:val="24"/>
          <w:lang w:val="de-DE"/>
        </w:rPr>
        <w:t xml:space="preserve"> = </w:t>
      </w:r>
      <w:r w:rsidRPr="00375401">
        <w:rPr>
          <w:position w:val="-6"/>
          <w:szCs w:val="24"/>
          <w:lang w:val="pt-BR"/>
        </w:rPr>
        <w:object w:dxaOrig="200" w:dyaOrig="279" w14:anchorId="73D400F4">
          <v:shape id="_x0000_i1031" type="#_x0000_t75" style="width:18.6pt;height:12pt" o:ole="">
            <v:imagedata r:id="rId56" o:title=""/>
          </v:shape>
          <o:OLEObject Type="Embed" ProgID="Equation.3" ShapeID="_x0000_i1031" DrawAspect="Content" ObjectID="_1829396216" r:id="rId62"/>
        </w:object>
      </w:r>
      <w:r w:rsidRPr="00375401">
        <w:rPr>
          <w:szCs w:val="24"/>
          <w:lang w:val="pt-BR"/>
        </w:rPr>
        <w:t>Flow</w:t>
      </w:r>
      <w:r w:rsidRPr="00375401">
        <w:rPr>
          <w:i/>
          <w:szCs w:val="24"/>
          <w:vertAlign w:val="subscript"/>
          <w:lang w:val="pt-BR"/>
        </w:rPr>
        <w:t>k</w:t>
      </w:r>
      <w:r w:rsidRPr="00375401">
        <w:rPr>
          <w:szCs w:val="24"/>
          <w:lang w:val="de-DE"/>
        </w:rPr>
        <w:t xml:space="preserve"> / </w:t>
      </w:r>
      <w:r w:rsidRPr="00375401">
        <w:rPr>
          <w:position w:val="-6"/>
          <w:szCs w:val="24"/>
          <w:lang w:val="pt-BR"/>
        </w:rPr>
        <w:object w:dxaOrig="200" w:dyaOrig="279" w14:anchorId="2735859B">
          <v:shape id="_x0000_i1032" type="#_x0000_t75" style="width:18.6pt;height:12pt" o:ole="">
            <v:imagedata r:id="rId58" o:title=""/>
          </v:shape>
          <o:OLEObject Type="Embed" ProgID="Equation.3" ShapeID="_x0000_i1032" DrawAspect="Content" ObjectID="_1829396217" r:id="rId63"/>
        </w:object>
      </w:r>
      <w:r w:rsidRPr="00375401">
        <w:rPr>
          <w:szCs w:val="24"/>
          <w:lang w:val="de-DE"/>
        </w:rPr>
        <w:t>P</w:t>
      </w:r>
      <w:r w:rsidRPr="00375401">
        <w:rPr>
          <w:i/>
          <w:szCs w:val="24"/>
          <w:vertAlign w:val="subscript"/>
          <w:lang w:val="de-DE"/>
        </w:rPr>
        <w:t>i</w:t>
      </w:r>
    </w:p>
    <w:p w14:paraId="52496389" w14:textId="77777777" w:rsidR="00B943FB" w:rsidRPr="00375401" w:rsidRDefault="00B943FB" w:rsidP="00B943FB">
      <w:pPr>
        <w:autoSpaceDE w:val="0"/>
        <w:autoSpaceDN w:val="0"/>
        <w:adjustRightInd w:val="0"/>
        <w:spacing w:before="120" w:line="300" w:lineRule="auto"/>
        <w:ind w:left="1620" w:hanging="14"/>
        <w:rPr>
          <w:szCs w:val="24"/>
        </w:rPr>
      </w:pPr>
      <w:r w:rsidRPr="00375401">
        <w:rPr>
          <w:szCs w:val="24"/>
        </w:rPr>
        <w:t>Where:</w:t>
      </w:r>
    </w:p>
    <w:p w14:paraId="647C6C17" w14:textId="77777777" w:rsidR="00B943FB" w:rsidRPr="00375401" w:rsidRDefault="00B943FB" w:rsidP="00B943FB">
      <w:pPr>
        <w:numPr>
          <w:ilvl w:val="0"/>
          <w:numId w:val="137"/>
        </w:numPr>
        <w:tabs>
          <w:tab w:val="num" w:pos="1620"/>
        </w:tabs>
        <w:autoSpaceDE w:val="0"/>
        <w:autoSpaceDN w:val="0"/>
        <w:adjustRightInd w:val="0"/>
        <w:spacing w:before="120" w:line="300" w:lineRule="auto"/>
        <w:ind w:left="1620" w:hanging="540"/>
        <w:rPr>
          <w:szCs w:val="24"/>
        </w:rPr>
      </w:pPr>
      <w:r w:rsidRPr="00375401">
        <w:rPr>
          <w:szCs w:val="24"/>
        </w:rPr>
        <w:t xml:space="preserve">K is the number of transmission constraints; </w:t>
      </w:r>
    </w:p>
    <w:p w14:paraId="144B88B9" w14:textId="7F9725A2" w:rsidR="00B943FB" w:rsidRPr="00375401" w:rsidRDefault="00B943FB" w:rsidP="00B943FB">
      <w:pPr>
        <w:numPr>
          <w:ilvl w:val="0"/>
          <w:numId w:val="137"/>
        </w:numPr>
        <w:tabs>
          <w:tab w:val="num" w:pos="1620"/>
        </w:tabs>
        <w:autoSpaceDE w:val="0"/>
        <w:autoSpaceDN w:val="0"/>
        <w:adjustRightInd w:val="0"/>
        <w:spacing w:before="120" w:line="300" w:lineRule="auto"/>
        <w:ind w:left="1620" w:hanging="540"/>
        <w:rPr>
          <w:szCs w:val="24"/>
        </w:rPr>
      </w:pPr>
      <w:r w:rsidRPr="00375401">
        <w:rPr>
          <w:szCs w:val="24"/>
        </w:rPr>
        <w:t>Sens</w:t>
      </w:r>
      <w:r w:rsidRPr="00375401">
        <w:rPr>
          <w:i/>
          <w:szCs w:val="24"/>
          <w:vertAlign w:val="subscript"/>
        </w:rPr>
        <w:t>ik</w:t>
      </w:r>
      <w:r w:rsidRPr="00375401">
        <w:rPr>
          <w:szCs w:val="24"/>
        </w:rPr>
        <w:t xml:space="preserve"> is the linearized estimate of the change in the constraint </w:t>
      </w:r>
      <w:r w:rsidRPr="007C1907">
        <w:rPr>
          <w:i/>
          <w:szCs w:val="24"/>
        </w:rPr>
        <w:t>k</w:t>
      </w:r>
      <w:r w:rsidRPr="00375401">
        <w:rPr>
          <w:szCs w:val="24"/>
        </w:rPr>
        <w:t xml:space="preserve"> flow resulting from an incremental energy injection at </w:t>
      </w:r>
      <w:r w:rsidR="002D623C">
        <w:rPr>
          <w:szCs w:val="24"/>
        </w:rPr>
        <w:t>Pnode</w:t>
      </w:r>
      <w:r w:rsidRPr="00375401">
        <w:rPr>
          <w:szCs w:val="24"/>
        </w:rPr>
        <w:t xml:space="preserve"> </w:t>
      </w:r>
      <w:r w:rsidRPr="00375401">
        <w:rPr>
          <w:i/>
          <w:iCs/>
          <w:szCs w:val="24"/>
        </w:rPr>
        <w:t xml:space="preserve">i </w:t>
      </w:r>
      <w:r w:rsidRPr="00375401">
        <w:rPr>
          <w:szCs w:val="24"/>
        </w:rPr>
        <w:t>coupled with an incremental energy withdrawal at the Reference Bus;</w:t>
      </w:r>
    </w:p>
    <w:p w14:paraId="30C8D6EF" w14:textId="77777777" w:rsidR="00B943FB" w:rsidRPr="00375401" w:rsidRDefault="00B943FB" w:rsidP="00B943FB">
      <w:pPr>
        <w:numPr>
          <w:ilvl w:val="0"/>
          <w:numId w:val="137"/>
        </w:numPr>
        <w:tabs>
          <w:tab w:val="num" w:pos="1620"/>
        </w:tabs>
        <w:autoSpaceDE w:val="0"/>
        <w:autoSpaceDN w:val="0"/>
        <w:adjustRightInd w:val="0"/>
        <w:spacing w:before="120" w:line="300" w:lineRule="auto"/>
        <w:ind w:left="1620" w:hanging="540"/>
        <w:rPr>
          <w:szCs w:val="24"/>
        </w:rPr>
      </w:pPr>
      <w:r w:rsidRPr="00375401">
        <w:rPr>
          <w:szCs w:val="24"/>
        </w:rPr>
        <w:t>Flow</w:t>
      </w:r>
      <w:r w:rsidRPr="00375401">
        <w:rPr>
          <w:i/>
          <w:szCs w:val="24"/>
          <w:vertAlign w:val="subscript"/>
        </w:rPr>
        <w:t>k</w:t>
      </w:r>
      <w:r w:rsidRPr="00375401">
        <w:rPr>
          <w:i/>
          <w:szCs w:val="24"/>
        </w:rPr>
        <w:t xml:space="preserve"> = </w:t>
      </w:r>
      <w:r w:rsidRPr="00375401">
        <w:rPr>
          <w:szCs w:val="24"/>
        </w:rPr>
        <w:t xml:space="preserve">Calculated flow for constraint </w:t>
      </w:r>
      <w:r w:rsidRPr="00375401">
        <w:rPr>
          <w:i/>
          <w:szCs w:val="24"/>
        </w:rPr>
        <w:t>k</w:t>
      </w:r>
      <w:r w:rsidRPr="00375401">
        <w:rPr>
          <w:szCs w:val="24"/>
        </w:rPr>
        <w:t>;</w:t>
      </w:r>
    </w:p>
    <w:p w14:paraId="23EA4B5E" w14:textId="77777777" w:rsidR="00B943FB" w:rsidRPr="00375401" w:rsidRDefault="00B943FB" w:rsidP="00B943FB">
      <w:pPr>
        <w:numPr>
          <w:ilvl w:val="0"/>
          <w:numId w:val="137"/>
        </w:numPr>
        <w:tabs>
          <w:tab w:val="num" w:pos="1620"/>
        </w:tabs>
        <w:autoSpaceDE w:val="0"/>
        <w:autoSpaceDN w:val="0"/>
        <w:adjustRightInd w:val="0"/>
        <w:spacing w:before="120" w:line="300" w:lineRule="auto"/>
        <w:ind w:left="1620" w:hanging="540"/>
        <w:rPr>
          <w:szCs w:val="24"/>
        </w:rPr>
      </w:pPr>
      <w:r w:rsidRPr="00375401">
        <w:rPr>
          <w:szCs w:val="24"/>
        </w:rPr>
        <w:t>SP</w:t>
      </w:r>
      <w:r w:rsidRPr="00375401">
        <w:rPr>
          <w:i/>
          <w:szCs w:val="24"/>
          <w:vertAlign w:val="subscript"/>
        </w:rPr>
        <w:t>k</w:t>
      </w:r>
      <w:r w:rsidRPr="00375401">
        <w:rPr>
          <w:szCs w:val="24"/>
        </w:rPr>
        <w:t xml:space="preserve"> = is the Shadow Price of constraint </w:t>
      </w:r>
      <w:r w:rsidRPr="00375401">
        <w:rPr>
          <w:i/>
          <w:iCs/>
          <w:szCs w:val="24"/>
        </w:rPr>
        <w:t>k</w:t>
      </w:r>
      <w:r w:rsidRPr="00375401">
        <w:rPr>
          <w:szCs w:val="24"/>
        </w:rPr>
        <w:t>;</w:t>
      </w:r>
    </w:p>
    <w:p w14:paraId="6E5A25FE" w14:textId="648BB4E8" w:rsidR="00B943FB" w:rsidRPr="00375401" w:rsidRDefault="00B943FB" w:rsidP="00B943FB">
      <w:pPr>
        <w:numPr>
          <w:ilvl w:val="0"/>
          <w:numId w:val="137"/>
        </w:numPr>
        <w:tabs>
          <w:tab w:val="num" w:pos="1620"/>
        </w:tabs>
        <w:autoSpaceDE w:val="0"/>
        <w:autoSpaceDN w:val="0"/>
        <w:adjustRightInd w:val="0"/>
        <w:spacing w:before="120" w:line="300" w:lineRule="auto"/>
        <w:ind w:left="1620" w:hanging="540"/>
        <w:rPr>
          <w:szCs w:val="24"/>
        </w:rPr>
      </w:pPr>
      <w:r w:rsidRPr="00375401">
        <w:rPr>
          <w:szCs w:val="24"/>
        </w:rPr>
        <w:t>P</w:t>
      </w:r>
      <w:r w:rsidRPr="00F119DE">
        <w:rPr>
          <w:i/>
          <w:szCs w:val="24"/>
          <w:vertAlign w:val="subscript"/>
        </w:rPr>
        <w:t>i</w:t>
      </w:r>
      <w:r w:rsidRPr="00375401">
        <w:rPr>
          <w:szCs w:val="24"/>
        </w:rPr>
        <w:t xml:space="preserve"> = Net injection at </w:t>
      </w:r>
      <w:r w:rsidR="002D623C">
        <w:rPr>
          <w:szCs w:val="24"/>
        </w:rPr>
        <w:t>Pnode</w:t>
      </w:r>
      <w:r w:rsidRPr="00375401">
        <w:rPr>
          <w:szCs w:val="24"/>
        </w:rPr>
        <w:t xml:space="preserve"> </w:t>
      </w:r>
      <w:r w:rsidRPr="00375401">
        <w:rPr>
          <w:i/>
          <w:szCs w:val="24"/>
        </w:rPr>
        <w:t>i.</w:t>
      </w:r>
    </w:p>
    <w:p w14:paraId="1370811B" w14:textId="77777777" w:rsidR="00B943FB" w:rsidRPr="00375401" w:rsidRDefault="00B943FB" w:rsidP="00B943FB">
      <w:pPr>
        <w:tabs>
          <w:tab w:val="num" w:pos="1620"/>
        </w:tabs>
        <w:autoSpaceDE w:val="0"/>
        <w:autoSpaceDN w:val="0"/>
        <w:adjustRightInd w:val="0"/>
        <w:spacing w:before="120" w:line="300" w:lineRule="auto"/>
        <w:ind w:left="1620"/>
        <w:rPr>
          <w:szCs w:val="24"/>
        </w:rPr>
      </w:pPr>
      <w:bookmarkStart w:id="5511" w:name="_Toc263173411"/>
      <w:bookmarkStart w:id="5512" w:name="_Toc263174238"/>
      <w:bookmarkStart w:id="5513" w:name="_Toc263235137"/>
      <w:bookmarkStart w:id="5514" w:name="_Toc263235781"/>
      <w:bookmarkStart w:id="5515" w:name="_Toc263429524"/>
      <w:bookmarkStart w:id="5516" w:name="_Toc263795564"/>
      <w:bookmarkStart w:id="5517" w:name="_Toc159232481"/>
      <w:bookmarkStart w:id="5518" w:name="_Toc163908488"/>
    </w:p>
    <w:p w14:paraId="5E1597CA" w14:textId="77777777" w:rsidR="00B943FB" w:rsidRPr="00375401" w:rsidRDefault="00B943FB" w:rsidP="00574654">
      <w:pPr>
        <w:pStyle w:val="Heading5"/>
      </w:pPr>
      <w:bookmarkStart w:id="5519" w:name="_Toc166853447"/>
      <w:bookmarkStart w:id="5520" w:name="_Toc213771902"/>
      <w:r w:rsidRPr="00375401">
        <w:t>Marginal Energy Component Calculation</w:t>
      </w:r>
      <w:bookmarkEnd w:id="5511"/>
      <w:bookmarkEnd w:id="5512"/>
      <w:bookmarkEnd w:id="5513"/>
      <w:bookmarkEnd w:id="5514"/>
      <w:bookmarkEnd w:id="5515"/>
      <w:bookmarkEnd w:id="5516"/>
      <w:bookmarkEnd w:id="5517"/>
      <w:bookmarkEnd w:id="5518"/>
      <w:bookmarkEnd w:id="5519"/>
      <w:bookmarkEnd w:id="5520"/>
    </w:p>
    <w:p w14:paraId="7D6CF5F3" w14:textId="77777777" w:rsidR="00B943FB" w:rsidRDefault="00B943FB" w:rsidP="00B943FB">
      <w:pPr>
        <w:spacing w:line="300" w:lineRule="auto"/>
      </w:pPr>
      <w:r w:rsidRPr="00375401">
        <w:t>The MEC</w:t>
      </w:r>
      <w:r w:rsidRPr="00375401">
        <w:rPr>
          <w:i/>
        </w:rPr>
        <w:t xml:space="preserve"> </w:t>
      </w:r>
      <w:r w:rsidRPr="00375401">
        <w:t xml:space="preserve">is defined as the computed LMP at the Reference Bus.  By definition, MCC and MLC components are zero at the Reference Bus. </w:t>
      </w:r>
    </w:p>
    <w:p w14:paraId="582455C0" w14:textId="77777777" w:rsidR="00B943FB" w:rsidRPr="00046510" w:rsidRDefault="00B943FB" w:rsidP="00574EDE">
      <w:pPr>
        <w:pStyle w:val="Heading4"/>
      </w:pPr>
      <w:bookmarkStart w:id="5521" w:name="_Toc166853448"/>
      <w:bookmarkStart w:id="5522" w:name="_Toc213771903"/>
      <w:r w:rsidRPr="00046510">
        <w:t>Shift Factor Calculation for Use in Congestion Rent Allocation</w:t>
      </w:r>
      <w:bookmarkEnd w:id="5521"/>
      <w:bookmarkEnd w:id="5522"/>
    </w:p>
    <w:p w14:paraId="04FA84F0" w14:textId="5EA80843" w:rsidR="00B943FB" w:rsidRPr="00375401" w:rsidRDefault="00B943FB" w:rsidP="00B943FB">
      <w:pPr>
        <w:autoSpaceDE w:val="0"/>
        <w:autoSpaceDN w:val="0"/>
        <w:adjustRightInd w:val="0"/>
        <w:spacing w:line="300" w:lineRule="auto"/>
        <w:rPr>
          <w:szCs w:val="24"/>
        </w:rPr>
      </w:pPr>
      <w:r w:rsidRPr="00375401">
        <w:rPr>
          <w:szCs w:val="24"/>
        </w:rPr>
        <w:t xml:space="preserve">The </w:t>
      </w:r>
      <w:r>
        <w:rPr>
          <w:szCs w:val="24"/>
        </w:rPr>
        <w:t xml:space="preserve">Shift Factor </w:t>
      </w:r>
      <w:r w:rsidRPr="00375401">
        <w:rPr>
          <w:szCs w:val="24"/>
        </w:rPr>
        <w:t xml:space="preserve">at each </w:t>
      </w:r>
      <w:r w:rsidR="002D623C">
        <w:rPr>
          <w:szCs w:val="24"/>
        </w:rPr>
        <w:t>Pnode</w:t>
      </w:r>
      <w:r w:rsidRPr="00375401">
        <w:rPr>
          <w:szCs w:val="24"/>
        </w:rPr>
        <w:t xml:space="preserve"> </w:t>
      </w:r>
      <w:r w:rsidRPr="00375401">
        <w:rPr>
          <w:i/>
          <w:iCs/>
          <w:szCs w:val="24"/>
        </w:rPr>
        <w:t xml:space="preserve">i </w:t>
      </w:r>
      <w:r>
        <w:rPr>
          <w:szCs w:val="24"/>
        </w:rPr>
        <w:t>associated with a CRE</w:t>
      </w:r>
      <w:r w:rsidR="0003484A">
        <w:rPr>
          <w:szCs w:val="24"/>
        </w:rPr>
        <w:t>TS</w:t>
      </w:r>
      <w:r>
        <w:rPr>
          <w:szCs w:val="24"/>
        </w:rPr>
        <w:t xml:space="preserve">R </w:t>
      </w:r>
      <w:r w:rsidRPr="00375401">
        <w:rPr>
          <w:iCs/>
          <w:szCs w:val="24"/>
        </w:rPr>
        <w:t>is defined by the following equations</w:t>
      </w:r>
      <w:r>
        <w:rPr>
          <w:iCs/>
          <w:szCs w:val="24"/>
        </w:rPr>
        <w:t>:</w:t>
      </w:r>
    </w:p>
    <w:p w14:paraId="19CAAB07" w14:textId="77777777" w:rsidR="00B943FB" w:rsidRPr="00375401" w:rsidRDefault="00B943FB" w:rsidP="00B943FB">
      <w:pPr>
        <w:autoSpaceDE w:val="0"/>
        <w:autoSpaceDN w:val="0"/>
        <w:adjustRightInd w:val="0"/>
        <w:spacing w:before="120" w:line="300" w:lineRule="auto"/>
        <w:ind w:left="2880" w:hanging="1260"/>
        <w:rPr>
          <w:szCs w:val="24"/>
          <w:lang w:val="de-DE"/>
        </w:rPr>
      </w:pPr>
      <w:r>
        <w:rPr>
          <w:szCs w:val="24"/>
          <w:lang w:val="de-DE"/>
        </w:rPr>
        <w:t>SF</w:t>
      </w:r>
      <w:r w:rsidRPr="00375401">
        <w:rPr>
          <w:i/>
          <w:szCs w:val="24"/>
          <w:vertAlign w:val="subscript"/>
          <w:lang w:val="de-DE"/>
        </w:rPr>
        <w:t>i</w:t>
      </w:r>
      <w:r>
        <w:rPr>
          <w:i/>
          <w:szCs w:val="24"/>
          <w:vertAlign w:val="subscript"/>
          <w:lang w:val="de-DE"/>
        </w:rPr>
        <w:t>k</w:t>
      </w:r>
      <w:r w:rsidRPr="00375401">
        <w:rPr>
          <w:szCs w:val="24"/>
          <w:lang w:val="de-DE"/>
        </w:rPr>
        <w:t xml:space="preserve"> = - (Sens</w:t>
      </w:r>
      <w:r w:rsidRPr="00375401">
        <w:rPr>
          <w:i/>
          <w:szCs w:val="24"/>
          <w:vertAlign w:val="subscript"/>
          <w:lang w:val="de-DE"/>
        </w:rPr>
        <w:t>ik</w:t>
      </w:r>
      <w:r>
        <w:rPr>
          <w:szCs w:val="24"/>
          <w:lang w:val="de-DE"/>
        </w:rPr>
        <w:t>)</w:t>
      </w:r>
    </w:p>
    <w:p w14:paraId="0F0FFC18" w14:textId="77777777" w:rsidR="00B943FB" w:rsidRPr="00375401" w:rsidRDefault="00B943FB" w:rsidP="00B943FB">
      <w:pPr>
        <w:autoSpaceDE w:val="0"/>
        <w:autoSpaceDN w:val="0"/>
        <w:adjustRightInd w:val="0"/>
        <w:spacing w:before="120" w:line="300" w:lineRule="auto"/>
        <w:ind w:left="2880" w:hanging="1260"/>
        <w:rPr>
          <w:i/>
          <w:szCs w:val="24"/>
          <w:vertAlign w:val="subscript"/>
          <w:lang w:val="de-DE"/>
        </w:rPr>
      </w:pPr>
      <w:r w:rsidRPr="00375401">
        <w:rPr>
          <w:szCs w:val="24"/>
          <w:lang w:val="de-DE"/>
        </w:rPr>
        <w:t>Sens</w:t>
      </w:r>
      <w:r w:rsidRPr="00375401">
        <w:rPr>
          <w:i/>
          <w:szCs w:val="24"/>
          <w:vertAlign w:val="subscript"/>
          <w:lang w:val="de-DE"/>
        </w:rPr>
        <w:t>ik</w:t>
      </w:r>
      <w:r w:rsidRPr="00375401">
        <w:rPr>
          <w:szCs w:val="24"/>
          <w:lang w:val="de-DE"/>
        </w:rPr>
        <w:t xml:space="preserve"> = </w:t>
      </w:r>
      <w:r w:rsidRPr="00375401">
        <w:rPr>
          <w:position w:val="-6"/>
          <w:szCs w:val="24"/>
          <w:lang w:val="pt-BR"/>
        </w:rPr>
        <w:object w:dxaOrig="200" w:dyaOrig="279" w14:anchorId="4B53539D">
          <v:shape id="_x0000_i1033" type="#_x0000_t75" style="width:18.6pt;height:12pt" o:ole="">
            <v:imagedata r:id="rId56" o:title=""/>
          </v:shape>
          <o:OLEObject Type="Embed" ProgID="Equation.3" ShapeID="_x0000_i1033" DrawAspect="Content" ObjectID="_1829396218" r:id="rId64"/>
        </w:object>
      </w:r>
      <w:r w:rsidRPr="00375401">
        <w:rPr>
          <w:szCs w:val="24"/>
          <w:lang w:val="pt-BR"/>
        </w:rPr>
        <w:t>Flow</w:t>
      </w:r>
      <w:r w:rsidRPr="00375401">
        <w:rPr>
          <w:i/>
          <w:szCs w:val="24"/>
          <w:vertAlign w:val="subscript"/>
          <w:lang w:val="pt-BR"/>
        </w:rPr>
        <w:t>k</w:t>
      </w:r>
      <w:r w:rsidRPr="00375401">
        <w:rPr>
          <w:szCs w:val="24"/>
          <w:lang w:val="de-DE"/>
        </w:rPr>
        <w:t xml:space="preserve"> / </w:t>
      </w:r>
      <w:r w:rsidRPr="00375401">
        <w:rPr>
          <w:position w:val="-6"/>
          <w:szCs w:val="24"/>
          <w:lang w:val="pt-BR"/>
        </w:rPr>
        <w:object w:dxaOrig="200" w:dyaOrig="279" w14:anchorId="56BB92BD">
          <v:shape id="_x0000_i1034" type="#_x0000_t75" style="width:18.6pt;height:12pt" o:ole="">
            <v:imagedata r:id="rId58" o:title=""/>
          </v:shape>
          <o:OLEObject Type="Embed" ProgID="Equation.3" ShapeID="_x0000_i1034" DrawAspect="Content" ObjectID="_1829396219" r:id="rId65"/>
        </w:object>
      </w:r>
      <w:r w:rsidRPr="00375401">
        <w:rPr>
          <w:szCs w:val="24"/>
          <w:lang w:val="de-DE"/>
        </w:rPr>
        <w:t>P</w:t>
      </w:r>
      <w:r w:rsidRPr="00375401">
        <w:rPr>
          <w:i/>
          <w:szCs w:val="24"/>
          <w:vertAlign w:val="subscript"/>
          <w:lang w:val="de-DE"/>
        </w:rPr>
        <w:t>i</w:t>
      </w:r>
    </w:p>
    <w:p w14:paraId="7346E24F" w14:textId="77777777" w:rsidR="00B943FB" w:rsidRPr="00375401" w:rsidRDefault="00B943FB" w:rsidP="00B943FB">
      <w:pPr>
        <w:autoSpaceDE w:val="0"/>
        <w:autoSpaceDN w:val="0"/>
        <w:adjustRightInd w:val="0"/>
        <w:spacing w:before="120" w:line="300" w:lineRule="auto"/>
        <w:ind w:left="1620" w:hanging="14"/>
        <w:rPr>
          <w:szCs w:val="24"/>
        </w:rPr>
      </w:pPr>
      <w:r w:rsidRPr="00375401">
        <w:rPr>
          <w:szCs w:val="24"/>
        </w:rPr>
        <w:t>Where:</w:t>
      </w:r>
    </w:p>
    <w:p w14:paraId="0164D662" w14:textId="77777777" w:rsidR="00B943FB" w:rsidRPr="00375401" w:rsidRDefault="00B943FB" w:rsidP="00B943FB">
      <w:pPr>
        <w:numPr>
          <w:ilvl w:val="0"/>
          <w:numId w:val="140"/>
        </w:numPr>
        <w:tabs>
          <w:tab w:val="num" w:pos="990"/>
          <w:tab w:val="num" w:pos="1620"/>
        </w:tabs>
        <w:autoSpaceDE w:val="0"/>
        <w:autoSpaceDN w:val="0"/>
        <w:adjustRightInd w:val="0"/>
        <w:spacing w:before="120" w:line="300" w:lineRule="auto"/>
        <w:rPr>
          <w:szCs w:val="24"/>
        </w:rPr>
      </w:pPr>
      <w:r w:rsidRPr="00AE1712">
        <w:rPr>
          <w:i/>
          <w:szCs w:val="24"/>
        </w:rPr>
        <w:t>k</w:t>
      </w:r>
      <w:r w:rsidRPr="00375401">
        <w:rPr>
          <w:szCs w:val="24"/>
        </w:rPr>
        <w:t xml:space="preserve"> </w:t>
      </w:r>
      <w:r>
        <w:rPr>
          <w:szCs w:val="24"/>
        </w:rPr>
        <w:t>represents</w:t>
      </w:r>
      <w:r w:rsidRPr="00375401">
        <w:rPr>
          <w:szCs w:val="24"/>
        </w:rPr>
        <w:t xml:space="preserve"> </w:t>
      </w:r>
      <w:r>
        <w:rPr>
          <w:szCs w:val="24"/>
        </w:rPr>
        <w:t>a</w:t>
      </w:r>
      <w:r w:rsidRPr="00375401">
        <w:rPr>
          <w:szCs w:val="24"/>
        </w:rPr>
        <w:t xml:space="preserve"> transmission constrain</w:t>
      </w:r>
      <w:r>
        <w:rPr>
          <w:szCs w:val="24"/>
        </w:rPr>
        <w:t>t</w:t>
      </w:r>
      <w:r w:rsidRPr="00375401">
        <w:rPr>
          <w:szCs w:val="24"/>
        </w:rPr>
        <w:t xml:space="preserve">; </w:t>
      </w:r>
    </w:p>
    <w:p w14:paraId="14810D73" w14:textId="6F51E654" w:rsidR="00B943FB" w:rsidRPr="00375401" w:rsidRDefault="00B943FB" w:rsidP="00B943FB">
      <w:pPr>
        <w:numPr>
          <w:ilvl w:val="0"/>
          <w:numId w:val="140"/>
        </w:numPr>
        <w:tabs>
          <w:tab w:val="num" w:pos="1620"/>
        </w:tabs>
        <w:autoSpaceDE w:val="0"/>
        <w:autoSpaceDN w:val="0"/>
        <w:adjustRightInd w:val="0"/>
        <w:spacing w:before="120" w:line="300" w:lineRule="auto"/>
        <w:ind w:left="1620" w:hanging="540"/>
        <w:rPr>
          <w:szCs w:val="24"/>
        </w:rPr>
      </w:pPr>
      <w:r w:rsidRPr="00375401">
        <w:rPr>
          <w:szCs w:val="24"/>
        </w:rPr>
        <w:t>Sens</w:t>
      </w:r>
      <w:r w:rsidRPr="00375401">
        <w:rPr>
          <w:i/>
          <w:szCs w:val="24"/>
          <w:vertAlign w:val="subscript"/>
        </w:rPr>
        <w:t>ik</w:t>
      </w:r>
      <w:r w:rsidRPr="00375401">
        <w:rPr>
          <w:szCs w:val="24"/>
        </w:rPr>
        <w:t xml:space="preserve"> is the linearized estimate of the change in the constraint </w:t>
      </w:r>
      <w:r w:rsidRPr="00C7682F">
        <w:rPr>
          <w:i/>
          <w:szCs w:val="24"/>
        </w:rPr>
        <w:t>k</w:t>
      </w:r>
      <w:r w:rsidRPr="00375401">
        <w:rPr>
          <w:szCs w:val="24"/>
        </w:rPr>
        <w:t xml:space="preserve"> flow resulting from an incremental energy injection at </w:t>
      </w:r>
      <w:r w:rsidR="002D623C">
        <w:rPr>
          <w:szCs w:val="24"/>
        </w:rPr>
        <w:t>Pnode</w:t>
      </w:r>
      <w:r w:rsidRPr="00375401">
        <w:rPr>
          <w:szCs w:val="24"/>
        </w:rPr>
        <w:t xml:space="preserve"> </w:t>
      </w:r>
      <w:r w:rsidRPr="00375401">
        <w:rPr>
          <w:i/>
          <w:iCs/>
          <w:szCs w:val="24"/>
        </w:rPr>
        <w:t xml:space="preserve">i </w:t>
      </w:r>
      <w:r w:rsidRPr="00375401">
        <w:rPr>
          <w:szCs w:val="24"/>
        </w:rPr>
        <w:t>coupled with an incremental energy withdrawal at the Reference Bus;</w:t>
      </w:r>
    </w:p>
    <w:p w14:paraId="35EDAFD3" w14:textId="77777777" w:rsidR="00B943FB" w:rsidRPr="00375401" w:rsidRDefault="00B943FB" w:rsidP="00B943FB">
      <w:pPr>
        <w:numPr>
          <w:ilvl w:val="0"/>
          <w:numId w:val="140"/>
        </w:numPr>
        <w:tabs>
          <w:tab w:val="num" w:pos="1620"/>
        </w:tabs>
        <w:autoSpaceDE w:val="0"/>
        <w:autoSpaceDN w:val="0"/>
        <w:adjustRightInd w:val="0"/>
        <w:spacing w:before="120" w:line="300" w:lineRule="auto"/>
        <w:ind w:left="1620" w:hanging="540"/>
        <w:rPr>
          <w:szCs w:val="24"/>
        </w:rPr>
      </w:pPr>
      <w:r w:rsidRPr="00375401">
        <w:rPr>
          <w:szCs w:val="24"/>
        </w:rPr>
        <w:t>Flow</w:t>
      </w:r>
      <w:r w:rsidRPr="00375401">
        <w:rPr>
          <w:i/>
          <w:szCs w:val="24"/>
          <w:vertAlign w:val="subscript"/>
        </w:rPr>
        <w:t>k</w:t>
      </w:r>
      <w:r w:rsidRPr="00375401">
        <w:rPr>
          <w:i/>
          <w:szCs w:val="24"/>
        </w:rPr>
        <w:t xml:space="preserve"> = </w:t>
      </w:r>
      <w:r w:rsidRPr="00375401">
        <w:rPr>
          <w:szCs w:val="24"/>
        </w:rPr>
        <w:t xml:space="preserve">Calculated flow for constraint </w:t>
      </w:r>
      <w:r w:rsidRPr="00375401">
        <w:rPr>
          <w:i/>
          <w:szCs w:val="24"/>
        </w:rPr>
        <w:t>k</w:t>
      </w:r>
      <w:r w:rsidRPr="00375401">
        <w:rPr>
          <w:szCs w:val="24"/>
        </w:rPr>
        <w:t>;</w:t>
      </w:r>
    </w:p>
    <w:p w14:paraId="7A7EF5B9" w14:textId="33FE0540" w:rsidR="00B943FB" w:rsidRPr="00CA3C3A" w:rsidRDefault="00B943FB" w:rsidP="00B943FB">
      <w:pPr>
        <w:numPr>
          <w:ilvl w:val="0"/>
          <w:numId w:val="140"/>
        </w:numPr>
        <w:tabs>
          <w:tab w:val="num" w:pos="1620"/>
        </w:tabs>
        <w:autoSpaceDE w:val="0"/>
        <w:autoSpaceDN w:val="0"/>
        <w:adjustRightInd w:val="0"/>
        <w:spacing w:before="120" w:line="300" w:lineRule="auto"/>
        <w:ind w:left="1620" w:hanging="540"/>
        <w:rPr>
          <w:szCs w:val="24"/>
        </w:rPr>
      </w:pPr>
      <w:r w:rsidRPr="00375401">
        <w:rPr>
          <w:szCs w:val="24"/>
        </w:rPr>
        <w:t>P</w:t>
      </w:r>
      <w:r w:rsidRPr="00C7682F">
        <w:rPr>
          <w:i/>
          <w:szCs w:val="24"/>
          <w:vertAlign w:val="subscript"/>
        </w:rPr>
        <w:t>i</w:t>
      </w:r>
      <w:r w:rsidRPr="00375401">
        <w:rPr>
          <w:szCs w:val="24"/>
        </w:rPr>
        <w:t xml:space="preserve"> = Net injection at </w:t>
      </w:r>
      <w:r w:rsidR="002D623C">
        <w:rPr>
          <w:szCs w:val="24"/>
        </w:rPr>
        <w:t>Pnode</w:t>
      </w:r>
      <w:r w:rsidRPr="00375401">
        <w:rPr>
          <w:szCs w:val="24"/>
        </w:rPr>
        <w:t xml:space="preserve"> </w:t>
      </w:r>
      <w:r w:rsidRPr="00375401">
        <w:rPr>
          <w:i/>
          <w:szCs w:val="24"/>
        </w:rPr>
        <w:t>i.</w:t>
      </w:r>
    </w:p>
    <w:p w14:paraId="73A5A80D" w14:textId="77777777" w:rsidR="00B943FB" w:rsidRDefault="00B943FB" w:rsidP="00B943FB">
      <w:pPr>
        <w:autoSpaceDE w:val="0"/>
        <w:autoSpaceDN w:val="0"/>
        <w:adjustRightInd w:val="0"/>
        <w:spacing w:line="300" w:lineRule="auto"/>
        <w:rPr>
          <w:szCs w:val="24"/>
        </w:rPr>
      </w:pPr>
    </w:p>
    <w:p w14:paraId="352CDFA7" w14:textId="77777777" w:rsidR="00B943FB" w:rsidRDefault="00B943FB" w:rsidP="00B943FB">
      <w:pPr>
        <w:autoSpaceDE w:val="0"/>
        <w:autoSpaceDN w:val="0"/>
        <w:adjustRightInd w:val="0"/>
        <w:spacing w:line="300" w:lineRule="auto"/>
        <w:rPr>
          <w:szCs w:val="24"/>
        </w:rPr>
      </w:pPr>
      <w:r w:rsidRPr="00CA3C3A">
        <w:rPr>
          <w:szCs w:val="24"/>
        </w:rPr>
        <w:t xml:space="preserve">The </w:t>
      </w:r>
      <w:r>
        <w:rPr>
          <w:szCs w:val="24"/>
        </w:rPr>
        <w:t xml:space="preserve">Constraint </w:t>
      </w:r>
      <w:r w:rsidRPr="00CA3C3A">
        <w:rPr>
          <w:szCs w:val="24"/>
        </w:rPr>
        <w:t xml:space="preserve">Shift Factor </w:t>
      </w:r>
      <w:r>
        <w:rPr>
          <w:szCs w:val="24"/>
        </w:rPr>
        <w:t xml:space="preserve">applied to a CRETSR MW for constraint </w:t>
      </w:r>
      <w:r w:rsidRPr="0080213D">
        <w:rPr>
          <w:i/>
          <w:szCs w:val="24"/>
        </w:rPr>
        <w:t>k</w:t>
      </w:r>
      <w:r>
        <w:rPr>
          <w:szCs w:val="24"/>
        </w:rPr>
        <w:t xml:space="preserve"> is equal to</w:t>
      </w:r>
    </w:p>
    <w:p w14:paraId="158CD6EC" w14:textId="5B405F22" w:rsidR="00B943FB" w:rsidRPr="00534BD1" w:rsidRDefault="00B943FB" w:rsidP="00B943FB">
      <w:pPr>
        <w:autoSpaceDE w:val="0"/>
        <w:autoSpaceDN w:val="0"/>
        <w:adjustRightInd w:val="0"/>
        <w:spacing w:before="120" w:line="300" w:lineRule="auto"/>
        <w:ind w:left="2880" w:hanging="1260"/>
        <w:rPr>
          <w:iCs/>
          <w:szCs w:val="24"/>
          <w:lang w:val="de-DE"/>
        </w:rPr>
      </w:pPr>
      <w:r>
        <w:rPr>
          <w:szCs w:val="24"/>
          <w:lang w:val="de-DE"/>
        </w:rPr>
        <w:t>CSF</w:t>
      </w:r>
      <w:r w:rsidRPr="00375401">
        <w:rPr>
          <w:i/>
          <w:szCs w:val="24"/>
          <w:vertAlign w:val="subscript"/>
          <w:lang w:val="de-DE"/>
        </w:rPr>
        <w:t>i</w:t>
      </w:r>
      <w:r>
        <w:rPr>
          <w:i/>
          <w:szCs w:val="24"/>
          <w:vertAlign w:val="subscript"/>
          <w:lang w:val="de-DE"/>
        </w:rPr>
        <w:t>k</w:t>
      </w:r>
      <w:r w:rsidRPr="00375401">
        <w:rPr>
          <w:szCs w:val="24"/>
          <w:lang w:val="de-DE"/>
        </w:rPr>
        <w:t xml:space="preserve"> = </w:t>
      </w:r>
      <w:r>
        <w:rPr>
          <w:szCs w:val="24"/>
          <w:lang w:val="de-DE"/>
        </w:rPr>
        <w:t>SF</w:t>
      </w:r>
      <w:r w:rsidRPr="00375401">
        <w:rPr>
          <w:i/>
          <w:szCs w:val="24"/>
          <w:vertAlign w:val="subscript"/>
          <w:lang w:val="de-DE"/>
        </w:rPr>
        <w:t>i</w:t>
      </w:r>
      <w:r>
        <w:rPr>
          <w:i/>
          <w:szCs w:val="24"/>
          <w:vertAlign w:val="subscript"/>
          <w:lang w:val="de-DE"/>
        </w:rPr>
        <w:t>k</w:t>
      </w:r>
      <w:r>
        <w:rPr>
          <w:iCs/>
          <w:szCs w:val="24"/>
          <w:lang w:val="de-DE"/>
        </w:rPr>
        <w:t xml:space="preserve"> (</w:t>
      </w:r>
      <w:r w:rsidR="004D79CE">
        <w:rPr>
          <w:iCs/>
          <w:szCs w:val="24"/>
          <w:lang w:val="de-DE"/>
        </w:rPr>
        <w:t>source</w:t>
      </w:r>
      <w:r>
        <w:rPr>
          <w:iCs/>
          <w:szCs w:val="24"/>
          <w:lang w:val="de-DE"/>
        </w:rPr>
        <w:t xml:space="preserve">) - </w:t>
      </w:r>
      <w:r>
        <w:rPr>
          <w:szCs w:val="24"/>
          <w:lang w:val="de-DE"/>
        </w:rPr>
        <w:t>SF</w:t>
      </w:r>
      <w:r w:rsidRPr="00375401">
        <w:rPr>
          <w:i/>
          <w:szCs w:val="24"/>
          <w:vertAlign w:val="subscript"/>
          <w:lang w:val="de-DE"/>
        </w:rPr>
        <w:t>i</w:t>
      </w:r>
      <w:r>
        <w:rPr>
          <w:i/>
          <w:szCs w:val="24"/>
          <w:vertAlign w:val="subscript"/>
          <w:lang w:val="de-DE"/>
        </w:rPr>
        <w:t>k</w:t>
      </w:r>
      <w:r>
        <w:rPr>
          <w:iCs/>
          <w:szCs w:val="24"/>
          <w:lang w:val="de-DE"/>
        </w:rPr>
        <w:t xml:space="preserve"> (</w:t>
      </w:r>
      <w:r w:rsidR="004D79CE">
        <w:rPr>
          <w:iCs/>
          <w:szCs w:val="24"/>
          <w:lang w:val="de-DE"/>
        </w:rPr>
        <w:t>sink</w:t>
      </w:r>
      <w:r>
        <w:rPr>
          <w:iCs/>
          <w:szCs w:val="24"/>
          <w:lang w:val="de-DE"/>
        </w:rPr>
        <w:t xml:space="preserve">) </w:t>
      </w:r>
    </w:p>
    <w:p w14:paraId="571DD9A0" w14:textId="77777777" w:rsidR="00B943FB" w:rsidRPr="00375401" w:rsidRDefault="00B943FB" w:rsidP="00B943FB">
      <w:pPr>
        <w:spacing w:line="300" w:lineRule="auto"/>
      </w:pPr>
    </w:p>
    <w:p w14:paraId="2F32AA50" w14:textId="77777777" w:rsidR="00B943FB" w:rsidRPr="00375401" w:rsidRDefault="00B943FB" w:rsidP="00574EDE">
      <w:pPr>
        <w:pStyle w:val="Heading4"/>
      </w:pPr>
      <w:bookmarkStart w:id="5523" w:name="_Toc263173412"/>
      <w:bookmarkStart w:id="5524" w:name="_Toc263173641"/>
      <w:bookmarkStart w:id="5525" w:name="_Toc263173827"/>
      <w:bookmarkStart w:id="5526" w:name="_Toc263174239"/>
      <w:bookmarkStart w:id="5527" w:name="_Toc263235138"/>
      <w:bookmarkStart w:id="5528" w:name="_Toc263235782"/>
      <w:bookmarkStart w:id="5529" w:name="_Toc263429525"/>
      <w:bookmarkStart w:id="5530" w:name="_Toc263795565"/>
      <w:bookmarkStart w:id="5531" w:name="_Toc266869665"/>
      <w:bookmarkStart w:id="5532" w:name="_Ref349549319"/>
      <w:bookmarkStart w:id="5533" w:name="_Toc159232482"/>
      <w:bookmarkStart w:id="5534" w:name="_Toc163908489"/>
      <w:bookmarkStart w:id="5535" w:name="_Toc166853449"/>
      <w:bookmarkStart w:id="5536" w:name="_Toc213771904"/>
      <w:r w:rsidRPr="00375401">
        <w:t>MCP Calculations</w:t>
      </w:r>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45BC9B13" w14:textId="77777777" w:rsidR="00B943FB" w:rsidRPr="00375401" w:rsidRDefault="00B943FB" w:rsidP="00B943FB">
      <w:pPr>
        <w:autoSpaceDE w:val="0"/>
        <w:autoSpaceDN w:val="0"/>
        <w:adjustRightInd w:val="0"/>
        <w:spacing w:line="300" w:lineRule="auto"/>
        <w:rPr>
          <w:szCs w:val="24"/>
        </w:rPr>
      </w:pPr>
      <w:r w:rsidRPr="00375401">
        <w:rPr>
          <w:szCs w:val="24"/>
        </w:rPr>
        <w:t>The MCP represents the cost of supplying an increment of Flexibility Reserve Products, taking into account lost opportunity cost</w:t>
      </w:r>
      <w:r>
        <w:rPr>
          <w:szCs w:val="24"/>
        </w:rPr>
        <w:t>,</w:t>
      </w:r>
      <w:r w:rsidRPr="00375401">
        <w:rPr>
          <w:szCs w:val="24"/>
        </w:rPr>
        <w:t xml:space="preserve"> and is composed of the marginal Flexibility Reserve Products costs and marginal costs associated with Flexibility Reserve Products scarcity.</w:t>
      </w:r>
    </w:p>
    <w:p w14:paraId="6F9603D6" w14:textId="4F8E87EC" w:rsidR="00B943FB" w:rsidRPr="00375401" w:rsidRDefault="00B943FB" w:rsidP="00B943FB">
      <w:pPr>
        <w:numPr>
          <w:ilvl w:val="0"/>
          <w:numId w:val="138"/>
        </w:numPr>
        <w:tabs>
          <w:tab w:val="clear" w:pos="360"/>
          <w:tab w:val="left" w:pos="720"/>
        </w:tabs>
        <w:autoSpaceDE w:val="0"/>
        <w:autoSpaceDN w:val="0"/>
        <w:adjustRightInd w:val="0"/>
        <w:spacing w:line="300" w:lineRule="auto"/>
        <w:ind w:left="720" w:hanging="540"/>
        <w:rPr>
          <w:szCs w:val="24"/>
        </w:rPr>
      </w:pPr>
      <w:r w:rsidRPr="00375401">
        <w:rPr>
          <w:szCs w:val="24"/>
        </w:rPr>
        <w:t>There are three</w:t>
      </w:r>
      <w:r w:rsidR="00530F80">
        <w:rPr>
          <w:szCs w:val="24"/>
        </w:rPr>
        <w:t xml:space="preserve"> (3)</w:t>
      </w:r>
      <w:r w:rsidRPr="00375401">
        <w:rPr>
          <w:szCs w:val="24"/>
        </w:rPr>
        <w:t xml:space="preserve"> sets of constraints: (i) a Short-Term Flex Up constraint which is set equal to the Short-Term Flex Up requirement; (ii) a Short-Term Flex Down constraint which is set equal to the Short-Term Flex Down requirement; and (iii) a Mid-Term Flex Up constraint which is set equal to the Mid-Term Flex Up requirement</w:t>
      </w:r>
      <w:r>
        <w:rPr>
          <w:szCs w:val="24"/>
        </w:rPr>
        <w:t>.</w:t>
      </w:r>
      <w:r w:rsidRPr="00375401">
        <w:rPr>
          <w:szCs w:val="24"/>
        </w:rPr>
        <w:t xml:space="preserve">  These constraints apply on both a system-wide basis and a Reserve Zone basis.  </w:t>
      </w:r>
      <w:r w:rsidRPr="00375401">
        <w:t>MCPs for each Reserve Zone are calculated as follows</w:t>
      </w:r>
      <w:r w:rsidRPr="00375401">
        <w:rPr>
          <w:szCs w:val="24"/>
        </w:rPr>
        <w:t>:</w:t>
      </w:r>
    </w:p>
    <w:p w14:paraId="691E2412" w14:textId="77777777" w:rsidR="00B943FB" w:rsidRPr="00375401" w:rsidRDefault="00B943FB" w:rsidP="00B943FB">
      <w:pPr>
        <w:numPr>
          <w:ilvl w:val="0"/>
          <w:numId w:val="139"/>
        </w:numPr>
        <w:tabs>
          <w:tab w:val="num" w:pos="1440"/>
        </w:tabs>
        <w:autoSpaceDE w:val="0"/>
        <w:autoSpaceDN w:val="0"/>
        <w:adjustRightInd w:val="0"/>
        <w:spacing w:line="300" w:lineRule="auto"/>
        <w:ind w:left="1440" w:hanging="540"/>
        <w:rPr>
          <w:szCs w:val="24"/>
        </w:rPr>
      </w:pPr>
      <w:r w:rsidRPr="00375401">
        <w:rPr>
          <w:szCs w:val="24"/>
        </w:rPr>
        <w:t xml:space="preserve">The zonal Short-Term Flex-Up is equal to </w:t>
      </w:r>
      <w:r>
        <w:rPr>
          <w:szCs w:val="24"/>
        </w:rPr>
        <w:t xml:space="preserve">the </w:t>
      </w:r>
      <w:r w:rsidRPr="00375401">
        <w:rPr>
          <w:szCs w:val="24"/>
        </w:rPr>
        <w:t xml:space="preserve">sum of the </w:t>
      </w:r>
      <w:r w:rsidRPr="00375401">
        <w:t xml:space="preserve">system-wide and zonal </w:t>
      </w:r>
      <w:r w:rsidRPr="00375401">
        <w:rPr>
          <w:szCs w:val="24"/>
        </w:rPr>
        <w:t xml:space="preserve">Shadow Prices for the Short-Term Flex Up </w:t>
      </w:r>
      <w:r w:rsidRPr="00375401" w:rsidDel="00F75716">
        <w:rPr>
          <w:szCs w:val="24"/>
        </w:rPr>
        <w:t>constraint</w:t>
      </w:r>
      <w:r w:rsidRPr="00375401">
        <w:rPr>
          <w:szCs w:val="24"/>
        </w:rPr>
        <w:t xml:space="preserve">; </w:t>
      </w:r>
    </w:p>
    <w:p w14:paraId="445AC624" w14:textId="77777777" w:rsidR="00B943FB" w:rsidRPr="00375401" w:rsidRDefault="00B943FB" w:rsidP="00B943FB">
      <w:pPr>
        <w:numPr>
          <w:ilvl w:val="0"/>
          <w:numId w:val="139"/>
        </w:numPr>
        <w:tabs>
          <w:tab w:val="clear" w:pos="360"/>
          <w:tab w:val="num" w:pos="1440"/>
        </w:tabs>
        <w:autoSpaceDE w:val="0"/>
        <w:autoSpaceDN w:val="0"/>
        <w:adjustRightInd w:val="0"/>
        <w:spacing w:line="300" w:lineRule="auto"/>
        <w:ind w:left="1440" w:hanging="540"/>
        <w:rPr>
          <w:szCs w:val="24"/>
        </w:rPr>
      </w:pPr>
      <w:r w:rsidRPr="00375401">
        <w:rPr>
          <w:szCs w:val="24"/>
        </w:rPr>
        <w:t xml:space="preserve">The zonal Short-Term Flex-Down is equal to </w:t>
      </w:r>
      <w:r>
        <w:rPr>
          <w:szCs w:val="24"/>
        </w:rPr>
        <w:t xml:space="preserve">the </w:t>
      </w:r>
      <w:r w:rsidRPr="00375401">
        <w:rPr>
          <w:szCs w:val="24"/>
        </w:rPr>
        <w:t xml:space="preserve">sum of the </w:t>
      </w:r>
      <w:r w:rsidRPr="00375401">
        <w:t xml:space="preserve">system-wide and zonal </w:t>
      </w:r>
      <w:r w:rsidRPr="00375401">
        <w:rPr>
          <w:szCs w:val="24"/>
        </w:rPr>
        <w:t xml:space="preserve">Shadow Prices for the Short-Term Flex Down constraint; </w:t>
      </w:r>
    </w:p>
    <w:p w14:paraId="697039BA" w14:textId="2A014A25" w:rsidR="00B943FB" w:rsidRPr="00375401" w:rsidRDefault="00B943FB" w:rsidP="00B943FB">
      <w:pPr>
        <w:numPr>
          <w:ilvl w:val="0"/>
          <w:numId w:val="139"/>
        </w:numPr>
        <w:tabs>
          <w:tab w:val="clear" w:pos="360"/>
          <w:tab w:val="num" w:pos="1440"/>
          <w:tab w:val="num" w:pos="1620"/>
        </w:tabs>
        <w:autoSpaceDE w:val="0"/>
        <w:autoSpaceDN w:val="0"/>
        <w:adjustRightInd w:val="0"/>
        <w:spacing w:line="300" w:lineRule="auto"/>
        <w:ind w:left="1440" w:hanging="540"/>
        <w:rPr>
          <w:szCs w:val="24"/>
        </w:rPr>
      </w:pPr>
      <w:r w:rsidRPr="00375401">
        <w:rPr>
          <w:szCs w:val="24"/>
        </w:rPr>
        <w:t xml:space="preserve">The zonal Mid-Term Flex-Up is equal to </w:t>
      </w:r>
      <w:r>
        <w:rPr>
          <w:szCs w:val="24"/>
        </w:rPr>
        <w:t xml:space="preserve">the </w:t>
      </w:r>
      <w:r w:rsidRPr="00375401">
        <w:rPr>
          <w:szCs w:val="24"/>
        </w:rPr>
        <w:t xml:space="preserve">sum of the </w:t>
      </w:r>
      <w:r w:rsidRPr="00375401">
        <w:t xml:space="preserve">system-wide and zonal </w:t>
      </w:r>
      <w:r w:rsidRPr="00375401">
        <w:rPr>
          <w:szCs w:val="24"/>
        </w:rPr>
        <w:t>Shadow Prices for the Mid-Term Flex Up constraint</w:t>
      </w:r>
      <w:r w:rsidR="00D945FB">
        <w:rPr>
          <w:szCs w:val="24"/>
        </w:rPr>
        <w:t>.</w:t>
      </w:r>
    </w:p>
    <w:p w14:paraId="11638EEE" w14:textId="77777777" w:rsidR="00B943FB" w:rsidRPr="00375401" w:rsidRDefault="00B943FB" w:rsidP="00B943FB">
      <w:pPr>
        <w:numPr>
          <w:ilvl w:val="0"/>
          <w:numId w:val="138"/>
        </w:numPr>
        <w:tabs>
          <w:tab w:val="clear" w:pos="360"/>
          <w:tab w:val="num" w:pos="720"/>
        </w:tabs>
        <w:autoSpaceDE w:val="0"/>
        <w:autoSpaceDN w:val="0"/>
        <w:adjustRightInd w:val="0"/>
        <w:spacing w:line="300" w:lineRule="auto"/>
        <w:ind w:left="720" w:hanging="540"/>
        <w:rPr>
          <w:szCs w:val="24"/>
        </w:rPr>
      </w:pPr>
      <w:r w:rsidRPr="00375401">
        <w:rPr>
          <w:szCs w:val="24"/>
        </w:rPr>
        <w:t xml:space="preserve">During times of Flexibility Reserve Products scarcity, MCPs will be impacted by Scarcity Prices as described under Section </w:t>
      </w:r>
      <w:r w:rsidRPr="00375401">
        <w:rPr>
          <w:szCs w:val="24"/>
        </w:rPr>
        <w:fldChar w:fldCharType="begin"/>
      </w:r>
      <w:r w:rsidRPr="00375401">
        <w:rPr>
          <w:szCs w:val="24"/>
        </w:rPr>
        <w:instrText xml:space="preserve"> REF _Ref270664111 \r \h </w:instrText>
      </w:r>
      <w:r w:rsidRPr="00375401">
        <w:rPr>
          <w:szCs w:val="24"/>
        </w:rPr>
      </w:r>
      <w:r w:rsidRPr="00375401">
        <w:rPr>
          <w:szCs w:val="24"/>
        </w:rPr>
        <w:fldChar w:fldCharType="separate"/>
      </w:r>
      <w:r w:rsidRPr="00375401">
        <w:rPr>
          <w:szCs w:val="24"/>
        </w:rPr>
        <w:t>4.1.5</w:t>
      </w:r>
      <w:r w:rsidRPr="00375401">
        <w:rPr>
          <w:szCs w:val="24"/>
        </w:rPr>
        <w:fldChar w:fldCharType="end"/>
      </w:r>
      <w:r w:rsidRPr="00375401">
        <w:rPr>
          <w:szCs w:val="24"/>
        </w:rPr>
        <w:t>;</w:t>
      </w:r>
    </w:p>
    <w:p w14:paraId="336F0BB1" w14:textId="3AE3439B" w:rsidR="00D550B8" w:rsidRDefault="00B943FB" w:rsidP="00B943FB">
      <w:pPr>
        <w:numPr>
          <w:ilvl w:val="0"/>
          <w:numId w:val="138"/>
        </w:numPr>
        <w:tabs>
          <w:tab w:val="clear" w:pos="360"/>
          <w:tab w:val="num" w:pos="720"/>
        </w:tabs>
        <w:autoSpaceDE w:val="0"/>
        <w:autoSpaceDN w:val="0"/>
        <w:adjustRightInd w:val="0"/>
        <w:spacing w:line="300" w:lineRule="auto"/>
        <w:ind w:left="720" w:hanging="540"/>
        <w:rPr>
          <w:szCs w:val="24"/>
        </w:rPr>
      </w:pPr>
      <w:r w:rsidRPr="00375401">
        <w:rPr>
          <w:szCs w:val="24"/>
        </w:rPr>
        <w:t>The MCPs for the various Flexibility Reserve Products as determined by the market clearing process will be sufficient to cover the Flexibility Reserve Offer costs of each Resource as well as the opportunity costs incurred to allocate a portion of the Resource capacity to the supply of the corresponding Flexibility Reserve Product in lieu of another product.  The recovery of both offered cost and opportunity costs via Market Clearing Prices is inherent in the co-optimized SCED formulations, thus the separate calculation of opportunity costs is unnecessary.</w:t>
      </w:r>
    </w:p>
    <w:p w14:paraId="3BA5672D" w14:textId="77777777" w:rsidR="00D550B8" w:rsidRDefault="00D550B8">
      <w:pPr>
        <w:spacing w:after="0"/>
        <w:jc w:val="left"/>
        <w:rPr>
          <w:szCs w:val="24"/>
        </w:rPr>
      </w:pPr>
      <w:r>
        <w:rPr>
          <w:szCs w:val="24"/>
        </w:rPr>
        <w:br w:type="page"/>
      </w:r>
    </w:p>
    <w:p w14:paraId="4F4B893F" w14:textId="51E8F07C" w:rsidR="00E52BD9" w:rsidRPr="002D574C" w:rsidRDefault="00E52BD9" w:rsidP="00CB5653">
      <w:pPr>
        <w:pStyle w:val="Heading3"/>
      </w:pPr>
      <w:bookmarkStart w:id="5537" w:name="_Toc213771905"/>
      <w:r w:rsidRPr="002D574C">
        <w:t>Settlement Location LMPs and LMP Components</w:t>
      </w:r>
      <w:bookmarkEnd w:id="5537"/>
    </w:p>
    <w:p w14:paraId="1FDD20BD" w14:textId="347B04F4" w:rsidR="00E52BD9" w:rsidRPr="00CF0129" w:rsidRDefault="00E52BD9" w:rsidP="00E52BD9">
      <w:pPr>
        <w:spacing w:before="240" w:line="300" w:lineRule="auto"/>
        <w:rPr>
          <w:szCs w:val="24"/>
        </w:rPr>
      </w:pPr>
      <w:r w:rsidRPr="3E890F68">
        <w:rPr>
          <w:szCs w:val="24"/>
        </w:rPr>
        <w:t xml:space="preserve">For Settlement Locations that are associated with more than one </w:t>
      </w:r>
      <w:r w:rsidR="002D623C">
        <w:rPr>
          <w:szCs w:val="24"/>
        </w:rPr>
        <w:t>Pnode</w:t>
      </w:r>
      <w:r w:rsidRPr="3E890F68">
        <w:rPr>
          <w:szCs w:val="24"/>
        </w:rPr>
        <w:t xml:space="preserve">, the following calculations are performed to calculate the Settlement Location LMPs and the associated LMP Components.  The LMPs for Settlement Locations associated with a single </w:t>
      </w:r>
      <w:r w:rsidR="002D623C">
        <w:rPr>
          <w:szCs w:val="24"/>
        </w:rPr>
        <w:t>Pnode</w:t>
      </w:r>
      <w:r w:rsidRPr="3E890F68">
        <w:rPr>
          <w:szCs w:val="24"/>
        </w:rPr>
        <w:t xml:space="preserve"> are those LMPs directly calculated by the Day-Ahead Market software as described under </w:t>
      </w:r>
      <w:r w:rsidRPr="00C32C18">
        <w:rPr>
          <w:szCs w:val="24"/>
        </w:rPr>
        <w:t xml:space="preserve">Section </w:t>
      </w:r>
      <w:r w:rsidRPr="00AC3414">
        <w:rPr>
          <w:szCs w:val="24"/>
        </w:rPr>
        <w:fldChar w:fldCharType="begin"/>
      </w:r>
      <w:r w:rsidRPr="00C32C18">
        <w:rPr>
          <w:szCs w:val="24"/>
        </w:rPr>
        <w:instrText xml:space="preserve"> REF _Ref260920532 \r \h </w:instrText>
      </w:r>
      <w:r>
        <w:rPr>
          <w:szCs w:val="24"/>
          <w:highlight w:val="yellow"/>
        </w:rPr>
        <w:instrText xml:space="preserve"> \* MERGEFORMAT </w:instrText>
      </w:r>
      <w:r w:rsidRPr="00AC3414">
        <w:rPr>
          <w:szCs w:val="24"/>
        </w:rPr>
      </w:r>
      <w:r w:rsidRPr="00AC3414">
        <w:rPr>
          <w:szCs w:val="24"/>
        </w:rPr>
        <w:fldChar w:fldCharType="separate"/>
      </w:r>
      <w:r w:rsidRPr="00C32C18">
        <w:rPr>
          <w:szCs w:val="24"/>
        </w:rPr>
        <w:t>4.3.1.3</w:t>
      </w:r>
      <w:r w:rsidRPr="00AC3414">
        <w:rPr>
          <w:szCs w:val="24"/>
        </w:rPr>
        <w:fldChar w:fldCharType="end"/>
      </w:r>
      <w:r w:rsidRPr="3E890F68">
        <w:rPr>
          <w:szCs w:val="24"/>
        </w:rPr>
        <w:t xml:space="preserve"> and the RTBM software as described under </w:t>
      </w:r>
      <w:r w:rsidRPr="00AC3414">
        <w:rPr>
          <w:szCs w:val="24"/>
        </w:rPr>
        <w:t xml:space="preserve">Section </w:t>
      </w:r>
      <w:r w:rsidR="00E2717D">
        <w:rPr>
          <w:szCs w:val="24"/>
        </w:rPr>
        <w:fldChar w:fldCharType="begin"/>
      </w:r>
      <w:r w:rsidR="00E2717D">
        <w:rPr>
          <w:szCs w:val="24"/>
        </w:rPr>
        <w:instrText xml:space="preserve"> REF _Ref212559063 \r \h </w:instrText>
      </w:r>
      <w:r w:rsidR="00E2717D">
        <w:rPr>
          <w:szCs w:val="24"/>
        </w:rPr>
      </w:r>
      <w:r w:rsidR="00E2717D">
        <w:rPr>
          <w:szCs w:val="24"/>
        </w:rPr>
        <w:fldChar w:fldCharType="separate"/>
      </w:r>
      <w:r w:rsidR="00E2717D">
        <w:rPr>
          <w:szCs w:val="24"/>
        </w:rPr>
        <w:t>4.4.2.3</w:t>
      </w:r>
      <w:r w:rsidR="00E2717D">
        <w:rPr>
          <w:szCs w:val="24"/>
        </w:rPr>
        <w:fldChar w:fldCharType="end"/>
      </w:r>
      <w:r w:rsidRPr="3E890F68">
        <w:rPr>
          <w:szCs w:val="24"/>
        </w:rPr>
        <w:t xml:space="preserve">.  All nodal LMPs are subject to the price correction procedures described under </w:t>
      </w:r>
      <w:r w:rsidRPr="00AC3414">
        <w:rPr>
          <w:szCs w:val="24"/>
        </w:rPr>
        <w:t xml:space="preserve">Section </w:t>
      </w:r>
      <w:r w:rsidRPr="00AC3414">
        <w:rPr>
          <w:szCs w:val="24"/>
        </w:rPr>
        <w:fldChar w:fldCharType="begin"/>
      </w:r>
      <w:r w:rsidRPr="005301C0">
        <w:rPr>
          <w:szCs w:val="24"/>
        </w:rPr>
        <w:instrText xml:space="preserve"> REF _Ref260920683 \r \h  \* MERGEFORMAT </w:instrText>
      </w:r>
      <w:r w:rsidRPr="00AC3414">
        <w:rPr>
          <w:szCs w:val="24"/>
        </w:rPr>
      </w:r>
      <w:r w:rsidRPr="00AC3414">
        <w:rPr>
          <w:szCs w:val="24"/>
        </w:rPr>
        <w:fldChar w:fldCharType="separate"/>
      </w:r>
      <w:r w:rsidRPr="00AC3414">
        <w:rPr>
          <w:szCs w:val="24"/>
        </w:rPr>
        <w:fldChar w:fldCharType="end"/>
      </w:r>
      <w:r w:rsidRPr="00AC3414">
        <w:rPr>
          <w:szCs w:val="24"/>
        </w:rPr>
        <w:t>.</w:t>
      </w:r>
      <w:r w:rsidRPr="3E890F68">
        <w:rPr>
          <w:szCs w:val="24"/>
        </w:rPr>
        <w:t xml:space="preserve">  Resource Hub LMPs and the associated LMP Components will be calculated using the same methodology as Trading Hubs as described in Section </w:t>
      </w:r>
      <w:r w:rsidRPr="00AC3414">
        <w:rPr>
          <w:szCs w:val="24"/>
        </w:rPr>
        <w:fldChar w:fldCharType="begin"/>
      </w:r>
      <w:r w:rsidRPr="00AC3414">
        <w:rPr>
          <w:szCs w:val="24"/>
        </w:rPr>
        <w:instrText xml:space="preserve"> REF _Ref432153347 \n \h </w:instrText>
      </w:r>
      <w:r>
        <w:rPr>
          <w:szCs w:val="24"/>
          <w:highlight w:val="yellow"/>
        </w:rPr>
        <w:instrText xml:space="preserve"> \* MERGEFORMAT </w:instrText>
      </w:r>
      <w:r w:rsidRPr="00AC3414">
        <w:rPr>
          <w:szCs w:val="24"/>
        </w:rPr>
      </w:r>
      <w:r w:rsidRPr="00AC3414">
        <w:rPr>
          <w:szCs w:val="24"/>
        </w:rPr>
        <w:fldChar w:fldCharType="separate"/>
      </w:r>
      <w:r w:rsidRPr="00AC3414">
        <w:rPr>
          <w:szCs w:val="24"/>
        </w:rPr>
        <w:t>4.5.5.1</w:t>
      </w:r>
      <w:r w:rsidRPr="00AC3414">
        <w:rPr>
          <w:szCs w:val="24"/>
        </w:rPr>
        <w:fldChar w:fldCharType="end"/>
      </w:r>
      <w:r w:rsidRPr="3E890F68">
        <w:rPr>
          <w:szCs w:val="24"/>
        </w:rPr>
        <w:t>.</w:t>
      </w:r>
    </w:p>
    <w:p w14:paraId="013DA6E4" w14:textId="687C2BBD" w:rsidR="00E52BD9" w:rsidRPr="00CF0129" w:rsidRDefault="00E52BD9" w:rsidP="00574EDE">
      <w:pPr>
        <w:pStyle w:val="Heading4"/>
      </w:pPr>
      <w:bookmarkStart w:id="5538" w:name="_Toc263173334"/>
      <w:bookmarkStart w:id="5539" w:name="_Toc263174194"/>
      <w:bookmarkStart w:id="5540" w:name="_Toc263235093"/>
      <w:bookmarkStart w:id="5541" w:name="_Toc263235736"/>
      <w:bookmarkStart w:id="5542" w:name="_Toc263429448"/>
      <w:bookmarkStart w:id="5543" w:name="_Toc263795487"/>
      <w:bookmarkStart w:id="5544" w:name="_Toc266869667"/>
      <w:bookmarkStart w:id="5545" w:name="_Ref431627559"/>
      <w:bookmarkStart w:id="5546" w:name="_Ref431627566"/>
      <w:bookmarkStart w:id="5547" w:name="_Ref432153347"/>
      <w:bookmarkStart w:id="5548" w:name="_Toc159232484"/>
      <w:bookmarkStart w:id="5549" w:name="_Toc213771906"/>
      <w:r w:rsidRPr="00CF0129">
        <w:t>Calculation of LMP at a Trading Hub Settlement Location</w:t>
      </w:r>
      <w:bookmarkEnd w:id="5538"/>
      <w:bookmarkEnd w:id="5539"/>
      <w:bookmarkEnd w:id="5540"/>
      <w:bookmarkEnd w:id="5541"/>
      <w:bookmarkEnd w:id="5542"/>
      <w:bookmarkEnd w:id="5543"/>
      <w:bookmarkEnd w:id="5544"/>
      <w:bookmarkEnd w:id="5545"/>
      <w:bookmarkEnd w:id="5546"/>
      <w:bookmarkEnd w:id="5547"/>
      <w:bookmarkEnd w:id="5548"/>
      <w:bookmarkEnd w:id="5549"/>
    </w:p>
    <w:p w14:paraId="35381D18" w14:textId="1598C847" w:rsidR="00E52BD9" w:rsidRPr="00CF0129" w:rsidRDefault="00E52BD9" w:rsidP="00E52BD9">
      <w:pPr>
        <w:spacing w:before="240" w:line="300" w:lineRule="auto"/>
        <w:rPr>
          <w:szCs w:val="24"/>
        </w:rPr>
      </w:pPr>
      <w:r w:rsidRPr="3E890F68">
        <w:rPr>
          <w:szCs w:val="24"/>
        </w:rPr>
        <w:t xml:space="preserve">The Market Operator calculates an LMP for each Trading Hub based on the LMPs for the set of </w:t>
      </w:r>
      <w:r w:rsidR="002D623C">
        <w:rPr>
          <w:szCs w:val="24"/>
        </w:rPr>
        <w:t>Pnode</w:t>
      </w:r>
      <w:r w:rsidRPr="3E890F68">
        <w:rPr>
          <w:szCs w:val="24"/>
        </w:rPr>
        <w:t xml:space="preserve">s that comprise the Trading Hub.  These Trading Hub LMPs are the </w:t>
      </w:r>
      <w:r w:rsidRPr="3E890F68" w:rsidDel="00D5742E">
        <w:rPr>
          <w:szCs w:val="24"/>
        </w:rPr>
        <w:t xml:space="preserve">weighted </w:t>
      </w:r>
      <w:r w:rsidRPr="3E890F68">
        <w:rPr>
          <w:szCs w:val="24"/>
        </w:rPr>
        <w:t xml:space="preserve">average of the LMPs at the </w:t>
      </w:r>
      <w:r w:rsidR="002D623C">
        <w:rPr>
          <w:szCs w:val="24"/>
        </w:rPr>
        <w:t>Pnode</w:t>
      </w:r>
      <w:r w:rsidRPr="3E890F68">
        <w:rPr>
          <w:szCs w:val="24"/>
        </w:rPr>
        <w:t>s that comprise the Trading Hub.</w:t>
      </w:r>
      <w:r w:rsidRPr="3E890F68" w:rsidDel="00D5742E">
        <w:rPr>
          <w:szCs w:val="24"/>
        </w:rPr>
        <w:t xml:space="preserve">  </w:t>
      </w:r>
      <w:r w:rsidRPr="3E890F68">
        <w:rPr>
          <w:szCs w:val="24"/>
        </w:rPr>
        <w:t xml:space="preserve">The weighting factors for Trading Hubs   remain fixed as described under </w:t>
      </w:r>
      <w:r w:rsidRPr="0059180C" w:rsidDel="00D5742E">
        <w:rPr>
          <w:szCs w:val="24"/>
        </w:rPr>
        <w:t>Section</w:t>
      </w:r>
      <w:r w:rsidRPr="0059180C">
        <w:rPr>
          <w:szCs w:val="24"/>
        </w:rPr>
        <w:t xml:space="preserve"> </w:t>
      </w:r>
      <w:r w:rsidR="00D03307">
        <w:rPr>
          <w:szCs w:val="24"/>
        </w:rPr>
        <w:fldChar w:fldCharType="begin"/>
      </w:r>
      <w:r w:rsidR="00D03307">
        <w:rPr>
          <w:szCs w:val="24"/>
        </w:rPr>
        <w:instrText xml:space="preserve"> REF _Ref212559134 \r \h </w:instrText>
      </w:r>
      <w:r w:rsidR="00D03307">
        <w:rPr>
          <w:szCs w:val="24"/>
        </w:rPr>
      </w:r>
      <w:r w:rsidR="00D03307">
        <w:rPr>
          <w:szCs w:val="24"/>
        </w:rPr>
        <w:fldChar w:fldCharType="separate"/>
      </w:r>
      <w:r w:rsidR="00D03307">
        <w:rPr>
          <w:szCs w:val="24"/>
        </w:rPr>
        <w:t>4.3.1.1</w:t>
      </w:r>
      <w:r w:rsidR="00D03307">
        <w:rPr>
          <w:szCs w:val="24"/>
        </w:rPr>
        <w:fldChar w:fldCharType="end"/>
      </w:r>
      <w:r w:rsidRPr="0059180C" w:rsidDel="00D5742E">
        <w:rPr>
          <w:szCs w:val="24"/>
        </w:rPr>
        <w:t>.</w:t>
      </w:r>
      <w:r w:rsidRPr="3E890F68" w:rsidDel="00D5742E">
        <w:rPr>
          <w:szCs w:val="24"/>
        </w:rPr>
        <w:t xml:space="preserve">  </w:t>
      </w:r>
      <w:r w:rsidRPr="3E890F68" w:rsidDel="00D7253A">
        <w:rPr>
          <w:szCs w:val="24"/>
        </w:rPr>
        <w:t>These applicable weighting factors are applied</w:t>
      </w:r>
      <w:r w:rsidRPr="3E890F68" w:rsidDel="005E5131">
        <w:rPr>
          <w:szCs w:val="24"/>
        </w:rPr>
        <w:t xml:space="preserve"> for calculating an LMP, MCC, and MLC</w:t>
      </w:r>
      <w:r w:rsidRPr="3E890F68">
        <w:rPr>
          <w:szCs w:val="24"/>
        </w:rPr>
        <w:t xml:space="preserve"> at a Trading Hub for both the Day-Ahead Market and RTBM.</w:t>
      </w:r>
    </w:p>
    <w:p w14:paraId="44C0F843" w14:textId="77777777" w:rsidR="00E52BD9" w:rsidRPr="00CF0129" w:rsidRDefault="00E52BD9" w:rsidP="00E52BD9">
      <w:pPr>
        <w:spacing w:before="120" w:line="300" w:lineRule="auto"/>
        <w:rPr>
          <w:bCs/>
          <w:szCs w:val="24"/>
        </w:rPr>
      </w:pPr>
      <w:r w:rsidRPr="00CF0129">
        <w:rPr>
          <w:bCs/>
          <w:szCs w:val="24"/>
        </w:rPr>
        <w:t>The LMP for Hub</w:t>
      </w:r>
      <w:r w:rsidRPr="00CF0129">
        <w:rPr>
          <w:rFonts w:ascii="Times New Roman Bold" w:hAnsi="Times New Roman Bold"/>
          <w:b/>
          <w:bCs/>
          <w:i/>
          <w:szCs w:val="24"/>
          <w:vertAlign w:val="subscript"/>
        </w:rPr>
        <w:t>j</w:t>
      </w:r>
      <w:r w:rsidRPr="00CF0129">
        <w:rPr>
          <w:bCs/>
          <w:szCs w:val="24"/>
        </w:rPr>
        <w:t xml:space="preserve"> is: </w:t>
      </w:r>
    </w:p>
    <w:p w14:paraId="3A00FFD0" w14:textId="77777777" w:rsidR="00E52BD9" w:rsidRPr="0030391E" w:rsidRDefault="00E52BD9" w:rsidP="00E52BD9">
      <w:pPr>
        <w:spacing w:before="120" w:line="300" w:lineRule="auto"/>
        <w:ind w:left="2160"/>
        <w:rPr>
          <w:i/>
          <w:iCs/>
          <w:szCs w:val="24"/>
        </w:rPr>
      </w:pPr>
      <w:r w:rsidRPr="00CF0129">
        <w:rPr>
          <w:bCs/>
          <w:szCs w:val="24"/>
        </w:rPr>
        <w:tab/>
      </w:r>
      <w:r w:rsidRPr="3E890F68">
        <w:rPr>
          <w:szCs w:val="24"/>
        </w:rPr>
        <w:t>LMPHub</w:t>
      </w:r>
      <w:r w:rsidRPr="3E890F68">
        <w:rPr>
          <w:rFonts w:ascii="Times New Roman Bold" w:hAnsi="Times New Roman Bold"/>
          <w:b/>
          <w:bCs/>
          <w:i/>
          <w:iCs/>
          <w:szCs w:val="24"/>
          <w:vertAlign w:val="subscript"/>
        </w:rPr>
        <w:t>j</w:t>
      </w:r>
      <w:r w:rsidRPr="3E890F68">
        <w:rPr>
          <w:szCs w:val="24"/>
        </w:rPr>
        <w:t xml:space="preserve"> = (</w:t>
      </w:r>
      <w:r w:rsidRPr="00CF0129">
        <w:rPr>
          <w:bCs/>
          <w:position w:val="-28"/>
          <w:szCs w:val="24"/>
        </w:rPr>
        <w:object w:dxaOrig="480" w:dyaOrig="700" w14:anchorId="77845D09">
          <v:shape id="_x0000_i1035" type="#_x0000_t75" style="width:24pt;height:36pt" o:ole="">
            <v:imagedata r:id="rId66" o:title=""/>
          </v:shape>
          <o:OLEObject Type="Embed" ProgID="Equation.3" ShapeID="_x0000_i1035" DrawAspect="Content" ObjectID="_1829396220" r:id="rId67"/>
        </w:object>
      </w:r>
      <w:r w:rsidRPr="3E890F68" w:rsidDel="003938F3">
        <w:rPr>
          <w:szCs w:val="24"/>
        </w:rPr>
        <w:t>(</w:t>
      </w:r>
      <w:r w:rsidRPr="3E890F68" w:rsidDel="00756F45">
        <w:rPr>
          <w:szCs w:val="24"/>
        </w:rPr>
        <w:t>W</w:t>
      </w:r>
      <w:r w:rsidRPr="3E890F68" w:rsidDel="00756F45">
        <w:rPr>
          <w:rFonts w:ascii="Times New Roman Bold" w:hAnsi="Times New Roman Bold"/>
          <w:b/>
          <w:bCs/>
          <w:i/>
          <w:iCs/>
          <w:szCs w:val="24"/>
          <w:vertAlign w:val="subscript"/>
        </w:rPr>
        <w:t>k</w:t>
      </w:r>
      <w:r w:rsidRPr="3E890F68" w:rsidDel="00756F45">
        <w:rPr>
          <w:szCs w:val="24"/>
        </w:rPr>
        <w:t xml:space="preserve"> *</w:t>
      </w:r>
      <w:r w:rsidRPr="3E890F68">
        <w:rPr>
          <w:szCs w:val="24"/>
        </w:rPr>
        <w:t xml:space="preserve"> LMP</w:t>
      </w:r>
      <w:r w:rsidRPr="3E890F68">
        <w:rPr>
          <w:rFonts w:ascii="Times New Roman Bold" w:hAnsi="Times New Roman Bold"/>
          <w:b/>
          <w:bCs/>
          <w:i/>
          <w:iCs/>
          <w:szCs w:val="24"/>
          <w:vertAlign w:val="subscript"/>
        </w:rPr>
        <w:t>k</w:t>
      </w:r>
      <w:r w:rsidRPr="3E890F68">
        <w:rPr>
          <w:szCs w:val="24"/>
        </w:rPr>
        <w:t>)</w:t>
      </w:r>
    </w:p>
    <w:p w14:paraId="5362AC12" w14:textId="77777777" w:rsidR="00E52BD9" w:rsidRPr="00CF0129" w:rsidRDefault="00E52BD9" w:rsidP="00E52BD9">
      <w:pPr>
        <w:spacing w:before="120" w:line="300" w:lineRule="auto"/>
        <w:rPr>
          <w:bCs/>
          <w:szCs w:val="24"/>
        </w:rPr>
      </w:pPr>
      <w:r w:rsidRPr="00CF0129">
        <w:rPr>
          <w:bCs/>
          <w:szCs w:val="24"/>
        </w:rPr>
        <w:t>The MCC for Hub</w:t>
      </w:r>
      <w:r w:rsidRPr="00CF0129">
        <w:rPr>
          <w:rFonts w:ascii="Times New Roman Bold" w:hAnsi="Times New Roman Bold"/>
          <w:b/>
          <w:bCs/>
          <w:i/>
          <w:szCs w:val="24"/>
          <w:vertAlign w:val="subscript"/>
        </w:rPr>
        <w:t>j</w:t>
      </w:r>
      <w:r w:rsidRPr="00CF0129">
        <w:rPr>
          <w:bCs/>
          <w:szCs w:val="24"/>
        </w:rPr>
        <w:t xml:space="preserve"> is: </w:t>
      </w:r>
    </w:p>
    <w:p w14:paraId="0B7022C2" w14:textId="77777777" w:rsidR="00E52BD9" w:rsidRPr="00CF0129" w:rsidRDefault="00E52BD9" w:rsidP="00E52BD9">
      <w:pPr>
        <w:spacing w:before="120" w:line="300" w:lineRule="auto"/>
        <w:ind w:left="2160"/>
        <w:rPr>
          <w:i/>
          <w:iCs/>
          <w:szCs w:val="24"/>
        </w:rPr>
      </w:pPr>
      <w:r w:rsidRPr="00CF0129">
        <w:rPr>
          <w:bCs/>
          <w:szCs w:val="24"/>
        </w:rPr>
        <w:tab/>
      </w:r>
      <w:r w:rsidRPr="3E890F68">
        <w:rPr>
          <w:szCs w:val="24"/>
        </w:rPr>
        <w:t>MCCHub</w:t>
      </w:r>
      <w:r w:rsidRPr="3E890F68">
        <w:rPr>
          <w:rFonts w:ascii="Times New Roman Bold" w:hAnsi="Times New Roman Bold"/>
          <w:b/>
          <w:bCs/>
          <w:i/>
          <w:iCs/>
          <w:szCs w:val="24"/>
          <w:vertAlign w:val="subscript"/>
        </w:rPr>
        <w:t>j</w:t>
      </w:r>
      <w:r w:rsidRPr="3E890F68">
        <w:rPr>
          <w:szCs w:val="24"/>
        </w:rPr>
        <w:t xml:space="preserve"> = </w:t>
      </w:r>
      <w:r w:rsidRPr="00CF0129">
        <w:rPr>
          <w:bCs/>
          <w:position w:val="-28"/>
          <w:szCs w:val="24"/>
        </w:rPr>
        <w:object w:dxaOrig="480" w:dyaOrig="700" w14:anchorId="2BF21330">
          <v:shape id="_x0000_i1036" type="#_x0000_t75" style="width:24pt;height:36pt" o:ole="">
            <v:imagedata r:id="rId66" o:title=""/>
          </v:shape>
          <o:OLEObject Type="Embed" ProgID="Equation.3" ShapeID="_x0000_i1036" DrawAspect="Content" ObjectID="_1829396221" r:id="rId68"/>
        </w:object>
      </w:r>
      <w:r w:rsidRPr="3E890F68" w:rsidDel="003938F3">
        <w:rPr>
          <w:szCs w:val="24"/>
        </w:rPr>
        <w:t>(W</w:t>
      </w:r>
      <w:r w:rsidRPr="3E890F68" w:rsidDel="003938F3">
        <w:rPr>
          <w:rFonts w:ascii="Times New Roman Bold" w:hAnsi="Times New Roman Bold"/>
          <w:b/>
          <w:bCs/>
          <w:i/>
          <w:iCs/>
          <w:szCs w:val="24"/>
          <w:vertAlign w:val="subscript"/>
        </w:rPr>
        <w:t>k</w:t>
      </w:r>
      <w:r w:rsidRPr="3E890F68" w:rsidDel="003938F3">
        <w:rPr>
          <w:szCs w:val="24"/>
        </w:rPr>
        <w:t xml:space="preserve"> *</w:t>
      </w:r>
      <w:r w:rsidRPr="3E890F68">
        <w:rPr>
          <w:szCs w:val="24"/>
        </w:rPr>
        <w:t xml:space="preserve"> MCC</w:t>
      </w:r>
      <w:r w:rsidRPr="3E890F68">
        <w:rPr>
          <w:rFonts w:ascii="Times New Roman Bold" w:hAnsi="Times New Roman Bold"/>
          <w:b/>
          <w:bCs/>
          <w:i/>
          <w:iCs/>
          <w:szCs w:val="24"/>
          <w:vertAlign w:val="subscript"/>
        </w:rPr>
        <w:t>k</w:t>
      </w:r>
      <w:r w:rsidRPr="3E890F68">
        <w:rPr>
          <w:szCs w:val="24"/>
        </w:rPr>
        <w:t>)</w:t>
      </w:r>
    </w:p>
    <w:p w14:paraId="67F21563" w14:textId="77777777" w:rsidR="00E52BD9" w:rsidRPr="00CF0129" w:rsidRDefault="00E52BD9" w:rsidP="00E52BD9">
      <w:pPr>
        <w:spacing w:before="120" w:line="300" w:lineRule="auto"/>
        <w:rPr>
          <w:bCs/>
          <w:szCs w:val="24"/>
        </w:rPr>
      </w:pPr>
      <w:r w:rsidRPr="00CF0129">
        <w:rPr>
          <w:bCs/>
          <w:szCs w:val="24"/>
        </w:rPr>
        <w:t>The MLC for Hub</w:t>
      </w:r>
      <w:r w:rsidRPr="00CF0129">
        <w:rPr>
          <w:rFonts w:ascii="Times New Roman Bold" w:hAnsi="Times New Roman Bold"/>
          <w:b/>
          <w:bCs/>
          <w:i/>
          <w:szCs w:val="24"/>
          <w:vertAlign w:val="subscript"/>
        </w:rPr>
        <w:t>j</w:t>
      </w:r>
      <w:r w:rsidRPr="00CF0129">
        <w:rPr>
          <w:bCs/>
          <w:szCs w:val="24"/>
        </w:rPr>
        <w:t xml:space="preserve"> is: </w:t>
      </w:r>
    </w:p>
    <w:p w14:paraId="4D2B578C" w14:textId="77777777" w:rsidR="00E52BD9" w:rsidRPr="00CF0129" w:rsidRDefault="00E52BD9" w:rsidP="00E52BD9">
      <w:pPr>
        <w:spacing w:before="120" w:line="300" w:lineRule="auto"/>
        <w:ind w:left="2160"/>
        <w:rPr>
          <w:i/>
          <w:iCs/>
          <w:szCs w:val="24"/>
        </w:rPr>
      </w:pPr>
      <w:r w:rsidRPr="00CF0129">
        <w:rPr>
          <w:bCs/>
          <w:szCs w:val="24"/>
        </w:rPr>
        <w:tab/>
      </w:r>
      <w:r w:rsidRPr="3E890F68">
        <w:rPr>
          <w:szCs w:val="24"/>
        </w:rPr>
        <w:t>MLCHub</w:t>
      </w:r>
      <w:r w:rsidRPr="3E890F68">
        <w:rPr>
          <w:rFonts w:ascii="Times New Roman Bold" w:hAnsi="Times New Roman Bold"/>
          <w:b/>
          <w:bCs/>
          <w:i/>
          <w:iCs/>
          <w:szCs w:val="24"/>
          <w:vertAlign w:val="subscript"/>
        </w:rPr>
        <w:t>j</w:t>
      </w:r>
      <w:r w:rsidRPr="3E890F68">
        <w:rPr>
          <w:szCs w:val="24"/>
        </w:rPr>
        <w:t xml:space="preserve"> = </w:t>
      </w:r>
      <w:r w:rsidRPr="00CF0129">
        <w:rPr>
          <w:bCs/>
          <w:position w:val="-28"/>
          <w:szCs w:val="24"/>
        </w:rPr>
        <w:object w:dxaOrig="480" w:dyaOrig="700" w14:anchorId="00D6E817">
          <v:shape id="_x0000_i1037" type="#_x0000_t75" style="width:24pt;height:36pt" o:ole="">
            <v:imagedata r:id="rId66" o:title=""/>
          </v:shape>
          <o:OLEObject Type="Embed" ProgID="Equation.3" ShapeID="_x0000_i1037" DrawAspect="Content" ObjectID="_1829396222" r:id="rId69"/>
        </w:object>
      </w:r>
      <w:r w:rsidRPr="3E890F68" w:rsidDel="003938F3">
        <w:rPr>
          <w:szCs w:val="24"/>
        </w:rPr>
        <w:t>(W</w:t>
      </w:r>
      <w:r w:rsidRPr="3E890F68" w:rsidDel="003938F3">
        <w:rPr>
          <w:rFonts w:ascii="Times New Roman Bold" w:hAnsi="Times New Roman Bold"/>
          <w:b/>
          <w:bCs/>
          <w:i/>
          <w:iCs/>
          <w:szCs w:val="24"/>
          <w:vertAlign w:val="subscript"/>
        </w:rPr>
        <w:t>k</w:t>
      </w:r>
      <w:r w:rsidRPr="3E890F68" w:rsidDel="003938F3">
        <w:rPr>
          <w:szCs w:val="24"/>
        </w:rPr>
        <w:t xml:space="preserve"> *</w:t>
      </w:r>
      <w:r w:rsidRPr="3E890F68">
        <w:rPr>
          <w:szCs w:val="24"/>
        </w:rPr>
        <w:t xml:space="preserve"> MLC</w:t>
      </w:r>
      <w:r w:rsidRPr="3E890F68">
        <w:rPr>
          <w:rFonts w:ascii="Times New Roman Bold" w:hAnsi="Times New Roman Bold"/>
          <w:b/>
          <w:bCs/>
          <w:i/>
          <w:iCs/>
          <w:szCs w:val="24"/>
          <w:vertAlign w:val="subscript"/>
        </w:rPr>
        <w:t>k</w:t>
      </w:r>
      <w:r w:rsidRPr="3E890F68">
        <w:rPr>
          <w:szCs w:val="24"/>
        </w:rPr>
        <w:t>)</w:t>
      </w:r>
    </w:p>
    <w:p w14:paraId="12CA74DF" w14:textId="77777777" w:rsidR="00E52BD9" w:rsidRPr="00CF0129" w:rsidRDefault="00E52BD9" w:rsidP="00E52BD9">
      <w:pPr>
        <w:spacing w:before="240" w:line="300" w:lineRule="auto"/>
        <w:ind w:left="1440"/>
        <w:rPr>
          <w:bCs/>
          <w:szCs w:val="24"/>
        </w:rPr>
      </w:pPr>
      <w:r w:rsidRPr="00CF0129">
        <w:rPr>
          <w:bCs/>
          <w:szCs w:val="24"/>
        </w:rPr>
        <w:t>Where:</w:t>
      </w:r>
    </w:p>
    <w:p w14:paraId="7BF24EC6" w14:textId="6609BE58" w:rsidR="00E52BD9" w:rsidRPr="00CF0129" w:rsidRDefault="00E52BD9" w:rsidP="00E52BD9">
      <w:pPr>
        <w:numPr>
          <w:ilvl w:val="0"/>
          <w:numId w:val="141"/>
        </w:numPr>
        <w:tabs>
          <w:tab w:val="num" w:pos="2160"/>
        </w:tabs>
        <w:spacing w:before="240" w:line="300" w:lineRule="auto"/>
        <w:ind w:left="2160"/>
        <w:rPr>
          <w:szCs w:val="24"/>
        </w:rPr>
      </w:pPr>
      <w:r w:rsidRPr="3E890F68" w:rsidDel="0052190C">
        <w:rPr>
          <w:szCs w:val="24"/>
        </w:rPr>
        <w:t>W</w:t>
      </w:r>
      <w:r w:rsidRPr="3E890F68" w:rsidDel="0052190C">
        <w:rPr>
          <w:b/>
          <w:bCs/>
          <w:i/>
          <w:iCs/>
          <w:szCs w:val="24"/>
          <w:vertAlign w:val="subscript"/>
        </w:rPr>
        <w:t>k</w:t>
      </w:r>
      <w:r w:rsidRPr="3E890F68" w:rsidDel="0052190C">
        <w:rPr>
          <w:rFonts w:ascii="Times New Roman Bold" w:hAnsi="Times New Roman Bold"/>
          <w:szCs w:val="24"/>
        </w:rPr>
        <w:t xml:space="preserve"> </w:t>
      </w:r>
      <w:r w:rsidRPr="3E890F68">
        <w:rPr>
          <w:szCs w:val="24"/>
        </w:rPr>
        <w:t xml:space="preserve">is the weighting factor for </w:t>
      </w:r>
      <w:r w:rsidR="002D623C">
        <w:rPr>
          <w:szCs w:val="24"/>
        </w:rPr>
        <w:t>Pnode</w:t>
      </w:r>
      <w:r w:rsidRPr="3E890F68" w:rsidDel="0052190C">
        <w:rPr>
          <w:szCs w:val="24"/>
        </w:rPr>
        <w:t xml:space="preserve"> </w:t>
      </w:r>
      <w:r w:rsidRPr="3E890F68">
        <w:rPr>
          <w:i/>
          <w:iCs/>
          <w:szCs w:val="24"/>
        </w:rPr>
        <w:t>k</w:t>
      </w:r>
      <w:r w:rsidRPr="3E890F68">
        <w:rPr>
          <w:szCs w:val="24"/>
        </w:rPr>
        <w:t xml:space="preserve"> which </w:t>
      </w:r>
      <w:r w:rsidRPr="3E890F68" w:rsidDel="0052190C">
        <w:rPr>
          <w:szCs w:val="24"/>
        </w:rPr>
        <w:t>is</w:t>
      </w:r>
      <w:r w:rsidRPr="3E890F68">
        <w:rPr>
          <w:szCs w:val="24"/>
        </w:rPr>
        <w:t xml:space="preserve"> part of Hub </w:t>
      </w:r>
      <w:r w:rsidRPr="3E890F68">
        <w:rPr>
          <w:i/>
          <w:iCs/>
          <w:szCs w:val="24"/>
        </w:rPr>
        <w:t>j</w:t>
      </w:r>
      <w:r w:rsidRPr="3E890F68">
        <w:rPr>
          <w:szCs w:val="24"/>
        </w:rPr>
        <w:t xml:space="preserve">.  The sum of the weighting factors for all </w:t>
      </w:r>
      <w:r w:rsidR="002D623C">
        <w:rPr>
          <w:szCs w:val="24"/>
        </w:rPr>
        <w:t>Pnode</w:t>
      </w:r>
      <w:r w:rsidRPr="3E890F68">
        <w:rPr>
          <w:szCs w:val="24"/>
        </w:rPr>
        <w:t>s</w:t>
      </w:r>
      <w:r w:rsidRPr="3E890F68" w:rsidDel="007D5BBB">
        <w:rPr>
          <w:szCs w:val="24"/>
        </w:rPr>
        <w:t xml:space="preserve"> </w:t>
      </w:r>
      <w:r w:rsidRPr="3E890F68" w:rsidDel="007D5BBB">
        <w:rPr>
          <w:i/>
          <w:iCs/>
          <w:szCs w:val="24"/>
        </w:rPr>
        <w:t>k</w:t>
      </w:r>
      <w:r w:rsidRPr="3E890F68" w:rsidDel="007D5BBB">
        <w:rPr>
          <w:b/>
          <w:bCs/>
          <w:i/>
          <w:iCs/>
          <w:szCs w:val="24"/>
        </w:rPr>
        <w:t xml:space="preserve"> </w:t>
      </w:r>
      <w:r w:rsidRPr="3E890F68">
        <w:rPr>
          <w:szCs w:val="24"/>
        </w:rPr>
        <w:t xml:space="preserve">must sum to </w:t>
      </w:r>
      <w:r w:rsidRPr="3E890F68" w:rsidDel="007D5BBB">
        <w:rPr>
          <w:szCs w:val="24"/>
        </w:rPr>
        <w:t>1.0</w:t>
      </w:r>
      <w:r>
        <w:rPr>
          <w:rStyle w:val="FootnoteReference"/>
          <w:szCs w:val="24"/>
        </w:rPr>
        <w:footnoteReference w:id="3"/>
      </w:r>
      <w:r w:rsidRPr="3E890F68">
        <w:rPr>
          <w:szCs w:val="24"/>
        </w:rPr>
        <w:t>;</w:t>
      </w:r>
    </w:p>
    <w:p w14:paraId="19C4F1E0" w14:textId="1ED81AAD" w:rsidR="00E52BD9" w:rsidRPr="00CF0129" w:rsidRDefault="00E52BD9" w:rsidP="00E52BD9">
      <w:pPr>
        <w:numPr>
          <w:ilvl w:val="0"/>
          <w:numId w:val="141"/>
        </w:numPr>
        <w:tabs>
          <w:tab w:val="num" w:pos="2160"/>
        </w:tabs>
        <w:spacing w:before="240" w:line="300" w:lineRule="auto"/>
        <w:ind w:left="2160"/>
        <w:rPr>
          <w:bCs/>
          <w:szCs w:val="24"/>
        </w:rPr>
      </w:pPr>
      <w:r w:rsidRPr="00CF0129">
        <w:rPr>
          <w:bCs/>
          <w:szCs w:val="24"/>
        </w:rPr>
        <w:t>LMP</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Hub </w:t>
      </w:r>
      <w:r w:rsidRPr="00CF0129">
        <w:rPr>
          <w:bCs/>
          <w:i/>
          <w:szCs w:val="24"/>
        </w:rPr>
        <w:t>j</w:t>
      </w:r>
      <w:r w:rsidRPr="00CF0129">
        <w:rPr>
          <w:bCs/>
          <w:szCs w:val="24"/>
        </w:rPr>
        <w:t xml:space="preserve">;  </w:t>
      </w:r>
    </w:p>
    <w:p w14:paraId="337FE03D" w14:textId="6384171E" w:rsidR="00E52BD9" w:rsidRPr="00CF0129" w:rsidRDefault="00E52BD9" w:rsidP="00E52BD9">
      <w:pPr>
        <w:numPr>
          <w:ilvl w:val="0"/>
          <w:numId w:val="141"/>
        </w:numPr>
        <w:tabs>
          <w:tab w:val="num" w:pos="2160"/>
        </w:tabs>
        <w:spacing w:before="240" w:line="300" w:lineRule="auto"/>
        <w:ind w:left="2160"/>
        <w:rPr>
          <w:bCs/>
          <w:szCs w:val="24"/>
        </w:rPr>
      </w:pPr>
      <w:r w:rsidRPr="00CF0129">
        <w:rPr>
          <w:bCs/>
          <w:szCs w:val="24"/>
        </w:rPr>
        <w:t>MCC</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Congestion Component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Hub </w:t>
      </w:r>
      <w:r w:rsidRPr="00CF0129">
        <w:rPr>
          <w:bCs/>
          <w:i/>
          <w:szCs w:val="24"/>
        </w:rPr>
        <w:t>j</w:t>
      </w:r>
      <w:r w:rsidRPr="00CF0129">
        <w:rPr>
          <w:bCs/>
          <w:szCs w:val="24"/>
        </w:rPr>
        <w:t xml:space="preserve">;  </w:t>
      </w:r>
    </w:p>
    <w:p w14:paraId="4BCA5109" w14:textId="5D77C38C" w:rsidR="00E52BD9" w:rsidRPr="00CF0129" w:rsidRDefault="00E52BD9" w:rsidP="00E52BD9">
      <w:pPr>
        <w:numPr>
          <w:ilvl w:val="0"/>
          <w:numId w:val="141"/>
        </w:numPr>
        <w:tabs>
          <w:tab w:val="num" w:pos="2160"/>
        </w:tabs>
        <w:spacing w:before="240" w:line="300" w:lineRule="auto"/>
        <w:ind w:left="2160"/>
        <w:rPr>
          <w:bCs/>
          <w:szCs w:val="24"/>
        </w:rPr>
      </w:pPr>
      <w:r w:rsidRPr="00CF0129">
        <w:rPr>
          <w:bCs/>
          <w:szCs w:val="24"/>
        </w:rPr>
        <w:t>MLC</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Loss Component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Hub </w:t>
      </w:r>
      <w:r w:rsidRPr="00CF0129">
        <w:rPr>
          <w:bCs/>
          <w:i/>
          <w:szCs w:val="24"/>
        </w:rPr>
        <w:t>j</w:t>
      </w:r>
      <w:r w:rsidRPr="00CF0129">
        <w:rPr>
          <w:bCs/>
          <w:szCs w:val="24"/>
        </w:rPr>
        <w:t xml:space="preserve">.  </w:t>
      </w:r>
    </w:p>
    <w:p w14:paraId="2B93AE0C" w14:textId="5695B00B" w:rsidR="00E52BD9" w:rsidRPr="00CF0129" w:rsidRDefault="00E52BD9" w:rsidP="00574EDE">
      <w:pPr>
        <w:pStyle w:val="Heading4"/>
      </w:pPr>
      <w:bookmarkStart w:id="5550" w:name="_Toc263173335"/>
      <w:bookmarkStart w:id="5551" w:name="_Toc263429449"/>
      <w:bookmarkStart w:id="5552" w:name="_Toc263795488"/>
      <w:bookmarkStart w:id="5553" w:name="_Toc266869668"/>
      <w:bookmarkStart w:id="5554" w:name="_Toc159232485"/>
      <w:bookmarkStart w:id="5555" w:name="_Toc213771907"/>
      <w:r w:rsidRPr="00CF0129">
        <w:t>Calculation of LMP at a Load A</w:t>
      </w:r>
      <w:r w:rsidR="002D623C">
        <w:t>Pnode</w:t>
      </w:r>
      <w:r w:rsidRPr="00CF0129">
        <w:t xml:space="preserve"> Settlement Location</w:t>
      </w:r>
      <w:bookmarkEnd w:id="5550"/>
      <w:bookmarkEnd w:id="5551"/>
      <w:bookmarkEnd w:id="5552"/>
      <w:bookmarkEnd w:id="5553"/>
      <w:bookmarkEnd w:id="5554"/>
      <w:bookmarkEnd w:id="5555"/>
    </w:p>
    <w:p w14:paraId="5B88CBCA" w14:textId="237ECC43" w:rsidR="00E52BD9" w:rsidRPr="00CF0129" w:rsidRDefault="00E52BD9" w:rsidP="00E52BD9">
      <w:pPr>
        <w:spacing w:before="240" w:line="300" w:lineRule="auto"/>
        <w:rPr>
          <w:bCs/>
          <w:szCs w:val="24"/>
        </w:rPr>
      </w:pPr>
      <w:r>
        <w:rPr>
          <w:bCs/>
          <w:szCs w:val="24"/>
        </w:rPr>
        <w:t>The Market Operator</w:t>
      </w:r>
      <w:r w:rsidRPr="00CF0129">
        <w:rPr>
          <w:bCs/>
          <w:szCs w:val="24"/>
        </w:rPr>
        <w:t xml:space="preserve"> calculates an LMP for each A</w:t>
      </w:r>
      <w:r w:rsidR="002D623C">
        <w:rPr>
          <w:bCs/>
          <w:szCs w:val="24"/>
        </w:rPr>
        <w:t>Pnode</w:t>
      </w:r>
      <w:r w:rsidRPr="00CF0129">
        <w:rPr>
          <w:bCs/>
          <w:szCs w:val="24"/>
        </w:rPr>
        <w:t xml:space="preserve"> Load Settlement Location based on the LMPs for the set of </w:t>
      </w:r>
      <w:r w:rsidR="002D623C">
        <w:rPr>
          <w:bCs/>
          <w:szCs w:val="24"/>
        </w:rPr>
        <w:t>Pnode</w:t>
      </w:r>
      <w:r w:rsidRPr="00CF0129">
        <w:rPr>
          <w:bCs/>
          <w:szCs w:val="24"/>
        </w:rPr>
        <w:t>s that comprise the A</w:t>
      </w:r>
      <w:r w:rsidR="002D623C">
        <w:rPr>
          <w:bCs/>
          <w:szCs w:val="24"/>
        </w:rPr>
        <w:t>Pnode</w:t>
      </w:r>
      <w:r w:rsidRPr="00CF0129">
        <w:rPr>
          <w:bCs/>
          <w:szCs w:val="24"/>
        </w:rPr>
        <w:t xml:space="preserve"> Load Settlement Location.  </w:t>
      </w:r>
      <w:r w:rsidRPr="0030391E">
        <w:rPr>
          <w:bCs/>
          <w:szCs w:val="24"/>
        </w:rPr>
        <w:t xml:space="preserve">These Load Settlement Location LMPs are the weighted average of the LMPs at the </w:t>
      </w:r>
      <w:r w:rsidR="002D623C">
        <w:rPr>
          <w:bCs/>
          <w:szCs w:val="24"/>
        </w:rPr>
        <w:t>Pnode</w:t>
      </w:r>
      <w:r w:rsidRPr="0030391E">
        <w:rPr>
          <w:bCs/>
          <w:szCs w:val="24"/>
        </w:rPr>
        <w:t xml:space="preserve">s that comprise the Load Settlement Location.  For both the Day-Ahead Market and RTBM, the weighting factors are those described under Section </w:t>
      </w:r>
      <w:r w:rsidRPr="0030391E">
        <w:rPr>
          <w:bCs/>
          <w:szCs w:val="24"/>
        </w:rPr>
        <w:fldChar w:fldCharType="begin"/>
      </w:r>
      <w:r w:rsidRPr="0030391E">
        <w:rPr>
          <w:bCs/>
          <w:szCs w:val="24"/>
        </w:rPr>
        <w:instrText xml:space="preserve"> REF _Ref258484770 \r \h  \* MERGEFORMAT </w:instrText>
      </w:r>
      <w:r w:rsidRPr="0030391E">
        <w:rPr>
          <w:bCs/>
          <w:szCs w:val="24"/>
        </w:rPr>
      </w:r>
      <w:r w:rsidRPr="0030391E">
        <w:rPr>
          <w:bCs/>
          <w:szCs w:val="24"/>
        </w:rPr>
        <w:fldChar w:fldCharType="separate"/>
      </w:r>
      <w:r w:rsidR="005C5AC5">
        <w:rPr>
          <w:bCs/>
          <w:szCs w:val="24"/>
        </w:rPr>
        <w:t>4.1.2.1.6</w:t>
      </w:r>
      <w:r w:rsidRPr="0030391E">
        <w:rPr>
          <w:bCs/>
          <w:szCs w:val="24"/>
        </w:rPr>
        <w:fldChar w:fldCharType="end"/>
      </w:r>
      <w:r w:rsidRPr="0030391E">
        <w:rPr>
          <w:bCs/>
          <w:szCs w:val="24"/>
        </w:rPr>
        <w:t xml:space="preserve"> for each respective market.  These weighting factors are applied for calculating the LMP, MCP, and MLC for the A</w:t>
      </w:r>
      <w:r w:rsidR="002D623C">
        <w:rPr>
          <w:bCs/>
          <w:szCs w:val="24"/>
        </w:rPr>
        <w:t>Pnode</w:t>
      </w:r>
      <w:r w:rsidRPr="0030391E">
        <w:rPr>
          <w:bCs/>
          <w:szCs w:val="24"/>
        </w:rPr>
        <w:t xml:space="preserve"> Load Settlement Location.</w:t>
      </w:r>
    </w:p>
    <w:p w14:paraId="29FEDE86" w14:textId="526EE175" w:rsidR="00E52BD9" w:rsidRPr="00CF0129" w:rsidRDefault="00E52BD9" w:rsidP="00E52BD9">
      <w:pPr>
        <w:keepNext/>
        <w:spacing w:before="120" w:line="300" w:lineRule="auto"/>
        <w:rPr>
          <w:bCs/>
          <w:szCs w:val="24"/>
        </w:rPr>
      </w:pPr>
      <w:r w:rsidRPr="00CF0129">
        <w:rPr>
          <w:bCs/>
          <w:szCs w:val="24"/>
        </w:rPr>
        <w:t>The LMP for 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is: </w:t>
      </w:r>
    </w:p>
    <w:p w14:paraId="31AB81DD" w14:textId="02CC2B69" w:rsidR="00E52BD9" w:rsidRPr="00CF0129" w:rsidRDefault="00E52BD9" w:rsidP="00E52BD9">
      <w:pPr>
        <w:spacing w:before="120" w:line="300" w:lineRule="auto"/>
        <w:ind w:left="2160"/>
        <w:rPr>
          <w:bCs/>
          <w:szCs w:val="24"/>
        </w:rPr>
      </w:pPr>
      <w:r w:rsidRPr="00CF0129">
        <w:rPr>
          <w:bCs/>
          <w:szCs w:val="24"/>
        </w:rPr>
        <w:tab/>
        <w:t>LMPA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4F92710D">
          <v:shape id="_x0000_i1038" type="#_x0000_t75" style="width:24pt;height:36pt" o:ole="">
            <v:imagedata r:id="rId66" o:title=""/>
          </v:shape>
          <o:OLEObject Type="Embed" ProgID="Equation.3" ShapeID="_x0000_i1038" DrawAspect="Content" ObjectID="_1829396223" r:id="rId70"/>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LMP</w:t>
      </w:r>
      <w:r w:rsidRPr="00CF0129">
        <w:rPr>
          <w:rFonts w:ascii="Times New Roman Bold" w:hAnsi="Times New Roman Bold"/>
          <w:b/>
          <w:bCs/>
          <w:i/>
          <w:szCs w:val="24"/>
          <w:vertAlign w:val="subscript"/>
        </w:rPr>
        <w:t>k</w:t>
      </w:r>
      <w:r w:rsidRPr="00CF0129">
        <w:rPr>
          <w:bCs/>
          <w:szCs w:val="24"/>
        </w:rPr>
        <w:t>)</w:t>
      </w:r>
    </w:p>
    <w:p w14:paraId="1BA1C431" w14:textId="6DAA0FD1" w:rsidR="00E52BD9" w:rsidRPr="00CF0129" w:rsidRDefault="00E52BD9" w:rsidP="00E52BD9">
      <w:pPr>
        <w:spacing w:before="120" w:line="300" w:lineRule="auto"/>
        <w:rPr>
          <w:bCs/>
          <w:szCs w:val="24"/>
        </w:rPr>
      </w:pPr>
      <w:r w:rsidRPr="00CF0129">
        <w:rPr>
          <w:bCs/>
          <w:szCs w:val="24"/>
        </w:rPr>
        <w:t>The MCC for 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is: </w:t>
      </w:r>
    </w:p>
    <w:p w14:paraId="27F05B87" w14:textId="302DB95E" w:rsidR="00E52BD9" w:rsidRPr="00CF0129" w:rsidRDefault="00E52BD9" w:rsidP="00E52BD9">
      <w:pPr>
        <w:spacing w:before="120" w:line="300" w:lineRule="auto"/>
        <w:ind w:left="2160"/>
        <w:rPr>
          <w:bCs/>
          <w:szCs w:val="24"/>
        </w:rPr>
      </w:pPr>
      <w:r w:rsidRPr="00CF0129">
        <w:rPr>
          <w:bCs/>
          <w:szCs w:val="24"/>
        </w:rPr>
        <w:tab/>
        <w:t>MCCA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4007F07E">
          <v:shape id="_x0000_i1039" type="#_x0000_t75" style="width:24pt;height:36pt" o:ole="">
            <v:imagedata r:id="rId66" o:title=""/>
          </v:shape>
          <o:OLEObject Type="Embed" ProgID="Equation.3" ShapeID="_x0000_i1039" DrawAspect="Content" ObjectID="_1829396224" r:id="rId71"/>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MCC</w:t>
      </w:r>
      <w:r w:rsidRPr="00CF0129">
        <w:rPr>
          <w:rFonts w:ascii="Times New Roman Bold" w:hAnsi="Times New Roman Bold"/>
          <w:b/>
          <w:bCs/>
          <w:i/>
          <w:szCs w:val="24"/>
          <w:vertAlign w:val="subscript"/>
        </w:rPr>
        <w:t>k</w:t>
      </w:r>
      <w:r w:rsidRPr="00CF0129">
        <w:rPr>
          <w:bCs/>
          <w:szCs w:val="24"/>
        </w:rPr>
        <w:t>)</w:t>
      </w:r>
    </w:p>
    <w:p w14:paraId="4AF407B5" w14:textId="652D200A" w:rsidR="00E52BD9" w:rsidRPr="00CF0129" w:rsidRDefault="00E52BD9" w:rsidP="00E52BD9">
      <w:pPr>
        <w:spacing w:before="120" w:line="300" w:lineRule="auto"/>
        <w:rPr>
          <w:bCs/>
          <w:szCs w:val="24"/>
        </w:rPr>
      </w:pPr>
      <w:r w:rsidRPr="00CF0129">
        <w:rPr>
          <w:bCs/>
          <w:szCs w:val="24"/>
        </w:rPr>
        <w:t>The MLC for 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is: </w:t>
      </w:r>
    </w:p>
    <w:p w14:paraId="0ED89767" w14:textId="0F33181F" w:rsidR="00E52BD9" w:rsidRPr="00CF0129" w:rsidRDefault="00E52BD9" w:rsidP="00E52BD9">
      <w:pPr>
        <w:spacing w:before="120" w:line="300" w:lineRule="auto"/>
        <w:ind w:left="2160"/>
        <w:rPr>
          <w:bCs/>
          <w:szCs w:val="24"/>
        </w:rPr>
      </w:pPr>
      <w:r w:rsidRPr="00CF0129">
        <w:rPr>
          <w:bCs/>
          <w:szCs w:val="24"/>
        </w:rPr>
        <w:tab/>
        <w:t>MLCA</w:t>
      </w:r>
      <w:r w:rsidR="002D623C">
        <w:rPr>
          <w:bCs/>
          <w:szCs w:val="24"/>
        </w:rPr>
        <w:t>Pnode</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0BA1DEE1">
          <v:shape id="_x0000_i1040" type="#_x0000_t75" style="width:24pt;height:36pt" o:ole="">
            <v:imagedata r:id="rId66" o:title=""/>
          </v:shape>
          <o:OLEObject Type="Embed" ProgID="Equation.3" ShapeID="_x0000_i1040" DrawAspect="Content" ObjectID="_1829396225" r:id="rId72"/>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MLC</w:t>
      </w:r>
      <w:r w:rsidRPr="00CF0129">
        <w:rPr>
          <w:rFonts w:ascii="Times New Roman Bold" w:hAnsi="Times New Roman Bold"/>
          <w:b/>
          <w:bCs/>
          <w:i/>
          <w:szCs w:val="24"/>
          <w:vertAlign w:val="subscript"/>
        </w:rPr>
        <w:t>k</w:t>
      </w:r>
      <w:r w:rsidRPr="00CF0129">
        <w:rPr>
          <w:bCs/>
          <w:szCs w:val="24"/>
        </w:rPr>
        <w:t>)</w:t>
      </w:r>
    </w:p>
    <w:p w14:paraId="26350C6F" w14:textId="77777777" w:rsidR="00E52BD9" w:rsidRPr="00CF0129" w:rsidRDefault="00E52BD9" w:rsidP="00E52BD9">
      <w:pPr>
        <w:spacing w:before="240" w:line="300" w:lineRule="auto"/>
        <w:ind w:left="1440"/>
        <w:rPr>
          <w:bCs/>
          <w:szCs w:val="24"/>
        </w:rPr>
      </w:pPr>
      <w:r w:rsidRPr="00CF0129">
        <w:rPr>
          <w:bCs/>
          <w:szCs w:val="24"/>
        </w:rPr>
        <w:t>Where:</w:t>
      </w:r>
    </w:p>
    <w:p w14:paraId="5C2AB2C6" w14:textId="04B9C5E6" w:rsidR="00E52BD9" w:rsidRPr="00CF0129" w:rsidRDefault="00E52BD9" w:rsidP="00E52BD9">
      <w:pPr>
        <w:numPr>
          <w:ilvl w:val="0"/>
          <w:numId w:val="142"/>
        </w:numPr>
        <w:tabs>
          <w:tab w:val="num" w:pos="2160"/>
        </w:tabs>
        <w:spacing w:before="240" w:line="300" w:lineRule="auto"/>
        <w:ind w:left="2160"/>
        <w:rPr>
          <w:bCs/>
          <w:szCs w:val="24"/>
        </w:rPr>
      </w:pPr>
      <w:r w:rsidRPr="00CF0129">
        <w:rPr>
          <w:bCs/>
          <w:szCs w:val="24"/>
        </w:rPr>
        <w:t>W</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weighting factor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A</w:t>
      </w:r>
      <w:r w:rsidR="002D623C">
        <w:rPr>
          <w:bCs/>
          <w:szCs w:val="24"/>
        </w:rPr>
        <w:t>Pnode</w:t>
      </w:r>
      <w:r w:rsidRPr="00CF0129">
        <w:rPr>
          <w:bCs/>
          <w:szCs w:val="24"/>
        </w:rPr>
        <w:t xml:space="preserve"> </w:t>
      </w:r>
      <w:r w:rsidRPr="00CF0129">
        <w:rPr>
          <w:bCs/>
          <w:i/>
          <w:szCs w:val="24"/>
        </w:rPr>
        <w:t>j</w:t>
      </w:r>
      <w:r w:rsidRPr="00CF0129">
        <w:rPr>
          <w:bCs/>
          <w:szCs w:val="24"/>
        </w:rPr>
        <w:t xml:space="preserve">.  The sum of the weighting factors for all </w:t>
      </w:r>
      <w:r w:rsidR="002D623C">
        <w:rPr>
          <w:bCs/>
          <w:szCs w:val="24"/>
        </w:rPr>
        <w:t>Pnode</w:t>
      </w:r>
      <w:r w:rsidRPr="00CF0129">
        <w:rPr>
          <w:bCs/>
          <w:szCs w:val="24"/>
        </w:rPr>
        <w:t xml:space="preserve">s </w:t>
      </w:r>
      <w:r w:rsidRPr="00CF0129">
        <w:rPr>
          <w:bCs/>
          <w:i/>
          <w:szCs w:val="24"/>
        </w:rPr>
        <w:t xml:space="preserve">k </w:t>
      </w:r>
      <w:r w:rsidRPr="00CF0129">
        <w:rPr>
          <w:bCs/>
          <w:szCs w:val="24"/>
        </w:rPr>
        <w:t>must sum to 1.0;</w:t>
      </w:r>
    </w:p>
    <w:p w14:paraId="6D193576" w14:textId="5360AAC2" w:rsidR="00E52BD9" w:rsidRPr="00CF0129" w:rsidRDefault="00E52BD9" w:rsidP="00E52BD9">
      <w:pPr>
        <w:numPr>
          <w:ilvl w:val="0"/>
          <w:numId w:val="142"/>
        </w:numPr>
        <w:tabs>
          <w:tab w:val="num" w:pos="2160"/>
        </w:tabs>
        <w:spacing w:before="240" w:line="300" w:lineRule="auto"/>
        <w:ind w:left="2160"/>
        <w:rPr>
          <w:bCs/>
          <w:szCs w:val="24"/>
        </w:rPr>
      </w:pPr>
      <w:r w:rsidRPr="00CF0129">
        <w:rPr>
          <w:bCs/>
          <w:szCs w:val="24"/>
        </w:rPr>
        <w:t>LMP</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A</w:t>
      </w:r>
      <w:r w:rsidR="002D623C">
        <w:rPr>
          <w:bCs/>
          <w:szCs w:val="24"/>
        </w:rPr>
        <w:t>Pnode</w:t>
      </w:r>
      <w:r w:rsidRPr="00CF0129">
        <w:rPr>
          <w:bCs/>
          <w:szCs w:val="24"/>
        </w:rPr>
        <w:t xml:space="preserve"> </w:t>
      </w:r>
      <w:r w:rsidRPr="00CF0129">
        <w:rPr>
          <w:bCs/>
          <w:i/>
          <w:szCs w:val="24"/>
        </w:rPr>
        <w:t>j</w:t>
      </w:r>
      <w:r w:rsidRPr="00CF0129">
        <w:rPr>
          <w:bCs/>
          <w:szCs w:val="24"/>
        </w:rPr>
        <w:t xml:space="preserve">;  </w:t>
      </w:r>
    </w:p>
    <w:p w14:paraId="7B24E068" w14:textId="5DA640E1" w:rsidR="00E52BD9" w:rsidRPr="00CF0129" w:rsidRDefault="00E52BD9" w:rsidP="00E52BD9">
      <w:pPr>
        <w:numPr>
          <w:ilvl w:val="0"/>
          <w:numId w:val="142"/>
        </w:numPr>
        <w:tabs>
          <w:tab w:val="num" w:pos="2160"/>
        </w:tabs>
        <w:spacing w:before="240" w:line="300" w:lineRule="auto"/>
        <w:ind w:left="2160"/>
        <w:rPr>
          <w:bCs/>
          <w:szCs w:val="24"/>
        </w:rPr>
      </w:pPr>
      <w:r w:rsidRPr="00CF0129">
        <w:rPr>
          <w:bCs/>
          <w:szCs w:val="24"/>
        </w:rPr>
        <w:t>MCC</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Congestion Component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A</w:t>
      </w:r>
      <w:r w:rsidR="002D623C">
        <w:rPr>
          <w:bCs/>
          <w:szCs w:val="24"/>
        </w:rPr>
        <w:t>Pnode</w:t>
      </w:r>
      <w:r w:rsidRPr="00CF0129">
        <w:rPr>
          <w:bCs/>
          <w:szCs w:val="24"/>
        </w:rPr>
        <w:t xml:space="preserve"> </w:t>
      </w:r>
      <w:r w:rsidRPr="00CF0129">
        <w:rPr>
          <w:bCs/>
          <w:i/>
          <w:szCs w:val="24"/>
        </w:rPr>
        <w:t>j</w:t>
      </w:r>
      <w:r w:rsidRPr="00CF0129">
        <w:rPr>
          <w:bCs/>
          <w:szCs w:val="24"/>
        </w:rPr>
        <w:t xml:space="preserve">;  </w:t>
      </w:r>
    </w:p>
    <w:p w14:paraId="50C1EF64" w14:textId="6C3EAB33" w:rsidR="00E52BD9" w:rsidRPr="00CF0129" w:rsidRDefault="00E52BD9" w:rsidP="00E52BD9">
      <w:pPr>
        <w:numPr>
          <w:ilvl w:val="0"/>
          <w:numId w:val="142"/>
        </w:numPr>
        <w:tabs>
          <w:tab w:val="num" w:pos="2160"/>
        </w:tabs>
        <w:spacing w:before="240" w:line="300" w:lineRule="auto"/>
        <w:ind w:left="2160"/>
        <w:rPr>
          <w:bCs/>
          <w:szCs w:val="24"/>
        </w:rPr>
      </w:pPr>
      <w:r w:rsidRPr="00CF0129">
        <w:rPr>
          <w:bCs/>
          <w:szCs w:val="24"/>
        </w:rPr>
        <w:t>MLC</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Loss Components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A</w:t>
      </w:r>
      <w:r w:rsidR="002D623C">
        <w:rPr>
          <w:bCs/>
          <w:szCs w:val="24"/>
        </w:rPr>
        <w:t>Pnode</w:t>
      </w:r>
      <w:r w:rsidRPr="00CF0129">
        <w:rPr>
          <w:bCs/>
          <w:szCs w:val="24"/>
        </w:rPr>
        <w:t xml:space="preserve"> </w:t>
      </w:r>
      <w:r w:rsidRPr="00CF0129">
        <w:rPr>
          <w:bCs/>
          <w:i/>
          <w:szCs w:val="24"/>
        </w:rPr>
        <w:t>j</w:t>
      </w:r>
      <w:r w:rsidRPr="00CF0129">
        <w:rPr>
          <w:bCs/>
          <w:szCs w:val="24"/>
        </w:rPr>
        <w:t xml:space="preserve">.  </w:t>
      </w:r>
    </w:p>
    <w:p w14:paraId="3B09A1AD" w14:textId="02CABFBC" w:rsidR="00E52BD9" w:rsidRPr="00CF0129" w:rsidRDefault="00E52BD9" w:rsidP="00574EDE">
      <w:pPr>
        <w:pStyle w:val="Heading4"/>
      </w:pPr>
      <w:bookmarkStart w:id="5556" w:name="_Toc263173336"/>
      <w:bookmarkStart w:id="5557" w:name="_Toc263429450"/>
      <w:bookmarkStart w:id="5558" w:name="_Toc263795489"/>
      <w:bookmarkStart w:id="5559" w:name="_Toc266869669"/>
      <w:bookmarkStart w:id="5560" w:name="_Toc159232486"/>
      <w:bookmarkStart w:id="5561" w:name="_Toc213771908"/>
      <w:r w:rsidRPr="00CF0129">
        <w:t>Calculation of LMP at an External Interface Settlement Location</w:t>
      </w:r>
      <w:bookmarkEnd w:id="5556"/>
      <w:bookmarkEnd w:id="5557"/>
      <w:bookmarkEnd w:id="5558"/>
      <w:bookmarkEnd w:id="5559"/>
      <w:bookmarkEnd w:id="5560"/>
      <w:bookmarkEnd w:id="5561"/>
    </w:p>
    <w:p w14:paraId="7B8C3539" w14:textId="54E477C0" w:rsidR="00E52BD9" w:rsidRPr="00CF0129" w:rsidRDefault="00E52BD9" w:rsidP="00E52BD9">
      <w:pPr>
        <w:spacing w:before="240" w:line="300" w:lineRule="auto"/>
        <w:rPr>
          <w:bCs/>
          <w:szCs w:val="24"/>
        </w:rPr>
      </w:pPr>
      <w:r>
        <w:rPr>
          <w:bCs/>
          <w:szCs w:val="24"/>
        </w:rPr>
        <w:t>The Market Operator</w:t>
      </w:r>
      <w:r w:rsidRPr="00CF0129">
        <w:rPr>
          <w:bCs/>
          <w:szCs w:val="24"/>
        </w:rPr>
        <w:t xml:space="preserve"> calculates an LMP for each External Interface based on the LMPs for the set of </w:t>
      </w:r>
      <w:r w:rsidR="002D623C">
        <w:rPr>
          <w:bCs/>
          <w:szCs w:val="24"/>
        </w:rPr>
        <w:t>Pnode</w:t>
      </w:r>
      <w:r w:rsidRPr="00CF0129">
        <w:rPr>
          <w:bCs/>
          <w:szCs w:val="24"/>
        </w:rPr>
        <w:t xml:space="preserve">s that comprise the External Interface.  These External Interface LMPs are the weighted average of the LMPs at the </w:t>
      </w:r>
      <w:r w:rsidR="002D623C">
        <w:rPr>
          <w:bCs/>
          <w:szCs w:val="24"/>
        </w:rPr>
        <w:t>Pnode</w:t>
      </w:r>
      <w:r w:rsidRPr="00CF0129">
        <w:rPr>
          <w:bCs/>
          <w:szCs w:val="24"/>
        </w:rPr>
        <w:t xml:space="preserve">s that comprise the External Interface.  </w:t>
      </w:r>
      <w:r w:rsidRPr="0030391E">
        <w:rPr>
          <w:bCs/>
          <w:szCs w:val="24"/>
        </w:rPr>
        <w:t xml:space="preserve">The weighting factors are pre-determined and remain fixed as described under Section </w:t>
      </w:r>
      <w:r w:rsidRPr="0030391E">
        <w:rPr>
          <w:bCs/>
          <w:szCs w:val="24"/>
        </w:rPr>
        <w:fldChar w:fldCharType="begin"/>
      </w:r>
      <w:r w:rsidRPr="0030391E">
        <w:rPr>
          <w:bCs/>
          <w:szCs w:val="24"/>
        </w:rPr>
        <w:instrText xml:space="preserve"> REF _Ref260921087 \r \h </w:instrText>
      </w:r>
      <w:r w:rsidRPr="000B78FF">
        <w:rPr>
          <w:bCs/>
          <w:szCs w:val="24"/>
          <w:highlight w:val="yellow"/>
        </w:rPr>
        <w:instrText xml:space="preserve"> \* MERGEFORMAT</w:instrText>
      </w:r>
      <w:r w:rsidRPr="0030391E">
        <w:rPr>
          <w:szCs w:val="24"/>
        </w:rPr>
        <w:instrText xml:space="preserve"> </w:instrText>
      </w:r>
      <w:r w:rsidRPr="0030391E">
        <w:rPr>
          <w:bCs/>
          <w:szCs w:val="24"/>
        </w:rPr>
      </w:r>
      <w:r w:rsidRPr="0030391E">
        <w:rPr>
          <w:bCs/>
          <w:szCs w:val="24"/>
        </w:rPr>
        <w:fldChar w:fldCharType="separate"/>
      </w:r>
      <w:r w:rsidRPr="0030391E">
        <w:rPr>
          <w:bCs/>
          <w:szCs w:val="24"/>
        </w:rPr>
        <w:t>4.3.1.1</w:t>
      </w:r>
      <w:r w:rsidRPr="0030391E">
        <w:rPr>
          <w:bCs/>
          <w:szCs w:val="24"/>
        </w:rPr>
        <w:fldChar w:fldCharType="end"/>
      </w:r>
      <w:r w:rsidRPr="0030391E">
        <w:rPr>
          <w:bCs/>
          <w:szCs w:val="24"/>
        </w:rPr>
        <w:t>.</w:t>
      </w:r>
      <w:r w:rsidRPr="00CF0129">
        <w:rPr>
          <w:bCs/>
          <w:szCs w:val="24"/>
        </w:rPr>
        <w:t xml:space="preserve">  These weighting factors are applied for calculating </w:t>
      </w:r>
      <w:r>
        <w:rPr>
          <w:bCs/>
          <w:szCs w:val="24"/>
        </w:rPr>
        <w:t>the</w:t>
      </w:r>
      <w:r w:rsidRPr="00CF0129">
        <w:rPr>
          <w:bCs/>
          <w:szCs w:val="24"/>
        </w:rPr>
        <w:t xml:space="preserve"> LMP, MCP</w:t>
      </w:r>
      <w:r>
        <w:rPr>
          <w:bCs/>
          <w:szCs w:val="24"/>
        </w:rPr>
        <w:t>,</w:t>
      </w:r>
      <w:r w:rsidRPr="00CF0129">
        <w:rPr>
          <w:bCs/>
          <w:szCs w:val="24"/>
        </w:rPr>
        <w:t xml:space="preserve"> and MLC at an External Interface for both the Day-Ahead Market and RTBM.</w:t>
      </w:r>
    </w:p>
    <w:p w14:paraId="4CE2C192" w14:textId="77777777" w:rsidR="00E52BD9" w:rsidRPr="00CF0129" w:rsidRDefault="00E52BD9" w:rsidP="00E52BD9">
      <w:pPr>
        <w:keepNext/>
        <w:spacing w:before="120" w:line="300" w:lineRule="auto"/>
        <w:rPr>
          <w:bCs/>
          <w:szCs w:val="24"/>
        </w:rPr>
      </w:pPr>
      <w:r w:rsidRPr="00CF0129">
        <w:rPr>
          <w:bCs/>
          <w:szCs w:val="24"/>
        </w:rPr>
        <w:t>The LMP for External Interface</w:t>
      </w:r>
      <w:r w:rsidRPr="00CF0129">
        <w:rPr>
          <w:rFonts w:ascii="Times New Roman Bold" w:hAnsi="Times New Roman Bold"/>
          <w:b/>
          <w:bCs/>
          <w:i/>
          <w:szCs w:val="24"/>
          <w:vertAlign w:val="subscript"/>
        </w:rPr>
        <w:t>j</w:t>
      </w:r>
      <w:r w:rsidRPr="00CF0129">
        <w:rPr>
          <w:bCs/>
          <w:szCs w:val="24"/>
        </w:rPr>
        <w:t xml:space="preserve"> is: </w:t>
      </w:r>
    </w:p>
    <w:p w14:paraId="3228CD3D" w14:textId="77777777" w:rsidR="00E52BD9" w:rsidRPr="00CF0129" w:rsidRDefault="00E52BD9" w:rsidP="00E52BD9">
      <w:pPr>
        <w:spacing w:before="120" w:line="300" w:lineRule="auto"/>
        <w:ind w:left="2160"/>
        <w:rPr>
          <w:bCs/>
          <w:szCs w:val="24"/>
        </w:rPr>
      </w:pPr>
      <w:r w:rsidRPr="00CF0129">
        <w:rPr>
          <w:bCs/>
          <w:szCs w:val="24"/>
        </w:rPr>
        <w:tab/>
        <w:t>LMPEI</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5BF00DB1">
          <v:shape id="_x0000_i1041" type="#_x0000_t75" style="width:24pt;height:36pt" o:ole="">
            <v:imagedata r:id="rId66" o:title=""/>
          </v:shape>
          <o:OLEObject Type="Embed" ProgID="Equation.3" ShapeID="_x0000_i1041" DrawAspect="Content" ObjectID="_1829396226" r:id="rId73"/>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LMP</w:t>
      </w:r>
      <w:r w:rsidRPr="00CF0129">
        <w:rPr>
          <w:rFonts w:ascii="Times New Roman Bold" w:hAnsi="Times New Roman Bold"/>
          <w:b/>
          <w:bCs/>
          <w:i/>
          <w:szCs w:val="24"/>
          <w:vertAlign w:val="subscript"/>
        </w:rPr>
        <w:t>k</w:t>
      </w:r>
      <w:r w:rsidRPr="00CF0129">
        <w:rPr>
          <w:bCs/>
          <w:szCs w:val="24"/>
        </w:rPr>
        <w:t>)</w:t>
      </w:r>
    </w:p>
    <w:p w14:paraId="625676C6" w14:textId="77777777" w:rsidR="00E52BD9" w:rsidRPr="00CF0129" w:rsidRDefault="00E52BD9" w:rsidP="00E52BD9">
      <w:pPr>
        <w:spacing w:before="120" w:line="300" w:lineRule="auto"/>
        <w:rPr>
          <w:bCs/>
          <w:szCs w:val="24"/>
        </w:rPr>
      </w:pPr>
      <w:r w:rsidRPr="00CF0129">
        <w:rPr>
          <w:bCs/>
          <w:szCs w:val="24"/>
        </w:rPr>
        <w:t>The MCC for External Interface</w:t>
      </w:r>
      <w:r w:rsidRPr="00CF0129">
        <w:rPr>
          <w:rFonts w:ascii="Times New Roman Bold" w:hAnsi="Times New Roman Bold"/>
          <w:b/>
          <w:bCs/>
          <w:i/>
          <w:szCs w:val="24"/>
          <w:vertAlign w:val="subscript"/>
        </w:rPr>
        <w:t>j</w:t>
      </w:r>
      <w:r w:rsidRPr="00CF0129">
        <w:rPr>
          <w:bCs/>
          <w:szCs w:val="24"/>
        </w:rPr>
        <w:t xml:space="preserve"> is: </w:t>
      </w:r>
    </w:p>
    <w:p w14:paraId="2A176D10" w14:textId="77777777" w:rsidR="00E52BD9" w:rsidRPr="00CF0129" w:rsidRDefault="00E52BD9" w:rsidP="00E52BD9">
      <w:pPr>
        <w:spacing w:before="120" w:line="300" w:lineRule="auto"/>
        <w:ind w:left="2160"/>
        <w:rPr>
          <w:bCs/>
          <w:szCs w:val="24"/>
        </w:rPr>
      </w:pPr>
      <w:r w:rsidRPr="00CF0129">
        <w:rPr>
          <w:bCs/>
          <w:szCs w:val="24"/>
        </w:rPr>
        <w:tab/>
        <w:t>MCCEI</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234A22BC">
          <v:shape id="_x0000_i1042" type="#_x0000_t75" style="width:24pt;height:36pt" o:ole="">
            <v:imagedata r:id="rId66" o:title=""/>
          </v:shape>
          <o:OLEObject Type="Embed" ProgID="Equation.3" ShapeID="_x0000_i1042" DrawAspect="Content" ObjectID="_1829396227" r:id="rId74"/>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MCC</w:t>
      </w:r>
      <w:r w:rsidRPr="00CF0129">
        <w:rPr>
          <w:rFonts w:ascii="Times New Roman Bold" w:hAnsi="Times New Roman Bold"/>
          <w:b/>
          <w:bCs/>
          <w:i/>
          <w:szCs w:val="24"/>
          <w:vertAlign w:val="subscript"/>
        </w:rPr>
        <w:t>k</w:t>
      </w:r>
      <w:r w:rsidRPr="00CF0129">
        <w:rPr>
          <w:bCs/>
          <w:szCs w:val="24"/>
        </w:rPr>
        <w:t>)</w:t>
      </w:r>
    </w:p>
    <w:p w14:paraId="5FBFBE33" w14:textId="77777777" w:rsidR="00E52BD9" w:rsidRPr="00CF0129" w:rsidRDefault="00E52BD9" w:rsidP="00E52BD9">
      <w:pPr>
        <w:spacing w:before="120" w:line="300" w:lineRule="auto"/>
        <w:rPr>
          <w:bCs/>
          <w:szCs w:val="24"/>
        </w:rPr>
      </w:pPr>
      <w:r w:rsidRPr="00CF0129">
        <w:rPr>
          <w:bCs/>
          <w:szCs w:val="24"/>
        </w:rPr>
        <w:t>The MLC for External Interface</w:t>
      </w:r>
      <w:r w:rsidRPr="00CF0129">
        <w:rPr>
          <w:rFonts w:ascii="Times New Roman Bold" w:hAnsi="Times New Roman Bold"/>
          <w:b/>
          <w:bCs/>
          <w:i/>
          <w:szCs w:val="24"/>
          <w:vertAlign w:val="subscript"/>
        </w:rPr>
        <w:t>j</w:t>
      </w:r>
      <w:r w:rsidRPr="00CF0129">
        <w:rPr>
          <w:bCs/>
          <w:szCs w:val="24"/>
        </w:rPr>
        <w:t xml:space="preserve"> is: </w:t>
      </w:r>
    </w:p>
    <w:p w14:paraId="59F09DFE" w14:textId="77777777" w:rsidR="00E52BD9" w:rsidRPr="00CF0129" w:rsidRDefault="00E52BD9" w:rsidP="00E52BD9">
      <w:pPr>
        <w:spacing w:before="120" w:line="300" w:lineRule="auto"/>
        <w:ind w:left="2160"/>
        <w:rPr>
          <w:bCs/>
          <w:szCs w:val="24"/>
        </w:rPr>
      </w:pPr>
      <w:r w:rsidRPr="00CF0129">
        <w:rPr>
          <w:bCs/>
          <w:szCs w:val="24"/>
        </w:rPr>
        <w:tab/>
        <w:t>MLCEI</w:t>
      </w:r>
      <w:r w:rsidRPr="00CF0129">
        <w:rPr>
          <w:rFonts w:ascii="Times New Roman Bold" w:hAnsi="Times New Roman Bold"/>
          <w:b/>
          <w:bCs/>
          <w:i/>
          <w:szCs w:val="24"/>
          <w:vertAlign w:val="subscript"/>
        </w:rPr>
        <w:t>j</w:t>
      </w:r>
      <w:r w:rsidRPr="00CF0129">
        <w:rPr>
          <w:bCs/>
          <w:szCs w:val="24"/>
        </w:rPr>
        <w:t xml:space="preserve"> = </w:t>
      </w:r>
      <w:r w:rsidRPr="00CF0129">
        <w:rPr>
          <w:bCs/>
          <w:position w:val="-28"/>
          <w:szCs w:val="24"/>
        </w:rPr>
        <w:object w:dxaOrig="480" w:dyaOrig="700" w14:anchorId="6E233B32">
          <v:shape id="_x0000_i1043" type="#_x0000_t75" style="width:24pt;height:36pt" o:ole="">
            <v:imagedata r:id="rId66" o:title=""/>
          </v:shape>
          <o:OLEObject Type="Embed" ProgID="Equation.3" ShapeID="_x0000_i1043" DrawAspect="Content" ObjectID="_1829396228" r:id="rId75"/>
        </w:object>
      </w:r>
      <w:r w:rsidRPr="00CF0129">
        <w:rPr>
          <w:bCs/>
          <w:szCs w:val="24"/>
        </w:rPr>
        <w:t>(W</w:t>
      </w:r>
      <w:r w:rsidRPr="00CF0129">
        <w:rPr>
          <w:rFonts w:ascii="Times New Roman Bold" w:hAnsi="Times New Roman Bold"/>
          <w:b/>
          <w:bCs/>
          <w:i/>
          <w:szCs w:val="24"/>
          <w:vertAlign w:val="subscript"/>
        </w:rPr>
        <w:t>k</w:t>
      </w:r>
      <w:r w:rsidRPr="00CF0129">
        <w:rPr>
          <w:bCs/>
          <w:szCs w:val="24"/>
        </w:rPr>
        <w:t xml:space="preserve"> * MLC</w:t>
      </w:r>
      <w:r w:rsidRPr="00CF0129">
        <w:rPr>
          <w:rFonts w:ascii="Times New Roman Bold" w:hAnsi="Times New Roman Bold"/>
          <w:b/>
          <w:bCs/>
          <w:i/>
          <w:szCs w:val="24"/>
          <w:vertAlign w:val="subscript"/>
        </w:rPr>
        <w:t>k</w:t>
      </w:r>
      <w:r w:rsidRPr="00CF0129">
        <w:rPr>
          <w:bCs/>
          <w:szCs w:val="24"/>
        </w:rPr>
        <w:t>)</w:t>
      </w:r>
    </w:p>
    <w:p w14:paraId="7EE9EF96" w14:textId="77777777" w:rsidR="00E52BD9" w:rsidRPr="00CF0129" w:rsidRDefault="00E52BD9" w:rsidP="00E52BD9">
      <w:pPr>
        <w:spacing w:before="240" w:line="300" w:lineRule="auto"/>
        <w:ind w:left="1440"/>
        <w:rPr>
          <w:bCs/>
          <w:szCs w:val="24"/>
        </w:rPr>
      </w:pPr>
      <w:r w:rsidRPr="00CF0129">
        <w:rPr>
          <w:bCs/>
          <w:szCs w:val="24"/>
        </w:rPr>
        <w:t>Where:</w:t>
      </w:r>
    </w:p>
    <w:p w14:paraId="6F995748" w14:textId="456BA9C2" w:rsidR="00E52BD9" w:rsidRPr="00CF0129" w:rsidRDefault="00E52BD9" w:rsidP="00E52BD9">
      <w:pPr>
        <w:numPr>
          <w:ilvl w:val="0"/>
          <w:numId w:val="143"/>
        </w:numPr>
        <w:tabs>
          <w:tab w:val="num" w:pos="2160"/>
        </w:tabs>
        <w:spacing w:before="240" w:line="300" w:lineRule="auto"/>
        <w:ind w:left="2160"/>
        <w:rPr>
          <w:bCs/>
          <w:szCs w:val="24"/>
        </w:rPr>
      </w:pPr>
      <w:r w:rsidRPr="00CF0129">
        <w:rPr>
          <w:bCs/>
          <w:szCs w:val="24"/>
        </w:rPr>
        <w:t>W</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weighting factor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External Interface </w:t>
      </w:r>
      <w:r w:rsidRPr="00CF0129">
        <w:rPr>
          <w:bCs/>
          <w:i/>
          <w:szCs w:val="24"/>
        </w:rPr>
        <w:t>j</w:t>
      </w:r>
      <w:r w:rsidRPr="00CF0129">
        <w:rPr>
          <w:bCs/>
          <w:szCs w:val="24"/>
        </w:rPr>
        <w:t xml:space="preserve">.  The sum of the weighting factors for all </w:t>
      </w:r>
      <w:r w:rsidR="002D623C">
        <w:rPr>
          <w:bCs/>
          <w:szCs w:val="24"/>
        </w:rPr>
        <w:t>Pnode</w:t>
      </w:r>
      <w:r w:rsidRPr="00CF0129">
        <w:rPr>
          <w:bCs/>
          <w:szCs w:val="24"/>
        </w:rPr>
        <w:t xml:space="preserve">s </w:t>
      </w:r>
      <w:r w:rsidRPr="00CF0129">
        <w:rPr>
          <w:bCs/>
          <w:i/>
          <w:szCs w:val="24"/>
        </w:rPr>
        <w:t xml:space="preserve">k </w:t>
      </w:r>
      <w:r w:rsidRPr="00CF0129">
        <w:rPr>
          <w:bCs/>
          <w:szCs w:val="24"/>
        </w:rPr>
        <w:t>must sum to 1.0</w:t>
      </w:r>
      <w:r>
        <w:rPr>
          <w:rStyle w:val="FootnoteReference"/>
          <w:bCs/>
          <w:szCs w:val="24"/>
        </w:rPr>
        <w:footnoteReference w:id="4"/>
      </w:r>
      <w:r w:rsidRPr="00CF0129">
        <w:rPr>
          <w:bCs/>
          <w:szCs w:val="24"/>
        </w:rPr>
        <w:t>;</w:t>
      </w:r>
    </w:p>
    <w:p w14:paraId="68B666DB" w14:textId="4E5C47CD" w:rsidR="00E52BD9" w:rsidRPr="00CF0129" w:rsidRDefault="00E52BD9" w:rsidP="00E52BD9">
      <w:pPr>
        <w:numPr>
          <w:ilvl w:val="0"/>
          <w:numId w:val="143"/>
        </w:numPr>
        <w:tabs>
          <w:tab w:val="num" w:pos="2160"/>
        </w:tabs>
        <w:spacing w:before="240" w:line="300" w:lineRule="auto"/>
        <w:ind w:left="2160"/>
        <w:rPr>
          <w:bCs/>
          <w:szCs w:val="24"/>
        </w:rPr>
      </w:pPr>
      <w:r w:rsidRPr="00CF0129">
        <w:rPr>
          <w:bCs/>
          <w:szCs w:val="24"/>
        </w:rPr>
        <w:t>LMP</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External Interface </w:t>
      </w:r>
      <w:r w:rsidRPr="00CF0129">
        <w:rPr>
          <w:bCs/>
          <w:i/>
          <w:szCs w:val="24"/>
        </w:rPr>
        <w:t>j</w:t>
      </w:r>
      <w:r w:rsidRPr="00CF0129">
        <w:rPr>
          <w:bCs/>
          <w:szCs w:val="24"/>
        </w:rPr>
        <w:t xml:space="preserve">;  </w:t>
      </w:r>
    </w:p>
    <w:p w14:paraId="3894C995" w14:textId="453B5286" w:rsidR="00E52BD9" w:rsidRPr="00CF0129" w:rsidRDefault="00E52BD9" w:rsidP="00E52BD9">
      <w:pPr>
        <w:numPr>
          <w:ilvl w:val="0"/>
          <w:numId w:val="143"/>
        </w:numPr>
        <w:tabs>
          <w:tab w:val="num" w:pos="2160"/>
        </w:tabs>
        <w:spacing w:before="240" w:line="300" w:lineRule="auto"/>
        <w:ind w:left="2160"/>
        <w:rPr>
          <w:bCs/>
          <w:szCs w:val="24"/>
        </w:rPr>
      </w:pPr>
      <w:r w:rsidRPr="00CF0129">
        <w:rPr>
          <w:bCs/>
          <w:szCs w:val="24"/>
        </w:rPr>
        <w:t>MCC</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Congestion Components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External Interface </w:t>
      </w:r>
      <w:r w:rsidRPr="00CF0129">
        <w:rPr>
          <w:bCs/>
          <w:i/>
          <w:szCs w:val="24"/>
        </w:rPr>
        <w:t>j</w:t>
      </w:r>
      <w:r w:rsidRPr="00CF0129">
        <w:rPr>
          <w:bCs/>
          <w:szCs w:val="24"/>
        </w:rPr>
        <w:t xml:space="preserve">;  </w:t>
      </w:r>
    </w:p>
    <w:p w14:paraId="3F0633CB" w14:textId="0FD9AA5C" w:rsidR="00E52BD9" w:rsidRPr="00CF0129" w:rsidRDefault="00E52BD9" w:rsidP="00E52BD9">
      <w:pPr>
        <w:numPr>
          <w:ilvl w:val="0"/>
          <w:numId w:val="143"/>
        </w:numPr>
        <w:tabs>
          <w:tab w:val="num" w:pos="2160"/>
        </w:tabs>
        <w:spacing w:before="240" w:line="300" w:lineRule="auto"/>
        <w:ind w:left="2160"/>
        <w:rPr>
          <w:bCs/>
          <w:szCs w:val="24"/>
        </w:rPr>
      </w:pPr>
      <w:r w:rsidRPr="00CF0129">
        <w:rPr>
          <w:bCs/>
          <w:szCs w:val="24"/>
        </w:rPr>
        <w:t>MLC</w:t>
      </w:r>
      <w:r w:rsidRPr="00CF0129">
        <w:rPr>
          <w:bCs/>
          <w:i/>
          <w:szCs w:val="24"/>
          <w:vertAlign w:val="subscript"/>
        </w:rPr>
        <w:t>k</w:t>
      </w:r>
      <w:r w:rsidRPr="00CF0129">
        <w:rPr>
          <w:rFonts w:ascii="Times New Roman Bold" w:hAnsi="Times New Roman Bold"/>
          <w:bCs/>
          <w:szCs w:val="24"/>
        </w:rPr>
        <w:t xml:space="preserve"> </w:t>
      </w:r>
      <w:r w:rsidRPr="00CF0129">
        <w:rPr>
          <w:bCs/>
          <w:szCs w:val="24"/>
        </w:rPr>
        <w:t xml:space="preserve">is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External Interface </w:t>
      </w:r>
      <w:r w:rsidRPr="00CF0129">
        <w:rPr>
          <w:bCs/>
          <w:i/>
          <w:szCs w:val="24"/>
        </w:rPr>
        <w:t>j</w:t>
      </w:r>
      <w:r w:rsidRPr="00CF0129">
        <w:rPr>
          <w:bCs/>
          <w:szCs w:val="24"/>
        </w:rPr>
        <w:t xml:space="preserve">.  </w:t>
      </w:r>
    </w:p>
    <w:p w14:paraId="6BFDC457" w14:textId="2C69506F" w:rsidR="00E52BD9" w:rsidRPr="00CF0129" w:rsidRDefault="00E52BD9" w:rsidP="00574EDE">
      <w:pPr>
        <w:pStyle w:val="Heading4"/>
      </w:pPr>
      <w:bookmarkStart w:id="5562" w:name="_Toc145062929"/>
      <w:bookmarkStart w:id="5563" w:name="_Toc145067541"/>
      <w:bookmarkStart w:id="5564" w:name="_Toc146627911"/>
      <w:bookmarkStart w:id="5565" w:name="_Toc146629773"/>
      <w:bookmarkStart w:id="5566" w:name="_Toc146631640"/>
      <w:bookmarkStart w:id="5567" w:name="_Toc146633505"/>
      <w:bookmarkStart w:id="5568" w:name="_Toc146631241"/>
      <w:bookmarkStart w:id="5569" w:name="_Toc146793402"/>
      <w:bookmarkStart w:id="5570" w:name="_Toc146795098"/>
      <w:bookmarkStart w:id="5571" w:name="_Toc146796793"/>
      <w:bookmarkStart w:id="5572" w:name="_Toc146798481"/>
      <w:bookmarkStart w:id="5573" w:name="_Toc146801093"/>
      <w:bookmarkStart w:id="5574" w:name="_Toc146803728"/>
      <w:bookmarkStart w:id="5575" w:name="_Toc146805432"/>
      <w:bookmarkStart w:id="5576" w:name="_Toc146807136"/>
      <w:bookmarkStart w:id="5577" w:name="_Toc148705204"/>
      <w:bookmarkStart w:id="5578" w:name="_Toc149558162"/>
      <w:bookmarkStart w:id="5579" w:name="_Toc150785618"/>
      <w:bookmarkStart w:id="5580" w:name="_Toc150855072"/>
      <w:bookmarkStart w:id="5581" w:name="_Toc151992011"/>
      <w:bookmarkStart w:id="5582" w:name="_Toc152335111"/>
      <w:bookmarkStart w:id="5583" w:name="_Toc153271477"/>
      <w:bookmarkStart w:id="5584" w:name="_Toc157501312"/>
      <w:bookmarkStart w:id="5585" w:name="_Toc159232487"/>
      <w:bookmarkStart w:id="5586" w:name="_Toc134796807"/>
      <w:bookmarkStart w:id="5587" w:name="_Toc134799103"/>
      <w:bookmarkStart w:id="5588" w:name="_Toc145059511"/>
      <w:bookmarkStart w:id="5589" w:name="_Toc145062930"/>
      <w:bookmarkStart w:id="5590" w:name="_Toc145067542"/>
      <w:bookmarkStart w:id="5591" w:name="_Toc146627912"/>
      <w:bookmarkStart w:id="5592" w:name="_Toc146629774"/>
      <w:bookmarkStart w:id="5593" w:name="_Toc146631641"/>
      <w:bookmarkStart w:id="5594" w:name="_Toc146633506"/>
      <w:bookmarkStart w:id="5595" w:name="_Toc146631242"/>
      <w:bookmarkStart w:id="5596" w:name="_Toc146793403"/>
      <w:bookmarkStart w:id="5597" w:name="_Toc146795099"/>
      <w:bookmarkStart w:id="5598" w:name="_Toc146796794"/>
      <w:bookmarkStart w:id="5599" w:name="_Toc146798482"/>
      <w:bookmarkStart w:id="5600" w:name="_Toc146801094"/>
      <w:bookmarkStart w:id="5601" w:name="_Toc146803729"/>
      <w:bookmarkStart w:id="5602" w:name="_Toc146805433"/>
      <w:bookmarkStart w:id="5603" w:name="_Toc146807137"/>
      <w:bookmarkStart w:id="5604" w:name="_Toc148705205"/>
      <w:bookmarkStart w:id="5605" w:name="_Toc149558163"/>
      <w:bookmarkStart w:id="5606" w:name="_Toc150785619"/>
      <w:bookmarkStart w:id="5607" w:name="_Toc150855073"/>
      <w:bookmarkStart w:id="5608" w:name="_Toc151992012"/>
      <w:bookmarkStart w:id="5609" w:name="_Toc152335112"/>
      <w:bookmarkStart w:id="5610" w:name="_Toc153271478"/>
      <w:bookmarkStart w:id="5611" w:name="_Toc157501313"/>
      <w:bookmarkStart w:id="5612" w:name="_Toc159232488"/>
      <w:bookmarkStart w:id="5613" w:name="_Toc134796808"/>
      <w:bookmarkStart w:id="5614" w:name="_Toc134799104"/>
      <w:bookmarkStart w:id="5615" w:name="_Toc145059512"/>
      <w:bookmarkStart w:id="5616" w:name="_Toc145062931"/>
      <w:bookmarkStart w:id="5617" w:name="_Toc145067543"/>
      <w:bookmarkStart w:id="5618" w:name="_Toc146627913"/>
      <w:bookmarkStart w:id="5619" w:name="_Toc146629775"/>
      <w:bookmarkStart w:id="5620" w:name="_Toc146631642"/>
      <w:bookmarkStart w:id="5621" w:name="_Toc146633507"/>
      <w:bookmarkStart w:id="5622" w:name="_Toc146631243"/>
      <w:bookmarkStart w:id="5623" w:name="_Toc146793404"/>
      <w:bookmarkStart w:id="5624" w:name="_Toc146795100"/>
      <w:bookmarkStart w:id="5625" w:name="_Toc146796795"/>
      <w:bookmarkStart w:id="5626" w:name="_Toc146798483"/>
      <w:bookmarkStart w:id="5627" w:name="_Toc146801095"/>
      <w:bookmarkStart w:id="5628" w:name="_Toc146803730"/>
      <w:bookmarkStart w:id="5629" w:name="_Toc146805434"/>
      <w:bookmarkStart w:id="5630" w:name="_Toc146807138"/>
      <w:bookmarkStart w:id="5631" w:name="_Toc148705206"/>
      <w:bookmarkStart w:id="5632" w:name="_Toc149558164"/>
      <w:bookmarkStart w:id="5633" w:name="_Toc150785620"/>
      <w:bookmarkStart w:id="5634" w:name="_Toc150855074"/>
      <w:bookmarkStart w:id="5635" w:name="_Toc151992013"/>
      <w:bookmarkStart w:id="5636" w:name="_Toc152335113"/>
      <w:bookmarkStart w:id="5637" w:name="_Toc153271479"/>
      <w:bookmarkStart w:id="5638" w:name="_Toc157501314"/>
      <w:bookmarkStart w:id="5639" w:name="_Toc159232489"/>
      <w:bookmarkStart w:id="5640" w:name="_Toc134796809"/>
      <w:bookmarkStart w:id="5641" w:name="_Toc134799105"/>
      <w:bookmarkStart w:id="5642" w:name="_Toc145059513"/>
      <w:bookmarkStart w:id="5643" w:name="_Toc145062932"/>
      <w:bookmarkStart w:id="5644" w:name="_Toc145067544"/>
      <w:bookmarkStart w:id="5645" w:name="_Toc146627914"/>
      <w:bookmarkStart w:id="5646" w:name="_Toc146629776"/>
      <w:bookmarkStart w:id="5647" w:name="_Toc146631643"/>
      <w:bookmarkStart w:id="5648" w:name="_Toc146633508"/>
      <w:bookmarkStart w:id="5649" w:name="_Toc146631244"/>
      <w:bookmarkStart w:id="5650" w:name="_Toc146793405"/>
      <w:bookmarkStart w:id="5651" w:name="_Toc146795101"/>
      <w:bookmarkStart w:id="5652" w:name="_Toc146796796"/>
      <w:bookmarkStart w:id="5653" w:name="_Toc146798484"/>
      <w:bookmarkStart w:id="5654" w:name="_Toc146801096"/>
      <w:bookmarkStart w:id="5655" w:name="_Toc146803731"/>
      <w:bookmarkStart w:id="5656" w:name="_Toc146805435"/>
      <w:bookmarkStart w:id="5657" w:name="_Toc146807139"/>
      <w:bookmarkStart w:id="5658" w:name="_Toc148705207"/>
      <w:bookmarkStart w:id="5659" w:name="_Toc149558165"/>
      <w:bookmarkStart w:id="5660" w:name="_Toc150785621"/>
      <w:bookmarkStart w:id="5661" w:name="_Toc150855075"/>
      <w:bookmarkStart w:id="5662" w:name="_Toc151992014"/>
      <w:bookmarkStart w:id="5663" w:name="_Toc152335114"/>
      <w:bookmarkStart w:id="5664" w:name="_Toc153271480"/>
      <w:bookmarkStart w:id="5665" w:name="_Toc157501315"/>
      <w:bookmarkStart w:id="5666" w:name="_Toc159232490"/>
      <w:bookmarkStart w:id="5667" w:name="_Toc134796810"/>
      <w:bookmarkStart w:id="5668" w:name="_Toc134799106"/>
      <w:bookmarkStart w:id="5669" w:name="_Toc145059514"/>
      <w:bookmarkStart w:id="5670" w:name="_Toc145062933"/>
      <w:bookmarkStart w:id="5671" w:name="_Toc145067545"/>
      <w:bookmarkStart w:id="5672" w:name="_Toc146627915"/>
      <w:bookmarkStart w:id="5673" w:name="_Toc146629777"/>
      <w:bookmarkStart w:id="5674" w:name="_Toc146631644"/>
      <w:bookmarkStart w:id="5675" w:name="_Toc146633509"/>
      <w:bookmarkStart w:id="5676" w:name="_Toc146631245"/>
      <w:bookmarkStart w:id="5677" w:name="_Toc146793406"/>
      <w:bookmarkStart w:id="5678" w:name="_Toc146795102"/>
      <w:bookmarkStart w:id="5679" w:name="_Toc146796797"/>
      <w:bookmarkStart w:id="5680" w:name="_Toc146798485"/>
      <w:bookmarkStart w:id="5681" w:name="_Toc146801097"/>
      <w:bookmarkStart w:id="5682" w:name="_Toc146803732"/>
      <w:bookmarkStart w:id="5683" w:name="_Toc146805436"/>
      <w:bookmarkStart w:id="5684" w:name="_Toc146807140"/>
      <w:bookmarkStart w:id="5685" w:name="_Toc148705208"/>
      <w:bookmarkStart w:id="5686" w:name="_Toc149558166"/>
      <w:bookmarkStart w:id="5687" w:name="_Toc150785622"/>
      <w:bookmarkStart w:id="5688" w:name="_Toc150855076"/>
      <w:bookmarkStart w:id="5689" w:name="_Toc151992015"/>
      <w:bookmarkStart w:id="5690" w:name="_Toc152335115"/>
      <w:bookmarkStart w:id="5691" w:name="_Toc153271481"/>
      <w:bookmarkStart w:id="5692" w:name="_Toc157501316"/>
      <w:bookmarkStart w:id="5693" w:name="_Toc159232491"/>
      <w:bookmarkStart w:id="5694" w:name="_Toc134796811"/>
      <w:bookmarkStart w:id="5695" w:name="_Toc134799107"/>
      <w:bookmarkStart w:id="5696" w:name="_Toc145059515"/>
      <w:bookmarkStart w:id="5697" w:name="_Toc145062934"/>
      <w:bookmarkStart w:id="5698" w:name="_Toc145067546"/>
      <w:bookmarkStart w:id="5699" w:name="_Toc146627916"/>
      <w:bookmarkStart w:id="5700" w:name="_Toc146629778"/>
      <w:bookmarkStart w:id="5701" w:name="_Toc146631645"/>
      <w:bookmarkStart w:id="5702" w:name="_Toc146633510"/>
      <w:bookmarkStart w:id="5703" w:name="_Toc146631246"/>
      <w:bookmarkStart w:id="5704" w:name="_Toc146793407"/>
      <w:bookmarkStart w:id="5705" w:name="_Toc146795103"/>
      <w:bookmarkStart w:id="5706" w:name="_Toc146796798"/>
      <w:bookmarkStart w:id="5707" w:name="_Toc146798486"/>
      <w:bookmarkStart w:id="5708" w:name="_Toc146801098"/>
      <w:bookmarkStart w:id="5709" w:name="_Toc146803733"/>
      <w:bookmarkStart w:id="5710" w:name="_Toc146805437"/>
      <w:bookmarkStart w:id="5711" w:name="_Toc146807141"/>
      <w:bookmarkStart w:id="5712" w:name="_Toc148705209"/>
      <w:bookmarkStart w:id="5713" w:name="_Toc149558167"/>
      <w:bookmarkStart w:id="5714" w:name="_Toc150785623"/>
      <w:bookmarkStart w:id="5715" w:name="_Toc150855077"/>
      <w:bookmarkStart w:id="5716" w:name="_Toc151992016"/>
      <w:bookmarkStart w:id="5717" w:name="_Toc152335116"/>
      <w:bookmarkStart w:id="5718" w:name="_Toc153271482"/>
      <w:bookmarkStart w:id="5719" w:name="_Toc157501317"/>
      <w:bookmarkStart w:id="5720" w:name="_Toc159232492"/>
      <w:bookmarkStart w:id="5721" w:name="_Toc134796812"/>
      <w:bookmarkStart w:id="5722" w:name="_Toc134799108"/>
      <w:bookmarkStart w:id="5723" w:name="_Toc145059516"/>
      <w:bookmarkStart w:id="5724" w:name="_Toc145062935"/>
      <w:bookmarkStart w:id="5725" w:name="_Toc145067547"/>
      <w:bookmarkStart w:id="5726" w:name="_Toc146627917"/>
      <w:bookmarkStart w:id="5727" w:name="_Toc146629779"/>
      <w:bookmarkStart w:id="5728" w:name="_Toc146631646"/>
      <w:bookmarkStart w:id="5729" w:name="_Toc146633511"/>
      <w:bookmarkStart w:id="5730" w:name="_Toc146631247"/>
      <w:bookmarkStart w:id="5731" w:name="_Toc146793408"/>
      <w:bookmarkStart w:id="5732" w:name="_Toc146795104"/>
      <w:bookmarkStart w:id="5733" w:name="_Toc146796799"/>
      <w:bookmarkStart w:id="5734" w:name="_Toc146798487"/>
      <w:bookmarkStart w:id="5735" w:name="_Toc146801099"/>
      <w:bookmarkStart w:id="5736" w:name="_Toc146803734"/>
      <w:bookmarkStart w:id="5737" w:name="_Toc146805438"/>
      <w:bookmarkStart w:id="5738" w:name="_Toc146807142"/>
      <w:bookmarkStart w:id="5739" w:name="_Toc148705210"/>
      <w:bookmarkStart w:id="5740" w:name="_Toc149558168"/>
      <w:bookmarkStart w:id="5741" w:name="_Toc150785624"/>
      <w:bookmarkStart w:id="5742" w:name="_Toc150855078"/>
      <w:bookmarkStart w:id="5743" w:name="_Toc151992017"/>
      <w:bookmarkStart w:id="5744" w:name="_Toc152335117"/>
      <w:bookmarkStart w:id="5745" w:name="_Toc153271483"/>
      <w:bookmarkStart w:id="5746" w:name="_Toc157501318"/>
      <w:bookmarkStart w:id="5747" w:name="_Toc159232493"/>
      <w:bookmarkStart w:id="5748" w:name="_Toc134796813"/>
      <w:bookmarkStart w:id="5749" w:name="_Toc134799109"/>
      <w:bookmarkStart w:id="5750" w:name="_Toc145059517"/>
      <w:bookmarkStart w:id="5751" w:name="_Toc145062936"/>
      <w:bookmarkStart w:id="5752" w:name="_Toc145067548"/>
      <w:bookmarkStart w:id="5753" w:name="_Toc146627918"/>
      <w:bookmarkStart w:id="5754" w:name="_Toc146629780"/>
      <w:bookmarkStart w:id="5755" w:name="_Toc146631647"/>
      <w:bookmarkStart w:id="5756" w:name="_Toc146633512"/>
      <w:bookmarkStart w:id="5757" w:name="_Toc146631248"/>
      <w:bookmarkStart w:id="5758" w:name="_Toc146793409"/>
      <w:bookmarkStart w:id="5759" w:name="_Toc146795105"/>
      <w:bookmarkStart w:id="5760" w:name="_Toc146796800"/>
      <w:bookmarkStart w:id="5761" w:name="_Toc146798488"/>
      <w:bookmarkStart w:id="5762" w:name="_Toc146801100"/>
      <w:bookmarkStart w:id="5763" w:name="_Toc146803735"/>
      <w:bookmarkStart w:id="5764" w:name="_Toc146805439"/>
      <w:bookmarkStart w:id="5765" w:name="_Toc146807143"/>
      <w:bookmarkStart w:id="5766" w:name="_Toc148705211"/>
      <w:bookmarkStart w:id="5767" w:name="_Toc149558169"/>
      <w:bookmarkStart w:id="5768" w:name="_Toc150785625"/>
      <w:bookmarkStart w:id="5769" w:name="_Toc150855079"/>
      <w:bookmarkStart w:id="5770" w:name="_Toc151992018"/>
      <w:bookmarkStart w:id="5771" w:name="_Toc152335118"/>
      <w:bookmarkStart w:id="5772" w:name="_Toc153271484"/>
      <w:bookmarkStart w:id="5773" w:name="_Toc157501319"/>
      <w:bookmarkStart w:id="5774" w:name="_Toc159232494"/>
      <w:bookmarkStart w:id="5775" w:name="_Toc134796814"/>
      <w:bookmarkStart w:id="5776" w:name="_Toc134799110"/>
      <w:bookmarkStart w:id="5777" w:name="_Toc145059518"/>
      <w:bookmarkStart w:id="5778" w:name="_Toc145062937"/>
      <w:bookmarkStart w:id="5779" w:name="_Toc145067549"/>
      <w:bookmarkStart w:id="5780" w:name="_Toc146627919"/>
      <w:bookmarkStart w:id="5781" w:name="_Toc146629781"/>
      <w:bookmarkStart w:id="5782" w:name="_Toc146631648"/>
      <w:bookmarkStart w:id="5783" w:name="_Toc146633513"/>
      <w:bookmarkStart w:id="5784" w:name="_Toc146631249"/>
      <w:bookmarkStart w:id="5785" w:name="_Toc146793410"/>
      <w:bookmarkStart w:id="5786" w:name="_Toc146795106"/>
      <w:bookmarkStart w:id="5787" w:name="_Toc146796801"/>
      <w:bookmarkStart w:id="5788" w:name="_Toc146798489"/>
      <w:bookmarkStart w:id="5789" w:name="_Toc146801101"/>
      <w:bookmarkStart w:id="5790" w:name="_Toc146803736"/>
      <w:bookmarkStart w:id="5791" w:name="_Toc146805440"/>
      <w:bookmarkStart w:id="5792" w:name="_Toc146807144"/>
      <w:bookmarkStart w:id="5793" w:name="_Toc148705212"/>
      <w:bookmarkStart w:id="5794" w:name="_Toc149558170"/>
      <w:bookmarkStart w:id="5795" w:name="_Toc150785626"/>
      <w:bookmarkStart w:id="5796" w:name="_Toc150855080"/>
      <w:bookmarkStart w:id="5797" w:name="_Toc151992019"/>
      <w:bookmarkStart w:id="5798" w:name="_Toc152335119"/>
      <w:bookmarkStart w:id="5799" w:name="_Toc153271485"/>
      <w:bookmarkStart w:id="5800" w:name="_Toc157501320"/>
      <w:bookmarkStart w:id="5801" w:name="_Toc159232495"/>
      <w:bookmarkStart w:id="5802" w:name="_Toc134796815"/>
      <w:bookmarkStart w:id="5803" w:name="_Toc134799111"/>
      <w:bookmarkStart w:id="5804" w:name="_Toc145059519"/>
      <w:bookmarkStart w:id="5805" w:name="_Toc145062938"/>
      <w:bookmarkStart w:id="5806" w:name="_Toc145067550"/>
      <w:bookmarkStart w:id="5807" w:name="_Toc146627920"/>
      <w:bookmarkStart w:id="5808" w:name="_Toc146629782"/>
      <w:bookmarkStart w:id="5809" w:name="_Toc146631649"/>
      <w:bookmarkStart w:id="5810" w:name="_Toc146633514"/>
      <w:bookmarkStart w:id="5811" w:name="_Toc146631250"/>
      <w:bookmarkStart w:id="5812" w:name="_Toc146793411"/>
      <w:bookmarkStart w:id="5813" w:name="_Toc146795107"/>
      <w:bookmarkStart w:id="5814" w:name="_Toc146796802"/>
      <w:bookmarkStart w:id="5815" w:name="_Toc146798490"/>
      <w:bookmarkStart w:id="5816" w:name="_Toc146801102"/>
      <w:bookmarkStart w:id="5817" w:name="_Toc146803737"/>
      <w:bookmarkStart w:id="5818" w:name="_Toc146805441"/>
      <w:bookmarkStart w:id="5819" w:name="_Toc146807145"/>
      <w:bookmarkStart w:id="5820" w:name="_Toc148705213"/>
      <w:bookmarkStart w:id="5821" w:name="_Toc149558171"/>
      <w:bookmarkStart w:id="5822" w:name="_Toc150785627"/>
      <w:bookmarkStart w:id="5823" w:name="_Toc150855081"/>
      <w:bookmarkStart w:id="5824" w:name="_Toc151992020"/>
      <w:bookmarkStart w:id="5825" w:name="_Toc152335120"/>
      <w:bookmarkStart w:id="5826" w:name="_Toc153271486"/>
      <w:bookmarkStart w:id="5827" w:name="_Toc157501321"/>
      <w:bookmarkStart w:id="5828" w:name="_Toc159232496"/>
      <w:bookmarkStart w:id="5829" w:name="_Toc134796816"/>
      <w:bookmarkStart w:id="5830" w:name="_Toc134799112"/>
      <w:bookmarkStart w:id="5831" w:name="_Toc145059520"/>
      <w:bookmarkStart w:id="5832" w:name="_Toc145062939"/>
      <w:bookmarkStart w:id="5833" w:name="_Toc145067551"/>
      <w:bookmarkStart w:id="5834" w:name="_Toc146627921"/>
      <w:bookmarkStart w:id="5835" w:name="_Toc146629783"/>
      <w:bookmarkStart w:id="5836" w:name="_Toc146631650"/>
      <w:bookmarkStart w:id="5837" w:name="_Toc146633515"/>
      <w:bookmarkStart w:id="5838" w:name="_Toc146631251"/>
      <w:bookmarkStart w:id="5839" w:name="_Toc146793412"/>
      <w:bookmarkStart w:id="5840" w:name="_Toc146795108"/>
      <w:bookmarkStart w:id="5841" w:name="_Toc146796803"/>
      <w:bookmarkStart w:id="5842" w:name="_Toc146798491"/>
      <w:bookmarkStart w:id="5843" w:name="_Toc146801103"/>
      <w:bookmarkStart w:id="5844" w:name="_Toc146803738"/>
      <w:bookmarkStart w:id="5845" w:name="_Toc146805442"/>
      <w:bookmarkStart w:id="5846" w:name="_Toc146807146"/>
      <w:bookmarkStart w:id="5847" w:name="_Toc148705214"/>
      <w:bookmarkStart w:id="5848" w:name="_Toc149558172"/>
      <w:bookmarkStart w:id="5849" w:name="_Toc150785628"/>
      <w:bookmarkStart w:id="5850" w:name="_Toc150855082"/>
      <w:bookmarkStart w:id="5851" w:name="_Toc151992021"/>
      <w:bookmarkStart w:id="5852" w:name="_Toc152335121"/>
      <w:bookmarkStart w:id="5853" w:name="_Toc153271487"/>
      <w:bookmarkStart w:id="5854" w:name="_Toc157501322"/>
      <w:bookmarkStart w:id="5855" w:name="_Toc159232497"/>
      <w:bookmarkStart w:id="5856" w:name="_Toc134796817"/>
      <w:bookmarkStart w:id="5857" w:name="_Toc134799113"/>
      <w:bookmarkStart w:id="5858" w:name="_Toc145059521"/>
      <w:bookmarkStart w:id="5859" w:name="_Toc145062940"/>
      <w:bookmarkStart w:id="5860" w:name="_Toc145067552"/>
      <w:bookmarkStart w:id="5861" w:name="_Toc146627922"/>
      <w:bookmarkStart w:id="5862" w:name="_Toc146629784"/>
      <w:bookmarkStart w:id="5863" w:name="_Toc146631651"/>
      <w:bookmarkStart w:id="5864" w:name="_Toc146633516"/>
      <w:bookmarkStart w:id="5865" w:name="_Toc146631252"/>
      <w:bookmarkStart w:id="5866" w:name="_Toc146793413"/>
      <w:bookmarkStart w:id="5867" w:name="_Toc146795109"/>
      <w:bookmarkStart w:id="5868" w:name="_Toc146796804"/>
      <w:bookmarkStart w:id="5869" w:name="_Toc146798492"/>
      <w:bookmarkStart w:id="5870" w:name="_Toc146801104"/>
      <w:bookmarkStart w:id="5871" w:name="_Toc146803739"/>
      <w:bookmarkStart w:id="5872" w:name="_Toc146805443"/>
      <w:bookmarkStart w:id="5873" w:name="_Toc146807147"/>
      <w:bookmarkStart w:id="5874" w:name="_Toc148705215"/>
      <w:bookmarkStart w:id="5875" w:name="_Toc149558173"/>
      <w:bookmarkStart w:id="5876" w:name="_Toc150785629"/>
      <w:bookmarkStart w:id="5877" w:name="_Toc150855083"/>
      <w:bookmarkStart w:id="5878" w:name="_Toc151992022"/>
      <w:bookmarkStart w:id="5879" w:name="_Toc152335122"/>
      <w:bookmarkStart w:id="5880" w:name="_Toc153271488"/>
      <w:bookmarkStart w:id="5881" w:name="_Toc157501323"/>
      <w:bookmarkStart w:id="5882" w:name="_Toc159232498"/>
      <w:bookmarkStart w:id="5883" w:name="_Toc134796818"/>
      <w:bookmarkStart w:id="5884" w:name="_Toc134799114"/>
      <w:bookmarkStart w:id="5885" w:name="_Toc145059522"/>
      <w:bookmarkStart w:id="5886" w:name="_Toc145062941"/>
      <w:bookmarkStart w:id="5887" w:name="_Toc145067553"/>
      <w:bookmarkStart w:id="5888" w:name="_Toc146627923"/>
      <w:bookmarkStart w:id="5889" w:name="_Toc146629785"/>
      <w:bookmarkStart w:id="5890" w:name="_Toc146631652"/>
      <w:bookmarkStart w:id="5891" w:name="_Toc146633517"/>
      <w:bookmarkStart w:id="5892" w:name="_Toc146631253"/>
      <w:bookmarkStart w:id="5893" w:name="_Toc146793414"/>
      <w:bookmarkStart w:id="5894" w:name="_Toc146795110"/>
      <w:bookmarkStart w:id="5895" w:name="_Toc146796805"/>
      <w:bookmarkStart w:id="5896" w:name="_Toc146798493"/>
      <w:bookmarkStart w:id="5897" w:name="_Toc146801105"/>
      <w:bookmarkStart w:id="5898" w:name="_Toc146803740"/>
      <w:bookmarkStart w:id="5899" w:name="_Toc146805444"/>
      <w:bookmarkStart w:id="5900" w:name="_Toc146807148"/>
      <w:bookmarkStart w:id="5901" w:name="_Toc148705216"/>
      <w:bookmarkStart w:id="5902" w:name="_Toc149558174"/>
      <w:bookmarkStart w:id="5903" w:name="_Toc150785630"/>
      <w:bookmarkStart w:id="5904" w:name="_Toc150855084"/>
      <w:bookmarkStart w:id="5905" w:name="_Toc151992023"/>
      <w:bookmarkStart w:id="5906" w:name="_Toc152335123"/>
      <w:bookmarkStart w:id="5907" w:name="_Toc153271489"/>
      <w:bookmarkStart w:id="5908" w:name="_Toc157501324"/>
      <w:bookmarkStart w:id="5909" w:name="_Toc159232499"/>
      <w:bookmarkStart w:id="5910" w:name="_Toc134796819"/>
      <w:bookmarkStart w:id="5911" w:name="_Toc134799115"/>
      <w:bookmarkStart w:id="5912" w:name="_Toc145059523"/>
      <w:bookmarkStart w:id="5913" w:name="_Toc145062942"/>
      <w:bookmarkStart w:id="5914" w:name="_Toc145067554"/>
      <w:bookmarkStart w:id="5915" w:name="_Toc146627924"/>
      <w:bookmarkStart w:id="5916" w:name="_Toc146629786"/>
      <w:bookmarkStart w:id="5917" w:name="_Toc146631653"/>
      <w:bookmarkStart w:id="5918" w:name="_Toc146633518"/>
      <w:bookmarkStart w:id="5919" w:name="_Toc146631254"/>
      <w:bookmarkStart w:id="5920" w:name="_Toc146793415"/>
      <w:bookmarkStart w:id="5921" w:name="_Toc146795111"/>
      <w:bookmarkStart w:id="5922" w:name="_Toc146796806"/>
      <w:bookmarkStart w:id="5923" w:name="_Toc146798494"/>
      <w:bookmarkStart w:id="5924" w:name="_Toc146801106"/>
      <w:bookmarkStart w:id="5925" w:name="_Toc146803741"/>
      <w:bookmarkStart w:id="5926" w:name="_Toc146805445"/>
      <w:bookmarkStart w:id="5927" w:name="_Toc146807149"/>
      <w:bookmarkStart w:id="5928" w:name="_Toc148705217"/>
      <w:bookmarkStart w:id="5929" w:name="_Toc149558175"/>
      <w:bookmarkStart w:id="5930" w:name="_Toc150785631"/>
      <w:bookmarkStart w:id="5931" w:name="_Toc150855085"/>
      <w:bookmarkStart w:id="5932" w:name="_Toc151992024"/>
      <w:bookmarkStart w:id="5933" w:name="_Toc152335124"/>
      <w:bookmarkStart w:id="5934" w:name="_Toc153271490"/>
      <w:bookmarkStart w:id="5935" w:name="_Toc157501325"/>
      <w:bookmarkStart w:id="5936" w:name="_Toc159232500"/>
      <w:bookmarkStart w:id="5937" w:name="_Toc134796820"/>
      <w:bookmarkStart w:id="5938" w:name="_Toc134799116"/>
      <w:bookmarkStart w:id="5939" w:name="_Toc145059524"/>
      <w:bookmarkStart w:id="5940" w:name="_Toc145062943"/>
      <w:bookmarkStart w:id="5941" w:name="_Toc145067555"/>
      <w:bookmarkStart w:id="5942" w:name="_Toc146627925"/>
      <w:bookmarkStart w:id="5943" w:name="_Toc146629787"/>
      <w:bookmarkStart w:id="5944" w:name="_Toc146631654"/>
      <w:bookmarkStart w:id="5945" w:name="_Toc146633519"/>
      <w:bookmarkStart w:id="5946" w:name="_Toc146631255"/>
      <w:bookmarkStart w:id="5947" w:name="_Toc146793416"/>
      <w:bookmarkStart w:id="5948" w:name="_Toc146795112"/>
      <w:bookmarkStart w:id="5949" w:name="_Toc146796807"/>
      <w:bookmarkStart w:id="5950" w:name="_Toc146798495"/>
      <w:bookmarkStart w:id="5951" w:name="_Toc146801107"/>
      <w:bookmarkStart w:id="5952" w:name="_Toc146803742"/>
      <w:bookmarkStart w:id="5953" w:name="_Toc146805446"/>
      <w:bookmarkStart w:id="5954" w:name="_Toc146807150"/>
      <w:bookmarkStart w:id="5955" w:name="_Toc148705218"/>
      <w:bookmarkStart w:id="5956" w:name="_Toc149558176"/>
      <w:bookmarkStart w:id="5957" w:name="_Toc150785632"/>
      <w:bookmarkStart w:id="5958" w:name="_Toc150855086"/>
      <w:bookmarkStart w:id="5959" w:name="_Toc151992025"/>
      <w:bookmarkStart w:id="5960" w:name="_Toc152335125"/>
      <w:bookmarkStart w:id="5961" w:name="_Toc153271491"/>
      <w:bookmarkStart w:id="5962" w:name="_Toc157501326"/>
      <w:bookmarkStart w:id="5963" w:name="_Toc159232501"/>
      <w:bookmarkStart w:id="5964" w:name="_Toc134796821"/>
      <w:bookmarkStart w:id="5965" w:name="_Toc134799117"/>
      <w:bookmarkStart w:id="5966" w:name="_Toc145059525"/>
      <w:bookmarkStart w:id="5967" w:name="_Toc145062944"/>
      <w:bookmarkStart w:id="5968" w:name="_Toc145067556"/>
      <w:bookmarkStart w:id="5969" w:name="_Toc146627926"/>
      <w:bookmarkStart w:id="5970" w:name="_Toc146629788"/>
      <w:bookmarkStart w:id="5971" w:name="_Toc146631655"/>
      <w:bookmarkStart w:id="5972" w:name="_Toc146633520"/>
      <w:bookmarkStart w:id="5973" w:name="_Toc146631256"/>
      <w:bookmarkStart w:id="5974" w:name="_Toc146793417"/>
      <w:bookmarkStart w:id="5975" w:name="_Toc146795113"/>
      <w:bookmarkStart w:id="5976" w:name="_Toc146796808"/>
      <w:bookmarkStart w:id="5977" w:name="_Toc146798496"/>
      <w:bookmarkStart w:id="5978" w:name="_Toc146801108"/>
      <w:bookmarkStart w:id="5979" w:name="_Toc146803743"/>
      <w:bookmarkStart w:id="5980" w:name="_Toc146805447"/>
      <w:bookmarkStart w:id="5981" w:name="_Toc146807151"/>
      <w:bookmarkStart w:id="5982" w:name="_Toc148705219"/>
      <w:bookmarkStart w:id="5983" w:name="_Toc149558177"/>
      <w:bookmarkStart w:id="5984" w:name="_Toc150785633"/>
      <w:bookmarkStart w:id="5985" w:name="_Toc150855087"/>
      <w:bookmarkStart w:id="5986" w:name="_Toc151992026"/>
      <w:bookmarkStart w:id="5987" w:name="_Toc152335126"/>
      <w:bookmarkStart w:id="5988" w:name="_Toc153271492"/>
      <w:bookmarkStart w:id="5989" w:name="_Toc157501327"/>
      <w:bookmarkStart w:id="5990" w:name="_Toc159232502"/>
      <w:bookmarkStart w:id="5991" w:name="_Toc134796822"/>
      <w:bookmarkStart w:id="5992" w:name="_Toc134799118"/>
      <w:bookmarkStart w:id="5993" w:name="_Toc145059526"/>
      <w:bookmarkStart w:id="5994" w:name="_Toc145062945"/>
      <w:bookmarkStart w:id="5995" w:name="_Toc145067557"/>
      <w:bookmarkStart w:id="5996" w:name="_Toc146627927"/>
      <w:bookmarkStart w:id="5997" w:name="_Toc146629789"/>
      <w:bookmarkStart w:id="5998" w:name="_Toc146631656"/>
      <w:bookmarkStart w:id="5999" w:name="_Toc146633521"/>
      <w:bookmarkStart w:id="6000" w:name="_Toc146631257"/>
      <w:bookmarkStart w:id="6001" w:name="_Toc146793418"/>
      <w:bookmarkStart w:id="6002" w:name="_Toc146795114"/>
      <w:bookmarkStart w:id="6003" w:name="_Toc146796809"/>
      <w:bookmarkStart w:id="6004" w:name="_Toc146798497"/>
      <w:bookmarkStart w:id="6005" w:name="_Toc146801109"/>
      <w:bookmarkStart w:id="6006" w:name="_Toc146803744"/>
      <w:bookmarkStart w:id="6007" w:name="_Toc146805448"/>
      <w:bookmarkStart w:id="6008" w:name="_Toc146807152"/>
      <w:bookmarkStart w:id="6009" w:name="_Toc148705220"/>
      <w:bookmarkStart w:id="6010" w:name="_Toc149558178"/>
      <w:bookmarkStart w:id="6011" w:name="_Toc150785634"/>
      <w:bookmarkStart w:id="6012" w:name="_Toc150855088"/>
      <w:bookmarkStart w:id="6013" w:name="_Toc151992027"/>
      <w:bookmarkStart w:id="6014" w:name="_Toc152335127"/>
      <w:bookmarkStart w:id="6015" w:name="_Toc153271493"/>
      <w:bookmarkStart w:id="6016" w:name="_Toc157501328"/>
      <w:bookmarkStart w:id="6017" w:name="_Toc159232503"/>
      <w:bookmarkStart w:id="6018" w:name="_Toc134796823"/>
      <w:bookmarkStart w:id="6019" w:name="_Toc134799119"/>
      <w:bookmarkStart w:id="6020" w:name="_Toc145059527"/>
      <w:bookmarkStart w:id="6021" w:name="_Toc145062946"/>
      <w:bookmarkStart w:id="6022" w:name="_Toc145067558"/>
      <w:bookmarkStart w:id="6023" w:name="_Toc146627928"/>
      <w:bookmarkStart w:id="6024" w:name="_Toc146629790"/>
      <w:bookmarkStart w:id="6025" w:name="_Toc146631657"/>
      <w:bookmarkStart w:id="6026" w:name="_Toc146633522"/>
      <w:bookmarkStart w:id="6027" w:name="_Toc146631259"/>
      <w:bookmarkStart w:id="6028" w:name="_Toc146793419"/>
      <w:bookmarkStart w:id="6029" w:name="_Toc146795115"/>
      <w:bookmarkStart w:id="6030" w:name="_Toc146796810"/>
      <w:bookmarkStart w:id="6031" w:name="_Toc146798498"/>
      <w:bookmarkStart w:id="6032" w:name="_Toc146801110"/>
      <w:bookmarkStart w:id="6033" w:name="_Toc146803745"/>
      <w:bookmarkStart w:id="6034" w:name="_Toc146805449"/>
      <w:bookmarkStart w:id="6035" w:name="_Toc146807153"/>
      <w:bookmarkStart w:id="6036" w:name="_Toc148705221"/>
      <w:bookmarkStart w:id="6037" w:name="_Toc149558179"/>
      <w:bookmarkStart w:id="6038" w:name="_Toc150785635"/>
      <w:bookmarkStart w:id="6039" w:name="_Toc150855089"/>
      <w:bookmarkStart w:id="6040" w:name="_Toc151992028"/>
      <w:bookmarkStart w:id="6041" w:name="_Toc152335128"/>
      <w:bookmarkStart w:id="6042" w:name="_Toc153271494"/>
      <w:bookmarkStart w:id="6043" w:name="_Toc157501329"/>
      <w:bookmarkStart w:id="6044" w:name="_Toc159232504"/>
      <w:bookmarkStart w:id="6045" w:name="_Toc134796824"/>
      <w:bookmarkStart w:id="6046" w:name="_Toc134799120"/>
      <w:bookmarkStart w:id="6047" w:name="_Toc145059528"/>
      <w:bookmarkStart w:id="6048" w:name="_Toc145062947"/>
      <w:bookmarkStart w:id="6049" w:name="_Toc145067559"/>
      <w:bookmarkStart w:id="6050" w:name="_Toc146627929"/>
      <w:bookmarkStart w:id="6051" w:name="_Toc146629791"/>
      <w:bookmarkStart w:id="6052" w:name="_Toc146631658"/>
      <w:bookmarkStart w:id="6053" w:name="_Toc146633523"/>
      <w:bookmarkStart w:id="6054" w:name="_Toc146631260"/>
      <w:bookmarkStart w:id="6055" w:name="_Toc146793420"/>
      <w:bookmarkStart w:id="6056" w:name="_Toc146795116"/>
      <w:bookmarkStart w:id="6057" w:name="_Toc146796811"/>
      <w:bookmarkStart w:id="6058" w:name="_Toc146798499"/>
      <w:bookmarkStart w:id="6059" w:name="_Toc146801111"/>
      <w:bookmarkStart w:id="6060" w:name="_Toc146803746"/>
      <w:bookmarkStart w:id="6061" w:name="_Toc146805450"/>
      <w:bookmarkStart w:id="6062" w:name="_Toc146807154"/>
      <w:bookmarkStart w:id="6063" w:name="_Toc148705222"/>
      <w:bookmarkStart w:id="6064" w:name="_Toc149558180"/>
      <w:bookmarkStart w:id="6065" w:name="_Toc150785636"/>
      <w:bookmarkStart w:id="6066" w:name="_Toc150855090"/>
      <w:bookmarkStart w:id="6067" w:name="_Toc151992029"/>
      <w:bookmarkStart w:id="6068" w:name="_Toc152335129"/>
      <w:bookmarkStart w:id="6069" w:name="_Toc153271495"/>
      <w:bookmarkStart w:id="6070" w:name="_Toc157501330"/>
      <w:bookmarkStart w:id="6071" w:name="_Toc159232505"/>
      <w:bookmarkStart w:id="6072" w:name="_Toc134796825"/>
      <w:bookmarkStart w:id="6073" w:name="_Toc134799121"/>
      <w:bookmarkStart w:id="6074" w:name="_Toc145059529"/>
      <w:bookmarkStart w:id="6075" w:name="_Toc145062948"/>
      <w:bookmarkStart w:id="6076" w:name="_Toc145067560"/>
      <w:bookmarkStart w:id="6077" w:name="_Toc146627930"/>
      <w:bookmarkStart w:id="6078" w:name="_Toc146629792"/>
      <w:bookmarkStart w:id="6079" w:name="_Toc146631659"/>
      <w:bookmarkStart w:id="6080" w:name="_Toc146633524"/>
      <w:bookmarkStart w:id="6081" w:name="_Toc146631261"/>
      <w:bookmarkStart w:id="6082" w:name="_Toc146793421"/>
      <w:bookmarkStart w:id="6083" w:name="_Toc146795117"/>
      <w:bookmarkStart w:id="6084" w:name="_Toc146796812"/>
      <w:bookmarkStart w:id="6085" w:name="_Toc146798500"/>
      <w:bookmarkStart w:id="6086" w:name="_Toc146801112"/>
      <w:bookmarkStart w:id="6087" w:name="_Toc146803747"/>
      <w:bookmarkStart w:id="6088" w:name="_Toc146805451"/>
      <w:bookmarkStart w:id="6089" w:name="_Toc146807155"/>
      <w:bookmarkStart w:id="6090" w:name="_Toc148705223"/>
      <w:bookmarkStart w:id="6091" w:name="_Toc149558181"/>
      <w:bookmarkStart w:id="6092" w:name="_Toc150785637"/>
      <w:bookmarkStart w:id="6093" w:name="_Toc150855091"/>
      <w:bookmarkStart w:id="6094" w:name="_Toc151992030"/>
      <w:bookmarkStart w:id="6095" w:name="_Toc152335130"/>
      <w:bookmarkStart w:id="6096" w:name="_Toc153271496"/>
      <w:bookmarkStart w:id="6097" w:name="_Toc157501331"/>
      <w:bookmarkStart w:id="6098" w:name="_Toc159232506"/>
      <w:bookmarkStart w:id="6099" w:name="_Toc134796826"/>
      <w:bookmarkStart w:id="6100" w:name="_Toc134799122"/>
      <w:bookmarkStart w:id="6101" w:name="_Toc145059530"/>
      <w:bookmarkStart w:id="6102" w:name="_Toc145062949"/>
      <w:bookmarkStart w:id="6103" w:name="_Toc145067561"/>
      <w:bookmarkStart w:id="6104" w:name="_Toc146627931"/>
      <w:bookmarkStart w:id="6105" w:name="_Toc146629793"/>
      <w:bookmarkStart w:id="6106" w:name="_Toc146631660"/>
      <w:bookmarkStart w:id="6107" w:name="_Toc146633525"/>
      <w:bookmarkStart w:id="6108" w:name="_Toc146631262"/>
      <w:bookmarkStart w:id="6109" w:name="_Toc146793422"/>
      <w:bookmarkStart w:id="6110" w:name="_Toc146795118"/>
      <w:bookmarkStart w:id="6111" w:name="_Toc146796813"/>
      <w:bookmarkStart w:id="6112" w:name="_Toc146798501"/>
      <w:bookmarkStart w:id="6113" w:name="_Toc146801113"/>
      <w:bookmarkStart w:id="6114" w:name="_Toc146803748"/>
      <w:bookmarkStart w:id="6115" w:name="_Toc146805452"/>
      <w:bookmarkStart w:id="6116" w:name="_Toc146807156"/>
      <w:bookmarkStart w:id="6117" w:name="_Toc148705224"/>
      <w:bookmarkStart w:id="6118" w:name="_Toc149558182"/>
      <w:bookmarkStart w:id="6119" w:name="_Toc150785638"/>
      <w:bookmarkStart w:id="6120" w:name="_Toc150855092"/>
      <w:bookmarkStart w:id="6121" w:name="_Toc151992031"/>
      <w:bookmarkStart w:id="6122" w:name="_Toc152335131"/>
      <w:bookmarkStart w:id="6123" w:name="_Toc153271497"/>
      <w:bookmarkStart w:id="6124" w:name="_Toc157501332"/>
      <w:bookmarkStart w:id="6125" w:name="_Toc159232507"/>
      <w:bookmarkStart w:id="6126" w:name="_Toc134796827"/>
      <w:bookmarkStart w:id="6127" w:name="_Toc134799123"/>
      <w:bookmarkStart w:id="6128" w:name="_Toc145059531"/>
      <w:bookmarkStart w:id="6129" w:name="_Toc145062950"/>
      <w:bookmarkStart w:id="6130" w:name="_Toc145067562"/>
      <w:bookmarkStart w:id="6131" w:name="_Toc146627932"/>
      <w:bookmarkStart w:id="6132" w:name="_Toc146629794"/>
      <w:bookmarkStart w:id="6133" w:name="_Toc146631661"/>
      <w:bookmarkStart w:id="6134" w:name="_Toc146633526"/>
      <w:bookmarkStart w:id="6135" w:name="_Toc146631263"/>
      <w:bookmarkStart w:id="6136" w:name="_Toc146793423"/>
      <w:bookmarkStart w:id="6137" w:name="_Toc146795119"/>
      <w:bookmarkStart w:id="6138" w:name="_Toc146796814"/>
      <w:bookmarkStart w:id="6139" w:name="_Toc146798502"/>
      <w:bookmarkStart w:id="6140" w:name="_Toc146801114"/>
      <w:bookmarkStart w:id="6141" w:name="_Toc146803749"/>
      <w:bookmarkStart w:id="6142" w:name="_Toc146805453"/>
      <w:bookmarkStart w:id="6143" w:name="_Toc146807157"/>
      <w:bookmarkStart w:id="6144" w:name="_Toc148705225"/>
      <w:bookmarkStart w:id="6145" w:name="_Toc149558183"/>
      <w:bookmarkStart w:id="6146" w:name="_Toc150785639"/>
      <w:bookmarkStart w:id="6147" w:name="_Toc150855093"/>
      <w:bookmarkStart w:id="6148" w:name="_Toc151992032"/>
      <w:bookmarkStart w:id="6149" w:name="_Toc152335132"/>
      <w:bookmarkStart w:id="6150" w:name="_Toc153271498"/>
      <w:bookmarkStart w:id="6151" w:name="_Toc157501333"/>
      <w:bookmarkStart w:id="6152" w:name="_Toc159232508"/>
      <w:bookmarkStart w:id="6153" w:name="_Toc134796828"/>
      <w:bookmarkStart w:id="6154" w:name="_Toc134799124"/>
      <w:bookmarkStart w:id="6155" w:name="_Toc145059532"/>
      <w:bookmarkStart w:id="6156" w:name="_Toc145062951"/>
      <w:bookmarkStart w:id="6157" w:name="_Toc145067563"/>
      <w:bookmarkStart w:id="6158" w:name="_Toc146627933"/>
      <w:bookmarkStart w:id="6159" w:name="_Toc146629795"/>
      <w:bookmarkStart w:id="6160" w:name="_Toc146631662"/>
      <w:bookmarkStart w:id="6161" w:name="_Toc146633527"/>
      <w:bookmarkStart w:id="6162" w:name="_Toc146631264"/>
      <w:bookmarkStart w:id="6163" w:name="_Toc146793424"/>
      <w:bookmarkStart w:id="6164" w:name="_Toc146795120"/>
      <w:bookmarkStart w:id="6165" w:name="_Toc146796815"/>
      <w:bookmarkStart w:id="6166" w:name="_Toc146798503"/>
      <w:bookmarkStart w:id="6167" w:name="_Toc146801115"/>
      <w:bookmarkStart w:id="6168" w:name="_Toc146803750"/>
      <w:bookmarkStart w:id="6169" w:name="_Toc146805454"/>
      <w:bookmarkStart w:id="6170" w:name="_Toc146807158"/>
      <w:bookmarkStart w:id="6171" w:name="_Toc148705226"/>
      <w:bookmarkStart w:id="6172" w:name="_Toc149558184"/>
      <w:bookmarkStart w:id="6173" w:name="_Toc150785640"/>
      <w:bookmarkStart w:id="6174" w:name="_Toc150855094"/>
      <w:bookmarkStart w:id="6175" w:name="_Toc151992033"/>
      <w:bookmarkStart w:id="6176" w:name="_Toc152335133"/>
      <w:bookmarkStart w:id="6177" w:name="_Toc153271499"/>
      <w:bookmarkStart w:id="6178" w:name="_Toc157501334"/>
      <w:bookmarkStart w:id="6179" w:name="_Toc159232509"/>
      <w:bookmarkStart w:id="6180" w:name="_Toc134796829"/>
      <w:bookmarkStart w:id="6181" w:name="_Toc134799125"/>
      <w:bookmarkStart w:id="6182" w:name="_Toc145059533"/>
      <w:bookmarkStart w:id="6183" w:name="_Toc145062952"/>
      <w:bookmarkStart w:id="6184" w:name="_Toc145067564"/>
      <w:bookmarkStart w:id="6185" w:name="_Toc146627934"/>
      <w:bookmarkStart w:id="6186" w:name="_Toc146629796"/>
      <w:bookmarkStart w:id="6187" w:name="_Toc146631663"/>
      <w:bookmarkStart w:id="6188" w:name="_Toc146633528"/>
      <w:bookmarkStart w:id="6189" w:name="_Toc146631283"/>
      <w:bookmarkStart w:id="6190" w:name="_Toc146793425"/>
      <w:bookmarkStart w:id="6191" w:name="_Toc146795121"/>
      <w:bookmarkStart w:id="6192" w:name="_Toc146796816"/>
      <w:bookmarkStart w:id="6193" w:name="_Toc146798504"/>
      <w:bookmarkStart w:id="6194" w:name="_Toc146801116"/>
      <w:bookmarkStart w:id="6195" w:name="_Toc146803751"/>
      <w:bookmarkStart w:id="6196" w:name="_Toc146805455"/>
      <w:bookmarkStart w:id="6197" w:name="_Toc146807159"/>
      <w:bookmarkStart w:id="6198" w:name="_Toc148705227"/>
      <w:bookmarkStart w:id="6199" w:name="_Toc149558185"/>
      <w:bookmarkStart w:id="6200" w:name="_Toc150785641"/>
      <w:bookmarkStart w:id="6201" w:name="_Toc150855095"/>
      <w:bookmarkStart w:id="6202" w:name="_Toc151992034"/>
      <w:bookmarkStart w:id="6203" w:name="_Toc152335134"/>
      <w:bookmarkStart w:id="6204" w:name="_Toc153271500"/>
      <w:bookmarkStart w:id="6205" w:name="_Toc157501335"/>
      <w:bookmarkStart w:id="6206" w:name="_Toc159232510"/>
      <w:bookmarkStart w:id="6207" w:name="_Toc134796843"/>
      <w:bookmarkStart w:id="6208" w:name="_Toc134799139"/>
      <w:bookmarkStart w:id="6209" w:name="_Toc148705241"/>
      <w:bookmarkStart w:id="6210" w:name="_Toc149558199"/>
      <w:bookmarkStart w:id="6211" w:name="_Toc150785655"/>
      <w:bookmarkStart w:id="6212" w:name="_Toc150855109"/>
      <w:bookmarkStart w:id="6213" w:name="_Toc151992048"/>
      <w:bookmarkStart w:id="6214" w:name="_Toc152335148"/>
      <w:bookmarkStart w:id="6215" w:name="_Toc153271514"/>
      <w:bookmarkStart w:id="6216" w:name="_Toc157501349"/>
      <w:bookmarkStart w:id="6217" w:name="_Toc134796905"/>
      <w:bookmarkStart w:id="6218" w:name="_Toc134799201"/>
      <w:bookmarkStart w:id="6219" w:name="_Toc145059604"/>
      <w:bookmarkStart w:id="6220" w:name="_Toc145063023"/>
      <w:bookmarkStart w:id="6221" w:name="_Toc145067635"/>
      <w:bookmarkStart w:id="6222" w:name="_Toc146628005"/>
      <w:bookmarkStart w:id="6223" w:name="_Toc146629867"/>
      <w:bookmarkStart w:id="6224" w:name="_Toc146631734"/>
      <w:bookmarkStart w:id="6225" w:name="_Toc146633599"/>
      <w:bookmarkStart w:id="6226" w:name="_Toc146631477"/>
      <w:bookmarkStart w:id="6227" w:name="_Toc146793496"/>
      <w:bookmarkStart w:id="6228" w:name="_Toc146795192"/>
      <w:bookmarkStart w:id="6229" w:name="_Toc146796887"/>
      <w:bookmarkStart w:id="6230" w:name="_Toc146798575"/>
      <w:bookmarkStart w:id="6231" w:name="_Toc146801187"/>
      <w:bookmarkStart w:id="6232" w:name="_Toc146803822"/>
      <w:bookmarkStart w:id="6233" w:name="_Toc146805526"/>
      <w:bookmarkStart w:id="6234" w:name="_Toc146807230"/>
      <w:bookmarkStart w:id="6235" w:name="_Toc148705303"/>
      <w:bookmarkStart w:id="6236" w:name="_Toc149558261"/>
      <w:bookmarkStart w:id="6237" w:name="_Toc150785717"/>
      <w:bookmarkStart w:id="6238" w:name="_Toc150855171"/>
      <w:bookmarkStart w:id="6239" w:name="_Toc151992110"/>
      <w:bookmarkStart w:id="6240" w:name="_Toc152335210"/>
      <w:bookmarkStart w:id="6241" w:name="_Toc153271576"/>
      <w:bookmarkStart w:id="6242" w:name="_Toc157501411"/>
      <w:bookmarkStart w:id="6243" w:name="_Toc159232581"/>
      <w:bookmarkStart w:id="6244" w:name="_Toc134796906"/>
      <w:bookmarkStart w:id="6245" w:name="_Toc134799202"/>
      <w:bookmarkStart w:id="6246" w:name="_Toc145059605"/>
      <w:bookmarkStart w:id="6247" w:name="_Toc145063024"/>
      <w:bookmarkStart w:id="6248" w:name="_Toc145067636"/>
      <w:bookmarkStart w:id="6249" w:name="_Toc146628006"/>
      <w:bookmarkStart w:id="6250" w:name="_Toc146629868"/>
      <w:bookmarkStart w:id="6251" w:name="_Toc146631735"/>
      <w:bookmarkStart w:id="6252" w:name="_Toc146633600"/>
      <w:bookmarkStart w:id="6253" w:name="_Toc146631479"/>
      <w:bookmarkStart w:id="6254" w:name="_Toc146793497"/>
      <w:bookmarkStart w:id="6255" w:name="_Toc146795193"/>
      <w:bookmarkStart w:id="6256" w:name="_Toc146796888"/>
      <w:bookmarkStart w:id="6257" w:name="_Toc146798576"/>
      <w:bookmarkStart w:id="6258" w:name="_Toc146801188"/>
      <w:bookmarkStart w:id="6259" w:name="_Toc146803823"/>
      <w:bookmarkStart w:id="6260" w:name="_Toc146805527"/>
      <w:bookmarkStart w:id="6261" w:name="_Toc146807231"/>
      <w:bookmarkStart w:id="6262" w:name="_Toc148705304"/>
      <w:bookmarkStart w:id="6263" w:name="_Toc149558262"/>
      <w:bookmarkStart w:id="6264" w:name="_Toc150785718"/>
      <w:bookmarkStart w:id="6265" w:name="_Toc150855172"/>
      <w:bookmarkStart w:id="6266" w:name="_Toc151992111"/>
      <w:bookmarkStart w:id="6267" w:name="_Toc152335211"/>
      <w:bookmarkStart w:id="6268" w:name="_Toc153271577"/>
      <w:bookmarkStart w:id="6269" w:name="_Toc157501412"/>
      <w:bookmarkStart w:id="6270" w:name="_Toc159232582"/>
      <w:bookmarkStart w:id="6271" w:name="_Toc134796907"/>
      <w:bookmarkStart w:id="6272" w:name="_Toc134799203"/>
      <w:bookmarkStart w:id="6273" w:name="_Toc145059606"/>
      <w:bookmarkStart w:id="6274" w:name="_Toc145063025"/>
      <w:bookmarkStart w:id="6275" w:name="_Toc145067637"/>
      <w:bookmarkStart w:id="6276" w:name="_Toc146628007"/>
      <w:bookmarkStart w:id="6277" w:name="_Toc146629869"/>
      <w:bookmarkStart w:id="6278" w:name="_Toc146631736"/>
      <w:bookmarkStart w:id="6279" w:name="_Toc146633601"/>
      <w:bookmarkStart w:id="6280" w:name="_Toc146631480"/>
      <w:bookmarkStart w:id="6281" w:name="_Toc146793498"/>
      <w:bookmarkStart w:id="6282" w:name="_Toc146795194"/>
      <w:bookmarkStart w:id="6283" w:name="_Toc146796889"/>
      <w:bookmarkStart w:id="6284" w:name="_Toc146798577"/>
      <w:bookmarkStart w:id="6285" w:name="_Toc146801189"/>
      <w:bookmarkStart w:id="6286" w:name="_Toc146803824"/>
      <w:bookmarkStart w:id="6287" w:name="_Toc146805528"/>
      <w:bookmarkStart w:id="6288" w:name="_Toc146807232"/>
      <w:bookmarkStart w:id="6289" w:name="_Toc148705305"/>
      <w:bookmarkStart w:id="6290" w:name="_Toc149558263"/>
      <w:bookmarkStart w:id="6291" w:name="_Toc150785719"/>
      <w:bookmarkStart w:id="6292" w:name="_Toc150855173"/>
      <w:bookmarkStart w:id="6293" w:name="_Toc151992112"/>
      <w:bookmarkStart w:id="6294" w:name="_Toc152335212"/>
      <w:bookmarkStart w:id="6295" w:name="_Toc153271578"/>
      <w:bookmarkStart w:id="6296" w:name="_Toc157501413"/>
      <w:bookmarkStart w:id="6297" w:name="_Toc159232583"/>
      <w:bookmarkStart w:id="6298" w:name="_Toc134796908"/>
      <w:bookmarkStart w:id="6299" w:name="_Toc134799204"/>
      <w:bookmarkStart w:id="6300" w:name="_Toc145059607"/>
      <w:bookmarkStart w:id="6301" w:name="_Toc145063026"/>
      <w:bookmarkStart w:id="6302" w:name="_Toc145067638"/>
      <w:bookmarkStart w:id="6303" w:name="_Toc146628008"/>
      <w:bookmarkStart w:id="6304" w:name="_Toc146629870"/>
      <w:bookmarkStart w:id="6305" w:name="_Toc146631737"/>
      <w:bookmarkStart w:id="6306" w:name="_Toc146633602"/>
      <w:bookmarkStart w:id="6307" w:name="_Toc146631489"/>
      <w:bookmarkStart w:id="6308" w:name="_Toc146793499"/>
      <w:bookmarkStart w:id="6309" w:name="_Toc146795195"/>
      <w:bookmarkStart w:id="6310" w:name="_Toc146796890"/>
      <w:bookmarkStart w:id="6311" w:name="_Toc146798578"/>
      <w:bookmarkStart w:id="6312" w:name="_Toc146801190"/>
      <w:bookmarkStart w:id="6313" w:name="_Toc146803825"/>
      <w:bookmarkStart w:id="6314" w:name="_Toc146805529"/>
      <w:bookmarkStart w:id="6315" w:name="_Toc146807233"/>
      <w:bookmarkStart w:id="6316" w:name="_Toc148705306"/>
      <w:bookmarkStart w:id="6317" w:name="_Toc149558264"/>
      <w:bookmarkStart w:id="6318" w:name="_Toc150785720"/>
      <w:bookmarkStart w:id="6319" w:name="_Toc150855174"/>
      <w:bookmarkStart w:id="6320" w:name="_Toc151992113"/>
      <w:bookmarkStart w:id="6321" w:name="_Toc152335213"/>
      <w:bookmarkStart w:id="6322" w:name="_Toc153271579"/>
      <w:bookmarkStart w:id="6323" w:name="_Toc157501414"/>
      <w:bookmarkStart w:id="6324" w:name="_Toc159232584"/>
      <w:bookmarkStart w:id="6325" w:name="_Toc134796909"/>
      <w:bookmarkStart w:id="6326" w:name="_Toc134799205"/>
      <w:bookmarkStart w:id="6327" w:name="_Toc145059608"/>
      <w:bookmarkStart w:id="6328" w:name="_Toc145063027"/>
      <w:bookmarkStart w:id="6329" w:name="_Toc145067639"/>
      <w:bookmarkStart w:id="6330" w:name="_Toc146628009"/>
      <w:bookmarkStart w:id="6331" w:name="_Toc146629871"/>
      <w:bookmarkStart w:id="6332" w:name="_Toc146631738"/>
      <w:bookmarkStart w:id="6333" w:name="_Toc146633603"/>
      <w:bookmarkStart w:id="6334" w:name="_Toc146631490"/>
      <w:bookmarkStart w:id="6335" w:name="_Toc146793500"/>
      <w:bookmarkStart w:id="6336" w:name="_Toc146795196"/>
      <w:bookmarkStart w:id="6337" w:name="_Toc146796891"/>
      <w:bookmarkStart w:id="6338" w:name="_Toc146798579"/>
      <w:bookmarkStart w:id="6339" w:name="_Toc146801191"/>
      <w:bookmarkStart w:id="6340" w:name="_Toc146803826"/>
      <w:bookmarkStart w:id="6341" w:name="_Toc146805530"/>
      <w:bookmarkStart w:id="6342" w:name="_Toc146807234"/>
      <w:bookmarkStart w:id="6343" w:name="_Toc148705307"/>
      <w:bookmarkStart w:id="6344" w:name="_Toc149558265"/>
      <w:bookmarkStart w:id="6345" w:name="_Toc150785721"/>
      <w:bookmarkStart w:id="6346" w:name="_Toc150855175"/>
      <w:bookmarkStart w:id="6347" w:name="_Toc151992114"/>
      <w:bookmarkStart w:id="6348" w:name="_Toc152335214"/>
      <w:bookmarkStart w:id="6349" w:name="_Toc153271580"/>
      <w:bookmarkStart w:id="6350" w:name="_Toc157501415"/>
      <w:bookmarkStart w:id="6351" w:name="_Toc159232585"/>
      <w:bookmarkStart w:id="6352" w:name="_Toc134796910"/>
      <w:bookmarkStart w:id="6353" w:name="_Toc134799206"/>
      <w:bookmarkStart w:id="6354" w:name="_Toc145059609"/>
      <w:bookmarkStart w:id="6355" w:name="_Toc145063028"/>
      <w:bookmarkStart w:id="6356" w:name="_Toc145067640"/>
      <w:bookmarkStart w:id="6357" w:name="_Toc146628010"/>
      <w:bookmarkStart w:id="6358" w:name="_Toc146629872"/>
      <w:bookmarkStart w:id="6359" w:name="_Toc146631739"/>
      <w:bookmarkStart w:id="6360" w:name="_Toc146633604"/>
      <w:bookmarkStart w:id="6361" w:name="_Toc146631491"/>
      <w:bookmarkStart w:id="6362" w:name="_Toc146793501"/>
      <w:bookmarkStart w:id="6363" w:name="_Toc146795197"/>
      <w:bookmarkStart w:id="6364" w:name="_Toc146796892"/>
      <w:bookmarkStart w:id="6365" w:name="_Toc146798580"/>
      <w:bookmarkStart w:id="6366" w:name="_Toc146801192"/>
      <w:bookmarkStart w:id="6367" w:name="_Toc146803827"/>
      <w:bookmarkStart w:id="6368" w:name="_Toc146805531"/>
      <w:bookmarkStart w:id="6369" w:name="_Toc146807235"/>
      <w:bookmarkStart w:id="6370" w:name="_Toc148705308"/>
      <w:bookmarkStart w:id="6371" w:name="_Toc149558266"/>
      <w:bookmarkStart w:id="6372" w:name="_Toc150785722"/>
      <w:bookmarkStart w:id="6373" w:name="_Toc150855176"/>
      <w:bookmarkStart w:id="6374" w:name="_Toc151992115"/>
      <w:bookmarkStart w:id="6375" w:name="_Toc152335215"/>
      <w:bookmarkStart w:id="6376" w:name="_Toc153271581"/>
      <w:bookmarkStart w:id="6377" w:name="_Toc157501416"/>
      <w:bookmarkStart w:id="6378" w:name="_Toc159232586"/>
      <w:bookmarkStart w:id="6379" w:name="_Toc134796911"/>
      <w:bookmarkStart w:id="6380" w:name="_Toc134799207"/>
      <w:bookmarkStart w:id="6381" w:name="_Toc145059610"/>
      <w:bookmarkStart w:id="6382" w:name="_Toc145063029"/>
      <w:bookmarkStart w:id="6383" w:name="_Toc145067641"/>
      <w:bookmarkStart w:id="6384" w:name="_Toc146628011"/>
      <w:bookmarkStart w:id="6385" w:name="_Toc146629873"/>
      <w:bookmarkStart w:id="6386" w:name="_Toc146631740"/>
      <w:bookmarkStart w:id="6387" w:name="_Toc146633605"/>
      <w:bookmarkStart w:id="6388" w:name="_Toc146631501"/>
      <w:bookmarkStart w:id="6389" w:name="_Toc146793502"/>
      <w:bookmarkStart w:id="6390" w:name="_Toc146795198"/>
      <w:bookmarkStart w:id="6391" w:name="_Toc146796893"/>
      <w:bookmarkStart w:id="6392" w:name="_Toc146798581"/>
      <w:bookmarkStart w:id="6393" w:name="_Toc146801193"/>
      <w:bookmarkStart w:id="6394" w:name="_Toc146803828"/>
      <w:bookmarkStart w:id="6395" w:name="_Toc146805532"/>
      <w:bookmarkStart w:id="6396" w:name="_Toc146807236"/>
      <w:bookmarkStart w:id="6397" w:name="_Toc148705309"/>
      <w:bookmarkStart w:id="6398" w:name="_Toc149558267"/>
      <w:bookmarkStart w:id="6399" w:name="_Toc150785723"/>
      <w:bookmarkStart w:id="6400" w:name="_Toc150855177"/>
      <w:bookmarkStart w:id="6401" w:name="_Toc151992116"/>
      <w:bookmarkStart w:id="6402" w:name="_Toc152335216"/>
      <w:bookmarkStart w:id="6403" w:name="_Toc153271582"/>
      <w:bookmarkStart w:id="6404" w:name="_Toc157501417"/>
      <w:bookmarkStart w:id="6405" w:name="_Toc159232587"/>
      <w:bookmarkStart w:id="6406" w:name="_Toc134796912"/>
      <w:bookmarkStart w:id="6407" w:name="_Toc134799208"/>
      <w:bookmarkStart w:id="6408" w:name="_Toc145059611"/>
      <w:bookmarkStart w:id="6409" w:name="_Toc145063030"/>
      <w:bookmarkStart w:id="6410" w:name="_Toc145067642"/>
      <w:bookmarkStart w:id="6411" w:name="_Toc146628012"/>
      <w:bookmarkStart w:id="6412" w:name="_Toc146629874"/>
      <w:bookmarkStart w:id="6413" w:name="_Toc146631741"/>
      <w:bookmarkStart w:id="6414" w:name="_Toc146633606"/>
      <w:bookmarkStart w:id="6415" w:name="_Toc146631502"/>
      <w:bookmarkStart w:id="6416" w:name="_Toc146793503"/>
      <w:bookmarkStart w:id="6417" w:name="_Toc146795199"/>
      <w:bookmarkStart w:id="6418" w:name="_Toc146796894"/>
      <w:bookmarkStart w:id="6419" w:name="_Toc146798582"/>
      <w:bookmarkStart w:id="6420" w:name="_Toc146801194"/>
      <w:bookmarkStart w:id="6421" w:name="_Toc146803829"/>
      <w:bookmarkStart w:id="6422" w:name="_Toc146805533"/>
      <w:bookmarkStart w:id="6423" w:name="_Toc146807237"/>
      <w:bookmarkStart w:id="6424" w:name="_Toc148705310"/>
      <w:bookmarkStart w:id="6425" w:name="_Toc149558268"/>
      <w:bookmarkStart w:id="6426" w:name="_Toc150785724"/>
      <w:bookmarkStart w:id="6427" w:name="_Toc150855178"/>
      <w:bookmarkStart w:id="6428" w:name="_Toc151992117"/>
      <w:bookmarkStart w:id="6429" w:name="_Toc152335217"/>
      <w:bookmarkStart w:id="6430" w:name="_Toc153271583"/>
      <w:bookmarkStart w:id="6431" w:name="_Toc157501418"/>
      <w:bookmarkStart w:id="6432" w:name="_Toc159232588"/>
      <w:bookmarkStart w:id="6433" w:name="_Toc134796913"/>
      <w:bookmarkStart w:id="6434" w:name="_Toc134799209"/>
      <w:bookmarkStart w:id="6435" w:name="_Toc145059612"/>
      <w:bookmarkStart w:id="6436" w:name="_Toc145063031"/>
      <w:bookmarkStart w:id="6437" w:name="_Toc145067643"/>
      <w:bookmarkStart w:id="6438" w:name="_Toc146628013"/>
      <w:bookmarkStart w:id="6439" w:name="_Toc146629875"/>
      <w:bookmarkStart w:id="6440" w:name="_Toc146631742"/>
      <w:bookmarkStart w:id="6441" w:name="_Toc146633607"/>
      <w:bookmarkStart w:id="6442" w:name="_Toc146631503"/>
      <w:bookmarkStart w:id="6443" w:name="_Toc146793504"/>
      <w:bookmarkStart w:id="6444" w:name="_Toc146795200"/>
      <w:bookmarkStart w:id="6445" w:name="_Toc146796895"/>
      <w:bookmarkStart w:id="6446" w:name="_Toc146798583"/>
      <w:bookmarkStart w:id="6447" w:name="_Toc146801195"/>
      <w:bookmarkStart w:id="6448" w:name="_Toc146803830"/>
      <w:bookmarkStart w:id="6449" w:name="_Toc146805534"/>
      <w:bookmarkStart w:id="6450" w:name="_Toc146807238"/>
      <w:bookmarkStart w:id="6451" w:name="_Toc148705311"/>
      <w:bookmarkStart w:id="6452" w:name="_Toc149558269"/>
      <w:bookmarkStart w:id="6453" w:name="_Toc150785725"/>
      <w:bookmarkStart w:id="6454" w:name="_Toc150855179"/>
      <w:bookmarkStart w:id="6455" w:name="_Toc151992118"/>
      <w:bookmarkStart w:id="6456" w:name="_Toc152335218"/>
      <w:bookmarkStart w:id="6457" w:name="_Toc153271584"/>
      <w:bookmarkStart w:id="6458" w:name="_Toc157501419"/>
      <w:bookmarkStart w:id="6459" w:name="_Toc159232589"/>
      <w:bookmarkStart w:id="6460" w:name="_Ref210812696"/>
      <w:bookmarkStart w:id="6461" w:name="_Toc213771909"/>
      <w:bookmarkStart w:id="6462" w:name="_Ref21605886"/>
      <w:bookmarkStart w:id="6463" w:name="_Ref21606353"/>
      <w:bookmarkStart w:id="6464" w:name="_Ref31022358"/>
      <w:bookmarkStart w:id="6465" w:name="_Toc159232590"/>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r w:rsidRPr="00CF0129">
        <w:t xml:space="preserve">Calculation of LMP at a </w:t>
      </w:r>
      <w:r>
        <w:t>Resource Aggregation A</w:t>
      </w:r>
      <w:r w:rsidR="002D623C">
        <w:t>Pnode</w:t>
      </w:r>
      <w:r>
        <w:t xml:space="preserve"> Settlement Location</w:t>
      </w:r>
      <w:bookmarkEnd w:id="6460"/>
      <w:bookmarkEnd w:id="6461"/>
    </w:p>
    <w:p w14:paraId="01623665" w14:textId="5E4F6047" w:rsidR="00E52BD9" w:rsidRPr="00CF0129" w:rsidRDefault="00E52BD9" w:rsidP="00E52BD9">
      <w:pPr>
        <w:spacing w:before="240" w:line="300" w:lineRule="auto"/>
        <w:rPr>
          <w:bCs/>
          <w:szCs w:val="24"/>
        </w:rPr>
      </w:pPr>
      <w:r>
        <w:rPr>
          <w:bCs/>
          <w:szCs w:val="24"/>
        </w:rPr>
        <w:t>The Market Operator</w:t>
      </w:r>
      <w:r w:rsidRPr="00CF0129">
        <w:rPr>
          <w:bCs/>
          <w:szCs w:val="24"/>
        </w:rPr>
        <w:t xml:space="preserve"> calculates an LMP for each </w:t>
      </w:r>
      <w:r>
        <w:rPr>
          <w:bCs/>
          <w:szCs w:val="24"/>
        </w:rPr>
        <w:t>Resource Aggregation A</w:t>
      </w:r>
      <w:r w:rsidR="002D623C">
        <w:rPr>
          <w:bCs/>
          <w:szCs w:val="24"/>
        </w:rPr>
        <w:t>Pnode</w:t>
      </w:r>
      <w:r w:rsidRPr="00CF0129">
        <w:rPr>
          <w:bCs/>
          <w:szCs w:val="24"/>
        </w:rPr>
        <w:t xml:space="preserve"> based on the LMPs for the set of </w:t>
      </w:r>
      <w:r w:rsidR="002D623C">
        <w:rPr>
          <w:bCs/>
          <w:szCs w:val="24"/>
        </w:rPr>
        <w:t>Pnode</w:t>
      </w:r>
      <w:r w:rsidRPr="00CF0129">
        <w:rPr>
          <w:bCs/>
          <w:szCs w:val="24"/>
        </w:rPr>
        <w:t xml:space="preserve">s that comprise the </w:t>
      </w:r>
      <w:r>
        <w:rPr>
          <w:bCs/>
          <w:szCs w:val="24"/>
        </w:rPr>
        <w:t>Resource Aggregation A</w:t>
      </w:r>
      <w:r w:rsidR="002D623C">
        <w:rPr>
          <w:bCs/>
          <w:szCs w:val="24"/>
        </w:rPr>
        <w:t>Pnode</w:t>
      </w:r>
      <w:r w:rsidRPr="00CF0129">
        <w:rPr>
          <w:bCs/>
          <w:szCs w:val="24"/>
        </w:rPr>
        <w:t xml:space="preserve">.  These </w:t>
      </w:r>
      <w:r>
        <w:rPr>
          <w:bCs/>
          <w:szCs w:val="24"/>
        </w:rPr>
        <w:t xml:space="preserve">Resource Aggregation </w:t>
      </w:r>
      <w:r w:rsidRPr="00CF0129">
        <w:rPr>
          <w:bCs/>
          <w:szCs w:val="24"/>
        </w:rPr>
        <w:t xml:space="preserve">LMPs are the weighted average of the LMPs at the </w:t>
      </w:r>
      <w:r w:rsidR="002D623C">
        <w:rPr>
          <w:bCs/>
          <w:szCs w:val="24"/>
        </w:rPr>
        <w:t>Pnode</w:t>
      </w:r>
      <w:r w:rsidRPr="00CF0129">
        <w:rPr>
          <w:bCs/>
          <w:szCs w:val="24"/>
        </w:rPr>
        <w:t xml:space="preserve">s that comprise the </w:t>
      </w:r>
      <w:r>
        <w:rPr>
          <w:bCs/>
          <w:szCs w:val="24"/>
        </w:rPr>
        <w:t>Resource Aggregation A</w:t>
      </w:r>
      <w:r w:rsidR="002D623C">
        <w:rPr>
          <w:bCs/>
          <w:szCs w:val="24"/>
        </w:rPr>
        <w:t>Pnode</w:t>
      </w:r>
      <w:r w:rsidRPr="00CF0129">
        <w:rPr>
          <w:bCs/>
          <w:szCs w:val="24"/>
        </w:rPr>
        <w:t xml:space="preserve">.  The weighting factors for </w:t>
      </w:r>
      <w:r>
        <w:rPr>
          <w:bCs/>
          <w:szCs w:val="24"/>
        </w:rPr>
        <w:t>Resource Aggregation A</w:t>
      </w:r>
      <w:r w:rsidR="002D623C">
        <w:rPr>
          <w:bCs/>
          <w:szCs w:val="24"/>
        </w:rPr>
        <w:t>Pnode</w:t>
      </w:r>
      <w:r w:rsidRPr="00CF0129">
        <w:rPr>
          <w:bCs/>
          <w:szCs w:val="24"/>
        </w:rPr>
        <w:t xml:space="preserve"> are </w:t>
      </w:r>
      <w:r>
        <w:rPr>
          <w:bCs/>
          <w:szCs w:val="24"/>
        </w:rPr>
        <w:t>the distribution factors submitted by the Market Participant in its Resource Aggregation Resource Offer.</w:t>
      </w:r>
      <w:r w:rsidRPr="00CF0129">
        <w:rPr>
          <w:bCs/>
          <w:szCs w:val="24"/>
        </w:rPr>
        <w:t xml:space="preserve">  These applicable </w:t>
      </w:r>
      <w:r>
        <w:rPr>
          <w:bCs/>
          <w:szCs w:val="24"/>
        </w:rPr>
        <w:t xml:space="preserve">distribution </w:t>
      </w:r>
      <w:r w:rsidRPr="00CF0129">
        <w:rPr>
          <w:bCs/>
          <w:szCs w:val="24"/>
        </w:rPr>
        <w:t>factors are applied for calculating an LMP, MCC</w:t>
      </w:r>
      <w:r>
        <w:rPr>
          <w:bCs/>
          <w:szCs w:val="24"/>
        </w:rPr>
        <w:t>,</w:t>
      </w:r>
      <w:r w:rsidRPr="00CF0129">
        <w:rPr>
          <w:bCs/>
          <w:szCs w:val="24"/>
        </w:rPr>
        <w:t xml:space="preserve"> and MLC at </w:t>
      </w:r>
      <w:r>
        <w:rPr>
          <w:bCs/>
          <w:szCs w:val="24"/>
        </w:rPr>
        <w:t>the Resource Aggregation A</w:t>
      </w:r>
      <w:r w:rsidR="002D623C">
        <w:rPr>
          <w:bCs/>
          <w:szCs w:val="24"/>
        </w:rPr>
        <w:t>Pnode</w:t>
      </w:r>
      <w:r w:rsidRPr="00CF0129">
        <w:rPr>
          <w:bCs/>
          <w:szCs w:val="24"/>
        </w:rPr>
        <w:t xml:space="preserve"> for both the Day-Ahead Market and RTBM.</w:t>
      </w:r>
    </w:p>
    <w:p w14:paraId="2FCD6CAD" w14:textId="77777777" w:rsidR="00E52BD9" w:rsidRPr="00CF0129" w:rsidRDefault="00E52BD9" w:rsidP="00E52BD9">
      <w:pPr>
        <w:spacing w:before="120" w:line="300" w:lineRule="auto"/>
        <w:rPr>
          <w:bCs/>
          <w:szCs w:val="24"/>
        </w:rPr>
      </w:pPr>
      <w:r w:rsidRPr="00CF0129">
        <w:rPr>
          <w:bCs/>
          <w:szCs w:val="24"/>
        </w:rPr>
        <w:t xml:space="preserve">The LMP for </w:t>
      </w:r>
      <w:r>
        <w:rPr>
          <w:bCs/>
          <w:szCs w:val="24"/>
        </w:rPr>
        <w:t>Resource Aggregation</w:t>
      </w:r>
      <w:r w:rsidRPr="00CF0129">
        <w:rPr>
          <w:bCs/>
          <w:szCs w:val="24"/>
        </w:rPr>
        <w:t xml:space="preserve"> is: </w:t>
      </w:r>
    </w:p>
    <w:p w14:paraId="76CEF439" w14:textId="382B41F8" w:rsidR="00C31141" w:rsidRDefault="00E52BD9" w:rsidP="00BF6F3E">
      <w:pPr>
        <w:spacing w:before="120" w:line="300" w:lineRule="auto"/>
        <w:rPr>
          <w:bCs/>
          <w:szCs w:val="24"/>
        </w:rPr>
      </w:pPr>
      <w:r w:rsidRPr="00CF0129">
        <w:rPr>
          <w:bCs/>
          <w:szCs w:val="24"/>
        </w:rPr>
        <w:t>LMP</w:t>
      </w:r>
      <w:r>
        <w:rPr>
          <w:bCs/>
          <w:szCs w:val="24"/>
        </w:rPr>
        <w:t>ResourceAggregation</w:t>
      </w:r>
      <w:r w:rsidRPr="00CF0129">
        <w:rPr>
          <w:rFonts w:ascii="Times New Roman Bold" w:hAnsi="Times New Roman Bold"/>
          <w:b/>
          <w:bCs/>
          <w:i/>
          <w:szCs w:val="24"/>
          <w:vertAlign w:val="subscript"/>
        </w:rPr>
        <w:t>j</w:t>
      </w:r>
      <w:r w:rsidRPr="00CF0129">
        <w:rPr>
          <w:bCs/>
          <w:szCs w:val="24"/>
        </w:rPr>
        <w:t xml:space="preserve"> = </w:t>
      </w:r>
      <w:r w:rsidR="00BF6F3E">
        <w:rPr>
          <w:bCs/>
          <w:szCs w:val="24"/>
        </w:rPr>
        <w:t>(</w:t>
      </w:r>
      <w:r w:rsidRPr="00CF0129">
        <w:rPr>
          <w:bCs/>
          <w:szCs w:val="24"/>
        </w:rPr>
        <w:t xml:space="preserve"> </w:t>
      </w:r>
      <m:oMath>
        <m:r>
          <w:rPr>
            <w:rFonts w:ascii="Cambria Math" w:hAnsi="Cambria Math"/>
            <w:szCs w:val="24"/>
          </w:rPr>
          <m:t xml:space="preserve"> </m:t>
        </m:r>
        <m:nary>
          <m:naryPr>
            <m:chr m:val="∑"/>
            <m:supHide m:val="1"/>
            <m:ctrlPr>
              <w:rPr>
                <w:rFonts w:ascii="Cambria Math" w:hAnsi="Cambria Math"/>
                <w:bCs/>
                <w:i/>
                <w:szCs w:val="24"/>
              </w:rPr>
            </m:ctrlPr>
          </m:naryPr>
          <m:sub>
            <m:r>
              <w:rPr>
                <w:rFonts w:ascii="Cambria Math"/>
                <w:szCs w:val="24"/>
              </w:rPr>
              <m:t>bk</m:t>
            </m:r>
          </m:sub>
          <m:sup/>
          <m:e/>
        </m:nary>
      </m:oMath>
      <w:r w:rsidR="00BF6F3E" w:rsidRPr="00CF0129">
        <w:rPr>
          <w:bCs/>
          <w:szCs w:val="24"/>
        </w:rPr>
        <w:t xml:space="preserve"> </w:t>
      </w:r>
      <w:r w:rsidRPr="00CF0129">
        <w:rPr>
          <w:bCs/>
          <w:szCs w:val="24"/>
        </w:rPr>
        <w:t>(</w:t>
      </w:r>
      <w:r w:rsidRPr="00E94CBF">
        <w:rPr>
          <w:i/>
          <w:szCs w:val="24"/>
          <w:vertAlign w:val="subscript"/>
        </w:rPr>
        <w:t>W</w:t>
      </w:r>
      <w:r w:rsidR="00C05218">
        <w:rPr>
          <w:bCs/>
          <w:i/>
          <w:iCs/>
          <w:szCs w:val="24"/>
          <w:vertAlign w:val="subscript"/>
        </w:rPr>
        <w:t xml:space="preserve"> </w:t>
      </w:r>
      <w:r w:rsidR="00C05218" w:rsidRPr="00E94CBF">
        <w:rPr>
          <w:b/>
          <w:i/>
          <w:szCs w:val="24"/>
          <w:vertAlign w:val="subscript"/>
        </w:rPr>
        <w:t>b</w:t>
      </w:r>
      <w:r w:rsidRPr="00C05218">
        <w:rPr>
          <w:rFonts w:ascii="Times New Roman Bold" w:hAnsi="Times New Roman Bold"/>
          <w:b/>
          <w:bCs/>
          <w:i/>
          <w:iCs/>
          <w:szCs w:val="24"/>
          <w:vertAlign w:val="subscript"/>
        </w:rPr>
        <w:t>k</w:t>
      </w:r>
      <w:r w:rsidRPr="00CF0129">
        <w:rPr>
          <w:bCs/>
          <w:szCs w:val="24"/>
        </w:rPr>
        <w:t xml:space="preserve"> * </w:t>
      </w:r>
      <w:r w:rsidRPr="00E94CBF">
        <w:rPr>
          <w:i/>
          <w:szCs w:val="24"/>
        </w:rPr>
        <w:t>LMP</w:t>
      </w:r>
      <w:r w:rsidRPr="00C05218">
        <w:rPr>
          <w:rFonts w:ascii="Times New Roman Bold" w:hAnsi="Times New Roman Bold"/>
          <w:b/>
          <w:bCs/>
          <w:i/>
          <w:iCs/>
          <w:szCs w:val="24"/>
          <w:vertAlign w:val="subscript"/>
        </w:rPr>
        <w:t>k</w:t>
      </w:r>
      <w:r w:rsidRPr="00CF0129">
        <w:rPr>
          <w:bCs/>
          <w:szCs w:val="24"/>
        </w:rPr>
        <w:t>)</w:t>
      </w:r>
      <w:r w:rsidR="002B2882">
        <w:rPr>
          <w:bCs/>
          <w:szCs w:val="24"/>
        </w:rPr>
        <w:t xml:space="preserve"> *</w:t>
      </w:r>
      <w:r w:rsidR="00BF6F3E">
        <w:rPr>
          <w:bCs/>
          <w:szCs w:val="24"/>
        </w:rPr>
        <w:t xml:space="preserve"> MinEnergyOutput </w:t>
      </w:r>
    </w:p>
    <w:p w14:paraId="6D3ABC12" w14:textId="787E4EB5" w:rsidR="004E79F4" w:rsidRDefault="00BF6F3E" w:rsidP="004E79F4">
      <w:pPr>
        <w:spacing w:before="120" w:line="300" w:lineRule="auto"/>
        <w:ind w:left="2160" w:firstLine="720"/>
        <w:rPr>
          <w:bCs/>
          <w:szCs w:val="24"/>
        </w:rPr>
      </w:pPr>
      <w:r>
        <w:rPr>
          <w:bCs/>
          <w:szCs w:val="24"/>
        </w:rPr>
        <w:t>+</w:t>
      </w:r>
      <m:oMath>
        <m:r>
          <w:rPr>
            <w:rFonts w:ascii="Cambria Math" w:hAnsi="Cambria Math"/>
            <w:szCs w:val="24"/>
          </w:rPr>
          <m:t xml:space="preserve"> </m:t>
        </m:r>
        <m:nary>
          <m:naryPr>
            <m:chr m:val="∑"/>
            <m:supHide m:val="1"/>
            <m:ctrlPr>
              <w:rPr>
                <w:rFonts w:ascii="Cambria Math" w:hAnsi="Cambria Math"/>
                <w:bCs/>
                <w:i/>
                <w:szCs w:val="24"/>
              </w:rPr>
            </m:ctrlPr>
          </m:naryPr>
          <m:sub>
            <m:r>
              <w:rPr>
                <w:rFonts w:ascii="Cambria Math"/>
                <w:szCs w:val="24"/>
              </w:rPr>
              <m:t>ik</m:t>
            </m:r>
          </m:sub>
          <m:sup/>
          <m:e/>
        </m:nary>
      </m:oMath>
      <w:r w:rsidRPr="00CF0129">
        <w:rPr>
          <w:bCs/>
          <w:szCs w:val="24"/>
        </w:rPr>
        <w:t xml:space="preserve"> (</w:t>
      </w:r>
      <w:r w:rsidRPr="00EA1E88">
        <w:rPr>
          <w:bCs/>
          <w:i/>
          <w:iCs/>
          <w:szCs w:val="24"/>
          <w:vertAlign w:val="subscript"/>
        </w:rPr>
        <w:t>W</w:t>
      </w:r>
      <w:r>
        <w:rPr>
          <w:bCs/>
          <w:i/>
          <w:iCs/>
          <w:szCs w:val="24"/>
          <w:vertAlign w:val="subscript"/>
        </w:rPr>
        <w:t xml:space="preserve"> </w:t>
      </w:r>
      <w:r w:rsidR="00622F9F">
        <w:rPr>
          <w:b/>
          <w:i/>
          <w:iCs/>
          <w:szCs w:val="24"/>
          <w:vertAlign w:val="subscript"/>
        </w:rPr>
        <w:t>i</w:t>
      </w:r>
      <w:r w:rsidRPr="00C05218">
        <w:rPr>
          <w:rFonts w:ascii="Times New Roman Bold" w:hAnsi="Times New Roman Bold"/>
          <w:b/>
          <w:bCs/>
          <w:i/>
          <w:iCs/>
          <w:szCs w:val="24"/>
          <w:vertAlign w:val="subscript"/>
        </w:rPr>
        <w:t>k</w:t>
      </w:r>
      <w:r w:rsidRPr="00CF0129">
        <w:rPr>
          <w:bCs/>
          <w:szCs w:val="24"/>
        </w:rPr>
        <w:t xml:space="preserve"> * </w:t>
      </w:r>
      <w:r w:rsidRPr="00EA1E88">
        <w:rPr>
          <w:bCs/>
          <w:i/>
          <w:iCs/>
          <w:szCs w:val="24"/>
        </w:rPr>
        <w:t>LMP</w:t>
      </w:r>
      <w:r w:rsidRPr="00C05218">
        <w:rPr>
          <w:rFonts w:ascii="Times New Roman Bold" w:hAnsi="Times New Roman Bold"/>
          <w:b/>
          <w:bCs/>
          <w:i/>
          <w:iCs/>
          <w:szCs w:val="24"/>
          <w:vertAlign w:val="subscript"/>
        </w:rPr>
        <w:t>k</w:t>
      </w:r>
      <w:r w:rsidRPr="00CF0129">
        <w:rPr>
          <w:bCs/>
          <w:szCs w:val="24"/>
        </w:rPr>
        <w:t>)</w:t>
      </w:r>
      <w:r>
        <w:rPr>
          <w:bCs/>
          <w:szCs w:val="24"/>
        </w:rPr>
        <w:t xml:space="preserve"> * IncrEnergyOutput ) </w:t>
      </w:r>
    </w:p>
    <w:p w14:paraId="3D7F1DEC" w14:textId="74537AB3" w:rsidR="00BF6F3E" w:rsidRDefault="00BF6F3E" w:rsidP="00E94CBF">
      <w:pPr>
        <w:spacing w:before="120" w:line="300" w:lineRule="auto"/>
        <w:ind w:left="2160" w:firstLine="720"/>
        <w:rPr>
          <w:bCs/>
          <w:szCs w:val="24"/>
        </w:rPr>
      </w:pPr>
      <w:r>
        <w:rPr>
          <w:bCs/>
          <w:szCs w:val="24"/>
        </w:rPr>
        <w:t>/</w:t>
      </w:r>
      <w:r w:rsidR="004E79F4">
        <w:rPr>
          <w:bCs/>
          <w:szCs w:val="24"/>
        </w:rPr>
        <w:t xml:space="preserve"> </w:t>
      </w:r>
      <w:r w:rsidR="00622F9F">
        <w:rPr>
          <w:bCs/>
          <w:szCs w:val="24"/>
        </w:rPr>
        <w:t xml:space="preserve"> (MinEnergyOutput + IncrEnergyOutput )</w:t>
      </w:r>
    </w:p>
    <w:p w14:paraId="201085B0" w14:textId="77777777" w:rsidR="00261FC1" w:rsidRDefault="00261FC1" w:rsidP="00E52BD9">
      <w:pPr>
        <w:spacing w:before="120" w:line="300" w:lineRule="auto"/>
        <w:rPr>
          <w:bCs/>
          <w:szCs w:val="24"/>
        </w:rPr>
      </w:pPr>
    </w:p>
    <w:p w14:paraId="7C7C3011" w14:textId="12494609" w:rsidR="00E52BD9" w:rsidRPr="00CF0129" w:rsidRDefault="00E52BD9" w:rsidP="00E52BD9">
      <w:pPr>
        <w:spacing w:before="120" w:line="300" w:lineRule="auto"/>
        <w:rPr>
          <w:bCs/>
          <w:szCs w:val="24"/>
        </w:rPr>
      </w:pPr>
      <w:r w:rsidRPr="00CF0129">
        <w:rPr>
          <w:bCs/>
          <w:szCs w:val="24"/>
        </w:rPr>
        <w:t xml:space="preserve">The MCC for </w:t>
      </w:r>
      <w:r>
        <w:rPr>
          <w:bCs/>
          <w:szCs w:val="24"/>
        </w:rPr>
        <w:t>Resource Aggregation</w:t>
      </w:r>
      <w:r w:rsidRPr="00CF0129">
        <w:rPr>
          <w:bCs/>
          <w:szCs w:val="24"/>
        </w:rPr>
        <w:t xml:space="preserve"> is: </w:t>
      </w:r>
    </w:p>
    <w:p w14:paraId="434D006D" w14:textId="4DB2613A" w:rsidR="00E52BD9" w:rsidRDefault="00E52BD9" w:rsidP="004E79F4">
      <w:pPr>
        <w:spacing w:before="120" w:line="300" w:lineRule="auto"/>
        <w:rPr>
          <w:bCs/>
          <w:szCs w:val="24"/>
        </w:rPr>
      </w:pPr>
      <w:r w:rsidRPr="00CF0129">
        <w:rPr>
          <w:bCs/>
          <w:szCs w:val="24"/>
        </w:rPr>
        <w:t>MCC</w:t>
      </w:r>
      <w:r>
        <w:rPr>
          <w:bCs/>
          <w:szCs w:val="24"/>
        </w:rPr>
        <w:t>ResourceAggregation</w:t>
      </w:r>
      <w:r w:rsidRPr="00CF0129">
        <w:rPr>
          <w:rFonts w:ascii="Times New Roman Bold" w:hAnsi="Times New Roman Bold"/>
          <w:b/>
          <w:bCs/>
          <w:i/>
          <w:szCs w:val="24"/>
          <w:vertAlign w:val="subscript"/>
        </w:rPr>
        <w:t>j</w:t>
      </w:r>
      <w:r w:rsidRPr="00CF0129">
        <w:rPr>
          <w:bCs/>
          <w:szCs w:val="24"/>
        </w:rPr>
        <w:t xml:space="preserve"> =</w:t>
      </w:r>
      <w:r w:rsidR="00F11EF1">
        <w:rPr>
          <w:bCs/>
          <w:szCs w:val="24"/>
        </w:rPr>
        <w:t xml:space="preserve"> (</w:t>
      </w:r>
      <w:r w:rsidRPr="00CF0129">
        <w:rPr>
          <w:bCs/>
          <w:szCs w:val="24"/>
        </w:rPr>
        <w:t xml:space="preserve"> </w:t>
      </w:r>
      <m:oMath>
        <m:nary>
          <m:naryPr>
            <m:chr m:val="∑"/>
            <m:supHide m:val="1"/>
            <m:ctrlPr>
              <w:rPr>
                <w:rFonts w:ascii="Cambria Math" w:hAnsi="Cambria Math"/>
                <w:bCs/>
                <w:i/>
                <w:szCs w:val="24"/>
              </w:rPr>
            </m:ctrlPr>
          </m:naryPr>
          <m:sub>
            <m:r>
              <w:rPr>
                <w:rFonts w:ascii="Cambria Math"/>
                <w:szCs w:val="24"/>
              </w:rPr>
              <m:t>bk</m:t>
            </m:r>
          </m:sub>
          <m:sup/>
          <m:e/>
        </m:nary>
      </m:oMath>
      <w:r w:rsidR="004E79F4" w:rsidRPr="00CF0129">
        <w:rPr>
          <w:bCs/>
          <w:szCs w:val="24"/>
        </w:rPr>
        <w:t xml:space="preserve"> </w:t>
      </w:r>
      <w:r w:rsidRPr="00CF0129">
        <w:rPr>
          <w:bCs/>
          <w:szCs w:val="24"/>
        </w:rPr>
        <w:t>(W</w:t>
      </w:r>
      <w:r w:rsidR="00F11EF1" w:rsidRPr="00E94CBF">
        <w:rPr>
          <w:szCs w:val="24"/>
          <w:vertAlign w:val="subscript"/>
        </w:rPr>
        <w:t>b</w:t>
      </w:r>
      <w:r w:rsidRPr="00CF0129">
        <w:rPr>
          <w:rFonts w:ascii="Times New Roman Bold" w:hAnsi="Times New Roman Bold"/>
          <w:b/>
          <w:bCs/>
          <w:i/>
          <w:szCs w:val="24"/>
          <w:vertAlign w:val="subscript"/>
        </w:rPr>
        <w:t>k</w:t>
      </w:r>
      <w:r w:rsidRPr="00CF0129">
        <w:rPr>
          <w:bCs/>
          <w:szCs w:val="24"/>
        </w:rPr>
        <w:t xml:space="preserve"> * </w:t>
      </w:r>
      <w:r w:rsidRPr="00E94CBF">
        <w:rPr>
          <w:i/>
          <w:szCs w:val="24"/>
        </w:rPr>
        <w:t>MCC</w:t>
      </w:r>
      <w:r w:rsidRPr="00CF0129">
        <w:rPr>
          <w:rFonts w:ascii="Times New Roman Bold" w:hAnsi="Times New Roman Bold"/>
          <w:b/>
          <w:bCs/>
          <w:i/>
          <w:szCs w:val="24"/>
          <w:vertAlign w:val="subscript"/>
        </w:rPr>
        <w:t>k</w:t>
      </w:r>
      <w:r w:rsidRPr="00CF0129">
        <w:rPr>
          <w:bCs/>
          <w:szCs w:val="24"/>
        </w:rPr>
        <w:t>)</w:t>
      </w:r>
      <w:r w:rsidR="00F11EF1">
        <w:rPr>
          <w:bCs/>
          <w:szCs w:val="24"/>
        </w:rPr>
        <w:t xml:space="preserve"> * MinEnergyOutput</w:t>
      </w:r>
    </w:p>
    <w:p w14:paraId="67DF3395" w14:textId="268014C6" w:rsidR="00F11EF1" w:rsidRPr="00F11EF1" w:rsidRDefault="00F11EF1" w:rsidP="00F11EF1">
      <w:pPr>
        <w:spacing w:before="120" w:line="300" w:lineRule="auto"/>
        <w:ind w:left="2160" w:firstLine="720"/>
        <w:rPr>
          <w:bCs/>
          <w:szCs w:val="24"/>
        </w:rPr>
      </w:pPr>
      <w:r w:rsidRPr="00F11EF1">
        <w:rPr>
          <w:bCs/>
          <w:szCs w:val="24"/>
        </w:rPr>
        <w:t>+</w:t>
      </w:r>
      <m:oMath>
        <m:r>
          <w:rPr>
            <w:rFonts w:ascii="Cambria Math" w:hAnsi="Cambria Math"/>
            <w:szCs w:val="24"/>
          </w:rPr>
          <m:t xml:space="preserve"> </m:t>
        </m:r>
        <m:nary>
          <m:naryPr>
            <m:chr m:val="∑"/>
            <m:supHide m:val="1"/>
            <m:ctrlPr>
              <w:rPr>
                <w:rFonts w:ascii="Cambria Math" w:hAnsi="Cambria Math"/>
                <w:bCs/>
                <w:i/>
                <w:szCs w:val="24"/>
              </w:rPr>
            </m:ctrlPr>
          </m:naryPr>
          <m:sub>
            <m:r>
              <w:rPr>
                <w:rFonts w:ascii="Cambria Math"/>
                <w:szCs w:val="24"/>
              </w:rPr>
              <m:t>ik</m:t>
            </m:r>
          </m:sub>
          <m:sup/>
          <m:e/>
        </m:nary>
      </m:oMath>
      <w:r w:rsidRPr="00F11EF1">
        <w:rPr>
          <w:bCs/>
          <w:szCs w:val="24"/>
        </w:rPr>
        <w:t xml:space="preserve"> (</w:t>
      </w:r>
      <w:r w:rsidRPr="00F11EF1">
        <w:rPr>
          <w:bCs/>
          <w:i/>
          <w:iCs/>
          <w:szCs w:val="24"/>
          <w:vertAlign w:val="subscript"/>
        </w:rPr>
        <w:t xml:space="preserve">W </w:t>
      </w:r>
      <w:r w:rsidRPr="00F11EF1">
        <w:rPr>
          <w:b/>
          <w:i/>
          <w:iCs/>
          <w:szCs w:val="24"/>
          <w:vertAlign w:val="subscript"/>
        </w:rPr>
        <w:t>i</w:t>
      </w:r>
      <w:r w:rsidRPr="00F11EF1">
        <w:rPr>
          <w:rFonts w:ascii="Times New Roman Bold" w:hAnsi="Times New Roman Bold"/>
          <w:b/>
          <w:bCs/>
          <w:i/>
          <w:iCs/>
          <w:szCs w:val="24"/>
          <w:vertAlign w:val="subscript"/>
        </w:rPr>
        <w:t>k</w:t>
      </w:r>
      <w:r w:rsidRPr="00F11EF1">
        <w:rPr>
          <w:bCs/>
          <w:szCs w:val="24"/>
        </w:rPr>
        <w:t xml:space="preserve"> * </w:t>
      </w:r>
      <w:r w:rsidRPr="00E94CBF">
        <w:rPr>
          <w:i/>
          <w:szCs w:val="24"/>
        </w:rPr>
        <w:t>MCC</w:t>
      </w:r>
      <w:r w:rsidRPr="00F11EF1">
        <w:rPr>
          <w:rFonts w:ascii="Times New Roman Bold" w:hAnsi="Times New Roman Bold"/>
          <w:b/>
          <w:bCs/>
          <w:i/>
          <w:iCs/>
          <w:szCs w:val="24"/>
          <w:vertAlign w:val="subscript"/>
        </w:rPr>
        <w:t>k</w:t>
      </w:r>
      <w:r w:rsidRPr="00F11EF1">
        <w:rPr>
          <w:bCs/>
          <w:szCs w:val="24"/>
        </w:rPr>
        <w:t xml:space="preserve">) * IncrEnergyOutput ) </w:t>
      </w:r>
    </w:p>
    <w:p w14:paraId="78CAC1A1" w14:textId="5B84CC95" w:rsidR="00F11EF1" w:rsidRPr="00F11EF1" w:rsidRDefault="00F11EF1" w:rsidP="00F11EF1">
      <w:pPr>
        <w:spacing w:before="120" w:line="300" w:lineRule="auto"/>
        <w:ind w:left="2160" w:firstLine="720"/>
        <w:rPr>
          <w:bCs/>
          <w:szCs w:val="24"/>
        </w:rPr>
      </w:pPr>
      <w:r w:rsidRPr="00F11EF1">
        <w:rPr>
          <w:bCs/>
          <w:szCs w:val="24"/>
        </w:rPr>
        <w:t>/  (MinEnergyOutput + IncrEnergyOutput )</w:t>
      </w:r>
    </w:p>
    <w:p w14:paraId="3B63593C" w14:textId="77777777" w:rsidR="00F11EF1" w:rsidRPr="00CF0129" w:rsidRDefault="00F11EF1" w:rsidP="00E94CBF">
      <w:pPr>
        <w:spacing w:before="120" w:line="300" w:lineRule="auto"/>
        <w:rPr>
          <w:bCs/>
          <w:szCs w:val="24"/>
        </w:rPr>
      </w:pPr>
    </w:p>
    <w:p w14:paraId="7C162000" w14:textId="77777777" w:rsidR="00E52BD9" w:rsidRPr="00CF0129" w:rsidRDefault="00E52BD9" w:rsidP="00B31EDB">
      <w:pPr>
        <w:spacing w:after="0"/>
        <w:jc w:val="left"/>
        <w:rPr>
          <w:bCs/>
          <w:szCs w:val="24"/>
        </w:rPr>
      </w:pPr>
      <w:r w:rsidRPr="00CF0129">
        <w:rPr>
          <w:bCs/>
          <w:szCs w:val="24"/>
        </w:rPr>
        <w:t xml:space="preserve">The MLC for </w:t>
      </w:r>
      <w:r>
        <w:rPr>
          <w:bCs/>
          <w:szCs w:val="24"/>
        </w:rPr>
        <w:t>Resource Aggregation</w:t>
      </w:r>
      <w:r w:rsidRPr="00CF0129">
        <w:rPr>
          <w:bCs/>
          <w:szCs w:val="24"/>
        </w:rPr>
        <w:t xml:space="preserve"> is: </w:t>
      </w:r>
    </w:p>
    <w:p w14:paraId="26AC8695" w14:textId="4F48D2A0" w:rsidR="00337D81" w:rsidRDefault="00E52BD9" w:rsidP="00337D81">
      <w:pPr>
        <w:spacing w:before="120" w:line="300" w:lineRule="auto"/>
        <w:rPr>
          <w:bCs/>
          <w:szCs w:val="24"/>
        </w:rPr>
      </w:pPr>
      <w:r w:rsidRPr="00CF0129">
        <w:rPr>
          <w:bCs/>
          <w:szCs w:val="24"/>
        </w:rPr>
        <w:t>MLC</w:t>
      </w:r>
      <w:r>
        <w:rPr>
          <w:bCs/>
          <w:szCs w:val="24"/>
        </w:rPr>
        <w:t>ResourceAggregation</w:t>
      </w:r>
      <w:r w:rsidRPr="00CF0129">
        <w:rPr>
          <w:rFonts w:ascii="Times New Roman Bold" w:hAnsi="Times New Roman Bold"/>
          <w:b/>
          <w:bCs/>
          <w:i/>
          <w:szCs w:val="24"/>
          <w:vertAlign w:val="subscript"/>
        </w:rPr>
        <w:t>j</w:t>
      </w:r>
      <w:r w:rsidRPr="00CF0129">
        <w:rPr>
          <w:bCs/>
          <w:szCs w:val="24"/>
        </w:rPr>
        <w:t xml:space="preserve"> = </w:t>
      </w:r>
      <w:r w:rsidR="00337D81" w:rsidRPr="00CF0129">
        <w:rPr>
          <w:bCs/>
          <w:szCs w:val="24"/>
        </w:rPr>
        <w:t>=</w:t>
      </w:r>
      <w:r w:rsidR="00337D81">
        <w:rPr>
          <w:bCs/>
          <w:szCs w:val="24"/>
        </w:rPr>
        <w:t xml:space="preserve"> (</w:t>
      </w:r>
      <w:r w:rsidR="00337D81" w:rsidRPr="00CF0129">
        <w:rPr>
          <w:bCs/>
          <w:szCs w:val="24"/>
        </w:rPr>
        <w:t xml:space="preserve"> </w:t>
      </w:r>
      <m:oMath>
        <m:nary>
          <m:naryPr>
            <m:chr m:val="∑"/>
            <m:supHide m:val="1"/>
            <m:ctrlPr>
              <w:rPr>
                <w:rFonts w:ascii="Cambria Math" w:hAnsi="Cambria Math"/>
                <w:bCs/>
                <w:i/>
                <w:szCs w:val="24"/>
              </w:rPr>
            </m:ctrlPr>
          </m:naryPr>
          <m:sub>
            <m:r>
              <w:rPr>
                <w:rFonts w:ascii="Cambria Math"/>
                <w:szCs w:val="24"/>
              </w:rPr>
              <m:t>bk</m:t>
            </m:r>
          </m:sub>
          <m:sup/>
          <m:e/>
        </m:nary>
      </m:oMath>
      <w:r w:rsidR="00337D81" w:rsidRPr="00CF0129">
        <w:rPr>
          <w:bCs/>
          <w:szCs w:val="24"/>
        </w:rPr>
        <w:t xml:space="preserve"> (W</w:t>
      </w:r>
      <w:r w:rsidR="00337D81" w:rsidRPr="006E3035">
        <w:rPr>
          <w:bCs/>
          <w:szCs w:val="24"/>
          <w:vertAlign w:val="subscript"/>
        </w:rPr>
        <w:t>b</w:t>
      </w:r>
      <w:r w:rsidR="00337D81" w:rsidRPr="00CF0129">
        <w:rPr>
          <w:rFonts w:ascii="Times New Roman Bold" w:hAnsi="Times New Roman Bold"/>
          <w:b/>
          <w:bCs/>
          <w:i/>
          <w:szCs w:val="24"/>
          <w:vertAlign w:val="subscript"/>
        </w:rPr>
        <w:t>k</w:t>
      </w:r>
      <w:r w:rsidR="00337D81" w:rsidRPr="00CF0129">
        <w:rPr>
          <w:bCs/>
          <w:szCs w:val="24"/>
        </w:rPr>
        <w:t xml:space="preserve"> * </w:t>
      </w:r>
      <w:r w:rsidR="00337D81" w:rsidRPr="006E3035">
        <w:rPr>
          <w:bCs/>
          <w:i/>
          <w:iCs/>
          <w:szCs w:val="24"/>
        </w:rPr>
        <w:t>M</w:t>
      </w:r>
      <w:r w:rsidR="00EE7A98">
        <w:rPr>
          <w:bCs/>
          <w:i/>
          <w:iCs/>
          <w:szCs w:val="24"/>
        </w:rPr>
        <w:t>L</w:t>
      </w:r>
      <w:r w:rsidR="00337D81" w:rsidRPr="006E3035">
        <w:rPr>
          <w:bCs/>
          <w:i/>
          <w:iCs/>
          <w:szCs w:val="24"/>
        </w:rPr>
        <w:t>C</w:t>
      </w:r>
      <w:r w:rsidR="00337D81" w:rsidRPr="00CF0129">
        <w:rPr>
          <w:rFonts w:ascii="Times New Roman Bold" w:hAnsi="Times New Roman Bold"/>
          <w:b/>
          <w:bCs/>
          <w:i/>
          <w:szCs w:val="24"/>
          <w:vertAlign w:val="subscript"/>
        </w:rPr>
        <w:t>k</w:t>
      </w:r>
      <w:r w:rsidR="00337D81" w:rsidRPr="00CF0129">
        <w:rPr>
          <w:bCs/>
          <w:szCs w:val="24"/>
        </w:rPr>
        <w:t>)</w:t>
      </w:r>
      <w:r w:rsidR="00337D81">
        <w:rPr>
          <w:bCs/>
          <w:szCs w:val="24"/>
        </w:rPr>
        <w:t xml:space="preserve"> * MinEnergyOutput</w:t>
      </w:r>
    </w:p>
    <w:p w14:paraId="43B3D1A1" w14:textId="4CC11F0B" w:rsidR="00337D81" w:rsidRPr="00F11EF1" w:rsidRDefault="00337D81" w:rsidP="00337D81">
      <w:pPr>
        <w:spacing w:before="120" w:line="300" w:lineRule="auto"/>
        <w:ind w:left="2160" w:firstLine="720"/>
        <w:rPr>
          <w:bCs/>
          <w:szCs w:val="24"/>
        </w:rPr>
      </w:pPr>
      <w:r w:rsidRPr="00F11EF1">
        <w:rPr>
          <w:bCs/>
          <w:szCs w:val="24"/>
        </w:rPr>
        <w:t>+</w:t>
      </w:r>
      <m:oMath>
        <m:r>
          <w:rPr>
            <w:rFonts w:ascii="Cambria Math" w:hAnsi="Cambria Math"/>
            <w:szCs w:val="24"/>
          </w:rPr>
          <m:t xml:space="preserve"> </m:t>
        </m:r>
        <m:nary>
          <m:naryPr>
            <m:chr m:val="∑"/>
            <m:supHide m:val="1"/>
            <m:ctrlPr>
              <w:rPr>
                <w:rFonts w:ascii="Cambria Math" w:hAnsi="Cambria Math"/>
                <w:bCs/>
                <w:i/>
                <w:szCs w:val="24"/>
              </w:rPr>
            </m:ctrlPr>
          </m:naryPr>
          <m:sub>
            <m:r>
              <w:rPr>
                <w:rFonts w:ascii="Cambria Math"/>
                <w:szCs w:val="24"/>
              </w:rPr>
              <m:t>ik</m:t>
            </m:r>
          </m:sub>
          <m:sup/>
          <m:e/>
        </m:nary>
      </m:oMath>
      <w:r w:rsidRPr="00F11EF1">
        <w:rPr>
          <w:bCs/>
          <w:szCs w:val="24"/>
        </w:rPr>
        <w:t xml:space="preserve"> (</w:t>
      </w:r>
      <w:r w:rsidRPr="00F11EF1">
        <w:rPr>
          <w:bCs/>
          <w:i/>
          <w:iCs/>
          <w:szCs w:val="24"/>
          <w:vertAlign w:val="subscript"/>
        </w:rPr>
        <w:t xml:space="preserve">W </w:t>
      </w:r>
      <w:r w:rsidRPr="00F11EF1">
        <w:rPr>
          <w:b/>
          <w:i/>
          <w:iCs/>
          <w:szCs w:val="24"/>
          <w:vertAlign w:val="subscript"/>
        </w:rPr>
        <w:t>i</w:t>
      </w:r>
      <w:r w:rsidRPr="00F11EF1">
        <w:rPr>
          <w:rFonts w:ascii="Times New Roman Bold" w:hAnsi="Times New Roman Bold"/>
          <w:b/>
          <w:bCs/>
          <w:i/>
          <w:iCs/>
          <w:szCs w:val="24"/>
          <w:vertAlign w:val="subscript"/>
        </w:rPr>
        <w:t>k</w:t>
      </w:r>
      <w:r w:rsidRPr="00F11EF1">
        <w:rPr>
          <w:bCs/>
          <w:szCs w:val="24"/>
        </w:rPr>
        <w:t xml:space="preserve"> * </w:t>
      </w:r>
      <w:r w:rsidRPr="006E3035">
        <w:rPr>
          <w:bCs/>
          <w:i/>
          <w:iCs/>
          <w:szCs w:val="24"/>
        </w:rPr>
        <w:t>M</w:t>
      </w:r>
      <w:r w:rsidR="00EE7A98">
        <w:rPr>
          <w:bCs/>
          <w:i/>
          <w:iCs/>
          <w:szCs w:val="24"/>
        </w:rPr>
        <w:t>L</w:t>
      </w:r>
      <w:r w:rsidRPr="006E3035">
        <w:rPr>
          <w:bCs/>
          <w:i/>
          <w:iCs/>
          <w:szCs w:val="24"/>
        </w:rPr>
        <w:t>C</w:t>
      </w:r>
      <w:r w:rsidRPr="00F11EF1">
        <w:rPr>
          <w:rFonts w:ascii="Times New Roman Bold" w:hAnsi="Times New Roman Bold"/>
          <w:b/>
          <w:bCs/>
          <w:i/>
          <w:iCs/>
          <w:szCs w:val="24"/>
          <w:vertAlign w:val="subscript"/>
        </w:rPr>
        <w:t>k</w:t>
      </w:r>
      <w:r w:rsidRPr="00F11EF1">
        <w:rPr>
          <w:bCs/>
          <w:szCs w:val="24"/>
        </w:rPr>
        <w:t xml:space="preserve">) * IncrEnergyOutput ) </w:t>
      </w:r>
    </w:p>
    <w:p w14:paraId="77D687FF" w14:textId="55003416" w:rsidR="00E52BD9" w:rsidRPr="00CF0129" w:rsidRDefault="00337D81" w:rsidP="00E94CBF">
      <w:pPr>
        <w:spacing w:before="120" w:line="300" w:lineRule="auto"/>
        <w:ind w:left="2160" w:firstLine="720"/>
        <w:rPr>
          <w:bCs/>
          <w:szCs w:val="24"/>
        </w:rPr>
      </w:pPr>
      <w:r w:rsidRPr="00F11EF1">
        <w:rPr>
          <w:bCs/>
          <w:szCs w:val="24"/>
        </w:rPr>
        <w:t xml:space="preserve">/  (MinEnergyOutput + IncrEnergyOutput </w:t>
      </w:r>
    </w:p>
    <w:p w14:paraId="7C2C4655" w14:textId="77777777" w:rsidR="00E52BD9" w:rsidRPr="00CF0129" w:rsidRDefault="00E52BD9" w:rsidP="00E94CBF">
      <w:pPr>
        <w:spacing w:before="240" w:line="300" w:lineRule="auto"/>
        <w:rPr>
          <w:bCs/>
          <w:szCs w:val="24"/>
        </w:rPr>
      </w:pPr>
      <w:r w:rsidRPr="00CF0129">
        <w:rPr>
          <w:bCs/>
          <w:szCs w:val="24"/>
        </w:rPr>
        <w:t>Where:</w:t>
      </w:r>
    </w:p>
    <w:p w14:paraId="49931F18" w14:textId="1E462C49" w:rsidR="00E52BD9" w:rsidRPr="00CF0129" w:rsidRDefault="00E52BD9" w:rsidP="00E52BD9">
      <w:pPr>
        <w:numPr>
          <w:ilvl w:val="0"/>
          <w:numId w:val="144"/>
        </w:numPr>
        <w:tabs>
          <w:tab w:val="clear" w:pos="900"/>
          <w:tab w:val="num" w:pos="540"/>
          <w:tab w:val="num" w:pos="2160"/>
        </w:tabs>
        <w:spacing w:before="240" w:line="300" w:lineRule="auto"/>
        <w:ind w:left="720"/>
        <w:rPr>
          <w:bCs/>
          <w:szCs w:val="24"/>
        </w:rPr>
      </w:pPr>
      <w:r w:rsidRPr="00CF0129">
        <w:rPr>
          <w:bCs/>
          <w:szCs w:val="24"/>
        </w:rPr>
        <w:t>W</w:t>
      </w:r>
      <w:r w:rsidR="00F57931" w:rsidRPr="00E94CBF">
        <w:rPr>
          <w:szCs w:val="24"/>
          <w:vertAlign w:val="subscript"/>
        </w:rPr>
        <w:t>b</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w:t>
      </w:r>
      <w:r w:rsidR="007D7218">
        <w:rPr>
          <w:bCs/>
          <w:szCs w:val="24"/>
        </w:rPr>
        <w:t xml:space="preserve">Resource Aggregation Base Distribution Factor </w:t>
      </w:r>
      <w:r w:rsidRPr="00CF0129">
        <w:rPr>
          <w:bCs/>
          <w:szCs w:val="24"/>
        </w:rPr>
        <w:t xml:space="preserve">weighting factor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w:t>
      </w:r>
      <w:r>
        <w:rPr>
          <w:bCs/>
          <w:szCs w:val="24"/>
        </w:rPr>
        <w:t>Resource Aggregation A</w:t>
      </w:r>
      <w:r w:rsidR="002D623C">
        <w:rPr>
          <w:bCs/>
          <w:szCs w:val="24"/>
        </w:rPr>
        <w:t>Pnode</w:t>
      </w:r>
      <w:r w:rsidRPr="00CF0129">
        <w:rPr>
          <w:bCs/>
          <w:szCs w:val="24"/>
        </w:rPr>
        <w:t xml:space="preserve"> </w:t>
      </w:r>
      <w:r w:rsidRPr="00CF0129">
        <w:rPr>
          <w:bCs/>
          <w:i/>
          <w:szCs w:val="24"/>
        </w:rPr>
        <w:t>j</w:t>
      </w:r>
      <w:r w:rsidRPr="00CF0129">
        <w:rPr>
          <w:bCs/>
          <w:szCs w:val="24"/>
        </w:rPr>
        <w:t>.  The sum of the</w:t>
      </w:r>
      <w:r w:rsidR="007D7218">
        <w:rPr>
          <w:bCs/>
          <w:szCs w:val="24"/>
        </w:rPr>
        <w:t xml:space="preserve"> Resource Aggregation Base Distribution Factor </w:t>
      </w:r>
      <w:r w:rsidRPr="00CF0129">
        <w:rPr>
          <w:bCs/>
          <w:szCs w:val="24"/>
        </w:rPr>
        <w:t xml:space="preserve">weighting factors for all </w:t>
      </w:r>
      <w:r w:rsidR="002D623C">
        <w:rPr>
          <w:bCs/>
          <w:szCs w:val="24"/>
        </w:rPr>
        <w:t>Pnode</w:t>
      </w:r>
      <w:r w:rsidRPr="00CF0129">
        <w:rPr>
          <w:bCs/>
          <w:szCs w:val="24"/>
        </w:rPr>
        <w:t xml:space="preserve">s </w:t>
      </w:r>
      <w:r w:rsidRPr="00CF0129">
        <w:rPr>
          <w:bCs/>
          <w:i/>
          <w:szCs w:val="24"/>
        </w:rPr>
        <w:t>k</w:t>
      </w:r>
      <w:r w:rsidRPr="00CF0129">
        <w:rPr>
          <w:b/>
          <w:bCs/>
          <w:i/>
          <w:szCs w:val="24"/>
        </w:rPr>
        <w:t xml:space="preserve"> </w:t>
      </w:r>
      <w:r w:rsidRPr="00CF0129">
        <w:rPr>
          <w:bCs/>
          <w:szCs w:val="24"/>
        </w:rPr>
        <w:t xml:space="preserve">must </w:t>
      </w:r>
      <w:r>
        <w:rPr>
          <w:bCs/>
          <w:szCs w:val="24"/>
        </w:rPr>
        <w:t>equal</w:t>
      </w:r>
      <w:r w:rsidRPr="00CF0129">
        <w:rPr>
          <w:bCs/>
          <w:szCs w:val="24"/>
        </w:rPr>
        <w:t xml:space="preserve"> 1.0;</w:t>
      </w:r>
    </w:p>
    <w:p w14:paraId="2A8E93EB" w14:textId="7CE9F5FD" w:rsidR="008C6EBC" w:rsidRPr="00CF0129" w:rsidRDefault="008C6EBC" w:rsidP="00E94CBF">
      <w:pPr>
        <w:numPr>
          <w:ilvl w:val="0"/>
          <w:numId w:val="144"/>
        </w:numPr>
        <w:tabs>
          <w:tab w:val="clear" w:pos="900"/>
          <w:tab w:val="num" w:pos="2160"/>
        </w:tabs>
        <w:spacing w:before="240" w:line="300" w:lineRule="auto"/>
        <w:ind w:left="720"/>
        <w:rPr>
          <w:bCs/>
          <w:szCs w:val="24"/>
        </w:rPr>
      </w:pPr>
      <w:r w:rsidRPr="00CF0129">
        <w:rPr>
          <w:bCs/>
          <w:szCs w:val="24"/>
        </w:rPr>
        <w:t>W</w:t>
      </w:r>
      <w:r w:rsidR="0043626F">
        <w:rPr>
          <w:bCs/>
          <w:szCs w:val="24"/>
          <w:vertAlign w:val="subscript"/>
        </w:rPr>
        <w:t>i</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w:t>
      </w:r>
      <w:r>
        <w:rPr>
          <w:bCs/>
          <w:szCs w:val="24"/>
        </w:rPr>
        <w:t xml:space="preserve">Resource Aggregation </w:t>
      </w:r>
      <w:r w:rsidR="0043626F">
        <w:rPr>
          <w:bCs/>
          <w:szCs w:val="24"/>
        </w:rPr>
        <w:t>Incremental</w:t>
      </w:r>
      <w:r>
        <w:rPr>
          <w:bCs/>
          <w:szCs w:val="24"/>
        </w:rPr>
        <w:t xml:space="preserve"> Distribution Factor </w:t>
      </w:r>
      <w:r w:rsidRPr="00CF0129">
        <w:rPr>
          <w:bCs/>
          <w:szCs w:val="24"/>
        </w:rPr>
        <w:t xml:space="preserve">weighting factor for </w:t>
      </w:r>
      <w:r>
        <w:rPr>
          <w:bCs/>
          <w:szCs w:val="24"/>
        </w:rPr>
        <w:t>Pnode</w:t>
      </w:r>
      <w:r w:rsidRPr="00CF0129">
        <w:rPr>
          <w:bCs/>
          <w:szCs w:val="24"/>
        </w:rPr>
        <w:t xml:space="preserve"> </w:t>
      </w:r>
      <w:r w:rsidRPr="00CF0129">
        <w:rPr>
          <w:bCs/>
          <w:i/>
          <w:szCs w:val="24"/>
        </w:rPr>
        <w:t>k</w:t>
      </w:r>
      <w:r w:rsidRPr="00CF0129">
        <w:rPr>
          <w:bCs/>
          <w:szCs w:val="24"/>
        </w:rPr>
        <w:t xml:space="preserve"> which is part of </w:t>
      </w:r>
      <w:r>
        <w:rPr>
          <w:bCs/>
          <w:szCs w:val="24"/>
        </w:rPr>
        <w:t>Resource Aggregation APnode</w:t>
      </w:r>
      <w:r w:rsidRPr="00CF0129">
        <w:rPr>
          <w:bCs/>
          <w:szCs w:val="24"/>
        </w:rPr>
        <w:t xml:space="preserve"> </w:t>
      </w:r>
      <w:r w:rsidRPr="00CF0129">
        <w:rPr>
          <w:bCs/>
          <w:i/>
          <w:szCs w:val="24"/>
        </w:rPr>
        <w:t>j</w:t>
      </w:r>
      <w:r w:rsidRPr="00CF0129">
        <w:rPr>
          <w:bCs/>
          <w:szCs w:val="24"/>
        </w:rPr>
        <w:t>.  The sum of the</w:t>
      </w:r>
      <w:r>
        <w:rPr>
          <w:bCs/>
          <w:szCs w:val="24"/>
        </w:rPr>
        <w:t xml:space="preserve"> Resource Aggregation </w:t>
      </w:r>
      <w:r w:rsidR="0043626F">
        <w:rPr>
          <w:bCs/>
          <w:szCs w:val="24"/>
        </w:rPr>
        <w:t>Incremental</w:t>
      </w:r>
      <w:r>
        <w:rPr>
          <w:bCs/>
          <w:szCs w:val="24"/>
        </w:rPr>
        <w:t xml:space="preserve"> Distribution Factor </w:t>
      </w:r>
      <w:r w:rsidRPr="00CF0129">
        <w:rPr>
          <w:bCs/>
          <w:szCs w:val="24"/>
        </w:rPr>
        <w:t xml:space="preserve">weighting factors for all </w:t>
      </w:r>
      <w:r>
        <w:rPr>
          <w:bCs/>
          <w:szCs w:val="24"/>
        </w:rPr>
        <w:t>Pnode</w:t>
      </w:r>
      <w:r w:rsidRPr="00CF0129">
        <w:rPr>
          <w:bCs/>
          <w:szCs w:val="24"/>
        </w:rPr>
        <w:t xml:space="preserve">s </w:t>
      </w:r>
      <w:r w:rsidRPr="00CF0129">
        <w:rPr>
          <w:bCs/>
          <w:i/>
          <w:szCs w:val="24"/>
        </w:rPr>
        <w:t>k</w:t>
      </w:r>
      <w:r w:rsidRPr="00CF0129">
        <w:rPr>
          <w:b/>
          <w:bCs/>
          <w:i/>
          <w:szCs w:val="24"/>
        </w:rPr>
        <w:t xml:space="preserve"> </w:t>
      </w:r>
      <w:r w:rsidRPr="00CF0129">
        <w:rPr>
          <w:bCs/>
          <w:szCs w:val="24"/>
        </w:rPr>
        <w:t xml:space="preserve">must </w:t>
      </w:r>
      <w:r>
        <w:rPr>
          <w:bCs/>
          <w:szCs w:val="24"/>
        </w:rPr>
        <w:t>equal</w:t>
      </w:r>
      <w:r w:rsidRPr="00CF0129">
        <w:rPr>
          <w:bCs/>
          <w:szCs w:val="24"/>
        </w:rPr>
        <w:t xml:space="preserve"> 1.0;</w:t>
      </w:r>
    </w:p>
    <w:p w14:paraId="2C1CAB12" w14:textId="5C78CC57" w:rsidR="00E52BD9" w:rsidRPr="00CF0129" w:rsidRDefault="00E52BD9" w:rsidP="00E52BD9">
      <w:pPr>
        <w:numPr>
          <w:ilvl w:val="0"/>
          <w:numId w:val="144"/>
        </w:numPr>
        <w:tabs>
          <w:tab w:val="clear" w:pos="900"/>
          <w:tab w:val="num" w:pos="540"/>
          <w:tab w:val="num" w:pos="2160"/>
        </w:tabs>
        <w:spacing w:before="240" w:line="300" w:lineRule="auto"/>
        <w:ind w:left="720"/>
        <w:rPr>
          <w:bCs/>
          <w:szCs w:val="24"/>
        </w:rPr>
      </w:pPr>
      <w:r w:rsidRPr="00CF0129">
        <w:rPr>
          <w:bCs/>
          <w:szCs w:val="24"/>
        </w:rPr>
        <w:t>LMP</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w:t>
      </w:r>
      <w:r>
        <w:rPr>
          <w:bCs/>
          <w:szCs w:val="24"/>
        </w:rPr>
        <w:t>Resource Aggregation A</w:t>
      </w:r>
      <w:r w:rsidR="002D623C">
        <w:rPr>
          <w:bCs/>
          <w:szCs w:val="24"/>
        </w:rPr>
        <w:t>Pnode</w:t>
      </w:r>
      <w:r w:rsidRPr="00CF0129">
        <w:rPr>
          <w:bCs/>
          <w:szCs w:val="24"/>
        </w:rPr>
        <w:t xml:space="preserve"> </w:t>
      </w:r>
      <w:r w:rsidRPr="00CF0129">
        <w:rPr>
          <w:bCs/>
          <w:i/>
          <w:szCs w:val="24"/>
        </w:rPr>
        <w:t>j</w:t>
      </w:r>
      <w:r w:rsidRPr="00CF0129">
        <w:rPr>
          <w:bCs/>
          <w:szCs w:val="24"/>
        </w:rPr>
        <w:t xml:space="preserve">;  </w:t>
      </w:r>
    </w:p>
    <w:p w14:paraId="62DB92BA" w14:textId="4D8B11F5" w:rsidR="00E52BD9" w:rsidRPr="00CF0129" w:rsidRDefault="00E52BD9" w:rsidP="00E52BD9">
      <w:pPr>
        <w:numPr>
          <w:ilvl w:val="0"/>
          <w:numId w:val="144"/>
        </w:numPr>
        <w:tabs>
          <w:tab w:val="clear" w:pos="900"/>
          <w:tab w:val="num" w:pos="540"/>
          <w:tab w:val="num" w:pos="2160"/>
        </w:tabs>
        <w:spacing w:before="240" w:line="300" w:lineRule="auto"/>
        <w:ind w:left="720"/>
        <w:rPr>
          <w:bCs/>
          <w:szCs w:val="24"/>
        </w:rPr>
      </w:pPr>
      <w:r w:rsidRPr="00CF0129">
        <w:rPr>
          <w:bCs/>
          <w:szCs w:val="24"/>
        </w:rPr>
        <w:t>MCC</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Congestion Component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w:t>
      </w:r>
      <w:r>
        <w:rPr>
          <w:bCs/>
          <w:szCs w:val="24"/>
        </w:rPr>
        <w:t>Resource Aggregation A</w:t>
      </w:r>
      <w:r w:rsidR="002D623C">
        <w:rPr>
          <w:bCs/>
          <w:szCs w:val="24"/>
        </w:rPr>
        <w:t>Pnode</w:t>
      </w:r>
      <w:r w:rsidRPr="00CF0129">
        <w:rPr>
          <w:bCs/>
          <w:szCs w:val="24"/>
        </w:rPr>
        <w:t xml:space="preserve"> </w:t>
      </w:r>
      <w:r w:rsidRPr="00CF0129">
        <w:rPr>
          <w:bCs/>
          <w:i/>
          <w:szCs w:val="24"/>
        </w:rPr>
        <w:t>j</w:t>
      </w:r>
      <w:r w:rsidRPr="00CF0129">
        <w:rPr>
          <w:bCs/>
          <w:szCs w:val="24"/>
        </w:rPr>
        <w:t xml:space="preserve">;  </w:t>
      </w:r>
    </w:p>
    <w:p w14:paraId="1C98C476" w14:textId="388BD710" w:rsidR="00E52BD9" w:rsidRDefault="00E52BD9" w:rsidP="00E52BD9">
      <w:pPr>
        <w:numPr>
          <w:ilvl w:val="0"/>
          <w:numId w:val="144"/>
        </w:numPr>
        <w:tabs>
          <w:tab w:val="clear" w:pos="900"/>
          <w:tab w:val="num" w:pos="540"/>
          <w:tab w:val="num" w:pos="2160"/>
        </w:tabs>
        <w:spacing w:before="240" w:line="300" w:lineRule="auto"/>
        <w:ind w:left="720"/>
        <w:rPr>
          <w:bCs/>
          <w:szCs w:val="24"/>
        </w:rPr>
      </w:pPr>
      <w:r w:rsidRPr="00CF0129">
        <w:rPr>
          <w:bCs/>
          <w:szCs w:val="24"/>
        </w:rPr>
        <w:t>MLC</w:t>
      </w:r>
      <w:r w:rsidRPr="00CF0129">
        <w:rPr>
          <w:b/>
          <w:bCs/>
          <w:i/>
          <w:szCs w:val="24"/>
          <w:vertAlign w:val="subscript"/>
        </w:rPr>
        <w:t>k</w:t>
      </w:r>
      <w:r w:rsidRPr="00CF0129">
        <w:rPr>
          <w:rFonts w:ascii="Times New Roman Bold" w:hAnsi="Times New Roman Bold"/>
          <w:bCs/>
          <w:szCs w:val="24"/>
        </w:rPr>
        <w:t xml:space="preserve"> </w:t>
      </w:r>
      <w:r w:rsidRPr="00CF0129">
        <w:rPr>
          <w:bCs/>
          <w:szCs w:val="24"/>
        </w:rPr>
        <w:t xml:space="preserve">is the Marginal Loss Component of the LMP for </w:t>
      </w:r>
      <w:r w:rsidR="002D623C">
        <w:rPr>
          <w:bCs/>
          <w:szCs w:val="24"/>
        </w:rPr>
        <w:t>Pnode</w:t>
      </w:r>
      <w:r w:rsidRPr="00CF0129">
        <w:rPr>
          <w:bCs/>
          <w:szCs w:val="24"/>
        </w:rPr>
        <w:t xml:space="preserve"> </w:t>
      </w:r>
      <w:r w:rsidRPr="00CF0129">
        <w:rPr>
          <w:bCs/>
          <w:i/>
          <w:szCs w:val="24"/>
        </w:rPr>
        <w:t>k</w:t>
      </w:r>
      <w:r w:rsidRPr="00CF0129">
        <w:rPr>
          <w:bCs/>
          <w:szCs w:val="24"/>
        </w:rPr>
        <w:t xml:space="preserve"> which is part of </w:t>
      </w:r>
      <w:r>
        <w:rPr>
          <w:bCs/>
          <w:szCs w:val="24"/>
        </w:rPr>
        <w:t>Resource Aggregation A</w:t>
      </w:r>
      <w:r w:rsidR="002D623C">
        <w:rPr>
          <w:bCs/>
          <w:szCs w:val="24"/>
        </w:rPr>
        <w:t>Pnode</w:t>
      </w:r>
      <w:r w:rsidRPr="00CF0129">
        <w:rPr>
          <w:bCs/>
          <w:szCs w:val="24"/>
        </w:rPr>
        <w:t xml:space="preserve"> </w:t>
      </w:r>
      <w:r w:rsidRPr="00CF0129">
        <w:rPr>
          <w:bCs/>
          <w:i/>
          <w:szCs w:val="24"/>
        </w:rPr>
        <w:t>j</w:t>
      </w:r>
      <w:r w:rsidR="00067848">
        <w:rPr>
          <w:bCs/>
          <w:szCs w:val="24"/>
        </w:rPr>
        <w:t>;</w:t>
      </w:r>
      <w:r w:rsidRPr="00CF0129">
        <w:rPr>
          <w:bCs/>
          <w:szCs w:val="24"/>
        </w:rPr>
        <w:t xml:space="preserve">  </w:t>
      </w:r>
    </w:p>
    <w:p w14:paraId="62B1F3DB" w14:textId="67C656AE" w:rsidR="003321FB" w:rsidRDefault="003321FB" w:rsidP="00E52BD9">
      <w:pPr>
        <w:numPr>
          <w:ilvl w:val="0"/>
          <w:numId w:val="144"/>
        </w:numPr>
        <w:tabs>
          <w:tab w:val="clear" w:pos="900"/>
          <w:tab w:val="num" w:pos="540"/>
          <w:tab w:val="num" w:pos="2160"/>
        </w:tabs>
        <w:spacing w:before="240" w:line="300" w:lineRule="auto"/>
        <w:ind w:left="720"/>
        <w:rPr>
          <w:bCs/>
          <w:szCs w:val="24"/>
        </w:rPr>
      </w:pPr>
      <w:r>
        <w:rPr>
          <w:bCs/>
          <w:szCs w:val="24"/>
        </w:rPr>
        <w:t xml:space="preserve">MinEnergyOutput is </w:t>
      </w:r>
      <w:r w:rsidR="004C18F7">
        <w:rPr>
          <w:bCs/>
          <w:szCs w:val="24"/>
        </w:rPr>
        <w:t>the sum of unit outputs in the Resource Aggregation up to Min</w:t>
      </w:r>
      <w:r w:rsidR="00FC4B94">
        <w:rPr>
          <w:bCs/>
          <w:szCs w:val="24"/>
        </w:rPr>
        <w:t xml:space="preserve"> ECOLs</w:t>
      </w:r>
      <w:r w:rsidR="008D4D84">
        <w:rPr>
          <w:bCs/>
          <w:szCs w:val="24"/>
        </w:rPr>
        <w:t>, or in the case of MSR</w:t>
      </w:r>
      <w:r w:rsidR="00FC4B94">
        <w:rPr>
          <w:bCs/>
          <w:szCs w:val="24"/>
        </w:rPr>
        <w:t>s</w:t>
      </w:r>
      <w:r w:rsidR="008D4D84">
        <w:rPr>
          <w:bCs/>
          <w:szCs w:val="24"/>
        </w:rPr>
        <w:t xml:space="preserve">, the </w:t>
      </w:r>
      <w:r w:rsidR="004C18F7">
        <w:rPr>
          <w:bCs/>
          <w:szCs w:val="24"/>
        </w:rPr>
        <w:t xml:space="preserve">Minimum </w:t>
      </w:r>
      <w:r w:rsidR="00FC4B94">
        <w:rPr>
          <w:bCs/>
          <w:szCs w:val="24"/>
        </w:rPr>
        <w:t>Discharge</w:t>
      </w:r>
      <w:r w:rsidR="004C18F7">
        <w:rPr>
          <w:bCs/>
          <w:szCs w:val="24"/>
        </w:rPr>
        <w:t xml:space="preserve"> Limits</w:t>
      </w:r>
      <w:r w:rsidR="00067848">
        <w:rPr>
          <w:bCs/>
          <w:szCs w:val="24"/>
        </w:rPr>
        <w:t>;</w:t>
      </w:r>
    </w:p>
    <w:p w14:paraId="5C4D4DDF" w14:textId="3EF83132" w:rsidR="004C18F7" w:rsidRPr="00CF0129" w:rsidRDefault="00430778" w:rsidP="00E52BD9">
      <w:pPr>
        <w:numPr>
          <w:ilvl w:val="0"/>
          <w:numId w:val="144"/>
        </w:numPr>
        <w:tabs>
          <w:tab w:val="clear" w:pos="900"/>
          <w:tab w:val="num" w:pos="540"/>
          <w:tab w:val="num" w:pos="2160"/>
        </w:tabs>
        <w:spacing w:before="240" w:line="300" w:lineRule="auto"/>
        <w:ind w:left="720"/>
        <w:rPr>
          <w:bCs/>
          <w:szCs w:val="24"/>
        </w:rPr>
      </w:pPr>
      <w:r>
        <w:rPr>
          <w:bCs/>
          <w:szCs w:val="24"/>
        </w:rPr>
        <w:t xml:space="preserve">IncrEnergyOutput is the sum of unit outputs </w:t>
      </w:r>
      <w:r w:rsidR="0055346C">
        <w:rPr>
          <w:bCs/>
          <w:szCs w:val="24"/>
        </w:rPr>
        <w:t>in the Resource Aggregation above Min</w:t>
      </w:r>
      <w:r w:rsidR="00FC4B94">
        <w:rPr>
          <w:bCs/>
          <w:szCs w:val="24"/>
        </w:rPr>
        <w:t xml:space="preserve"> ECOLs, or in the case of MSRs, the </w:t>
      </w:r>
      <w:r w:rsidR="0055346C">
        <w:rPr>
          <w:bCs/>
          <w:szCs w:val="24"/>
        </w:rPr>
        <w:t xml:space="preserve">Minimum </w:t>
      </w:r>
      <w:r w:rsidR="00FC4B94">
        <w:rPr>
          <w:bCs/>
          <w:szCs w:val="24"/>
        </w:rPr>
        <w:t>Discharge</w:t>
      </w:r>
      <w:r w:rsidR="0055346C">
        <w:rPr>
          <w:bCs/>
          <w:szCs w:val="24"/>
        </w:rPr>
        <w:t xml:space="preserve"> Limits</w:t>
      </w:r>
      <w:r w:rsidR="00FC4B94">
        <w:rPr>
          <w:bCs/>
          <w:szCs w:val="24"/>
        </w:rPr>
        <w:t>.</w:t>
      </w:r>
    </w:p>
    <w:p w14:paraId="2BB5A302" w14:textId="65852A56" w:rsidR="00E52BD9" w:rsidRPr="00A257EA" w:rsidRDefault="00E52BD9" w:rsidP="00CB5653">
      <w:pPr>
        <w:pStyle w:val="Heading3"/>
      </w:pPr>
      <w:bookmarkStart w:id="6466" w:name="_Toc213771910"/>
      <w:r w:rsidRPr="00A257EA">
        <w:t>Precision, Rounding</w:t>
      </w:r>
      <w:r>
        <w:t>,</w:t>
      </w:r>
      <w:r w:rsidRPr="00A257EA">
        <w:t xml:space="preserve"> and FERC Electric Quarterly Reporting</w:t>
      </w:r>
      <w:bookmarkEnd w:id="6462"/>
      <w:bookmarkEnd w:id="6463"/>
      <w:bookmarkEnd w:id="6464"/>
      <w:bookmarkEnd w:id="6465"/>
      <w:bookmarkEnd w:id="6466"/>
    </w:p>
    <w:p w14:paraId="43F220DB" w14:textId="1AF3DF30" w:rsidR="005459D1" w:rsidRDefault="00464B14" w:rsidP="00D550B8">
      <w:pPr>
        <w:autoSpaceDE w:val="0"/>
        <w:autoSpaceDN w:val="0"/>
        <w:adjustRightInd w:val="0"/>
        <w:spacing w:line="300" w:lineRule="auto"/>
        <w:rPr>
          <w:szCs w:val="24"/>
        </w:rPr>
      </w:pPr>
      <w:r>
        <w:rPr>
          <w:szCs w:val="24"/>
        </w:rPr>
        <w:t xml:space="preserve">Moved to </w:t>
      </w:r>
      <w:r w:rsidR="00B31EDB">
        <w:rPr>
          <w:szCs w:val="24"/>
        </w:rPr>
        <w:t xml:space="preserve">Markets+ Settlements </w:t>
      </w:r>
      <w:r>
        <w:rPr>
          <w:szCs w:val="24"/>
        </w:rPr>
        <w:t>Calculation Guide</w:t>
      </w:r>
      <w:r w:rsidR="00332860">
        <w:rPr>
          <w:szCs w:val="24"/>
        </w:rPr>
        <w:t>.</w:t>
      </w:r>
    </w:p>
    <w:p w14:paraId="7DEEF0B2" w14:textId="38F219E8" w:rsidR="005F3FBC" w:rsidRDefault="00E23930" w:rsidP="00CB5653">
      <w:pPr>
        <w:pStyle w:val="Heading3"/>
      </w:pPr>
      <w:bookmarkStart w:id="6467" w:name="_Toc213771911"/>
      <w:r w:rsidRPr="00230D2A">
        <w:t>Day-Ahead Market Settlement Overv</w:t>
      </w:r>
      <w:r w:rsidR="005F4F48">
        <w:t>iew</w:t>
      </w:r>
      <w:bookmarkEnd w:id="6467"/>
    </w:p>
    <w:p w14:paraId="1B579DEB" w14:textId="7C2804A0" w:rsidR="00B5293F" w:rsidRDefault="00FD351C" w:rsidP="00E679DC">
      <w:pPr>
        <w:spacing w:line="300" w:lineRule="auto"/>
      </w:pPr>
      <w:r w:rsidRPr="00991D81">
        <w:t xml:space="preserve">Moved to </w:t>
      </w:r>
      <w:r w:rsidR="00B31EDB">
        <w:rPr>
          <w:szCs w:val="24"/>
        </w:rPr>
        <w:t>Markets+ Settlements</w:t>
      </w:r>
      <w:r w:rsidRPr="00991D81">
        <w:t xml:space="preserve"> Calculation Guide</w:t>
      </w:r>
      <w:r w:rsidR="00332860">
        <w:t>.</w:t>
      </w:r>
    </w:p>
    <w:p w14:paraId="1DCBF522" w14:textId="77777777" w:rsidR="004B4078" w:rsidRDefault="004B4078" w:rsidP="00CB5653">
      <w:pPr>
        <w:pStyle w:val="Heading3"/>
      </w:pPr>
      <w:bookmarkStart w:id="6468" w:name="_Toc213771912"/>
      <w:r w:rsidRPr="009337B2">
        <w:t>Real-Time Balancing Market Settlement Overview</w:t>
      </w:r>
      <w:bookmarkEnd w:id="6468"/>
    </w:p>
    <w:p w14:paraId="3CF2819E" w14:textId="264659F3" w:rsidR="00332298" w:rsidRPr="00332298" w:rsidRDefault="00332298" w:rsidP="00332298">
      <w:pPr>
        <w:pStyle w:val="ParaText"/>
      </w:pPr>
      <w:r w:rsidRPr="00332298">
        <w:t xml:space="preserve">Moved to </w:t>
      </w:r>
      <w:r w:rsidR="00B31EDB">
        <w:rPr>
          <w:szCs w:val="24"/>
        </w:rPr>
        <w:t>Markets+ Settlements</w:t>
      </w:r>
      <w:r w:rsidRPr="00332298">
        <w:t xml:space="preserve"> Calculation Guide</w:t>
      </w:r>
      <w:r w:rsidR="00332860">
        <w:t>.</w:t>
      </w:r>
    </w:p>
    <w:p w14:paraId="66332F21" w14:textId="203E6C44" w:rsidR="004B4078" w:rsidRDefault="004B4078" w:rsidP="00CB5653">
      <w:pPr>
        <w:pStyle w:val="Heading3"/>
      </w:pPr>
      <w:bookmarkStart w:id="6469" w:name="_Toc162520120"/>
      <w:bookmarkStart w:id="6470" w:name="_Toc163463671"/>
      <w:bookmarkStart w:id="6471" w:name="_Toc159233281"/>
      <w:bookmarkStart w:id="6472" w:name="_Toc163463731"/>
      <w:bookmarkStart w:id="6473" w:name="_Toc213771913"/>
      <w:bookmarkEnd w:id="6469"/>
      <w:bookmarkEnd w:id="6470"/>
      <w:r w:rsidRPr="008A34C2">
        <w:t xml:space="preserve">Market Transmission Use </w:t>
      </w:r>
      <w:r w:rsidR="00051B95">
        <w:t xml:space="preserve">Distribution </w:t>
      </w:r>
      <w:r w:rsidRPr="008A34C2">
        <w:t>Amount</w:t>
      </w:r>
      <w:bookmarkEnd w:id="6471"/>
      <w:bookmarkEnd w:id="6472"/>
      <w:bookmarkEnd w:id="6473"/>
    </w:p>
    <w:p w14:paraId="0F798469" w14:textId="73F58170" w:rsidR="00332298" w:rsidRPr="00332298" w:rsidRDefault="00332298" w:rsidP="00332298">
      <w:pPr>
        <w:pStyle w:val="ParaText"/>
      </w:pPr>
      <w:r w:rsidRPr="00332298">
        <w:t xml:space="preserve">Moved to </w:t>
      </w:r>
      <w:r w:rsidR="00B31EDB">
        <w:rPr>
          <w:szCs w:val="24"/>
        </w:rPr>
        <w:t>Markets+ Settlements</w:t>
      </w:r>
      <w:r w:rsidRPr="00332298">
        <w:t xml:space="preserve"> Calculation Guide</w:t>
      </w:r>
      <w:r w:rsidR="00332860">
        <w:t>.</w:t>
      </w:r>
    </w:p>
    <w:p w14:paraId="6953A146" w14:textId="43320D47" w:rsidR="004B4078" w:rsidRDefault="004B4078" w:rsidP="00CB5653">
      <w:pPr>
        <w:pStyle w:val="Heading3"/>
      </w:pPr>
      <w:bookmarkStart w:id="6474" w:name="_Toc159233282"/>
      <w:bookmarkStart w:id="6475" w:name="_Toc163463732"/>
      <w:bookmarkStart w:id="6476" w:name="_Toc213771914"/>
      <w:r w:rsidRPr="00A253F4">
        <w:t xml:space="preserve">Market Transmission Use </w:t>
      </w:r>
      <w:bookmarkEnd w:id="6474"/>
      <w:r w:rsidRPr="00A253F4">
        <w:t>Amount</w:t>
      </w:r>
      <w:bookmarkEnd w:id="6475"/>
      <w:bookmarkEnd w:id="6476"/>
    </w:p>
    <w:p w14:paraId="43366B65" w14:textId="2C738E70" w:rsidR="00332298" w:rsidRPr="00332298" w:rsidRDefault="00332298" w:rsidP="00332298">
      <w:pPr>
        <w:pStyle w:val="ParaText"/>
      </w:pPr>
      <w:r w:rsidRPr="00332298">
        <w:t xml:space="preserve">Moved to </w:t>
      </w:r>
      <w:r w:rsidR="00B31EDB">
        <w:rPr>
          <w:szCs w:val="24"/>
        </w:rPr>
        <w:t>Markets+ Settlements</w:t>
      </w:r>
      <w:r w:rsidRPr="00332298">
        <w:t xml:space="preserve"> Calculation Guide</w:t>
      </w:r>
      <w:r w:rsidR="00332860">
        <w:t>.</w:t>
      </w:r>
    </w:p>
    <w:p w14:paraId="1AF1FE00" w14:textId="77777777" w:rsidR="004B4078" w:rsidRDefault="004B4078" w:rsidP="00CB5653">
      <w:pPr>
        <w:pStyle w:val="Heading3"/>
      </w:pPr>
      <w:bookmarkStart w:id="6477" w:name="_Toc159233283"/>
      <w:bookmarkStart w:id="6478" w:name="_Toc163463733"/>
      <w:bookmarkStart w:id="6479" w:name="_Toc159233284"/>
      <w:bookmarkStart w:id="6480" w:name="_Toc163463734"/>
      <w:bookmarkStart w:id="6481" w:name="_Toc159233287"/>
      <w:bookmarkStart w:id="6482" w:name="_Toc163463737"/>
      <w:bookmarkStart w:id="6483" w:name="_Toc213771915"/>
      <w:bookmarkEnd w:id="6477"/>
      <w:bookmarkEnd w:id="6478"/>
      <w:bookmarkEnd w:id="6479"/>
      <w:bookmarkEnd w:id="6480"/>
      <w:r w:rsidRPr="00257FA7">
        <w:t>Miscellaneous Amount</w:t>
      </w:r>
      <w:bookmarkEnd w:id="6481"/>
      <w:bookmarkEnd w:id="6482"/>
      <w:bookmarkEnd w:id="6483"/>
    </w:p>
    <w:p w14:paraId="012E3F94" w14:textId="682C3620" w:rsidR="00332298" w:rsidRPr="00332298" w:rsidRDefault="00332298" w:rsidP="00332298">
      <w:pPr>
        <w:pStyle w:val="ParaText"/>
      </w:pPr>
      <w:r w:rsidRPr="00332298">
        <w:t xml:space="preserve">Moved to </w:t>
      </w:r>
      <w:r w:rsidR="00B31EDB">
        <w:rPr>
          <w:szCs w:val="24"/>
        </w:rPr>
        <w:t>Markets+ Settlements</w:t>
      </w:r>
      <w:r w:rsidRPr="00332298">
        <w:t xml:space="preserve"> Calculation Guide</w:t>
      </w:r>
      <w:r w:rsidR="00332860">
        <w:t>.</w:t>
      </w:r>
    </w:p>
    <w:p w14:paraId="2C33963D" w14:textId="77777777" w:rsidR="004B4078" w:rsidRDefault="004B4078" w:rsidP="00CB5653">
      <w:pPr>
        <w:pStyle w:val="Heading3"/>
      </w:pPr>
      <w:bookmarkStart w:id="6484" w:name="_Ref255458105"/>
      <w:bookmarkStart w:id="6485" w:name="_Toc258924942"/>
      <w:bookmarkStart w:id="6486" w:name="_Toc263173385"/>
      <w:bookmarkStart w:id="6487" w:name="_Toc263173632"/>
      <w:bookmarkStart w:id="6488" w:name="_Toc263173818"/>
      <w:bookmarkStart w:id="6489" w:name="_Toc263174213"/>
      <w:bookmarkStart w:id="6490" w:name="_Toc263235112"/>
      <w:bookmarkStart w:id="6491" w:name="_Toc263235756"/>
      <w:bookmarkStart w:id="6492" w:name="_Toc263429499"/>
      <w:bookmarkStart w:id="6493" w:name="_Toc263795538"/>
      <w:bookmarkStart w:id="6494" w:name="_Toc266869721"/>
      <w:bookmarkStart w:id="6495" w:name="_Ref367804712"/>
      <w:bookmarkStart w:id="6496" w:name="_Toc159233288"/>
      <w:bookmarkStart w:id="6497" w:name="_Toc163463738"/>
      <w:bookmarkStart w:id="6498" w:name="_Toc213771916"/>
      <w:r w:rsidRPr="00B42FD9">
        <w:t>Revenue Neutrality Uplift Distribution Amount</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p>
    <w:p w14:paraId="3D4812EF" w14:textId="032568DB" w:rsidR="00332298" w:rsidRDefault="00332298" w:rsidP="00332298">
      <w:pPr>
        <w:pStyle w:val="ParaText"/>
      </w:pPr>
      <w:r w:rsidRPr="00332298">
        <w:t xml:space="preserve">Moved to </w:t>
      </w:r>
      <w:r w:rsidR="00B31EDB">
        <w:rPr>
          <w:szCs w:val="24"/>
        </w:rPr>
        <w:t>Markets+ Settlements</w:t>
      </w:r>
      <w:r w:rsidRPr="00332298">
        <w:t xml:space="preserve"> Calculation Guide</w:t>
      </w:r>
      <w:r w:rsidR="00332860">
        <w:t>.</w:t>
      </w:r>
    </w:p>
    <w:p w14:paraId="66366AF7" w14:textId="77777777" w:rsidR="00332298" w:rsidRDefault="00332298">
      <w:pPr>
        <w:spacing w:after="0"/>
        <w:jc w:val="left"/>
      </w:pPr>
      <w:r>
        <w:br w:type="page"/>
      </w:r>
    </w:p>
    <w:p w14:paraId="6B1ADA8E" w14:textId="3C6C7257" w:rsidR="008245CB" w:rsidRPr="000B3E17" w:rsidRDefault="008245CB" w:rsidP="00CB5653">
      <w:pPr>
        <w:pStyle w:val="Heading3"/>
      </w:pPr>
      <w:bookmarkStart w:id="6499" w:name="_Ref212549739"/>
      <w:bookmarkStart w:id="6500" w:name="_Ref212550111"/>
      <w:bookmarkStart w:id="6501" w:name="_Ref212619572"/>
      <w:bookmarkStart w:id="6502" w:name="_Ref212619782"/>
      <w:bookmarkStart w:id="6503" w:name="_Toc213771917"/>
      <w:r w:rsidRPr="000B3E17">
        <w:t>Settlement Statement Process</w:t>
      </w:r>
      <w:bookmarkEnd w:id="6499"/>
      <w:bookmarkEnd w:id="6500"/>
      <w:bookmarkEnd w:id="6501"/>
      <w:bookmarkEnd w:id="6502"/>
      <w:bookmarkEnd w:id="6503"/>
    </w:p>
    <w:p w14:paraId="003F578D" w14:textId="1CCA2FCA" w:rsidR="008245CB" w:rsidRPr="000B3E17" w:rsidRDefault="008245CB" w:rsidP="00574EDE">
      <w:pPr>
        <w:pStyle w:val="Heading4"/>
      </w:pPr>
      <w:bookmarkStart w:id="6504" w:name="_Toc266869723"/>
      <w:bookmarkStart w:id="6505" w:name="_Ref21591307"/>
      <w:bookmarkStart w:id="6506" w:name="_Toc159233290"/>
      <w:bookmarkStart w:id="6507" w:name="_Toc213771918"/>
      <w:bookmarkStart w:id="6508" w:name="_Toc81053201"/>
      <w:bookmarkStart w:id="6509" w:name="_Toc237838908"/>
      <w:bookmarkStart w:id="6510" w:name="_Toc258924944"/>
      <w:bookmarkStart w:id="6511" w:name="_Toc263173387"/>
      <w:bookmarkStart w:id="6512" w:name="_Toc263174215"/>
      <w:bookmarkStart w:id="6513" w:name="_Toc263235114"/>
      <w:bookmarkStart w:id="6514" w:name="_Toc263235758"/>
      <w:bookmarkStart w:id="6515" w:name="_Toc263429501"/>
      <w:bookmarkStart w:id="6516" w:name="_Toc263795540"/>
      <w:r w:rsidRPr="000B3E17">
        <w:t>Meter Data and Internal Energy Schedule Settlement Adjustment Submittal</w:t>
      </w:r>
      <w:bookmarkEnd w:id="6504"/>
      <w:bookmarkEnd w:id="6505"/>
      <w:bookmarkEnd w:id="6506"/>
      <w:bookmarkEnd w:id="6507"/>
    </w:p>
    <w:p w14:paraId="190E674F" w14:textId="70734D9B" w:rsidR="008245CB" w:rsidRPr="00455FB8" w:rsidRDefault="008245CB" w:rsidP="008245CB">
      <w:pPr>
        <w:spacing w:line="300" w:lineRule="auto"/>
      </w:pPr>
      <w:r w:rsidRPr="00455FB8">
        <w:t xml:space="preserve">All Meter Data and Internal Energy Schedule Settlement Adjustment data submitted per (1) below will be included in the Settlement(s) scheduled to be executed. Meter and Internal Energy Schedule Settlement Adjustment updates after the S120 Scheduled Settlement will be limited to disputes submitted and granted </w:t>
      </w:r>
      <w:r w:rsidRPr="005E5A02">
        <w:t xml:space="preserve">per </w:t>
      </w:r>
      <w:r w:rsidRPr="00FE7AA5">
        <w:t>Section</w:t>
      </w:r>
      <w:r w:rsidRPr="005E5A02">
        <w:t xml:space="preserve"> </w:t>
      </w:r>
      <w:r w:rsidR="005E5A02" w:rsidRPr="005E5A02">
        <w:fldChar w:fldCharType="begin"/>
      </w:r>
      <w:r w:rsidR="005E5A02" w:rsidRPr="005E5A02">
        <w:instrText xml:space="preserve"> REF _Ref212559292 \r \h </w:instrText>
      </w:r>
      <w:r w:rsidR="005E5A02">
        <w:instrText xml:space="preserve"> \* MERGEFORMAT </w:instrText>
      </w:r>
      <w:r w:rsidR="005E5A02" w:rsidRPr="005E5A02">
        <w:fldChar w:fldCharType="separate"/>
      </w:r>
      <w:r w:rsidR="005E5A02" w:rsidRPr="005E5A02">
        <w:t>4.5.15</w:t>
      </w:r>
      <w:r w:rsidR="005E5A02" w:rsidRPr="005E5A02">
        <w:fldChar w:fldCharType="end"/>
      </w:r>
      <w:r w:rsidRPr="005E5A02">
        <w:fldChar w:fldCharType="begin"/>
      </w:r>
      <w:r w:rsidRPr="005E5A02">
        <w:instrText xml:space="preserve"> REF _Ref21591534 \r \h  \* MERGEFORMAT </w:instrText>
      </w:r>
      <w:r w:rsidRPr="005E5A02">
        <w:fldChar w:fldCharType="separate"/>
      </w:r>
      <w:r w:rsidRPr="005E5A02">
        <w:fldChar w:fldCharType="end"/>
      </w:r>
      <w:r w:rsidRPr="005E5A02">
        <w:t>.</w:t>
      </w:r>
    </w:p>
    <w:p w14:paraId="589E062F" w14:textId="77777777" w:rsidR="008245CB" w:rsidRPr="00455FB8" w:rsidRDefault="008245CB" w:rsidP="00DA3CE7">
      <w:pPr>
        <w:numPr>
          <w:ilvl w:val="4"/>
          <w:numId w:val="192"/>
        </w:numPr>
        <w:spacing w:line="300" w:lineRule="auto"/>
        <w:ind w:left="720"/>
        <w:rPr>
          <w:szCs w:val="24"/>
        </w:rPr>
      </w:pPr>
      <w:r w:rsidRPr="000B3E17">
        <w:rPr>
          <w:szCs w:val="24"/>
        </w:rPr>
        <w:t>Reported</w:t>
      </w:r>
      <w:r w:rsidRPr="00455FB8">
        <w:rPr>
          <w:szCs w:val="24"/>
        </w:rPr>
        <w:t xml:space="preserve"> values for an Operating Day must be received by noon according to the following: </w:t>
      </w:r>
    </w:p>
    <w:p w14:paraId="41602208" w14:textId="77777777" w:rsidR="008245CB" w:rsidRPr="000B3E17" w:rsidRDefault="008245CB" w:rsidP="00DA3CE7">
      <w:pPr>
        <w:numPr>
          <w:ilvl w:val="1"/>
          <w:numId w:val="283"/>
        </w:numPr>
        <w:spacing w:line="300" w:lineRule="auto"/>
        <w:ind w:left="1260"/>
      </w:pPr>
      <w:r w:rsidRPr="00455FB8">
        <w:t xml:space="preserve">Day 4 following the Operating Day for inclusion in the S7 Scheduled Settlement Statement.  </w:t>
      </w:r>
    </w:p>
    <w:p w14:paraId="20065A9C" w14:textId="77777777" w:rsidR="008245CB" w:rsidRPr="000B3E17" w:rsidRDefault="008245CB" w:rsidP="00DA3CE7">
      <w:pPr>
        <w:numPr>
          <w:ilvl w:val="1"/>
          <w:numId w:val="283"/>
        </w:numPr>
        <w:spacing w:line="300" w:lineRule="auto"/>
        <w:ind w:left="1260"/>
      </w:pPr>
      <w:r w:rsidRPr="00455FB8">
        <w:t xml:space="preserve">Day 48 following the Operating Day for inclusion in the S53 Scheduled Settlement Statement.  </w:t>
      </w:r>
    </w:p>
    <w:p w14:paraId="2ECED403" w14:textId="77777777" w:rsidR="008245CB" w:rsidRPr="000B3E17" w:rsidRDefault="008245CB" w:rsidP="00DA3CE7">
      <w:pPr>
        <w:numPr>
          <w:ilvl w:val="1"/>
          <w:numId w:val="283"/>
        </w:numPr>
        <w:spacing w:line="300" w:lineRule="auto"/>
        <w:ind w:left="1260"/>
      </w:pPr>
      <w:r w:rsidRPr="00455FB8">
        <w:t xml:space="preserve">Day 110 following the Operating Day for inclusion in the S120 Scheduled Settlement Statement.   </w:t>
      </w:r>
    </w:p>
    <w:p w14:paraId="4FA8398D" w14:textId="1275285A" w:rsidR="008245CB" w:rsidRPr="000B3E17" w:rsidRDefault="008245CB" w:rsidP="00DA3CE7">
      <w:pPr>
        <w:numPr>
          <w:ilvl w:val="0"/>
          <w:numId w:val="283"/>
        </w:numPr>
        <w:spacing w:line="300" w:lineRule="auto"/>
      </w:pPr>
      <w:r>
        <w:t xml:space="preserve">If the day described in (1)(a), (b), or (c) above falls on a day that is not a Business Day, reported values must be received by </w:t>
      </w:r>
      <w:r w:rsidR="00877D7F">
        <w:t xml:space="preserve">12:00 </w:t>
      </w:r>
      <w:r>
        <w:t>PPT on the last Business Day before the deadline for receipt of the reported values.</w:t>
      </w:r>
    </w:p>
    <w:p w14:paraId="03B4B47D" w14:textId="3399ADAF" w:rsidR="008245CB" w:rsidRPr="000B3E17" w:rsidRDefault="008245CB" w:rsidP="00DA3CE7">
      <w:pPr>
        <w:numPr>
          <w:ilvl w:val="0"/>
          <w:numId w:val="283"/>
        </w:numPr>
        <w:spacing w:line="300" w:lineRule="auto"/>
      </w:pPr>
      <w:r>
        <w:t xml:space="preserve">For holiday specific deadlines, refer to the Settlements Calendar on the Portal. </w:t>
      </w:r>
    </w:p>
    <w:p w14:paraId="467CBFDB" w14:textId="1DEE3A83" w:rsidR="008245CB" w:rsidRPr="000B3E17" w:rsidRDefault="008245CB" w:rsidP="00574EDE">
      <w:pPr>
        <w:pStyle w:val="Heading4"/>
      </w:pPr>
      <w:bookmarkStart w:id="6517" w:name="_Toc266869724"/>
      <w:bookmarkStart w:id="6518" w:name="_Toc159233291"/>
      <w:bookmarkStart w:id="6519" w:name="_Toc213771919"/>
      <w:r w:rsidRPr="000B3E17">
        <w:t>Daily Settlement Statement</w:t>
      </w:r>
      <w:bookmarkEnd w:id="6508"/>
      <w:bookmarkEnd w:id="6509"/>
      <w:bookmarkEnd w:id="6510"/>
      <w:bookmarkEnd w:id="6511"/>
      <w:bookmarkEnd w:id="6512"/>
      <w:bookmarkEnd w:id="6513"/>
      <w:bookmarkEnd w:id="6514"/>
      <w:bookmarkEnd w:id="6515"/>
      <w:bookmarkEnd w:id="6516"/>
      <w:bookmarkEnd w:id="6517"/>
      <w:bookmarkEnd w:id="6518"/>
      <w:bookmarkEnd w:id="6519"/>
    </w:p>
    <w:p w14:paraId="3AD900FC" w14:textId="057C7908" w:rsidR="008245CB" w:rsidRPr="00455FB8" w:rsidRDefault="008245CB" w:rsidP="008245CB">
      <w:pPr>
        <w:spacing w:line="300" w:lineRule="auto"/>
        <w:rPr>
          <w:szCs w:val="24"/>
        </w:rPr>
      </w:pPr>
      <w:r w:rsidRPr="00455FB8">
        <w:rPr>
          <w:szCs w:val="24"/>
        </w:rPr>
        <w:t xml:space="preserve">The Settlement Statement(s) will be made available for each Operating Day and will be published for Market Participants and associated Asset Owners electronically through the Portal on Business Days. The Market Participant is responsible for accessing the information from the Portal once posted by </w:t>
      </w:r>
      <w:r>
        <w:rPr>
          <w:szCs w:val="24"/>
        </w:rPr>
        <w:t>the Market Operator</w:t>
      </w:r>
      <w:r w:rsidRPr="00455FB8">
        <w:rPr>
          <w:szCs w:val="24"/>
        </w:rPr>
        <w:t xml:space="preserve">.  In order to issue a Settlement Statement, </w:t>
      </w:r>
      <w:r>
        <w:rPr>
          <w:szCs w:val="24"/>
        </w:rPr>
        <w:t>the Market Operator</w:t>
      </w:r>
      <w:r w:rsidRPr="00455FB8">
        <w:rPr>
          <w:szCs w:val="24"/>
        </w:rPr>
        <w:t xml:space="preserve"> may use estimated, disputed</w:t>
      </w:r>
      <w:r>
        <w:rPr>
          <w:szCs w:val="24"/>
        </w:rPr>
        <w:t>,</w:t>
      </w:r>
      <w:r w:rsidRPr="00455FB8">
        <w:rPr>
          <w:szCs w:val="24"/>
        </w:rPr>
        <w:t xml:space="preserve"> or calculated Meter Data.  An S7, S53, and S120 Scheduled Settlement Statement will be created for each Operating Day.  Resettlement Statements can be created for any given Operating Day as defined in </w:t>
      </w:r>
      <w:r w:rsidRPr="00FE7AA5">
        <w:rPr>
          <w:szCs w:val="24"/>
        </w:rPr>
        <w:t>Section</w:t>
      </w:r>
      <w:r w:rsidRPr="00455FB8">
        <w:rPr>
          <w:szCs w:val="24"/>
        </w:rPr>
        <w:t xml:space="preserve"> </w:t>
      </w:r>
      <w:r w:rsidR="002E1F4A">
        <w:rPr>
          <w:szCs w:val="24"/>
        </w:rPr>
        <w:fldChar w:fldCharType="begin"/>
      </w:r>
      <w:r w:rsidR="002E1F4A">
        <w:rPr>
          <w:szCs w:val="24"/>
        </w:rPr>
        <w:instrText xml:space="preserve"> REF _Ref212559420 \r \h </w:instrText>
      </w:r>
      <w:r w:rsidR="002E1F4A">
        <w:rPr>
          <w:szCs w:val="24"/>
        </w:rPr>
      </w:r>
      <w:r w:rsidR="002E1F4A">
        <w:rPr>
          <w:szCs w:val="24"/>
        </w:rPr>
        <w:fldChar w:fldCharType="separate"/>
      </w:r>
      <w:r w:rsidR="002E1F4A">
        <w:rPr>
          <w:szCs w:val="24"/>
        </w:rPr>
        <w:t>4.5.13.7</w:t>
      </w:r>
      <w:r w:rsidR="002E1F4A">
        <w:rPr>
          <w:szCs w:val="24"/>
        </w:rPr>
        <w:fldChar w:fldCharType="end"/>
      </w:r>
      <w:r w:rsidRPr="000B3E17">
        <w:rPr>
          <w:szCs w:val="24"/>
        </w:rPr>
        <w:fldChar w:fldCharType="begin"/>
      </w:r>
      <w:r w:rsidRPr="000B3E17">
        <w:rPr>
          <w:szCs w:val="24"/>
        </w:rPr>
        <w:instrText xml:space="preserve"> REF _Ref21591755 \r \h </w:instrText>
      </w:r>
      <w:r>
        <w:rPr>
          <w:szCs w:val="24"/>
        </w:rPr>
        <w:instrText xml:space="preserve"> \* MERGEFORMAT </w:instrText>
      </w:r>
      <w:r w:rsidRPr="000B3E17">
        <w:rPr>
          <w:szCs w:val="24"/>
        </w:rPr>
      </w:r>
      <w:r w:rsidRPr="000B3E17">
        <w:rPr>
          <w:szCs w:val="24"/>
        </w:rPr>
        <w:fldChar w:fldCharType="separate"/>
      </w:r>
      <w:r w:rsidRPr="000B3E17">
        <w:rPr>
          <w:szCs w:val="24"/>
        </w:rPr>
        <w:fldChar w:fldCharType="end"/>
      </w:r>
      <w:r w:rsidRPr="000B3E17">
        <w:rPr>
          <w:szCs w:val="24"/>
        </w:rPr>
        <w:t>.</w:t>
      </w:r>
      <w:r w:rsidRPr="00455FB8">
        <w:rPr>
          <w:szCs w:val="24"/>
        </w:rPr>
        <w:t xml:space="preserve"> When settlement and billing disputes submitted by Market Participants during the validation process have been resolved, </w:t>
      </w:r>
      <w:r>
        <w:rPr>
          <w:szCs w:val="24"/>
        </w:rPr>
        <w:t>the Market Operator</w:t>
      </w:r>
      <w:r w:rsidRPr="00455FB8">
        <w:rPr>
          <w:szCs w:val="24"/>
        </w:rPr>
        <w:t xml:space="preserve"> will recalculate the amounts payable and receivable by the affected Market Participant.</w:t>
      </w:r>
    </w:p>
    <w:p w14:paraId="3207A7E1" w14:textId="77777777" w:rsidR="008245CB" w:rsidRPr="00455FB8" w:rsidRDefault="008245CB" w:rsidP="008245CB">
      <w:pPr>
        <w:rPr>
          <w:szCs w:val="24"/>
        </w:rPr>
      </w:pPr>
      <w:r w:rsidRPr="00455FB8">
        <w:rPr>
          <w:szCs w:val="24"/>
        </w:rPr>
        <w:t xml:space="preserve">For each Market Participant, Settlement Statement(s) will denote: </w:t>
      </w:r>
    </w:p>
    <w:p w14:paraId="6AC01E87" w14:textId="77777777" w:rsidR="008245CB" w:rsidRPr="00455FB8" w:rsidRDefault="008245CB" w:rsidP="00DA3CE7">
      <w:pPr>
        <w:numPr>
          <w:ilvl w:val="0"/>
          <w:numId w:val="197"/>
        </w:numPr>
        <w:spacing w:before="120"/>
        <w:ind w:hanging="540"/>
        <w:rPr>
          <w:szCs w:val="24"/>
        </w:rPr>
      </w:pPr>
      <w:r w:rsidRPr="00455FB8">
        <w:rPr>
          <w:szCs w:val="24"/>
        </w:rPr>
        <w:t>Operating Day;</w:t>
      </w:r>
    </w:p>
    <w:p w14:paraId="67601F4C" w14:textId="79DA4267" w:rsidR="008245CB" w:rsidRPr="00455FB8" w:rsidRDefault="008245CB" w:rsidP="00DA3CE7">
      <w:pPr>
        <w:numPr>
          <w:ilvl w:val="0"/>
          <w:numId w:val="197"/>
        </w:numPr>
        <w:spacing w:before="120"/>
        <w:ind w:hanging="540"/>
        <w:rPr>
          <w:szCs w:val="24"/>
        </w:rPr>
      </w:pPr>
      <w:r w:rsidRPr="00455FB8">
        <w:rPr>
          <w:szCs w:val="24"/>
        </w:rPr>
        <w:t xml:space="preserve">Associated Asset </w:t>
      </w:r>
      <w:r w:rsidR="00BA24C3">
        <w:rPr>
          <w:szCs w:val="24"/>
        </w:rPr>
        <w:t xml:space="preserve">Owner </w:t>
      </w:r>
      <w:r w:rsidRPr="00455FB8">
        <w:rPr>
          <w:szCs w:val="24"/>
        </w:rPr>
        <w:t xml:space="preserve">identifier; </w:t>
      </w:r>
    </w:p>
    <w:p w14:paraId="6D9D82EB" w14:textId="77777777" w:rsidR="008245CB" w:rsidRPr="00455FB8" w:rsidRDefault="008245CB" w:rsidP="00DA3CE7">
      <w:pPr>
        <w:numPr>
          <w:ilvl w:val="0"/>
          <w:numId w:val="197"/>
        </w:numPr>
        <w:spacing w:before="120"/>
        <w:ind w:hanging="540"/>
        <w:rPr>
          <w:szCs w:val="24"/>
        </w:rPr>
      </w:pPr>
      <w:r w:rsidRPr="00455FB8">
        <w:rPr>
          <w:szCs w:val="24"/>
        </w:rPr>
        <w:t>Market Participant identifier;</w:t>
      </w:r>
    </w:p>
    <w:p w14:paraId="4EB4692E" w14:textId="77777777" w:rsidR="008245CB" w:rsidRPr="00455FB8" w:rsidRDefault="008245CB" w:rsidP="00DA3CE7">
      <w:pPr>
        <w:numPr>
          <w:ilvl w:val="0"/>
          <w:numId w:val="197"/>
        </w:numPr>
        <w:spacing w:before="120"/>
        <w:ind w:hanging="540"/>
        <w:rPr>
          <w:szCs w:val="24"/>
        </w:rPr>
      </w:pPr>
      <w:r w:rsidRPr="00455FB8">
        <w:rPr>
          <w:szCs w:val="24"/>
        </w:rPr>
        <w:t>Type of statement (S7, S53, R&lt;</w:t>
      </w:r>
      <w:r w:rsidRPr="00455FB8">
        <w:rPr>
          <w:i/>
          <w:szCs w:val="24"/>
        </w:rPr>
        <w:t>ddd</w:t>
      </w:r>
      <w:r w:rsidRPr="00455FB8">
        <w:rPr>
          <w:szCs w:val="24"/>
        </w:rPr>
        <w:t xml:space="preserve">&gt;, where </w:t>
      </w:r>
      <w:r w:rsidRPr="00455FB8">
        <w:rPr>
          <w:i/>
          <w:szCs w:val="24"/>
        </w:rPr>
        <w:t xml:space="preserve">ddd </w:t>
      </w:r>
      <w:r w:rsidRPr="00455FB8">
        <w:rPr>
          <w:szCs w:val="24"/>
        </w:rPr>
        <w:t>represents number of days after Operating Day);</w:t>
      </w:r>
    </w:p>
    <w:p w14:paraId="7A33F4A1" w14:textId="77777777" w:rsidR="008245CB" w:rsidRPr="00455FB8" w:rsidRDefault="008245CB" w:rsidP="00DA3CE7">
      <w:pPr>
        <w:numPr>
          <w:ilvl w:val="0"/>
          <w:numId w:val="197"/>
        </w:numPr>
        <w:spacing w:before="120"/>
        <w:ind w:hanging="540"/>
        <w:rPr>
          <w:szCs w:val="24"/>
        </w:rPr>
      </w:pPr>
      <w:r w:rsidRPr="00455FB8">
        <w:rPr>
          <w:szCs w:val="24"/>
        </w:rPr>
        <w:t>Statement version number;</w:t>
      </w:r>
    </w:p>
    <w:p w14:paraId="363CCC69" w14:textId="136D5F6A" w:rsidR="008245CB" w:rsidRPr="00455FB8" w:rsidRDefault="008245CB" w:rsidP="00DA3CE7">
      <w:pPr>
        <w:numPr>
          <w:ilvl w:val="0"/>
          <w:numId w:val="197"/>
        </w:numPr>
        <w:spacing w:before="120"/>
        <w:ind w:hanging="540"/>
        <w:rPr>
          <w:szCs w:val="24"/>
        </w:rPr>
      </w:pPr>
      <w:r w:rsidRPr="00455FB8">
        <w:rPr>
          <w:szCs w:val="24"/>
        </w:rPr>
        <w:t xml:space="preserve">Unique </w:t>
      </w:r>
      <w:r w:rsidR="00E54D08">
        <w:rPr>
          <w:szCs w:val="24"/>
        </w:rPr>
        <w:t xml:space="preserve">Settlement </w:t>
      </w:r>
      <w:r w:rsidRPr="00455FB8">
        <w:rPr>
          <w:szCs w:val="24"/>
        </w:rPr>
        <w:t>Statement identification code; and</w:t>
      </w:r>
    </w:p>
    <w:p w14:paraId="557A9ECD" w14:textId="77777777" w:rsidR="008245CB" w:rsidRPr="00455FB8" w:rsidRDefault="008245CB" w:rsidP="00DA3CE7">
      <w:pPr>
        <w:numPr>
          <w:ilvl w:val="0"/>
          <w:numId w:val="197"/>
        </w:numPr>
        <w:spacing w:before="120"/>
        <w:ind w:hanging="540"/>
        <w:rPr>
          <w:szCs w:val="24"/>
        </w:rPr>
      </w:pPr>
      <w:r w:rsidRPr="00455FB8">
        <w:rPr>
          <w:szCs w:val="24"/>
        </w:rPr>
        <w:t>Market services settled.</w:t>
      </w:r>
    </w:p>
    <w:p w14:paraId="5C2B0353" w14:textId="77777777" w:rsidR="008245CB" w:rsidRPr="00455FB8" w:rsidRDefault="008245CB" w:rsidP="008245CB">
      <w:pPr>
        <w:spacing w:line="300" w:lineRule="auto"/>
        <w:rPr>
          <w:szCs w:val="24"/>
        </w:rPr>
      </w:pPr>
      <w:r w:rsidRPr="00455FB8">
        <w:rPr>
          <w:szCs w:val="24"/>
        </w:rPr>
        <w:t xml:space="preserve">Settlement Statements will include charges and credits by Asset Owner, appropriate Settlement Interval, and Settlement Location. </w:t>
      </w:r>
    </w:p>
    <w:p w14:paraId="792B73B8" w14:textId="1F1E7320" w:rsidR="008245CB" w:rsidRPr="000B3E17" w:rsidRDefault="008245CB" w:rsidP="00574EDE">
      <w:pPr>
        <w:pStyle w:val="Heading4"/>
      </w:pPr>
      <w:bookmarkStart w:id="6520" w:name="_Toc81053202"/>
      <w:bookmarkStart w:id="6521" w:name="_Toc237838909"/>
      <w:bookmarkStart w:id="6522" w:name="_Toc258924945"/>
      <w:bookmarkStart w:id="6523" w:name="_Toc263173388"/>
      <w:bookmarkStart w:id="6524" w:name="_Toc263174216"/>
      <w:bookmarkStart w:id="6525" w:name="_Toc263235115"/>
      <w:bookmarkStart w:id="6526" w:name="_Toc263235759"/>
      <w:bookmarkStart w:id="6527" w:name="_Toc263429502"/>
      <w:bookmarkStart w:id="6528" w:name="_Toc263795541"/>
      <w:bookmarkStart w:id="6529" w:name="_Toc266869725"/>
      <w:bookmarkStart w:id="6530" w:name="_Toc159233292"/>
      <w:bookmarkStart w:id="6531" w:name="_Toc213771920"/>
      <w:r w:rsidRPr="000B3E17">
        <w:t>Settlement Statement Access</w:t>
      </w:r>
      <w:bookmarkEnd w:id="6520"/>
      <w:bookmarkEnd w:id="6521"/>
      <w:bookmarkEnd w:id="6522"/>
      <w:bookmarkEnd w:id="6523"/>
      <w:bookmarkEnd w:id="6524"/>
      <w:bookmarkEnd w:id="6525"/>
      <w:bookmarkEnd w:id="6526"/>
      <w:bookmarkEnd w:id="6527"/>
      <w:bookmarkEnd w:id="6528"/>
      <w:bookmarkEnd w:id="6529"/>
      <w:bookmarkEnd w:id="6530"/>
      <w:bookmarkEnd w:id="6531"/>
    </w:p>
    <w:p w14:paraId="1303619E" w14:textId="77777777" w:rsidR="008245CB" w:rsidRPr="00455FB8" w:rsidRDefault="008245CB" w:rsidP="008245CB">
      <w:pPr>
        <w:spacing w:line="300" w:lineRule="auto"/>
        <w:rPr>
          <w:szCs w:val="24"/>
        </w:rPr>
      </w:pPr>
      <w:r w:rsidRPr="00455FB8">
        <w:rPr>
          <w:szCs w:val="24"/>
        </w:rPr>
        <w:t xml:space="preserve">Market Participants and associated Asset Owners can access Settlement Statements pertaining to them electronically </w:t>
      </w:r>
      <w:r>
        <w:rPr>
          <w:szCs w:val="24"/>
        </w:rPr>
        <w:t>by accessing the Portal and downloading the Settlement Statements.</w:t>
      </w:r>
    </w:p>
    <w:p w14:paraId="03C4A2F9" w14:textId="6D635C3D" w:rsidR="008245CB" w:rsidRPr="000B3E17" w:rsidRDefault="008245CB" w:rsidP="00574EDE">
      <w:pPr>
        <w:pStyle w:val="Heading4"/>
      </w:pPr>
      <w:bookmarkStart w:id="6532" w:name="_Toc81053205"/>
      <w:bookmarkStart w:id="6533" w:name="_Toc237838912"/>
      <w:bookmarkStart w:id="6534" w:name="_Toc258924946"/>
      <w:bookmarkStart w:id="6535" w:name="_Toc263173389"/>
      <w:bookmarkStart w:id="6536" w:name="_Toc263174217"/>
      <w:bookmarkStart w:id="6537" w:name="_Toc263235116"/>
      <w:bookmarkStart w:id="6538" w:name="_Toc263235760"/>
      <w:bookmarkStart w:id="6539" w:name="_Toc263429503"/>
      <w:bookmarkStart w:id="6540" w:name="_Toc263795542"/>
      <w:bookmarkStart w:id="6541" w:name="_Toc266869726"/>
      <w:bookmarkStart w:id="6542" w:name="_Toc159233293"/>
      <w:bookmarkStart w:id="6543" w:name="_Toc213771921"/>
      <w:r w:rsidRPr="000B3E17">
        <w:t>S7 Scheduled Settlement Statements</w:t>
      </w:r>
      <w:bookmarkEnd w:id="6532"/>
      <w:bookmarkEnd w:id="6533"/>
      <w:bookmarkEnd w:id="6534"/>
      <w:bookmarkEnd w:id="6535"/>
      <w:bookmarkEnd w:id="6536"/>
      <w:bookmarkEnd w:id="6537"/>
      <w:bookmarkEnd w:id="6538"/>
      <w:bookmarkEnd w:id="6539"/>
      <w:bookmarkEnd w:id="6540"/>
      <w:bookmarkEnd w:id="6541"/>
      <w:bookmarkEnd w:id="6542"/>
      <w:bookmarkEnd w:id="6543"/>
    </w:p>
    <w:p w14:paraId="29ACE341" w14:textId="133BCCB3" w:rsidR="008245CB" w:rsidRPr="00455FB8" w:rsidRDefault="008245CB" w:rsidP="008245CB">
      <w:pPr>
        <w:spacing w:line="300" w:lineRule="auto"/>
        <w:rPr>
          <w:szCs w:val="24"/>
        </w:rPr>
      </w:pPr>
      <w:r>
        <w:rPr>
          <w:szCs w:val="24"/>
        </w:rPr>
        <w:t>The Market Operator</w:t>
      </w:r>
      <w:r w:rsidRPr="00455FB8">
        <w:rPr>
          <w:szCs w:val="24"/>
        </w:rPr>
        <w:t xml:space="preserve"> will produce the S7 Scheduled Settlement Statements for each Market Participant for each Operating Day.  This preliminary Scheduled Settlement Statement is defined as an S7 Scheduled Settlement Statement.  </w:t>
      </w:r>
      <w:r w:rsidRPr="000B3E17">
        <w:rPr>
          <w:szCs w:val="24"/>
        </w:rPr>
        <w:t>On</w:t>
      </w:r>
      <w:r>
        <w:rPr>
          <w:szCs w:val="24"/>
        </w:rPr>
        <w:t xml:space="preserve"> days that are not Business Days</w:t>
      </w:r>
      <w:r w:rsidRPr="00455FB8">
        <w:rPr>
          <w:szCs w:val="24"/>
        </w:rPr>
        <w:t>, S7 Scheduled Settlement Statements will be posted at the end of the seventh (7</w:t>
      </w:r>
      <w:r w:rsidRPr="00455FB8">
        <w:rPr>
          <w:szCs w:val="24"/>
          <w:vertAlign w:val="superscript"/>
        </w:rPr>
        <w:t>th</w:t>
      </w:r>
      <w:r w:rsidRPr="00455FB8">
        <w:rPr>
          <w:szCs w:val="24"/>
        </w:rPr>
        <w:t>) Calendar Day following the Operating Day.  If the seventh (7</w:t>
      </w:r>
      <w:r w:rsidRPr="00455FB8">
        <w:rPr>
          <w:szCs w:val="24"/>
          <w:vertAlign w:val="superscript"/>
        </w:rPr>
        <w:t>th</w:t>
      </w:r>
      <w:r w:rsidRPr="00455FB8">
        <w:rPr>
          <w:szCs w:val="24"/>
        </w:rPr>
        <w:t xml:space="preserve">) Calendar Day is not a Business Day, the S7 Scheduled Settlement Statement will be issued no later than the next Business Day thereafter.  </w:t>
      </w:r>
      <w:r>
        <w:rPr>
          <w:szCs w:val="24"/>
        </w:rPr>
        <w:t>On days that are not Business Days,</w:t>
      </w:r>
      <w:r w:rsidRPr="00455FB8">
        <w:rPr>
          <w:szCs w:val="24"/>
        </w:rPr>
        <w:t xml:space="preserve"> S7 Scheduled Settlement Statements will be created as shown in </w:t>
      </w:r>
      <w:r w:rsidRPr="00A8027F">
        <w:rPr>
          <w:szCs w:val="24"/>
        </w:rPr>
        <w:t>Exhibit 4-</w:t>
      </w:r>
      <w:r w:rsidR="003C21F4" w:rsidRPr="00A8027F">
        <w:rPr>
          <w:szCs w:val="24"/>
        </w:rPr>
        <w:t>18</w:t>
      </w:r>
      <w:r w:rsidRPr="00455FB8">
        <w:rPr>
          <w:szCs w:val="24"/>
        </w:rPr>
        <w:t>.</w:t>
      </w:r>
    </w:p>
    <w:p w14:paraId="68970250" w14:textId="33AD1986" w:rsidR="008245CB" w:rsidRPr="000B3E17" w:rsidRDefault="008245CB" w:rsidP="00574EDE">
      <w:pPr>
        <w:pStyle w:val="Heading4"/>
      </w:pPr>
      <w:bookmarkStart w:id="6544" w:name="_Toc159233294"/>
      <w:bookmarkStart w:id="6545" w:name="_Toc213771922"/>
      <w:bookmarkStart w:id="6546" w:name="_Toc81053206"/>
      <w:bookmarkStart w:id="6547" w:name="_Toc237838913"/>
      <w:bookmarkStart w:id="6548" w:name="_Toc258924947"/>
      <w:bookmarkStart w:id="6549" w:name="_Toc263173390"/>
      <w:bookmarkStart w:id="6550" w:name="_Toc263174218"/>
      <w:bookmarkStart w:id="6551" w:name="_Toc263235117"/>
      <w:bookmarkStart w:id="6552" w:name="_Toc263235761"/>
      <w:bookmarkStart w:id="6553" w:name="_Toc263429504"/>
      <w:bookmarkStart w:id="6554" w:name="_Toc263795543"/>
      <w:bookmarkStart w:id="6555" w:name="_Toc266869727"/>
      <w:r w:rsidRPr="000B3E17">
        <w:t>S53 Scheduled Settlement Statements</w:t>
      </w:r>
      <w:bookmarkEnd w:id="6544"/>
      <w:bookmarkEnd w:id="6545"/>
      <w:r w:rsidRPr="000B3E17">
        <w:t xml:space="preserve"> </w:t>
      </w:r>
    </w:p>
    <w:p w14:paraId="04409EC4" w14:textId="7828A99E" w:rsidR="008245CB" w:rsidRPr="00455FB8" w:rsidRDefault="008245CB" w:rsidP="008245CB">
      <w:pPr>
        <w:spacing w:line="300" w:lineRule="auto"/>
      </w:pPr>
      <w:r>
        <w:t>The Market Operator</w:t>
      </w:r>
      <w:r w:rsidRPr="00455FB8">
        <w:t xml:space="preserve"> will produce the S53 Scheduled Settlement Statements for each Market Participant for each Operating Day.  This second Scheduled Settlement Statement is defined as an S53 Scheduled Settlement Statement.  S53 Scheduled Settlement Statements will be posted at the end of the fifty-third (53</w:t>
      </w:r>
      <w:r w:rsidRPr="00455FB8">
        <w:rPr>
          <w:vertAlign w:val="superscript"/>
        </w:rPr>
        <w:t>rd</w:t>
      </w:r>
      <w:r w:rsidRPr="00455FB8">
        <w:t>) Calendar Day following the Operating Day.  If the fifty-third (53</w:t>
      </w:r>
      <w:r w:rsidRPr="00455FB8">
        <w:rPr>
          <w:vertAlign w:val="superscript"/>
        </w:rPr>
        <w:t>rd</w:t>
      </w:r>
      <w:r w:rsidRPr="00455FB8">
        <w:t xml:space="preserve">) Calendar Day is not a Business Day, the S53 Scheduled Settlement Statement will be issued on the next Business Day thereafter.  The S53 Scheduled Settlement Statement will reflect the net changes to settlement charges or credits generated on the Operating Day’s S7 Scheduled Settlement Statement.  </w:t>
      </w:r>
      <w:r>
        <w:rPr>
          <w:szCs w:val="24"/>
        </w:rPr>
        <w:t xml:space="preserve">On days that are not Business </w:t>
      </w:r>
      <w:r w:rsidRPr="000B3E17">
        <w:rPr>
          <w:szCs w:val="24"/>
        </w:rPr>
        <w:t>Days</w:t>
      </w:r>
      <w:r w:rsidRPr="00455FB8">
        <w:t xml:space="preserve">, S53 Scheduled Settlement Statements will be created as shown in </w:t>
      </w:r>
      <w:r w:rsidRPr="00A8027F">
        <w:t>Exhibit 4-</w:t>
      </w:r>
      <w:r w:rsidR="003C21F4" w:rsidRPr="00A8027F">
        <w:t>18</w:t>
      </w:r>
      <w:r w:rsidRPr="00A8027F">
        <w:t>.</w:t>
      </w:r>
      <w:r w:rsidRPr="00455FB8">
        <w:t xml:space="preserve">  </w:t>
      </w:r>
    </w:p>
    <w:p w14:paraId="3E1787AA" w14:textId="6CC3B4EB" w:rsidR="008245CB" w:rsidRPr="000B3E17" w:rsidRDefault="008245CB" w:rsidP="00574EDE">
      <w:pPr>
        <w:pStyle w:val="Heading4"/>
      </w:pPr>
      <w:bookmarkStart w:id="6556" w:name="_Toc159233295"/>
      <w:bookmarkStart w:id="6557" w:name="_Toc213771923"/>
      <w:r w:rsidRPr="000B3E17">
        <w:t>S120 Scheduled Settlement Statements</w:t>
      </w:r>
      <w:bookmarkEnd w:id="6546"/>
      <w:bookmarkEnd w:id="6547"/>
      <w:bookmarkEnd w:id="6548"/>
      <w:bookmarkEnd w:id="6549"/>
      <w:bookmarkEnd w:id="6550"/>
      <w:bookmarkEnd w:id="6551"/>
      <w:bookmarkEnd w:id="6552"/>
      <w:bookmarkEnd w:id="6553"/>
      <w:bookmarkEnd w:id="6554"/>
      <w:bookmarkEnd w:id="6555"/>
      <w:bookmarkEnd w:id="6556"/>
      <w:bookmarkEnd w:id="6557"/>
    </w:p>
    <w:p w14:paraId="27BC6305" w14:textId="45A77F04" w:rsidR="008245CB" w:rsidRPr="00455FB8" w:rsidRDefault="008245CB" w:rsidP="008245CB">
      <w:pPr>
        <w:spacing w:line="300" w:lineRule="auto"/>
        <w:rPr>
          <w:szCs w:val="24"/>
        </w:rPr>
      </w:pPr>
      <w:r>
        <w:rPr>
          <w:szCs w:val="24"/>
        </w:rPr>
        <w:t>The Market Operator</w:t>
      </w:r>
      <w:r w:rsidRPr="00455FB8">
        <w:rPr>
          <w:szCs w:val="24"/>
        </w:rPr>
        <w:t xml:space="preserve"> will produce the S120 Scheduled Settlement Statements for each Market Participant for each Operating Day.  This final Scheduled Settlement Statement is defined as an S120 Scheduled Settlement Statement.  The S120 Scheduled Settlement Statements will be posted at the end of the one hundred and twentieth (120</w:t>
      </w:r>
      <w:r w:rsidRPr="00455FB8">
        <w:rPr>
          <w:szCs w:val="24"/>
          <w:vertAlign w:val="superscript"/>
        </w:rPr>
        <w:t>th</w:t>
      </w:r>
      <w:r w:rsidRPr="00455FB8">
        <w:rPr>
          <w:szCs w:val="24"/>
        </w:rPr>
        <w:t>) Calendar Day following the Operating Day.  If the one hundred and twentieth (120</w:t>
      </w:r>
      <w:r w:rsidRPr="00455FB8">
        <w:rPr>
          <w:szCs w:val="24"/>
          <w:vertAlign w:val="superscript"/>
        </w:rPr>
        <w:t>th</w:t>
      </w:r>
      <w:r w:rsidRPr="00455FB8">
        <w:rPr>
          <w:szCs w:val="24"/>
        </w:rPr>
        <w:t xml:space="preserve">) Calendar Day is not a Business Day, the S120 Scheduled Settlement Statement will be issued on the next Business Day thereafter.  The S120 Scheduled Settlement Statement will reflect the net changes to settlement charges or credits generated on the Operating Day’s S53 Scheduled Settlement Statement.  </w:t>
      </w:r>
      <w:r>
        <w:rPr>
          <w:szCs w:val="24"/>
        </w:rPr>
        <w:t xml:space="preserve">On days that are not Business </w:t>
      </w:r>
      <w:r w:rsidRPr="000B3E17">
        <w:rPr>
          <w:szCs w:val="24"/>
        </w:rPr>
        <w:t>Days</w:t>
      </w:r>
      <w:r w:rsidRPr="00455FB8">
        <w:rPr>
          <w:szCs w:val="24"/>
        </w:rPr>
        <w:t xml:space="preserve">, S120 Scheduled Settlement Statements will be created as shown in </w:t>
      </w:r>
      <w:r w:rsidRPr="00A8027F">
        <w:rPr>
          <w:szCs w:val="24"/>
        </w:rPr>
        <w:t>Exhibit 4-</w:t>
      </w:r>
      <w:r w:rsidR="003C21F4" w:rsidRPr="00A8027F">
        <w:rPr>
          <w:szCs w:val="24"/>
        </w:rPr>
        <w:t>18</w:t>
      </w:r>
      <w:r w:rsidRPr="00A8027F">
        <w:rPr>
          <w:szCs w:val="24"/>
        </w:rPr>
        <w:t>.</w:t>
      </w:r>
    </w:p>
    <w:p w14:paraId="012F7DA1" w14:textId="1AE0686C" w:rsidR="008245CB" w:rsidRPr="000B3E17" w:rsidRDefault="008245CB" w:rsidP="00574EDE">
      <w:pPr>
        <w:pStyle w:val="Heading4"/>
      </w:pPr>
      <w:bookmarkStart w:id="6558" w:name="_Toc81053207"/>
      <w:bookmarkStart w:id="6559" w:name="_Toc237838914"/>
      <w:bookmarkStart w:id="6560" w:name="_Toc258924948"/>
      <w:bookmarkStart w:id="6561" w:name="_Toc263173391"/>
      <w:bookmarkStart w:id="6562" w:name="_Toc263174219"/>
      <w:bookmarkStart w:id="6563" w:name="_Toc263235118"/>
      <w:bookmarkStart w:id="6564" w:name="_Toc263235762"/>
      <w:bookmarkStart w:id="6565" w:name="_Toc263429505"/>
      <w:bookmarkStart w:id="6566" w:name="_Toc263795544"/>
      <w:bookmarkStart w:id="6567" w:name="_Toc266869728"/>
      <w:bookmarkStart w:id="6568" w:name="_Toc159233296"/>
      <w:bookmarkStart w:id="6569" w:name="_Ref212559420"/>
      <w:bookmarkStart w:id="6570" w:name="_Ref212559484"/>
      <w:bookmarkStart w:id="6571" w:name="_Ref212620341"/>
      <w:bookmarkStart w:id="6572" w:name="_Ref212620384"/>
      <w:bookmarkStart w:id="6573" w:name="_Toc213771924"/>
      <w:r w:rsidRPr="000B3E17">
        <w:t>Resettlement Statements</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15F32F8E" w14:textId="77777777" w:rsidR="008245CB" w:rsidRPr="00455FB8" w:rsidRDefault="008245CB" w:rsidP="008245CB">
      <w:pPr>
        <w:spacing w:line="300" w:lineRule="auto"/>
        <w:rPr>
          <w:szCs w:val="24"/>
        </w:rPr>
      </w:pPr>
      <w:r w:rsidRPr="00455FB8">
        <w:rPr>
          <w:szCs w:val="24"/>
        </w:rPr>
        <w:t>An ad-hoc Settlement Statement produced through the resettlement of an Operating Day to effect a correction to a previously posted Settlement Statement for an Operating Day:</w:t>
      </w:r>
    </w:p>
    <w:p w14:paraId="2D74188E" w14:textId="77777777" w:rsidR="008245CB" w:rsidRPr="00455FB8" w:rsidRDefault="008245CB" w:rsidP="00DA3CE7">
      <w:pPr>
        <w:numPr>
          <w:ilvl w:val="0"/>
          <w:numId w:val="194"/>
        </w:numPr>
        <w:spacing w:line="300" w:lineRule="auto"/>
        <w:ind w:hanging="540"/>
        <w:contextualSpacing/>
        <w:rPr>
          <w:szCs w:val="24"/>
        </w:rPr>
      </w:pPr>
      <w:r w:rsidRPr="00455FB8">
        <w:rPr>
          <w:szCs w:val="24"/>
        </w:rPr>
        <w:t xml:space="preserve">Resettlements will be limited to the following reasons: </w:t>
      </w:r>
    </w:p>
    <w:p w14:paraId="59DEC6E1" w14:textId="45C0A6DA" w:rsidR="008245CB" w:rsidRPr="00455FB8" w:rsidRDefault="008245CB" w:rsidP="00DA3CE7">
      <w:pPr>
        <w:numPr>
          <w:ilvl w:val="1"/>
          <w:numId w:val="194"/>
        </w:numPr>
        <w:spacing w:line="300" w:lineRule="auto"/>
        <w:ind w:left="1440" w:hanging="720"/>
        <w:contextualSpacing/>
        <w:rPr>
          <w:szCs w:val="24"/>
        </w:rPr>
      </w:pPr>
      <w:r w:rsidRPr="00455FB8">
        <w:rPr>
          <w:szCs w:val="24"/>
        </w:rPr>
        <w:t xml:space="preserve">The correction of data resulting from a Software Error </w:t>
      </w:r>
      <w:r w:rsidRPr="00455FB8" w:rsidDel="0046151A">
        <w:rPr>
          <w:szCs w:val="24"/>
        </w:rPr>
        <w:t>and/or</w:t>
      </w:r>
      <w:r w:rsidRPr="00455FB8">
        <w:rPr>
          <w:szCs w:val="24"/>
        </w:rPr>
        <w:t xml:space="preserve"> Data Error per the discretion of </w:t>
      </w:r>
      <w:r>
        <w:rPr>
          <w:szCs w:val="24"/>
        </w:rPr>
        <w:t>the Market Operator</w:t>
      </w:r>
      <w:r w:rsidRPr="00455FB8">
        <w:rPr>
          <w:szCs w:val="24"/>
        </w:rPr>
        <w:t xml:space="preserve"> in accordance with the rules specified </w:t>
      </w:r>
      <w:r w:rsidR="00877D7F">
        <w:rPr>
          <w:szCs w:val="24"/>
        </w:rPr>
        <w:t xml:space="preserve">in </w:t>
      </w:r>
      <w:r w:rsidRPr="00455FB8">
        <w:rPr>
          <w:szCs w:val="24"/>
        </w:rPr>
        <w:t xml:space="preserve">Attachment A to the Markets+ Tariff. </w:t>
      </w:r>
    </w:p>
    <w:p w14:paraId="52808C47" w14:textId="0ACDD057" w:rsidR="008245CB" w:rsidRPr="00455FB8" w:rsidRDefault="008245CB" w:rsidP="00DA3CE7">
      <w:pPr>
        <w:numPr>
          <w:ilvl w:val="1"/>
          <w:numId w:val="194"/>
        </w:numPr>
        <w:spacing w:line="300" w:lineRule="auto"/>
        <w:ind w:left="1440" w:hanging="720"/>
        <w:contextualSpacing/>
        <w:rPr>
          <w:szCs w:val="24"/>
        </w:rPr>
      </w:pPr>
      <w:r w:rsidRPr="00455FB8">
        <w:rPr>
          <w:szCs w:val="24"/>
        </w:rPr>
        <w:t xml:space="preserve">A granted dispute in accordance with the guidelines in </w:t>
      </w:r>
      <w:r w:rsidRPr="00FE7AA5">
        <w:rPr>
          <w:szCs w:val="24"/>
        </w:rPr>
        <w:t>Section</w:t>
      </w:r>
      <w:r w:rsidRPr="00455FB8">
        <w:rPr>
          <w:szCs w:val="24"/>
        </w:rPr>
        <w:t xml:space="preserve"> </w:t>
      </w:r>
      <w:r w:rsidR="00622978">
        <w:rPr>
          <w:szCs w:val="24"/>
        </w:rPr>
        <w:fldChar w:fldCharType="begin"/>
      </w:r>
      <w:r w:rsidR="00622978">
        <w:rPr>
          <w:szCs w:val="24"/>
        </w:rPr>
        <w:instrText xml:space="preserve"> REF _Ref212559484 \r \h </w:instrText>
      </w:r>
      <w:r w:rsidR="00622978">
        <w:rPr>
          <w:szCs w:val="24"/>
        </w:rPr>
      </w:r>
      <w:r w:rsidR="00622978">
        <w:rPr>
          <w:szCs w:val="24"/>
        </w:rPr>
        <w:fldChar w:fldCharType="separate"/>
      </w:r>
      <w:r w:rsidR="00622978">
        <w:rPr>
          <w:szCs w:val="24"/>
        </w:rPr>
        <w:t>4.5.13.7</w:t>
      </w:r>
      <w:r w:rsidR="00622978">
        <w:rPr>
          <w:szCs w:val="24"/>
        </w:rPr>
        <w:fldChar w:fldCharType="end"/>
      </w:r>
      <w:r w:rsidRPr="000B3E17">
        <w:rPr>
          <w:szCs w:val="24"/>
        </w:rPr>
        <w:fldChar w:fldCharType="begin"/>
      </w:r>
      <w:r w:rsidRPr="000B3E17">
        <w:rPr>
          <w:szCs w:val="24"/>
        </w:rPr>
        <w:instrText xml:space="preserve"> REF _Ref31014591 \r \h </w:instrText>
      </w:r>
      <w:r>
        <w:rPr>
          <w:szCs w:val="24"/>
        </w:rPr>
        <w:instrText xml:space="preserve"> \* MERGEFORMAT </w:instrText>
      </w:r>
      <w:r w:rsidRPr="000B3E17">
        <w:rPr>
          <w:szCs w:val="24"/>
        </w:rPr>
      </w:r>
      <w:r w:rsidRPr="000B3E17">
        <w:rPr>
          <w:szCs w:val="24"/>
        </w:rPr>
        <w:fldChar w:fldCharType="separate"/>
      </w:r>
      <w:r w:rsidRPr="000B3E17">
        <w:rPr>
          <w:szCs w:val="24"/>
        </w:rPr>
        <w:fldChar w:fldCharType="end"/>
      </w:r>
      <w:r w:rsidRPr="000B3E17">
        <w:rPr>
          <w:szCs w:val="24"/>
        </w:rPr>
        <w:t>.</w:t>
      </w:r>
    </w:p>
    <w:p w14:paraId="28925C8E" w14:textId="77777777" w:rsidR="008245CB" w:rsidRPr="00455FB8" w:rsidRDefault="008245CB" w:rsidP="00DA3CE7">
      <w:pPr>
        <w:numPr>
          <w:ilvl w:val="1"/>
          <w:numId w:val="194"/>
        </w:numPr>
        <w:spacing w:line="300" w:lineRule="auto"/>
        <w:ind w:left="1440" w:hanging="720"/>
        <w:contextualSpacing/>
        <w:rPr>
          <w:szCs w:val="24"/>
        </w:rPr>
      </w:pPr>
      <w:r w:rsidRPr="00455FB8">
        <w:rPr>
          <w:szCs w:val="24"/>
        </w:rPr>
        <w:t>Per court order or FERC order.</w:t>
      </w:r>
    </w:p>
    <w:p w14:paraId="11F5887C" w14:textId="14BE569A" w:rsidR="008245CB" w:rsidRPr="00455FB8" w:rsidRDefault="008245CB" w:rsidP="00DA3CE7">
      <w:pPr>
        <w:numPr>
          <w:ilvl w:val="0"/>
          <w:numId w:val="194"/>
        </w:numPr>
        <w:spacing w:line="300" w:lineRule="auto"/>
        <w:ind w:hanging="540"/>
        <w:rPr>
          <w:szCs w:val="24"/>
        </w:rPr>
      </w:pPr>
      <w:r w:rsidRPr="00455FB8">
        <w:rPr>
          <w:szCs w:val="24"/>
        </w:rPr>
        <w:t xml:space="preserve">Resettlements are limited to 330 days following the Operating Day, allowing for a dispute period following the relevant Resettlement Statement, prior to reaching the </w:t>
      </w:r>
      <w:r w:rsidR="00073220" w:rsidRPr="00455FB8">
        <w:rPr>
          <w:szCs w:val="24"/>
        </w:rPr>
        <w:t>365-day</w:t>
      </w:r>
      <w:r w:rsidRPr="00455FB8">
        <w:rPr>
          <w:szCs w:val="24"/>
        </w:rPr>
        <w:t xml:space="preserve"> limit set by the Markets+ Tariff. </w:t>
      </w:r>
    </w:p>
    <w:p w14:paraId="1381A8CF" w14:textId="5044C1D8" w:rsidR="008245CB" w:rsidRPr="00455FB8" w:rsidRDefault="008245CB" w:rsidP="00DA3CE7">
      <w:pPr>
        <w:numPr>
          <w:ilvl w:val="0"/>
          <w:numId w:val="194"/>
        </w:numPr>
        <w:spacing w:line="300" w:lineRule="auto"/>
        <w:ind w:hanging="540"/>
        <w:rPr>
          <w:szCs w:val="24"/>
        </w:rPr>
      </w:pPr>
      <w:r w:rsidRPr="00455FB8">
        <w:rPr>
          <w:szCs w:val="24"/>
        </w:rPr>
        <w:t xml:space="preserve">Resettlements Statements will be referred to according to the number of days following the Operating Day that the results are posted to the Portal, </w:t>
      </w:r>
      <w:r w:rsidR="008E4C3D">
        <w:rPr>
          <w:szCs w:val="24"/>
        </w:rPr>
        <w:t>(</w:t>
      </w:r>
      <w:r w:rsidRPr="00455FB8">
        <w:rPr>
          <w:szCs w:val="24"/>
        </w:rPr>
        <w:t>e.g., a resettlement posted 200 days following the Operating Day would be referenced as the R200 resettlement</w:t>
      </w:r>
      <w:r w:rsidR="008E4C3D">
        <w:rPr>
          <w:szCs w:val="24"/>
        </w:rPr>
        <w:t>)</w:t>
      </w:r>
      <w:r w:rsidRPr="00455FB8">
        <w:rPr>
          <w:szCs w:val="24"/>
        </w:rPr>
        <w:t>.</w:t>
      </w:r>
    </w:p>
    <w:p w14:paraId="7035C3AB" w14:textId="1147EEC4" w:rsidR="008245CB" w:rsidRPr="00455FB8" w:rsidRDefault="008245CB" w:rsidP="00DA3CE7">
      <w:pPr>
        <w:numPr>
          <w:ilvl w:val="0"/>
          <w:numId w:val="194"/>
        </w:numPr>
        <w:spacing w:line="300" w:lineRule="auto"/>
        <w:ind w:hanging="540"/>
        <w:rPr>
          <w:szCs w:val="24"/>
        </w:rPr>
      </w:pPr>
      <w:r w:rsidRPr="00455FB8">
        <w:rPr>
          <w:szCs w:val="24"/>
        </w:rPr>
        <w:t xml:space="preserve">Any settlement and billing dispute for S7 or S53 Scheduled Settlement Statements resolved in accordance with the Dispute Resolution </w:t>
      </w:r>
      <w:r w:rsidR="00675C65">
        <w:rPr>
          <w:szCs w:val="24"/>
        </w:rPr>
        <w:t xml:space="preserve">Procedure </w:t>
      </w:r>
      <w:r w:rsidRPr="00455FB8">
        <w:rPr>
          <w:szCs w:val="24"/>
        </w:rPr>
        <w:t xml:space="preserve">of the Markets+ Tariff will be corrected on the S120 Scheduled Settlement Statement for the Operating Day.  In the event that the S120 Scheduled Settlement Statement does not resolve a granted dispute from an S7 or S53 Scheduled Settlement Statement for a given Operating Day, </w:t>
      </w:r>
      <w:r>
        <w:rPr>
          <w:szCs w:val="24"/>
        </w:rPr>
        <w:t>the Market Operator</w:t>
      </w:r>
      <w:r w:rsidRPr="00455FB8">
        <w:rPr>
          <w:szCs w:val="24"/>
        </w:rPr>
        <w:t xml:space="preserve"> will resolve the dispute on a Resettlement Statement for that Operating Day.  Only Disputes for which the </w:t>
      </w:r>
      <w:r>
        <w:rPr>
          <w:szCs w:val="24"/>
        </w:rPr>
        <w:t>Market Operator</w:t>
      </w:r>
      <w:r w:rsidRPr="00455FB8">
        <w:rPr>
          <w:szCs w:val="24"/>
        </w:rPr>
        <w:t xml:space="preserve"> is notified by the end of the time period as defined under </w:t>
      </w:r>
      <w:r w:rsidRPr="00FE7AA5">
        <w:rPr>
          <w:szCs w:val="24"/>
        </w:rPr>
        <w:t>Section</w:t>
      </w:r>
      <w:r w:rsidRPr="00622978">
        <w:rPr>
          <w:szCs w:val="24"/>
        </w:rPr>
        <w:t xml:space="preserve"> </w:t>
      </w:r>
      <w:r w:rsidRPr="00622978">
        <w:rPr>
          <w:szCs w:val="24"/>
        </w:rPr>
        <w:fldChar w:fldCharType="begin"/>
      </w:r>
      <w:r w:rsidRPr="00622978">
        <w:rPr>
          <w:szCs w:val="24"/>
        </w:rPr>
        <w:instrText xml:space="preserve"> REF _Ref271014460 \r \h  \* MERGEFORMAT </w:instrText>
      </w:r>
      <w:r w:rsidRPr="00622978">
        <w:rPr>
          <w:szCs w:val="24"/>
        </w:rPr>
      </w:r>
      <w:r w:rsidRPr="00622978">
        <w:rPr>
          <w:szCs w:val="24"/>
        </w:rPr>
        <w:fldChar w:fldCharType="separate"/>
      </w:r>
      <w:r w:rsidRPr="00622978">
        <w:rPr>
          <w:szCs w:val="24"/>
        </w:rPr>
        <w:fldChar w:fldCharType="end"/>
      </w:r>
      <w:r w:rsidRPr="00622978">
        <w:rPr>
          <w:szCs w:val="24"/>
        </w:rPr>
        <w:t xml:space="preserve"> </w:t>
      </w:r>
      <w:r w:rsidR="00622978">
        <w:rPr>
          <w:szCs w:val="24"/>
        </w:rPr>
        <w:fldChar w:fldCharType="begin"/>
      </w:r>
      <w:r w:rsidR="00622978">
        <w:rPr>
          <w:szCs w:val="24"/>
        </w:rPr>
        <w:instrText xml:space="preserve"> REF _Ref212559545 \r \h </w:instrText>
      </w:r>
      <w:r w:rsidR="00622978">
        <w:rPr>
          <w:szCs w:val="24"/>
        </w:rPr>
      </w:r>
      <w:r w:rsidR="00622978">
        <w:rPr>
          <w:szCs w:val="24"/>
        </w:rPr>
        <w:fldChar w:fldCharType="separate"/>
      </w:r>
      <w:r w:rsidR="00622978">
        <w:rPr>
          <w:szCs w:val="24"/>
        </w:rPr>
        <w:t>4.5.15.1</w:t>
      </w:r>
      <w:r w:rsidR="00622978">
        <w:rPr>
          <w:szCs w:val="24"/>
        </w:rPr>
        <w:fldChar w:fldCharType="end"/>
      </w:r>
      <w:r w:rsidR="00EB7D09">
        <w:rPr>
          <w:szCs w:val="24"/>
        </w:rPr>
        <w:t xml:space="preserve"> </w:t>
      </w:r>
      <w:r w:rsidRPr="00455FB8">
        <w:rPr>
          <w:szCs w:val="24"/>
        </w:rPr>
        <w:t>will be considered for resettlement.</w:t>
      </w:r>
    </w:p>
    <w:p w14:paraId="59A07958" w14:textId="77777777" w:rsidR="008245CB" w:rsidRPr="00455FB8" w:rsidRDefault="008245CB" w:rsidP="00DA3CE7">
      <w:pPr>
        <w:numPr>
          <w:ilvl w:val="0"/>
          <w:numId w:val="194"/>
        </w:numPr>
        <w:spacing w:line="300" w:lineRule="auto"/>
        <w:ind w:hanging="540"/>
        <w:rPr>
          <w:szCs w:val="24"/>
        </w:rPr>
      </w:pPr>
      <w:r>
        <w:rPr>
          <w:szCs w:val="24"/>
        </w:rPr>
        <w:t>The Market Operator</w:t>
      </w:r>
      <w:r w:rsidRPr="00455FB8">
        <w:rPr>
          <w:szCs w:val="24"/>
        </w:rPr>
        <w:t xml:space="preserve"> will post a resettlement schedule through the Portal indicating that a specific Operating Day will be resettled and the date the Resettlement Statement will be issued by </w:t>
      </w:r>
      <w:r>
        <w:rPr>
          <w:szCs w:val="24"/>
        </w:rPr>
        <w:t>the Market Operator</w:t>
      </w:r>
      <w:r w:rsidRPr="00455FB8">
        <w:rPr>
          <w:szCs w:val="24"/>
        </w:rPr>
        <w:t>.</w:t>
      </w:r>
    </w:p>
    <w:p w14:paraId="7C5C197B" w14:textId="46CC97A7" w:rsidR="008245CB" w:rsidRPr="000B3E17" w:rsidRDefault="008245CB" w:rsidP="00574EDE">
      <w:pPr>
        <w:pStyle w:val="Heading4"/>
      </w:pPr>
      <w:bookmarkStart w:id="6574" w:name="_Toc81053208"/>
      <w:bookmarkStart w:id="6575" w:name="_Toc237838915"/>
      <w:bookmarkStart w:id="6576" w:name="_Toc258924949"/>
      <w:bookmarkStart w:id="6577" w:name="_Toc263173392"/>
      <w:bookmarkStart w:id="6578" w:name="_Toc263174220"/>
      <w:bookmarkStart w:id="6579" w:name="_Toc263235119"/>
      <w:bookmarkStart w:id="6580" w:name="_Toc263235763"/>
      <w:bookmarkStart w:id="6581" w:name="_Ref263240277"/>
      <w:bookmarkStart w:id="6582" w:name="_Toc263429506"/>
      <w:bookmarkStart w:id="6583" w:name="_Toc263795545"/>
      <w:bookmarkStart w:id="6584" w:name="_Toc266869729"/>
      <w:bookmarkStart w:id="6585" w:name="_Ref21591755"/>
      <w:bookmarkStart w:id="6586" w:name="_Ref31014219"/>
      <w:bookmarkStart w:id="6587" w:name="_Toc159233297"/>
      <w:bookmarkStart w:id="6588" w:name="_Ref212559586"/>
      <w:bookmarkStart w:id="6589" w:name="_Toc213771925"/>
      <w:r w:rsidRPr="000B3E17">
        <w:t>Settlement Timeline</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744A6ED4" w14:textId="283DF2EA" w:rsidR="008245CB" w:rsidRPr="00455FB8" w:rsidRDefault="008245CB" w:rsidP="008245CB">
      <w:pPr>
        <w:spacing w:line="300" w:lineRule="auto"/>
        <w:rPr>
          <w:szCs w:val="24"/>
        </w:rPr>
      </w:pPr>
      <w:r>
        <w:rPr>
          <w:szCs w:val="24"/>
        </w:rPr>
        <w:t>The Market Operator</w:t>
      </w:r>
      <w:r w:rsidRPr="00455FB8">
        <w:rPr>
          <w:szCs w:val="24"/>
        </w:rPr>
        <w:t xml:space="preserve"> will create Settlement Statements and Settlement Determinant Reports daily for each Market Participant and associated Asset Owners, detailing each Market Participant’s and associated Asset Owner’s cost responsibility. Settlement Statements are published through the Portal on each Business Day. </w:t>
      </w:r>
      <w:r>
        <w:rPr>
          <w:szCs w:val="24"/>
        </w:rPr>
        <w:t>The Market Operator</w:t>
      </w:r>
      <w:r w:rsidRPr="00455FB8">
        <w:rPr>
          <w:szCs w:val="24"/>
        </w:rPr>
        <w:t xml:space="preserve"> will prepare a Settlement Invoice each billing cycle for each Market Participant showing the net amount to be paid or received by the Market Participant. Settlement Determinant Reports will provide sufficient detail to allow verification of the billing amounts and completion of the Market Participant’s internal accounting.  </w:t>
      </w:r>
      <w:r w:rsidR="001044C1">
        <w:rPr>
          <w:szCs w:val="24"/>
        </w:rPr>
        <w:t>The</w:t>
      </w:r>
      <w:r>
        <w:rPr>
          <w:szCs w:val="24"/>
        </w:rPr>
        <w:t xml:space="preserve"> Market Operator’s</w:t>
      </w:r>
      <w:r w:rsidRPr="00455FB8">
        <w:rPr>
          <w:szCs w:val="24"/>
        </w:rPr>
        <w:t xml:space="preserve"> settlement systems will allow Market Participants and associated Asset Owners to search for Settlement Statements by issuance date and invoice date and Settlement Determinant Reports by operating date.</w:t>
      </w:r>
      <w:r w:rsidRPr="00455FB8" w:rsidDel="008E463D">
        <w:rPr>
          <w:szCs w:val="24"/>
        </w:rPr>
        <w:t xml:space="preserve"> </w:t>
      </w:r>
      <w:r>
        <w:rPr>
          <w:szCs w:val="24"/>
        </w:rPr>
        <w:t>The Market Operator</w:t>
      </w:r>
      <w:r w:rsidRPr="00455FB8">
        <w:rPr>
          <w:szCs w:val="24"/>
        </w:rPr>
        <w:t xml:space="preserve"> will post the Settlement </w:t>
      </w:r>
      <w:r>
        <w:rPr>
          <w:szCs w:val="24"/>
        </w:rPr>
        <w:t>Statements</w:t>
      </w:r>
      <w:r w:rsidRPr="00455FB8">
        <w:rPr>
          <w:szCs w:val="24"/>
        </w:rPr>
        <w:t xml:space="preserve"> in accordance with the Settlement Calendar</w:t>
      </w:r>
      <w:r>
        <w:rPr>
          <w:szCs w:val="24"/>
        </w:rPr>
        <w:t>, which is available on SPP.org</w:t>
      </w:r>
      <w:r w:rsidRPr="00455FB8">
        <w:rPr>
          <w:szCs w:val="24"/>
        </w:rPr>
        <w:t xml:space="preserve">.  </w:t>
      </w:r>
      <w:r>
        <w:rPr>
          <w:szCs w:val="24"/>
        </w:rPr>
        <w:t>An example is provided in</w:t>
      </w:r>
      <w:r w:rsidRPr="00455FB8">
        <w:rPr>
          <w:szCs w:val="24"/>
        </w:rPr>
        <w:t xml:space="preserve"> </w:t>
      </w:r>
      <w:r w:rsidRPr="001044C1">
        <w:rPr>
          <w:szCs w:val="24"/>
        </w:rPr>
        <w:t>Exhibits 4-</w:t>
      </w:r>
      <w:r w:rsidR="00A4572D">
        <w:rPr>
          <w:szCs w:val="24"/>
        </w:rPr>
        <w:t>1</w:t>
      </w:r>
      <w:r w:rsidR="003C21F4">
        <w:rPr>
          <w:szCs w:val="24"/>
        </w:rPr>
        <w:t>7</w:t>
      </w:r>
      <w:r w:rsidRPr="001044C1">
        <w:rPr>
          <w:szCs w:val="24"/>
        </w:rPr>
        <w:t xml:space="preserve"> and 4-</w:t>
      </w:r>
      <w:r w:rsidR="003C21F4">
        <w:rPr>
          <w:szCs w:val="24"/>
        </w:rPr>
        <w:t>18</w:t>
      </w:r>
      <w:r>
        <w:rPr>
          <w:szCs w:val="24"/>
        </w:rPr>
        <w:t>.</w:t>
      </w:r>
    </w:p>
    <w:p w14:paraId="668AB1A0" w14:textId="77777777" w:rsidR="008245CB" w:rsidRPr="00455FB8" w:rsidRDefault="008245CB" w:rsidP="008245CB">
      <w:pPr>
        <w:spacing w:line="300" w:lineRule="auto"/>
        <w:rPr>
          <w:szCs w:val="24"/>
        </w:rPr>
      </w:pPr>
    </w:p>
    <w:p w14:paraId="1252EBFC" w14:textId="77777777" w:rsidR="00A31283" w:rsidRDefault="00A31283">
      <w:pPr>
        <w:spacing w:after="0"/>
        <w:jc w:val="left"/>
        <w:rPr>
          <w:b/>
          <w:szCs w:val="24"/>
        </w:rPr>
      </w:pPr>
      <w:r>
        <w:rPr>
          <w:b/>
          <w:szCs w:val="24"/>
        </w:rPr>
        <w:br w:type="page"/>
      </w:r>
    </w:p>
    <w:p w14:paraId="0F10C8D1" w14:textId="6B9CC45C" w:rsidR="00A31283" w:rsidRPr="00455FB8" w:rsidRDefault="00A31283" w:rsidP="00A31283">
      <w:pPr>
        <w:jc w:val="center"/>
      </w:pPr>
      <w:r w:rsidRPr="003F17A1">
        <w:rPr>
          <w:b/>
          <w:szCs w:val="24"/>
        </w:rPr>
        <w:t xml:space="preserve">Exhibit </w:t>
      </w:r>
      <w:r w:rsidRPr="003F17A1">
        <w:rPr>
          <w:b/>
          <w:szCs w:val="24"/>
        </w:rPr>
        <w:fldChar w:fldCharType="begin"/>
      </w:r>
      <w:r w:rsidRPr="003F17A1">
        <w:rPr>
          <w:b/>
          <w:szCs w:val="24"/>
        </w:rPr>
        <w:instrText xml:space="preserve"> STYLEREF 1 \s </w:instrText>
      </w:r>
      <w:r w:rsidRPr="003F17A1">
        <w:rPr>
          <w:b/>
          <w:szCs w:val="24"/>
        </w:rPr>
        <w:fldChar w:fldCharType="separate"/>
      </w:r>
      <w:r>
        <w:rPr>
          <w:b/>
          <w:noProof/>
          <w:szCs w:val="24"/>
        </w:rPr>
        <w:t>4</w:t>
      </w:r>
      <w:r w:rsidRPr="003F17A1">
        <w:rPr>
          <w:b/>
          <w:szCs w:val="24"/>
        </w:rPr>
        <w:fldChar w:fldCharType="end"/>
      </w:r>
      <w:r w:rsidRPr="003F17A1">
        <w:rPr>
          <w:b/>
          <w:szCs w:val="24"/>
        </w:rPr>
        <w:noBreakHyphen/>
      </w:r>
      <w:r w:rsidR="003C21F4">
        <w:rPr>
          <w:b/>
          <w:szCs w:val="24"/>
        </w:rPr>
        <w:t>7</w:t>
      </w:r>
      <w:r w:rsidRPr="003F17A1">
        <w:rPr>
          <w:b/>
          <w:szCs w:val="24"/>
        </w:rPr>
        <w:t xml:space="preserve">: </w:t>
      </w:r>
      <w:r w:rsidRPr="00455FB8">
        <w:rPr>
          <w:b/>
          <w:bCs/>
          <w:szCs w:val="24"/>
        </w:rPr>
        <w:t xml:space="preserve">Settlements Timeline – </w:t>
      </w:r>
      <w:r>
        <w:rPr>
          <w:b/>
          <w:bCs/>
          <w:szCs w:val="24"/>
        </w:rPr>
        <w:t>Non-Holiday</w:t>
      </w:r>
      <w:r w:rsidRPr="00455FB8">
        <w:rPr>
          <w:b/>
          <w:bCs/>
          <w:szCs w:val="24"/>
        </w:rPr>
        <w:t xml:space="preserve"> Example</w:t>
      </w:r>
    </w:p>
    <w:bookmarkStart w:id="6590" w:name="_MON_1561526748"/>
    <w:bookmarkEnd w:id="6590"/>
    <w:p w14:paraId="688FD1B5" w14:textId="77777777" w:rsidR="008245CB" w:rsidRPr="00455FB8" w:rsidRDefault="008245CB" w:rsidP="008245CB">
      <w:r w:rsidRPr="00455FB8">
        <w:object w:dxaOrig="8938" w:dyaOrig="7629" w14:anchorId="21E9164E">
          <v:shape id="_x0000_i1044" type="#_x0000_t75" style="width:445.8pt;height:382.2pt" o:ole="">
            <v:imagedata r:id="rId76" o:title=""/>
          </v:shape>
          <o:OLEObject Type="Embed" ProgID="Word.Document.8" ShapeID="_x0000_i1044" DrawAspect="Content" ObjectID="_1829396229" r:id="rId77">
            <o:FieldCodes>\s</o:FieldCodes>
          </o:OLEObject>
        </w:object>
      </w:r>
    </w:p>
    <w:p w14:paraId="706CF3C7" w14:textId="77777777" w:rsidR="008245CB" w:rsidRPr="00455FB8" w:rsidRDefault="008245CB" w:rsidP="008245CB">
      <w:pPr>
        <w:tabs>
          <w:tab w:val="left" w:pos="6270"/>
        </w:tabs>
        <w:spacing w:line="300" w:lineRule="auto"/>
        <w:rPr>
          <w:szCs w:val="24"/>
        </w:rPr>
      </w:pPr>
      <w:r w:rsidRPr="00455FB8">
        <w:rPr>
          <w:b/>
          <w:bCs/>
          <w:noProof/>
          <w:sz w:val="20"/>
        </w:rPr>
        <mc:AlternateContent>
          <mc:Choice Requires="wps">
            <w:drawing>
              <wp:inline distT="0" distB="0" distL="0" distR="0" wp14:anchorId="2AB4C9C4" wp14:editId="74AD3A4B">
                <wp:extent cx="2546350" cy="614680"/>
                <wp:effectExtent l="0" t="0" r="254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614680"/>
                        </a:xfrm>
                        <a:prstGeom prst="rect">
                          <a:avLst/>
                        </a:prstGeom>
                        <a:solidFill>
                          <a:srgbClr val="FFFFFF"/>
                        </a:solidFill>
                        <a:ln w="9525">
                          <a:solidFill>
                            <a:srgbClr val="000000"/>
                          </a:solidFill>
                          <a:miter lim="800000"/>
                          <a:headEnd/>
                          <a:tailEnd/>
                        </a:ln>
                      </wps:spPr>
                      <wps:txbx>
                        <w:txbxContent>
                          <w:p w14:paraId="1280739D" w14:textId="77777777" w:rsidR="008245CB" w:rsidRPr="00A9227E" w:rsidRDefault="008245CB" w:rsidP="008245CB">
                            <w:pPr>
                              <w:spacing w:after="0"/>
                              <w:rPr>
                                <w:b/>
                                <w:bCs/>
                                <w:sz w:val="20"/>
                              </w:rPr>
                            </w:pPr>
                            <w:r w:rsidRPr="00A9227E">
                              <w:rPr>
                                <w:b/>
                                <w:bCs/>
                                <w:sz w:val="20"/>
                              </w:rPr>
                              <w:t>S7 (1</w:t>
                            </w:r>
                            <w:r w:rsidRPr="00A9227E">
                              <w:rPr>
                                <w:b/>
                                <w:bCs/>
                                <w:sz w:val="20"/>
                                <w:vertAlign w:val="superscript"/>
                              </w:rPr>
                              <w:t>st</w:t>
                            </w:r>
                            <w:r w:rsidRPr="00A9227E">
                              <w:rPr>
                                <w:b/>
                                <w:bCs/>
                                <w:sz w:val="20"/>
                              </w:rPr>
                              <w:t xml:space="preserve"> Scheduled Settlement Statement)</w:t>
                            </w:r>
                          </w:p>
                          <w:p w14:paraId="64DFF96B" w14:textId="77777777" w:rsidR="008245CB" w:rsidRPr="00A9227E" w:rsidRDefault="008245CB" w:rsidP="008245CB">
                            <w:pPr>
                              <w:spacing w:after="0"/>
                              <w:rPr>
                                <w:b/>
                                <w:bCs/>
                                <w:sz w:val="20"/>
                              </w:rPr>
                            </w:pPr>
                            <w:r w:rsidRPr="00A9227E">
                              <w:rPr>
                                <w:b/>
                                <w:bCs/>
                                <w:sz w:val="20"/>
                              </w:rPr>
                              <w:t>S53 (2</w:t>
                            </w:r>
                            <w:r w:rsidRPr="00A9227E">
                              <w:rPr>
                                <w:b/>
                                <w:bCs/>
                                <w:sz w:val="20"/>
                                <w:vertAlign w:val="superscript"/>
                              </w:rPr>
                              <w:t>nd</w:t>
                            </w:r>
                            <w:r w:rsidRPr="00A9227E">
                              <w:rPr>
                                <w:b/>
                                <w:bCs/>
                                <w:sz w:val="20"/>
                              </w:rPr>
                              <w:t xml:space="preserve"> Scheduled Settlement Statement) </w:t>
                            </w:r>
                          </w:p>
                          <w:p w14:paraId="7F705E3A" w14:textId="77777777" w:rsidR="008245CB" w:rsidRDefault="008245CB" w:rsidP="008245CB">
                            <w:pPr>
                              <w:spacing w:after="0"/>
                            </w:pPr>
                            <w:r w:rsidRPr="00A9227E">
                              <w:rPr>
                                <w:b/>
                                <w:bCs/>
                                <w:sz w:val="20"/>
                              </w:rPr>
                              <w:t>S120 (3</w:t>
                            </w:r>
                            <w:r w:rsidRPr="00A9227E">
                              <w:rPr>
                                <w:b/>
                                <w:bCs/>
                                <w:sz w:val="20"/>
                                <w:vertAlign w:val="superscript"/>
                              </w:rPr>
                              <w:t>rd</w:t>
                            </w:r>
                            <w:r w:rsidRPr="00A9227E">
                              <w:rPr>
                                <w:b/>
                                <w:bCs/>
                                <w:sz w:val="20"/>
                              </w:rPr>
                              <w:t xml:space="preserve"> Scheduled Settlement Statement)</w:t>
                            </w:r>
                          </w:p>
                        </w:txbxContent>
                      </wps:txbx>
                      <wps:bodyPr rot="0" vert="horz" wrap="square" lIns="91440" tIns="45720" rIns="91440" bIns="45720" anchor="t" anchorCtr="0">
                        <a:noAutofit/>
                      </wps:bodyPr>
                    </wps:wsp>
                  </a:graphicData>
                </a:graphic>
              </wp:inline>
            </w:drawing>
          </mc:Choice>
          <mc:Fallback>
            <w:pict>
              <v:shape w14:anchorId="2AB4C9C4" id="_x0000_s1028" type="#_x0000_t202" style="width:200.5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">
                <v:textbox>
                  <w:txbxContent>
                    <w:p w14:paraId="1280739D" w14:textId="77777777" w:rsidR="008245CB" w:rsidRPr="00A9227E" w:rsidRDefault="008245CB" w:rsidP="008245CB">
                      <w:pPr>
                        <w:spacing w:after="0"/>
                        <w:rPr>
                          <w:b/>
                          <w:bCs/>
                          <w:sz w:val="20"/>
                        </w:rPr>
                      </w:pPr>
                      <w:r w:rsidRPr="00A9227E">
                        <w:rPr>
                          <w:b/>
                          <w:bCs/>
                          <w:sz w:val="20"/>
                        </w:rPr>
                        <w:t>S7 (1</w:t>
                      </w:r>
                      <w:r w:rsidRPr="00A9227E">
                        <w:rPr>
                          <w:b/>
                          <w:bCs/>
                          <w:sz w:val="20"/>
                          <w:vertAlign w:val="superscript"/>
                        </w:rPr>
                        <w:t>st</w:t>
                      </w:r>
                      <w:r w:rsidRPr="00A9227E">
                        <w:rPr>
                          <w:b/>
                          <w:bCs/>
                          <w:sz w:val="20"/>
                        </w:rPr>
                        <w:t xml:space="preserve"> Scheduled Settlement Statement)</w:t>
                      </w:r>
                    </w:p>
                    <w:p w14:paraId="64DFF96B" w14:textId="77777777" w:rsidR="008245CB" w:rsidRPr="00A9227E" w:rsidRDefault="008245CB" w:rsidP="008245CB">
                      <w:pPr>
                        <w:spacing w:after="0"/>
                        <w:rPr>
                          <w:b/>
                          <w:bCs/>
                          <w:sz w:val="20"/>
                        </w:rPr>
                      </w:pPr>
                      <w:r w:rsidRPr="00A9227E">
                        <w:rPr>
                          <w:b/>
                          <w:bCs/>
                          <w:sz w:val="20"/>
                        </w:rPr>
                        <w:t>S53 (2</w:t>
                      </w:r>
                      <w:r w:rsidRPr="00A9227E">
                        <w:rPr>
                          <w:b/>
                          <w:bCs/>
                          <w:sz w:val="20"/>
                          <w:vertAlign w:val="superscript"/>
                        </w:rPr>
                        <w:t>nd</w:t>
                      </w:r>
                      <w:r w:rsidRPr="00A9227E">
                        <w:rPr>
                          <w:b/>
                          <w:bCs/>
                          <w:sz w:val="20"/>
                        </w:rPr>
                        <w:t xml:space="preserve"> Scheduled Settlement Statement) </w:t>
                      </w:r>
                    </w:p>
                    <w:p w14:paraId="7F705E3A" w14:textId="77777777" w:rsidR="008245CB" w:rsidRDefault="008245CB" w:rsidP="008245CB">
                      <w:pPr>
                        <w:spacing w:after="0"/>
                      </w:pPr>
                      <w:r w:rsidRPr="00A9227E">
                        <w:rPr>
                          <w:b/>
                          <w:bCs/>
                          <w:sz w:val="20"/>
                        </w:rPr>
                        <w:t>S120 (3</w:t>
                      </w:r>
                      <w:r w:rsidRPr="00A9227E">
                        <w:rPr>
                          <w:b/>
                          <w:bCs/>
                          <w:sz w:val="20"/>
                          <w:vertAlign w:val="superscript"/>
                        </w:rPr>
                        <w:t>rd</w:t>
                      </w:r>
                      <w:r w:rsidRPr="00A9227E">
                        <w:rPr>
                          <w:b/>
                          <w:bCs/>
                          <w:sz w:val="20"/>
                        </w:rPr>
                        <w:t xml:space="preserve"> Scheduled Settlement Statement)</w:t>
                      </w:r>
                    </w:p>
                  </w:txbxContent>
                </v:textbox>
                <w10:anchorlock/>
              </v:shape>
            </w:pict>
          </mc:Fallback>
        </mc:AlternateContent>
      </w:r>
    </w:p>
    <w:p w14:paraId="1ED11022" w14:textId="7825F6F4" w:rsidR="008245CB" w:rsidRPr="00455FB8" w:rsidRDefault="008245CB" w:rsidP="008245CB">
      <w:pPr>
        <w:spacing w:before="120" w:line="300" w:lineRule="auto"/>
        <w:rPr>
          <w:szCs w:val="24"/>
        </w:rPr>
      </w:pPr>
      <w:r w:rsidRPr="001044C1">
        <w:rPr>
          <w:szCs w:val="24"/>
        </w:rPr>
        <w:t>Exhibit 4-</w:t>
      </w:r>
      <w:r w:rsidR="003C21F4">
        <w:rPr>
          <w:szCs w:val="24"/>
        </w:rPr>
        <w:t>18</w:t>
      </w:r>
      <w:r w:rsidRPr="00455FB8">
        <w:rPr>
          <w:szCs w:val="24"/>
        </w:rPr>
        <w:t xml:space="preserve"> applies to all Thursday through Sunday holidays and similar logic will apply to other 4-day holiday weekend scenarios:</w:t>
      </w:r>
    </w:p>
    <w:p w14:paraId="55649F20" w14:textId="77777777" w:rsidR="008245CB" w:rsidRPr="00455FB8" w:rsidRDefault="008245CB" w:rsidP="008245CB">
      <w:pPr>
        <w:spacing w:after="0"/>
        <w:rPr>
          <w:b/>
          <w:szCs w:val="24"/>
        </w:rPr>
      </w:pPr>
      <w:r w:rsidRPr="00455FB8">
        <w:rPr>
          <w:b/>
          <w:szCs w:val="24"/>
        </w:rPr>
        <w:br w:type="page"/>
      </w:r>
    </w:p>
    <w:p w14:paraId="2CF6A39B" w14:textId="637FE074" w:rsidR="00A31283" w:rsidRPr="00455FB8" w:rsidRDefault="00A31283" w:rsidP="00A31283">
      <w:pPr>
        <w:jc w:val="center"/>
      </w:pPr>
      <w:r w:rsidRPr="003F17A1">
        <w:rPr>
          <w:b/>
          <w:szCs w:val="24"/>
        </w:rPr>
        <w:t xml:space="preserve">Exhibit </w:t>
      </w:r>
      <w:r w:rsidRPr="003F17A1">
        <w:rPr>
          <w:b/>
          <w:szCs w:val="24"/>
        </w:rPr>
        <w:fldChar w:fldCharType="begin"/>
      </w:r>
      <w:r w:rsidRPr="003F17A1">
        <w:rPr>
          <w:b/>
          <w:szCs w:val="24"/>
        </w:rPr>
        <w:instrText xml:space="preserve"> STYLEREF 1 \s </w:instrText>
      </w:r>
      <w:r w:rsidRPr="003F17A1">
        <w:rPr>
          <w:b/>
          <w:szCs w:val="24"/>
        </w:rPr>
        <w:fldChar w:fldCharType="separate"/>
      </w:r>
      <w:r>
        <w:rPr>
          <w:b/>
          <w:noProof/>
          <w:szCs w:val="24"/>
        </w:rPr>
        <w:t>4</w:t>
      </w:r>
      <w:r w:rsidRPr="003F17A1">
        <w:rPr>
          <w:b/>
          <w:szCs w:val="24"/>
        </w:rPr>
        <w:fldChar w:fldCharType="end"/>
      </w:r>
      <w:r w:rsidRPr="003F17A1">
        <w:rPr>
          <w:b/>
          <w:szCs w:val="24"/>
        </w:rPr>
        <w:noBreakHyphen/>
      </w:r>
      <w:r w:rsidR="003C21F4">
        <w:rPr>
          <w:b/>
          <w:szCs w:val="24"/>
        </w:rPr>
        <w:t>18</w:t>
      </w:r>
      <w:r w:rsidRPr="003F17A1">
        <w:rPr>
          <w:b/>
          <w:szCs w:val="24"/>
        </w:rPr>
        <w:t xml:space="preserve">: </w:t>
      </w:r>
      <w:r w:rsidRPr="00455FB8">
        <w:rPr>
          <w:b/>
          <w:bCs/>
          <w:szCs w:val="24"/>
        </w:rPr>
        <w:t xml:space="preserve">Settlements Timeline – </w:t>
      </w:r>
      <w:r>
        <w:rPr>
          <w:b/>
          <w:bCs/>
          <w:szCs w:val="24"/>
        </w:rPr>
        <w:t>Holiday</w:t>
      </w:r>
      <w:r w:rsidRPr="00455FB8">
        <w:rPr>
          <w:b/>
          <w:bCs/>
          <w:szCs w:val="24"/>
        </w:rPr>
        <w:t xml:space="preserve"> Example</w:t>
      </w:r>
    </w:p>
    <w:p w14:paraId="10396000" w14:textId="2A29BEE7" w:rsidR="008245CB" w:rsidRPr="00455FB8" w:rsidRDefault="008245CB" w:rsidP="008245CB">
      <w:pPr>
        <w:jc w:val="center"/>
        <w:rPr>
          <w:b/>
          <w:szCs w:val="24"/>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800"/>
        <w:gridCol w:w="1800"/>
        <w:gridCol w:w="1710"/>
        <w:gridCol w:w="1260"/>
        <w:gridCol w:w="1620"/>
        <w:gridCol w:w="1080"/>
      </w:tblGrid>
      <w:tr w:rsidR="008245CB" w:rsidRPr="00455FB8" w14:paraId="79EDD9FF" w14:textId="77777777" w:rsidTr="00D14054">
        <w:tc>
          <w:tcPr>
            <w:tcW w:w="895" w:type="dxa"/>
            <w:tcBorders>
              <w:top w:val="single" w:sz="4" w:space="0" w:color="auto"/>
              <w:left w:val="single" w:sz="4" w:space="0" w:color="auto"/>
              <w:bottom w:val="single" w:sz="4" w:space="0" w:color="auto"/>
              <w:right w:val="single" w:sz="4" w:space="0" w:color="auto"/>
            </w:tcBorders>
            <w:shd w:val="clear" w:color="auto" w:fill="CCFFFF"/>
          </w:tcPr>
          <w:p w14:paraId="04249D85" w14:textId="77777777" w:rsidR="008245CB" w:rsidRPr="00455FB8" w:rsidRDefault="008245CB" w:rsidP="00D14054">
            <w:pPr>
              <w:rPr>
                <w:b/>
                <w:sz w:val="20"/>
              </w:rPr>
            </w:pPr>
            <w:r w:rsidRPr="00455FB8">
              <w:rPr>
                <w:b/>
                <w:sz w:val="20"/>
              </w:rPr>
              <w:t>Sunday</w:t>
            </w: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0BBBAFAA" w14:textId="77777777" w:rsidR="008245CB" w:rsidRPr="00455FB8" w:rsidRDefault="008245CB" w:rsidP="00D14054">
            <w:pPr>
              <w:rPr>
                <w:b/>
                <w:sz w:val="20"/>
              </w:rPr>
            </w:pPr>
            <w:r w:rsidRPr="00455FB8">
              <w:rPr>
                <w:b/>
                <w:sz w:val="20"/>
              </w:rPr>
              <w:t>Monday</w:t>
            </w: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3A4ED703" w14:textId="77777777" w:rsidR="008245CB" w:rsidRPr="00455FB8" w:rsidRDefault="008245CB" w:rsidP="00D14054">
            <w:pPr>
              <w:rPr>
                <w:b/>
                <w:sz w:val="20"/>
              </w:rPr>
            </w:pPr>
            <w:r w:rsidRPr="00455FB8">
              <w:rPr>
                <w:b/>
                <w:sz w:val="20"/>
              </w:rPr>
              <w:t>Tuesday</w:t>
            </w:r>
          </w:p>
        </w:tc>
        <w:tc>
          <w:tcPr>
            <w:tcW w:w="1710" w:type="dxa"/>
            <w:tcBorders>
              <w:top w:val="single" w:sz="4" w:space="0" w:color="auto"/>
              <w:left w:val="single" w:sz="4" w:space="0" w:color="auto"/>
              <w:bottom w:val="single" w:sz="4" w:space="0" w:color="auto"/>
              <w:right w:val="single" w:sz="4" w:space="0" w:color="auto"/>
            </w:tcBorders>
            <w:shd w:val="clear" w:color="auto" w:fill="CCFFFF"/>
          </w:tcPr>
          <w:p w14:paraId="7D9B6826" w14:textId="77777777" w:rsidR="008245CB" w:rsidRPr="00455FB8" w:rsidRDefault="008245CB" w:rsidP="00D14054">
            <w:pPr>
              <w:rPr>
                <w:b/>
                <w:sz w:val="20"/>
              </w:rPr>
            </w:pPr>
            <w:r w:rsidRPr="00455FB8">
              <w:rPr>
                <w:b/>
                <w:sz w:val="20"/>
              </w:rPr>
              <w:t>Wednesday</w:t>
            </w:r>
          </w:p>
        </w:tc>
        <w:tc>
          <w:tcPr>
            <w:tcW w:w="1260" w:type="dxa"/>
            <w:tcBorders>
              <w:top w:val="single" w:sz="4" w:space="0" w:color="auto"/>
              <w:left w:val="single" w:sz="4" w:space="0" w:color="auto"/>
              <w:bottom w:val="single" w:sz="4" w:space="0" w:color="auto"/>
              <w:right w:val="single" w:sz="4" w:space="0" w:color="auto"/>
            </w:tcBorders>
            <w:shd w:val="clear" w:color="auto" w:fill="CCFFFF"/>
          </w:tcPr>
          <w:p w14:paraId="4DF786BF" w14:textId="77777777" w:rsidR="008245CB" w:rsidRPr="00455FB8" w:rsidRDefault="008245CB" w:rsidP="00D14054">
            <w:pPr>
              <w:rPr>
                <w:b/>
                <w:sz w:val="20"/>
              </w:rPr>
            </w:pPr>
            <w:r w:rsidRPr="00455FB8">
              <w:rPr>
                <w:b/>
                <w:sz w:val="20"/>
              </w:rPr>
              <w:t>Thursday</w:t>
            </w:r>
          </w:p>
        </w:tc>
        <w:tc>
          <w:tcPr>
            <w:tcW w:w="1620" w:type="dxa"/>
            <w:tcBorders>
              <w:top w:val="single" w:sz="4" w:space="0" w:color="auto"/>
              <w:left w:val="single" w:sz="4" w:space="0" w:color="auto"/>
              <w:bottom w:val="single" w:sz="4" w:space="0" w:color="auto"/>
              <w:right w:val="single" w:sz="4" w:space="0" w:color="auto"/>
            </w:tcBorders>
            <w:shd w:val="clear" w:color="auto" w:fill="CCFFFF"/>
          </w:tcPr>
          <w:p w14:paraId="2BF91A7D" w14:textId="77777777" w:rsidR="008245CB" w:rsidRPr="00455FB8" w:rsidRDefault="008245CB" w:rsidP="00D14054">
            <w:pPr>
              <w:rPr>
                <w:b/>
                <w:sz w:val="20"/>
              </w:rPr>
            </w:pPr>
            <w:r w:rsidRPr="00455FB8">
              <w:rPr>
                <w:b/>
                <w:sz w:val="20"/>
              </w:rPr>
              <w:t>Friday</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14:paraId="0E7A03BB" w14:textId="77777777" w:rsidR="008245CB" w:rsidRPr="00455FB8" w:rsidRDefault="008245CB" w:rsidP="00D14054">
            <w:pPr>
              <w:rPr>
                <w:b/>
                <w:sz w:val="20"/>
              </w:rPr>
            </w:pPr>
            <w:r w:rsidRPr="00455FB8">
              <w:rPr>
                <w:b/>
                <w:sz w:val="20"/>
              </w:rPr>
              <w:t>Saturday</w:t>
            </w:r>
          </w:p>
        </w:tc>
      </w:tr>
      <w:tr w:rsidR="008245CB" w:rsidRPr="00455FB8" w14:paraId="1BE7EACA" w14:textId="77777777" w:rsidTr="00D14054">
        <w:tc>
          <w:tcPr>
            <w:tcW w:w="895" w:type="dxa"/>
            <w:tcBorders>
              <w:top w:val="single" w:sz="4" w:space="0" w:color="auto"/>
              <w:left w:val="single" w:sz="4" w:space="0" w:color="auto"/>
              <w:bottom w:val="single" w:sz="4" w:space="0" w:color="auto"/>
              <w:right w:val="single" w:sz="4" w:space="0" w:color="auto"/>
            </w:tcBorders>
            <w:shd w:val="clear" w:color="auto" w:fill="CCFFFF"/>
          </w:tcPr>
          <w:p w14:paraId="34D10D44" w14:textId="77777777" w:rsidR="008245CB" w:rsidRPr="00455FB8" w:rsidRDefault="008245CB" w:rsidP="00D14054">
            <w:pPr>
              <w:rPr>
                <w:b/>
                <w:sz w:val="20"/>
              </w:rPr>
            </w:pPr>
            <w:r w:rsidRPr="00455FB8">
              <w:rPr>
                <w:b/>
                <w:sz w:val="20"/>
              </w:rPr>
              <w:t>Nov 14</w:t>
            </w:r>
          </w:p>
          <w:p w14:paraId="52F6A678" w14:textId="77777777" w:rsidR="008245CB" w:rsidRPr="00455FB8" w:rsidRDefault="008245CB" w:rsidP="00D14054">
            <w:pPr>
              <w:rPr>
                <w:b/>
                <w:sz w:val="20"/>
              </w:rPr>
            </w:pPr>
          </w:p>
          <w:p w14:paraId="5B5D2F58" w14:textId="77777777" w:rsidR="008245CB" w:rsidRPr="00455FB8" w:rsidRDefault="008245CB" w:rsidP="00D14054">
            <w:pPr>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20EE366F" w14:textId="77777777" w:rsidR="008245CB" w:rsidRPr="00455FB8" w:rsidRDefault="008245CB" w:rsidP="00D14054">
            <w:pPr>
              <w:spacing w:after="0"/>
              <w:rPr>
                <w:b/>
                <w:sz w:val="20"/>
              </w:rPr>
            </w:pPr>
            <w:r w:rsidRPr="00455FB8">
              <w:rPr>
                <w:b/>
                <w:sz w:val="20"/>
              </w:rPr>
              <w:t>Nov 15</w:t>
            </w:r>
          </w:p>
          <w:p w14:paraId="6DAB16A4" w14:textId="77777777" w:rsidR="008245CB" w:rsidRPr="00455FB8" w:rsidRDefault="008245CB" w:rsidP="00D14054">
            <w:pPr>
              <w:spacing w:after="0"/>
              <w:rPr>
                <w:b/>
                <w:sz w:val="20"/>
              </w:rPr>
            </w:pPr>
            <w:r w:rsidRPr="00455FB8">
              <w:rPr>
                <w:b/>
                <w:sz w:val="20"/>
              </w:rPr>
              <w:t>MD/IESSA</w:t>
            </w:r>
          </w:p>
          <w:p w14:paraId="57907502" w14:textId="77777777" w:rsidR="008245CB" w:rsidRPr="00455FB8" w:rsidRDefault="008245CB" w:rsidP="00D14054">
            <w:pPr>
              <w:spacing w:after="0"/>
              <w:rPr>
                <w:b/>
                <w:sz w:val="20"/>
              </w:rPr>
            </w:pPr>
            <w:r w:rsidRPr="00455FB8">
              <w:rPr>
                <w:b/>
                <w:sz w:val="20"/>
              </w:rPr>
              <w:t>S7: 11/11</w:t>
            </w:r>
          </w:p>
          <w:p w14:paraId="5BE5A910" w14:textId="77777777" w:rsidR="008245CB" w:rsidRPr="00455FB8" w:rsidRDefault="008245CB" w:rsidP="00D14054">
            <w:pPr>
              <w:spacing w:after="0"/>
              <w:rPr>
                <w:b/>
                <w:sz w:val="20"/>
              </w:rPr>
            </w:pPr>
            <w:r w:rsidRPr="00455FB8">
              <w:rPr>
                <w:b/>
                <w:sz w:val="20"/>
              </w:rPr>
              <w:t>S53: 9/21</w:t>
            </w:r>
          </w:p>
          <w:p w14:paraId="1493B4C4" w14:textId="77777777" w:rsidR="008245CB" w:rsidRPr="00455FB8" w:rsidRDefault="008245CB" w:rsidP="00D14054">
            <w:pPr>
              <w:spacing w:after="0"/>
              <w:rPr>
                <w:b/>
                <w:sz w:val="20"/>
              </w:rPr>
            </w:pPr>
            <w:r w:rsidRPr="00455FB8">
              <w:rPr>
                <w:b/>
                <w:sz w:val="20"/>
              </w:rPr>
              <w:t>S120 7/18</w:t>
            </w:r>
          </w:p>
          <w:p w14:paraId="018A708A" w14:textId="77777777" w:rsidR="008245CB" w:rsidRPr="00455FB8" w:rsidRDefault="008245CB" w:rsidP="00D14054">
            <w:pPr>
              <w:spacing w:after="0"/>
              <w:rPr>
                <w:b/>
                <w:sz w:val="20"/>
              </w:rPr>
            </w:pPr>
          </w:p>
          <w:p w14:paraId="370C0D7D" w14:textId="77777777" w:rsidR="008245CB" w:rsidRPr="00455FB8" w:rsidRDefault="008245CB" w:rsidP="00D14054">
            <w:pPr>
              <w:spacing w:after="0"/>
              <w:rPr>
                <w:b/>
                <w:sz w:val="20"/>
              </w:rPr>
            </w:pPr>
            <w:r w:rsidRPr="00455FB8">
              <w:rPr>
                <w:b/>
                <w:sz w:val="20"/>
              </w:rPr>
              <w:t>Statements</w:t>
            </w:r>
          </w:p>
          <w:p w14:paraId="646E4675" w14:textId="77777777" w:rsidR="008245CB" w:rsidRPr="00455FB8" w:rsidRDefault="008245CB" w:rsidP="00D14054">
            <w:pPr>
              <w:spacing w:after="0"/>
              <w:rPr>
                <w:b/>
                <w:sz w:val="20"/>
              </w:rPr>
            </w:pPr>
            <w:r w:rsidRPr="00455FB8">
              <w:rPr>
                <w:b/>
                <w:sz w:val="20"/>
              </w:rPr>
              <w:t>S7: 11/6 – 11/8</w:t>
            </w:r>
          </w:p>
          <w:p w14:paraId="7591D7D5" w14:textId="77777777" w:rsidR="008245CB" w:rsidRPr="00455FB8" w:rsidRDefault="008245CB" w:rsidP="00D14054">
            <w:pPr>
              <w:spacing w:after="0"/>
              <w:rPr>
                <w:b/>
                <w:sz w:val="20"/>
              </w:rPr>
            </w:pPr>
            <w:r w:rsidRPr="00455FB8">
              <w:rPr>
                <w:b/>
                <w:sz w:val="20"/>
              </w:rPr>
              <w:t>S53: 9/19 – 9/21</w:t>
            </w:r>
          </w:p>
          <w:p w14:paraId="771204B4" w14:textId="77777777" w:rsidR="008245CB" w:rsidRPr="00455FB8" w:rsidRDefault="008245CB" w:rsidP="00D14054">
            <w:pPr>
              <w:spacing w:after="0"/>
              <w:rPr>
                <w:b/>
                <w:sz w:val="20"/>
              </w:rPr>
            </w:pPr>
            <w:r w:rsidRPr="00455FB8">
              <w:rPr>
                <w:b/>
                <w:sz w:val="20"/>
              </w:rPr>
              <w:t>S120: 7/16 – 7/18</w:t>
            </w: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094B7730" w14:textId="77777777" w:rsidR="008245CB" w:rsidRPr="00455FB8" w:rsidRDefault="008245CB" w:rsidP="00D14054">
            <w:pPr>
              <w:spacing w:after="0"/>
              <w:rPr>
                <w:b/>
                <w:sz w:val="20"/>
              </w:rPr>
            </w:pPr>
            <w:r w:rsidRPr="00455FB8">
              <w:rPr>
                <w:b/>
                <w:sz w:val="20"/>
              </w:rPr>
              <w:t>Nov 16</w:t>
            </w:r>
          </w:p>
          <w:p w14:paraId="2F28216A" w14:textId="77777777" w:rsidR="008245CB" w:rsidRPr="00455FB8" w:rsidRDefault="008245CB" w:rsidP="00D14054">
            <w:pPr>
              <w:spacing w:after="0"/>
              <w:rPr>
                <w:b/>
                <w:sz w:val="20"/>
              </w:rPr>
            </w:pPr>
            <w:r w:rsidRPr="00455FB8">
              <w:rPr>
                <w:b/>
                <w:sz w:val="20"/>
              </w:rPr>
              <w:t xml:space="preserve">MD/IESSA </w:t>
            </w:r>
          </w:p>
          <w:p w14:paraId="3196A318" w14:textId="77777777" w:rsidR="008245CB" w:rsidRPr="00455FB8" w:rsidRDefault="008245CB" w:rsidP="00D14054">
            <w:pPr>
              <w:spacing w:after="0"/>
              <w:rPr>
                <w:b/>
                <w:sz w:val="20"/>
              </w:rPr>
            </w:pPr>
            <w:r w:rsidRPr="00455FB8">
              <w:rPr>
                <w:b/>
                <w:sz w:val="20"/>
              </w:rPr>
              <w:t>S7: 11/12</w:t>
            </w:r>
          </w:p>
          <w:p w14:paraId="7AFBA369" w14:textId="77777777" w:rsidR="008245CB" w:rsidRPr="00455FB8" w:rsidRDefault="008245CB" w:rsidP="00D14054">
            <w:pPr>
              <w:spacing w:after="0"/>
              <w:rPr>
                <w:b/>
                <w:sz w:val="20"/>
              </w:rPr>
            </w:pPr>
            <w:r w:rsidRPr="00455FB8">
              <w:rPr>
                <w:b/>
                <w:sz w:val="20"/>
              </w:rPr>
              <w:t>S53: 9/22</w:t>
            </w:r>
          </w:p>
          <w:p w14:paraId="22B8EF3A" w14:textId="77777777" w:rsidR="008245CB" w:rsidRPr="00455FB8" w:rsidRDefault="008245CB" w:rsidP="00D14054">
            <w:pPr>
              <w:spacing w:after="0"/>
              <w:rPr>
                <w:b/>
                <w:sz w:val="20"/>
              </w:rPr>
            </w:pPr>
            <w:r w:rsidRPr="00455FB8">
              <w:rPr>
                <w:b/>
                <w:sz w:val="20"/>
              </w:rPr>
              <w:t>S120: 7/19</w:t>
            </w:r>
          </w:p>
          <w:p w14:paraId="2BBE561E" w14:textId="77777777" w:rsidR="008245CB" w:rsidRPr="00455FB8" w:rsidRDefault="008245CB" w:rsidP="00D14054">
            <w:pPr>
              <w:spacing w:after="0"/>
              <w:rPr>
                <w:b/>
                <w:sz w:val="20"/>
              </w:rPr>
            </w:pPr>
          </w:p>
          <w:p w14:paraId="3FFA92C4" w14:textId="77777777" w:rsidR="008245CB" w:rsidRPr="00455FB8" w:rsidRDefault="008245CB" w:rsidP="00D14054">
            <w:pPr>
              <w:spacing w:after="0"/>
              <w:rPr>
                <w:b/>
                <w:sz w:val="20"/>
              </w:rPr>
            </w:pPr>
            <w:r w:rsidRPr="00455FB8">
              <w:rPr>
                <w:b/>
                <w:sz w:val="20"/>
              </w:rPr>
              <w:t>Statements</w:t>
            </w:r>
          </w:p>
          <w:p w14:paraId="0ADD4931" w14:textId="77777777" w:rsidR="008245CB" w:rsidRPr="00455FB8" w:rsidRDefault="008245CB" w:rsidP="00D14054">
            <w:pPr>
              <w:spacing w:after="0"/>
              <w:rPr>
                <w:b/>
                <w:sz w:val="20"/>
              </w:rPr>
            </w:pPr>
            <w:r w:rsidRPr="00455FB8">
              <w:rPr>
                <w:b/>
                <w:sz w:val="20"/>
              </w:rPr>
              <w:t>S7: 11/9</w:t>
            </w:r>
          </w:p>
          <w:p w14:paraId="664D8410" w14:textId="77777777" w:rsidR="008245CB" w:rsidRPr="00455FB8" w:rsidRDefault="008245CB" w:rsidP="00D14054">
            <w:pPr>
              <w:spacing w:after="0"/>
              <w:rPr>
                <w:b/>
                <w:sz w:val="20"/>
              </w:rPr>
            </w:pPr>
            <w:r w:rsidRPr="00455FB8">
              <w:rPr>
                <w:b/>
                <w:sz w:val="20"/>
              </w:rPr>
              <w:t>S53: 9/21</w:t>
            </w:r>
          </w:p>
          <w:p w14:paraId="46D03A8B" w14:textId="77777777" w:rsidR="008245CB" w:rsidRPr="00455FB8" w:rsidRDefault="008245CB" w:rsidP="00D14054">
            <w:pPr>
              <w:spacing w:after="0"/>
              <w:rPr>
                <w:b/>
                <w:sz w:val="20"/>
              </w:rPr>
            </w:pPr>
            <w:r w:rsidRPr="00455FB8">
              <w:rPr>
                <w:b/>
                <w:sz w:val="20"/>
              </w:rPr>
              <w:t>S120: 7/19</w:t>
            </w:r>
          </w:p>
        </w:tc>
        <w:tc>
          <w:tcPr>
            <w:tcW w:w="1710" w:type="dxa"/>
            <w:tcBorders>
              <w:top w:val="single" w:sz="4" w:space="0" w:color="auto"/>
              <w:left w:val="single" w:sz="4" w:space="0" w:color="auto"/>
              <w:bottom w:val="single" w:sz="4" w:space="0" w:color="auto"/>
              <w:right w:val="single" w:sz="4" w:space="0" w:color="auto"/>
            </w:tcBorders>
            <w:shd w:val="clear" w:color="auto" w:fill="CCFFFF"/>
          </w:tcPr>
          <w:p w14:paraId="3D62D371" w14:textId="77777777" w:rsidR="008245CB" w:rsidRPr="00455FB8" w:rsidRDefault="008245CB" w:rsidP="00D14054">
            <w:pPr>
              <w:spacing w:after="0"/>
              <w:rPr>
                <w:b/>
                <w:sz w:val="20"/>
              </w:rPr>
            </w:pPr>
            <w:r w:rsidRPr="00455FB8">
              <w:rPr>
                <w:b/>
                <w:sz w:val="20"/>
              </w:rPr>
              <w:t>Nov 17</w:t>
            </w:r>
          </w:p>
          <w:p w14:paraId="135673F0" w14:textId="77777777" w:rsidR="008245CB" w:rsidRPr="00455FB8" w:rsidRDefault="008245CB" w:rsidP="00D14054">
            <w:pPr>
              <w:spacing w:after="0"/>
              <w:rPr>
                <w:b/>
                <w:sz w:val="20"/>
              </w:rPr>
            </w:pPr>
            <w:r w:rsidRPr="00455FB8">
              <w:rPr>
                <w:b/>
                <w:sz w:val="20"/>
              </w:rPr>
              <w:t xml:space="preserve">MD/IESSA </w:t>
            </w:r>
          </w:p>
          <w:p w14:paraId="76AA8883" w14:textId="77777777" w:rsidR="008245CB" w:rsidRPr="00455FB8" w:rsidRDefault="008245CB" w:rsidP="00D14054">
            <w:pPr>
              <w:spacing w:after="0"/>
              <w:rPr>
                <w:b/>
                <w:sz w:val="20"/>
              </w:rPr>
            </w:pPr>
            <w:r w:rsidRPr="00455FB8">
              <w:rPr>
                <w:b/>
                <w:sz w:val="20"/>
              </w:rPr>
              <w:t>S7: 11/13</w:t>
            </w:r>
          </w:p>
          <w:p w14:paraId="074410FD" w14:textId="77777777" w:rsidR="008245CB" w:rsidRPr="00455FB8" w:rsidRDefault="008245CB" w:rsidP="00D14054">
            <w:pPr>
              <w:spacing w:after="0"/>
              <w:rPr>
                <w:b/>
                <w:sz w:val="20"/>
              </w:rPr>
            </w:pPr>
            <w:r w:rsidRPr="00455FB8">
              <w:rPr>
                <w:b/>
                <w:sz w:val="20"/>
              </w:rPr>
              <w:t>S53: 9/23</w:t>
            </w:r>
          </w:p>
          <w:p w14:paraId="594C7614" w14:textId="77777777" w:rsidR="008245CB" w:rsidRPr="00455FB8" w:rsidRDefault="008245CB" w:rsidP="00D14054">
            <w:pPr>
              <w:spacing w:after="0"/>
              <w:rPr>
                <w:b/>
                <w:sz w:val="20"/>
              </w:rPr>
            </w:pPr>
            <w:r w:rsidRPr="00455FB8">
              <w:rPr>
                <w:b/>
                <w:sz w:val="20"/>
              </w:rPr>
              <w:t>S120: 7/20</w:t>
            </w:r>
          </w:p>
          <w:p w14:paraId="655AB1A2" w14:textId="77777777" w:rsidR="008245CB" w:rsidRPr="00455FB8" w:rsidRDefault="008245CB" w:rsidP="00D14054">
            <w:pPr>
              <w:spacing w:after="0"/>
              <w:rPr>
                <w:b/>
                <w:sz w:val="20"/>
              </w:rPr>
            </w:pPr>
          </w:p>
          <w:p w14:paraId="635D81EB" w14:textId="77777777" w:rsidR="008245CB" w:rsidRPr="00455FB8" w:rsidRDefault="008245CB" w:rsidP="00D14054">
            <w:pPr>
              <w:spacing w:after="0"/>
              <w:rPr>
                <w:b/>
                <w:sz w:val="20"/>
              </w:rPr>
            </w:pPr>
            <w:r w:rsidRPr="00455FB8">
              <w:rPr>
                <w:b/>
                <w:sz w:val="20"/>
              </w:rPr>
              <w:t>Statements</w:t>
            </w:r>
          </w:p>
          <w:p w14:paraId="154E0E0F" w14:textId="77777777" w:rsidR="008245CB" w:rsidRPr="00455FB8" w:rsidRDefault="008245CB" w:rsidP="00D14054">
            <w:pPr>
              <w:spacing w:after="0"/>
              <w:rPr>
                <w:b/>
                <w:sz w:val="20"/>
              </w:rPr>
            </w:pPr>
            <w:r w:rsidRPr="00455FB8">
              <w:rPr>
                <w:b/>
                <w:sz w:val="20"/>
              </w:rPr>
              <w:t>S7: 11/10</w:t>
            </w:r>
          </w:p>
          <w:p w14:paraId="6E7E0853" w14:textId="77777777" w:rsidR="008245CB" w:rsidRPr="00455FB8" w:rsidRDefault="008245CB" w:rsidP="00D14054">
            <w:pPr>
              <w:spacing w:after="0"/>
              <w:rPr>
                <w:b/>
                <w:sz w:val="20"/>
              </w:rPr>
            </w:pPr>
            <w:r w:rsidRPr="00455FB8">
              <w:rPr>
                <w:b/>
                <w:sz w:val="20"/>
              </w:rPr>
              <w:t>S53: 9/23</w:t>
            </w:r>
          </w:p>
          <w:p w14:paraId="74123ECD" w14:textId="77777777" w:rsidR="008245CB" w:rsidRPr="00455FB8" w:rsidRDefault="008245CB" w:rsidP="00D14054">
            <w:pPr>
              <w:spacing w:after="0"/>
              <w:rPr>
                <w:b/>
                <w:sz w:val="20"/>
              </w:rPr>
            </w:pPr>
            <w:r w:rsidRPr="00455FB8">
              <w:rPr>
                <w:b/>
                <w:sz w:val="20"/>
              </w:rPr>
              <w:t>S120: 7/20</w:t>
            </w:r>
          </w:p>
        </w:tc>
        <w:tc>
          <w:tcPr>
            <w:tcW w:w="1260" w:type="dxa"/>
            <w:tcBorders>
              <w:top w:val="single" w:sz="4" w:space="0" w:color="auto"/>
              <w:left w:val="single" w:sz="4" w:space="0" w:color="auto"/>
              <w:bottom w:val="single" w:sz="4" w:space="0" w:color="auto"/>
              <w:right w:val="single" w:sz="4" w:space="0" w:color="auto"/>
            </w:tcBorders>
            <w:shd w:val="clear" w:color="auto" w:fill="CCFFFF"/>
          </w:tcPr>
          <w:p w14:paraId="7B0038FA" w14:textId="77777777" w:rsidR="008245CB" w:rsidRPr="00455FB8" w:rsidRDefault="008245CB" w:rsidP="00D14054">
            <w:pPr>
              <w:spacing w:after="0"/>
              <w:rPr>
                <w:b/>
                <w:sz w:val="20"/>
              </w:rPr>
            </w:pPr>
            <w:r w:rsidRPr="00455FB8">
              <w:rPr>
                <w:b/>
                <w:sz w:val="20"/>
              </w:rPr>
              <w:t>Nov 18</w:t>
            </w:r>
          </w:p>
          <w:p w14:paraId="5296CE6C" w14:textId="77777777" w:rsidR="008245CB" w:rsidRPr="00455FB8" w:rsidRDefault="008245CB" w:rsidP="00D14054">
            <w:pPr>
              <w:spacing w:after="0"/>
              <w:rPr>
                <w:b/>
                <w:sz w:val="20"/>
              </w:rPr>
            </w:pPr>
            <w:r w:rsidRPr="00455FB8">
              <w:rPr>
                <w:b/>
                <w:sz w:val="20"/>
              </w:rPr>
              <w:t xml:space="preserve">MD/IESSA </w:t>
            </w:r>
          </w:p>
          <w:p w14:paraId="7E79EBF5" w14:textId="77777777" w:rsidR="008245CB" w:rsidRPr="00455FB8" w:rsidRDefault="008245CB" w:rsidP="00D14054">
            <w:pPr>
              <w:spacing w:after="0"/>
              <w:rPr>
                <w:b/>
                <w:sz w:val="20"/>
              </w:rPr>
            </w:pPr>
            <w:r w:rsidRPr="00455FB8">
              <w:rPr>
                <w:b/>
                <w:sz w:val="20"/>
              </w:rPr>
              <w:t>S7: 11/14</w:t>
            </w:r>
          </w:p>
          <w:p w14:paraId="265E1755" w14:textId="77777777" w:rsidR="008245CB" w:rsidRPr="00455FB8" w:rsidRDefault="008245CB" w:rsidP="00D14054">
            <w:pPr>
              <w:spacing w:after="0"/>
              <w:rPr>
                <w:b/>
                <w:sz w:val="20"/>
              </w:rPr>
            </w:pPr>
            <w:r w:rsidRPr="00455FB8">
              <w:rPr>
                <w:b/>
                <w:sz w:val="20"/>
              </w:rPr>
              <w:t>S53: 9/24</w:t>
            </w:r>
          </w:p>
          <w:p w14:paraId="02B1DF24" w14:textId="77777777" w:rsidR="008245CB" w:rsidRPr="00455FB8" w:rsidRDefault="008245CB" w:rsidP="00D14054">
            <w:pPr>
              <w:spacing w:after="0"/>
              <w:rPr>
                <w:b/>
                <w:sz w:val="20"/>
              </w:rPr>
            </w:pPr>
            <w:r w:rsidRPr="00455FB8">
              <w:rPr>
                <w:b/>
                <w:sz w:val="20"/>
              </w:rPr>
              <w:t>S120: 7/21</w:t>
            </w:r>
          </w:p>
          <w:p w14:paraId="7CCA1196" w14:textId="77777777" w:rsidR="008245CB" w:rsidRPr="00455FB8" w:rsidRDefault="008245CB" w:rsidP="00D14054">
            <w:pPr>
              <w:spacing w:after="0"/>
              <w:rPr>
                <w:b/>
                <w:sz w:val="20"/>
              </w:rPr>
            </w:pPr>
          </w:p>
          <w:p w14:paraId="6F119975" w14:textId="77777777" w:rsidR="008245CB" w:rsidRPr="00455FB8" w:rsidRDefault="008245CB" w:rsidP="00D14054">
            <w:pPr>
              <w:spacing w:after="0"/>
              <w:rPr>
                <w:b/>
                <w:sz w:val="20"/>
              </w:rPr>
            </w:pPr>
            <w:r w:rsidRPr="00455FB8">
              <w:rPr>
                <w:b/>
                <w:sz w:val="20"/>
              </w:rPr>
              <w:t>Statements</w:t>
            </w:r>
          </w:p>
          <w:p w14:paraId="113918EA" w14:textId="77777777" w:rsidR="008245CB" w:rsidRPr="00455FB8" w:rsidRDefault="008245CB" w:rsidP="00D14054">
            <w:pPr>
              <w:spacing w:after="0"/>
              <w:rPr>
                <w:b/>
                <w:sz w:val="20"/>
              </w:rPr>
            </w:pPr>
            <w:r w:rsidRPr="00455FB8">
              <w:rPr>
                <w:b/>
                <w:sz w:val="20"/>
              </w:rPr>
              <w:t>S7: 11/11</w:t>
            </w:r>
          </w:p>
          <w:p w14:paraId="567D82C7" w14:textId="77777777" w:rsidR="008245CB" w:rsidRPr="00455FB8" w:rsidRDefault="008245CB" w:rsidP="00D14054">
            <w:pPr>
              <w:spacing w:after="0"/>
              <w:rPr>
                <w:b/>
                <w:sz w:val="20"/>
              </w:rPr>
            </w:pPr>
            <w:r w:rsidRPr="00455FB8">
              <w:rPr>
                <w:b/>
                <w:sz w:val="20"/>
              </w:rPr>
              <w:t>S53: 9/24</w:t>
            </w:r>
          </w:p>
          <w:p w14:paraId="280EE7DB" w14:textId="77777777" w:rsidR="008245CB" w:rsidRPr="00455FB8" w:rsidRDefault="008245CB" w:rsidP="00D14054">
            <w:pPr>
              <w:spacing w:after="0"/>
              <w:rPr>
                <w:b/>
                <w:sz w:val="20"/>
              </w:rPr>
            </w:pPr>
            <w:r w:rsidRPr="00455FB8">
              <w:rPr>
                <w:b/>
                <w:sz w:val="20"/>
              </w:rPr>
              <w:t>S120: 7/21</w:t>
            </w:r>
          </w:p>
        </w:tc>
        <w:tc>
          <w:tcPr>
            <w:tcW w:w="1620" w:type="dxa"/>
            <w:tcBorders>
              <w:top w:val="single" w:sz="4" w:space="0" w:color="auto"/>
              <w:left w:val="single" w:sz="4" w:space="0" w:color="auto"/>
              <w:bottom w:val="single" w:sz="4" w:space="0" w:color="auto"/>
              <w:right w:val="single" w:sz="4" w:space="0" w:color="auto"/>
            </w:tcBorders>
            <w:shd w:val="clear" w:color="auto" w:fill="CCFFFF"/>
          </w:tcPr>
          <w:p w14:paraId="5EE1950C" w14:textId="77777777" w:rsidR="008245CB" w:rsidRPr="00455FB8" w:rsidRDefault="008245CB" w:rsidP="00D14054">
            <w:pPr>
              <w:spacing w:after="0"/>
              <w:rPr>
                <w:b/>
                <w:sz w:val="20"/>
              </w:rPr>
            </w:pPr>
            <w:r w:rsidRPr="00455FB8">
              <w:rPr>
                <w:b/>
                <w:sz w:val="20"/>
              </w:rPr>
              <w:t>Nov 19</w:t>
            </w:r>
          </w:p>
          <w:p w14:paraId="0F1FDB0F" w14:textId="77777777" w:rsidR="008245CB" w:rsidRPr="00455FB8" w:rsidRDefault="008245CB" w:rsidP="00D14054">
            <w:pPr>
              <w:spacing w:after="0"/>
              <w:rPr>
                <w:b/>
                <w:sz w:val="20"/>
              </w:rPr>
            </w:pPr>
            <w:r w:rsidRPr="00455FB8">
              <w:rPr>
                <w:b/>
                <w:sz w:val="20"/>
              </w:rPr>
              <w:t xml:space="preserve">MD/IESSA </w:t>
            </w:r>
          </w:p>
          <w:p w14:paraId="54237EED" w14:textId="77777777" w:rsidR="008245CB" w:rsidRPr="00455FB8" w:rsidRDefault="008245CB" w:rsidP="00D14054">
            <w:pPr>
              <w:spacing w:after="0"/>
              <w:rPr>
                <w:b/>
                <w:sz w:val="20"/>
              </w:rPr>
            </w:pPr>
            <w:r w:rsidRPr="00455FB8">
              <w:rPr>
                <w:b/>
                <w:sz w:val="20"/>
              </w:rPr>
              <w:t>S7: 11/15 – 11/17</w:t>
            </w:r>
          </w:p>
          <w:p w14:paraId="70C937F1" w14:textId="77777777" w:rsidR="008245CB" w:rsidRPr="00455FB8" w:rsidRDefault="008245CB" w:rsidP="00D14054">
            <w:pPr>
              <w:spacing w:after="0"/>
              <w:rPr>
                <w:b/>
                <w:sz w:val="20"/>
              </w:rPr>
            </w:pPr>
            <w:r w:rsidRPr="00455FB8">
              <w:rPr>
                <w:b/>
                <w:sz w:val="20"/>
              </w:rPr>
              <w:t>S53: 9/25 – 9/27</w:t>
            </w:r>
          </w:p>
          <w:p w14:paraId="7273FD54" w14:textId="77777777" w:rsidR="008245CB" w:rsidRPr="00455FB8" w:rsidRDefault="008245CB" w:rsidP="00D14054">
            <w:pPr>
              <w:spacing w:after="0"/>
              <w:rPr>
                <w:b/>
                <w:sz w:val="20"/>
              </w:rPr>
            </w:pPr>
            <w:r w:rsidRPr="00455FB8">
              <w:rPr>
                <w:b/>
                <w:sz w:val="20"/>
              </w:rPr>
              <w:t>S120: 7/22 – 7/24</w:t>
            </w:r>
          </w:p>
          <w:p w14:paraId="66CA6531" w14:textId="77777777" w:rsidR="008245CB" w:rsidRPr="00455FB8" w:rsidRDefault="008245CB" w:rsidP="00D14054">
            <w:pPr>
              <w:spacing w:after="0"/>
              <w:rPr>
                <w:b/>
                <w:sz w:val="20"/>
              </w:rPr>
            </w:pPr>
          </w:p>
          <w:p w14:paraId="7D98F55E" w14:textId="77777777" w:rsidR="008245CB" w:rsidRPr="00455FB8" w:rsidRDefault="008245CB" w:rsidP="00D14054">
            <w:pPr>
              <w:spacing w:after="0"/>
              <w:rPr>
                <w:b/>
                <w:sz w:val="20"/>
              </w:rPr>
            </w:pPr>
            <w:r w:rsidRPr="00455FB8">
              <w:rPr>
                <w:b/>
                <w:sz w:val="20"/>
              </w:rPr>
              <w:t>Statements</w:t>
            </w:r>
          </w:p>
          <w:p w14:paraId="700A1EEA" w14:textId="77777777" w:rsidR="008245CB" w:rsidRPr="00455FB8" w:rsidRDefault="008245CB" w:rsidP="00D14054">
            <w:pPr>
              <w:spacing w:after="0"/>
              <w:rPr>
                <w:b/>
                <w:sz w:val="20"/>
              </w:rPr>
            </w:pPr>
            <w:r w:rsidRPr="00455FB8">
              <w:rPr>
                <w:b/>
                <w:sz w:val="20"/>
              </w:rPr>
              <w:t>S7: 11/12</w:t>
            </w:r>
          </w:p>
          <w:p w14:paraId="4F50FC4E" w14:textId="77777777" w:rsidR="008245CB" w:rsidRPr="00455FB8" w:rsidRDefault="008245CB" w:rsidP="00D14054">
            <w:pPr>
              <w:spacing w:after="0"/>
              <w:rPr>
                <w:b/>
                <w:sz w:val="20"/>
              </w:rPr>
            </w:pPr>
            <w:r w:rsidRPr="00455FB8">
              <w:rPr>
                <w:b/>
                <w:sz w:val="20"/>
              </w:rPr>
              <w:t>S53: 9/25</w:t>
            </w:r>
          </w:p>
          <w:p w14:paraId="70EC1B91" w14:textId="77777777" w:rsidR="008245CB" w:rsidRPr="00455FB8" w:rsidRDefault="008245CB" w:rsidP="00D14054">
            <w:pPr>
              <w:spacing w:after="0"/>
              <w:rPr>
                <w:b/>
                <w:sz w:val="20"/>
              </w:rPr>
            </w:pPr>
            <w:r w:rsidRPr="00455FB8">
              <w:rPr>
                <w:b/>
                <w:sz w:val="20"/>
              </w:rPr>
              <w:t>S120: 7/22</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14:paraId="2CEA84B6" w14:textId="77777777" w:rsidR="008245CB" w:rsidRPr="00455FB8" w:rsidRDefault="008245CB" w:rsidP="00D14054">
            <w:pPr>
              <w:rPr>
                <w:b/>
                <w:sz w:val="20"/>
              </w:rPr>
            </w:pPr>
            <w:r w:rsidRPr="00455FB8">
              <w:rPr>
                <w:b/>
                <w:sz w:val="20"/>
              </w:rPr>
              <w:t>Nov 20</w:t>
            </w:r>
          </w:p>
          <w:p w14:paraId="3BF1F77C" w14:textId="77777777" w:rsidR="008245CB" w:rsidRPr="00455FB8" w:rsidRDefault="008245CB" w:rsidP="00D14054">
            <w:pPr>
              <w:rPr>
                <w:b/>
                <w:sz w:val="20"/>
              </w:rPr>
            </w:pPr>
          </w:p>
          <w:p w14:paraId="4CB020D2" w14:textId="77777777" w:rsidR="008245CB" w:rsidRPr="00455FB8" w:rsidRDefault="008245CB" w:rsidP="00D14054">
            <w:pPr>
              <w:rPr>
                <w:b/>
                <w:sz w:val="20"/>
              </w:rPr>
            </w:pPr>
          </w:p>
        </w:tc>
      </w:tr>
      <w:tr w:rsidR="008245CB" w:rsidRPr="00455FB8" w14:paraId="60786C1A" w14:textId="77777777" w:rsidTr="00D14054">
        <w:tc>
          <w:tcPr>
            <w:tcW w:w="895" w:type="dxa"/>
            <w:tcBorders>
              <w:top w:val="single" w:sz="4" w:space="0" w:color="auto"/>
              <w:left w:val="single" w:sz="4" w:space="0" w:color="auto"/>
              <w:bottom w:val="single" w:sz="4" w:space="0" w:color="auto"/>
              <w:right w:val="single" w:sz="4" w:space="0" w:color="auto"/>
            </w:tcBorders>
            <w:shd w:val="clear" w:color="auto" w:fill="CCFFFF"/>
          </w:tcPr>
          <w:p w14:paraId="2B26FA56" w14:textId="77777777" w:rsidR="008245CB" w:rsidRPr="00455FB8" w:rsidRDefault="008245CB" w:rsidP="00D14054">
            <w:pPr>
              <w:rPr>
                <w:b/>
                <w:sz w:val="20"/>
              </w:rPr>
            </w:pPr>
            <w:r w:rsidRPr="00455FB8">
              <w:rPr>
                <w:b/>
                <w:sz w:val="20"/>
              </w:rPr>
              <w:t>Nov 21</w:t>
            </w:r>
          </w:p>
          <w:p w14:paraId="115E7C81" w14:textId="77777777" w:rsidR="008245CB" w:rsidRPr="00455FB8" w:rsidRDefault="008245CB" w:rsidP="00D14054">
            <w:pPr>
              <w:rPr>
                <w:b/>
                <w:sz w:val="20"/>
              </w:rPr>
            </w:pPr>
          </w:p>
          <w:p w14:paraId="70DB0A5F" w14:textId="77777777" w:rsidR="008245CB" w:rsidRPr="00455FB8" w:rsidRDefault="008245CB" w:rsidP="00D14054">
            <w:pPr>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1E29D07B" w14:textId="77777777" w:rsidR="008245CB" w:rsidRPr="00455FB8" w:rsidRDefault="008245CB" w:rsidP="00D14054">
            <w:pPr>
              <w:spacing w:after="0"/>
              <w:rPr>
                <w:b/>
                <w:sz w:val="20"/>
              </w:rPr>
            </w:pPr>
            <w:r w:rsidRPr="00455FB8">
              <w:rPr>
                <w:b/>
                <w:sz w:val="20"/>
              </w:rPr>
              <w:t>Nov 22</w:t>
            </w:r>
          </w:p>
          <w:p w14:paraId="452FBCCD" w14:textId="77777777" w:rsidR="008245CB" w:rsidRPr="00455FB8" w:rsidRDefault="008245CB" w:rsidP="00D14054">
            <w:pPr>
              <w:spacing w:after="0"/>
              <w:rPr>
                <w:b/>
                <w:sz w:val="20"/>
              </w:rPr>
            </w:pPr>
            <w:r w:rsidRPr="00455FB8">
              <w:rPr>
                <w:b/>
                <w:sz w:val="20"/>
              </w:rPr>
              <w:t xml:space="preserve">MD/IESSA </w:t>
            </w:r>
          </w:p>
          <w:p w14:paraId="536ACE34" w14:textId="77777777" w:rsidR="008245CB" w:rsidRPr="00455FB8" w:rsidRDefault="008245CB" w:rsidP="00D14054">
            <w:pPr>
              <w:spacing w:after="0"/>
              <w:rPr>
                <w:b/>
                <w:sz w:val="20"/>
              </w:rPr>
            </w:pPr>
            <w:r w:rsidRPr="00455FB8">
              <w:rPr>
                <w:b/>
                <w:sz w:val="20"/>
              </w:rPr>
              <w:t>S7: 11/18</w:t>
            </w:r>
          </w:p>
          <w:p w14:paraId="4375708A" w14:textId="77777777" w:rsidR="008245CB" w:rsidRPr="00455FB8" w:rsidRDefault="008245CB" w:rsidP="00D14054">
            <w:pPr>
              <w:spacing w:after="0"/>
              <w:rPr>
                <w:b/>
                <w:sz w:val="20"/>
              </w:rPr>
            </w:pPr>
            <w:r w:rsidRPr="00455FB8">
              <w:rPr>
                <w:b/>
                <w:sz w:val="20"/>
              </w:rPr>
              <w:t>S53: 9/28</w:t>
            </w:r>
          </w:p>
          <w:p w14:paraId="0B6B3B33" w14:textId="77777777" w:rsidR="008245CB" w:rsidRPr="00455FB8" w:rsidRDefault="008245CB" w:rsidP="00D14054">
            <w:pPr>
              <w:spacing w:after="0"/>
              <w:rPr>
                <w:b/>
                <w:sz w:val="20"/>
              </w:rPr>
            </w:pPr>
            <w:r w:rsidRPr="00455FB8">
              <w:rPr>
                <w:b/>
                <w:sz w:val="20"/>
              </w:rPr>
              <w:t>S120: 7/25</w:t>
            </w:r>
          </w:p>
          <w:p w14:paraId="2BCAB792" w14:textId="77777777" w:rsidR="008245CB" w:rsidRPr="00455FB8" w:rsidRDefault="008245CB" w:rsidP="00D14054">
            <w:pPr>
              <w:spacing w:after="0"/>
              <w:rPr>
                <w:b/>
                <w:sz w:val="20"/>
              </w:rPr>
            </w:pPr>
          </w:p>
          <w:p w14:paraId="1AF11DAE" w14:textId="77777777" w:rsidR="008245CB" w:rsidRPr="00455FB8" w:rsidRDefault="008245CB" w:rsidP="00D14054">
            <w:pPr>
              <w:spacing w:after="0"/>
              <w:rPr>
                <w:b/>
                <w:sz w:val="20"/>
              </w:rPr>
            </w:pPr>
            <w:r w:rsidRPr="00455FB8">
              <w:rPr>
                <w:b/>
                <w:sz w:val="20"/>
              </w:rPr>
              <w:t>Statements</w:t>
            </w:r>
          </w:p>
          <w:p w14:paraId="2F0C542F" w14:textId="77777777" w:rsidR="008245CB" w:rsidRPr="00455FB8" w:rsidRDefault="008245CB" w:rsidP="00D14054">
            <w:pPr>
              <w:spacing w:after="0"/>
              <w:rPr>
                <w:b/>
                <w:sz w:val="20"/>
              </w:rPr>
            </w:pPr>
            <w:r w:rsidRPr="00455FB8">
              <w:rPr>
                <w:b/>
                <w:sz w:val="20"/>
              </w:rPr>
              <w:t>S7: 11/13 – 11/15</w:t>
            </w:r>
          </w:p>
          <w:p w14:paraId="07065CDB" w14:textId="77777777" w:rsidR="008245CB" w:rsidRPr="00455FB8" w:rsidRDefault="008245CB" w:rsidP="00D14054">
            <w:pPr>
              <w:spacing w:after="0"/>
              <w:rPr>
                <w:b/>
                <w:sz w:val="20"/>
              </w:rPr>
            </w:pPr>
            <w:r w:rsidRPr="00455FB8">
              <w:rPr>
                <w:b/>
                <w:sz w:val="20"/>
              </w:rPr>
              <w:t>S53: 9/26 – 9/28</w:t>
            </w:r>
          </w:p>
          <w:p w14:paraId="1A24DF81" w14:textId="77777777" w:rsidR="008245CB" w:rsidRPr="00455FB8" w:rsidRDefault="008245CB" w:rsidP="00D14054">
            <w:pPr>
              <w:spacing w:after="0"/>
              <w:rPr>
                <w:b/>
                <w:sz w:val="20"/>
              </w:rPr>
            </w:pPr>
            <w:r w:rsidRPr="00455FB8">
              <w:rPr>
                <w:b/>
                <w:sz w:val="20"/>
              </w:rPr>
              <w:t>S120:7/23 - 7/25</w:t>
            </w: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139F1635" w14:textId="77777777" w:rsidR="008245CB" w:rsidRPr="00455FB8" w:rsidRDefault="008245CB" w:rsidP="00D14054">
            <w:pPr>
              <w:spacing w:after="0"/>
              <w:rPr>
                <w:b/>
                <w:sz w:val="20"/>
              </w:rPr>
            </w:pPr>
            <w:r w:rsidRPr="00455FB8">
              <w:rPr>
                <w:b/>
                <w:sz w:val="20"/>
              </w:rPr>
              <w:t>Nov 23</w:t>
            </w:r>
          </w:p>
          <w:p w14:paraId="5923A786" w14:textId="77777777" w:rsidR="008245CB" w:rsidRPr="00455FB8" w:rsidRDefault="008245CB" w:rsidP="00D14054">
            <w:pPr>
              <w:spacing w:after="0"/>
              <w:rPr>
                <w:b/>
                <w:sz w:val="20"/>
              </w:rPr>
            </w:pPr>
            <w:r w:rsidRPr="00455FB8">
              <w:rPr>
                <w:b/>
                <w:sz w:val="20"/>
              </w:rPr>
              <w:t>MD/IESSA</w:t>
            </w:r>
          </w:p>
          <w:p w14:paraId="47DEA954" w14:textId="77777777" w:rsidR="008245CB" w:rsidRPr="00455FB8" w:rsidRDefault="008245CB" w:rsidP="00D14054">
            <w:pPr>
              <w:spacing w:after="0"/>
              <w:rPr>
                <w:b/>
                <w:sz w:val="20"/>
              </w:rPr>
            </w:pPr>
            <w:r w:rsidRPr="00455FB8">
              <w:rPr>
                <w:b/>
                <w:sz w:val="20"/>
              </w:rPr>
              <w:t>S7: 11/19 - 11/20*</w:t>
            </w:r>
          </w:p>
          <w:p w14:paraId="4412D9B3" w14:textId="77777777" w:rsidR="008245CB" w:rsidRPr="00455FB8" w:rsidRDefault="008245CB" w:rsidP="00D14054">
            <w:pPr>
              <w:spacing w:after="0"/>
              <w:rPr>
                <w:b/>
                <w:sz w:val="20"/>
              </w:rPr>
            </w:pPr>
            <w:r w:rsidRPr="00455FB8">
              <w:rPr>
                <w:b/>
                <w:sz w:val="20"/>
              </w:rPr>
              <w:t xml:space="preserve">S53: 9/29 - 9/30* </w:t>
            </w:r>
          </w:p>
          <w:p w14:paraId="22368E3B" w14:textId="77777777" w:rsidR="008245CB" w:rsidRPr="00455FB8" w:rsidRDefault="008245CB" w:rsidP="00D14054">
            <w:pPr>
              <w:spacing w:after="0"/>
              <w:rPr>
                <w:b/>
                <w:sz w:val="20"/>
              </w:rPr>
            </w:pPr>
            <w:r w:rsidRPr="00455FB8">
              <w:rPr>
                <w:b/>
                <w:sz w:val="20"/>
              </w:rPr>
              <w:t>S120: 7/26 - 7/27*</w:t>
            </w:r>
          </w:p>
          <w:p w14:paraId="21FB3DFC" w14:textId="77777777" w:rsidR="008245CB" w:rsidRPr="00455FB8" w:rsidRDefault="008245CB" w:rsidP="00D14054">
            <w:pPr>
              <w:spacing w:after="0"/>
              <w:rPr>
                <w:b/>
                <w:sz w:val="20"/>
              </w:rPr>
            </w:pPr>
          </w:p>
          <w:p w14:paraId="3E85AA23" w14:textId="77777777" w:rsidR="008245CB" w:rsidRPr="00455FB8" w:rsidRDefault="008245CB" w:rsidP="00D14054">
            <w:pPr>
              <w:spacing w:after="0"/>
              <w:rPr>
                <w:b/>
                <w:sz w:val="20"/>
              </w:rPr>
            </w:pPr>
            <w:r w:rsidRPr="00455FB8">
              <w:rPr>
                <w:b/>
                <w:sz w:val="20"/>
              </w:rPr>
              <w:t>Statements</w:t>
            </w:r>
          </w:p>
          <w:p w14:paraId="28DCE665" w14:textId="77777777" w:rsidR="008245CB" w:rsidRPr="00455FB8" w:rsidRDefault="008245CB" w:rsidP="00D14054">
            <w:pPr>
              <w:spacing w:after="0"/>
              <w:rPr>
                <w:b/>
                <w:sz w:val="20"/>
              </w:rPr>
            </w:pPr>
            <w:r w:rsidRPr="00455FB8">
              <w:rPr>
                <w:b/>
                <w:sz w:val="20"/>
              </w:rPr>
              <w:t>S7: 11/16</w:t>
            </w:r>
          </w:p>
          <w:p w14:paraId="3D7F76D3" w14:textId="77777777" w:rsidR="008245CB" w:rsidRPr="00455FB8" w:rsidRDefault="008245CB" w:rsidP="00D14054">
            <w:pPr>
              <w:spacing w:after="0"/>
              <w:rPr>
                <w:b/>
                <w:sz w:val="20"/>
              </w:rPr>
            </w:pPr>
            <w:r w:rsidRPr="00455FB8">
              <w:rPr>
                <w:b/>
                <w:sz w:val="20"/>
              </w:rPr>
              <w:t>S53: 9/29</w:t>
            </w:r>
          </w:p>
          <w:p w14:paraId="5DFE5717" w14:textId="77777777" w:rsidR="008245CB" w:rsidRPr="00455FB8" w:rsidRDefault="008245CB" w:rsidP="00D14054">
            <w:pPr>
              <w:spacing w:after="0"/>
              <w:rPr>
                <w:b/>
                <w:sz w:val="20"/>
              </w:rPr>
            </w:pPr>
            <w:r w:rsidRPr="00455FB8">
              <w:rPr>
                <w:b/>
                <w:sz w:val="20"/>
              </w:rPr>
              <w:t>S120: 7/26</w:t>
            </w:r>
          </w:p>
        </w:tc>
        <w:tc>
          <w:tcPr>
            <w:tcW w:w="1710" w:type="dxa"/>
            <w:tcBorders>
              <w:top w:val="single" w:sz="4" w:space="0" w:color="auto"/>
              <w:left w:val="single" w:sz="4" w:space="0" w:color="auto"/>
              <w:bottom w:val="single" w:sz="4" w:space="0" w:color="auto"/>
              <w:right w:val="single" w:sz="4" w:space="0" w:color="auto"/>
            </w:tcBorders>
            <w:shd w:val="clear" w:color="auto" w:fill="CCFFFF"/>
          </w:tcPr>
          <w:p w14:paraId="015FF06A" w14:textId="77777777" w:rsidR="008245CB" w:rsidRPr="00455FB8" w:rsidRDefault="008245CB" w:rsidP="00D14054">
            <w:pPr>
              <w:spacing w:after="0"/>
              <w:rPr>
                <w:b/>
                <w:sz w:val="20"/>
              </w:rPr>
            </w:pPr>
            <w:r w:rsidRPr="00455FB8">
              <w:rPr>
                <w:b/>
                <w:sz w:val="20"/>
              </w:rPr>
              <w:t>Nov 24</w:t>
            </w:r>
          </w:p>
          <w:p w14:paraId="5896CAED" w14:textId="77777777" w:rsidR="008245CB" w:rsidRPr="00455FB8" w:rsidRDefault="008245CB" w:rsidP="00D14054">
            <w:pPr>
              <w:spacing w:after="0"/>
              <w:rPr>
                <w:b/>
                <w:sz w:val="20"/>
              </w:rPr>
            </w:pPr>
            <w:r w:rsidRPr="00455FB8">
              <w:rPr>
                <w:b/>
                <w:sz w:val="20"/>
              </w:rPr>
              <w:t xml:space="preserve">MD/IESSA </w:t>
            </w:r>
          </w:p>
          <w:p w14:paraId="2BF3DDB0" w14:textId="77777777" w:rsidR="008245CB" w:rsidRPr="00455FB8" w:rsidRDefault="008245CB" w:rsidP="00D14054">
            <w:pPr>
              <w:spacing w:after="0"/>
              <w:rPr>
                <w:b/>
                <w:sz w:val="20"/>
              </w:rPr>
            </w:pPr>
            <w:r w:rsidRPr="00455FB8">
              <w:rPr>
                <w:b/>
                <w:sz w:val="20"/>
              </w:rPr>
              <w:t>S7: 11/21 - 11/22</w:t>
            </w:r>
          </w:p>
          <w:p w14:paraId="458C63FB" w14:textId="77777777" w:rsidR="008245CB" w:rsidRPr="00455FB8" w:rsidRDefault="008245CB" w:rsidP="00D14054">
            <w:pPr>
              <w:spacing w:after="0"/>
              <w:rPr>
                <w:b/>
                <w:sz w:val="20"/>
              </w:rPr>
            </w:pPr>
            <w:r w:rsidRPr="00455FB8">
              <w:rPr>
                <w:b/>
                <w:sz w:val="20"/>
              </w:rPr>
              <w:t>S53: 10/1 -10/2</w:t>
            </w:r>
          </w:p>
          <w:p w14:paraId="35E4731E" w14:textId="77777777" w:rsidR="008245CB" w:rsidRPr="00455FB8" w:rsidRDefault="008245CB" w:rsidP="00D14054">
            <w:pPr>
              <w:spacing w:after="0"/>
              <w:rPr>
                <w:b/>
                <w:sz w:val="20"/>
              </w:rPr>
            </w:pPr>
            <w:r w:rsidRPr="00455FB8">
              <w:rPr>
                <w:b/>
                <w:sz w:val="20"/>
              </w:rPr>
              <w:t>S120: 7/27 – 7/28</w:t>
            </w:r>
          </w:p>
          <w:p w14:paraId="1821250F" w14:textId="77777777" w:rsidR="008245CB" w:rsidRPr="00455FB8" w:rsidRDefault="008245CB" w:rsidP="00D14054">
            <w:pPr>
              <w:spacing w:after="0"/>
              <w:rPr>
                <w:b/>
                <w:sz w:val="20"/>
              </w:rPr>
            </w:pPr>
          </w:p>
          <w:p w14:paraId="4A977E26" w14:textId="77777777" w:rsidR="008245CB" w:rsidRPr="00455FB8" w:rsidRDefault="008245CB" w:rsidP="00D14054">
            <w:pPr>
              <w:spacing w:after="0"/>
              <w:rPr>
                <w:b/>
                <w:sz w:val="20"/>
              </w:rPr>
            </w:pPr>
            <w:r w:rsidRPr="00455FB8">
              <w:rPr>
                <w:b/>
                <w:sz w:val="20"/>
              </w:rPr>
              <w:t>Statements</w:t>
            </w:r>
          </w:p>
          <w:p w14:paraId="30CF5F82" w14:textId="77777777" w:rsidR="008245CB" w:rsidRPr="00455FB8" w:rsidRDefault="008245CB" w:rsidP="00D14054">
            <w:pPr>
              <w:spacing w:after="0"/>
              <w:rPr>
                <w:b/>
                <w:sz w:val="20"/>
              </w:rPr>
            </w:pPr>
            <w:r w:rsidRPr="00455FB8">
              <w:rPr>
                <w:b/>
                <w:sz w:val="20"/>
              </w:rPr>
              <w:t>S7: 11/17 – 11/19</w:t>
            </w:r>
          </w:p>
          <w:p w14:paraId="1E8FC0B1" w14:textId="77777777" w:rsidR="008245CB" w:rsidRPr="00455FB8" w:rsidRDefault="008245CB" w:rsidP="00D14054">
            <w:pPr>
              <w:spacing w:after="0"/>
              <w:rPr>
                <w:b/>
                <w:sz w:val="20"/>
              </w:rPr>
            </w:pPr>
            <w:r w:rsidRPr="00455FB8">
              <w:rPr>
                <w:b/>
                <w:sz w:val="20"/>
              </w:rPr>
              <w:t>S53: 9/30 – 10/2</w:t>
            </w:r>
          </w:p>
          <w:p w14:paraId="0BDFFE33" w14:textId="77777777" w:rsidR="008245CB" w:rsidRPr="00455FB8" w:rsidRDefault="008245CB" w:rsidP="00D14054">
            <w:pPr>
              <w:spacing w:after="0"/>
              <w:rPr>
                <w:b/>
                <w:sz w:val="20"/>
              </w:rPr>
            </w:pPr>
            <w:r w:rsidRPr="00455FB8">
              <w:rPr>
                <w:b/>
                <w:sz w:val="20"/>
              </w:rPr>
              <w:t>S120: 7/27 – 7/29</w:t>
            </w:r>
          </w:p>
        </w:tc>
        <w:tc>
          <w:tcPr>
            <w:tcW w:w="1260" w:type="dxa"/>
            <w:tcBorders>
              <w:top w:val="single" w:sz="4" w:space="0" w:color="auto"/>
              <w:left w:val="single" w:sz="4" w:space="0" w:color="auto"/>
              <w:bottom w:val="single" w:sz="4" w:space="0" w:color="auto"/>
              <w:right w:val="single" w:sz="4" w:space="0" w:color="auto"/>
            </w:tcBorders>
            <w:shd w:val="clear" w:color="auto" w:fill="CCFFFF"/>
          </w:tcPr>
          <w:p w14:paraId="2B27B156" w14:textId="77777777" w:rsidR="008245CB" w:rsidRPr="00455FB8" w:rsidRDefault="008245CB" w:rsidP="00D14054">
            <w:pPr>
              <w:rPr>
                <w:b/>
                <w:sz w:val="20"/>
              </w:rPr>
            </w:pPr>
            <w:r w:rsidRPr="00455FB8">
              <w:rPr>
                <w:b/>
                <w:sz w:val="20"/>
              </w:rPr>
              <w:t>Nov 25</w:t>
            </w:r>
          </w:p>
          <w:p w14:paraId="2CCAFCAC" w14:textId="77777777" w:rsidR="008245CB" w:rsidRPr="00455FB8" w:rsidRDefault="008245CB" w:rsidP="00D14054">
            <w:pPr>
              <w:rPr>
                <w:b/>
                <w:sz w:val="20"/>
              </w:rPr>
            </w:pPr>
          </w:p>
          <w:p w14:paraId="024C1074" w14:textId="77777777" w:rsidR="008245CB" w:rsidRPr="00455FB8" w:rsidRDefault="008245CB" w:rsidP="00D14054">
            <w:pPr>
              <w:rPr>
                <w:b/>
                <w:sz w:val="20"/>
              </w:rPr>
            </w:pPr>
            <w:r w:rsidRPr="00455FB8">
              <w:rPr>
                <w:b/>
                <w:sz w:val="20"/>
              </w:rPr>
              <w:t>Holiday</w:t>
            </w:r>
          </w:p>
        </w:tc>
        <w:tc>
          <w:tcPr>
            <w:tcW w:w="1620" w:type="dxa"/>
            <w:tcBorders>
              <w:top w:val="single" w:sz="4" w:space="0" w:color="auto"/>
              <w:left w:val="single" w:sz="4" w:space="0" w:color="auto"/>
              <w:bottom w:val="single" w:sz="4" w:space="0" w:color="auto"/>
              <w:right w:val="single" w:sz="4" w:space="0" w:color="auto"/>
            </w:tcBorders>
            <w:shd w:val="clear" w:color="auto" w:fill="CCFFFF"/>
          </w:tcPr>
          <w:p w14:paraId="3B1FEDEF" w14:textId="77777777" w:rsidR="008245CB" w:rsidRPr="00455FB8" w:rsidRDefault="008245CB" w:rsidP="00D14054">
            <w:pPr>
              <w:rPr>
                <w:b/>
                <w:sz w:val="20"/>
              </w:rPr>
            </w:pPr>
            <w:r w:rsidRPr="00455FB8">
              <w:rPr>
                <w:b/>
                <w:sz w:val="20"/>
              </w:rPr>
              <w:t>Nov 26</w:t>
            </w:r>
          </w:p>
          <w:p w14:paraId="52F7C1B7" w14:textId="77777777" w:rsidR="008245CB" w:rsidRPr="00455FB8" w:rsidRDefault="008245CB" w:rsidP="00D14054">
            <w:pPr>
              <w:rPr>
                <w:b/>
                <w:sz w:val="20"/>
              </w:rPr>
            </w:pPr>
          </w:p>
          <w:p w14:paraId="05CF7CCD" w14:textId="77777777" w:rsidR="008245CB" w:rsidRPr="00455FB8" w:rsidRDefault="008245CB" w:rsidP="00D14054">
            <w:pPr>
              <w:rPr>
                <w:b/>
                <w:sz w:val="20"/>
              </w:rPr>
            </w:pPr>
            <w:r w:rsidRPr="00455FB8">
              <w:rPr>
                <w:b/>
                <w:sz w:val="20"/>
              </w:rPr>
              <w:t>Holiday</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14:paraId="03F3667E" w14:textId="77777777" w:rsidR="008245CB" w:rsidRPr="00455FB8" w:rsidRDefault="008245CB" w:rsidP="00D14054">
            <w:pPr>
              <w:rPr>
                <w:b/>
                <w:sz w:val="20"/>
              </w:rPr>
            </w:pPr>
            <w:r w:rsidRPr="00455FB8">
              <w:rPr>
                <w:b/>
                <w:sz w:val="20"/>
              </w:rPr>
              <w:t>Nov 27</w:t>
            </w:r>
          </w:p>
          <w:p w14:paraId="2BAFB515" w14:textId="77777777" w:rsidR="008245CB" w:rsidRPr="00455FB8" w:rsidRDefault="008245CB" w:rsidP="00D14054">
            <w:pPr>
              <w:rPr>
                <w:b/>
                <w:sz w:val="20"/>
              </w:rPr>
            </w:pPr>
          </w:p>
          <w:p w14:paraId="0EC2C125" w14:textId="3BD2BF0C" w:rsidR="008245CB" w:rsidRPr="00455FB8" w:rsidRDefault="008245CB" w:rsidP="00D14054">
            <w:pPr>
              <w:rPr>
                <w:b/>
                <w:sz w:val="20"/>
              </w:rPr>
            </w:pPr>
          </w:p>
        </w:tc>
      </w:tr>
      <w:tr w:rsidR="008245CB" w:rsidRPr="00455FB8" w14:paraId="22234BED" w14:textId="77777777" w:rsidTr="00D14054">
        <w:tc>
          <w:tcPr>
            <w:tcW w:w="895" w:type="dxa"/>
            <w:tcBorders>
              <w:top w:val="single" w:sz="4" w:space="0" w:color="auto"/>
              <w:left w:val="single" w:sz="4" w:space="0" w:color="auto"/>
              <w:bottom w:val="single" w:sz="4" w:space="0" w:color="auto"/>
              <w:right w:val="single" w:sz="4" w:space="0" w:color="auto"/>
            </w:tcBorders>
            <w:shd w:val="clear" w:color="auto" w:fill="CCFFFF"/>
          </w:tcPr>
          <w:p w14:paraId="06D7FC1D" w14:textId="77777777" w:rsidR="008245CB" w:rsidRPr="00455FB8" w:rsidRDefault="008245CB" w:rsidP="00D14054">
            <w:pPr>
              <w:rPr>
                <w:b/>
                <w:sz w:val="20"/>
              </w:rPr>
            </w:pPr>
            <w:r w:rsidRPr="00455FB8">
              <w:rPr>
                <w:b/>
                <w:sz w:val="20"/>
              </w:rPr>
              <w:t>Nov 28</w:t>
            </w:r>
          </w:p>
          <w:p w14:paraId="26EF8FC5" w14:textId="77777777" w:rsidR="008245CB" w:rsidRPr="00455FB8" w:rsidRDefault="008245CB" w:rsidP="00D14054">
            <w:pPr>
              <w:rPr>
                <w:b/>
                <w:sz w:val="20"/>
              </w:rPr>
            </w:pPr>
          </w:p>
          <w:p w14:paraId="4F6B4AFD" w14:textId="1EF80155" w:rsidR="008245CB" w:rsidRPr="00455FB8" w:rsidRDefault="008245CB" w:rsidP="00D14054">
            <w:pPr>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62289E41" w14:textId="77777777" w:rsidR="008245CB" w:rsidRPr="00455FB8" w:rsidRDefault="008245CB" w:rsidP="00D14054">
            <w:pPr>
              <w:spacing w:after="0"/>
              <w:rPr>
                <w:b/>
                <w:sz w:val="20"/>
              </w:rPr>
            </w:pPr>
            <w:r w:rsidRPr="00455FB8">
              <w:rPr>
                <w:b/>
                <w:sz w:val="20"/>
              </w:rPr>
              <w:t>Nov 29</w:t>
            </w:r>
          </w:p>
          <w:p w14:paraId="4B4C155B" w14:textId="77777777" w:rsidR="008245CB" w:rsidRPr="00455FB8" w:rsidRDefault="008245CB" w:rsidP="00D14054">
            <w:pPr>
              <w:spacing w:after="0"/>
              <w:rPr>
                <w:b/>
                <w:sz w:val="20"/>
              </w:rPr>
            </w:pPr>
            <w:r w:rsidRPr="00455FB8">
              <w:rPr>
                <w:b/>
                <w:sz w:val="20"/>
              </w:rPr>
              <w:t>MD/IESSA</w:t>
            </w:r>
          </w:p>
          <w:p w14:paraId="40DC138F" w14:textId="77777777" w:rsidR="008245CB" w:rsidRPr="00455FB8" w:rsidRDefault="008245CB" w:rsidP="00D14054">
            <w:pPr>
              <w:spacing w:after="0"/>
              <w:rPr>
                <w:b/>
                <w:sz w:val="20"/>
              </w:rPr>
            </w:pPr>
            <w:r w:rsidRPr="00455FB8">
              <w:rPr>
                <w:b/>
                <w:sz w:val="20"/>
              </w:rPr>
              <w:t>S7: 11/23 - 11/24*</w:t>
            </w:r>
          </w:p>
          <w:p w14:paraId="55E72413" w14:textId="77777777" w:rsidR="008245CB" w:rsidRPr="00455FB8" w:rsidRDefault="008245CB" w:rsidP="00D14054">
            <w:pPr>
              <w:spacing w:after="0"/>
              <w:rPr>
                <w:b/>
                <w:sz w:val="20"/>
              </w:rPr>
            </w:pPr>
            <w:r w:rsidRPr="00455FB8">
              <w:rPr>
                <w:b/>
                <w:sz w:val="20"/>
              </w:rPr>
              <w:t xml:space="preserve">S53: 10/3 – 10/4* </w:t>
            </w:r>
          </w:p>
          <w:p w14:paraId="1F5FBF8D" w14:textId="77777777" w:rsidR="008245CB" w:rsidRPr="00455FB8" w:rsidRDefault="008245CB" w:rsidP="00D14054">
            <w:pPr>
              <w:spacing w:after="0"/>
              <w:rPr>
                <w:b/>
                <w:sz w:val="20"/>
              </w:rPr>
            </w:pPr>
            <w:r w:rsidRPr="00455FB8">
              <w:rPr>
                <w:b/>
                <w:sz w:val="20"/>
              </w:rPr>
              <w:t>S120: 7/29 - 7/30*</w:t>
            </w:r>
          </w:p>
          <w:p w14:paraId="3744451D" w14:textId="77777777" w:rsidR="008245CB" w:rsidRPr="00455FB8" w:rsidRDefault="008245CB" w:rsidP="00D14054">
            <w:pPr>
              <w:spacing w:after="0"/>
              <w:rPr>
                <w:b/>
                <w:sz w:val="20"/>
              </w:rPr>
            </w:pPr>
          </w:p>
          <w:p w14:paraId="511C288D" w14:textId="77777777" w:rsidR="008245CB" w:rsidRPr="00455FB8" w:rsidRDefault="008245CB" w:rsidP="00D14054">
            <w:pPr>
              <w:spacing w:after="0"/>
              <w:rPr>
                <w:b/>
                <w:sz w:val="20"/>
              </w:rPr>
            </w:pPr>
            <w:r w:rsidRPr="00455FB8">
              <w:rPr>
                <w:b/>
                <w:sz w:val="20"/>
              </w:rPr>
              <w:t>Statements</w:t>
            </w:r>
          </w:p>
          <w:p w14:paraId="404C79D9" w14:textId="77777777" w:rsidR="008245CB" w:rsidRPr="00455FB8" w:rsidRDefault="008245CB" w:rsidP="00D14054">
            <w:pPr>
              <w:spacing w:after="0"/>
              <w:rPr>
                <w:b/>
                <w:sz w:val="20"/>
              </w:rPr>
            </w:pPr>
            <w:r w:rsidRPr="00455FB8">
              <w:rPr>
                <w:b/>
                <w:sz w:val="20"/>
              </w:rPr>
              <w:t>S7: 11/20 – 11/21</w:t>
            </w:r>
          </w:p>
          <w:p w14:paraId="50EB3E64" w14:textId="77777777" w:rsidR="008245CB" w:rsidRPr="00455FB8" w:rsidRDefault="008245CB" w:rsidP="00D14054">
            <w:pPr>
              <w:spacing w:after="0"/>
              <w:rPr>
                <w:b/>
                <w:sz w:val="20"/>
              </w:rPr>
            </w:pPr>
            <w:r w:rsidRPr="00455FB8">
              <w:rPr>
                <w:b/>
                <w:sz w:val="20"/>
              </w:rPr>
              <w:t>S53: 10/3 – 10/4</w:t>
            </w:r>
          </w:p>
          <w:p w14:paraId="6BC563E2" w14:textId="77777777" w:rsidR="008245CB" w:rsidRPr="00455FB8" w:rsidRDefault="008245CB" w:rsidP="00D14054">
            <w:pPr>
              <w:spacing w:after="0"/>
              <w:rPr>
                <w:b/>
                <w:sz w:val="20"/>
              </w:rPr>
            </w:pPr>
            <w:r w:rsidRPr="00455FB8">
              <w:rPr>
                <w:b/>
                <w:sz w:val="20"/>
              </w:rPr>
              <w:t>S120: 7/30 – 7/31</w:t>
            </w:r>
          </w:p>
        </w:tc>
        <w:tc>
          <w:tcPr>
            <w:tcW w:w="1800" w:type="dxa"/>
            <w:tcBorders>
              <w:top w:val="single" w:sz="4" w:space="0" w:color="auto"/>
              <w:left w:val="single" w:sz="4" w:space="0" w:color="auto"/>
              <w:bottom w:val="single" w:sz="4" w:space="0" w:color="auto"/>
              <w:right w:val="single" w:sz="4" w:space="0" w:color="auto"/>
            </w:tcBorders>
            <w:shd w:val="clear" w:color="auto" w:fill="CCFFFF"/>
          </w:tcPr>
          <w:p w14:paraId="0E95C1FA" w14:textId="77777777" w:rsidR="008245CB" w:rsidRPr="00455FB8" w:rsidRDefault="008245CB" w:rsidP="00D14054">
            <w:pPr>
              <w:spacing w:after="0"/>
              <w:rPr>
                <w:b/>
                <w:sz w:val="20"/>
              </w:rPr>
            </w:pPr>
            <w:r w:rsidRPr="00455FB8">
              <w:rPr>
                <w:b/>
                <w:sz w:val="20"/>
              </w:rPr>
              <w:t>Nov 30</w:t>
            </w:r>
          </w:p>
          <w:p w14:paraId="223F4473" w14:textId="77777777" w:rsidR="008245CB" w:rsidRPr="00455FB8" w:rsidRDefault="008245CB" w:rsidP="00D14054">
            <w:pPr>
              <w:spacing w:after="0"/>
              <w:rPr>
                <w:b/>
                <w:sz w:val="20"/>
              </w:rPr>
            </w:pPr>
            <w:r w:rsidRPr="00455FB8">
              <w:rPr>
                <w:b/>
                <w:sz w:val="20"/>
              </w:rPr>
              <w:t xml:space="preserve">MD/IESSA </w:t>
            </w:r>
          </w:p>
          <w:p w14:paraId="7031C531" w14:textId="77777777" w:rsidR="008245CB" w:rsidRPr="00455FB8" w:rsidRDefault="008245CB" w:rsidP="00D14054">
            <w:pPr>
              <w:spacing w:after="0"/>
              <w:rPr>
                <w:b/>
                <w:sz w:val="20"/>
              </w:rPr>
            </w:pPr>
            <w:r w:rsidRPr="00455FB8">
              <w:rPr>
                <w:b/>
                <w:sz w:val="20"/>
              </w:rPr>
              <w:t>S7: 11/25 - 11/26</w:t>
            </w:r>
          </w:p>
          <w:p w14:paraId="4066EBB3" w14:textId="77777777" w:rsidR="008245CB" w:rsidRPr="00455FB8" w:rsidRDefault="008245CB" w:rsidP="00D14054">
            <w:pPr>
              <w:spacing w:after="0"/>
              <w:rPr>
                <w:b/>
                <w:sz w:val="20"/>
              </w:rPr>
            </w:pPr>
            <w:r w:rsidRPr="00455FB8">
              <w:rPr>
                <w:b/>
                <w:sz w:val="20"/>
              </w:rPr>
              <w:t>S53: 10/5 -10/6</w:t>
            </w:r>
          </w:p>
          <w:p w14:paraId="476D1874" w14:textId="77777777" w:rsidR="008245CB" w:rsidRPr="00455FB8" w:rsidRDefault="008245CB" w:rsidP="00D14054">
            <w:pPr>
              <w:spacing w:after="0"/>
              <w:rPr>
                <w:b/>
                <w:sz w:val="20"/>
              </w:rPr>
            </w:pPr>
            <w:r w:rsidRPr="00455FB8">
              <w:rPr>
                <w:b/>
                <w:sz w:val="20"/>
              </w:rPr>
              <w:t>S120: 7/31 – 8/1</w:t>
            </w:r>
          </w:p>
          <w:p w14:paraId="3F4FFF98" w14:textId="77777777" w:rsidR="008245CB" w:rsidRPr="00455FB8" w:rsidRDefault="008245CB" w:rsidP="00D14054">
            <w:pPr>
              <w:spacing w:after="0"/>
              <w:rPr>
                <w:b/>
                <w:sz w:val="20"/>
              </w:rPr>
            </w:pPr>
          </w:p>
          <w:p w14:paraId="7B0D41CF" w14:textId="77777777" w:rsidR="008245CB" w:rsidRPr="00455FB8" w:rsidRDefault="008245CB" w:rsidP="00D14054">
            <w:pPr>
              <w:spacing w:after="0"/>
              <w:rPr>
                <w:b/>
                <w:sz w:val="20"/>
              </w:rPr>
            </w:pPr>
            <w:r w:rsidRPr="00455FB8">
              <w:rPr>
                <w:b/>
                <w:sz w:val="20"/>
              </w:rPr>
              <w:t>Statements</w:t>
            </w:r>
          </w:p>
          <w:p w14:paraId="46A28900" w14:textId="77777777" w:rsidR="008245CB" w:rsidRPr="00455FB8" w:rsidRDefault="008245CB" w:rsidP="00D14054">
            <w:pPr>
              <w:spacing w:after="0"/>
              <w:rPr>
                <w:b/>
                <w:sz w:val="20"/>
              </w:rPr>
            </w:pPr>
            <w:r w:rsidRPr="00455FB8">
              <w:rPr>
                <w:b/>
                <w:sz w:val="20"/>
              </w:rPr>
              <w:t>S7: 11/22 – 11/23</w:t>
            </w:r>
          </w:p>
          <w:p w14:paraId="646EA6EE" w14:textId="77777777" w:rsidR="008245CB" w:rsidRPr="00455FB8" w:rsidRDefault="008245CB" w:rsidP="00D14054">
            <w:pPr>
              <w:spacing w:after="0"/>
              <w:rPr>
                <w:b/>
                <w:sz w:val="20"/>
              </w:rPr>
            </w:pPr>
            <w:r w:rsidRPr="00455FB8">
              <w:rPr>
                <w:b/>
                <w:sz w:val="20"/>
              </w:rPr>
              <w:t>S53: 10/5 – 10/6</w:t>
            </w:r>
          </w:p>
          <w:p w14:paraId="0406E1D0" w14:textId="77777777" w:rsidR="008245CB" w:rsidRPr="00455FB8" w:rsidRDefault="008245CB" w:rsidP="00D14054">
            <w:pPr>
              <w:spacing w:after="0"/>
              <w:rPr>
                <w:b/>
                <w:sz w:val="20"/>
              </w:rPr>
            </w:pPr>
            <w:r w:rsidRPr="00455FB8">
              <w:rPr>
                <w:b/>
                <w:sz w:val="20"/>
              </w:rPr>
              <w:t>S120: 8/1 – 8/2</w:t>
            </w:r>
          </w:p>
        </w:tc>
        <w:tc>
          <w:tcPr>
            <w:tcW w:w="1710" w:type="dxa"/>
            <w:tcBorders>
              <w:top w:val="single" w:sz="4" w:space="0" w:color="auto"/>
              <w:left w:val="single" w:sz="4" w:space="0" w:color="auto"/>
              <w:bottom w:val="single" w:sz="4" w:space="0" w:color="auto"/>
              <w:right w:val="single" w:sz="4" w:space="0" w:color="auto"/>
            </w:tcBorders>
            <w:shd w:val="clear" w:color="auto" w:fill="CCFFFF"/>
          </w:tcPr>
          <w:p w14:paraId="1711AAE0" w14:textId="77777777" w:rsidR="008245CB" w:rsidRPr="00455FB8" w:rsidRDefault="008245CB" w:rsidP="00D14054">
            <w:pPr>
              <w:rPr>
                <w:b/>
                <w:sz w:val="20"/>
              </w:rPr>
            </w:pPr>
          </w:p>
        </w:tc>
        <w:tc>
          <w:tcPr>
            <w:tcW w:w="1260" w:type="dxa"/>
            <w:tcBorders>
              <w:top w:val="single" w:sz="4" w:space="0" w:color="auto"/>
              <w:left w:val="single" w:sz="4" w:space="0" w:color="auto"/>
              <w:bottom w:val="single" w:sz="4" w:space="0" w:color="auto"/>
              <w:right w:val="single" w:sz="4" w:space="0" w:color="auto"/>
            </w:tcBorders>
            <w:shd w:val="clear" w:color="auto" w:fill="CCFFFF"/>
          </w:tcPr>
          <w:p w14:paraId="1BD523B3" w14:textId="77777777" w:rsidR="008245CB" w:rsidRPr="00455FB8" w:rsidRDefault="008245CB" w:rsidP="00D14054">
            <w:pPr>
              <w:rPr>
                <w:b/>
                <w:sz w:val="20"/>
              </w:rPr>
            </w:pPr>
          </w:p>
        </w:tc>
        <w:tc>
          <w:tcPr>
            <w:tcW w:w="1620" w:type="dxa"/>
            <w:tcBorders>
              <w:top w:val="single" w:sz="4" w:space="0" w:color="auto"/>
              <w:left w:val="single" w:sz="4" w:space="0" w:color="auto"/>
              <w:bottom w:val="single" w:sz="4" w:space="0" w:color="auto"/>
              <w:right w:val="single" w:sz="4" w:space="0" w:color="auto"/>
            </w:tcBorders>
            <w:shd w:val="clear" w:color="auto" w:fill="CCFFFF"/>
          </w:tcPr>
          <w:p w14:paraId="5AC75913" w14:textId="77777777" w:rsidR="008245CB" w:rsidRPr="00455FB8" w:rsidRDefault="008245CB" w:rsidP="00D14054">
            <w:pPr>
              <w:rPr>
                <w:b/>
                <w:sz w:val="20"/>
              </w:rPr>
            </w:pPr>
          </w:p>
        </w:tc>
        <w:tc>
          <w:tcPr>
            <w:tcW w:w="1080" w:type="dxa"/>
            <w:tcBorders>
              <w:top w:val="single" w:sz="4" w:space="0" w:color="auto"/>
              <w:left w:val="single" w:sz="4" w:space="0" w:color="auto"/>
              <w:bottom w:val="single" w:sz="4" w:space="0" w:color="auto"/>
              <w:right w:val="single" w:sz="4" w:space="0" w:color="auto"/>
            </w:tcBorders>
            <w:shd w:val="clear" w:color="auto" w:fill="CCFFFF"/>
          </w:tcPr>
          <w:p w14:paraId="2CB11FF2" w14:textId="77777777" w:rsidR="008245CB" w:rsidRPr="00455FB8" w:rsidRDefault="008245CB" w:rsidP="00D14054">
            <w:pPr>
              <w:rPr>
                <w:b/>
                <w:sz w:val="20"/>
              </w:rPr>
            </w:pPr>
          </w:p>
        </w:tc>
      </w:tr>
    </w:tbl>
    <w:p w14:paraId="3F2481BD" w14:textId="77777777" w:rsidR="008245CB" w:rsidRPr="00455FB8" w:rsidRDefault="008245CB" w:rsidP="008245CB">
      <w:r w:rsidRPr="00455FB8">
        <w:rPr>
          <w:bCs/>
          <w:noProof/>
          <w:sz w:val="20"/>
        </w:rPr>
        <mc:AlternateContent>
          <mc:Choice Requires="wps">
            <w:drawing>
              <wp:anchor distT="0" distB="0" distL="114300" distR="114300" simplePos="0" relativeHeight="251658243" behindDoc="0" locked="0" layoutInCell="1" allowOverlap="1" wp14:anchorId="34A24423" wp14:editId="5C4202E1">
                <wp:simplePos x="0" y="0"/>
                <wp:positionH relativeFrom="margin">
                  <wp:align>left</wp:align>
                </wp:positionH>
                <wp:positionV relativeFrom="paragraph">
                  <wp:posOffset>2540</wp:posOffset>
                </wp:positionV>
                <wp:extent cx="4398645" cy="1117600"/>
                <wp:effectExtent l="0" t="0" r="20955" b="25400"/>
                <wp:wrapNone/>
                <wp:docPr id="10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117600"/>
                        </a:xfrm>
                        <a:prstGeom prst="rect">
                          <a:avLst/>
                        </a:prstGeom>
                        <a:solidFill>
                          <a:srgbClr val="FFFFFF"/>
                        </a:solidFill>
                        <a:ln w="9525">
                          <a:solidFill>
                            <a:srgbClr val="000000"/>
                          </a:solidFill>
                          <a:miter lim="800000"/>
                          <a:headEnd/>
                          <a:tailEnd/>
                        </a:ln>
                      </wps:spPr>
                      <wps:txbx>
                        <w:txbxContent>
                          <w:p w14:paraId="4E82C556" w14:textId="57309B9D" w:rsidR="008245CB" w:rsidRPr="004C38BA" w:rsidRDefault="008245CB" w:rsidP="008245CB">
                            <w:pPr>
                              <w:spacing w:after="0"/>
                              <w:rPr>
                                <w:bCs/>
                                <w:sz w:val="20"/>
                              </w:rPr>
                            </w:pPr>
                            <w:r w:rsidRPr="004C38BA">
                              <w:rPr>
                                <w:bCs/>
                                <w:sz w:val="20"/>
                              </w:rPr>
                              <w:t xml:space="preserve">Meter/IESSA Data (MD/IESSA) due by </w:t>
                            </w:r>
                            <w:r w:rsidR="0056499B">
                              <w:rPr>
                                <w:bCs/>
                                <w:sz w:val="20"/>
                              </w:rPr>
                              <w:t xml:space="preserve">12:00 </w:t>
                            </w:r>
                            <w:r>
                              <w:rPr>
                                <w:bCs/>
                                <w:sz w:val="20"/>
                              </w:rPr>
                              <w:t>PPT</w:t>
                            </w:r>
                            <w:r w:rsidRPr="004C38BA">
                              <w:rPr>
                                <w:bCs/>
                                <w:sz w:val="20"/>
                              </w:rPr>
                              <w:t xml:space="preserve"> on days indicated.</w:t>
                            </w:r>
                          </w:p>
                          <w:p w14:paraId="09D943AB" w14:textId="57D495F0" w:rsidR="008245CB" w:rsidRPr="004C38BA" w:rsidRDefault="008245CB" w:rsidP="008245CB">
                            <w:pPr>
                              <w:spacing w:after="0"/>
                              <w:rPr>
                                <w:bCs/>
                                <w:sz w:val="20"/>
                              </w:rPr>
                            </w:pPr>
                            <w:r w:rsidRPr="004C38BA">
                              <w:rPr>
                                <w:bCs/>
                                <w:sz w:val="20"/>
                              </w:rPr>
                              <w:t xml:space="preserve">* Meter/IESSA Data due by </w:t>
                            </w:r>
                            <w:r w:rsidR="00877D7F">
                              <w:rPr>
                                <w:bCs/>
                                <w:sz w:val="20"/>
                              </w:rPr>
                              <w:t>15</w:t>
                            </w:r>
                            <w:r w:rsidRPr="004C38BA">
                              <w:rPr>
                                <w:bCs/>
                                <w:sz w:val="20"/>
                              </w:rPr>
                              <w:t xml:space="preserve">:00 </w:t>
                            </w:r>
                            <w:r>
                              <w:rPr>
                                <w:bCs/>
                                <w:sz w:val="20"/>
                              </w:rPr>
                              <w:t>PPT</w:t>
                            </w:r>
                            <w:r w:rsidRPr="004C38BA">
                              <w:rPr>
                                <w:bCs/>
                                <w:sz w:val="20"/>
                              </w:rPr>
                              <w:t xml:space="preserve"> instead of normal </w:t>
                            </w:r>
                            <w:r w:rsidR="00877D7F">
                              <w:rPr>
                                <w:bCs/>
                                <w:sz w:val="20"/>
                              </w:rPr>
                              <w:t>12:00 PPT</w:t>
                            </w:r>
                            <w:r w:rsidR="00877D7F" w:rsidRPr="004C38BA">
                              <w:rPr>
                                <w:bCs/>
                                <w:sz w:val="20"/>
                              </w:rPr>
                              <w:t xml:space="preserve"> </w:t>
                            </w:r>
                            <w:r w:rsidRPr="004C38BA">
                              <w:rPr>
                                <w:bCs/>
                                <w:sz w:val="20"/>
                              </w:rPr>
                              <w:t>deadline.</w:t>
                            </w:r>
                          </w:p>
                          <w:p w14:paraId="6F05BF46" w14:textId="77777777" w:rsidR="008245CB" w:rsidRPr="004C38BA" w:rsidRDefault="008245CB" w:rsidP="008245CB">
                            <w:pPr>
                              <w:spacing w:after="0"/>
                              <w:rPr>
                                <w:bCs/>
                                <w:sz w:val="20"/>
                              </w:rPr>
                            </w:pPr>
                            <w:r w:rsidRPr="004C38BA">
                              <w:rPr>
                                <w:bCs/>
                                <w:sz w:val="20"/>
                              </w:rPr>
                              <w:t>Initial Settlement Statement (ISS)</w:t>
                            </w:r>
                          </w:p>
                          <w:p w14:paraId="4A87DD8F" w14:textId="77777777" w:rsidR="008245CB" w:rsidRPr="004C38BA" w:rsidRDefault="008245CB" w:rsidP="008245CB">
                            <w:pPr>
                              <w:spacing w:after="0"/>
                              <w:rPr>
                                <w:b/>
                                <w:bCs/>
                                <w:sz w:val="20"/>
                              </w:rPr>
                            </w:pPr>
                            <w:r w:rsidRPr="004C38BA">
                              <w:rPr>
                                <w:b/>
                                <w:bCs/>
                                <w:sz w:val="20"/>
                              </w:rPr>
                              <w:t>S7 (1</w:t>
                            </w:r>
                            <w:r w:rsidRPr="004C38BA">
                              <w:rPr>
                                <w:b/>
                                <w:bCs/>
                                <w:sz w:val="20"/>
                                <w:vertAlign w:val="superscript"/>
                              </w:rPr>
                              <w:t>st</w:t>
                            </w:r>
                            <w:r w:rsidRPr="004C38BA">
                              <w:rPr>
                                <w:b/>
                                <w:bCs/>
                                <w:sz w:val="20"/>
                              </w:rPr>
                              <w:t xml:space="preserve"> Scheduled Settlement Statement) </w:t>
                            </w:r>
                          </w:p>
                          <w:p w14:paraId="594B9DF9" w14:textId="77777777" w:rsidR="008245CB" w:rsidRPr="004C38BA" w:rsidRDefault="008245CB" w:rsidP="008245CB">
                            <w:pPr>
                              <w:spacing w:after="0"/>
                              <w:rPr>
                                <w:b/>
                                <w:bCs/>
                                <w:sz w:val="20"/>
                              </w:rPr>
                            </w:pPr>
                            <w:r w:rsidRPr="004C38BA">
                              <w:rPr>
                                <w:b/>
                                <w:bCs/>
                                <w:sz w:val="20"/>
                              </w:rPr>
                              <w:t>S53 (2</w:t>
                            </w:r>
                            <w:r w:rsidRPr="004C38BA">
                              <w:rPr>
                                <w:b/>
                                <w:bCs/>
                                <w:sz w:val="20"/>
                                <w:vertAlign w:val="superscript"/>
                              </w:rPr>
                              <w:t>nd</w:t>
                            </w:r>
                            <w:r w:rsidRPr="004C38BA">
                              <w:rPr>
                                <w:b/>
                                <w:bCs/>
                                <w:sz w:val="20"/>
                              </w:rPr>
                              <w:t xml:space="preserve"> Scheduled Settlement Statement) </w:t>
                            </w:r>
                          </w:p>
                          <w:p w14:paraId="44F8504B" w14:textId="77777777" w:rsidR="008245CB" w:rsidRPr="004C38BA" w:rsidRDefault="008245CB" w:rsidP="008245CB">
                            <w:pPr>
                              <w:spacing w:after="0"/>
                              <w:rPr>
                                <w:b/>
                                <w:bCs/>
                                <w:sz w:val="20"/>
                              </w:rPr>
                            </w:pPr>
                            <w:r w:rsidRPr="004C38BA">
                              <w:rPr>
                                <w:b/>
                                <w:bCs/>
                                <w:sz w:val="20"/>
                              </w:rPr>
                              <w:t>S120 (3</w:t>
                            </w:r>
                            <w:r w:rsidRPr="004C38BA">
                              <w:rPr>
                                <w:b/>
                                <w:bCs/>
                                <w:sz w:val="20"/>
                                <w:vertAlign w:val="superscript"/>
                              </w:rPr>
                              <w:t>rd</w:t>
                            </w:r>
                            <w:r w:rsidRPr="004C38BA">
                              <w:rPr>
                                <w:b/>
                                <w:bCs/>
                                <w:sz w:val="20"/>
                              </w:rPr>
                              <w:t xml:space="preserve"> Scheduled Settlement Statement)</w:t>
                            </w:r>
                          </w:p>
                          <w:p w14:paraId="052D2A3C" w14:textId="77777777" w:rsidR="008245CB" w:rsidRPr="004C38BA" w:rsidRDefault="008245CB" w:rsidP="00824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24423" id="_x0000_s1029" type="#_x0000_t202" style="position:absolute;left:0;text-align:left;margin-left:0;margin-top:.2pt;width:346.35pt;height:8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">
                <v:textbox>
                  <w:txbxContent>
                    <w:p w14:paraId="4E82C556" w14:textId="57309B9D" w:rsidR="008245CB" w:rsidRPr="004C38BA" w:rsidRDefault="008245CB" w:rsidP="008245CB">
                      <w:pPr>
                        <w:spacing w:after="0"/>
                        <w:rPr>
                          <w:bCs/>
                          <w:sz w:val="20"/>
                        </w:rPr>
                      </w:pPr>
                      <w:r w:rsidRPr="004C38BA">
                        <w:rPr>
                          <w:bCs/>
                          <w:sz w:val="20"/>
                        </w:rPr>
                        <w:t xml:space="preserve">Meter/IESSA Data (MD/IESSA) due by </w:t>
                      </w:r>
                      <w:r w:rsidR="0056499B">
                        <w:rPr>
                          <w:bCs/>
                          <w:sz w:val="20"/>
                        </w:rPr>
                        <w:t xml:space="preserve">12:00 </w:t>
                      </w:r>
                      <w:r>
                        <w:rPr>
                          <w:bCs/>
                          <w:sz w:val="20"/>
                        </w:rPr>
                        <w:t>PPT</w:t>
                      </w:r>
                      <w:r w:rsidRPr="004C38BA">
                        <w:rPr>
                          <w:bCs/>
                          <w:sz w:val="20"/>
                        </w:rPr>
                        <w:t xml:space="preserve"> on days indicated.</w:t>
                      </w:r>
                    </w:p>
                    <w:p w14:paraId="09D943AB" w14:textId="57D495F0" w:rsidR="008245CB" w:rsidRPr="004C38BA" w:rsidRDefault="008245CB" w:rsidP="008245CB">
                      <w:pPr>
                        <w:spacing w:after="0"/>
                        <w:rPr>
                          <w:bCs/>
                          <w:sz w:val="20"/>
                        </w:rPr>
                      </w:pPr>
                      <w:r w:rsidRPr="004C38BA">
                        <w:rPr>
                          <w:bCs/>
                          <w:sz w:val="20"/>
                        </w:rPr>
                        <w:t xml:space="preserve">* Meter/IESSA Data due by </w:t>
                      </w:r>
                      <w:r w:rsidR="00877D7F">
                        <w:rPr>
                          <w:bCs/>
                          <w:sz w:val="20"/>
                        </w:rPr>
                        <w:t>15</w:t>
                      </w:r>
                      <w:r w:rsidRPr="004C38BA">
                        <w:rPr>
                          <w:bCs/>
                          <w:sz w:val="20"/>
                        </w:rPr>
                        <w:t xml:space="preserve">:00 </w:t>
                      </w:r>
                      <w:r>
                        <w:rPr>
                          <w:bCs/>
                          <w:sz w:val="20"/>
                        </w:rPr>
                        <w:t>PPT</w:t>
                      </w:r>
                      <w:r w:rsidRPr="004C38BA">
                        <w:rPr>
                          <w:bCs/>
                          <w:sz w:val="20"/>
                        </w:rPr>
                        <w:t xml:space="preserve"> instead of normal </w:t>
                      </w:r>
                      <w:r w:rsidR="00877D7F">
                        <w:rPr>
                          <w:bCs/>
                          <w:sz w:val="20"/>
                        </w:rPr>
                        <w:t>12:00 PPT</w:t>
                      </w:r>
                      <w:r w:rsidR="00877D7F" w:rsidRPr="004C38BA">
                        <w:rPr>
                          <w:bCs/>
                          <w:sz w:val="20"/>
                        </w:rPr>
                        <w:t xml:space="preserve"> </w:t>
                      </w:r>
                      <w:r w:rsidRPr="004C38BA">
                        <w:rPr>
                          <w:bCs/>
                          <w:sz w:val="20"/>
                        </w:rPr>
                        <w:t>deadline.</w:t>
                      </w:r>
                    </w:p>
                    <w:p w14:paraId="6F05BF46" w14:textId="77777777" w:rsidR="008245CB" w:rsidRPr="004C38BA" w:rsidRDefault="008245CB" w:rsidP="008245CB">
                      <w:pPr>
                        <w:spacing w:after="0"/>
                        <w:rPr>
                          <w:bCs/>
                          <w:sz w:val="20"/>
                        </w:rPr>
                      </w:pPr>
                      <w:r w:rsidRPr="004C38BA">
                        <w:rPr>
                          <w:bCs/>
                          <w:sz w:val="20"/>
                        </w:rPr>
                        <w:t>Initial Settlement Statement (ISS)</w:t>
                      </w:r>
                    </w:p>
                    <w:p w14:paraId="4A87DD8F" w14:textId="77777777" w:rsidR="008245CB" w:rsidRPr="004C38BA" w:rsidRDefault="008245CB" w:rsidP="008245CB">
                      <w:pPr>
                        <w:spacing w:after="0"/>
                        <w:rPr>
                          <w:b/>
                          <w:bCs/>
                          <w:sz w:val="20"/>
                        </w:rPr>
                      </w:pPr>
                      <w:r w:rsidRPr="004C38BA">
                        <w:rPr>
                          <w:b/>
                          <w:bCs/>
                          <w:sz w:val="20"/>
                        </w:rPr>
                        <w:t>S7 (1</w:t>
                      </w:r>
                      <w:r w:rsidRPr="004C38BA">
                        <w:rPr>
                          <w:b/>
                          <w:bCs/>
                          <w:sz w:val="20"/>
                          <w:vertAlign w:val="superscript"/>
                        </w:rPr>
                        <w:t>st</w:t>
                      </w:r>
                      <w:r w:rsidRPr="004C38BA">
                        <w:rPr>
                          <w:b/>
                          <w:bCs/>
                          <w:sz w:val="20"/>
                        </w:rPr>
                        <w:t xml:space="preserve"> Scheduled Settlement Statement) </w:t>
                      </w:r>
                    </w:p>
                    <w:p w14:paraId="594B9DF9" w14:textId="77777777" w:rsidR="008245CB" w:rsidRPr="004C38BA" w:rsidRDefault="008245CB" w:rsidP="008245CB">
                      <w:pPr>
                        <w:spacing w:after="0"/>
                        <w:rPr>
                          <w:b/>
                          <w:bCs/>
                          <w:sz w:val="20"/>
                        </w:rPr>
                      </w:pPr>
                      <w:r w:rsidRPr="004C38BA">
                        <w:rPr>
                          <w:b/>
                          <w:bCs/>
                          <w:sz w:val="20"/>
                        </w:rPr>
                        <w:t>S53 (2</w:t>
                      </w:r>
                      <w:r w:rsidRPr="004C38BA">
                        <w:rPr>
                          <w:b/>
                          <w:bCs/>
                          <w:sz w:val="20"/>
                          <w:vertAlign w:val="superscript"/>
                        </w:rPr>
                        <w:t>nd</w:t>
                      </w:r>
                      <w:r w:rsidRPr="004C38BA">
                        <w:rPr>
                          <w:b/>
                          <w:bCs/>
                          <w:sz w:val="20"/>
                        </w:rPr>
                        <w:t xml:space="preserve"> Scheduled Settlement Statement) </w:t>
                      </w:r>
                    </w:p>
                    <w:p w14:paraId="44F8504B" w14:textId="77777777" w:rsidR="008245CB" w:rsidRPr="004C38BA" w:rsidRDefault="008245CB" w:rsidP="008245CB">
                      <w:pPr>
                        <w:spacing w:after="0"/>
                        <w:rPr>
                          <w:b/>
                          <w:bCs/>
                          <w:sz w:val="20"/>
                        </w:rPr>
                      </w:pPr>
                      <w:r w:rsidRPr="004C38BA">
                        <w:rPr>
                          <w:b/>
                          <w:bCs/>
                          <w:sz w:val="20"/>
                        </w:rPr>
                        <w:t>S120 (3</w:t>
                      </w:r>
                      <w:r w:rsidRPr="004C38BA">
                        <w:rPr>
                          <w:b/>
                          <w:bCs/>
                          <w:sz w:val="20"/>
                          <w:vertAlign w:val="superscript"/>
                        </w:rPr>
                        <w:t>rd</w:t>
                      </w:r>
                      <w:r w:rsidRPr="004C38BA">
                        <w:rPr>
                          <w:b/>
                          <w:bCs/>
                          <w:sz w:val="20"/>
                        </w:rPr>
                        <w:t xml:space="preserve"> Scheduled Settlement Statement)</w:t>
                      </w:r>
                    </w:p>
                    <w:p w14:paraId="052D2A3C" w14:textId="77777777" w:rsidR="008245CB" w:rsidRPr="004C38BA" w:rsidRDefault="008245CB" w:rsidP="008245CB"/>
                  </w:txbxContent>
                </v:textbox>
                <w10:wrap anchorx="margin"/>
              </v:shape>
            </w:pict>
          </mc:Fallback>
        </mc:AlternateContent>
      </w:r>
    </w:p>
    <w:p w14:paraId="769203CD" w14:textId="77777777" w:rsidR="008245CB" w:rsidRPr="00455FB8" w:rsidRDefault="008245CB" w:rsidP="008245CB"/>
    <w:p w14:paraId="5AA8CF00" w14:textId="77777777" w:rsidR="008245CB" w:rsidRPr="00455FB8" w:rsidRDefault="008245CB" w:rsidP="008245CB">
      <w:pPr>
        <w:spacing w:after="0"/>
        <w:rPr>
          <w:bCs/>
          <w:sz w:val="20"/>
        </w:rPr>
      </w:pPr>
    </w:p>
    <w:p w14:paraId="191A12D6" w14:textId="77777777" w:rsidR="008245CB" w:rsidRPr="00455FB8" w:rsidRDefault="008245CB" w:rsidP="008245CB">
      <w:pPr>
        <w:spacing w:after="0"/>
        <w:rPr>
          <w:bCs/>
          <w:sz w:val="20"/>
        </w:rPr>
      </w:pPr>
    </w:p>
    <w:p w14:paraId="18515B6F" w14:textId="77777777" w:rsidR="008245CB" w:rsidRPr="00455FB8" w:rsidRDefault="008245CB" w:rsidP="008245CB">
      <w:pPr>
        <w:spacing w:after="0"/>
        <w:rPr>
          <w:bCs/>
          <w:sz w:val="20"/>
        </w:rPr>
      </w:pPr>
    </w:p>
    <w:p w14:paraId="042D73F0" w14:textId="77777777" w:rsidR="008245CB" w:rsidRPr="000B3E17" w:rsidRDefault="008245CB" w:rsidP="008245CB">
      <w:bookmarkStart w:id="6591" w:name="_Toc237838916"/>
      <w:bookmarkStart w:id="6592" w:name="_Toc258924950"/>
      <w:bookmarkStart w:id="6593" w:name="_Toc263173393"/>
      <w:bookmarkStart w:id="6594" w:name="_Toc263173634"/>
      <w:bookmarkStart w:id="6595" w:name="_Toc263173820"/>
      <w:bookmarkStart w:id="6596" w:name="_Toc263174221"/>
      <w:bookmarkStart w:id="6597" w:name="_Toc263235120"/>
      <w:bookmarkStart w:id="6598" w:name="_Toc263235764"/>
      <w:bookmarkStart w:id="6599" w:name="_Toc263429507"/>
      <w:bookmarkStart w:id="6600" w:name="_Toc263795546"/>
      <w:bookmarkStart w:id="6601" w:name="_Toc266869730"/>
      <w:bookmarkStart w:id="6602" w:name="_Ref270499104"/>
      <w:bookmarkStart w:id="6603" w:name="_Toc159233298"/>
    </w:p>
    <w:p w14:paraId="5EC58405" w14:textId="040FB53A" w:rsidR="008245CB" w:rsidRPr="000B3E17" w:rsidRDefault="008245CB" w:rsidP="00CB5653">
      <w:pPr>
        <w:pStyle w:val="Heading3"/>
      </w:pPr>
      <w:bookmarkStart w:id="6604" w:name="_Ref212620208"/>
      <w:bookmarkStart w:id="6605" w:name="_Toc213771926"/>
      <w:r w:rsidRPr="000B3E17">
        <w:t>Settlement Invoice</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p w14:paraId="5A6698BE" w14:textId="77777777" w:rsidR="008245CB" w:rsidRPr="00455FB8" w:rsidRDefault="008245CB" w:rsidP="008245CB">
      <w:pPr>
        <w:spacing w:line="300" w:lineRule="auto"/>
        <w:rPr>
          <w:szCs w:val="24"/>
        </w:rPr>
      </w:pPr>
      <w:r>
        <w:rPr>
          <w:szCs w:val="24"/>
        </w:rPr>
        <w:t>The Market Operator</w:t>
      </w:r>
      <w:r w:rsidRPr="00455FB8">
        <w:rPr>
          <w:szCs w:val="24"/>
        </w:rPr>
        <w:t xml:space="preserve"> prepares weekly Settlement Invoices from Settlement Statements.  Settlement Invoices will be prepared on a net basis, with payments made to or from </w:t>
      </w:r>
      <w:r>
        <w:rPr>
          <w:szCs w:val="24"/>
        </w:rPr>
        <w:t>the Market Operator</w:t>
      </w:r>
      <w:r w:rsidRPr="00455FB8">
        <w:rPr>
          <w:szCs w:val="24"/>
        </w:rPr>
        <w:t>.</w:t>
      </w:r>
    </w:p>
    <w:p w14:paraId="2CFEA490" w14:textId="6689FE65" w:rsidR="008245CB" w:rsidRPr="00455FB8" w:rsidRDefault="008245CB" w:rsidP="008245CB">
      <w:pPr>
        <w:spacing w:line="300" w:lineRule="auto"/>
        <w:rPr>
          <w:szCs w:val="24"/>
        </w:rPr>
      </w:pPr>
      <w:r w:rsidRPr="00455FB8">
        <w:rPr>
          <w:szCs w:val="24"/>
        </w:rPr>
        <w:t>Invoices will be posted on the Portal by 06:</w:t>
      </w:r>
      <w:r w:rsidRPr="00884FB9">
        <w:rPr>
          <w:szCs w:val="24"/>
        </w:rPr>
        <w:t>00 PPT</w:t>
      </w:r>
      <w:r w:rsidRPr="000B3E17">
        <w:rPr>
          <w:szCs w:val="24"/>
        </w:rPr>
        <w:t>.</w:t>
      </w:r>
      <w:r w:rsidRPr="00455FB8">
        <w:rPr>
          <w:szCs w:val="24"/>
        </w:rPr>
        <w:t xml:space="preserve">  The Market Participant is responsible for accessing the Settlement Invoice information via the Portal once posted by </w:t>
      </w:r>
      <w:r>
        <w:rPr>
          <w:szCs w:val="24"/>
        </w:rPr>
        <w:t>the Market Operator</w:t>
      </w:r>
      <w:r w:rsidRPr="00455FB8">
        <w:rPr>
          <w:szCs w:val="24"/>
        </w:rPr>
        <w:t>.</w:t>
      </w:r>
    </w:p>
    <w:p w14:paraId="3FFC0599" w14:textId="503DE451" w:rsidR="008245CB" w:rsidRPr="00455FB8" w:rsidRDefault="008245CB" w:rsidP="008245CB">
      <w:pPr>
        <w:spacing w:line="300" w:lineRule="auto"/>
        <w:rPr>
          <w:szCs w:val="24"/>
        </w:rPr>
      </w:pPr>
      <w:r w:rsidRPr="00455FB8">
        <w:rPr>
          <w:szCs w:val="24"/>
        </w:rPr>
        <w:t>Each Market Participant with a net debit balance will pay any net debit whether or not there is any settlement and billing dispute regarding the amount.  Each Market Participant with a net credit balance will receive the balance shown on the Settlement Invoice, adjusted for balances not collected from Market Participants with net debit balances</w:t>
      </w:r>
      <w:r>
        <w:rPr>
          <w:szCs w:val="24"/>
        </w:rPr>
        <w:t xml:space="preserve">. </w:t>
      </w:r>
    </w:p>
    <w:p w14:paraId="426F9DE4" w14:textId="6DCCC705" w:rsidR="008245CB" w:rsidRPr="000B3E17" w:rsidRDefault="008245CB" w:rsidP="00574EDE">
      <w:pPr>
        <w:pStyle w:val="Heading4"/>
      </w:pPr>
      <w:bookmarkStart w:id="6606" w:name="_Toc81053210"/>
      <w:bookmarkStart w:id="6607" w:name="_Toc237838917"/>
      <w:bookmarkStart w:id="6608" w:name="_Toc258924951"/>
      <w:bookmarkStart w:id="6609" w:name="_Toc263173394"/>
      <w:bookmarkStart w:id="6610" w:name="_Toc263174222"/>
      <w:bookmarkStart w:id="6611" w:name="_Toc263235121"/>
      <w:bookmarkStart w:id="6612" w:name="_Toc263235765"/>
      <w:bookmarkStart w:id="6613" w:name="_Toc263429508"/>
      <w:bookmarkStart w:id="6614" w:name="_Toc263795547"/>
      <w:bookmarkStart w:id="6615" w:name="_Toc266869731"/>
      <w:bookmarkStart w:id="6616" w:name="_Toc159233299"/>
      <w:bookmarkStart w:id="6617" w:name="_Toc213771927"/>
      <w:r w:rsidRPr="000B3E17">
        <w:t>Timing and Content of Invoice</w:t>
      </w:r>
      <w:bookmarkEnd w:id="6606"/>
      <w:bookmarkEnd w:id="6607"/>
      <w:bookmarkEnd w:id="6608"/>
      <w:bookmarkEnd w:id="6609"/>
      <w:bookmarkEnd w:id="6610"/>
      <w:bookmarkEnd w:id="6611"/>
      <w:bookmarkEnd w:id="6612"/>
      <w:bookmarkEnd w:id="6613"/>
      <w:bookmarkEnd w:id="6614"/>
      <w:bookmarkEnd w:id="6615"/>
      <w:bookmarkEnd w:id="6616"/>
      <w:bookmarkEnd w:id="6617"/>
    </w:p>
    <w:p w14:paraId="4F090F77" w14:textId="77777777" w:rsidR="008245CB" w:rsidRPr="00455FB8" w:rsidRDefault="008245CB" w:rsidP="008245CB">
      <w:pPr>
        <w:spacing w:line="300" w:lineRule="auto"/>
        <w:rPr>
          <w:szCs w:val="24"/>
        </w:rPr>
      </w:pPr>
      <w:r>
        <w:rPr>
          <w:szCs w:val="24"/>
        </w:rPr>
        <w:t>The Market Operator</w:t>
      </w:r>
      <w:r w:rsidRPr="00455FB8">
        <w:rPr>
          <w:szCs w:val="24"/>
        </w:rPr>
        <w:t xml:space="preserve"> will electronically post for each Market Participant an invoice based on any Scheduled Settlement Statements or Resettlement Statements produced since the prior Settlement Invoice.  </w:t>
      </w:r>
      <w:r>
        <w:rPr>
          <w:szCs w:val="24"/>
        </w:rPr>
        <w:t>The Market Operator</w:t>
      </w:r>
      <w:r w:rsidRPr="00455FB8">
        <w:rPr>
          <w:szCs w:val="24"/>
        </w:rPr>
        <w:t xml:space="preserve"> will post the Settlement Invoices in accordance with the Settlement Calendar</w:t>
      </w:r>
      <w:r>
        <w:rPr>
          <w:szCs w:val="24"/>
        </w:rPr>
        <w:t>, which is available on SPP.org</w:t>
      </w:r>
      <w:r w:rsidRPr="00455FB8">
        <w:rPr>
          <w:szCs w:val="24"/>
        </w:rPr>
        <w:t xml:space="preserve">.  The Market Participant is responsible for accessing the information from the Portal once posted by </w:t>
      </w:r>
      <w:r>
        <w:rPr>
          <w:szCs w:val="24"/>
        </w:rPr>
        <w:t>the Market Operator</w:t>
      </w:r>
      <w:r w:rsidRPr="00455FB8">
        <w:rPr>
          <w:szCs w:val="24"/>
        </w:rPr>
        <w:t xml:space="preserve">. </w:t>
      </w:r>
    </w:p>
    <w:p w14:paraId="29A327B1" w14:textId="046F0098" w:rsidR="008245CB" w:rsidRPr="00455FB8" w:rsidRDefault="008245CB" w:rsidP="008245CB">
      <w:pPr>
        <w:spacing w:line="300" w:lineRule="auto"/>
        <w:rPr>
          <w:szCs w:val="24"/>
        </w:rPr>
      </w:pPr>
      <w:r w:rsidRPr="00455FB8">
        <w:rPr>
          <w:szCs w:val="24"/>
        </w:rPr>
        <w:t xml:space="preserve">Invoices will be issued on a weekly basis as defined in </w:t>
      </w:r>
      <w:r>
        <w:rPr>
          <w:szCs w:val="24"/>
        </w:rPr>
        <w:t>Settlement</w:t>
      </w:r>
      <w:r w:rsidRPr="00455FB8">
        <w:rPr>
          <w:szCs w:val="24"/>
        </w:rPr>
        <w:t xml:space="preserve"> </w:t>
      </w:r>
      <w:r w:rsidRPr="000B3E17">
        <w:rPr>
          <w:szCs w:val="24"/>
        </w:rPr>
        <w:t>Calendars</w:t>
      </w:r>
      <w:r w:rsidRPr="00455FB8">
        <w:rPr>
          <w:szCs w:val="24"/>
        </w:rPr>
        <w:t xml:space="preserve"> described </w:t>
      </w:r>
      <w:r w:rsidRPr="00245F8D">
        <w:rPr>
          <w:szCs w:val="24"/>
        </w:rPr>
        <w:t xml:space="preserve">in </w:t>
      </w:r>
      <w:r w:rsidRPr="00FE7AA5">
        <w:rPr>
          <w:szCs w:val="24"/>
        </w:rPr>
        <w:t>Section</w:t>
      </w:r>
      <w:r w:rsidRPr="00455FB8">
        <w:rPr>
          <w:szCs w:val="24"/>
        </w:rPr>
        <w:t xml:space="preserve"> </w:t>
      </w:r>
      <w:r w:rsidR="00245F8D">
        <w:rPr>
          <w:szCs w:val="24"/>
        </w:rPr>
        <w:fldChar w:fldCharType="begin"/>
      </w:r>
      <w:r w:rsidR="00245F8D">
        <w:rPr>
          <w:szCs w:val="24"/>
        </w:rPr>
        <w:instrText xml:space="preserve"> REF _Ref212559586 \r \h </w:instrText>
      </w:r>
      <w:r w:rsidR="00245F8D">
        <w:rPr>
          <w:szCs w:val="24"/>
        </w:rPr>
      </w:r>
      <w:r w:rsidR="00245F8D">
        <w:rPr>
          <w:szCs w:val="24"/>
        </w:rPr>
        <w:fldChar w:fldCharType="separate"/>
      </w:r>
      <w:r w:rsidR="00245F8D">
        <w:rPr>
          <w:szCs w:val="24"/>
        </w:rPr>
        <w:t>4.5.13.8</w:t>
      </w:r>
      <w:r w:rsidR="00245F8D">
        <w:rPr>
          <w:szCs w:val="24"/>
        </w:rPr>
        <w:fldChar w:fldCharType="end"/>
      </w:r>
      <w:r w:rsidRPr="000B3E17">
        <w:rPr>
          <w:szCs w:val="24"/>
        </w:rPr>
        <w:fldChar w:fldCharType="begin"/>
      </w:r>
      <w:r w:rsidRPr="000B3E17">
        <w:rPr>
          <w:szCs w:val="24"/>
        </w:rPr>
        <w:instrText xml:space="preserve"> REF _Ref255196803 \r \h </w:instrText>
      </w:r>
      <w:r>
        <w:rPr>
          <w:szCs w:val="24"/>
        </w:rPr>
        <w:instrText xml:space="preserve"> \* MERGEFORMAT </w:instrText>
      </w:r>
      <w:r w:rsidRPr="000B3E17">
        <w:rPr>
          <w:szCs w:val="24"/>
        </w:rPr>
      </w:r>
      <w:r w:rsidRPr="000B3E17">
        <w:rPr>
          <w:szCs w:val="24"/>
        </w:rPr>
        <w:fldChar w:fldCharType="separate"/>
      </w:r>
      <w:r w:rsidRPr="000B3E17">
        <w:rPr>
          <w:szCs w:val="24"/>
        </w:rPr>
        <w:fldChar w:fldCharType="end"/>
      </w:r>
      <w:r w:rsidRPr="000B3E17">
        <w:rPr>
          <w:szCs w:val="24"/>
        </w:rPr>
        <w:t>.</w:t>
      </w:r>
      <w:r w:rsidRPr="00455FB8" w:rsidDel="005E3E37">
        <w:rPr>
          <w:szCs w:val="24"/>
        </w:rPr>
        <w:t xml:space="preserve">  </w:t>
      </w:r>
      <w:r w:rsidRPr="00455FB8">
        <w:rPr>
          <w:szCs w:val="24"/>
        </w:rPr>
        <w:t>Invoice items will be grouped by type of statement (S7, S53, and S120 Scheduled Settlements and Resettlements) and will be sorted by Operating Day within each category.  Each Settlement Invoice will contain:</w:t>
      </w:r>
    </w:p>
    <w:p w14:paraId="73367482" w14:textId="2F5CE4EF" w:rsidR="008245CB" w:rsidRPr="00455FB8" w:rsidRDefault="008245CB" w:rsidP="00DA3CE7">
      <w:pPr>
        <w:numPr>
          <w:ilvl w:val="0"/>
          <w:numId w:val="198"/>
        </w:numPr>
        <w:spacing w:before="120" w:line="300" w:lineRule="auto"/>
        <w:ind w:hanging="540"/>
        <w:rPr>
          <w:szCs w:val="24"/>
        </w:rPr>
      </w:pPr>
      <w:r w:rsidRPr="00455FB8">
        <w:rPr>
          <w:szCs w:val="24"/>
        </w:rPr>
        <w:t>Market Participant ID – the name, address</w:t>
      </w:r>
      <w:r w:rsidR="00417706">
        <w:rPr>
          <w:szCs w:val="24"/>
        </w:rPr>
        <w:t>,</w:t>
      </w:r>
      <w:r w:rsidRPr="00455FB8">
        <w:rPr>
          <w:szCs w:val="24"/>
        </w:rPr>
        <w:t xml:space="preserve"> and contact information for the Market Participant being invoiced;</w:t>
      </w:r>
    </w:p>
    <w:p w14:paraId="0B209CCF" w14:textId="77777777" w:rsidR="008245CB" w:rsidRPr="00455FB8" w:rsidRDefault="008245CB" w:rsidP="00DA3CE7">
      <w:pPr>
        <w:numPr>
          <w:ilvl w:val="0"/>
          <w:numId w:val="198"/>
        </w:numPr>
        <w:spacing w:before="120" w:line="300" w:lineRule="auto"/>
        <w:ind w:hanging="540"/>
        <w:rPr>
          <w:szCs w:val="24"/>
        </w:rPr>
      </w:pPr>
      <w:r w:rsidRPr="00455FB8">
        <w:rPr>
          <w:szCs w:val="24"/>
        </w:rPr>
        <w:t>Net Amount Due/Payable – the aggregate summary of all charges owed to or due by a Market Participant;</w:t>
      </w:r>
    </w:p>
    <w:p w14:paraId="7D2C7528" w14:textId="31767C0B" w:rsidR="008245CB" w:rsidRPr="00455FB8" w:rsidRDefault="008245CB" w:rsidP="00DA3CE7">
      <w:pPr>
        <w:numPr>
          <w:ilvl w:val="0"/>
          <w:numId w:val="198"/>
        </w:numPr>
        <w:spacing w:before="120" w:line="300" w:lineRule="auto"/>
        <w:ind w:hanging="540"/>
        <w:rPr>
          <w:szCs w:val="24"/>
        </w:rPr>
      </w:pPr>
      <w:r w:rsidRPr="00455FB8">
        <w:rPr>
          <w:szCs w:val="24"/>
        </w:rPr>
        <w:t xml:space="preserve">Amount Due/Payable by Asset Owner, Operating Date and Settlement Date — the aggregate of charges </w:t>
      </w:r>
      <w:r w:rsidR="00BD250A">
        <w:rPr>
          <w:szCs w:val="24"/>
        </w:rPr>
        <w:t>for</w:t>
      </w:r>
      <w:r w:rsidRPr="00455FB8">
        <w:rPr>
          <w:szCs w:val="24"/>
        </w:rPr>
        <w:t xml:space="preserve"> an Asset Owner, listed by Operating Day which will be identified by calendar date;</w:t>
      </w:r>
    </w:p>
    <w:p w14:paraId="2D977612" w14:textId="77777777" w:rsidR="008245CB" w:rsidRPr="00455FB8" w:rsidRDefault="008245CB" w:rsidP="00DA3CE7">
      <w:pPr>
        <w:numPr>
          <w:ilvl w:val="0"/>
          <w:numId w:val="198"/>
        </w:numPr>
        <w:spacing w:before="120" w:line="300" w:lineRule="auto"/>
        <w:ind w:hanging="540"/>
        <w:rPr>
          <w:szCs w:val="24"/>
        </w:rPr>
      </w:pPr>
      <w:r w:rsidRPr="00455FB8">
        <w:rPr>
          <w:szCs w:val="24"/>
        </w:rPr>
        <w:t>Time Periods – the time period covered for each Settlement Statement run date identified by a range of calendar dates;</w:t>
      </w:r>
    </w:p>
    <w:p w14:paraId="269951CE" w14:textId="77777777" w:rsidR="008245CB" w:rsidRPr="00455FB8" w:rsidRDefault="008245CB" w:rsidP="00DA3CE7">
      <w:pPr>
        <w:numPr>
          <w:ilvl w:val="0"/>
          <w:numId w:val="198"/>
        </w:numPr>
        <w:spacing w:before="120" w:line="300" w:lineRule="auto"/>
        <w:ind w:hanging="540"/>
        <w:rPr>
          <w:szCs w:val="24"/>
        </w:rPr>
      </w:pPr>
      <w:r>
        <w:rPr>
          <w:szCs w:val="24"/>
        </w:rPr>
        <w:t>Invoice</w:t>
      </w:r>
      <w:r w:rsidRPr="00455FB8">
        <w:rPr>
          <w:szCs w:val="24"/>
        </w:rPr>
        <w:t xml:space="preserve"> Date – the </w:t>
      </w:r>
      <w:r>
        <w:rPr>
          <w:szCs w:val="24"/>
        </w:rPr>
        <w:t>effective date of invoice posting;</w:t>
      </w:r>
    </w:p>
    <w:p w14:paraId="62E40754" w14:textId="77777777" w:rsidR="008245CB" w:rsidRPr="00455FB8" w:rsidRDefault="008245CB" w:rsidP="00DA3CE7">
      <w:pPr>
        <w:numPr>
          <w:ilvl w:val="0"/>
          <w:numId w:val="198"/>
        </w:numPr>
        <w:spacing w:before="120" w:line="300" w:lineRule="auto"/>
        <w:ind w:hanging="540"/>
        <w:rPr>
          <w:szCs w:val="24"/>
        </w:rPr>
      </w:pPr>
      <w:r w:rsidRPr="00455FB8">
        <w:rPr>
          <w:szCs w:val="24"/>
        </w:rPr>
        <w:t>Invoice Reference Number – a unique number generated by SPP applications for payment tracking purposes;</w:t>
      </w:r>
    </w:p>
    <w:p w14:paraId="60FA03E5" w14:textId="77777777" w:rsidR="008245CB" w:rsidRPr="00455FB8" w:rsidRDefault="008245CB" w:rsidP="00DA3CE7">
      <w:pPr>
        <w:numPr>
          <w:ilvl w:val="0"/>
          <w:numId w:val="198"/>
        </w:numPr>
        <w:spacing w:before="120" w:line="300" w:lineRule="auto"/>
        <w:ind w:hanging="540"/>
        <w:rPr>
          <w:szCs w:val="24"/>
        </w:rPr>
      </w:pPr>
      <w:r w:rsidRPr="00455FB8">
        <w:rPr>
          <w:szCs w:val="24"/>
        </w:rPr>
        <w:t>Settlement Statement ID– an identification code used to reference each Settlement Statement invoiced;</w:t>
      </w:r>
    </w:p>
    <w:p w14:paraId="727454FC" w14:textId="77777777" w:rsidR="008245CB" w:rsidRPr="00455FB8" w:rsidRDefault="008245CB" w:rsidP="00DA3CE7">
      <w:pPr>
        <w:numPr>
          <w:ilvl w:val="0"/>
          <w:numId w:val="198"/>
        </w:numPr>
        <w:spacing w:before="120" w:line="300" w:lineRule="auto"/>
        <w:ind w:hanging="540"/>
        <w:rPr>
          <w:szCs w:val="24"/>
        </w:rPr>
      </w:pPr>
      <w:r w:rsidRPr="00455FB8">
        <w:rPr>
          <w:szCs w:val="24"/>
        </w:rPr>
        <w:t>Payment Date and Time – the date and time that invoice amounts are to be paid or received;</w:t>
      </w:r>
    </w:p>
    <w:p w14:paraId="73ED3DDB" w14:textId="7D023688" w:rsidR="008245CB" w:rsidRPr="00F57781" w:rsidRDefault="008245CB" w:rsidP="00DA3CE7">
      <w:pPr>
        <w:numPr>
          <w:ilvl w:val="0"/>
          <w:numId w:val="198"/>
        </w:numPr>
        <w:spacing w:before="120" w:line="300" w:lineRule="auto"/>
        <w:ind w:hanging="540"/>
        <w:rPr>
          <w:szCs w:val="24"/>
        </w:rPr>
      </w:pPr>
      <w:r w:rsidRPr="00F57781">
        <w:rPr>
          <w:szCs w:val="24"/>
        </w:rPr>
        <w:t>Re</w:t>
      </w:r>
      <w:r w:rsidRPr="00455FB8">
        <w:rPr>
          <w:szCs w:val="24"/>
        </w:rPr>
        <w:t xml:space="preserve">mittance Information Details – details including the account number, bank name, and electronic transfer instructions of the </w:t>
      </w:r>
      <w:r>
        <w:rPr>
          <w:szCs w:val="24"/>
        </w:rPr>
        <w:t>Market Operator</w:t>
      </w:r>
      <w:r w:rsidRPr="00455FB8">
        <w:rPr>
          <w:szCs w:val="24"/>
        </w:rPr>
        <w:t xml:space="preserve"> account to which any amounts owed by the Invoice Recipient are to be paid</w:t>
      </w:r>
      <w:r w:rsidRPr="000B3E17">
        <w:rPr>
          <w:szCs w:val="24"/>
        </w:rPr>
        <w:t>.</w:t>
      </w:r>
    </w:p>
    <w:p w14:paraId="6F6AF391" w14:textId="0F9C5FC1" w:rsidR="008245CB" w:rsidRPr="000B3E17" w:rsidRDefault="008245CB" w:rsidP="00574EDE">
      <w:pPr>
        <w:pStyle w:val="Heading4"/>
      </w:pPr>
      <w:bookmarkStart w:id="6618" w:name="_Toc237838918"/>
      <w:bookmarkStart w:id="6619" w:name="_Ref251076447"/>
      <w:bookmarkStart w:id="6620" w:name="_Ref255196803"/>
      <w:bookmarkStart w:id="6621" w:name="_Toc258924952"/>
      <w:bookmarkStart w:id="6622" w:name="_Toc263173395"/>
      <w:bookmarkStart w:id="6623" w:name="_Toc263174223"/>
      <w:bookmarkStart w:id="6624" w:name="_Toc263235122"/>
      <w:bookmarkStart w:id="6625" w:name="_Toc263235766"/>
      <w:bookmarkStart w:id="6626" w:name="_Toc263429509"/>
      <w:bookmarkStart w:id="6627" w:name="_Toc263795548"/>
      <w:bookmarkStart w:id="6628" w:name="_Toc266869732"/>
      <w:bookmarkStart w:id="6629" w:name="_Toc159233300"/>
      <w:bookmarkStart w:id="6630" w:name="_Toc213771928"/>
      <w:r w:rsidRPr="000B3E17" w:rsidDel="00F616DB">
        <w:t xml:space="preserve">Invoice </w:t>
      </w:r>
      <w:r w:rsidRPr="000B3E17">
        <w:t>Calendar</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14:paraId="750EE900" w14:textId="77777777" w:rsidR="008245CB" w:rsidRPr="00455FB8" w:rsidRDefault="008245CB" w:rsidP="008245CB">
      <w:pPr>
        <w:spacing w:line="300" w:lineRule="auto"/>
        <w:rPr>
          <w:szCs w:val="24"/>
        </w:rPr>
      </w:pPr>
      <w:r w:rsidRPr="00455FB8">
        <w:rPr>
          <w:szCs w:val="24"/>
        </w:rPr>
        <w:t>Weekly invoices will</w:t>
      </w:r>
      <w:r>
        <w:rPr>
          <w:szCs w:val="24"/>
        </w:rPr>
        <w:t xml:space="preserve"> generally</w:t>
      </w:r>
      <w:r w:rsidRPr="00455FB8">
        <w:rPr>
          <w:szCs w:val="24"/>
        </w:rPr>
        <w:t xml:space="preserve"> be distributed every Thursday by no later than 06:00 PPT</w:t>
      </w:r>
      <w:r>
        <w:rPr>
          <w:szCs w:val="24"/>
        </w:rPr>
        <w:t>, accounting for holidays as described on the Settlements Calendar</w:t>
      </w:r>
      <w:r w:rsidRPr="000B3E17">
        <w:rPr>
          <w:szCs w:val="24"/>
        </w:rPr>
        <w:t>.</w:t>
      </w:r>
      <w:r w:rsidRPr="00455FB8">
        <w:rPr>
          <w:szCs w:val="24"/>
        </w:rPr>
        <w:t xml:space="preserve">  Weekly invoices will include the seven (7) daily Settlement Statements (Scheduled Settlements and any Resettlements) produced for the previous Wednesday through Tuesday cycle.  Market Participant balances owed to </w:t>
      </w:r>
      <w:r>
        <w:rPr>
          <w:szCs w:val="24"/>
        </w:rPr>
        <w:t>the Market Operator</w:t>
      </w:r>
      <w:r w:rsidRPr="00455FB8">
        <w:rPr>
          <w:szCs w:val="24"/>
        </w:rPr>
        <w:t xml:space="preserve"> are due by 15</w:t>
      </w:r>
      <w:r>
        <w:rPr>
          <w:szCs w:val="24"/>
        </w:rPr>
        <w:t>:</w:t>
      </w:r>
      <w:r w:rsidRPr="00455FB8">
        <w:rPr>
          <w:szCs w:val="24"/>
        </w:rPr>
        <w:t xml:space="preserve">00 PPT </w:t>
      </w:r>
      <w:r>
        <w:rPr>
          <w:szCs w:val="24"/>
        </w:rPr>
        <w:t xml:space="preserve">on the fourth Business Day following the day the invoice was issued. </w:t>
      </w:r>
      <w:r w:rsidRPr="000B3E17">
        <w:rPr>
          <w:szCs w:val="24"/>
        </w:rPr>
        <w:t>Balances owed</w:t>
      </w:r>
      <w:r w:rsidRPr="00455FB8">
        <w:rPr>
          <w:szCs w:val="24"/>
        </w:rPr>
        <w:t xml:space="preserve"> to Market Participants will be paid on the </w:t>
      </w:r>
      <w:r>
        <w:rPr>
          <w:szCs w:val="24"/>
        </w:rPr>
        <w:t xml:space="preserve">on the sixth Business Day following the day the invoice was issued.  </w:t>
      </w:r>
    </w:p>
    <w:p w14:paraId="580D916C" w14:textId="10E6ECE1" w:rsidR="008245CB" w:rsidRPr="000B3E17" w:rsidRDefault="008245CB" w:rsidP="00CB5653">
      <w:pPr>
        <w:pStyle w:val="Heading3"/>
      </w:pPr>
      <w:bookmarkStart w:id="6631" w:name="_Toc81053211"/>
      <w:bookmarkStart w:id="6632" w:name="_Toc237838920"/>
      <w:bookmarkStart w:id="6633" w:name="_Toc258924954"/>
      <w:bookmarkStart w:id="6634" w:name="_Ref259088615"/>
      <w:bookmarkStart w:id="6635" w:name="_Toc263173397"/>
      <w:bookmarkStart w:id="6636" w:name="_Toc263173635"/>
      <w:bookmarkStart w:id="6637" w:name="_Toc263173821"/>
      <w:bookmarkStart w:id="6638" w:name="_Toc263174225"/>
      <w:bookmarkStart w:id="6639" w:name="_Toc263235124"/>
      <w:bookmarkStart w:id="6640" w:name="_Toc263235768"/>
      <w:bookmarkStart w:id="6641" w:name="_Toc263429511"/>
      <w:bookmarkStart w:id="6642" w:name="_Toc263795550"/>
      <w:bookmarkStart w:id="6643" w:name="_Toc266869734"/>
      <w:bookmarkStart w:id="6644" w:name="_Ref271014460"/>
      <w:bookmarkStart w:id="6645" w:name="_Ref21591534"/>
      <w:bookmarkStart w:id="6646" w:name="_Ref31014591"/>
      <w:bookmarkStart w:id="6647" w:name="_Toc159233302"/>
      <w:bookmarkStart w:id="6648" w:name="_Ref212549760"/>
      <w:bookmarkStart w:id="6649" w:name="_Ref212550132"/>
      <w:bookmarkStart w:id="6650" w:name="_Ref212559292"/>
      <w:bookmarkStart w:id="6651" w:name="_Toc213771929"/>
      <w:r w:rsidRPr="000B3E17">
        <w:t>Disputes</w:t>
      </w:r>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p>
    <w:p w14:paraId="1B90AFC8" w14:textId="77777777" w:rsidR="008245CB" w:rsidRPr="00455FB8" w:rsidRDefault="008245CB" w:rsidP="008245CB">
      <w:pPr>
        <w:spacing w:line="300" w:lineRule="auto"/>
      </w:pPr>
      <w:r w:rsidRPr="00455FB8">
        <w:t>A Market Participant may dispute items set forth in any Settlement Statement.  The dispute must be filed using the Request Management System with the following minimum content:</w:t>
      </w:r>
    </w:p>
    <w:p w14:paraId="18B45371" w14:textId="77777777" w:rsidR="008245CB" w:rsidRPr="00455FB8" w:rsidRDefault="008245CB" w:rsidP="00DA3CE7">
      <w:pPr>
        <w:numPr>
          <w:ilvl w:val="0"/>
          <w:numId w:val="211"/>
        </w:numPr>
        <w:tabs>
          <w:tab w:val="num" w:pos="3240"/>
        </w:tabs>
        <w:spacing w:line="300" w:lineRule="auto"/>
        <w:ind w:hanging="540"/>
      </w:pPr>
      <w:r w:rsidRPr="00455FB8">
        <w:t>Request Type;</w:t>
      </w:r>
    </w:p>
    <w:p w14:paraId="58F1C9FA" w14:textId="77777777" w:rsidR="008245CB" w:rsidRPr="00455FB8" w:rsidRDefault="008245CB" w:rsidP="00DA3CE7">
      <w:pPr>
        <w:numPr>
          <w:ilvl w:val="0"/>
          <w:numId w:val="211"/>
        </w:numPr>
        <w:tabs>
          <w:tab w:val="num" w:pos="3240"/>
        </w:tabs>
        <w:spacing w:line="300" w:lineRule="auto"/>
        <w:ind w:hanging="540"/>
      </w:pPr>
      <w:r w:rsidRPr="00455FB8">
        <w:t>Subject;</w:t>
      </w:r>
    </w:p>
    <w:p w14:paraId="4EDE50F0" w14:textId="77777777" w:rsidR="008245CB" w:rsidRPr="00455FB8" w:rsidRDefault="008245CB" w:rsidP="00DA3CE7">
      <w:pPr>
        <w:numPr>
          <w:ilvl w:val="0"/>
          <w:numId w:val="211"/>
        </w:numPr>
        <w:tabs>
          <w:tab w:val="num" w:pos="3240"/>
        </w:tabs>
        <w:spacing w:line="300" w:lineRule="auto"/>
        <w:ind w:hanging="540"/>
      </w:pPr>
      <w:r w:rsidRPr="00455FB8">
        <w:t>Full Description;</w:t>
      </w:r>
    </w:p>
    <w:p w14:paraId="41D3EE37" w14:textId="77777777" w:rsidR="008245CB" w:rsidRPr="00455FB8" w:rsidRDefault="008245CB" w:rsidP="00DA3CE7">
      <w:pPr>
        <w:numPr>
          <w:ilvl w:val="0"/>
          <w:numId w:val="211"/>
        </w:numPr>
        <w:tabs>
          <w:tab w:val="num" w:pos="3240"/>
        </w:tabs>
        <w:spacing w:line="300" w:lineRule="auto"/>
        <w:ind w:hanging="540"/>
      </w:pPr>
      <w:r w:rsidRPr="00455FB8">
        <w:t>Statement Type;</w:t>
      </w:r>
    </w:p>
    <w:p w14:paraId="7A668473" w14:textId="77777777" w:rsidR="008245CB" w:rsidRPr="00455FB8" w:rsidRDefault="008245CB" w:rsidP="00DA3CE7">
      <w:pPr>
        <w:numPr>
          <w:ilvl w:val="0"/>
          <w:numId w:val="211"/>
        </w:numPr>
        <w:tabs>
          <w:tab w:val="num" w:pos="3240"/>
        </w:tabs>
        <w:spacing w:line="300" w:lineRule="auto"/>
        <w:ind w:hanging="540"/>
      </w:pPr>
      <w:r w:rsidRPr="00455FB8">
        <w:t>Charge Type;</w:t>
      </w:r>
    </w:p>
    <w:p w14:paraId="49F43320" w14:textId="77777777" w:rsidR="008245CB" w:rsidRPr="00455FB8" w:rsidRDefault="008245CB" w:rsidP="00DA3CE7">
      <w:pPr>
        <w:numPr>
          <w:ilvl w:val="0"/>
          <w:numId w:val="211"/>
        </w:numPr>
        <w:tabs>
          <w:tab w:val="num" w:pos="3240"/>
        </w:tabs>
        <w:spacing w:line="300" w:lineRule="auto"/>
        <w:ind w:hanging="540"/>
      </w:pPr>
      <w:r w:rsidRPr="00455FB8">
        <w:t>Settlement Location;</w:t>
      </w:r>
    </w:p>
    <w:p w14:paraId="385A3C80" w14:textId="77777777" w:rsidR="008245CB" w:rsidRPr="00455FB8" w:rsidRDefault="008245CB" w:rsidP="00DA3CE7">
      <w:pPr>
        <w:numPr>
          <w:ilvl w:val="0"/>
          <w:numId w:val="211"/>
        </w:numPr>
        <w:tabs>
          <w:tab w:val="num" w:pos="3240"/>
        </w:tabs>
        <w:spacing w:line="300" w:lineRule="auto"/>
        <w:ind w:hanging="540"/>
      </w:pPr>
      <w:r w:rsidRPr="00455FB8">
        <w:t>Operating Day;</w:t>
      </w:r>
    </w:p>
    <w:p w14:paraId="78CFC739" w14:textId="77777777" w:rsidR="008245CB" w:rsidRPr="00455FB8" w:rsidRDefault="008245CB" w:rsidP="00DA3CE7">
      <w:pPr>
        <w:numPr>
          <w:ilvl w:val="0"/>
          <w:numId w:val="211"/>
        </w:numPr>
        <w:tabs>
          <w:tab w:val="num" w:pos="3240"/>
        </w:tabs>
        <w:spacing w:line="300" w:lineRule="auto"/>
        <w:ind w:hanging="540"/>
      </w:pPr>
      <w:r w:rsidRPr="00455FB8">
        <w:t>Start Interval;</w:t>
      </w:r>
    </w:p>
    <w:p w14:paraId="561AD5E9" w14:textId="77777777" w:rsidR="008245CB" w:rsidRPr="00455FB8" w:rsidRDefault="008245CB" w:rsidP="00DA3CE7">
      <w:pPr>
        <w:numPr>
          <w:ilvl w:val="0"/>
          <w:numId w:val="211"/>
        </w:numPr>
        <w:tabs>
          <w:tab w:val="num" w:pos="3240"/>
        </w:tabs>
        <w:spacing w:line="300" w:lineRule="auto"/>
        <w:ind w:hanging="540"/>
      </w:pPr>
      <w:r w:rsidRPr="00455FB8">
        <w:t>End Interval;</w:t>
      </w:r>
    </w:p>
    <w:p w14:paraId="5E8D1D64" w14:textId="77777777" w:rsidR="008245CB" w:rsidRDefault="008245CB" w:rsidP="00DA3CE7">
      <w:pPr>
        <w:numPr>
          <w:ilvl w:val="0"/>
          <w:numId w:val="211"/>
        </w:numPr>
        <w:tabs>
          <w:tab w:val="num" w:pos="3240"/>
        </w:tabs>
        <w:spacing w:line="300" w:lineRule="auto"/>
        <w:ind w:hanging="540"/>
      </w:pPr>
      <w:r w:rsidRPr="00455FB8">
        <w:t>Dispute Amount; and</w:t>
      </w:r>
    </w:p>
    <w:p w14:paraId="66AD65AF" w14:textId="77777777" w:rsidR="008245CB" w:rsidRPr="00884FB9" w:rsidRDefault="008245CB" w:rsidP="00DA3CE7">
      <w:pPr>
        <w:numPr>
          <w:ilvl w:val="0"/>
          <w:numId w:val="211"/>
        </w:numPr>
        <w:tabs>
          <w:tab w:val="num" w:pos="3240"/>
        </w:tabs>
        <w:spacing w:line="300" w:lineRule="auto"/>
        <w:ind w:hanging="540"/>
      </w:pPr>
      <w:r w:rsidRPr="00884FB9">
        <w:t>Proposed Resolution</w:t>
      </w:r>
      <w:r>
        <w:t>.</w:t>
      </w:r>
    </w:p>
    <w:p w14:paraId="393E9099" w14:textId="0C6A3C21" w:rsidR="00EB7D09" w:rsidRDefault="00EB7D09" w:rsidP="00FE7AA5">
      <w:pPr>
        <w:keepNext/>
        <w:spacing w:line="276" w:lineRule="auto"/>
        <w:jc w:val="center"/>
        <w:rPr>
          <w:b/>
          <w:szCs w:val="24"/>
        </w:rPr>
      </w:pPr>
      <w:r>
        <w:rPr>
          <w:b/>
          <w:szCs w:val="24"/>
        </w:rPr>
        <w:t>Exhibit 4-19: Request Management System Settlement Dispute Request Form</w:t>
      </w:r>
      <w:r w:rsidR="008245CB" w:rsidRPr="000B3E17">
        <w:rPr>
          <w:b/>
          <w:szCs w:val="24"/>
        </w:rPr>
        <w:br w:type="page"/>
      </w:r>
    </w:p>
    <w:p w14:paraId="2522DB0B" w14:textId="6EA1336B" w:rsidR="008245CB" w:rsidRPr="00455FB8" w:rsidRDefault="008245CB" w:rsidP="008245CB">
      <w:pPr>
        <w:spacing w:line="276" w:lineRule="auto"/>
        <w:jc w:val="center"/>
      </w:pPr>
      <w:r w:rsidRPr="007E3616">
        <w:rPr>
          <w:noProof/>
        </w:rPr>
        <w:drawing>
          <wp:inline distT="0" distB="0" distL="0" distR="0" wp14:anchorId="78315FAC" wp14:editId="1930523B">
            <wp:extent cx="5943600" cy="4547870"/>
            <wp:effectExtent l="0" t="0" r="0" b="5080"/>
            <wp:docPr id="1466354422"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54422" name="Picture 5" descr="Graphical user interface, application&#10;&#10;Description automatically generated"/>
                    <pic:cNvPicPr/>
                  </pic:nvPicPr>
                  <pic:blipFill>
                    <a:blip r:embed="rId78"/>
                    <a:stretch>
                      <a:fillRect/>
                    </a:stretch>
                  </pic:blipFill>
                  <pic:spPr>
                    <a:xfrm>
                      <a:off x="0" y="0"/>
                      <a:ext cx="5943600" cy="4547870"/>
                    </a:xfrm>
                    <a:prstGeom prst="rect">
                      <a:avLst/>
                    </a:prstGeom>
                  </pic:spPr>
                </pic:pic>
              </a:graphicData>
            </a:graphic>
          </wp:inline>
        </w:drawing>
      </w:r>
    </w:p>
    <w:p w14:paraId="453A0120" w14:textId="26511A73" w:rsidR="008245CB" w:rsidRPr="000B3E17" w:rsidRDefault="008245CB" w:rsidP="00574EDE">
      <w:pPr>
        <w:pStyle w:val="Heading4"/>
      </w:pPr>
      <w:bookmarkStart w:id="6652" w:name="_Toc237838921"/>
      <w:bookmarkStart w:id="6653" w:name="_Toc258924955"/>
      <w:bookmarkStart w:id="6654" w:name="_Toc263173398"/>
      <w:bookmarkStart w:id="6655" w:name="_Toc263174226"/>
      <w:bookmarkStart w:id="6656" w:name="_Toc263235125"/>
      <w:bookmarkStart w:id="6657" w:name="_Toc263235769"/>
      <w:bookmarkStart w:id="6658" w:name="_Toc263429512"/>
      <w:bookmarkStart w:id="6659" w:name="_Toc263795551"/>
      <w:bookmarkStart w:id="6660" w:name="_Toc266869735"/>
      <w:bookmarkStart w:id="6661" w:name="_Toc159233303"/>
      <w:bookmarkStart w:id="6662" w:name="_Ref212559545"/>
      <w:bookmarkStart w:id="6663" w:name="_Toc213771930"/>
      <w:r w:rsidRPr="000B3E17">
        <w:t>Dispute Submission Timeline</w:t>
      </w:r>
      <w:bookmarkEnd w:id="6652"/>
      <w:bookmarkEnd w:id="6653"/>
      <w:bookmarkEnd w:id="6654"/>
      <w:bookmarkEnd w:id="6655"/>
      <w:bookmarkEnd w:id="6656"/>
      <w:bookmarkEnd w:id="6657"/>
      <w:bookmarkEnd w:id="6658"/>
      <w:bookmarkEnd w:id="6659"/>
      <w:bookmarkEnd w:id="6660"/>
      <w:bookmarkEnd w:id="6661"/>
      <w:bookmarkEnd w:id="6662"/>
      <w:bookmarkEnd w:id="6663"/>
    </w:p>
    <w:p w14:paraId="5D49F114" w14:textId="77777777" w:rsidR="008245CB" w:rsidRPr="00455FB8" w:rsidRDefault="008245CB" w:rsidP="008245CB">
      <w:pPr>
        <w:keepLines/>
        <w:spacing w:before="60" w:line="300" w:lineRule="auto"/>
        <w:rPr>
          <w:szCs w:val="24"/>
          <w:lang w:val="en-AU"/>
        </w:rPr>
      </w:pPr>
      <w:r w:rsidRPr="00455FB8">
        <w:rPr>
          <w:szCs w:val="24"/>
          <w:lang w:val="en-AU"/>
        </w:rPr>
        <w:t>A Market Participant may dispute the settlement of any Operating Day beginning with the posting of the S7 Scheduled Settlement Statement for that Operating Day, and through the 90</w:t>
      </w:r>
      <w:r w:rsidRPr="00455FB8">
        <w:rPr>
          <w:szCs w:val="24"/>
          <w:vertAlign w:val="superscript"/>
          <w:lang w:val="en-AU"/>
        </w:rPr>
        <w:t>th</w:t>
      </w:r>
      <w:r w:rsidRPr="00455FB8">
        <w:rPr>
          <w:szCs w:val="24"/>
          <w:lang w:val="en-AU"/>
        </w:rPr>
        <w:t xml:space="preserve"> Calendar Day after the applicable Operating Day.  In the case of the S120 Scheduled Settlement and any Resettlement Statements, a Market Participant may only dispute material incremental changes that occur between the posting of: (i) the S53 and S120 Scheduled Settlements; (ii) the S120 Scheduled Settlement and the first Resettlement Statement; or (iii) two consecutive Resettlement Statements.  Material for the purpose of this section is defined as a dispute when more than $2,000.00 is at issue for the Market Participant for the impacted Operating Day.  The Market Participant must submit documentation supporting the materiality of the dispute for consideration.  </w:t>
      </w:r>
    </w:p>
    <w:p w14:paraId="78B27EE7" w14:textId="2F20F309" w:rsidR="008245CB" w:rsidRPr="00455FB8" w:rsidRDefault="008245CB" w:rsidP="008245CB">
      <w:pPr>
        <w:keepLines/>
        <w:spacing w:before="60" w:line="300" w:lineRule="auto"/>
        <w:rPr>
          <w:szCs w:val="24"/>
          <w:lang w:val="en-AU"/>
        </w:rPr>
      </w:pPr>
      <w:r w:rsidRPr="00455FB8">
        <w:rPr>
          <w:szCs w:val="24"/>
          <w:lang w:val="en-AU"/>
        </w:rPr>
        <w:t xml:space="preserve">The limitation on disputes to material incremental changes does not apply on a Market Participant’s first Scheduled Settlement Statement for an Operating Day which includes, or should include, offers above $1,000/MWh that have been verified by the Market Monitor as reflecting actual costs as described in </w:t>
      </w:r>
      <w:r w:rsidRPr="007432E1">
        <w:rPr>
          <w:szCs w:val="24"/>
          <w:lang w:val="en-AU"/>
        </w:rPr>
        <w:t xml:space="preserve">Section </w:t>
      </w:r>
      <w:r w:rsidR="00A95D38">
        <w:rPr>
          <w:szCs w:val="24"/>
          <w:lang w:val="en-AU"/>
        </w:rPr>
        <w:fldChar w:fldCharType="begin"/>
      </w:r>
      <w:r w:rsidR="00A95D38">
        <w:rPr>
          <w:szCs w:val="24"/>
          <w:lang w:val="en-AU"/>
        </w:rPr>
        <w:instrText xml:space="preserve"> REF _Ref212559671 \r \h </w:instrText>
      </w:r>
      <w:r w:rsidR="00A95D38">
        <w:rPr>
          <w:szCs w:val="24"/>
          <w:lang w:val="en-AU"/>
        </w:rPr>
      </w:r>
      <w:r w:rsidR="00A95D38">
        <w:rPr>
          <w:szCs w:val="24"/>
          <w:lang w:val="en-AU"/>
        </w:rPr>
        <w:fldChar w:fldCharType="separate"/>
      </w:r>
      <w:r w:rsidR="00A95D38">
        <w:rPr>
          <w:szCs w:val="24"/>
          <w:lang w:val="en-AU"/>
        </w:rPr>
        <w:t>11.2.2.3</w:t>
      </w:r>
      <w:r w:rsidR="00A95D38">
        <w:rPr>
          <w:szCs w:val="24"/>
          <w:lang w:val="en-AU"/>
        </w:rPr>
        <w:fldChar w:fldCharType="end"/>
      </w:r>
      <w:r w:rsidRPr="007432E1">
        <w:rPr>
          <w:szCs w:val="24"/>
          <w:lang w:val="en-AU"/>
        </w:rPr>
        <w:t>(1</w:t>
      </w:r>
      <w:r w:rsidR="0078019B">
        <w:rPr>
          <w:szCs w:val="24"/>
          <w:lang w:val="en-AU"/>
        </w:rPr>
        <w:t>1</w:t>
      </w:r>
      <w:r w:rsidRPr="007432E1">
        <w:rPr>
          <w:szCs w:val="24"/>
          <w:lang w:val="en-AU"/>
        </w:rPr>
        <w:t>).</w:t>
      </w:r>
    </w:p>
    <w:p w14:paraId="72BB60AC" w14:textId="77777777" w:rsidR="008245CB" w:rsidRPr="00455FB8" w:rsidRDefault="008245CB" w:rsidP="008245CB">
      <w:pPr>
        <w:keepLines/>
        <w:spacing w:before="60" w:line="300" w:lineRule="auto"/>
        <w:rPr>
          <w:szCs w:val="24"/>
          <w:lang w:val="en-AU"/>
        </w:rPr>
      </w:pPr>
      <w:r w:rsidRPr="00455FB8">
        <w:rPr>
          <w:szCs w:val="24"/>
          <w:lang w:val="en-AU"/>
        </w:rPr>
        <w:t xml:space="preserve">A dispute relating to an S120 Scheduled Settlement or Resettlement Statement must be filed within 30 Calendar Days following the posting of the applicable Settlement Statement that the Market Participant wishes to dispute.  </w:t>
      </w:r>
    </w:p>
    <w:p w14:paraId="197890F6" w14:textId="77777777" w:rsidR="008245CB" w:rsidRPr="00455FB8" w:rsidRDefault="008245CB" w:rsidP="008245CB">
      <w:pPr>
        <w:spacing w:line="300" w:lineRule="auto"/>
        <w:rPr>
          <w:szCs w:val="24"/>
        </w:rPr>
      </w:pPr>
      <w:r w:rsidRPr="00455FB8">
        <w:rPr>
          <w:szCs w:val="24"/>
        </w:rPr>
        <w:t xml:space="preserve">In the event that the Portal is unavailable on the Business Day prior to the deadline for submission of a dispute due to technical or other reasons, </w:t>
      </w:r>
      <w:r>
        <w:rPr>
          <w:szCs w:val="24"/>
        </w:rPr>
        <w:t xml:space="preserve">the Market Operator </w:t>
      </w:r>
      <w:r w:rsidRPr="00455FB8">
        <w:rPr>
          <w:szCs w:val="24"/>
        </w:rPr>
        <w:t>will extend the dispute submittal deadline by the number of Business Days equal to the number of sequential Business Days on which the Portal was unavailable.</w:t>
      </w:r>
    </w:p>
    <w:p w14:paraId="415DE530" w14:textId="67100881" w:rsidR="008245CB" w:rsidRPr="004D1491" w:rsidRDefault="008245CB" w:rsidP="00574EDE">
      <w:pPr>
        <w:pStyle w:val="Heading4"/>
      </w:pPr>
      <w:bookmarkStart w:id="6664" w:name="_Toc237838922"/>
      <w:bookmarkStart w:id="6665" w:name="_Toc258924956"/>
      <w:bookmarkStart w:id="6666" w:name="_Toc263173399"/>
      <w:bookmarkStart w:id="6667" w:name="_Toc263174227"/>
      <w:bookmarkStart w:id="6668" w:name="_Toc263235126"/>
      <w:bookmarkStart w:id="6669" w:name="_Toc263235770"/>
      <w:bookmarkStart w:id="6670" w:name="_Toc263429513"/>
      <w:bookmarkStart w:id="6671" w:name="_Toc263795552"/>
      <w:bookmarkStart w:id="6672" w:name="_Toc266869736"/>
      <w:bookmarkStart w:id="6673" w:name="_Toc159233304"/>
      <w:bookmarkStart w:id="6674" w:name="_Toc213771931"/>
      <w:r w:rsidRPr="004D1491">
        <w:t>Dispute Processing</w:t>
      </w:r>
      <w:bookmarkEnd w:id="6664"/>
      <w:bookmarkEnd w:id="6665"/>
      <w:bookmarkEnd w:id="6666"/>
      <w:bookmarkEnd w:id="6667"/>
      <w:bookmarkEnd w:id="6668"/>
      <w:bookmarkEnd w:id="6669"/>
      <w:bookmarkEnd w:id="6670"/>
      <w:bookmarkEnd w:id="6671"/>
      <w:bookmarkEnd w:id="6672"/>
      <w:bookmarkEnd w:id="6673"/>
      <w:bookmarkEnd w:id="6674"/>
    </w:p>
    <w:p w14:paraId="4A2E48A4" w14:textId="4AC32950" w:rsidR="008245CB" w:rsidRPr="00455FB8" w:rsidRDefault="008245CB" w:rsidP="008245CB">
      <w:pPr>
        <w:spacing w:line="300" w:lineRule="auto"/>
        <w:rPr>
          <w:szCs w:val="24"/>
        </w:rPr>
      </w:pPr>
      <w:r>
        <w:rPr>
          <w:szCs w:val="24"/>
        </w:rPr>
        <w:t>The Market Operator</w:t>
      </w:r>
      <w:r w:rsidRPr="00455FB8">
        <w:rPr>
          <w:szCs w:val="24"/>
        </w:rPr>
        <w:t xml:space="preserve"> will determine if the dispute is accepted by verifying that the dispute was submitted within the specified time frame and contains at least the minimum required information</w:t>
      </w:r>
      <w:r w:rsidRPr="00455FB8" w:rsidDel="00877D7F">
        <w:rPr>
          <w:szCs w:val="24"/>
        </w:rPr>
        <w:t xml:space="preserve"> as described in </w:t>
      </w:r>
      <w:r w:rsidRPr="007432E1" w:rsidDel="00877D7F">
        <w:rPr>
          <w:szCs w:val="24"/>
        </w:rPr>
        <w:t>Attachment A of the Markets+ Tariff</w:t>
      </w:r>
      <w:r w:rsidRPr="00455FB8">
        <w:rPr>
          <w:szCs w:val="24"/>
        </w:rPr>
        <w:t xml:space="preserve">.  </w:t>
      </w:r>
    </w:p>
    <w:p w14:paraId="6CA58C20" w14:textId="77777777" w:rsidR="008245CB" w:rsidRPr="00455FB8" w:rsidRDefault="008245CB" w:rsidP="00DA3CE7">
      <w:pPr>
        <w:numPr>
          <w:ilvl w:val="0"/>
          <w:numId w:val="195"/>
        </w:numPr>
        <w:spacing w:line="300" w:lineRule="auto"/>
        <w:ind w:hanging="540"/>
        <w:rPr>
          <w:szCs w:val="24"/>
        </w:rPr>
      </w:pPr>
      <w:r>
        <w:rPr>
          <w:szCs w:val="24"/>
        </w:rPr>
        <w:t>The Market Operator</w:t>
      </w:r>
      <w:r w:rsidRPr="00455FB8">
        <w:rPr>
          <w:szCs w:val="24"/>
        </w:rPr>
        <w:t xml:space="preserve"> will make reasonable attempts to remedy any informational deficiencies by working with the Market Participant(s); </w:t>
      </w:r>
    </w:p>
    <w:p w14:paraId="25FD8B95" w14:textId="112C6369" w:rsidR="008245CB" w:rsidRPr="00455FB8" w:rsidRDefault="00D839F7" w:rsidP="00DA3CE7">
      <w:pPr>
        <w:numPr>
          <w:ilvl w:val="0"/>
          <w:numId w:val="195"/>
        </w:numPr>
        <w:spacing w:line="300" w:lineRule="auto"/>
        <w:ind w:hanging="540"/>
        <w:rPr>
          <w:szCs w:val="24"/>
          <w:shd w:val="pct5" w:color="auto" w:fill="auto"/>
        </w:rPr>
      </w:pPr>
      <w:r>
        <w:rPr>
          <w:szCs w:val="24"/>
        </w:rPr>
        <w:t>The d</w:t>
      </w:r>
      <w:r w:rsidR="00953CDE">
        <w:rPr>
          <w:szCs w:val="24"/>
        </w:rPr>
        <w:t>ispute</w:t>
      </w:r>
      <w:r w:rsidR="008245CB" w:rsidRPr="00455FB8">
        <w:rPr>
          <w:szCs w:val="24"/>
        </w:rPr>
        <w:t xml:space="preserve"> will be rejected if </w:t>
      </w:r>
      <w:r w:rsidR="008245CB">
        <w:rPr>
          <w:szCs w:val="24"/>
        </w:rPr>
        <w:t>the Market Operator</w:t>
      </w:r>
      <w:r w:rsidR="008245CB" w:rsidRPr="00455FB8">
        <w:rPr>
          <w:szCs w:val="24"/>
        </w:rPr>
        <w:t xml:space="preserve"> determines required information is missing. The </w:t>
      </w:r>
      <w:r>
        <w:rPr>
          <w:szCs w:val="24"/>
        </w:rPr>
        <w:t>d</w:t>
      </w:r>
      <w:r w:rsidRPr="00455FB8">
        <w:rPr>
          <w:szCs w:val="24"/>
        </w:rPr>
        <w:t xml:space="preserve">ispute </w:t>
      </w:r>
      <w:r w:rsidR="008245CB" w:rsidRPr="00455FB8">
        <w:rPr>
          <w:szCs w:val="24"/>
        </w:rPr>
        <w:t xml:space="preserve">will be returned to the Market Participant with an explanation of the missing data no later than </w:t>
      </w:r>
      <w:r w:rsidR="007532EF">
        <w:rPr>
          <w:szCs w:val="24"/>
        </w:rPr>
        <w:t>thirty (</w:t>
      </w:r>
      <w:r w:rsidR="008245CB" w:rsidRPr="00455FB8">
        <w:rPr>
          <w:szCs w:val="24"/>
        </w:rPr>
        <w:t>30</w:t>
      </w:r>
      <w:r w:rsidR="007532EF">
        <w:rPr>
          <w:szCs w:val="24"/>
        </w:rPr>
        <w:t>)</w:t>
      </w:r>
      <w:r w:rsidR="008245CB" w:rsidRPr="00455FB8">
        <w:rPr>
          <w:szCs w:val="24"/>
        </w:rPr>
        <w:t xml:space="preserve"> days after the receipt of the original or resubmitted dispute. A Market Participant will be able to resubmit the dispute with additional information within </w:t>
      </w:r>
      <w:r w:rsidR="007532EF">
        <w:rPr>
          <w:szCs w:val="24"/>
        </w:rPr>
        <w:t>twenty (</w:t>
      </w:r>
      <w:r w:rsidR="008245CB" w:rsidRPr="00455FB8">
        <w:rPr>
          <w:szCs w:val="24"/>
        </w:rPr>
        <w:t>20</w:t>
      </w:r>
      <w:r w:rsidR="007532EF">
        <w:rPr>
          <w:szCs w:val="24"/>
        </w:rPr>
        <w:t>)</w:t>
      </w:r>
      <w:r w:rsidR="008245CB" w:rsidRPr="00455FB8">
        <w:rPr>
          <w:szCs w:val="24"/>
        </w:rPr>
        <w:t xml:space="preserve"> Business Days after the </w:t>
      </w:r>
      <w:r>
        <w:rPr>
          <w:szCs w:val="24"/>
        </w:rPr>
        <w:t>d</w:t>
      </w:r>
      <w:r w:rsidRPr="00455FB8">
        <w:rPr>
          <w:szCs w:val="24"/>
        </w:rPr>
        <w:t xml:space="preserve">ispute </w:t>
      </w:r>
      <w:r w:rsidR="008245CB" w:rsidRPr="00455FB8">
        <w:rPr>
          <w:szCs w:val="24"/>
        </w:rPr>
        <w:t xml:space="preserve">is returned to the Market Participant unless </w:t>
      </w:r>
      <w:r w:rsidR="008245CB">
        <w:rPr>
          <w:szCs w:val="24"/>
        </w:rPr>
        <w:t>the Market Operator</w:t>
      </w:r>
      <w:r w:rsidR="008245CB" w:rsidRPr="00455FB8">
        <w:rPr>
          <w:szCs w:val="24"/>
        </w:rPr>
        <w:t xml:space="preserve"> grants an extension of this deadline for good cause.  Once the Market Participant sends all required information and </w:t>
      </w:r>
      <w:r w:rsidR="008245CB">
        <w:rPr>
          <w:szCs w:val="24"/>
        </w:rPr>
        <w:t>the Market Operator</w:t>
      </w:r>
      <w:r w:rsidR="008245CB" w:rsidRPr="00455FB8">
        <w:rPr>
          <w:szCs w:val="24"/>
        </w:rPr>
        <w:t xml:space="preserve"> determines the settlement and billing dispute is timely and complete, the dispute status will be considered “Open”; </w:t>
      </w:r>
    </w:p>
    <w:p w14:paraId="0AE09299" w14:textId="77777777" w:rsidR="008245CB" w:rsidRPr="00455FB8" w:rsidRDefault="008245CB" w:rsidP="00DA3CE7">
      <w:pPr>
        <w:numPr>
          <w:ilvl w:val="0"/>
          <w:numId w:val="195"/>
        </w:numPr>
        <w:spacing w:line="300" w:lineRule="auto"/>
        <w:ind w:hanging="540"/>
        <w:rPr>
          <w:szCs w:val="24"/>
        </w:rPr>
      </w:pPr>
      <w:r>
        <w:rPr>
          <w:szCs w:val="24"/>
        </w:rPr>
        <w:t>The Market Operator</w:t>
      </w:r>
      <w:r w:rsidRPr="00455FB8">
        <w:rPr>
          <w:szCs w:val="24"/>
        </w:rPr>
        <w:t xml:space="preserve"> will issue a settlement and billing dispute resolution report containing information related to the disposition of the dispute;</w:t>
      </w:r>
    </w:p>
    <w:p w14:paraId="6464A549" w14:textId="345AA9B4" w:rsidR="008245CB" w:rsidRPr="00455FB8" w:rsidRDefault="008245CB" w:rsidP="00DA3CE7">
      <w:pPr>
        <w:numPr>
          <w:ilvl w:val="0"/>
          <w:numId w:val="195"/>
        </w:numPr>
        <w:spacing w:line="300" w:lineRule="auto"/>
        <w:ind w:hanging="540"/>
        <w:rPr>
          <w:szCs w:val="24"/>
        </w:rPr>
      </w:pPr>
      <w:r>
        <w:rPr>
          <w:szCs w:val="24"/>
        </w:rPr>
        <w:t>The Market Operator</w:t>
      </w:r>
      <w:r w:rsidRPr="00455FB8">
        <w:rPr>
          <w:szCs w:val="24"/>
        </w:rPr>
        <w:t xml:space="preserve"> will make all reasonable attempts to resolve all “Open” disputes relating to all Settlement Statements within </w:t>
      </w:r>
      <w:r w:rsidR="007532EF">
        <w:rPr>
          <w:szCs w:val="24"/>
        </w:rPr>
        <w:t>thirty (</w:t>
      </w:r>
      <w:r w:rsidRPr="00455FB8">
        <w:rPr>
          <w:szCs w:val="24"/>
        </w:rPr>
        <w:t>30</w:t>
      </w:r>
      <w:r w:rsidR="007532EF">
        <w:rPr>
          <w:szCs w:val="24"/>
        </w:rPr>
        <w:t>)</w:t>
      </w:r>
      <w:r w:rsidRPr="00455FB8">
        <w:rPr>
          <w:szCs w:val="24"/>
        </w:rPr>
        <w:t xml:space="preserve"> Calendar Days after the settlement and billing dispute due date as specified in the Settlement Calendar. </w:t>
      </w:r>
      <w:r>
        <w:rPr>
          <w:szCs w:val="24"/>
        </w:rPr>
        <w:t>The Market Operator</w:t>
      </w:r>
      <w:r w:rsidRPr="00455FB8">
        <w:rPr>
          <w:szCs w:val="24"/>
        </w:rPr>
        <w:t xml:space="preserve"> will post the necessary adjustments for resolved settlement and billing disputes on the next resettlement or final Settlement Statement process; </w:t>
      </w:r>
    </w:p>
    <w:p w14:paraId="0425DA15" w14:textId="6EEE7E12" w:rsidR="008245CB" w:rsidRPr="00455FB8" w:rsidRDefault="008245CB" w:rsidP="00DA3CE7">
      <w:pPr>
        <w:numPr>
          <w:ilvl w:val="0"/>
          <w:numId w:val="195"/>
        </w:numPr>
        <w:spacing w:line="300" w:lineRule="auto"/>
        <w:ind w:hanging="540"/>
        <w:rPr>
          <w:szCs w:val="24"/>
        </w:rPr>
      </w:pPr>
      <w:r w:rsidRPr="00455FB8">
        <w:rPr>
          <w:szCs w:val="24"/>
        </w:rPr>
        <w:t xml:space="preserve">For settlement and billing disputes requiring complex research or additional time for resolution, and late disputes that can be reasonably processed, </w:t>
      </w:r>
      <w:r>
        <w:rPr>
          <w:szCs w:val="24"/>
        </w:rPr>
        <w:t>the Market Operator</w:t>
      </w:r>
      <w:r w:rsidRPr="00455FB8">
        <w:rPr>
          <w:szCs w:val="24"/>
        </w:rPr>
        <w:t xml:space="preserve"> will notify the Market Participant of the length of time expected to research and post those disputes and, if a portion or all of the dispute is </w:t>
      </w:r>
      <w:r w:rsidR="00D714EF">
        <w:rPr>
          <w:szCs w:val="24"/>
        </w:rPr>
        <w:t xml:space="preserve">either </w:t>
      </w:r>
      <w:r w:rsidR="00A22326">
        <w:rPr>
          <w:szCs w:val="24"/>
        </w:rPr>
        <w:t>“G</w:t>
      </w:r>
      <w:r w:rsidRPr="00455FB8">
        <w:rPr>
          <w:szCs w:val="24"/>
        </w:rPr>
        <w:t>ranted</w:t>
      </w:r>
      <w:r w:rsidR="00405C40">
        <w:rPr>
          <w:szCs w:val="24"/>
        </w:rPr>
        <w:t xml:space="preserve"> with Exceptions</w:t>
      </w:r>
      <w:r w:rsidR="00A22326">
        <w:rPr>
          <w:szCs w:val="24"/>
        </w:rPr>
        <w:t>”</w:t>
      </w:r>
      <w:r w:rsidRPr="00455FB8">
        <w:rPr>
          <w:szCs w:val="24"/>
        </w:rPr>
        <w:t>,</w:t>
      </w:r>
      <w:r w:rsidR="00D714EF">
        <w:rPr>
          <w:szCs w:val="24"/>
        </w:rPr>
        <w:t xml:space="preserve"> or is “</w:t>
      </w:r>
      <w:r w:rsidR="00CB4A9D">
        <w:rPr>
          <w:szCs w:val="24"/>
        </w:rPr>
        <w:t>G</w:t>
      </w:r>
      <w:r w:rsidR="00D714EF">
        <w:rPr>
          <w:szCs w:val="24"/>
        </w:rPr>
        <w:t>ranted”,</w:t>
      </w:r>
      <w:r w:rsidRPr="00455FB8">
        <w:rPr>
          <w:szCs w:val="24"/>
        </w:rPr>
        <w:t xml:space="preserve"> </w:t>
      </w:r>
      <w:r>
        <w:rPr>
          <w:szCs w:val="24"/>
        </w:rPr>
        <w:t>the Market Operator</w:t>
      </w:r>
      <w:r w:rsidRPr="00455FB8">
        <w:rPr>
          <w:szCs w:val="24"/>
        </w:rPr>
        <w:t xml:space="preserve"> will post the necessary adjustments on the next available Settlement Statement for the Operating Day, if any portion or all of the dispute is </w:t>
      </w:r>
      <w:r w:rsidR="00D714EF">
        <w:rPr>
          <w:szCs w:val="24"/>
        </w:rPr>
        <w:t>either</w:t>
      </w:r>
      <w:r w:rsidRPr="00455FB8">
        <w:rPr>
          <w:szCs w:val="24"/>
        </w:rPr>
        <w:t xml:space="preserve"> </w:t>
      </w:r>
      <w:r w:rsidR="002E71BD">
        <w:rPr>
          <w:szCs w:val="24"/>
        </w:rPr>
        <w:t>“</w:t>
      </w:r>
      <w:r w:rsidRPr="00455FB8">
        <w:rPr>
          <w:szCs w:val="24"/>
        </w:rPr>
        <w:t>Granted</w:t>
      </w:r>
      <w:r w:rsidR="002E71BD">
        <w:rPr>
          <w:szCs w:val="24"/>
        </w:rPr>
        <w:t>"</w:t>
      </w:r>
      <w:r w:rsidR="00D714EF">
        <w:rPr>
          <w:szCs w:val="24"/>
        </w:rPr>
        <w:t>, or is “Granted with Exceptions”</w:t>
      </w:r>
      <w:r w:rsidRPr="00455FB8">
        <w:rPr>
          <w:szCs w:val="24"/>
        </w:rPr>
        <w:t>. Market Participants have the right to proceed to the External Arbitration process in Dispute Resolution of the Markets+ Tariff for timely filed disputes that cannot be resolved through the settlement and billing dispute process.</w:t>
      </w:r>
    </w:p>
    <w:p w14:paraId="3B2C1512" w14:textId="7E8CF014" w:rsidR="008245CB" w:rsidRPr="004D1491" w:rsidRDefault="008245CB" w:rsidP="00574654">
      <w:pPr>
        <w:pStyle w:val="Heading5"/>
      </w:pPr>
      <w:bookmarkStart w:id="6675" w:name="_Toc263173400"/>
      <w:bookmarkStart w:id="6676" w:name="_Toc263795553"/>
      <w:bookmarkStart w:id="6677" w:name="_Toc159233305"/>
      <w:bookmarkStart w:id="6678" w:name="_Toc213771932"/>
      <w:r w:rsidRPr="004D1491">
        <w:t>Dispute Status</w:t>
      </w:r>
      <w:bookmarkEnd w:id="6675"/>
      <w:bookmarkEnd w:id="6676"/>
      <w:bookmarkEnd w:id="6677"/>
      <w:bookmarkEnd w:id="6678"/>
    </w:p>
    <w:p w14:paraId="25312B48" w14:textId="77777777" w:rsidR="008245CB" w:rsidRPr="00455FB8" w:rsidRDefault="008245CB" w:rsidP="008245CB">
      <w:pPr>
        <w:spacing w:line="300" w:lineRule="auto"/>
        <w:rPr>
          <w:szCs w:val="24"/>
        </w:rPr>
      </w:pPr>
      <w:r w:rsidRPr="00455FB8">
        <w:rPr>
          <w:szCs w:val="24"/>
        </w:rPr>
        <w:t>Each dispute will have a status as defined in the following paragraphs. Valid status designation includes:</w:t>
      </w:r>
    </w:p>
    <w:p w14:paraId="6A563787" w14:textId="4E676AF4" w:rsidR="008245CB" w:rsidRPr="00455FB8" w:rsidRDefault="008245CB" w:rsidP="00DA3CE7">
      <w:pPr>
        <w:numPr>
          <w:ilvl w:val="0"/>
          <w:numId w:val="199"/>
        </w:numPr>
        <w:spacing w:line="300" w:lineRule="auto"/>
        <w:ind w:hanging="540"/>
        <w:rPr>
          <w:szCs w:val="24"/>
        </w:rPr>
      </w:pPr>
      <w:r w:rsidRPr="00455FB8">
        <w:rPr>
          <w:b/>
          <w:szCs w:val="24"/>
        </w:rPr>
        <w:t>OPEN &amp; CLOSED:</w:t>
      </w:r>
      <w:r w:rsidRPr="00455FB8">
        <w:rPr>
          <w:szCs w:val="24"/>
        </w:rPr>
        <w:t xml:space="preserve">  A </w:t>
      </w:r>
      <w:r w:rsidR="001F788B">
        <w:rPr>
          <w:szCs w:val="24"/>
        </w:rPr>
        <w:t>d</w:t>
      </w:r>
      <w:r w:rsidR="001F788B" w:rsidRPr="00455FB8">
        <w:rPr>
          <w:szCs w:val="24"/>
        </w:rPr>
        <w:t xml:space="preserve">ispute </w:t>
      </w:r>
      <w:r w:rsidRPr="00455FB8">
        <w:rPr>
          <w:szCs w:val="24"/>
        </w:rPr>
        <w:t xml:space="preserve">will be deemed “Open” when submitted in a timely and complete manner.  “Closed” is the final status for all Disputes;  </w:t>
      </w:r>
    </w:p>
    <w:p w14:paraId="089D3619" w14:textId="288CC2BA" w:rsidR="008245CB" w:rsidRPr="00455FB8" w:rsidRDefault="008245CB" w:rsidP="00DA3CE7">
      <w:pPr>
        <w:numPr>
          <w:ilvl w:val="0"/>
          <w:numId w:val="199"/>
        </w:numPr>
        <w:spacing w:line="300" w:lineRule="auto"/>
        <w:ind w:hanging="540"/>
        <w:rPr>
          <w:szCs w:val="24"/>
        </w:rPr>
      </w:pPr>
      <w:r w:rsidRPr="00455FB8">
        <w:rPr>
          <w:b/>
          <w:szCs w:val="24"/>
        </w:rPr>
        <w:t>DENIED:</w:t>
      </w:r>
      <w:r w:rsidRPr="00455FB8">
        <w:rPr>
          <w:szCs w:val="24"/>
        </w:rPr>
        <w:t xml:space="preserve">  The </w:t>
      </w:r>
      <w:r w:rsidR="001F788B">
        <w:rPr>
          <w:szCs w:val="24"/>
        </w:rPr>
        <w:t>d</w:t>
      </w:r>
      <w:r w:rsidR="001F788B" w:rsidRPr="00455FB8">
        <w:rPr>
          <w:szCs w:val="24"/>
        </w:rPr>
        <w:t xml:space="preserve">ispute </w:t>
      </w:r>
      <w:r w:rsidRPr="00455FB8">
        <w:rPr>
          <w:szCs w:val="24"/>
        </w:rPr>
        <w:t xml:space="preserve">will be “Denied” if </w:t>
      </w:r>
      <w:r>
        <w:rPr>
          <w:szCs w:val="24"/>
        </w:rPr>
        <w:t>the Market Operator</w:t>
      </w:r>
      <w:r w:rsidRPr="00455FB8">
        <w:rPr>
          <w:szCs w:val="24"/>
        </w:rPr>
        <w:t xml:space="preserve"> concludes that the information used in the </w:t>
      </w:r>
      <w:r w:rsidR="001F788B">
        <w:rPr>
          <w:szCs w:val="24"/>
        </w:rPr>
        <w:t>d</w:t>
      </w:r>
      <w:r w:rsidR="001F788B" w:rsidRPr="00455FB8">
        <w:rPr>
          <w:szCs w:val="24"/>
        </w:rPr>
        <w:t xml:space="preserve">ispute </w:t>
      </w:r>
      <w:r w:rsidRPr="00455FB8">
        <w:rPr>
          <w:szCs w:val="24"/>
        </w:rPr>
        <w:t xml:space="preserve">is incorrect.  </w:t>
      </w:r>
      <w:r>
        <w:rPr>
          <w:szCs w:val="24"/>
        </w:rPr>
        <w:t>The Market Operator</w:t>
      </w:r>
      <w:r w:rsidRPr="00455FB8">
        <w:rPr>
          <w:szCs w:val="24"/>
        </w:rPr>
        <w:t xml:space="preserve"> will notify the Market Participant when a </w:t>
      </w:r>
      <w:r w:rsidR="001F788B">
        <w:rPr>
          <w:szCs w:val="24"/>
        </w:rPr>
        <w:t>d</w:t>
      </w:r>
      <w:r w:rsidR="001F788B" w:rsidRPr="00455FB8">
        <w:rPr>
          <w:szCs w:val="24"/>
        </w:rPr>
        <w:t xml:space="preserve">ispute </w:t>
      </w:r>
      <w:r w:rsidRPr="00455FB8">
        <w:rPr>
          <w:szCs w:val="24"/>
        </w:rPr>
        <w:t xml:space="preserve">is “Denied,” and will document the supporting research for the denial.  If the Market Participant is not satisfied with the outcome of a </w:t>
      </w:r>
      <w:r w:rsidR="00086DF2">
        <w:rPr>
          <w:szCs w:val="24"/>
        </w:rPr>
        <w:t>d</w:t>
      </w:r>
      <w:r w:rsidR="00086DF2" w:rsidRPr="00455FB8">
        <w:rPr>
          <w:szCs w:val="24"/>
        </w:rPr>
        <w:t xml:space="preserve">enied </w:t>
      </w:r>
      <w:r w:rsidR="00086DF2">
        <w:rPr>
          <w:szCs w:val="24"/>
        </w:rPr>
        <w:t>s</w:t>
      </w:r>
      <w:r w:rsidR="00086DF2" w:rsidRPr="00455FB8">
        <w:rPr>
          <w:szCs w:val="24"/>
        </w:rPr>
        <w:t xml:space="preserve">ettlement </w:t>
      </w:r>
      <w:r w:rsidRPr="00455FB8">
        <w:rPr>
          <w:szCs w:val="24"/>
        </w:rPr>
        <w:t xml:space="preserve">and </w:t>
      </w:r>
      <w:r w:rsidR="00086DF2">
        <w:rPr>
          <w:szCs w:val="24"/>
        </w:rPr>
        <w:t>b</w:t>
      </w:r>
      <w:r w:rsidR="00086DF2" w:rsidRPr="00455FB8">
        <w:rPr>
          <w:szCs w:val="24"/>
        </w:rPr>
        <w:t xml:space="preserve">illing </w:t>
      </w:r>
      <w:r w:rsidR="00086DF2">
        <w:rPr>
          <w:szCs w:val="24"/>
        </w:rPr>
        <w:t>d</w:t>
      </w:r>
      <w:r w:rsidR="00086DF2" w:rsidRPr="00455FB8">
        <w:rPr>
          <w:szCs w:val="24"/>
        </w:rPr>
        <w:t>ispute</w:t>
      </w:r>
      <w:r w:rsidRPr="00455FB8">
        <w:rPr>
          <w:szCs w:val="24"/>
        </w:rPr>
        <w:t xml:space="preserve">, the Market Participant may proceed to </w:t>
      </w:r>
      <w:r w:rsidR="001F788B">
        <w:rPr>
          <w:szCs w:val="24"/>
        </w:rPr>
        <w:t>e</w:t>
      </w:r>
      <w:r w:rsidR="001F788B" w:rsidRPr="00455FB8">
        <w:rPr>
          <w:szCs w:val="24"/>
        </w:rPr>
        <w:t xml:space="preserve">xternal </w:t>
      </w:r>
      <w:r w:rsidR="001F788B">
        <w:rPr>
          <w:szCs w:val="24"/>
        </w:rPr>
        <w:t>a</w:t>
      </w:r>
      <w:r w:rsidR="001F788B" w:rsidRPr="00455FB8">
        <w:rPr>
          <w:szCs w:val="24"/>
        </w:rPr>
        <w:t xml:space="preserve">rbitration </w:t>
      </w:r>
      <w:r w:rsidRPr="00455FB8">
        <w:rPr>
          <w:szCs w:val="24"/>
        </w:rPr>
        <w:t xml:space="preserve">as described in </w:t>
      </w:r>
      <w:r w:rsidR="00FF7063">
        <w:rPr>
          <w:szCs w:val="24"/>
        </w:rPr>
        <w:t xml:space="preserve">the </w:t>
      </w:r>
      <w:r w:rsidRPr="00455FB8">
        <w:rPr>
          <w:szCs w:val="24"/>
        </w:rPr>
        <w:t xml:space="preserve">Dispute Resolution </w:t>
      </w:r>
      <w:r w:rsidR="001F788B">
        <w:rPr>
          <w:szCs w:val="24"/>
        </w:rPr>
        <w:t>Pro</w:t>
      </w:r>
      <w:r w:rsidR="00610A3B">
        <w:rPr>
          <w:szCs w:val="24"/>
        </w:rPr>
        <w:t>cedure</w:t>
      </w:r>
      <w:r w:rsidR="001F788B">
        <w:rPr>
          <w:szCs w:val="24"/>
        </w:rPr>
        <w:t xml:space="preserve">s </w:t>
      </w:r>
      <w:r w:rsidRPr="00455FB8">
        <w:rPr>
          <w:szCs w:val="24"/>
        </w:rPr>
        <w:t xml:space="preserve">of the Markets+ Tariff. If after </w:t>
      </w:r>
      <w:r w:rsidR="001F788B">
        <w:rPr>
          <w:szCs w:val="24"/>
        </w:rPr>
        <w:t xml:space="preserve">thirty </w:t>
      </w:r>
      <w:r w:rsidR="007532EF">
        <w:rPr>
          <w:szCs w:val="24"/>
        </w:rPr>
        <w:t>(</w:t>
      </w:r>
      <w:r w:rsidRPr="00455FB8">
        <w:rPr>
          <w:szCs w:val="24"/>
        </w:rPr>
        <w:t>30</w:t>
      </w:r>
      <w:r w:rsidR="007532EF">
        <w:rPr>
          <w:szCs w:val="24"/>
        </w:rPr>
        <w:t>)</w:t>
      </w:r>
      <w:r w:rsidRPr="00455FB8">
        <w:rPr>
          <w:szCs w:val="24"/>
        </w:rPr>
        <w:t xml:space="preserve"> Calendar Days from receiving notice of a “Denied” dispute, the Market Participant does not begin </w:t>
      </w:r>
      <w:r w:rsidR="001F788B">
        <w:rPr>
          <w:szCs w:val="24"/>
        </w:rPr>
        <w:t>e</w:t>
      </w:r>
      <w:r w:rsidR="001F788B" w:rsidRPr="00455FB8">
        <w:rPr>
          <w:szCs w:val="24"/>
        </w:rPr>
        <w:t xml:space="preserve">xternal </w:t>
      </w:r>
      <w:r w:rsidR="001F788B">
        <w:rPr>
          <w:szCs w:val="24"/>
        </w:rPr>
        <w:t>a</w:t>
      </w:r>
      <w:r w:rsidR="001F788B" w:rsidRPr="00455FB8">
        <w:rPr>
          <w:szCs w:val="24"/>
        </w:rPr>
        <w:t>rbitration</w:t>
      </w:r>
      <w:r w:rsidRPr="00455FB8">
        <w:rPr>
          <w:szCs w:val="24"/>
        </w:rPr>
        <w:t>, the dispute will be “Closed</w:t>
      </w:r>
      <w:r>
        <w:rPr>
          <w:szCs w:val="24"/>
        </w:rPr>
        <w:t>;</w:t>
      </w:r>
      <w:r w:rsidRPr="00455FB8">
        <w:rPr>
          <w:szCs w:val="24"/>
        </w:rPr>
        <w:t xml:space="preserve">” </w:t>
      </w:r>
    </w:p>
    <w:p w14:paraId="123120D2" w14:textId="77777777" w:rsidR="008245CB" w:rsidRPr="00455FB8" w:rsidRDefault="008245CB" w:rsidP="00DA3CE7">
      <w:pPr>
        <w:numPr>
          <w:ilvl w:val="0"/>
          <w:numId w:val="199"/>
        </w:numPr>
        <w:spacing w:line="300" w:lineRule="auto"/>
        <w:ind w:hanging="540"/>
        <w:rPr>
          <w:szCs w:val="24"/>
        </w:rPr>
      </w:pPr>
      <w:r w:rsidRPr="00455FB8">
        <w:rPr>
          <w:b/>
          <w:szCs w:val="24"/>
        </w:rPr>
        <w:t>GRANTED:</w:t>
      </w:r>
      <w:r w:rsidRPr="00455FB8">
        <w:rPr>
          <w:szCs w:val="24"/>
        </w:rPr>
        <w:t xml:space="preserve">  </w:t>
      </w:r>
      <w:r>
        <w:rPr>
          <w:szCs w:val="24"/>
        </w:rPr>
        <w:t>The Market Operator</w:t>
      </w:r>
      <w:r w:rsidRPr="00455FB8">
        <w:rPr>
          <w:szCs w:val="24"/>
        </w:rPr>
        <w:t xml:space="preserve"> may determine a settlement and billing dispute is “Granted</w:t>
      </w:r>
      <w:r>
        <w:rPr>
          <w:szCs w:val="24"/>
        </w:rPr>
        <w:t>.</w:t>
      </w:r>
      <w:r w:rsidRPr="00455FB8">
        <w:rPr>
          <w:szCs w:val="24"/>
        </w:rPr>
        <w:t xml:space="preserve">” </w:t>
      </w:r>
      <w:r>
        <w:rPr>
          <w:szCs w:val="24"/>
        </w:rPr>
        <w:t>The Market Operator</w:t>
      </w:r>
      <w:r w:rsidRPr="00455FB8">
        <w:rPr>
          <w:szCs w:val="24"/>
        </w:rPr>
        <w:t xml:space="preserve"> will notify the Market Participant of the resolution, and will document the basis for resolution. Upon resolution of the issue, the settlement and billing dispute will be processed on the next prescribed Settlement Statement for the Operating Day. Once the necessary adjustments appear on the next prescribed Settlement Statement, the settlement and billing dispute is then “Closed</w:t>
      </w:r>
      <w:r>
        <w:rPr>
          <w:szCs w:val="24"/>
        </w:rPr>
        <w:t>;</w:t>
      </w:r>
      <w:r w:rsidRPr="00455FB8">
        <w:rPr>
          <w:szCs w:val="24"/>
        </w:rPr>
        <w:t xml:space="preserve">” </w:t>
      </w:r>
    </w:p>
    <w:p w14:paraId="01C4D390" w14:textId="2BBB9EEC" w:rsidR="008245CB" w:rsidRPr="00455FB8" w:rsidRDefault="008245CB" w:rsidP="00DA3CE7">
      <w:pPr>
        <w:numPr>
          <w:ilvl w:val="0"/>
          <w:numId w:val="199"/>
        </w:numPr>
        <w:spacing w:line="300" w:lineRule="auto"/>
        <w:ind w:hanging="540"/>
        <w:rPr>
          <w:szCs w:val="24"/>
        </w:rPr>
      </w:pPr>
      <w:r w:rsidRPr="00455FB8">
        <w:rPr>
          <w:b/>
          <w:szCs w:val="24"/>
        </w:rPr>
        <w:t>GRANTED with EXCEPTIONS:</w:t>
      </w:r>
      <w:r w:rsidRPr="00455FB8">
        <w:rPr>
          <w:szCs w:val="24"/>
        </w:rPr>
        <w:t xml:space="preserve"> </w:t>
      </w:r>
      <w:r>
        <w:rPr>
          <w:szCs w:val="24"/>
        </w:rPr>
        <w:t>The Market Operator</w:t>
      </w:r>
      <w:r w:rsidRPr="00455FB8">
        <w:rPr>
          <w:szCs w:val="24"/>
        </w:rPr>
        <w:t xml:space="preserve"> may determine a settlement and billing dispute is “Granted with Exceptions” when the information is partially correct and </w:t>
      </w:r>
      <w:r>
        <w:rPr>
          <w:szCs w:val="24"/>
        </w:rPr>
        <w:t>the Market Operator</w:t>
      </w:r>
      <w:r w:rsidRPr="00455FB8">
        <w:rPr>
          <w:szCs w:val="24"/>
        </w:rPr>
        <w:t xml:space="preserve"> will provide the exception information to the Market Participant.  </w:t>
      </w:r>
      <w:r>
        <w:rPr>
          <w:szCs w:val="24"/>
        </w:rPr>
        <w:t>The Market Operator</w:t>
      </w:r>
      <w:r w:rsidRPr="00455FB8">
        <w:rPr>
          <w:szCs w:val="24"/>
        </w:rPr>
        <w:t xml:space="preserve"> will require an acknowledgement from the Market Participant of the dispute Granted with Exceptions within </w:t>
      </w:r>
      <w:r w:rsidR="007532EF">
        <w:rPr>
          <w:szCs w:val="24"/>
        </w:rPr>
        <w:t>twenty (</w:t>
      </w:r>
      <w:r w:rsidRPr="00455FB8">
        <w:rPr>
          <w:szCs w:val="24"/>
        </w:rPr>
        <w:t>20</w:t>
      </w:r>
      <w:r w:rsidR="007532EF">
        <w:rPr>
          <w:szCs w:val="24"/>
        </w:rPr>
        <w:t>)</w:t>
      </w:r>
      <w:r w:rsidRPr="00455FB8">
        <w:rPr>
          <w:szCs w:val="24"/>
        </w:rPr>
        <w:t xml:space="preserve"> Business Days. The acknowledgement must indicate acceptance or rejection of the documented exceptions to the dispute.  If accepted, </w:t>
      </w:r>
      <w:r>
        <w:rPr>
          <w:szCs w:val="24"/>
        </w:rPr>
        <w:t>the Market Operator</w:t>
      </w:r>
      <w:r w:rsidRPr="00455FB8">
        <w:rPr>
          <w:szCs w:val="24"/>
        </w:rPr>
        <w:t xml:space="preserve"> will post the necessary adjustments on the next prescribed Settlement Statement for the Operating Day and will change the dispute status to “Closed”.  If </w:t>
      </w:r>
      <w:r>
        <w:rPr>
          <w:szCs w:val="24"/>
        </w:rPr>
        <w:t>the Market Operator</w:t>
      </w:r>
      <w:r w:rsidRPr="00455FB8">
        <w:rPr>
          <w:szCs w:val="24"/>
        </w:rPr>
        <w:t xml:space="preserve"> does not receive a response from the Market Participant within </w:t>
      </w:r>
      <w:r w:rsidR="007532EF">
        <w:rPr>
          <w:szCs w:val="24"/>
        </w:rPr>
        <w:t>thirty (</w:t>
      </w:r>
      <w:r w:rsidRPr="00455FB8">
        <w:rPr>
          <w:szCs w:val="24"/>
        </w:rPr>
        <w:t>30</w:t>
      </w:r>
      <w:r w:rsidR="007532EF">
        <w:rPr>
          <w:szCs w:val="24"/>
        </w:rPr>
        <w:t>)</w:t>
      </w:r>
      <w:r w:rsidRPr="00455FB8">
        <w:rPr>
          <w:szCs w:val="24"/>
        </w:rPr>
        <w:t xml:space="preserve"> Calendar Days, the dispute will be considered accepted and “Closed”.</w:t>
      </w:r>
    </w:p>
    <w:p w14:paraId="76F4E26C" w14:textId="45DA42FE" w:rsidR="008245CB" w:rsidRPr="00455FB8" w:rsidRDefault="008245CB" w:rsidP="008245CB">
      <w:pPr>
        <w:spacing w:line="300" w:lineRule="auto"/>
        <w:rPr>
          <w:szCs w:val="24"/>
        </w:rPr>
      </w:pPr>
      <w:r w:rsidRPr="00455FB8">
        <w:rPr>
          <w:szCs w:val="24"/>
        </w:rPr>
        <w:t xml:space="preserve">If the Market Participant rejects </w:t>
      </w:r>
      <w:r>
        <w:rPr>
          <w:szCs w:val="24"/>
        </w:rPr>
        <w:t>the Market Operator’s</w:t>
      </w:r>
      <w:r w:rsidRPr="00455FB8">
        <w:rPr>
          <w:szCs w:val="24"/>
        </w:rPr>
        <w:t xml:space="preserve"> determination of a dispute, which is “Granted with Exceptions,” the dispute will be investigated further. After further investigation, if the settlement and billing dispute is subsequently granted, the dispute will be processed on the next prescribed Settlement Statement to be issued.  The dispute is then “Closed.”  If exceptions to the dispute still exist, the Market Participant may either accept the dispute for resolution as “Granted with Exceptions,” or begin </w:t>
      </w:r>
      <w:r w:rsidR="00B62DFF">
        <w:rPr>
          <w:szCs w:val="24"/>
        </w:rPr>
        <w:t>e</w:t>
      </w:r>
      <w:r w:rsidR="00B62DFF" w:rsidRPr="00455FB8">
        <w:rPr>
          <w:szCs w:val="24"/>
        </w:rPr>
        <w:t xml:space="preserve">xternal </w:t>
      </w:r>
      <w:r w:rsidR="00B62DFF">
        <w:rPr>
          <w:szCs w:val="24"/>
        </w:rPr>
        <w:t>a</w:t>
      </w:r>
      <w:r w:rsidR="00B62DFF" w:rsidRPr="00455FB8">
        <w:rPr>
          <w:szCs w:val="24"/>
        </w:rPr>
        <w:t xml:space="preserve">rbitration </w:t>
      </w:r>
      <w:r w:rsidRPr="00455FB8">
        <w:rPr>
          <w:szCs w:val="24"/>
        </w:rPr>
        <w:t xml:space="preserve">according to </w:t>
      </w:r>
      <w:r w:rsidR="00B62DFF">
        <w:rPr>
          <w:szCs w:val="24"/>
        </w:rPr>
        <w:t xml:space="preserve">the </w:t>
      </w:r>
      <w:r w:rsidRPr="00455FB8">
        <w:rPr>
          <w:szCs w:val="24"/>
        </w:rPr>
        <w:t xml:space="preserve">Dispute Resolution </w:t>
      </w:r>
      <w:r w:rsidR="00B62DFF">
        <w:rPr>
          <w:szCs w:val="24"/>
        </w:rPr>
        <w:t>Pr</w:t>
      </w:r>
      <w:r w:rsidR="00610A3B">
        <w:rPr>
          <w:szCs w:val="24"/>
        </w:rPr>
        <w:t>ocedures</w:t>
      </w:r>
      <w:r w:rsidR="00B62DFF">
        <w:rPr>
          <w:szCs w:val="24"/>
        </w:rPr>
        <w:t xml:space="preserve"> </w:t>
      </w:r>
      <w:r w:rsidRPr="00455FB8">
        <w:rPr>
          <w:szCs w:val="24"/>
        </w:rPr>
        <w:t>of the Markets+ Tariff</w:t>
      </w:r>
      <w:r w:rsidR="00B62DFF">
        <w:rPr>
          <w:szCs w:val="24"/>
        </w:rPr>
        <w:t>.</w:t>
      </w:r>
    </w:p>
    <w:p w14:paraId="2B9F4266" w14:textId="626E2E08" w:rsidR="008245CB" w:rsidRPr="00AB1C58" w:rsidRDefault="008245CB" w:rsidP="00CB5653">
      <w:pPr>
        <w:pStyle w:val="Heading3"/>
      </w:pPr>
      <w:bookmarkStart w:id="6679" w:name="_Toc81053212"/>
      <w:bookmarkStart w:id="6680" w:name="_Toc237838923"/>
      <w:bookmarkStart w:id="6681" w:name="_Toc258924957"/>
      <w:bookmarkStart w:id="6682" w:name="_Toc263173401"/>
      <w:bookmarkStart w:id="6683" w:name="_Toc263173636"/>
      <w:bookmarkStart w:id="6684" w:name="_Toc263173822"/>
      <w:bookmarkStart w:id="6685" w:name="_Toc263174228"/>
      <w:bookmarkStart w:id="6686" w:name="_Toc263235127"/>
      <w:bookmarkStart w:id="6687" w:name="_Toc263235771"/>
      <w:bookmarkStart w:id="6688" w:name="_Toc263429514"/>
      <w:bookmarkStart w:id="6689" w:name="_Toc263795554"/>
      <w:bookmarkStart w:id="6690" w:name="_Toc266869737"/>
      <w:bookmarkStart w:id="6691" w:name="_Toc159233306"/>
      <w:bookmarkStart w:id="6692" w:name="_Toc213771933"/>
      <w:r w:rsidRPr="004D1491">
        <w:t xml:space="preserve">Invoice </w:t>
      </w:r>
      <w:r w:rsidRPr="009124DB">
        <w:t>Payment Process</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17C30286" w14:textId="2352C5F7" w:rsidR="008245CB" w:rsidRPr="004D1491" w:rsidRDefault="008245CB" w:rsidP="00574EDE">
      <w:pPr>
        <w:pStyle w:val="Heading4"/>
      </w:pPr>
      <w:bookmarkStart w:id="6693" w:name="_Toc81053213"/>
      <w:bookmarkStart w:id="6694" w:name="_Toc237838924"/>
      <w:bookmarkStart w:id="6695" w:name="_Toc258924958"/>
      <w:bookmarkStart w:id="6696" w:name="_Toc263173402"/>
      <w:bookmarkStart w:id="6697" w:name="_Toc263174229"/>
      <w:bookmarkStart w:id="6698" w:name="_Toc263235128"/>
      <w:bookmarkStart w:id="6699" w:name="_Toc263235772"/>
      <w:bookmarkStart w:id="6700" w:name="_Toc263429515"/>
      <w:bookmarkStart w:id="6701" w:name="_Toc263795555"/>
      <w:bookmarkStart w:id="6702" w:name="_Toc266869738"/>
      <w:bookmarkStart w:id="6703" w:name="_Toc159233307"/>
      <w:bookmarkStart w:id="6704" w:name="_Toc213771934"/>
      <w:r w:rsidRPr="004D1491">
        <w:t>Overview of Payment Process</w:t>
      </w:r>
      <w:bookmarkEnd w:id="6693"/>
      <w:bookmarkEnd w:id="6694"/>
      <w:bookmarkEnd w:id="6695"/>
      <w:bookmarkEnd w:id="6696"/>
      <w:bookmarkEnd w:id="6697"/>
      <w:bookmarkEnd w:id="6698"/>
      <w:bookmarkEnd w:id="6699"/>
      <w:bookmarkEnd w:id="6700"/>
      <w:bookmarkEnd w:id="6701"/>
      <w:bookmarkEnd w:id="6702"/>
      <w:bookmarkEnd w:id="6703"/>
      <w:bookmarkEnd w:id="6704"/>
    </w:p>
    <w:p w14:paraId="2F447C63" w14:textId="77777777" w:rsidR="008245CB" w:rsidRPr="00455FB8" w:rsidRDefault="008245CB" w:rsidP="008245CB">
      <w:pPr>
        <w:spacing w:line="300" w:lineRule="auto"/>
        <w:rPr>
          <w:szCs w:val="24"/>
        </w:rPr>
      </w:pPr>
      <w:r w:rsidRPr="00455FB8">
        <w:rPr>
          <w:szCs w:val="24"/>
        </w:rPr>
        <w:t xml:space="preserve">Payments </w:t>
      </w:r>
      <w:r>
        <w:rPr>
          <w:szCs w:val="24"/>
        </w:rPr>
        <w:t>will</w:t>
      </w:r>
      <w:r w:rsidRPr="00455FB8">
        <w:rPr>
          <w:szCs w:val="24"/>
        </w:rPr>
        <w:t xml:space="preserve"> be made in a two-step process where: </w:t>
      </w:r>
    </w:p>
    <w:p w14:paraId="7164B429" w14:textId="77777777" w:rsidR="008245CB" w:rsidRPr="00455FB8" w:rsidRDefault="008245CB" w:rsidP="00DA3CE7">
      <w:pPr>
        <w:numPr>
          <w:ilvl w:val="0"/>
          <w:numId w:val="200"/>
        </w:numPr>
        <w:spacing w:line="300" w:lineRule="auto"/>
        <w:ind w:hanging="540"/>
        <w:rPr>
          <w:szCs w:val="24"/>
        </w:rPr>
      </w:pPr>
      <w:r w:rsidRPr="00455FB8">
        <w:rPr>
          <w:szCs w:val="24"/>
        </w:rPr>
        <w:t xml:space="preserve">All Settlement Invoices due with net debits owed by Market Participant are paid by 15:00 </w:t>
      </w:r>
      <w:r w:rsidRPr="00961501">
        <w:rPr>
          <w:szCs w:val="24"/>
        </w:rPr>
        <w:t>P</w:t>
      </w:r>
      <w:r w:rsidRPr="00455FB8">
        <w:rPr>
          <w:szCs w:val="24"/>
        </w:rPr>
        <w:t xml:space="preserve">PT </w:t>
      </w:r>
      <w:r w:rsidRPr="000F6437">
        <w:rPr>
          <w:szCs w:val="24"/>
        </w:rPr>
        <w:t xml:space="preserve">on the 4th Business Day </w:t>
      </w:r>
      <w:r w:rsidRPr="00455FB8">
        <w:rPr>
          <w:szCs w:val="24"/>
        </w:rPr>
        <w:t>following the invoice date; and</w:t>
      </w:r>
    </w:p>
    <w:p w14:paraId="3F606CB3" w14:textId="77777777" w:rsidR="008245CB" w:rsidRPr="00455FB8" w:rsidRDefault="008245CB" w:rsidP="00DA3CE7">
      <w:pPr>
        <w:numPr>
          <w:ilvl w:val="0"/>
          <w:numId w:val="200"/>
        </w:numPr>
        <w:spacing w:line="300" w:lineRule="auto"/>
        <w:ind w:hanging="540"/>
        <w:rPr>
          <w:szCs w:val="24"/>
        </w:rPr>
      </w:pPr>
      <w:r w:rsidRPr="00455FB8">
        <w:rPr>
          <w:szCs w:val="24"/>
        </w:rPr>
        <w:t xml:space="preserve">All Settlement Invoices due with net credits owed to Market Participant are paid by 15:00 </w:t>
      </w:r>
      <w:r w:rsidRPr="00961501">
        <w:rPr>
          <w:szCs w:val="24"/>
        </w:rPr>
        <w:t>P</w:t>
      </w:r>
      <w:r w:rsidRPr="00455FB8">
        <w:rPr>
          <w:szCs w:val="24"/>
        </w:rPr>
        <w:t xml:space="preserve">PT </w:t>
      </w:r>
      <w:r w:rsidRPr="00061D7E">
        <w:rPr>
          <w:szCs w:val="24"/>
        </w:rPr>
        <w:t xml:space="preserve">on the 6th Business Day </w:t>
      </w:r>
      <w:r w:rsidRPr="00455FB8">
        <w:rPr>
          <w:szCs w:val="24"/>
        </w:rPr>
        <w:t>following the invoice date.</w:t>
      </w:r>
    </w:p>
    <w:p w14:paraId="7136E6C4" w14:textId="77777777" w:rsidR="008245CB" w:rsidRPr="00455FB8" w:rsidRDefault="008245CB" w:rsidP="008245CB">
      <w:pPr>
        <w:spacing w:line="300" w:lineRule="auto"/>
        <w:rPr>
          <w:szCs w:val="24"/>
        </w:rPr>
      </w:pPr>
      <w:r w:rsidRPr="00455FB8">
        <w:rPr>
          <w:szCs w:val="24"/>
        </w:rPr>
        <w:t xml:space="preserve">Payments due to </w:t>
      </w:r>
      <w:r>
        <w:rPr>
          <w:szCs w:val="24"/>
        </w:rPr>
        <w:t>the Market Operator</w:t>
      </w:r>
      <w:r w:rsidRPr="00455FB8">
        <w:rPr>
          <w:szCs w:val="24"/>
        </w:rPr>
        <w:t xml:space="preserve"> and payments due to Market Participant will be made by Electronic Funds Transfer (EFT) in U.S. Dollars.</w:t>
      </w:r>
    </w:p>
    <w:p w14:paraId="623FE1F1" w14:textId="1CE75E12" w:rsidR="008245CB" w:rsidRPr="004D1491" w:rsidRDefault="008245CB" w:rsidP="00574EDE">
      <w:pPr>
        <w:pStyle w:val="Heading4"/>
      </w:pPr>
      <w:bookmarkStart w:id="6705" w:name="_Toc81053214"/>
      <w:bookmarkStart w:id="6706" w:name="_Toc237838925"/>
      <w:bookmarkStart w:id="6707" w:name="_Toc258924959"/>
      <w:bookmarkStart w:id="6708" w:name="_Toc263173403"/>
      <w:bookmarkStart w:id="6709" w:name="_Toc263174230"/>
      <w:bookmarkStart w:id="6710" w:name="_Toc263235129"/>
      <w:bookmarkStart w:id="6711" w:name="_Toc263235773"/>
      <w:bookmarkStart w:id="6712" w:name="_Toc263429516"/>
      <w:bookmarkStart w:id="6713" w:name="_Toc263795556"/>
      <w:bookmarkStart w:id="6714" w:name="_Toc266869739"/>
      <w:bookmarkStart w:id="6715" w:name="_Toc159233308"/>
      <w:bookmarkStart w:id="6716" w:name="_Toc213771935"/>
      <w:r w:rsidRPr="004D1491">
        <w:t xml:space="preserve">Invoice Payments Due </w:t>
      </w:r>
      <w:bookmarkEnd w:id="6705"/>
      <w:bookmarkEnd w:id="6706"/>
      <w:bookmarkEnd w:id="6707"/>
      <w:bookmarkEnd w:id="6708"/>
      <w:bookmarkEnd w:id="6709"/>
      <w:bookmarkEnd w:id="6710"/>
      <w:bookmarkEnd w:id="6711"/>
      <w:bookmarkEnd w:id="6712"/>
      <w:bookmarkEnd w:id="6713"/>
      <w:bookmarkEnd w:id="6714"/>
      <w:bookmarkEnd w:id="6715"/>
      <w:r w:rsidRPr="004D1491">
        <w:t>to the Market Operator</w:t>
      </w:r>
      <w:bookmarkEnd w:id="6716"/>
    </w:p>
    <w:p w14:paraId="47CBB464" w14:textId="4718BF0A" w:rsidR="008245CB" w:rsidRPr="00455FB8" w:rsidRDefault="008245CB" w:rsidP="008245CB">
      <w:pPr>
        <w:spacing w:line="300" w:lineRule="auto"/>
        <w:rPr>
          <w:szCs w:val="24"/>
        </w:rPr>
      </w:pPr>
      <w:r w:rsidRPr="00455FB8">
        <w:rPr>
          <w:szCs w:val="24"/>
        </w:rPr>
        <w:t xml:space="preserve">Each Market Participant owing monies to </w:t>
      </w:r>
      <w:r>
        <w:rPr>
          <w:szCs w:val="24"/>
        </w:rPr>
        <w:t>the Market Operator</w:t>
      </w:r>
      <w:r w:rsidRPr="00455FB8">
        <w:rPr>
          <w:szCs w:val="24"/>
        </w:rPr>
        <w:t xml:space="preserve"> </w:t>
      </w:r>
      <w:r>
        <w:rPr>
          <w:szCs w:val="24"/>
        </w:rPr>
        <w:t xml:space="preserve">will </w:t>
      </w:r>
      <w:r w:rsidRPr="00455FB8">
        <w:rPr>
          <w:szCs w:val="24"/>
        </w:rPr>
        <w:t xml:space="preserve">remit the amount shown on its invoice so </w:t>
      </w:r>
      <w:r>
        <w:rPr>
          <w:szCs w:val="24"/>
        </w:rPr>
        <w:t>the Market Operator</w:t>
      </w:r>
      <w:r w:rsidRPr="00455FB8">
        <w:rPr>
          <w:szCs w:val="24"/>
        </w:rPr>
        <w:t xml:space="preserve"> receives this amount no later than 15:00 PPT on the </w:t>
      </w:r>
      <w:r w:rsidRPr="000B3E17">
        <w:rPr>
          <w:szCs w:val="24"/>
        </w:rPr>
        <w:t>4th</w:t>
      </w:r>
      <w:r>
        <w:rPr>
          <w:szCs w:val="24"/>
        </w:rPr>
        <w:t xml:space="preserve"> Business </w:t>
      </w:r>
      <w:r w:rsidRPr="000B3E17">
        <w:rPr>
          <w:szCs w:val="24"/>
        </w:rPr>
        <w:t>Day</w:t>
      </w:r>
      <w:r w:rsidRPr="00455FB8">
        <w:rPr>
          <w:szCs w:val="24"/>
        </w:rPr>
        <w:t xml:space="preserve"> following the invoice date.  Payments due will be made by Electronic Funds Transfer (EFT) in U.S. Dollars.  Payments </w:t>
      </w:r>
      <w:r w:rsidR="00DE32A5">
        <w:rPr>
          <w:szCs w:val="24"/>
        </w:rPr>
        <w:t>must</w:t>
      </w:r>
      <w:r w:rsidRPr="00455FB8">
        <w:rPr>
          <w:szCs w:val="24"/>
        </w:rPr>
        <w:t xml:space="preserve"> be made regardless of any settlement or invoice dispute regarding the amount of the debit.  Payments not received by the due date will be subject to interest charges as approved by the Federal Energy Regulatory Commission. </w:t>
      </w:r>
    </w:p>
    <w:p w14:paraId="6CD431FF" w14:textId="11C7B0D0" w:rsidR="008245CB" w:rsidRPr="004D1491" w:rsidRDefault="008245CB" w:rsidP="00574EDE">
      <w:pPr>
        <w:pStyle w:val="Heading4"/>
      </w:pPr>
      <w:bookmarkStart w:id="6717" w:name="_Toc81053215"/>
      <w:bookmarkStart w:id="6718" w:name="_Toc237838926"/>
      <w:bookmarkStart w:id="6719" w:name="_Toc258924960"/>
      <w:bookmarkStart w:id="6720" w:name="_Toc263173404"/>
      <w:bookmarkStart w:id="6721" w:name="_Toc263174231"/>
      <w:bookmarkStart w:id="6722" w:name="_Toc263235130"/>
      <w:bookmarkStart w:id="6723" w:name="_Toc263235774"/>
      <w:bookmarkStart w:id="6724" w:name="_Toc263429517"/>
      <w:bookmarkStart w:id="6725" w:name="_Toc263795557"/>
      <w:bookmarkStart w:id="6726" w:name="_Toc266869740"/>
      <w:bookmarkStart w:id="6727" w:name="_Toc159233309"/>
      <w:bookmarkStart w:id="6728" w:name="_Toc213771936"/>
      <w:r w:rsidRPr="004D1491">
        <w:t>Market Operator Payments to Invoice Recipients</w:t>
      </w:r>
      <w:bookmarkEnd w:id="6717"/>
      <w:bookmarkEnd w:id="6718"/>
      <w:bookmarkEnd w:id="6719"/>
      <w:bookmarkEnd w:id="6720"/>
      <w:bookmarkEnd w:id="6721"/>
      <w:bookmarkEnd w:id="6722"/>
      <w:bookmarkEnd w:id="6723"/>
      <w:bookmarkEnd w:id="6724"/>
      <w:bookmarkEnd w:id="6725"/>
      <w:bookmarkEnd w:id="6726"/>
      <w:bookmarkEnd w:id="6727"/>
      <w:bookmarkEnd w:id="6728"/>
    </w:p>
    <w:p w14:paraId="238F0364" w14:textId="10116D6A" w:rsidR="008245CB" w:rsidRPr="00455FB8" w:rsidRDefault="008245CB" w:rsidP="008245CB">
      <w:pPr>
        <w:spacing w:line="300" w:lineRule="auto"/>
      </w:pPr>
      <w:r w:rsidRPr="00D03E28">
        <w:rPr>
          <w:szCs w:val="24"/>
        </w:rPr>
        <w:t>On the 5</w:t>
      </w:r>
      <w:r w:rsidRPr="00D03E28">
        <w:rPr>
          <w:szCs w:val="24"/>
          <w:vertAlign w:val="superscript"/>
        </w:rPr>
        <w:t>th</w:t>
      </w:r>
      <w:r w:rsidRPr="00D03E28">
        <w:rPr>
          <w:szCs w:val="24"/>
        </w:rPr>
        <w:t xml:space="preserve"> Business Day following the invoice date (or 1</w:t>
      </w:r>
      <w:r w:rsidRPr="00D03E28" w:rsidDel="009E4277">
        <w:rPr>
          <w:szCs w:val="24"/>
        </w:rPr>
        <w:t xml:space="preserve"> </w:t>
      </w:r>
      <w:r w:rsidRPr="00D03E28">
        <w:rPr>
          <w:szCs w:val="24"/>
        </w:rPr>
        <w:t>Business Day after payments are due from Market Participants),</w:t>
      </w:r>
      <w:r w:rsidRPr="00455FB8">
        <w:rPr>
          <w:szCs w:val="24"/>
        </w:rPr>
        <w:t xml:space="preserve"> </w:t>
      </w:r>
      <w:r>
        <w:rPr>
          <w:szCs w:val="24"/>
        </w:rPr>
        <w:t>the Market Operator</w:t>
      </w:r>
      <w:r w:rsidRPr="00455FB8">
        <w:rPr>
          <w:szCs w:val="24"/>
        </w:rPr>
        <w:t xml:space="preserve"> </w:t>
      </w:r>
      <w:r>
        <w:rPr>
          <w:szCs w:val="24"/>
        </w:rPr>
        <w:t>will</w:t>
      </w:r>
      <w:r w:rsidRPr="00455FB8">
        <w:rPr>
          <w:szCs w:val="24"/>
        </w:rPr>
        <w:t xml:space="preserve"> calculate (via a payout report) the amounts for distribution to Market Participants with net credits and remit to those Market Participants no later than 15:00 PPT the </w:t>
      </w:r>
      <w:r w:rsidRPr="000B3E17">
        <w:rPr>
          <w:szCs w:val="24"/>
        </w:rPr>
        <w:t>6</w:t>
      </w:r>
      <w:r w:rsidRPr="000B3E17">
        <w:rPr>
          <w:szCs w:val="24"/>
          <w:vertAlign w:val="superscript"/>
        </w:rPr>
        <w:t>th</w:t>
      </w:r>
      <w:r w:rsidRPr="000B3E17">
        <w:rPr>
          <w:szCs w:val="24"/>
        </w:rPr>
        <w:t xml:space="preserve"> Business </w:t>
      </w:r>
      <w:r>
        <w:rPr>
          <w:szCs w:val="24"/>
        </w:rPr>
        <w:t>Day</w:t>
      </w:r>
      <w:r w:rsidRPr="00455FB8">
        <w:rPr>
          <w:szCs w:val="24"/>
        </w:rPr>
        <w:t xml:space="preserve">.  Once each payout report has been finalized, </w:t>
      </w:r>
      <w:r>
        <w:rPr>
          <w:szCs w:val="24"/>
        </w:rPr>
        <w:t>it</w:t>
      </w:r>
      <w:r w:rsidRPr="00455FB8">
        <w:rPr>
          <w:szCs w:val="24"/>
        </w:rPr>
        <w:t xml:space="preserve"> will be posted to the Portal by 13:00 PPT on </w:t>
      </w:r>
      <w:r w:rsidRPr="000F6437">
        <w:rPr>
          <w:szCs w:val="24"/>
        </w:rPr>
        <w:t xml:space="preserve">the </w:t>
      </w:r>
      <w:r>
        <w:rPr>
          <w:szCs w:val="24"/>
        </w:rPr>
        <w:t>5</w:t>
      </w:r>
      <w:r w:rsidRPr="000F6437">
        <w:rPr>
          <w:szCs w:val="24"/>
        </w:rPr>
        <w:t xml:space="preserve">th Business </w:t>
      </w:r>
      <w:r w:rsidRPr="000B3E17">
        <w:rPr>
          <w:szCs w:val="24"/>
        </w:rPr>
        <w:t>Day.</w:t>
      </w:r>
      <w:r w:rsidRPr="00455FB8">
        <w:rPr>
          <w:szCs w:val="24"/>
        </w:rPr>
        <w:t xml:space="preserve">  At that time, Market Participants will be able to access information regarding their respective </w:t>
      </w:r>
      <w:r>
        <w:rPr>
          <w:szCs w:val="24"/>
        </w:rPr>
        <w:t>6</w:t>
      </w:r>
      <w:r w:rsidRPr="00FE5640">
        <w:rPr>
          <w:szCs w:val="24"/>
          <w:vertAlign w:val="superscript"/>
        </w:rPr>
        <w:t>th</w:t>
      </w:r>
      <w:r>
        <w:rPr>
          <w:szCs w:val="24"/>
        </w:rPr>
        <w:t xml:space="preserve"> Business Day</w:t>
      </w:r>
      <w:r w:rsidRPr="00455FB8">
        <w:rPr>
          <w:szCs w:val="24"/>
        </w:rPr>
        <w:t xml:space="preserve"> payout amounts.  </w:t>
      </w:r>
      <w:bookmarkStart w:id="6729" w:name="_Toc162686270"/>
      <w:bookmarkStart w:id="6730" w:name="_Toc163029352"/>
      <w:bookmarkStart w:id="6731" w:name="_Toc163029658"/>
      <w:bookmarkStart w:id="6732" w:name="_Toc164153178"/>
      <w:bookmarkStart w:id="6733" w:name="_Toc162686276"/>
      <w:bookmarkStart w:id="6734" w:name="_Toc163029358"/>
      <w:bookmarkStart w:id="6735" w:name="_Toc163029664"/>
      <w:bookmarkStart w:id="6736" w:name="_Toc164153184"/>
      <w:bookmarkStart w:id="6737" w:name="_Toc162686277"/>
      <w:bookmarkStart w:id="6738" w:name="_Toc163029359"/>
      <w:bookmarkStart w:id="6739" w:name="_Toc163029665"/>
      <w:bookmarkStart w:id="6740" w:name="_Toc164153185"/>
      <w:bookmarkStart w:id="6741" w:name="_Toc162686278"/>
      <w:bookmarkStart w:id="6742" w:name="_Toc163029360"/>
      <w:bookmarkStart w:id="6743" w:name="_Toc163029666"/>
      <w:bookmarkStart w:id="6744" w:name="_Toc164153186"/>
      <w:bookmarkStart w:id="6745" w:name="_Toc162686279"/>
      <w:bookmarkStart w:id="6746" w:name="_Toc163029361"/>
      <w:bookmarkStart w:id="6747" w:name="_Toc163029667"/>
      <w:bookmarkStart w:id="6748" w:name="_Toc164153187"/>
      <w:bookmarkStart w:id="6749" w:name="_Toc162686282"/>
      <w:bookmarkStart w:id="6750" w:name="_Toc163029364"/>
      <w:bookmarkStart w:id="6751" w:name="_Toc163029670"/>
      <w:bookmarkStart w:id="6752" w:name="_Toc164153190"/>
      <w:bookmarkStart w:id="6753" w:name="_Toc162686284"/>
      <w:bookmarkStart w:id="6754" w:name="_Toc163029366"/>
      <w:bookmarkStart w:id="6755" w:name="_Toc163029672"/>
      <w:bookmarkStart w:id="6756" w:name="_Toc164153192"/>
      <w:bookmarkStart w:id="6757" w:name="_Toc162686285"/>
      <w:bookmarkStart w:id="6758" w:name="_Toc163029367"/>
      <w:bookmarkStart w:id="6759" w:name="_Toc163029673"/>
      <w:bookmarkStart w:id="6760" w:name="_Toc164153193"/>
      <w:bookmarkStart w:id="6761" w:name="_Toc162686286"/>
      <w:bookmarkStart w:id="6762" w:name="_Toc163029368"/>
      <w:bookmarkStart w:id="6763" w:name="_Toc163029674"/>
      <w:bookmarkStart w:id="6764" w:name="_Toc164153194"/>
      <w:bookmarkStart w:id="6765" w:name="_Toc162686287"/>
      <w:bookmarkStart w:id="6766" w:name="_Toc163029369"/>
      <w:bookmarkStart w:id="6767" w:name="_Toc163029675"/>
      <w:bookmarkStart w:id="6768" w:name="_Toc164153195"/>
      <w:bookmarkStart w:id="6769" w:name="_Toc162686288"/>
      <w:bookmarkStart w:id="6770" w:name="_Toc163029370"/>
      <w:bookmarkStart w:id="6771" w:name="_Toc163029676"/>
      <w:bookmarkStart w:id="6772" w:name="_Toc164153196"/>
      <w:bookmarkStart w:id="6773" w:name="_Toc162686289"/>
      <w:bookmarkStart w:id="6774" w:name="_Toc163029371"/>
      <w:bookmarkStart w:id="6775" w:name="_Toc163029677"/>
      <w:bookmarkStart w:id="6776" w:name="_Toc164153197"/>
      <w:bookmarkStart w:id="6777" w:name="_Toc162686294"/>
      <w:bookmarkStart w:id="6778" w:name="_Toc163029376"/>
      <w:bookmarkStart w:id="6779" w:name="_Toc163029682"/>
      <w:bookmarkStart w:id="6780" w:name="_Toc164153202"/>
      <w:bookmarkStart w:id="6781" w:name="_Toc162686295"/>
      <w:bookmarkStart w:id="6782" w:name="_Toc163029377"/>
      <w:bookmarkStart w:id="6783" w:name="_Toc163029683"/>
      <w:bookmarkStart w:id="6784" w:name="_Toc164153203"/>
      <w:bookmarkStart w:id="6785" w:name="_Toc162686296"/>
      <w:bookmarkStart w:id="6786" w:name="_Toc163029378"/>
      <w:bookmarkStart w:id="6787" w:name="_Toc163029684"/>
      <w:bookmarkStart w:id="6788" w:name="_Toc164153204"/>
      <w:bookmarkStart w:id="6789" w:name="_Toc162686297"/>
      <w:bookmarkStart w:id="6790" w:name="_Toc163029379"/>
      <w:bookmarkStart w:id="6791" w:name="_Toc163029685"/>
      <w:bookmarkStart w:id="6792" w:name="_Toc164153205"/>
      <w:bookmarkStart w:id="6793" w:name="_Toc162686298"/>
      <w:bookmarkStart w:id="6794" w:name="_Toc163029380"/>
      <w:bookmarkStart w:id="6795" w:name="_Toc163029686"/>
      <w:bookmarkStart w:id="6796" w:name="_Toc164153206"/>
      <w:bookmarkStart w:id="6797" w:name="_Toc259783699"/>
      <w:bookmarkStart w:id="6798" w:name="_Toc260082619"/>
      <w:bookmarkStart w:id="6799" w:name="_Toc260082862"/>
      <w:bookmarkStart w:id="6800" w:name="_Toc260160004"/>
      <w:bookmarkStart w:id="6801" w:name="_Toc260229364"/>
      <w:bookmarkStart w:id="6802" w:name="_Toc260250650"/>
      <w:bookmarkStart w:id="6803" w:name="_Toc260250922"/>
      <w:bookmarkStart w:id="6804" w:name="_Toc259783700"/>
      <w:bookmarkStart w:id="6805" w:name="_Toc260082620"/>
      <w:bookmarkStart w:id="6806" w:name="_Toc260082863"/>
      <w:bookmarkStart w:id="6807" w:name="_Toc260160005"/>
      <w:bookmarkStart w:id="6808" w:name="_Toc260229365"/>
      <w:bookmarkStart w:id="6809" w:name="_Toc260250651"/>
      <w:bookmarkStart w:id="6810" w:name="_Toc260250923"/>
      <w:bookmarkStart w:id="6811" w:name="_Toc259783702"/>
      <w:bookmarkStart w:id="6812" w:name="_Toc260082622"/>
      <w:bookmarkStart w:id="6813" w:name="_Toc260082865"/>
      <w:bookmarkStart w:id="6814" w:name="_Toc278978693"/>
      <w:bookmarkStart w:id="6815" w:name="_Toc279571814"/>
      <w:bookmarkStart w:id="6816" w:name="_Toc280278704"/>
      <w:bookmarkStart w:id="6817" w:name="_Toc278978694"/>
      <w:bookmarkStart w:id="6818" w:name="_Toc279571815"/>
      <w:bookmarkStart w:id="6819" w:name="_Toc280278705"/>
      <w:bookmarkStart w:id="6820" w:name="_Toc278978695"/>
      <w:bookmarkStart w:id="6821" w:name="_Toc279571816"/>
      <w:bookmarkStart w:id="6822" w:name="_Toc280278706"/>
      <w:bookmarkStart w:id="6823" w:name="_Toc278978697"/>
      <w:bookmarkStart w:id="6824" w:name="_Toc279571818"/>
      <w:bookmarkStart w:id="6825" w:name="_Toc280278708"/>
      <w:bookmarkStart w:id="6826" w:name="_Toc272316312"/>
      <w:bookmarkStart w:id="6827" w:name="_Toc260160026"/>
      <w:bookmarkStart w:id="6828" w:name="_Toc260229386"/>
      <w:bookmarkStart w:id="6829" w:name="_Toc260250672"/>
      <w:bookmarkStart w:id="6830" w:name="_Toc260250944"/>
      <w:bookmarkStart w:id="6831" w:name="_Toc260160027"/>
      <w:bookmarkStart w:id="6832" w:name="_Toc260229387"/>
      <w:bookmarkStart w:id="6833" w:name="_Toc260250673"/>
      <w:bookmarkStart w:id="6834" w:name="_Toc260250945"/>
      <w:bookmarkStart w:id="6835" w:name="_Toc161723783"/>
      <w:bookmarkStart w:id="6836" w:name="_Toc161743188"/>
      <w:bookmarkStart w:id="6837" w:name="_Toc162260348"/>
      <w:bookmarkStart w:id="6838" w:name="_Toc162682944"/>
      <w:bookmarkStart w:id="6839" w:name="_Toc162683227"/>
      <w:bookmarkStart w:id="6840" w:name="_Toc162686181"/>
      <w:bookmarkStart w:id="6841" w:name="_Toc162686496"/>
      <w:bookmarkStart w:id="6842" w:name="_Toc163029570"/>
      <w:bookmarkStart w:id="6843" w:name="_Toc163029876"/>
      <w:bookmarkStart w:id="6844" w:name="_Toc164153400"/>
      <w:bookmarkStart w:id="6845" w:name="_Toc254189770"/>
      <w:bookmarkStart w:id="6846" w:name="_Toc255386936"/>
      <w:bookmarkStart w:id="6847" w:name="_Toc255387078"/>
      <w:bookmarkStart w:id="6848" w:name="_Toc255391361"/>
      <w:bookmarkStart w:id="6849" w:name="_Toc256016769"/>
      <w:bookmarkStart w:id="6850" w:name="_Toc256059918"/>
      <w:bookmarkStart w:id="6851" w:name="_Toc256063716"/>
      <w:bookmarkStart w:id="6852" w:name="_Toc256151022"/>
      <w:bookmarkStart w:id="6853" w:name="_Toc256166968"/>
      <w:bookmarkStart w:id="6854" w:name="_Toc256167115"/>
      <w:bookmarkStart w:id="6855" w:name="_Toc256173592"/>
      <w:bookmarkStart w:id="6856" w:name="_Toc256515127"/>
      <w:bookmarkStart w:id="6857" w:name="_Toc256603913"/>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p>
    <w:p w14:paraId="79E90100" w14:textId="62014279" w:rsidR="007C6B96" w:rsidRDefault="00295F21" w:rsidP="00295F21">
      <w:pPr>
        <w:keepNext/>
        <w:numPr>
          <w:ilvl w:val="2"/>
          <w:numId w:val="0"/>
        </w:numPr>
        <w:tabs>
          <w:tab w:val="num" w:pos="1080"/>
        </w:tabs>
        <w:spacing w:after="240"/>
        <w:ind w:left="1080" w:hanging="1080"/>
        <w:outlineLvl w:val="2"/>
        <w:rPr>
          <w:b/>
          <w:sz w:val="26"/>
        </w:rPr>
      </w:pPr>
      <w:bookmarkStart w:id="6858" w:name="_Toc213771937"/>
      <w:r>
        <w:rPr>
          <w:b/>
          <w:sz w:val="26"/>
        </w:rPr>
        <w:t xml:space="preserve">4.5.17 </w:t>
      </w:r>
      <w:r w:rsidRPr="00A161E6">
        <w:rPr>
          <w:b/>
          <w:sz w:val="26"/>
        </w:rPr>
        <w:t>Markets+ Administration Service</w:t>
      </w:r>
      <w:bookmarkEnd w:id="6858"/>
    </w:p>
    <w:p w14:paraId="74A95268" w14:textId="079F2C37" w:rsidR="007C6B96" w:rsidRDefault="007C6B96" w:rsidP="007C6B96">
      <w:r>
        <w:t xml:space="preserve">Moved to </w:t>
      </w:r>
      <w:r w:rsidR="00DF00EA">
        <w:t>Markets+</w:t>
      </w:r>
      <w:r>
        <w:t xml:space="preserve"> Settlements </w:t>
      </w:r>
      <w:r w:rsidR="00816E47">
        <w:t>Calculation</w:t>
      </w:r>
      <w:r>
        <w:t xml:space="preserve"> Guide</w:t>
      </w:r>
      <w:r w:rsidR="00E37E0D">
        <w:t>.</w:t>
      </w:r>
    </w:p>
    <w:p w14:paraId="6D25E3B6" w14:textId="77777777" w:rsidR="007C6B96" w:rsidRDefault="007C6B96">
      <w:pPr>
        <w:spacing w:after="0"/>
        <w:jc w:val="left"/>
        <w:rPr>
          <w:b/>
          <w:sz w:val="26"/>
        </w:rPr>
      </w:pPr>
      <w:r>
        <w:rPr>
          <w:b/>
          <w:sz w:val="26"/>
        </w:rPr>
        <w:br w:type="page"/>
      </w:r>
    </w:p>
    <w:p w14:paraId="75DE881C" w14:textId="2713CD5D" w:rsidR="00A014E5" w:rsidRPr="0007641A" w:rsidRDefault="00A014E5" w:rsidP="00A31283">
      <w:pPr>
        <w:pStyle w:val="Heading1"/>
      </w:pPr>
      <w:bookmarkStart w:id="6859" w:name="_Ref193981031"/>
      <w:bookmarkStart w:id="6860" w:name="_Ref193981057"/>
      <w:bookmarkStart w:id="6861" w:name="_Toc213771938"/>
      <w:r w:rsidRPr="0007641A">
        <w:t>Greenhouse Gas Pricing Programs &amp; GHG Tracking and Reporting</w:t>
      </w:r>
      <w:bookmarkEnd w:id="6859"/>
      <w:bookmarkEnd w:id="6860"/>
      <w:bookmarkEnd w:id="6861"/>
      <w:r w:rsidRPr="0007641A">
        <w:t xml:space="preserve"> </w:t>
      </w:r>
    </w:p>
    <w:p w14:paraId="75188B03" w14:textId="4873A4FA" w:rsidR="00A014E5" w:rsidRPr="0007641A" w:rsidRDefault="00A014E5" w:rsidP="00A014E5">
      <w:pPr>
        <w:spacing w:line="300" w:lineRule="auto"/>
      </w:pPr>
      <w:r w:rsidRPr="0007641A">
        <w:t>Two</w:t>
      </w:r>
      <w:r w:rsidR="003110DB">
        <w:t xml:space="preserve"> (2)</w:t>
      </w:r>
      <w:r w:rsidRPr="0007641A">
        <w:t xml:space="preserve"> constructs accommodate state or regional </w:t>
      </w:r>
      <w:r w:rsidR="003110DB">
        <w:t>G</w:t>
      </w:r>
      <w:r w:rsidRPr="0007641A">
        <w:t xml:space="preserve">reenhouse </w:t>
      </w:r>
      <w:r w:rsidR="003110DB">
        <w:t>G</w:t>
      </w:r>
      <w:r w:rsidRPr="0007641A">
        <w:t>as programs and initiatives. For states or regions with GHG Pricing Programs, the Market Operator creates a GHG Pricing Zone as part of the registration process that includes all of the P</w:t>
      </w:r>
      <w:r w:rsidR="003110DB">
        <w:t>n</w:t>
      </w:r>
      <w:r w:rsidRPr="0007641A">
        <w:t xml:space="preserve">odes for Internal GHG Resources and GHG Load within that GHG Pricing Zone. In addition, the Market Operator provides Market Participants with the applicable data for tracking and reporting elements necessary for the Market Participant to monitor its emissions as described under Section </w:t>
      </w:r>
      <w:r w:rsidR="0017160A">
        <w:fldChar w:fldCharType="begin"/>
      </w:r>
      <w:r w:rsidR="0017160A">
        <w:instrText xml:space="preserve"> REF _Ref212559871 \r \h </w:instrText>
      </w:r>
      <w:r w:rsidR="0017160A">
        <w:fldChar w:fldCharType="separate"/>
      </w:r>
      <w:r w:rsidR="0017160A">
        <w:t>5.5</w:t>
      </w:r>
      <w:r w:rsidR="0017160A">
        <w:fldChar w:fldCharType="end"/>
      </w:r>
      <w:r w:rsidRPr="0007641A">
        <w:t xml:space="preserve">. </w:t>
      </w:r>
    </w:p>
    <w:p w14:paraId="4999E135" w14:textId="10EC452A" w:rsidR="00A014E5" w:rsidRPr="0007641A" w:rsidRDefault="00A014E5" w:rsidP="00A6174C">
      <w:pPr>
        <w:pStyle w:val="Heading2"/>
      </w:pPr>
      <w:bookmarkStart w:id="6862" w:name="_Toc213771939"/>
      <w:r w:rsidRPr="1DA37A45">
        <w:t>Resource Types Supplying Load in GHG Pricing Zones</w:t>
      </w:r>
      <w:bookmarkEnd w:id="6862"/>
    </w:p>
    <w:p w14:paraId="2F61967B" w14:textId="0B667016" w:rsidR="00A014E5" w:rsidRPr="0007641A" w:rsidRDefault="00A014E5" w:rsidP="00A014E5">
      <w:pPr>
        <w:spacing w:before="120" w:line="300" w:lineRule="auto"/>
      </w:pPr>
      <w:r w:rsidRPr="1DA37A45">
        <w:t xml:space="preserve">Markets+ uses the term </w:t>
      </w:r>
      <w:r w:rsidR="00B07B5B">
        <w:t>A</w:t>
      </w:r>
      <w:r w:rsidRPr="1DA37A45">
        <w:t>ttribut</w:t>
      </w:r>
      <w:r w:rsidR="00B07B5B">
        <w:t>ion</w:t>
      </w:r>
      <w:r w:rsidRPr="1DA37A45">
        <w:t xml:space="preserve"> to categorize Energy that is subject to the compliance obligations and costs associated with a</w:t>
      </w:r>
      <w:r w:rsidRPr="1DA37A45" w:rsidDel="00336DBD">
        <w:t xml:space="preserve"> </w:t>
      </w:r>
      <w:r>
        <w:t xml:space="preserve">carbon pricing </w:t>
      </w:r>
      <w:r w:rsidRPr="1DA37A45" w:rsidDel="00336DBD">
        <w:t>program</w:t>
      </w:r>
      <w:r w:rsidRPr="1DA37A45">
        <w:t>, which Markets+ termed a GHG Pricing Program. Market dispatch does not attribute marginal GHG costs to the GHG Pricing Zone, but rather attributes Energy to the GHG Pricing Zone, which will include an associated</w:t>
      </w:r>
      <w:r>
        <w:t xml:space="preserve"> Specified GHG Adder or Unspecified GHG Adder</w:t>
      </w:r>
      <w:r w:rsidRPr="1DA37A45">
        <w:t xml:space="preserve">. The market dispatch ensures accurate assignment of marginal GHG cost through the Marginal GHG Price.   </w:t>
      </w:r>
    </w:p>
    <w:p w14:paraId="4DD6B98F" w14:textId="6A2D085E" w:rsidR="00A014E5" w:rsidRDefault="00A014E5" w:rsidP="00A014E5">
      <w:pPr>
        <w:spacing w:before="120" w:line="300" w:lineRule="auto"/>
      </w:pPr>
      <w:r w:rsidRPr="1DA37A45">
        <w:t>Two</w:t>
      </w:r>
      <w:r w:rsidR="003110DB">
        <w:t xml:space="preserve"> (2)</w:t>
      </w:r>
      <w:r w:rsidRPr="1DA37A45">
        <w:t xml:space="preserve"> types of Resources may have their Energy attributed to a GHG Pricing Zone: Internal GHG Resources and Specified Source Resources. Specified Source Resources may </w:t>
      </w:r>
      <w:r w:rsidRPr="65775C5B">
        <w:t xml:space="preserve">voluntarily </w:t>
      </w:r>
      <w:r w:rsidRPr="1DA37A45">
        <w:t>offer three (3) types of Energy: Type 1A Energy, Type 1B Energy, and Type 2 Energy.</w:t>
      </w:r>
      <w:r>
        <w:t xml:space="preserve"> In each </w:t>
      </w:r>
      <w:r w:rsidR="00593E29">
        <w:t>Operating H</w:t>
      </w:r>
      <w:r>
        <w:t>our, any available Energy from a Specified Source Resource that has not been designated as Type 1A</w:t>
      </w:r>
      <w:r w:rsidR="00157FD9">
        <w:t xml:space="preserve"> Energy</w:t>
      </w:r>
      <w:r>
        <w:t>, Type 1B</w:t>
      </w:r>
      <w:r w:rsidR="00157FD9">
        <w:t xml:space="preserve"> Energy</w:t>
      </w:r>
      <w:r>
        <w:t>, or Type 2 Energy may not be attributed to a GHG Pricing Zone (</w:t>
      </w:r>
      <w:r w:rsidRPr="65775C5B">
        <w:t>non-attributable Energy</w:t>
      </w:r>
      <w:r>
        <w:t>)</w:t>
      </w:r>
      <w:r w:rsidRPr="1DA37A45">
        <w:t>.  In addition, Unspecified Source Imports and Import Interchange Transaction Energy may be attributed to a GHG Pricing Zone, if economic to do so.  Each of these Energy sources available to be attributed to a GHG Pricing Zone is described in the following subsections.</w:t>
      </w:r>
    </w:p>
    <w:p w14:paraId="41998ABA" w14:textId="76E1F2D8" w:rsidR="00A014E5" w:rsidRDefault="00A014E5" w:rsidP="00A014E5">
      <w:pPr>
        <w:spacing w:before="120" w:line="300" w:lineRule="auto"/>
      </w:pPr>
      <w:r w:rsidRPr="0007641A">
        <w:t>The Market Operator models Specified Source Resources by creating two “</w:t>
      </w:r>
      <w:r>
        <w:t>Child”</w:t>
      </w:r>
      <w:r w:rsidRPr="0007641A">
        <w:t xml:space="preserve"> </w:t>
      </w:r>
      <w:r>
        <w:t xml:space="preserve">Specified Source </w:t>
      </w:r>
      <w:r w:rsidRPr="0007641A">
        <w:t xml:space="preserve">Resources in the Commercial Model that are linked directly to the physical </w:t>
      </w:r>
      <w:r>
        <w:t xml:space="preserve">“Parent” </w:t>
      </w:r>
      <w:r w:rsidRPr="0007641A">
        <w:t xml:space="preserve">Resource in the Network Model.  </w:t>
      </w:r>
      <w:r>
        <w:t>One “Child</w:t>
      </w:r>
      <w:r w:rsidR="001C30F5">
        <w:t>”</w:t>
      </w:r>
      <w:r>
        <w:t xml:space="preserve"> Resource will represent Type 1A Energy, and the second “Child</w:t>
      </w:r>
      <w:r w:rsidR="001C30F5">
        <w:t>”</w:t>
      </w:r>
      <w:r>
        <w:t xml:space="preserve"> Resource will represent Type 1B Energy, Type 2 Energy, and non-attributable Energy. </w:t>
      </w:r>
      <w:r w:rsidRPr="0007641A">
        <w:t xml:space="preserve">A Market Participant submits separate Offers for each </w:t>
      </w:r>
      <w:r>
        <w:t>“Child</w:t>
      </w:r>
      <w:r w:rsidR="001C30F5">
        <w:t>”</w:t>
      </w:r>
      <w:r w:rsidRPr="0007641A">
        <w:t xml:space="preserve"> Resource</w:t>
      </w:r>
      <w:r>
        <w:t>,</w:t>
      </w:r>
      <w:r w:rsidRPr="0007641A">
        <w:t xml:space="preserve"> as described in the following subsections.</w:t>
      </w:r>
      <w:r w:rsidRPr="00836185">
        <w:t xml:space="preserve"> </w:t>
      </w:r>
      <w:r w:rsidRPr="0007641A">
        <w:t xml:space="preserve">The Market Operator dispatches each </w:t>
      </w:r>
      <w:r>
        <w:t>“Child</w:t>
      </w:r>
      <w:r w:rsidR="001C30F5">
        <w:t>”</w:t>
      </w:r>
      <w:r>
        <w:t xml:space="preserve"> Resource</w:t>
      </w:r>
      <w:r w:rsidRPr="0007641A">
        <w:t xml:space="preserve"> independently.</w:t>
      </w:r>
    </w:p>
    <w:p w14:paraId="672A7CCB" w14:textId="77777777" w:rsidR="00921E5B" w:rsidRDefault="00921E5B" w:rsidP="00A014E5">
      <w:pPr>
        <w:spacing w:before="120" w:line="300" w:lineRule="auto"/>
      </w:pPr>
    </w:p>
    <w:p w14:paraId="3A6BCB00" w14:textId="4982C641" w:rsidR="00A014E5" w:rsidRPr="0007641A" w:rsidRDefault="00A014E5" w:rsidP="00A014E5">
      <w:pPr>
        <w:spacing w:before="120" w:line="300" w:lineRule="auto"/>
      </w:pPr>
      <w:r>
        <w:t xml:space="preserve">If a Market Participant does not intend to offer Energy from a Resource that is external to a GHG Pricing Zone for possible Attribution to a GHG Pricing Zone, the Market Participant should not register that Resource as a Specified Source Resource. </w:t>
      </w:r>
    </w:p>
    <w:p w14:paraId="54579923" w14:textId="77777777" w:rsidR="00A014E5" w:rsidRPr="0007641A" w:rsidRDefault="00A014E5" w:rsidP="00A014E5">
      <w:pPr>
        <w:spacing w:before="120" w:line="300" w:lineRule="auto"/>
      </w:pPr>
      <w:r w:rsidRPr="1DA37A45">
        <w:t xml:space="preserve"> </w:t>
      </w:r>
    </w:p>
    <w:p w14:paraId="3F9AC143" w14:textId="0330A051" w:rsidR="00A014E5" w:rsidRPr="0007641A" w:rsidRDefault="00A014E5" w:rsidP="00CB5653">
      <w:pPr>
        <w:pStyle w:val="Heading3"/>
      </w:pPr>
      <w:bookmarkStart w:id="6863" w:name="_Toc213771940"/>
      <w:r w:rsidRPr="0007641A">
        <w:t>Internal GHG Resource</w:t>
      </w:r>
      <w:bookmarkEnd w:id="6863"/>
    </w:p>
    <w:p w14:paraId="2EF4F03F" w14:textId="552E40CD" w:rsidR="00A014E5" w:rsidRPr="0007641A" w:rsidRDefault="00A014E5" w:rsidP="00A014E5">
      <w:pPr>
        <w:spacing w:line="300" w:lineRule="auto"/>
      </w:pPr>
      <w:r w:rsidRPr="65775C5B">
        <w:t xml:space="preserve">An Internal GHG Resource is a registered Resource that the Market Participant identifies as an Internal GHG Resource under Section </w:t>
      </w:r>
      <w:r w:rsidR="00157853">
        <w:fldChar w:fldCharType="begin"/>
      </w:r>
      <w:r w:rsidR="00157853">
        <w:instrText xml:space="preserve"> REF _Ref212559962 \r \h </w:instrText>
      </w:r>
      <w:r w:rsidR="00157853">
        <w:fldChar w:fldCharType="separate"/>
      </w:r>
      <w:r w:rsidR="00157853">
        <w:t>9.3.1.1</w:t>
      </w:r>
      <w:r w:rsidR="00157853">
        <w:fldChar w:fldCharType="end"/>
      </w:r>
      <w:r w:rsidRPr="65775C5B">
        <w:t xml:space="preserve">. A Market Participant must identify an Internal GHG Resource when the rules, laws, or regulations of the relevant GHG Pricing Program consider that Resource to be internal. </w:t>
      </w:r>
    </w:p>
    <w:p w14:paraId="05B1709D" w14:textId="4766960C" w:rsidR="00A014E5" w:rsidRPr="0007641A" w:rsidRDefault="00A014E5" w:rsidP="00A014E5">
      <w:pPr>
        <w:spacing w:line="300" w:lineRule="auto"/>
      </w:pPr>
      <w:r w:rsidRPr="0007641A">
        <w:t>The Market Operator evaluates an Internal GHG Resource for dispatch</w:t>
      </w:r>
      <w:r>
        <w:t xml:space="preserve"> by evaluating</w:t>
      </w:r>
      <w:r w:rsidRPr="0007641A">
        <w:t xml:space="preserve"> the sum of the Internal GHG Resource’s submitted Energy Offer Curve and its submitted Specified GHG Adder. An Internal GHG Resource will be dispatched to serve load anywhere in the </w:t>
      </w:r>
      <w:r w:rsidRPr="0007641A" w:rsidDel="007D095E">
        <w:t xml:space="preserve">market </w:t>
      </w:r>
      <w:r w:rsidRPr="0007641A">
        <w:t xml:space="preserve">if an Internal GHG Resource Offer (including the Specified GHG Adder) is economic. </w:t>
      </w:r>
      <w:r>
        <w:t>T</w:t>
      </w:r>
      <w:r w:rsidRPr="0007641A">
        <w:t xml:space="preserve">he Energy from an Internal GHG Resource is always categorized as subject to the compliance obligations and costs associated with the relevant GHG Pricing Program.  </w:t>
      </w:r>
    </w:p>
    <w:p w14:paraId="0339F4B5" w14:textId="16F42F30" w:rsidR="00A014E5" w:rsidRPr="0007641A" w:rsidRDefault="00A31283" w:rsidP="00CB5653">
      <w:pPr>
        <w:pStyle w:val="Heading3"/>
      </w:pPr>
      <w:bookmarkStart w:id="6864" w:name="_Toc213771941"/>
      <w:r>
        <w:t>S</w:t>
      </w:r>
      <w:r w:rsidR="00A014E5" w:rsidRPr="0007641A">
        <w:t>pecified Source Resource – Type 1A Energy</w:t>
      </w:r>
      <w:bookmarkEnd w:id="6864"/>
    </w:p>
    <w:p w14:paraId="616D63AC" w14:textId="6A78EDE2" w:rsidR="00A014E5" w:rsidRPr="0007641A" w:rsidRDefault="00A014E5" w:rsidP="00A014E5">
      <w:pPr>
        <w:numPr>
          <w:ilvl w:val="3"/>
          <w:numId w:val="162"/>
        </w:numPr>
        <w:spacing w:line="300" w:lineRule="auto"/>
        <w:ind w:left="720" w:hanging="720"/>
      </w:pPr>
      <w:r w:rsidRPr="0007641A">
        <w:t xml:space="preserve">As set forth in Section </w:t>
      </w:r>
      <w:r w:rsidR="00815D6E">
        <w:fldChar w:fldCharType="begin"/>
      </w:r>
      <w:r w:rsidR="00815D6E">
        <w:instrText xml:space="preserve"> REF _Ref212560010 \r \h </w:instrText>
      </w:r>
      <w:r w:rsidR="00815D6E">
        <w:fldChar w:fldCharType="separate"/>
      </w:r>
      <w:r w:rsidR="00815D6E">
        <w:t>9.3.1.2.1</w:t>
      </w:r>
      <w:r w:rsidR="00815D6E">
        <w:fldChar w:fldCharType="end"/>
      </w:r>
      <w:r w:rsidRPr="0007641A">
        <w:t xml:space="preserve">, Type 1A Energy from a Specified Source Resource is Energy that is external to a GHG Pricing Zone, and for which the Market Participant has </w:t>
      </w:r>
      <w:r>
        <w:t xml:space="preserve">an agreement to supply </w:t>
      </w:r>
      <w:r w:rsidRPr="0007641A">
        <w:t xml:space="preserve">load within a GHG Pricing Zone. In determining whether to dispatch Type 1A Energy, the Market Operator evaluates the sum of the submitted Energy Offer Curve and the submitted Specified GHG Adder. </w:t>
      </w:r>
      <w:r>
        <w:t xml:space="preserve"> </w:t>
      </w:r>
    </w:p>
    <w:p w14:paraId="3C95A5DD" w14:textId="77777777" w:rsidR="00A014E5" w:rsidRPr="0007641A" w:rsidRDefault="00A014E5" w:rsidP="00A014E5">
      <w:pPr>
        <w:numPr>
          <w:ilvl w:val="3"/>
          <w:numId w:val="162"/>
        </w:numPr>
        <w:spacing w:line="300" w:lineRule="auto"/>
        <w:ind w:left="720" w:hanging="720"/>
      </w:pPr>
      <w:r>
        <w:t xml:space="preserve">If dispatched, </w:t>
      </w:r>
      <w:r w:rsidRPr="0007641A">
        <w:t xml:space="preserve">Type 1A Energy </w:t>
      </w:r>
      <w:r>
        <w:t>must be attributed to a GHG Pricing Zone.</w:t>
      </w:r>
      <w:r w:rsidRPr="0007641A">
        <w:t xml:space="preserve"> </w:t>
      </w:r>
    </w:p>
    <w:p w14:paraId="5408DABD" w14:textId="7F0996A2" w:rsidR="00A014E5" w:rsidRPr="0007641A" w:rsidRDefault="00A014E5" w:rsidP="00A014E5">
      <w:pPr>
        <w:numPr>
          <w:ilvl w:val="3"/>
          <w:numId w:val="162"/>
        </w:numPr>
        <w:spacing w:line="300" w:lineRule="auto"/>
        <w:ind w:left="720" w:hanging="720"/>
      </w:pPr>
      <w:r w:rsidRPr="0007641A">
        <w:t>A Type 1A Energy Offer that exceeds</w:t>
      </w:r>
      <w:r w:rsidRPr="0007641A" w:rsidDel="001C7B8B">
        <w:t xml:space="preserve"> </w:t>
      </w:r>
      <w:r w:rsidRPr="0007641A">
        <w:t xml:space="preserve">the </w:t>
      </w:r>
      <w:r w:rsidR="00802013">
        <w:t>projected load</w:t>
      </w:r>
      <w:r w:rsidRPr="0007641A">
        <w:t xml:space="preserve"> profile submitted as described under Section </w:t>
      </w:r>
      <w:r w:rsidR="00815D6E">
        <w:fldChar w:fldCharType="begin"/>
      </w:r>
      <w:r w:rsidR="00815D6E">
        <w:instrText xml:space="preserve"> REF _Ref212560034 \r \h </w:instrText>
      </w:r>
      <w:r w:rsidR="00815D6E">
        <w:fldChar w:fldCharType="separate"/>
      </w:r>
      <w:r w:rsidR="00815D6E">
        <w:t>9.3.1.2.1</w:t>
      </w:r>
      <w:r w:rsidR="00815D6E">
        <w:fldChar w:fldCharType="end"/>
      </w:r>
      <w:r w:rsidRPr="0007641A">
        <w:t xml:space="preserve"> for the associated contract will be rejected. </w:t>
      </w:r>
    </w:p>
    <w:p w14:paraId="72BC5B20" w14:textId="28D7BE36" w:rsidR="00A014E5" w:rsidRPr="00FC1F5E" w:rsidRDefault="00A014E5" w:rsidP="00A014E5">
      <w:pPr>
        <w:numPr>
          <w:ilvl w:val="0"/>
          <w:numId w:val="360"/>
        </w:numPr>
        <w:spacing w:line="300" w:lineRule="auto"/>
        <w:ind w:hanging="720"/>
      </w:pPr>
      <w:r w:rsidRPr="0007641A">
        <w:t xml:space="preserve">In instances where the Type 1A projected load value needs to be updated after the submittal of the projected load during registration under Section </w:t>
      </w:r>
      <w:r w:rsidR="00815D6E">
        <w:fldChar w:fldCharType="begin"/>
      </w:r>
      <w:r w:rsidR="00815D6E">
        <w:instrText xml:space="preserve"> REF _Ref212560052 \r \h </w:instrText>
      </w:r>
      <w:r w:rsidR="00815D6E">
        <w:fldChar w:fldCharType="separate"/>
      </w:r>
      <w:r w:rsidR="00815D6E">
        <w:t>9.3.1.2.1</w:t>
      </w:r>
      <w:r w:rsidR="00815D6E">
        <w:fldChar w:fldCharType="end"/>
      </w:r>
      <w:r w:rsidRPr="0007641A">
        <w:t>, the projected load override can be provided by the Market Participant via the Markets User Interface.</w:t>
      </w:r>
      <w:r w:rsidRPr="00FC1F5E">
        <w:rPr>
          <w:rStyle w:val="cf01"/>
          <w:rFonts w:eastAsiaTheme="majorEastAsia"/>
          <w:szCs w:val="24"/>
        </w:rPr>
        <w:t xml:space="preserve"> </w:t>
      </w:r>
      <w:r w:rsidRPr="00500C17">
        <w:rPr>
          <w:rStyle w:val="cf01"/>
          <w:rFonts w:ascii="Times New Roman" w:eastAsiaTheme="majorEastAsia" w:hAnsi="Times New Roman" w:cs="Times New Roman"/>
          <w:sz w:val="24"/>
          <w:szCs w:val="24"/>
        </w:rPr>
        <w:t>Energy offered as</w:t>
      </w:r>
      <w:r w:rsidRPr="00FC1F5E">
        <w:rPr>
          <w:rStyle w:val="cf01"/>
          <w:rFonts w:eastAsiaTheme="majorEastAsia"/>
          <w:szCs w:val="24"/>
        </w:rPr>
        <w:t xml:space="preserve"> </w:t>
      </w:r>
      <w:r w:rsidRPr="00500C17">
        <w:rPr>
          <w:rStyle w:val="cf01"/>
          <w:rFonts w:ascii="Times New Roman" w:eastAsiaTheme="majorEastAsia" w:hAnsi="Times New Roman" w:cs="Times New Roman"/>
          <w:sz w:val="24"/>
          <w:szCs w:val="24"/>
        </w:rPr>
        <w:t>Type 1A will be submitted as a separate Specified Source Resource “Child</w:t>
      </w:r>
      <w:r w:rsidR="00FC0074">
        <w:rPr>
          <w:rStyle w:val="cf01"/>
          <w:rFonts w:ascii="Times New Roman" w:eastAsiaTheme="majorEastAsia" w:hAnsi="Times New Roman" w:cs="Times New Roman"/>
          <w:sz w:val="24"/>
          <w:szCs w:val="24"/>
        </w:rPr>
        <w:t>”</w:t>
      </w:r>
      <w:r w:rsidRPr="00500C17">
        <w:rPr>
          <w:rStyle w:val="cf01"/>
          <w:rFonts w:ascii="Times New Roman" w:eastAsiaTheme="majorEastAsia" w:hAnsi="Times New Roman" w:cs="Times New Roman"/>
          <w:sz w:val="24"/>
          <w:szCs w:val="24"/>
        </w:rPr>
        <w:t xml:space="preserve"> Resource from any Type 1B Energy, Type 2 Energy, or non-attributable Energy.</w:t>
      </w:r>
    </w:p>
    <w:p w14:paraId="3F00CBFE" w14:textId="77777777" w:rsidR="00A014E5" w:rsidRPr="0007641A" w:rsidRDefault="00A014E5" w:rsidP="00A014E5">
      <w:pPr>
        <w:ind w:left="630"/>
        <w:contextualSpacing/>
      </w:pPr>
    </w:p>
    <w:p w14:paraId="1C9EA25F" w14:textId="271A5708" w:rsidR="00A014E5" w:rsidRPr="0007641A" w:rsidRDefault="00A31283" w:rsidP="00CB5653">
      <w:pPr>
        <w:pStyle w:val="Heading3"/>
      </w:pPr>
      <w:bookmarkStart w:id="6865" w:name="_Toc213771942"/>
      <w:r>
        <w:t>S</w:t>
      </w:r>
      <w:r w:rsidR="00A014E5" w:rsidRPr="0007641A">
        <w:t>pecified Source Resource – Type 1B Energy</w:t>
      </w:r>
      <w:bookmarkEnd w:id="6865"/>
    </w:p>
    <w:p w14:paraId="0CC7DADA" w14:textId="77A8DE94" w:rsidR="00A014E5" w:rsidRPr="0007641A" w:rsidRDefault="00A014E5" w:rsidP="00A014E5">
      <w:pPr>
        <w:numPr>
          <w:ilvl w:val="3"/>
          <w:numId w:val="157"/>
        </w:numPr>
        <w:spacing w:line="300" w:lineRule="auto"/>
        <w:ind w:left="540"/>
      </w:pPr>
      <w:r w:rsidRPr="0007641A">
        <w:t xml:space="preserve">As described in Section </w:t>
      </w:r>
      <w:r w:rsidR="00815D6E">
        <w:fldChar w:fldCharType="begin"/>
      </w:r>
      <w:r w:rsidR="00815D6E">
        <w:instrText xml:space="preserve"> REF _Ref212560080 \r \h </w:instrText>
      </w:r>
      <w:r w:rsidR="00815D6E">
        <w:fldChar w:fldCharType="separate"/>
      </w:r>
      <w:r w:rsidR="00815D6E">
        <w:t>9.3.1.2.2</w:t>
      </w:r>
      <w:r w:rsidR="00815D6E">
        <w:fldChar w:fldCharType="end"/>
      </w:r>
      <w:r w:rsidRPr="0007641A">
        <w:t xml:space="preserve">, Type 1B Energy is Energy from a Specified Source Resource that is external to a GHG Pricing Zone and that has </w:t>
      </w:r>
      <w:r>
        <w:t>an agreement to supply</w:t>
      </w:r>
      <w:r w:rsidRPr="0007641A">
        <w:t xml:space="preserve"> load within a GHG Pricing Zone. Unlike Type 1A Energy, upon clearing and dispatch, Type 1B Energy is not automatically attributed to a GHG Pricing Zone. With Type 1B Energy, the market clearing engine will make an optimized decision as to whether or not to categorize the Type 1B Energy as attributed to a GHG Pricing Zone. The associated Market Participant may elect to make this Resource available to</w:t>
      </w:r>
      <w:r>
        <w:t xml:space="preserve"> be attributed</w:t>
      </w:r>
      <w:r w:rsidRPr="0007641A">
        <w:t xml:space="preserve"> </w:t>
      </w:r>
      <w:r>
        <w:t xml:space="preserve">to </w:t>
      </w:r>
      <w:r w:rsidRPr="0007641A">
        <w:t xml:space="preserve">a GHG Pricing Zone through submittal of a Specified GHG Adder.   </w:t>
      </w:r>
    </w:p>
    <w:p w14:paraId="6A23837B" w14:textId="127B59B0" w:rsidR="00A014E5" w:rsidRPr="0007641A" w:rsidRDefault="00A014E5" w:rsidP="00A014E5">
      <w:pPr>
        <w:numPr>
          <w:ilvl w:val="3"/>
          <w:numId w:val="157"/>
        </w:numPr>
        <w:spacing w:line="300" w:lineRule="auto"/>
        <w:ind w:left="540"/>
      </w:pPr>
      <w:r w:rsidRPr="009A3F60">
        <w:rPr>
          <w:rStyle w:val="cf01"/>
          <w:rFonts w:ascii="Times New Roman" w:hAnsi="Times New Roman" w:cs="Times New Roman"/>
          <w:sz w:val="24"/>
          <w:szCs w:val="24"/>
        </w:rPr>
        <w:t>In determining whether to attribute Type 1B Energy, the Market Operator simultaneously evaluates: a) the sum of the submitted Energy Offer Curve and the submitted Specified GHG Adder to attribute to a GHG Pricing Zone, and b) the submitted Energy Offer Curve for Energy dispatched and not attributed to a GHG Pricing Zone.</w:t>
      </w:r>
      <w:r w:rsidRPr="0007641A">
        <w:t xml:space="preserve"> The market clearing engine will determine the optimal</w:t>
      </w:r>
      <w:r>
        <w:t xml:space="preserve"> (</w:t>
      </w:r>
      <w:r w:rsidR="00B16F85">
        <w:t xml:space="preserve">i.e., </w:t>
      </w:r>
      <w:r>
        <w:t>most economic)</w:t>
      </w:r>
      <w:r w:rsidRPr="0007641A" w:rsidDel="001A7547">
        <w:t xml:space="preserve"> </w:t>
      </w:r>
      <w:r w:rsidRPr="0007641A">
        <w:t>Energy dispatch</w:t>
      </w:r>
      <w:r>
        <w:t xml:space="preserve"> and Attribution</w:t>
      </w:r>
      <w:r w:rsidRPr="0007641A">
        <w:t xml:space="preserve"> </w:t>
      </w:r>
      <w:r>
        <w:t>to a GHG Pricing Zone.</w:t>
      </w:r>
    </w:p>
    <w:p w14:paraId="6F77FEEA" w14:textId="77777777" w:rsidR="00A014E5" w:rsidRPr="00C70C18" w:rsidRDefault="00A014E5" w:rsidP="00A014E5">
      <w:pPr>
        <w:numPr>
          <w:ilvl w:val="3"/>
          <w:numId w:val="157"/>
        </w:numPr>
        <w:spacing w:line="300" w:lineRule="auto"/>
        <w:ind w:left="540"/>
      </w:pPr>
      <w:r w:rsidRPr="0007641A">
        <w:t xml:space="preserve">If Type 1B Energy is attributed to </w:t>
      </w:r>
      <w:r>
        <w:t>a</w:t>
      </w:r>
      <w:r w:rsidRPr="0007641A">
        <w:t xml:space="preserve"> GHG Pricing Zone, a Specified GHG Adder will be included in the cost of that Energy. If Type 1B Energy is </w:t>
      </w:r>
      <w:r w:rsidRPr="0007641A">
        <w:rPr>
          <w:i/>
          <w:iCs/>
        </w:rPr>
        <w:t>not</w:t>
      </w:r>
      <w:r w:rsidRPr="0007641A">
        <w:t xml:space="preserve"> attributed to </w:t>
      </w:r>
      <w:r>
        <w:t>a</w:t>
      </w:r>
      <w:r w:rsidRPr="0007641A">
        <w:t xml:space="preserve"> GHG Pricing Zone, a Specified GHG Adder will not be included in the cost of that Energy.</w:t>
      </w:r>
    </w:p>
    <w:p w14:paraId="697B5329" w14:textId="246FC01D" w:rsidR="00A014E5" w:rsidRPr="0007641A" w:rsidRDefault="00A014E5" w:rsidP="00FE7AA5">
      <w:pPr>
        <w:numPr>
          <w:ilvl w:val="4"/>
          <w:numId w:val="363"/>
        </w:numPr>
        <w:tabs>
          <w:tab w:val="left" w:pos="270"/>
        </w:tabs>
        <w:spacing w:before="120" w:line="300" w:lineRule="auto"/>
        <w:ind w:left="540" w:hanging="540"/>
      </w:pPr>
      <w:r w:rsidRPr="0007641A">
        <w:t>When considering</w:t>
      </w:r>
      <w:r>
        <w:t xml:space="preserve"> non-attributable</w:t>
      </w:r>
      <w:r w:rsidRPr="0007641A">
        <w:t xml:space="preserve"> Energy below the Surplus Threshold, the Market</w:t>
      </w:r>
      <w:r>
        <w:t xml:space="preserve"> </w:t>
      </w:r>
      <w:r w:rsidRPr="0007641A">
        <w:t>Operator considers the Energy Offer Curve without a Specified GHG Adder</w:t>
      </w:r>
      <w:r>
        <w:t xml:space="preserve">, as further described in Section </w:t>
      </w:r>
      <w:r w:rsidR="00524C63">
        <w:fldChar w:fldCharType="begin"/>
      </w:r>
      <w:r w:rsidR="00524C63">
        <w:instrText xml:space="preserve"> REF _Ref212560182 \r \h </w:instrText>
      </w:r>
      <w:r w:rsidR="00524C63">
        <w:fldChar w:fldCharType="separate"/>
      </w:r>
      <w:r w:rsidR="00524C63">
        <w:t>5.2.1</w:t>
      </w:r>
      <w:r w:rsidR="00524C63">
        <w:fldChar w:fldCharType="end"/>
      </w:r>
      <w:r w:rsidRPr="0007641A">
        <w:t xml:space="preserve">.  </w:t>
      </w:r>
    </w:p>
    <w:p w14:paraId="13816E0D" w14:textId="3BD141E6" w:rsidR="00A014E5" w:rsidRPr="0007641A" w:rsidRDefault="00A014E5" w:rsidP="00CB5653">
      <w:pPr>
        <w:pStyle w:val="Heading3"/>
      </w:pPr>
      <w:bookmarkStart w:id="6866" w:name="_Toc213771943"/>
      <w:r w:rsidRPr="0007641A">
        <w:t>Specified Source Resource – Type 2 Energy</w:t>
      </w:r>
      <w:bookmarkEnd w:id="6866"/>
    </w:p>
    <w:p w14:paraId="67679E98" w14:textId="584A354F" w:rsidR="00A014E5" w:rsidRPr="0007641A" w:rsidRDefault="00A014E5" w:rsidP="00A014E5">
      <w:pPr>
        <w:numPr>
          <w:ilvl w:val="4"/>
          <w:numId w:val="364"/>
        </w:numPr>
        <w:spacing w:before="120" w:line="300" w:lineRule="auto"/>
        <w:ind w:left="540" w:hanging="540"/>
      </w:pPr>
      <w:r w:rsidRPr="0007641A">
        <w:t xml:space="preserve">As described in Section </w:t>
      </w:r>
      <w:r w:rsidR="00524C63">
        <w:fldChar w:fldCharType="begin"/>
      </w:r>
      <w:r w:rsidR="00524C63">
        <w:instrText xml:space="preserve"> REF _Ref212560199 \r \h </w:instrText>
      </w:r>
      <w:r w:rsidR="00524C63">
        <w:fldChar w:fldCharType="separate"/>
      </w:r>
      <w:r w:rsidR="00524C63">
        <w:t>9.3.1.2.3</w:t>
      </w:r>
      <w:r w:rsidR="00524C63">
        <w:fldChar w:fldCharType="end"/>
      </w:r>
      <w:r w:rsidRPr="0007641A">
        <w:t xml:space="preserve">, Type 2 Energy is Energy from a </w:t>
      </w:r>
      <w:r>
        <w:t>Type 1B/Type2</w:t>
      </w:r>
      <w:r w:rsidR="00FE0091">
        <w:t xml:space="preserve"> Energy</w:t>
      </w:r>
      <w:r>
        <w:t xml:space="preserve">  Specified Source Resource</w:t>
      </w:r>
      <w:r w:rsidRPr="0007641A">
        <w:t xml:space="preserve"> </w:t>
      </w:r>
      <w:r>
        <w:t>“Child</w:t>
      </w:r>
      <w:r w:rsidR="001E773F">
        <w:t>”</w:t>
      </w:r>
      <w:r>
        <w:t xml:space="preserve"> Resource </w:t>
      </w:r>
      <w:r w:rsidRPr="0007641A">
        <w:t>that exceeds the Specified Source Resource’s Surplus Threshold</w:t>
      </w:r>
      <w:r>
        <w:t xml:space="preserve"> that is less than or equal to the Resource’s Type 2 Energy Maximum Quantity</w:t>
      </w:r>
      <w:r w:rsidRPr="0007641A">
        <w:t xml:space="preserve">, meaning a quantity of Energy that must be surpassed before that Energy is available to </w:t>
      </w:r>
      <w:r>
        <w:t>be attributed to</w:t>
      </w:r>
      <w:r w:rsidRPr="0007641A">
        <w:t xml:space="preserve"> a GHG Pricing Zone. </w:t>
      </w:r>
    </w:p>
    <w:p w14:paraId="0D3C1E10" w14:textId="31EBEDA5" w:rsidR="00A014E5" w:rsidRPr="0007641A" w:rsidRDefault="00A014E5" w:rsidP="00A014E5">
      <w:pPr>
        <w:numPr>
          <w:ilvl w:val="4"/>
          <w:numId w:val="364"/>
        </w:numPr>
        <w:spacing w:before="120" w:line="300" w:lineRule="auto"/>
        <w:ind w:left="540" w:hanging="540"/>
      </w:pPr>
      <w:r w:rsidRPr="0007641A">
        <w:t>Type 2 Energy is external to a GHG Pricing Zone</w:t>
      </w:r>
      <w:r>
        <w:t xml:space="preserve"> and</w:t>
      </w:r>
      <w:r w:rsidRPr="0007641A">
        <w:t xml:space="preserve"> </w:t>
      </w:r>
      <w:r>
        <w:t>is not required to</w:t>
      </w:r>
      <w:r w:rsidRPr="0007641A">
        <w:t xml:space="preserve"> have </w:t>
      </w:r>
      <w:r>
        <w:t>an agreement to supply</w:t>
      </w:r>
      <w:r w:rsidRPr="0007641A">
        <w:t xml:space="preserve"> load within a GHG Pricing Zone. A Market Participant </w:t>
      </w:r>
      <w:r>
        <w:t>that</w:t>
      </w:r>
      <w:r w:rsidRPr="0007641A">
        <w:t xml:space="preserve"> elects to offer Type 2 Energy</w:t>
      </w:r>
      <w:r w:rsidRPr="0007641A" w:rsidDel="00BF534F">
        <w:t xml:space="preserve"> </w:t>
      </w:r>
      <w:r w:rsidRPr="0007641A">
        <w:t xml:space="preserve">may submit a Surplus Threshold </w:t>
      </w:r>
      <w:r>
        <w:t>with a Surplus Threshold Status of “Submitted.”</w:t>
      </w:r>
      <w:r w:rsidRPr="0007641A">
        <w:t xml:space="preserve"> </w:t>
      </w:r>
      <w:r>
        <w:t>Submission of a Surplus Threshold Status</w:t>
      </w:r>
      <w:r w:rsidRPr="0007641A">
        <w:t xml:space="preserve"> </w:t>
      </w:r>
      <w:r>
        <w:t>of “Calculate” will indicate that the Market Operator will calculate the Surplus Threshold, and a value other than null will not be accepted for the Surplus Threshold.</w:t>
      </w:r>
      <w:r w:rsidRPr="0007641A" w:rsidDel="00967F0E">
        <w:t xml:space="preserve"> </w:t>
      </w:r>
      <w:r>
        <w:t>Under both Surplus Threshold Status options, a Specified GHG Adder should be included in the Specified Source Resource “Child</w:t>
      </w:r>
      <w:r w:rsidR="00295757">
        <w:t>”</w:t>
      </w:r>
      <w:r>
        <w:t xml:space="preserve"> Resource Offer submission to indicate the willingness to offer Type 2 Energy.</w:t>
      </w:r>
    </w:p>
    <w:p w14:paraId="565A146B" w14:textId="43089388" w:rsidR="00A014E5" w:rsidRPr="0007641A" w:rsidRDefault="00A014E5" w:rsidP="00A014E5">
      <w:pPr>
        <w:numPr>
          <w:ilvl w:val="4"/>
          <w:numId w:val="364"/>
        </w:numPr>
        <w:spacing w:before="120" w:line="300" w:lineRule="auto"/>
        <w:ind w:left="547" w:hanging="547"/>
      </w:pPr>
      <w:r w:rsidRPr="1DA37A45">
        <w:t>If a Market Participant offers Type 2 Energy and submits a Surplus Threshold with a Surplus Threshold Status of “Submitted</w:t>
      </w:r>
      <w:r>
        <w:t>,</w:t>
      </w:r>
      <w:r w:rsidRPr="1DA37A45">
        <w:t xml:space="preserve">” the Market Operator determines a surplus as the projected dispatch quantity of Energy above the Surplus Threshold.  </w:t>
      </w:r>
    </w:p>
    <w:p w14:paraId="58CE2715" w14:textId="05BA78C1" w:rsidR="00A014E5" w:rsidRPr="0007641A" w:rsidRDefault="00A014E5" w:rsidP="00A014E5">
      <w:pPr>
        <w:numPr>
          <w:ilvl w:val="4"/>
          <w:numId w:val="364"/>
        </w:numPr>
        <w:spacing w:before="120" w:line="300" w:lineRule="auto"/>
        <w:ind w:left="547" w:hanging="547"/>
      </w:pPr>
      <w:r w:rsidRPr="0007641A">
        <w:t>If a Market Participant submits a Surplus Threshold Status of “Calculate</w:t>
      </w:r>
      <w:r>
        <w:t>,</w:t>
      </w:r>
      <w:r w:rsidRPr="0007641A">
        <w:t xml:space="preserve">” the Market Operator will </w:t>
      </w:r>
      <w:r w:rsidR="00B41B94">
        <w:t>determine</w:t>
      </w:r>
      <w:r w:rsidR="00B41B94" w:rsidRPr="0007641A">
        <w:t xml:space="preserve"> </w:t>
      </w:r>
      <w:r w:rsidRPr="0007641A">
        <w:t xml:space="preserve">a Surplus Threshold for Type 2 Energy </w:t>
      </w:r>
      <w:r w:rsidRPr="1DA37A45">
        <w:t>using the</w:t>
      </w:r>
      <w:r w:rsidRPr="0007641A">
        <w:t xml:space="preserve"> merit order process described in </w:t>
      </w:r>
      <w:r w:rsidRPr="1DA37A45">
        <w:t xml:space="preserve">Section </w:t>
      </w:r>
      <w:r w:rsidR="00524C63">
        <w:fldChar w:fldCharType="begin"/>
      </w:r>
      <w:r w:rsidR="00524C63">
        <w:instrText xml:space="preserve"> REF _Ref212560224 \r \h </w:instrText>
      </w:r>
      <w:r w:rsidR="00524C63">
        <w:fldChar w:fldCharType="separate"/>
      </w:r>
      <w:r w:rsidR="00524C63">
        <w:t>5.2.1</w:t>
      </w:r>
      <w:r w:rsidR="00524C63">
        <w:fldChar w:fldCharType="end"/>
      </w:r>
      <w:r w:rsidRPr="0007641A">
        <w:t xml:space="preserve">. </w:t>
      </w:r>
    </w:p>
    <w:p w14:paraId="77BE4524" w14:textId="77777777" w:rsidR="00A014E5" w:rsidRPr="0007641A" w:rsidRDefault="00A014E5" w:rsidP="00A014E5">
      <w:pPr>
        <w:numPr>
          <w:ilvl w:val="4"/>
          <w:numId w:val="364"/>
        </w:numPr>
        <w:spacing w:before="120" w:line="300" w:lineRule="auto"/>
        <w:ind w:left="547" w:hanging="547"/>
      </w:pPr>
      <w:r w:rsidRPr="007464BC">
        <w:rPr>
          <w:rStyle w:val="cf01"/>
          <w:rFonts w:ascii="Times New Roman" w:hAnsi="Times New Roman" w:cs="Times New Roman"/>
          <w:sz w:val="24"/>
          <w:szCs w:val="24"/>
        </w:rPr>
        <w:t>In determining whether to attribute Type 2 Energy above the Surplus Threshold, the Market Operator simultaneously evaluates: a) the sum of the submitted Energy Offer Curve and the submitted Specified GHG Adder to attribute to a GHG Pricing Zone, and b) the submitted Energy Offer Curve for Energy dispatched and not attributed to a GHG Pricing Zone.</w:t>
      </w:r>
      <w:r w:rsidRPr="0007641A">
        <w:t xml:space="preserve">   </w:t>
      </w:r>
    </w:p>
    <w:p w14:paraId="596F6139" w14:textId="5DB7472C" w:rsidR="00A014E5" w:rsidRPr="0007641A" w:rsidRDefault="00A014E5" w:rsidP="00A014E5">
      <w:pPr>
        <w:numPr>
          <w:ilvl w:val="4"/>
          <w:numId w:val="364"/>
        </w:numPr>
        <w:spacing w:before="120" w:line="300" w:lineRule="auto"/>
        <w:ind w:left="547" w:hanging="547"/>
      </w:pPr>
      <w:r w:rsidRPr="0007641A">
        <w:t>When considering</w:t>
      </w:r>
      <w:r>
        <w:t xml:space="preserve"> non-attributable</w:t>
      </w:r>
      <w:r w:rsidRPr="0007641A">
        <w:t xml:space="preserve"> Energy below the Surplus Threshold, the Market Operator considers the Energy Offer Curve without a Specified GHG Adder</w:t>
      </w:r>
      <w:r>
        <w:t xml:space="preserve"> as further described in Section </w:t>
      </w:r>
      <w:r w:rsidR="00524C63">
        <w:fldChar w:fldCharType="begin"/>
      </w:r>
      <w:r w:rsidR="00524C63">
        <w:instrText xml:space="preserve"> REF _Ref212560243 \r \h </w:instrText>
      </w:r>
      <w:r w:rsidR="00524C63">
        <w:fldChar w:fldCharType="separate"/>
      </w:r>
      <w:r w:rsidR="00524C63">
        <w:t>5.2.1</w:t>
      </w:r>
      <w:r w:rsidR="00524C63">
        <w:fldChar w:fldCharType="end"/>
      </w:r>
      <w:r w:rsidRPr="0007641A">
        <w:t xml:space="preserve">.  </w:t>
      </w:r>
    </w:p>
    <w:p w14:paraId="20F1BE52" w14:textId="77777777" w:rsidR="00A014E5" w:rsidRPr="0007641A" w:rsidRDefault="00A014E5" w:rsidP="00A014E5">
      <w:pPr>
        <w:numPr>
          <w:ilvl w:val="4"/>
          <w:numId w:val="364"/>
        </w:numPr>
        <w:spacing w:before="120" w:line="300" w:lineRule="auto"/>
        <w:ind w:left="540" w:hanging="540"/>
      </w:pPr>
      <w:r w:rsidRPr="0007641A">
        <w:t xml:space="preserve">If Type 2 Energy is attributed to </w:t>
      </w:r>
      <w:r>
        <w:t>a</w:t>
      </w:r>
      <w:r w:rsidRPr="0007641A">
        <w:t xml:space="preserve"> GHG Pricing Zone, a Specified GHG Adder will be included in the cost of that Energy. If Type 2 Energy is </w:t>
      </w:r>
      <w:r w:rsidRPr="0007641A">
        <w:rPr>
          <w:i/>
          <w:iCs/>
        </w:rPr>
        <w:t>not</w:t>
      </w:r>
      <w:r w:rsidRPr="0007641A">
        <w:t xml:space="preserve"> attributed to </w:t>
      </w:r>
      <w:r>
        <w:t>a</w:t>
      </w:r>
      <w:r w:rsidRPr="0007641A">
        <w:t xml:space="preserve"> GHG Pricing Zone, a Specified GHG Adder will </w:t>
      </w:r>
      <w:r w:rsidRPr="004C2AAF">
        <w:rPr>
          <w:i/>
          <w:iCs/>
        </w:rPr>
        <w:t>not</w:t>
      </w:r>
      <w:r w:rsidRPr="0007641A">
        <w:t xml:space="preserve"> be included in the cost of that Energy.</w:t>
      </w:r>
    </w:p>
    <w:p w14:paraId="751F17DE" w14:textId="22D0E952" w:rsidR="00A014E5" w:rsidRPr="0007641A" w:rsidRDefault="00A014E5" w:rsidP="00CB5653">
      <w:pPr>
        <w:pStyle w:val="Heading3"/>
      </w:pPr>
      <w:bookmarkStart w:id="6867" w:name="_Toc213771944"/>
      <w:r w:rsidRPr="0007641A">
        <w:t>Specified Source Resource – Simultaneous Type 1B/Type 2 Energy</w:t>
      </w:r>
      <w:bookmarkEnd w:id="6867"/>
    </w:p>
    <w:p w14:paraId="44E395CF" w14:textId="77777777" w:rsidR="00A014E5" w:rsidRPr="0007641A" w:rsidRDefault="00A014E5" w:rsidP="00A014E5">
      <w:pPr>
        <w:numPr>
          <w:ilvl w:val="3"/>
          <w:numId w:val="343"/>
        </w:numPr>
        <w:spacing w:before="120" w:line="300" w:lineRule="auto"/>
        <w:ind w:left="540"/>
      </w:pPr>
      <w:r w:rsidRPr="0007641A">
        <w:t>A Specified Source Resource may offer Type 1B Energy</w:t>
      </w:r>
      <w:r>
        <w:t xml:space="preserve">, </w:t>
      </w:r>
      <w:r w:rsidRPr="0007641A">
        <w:t>Type 2 Energy</w:t>
      </w:r>
      <w:r>
        <w:t>, and non-attributable Energy</w:t>
      </w:r>
      <w:r w:rsidRPr="0007641A">
        <w:t xml:space="preserve"> simultaneously during the same hour. </w:t>
      </w:r>
    </w:p>
    <w:p w14:paraId="69F71145" w14:textId="77777777" w:rsidR="00A014E5" w:rsidRPr="0007641A" w:rsidRDefault="00A014E5" w:rsidP="00A014E5">
      <w:pPr>
        <w:numPr>
          <w:ilvl w:val="3"/>
          <w:numId w:val="343"/>
        </w:numPr>
        <w:spacing w:before="120" w:line="300" w:lineRule="auto"/>
        <w:ind w:left="540"/>
      </w:pPr>
      <w:r w:rsidRPr="0007641A">
        <w:t>If Type 1B Energy and Type 2 Energy are offered simultaneously during the same hour, the quantity of Type 1B Energy offered must be below the Type 2 Energy Surplus Threshold.</w:t>
      </w:r>
    </w:p>
    <w:p w14:paraId="465E738F" w14:textId="4F639340" w:rsidR="00C61E23" w:rsidRPr="00C61E23" w:rsidRDefault="00C61E23" w:rsidP="00CB5653">
      <w:pPr>
        <w:pStyle w:val="Heading3"/>
      </w:pPr>
      <w:bookmarkStart w:id="6868" w:name="_Ref212626505"/>
      <w:bookmarkStart w:id="6869" w:name="_Toc213771945"/>
      <w:r w:rsidRPr="00C61E23" w:rsidDel="009A3010">
        <w:t>Specified Source Resource Modeling</w:t>
      </w:r>
      <w:bookmarkEnd w:id="6868"/>
      <w:bookmarkEnd w:id="6869"/>
    </w:p>
    <w:p w14:paraId="56D61A6E" w14:textId="6631461E" w:rsidR="00C61E23" w:rsidRPr="00C61E23" w:rsidRDefault="00C61E23" w:rsidP="00574EDE">
      <w:pPr>
        <w:pStyle w:val="Heading4"/>
      </w:pPr>
      <w:bookmarkStart w:id="6870" w:name="_Toc212633425"/>
      <w:bookmarkStart w:id="6871" w:name="_Toc212634106"/>
      <w:bookmarkStart w:id="6872" w:name="_Toc213771946"/>
      <w:bookmarkStart w:id="6873" w:name="_Toc213771947"/>
      <w:bookmarkEnd w:id="6870"/>
      <w:bookmarkEnd w:id="6871"/>
      <w:bookmarkEnd w:id="6872"/>
      <w:r w:rsidRPr="00C61E23">
        <w:t>Type 1A Energy</w:t>
      </w:r>
      <w:bookmarkEnd w:id="6873"/>
    </w:p>
    <w:p w14:paraId="6EC0DBBA" w14:textId="650306BD" w:rsidR="00C61E23" w:rsidRPr="00C61E23" w:rsidRDefault="00C61E23" w:rsidP="008C19EE">
      <w:pPr>
        <w:numPr>
          <w:ilvl w:val="3"/>
          <w:numId w:val="334"/>
        </w:numPr>
        <w:spacing w:before="120" w:after="160" w:line="300" w:lineRule="auto"/>
        <w:ind w:left="540"/>
      </w:pPr>
      <w:r w:rsidRPr="00C61E23">
        <w:t>The Market Operator will model part of the associated physical “Parent” Resource offering Type 1A Energy as a Specified Source Resource “Child</w:t>
      </w:r>
      <w:r w:rsidRPr="00C61E23">
        <w:rPr>
          <w:szCs w:val="24"/>
        </w:rPr>
        <w:t>”</w:t>
      </w:r>
      <w:r w:rsidRPr="00C61E23">
        <w:t xml:space="preserve"> Resource</w:t>
      </w:r>
      <w:r w:rsidRPr="00C61E23">
        <w:rPr>
          <w:szCs w:val="24"/>
        </w:rPr>
        <w:t>.</w:t>
      </w:r>
      <w:r w:rsidRPr="00C61E23">
        <w:t xml:space="preserve">  </w:t>
      </w:r>
    </w:p>
    <w:p w14:paraId="77BA72BE" w14:textId="6A650A5C" w:rsidR="00C61E23" w:rsidRPr="00C61E23" w:rsidRDefault="00C61E23" w:rsidP="008C19EE">
      <w:pPr>
        <w:numPr>
          <w:ilvl w:val="3"/>
          <w:numId w:val="334"/>
        </w:numPr>
        <w:spacing w:before="120" w:after="160" w:line="300" w:lineRule="auto"/>
        <w:ind w:left="547" w:hanging="547"/>
      </w:pPr>
      <w:r w:rsidRPr="00C61E23">
        <w:t>If the Type 1A Energy contract amount is a fixed MW amount, the Market Participant will provide this fixed amount during asset registration. This fixed amount will act as a MW cap on the Market Participant’s submitted Maximum Economic Capacity Operating Limit (M</w:t>
      </w:r>
      <w:r w:rsidR="00C310E8">
        <w:t xml:space="preserve">ax </w:t>
      </w:r>
      <w:r w:rsidRPr="00C61E23">
        <w:t xml:space="preserve">ECOL) </w:t>
      </w:r>
      <w:r w:rsidRPr="00C61E23">
        <w:rPr>
          <w:szCs w:val="24"/>
        </w:rPr>
        <w:t>or, in the case of an MSR, the Maximum Discharge Limit, as part of the Type 1A Energy “Child” Resource Offer. For example, if the associated physical “Parent” Resource has a registered maximum capacity of 300 MW and the Type 1A Energy contract is for a fixed 100 MW, then the “Child” Resource offering Type 1A Energy will have a M</w:t>
      </w:r>
      <w:r w:rsidR="00C310E8">
        <w:rPr>
          <w:szCs w:val="24"/>
        </w:rPr>
        <w:t xml:space="preserve">ax </w:t>
      </w:r>
      <w:r w:rsidRPr="00C61E23">
        <w:rPr>
          <w:szCs w:val="24"/>
        </w:rPr>
        <w:t>ECOL or, in the case of an MSR, the Maximum Discharge Limit, of 100 MW.  The remaining 200 MWs may be offered for the other “Child” Resource as non-attributable Energy or Type 1B/Type 2 Energy.</w:t>
      </w:r>
      <w:r w:rsidRPr="00C61E23">
        <w:t xml:space="preserve"> </w:t>
      </w:r>
    </w:p>
    <w:p w14:paraId="46D0CCBF" w14:textId="6F2C6DCF" w:rsidR="00C61E23" w:rsidRPr="00C61E23" w:rsidRDefault="00C61E23" w:rsidP="008C19EE">
      <w:pPr>
        <w:numPr>
          <w:ilvl w:val="3"/>
          <w:numId w:val="334"/>
        </w:numPr>
        <w:spacing w:before="120" w:after="160" w:line="300" w:lineRule="auto"/>
        <w:ind w:left="547" w:hanging="547"/>
      </w:pPr>
      <w:r w:rsidRPr="00C61E23">
        <w:t xml:space="preserve">If the Type 1A Resource contract amount is </w:t>
      </w:r>
      <w:r w:rsidRPr="00C61E23">
        <w:rPr>
          <w:i/>
        </w:rPr>
        <w:t>not</w:t>
      </w:r>
      <w:r w:rsidRPr="00C61E23">
        <w:t xml:space="preserve"> a fixed MW amount, the Market Participant will denote the non-fixed nature of the contract during asset registration. The Market Participant must update the M</w:t>
      </w:r>
      <w:r w:rsidR="00C310E8">
        <w:t xml:space="preserve">ax </w:t>
      </w:r>
      <w:r w:rsidRPr="00C61E23">
        <w:t xml:space="preserve">ECOL </w:t>
      </w:r>
      <w:r w:rsidRPr="00C61E23">
        <w:rPr>
          <w:szCs w:val="24"/>
        </w:rPr>
        <w:t xml:space="preserve">or, in the case of an MSR, the Maximum Discharge Limit, </w:t>
      </w:r>
      <w:r w:rsidRPr="00C61E23">
        <w:t>for the Type 1A Energy’s “Child</w:t>
      </w:r>
      <w:r w:rsidRPr="00C61E23">
        <w:rPr>
          <w:szCs w:val="24"/>
        </w:rPr>
        <w:t>”</w:t>
      </w:r>
      <w:r w:rsidRPr="00C61E23">
        <w:t xml:space="preserve"> Resource</w:t>
      </w:r>
      <w:r w:rsidRPr="00C61E23">
        <w:rPr>
          <w:szCs w:val="24"/>
        </w:rPr>
        <w:t>,</w:t>
      </w:r>
      <w:r w:rsidRPr="00C61E23">
        <w:t xml:space="preserve"> which will represent the load that the registering Market Participant projects to be served. These updates must occur on an hourly basis for both the Day-Ahead Market and RTBM. If there is any Energy available to offer beyond the “Child</w:t>
      </w:r>
      <w:r w:rsidRPr="00C61E23">
        <w:rPr>
          <w:szCs w:val="24"/>
        </w:rPr>
        <w:t>”</w:t>
      </w:r>
      <w:r w:rsidRPr="00C61E23">
        <w:t xml:space="preserve"> Resource’s Type 1A Energy M</w:t>
      </w:r>
      <w:r w:rsidR="00C310E8">
        <w:t xml:space="preserve">ax </w:t>
      </w:r>
      <w:r w:rsidRPr="00C61E23">
        <w:t>ECOL</w:t>
      </w:r>
      <w:r w:rsidRPr="00C61E23">
        <w:rPr>
          <w:szCs w:val="24"/>
        </w:rPr>
        <w:t xml:space="preserve"> or, in the case of an MSR, the Maximum Discharge Limit</w:t>
      </w:r>
      <w:r w:rsidRPr="00C61E23">
        <w:t xml:space="preserve">, the Market Participant may not offer more than its registered </w:t>
      </w:r>
      <w:r w:rsidRPr="00C61E23">
        <w:rPr>
          <w:szCs w:val="24"/>
        </w:rPr>
        <w:t xml:space="preserve">maximum capacity for </w:t>
      </w:r>
      <w:r w:rsidRPr="00C61E23">
        <w:t>that physical “</w:t>
      </w:r>
      <w:r w:rsidRPr="00C61E23">
        <w:rPr>
          <w:szCs w:val="24"/>
        </w:rPr>
        <w:t>Parent” Resource.</w:t>
      </w:r>
      <w:r w:rsidRPr="00C61E23">
        <w:t xml:space="preserve"> </w:t>
      </w:r>
    </w:p>
    <w:p w14:paraId="534BA09D" w14:textId="008D22EE" w:rsidR="00C61E23" w:rsidRPr="00C61E23" w:rsidRDefault="00C61E23" w:rsidP="008C19EE">
      <w:pPr>
        <w:numPr>
          <w:ilvl w:val="1"/>
          <w:numId w:val="359"/>
        </w:numPr>
        <w:spacing w:before="120" w:after="160" w:line="300" w:lineRule="auto"/>
        <w:ind w:left="1080"/>
        <w:contextualSpacing/>
      </w:pPr>
      <w:r w:rsidRPr="00C61E23">
        <w:t xml:space="preserve">In the event that a Market Participant’s agreement to supply a GHG Pricing Zone is not specific to any one Resource within the Market Participant’s fleet of Resources, then during asset registration that Market Participant will denote the multiple Specified Source Resources whose combination may be considered part of the agreement to supply a GHG Pricing Zone as described under Section </w:t>
      </w:r>
      <w:r w:rsidR="00FA76EC">
        <w:fldChar w:fldCharType="begin"/>
      </w:r>
      <w:r w:rsidR="00FA76EC">
        <w:instrText xml:space="preserve"> REF _Ref212560296 \r \h </w:instrText>
      </w:r>
      <w:r w:rsidR="00FA76EC">
        <w:fldChar w:fldCharType="separate"/>
      </w:r>
      <w:r w:rsidR="00FA76EC">
        <w:t>9.3.1.2.1</w:t>
      </w:r>
      <w:r w:rsidR="00FA76EC">
        <w:fldChar w:fldCharType="end"/>
      </w:r>
      <w:r w:rsidRPr="00C61E23">
        <w:t xml:space="preserve"> </w:t>
      </w:r>
      <w:r w:rsidRPr="00C61E23">
        <w:rPr>
          <w:rFonts w:eastAsia="Yu Mincho"/>
          <w:szCs w:val="24"/>
        </w:rPr>
        <w:t>In such cases, the Market Participant must update the M</w:t>
      </w:r>
      <w:r w:rsidR="00C310E8">
        <w:rPr>
          <w:rFonts w:eastAsia="Yu Mincho"/>
          <w:szCs w:val="24"/>
        </w:rPr>
        <w:t xml:space="preserve">ax </w:t>
      </w:r>
      <w:r w:rsidRPr="00C61E23">
        <w:rPr>
          <w:rFonts w:eastAsia="Yu Mincho"/>
          <w:szCs w:val="24"/>
        </w:rPr>
        <w:t>ECOL</w:t>
      </w:r>
      <w:r w:rsidRPr="00C61E23">
        <w:rPr>
          <w:szCs w:val="24"/>
        </w:rPr>
        <w:t xml:space="preserve"> or, in the case of an MSR, the Maximum Discharge Limit, </w:t>
      </w:r>
      <w:r w:rsidRPr="00C61E23">
        <w:rPr>
          <w:rFonts w:eastAsia="Yu Mincho"/>
          <w:szCs w:val="24"/>
        </w:rPr>
        <w:t xml:space="preserve">for the Type 1A Energy “Child” Resources of each Specified Source Resource which represents the load(s) that the registering Market Participant projects to be served.   </w:t>
      </w:r>
      <w:r w:rsidRPr="00C61E23">
        <w:rPr>
          <w:szCs w:val="24"/>
        </w:rPr>
        <w:t>These updates must occur on an hourly basis for both the Day-Ahead Market and RTBM. If there is any Energy available to offer beyond any “Child” Resource’s Type 1A Energy M</w:t>
      </w:r>
      <w:r w:rsidR="00C310E8">
        <w:rPr>
          <w:szCs w:val="24"/>
        </w:rPr>
        <w:t xml:space="preserve">ax </w:t>
      </w:r>
      <w:r w:rsidRPr="00C61E23">
        <w:rPr>
          <w:szCs w:val="24"/>
        </w:rPr>
        <w:t>ECOL or, in the case of an MSR, the Maximum Discharge Limit, the Market Participant may not offer more than its combined registered maximum capacity for those physical “Parent” Resources which have been contracted to supply a GHG Pricing Zone less the sum of  M</w:t>
      </w:r>
      <w:r w:rsidR="00C310E8">
        <w:rPr>
          <w:szCs w:val="24"/>
        </w:rPr>
        <w:t xml:space="preserve">ax </w:t>
      </w:r>
      <w:r w:rsidRPr="00C61E23">
        <w:rPr>
          <w:szCs w:val="24"/>
        </w:rPr>
        <w:t>ECOLs or, in the case of an MSR, the sum of the Maximum Discharge Limits, for the associated Type 1A Specified Source Resource “Child” Resources.</w:t>
      </w:r>
    </w:p>
    <w:p w14:paraId="175D9016" w14:textId="263B5DBA" w:rsidR="00C61E23" w:rsidRPr="00C61E23" w:rsidRDefault="00C61E23" w:rsidP="008C19EE">
      <w:pPr>
        <w:numPr>
          <w:ilvl w:val="3"/>
          <w:numId w:val="361"/>
        </w:numPr>
        <w:spacing w:before="120" w:after="160" w:line="300" w:lineRule="auto"/>
        <w:ind w:left="540"/>
      </w:pPr>
      <w:r w:rsidRPr="00C61E23">
        <w:t>A Market Participant may not submit a Type 1A Resource Offer that exceeds the registering Market Participant’s projected load to which Type 1A Energy is contracted</w:t>
      </w:r>
      <w:r w:rsidRPr="00C61E23">
        <w:rPr>
          <w:szCs w:val="24"/>
        </w:rPr>
        <w:t xml:space="preserve">. Otherwise, the Offer will </w:t>
      </w:r>
      <w:r w:rsidRPr="00C61E23">
        <w:t xml:space="preserve">be rejected.  The projected load is that submitted as described under Section </w:t>
      </w:r>
      <w:r w:rsidR="00FA76EC">
        <w:fldChar w:fldCharType="begin"/>
      </w:r>
      <w:r w:rsidR="00FA76EC">
        <w:instrText xml:space="preserve"> REF _Ref212560319 \r \h </w:instrText>
      </w:r>
      <w:r w:rsidR="00FA76EC">
        <w:fldChar w:fldCharType="separate"/>
      </w:r>
      <w:r w:rsidR="00FA76EC">
        <w:t>9.3.1.2.1</w:t>
      </w:r>
      <w:r w:rsidR="00FA76EC">
        <w:fldChar w:fldCharType="end"/>
      </w:r>
      <w:r w:rsidRPr="00C61E23">
        <w:rPr>
          <w:szCs w:val="24"/>
        </w:rPr>
        <w:t>.</w:t>
      </w:r>
      <w:r w:rsidRPr="00C61E23">
        <w:t xml:space="preserve">  </w:t>
      </w:r>
    </w:p>
    <w:p w14:paraId="7B6D68CA" w14:textId="77777777" w:rsidR="00C61E23" w:rsidRPr="00C61E23" w:rsidRDefault="00C61E23" w:rsidP="008C19EE">
      <w:pPr>
        <w:numPr>
          <w:ilvl w:val="3"/>
          <w:numId w:val="361"/>
        </w:numPr>
        <w:spacing w:before="120" w:after="160" w:line="300" w:lineRule="auto"/>
        <w:ind w:left="547" w:hanging="547"/>
      </w:pPr>
      <w:r w:rsidRPr="00C61E23">
        <w:t xml:space="preserve">The Type 1A Energy Resource Offer will always include both an Energy Offer Curve and a Specified GHG Adder.  </w:t>
      </w:r>
    </w:p>
    <w:p w14:paraId="2F5A148E" w14:textId="2EF4642C" w:rsidR="00C61E23" w:rsidRPr="00C61E23" w:rsidRDefault="00C61E23" w:rsidP="008C19EE">
      <w:pPr>
        <w:numPr>
          <w:ilvl w:val="3"/>
          <w:numId w:val="361"/>
        </w:numPr>
        <w:spacing w:before="120" w:after="160" w:line="300" w:lineRule="auto"/>
        <w:ind w:left="547" w:hanging="547"/>
      </w:pPr>
      <w:r w:rsidRPr="00C61E23">
        <w:t>If there is no registered Type 1A Energy associated with a physical “Parent” Resource, the Market Operator will not accept Resource Offers from the modeled Type 1A Energy Specified Source Resource “Child</w:t>
      </w:r>
      <w:r w:rsidRPr="00C61E23">
        <w:rPr>
          <w:szCs w:val="24"/>
        </w:rPr>
        <w:t>” Resource.</w:t>
      </w:r>
    </w:p>
    <w:p w14:paraId="0DD072FB" w14:textId="3E5276F3" w:rsidR="00C61E23" w:rsidRPr="00C61E23" w:rsidRDefault="00C61E23" w:rsidP="008C19EE">
      <w:pPr>
        <w:numPr>
          <w:ilvl w:val="3"/>
          <w:numId w:val="361"/>
        </w:numPr>
        <w:spacing w:before="120" w:after="160" w:line="300" w:lineRule="auto"/>
        <w:ind w:left="547" w:hanging="547"/>
        <w:rPr>
          <w:szCs w:val="24"/>
        </w:rPr>
      </w:pPr>
      <w:r w:rsidRPr="00C61E23">
        <w:rPr>
          <w:szCs w:val="24"/>
        </w:rPr>
        <w:t xml:space="preserve">The Market Operator commits the “Parent” Resource as described under Section </w:t>
      </w:r>
      <w:r w:rsidR="00FA2BFC">
        <w:rPr>
          <w:szCs w:val="24"/>
        </w:rPr>
        <w:fldChar w:fldCharType="begin"/>
      </w:r>
      <w:r w:rsidR="00FA2BFC">
        <w:rPr>
          <w:szCs w:val="24"/>
        </w:rPr>
        <w:instrText xml:space="preserve"> REF _Ref212560366 \r \h </w:instrText>
      </w:r>
      <w:r w:rsidR="00FA2BFC">
        <w:rPr>
          <w:szCs w:val="24"/>
        </w:rPr>
      </w:r>
      <w:r w:rsidR="00FA2BFC">
        <w:rPr>
          <w:szCs w:val="24"/>
        </w:rPr>
        <w:fldChar w:fldCharType="separate"/>
      </w:r>
      <w:r w:rsidR="00FA2BFC">
        <w:rPr>
          <w:szCs w:val="24"/>
        </w:rPr>
        <w:t>5.1.9</w:t>
      </w:r>
      <w:r w:rsidR="00FA2BFC">
        <w:rPr>
          <w:szCs w:val="24"/>
        </w:rPr>
        <w:fldChar w:fldCharType="end"/>
      </w:r>
      <w:r w:rsidRPr="00C61E23">
        <w:rPr>
          <w:szCs w:val="24"/>
        </w:rPr>
        <w:t xml:space="preserve">.  If the “Parent” Resource is committed then both “Child” Resources are also committed and the Market Operator dispatches each “Child” Resource independently subject to “Parent” Resource constraints as described under Section </w:t>
      </w:r>
      <w:r w:rsidR="00FA2BFC">
        <w:rPr>
          <w:szCs w:val="24"/>
        </w:rPr>
        <w:fldChar w:fldCharType="begin"/>
      </w:r>
      <w:r w:rsidR="00FA2BFC">
        <w:rPr>
          <w:szCs w:val="24"/>
        </w:rPr>
        <w:instrText xml:space="preserve"> REF _Ref212560366 \r \h </w:instrText>
      </w:r>
      <w:r w:rsidR="00FA2BFC">
        <w:rPr>
          <w:szCs w:val="24"/>
        </w:rPr>
      </w:r>
      <w:r w:rsidR="00FA2BFC">
        <w:rPr>
          <w:szCs w:val="24"/>
        </w:rPr>
        <w:fldChar w:fldCharType="separate"/>
      </w:r>
      <w:r w:rsidR="00FA2BFC">
        <w:rPr>
          <w:szCs w:val="24"/>
        </w:rPr>
        <w:t>5.1.9</w:t>
      </w:r>
      <w:r w:rsidR="00FA2BFC">
        <w:rPr>
          <w:szCs w:val="24"/>
        </w:rPr>
        <w:fldChar w:fldCharType="end"/>
      </w:r>
      <w:r w:rsidRPr="00C61E23">
        <w:rPr>
          <w:szCs w:val="24"/>
        </w:rPr>
        <w:t xml:space="preserve">.   </w:t>
      </w:r>
    </w:p>
    <w:p w14:paraId="200F6D7B" w14:textId="3F14E13F" w:rsidR="00C61E23" w:rsidRPr="00C61E23" w:rsidRDefault="00C61E23" w:rsidP="00574EDE">
      <w:pPr>
        <w:pStyle w:val="Heading4"/>
      </w:pPr>
      <w:bookmarkStart w:id="6874" w:name="_Toc213771948"/>
      <w:r w:rsidRPr="00C61E23">
        <w:t>Type 1B/Type 2 Energy</w:t>
      </w:r>
      <w:bookmarkEnd w:id="6874"/>
    </w:p>
    <w:p w14:paraId="0AE7D264" w14:textId="235F27EE" w:rsidR="00C61E23" w:rsidRPr="00C61E23" w:rsidRDefault="00C61E23" w:rsidP="008C19EE">
      <w:pPr>
        <w:numPr>
          <w:ilvl w:val="3"/>
          <w:numId w:val="158"/>
        </w:numPr>
        <w:spacing w:after="160" w:line="300" w:lineRule="auto"/>
        <w:ind w:left="540"/>
      </w:pPr>
      <w:r w:rsidRPr="00C61E23">
        <w:t>The Market Operator will create a second “Child</w:t>
      </w:r>
      <w:r w:rsidRPr="00C61E23">
        <w:rPr>
          <w:szCs w:val="24"/>
        </w:rPr>
        <w:t>” Resource</w:t>
      </w:r>
      <w:r w:rsidRPr="00C61E23">
        <w:t xml:space="preserve"> in the Commercial Model that is linked directly to the registered physical “Parent” Resource in the Network Model.  A Market Participant will submit a separate Resource Offer for this second “Child</w:t>
      </w:r>
      <w:r w:rsidRPr="00C61E23">
        <w:rPr>
          <w:szCs w:val="24"/>
        </w:rPr>
        <w:t>” Resource.</w:t>
      </w:r>
      <w:r w:rsidRPr="00C61E23">
        <w:t xml:space="preserve"> The M</w:t>
      </w:r>
      <w:r w:rsidR="00C310E8">
        <w:t xml:space="preserve">ax </w:t>
      </w:r>
      <w:r w:rsidRPr="00C61E23">
        <w:t xml:space="preserve">ECOL </w:t>
      </w:r>
      <w:r w:rsidRPr="00C61E23">
        <w:rPr>
          <w:szCs w:val="24"/>
        </w:rPr>
        <w:t xml:space="preserve">or, in the case of an MSR, the Maximum Discharge Limit, </w:t>
      </w:r>
      <w:r w:rsidRPr="00C61E23">
        <w:t>associated with the Type 1B/Type 2 Energy Specified Source Resource “Child</w:t>
      </w:r>
      <w:r w:rsidRPr="00C61E23">
        <w:rPr>
          <w:szCs w:val="24"/>
        </w:rPr>
        <w:t>” Resource</w:t>
      </w:r>
      <w:r w:rsidRPr="00C61E23">
        <w:t xml:space="preserve"> may not exceed the difference between the registered maximum capacity of the physical “Parent” Resource and the Type 1A Energy Specified Source Resource “Child</w:t>
      </w:r>
      <w:r w:rsidRPr="00C61E23">
        <w:rPr>
          <w:szCs w:val="24"/>
        </w:rPr>
        <w:t>” Resource M</w:t>
      </w:r>
      <w:r w:rsidR="00C310E8">
        <w:rPr>
          <w:szCs w:val="24"/>
        </w:rPr>
        <w:t xml:space="preserve">ax </w:t>
      </w:r>
      <w:r w:rsidRPr="00C61E23">
        <w:rPr>
          <w:szCs w:val="24"/>
        </w:rPr>
        <w:t>ECOL or, in the case of an MSR, the Maximum Discharge Limit.</w:t>
      </w:r>
    </w:p>
    <w:p w14:paraId="7A7EFD79" w14:textId="4B02D454" w:rsidR="00C61E23" w:rsidRPr="00C61E23" w:rsidRDefault="00C61E23" w:rsidP="008C19EE">
      <w:pPr>
        <w:numPr>
          <w:ilvl w:val="3"/>
          <w:numId w:val="158"/>
        </w:numPr>
        <w:spacing w:after="160" w:line="300" w:lineRule="auto"/>
        <w:ind w:left="540"/>
      </w:pPr>
      <w:r w:rsidRPr="00C61E23">
        <w:t xml:space="preserve">If a Market Participant intends to submit a Type 1B Energy Offer only, the Type 1B Energy Maximum Quantity must be less than or equal to the difference between the registered </w:t>
      </w:r>
      <w:r w:rsidRPr="00C61E23">
        <w:rPr>
          <w:szCs w:val="24"/>
        </w:rPr>
        <w:t>capacity of the physical “Parent” Resource minus the Type 1A Energy Specified Source Resource “Child” Resource M</w:t>
      </w:r>
      <w:r w:rsidR="00C310E8">
        <w:rPr>
          <w:szCs w:val="24"/>
        </w:rPr>
        <w:t xml:space="preserve">ax </w:t>
      </w:r>
      <w:r w:rsidRPr="00C61E23">
        <w:rPr>
          <w:szCs w:val="24"/>
        </w:rPr>
        <w:t>ECOL or, in the case of an MSR, the Maximum Discharge Limit. In such a scenario, the Surplus Threshold</w:t>
      </w:r>
      <w:r w:rsidRPr="00C61E23" w:rsidDel="006E173E">
        <w:rPr>
          <w:szCs w:val="24"/>
        </w:rPr>
        <w:t xml:space="preserve"> </w:t>
      </w:r>
      <w:r w:rsidRPr="00C61E23">
        <w:rPr>
          <w:szCs w:val="24"/>
        </w:rPr>
        <w:t>associated with Type 2 Energy must be equal to the Type 1B/Type 2 Specified Source Resource “Child” Resource M</w:t>
      </w:r>
      <w:r w:rsidR="00C310E8">
        <w:rPr>
          <w:szCs w:val="24"/>
        </w:rPr>
        <w:t xml:space="preserve">ax </w:t>
      </w:r>
      <w:r w:rsidRPr="00C61E23">
        <w:rPr>
          <w:szCs w:val="24"/>
        </w:rPr>
        <w:t>ECOL or, in the case of an MSR, the Maximum Discharge Limit,</w:t>
      </w:r>
      <w:r w:rsidRPr="00C61E23">
        <w:t xml:space="preserve"> and the Surplus Threshold Status must be set to “Submitted” as described </w:t>
      </w:r>
      <w:r w:rsidRPr="00C01B20">
        <w:t>in Section 4.</w:t>
      </w:r>
      <w:r w:rsidRPr="00C61E23">
        <w:t xml:space="preserve">2.2.2.3.   </w:t>
      </w:r>
    </w:p>
    <w:p w14:paraId="2B9BD3DA" w14:textId="5CCAB797" w:rsidR="00C61E23" w:rsidRPr="00C61E23" w:rsidRDefault="00C61E23" w:rsidP="008C19EE">
      <w:pPr>
        <w:numPr>
          <w:ilvl w:val="3"/>
          <w:numId w:val="158"/>
        </w:numPr>
        <w:spacing w:before="120" w:after="160" w:line="300" w:lineRule="auto"/>
        <w:ind w:left="540" w:hanging="547"/>
        <w:rPr>
          <w:szCs w:val="24"/>
        </w:rPr>
      </w:pPr>
      <w:r w:rsidRPr="00C61E23">
        <w:rPr>
          <w:szCs w:val="24"/>
        </w:rPr>
        <w:t>If a Market Participant intends to submit a Type 2 Energy Specified Source Resource “Child” Resource Offer only, the Type 1B/Type 2 Energy Specified Source Resource “Child” Resource M</w:t>
      </w:r>
      <w:r w:rsidR="00C310E8">
        <w:rPr>
          <w:szCs w:val="24"/>
        </w:rPr>
        <w:t xml:space="preserve">ax </w:t>
      </w:r>
      <w:r w:rsidRPr="00C61E23">
        <w:rPr>
          <w:szCs w:val="24"/>
        </w:rPr>
        <w:t>ECOL or, in the case of an MSR, the Maximum Discharge Limit, must be less than or equal to the difference between the registered capacity of the physical “Parent” Resource minus the Type 1A Energy Specified Source Resource “Child” Resource M</w:t>
      </w:r>
      <w:r w:rsidR="00C310E8">
        <w:rPr>
          <w:szCs w:val="24"/>
        </w:rPr>
        <w:t xml:space="preserve">ax </w:t>
      </w:r>
      <w:r w:rsidRPr="00C61E23">
        <w:rPr>
          <w:szCs w:val="24"/>
        </w:rPr>
        <w:t>ECOL or, in the case of an MSR, the Maximum Discharge Limit. In such a scenario, the Type 1B Energy Maximum Quantity must be set equal to zero</w:t>
      </w:r>
      <w:r w:rsidR="00E6633E">
        <w:rPr>
          <w:szCs w:val="24"/>
        </w:rPr>
        <w:t xml:space="preserve"> (0)</w:t>
      </w:r>
      <w:r w:rsidRPr="00C61E23">
        <w:rPr>
          <w:szCs w:val="24"/>
        </w:rPr>
        <w:t>.   The Surplus Threshold Status should be set to either “Submitted” or “Calculate,” depending on the Market Participant’s need for the Surplus Threshold value, as described in Section 4.2.2.2.3.</w:t>
      </w:r>
    </w:p>
    <w:p w14:paraId="141B1F99" w14:textId="705D71B7" w:rsidR="00C61E23" w:rsidRPr="00C61E23" w:rsidRDefault="00C61E23" w:rsidP="008C19EE">
      <w:pPr>
        <w:numPr>
          <w:ilvl w:val="3"/>
          <w:numId w:val="158"/>
        </w:numPr>
        <w:spacing w:before="120" w:after="160" w:line="300" w:lineRule="auto"/>
        <w:ind w:left="540" w:hanging="547"/>
        <w:rPr>
          <w:szCs w:val="24"/>
        </w:rPr>
      </w:pPr>
      <w:r w:rsidRPr="00C61E23">
        <w:rPr>
          <w:szCs w:val="24"/>
        </w:rPr>
        <w:t>To submit an Offer of Type 1B Energy and Type 2 Energy simultaneously, the Type 1B/Type 2 Energy Specified Source Resource “Child” Resource M</w:t>
      </w:r>
      <w:r w:rsidR="00C310E8">
        <w:rPr>
          <w:szCs w:val="24"/>
        </w:rPr>
        <w:t xml:space="preserve">ax </w:t>
      </w:r>
      <w:r w:rsidRPr="00C61E23">
        <w:rPr>
          <w:szCs w:val="24"/>
        </w:rPr>
        <w:t>ECOL or, in the case of an MSR, the Maximum Discharge Limit,  must be less than or equal to the difference between the registered capacity of the physical “Parent” Resource minus the Type 1A Energy Specified Source Resource “Child” Resource M</w:t>
      </w:r>
      <w:r w:rsidR="00C310E8">
        <w:rPr>
          <w:szCs w:val="24"/>
        </w:rPr>
        <w:t xml:space="preserve">ax </w:t>
      </w:r>
      <w:r w:rsidRPr="00C61E23">
        <w:rPr>
          <w:szCs w:val="24"/>
        </w:rPr>
        <w:t>ECOL or, in the case of an MSR, the Maximum Discharge Limit,  and the Type 1B Energy Maximum Quantity must be less than the Type 1A/Type 2 Energy Specified Source Resource “Child” Resource Surplus Threshold. The Surplus Threshold Status should be set to either “Submitted” or “Calculate,” depending on the Market Participant’s need for the Surplus Threshold value as described in Section 4.2.2.2.3.</w:t>
      </w:r>
    </w:p>
    <w:p w14:paraId="1C394682" w14:textId="4A391807" w:rsidR="00A014E5" w:rsidRDefault="003D5367" w:rsidP="00CB5653">
      <w:pPr>
        <w:pStyle w:val="Heading3"/>
      </w:pPr>
      <w:bookmarkStart w:id="6875" w:name="_Toc213771949"/>
      <w:r>
        <w:t>Reserved for Future Use</w:t>
      </w:r>
      <w:bookmarkEnd w:id="6875"/>
    </w:p>
    <w:p w14:paraId="1A66E65A" w14:textId="32177906" w:rsidR="00A014E5" w:rsidRPr="0007641A" w:rsidRDefault="00B946B3" w:rsidP="00CB5653">
      <w:pPr>
        <w:pStyle w:val="Heading3"/>
      </w:pPr>
      <w:bookmarkStart w:id="6876" w:name="_Toc212633429"/>
      <w:bookmarkStart w:id="6877" w:name="_Toc212634110"/>
      <w:bookmarkStart w:id="6878" w:name="_Toc213746485"/>
      <w:bookmarkStart w:id="6879" w:name="_Toc213771950"/>
      <w:bookmarkStart w:id="6880" w:name="_Toc212633430"/>
      <w:bookmarkStart w:id="6881" w:name="_Toc212634111"/>
      <w:bookmarkStart w:id="6882" w:name="_Toc213746486"/>
      <w:bookmarkStart w:id="6883" w:name="_Toc213771951"/>
      <w:bookmarkStart w:id="6884" w:name="_Toc212633431"/>
      <w:bookmarkStart w:id="6885" w:name="_Toc212634112"/>
      <w:bookmarkStart w:id="6886" w:name="_Toc213746487"/>
      <w:bookmarkStart w:id="6887" w:name="_Toc213771952"/>
      <w:bookmarkStart w:id="6888" w:name="_Toc212633432"/>
      <w:bookmarkStart w:id="6889" w:name="_Toc212634113"/>
      <w:bookmarkStart w:id="6890" w:name="_Toc213746488"/>
      <w:bookmarkStart w:id="6891" w:name="_Toc213771953"/>
      <w:bookmarkStart w:id="6892" w:name="_Toc212633433"/>
      <w:bookmarkStart w:id="6893" w:name="_Toc212634114"/>
      <w:bookmarkStart w:id="6894" w:name="_Toc213746489"/>
      <w:bookmarkStart w:id="6895" w:name="_Toc213771954"/>
      <w:bookmarkStart w:id="6896" w:name="_Toc212633434"/>
      <w:bookmarkStart w:id="6897" w:name="_Toc212634115"/>
      <w:bookmarkStart w:id="6898" w:name="_Toc213746490"/>
      <w:bookmarkStart w:id="6899" w:name="_Toc213771955"/>
      <w:bookmarkStart w:id="6900" w:name="_Toc213771956"/>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r>
        <w:t>Reserved for Future Use</w:t>
      </w:r>
      <w:bookmarkEnd w:id="6900"/>
    </w:p>
    <w:p w14:paraId="53E37F97" w14:textId="37B37781" w:rsidR="001C0CC8" w:rsidRPr="001C0CC8" w:rsidRDefault="001C0CC8" w:rsidP="00CB5653">
      <w:pPr>
        <w:pStyle w:val="Heading3"/>
      </w:pPr>
      <w:bookmarkStart w:id="6901" w:name="_Toc212633436"/>
      <w:bookmarkStart w:id="6902" w:name="_Toc212634117"/>
      <w:bookmarkStart w:id="6903" w:name="_Toc213746492"/>
      <w:bookmarkStart w:id="6904" w:name="_Toc213771957"/>
      <w:bookmarkStart w:id="6905" w:name="_Ref212560366"/>
      <w:bookmarkStart w:id="6906" w:name="_Toc213771958"/>
      <w:bookmarkStart w:id="6907" w:name="_Toc180056327"/>
      <w:bookmarkEnd w:id="6901"/>
      <w:bookmarkEnd w:id="6902"/>
      <w:bookmarkEnd w:id="6903"/>
      <w:bookmarkEnd w:id="6904"/>
      <w:r w:rsidRPr="001C0CC8">
        <w:t>Specified Source Resource Offer Requirements</w:t>
      </w:r>
      <w:bookmarkEnd w:id="6905"/>
      <w:bookmarkEnd w:id="6906"/>
      <w:r w:rsidRPr="001C0CC8">
        <w:t xml:space="preserve"> </w:t>
      </w:r>
    </w:p>
    <w:p w14:paraId="59A2991F" w14:textId="77777777" w:rsidR="001C0CC8" w:rsidRPr="001C0CC8" w:rsidRDefault="001C0CC8" w:rsidP="001C0CC8">
      <w:pPr>
        <w:spacing w:line="300" w:lineRule="auto"/>
        <w:rPr>
          <w:szCs w:val="24"/>
        </w:rPr>
      </w:pPr>
      <w:r w:rsidRPr="001C0CC8">
        <w:rPr>
          <w:szCs w:val="24"/>
        </w:rPr>
        <w:t>The following rules apply to Resource</w:t>
      </w:r>
      <w:r w:rsidRPr="001C0CC8" w:rsidDel="001D437F">
        <w:rPr>
          <w:szCs w:val="24"/>
        </w:rPr>
        <w:t xml:space="preserve"> </w:t>
      </w:r>
      <w:r w:rsidRPr="001C0CC8">
        <w:rPr>
          <w:szCs w:val="24"/>
        </w:rPr>
        <w:t xml:space="preserve">Offers from Specified Source Resources offering Type 1A Energy, Type 1B Energy, and Type 2 Energy:  </w:t>
      </w:r>
    </w:p>
    <w:p w14:paraId="4DD92F39" w14:textId="0D2AF2F2" w:rsidR="001C0CC8" w:rsidRPr="00230BAE" w:rsidRDefault="001C0CC8" w:rsidP="00574EDE">
      <w:pPr>
        <w:pStyle w:val="Heading4"/>
        <w:rPr>
          <w:szCs w:val="24"/>
        </w:rPr>
      </w:pPr>
      <w:bookmarkStart w:id="6908" w:name="_Ref212560856"/>
      <w:bookmarkStart w:id="6909" w:name="_Toc213771959"/>
      <w:r w:rsidRPr="00230BAE">
        <w:t>Specified Source Resource Unit Commitment</w:t>
      </w:r>
      <w:bookmarkEnd w:id="6908"/>
      <w:bookmarkEnd w:id="6909"/>
      <w:r w:rsidRPr="00230BAE">
        <w:t xml:space="preserve"> </w:t>
      </w:r>
    </w:p>
    <w:p w14:paraId="1FF58C4E" w14:textId="322134BF" w:rsidR="001C0CC8" w:rsidRPr="001C0CC8" w:rsidRDefault="001C0CC8" w:rsidP="00E57989">
      <w:pPr>
        <w:numPr>
          <w:ilvl w:val="3"/>
          <w:numId w:val="333"/>
        </w:numPr>
        <w:spacing w:after="160" w:line="300" w:lineRule="auto"/>
        <w:ind w:left="540"/>
        <w:contextualSpacing/>
        <w:rPr>
          <w:szCs w:val="24"/>
        </w:rPr>
      </w:pPr>
      <w:r w:rsidRPr="001C0CC8">
        <w:rPr>
          <w:szCs w:val="24"/>
        </w:rPr>
        <w:t xml:space="preserve">The following </w:t>
      </w:r>
      <w:r w:rsidR="0026788A">
        <w:rPr>
          <w:szCs w:val="24"/>
        </w:rPr>
        <w:t>O</w:t>
      </w:r>
      <w:r w:rsidRPr="001C0CC8">
        <w:rPr>
          <w:szCs w:val="24"/>
        </w:rPr>
        <w:t>ffer parameters apply to each associated Specified Source Resource “Child” Resource that is associated with a “Parent” Specified Source. Market Storage Resources (MSR</w:t>
      </w:r>
      <w:r w:rsidR="00D73AD9">
        <w:rPr>
          <w:szCs w:val="24"/>
        </w:rPr>
        <w:t>s</w:t>
      </w:r>
      <w:r w:rsidRPr="001C0CC8">
        <w:rPr>
          <w:szCs w:val="24"/>
        </w:rPr>
        <w:t xml:space="preserve">) have other parameters as described in Sections </w:t>
      </w:r>
      <w:r w:rsidR="003911D8">
        <w:rPr>
          <w:szCs w:val="24"/>
        </w:rPr>
        <w:fldChar w:fldCharType="begin"/>
      </w:r>
      <w:r w:rsidR="003911D8">
        <w:rPr>
          <w:szCs w:val="24"/>
        </w:rPr>
        <w:instrText xml:space="preserve"> REF _Ref212560712 \r \h </w:instrText>
      </w:r>
      <w:r w:rsidR="003911D8">
        <w:rPr>
          <w:szCs w:val="24"/>
        </w:rPr>
      </w:r>
      <w:r w:rsidR="003911D8">
        <w:rPr>
          <w:szCs w:val="24"/>
        </w:rPr>
        <w:fldChar w:fldCharType="separate"/>
      </w:r>
      <w:r w:rsidR="003911D8">
        <w:rPr>
          <w:szCs w:val="24"/>
        </w:rPr>
        <w:t>5.1.9.2</w:t>
      </w:r>
      <w:r w:rsidR="003911D8">
        <w:rPr>
          <w:szCs w:val="24"/>
        </w:rPr>
        <w:fldChar w:fldCharType="end"/>
      </w:r>
      <w:r w:rsidRPr="001C0CC8">
        <w:rPr>
          <w:szCs w:val="24"/>
        </w:rPr>
        <w:t xml:space="preserve"> and </w:t>
      </w:r>
      <w:r w:rsidR="003911D8">
        <w:rPr>
          <w:szCs w:val="24"/>
        </w:rPr>
        <w:fldChar w:fldCharType="begin"/>
      </w:r>
      <w:r w:rsidR="003911D8">
        <w:rPr>
          <w:szCs w:val="24"/>
        </w:rPr>
        <w:instrText xml:space="preserve"> REF _Ref212560731 \r \h </w:instrText>
      </w:r>
      <w:r w:rsidR="003911D8">
        <w:rPr>
          <w:szCs w:val="24"/>
        </w:rPr>
      </w:r>
      <w:r w:rsidR="003911D8">
        <w:rPr>
          <w:szCs w:val="24"/>
        </w:rPr>
        <w:fldChar w:fldCharType="separate"/>
      </w:r>
      <w:r w:rsidR="003911D8">
        <w:rPr>
          <w:szCs w:val="24"/>
        </w:rPr>
        <w:t>5.1.9.3</w:t>
      </w:r>
      <w:r w:rsidR="003911D8">
        <w:rPr>
          <w:szCs w:val="24"/>
        </w:rPr>
        <w:fldChar w:fldCharType="end"/>
      </w:r>
      <w:r w:rsidRPr="001C0CC8">
        <w:rPr>
          <w:szCs w:val="24"/>
        </w:rPr>
        <w:t xml:space="preserve">.  </w:t>
      </w:r>
    </w:p>
    <w:p w14:paraId="2A1443B6" w14:textId="024542C9" w:rsidR="001C0CC8" w:rsidRPr="001C0CC8" w:rsidRDefault="001C0CC8" w:rsidP="00E57989">
      <w:pPr>
        <w:numPr>
          <w:ilvl w:val="1"/>
          <w:numId w:val="360"/>
        </w:numPr>
        <w:spacing w:after="160" w:line="300" w:lineRule="auto"/>
        <w:contextualSpacing/>
        <w:rPr>
          <w:szCs w:val="24"/>
        </w:rPr>
      </w:pPr>
      <w:r w:rsidRPr="001C0CC8">
        <w:rPr>
          <w:szCs w:val="24"/>
        </w:rPr>
        <w:t>Type 1A Maximum Economic Capacity Operating Limit (not applicable to MSR)</w:t>
      </w:r>
    </w:p>
    <w:p w14:paraId="66765982" w14:textId="2CF15F7E" w:rsidR="001C0CC8" w:rsidRPr="001C0CC8" w:rsidRDefault="001C0CC8" w:rsidP="00E57989">
      <w:pPr>
        <w:numPr>
          <w:ilvl w:val="1"/>
          <w:numId w:val="360"/>
        </w:numPr>
        <w:spacing w:after="160" w:line="300" w:lineRule="auto"/>
        <w:contextualSpacing/>
        <w:rPr>
          <w:szCs w:val="24"/>
        </w:rPr>
      </w:pPr>
      <w:r w:rsidRPr="001C0CC8">
        <w:rPr>
          <w:szCs w:val="24"/>
        </w:rPr>
        <w:t>Type 1B/Type 2 Maximum Economic Capacity Operating Limit (not applicable to MSR)</w:t>
      </w:r>
    </w:p>
    <w:p w14:paraId="6554B980" w14:textId="3539B2A0" w:rsidR="001C0CC8" w:rsidRPr="001C0CC8" w:rsidRDefault="001C0CC8" w:rsidP="00E57989">
      <w:pPr>
        <w:numPr>
          <w:ilvl w:val="1"/>
          <w:numId w:val="360"/>
        </w:numPr>
        <w:spacing w:after="160" w:line="300" w:lineRule="auto"/>
        <w:contextualSpacing/>
        <w:rPr>
          <w:szCs w:val="24"/>
        </w:rPr>
      </w:pPr>
      <w:r w:rsidRPr="001C0CC8">
        <w:rPr>
          <w:szCs w:val="24"/>
        </w:rPr>
        <w:t>Type 1A Minimum Economic Capacity Operating Limit (not applicable to MSR)</w:t>
      </w:r>
    </w:p>
    <w:p w14:paraId="7E5D4534" w14:textId="587841A7" w:rsidR="001C0CC8" w:rsidRPr="001C0CC8" w:rsidRDefault="001C0CC8" w:rsidP="00E57989">
      <w:pPr>
        <w:numPr>
          <w:ilvl w:val="1"/>
          <w:numId w:val="360"/>
        </w:numPr>
        <w:spacing w:after="160" w:line="300" w:lineRule="auto"/>
        <w:contextualSpacing/>
        <w:rPr>
          <w:szCs w:val="24"/>
        </w:rPr>
      </w:pPr>
      <w:r w:rsidRPr="001C0CC8">
        <w:rPr>
          <w:szCs w:val="24"/>
        </w:rPr>
        <w:t>Type 1B/Type 2 Minimum Economic Capacity Operating Limit (not applicable to MSR)</w:t>
      </w:r>
    </w:p>
    <w:p w14:paraId="5B34D6B2" w14:textId="77777777" w:rsidR="001C0CC8" w:rsidRPr="001C0CC8" w:rsidRDefault="001C0CC8" w:rsidP="00E57989">
      <w:pPr>
        <w:numPr>
          <w:ilvl w:val="1"/>
          <w:numId w:val="360"/>
        </w:numPr>
        <w:spacing w:after="160" w:line="300" w:lineRule="auto"/>
        <w:contextualSpacing/>
        <w:rPr>
          <w:szCs w:val="24"/>
        </w:rPr>
      </w:pPr>
      <w:r w:rsidRPr="001C0CC8">
        <w:rPr>
          <w:szCs w:val="24"/>
        </w:rPr>
        <w:t>Type 1B Maximum Quantity</w:t>
      </w:r>
    </w:p>
    <w:p w14:paraId="151D5FC8" w14:textId="77777777" w:rsidR="001C0CC8" w:rsidRPr="001C0CC8" w:rsidRDefault="001C0CC8" w:rsidP="00E57989">
      <w:pPr>
        <w:numPr>
          <w:ilvl w:val="1"/>
          <w:numId w:val="360"/>
        </w:numPr>
        <w:spacing w:after="160" w:line="300" w:lineRule="auto"/>
        <w:contextualSpacing/>
        <w:rPr>
          <w:szCs w:val="24"/>
        </w:rPr>
      </w:pPr>
      <w:r w:rsidRPr="001C0CC8">
        <w:rPr>
          <w:szCs w:val="24"/>
        </w:rPr>
        <w:t>Type 2 Maximum Quantity</w:t>
      </w:r>
    </w:p>
    <w:p w14:paraId="22F02B76" w14:textId="77777777" w:rsidR="001C0CC8" w:rsidRPr="001C0CC8" w:rsidRDefault="001C0CC8" w:rsidP="00E57989">
      <w:pPr>
        <w:numPr>
          <w:ilvl w:val="1"/>
          <w:numId w:val="360"/>
        </w:numPr>
        <w:spacing w:after="160" w:line="300" w:lineRule="auto"/>
        <w:contextualSpacing/>
        <w:rPr>
          <w:szCs w:val="24"/>
        </w:rPr>
      </w:pPr>
      <w:r w:rsidRPr="001C0CC8">
        <w:rPr>
          <w:szCs w:val="24"/>
        </w:rPr>
        <w:t>Type 1A Energy Offer Curve</w:t>
      </w:r>
    </w:p>
    <w:p w14:paraId="72C0235C" w14:textId="77777777" w:rsidR="001C0CC8" w:rsidRPr="001C0CC8" w:rsidRDefault="001C0CC8" w:rsidP="00E57989">
      <w:pPr>
        <w:numPr>
          <w:ilvl w:val="1"/>
          <w:numId w:val="360"/>
        </w:numPr>
        <w:spacing w:after="160" w:line="300" w:lineRule="auto"/>
        <w:contextualSpacing/>
        <w:rPr>
          <w:szCs w:val="24"/>
        </w:rPr>
      </w:pPr>
      <w:r w:rsidRPr="001C0CC8">
        <w:rPr>
          <w:szCs w:val="24"/>
        </w:rPr>
        <w:t>Type 1A Mitigated Energy Offer Curve</w:t>
      </w:r>
    </w:p>
    <w:p w14:paraId="501963ED" w14:textId="77777777" w:rsidR="001C0CC8" w:rsidRPr="001C0CC8" w:rsidRDefault="001C0CC8" w:rsidP="00E57989">
      <w:pPr>
        <w:numPr>
          <w:ilvl w:val="1"/>
          <w:numId w:val="360"/>
        </w:numPr>
        <w:spacing w:after="160" w:line="300" w:lineRule="auto"/>
        <w:contextualSpacing/>
        <w:rPr>
          <w:szCs w:val="24"/>
        </w:rPr>
      </w:pPr>
      <w:r w:rsidRPr="001C0CC8">
        <w:rPr>
          <w:szCs w:val="24"/>
        </w:rPr>
        <w:t>Type 1B/Type 2 Energy Offer Curve</w:t>
      </w:r>
    </w:p>
    <w:p w14:paraId="791B5D53" w14:textId="77777777" w:rsidR="001C0CC8" w:rsidRPr="001C0CC8" w:rsidRDefault="001C0CC8" w:rsidP="00E57989">
      <w:pPr>
        <w:numPr>
          <w:ilvl w:val="1"/>
          <w:numId w:val="360"/>
        </w:numPr>
        <w:spacing w:after="160" w:line="300" w:lineRule="auto"/>
        <w:contextualSpacing/>
        <w:rPr>
          <w:szCs w:val="24"/>
        </w:rPr>
      </w:pPr>
      <w:r w:rsidRPr="001C0CC8">
        <w:rPr>
          <w:szCs w:val="24"/>
        </w:rPr>
        <w:t>Type 1B/Type 2 Mitigated Energy Offer Curve</w:t>
      </w:r>
    </w:p>
    <w:p w14:paraId="74542E46" w14:textId="77777777" w:rsidR="005068E4" w:rsidRDefault="005068E4" w:rsidP="005068E4">
      <w:pPr>
        <w:numPr>
          <w:ilvl w:val="1"/>
          <w:numId w:val="360"/>
        </w:numPr>
        <w:spacing w:after="160" w:line="300" w:lineRule="auto"/>
        <w:contextualSpacing/>
        <w:rPr>
          <w:szCs w:val="24"/>
        </w:rPr>
      </w:pPr>
      <w:r w:rsidRPr="001C0CC8">
        <w:rPr>
          <w:szCs w:val="24"/>
        </w:rPr>
        <w:t>Surplus Threshold</w:t>
      </w:r>
      <w:r>
        <w:rPr>
          <w:szCs w:val="24"/>
        </w:rPr>
        <w:t xml:space="preserve"> (only applicable to Type1B/Type 2 Energy “Child” Resource)</w:t>
      </w:r>
    </w:p>
    <w:p w14:paraId="5C8020F9" w14:textId="66664100" w:rsidR="005068E4" w:rsidRPr="001C0CC8" w:rsidRDefault="005068E4" w:rsidP="005068E4">
      <w:pPr>
        <w:numPr>
          <w:ilvl w:val="1"/>
          <w:numId w:val="360"/>
        </w:numPr>
        <w:spacing w:before="120" w:after="160" w:line="300" w:lineRule="auto"/>
        <w:rPr>
          <w:szCs w:val="24"/>
        </w:rPr>
      </w:pPr>
      <w:r w:rsidRPr="001C0CC8">
        <w:rPr>
          <w:szCs w:val="24"/>
        </w:rPr>
        <w:t>Surplus Threshold Status</w:t>
      </w:r>
      <w:r>
        <w:rPr>
          <w:szCs w:val="24"/>
        </w:rPr>
        <w:t>(only applicable to Type1B/Type 2 Energy “Child” Resource)</w:t>
      </w:r>
    </w:p>
    <w:p w14:paraId="3A7DDFE0" w14:textId="77777777" w:rsidR="005068E4" w:rsidRDefault="005068E4" w:rsidP="005068E4">
      <w:pPr>
        <w:numPr>
          <w:ilvl w:val="1"/>
          <w:numId w:val="360"/>
        </w:numPr>
        <w:spacing w:after="160" w:line="300" w:lineRule="auto"/>
        <w:contextualSpacing/>
        <w:rPr>
          <w:szCs w:val="24"/>
        </w:rPr>
      </w:pPr>
      <w:r>
        <w:rPr>
          <w:szCs w:val="24"/>
        </w:rPr>
        <w:t xml:space="preserve">Type 1A </w:t>
      </w:r>
      <w:r w:rsidRPr="001C0CC8">
        <w:rPr>
          <w:szCs w:val="24"/>
        </w:rPr>
        <w:t>Specified GHG Adder</w:t>
      </w:r>
      <w:r>
        <w:rPr>
          <w:szCs w:val="24"/>
        </w:rPr>
        <w:t xml:space="preserve"> </w:t>
      </w:r>
    </w:p>
    <w:p w14:paraId="0A02720A" w14:textId="77777777" w:rsidR="005068E4" w:rsidRPr="001C0CC8" w:rsidRDefault="005068E4" w:rsidP="005068E4">
      <w:pPr>
        <w:numPr>
          <w:ilvl w:val="1"/>
          <w:numId w:val="360"/>
        </w:numPr>
        <w:spacing w:after="160" w:line="300" w:lineRule="auto"/>
        <w:contextualSpacing/>
        <w:rPr>
          <w:szCs w:val="24"/>
        </w:rPr>
      </w:pPr>
      <w:r>
        <w:rPr>
          <w:szCs w:val="24"/>
        </w:rPr>
        <w:t>Type 1B/Type 2 Specified GHG Adder</w:t>
      </w:r>
    </w:p>
    <w:p w14:paraId="57BC43BE" w14:textId="43E0792D" w:rsidR="001C0CC8" w:rsidRPr="001C0CC8" w:rsidRDefault="001C0CC8" w:rsidP="00E57989">
      <w:pPr>
        <w:numPr>
          <w:ilvl w:val="0"/>
          <w:numId w:val="400"/>
        </w:numPr>
        <w:spacing w:before="120" w:after="160" w:line="300" w:lineRule="auto"/>
        <w:ind w:left="547" w:hanging="547"/>
        <w:contextualSpacing/>
        <w:rPr>
          <w:szCs w:val="24"/>
        </w:rPr>
      </w:pPr>
      <w:r w:rsidRPr="001C0CC8">
        <w:rPr>
          <w:szCs w:val="24"/>
        </w:rPr>
        <w:t>The following Resource Offer parameters specifically related to unit commitment associated with the Specified Source Resource are submitted for use at the physical “Parent” Specified Source Resource. MSR</w:t>
      </w:r>
      <w:r w:rsidR="001E299A">
        <w:rPr>
          <w:szCs w:val="24"/>
        </w:rPr>
        <w:t>s</w:t>
      </w:r>
      <w:r w:rsidRPr="001C0CC8">
        <w:rPr>
          <w:szCs w:val="24"/>
        </w:rPr>
        <w:t xml:space="preserve"> </w:t>
      </w:r>
      <w:r w:rsidR="001E299A">
        <w:rPr>
          <w:szCs w:val="24"/>
        </w:rPr>
        <w:t>and</w:t>
      </w:r>
      <w:r w:rsidRPr="001C0CC8">
        <w:rPr>
          <w:szCs w:val="24"/>
        </w:rPr>
        <w:t xml:space="preserve"> MCR</w:t>
      </w:r>
      <w:r w:rsidR="001E299A">
        <w:rPr>
          <w:szCs w:val="24"/>
        </w:rPr>
        <w:t>s</w:t>
      </w:r>
      <w:r w:rsidRPr="001C0CC8">
        <w:rPr>
          <w:szCs w:val="24"/>
        </w:rPr>
        <w:t xml:space="preserve"> have </w:t>
      </w:r>
      <w:r w:rsidR="001E299A">
        <w:rPr>
          <w:szCs w:val="24"/>
        </w:rPr>
        <w:t>additional</w:t>
      </w:r>
      <w:r w:rsidR="001E299A" w:rsidRPr="001C0CC8">
        <w:rPr>
          <w:szCs w:val="24"/>
        </w:rPr>
        <w:t xml:space="preserve"> </w:t>
      </w:r>
      <w:r w:rsidRPr="001C0CC8">
        <w:rPr>
          <w:szCs w:val="24"/>
        </w:rPr>
        <w:t xml:space="preserve">parameters as described in Sections </w:t>
      </w:r>
      <w:r w:rsidR="003911D8">
        <w:rPr>
          <w:szCs w:val="24"/>
        </w:rPr>
        <w:fldChar w:fldCharType="begin"/>
      </w:r>
      <w:r w:rsidR="003911D8">
        <w:rPr>
          <w:szCs w:val="24"/>
        </w:rPr>
        <w:instrText xml:space="preserve"> REF _Ref212560712 \r \h </w:instrText>
      </w:r>
      <w:r w:rsidR="003911D8">
        <w:rPr>
          <w:szCs w:val="24"/>
        </w:rPr>
      </w:r>
      <w:r w:rsidR="003911D8">
        <w:rPr>
          <w:szCs w:val="24"/>
        </w:rPr>
        <w:fldChar w:fldCharType="separate"/>
      </w:r>
      <w:r w:rsidR="003911D8">
        <w:rPr>
          <w:szCs w:val="24"/>
        </w:rPr>
        <w:t>5.1.9.2</w:t>
      </w:r>
      <w:r w:rsidR="003911D8">
        <w:rPr>
          <w:szCs w:val="24"/>
        </w:rPr>
        <w:fldChar w:fldCharType="end"/>
      </w:r>
      <w:r w:rsidRPr="001C0CC8">
        <w:rPr>
          <w:szCs w:val="24"/>
        </w:rPr>
        <w:t xml:space="preserve"> and </w:t>
      </w:r>
      <w:r w:rsidR="003911D8">
        <w:rPr>
          <w:szCs w:val="24"/>
        </w:rPr>
        <w:fldChar w:fldCharType="begin"/>
      </w:r>
      <w:r w:rsidR="003911D8">
        <w:rPr>
          <w:szCs w:val="24"/>
        </w:rPr>
        <w:instrText xml:space="preserve"> REF _Ref212560731 \r \h </w:instrText>
      </w:r>
      <w:r w:rsidR="003911D8">
        <w:rPr>
          <w:szCs w:val="24"/>
        </w:rPr>
      </w:r>
      <w:r w:rsidR="003911D8">
        <w:rPr>
          <w:szCs w:val="24"/>
        </w:rPr>
        <w:fldChar w:fldCharType="separate"/>
      </w:r>
      <w:r w:rsidR="003911D8">
        <w:rPr>
          <w:szCs w:val="24"/>
        </w:rPr>
        <w:t>5.1.9.3</w:t>
      </w:r>
      <w:r w:rsidR="003911D8">
        <w:rPr>
          <w:szCs w:val="24"/>
        </w:rPr>
        <w:fldChar w:fldCharType="end"/>
      </w:r>
      <w:r w:rsidRPr="001C0CC8">
        <w:rPr>
          <w:szCs w:val="24"/>
        </w:rPr>
        <w:t xml:space="preserve">. </w:t>
      </w:r>
    </w:p>
    <w:p w14:paraId="6C7FBD1E"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Start-Up Offer</w:t>
      </w:r>
    </w:p>
    <w:p w14:paraId="7B8713B8"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Mitigated Start-Up Offer</w:t>
      </w:r>
    </w:p>
    <w:p w14:paraId="080C625F"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No-Load Offer</w:t>
      </w:r>
    </w:p>
    <w:p w14:paraId="5E2698F9"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Mid-Term Flex Up Offer</w:t>
      </w:r>
    </w:p>
    <w:p w14:paraId="09C766B8"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Mitigated Mid-Term Flex Up Offer</w:t>
      </w:r>
    </w:p>
    <w:p w14:paraId="41BC67A7"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Commitment Status</w:t>
      </w:r>
    </w:p>
    <w:p w14:paraId="73E13E18"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Mitigated No-Load Offer</w:t>
      </w:r>
    </w:p>
    <w:p w14:paraId="2318030D"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Sync-To-Min Time</w:t>
      </w:r>
    </w:p>
    <w:p w14:paraId="6B39C597"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Min-To-Off Time </w:t>
      </w:r>
    </w:p>
    <w:p w14:paraId="225E10B8"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Start-Up Time  </w:t>
      </w:r>
    </w:p>
    <w:p w14:paraId="0DB414D3"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Hot to Intermediate Time </w:t>
      </w:r>
    </w:p>
    <w:p w14:paraId="508F9C0C"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Hot to Cold Time   </w:t>
      </w:r>
    </w:p>
    <w:p w14:paraId="30625772"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Maximum Daily Starts </w:t>
      </w:r>
    </w:p>
    <w:p w14:paraId="47C17725"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Maximum Weekly Starts </w:t>
      </w:r>
    </w:p>
    <w:p w14:paraId="6404B243"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 xml:space="preserve">Maximum Daily Energy </w:t>
      </w:r>
    </w:p>
    <w:p w14:paraId="23379CCB"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Minimum Run Time</w:t>
      </w:r>
    </w:p>
    <w:p w14:paraId="2786D32B"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Maximum Run Time</w:t>
      </w:r>
    </w:p>
    <w:p w14:paraId="7A5FCDAB"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Minimum Down Time</w:t>
      </w:r>
    </w:p>
    <w:p w14:paraId="48620A0A"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Ramp-Rate-Up</w:t>
      </w:r>
    </w:p>
    <w:p w14:paraId="7427F147" w14:textId="77777777" w:rsidR="001C0CC8" w:rsidRPr="001C0CC8" w:rsidRDefault="001C0CC8" w:rsidP="00E57989">
      <w:pPr>
        <w:numPr>
          <w:ilvl w:val="1"/>
          <w:numId w:val="42"/>
        </w:numPr>
        <w:spacing w:before="120" w:after="160" w:line="300" w:lineRule="auto"/>
        <w:ind w:left="1170"/>
        <w:contextualSpacing/>
        <w:rPr>
          <w:szCs w:val="24"/>
        </w:rPr>
      </w:pPr>
      <w:r w:rsidRPr="001C0CC8">
        <w:rPr>
          <w:szCs w:val="24"/>
        </w:rPr>
        <w:t>Ramp-Rate-Down</w:t>
      </w:r>
    </w:p>
    <w:p w14:paraId="3B603438" w14:textId="159598F4" w:rsidR="001C0CC8" w:rsidRPr="001C0CC8" w:rsidRDefault="001C0CC8" w:rsidP="00E57989">
      <w:pPr>
        <w:numPr>
          <w:ilvl w:val="0"/>
          <w:numId w:val="400"/>
        </w:numPr>
        <w:spacing w:before="120" w:after="160" w:line="300" w:lineRule="auto"/>
        <w:ind w:left="547" w:hanging="547"/>
        <w:contextualSpacing/>
        <w:rPr>
          <w:szCs w:val="24"/>
        </w:rPr>
      </w:pPr>
      <w:r w:rsidRPr="001C0CC8">
        <w:rPr>
          <w:szCs w:val="24"/>
        </w:rPr>
        <w:t>Decisions regarding commitment of the Specified Source Resource in the Day-Ahead Market and RUC processes will be based on  (1) the Start-Up Offer and the No-Load Offer, both submitted at the physical “Parent” Resource; and (2) the Energy Offer Curve costs and the Specified GHG Adder costs of the “Child” Resources, along with all other applicable unit commitment related parameters submitted for the “Parent” Resource, as set forth in (2) above.  Once committed, the following rules apply to the dispatch of the Type 1A</w:t>
      </w:r>
      <w:r w:rsidR="00821683">
        <w:rPr>
          <w:szCs w:val="24"/>
        </w:rPr>
        <w:t xml:space="preserve"> Energy</w:t>
      </w:r>
      <w:r w:rsidRPr="001C0CC8">
        <w:rPr>
          <w:szCs w:val="24"/>
        </w:rPr>
        <w:t xml:space="preserve"> “Child” Resource and the Type 1B/Type 2</w:t>
      </w:r>
      <w:r w:rsidR="00821683">
        <w:rPr>
          <w:szCs w:val="24"/>
        </w:rPr>
        <w:t xml:space="preserve"> Energy</w:t>
      </w:r>
      <w:r w:rsidRPr="001C0CC8">
        <w:rPr>
          <w:szCs w:val="24"/>
        </w:rPr>
        <w:t xml:space="preserve"> “Child” Resource.</w:t>
      </w:r>
    </w:p>
    <w:p w14:paraId="74C012E5" w14:textId="197BC866" w:rsidR="001C0CC8" w:rsidRPr="001C0CC8" w:rsidRDefault="001C0CC8" w:rsidP="00E57989">
      <w:pPr>
        <w:numPr>
          <w:ilvl w:val="1"/>
          <w:numId w:val="63"/>
        </w:numPr>
        <w:spacing w:before="120" w:after="160" w:line="300" w:lineRule="auto"/>
        <w:ind w:left="1080"/>
        <w:contextualSpacing/>
        <w:rPr>
          <w:szCs w:val="24"/>
        </w:rPr>
      </w:pPr>
      <w:r w:rsidRPr="001C0CC8">
        <w:rPr>
          <w:szCs w:val="24"/>
        </w:rPr>
        <w:t>The dispatch of the Type 1A</w:t>
      </w:r>
      <w:r w:rsidR="0097071B">
        <w:rPr>
          <w:szCs w:val="24"/>
        </w:rPr>
        <w:t xml:space="preserve"> Energy</w:t>
      </w:r>
      <w:r w:rsidRPr="001C0CC8">
        <w:rPr>
          <w:szCs w:val="24"/>
        </w:rPr>
        <w:t xml:space="preserve"> “Child” Resource and Type 1B/Type 2</w:t>
      </w:r>
      <w:r w:rsidR="0097071B">
        <w:rPr>
          <w:szCs w:val="24"/>
        </w:rPr>
        <w:t xml:space="preserve"> Energy</w:t>
      </w:r>
      <w:r w:rsidRPr="001C0CC8">
        <w:rPr>
          <w:szCs w:val="24"/>
        </w:rPr>
        <w:t xml:space="preserve"> “Child” Resource is based upon the Resource Offer </w:t>
      </w:r>
      <w:r w:rsidR="0097071B">
        <w:rPr>
          <w:szCs w:val="24"/>
        </w:rPr>
        <w:t>p</w:t>
      </w:r>
      <w:r w:rsidRPr="001C0CC8">
        <w:rPr>
          <w:szCs w:val="24"/>
        </w:rPr>
        <w:t xml:space="preserve">arameters submitted for each “Child” Resource, as described under (1) above, plus the Specified GHG Adder submitted for the “Child” Resource, as described under Section </w:t>
      </w:r>
      <w:r w:rsidR="00744520">
        <w:rPr>
          <w:szCs w:val="24"/>
        </w:rPr>
        <w:fldChar w:fldCharType="begin"/>
      </w:r>
      <w:r w:rsidR="00744520">
        <w:rPr>
          <w:szCs w:val="24"/>
        </w:rPr>
        <w:instrText xml:space="preserve"> REF _Ref212560856 \r \h </w:instrText>
      </w:r>
      <w:r w:rsidR="00744520">
        <w:rPr>
          <w:szCs w:val="24"/>
        </w:rPr>
      </w:r>
      <w:r w:rsidR="00744520">
        <w:rPr>
          <w:szCs w:val="24"/>
        </w:rPr>
        <w:fldChar w:fldCharType="separate"/>
      </w:r>
      <w:r w:rsidR="00744520">
        <w:rPr>
          <w:szCs w:val="24"/>
        </w:rPr>
        <w:t>5.1.9.1</w:t>
      </w:r>
      <w:r w:rsidR="00744520">
        <w:rPr>
          <w:szCs w:val="24"/>
        </w:rPr>
        <w:fldChar w:fldCharType="end"/>
      </w:r>
      <w:r w:rsidRPr="001C0CC8">
        <w:rPr>
          <w:szCs w:val="24"/>
        </w:rPr>
        <w:t>(1).</w:t>
      </w:r>
    </w:p>
    <w:p w14:paraId="07A1D122" w14:textId="3CC3AD5F" w:rsidR="001C0CC8" w:rsidRPr="001C0CC8" w:rsidRDefault="001C0CC8" w:rsidP="00E57989">
      <w:pPr>
        <w:numPr>
          <w:ilvl w:val="1"/>
          <w:numId w:val="63"/>
        </w:numPr>
        <w:spacing w:before="120" w:after="160" w:line="300" w:lineRule="auto"/>
        <w:ind w:left="1080"/>
        <w:contextualSpacing/>
        <w:rPr>
          <w:szCs w:val="24"/>
        </w:rPr>
      </w:pPr>
      <w:r w:rsidRPr="001C0CC8">
        <w:rPr>
          <w:szCs w:val="24"/>
        </w:rPr>
        <w:t xml:space="preserve">The sum of the Minimum Economic Capacity Operating Limits </w:t>
      </w:r>
      <w:r w:rsidR="0035440C">
        <w:rPr>
          <w:szCs w:val="24"/>
        </w:rPr>
        <w:t>(Min ECOLs)</w:t>
      </w:r>
      <w:r w:rsidRPr="001C0CC8">
        <w:rPr>
          <w:szCs w:val="24"/>
        </w:rPr>
        <w:t xml:space="preserve"> of each “Child” Resource must be greater than or equal to the registered minimum capacity of the “Parent” Resource, as submitted in accordance with Section </w:t>
      </w:r>
      <w:r w:rsidR="00744520">
        <w:rPr>
          <w:szCs w:val="24"/>
        </w:rPr>
        <w:fldChar w:fldCharType="begin"/>
      </w:r>
      <w:r w:rsidR="00744520">
        <w:rPr>
          <w:szCs w:val="24"/>
        </w:rPr>
        <w:instrText xml:space="preserve"> REF _Ref212560889 \r \h </w:instrText>
      </w:r>
      <w:r w:rsidR="00744520">
        <w:rPr>
          <w:szCs w:val="24"/>
        </w:rPr>
      </w:r>
      <w:r w:rsidR="00744520">
        <w:rPr>
          <w:szCs w:val="24"/>
        </w:rPr>
        <w:fldChar w:fldCharType="separate"/>
      </w:r>
      <w:r w:rsidR="00744520">
        <w:rPr>
          <w:szCs w:val="24"/>
        </w:rPr>
        <w:t>9.3.1.2</w:t>
      </w:r>
      <w:r w:rsidR="00744520">
        <w:rPr>
          <w:szCs w:val="24"/>
        </w:rPr>
        <w:fldChar w:fldCharType="end"/>
      </w:r>
      <w:r w:rsidRPr="001C0CC8">
        <w:rPr>
          <w:szCs w:val="24"/>
        </w:rPr>
        <w:t>.  This constraint will be enforced through the Market User Interface (MUI).</w:t>
      </w:r>
    </w:p>
    <w:p w14:paraId="65E0B53B" w14:textId="39DEF7D1" w:rsidR="001C0CC8" w:rsidRPr="001C0CC8" w:rsidRDefault="001C0CC8" w:rsidP="00E57989">
      <w:pPr>
        <w:numPr>
          <w:ilvl w:val="1"/>
          <w:numId w:val="63"/>
        </w:numPr>
        <w:spacing w:before="120" w:after="160" w:line="300" w:lineRule="auto"/>
        <w:ind w:left="1080"/>
        <w:contextualSpacing/>
        <w:rPr>
          <w:szCs w:val="24"/>
        </w:rPr>
      </w:pPr>
      <w:r w:rsidRPr="001C0CC8">
        <w:rPr>
          <w:szCs w:val="24"/>
        </w:rPr>
        <w:t xml:space="preserve">The sum of the dispatch MW for each “Child” Resource over the Operating Day must be less than or equal to the Maximum Daily Energy submitted for the “Parent” Resource.  The </w:t>
      </w:r>
      <w:r w:rsidR="00832D23">
        <w:rPr>
          <w:szCs w:val="24"/>
        </w:rPr>
        <w:t>market clearing engine</w:t>
      </w:r>
      <w:r w:rsidR="00832D23" w:rsidRPr="001C0CC8">
        <w:rPr>
          <w:szCs w:val="24"/>
        </w:rPr>
        <w:t xml:space="preserve"> </w:t>
      </w:r>
      <w:r w:rsidRPr="001C0CC8">
        <w:rPr>
          <w:szCs w:val="24"/>
        </w:rPr>
        <w:t>will ensure this constraint is enforced.</w:t>
      </w:r>
    </w:p>
    <w:p w14:paraId="789574E4" w14:textId="26D52BC1" w:rsidR="001C0CC8" w:rsidRPr="001C0CC8" w:rsidRDefault="001C0CC8" w:rsidP="00E57989">
      <w:pPr>
        <w:numPr>
          <w:ilvl w:val="1"/>
          <w:numId w:val="63"/>
        </w:numPr>
        <w:spacing w:before="120" w:after="160" w:line="300" w:lineRule="auto"/>
        <w:ind w:left="1080"/>
        <w:contextualSpacing/>
        <w:rPr>
          <w:szCs w:val="24"/>
        </w:rPr>
      </w:pPr>
      <w:r w:rsidRPr="001C0CC8">
        <w:rPr>
          <w:szCs w:val="24"/>
        </w:rPr>
        <w:t>The sum of the M</w:t>
      </w:r>
      <w:r w:rsidR="00C310E8">
        <w:rPr>
          <w:szCs w:val="24"/>
        </w:rPr>
        <w:t xml:space="preserve">ax </w:t>
      </w:r>
      <w:r w:rsidRPr="001C0CC8">
        <w:rPr>
          <w:szCs w:val="24"/>
        </w:rPr>
        <w:t>ECOL</w:t>
      </w:r>
      <w:r w:rsidR="00C310E8">
        <w:rPr>
          <w:szCs w:val="24"/>
        </w:rPr>
        <w:t>s</w:t>
      </w:r>
      <w:r w:rsidRPr="001C0CC8">
        <w:rPr>
          <w:szCs w:val="24"/>
        </w:rPr>
        <w:t xml:space="preserve"> of each “Child” Resource must be less than or equal to the registered maximum capacity the “Parent” Resource, as submitted in accordance with Section </w:t>
      </w:r>
      <w:r w:rsidR="00744520">
        <w:rPr>
          <w:szCs w:val="24"/>
        </w:rPr>
        <w:fldChar w:fldCharType="begin"/>
      </w:r>
      <w:r w:rsidR="00744520">
        <w:rPr>
          <w:szCs w:val="24"/>
        </w:rPr>
        <w:instrText xml:space="preserve"> REF _Ref212560889 \r \h </w:instrText>
      </w:r>
      <w:r w:rsidR="00744520">
        <w:rPr>
          <w:szCs w:val="24"/>
        </w:rPr>
      </w:r>
      <w:r w:rsidR="00744520">
        <w:rPr>
          <w:szCs w:val="24"/>
        </w:rPr>
        <w:fldChar w:fldCharType="separate"/>
      </w:r>
      <w:r w:rsidR="00744520">
        <w:rPr>
          <w:szCs w:val="24"/>
        </w:rPr>
        <w:t>9.3.1.2</w:t>
      </w:r>
      <w:r w:rsidR="00744520">
        <w:rPr>
          <w:szCs w:val="24"/>
        </w:rPr>
        <w:fldChar w:fldCharType="end"/>
      </w:r>
      <w:r w:rsidRPr="001C0CC8">
        <w:rPr>
          <w:szCs w:val="24"/>
        </w:rPr>
        <w:t xml:space="preserve">.  </w:t>
      </w:r>
      <w:bookmarkStart w:id="6910" w:name="_Hlk204760240"/>
      <w:r w:rsidRPr="001C0CC8">
        <w:rPr>
          <w:szCs w:val="24"/>
        </w:rPr>
        <w:t>This constraint will be enforced through the MUI.</w:t>
      </w:r>
    </w:p>
    <w:bookmarkEnd w:id="6910"/>
    <w:p w14:paraId="18B25494" w14:textId="7879E557" w:rsidR="001C0CC8" w:rsidRPr="001C0CC8" w:rsidRDefault="001C0CC8" w:rsidP="00E57989">
      <w:pPr>
        <w:numPr>
          <w:ilvl w:val="1"/>
          <w:numId w:val="63"/>
        </w:numPr>
        <w:tabs>
          <w:tab w:val="left" w:pos="1080"/>
        </w:tabs>
        <w:spacing w:before="120" w:after="160" w:line="300" w:lineRule="auto"/>
        <w:ind w:left="1080"/>
        <w:contextualSpacing/>
        <w:rPr>
          <w:szCs w:val="24"/>
        </w:rPr>
      </w:pPr>
      <w:r w:rsidRPr="001C0CC8">
        <w:rPr>
          <w:szCs w:val="24"/>
        </w:rPr>
        <w:t xml:space="preserve">The change in combined dispatch of the “Child” Resources cannot exceed the Ramp-Rate-Up and Ramp-Rate-Down submitted for the “Parent” Resource.  For example, in the Day-Ahead Market, if the “Parent” Resource has a submitted Ramp-Rate-Up of 5 MWs/Minute, then the change in the sum of the dispatch MWs on both “Child” Resources cannot exceed 300 MWs.  The </w:t>
      </w:r>
      <w:r w:rsidR="00230BAE">
        <w:rPr>
          <w:szCs w:val="24"/>
        </w:rPr>
        <w:t>m</w:t>
      </w:r>
      <w:r w:rsidRPr="001C0CC8">
        <w:rPr>
          <w:szCs w:val="24"/>
        </w:rPr>
        <w:t xml:space="preserve">arket </w:t>
      </w:r>
      <w:r w:rsidR="00230BAE">
        <w:rPr>
          <w:szCs w:val="24"/>
        </w:rPr>
        <w:t>c</w:t>
      </w:r>
      <w:r w:rsidRPr="001C0CC8">
        <w:rPr>
          <w:szCs w:val="24"/>
        </w:rPr>
        <w:t xml:space="preserve">learing </w:t>
      </w:r>
      <w:r w:rsidR="00230BAE">
        <w:rPr>
          <w:szCs w:val="24"/>
        </w:rPr>
        <w:t>e</w:t>
      </w:r>
      <w:r w:rsidRPr="001C0CC8">
        <w:rPr>
          <w:szCs w:val="24"/>
        </w:rPr>
        <w:t>ngine will ensure this constraint is enforced.</w:t>
      </w:r>
    </w:p>
    <w:p w14:paraId="0C636E16" w14:textId="7FE8CEEA" w:rsidR="001C0CC8" w:rsidRPr="001C0CC8" w:rsidRDefault="001C0CC8" w:rsidP="00574EDE">
      <w:pPr>
        <w:pStyle w:val="Heading4"/>
      </w:pPr>
      <w:bookmarkStart w:id="6911" w:name="_Ref212560712"/>
      <w:bookmarkStart w:id="6912" w:name="_Toc213771960"/>
      <w:r w:rsidRPr="001C0CC8">
        <w:t>Specified Source Resource Unit Commitment – MCRs</w:t>
      </w:r>
      <w:bookmarkEnd w:id="6911"/>
      <w:bookmarkEnd w:id="6912"/>
    </w:p>
    <w:p w14:paraId="5D82FDEF" w14:textId="77602E71" w:rsidR="001C0CC8" w:rsidRPr="001C0CC8" w:rsidRDefault="001C0CC8" w:rsidP="00E57989">
      <w:pPr>
        <w:spacing w:after="0" w:line="276" w:lineRule="auto"/>
        <w:ind w:left="540" w:hanging="540"/>
        <w:rPr>
          <w:szCs w:val="24"/>
        </w:rPr>
      </w:pPr>
      <w:r w:rsidRPr="001C0CC8">
        <w:rPr>
          <w:szCs w:val="24"/>
        </w:rPr>
        <w:t>(1)</w:t>
      </w:r>
      <w:r w:rsidRPr="001C0CC8">
        <w:rPr>
          <w:szCs w:val="24"/>
        </w:rPr>
        <w:tab/>
        <w:t xml:space="preserve">In addition to the Resource Offer parameters described under Section </w:t>
      </w:r>
      <w:r w:rsidR="00230FFB">
        <w:rPr>
          <w:szCs w:val="24"/>
        </w:rPr>
        <w:fldChar w:fldCharType="begin"/>
      </w:r>
      <w:r w:rsidR="00230FFB">
        <w:rPr>
          <w:szCs w:val="24"/>
        </w:rPr>
        <w:instrText xml:space="preserve"> REF _Ref212560856 \r \h </w:instrText>
      </w:r>
      <w:r w:rsidR="00230FFB">
        <w:rPr>
          <w:szCs w:val="24"/>
        </w:rPr>
      </w:r>
      <w:r w:rsidR="00230FFB">
        <w:rPr>
          <w:szCs w:val="24"/>
        </w:rPr>
        <w:fldChar w:fldCharType="separate"/>
      </w:r>
      <w:r w:rsidR="00230FFB">
        <w:rPr>
          <w:szCs w:val="24"/>
        </w:rPr>
        <w:t>5.1.9.1</w:t>
      </w:r>
      <w:r w:rsidR="00230FFB">
        <w:rPr>
          <w:szCs w:val="24"/>
        </w:rPr>
        <w:fldChar w:fldCharType="end"/>
      </w:r>
      <w:r w:rsidRPr="001C0CC8">
        <w:rPr>
          <w:szCs w:val="24"/>
        </w:rPr>
        <w:t>(2), the following Resource Offer parameters are required to be submitted for use at the “Parent” Resource level for a Multi-Configuration Resource that has registered as a Specified Source Resource.</w:t>
      </w:r>
    </w:p>
    <w:p w14:paraId="05549FA8" w14:textId="77777777" w:rsidR="001C0CC8" w:rsidRPr="001C0CC8" w:rsidRDefault="001C0CC8" w:rsidP="00E57989">
      <w:pPr>
        <w:numPr>
          <w:ilvl w:val="1"/>
          <w:numId w:val="409"/>
        </w:numPr>
        <w:spacing w:before="120" w:after="160" w:line="300" w:lineRule="auto"/>
        <w:ind w:left="1260"/>
        <w:rPr>
          <w:szCs w:val="24"/>
        </w:rPr>
      </w:pPr>
      <w:r w:rsidRPr="001C0CC8">
        <w:rPr>
          <w:szCs w:val="24"/>
        </w:rPr>
        <w:t xml:space="preserve">Group Minimum Down Time </w:t>
      </w:r>
    </w:p>
    <w:p w14:paraId="1A7D9DBD" w14:textId="77777777" w:rsidR="001C0CC8" w:rsidRPr="001C0CC8" w:rsidRDefault="001C0CC8" w:rsidP="00E57989">
      <w:pPr>
        <w:numPr>
          <w:ilvl w:val="1"/>
          <w:numId w:val="409"/>
        </w:numPr>
        <w:spacing w:before="120" w:after="160" w:line="300" w:lineRule="auto"/>
        <w:ind w:left="1260"/>
        <w:rPr>
          <w:szCs w:val="24"/>
        </w:rPr>
      </w:pPr>
      <w:r w:rsidRPr="001C0CC8">
        <w:rPr>
          <w:szCs w:val="24"/>
        </w:rPr>
        <w:t xml:space="preserve">Group Minimum Run Time </w:t>
      </w:r>
    </w:p>
    <w:p w14:paraId="60192DDB" w14:textId="77777777" w:rsidR="001C0CC8" w:rsidRPr="001C0CC8" w:rsidRDefault="001C0CC8" w:rsidP="00E57989">
      <w:pPr>
        <w:numPr>
          <w:ilvl w:val="1"/>
          <w:numId w:val="409"/>
        </w:numPr>
        <w:spacing w:before="120" w:after="160" w:line="276" w:lineRule="auto"/>
        <w:ind w:left="1260" w:hanging="547"/>
        <w:rPr>
          <w:szCs w:val="24"/>
        </w:rPr>
      </w:pPr>
      <w:r w:rsidRPr="001C0CC8">
        <w:rPr>
          <w:szCs w:val="24"/>
        </w:rPr>
        <w:t>Plant Minimum Down Time</w:t>
      </w:r>
    </w:p>
    <w:p w14:paraId="41010E5D" w14:textId="77777777" w:rsidR="001C0CC8" w:rsidRPr="001C0CC8" w:rsidRDefault="001C0CC8" w:rsidP="00E57989">
      <w:pPr>
        <w:numPr>
          <w:ilvl w:val="1"/>
          <w:numId w:val="409"/>
        </w:numPr>
        <w:spacing w:before="120" w:after="160" w:line="276" w:lineRule="auto"/>
        <w:ind w:left="1260" w:hanging="547"/>
        <w:rPr>
          <w:szCs w:val="24"/>
        </w:rPr>
      </w:pPr>
      <w:r w:rsidRPr="001C0CC8">
        <w:rPr>
          <w:szCs w:val="24"/>
        </w:rPr>
        <w:t>Plant Minimum Run Time</w:t>
      </w:r>
    </w:p>
    <w:p w14:paraId="6090DD86" w14:textId="77777777" w:rsidR="001C0CC8" w:rsidRPr="001C0CC8" w:rsidRDefault="001C0CC8" w:rsidP="00E57989">
      <w:pPr>
        <w:numPr>
          <w:ilvl w:val="1"/>
          <w:numId w:val="402"/>
        </w:numPr>
        <w:spacing w:before="120" w:after="160" w:line="300" w:lineRule="auto"/>
        <w:ind w:left="1260"/>
        <w:rPr>
          <w:szCs w:val="24"/>
        </w:rPr>
      </w:pPr>
      <w:r w:rsidRPr="001C0CC8">
        <w:rPr>
          <w:bCs/>
          <w:szCs w:val="24"/>
        </w:rPr>
        <w:t>Tr</w:t>
      </w:r>
      <w:r w:rsidRPr="001C0CC8">
        <w:rPr>
          <w:szCs w:val="24"/>
        </w:rPr>
        <w:t>ansition State Offer</w:t>
      </w:r>
    </w:p>
    <w:p w14:paraId="308F526B" w14:textId="77777777" w:rsidR="001C0CC8" w:rsidRPr="001C0CC8" w:rsidRDefault="001C0CC8" w:rsidP="00E57989">
      <w:pPr>
        <w:numPr>
          <w:ilvl w:val="1"/>
          <w:numId w:val="402"/>
        </w:numPr>
        <w:spacing w:before="120" w:after="160" w:line="300" w:lineRule="auto"/>
        <w:ind w:left="1267" w:hanging="547"/>
        <w:rPr>
          <w:szCs w:val="24"/>
        </w:rPr>
      </w:pPr>
      <w:r w:rsidRPr="001C0CC8">
        <w:rPr>
          <w:szCs w:val="24"/>
        </w:rPr>
        <w:t>Mitigated Transition State Offer</w:t>
      </w:r>
    </w:p>
    <w:p w14:paraId="47801694" w14:textId="2CDC02E7" w:rsidR="0020371B" w:rsidRPr="001C0CC8" w:rsidRDefault="001C0CC8" w:rsidP="006B2815">
      <w:pPr>
        <w:numPr>
          <w:ilvl w:val="1"/>
          <w:numId w:val="402"/>
        </w:numPr>
        <w:spacing w:before="120" w:after="160" w:line="300" w:lineRule="auto"/>
        <w:ind w:left="1260"/>
        <w:rPr>
          <w:szCs w:val="24"/>
        </w:rPr>
      </w:pPr>
      <w:r w:rsidRPr="001C0CC8">
        <w:rPr>
          <w:szCs w:val="24"/>
        </w:rPr>
        <w:t>Transition State Time</w:t>
      </w:r>
    </w:p>
    <w:p w14:paraId="5C3DD40C" w14:textId="2621D542" w:rsidR="001C0CC8" w:rsidRPr="001C0CC8" w:rsidRDefault="001C0CC8" w:rsidP="00E57989">
      <w:pPr>
        <w:numPr>
          <w:ilvl w:val="0"/>
          <w:numId w:val="404"/>
        </w:numPr>
        <w:spacing w:before="120" w:after="160" w:line="300" w:lineRule="auto"/>
        <w:rPr>
          <w:szCs w:val="24"/>
        </w:rPr>
      </w:pPr>
      <w:r w:rsidRPr="001C0CC8">
        <w:rPr>
          <w:szCs w:val="24"/>
        </w:rPr>
        <w:t xml:space="preserve">Decisions regarding commitment of the Specified Source Resource in the Day-Ahead Market and RUC processes will be based on (1) the Start-Up Offer,  Transition State Offer, and No-Load Offer, each submitted at the physical “Parent” Resource; and (2) the Energy Offer Curve costs and Specified GHG Adder costs of the “Child” Resources for each identified configuration, along with all other applicable unit commitment related parameters submitted for the “Parent” Resource as described under Section </w:t>
      </w:r>
      <w:r w:rsidR="008C78CF">
        <w:rPr>
          <w:szCs w:val="24"/>
        </w:rPr>
        <w:fldChar w:fldCharType="begin"/>
      </w:r>
      <w:r w:rsidR="008C78CF">
        <w:rPr>
          <w:szCs w:val="24"/>
        </w:rPr>
        <w:instrText xml:space="preserve"> REF _Ref212560856 \r \h </w:instrText>
      </w:r>
      <w:r w:rsidR="008C78CF">
        <w:rPr>
          <w:szCs w:val="24"/>
        </w:rPr>
      </w:r>
      <w:r w:rsidR="008C78CF">
        <w:rPr>
          <w:szCs w:val="24"/>
        </w:rPr>
        <w:fldChar w:fldCharType="separate"/>
      </w:r>
      <w:r w:rsidR="008C78CF">
        <w:rPr>
          <w:szCs w:val="24"/>
        </w:rPr>
        <w:t>5.1.9.1</w:t>
      </w:r>
      <w:r w:rsidR="008C78CF">
        <w:rPr>
          <w:szCs w:val="24"/>
        </w:rPr>
        <w:fldChar w:fldCharType="end"/>
      </w:r>
      <w:r w:rsidRPr="001C0CC8">
        <w:rPr>
          <w:szCs w:val="24"/>
        </w:rPr>
        <w:t xml:space="preserve">(2).  Once committed, the Transition State Offer of the “Parent” Resource is used to move into a different configuration.  Configuration identification is described under Section </w:t>
      </w:r>
      <w:r w:rsidR="008C78CF">
        <w:rPr>
          <w:szCs w:val="24"/>
        </w:rPr>
        <w:fldChar w:fldCharType="begin"/>
      </w:r>
      <w:r w:rsidR="008C78CF">
        <w:rPr>
          <w:szCs w:val="24"/>
        </w:rPr>
        <w:instrText xml:space="preserve"> REF _Ref476207889 \r \h </w:instrText>
      </w:r>
      <w:r w:rsidR="008C78CF">
        <w:rPr>
          <w:szCs w:val="24"/>
        </w:rPr>
      </w:r>
      <w:r w:rsidR="008C78CF">
        <w:rPr>
          <w:szCs w:val="24"/>
        </w:rPr>
        <w:fldChar w:fldCharType="separate"/>
      </w:r>
      <w:r w:rsidR="008C78CF">
        <w:rPr>
          <w:szCs w:val="24"/>
        </w:rPr>
        <w:t>9.1.6.1</w:t>
      </w:r>
      <w:r w:rsidR="008C78CF">
        <w:rPr>
          <w:szCs w:val="24"/>
        </w:rPr>
        <w:fldChar w:fldCharType="end"/>
      </w:r>
      <w:r w:rsidRPr="001C0CC8">
        <w:rPr>
          <w:szCs w:val="24"/>
        </w:rPr>
        <w:t>.  Once committed or transitioned into a different configuration, the following rules apply to the dispatch of the Type 1A</w:t>
      </w:r>
      <w:r w:rsidR="00832D23">
        <w:rPr>
          <w:szCs w:val="24"/>
        </w:rPr>
        <w:t xml:space="preserve"> Energy</w:t>
      </w:r>
      <w:r w:rsidRPr="001C0CC8">
        <w:rPr>
          <w:szCs w:val="24"/>
        </w:rPr>
        <w:t xml:space="preserve"> “Child” Resource and the Type 1B/Type 2</w:t>
      </w:r>
      <w:r w:rsidR="00832D23">
        <w:rPr>
          <w:szCs w:val="24"/>
        </w:rPr>
        <w:t xml:space="preserve"> Energy</w:t>
      </w:r>
      <w:r w:rsidRPr="001C0CC8">
        <w:rPr>
          <w:szCs w:val="24"/>
        </w:rPr>
        <w:t xml:space="preserve"> “Child” Resource that apply to that configuration.</w:t>
      </w:r>
    </w:p>
    <w:p w14:paraId="4AFCB1FE" w14:textId="2447D7FD" w:rsidR="001C0CC8" w:rsidRPr="001C0CC8" w:rsidRDefault="001C0CC8" w:rsidP="00E57989">
      <w:pPr>
        <w:numPr>
          <w:ilvl w:val="1"/>
          <w:numId w:val="405"/>
        </w:numPr>
        <w:spacing w:before="120" w:after="160" w:line="300" w:lineRule="auto"/>
        <w:ind w:left="1260"/>
        <w:contextualSpacing/>
        <w:rPr>
          <w:szCs w:val="24"/>
        </w:rPr>
      </w:pPr>
      <w:r w:rsidRPr="001C0CC8">
        <w:rPr>
          <w:szCs w:val="24"/>
        </w:rPr>
        <w:t>The dispatch of the Type 1A</w:t>
      </w:r>
      <w:r w:rsidR="009E38B5">
        <w:rPr>
          <w:szCs w:val="24"/>
        </w:rPr>
        <w:t xml:space="preserve"> Energy</w:t>
      </w:r>
      <w:r w:rsidRPr="001C0CC8">
        <w:rPr>
          <w:szCs w:val="24"/>
        </w:rPr>
        <w:t xml:space="preserve"> “Child” Resource is based upon the Resource Offer </w:t>
      </w:r>
      <w:r w:rsidR="0097071B">
        <w:rPr>
          <w:szCs w:val="24"/>
        </w:rPr>
        <w:t>p</w:t>
      </w:r>
      <w:r w:rsidRPr="001C0CC8">
        <w:rPr>
          <w:szCs w:val="24"/>
        </w:rPr>
        <w:t xml:space="preserve">arameters submitted for such “Child” Resources as described under Section </w:t>
      </w:r>
      <w:r w:rsidR="008C78CF">
        <w:rPr>
          <w:szCs w:val="24"/>
        </w:rPr>
        <w:fldChar w:fldCharType="begin"/>
      </w:r>
      <w:r w:rsidR="008C78CF">
        <w:rPr>
          <w:szCs w:val="24"/>
        </w:rPr>
        <w:instrText xml:space="preserve"> REF _Ref212560856 \r \h </w:instrText>
      </w:r>
      <w:r w:rsidR="008C78CF">
        <w:rPr>
          <w:szCs w:val="24"/>
        </w:rPr>
      </w:r>
      <w:r w:rsidR="008C78CF">
        <w:rPr>
          <w:szCs w:val="24"/>
        </w:rPr>
        <w:fldChar w:fldCharType="separate"/>
      </w:r>
      <w:r w:rsidR="008C78CF">
        <w:rPr>
          <w:szCs w:val="24"/>
        </w:rPr>
        <w:t>5.1.9.1</w:t>
      </w:r>
      <w:r w:rsidR="008C78CF">
        <w:rPr>
          <w:szCs w:val="24"/>
        </w:rPr>
        <w:fldChar w:fldCharType="end"/>
      </w:r>
      <w:r w:rsidRPr="001C0CC8">
        <w:rPr>
          <w:szCs w:val="24"/>
        </w:rPr>
        <w:t xml:space="preserve">(1), plus the Specified GHG Adder submitted for the “Child” Resource as described under Section </w:t>
      </w:r>
      <w:r w:rsidR="008C78CF">
        <w:rPr>
          <w:szCs w:val="24"/>
        </w:rPr>
        <w:fldChar w:fldCharType="begin"/>
      </w:r>
      <w:r w:rsidR="008C78CF">
        <w:rPr>
          <w:szCs w:val="24"/>
        </w:rPr>
        <w:instrText xml:space="preserve"> REF _Ref212560856 \r \h </w:instrText>
      </w:r>
      <w:r w:rsidR="008C78CF">
        <w:rPr>
          <w:szCs w:val="24"/>
        </w:rPr>
      </w:r>
      <w:r w:rsidR="008C78CF">
        <w:rPr>
          <w:szCs w:val="24"/>
        </w:rPr>
        <w:fldChar w:fldCharType="separate"/>
      </w:r>
      <w:r w:rsidR="008C78CF">
        <w:rPr>
          <w:szCs w:val="24"/>
        </w:rPr>
        <w:t>5.1.9.1</w:t>
      </w:r>
      <w:r w:rsidR="008C78CF">
        <w:rPr>
          <w:szCs w:val="24"/>
        </w:rPr>
        <w:fldChar w:fldCharType="end"/>
      </w:r>
      <w:r w:rsidRPr="001C0CC8">
        <w:rPr>
          <w:szCs w:val="24"/>
        </w:rPr>
        <w:t>(1).</w:t>
      </w:r>
    </w:p>
    <w:p w14:paraId="2F8CC781" w14:textId="7335C69F" w:rsidR="007F3C87" w:rsidRDefault="007F3C87" w:rsidP="007F3C87">
      <w:pPr>
        <w:numPr>
          <w:ilvl w:val="1"/>
          <w:numId w:val="405"/>
        </w:numPr>
        <w:spacing w:before="120" w:after="160" w:line="300" w:lineRule="auto"/>
        <w:ind w:left="1260"/>
        <w:contextualSpacing/>
        <w:rPr>
          <w:szCs w:val="24"/>
        </w:rPr>
      </w:pPr>
      <w:r w:rsidRPr="001C0CC8">
        <w:rPr>
          <w:szCs w:val="24"/>
        </w:rPr>
        <w:t>The dispatch of the Type 1B/Type 2</w:t>
      </w:r>
      <w:r>
        <w:rPr>
          <w:szCs w:val="24"/>
        </w:rPr>
        <w:t xml:space="preserve"> Energy</w:t>
      </w:r>
      <w:r w:rsidRPr="001C0CC8">
        <w:rPr>
          <w:szCs w:val="24"/>
        </w:rPr>
        <w:t xml:space="preserve"> “Child” Resource is based upon the Resource Offer Parameters submitted for such “Child” Resources as described under Section 5.1.9.1(1), </w:t>
      </w:r>
      <w:r>
        <w:rPr>
          <w:szCs w:val="24"/>
        </w:rPr>
        <w:t>and considers</w:t>
      </w:r>
      <w:r w:rsidRPr="001C0CC8">
        <w:rPr>
          <w:szCs w:val="24"/>
        </w:rPr>
        <w:t xml:space="preserve"> the Specified GHG Adder submitted for the “Child” Resource as described under Section </w:t>
      </w:r>
      <w:r w:rsidR="008C78CF">
        <w:rPr>
          <w:szCs w:val="24"/>
        </w:rPr>
        <w:fldChar w:fldCharType="begin"/>
      </w:r>
      <w:r w:rsidR="008C78CF">
        <w:rPr>
          <w:szCs w:val="24"/>
        </w:rPr>
        <w:instrText xml:space="preserve"> REF _Ref212560856 \r \h </w:instrText>
      </w:r>
      <w:r w:rsidR="008C78CF">
        <w:rPr>
          <w:szCs w:val="24"/>
        </w:rPr>
      </w:r>
      <w:r w:rsidR="008C78CF">
        <w:rPr>
          <w:szCs w:val="24"/>
        </w:rPr>
        <w:fldChar w:fldCharType="separate"/>
      </w:r>
      <w:r w:rsidR="008C78CF">
        <w:rPr>
          <w:szCs w:val="24"/>
        </w:rPr>
        <w:t>5.1.9.1</w:t>
      </w:r>
      <w:r w:rsidR="008C78CF">
        <w:rPr>
          <w:szCs w:val="24"/>
        </w:rPr>
        <w:fldChar w:fldCharType="end"/>
      </w:r>
      <w:r w:rsidRPr="001C0CC8">
        <w:rPr>
          <w:szCs w:val="24"/>
        </w:rPr>
        <w:t>(1).</w:t>
      </w:r>
    </w:p>
    <w:p w14:paraId="5B452ABF" w14:textId="2A02094A" w:rsidR="001C0CC8" w:rsidRPr="001C0CC8" w:rsidRDefault="001C0CC8" w:rsidP="00E57989">
      <w:pPr>
        <w:numPr>
          <w:ilvl w:val="1"/>
          <w:numId w:val="405"/>
        </w:numPr>
        <w:spacing w:before="120" w:after="160" w:line="300" w:lineRule="auto"/>
        <w:ind w:left="1260"/>
        <w:contextualSpacing/>
        <w:rPr>
          <w:szCs w:val="24"/>
        </w:rPr>
      </w:pPr>
      <w:r w:rsidRPr="001C0CC8">
        <w:rPr>
          <w:szCs w:val="24"/>
        </w:rPr>
        <w:t xml:space="preserve">The sum of the </w:t>
      </w:r>
      <w:r w:rsidR="0035440C">
        <w:rPr>
          <w:szCs w:val="24"/>
        </w:rPr>
        <w:t>Min ECOL</w:t>
      </w:r>
      <w:r w:rsidRPr="001C0CC8">
        <w:rPr>
          <w:szCs w:val="24"/>
        </w:rPr>
        <w:t xml:space="preserve">s for each “Child” Resource must be greater than or equal to the registered minimum capacity of the “Parent” Resource configuration as submitted in accordance with Section </w:t>
      </w:r>
      <w:r w:rsidR="00FB14C2">
        <w:rPr>
          <w:szCs w:val="24"/>
        </w:rPr>
        <w:fldChar w:fldCharType="begin"/>
      </w:r>
      <w:r w:rsidR="00FB14C2">
        <w:rPr>
          <w:szCs w:val="24"/>
        </w:rPr>
        <w:instrText xml:space="preserve"> REF _Ref212560889 \r \h </w:instrText>
      </w:r>
      <w:r w:rsidR="00FB14C2">
        <w:rPr>
          <w:szCs w:val="24"/>
        </w:rPr>
      </w:r>
      <w:r w:rsidR="00FB14C2">
        <w:rPr>
          <w:szCs w:val="24"/>
        </w:rPr>
        <w:fldChar w:fldCharType="separate"/>
      </w:r>
      <w:r w:rsidR="00FB14C2">
        <w:rPr>
          <w:szCs w:val="24"/>
        </w:rPr>
        <w:t>9.3.1.2</w:t>
      </w:r>
      <w:r w:rsidR="00FB14C2">
        <w:rPr>
          <w:szCs w:val="24"/>
        </w:rPr>
        <w:fldChar w:fldCharType="end"/>
      </w:r>
      <w:r w:rsidRPr="001C0CC8">
        <w:rPr>
          <w:szCs w:val="24"/>
        </w:rPr>
        <w:t xml:space="preserve">. </w:t>
      </w:r>
      <w:bookmarkStart w:id="6913" w:name="_Hlk204760777"/>
      <w:r w:rsidRPr="001C0CC8">
        <w:rPr>
          <w:szCs w:val="24"/>
        </w:rPr>
        <w:t>This constraint will be enforced through the MUI.</w:t>
      </w:r>
      <w:bookmarkEnd w:id="6913"/>
    </w:p>
    <w:p w14:paraId="0785DA8D" w14:textId="730C62BC" w:rsidR="001C0CC8" w:rsidRPr="001C0CC8" w:rsidRDefault="001C0CC8" w:rsidP="00E57989">
      <w:pPr>
        <w:numPr>
          <w:ilvl w:val="1"/>
          <w:numId w:val="405"/>
        </w:numPr>
        <w:spacing w:before="120" w:after="160" w:line="300" w:lineRule="auto"/>
        <w:ind w:left="1260"/>
        <w:contextualSpacing/>
        <w:rPr>
          <w:szCs w:val="24"/>
        </w:rPr>
      </w:pPr>
      <w:r w:rsidRPr="001C0CC8">
        <w:rPr>
          <w:szCs w:val="24"/>
        </w:rPr>
        <w:t>The sum of the dispatch MW for each “Child”</w:t>
      </w:r>
      <w:r w:rsidRPr="001C0CC8" w:rsidDel="00B80991">
        <w:rPr>
          <w:szCs w:val="24"/>
        </w:rPr>
        <w:t xml:space="preserve"> </w:t>
      </w:r>
      <w:r w:rsidRPr="001C0CC8">
        <w:rPr>
          <w:szCs w:val="24"/>
        </w:rPr>
        <w:t>Resource over the Operating Day must be less than or equal to the Maximum Daily Energy submitted for the “Parent”</w:t>
      </w:r>
      <w:r w:rsidRPr="001C0CC8" w:rsidDel="00E964F7">
        <w:rPr>
          <w:szCs w:val="24"/>
        </w:rPr>
        <w:t xml:space="preserve"> </w:t>
      </w:r>
      <w:r w:rsidRPr="001C0CC8" w:rsidDel="00B80991">
        <w:rPr>
          <w:szCs w:val="24"/>
        </w:rPr>
        <w:t>R</w:t>
      </w:r>
      <w:r w:rsidRPr="001C0CC8">
        <w:rPr>
          <w:szCs w:val="24"/>
        </w:rPr>
        <w:t xml:space="preserve">esource configuration. The </w:t>
      </w:r>
      <w:r w:rsidR="009E38B5">
        <w:rPr>
          <w:szCs w:val="24"/>
        </w:rPr>
        <w:t>m</w:t>
      </w:r>
      <w:r w:rsidRPr="001C0CC8">
        <w:rPr>
          <w:szCs w:val="24"/>
        </w:rPr>
        <w:t xml:space="preserve">arket </w:t>
      </w:r>
      <w:r w:rsidR="009E38B5">
        <w:rPr>
          <w:szCs w:val="24"/>
        </w:rPr>
        <w:t>c</w:t>
      </w:r>
      <w:r w:rsidRPr="001C0CC8">
        <w:rPr>
          <w:szCs w:val="24"/>
        </w:rPr>
        <w:t xml:space="preserve">learing </w:t>
      </w:r>
      <w:r w:rsidR="009E38B5">
        <w:rPr>
          <w:szCs w:val="24"/>
        </w:rPr>
        <w:t>e</w:t>
      </w:r>
      <w:r w:rsidRPr="001C0CC8">
        <w:rPr>
          <w:szCs w:val="24"/>
        </w:rPr>
        <w:t>ngine will ensure this constraint is enforced.</w:t>
      </w:r>
    </w:p>
    <w:p w14:paraId="351DFBAF" w14:textId="452B7561" w:rsidR="001C0CC8" w:rsidRPr="001C0CC8" w:rsidRDefault="001C0CC8" w:rsidP="00E57989">
      <w:pPr>
        <w:numPr>
          <w:ilvl w:val="1"/>
          <w:numId w:val="405"/>
        </w:numPr>
        <w:spacing w:before="120" w:after="160" w:line="300" w:lineRule="auto"/>
        <w:ind w:left="1260"/>
        <w:contextualSpacing/>
        <w:rPr>
          <w:szCs w:val="24"/>
        </w:rPr>
      </w:pPr>
      <w:r w:rsidRPr="001C0CC8">
        <w:rPr>
          <w:szCs w:val="24"/>
        </w:rPr>
        <w:t>The sum of the M</w:t>
      </w:r>
      <w:r w:rsidR="00C310E8">
        <w:rPr>
          <w:szCs w:val="24"/>
        </w:rPr>
        <w:t xml:space="preserve">ax </w:t>
      </w:r>
      <w:r w:rsidRPr="001C0CC8">
        <w:rPr>
          <w:szCs w:val="24"/>
        </w:rPr>
        <w:t>ECOL</w:t>
      </w:r>
      <w:r w:rsidR="00C310E8">
        <w:rPr>
          <w:szCs w:val="24"/>
        </w:rPr>
        <w:t>s</w:t>
      </w:r>
      <w:r w:rsidRPr="001C0CC8">
        <w:rPr>
          <w:szCs w:val="24"/>
        </w:rPr>
        <w:t xml:space="preserve"> of each “Child” Resource must be less than or equal to the registered maximum capacity</w:t>
      </w:r>
      <w:r w:rsidR="008264E3">
        <w:rPr>
          <w:szCs w:val="24"/>
        </w:rPr>
        <w:t xml:space="preserve"> of</w:t>
      </w:r>
      <w:r w:rsidRPr="001C0CC8">
        <w:rPr>
          <w:szCs w:val="24"/>
        </w:rPr>
        <w:t xml:space="preserve"> the “Parent” Resource configuration as submitted in accordance with Section </w:t>
      </w:r>
      <w:r w:rsidR="00FB14C2">
        <w:rPr>
          <w:szCs w:val="24"/>
        </w:rPr>
        <w:fldChar w:fldCharType="begin"/>
      </w:r>
      <w:r w:rsidR="00FB14C2">
        <w:rPr>
          <w:szCs w:val="24"/>
        </w:rPr>
        <w:instrText xml:space="preserve"> REF _Ref212560889 \r \h </w:instrText>
      </w:r>
      <w:r w:rsidR="00FB14C2">
        <w:rPr>
          <w:szCs w:val="24"/>
        </w:rPr>
      </w:r>
      <w:r w:rsidR="00FB14C2">
        <w:rPr>
          <w:szCs w:val="24"/>
        </w:rPr>
        <w:fldChar w:fldCharType="separate"/>
      </w:r>
      <w:r w:rsidR="00FB14C2">
        <w:rPr>
          <w:szCs w:val="24"/>
        </w:rPr>
        <w:t>9.3.1.2</w:t>
      </w:r>
      <w:r w:rsidR="00FB14C2">
        <w:rPr>
          <w:szCs w:val="24"/>
        </w:rPr>
        <w:fldChar w:fldCharType="end"/>
      </w:r>
      <w:r w:rsidRPr="001C0CC8">
        <w:rPr>
          <w:szCs w:val="24"/>
        </w:rPr>
        <w:t>.  This constraint will be enforced through the MUI.</w:t>
      </w:r>
    </w:p>
    <w:p w14:paraId="5A4D45B5" w14:textId="2B4483D4" w:rsidR="001C0CC8" w:rsidRPr="001C0CC8" w:rsidRDefault="001C0CC8" w:rsidP="00E57989">
      <w:pPr>
        <w:numPr>
          <w:ilvl w:val="1"/>
          <w:numId w:val="405"/>
        </w:numPr>
        <w:spacing w:before="120" w:after="160" w:line="300" w:lineRule="auto"/>
        <w:ind w:left="1260"/>
        <w:contextualSpacing/>
        <w:rPr>
          <w:szCs w:val="24"/>
        </w:rPr>
      </w:pPr>
      <w:r w:rsidRPr="001C0CC8">
        <w:rPr>
          <w:szCs w:val="24"/>
        </w:rPr>
        <w:t xml:space="preserve">The combined dispatch of the “Child” Resources cannot exceed the Ramp-Rate-Up and Ramp-Rate-Down submitted for the “Parent” Resource for the applicable configuration.  For example, in the Day-Ahead Market, if the “Parent” Resource has a submitted Ramp-Rate-Up of 5 MWs/Minute for the applicable configuration, then the sum of the dispatch MWs on both “Child” Resources cannot exceed 300 MWs. The </w:t>
      </w:r>
      <w:r w:rsidR="00E72D74">
        <w:rPr>
          <w:szCs w:val="24"/>
        </w:rPr>
        <w:t>m</w:t>
      </w:r>
      <w:r w:rsidRPr="001C0CC8">
        <w:rPr>
          <w:szCs w:val="24"/>
        </w:rPr>
        <w:t xml:space="preserve">arket </w:t>
      </w:r>
      <w:r w:rsidR="00E72D74">
        <w:rPr>
          <w:szCs w:val="24"/>
        </w:rPr>
        <w:t>c</w:t>
      </w:r>
      <w:r w:rsidRPr="001C0CC8">
        <w:rPr>
          <w:szCs w:val="24"/>
        </w:rPr>
        <w:t xml:space="preserve">learing </w:t>
      </w:r>
      <w:r w:rsidR="00E72D74">
        <w:rPr>
          <w:szCs w:val="24"/>
        </w:rPr>
        <w:t>e</w:t>
      </w:r>
      <w:r w:rsidRPr="001C0CC8">
        <w:rPr>
          <w:szCs w:val="24"/>
        </w:rPr>
        <w:t>ngine will ensure this constraint is enforced.</w:t>
      </w:r>
    </w:p>
    <w:p w14:paraId="6178287D" w14:textId="1ED205DA" w:rsidR="001C0CC8" w:rsidRPr="001C0CC8" w:rsidRDefault="001C0CC8" w:rsidP="00E57989">
      <w:pPr>
        <w:spacing w:before="120" w:line="300" w:lineRule="auto"/>
        <w:rPr>
          <w:szCs w:val="24"/>
        </w:rPr>
      </w:pPr>
      <w:r w:rsidRPr="001C0CC8">
        <w:rPr>
          <w:szCs w:val="24"/>
        </w:rPr>
        <w:t xml:space="preserve">The relationship between an MCR </w:t>
      </w:r>
      <w:r w:rsidR="008264E3">
        <w:rPr>
          <w:szCs w:val="24"/>
        </w:rPr>
        <w:t>“</w:t>
      </w:r>
      <w:r w:rsidRPr="001C0CC8">
        <w:rPr>
          <w:szCs w:val="24"/>
        </w:rPr>
        <w:t>Parent</w:t>
      </w:r>
      <w:r w:rsidR="008264E3">
        <w:rPr>
          <w:szCs w:val="24"/>
        </w:rPr>
        <w:t>”</w:t>
      </w:r>
      <w:r w:rsidRPr="001C0CC8">
        <w:rPr>
          <w:szCs w:val="24"/>
        </w:rPr>
        <w:t xml:space="preserve"> Resource and Specified Source Resource “Child” Resources is shown below:</w:t>
      </w:r>
    </w:p>
    <w:p w14:paraId="59B6274A" w14:textId="48912A92" w:rsidR="001C0CC8" w:rsidRPr="001C0CC8" w:rsidRDefault="001C0CC8" w:rsidP="00E57989">
      <w:pPr>
        <w:spacing w:before="120" w:line="300" w:lineRule="auto"/>
        <w:rPr>
          <w:szCs w:val="24"/>
        </w:rPr>
      </w:pPr>
      <w:r w:rsidRPr="001C0CC8">
        <w:rPr>
          <w:rFonts w:eastAsia="Yu Mincho"/>
          <w:noProof/>
          <w:szCs w:val="24"/>
        </w:rPr>
        <w:drawing>
          <wp:inline distT="0" distB="0" distL="0" distR="0" wp14:anchorId="71F56C98" wp14:editId="6F53FE19">
            <wp:extent cx="5715000" cy="3215005"/>
            <wp:effectExtent l="0" t="0" r="0" b="4445"/>
            <wp:docPr id="4201437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375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15000" cy="3215005"/>
                    </a:xfrm>
                    <a:prstGeom prst="rect">
                      <a:avLst/>
                    </a:prstGeom>
                  </pic:spPr>
                </pic:pic>
              </a:graphicData>
            </a:graphic>
          </wp:inline>
        </w:drawing>
      </w:r>
    </w:p>
    <w:p w14:paraId="3C0E2098" w14:textId="77777777" w:rsidR="001C0CC8" w:rsidRPr="001C0CC8" w:rsidRDefault="001C0CC8" w:rsidP="00E57989">
      <w:pPr>
        <w:spacing w:before="120" w:line="300" w:lineRule="auto"/>
        <w:rPr>
          <w:szCs w:val="24"/>
        </w:rPr>
      </w:pPr>
    </w:p>
    <w:p w14:paraId="0505317A" w14:textId="3A7A0983" w:rsidR="001C0CC8" w:rsidRPr="001C0CC8" w:rsidRDefault="00E57989" w:rsidP="00574EDE">
      <w:pPr>
        <w:pStyle w:val="Heading4"/>
        <w:rPr>
          <w:szCs w:val="24"/>
        </w:rPr>
      </w:pPr>
      <w:bookmarkStart w:id="6914" w:name="_Ref212560731"/>
      <w:bookmarkStart w:id="6915" w:name="_Toc213771961"/>
      <w:r>
        <w:t>S</w:t>
      </w:r>
      <w:r w:rsidR="001C0CC8" w:rsidRPr="001C0CC8">
        <w:t>pecified Source Resource Unit Commitment – MSRs</w:t>
      </w:r>
      <w:bookmarkEnd w:id="6914"/>
      <w:bookmarkEnd w:id="6915"/>
    </w:p>
    <w:p w14:paraId="3347C906" w14:textId="38328515" w:rsidR="001C0CC8" w:rsidRPr="001C0CC8" w:rsidRDefault="001C0CC8" w:rsidP="00E57989">
      <w:pPr>
        <w:numPr>
          <w:ilvl w:val="0"/>
          <w:numId w:val="403"/>
        </w:numPr>
        <w:spacing w:after="0" w:line="276" w:lineRule="auto"/>
        <w:ind w:left="734" w:hanging="547"/>
        <w:rPr>
          <w:szCs w:val="24"/>
        </w:rPr>
      </w:pPr>
      <w:r w:rsidRPr="001C0CC8">
        <w:rPr>
          <w:szCs w:val="24"/>
        </w:rPr>
        <w:t xml:space="preserve">In addition to the Resource Offer parameters specified under Section </w:t>
      </w:r>
      <w:r w:rsidR="00FB14C2">
        <w:rPr>
          <w:szCs w:val="24"/>
        </w:rPr>
        <w:fldChar w:fldCharType="begin"/>
      </w:r>
      <w:r w:rsidR="00FB14C2">
        <w:rPr>
          <w:szCs w:val="24"/>
        </w:rPr>
        <w:instrText xml:space="preserve"> REF _Ref212560856 \r \h </w:instrText>
      </w:r>
      <w:r w:rsidR="00FB14C2">
        <w:rPr>
          <w:szCs w:val="24"/>
        </w:rPr>
      </w:r>
      <w:r w:rsidR="00FB14C2">
        <w:rPr>
          <w:szCs w:val="24"/>
        </w:rPr>
        <w:fldChar w:fldCharType="separate"/>
      </w:r>
      <w:r w:rsidR="00FB14C2">
        <w:rPr>
          <w:szCs w:val="24"/>
        </w:rPr>
        <w:t>5.1.9.1</w:t>
      </w:r>
      <w:r w:rsidR="00FB14C2">
        <w:rPr>
          <w:szCs w:val="24"/>
        </w:rPr>
        <w:fldChar w:fldCharType="end"/>
      </w:r>
      <w:r w:rsidRPr="001C0CC8">
        <w:rPr>
          <w:szCs w:val="24"/>
        </w:rPr>
        <w:t>(2), the following additional Resource Offer parameters apply to a Specified Source Resource that is associated with a Market Storage Resource</w:t>
      </w:r>
      <w:r w:rsidR="003C2414">
        <w:rPr>
          <w:szCs w:val="24"/>
        </w:rPr>
        <w:t xml:space="preserve"> (MSR)</w:t>
      </w:r>
      <w:r w:rsidRPr="001C0CC8">
        <w:rPr>
          <w:szCs w:val="24"/>
        </w:rPr>
        <w:t xml:space="preserve"> at the “Parent” Resource level.</w:t>
      </w:r>
    </w:p>
    <w:p w14:paraId="63F7AB64"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State of Charge Forecast</w:t>
      </w:r>
    </w:p>
    <w:p w14:paraId="2F770EB8"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Maximum State of Charge</w:t>
      </w:r>
    </w:p>
    <w:p w14:paraId="057C7832"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Minimum State of Charge</w:t>
      </w:r>
    </w:p>
    <w:p w14:paraId="131BD75B"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Maximum Charge Time</w:t>
      </w:r>
    </w:p>
    <w:p w14:paraId="2E217296"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Minimum Charge Time</w:t>
      </w:r>
    </w:p>
    <w:p w14:paraId="5435A4A1"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Maximum Discharge Time</w:t>
      </w:r>
    </w:p>
    <w:p w14:paraId="28F9A0E9"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Minimum Discharge Time</w:t>
      </w:r>
    </w:p>
    <w:p w14:paraId="0B9EDE1E" w14:textId="77777777" w:rsidR="001C0CC8" w:rsidRPr="001C0CC8" w:rsidRDefault="001C0CC8" w:rsidP="00E57989">
      <w:pPr>
        <w:spacing w:before="120" w:line="300" w:lineRule="auto"/>
        <w:ind w:left="1260"/>
        <w:rPr>
          <w:szCs w:val="24"/>
        </w:rPr>
      </w:pPr>
    </w:p>
    <w:p w14:paraId="68BBE5B6" w14:textId="52AAA569" w:rsidR="001C0CC8" w:rsidRPr="001C0CC8" w:rsidRDefault="001C0CC8" w:rsidP="00E57989">
      <w:pPr>
        <w:numPr>
          <w:ilvl w:val="0"/>
          <w:numId w:val="403"/>
        </w:numPr>
        <w:spacing w:after="0" w:line="276" w:lineRule="auto"/>
        <w:ind w:left="734" w:hanging="547"/>
        <w:rPr>
          <w:szCs w:val="24"/>
        </w:rPr>
      </w:pPr>
      <w:r w:rsidRPr="001C0CC8">
        <w:rPr>
          <w:szCs w:val="24"/>
        </w:rPr>
        <w:t xml:space="preserve">In addition to the Resource Offer parameters specified under Section </w:t>
      </w:r>
      <w:r w:rsidR="00FB14C2">
        <w:rPr>
          <w:szCs w:val="24"/>
        </w:rPr>
        <w:fldChar w:fldCharType="begin"/>
      </w:r>
      <w:r w:rsidR="00FB14C2">
        <w:rPr>
          <w:szCs w:val="24"/>
        </w:rPr>
        <w:instrText xml:space="preserve"> REF _Ref212560856 \r \h </w:instrText>
      </w:r>
      <w:r w:rsidR="00FB14C2">
        <w:rPr>
          <w:szCs w:val="24"/>
        </w:rPr>
      </w:r>
      <w:r w:rsidR="00FB14C2">
        <w:rPr>
          <w:szCs w:val="24"/>
        </w:rPr>
        <w:fldChar w:fldCharType="separate"/>
      </w:r>
      <w:r w:rsidR="00FB14C2">
        <w:rPr>
          <w:szCs w:val="24"/>
        </w:rPr>
        <w:t>5.1.9.1</w:t>
      </w:r>
      <w:r w:rsidR="00FB14C2">
        <w:rPr>
          <w:szCs w:val="24"/>
        </w:rPr>
        <w:fldChar w:fldCharType="end"/>
      </w:r>
      <w:r w:rsidRPr="001C0CC8">
        <w:rPr>
          <w:szCs w:val="24"/>
        </w:rPr>
        <w:t>(1) the following Resource Offer parameters apply to a Specified Source Resource that is associated with a</w:t>
      </w:r>
      <w:r w:rsidR="00F0692D">
        <w:rPr>
          <w:szCs w:val="24"/>
        </w:rPr>
        <w:t>n</w:t>
      </w:r>
      <w:r w:rsidRPr="001C0CC8">
        <w:rPr>
          <w:szCs w:val="24"/>
        </w:rPr>
        <w:t xml:space="preserve"> </w:t>
      </w:r>
      <w:r w:rsidR="003C2414">
        <w:rPr>
          <w:szCs w:val="24"/>
        </w:rPr>
        <w:t>MSR</w:t>
      </w:r>
      <w:r w:rsidRPr="001C0CC8">
        <w:rPr>
          <w:szCs w:val="24"/>
        </w:rPr>
        <w:t xml:space="preserve"> at the “Child” Resource level.</w:t>
      </w:r>
    </w:p>
    <w:p w14:paraId="0B685588"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Type 1A Maximum Discharge Limit (equivalent to Maximum Economic Capacity Operating Limit)</w:t>
      </w:r>
    </w:p>
    <w:p w14:paraId="3CA5F0CA"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Type 1A Minimum Discharge Limit (equivalent to Minimum Economic Capacity Operating Limit)</w:t>
      </w:r>
    </w:p>
    <w:p w14:paraId="45133991"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 xml:space="preserve">Type 1A Maximum Charge Limit </w:t>
      </w:r>
    </w:p>
    <w:p w14:paraId="0D9454C2"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Type 1A Minimum Charge Limit</w:t>
      </w:r>
    </w:p>
    <w:p w14:paraId="0E844B3B"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Type 1B/Type 2 Maximum Discharge Limit (equivalent to Maximum Economic Capacity Operating Limit)</w:t>
      </w:r>
    </w:p>
    <w:p w14:paraId="0446C51E"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Type 1B/ Type 2 Minimum Discharge Limit (equivalent to Minimum Economic Capacity Operating Limit)</w:t>
      </w:r>
    </w:p>
    <w:p w14:paraId="2A04C998" w14:textId="77777777" w:rsidR="001C0CC8" w:rsidRPr="001C0CC8" w:rsidRDefault="001C0CC8" w:rsidP="00E57989">
      <w:pPr>
        <w:numPr>
          <w:ilvl w:val="1"/>
          <w:numId w:val="403"/>
        </w:numPr>
        <w:spacing w:before="120" w:after="160" w:line="300" w:lineRule="auto"/>
        <w:ind w:left="1260" w:hanging="547"/>
        <w:rPr>
          <w:szCs w:val="24"/>
        </w:rPr>
      </w:pPr>
      <w:r w:rsidRPr="001C0CC8">
        <w:rPr>
          <w:szCs w:val="24"/>
        </w:rPr>
        <w:t xml:space="preserve"> Type 1B/Type 2 Maximum Charge Limit</w:t>
      </w:r>
    </w:p>
    <w:p w14:paraId="14B6A0D1" w14:textId="77777777" w:rsidR="001C0CC8" w:rsidRDefault="001C0CC8" w:rsidP="00E57989">
      <w:pPr>
        <w:numPr>
          <w:ilvl w:val="1"/>
          <w:numId w:val="403"/>
        </w:numPr>
        <w:spacing w:before="120" w:after="160" w:line="300" w:lineRule="auto"/>
        <w:ind w:left="1260"/>
        <w:rPr>
          <w:szCs w:val="24"/>
        </w:rPr>
      </w:pPr>
      <w:r w:rsidRPr="001C0CC8">
        <w:rPr>
          <w:szCs w:val="24"/>
        </w:rPr>
        <w:t xml:space="preserve">Type 1B/Type 2 Minimum Charge Limit </w:t>
      </w:r>
    </w:p>
    <w:p w14:paraId="75D39E1F"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1B Maximum Quantity</w:t>
      </w:r>
    </w:p>
    <w:p w14:paraId="526606E5"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2 Maximum Quantity</w:t>
      </w:r>
    </w:p>
    <w:p w14:paraId="2F234DF1"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1A Energy Offer Curve</w:t>
      </w:r>
    </w:p>
    <w:p w14:paraId="7871ECB7"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1A Mitigated Energy Offer Curve</w:t>
      </w:r>
    </w:p>
    <w:p w14:paraId="45932456"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1B/Type 2 Energy Offer Curve</w:t>
      </w:r>
    </w:p>
    <w:p w14:paraId="38E5DAD3" w14:textId="77777777" w:rsidR="00703BEC" w:rsidRPr="001C0CC8" w:rsidRDefault="00703BEC" w:rsidP="00E679DC">
      <w:pPr>
        <w:numPr>
          <w:ilvl w:val="1"/>
          <w:numId w:val="403"/>
        </w:numPr>
        <w:spacing w:after="160" w:line="300" w:lineRule="auto"/>
        <w:ind w:left="1260"/>
        <w:contextualSpacing/>
        <w:rPr>
          <w:szCs w:val="24"/>
        </w:rPr>
      </w:pPr>
      <w:r w:rsidRPr="001C0CC8">
        <w:rPr>
          <w:szCs w:val="24"/>
        </w:rPr>
        <w:t>Type 1B/Type 2 Mitigated Energy Offer Curve</w:t>
      </w:r>
    </w:p>
    <w:p w14:paraId="6508937D" w14:textId="4A1F2B36" w:rsidR="00703BEC" w:rsidRPr="001C0CC8" w:rsidRDefault="00703BEC" w:rsidP="00E679DC">
      <w:pPr>
        <w:numPr>
          <w:ilvl w:val="1"/>
          <w:numId w:val="403"/>
        </w:numPr>
        <w:spacing w:after="160" w:line="300" w:lineRule="auto"/>
        <w:ind w:left="1260"/>
        <w:contextualSpacing/>
        <w:rPr>
          <w:szCs w:val="24"/>
        </w:rPr>
      </w:pPr>
      <w:r w:rsidRPr="001C0CC8">
        <w:rPr>
          <w:szCs w:val="24"/>
        </w:rPr>
        <w:t>Surplus Threshold</w:t>
      </w:r>
      <w:r w:rsidR="00ED2448">
        <w:rPr>
          <w:szCs w:val="24"/>
        </w:rPr>
        <w:t xml:space="preserve"> (only applicable to Type1B/Type 2 </w:t>
      </w:r>
      <w:r w:rsidR="00D61CB5">
        <w:rPr>
          <w:szCs w:val="24"/>
        </w:rPr>
        <w:t>Energy</w:t>
      </w:r>
      <w:r w:rsidR="00ED2448">
        <w:rPr>
          <w:szCs w:val="24"/>
        </w:rPr>
        <w:t xml:space="preserve"> </w:t>
      </w:r>
      <w:r w:rsidR="00D61CB5">
        <w:rPr>
          <w:szCs w:val="24"/>
        </w:rPr>
        <w:t>“</w:t>
      </w:r>
      <w:r w:rsidR="00ED2448">
        <w:rPr>
          <w:szCs w:val="24"/>
        </w:rPr>
        <w:t>Child</w:t>
      </w:r>
      <w:r w:rsidR="00D61CB5">
        <w:rPr>
          <w:szCs w:val="24"/>
        </w:rPr>
        <w:t>” Resource</w:t>
      </w:r>
      <w:r w:rsidR="00ED2448">
        <w:rPr>
          <w:szCs w:val="24"/>
        </w:rPr>
        <w:t>)</w:t>
      </w:r>
    </w:p>
    <w:p w14:paraId="1B948487" w14:textId="77777777" w:rsidR="00A03D52" w:rsidRPr="001C0CC8" w:rsidRDefault="00A03D52" w:rsidP="00E679DC">
      <w:pPr>
        <w:numPr>
          <w:ilvl w:val="1"/>
          <w:numId w:val="403"/>
        </w:numPr>
        <w:spacing w:before="120" w:after="160" w:line="300" w:lineRule="auto"/>
        <w:ind w:left="1260"/>
        <w:rPr>
          <w:szCs w:val="24"/>
        </w:rPr>
      </w:pPr>
      <w:r w:rsidRPr="001C0CC8">
        <w:rPr>
          <w:szCs w:val="24"/>
        </w:rPr>
        <w:t>Surplus Threshold Status</w:t>
      </w:r>
      <w:r>
        <w:rPr>
          <w:szCs w:val="24"/>
        </w:rPr>
        <w:t>(only applicable to Type1B/Type 2 Energy “Child” Resource)</w:t>
      </w:r>
    </w:p>
    <w:p w14:paraId="150EFD27" w14:textId="291C769B" w:rsidR="00703BEC" w:rsidRPr="001C0CC8" w:rsidRDefault="00A03D52" w:rsidP="00E679DC">
      <w:pPr>
        <w:numPr>
          <w:ilvl w:val="1"/>
          <w:numId w:val="403"/>
        </w:numPr>
        <w:spacing w:after="160" w:line="300" w:lineRule="auto"/>
        <w:ind w:left="1260"/>
        <w:contextualSpacing/>
        <w:rPr>
          <w:szCs w:val="24"/>
        </w:rPr>
      </w:pPr>
      <w:r>
        <w:rPr>
          <w:szCs w:val="24"/>
        </w:rPr>
        <w:t xml:space="preserve">Type 1A </w:t>
      </w:r>
      <w:r w:rsidR="00703BEC" w:rsidRPr="001C0CC8">
        <w:rPr>
          <w:szCs w:val="24"/>
        </w:rPr>
        <w:t>Specified GHG Adder</w:t>
      </w:r>
      <w:r w:rsidR="00ED2448">
        <w:rPr>
          <w:szCs w:val="24"/>
        </w:rPr>
        <w:t xml:space="preserve"> </w:t>
      </w:r>
    </w:p>
    <w:p w14:paraId="325F57C2" w14:textId="3CF132AA" w:rsidR="00A03D52" w:rsidRPr="001C0CC8" w:rsidRDefault="00A03D52" w:rsidP="00E679DC">
      <w:pPr>
        <w:numPr>
          <w:ilvl w:val="1"/>
          <w:numId w:val="403"/>
        </w:numPr>
        <w:spacing w:after="160" w:line="300" w:lineRule="auto"/>
        <w:ind w:left="1260"/>
        <w:contextualSpacing/>
        <w:rPr>
          <w:szCs w:val="24"/>
        </w:rPr>
      </w:pPr>
      <w:r>
        <w:rPr>
          <w:szCs w:val="24"/>
        </w:rPr>
        <w:t>Type 1B/Type 2 Specified GHG Adder</w:t>
      </w:r>
    </w:p>
    <w:p w14:paraId="3D44282D" w14:textId="3A2589F3" w:rsidR="001C0CC8" w:rsidRPr="001C0CC8" w:rsidRDefault="001C0CC8" w:rsidP="00E57989">
      <w:pPr>
        <w:numPr>
          <w:ilvl w:val="0"/>
          <w:numId w:val="404"/>
        </w:numPr>
        <w:spacing w:before="120" w:after="160" w:line="300" w:lineRule="auto"/>
        <w:rPr>
          <w:szCs w:val="24"/>
        </w:rPr>
      </w:pPr>
      <w:r w:rsidRPr="001C0CC8">
        <w:rPr>
          <w:szCs w:val="24"/>
        </w:rPr>
        <w:t xml:space="preserve">Decisions regarding commitment of an MSR Specified Source Resource in the Day-Ahead Market and RUC </w:t>
      </w:r>
      <w:r w:rsidR="005E185D">
        <w:rPr>
          <w:szCs w:val="24"/>
        </w:rPr>
        <w:t>p</w:t>
      </w:r>
      <w:r w:rsidRPr="001C0CC8">
        <w:rPr>
          <w:szCs w:val="24"/>
        </w:rPr>
        <w:t xml:space="preserve">rocesses will be based on (1) the Start-Up Offer and No-Load Offer and all other applicable unit commitment parameters as set forth in Section </w:t>
      </w:r>
      <w:r w:rsidR="00B1125D">
        <w:rPr>
          <w:szCs w:val="24"/>
        </w:rPr>
        <w:fldChar w:fldCharType="begin"/>
      </w:r>
      <w:r w:rsidR="00B1125D">
        <w:rPr>
          <w:szCs w:val="24"/>
        </w:rPr>
        <w:instrText xml:space="preserve"> REF _Ref212560731 \r \h </w:instrText>
      </w:r>
      <w:r w:rsidR="00B1125D">
        <w:rPr>
          <w:szCs w:val="24"/>
        </w:rPr>
      </w:r>
      <w:r w:rsidR="00B1125D">
        <w:rPr>
          <w:szCs w:val="24"/>
        </w:rPr>
        <w:fldChar w:fldCharType="separate"/>
      </w:r>
      <w:r w:rsidR="00B1125D">
        <w:rPr>
          <w:szCs w:val="24"/>
        </w:rPr>
        <w:t>5.1.9.3</w:t>
      </w:r>
      <w:r w:rsidR="00B1125D">
        <w:rPr>
          <w:szCs w:val="24"/>
        </w:rPr>
        <w:fldChar w:fldCharType="end"/>
      </w:r>
      <w:r w:rsidRPr="001C0CC8">
        <w:rPr>
          <w:szCs w:val="24"/>
        </w:rPr>
        <w:t>(</w:t>
      </w:r>
      <w:r w:rsidR="00B1125D">
        <w:rPr>
          <w:szCs w:val="24"/>
        </w:rPr>
        <w:t>1</w:t>
      </w:r>
      <w:r w:rsidRPr="001C0CC8">
        <w:rPr>
          <w:szCs w:val="24"/>
        </w:rPr>
        <w:t>) at the “Parent” Resource,</w:t>
      </w:r>
      <w:r w:rsidRPr="001C0CC8" w:rsidDel="00E90676">
        <w:rPr>
          <w:szCs w:val="24"/>
        </w:rPr>
        <w:t xml:space="preserve"> </w:t>
      </w:r>
      <w:r w:rsidRPr="001C0CC8">
        <w:rPr>
          <w:szCs w:val="24"/>
        </w:rPr>
        <w:t>(2) Energy Offer Curves of the “Child” Resource up to Maximum Charge Limits, and (3) Energy Offer Curve cost and Specified GHG Adder costs of the “Child” Resource up to Maximum Discharge Limits. Once committed, the following rules apply to the dispatch of an MSR Specified Source Resource:</w:t>
      </w:r>
    </w:p>
    <w:p w14:paraId="7AC60D4D" w14:textId="5E5C7036" w:rsidR="001C0CC8" w:rsidRPr="001C0CC8" w:rsidRDefault="001C0CC8" w:rsidP="00E57989">
      <w:pPr>
        <w:numPr>
          <w:ilvl w:val="1"/>
          <w:numId w:val="406"/>
        </w:numPr>
        <w:spacing w:before="120" w:after="160" w:line="300" w:lineRule="auto"/>
        <w:ind w:left="1260"/>
        <w:contextualSpacing/>
        <w:rPr>
          <w:szCs w:val="24"/>
        </w:rPr>
      </w:pPr>
      <w:r w:rsidRPr="001C0CC8">
        <w:rPr>
          <w:szCs w:val="24"/>
        </w:rPr>
        <w:t>The dispatch of the Type 1A</w:t>
      </w:r>
      <w:r w:rsidR="00CC340A">
        <w:rPr>
          <w:szCs w:val="24"/>
        </w:rPr>
        <w:t xml:space="preserve"> Energy</w:t>
      </w:r>
      <w:r w:rsidRPr="001C0CC8">
        <w:rPr>
          <w:szCs w:val="24"/>
        </w:rPr>
        <w:t xml:space="preserve"> “Child” Resource and the dispatch of the Type 1B/Type 2</w:t>
      </w:r>
      <w:r w:rsidR="00CC340A">
        <w:rPr>
          <w:szCs w:val="24"/>
        </w:rPr>
        <w:t xml:space="preserve"> Energy</w:t>
      </w:r>
      <w:r w:rsidRPr="001C0CC8">
        <w:rPr>
          <w:szCs w:val="24"/>
        </w:rPr>
        <w:t xml:space="preserve"> “Child” Resource is based upon the Resource Offer </w:t>
      </w:r>
      <w:r w:rsidR="0097071B">
        <w:rPr>
          <w:szCs w:val="24"/>
        </w:rPr>
        <w:t>p</w:t>
      </w:r>
      <w:r w:rsidRPr="001C0CC8">
        <w:rPr>
          <w:szCs w:val="24"/>
        </w:rPr>
        <w:t xml:space="preserve">arameters submitted for such “Child” Resources as described under </w:t>
      </w:r>
      <w:r w:rsidR="00B1125D">
        <w:rPr>
          <w:szCs w:val="24"/>
        </w:rPr>
        <w:t xml:space="preserve">Section </w:t>
      </w:r>
      <w:r w:rsidR="0008023A">
        <w:rPr>
          <w:szCs w:val="24"/>
        </w:rPr>
        <w:fldChar w:fldCharType="begin"/>
      </w:r>
      <w:r w:rsidR="0008023A">
        <w:rPr>
          <w:szCs w:val="24"/>
        </w:rPr>
        <w:instrText xml:space="preserve"> REF _Ref212560731 \r \h </w:instrText>
      </w:r>
      <w:r w:rsidR="0008023A">
        <w:rPr>
          <w:szCs w:val="24"/>
        </w:rPr>
      </w:r>
      <w:r w:rsidR="0008023A">
        <w:rPr>
          <w:szCs w:val="24"/>
        </w:rPr>
        <w:fldChar w:fldCharType="separate"/>
      </w:r>
      <w:r w:rsidR="0008023A">
        <w:rPr>
          <w:szCs w:val="24"/>
        </w:rPr>
        <w:t>5.1.9.3</w:t>
      </w:r>
      <w:r w:rsidR="0008023A">
        <w:rPr>
          <w:szCs w:val="24"/>
        </w:rPr>
        <w:fldChar w:fldCharType="end"/>
      </w:r>
      <w:r w:rsidRPr="001C0CC8">
        <w:rPr>
          <w:szCs w:val="24"/>
        </w:rPr>
        <w:t>(2).</w:t>
      </w:r>
    </w:p>
    <w:p w14:paraId="1AF943B4" w14:textId="763C8C3A" w:rsidR="001C0CC8" w:rsidRPr="001C0CC8" w:rsidRDefault="001C0CC8" w:rsidP="00E57989">
      <w:pPr>
        <w:numPr>
          <w:ilvl w:val="1"/>
          <w:numId w:val="406"/>
        </w:numPr>
        <w:spacing w:before="120" w:after="160" w:line="300" w:lineRule="auto"/>
        <w:ind w:left="1260"/>
        <w:contextualSpacing/>
        <w:rPr>
          <w:szCs w:val="24"/>
        </w:rPr>
      </w:pPr>
      <w:r w:rsidRPr="001C0CC8">
        <w:rPr>
          <w:szCs w:val="24"/>
        </w:rPr>
        <w:t xml:space="preserve">A </w:t>
      </w:r>
      <w:r w:rsidR="005E185D">
        <w:rPr>
          <w:szCs w:val="24"/>
        </w:rPr>
        <w:t>market clearing engine</w:t>
      </w:r>
      <w:r w:rsidR="005E185D" w:rsidRPr="001C0CC8">
        <w:rPr>
          <w:szCs w:val="24"/>
        </w:rPr>
        <w:t xml:space="preserve"> </w:t>
      </w:r>
      <w:r w:rsidRPr="001C0CC8">
        <w:rPr>
          <w:szCs w:val="24"/>
        </w:rPr>
        <w:t xml:space="preserve">constraint in the Day-Ahead Market and RUC studies will ensure that both “Child” Resources are both in charge mode or discharge mode </w:t>
      </w:r>
      <w:bookmarkStart w:id="6916" w:name="_Hlk209165904"/>
      <w:r w:rsidRPr="001C0CC8">
        <w:rPr>
          <w:szCs w:val="24"/>
        </w:rPr>
        <w:t xml:space="preserve">for Resource Offers </w:t>
      </w:r>
      <w:r w:rsidR="00966A5F">
        <w:rPr>
          <w:szCs w:val="24"/>
        </w:rPr>
        <w:t>with</w:t>
      </w:r>
      <w:r w:rsidR="00966A5F" w:rsidRPr="001C0CC8">
        <w:rPr>
          <w:szCs w:val="24"/>
        </w:rPr>
        <w:t xml:space="preserve"> </w:t>
      </w:r>
      <w:r w:rsidRPr="001C0CC8">
        <w:rPr>
          <w:szCs w:val="24"/>
        </w:rPr>
        <w:t>continuous</w:t>
      </w:r>
      <w:bookmarkEnd w:id="6916"/>
      <w:r w:rsidR="009E5D0A" w:rsidRPr="00D1363C">
        <w:rPr>
          <w:szCs w:val="24"/>
        </w:rPr>
        <w:t xml:space="preserve"> dispatchable range spanning charge and discharge states on the MSR</w:t>
      </w:r>
      <w:r w:rsidRPr="001C0CC8">
        <w:rPr>
          <w:szCs w:val="24"/>
        </w:rPr>
        <w:t xml:space="preserve">.  The </w:t>
      </w:r>
      <w:r w:rsidR="005E185D">
        <w:rPr>
          <w:szCs w:val="24"/>
        </w:rPr>
        <w:t>market clearing engine</w:t>
      </w:r>
      <w:r w:rsidR="005E185D" w:rsidRPr="001C0CC8">
        <w:rPr>
          <w:szCs w:val="24"/>
        </w:rPr>
        <w:t xml:space="preserve"> </w:t>
      </w:r>
      <w:r w:rsidRPr="001C0CC8">
        <w:rPr>
          <w:szCs w:val="24"/>
        </w:rPr>
        <w:t xml:space="preserve">constraint could allow one “Child” Resource to charge or discharge, while the other “Child” Resource remains idle. This constraint will be implemented in SCUC, the results of which will be communicated to SCED for market clearing.  </w:t>
      </w:r>
      <w:bookmarkStart w:id="6917" w:name="_Hlk209165985"/>
      <w:r w:rsidRPr="001C0CC8">
        <w:rPr>
          <w:szCs w:val="24"/>
        </w:rPr>
        <w:t xml:space="preserve">A Resource Offer with one “Child” Resource in charge mode only and one “Child” Resource in discharge mode is not a valid Offer and will be rejected through the MUI. </w:t>
      </w:r>
    </w:p>
    <w:bookmarkEnd w:id="6917"/>
    <w:p w14:paraId="67A70643" w14:textId="7449F37C" w:rsidR="001C0CC8" w:rsidRPr="001C0CC8" w:rsidRDefault="001C0CC8" w:rsidP="00E57989">
      <w:pPr>
        <w:numPr>
          <w:ilvl w:val="1"/>
          <w:numId w:val="406"/>
        </w:numPr>
        <w:spacing w:before="120" w:after="160" w:line="300" w:lineRule="auto"/>
        <w:ind w:left="1260"/>
        <w:contextualSpacing/>
        <w:rPr>
          <w:szCs w:val="24"/>
        </w:rPr>
      </w:pPr>
      <w:r w:rsidRPr="001C0CC8">
        <w:rPr>
          <w:szCs w:val="24"/>
        </w:rPr>
        <w:t xml:space="preserve">A </w:t>
      </w:r>
      <w:r w:rsidR="005E185D">
        <w:rPr>
          <w:szCs w:val="24"/>
        </w:rPr>
        <w:t>market clearing engine</w:t>
      </w:r>
      <w:r w:rsidR="005E185D" w:rsidRPr="001C0CC8">
        <w:rPr>
          <w:szCs w:val="24"/>
        </w:rPr>
        <w:t xml:space="preserve"> </w:t>
      </w:r>
      <w:r w:rsidRPr="001C0CC8">
        <w:rPr>
          <w:szCs w:val="24"/>
        </w:rPr>
        <w:t xml:space="preserve">constraint is added for the RTBM that will ensure that both ‘Child Resources” are either in charge mode or discharge mode for Resource Offers </w:t>
      </w:r>
      <w:r w:rsidR="00966A5F">
        <w:rPr>
          <w:szCs w:val="24"/>
        </w:rPr>
        <w:t>with</w:t>
      </w:r>
      <w:r w:rsidR="00966A5F" w:rsidRPr="001C0CC8">
        <w:rPr>
          <w:szCs w:val="24"/>
        </w:rPr>
        <w:t xml:space="preserve"> </w:t>
      </w:r>
      <w:r w:rsidR="00966A5F" w:rsidRPr="00D1363C">
        <w:rPr>
          <w:szCs w:val="24"/>
        </w:rPr>
        <w:t>continuous dispatchable range spanning charge and discharge states on the MSR</w:t>
      </w:r>
      <w:r w:rsidRPr="001C0CC8">
        <w:rPr>
          <w:szCs w:val="24"/>
        </w:rPr>
        <w:t xml:space="preserve">. The </w:t>
      </w:r>
      <w:r w:rsidR="005E185D">
        <w:rPr>
          <w:szCs w:val="24"/>
        </w:rPr>
        <w:t>market clearing engine</w:t>
      </w:r>
      <w:r w:rsidR="005E185D" w:rsidRPr="001C0CC8">
        <w:rPr>
          <w:szCs w:val="24"/>
        </w:rPr>
        <w:t xml:space="preserve"> </w:t>
      </w:r>
      <w:r w:rsidRPr="001C0CC8">
        <w:rPr>
          <w:szCs w:val="24"/>
        </w:rPr>
        <w:t xml:space="preserve">constraint could allow one “Child” Resource to charge or discharge while the other “Child” Resource remains idle. This constraint will be implemented using Short-Term RUC, which executes every </w:t>
      </w:r>
      <w:r w:rsidR="00966A5F">
        <w:rPr>
          <w:szCs w:val="24"/>
        </w:rPr>
        <w:t>fifteen (</w:t>
      </w:r>
      <w:r w:rsidRPr="001C0CC8">
        <w:rPr>
          <w:szCs w:val="24"/>
        </w:rPr>
        <w:t>15</w:t>
      </w:r>
      <w:r w:rsidR="00966A5F">
        <w:rPr>
          <w:szCs w:val="24"/>
        </w:rPr>
        <w:t>)</w:t>
      </w:r>
      <w:r w:rsidRPr="001C0CC8">
        <w:rPr>
          <w:szCs w:val="24"/>
        </w:rPr>
        <w:t xml:space="preserve"> minutes, and the results of which will be communicated to SCED for market clearing.  A Resource Offer with one “Child” Resource in charge mode and one “Child” Resource in discharge mode only is not a valid Offer and will be rejected through the MUI.   </w:t>
      </w:r>
    </w:p>
    <w:p w14:paraId="0DA8292F" w14:textId="77777777" w:rsidR="001C0CC8" w:rsidRPr="001C0CC8" w:rsidRDefault="001C0CC8" w:rsidP="00E57989">
      <w:pPr>
        <w:numPr>
          <w:ilvl w:val="1"/>
          <w:numId w:val="406"/>
        </w:numPr>
        <w:spacing w:before="120" w:after="160" w:line="300" w:lineRule="auto"/>
        <w:ind w:left="1260"/>
        <w:contextualSpacing/>
        <w:rPr>
          <w:szCs w:val="24"/>
        </w:rPr>
      </w:pPr>
      <w:bookmarkStart w:id="6918" w:name="_Hlk194581848"/>
      <w:r w:rsidRPr="001C0CC8">
        <w:rPr>
          <w:szCs w:val="24"/>
        </w:rPr>
        <w:t xml:space="preserve">The sum of the Minimum Discharge Limits for each “Child” Resource must be greater than or equal to the registered Minimum Discharge Limit of the “Parent” Resource. This constraint will be enforced through the MUI. </w:t>
      </w:r>
    </w:p>
    <w:bookmarkEnd w:id="6918"/>
    <w:p w14:paraId="0740B8AF" w14:textId="77777777" w:rsidR="001C0CC8" w:rsidRPr="001C0CC8" w:rsidRDefault="001C0CC8" w:rsidP="00E57989">
      <w:pPr>
        <w:numPr>
          <w:ilvl w:val="1"/>
          <w:numId w:val="406"/>
        </w:numPr>
        <w:spacing w:before="120" w:after="160" w:line="300" w:lineRule="auto"/>
        <w:ind w:left="1260"/>
        <w:contextualSpacing/>
        <w:rPr>
          <w:szCs w:val="24"/>
        </w:rPr>
      </w:pPr>
      <w:r w:rsidRPr="001C0CC8">
        <w:rPr>
          <w:szCs w:val="24"/>
        </w:rPr>
        <w:t>The sum of the Maximum Discharge Limits of the “Child” Resources must be less than or equal to the registered Maximum Discharge Limit of the “Parent” Resource. This constraint will be enforced through the MUI.</w:t>
      </w:r>
    </w:p>
    <w:p w14:paraId="58F9C56C" w14:textId="77777777" w:rsidR="001C0CC8" w:rsidRPr="001C0CC8" w:rsidRDefault="001C0CC8" w:rsidP="00E57989">
      <w:pPr>
        <w:numPr>
          <w:ilvl w:val="1"/>
          <w:numId w:val="406"/>
        </w:numPr>
        <w:tabs>
          <w:tab w:val="left" w:pos="1530"/>
        </w:tabs>
        <w:spacing w:before="120" w:after="160" w:line="300" w:lineRule="auto"/>
        <w:ind w:left="1260"/>
        <w:contextualSpacing/>
        <w:rPr>
          <w:szCs w:val="24"/>
        </w:rPr>
      </w:pPr>
      <w:r w:rsidRPr="001C0CC8">
        <w:rPr>
          <w:szCs w:val="24"/>
        </w:rPr>
        <w:t>The sum of the Minimum Charge Limits for each “Child” Resource must be greater than or equal to the registered minimum charge limit of the “Parent” Resource. This constraint will be enforced through the MUI.</w:t>
      </w:r>
    </w:p>
    <w:p w14:paraId="0117B4C1" w14:textId="54E8A5D4" w:rsidR="001C0CC8" w:rsidRPr="001C0CC8" w:rsidRDefault="001C0CC8" w:rsidP="00E57989">
      <w:pPr>
        <w:numPr>
          <w:ilvl w:val="1"/>
          <w:numId w:val="406"/>
        </w:numPr>
        <w:spacing w:before="120" w:after="160" w:line="300" w:lineRule="auto"/>
        <w:ind w:left="1260"/>
        <w:contextualSpacing/>
        <w:rPr>
          <w:szCs w:val="24"/>
        </w:rPr>
      </w:pPr>
      <w:r w:rsidRPr="001C0CC8">
        <w:rPr>
          <w:szCs w:val="24"/>
        </w:rPr>
        <w:t>The sum of the Maximum Charge Limits of the “Child” Resources must be less than or equal to the regist</w:t>
      </w:r>
      <w:r w:rsidR="006C5840">
        <w:rPr>
          <w:szCs w:val="24"/>
        </w:rPr>
        <w:t>ration</w:t>
      </w:r>
      <w:r w:rsidRPr="001C0CC8">
        <w:rPr>
          <w:szCs w:val="24"/>
        </w:rPr>
        <w:t xml:space="preserve"> </w:t>
      </w:r>
      <w:r w:rsidR="006C5840" w:rsidRPr="001C0CC8">
        <w:rPr>
          <w:szCs w:val="24"/>
        </w:rPr>
        <w:t xml:space="preserve">charge </w:t>
      </w:r>
      <w:r w:rsidRPr="001C0CC8">
        <w:rPr>
          <w:szCs w:val="24"/>
        </w:rPr>
        <w:t>maximum of the “Parent” Resource. This constraint will be enforced through the MUI.</w:t>
      </w:r>
    </w:p>
    <w:p w14:paraId="057DEE8A" w14:textId="7C2E8A15" w:rsidR="001C0CC8" w:rsidRPr="001C0CC8" w:rsidRDefault="001C0CC8" w:rsidP="00E57989">
      <w:pPr>
        <w:numPr>
          <w:ilvl w:val="1"/>
          <w:numId w:val="406"/>
        </w:numPr>
        <w:spacing w:before="120" w:after="160" w:line="300" w:lineRule="auto"/>
        <w:ind w:left="1260"/>
        <w:contextualSpacing/>
        <w:rPr>
          <w:szCs w:val="24"/>
        </w:rPr>
      </w:pPr>
      <w:r w:rsidRPr="001C0CC8">
        <w:rPr>
          <w:szCs w:val="24"/>
        </w:rPr>
        <w:t>The sum of the discharge dispatch MW for each “Child” Resource over the Operating Day must be less than or equal to the Maximum Daily Energy submitted for the “Parent” Resource. The market clearing engine will ensure this constraint is enforced.</w:t>
      </w:r>
    </w:p>
    <w:p w14:paraId="4B34CDDE" w14:textId="20744031" w:rsidR="001C0CC8" w:rsidRPr="001C0CC8" w:rsidRDefault="001C0CC8" w:rsidP="00E57989">
      <w:pPr>
        <w:numPr>
          <w:ilvl w:val="1"/>
          <w:numId w:val="406"/>
        </w:numPr>
        <w:spacing w:before="120" w:after="160" w:line="300" w:lineRule="auto"/>
        <w:ind w:left="1260"/>
        <w:contextualSpacing/>
        <w:rPr>
          <w:szCs w:val="24"/>
        </w:rPr>
      </w:pPr>
      <w:r w:rsidRPr="001C0CC8">
        <w:rPr>
          <w:szCs w:val="24"/>
        </w:rPr>
        <w:t xml:space="preserve">The combined dispatch of the “Child” Resources cannot exceed the Ramp-Rate-Up and Ramp-Rate-Down submitted for the “Parent” Resource.  For example, in the Day-Ahead Market, if the “Parent” Resource has a submitted Ramp-Rate-Up of 5 MWs/Minute for the applicable configuration, then the sum of the dispatch MWs on both “Child” Resources cannot exceed 300 MWs. The </w:t>
      </w:r>
      <w:r w:rsidR="005E185D">
        <w:rPr>
          <w:szCs w:val="24"/>
        </w:rPr>
        <w:t>market clearing engine</w:t>
      </w:r>
      <w:r w:rsidR="005E185D" w:rsidRPr="001C0CC8">
        <w:rPr>
          <w:szCs w:val="24"/>
        </w:rPr>
        <w:t xml:space="preserve"> </w:t>
      </w:r>
      <w:r w:rsidRPr="001C0CC8">
        <w:rPr>
          <w:szCs w:val="24"/>
        </w:rPr>
        <w:t>will ensure this constraint is enforced.</w:t>
      </w:r>
    </w:p>
    <w:p w14:paraId="1CFA194E" w14:textId="1896346A" w:rsidR="001C0CC8" w:rsidRPr="001C0CC8" w:rsidRDefault="001C0CC8" w:rsidP="00574EDE">
      <w:pPr>
        <w:pStyle w:val="Heading4"/>
        <w:rPr>
          <w:szCs w:val="24"/>
        </w:rPr>
      </w:pPr>
      <w:bookmarkStart w:id="6919" w:name="_Toc213771962"/>
      <w:bookmarkEnd w:id="6907"/>
      <w:r w:rsidRPr="001C0CC8">
        <w:rPr>
          <w:rFonts w:eastAsia="Calibri"/>
        </w:rPr>
        <w:t xml:space="preserve">Specified Source Resource </w:t>
      </w:r>
      <w:r w:rsidRPr="001C0CC8">
        <w:rPr>
          <w:szCs w:val="24"/>
        </w:rPr>
        <w:t>Offer Rules</w:t>
      </w:r>
      <w:bookmarkEnd w:id="6919"/>
    </w:p>
    <w:p w14:paraId="41A9791D" w14:textId="77777777" w:rsidR="001C0CC8" w:rsidRPr="001C0CC8" w:rsidRDefault="001C0CC8" w:rsidP="00E57989">
      <w:pPr>
        <w:numPr>
          <w:ilvl w:val="3"/>
          <w:numId w:val="401"/>
        </w:numPr>
        <w:spacing w:after="160" w:line="278" w:lineRule="auto"/>
        <w:rPr>
          <w:szCs w:val="24"/>
        </w:rPr>
      </w:pPr>
      <w:r w:rsidRPr="001C0CC8">
        <w:rPr>
          <w:szCs w:val="24"/>
        </w:rPr>
        <w:t xml:space="preserve">The registered </w:t>
      </w:r>
      <w:r w:rsidRPr="001C0CC8">
        <w:rPr>
          <w:bCs/>
          <w:szCs w:val="24"/>
        </w:rPr>
        <w:t xml:space="preserve">maximum capacity of the associated </w:t>
      </w:r>
      <w:r w:rsidRPr="001C0CC8">
        <w:rPr>
          <w:szCs w:val="24"/>
        </w:rPr>
        <w:t>physical “Parent” Specified Source Resource represents the maximum amount of Type 1A, Type 1B, and Type 2 Energy that may be offered.</w:t>
      </w:r>
    </w:p>
    <w:p w14:paraId="1D9814B8" w14:textId="0240E45B" w:rsidR="001C0CC8" w:rsidRPr="001C0CC8" w:rsidRDefault="001C0CC8" w:rsidP="00E57989">
      <w:pPr>
        <w:numPr>
          <w:ilvl w:val="3"/>
          <w:numId w:val="401"/>
        </w:numPr>
        <w:spacing w:after="160" w:line="278" w:lineRule="auto"/>
        <w:rPr>
          <w:szCs w:val="24"/>
        </w:rPr>
      </w:pPr>
      <w:r w:rsidRPr="001C0CC8">
        <w:rPr>
          <w:szCs w:val="24"/>
        </w:rPr>
        <w:t>To offer Type 1A Energy only, a Market Participant submits a Type 1A Energy Specified Source Resource “Child” Resource M</w:t>
      </w:r>
      <w:r w:rsidR="00C310E8">
        <w:rPr>
          <w:szCs w:val="24"/>
        </w:rPr>
        <w:t xml:space="preserve">ax </w:t>
      </w:r>
      <w:r w:rsidRPr="001C0CC8">
        <w:rPr>
          <w:szCs w:val="24"/>
        </w:rPr>
        <w:t xml:space="preserve">ECOL or, in the case of an MSR, the Maximum Discharge Limit, that represents the amount of projected GHG Load that the Type 1A Energy is contracted to serve. </w:t>
      </w:r>
      <w:r w:rsidRPr="001C0CC8">
        <w:rPr>
          <w:bCs/>
          <w:szCs w:val="24"/>
        </w:rPr>
        <w:t>The Market Participant must submit a Type 1B/Type 2 Energy “Child” Resource M</w:t>
      </w:r>
      <w:r w:rsidR="00C310E8">
        <w:rPr>
          <w:bCs/>
          <w:szCs w:val="24"/>
        </w:rPr>
        <w:t xml:space="preserve">ax </w:t>
      </w:r>
      <w:r w:rsidRPr="001C0CC8">
        <w:rPr>
          <w:bCs/>
          <w:szCs w:val="24"/>
        </w:rPr>
        <w:t>ECOL</w:t>
      </w:r>
      <w:r w:rsidRPr="001C0CC8">
        <w:rPr>
          <w:szCs w:val="24"/>
        </w:rPr>
        <w:t xml:space="preserve"> or, in the case of an MSR, the Maximum Discharge Limit, </w:t>
      </w:r>
      <w:r w:rsidRPr="001C0CC8">
        <w:rPr>
          <w:bCs/>
          <w:szCs w:val="24"/>
        </w:rPr>
        <w:t>equal to zero</w:t>
      </w:r>
      <w:r w:rsidR="00033860">
        <w:rPr>
          <w:bCs/>
          <w:szCs w:val="24"/>
        </w:rPr>
        <w:t xml:space="preserve"> (0)</w:t>
      </w:r>
      <w:r w:rsidRPr="001C0CC8">
        <w:rPr>
          <w:bCs/>
          <w:szCs w:val="24"/>
        </w:rPr>
        <w:t>. The Type 1A Energy offered must be less than or equal to the</w:t>
      </w:r>
      <w:r w:rsidRPr="001C0CC8" w:rsidDel="004E06B2">
        <w:rPr>
          <w:bCs/>
          <w:szCs w:val="24"/>
        </w:rPr>
        <w:t xml:space="preserve"> </w:t>
      </w:r>
      <w:r w:rsidRPr="001C0CC8">
        <w:rPr>
          <w:bCs/>
          <w:szCs w:val="24"/>
        </w:rPr>
        <w:t>registered maximum capacity</w:t>
      </w:r>
      <w:r w:rsidRPr="001C0CC8">
        <w:rPr>
          <w:szCs w:val="24"/>
        </w:rPr>
        <w:t xml:space="preserve"> or, in the case of an MSR, the regist</w:t>
      </w:r>
      <w:r w:rsidR="006C5840">
        <w:rPr>
          <w:szCs w:val="24"/>
        </w:rPr>
        <w:t>ration</w:t>
      </w:r>
      <w:r w:rsidRPr="001C0CC8">
        <w:rPr>
          <w:szCs w:val="24"/>
        </w:rPr>
        <w:t xml:space="preserve"> </w:t>
      </w:r>
      <w:r w:rsidR="006C5840" w:rsidRPr="001C0CC8">
        <w:rPr>
          <w:szCs w:val="24"/>
        </w:rPr>
        <w:t xml:space="preserve">discharge </w:t>
      </w:r>
      <w:r w:rsidRPr="001C0CC8">
        <w:rPr>
          <w:szCs w:val="24"/>
        </w:rPr>
        <w:t>maximum ,</w:t>
      </w:r>
      <w:r w:rsidRPr="001C0CC8">
        <w:rPr>
          <w:bCs/>
          <w:szCs w:val="24"/>
        </w:rPr>
        <w:t xml:space="preserve"> of the physical “Parent” Resource.</w:t>
      </w:r>
      <w:r w:rsidRPr="001C0CC8">
        <w:rPr>
          <w:szCs w:val="24"/>
        </w:rPr>
        <w:t xml:space="preserve">  The submitted Specified GHG Adder applies to Type 1A Energy up to the Type 1A Energy Specified Source Resource “Child” Resource M</w:t>
      </w:r>
      <w:r w:rsidR="00C310E8">
        <w:rPr>
          <w:szCs w:val="24"/>
        </w:rPr>
        <w:t xml:space="preserve">ax </w:t>
      </w:r>
      <w:r w:rsidRPr="001C0CC8">
        <w:rPr>
          <w:szCs w:val="24"/>
        </w:rPr>
        <w:t>ECOL or, in the case of an MSR, the Maximum Discharge Limit</w:t>
      </w:r>
      <w:r w:rsidR="00FA5FEB">
        <w:rPr>
          <w:szCs w:val="24"/>
        </w:rPr>
        <w:t>.</w:t>
      </w:r>
    </w:p>
    <w:p w14:paraId="6E5F9FBF" w14:textId="4EFE744F" w:rsidR="001C0CC8" w:rsidRPr="001C0CC8" w:rsidRDefault="001C0CC8" w:rsidP="00E57989">
      <w:pPr>
        <w:numPr>
          <w:ilvl w:val="3"/>
          <w:numId w:val="401"/>
        </w:numPr>
        <w:spacing w:after="160" w:line="278" w:lineRule="auto"/>
        <w:rPr>
          <w:bCs/>
          <w:szCs w:val="24"/>
        </w:rPr>
      </w:pPr>
      <w:r w:rsidRPr="001C0CC8">
        <w:rPr>
          <w:bCs/>
          <w:szCs w:val="24"/>
        </w:rPr>
        <w:t>To offer Type 1B Energy and non-attributable Energy only, a Market Participant submits (1) a Type 1A Energy</w:t>
      </w:r>
      <w:r w:rsidRPr="001C0CC8" w:rsidDel="004833DE">
        <w:rPr>
          <w:bCs/>
          <w:szCs w:val="24"/>
        </w:rPr>
        <w:t xml:space="preserve"> </w:t>
      </w:r>
      <w:r w:rsidRPr="001C0CC8">
        <w:rPr>
          <w:bCs/>
          <w:szCs w:val="24"/>
        </w:rPr>
        <w:t>Specified Source Resource “Child” Resource M</w:t>
      </w:r>
      <w:r w:rsidR="00C310E8">
        <w:rPr>
          <w:bCs/>
          <w:szCs w:val="24"/>
        </w:rPr>
        <w:t xml:space="preserve">ax </w:t>
      </w:r>
      <w:r w:rsidRPr="001C0CC8">
        <w:rPr>
          <w:bCs/>
          <w:szCs w:val="24"/>
        </w:rPr>
        <w:t>ECOL</w:t>
      </w:r>
      <w:r w:rsidRPr="001C0CC8">
        <w:rPr>
          <w:szCs w:val="24"/>
        </w:rPr>
        <w:t xml:space="preserve"> or, in the case of an MSR, the Maximum Discharge Limit, </w:t>
      </w:r>
      <w:r w:rsidRPr="001C0CC8">
        <w:rPr>
          <w:bCs/>
          <w:szCs w:val="24"/>
        </w:rPr>
        <w:t>equal to zero</w:t>
      </w:r>
      <w:r w:rsidR="0099178C">
        <w:rPr>
          <w:bCs/>
          <w:szCs w:val="24"/>
        </w:rPr>
        <w:t xml:space="preserve"> (0)</w:t>
      </w:r>
      <w:r w:rsidRPr="001C0CC8">
        <w:rPr>
          <w:bCs/>
          <w:szCs w:val="24"/>
        </w:rPr>
        <w:t xml:space="preserve">; (2) a Type 1B Energy Maximum Quantity less than or equal to the registered maximum capacity of the physical “Parent” Resource, and (3) a Type 2 Energy Maximum Quantity equal to zero </w:t>
      </w:r>
      <w:r w:rsidR="00A3345B">
        <w:rPr>
          <w:bCs/>
          <w:szCs w:val="24"/>
        </w:rPr>
        <w:t>(0)</w:t>
      </w:r>
      <w:r w:rsidRPr="001C0CC8">
        <w:rPr>
          <w:bCs/>
          <w:szCs w:val="24"/>
        </w:rPr>
        <w:t xml:space="preserve"> MWs. Each M</w:t>
      </w:r>
      <w:r w:rsidR="00C310E8">
        <w:rPr>
          <w:bCs/>
          <w:szCs w:val="24"/>
        </w:rPr>
        <w:t xml:space="preserve">ax </w:t>
      </w:r>
      <w:r w:rsidRPr="001C0CC8">
        <w:rPr>
          <w:bCs/>
          <w:szCs w:val="24"/>
        </w:rPr>
        <w:t>ECOL</w:t>
      </w:r>
      <w:r w:rsidRPr="001C0CC8">
        <w:rPr>
          <w:szCs w:val="24"/>
        </w:rPr>
        <w:t xml:space="preserve"> or, in the case of an MSR, the Maximum Discharge Limit, </w:t>
      </w:r>
      <w:r w:rsidRPr="001C0CC8">
        <w:rPr>
          <w:bCs/>
          <w:szCs w:val="24"/>
        </w:rPr>
        <w:t xml:space="preserve">and each Surplus Threshold for each Type 1B/Type 2 Energy Specified Source Resource “Child” Resource must be less than or equal to the registered maximum capacity </w:t>
      </w:r>
      <w:r w:rsidRPr="001C0CC8">
        <w:rPr>
          <w:szCs w:val="24"/>
        </w:rPr>
        <w:t>or, in the case of an MSR, the regist</w:t>
      </w:r>
      <w:r w:rsidR="006C5840">
        <w:rPr>
          <w:szCs w:val="24"/>
        </w:rPr>
        <w:t>ration</w:t>
      </w:r>
      <w:r w:rsidRPr="001C0CC8">
        <w:rPr>
          <w:szCs w:val="24"/>
        </w:rPr>
        <w:t xml:space="preserve"> </w:t>
      </w:r>
      <w:r w:rsidR="006C5840" w:rsidRPr="001C0CC8">
        <w:rPr>
          <w:szCs w:val="24"/>
        </w:rPr>
        <w:t xml:space="preserve">discharge </w:t>
      </w:r>
      <w:r w:rsidRPr="001C0CC8">
        <w:rPr>
          <w:szCs w:val="24"/>
        </w:rPr>
        <w:t xml:space="preserve">maximum , </w:t>
      </w:r>
      <w:r w:rsidRPr="001C0CC8">
        <w:rPr>
          <w:bCs/>
          <w:szCs w:val="24"/>
        </w:rPr>
        <w:t xml:space="preserve">for the associated physical “Parent” Resource. The Surplus Threshold Status should be set to “Submitted,” as described in Section 4.2.2.2.3. The submitted Specified GHG Adder applies to the amount of Type 1B Energy attributed to a GHG Pricing Zone up to the Type 1B Energy Maximum Quantity. </w:t>
      </w:r>
    </w:p>
    <w:p w14:paraId="65805879" w14:textId="593CA703" w:rsidR="001C0CC8" w:rsidRPr="001C0CC8" w:rsidRDefault="001C0CC8" w:rsidP="00E57989">
      <w:pPr>
        <w:numPr>
          <w:ilvl w:val="3"/>
          <w:numId w:val="401"/>
        </w:numPr>
        <w:spacing w:after="160" w:line="278" w:lineRule="auto"/>
        <w:rPr>
          <w:bCs/>
          <w:szCs w:val="24"/>
        </w:rPr>
      </w:pPr>
      <w:r w:rsidRPr="001C0CC8">
        <w:t>To offer Type 2 Energy and non-attributable Energy, a Market Participant submits a Type 1A Energy Specified Source Resource “Child</w:t>
      </w:r>
      <w:r w:rsidRPr="001C0CC8">
        <w:rPr>
          <w:bCs/>
          <w:szCs w:val="24"/>
        </w:rPr>
        <w:t>” Resource</w:t>
      </w:r>
      <w:r w:rsidRPr="001C0CC8" w:rsidDel="002F2F87">
        <w:rPr>
          <w:bCs/>
          <w:szCs w:val="24"/>
        </w:rPr>
        <w:t>,</w:t>
      </w:r>
      <w:r w:rsidRPr="001C0CC8">
        <w:rPr>
          <w:bCs/>
          <w:szCs w:val="24"/>
        </w:rPr>
        <w:t xml:space="preserve"> M</w:t>
      </w:r>
      <w:r w:rsidR="00C310E8">
        <w:rPr>
          <w:bCs/>
          <w:szCs w:val="24"/>
        </w:rPr>
        <w:t xml:space="preserve">ax </w:t>
      </w:r>
      <w:r w:rsidRPr="001C0CC8">
        <w:rPr>
          <w:bCs/>
          <w:szCs w:val="24"/>
        </w:rPr>
        <w:t>ECOL</w:t>
      </w:r>
      <w:r w:rsidRPr="001C0CC8">
        <w:rPr>
          <w:szCs w:val="24"/>
        </w:rPr>
        <w:t xml:space="preserve"> or, in the case of an MSR, the Maximum Discharge Limit, </w:t>
      </w:r>
      <w:r w:rsidRPr="001C0CC8">
        <w:rPr>
          <w:bCs/>
          <w:szCs w:val="24"/>
        </w:rPr>
        <w:t xml:space="preserve"> equal to zero</w:t>
      </w:r>
      <w:r w:rsidR="00A6375D">
        <w:rPr>
          <w:bCs/>
          <w:szCs w:val="24"/>
        </w:rPr>
        <w:t xml:space="preserve"> (0)</w:t>
      </w:r>
      <w:r w:rsidRPr="001C0CC8">
        <w:rPr>
          <w:bCs/>
          <w:szCs w:val="24"/>
        </w:rPr>
        <w:t>,</w:t>
      </w:r>
      <w:r w:rsidRPr="001C0CC8">
        <w:t xml:space="preserve"> a Type 1B Energy Maximum Quantity equal to zero </w:t>
      </w:r>
      <w:r w:rsidR="00A6375D">
        <w:t>(0)</w:t>
      </w:r>
      <w:r w:rsidRPr="001C0CC8">
        <w:t xml:space="preserve"> MWs, and a  Type 1B/Type 2 Energy Specified Source Resource  “Child</w:t>
      </w:r>
      <w:r w:rsidRPr="001C0CC8">
        <w:rPr>
          <w:bCs/>
          <w:szCs w:val="24"/>
        </w:rPr>
        <w:t>” Resource M</w:t>
      </w:r>
      <w:r w:rsidR="00C310E8">
        <w:rPr>
          <w:bCs/>
          <w:szCs w:val="24"/>
        </w:rPr>
        <w:t xml:space="preserve">ax </w:t>
      </w:r>
      <w:r w:rsidRPr="001C0CC8">
        <w:rPr>
          <w:bCs/>
          <w:szCs w:val="24"/>
        </w:rPr>
        <w:t>ECOL</w:t>
      </w:r>
      <w:r w:rsidRPr="001C0CC8">
        <w:rPr>
          <w:szCs w:val="24"/>
        </w:rPr>
        <w:t xml:space="preserve"> or, in the case of an MSR, the Maximum Discharge Limit, </w:t>
      </w:r>
      <w:r w:rsidRPr="001C0CC8">
        <w:rPr>
          <w:bCs/>
          <w:szCs w:val="24"/>
        </w:rPr>
        <w:t xml:space="preserve"> </w:t>
      </w:r>
      <w:r w:rsidRPr="001C0CC8">
        <w:t xml:space="preserve">that is less than or equal to the registered maximum capacity </w:t>
      </w:r>
      <w:r w:rsidRPr="001C0CC8">
        <w:rPr>
          <w:szCs w:val="24"/>
        </w:rPr>
        <w:t>or, in the case of an MSR, the regist</w:t>
      </w:r>
      <w:r w:rsidR="006C5840">
        <w:rPr>
          <w:szCs w:val="24"/>
        </w:rPr>
        <w:t>ration</w:t>
      </w:r>
      <w:r w:rsidRPr="001C0CC8">
        <w:rPr>
          <w:szCs w:val="24"/>
        </w:rPr>
        <w:t xml:space="preserve"> discharge </w:t>
      </w:r>
      <w:r w:rsidR="006C5840" w:rsidRPr="001C0CC8">
        <w:rPr>
          <w:szCs w:val="24"/>
        </w:rPr>
        <w:t>maximum</w:t>
      </w:r>
      <w:r w:rsidRPr="001C0CC8">
        <w:rPr>
          <w:szCs w:val="24"/>
        </w:rPr>
        <w:t xml:space="preserve">, </w:t>
      </w:r>
      <w:r w:rsidRPr="001C0CC8">
        <w:t xml:space="preserve">of the physical “Parent” Resource. </w:t>
      </w:r>
    </w:p>
    <w:p w14:paraId="550A434C" w14:textId="0043D2BD" w:rsidR="001C0CC8" w:rsidRPr="001C0CC8" w:rsidRDefault="001C0CC8" w:rsidP="00E57989">
      <w:pPr>
        <w:numPr>
          <w:ilvl w:val="3"/>
          <w:numId w:val="401"/>
        </w:numPr>
        <w:spacing w:after="160" w:line="278" w:lineRule="auto"/>
      </w:pPr>
      <w:r w:rsidRPr="001C0CC8">
        <w:t xml:space="preserve">To offer only Type 2 Energy, a Market Participant submits a Surplus Threshold value equal to zero </w:t>
      </w:r>
      <w:r w:rsidR="00DD712D">
        <w:t>(0)</w:t>
      </w:r>
      <w:r w:rsidRPr="001C0CC8">
        <w:t xml:space="preserve"> for that Specified Source Resource “Child</w:t>
      </w:r>
      <w:r w:rsidRPr="001C0CC8">
        <w:rPr>
          <w:bCs/>
          <w:szCs w:val="24"/>
        </w:rPr>
        <w:t>” Resource.</w:t>
      </w:r>
      <w:r w:rsidRPr="001C0CC8">
        <w:t xml:space="preserve"> The submitted </w:t>
      </w:r>
      <w:r w:rsidR="0035440C">
        <w:t>Min ECOL</w:t>
      </w:r>
      <w:r w:rsidRPr="001C0CC8">
        <w:t xml:space="preserve"> </w:t>
      </w:r>
      <w:r w:rsidRPr="001C0CC8">
        <w:rPr>
          <w:bCs/>
          <w:szCs w:val="24"/>
        </w:rPr>
        <w:t xml:space="preserve">of the “Child” Resources </w:t>
      </w:r>
      <w:r w:rsidRPr="001C0CC8">
        <w:t xml:space="preserve">will be honored by the </w:t>
      </w:r>
      <w:r w:rsidR="00DD712D">
        <w:t>m</w:t>
      </w:r>
      <w:r w:rsidRPr="001C0CC8">
        <w:t xml:space="preserve">arket </w:t>
      </w:r>
      <w:r w:rsidR="00DD712D">
        <w:t>c</w:t>
      </w:r>
      <w:r w:rsidRPr="001C0CC8">
        <w:t xml:space="preserve">learing </w:t>
      </w:r>
      <w:r w:rsidR="00DD712D">
        <w:t>e</w:t>
      </w:r>
      <w:r w:rsidRPr="001C0CC8">
        <w:t>ngine and any Energy dispatched could be considered as Type 2 Energy.  In this instance, the Surplus Threshold Status of “Submitted” should be indicated for the Type 1B/Type 2 Energy Specified Source Resource “Child</w:t>
      </w:r>
      <w:r w:rsidRPr="001C0CC8">
        <w:rPr>
          <w:bCs/>
          <w:szCs w:val="24"/>
        </w:rPr>
        <w:t>” Resource.</w:t>
      </w:r>
      <w:r w:rsidRPr="001C0CC8">
        <w:t xml:space="preserve"> The Type 2 Energy Maximum Quantity should be set to less than or equal to the total available capacity for that Specified Source Resource “Child</w:t>
      </w:r>
      <w:r w:rsidRPr="001C0CC8">
        <w:rPr>
          <w:bCs/>
          <w:szCs w:val="24"/>
        </w:rPr>
        <w:t xml:space="preserve">” Resource offering Type 2 Energy. </w:t>
      </w:r>
      <w:r w:rsidRPr="001C0CC8">
        <w:t>The submitted Specified GHG Adder only applies to Type 2 Energy attributed to a GHG Pricing Zone in excess of the Surplus Threshold up to the lesser of the Type 2 Energy Maximum Quantity or the Type 1B/Type 2 Energy Specified Source Resource “Child</w:t>
      </w:r>
      <w:r w:rsidRPr="001C0CC8">
        <w:rPr>
          <w:bCs/>
          <w:szCs w:val="24"/>
        </w:rPr>
        <w:t>” Resource M</w:t>
      </w:r>
      <w:r w:rsidR="00C310E8">
        <w:rPr>
          <w:bCs/>
          <w:szCs w:val="24"/>
        </w:rPr>
        <w:t xml:space="preserve">ax </w:t>
      </w:r>
      <w:r w:rsidRPr="001C0CC8">
        <w:rPr>
          <w:bCs/>
          <w:szCs w:val="24"/>
        </w:rPr>
        <w:t>ECOL</w:t>
      </w:r>
      <w:r w:rsidRPr="001C0CC8">
        <w:rPr>
          <w:szCs w:val="24"/>
        </w:rPr>
        <w:t xml:space="preserve"> or, in the case of an MSR, the Maximum Discharge Limit</w:t>
      </w:r>
      <w:r w:rsidRPr="001C0CC8">
        <w:rPr>
          <w:bCs/>
          <w:szCs w:val="24"/>
        </w:rPr>
        <w:t>.</w:t>
      </w:r>
      <w:r w:rsidRPr="001C0CC8">
        <w:t xml:space="preserve"> </w:t>
      </w:r>
    </w:p>
    <w:p w14:paraId="05C4B0C6" w14:textId="44F842A6" w:rsidR="001C0CC8" w:rsidRPr="001C0CC8" w:rsidRDefault="001C0CC8" w:rsidP="00E57989">
      <w:pPr>
        <w:numPr>
          <w:ilvl w:val="3"/>
          <w:numId w:val="401"/>
        </w:numPr>
        <w:spacing w:after="160" w:line="278" w:lineRule="auto"/>
      </w:pPr>
      <w:r w:rsidRPr="001C0CC8">
        <w:t xml:space="preserve">If Type 1B Energy and Type 2 Energy are offered during the same </w:t>
      </w:r>
      <w:r w:rsidR="00AF2ABA">
        <w:t>Operating H</w:t>
      </w:r>
      <w:r w:rsidRPr="001C0CC8">
        <w:t>our, the quantity of Type 1B Energy offered must be below the Type 2 Energy Surplus Threshold.</w:t>
      </w:r>
    </w:p>
    <w:p w14:paraId="37EBD52D" w14:textId="5BD9B324" w:rsidR="001C0CC8" w:rsidRPr="001C0CC8" w:rsidRDefault="001C0CC8" w:rsidP="00E57989">
      <w:pPr>
        <w:numPr>
          <w:ilvl w:val="3"/>
          <w:numId w:val="407"/>
        </w:numPr>
        <w:spacing w:after="160" w:line="278" w:lineRule="auto"/>
        <w:rPr>
          <w:szCs w:val="24"/>
        </w:rPr>
      </w:pPr>
      <w:r w:rsidRPr="001C0CC8">
        <w:rPr>
          <w:szCs w:val="24"/>
        </w:rPr>
        <w:t>To offer Energy that cannot be attributed to a GHG Pricing Zone as Type 1A Energy, Type 1B Energy, or Type 2 Energy</w:t>
      </w:r>
      <w:r w:rsidRPr="001C0CC8" w:rsidDel="000A4E1E">
        <w:rPr>
          <w:szCs w:val="24"/>
        </w:rPr>
        <w:t xml:space="preserve"> </w:t>
      </w:r>
      <w:r w:rsidRPr="001C0CC8">
        <w:rPr>
          <w:szCs w:val="24"/>
        </w:rPr>
        <w:t>a Market Participant submits a Type 1A</w:t>
      </w:r>
      <w:r w:rsidR="00CC340A">
        <w:rPr>
          <w:szCs w:val="24"/>
        </w:rPr>
        <w:t xml:space="preserve"> Energy</w:t>
      </w:r>
      <w:r w:rsidRPr="001C0CC8">
        <w:rPr>
          <w:szCs w:val="24"/>
        </w:rPr>
        <w:t xml:space="preserve"> Specified Source Resource “Child” Resource M</w:t>
      </w:r>
      <w:r w:rsidR="00C310E8">
        <w:rPr>
          <w:szCs w:val="24"/>
        </w:rPr>
        <w:t xml:space="preserve">ax </w:t>
      </w:r>
      <w:r w:rsidRPr="001C0CC8">
        <w:rPr>
          <w:szCs w:val="24"/>
        </w:rPr>
        <w:t xml:space="preserve">ECOL or, in the case of an MSR, the Maximum Discharge Limit,  equal to zero </w:t>
      </w:r>
      <w:r w:rsidR="00FB7DB4">
        <w:rPr>
          <w:szCs w:val="24"/>
        </w:rPr>
        <w:t>(0)</w:t>
      </w:r>
      <w:r w:rsidRPr="001C0CC8">
        <w:rPr>
          <w:szCs w:val="24"/>
        </w:rPr>
        <w:t xml:space="preserve"> and a null Specified GHG Adder and a M</w:t>
      </w:r>
      <w:r w:rsidR="00C310E8">
        <w:rPr>
          <w:szCs w:val="24"/>
        </w:rPr>
        <w:t xml:space="preserve">ax </w:t>
      </w:r>
      <w:r w:rsidRPr="001C0CC8">
        <w:rPr>
          <w:szCs w:val="24"/>
        </w:rPr>
        <w:t xml:space="preserve">ECOL or, in the case of an MSR, the Maximum Discharge Limit, less </w:t>
      </w:r>
      <w:r w:rsidRPr="001C0CC8">
        <w:rPr>
          <w:bCs/>
          <w:szCs w:val="24"/>
        </w:rPr>
        <w:t>than or equal to the  registered maximum capacity</w:t>
      </w:r>
      <w:r w:rsidRPr="001C0CC8">
        <w:rPr>
          <w:szCs w:val="24"/>
        </w:rPr>
        <w:t xml:space="preserve"> or, in the case of an MSR, the regist</w:t>
      </w:r>
      <w:r w:rsidR="006C5840">
        <w:rPr>
          <w:szCs w:val="24"/>
        </w:rPr>
        <w:t>ration</w:t>
      </w:r>
      <w:r w:rsidRPr="001C0CC8">
        <w:rPr>
          <w:szCs w:val="24"/>
        </w:rPr>
        <w:t xml:space="preserve"> </w:t>
      </w:r>
      <w:r w:rsidR="006C5840">
        <w:rPr>
          <w:szCs w:val="24"/>
        </w:rPr>
        <w:t>discharge</w:t>
      </w:r>
      <w:r w:rsidRPr="001C0CC8">
        <w:rPr>
          <w:szCs w:val="24"/>
        </w:rPr>
        <w:t xml:space="preserve"> maximum , </w:t>
      </w:r>
      <w:r w:rsidRPr="001C0CC8">
        <w:rPr>
          <w:bCs/>
          <w:szCs w:val="24"/>
        </w:rPr>
        <w:t xml:space="preserve"> of the “Parent” Resource for the Type 1B/Type 2 Specified Source Resource “Child” Resource.”</w:t>
      </w:r>
      <w:r w:rsidRPr="001C0CC8">
        <w:rPr>
          <w:szCs w:val="24"/>
        </w:rPr>
        <w:t xml:space="preserve"> The Type 1B Energy Maximum Quantity, Type 2 Energy Maximum Quantity, Surplus Threshold, and the Surplus Threshold Status will not be considered in the </w:t>
      </w:r>
      <w:r w:rsidR="000065A7">
        <w:rPr>
          <w:szCs w:val="24"/>
        </w:rPr>
        <w:t>m</w:t>
      </w:r>
      <w:r w:rsidRPr="001C0CC8">
        <w:rPr>
          <w:szCs w:val="24"/>
        </w:rPr>
        <w:t xml:space="preserve">arket </w:t>
      </w:r>
      <w:r w:rsidR="000065A7">
        <w:rPr>
          <w:szCs w:val="24"/>
        </w:rPr>
        <w:t>c</w:t>
      </w:r>
      <w:r w:rsidRPr="001C0CC8">
        <w:rPr>
          <w:szCs w:val="24"/>
        </w:rPr>
        <w:t xml:space="preserve">learing </w:t>
      </w:r>
      <w:r w:rsidR="000065A7">
        <w:rPr>
          <w:szCs w:val="24"/>
        </w:rPr>
        <w:t>e</w:t>
      </w:r>
      <w:r w:rsidRPr="001C0CC8">
        <w:rPr>
          <w:szCs w:val="24"/>
        </w:rPr>
        <w:t>ngine.</w:t>
      </w:r>
      <w:r w:rsidRPr="001C0CC8" w:rsidDel="00B36E45">
        <w:rPr>
          <w:szCs w:val="24"/>
        </w:rPr>
        <w:t xml:space="preserve"> </w:t>
      </w:r>
      <w:r w:rsidRPr="001C0CC8">
        <w:rPr>
          <w:szCs w:val="24"/>
        </w:rPr>
        <w:t xml:space="preserve">In this case, no Energy is available for </w:t>
      </w:r>
      <w:r w:rsidR="000065A7">
        <w:rPr>
          <w:szCs w:val="24"/>
        </w:rPr>
        <w:t>A</w:t>
      </w:r>
      <w:r w:rsidRPr="001C0CC8">
        <w:rPr>
          <w:szCs w:val="24"/>
        </w:rPr>
        <w:t xml:space="preserve">ttribution to a GHG Pricing Zone, and only the Energy Offer Curve is considered in the dispatch optimization. </w:t>
      </w:r>
    </w:p>
    <w:p w14:paraId="6D5DFA29" w14:textId="2BDEDEF6" w:rsidR="001C0CC8" w:rsidRPr="001C0CC8" w:rsidRDefault="001C0CC8" w:rsidP="00E57989">
      <w:pPr>
        <w:numPr>
          <w:ilvl w:val="3"/>
          <w:numId w:val="408"/>
        </w:numPr>
        <w:spacing w:after="160" w:line="278" w:lineRule="auto"/>
        <w:rPr>
          <w:szCs w:val="24"/>
        </w:rPr>
      </w:pPr>
      <w:r w:rsidRPr="001C0CC8">
        <w:rPr>
          <w:szCs w:val="24"/>
        </w:rPr>
        <w:t>To offer Type 1A Energy from one Specified Source Resource “Child” Resource  in conjunction with the simultaneous offering of Type 1B Energy and Type 2 Energy from the Type 1B/Type 2</w:t>
      </w:r>
      <w:r w:rsidR="00CC340A">
        <w:rPr>
          <w:szCs w:val="24"/>
        </w:rPr>
        <w:t xml:space="preserve"> Energy</w:t>
      </w:r>
      <w:r w:rsidRPr="001C0CC8">
        <w:rPr>
          <w:szCs w:val="24"/>
        </w:rPr>
        <w:t xml:space="preserve"> Specified Source Resource “Child” Resource, a Market Participant submits a Type 1A Energy Specified Source Resource “Child” Resource M</w:t>
      </w:r>
      <w:r w:rsidR="00C310E8">
        <w:rPr>
          <w:szCs w:val="24"/>
        </w:rPr>
        <w:t xml:space="preserve">ax </w:t>
      </w:r>
      <w:r w:rsidRPr="001C0CC8">
        <w:rPr>
          <w:szCs w:val="24"/>
        </w:rPr>
        <w:t>ECOL or, in the case of an MSR, the Maximum Discharge Limit, that represents the amount of projected GHG Load that the Type 1A Energy is contracted to serve, a Type 1B Energy Maximum Quantity for the Type 1B/Type 2</w:t>
      </w:r>
      <w:r w:rsidR="00CC340A">
        <w:rPr>
          <w:szCs w:val="24"/>
        </w:rPr>
        <w:t xml:space="preserve"> Energy</w:t>
      </w:r>
      <w:r w:rsidRPr="001C0CC8">
        <w:rPr>
          <w:szCs w:val="24"/>
        </w:rPr>
        <w:t xml:space="preserve"> Specified Source Resource “Child” Resource, and a Type 1B/Type 2 Energy Specified Source Resource “Child” Resource M</w:t>
      </w:r>
      <w:r w:rsidR="00C310E8">
        <w:rPr>
          <w:szCs w:val="24"/>
        </w:rPr>
        <w:t xml:space="preserve">ax </w:t>
      </w:r>
      <w:r w:rsidRPr="001C0CC8">
        <w:rPr>
          <w:szCs w:val="24"/>
        </w:rPr>
        <w:t xml:space="preserve">ECOL or, in the case of an MSR, the Maximum Discharge Limit, that is less than or equal to the difference between the </w:t>
      </w:r>
      <w:r w:rsidRPr="001C0CC8">
        <w:rPr>
          <w:bCs/>
          <w:szCs w:val="24"/>
        </w:rPr>
        <w:t>registered maximum capacity</w:t>
      </w:r>
      <w:r w:rsidRPr="001C0CC8">
        <w:rPr>
          <w:szCs w:val="24"/>
        </w:rPr>
        <w:t xml:space="preserve"> or, in the case of an MSR, the regist</w:t>
      </w:r>
      <w:r w:rsidR="006C5840">
        <w:rPr>
          <w:szCs w:val="24"/>
        </w:rPr>
        <w:t>ration</w:t>
      </w:r>
      <w:r w:rsidRPr="001C0CC8">
        <w:rPr>
          <w:szCs w:val="24"/>
        </w:rPr>
        <w:t xml:space="preserve"> </w:t>
      </w:r>
      <w:r w:rsidR="006C5840" w:rsidRPr="001C0CC8">
        <w:rPr>
          <w:szCs w:val="24"/>
        </w:rPr>
        <w:t>discharge</w:t>
      </w:r>
      <w:r w:rsidRPr="001C0CC8">
        <w:rPr>
          <w:szCs w:val="24"/>
        </w:rPr>
        <w:t xml:space="preserve"> maximum , </w:t>
      </w:r>
      <w:r w:rsidRPr="001C0CC8">
        <w:rPr>
          <w:bCs/>
          <w:szCs w:val="24"/>
        </w:rPr>
        <w:t>of the “Parent” Specified Source Resource minus the Type 1A Energy Specified Source Resource “Child” Resource M</w:t>
      </w:r>
      <w:r w:rsidR="00C310E8">
        <w:rPr>
          <w:bCs/>
          <w:szCs w:val="24"/>
        </w:rPr>
        <w:t xml:space="preserve">ax </w:t>
      </w:r>
      <w:r w:rsidRPr="001C0CC8">
        <w:rPr>
          <w:bCs/>
          <w:szCs w:val="24"/>
        </w:rPr>
        <w:t>ECOL</w:t>
      </w:r>
      <w:r w:rsidRPr="001C0CC8">
        <w:rPr>
          <w:szCs w:val="24"/>
        </w:rPr>
        <w:t xml:space="preserve"> or, in the case of an MSR, the Maximum Discharge Limit</w:t>
      </w:r>
      <w:r w:rsidRPr="001C0CC8">
        <w:rPr>
          <w:bCs/>
          <w:szCs w:val="24"/>
        </w:rPr>
        <w:t>.</w:t>
      </w:r>
      <w:r w:rsidRPr="001C0CC8">
        <w:rPr>
          <w:szCs w:val="24"/>
        </w:rPr>
        <w:t xml:space="preserve">  Optionally, a Type 1A/Type 2 Energy Specified Source Resource “Child” Resource Surplus Threshold may also be submitted with a Surplus Threshold Status of “Submitted” or “Calculate.”      </w:t>
      </w:r>
    </w:p>
    <w:p w14:paraId="2475667E" w14:textId="201C4DFF" w:rsidR="001C0CC8" w:rsidRPr="001C0CC8" w:rsidRDefault="001C0CC8" w:rsidP="00E57989">
      <w:pPr>
        <w:numPr>
          <w:ilvl w:val="1"/>
          <w:numId w:val="336"/>
        </w:numPr>
        <w:spacing w:after="160" w:line="278" w:lineRule="auto"/>
      </w:pPr>
      <w:r w:rsidRPr="001C0CC8">
        <w:t>The Type 1B Energy Maximum Quantity must be less than the submitted Surplus Threshold with a Surplus Threshold Status of “Submitted”</w:t>
      </w:r>
      <w:r w:rsidRPr="001C0CC8" w:rsidDel="006B5273">
        <w:t xml:space="preserve"> </w:t>
      </w:r>
      <w:r w:rsidRPr="001C0CC8">
        <w:t>for Type 1B/Type 2 Energy Specified Source Resource “Child</w:t>
      </w:r>
      <w:r w:rsidRPr="001C0CC8">
        <w:rPr>
          <w:szCs w:val="24"/>
        </w:rPr>
        <w:t>” Resource.</w:t>
      </w:r>
      <w:r w:rsidRPr="001C0CC8">
        <w:t xml:space="preserve">  If </w:t>
      </w:r>
      <w:r w:rsidRPr="001C0CC8" w:rsidDel="00F12C3F">
        <w:t xml:space="preserve">a Surplus Threshold </w:t>
      </w:r>
      <w:r w:rsidRPr="001C0CC8">
        <w:t xml:space="preserve">Status of “Calculate” is submitted the Market Operator will calculate a Surplus Threshold using the merit order process described under Section </w:t>
      </w:r>
      <w:r w:rsidR="002A7586">
        <w:fldChar w:fldCharType="begin"/>
      </w:r>
      <w:r w:rsidR="002A7586">
        <w:instrText xml:space="preserve"> REF _Ref212561454 \r \h </w:instrText>
      </w:r>
      <w:r w:rsidR="002A7586">
        <w:fldChar w:fldCharType="separate"/>
      </w:r>
      <w:r w:rsidR="002A7586">
        <w:t>5.2.1</w:t>
      </w:r>
      <w:r w:rsidR="002A7586">
        <w:fldChar w:fldCharType="end"/>
      </w:r>
      <w:r w:rsidRPr="001C0CC8">
        <w:t>. The calculated Surplus Threshold will be no less than the Type 1B Energy Maximum Quantity.</w:t>
      </w:r>
    </w:p>
    <w:p w14:paraId="46E9C711" w14:textId="05E4C7E2" w:rsidR="001C0CC8" w:rsidRPr="001C0CC8" w:rsidRDefault="001C0CC8" w:rsidP="00E57989">
      <w:pPr>
        <w:numPr>
          <w:ilvl w:val="1"/>
          <w:numId w:val="336"/>
        </w:numPr>
        <w:spacing w:after="160" w:line="278" w:lineRule="auto"/>
      </w:pPr>
      <w:r w:rsidRPr="001C0CC8">
        <w:t>The submitted Specified GHG Adder only applies up to the Type 1A M</w:t>
      </w:r>
      <w:r w:rsidR="00C310E8">
        <w:t xml:space="preserve">ax </w:t>
      </w:r>
      <w:r w:rsidRPr="001C0CC8">
        <w:t>ECOL, the Type 1B Energy Maximum Quantity, and Energy in excess of the Surplus Threshold up to the Type 1B/Type 2 Energy Specified Source Resource “Child</w:t>
      </w:r>
      <w:r w:rsidRPr="001C0CC8">
        <w:rPr>
          <w:bCs/>
          <w:szCs w:val="24"/>
        </w:rPr>
        <w:t>” Resource</w:t>
      </w:r>
      <w:r w:rsidRPr="001C0CC8">
        <w:t xml:space="preserve"> M</w:t>
      </w:r>
      <w:r w:rsidR="00C310E8">
        <w:t xml:space="preserve">ax </w:t>
      </w:r>
      <w:r w:rsidRPr="001C0CC8">
        <w:t>ECOL.</w:t>
      </w:r>
    </w:p>
    <w:p w14:paraId="31238C0C" w14:textId="78E9062D" w:rsidR="001C0CC8" w:rsidRPr="001C0CC8" w:rsidRDefault="001C0CC8" w:rsidP="00E57989">
      <w:pPr>
        <w:spacing w:after="160" w:line="300" w:lineRule="auto"/>
        <w:rPr>
          <w:szCs w:val="24"/>
        </w:rPr>
      </w:pPr>
      <w:r w:rsidRPr="001C0CC8">
        <w:rPr>
          <w:szCs w:val="24"/>
        </w:rPr>
        <w:t xml:space="preserve">For example, if the </w:t>
      </w:r>
      <w:r w:rsidRPr="001C0CC8">
        <w:rPr>
          <w:bCs/>
          <w:szCs w:val="24"/>
        </w:rPr>
        <w:t xml:space="preserve">registered maximum capacity for a non-MSR Resource of the </w:t>
      </w:r>
      <w:r w:rsidRPr="001C0CC8">
        <w:rPr>
          <w:szCs w:val="24"/>
        </w:rPr>
        <w:t>physical “Parent” Resource is 300 MW and a submitted Type 1B/Type 2 Energy Specified Source Resource “Child” Resource Surplus Threshold of 100 MW, one valid Offer may be:</w:t>
      </w:r>
    </w:p>
    <w:p w14:paraId="3BC06893" w14:textId="77777777" w:rsidR="001C0CC8" w:rsidRPr="001C0CC8" w:rsidRDefault="001C0CC8" w:rsidP="00E57989">
      <w:pPr>
        <w:spacing w:after="160" w:line="278" w:lineRule="auto"/>
        <w:rPr>
          <w:szCs w:val="24"/>
        </w:rPr>
      </w:pPr>
    </w:p>
    <w:p w14:paraId="5F789C6D" w14:textId="27358B89" w:rsidR="001C0CC8" w:rsidRPr="001C0CC8" w:rsidRDefault="001C0CC8" w:rsidP="00DA769F">
      <w:pPr>
        <w:pStyle w:val="ListParagraph"/>
        <w:numPr>
          <w:ilvl w:val="0"/>
          <w:numId w:val="6"/>
        </w:numPr>
        <w:spacing w:after="160" w:line="278" w:lineRule="auto"/>
        <w:rPr>
          <w:szCs w:val="24"/>
        </w:rPr>
      </w:pPr>
      <w:r w:rsidRPr="001C0CC8">
        <w:rPr>
          <w:szCs w:val="24"/>
        </w:rPr>
        <w:t>100 MW Type 1A Energy Non-MSR Specified Source Resource “Child” Resource M</w:t>
      </w:r>
      <w:r w:rsidR="00C310E8">
        <w:rPr>
          <w:szCs w:val="24"/>
        </w:rPr>
        <w:t xml:space="preserve">ax </w:t>
      </w:r>
      <w:r w:rsidRPr="001C0CC8">
        <w:rPr>
          <w:szCs w:val="24"/>
        </w:rPr>
        <w:t>ECOL</w:t>
      </w:r>
    </w:p>
    <w:p w14:paraId="7C01C459" w14:textId="3557DCA5" w:rsidR="001C0CC8" w:rsidRPr="001C0CC8" w:rsidRDefault="001C0CC8" w:rsidP="00DA769F">
      <w:pPr>
        <w:pStyle w:val="ListParagraph"/>
        <w:numPr>
          <w:ilvl w:val="0"/>
          <w:numId w:val="6"/>
        </w:numPr>
        <w:spacing w:after="160" w:line="278" w:lineRule="auto"/>
      </w:pPr>
      <w:r w:rsidRPr="001C0CC8">
        <w:t xml:space="preserve">80 MW Type 1B Energy Maximum Quantity </w:t>
      </w:r>
    </w:p>
    <w:p w14:paraId="6AD6770D" w14:textId="06B87A2A" w:rsidR="001C0CC8" w:rsidRPr="001C0CC8" w:rsidRDefault="001C0CC8" w:rsidP="00DA769F">
      <w:pPr>
        <w:pStyle w:val="ListParagraph"/>
        <w:numPr>
          <w:ilvl w:val="0"/>
          <w:numId w:val="6"/>
        </w:numPr>
        <w:spacing w:after="160" w:line="278" w:lineRule="auto"/>
      </w:pPr>
      <w:r w:rsidRPr="001C0CC8">
        <w:t>200 MW Type 1B/ Type 2 Energy Specified Source Resource “Child</w:t>
      </w:r>
      <w:r w:rsidRPr="001C0CC8">
        <w:rPr>
          <w:szCs w:val="24"/>
        </w:rPr>
        <w:t>” Resource</w:t>
      </w:r>
      <w:r w:rsidRPr="001C0CC8">
        <w:t xml:space="preserve"> M</w:t>
      </w:r>
      <w:r w:rsidR="00C310E8">
        <w:t xml:space="preserve">ax </w:t>
      </w:r>
      <w:r w:rsidRPr="001C0CC8">
        <w:t>ECOL</w:t>
      </w:r>
    </w:p>
    <w:p w14:paraId="40A21D24" w14:textId="77777777" w:rsidR="001C0CC8" w:rsidRPr="001C0CC8" w:rsidRDefault="001C0CC8" w:rsidP="00E57989">
      <w:pPr>
        <w:spacing w:after="160" w:line="278" w:lineRule="auto"/>
      </w:pPr>
    </w:p>
    <w:p w14:paraId="473E9037" w14:textId="50B7DC9F" w:rsidR="001C0CC8" w:rsidRPr="001C0CC8" w:rsidRDefault="001C0CC8" w:rsidP="00E57989">
      <w:pPr>
        <w:spacing w:after="160" w:line="278" w:lineRule="auto"/>
        <w:rPr>
          <w:szCs w:val="24"/>
        </w:rPr>
      </w:pPr>
      <w:r w:rsidRPr="001C0CC8">
        <w:rPr>
          <w:szCs w:val="24"/>
        </w:rPr>
        <w:t>In this scenario, the 20 MW beyond the Type 1B Energy Maximum Quantity and up to the Type 1B/Type 2 Energy Specified Source Resource “Child” Resource Surplus Threshold would not have a Specified GHG Adder applied.  All other MW would have a Specified GHG adder applied if attributed to a GHG Pricing Zone.</w:t>
      </w:r>
    </w:p>
    <w:p w14:paraId="462F7A67" w14:textId="77777777" w:rsidR="001C0CC8" w:rsidRPr="001C0CC8" w:rsidRDefault="001C0CC8" w:rsidP="00E57989">
      <w:pPr>
        <w:spacing w:after="160" w:line="278" w:lineRule="auto"/>
        <w:rPr>
          <w:szCs w:val="24"/>
        </w:rPr>
      </w:pPr>
      <w:r w:rsidRPr="001C0CC8">
        <w:rPr>
          <w:bCs/>
          <w:noProof/>
          <w:szCs w:val="24"/>
        </w:rPr>
        <w:drawing>
          <wp:inline distT="0" distB="0" distL="0" distR="0" wp14:anchorId="04480118" wp14:editId="595E9A82">
            <wp:extent cx="6182017" cy="3790950"/>
            <wp:effectExtent l="0" t="0" r="9525" b="0"/>
            <wp:docPr id="1377446540"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46540" name="Picture 1" descr="Chart&#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6192201" cy="3797195"/>
                    </a:xfrm>
                    <a:prstGeom prst="rect">
                      <a:avLst/>
                    </a:prstGeom>
                  </pic:spPr>
                </pic:pic>
              </a:graphicData>
            </a:graphic>
          </wp:inline>
        </w:drawing>
      </w:r>
    </w:p>
    <w:p w14:paraId="267794E4" w14:textId="72DEB4EE" w:rsidR="001C0CC8" w:rsidRPr="001C0CC8" w:rsidRDefault="001C0CC8" w:rsidP="00CB5653">
      <w:pPr>
        <w:pStyle w:val="Heading3"/>
        <w:rPr>
          <w:szCs w:val="24"/>
        </w:rPr>
      </w:pPr>
      <w:bookmarkStart w:id="6920" w:name="_Toc213771963"/>
      <w:r w:rsidRPr="001C0CC8">
        <w:rPr>
          <w:rFonts w:eastAsia="Calibri"/>
        </w:rPr>
        <w:t>Specified Source Resource Deployment and Settlement</w:t>
      </w:r>
      <w:bookmarkEnd w:id="6920"/>
    </w:p>
    <w:p w14:paraId="5497AFA4" w14:textId="44A0E39C" w:rsidR="001C0CC8" w:rsidRPr="001C0CC8" w:rsidRDefault="001C0CC8" w:rsidP="00E57989">
      <w:pPr>
        <w:spacing w:after="160" w:line="300" w:lineRule="auto"/>
        <w:ind w:left="720" w:hanging="540"/>
        <w:rPr>
          <w:bCs/>
          <w:szCs w:val="24"/>
        </w:rPr>
      </w:pPr>
      <w:r w:rsidRPr="001C0CC8">
        <w:rPr>
          <w:bCs/>
          <w:szCs w:val="24"/>
        </w:rPr>
        <w:t>(1)</w:t>
      </w:r>
      <w:r w:rsidRPr="001C0CC8">
        <w:rPr>
          <w:bCs/>
          <w:szCs w:val="24"/>
        </w:rPr>
        <w:tab/>
        <w:t>Each Specified Source Resource “Child” Resource will be considered separately for the purposes of dispatch and Flexibility Reserve Products clearing, and the physical “Parent” Resource will receive an aggregate Dispatch Target, Setpoint Target</w:t>
      </w:r>
      <w:r w:rsidR="0093330A">
        <w:rPr>
          <w:bCs/>
          <w:szCs w:val="24"/>
        </w:rPr>
        <w:t>,</w:t>
      </w:r>
      <w:r w:rsidRPr="001C0CC8">
        <w:rPr>
          <w:bCs/>
          <w:szCs w:val="24"/>
        </w:rPr>
        <w:t xml:space="preserve"> and Flexibility Reserve Products clearing for the purposes of Energy and Flexibility Reserve Products deployment.</w:t>
      </w:r>
    </w:p>
    <w:p w14:paraId="5A3A04FD" w14:textId="3897B1CE" w:rsidR="001C0CC8" w:rsidRPr="001C0CC8" w:rsidRDefault="001C0CC8" w:rsidP="00E57989">
      <w:pPr>
        <w:numPr>
          <w:ilvl w:val="0"/>
          <w:numId w:val="336"/>
        </w:numPr>
        <w:spacing w:after="160" w:line="300" w:lineRule="auto"/>
        <w:rPr>
          <w:bCs/>
          <w:szCs w:val="24"/>
        </w:rPr>
      </w:pPr>
      <w:r w:rsidRPr="001C0CC8">
        <w:rPr>
          <w:bCs/>
          <w:szCs w:val="24"/>
        </w:rPr>
        <w:t xml:space="preserve">Each Specified Source Resource “Parent” Resource committed by the Market Operator in the Day-Ahead Market is eligible to receive a Day-Ahead Market make whole payment under the same eligibility rules as any other Resource as described in </w:t>
      </w:r>
      <w:r w:rsidR="00244875">
        <w:rPr>
          <w:bCs/>
          <w:szCs w:val="24"/>
        </w:rPr>
        <w:t xml:space="preserve">the Markets+ </w:t>
      </w:r>
      <w:r w:rsidR="00FA4B53">
        <w:rPr>
          <w:bCs/>
          <w:szCs w:val="24"/>
        </w:rPr>
        <w:t>Settlements Calculation Guide</w:t>
      </w:r>
      <w:r w:rsidRPr="001C0CC8">
        <w:rPr>
          <w:bCs/>
          <w:szCs w:val="24"/>
        </w:rPr>
        <w:t xml:space="preserve">.  The costs of the “Child” Resources will be summed together and accounted for at the “Parent” Resource level.  Similarly, revenues associated with each of the “Child” Resources will be summed together and accounted for at the “Parent” Resource level. </w:t>
      </w:r>
    </w:p>
    <w:p w14:paraId="7EDE32A7" w14:textId="70007378" w:rsidR="001C0CC8" w:rsidRPr="001C0CC8" w:rsidRDefault="001C0CC8" w:rsidP="00E57989">
      <w:pPr>
        <w:numPr>
          <w:ilvl w:val="0"/>
          <w:numId w:val="336"/>
        </w:numPr>
        <w:spacing w:after="160" w:line="300" w:lineRule="auto"/>
        <w:rPr>
          <w:bCs/>
          <w:szCs w:val="24"/>
        </w:rPr>
      </w:pPr>
      <w:r w:rsidRPr="001C0CC8">
        <w:rPr>
          <w:bCs/>
          <w:szCs w:val="24"/>
        </w:rPr>
        <w:t xml:space="preserve">Each Specified Source Resource “Parent” Resource committed by the Market Operator in any of the RUC processes is eligible to receive a RUC make whole payment under the same eligibility rules as any other Resource as described in </w:t>
      </w:r>
      <w:r w:rsidR="00FA4B53">
        <w:rPr>
          <w:bCs/>
          <w:szCs w:val="24"/>
        </w:rPr>
        <w:t>the Markets+ Settlements Calculation Guide</w:t>
      </w:r>
      <w:r w:rsidRPr="00FA4B53">
        <w:rPr>
          <w:bCs/>
          <w:szCs w:val="24"/>
        </w:rPr>
        <w:t>.</w:t>
      </w:r>
      <w:r w:rsidRPr="001C0CC8">
        <w:rPr>
          <w:bCs/>
          <w:szCs w:val="24"/>
        </w:rPr>
        <w:t xml:space="preserve">  The costs of the “Child” Resources will be summed together and accounted for at the “Parent” Resource level.  Similarly, revenues associated with each of the “Child” Resources will be summed together and accounted for at the “Parent” Resource level.</w:t>
      </w:r>
    </w:p>
    <w:p w14:paraId="2D4A1B38" w14:textId="201567B0" w:rsidR="001C0CC8" w:rsidRPr="001C0CC8" w:rsidRDefault="001C0CC8" w:rsidP="00E57989">
      <w:pPr>
        <w:numPr>
          <w:ilvl w:val="0"/>
          <w:numId w:val="336"/>
        </w:numPr>
        <w:spacing w:after="160" w:line="300" w:lineRule="auto"/>
        <w:rPr>
          <w:bCs/>
          <w:szCs w:val="24"/>
        </w:rPr>
      </w:pPr>
      <w:r w:rsidRPr="001C0CC8">
        <w:rPr>
          <w:bCs/>
          <w:szCs w:val="24"/>
        </w:rPr>
        <w:t xml:space="preserve">In the RTBM, each Specified Source Resource “Child” Resource is dispatched for Energy based on the submitted Energy Offer Curve, Specified GHG Adder, Ramp-Rate-Up and Ramp-Rate-Down of the Specified Source Resource “Parent” Resource and is cleared for Flexibility Reserve Products based Ramp-Rate-Up, and Ramp-Rate-Down of the Specified Source Resource “Parent” Resource.  The Market Operator sends the Market Participant of the “Parent” Specified Source Resource a single Dispatch Target and Setpoint </w:t>
      </w:r>
      <w:r w:rsidR="00566CE6">
        <w:rPr>
          <w:bCs/>
          <w:szCs w:val="24"/>
        </w:rPr>
        <w:t>Target</w:t>
      </w:r>
      <w:r w:rsidR="00566CE6" w:rsidRPr="001C0CC8">
        <w:rPr>
          <w:bCs/>
          <w:szCs w:val="24"/>
        </w:rPr>
        <w:t xml:space="preserve"> </w:t>
      </w:r>
      <w:r w:rsidRPr="001C0CC8">
        <w:rPr>
          <w:bCs/>
          <w:szCs w:val="24"/>
        </w:rPr>
        <w:t xml:space="preserve">and total amount of cleared Flexibility Reserve Products for operational purposes.  The Market Operator also sends the Market Participant of the “Parent” Resource the Dispatch Target for each “Child” Resource for settlement purposes. Each Specified Source Resource “Parent” Resource will be subject to charges associated with Uninstructed Resource Deviation that exceeds the Specified Source Resource “Parent” Resource </w:t>
      </w:r>
      <w:r w:rsidR="004863F2">
        <w:rPr>
          <w:bCs/>
          <w:szCs w:val="24"/>
        </w:rPr>
        <w:t xml:space="preserve">High </w:t>
      </w:r>
      <w:r w:rsidRPr="001C0CC8">
        <w:rPr>
          <w:bCs/>
          <w:szCs w:val="24"/>
        </w:rPr>
        <w:t>Operating Tolerance</w:t>
      </w:r>
      <w:r w:rsidR="004863F2">
        <w:rPr>
          <w:bCs/>
          <w:szCs w:val="24"/>
        </w:rPr>
        <w:t xml:space="preserve"> or Low Operating Tolerance</w:t>
      </w:r>
      <w:r w:rsidRPr="001C0CC8">
        <w:rPr>
          <w:bCs/>
          <w:szCs w:val="24"/>
        </w:rPr>
        <w:t xml:space="preserve"> and Flexibility Reserve Products deployment failure charges for each Specified Source Resource</w:t>
      </w:r>
      <w:r w:rsidRPr="001C0CC8" w:rsidDel="00EC6A54">
        <w:rPr>
          <w:bCs/>
          <w:szCs w:val="24"/>
        </w:rPr>
        <w:t xml:space="preserve"> </w:t>
      </w:r>
      <w:r w:rsidRPr="001C0CC8">
        <w:rPr>
          <w:bCs/>
          <w:szCs w:val="24"/>
        </w:rPr>
        <w:t xml:space="preserve">“Parent” Resource under the same eligibility rules as any other Resource, as described in </w:t>
      </w:r>
      <w:r w:rsidR="006B6EB8">
        <w:rPr>
          <w:bCs/>
          <w:szCs w:val="24"/>
        </w:rPr>
        <w:t>the Markets+ Settlements Calculation Guide</w:t>
      </w:r>
      <w:r w:rsidRPr="001C0CC8">
        <w:rPr>
          <w:bCs/>
          <w:szCs w:val="24"/>
        </w:rPr>
        <w:t>.</w:t>
      </w:r>
    </w:p>
    <w:p w14:paraId="0F02F236" w14:textId="77777777" w:rsidR="001C0CC8" w:rsidRPr="001C0CC8" w:rsidRDefault="001C0CC8" w:rsidP="00E57989">
      <w:pPr>
        <w:numPr>
          <w:ilvl w:val="0"/>
          <w:numId w:val="336"/>
        </w:numPr>
        <w:spacing w:after="160" w:line="300" w:lineRule="auto"/>
        <w:rPr>
          <w:bCs/>
          <w:szCs w:val="24"/>
        </w:rPr>
      </w:pPr>
      <w:r w:rsidRPr="001C0CC8">
        <w:rPr>
          <w:bCs/>
          <w:szCs w:val="24"/>
        </w:rPr>
        <w:t>The Market Participant is responsible for ensuring the Market Operator receives actual output of each Specified Source Resource “Parent” Resource via ICCP for use by the Market Operator as input into the RTBM solution.</w:t>
      </w:r>
    </w:p>
    <w:p w14:paraId="7F12C44D" w14:textId="3738D658" w:rsidR="001C0CC8" w:rsidRPr="001C0CC8" w:rsidRDefault="001C0CC8" w:rsidP="00E57989">
      <w:pPr>
        <w:numPr>
          <w:ilvl w:val="0"/>
          <w:numId w:val="336"/>
        </w:numPr>
        <w:spacing w:after="160" w:line="300" w:lineRule="auto"/>
        <w:rPr>
          <w:bCs/>
          <w:szCs w:val="24"/>
        </w:rPr>
      </w:pPr>
      <w:r w:rsidRPr="001C0CC8">
        <w:rPr>
          <w:bCs/>
          <w:szCs w:val="24"/>
        </w:rPr>
        <w:t xml:space="preserve">The Market Operator will calculate actual output of each Specified Source Resource “Child” Resource, based upon the Market Participant submitted actual output of the “Parent” Resource and the ratio of the Dispatch Targets of each “Child” Resources to the Dispatch Target of the “Parent” Resource for use in </w:t>
      </w:r>
      <w:r w:rsidR="00B55C1E">
        <w:rPr>
          <w:bCs/>
          <w:szCs w:val="24"/>
        </w:rPr>
        <w:t>m</w:t>
      </w:r>
      <w:r w:rsidRPr="001C0CC8">
        <w:rPr>
          <w:bCs/>
          <w:szCs w:val="24"/>
        </w:rPr>
        <w:t>ake</w:t>
      </w:r>
      <w:r w:rsidR="00B55C1E">
        <w:rPr>
          <w:bCs/>
          <w:szCs w:val="24"/>
        </w:rPr>
        <w:t xml:space="preserve"> w</w:t>
      </w:r>
      <w:r w:rsidRPr="001C0CC8">
        <w:rPr>
          <w:bCs/>
          <w:szCs w:val="24"/>
        </w:rPr>
        <w:t>hole</w:t>
      </w:r>
      <w:r w:rsidR="00B55C1E">
        <w:rPr>
          <w:bCs/>
          <w:szCs w:val="24"/>
        </w:rPr>
        <w:t xml:space="preserve"> p</w:t>
      </w:r>
      <w:r w:rsidRPr="001C0CC8">
        <w:rPr>
          <w:bCs/>
          <w:szCs w:val="24"/>
        </w:rPr>
        <w:t>ayment calculations.  For example, if the 5-minute actual output or the “Parent” Resource is 100 MW and the Dispatch Target for the Type 1A</w:t>
      </w:r>
      <w:r w:rsidR="007950A2">
        <w:rPr>
          <w:bCs/>
          <w:szCs w:val="24"/>
        </w:rPr>
        <w:t xml:space="preserve"> Energy</w:t>
      </w:r>
      <w:r w:rsidRPr="001C0CC8">
        <w:rPr>
          <w:bCs/>
          <w:szCs w:val="24"/>
        </w:rPr>
        <w:t xml:space="preserve"> “Child” Resource was 40 MW and the Dispatch Target of the Type 1B/Type 2</w:t>
      </w:r>
      <w:r w:rsidR="007950A2">
        <w:rPr>
          <w:bCs/>
          <w:szCs w:val="24"/>
        </w:rPr>
        <w:t xml:space="preserve"> Energy “Child” Resource</w:t>
      </w:r>
      <w:r w:rsidRPr="001C0CC8">
        <w:rPr>
          <w:bCs/>
          <w:szCs w:val="24"/>
        </w:rPr>
        <w:t xml:space="preserve"> was 50 MW, then the Type 1A</w:t>
      </w:r>
      <w:r w:rsidR="007950A2">
        <w:rPr>
          <w:bCs/>
          <w:szCs w:val="24"/>
        </w:rPr>
        <w:t xml:space="preserve"> Energy “Child” Resource</w:t>
      </w:r>
      <w:r w:rsidRPr="001C0CC8">
        <w:rPr>
          <w:bCs/>
          <w:szCs w:val="24"/>
        </w:rPr>
        <w:t xml:space="preserve"> actual output is 100 MW * 40/90 = 44.4 </w:t>
      </w:r>
      <w:r w:rsidR="00B55C1E">
        <w:rPr>
          <w:bCs/>
          <w:szCs w:val="24"/>
        </w:rPr>
        <w:t>MW</w:t>
      </w:r>
      <w:r w:rsidRPr="001C0CC8">
        <w:rPr>
          <w:bCs/>
          <w:szCs w:val="24"/>
        </w:rPr>
        <w:t xml:space="preserve"> and the Type 1B/Type 2</w:t>
      </w:r>
      <w:r w:rsidR="007950A2">
        <w:rPr>
          <w:bCs/>
          <w:szCs w:val="24"/>
        </w:rPr>
        <w:t xml:space="preserve"> Energy “Child” Resource</w:t>
      </w:r>
      <w:r w:rsidRPr="001C0CC8">
        <w:rPr>
          <w:bCs/>
          <w:szCs w:val="24"/>
        </w:rPr>
        <w:t xml:space="preserve"> actual output is 100 MW * 50/90 = 56.6</w:t>
      </w:r>
      <w:r w:rsidR="00B55C1E">
        <w:rPr>
          <w:bCs/>
          <w:szCs w:val="24"/>
        </w:rPr>
        <w:t xml:space="preserve"> MW</w:t>
      </w:r>
      <w:r w:rsidRPr="001C0CC8">
        <w:rPr>
          <w:bCs/>
          <w:szCs w:val="24"/>
        </w:rPr>
        <w:t>.</w:t>
      </w:r>
    </w:p>
    <w:p w14:paraId="0E01B124" w14:textId="77777777" w:rsidR="001C0CC8" w:rsidRPr="001C0CC8" w:rsidRDefault="001C0CC8" w:rsidP="00E57989">
      <w:pPr>
        <w:numPr>
          <w:ilvl w:val="0"/>
          <w:numId w:val="336"/>
        </w:numPr>
        <w:spacing w:after="160" w:line="300" w:lineRule="auto"/>
        <w:rPr>
          <w:bCs/>
          <w:szCs w:val="24"/>
        </w:rPr>
      </w:pPr>
      <w:r w:rsidRPr="001C0CC8">
        <w:rPr>
          <w:bCs/>
          <w:szCs w:val="24"/>
        </w:rPr>
        <w:t xml:space="preserve">The Meter Agent assigned to the physical “Parent” Resource must account for all physical “Parent” Resource Energy produced in its meter data submittal for the “Parent” Resource.  </w:t>
      </w:r>
    </w:p>
    <w:p w14:paraId="7F936FB0" w14:textId="247651C6" w:rsidR="00A014E5" w:rsidRPr="0007641A" w:rsidRDefault="00A31283" w:rsidP="004A6550">
      <w:pPr>
        <w:pStyle w:val="Heading2"/>
      </w:pPr>
      <w:bookmarkStart w:id="6921" w:name="_Toc213771964"/>
      <w:r>
        <w:t>M</w:t>
      </w:r>
      <w:r w:rsidR="00A014E5" w:rsidRPr="0007641A">
        <w:t>arket Clearing</w:t>
      </w:r>
      <w:bookmarkEnd w:id="6921"/>
      <w:r w:rsidR="00A014E5" w:rsidRPr="0007641A">
        <w:t xml:space="preserve"> </w:t>
      </w:r>
    </w:p>
    <w:p w14:paraId="5630BD8E" w14:textId="40E68A42" w:rsidR="00A014E5" w:rsidRPr="0007641A" w:rsidRDefault="00A014E5" w:rsidP="00A014E5">
      <w:pPr>
        <w:spacing w:line="300" w:lineRule="auto"/>
      </w:pPr>
      <w:r w:rsidRPr="561A53C7">
        <w:t xml:space="preserve">In order to attribute Energy to a GHG Pricing Zone, the Market Operator utilizes a GHG constraint such that the total Energy attributed to a GHG Pricing Zone is greater than or equal to </w:t>
      </w:r>
      <w:r>
        <w:t>a</w:t>
      </w:r>
      <w:r w:rsidRPr="561A53C7">
        <w:t xml:space="preserve"> GHG Pricing Zone GHG Load plus losses. The Energy </w:t>
      </w:r>
      <w:r>
        <w:t>A</w:t>
      </w:r>
      <w:r w:rsidRPr="561A53C7">
        <w:t xml:space="preserve">ttribution to a GHG Pricing Zone is determined through a least cost optimization of Offers from Internal GHG Resources, Specified Source Resources, Import Interchange Transactions into </w:t>
      </w:r>
      <w:r>
        <w:t>a</w:t>
      </w:r>
      <w:r w:rsidRPr="561A53C7">
        <w:t xml:space="preserve"> GHG Pricing Zone, and Unspecified Source Imports to meet the GHG Load plus losses within </w:t>
      </w:r>
      <w:r>
        <w:t>a</w:t>
      </w:r>
      <w:r w:rsidRPr="561A53C7">
        <w:t xml:space="preserve"> GHG Pricing Zone. The market clearing</w:t>
      </w:r>
      <w:r w:rsidR="0049570D">
        <w:t xml:space="preserve"> e</w:t>
      </w:r>
      <w:r w:rsidR="00CF1FBB">
        <w:t>ngine</w:t>
      </w:r>
      <w:r w:rsidRPr="561A53C7">
        <w:t xml:space="preserve"> considers both Resource Energy Offer Curves and GHG Adders to simultaneously optimize the combined </w:t>
      </w:r>
      <w:r>
        <w:t>E</w:t>
      </w:r>
      <w:r w:rsidRPr="561A53C7">
        <w:t xml:space="preserve">nergy dispatch and </w:t>
      </w:r>
      <w:r>
        <w:t>A</w:t>
      </w:r>
      <w:r w:rsidRPr="561A53C7">
        <w:t>ttributions</w:t>
      </w:r>
      <w:r>
        <w:t>, respectively,</w:t>
      </w:r>
      <w:r w:rsidRPr="561A53C7">
        <w:t xml:space="preserve"> to </w:t>
      </w:r>
      <w:r>
        <w:t>a</w:t>
      </w:r>
      <w:r w:rsidRPr="561A53C7">
        <w:t xml:space="preserve"> GHG Pricing Zone, where GHG </w:t>
      </w:r>
      <w:r>
        <w:t>A</w:t>
      </w:r>
      <w:r w:rsidRPr="561A53C7">
        <w:t xml:space="preserve">ttribution for Internal GHG Resources and Specified Source Resources are subject to constraints applicable to the GHG participation model.  </w:t>
      </w:r>
    </w:p>
    <w:p w14:paraId="343167C5" w14:textId="0B99E882" w:rsidR="00BE3BF5" w:rsidRPr="00BE3BF5" w:rsidRDefault="00BE3BF5" w:rsidP="00CB5653">
      <w:pPr>
        <w:pStyle w:val="Heading3"/>
        <w:rPr>
          <w:rFonts w:eastAsia="Calibri"/>
        </w:rPr>
      </w:pPr>
      <w:bookmarkStart w:id="6922" w:name="_Toc193032731"/>
      <w:bookmarkStart w:id="6923" w:name="_Ref195096149"/>
      <w:bookmarkStart w:id="6924" w:name="_Ref212543168"/>
      <w:bookmarkStart w:id="6925" w:name="_Ref212560182"/>
      <w:bookmarkStart w:id="6926" w:name="_Ref212560224"/>
      <w:bookmarkStart w:id="6927" w:name="_Ref212560243"/>
      <w:bookmarkStart w:id="6928" w:name="_Ref212561454"/>
      <w:bookmarkStart w:id="6929" w:name="_Toc213771965"/>
      <w:r w:rsidRPr="00BE3BF5">
        <w:rPr>
          <w:rFonts w:eastAsia="Calibri"/>
        </w:rPr>
        <w:t>Merit Order Process for Specified Source Resources Offering Type 2 Energy</w:t>
      </w:r>
      <w:bookmarkEnd w:id="6922"/>
      <w:bookmarkEnd w:id="6923"/>
      <w:bookmarkEnd w:id="6924"/>
      <w:bookmarkEnd w:id="6925"/>
      <w:bookmarkEnd w:id="6926"/>
      <w:bookmarkEnd w:id="6927"/>
      <w:bookmarkEnd w:id="6928"/>
      <w:bookmarkEnd w:id="6929"/>
    </w:p>
    <w:p w14:paraId="6666B845" w14:textId="033540A8" w:rsidR="00BE3BF5" w:rsidRPr="00BE3BF5" w:rsidRDefault="00BE3BF5" w:rsidP="00886E13">
      <w:pPr>
        <w:numPr>
          <w:ilvl w:val="4"/>
          <w:numId w:val="343"/>
        </w:numPr>
        <w:spacing w:after="160" w:line="300" w:lineRule="auto"/>
        <w:ind w:left="720" w:hanging="720"/>
      </w:pPr>
      <w:r w:rsidRPr="00BE3BF5">
        <w:t xml:space="preserve">In the Day-Ahead Market, the merit order process will be executed for each </w:t>
      </w:r>
      <w:r w:rsidR="00A77339">
        <w:t>Operating H</w:t>
      </w:r>
      <w:r w:rsidRPr="00BE3BF5">
        <w:t xml:space="preserve">our of the upcoming Operating Day. In RTBM, the merit order process will be executed as part of the </w:t>
      </w:r>
      <w:r w:rsidR="00A77339">
        <w:t>S</w:t>
      </w:r>
      <w:r w:rsidRPr="00BE3BF5">
        <w:t>hort-</w:t>
      </w:r>
      <w:r w:rsidR="00A77339">
        <w:t>T</w:t>
      </w:r>
      <w:r w:rsidRPr="00BE3BF5">
        <w:t>erm RUC every fifteen (15) minutes, or as system availability allows.</w:t>
      </w:r>
    </w:p>
    <w:p w14:paraId="0DB828C1" w14:textId="77777777" w:rsidR="00BE3BF5" w:rsidRPr="00BE3BF5" w:rsidRDefault="00BE3BF5" w:rsidP="00886E13">
      <w:pPr>
        <w:numPr>
          <w:ilvl w:val="4"/>
          <w:numId w:val="343"/>
        </w:numPr>
        <w:spacing w:after="160" w:line="300" w:lineRule="auto"/>
        <w:ind w:left="720" w:hanging="720"/>
      </w:pPr>
      <w:r w:rsidRPr="00BE3BF5">
        <w:t>If a Market Participant with a Specified Source Resource submits a Surplus Threshold Status of “Calculate” for Type 2 Energy in its Resource Offer, the Market Operator will identify the Type 2 Energy’s Surplus Threshold using a merit order process.</w:t>
      </w:r>
    </w:p>
    <w:p w14:paraId="6D0026FD" w14:textId="77777777" w:rsidR="00BE3BF5" w:rsidRPr="00BE3BF5" w:rsidRDefault="00BE3BF5" w:rsidP="00886E13">
      <w:pPr>
        <w:numPr>
          <w:ilvl w:val="4"/>
          <w:numId w:val="343"/>
        </w:numPr>
        <w:tabs>
          <w:tab w:val="left" w:pos="3060"/>
        </w:tabs>
        <w:spacing w:after="160" w:line="300" w:lineRule="auto"/>
        <w:ind w:left="720" w:hanging="720"/>
      </w:pPr>
      <w:r w:rsidRPr="00BE3BF5">
        <w:t>The merit order process considers the Resource Offer (excluding the Specified GHG Adder</w:t>
      </w:r>
      <w:r w:rsidRPr="00BE3BF5" w:rsidDel="00985751">
        <w:t>) and</w:t>
      </w:r>
      <w:r w:rsidRPr="00BE3BF5">
        <w:t xml:space="preserve"> economically stacks Energy available to serve a Market Participant’s load obligation until the available capacity is either exhausted or has met the load obligation. If the available capacity exceeds the Market Participant’s load obligation, then a Surplus Threshold exists. If the Market Participant has submitted a Surplus Threshold associated with its Resource Offer for Type 2 Energy, that Surplus Threshold is not modified during the merit order process but is accounted for in identifying any remaining surplus to be assigned to Resources that have capacity in excess of the Market Participant’s load obligation.  </w:t>
      </w:r>
    </w:p>
    <w:p w14:paraId="39E49E90" w14:textId="07D7A6D0" w:rsidR="00BE3BF5" w:rsidRPr="00BE3BF5" w:rsidRDefault="00BE3BF5" w:rsidP="00886E13">
      <w:pPr>
        <w:numPr>
          <w:ilvl w:val="0"/>
          <w:numId w:val="410"/>
        </w:numPr>
        <w:tabs>
          <w:tab w:val="clear" w:pos="720"/>
          <w:tab w:val="left" w:pos="810"/>
          <w:tab w:val="left" w:pos="3060"/>
        </w:tabs>
        <w:spacing w:after="160" w:line="300" w:lineRule="auto"/>
        <w:ind w:left="1350" w:hanging="540"/>
        <w:contextualSpacing/>
      </w:pPr>
      <w:r w:rsidRPr="00BE3BF5">
        <w:t xml:space="preserve">For an MCR Specified Source Resource, a Surplus Threshold for each configuration must be submitted. Otherwise, the amount of surplus available will be set equal to zero </w:t>
      </w:r>
      <w:r w:rsidR="00715946">
        <w:t>(0)</w:t>
      </w:r>
      <w:r w:rsidRPr="00BE3BF5">
        <w:t xml:space="preserve"> for that configuration.</w:t>
      </w:r>
    </w:p>
    <w:p w14:paraId="12A3CE76" w14:textId="67D7BAAC" w:rsidR="00BE3BF5" w:rsidRPr="00BE3BF5" w:rsidRDefault="00BE3BF5" w:rsidP="00886E13">
      <w:pPr>
        <w:numPr>
          <w:ilvl w:val="0"/>
          <w:numId w:val="410"/>
        </w:numPr>
        <w:tabs>
          <w:tab w:val="clear" w:pos="720"/>
          <w:tab w:val="left" w:pos="3060"/>
        </w:tabs>
        <w:spacing w:after="160" w:line="300" w:lineRule="auto"/>
        <w:ind w:left="1350" w:hanging="540"/>
        <w:contextualSpacing/>
      </w:pPr>
      <w:r w:rsidRPr="00BE3BF5">
        <w:t xml:space="preserve">The MCR Specified Source Resource Offer associated </w:t>
      </w:r>
      <w:r w:rsidRPr="00BE3BF5" w:rsidDel="006B2E19">
        <w:t xml:space="preserve">with the </w:t>
      </w:r>
      <w:r w:rsidRPr="00BE3BF5">
        <w:t xml:space="preserve">largest </w:t>
      </w:r>
      <w:r w:rsidR="00C310E8">
        <w:t>Max ECOL</w:t>
      </w:r>
      <w:r w:rsidRPr="00BE3BF5">
        <w:t xml:space="preserve"> of the available configurations will be used in the merit order.</w:t>
      </w:r>
    </w:p>
    <w:p w14:paraId="313437AB" w14:textId="77777777" w:rsidR="00BE3BF5" w:rsidRPr="00BE3BF5" w:rsidRDefault="00BE3BF5" w:rsidP="00886E13">
      <w:pPr>
        <w:numPr>
          <w:ilvl w:val="0"/>
          <w:numId w:val="410"/>
        </w:numPr>
        <w:tabs>
          <w:tab w:val="clear" w:pos="720"/>
          <w:tab w:val="num" w:pos="2430"/>
        </w:tabs>
        <w:spacing w:after="160" w:line="300" w:lineRule="auto"/>
        <w:ind w:left="1350" w:hanging="540"/>
        <w:contextualSpacing/>
      </w:pPr>
      <w:r w:rsidRPr="00BE3BF5">
        <w:t>A Market Participant’s load obligation for the Day-Ahead Market is equal to:</w:t>
      </w:r>
    </w:p>
    <w:p w14:paraId="3B487ACE" w14:textId="77777777" w:rsidR="00BE3BF5" w:rsidRPr="00BE3BF5" w:rsidRDefault="00BE3BF5" w:rsidP="00886E13">
      <w:pPr>
        <w:spacing w:line="300" w:lineRule="auto"/>
        <w:ind w:left="1350"/>
        <w:contextualSpacing/>
      </w:pPr>
      <w:r w:rsidRPr="00BE3BF5">
        <w:t>Market Participant Mid-Term Load Forecast – Purchases + Sales + WRAP Operations Program Hourly Holdback + MSR’s Minimum Charge Limit with a Commitment Status of Self.</w:t>
      </w:r>
    </w:p>
    <w:p w14:paraId="669C08F3" w14:textId="16C69244" w:rsidR="00BE3BF5" w:rsidRPr="00BE3BF5" w:rsidRDefault="00BE3BF5" w:rsidP="00886E13">
      <w:pPr>
        <w:spacing w:line="300" w:lineRule="auto"/>
        <w:ind w:left="1530" w:hanging="450"/>
      </w:pPr>
      <w:r w:rsidRPr="00BE3BF5">
        <w:t>(i)</w:t>
      </w:r>
      <w:r w:rsidRPr="00BE3BF5">
        <w:tab/>
        <w:t xml:space="preserve">Purchases are equal to internal contract purchases.  An Import Interchange Transaction not related to a WRAP </w:t>
      </w:r>
      <w:r w:rsidR="00197A24" w:rsidRPr="00BE3BF5">
        <w:t>Operations Program Hourly Holdback</w:t>
      </w:r>
      <w:r w:rsidR="00197A24" w:rsidRPr="00BE3BF5" w:rsidDel="00197A24">
        <w:t xml:space="preserve"> </w:t>
      </w:r>
      <w:r w:rsidRPr="00BE3BF5">
        <w:t>is included as a Resource in the merit order stack.</w:t>
      </w:r>
    </w:p>
    <w:p w14:paraId="0B10437F" w14:textId="26976FF9" w:rsidR="00BE3BF5" w:rsidRPr="00BE3BF5" w:rsidRDefault="00BE3BF5" w:rsidP="00886E13">
      <w:pPr>
        <w:spacing w:line="300" w:lineRule="auto"/>
        <w:ind w:left="1530" w:hanging="450"/>
        <w:rPr>
          <w:rFonts w:ascii="Aptos" w:eastAsia="Yu Mincho" w:hAnsi="Aptos" w:cs="Arial"/>
          <w:sz w:val="21"/>
          <w:szCs w:val="21"/>
        </w:rPr>
      </w:pPr>
      <w:r w:rsidRPr="00BE3BF5">
        <w:t>(ii)</w:t>
      </w:r>
      <w:r w:rsidRPr="00BE3BF5">
        <w:tab/>
        <w:t xml:space="preserve">Sales include internal contract sales. Self-Scheduled Export Interchange Transactions not related to WRAP </w:t>
      </w:r>
      <w:r w:rsidR="00197A24" w:rsidRPr="00BE3BF5">
        <w:t>Operations Program Hourly Holdback</w:t>
      </w:r>
      <w:r w:rsidRPr="00BE3BF5">
        <w:t xml:space="preserve"> are also included.</w:t>
      </w:r>
    </w:p>
    <w:p w14:paraId="09FA2439" w14:textId="77777777" w:rsidR="00BE3BF5" w:rsidRPr="00BE3BF5" w:rsidRDefault="00BE3BF5" w:rsidP="00886E13">
      <w:pPr>
        <w:numPr>
          <w:ilvl w:val="0"/>
          <w:numId w:val="410"/>
        </w:numPr>
        <w:tabs>
          <w:tab w:val="clear" w:pos="720"/>
        </w:tabs>
        <w:spacing w:after="160" w:line="300" w:lineRule="auto"/>
        <w:ind w:left="1260" w:hanging="450"/>
        <w:contextualSpacing/>
      </w:pPr>
      <w:r w:rsidRPr="00BE3BF5">
        <w:t>A Market Participant’s load obligation for the RTBM is equal to:</w:t>
      </w:r>
    </w:p>
    <w:p w14:paraId="5C4C6450" w14:textId="77777777" w:rsidR="00BE3BF5" w:rsidRPr="00BE3BF5" w:rsidRDefault="00BE3BF5" w:rsidP="00886E13">
      <w:pPr>
        <w:spacing w:line="300" w:lineRule="auto"/>
        <w:ind w:left="1350"/>
        <w:contextualSpacing/>
      </w:pPr>
      <w:r w:rsidRPr="00BE3BF5">
        <w:t>Market Participant Short-Term Load Forecast – Purchases + Sales + WRAP Operations Program Hourly Holdback + MSR’s Minimum Charge Limit with a Commitment Status of Self.</w:t>
      </w:r>
    </w:p>
    <w:p w14:paraId="79B14772" w14:textId="575E55B0" w:rsidR="00BE3BF5" w:rsidRPr="00BE3BF5" w:rsidRDefault="00BE3BF5" w:rsidP="00886E13">
      <w:pPr>
        <w:spacing w:line="300" w:lineRule="auto"/>
        <w:ind w:left="1530" w:hanging="450"/>
      </w:pPr>
      <w:r w:rsidRPr="00BE3BF5">
        <w:t>(i)</w:t>
      </w:r>
      <w:r w:rsidRPr="00BE3BF5">
        <w:tab/>
        <w:t xml:space="preserve">Purchases include internal contract purchases. An Import Interchange Transaction not related to a WRAP </w:t>
      </w:r>
      <w:r w:rsidR="00197A24" w:rsidRPr="00BE3BF5">
        <w:t>Operations Program Hourly Holdback</w:t>
      </w:r>
      <w:r w:rsidRPr="00BE3BF5">
        <w:t xml:space="preserve"> is included as a Resource in the merit order stack</w:t>
      </w:r>
      <w:r w:rsidR="00886E13">
        <w:t>.</w:t>
      </w:r>
      <w:r w:rsidRPr="00BE3BF5">
        <w:t xml:space="preserve"> </w:t>
      </w:r>
    </w:p>
    <w:p w14:paraId="210EE052" w14:textId="762D5961" w:rsidR="00BE3BF5" w:rsidRPr="00BE3BF5" w:rsidRDefault="00BE3BF5" w:rsidP="00886E13">
      <w:pPr>
        <w:spacing w:line="300" w:lineRule="auto"/>
        <w:ind w:left="1530" w:hanging="450"/>
        <w:rPr>
          <w:rFonts w:ascii="Aptos" w:eastAsia="Yu Mincho" w:hAnsi="Aptos" w:cs="Arial"/>
          <w:sz w:val="21"/>
          <w:szCs w:val="21"/>
        </w:rPr>
      </w:pPr>
      <w:r w:rsidRPr="00BE3BF5">
        <w:t>(ii)</w:t>
      </w:r>
      <w:r w:rsidRPr="00BE3BF5">
        <w:tab/>
        <w:t xml:space="preserve">Sales include internal contract sales.  Self-Scheduled Export Interchange Transaction not related to WRAP </w:t>
      </w:r>
      <w:r w:rsidR="00197A24" w:rsidRPr="00BE3BF5">
        <w:t>Operations Program Hourly Holdback</w:t>
      </w:r>
      <w:r w:rsidR="00197A24" w:rsidRPr="00BE3BF5" w:rsidDel="00197A24">
        <w:t xml:space="preserve"> </w:t>
      </w:r>
      <w:r w:rsidRPr="00BE3BF5">
        <w:t>are also included.</w:t>
      </w:r>
    </w:p>
    <w:p w14:paraId="2F404011" w14:textId="6371D499" w:rsidR="00A014E5" w:rsidRDefault="00A014E5" w:rsidP="00A014E5">
      <w:pPr>
        <w:tabs>
          <w:tab w:val="left" w:pos="3060"/>
        </w:tabs>
        <w:spacing w:line="300" w:lineRule="auto"/>
        <w:ind w:left="720"/>
      </w:pPr>
      <w:r>
        <w:t>For example, using the Resource Energy Offer Curves described under Exhibit 5-4, the Market Operator creates a merit order stack, as shown in Exhibit 5-1. In this example, the Market Participant’s load obligation is 900 MW, and the total available capacity is 1</w:t>
      </w:r>
      <w:r w:rsidR="00772435">
        <w:t>,</w:t>
      </w:r>
      <w:r>
        <w:t xml:space="preserve">200 MW. The yellow highlighted row in Exhibit 5-1 identifies when the total cumulative capacity in the merit order stack is equal to the Market Participant’s load obligation. Because this example assumes that there are no Surplus Thresholds submitted, any capacity above the 900 MW load obligation is surplus capacity that is available to be attributed to a GHG Pricing Zone. Resource R3 is a 500 MW Resource with a surplus of 100 MW, therefore the Surplus Threshold for Resource R3 is equal to 400 MW.  Resource R4 is a 200 MW Resource with 200 MW of surplus, therefore the Surplus Threshold for Resource R4 is 0 MW. </w:t>
      </w:r>
      <w:r>
        <w:tab/>
      </w:r>
    </w:p>
    <w:p w14:paraId="4EE6A20B" w14:textId="77777777" w:rsidR="00A014E5" w:rsidRDefault="00A014E5" w:rsidP="00A014E5">
      <w:pPr>
        <w:tabs>
          <w:tab w:val="left" w:pos="3060"/>
        </w:tabs>
        <w:spacing w:line="300" w:lineRule="auto"/>
        <w:jc w:val="center"/>
        <w:rPr>
          <w:b/>
          <w:bCs/>
        </w:rPr>
      </w:pPr>
    </w:p>
    <w:p w14:paraId="00E35FFC" w14:textId="77777777" w:rsidR="00A014E5" w:rsidRDefault="00A014E5" w:rsidP="00A014E5">
      <w:pPr>
        <w:rPr>
          <w:b/>
          <w:bCs/>
        </w:rPr>
      </w:pPr>
      <w:r>
        <w:rPr>
          <w:b/>
          <w:bCs/>
        </w:rPr>
        <w:br w:type="page"/>
      </w:r>
    </w:p>
    <w:p w14:paraId="46E19FF8" w14:textId="1E6533B1" w:rsidR="00A31283" w:rsidRPr="00455FB8" w:rsidRDefault="00A31283" w:rsidP="00A31283">
      <w:pPr>
        <w:jc w:val="center"/>
      </w:pPr>
      <w:bookmarkStart w:id="6930" w:name="_Toc213772417"/>
      <w:r w:rsidRPr="003F17A1">
        <w:rPr>
          <w:b/>
          <w:szCs w:val="24"/>
        </w:rPr>
        <w:t xml:space="preserve">Exhibit </w:t>
      </w:r>
      <w:r w:rsidRPr="003F17A1">
        <w:rPr>
          <w:b/>
          <w:szCs w:val="24"/>
        </w:rPr>
        <w:fldChar w:fldCharType="begin"/>
      </w:r>
      <w:r w:rsidRPr="003F17A1">
        <w:rPr>
          <w:b/>
          <w:szCs w:val="24"/>
        </w:rPr>
        <w:instrText xml:space="preserve"> STYLEREF 1 \s </w:instrText>
      </w:r>
      <w:r w:rsidRPr="003F17A1">
        <w:rPr>
          <w:b/>
          <w:szCs w:val="24"/>
        </w:rPr>
        <w:fldChar w:fldCharType="separate"/>
      </w:r>
      <w:r>
        <w:rPr>
          <w:b/>
          <w:noProof/>
          <w:szCs w:val="24"/>
        </w:rPr>
        <w:t>5</w:t>
      </w:r>
      <w:r w:rsidRPr="003F17A1">
        <w:rPr>
          <w:b/>
          <w:szCs w:val="24"/>
        </w:rPr>
        <w:fldChar w:fldCharType="end"/>
      </w:r>
      <w:r w:rsidRPr="003F17A1">
        <w:rPr>
          <w:b/>
          <w:szCs w:val="24"/>
        </w:rPr>
        <w:noBreakHyphen/>
      </w:r>
      <w:r w:rsidRPr="003F17A1">
        <w:rPr>
          <w:b/>
          <w:szCs w:val="24"/>
        </w:rPr>
        <w:fldChar w:fldCharType="begin"/>
      </w:r>
      <w:r w:rsidRPr="003F17A1">
        <w:rPr>
          <w:b/>
          <w:szCs w:val="24"/>
        </w:rPr>
        <w:instrText xml:space="preserve"> SEQ Exhibit \* ARABIC \s 1 </w:instrText>
      </w:r>
      <w:r w:rsidRPr="003F17A1">
        <w:rPr>
          <w:b/>
          <w:szCs w:val="24"/>
        </w:rPr>
        <w:fldChar w:fldCharType="separate"/>
      </w:r>
      <w:r>
        <w:rPr>
          <w:b/>
          <w:noProof/>
          <w:szCs w:val="24"/>
        </w:rPr>
        <w:t>1</w:t>
      </w:r>
      <w:r w:rsidRPr="003F17A1">
        <w:rPr>
          <w:b/>
          <w:szCs w:val="24"/>
        </w:rPr>
        <w:fldChar w:fldCharType="end"/>
      </w:r>
      <w:r w:rsidRPr="003F17A1">
        <w:rPr>
          <w:b/>
          <w:szCs w:val="24"/>
        </w:rPr>
        <w:t xml:space="preserve">: </w:t>
      </w:r>
      <w:r w:rsidRPr="00C34F7F">
        <w:rPr>
          <w:b/>
          <w:bCs/>
        </w:rPr>
        <w:t xml:space="preserve">Merit Order Example with no Submitted Surplus </w:t>
      </w:r>
      <w:r w:rsidRPr="00F073E6">
        <w:rPr>
          <w:b/>
          <w:bCs/>
        </w:rPr>
        <w:t>Threshold</w:t>
      </w:r>
      <w:bookmarkEnd w:id="6930"/>
    </w:p>
    <w:p w14:paraId="69D916C5" w14:textId="77777777" w:rsidR="00A31283" w:rsidRDefault="00A31283" w:rsidP="00A014E5">
      <w:pPr>
        <w:tabs>
          <w:tab w:val="left" w:pos="3060"/>
        </w:tabs>
        <w:spacing w:line="300" w:lineRule="auto"/>
        <w:jc w:val="center"/>
        <w:rPr>
          <w:b/>
          <w:bCs/>
        </w:rPr>
      </w:pPr>
    </w:p>
    <w:p w14:paraId="68E0FEEE" w14:textId="77777777" w:rsidR="00A014E5" w:rsidRDefault="00A014E5" w:rsidP="00A014E5">
      <w:pPr>
        <w:tabs>
          <w:tab w:val="left" w:pos="3060"/>
        </w:tabs>
        <w:spacing w:line="300" w:lineRule="auto"/>
        <w:jc w:val="center"/>
      </w:pPr>
      <w:r w:rsidRPr="00C0742E">
        <w:rPr>
          <w:noProof/>
        </w:rPr>
        <w:drawing>
          <wp:inline distT="0" distB="0" distL="0" distR="0" wp14:anchorId="767F52F2" wp14:editId="0D9DF911">
            <wp:extent cx="4912360" cy="3822700"/>
            <wp:effectExtent l="0" t="0" r="2540" b="6350"/>
            <wp:docPr id="19046709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2360" cy="3822700"/>
                    </a:xfrm>
                    <a:prstGeom prst="rect">
                      <a:avLst/>
                    </a:prstGeom>
                    <a:noFill/>
                    <a:ln>
                      <a:noFill/>
                    </a:ln>
                  </pic:spPr>
                </pic:pic>
              </a:graphicData>
            </a:graphic>
          </wp:inline>
        </w:drawing>
      </w:r>
    </w:p>
    <w:p w14:paraId="1AA0E8E9" w14:textId="77777777" w:rsidR="00A014E5" w:rsidRDefault="00A014E5" w:rsidP="00A014E5">
      <w:pPr>
        <w:tabs>
          <w:tab w:val="left" w:pos="3060"/>
        </w:tabs>
        <w:spacing w:line="300" w:lineRule="auto"/>
      </w:pPr>
    </w:p>
    <w:p w14:paraId="2A13F8C7" w14:textId="2D5BC2EA" w:rsidR="00A014E5" w:rsidRDefault="00A014E5" w:rsidP="00A014E5">
      <w:pPr>
        <w:tabs>
          <w:tab w:val="left" w:pos="3060"/>
        </w:tabs>
        <w:spacing w:line="300" w:lineRule="auto"/>
        <w:ind w:left="720"/>
      </w:pPr>
      <w:r>
        <w:t xml:space="preserve">Exhibit 5-2 shows an example of how Surplus Thresholds are calculated assuming that a Surplus Threshold is submitted for Resource R1 and R2, as indicated by the green highlighted rows.  Because there are now 125 MW of surplus accounted for through the submission of the two </w:t>
      </w:r>
      <w:r w:rsidR="00FB2641">
        <w:t>(2)</w:t>
      </w:r>
      <w:r>
        <w:t xml:space="preserve"> Surplus Thresholds, the first 125 MW of surplus above the 900 MW load obligation is not assigned as surplus Energy, leaving a total of 175 MW of surplus to be assigned.  The 175 MW of surplus results in a Surplus Threshold for Resource R3 of 500 MW, because now 0 MW of surplus exists, and a Surplus Threshold of 25 MW, because the amount of surplus remaining on Resource R4 is now 175 MW. </w:t>
      </w:r>
      <w:r>
        <w:tab/>
      </w:r>
    </w:p>
    <w:p w14:paraId="5B3BC4BB" w14:textId="77777777" w:rsidR="00A014E5" w:rsidRDefault="00A014E5" w:rsidP="00A014E5">
      <w:pPr>
        <w:tabs>
          <w:tab w:val="left" w:pos="3060"/>
        </w:tabs>
        <w:spacing w:line="300" w:lineRule="auto"/>
      </w:pPr>
    </w:p>
    <w:p w14:paraId="1EF71CFE" w14:textId="77777777" w:rsidR="00A014E5" w:rsidRDefault="00A014E5" w:rsidP="00A014E5">
      <w:pPr>
        <w:tabs>
          <w:tab w:val="left" w:pos="3060"/>
        </w:tabs>
        <w:spacing w:line="300" w:lineRule="auto"/>
      </w:pPr>
    </w:p>
    <w:p w14:paraId="091FF4B3" w14:textId="77777777" w:rsidR="00A014E5" w:rsidRDefault="00A014E5" w:rsidP="00A014E5">
      <w:pPr>
        <w:tabs>
          <w:tab w:val="left" w:pos="3060"/>
        </w:tabs>
        <w:spacing w:line="300" w:lineRule="auto"/>
      </w:pPr>
    </w:p>
    <w:p w14:paraId="29FB21E3" w14:textId="77777777" w:rsidR="00A014E5" w:rsidRDefault="00A014E5" w:rsidP="00A014E5">
      <w:pPr>
        <w:tabs>
          <w:tab w:val="left" w:pos="3060"/>
        </w:tabs>
        <w:spacing w:line="300" w:lineRule="auto"/>
      </w:pPr>
    </w:p>
    <w:p w14:paraId="6234DEC2" w14:textId="18496DA9" w:rsidR="00A31283" w:rsidRPr="00455FB8" w:rsidRDefault="00A31283" w:rsidP="00A31283">
      <w:pPr>
        <w:jc w:val="center"/>
      </w:pPr>
      <w:bookmarkStart w:id="6931" w:name="_Toc213772418"/>
      <w:r w:rsidRPr="003F17A1">
        <w:rPr>
          <w:b/>
          <w:szCs w:val="24"/>
        </w:rPr>
        <w:t xml:space="preserve">Exhibit </w:t>
      </w:r>
      <w:r w:rsidRPr="003F17A1">
        <w:rPr>
          <w:b/>
          <w:szCs w:val="24"/>
        </w:rPr>
        <w:fldChar w:fldCharType="begin"/>
      </w:r>
      <w:r w:rsidRPr="003F17A1">
        <w:rPr>
          <w:b/>
          <w:szCs w:val="24"/>
        </w:rPr>
        <w:instrText xml:space="preserve"> STYLEREF 1 \s </w:instrText>
      </w:r>
      <w:r w:rsidRPr="003F17A1">
        <w:rPr>
          <w:b/>
          <w:szCs w:val="24"/>
        </w:rPr>
        <w:fldChar w:fldCharType="separate"/>
      </w:r>
      <w:r>
        <w:rPr>
          <w:b/>
          <w:noProof/>
          <w:szCs w:val="24"/>
        </w:rPr>
        <w:t>5</w:t>
      </w:r>
      <w:r w:rsidRPr="003F17A1">
        <w:rPr>
          <w:b/>
          <w:szCs w:val="24"/>
        </w:rPr>
        <w:fldChar w:fldCharType="end"/>
      </w:r>
      <w:r w:rsidRPr="003F17A1">
        <w:rPr>
          <w:b/>
          <w:szCs w:val="24"/>
        </w:rPr>
        <w:noBreakHyphen/>
      </w:r>
      <w:r w:rsidRPr="003F17A1">
        <w:rPr>
          <w:b/>
          <w:szCs w:val="24"/>
        </w:rPr>
        <w:fldChar w:fldCharType="begin"/>
      </w:r>
      <w:r w:rsidRPr="003F17A1">
        <w:rPr>
          <w:b/>
          <w:szCs w:val="24"/>
        </w:rPr>
        <w:instrText xml:space="preserve"> SEQ Exhibit \* ARABIC \s 1 </w:instrText>
      </w:r>
      <w:r w:rsidRPr="003F17A1">
        <w:rPr>
          <w:b/>
          <w:szCs w:val="24"/>
        </w:rPr>
        <w:fldChar w:fldCharType="separate"/>
      </w:r>
      <w:r>
        <w:rPr>
          <w:b/>
          <w:noProof/>
          <w:szCs w:val="24"/>
        </w:rPr>
        <w:t>2</w:t>
      </w:r>
      <w:r w:rsidRPr="003F17A1">
        <w:rPr>
          <w:b/>
          <w:szCs w:val="24"/>
        </w:rPr>
        <w:fldChar w:fldCharType="end"/>
      </w:r>
      <w:r w:rsidRPr="003F17A1">
        <w:rPr>
          <w:b/>
          <w:szCs w:val="24"/>
        </w:rPr>
        <w:t xml:space="preserve">: </w:t>
      </w:r>
      <w:r w:rsidRPr="00C34F7F">
        <w:rPr>
          <w:b/>
          <w:bCs/>
        </w:rPr>
        <w:t xml:space="preserve">Merit Order Example with Submitted Surplus </w:t>
      </w:r>
      <w:r w:rsidRPr="00F073E6">
        <w:rPr>
          <w:b/>
          <w:bCs/>
        </w:rPr>
        <w:t>Threshold</w:t>
      </w:r>
      <w:bookmarkEnd w:id="6931"/>
    </w:p>
    <w:p w14:paraId="6C0797BB" w14:textId="77777777" w:rsidR="00A014E5" w:rsidRDefault="00A014E5" w:rsidP="00A014E5">
      <w:pPr>
        <w:tabs>
          <w:tab w:val="left" w:pos="3060"/>
        </w:tabs>
        <w:spacing w:line="300" w:lineRule="auto"/>
        <w:jc w:val="center"/>
      </w:pPr>
      <w:r w:rsidRPr="00BD0146">
        <w:rPr>
          <w:noProof/>
        </w:rPr>
        <w:drawing>
          <wp:inline distT="0" distB="0" distL="0" distR="0" wp14:anchorId="0068AB11" wp14:editId="4A774CE5">
            <wp:extent cx="4883150" cy="3822700"/>
            <wp:effectExtent l="0" t="0" r="0" b="6350"/>
            <wp:docPr id="1837110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83150" cy="3822700"/>
                    </a:xfrm>
                    <a:prstGeom prst="rect">
                      <a:avLst/>
                    </a:prstGeom>
                    <a:noFill/>
                    <a:ln>
                      <a:noFill/>
                    </a:ln>
                  </pic:spPr>
                </pic:pic>
              </a:graphicData>
            </a:graphic>
          </wp:inline>
        </w:drawing>
      </w:r>
    </w:p>
    <w:p w14:paraId="7A54D0CC" w14:textId="77777777" w:rsidR="00A014E5" w:rsidRDefault="00A014E5" w:rsidP="00A014E5">
      <w:pPr>
        <w:tabs>
          <w:tab w:val="left" w:pos="3060"/>
        </w:tabs>
        <w:spacing w:line="300" w:lineRule="auto"/>
        <w:ind w:left="1260"/>
      </w:pPr>
    </w:p>
    <w:p w14:paraId="22DB29A8" w14:textId="77777777" w:rsidR="00A014E5" w:rsidRPr="0007641A" w:rsidRDefault="00A014E5" w:rsidP="00A014E5">
      <w:pPr>
        <w:numPr>
          <w:ilvl w:val="4"/>
          <w:numId w:val="343"/>
        </w:numPr>
        <w:tabs>
          <w:tab w:val="left" w:pos="3060"/>
        </w:tabs>
        <w:spacing w:line="300" w:lineRule="auto"/>
        <w:ind w:left="720" w:hanging="720"/>
      </w:pPr>
      <w:r w:rsidRPr="0007641A">
        <w:t xml:space="preserve">In economically stacking the available Energy, the Market Operator creates a merit order stack of a Market Participant’s Resources using only the Energy Offer Curve without the Specified GHG Adder to meet the Market Participant’s load obligations. Any Energy remaining in the merit order stack </w:t>
      </w:r>
      <w:r>
        <w:t>that is less than or equal to the Type 2 Energy Maximum Quantity</w:t>
      </w:r>
      <w:r w:rsidRPr="0007641A">
        <w:t xml:space="preserve"> once the load obligation is met becomes surplus </w:t>
      </w:r>
      <w:r>
        <w:t>Type 2</w:t>
      </w:r>
      <w:r w:rsidRPr="0007641A">
        <w:t xml:space="preserve"> Energy that is available to be attributed to a GHG Pricing Zone.  </w:t>
      </w:r>
    </w:p>
    <w:p w14:paraId="4CD9DC23" w14:textId="34514886" w:rsidR="00A014E5" w:rsidRPr="0007641A" w:rsidRDefault="00A014E5" w:rsidP="00A014E5">
      <w:pPr>
        <w:numPr>
          <w:ilvl w:val="4"/>
          <w:numId w:val="343"/>
        </w:numPr>
        <w:tabs>
          <w:tab w:val="left" w:pos="3060"/>
        </w:tabs>
        <w:spacing w:line="300" w:lineRule="auto"/>
        <w:ind w:left="720" w:hanging="720"/>
      </w:pPr>
      <w:r w:rsidRPr="0007641A">
        <w:t xml:space="preserve">First, the Market Operator runs an initial optimization using the identified </w:t>
      </w:r>
      <w:r>
        <w:t xml:space="preserve">Type 2 Energy </w:t>
      </w:r>
      <w:r w:rsidRPr="0007641A">
        <w:t xml:space="preserve">surplus </w:t>
      </w:r>
      <w:r>
        <w:t>determined in (4) above</w:t>
      </w:r>
      <w:r w:rsidRPr="0007641A">
        <w:t xml:space="preserve">. The initial run </w:t>
      </w:r>
      <w:r>
        <w:t xml:space="preserve">determines if a Resource’s Type 2 Energy will be available for Attribution to a GHG Pricing Zone by determining if cleared </w:t>
      </w:r>
      <w:r w:rsidR="00CA4026">
        <w:t>or dispatched</w:t>
      </w:r>
      <w:r>
        <w:t xml:space="preserve"> Energy is anticipated above its Surplus Threshold and Type 2 Energy is attributed to a GHG Pricing Zone</w:t>
      </w:r>
      <w:r w:rsidRPr="0007641A">
        <w:t xml:space="preserve">.  </w:t>
      </w:r>
      <w:r>
        <w:t>Resources with anticipated A</w:t>
      </w:r>
      <w:r w:rsidRPr="0007641A">
        <w:t xml:space="preserve">ttribution of Type 2 Energy from Specified Source Resources from this run </w:t>
      </w:r>
      <w:r>
        <w:t xml:space="preserve">are made </w:t>
      </w:r>
      <w:r w:rsidRPr="0007641A">
        <w:t xml:space="preserve">available for </w:t>
      </w:r>
      <w:r>
        <w:t>Type 2 Energy A</w:t>
      </w:r>
      <w:r w:rsidRPr="0007641A">
        <w:t>ttribution in the second run</w:t>
      </w:r>
      <w:r>
        <w:t xml:space="preserve"> up to the amount of the anticipated Type 2 Energy Attribution in the first solve</w:t>
      </w:r>
      <w:r w:rsidRPr="0007641A">
        <w:t xml:space="preserve">.  </w:t>
      </w:r>
      <w:r>
        <w:t xml:space="preserve">To the extent that the anticipated Attribution is greater than the Type 2 Energy Maximum Quantity, then the anticipated Attribution is set equal to the Type 2 Energy Maximum Quantity. </w:t>
      </w:r>
      <w:r w:rsidRPr="0007641A">
        <w:t xml:space="preserve">  </w:t>
      </w:r>
    </w:p>
    <w:p w14:paraId="5CDEF6D7" w14:textId="77777777" w:rsidR="00A014E5" w:rsidRPr="0007641A" w:rsidRDefault="00A014E5" w:rsidP="00A014E5">
      <w:pPr>
        <w:numPr>
          <w:ilvl w:val="4"/>
          <w:numId w:val="343"/>
        </w:numPr>
        <w:tabs>
          <w:tab w:val="left" w:pos="3060"/>
        </w:tabs>
        <w:spacing w:line="300" w:lineRule="auto"/>
        <w:ind w:left="720" w:hanging="720"/>
      </w:pPr>
      <w:r w:rsidRPr="0007641A">
        <w:t xml:space="preserve">Second, the Market Operator makes a second optimization run using the </w:t>
      </w:r>
      <w:r>
        <w:t xml:space="preserve">first step’s limitation on </w:t>
      </w:r>
      <w:r w:rsidRPr="0007641A">
        <w:t xml:space="preserve">surplus </w:t>
      </w:r>
      <w:r>
        <w:t xml:space="preserve">Type 2 </w:t>
      </w:r>
      <w:r w:rsidRPr="0007641A">
        <w:t xml:space="preserve">Energy </w:t>
      </w:r>
      <w:r>
        <w:t xml:space="preserve">Attribution </w:t>
      </w:r>
      <w:r w:rsidRPr="0007641A">
        <w:t xml:space="preserve">from the first run </w:t>
      </w:r>
      <w:r>
        <w:t xml:space="preserve">and excluding the Resource Surplus Threshold constraints on attributed Type 2 Energy </w:t>
      </w:r>
      <w:r w:rsidRPr="0007641A">
        <w:t xml:space="preserve">to arrive at a final </w:t>
      </w:r>
      <w:r>
        <w:t xml:space="preserve">Energy </w:t>
      </w:r>
      <w:r w:rsidRPr="0007641A">
        <w:t xml:space="preserve">dispatch to meet </w:t>
      </w:r>
      <w:r>
        <w:t>market-wide load and</w:t>
      </w:r>
      <w:r w:rsidRPr="0007641A">
        <w:t xml:space="preserve"> GHG </w:t>
      </w:r>
      <w:r>
        <w:t xml:space="preserve">Attribution to meet GHG </w:t>
      </w:r>
      <w:r w:rsidRPr="0007641A">
        <w:t xml:space="preserve">Load.  This second run is required because, in the first run, the optimization could potentially dispatch uneconomic Energy </w:t>
      </w:r>
      <w:r>
        <w:t xml:space="preserve">(but for GHG needs) </w:t>
      </w:r>
      <w:r w:rsidRPr="0007641A">
        <w:t xml:space="preserve">in order to meet the calculated Surplus Threshold to gain access to less expensive Energy that is available to be attributed to a GHG Pricing Zone. By setting the surplus using the GHG Load </w:t>
      </w:r>
      <w:r>
        <w:t>Attribution</w:t>
      </w:r>
      <w:r w:rsidRPr="0007641A">
        <w:t xml:space="preserve"> from the first run and allowing the surplus Energy to be attributed to a GHG Pricing Zone at any point within the dispatch (</w:t>
      </w:r>
      <w:r w:rsidRPr="0007641A">
        <w:rPr>
          <w:i/>
        </w:rPr>
        <w:t>i.e</w:t>
      </w:r>
      <w:r w:rsidRPr="0007641A">
        <w:t xml:space="preserve">., </w:t>
      </w:r>
      <w:r>
        <w:t>A</w:t>
      </w:r>
      <w:r w:rsidRPr="0007641A">
        <w:t>ttribution is not limited to Energy above a Surplus Threshold), the final dispatch solution will</w:t>
      </w:r>
      <w:r>
        <w:t xml:space="preserve"> not have the uncompensated, uneconomic Energy described earlier in the paragraph</w:t>
      </w:r>
      <w:r w:rsidRPr="0007641A">
        <w:t>.</w:t>
      </w:r>
    </w:p>
    <w:p w14:paraId="70B084EC" w14:textId="3EE2222C" w:rsidR="00A014E5" w:rsidRPr="0007641A" w:rsidRDefault="00A014E5" w:rsidP="004A6550">
      <w:pPr>
        <w:pStyle w:val="Heading2"/>
      </w:pPr>
      <w:bookmarkStart w:id="6932" w:name="_Toc213771966"/>
      <w:r w:rsidRPr="0007641A">
        <w:t>Calculation of Marginal GHG Price</w:t>
      </w:r>
      <w:bookmarkEnd w:id="6932"/>
    </w:p>
    <w:p w14:paraId="3EE84460" w14:textId="77777777" w:rsidR="00A014E5" w:rsidRPr="0007641A" w:rsidRDefault="00A014E5" w:rsidP="00A014E5">
      <w:pPr>
        <w:spacing w:line="300" w:lineRule="auto"/>
      </w:pPr>
      <w:r w:rsidRPr="0007641A">
        <w:t xml:space="preserve">The Marginal GHG Price is the Shadow Price of </w:t>
      </w:r>
      <w:r>
        <w:t>a</w:t>
      </w:r>
      <w:r w:rsidRPr="0007641A">
        <w:t xml:space="preserve"> GHG Pricing Zone power balance constraint.  This power balance constraint acts in combination with global power balance constraint. The GHG Pricing Zone power balance constraint requires that the sum of the attributed MWs to a GHG Pricing Zone must be greater than or equal the associated GHG Load plus losses.  The Marginal GHG Price is calculated directly and is not a component of LMP.  The Shadow Price of</w:t>
      </w:r>
      <w:r w:rsidRPr="0007641A" w:rsidDel="00E24A15">
        <w:t xml:space="preserve"> </w:t>
      </w:r>
      <w:r>
        <w:t>a</w:t>
      </w:r>
      <w:r w:rsidRPr="0007641A">
        <w:t xml:space="preserve"> GHG Pricing Zone power balance constraint is equal to the increase in production cost, in $/MWh that is realized by increasing the GHG Load associated with a GHG Pricing Zone by 1 MW, thus causing an additional MW of Resource </w:t>
      </w:r>
      <w:r>
        <w:t>A</w:t>
      </w:r>
      <w:r w:rsidRPr="0007641A">
        <w:t xml:space="preserve">ttribution to </w:t>
      </w:r>
      <w:r>
        <w:t>a</w:t>
      </w:r>
      <w:r w:rsidRPr="0007641A">
        <w:t xml:space="preserve"> GHG Pricing Zone.</w:t>
      </w:r>
    </w:p>
    <w:p w14:paraId="6F93ED6A" w14:textId="77777777" w:rsidR="00A014E5" w:rsidRPr="0007641A" w:rsidRDefault="00A014E5" w:rsidP="00A014E5">
      <w:pPr>
        <w:spacing w:after="0"/>
        <w:jc w:val="center"/>
        <w:rPr>
          <w:b/>
        </w:rPr>
      </w:pPr>
    </w:p>
    <w:p w14:paraId="1907F3D8" w14:textId="0445D113" w:rsidR="00A014E5" w:rsidRPr="0007641A" w:rsidRDefault="00A014E5" w:rsidP="004A6550">
      <w:pPr>
        <w:pStyle w:val="Heading2"/>
      </w:pPr>
      <w:bookmarkStart w:id="6933" w:name="_Toc213771967"/>
      <w:r w:rsidRPr="0007641A">
        <w:t>GHG Settlements</w:t>
      </w:r>
      <w:bookmarkEnd w:id="6933"/>
    </w:p>
    <w:p w14:paraId="61227484" w14:textId="5044E344" w:rsidR="00A014E5" w:rsidRDefault="00A014E5" w:rsidP="00A014E5">
      <w:pPr>
        <w:spacing w:line="300" w:lineRule="auto"/>
      </w:pPr>
      <w:r>
        <w:t>C</w:t>
      </w:r>
      <w:r w:rsidRPr="0007641A">
        <w:t xml:space="preserve">redits for attributed MWs are calculated by multiplying the Marginal </w:t>
      </w:r>
      <w:r w:rsidR="006C797E">
        <w:t>GHG</w:t>
      </w:r>
      <w:r w:rsidRPr="0007641A">
        <w:t xml:space="preserve"> Price for the associated GHG Pricing Zone by the attributed MWs on Internal GHG Resources, Specified Source Resources, Unspecified Source Imports, and Import Interchange Transactions that sink into a GHG Pricing Zone.  Load settlement charges for GHG Load Settlement Locations are calculated by multiplying the Marginal </w:t>
      </w:r>
      <w:r w:rsidR="006C797E">
        <w:t>GHG</w:t>
      </w:r>
      <w:r w:rsidRPr="0007641A">
        <w:t xml:space="preserve"> Price for the associated GHG Pricing Zone by the GHG Load.  In order to achieve revenue neutral settlement within a GHG Pricing Zone, losses supplied by Energy attributed to a GHG Price Zone are accounted for by increasing the GHG Load within </w:t>
      </w:r>
      <w:r>
        <w:t>a</w:t>
      </w:r>
      <w:r w:rsidRPr="0007641A">
        <w:t xml:space="preserve"> GHG Pricing Zone pro-rata such that the total GHG Load is equal to the total Resource</w:t>
      </w:r>
      <w:r w:rsidR="007172FE">
        <w:t xml:space="preserve"> </w:t>
      </w:r>
      <w:r w:rsidRPr="0007641A">
        <w:t xml:space="preserve">attributed MWs within </w:t>
      </w:r>
      <w:r>
        <w:t>a</w:t>
      </w:r>
      <w:r w:rsidRPr="0007641A">
        <w:t xml:space="preserve"> GHG Pricing Zone.  See </w:t>
      </w:r>
      <w:r w:rsidR="00BD6EE2">
        <w:t xml:space="preserve">the Markets+ Settlements Calculation </w:t>
      </w:r>
      <w:r w:rsidR="00F94884">
        <w:t>Guide</w:t>
      </w:r>
      <w:r w:rsidRPr="0007641A">
        <w:t xml:space="preserve"> for additional details. </w:t>
      </w:r>
    </w:p>
    <w:p w14:paraId="45FA6C23" w14:textId="77777777" w:rsidR="0047437B" w:rsidRPr="0047437B" w:rsidRDefault="0047437B" w:rsidP="0047437B">
      <w:pPr>
        <w:pStyle w:val="ListParagraph"/>
        <w:keepNext/>
        <w:numPr>
          <w:ilvl w:val="0"/>
          <w:numId w:val="443"/>
        </w:numPr>
        <w:spacing w:after="240"/>
        <w:contextualSpacing w:val="0"/>
        <w:outlineLvl w:val="1"/>
        <w:rPr>
          <w:b/>
          <w:vanish/>
          <w:sz w:val="30"/>
        </w:rPr>
      </w:pPr>
      <w:bookmarkStart w:id="6934" w:name="_Toc192154660"/>
      <w:bookmarkStart w:id="6935" w:name="_Toc193031348"/>
      <w:bookmarkStart w:id="6936" w:name="_Toc193032041"/>
      <w:bookmarkStart w:id="6937" w:name="_Toc193032734"/>
      <w:bookmarkStart w:id="6938" w:name="_Toc193031349"/>
      <w:bookmarkStart w:id="6939" w:name="_Toc193032042"/>
      <w:bookmarkStart w:id="6940" w:name="_Toc193032735"/>
      <w:bookmarkStart w:id="6941" w:name="_Toc208563226"/>
      <w:bookmarkStart w:id="6942" w:name="_Toc208563227"/>
      <w:bookmarkStart w:id="6943" w:name="_Toc213746503"/>
      <w:bookmarkStart w:id="6944" w:name="_Toc213771968"/>
      <w:bookmarkStart w:id="6945" w:name="_Ref212559871"/>
      <w:bookmarkEnd w:id="6934"/>
      <w:bookmarkEnd w:id="6935"/>
      <w:bookmarkEnd w:id="6936"/>
      <w:bookmarkEnd w:id="6937"/>
      <w:bookmarkEnd w:id="6938"/>
      <w:bookmarkEnd w:id="6939"/>
      <w:bookmarkEnd w:id="6940"/>
      <w:bookmarkEnd w:id="6941"/>
      <w:bookmarkEnd w:id="6942"/>
      <w:bookmarkEnd w:id="6943"/>
      <w:bookmarkEnd w:id="6944"/>
    </w:p>
    <w:p w14:paraId="085A74DB" w14:textId="77777777" w:rsidR="0047437B" w:rsidRPr="0047437B" w:rsidRDefault="0047437B" w:rsidP="0047437B">
      <w:pPr>
        <w:pStyle w:val="ListParagraph"/>
        <w:keepNext/>
        <w:numPr>
          <w:ilvl w:val="0"/>
          <w:numId w:val="443"/>
        </w:numPr>
        <w:spacing w:after="240"/>
        <w:contextualSpacing w:val="0"/>
        <w:outlineLvl w:val="1"/>
        <w:rPr>
          <w:b/>
          <w:vanish/>
          <w:sz w:val="30"/>
        </w:rPr>
      </w:pPr>
      <w:bookmarkStart w:id="6946" w:name="_Toc213746504"/>
      <w:bookmarkStart w:id="6947" w:name="_Toc213771969"/>
      <w:bookmarkEnd w:id="6946"/>
      <w:bookmarkEnd w:id="6947"/>
    </w:p>
    <w:p w14:paraId="1F072F8E" w14:textId="77777777" w:rsidR="0047437B" w:rsidRPr="0047437B" w:rsidRDefault="0047437B" w:rsidP="0047437B">
      <w:pPr>
        <w:pStyle w:val="ListParagraph"/>
        <w:keepNext/>
        <w:numPr>
          <w:ilvl w:val="0"/>
          <w:numId w:val="443"/>
        </w:numPr>
        <w:spacing w:after="240"/>
        <w:contextualSpacing w:val="0"/>
        <w:outlineLvl w:val="1"/>
        <w:rPr>
          <w:b/>
          <w:vanish/>
          <w:sz w:val="30"/>
        </w:rPr>
      </w:pPr>
      <w:bookmarkStart w:id="6948" w:name="_Toc213746505"/>
      <w:bookmarkStart w:id="6949" w:name="_Toc213771970"/>
      <w:bookmarkEnd w:id="6948"/>
      <w:bookmarkEnd w:id="6949"/>
    </w:p>
    <w:p w14:paraId="40D48162" w14:textId="77777777" w:rsidR="0047437B" w:rsidRPr="0047437B" w:rsidRDefault="0047437B" w:rsidP="0047437B">
      <w:pPr>
        <w:pStyle w:val="ListParagraph"/>
        <w:keepNext/>
        <w:numPr>
          <w:ilvl w:val="0"/>
          <w:numId w:val="443"/>
        </w:numPr>
        <w:spacing w:after="240"/>
        <w:contextualSpacing w:val="0"/>
        <w:outlineLvl w:val="1"/>
        <w:rPr>
          <w:b/>
          <w:vanish/>
          <w:sz w:val="30"/>
        </w:rPr>
      </w:pPr>
      <w:bookmarkStart w:id="6950" w:name="_Toc213746506"/>
      <w:bookmarkStart w:id="6951" w:name="_Toc213771971"/>
      <w:bookmarkEnd w:id="6950"/>
      <w:bookmarkEnd w:id="6951"/>
    </w:p>
    <w:p w14:paraId="159BB6EE" w14:textId="77777777" w:rsidR="0047437B" w:rsidRPr="0047437B" w:rsidRDefault="0047437B" w:rsidP="0047437B">
      <w:pPr>
        <w:pStyle w:val="ListParagraph"/>
        <w:keepNext/>
        <w:numPr>
          <w:ilvl w:val="0"/>
          <w:numId w:val="443"/>
        </w:numPr>
        <w:spacing w:after="240"/>
        <w:contextualSpacing w:val="0"/>
        <w:outlineLvl w:val="1"/>
        <w:rPr>
          <w:b/>
          <w:vanish/>
          <w:sz w:val="30"/>
        </w:rPr>
      </w:pPr>
      <w:bookmarkStart w:id="6952" w:name="_Toc213746507"/>
      <w:bookmarkStart w:id="6953" w:name="_Toc213771972"/>
      <w:bookmarkEnd w:id="6952"/>
      <w:bookmarkEnd w:id="6953"/>
    </w:p>
    <w:p w14:paraId="6178291D" w14:textId="77777777" w:rsidR="0047437B" w:rsidRPr="0047437B" w:rsidRDefault="0047437B" w:rsidP="0047437B">
      <w:pPr>
        <w:pStyle w:val="ListParagraph"/>
        <w:keepNext/>
        <w:numPr>
          <w:ilvl w:val="1"/>
          <w:numId w:val="443"/>
        </w:numPr>
        <w:spacing w:after="240"/>
        <w:contextualSpacing w:val="0"/>
        <w:outlineLvl w:val="1"/>
        <w:rPr>
          <w:b/>
          <w:vanish/>
          <w:sz w:val="30"/>
        </w:rPr>
      </w:pPr>
      <w:bookmarkStart w:id="6954" w:name="_Toc213746508"/>
      <w:bookmarkStart w:id="6955" w:name="_Toc213771973"/>
      <w:bookmarkEnd w:id="6954"/>
      <w:bookmarkEnd w:id="6955"/>
    </w:p>
    <w:p w14:paraId="56A7DE67" w14:textId="77777777" w:rsidR="0047437B" w:rsidRPr="0047437B" w:rsidRDefault="0047437B" w:rsidP="0047437B">
      <w:pPr>
        <w:pStyle w:val="ListParagraph"/>
        <w:keepNext/>
        <w:numPr>
          <w:ilvl w:val="1"/>
          <w:numId w:val="443"/>
        </w:numPr>
        <w:spacing w:after="240"/>
        <w:contextualSpacing w:val="0"/>
        <w:outlineLvl w:val="1"/>
        <w:rPr>
          <w:b/>
          <w:vanish/>
          <w:sz w:val="30"/>
        </w:rPr>
      </w:pPr>
      <w:bookmarkStart w:id="6956" w:name="_Toc213746509"/>
      <w:bookmarkStart w:id="6957" w:name="_Toc213771974"/>
      <w:bookmarkEnd w:id="6956"/>
      <w:bookmarkEnd w:id="6957"/>
    </w:p>
    <w:p w14:paraId="42DDBD87" w14:textId="77777777" w:rsidR="0047437B" w:rsidRPr="0047437B" w:rsidRDefault="0047437B" w:rsidP="0047437B">
      <w:pPr>
        <w:pStyle w:val="ListParagraph"/>
        <w:keepNext/>
        <w:numPr>
          <w:ilvl w:val="1"/>
          <w:numId w:val="443"/>
        </w:numPr>
        <w:spacing w:after="240"/>
        <w:contextualSpacing w:val="0"/>
        <w:outlineLvl w:val="1"/>
        <w:rPr>
          <w:b/>
          <w:vanish/>
          <w:sz w:val="30"/>
        </w:rPr>
      </w:pPr>
      <w:bookmarkStart w:id="6958" w:name="_Toc213746510"/>
      <w:bookmarkStart w:id="6959" w:name="_Toc213771975"/>
      <w:bookmarkEnd w:id="6958"/>
      <w:bookmarkEnd w:id="6959"/>
    </w:p>
    <w:p w14:paraId="155D74CB" w14:textId="77777777" w:rsidR="0047437B" w:rsidRPr="0047437B" w:rsidRDefault="0047437B" w:rsidP="0047437B">
      <w:pPr>
        <w:pStyle w:val="ListParagraph"/>
        <w:keepNext/>
        <w:numPr>
          <w:ilvl w:val="1"/>
          <w:numId w:val="443"/>
        </w:numPr>
        <w:spacing w:after="240"/>
        <w:contextualSpacing w:val="0"/>
        <w:outlineLvl w:val="1"/>
        <w:rPr>
          <w:b/>
          <w:vanish/>
          <w:sz w:val="30"/>
        </w:rPr>
      </w:pPr>
      <w:bookmarkStart w:id="6960" w:name="_Toc213746511"/>
      <w:bookmarkStart w:id="6961" w:name="_Toc213771976"/>
      <w:bookmarkEnd w:id="6960"/>
      <w:bookmarkEnd w:id="6961"/>
    </w:p>
    <w:p w14:paraId="051F31F5" w14:textId="4FBCB44B" w:rsidR="00EC2A19" w:rsidRPr="0063768B" w:rsidRDefault="00EC2A19" w:rsidP="00FE7AA5">
      <w:pPr>
        <w:pStyle w:val="Heading2"/>
      </w:pPr>
      <w:bookmarkStart w:id="6962" w:name="_Toc213771977"/>
      <w:r w:rsidRPr="0063768B">
        <w:t>Tracking and Reporting</w:t>
      </w:r>
      <w:bookmarkEnd w:id="6945"/>
      <w:bookmarkEnd w:id="6962"/>
    </w:p>
    <w:p w14:paraId="18CC372F" w14:textId="22F1DAA4" w:rsidR="00EC2A19" w:rsidRPr="00EC2A19" w:rsidRDefault="00EC2A19" w:rsidP="00CB5653">
      <w:pPr>
        <w:pStyle w:val="Heading3"/>
      </w:pPr>
      <w:bookmarkStart w:id="6963" w:name="_Toc213771978"/>
      <w:r w:rsidRPr="00EC2A19">
        <w:t>Emission Factors for registered Resource(s)</w:t>
      </w:r>
      <w:bookmarkEnd w:id="6963"/>
    </w:p>
    <w:p w14:paraId="6D6DBBDF" w14:textId="0D075ADB" w:rsidR="00EC2A19" w:rsidRPr="00EC2A19" w:rsidRDefault="00EC2A19" w:rsidP="009B3166">
      <w:pPr>
        <w:spacing w:before="120" w:line="300" w:lineRule="auto"/>
        <w:rPr>
          <w:rFonts w:eastAsia="Calibri"/>
          <w:szCs w:val="22"/>
        </w:rPr>
      </w:pPr>
      <w:r w:rsidRPr="00EC2A19">
        <w:rPr>
          <w:rFonts w:eastAsia="Calibri"/>
          <w:szCs w:val="22"/>
        </w:rPr>
        <w:t>A Market Participant may submit to the Market Operator an emission</w:t>
      </w:r>
      <w:r w:rsidR="00B20CD3">
        <w:rPr>
          <w:rFonts w:eastAsia="Calibri"/>
          <w:szCs w:val="22"/>
        </w:rPr>
        <w:t>s</w:t>
      </w:r>
      <w:r w:rsidRPr="00EC2A19">
        <w:rPr>
          <w:rFonts w:eastAsia="Calibri"/>
          <w:szCs w:val="22"/>
        </w:rPr>
        <w:t xml:space="preserve"> factor for its registered Resource(s). Otherwise, the Market Operator will use the emission</w:t>
      </w:r>
      <w:r w:rsidR="00B20CD3">
        <w:rPr>
          <w:rFonts w:eastAsia="Calibri"/>
          <w:szCs w:val="22"/>
        </w:rPr>
        <w:t>s</w:t>
      </w:r>
      <w:r w:rsidRPr="00EC2A19">
        <w:rPr>
          <w:rFonts w:eastAsia="Calibri"/>
          <w:szCs w:val="22"/>
        </w:rPr>
        <w:t xml:space="preserve"> factor published by the EPA in the Emissions and Generation Resource Integrated Database (eGRID) or, if unavailable, the emission</w:t>
      </w:r>
      <w:r w:rsidR="00B20CD3">
        <w:rPr>
          <w:rFonts w:eastAsia="Calibri"/>
          <w:szCs w:val="22"/>
        </w:rPr>
        <w:t>s</w:t>
      </w:r>
      <w:r w:rsidRPr="00EC2A19">
        <w:rPr>
          <w:rFonts w:eastAsia="Calibri"/>
          <w:szCs w:val="22"/>
        </w:rPr>
        <w:t xml:space="preserve"> factor published by the U.S. Energy Information Administration (EIA). In the event that neither the EPA nor the EIA have published an emission</w:t>
      </w:r>
      <w:r w:rsidR="00B20CD3">
        <w:rPr>
          <w:rFonts w:eastAsia="Calibri"/>
          <w:szCs w:val="22"/>
        </w:rPr>
        <w:t>s</w:t>
      </w:r>
      <w:r w:rsidRPr="00EC2A19">
        <w:rPr>
          <w:rFonts w:eastAsia="Calibri"/>
          <w:szCs w:val="22"/>
        </w:rPr>
        <w:t xml:space="preserve"> factor for a Resource, the Market Operator will calculate an emission</w:t>
      </w:r>
      <w:r w:rsidR="00B20CD3">
        <w:rPr>
          <w:rFonts w:eastAsia="Calibri"/>
          <w:szCs w:val="22"/>
        </w:rPr>
        <w:t>s</w:t>
      </w:r>
      <w:r w:rsidRPr="00EC2A19">
        <w:rPr>
          <w:rFonts w:eastAsia="Calibri"/>
          <w:szCs w:val="22"/>
        </w:rPr>
        <w:t xml:space="preserve"> factor based on the Resource fuel type. </w:t>
      </w:r>
    </w:p>
    <w:p w14:paraId="4EB22844" w14:textId="6E353E13" w:rsidR="00EC2A19" w:rsidRPr="00EC2A19" w:rsidRDefault="00EC2A19" w:rsidP="009B3166">
      <w:pPr>
        <w:spacing w:before="120" w:line="300" w:lineRule="auto"/>
        <w:rPr>
          <w:rFonts w:eastAsia="Calibri"/>
          <w:szCs w:val="22"/>
        </w:rPr>
      </w:pPr>
      <w:r w:rsidRPr="00EC2A19">
        <w:rPr>
          <w:rFonts w:eastAsia="Calibri"/>
          <w:szCs w:val="22"/>
        </w:rPr>
        <w:t>A Market Participant that elects to submit an emission</w:t>
      </w:r>
      <w:r w:rsidR="00B20CD3">
        <w:rPr>
          <w:rFonts w:eastAsia="Calibri"/>
          <w:szCs w:val="22"/>
        </w:rPr>
        <w:t>s</w:t>
      </w:r>
      <w:r w:rsidRPr="00EC2A19">
        <w:rPr>
          <w:rFonts w:eastAsia="Calibri"/>
          <w:szCs w:val="22"/>
        </w:rPr>
        <w:t xml:space="preserve"> factor to the Market Operator will submit the emission</w:t>
      </w:r>
      <w:r w:rsidR="00B20CD3">
        <w:rPr>
          <w:rFonts w:eastAsia="Calibri"/>
          <w:szCs w:val="22"/>
        </w:rPr>
        <w:t>s</w:t>
      </w:r>
      <w:r w:rsidRPr="00EC2A19">
        <w:rPr>
          <w:rFonts w:eastAsia="Calibri"/>
          <w:szCs w:val="22"/>
        </w:rPr>
        <w:t xml:space="preserve"> factor in the METra Portal. The Market Participant will update the METra Portal as necessary to reflect any changes in the Resource’s emission</w:t>
      </w:r>
      <w:r w:rsidR="008451F7">
        <w:rPr>
          <w:rFonts w:eastAsia="Calibri"/>
          <w:szCs w:val="22"/>
        </w:rPr>
        <w:t>s</w:t>
      </w:r>
      <w:r w:rsidRPr="00EC2A19">
        <w:rPr>
          <w:rFonts w:eastAsia="Calibri"/>
          <w:szCs w:val="22"/>
        </w:rPr>
        <w:t xml:space="preserve"> factor. </w:t>
      </w:r>
    </w:p>
    <w:p w14:paraId="08710425" w14:textId="77777777" w:rsidR="00EC2A19" w:rsidRPr="00EC2A19" w:rsidRDefault="00EC2A19" w:rsidP="00CB5653">
      <w:pPr>
        <w:pStyle w:val="Heading3"/>
      </w:pPr>
      <w:r w:rsidRPr="00EC2A19">
        <w:t xml:space="preserve"> </w:t>
      </w:r>
      <w:bookmarkStart w:id="6964" w:name="_Ref212561503"/>
      <w:bookmarkStart w:id="6965" w:name="_Toc213771979"/>
      <w:r w:rsidRPr="00EC2A19">
        <w:t>GHG Resource Mapping and Allocation</w:t>
      </w:r>
      <w:bookmarkEnd w:id="6964"/>
      <w:bookmarkEnd w:id="6965"/>
    </w:p>
    <w:p w14:paraId="72B8B2D7" w14:textId="77777777" w:rsidR="00EC2A19" w:rsidRPr="00EC2A19" w:rsidRDefault="00EC2A19" w:rsidP="009B3166">
      <w:pPr>
        <w:numPr>
          <w:ilvl w:val="0"/>
          <w:numId w:val="321"/>
        </w:numPr>
        <w:spacing w:before="120" w:line="300" w:lineRule="auto"/>
        <w:ind w:left="720"/>
        <w:rPr>
          <w:rFonts w:eastAsia="Calibri"/>
          <w:szCs w:val="24"/>
        </w:rPr>
      </w:pPr>
      <w:r w:rsidRPr="00EC2A19">
        <w:rPr>
          <w:rFonts w:eastAsia="Calibri"/>
          <w:szCs w:val="24"/>
        </w:rPr>
        <w:t xml:space="preserve">Each Market Participant’s owned Resources will be populated in the METra Portal for selection by Reporting Entities in accordance with the Market Operator’s commercial model and registration process.  Prior to the start of the Day-Ahead Market, and using the METra Portal, a Reporting Entity will identify owned and contracted Resources, including partially-owned Resources, to be mapped to the Reporting Entity. </w:t>
      </w:r>
    </w:p>
    <w:p w14:paraId="6AFF1C91" w14:textId="77777777" w:rsidR="00EC2A19" w:rsidRPr="00EC2A19" w:rsidRDefault="00EC2A19" w:rsidP="009B3166">
      <w:pPr>
        <w:numPr>
          <w:ilvl w:val="3"/>
          <w:numId w:val="321"/>
        </w:numPr>
        <w:spacing w:before="120" w:line="300" w:lineRule="auto"/>
        <w:ind w:left="2160" w:hanging="720"/>
        <w:rPr>
          <w:rFonts w:eastAsia="Calibri"/>
          <w:sz w:val="22"/>
          <w:szCs w:val="22"/>
        </w:rPr>
      </w:pPr>
      <w:bookmarkStart w:id="6966" w:name="_Hlk170391319"/>
      <w:r w:rsidRPr="00EC2A19">
        <w:rPr>
          <w:rFonts w:eastAsia="Calibri"/>
          <w:szCs w:val="24"/>
        </w:rPr>
        <w:t xml:space="preserve">If a Reporting Entity has not mapped all of its owned Resources, the Market Operator will map the owned Resource(s) to the applicable Reporting Entity. </w:t>
      </w:r>
    </w:p>
    <w:p w14:paraId="5BA08013" w14:textId="77777777" w:rsidR="00EC2A19" w:rsidRPr="00EC2A19" w:rsidRDefault="00EC2A19" w:rsidP="009B3166">
      <w:pPr>
        <w:numPr>
          <w:ilvl w:val="3"/>
          <w:numId w:val="321"/>
        </w:numPr>
        <w:spacing w:before="120" w:line="300" w:lineRule="auto"/>
        <w:ind w:left="2160" w:hanging="720"/>
        <w:rPr>
          <w:rFonts w:eastAsia="Calibri"/>
          <w:szCs w:val="24"/>
        </w:rPr>
      </w:pPr>
      <w:r w:rsidRPr="00EC2A19">
        <w:rPr>
          <w:rFonts w:eastAsia="Calibri"/>
          <w:szCs w:val="24"/>
        </w:rPr>
        <w:t>With respect to contracted-for Resources, the following apply:</w:t>
      </w:r>
    </w:p>
    <w:p w14:paraId="34DE8869" w14:textId="77777777" w:rsidR="00EC2A19" w:rsidRPr="00EC2A19" w:rsidRDefault="00EC2A19" w:rsidP="009B3166">
      <w:pPr>
        <w:numPr>
          <w:ilvl w:val="4"/>
          <w:numId w:val="321"/>
        </w:numPr>
        <w:spacing w:before="120" w:line="300" w:lineRule="auto"/>
        <w:ind w:left="2610"/>
        <w:rPr>
          <w:rFonts w:eastAsia="Calibri"/>
          <w:szCs w:val="24"/>
        </w:rPr>
      </w:pPr>
      <w:r w:rsidRPr="00EC2A19">
        <w:rPr>
          <w:rFonts w:eastAsia="Calibri"/>
          <w:szCs w:val="24"/>
        </w:rPr>
        <w:t>The selling Market Participant will input contracts to the METra Portal</w:t>
      </w:r>
    </w:p>
    <w:p w14:paraId="5823F5AA" w14:textId="77777777" w:rsidR="00EC2A19" w:rsidRPr="00EC2A19" w:rsidRDefault="00EC2A19" w:rsidP="009B3166">
      <w:pPr>
        <w:numPr>
          <w:ilvl w:val="4"/>
          <w:numId w:val="321"/>
        </w:numPr>
        <w:spacing w:before="120" w:line="300" w:lineRule="auto"/>
        <w:ind w:left="2610"/>
        <w:rPr>
          <w:rFonts w:eastAsia="Calibri"/>
          <w:szCs w:val="24"/>
        </w:rPr>
      </w:pPr>
      <w:r w:rsidRPr="00EC2A19">
        <w:rPr>
          <w:rFonts w:eastAsia="Calibri"/>
          <w:szCs w:val="24"/>
        </w:rPr>
        <w:t xml:space="preserve">The relevant counterparty must provide confirmation of the contract in the METra portal prior to the start of the Day-Ahead Market. </w:t>
      </w:r>
    </w:p>
    <w:p w14:paraId="371619DF" w14:textId="77777777" w:rsidR="00EC2A19" w:rsidRPr="00EC2A19" w:rsidRDefault="00EC2A19" w:rsidP="009B3166">
      <w:pPr>
        <w:numPr>
          <w:ilvl w:val="0"/>
          <w:numId w:val="414"/>
        </w:numPr>
        <w:spacing w:before="120" w:line="300" w:lineRule="auto"/>
        <w:ind w:left="2160" w:hanging="720"/>
        <w:rPr>
          <w:rFonts w:eastAsia="Calibri"/>
          <w:szCs w:val="24"/>
        </w:rPr>
      </w:pPr>
      <w:r w:rsidRPr="00EC2A19">
        <w:rPr>
          <w:rFonts w:eastAsia="Calibri"/>
          <w:szCs w:val="24"/>
        </w:rPr>
        <w:t xml:space="preserve">Market Participants with Markets+ registered Resources will have access to the METra Portal to input and confirm contracts and designate the respectively owned Resources. </w:t>
      </w:r>
    </w:p>
    <w:p w14:paraId="65EB4B2A" w14:textId="0B9B59CA" w:rsidR="00EC2A19" w:rsidRPr="00EC2A19" w:rsidRDefault="00EC2A19" w:rsidP="009B3166">
      <w:pPr>
        <w:numPr>
          <w:ilvl w:val="0"/>
          <w:numId w:val="414"/>
        </w:numPr>
        <w:spacing w:before="120" w:line="300" w:lineRule="auto"/>
        <w:ind w:left="2160" w:hanging="720"/>
        <w:rPr>
          <w:rFonts w:eastAsia="Calibri"/>
          <w:szCs w:val="24"/>
        </w:rPr>
      </w:pPr>
      <w:r w:rsidRPr="00EC2A19">
        <w:rPr>
          <w:rFonts w:eastAsia="Calibri"/>
          <w:szCs w:val="24"/>
        </w:rPr>
        <w:t xml:space="preserve">The Reporting Entity’s Resource </w:t>
      </w:r>
      <w:r w:rsidR="001E65AE">
        <w:rPr>
          <w:rFonts w:eastAsia="Calibri"/>
          <w:szCs w:val="24"/>
        </w:rPr>
        <w:t>M</w:t>
      </w:r>
      <w:r w:rsidRPr="00EC2A19">
        <w:rPr>
          <w:rFonts w:eastAsia="Calibri"/>
          <w:szCs w:val="24"/>
        </w:rPr>
        <w:t xml:space="preserve">apping will continue unless or until the Market Participant changes any Resource designation(s). If the Market Participant changes its designation(s) after a Day-Ahead Market run, those changes will apply to any subsequent Day-Ahead market runs.  </w:t>
      </w:r>
    </w:p>
    <w:p w14:paraId="0BBA7B5B" w14:textId="77777777" w:rsidR="00EC2A19" w:rsidRPr="00EC2A19" w:rsidRDefault="00EC2A19" w:rsidP="009B3166">
      <w:pPr>
        <w:numPr>
          <w:ilvl w:val="0"/>
          <w:numId w:val="321"/>
        </w:numPr>
        <w:tabs>
          <w:tab w:val="left" w:pos="720"/>
        </w:tabs>
        <w:spacing w:before="120" w:line="300" w:lineRule="auto"/>
        <w:ind w:left="720" w:hanging="806"/>
        <w:rPr>
          <w:rFonts w:eastAsia="Calibri"/>
          <w:szCs w:val="24"/>
        </w:rPr>
      </w:pPr>
      <w:r w:rsidRPr="00EC2A19">
        <w:rPr>
          <w:rFonts w:eastAsia="Calibri"/>
          <w:szCs w:val="24"/>
        </w:rPr>
        <w:t>The Market Operator will automatically map a Non-Reporting Entity’s owned Resource(s) to that Non-Reporting Entity excluding any Resources that have been mapped to a Reporting Entity.</w:t>
      </w:r>
    </w:p>
    <w:p w14:paraId="0331B023" w14:textId="0EA6C9D7" w:rsidR="00EC2A19" w:rsidRPr="00EC2A19" w:rsidRDefault="00EC2A19" w:rsidP="009B3166">
      <w:pPr>
        <w:numPr>
          <w:ilvl w:val="0"/>
          <w:numId w:val="321"/>
        </w:numPr>
        <w:spacing w:before="120" w:line="300" w:lineRule="auto"/>
        <w:ind w:left="720" w:hanging="806"/>
        <w:rPr>
          <w:rFonts w:eastAsia="Calibri"/>
          <w:szCs w:val="24"/>
        </w:rPr>
      </w:pPr>
      <w:r w:rsidRPr="00EC2A19">
        <w:rPr>
          <w:rFonts w:eastAsia="Calibri"/>
          <w:szCs w:val="24"/>
        </w:rPr>
        <w:t xml:space="preserve">If the Market Operator identifies an instance where more than one </w:t>
      </w:r>
      <w:r w:rsidR="008145A1">
        <w:rPr>
          <w:rFonts w:eastAsia="Calibri"/>
          <w:szCs w:val="24"/>
        </w:rPr>
        <w:t>(1)</w:t>
      </w:r>
      <w:r w:rsidRPr="00EC2A19">
        <w:rPr>
          <w:rFonts w:eastAsia="Calibri"/>
          <w:szCs w:val="24"/>
        </w:rPr>
        <w:t xml:space="preserve"> Reporting Entity claims the same Energy for the </w:t>
      </w:r>
      <w:r w:rsidR="006F43E3">
        <w:rPr>
          <w:rFonts w:eastAsia="Calibri"/>
          <w:szCs w:val="24"/>
        </w:rPr>
        <w:t>Resource M</w:t>
      </w:r>
      <w:r w:rsidRPr="00EC2A19">
        <w:rPr>
          <w:rFonts w:eastAsia="Calibri"/>
          <w:szCs w:val="24"/>
        </w:rPr>
        <w:t xml:space="preserve">apping process, the Market Operator will notify the affected Reporting Entities as soon as practicable, and the </w:t>
      </w:r>
      <w:r w:rsidR="006F43E3">
        <w:rPr>
          <w:rFonts w:eastAsia="Calibri"/>
          <w:szCs w:val="24"/>
        </w:rPr>
        <w:t>Resource M</w:t>
      </w:r>
      <w:r w:rsidRPr="00EC2A19">
        <w:rPr>
          <w:rFonts w:eastAsia="Calibri"/>
          <w:szCs w:val="24"/>
        </w:rPr>
        <w:t xml:space="preserve">apping will remain unchanged until the Market Operator is notified by the Reporting Entities that the competing claims have been resolved. Once the Market Operator is notified of a resolution between the parties, the Market Operator may revise previous Reporting Entity GHG Reports, to the extent feasible, to reflect the resolution between the Reporting Entities. </w:t>
      </w:r>
    </w:p>
    <w:p w14:paraId="243ED741" w14:textId="77777777" w:rsidR="00EC2A19" w:rsidRPr="00EC2A19" w:rsidRDefault="00EC2A19" w:rsidP="00574EDE">
      <w:pPr>
        <w:pStyle w:val="Heading4"/>
      </w:pPr>
      <w:bookmarkStart w:id="6967" w:name="_Ref212561615"/>
      <w:bookmarkStart w:id="6968" w:name="_Toc213771980"/>
      <w:r w:rsidRPr="00EC2A19">
        <w:t>GHG Pricing Zone Allocations</w:t>
      </w:r>
      <w:bookmarkEnd w:id="6967"/>
      <w:bookmarkEnd w:id="6968"/>
    </w:p>
    <w:p w14:paraId="19D4965C" w14:textId="2F99F0BB" w:rsidR="00EC2A19" w:rsidRPr="00EC2A19" w:rsidRDefault="00EC2A19" w:rsidP="009B3166">
      <w:pPr>
        <w:numPr>
          <w:ilvl w:val="5"/>
          <w:numId w:val="323"/>
        </w:numPr>
        <w:spacing w:before="120" w:line="300" w:lineRule="auto"/>
        <w:ind w:left="720" w:hanging="720"/>
        <w:rPr>
          <w:rFonts w:eastAsia="Calibri"/>
          <w:szCs w:val="24"/>
        </w:rPr>
      </w:pPr>
      <w:r w:rsidRPr="00EC2A19">
        <w:rPr>
          <w:rFonts w:eastAsia="Calibri"/>
          <w:szCs w:val="24"/>
        </w:rPr>
        <w:t>Type 1A</w:t>
      </w:r>
      <w:r w:rsidR="00E72D74">
        <w:rPr>
          <w:rFonts w:eastAsia="Calibri"/>
          <w:szCs w:val="24"/>
        </w:rPr>
        <w:t xml:space="preserve"> Energy</w:t>
      </w:r>
      <w:r w:rsidRPr="00EC2A19">
        <w:rPr>
          <w:rFonts w:eastAsia="Calibri"/>
          <w:szCs w:val="24"/>
        </w:rPr>
        <w:t xml:space="preserve"> or Type 1B Energy </w:t>
      </w:r>
      <w:r w:rsidR="00350F28">
        <w:rPr>
          <w:rFonts w:eastAsia="Calibri"/>
          <w:szCs w:val="24"/>
        </w:rPr>
        <w:t>a</w:t>
      </w:r>
      <w:r w:rsidRPr="00EC2A19">
        <w:rPr>
          <w:rFonts w:eastAsia="Calibri"/>
          <w:szCs w:val="24"/>
        </w:rPr>
        <w:t>ttributed to a GHG Pricing Zone will be Allocated to the Reporting Entity to which the Energy is contracted.</w:t>
      </w:r>
    </w:p>
    <w:p w14:paraId="086DA941" w14:textId="210846A5" w:rsidR="00EC2A19" w:rsidRPr="00EC2A19" w:rsidRDefault="00EC2A19" w:rsidP="009B3166">
      <w:pPr>
        <w:numPr>
          <w:ilvl w:val="5"/>
          <w:numId w:val="323"/>
        </w:numPr>
        <w:spacing w:before="120" w:line="300" w:lineRule="auto"/>
        <w:ind w:left="720" w:hanging="720"/>
        <w:rPr>
          <w:rFonts w:eastAsia="Calibri"/>
          <w:szCs w:val="24"/>
        </w:rPr>
      </w:pPr>
      <w:r w:rsidRPr="00EC2A19">
        <w:rPr>
          <w:rFonts w:eastAsia="Calibri"/>
          <w:szCs w:val="24"/>
        </w:rPr>
        <w:t xml:space="preserve">Type 2 Energy </w:t>
      </w:r>
      <w:r w:rsidR="00350F28">
        <w:rPr>
          <w:rFonts w:eastAsia="Calibri"/>
          <w:szCs w:val="24"/>
        </w:rPr>
        <w:t>a</w:t>
      </w:r>
      <w:r w:rsidRPr="00EC2A19">
        <w:rPr>
          <w:rFonts w:eastAsia="Calibri"/>
          <w:szCs w:val="24"/>
        </w:rPr>
        <w:t>ttributed to a GHG Pricing Zone will be Allocated to Reporting Entities in GHG Pricing Zones with any positive difference between the load and generation in their Resource Portfolio on a pro</w:t>
      </w:r>
      <w:r w:rsidR="001C1F0E">
        <w:rPr>
          <w:rFonts w:eastAsia="Calibri"/>
          <w:szCs w:val="24"/>
        </w:rPr>
        <w:t>-</w:t>
      </w:r>
      <w:r w:rsidRPr="00EC2A19">
        <w:rPr>
          <w:rFonts w:eastAsia="Calibri"/>
          <w:szCs w:val="24"/>
        </w:rPr>
        <w:t xml:space="preserve">rata basis to each of those Reporting Entities based on that positive difference. </w:t>
      </w:r>
    </w:p>
    <w:p w14:paraId="722F5E46" w14:textId="31292FAA" w:rsidR="00EC2A19" w:rsidRPr="00EC2A19" w:rsidRDefault="00EC2A19" w:rsidP="00574EDE">
      <w:pPr>
        <w:pStyle w:val="Heading4"/>
      </w:pPr>
      <w:bookmarkStart w:id="6969" w:name="_Ref212561785"/>
      <w:bookmarkStart w:id="6970" w:name="_Toc213771981"/>
      <w:r w:rsidRPr="00EC2A19">
        <w:t>Treatment of Import and Export Interchange Transactions</w:t>
      </w:r>
      <w:bookmarkEnd w:id="6969"/>
      <w:bookmarkEnd w:id="6970"/>
    </w:p>
    <w:p w14:paraId="1E409ED7" w14:textId="77777777" w:rsidR="00EC2A19" w:rsidRPr="00B26E9F" w:rsidRDefault="00EC2A19" w:rsidP="00F12B26">
      <w:pPr>
        <w:spacing w:before="120" w:line="300" w:lineRule="auto"/>
        <w:rPr>
          <w:rFonts w:eastAsia="Calibri"/>
          <w:szCs w:val="24"/>
        </w:rPr>
      </w:pPr>
      <w:r w:rsidRPr="00B26E9F">
        <w:rPr>
          <w:rFonts w:eastAsia="Calibri"/>
          <w:szCs w:val="24"/>
        </w:rPr>
        <w:t>For purposes of determining Reporting Entity Resource Portfolios, the Market Operator will incorporate Import Interchange Transactions and Export Interchange Transactions as follows:</w:t>
      </w:r>
    </w:p>
    <w:p w14:paraId="301A57E0" w14:textId="4AF31ADF" w:rsidR="00EC2A19" w:rsidRPr="00993E39" w:rsidRDefault="00EC2A19" w:rsidP="00E94CBF">
      <w:pPr>
        <w:pStyle w:val="ListParagraph"/>
        <w:numPr>
          <w:ilvl w:val="4"/>
          <w:numId w:val="408"/>
        </w:numPr>
        <w:spacing w:before="120" w:line="300" w:lineRule="auto"/>
        <w:ind w:left="720" w:hanging="720"/>
        <w:contextualSpacing w:val="0"/>
      </w:pPr>
      <w:r w:rsidRPr="00B26E9F">
        <w:t xml:space="preserve">Import Interchange Transactions – Import volumes will be added to the Reporting Entity’s </w:t>
      </w:r>
      <w:r w:rsidRPr="00993E39">
        <w:t xml:space="preserve">Resource Portfolio as generation. </w:t>
      </w:r>
    </w:p>
    <w:p w14:paraId="7DAA07EF" w14:textId="038DC753" w:rsidR="00EC2A19" w:rsidRPr="00F12B26" w:rsidRDefault="00EC2A19" w:rsidP="00E94CBF">
      <w:pPr>
        <w:pStyle w:val="ListParagraph"/>
        <w:numPr>
          <w:ilvl w:val="3"/>
          <w:numId w:val="418"/>
        </w:numPr>
        <w:spacing w:before="120" w:line="300" w:lineRule="auto"/>
        <w:ind w:left="1440" w:hanging="720"/>
        <w:contextualSpacing w:val="0"/>
      </w:pPr>
      <w:r w:rsidRPr="00F12B26">
        <w:t>For Import Interchange Transactions the Market Participant may provide the associated emission</w:t>
      </w:r>
      <w:r w:rsidR="00B20CD3">
        <w:t>s</w:t>
      </w:r>
      <w:r w:rsidRPr="00F12B26">
        <w:t xml:space="preserve"> factor to the Market Operator through the METra Portal. If the Reporting Entity does not provide an emission</w:t>
      </w:r>
      <w:r w:rsidR="00B20CD3">
        <w:t>s</w:t>
      </w:r>
      <w:r w:rsidRPr="00F12B26">
        <w:t xml:space="preserve"> factor or is a Non-Reporting Entity, the Market Operator will apply a predefined default emission rate</w:t>
      </w:r>
      <w:r w:rsidRPr="00993E39">
        <w:rPr>
          <w:rFonts w:eastAsia="Calibri"/>
        </w:rPr>
        <w:t>.</w:t>
      </w:r>
    </w:p>
    <w:p w14:paraId="7EFF5AAD" w14:textId="73BC4165" w:rsidR="00EC2A19" w:rsidRPr="00993E39" w:rsidRDefault="00EC2A19" w:rsidP="00E94CBF">
      <w:pPr>
        <w:pStyle w:val="ListParagraph"/>
        <w:numPr>
          <w:ilvl w:val="0"/>
          <w:numId w:val="438"/>
        </w:numPr>
        <w:spacing w:before="120" w:line="300" w:lineRule="auto"/>
        <w:ind w:left="720"/>
        <w:contextualSpacing w:val="0"/>
      </w:pPr>
      <w:r w:rsidRPr="00993E39">
        <w:t xml:space="preserve">Export Interchange Transactions – Export volumes will be deducted from the Reporting Entity’s Resource Portfolio on the Resource side. </w:t>
      </w:r>
    </w:p>
    <w:p w14:paraId="25468C9F" w14:textId="530E5838" w:rsidR="00EC2A19" w:rsidRPr="00993E39" w:rsidRDefault="00EC2A19" w:rsidP="00E94CBF">
      <w:pPr>
        <w:pStyle w:val="ListParagraph"/>
        <w:numPr>
          <w:ilvl w:val="3"/>
          <w:numId w:val="438"/>
        </w:numPr>
        <w:spacing w:before="120" w:line="300" w:lineRule="auto"/>
        <w:ind w:left="1440" w:hanging="720"/>
        <w:contextualSpacing w:val="0"/>
      </w:pPr>
      <w:r w:rsidRPr="00661AE5">
        <w:t>For source-specific Export Interchange Transactions, the export volumes and associated emission</w:t>
      </w:r>
      <w:r w:rsidR="00B20CD3">
        <w:t>s</w:t>
      </w:r>
      <w:r w:rsidRPr="00661AE5">
        <w:t xml:space="preserve"> factor of the exporting Resource(s) will be deducted from the </w:t>
      </w:r>
      <w:r w:rsidRPr="00993E39">
        <w:t xml:space="preserve">Resource Portfolio as identified by the Reporting Entity. </w:t>
      </w:r>
    </w:p>
    <w:p w14:paraId="1E8D6749" w14:textId="45EB88B8" w:rsidR="00EC2A19" w:rsidRPr="00EC2A19" w:rsidRDefault="00EC2A19" w:rsidP="00E94CBF">
      <w:pPr>
        <w:pStyle w:val="ListParagraph"/>
        <w:numPr>
          <w:ilvl w:val="3"/>
          <w:numId w:val="438"/>
        </w:numPr>
        <w:spacing w:before="120" w:line="300" w:lineRule="auto"/>
        <w:ind w:left="1440" w:hanging="720"/>
        <w:contextualSpacing w:val="0"/>
      </w:pPr>
      <w:r w:rsidRPr="00EC2A19">
        <w:t>For Export Interchange Transactions where the source is undefined or for Non-Reporting Entities, from the Resource in the Resource Portfolio, the Market Operator will deduct a weighted share from each Resource or a designated subset of Resources in the entity’s Resource Portfolio, along with the associated emissions. Reporting Entities will have the right to choose Resources that need to remain fully in the Resource Portfolio and not be deducted from for purposes such as existing legacy agreements.</w:t>
      </w:r>
    </w:p>
    <w:p w14:paraId="31C025D9" w14:textId="415BA301" w:rsidR="00EC2A19" w:rsidRPr="00EC2A19" w:rsidRDefault="00EC2A19" w:rsidP="00574EDE">
      <w:pPr>
        <w:pStyle w:val="Heading4"/>
      </w:pPr>
      <w:bookmarkStart w:id="6971" w:name="_Toc213771982"/>
      <w:r w:rsidRPr="00EC2A19">
        <w:t>Attestation</w:t>
      </w:r>
      <w:bookmarkEnd w:id="6971"/>
    </w:p>
    <w:p w14:paraId="3378D6DE" w14:textId="0F9AB6AC" w:rsidR="00EC2A19" w:rsidRPr="00EC2A19" w:rsidRDefault="00EC2A19" w:rsidP="009B3166">
      <w:pPr>
        <w:spacing w:before="120" w:line="300" w:lineRule="auto"/>
        <w:ind w:left="720" w:hanging="720"/>
        <w:rPr>
          <w:rFonts w:eastAsia="Calibri"/>
          <w:szCs w:val="24"/>
        </w:rPr>
      </w:pPr>
      <w:r w:rsidRPr="00EC2A19">
        <w:rPr>
          <w:rFonts w:eastAsia="Calibri"/>
          <w:szCs w:val="24"/>
        </w:rPr>
        <w:t xml:space="preserve">(i) </w:t>
      </w:r>
      <w:r w:rsidRPr="00EC2A19">
        <w:rPr>
          <w:rFonts w:eastAsia="Calibri"/>
          <w:szCs w:val="24"/>
        </w:rPr>
        <w:tab/>
        <w:t xml:space="preserve">This section applies only where a state regulatory body requires a Reporting Entity to identify its Resource Mapping in Section </w:t>
      </w:r>
      <w:r w:rsidR="00F61DF8">
        <w:rPr>
          <w:rFonts w:eastAsia="Calibri"/>
          <w:szCs w:val="24"/>
        </w:rPr>
        <w:fldChar w:fldCharType="begin"/>
      </w:r>
      <w:r w:rsidR="00F61DF8">
        <w:rPr>
          <w:rFonts w:eastAsia="Calibri"/>
          <w:szCs w:val="24"/>
        </w:rPr>
        <w:instrText xml:space="preserve"> REF _Ref212561503 \r \h </w:instrText>
      </w:r>
      <w:r w:rsidR="00F61DF8">
        <w:rPr>
          <w:rFonts w:eastAsia="Calibri"/>
          <w:szCs w:val="24"/>
        </w:rPr>
      </w:r>
      <w:r w:rsidR="00F61DF8">
        <w:rPr>
          <w:rFonts w:eastAsia="Calibri"/>
          <w:szCs w:val="24"/>
        </w:rPr>
        <w:fldChar w:fldCharType="separate"/>
      </w:r>
      <w:r w:rsidR="00F61DF8">
        <w:rPr>
          <w:rFonts w:eastAsia="Calibri"/>
          <w:szCs w:val="24"/>
        </w:rPr>
        <w:t>5.5.2</w:t>
      </w:r>
      <w:r w:rsidR="00F61DF8">
        <w:rPr>
          <w:rFonts w:eastAsia="Calibri"/>
          <w:szCs w:val="24"/>
        </w:rPr>
        <w:fldChar w:fldCharType="end"/>
      </w:r>
      <w:r w:rsidRPr="00EC2A19">
        <w:rPr>
          <w:rFonts w:eastAsia="Calibri"/>
          <w:szCs w:val="24"/>
        </w:rPr>
        <w:t xml:space="preserve"> and/or to confirm its Excess Energy methodology in Section </w:t>
      </w:r>
      <w:r w:rsidR="00787F94">
        <w:rPr>
          <w:rFonts w:eastAsia="Calibri"/>
          <w:szCs w:val="24"/>
        </w:rPr>
        <w:fldChar w:fldCharType="begin"/>
      </w:r>
      <w:r w:rsidR="00787F94">
        <w:rPr>
          <w:rFonts w:eastAsia="Calibri"/>
          <w:szCs w:val="24"/>
        </w:rPr>
        <w:instrText xml:space="preserve"> REF _Ref212561548 \r \h </w:instrText>
      </w:r>
      <w:r w:rsidR="00787F94">
        <w:rPr>
          <w:rFonts w:eastAsia="Calibri"/>
          <w:szCs w:val="24"/>
        </w:rPr>
      </w:r>
      <w:r w:rsidR="00787F94">
        <w:rPr>
          <w:rFonts w:eastAsia="Calibri"/>
          <w:szCs w:val="24"/>
        </w:rPr>
        <w:fldChar w:fldCharType="separate"/>
      </w:r>
      <w:r w:rsidR="00787F94">
        <w:rPr>
          <w:rFonts w:eastAsia="Calibri"/>
          <w:szCs w:val="24"/>
        </w:rPr>
        <w:t>5.5.4</w:t>
      </w:r>
      <w:r w:rsidR="00787F94">
        <w:rPr>
          <w:rFonts w:eastAsia="Calibri"/>
          <w:szCs w:val="24"/>
        </w:rPr>
        <w:fldChar w:fldCharType="end"/>
      </w:r>
      <w:r w:rsidRPr="00EC2A19">
        <w:rPr>
          <w:rFonts w:eastAsia="Calibri"/>
          <w:szCs w:val="24"/>
        </w:rPr>
        <w:t xml:space="preserve"> to the state regulatory body. </w:t>
      </w:r>
    </w:p>
    <w:p w14:paraId="3DD7BEBE" w14:textId="77777777" w:rsidR="00EC2A19" w:rsidRPr="00EC2A19" w:rsidRDefault="00EC2A19" w:rsidP="009B3166">
      <w:pPr>
        <w:spacing w:before="120" w:line="300" w:lineRule="auto"/>
        <w:ind w:left="720" w:hanging="720"/>
        <w:rPr>
          <w:rFonts w:eastAsia="Calibri"/>
          <w:szCs w:val="24"/>
        </w:rPr>
      </w:pPr>
      <w:r w:rsidRPr="00EC2A19">
        <w:rPr>
          <w:rFonts w:eastAsia="Calibri"/>
          <w:szCs w:val="24"/>
        </w:rPr>
        <w:t xml:space="preserve">(ii) </w:t>
      </w:r>
      <w:r w:rsidRPr="00EC2A19">
        <w:rPr>
          <w:rFonts w:eastAsia="Calibri"/>
          <w:szCs w:val="24"/>
        </w:rPr>
        <w:tab/>
        <w:t>Through the annual execution of an attestation submitted to the Market Operator, and not later than December 15</w:t>
      </w:r>
      <w:r w:rsidRPr="00EC2A19">
        <w:rPr>
          <w:rFonts w:eastAsia="Calibri"/>
          <w:szCs w:val="24"/>
          <w:vertAlign w:val="superscript"/>
        </w:rPr>
        <w:t>th</w:t>
      </w:r>
      <w:r w:rsidRPr="00EC2A19">
        <w:rPr>
          <w:rFonts w:eastAsia="Calibri"/>
          <w:szCs w:val="24"/>
        </w:rPr>
        <w:t xml:space="preserve"> preceding the relevant calendar year, the Reporting Entity must represent that the following are true: </w:t>
      </w:r>
    </w:p>
    <w:p w14:paraId="18BD4C6D" w14:textId="77777777" w:rsidR="00EC2A19" w:rsidRPr="00EC2A19" w:rsidRDefault="00EC2A19" w:rsidP="009B3166">
      <w:pPr>
        <w:numPr>
          <w:ilvl w:val="0"/>
          <w:numId w:val="324"/>
        </w:numPr>
        <w:spacing w:before="120" w:line="300" w:lineRule="auto"/>
        <w:rPr>
          <w:szCs w:val="24"/>
        </w:rPr>
      </w:pPr>
      <w:r w:rsidRPr="00EC2A19">
        <w:rPr>
          <w:szCs w:val="24"/>
        </w:rPr>
        <w:t xml:space="preserve">The Reporting Entity has notified the state regulatory body of its Excess Energy methodology, and the state regulatory body does not object to the Reporting Entity’s methodology;  </w:t>
      </w:r>
    </w:p>
    <w:p w14:paraId="3129BD6D" w14:textId="77777777" w:rsidR="00EC2A19" w:rsidRPr="00EC2A19" w:rsidRDefault="00EC2A19" w:rsidP="009B3166">
      <w:pPr>
        <w:numPr>
          <w:ilvl w:val="0"/>
          <w:numId w:val="324"/>
        </w:numPr>
        <w:spacing w:before="120" w:line="300" w:lineRule="auto"/>
        <w:rPr>
          <w:szCs w:val="24"/>
        </w:rPr>
      </w:pPr>
      <w:r w:rsidRPr="00EC2A19">
        <w:rPr>
          <w:szCs w:val="24"/>
        </w:rPr>
        <w:t xml:space="preserve">Reporting Entity has notified the state regulatory body of Resources mapped to the Reporting Entity, and the state regulatory body does not object to the Reporting Entity’s Resource Mapping; and </w:t>
      </w:r>
    </w:p>
    <w:p w14:paraId="2954D18C" w14:textId="77777777" w:rsidR="00EC2A19" w:rsidRPr="00EC2A19" w:rsidRDefault="00EC2A19" w:rsidP="009B3166">
      <w:pPr>
        <w:numPr>
          <w:ilvl w:val="0"/>
          <w:numId w:val="324"/>
        </w:numPr>
        <w:spacing w:before="120" w:line="300" w:lineRule="auto"/>
        <w:rPr>
          <w:szCs w:val="24"/>
        </w:rPr>
      </w:pPr>
      <w:r w:rsidRPr="00EC2A19">
        <w:rPr>
          <w:szCs w:val="24"/>
        </w:rPr>
        <w:t xml:space="preserve">The Reporting Entity will, as may be necessary and required, notify the state regulatory body of changes in the Resources mapped to the Reporting Entity, or in changes to its Excess Energy methodology. </w:t>
      </w:r>
    </w:p>
    <w:p w14:paraId="35F79E42" w14:textId="77777777" w:rsidR="00EC2A19" w:rsidRPr="00EC2A19" w:rsidRDefault="00EC2A19" w:rsidP="009B3166">
      <w:pPr>
        <w:spacing w:before="120" w:line="300" w:lineRule="auto"/>
        <w:ind w:left="720" w:hanging="720"/>
        <w:rPr>
          <w:rFonts w:eastAsia="Calibri"/>
          <w:szCs w:val="24"/>
        </w:rPr>
      </w:pPr>
      <w:r w:rsidRPr="00EC2A19">
        <w:rPr>
          <w:rFonts w:eastAsia="Calibri"/>
          <w:szCs w:val="24"/>
        </w:rPr>
        <w:t xml:space="preserve">(iii) </w:t>
      </w:r>
      <w:r w:rsidRPr="00EC2A19">
        <w:rPr>
          <w:rFonts w:eastAsia="Calibri"/>
          <w:szCs w:val="24"/>
        </w:rPr>
        <w:tab/>
        <w:t xml:space="preserve">If the state regulatory body notifies the Market Operator of a dispute regarding the Reporting Entity’s Resource Mapping, the Reporting Entity will, for the duration of the dispute, default to the Resource Mapping that aligns with the state regulatory body’s preference. During period of dispute, the Market Operator will adhere to Resource Mapping as specified above. Once the state regulatory body and the Reporting Entity inform the Market Operator of a resolution, the Market Operator will retroactively apply the agreed-upon Resource Mapping, to the extent practicable. </w:t>
      </w:r>
    </w:p>
    <w:p w14:paraId="777F1EDE" w14:textId="72448B19" w:rsidR="00EC2A19" w:rsidRPr="00EC2A19" w:rsidRDefault="00EC2A19" w:rsidP="009B3166">
      <w:pPr>
        <w:spacing w:before="120" w:line="300" w:lineRule="auto"/>
        <w:ind w:left="720" w:hanging="720"/>
        <w:rPr>
          <w:rFonts w:eastAsia="Calibri"/>
          <w:szCs w:val="24"/>
        </w:rPr>
      </w:pPr>
      <w:r w:rsidRPr="00EC2A19">
        <w:rPr>
          <w:rFonts w:eastAsia="Calibri"/>
          <w:szCs w:val="24"/>
        </w:rPr>
        <w:t>(iv)</w:t>
      </w:r>
      <w:r w:rsidRPr="00EC2A19">
        <w:rPr>
          <w:rFonts w:eastAsia="Calibri"/>
          <w:szCs w:val="24"/>
        </w:rPr>
        <w:tab/>
        <w:t xml:space="preserve">If the state regulatory body notifies the Market Operator that it disputes the Reporting Entity’s Resource </w:t>
      </w:r>
      <w:r w:rsidR="00195632">
        <w:rPr>
          <w:rFonts w:eastAsia="Calibri"/>
          <w:szCs w:val="24"/>
        </w:rPr>
        <w:t>Excess Energy</w:t>
      </w:r>
      <w:r w:rsidR="00195632" w:rsidRPr="00EC2A19">
        <w:rPr>
          <w:rFonts w:eastAsia="Calibri"/>
          <w:szCs w:val="24"/>
        </w:rPr>
        <w:t xml:space="preserve"> </w:t>
      </w:r>
      <w:r w:rsidRPr="00EC2A19">
        <w:rPr>
          <w:rFonts w:eastAsia="Calibri"/>
          <w:szCs w:val="24"/>
        </w:rPr>
        <w:t xml:space="preserve">methodology, the Market Operator may default to the average emissions of the Resource stack while the dispute is pending. Once the state regulatory body and the Reporting Entity notify the Market Operator that a resolution has been reached, the Market Operator will retroactively apply the Resource </w:t>
      </w:r>
      <w:r w:rsidR="00195632">
        <w:rPr>
          <w:rFonts w:eastAsia="Calibri"/>
          <w:szCs w:val="24"/>
        </w:rPr>
        <w:t>Excess Energy</w:t>
      </w:r>
      <w:r w:rsidRPr="00EC2A19">
        <w:rPr>
          <w:rFonts w:eastAsia="Calibri"/>
          <w:szCs w:val="24"/>
        </w:rPr>
        <w:t xml:space="preserve"> methodology, to the extent feasible. </w:t>
      </w:r>
    </w:p>
    <w:p w14:paraId="773A894C" w14:textId="77777777" w:rsidR="00EC2A19" w:rsidRPr="00EC2A19" w:rsidRDefault="00EC2A19" w:rsidP="00CB5653">
      <w:pPr>
        <w:pStyle w:val="Heading3"/>
      </w:pPr>
      <w:bookmarkStart w:id="6972" w:name="_Toc213771983"/>
      <w:r w:rsidRPr="00EC2A19">
        <w:t>Null Power</w:t>
      </w:r>
      <w:bookmarkEnd w:id="6972"/>
    </w:p>
    <w:p w14:paraId="1B0E59BF" w14:textId="77777777" w:rsidR="00EC2A19" w:rsidRPr="00EC2A19" w:rsidRDefault="00EC2A19" w:rsidP="00BD4144">
      <w:pPr>
        <w:spacing w:before="120" w:line="300" w:lineRule="auto"/>
        <w:rPr>
          <w:rFonts w:eastAsia="Calibri"/>
          <w:szCs w:val="24"/>
        </w:rPr>
      </w:pPr>
      <w:r w:rsidRPr="00EC2A19">
        <w:rPr>
          <w:rFonts w:eastAsia="Calibri"/>
          <w:szCs w:val="24"/>
        </w:rPr>
        <w:t xml:space="preserve">Prior to the start of the Day-Ahead Market, a Reporting Entity may designate Null Power associated with its Resource(s). If a Reporting Entity designates Null Power prior to the start of the Day-Ahead Market, the Market Operator may subsequently adjust the amount of Null Power at the direction of the Reporting Entity as necessary to align with actual output. Alternatively, a Reporting Entity may designate or adjust a volume of Null Power through the METra Portal by making such designation or adjustment not more than ninety (90) Calendar Days after the relevant Operating Day. </w:t>
      </w:r>
      <w:bookmarkEnd w:id="6966"/>
    </w:p>
    <w:p w14:paraId="59277184" w14:textId="77777777" w:rsidR="00EC2A19" w:rsidRPr="00EC2A19" w:rsidRDefault="00EC2A19" w:rsidP="00CB5653">
      <w:pPr>
        <w:pStyle w:val="Heading3"/>
      </w:pPr>
      <w:bookmarkStart w:id="6973" w:name="_Hlt212562167"/>
      <w:bookmarkStart w:id="6974" w:name="_Hlt212562423"/>
      <w:bookmarkStart w:id="6975" w:name="_Ref212561548"/>
      <w:bookmarkStart w:id="6976" w:name="_Toc213771984"/>
      <w:bookmarkEnd w:id="6973"/>
      <w:bookmarkEnd w:id="6974"/>
      <w:r w:rsidRPr="00EC2A19">
        <w:t>GHG Residual Energy</w:t>
      </w:r>
      <w:bookmarkEnd w:id="6975"/>
      <w:bookmarkEnd w:id="6976"/>
      <w:r w:rsidRPr="00EC2A19">
        <w:t xml:space="preserve"> </w:t>
      </w:r>
    </w:p>
    <w:p w14:paraId="593AB469" w14:textId="77777777" w:rsidR="00EC2A19" w:rsidRPr="00EC2A19" w:rsidRDefault="00EC2A19" w:rsidP="00BD4144">
      <w:pPr>
        <w:numPr>
          <w:ilvl w:val="0"/>
          <w:numId w:val="412"/>
        </w:numPr>
        <w:spacing w:before="120" w:line="300" w:lineRule="auto"/>
        <w:ind w:left="720"/>
        <w:rPr>
          <w:rFonts w:eastAsia="Calibri"/>
          <w:sz w:val="22"/>
          <w:szCs w:val="22"/>
        </w:rPr>
      </w:pPr>
      <w:r w:rsidRPr="00EC2A19">
        <w:rPr>
          <w:rFonts w:eastAsia="Calibri"/>
          <w:szCs w:val="24"/>
        </w:rPr>
        <w:t xml:space="preserve">A Reporting Entity will communicate to the Market Operator its methodology for determining how Excess Energy is allocated to Residual Energy. A Reporting Entity must notify the Market Operator, via the METra Portal, of its excess methodology by December 15th preceding the relevant calendar year. A Market Participant may not elect to change its methodology under this provision more than once every three (3) years. </w:t>
      </w:r>
    </w:p>
    <w:p w14:paraId="6709AF0F" w14:textId="02A4955C" w:rsidR="00EC2A19" w:rsidRPr="00EC2A19" w:rsidRDefault="00E64F09" w:rsidP="00BD4144">
      <w:pPr>
        <w:numPr>
          <w:ilvl w:val="0"/>
          <w:numId w:val="412"/>
        </w:numPr>
        <w:spacing w:before="120" w:line="300" w:lineRule="auto"/>
        <w:ind w:left="720"/>
        <w:rPr>
          <w:rFonts w:eastAsia="Calibri"/>
          <w:sz w:val="22"/>
          <w:szCs w:val="22"/>
        </w:rPr>
      </w:pPr>
      <w:r>
        <w:rPr>
          <w:rFonts w:eastAsia="Calibri"/>
          <w:szCs w:val="24"/>
        </w:rPr>
        <w:t>The Market Operator</w:t>
      </w:r>
      <w:r w:rsidR="00EC2A19" w:rsidRPr="00EC2A19">
        <w:rPr>
          <w:rFonts w:eastAsia="Calibri"/>
          <w:szCs w:val="24"/>
        </w:rPr>
        <w:t xml:space="preserve"> may allow for exceptions to the above-recited rule should any change in state rule, regulation, or law necessitate a change in methodology. </w:t>
      </w:r>
    </w:p>
    <w:p w14:paraId="4D8FC81A" w14:textId="77777777" w:rsidR="00EC2A19" w:rsidRPr="00EC2A19" w:rsidRDefault="00EC2A19" w:rsidP="00BD4144">
      <w:pPr>
        <w:numPr>
          <w:ilvl w:val="0"/>
          <w:numId w:val="412"/>
        </w:numPr>
        <w:spacing w:before="120" w:line="300" w:lineRule="auto"/>
        <w:ind w:left="720"/>
        <w:rPr>
          <w:rFonts w:eastAsia="Calibri"/>
          <w:szCs w:val="24"/>
        </w:rPr>
      </w:pPr>
      <w:r w:rsidRPr="00EC2A19">
        <w:rPr>
          <w:rFonts w:eastAsia="Calibri"/>
          <w:szCs w:val="24"/>
        </w:rPr>
        <w:t xml:space="preserve">The methodologies available for selection by the Reporting Entity are: </w:t>
      </w:r>
    </w:p>
    <w:p w14:paraId="33241566" w14:textId="468AC742" w:rsidR="00EC2A19" w:rsidRPr="00EC2A19" w:rsidRDefault="00EC2A19" w:rsidP="00BD4144">
      <w:pPr>
        <w:numPr>
          <w:ilvl w:val="1"/>
          <w:numId w:val="412"/>
        </w:numPr>
        <w:spacing w:before="120" w:line="300" w:lineRule="auto"/>
        <w:ind w:left="1080"/>
        <w:rPr>
          <w:rFonts w:eastAsia="Calibri"/>
          <w:szCs w:val="24"/>
        </w:rPr>
      </w:pPr>
      <w:r w:rsidRPr="00EC2A19">
        <w:rPr>
          <w:rFonts w:eastAsia="Calibri"/>
          <w:b/>
          <w:bCs/>
          <w:szCs w:val="24"/>
        </w:rPr>
        <w:t>Average Resource Portfolio</w:t>
      </w:r>
      <w:r w:rsidRPr="00EC2A19">
        <w:rPr>
          <w:rFonts w:eastAsia="Calibri"/>
          <w:szCs w:val="24"/>
        </w:rPr>
        <w:t>. A Load Responsible Entity’s Excess Energy will contribute to the Residual Energy calculation using the weighted average production of the Load Responsible Entity’s mapped Resources and Import Interchange Transactions during the relevant market interval. The emission</w:t>
      </w:r>
      <w:r w:rsidR="00B20CD3">
        <w:rPr>
          <w:rFonts w:eastAsia="Calibri"/>
          <w:szCs w:val="24"/>
        </w:rPr>
        <w:t>s</w:t>
      </w:r>
      <w:r w:rsidRPr="00EC2A19">
        <w:rPr>
          <w:rFonts w:eastAsia="Calibri"/>
          <w:szCs w:val="24"/>
        </w:rPr>
        <w:t xml:space="preserve"> factor applied to Import Interchange Transactions is described in Section </w:t>
      </w:r>
      <w:r w:rsidR="00F24EC6">
        <w:rPr>
          <w:rFonts w:eastAsia="Calibri"/>
          <w:szCs w:val="24"/>
        </w:rPr>
        <w:fldChar w:fldCharType="begin"/>
      </w:r>
      <w:r w:rsidR="00F24EC6">
        <w:rPr>
          <w:rFonts w:eastAsia="Calibri"/>
          <w:szCs w:val="24"/>
        </w:rPr>
        <w:instrText xml:space="preserve"> REF _Ref212561785 \r \h </w:instrText>
      </w:r>
      <w:r w:rsidR="00F24EC6">
        <w:rPr>
          <w:rFonts w:eastAsia="Calibri"/>
          <w:szCs w:val="24"/>
        </w:rPr>
      </w:r>
      <w:r w:rsidR="00F24EC6">
        <w:rPr>
          <w:rFonts w:eastAsia="Calibri"/>
          <w:szCs w:val="24"/>
        </w:rPr>
        <w:fldChar w:fldCharType="separate"/>
      </w:r>
      <w:r w:rsidR="00F24EC6">
        <w:rPr>
          <w:rFonts w:eastAsia="Calibri"/>
          <w:szCs w:val="24"/>
        </w:rPr>
        <w:t>5.5.2.2</w:t>
      </w:r>
      <w:r w:rsidR="00F24EC6">
        <w:rPr>
          <w:rFonts w:eastAsia="Calibri"/>
          <w:szCs w:val="24"/>
        </w:rPr>
        <w:fldChar w:fldCharType="end"/>
      </w:r>
      <w:r w:rsidRPr="00EC2A19">
        <w:rPr>
          <w:rFonts w:eastAsia="Calibri"/>
          <w:szCs w:val="24"/>
        </w:rPr>
        <w:t>(1)(a)</w:t>
      </w:r>
      <w:r w:rsidR="00F24EC6">
        <w:rPr>
          <w:rFonts w:eastAsia="Calibri"/>
          <w:szCs w:val="24"/>
        </w:rPr>
        <w:t>.</w:t>
      </w:r>
      <w:r w:rsidRPr="00EC2A19">
        <w:rPr>
          <w:rFonts w:eastAsia="Calibri"/>
          <w:szCs w:val="24"/>
        </w:rPr>
        <w:t xml:space="preserve"> Export Interchange Transactions and associated emissions will be removed from the calculation as described in Section </w:t>
      </w:r>
      <w:r w:rsidR="00F24EC6">
        <w:rPr>
          <w:rFonts w:eastAsia="Calibri"/>
          <w:szCs w:val="24"/>
        </w:rPr>
        <w:fldChar w:fldCharType="begin"/>
      </w:r>
      <w:r w:rsidR="00F24EC6">
        <w:rPr>
          <w:rFonts w:eastAsia="Calibri"/>
          <w:szCs w:val="24"/>
        </w:rPr>
        <w:instrText xml:space="preserve"> REF _Ref212561785 \r \h </w:instrText>
      </w:r>
      <w:r w:rsidR="00F24EC6">
        <w:rPr>
          <w:rFonts w:eastAsia="Calibri"/>
          <w:szCs w:val="24"/>
        </w:rPr>
      </w:r>
      <w:r w:rsidR="00F24EC6">
        <w:rPr>
          <w:rFonts w:eastAsia="Calibri"/>
          <w:szCs w:val="24"/>
        </w:rPr>
        <w:fldChar w:fldCharType="separate"/>
      </w:r>
      <w:r w:rsidR="00F24EC6">
        <w:rPr>
          <w:rFonts w:eastAsia="Calibri"/>
          <w:szCs w:val="24"/>
        </w:rPr>
        <w:t>5.5.2.2</w:t>
      </w:r>
      <w:r w:rsidR="00F24EC6">
        <w:rPr>
          <w:rFonts w:eastAsia="Calibri"/>
          <w:szCs w:val="24"/>
        </w:rPr>
        <w:fldChar w:fldCharType="end"/>
      </w:r>
      <w:r w:rsidRPr="00EC2A19">
        <w:rPr>
          <w:rFonts w:eastAsia="Calibri"/>
          <w:szCs w:val="24"/>
        </w:rPr>
        <w:t>(2) (a) and (b). The emissions contributed to Residual Energy will be calculated using the weighted average production and emission</w:t>
      </w:r>
      <w:r w:rsidR="00B20CD3">
        <w:rPr>
          <w:rFonts w:eastAsia="Calibri"/>
          <w:szCs w:val="24"/>
        </w:rPr>
        <w:t>s</w:t>
      </w:r>
      <w:r w:rsidRPr="00EC2A19">
        <w:rPr>
          <w:rFonts w:eastAsia="Calibri"/>
          <w:szCs w:val="24"/>
        </w:rPr>
        <w:t xml:space="preserve"> factor of each Resource and Import Interchange Transaction. </w:t>
      </w:r>
    </w:p>
    <w:p w14:paraId="0A55A613" w14:textId="44577B7A" w:rsidR="00EC2A19" w:rsidRPr="00EC2A19" w:rsidRDefault="00EC2A19" w:rsidP="00BD4144">
      <w:pPr>
        <w:numPr>
          <w:ilvl w:val="1"/>
          <w:numId w:val="412"/>
        </w:numPr>
        <w:spacing w:before="120" w:line="300" w:lineRule="auto"/>
        <w:ind w:left="1080"/>
        <w:rPr>
          <w:rFonts w:eastAsia="Calibri"/>
          <w:szCs w:val="24"/>
        </w:rPr>
      </w:pPr>
      <w:r w:rsidRPr="00EC2A19">
        <w:rPr>
          <w:rFonts w:eastAsia="Calibri"/>
          <w:b/>
          <w:bCs/>
          <w:szCs w:val="24"/>
        </w:rPr>
        <w:t>Economic Resource Stack</w:t>
      </w:r>
      <w:r w:rsidRPr="00EC2A19">
        <w:rPr>
          <w:rFonts w:eastAsia="Calibri"/>
          <w:szCs w:val="24"/>
        </w:rPr>
        <w:t xml:space="preserve">.  The Market Operator constructs an hourly Resource stack based on the economic order of each offer segment of the Resources in the Reporting Entity’s Resource Portfolio from lowest cost to highest cost of the Reporting Entity’s Real Time Balancing Market Energy Offers (inclusive of the GHG Adder for the portion of any Resource Attributed to a GHG Pricing Zone) up to the hourly average of the Resource actual output in the RTBM. With respect to a Resource which submits a Commitment Status of Self or Reliability Must Run (RMR), the RTBM Offer Curve up to the Resource’s </w:t>
      </w:r>
      <w:r w:rsidR="0035440C">
        <w:rPr>
          <w:rFonts w:eastAsia="Calibri"/>
          <w:szCs w:val="24"/>
        </w:rPr>
        <w:t>Min ECOL</w:t>
      </w:r>
      <w:r w:rsidRPr="00EC2A19">
        <w:rPr>
          <w:rFonts w:eastAsia="Calibri"/>
          <w:szCs w:val="24"/>
        </w:rPr>
        <w:t xml:space="preserve"> will be considered the lowest cost supply for purposes of this economic order process and will be added to the merit order stack first. For partially contracted Resources to a Reporting Entity, inclusive of partial contracts on Resources allocated to a GHG Pricing Zone,  the average of the RTBM Energy Offer Curve will be used to place the Resource in the appropriate position of the Resource stack. In the event the Reporting Entity’s load value falls on a Resource stack that includes non-unique Energy Offer Curve segments, the Market Operator will evenly split the Excess Energy MWs between the equivalent Resources where the emission</w:t>
      </w:r>
      <w:r w:rsidR="00B20CD3">
        <w:rPr>
          <w:rFonts w:eastAsia="Calibri"/>
          <w:szCs w:val="24"/>
        </w:rPr>
        <w:t>s</w:t>
      </w:r>
      <w:r w:rsidRPr="00EC2A19">
        <w:rPr>
          <w:rFonts w:eastAsia="Calibri"/>
          <w:szCs w:val="24"/>
        </w:rPr>
        <w:t xml:space="preserve"> factors of the equivalent Resources will be used in combination with the split Excess Energy MWs to contribute to the Residual Energy.</w:t>
      </w:r>
    </w:p>
    <w:p w14:paraId="742DCC30" w14:textId="3970A35B" w:rsidR="00EC2A19" w:rsidRPr="00EC2A19" w:rsidRDefault="00EC2A19" w:rsidP="00BD4144">
      <w:pPr>
        <w:spacing w:before="120" w:line="300" w:lineRule="auto"/>
        <w:ind w:left="1080"/>
        <w:rPr>
          <w:rFonts w:eastAsia="Calibri"/>
          <w:szCs w:val="24"/>
        </w:rPr>
      </w:pPr>
      <w:r w:rsidRPr="00EC2A19">
        <w:rPr>
          <w:rFonts w:eastAsia="Calibri"/>
          <w:szCs w:val="24"/>
        </w:rPr>
        <w:t xml:space="preserve">In RTBM, all Import Interchange Transactions will be treated as Self-Scheduled Import Interchange Transactions. Accordingly, for purposes of the economic resource stack, these Import Interchange Transactions will be placed first in the stack. Source-specific Export Interchange Transaction MW volumes and associated emissions will be removed from the stack, and undefined Export Interchange Transaction MW volumes will be removed pro-rata across the Reporting Entity’s Resource Portfolio as described in Section </w:t>
      </w:r>
      <w:r w:rsidR="000138EE">
        <w:rPr>
          <w:rFonts w:eastAsia="Calibri"/>
          <w:szCs w:val="24"/>
        </w:rPr>
        <w:fldChar w:fldCharType="begin"/>
      </w:r>
      <w:r w:rsidR="000138EE">
        <w:rPr>
          <w:rFonts w:eastAsia="Calibri"/>
          <w:szCs w:val="24"/>
        </w:rPr>
        <w:instrText xml:space="preserve"> REF _Ref212561785 \r \h </w:instrText>
      </w:r>
      <w:r w:rsidR="000138EE">
        <w:rPr>
          <w:rFonts w:eastAsia="Calibri"/>
          <w:szCs w:val="24"/>
        </w:rPr>
      </w:r>
      <w:r w:rsidR="000138EE">
        <w:rPr>
          <w:rFonts w:eastAsia="Calibri"/>
          <w:szCs w:val="24"/>
        </w:rPr>
        <w:fldChar w:fldCharType="separate"/>
      </w:r>
      <w:r w:rsidR="000138EE">
        <w:rPr>
          <w:rFonts w:eastAsia="Calibri"/>
          <w:szCs w:val="24"/>
        </w:rPr>
        <w:t>5.5.2.2</w:t>
      </w:r>
      <w:r w:rsidR="000138EE">
        <w:rPr>
          <w:rFonts w:eastAsia="Calibri"/>
          <w:szCs w:val="24"/>
        </w:rPr>
        <w:fldChar w:fldCharType="end"/>
      </w:r>
      <w:r w:rsidRPr="00EC2A19">
        <w:rPr>
          <w:rFonts w:eastAsia="Calibri"/>
          <w:szCs w:val="24"/>
        </w:rPr>
        <w:t>(2) (a) and (b).</w:t>
      </w:r>
    </w:p>
    <w:p w14:paraId="1BFF4660" w14:textId="3137A80F" w:rsidR="00EC2A19" w:rsidRPr="00EC2A19" w:rsidRDefault="00EC2A19" w:rsidP="009B3166">
      <w:pPr>
        <w:spacing w:before="120" w:line="300" w:lineRule="auto"/>
        <w:rPr>
          <w:rFonts w:eastAsia="Calibri"/>
          <w:szCs w:val="24"/>
        </w:rPr>
      </w:pPr>
      <w:r w:rsidRPr="00EC2A19">
        <w:rPr>
          <w:rFonts w:eastAsia="Calibri"/>
          <w:szCs w:val="24"/>
        </w:rPr>
        <w:t xml:space="preserve">The following example illustrates how the Market Operator will associate emissions with any Excess Energy MWs from a Reporting Entity based on the economic Resource stack. Exhibit 5-1 provides a summary of the raw data inputs needed to perform the economic Resource stack.  For this example, assuming one-hour snapshot granularity, there are four (4) Resources mapped to the Reporting Entity. The Commitment Status, Energy Offer Curve, and Resource output data are obtained after each RTBM solution. The economic Resource stack is performed for each </w:t>
      </w:r>
      <w:r w:rsidR="0081538D">
        <w:rPr>
          <w:rFonts w:eastAsia="Calibri"/>
          <w:szCs w:val="24"/>
        </w:rPr>
        <w:t>Operating H</w:t>
      </w:r>
      <w:r w:rsidRPr="00EC2A19">
        <w:rPr>
          <w:rFonts w:eastAsia="Calibri"/>
          <w:szCs w:val="24"/>
        </w:rPr>
        <w:t>our of the Operating Day.</w:t>
      </w:r>
    </w:p>
    <w:p w14:paraId="264E36FD" w14:textId="77777777" w:rsidR="00EC2A19" w:rsidRPr="00EC2A19" w:rsidRDefault="00EC2A19" w:rsidP="00BD4144">
      <w:pPr>
        <w:spacing w:before="120" w:line="300" w:lineRule="auto"/>
        <w:jc w:val="center"/>
        <w:rPr>
          <w:rFonts w:eastAsia="Calibri"/>
          <w:b/>
          <w:bCs/>
          <w:szCs w:val="24"/>
        </w:rPr>
      </w:pPr>
      <w:r w:rsidRPr="00F94884">
        <w:rPr>
          <w:rFonts w:eastAsia="Calibri"/>
          <w:b/>
          <w:szCs w:val="24"/>
        </w:rPr>
        <w:t>Exhibit 5-1</w:t>
      </w:r>
    </w:p>
    <w:p w14:paraId="21A04FEB" w14:textId="379F898B" w:rsidR="00EC2A19" w:rsidRPr="00EC2A19" w:rsidRDefault="00EC2A19" w:rsidP="00BD4144">
      <w:pPr>
        <w:spacing w:before="120" w:line="300" w:lineRule="auto"/>
        <w:jc w:val="center"/>
        <w:rPr>
          <w:rFonts w:eastAsia="Calibri"/>
          <w:b/>
          <w:bCs/>
          <w:szCs w:val="24"/>
        </w:rPr>
      </w:pPr>
      <w:r w:rsidRPr="00EC2A19">
        <w:rPr>
          <w:rFonts w:eastAsia="Calibri"/>
          <w:b/>
          <w:bCs/>
          <w:szCs w:val="24"/>
        </w:rPr>
        <w:t>Economic Resource Stack Input Data</w:t>
      </w:r>
    </w:p>
    <w:p w14:paraId="1E26B334" w14:textId="77777777" w:rsidR="00EC2A19" w:rsidRPr="00EC2A19" w:rsidRDefault="00EC2A19" w:rsidP="009B3166">
      <w:pPr>
        <w:spacing w:before="120" w:line="300" w:lineRule="auto"/>
        <w:rPr>
          <w:rFonts w:eastAsia="Calibri"/>
          <w:b/>
          <w:bCs/>
          <w:szCs w:val="24"/>
        </w:rPr>
      </w:pPr>
      <w:r w:rsidRPr="00EC2A19">
        <w:rPr>
          <w:rFonts w:eastAsia="Calibri"/>
          <w:noProof/>
          <w:sz w:val="22"/>
          <w:szCs w:val="22"/>
        </w:rPr>
        <w:drawing>
          <wp:inline distT="0" distB="0" distL="0" distR="0" wp14:anchorId="297C3B15" wp14:editId="1DF36CF9">
            <wp:extent cx="5607050" cy="2351880"/>
            <wp:effectExtent l="0" t="0" r="0" b="0"/>
            <wp:docPr id="1243912728"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12728" name="Picture 1" descr="Graphical user interface&#10;&#10;Description automatically generated"/>
                    <pic:cNvPicPr/>
                  </pic:nvPicPr>
                  <pic:blipFill>
                    <a:blip r:embed="rId84"/>
                    <a:stretch>
                      <a:fillRect/>
                    </a:stretch>
                  </pic:blipFill>
                  <pic:spPr>
                    <a:xfrm>
                      <a:off x="0" y="0"/>
                      <a:ext cx="5631442" cy="2362111"/>
                    </a:xfrm>
                    <a:prstGeom prst="rect">
                      <a:avLst/>
                    </a:prstGeom>
                  </pic:spPr>
                </pic:pic>
              </a:graphicData>
            </a:graphic>
          </wp:inline>
        </w:drawing>
      </w:r>
    </w:p>
    <w:p w14:paraId="4DB59AA5" w14:textId="04DB88DF" w:rsidR="00EC2A19" w:rsidRPr="00EC2A19" w:rsidRDefault="00EC2A19" w:rsidP="009B3166">
      <w:pPr>
        <w:spacing w:before="120" w:line="300" w:lineRule="auto"/>
        <w:rPr>
          <w:rFonts w:eastAsia="Calibri"/>
          <w:szCs w:val="24"/>
        </w:rPr>
      </w:pPr>
      <w:r w:rsidRPr="00EC2A19">
        <w:rPr>
          <w:rFonts w:eastAsia="Calibri"/>
          <w:szCs w:val="24"/>
        </w:rPr>
        <w:t xml:space="preserve">Using the input data shown in Exhibit 5-1, the Market Operator creates the economic Resource stack for the Reporting Entity.  Each Resource energy offer segment is sorted from lowest cost to highest cost.  Consistent with the rules described under Section </w:t>
      </w:r>
      <w:r w:rsidR="00E75519">
        <w:rPr>
          <w:rFonts w:eastAsia="Calibri"/>
          <w:szCs w:val="24"/>
        </w:rPr>
        <w:fldChar w:fldCharType="begin"/>
      </w:r>
      <w:r w:rsidR="00E75519">
        <w:rPr>
          <w:rFonts w:eastAsia="Calibri"/>
          <w:szCs w:val="24"/>
        </w:rPr>
        <w:instrText xml:space="preserve"> REF _Ref212561548 \r \h </w:instrText>
      </w:r>
      <w:r w:rsidR="00E75519">
        <w:rPr>
          <w:rFonts w:eastAsia="Calibri"/>
          <w:szCs w:val="24"/>
        </w:rPr>
      </w:r>
      <w:r w:rsidR="00E75519">
        <w:rPr>
          <w:rFonts w:eastAsia="Calibri"/>
          <w:szCs w:val="24"/>
        </w:rPr>
        <w:fldChar w:fldCharType="separate"/>
      </w:r>
      <w:r w:rsidR="00E75519">
        <w:rPr>
          <w:rFonts w:eastAsia="Calibri"/>
          <w:szCs w:val="24"/>
        </w:rPr>
        <w:t>5.5</w:t>
      </w:r>
      <w:bookmarkStart w:id="6977" w:name="_Hlt212561974"/>
      <w:r w:rsidR="00E75519">
        <w:rPr>
          <w:rFonts w:eastAsia="Calibri"/>
          <w:szCs w:val="24"/>
        </w:rPr>
        <w:t>.</w:t>
      </w:r>
      <w:bookmarkEnd w:id="6977"/>
      <w:r w:rsidR="00E75519">
        <w:rPr>
          <w:rFonts w:eastAsia="Calibri"/>
          <w:szCs w:val="24"/>
        </w:rPr>
        <w:t>4</w:t>
      </w:r>
      <w:r w:rsidR="00E75519">
        <w:rPr>
          <w:rFonts w:eastAsia="Calibri"/>
          <w:szCs w:val="24"/>
        </w:rPr>
        <w:fldChar w:fldCharType="end"/>
      </w:r>
      <w:r w:rsidR="0068417D">
        <w:rPr>
          <w:rFonts w:eastAsia="Calibri"/>
          <w:szCs w:val="24"/>
        </w:rPr>
        <w:t>(3)</w:t>
      </w:r>
      <w:r w:rsidRPr="00EC2A19">
        <w:rPr>
          <w:rFonts w:eastAsia="Calibri"/>
          <w:szCs w:val="24"/>
        </w:rPr>
        <w:t xml:space="preserve">(b) the cost of the minimum capacity segment of the Resource with a Commit Status of “Self” is considered the lowest value.  The total output of all resources for this Reporting Entity is 1,200 MW. The Reporting Entity </w:t>
      </w:r>
      <w:r w:rsidR="006D5937">
        <w:rPr>
          <w:rFonts w:eastAsia="Calibri"/>
          <w:szCs w:val="24"/>
        </w:rPr>
        <w:t>l</w:t>
      </w:r>
      <w:r w:rsidRPr="00EC2A19">
        <w:rPr>
          <w:rFonts w:eastAsia="Calibri"/>
          <w:szCs w:val="24"/>
        </w:rPr>
        <w:t xml:space="preserve">oad is 800 MW, therefore in this example, the Excess Energy contributed to the Residual Energy is 400 MW for the Reporting Entity. </w:t>
      </w:r>
    </w:p>
    <w:p w14:paraId="4AFA9417" w14:textId="77777777" w:rsidR="00EC2A19" w:rsidRPr="00EC2A19" w:rsidRDefault="00EC2A19" w:rsidP="009B3166">
      <w:pPr>
        <w:spacing w:before="120" w:line="300" w:lineRule="auto"/>
        <w:ind w:left="2160"/>
        <w:rPr>
          <w:rFonts w:eastAsia="Calibri"/>
          <w:szCs w:val="24"/>
        </w:rPr>
      </w:pPr>
    </w:p>
    <w:p w14:paraId="42578B15" w14:textId="77777777" w:rsidR="00EB74AE" w:rsidRDefault="00EB74AE">
      <w:pPr>
        <w:spacing w:after="0"/>
        <w:jc w:val="left"/>
        <w:rPr>
          <w:rFonts w:eastAsia="Calibri"/>
          <w:b/>
          <w:bCs/>
          <w:szCs w:val="24"/>
        </w:rPr>
      </w:pPr>
      <w:r>
        <w:rPr>
          <w:rFonts w:eastAsia="Calibri"/>
          <w:b/>
          <w:bCs/>
          <w:szCs w:val="24"/>
        </w:rPr>
        <w:br w:type="page"/>
      </w:r>
    </w:p>
    <w:p w14:paraId="0A1022A1" w14:textId="77777777" w:rsidR="00EC2A19" w:rsidRPr="00EC2A19" w:rsidRDefault="00EC2A19" w:rsidP="00EB74AE">
      <w:pPr>
        <w:spacing w:before="120" w:line="300" w:lineRule="auto"/>
        <w:jc w:val="center"/>
        <w:rPr>
          <w:rFonts w:eastAsia="Calibri"/>
          <w:b/>
          <w:bCs/>
          <w:szCs w:val="24"/>
        </w:rPr>
      </w:pPr>
      <w:r w:rsidRPr="00EC2A19">
        <w:rPr>
          <w:rFonts w:eastAsia="Calibri"/>
          <w:b/>
          <w:bCs/>
          <w:szCs w:val="24"/>
        </w:rPr>
        <w:t>Exhibit 5-2</w:t>
      </w:r>
    </w:p>
    <w:p w14:paraId="280D4006" w14:textId="1DDCE698" w:rsidR="00EC2A19" w:rsidRPr="00EC2A19" w:rsidRDefault="00EC2A19" w:rsidP="00EB74AE">
      <w:pPr>
        <w:spacing w:before="120" w:line="300" w:lineRule="auto"/>
        <w:jc w:val="center"/>
        <w:rPr>
          <w:rFonts w:eastAsia="Calibri"/>
          <w:b/>
          <w:bCs/>
          <w:szCs w:val="24"/>
        </w:rPr>
      </w:pPr>
      <w:r w:rsidRPr="00EC2A19">
        <w:rPr>
          <w:rFonts w:eastAsia="Calibri"/>
          <w:b/>
          <w:bCs/>
          <w:szCs w:val="24"/>
        </w:rPr>
        <w:t>Economic Resource Stack</w:t>
      </w:r>
    </w:p>
    <w:p w14:paraId="1F5DEF3D" w14:textId="4C79E84E" w:rsidR="00EC2A19" w:rsidRPr="00EC2A19" w:rsidRDefault="00EC2A19" w:rsidP="00EB74AE">
      <w:pPr>
        <w:spacing w:before="120" w:line="300" w:lineRule="auto"/>
        <w:jc w:val="center"/>
        <w:rPr>
          <w:rFonts w:eastAsia="Calibri"/>
          <w:b/>
          <w:bCs/>
          <w:szCs w:val="24"/>
        </w:rPr>
      </w:pPr>
      <w:r w:rsidRPr="00EC2A19">
        <w:rPr>
          <w:rFonts w:eastAsia="Calibri"/>
          <w:noProof/>
          <w:sz w:val="22"/>
          <w:szCs w:val="22"/>
        </w:rPr>
        <w:drawing>
          <wp:inline distT="0" distB="0" distL="0" distR="0" wp14:anchorId="1EA845DB" wp14:editId="388C9B48">
            <wp:extent cx="4503975" cy="3486150"/>
            <wp:effectExtent l="0" t="0" r="0" b="0"/>
            <wp:docPr id="211256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14043" cy="3493943"/>
                    </a:xfrm>
                    <a:prstGeom prst="rect">
                      <a:avLst/>
                    </a:prstGeom>
                    <a:noFill/>
                    <a:ln>
                      <a:noFill/>
                    </a:ln>
                  </pic:spPr>
                </pic:pic>
              </a:graphicData>
            </a:graphic>
          </wp:inline>
        </w:drawing>
      </w:r>
    </w:p>
    <w:p w14:paraId="71AFAE74" w14:textId="60DD9A41" w:rsidR="00EC2A19" w:rsidRPr="00EC2A19" w:rsidRDefault="00EC2A19" w:rsidP="009B3166">
      <w:pPr>
        <w:spacing w:before="120" w:line="300" w:lineRule="auto"/>
        <w:rPr>
          <w:rFonts w:eastAsia="Calibri"/>
          <w:szCs w:val="24"/>
        </w:rPr>
      </w:pPr>
      <w:r w:rsidRPr="00EC2A19">
        <w:rPr>
          <w:rFonts w:eastAsia="Calibri"/>
          <w:szCs w:val="24"/>
        </w:rPr>
        <w:t xml:space="preserve">Each Resource’s energy offer segment is sorted from lowest cost to highest cost. Consistent with the rules described under Section </w:t>
      </w:r>
      <w:r w:rsidR="009D2B93">
        <w:rPr>
          <w:rFonts w:eastAsia="Calibri"/>
          <w:szCs w:val="24"/>
        </w:rPr>
        <w:fldChar w:fldCharType="begin"/>
      </w:r>
      <w:r w:rsidR="009D2B93">
        <w:rPr>
          <w:rFonts w:eastAsia="Calibri"/>
          <w:szCs w:val="24"/>
        </w:rPr>
        <w:instrText xml:space="preserve"> REF _Ref212561548 \r \h </w:instrText>
      </w:r>
      <w:r w:rsidR="009D2B93">
        <w:rPr>
          <w:rFonts w:eastAsia="Calibri"/>
          <w:szCs w:val="24"/>
        </w:rPr>
      </w:r>
      <w:r w:rsidR="009D2B93">
        <w:rPr>
          <w:rFonts w:eastAsia="Calibri"/>
          <w:szCs w:val="24"/>
        </w:rPr>
        <w:fldChar w:fldCharType="separate"/>
      </w:r>
      <w:r w:rsidR="009D2B93">
        <w:rPr>
          <w:rFonts w:eastAsia="Calibri"/>
          <w:szCs w:val="24"/>
        </w:rPr>
        <w:t>5.5.4</w:t>
      </w:r>
      <w:r w:rsidR="009D2B93">
        <w:rPr>
          <w:rFonts w:eastAsia="Calibri"/>
          <w:szCs w:val="24"/>
        </w:rPr>
        <w:fldChar w:fldCharType="end"/>
      </w:r>
      <w:r w:rsidRPr="00EC2A19">
        <w:rPr>
          <w:rFonts w:eastAsia="Calibri"/>
          <w:szCs w:val="24"/>
        </w:rPr>
        <w:t>(</w:t>
      </w:r>
      <w:r w:rsidR="009D2B93">
        <w:rPr>
          <w:rFonts w:eastAsia="Calibri"/>
          <w:szCs w:val="24"/>
        </w:rPr>
        <w:t>3</w:t>
      </w:r>
      <w:r w:rsidRPr="00EC2A19">
        <w:rPr>
          <w:rFonts w:eastAsia="Calibri"/>
          <w:szCs w:val="24"/>
        </w:rPr>
        <w:t xml:space="preserve">)(b) the cost of the minimum capacity segment of the Resource with a Commit Status of “Self” is considered the lowest value. </w:t>
      </w:r>
    </w:p>
    <w:p w14:paraId="5471BE00" w14:textId="77777777" w:rsidR="00EB74AE" w:rsidRDefault="00EB74AE">
      <w:pPr>
        <w:spacing w:after="0"/>
        <w:jc w:val="left"/>
        <w:rPr>
          <w:rFonts w:eastAsia="Calibri"/>
          <w:b/>
          <w:bCs/>
          <w:szCs w:val="24"/>
        </w:rPr>
      </w:pPr>
      <w:r>
        <w:rPr>
          <w:rFonts w:eastAsia="Calibri"/>
          <w:b/>
          <w:bCs/>
          <w:szCs w:val="24"/>
        </w:rPr>
        <w:br w:type="page"/>
      </w:r>
    </w:p>
    <w:p w14:paraId="7BC49A4A" w14:textId="77777777" w:rsidR="00EC2A19" w:rsidRPr="00EC2A19" w:rsidRDefault="00EC2A19" w:rsidP="00EB74AE">
      <w:pPr>
        <w:spacing w:before="120" w:line="300" w:lineRule="auto"/>
        <w:jc w:val="center"/>
        <w:rPr>
          <w:rFonts w:eastAsia="Calibri"/>
          <w:b/>
          <w:bCs/>
          <w:szCs w:val="24"/>
        </w:rPr>
      </w:pPr>
      <w:r w:rsidRPr="00EC2A19">
        <w:rPr>
          <w:rFonts w:eastAsia="Calibri"/>
          <w:b/>
          <w:bCs/>
          <w:szCs w:val="24"/>
        </w:rPr>
        <w:t>Exhibit 5-3</w:t>
      </w:r>
    </w:p>
    <w:p w14:paraId="405FF65A" w14:textId="77777777" w:rsidR="00EC2A19" w:rsidRPr="00EC2A19" w:rsidRDefault="00EC2A19" w:rsidP="00EB74AE">
      <w:pPr>
        <w:spacing w:before="120" w:line="300" w:lineRule="auto"/>
        <w:jc w:val="center"/>
        <w:rPr>
          <w:rFonts w:eastAsia="Calibri"/>
          <w:b/>
          <w:bCs/>
          <w:szCs w:val="24"/>
        </w:rPr>
      </w:pPr>
      <w:r w:rsidRPr="00EC2A19">
        <w:rPr>
          <w:rFonts w:eastAsia="Calibri"/>
          <w:b/>
          <w:bCs/>
          <w:szCs w:val="24"/>
        </w:rPr>
        <w:t>Association of Emission Factors for Residual Energy</w:t>
      </w:r>
    </w:p>
    <w:p w14:paraId="3C7AC312" w14:textId="77777777" w:rsidR="00EC2A19" w:rsidRPr="00EC2A19" w:rsidRDefault="00EC2A19" w:rsidP="009B3166">
      <w:pPr>
        <w:spacing w:before="120" w:line="300" w:lineRule="auto"/>
        <w:rPr>
          <w:rFonts w:eastAsia="Calibri"/>
          <w:b/>
          <w:bCs/>
          <w:szCs w:val="24"/>
        </w:rPr>
      </w:pPr>
      <w:r w:rsidRPr="00EC2A19">
        <w:rPr>
          <w:rFonts w:eastAsia="Calibri"/>
          <w:noProof/>
          <w:sz w:val="22"/>
          <w:szCs w:val="22"/>
        </w:rPr>
        <w:drawing>
          <wp:inline distT="0" distB="0" distL="0" distR="0" wp14:anchorId="052DDFE4" wp14:editId="4BF2F349">
            <wp:extent cx="5943600" cy="2934970"/>
            <wp:effectExtent l="0" t="0" r="0" b="0"/>
            <wp:docPr id="208655079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50793" name="Picture 1" descr="Chart&#10;&#10;Description automatically generated"/>
                    <pic:cNvPicPr/>
                  </pic:nvPicPr>
                  <pic:blipFill>
                    <a:blip r:embed="rId86"/>
                    <a:stretch>
                      <a:fillRect/>
                    </a:stretch>
                  </pic:blipFill>
                  <pic:spPr>
                    <a:xfrm>
                      <a:off x="0" y="0"/>
                      <a:ext cx="5943600" cy="2934970"/>
                    </a:xfrm>
                    <a:prstGeom prst="rect">
                      <a:avLst/>
                    </a:prstGeom>
                  </pic:spPr>
                </pic:pic>
              </a:graphicData>
            </a:graphic>
          </wp:inline>
        </w:drawing>
      </w:r>
    </w:p>
    <w:p w14:paraId="4C9A645A" w14:textId="01E56C24" w:rsidR="00EC2A19" w:rsidRPr="00EC2A19" w:rsidRDefault="00EC2A19" w:rsidP="009B3166">
      <w:pPr>
        <w:spacing w:before="120" w:line="300" w:lineRule="auto"/>
        <w:rPr>
          <w:szCs w:val="24"/>
        </w:rPr>
      </w:pPr>
      <w:r w:rsidRPr="00EC2A19">
        <w:rPr>
          <w:szCs w:val="24"/>
        </w:rPr>
        <w:t>In this example, the Reporting Entity has selected the Economic Resource Stack, indicating that any Excess Energy megawatts (MWs) will contribute to the Residual Energy using the emission</w:t>
      </w:r>
      <w:r w:rsidR="00B20CD3">
        <w:rPr>
          <w:szCs w:val="24"/>
        </w:rPr>
        <w:t>s</w:t>
      </w:r>
      <w:r w:rsidRPr="00EC2A19">
        <w:rPr>
          <w:szCs w:val="24"/>
        </w:rPr>
        <w:t xml:space="preserve"> factors associated with the resources positioned above the Reporting Entity's load value. Here, the 800 MW load value corresponds to Row 8, Resource 2.</w:t>
      </w:r>
    </w:p>
    <w:p w14:paraId="5A08B03A" w14:textId="30739238" w:rsidR="00EC2A19" w:rsidRPr="00EC2A19" w:rsidRDefault="00EC2A19" w:rsidP="009B3166">
      <w:pPr>
        <w:spacing w:before="120" w:line="300" w:lineRule="auto"/>
        <w:rPr>
          <w:szCs w:val="24"/>
        </w:rPr>
      </w:pPr>
      <w:r w:rsidRPr="00EC2A19">
        <w:rPr>
          <w:szCs w:val="24"/>
        </w:rPr>
        <w:t>A key consideration in this example is that the costs of Row 8 and Row 9 are equivalent. To determine the appropriate emission</w:t>
      </w:r>
      <w:r w:rsidR="00B20CD3">
        <w:rPr>
          <w:szCs w:val="24"/>
        </w:rPr>
        <w:t>s</w:t>
      </w:r>
      <w:r w:rsidRPr="00EC2A19">
        <w:rPr>
          <w:szCs w:val="24"/>
        </w:rPr>
        <w:t xml:space="preserve"> factor for the Excess Energy, the Market Operator will calculate the difference, starting at the load value and ending at </w:t>
      </w:r>
      <w:r w:rsidR="0061252E">
        <w:rPr>
          <w:szCs w:val="24"/>
        </w:rPr>
        <w:t xml:space="preserve">the </w:t>
      </w:r>
      <w:r w:rsidRPr="00EC2A19">
        <w:rPr>
          <w:szCs w:val="24"/>
        </w:rPr>
        <w:t>next segmented Resource in the stack above the equivalent values. The MW value calculated will then be split equally the equivalent Resources. The Excess Energy segment begins at Row 8 with 800 MW from Resource 2 and extends to Row 10 at Resource 3 with 1,000 MW resulting in a range of 200 MW. By dividing the 200 MW range between Resource 2 and Resource 3, we effectively assign 100 MW from Resource 2 at an emission</w:t>
      </w:r>
      <w:r w:rsidR="00B20CD3">
        <w:rPr>
          <w:szCs w:val="24"/>
        </w:rPr>
        <w:t>s</w:t>
      </w:r>
      <w:r w:rsidRPr="00EC2A19">
        <w:rPr>
          <w:szCs w:val="24"/>
        </w:rPr>
        <w:t xml:space="preserve"> factor of 0.7, and 100 MW from Resource 3 at an emission</w:t>
      </w:r>
      <w:r w:rsidR="00B20CD3">
        <w:rPr>
          <w:szCs w:val="24"/>
        </w:rPr>
        <w:t>s</w:t>
      </w:r>
      <w:r w:rsidRPr="00EC2A19">
        <w:rPr>
          <w:szCs w:val="24"/>
        </w:rPr>
        <w:t xml:space="preserve"> factor of 0.9 toward contribution to the Residual Energy.</w:t>
      </w:r>
    </w:p>
    <w:p w14:paraId="1A5D919D" w14:textId="640248E2" w:rsidR="00EC2A19" w:rsidRPr="00EC2A19" w:rsidRDefault="00EC2A19" w:rsidP="009B3166">
      <w:pPr>
        <w:spacing w:before="120" w:line="300" w:lineRule="auto"/>
        <w:rPr>
          <w:szCs w:val="24"/>
        </w:rPr>
      </w:pPr>
      <w:r w:rsidRPr="00EC2A19">
        <w:rPr>
          <w:szCs w:val="24"/>
        </w:rPr>
        <w:t>The final column of Exhibit 5-3 details the MW range and corresponding emission</w:t>
      </w:r>
      <w:r w:rsidR="00B20CD3">
        <w:rPr>
          <w:szCs w:val="24"/>
        </w:rPr>
        <w:t>s</w:t>
      </w:r>
      <w:r w:rsidRPr="00EC2A19">
        <w:rPr>
          <w:szCs w:val="24"/>
        </w:rPr>
        <w:t xml:space="preserve"> factors used to calculate the Residual Energy. This example demonstrates how the emission</w:t>
      </w:r>
      <w:r w:rsidR="00B20CD3">
        <w:rPr>
          <w:szCs w:val="24"/>
        </w:rPr>
        <w:t>s</w:t>
      </w:r>
      <w:r w:rsidRPr="00EC2A19">
        <w:rPr>
          <w:szCs w:val="24"/>
        </w:rPr>
        <w:t xml:space="preserve"> factor for Excess Energy is determined when the load value aligns with Resources of equivalent costs. If the Resource stack does not consist of equivalent costs, the contribution of Excess Energy MWs to Residual Energy will be based on the emission</w:t>
      </w:r>
      <w:r w:rsidR="00B20CD3">
        <w:rPr>
          <w:szCs w:val="24"/>
        </w:rPr>
        <w:t>s</w:t>
      </w:r>
      <w:r w:rsidRPr="00EC2A19">
        <w:rPr>
          <w:szCs w:val="24"/>
        </w:rPr>
        <w:t xml:space="preserve"> factors associated with their respective positions in the stack.</w:t>
      </w:r>
    </w:p>
    <w:p w14:paraId="532667AF" w14:textId="48BD869D" w:rsidR="00EC2A19" w:rsidRPr="00EC2A19" w:rsidRDefault="00EC2A19" w:rsidP="00EB74AE">
      <w:pPr>
        <w:numPr>
          <w:ilvl w:val="1"/>
          <w:numId w:val="412"/>
        </w:numPr>
        <w:spacing w:before="120" w:line="300" w:lineRule="auto"/>
        <w:ind w:left="1080"/>
        <w:rPr>
          <w:rFonts w:eastAsia="Calibri"/>
          <w:sz w:val="22"/>
          <w:szCs w:val="22"/>
        </w:rPr>
      </w:pPr>
      <w:r w:rsidRPr="00EC2A19">
        <w:rPr>
          <w:rFonts w:eastAsia="Calibri"/>
          <w:b/>
          <w:bCs/>
          <w:szCs w:val="24"/>
        </w:rPr>
        <w:t>Manual Stack</w:t>
      </w:r>
      <w:r w:rsidRPr="00EC2A19">
        <w:rPr>
          <w:rFonts w:eastAsia="Calibri"/>
          <w:szCs w:val="24"/>
        </w:rPr>
        <w:t xml:space="preserve">. The Reporting Entity will provide the Market Operator with an order in which to stack the Resources in its Resource Portfolio at the time of the election of the excess methodology. If a Reporting Entity adds a new Resource to its portfolio, whether owned or contracted it must communicate where the Resource should be placed in the stack order. With respect to a Resource which submits a Commitment Status of Self or Reliability Must Run (RMR), the Resource’s </w:t>
      </w:r>
      <w:r w:rsidR="0035440C">
        <w:rPr>
          <w:rFonts w:eastAsia="Calibri"/>
          <w:szCs w:val="24"/>
        </w:rPr>
        <w:t>Min ECOL</w:t>
      </w:r>
      <w:r w:rsidRPr="00EC2A19">
        <w:rPr>
          <w:rFonts w:eastAsia="Calibri"/>
          <w:szCs w:val="24"/>
        </w:rPr>
        <w:t xml:space="preserve"> will be considered the lowest cost supply for purposes of the manual stack and will be added to the manual order stack first. Any Excess Energy MWs will be contributed to the Residual Energy at the emission</w:t>
      </w:r>
      <w:r w:rsidR="00B20CD3">
        <w:rPr>
          <w:rFonts w:eastAsia="Calibri"/>
          <w:szCs w:val="24"/>
        </w:rPr>
        <w:t>s</w:t>
      </w:r>
      <w:r w:rsidRPr="00EC2A19">
        <w:rPr>
          <w:rFonts w:eastAsia="Calibri"/>
          <w:szCs w:val="24"/>
        </w:rPr>
        <w:t xml:space="preserve"> factors associated with the Resources in positions on the stack after the </w:t>
      </w:r>
      <w:r w:rsidR="00A439DB">
        <w:rPr>
          <w:rFonts w:eastAsia="Calibri"/>
          <w:szCs w:val="24"/>
        </w:rPr>
        <w:t>l</w:t>
      </w:r>
      <w:r w:rsidRPr="00EC2A19">
        <w:rPr>
          <w:rFonts w:eastAsia="Calibri"/>
          <w:szCs w:val="24"/>
        </w:rPr>
        <w:t xml:space="preserve">oad value for the Reporting Entity has been reached. In RTBM, all Import Interchange Transactions will be treated as Self-Scheduled Import Interchange Transactions. Accordingly, for purposes of the manual resource stack, these Import Interchange Transactions will be placed first in the stack. Source-specific Export Interchange Transaction MW volumes and associated emissions will be removed from the stack, and undefined Export Interchange Transaction MW volumes will be removed by weighted share across the Reporting Entity’s Resource Portfolio as described in Section </w:t>
      </w:r>
      <w:r w:rsidR="00F61570">
        <w:rPr>
          <w:rFonts w:eastAsia="Calibri"/>
          <w:szCs w:val="24"/>
        </w:rPr>
        <w:fldChar w:fldCharType="begin"/>
      </w:r>
      <w:r w:rsidR="00F61570">
        <w:rPr>
          <w:rFonts w:eastAsia="Calibri"/>
          <w:szCs w:val="24"/>
        </w:rPr>
        <w:instrText xml:space="preserve"> REF _Ref212561785 \r \h </w:instrText>
      </w:r>
      <w:r w:rsidR="00F61570">
        <w:rPr>
          <w:rFonts w:eastAsia="Calibri"/>
          <w:szCs w:val="24"/>
        </w:rPr>
      </w:r>
      <w:r w:rsidR="00F61570">
        <w:rPr>
          <w:rFonts w:eastAsia="Calibri"/>
          <w:szCs w:val="24"/>
        </w:rPr>
        <w:fldChar w:fldCharType="separate"/>
      </w:r>
      <w:r w:rsidR="00F61570">
        <w:rPr>
          <w:rFonts w:eastAsia="Calibri"/>
          <w:szCs w:val="24"/>
        </w:rPr>
        <w:t>5.5.2.2</w:t>
      </w:r>
      <w:r w:rsidR="00F61570">
        <w:rPr>
          <w:rFonts w:eastAsia="Calibri"/>
          <w:szCs w:val="24"/>
        </w:rPr>
        <w:fldChar w:fldCharType="end"/>
      </w:r>
      <w:r w:rsidRPr="00EC2A19">
        <w:rPr>
          <w:rFonts w:eastAsia="Calibri"/>
          <w:szCs w:val="24"/>
        </w:rPr>
        <w:t>(2) (a) and (b).</w:t>
      </w:r>
    </w:p>
    <w:p w14:paraId="45184EBA" w14:textId="77777777" w:rsidR="00EC2A19" w:rsidRPr="00EC2A19" w:rsidRDefault="00EC2A19" w:rsidP="00EB74AE">
      <w:pPr>
        <w:numPr>
          <w:ilvl w:val="1"/>
          <w:numId w:val="412"/>
        </w:numPr>
        <w:spacing w:before="120" w:line="300" w:lineRule="auto"/>
        <w:ind w:left="1080"/>
        <w:rPr>
          <w:rFonts w:eastAsia="Calibri"/>
          <w:szCs w:val="24"/>
        </w:rPr>
      </w:pPr>
      <w:r w:rsidRPr="00EC2A19">
        <w:rPr>
          <w:rFonts w:eastAsia="Calibri"/>
          <w:b/>
          <w:bCs/>
          <w:szCs w:val="24"/>
        </w:rPr>
        <w:t>Other Methodology Mandated by a State Regulatory Body</w:t>
      </w:r>
      <w:r w:rsidRPr="00EC2A19">
        <w:rPr>
          <w:rFonts w:eastAsia="Calibri"/>
          <w:szCs w:val="24"/>
        </w:rPr>
        <w:t xml:space="preserve">. If a state regulatory body mandates that another methodology be used by a Reporting Entity, then the Reporting Entity will submit such methodology to the Market Operator.  The Market Operator will use the submitted methodology to determine how Excess Energy is allocated to the Residual Energy calculation for the Reporting Entity.  </w:t>
      </w:r>
    </w:p>
    <w:p w14:paraId="7996D537" w14:textId="14D02E5E" w:rsidR="00EC2A19" w:rsidRPr="00EC2A19" w:rsidRDefault="00EC2A19" w:rsidP="00EB74AE">
      <w:pPr>
        <w:numPr>
          <w:ilvl w:val="0"/>
          <w:numId w:val="412"/>
        </w:numPr>
        <w:spacing w:before="120" w:line="300" w:lineRule="auto"/>
        <w:ind w:left="720"/>
        <w:rPr>
          <w:rFonts w:eastAsia="Calibri"/>
          <w:szCs w:val="24"/>
        </w:rPr>
      </w:pPr>
      <w:r w:rsidRPr="00EC2A19">
        <w:rPr>
          <w:rFonts w:eastAsia="Calibri"/>
          <w:szCs w:val="24"/>
        </w:rPr>
        <w:t>The Market Operator will reflect the Reporting Entity’s Excess Energy in the Residual Energy calculation. For Reporting Entities who do not elect a methodology, Excess Energy will be contributed to the Residual Energy calculation at the average Resource Portfolio emission</w:t>
      </w:r>
      <w:r w:rsidR="00B20CD3">
        <w:rPr>
          <w:rFonts w:eastAsia="Calibri"/>
          <w:szCs w:val="24"/>
        </w:rPr>
        <w:t>s</w:t>
      </w:r>
      <w:r w:rsidRPr="00EC2A19">
        <w:rPr>
          <w:rFonts w:eastAsia="Calibri"/>
          <w:szCs w:val="24"/>
        </w:rPr>
        <w:t xml:space="preserve"> factor as outline</w:t>
      </w:r>
      <w:r w:rsidR="00397E6B">
        <w:rPr>
          <w:rFonts w:eastAsia="Calibri"/>
          <w:szCs w:val="24"/>
        </w:rPr>
        <w:t>d</w:t>
      </w:r>
      <w:r w:rsidRPr="00EC2A19">
        <w:rPr>
          <w:rFonts w:eastAsia="Calibri"/>
          <w:szCs w:val="24"/>
        </w:rPr>
        <w:t xml:space="preserve"> in Section </w:t>
      </w:r>
      <w:r w:rsidR="000500E0">
        <w:rPr>
          <w:rFonts w:eastAsia="Calibri"/>
          <w:szCs w:val="24"/>
        </w:rPr>
        <w:fldChar w:fldCharType="begin"/>
      </w:r>
      <w:r w:rsidR="000500E0">
        <w:rPr>
          <w:rFonts w:eastAsia="Calibri"/>
          <w:szCs w:val="24"/>
        </w:rPr>
        <w:instrText xml:space="preserve"> REF _Ref212561548 \r \h </w:instrText>
      </w:r>
      <w:r w:rsidR="000500E0">
        <w:rPr>
          <w:rFonts w:eastAsia="Calibri"/>
          <w:szCs w:val="24"/>
        </w:rPr>
      </w:r>
      <w:r w:rsidR="000500E0">
        <w:rPr>
          <w:rFonts w:eastAsia="Calibri"/>
          <w:szCs w:val="24"/>
        </w:rPr>
        <w:fldChar w:fldCharType="separate"/>
      </w:r>
      <w:r w:rsidR="000500E0">
        <w:rPr>
          <w:rFonts w:eastAsia="Calibri"/>
          <w:szCs w:val="24"/>
        </w:rPr>
        <w:t>5.5</w:t>
      </w:r>
      <w:bookmarkStart w:id="6978" w:name="_Hlt212562162"/>
      <w:r w:rsidR="000500E0">
        <w:rPr>
          <w:rFonts w:eastAsia="Calibri"/>
          <w:szCs w:val="24"/>
        </w:rPr>
        <w:t>.</w:t>
      </w:r>
      <w:bookmarkEnd w:id="6978"/>
      <w:r w:rsidR="000500E0">
        <w:rPr>
          <w:rFonts w:eastAsia="Calibri"/>
          <w:szCs w:val="24"/>
        </w:rPr>
        <w:t>4</w:t>
      </w:r>
      <w:r w:rsidR="000500E0">
        <w:rPr>
          <w:rFonts w:eastAsia="Calibri"/>
          <w:szCs w:val="24"/>
        </w:rPr>
        <w:fldChar w:fldCharType="end"/>
      </w:r>
      <w:r w:rsidRPr="00EC2A19">
        <w:rPr>
          <w:rFonts w:eastAsia="Calibri"/>
          <w:szCs w:val="24"/>
        </w:rPr>
        <w:t xml:space="preserve"> (3) (a)</w:t>
      </w:r>
      <w:r w:rsidR="00F61570">
        <w:rPr>
          <w:rFonts w:eastAsia="Calibri"/>
          <w:szCs w:val="24"/>
        </w:rPr>
        <w:t>.</w:t>
      </w:r>
    </w:p>
    <w:p w14:paraId="57A7B4A5" w14:textId="08D631B1" w:rsidR="00EC2A19" w:rsidRPr="00EC2A19" w:rsidRDefault="00EC2A19" w:rsidP="00EB74AE">
      <w:pPr>
        <w:numPr>
          <w:ilvl w:val="0"/>
          <w:numId w:val="412"/>
        </w:numPr>
        <w:spacing w:before="120" w:line="300" w:lineRule="auto"/>
        <w:ind w:left="720"/>
        <w:rPr>
          <w:rFonts w:eastAsia="Calibri"/>
          <w:szCs w:val="24"/>
        </w:rPr>
      </w:pPr>
      <w:r w:rsidRPr="00EC2A19">
        <w:rPr>
          <w:rFonts w:eastAsia="Calibri"/>
          <w:szCs w:val="24"/>
        </w:rPr>
        <w:t>A Non-Reporting Entity’s methodology for determining how Excess Energy is allocated to the Residual Energy calculation will automatically default to the “Average Resource Portfolio” methodology set forth in</w:t>
      </w:r>
      <w:r w:rsidR="00706766">
        <w:rPr>
          <w:rFonts w:eastAsia="Calibri"/>
          <w:szCs w:val="24"/>
        </w:rPr>
        <w:t xml:space="preserve"> Section</w:t>
      </w:r>
      <w:r w:rsidRPr="00EC2A19">
        <w:rPr>
          <w:rFonts w:eastAsia="Calibri"/>
          <w:szCs w:val="24"/>
        </w:rPr>
        <w:t xml:space="preserve"> </w:t>
      </w:r>
      <w:r w:rsidR="000500E0">
        <w:rPr>
          <w:rFonts w:eastAsia="Calibri"/>
          <w:szCs w:val="24"/>
        </w:rPr>
        <w:fldChar w:fldCharType="begin"/>
      </w:r>
      <w:r w:rsidR="000500E0">
        <w:rPr>
          <w:rFonts w:eastAsia="Calibri"/>
          <w:szCs w:val="24"/>
        </w:rPr>
        <w:instrText xml:space="preserve"> REF _Ref212561548 \r \h </w:instrText>
      </w:r>
      <w:r w:rsidR="000500E0">
        <w:rPr>
          <w:rFonts w:eastAsia="Calibri"/>
          <w:szCs w:val="24"/>
        </w:rPr>
      </w:r>
      <w:r w:rsidR="000500E0">
        <w:rPr>
          <w:rFonts w:eastAsia="Calibri"/>
          <w:szCs w:val="24"/>
        </w:rPr>
        <w:fldChar w:fldCharType="separate"/>
      </w:r>
      <w:r w:rsidR="000500E0">
        <w:rPr>
          <w:rFonts w:eastAsia="Calibri"/>
          <w:szCs w:val="24"/>
        </w:rPr>
        <w:t>5.5.4</w:t>
      </w:r>
      <w:r w:rsidR="000500E0">
        <w:rPr>
          <w:rFonts w:eastAsia="Calibri"/>
          <w:szCs w:val="24"/>
        </w:rPr>
        <w:fldChar w:fldCharType="end"/>
      </w:r>
      <w:r w:rsidRPr="00EC2A19">
        <w:rPr>
          <w:rFonts w:eastAsia="Calibri"/>
          <w:szCs w:val="24"/>
        </w:rPr>
        <w:t xml:space="preserve">(3)(a). </w:t>
      </w:r>
    </w:p>
    <w:p w14:paraId="7A3C24F0" w14:textId="77777777" w:rsidR="00EC2A19" w:rsidRPr="00EC2A19" w:rsidRDefault="00EC2A19" w:rsidP="00EB74AE">
      <w:pPr>
        <w:numPr>
          <w:ilvl w:val="0"/>
          <w:numId w:val="412"/>
        </w:numPr>
        <w:spacing w:before="120" w:line="300" w:lineRule="auto"/>
        <w:ind w:left="720"/>
        <w:rPr>
          <w:rFonts w:eastAsia="Calibri"/>
          <w:szCs w:val="24"/>
        </w:rPr>
      </w:pPr>
      <w:r w:rsidRPr="00EC2A19">
        <w:rPr>
          <w:rFonts w:eastAsia="Calibri"/>
          <w:szCs w:val="24"/>
        </w:rPr>
        <w:t>For purposes of establishing GHG Tracking and Reporting regions and sub-regions, individual states, and/or GHG Zones, a future process will be commenced within the MGHGTF to determine the appropriate regions, sub-regions, states, and/or GHG Zones prior to Markets+ go-live. Regions, sub-regions which may be based on an analysis of transmission constraints, individual states, or GHG Zones that will be aggregated for reporting purposes may be proposed by Market Participants or Market Stakeholders through communications with Market Participants and the Market Operator. Each region, sub-region, individual state, or GHG Zone must have at least three (3) Market Participants for the aggregated data to be published with the Public GHG Report. All Market Participants will have an opportunity to provide input with respect to any proposed regions, sub-regions, states, and/or GHG Zones. The MGHGTF will review regions and subregions on an annual basis</w:t>
      </w:r>
      <w:r w:rsidRPr="00EC2A19">
        <w:rPr>
          <w:rFonts w:eastAsia="Calibri"/>
          <w:sz w:val="22"/>
          <w:szCs w:val="22"/>
        </w:rPr>
        <w:t>.</w:t>
      </w:r>
    </w:p>
    <w:p w14:paraId="7A70431D" w14:textId="775B0E88" w:rsidR="00EC2A19" w:rsidRPr="00EC2A19" w:rsidRDefault="00EC2A19" w:rsidP="00EB74AE">
      <w:pPr>
        <w:numPr>
          <w:ilvl w:val="0"/>
          <w:numId w:val="412"/>
        </w:numPr>
        <w:spacing w:before="120" w:line="300" w:lineRule="auto"/>
        <w:ind w:left="720"/>
        <w:rPr>
          <w:rFonts w:eastAsia="Calibri"/>
          <w:szCs w:val="24"/>
        </w:rPr>
      </w:pPr>
      <w:r w:rsidRPr="00EC2A19">
        <w:rPr>
          <w:rFonts w:eastAsia="Calibri"/>
          <w:szCs w:val="24"/>
        </w:rPr>
        <w:t xml:space="preserve">The Excess Energy methodology information described in </w:t>
      </w:r>
      <w:r w:rsidR="00130D98">
        <w:rPr>
          <w:rFonts w:eastAsia="Calibri"/>
          <w:szCs w:val="24"/>
        </w:rPr>
        <w:t xml:space="preserve">Section </w:t>
      </w:r>
      <w:r w:rsidR="000D6922">
        <w:rPr>
          <w:rFonts w:eastAsia="Calibri"/>
          <w:szCs w:val="24"/>
        </w:rPr>
        <w:fldChar w:fldCharType="begin"/>
      </w:r>
      <w:r w:rsidR="000D6922">
        <w:rPr>
          <w:rFonts w:eastAsia="Calibri"/>
          <w:szCs w:val="24"/>
        </w:rPr>
        <w:instrText xml:space="preserve"> REF _Ref212561548 \r \h </w:instrText>
      </w:r>
      <w:r w:rsidR="000D6922">
        <w:rPr>
          <w:rFonts w:eastAsia="Calibri"/>
          <w:szCs w:val="24"/>
        </w:rPr>
      </w:r>
      <w:r w:rsidR="000D6922">
        <w:rPr>
          <w:rFonts w:eastAsia="Calibri"/>
          <w:szCs w:val="24"/>
        </w:rPr>
        <w:fldChar w:fldCharType="separate"/>
      </w:r>
      <w:r w:rsidR="000D6922">
        <w:rPr>
          <w:rFonts w:eastAsia="Calibri"/>
          <w:szCs w:val="24"/>
        </w:rPr>
        <w:t>5.</w:t>
      </w:r>
      <w:bookmarkStart w:id="6979" w:name="_Hlt212562396"/>
      <w:r w:rsidR="000D6922">
        <w:rPr>
          <w:rFonts w:eastAsia="Calibri"/>
          <w:szCs w:val="24"/>
        </w:rPr>
        <w:t>5</w:t>
      </w:r>
      <w:bookmarkEnd w:id="6979"/>
      <w:r w:rsidR="000D6922">
        <w:rPr>
          <w:rFonts w:eastAsia="Calibri"/>
          <w:szCs w:val="24"/>
        </w:rPr>
        <w:t>.4</w:t>
      </w:r>
      <w:r w:rsidR="000D6922">
        <w:rPr>
          <w:rFonts w:eastAsia="Calibri"/>
          <w:szCs w:val="24"/>
        </w:rPr>
        <w:fldChar w:fldCharType="end"/>
      </w:r>
      <w:r w:rsidRPr="00EC2A19">
        <w:rPr>
          <w:rFonts w:eastAsia="Calibri"/>
          <w:szCs w:val="24"/>
        </w:rPr>
        <w:t xml:space="preserve"> will be used for the Residual Energy amounts in Section </w:t>
      </w:r>
      <w:r w:rsidR="000D6922">
        <w:rPr>
          <w:rFonts w:eastAsia="Calibri"/>
          <w:szCs w:val="24"/>
        </w:rPr>
        <w:fldChar w:fldCharType="begin"/>
      </w:r>
      <w:r w:rsidR="000D6922">
        <w:rPr>
          <w:rFonts w:eastAsia="Calibri"/>
          <w:szCs w:val="24"/>
        </w:rPr>
        <w:instrText xml:space="preserve"> REF _Ref212538214 \r \h </w:instrText>
      </w:r>
      <w:r w:rsidR="000D6922">
        <w:rPr>
          <w:rFonts w:eastAsia="Calibri"/>
          <w:szCs w:val="24"/>
        </w:rPr>
      </w:r>
      <w:r w:rsidR="000D6922">
        <w:rPr>
          <w:rFonts w:eastAsia="Calibri"/>
          <w:szCs w:val="24"/>
        </w:rPr>
        <w:fldChar w:fldCharType="separate"/>
      </w:r>
      <w:r w:rsidR="000D6922">
        <w:rPr>
          <w:rFonts w:eastAsia="Calibri"/>
          <w:szCs w:val="24"/>
        </w:rPr>
        <w:t>5.5</w:t>
      </w:r>
      <w:bookmarkStart w:id="6980" w:name="_Hlt212562453"/>
      <w:r w:rsidR="000D6922">
        <w:rPr>
          <w:rFonts w:eastAsia="Calibri"/>
          <w:szCs w:val="24"/>
        </w:rPr>
        <w:t>.</w:t>
      </w:r>
      <w:bookmarkEnd w:id="6980"/>
      <w:r w:rsidR="000D6922">
        <w:rPr>
          <w:rFonts w:eastAsia="Calibri"/>
          <w:szCs w:val="24"/>
        </w:rPr>
        <w:t>6</w:t>
      </w:r>
      <w:r w:rsidR="000D6922">
        <w:rPr>
          <w:rFonts w:eastAsia="Calibri"/>
          <w:szCs w:val="24"/>
        </w:rPr>
        <w:fldChar w:fldCharType="end"/>
      </w:r>
      <w:r w:rsidRPr="00EC2A19">
        <w:rPr>
          <w:rFonts w:eastAsia="Calibri"/>
          <w:szCs w:val="24"/>
        </w:rPr>
        <w:t>.</w:t>
      </w:r>
    </w:p>
    <w:p w14:paraId="524E4500" w14:textId="7D18B355" w:rsidR="00EC2A19" w:rsidRPr="00EC2A19" w:rsidRDefault="00821A18" w:rsidP="00CB5653">
      <w:pPr>
        <w:pStyle w:val="Heading3"/>
      </w:pPr>
      <w:bookmarkStart w:id="6981" w:name="_Toc213771985"/>
      <w:r>
        <w:t>Market</w:t>
      </w:r>
      <w:r w:rsidRPr="00EC2A19">
        <w:t xml:space="preserve"> </w:t>
      </w:r>
      <w:r w:rsidR="00EC2A19" w:rsidRPr="00EC2A19">
        <w:t>Storage Resources (</w:t>
      </w:r>
      <w:r>
        <w:t>M</w:t>
      </w:r>
      <w:r w:rsidR="00EC2A19" w:rsidRPr="00EC2A19">
        <w:t>SRs)</w:t>
      </w:r>
      <w:bookmarkEnd w:id="6981"/>
    </w:p>
    <w:p w14:paraId="1FB9F9AE" w14:textId="37A4B8B1" w:rsidR="00EC2A19" w:rsidRPr="00EC2A19" w:rsidRDefault="00EC2A19" w:rsidP="00752306">
      <w:pPr>
        <w:numPr>
          <w:ilvl w:val="0"/>
          <w:numId w:val="413"/>
        </w:numPr>
        <w:tabs>
          <w:tab w:val="left" w:pos="720"/>
          <w:tab w:val="left" w:pos="1260"/>
        </w:tabs>
        <w:spacing w:before="120" w:line="300" w:lineRule="auto"/>
        <w:ind w:left="720"/>
        <w:rPr>
          <w:rFonts w:eastAsia="Calibri"/>
          <w:szCs w:val="22"/>
        </w:rPr>
      </w:pPr>
      <w:r w:rsidRPr="00EC2A19">
        <w:rPr>
          <w:rFonts w:eastAsia="Calibri"/>
          <w:szCs w:val="22"/>
        </w:rPr>
        <w:t xml:space="preserve">The Market Operator will map </w:t>
      </w:r>
      <w:r w:rsidR="00821A18">
        <w:rPr>
          <w:rFonts w:eastAsia="Calibri"/>
          <w:szCs w:val="22"/>
        </w:rPr>
        <w:t>M</w:t>
      </w:r>
      <w:r w:rsidRPr="00EC2A19">
        <w:rPr>
          <w:rFonts w:eastAsia="Calibri"/>
          <w:szCs w:val="22"/>
        </w:rPr>
        <w:t xml:space="preserve">SRs to the Reporting Entities which designated the ESRs as owned or contracted in the </w:t>
      </w:r>
      <w:r w:rsidR="006F43E3">
        <w:rPr>
          <w:rFonts w:eastAsia="Calibri"/>
          <w:szCs w:val="22"/>
        </w:rPr>
        <w:t xml:space="preserve">Resource </w:t>
      </w:r>
      <w:r w:rsidRPr="00EC2A19">
        <w:rPr>
          <w:rFonts w:eastAsia="Calibri"/>
          <w:szCs w:val="22"/>
        </w:rPr>
        <w:t>Mapping process.</w:t>
      </w:r>
    </w:p>
    <w:p w14:paraId="3CAC3DA3" w14:textId="37DB4315" w:rsidR="00EC2A19" w:rsidRPr="00EC2A19" w:rsidRDefault="00EC2A19" w:rsidP="00752306">
      <w:pPr>
        <w:numPr>
          <w:ilvl w:val="0"/>
          <w:numId w:val="413"/>
        </w:numPr>
        <w:spacing w:before="120" w:line="300" w:lineRule="auto"/>
        <w:ind w:left="720"/>
        <w:rPr>
          <w:rFonts w:eastAsia="Calibri"/>
          <w:szCs w:val="22"/>
        </w:rPr>
      </w:pPr>
      <w:r w:rsidRPr="00EC2A19">
        <w:rPr>
          <w:rFonts w:eastAsia="Calibri"/>
          <w:szCs w:val="22"/>
        </w:rPr>
        <w:t xml:space="preserve">With respect to mapped </w:t>
      </w:r>
      <w:r w:rsidR="00821A18">
        <w:rPr>
          <w:rFonts w:eastAsia="Calibri"/>
          <w:szCs w:val="22"/>
        </w:rPr>
        <w:t>M</w:t>
      </w:r>
      <w:r w:rsidRPr="00EC2A19">
        <w:rPr>
          <w:rFonts w:eastAsia="Calibri"/>
          <w:szCs w:val="22"/>
        </w:rPr>
        <w:t xml:space="preserve">SRs, the Market Operator will add the </w:t>
      </w:r>
      <w:r w:rsidR="00821A18">
        <w:rPr>
          <w:rFonts w:eastAsia="Calibri"/>
          <w:szCs w:val="22"/>
        </w:rPr>
        <w:t>M</w:t>
      </w:r>
      <w:r w:rsidRPr="00EC2A19">
        <w:rPr>
          <w:rFonts w:eastAsia="Calibri"/>
          <w:szCs w:val="22"/>
        </w:rPr>
        <w:t xml:space="preserve">SR’s MWs to the Reporting Entity’s load value during withdraw intervals. During discharging intervals, the Market Operator will deduct the </w:t>
      </w:r>
      <w:r w:rsidR="00821A18">
        <w:rPr>
          <w:rFonts w:eastAsia="Calibri"/>
          <w:szCs w:val="22"/>
        </w:rPr>
        <w:t>M</w:t>
      </w:r>
      <w:r w:rsidRPr="00EC2A19">
        <w:rPr>
          <w:rFonts w:eastAsia="Calibri"/>
          <w:szCs w:val="22"/>
        </w:rPr>
        <w:t xml:space="preserve">SR’s MWs from the Reporting Entity’s load value. </w:t>
      </w:r>
    </w:p>
    <w:p w14:paraId="4C971B38" w14:textId="6A96732C" w:rsidR="00EC2A19" w:rsidRPr="00EC2A19" w:rsidRDefault="00EC2A19" w:rsidP="00752306">
      <w:pPr>
        <w:numPr>
          <w:ilvl w:val="0"/>
          <w:numId w:val="413"/>
        </w:numPr>
        <w:spacing w:before="120" w:line="300" w:lineRule="auto"/>
        <w:ind w:left="720"/>
        <w:rPr>
          <w:rFonts w:eastAsia="Calibri"/>
          <w:szCs w:val="22"/>
        </w:rPr>
      </w:pPr>
      <w:r w:rsidRPr="00EC2A19">
        <w:rPr>
          <w:rFonts w:eastAsia="Calibri"/>
          <w:szCs w:val="22"/>
        </w:rPr>
        <w:t xml:space="preserve">For </w:t>
      </w:r>
      <w:r w:rsidR="00821A18">
        <w:rPr>
          <w:rFonts w:eastAsia="Calibri"/>
          <w:szCs w:val="22"/>
        </w:rPr>
        <w:t>M</w:t>
      </w:r>
      <w:r w:rsidRPr="00EC2A19">
        <w:rPr>
          <w:rFonts w:eastAsia="Calibri"/>
          <w:szCs w:val="22"/>
        </w:rPr>
        <w:t xml:space="preserve">SRs that are not mapped to Reporting Entities, the Market Operator will report aggregated withdraw MWs and aggregated discharging MWs per interval in the Public GHG Report, as outlined in </w:t>
      </w:r>
      <w:r w:rsidRPr="00EC2A19">
        <w:rPr>
          <w:rFonts w:eastAsia="Calibri"/>
          <w:szCs w:val="24"/>
        </w:rPr>
        <w:t xml:space="preserve">outlined in Section </w:t>
      </w:r>
      <w:r w:rsidR="003E3BD1">
        <w:rPr>
          <w:rFonts w:eastAsia="Calibri"/>
          <w:szCs w:val="24"/>
        </w:rPr>
        <w:fldChar w:fldCharType="begin"/>
      </w:r>
      <w:r w:rsidR="003E3BD1">
        <w:rPr>
          <w:rFonts w:eastAsia="Calibri"/>
          <w:szCs w:val="24"/>
        </w:rPr>
        <w:instrText xml:space="preserve"> REF _Ref212538214 \r \h </w:instrText>
      </w:r>
      <w:r w:rsidR="003E3BD1">
        <w:rPr>
          <w:rFonts w:eastAsia="Calibri"/>
          <w:szCs w:val="24"/>
        </w:rPr>
      </w:r>
      <w:r w:rsidR="003E3BD1">
        <w:rPr>
          <w:rFonts w:eastAsia="Calibri"/>
          <w:szCs w:val="24"/>
        </w:rPr>
        <w:fldChar w:fldCharType="separate"/>
      </w:r>
      <w:r w:rsidR="003E3BD1">
        <w:rPr>
          <w:rFonts w:eastAsia="Calibri"/>
          <w:szCs w:val="24"/>
        </w:rPr>
        <w:t>5.5.6</w:t>
      </w:r>
      <w:r w:rsidR="003E3BD1">
        <w:rPr>
          <w:rFonts w:eastAsia="Calibri"/>
          <w:szCs w:val="24"/>
        </w:rPr>
        <w:fldChar w:fldCharType="end"/>
      </w:r>
      <w:r w:rsidRPr="00EC2A19">
        <w:rPr>
          <w:rFonts w:eastAsia="Calibri"/>
          <w:szCs w:val="22"/>
        </w:rPr>
        <w:t xml:space="preserve">. </w:t>
      </w:r>
    </w:p>
    <w:p w14:paraId="20A74283" w14:textId="005C8ED9" w:rsidR="00EC2A19" w:rsidRPr="00EC2A19" w:rsidRDefault="00EC2A19" w:rsidP="00CB5653">
      <w:pPr>
        <w:pStyle w:val="Heading3"/>
        <w:rPr>
          <w:szCs w:val="24"/>
        </w:rPr>
      </w:pPr>
      <w:bookmarkStart w:id="6982" w:name="_Ref212538214"/>
      <w:bookmarkStart w:id="6983" w:name="_Toc213771986"/>
      <w:r w:rsidRPr="00EC2A19">
        <w:t>Reporting Entity GHG Report and Public GHG Report</w:t>
      </w:r>
      <w:bookmarkEnd w:id="6982"/>
      <w:bookmarkEnd w:id="6983"/>
    </w:p>
    <w:p w14:paraId="4BAF6073" w14:textId="28CD58AB" w:rsidR="00EC2A19" w:rsidRPr="00752306" w:rsidRDefault="00EC2A19" w:rsidP="00752306">
      <w:pPr>
        <w:pStyle w:val="ListParagraph"/>
        <w:numPr>
          <w:ilvl w:val="4"/>
          <w:numId w:val="417"/>
        </w:numPr>
        <w:spacing w:before="120" w:line="300" w:lineRule="auto"/>
        <w:ind w:left="360"/>
        <w:rPr>
          <w:rFonts w:eastAsia="Calibri"/>
          <w:szCs w:val="24"/>
        </w:rPr>
      </w:pPr>
      <w:r w:rsidRPr="00752306">
        <w:rPr>
          <w:rFonts w:eastAsia="Calibri"/>
          <w:szCs w:val="24"/>
        </w:rPr>
        <w:t>On the 7</w:t>
      </w:r>
      <w:r w:rsidRPr="00752306">
        <w:rPr>
          <w:rFonts w:eastAsia="Calibri"/>
          <w:szCs w:val="24"/>
          <w:vertAlign w:val="superscript"/>
        </w:rPr>
        <w:t>th</w:t>
      </w:r>
      <w:r w:rsidRPr="00752306">
        <w:rPr>
          <w:rFonts w:eastAsia="Calibri"/>
          <w:szCs w:val="24"/>
        </w:rPr>
        <w:t xml:space="preserve"> Calendar Day of each month, the Market Operator will post a Reporting Entity GHG Report on the METra Portal which contains data and information specific to a Reporting Entity’s Resource Portfolio for each </w:t>
      </w:r>
      <w:r w:rsidR="00ED3B3C">
        <w:rPr>
          <w:rFonts w:eastAsia="Calibri"/>
          <w:szCs w:val="24"/>
        </w:rPr>
        <w:t>Operating H</w:t>
      </w:r>
      <w:r w:rsidRPr="00752306">
        <w:rPr>
          <w:rFonts w:eastAsia="Calibri"/>
          <w:szCs w:val="24"/>
        </w:rPr>
        <w:t xml:space="preserve">our, and which is only accessible by that Reporting Entity. The Market Operator will work with each Reporting Entity to accommodate any specific reporting needs. The Reporting Entity GHG Report will have an iterative rerun on a quarterly and annual basis to capture any changes to the data. Data in the report will include, but not be limited to: </w:t>
      </w:r>
    </w:p>
    <w:p w14:paraId="725824DA" w14:textId="77777777" w:rsidR="00EC2A19" w:rsidRPr="00EC2A19" w:rsidRDefault="00EC2A19" w:rsidP="00752306">
      <w:pPr>
        <w:numPr>
          <w:ilvl w:val="3"/>
          <w:numId w:val="412"/>
        </w:numPr>
        <w:shd w:val="clear" w:color="auto" w:fill="FFFFFF"/>
        <w:spacing w:before="120" w:line="300" w:lineRule="auto"/>
        <w:ind w:left="1350" w:hanging="630"/>
        <w:rPr>
          <w:rFonts w:eastAsia="Calibri"/>
          <w:sz w:val="22"/>
          <w:szCs w:val="22"/>
        </w:rPr>
      </w:pPr>
      <w:r w:rsidRPr="00EC2A19">
        <w:rPr>
          <w:szCs w:val="24"/>
        </w:rPr>
        <w:t>The production MW of each registered Resource of the Reporting Entity;</w:t>
      </w:r>
    </w:p>
    <w:p w14:paraId="3A8ABDFA" w14:textId="2565642E" w:rsidR="00EC2A19" w:rsidRPr="00EC2A19" w:rsidRDefault="00EC2A19" w:rsidP="00752306">
      <w:pPr>
        <w:numPr>
          <w:ilvl w:val="3"/>
          <w:numId w:val="412"/>
        </w:numPr>
        <w:shd w:val="clear" w:color="auto" w:fill="FFFFFF"/>
        <w:spacing w:before="120" w:line="300" w:lineRule="auto"/>
        <w:ind w:left="1350" w:hanging="630"/>
        <w:rPr>
          <w:rFonts w:eastAsia="Calibri"/>
          <w:sz w:val="22"/>
          <w:szCs w:val="22"/>
        </w:rPr>
      </w:pPr>
      <w:r w:rsidRPr="00EC2A19">
        <w:rPr>
          <w:szCs w:val="24"/>
        </w:rPr>
        <w:t>The associated emission</w:t>
      </w:r>
      <w:r w:rsidR="00B20CD3">
        <w:rPr>
          <w:szCs w:val="24"/>
        </w:rPr>
        <w:t>s</w:t>
      </w:r>
      <w:r w:rsidRPr="00EC2A19">
        <w:rPr>
          <w:szCs w:val="24"/>
        </w:rPr>
        <w:t xml:space="preserve"> factor of each registered Resource of the Reporting Entity; </w:t>
      </w:r>
    </w:p>
    <w:p w14:paraId="77A6E02E" w14:textId="77777777" w:rsidR="00EC2A19" w:rsidRPr="00EC2A19" w:rsidRDefault="00EC2A19" w:rsidP="00752306">
      <w:pPr>
        <w:numPr>
          <w:ilvl w:val="3"/>
          <w:numId w:val="412"/>
        </w:numPr>
        <w:shd w:val="clear" w:color="auto" w:fill="FFFFFF"/>
        <w:spacing w:before="120" w:line="300" w:lineRule="auto"/>
        <w:ind w:left="1350" w:hanging="630"/>
        <w:rPr>
          <w:rFonts w:eastAsia="Calibri"/>
          <w:sz w:val="22"/>
          <w:szCs w:val="22"/>
        </w:rPr>
      </w:pPr>
      <w:r w:rsidRPr="00EC2A19">
        <w:rPr>
          <w:szCs w:val="24"/>
        </w:rPr>
        <w:t>The production GHG emissions of each registered Resource of the Reporting Entity;</w:t>
      </w:r>
    </w:p>
    <w:p w14:paraId="57F34609"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The Allocated MW of each Resource to the Reporting Entity;</w:t>
      </w:r>
    </w:p>
    <w:p w14:paraId="2AD2B4E4" w14:textId="77777777" w:rsidR="00EC2A19" w:rsidRPr="00EC2A19" w:rsidRDefault="00EC2A19" w:rsidP="00752306">
      <w:pPr>
        <w:numPr>
          <w:ilvl w:val="3"/>
          <w:numId w:val="412"/>
        </w:numPr>
        <w:shd w:val="clear" w:color="auto" w:fill="FFFFFF"/>
        <w:spacing w:before="120" w:line="300" w:lineRule="auto"/>
        <w:ind w:left="1350" w:hanging="630"/>
        <w:rPr>
          <w:rFonts w:ascii="Calibri" w:eastAsia="Calibri" w:hAnsi="Calibri" w:cs="Arial"/>
          <w:sz w:val="22"/>
          <w:szCs w:val="22"/>
        </w:rPr>
      </w:pPr>
      <w:r w:rsidRPr="00EC2A19">
        <w:rPr>
          <w:szCs w:val="24"/>
        </w:rPr>
        <w:t>The Allocated GHG emissions of each Resource of the Reporting Entity;</w:t>
      </w:r>
    </w:p>
    <w:p w14:paraId="70725EB3"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 xml:space="preserve">The MW volume of each Resource contracted from and contracted to </w:t>
      </w:r>
    </w:p>
    <w:p w14:paraId="6EA7EAFE" w14:textId="77777777" w:rsidR="00EC2A19" w:rsidRPr="00EC2A19" w:rsidRDefault="00EC2A19" w:rsidP="00E94CBF">
      <w:pPr>
        <w:shd w:val="clear" w:color="auto" w:fill="FFFFFF"/>
        <w:spacing w:before="120" w:line="300" w:lineRule="auto"/>
        <w:ind w:left="1350"/>
        <w:rPr>
          <w:szCs w:val="24"/>
        </w:rPr>
      </w:pPr>
      <w:r w:rsidRPr="00EC2A19">
        <w:rPr>
          <w:szCs w:val="24"/>
        </w:rPr>
        <w:t>the Reporting Entity;</w:t>
      </w:r>
    </w:p>
    <w:p w14:paraId="3AEEF6C1"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The respective Reporting Entity counterparty for each contracted Resource of the Reporting Entity;</w:t>
      </w:r>
    </w:p>
    <w:p w14:paraId="7C7D13EA" w14:textId="68CF715C"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 xml:space="preserve">The </w:t>
      </w:r>
      <w:r w:rsidR="00FC6183">
        <w:rPr>
          <w:szCs w:val="24"/>
        </w:rPr>
        <w:t>a</w:t>
      </w:r>
      <w:r w:rsidRPr="00EC2A19">
        <w:rPr>
          <w:szCs w:val="24"/>
        </w:rPr>
        <w:t>ttributed MW and GHG emissions of each Resource of the Reporting Entity;</w:t>
      </w:r>
    </w:p>
    <w:p w14:paraId="6571F4FC" w14:textId="3DC10969" w:rsidR="00EC2A19" w:rsidRPr="00EC2A19" w:rsidRDefault="00EC2A19" w:rsidP="00752306">
      <w:pPr>
        <w:numPr>
          <w:ilvl w:val="3"/>
          <w:numId w:val="412"/>
        </w:numPr>
        <w:shd w:val="clear" w:color="auto" w:fill="FFFFFF"/>
        <w:spacing w:before="120" w:line="300" w:lineRule="auto"/>
        <w:ind w:left="1350" w:hanging="630"/>
        <w:rPr>
          <w:rFonts w:eastAsia="Calibri"/>
          <w:szCs w:val="24"/>
        </w:rPr>
      </w:pPr>
      <w:r w:rsidRPr="00EC2A19">
        <w:rPr>
          <w:rFonts w:eastAsia="Calibri"/>
          <w:szCs w:val="24"/>
        </w:rPr>
        <w:t>A production-weighted average emission</w:t>
      </w:r>
      <w:r w:rsidR="00B20CD3">
        <w:rPr>
          <w:rFonts w:eastAsia="Calibri"/>
          <w:szCs w:val="24"/>
        </w:rPr>
        <w:t>s</w:t>
      </w:r>
      <w:r w:rsidRPr="00EC2A19">
        <w:rPr>
          <w:rFonts w:eastAsia="Calibri"/>
          <w:szCs w:val="24"/>
        </w:rPr>
        <w:t xml:space="preserve"> factor of all Resources within the Reporting Entity’s Resource Portfolio;</w:t>
      </w:r>
    </w:p>
    <w:p w14:paraId="5FD066D9"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rFonts w:eastAsia="Calibri"/>
          <w:szCs w:val="24"/>
        </w:rPr>
        <w:t>The Excess Energy methodology of the Reporting Entity;</w:t>
      </w:r>
    </w:p>
    <w:p w14:paraId="590683F9"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The Excess Energy of each Resource of the Reporting Entity;</w:t>
      </w:r>
    </w:p>
    <w:p w14:paraId="6A01CBEF" w14:textId="77777777"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The Null Power volumes and emissions of each Resource of the Reporting Entity;</w:t>
      </w:r>
    </w:p>
    <w:p w14:paraId="61F97FEA" w14:textId="5BD97A02" w:rsidR="00EC2A19" w:rsidRPr="00EC2A19" w:rsidRDefault="00EC2A19" w:rsidP="00752306">
      <w:pPr>
        <w:numPr>
          <w:ilvl w:val="3"/>
          <w:numId w:val="412"/>
        </w:numPr>
        <w:shd w:val="clear" w:color="auto" w:fill="FFFFFF"/>
        <w:spacing w:before="120" w:line="300" w:lineRule="auto"/>
        <w:ind w:left="1350" w:hanging="630"/>
        <w:rPr>
          <w:szCs w:val="24"/>
        </w:rPr>
      </w:pPr>
      <w:r w:rsidRPr="00EC2A19">
        <w:rPr>
          <w:szCs w:val="24"/>
        </w:rPr>
        <w:t xml:space="preserve">Load of the Reporting Entity. </w:t>
      </w:r>
    </w:p>
    <w:p w14:paraId="7D31DEE0" w14:textId="3D467774" w:rsidR="00EC2A19" w:rsidRPr="00EC2A19" w:rsidRDefault="00EC2A19" w:rsidP="00752306">
      <w:pPr>
        <w:numPr>
          <w:ilvl w:val="0"/>
          <w:numId w:val="417"/>
        </w:numPr>
        <w:spacing w:before="120" w:line="300" w:lineRule="auto"/>
        <w:ind w:left="540"/>
        <w:rPr>
          <w:rFonts w:eastAsia="Calibri" w:cs="Arial"/>
          <w:szCs w:val="22"/>
        </w:rPr>
      </w:pPr>
      <w:r w:rsidRPr="00EC2A19">
        <w:rPr>
          <w:rFonts w:eastAsia="Calibri" w:cs="Arial"/>
          <w:szCs w:val="22"/>
        </w:rPr>
        <w:t xml:space="preserve">In addition, the Market Operator will post a monthly, quarterly, and annual Public GHG Report with information containing aggregate data elements on the METra Portal for the Markets+ Footprint and any established regions, sub-regions, individual states, or GHG Zones as determined under Section </w:t>
      </w:r>
      <w:r w:rsidR="00573F43">
        <w:rPr>
          <w:rFonts w:eastAsia="Calibri" w:cs="Arial"/>
          <w:szCs w:val="22"/>
        </w:rPr>
        <w:fldChar w:fldCharType="begin"/>
      </w:r>
      <w:r w:rsidR="00573F43">
        <w:rPr>
          <w:rFonts w:eastAsia="Calibri" w:cs="Arial"/>
          <w:szCs w:val="22"/>
        </w:rPr>
        <w:instrText xml:space="preserve"> REF _Ref212561548 \r \h </w:instrText>
      </w:r>
      <w:r w:rsidR="00573F43">
        <w:rPr>
          <w:rFonts w:eastAsia="Calibri" w:cs="Arial"/>
          <w:szCs w:val="22"/>
        </w:rPr>
      </w:r>
      <w:r w:rsidR="00573F43">
        <w:rPr>
          <w:rFonts w:eastAsia="Calibri" w:cs="Arial"/>
          <w:szCs w:val="22"/>
        </w:rPr>
        <w:fldChar w:fldCharType="separate"/>
      </w:r>
      <w:r w:rsidR="00573F43">
        <w:rPr>
          <w:rFonts w:eastAsia="Calibri" w:cs="Arial"/>
          <w:szCs w:val="22"/>
        </w:rPr>
        <w:t>5.5.4</w:t>
      </w:r>
      <w:r w:rsidR="00573F43">
        <w:rPr>
          <w:rFonts w:eastAsia="Calibri" w:cs="Arial"/>
          <w:szCs w:val="22"/>
        </w:rPr>
        <w:fldChar w:fldCharType="end"/>
      </w:r>
      <w:r w:rsidRPr="00EC2A19">
        <w:rPr>
          <w:rFonts w:eastAsia="Calibri" w:cs="Arial"/>
          <w:szCs w:val="22"/>
        </w:rPr>
        <w:t>.</w:t>
      </w:r>
    </w:p>
    <w:p w14:paraId="2150D528" w14:textId="77777777" w:rsidR="00EC2A19" w:rsidRPr="00391D01" w:rsidRDefault="00EC2A19" w:rsidP="00391D01">
      <w:pPr>
        <w:pStyle w:val="ListParagraph"/>
        <w:numPr>
          <w:ilvl w:val="1"/>
          <w:numId w:val="336"/>
        </w:numPr>
        <w:spacing w:before="120" w:line="300" w:lineRule="auto"/>
        <w:rPr>
          <w:rFonts w:eastAsia="Calibri" w:cs="Arial"/>
          <w:szCs w:val="24"/>
        </w:rPr>
      </w:pPr>
      <w:r w:rsidRPr="00391D01">
        <w:rPr>
          <w:rFonts w:eastAsia="Calibri" w:cs="Arial"/>
          <w:szCs w:val="22"/>
        </w:rPr>
        <w:t>The Residual Energy data:</w:t>
      </w:r>
    </w:p>
    <w:p w14:paraId="350E1E8C" w14:textId="77777777" w:rsidR="00EC2A19" w:rsidRPr="00EC2A19" w:rsidRDefault="00EC2A19" w:rsidP="00391D01">
      <w:pPr>
        <w:numPr>
          <w:ilvl w:val="2"/>
          <w:numId w:val="413"/>
        </w:numPr>
        <w:spacing w:before="120" w:line="300" w:lineRule="auto"/>
        <w:ind w:left="2070"/>
        <w:rPr>
          <w:rFonts w:eastAsia="Calibri" w:cs="Arial"/>
          <w:szCs w:val="22"/>
        </w:rPr>
      </w:pPr>
      <w:r w:rsidRPr="00EC2A19">
        <w:rPr>
          <w:rFonts w:eastAsia="Calibri" w:cs="Arial"/>
          <w:szCs w:val="22"/>
        </w:rPr>
        <w:t>The volume and emissions in total and by fuel type of Residual Energy;</w:t>
      </w:r>
    </w:p>
    <w:p w14:paraId="79B6B17B" w14:textId="53617063" w:rsidR="00EC2A19" w:rsidRPr="00EC2A19" w:rsidRDefault="00EC2A19" w:rsidP="00391D01">
      <w:pPr>
        <w:numPr>
          <w:ilvl w:val="2"/>
          <w:numId w:val="413"/>
        </w:numPr>
        <w:spacing w:before="120" w:line="300" w:lineRule="auto"/>
        <w:ind w:left="2070"/>
        <w:rPr>
          <w:rFonts w:eastAsia="Calibri" w:cs="Arial"/>
          <w:szCs w:val="22"/>
        </w:rPr>
      </w:pPr>
      <w:r w:rsidRPr="00EC2A19">
        <w:rPr>
          <w:rFonts w:eastAsia="Calibri" w:cs="Arial"/>
          <w:szCs w:val="22"/>
        </w:rPr>
        <w:t>The volume and emissions in total and by fuel type of Excess Energy</w:t>
      </w:r>
      <w:r w:rsidR="00FC6183">
        <w:rPr>
          <w:rFonts w:eastAsia="Calibri" w:cs="Arial"/>
          <w:szCs w:val="22"/>
        </w:rPr>
        <w:t>;</w:t>
      </w:r>
    </w:p>
    <w:p w14:paraId="70C3A69B" w14:textId="5C21583C" w:rsidR="00EC2A19" w:rsidRPr="00EC2A19" w:rsidRDefault="00EC2A19" w:rsidP="00391D01">
      <w:pPr>
        <w:numPr>
          <w:ilvl w:val="2"/>
          <w:numId w:val="413"/>
        </w:numPr>
        <w:spacing w:before="120" w:line="300" w:lineRule="auto"/>
        <w:ind w:left="2070" w:hanging="270"/>
        <w:rPr>
          <w:rFonts w:eastAsia="Calibri" w:cs="Arial"/>
          <w:szCs w:val="22"/>
        </w:rPr>
      </w:pPr>
      <w:r w:rsidRPr="00EC2A19">
        <w:rPr>
          <w:rFonts w:eastAsia="Calibri" w:cs="Arial"/>
          <w:szCs w:val="22"/>
        </w:rPr>
        <w:t>Null Power</w:t>
      </w:r>
      <w:r w:rsidR="00FC6183">
        <w:rPr>
          <w:rFonts w:eastAsia="Calibri" w:cs="Arial"/>
          <w:szCs w:val="22"/>
        </w:rPr>
        <w:t>;</w:t>
      </w:r>
    </w:p>
    <w:p w14:paraId="1CDB69F1" w14:textId="77777777" w:rsidR="00EC2A19" w:rsidRPr="00EC2A19" w:rsidRDefault="00EC2A19" w:rsidP="00391D01">
      <w:pPr>
        <w:numPr>
          <w:ilvl w:val="2"/>
          <w:numId w:val="413"/>
        </w:numPr>
        <w:spacing w:before="120" w:line="300" w:lineRule="auto"/>
        <w:ind w:left="2070" w:hanging="270"/>
        <w:rPr>
          <w:rFonts w:eastAsia="Calibri"/>
          <w:szCs w:val="22"/>
        </w:rPr>
      </w:pPr>
      <w:r w:rsidRPr="00EC2A19">
        <w:rPr>
          <w:rFonts w:eastAsia="Calibri"/>
          <w:szCs w:val="22"/>
        </w:rPr>
        <w:t>The hourly volumes of</w:t>
      </w:r>
      <w:r w:rsidRPr="00EC2A19" w:rsidDel="009B6906">
        <w:rPr>
          <w:rFonts w:eastAsia="Calibri"/>
          <w:szCs w:val="22"/>
        </w:rPr>
        <w:t xml:space="preserve"> </w:t>
      </w:r>
      <w:r w:rsidRPr="00EC2A19">
        <w:rPr>
          <w:rFonts w:eastAsia="Calibri"/>
          <w:szCs w:val="22"/>
        </w:rPr>
        <w:t>Null Power without underlying fuel type in the monthly Public GHG Report;</w:t>
      </w:r>
    </w:p>
    <w:p w14:paraId="287C101A" w14:textId="77777777" w:rsidR="00EC2A19" w:rsidRPr="00EC2A19" w:rsidRDefault="00EC2A19" w:rsidP="00391D01">
      <w:pPr>
        <w:numPr>
          <w:ilvl w:val="2"/>
          <w:numId w:val="413"/>
        </w:numPr>
        <w:spacing w:before="120" w:line="300" w:lineRule="auto"/>
        <w:ind w:left="2070" w:hanging="270"/>
        <w:rPr>
          <w:rFonts w:eastAsia="Calibri"/>
          <w:szCs w:val="22"/>
        </w:rPr>
      </w:pPr>
      <w:r w:rsidRPr="00EC2A19">
        <w:rPr>
          <w:rFonts w:eastAsia="Calibri"/>
          <w:szCs w:val="22"/>
        </w:rPr>
        <w:t>The quarterly aggregated volumes of Null Power by fuel type in a quarterly and annual Public GHG Report;</w:t>
      </w:r>
    </w:p>
    <w:p w14:paraId="3A828F36" w14:textId="77777777" w:rsidR="00EC2A19" w:rsidRPr="00EC2A19" w:rsidRDefault="00EC2A19" w:rsidP="00391D01">
      <w:pPr>
        <w:numPr>
          <w:ilvl w:val="2"/>
          <w:numId w:val="413"/>
        </w:numPr>
        <w:spacing w:before="120" w:line="300" w:lineRule="auto"/>
        <w:ind w:left="2070" w:hanging="270"/>
        <w:rPr>
          <w:rFonts w:eastAsia="Calibri"/>
          <w:szCs w:val="22"/>
        </w:rPr>
      </w:pPr>
      <w:r w:rsidRPr="00EC2A19">
        <w:rPr>
          <w:rFonts w:eastAsia="Calibri"/>
          <w:szCs w:val="22"/>
        </w:rPr>
        <w:t>The volume and emissions in total and by fuel type of Energy not Mapped to a Reporting or Non-Reporting Entity.</w:t>
      </w:r>
    </w:p>
    <w:p w14:paraId="3DBCD552" w14:textId="77777777" w:rsidR="00EC2A19" w:rsidRPr="00EC2A19" w:rsidRDefault="00EC2A19" w:rsidP="009B3166">
      <w:pPr>
        <w:spacing w:before="120" w:line="300" w:lineRule="auto"/>
        <w:ind w:left="2970"/>
        <w:rPr>
          <w:rFonts w:eastAsia="Calibri"/>
          <w:szCs w:val="22"/>
        </w:rPr>
      </w:pPr>
    </w:p>
    <w:p w14:paraId="1050884E" w14:textId="77777777" w:rsidR="00EC2A19" w:rsidRPr="00391D01" w:rsidRDefault="00EC2A19" w:rsidP="00391D01">
      <w:pPr>
        <w:pStyle w:val="ListParagraph"/>
        <w:numPr>
          <w:ilvl w:val="1"/>
          <w:numId w:val="336"/>
        </w:numPr>
        <w:spacing w:before="120" w:line="300" w:lineRule="auto"/>
        <w:rPr>
          <w:rFonts w:eastAsia="Calibri"/>
          <w:szCs w:val="22"/>
        </w:rPr>
      </w:pPr>
      <w:r w:rsidRPr="00391D01">
        <w:rPr>
          <w:rFonts w:eastAsia="Calibri"/>
          <w:szCs w:val="22"/>
        </w:rPr>
        <w:t xml:space="preserve">The sum of the production volume and emissions by fuel type: </w:t>
      </w:r>
    </w:p>
    <w:p w14:paraId="7C89BFD2" w14:textId="77777777" w:rsidR="00EC2A19" w:rsidRPr="00EC2A19" w:rsidRDefault="00EC2A19" w:rsidP="00391D01">
      <w:pPr>
        <w:numPr>
          <w:ilvl w:val="0"/>
          <w:numId w:val="419"/>
        </w:numPr>
        <w:spacing w:before="120" w:line="300" w:lineRule="auto"/>
        <w:ind w:left="2070"/>
        <w:rPr>
          <w:rFonts w:eastAsia="Calibri"/>
          <w:szCs w:val="22"/>
        </w:rPr>
      </w:pPr>
      <w:r w:rsidRPr="00EC2A19">
        <w:rPr>
          <w:rFonts w:eastAsia="Calibri"/>
          <w:szCs w:val="22"/>
        </w:rPr>
        <w:t>The weighted average production emissions by fuel type;</w:t>
      </w:r>
    </w:p>
    <w:p w14:paraId="4B90D0ED" w14:textId="77777777" w:rsidR="00EC2A19" w:rsidRPr="00EC2A19" w:rsidRDefault="00EC2A19" w:rsidP="00391D01">
      <w:pPr>
        <w:numPr>
          <w:ilvl w:val="0"/>
          <w:numId w:val="419"/>
        </w:numPr>
        <w:spacing w:before="120" w:line="300" w:lineRule="auto"/>
        <w:ind w:left="2070"/>
        <w:rPr>
          <w:rFonts w:eastAsia="Calibri"/>
          <w:szCs w:val="22"/>
        </w:rPr>
      </w:pPr>
      <w:r w:rsidRPr="00EC2A19">
        <w:rPr>
          <w:rFonts w:eastAsia="Calibri"/>
          <w:szCs w:val="22"/>
        </w:rPr>
        <w:t>The sum of the load volume;</w:t>
      </w:r>
    </w:p>
    <w:p w14:paraId="0DABF4D5"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2"/>
        </w:rPr>
        <w:t>The sum of the Allocated volume and emissions by fuel type;</w:t>
      </w:r>
    </w:p>
    <w:p w14:paraId="18DC55F7"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2"/>
        </w:rPr>
        <w:t>The sum of the Allocated Null Power volume;</w:t>
      </w:r>
    </w:p>
    <w:p w14:paraId="57DA9C40"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4"/>
        </w:rPr>
        <w:t>The sum of the volume of Energy from Reporting Entities where the output of the Resources in the Reporting Entity’s Resource Portfolio is less than the Reporting Entity’s load;</w:t>
      </w:r>
    </w:p>
    <w:p w14:paraId="78A933F0"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4"/>
        </w:rPr>
        <w:t>The sum of the volume of Energy from Reporting Entities where the output of the Resources in the Reporting Entity’s Resource Portfolio is greater than the Reporting Entity’s load;</w:t>
      </w:r>
    </w:p>
    <w:p w14:paraId="0E3A8596"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4"/>
        </w:rPr>
        <w:t xml:space="preserve">The Marginal GHG Shadow Price in the Day-Ahead Market and in the Real-Time Balancing Market; </w:t>
      </w:r>
    </w:p>
    <w:p w14:paraId="762387A8" w14:textId="77777777" w:rsidR="00EC2A19" w:rsidRPr="00EC2A19" w:rsidRDefault="00EC2A19" w:rsidP="00391D01">
      <w:pPr>
        <w:numPr>
          <w:ilvl w:val="0"/>
          <w:numId w:val="419"/>
        </w:numPr>
        <w:spacing w:before="120" w:line="300" w:lineRule="auto"/>
        <w:ind w:left="2160"/>
        <w:rPr>
          <w:rFonts w:eastAsia="Calibri"/>
          <w:szCs w:val="22"/>
        </w:rPr>
      </w:pPr>
      <w:r w:rsidRPr="00EC2A19">
        <w:rPr>
          <w:rFonts w:eastAsia="Calibri"/>
          <w:szCs w:val="24"/>
        </w:rPr>
        <w:t>The maximum GHG Adder of dispatched Resources.</w:t>
      </w:r>
    </w:p>
    <w:p w14:paraId="25128DB5" w14:textId="77777777" w:rsidR="00EC2A19" w:rsidRPr="00EC2A19" w:rsidRDefault="00EC2A19" w:rsidP="00B90F72">
      <w:pPr>
        <w:numPr>
          <w:ilvl w:val="0"/>
          <w:numId w:val="421"/>
        </w:numPr>
        <w:spacing w:before="120" w:line="300" w:lineRule="auto"/>
        <w:rPr>
          <w:rFonts w:eastAsia="Calibri"/>
          <w:szCs w:val="24"/>
        </w:rPr>
      </w:pPr>
      <w:r w:rsidRPr="00EC2A19">
        <w:rPr>
          <w:rFonts w:eastAsia="Calibri"/>
          <w:szCs w:val="24"/>
        </w:rPr>
        <w:t>The granularity of the above-described data will be hourly, monthly, quarterly, and annually, as technically feasible, and unless otherwise specified in the list above.</w:t>
      </w:r>
    </w:p>
    <w:p w14:paraId="66F59226" w14:textId="77777777" w:rsidR="00EC2A19" w:rsidRPr="00EC2A19" w:rsidRDefault="00EC2A19" w:rsidP="00B90F72">
      <w:pPr>
        <w:numPr>
          <w:ilvl w:val="0"/>
          <w:numId w:val="421"/>
        </w:numPr>
        <w:spacing w:before="120" w:line="300" w:lineRule="auto"/>
        <w:rPr>
          <w:rFonts w:eastAsia="Calibri"/>
          <w:szCs w:val="24"/>
        </w:rPr>
      </w:pPr>
      <w:r w:rsidRPr="00EC2A19">
        <w:rPr>
          <w:rFonts w:eastAsia="Calibri"/>
          <w:szCs w:val="24"/>
        </w:rPr>
        <w:t xml:space="preserve">Each Reporting Entity GHG Report is provided for informational purposes and may be used by any Reporting Entity at its discretion.  </w:t>
      </w:r>
    </w:p>
    <w:p w14:paraId="46EF00A4" w14:textId="77777777" w:rsidR="00EC2A19" w:rsidRPr="00EC2A19" w:rsidRDefault="00EC2A19" w:rsidP="00B90F72">
      <w:pPr>
        <w:numPr>
          <w:ilvl w:val="0"/>
          <w:numId w:val="421"/>
        </w:numPr>
        <w:spacing w:before="120" w:line="300" w:lineRule="auto"/>
        <w:rPr>
          <w:rFonts w:eastAsia="Calibri"/>
          <w:szCs w:val="24"/>
        </w:rPr>
      </w:pPr>
      <w:r w:rsidRPr="00EC2A19">
        <w:rPr>
          <w:rFonts w:eastAsia="Calibri"/>
          <w:szCs w:val="24"/>
        </w:rPr>
        <w:t xml:space="preserve">Annual Reporting Entity GHG Reports will be published by April 1 of each calendar year for the prior calendar year. </w:t>
      </w:r>
    </w:p>
    <w:p w14:paraId="2D3C5482" w14:textId="4EAE14A9" w:rsidR="00EC2A19" w:rsidRPr="00EC2A19" w:rsidRDefault="00EC2A19" w:rsidP="00B90F72">
      <w:pPr>
        <w:numPr>
          <w:ilvl w:val="0"/>
          <w:numId w:val="421"/>
        </w:numPr>
        <w:spacing w:before="120" w:line="300" w:lineRule="auto"/>
        <w:rPr>
          <w:rFonts w:eastAsia="Calibri"/>
          <w:szCs w:val="24"/>
        </w:rPr>
      </w:pPr>
      <w:r w:rsidRPr="00EC2A19">
        <w:rPr>
          <w:rFonts w:eastAsia="Calibri"/>
          <w:szCs w:val="24"/>
        </w:rPr>
        <w:t>The METra Portal will be accessible to all Reporting Entities, as well as to Non-Reporting Entities necessary to confirm contracted-for Resources pursuant to 5.</w:t>
      </w:r>
      <w:r w:rsidR="00E331EB">
        <w:rPr>
          <w:rFonts w:eastAsia="Calibri"/>
          <w:szCs w:val="24"/>
        </w:rPr>
        <w:t>5</w:t>
      </w:r>
      <w:r w:rsidRPr="00EC2A19">
        <w:rPr>
          <w:rFonts w:eastAsia="Calibri"/>
          <w:szCs w:val="24"/>
        </w:rPr>
        <w:t>.2(b). Data or information that is Confidential Information, or which contains proprietary or sensitive information, will be accessible on the METra Portal only by the applicable Reporting Entity or, as applicable, to a Non-Reporting Entity which must confirm contracted-for Resources pursuant to 5.</w:t>
      </w:r>
      <w:r w:rsidR="00E331EB">
        <w:rPr>
          <w:rFonts w:eastAsia="Calibri"/>
          <w:szCs w:val="24"/>
        </w:rPr>
        <w:t>5</w:t>
      </w:r>
      <w:r w:rsidRPr="00EC2A19">
        <w:rPr>
          <w:rFonts w:eastAsia="Calibri"/>
          <w:szCs w:val="24"/>
        </w:rPr>
        <w:t xml:space="preserve">.2(b). </w:t>
      </w:r>
    </w:p>
    <w:p w14:paraId="783F275A" w14:textId="27C2F3C4" w:rsidR="00EC2A19" w:rsidRPr="00EC2A19" w:rsidRDefault="00EC2A19" w:rsidP="00B90F72">
      <w:pPr>
        <w:numPr>
          <w:ilvl w:val="0"/>
          <w:numId w:val="421"/>
        </w:numPr>
        <w:spacing w:before="120" w:line="300" w:lineRule="auto"/>
        <w:rPr>
          <w:rFonts w:eastAsia="Calibri"/>
          <w:szCs w:val="24"/>
        </w:rPr>
      </w:pPr>
      <w:r w:rsidRPr="00EC2A19">
        <w:rPr>
          <w:rFonts w:eastAsia="Calibri"/>
          <w:szCs w:val="24"/>
        </w:rPr>
        <w:t xml:space="preserve">An Authorized Requestor may request Confidential Information from the Market Operator about Market Participants which are not subject to the Authorized Requestor’s jurisdiction in accordance with Attachment A </w:t>
      </w:r>
      <w:r w:rsidR="001C4B0F">
        <w:rPr>
          <w:rFonts w:eastAsia="Calibri"/>
          <w:szCs w:val="24"/>
        </w:rPr>
        <w:t>of</w:t>
      </w:r>
      <w:r w:rsidR="001C4B0F" w:rsidRPr="00EC2A19">
        <w:rPr>
          <w:rFonts w:eastAsia="Calibri"/>
          <w:szCs w:val="24"/>
        </w:rPr>
        <w:t xml:space="preserve"> </w:t>
      </w:r>
      <w:r w:rsidRPr="00EC2A19">
        <w:rPr>
          <w:rFonts w:eastAsia="Calibri"/>
          <w:szCs w:val="24"/>
        </w:rPr>
        <w:t xml:space="preserve">the Markets+ Tariff. </w:t>
      </w:r>
    </w:p>
    <w:p w14:paraId="024C8EB0" w14:textId="77777777" w:rsidR="00EC2A19" w:rsidRPr="00EC2A19" w:rsidRDefault="00EC2A19" w:rsidP="009B3166">
      <w:pPr>
        <w:keepNext/>
        <w:numPr>
          <w:ilvl w:val="2"/>
          <w:numId w:val="416"/>
        </w:numPr>
        <w:spacing w:before="120" w:line="300" w:lineRule="auto"/>
        <w:outlineLvl w:val="2"/>
        <w:rPr>
          <w:b/>
          <w:vanish/>
          <w:sz w:val="26"/>
        </w:rPr>
      </w:pPr>
      <w:bookmarkStart w:id="6984" w:name="_Toc212633457"/>
      <w:bookmarkStart w:id="6985" w:name="_Toc212634138"/>
      <w:bookmarkStart w:id="6986" w:name="_Toc213746522"/>
      <w:bookmarkStart w:id="6987" w:name="_Toc213771987"/>
      <w:bookmarkEnd w:id="6984"/>
      <w:bookmarkEnd w:id="6985"/>
      <w:bookmarkEnd w:id="6986"/>
      <w:bookmarkEnd w:id="6987"/>
    </w:p>
    <w:p w14:paraId="4E0AACA2" w14:textId="77777777" w:rsidR="00EC2A19" w:rsidRPr="00EC2A19" w:rsidRDefault="00EC2A19" w:rsidP="00CB5653">
      <w:pPr>
        <w:pStyle w:val="Heading3"/>
      </w:pPr>
      <w:bookmarkStart w:id="6988" w:name="_Toc213771988"/>
      <w:r w:rsidRPr="00EC2A19">
        <w:t>Public GHG Report Disclaimers</w:t>
      </w:r>
      <w:bookmarkEnd w:id="6988"/>
    </w:p>
    <w:p w14:paraId="0A8DB3A0" w14:textId="77777777" w:rsidR="00EC2A19" w:rsidRPr="00EC2A19" w:rsidRDefault="00EC2A19" w:rsidP="009B3166">
      <w:pPr>
        <w:spacing w:before="120" w:line="300" w:lineRule="auto"/>
        <w:rPr>
          <w:rFonts w:eastAsia="Calibri" w:cs="Arial"/>
          <w:szCs w:val="22"/>
        </w:rPr>
      </w:pPr>
      <w:bookmarkStart w:id="6989" w:name="_Hlk177626408"/>
      <w:r w:rsidRPr="00EC2A19">
        <w:rPr>
          <w:rFonts w:eastAsia="Calibri" w:cs="Arial"/>
          <w:szCs w:val="22"/>
        </w:rPr>
        <w:t>A Public GHG Report is for informational purposes only and does not constitute or convey to a Market Participant any claim to any non-power attributes (including fuel type and associated emissions rate) for energy designated as Null Power. </w:t>
      </w:r>
    </w:p>
    <w:p w14:paraId="5C5F4BAF" w14:textId="77777777" w:rsidR="00EC2A19" w:rsidRPr="00EC2A19" w:rsidRDefault="00EC2A19" w:rsidP="00391D01">
      <w:pPr>
        <w:numPr>
          <w:ilvl w:val="0"/>
          <w:numId w:val="420"/>
        </w:numPr>
        <w:spacing w:before="120" w:line="300" w:lineRule="auto"/>
        <w:ind w:left="900"/>
        <w:rPr>
          <w:rFonts w:eastAsia="Calibri" w:cs="Arial"/>
          <w:szCs w:val="22"/>
        </w:rPr>
      </w:pPr>
      <w:r w:rsidRPr="00EC2A19">
        <w:rPr>
          <w:rFonts w:eastAsia="Calibri" w:cs="Arial"/>
          <w:szCs w:val="22"/>
        </w:rPr>
        <w:t xml:space="preserve"> If a Public GHG Report is used as the basis for a claim to any non-power attributes for Energy designated as Null Power, it could jeopardize the ability of the owner of the associated Renewable Energy Credits (RECs) or other non-power attributes to use its RECs or other non-power attributes for voluntary or compliance program purposes. Each Reporting Entity is responsible for ensuring that participation in these tracking and reporting protocols is compatible with any and all related compliance obligations the Reporting Entity may have. The Market Operator does not have a compliance or monitoring obligation associated with this disclaimer. Each state within the Markets+ Footprint may have different regulations and definitions that apply to the terms used in this disclaimer. </w:t>
      </w:r>
    </w:p>
    <w:bookmarkEnd w:id="6989"/>
    <w:p w14:paraId="1F67CF1B" w14:textId="77777777" w:rsidR="00EC2A19" w:rsidRPr="00EC2A19" w:rsidRDefault="00EC2A19" w:rsidP="00391D01">
      <w:pPr>
        <w:numPr>
          <w:ilvl w:val="0"/>
          <w:numId w:val="420"/>
        </w:numPr>
        <w:spacing w:before="120" w:line="300" w:lineRule="auto"/>
        <w:ind w:left="900"/>
        <w:rPr>
          <w:rFonts w:eastAsia="Calibri" w:cs="Arial"/>
          <w:szCs w:val="22"/>
        </w:rPr>
      </w:pPr>
      <w:r w:rsidRPr="00EC2A19">
        <w:rPr>
          <w:rFonts w:eastAsia="Calibri" w:cs="Arial"/>
          <w:szCs w:val="22"/>
        </w:rPr>
        <w:t xml:space="preserve">Including Null Power at the emissions rate associated with the underlying Resources for Residual Energy may understate emissions for purposes of calculating an emissions rate that is consistent with the claims to RECs and on non-power attributes. </w:t>
      </w:r>
    </w:p>
    <w:p w14:paraId="2EF4B17B" w14:textId="3192CCAC" w:rsidR="00EC2A19" w:rsidRPr="00EC2A19" w:rsidRDefault="00EC2A19" w:rsidP="00391D01">
      <w:pPr>
        <w:numPr>
          <w:ilvl w:val="0"/>
          <w:numId w:val="420"/>
        </w:numPr>
        <w:spacing w:before="120" w:line="300" w:lineRule="auto"/>
        <w:ind w:left="900"/>
        <w:rPr>
          <w:rFonts w:eastAsia="Calibri" w:cs="Arial"/>
          <w:szCs w:val="22"/>
        </w:rPr>
      </w:pPr>
      <w:r w:rsidRPr="00EC2A19">
        <w:rPr>
          <w:rFonts w:eastAsia="Calibri" w:cs="Arial"/>
          <w:szCs w:val="22"/>
        </w:rPr>
        <w:t>Excluding Null Power from the calculation of an emission</w:t>
      </w:r>
      <w:r w:rsidR="00B20CD3">
        <w:rPr>
          <w:rFonts w:eastAsia="Calibri" w:cs="Arial"/>
          <w:szCs w:val="22"/>
        </w:rPr>
        <w:t>s</w:t>
      </w:r>
      <w:r w:rsidRPr="00EC2A19">
        <w:rPr>
          <w:rFonts w:eastAsia="Calibri" w:cs="Arial"/>
          <w:szCs w:val="22"/>
        </w:rPr>
        <w:t xml:space="preserve"> factor for Residual Energy for purposes of determining total emissions associated with serving load under accounting systems that are not based on claims to RECs or nonpower attributes may overstate emissions relative to actual emissions of generating Resources in that hour. </w:t>
      </w:r>
    </w:p>
    <w:p w14:paraId="7C49778C" w14:textId="77777777" w:rsidR="00EC2A19" w:rsidRPr="00EC2A19" w:rsidRDefault="00EC2A19" w:rsidP="00EC2A19">
      <w:pPr>
        <w:spacing w:after="0"/>
        <w:ind w:left="1980"/>
        <w:rPr>
          <w:rFonts w:eastAsia="Calibri" w:cs="Arial"/>
          <w:szCs w:val="22"/>
        </w:rPr>
      </w:pPr>
    </w:p>
    <w:p w14:paraId="2C06B0AE" w14:textId="77777777" w:rsidR="00FB68C9" w:rsidRDefault="00FB68C9" w:rsidP="003227F0">
      <w:pPr>
        <w:pStyle w:val="NoSpacing"/>
        <w:ind w:left="1980"/>
      </w:pPr>
    </w:p>
    <w:p w14:paraId="5784FDD5" w14:textId="77777777" w:rsidR="00FB68C9" w:rsidRDefault="00FB68C9" w:rsidP="00FB68C9">
      <w:pPr>
        <w:pStyle w:val="ParaText"/>
      </w:pPr>
    </w:p>
    <w:p w14:paraId="4A14FD25" w14:textId="77777777" w:rsidR="00FB68C9" w:rsidRDefault="00FB68C9" w:rsidP="00FB68C9">
      <w:pPr>
        <w:pStyle w:val="ParaText"/>
      </w:pPr>
    </w:p>
    <w:p w14:paraId="15EE6A04" w14:textId="77777777" w:rsidR="00FB68C9" w:rsidRDefault="00FB68C9" w:rsidP="00FB68C9">
      <w:pPr>
        <w:pStyle w:val="ParaText"/>
      </w:pPr>
    </w:p>
    <w:p w14:paraId="0644D60F" w14:textId="77777777" w:rsidR="00975927" w:rsidRDefault="00975927" w:rsidP="00FB68C9">
      <w:pPr>
        <w:pStyle w:val="ParaText"/>
        <w:sectPr w:rsidR="00975927" w:rsidSect="000F0FB6">
          <w:footerReference w:type="even" r:id="rId87"/>
          <w:footerReference w:type="first" r:id="rId88"/>
          <w:pgSz w:w="12240" w:h="15840"/>
          <w:pgMar w:top="1440" w:right="1440" w:bottom="1440" w:left="1440" w:header="720" w:footer="720" w:gutter="0"/>
          <w:cols w:space="720"/>
          <w:docGrid w:linePitch="360"/>
        </w:sectPr>
      </w:pPr>
    </w:p>
    <w:p w14:paraId="4FB01464" w14:textId="62E040B8" w:rsidR="00736EDE" w:rsidRPr="00526058" w:rsidRDefault="00736EDE" w:rsidP="00E94CBF">
      <w:pPr>
        <w:pStyle w:val="Heading1"/>
      </w:pPr>
      <w:bookmarkStart w:id="6990" w:name="_Toc152335925"/>
      <w:bookmarkStart w:id="6991" w:name="_Ref193980998"/>
      <w:bookmarkStart w:id="6992" w:name="_Toc213771989"/>
      <w:r w:rsidRPr="00526058">
        <w:t>Congestion Rent Eligibility Procedures</w:t>
      </w:r>
      <w:bookmarkEnd w:id="6990"/>
      <w:bookmarkEnd w:id="6991"/>
      <w:bookmarkEnd w:id="6992"/>
    </w:p>
    <w:p w14:paraId="4F9BC7E3" w14:textId="77777777" w:rsidR="00736EDE" w:rsidRDefault="00736EDE" w:rsidP="00067800">
      <w:pPr>
        <w:pStyle w:val="ParaText"/>
        <w:spacing w:before="120"/>
      </w:pPr>
      <w:r>
        <w:t>The Market Operator collects Congestion Rent in the Day-Ahead Market that represents the increased costs to serve load resulting from transmission constraints within the modeled Markets+ Footprint.  Congestion Rent Eligible Transmission Service Reservation (CRETSR) Holders may receive a portion of Congestion Rent subject to the following verification procedures.</w:t>
      </w:r>
      <w:r w:rsidRPr="009C1DBD">
        <w:t xml:space="preserve"> </w:t>
      </w:r>
    </w:p>
    <w:p w14:paraId="6BAC6E3F" w14:textId="07B9E9E3" w:rsidR="00736EDE" w:rsidRDefault="00736EDE" w:rsidP="00067800">
      <w:pPr>
        <w:pStyle w:val="ListParagraph"/>
        <w:spacing w:before="120" w:line="300" w:lineRule="auto"/>
        <w:ind w:left="0"/>
        <w:contextualSpacing w:val="0"/>
      </w:pPr>
      <w:r w:rsidRPr="003C654E">
        <w:t xml:space="preserve">Prior to the verification process, the Market Operator will build the </w:t>
      </w:r>
      <w:r w:rsidR="005B3871">
        <w:t>N</w:t>
      </w:r>
      <w:r w:rsidRPr="003C654E">
        <w:t xml:space="preserve">etwork and </w:t>
      </w:r>
      <w:r w:rsidR="005B3871">
        <w:t>C</w:t>
      </w:r>
      <w:r w:rsidRPr="003C654E">
        <w:t xml:space="preserve">ommercial </w:t>
      </w:r>
      <w:r w:rsidR="005B3871">
        <w:t>M</w:t>
      </w:r>
      <w:r w:rsidRPr="003C654E">
        <w:t xml:space="preserve">odels as described in </w:t>
      </w:r>
      <w:r w:rsidR="00B46357">
        <w:t xml:space="preserve">the Markets+ Settlements </w:t>
      </w:r>
      <w:r w:rsidR="00BA0C4B">
        <w:t>Calculation Guide</w:t>
      </w:r>
      <w:r w:rsidRPr="003C654E">
        <w:t xml:space="preserve">. </w:t>
      </w:r>
      <w:r>
        <w:t>T</w:t>
      </w:r>
      <w:r w:rsidRPr="003C654E">
        <w:t>he Market Operator will work with each MTSP</w:t>
      </w:r>
      <w:r>
        <w:t xml:space="preserve"> or Markets+ Transmission Contributor</w:t>
      </w:r>
      <w:r w:rsidRPr="003C654E">
        <w:t xml:space="preserve"> to map all potential </w:t>
      </w:r>
      <w:r w:rsidR="006C1F5C">
        <w:t>s</w:t>
      </w:r>
      <w:r w:rsidRPr="003C654E">
        <w:t>ource/Point-</w:t>
      </w:r>
      <w:r w:rsidR="00484671">
        <w:t>o</w:t>
      </w:r>
      <w:r w:rsidRPr="003C654E">
        <w:t xml:space="preserve">f-Receipt combinations and </w:t>
      </w:r>
      <w:r w:rsidR="006C1F5C">
        <w:t>s</w:t>
      </w:r>
      <w:r w:rsidRPr="003C654E">
        <w:t>ink/Point-of-</w:t>
      </w:r>
      <w:r>
        <w:t xml:space="preserve">Delivery </w:t>
      </w:r>
      <w:r w:rsidRPr="003C654E">
        <w:t>combination</w:t>
      </w:r>
      <w:r>
        <w:t>s</w:t>
      </w:r>
      <w:r w:rsidRPr="003C654E">
        <w:t xml:space="preserve"> associated with transmission service on the MTSP’s transmission system to a P</w:t>
      </w:r>
      <w:r>
        <w:t>n</w:t>
      </w:r>
      <w:r w:rsidRPr="003C654E">
        <w:t xml:space="preserve">ode or an APnode within the </w:t>
      </w:r>
      <w:r w:rsidR="00E726BA">
        <w:t>C</w:t>
      </w:r>
      <w:r w:rsidRPr="003C654E">
        <w:t xml:space="preserve">ommercial </w:t>
      </w:r>
      <w:r w:rsidR="00E726BA">
        <w:t>M</w:t>
      </w:r>
      <w:r w:rsidRPr="003C654E">
        <w:t>odel. For Network Integrated Transmission Service, the Market Operator will work with MTSPs to map all applicable Designated Network Resources and Network Loads to a P</w:t>
      </w:r>
      <w:r w:rsidR="00E726BA">
        <w:t>n</w:t>
      </w:r>
      <w:r w:rsidRPr="003C654E">
        <w:t xml:space="preserve">ode or an APnode within the </w:t>
      </w:r>
      <w:r w:rsidR="00E726BA">
        <w:t>C</w:t>
      </w:r>
      <w:r w:rsidRPr="003C654E">
        <w:t xml:space="preserve">ommercial </w:t>
      </w:r>
      <w:r w:rsidR="00E726BA">
        <w:t>M</w:t>
      </w:r>
      <w:r w:rsidRPr="003C654E">
        <w:t xml:space="preserve">odel. These mappings will enable the Market Operator to translate each CRETSR to appropriate source and sink settlement locations for purposes of </w:t>
      </w:r>
      <w:r>
        <w:t>C</w:t>
      </w:r>
      <w:r w:rsidRPr="003C654E">
        <w:t xml:space="preserve">ongestion </w:t>
      </w:r>
      <w:r>
        <w:t>R</w:t>
      </w:r>
      <w:r w:rsidRPr="003C654E">
        <w:t>ent allocation.</w:t>
      </w:r>
    </w:p>
    <w:p w14:paraId="5303AF06" w14:textId="77777777" w:rsidR="00736EDE" w:rsidRPr="00526519" w:rsidRDefault="00736EDE" w:rsidP="00FE7AA5">
      <w:pPr>
        <w:pStyle w:val="Heading2"/>
      </w:pPr>
      <w:bookmarkStart w:id="6993" w:name="_Toc212633460"/>
      <w:bookmarkStart w:id="6994" w:name="_Toc212634141"/>
      <w:bookmarkStart w:id="6995" w:name="_Toc213746525"/>
      <w:bookmarkStart w:id="6996" w:name="_Toc213771990"/>
      <w:bookmarkStart w:id="6997" w:name="_Toc152335926"/>
      <w:bookmarkStart w:id="6998" w:name="_Toc213771991"/>
      <w:bookmarkStart w:id="6999" w:name="_Ref214885522"/>
      <w:bookmarkEnd w:id="6993"/>
      <w:bookmarkEnd w:id="6994"/>
      <w:bookmarkEnd w:id="6995"/>
      <w:bookmarkEnd w:id="6996"/>
      <w:r>
        <w:t xml:space="preserve">Congestion Rent Eligible </w:t>
      </w:r>
      <w:r w:rsidRPr="00526519">
        <w:t>Transmission Service Reservation Verification Process</w:t>
      </w:r>
      <w:bookmarkEnd w:id="6997"/>
      <w:bookmarkEnd w:id="6998"/>
      <w:bookmarkEnd w:id="6999"/>
    </w:p>
    <w:p w14:paraId="72182E80" w14:textId="1887BDE3" w:rsidR="006D0A16" w:rsidRDefault="006D0A16" w:rsidP="00067800">
      <w:pPr>
        <w:pStyle w:val="ListParagraph"/>
        <w:spacing w:before="120" w:line="300" w:lineRule="auto"/>
        <w:ind w:left="0"/>
        <w:contextualSpacing w:val="0"/>
        <w:rPr>
          <w:szCs w:val="24"/>
        </w:rPr>
      </w:pPr>
      <w:r>
        <w:t>The Market Operator</w:t>
      </w:r>
      <w:r>
        <w:rPr>
          <w:szCs w:val="24"/>
        </w:rPr>
        <w:t xml:space="preserve">, in collaboration with </w:t>
      </w:r>
      <w:r w:rsidR="008A7A1D">
        <w:rPr>
          <w:szCs w:val="24"/>
        </w:rPr>
        <w:t>MTSPs</w:t>
      </w:r>
      <w:r>
        <w:rPr>
          <w:szCs w:val="24"/>
        </w:rPr>
        <w:t xml:space="preserve"> and CRETSR Holders within the Markets+ Footprint, will retrieve and verify each CRETSR Holder’s Congestion Rent Eligible Transmission Service Reservations from the applicable transmission service provider's Open Access Same-time Information System (OASIS), including relevant DNRs and Network Loads associated with Network Integration Transmission Service (NITS). If the transmission reservation is unavailable on OASIS, refer to Section </w:t>
      </w:r>
      <w:r w:rsidR="00556F5B">
        <w:rPr>
          <w:szCs w:val="24"/>
        </w:rPr>
        <w:fldChar w:fldCharType="begin"/>
      </w:r>
      <w:r w:rsidR="00556F5B">
        <w:rPr>
          <w:szCs w:val="24"/>
        </w:rPr>
        <w:instrText xml:space="preserve"> REF _Ref212563615 \r \h </w:instrText>
      </w:r>
      <w:r w:rsidR="00556F5B">
        <w:rPr>
          <w:szCs w:val="24"/>
        </w:rPr>
      </w:r>
      <w:r w:rsidR="00556F5B">
        <w:rPr>
          <w:szCs w:val="24"/>
        </w:rPr>
        <w:fldChar w:fldCharType="separate"/>
      </w:r>
      <w:r w:rsidR="00556F5B">
        <w:rPr>
          <w:szCs w:val="24"/>
        </w:rPr>
        <w:t>6.1.1.3</w:t>
      </w:r>
      <w:r w:rsidR="00556F5B">
        <w:rPr>
          <w:szCs w:val="24"/>
        </w:rPr>
        <w:fldChar w:fldCharType="end"/>
      </w:r>
      <w:r>
        <w:rPr>
          <w:szCs w:val="24"/>
        </w:rPr>
        <w:t>.</w:t>
      </w:r>
    </w:p>
    <w:p w14:paraId="7463CD4A" w14:textId="6C45FD7A" w:rsidR="00736EDE" w:rsidRDefault="00556F5B" w:rsidP="00CB5653">
      <w:pPr>
        <w:pStyle w:val="Heading3"/>
        <w:rPr>
          <w:szCs w:val="24"/>
        </w:rPr>
      </w:pPr>
      <w:bookmarkStart w:id="7000" w:name="_Ref212619457"/>
      <w:bookmarkStart w:id="7001" w:name="_Toc213771992"/>
      <w:r>
        <w:t>Transmission</w:t>
      </w:r>
      <w:r w:rsidR="00A6174C">
        <w:t xml:space="preserve"> Service Reservation Information</w:t>
      </w:r>
      <w:bookmarkEnd w:id="7000"/>
      <w:bookmarkEnd w:id="7001"/>
    </w:p>
    <w:p w14:paraId="606166B7" w14:textId="77777777" w:rsidR="00990684" w:rsidRPr="00990684" w:rsidRDefault="00990684" w:rsidP="00990684">
      <w:pPr>
        <w:pStyle w:val="ListParagraph"/>
        <w:keepNext/>
        <w:numPr>
          <w:ilvl w:val="0"/>
          <w:numId w:val="429"/>
        </w:numPr>
        <w:spacing w:after="240"/>
        <w:contextualSpacing w:val="0"/>
        <w:outlineLvl w:val="0"/>
        <w:rPr>
          <w:b/>
          <w:vanish/>
          <w:kern w:val="28"/>
          <w:sz w:val="34"/>
        </w:rPr>
      </w:pPr>
      <w:bookmarkStart w:id="7002" w:name="_Toc208563241"/>
      <w:bookmarkStart w:id="7003" w:name="_Toc212633463"/>
      <w:bookmarkStart w:id="7004" w:name="_Toc212634144"/>
      <w:bookmarkStart w:id="7005" w:name="_Toc213746528"/>
      <w:bookmarkStart w:id="7006" w:name="_Toc213771993"/>
      <w:bookmarkStart w:id="7007" w:name="_Toc208563242"/>
      <w:bookmarkStart w:id="7008" w:name="_Toc212633464"/>
      <w:bookmarkStart w:id="7009" w:name="_Toc212634145"/>
      <w:bookmarkStart w:id="7010" w:name="_Toc213746529"/>
      <w:bookmarkStart w:id="7011" w:name="_Toc213771994"/>
      <w:bookmarkStart w:id="7012" w:name="_Toc212633465"/>
      <w:bookmarkStart w:id="7013" w:name="_Toc212634146"/>
      <w:bookmarkStart w:id="7014" w:name="_Toc213746530"/>
      <w:bookmarkStart w:id="7015" w:name="_Toc213771995"/>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14:paraId="4818B4AC" w14:textId="77777777" w:rsidR="00990684" w:rsidRPr="00990684" w:rsidRDefault="00990684" w:rsidP="00990684">
      <w:pPr>
        <w:pStyle w:val="ListParagraph"/>
        <w:keepNext/>
        <w:numPr>
          <w:ilvl w:val="1"/>
          <w:numId w:val="429"/>
        </w:numPr>
        <w:spacing w:after="240"/>
        <w:contextualSpacing w:val="0"/>
        <w:outlineLvl w:val="1"/>
        <w:rPr>
          <w:b/>
          <w:vanish/>
          <w:sz w:val="30"/>
        </w:rPr>
      </w:pPr>
      <w:bookmarkStart w:id="7016" w:name="_Toc212633466"/>
      <w:bookmarkStart w:id="7017" w:name="_Toc212634147"/>
      <w:bookmarkStart w:id="7018" w:name="_Toc213746531"/>
      <w:bookmarkStart w:id="7019" w:name="_Toc213771996"/>
      <w:bookmarkEnd w:id="7016"/>
      <w:bookmarkEnd w:id="7017"/>
      <w:bookmarkEnd w:id="7018"/>
      <w:bookmarkEnd w:id="7019"/>
    </w:p>
    <w:p w14:paraId="0A906680" w14:textId="77777777" w:rsidR="00736EDE" w:rsidRDefault="00736EDE" w:rsidP="00736EDE">
      <w:pPr>
        <w:spacing w:before="120" w:line="300" w:lineRule="auto"/>
        <w:rPr>
          <w:szCs w:val="24"/>
        </w:rPr>
      </w:pPr>
      <w:r>
        <w:rPr>
          <w:szCs w:val="24"/>
        </w:rPr>
        <w:t>For transmission service reservation holders to be eligible to obtain Congestion Rent allocations, the Market Operator must first verify existing transmission service information.</w:t>
      </w:r>
    </w:p>
    <w:p w14:paraId="60B8F5E5" w14:textId="77777777" w:rsidR="00736EDE" w:rsidRPr="00883B8F" w:rsidRDefault="00736EDE" w:rsidP="00574EDE">
      <w:pPr>
        <w:pStyle w:val="Heading4"/>
      </w:pPr>
      <w:bookmarkStart w:id="7020" w:name="_Toc212633467"/>
      <w:bookmarkStart w:id="7021" w:name="_Toc212634148"/>
      <w:bookmarkStart w:id="7022" w:name="_Toc213746532"/>
      <w:bookmarkStart w:id="7023" w:name="_Toc213771997"/>
      <w:bookmarkStart w:id="7024" w:name="_Ref212563727"/>
      <w:bookmarkStart w:id="7025" w:name="_Toc213771998"/>
      <w:bookmarkEnd w:id="7020"/>
      <w:bookmarkEnd w:id="7021"/>
      <w:bookmarkEnd w:id="7022"/>
      <w:bookmarkEnd w:id="7023"/>
      <w:r>
        <w:t>Firm or Conditional Firm Point-To-Point Transmission Service Reservation Information</w:t>
      </w:r>
      <w:bookmarkEnd w:id="7024"/>
      <w:bookmarkEnd w:id="7025"/>
    </w:p>
    <w:p w14:paraId="32BE3147" w14:textId="06067D1C" w:rsidR="00736EDE" w:rsidRPr="007B612B" w:rsidRDefault="00831D05" w:rsidP="00736EDE">
      <w:pPr>
        <w:spacing w:before="120" w:line="300" w:lineRule="auto"/>
        <w:rPr>
          <w:szCs w:val="24"/>
        </w:rPr>
      </w:pPr>
      <w:r>
        <w:rPr>
          <w:szCs w:val="24"/>
        </w:rPr>
        <w:t>MTSPs</w:t>
      </w:r>
      <w:r w:rsidR="00736EDE" w:rsidRPr="007B612B">
        <w:rPr>
          <w:szCs w:val="24"/>
        </w:rPr>
        <w:t xml:space="preserve"> </w:t>
      </w:r>
      <w:r w:rsidR="00736EDE">
        <w:rPr>
          <w:szCs w:val="24"/>
        </w:rPr>
        <w:t xml:space="preserve">and Markets+ Transmission Contributors </w:t>
      </w:r>
      <w:r w:rsidR="00736EDE" w:rsidRPr="007B612B">
        <w:rPr>
          <w:szCs w:val="24"/>
        </w:rPr>
        <w:t>will make available on OASIS</w:t>
      </w:r>
      <w:r w:rsidR="00736EDE">
        <w:rPr>
          <w:szCs w:val="24"/>
        </w:rPr>
        <w:t>, if available,</w:t>
      </w:r>
      <w:r w:rsidR="00736EDE" w:rsidRPr="007B612B">
        <w:rPr>
          <w:szCs w:val="24"/>
        </w:rPr>
        <w:t xml:space="preserve"> each Market Participant’s </w:t>
      </w:r>
      <w:r w:rsidR="00736EDE">
        <w:rPr>
          <w:szCs w:val="24"/>
        </w:rPr>
        <w:t>F</w:t>
      </w:r>
      <w:r w:rsidR="00736EDE" w:rsidRPr="007B612B">
        <w:rPr>
          <w:szCs w:val="24"/>
        </w:rPr>
        <w:t>irm</w:t>
      </w:r>
      <w:r w:rsidR="00736EDE">
        <w:rPr>
          <w:szCs w:val="24"/>
        </w:rPr>
        <w:t xml:space="preserve"> or Conditional Firm</w:t>
      </w:r>
      <w:r w:rsidR="00736EDE" w:rsidRPr="007B612B">
        <w:rPr>
          <w:szCs w:val="24"/>
        </w:rPr>
        <w:t xml:space="preserve"> </w:t>
      </w:r>
      <w:r w:rsidR="00736EDE">
        <w:rPr>
          <w:szCs w:val="24"/>
        </w:rPr>
        <w:t>Point-To-Point T</w:t>
      </w:r>
      <w:r w:rsidR="00736EDE" w:rsidRPr="007B612B">
        <w:rPr>
          <w:szCs w:val="24"/>
        </w:rPr>
        <w:t xml:space="preserve">ransmission </w:t>
      </w:r>
      <w:r w:rsidR="00736EDE">
        <w:rPr>
          <w:szCs w:val="24"/>
        </w:rPr>
        <w:t>Service r</w:t>
      </w:r>
      <w:r w:rsidR="00736EDE" w:rsidRPr="007B612B">
        <w:rPr>
          <w:szCs w:val="24"/>
        </w:rPr>
        <w:t xml:space="preserve">eservation information for service increments that are monthly, yearly, or longer, </w:t>
      </w:r>
      <w:r w:rsidR="00736EDE">
        <w:rPr>
          <w:szCs w:val="24"/>
        </w:rPr>
        <w:t>and</w:t>
      </w:r>
      <w:r w:rsidR="00736EDE" w:rsidRPr="007B612B">
        <w:rPr>
          <w:szCs w:val="24"/>
        </w:rPr>
        <w:t xml:space="preserve"> span the </w:t>
      </w:r>
      <w:r w:rsidR="00736EDE">
        <w:rPr>
          <w:szCs w:val="24"/>
        </w:rPr>
        <w:t xml:space="preserve">full </w:t>
      </w:r>
      <w:r w:rsidR="00736EDE" w:rsidRPr="007B612B">
        <w:rPr>
          <w:szCs w:val="24"/>
        </w:rPr>
        <w:t xml:space="preserve">upcoming </w:t>
      </w:r>
      <w:r w:rsidR="00B35D16">
        <w:rPr>
          <w:szCs w:val="24"/>
        </w:rPr>
        <w:t>calendar month</w:t>
      </w:r>
      <w:r w:rsidR="00736EDE" w:rsidRPr="007B612B">
        <w:rPr>
          <w:szCs w:val="24"/>
        </w:rPr>
        <w:t xml:space="preserve"> including:</w:t>
      </w:r>
    </w:p>
    <w:p w14:paraId="45753786"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MW Grant;</w:t>
      </w:r>
    </w:p>
    <w:p w14:paraId="3CDFFB81"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Customer (Markets+ Transmission User);</w:t>
      </w:r>
    </w:p>
    <w:p w14:paraId="77C045F2"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TP (applicable Transmission Service Provider);</w:t>
      </w:r>
    </w:p>
    <w:p w14:paraId="26485D10"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Increment;</w:t>
      </w:r>
    </w:p>
    <w:p w14:paraId="4126E3F0"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Start Time;</w:t>
      </w:r>
    </w:p>
    <w:p w14:paraId="0C033FB7" w14:textId="326AE062"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Stop Time;</w:t>
      </w:r>
    </w:p>
    <w:p w14:paraId="73AFF491"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Class;</w:t>
      </w:r>
    </w:p>
    <w:p w14:paraId="40465B82"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 xml:space="preserve">Type; </w:t>
      </w:r>
    </w:p>
    <w:p w14:paraId="66315561" w14:textId="74FF825D"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 xml:space="preserve">Source; </w:t>
      </w:r>
    </w:p>
    <w:p w14:paraId="0DA54B33"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Sink;</w:t>
      </w:r>
    </w:p>
    <w:p w14:paraId="194298A7"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POR;</w:t>
      </w:r>
    </w:p>
    <w:p w14:paraId="2AE71031" w14:textId="77777777"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POD;</w:t>
      </w:r>
    </w:p>
    <w:p w14:paraId="7D64F340" w14:textId="5B3A4DBA" w:rsidR="00736EDE" w:rsidRPr="00596A6E" w:rsidRDefault="00736EDE" w:rsidP="00596A6E">
      <w:pPr>
        <w:numPr>
          <w:ilvl w:val="0"/>
          <w:numId w:val="439"/>
        </w:numPr>
        <w:spacing w:before="120" w:line="300" w:lineRule="auto"/>
        <w:rPr>
          <w:rFonts w:eastAsia="Calibri"/>
          <w:szCs w:val="24"/>
        </w:rPr>
      </w:pPr>
      <w:r w:rsidRPr="00596A6E">
        <w:rPr>
          <w:rFonts w:eastAsia="Calibri"/>
          <w:szCs w:val="24"/>
        </w:rPr>
        <w:t>Status.</w:t>
      </w:r>
    </w:p>
    <w:p w14:paraId="24D4DB15" w14:textId="77777777" w:rsidR="00736EDE" w:rsidRDefault="00736EDE" w:rsidP="00574EDE">
      <w:pPr>
        <w:pStyle w:val="Heading4"/>
      </w:pPr>
      <w:bookmarkStart w:id="7026" w:name="_Ref212563744"/>
      <w:bookmarkStart w:id="7027" w:name="_Ref212619664"/>
      <w:bookmarkStart w:id="7028" w:name="_Toc213771999"/>
      <w:r>
        <w:t>Network Integration Transmission Service Reservation Information</w:t>
      </w:r>
      <w:bookmarkEnd w:id="7026"/>
      <w:bookmarkEnd w:id="7027"/>
      <w:bookmarkEnd w:id="7028"/>
    </w:p>
    <w:p w14:paraId="14E57FC9" w14:textId="08C2B0C0" w:rsidR="00736EDE" w:rsidRDefault="00736EDE" w:rsidP="00736EDE">
      <w:pPr>
        <w:spacing w:before="120" w:line="300" w:lineRule="auto"/>
      </w:pPr>
      <w:r>
        <w:t>In order for the Market Operator to obtain the total MW capacity of NITS rights and the associated resources, the M</w:t>
      </w:r>
      <w:r w:rsidR="00A56197">
        <w:t>MTSP</w:t>
      </w:r>
      <w:r>
        <w:t xml:space="preserve">s will make available on OASIS, each Market Participant’s firm NITS reservation information for service increments that are monthly, yearly, or longer, and span the full upcoming </w:t>
      </w:r>
      <w:r w:rsidR="00B35D16">
        <w:t>calendar month</w:t>
      </w:r>
      <w:r>
        <w:t xml:space="preserve">.  This information should include the respective network Resource name, start and stop time, associated network load location, and MW capacity per Resource. Each Resource and </w:t>
      </w:r>
      <w:r w:rsidR="00413037">
        <w:t>N</w:t>
      </w:r>
      <w:r>
        <w:t xml:space="preserve">etwork </w:t>
      </w:r>
      <w:r w:rsidR="00413037">
        <w:t>L</w:t>
      </w:r>
      <w:r>
        <w:t xml:space="preserve">oad must be associated with a Settlement Location in the </w:t>
      </w:r>
      <w:r w:rsidR="00A56197">
        <w:t>C</w:t>
      </w:r>
      <w:r>
        <w:t xml:space="preserve">ommercial </w:t>
      </w:r>
      <w:r w:rsidR="00A56197">
        <w:t>M</w:t>
      </w:r>
      <w:r>
        <w:t xml:space="preserve">odel as described in Section </w:t>
      </w:r>
      <w:r w:rsidR="00206071">
        <w:fldChar w:fldCharType="begin"/>
      </w:r>
      <w:r w:rsidR="00206071">
        <w:instrText xml:space="preserve"> REF _Ref212563678 \r \h </w:instrText>
      </w:r>
      <w:r w:rsidR="00206071">
        <w:fldChar w:fldCharType="separate"/>
      </w:r>
      <w:r w:rsidR="00206071">
        <w:t>4.5.2</w:t>
      </w:r>
      <w:r w:rsidR="00206071">
        <w:fldChar w:fldCharType="end"/>
      </w:r>
      <w:r>
        <w:t xml:space="preserve"> and Section </w:t>
      </w:r>
      <w:r w:rsidR="00206071">
        <w:fldChar w:fldCharType="begin"/>
      </w:r>
      <w:r w:rsidR="00206071">
        <w:instrText xml:space="preserve"> REF _Ref212563696 \r \h </w:instrText>
      </w:r>
      <w:r w:rsidR="00206071">
        <w:fldChar w:fldCharType="separate"/>
      </w:r>
      <w:r w:rsidR="00206071">
        <w:t>9</w:t>
      </w:r>
      <w:r w:rsidR="00206071">
        <w:fldChar w:fldCharType="end"/>
      </w:r>
      <w:r w:rsidR="009930D1">
        <w:t>.</w:t>
      </w:r>
    </w:p>
    <w:p w14:paraId="6DDEEE85" w14:textId="77777777" w:rsidR="00736EDE" w:rsidRPr="001154F0" w:rsidRDefault="00736EDE" w:rsidP="00574EDE">
      <w:pPr>
        <w:pStyle w:val="Heading4"/>
        <w:rPr>
          <w:szCs w:val="24"/>
        </w:rPr>
      </w:pPr>
      <w:bookmarkStart w:id="7029" w:name="_Ref212563615"/>
      <w:bookmarkStart w:id="7030" w:name="_Toc213772000"/>
      <w:r>
        <w:t>Legacy Transmission Service Reservation Information</w:t>
      </w:r>
      <w:bookmarkEnd w:id="7029"/>
      <w:bookmarkEnd w:id="7030"/>
    </w:p>
    <w:p w14:paraId="1C715C34" w14:textId="679523DA" w:rsidR="00736EDE" w:rsidRPr="006D278B" w:rsidRDefault="00736EDE" w:rsidP="00736EDE">
      <w:pPr>
        <w:spacing w:before="120" w:line="300" w:lineRule="auto"/>
        <w:rPr>
          <w:szCs w:val="24"/>
        </w:rPr>
      </w:pPr>
      <w:r>
        <w:t>If a</w:t>
      </w:r>
      <w:r w:rsidR="00413037">
        <w:t>n</w:t>
      </w:r>
      <w:r>
        <w:t xml:space="preserve"> </w:t>
      </w:r>
      <w:r w:rsidR="00413037">
        <w:t>MTSP</w:t>
      </w:r>
      <w:r>
        <w:t xml:space="preserve"> or Markets+ Transmission Contributor is unable to provide information such as that related to Legacy Transmission Service on OASIS, the </w:t>
      </w:r>
      <w:r w:rsidR="00413037">
        <w:t>MTSP</w:t>
      </w:r>
      <w:r>
        <w:t xml:space="preserve"> or Markets+ Transmission Contributor will notify the Market Operator via SPP’s Request Management System (RMS) and the Markets+ Transmission User, and the Market Operator will coordinate the exchange of Legacy Transmission Service information consistent with the information requirements described in Sections </w:t>
      </w:r>
      <w:r w:rsidR="00206071">
        <w:fldChar w:fldCharType="begin"/>
      </w:r>
      <w:r w:rsidR="00206071">
        <w:instrText xml:space="preserve"> REF _Ref212563727 \r \h </w:instrText>
      </w:r>
      <w:r w:rsidR="00206071">
        <w:fldChar w:fldCharType="separate"/>
      </w:r>
      <w:r w:rsidR="00206071">
        <w:t>6.1.1.1</w:t>
      </w:r>
      <w:r w:rsidR="00206071">
        <w:fldChar w:fldCharType="end"/>
      </w:r>
      <w:r>
        <w:t xml:space="preserve"> </w:t>
      </w:r>
      <w:r w:rsidDel="0046151A">
        <w:t>and/or</w:t>
      </w:r>
      <w:r>
        <w:t xml:space="preserve"> </w:t>
      </w:r>
      <w:r w:rsidR="00206071">
        <w:fldChar w:fldCharType="begin"/>
      </w:r>
      <w:r w:rsidR="00206071">
        <w:instrText xml:space="preserve"> REF _Ref212563744 \r \h </w:instrText>
      </w:r>
      <w:r w:rsidR="00206071">
        <w:fldChar w:fldCharType="separate"/>
      </w:r>
      <w:r w:rsidR="00206071">
        <w:t>6.1.1.2</w:t>
      </w:r>
      <w:r w:rsidR="00206071">
        <w:fldChar w:fldCharType="end"/>
      </w:r>
      <w:r>
        <w:t xml:space="preserve">. </w:t>
      </w:r>
    </w:p>
    <w:p w14:paraId="43EB0258" w14:textId="77777777" w:rsidR="00736EDE" w:rsidRPr="001154F0" w:rsidRDefault="00736EDE" w:rsidP="00574EDE">
      <w:pPr>
        <w:pStyle w:val="Heading4"/>
      </w:pPr>
      <w:bookmarkStart w:id="7031" w:name="_Toc213772001"/>
      <w:r>
        <w:t>Special Eligibility Rules for Resales, Redirects, Opt-Ins, and Opt-Outs</w:t>
      </w:r>
      <w:bookmarkEnd w:id="7031"/>
    </w:p>
    <w:p w14:paraId="29C5C070" w14:textId="263B0273" w:rsidR="00736EDE" w:rsidRDefault="00736EDE" w:rsidP="00DA3CE7">
      <w:pPr>
        <w:pStyle w:val="ListParagraph"/>
        <w:numPr>
          <w:ilvl w:val="0"/>
          <w:numId w:val="309"/>
        </w:numPr>
        <w:spacing w:before="120" w:line="300" w:lineRule="auto"/>
        <w:ind w:left="720" w:hanging="720"/>
        <w:contextualSpacing w:val="0"/>
      </w:pPr>
      <w:r>
        <w:t xml:space="preserve">A resale of a CRETSR to a different transmission customer that does not span the entire duration of the full upcoming </w:t>
      </w:r>
      <w:r w:rsidR="00C86433">
        <w:t>c</w:t>
      </w:r>
      <w:r>
        <w:t xml:space="preserve">alendar </w:t>
      </w:r>
      <w:r w:rsidR="00C86433">
        <w:t>m</w:t>
      </w:r>
      <w:r>
        <w:t xml:space="preserve">onth, or that is arranged after the verification process begins, will not be considered in the </w:t>
      </w:r>
      <w:r w:rsidR="0022725C">
        <w:t>Congestion Rent</w:t>
      </w:r>
      <w:r>
        <w:t xml:space="preserve"> allocation process. The </w:t>
      </w:r>
      <w:r w:rsidR="0022725C">
        <w:t>Congestion Rent</w:t>
      </w:r>
      <w:r>
        <w:t xml:space="preserve"> associated with the CRETSR will be allocated to the CRETSR Holder who previously held the rights for the entire month.</w:t>
      </w:r>
    </w:p>
    <w:p w14:paraId="227453B1" w14:textId="5F0562FE" w:rsidR="00736EDE" w:rsidRDefault="00736EDE" w:rsidP="00DA3CE7">
      <w:pPr>
        <w:pStyle w:val="ListParagraph"/>
        <w:numPr>
          <w:ilvl w:val="0"/>
          <w:numId w:val="309"/>
        </w:numPr>
        <w:spacing w:before="120" w:line="300" w:lineRule="auto"/>
        <w:ind w:left="720" w:hanging="720"/>
        <w:contextualSpacing w:val="0"/>
      </w:pPr>
      <w:r>
        <w:t xml:space="preserve">A redirect of a CRETSR to a different Point-of-Receipt (POR) or Point-of-Delivery (POD) that does not span the entire duration of the full upcoming </w:t>
      </w:r>
      <w:r w:rsidR="00D60DFB">
        <w:t>c</w:t>
      </w:r>
      <w:r>
        <w:t xml:space="preserve">alendar </w:t>
      </w:r>
      <w:r w:rsidR="00D60DFB">
        <w:t>m</w:t>
      </w:r>
      <w:r>
        <w:t xml:space="preserve">onth or that is made after the verification process begins, will not be considered in the </w:t>
      </w:r>
      <w:r w:rsidR="0022725C">
        <w:t>Congestion Rent</w:t>
      </w:r>
      <w:r>
        <w:t xml:space="preserve"> allocation process. The </w:t>
      </w:r>
      <w:r w:rsidR="0022725C">
        <w:t>Congestion Rent</w:t>
      </w:r>
      <w:r>
        <w:t xml:space="preserve"> associated with the CRETSR will be allocated based on the last valid POR and POD that spanned the entire month for that CRETSR Holder.</w:t>
      </w:r>
    </w:p>
    <w:p w14:paraId="63BB8052" w14:textId="6CB39D83" w:rsidR="00736EDE" w:rsidRDefault="00736EDE" w:rsidP="00DA3CE7">
      <w:pPr>
        <w:pStyle w:val="ListParagraph"/>
        <w:numPr>
          <w:ilvl w:val="0"/>
          <w:numId w:val="309"/>
        </w:numPr>
        <w:spacing w:before="120" w:line="300" w:lineRule="auto"/>
        <w:ind w:left="720" w:hanging="720"/>
        <w:contextualSpacing w:val="0"/>
      </w:pPr>
      <w:r>
        <w:t xml:space="preserve">Any identified Markets+ Transmission Capacity Opt-Outs as described in Section </w:t>
      </w:r>
      <w:r w:rsidR="00995FB4">
        <w:fldChar w:fldCharType="begin"/>
      </w:r>
      <w:r w:rsidR="00995FB4">
        <w:instrText xml:space="preserve"> REF _Ref212563804 \r \h </w:instrText>
      </w:r>
      <w:r w:rsidR="00995FB4">
        <w:fldChar w:fldCharType="separate"/>
      </w:r>
      <w:r w:rsidR="00995FB4">
        <w:t>8.2.3</w:t>
      </w:r>
      <w:r w:rsidR="00995FB4">
        <w:fldChar w:fldCharType="end"/>
      </w:r>
      <w:r>
        <w:t xml:space="preserve"> will not be eligible for use in the Congestion Rent process.</w:t>
      </w:r>
    </w:p>
    <w:p w14:paraId="2B36AD85" w14:textId="6131E9A7" w:rsidR="00736EDE" w:rsidRDefault="00736EDE" w:rsidP="00DA3CE7">
      <w:pPr>
        <w:pStyle w:val="ListParagraph"/>
        <w:numPr>
          <w:ilvl w:val="0"/>
          <w:numId w:val="309"/>
        </w:numPr>
        <w:spacing w:before="120" w:line="300" w:lineRule="auto"/>
        <w:ind w:left="720" w:hanging="720"/>
        <w:contextualSpacing w:val="0"/>
      </w:pPr>
      <w:r>
        <w:t xml:space="preserve">Any identified Markets+ Transmission Capacity Opt-Ins as described in Section </w:t>
      </w:r>
      <w:r w:rsidR="00995FB4">
        <w:fldChar w:fldCharType="begin"/>
      </w:r>
      <w:r w:rsidR="00995FB4">
        <w:instrText xml:space="preserve"> REF _Ref212563842 \r \h </w:instrText>
      </w:r>
      <w:r w:rsidR="00995FB4">
        <w:fldChar w:fldCharType="separate"/>
      </w:r>
      <w:r w:rsidR="00995FB4">
        <w:t>8.2.2</w:t>
      </w:r>
      <w:r w:rsidR="00995FB4">
        <w:fldChar w:fldCharType="end"/>
      </w:r>
      <w:r>
        <w:t xml:space="preserve"> will be eligible for use in the Congestion Rent process subject to the verification process described under Section </w:t>
      </w:r>
      <w:r w:rsidR="00995FB4">
        <w:fldChar w:fldCharType="begin"/>
      </w:r>
      <w:r w:rsidR="00995FB4">
        <w:instrText xml:space="preserve"> REF _Ref212563866 \r \h </w:instrText>
      </w:r>
      <w:r w:rsidR="00995FB4">
        <w:fldChar w:fldCharType="separate"/>
      </w:r>
      <w:r w:rsidR="00995FB4">
        <w:t>6.2</w:t>
      </w:r>
      <w:r w:rsidR="00995FB4">
        <w:fldChar w:fldCharType="end"/>
      </w:r>
      <w:r>
        <w:t>.</w:t>
      </w:r>
    </w:p>
    <w:p w14:paraId="6BAB9816" w14:textId="37D1FC59" w:rsidR="00736EDE" w:rsidRPr="00E24277" w:rsidRDefault="00736EDE" w:rsidP="00FE7AA5">
      <w:pPr>
        <w:pStyle w:val="Heading2"/>
      </w:pPr>
      <w:bookmarkStart w:id="7032" w:name="_Ref212563866"/>
      <w:bookmarkStart w:id="7033" w:name="_Ref212619762"/>
      <w:bookmarkStart w:id="7034" w:name="_Ref212619817"/>
      <w:bookmarkStart w:id="7035" w:name="_Toc213772002"/>
      <w:r w:rsidRPr="00E24277">
        <w:t>Verification Process</w:t>
      </w:r>
      <w:bookmarkEnd w:id="7032"/>
      <w:bookmarkEnd w:id="7033"/>
      <w:bookmarkEnd w:id="7034"/>
      <w:bookmarkEnd w:id="7035"/>
      <w:r w:rsidRPr="00E24277">
        <w:t xml:space="preserve"> </w:t>
      </w:r>
    </w:p>
    <w:p w14:paraId="71BAEB6F" w14:textId="575580EC" w:rsidR="00736EDE" w:rsidRPr="00F8030F" w:rsidRDefault="00736EDE" w:rsidP="00067800">
      <w:pPr>
        <w:spacing w:before="120" w:line="300" w:lineRule="auto"/>
        <w:ind w:firstLine="720"/>
        <w:rPr>
          <w:szCs w:val="24"/>
          <w:highlight w:val="yellow"/>
        </w:rPr>
      </w:pPr>
      <w:r>
        <w:rPr>
          <w:szCs w:val="24"/>
        </w:rPr>
        <w:t>The Market Operator</w:t>
      </w:r>
      <w:r w:rsidRPr="006D278B">
        <w:rPr>
          <w:szCs w:val="24"/>
        </w:rPr>
        <w:t xml:space="preserve"> will obtain the transmission service reservation information as specified </w:t>
      </w:r>
      <w:r>
        <w:rPr>
          <w:szCs w:val="24"/>
        </w:rPr>
        <w:t xml:space="preserve">in Sections </w:t>
      </w:r>
      <w:r w:rsidR="00333C37">
        <w:rPr>
          <w:szCs w:val="24"/>
        </w:rPr>
        <w:fldChar w:fldCharType="begin"/>
      </w:r>
      <w:r w:rsidR="00333C37">
        <w:rPr>
          <w:szCs w:val="24"/>
        </w:rPr>
        <w:instrText xml:space="preserve"> REF _Ref212619457 \r \h </w:instrText>
      </w:r>
      <w:r w:rsidR="00333C37">
        <w:rPr>
          <w:szCs w:val="24"/>
        </w:rPr>
      </w:r>
      <w:r w:rsidR="00333C37">
        <w:rPr>
          <w:szCs w:val="24"/>
        </w:rPr>
        <w:fldChar w:fldCharType="separate"/>
      </w:r>
      <w:r w:rsidR="00333C37">
        <w:rPr>
          <w:szCs w:val="24"/>
        </w:rPr>
        <w:t>6.1.1</w:t>
      </w:r>
      <w:r w:rsidR="00333C37">
        <w:rPr>
          <w:szCs w:val="24"/>
        </w:rPr>
        <w:fldChar w:fldCharType="end"/>
      </w:r>
      <w:r>
        <w:rPr>
          <w:szCs w:val="24"/>
        </w:rPr>
        <w:t xml:space="preserve"> fifteen (15) days prior to the start of the upcoming calendar month.  The Market Operator will obtain transmission data including Markets+ Transmission Capacity Opt-In and Markets+ Transmission Capacity Opt-Out as defined in Section 8 and information regarding Coordinated</w:t>
      </w:r>
      <w:r w:rsidR="002E5097">
        <w:rPr>
          <w:szCs w:val="24"/>
        </w:rPr>
        <w:t xml:space="preserve"> Interchange</w:t>
      </w:r>
      <w:r>
        <w:rPr>
          <w:szCs w:val="24"/>
        </w:rPr>
        <w:t xml:space="preserve"> Scheduling Limits as described in Section </w:t>
      </w:r>
      <w:r w:rsidR="00333C37">
        <w:rPr>
          <w:szCs w:val="24"/>
        </w:rPr>
        <w:fldChar w:fldCharType="begin"/>
      </w:r>
      <w:r w:rsidR="00333C37">
        <w:rPr>
          <w:szCs w:val="24"/>
        </w:rPr>
        <w:instrText xml:space="preserve"> REF _Ref212619489 \r \h </w:instrText>
      </w:r>
      <w:r w:rsidR="00333C37">
        <w:rPr>
          <w:szCs w:val="24"/>
        </w:rPr>
      </w:r>
      <w:r w:rsidR="00333C37">
        <w:rPr>
          <w:szCs w:val="24"/>
        </w:rPr>
        <w:fldChar w:fldCharType="separate"/>
      </w:r>
      <w:r w:rsidR="00333C37">
        <w:rPr>
          <w:szCs w:val="24"/>
        </w:rPr>
        <w:t>6.3</w:t>
      </w:r>
      <w:r w:rsidR="00333C37">
        <w:rPr>
          <w:szCs w:val="24"/>
        </w:rPr>
        <w:fldChar w:fldCharType="end"/>
      </w:r>
      <w:r>
        <w:rPr>
          <w:szCs w:val="24"/>
        </w:rPr>
        <w:t xml:space="preserve">. </w:t>
      </w:r>
      <w:r w:rsidR="00DC2B04" w:rsidRPr="007804C0">
        <w:rPr>
          <w:szCs w:val="24"/>
        </w:rPr>
        <w:t xml:space="preserve">If a Markets+ Transmission Capacity Opt-Out is received for a portion of a transmission asset, the Market Operator will automatically adjust the ownership percentages specified in Section </w:t>
      </w:r>
      <w:r w:rsidR="00D20BC3">
        <w:rPr>
          <w:szCs w:val="24"/>
        </w:rPr>
        <w:fldChar w:fldCharType="begin"/>
      </w:r>
      <w:r w:rsidR="00D20BC3">
        <w:rPr>
          <w:szCs w:val="24"/>
        </w:rPr>
        <w:instrText xml:space="preserve"> REF _Ref212619527 \r \h </w:instrText>
      </w:r>
      <w:r w:rsidR="00D20BC3">
        <w:rPr>
          <w:szCs w:val="24"/>
        </w:rPr>
      </w:r>
      <w:r w:rsidR="00D20BC3">
        <w:rPr>
          <w:szCs w:val="24"/>
        </w:rPr>
        <w:fldChar w:fldCharType="separate"/>
      </w:r>
      <w:r w:rsidR="00D20BC3">
        <w:rPr>
          <w:szCs w:val="24"/>
        </w:rPr>
        <w:t>9.4</w:t>
      </w:r>
      <w:r w:rsidR="00D20BC3">
        <w:rPr>
          <w:szCs w:val="24"/>
        </w:rPr>
        <w:fldChar w:fldCharType="end"/>
      </w:r>
      <w:r w:rsidR="00DC2B04" w:rsidRPr="007804C0">
        <w:rPr>
          <w:szCs w:val="24"/>
        </w:rPr>
        <w:t>(9), ensuring that any Excess Congestion Rent is distributed among the remaining shares</w:t>
      </w:r>
      <w:r w:rsidR="00DC2B04" w:rsidRPr="00463ADC">
        <w:rPr>
          <w:szCs w:val="24"/>
        </w:rPr>
        <w:t xml:space="preserve">. For derates or other circumstances that temporarily affect the ownership percent share specified in Section </w:t>
      </w:r>
      <w:r w:rsidR="00D20BC3">
        <w:rPr>
          <w:szCs w:val="24"/>
        </w:rPr>
        <w:fldChar w:fldCharType="begin"/>
      </w:r>
      <w:r w:rsidR="00D20BC3">
        <w:rPr>
          <w:szCs w:val="24"/>
        </w:rPr>
        <w:instrText xml:space="preserve"> REF _Ref212619545 \r \h </w:instrText>
      </w:r>
      <w:r w:rsidR="00D20BC3">
        <w:rPr>
          <w:szCs w:val="24"/>
        </w:rPr>
      </w:r>
      <w:r w:rsidR="00D20BC3">
        <w:rPr>
          <w:szCs w:val="24"/>
        </w:rPr>
        <w:fldChar w:fldCharType="separate"/>
      </w:r>
      <w:r w:rsidR="00D20BC3">
        <w:rPr>
          <w:szCs w:val="24"/>
        </w:rPr>
        <w:t>9.4</w:t>
      </w:r>
      <w:r w:rsidR="00D20BC3">
        <w:rPr>
          <w:szCs w:val="24"/>
        </w:rPr>
        <w:fldChar w:fldCharType="end"/>
      </w:r>
      <w:r w:rsidR="00DC2B04" w:rsidRPr="00463ADC">
        <w:rPr>
          <w:szCs w:val="24"/>
        </w:rPr>
        <w:t xml:space="preserve">9), the associated MTSPs can submit as needed an updated ownership percent share value consistent with the settlements timeline as described in Section </w:t>
      </w:r>
      <w:r w:rsidR="00D20BC3">
        <w:rPr>
          <w:szCs w:val="24"/>
        </w:rPr>
        <w:fldChar w:fldCharType="begin"/>
      </w:r>
      <w:r w:rsidR="00D20BC3">
        <w:rPr>
          <w:szCs w:val="24"/>
        </w:rPr>
        <w:instrText xml:space="preserve"> REF _Ref212619572 \r \h </w:instrText>
      </w:r>
      <w:r w:rsidR="00D20BC3">
        <w:rPr>
          <w:szCs w:val="24"/>
        </w:rPr>
      </w:r>
      <w:r w:rsidR="00D20BC3">
        <w:rPr>
          <w:szCs w:val="24"/>
        </w:rPr>
        <w:fldChar w:fldCharType="separate"/>
      </w:r>
      <w:r w:rsidR="00D20BC3">
        <w:rPr>
          <w:szCs w:val="24"/>
        </w:rPr>
        <w:t>4.5.13</w:t>
      </w:r>
      <w:r w:rsidR="00D20BC3">
        <w:rPr>
          <w:szCs w:val="24"/>
        </w:rPr>
        <w:fldChar w:fldCharType="end"/>
      </w:r>
      <w:r w:rsidR="00DC2B04" w:rsidRPr="00463ADC">
        <w:rPr>
          <w:szCs w:val="24"/>
        </w:rPr>
        <w:t>.</w:t>
      </w:r>
      <w:r w:rsidR="00DC2B04" w:rsidRPr="007804C0">
        <w:rPr>
          <w:szCs w:val="24"/>
        </w:rPr>
        <w:t xml:space="preserve"> </w:t>
      </w:r>
      <w:r w:rsidR="003845BA">
        <w:rPr>
          <w:szCs w:val="24"/>
        </w:rPr>
        <w:t>MTSPs</w:t>
      </w:r>
      <w:r>
        <w:rPr>
          <w:szCs w:val="24"/>
        </w:rPr>
        <w:t xml:space="preserve"> will provide the Market Operator an estimate of the load MW billing determinant for the upcoming month for each Network Customer for use in the Network Service Distribution Cap. Once acquired, the Market Operator will implement the following steps to verify that the information provided constitutes a valid CRETSR</w:t>
      </w:r>
      <w:r w:rsidR="003845BA">
        <w:rPr>
          <w:szCs w:val="24"/>
        </w:rPr>
        <w:t>.</w:t>
      </w:r>
    </w:p>
    <w:p w14:paraId="2AE6F192" w14:textId="063FC4C4" w:rsidR="00736EDE" w:rsidRDefault="00736EDE" w:rsidP="00DA3CE7">
      <w:pPr>
        <w:pStyle w:val="ListParagraph"/>
        <w:numPr>
          <w:ilvl w:val="0"/>
          <w:numId w:val="273"/>
        </w:numPr>
        <w:tabs>
          <w:tab w:val="clear" w:pos="360"/>
          <w:tab w:val="num" w:pos="2340"/>
        </w:tabs>
        <w:spacing w:before="120" w:line="300" w:lineRule="auto"/>
        <w:ind w:left="1440" w:hanging="720"/>
        <w:contextualSpacing w:val="0"/>
        <w:rPr>
          <w:szCs w:val="22"/>
        </w:rPr>
      </w:pPr>
      <w:r>
        <w:t xml:space="preserve">Provide such information to each identified </w:t>
      </w:r>
      <w:r w:rsidR="00EB0629">
        <w:t>MTSP</w:t>
      </w:r>
      <w:r>
        <w:t>, Markets+ Transmission Contributor</w:t>
      </w:r>
      <w:r>
        <w:rPr>
          <w:szCs w:val="24"/>
        </w:rPr>
        <w:t>,</w:t>
      </w:r>
      <w:r>
        <w:t xml:space="preserve"> and CRETSR Holder for verification/correction</w:t>
      </w:r>
      <w:r w:rsidRPr="006D278B">
        <w:t xml:space="preserve"> </w:t>
      </w:r>
      <w:r>
        <w:t>within four Business Days;</w:t>
      </w:r>
    </w:p>
    <w:p w14:paraId="78CE3C56" w14:textId="6E79030C" w:rsidR="00736EDE" w:rsidRPr="00357724" w:rsidRDefault="00736EDE" w:rsidP="00DA3CE7">
      <w:pPr>
        <w:pStyle w:val="ListParagraph"/>
        <w:numPr>
          <w:ilvl w:val="0"/>
          <w:numId w:val="273"/>
        </w:numPr>
        <w:tabs>
          <w:tab w:val="clear" w:pos="360"/>
          <w:tab w:val="left" w:pos="3240"/>
          <w:tab w:val="num" w:pos="3780"/>
        </w:tabs>
        <w:spacing w:before="120" w:line="300" w:lineRule="auto"/>
        <w:ind w:left="1440" w:hanging="720"/>
        <w:contextualSpacing w:val="0"/>
        <w:rPr>
          <w:szCs w:val="24"/>
        </w:rPr>
      </w:pPr>
      <w:r w:rsidRPr="00357724">
        <w:rPr>
          <w:szCs w:val="24"/>
        </w:rPr>
        <w:t xml:space="preserve">Unless the </w:t>
      </w:r>
      <w:r w:rsidR="00EB0629">
        <w:rPr>
          <w:szCs w:val="24"/>
        </w:rPr>
        <w:t>MTSP</w:t>
      </w:r>
      <w:r w:rsidRPr="00357724">
        <w:rPr>
          <w:szCs w:val="24"/>
        </w:rPr>
        <w:t xml:space="preserve">, Markets+ Transmission Contributor, or CRETSR Holder communicates a potential error during the verification period </w:t>
      </w:r>
      <w:r>
        <w:rPr>
          <w:szCs w:val="24"/>
        </w:rPr>
        <w:t>within four Business Days following receipt of the information specified in (a) above</w:t>
      </w:r>
      <w:r w:rsidRPr="00357724">
        <w:rPr>
          <w:szCs w:val="24"/>
        </w:rPr>
        <w:t xml:space="preserve">, </w:t>
      </w:r>
      <w:r>
        <w:rPr>
          <w:szCs w:val="24"/>
        </w:rPr>
        <w:t>the Market Operator</w:t>
      </w:r>
      <w:r w:rsidRPr="00357724">
        <w:rPr>
          <w:szCs w:val="24"/>
        </w:rPr>
        <w:t xml:space="preserve"> will deem the transmission service reservation information provided to be a valid </w:t>
      </w:r>
      <w:r w:rsidR="006B14AC">
        <w:rPr>
          <w:szCs w:val="24"/>
        </w:rPr>
        <w:t>CRETSR</w:t>
      </w:r>
      <w:r w:rsidRPr="00357724">
        <w:rPr>
          <w:szCs w:val="24"/>
        </w:rPr>
        <w:t xml:space="preserve">. </w:t>
      </w:r>
    </w:p>
    <w:p w14:paraId="1AEDA854" w14:textId="0A80739C" w:rsidR="00736EDE" w:rsidRDefault="00736EDE" w:rsidP="00DA3CE7">
      <w:pPr>
        <w:pStyle w:val="ListParagraph"/>
        <w:numPr>
          <w:ilvl w:val="0"/>
          <w:numId w:val="273"/>
        </w:numPr>
        <w:tabs>
          <w:tab w:val="clear" w:pos="360"/>
          <w:tab w:val="num" w:pos="2970"/>
        </w:tabs>
        <w:spacing w:before="120" w:line="300" w:lineRule="auto"/>
        <w:ind w:left="1440" w:hanging="720"/>
        <w:contextualSpacing w:val="0"/>
        <w:rPr>
          <w:szCs w:val="24"/>
        </w:rPr>
      </w:pPr>
      <w:r>
        <w:rPr>
          <w:szCs w:val="24"/>
        </w:rPr>
        <w:t xml:space="preserve">If a </w:t>
      </w:r>
      <w:r w:rsidR="006B14AC">
        <w:rPr>
          <w:szCs w:val="24"/>
        </w:rPr>
        <w:t>MTSP,</w:t>
      </w:r>
      <w:r>
        <w:rPr>
          <w:szCs w:val="24"/>
        </w:rPr>
        <w:t xml:space="preserve"> Markets+ Transmission Contributor, or CRETSR Holder identifies a potential error with the transmission service reservation information, the respective </w:t>
      </w:r>
      <w:r w:rsidR="006B14AC">
        <w:rPr>
          <w:szCs w:val="24"/>
        </w:rPr>
        <w:t>MTSP</w:t>
      </w:r>
      <w:r>
        <w:rPr>
          <w:szCs w:val="24"/>
        </w:rPr>
        <w:t xml:space="preserve">, Markets+ Transmission Contributor, or CRETSR Holder will contact the Market Operator via RMS. Before the </w:t>
      </w:r>
      <w:r w:rsidR="00E875D9">
        <w:rPr>
          <w:szCs w:val="24"/>
        </w:rPr>
        <w:t>c</w:t>
      </w:r>
      <w:r>
        <w:rPr>
          <w:szCs w:val="24"/>
        </w:rPr>
        <w:t xml:space="preserve">alendar </w:t>
      </w:r>
      <w:r w:rsidR="00E875D9">
        <w:rPr>
          <w:szCs w:val="24"/>
        </w:rPr>
        <w:t>m</w:t>
      </w:r>
      <w:r>
        <w:rPr>
          <w:szCs w:val="24"/>
        </w:rPr>
        <w:t xml:space="preserve">onth begins, the Market Operator will communicate its determination of the validity of the transmission service reservation to the </w:t>
      </w:r>
      <w:r w:rsidR="00E875D9">
        <w:rPr>
          <w:szCs w:val="24"/>
        </w:rPr>
        <w:t>MTSP</w:t>
      </w:r>
      <w:r>
        <w:rPr>
          <w:szCs w:val="24"/>
        </w:rPr>
        <w:t>, Markets+ Transmission Contributor, and CRETSR Holder, including the correction of any error(s).</w:t>
      </w:r>
      <w:r w:rsidRPr="007069EC">
        <w:rPr>
          <w:szCs w:val="24"/>
        </w:rPr>
        <w:t xml:space="preserve"> </w:t>
      </w:r>
    </w:p>
    <w:p w14:paraId="2A5F6660" w14:textId="0136F06E" w:rsidR="00736EDE" w:rsidRDefault="00736EDE" w:rsidP="00DA3CE7">
      <w:pPr>
        <w:pStyle w:val="ListParagraph"/>
        <w:numPr>
          <w:ilvl w:val="0"/>
          <w:numId w:val="273"/>
        </w:numPr>
        <w:tabs>
          <w:tab w:val="clear" w:pos="360"/>
          <w:tab w:val="num" w:pos="2970"/>
        </w:tabs>
        <w:spacing w:before="120" w:line="300" w:lineRule="auto"/>
        <w:ind w:left="1440" w:hanging="720"/>
        <w:contextualSpacing w:val="0"/>
        <w:rPr>
          <w:szCs w:val="24"/>
        </w:rPr>
      </w:pPr>
      <w:r w:rsidRPr="00357724">
        <w:rPr>
          <w:szCs w:val="24"/>
        </w:rPr>
        <w:t xml:space="preserve">Errors identified after the </w:t>
      </w:r>
      <w:r>
        <w:rPr>
          <w:szCs w:val="24"/>
        </w:rPr>
        <w:t>four</w:t>
      </w:r>
      <w:r w:rsidR="00D13655">
        <w:rPr>
          <w:szCs w:val="24"/>
        </w:rPr>
        <w:t xml:space="preserve"> (4)</w:t>
      </w:r>
      <w:r>
        <w:rPr>
          <w:szCs w:val="24"/>
        </w:rPr>
        <w:t xml:space="preserve"> Business Day </w:t>
      </w:r>
      <w:r w:rsidRPr="00357724">
        <w:rPr>
          <w:szCs w:val="24"/>
        </w:rPr>
        <w:t xml:space="preserve">verification period must follow the Markets+ settlements dispute process as described </w:t>
      </w:r>
      <w:r w:rsidR="000B4367">
        <w:rPr>
          <w:szCs w:val="24"/>
        </w:rPr>
        <w:t>in</w:t>
      </w:r>
      <w:r w:rsidRPr="00357724">
        <w:rPr>
          <w:szCs w:val="24"/>
        </w:rPr>
        <w:t xml:space="preserve"> Attachment A to the Markets+ Tariff.</w:t>
      </w:r>
    </w:p>
    <w:p w14:paraId="28E72BC5" w14:textId="5F1225B1" w:rsidR="00736EDE" w:rsidRDefault="00736EDE" w:rsidP="00DA3CE7">
      <w:pPr>
        <w:pStyle w:val="ListParagraph"/>
        <w:numPr>
          <w:ilvl w:val="0"/>
          <w:numId w:val="273"/>
        </w:numPr>
        <w:tabs>
          <w:tab w:val="clear" w:pos="360"/>
          <w:tab w:val="num" w:pos="2970"/>
        </w:tabs>
        <w:spacing w:before="120" w:line="300" w:lineRule="auto"/>
        <w:ind w:left="1440" w:hanging="720"/>
        <w:contextualSpacing w:val="0"/>
        <w:rPr>
          <w:szCs w:val="24"/>
        </w:rPr>
      </w:pPr>
      <w:r>
        <w:rPr>
          <w:szCs w:val="24"/>
        </w:rPr>
        <w:t xml:space="preserve">Prior to the start of the </w:t>
      </w:r>
      <w:r w:rsidR="00D13655">
        <w:rPr>
          <w:szCs w:val="24"/>
        </w:rPr>
        <w:t>o</w:t>
      </w:r>
      <w:r>
        <w:rPr>
          <w:szCs w:val="24"/>
        </w:rPr>
        <w:t xml:space="preserve">perating </w:t>
      </w:r>
      <w:r w:rsidR="00D13655">
        <w:rPr>
          <w:szCs w:val="24"/>
        </w:rPr>
        <w:t>m</w:t>
      </w:r>
      <w:r>
        <w:rPr>
          <w:szCs w:val="24"/>
        </w:rPr>
        <w:t xml:space="preserve">onth, the Market Operator will post the transmission service reservation information deemed eligible for Congestion Rent. </w:t>
      </w:r>
    </w:p>
    <w:p w14:paraId="4B090133" w14:textId="77777777" w:rsidR="00736EDE" w:rsidRDefault="00736EDE" w:rsidP="00736EDE">
      <w:pPr>
        <w:pStyle w:val="ListParagraph"/>
        <w:spacing w:before="120" w:line="300" w:lineRule="auto"/>
        <w:ind w:left="0"/>
        <w:contextualSpacing w:val="0"/>
        <w:rPr>
          <w:szCs w:val="24"/>
        </w:rPr>
        <w:sectPr w:rsidR="00736EDE" w:rsidSect="00736EDE">
          <w:footerReference w:type="even" r:id="rId89"/>
          <w:footerReference w:type="first" r:id="rId90"/>
          <w:pgSz w:w="12240" w:h="15840"/>
          <w:pgMar w:top="1440" w:right="1440" w:bottom="1440" w:left="1440" w:header="720" w:footer="720" w:gutter="0"/>
          <w:cols w:space="720"/>
          <w:docGrid w:linePitch="360"/>
        </w:sectPr>
      </w:pPr>
      <w:r>
        <w:rPr>
          <w:szCs w:val="24"/>
        </w:rPr>
        <w:t xml:space="preserve">See Exhibit 6-1 for an overall summary of the eligible CRETSR verification process. </w:t>
      </w:r>
    </w:p>
    <w:p w14:paraId="48DC102B" w14:textId="714741D5" w:rsidR="00736EDE" w:rsidRDefault="00736EDE" w:rsidP="00122FC9">
      <w:pPr>
        <w:spacing w:after="0"/>
        <w:jc w:val="center"/>
        <w:rPr>
          <w:b/>
        </w:rPr>
      </w:pPr>
      <w:bookmarkStart w:id="7036" w:name="_Toc213772419"/>
      <w:r w:rsidRPr="008E3E9E">
        <w:rPr>
          <w:b/>
          <w:szCs w:val="24"/>
        </w:rPr>
        <w:t xml:space="preserve">Exhibit </w:t>
      </w:r>
      <w:r w:rsidR="00067800" w:rsidRPr="004046DB">
        <w:rPr>
          <w:b/>
          <w:szCs w:val="24"/>
        </w:rPr>
        <w:fldChar w:fldCharType="begin"/>
      </w:r>
      <w:r w:rsidR="00067800" w:rsidRPr="004046DB">
        <w:rPr>
          <w:b/>
          <w:szCs w:val="24"/>
        </w:rPr>
        <w:instrText xml:space="preserve"> STYLEREF 1 \s </w:instrText>
      </w:r>
      <w:r w:rsidR="00067800" w:rsidRPr="004046DB">
        <w:rPr>
          <w:b/>
          <w:szCs w:val="24"/>
        </w:rPr>
        <w:fldChar w:fldCharType="separate"/>
      </w:r>
      <w:r w:rsidR="00067800">
        <w:rPr>
          <w:b/>
          <w:noProof/>
          <w:szCs w:val="24"/>
        </w:rPr>
        <w:t>6</w:t>
      </w:r>
      <w:r w:rsidR="00067800" w:rsidRPr="004046DB">
        <w:rPr>
          <w:b/>
          <w:szCs w:val="24"/>
        </w:rPr>
        <w:fldChar w:fldCharType="end"/>
      </w:r>
      <w:r w:rsidR="00067800" w:rsidRPr="004046DB">
        <w:rPr>
          <w:b/>
          <w:szCs w:val="24"/>
        </w:rPr>
        <w:noBreakHyphen/>
      </w:r>
      <w:r w:rsidR="00067800" w:rsidRPr="004046DB">
        <w:rPr>
          <w:b/>
          <w:szCs w:val="24"/>
        </w:rPr>
        <w:fldChar w:fldCharType="begin"/>
      </w:r>
      <w:r w:rsidR="00067800" w:rsidRPr="004046DB">
        <w:rPr>
          <w:b/>
          <w:szCs w:val="24"/>
        </w:rPr>
        <w:instrText xml:space="preserve"> SEQ Exhibit \* ARABIC \s 1 </w:instrText>
      </w:r>
      <w:r w:rsidR="00067800" w:rsidRPr="004046DB">
        <w:rPr>
          <w:b/>
          <w:szCs w:val="24"/>
        </w:rPr>
        <w:fldChar w:fldCharType="separate"/>
      </w:r>
      <w:r w:rsidR="00067800" w:rsidRPr="004046DB">
        <w:rPr>
          <w:b/>
          <w:noProof/>
          <w:szCs w:val="24"/>
        </w:rPr>
        <w:t>1</w:t>
      </w:r>
      <w:r w:rsidR="00067800" w:rsidRPr="004046DB">
        <w:rPr>
          <w:b/>
          <w:szCs w:val="24"/>
        </w:rPr>
        <w:fldChar w:fldCharType="end"/>
      </w:r>
      <w:r w:rsidR="00122FC9">
        <w:rPr>
          <w:b/>
          <w:szCs w:val="24"/>
        </w:rPr>
        <w:t xml:space="preserve">: </w:t>
      </w:r>
      <w:r w:rsidRPr="3C0CD99C">
        <w:rPr>
          <w:b/>
        </w:rPr>
        <w:t>CRETSR Verification Process Timeline</w:t>
      </w:r>
      <w:bookmarkEnd w:id="7036"/>
    </w:p>
    <w:p w14:paraId="3D651D1C" w14:textId="77777777" w:rsidR="00736EDE" w:rsidRDefault="00736EDE" w:rsidP="00736EDE">
      <w:pPr>
        <w:spacing w:before="120" w:line="300" w:lineRule="auto"/>
        <w:rPr>
          <w:b/>
          <w:bCs/>
        </w:rPr>
      </w:pPr>
    </w:p>
    <w:p w14:paraId="6B1A8CB1" w14:textId="77777777" w:rsidR="00736EDE" w:rsidRDefault="00736EDE" w:rsidP="00736EDE">
      <w:pPr>
        <w:spacing w:before="120" w:line="300" w:lineRule="auto"/>
        <w:rPr>
          <w:b/>
          <w:bCs/>
        </w:rPr>
        <w:sectPr w:rsidR="00736EDE" w:rsidSect="00736EDE">
          <w:pgSz w:w="15840" w:h="12240" w:orient="landscape"/>
          <w:pgMar w:top="1440" w:right="1440" w:bottom="1440" w:left="1440" w:header="720" w:footer="720" w:gutter="0"/>
          <w:cols w:space="720"/>
          <w:docGrid w:linePitch="360"/>
        </w:sectPr>
      </w:pPr>
      <w:r>
        <w:object w:dxaOrig="24135" w:dyaOrig="12315" w14:anchorId="2F00E077">
          <v:shape id="_x0000_i1045" type="#_x0000_t75" style="width:9in;height:331.2pt" o:ole="">
            <v:imagedata r:id="rId91" o:title=""/>
          </v:shape>
          <o:OLEObject Type="Embed" ProgID="Visio.Drawing.15" ShapeID="_x0000_i1045" DrawAspect="Content" ObjectID="_1829396230" r:id="rId92"/>
        </w:object>
      </w:r>
    </w:p>
    <w:p w14:paraId="7494541D" w14:textId="77777777" w:rsidR="00736EDE" w:rsidRDefault="00736EDE" w:rsidP="00067800">
      <w:pPr>
        <w:pStyle w:val="Normal473"/>
        <w:spacing w:before="120" w:after="120" w:line="300" w:lineRule="auto"/>
      </w:pPr>
    </w:p>
    <w:p w14:paraId="39819619" w14:textId="77777777" w:rsidR="00736EDE" w:rsidRPr="00121D46" w:rsidRDefault="00736EDE" w:rsidP="00CB5653">
      <w:pPr>
        <w:pStyle w:val="Heading3"/>
      </w:pPr>
      <w:bookmarkStart w:id="7037" w:name="_Toc152335927"/>
      <w:bookmarkStart w:id="7038" w:name="_Toc213772003"/>
      <w:r w:rsidRPr="00121D46">
        <w:t>Point-to-Point Reservation MW</w:t>
      </w:r>
      <w:bookmarkEnd w:id="7037"/>
      <w:bookmarkEnd w:id="7038"/>
    </w:p>
    <w:p w14:paraId="3B681306" w14:textId="1B8B4BF2" w:rsidR="00736EDE" w:rsidRDefault="00736EDE" w:rsidP="00736EDE">
      <w:pPr>
        <w:spacing w:before="120" w:line="300" w:lineRule="auto"/>
        <w:rPr>
          <w:szCs w:val="24"/>
        </w:rPr>
      </w:pPr>
      <w:r w:rsidRPr="00357724">
        <w:rPr>
          <w:szCs w:val="24"/>
        </w:rPr>
        <w:t xml:space="preserve">For Firm or Conditional Firm Point-to-Point Transmission Service CRETSR Holders, the </w:t>
      </w:r>
      <w:r w:rsidR="00D13655">
        <w:rPr>
          <w:szCs w:val="24"/>
        </w:rPr>
        <w:t>CRETSR</w:t>
      </w:r>
      <w:r w:rsidRPr="00357724">
        <w:rPr>
          <w:szCs w:val="24"/>
        </w:rPr>
        <w:t xml:space="preserve"> MW value used for </w:t>
      </w:r>
      <w:r>
        <w:rPr>
          <w:szCs w:val="24"/>
        </w:rPr>
        <w:t>Congestion Rent allocation purposes</w:t>
      </w:r>
      <w:r w:rsidR="009124DB">
        <w:rPr>
          <w:szCs w:val="24"/>
        </w:rPr>
        <w:t>,</w:t>
      </w:r>
      <w:r>
        <w:rPr>
          <w:szCs w:val="24"/>
        </w:rPr>
        <w:t xml:space="preserve"> as further described </w:t>
      </w:r>
      <w:r w:rsidR="00E5795E">
        <w:rPr>
          <w:szCs w:val="24"/>
        </w:rPr>
        <w:t xml:space="preserve">in the Markets+ Settlements </w:t>
      </w:r>
      <w:r w:rsidR="00BA0C4B">
        <w:rPr>
          <w:szCs w:val="24"/>
        </w:rPr>
        <w:t xml:space="preserve">Calculation </w:t>
      </w:r>
      <w:r w:rsidR="00E5795E">
        <w:rPr>
          <w:szCs w:val="24"/>
        </w:rPr>
        <w:t>Guide</w:t>
      </w:r>
      <w:r>
        <w:rPr>
          <w:szCs w:val="24"/>
        </w:rPr>
        <w:t>,</w:t>
      </w:r>
      <w:r w:rsidRPr="00357724">
        <w:rPr>
          <w:szCs w:val="24"/>
        </w:rPr>
        <w:t xml:space="preserve"> is equal to the Point-to-Point Service Distribution Cap for each Firm or Conditional Firm </w:t>
      </w:r>
      <w:r w:rsidR="00D13655">
        <w:rPr>
          <w:szCs w:val="24"/>
        </w:rPr>
        <w:t>CRETSR</w:t>
      </w:r>
      <w:r w:rsidRPr="00357724">
        <w:rPr>
          <w:szCs w:val="24"/>
        </w:rPr>
        <w:t xml:space="preserve">.  </w:t>
      </w:r>
    </w:p>
    <w:p w14:paraId="22AEB422" w14:textId="77777777" w:rsidR="00736EDE" w:rsidRDefault="00736EDE" w:rsidP="00CB5653">
      <w:pPr>
        <w:pStyle w:val="Heading3"/>
      </w:pPr>
      <w:bookmarkStart w:id="7039" w:name="_Toc152335928"/>
      <w:bookmarkStart w:id="7040" w:name="_Ref212619728"/>
      <w:bookmarkStart w:id="7041" w:name="_Ref212619871"/>
      <w:bookmarkStart w:id="7042" w:name="_Toc213772004"/>
      <w:r>
        <w:t>Network Integration Transmission Service Reservation MW</w:t>
      </w:r>
      <w:bookmarkEnd w:id="7039"/>
      <w:bookmarkEnd w:id="7040"/>
      <w:bookmarkEnd w:id="7041"/>
      <w:bookmarkEnd w:id="7042"/>
    </w:p>
    <w:p w14:paraId="234145DC" w14:textId="4621F553" w:rsidR="00736EDE" w:rsidRPr="00357724" w:rsidRDefault="00736EDE" w:rsidP="00736EDE">
      <w:pPr>
        <w:spacing w:before="120" w:line="300" w:lineRule="auto"/>
        <w:rPr>
          <w:szCs w:val="24"/>
        </w:rPr>
      </w:pPr>
      <w:r w:rsidRPr="00357724">
        <w:rPr>
          <w:szCs w:val="24"/>
        </w:rPr>
        <w:t xml:space="preserve">For NITS CRETSR Holders, the total </w:t>
      </w:r>
      <w:r w:rsidR="00D13655">
        <w:rPr>
          <w:szCs w:val="24"/>
        </w:rPr>
        <w:t>CRETSR</w:t>
      </w:r>
      <w:r w:rsidRPr="00357724">
        <w:rPr>
          <w:szCs w:val="24"/>
        </w:rPr>
        <w:t xml:space="preserve"> MW value used for </w:t>
      </w:r>
      <w:r>
        <w:rPr>
          <w:szCs w:val="24"/>
        </w:rPr>
        <w:t xml:space="preserve">Congestion Rent allocation purposes, as further described </w:t>
      </w:r>
      <w:r w:rsidR="00E5795E">
        <w:rPr>
          <w:szCs w:val="24"/>
        </w:rPr>
        <w:t xml:space="preserve">in the Markets+ Settlements </w:t>
      </w:r>
      <w:r w:rsidR="00BA0C4B">
        <w:rPr>
          <w:szCs w:val="24"/>
        </w:rPr>
        <w:t xml:space="preserve">Calculation </w:t>
      </w:r>
      <w:r w:rsidR="00E5795E">
        <w:rPr>
          <w:szCs w:val="24"/>
        </w:rPr>
        <w:t>Guide,</w:t>
      </w:r>
      <w:r>
        <w:rPr>
          <w:szCs w:val="24"/>
        </w:rPr>
        <w:t xml:space="preserve"> </w:t>
      </w:r>
      <w:r w:rsidRPr="00357724">
        <w:rPr>
          <w:szCs w:val="24"/>
        </w:rPr>
        <w:t xml:space="preserve">from each Designated Network Resource (DNR) to Network Load is calculated by </w:t>
      </w:r>
      <w:r>
        <w:rPr>
          <w:szCs w:val="24"/>
        </w:rPr>
        <w:t>the Market Operator</w:t>
      </w:r>
      <w:r w:rsidRPr="00357724">
        <w:rPr>
          <w:szCs w:val="24"/>
        </w:rPr>
        <w:t xml:space="preserve"> using the following procedure:</w:t>
      </w:r>
    </w:p>
    <w:p w14:paraId="1A21C3AB" w14:textId="2C41251E" w:rsidR="00736EDE" w:rsidRDefault="00736EDE" w:rsidP="00DA3CE7">
      <w:pPr>
        <w:pStyle w:val="ListParagraph"/>
        <w:numPr>
          <w:ilvl w:val="0"/>
          <w:numId w:val="274"/>
        </w:numPr>
        <w:spacing w:before="120" w:line="300" w:lineRule="auto"/>
        <w:ind w:left="720" w:hanging="720"/>
        <w:contextualSpacing w:val="0"/>
        <w:rPr>
          <w:szCs w:val="24"/>
        </w:rPr>
      </w:pPr>
      <w:r>
        <w:rPr>
          <w:szCs w:val="24"/>
        </w:rPr>
        <w:t xml:space="preserve">The </w:t>
      </w:r>
      <w:r w:rsidR="00D13655">
        <w:rPr>
          <w:szCs w:val="24"/>
        </w:rPr>
        <w:t>DNR</w:t>
      </w:r>
      <w:r>
        <w:rPr>
          <w:szCs w:val="24"/>
        </w:rPr>
        <w:t xml:space="preserve"> MW capacity and associated source Settlement Location will be obtained during the verification period. </w:t>
      </w:r>
      <w:r w:rsidR="00D13655">
        <w:rPr>
          <w:szCs w:val="24"/>
        </w:rPr>
        <w:t>NITS</w:t>
      </w:r>
      <w:r>
        <w:rPr>
          <w:szCs w:val="24"/>
        </w:rPr>
        <w:t xml:space="preserve"> for </w:t>
      </w:r>
      <w:r w:rsidR="00D13655">
        <w:rPr>
          <w:szCs w:val="24"/>
        </w:rPr>
        <w:t>DNRs</w:t>
      </w:r>
      <w:r>
        <w:rPr>
          <w:szCs w:val="24"/>
        </w:rPr>
        <w:t xml:space="preserve"> that are located outside of the </w:t>
      </w:r>
      <w:r w:rsidR="00D13655">
        <w:rPr>
          <w:szCs w:val="24"/>
        </w:rPr>
        <w:t>MTSP</w:t>
      </w:r>
      <w:r>
        <w:rPr>
          <w:szCs w:val="24"/>
        </w:rPr>
        <w:t xml:space="preserve">'s system that </w:t>
      </w:r>
      <w:r w:rsidR="00D13655">
        <w:rPr>
          <w:szCs w:val="24"/>
        </w:rPr>
        <w:t>are</w:t>
      </w:r>
      <w:r>
        <w:rPr>
          <w:szCs w:val="24"/>
        </w:rPr>
        <w:t xml:space="preserve"> serving Network Load inside of the </w:t>
      </w:r>
      <w:r w:rsidR="00D13655">
        <w:rPr>
          <w:szCs w:val="24"/>
        </w:rPr>
        <w:t>MTSP’s</w:t>
      </w:r>
      <w:r>
        <w:rPr>
          <w:szCs w:val="24"/>
        </w:rPr>
        <w:t xml:space="preserve"> system, the source Settlement Location will be based on the modeled injection point for delivering energy to the </w:t>
      </w:r>
      <w:r w:rsidR="00D13655">
        <w:rPr>
          <w:szCs w:val="24"/>
        </w:rPr>
        <w:t>MTSP</w:t>
      </w:r>
      <w:r>
        <w:rPr>
          <w:szCs w:val="24"/>
        </w:rPr>
        <w:t>'s or Markets+ Transmission Contributor's system.</w:t>
      </w:r>
    </w:p>
    <w:p w14:paraId="1C5C3A2F" w14:textId="55BD0902" w:rsidR="00736EDE" w:rsidRDefault="00736EDE" w:rsidP="00DA3CE7">
      <w:pPr>
        <w:pStyle w:val="ListParagraph"/>
        <w:numPr>
          <w:ilvl w:val="0"/>
          <w:numId w:val="274"/>
        </w:numPr>
        <w:spacing w:before="120" w:line="300" w:lineRule="auto"/>
        <w:ind w:left="720" w:hanging="720"/>
        <w:contextualSpacing w:val="0"/>
        <w:rPr>
          <w:szCs w:val="24"/>
        </w:rPr>
      </w:pPr>
      <w:r>
        <w:rPr>
          <w:szCs w:val="24"/>
        </w:rPr>
        <w:t xml:space="preserve">Based on the information obtained in </w:t>
      </w:r>
      <w:r w:rsidR="00D13655">
        <w:rPr>
          <w:szCs w:val="24"/>
        </w:rPr>
        <w:t>s</w:t>
      </w:r>
      <w:r>
        <w:rPr>
          <w:szCs w:val="24"/>
        </w:rPr>
        <w:t xml:space="preserve">ubsection </w:t>
      </w:r>
      <w:r w:rsidR="00621239">
        <w:rPr>
          <w:szCs w:val="24"/>
        </w:rPr>
        <w:fldChar w:fldCharType="begin"/>
      </w:r>
      <w:r w:rsidR="00621239">
        <w:rPr>
          <w:szCs w:val="24"/>
        </w:rPr>
        <w:instrText xml:space="preserve"> REF _Ref212619664 \r \h </w:instrText>
      </w:r>
      <w:r w:rsidR="00621239">
        <w:rPr>
          <w:szCs w:val="24"/>
        </w:rPr>
      </w:r>
      <w:r w:rsidR="00621239">
        <w:rPr>
          <w:szCs w:val="24"/>
        </w:rPr>
        <w:fldChar w:fldCharType="separate"/>
      </w:r>
      <w:r w:rsidR="00621239">
        <w:rPr>
          <w:szCs w:val="24"/>
        </w:rPr>
        <w:t>6.1.1.2</w:t>
      </w:r>
      <w:r w:rsidR="00621239">
        <w:rPr>
          <w:szCs w:val="24"/>
        </w:rPr>
        <w:fldChar w:fldCharType="end"/>
      </w:r>
      <w:r>
        <w:rPr>
          <w:szCs w:val="24"/>
        </w:rPr>
        <w:t xml:space="preserve">, and for each hour of the Operating Day, the Market Operator will systematically select each </w:t>
      </w:r>
      <w:r w:rsidR="00D13655">
        <w:rPr>
          <w:szCs w:val="24"/>
        </w:rPr>
        <w:t>NITS</w:t>
      </w:r>
      <w:r>
        <w:rPr>
          <w:szCs w:val="24"/>
        </w:rPr>
        <w:t xml:space="preserve"> CRETSR Holder's source to sink paths from its DNRs to its Network Loads as follows:</w:t>
      </w:r>
    </w:p>
    <w:p w14:paraId="1930E65B" w14:textId="500F7C33" w:rsidR="00736EDE" w:rsidRDefault="00736EDE" w:rsidP="00DA3CE7">
      <w:pPr>
        <w:pStyle w:val="ListParagraph"/>
        <w:numPr>
          <w:ilvl w:val="1"/>
          <w:numId w:val="274"/>
        </w:numPr>
        <w:spacing w:before="120" w:line="300" w:lineRule="auto"/>
        <w:ind w:left="1440" w:hanging="720"/>
        <w:contextualSpacing w:val="0"/>
        <w:rPr>
          <w:szCs w:val="24"/>
        </w:rPr>
      </w:pPr>
      <w:r>
        <w:rPr>
          <w:szCs w:val="24"/>
        </w:rPr>
        <w:t>The Market Operator will create a merit order stack by sorting the supply available from the N</w:t>
      </w:r>
      <w:r w:rsidR="00D13655">
        <w:rPr>
          <w:szCs w:val="24"/>
        </w:rPr>
        <w:t>ITS</w:t>
      </w:r>
      <w:r>
        <w:rPr>
          <w:szCs w:val="24"/>
        </w:rPr>
        <w:t xml:space="preserve"> CRETSR Holder's DNRs from lowest cost supply to highest cost supply as specified in the Resource Offer or an Import Interchange Transaction offer that’s backed by an external DNR where:</w:t>
      </w:r>
    </w:p>
    <w:p w14:paraId="0401FD44" w14:textId="77777777" w:rsidR="00736EDE" w:rsidRDefault="00736EDE" w:rsidP="00DA3CE7">
      <w:pPr>
        <w:pStyle w:val="ListParagraph"/>
        <w:numPr>
          <w:ilvl w:val="0"/>
          <w:numId w:val="310"/>
        </w:numPr>
        <w:tabs>
          <w:tab w:val="left" w:pos="2250"/>
        </w:tabs>
        <w:spacing w:before="120" w:line="300" w:lineRule="auto"/>
        <w:ind w:left="2160" w:hanging="720"/>
        <w:contextualSpacing w:val="0"/>
        <w:rPr>
          <w:szCs w:val="24"/>
        </w:rPr>
      </w:pPr>
      <w:r>
        <w:rPr>
          <w:szCs w:val="24"/>
        </w:rPr>
        <w:t xml:space="preserve">The total supply included in the merit order stack from each DNR will not exceed the designated capacity of the DNR. </w:t>
      </w:r>
    </w:p>
    <w:p w14:paraId="5B5DC2C3" w14:textId="43342A85" w:rsidR="00736EDE" w:rsidRDefault="00736EDE" w:rsidP="00DA3CE7">
      <w:pPr>
        <w:pStyle w:val="ListParagraph"/>
        <w:numPr>
          <w:ilvl w:val="0"/>
          <w:numId w:val="310"/>
        </w:numPr>
        <w:spacing w:before="120" w:line="300" w:lineRule="auto"/>
        <w:ind w:left="2160" w:hanging="720"/>
        <w:contextualSpacing w:val="0"/>
        <w:rPr>
          <w:szCs w:val="24"/>
        </w:rPr>
      </w:pPr>
      <w:r>
        <w:rPr>
          <w:szCs w:val="24"/>
        </w:rPr>
        <w:t xml:space="preserve">Supply up to the </w:t>
      </w:r>
      <w:r w:rsidR="0035440C">
        <w:rPr>
          <w:szCs w:val="24"/>
        </w:rPr>
        <w:t>Min ECOL</w:t>
      </w:r>
      <w:r w:rsidR="004324D7">
        <w:rPr>
          <w:szCs w:val="24"/>
        </w:rPr>
        <w:t>, or in the case of an MSR, the Minimum Discharge Limit,</w:t>
      </w:r>
      <w:r>
        <w:rPr>
          <w:szCs w:val="24"/>
        </w:rPr>
        <w:t xml:space="preserve"> from a DNR with a Day Ahead Commitment Status of Self, Reliability Must Run (RMR), or a Self-supplied Import Interchange Transaction that’s backed by an external DNR will be considered the lowest cost supply for purposes of this merit order process and will be added to the merit order stack first. </w:t>
      </w:r>
    </w:p>
    <w:p w14:paraId="3705A15C" w14:textId="6B892CA9" w:rsidR="00736EDE" w:rsidRPr="00856EF1" w:rsidRDefault="00736EDE" w:rsidP="00DA3CE7">
      <w:pPr>
        <w:pStyle w:val="ListParagraph"/>
        <w:numPr>
          <w:ilvl w:val="1"/>
          <w:numId w:val="310"/>
        </w:numPr>
        <w:spacing w:before="120" w:line="300" w:lineRule="auto"/>
        <w:ind w:left="2880" w:hanging="720"/>
        <w:contextualSpacing w:val="0"/>
        <w:rPr>
          <w:szCs w:val="24"/>
        </w:rPr>
      </w:pPr>
      <w:r w:rsidRPr="00824173">
        <w:rPr>
          <w:szCs w:val="24"/>
        </w:rPr>
        <w:t xml:space="preserve">If the sum of </w:t>
      </w:r>
      <w:r>
        <w:rPr>
          <w:szCs w:val="24"/>
        </w:rPr>
        <w:t xml:space="preserve">the </w:t>
      </w:r>
      <w:r w:rsidR="0035440C">
        <w:rPr>
          <w:szCs w:val="24"/>
        </w:rPr>
        <w:t>Min ECOL</w:t>
      </w:r>
      <w:r w:rsidR="004324D7">
        <w:rPr>
          <w:szCs w:val="24"/>
        </w:rPr>
        <w:t>, or in the case of an MSR, the Minimum Discharge Limit,</w:t>
      </w:r>
      <w:r>
        <w:rPr>
          <w:szCs w:val="24"/>
        </w:rPr>
        <w:t xml:space="preserve"> of s</w:t>
      </w:r>
      <w:r w:rsidRPr="00824173">
        <w:rPr>
          <w:szCs w:val="24"/>
        </w:rPr>
        <w:t xml:space="preserve">elf-committed </w:t>
      </w:r>
      <w:r>
        <w:rPr>
          <w:szCs w:val="24"/>
        </w:rPr>
        <w:t xml:space="preserve">and </w:t>
      </w:r>
      <w:r w:rsidR="004324D7">
        <w:rPr>
          <w:szCs w:val="24"/>
        </w:rPr>
        <w:t>RMR</w:t>
      </w:r>
      <w:r w:rsidRPr="00824173">
        <w:rPr>
          <w:szCs w:val="24"/>
        </w:rPr>
        <w:t xml:space="preserve"> </w:t>
      </w:r>
      <w:r w:rsidR="004324D7">
        <w:rPr>
          <w:szCs w:val="24"/>
        </w:rPr>
        <w:t>R</w:t>
      </w:r>
      <w:r w:rsidRPr="00824173">
        <w:rPr>
          <w:szCs w:val="24"/>
        </w:rPr>
        <w:t>esources is greater than the CRETSR Holder's Network Service Distribution Cap, the Market Operator will pro-rate the MWs to be selected on a pro-rata basis</w:t>
      </w:r>
      <w:r>
        <w:rPr>
          <w:szCs w:val="24"/>
        </w:rPr>
        <w:t>.</w:t>
      </w:r>
      <w:r w:rsidRPr="00824173">
        <w:rPr>
          <w:szCs w:val="24"/>
        </w:rPr>
        <w:t xml:space="preserve"> (</w:t>
      </w:r>
      <w:r w:rsidR="004324D7">
        <w:rPr>
          <w:szCs w:val="24"/>
        </w:rPr>
        <w:t>e</w:t>
      </w:r>
      <w:r w:rsidRPr="00824173">
        <w:rPr>
          <w:szCs w:val="24"/>
        </w:rPr>
        <w:t>.</w:t>
      </w:r>
      <w:r w:rsidR="004324D7">
        <w:rPr>
          <w:szCs w:val="24"/>
        </w:rPr>
        <w:t>g</w:t>
      </w:r>
      <w:r w:rsidRPr="00824173">
        <w:rPr>
          <w:szCs w:val="24"/>
        </w:rPr>
        <w:t>. 100 MW load, DNR1 = 50 MW self-</w:t>
      </w:r>
      <w:r>
        <w:rPr>
          <w:szCs w:val="24"/>
        </w:rPr>
        <w:t>committed</w:t>
      </w:r>
      <w:r w:rsidRPr="00824173">
        <w:rPr>
          <w:szCs w:val="24"/>
        </w:rPr>
        <w:t>; DNR2</w:t>
      </w:r>
      <w:r w:rsidR="004324D7">
        <w:rPr>
          <w:szCs w:val="24"/>
        </w:rPr>
        <w:t xml:space="preserve"> </w:t>
      </w:r>
      <w:r w:rsidRPr="00824173">
        <w:rPr>
          <w:szCs w:val="24"/>
        </w:rPr>
        <w:t>=</w:t>
      </w:r>
      <w:r w:rsidR="004324D7">
        <w:rPr>
          <w:szCs w:val="24"/>
        </w:rPr>
        <w:t xml:space="preserve"> </w:t>
      </w:r>
      <w:r w:rsidRPr="00824173">
        <w:rPr>
          <w:szCs w:val="24"/>
        </w:rPr>
        <w:t>150 MW self-</w:t>
      </w:r>
      <w:r>
        <w:rPr>
          <w:szCs w:val="24"/>
        </w:rPr>
        <w:t>committed</w:t>
      </w:r>
      <w:r w:rsidRPr="00824173">
        <w:rPr>
          <w:szCs w:val="24"/>
        </w:rPr>
        <w:t>; then 25 MW would be selected from DNR1 and 75 MW would be selected from DNR2)</w:t>
      </w:r>
      <w:r>
        <w:rPr>
          <w:szCs w:val="24"/>
        </w:rPr>
        <w:t>.</w:t>
      </w:r>
    </w:p>
    <w:p w14:paraId="6E0C1D30" w14:textId="309FD19C" w:rsidR="00736EDE" w:rsidRDefault="00736EDE" w:rsidP="00DA3CE7">
      <w:pPr>
        <w:pStyle w:val="ListParagraph"/>
        <w:numPr>
          <w:ilvl w:val="0"/>
          <w:numId w:val="310"/>
        </w:numPr>
        <w:spacing w:before="120" w:line="300" w:lineRule="auto"/>
        <w:ind w:left="2160" w:hanging="720"/>
        <w:contextualSpacing w:val="0"/>
        <w:rPr>
          <w:szCs w:val="24"/>
        </w:rPr>
      </w:pPr>
      <w:r>
        <w:rPr>
          <w:szCs w:val="24"/>
        </w:rPr>
        <w:t xml:space="preserve">The Market Operator will next add supply from the </w:t>
      </w:r>
      <w:r w:rsidR="004324D7">
        <w:rPr>
          <w:szCs w:val="24"/>
        </w:rPr>
        <w:t>NITS</w:t>
      </w:r>
      <w:r>
        <w:rPr>
          <w:szCs w:val="24"/>
        </w:rPr>
        <w:t xml:space="preserve"> CRETSR Holder's DNRs in Market commitment status including economic Import Interchange Transactions, and a</w:t>
      </w:r>
      <w:r w:rsidRPr="004B3A57">
        <w:rPr>
          <w:szCs w:val="24"/>
        </w:rPr>
        <w:t xml:space="preserve">ny economic portions of the </w:t>
      </w:r>
      <w:r>
        <w:rPr>
          <w:szCs w:val="24"/>
        </w:rPr>
        <w:t>s</w:t>
      </w:r>
      <w:r w:rsidRPr="004B3A57">
        <w:rPr>
          <w:szCs w:val="24"/>
        </w:rPr>
        <w:t>elf-</w:t>
      </w:r>
      <w:r>
        <w:rPr>
          <w:szCs w:val="24"/>
        </w:rPr>
        <w:t>c</w:t>
      </w:r>
      <w:r w:rsidRPr="004B3A57">
        <w:rPr>
          <w:szCs w:val="24"/>
        </w:rPr>
        <w:t>ommitted</w:t>
      </w:r>
      <w:r>
        <w:rPr>
          <w:szCs w:val="24"/>
        </w:rPr>
        <w:t xml:space="preserve"> or RMR</w:t>
      </w:r>
      <w:r w:rsidRPr="004B3A57">
        <w:rPr>
          <w:szCs w:val="24"/>
        </w:rPr>
        <w:t xml:space="preserve"> </w:t>
      </w:r>
      <w:r>
        <w:rPr>
          <w:szCs w:val="24"/>
        </w:rPr>
        <w:t xml:space="preserve">DNRs up to the </w:t>
      </w:r>
      <w:r w:rsidR="00C310E8">
        <w:rPr>
          <w:szCs w:val="24"/>
        </w:rPr>
        <w:t>Max ECOL</w:t>
      </w:r>
      <w:r w:rsidR="004324D7">
        <w:rPr>
          <w:szCs w:val="24"/>
        </w:rPr>
        <w:t>, or in the case of an MSR, the Maximum Discharge Limit,</w:t>
      </w:r>
      <w:r>
        <w:rPr>
          <w:szCs w:val="24"/>
        </w:rPr>
        <w:t xml:space="preserve"> made available in the Day Ahead Market from lowest cost to highest cost based on the incremental cost, in $/MWh, of each segment of the Energy Offer Curves, or Mitigated Energy Offer Curves as applicable, in the Day-Ahead Market. </w:t>
      </w:r>
    </w:p>
    <w:p w14:paraId="61C8A150" w14:textId="48A706AA" w:rsidR="00736EDE" w:rsidRDefault="00736EDE" w:rsidP="00DA3CE7">
      <w:pPr>
        <w:pStyle w:val="ListParagraph"/>
        <w:numPr>
          <w:ilvl w:val="1"/>
          <w:numId w:val="274"/>
        </w:numPr>
        <w:spacing w:before="120" w:line="300" w:lineRule="auto"/>
        <w:ind w:left="1440" w:hanging="720"/>
        <w:contextualSpacing w:val="0"/>
        <w:rPr>
          <w:szCs w:val="24"/>
        </w:rPr>
      </w:pPr>
      <w:r>
        <w:rPr>
          <w:szCs w:val="24"/>
        </w:rPr>
        <w:t>Any DNR</w:t>
      </w:r>
      <w:r w:rsidR="004324D7">
        <w:rPr>
          <w:szCs w:val="24"/>
        </w:rPr>
        <w:t>,</w:t>
      </w:r>
      <w:r>
        <w:rPr>
          <w:szCs w:val="24"/>
        </w:rPr>
        <w:t xml:space="preserve"> or portion thereof,</w:t>
      </w:r>
      <w:r w:rsidRPr="00CC6D4E">
        <w:rPr>
          <w:szCs w:val="24"/>
        </w:rPr>
        <w:t xml:space="preserve"> that is not available in the Day-Ahead Market will be considered the highest cost for purposes of the merit order process and will be added to the merit order stack after all available supply from the </w:t>
      </w:r>
      <w:r w:rsidR="004324D7">
        <w:rPr>
          <w:szCs w:val="24"/>
        </w:rPr>
        <w:t>NITS</w:t>
      </w:r>
      <w:r w:rsidRPr="00CC6D4E">
        <w:rPr>
          <w:szCs w:val="24"/>
        </w:rPr>
        <w:t xml:space="preserve"> CRETSR Holder's DNRs has been included as described in subsection </w:t>
      </w:r>
      <w:r>
        <w:rPr>
          <w:szCs w:val="24"/>
        </w:rPr>
        <w:t>(a)</w:t>
      </w:r>
      <w:r w:rsidRPr="00CC6D4E">
        <w:rPr>
          <w:szCs w:val="24"/>
        </w:rPr>
        <w:t xml:space="preserve"> above. </w:t>
      </w:r>
      <w:r>
        <w:rPr>
          <w:szCs w:val="24"/>
        </w:rPr>
        <w:t xml:space="preserve">To the extent there are multiple DNRs not available in the Day-Ahead Market, the supply from those applicable Resources will be added to the stack on a pro-rata basis. </w:t>
      </w:r>
      <w:r w:rsidRPr="00CC6D4E">
        <w:rPr>
          <w:szCs w:val="24"/>
        </w:rPr>
        <w:t xml:space="preserve">The portion of the DNR that is not available will be determined by the difference in the DNRs Day-Ahead Market Max </w:t>
      </w:r>
      <w:r w:rsidR="00CA24BE">
        <w:rPr>
          <w:szCs w:val="24"/>
        </w:rPr>
        <w:t xml:space="preserve"> </w:t>
      </w:r>
      <w:r w:rsidR="00FE5D1F">
        <w:rPr>
          <w:szCs w:val="24"/>
        </w:rPr>
        <w:t>ECOL</w:t>
      </w:r>
      <w:r w:rsidR="004324D7">
        <w:rPr>
          <w:szCs w:val="24"/>
        </w:rPr>
        <w:t>, or in the case of an MSR, the Maximum Discharge Limit,</w:t>
      </w:r>
      <w:r w:rsidRPr="00CC6D4E">
        <w:rPr>
          <w:szCs w:val="24"/>
        </w:rPr>
        <w:t xml:space="preserve"> and the registered DNR maximum capacity</w:t>
      </w:r>
      <w:r w:rsidR="00FE5D1F">
        <w:rPr>
          <w:szCs w:val="24"/>
        </w:rPr>
        <w:t>, or in the case of an MSR, the regist</w:t>
      </w:r>
      <w:r w:rsidR="006C5840">
        <w:rPr>
          <w:szCs w:val="24"/>
        </w:rPr>
        <w:t>ration</w:t>
      </w:r>
      <w:r w:rsidR="00FE5D1F">
        <w:rPr>
          <w:szCs w:val="24"/>
        </w:rPr>
        <w:t xml:space="preserve"> </w:t>
      </w:r>
      <w:r w:rsidR="006C5840">
        <w:rPr>
          <w:szCs w:val="24"/>
        </w:rPr>
        <w:t xml:space="preserve">discharge </w:t>
      </w:r>
      <w:r w:rsidR="00FE5D1F">
        <w:rPr>
          <w:szCs w:val="24"/>
        </w:rPr>
        <w:t>maximum .</w:t>
      </w:r>
      <w:r>
        <w:rPr>
          <w:szCs w:val="24"/>
        </w:rPr>
        <w:t xml:space="preserve">  </w:t>
      </w:r>
    </w:p>
    <w:p w14:paraId="68E16309" w14:textId="614E4267" w:rsidR="00736EDE" w:rsidRPr="00CC6D4E" w:rsidRDefault="00736EDE" w:rsidP="00DA3CE7">
      <w:pPr>
        <w:pStyle w:val="ListParagraph"/>
        <w:numPr>
          <w:ilvl w:val="1"/>
          <w:numId w:val="274"/>
        </w:numPr>
        <w:spacing w:before="120" w:line="300" w:lineRule="auto"/>
        <w:ind w:left="1440" w:hanging="720"/>
        <w:contextualSpacing w:val="0"/>
        <w:rPr>
          <w:szCs w:val="24"/>
        </w:rPr>
      </w:pPr>
      <w:r w:rsidRPr="00CC6D4E">
        <w:rPr>
          <w:szCs w:val="24"/>
        </w:rPr>
        <w:t xml:space="preserve">Starting with the lowest cost supply in the merit order stack created in Section </w:t>
      </w:r>
      <w:r w:rsidR="002335C3">
        <w:rPr>
          <w:szCs w:val="24"/>
        </w:rPr>
        <w:fldChar w:fldCharType="begin"/>
      </w:r>
      <w:r w:rsidR="002335C3">
        <w:rPr>
          <w:szCs w:val="24"/>
        </w:rPr>
        <w:instrText xml:space="preserve"> REF _Ref212619728 \r \h </w:instrText>
      </w:r>
      <w:r w:rsidR="002335C3">
        <w:rPr>
          <w:szCs w:val="24"/>
        </w:rPr>
      </w:r>
      <w:r w:rsidR="002335C3">
        <w:rPr>
          <w:szCs w:val="24"/>
        </w:rPr>
        <w:fldChar w:fldCharType="separate"/>
      </w:r>
      <w:r w:rsidR="002335C3">
        <w:rPr>
          <w:szCs w:val="24"/>
        </w:rPr>
        <w:t>6.2.2</w:t>
      </w:r>
      <w:r w:rsidR="002335C3">
        <w:rPr>
          <w:szCs w:val="24"/>
        </w:rPr>
        <w:fldChar w:fldCharType="end"/>
      </w:r>
      <w:r w:rsidRPr="00CC6D4E">
        <w:rPr>
          <w:szCs w:val="24"/>
        </w:rPr>
        <w:t xml:space="preserve">(2)(a), the Market Operator will select the </w:t>
      </w:r>
      <w:r w:rsidR="00AD549B">
        <w:rPr>
          <w:szCs w:val="24"/>
        </w:rPr>
        <w:t>NITS</w:t>
      </w:r>
      <w:r w:rsidRPr="00CC6D4E">
        <w:rPr>
          <w:szCs w:val="24"/>
        </w:rPr>
        <w:t xml:space="preserve"> CRETSR Holder's DNRs from the merit order stack until the total MW capacity selected is equal to the </w:t>
      </w:r>
      <w:r w:rsidR="00AD549B">
        <w:rPr>
          <w:szCs w:val="24"/>
        </w:rPr>
        <w:t>NITS</w:t>
      </w:r>
      <w:r w:rsidRPr="00CC6D4E">
        <w:rPr>
          <w:szCs w:val="24"/>
        </w:rPr>
        <w:t xml:space="preserve"> CRETSR Holder's Network Service Distribution Cap. In the event multiple DNRs with the same incremental cost are needed to meet the Network Service Distribution Cap, the Market Operator will pro</w:t>
      </w:r>
      <w:r>
        <w:rPr>
          <w:szCs w:val="24"/>
        </w:rPr>
        <w:t>-</w:t>
      </w:r>
      <w:r w:rsidRPr="00CC6D4E">
        <w:rPr>
          <w:szCs w:val="24"/>
        </w:rPr>
        <w:t xml:space="preserve">rate the associated incremental MWs on those DNRs to meet the Network </w:t>
      </w:r>
      <w:r w:rsidR="007B7C7E">
        <w:rPr>
          <w:szCs w:val="24"/>
        </w:rPr>
        <w:t xml:space="preserve">Service </w:t>
      </w:r>
      <w:r w:rsidRPr="00CC6D4E">
        <w:rPr>
          <w:szCs w:val="24"/>
        </w:rPr>
        <w:t xml:space="preserve">Distribution Cap. Such selected DNR PORs to the applicable POD associated with the Network Load will be used for Congestion Rent allocation purposes as described </w:t>
      </w:r>
      <w:r w:rsidR="00E5795E">
        <w:rPr>
          <w:szCs w:val="24"/>
        </w:rPr>
        <w:t xml:space="preserve">in the Markets+ Settlements </w:t>
      </w:r>
      <w:r w:rsidR="00BA0C4B">
        <w:rPr>
          <w:szCs w:val="24"/>
        </w:rPr>
        <w:t>Calculation Guide</w:t>
      </w:r>
      <w:r w:rsidRPr="00CC6D4E">
        <w:rPr>
          <w:szCs w:val="24"/>
        </w:rPr>
        <w:t>.</w:t>
      </w:r>
    </w:p>
    <w:p w14:paraId="29A13C78" w14:textId="64C06839" w:rsidR="00736EDE" w:rsidRDefault="00736EDE" w:rsidP="00DA3CE7">
      <w:pPr>
        <w:pStyle w:val="ListParagraph"/>
        <w:numPr>
          <w:ilvl w:val="2"/>
          <w:numId w:val="274"/>
        </w:numPr>
        <w:spacing w:before="120" w:line="300" w:lineRule="auto"/>
        <w:ind w:left="1710"/>
        <w:contextualSpacing w:val="0"/>
        <w:rPr>
          <w:szCs w:val="24"/>
        </w:rPr>
      </w:pPr>
      <w:r>
        <w:rPr>
          <w:szCs w:val="24"/>
        </w:rPr>
        <w:t xml:space="preserve">The Network Load values used in the initial calculation of the Network Service Distribution Cap and used in the initial settlements must be submitted to the Market Operator </w:t>
      </w:r>
      <w:r w:rsidRPr="008E7BA6">
        <w:rPr>
          <w:rFonts w:eastAsiaTheme="minorHAnsi"/>
        </w:rPr>
        <w:t xml:space="preserve">by each respective </w:t>
      </w:r>
      <w:r>
        <w:rPr>
          <w:rFonts w:eastAsiaTheme="minorHAnsi"/>
        </w:rPr>
        <w:t>MTS</w:t>
      </w:r>
      <w:r w:rsidRPr="008E7BA6">
        <w:rPr>
          <w:rFonts w:eastAsiaTheme="minorHAnsi"/>
        </w:rPr>
        <w:t>P</w:t>
      </w:r>
      <w:r>
        <w:rPr>
          <w:szCs w:val="24"/>
        </w:rPr>
        <w:t xml:space="preserve"> as described in the verification process in Section </w:t>
      </w:r>
      <w:r w:rsidR="002335C3">
        <w:rPr>
          <w:szCs w:val="24"/>
        </w:rPr>
        <w:fldChar w:fldCharType="begin"/>
      </w:r>
      <w:r w:rsidR="002335C3">
        <w:rPr>
          <w:szCs w:val="24"/>
        </w:rPr>
        <w:instrText xml:space="preserve"> REF _Ref212619762 \r \h </w:instrText>
      </w:r>
      <w:r w:rsidR="002335C3">
        <w:rPr>
          <w:szCs w:val="24"/>
        </w:rPr>
      </w:r>
      <w:r w:rsidR="002335C3">
        <w:rPr>
          <w:szCs w:val="24"/>
        </w:rPr>
        <w:fldChar w:fldCharType="separate"/>
      </w:r>
      <w:r w:rsidR="002335C3">
        <w:rPr>
          <w:szCs w:val="24"/>
        </w:rPr>
        <w:t>6.2</w:t>
      </w:r>
      <w:r w:rsidR="002335C3">
        <w:rPr>
          <w:szCs w:val="24"/>
        </w:rPr>
        <w:fldChar w:fldCharType="end"/>
      </w:r>
      <w:r>
        <w:rPr>
          <w:szCs w:val="24"/>
        </w:rPr>
        <w:t xml:space="preserve"> above. Once the actual billing values used for the </w:t>
      </w:r>
      <w:r w:rsidR="00AD549B">
        <w:rPr>
          <w:szCs w:val="24"/>
        </w:rPr>
        <w:t>NITS</w:t>
      </w:r>
      <w:r>
        <w:rPr>
          <w:szCs w:val="24"/>
        </w:rPr>
        <w:t xml:space="preserve"> billing are determined, the MTSP must resubmit the Network Load value consistent with the settlements timeline as described in Section </w:t>
      </w:r>
      <w:r w:rsidR="002335C3">
        <w:rPr>
          <w:szCs w:val="24"/>
        </w:rPr>
        <w:fldChar w:fldCharType="begin"/>
      </w:r>
      <w:r w:rsidR="002335C3">
        <w:rPr>
          <w:szCs w:val="24"/>
        </w:rPr>
        <w:instrText xml:space="preserve"> REF _Ref212619782 \r \h </w:instrText>
      </w:r>
      <w:r w:rsidR="002335C3">
        <w:rPr>
          <w:szCs w:val="24"/>
        </w:rPr>
      </w:r>
      <w:r w:rsidR="002335C3">
        <w:rPr>
          <w:szCs w:val="24"/>
        </w:rPr>
        <w:fldChar w:fldCharType="separate"/>
      </w:r>
      <w:r w:rsidR="002335C3">
        <w:rPr>
          <w:szCs w:val="24"/>
        </w:rPr>
        <w:t>4.5.13</w:t>
      </w:r>
      <w:r w:rsidR="002335C3">
        <w:rPr>
          <w:szCs w:val="24"/>
        </w:rPr>
        <w:fldChar w:fldCharType="end"/>
      </w:r>
      <w:r>
        <w:rPr>
          <w:szCs w:val="24"/>
        </w:rPr>
        <w:t>.</w:t>
      </w:r>
    </w:p>
    <w:p w14:paraId="29998629" w14:textId="26723174" w:rsidR="00736EDE" w:rsidRDefault="00736EDE" w:rsidP="00736EDE">
      <w:pPr>
        <w:pStyle w:val="ListParagraph"/>
        <w:spacing w:before="120" w:line="300" w:lineRule="auto"/>
        <w:ind w:left="0"/>
        <w:contextualSpacing w:val="0"/>
      </w:pPr>
      <w:r>
        <w:rPr>
          <w:szCs w:val="24"/>
        </w:rPr>
        <w:t xml:space="preserve">The following example illustrates how the Market Operator will select </w:t>
      </w:r>
      <w:r w:rsidR="00AD549B">
        <w:rPr>
          <w:szCs w:val="24"/>
        </w:rPr>
        <w:t>DNR</w:t>
      </w:r>
      <w:r>
        <w:rPr>
          <w:szCs w:val="24"/>
        </w:rPr>
        <w:t xml:space="preserve">s to Network Loads for a single Market Participant.  Exhibit 6-2 provides a summary of the raw data inputs needed to perform the merit order stack analysis.  For this example, assume one-hour snapshot granularity, there are 4 DNRs and 2 Network Loads associated with CRETSR Holder MP1. This DNR data was obtained through OASIS and verified as described under Section </w:t>
      </w:r>
      <w:r w:rsidR="00D968DB">
        <w:rPr>
          <w:szCs w:val="24"/>
        </w:rPr>
        <w:fldChar w:fldCharType="begin"/>
      </w:r>
      <w:r w:rsidR="00D968DB">
        <w:rPr>
          <w:szCs w:val="24"/>
        </w:rPr>
        <w:instrText xml:space="preserve"> REF _Ref212619817 \r \h </w:instrText>
      </w:r>
      <w:r w:rsidR="00D968DB">
        <w:rPr>
          <w:szCs w:val="24"/>
        </w:rPr>
      </w:r>
      <w:r w:rsidR="00D968DB">
        <w:rPr>
          <w:szCs w:val="24"/>
        </w:rPr>
        <w:fldChar w:fldCharType="separate"/>
      </w:r>
      <w:r w:rsidR="00D968DB">
        <w:rPr>
          <w:szCs w:val="24"/>
        </w:rPr>
        <w:t>6.2</w:t>
      </w:r>
      <w:r w:rsidR="00D968DB">
        <w:rPr>
          <w:szCs w:val="24"/>
        </w:rPr>
        <w:fldChar w:fldCharType="end"/>
      </w:r>
      <w:r>
        <w:rPr>
          <w:szCs w:val="24"/>
        </w:rPr>
        <w:t xml:space="preserve">.  The DNRs total 1,200 MW and the 2 Network Loads total 750 MW. Therefore, MP1’s Network Service Distribution Cap is equal to 750 MW which will be a fixed value through the full operating month.  The Commitment Status and Energy Offer Curve data are obtained each day at the close of the Day-Ahead Market. The merit order stack is calculated for each hour of the </w:t>
      </w:r>
      <w:r w:rsidR="00E83370">
        <w:rPr>
          <w:szCs w:val="24"/>
        </w:rPr>
        <w:t>O</w:t>
      </w:r>
      <w:r>
        <w:rPr>
          <w:szCs w:val="24"/>
        </w:rPr>
        <w:t xml:space="preserve">perating </w:t>
      </w:r>
      <w:r w:rsidR="00E83370">
        <w:rPr>
          <w:szCs w:val="24"/>
        </w:rPr>
        <w:t>D</w:t>
      </w:r>
      <w:r>
        <w:rPr>
          <w:szCs w:val="24"/>
        </w:rPr>
        <w:t>ay.</w:t>
      </w:r>
    </w:p>
    <w:p w14:paraId="3E4710F7" w14:textId="4AC862BD" w:rsidR="00736EDE" w:rsidRPr="00B33E94" w:rsidRDefault="00736EDE" w:rsidP="00B33E94">
      <w:pPr>
        <w:spacing w:before="120" w:line="300" w:lineRule="auto"/>
        <w:jc w:val="center"/>
        <w:rPr>
          <w:b/>
          <w:szCs w:val="24"/>
        </w:rPr>
      </w:pPr>
      <w:r>
        <w:rPr>
          <w:b/>
          <w:szCs w:val="24"/>
        </w:rPr>
        <w:br w:type="page"/>
      </w:r>
      <w:bookmarkStart w:id="7043" w:name="_Toc213772420"/>
      <w:r w:rsidR="00B33E94">
        <w:rPr>
          <w:b/>
          <w:szCs w:val="24"/>
        </w:rPr>
        <w:t>Exhibit</w:t>
      </w:r>
      <w:r w:rsidRPr="008E3E9E">
        <w:rPr>
          <w:b/>
          <w:szCs w:val="24"/>
        </w:rPr>
        <w:t xml:space="preserve"> </w:t>
      </w:r>
      <w:r w:rsidR="00067800" w:rsidRPr="004046DB">
        <w:rPr>
          <w:b/>
          <w:szCs w:val="24"/>
        </w:rPr>
        <w:fldChar w:fldCharType="begin"/>
      </w:r>
      <w:r w:rsidR="00067800" w:rsidRPr="004046DB">
        <w:rPr>
          <w:b/>
          <w:szCs w:val="24"/>
        </w:rPr>
        <w:instrText xml:space="preserve"> STYLEREF 1 \s </w:instrText>
      </w:r>
      <w:r w:rsidR="00067800" w:rsidRPr="004046DB">
        <w:rPr>
          <w:b/>
          <w:szCs w:val="24"/>
        </w:rPr>
        <w:fldChar w:fldCharType="separate"/>
      </w:r>
      <w:r w:rsidR="00067800">
        <w:rPr>
          <w:b/>
          <w:noProof/>
          <w:szCs w:val="24"/>
        </w:rPr>
        <w:t>6</w:t>
      </w:r>
      <w:r w:rsidR="00067800" w:rsidRPr="004046DB">
        <w:rPr>
          <w:b/>
          <w:szCs w:val="24"/>
        </w:rPr>
        <w:fldChar w:fldCharType="end"/>
      </w:r>
      <w:r w:rsidR="00067800" w:rsidRPr="004046DB">
        <w:rPr>
          <w:b/>
          <w:szCs w:val="24"/>
        </w:rPr>
        <w:noBreakHyphen/>
      </w:r>
      <w:r w:rsidR="00067800" w:rsidRPr="004046DB">
        <w:rPr>
          <w:b/>
          <w:szCs w:val="24"/>
        </w:rPr>
        <w:fldChar w:fldCharType="begin"/>
      </w:r>
      <w:r w:rsidR="00067800" w:rsidRPr="004046DB">
        <w:rPr>
          <w:b/>
          <w:szCs w:val="24"/>
        </w:rPr>
        <w:instrText xml:space="preserve"> SEQ Exhibit \* ARABIC \s 1 </w:instrText>
      </w:r>
      <w:r w:rsidR="00067800" w:rsidRPr="004046DB">
        <w:rPr>
          <w:b/>
          <w:szCs w:val="24"/>
        </w:rPr>
        <w:fldChar w:fldCharType="separate"/>
      </w:r>
      <w:r w:rsidR="00067800">
        <w:rPr>
          <w:b/>
          <w:noProof/>
          <w:szCs w:val="24"/>
        </w:rPr>
        <w:t>2</w:t>
      </w:r>
      <w:r w:rsidR="00067800" w:rsidRPr="004046DB">
        <w:rPr>
          <w:b/>
          <w:szCs w:val="24"/>
        </w:rPr>
        <w:fldChar w:fldCharType="end"/>
      </w:r>
      <w:r w:rsidR="002C421B">
        <w:rPr>
          <w:b/>
          <w:szCs w:val="24"/>
        </w:rPr>
        <w:t xml:space="preserve">:  </w:t>
      </w:r>
      <w:r>
        <w:rPr>
          <w:b/>
          <w:szCs w:val="24"/>
        </w:rPr>
        <w:t>DNR and Network Load Input Assumptions.</w:t>
      </w:r>
      <w:bookmarkEnd w:id="7043"/>
    </w:p>
    <w:p w14:paraId="4762A002" w14:textId="77777777" w:rsidR="00736EDE" w:rsidRDefault="00736EDE" w:rsidP="00736EDE">
      <w:pPr>
        <w:pStyle w:val="ListParagraph"/>
        <w:spacing w:before="120" w:line="300" w:lineRule="auto"/>
        <w:ind w:left="0"/>
        <w:contextualSpacing w:val="0"/>
        <w:rPr>
          <w:szCs w:val="24"/>
        </w:rPr>
      </w:pPr>
    </w:p>
    <w:p w14:paraId="2DA1431F" w14:textId="77777777" w:rsidR="00736EDE" w:rsidRDefault="00736EDE" w:rsidP="00736EDE">
      <w:pPr>
        <w:pStyle w:val="ListParagraph"/>
        <w:spacing w:before="120" w:line="300" w:lineRule="auto"/>
        <w:ind w:left="0"/>
        <w:contextualSpacing w:val="0"/>
        <w:jc w:val="center"/>
        <w:rPr>
          <w:szCs w:val="24"/>
        </w:rPr>
      </w:pPr>
      <w:r>
        <w:rPr>
          <w:noProof/>
          <w14:ligatures w14:val="standardContextual"/>
        </w:rPr>
        <w:drawing>
          <wp:inline distT="0" distB="0" distL="0" distR="0" wp14:anchorId="0810FDDD" wp14:editId="0EE7C1A8">
            <wp:extent cx="5943600" cy="2623185"/>
            <wp:effectExtent l="0" t="0" r="0" b="5715"/>
            <wp:docPr id="172998853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8533" name="Picture 1" descr="Table&#10;&#10;Description automatically generated"/>
                    <pic:cNvPicPr/>
                  </pic:nvPicPr>
                  <pic:blipFill>
                    <a:blip r:embed="rId93"/>
                    <a:stretch>
                      <a:fillRect/>
                    </a:stretch>
                  </pic:blipFill>
                  <pic:spPr>
                    <a:xfrm>
                      <a:off x="0" y="0"/>
                      <a:ext cx="5943600" cy="2623185"/>
                    </a:xfrm>
                    <a:prstGeom prst="rect">
                      <a:avLst/>
                    </a:prstGeom>
                  </pic:spPr>
                </pic:pic>
              </a:graphicData>
            </a:graphic>
          </wp:inline>
        </w:drawing>
      </w:r>
    </w:p>
    <w:p w14:paraId="1E98C04D" w14:textId="05DFE910" w:rsidR="00736EDE" w:rsidRDefault="00736EDE" w:rsidP="00736EDE">
      <w:pPr>
        <w:pStyle w:val="ListParagraph"/>
        <w:spacing w:before="120" w:line="300" w:lineRule="auto"/>
        <w:ind w:left="0"/>
        <w:contextualSpacing w:val="0"/>
        <w:rPr>
          <w:szCs w:val="24"/>
        </w:rPr>
      </w:pPr>
      <w:r>
        <w:rPr>
          <w:szCs w:val="24"/>
        </w:rPr>
        <w:t xml:space="preserve">Using the input data shown in Exhibit 6-2, the Market Operator creates the merit order stack shown in Exhibit 6-3.  Each DNR capacity segment is sorted from lowest cost to highest cost.  Consistent with the rules described under Section </w:t>
      </w:r>
      <w:r w:rsidR="00DF3CBC">
        <w:rPr>
          <w:szCs w:val="24"/>
        </w:rPr>
        <w:fldChar w:fldCharType="begin"/>
      </w:r>
      <w:r w:rsidR="00DF3CBC">
        <w:rPr>
          <w:szCs w:val="24"/>
        </w:rPr>
        <w:instrText xml:space="preserve"> REF _Ref212619871 \r \h </w:instrText>
      </w:r>
      <w:r w:rsidR="00DF3CBC">
        <w:rPr>
          <w:szCs w:val="24"/>
        </w:rPr>
      </w:r>
      <w:r w:rsidR="00DF3CBC">
        <w:rPr>
          <w:szCs w:val="24"/>
        </w:rPr>
        <w:fldChar w:fldCharType="separate"/>
      </w:r>
      <w:r w:rsidR="00DF3CBC">
        <w:rPr>
          <w:szCs w:val="24"/>
        </w:rPr>
        <w:t>6.2.2</w:t>
      </w:r>
      <w:r w:rsidR="00DF3CBC">
        <w:rPr>
          <w:szCs w:val="24"/>
        </w:rPr>
        <w:fldChar w:fldCharType="end"/>
      </w:r>
      <w:r>
        <w:rPr>
          <w:szCs w:val="24"/>
        </w:rPr>
        <w:t>(2)(a), the cost of the minimum capacity segment of the DNR with a Commit Status of “Self” is considered the lowest value, and the DNR with a Commit Status of “Outage” is considered once all other DNR segments have been selected.  Under the Cumulative MW column, the 750 MW is highlighted as that is MP1’s Network Service Distribution Cap, and thus, no DNR segments above the 750 MW are considered when assigning DNRs to Network Load.</w:t>
      </w:r>
    </w:p>
    <w:p w14:paraId="6515FAC0" w14:textId="77777777" w:rsidR="00736EDE" w:rsidRDefault="00736EDE" w:rsidP="00067800">
      <w:pPr>
        <w:spacing w:before="120" w:line="300" w:lineRule="auto"/>
        <w:jc w:val="left"/>
        <w:rPr>
          <w:b/>
          <w:szCs w:val="24"/>
        </w:rPr>
      </w:pPr>
      <w:r>
        <w:rPr>
          <w:b/>
          <w:szCs w:val="24"/>
        </w:rPr>
        <w:br w:type="page"/>
      </w:r>
    </w:p>
    <w:p w14:paraId="461C8F1A" w14:textId="799B5B46" w:rsidR="00736EDE" w:rsidRDefault="002C421B" w:rsidP="002C421B">
      <w:pPr>
        <w:spacing w:before="120" w:line="300" w:lineRule="auto"/>
        <w:jc w:val="center"/>
        <w:rPr>
          <w:szCs w:val="24"/>
        </w:rPr>
      </w:pPr>
      <w:bookmarkStart w:id="7044" w:name="_Hlk160538807"/>
      <w:bookmarkStart w:id="7045" w:name="_Toc213772421"/>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6</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3</w:t>
      </w:r>
      <w:r w:rsidRPr="004046DB">
        <w:rPr>
          <w:b/>
          <w:szCs w:val="24"/>
        </w:rPr>
        <w:fldChar w:fldCharType="end"/>
      </w:r>
      <w:r>
        <w:rPr>
          <w:b/>
          <w:szCs w:val="24"/>
        </w:rPr>
        <w:t xml:space="preserve">:  </w:t>
      </w:r>
      <w:r w:rsidR="00736EDE">
        <w:rPr>
          <w:b/>
          <w:szCs w:val="24"/>
        </w:rPr>
        <w:t>DNR Merit Order Stack.</w:t>
      </w:r>
      <w:bookmarkEnd w:id="7044"/>
      <w:bookmarkEnd w:id="7045"/>
    </w:p>
    <w:p w14:paraId="50AABF8C" w14:textId="77777777" w:rsidR="00736EDE" w:rsidRDefault="00736EDE" w:rsidP="00736EDE">
      <w:pPr>
        <w:pStyle w:val="ListParagraph"/>
        <w:spacing w:before="120" w:line="300" w:lineRule="auto"/>
        <w:ind w:left="0"/>
        <w:contextualSpacing w:val="0"/>
        <w:jc w:val="center"/>
        <w:rPr>
          <w:szCs w:val="24"/>
        </w:rPr>
      </w:pPr>
      <w:r>
        <w:rPr>
          <w:noProof/>
          <w14:ligatures w14:val="standardContextual"/>
        </w:rPr>
        <w:drawing>
          <wp:inline distT="0" distB="0" distL="0" distR="0" wp14:anchorId="6BFD109D" wp14:editId="2C9FDE04">
            <wp:extent cx="4914900" cy="4876800"/>
            <wp:effectExtent l="0" t="0" r="0" b="0"/>
            <wp:docPr id="7978332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3325" name="Picture 1" descr="Table&#10;&#10;Description automatically generated"/>
                    <pic:cNvPicPr/>
                  </pic:nvPicPr>
                  <pic:blipFill>
                    <a:blip r:embed="rId94"/>
                    <a:stretch>
                      <a:fillRect/>
                    </a:stretch>
                  </pic:blipFill>
                  <pic:spPr>
                    <a:xfrm>
                      <a:off x="0" y="0"/>
                      <a:ext cx="4914900" cy="4876800"/>
                    </a:xfrm>
                    <a:prstGeom prst="rect">
                      <a:avLst/>
                    </a:prstGeom>
                  </pic:spPr>
                </pic:pic>
              </a:graphicData>
            </a:graphic>
          </wp:inline>
        </w:drawing>
      </w:r>
    </w:p>
    <w:p w14:paraId="4183354D" w14:textId="77777777" w:rsidR="00736EDE" w:rsidRDefault="00736EDE" w:rsidP="00736EDE">
      <w:pPr>
        <w:pStyle w:val="ListParagraph"/>
        <w:spacing w:before="120" w:line="300" w:lineRule="auto"/>
        <w:ind w:left="0"/>
        <w:contextualSpacing w:val="0"/>
        <w:rPr>
          <w:szCs w:val="24"/>
        </w:rPr>
      </w:pPr>
      <w:r>
        <w:rPr>
          <w:szCs w:val="24"/>
        </w:rPr>
        <w:t>Once the Network Service Distribution Cap has been reached, a new table is created to determine the total amount of MWs selected from each DNR in the stack at or below the cumulative 750 MW.  Exhibit 6-4 shows the final DNR selections.</w:t>
      </w:r>
    </w:p>
    <w:p w14:paraId="61A0A3D6" w14:textId="77777777" w:rsidR="00736EDE" w:rsidRDefault="00736EDE" w:rsidP="00736EDE">
      <w:pPr>
        <w:spacing w:before="120" w:line="300" w:lineRule="auto"/>
        <w:jc w:val="center"/>
        <w:rPr>
          <w:b/>
          <w:szCs w:val="24"/>
        </w:rPr>
      </w:pPr>
    </w:p>
    <w:p w14:paraId="6ABA32EA" w14:textId="77777777" w:rsidR="00736EDE" w:rsidRDefault="00736EDE" w:rsidP="00736EDE">
      <w:pPr>
        <w:spacing w:before="120" w:line="300" w:lineRule="auto"/>
        <w:jc w:val="center"/>
        <w:rPr>
          <w:b/>
          <w:szCs w:val="24"/>
        </w:rPr>
      </w:pPr>
    </w:p>
    <w:p w14:paraId="0440239D" w14:textId="77777777" w:rsidR="00736EDE" w:rsidRDefault="00736EDE" w:rsidP="00736EDE">
      <w:pPr>
        <w:spacing w:before="120" w:line="300" w:lineRule="auto"/>
        <w:jc w:val="center"/>
        <w:rPr>
          <w:b/>
          <w:szCs w:val="24"/>
        </w:rPr>
      </w:pPr>
    </w:p>
    <w:p w14:paraId="2BA2E107" w14:textId="77777777" w:rsidR="00736EDE" w:rsidRDefault="00736EDE" w:rsidP="00736EDE">
      <w:pPr>
        <w:spacing w:before="120" w:line="300" w:lineRule="auto"/>
        <w:jc w:val="center"/>
        <w:rPr>
          <w:b/>
          <w:szCs w:val="24"/>
        </w:rPr>
      </w:pPr>
    </w:p>
    <w:p w14:paraId="229F9CB7" w14:textId="77777777" w:rsidR="00736EDE" w:rsidRDefault="00736EDE" w:rsidP="00736EDE">
      <w:pPr>
        <w:spacing w:before="120" w:line="300" w:lineRule="auto"/>
        <w:jc w:val="center"/>
        <w:rPr>
          <w:b/>
          <w:szCs w:val="24"/>
        </w:rPr>
      </w:pPr>
    </w:p>
    <w:p w14:paraId="604BE3C8" w14:textId="77777777" w:rsidR="00736EDE" w:rsidRDefault="00736EDE" w:rsidP="00736EDE">
      <w:pPr>
        <w:spacing w:before="120" w:line="300" w:lineRule="auto"/>
        <w:jc w:val="center"/>
        <w:rPr>
          <w:b/>
          <w:szCs w:val="24"/>
        </w:rPr>
      </w:pPr>
    </w:p>
    <w:p w14:paraId="632D3FAB" w14:textId="77777777" w:rsidR="00050CDC" w:rsidRDefault="002C421B" w:rsidP="002C421B">
      <w:pPr>
        <w:spacing w:before="120" w:line="300" w:lineRule="auto"/>
        <w:jc w:val="center"/>
        <w:rPr>
          <w:b/>
          <w:szCs w:val="24"/>
        </w:rPr>
      </w:pPr>
      <w:bookmarkStart w:id="7046" w:name="_Toc213772422"/>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6</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4</w:t>
      </w:r>
      <w:r w:rsidRPr="004046DB">
        <w:rPr>
          <w:b/>
          <w:szCs w:val="24"/>
        </w:rPr>
        <w:fldChar w:fldCharType="end"/>
      </w:r>
      <w:r>
        <w:rPr>
          <w:b/>
          <w:szCs w:val="24"/>
        </w:rPr>
        <w:t xml:space="preserve">:  </w:t>
      </w:r>
      <w:r w:rsidR="00736EDE">
        <w:rPr>
          <w:b/>
          <w:szCs w:val="24"/>
        </w:rPr>
        <w:t>Final DNR Selection from Merit Order Stack.</w:t>
      </w:r>
      <w:bookmarkEnd w:id="7046"/>
    </w:p>
    <w:p w14:paraId="572E1A78" w14:textId="7BF438A0" w:rsidR="00736EDE" w:rsidRDefault="00736EDE" w:rsidP="002C421B">
      <w:pPr>
        <w:spacing w:before="120" w:line="300" w:lineRule="auto"/>
        <w:jc w:val="center"/>
        <w:rPr>
          <w:szCs w:val="24"/>
        </w:rPr>
      </w:pPr>
      <w:r>
        <w:rPr>
          <w:noProof/>
          <w14:ligatures w14:val="standardContextual"/>
        </w:rPr>
        <w:drawing>
          <wp:inline distT="0" distB="0" distL="0" distR="0" wp14:anchorId="6CC20C23" wp14:editId="6B5882B7">
            <wp:extent cx="5429250" cy="2819400"/>
            <wp:effectExtent l="0" t="0" r="0" b="0"/>
            <wp:docPr id="97472430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24305" name="Picture 1" descr="Table&#10;&#10;Description automatically generated"/>
                    <pic:cNvPicPr/>
                  </pic:nvPicPr>
                  <pic:blipFill>
                    <a:blip r:embed="rId95"/>
                    <a:stretch>
                      <a:fillRect/>
                    </a:stretch>
                  </pic:blipFill>
                  <pic:spPr>
                    <a:xfrm>
                      <a:off x="0" y="0"/>
                      <a:ext cx="5429250" cy="2819400"/>
                    </a:xfrm>
                    <a:prstGeom prst="rect">
                      <a:avLst/>
                    </a:prstGeom>
                  </pic:spPr>
                </pic:pic>
              </a:graphicData>
            </a:graphic>
          </wp:inline>
        </w:drawing>
      </w:r>
    </w:p>
    <w:p w14:paraId="1EBA3FDE" w14:textId="77777777" w:rsidR="00736EDE" w:rsidRDefault="00736EDE" w:rsidP="00736EDE">
      <w:pPr>
        <w:pStyle w:val="ListParagraph"/>
        <w:spacing w:before="120" w:line="300" w:lineRule="auto"/>
        <w:ind w:left="0"/>
        <w:contextualSpacing w:val="0"/>
        <w:rPr>
          <w:szCs w:val="24"/>
        </w:rPr>
      </w:pPr>
      <w:r>
        <w:rPr>
          <w:szCs w:val="24"/>
        </w:rPr>
        <w:t>Once the DNR selections have been made, the final step is to map each DNR to each Network Load.  The mapping is straightforward if there is only one Network Load.  Exhibit 6-5 shows the final mapping results assuming there are two Network Loads.  For more than one Network Load, each DNR MW is mapped back to each Network Load on a pro-rata basis.  Each mapping then represents an MP1 CRETSR for use in settlements.</w:t>
      </w:r>
    </w:p>
    <w:p w14:paraId="6A30EC0E" w14:textId="77777777" w:rsidR="00736EDE" w:rsidRDefault="00736EDE" w:rsidP="00736EDE">
      <w:pPr>
        <w:pStyle w:val="ListParagraph"/>
        <w:spacing w:before="120" w:line="300" w:lineRule="auto"/>
        <w:ind w:left="0"/>
        <w:contextualSpacing w:val="0"/>
        <w:rPr>
          <w:szCs w:val="24"/>
        </w:rPr>
      </w:pPr>
    </w:p>
    <w:p w14:paraId="71DCCF11" w14:textId="77777777" w:rsidR="00736EDE" w:rsidRDefault="00736EDE" w:rsidP="00067800">
      <w:pPr>
        <w:spacing w:before="120" w:line="300" w:lineRule="auto"/>
        <w:jc w:val="left"/>
        <w:rPr>
          <w:b/>
          <w:szCs w:val="24"/>
        </w:rPr>
      </w:pPr>
      <w:r>
        <w:rPr>
          <w:b/>
          <w:szCs w:val="24"/>
        </w:rPr>
        <w:br w:type="page"/>
      </w:r>
    </w:p>
    <w:p w14:paraId="19115121" w14:textId="5DED35EC" w:rsidR="00736EDE" w:rsidRDefault="00736EDE" w:rsidP="00736EDE">
      <w:pPr>
        <w:spacing w:before="120" w:line="300" w:lineRule="auto"/>
        <w:jc w:val="center"/>
        <w:rPr>
          <w:b/>
          <w:szCs w:val="24"/>
        </w:rPr>
      </w:pPr>
      <w:bookmarkStart w:id="7047" w:name="_Toc213772423"/>
      <w:r>
        <w:rPr>
          <w:b/>
          <w:szCs w:val="24"/>
        </w:rPr>
        <w:t>Ex</w:t>
      </w:r>
      <w:r w:rsidRPr="008E3E9E">
        <w:rPr>
          <w:b/>
          <w:szCs w:val="24"/>
        </w:rPr>
        <w:t xml:space="preserve">hibit </w:t>
      </w:r>
      <w:r w:rsidR="002C421B" w:rsidRPr="004046DB">
        <w:rPr>
          <w:b/>
          <w:szCs w:val="24"/>
        </w:rPr>
        <w:fldChar w:fldCharType="begin"/>
      </w:r>
      <w:r w:rsidR="002C421B" w:rsidRPr="004046DB">
        <w:rPr>
          <w:b/>
          <w:szCs w:val="24"/>
        </w:rPr>
        <w:instrText xml:space="preserve"> STYLEREF 1 \s </w:instrText>
      </w:r>
      <w:r w:rsidR="002C421B" w:rsidRPr="004046DB">
        <w:rPr>
          <w:b/>
          <w:szCs w:val="24"/>
        </w:rPr>
        <w:fldChar w:fldCharType="separate"/>
      </w:r>
      <w:r w:rsidR="002C421B">
        <w:rPr>
          <w:b/>
          <w:noProof/>
          <w:szCs w:val="24"/>
        </w:rPr>
        <w:t>6</w:t>
      </w:r>
      <w:r w:rsidR="002C421B" w:rsidRPr="004046DB">
        <w:rPr>
          <w:b/>
          <w:szCs w:val="24"/>
        </w:rPr>
        <w:fldChar w:fldCharType="end"/>
      </w:r>
      <w:r w:rsidR="002C421B" w:rsidRPr="004046DB">
        <w:rPr>
          <w:b/>
          <w:szCs w:val="24"/>
        </w:rPr>
        <w:noBreakHyphen/>
      </w:r>
      <w:r w:rsidR="002C421B" w:rsidRPr="004046DB">
        <w:rPr>
          <w:b/>
          <w:szCs w:val="24"/>
        </w:rPr>
        <w:fldChar w:fldCharType="begin"/>
      </w:r>
      <w:r w:rsidR="002C421B" w:rsidRPr="004046DB">
        <w:rPr>
          <w:b/>
          <w:szCs w:val="24"/>
        </w:rPr>
        <w:instrText xml:space="preserve"> SEQ Exhibit \* ARABIC \s 1 </w:instrText>
      </w:r>
      <w:r w:rsidR="002C421B" w:rsidRPr="004046DB">
        <w:rPr>
          <w:b/>
          <w:szCs w:val="24"/>
        </w:rPr>
        <w:fldChar w:fldCharType="separate"/>
      </w:r>
      <w:r w:rsidR="002C421B">
        <w:rPr>
          <w:b/>
          <w:noProof/>
          <w:szCs w:val="24"/>
        </w:rPr>
        <w:t>5</w:t>
      </w:r>
      <w:r w:rsidR="002C421B" w:rsidRPr="004046DB">
        <w:rPr>
          <w:b/>
          <w:szCs w:val="24"/>
        </w:rPr>
        <w:fldChar w:fldCharType="end"/>
      </w:r>
      <w:r w:rsidR="002C421B">
        <w:rPr>
          <w:b/>
          <w:szCs w:val="24"/>
        </w:rPr>
        <w:t xml:space="preserve">:  </w:t>
      </w:r>
      <w:r>
        <w:rPr>
          <w:b/>
          <w:szCs w:val="24"/>
        </w:rPr>
        <w:t>Final DNR Mapping to Network Loads</w:t>
      </w:r>
      <w:bookmarkEnd w:id="7047"/>
    </w:p>
    <w:p w14:paraId="75CFCC5F" w14:textId="77777777" w:rsidR="00736EDE" w:rsidRDefault="00736EDE" w:rsidP="00736EDE">
      <w:pPr>
        <w:pStyle w:val="ListParagraph"/>
        <w:spacing w:before="120" w:line="300" w:lineRule="auto"/>
        <w:ind w:left="0"/>
        <w:contextualSpacing w:val="0"/>
        <w:jc w:val="center"/>
        <w:rPr>
          <w:szCs w:val="24"/>
        </w:rPr>
      </w:pPr>
    </w:p>
    <w:p w14:paraId="3FE0617B" w14:textId="77777777" w:rsidR="00736EDE" w:rsidRDefault="00736EDE" w:rsidP="00736EDE">
      <w:pPr>
        <w:pStyle w:val="ListParagraph"/>
        <w:spacing w:before="120" w:line="300" w:lineRule="auto"/>
        <w:ind w:left="0"/>
        <w:contextualSpacing w:val="0"/>
        <w:jc w:val="center"/>
        <w:rPr>
          <w:szCs w:val="24"/>
        </w:rPr>
      </w:pPr>
      <w:r>
        <w:rPr>
          <w:noProof/>
          <w14:ligatures w14:val="standardContextual"/>
        </w:rPr>
        <w:drawing>
          <wp:inline distT="0" distB="0" distL="0" distR="0" wp14:anchorId="3D9B84D1" wp14:editId="124313C8">
            <wp:extent cx="6569300" cy="2095017"/>
            <wp:effectExtent l="0" t="0" r="3175" b="635"/>
            <wp:docPr id="553986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8645" name="Picture 1" descr="Table&#10;&#10;Description automatically generated"/>
                    <pic:cNvPicPr/>
                  </pic:nvPicPr>
                  <pic:blipFill>
                    <a:blip r:embed="rId96"/>
                    <a:stretch>
                      <a:fillRect/>
                    </a:stretch>
                  </pic:blipFill>
                  <pic:spPr>
                    <a:xfrm>
                      <a:off x="0" y="0"/>
                      <a:ext cx="6588391" cy="2101105"/>
                    </a:xfrm>
                    <a:prstGeom prst="rect">
                      <a:avLst/>
                    </a:prstGeom>
                  </pic:spPr>
                </pic:pic>
              </a:graphicData>
            </a:graphic>
          </wp:inline>
        </w:drawing>
      </w:r>
    </w:p>
    <w:p w14:paraId="1E088706" w14:textId="77777777" w:rsidR="00736EDE" w:rsidRDefault="00736EDE" w:rsidP="00736EDE">
      <w:pPr>
        <w:pStyle w:val="ListParagraph"/>
        <w:spacing w:before="120" w:line="300" w:lineRule="auto"/>
        <w:ind w:left="0"/>
        <w:contextualSpacing w:val="0"/>
        <w:rPr>
          <w:szCs w:val="24"/>
        </w:rPr>
      </w:pPr>
    </w:p>
    <w:p w14:paraId="4830B4C4" w14:textId="2C7807EC" w:rsidR="00736EDE" w:rsidRPr="00251A4F" w:rsidRDefault="00736EDE" w:rsidP="00FE7AA5">
      <w:pPr>
        <w:pStyle w:val="Heading2"/>
      </w:pPr>
      <w:bookmarkStart w:id="7048" w:name="_Toc152335929"/>
      <w:bookmarkStart w:id="7049" w:name="_Ref212619489"/>
      <w:bookmarkStart w:id="7050" w:name="_Toc213772005"/>
      <w:r w:rsidRPr="00251A4F">
        <w:t>Coordinated Interchange Scheduling Limits</w:t>
      </w:r>
      <w:bookmarkEnd w:id="7048"/>
      <w:bookmarkEnd w:id="7049"/>
      <w:bookmarkEnd w:id="7050"/>
      <w:r w:rsidRPr="00251A4F">
        <w:t xml:space="preserve"> </w:t>
      </w:r>
    </w:p>
    <w:p w14:paraId="0170B137" w14:textId="77777777" w:rsidR="0045787F" w:rsidRDefault="0045787F" w:rsidP="0045787F">
      <w:pPr>
        <w:spacing w:before="120" w:line="300" w:lineRule="auto"/>
        <w:rPr>
          <w:rFonts w:eastAsiaTheme="minorEastAsia"/>
          <w:szCs w:val="24"/>
        </w:rPr>
      </w:pPr>
      <w:r>
        <w:rPr>
          <w:rFonts w:eastAsiaTheme="minorEastAsia"/>
          <w:szCs w:val="24"/>
        </w:rPr>
        <w:t>Each P</w:t>
      </w:r>
      <w:r w:rsidRPr="00357724">
        <w:rPr>
          <w:rFonts w:eastAsiaTheme="minorEastAsia"/>
          <w:szCs w:val="24"/>
        </w:rPr>
        <w:t xml:space="preserve">articipating </w:t>
      </w:r>
      <w:r>
        <w:rPr>
          <w:rFonts w:eastAsiaTheme="minorEastAsia"/>
          <w:szCs w:val="24"/>
        </w:rPr>
        <w:t>B</w:t>
      </w:r>
      <w:r w:rsidRPr="00357724">
        <w:rPr>
          <w:rFonts w:eastAsiaTheme="minorEastAsia"/>
          <w:szCs w:val="24"/>
        </w:rPr>
        <w:t xml:space="preserve">alancing </w:t>
      </w:r>
      <w:r>
        <w:rPr>
          <w:rFonts w:eastAsiaTheme="minorEastAsia"/>
          <w:szCs w:val="24"/>
        </w:rPr>
        <w:t>A</w:t>
      </w:r>
      <w:r w:rsidRPr="00357724">
        <w:rPr>
          <w:rFonts w:eastAsiaTheme="minorEastAsia"/>
          <w:szCs w:val="24"/>
        </w:rPr>
        <w:t xml:space="preserve">uthority </w:t>
      </w:r>
      <w:r>
        <w:rPr>
          <w:rFonts w:eastAsiaTheme="minorEastAsia"/>
          <w:szCs w:val="24"/>
        </w:rPr>
        <w:t>A</w:t>
      </w:r>
      <w:r w:rsidRPr="00357724">
        <w:rPr>
          <w:rFonts w:eastAsiaTheme="minorEastAsia"/>
          <w:szCs w:val="24"/>
        </w:rPr>
        <w:t xml:space="preserve">rea (BAA) </w:t>
      </w:r>
      <w:r>
        <w:rPr>
          <w:rFonts w:eastAsiaTheme="minorEastAsia"/>
          <w:szCs w:val="24"/>
        </w:rPr>
        <w:t>must have</w:t>
      </w:r>
      <w:r w:rsidRPr="00357724">
        <w:rPr>
          <w:rFonts w:eastAsiaTheme="minorEastAsia"/>
          <w:szCs w:val="24"/>
        </w:rPr>
        <w:t xml:space="preserve"> </w:t>
      </w:r>
      <w:r>
        <w:rPr>
          <w:rFonts w:eastAsiaTheme="minorEastAsia"/>
          <w:szCs w:val="24"/>
        </w:rPr>
        <w:t>at least one</w:t>
      </w:r>
      <w:r w:rsidRPr="00357724">
        <w:rPr>
          <w:rFonts w:eastAsiaTheme="minorEastAsia"/>
          <w:szCs w:val="24"/>
        </w:rPr>
        <w:t xml:space="preserve"> </w:t>
      </w:r>
      <w:r>
        <w:rPr>
          <w:rFonts w:eastAsiaTheme="minorEastAsia"/>
          <w:szCs w:val="24"/>
        </w:rPr>
        <w:t>Market Transfer Interface</w:t>
      </w:r>
      <w:r w:rsidRPr="00357724">
        <w:rPr>
          <w:rFonts w:eastAsiaTheme="minorEastAsia"/>
          <w:szCs w:val="24"/>
        </w:rPr>
        <w:t xml:space="preserve"> </w:t>
      </w:r>
      <w:r>
        <w:rPr>
          <w:rFonts w:eastAsiaTheme="minorEastAsia"/>
          <w:szCs w:val="24"/>
        </w:rPr>
        <w:t>between each of its adjacent</w:t>
      </w:r>
      <w:r w:rsidRPr="00357724">
        <w:rPr>
          <w:rFonts w:eastAsiaTheme="minorEastAsia"/>
          <w:szCs w:val="24"/>
        </w:rPr>
        <w:t xml:space="preserve"> </w:t>
      </w:r>
      <w:r>
        <w:rPr>
          <w:rFonts w:eastAsiaTheme="minorEastAsia"/>
          <w:szCs w:val="24"/>
        </w:rPr>
        <w:t>Participating Balancing Authority Area(s). Each Balancing Authority may submit a Coordinated Interchange Scheduling Limit for each Market Transfer Interface to which market optimized interchange will be allocated among the Participating BAAs. For each Market Opt-In Transfer interface, each BA may a</w:t>
      </w:r>
      <w:r w:rsidRPr="00512AD9">
        <w:rPr>
          <w:szCs w:val="24"/>
        </w:rPr>
        <w:t>l</w:t>
      </w:r>
      <w:r>
        <w:rPr>
          <w:rFonts w:eastAsiaTheme="minorEastAsia"/>
          <w:szCs w:val="24"/>
        </w:rPr>
        <w:t xml:space="preserve">so submit </w:t>
      </w:r>
      <w:r w:rsidRPr="00357724">
        <w:rPr>
          <w:szCs w:val="24"/>
        </w:rPr>
        <w:t>l</w:t>
      </w:r>
      <w:r>
        <w:rPr>
          <w:rFonts w:eastAsiaTheme="minorEastAsia"/>
          <w:szCs w:val="24"/>
        </w:rPr>
        <w:t>imits, but the available</w:t>
      </w:r>
      <w:r>
        <w:rPr>
          <w:szCs w:val="24"/>
        </w:rPr>
        <w:t xml:space="preserve"> transmission capacity of the tags wi</w:t>
      </w:r>
      <w:r w:rsidRPr="00357724">
        <w:rPr>
          <w:szCs w:val="24"/>
        </w:rPr>
        <w:t>ll</w:t>
      </w:r>
      <w:r>
        <w:rPr>
          <w:szCs w:val="24"/>
        </w:rPr>
        <w:t xml:space="preserve"> be an automatic </w:t>
      </w:r>
      <w:r w:rsidRPr="00357724">
        <w:rPr>
          <w:szCs w:val="24"/>
        </w:rPr>
        <w:t>l</w:t>
      </w:r>
      <w:r>
        <w:rPr>
          <w:szCs w:val="24"/>
        </w:rPr>
        <w:t>imiter.</w:t>
      </w:r>
      <w:r>
        <w:rPr>
          <w:rFonts w:eastAsiaTheme="minorEastAsia"/>
          <w:szCs w:val="24"/>
        </w:rPr>
        <w:t xml:space="preserve">  </w:t>
      </w:r>
      <w:r w:rsidRPr="00357724">
        <w:rPr>
          <w:rFonts w:eastAsiaTheme="minorEastAsia"/>
          <w:szCs w:val="24"/>
        </w:rPr>
        <w:t xml:space="preserve"> </w:t>
      </w:r>
      <w:r>
        <w:rPr>
          <w:rFonts w:eastAsiaTheme="minorEastAsia"/>
          <w:szCs w:val="24"/>
        </w:rPr>
        <w:t xml:space="preserve">Each BA may also define one or more BAA Scheduling Constraints </w:t>
      </w:r>
      <w:r w:rsidRPr="00357724">
        <w:rPr>
          <w:rFonts w:eastAsiaTheme="minorEastAsia"/>
          <w:szCs w:val="24"/>
        </w:rPr>
        <w:t>that cannot be otherwise modeled as a normal flow-based constraint</w:t>
      </w:r>
      <w:r>
        <w:rPr>
          <w:rFonts w:eastAsiaTheme="minorEastAsia"/>
          <w:szCs w:val="24"/>
        </w:rPr>
        <w:t>.  Each BAA must submit Coordinated Interchange Scheduling Limits for each of its BAA Scheduling Constraints. If a constraint with a Coordinated Interchange Scheduling Limit becomes binding in the Day-Ahead Market solution with a non-zero shadow price:</w:t>
      </w:r>
      <w:r w:rsidRPr="00357724">
        <w:rPr>
          <w:rFonts w:eastAsiaTheme="minorEastAsia"/>
          <w:szCs w:val="24"/>
        </w:rPr>
        <w:t xml:space="preserve"> </w:t>
      </w:r>
    </w:p>
    <w:p w14:paraId="5B4B43B3" w14:textId="3F1291E2" w:rsidR="0045787F" w:rsidRPr="00512AD9" w:rsidRDefault="0045787F" w:rsidP="0045787F">
      <w:pPr>
        <w:pStyle w:val="ListParagraph"/>
        <w:numPr>
          <w:ilvl w:val="0"/>
          <w:numId w:val="275"/>
        </w:numPr>
        <w:spacing w:before="120" w:line="300" w:lineRule="auto"/>
        <w:ind w:left="720" w:hanging="720"/>
        <w:contextualSpacing w:val="0"/>
        <w:rPr>
          <w:szCs w:val="24"/>
        </w:rPr>
      </w:pPr>
      <w:r>
        <w:rPr>
          <w:rFonts w:eastAsiaTheme="minorEastAsia"/>
          <w:szCs w:val="24"/>
        </w:rPr>
        <w:t>The Market Operator</w:t>
      </w:r>
      <w:r w:rsidRPr="00357724">
        <w:rPr>
          <w:rFonts w:eastAsiaTheme="minorEastAsia"/>
          <w:szCs w:val="24"/>
        </w:rPr>
        <w:t xml:space="preserve"> will </w:t>
      </w:r>
      <w:r w:rsidRPr="00357724">
        <w:rPr>
          <w:szCs w:val="24"/>
        </w:rPr>
        <w:t xml:space="preserve">separate the congestion rent available for allocation on the binding constraint, as calculated </w:t>
      </w:r>
      <w:r w:rsidR="005E608C">
        <w:rPr>
          <w:szCs w:val="24"/>
        </w:rPr>
        <w:t>as described in the Markets+ Settlement Calculation Guide</w:t>
      </w:r>
      <w:r>
        <w:rPr>
          <w:szCs w:val="24"/>
        </w:rPr>
        <w:t xml:space="preserve">, </w:t>
      </w:r>
      <w:r w:rsidRPr="00357724">
        <w:rPr>
          <w:szCs w:val="24"/>
        </w:rPr>
        <w:t xml:space="preserve">into an export share and an import share. The export share will be associated with Congestion Rent Eligible Transmission Service Reservations to the coordinated scheduling location and will be distributed </w:t>
      </w:r>
      <w:r w:rsidR="005E608C">
        <w:rPr>
          <w:szCs w:val="24"/>
        </w:rPr>
        <w:t>as described in the Markets+ Settlement Calculation Guide</w:t>
      </w:r>
      <w:r w:rsidRPr="00357724">
        <w:rPr>
          <w:szCs w:val="24"/>
        </w:rPr>
        <w:t xml:space="preserve">. </w:t>
      </w:r>
      <w:r>
        <w:rPr>
          <w:szCs w:val="24"/>
        </w:rPr>
        <w:t xml:space="preserve">For BAA Scheduling Constraints, the export and import coordinated scheduling locations will be determined by the underlying MTI and MOTIs included in the definition which are in the same direction as the constraint.  </w:t>
      </w:r>
      <w:r w:rsidRPr="00357724">
        <w:rPr>
          <w:szCs w:val="24"/>
        </w:rPr>
        <w:t>The import share will be associated with Congestion Rent Eligible Transmission Servic</w:t>
      </w:r>
      <w:r w:rsidRPr="00512AD9">
        <w:rPr>
          <w:szCs w:val="24"/>
        </w:rPr>
        <w:t>e Reservations from the coordinated scheduling location</w:t>
      </w:r>
      <w:r>
        <w:rPr>
          <w:szCs w:val="24"/>
        </w:rPr>
        <w:t>s</w:t>
      </w:r>
      <w:r w:rsidRPr="00512AD9">
        <w:rPr>
          <w:szCs w:val="24"/>
        </w:rPr>
        <w:t xml:space="preserve"> and will be allocated </w:t>
      </w:r>
      <w:r w:rsidR="005E608C">
        <w:rPr>
          <w:szCs w:val="24"/>
        </w:rPr>
        <w:t>as described in the Markets+ Settlement Calculation Guide</w:t>
      </w:r>
      <w:r w:rsidRPr="00512AD9">
        <w:rPr>
          <w:szCs w:val="24"/>
        </w:rPr>
        <w:t xml:space="preserve">.  </w:t>
      </w:r>
    </w:p>
    <w:p w14:paraId="7171171F" w14:textId="550556F0" w:rsidR="0045787F" w:rsidRPr="00BD387C" w:rsidRDefault="0045787F" w:rsidP="0045787F">
      <w:pPr>
        <w:pStyle w:val="ListParagraph"/>
        <w:numPr>
          <w:ilvl w:val="0"/>
          <w:numId w:val="275"/>
        </w:numPr>
        <w:spacing w:before="120" w:line="300" w:lineRule="auto"/>
        <w:ind w:left="720" w:hanging="720"/>
        <w:contextualSpacing w:val="0"/>
        <w:rPr>
          <w:szCs w:val="24"/>
        </w:rPr>
      </w:pPr>
      <w:r w:rsidRPr="00512AD9">
        <w:rPr>
          <w:szCs w:val="24"/>
        </w:rPr>
        <w:t xml:space="preserve">For the Coordinated Interchange Scheduling Limit as described in (1) above, </w:t>
      </w:r>
      <w:r>
        <w:rPr>
          <w:szCs w:val="24"/>
        </w:rPr>
        <w:t>the Market Operator</w:t>
      </w:r>
      <w:r w:rsidRPr="00512AD9">
        <w:rPr>
          <w:szCs w:val="24"/>
        </w:rPr>
        <w:t xml:space="preserve"> will allocate fifty percent (50%) of the congestion rent available for allocation on the binding constraint, as calculated </w:t>
      </w:r>
      <w:r w:rsidR="000243AD">
        <w:rPr>
          <w:szCs w:val="24"/>
        </w:rPr>
        <w:t>as described in the Markets+ Settlement Calculation Guide</w:t>
      </w:r>
      <w:r w:rsidRPr="006A4AFE">
        <w:rPr>
          <w:szCs w:val="24"/>
        </w:rPr>
        <w:t xml:space="preserve">,  to the export share and fifty percent (50%) to the import share, provided that the applicable Markets+ Transmission Service Providers and/or </w:t>
      </w:r>
      <w:r>
        <w:rPr>
          <w:szCs w:val="24"/>
        </w:rPr>
        <w:t>Participating</w:t>
      </w:r>
      <w:r w:rsidRPr="006A4AFE">
        <w:rPr>
          <w:szCs w:val="24"/>
        </w:rPr>
        <w:t xml:space="preserve"> BA associated with a Coordinated Interchange Scheduling Limit may mutually a</w:t>
      </w:r>
      <w:r w:rsidRPr="00BD387C">
        <w:rPr>
          <w:szCs w:val="24"/>
        </w:rPr>
        <w:t xml:space="preserve">gree and instruct </w:t>
      </w:r>
      <w:r>
        <w:rPr>
          <w:szCs w:val="24"/>
        </w:rPr>
        <w:t>the Market Operator</w:t>
      </w:r>
      <w:r w:rsidRPr="00BD387C">
        <w:rPr>
          <w:szCs w:val="24"/>
        </w:rPr>
        <w:t xml:space="preserve"> to use a different sharing ratio that better reflects the particular arrangement associated with the constraint. </w:t>
      </w:r>
    </w:p>
    <w:p w14:paraId="5C5F3430" w14:textId="77777777" w:rsidR="00736EDE" w:rsidRPr="00C6557C" w:rsidRDefault="00736EDE" w:rsidP="00DA3CE7">
      <w:pPr>
        <w:pStyle w:val="ListParagraph"/>
        <w:numPr>
          <w:ilvl w:val="0"/>
          <w:numId w:val="275"/>
        </w:numPr>
        <w:spacing w:before="120" w:line="300" w:lineRule="auto"/>
        <w:ind w:left="720" w:hanging="720"/>
        <w:contextualSpacing w:val="0"/>
      </w:pPr>
      <w:r w:rsidRPr="00331C72">
        <w:rPr>
          <w:szCs w:val="24"/>
        </w:rPr>
        <w:t xml:space="preserve">The Market Operator will maintain a list of all the Coordinated Interchange Scheduling Limits that will be activated on its public website. </w:t>
      </w:r>
    </w:p>
    <w:p w14:paraId="4B61F56C" w14:textId="48E506B6" w:rsidR="007A00C3" w:rsidRDefault="00736EDE" w:rsidP="00DA3CE7">
      <w:pPr>
        <w:pStyle w:val="ListParagraph"/>
        <w:numPr>
          <w:ilvl w:val="0"/>
          <w:numId w:val="275"/>
        </w:numPr>
        <w:spacing w:before="120" w:line="300" w:lineRule="auto"/>
        <w:ind w:left="720" w:hanging="720"/>
        <w:contextualSpacing w:val="0"/>
        <w:rPr>
          <w:szCs w:val="24"/>
        </w:rPr>
      </w:pPr>
      <w:r>
        <w:rPr>
          <w:szCs w:val="24"/>
        </w:rPr>
        <w:t xml:space="preserve">Identification of the Coordinated Interchange Scheduling Limits and associated CRETSRs is included in the verification process described in Section </w:t>
      </w:r>
      <w:r w:rsidR="004D25E5">
        <w:rPr>
          <w:szCs w:val="24"/>
        </w:rPr>
        <w:fldChar w:fldCharType="begin"/>
      </w:r>
      <w:r w:rsidR="004D25E5">
        <w:rPr>
          <w:szCs w:val="24"/>
        </w:rPr>
        <w:instrText xml:space="preserve"> REF _Ref214885522 \r \h </w:instrText>
      </w:r>
      <w:r w:rsidR="004D25E5">
        <w:rPr>
          <w:szCs w:val="24"/>
        </w:rPr>
      </w:r>
      <w:r w:rsidR="004D25E5">
        <w:rPr>
          <w:szCs w:val="24"/>
        </w:rPr>
        <w:fldChar w:fldCharType="separate"/>
      </w:r>
      <w:r w:rsidR="004D25E5">
        <w:rPr>
          <w:szCs w:val="24"/>
        </w:rPr>
        <w:t>6.1</w:t>
      </w:r>
      <w:r w:rsidR="004D25E5">
        <w:rPr>
          <w:szCs w:val="24"/>
        </w:rPr>
        <w:fldChar w:fldCharType="end"/>
      </w:r>
      <w:r w:rsidR="0045787F">
        <w:rPr>
          <w:szCs w:val="24"/>
        </w:rPr>
        <w:t>.</w:t>
      </w:r>
    </w:p>
    <w:p w14:paraId="25F85022" w14:textId="77777777" w:rsidR="004449F7" w:rsidRPr="00251A4F" w:rsidRDefault="004449F7" w:rsidP="00FE7AA5">
      <w:pPr>
        <w:pStyle w:val="Heading2"/>
      </w:pPr>
      <w:bookmarkStart w:id="7051" w:name="_Toc213772006"/>
      <w:r w:rsidRPr="00251A4F">
        <w:t>Co</w:t>
      </w:r>
      <w:r>
        <w:t>ngestion Rent Reporting</w:t>
      </w:r>
      <w:bookmarkEnd w:id="7051"/>
    </w:p>
    <w:p w14:paraId="4226FFCB" w14:textId="153F3F93" w:rsidR="004449F7" w:rsidRDefault="004449F7" w:rsidP="00067800">
      <w:pPr>
        <w:spacing w:before="120" w:line="300" w:lineRule="auto"/>
      </w:pPr>
      <w:r>
        <w:t xml:space="preserve">The Market Operator will provide Congestion Rent metrics and performance reviews in accordance with the Congestion Rent Monitoring Approach document posted publicly to the </w:t>
      </w:r>
      <w:r w:rsidR="005B6A88">
        <w:t>Market Operator website</w:t>
      </w:r>
      <w:r>
        <w:t xml:space="preserve">. </w:t>
      </w:r>
    </w:p>
    <w:p w14:paraId="6D0E1111" w14:textId="77777777" w:rsidR="004449F7" w:rsidRPr="004449F7" w:rsidRDefault="004449F7" w:rsidP="004449F7">
      <w:pPr>
        <w:spacing w:before="360" w:after="240" w:line="300" w:lineRule="auto"/>
        <w:rPr>
          <w:szCs w:val="24"/>
        </w:rPr>
      </w:pPr>
    </w:p>
    <w:p w14:paraId="27E0F6B6" w14:textId="77777777" w:rsidR="007A00C3" w:rsidRDefault="007A00C3">
      <w:pPr>
        <w:spacing w:after="0"/>
        <w:jc w:val="left"/>
        <w:rPr>
          <w:szCs w:val="24"/>
        </w:rPr>
      </w:pPr>
      <w:r>
        <w:rPr>
          <w:szCs w:val="24"/>
        </w:rPr>
        <w:br w:type="page"/>
      </w:r>
    </w:p>
    <w:p w14:paraId="0EAA1BCA" w14:textId="5ABA8070" w:rsidR="001B4702" w:rsidRPr="00B07B5B" w:rsidRDefault="001B4702" w:rsidP="00E94CBF">
      <w:pPr>
        <w:pStyle w:val="Heading1"/>
      </w:pPr>
      <w:bookmarkStart w:id="7052" w:name="_Toc213772007"/>
      <w:r w:rsidRPr="00B07B5B">
        <w:t>Market Transmission Use</w:t>
      </w:r>
      <w:bookmarkEnd w:id="7052"/>
    </w:p>
    <w:p w14:paraId="6091A457" w14:textId="77777777" w:rsidR="00FF069D" w:rsidRPr="00FF069D" w:rsidRDefault="00FF069D" w:rsidP="00FF069D">
      <w:pPr>
        <w:pStyle w:val="ListParagraph"/>
        <w:keepNext/>
        <w:numPr>
          <w:ilvl w:val="0"/>
          <w:numId w:val="429"/>
        </w:numPr>
        <w:spacing w:after="240"/>
        <w:contextualSpacing w:val="0"/>
        <w:outlineLvl w:val="0"/>
        <w:rPr>
          <w:b/>
          <w:vanish/>
          <w:kern w:val="28"/>
          <w:sz w:val="34"/>
        </w:rPr>
      </w:pPr>
      <w:bookmarkStart w:id="7053" w:name="_Toc212633478"/>
      <w:bookmarkStart w:id="7054" w:name="_Toc212634159"/>
      <w:bookmarkStart w:id="7055" w:name="_Toc213746543"/>
      <w:bookmarkStart w:id="7056" w:name="_Toc213772008"/>
      <w:bookmarkEnd w:id="7053"/>
      <w:bookmarkEnd w:id="7054"/>
      <w:bookmarkEnd w:id="7055"/>
      <w:bookmarkEnd w:id="7056"/>
    </w:p>
    <w:p w14:paraId="049BA8EE" w14:textId="77777777" w:rsidR="00FF069D" w:rsidRPr="00FF069D" w:rsidRDefault="00FF069D" w:rsidP="00FF069D">
      <w:pPr>
        <w:pStyle w:val="ListParagraph"/>
        <w:keepNext/>
        <w:numPr>
          <w:ilvl w:val="0"/>
          <w:numId w:val="429"/>
        </w:numPr>
        <w:spacing w:after="240"/>
        <w:contextualSpacing w:val="0"/>
        <w:outlineLvl w:val="0"/>
        <w:rPr>
          <w:b/>
          <w:vanish/>
          <w:kern w:val="28"/>
          <w:sz w:val="34"/>
        </w:rPr>
      </w:pPr>
      <w:bookmarkStart w:id="7057" w:name="_Toc212633479"/>
      <w:bookmarkStart w:id="7058" w:name="_Toc212634160"/>
      <w:bookmarkStart w:id="7059" w:name="_Toc213746544"/>
      <w:bookmarkStart w:id="7060" w:name="_Toc213772009"/>
      <w:bookmarkEnd w:id="7057"/>
      <w:bookmarkEnd w:id="7058"/>
      <w:bookmarkEnd w:id="7059"/>
      <w:bookmarkEnd w:id="7060"/>
    </w:p>
    <w:p w14:paraId="1771879B" w14:textId="4E5A9890" w:rsidR="001B4702" w:rsidRDefault="001B4702" w:rsidP="00A20A63">
      <w:pPr>
        <w:pStyle w:val="Heading2"/>
      </w:pPr>
      <w:bookmarkStart w:id="7061" w:name="_Toc213772010"/>
      <w:r>
        <w:t>General</w:t>
      </w:r>
      <w:bookmarkEnd w:id="7061"/>
    </w:p>
    <w:p w14:paraId="42AEF517" w14:textId="06E3487A" w:rsidR="001B4702" w:rsidRDefault="001B4702" w:rsidP="001B4702">
      <w:pPr>
        <w:spacing w:before="120" w:line="300" w:lineRule="auto"/>
        <w:rPr>
          <w:color w:val="000000"/>
        </w:rPr>
      </w:pPr>
      <w:r>
        <w:rPr>
          <w:color w:val="000000"/>
        </w:rPr>
        <w:t>The Market Operator will calculate, collect, and distribute Market Transmission Use (MTU) charges.  Markets+ Transmission Service Providers (MTSP) participating in the Markets+ Footprint will be eligible for compensation for potential lost revenues associated with transmission capacity used in the market.  Compensation will be calculated and distributed through a rate charged to Market Participants for capacity that might otherwise be sold as short-term firm and non-firm point-to-point.</w:t>
      </w:r>
    </w:p>
    <w:p w14:paraId="2D45004D" w14:textId="77777777" w:rsidR="001B4702" w:rsidRDefault="001B4702" w:rsidP="001B4702">
      <w:pPr>
        <w:spacing w:before="120" w:line="300" w:lineRule="auto"/>
        <w:rPr>
          <w:color w:val="000000"/>
        </w:rPr>
      </w:pPr>
      <w:r>
        <w:rPr>
          <w:color w:val="000000"/>
        </w:rPr>
        <w:t>MTU Charges will be assessed to Market Participants based on total MWh of generation and load, including imports and exports, cleared in the Day-Ahead Market activities, and to Market Participants with generation, load, import, and export MWh settled through Real-Time Balancing Market activities.</w:t>
      </w:r>
    </w:p>
    <w:p w14:paraId="0D517AF6" w14:textId="77777777" w:rsidR="001B4702" w:rsidRDefault="001B4702" w:rsidP="00A20A63">
      <w:pPr>
        <w:pStyle w:val="Heading2"/>
      </w:pPr>
      <w:bookmarkStart w:id="7062" w:name="_Toc213772011"/>
      <w:r>
        <w:t>Rate Formula</w:t>
      </w:r>
      <w:bookmarkEnd w:id="7062"/>
    </w:p>
    <w:p w14:paraId="7CE6641E" w14:textId="4958E24C" w:rsidR="001B4702" w:rsidRDefault="001B4702" w:rsidP="001B4702">
      <w:pPr>
        <w:spacing w:before="120" w:line="300" w:lineRule="auto"/>
        <w:rPr>
          <w:color w:val="000000"/>
        </w:rPr>
      </w:pPr>
      <w:r>
        <w:rPr>
          <w:color w:val="000000"/>
        </w:rPr>
        <w:t xml:space="preserve">Annually, the Market Operator will determine the MTU rate for each </w:t>
      </w:r>
      <w:r w:rsidR="00364EA3">
        <w:rPr>
          <w:color w:val="000000"/>
        </w:rPr>
        <w:t>R</w:t>
      </w:r>
      <w:r>
        <w:rPr>
          <w:color w:val="000000"/>
        </w:rPr>
        <w:t xml:space="preserve">ate </w:t>
      </w:r>
      <w:r w:rsidR="00364EA3">
        <w:rPr>
          <w:color w:val="000000"/>
        </w:rPr>
        <w:t>Y</w:t>
      </w:r>
      <w:r>
        <w:rPr>
          <w:color w:val="000000"/>
        </w:rPr>
        <w:t>ear as described in Attachment A</w:t>
      </w:r>
      <w:r w:rsidDel="000B4367">
        <w:rPr>
          <w:color w:val="000000"/>
        </w:rPr>
        <w:t>, Appendix 2</w:t>
      </w:r>
      <w:r>
        <w:rPr>
          <w:color w:val="000000"/>
        </w:rPr>
        <w:t xml:space="preserve"> of the Markets+ Tariff.</w:t>
      </w:r>
    </w:p>
    <w:p w14:paraId="4A948582" w14:textId="77777777" w:rsidR="001B4702" w:rsidRDefault="001B4702" w:rsidP="00A20A63">
      <w:pPr>
        <w:pStyle w:val="Heading2"/>
      </w:pPr>
      <w:bookmarkStart w:id="7063" w:name="_Toc213772012"/>
      <w:r>
        <w:t>Market Transmission Use Charges for Market Activity in the Real-Time Balancing Market (RTBM)</w:t>
      </w:r>
      <w:bookmarkEnd w:id="7063"/>
    </w:p>
    <w:p w14:paraId="3139D75C" w14:textId="71EE51E7" w:rsidR="001B4702" w:rsidRDefault="001B4702" w:rsidP="001B4702">
      <w:pPr>
        <w:spacing w:before="120" w:line="300" w:lineRule="auto"/>
        <w:rPr>
          <w:color w:val="000000"/>
        </w:rPr>
      </w:pPr>
      <w:r>
        <w:rPr>
          <w:color w:val="000000"/>
        </w:rPr>
        <w:t>Each Market Participant will pay an MTU Charge, which will be determined in Real-Time Balancing Market (RTBM) settlement activities by multiplying its RTBM MWh for all market activities (Generation, Load, Imports, and Exports) by the applicable Region-Wide Market Transmission Use Rate (RWMTURt) specified in Attachment A</w:t>
      </w:r>
      <w:r w:rsidDel="000B4367">
        <w:rPr>
          <w:color w:val="000000"/>
        </w:rPr>
        <w:t>, Appendix 2</w:t>
      </w:r>
      <w:r w:rsidR="000B4367">
        <w:rPr>
          <w:color w:val="000000"/>
        </w:rPr>
        <w:t xml:space="preserve"> </w:t>
      </w:r>
      <w:r>
        <w:rPr>
          <w:color w:val="000000"/>
        </w:rPr>
        <w:t xml:space="preserve">of the Markets+ Tariff. See </w:t>
      </w:r>
      <w:r w:rsidR="00B3422A">
        <w:rPr>
          <w:szCs w:val="24"/>
        </w:rPr>
        <w:t>the Markets+ Settlements</w:t>
      </w:r>
      <w:r w:rsidR="00BA0C4B">
        <w:rPr>
          <w:szCs w:val="24"/>
        </w:rPr>
        <w:t xml:space="preserve"> Calculation</w:t>
      </w:r>
      <w:r w:rsidR="00B3422A">
        <w:rPr>
          <w:szCs w:val="24"/>
        </w:rPr>
        <w:t xml:space="preserve"> Guide</w:t>
      </w:r>
      <w:r>
        <w:rPr>
          <w:color w:val="000000"/>
        </w:rPr>
        <w:t xml:space="preserve"> for calculation details.</w:t>
      </w:r>
    </w:p>
    <w:p w14:paraId="2882DFE3" w14:textId="77777777" w:rsidR="001B4702" w:rsidRDefault="001B4702" w:rsidP="00A20A63">
      <w:pPr>
        <w:pStyle w:val="Heading2"/>
      </w:pPr>
      <w:bookmarkStart w:id="7064" w:name="_Toc213772013"/>
      <w:r>
        <w:t>Market Transmission Use Revenue from Real-Time Balancing Market Settlement</w:t>
      </w:r>
      <w:bookmarkEnd w:id="7064"/>
    </w:p>
    <w:p w14:paraId="3D54EC12" w14:textId="0E7AB748" w:rsidR="001B4702" w:rsidRDefault="001B4702" w:rsidP="001B4702">
      <w:pPr>
        <w:spacing w:before="120" w:line="300" w:lineRule="auto"/>
        <w:rPr>
          <w:color w:val="000000"/>
        </w:rPr>
      </w:pPr>
      <w:r>
        <w:rPr>
          <w:color w:val="000000"/>
        </w:rPr>
        <w:t xml:space="preserve">Payments received by the Market Operator for MTU will be distributed to the </w:t>
      </w:r>
      <w:r w:rsidR="007570DA">
        <w:rPr>
          <w:color w:val="000000"/>
        </w:rPr>
        <w:t>MTSP</w:t>
      </w:r>
      <w:r>
        <w:rPr>
          <w:color w:val="000000"/>
        </w:rPr>
        <w:t xml:space="preserve">s whose </w:t>
      </w:r>
      <w:r w:rsidR="007570DA">
        <w:rPr>
          <w:color w:val="000000"/>
        </w:rPr>
        <w:t>MTSP</w:t>
      </w:r>
      <w:r>
        <w:rPr>
          <w:color w:val="000000"/>
        </w:rPr>
        <w:t>’s Revenue Recovery Amount (MTSPRRA) is included in the approved Region-Wide Revenue Recovery Amount (RWRRA) used as the numerator for the Region-Wide Market Transmission Use Rate (RWMTURt) as described in Attachment A</w:t>
      </w:r>
      <w:r w:rsidDel="000B4367">
        <w:rPr>
          <w:color w:val="000000"/>
        </w:rPr>
        <w:t>, Appendix 2</w:t>
      </w:r>
      <w:r w:rsidR="000B4367">
        <w:rPr>
          <w:color w:val="000000"/>
        </w:rPr>
        <w:t xml:space="preserve"> </w:t>
      </w:r>
      <w:r>
        <w:rPr>
          <w:color w:val="000000"/>
        </w:rPr>
        <w:t xml:space="preserve">of the Markets+ Tariff. </w:t>
      </w:r>
    </w:p>
    <w:p w14:paraId="7F40A92E" w14:textId="77777777" w:rsidR="001B4702" w:rsidRDefault="001B4702" w:rsidP="00A20A63">
      <w:pPr>
        <w:pStyle w:val="Heading2"/>
      </w:pPr>
      <w:bookmarkStart w:id="7065" w:name="_Toc213772014"/>
      <w:r>
        <w:t>Market Transmission Use Revenue Distribution from Real-Time Balancing Market Settlement</w:t>
      </w:r>
      <w:bookmarkEnd w:id="7065"/>
    </w:p>
    <w:p w14:paraId="6EA74C89" w14:textId="6918F463" w:rsidR="001B4702" w:rsidRDefault="001B4702" w:rsidP="001B4702">
      <w:pPr>
        <w:spacing w:before="120" w:line="300" w:lineRule="auto"/>
        <w:rPr>
          <w:color w:val="000000"/>
        </w:rPr>
      </w:pPr>
      <w:r>
        <w:rPr>
          <w:color w:val="000000"/>
        </w:rPr>
        <w:t>The Market Operator will distribute revenues it collects for MTU Charges to each MTSP whose Markets+ Transmission Service Provider Revenue Recovery Amount (MTSPRRA) is included in the approved Region-Wide Revenue Recovery Amount (RWRRA) for the Region-Wide Market Transmission Use Rate (RWMTURt) as described in Attachment A</w:t>
      </w:r>
      <w:r w:rsidDel="000B4367">
        <w:rPr>
          <w:color w:val="000000"/>
        </w:rPr>
        <w:t>, Appendix 2</w:t>
      </w:r>
      <w:r>
        <w:rPr>
          <w:color w:val="000000"/>
        </w:rPr>
        <w:t xml:space="preserve"> of the Markets+ Tariff in proportion to the MTSP’s respective share of the RWRRA, as adjusted in accordance </w:t>
      </w:r>
      <w:r w:rsidRPr="00EE742A">
        <w:rPr>
          <w:color w:val="000000"/>
        </w:rPr>
        <w:t xml:space="preserve">Section </w:t>
      </w:r>
      <w:r w:rsidR="00865F85">
        <w:rPr>
          <w:color w:val="000000"/>
        </w:rPr>
        <w:fldChar w:fldCharType="begin"/>
      </w:r>
      <w:r w:rsidR="00865F85">
        <w:rPr>
          <w:color w:val="000000"/>
        </w:rPr>
        <w:instrText xml:space="preserve"> REF _Ref212620275 \r \h </w:instrText>
      </w:r>
      <w:r w:rsidR="00865F85">
        <w:rPr>
          <w:color w:val="000000"/>
        </w:rPr>
      </w:r>
      <w:r w:rsidR="00865F85">
        <w:rPr>
          <w:color w:val="000000"/>
        </w:rPr>
        <w:fldChar w:fldCharType="separate"/>
      </w:r>
      <w:r w:rsidR="00865F85">
        <w:rPr>
          <w:color w:val="000000"/>
        </w:rPr>
        <w:t>7.6</w:t>
      </w:r>
      <w:r w:rsidR="00865F85">
        <w:rPr>
          <w:color w:val="000000"/>
        </w:rPr>
        <w:fldChar w:fldCharType="end"/>
      </w:r>
      <w:r w:rsidRPr="00EE742A">
        <w:rPr>
          <w:color w:val="000000"/>
        </w:rPr>
        <w:t xml:space="preserve"> below</w:t>
      </w:r>
      <w:r>
        <w:rPr>
          <w:color w:val="000000"/>
        </w:rPr>
        <w:t>. Distribution of MTU revenue will be included on each Markets+ Transmission Service Provider’s settlement invoice according to M</w:t>
      </w:r>
      <w:r w:rsidR="00D0252E">
        <w:rPr>
          <w:color w:val="000000"/>
        </w:rPr>
        <w:t xml:space="preserve">arket </w:t>
      </w:r>
      <w:r>
        <w:rPr>
          <w:color w:val="000000"/>
        </w:rPr>
        <w:t>O</w:t>
      </w:r>
      <w:r w:rsidR="00D0252E">
        <w:rPr>
          <w:color w:val="000000"/>
        </w:rPr>
        <w:t>perator</w:t>
      </w:r>
      <w:r>
        <w:rPr>
          <w:color w:val="000000"/>
        </w:rPr>
        <w:t xml:space="preserve">’s settlement timelines defined in Section </w:t>
      </w:r>
      <w:r w:rsidR="00865F85">
        <w:rPr>
          <w:color w:val="000000"/>
        </w:rPr>
        <w:fldChar w:fldCharType="begin"/>
      </w:r>
      <w:r w:rsidR="00865F85">
        <w:rPr>
          <w:color w:val="000000"/>
        </w:rPr>
        <w:instrText xml:space="preserve"> REF _Ref212620208 \r \h </w:instrText>
      </w:r>
      <w:r w:rsidR="00865F85">
        <w:rPr>
          <w:color w:val="000000"/>
        </w:rPr>
      </w:r>
      <w:r w:rsidR="00865F85">
        <w:rPr>
          <w:color w:val="000000"/>
        </w:rPr>
        <w:fldChar w:fldCharType="separate"/>
      </w:r>
      <w:r w:rsidR="00865F85">
        <w:rPr>
          <w:color w:val="000000"/>
        </w:rPr>
        <w:t>4.5.14</w:t>
      </w:r>
      <w:r w:rsidR="00865F85">
        <w:rPr>
          <w:color w:val="000000"/>
        </w:rPr>
        <w:fldChar w:fldCharType="end"/>
      </w:r>
      <w:r>
        <w:rPr>
          <w:color w:val="000000"/>
        </w:rPr>
        <w:t xml:space="preserve">. See </w:t>
      </w:r>
      <w:r w:rsidR="00865F85">
        <w:rPr>
          <w:color w:val="000000"/>
        </w:rPr>
        <w:t xml:space="preserve">the Markets+ Settlements Calculation Guide </w:t>
      </w:r>
      <w:r>
        <w:rPr>
          <w:color w:val="000000"/>
        </w:rPr>
        <w:t>for settlement calculation details.</w:t>
      </w:r>
    </w:p>
    <w:p w14:paraId="03FB9198" w14:textId="77777777" w:rsidR="001B4702" w:rsidRDefault="001B4702" w:rsidP="00A20A63">
      <w:pPr>
        <w:pStyle w:val="Heading2"/>
      </w:pPr>
      <w:bookmarkStart w:id="7066" w:name="_Ref212620275"/>
      <w:bookmarkStart w:id="7067" w:name="_Toc213772015"/>
      <w:r>
        <w:t>Market Transmission Use Revenue Crediting and Impacts to Future Year’s Recovery</w:t>
      </w:r>
      <w:bookmarkEnd w:id="7066"/>
      <w:bookmarkEnd w:id="7067"/>
    </w:p>
    <w:p w14:paraId="650D27EB" w14:textId="2CE03E89" w:rsidR="001B4702" w:rsidRDefault="001B4702" w:rsidP="001B4702">
      <w:pPr>
        <w:pStyle w:val="Normal00"/>
        <w:spacing w:before="120" w:after="120" w:line="300" w:lineRule="auto"/>
        <w:rPr>
          <w:color w:val="000000"/>
        </w:rPr>
      </w:pPr>
      <w:r>
        <w:t xml:space="preserve">In calculating the current rate year’s Markets+ Transmission Service Provider Revenue Recovery Amount (MTSPRRA) for MTU, the MTSP will net the under/over recovery of the prior year’s MTU revenue, compared to the prior year’s MTSPRRA amount, (defined as Markets+ Transmission Service Provider’s Prior-Year Market Transmission Use Offset (MTSPPYMO)) against the current year’s MTSPRRA amount for MTU recovery.  Should the prior calendar year’s MTSPPYMO being credited against the current year’s MTSPRRA reduce current year’s MTSPRRA to a negative amount, the current year’s MTSPRRA will be set equal to zero (0), as a floor, and the remaining balance of any prior calendar year’s MTSPPYMO not being captured will roll forward to the netting process in determining the following year’s allowable MTSPRRA (defined as MTSP’s Carryover Market Transmission Use Offset (MTSPPYMCO)).  Each Rate Year’s MTSPRRA will be netted against any MTSPPYMO and MTSPPYMCO amounts.  This carryover process would continue until the Rate Year MTSPRRA remains above zero (0) after all carryover amounts are realized. </w:t>
      </w:r>
    </w:p>
    <w:p w14:paraId="300D02B0" w14:textId="77777777" w:rsidR="001B4702" w:rsidRDefault="001B4702" w:rsidP="00A20A63">
      <w:pPr>
        <w:pStyle w:val="Heading2"/>
      </w:pPr>
      <w:bookmarkStart w:id="7068" w:name="_Toc213772016"/>
      <w:r>
        <w:t>Market Transmission Use Annual Rate Year Protocols</w:t>
      </w:r>
      <w:bookmarkEnd w:id="7068"/>
    </w:p>
    <w:p w14:paraId="7E2CDB1F" w14:textId="7D646B7A" w:rsidR="001B4702" w:rsidRDefault="001B4702" w:rsidP="001B4702">
      <w:pPr>
        <w:spacing w:before="120" w:line="300" w:lineRule="auto"/>
        <w:rPr>
          <w:rFonts w:cs="Arial"/>
          <w:iCs/>
          <w:szCs w:val="28"/>
        </w:rPr>
      </w:pPr>
      <w:r w:rsidRPr="00D10FCF">
        <w:t>According to the Markets+ Annual Formula Rate Implementation Protocols found in Attachment A</w:t>
      </w:r>
      <w:r w:rsidRPr="00D10FCF" w:rsidDel="000B4367">
        <w:t>, Appendix 2</w:t>
      </w:r>
      <w:r w:rsidRPr="00D10FCF">
        <w:t xml:space="preserve"> of the Markets+ Tariff, at the end of each Rate Year, the M</w:t>
      </w:r>
      <w:r w:rsidR="00800561">
        <w:t xml:space="preserve">arket </w:t>
      </w:r>
      <w:r w:rsidRPr="00D10FCF">
        <w:t>O</w:t>
      </w:r>
      <w:r w:rsidR="00800561">
        <w:t>perator</w:t>
      </w:r>
      <w:r w:rsidRPr="00D10FCF">
        <w:t xml:space="preserve"> will collect MTSPs</w:t>
      </w:r>
      <w:r w:rsidR="007D4B0B">
        <w:t>’</w:t>
      </w:r>
      <w:r w:rsidRPr="00D10FCF">
        <w:t xml:space="preserve"> completed formula rate templates and associated audited information to calculate the next Markets+ Region-Wide MTU rate as well as each individual MTSP’s next Rate Year’s Revenue Recovery Amount. The Formula Rate and the charges produced thereunder will be effective on and after [MONTH, DAY, YEAR] implementation of the Markets+ Tariff. Thereafter, the Formula Rate will be applicable on and after each calendar year (the “Rate Year”) after Markets+ implementation, according to the timeline as represented in the Annual Formula Rate Implementation Protocol process diagram </w:t>
      </w:r>
      <w:r w:rsidR="00F227A6">
        <w:t xml:space="preserve">shown in Exhibit 7-1 </w:t>
      </w:r>
      <w:r w:rsidRPr="00D10FCF">
        <w:t>below. The diagram presents a high-level visualization of the parties involved in the process as well as the incremental steps and timelines to implement</w:t>
      </w:r>
      <w:r>
        <w:rPr>
          <w:rFonts w:cs="Arial"/>
          <w:iCs/>
          <w:szCs w:val="28"/>
        </w:rPr>
        <w:t xml:space="preserve"> the next Rate Year’s formula rate. Additional details about this process can be found in </w:t>
      </w:r>
      <w:r>
        <w:rPr>
          <w:color w:val="000000"/>
        </w:rPr>
        <w:t>Attachment A</w:t>
      </w:r>
      <w:r w:rsidDel="000B4367">
        <w:rPr>
          <w:color w:val="000000"/>
        </w:rPr>
        <w:t xml:space="preserve">, Appendix 2 </w:t>
      </w:r>
      <w:r>
        <w:rPr>
          <w:color w:val="000000"/>
        </w:rPr>
        <w:t xml:space="preserve">of the </w:t>
      </w:r>
      <w:r>
        <w:rPr>
          <w:rFonts w:cs="Arial"/>
          <w:iCs/>
          <w:szCs w:val="28"/>
        </w:rPr>
        <w:t>Markets+ Tariff.</w:t>
      </w:r>
    </w:p>
    <w:p w14:paraId="333FBCDC" w14:textId="2D39814F" w:rsidR="00CB6877" w:rsidRDefault="00CB6877" w:rsidP="00CB6877">
      <w:pPr>
        <w:spacing w:before="120" w:line="300" w:lineRule="auto"/>
        <w:jc w:val="center"/>
        <w:rPr>
          <w:rFonts w:cs="Arial"/>
          <w:iCs/>
          <w:szCs w:val="28"/>
        </w:rPr>
      </w:pPr>
      <w:bookmarkStart w:id="7069" w:name="_Toc213772424"/>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7</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1</w:t>
      </w:r>
      <w:r w:rsidRPr="004046DB">
        <w:rPr>
          <w:b/>
          <w:szCs w:val="24"/>
        </w:rPr>
        <w:fldChar w:fldCharType="end"/>
      </w:r>
      <w:r>
        <w:rPr>
          <w:b/>
          <w:szCs w:val="24"/>
        </w:rPr>
        <w:t xml:space="preserve">:  </w:t>
      </w:r>
      <w:r w:rsidR="00F227A6">
        <w:rPr>
          <w:b/>
          <w:szCs w:val="24"/>
        </w:rPr>
        <w:t>Transmission Use Rate Annual Update Process</w:t>
      </w:r>
      <w:bookmarkEnd w:id="7069"/>
    </w:p>
    <w:p w14:paraId="19DF3584" w14:textId="77777777" w:rsidR="001B4702" w:rsidRDefault="001B4702" w:rsidP="001B4702">
      <w:pPr>
        <w:rPr>
          <w:rFonts w:cs="Arial"/>
          <w:szCs w:val="28"/>
        </w:rPr>
      </w:pPr>
      <w:r>
        <w:rPr>
          <w:noProof/>
        </w:rPr>
        <w:drawing>
          <wp:inline distT="0" distB="0" distL="0" distR="0" wp14:anchorId="54D340BA" wp14:editId="4766F224">
            <wp:extent cx="5943600" cy="3074670"/>
            <wp:effectExtent l="0" t="0" r="0" b="0"/>
            <wp:docPr id="81541520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5202" name="Picture 1" descr="Table&#10;&#10;Description automatically generated with medium confidence"/>
                    <pic:cNvPicPr/>
                  </pic:nvPicPr>
                  <pic:blipFill>
                    <a:blip r:embed="rId97"/>
                    <a:stretch>
                      <a:fillRect/>
                    </a:stretch>
                  </pic:blipFill>
                  <pic:spPr>
                    <a:xfrm>
                      <a:off x="0" y="0"/>
                      <a:ext cx="5943600" cy="3074670"/>
                    </a:xfrm>
                    <a:prstGeom prst="rect">
                      <a:avLst/>
                    </a:prstGeom>
                  </pic:spPr>
                </pic:pic>
              </a:graphicData>
            </a:graphic>
          </wp:inline>
        </w:drawing>
      </w:r>
    </w:p>
    <w:p w14:paraId="2314C92B" w14:textId="77777777" w:rsidR="001B4702" w:rsidRPr="001B4702" w:rsidRDefault="001B4702" w:rsidP="001B4702"/>
    <w:p w14:paraId="6F7643A5" w14:textId="07162538" w:rsidR="001B4702" w:rsidRDefault="001B4702" w:rsidP="00980193">
      <w:pPr>
        <w:spacing w:line="300" w:lineRule="auto"/>
      </w:pPr>
      <w:r w:rsidRPr="00AD65B4">
        <w:t xml:space="preserve">As part of the process above, if any </w:t>
      </w:r>
      <w:r w:rsidRPr="73E7B216">
        <w:t>r</w:t>
      </w:r>
      <w:r w:rsidRPr="00AD65B4">
        <w:t xml:space="preserve">esettlement of the rate is justified, it will follow the resettlement process according to Section </w:t>
      </w:r>
      <w:r w:rsidR="00522F90">
        <w:fldChar w:fldCharType="begin"/>
      </w:r>
      <w:r w:rsidR="00522F90">
        <w:instrText xml:space="preserve"> REF _Ref212620341 \r \h </w:instrText>
      </w:r>
      <w:r w:rsidR="00522F90">
        <w:fldChar w:fldCharType="separate"/>
      </w:r>
      <w:r w:rsidR="00522F90">
        <w:t>4.5.13.7</w:t>
      </w:r>
      <w:r w:rsidR="00522F90">
        <w:fldChar w:fldCharType="end"/>
      </w:r>
      <w:r w:rsidRPr="73E7B216">
        <w:t>.</w:t>
      </w:r>
    </w:p>
    <w:p w14:paraId="4B557B40" w14:textId="77777777" w:rsidR="00F227A6" w:rsidRDefault="00F227A6">
      <w:pPr>
        <w:spacing w:after="0"/>
        <w:jc w:val="left"/>
      </w:pPr>
      <w:r>
        <w:br w:type="page"/>
      </w:r>
    </w:p>
    <w:p w14:paraId="270E06A8" w14:textId="77777777" w:rsidR="001B4702" w:rsidRDefault="001B4702" w:rsidP="00A20A63">
      <w:pPr>
        <w:pStyle w:val="Heading2"/>
      </w:pPr>
      <w:bookmarkStart w:id="7070" w:name="_Toc213772017"/>
      <w:r>
        <w:t xml:space="preserve">Market Transmission Use </w:t>
      </w:r>
      <w:r w:rsidRPr="00CE37B1">
        <w:t>Intra-Rate Year Updates</w:t>
      </w:r>
      <w:bookmarkEnd w:id="7070"/>
    </w:p>
    <w:p w14:paraId="36E87D0A" w14:textId="77777777" w:rsidR="001B4702" w:rsidRDefault="001B4702" w:rsidP="00331208">
      <w:pPr>
        <w:pStyle w:val="ParaText"/>
      </w:pPr>
    </w:p>
    <w:p w14:paraId="10715E93" w14:textId="0FE7EEA1" w:rsidR="00F227A6" w:rsidRDefault="00F227A6" w:rsidP="00F227A6">
      <w:pPr>
        <w:spacing w:before="120" w:line="300" w:lineRule="auto"/>
        <w:jc w:val="center"/>
        <w:rPr>
          <w:rFonts w:cs="Arial"/>
          <w:iCs/>
          <w:szCs w:val="28"/>
        </w:rPr>
      </w:pPr>
      <w:bookmarkStart w:id="7071" w:name="_Toc213772425"/>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7</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2</w:t>
      </w:r>
      <w:r w:rsidRPr="004046DB">
        <w:rPr>
          <w:b/>
          <w:szCs w:val="24"/>
        </w:rPr>
        <w:fldChar w:fldCharType="end"/>
      </w:r>
      <w:r>
        <w:rPr>
          <w:b/>
          <w:szCs w:val="24"/>
        </w:rPr>
        <w:t>:  Transmission Use Intra</w:t>
      </w:r>
      <w:r w:rsidR="00331208">
        <w:rPr>
          <w:b/>
          <w:szCs w:val="24"/>
        </w:rPr>
        <w:t>-Rate Year Update Process</w:t>
      </w:r>
      <w:bookmarkEnd w:id="7071"/>
    </w:p>
    <w:p w14:paraId="14E206D4" w14:textId="77777777" w:rsidR="001B4702" w:rsidRDefault="001B4702" w:rsidP="00980193">
      <w:pPr>
        <w:rPr>
          <w:rFonts w:cs="Arial"/>
          <w:szCs w:val="28"/>
        </w:rPr>
      </w:pPr>
      <w:r>
        <w:rPr>
          <w:noProof/>
        </w:rPr>
        <w:drawing>
          <wp:inline distT="0" distB="0" distL="0" distR="0" wp14:anchorId="53642F5C" wp14:editId="4579C5EC">
            <wp:extent cx="5943600" cy="2830830"/>
            <wp:effectExtent l="0" t="0" r="0" b="7620"/>
            <wp:docPr id="1761858146"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8146" name="Picture 1" descr="Table&#10;&#10;Description automatically generated with medium confidence"/>
                    <pic:cNvPicPr/>
                  </pic:nvPicPr>
                  <pic:blipFill>
                    <a:blip r:embed="rId98"/>
                    <a:stretch>
                      <a:fillRect/>
                    </a:stretch>
                  </pic:blipFill>
                  <pic:spPr>
                    <a:xfrm>
                      <a:off x="0" y="0"/>
                      <a:ext cx="5943600" cy="2830830"/>
                    </a:xfrm>
                    <a:prstGeom prst="rect">
                      <a:avLst/>
                    </a:prstGeom>
                  </pic:spPr>
                </pic:pic>
              </a:graphicData>
            </a:graphic>
          </wp:inline>
        </w:drawing>
      </w:r>
    </w:p>
    <w:p w14:paraId="3E2CB973" w14:textId="779E8E70" w:rsidR="001B4702" w:rsidRPr="0078159A" w:rsidRDefault="001B4702" w:rsidP="001B4702">
      <w:pPr>
        <w:spacing w:before="120" w:line="300" w:lineRule="auto"/>
        <w:jc w:val="left"/>
      </w:pPr>
      <w:r w:rsidRPr="73E7B216">
        <w:rPr>
          <w:rFonts w:cs="Arial"/>
        </w:rPr>
        <w:t xml:space="preserve">As part of the process above, if any resettlement of the rate is justified, it will follow the resettlement process according to Section </w:t>
      </w:r>
      <w:r w:rsidR="00D12E3A">
        <w:rPr>
          <w:rFonts w:cs="Arial"/>
        </w:rPr>
        <w:fldChar w:fldCharType="begin"/>
      </w:r>
      <w:r w:rsidR="00D12E3A">
        <w:rPr>
          <w:rFonts w:cs="Arial"/>
        </w:rPr>
        <w:instrText xml:space="preserve"> REF _Ref212620384 \r \h </w:instrText>
      </w:r>
      <w:r w:rsidR="00D12E3A">
        <w:rPr>
          <w:rFonts w:cs="Arial"/>
        </w:rPr>
      </w:r>
      <w:r w:rsidR="00D12E3A">
        <w:rPr>
          <w:rFonts w:cs="Arial"/>
        </w:rPr>
        <w:fldChar w:fldCharType="separate"/>
      </w:r>
      <w:r w:rsidR="00D12E3A">
        <w:rPr>
          <w:rFonts w:cs="Arial"/>
        </w:rPr>
        <w:t>4.5.13.7</w:t>
      </w:r>
      <w:r w:rsidR="00D12E3A">
        <w:rPr>
          <w:rFonts w:cs="Arial"/>
        </w:rPr>
        <w:fldChar w:fldCharType="end"/>
      </w:r>
      <w:r w:rsidRPr="73E7B216">
        <w:rPr>
          <w:rFonts w:cs="Arial"/>
        </w:rPr>
        <w:t>.</w:t>
      </w:r>
    </w:p>
    <w:p w14:paraId="77AC954E" w14:textId="5BE9E78E" w:rsidR="00225D4F" w:rsidRDefault="00225D4F">
      <w:pPr>
        <w:spacing w:after="0"/>
        <w:jc w:val="left"/>
      </w:pPr>
      <w:r>
        <w:br w:type="page"/>
      </w:r>
    </w:p>
    <w:p w14:paraId="7AB8C339" w14:textId="77777777" w:rsidR="00111FD6" w:rsidRPr="00B07B5B" w:rsidRDefault="00111FD6" w:rsidP="00E94CBF">
      <w:pPr>
        <w:pStyle w:val="Heading1"/>
      </w:pPr>
      <w:bookmarkStart w:id="7072" w:name="_Toc213772018"/>
      <w:r w:rsidRPr="00B07B5B">
        <w:t>Markets+ Transmission Capability Identification Process</w:t>
      </w:r>
      <w:bookmarkEnd w:id="7072"/>
    </w:p>
    <w:p w14:paraId="1D26516D" w14:textId="18CB4844" w:rsidR="00111FD6" w:rsidRDefault="00FC4EEF" w:rsidP="000D26D7">
      <w:pPr>
        <w:pStyle w:val="Normal59"/>
        <w:widowControl w:val="0"/>
        <w:autoSpaceDE w:val="0"/>
        <w:autoSpaceDN w:val="0"/>
        <w:spacing w:before="120" w:after="120" w:line="300" w:lineRule="auto"/>
        <w:ind w:right="86"/>
        <w:jc w:val="both"/>
        <w:rPr>
          <w:rFonts w:eastAsia="Arial"/>
        </w:rPr>
      </w:pPr>
      <w:r>
        <w:t>The Market Operator</w:t>
      </w:r>
      <w:r w:rsidR="00111FD6">
        <w:t xml:space="preserve"> </w:t>
      </w:r>
      <w:r w:rsidR="00111FD6">
        <w:rPr>
          <w:rFonts w:eastAsia="Arial"/>
        </w:rPr>
        <w:t xml:space="preserve">will provide two services in support of Markets+ Transmission Capability: </w:t>
      </w:r>
    </w:p>
    <w:p w14:paraId="620E95D7" w14:textId="49A009A2" w:rsidR="00111FD6" w:rsidRDefault="00111FD6" w:rsidP="000D26D7">
      <w:pPr>
        <w:pStyle w:val="Normal59"/>
        <w:widowControl w:val="0"/>
        <w:autoSpaceDE w:val="0"/>
        <w:autoSpaceDN w:val="0"/>
        <w:spacing w:before="120" w:after="120" w:line="300" w:lineRule="auto"/>
        <w:ind w:right="86" w:firstLine="720"/>
        <w:jc w:val="both"/>
        <w:rPr>
          <w:rFonts w:eastAsia="Arial"/>
        </w:rPr>
      </w:pPr>
      <w:r>
        <w:rPr>
          <w:rFonts w:eastAsia="Arial"/>
        </w:rPr>
        <w:t xml:space="preserve">(1) Support transmission scheduling adjustments for market usage as described in this Section 8; and </w:t>
      </w:r>
    </w:p>
    <w:p w14:paraId="649751BD" w14:textId="77777777" w:rsidR="00111FD6" w:rsidRDefault="00111FD6" w:rsidP="000D26D7">
      <w:pPr>
        <w:pStyle w:val="Normal59"/>
        <w:widowControl w:val="0"/>
        <w:autoSpaceDE w:val="0"/>
        <w:autoSpaceDN w:val="0"/>
        <w:spacing w:before="120" w:after="120" w:line="300" w:lineRule="auto"/>
        <w:ind w:right="86" w:firstLine="720"/>
        <w:jc w:val="both"/>
        <w:rPr>
          <w:rFonts w:eastAsia="Arial"/>
        </w:rPr>
      </w:pPr>
      <w:r>
        <w:rPr>
          <w:rFonts w:eastAsia="Arial"/>
        </w:rPr>
        <w:t xml:space="preserve">(2) Optimize the use of the transmission system pursuant to Sections 4.3 and 4.4 of these Markets+ Protocols. </w:t>
      </w:r>
    </w:p>
    <w:p w14:paraId="0DEEADA9" w14:textId="77777777" w:rsidR="00470CA0" w:rsidRDefault="00470CA0" w:rsidP="00A20A63">
      <w:pPr>
        <w:pStyle w:val="Heading2"/>
        <w:rPr>
          <w:rFonts w:eastAsiaTheme="minorHAnsi"/>
        </w:rPr>
      </w:pPr>
      <w:bookmarkStart w:id="7073" w:name="_Toc150855914"/>
      <w:bookmarkStart w:id="7074" w:name="_Toc213772019"/>
      <w:r>
        <w:t>Overview</w:t>
      </w:r>
      <w:bookmarkEnd w:id="7073"/>
      <w:bookmarkEnd w:id="7074"/>
    </w:p>
    <w:p w14:paraId="1888E8B8" w14:textId="1B9E56C8" w:rsidR="00470CA0" w:rsidRDefault="00470CA0" w:rsidP="000D26D7">
      <w:pPr>
        <w:pStyle w:val="Normal83"/>
        <w:spacing w:before="120" w:after="120" w:line="300" w:lineRule="auto"/>
        <w:ind w:firstLine="720"/>
        <w:jc w:val="both"/>
      </w:pPr>
      <w:r>
        <w:t xml:space="preserve">By the close of the Day-Ahead Market, and on an on-going basis in the RTBM, Markets+ Transmission Service Providers (MTSP) must communicate operational transmission capability and Markets+ Transmission Contributors must communicate transmission capacity to the Market Operator for deriving a market solution utilizing a Simultaneous Co-optimization Methodology pursuant to Sections 4.3 and 4.4 of these Markets+ Protocols. </w:t>
      </w:r>
    </w:p>
    <w:p w14:paraId="5754876D" w14:textId="24088506" w:rsidR="00470CA0" w:rsidRDefault="00470CA0" w:rsidP="000D26D7">
      <w:pPr>
        <w:pStyle w:val="Normal83"/>
        <w:spacing w:before="120" w:after="120" w:line="300" w:lineRule="auto"/>
        <w:ind w:firstLine="720"/>
        <w:jc w:val="both"/>
      </w:pPr>
      <w:r>
        <w:t xml:space="preserve">The Market Operator will economically dispatch Energy and clear Flexibility Reserve Products across the Markets+ Footprint using Markets+ Transmission Contributors’ capacity and MTSPs’ flow-based transmission capability less any capacity not available for market use as reflected by Service Flow Constraints (SFC). </w:t>
      </w:r>
      <w:r w:rsidRPr="00E90A2C">
        <w:t>The market dispatch will respect individual transmission rights holders</w:t>
      </w:r>
      <w:r w:rsidR="00322D60">
        <w:t>’ and/or Balancing Authority Areas’</w:t>
      </w:r>
      <w:r w:rsidRPr="00E90A2C">
        <w:t xml:space="preserve"> ability to schedule their transmission</w:t>
      </w:r>
      <w:r w:rsidR="008C52CB">
        <w:t xml:space="preserve"> through</w:t>
      </w:r>
      <w:r w:rsidR="008C52CB" w:rsidRPr="008C52CB">
        <w:t xml:space="preserve"> </w:t>
      </w:r>
      <w:r w:rsidR="008C52CB">
        <w:t>Coordinated Interchange Scheduling Limits represented by Market Transfer Interface limits, Market Opt-in Transfer Interface limits</w:t>
      </w:r>
      <w:r w:rsidR="00AF49DA">
        <w:t>,</w:t>
      </w:r>
      <w:r w:rsidR="008C52CB">
        <w:t xml:space="preserve"> and BA</w:t>
      </w:r>
      <w:r w:rsidR="00183E1C">
        <w:t>A</w:t>
      </w:r>
      <w:r w:rsidR="008C52CB">
        <w:t xml:space="preserve"> Scheduling </w:t>
      </w:r>
      <w:r w:rsidR="00183E1C">
        <w:t>C</w:t>
      </w:r>
      <w:r w:rsidR="008C52CB">
        <w:t>onstraint</w:t>
      </w:r>
      <w:r w:rsidR="00322D60">
        <w:t xml:space="preserve"> limit</w:t>
      </w:r>
      <w:r w:rsidR="008C52CB">
        <w:t>s</w:t>
      </w:r>
      <w:r w:rsidRPr="00D372AB">
        <w:t>.</w:t>
      </w:r>
      <w:r>
        <w:t xml:space="preserve"> In addition to the initial SFCs, the applicable Balancing Authorities must update their submitted SFCs to account for</w:t>
      </w:r>
      <w:r w:rsidRPr="00FC068D">
        <w:t xml:space="preserve"> </w:t>
      </w:r>
      <w:r>
        <w:t xml:space="preserve">Markets+ Transmission Capacity Opt-Ins and Markets+ Transmission Capacity Opt-Outs.  </w:t>
      </w:r>
    </w:p>
    <w:p w14:paraId="60DC3D5B" w14:textId="247402B6" w:rsidR="00470CA0" w:rsidRDefault="00470CA0" w:rsidP="000D26D7">
      <w:pPr>
        <w:pStyle w:val="Normal83"/>
        <w:spacing w:before="120" w:after="120" w:line="300" w:lineRule="auto"/>
        <w:ind w:firstLine="720"/>
        <w:jc w:val="both"/>
      </w:pPr>
      <w:r>
        <w:t xml:space="preserve">The </w:t>
      </w:r>
      <w:r w:rsidR="00FC4EEF">
        <w:t>E</w:t>
      </w:r>
      <w:r>
        <w:t xml:space="preserve">nergy produced within a Resource’s </w:t>
      </w:r>
      <w:r w:rsidR="004863F2">
        <w:t xml:space="preserve">High </w:t>
      </w:r>
      <w:r>
        <w:t xml:space="preserve">Operating Tolerance </w:t>
      </w:r>
      <w:r w:rsidR="004863F2">
        <w:t xml:space="preserve">and Low Operating Tolerance </w:t>
      </w:r>
      <w:r>
        <w:t xml:space="preserve">and in response to a Markets+ dispatch instruction is considered delivered utilizing Markets+ Transmission Capability. The use of Markets+ Transmission Capability does not cause any existing transmission reservations to be de-prioritized. </w:t>
      </w:r>
    </w:p>
    <w:p w14:paraId="7C2AC750" w14:textId="57A0B83A" w:rsidR="00470CA0" w:rsidRDefault="00470CA0" w:rsidP="000D26D7">
      <w:pPr>
        <w:pStyle w:val="Normal83"/>
        <w:spacing w:before="120" w:after="120" w:line="300" w:lineRule="auto"/>
        <w:ind w:firstLine="720"/>
        <w:jc w:val="both"/>
      </w:pPr>
      <w:r w:rsidRPr="004049FB">
        <w:t xml:space="preserve">Once the Markets+ </w:t>
      </w:r>
      <w:r w:rsidR="007D1F80">
        <w:t>D</w:t>
      </w:r>
      <w:r w:rsidRPr="004049FB">
        <w:t>ay-</w:t>
      </w:r>
      <w:r w:rsidR="007D1F80">
        <w:t>A</w:t>
      </w:r>
      <w:r w:rsidRPr="004049FB">
        <w:t xml:space="preserve">head clearing process is complete, the Market Operator will </w:t>
      </w:r>
      <w:r w:rsidR="0086653F">
        <w:t>adjust the</w:t>
      </w:r>
      <w:r w:rsidRPr="004049FB" w:rsidDel="000445B6">
        <w:t xml:space="preserve"> </w:t>
      </w:r>
      <w:r w:rsidR="000445B6">
        <w:t>Market Transfer Interface and Market Opt-in Transfer Interface</w:t>
      </w:r>
      <w:r w:rsidRPr="004049FB">
        <w:t xml:space="preserve"> </w:t>
      </w:r>
      <w:r w:rsidR="000A03C0">
        <w:t>e-</w:t>
      </w:r>
      <w:r w:rsidR="00EA76D7">
        <w:t>Tag</w:t>
      </w:r>
      <w:r w:rsidR="000A03C0">
        <w:t>s</w:t>
      </w:r>
      <w:r w:rsidRPr="004049FB">
        <w:t xml:space="preserve"> </w:t>
      </w:r>
      <w:r w:rsidR="000445B6">
        <w:t xml:space="preserve">for </w:t>
      </w:r>
      <w:r w:rsidR="000445B6" w:rsidDel="006E3AF6">
        <w:t>the</w:t>
      </w:r>
      <w:r w:rsidR="000445B6" w:rsidRPr="004049FB" w:rsidDel="006E3AF6">
        <w:t xml:space="preserve"> </w:t>
      </w:r>
      <w:r>
        <w:t>P</w:t>
      </w:r>
      <w:r w:rsidRPr="004049FB">
        <w:t>articipating BAs</w:t>
      </w:r>
      <w:r w:rsidR="000A03C0">
        <w:t xml:space="preserve"> </w:t>
      </w:r>
      <w:r w:rsidRPr="004049FB">
        <w:t xml:space="preserve">to reflect the changes in NSI due to </w:t>
      </w:r>
      <w:r w:rsidR="000445B6">
        <w:t xml:space="preserve">Day-Ahead </w:t>
      </w:r>
      <w:r w:rsidRPr="004049FB">
        <w:t>market award</w:t>
      </w:r>
      <w:r w:rsidR="000445B6">
        <w:t>s</w:t>
      </w:r>
      <w:r w:rsidRPr="004049FB">
        <w:t xml:space="preserve">. The Market Operator will also communicate the cleared market volume amount via a market adjustment to reflect cleared dispatchable </w:t>
      </w:r>
      <w:r w:rsidR="008C52CB">
        <w:t>I</w:t>
      </w:r>
      <w:r w:rsidRPr="004049FB">
        <w:t>mport</w:t>
      </w:r>
      <w:r w:rsidR="002606E0" w:rsidRPr="002606E0">
        <w:t xml:space="preserve"> </w:t>
      </w:r>
      <w:r w:rsidR="002606E0">
        <w:t>Interchange</w:t>
      </w:r>
      <w:r w:rsidR="008C52CB">
        <w:t xml:space="preserve"> Transactions</w:t>
      </w:r>
      <w:r w:rsidRPr="004049FB">
        <w:t xml:space="preserve"> or </w:t>
      </w:r>
      <w:r w:rsidR="008C52CB">
        <w:t>E</w:t>
      </w:r>
      <w:r w:rsidRPr="004049FB">
        <w:t>xport</w:t>
      </w:r>
      <w:r w:rsidR="008C52CB">
        <w:t xml:space="preserve"> </w:t>
      </w:r>
      <w:r w:rsidR="002606E0">
        <w:t xml:space="preserve">Interchange </w:t>
      </w:r>
      <w:r w:rsidR="00AB4824">
        <w:t>T</w:t>
      </w:r>
      <w:r w:rsidR="008C52CB">
        <w:t>ransaction</w:t>
      </w:r>
      <w:r w:rsidR="002606E0">
        <w:t>(</w:t>
      </w:r>
      <w:r w:rsidR="008C52CB">
        <w:t>s</w:t>
      </w:r>
      <w:r w:rsidR="002606E0">
        <w:t>)</w:t>
      </w:r>
      <w:r w:rsidRPr="004049FB">
        <w:t xml:space="preserve"> </w:t>
      </w:r>
      <w:r w:rsidR="000445B6">
        <w:t xml:space="preserve">on </w:t>
      </w:r>
      <w:r w:rsidR="008C52CB">
        <w:t>their associated</w:t>
      </w:r>
      <w:r w:rsidR="000445B6">
        <w:t xml:space="preserve"> e-</w:t>
      </w:r>
      <w:r w:rsidR="00EA76D7">
        <w:t>Tag</w:t>
      </w:r>
      <w:r w:rsidR="000445B6">
        <w:t xml:space="preserve">s </w:t>
      </w:r>
      <w:r w:rsidRPr="004049FB">
        <w:t xml:space="preserve">to be approved by the tagging entities.  </w:t>
      </w:r>
      <w:r w:rsidRPr="004049FB" w:rsidDel="00746537">
        <w:t>E-</w:t>
      </w:r>
      <w:r w:rsidR="00EA76D7">
        <w:t>T</w:t>
      </w:r>
      <w:r w:rsidRPr="004049FB">
        <w:t xml:space="preserve">ags must be consistent with the applicable Balancing Authority or transmission service provider </w:t>
      </w:r>
      <w:r w:rsidR="00487408">
        <w:t>OATT or other governing documents.</w:t>
      </w:r>
      <w:r>
        <w:t xml:space="preserve"> </w:t>
      </w:r>
    </w:p>
    <w:p w14:paraId="102D408D" w14:textId="5E23EB7F" w:rsidR="00470CA0" w:rsidRDefault="00470CA0" w:rsidP="000D26D7">
      <w:pPr>
        <w:pStyle w:val="Normal83"/>
        <w:spacing w:before="120" w:after="120" w:line="300" w:lineRule="auto"/>
        <w:ind w:firstLine="720"/>
        <w:jc w:val="both"/>
      </w:pPr>
      <w:r>
        <w:t xml:space="preserve">Throughout the Operating Day, Participating Balancing Authorities must communicate to the Market Operator any changes to the transmission capability previously communicated to the Market Operator before such change becomes effective for use in the RUC processes </w:t>
      </w:r>
      <w:r w:rsidDel="0046151A">
        <w:t>and/or</w:t>
      </w:r>
      <w:r>
        <w:t xml:space="preserve"> in the next Dispatch Interval for use in the RTBM.</w:t>
      </w:r>
      <w:r w:rsidR="00322D60">
        <w:t xml:space="preserve"> This includes updates to the SFC limits and updates to the limits for RTBM MTIs, RTBM MOTIs, and RTBM BAA Scheduling Constraints.</w:t>
      </w:r>
    </w:p>
    <w:p w14:paraId="09FBB38A" w14:textId="4BC86EF9" w:rsidR="004E1A43" w:rsidRDefault="004E1A43" w:rsidP="004E1A43">
      <w:pPr>
        <w:pStyle w:val="Normal83"/>
        <w:spacing w:before="120" w:after="120" w:line="300" w:lineRule="auto"/>
        <w:ind w:firstLine="720"/>
        <w:jc w:val="both"/>
      </w:pPr>
      <w:r>
        <w:t xml:space="preserve">Following the Pre-RTBM SCED </w:t>
      </w:r>
      <w:r w:rsidR="000D777A">
        <w:t>thirty (</w:t>
      </w:r>
      <w:r>
        <w:t>30</w:t>
      </w:r>
      <w:r w:rsidR="000D777A">
        <w:t>)</w:t>
      </w:r>
      <w:r>
        <w:t xml:space="preserve"> minutes prior to each Operating Hour, the Market Operator </w:t>
      </w:r>
      <w:r w:rsidRPr="004049FB">
        <w:t xml:space="preserve">will </w:t>
      </w:r>
      <w:r>
        <w:t>communicate the</w:t>
      </w:r>
      <w:r w:rsidRPr="004049FB">
        <w:t xml:space="preserve"> </w:t>
      </w:r>
      <w:r>
        <w:t>Market Transfer Interface and Market Opt-in Transfer Interface</w:t>
      </w:r>
      <w:r w:rsidRPr="004049FB">
        <w:t xml:space="preserve"> </w:t>
      </w:r>
      <w:r>
        <w:t>amounts to the P</w:t>
      </w:r>
      <w:r w:rsidRPr="004049FB">
        <w:t>articipating BAs</w:t>
      </w:r>
      <w:r>
        <w:t xml:space="preserve"> for both Normal and Dynamic transaction types. The Market Operator will also update the e-Tags for </w:t>
      </w:r>
      <w:r w:rsidRPr="004049FB">
        <w:t xml:space="preserve">the </w:t>
      </w:r>
      <w:r>
        <w:t>P</w:t>
      </w:r>
      <w:r w:rsidRPr="004049FB">
        <w:t>articipating BAs</w:t>
      </w:r>
      <w:r>
        <w:t xml:space="preserve"> </w:t>
      </w:r>
      <w:r w:rsidRPr="004049FB">
        <w:t xml:space="preserve">to reflect the changes in NSI </w:t>
      </w:r>
      <w:r>
        <w:t xml:space="preserve">indicated by the Pre-RTBM SCED for MTIs and MOTIs specifying Normal transaction type.  </w:t>
      </w:r>
    </w:p>
    <w:p w14:paraId="182363E4" w14:textId="4F15D3E4" w:rsidR="004E1A43" w:rsidRDefault="004E1A43" w:rsidP="004E1A43">
      <w:pPr>
        <w:pStyle w:val="Normal83"/>
        <w:spacing w:before="120" w:after="120" w:line="300" w:lineRule="auto"/>
        <w:ind w:firstLine="720"/>
        <w:jc w:val="both"/>
      </w:pPr>
      <w:r>
        <w:t>After each</w:t>
      </w:r>
      <w:r w:rsidRPr="004049FB">
        <w:t xml:space="preserve"> Markets+ </w:t>
      </w:r>
      <w:r>
        <w:t>RTBM dispatch</w:t>
      </w:r>
      <w:r w:rsidRPr="004049FB">
        <w:t xml:space="preserve"> </w:t>
      </w:r>
      <w:r>
        <w:t>interval</w:t>
      </w:r>
      <w:r w:rsidRPr="004049FB">
        <w:t xml:space="preserve">, the Market Operator will </w:t>
      </w:r>
      <w:r>
        <w:t>communicate</w:t>
      </w:r>
      <w:r w:rsidRPr="004049FB">
        <w:t xml:space="preserve"> </w:t>
      </w:r>
      <w:r>
        <w:t>MTI and MOTI amounts to the P</w:t>
      </w:r>
      <w:r w:rsidRPr="004049FB">
        <w:t>articipating BAs</w:t>
      </w:r>
      <w:r>
        <w:t xml:space="preserve"> for MTI and MOTI specifying Dynamic transaction type.</w:t>
      </w:r>
      <w:r w:rsidRPr="004049FB">
        <w:t xml:space="preserve"> </w:t>
      </w:r>
      <w:r>
        <w:t>The</w:t>
      </w:r>
      <w:r w:rsidRPr="004049FB">
        <w:t xml:space="preserve"> BA</w:t>
      </w:r>
      <w:r>
        <w:t xml:space="preserve">s will integrate the 5-minute values of each Operating Hour for each Dynamic MTI and Dynamic MOTI and update the </w:t>
      </w:r>
      <w:r w:rsidRPr="004049FB">
        <w:t>e-</w:t>
      </w:r>
      <w:r>
        <w:t>T</w:t>
      </w:r>
      <w:r w:rsidRPr="004049FB">
        <w:t xml:space="preserve">ags to reflect the changes in NSI due to </w:t>
      </w:r>
      <w:r>
        <w:t>the RTBM dispatch</w:t>
      </w:r>
      <w:r w:rsidRPr="004049FB">
        <w:t>. E-</w:t>
      </w:r>
      <w:r>
        <w:t>T</w:t>
      </w:r>
      <w:r w:rsidRPr="004049FB">
        <w:t xml:space="preserve">ags must be consistent with the applicable Balancing Authority or </w:t>
      </w:r>
      <w:r w:rsidR="00AE7F9C">
        <w:t>t</w:t>
      </w:r>
      <w:r>
        <w:t xml:space="preserve">ransmission </w:t>
      </w:r>
      <w:r w:rsidR="00AE7F9C">
        <w:t>s</w:t>
      </w:r>
      <w:r>
        <w:t xml:space="preserve">ervice </w:t>
      </w:r>
      <w:r w:rsidR="00AE7F9C">
        <w:t>p</w:t>
      </w:r>
      <w:r>
        <w:t>rovider</w:t>
      </w:r>
      <w:r w:rsidRPr="004049FB">
        <w:t xml:space="preserve"> OATT</w:t>
      </w:r>
      <w:r w:rsidR="00AE7F9C">
        <w:t xml:space="preserve"> or other</w:t>
      </w:r>
      <w:r>
        <w:t xml:space="preserve"> governing documents, and the Interchange Scheduling Guide for Markets+</w:t>
      </w:r>
      <w:r w:rsidRPr="004049FB">
        <w:t>.</w:t>
      </w:r>
    </w:p>
    <w:p w14:paraId="5823E386" w14:textId="7F422083" w:rsidR="00470CA0" w:rsidRDefault="00470CA0" w:rsidP="00E667B3">
      <w:pPr>
        <w:pStyle w:val="Normal83"/>
        <w:spacing w:before="120" w:after="120" w:line="300" w:lineRule="auto"/>
        <w:ind w:firstLine="720"/>
        <w:jc w:val="both"/>
        <w:rPr>
          <w:b/>
        </w:rPr>
      </w:pPr>
      <w:r>
        <w:t xml:space="preserve">Exhibit 8-1 provides an overview of the Transmission Capability and communication process. </w:t>
      </w:r>
    </w:p>
    <w:p w14:paraId="6B9C0D4D" w14:textId="77777777" w:rsidR="00E667B3" w:rsidRDefault="00E667B3">
      <w:pPr>
        <w:spacing w:after="0"/>
        <w:jc w:val="left"/>
        <w:rPr>
          <w:b/>
          <w:szCs w:val="24"/>
        </w:rPr>
      </w:pPr>
      <w:r>
        <w:rPr>
          <w:b/>
        </w:rPr>
        <w:br w:type="page"/>
      </w:r>
    </w:p>
    <w:p w14:paraId="7CD2EBC2" w14:textId="77777777" w:rsidR="00F560EC" w:rsidRDefault="00331208" w:rsidP="000D26D7">
      <w:pPr>
        <w:spacing w:before="120" w:line="300" w:lineRule="auto"/>
        <w:jc w:val="center"/>
        <w:rPr>
          <w:b/>
        </w:rPr>
      </w:pPr>
      <w:bookmarkStart w:id="7075" w:name="_Toc213772426"/>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8</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1</w:t>
      </w:r>
      <w:r w:rsidRPr="004046DB">
        <w:rPr>
          <w:b/>
          <w:szCs w:val="24"/>
        </w:rPr>
        <w:fldChar w:fldCharType="end"/>
      </w:r>
      <w:r>
        <w:rPr>
          <w:b/>
          <w:szCs w:val="24"/>
        </w:rPr>
        <w:t xml:space="preserve">:  </w:t>
      </w:r>
      <w:r w:rsidR="00470CA0" w:rsidRPr="00D05B4F">
        <w:rPr>
          <w:b/>
        </w:rPr>
        <w:t>Transmission Capability Identification Process</w:t>
      </w:r>
      <w:bookmarkEnd w:id="7075"/>
    </w:p>
    <w:p w14:paraId="79A863C6" w14:textId="7A82891C" w:rsidR="00470CA0" w:rsidRDefault="00470CA0" w:rsidP="000D26D7">
      <w:pPr>
        <w:spacing w:before="120" w:line="300" w:lineRule="auto"/>
        <w:jc w:val="center"/>
      </w:pPr>
      <w:r>
        <w:rPr>
          <w:noProof/>
        </w:rPr>
        <w:drawing>
          <wp:inline distT="0" distB="0" distL="0" distR="0" wp14:anchorId="15EE48AE" wp14:editId="349D341B">
            <wp:extent cx="6598048" cy="4948534"/>
            <wp:effectExtent l="0" t="0" r="0" b="0"/>
            <wp:docPr id="700819953" name="Picture 7008199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19953" name="Picture 700819953" descr="Diagram&#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6598048" cy="4948534"/>
                    </a:xfrm>
                    <a:prstGeom prst="rect">
                      <a:avLst/>
                    </a:prstGeom>
                  </pic:spPr>
                </pic:pic>
              </a:graphicData>
            </a:graphic>
          </wp:inline>
        </w:drawing>
      </w:r>
    </w:p>
    <w:p w14:paraId="40296256" w14:textId="77777777" w:rsidR="00470CA0" w:rsidRDefault="00470CA0" w:rsidP="00A20A63">
      <w:pPr>
        <w:pStyle w:val="Heading2"/>
      </w:pPr>
      <w:bookmarkStart w:id="7076" w:name="_Ref212552433"/>
      <w:bookmarkStart w:id="7077" w:name="_Toc213772020"/>
      <w:r>
        <w:t>Obligation to Communicate Operational Changes to Markets+ Transmission Capability</w:t>
      </w:r>
      <w:bookmarkEnd w:id="7076"/>
      <w:bookmarkEnd w:id="7077"/>
    </w:p>
    <w:p w14:paraId="0EAE464D" w14:textId="77777777" w:rsidR="00470CA0" w:rsidRDefault="00470CA0" w:rsidP="000D26D7">
      <w:pPr>
        <w:pStyle w:val="Normal83"/>
        <w:spacing w:before="120" w:after="120" w:line="300" w:lineRule="auto"/>
        <w:ind w:firstLine="720"/>
        <w:jc w:val="both"/>
      </w:pPr>
      <w:r>
        <w:t>MTSPs</w:t>
      </w:r>
      <w:r w:rsidRPr="005977E3">
        <w:t xml:space="preserve"> </w:t>
      </w:r>
      <w:r>
        <w:t>must</w:t>
      </w:r>
      <w:r w:rsidRPr="005977E3">
        <w:t xml:space="preserve"> make available the otherwise unused physical capability of the transmission facilities under their tariffs for purposes of providing Markets+ Transmission Capability to support the delivery of Energy and to operate the facilities under their tariffs in accordance with Good Utility Practices. </w:t>
      </w:r>
    </w:p>
    <w:p w14:paraId="4ECBAF45" w14:textId="005C5D37" w:rsidR="00470CA0" w:rsidRDefault="00470CA0" w:rsidP="000D26D7">
      <w:pPr>
        <w:pStyle w:val="Normal83"/>
        <w:spacing w:before="120" w:after="120" w:line="300" w:lineRule="auto"/>
        <w:ind w:firstLine="720"/>
        <w:jc w:val="both"/>
      </w:pPr>
      <w:r w:rsidRPr="00EC0E13">
        <w:t xml:space="preserve">MTSPs, through </w:t>
      </w:r>
      <w:r>
        <w:t>P</w:t>
      </w:r>
      <w:r w:rsidRPr="00EC0E13">
        <w:t xml:space="preserve">articipating Balancing Authorities, </w:t>
      </w:r>
      <w:r>
        <w:t xml:space="preserve">will communicate to the Market Operator the operational information necessary to determine the transmission system capability for the Markets+ </w:t>
      </w:r>
      <w:r w:rsidR="006D6DA5">
        <w:t>F</w:t>
      </w:r>
      <w:r>
        <w:t>ootprint pursuant to these Markets+ Protocols</w:t>
      </w:r>
      <w:r w:rsidRPr="00B15E3F">
        <w:t xml:space="preserve"> </w:t>
      </w:r>
      <w:r>
        <w:t>for the following Markets+ timing intervals:</w:t>
      </w:r>
    </w:p>
    <w:p w14:paraId="770FC5DA" w14:textId="77777777" w:rsidR="00470CA0" w:rsidRDefault="00470CA0" w:rsidP="00DA3CE7">
      <w:pPr>
        <w:pStyle w:val="ListParagraph"/>
        <w:numPr>
          <w:ilvl w:val="0"/>
          <w:numId w:val="314"/>
        </w:numPr>
        <w:spacing w:before="120" w:line="300" w:lineRule="auto"/>
        <w:ind w:left="1080"/>
        <w:contextualSpacing w:val="0"/>
      </w:pPr>
      <w:r>
        <w:t>The close of the Day-Ahead Market for use in Day-Ahead Market clearing;</w:t>
      </w:r>
    </w:p>
    <w:p w14:paraId="33262997" w14:textId="77777777" w:rsidR="00470CA0" w:rsidRDefault="00470CA0" w:rsidP="00DA3CE7">
      <w:pPr>
        <w:pStyle w:val="ListParagraph"/>
        <w:numPr>
          <w:ilvl w:val="0"/>
          <w:numId w:val="314"/>
        </w:numPr>
        <w:spacing w:before="120" w:line="300" w:lineRule="auto"/>
        <w:ind w:left="1080"/>
        <w:contextualSpacing w:val="0"/>
      </w:pPr>
      <w:r>
        <w:t>Anytime there is a change in Markets+ Transmission Capability that was previously provided for use in the RUC processes and the RTBM.</w:t>
      </w:r>
    </w:p>
    <w:p w14:paraId="5A166730" w14:textId="2AC69CBD" w:rsidR="00470CA0" w:rsidRDefault="00470CA0" w:rsidP="000D26D7">
      <w:pPr>
        <w:spacing w:before="120" w:line="300" w:lineRule="auto"/>
        <w:ind w:firstLine="720"/>
      </w:pPr>
      <w:r>
        <w:t>Operational information includes</w:t>
      </w:r>
      <w:r w:rsidR="006D6DA5">
        <w:t>,</w:t>
      </w:r>
      <w:r>
        <w:t xml:space="preserve"> but is not limited to, transmission outages and de-rates, topology changes, and hourly dynamic line ratings.  </w:t>
      </w:r>
    </w:p>
    <w:p w14:paraId="28817468" w14:textId="7270A925" w:rsidR="00470CA0" w:rsidRDefault="00470CA0" w:rsidP="000D26D7">
      <w:pPr>
        <w:pStyle w:val="Normal83"/>
        <w:spacing w:before="120" w:after="120" w:line="300" w:lineRule="auto"/>
        <w:ind w:firstLine="720"/>
        <w:jc w:val="both"/>
      </w:pPr>
      <w:r>
        <w:t xml:space="preserve">The Participating Balancing Authority must provide operational information directly to the Market Operator. To the extent the Participating Balancing Authority is already communicating this information to </w:t>
      </w:r>
      <w:r w:rsidR="006D6DA5">
        <w:t xml:space="preserve">the Market Operator </w:t>
      </w:r>
      <w:r>
        <w:t xml:space="preserve">via another function, the Market Operator will use that information as appropriate. </w:t>
      </w:r>
    </w:p>
    <w:p w14:paraId="4BBBF9A5" w14:textId="77777777" w:rsidR="00364AA4" w:rsidRPr="008B74E0" w:rsidRDefault="00364AA4" w:rsidP="00E679DC">
      <w:pPr>
        <w:pStyle w:val="Heading3"/>
      </w:pPr>
      <w:r w:rsidRPr="008B74E0">
        <w:t xml:space="preserve">Market Transfer Interfaces </w:t>
      </w:r>
    </w:p>
    <w:p w14:paraId="0564FED2" w14:textId="77777777" w:rsidR="00364AA4" w:rsidRDefault="00364AA4" w:rsidP="00E679DC">
      <w:pPr>
        <w:pStyle w:val="Heading4"/>
      </w:pPr>
      <w:bookmarkStart w:id="7078" w:name="_Toc208563266"/>
      <w:r>
        <w:t>Communication of Market Transfer Interface Limits.</w:t>
      </w:r>
      <w:bookmarkEnd w:id="7078"/>
      <w:r>
        <w:t xml:space="preserve"> </w:t>
      </w:r>
    </w:p>
    <w:p w14:paraId="0E906388" w14:textId="3BEF3CFC" w:rsidR="00364AA4" w:rsidRDefault="00364AA4" w:rsidP="00364AA4">
      <w:pPr>
        <w:pStyle w:val="Normal83"/>
        <w:spacing w:before="120" w:after="120" w:line="300" w:lineRule="auto"/>
        <w:ind w:firstLine="720"/>
        <w:jc w:val="both"/>
      </w:pPr>
      <w:r>
        <w:t>Participating BAs must provide any applicable scheduling limits on the Market Transfer Interfaces. Each</w:t>
      </w:r>
      <w:r w:rsidR="006D6DA5">
        <w:t xml:space="preserve"> Participating</w:t>
      </w:r>
      <w:r>
        <w:t xml:space="preserve"> BA must provide its limit separately, and the Market Operator will utilize the lowest value as the Coordinated Interchange Scheduling Limit for the MTI.  Limits for MTI must be submitted for every Operating Hour of the next Operating Day via the MUI.  Limits for MTIs may be updated for use in RUC and RTBM. </w:t>
      </w:r>
      <w:r w:rsidR="006D6DA5">
        <w:t>The</w:t>
      </w:r>
      <w:r>
        <w:t xml:space="preserve"> Market Operator will use the lesser of the transmission profile or the submitted e-Tag for the submitted limit.  If not submitted, default values will be 99999.  These must be submitted by the BAs via the MUI.  The Dynamic RTBM MTI scheduling limit must be submitted as 99999 unless there is a BA-BA or TSP-TSP scheduling restriction per WEQ-023 Standard Business Practices or a reliability issue that cannot be represented as a physical constraint.   </w:t>
      </w:r>
    </w:p>
    <w:p w14:paraId="54471672" w14:textId="77777777" w:rsidR="00364AA4" w:rsidRPr="00E52B38" w:rsidRDefault="00364AA4" w:rsidP="00E679DC">
      <w:pPr>
        <w:pStyle w:val="Heading3"/>
      </w:pPr>
      <w:bookmarkStart w:id="7079" w:name="_Toc208563267"/>
      <w:r w:rsidRPr="00E52B38">
        <w:t>Markets+ Transmission Capacity Opt-Ins</w:t>
      </w:r>
      <w:bookmarkEnd w:id="7079"/>
    </w:p>
    <w:p w14:paraId="4634FC8A" w14:textId="77777777" w:rsidR="00364AA4" w:rsidRDefault="00364AA4" w:rsidP="00E679DC">
      <w:pPr>
        <w:pStyle w:val="Heading4"/>
      </w:pPr>
      <w:bookmarkStart w:id="7080" w:name="_Toc208563268"/>
      <w:r>
        <w:t>Communication of Markets+ Transmission Capacity Opt-Ins.</w:t>
      </w:r>
      <w:bookmarkEnd w:id="7080"/>
      <w:r>
        <w:t xml:space="preserve"> </w:t>
      </w:r>
    </w:p>
    <w:p w14:paraId="79C90DE6" w14:textId="77777777" w:rsidR="00364AA4" w:rsidRDefault="00364AA4" w:rsidP="00364AA4">
      <w:pPr>
        <w:spacing w:before="120" w:line="300" w:lineRule="auto"/>
        <w:ind w:firstLine="720"/>
      </w:pPr>
      <w:r w:rsidRPr="009F6361">
        <w:t>A Markets+ Transmission Contributor, in coordination with the non-participating TSP, must ensure that the contributed transmission is available for use in Markets+. Such Markets+ transmission use will be consistent with the underlying rights. A</w:t>
      </w:r>
      <w:r>
        <w:t xml:space="preserve"> Markets+ Transmission Contributor must communicate the transmission capacity that it designates as available for use in Markets+ directly to the Market Operator via the market registration timelines as described in </w:t>
      </w:r>
      <w:r w:rsidRPr="00762CAA">
        <w:t>Section 9.</w:t>
      </w:r>
      <w:r>
        <w:t xml:space="preserve">4 of these Markets+ Protocols. Markets+ Transmission Capacity Opt-Ins must reflect a valid transmission path between two Participating BAs and must be registered as a Market Opt-in Transfer Interface. Corresponding e-Tags must be submitted to reflect the transmission contributed to the market in both the Day-Ahead Market and RTBM.  </w:t>
      </w:r>
      <w:r w:rsidRPr="004049FB">
        <w:t>All e-</w:t>
      </w:r>
      <w:r>
        <w:t>T</w:t>
      </w:r>
      <w:r w:rsidRPr="004049FB">
        <w:t xml:space="preserve">ags must abide by all affected transmission service providers and balancing authority </w:t>
      </w:r>
      <w:r>
        <w:t>e-Tag</w:t>
      </w:r>
      <w:r w:rsidRPr="004049FB">
        <w:t xml:space="preserve"> requirements</w:t>
      </w:r>
      <w:r>
        <w:t xml:space="preserve"> and</w:t>
      </w:r>
      <w:r w:rsidRPr="004049FB">
        <w:t xml:space="preserve"> be </w:t>
      </w:r>
      <w:r w:rsidRPr="009D0023">
        <w:t>consistent with</w:t>
      </w:r>
      <w:r w:rsidRPr="00A70351">
        <w:t xml:space="preserve"> the Market Operator’s </w:t>
      </w:r>
      <w:r>
        <w:t>e-Tag</w:t>
      </w:r>
      <w:r w:rsidRPr="00A70351">
        <w:t xml:space="preserve"> guidelines</w:t>
      </w:r>
      <w:r>
        <w:t xml:space="preserve"> detailed in the Interchange Scheduling Guide</w:t>
      </w:r>
      <w:r w:rsidRPr="00A70351">
        <w:t>.</w:t>
      </w:r>
      <w:r w:rsidRPr="009D0023">
        <w:t xml:space="preserve"> The </w:t>
      </w:r>
      <w:r>
        <w:t>Market Operator will use the capability of the transmission contributed based on the lesser of the transmission capacity profile or reliability limit of the associated e-Tag as the Coordinated Interchange Scheduling Limit.</w:t>
      </w:r>
    </w:p>
    <w:p w14:paraId="37476770" w14:textId="74DC8CA4" w:rsidR="00470CA0" w:rsidRDefault="00470CA0" w:rsidP="000D26D7">
      <w:pPr>
        <w:spacing w:before="120" w:line="300" w:lineRule="auto"/>
        <w:ind w:firstLine="720"/>
      </w:pPr>
      <w:r>
        <w:t xml:space="preserve">If a Markets+ Transmission Contributor, after the initial registration process, decides to </w:t>
      </w:r>
      <w:r w:rsidRPr="00AC33F0">
        <w:t>opt-out</w:t>
      </w:r>
      <w:r>
        <w:t xml:space="preserve"> the capacity contributed to the market for the upcoming calendar month, the Markets+ Transmission Contributor may submit a Markets+ Transmission Capacity Opt-Out</w:t>
      </w:r>
      <w:r w:rsidDel="00AC33F0">
        <w:t xml:space="preserve"> </w:t>
      </w:r>
      <w:r>
        <w:t xml:space="preserve">pursuant to Section 8.2.2. </w:t>
      </w:r>
    </w:p>
    <w:p w14:paraId="526D8151" w14:textId="6436B72C" w:rsidR="00470CA0" w:rsidRDefault="00470CA0" w:rsidP="000D26D7">
      <w:pPr>
        <w:spacing w:before="120" w:line="300" w:lineRule="auto"/>
        <w:ind w:firstLine="720"/>
      </w:pPr>
      <w:r>
        <w:t xml:space="preserve">The contributed transmission associated with a TSR meeting all Congestion Rent eligibility criteria, as described in </w:t>
      </w:r>
      <w:r w:rsidRPr="001D66D2">
        <w:t xml:space="preserve">Section </w:t>
      </w:r>
      <w:r w:rsidR="001D66D2" w:rsidRPr="00E679DC">
        <w:t>6.1</w:t>
      </w:r>
      <w:r>
        <w:t xml:space="preserve">, will be eligible for Congestion Rent if the path becomes binding in the market and is not opted out. </w:t>
      </w:r>
    </w:p>
    <w:p w14:paraId="4E06E727" w14:textId="77777777" w:rsidR="00470CA0" w:rsidRDefault="00470CA0" w:rsidP="00E679DC">
      <w:pPr>
        <w:pStyle w:val="Heading3"/>
      </w:pPr>
      <w:bookmarkStart w:id="7081" w:name="_Toc208563269"/>
      <w:r>
        <w:t>Increases to Capacity Opt-Ins</w:t>
      </w:r>
      <w:bookmarkEnd w:id="7081"/>
      <w:r>
        <w:t xml:space="preserve"> </w:t>
      </w:r>
    </w:p>
    <w:p w14:paraId="79DE9E21" w14:textId="63A8A4E5" w:rsidR="00470CA0" w:rsidRDefault="00470CA0" w:rsidP="000D26D7">
      <w:pPr>
        <w:spacing w:before="120" w:line="300" w:lineRule="auto"/>
        <w:ind w:firstLine="720"/>
      </w:pPr>
      <w:r>
        <w:t>If a Markets+ Transmission Contributor has additional MW capacity on an already registered opted-in path, and the additional capacity meets the eligibility criteria as set forth in Section 8.2.2.1, then the Markets+ Transmission Contributor may elect to increase their contributed amount before the close of the Day-Ahead Market.  The Markets+ Transmission Contributor must communicate this information to the Participating Balancing Authorities and update the associated e-</w:t>
      </w:r>
      <w:r w:rsidR="000A4581">
        <w:t>T</w:t>
      </w:r>
      <w:r>
        <w:t>ag</w:t>
      </w:r>
      <w:r w:rsidR="00364AA4">
        <w:t>.</w:t>
      </w:r>
      <w:r>
        <w:t xml:space="preserve"> </w:t>
      </w:r>
      <w:r w:rsidRPr="009B181B">
        <w:t xml:space="preserve">If the additional contributed transmission is added outside of the Congestion Rent verification timeline, the TSR is not eligible to receive </w:t>
      </w:r>
      <w:r w:rsidR="007A133D">
        <w:t>C</w:t>
      </w:r>
      <w:r w:rsidRPr="009B181B">
        <w:t xml:space="preserve">ongestion </w:t>
      </w:r>
      <w:r w:rsidR="007A133D">
        <w:t>R</w:t>
      </w:r>
      <w:r w:rsidRPr="009B181B">
        <w:t>ent distributions.</w:t>
      </w:r>
    </w:p>
    <w:p w14:paraId="2E5D734E" w14:textId="77777777" w:rsidR="00364AA4" w:rsidRDefault="00364AA4" w:rsidP="00364AA4">
      <w:pPr>
        <w:spacing w:before="120" w:line="300" w:lineRule="auto"/>
        <w:ind w:firstLine="720"/>
      </w:pPr>
      <w:bookmarkStart w:id="7082" w:name="_Ref212563804"/>
      <w:bookmarkStart w:id="7083" w:name="_Toc213772026"/>
      <w:r>
        <w:t xml:space="preserve">If a Markets+ Transmission Contributor purchases additional MW capacity that it chooses to opt-in that would require a new Coordinated Interchange Scheduling Limit to be implemented prior to the DAMKT run, the capacity must be registered according to the registration timeline as set forth in Section 9.5 and registration requirements as set forth in </w:t>
      </w:r>
      <w:r w:rsidRPr="00762CAA">
        <w:t>Section 9.3.</w:t>
      </w:r>
    </w:p>
    <w:p w14:paraId="042681E2" w14:textId="77777777" w:rsidR="00470CA0" w:rsidRDefault="00470CA0" w:rsidP="00E679DC">
      <w:pPr>
        <w:pStyle w:val="Heading4"/>
      </w:pPr>
      <w:r>
        <w:t>Markets+ Transmission Capacity Opt-Outs</w:t>
      </w:r>
      <w:bookmarkEnd w:id="7082"/>
      <w:bookmarkEnd w:id="7083"/>
    </w:p>
    <w:p w14:paraId="54516FA0" w14:textId="79529185" w:rsidR="00470CA0" w:rsidRDefault="00470CA0" w:rsidP="000D26D7">
      <w:pPr>
        <w:spacing w:before="120" w:line="300" w:lineRule="auto"/>
        <w:ind w:firstLine="720"/>
      </w:pPr>
      <w:r>
        <w:t>Markets+ Transmission Capacity Opt-Outs are</w:t>
      </w:r>
      <w:r w:rsidR="000B183F">
        <w:t>: (1)</w:t>
      </w:r>
      <w:r>
        <w:t xml:space="preserve"> transmission capacity rights owned by a transmission customer on a</w:t>
      </w:r>
      <w:r w:rsidR="00943639">
        <w:t>n</w:t>
      </w:r>
      <w:r>
        <w:t xml:space="preserve"> MTSP’s system that are not available for Markets+ Transmission Capability</w:t>
      </w:r>
      <w:r w:rsidR="000B183F">
        <w:t>;</w:t>
      </w:r>
      <w:r>
        <w:t xml:space="preserve"> </w:t>
      </w:r>
      <w:r w:rsidRPr="00331088">
        <w:rPr>
          <w:bCs/>
        </w:rPr>
        <w:t>or</w:t>
      </w:r>
      <w:r w:rsidR="000B183F">
        <w:rPr>
          <w:bCs/>
        </w:rPr>
        <w:t xml:space="preserve"> (2)</w:t>
      </w:r>
      <w:r w:rsidRPr="00331088">
        <w:rPr>
          <w:bCs/>
        </w:rPr>
        <w:t xml:space="preserve"> transmission capacity rights owned by a Markets+ Transmission Contributor that it designates as unavailable for Markets+ Transmission Capability</w:t>
      </w:r>
      <w:r>
        <w:t>. The transmission customer, in coordination with the MTSP and the Market Operator, will communicate this to the appropriate Balancing Authority, and the associated SFC will be reflective of this limitation to Markets+</w:t>
      </w:r>
      <w:r w:rsidR="007504B5">
        <w:t xml:space="preserve"> Transmission Capability.</w:t>
      </w:r>
      <w:r>
        <w:t xml:space="preserve"> </w:t>
      </w:r>
    </w:p>
    <w:p w14:paraId="533433A0" w14:textId="3824F1E9" w:rsidR="00470CA0" w:rsidRDefault="00470CA0" w:rsidP="000D26D7">
      <w:pPr>
        <w:spacing w:before="120" w:line="300" w:lineRule="auto"/>
        <w:ind w:firstLine="720"/>
      </w:pPr>
      <w:r>
        <w:t xml:space="preserve">Additionally, transmission capacity rights owned by a Markets+ Transmission Contributor that it designates as unavailable for Markets+ Transmission Capability on a previously opted-in path may also opt-out of these rights pursuant to Section 8.2.2.3.  The Markets+ Transmission Contributor will communicate this to the source and sink Balancing Authorities, and the </w:t>
      </w:r>
      <w:r w:rsidR="00C26A72">
        <w:t xml:space="preserve">transmission capacity of the associated </w:t>
      </w:r>
      <w:r w:rsidR="00C731F4">
        <w:t>e</w:t>
      </w:r>
      <w:r w:rsidR="00EA76D7">
        <w:t>-Tag</w:t>
      </w:r>
      <w:r w:rsidR="00C26A72">
        <w:t xml:space="preserve"> </w:t>
      </w:r>
      <w:r>
        <w:t xml:space="preserve">will be reflective of this limitation to  Markets+ </w:t>
      </w:r>
      <w:r w:rsidR="007504B5">
        <w:t>Transmission Capability</w:t>
      </w:r>
      <w:r>
        <w:t>.</w:t>
      </w:r>
    </w:p>
    <w:p w14:paraId="14AD6D8D" w14:textId="77777777" w:rsidR="00470CA0" w:rsidRPr="00B45984" w:rsidRDefault="00470CA0" w:rsidP="000D26D7">
      <w:pPr>
        <w:spacing w:before="120" w:line="300" w:lineRule="auto"/>
        <w:ind w:firstLine="720"/>
      </w:pPr>
      <w:r w:rsidRPr="00B45984">
        <w:t xml:space="preserve">By default, the total transmission capabilities of those entities participating in Markets+, less any </w:t>
      </w:r>
      <w:r>
        <w:t>Markets+ Transmission Capacity Opt-Outs,</w:t>
      </w:r>
      <w:r w:rsidDel="00DF5BA1">
        <w:t xml:space="preserve"> </w:t>
      </w:r>
      <w:r w:rsidRPr="00B45984">
        <w:t xml:space="preserve">will be available for use in Markets+.   </w:t>
      </w:r>
      <w:r>
        <w:t>MTSPs</w:t>
      </w:r>
      <w:r w:rsidRPr="00B45984">
        <w:t xml:space="preserve"> must</w:t>
      </w:r>
      <w:r w:rsidRPr="00B45984" w:rsidDel="007F6708">
        <w:t xml:space="preserve"> </w:t>
      </w:r>
      <w:r w:rsidRPr="00B45984">
        <w:t xml:space="preserve">make available the otherwise unused physical capability of the transmission facilities under their tariffs for purposes of providing Markets+ Transmission Capability to support the delivery of Energy and to operate the facilities under their tariffs in accordance with Good Utility Practices. </w:t>
      </w:r>
    </w:p>
    <w:p w14:paraId="5C506754" w14:textId="77777777" w:rsidR="00470CA0" w:rsidRDefault="00470CA0" w:rsidP="00574EDE">
      <w:pPr>
        <w:pStyle w:val="Heading4"/>
      </w:pPr>
      <w:bookmarkStart w:id="7084" w:name="_Toc213772027"/>
      <w:r>
        <w:t>Qualifying Markets+ Transmission Capacity Opt-Outs</w:t>
      </w:r>
      <w:bookmarkEnd w:id="7084"/>
    </w:p>
    <w:p w14:paraId="1398E8B2" w14:textId="77777777" w:rsidR="00470CA0" w:rsidRDefault="00470CA0" w:rsidP="000D26D7">
      <w:pPr>
        <w:spacing w:before="120" w:line="300" w:lineRule="auto"/>
        <w:ind w:firstLine="720"/>
      </w:pPr>
      <w:r>
        <w:t xml:space="preserve">Markets+ Transmission Capacity Opt-Outs should be minimal to ensure the benefits of Markets+ optimization for its members, recognizing that restricting the transmission available to be optimized by the market could reduce efficiency, and potentially cause unnecessary congestion within the Markets+ Footprint if the transmission otherwise would have been made available. </w:t>
      </w:r>
    </w:p>
    <w:p w14:paraId="6C23ACB5" w14:textId="0EB9DBC8" w:rsidR="00470CA0" w:rsidRDefault="00D71927" w:rsidP="000D26D7">
      <w:pPr>
        <w:spacing w:before="120" w:line="300" w:lineRule="auto"/>
      </w:pPr>
      <w:r>
        <w:t>T</w:t>
      </w:r>
      <w:r w:rsidR="00470CA0">
        <w:t xml:space="preserve">ransmission eligible </w:t>
      </w:r>
      <w:r w:rsidR="00DF6FDC">
        <w:t xml:space="preserve">to be a </w:t>
      </w:r>
      <w:r w:rsidR="00470CA0">
        <w:t xml:space="preserve"> </w:t>
      </w:r>
      <w:r w:rsidR="00FF0A71">
        <w:t>Markets+ Transmission Capacity Opt-Out</w:t>
      </w:r>
      <w:r w:rsidR="00470CA0">
        <w:t xml:space="preserve"> include</w:t>
      </w:r>
      <w:r>
        <w:t>s</w:t>
      </w:r>
      <w:r w:rsidR="00470CA0">
        <w:t xml:space="preserve">, but </w:t>
      </w:r>
      <w:r>
        <w:t xml:space="preserve">is </w:t>
      </w:r>
      <w:r w:rsidR="00470CA0">
        <w:t xml:space="preserve">not limited to, PTP Transmission service rights used to support delivery outside of Markets+: </w:t>
      </w:r>
    </w:p>
    <w:p w14:paraId="2FA596DD" w14:textId="77777777" w:rsidR="00470CA0" w:rsidRDefault="00470CA0" w:rsidP="00DA3CE7">
      <w:pPr>
        <w:pStyle w:val="ListParagraph"/>
        <w:numPr>
          <w:ilvl w:val="0"/>
          <w:numId w:val="313"/>
        </w:numPr>
        <w:spacing w:before="120" w:line="300" w:lineRule="auto"/>
        <w:ind w:left="1080"/>
        <w:contextualSpacing w:val="0"/>
      </w:pPr>
      <w:r>
        <w:t>Pseudo-tied generation or load out; or</w:t>
      </w:r>
    </w:p>
    <w:p w14:paraId="7E99608B" w14:textId="77777777" w:rsidR="00470CA0" w:rsidRDefault="00470CA0" w:rsidP="00DA3CE7">
      <w:pPr>
        <w:pStyle w:val="ListParagraph"/>
        <w:numPr>
          <w:ilvl w:val="0"/>
          <w:numId w:val="313"/>
        </w:numPr>
        <w:spacing w:before="120" w:line="300" w:lineRule="auto"/>
        <w:ind w:left="1080"/>
        <w:contextualSpacing w:val="0"/>
      </w:pPr>
      <w:r>
        <w:t>Dynamic or fixed bilateral wheels unavailable for Markets+ optimization.</w:t>
      </w:r>
    </w:p>
    <w:p w14:paraId="5D19A08B" w14:textId="77777777" w:rsidR="00470CA0" w:rsidRDefault="00470CA0" w:rsidP="000D26D7">
      <w:pPr>
        <w:spacing w:before="120" w:line="300" w:lineRule="auto"/>
      </w:pPr>
      <w:r>
        <w:t xml:space="preserve">Pseudo-tied out generation, load, or dynamic or fixed bilateral wheel throughs are subject to the applicable BA and TSP OATTs or other governing documents. </w:t>
      </w:r>
    </w:p>
    <w:p w14:paraId="3B30CBA3" w14:textId="242ED4CA" w:rsidR="00470CA0" w:rsidRDefault="00470CA0" w:rsidP="000D26D7">
      <w:pPr>
        <w:spacing w:before="120" w:line="300" w:lineRule="auto"/>
      </w:pPr>
      <w:r>
        <w:t xml:space="preserve">Qualified </w:t>
      </w:r>
      <w:r w:rsidR="00381EBE">
        <w:t>Markets+ Transmission Capacity</w:t>
      </w:r>
      <w:r>
        <w:t xml:space="preserve"> Opt-Outs must be of monthly or longer duration, consist of one or more TSRs or a whole-value portion thereof, and must meet the timing requirements specified under Section 8.2.2.3.  </w:t>
      </w:r>
    </w:p>
    <w:p w14:paraId="5A010F92" w14:textId="421459C4" w:rsidR="00470CA0" w:rsidRDefault="00470CA0" w:rsidP="000D26D7">
      <w:pPr>
        <w:spacing w:before="120" w:line="300" w:lineRule="auto"/>
        <w:ind w:firstLine="720"/>
      </w:pPr>
      <w:r>
        <w:t xml:space="preserve">All submittals will be monitored by the Market Monitor for transmission market power impacts in accordance with </w:t>
      </w:r>
      <w:r w:rsidRPr="000A3338">
        <w:t>Section 11.</w:t>
      </w:r>
      <w:r>
        <w:t>1</w:t>
      </w:r>
      <w:r w:rsidRPr="000A3338">
        <w:t>.</w:t>
      </w:r>
      <w:r>
        <w:t xml:space="preserve">11. The Market Operator will coordinate Markets+ Transmission Capacity Opt-Outs with the appropriate transmission service provider to ensure that the specified </w:t>
      </w:r>
      <w:r w:rsidR="003C2FDC">
        <w:t>Markets+ Transmission Capacity</w:t>
      </w:r>
      <w:r>
        <w:t xml:space="preserve"> Opt-Outs are communicated to the applicable Balancing Authority for inclusion in the calculation of SFCs by the Balancing Authority. </w:t>
      </w:r>
    </w:p>
    <w:p w14:paraId="75BF2855" w14:textId="77777777" w:rsidR="00470CA0" w:rsidRDefault="00470CA0" w:rsidP="00574EDE">
      <w:pPr>
        <w:pStyle w:val="Heading4"/>
      </w:pPr>
      <w:bookmarkStart w:id="7085" w:name="_Toc213772028"/>
      <w:r>
        <w:t>Communication of Markets+ Transmission Capacity Opt-Outs</w:t>
      </w:r>
      <w:bookmarkEnd w:id="7085"/>
    </w:p>
    <w:p w14:paraId="417B2BFB" w14:textId="4926C959" w:rsidR="00470CA0" w:rsidRDefault="00470CA0" w:rsidP="000D26D7">
      <w:pPr>
        <w:spacing w:before="120" w:line="300" w:lineRule="auto"/>
        <w:ind w:firstLine="720"/>
      </w:pPr>
      <w:r>
        <w:t xml:space="preserve">Markets+ Transmission Capacity Opt-Outs must include sufficient TSR information, consistent with Section 6.1.2.1, to be able to update the SFC calculation and exclude the TSR from Congestion Rent </w:t>
      </w:r>
      <w:r w:rsidR="007B35C1">
        <w:t>communicated</w:t>
      </w:r>
      <w:r>
        <w:t xml:space="preserve"> to the Market Operator. In most cases, this includes an AREF number and the duration of the </w:t>
      </w:r>
      <w:r w:rsidR="00516450">
        <w:t>Markets+ Transmission Capacity O</w:t>
      </w:r>
      <w:r>
        <w:t>pt-</w:t>
      </w:r>
      <w:r w:rsidR="00516450">
        <w:t>O</w:t>
      </w:r>
      <w:r>
        <w:t xml:space="preserve">ut. Subject to review and approval by the affected MTSPs, the MTSP will communicate the information to the appropriate Participating Balancing Authorities. Any </w:t>
      </w:r>
      <w:r w:rsidR="00516450">
        <w:t>Markets+ Transmission Capacity O</w:t>
      </w:r>
      <w:r>
        <w:t>pt-</w:t>
      </w:r>
      <w:r w:rsidR="00516450">
        <w:t>O</w:t>
      </w:r>
      <w:r>
        <w:t>uts must include one or more reservation number(s) for use by the Market Operator in verification of valid Congestion Rent Eligible Transmission Service Reservations (CRETSR).</w:t>
      </w:r>
    </w:p>
    <w:p w14:paraId="2D5313A0" w14:textId="5AFDC509" w:rsidR="00470CA0" w:rsidRDefault="00470CA0" w:rsidP="000D26D7">
      <w:pPr>
        <w:spacing w:before="120" w:line="300" w:lineRule="auto"/>
        <w:ind w:firstLine="720"/>
      </w:pPr>
      <w:r>
        <w:t>Once received by an MTSP and</w:t>
      </w:r>
      <w:r w:rsidDel="00DE7291">
        <w:t xml:space="preserve"> </w:t>
      </w:r>
      <w:r>
        <w:t>the Participating Balancing Authority, th</w:t>
      </w:r>
      <w:r w:rsidR="00A56EE0">
        <w:t>e</w:t>
      </w:r>
      <w:r>
        <w:t xml:space="preserve"> Participating Balancing Authority will incorporate the impact of the </w:t>
      </w:r>
      <w:r w:rsidR="0001634E">
        <w:t>Markets+ Transmission Capacity O</w:t>
      </w:r>
      <w:r>
        <w:t>pt-</w:t>
      </w:r>
      <w:r w:rsidR="0001634E">
        <w:t>O</w:t>
      </w:r>
      <w:r>
        <w:t>ut on SFCs and submit such updated SFCs to the Market Operator prior to the beginning of each calendar month.</w:t>
      </w:r>
    </w:p>
    <w:p w14:paraId="6724B9FD" w14:textId="77777777" w:rsidR="00470CA0" w:rsidRDefault="00470CA0" w:rsidP="00574EDE">
      <w:pPr>
        <w:pStyle w:val="Heading4"/>
      </w:pPr>
      <w:bookmarkStart w:id="7086" w:name="_Toc213772029"/>
      <w:r>
        <w:t>Timing of Markets+ Transmission Capacity Communication</w:t>
      </w:r>
      <w:bookmarkEnd w:id="7086"/>
    </w:p>
    <w:p w14:paraId="07000916" w14:textId="77777777" w:rsidR="00470CA0" w:rsidRDefault="00470CA0" w:rsidP="000D26D7">
      <w:pPr>
        <w:spacing w:before="120" w:line="300" w:lineRule="auto"/>
        <w:ind w:firstLine="720"/>
      </w:pPr>
      <w:r>
        <w:t xml:space="preserve">During the registration timeframe, the MTSPs will register their transmission assets with the Market Operator through the Participating Balancing Authority, and the M+ Transmission Contributors will register their transmission assets directly with the Market Operator.  The Market Operator will work with Participating Balancing Authorities to model the initial SFCs. </w:t>
      </w:r>
    </w:p>
    <w:p w14:paraId="2769533B" w14:textId="5E886425" w:rsidR="00470CA0" w:rsidRDefault="00470CA0" w:rsidP="000D26D7">
      <w:pPr>
        <w:spacing w:before="120" w:line="300" w:lineRule="auto"/>
        <w:ind w:firstLine="720"/>
        <w:sectPr w:rsidR="00470CA0" w:rsidSect="00470CA0">
          <w:footerReference w:type="even" r:id="rId100"/>
          <w:footerReference w:type="first" r:id="rId101"/>
          <w:pgSz w:w="12240" w:h="15840"/>
          <w:pgMar w:top="1440" w:right="1440" w:bottom="1440" w:left="1440" w:header="720" w:footer="720" w:gutter="0"/>
          <w:cols w:space="720"/>
          <w:docGrid w:linePitch="360"/>
        </w:sectPr>
      </w:pPr>
      <w:r>
        <w:t xml:space="preserve">Up to fifteen (15) days prior to the upcoming </w:t>
      </w:r>
      <w:r w:rsidR="00B35D16">
        <w:t>calendar month</w:t>
      </w:r>
      <w:r>
        <w:t xml:space="preserve">, a Market Participant may </w:t>
      </w:r>
      <w:r w:rsidR="00A724BF">
        <w:t xml:space="preserve">submit a </w:t>
      </w:r>
      <w:r>
        <w:t xml:space="preserve">Markets+ </w:t>
      </w:r>
      <w:r w:rsidR="00A724BF">
        <w:t>Transmission Capacity Opt-Out</w:t>
      </w:r>
      <w:r>
        <w:t>,</w:t>
      </w:r>
      <w:r w:rsidRPr="00B71E09">
        <w:t xml:space="preserve"> </w:t>
      </w:r>
      <w:r>
        <w:t>if the TSR meets the eligibility requirements as set forth in Section 8.2.2.1</w:t>
      </w:r>
      <w:r w:rsidR="007D22B2">
        <w:t>.</w:t>
      </w:r>
      <w:r>
        <w:t>. The Market Participant will submit a</w:t>
      </w:r>
      <w:r w:rsidR="003B280B">
        <w:t xml:space="preserve"> Markets+ Transmission Capacity O</w:t>
      </w:r>
      <w:r>
        <w:t>pt-</w:t>
      </w:r>
      <w:r w:rsidR="003B280B">
        <w:t>O</w:t>
      </w:r>
      <w:r>
        <w:t xml:space="preserve">ut request to the MTSP for approval subject to individual OATT or other governing document requirements, and the MTSP will communicate the final list of approved </w:t>
      </w:r>
      <w:r w:rsidR="003B280B">
        <w:t>Markets+ Transmission Capacity O</w:t>
      </w:r>
      <w:r>
        <w:t>pt-</w:t>
      </w:r>
      <w:r w:rsidR="003B280B">
        <w:t>O</w:t>
      </w:r>
      <w:r>
        <w:t>uts back to the Market Participant</w:t>
      </w:r>
      <w:r w:rsidRPr="008B602F">
        <w:t xml:space="preserve">.   If there is not an SFC currently modeled to support the </w:t>
      </w:r>
      <w:r w:rsidR="003B280B">
        <w:t>Markets+ Transmission Capacity</w:t>
      </w:r>
      <w:r w:rsidRPr="008B602F">
        <w:t xml:space="preserve"> </w:t>
      </w:r>
      <w:r w:rsidR="003B280B">
        <w:t>O</w:t>
      </w:r>
      <w:r w:rsidRPr="008B602F">
        <w:t>pt-</w:t>
      </w:r>
      <w:r w:rsidR="003B280B">
        <w:t>O</w:t>
      </w:r>
      <w:r w:rsidRPr="008B602F">
        <w:t xml:space="preserve">ut request, the </w:t>
      </w:r>
      <w:r w:rsidR="003B280B">
        <w:t>Markets+ Transmission Capacity</w:t>
      </w:r>
      <w:r w:rsidRPr="008B602F">
        <w:t xml:space="preserve"> </w:t>
      </w:r>
      <w:r w:rsidR="003B280B">
        <w:t>O</w:t>
      </w:r>
      <w:r w:rsidRPr="008B602F">
        <w:t>pt-</w:t>
      </w:r>
      <w:r w:rsidR="003B280B">
        <w:t>O</w:t>
      </w:r>
      <w:r w:rsidRPr="008B602F">
        <w:t>ut request</w:t>
      </w:r>
      <w:r w:rsidRPr="00CF5EBA">
        <w:t xml:space="preserve"> may be rejected</w:t>
      </w:r>
      <w:r w:rsidRPr="008B602F">
        <w:t xml:space="preserve"> until the SFC has been established via the </w:t>
      </w:r>
      <w:r w:rsidR="00044D91">
        <w:t>m</w:t>
      </w:r>
      <w:r w:rsidRPr="008B602F">
        <w:t xml:space="preserve">arket </w:t>
      </w:r>
      <w:r w:rsidR="00044D91">
        <w:t>r</w:t>
      </w:r>
      <w:r w:rsidRPr="008B602F">
        <w:t xml:space="preserve">egistration </w:t>
      </w:r>
      <w:r w:rsidR="00044D91">
        <w:t>r</w:t>
      </w:r>
      <w:r w:rsidRPr="008B602F">
        <w:t xml:space="preserve">equirements in </w:t>
      </w:r>
      <w:r w:rsidRPr="00762CAA">
        <w:t>Section 9.3.</w:t>
      </w:r>
      <w:r w:rsidRPr="008B602F">
        <w:t xml:space="preserve"> The Market Participant may then submit an </w:t>
      </w:r>
      <w:r w:rsidR="00AE0D6C">
        <w:t>Markets+ Transmission Capacity O</w:t>
      </w:r>
      <w:r w:rsidRPr="008B602F">
        <w:t>pt-</w:t>
      </w:r>
      <w:r w:rsidR="00AE0D6C">
        <w:t>O</w:t>
      </w:r>
      <w:r w:rsidRPr="008B602F">
        <w:t>ut request or increase to a</w:t>
      </w:r>
      <w:r w:rsidR="00AE0D6C">
        <w:t xml:space="preserve"> Markets+ Transmission Capacity</w:t>
      </w:r>
      <w:r w:rsidRPr="008B602F">
        <w:t xml:space="preserve"> </w:t>
      </w:r>
      <w:r w:rsidR="00AE0D6C">
        <w:t>O</w:t>
      </w:r>
      <w:r w:rsidRPr="008B602F">
        <w:t>pt-</w:t>
      </w:r>
      <w:r w:rsidR="00AE0D6C">
        <w:t>I</w:t>
      </w:r>
      <w:r w:rsidRPr="008B602F">
        <w:t>n request to</w:t>
      </w:r>
      <w:r>
        <w:t xml:space="preserve"> the Market Operator</w:t>
      </w:r>
      <w:r w:rsidR="005A7623">
        <w:t>.</w:t>
      </w:r>
      <w:r>
        <w:t xml:space="preserve"> Fifteen (15) days prior to the month, the </w:t>
      </w:r>
      <w:r w:rsidR="004472B9">
        <w:t>Market Operator</w:t>
      </w:r>
      <w:r>
        <w:t xml:space="preserve"> will collect all eligible Congestion Rent reservations for the next month and remove any submitted </w:t>
      </w:r>
      <w:r w:rsidR="002D0A32">
        <w:t>Markets+ Transmission Capacity O</w:t>
      </w:r>
      <w:r>
        <w:t>pt-</w:t>
      </w:r>
      <w:r w:rsidR="002D0A32">
        <w:t>O</w:t>
      </w:r>
      <w:r>
        <w:t>uts.  Up to four (4) Business Days later, the Market Operator will post the list of CRETSR</w:t>
      </w:r>
      <w:r w:rsidR="00857BDD">
        <w:t>s</w:t>
      </w:r>
      <w:r>
        <w:t xml:space="preserve"> to be reviewed by the Market Participants and the MTSPs. The Market Participants </w:t>
      </w:r>
      <w:r w:rsidR="00002DC3">
        <w:t xml:space="preserve"> must</w:t>
      </w:r>
      <w:r>
        <w:t xml:space="preserve"> review and report any discrepancies to the Market Operator</w:t>
      </w:r>
      <w:r w:rsidR="00002DC3">
        <w:t xml:space="preserve"> within four (4) Business Days of posting</w:t>
      </w:r>
      <w:r>
        <w:t xml:space="preserve">.  Two (2) Business Days prior to the start of the upcoming </w:t>
      </w:r>
      <w:r w:rsidR="00B35D16">
        <w:t>calendar month</w:t>
      </w:r>
      <w:r>
        <w:t xml:space="preserve">, the Participating Balancing Authorities receive and consolidate all </w:t>
      </w:r>
      <w:r w:rsidR="00857BDD">
        <w:t>Markets+ Transmission Capability O</w:t>
      </w:r>
      <w:r>
        <w:t>pt-</w:t>
      </w:r>
      <w:r w:rsidR="00857BDD">
        <w:t>O</w:t>
      </w:r>
      <w:r>
        <w:t xml:space="preserve">ut and any additional </w:t>
      </w:r>
      <w:r w:rsidR="00857BDD">
        <w:t>Markets+ Transmission Capacity O</w:t>
      </w:r>
      <w:r>
        <w:t>pt-</w:t>
      </w:r>
      <w:r w:rsidR="00857BDD">
        <w:t>I</w:t>
      </w:r>
      <w:r>
        <w:t>n information and determine the SFCs to be used in the</w:t>
      </w:r>
      <w:r w:rsidR="00966B55">
        <w:t xml:space="preserve"> Day-Ahead </w:t>
      </w:r>
      <w:r>
        <w:t xml:space="preserve">Market  Markets+ Participating Balancing Authorities continue to provide SFC updates for use in RUC and RTBM on a continuous basis throughout the Operating Day.  Exhibit 8-2 summarizes the detailed communication tasks and timeline. </w:t>
      </w:r>
    </w:p>
    <w:p w14:paraId="48BF638E" w14:textId="758C8D31" w:rsidR="00470CA0" w:rsidRDefault="00470CA0" w:rsidP="00E850AF">
      <w:pPr>
        <w:spacing w:before="120" w:line="300" w:lineRule="auto"/>
        <w:jc w:val="center"/>
        <w:rPr>
          <w:b/>
          <w:bCs/>
        </w:rPr>
      </w:pPr>
      <w:bookmarkStart w:id="7087" w:name="_Toc213772427"/>
      <w:r w:rsidRPr="004046DB">
        <w:rPr>
          <w:b/>
          <w:szCs w:val="24"/>
        </w:rPr>
        <w:t xml:space="preserve">Exhibit </w:t>
      </w:r>
      <w:r w:rsidR="00E850AF" w:rsidRPr="004046DB">
        <w:rPr>
          <w:b/>
          <w:szCs w:val="24"/>
        </w:rPr>
        <w:fldChar w:fldCharType="begin"/>
      </w:r>
      <w:r w:rsidR="00E850AF" w:rsidRPr="004046DB">
        <w:rPr>
          <w:b/>
          <w:szCs w:val="24"/>
        </w:rPr>
        <w:instrText xml:space="preserve"> STYLEREF 1 \s </w:instrText>
      </w:r>
      <w:r w:rsidR="00E850AF" w:rsidRPr="004046DB">
        <w:rPr>
          <w:b/>
          <w:szCs w:val="24"/>
        </w:rPr>
        <w:fldChar w:fldCharType="separate"/>
      </w:r>
      <w:r w:rsidR="00E850AF">
        <w:rPr>
          <w:b/>
          <w:noProof/>
          <w:szCs w:val="24"/>
        </w:rPr>
        <w:t>8</w:t>
      </w:r>
      <w:r w:rsidR="00E850AF" w:rsidRPr="004046DB">
        <w:rPr>
          <w:b/>
          <w:szCs w:val="24"/>
        </w:rPr>
        <w:fldChar w:fldCharType="end"/>
      </w:r>
      <w:r w:rsidR="00E850AF" w:rsidRPr="004046DB">
        <w:rPr>
          <w:b/>
          <w:szCs w:val="24"/>
        </w:rPr>
        <w:noBreakHyphen/>
      </w:r>
      <w:r w:rsidR="00E850AF" w:rsidRPr="004046DB">
        <w:rPr>
          <w:b/>
          <w:szCs w:val="24"/>
        </w:rPr>
        <w:fldChar w:fldCharType="begin"/>
      </w:r>
      <w:r w:rsidR="00E850AF" w:rsidRPr="004046DB">
        <w:rPr>
          <w:b/>
          <w:szCs w:val="24"/>
        </w:rPr>
        <w:instrText xml:space="preserve"> SEQ Exhibit \* ARABIC \s 1 </w:instrText>
      </w:r>
      <w:r w:rsidR="00E850AF" w:rsidRPr="004046DB">
        <w:rPr>
          <w:b/>
          <w:szCs w:val="24"/>
        </w:rPr>
        <w:fldChar w:fldCharType="separate"/>
      </w:r>
      <w:r w:rsidR="00E850AF">
        <w:rPr>
          <w:b/>
          <w:noProof/>
          <w:szCs w:val="24"/>
        </w:rPr>
        <w:t>2</w:t>
      </w:r>
      <w:r w:rsidR="00E850AF" w:rsidRPr="004046DB">
        <w:rPr>
          <w:b/>
          <w:szCs w:val="24"/>
        </w:rPr>
        <w:fldChar w:fldCharType="end"/>
      </w:r>
      <w:r w:rsidR="00E850AF">
        <w:rPr>
          <w:b/>
          <w:szCs w:val="24"/>
        </w:rPr>
        <w:t xml:space="preserve">:  </w:t>
      </w:r>
      <w:r w:rsidRPr="2B7122E7">
        <w:rPr>
          <w:b/>
          <w:bCs/>
        </w:rPr>
        <w:t>Transmission Opt-Out and Congestion Rent Process Timeline</w:t>
      </w:r>
      <w:bookmarkEnd w:id="7087"/>
    </w:p>
    <w:p w14:paraId="715B09E3" w14:textId="77777777" w:rsidR="00470CA0" w:rsidRDefault="00470CA0" w:rsidP="000D26D7">
      <w:pPr>
        <w:pStyle w:val="Normal83"/>
        <w:spacing w:before="120" w:after="120" w:line="300" w:lineRule="auto"/>
        <w:ind w:firstLine="720"/>
        <w:jc w:val="both"/>
        <w:rPr>
          <w:b/>
          <w:bCs/>
        </w:rPr>
      </w:pPr>
      <w:r>
        <w:rPr>
          <w:noProof/>
          <w14:ligatures w14:val="standardContextual"/>
        </w:rPr>
        <w:drawing>
          <wp:inline distT="0" distB="0" distL="0" distR="0" wp14:anchorId="165DF669" wp14:editId="2DC2E899">
            <wp:extent cx="8229600" cy="4830445"/>
            <wp:effectExtent l="0" t="0" r="0" b="8255"/>
            <wp:docPr id="1915990596"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0596" name="Picture 1" descr="A picture containing timeline&#10;&#10;Description automatically generated"/>
                    <pic:cNvPicPr/>
                  </pic:nvPicPr>
                  <pic:blipFill>
                    <a:blip r:embed="rId102"/>
                    <a:stretch>
                      <a:fillRect/>
                    </a:stretch>
                  </pic:blipFill>
                  <pic:spPr>
                    <a:xfrm>
                      <a:off x="0" y="0"/>
                      <a:ext cx="8229600" cy="4830445"/>
                    </a:xfrm>
                    <a:prstGeom prst="rect">
                      <a:avLst/>
                    </a:prstGeom>
                  </pic:spPr>
                </pic:pic>
              </a:graphicData>
            </a:graphic>
          </wp:inline>
        </w:drawing>
      </w:r>
    </w:p>
    <w:p w14:paraId="4C97385C" w14:textId="77777777" w:rsidR="00470CA0" w:rsidRDefault="00470CA0" w:rsidP="000D26D7">
      <w:pPr>
        <w:spacing w:before="120" w:line="300" w:lineRule="auto"/>
        <w:jc w:val="center"/>
        <w:sectPr w:rsidR="00470CA0" w:rsidSect="00470CA0">
          <w:pgSz w:w="15840" w:h="12240" w:orient="landscape"/>
          <w:pgMar w:top="1440" w:right="1440" w:bottom="1440" w:left="1440" w:header="720" w:footer="720" w:gutter="0"/>
          <w:cols w:space="720"/>
          <w:docGrid w:linePitch="360"/>
        </w:sectPr>
      </w:pPr>
    </w:p>
    <w:p w14:paraId="6059F4AA" w14:textId="77777777" w:rsidR="00470CA0" w:rsidRDefault="00470CA0" w:rsidP="00781C61">
      <w:pPr>
        <w:pStyle w:val="Heading3"/>
      </w:pPr>
      <w:bookmarkStart w:id="7088" w:name="_Toc213772030"/>
      <w:r>
        <w:t>Service Flow Constraints</w:t>
      </w:r>
      <w:bookmarkEnd w:id="7088"/>
    </w:p>
    <w:p w14:paraId="760C1664" w14:textId="3DF8126A" w:rsidR="00470CA0" w:rsidRPr="00EB14DD" w:rsidRDefault="00470CA0" w:rsidP="000D26D7">
      <w:pPr>
        <w:spacing w:before="120" w:line="300" w:lineRule="auto"/>
        <w:ind w:firstLine="720"/>
      </w:pPr>
      <w:r w:rsidRPr="00EB14DD">
        <w:t xml:space="preserve">The Service Flow Constraint (SFC) represents </w:t>
      </w:r>
      <w:r>
        <w:t xml:space="preserve">an operating constraint limit that respects the operational </w:t>
      </w:r>
      <w:r w:rsidRPr="00EB14DD">
        <w:t xml:space="preserve">transmission </w:t>
      </w:r>
      <w:r>
        <w:t>capability</w:t>
      </w:r>
      <w:r w:rsidRPr="00EB14DD">
        <w:t xml:space="preserve"> available to </w:t>
      </w:r>
      <w:r>
        <w:t xml:space="preserve">the </w:t>
      </w:r>
      <w:r w:rsidRPr="00EB14DD">
        <w:t>Markets+ Footprint</w:t>
      </w:r>
      <w:r>
        <w:t>, including reductions to reflect Markets+ Transmission Capacity Opt-Outs, reductions to reflect reliability set-asides, and increases to reflect Markets+ Transmission Capacity Opt-Ins</w:t>
      </w:r>
      <w:r w:rsidRPr="00EB14DD">
        <w:t xml:space="preserve">. </w:t>
      </w:r>
      <w:r w:rsidRPr="00622E2D">
        <w:t xml:space="preserve">Transmission rights owned by a </w:t>
      </w:r>
      <w:r w:rsidR="00BE01E9">
        <w:t>t</w:t>
      </w:r>
      <w:r w:rsidRPr="00622E2D">
        <w:t xml:space="preserve">ransmission </w:t>
      </w:r>
      <w:r w:rsidR="00BE01E9">
        <w:t>c</w:t>
      </w:r>
      <w:r w:rsidRPr="00622E2D">
        <w:t>ustomer that is not a Market Participant on a</w:t>
      </w:r>
      <w:r w:rsidR="00C27608">
        <w:t>n</w:t>
      </w:r>
      <w:r w:rsidRPr="00622E2D">
        <w:t xml:space="preserve"> MTSP’s system</w:t>
      </w:r>
      <w:r>
        <w:t xml:space="preserve"> will be respected. </w:t>
      </w:r>
      <w:r w:rsidRPr="008B602F">
        <w:t xml:space="preserve">Pursuant to </w:t>
      </w:r>
      <w:r w:rsidR="00C27608">
        <w:t xml:space="preserve">the </w:t>
      </w:r>
      <w:r w:rsidRPr="008B602F">
        <w:t>MTSP</w:t>
      </w:r>
      <w:r w:rsidR="00C27608">
        <w:t>’s</w:t>
      </w:r>
      <w:r w:rsidRPr="008B602F">
        <w:t xml:space="preserve"> OATT or other governing documents, SFCs may be updated to include reserved, but unscheduled</w:t>
      </w:r>
      <w:r w:rsidR="00DA5975">
        <w:t>,</w:t>
      </w:r>
      <w:r w:rsidRPr="008B602F">
        <w:t xml:space="preserve"> transmission rights, including </w:t>
      </w:r>
      <w:r w:rsidR="00323CEE">
        <w:t>Markets+ Transmission Capacity Opt-Outs</w:t>
      </w:r>
      <w:r w:rsidRPr="008B602F">
        <w:t>.</w:t>
      </w:r>
      <w:r>
        <w:t xml:space="preserve"> </w:t>
      </w:r>
    </w:p>
    <w:p w14:paraId="48C3E51A" w14:textId="77777777" w:rsidR="00470CA0" w:rsidRPr="00EB14DD" w:rsidRDefault="00470CA0" w:rsidP="000D26D7">
      <w:pPr>
        <w:spacing w:before="120" w:line="300" w:lineRule="auto"/>
        <w:ind w:firstLine="720"/>
      </w:pPr>
      <w:r w:rsidRPr="00EB14DD">
        <w:t xml:space="preserve">Each SFC’s operating constraint limit will equal the sum of all the Market Participants’ and </w:t>
      </w:r>
      <w:r>
        <w:t>P</w:t>
      </w:r>
      <w:r w:rsidRPr="00EB14DD">
        <w:t>articipating BA</w:t>
      </w:r>
      <w:r>
        <w:t>s</w:t>
      </w:r>
      <w:r w:rsidRPr="00EB14DD">
        <w:t xml:space="preserve">’ transmission </w:t>
      </w:r>
      <w:r>
        <w:t xml:space="preserve">capability available to Markets+ </w:t>
      </w:r>
      <w:r w:rsidRPr="00EB14DD">
        <w:t xml:space="preserve">communicated to </w:t>
      </w:r>
      <w:r>
        <w:t>the Market Operator</w:t>
      </w:r>
      <w:r w:rsidRPr="00EB14DD">
        <w:t xml:space="preserve">.  SFCs will be continuously activated in the </w:t>
      </w:r>
      <w:r>
        <w:t>Security Constrained Economic Dispatch (</w:t>
      </w:r>
      <w:r w:rsidRPr="00EB14DD">
        <w:t>SCED</w:t>
      </w:r>
      <w:r>
        <w:t>)</w:t>
      </w:r>
      <w:r w:rsidRPr="00EB14DD">
        <w:t xml:space="preserve"> to constrain the least cost dispatch to the transmission </w:t>
      </w:r>
      <w:r>
        <w:t>capability</w:t>
      </w:r>
      <w:r w:rsidRPr="00EB14DD">
        <w:t xml:space="preserve"> made available for use in </w:t>
      </w:r>
      <w:r>
        <w:t>the</w:t>
      </w:r>
      <w:r w:rsidRPr="00EB14DD">
        <w:t xml:space="preserve"> Markets+ Footprint.</w:t>
      </w:r>
      <w:r>
        <w:t xml:space="preserve"> </w:t>
      </w:r>
      <w:r w:rsidRPr="008B2CB8">
        <w:t xml:space="preserve">The SFC limits for use in the </w:t>
      </w:r>
      <w:r>
        <w:t>Day-Ahead Market</w:t>
      </w:r>
      <w:r w:rsidRPr="008B2CB8">
        <w:t xml:space="preserve"> clearing will use the hourly data provided by each </w:t>
      </w:r>
      <w:r>
        <w:t>P</w:t>
      </w:r>
      <w:r w:rsidRPr="008B2CB8">
        <w:t xml:space="preserve">articipating </w:t>
      </w:r>
      <w:r>
        <w:t>BA</w:t>
      </w:r>
      <w:r w:rsidRPr="008B2CB8">
        <w:t xml:space="preserve"> at the close of the D</w:t>
      </w:r>
      <w:r>
        <w:t>ay-</w:t>
      </w:r>
      <w:r w:rsidRPr="008B2CB8">
        <w:t>A</w:t>
      </w:r>
      <w:r>
        <w:t xml:space="preserve">head </w:t>
      </w:r>
      <w:r w:rsidRPr="008B2CB8">
        <w:t>M</w:t>
      </w:r>
      <w:r>
        <w:t>arket</w:t>
      </w:r>
      <w:r w:rsidRPr="008B2CB8">
        <w:t xml:space="preserve">.  For the RUC processes, the SFC limits will use the latest hourly data provided by each </w:t>
      </w:r>
      <w:r>
        <w:t>P</w:t>
      </w:r>
      <w:r w:rsidRPr="008B2CB8">
        <w:t xml:space="preserve">articipating BA. The SFC limits for the RTBM must be communicated to the Market Operator through ICCP on a continuous basis by each </w:t>
      </w:r>
      <w:r>
        <w:t>P</w:t>
      </w:r>
      <w:r w:rsidRPr="008B2CB8">
        <w:t xml:space="preserve">articipating </w:t>
      </w:r>
      <w:r>
        <w:t>BA</w:t>
      </w:r>
      <w:r w:rsidRPr="008B2CB8">
        <w:t>. </w:t>
      </w:r>
      <w:r w:rsidDel="008B2CB8">
        <w:t xml:space="preserve"> </w:t>
      </w:r>
    </w:p>
    <w:p w14:paraId="1E38EA25" w14:textId="2E20A7C4" w:rsidR="00470CA0" w:rsidRPr="00EB14DD" w:rsidRDefault="00470CA0" w:rsidP="000D26D7">
      <w:pPr>
        <w:spacing w:before="120" w:line="300" w:lineRule="auto"/>
        <w:ind w:firstLine="720"/>
      </w:pPr>
      <w:r w:rsidRPr="00EB14DD">
        <w:t xml:space="preserve">SFCs will utilize the operating constraint </w:t>
      </w:r>
      <w:r>
        <w:t>Violation Relaxation Limits (</w:t>
      </w:r>
      <w:r w:rsidRPr="00EB14DD">
        <w:t>VRL</w:t>
      </w:r>
      <w:r>
        <w:t>)</w:t>
      </w:r>
      <w:r w:rsidRPr="00EB14DD">
        <w:t xml:space="preserve"> shown in Section 4.1.4</w:t>
      </w:r>
      <w:r>
        <w:t xml:space="preserve"> </w:t>
      </w:r>
      <w:r w:rsidRPr="00EB14DD">
        <w:t xml:space="preserve">to constrain </w:t>
      </w:r>
      <w:r>
        <w:t>the</w:t>
      </w:r>
      <w:r w:rsidRPr="00EB14DD">
        <w:t xml:space="preserve"> Markets+ Footprint </w:t>
      </w:r>
      <w:r w:rsidR="00C53771">
        <w:t>m</w:t>
      </w:r>
      <w:r w:rsidRPr="00EB14DD">
        <w:t xml:space="preserve">arket </w:t>
      </w:r>
      <w:r w:rsidR="00C53771">
        <w:t>d</w:t>
      </w:r>
      <w:r w:rsidRPr="00EB14DD">
        <w:t xml:space="preserve">ispatch.  Each active SFC along with its limit and shadow price will be posted on </w:t>
      </w:r>
      <w:r>
        <w:t xml:space="preserve">the </w:t>
      </w:r>
      <w:r w:rsidRPr="00EB14DD">
        <w:t>SPP Portal.</w:t>
      </w:r>
    </w:p>
    <w:p w14:paraId="087B3CCD" w14:textId="268D70EA" w:rsidR="00470CA0" w:rsidRDefault="00470CA0" w:rsidP="000D26D7">
      <w:pPr>
        <w:spacing w:before="120" w:line="300" w:lineRule="auto"/>
        <w:ind w:firstLine="720"/>
      </w:pPr>
      <w:r w:rsidRPr="00EB14DD">
        <w:t xml:space="preserve">The impact of </w:t>
      </w:r>
      <w:r>
        <w:t>the</w:t>
      </w:r>
      <w:r w:rsidRPr="00EB14DD">
        <w:t xml:space="preserve"> Markets+ Footprint </w:t>
      </w:r>
      <w:r w:rsidR="00915D86">
        <w:t>m</w:t>
      </w:r>
      <w:r w:rsidRPr="00EB14DD">
        <w:t xml:space="preserve">arket flows on SFC limitations will be based on the most recent network topology from the Energy Management System (EMS).  </w:t>
      </w:r>
      <w:r>
        <w:t>The</w:t>
      </w:r>
      <w:r w:rsidRPr="00EB14DD">
        <w:t xml:space="preserve"> Markets+ Footprint Resource and </w:t>
      </w:r>
      <w:r>
        <w:t>l</w:t>
      </w:r>
      <w:r w:rsidRPr="00EB14DD">
        <w:t xml:space="preserve">oad impacts will be based on </w:t>
      </w:r>
      <w:r>
        <w:t>power flow</w:t>
      </w:r>
      <w:r w:rsidRPr="00EB14DD">
        <w:t xml:space="preserve"> analysis to determine the impact of incremental injections or withdrawals at each Resource and load location on the SFC operating constraint.</w:t>
      </w:r>
    </w:p>
    <w:p w14:paraId="7D8559D8" w14:textId="4B0203D8" w:rsidR="00571167" w:rsidRPr="00571167" w:rsidRDefault="00571167" w:rsidP="00E679DC">
      <w:pPr>
        <w:pStyle w:val="Heading3"/>
      </w:pPr>
      <w:r w:rsidRPr="00571167">
        <w:t>BAA Scheduling Constraints</w:t>
      </w:r>
    </w:p>
    <w:p w14:paraId="56DA51F6" w14:textId="6EA5E221" w:rsidR="001D1BDB" w:rsidRDefault="00571167" w:rsidP="00E679DC">
      <w:pPr>
        <w:spacing w:before="120" w:line="300" w:lineRule="auto"/>
        <w:ind w:firstLine="576"/>
      </w:pPr>
      <w:r w:rsidRPr="00571167">
        <w:rPr>
          <w14:ligatures w14:val="standardContextual"/>
        </w:rPr>
        <w:t xml:space="preserve">Each Participating BA will submit its BAA Scheduling Constraint limits  via the Market User Interface in hourly granularity.  Each submission will have a lower and an upper limit.  Net Exports will be constrained by the upper limit and net imports will be constrained by the lower limit.  If only MTI and MOTI exports are included in the registered BAA Scheduling Constraint, the lower limit must be 0.  If only MTI and MOTI imports are included in the registered BA Scheduling Constraint, the upper limit must be 0.  Limits of 99999 or -99999 may be used to exclude these constraints from the solution when deemed not necessary by the Participating BA.  These will also be the default limits if not submitted. BAA Scheduling Constraints are only associated with the submitting Participating BA’s side of the MTIs or MOTIs.   </w:t>
      </w:r>
    </w:p>
    <w:p w14:paraId="7AD83027" w14:textId="77777777" w:rsidR="00470CA0" w:rsidRDefault="00470CA0" w:rsidP="00A20A63">
      <w:pPr>
        <w:pStyle w:val="Heading2"/>
        <w:rPr>
          <w:rFonts w:eastAsiaTheme="minorHAnsi"/>
        </w:rPr>
      </w:pPr>
      <w:bookmarkStart w:id="7089" w:name="_Toc150855917"/>
      <w:bookmarkStart w:id="7090" w:name="_Toc213772032"/>
      <w:r>
        <w:rPr>
          <w:rFonts w:eastAsiaTheme="minorHAnsi"/>
        </w:rPr>
        <w:t>Conditions Precedent for Receiving Markets+ Transmission Capability</w:t>
      </w:r>
      <w:bookmarkEnd w:id="7089"/>
      <w:bookmarkEnd w:id="7090"/>
    </w:p>
    <w:p w14:paraId="52BC4466" w14:textId="2D6C8BDD" w:rsidR="00470CA0" w:rsidRDefault="00470CA0" w:rsidP="000D26D7">
      <w:pPr>
        <w:pStyle w:val="Normal83"/>
        <w:spacing w:before="120" w:after="120" w:line="300" w:lineRule="auto"/>
        <w:ind w:firstLine="720"/>
        <w:jc w:val="both"/>
      </w:pPr>
      <w:r>
        <w:t>Subject to the terms and conditions of Attachment D of the Markets+ Tariff, and related attachments, MTSPs will allow use of Markets+ Transmission Capability by any Markets+ Transmission User.  Use of Markets+ Transmission Capability is allowed commensurate with energy dispatched within the Markets+ Footprint pursuant to the provisions of the Markets+ Tariff.  As such, the Markets+ Transmission User is not required to separately request or make an application to use Markets+ Transmission Capability.   An</w:t>
      </w:r>
      <w:r w:rsidRPr="000E630A">
        <w:t xml:space="preserve"> </w:t>
      </w:r>
      <w:r>
        <w:t>MTSP</w:t>
      </w:r>
      <w:r w:rsidRPr="000E630A">
        <w:t xml:space="preserve"> agrees to provide comparable service that it is capable of providing to all Markets+ Transmission Users on similar terms and conditions over facilities used for the transmission of electric </w:t>
      </w:r>
      <w:r w:rsidR="00936DBC">
        <w:t>E</w:t>
      </w:r>
      <w:r w:rsidRPr="000E630A">
        <w:t xml:space="preserve">nergy in interstate commerce owned, controlled, or operated by </w:t>
      </w:r>
      <w:r w:rsidR="00936DBC">
        <w:t xml:space="preserve">the </w:t>
      </w:r>
      <w:r>
        <w:t>MTSP</w:t>
      </w:r>
      <w:r w:rsidRPr="000E630A">
        <w:t>.</w:t>
      </w:r>
      <w:r>
        <w:t xml:space="preserve">  </w:t>
      </w:r>
      <w:r w:rsidRPr="003A6082">
        <w:rPr>
          <w:rStyle w:val="Heading1Char"/>
        </w:rPr>
        <w:t xml:space="preserve"> </w:t>
      </w:r>
      <w:r w:rsidRPr="00F74A0B">
        <w:rPr>
          <w:rStyle w:val="ui-provider"/>
        </w:rPr>
        <w:t xml:space="preserve">This provision should not be interpreted in a way that </w:t>
      </w:r>
      <w:r w:rsidRPr="00E670D2">
        <w:rPr>
          <w:rStyle w:val="ui-provider"/>
        </w:rPr>
        <w:t>results in</w:t>
      </w:r>
      <w:r w:rsidRPr="00F74A0B">
        <w:rPr>
          <w:rStyle w:val="ui-provider"/>
        </w:rPr>
        <w:t xml:space="preserve"> undue discrimination by </w:t>
      </w:r>
      <w:r>
        <w:rPr>
          <w:rStyle w:val="ui-provider"/>
        </w:rPr>
        <w:t xml:space="preserve">MTSPs </w:t>
      </w:r>
      <w:r w:rsidRPr="00F74A0B">
        <w:rPr>
          <w:rStyle w:val="ui-provider"/>
        </w:rPr>
        <w:t>against the transmission rights of customers not participating in Markets</w:t>
      </w:r>
      <w:r w:rsidRPr="00E670D2">
        <w:rPr>
          <w:rStyle w:val="ui-provider"/>
        </w:rPr>
        <w:t>+</w:t>
      </w:r>
      <w:r w:rsidRPr="00F74A0B">
        <w:rPr>
          <w:rStyle w:val="ui-provider"/>
        </w:rPr>
        <w:t>. Existing transmission rights will be honored by MTSPs and in the market</w:t>
      </w:r>
      <w:r w:rsidRPr="00E670D2">
        <w:rPr>
          <w:rStyle w:val="ui-provider"/>
        </w:rPr>
        <w:t xml:space="preserve"> in accordance with the applicable OATT or other governing documents</w:t>
      </w:r>
      <w:r w:rsidRPr="00F74A0B">
        <w:rPr>
          <w:rStyle w:val="ui-provider"/>
        </w:rPr>
        <w:t xml:space="preserve">.  </w:t>
      </w:r>
    </w:p>
    <w:p w14:paraId="1B98DD31" w14:textId="383E661E" w:rsidR="00470CA0" w:rsidRDefault="00470CA0" w:rsidP="000D26D7">
      <w:pPr>
        <w:pStyle w:val="Normal83"/>
        <w:spacing w:before="120" w:after="120" w:line="300" w:lineRule="auto"/>
        <w:ind w:firstLine="720"/>
        <w:jc w:val="both"/>
      </w:pPr>
      <w:r>
        <w:t>No separate charge will be assessed by the Market Operator for the use of Markets+ Transmission Capability beyond the Market Transmission Use charge as set forth in Section 7 , which is not a charge for transmission service.</w:t>
      </w:r>
    </w:p>
    <w:p w14:paraId="5472167D" w14:textId="77777777" w:rsidR="00470CA0" w:rsidRDefault="00470CA0" w:rsidP="00A20A63">
      <w:pPr>
        <w:pStyle w:val="Heading2"/>
        <w:rPr>
          <w:rFonts w:eastAsiaTheme="minorHAnsi"/>
        </w:rPr>
      </w:pPr>
      <w:bookmarkStart w:id="7091" w:name="_Toc213772033"/>
      <w:bookmarkStart w:id="7092" w:name="_Toc150855919"/>
      <w:r w:rsidRPr="005D4E74">
        <w:rPr>
          <w:snapToGrid w:val="0"/>
        </w:rPr>
        <w:t>Generator Transmission Requirement Review</w:t>
      </w:r>
      <w:bookmarkEnd w:id="7091"/>
    </w:p>
    <w:p w14:paraId="37D5A71B" w14:textId="77777777" w:rsidR="00470CA0" w:rsidRPr="005D4E74" w:rsidRDefault="00470CA0" w:rsidP="000D26D7">
      <w:pPr>
        <w:spacing w:before="120" w:line="300" w:lineRule="auto"/>
        <w:ind w:firstLine="720"/>
        <w:rPr>
          <w:szCs w:val="24"/>
        </w:rPr>
      </w:pPr>
      <w:r w:rsidRPr="005D4E74">
        <w:rPr>
          <w:szCs w:val="24"/>
        </w:rPr>
        <w:t>The Market Operator will undertake a review to determine what, if any, cost shifts have occurred in the absence of a requirement for generators to purchase transmission service to conduct sales in Markets+, after the occurrence of either of the following:</w:t>
      </w:r>
    </w:p>
    <w:p w14:paraId="1A788DA7" w14:textId="77777777" w:rsidR="00470CA0" w:rsidRPr="005D4E74" w:rsidRDefault="00470CA0" w:rsidP="000D26D7">
      <w:pPr>
        <w:spacing w:before="120" w:line="300" w:lineRule="auto"/>
        <w:ind w:left="360" w:hanging="360"/>
        <w:rPr>
          <w:szCs w:val="24"/>
        </w:rPr>
      </w:pPr>
      <w:r>
        <w:rPr>
          <w:szCs w:val="24"/>
        </w:rPr>
        <w:t>(1)</w:t>
      </w:r>
      <w:r>
        <w:rPr>
          <w:szCs w:val="24"/>
        </w:rPr>
        <w:tab/>
      </w:r>
      <w:r w:rsidRPr="005D4E74">
        <w:rPr>
          <w:szCs w:val="24"/>
        </w:rPr>
        <w:t>Two (2) years of data needed to conduct the study are available; or</w:t>
      </w:r>
    </w:p>
    <w:p w14:paraId="1DDF0727" w14:textId="77777777" w:rsidR="00470CA0" w:rsidRDefault="00470CA0" w:rsidP="000D26D7">
      <w:pPr>
        <w:spacing w:before="120" w:line="300" w:lineRule="auto"/>
        <w:ind w:left="360" w:hanging="360"/>
        <w:rPr>
          <w:szCs w:val="24"/>
        </w:rPr>
      </w:pPr>
      <w:r>
        <w:rPr>
          <w:szCs w:val="24"/>
        </w:rPr>
        <w:t>(2)</w:t>
      </w:r>
      <w:r>
        <w:rPr>
          <w:szCs w:val="24"/>
        </w:rPr>
        <w:tab/>
      </w:r>
      <w:r w:rsidRPr="005D4E74">
        <w:rPr>
          <w:szCs w:val="24"/>
        </w:rPr>
        <w:t>A Markets+ Transmission Service Provider requests such a review following a reduction of at least two percent (2%) of their long-term firm point-to-point revenues or 2% of their long-term firm point-to-point reservations on an annual basis for their transmission facilities as they existed when Markets+ began operations</w:t>
      </w:r>
      <w:r>
        <w:rPr>
          <w:szCs w:val="24"/>
        </w:rPr>
        <w:t>; or</w:t>
      </w:r>
    </w:p>
    <w:p w14:paraId="10222196" w14:textId="23DC04FC" w:rsidR="00470CA0" w:rsidRDefault="003E144E" w:rsidP="000D26D7">
      <w:pPr>
        <w:spacing w:before="120" w:line="300" w:lineRule="auto"/>
        <w:ind w:left="360" w:hanging="360"/>
        <w:rPr>
          <w:szCs w:val="24"/>
        </w:rPr>
      </w:pPr>
      <w:r>
        <w:rPr>
          <w:szCs w:val="24"/>
        </w:rPr>
        <w:t>(3)</w:t>
      </w:r>
      <w:r>
        <w:rPr>
          <w:szCs w:val="24"/>
        </w:rPr>
        <w:tab/>
      </w:r>
      <w:r w:rsidR="00470CA0">
        <w:rPr>
          <w:szCs w:val="24"/>
        </w:rPr>
        <w:t>A request may be made by any Market Participant provided the</w:t>
      </w:r>
      <w:r w:rsidR="00470CA0" w:rsidDel="00C043A1">
        <w:rPr>
          <w:szCs w:val="24"/>
        </w:rPr>
        <w:t xml:space="preserve"> </w:t>
      </w:r>
      <w:r w:rsidR="00470CA0">
        <w:rPr>
          <w:szCs w:val="24"/>
        </w:rPr>
        <w:t>required data is available.</w:t>
      </w:r>
    </w:p>
    <w:p w14:paraId="2D938976" w14:textId="77777777" w:rsidR="00470CA0" w:rsidRPr="00FC532F" w:rsidRDefault="00470CA0" w:rsidP="00A20A63">
      <w:pPr>
        <w:pStyle w:val="Heading2"/>
        <w:rPr>
          <w:rFonts w:eastAsiaTheme="minorHAnsi"/>
        </w:rPr>
      </w:pPr>
      <w:bookmarkStart w:id="7093" w:name="_Toc213772034"/>
      <w:r w:rsidRPr="00FC532F">
        <w:t>Obligation to Pause Queue Processing</w:t>
      </w:r>
      <w:bookmarkEnd w:id="7092"/>
      <w:bookmarkEnd w:id="7093"/>
      <w:r w:rsidRPr="00FC532F">
        <w:rPr>
          <w:rFonts w:eastAsiaTheme="minorHAnsi"/>
        </w:rPr>
        <w:t xml:space="preserve"> </w:t>
      </w:r>
    </w:p>
    <w:p w14:paraId="100D526E" w14:textId="5FF1FD8A" w:rsidR="00470CA0" w:rsidRDefault="00470CA0" w:rsidP="000D26D7">
      <w:pPr>
        <w:spacing w:before="120" w:line="300" w:lineRule="auto"/>
        <w:ind w:firstLine="720"/>
      </w:pPr>
      <w:r>
        <w:t xml:space="preserve">MTSPs must pause processing of transmission service requests for the upcoming Operating Day between the time the Day-Ahead Market closes and when Day-Ahead Energy Schedules are updated by the Market Operator. If the Day-Ahead Market posting is delayed, MTSPs will continue their pause until the results become available. If the Market Operator posts an announcement that the Day-Ahead Market run is unable to solve, MTSPs may resume queue processing after the announcement has been made. </w:t>
      </w:r>
    </w:p>
    <w:p w14:paraId="410973CC" w14:textId="652D42EE" w:rsidR="000D26D7" w:rsidRDefault="00470CA0" w:rsidP="00F571B1">
      <w:pPr>
        <w:spacing w:before="120" w:line="300" w:lineRule="auto"/>
        <w:ind w:firstLine="720"/>
        <w:rPr>
          <w:b/>
          <w:bCs/>
        </w:rPr>
      </w:pPr>
      <w:r>
        <w:t xml:space="preserve"> This pause will not affect the prioritization of requests received while queue processing is paused.</w:t>
      </w:r>
      <w:r w:rsidR="000D26D7">
        <w:rPr>
          <w:b/>
          <w:bCs/>
        </w:rPr>
        <w:br w:type="page"/>
      </w:r>
    </w:p>
    <w:p w14:paraId="631BE4E8" w14:textId="53D5F950" w:rsidR="00470CA0" w:rsidRPr="000E630A" w:rsidRDefault="00E850AF" w:rsidP="000D26D7">
      <w:pPr>
        <w:spacing w:before="120" w:line="300" w:lineRule="auto"/>
        <w:jc w:val="center"/>
        <w:rPr>
          <w:b/>
          <w:bCs/>
        </w:rPr>
      </w:pPr>
      <w:bookmarkStart w:id="7094" w:name="_Toc213772428"/>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8</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3</w:t>
      </w:r>
      <w:r w:rsidRPr="004046DB">
        <w:rPr>
          <w:b/>
          <w:szCs w:val="24"/>
        </w:rPr>
        <w:fldChar w:fldCharType="end"/>
      </w:r>
      <w:r>
        <w:rPr>
          <w:b/>
          <w:szCs w:val="24"/>
        </w:rPr>
        <w:t xml:space="preserve">:  </w:t>
      </w:r>
      <w:r w:rsidR="00470CA0">
        <w:rPr>
          <w:b/>
          <w:bCs/>
        </w:rPr>
        <w:t>Queue Processing Pause</w:t>
      </w:r>
      <w:bookmarkEnd w:id="7094"/>
    </w:p>
    <w:p w14:paraId="402992B7" w14:textId="77777777" w:rsidR="00470CA0" w:rsidRDefault="00470CA0" w:rsidP="000D26D7">
      <w:pPr>
        <w:spacing w:before="120" w:line="300" w:lineRule="auto"/>
        <w:jc w:val="center"/>
      </w:pPr>
      <w:r>
        <w:rPr>
          <w:noProof/>
          <w14:ligatures w14:val="standardContextual"/>
        </w:rPr>
        <w:drawing>
          <wp:inline distT="0" distB="0" distL="0" distR="0" wp14:anchorId="2961EFE1" wp14:editId="2D3C4A5B">
            <wp:extent cx="5943600" cy="1480820"/>
            <wp:effectExtent l="0" t="0" r="0" b="5080"/>
            <wp:docPr id="1590256580"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56580" name="Picture 1" descr="Timeline&#10;&#10;Description automatically generated"/>
                    <pic:cNvPicPr/>
                  </pic:nvPicPr>
                  <pic:blipFill>
                    <a:blip r:embed="rId103"/>
                    <a:stretch>
                      <a:fillRect/>
                    </a:stretch>
                  </pic:blipFill>
                  <pic:spPr>
                    <a:xfrm>
                      <a:off x="0" y="0"/>
                      <a:ext cx="5943600" cy="1480820"/>
                    </a:xfrm>
                    <a:prstGeom prst="rect">
                      <a:avLst/>
                    </a:prstGeom>
                  </pic:spPr>
                </pic:pic>
              </a:graphicData>
            </a:graphic>
          </wp:inline>
        </w:drawing>
      </w:r>
    </w:p>
    <w:p w14:paraId="376513D8" w14:textId="22AC24DD" w:rsidR="000D26D7" w:rsidRDefault="000D26D7">
      <w:pPr>
        <w:spacing w:after="0"/>
        <w:jc w:val="left"/>
      </w:pPr>
      <w:r>
        <w:br w:type="page"/>
      </w:r>
    </w:p>
    <w:p w14:paraId="2714EF8F" w14:textId="3FDE3C4D" w:rsidR="00BD64CF" w:rsidRPr="00203E9F" w:rsidRDefault="00BD64CF" w:rsidP="00CC62D5">
      <w:pPr>
        <w:pStyle w:val="Heading1"/>
      </w:pPr>
      <w:bookmarkStart w:id="7095" w:name="_Ref212558522"/>
      <w:bookmarkStart w:id="7096" w:name="_Ref212563696"/>
      <w:bookmarkStart w:id="7097" w:name="_Ref212627270"/>
      <w:bookmarkStart w:id="7098" w:name="_Toc213772035"/>
      <w:r w:rsidRPr="00203E9F">
        <w:t>Market Registration</w:t>
      </w:r>
      <w:bookmarkEnd w:id="7095"/>
      <w:bookmarkEnd w:id="7096"/>
      <w:bookmarkEnd w:id="7097"/>
      <w:bookmarkEnd w:id="7098"/>
    </w:p>
    <w:p w14:paraId="693718EA" w14:textId="4E176CF1" w:rsidR="00BD64CF" w:rsidRDefault="00BD64CF" w:rsidP="00BD64CF">
      <w:pPr>
        <w:spacing w:line="300" w:lineRule="auto"/>
        <w:rPr>
          <w:szCs w:val="24"/>
        </w:rPr>
      </w:pPr>
      <w:r w:rsidRPr="00D25391">
        <w:rPr>
          <w:szCs w:val="24"/>
        </w:rPr>
        <w:t>All loads</w:t>
      </w:r>
      <w:r>
        <w:rPr>
          <w:szCs w:val="24"/>
        </w:rPr>
        <w:t xml:space="preserve"> within the Markets+ Footprint </w:t>
      </w:r>
      <w:r w:rsidRPr="00D25391">
        <w:rPr>
          <w:szCs w:val="24"/>
        </w:rPr>
        <w:t>must register</w:t>
      </w:r>
      <w:r w:rsidRPr="6EBA7E51">
        <w:rPr>
          <w:szCs w:val="24"/>
        </w:rPr>
        <w:t>, including Non-Conforming Load and Demand Response Load</w:t>
      </w:r>
      <w:r w:rsidRPr="00D25391">
        <w:rPr>
          <w:szCs w:val="24"/>
        </w:rPr>
        <w:t xml:space="preserve">.  </w:t>
      </w:r>
      <w:r w:rsidRPr="6EBA7E51">
        <w:rPr>
          <w:szCs w:val="24"/>
        </w:rPr>
        <w:t xml:space="preserve">A Market Participant must register all its generation within the Markets+ Footprint capable of producing and maintaining a response of at least 0.1 MW for a continuous duration of sixty (60) minutes and capable of injecting into the Markets+ Footprint transmission system unless otherwise included in a broader resource aggregation as described in Section </w:t>
      </w:r>
      <w:r w:rsidR="00106435">
        <w:rPr>
          <w:szCs w:val="24"/>
        </w:rPr>
        <w:fldChar w:fldCharType="begin"/>
      </w:r>
      <w:r w:rsidR="00106435">
        <w:rPr>
          <w:szCs w:val="24"/>
        </w:rPr>
        <w:instrText xml:space="preserve"> REF _Ref195097998 \r \h </w:instrText>
      </w:r>
      <w:r w:rsidR="00106435">
        <w:rPr>
          <w:szCs w:val="24"/>
        </w:rPr>
      </w:r>
      <w:r w:rsidR="00106435">
        <w:rPr>
          <w:szCs w:val="24"/>
        </w:rPr>
        <w:fldChar w:fldCharType="separate"/>
      </w:r>
      <w:r w:rsidR="00106435">
        <w:rPr>
          <w:szCs w:val="24"/>
        </w:rPr>
        <w:t>9.1.13</w:t>
      </w:r>
      <w:r w:rsidR="00106435">
        <w:rPr>
          <w:szCs w:val="24"/>
        </w:rPr>
        <w:fldChar w:fldCharType="end"/>
      </w:r>
      <w:r w:rsidRPr="6EBA7E51">
        <w:rPr>
          <w:szCs w:val="24"/>
        </w:rPr>
        <w:t xml:space="preserve">.  </w:t>
      </w:r>
      <w:r w:rsidRPr="00D25391">
        <w:rPr>
          <w:szCs w:val="24"/>
        </w:rPr>
        <w:t>Resources not capable of producing and maintaining a response of at least 0.1 Megawatt (“MW”) for a continuous duration of sixty (60) minutes are not eligible to register.  Behind-The-Meter Generation less than</w:t>
      </w:r>
      <w:r w:rsidR="00D71BBA">
        <w:rPr>
          <w:szCs w:val="24"/>
        </w:rPr>
        <w:t xml:space="preserve"> ten</w:t>
      </w:r>
      <w:r w:rsidRPr="00D25391">
        <w:rPr>
          <w:szCs w:val="24"/>
        </w:rPr>
        <w:t xml:space="preserve"> </w:t>
      </w:r>
      <w:r w:rsidR="00D71BBA">
        <w:rPr>
          <w:szCs w:val="24"/>
        </w:rPr>
        <w:t>(</w:t>
      </w:r>
      <w:r w:rsidRPr="00D25391">
        <w:rPr>
          <w:szCs w:val="24"/>
        </w:rPr>
        <w:t>10</w:t>
      </w:r>
      <w:r w:rsidR="00D71BBA">
        <w:rPr>
          <w:szCs w:val="24"/>
        </w:rPr>
        <w:t>)</w:t>
      </w:r>
      <w:r w:rsidRPr="00D25391">
        <w:rPr>
          <w:szCs w:val="24"/>
        </w:rPr>
        <w:t xml:space="preserve"> MWs may, but is not required to, register.  </w:t>
      </w:r>
      <w:r w:rsidRPr="6EBA7E51">
        <w:rPr>
          <w:szCs w:val="24"/>
        </w:rPr>
        <w:t xml:space="preserve">Additionally, behind-the-meter resources greater than ten (10) MW that do not operate synchronous to the grid or are not capable of injection into the transmission system or are included as part of a larger resource aggregation, including demand response, are not required to register.  </w:t>
      </w:r>
      <w:r w:rsidRPr="00D25391">
        <w:rPr>
          <w:szCs w:val="24"/>
        </w:rPr>
        <w:t xml:space="preserve">All other Resources must register prior to participation in </w:t>
      </w:r>
      <w:r w:rsidRPr="6EBA7E51">
        <w:rPr>
          <w:szCs w:val="24"/>
        </w:rPr>
        <w:t>Markets+</w:t>
      </w:r>
      <w:r w:rsidRPr="00D25391">
        <w:rPr>
          <w:szCs w:val="24"/>
        </w:rPr>
        <w:t xml:space="preserve">.  Registration is accomplished by entering the required information via the </w:t>
      </w:r>
      <w:r>
        <w:rPr>
          <w:szCs w:val="24"/>
        </w:rPr>
        <w:t>Market Operator</w:t>
      </w:r>
      <w:r w:rsidRPr="00D25391">
        <w:rPr>
          <w:szCs w:val="24"/>
        </w:rPr>
        <w:t xml:space="preserve"> </w:t>
      </w:r>
      <w:r w:rsidRPr="6EBA7E51">
        <w:rPr>
          <w:szCs w:val="24"/>
        </w:rPr>
        <w:t>m</w:t>
      </w:r>
      <w:r w:rsidRPr="00D25391">
        <w:rPr>
          <w:szCs w:val="24"/>
        </w:rPr>
        <w:t xml:space="preserve">arket </w:t>
      </w:r>
      <w:r w:rsidRPr="6EBA7E51">
        <w:rPr>
          <w:szCs w:val="24"/>
        </w:rPr>
        <w:t>r</w:t>
      </w:r>
      <w:r w:rsidRPr="00D25391">
        <w:rPr>
          <w:szCs w:val="24"/>
        </w:rPr>
        <w:t xml:space="preserve">egistration </w:t>
      </w:r>
      <w:r w:rsidRPr="6EBA7E51">
        <w:rPr>
          <w:szCs w:val="24"/>
        </w:rPr>
        <w:t>process</w:t>
      </w:r>
      <w:r w:rsidRPr="00D25391">
        <w:rPr>
          <w:szCs w:val="24"/>
        </w:rPr>
        <w:t xml:space="preserve">.  </w:t>
      </w:r>
      <w:r w:rsidRPr="6EBA7E51">
        <w:rPr>
          <w:szCs w:val="24"/>
        </w:rPr>
        <w:t xml:space="preserve">Entities must execute the appropriate agreement in Attachment </w:t>
      </w:r>
      <w:r>
        <w:rPr>
          <w:szCs w:val="24"/>
        </w:rPr>
        <w:t>E</w:t>
      </w:r>
      <w:r w:rsidRPr="6EBA7E51">
        <w:rPr>
          <w:szCs w:val="24"/>
        </w:rPr>
        <w:t xml:space="preserve"> in the Markets+ Tariff.</w:t>
      </w:r>
      <w:r w:rsidRPr="00D25391">
        <w:rPr>
          <w:szCs w:val="24"/>
        </w:rPr>
        <w:t xml:space="preserve">  </w:t>
      </w:r>
      <w:r w:rsidR="00C74D8E">
        <w:rPr>
          <w:szCs w:val="24"/>
        </w:rPr>
        <w:t xml:space="preserve">A Market Participant will use the </w:t>
      </w:r>
      <w:r w:rsidR="00525FA2">
        <w:rPr>
          <w:szCs w:val="24"/>
        </w:rPr>
        <w:t xml:space="preserve"> Markets+ Registration Workbook</w:t>
      </w:r>
      <w:r w:rsidR="00C74D8E">
        <w:rPr>
          <w:szCs w:val="24"/>
        </w:rPr>
        <w:t xml:space="preserve"> to</w:t>
      </w:r>
      <w:r w:rsidRPr="00D25391">
        <w:rPr>
          <w:szCs w:val="24"/>
        </w:rPr>
        <w:t xml:space="preserve"> identif</w:t>
      </w:r>
      <w:r w:rsidR="00C74D8E">
        <w:rPr>
          <w:szCs w:val="24"/>
        </w:rPr>
        <w:t>y</w:t>
      </w:r>
      <w:r w:rsidRPr="00D25391">
        <w:rPr>
          <w:szCs w:val="24"/>
        </w:rPr>
        <w:t xml:space="preserve"> each load </w:t>
      </w:r>
      <w:r w:rsidRPr="00D25391" w:rsidDel="0046151A">
        <w:rPr>
          <w:szCs w:val="24"/>
        </w:rPr>
        <w:t>and/or</w:t>
      </w:r>
      <w:r w:rsidRPr="00D25391">
        <w:rPr>
          <w:szCs w:val="24"/>
        </w:rPr>
        <w:t xml:space="preserve"> Resource to Asset Owners, associated Market Participants</w:t>
      </w:r>
      <w:r w:rsidRPr="6EBA7E51">
        <w:rPr>
          <w:szCs w:val="24"/>
        </w:rPr>
        <w:t>,</w:t>
      </w:r>
      <w:r w:rsidRPr="00D25391">
        <w:rPr>
          <w:szCs w:val="24"/>
        </w:rPr>
        <w:t xml:space="preserve"> Settlement Locations,</w:t>
      </w:r>
      <w:r w:rsidRPr="6EBA7E51">
        <w:rPr>
          <w:szCs w:val="24"/>
        </w:rPr>
        <w:t xml:space="preserve"> and</w:t>
      </w:r>
      <w:r w:rsidRPr="00D25391">
        <w:rPr>
          <w:szCs w:val="24"/>
        </w:rPr>
        <w:t xml:space="preserve"> Meter Agents</w:t>
      </w:r>
      <w:r w:rsidR="00C74D8E">
        <w:rPr>
          <w:szCs w:val="24"/>
        </w:rPr>
        <w:t xml:space="preserve"> to the Market Operator</w:t>
      </w:r>
      <w:r w:rsidRPr="6EBA7E51">
        <w:rPr>
          <w:szCs w:val="24"/>
        </w:rPr>
        <w:t>.</w:t>
      </w:r>
      <w:r w:rsidRPr="00D25391">
        <w:rPr>
          <w:szCs w:val="24"/>
        </w:rPr>
        <w:t xml:space="preserve">  </w:t>
      </w:r>
    </w:p>
    <w:p w14:paraId="01C3AC4B" w14:textId="77777777" w:rsidR="00BD64CF" w:rsidRPr="00D25391" w:rsidRDefault="00BD64CF" w:rsidP="00BD64CF">
      <w:pPr>
        <w:spacing w:line="300" w:lineRule="auto"/>
        <w:rPr>
          <w:szCs w:val="24"/>
        </w:rPr>
      </w:pPr>
      <w:r w:rsidRPr="0096211C">
        <w:rPr>
          <w:szCs w:val="24"/>
        </w:rPr>
        <w:t>To ensure that all load and Resources within the Markets+ Footprint are registered, if an entity within a Participating Balancing Authority Area chooses not to register its load or Resources in Markets+, the responsibility for registering those assets will be with the utility operating the host Participating Balancing Authority. The Market Operator will not be a party to any agreement between the utility operating the host Participating Balancing Authority and the non-participating entity. Failure or refusal to register a load or Resource will result in the Market Operator filing an unexecuted version of the MP Agreement in Attachment E</w:t>
      </w:r>
      <w:r>
        <w:rPr>
          <w:szCs w:val="24"/>
        </w:rPr>
        <w:t xml:space="preserve"> of the Markets+ Tariff</w:t>
      </w:r>
      <w:r w:rsidRPr="0096211C">
        <w:rPr>
          <w:szCs w:val="24"/>
        </w:rPr>
        <w:t xml:space="preserve"> for that Resource with FERC under the name of the Market Participant representing the utility operating the host Participating Balancing Authority.</w:t>
      </w:r>
      <w:r>
        <w:rPr>
          <w:szCs w:val="24"/>
        </w:rPr>
        <w:t xml:space="preserve"> </w:t>
      </w:r>
      <w:r w:rsidRPr="00D25391">
        <w:rPr>
          <w:szCs w:val="24"/>
        </w:rPr>
        <w:t xml:space="preserve">A Market Participant may represent one or more Asset Owners and may appoint a </w:t>
      </w:r>
      <w:r>
        <w:rPr>
          <w:szCs w:val="24"/>
        </w:rPr>
        <w:t>d</w:t>
      </w:r>
      <w:r w:rsidRPr="00D25391">
        <w:rPr>
          <w:szCs w:val="24"/>
        </w:rPr>
        <w:t xml:space="preserve">esignated </w:t>
      </w:r>
      <w:r>
        <w:rPr>
          <w:szCs w:val="24"/>
        </w:rPr>
        <w:t>a</w:t>
      </w:r>
      <w:r w:rsidRPr="00D25391">
        <w:rPr>
          <w:szCs w:val="24"/>
        </w:rPr>
        <w:t>gent to perform its functions under these protocols.</w:t>
      </w:r>
    </w:p>
    <w:p w14:paraId="4AB56035" w14:textId="77777777" w:rsidR="00BD64CF" w:rsidRPr="00D25391" w:rsidRDefault="00BD64CF" w:rsidP="00BD64CF">
      <w:pPr>
        <w:spacing w:line="300" w:lineRule="auto"/>
        <w:rPr>
          <w:szCs w:val="24"/>
        </w:rPr>
      </w:pPr>
      <w:r w:rsidRPr="00D25391">
        <w:rPr>
          <w:szCs w:val="24"/>
        </w:rPr>
        <w:t xml:space="preserve">Assets are the registered loads and Resources </w:t>
      </w:r>
      <w:r>
        <w:rPr>
          <w:szCs w:val="24"/>
        </w:rPr>
        <w:t>associated within</w:t>
      </w:r>
      <w:r w:rsidRPr="00D25391">
        <w:rPr>
          <w:szCs w:val="24"/>
        </w:rPr>
        <w:t xml:space="preserve"> an Asset Owner at specific Settlement Locations</w:t>
      </w:r>
      <w:r>
        <w:rPr>
          <w:szCs w:val="24"/>
        </w:rPr>
        <w:t>, which</w:t>
      </w:r>
      <w:r w:rsidRPr="00D25391">
        <w:rPr>
          <w:szCs w:val="24"/>
        </w:rPr>
        <w:t xml:space="preserve"> have a designated Meter Agent.  Market Participants have the legal relationship with </w:t>
      </w:r>
      <w:r>
        <w:rPr>
          <w:szCs w:val="24"/>
        </w:rPr>
        <w:t>the Market Operator</w:t>
      </w:r>
      <w:r w:rsidRPr="00D25391">
        <w:rPr>
          <w:szCs w:val="24"/>
        </w:rPr>
        <w:t xml:space="preserve">. The Market Participant is also responsible for ensuring that </w:t>
      </w:r>
      <w:r>
        <w:rPr>
          <w:szCs w:val="24"/>
        </w:rPr>
        <w:t>the Market Operator</w:t>
      </w:r>
      <w:r w:rsidRPr="00D25391">
        <w:rPr>
          <w:szCs w:val="24"/>
        </w:rPr>
        <w:t xml:space="preserve"> receives Settlement Location data from the Meter Agent in a suitable electronic format. </w:t>
      </w:r>
    </w:p>
    <w:p w14:paraId="2B38BC7B" w14:textId="7307EE75" w:rsidR="00BD64CF" w:rsidRPr="00D25391" w:rsidRDefault="00BD64CF" w:rsidP="00BD64CF">
      <w:pPr>
        <w:spacing w:line="300" w:lineRule="auto"/>
        <w:rPr>
          <w:szCs w:val="24"/>
        </w:rPr>
      </w:pPr>
      <w:r w:rsidRPr="00D25391">
        <w:rPr>
          <w:szCs w:val="24"/>
        </w:rPr>
        <w:t xml:space="preserve">Registration data is used for </w:t>
      </w:r>
      <w:r>
        <w:rPr>
          <w:szCs w:val="24"/>
        </w:rPr>
        <w:t xml:space="preserve">the </w:t>
      </w:r>
      <w:r w:rsidRPr="00D25391">
        <w:rPr>
          <w:szCs w:val="24"/>
        </w:rPr>
        <w:t>operation and settlement of Markets+</w:t>
      </w:r>
      <w:r>
        <w:rPr>
          <w:szCs w:val="24"/>
        </w:rPr>
        <w:t xml:space="preserve">. </w:t>
      </w:r>
      <w:r w:rsidRPr="00D25391">
        <w:rPr>
          <w:szCs w:val="24"/>
        </w:rPr>
        <w:t xml:space="preserve">Exhibit </w:t>
      </w:r>
      <w:r>
        <w:rPr>
          <w:szCs w:val="24"/>
        </w:rPr>
        <w:t>9</w:t>
      </w:r>
      <w:r w:rsidRPr="00D25391">
        <w:rPr>
          <w:szCs w:val="24"/>
        </w:rPr>
        <w:t>-1 provides an overview of how the registration data is used in developing settlement related items in the Commercial Model.  Please note the diagram does not show all of the Node to Meter Settlement Location to Meter Data Submittal Location relationships, only a sample subset.  Each Meter Data Submittal Location will have a minimum of a single P</w:t>
      </w:r>
      <w:r w:rsidR="0050461C">
        <w:rPr>
          <w:szCs w:val="24"/>
        </w:rPr>
        <w:t>n</w:t>
      </w:r>
      <w:r w:rsidRPr="00D25391">
        <w:rPr>
          <w:szCs w:val="24"/>
        </w:rPr>
        <w:t>ode (Meter Settlement Location) associated with it and each P</w:t>
      </w:r>
      <w:r w:rsidR="0050461C">
        <w:rPr>
          <w:szCs w:val="24"/>
        </w:rPr>
        <w:t>n</w:t>
      </w:r>
      <w:r w:rsidRPr="00D25391">
        <w:rPr>
          <w:szCs w:val="24"/>
        </w:rPr>
        <w:t xml:space="preserve">ode will have a single Node associated with it. </w:t>
      </w:r>
    </w:p>
    <w:p w14:paraId="3AA38264" w14:textId="3B3CB90E" w:rsidR="00BD64CF" w:rsidRPr="00D25391" w:rsidRDefault="00BD64CF" w:rsidP="00BD64CF">
      <w:pPr>
        <w:spacing w:line="300" w:lineRule="auto"/>
        <w:rPr>
          <w:szCs w:val="24"/>
        </w:rPr>
      </w:pPr>
      <w:r w:rsidRPr="00D25391">
        <w:rPr>
          <w:szCs w:val="24"/>
        </w:rPr>
        <w:t xml:space="preserve">The nodes associated with the asset must be identified by the Market Participant and submitted as part of the registration data.  These nodes should correspond to the nearest transmission system bus associated with the asset.  The Market Participant(s) representing the load asset at a </w:t>
      </w:r>
      <w:r w:rsidR="007D6145">
        <w:rPr>
          <w:szCs w:val="24"/>
        </w:rPr>
        <w:t>DDRR</w:t>
      </w:r>
      <w:r w:rsidR="00AB53DE">
        <w:rPr>
          <w:szCs w:val="24"/>
        </w:rPr>
        <w:t>’s</w:t>
      </w:r>
      <w:r w:rsidRPr="00D25391">
        <w:rPr>
          <w:szCs w:val="24"/>
        </w:rPr>
        <w:t xml:space="preserve"> </w:t>
      </w:r>
      <w:r>
        <w:rPr>
          <w:szCs w:val="24"/>
        </w:rPr>
        <w:t>n</w:t>
      </w:r>
      <w:r w:rsidRPr="00D25391">
        <w:rPr>
          <w:szCs w:val="24"/>
        </w:rPr>
        <w:t xml:space="preserve">ode may submit the associated node to </w:t>
      </w:r>
      <w:r>
        <w:rPr>
          <w:szCs w:val="24"/>
        </w:rPr>
        <w:t>the Market Operator</w:t>
      </w:r>
      <w:r w:rsidRPr="00D25391">
        <w:rPr>
          <w:szCs w:val="24"/>
        </w:rPr>
        <w:t xml:space="preserve">.  This data can, for example, be conveyed through one of the following ways. </w:t>
      </w:r>
    </w:p>
    <w:p w14:paraId="2DCE09A6" w14:textId="77777777" w:rsidR="00BD64CF" w:rsidRPr="00D25391" w:rsidRDefault="00BD64CF" w:rsidP="00BD64CF">
      <w:pPr>
        <w:spacing w:line="300" w:lineRule="auto"/>
        <w:ind w:left="720" w:hanging="720"/>
        <w:rPr>
          <w:szCs w:val="24"/>
        </w:rPr>
      </w:pPr>
      <w:r w:rsidRPr="00D25391">
        <w:rPr>
          <w:szCs w:val="24"/>
        </w:rPr>
        <w:t>•</w:t>
      </w:r>
      <w:r w:rsidRPr="00D25391">
        <w:rPr>
          <w:szCs w:val="24"/>
        </w:rPr>
        <w:tab/>
        <w:t xml:space="preserve">A system drawing that identifies the disconnect or breaker behind which the asset is located. </w:t>
      </w:r>
    </w:p>
    <w:p w14:paraId="5454FE8B" w14:textId="2FEDCE58" w:rsidR="00BD64CF" w:rsidRPr="00D25391" w:rsidRDefault="00BD64CF" w:rsidP="00BD64CF">
      <w:pPr>
        <w:spacing w:line="300" w:lineRule="auto"/>
        <w:ind w:left="720" w:hanging="720"/>
        <w:rPr>
          <w:szCs w:val="24"/>
        </w:rPr>
      </w:pPr>
      <w:r w:rsidRPr="00D25391">
        <w:rPr>
          <w:szCs w:val="24"/>
        </w:rPr>
        <w:t>•</w:t>
      </w:r>
      <w:r w:rsidRPr="00D25391">
        <w:rPr>
          <w:szCs w:val="24"/>
        </w:rPr>
        <w:tab/>
        <w:t>The common name of the transformer (e.g.</w:t>
      </w:r>
      <w:r w:rsidR="002B27B3">
        <w:rPr>
          <w:szCs w:val="24"/>
        </w:rPr>
        <w:t>,</w:t>
      </w:r>
      <w:r w:rsidRPr="00D25391">
        <w:rPr>
          <w:szCs w:val="24"/>
        </w:rPr>
        <w:t xml:space="preserve"> West, East, 1, 2, A, B, C).</w:t>
      </w:r>
    </w:p>
    <w:p w14:paraId="5BB60126" w14:textId="77777777" w:rsidR="00BD64CF" w:rsidRPr="00D25391" w:rsidRDefault="00BD64CF" w:rsidP="00BD64CF">
      <w:pPr>
        <w:spacing w:line="300" w:lineRule="auto"/>
        <w:ind w:left="720" w:hanging="720"/>
        <w:rPr>
          <w:szCs w:val="24"/>
        </w:rPr>
      </w:pPr>
      <w:r w:rsidRPr="00D25391">
        <w:rPr>
          <w:szCs w:val="24"/>
        </w:rPr>
        <w:t>•</w:t>
      </w:r>
      <w:r w:rsidRPr="00D25391">
        <w:rPr>
          <w:szCs w:val="24"/>
        </w:rPr>
        <w:tab/>
        <w:t xml:space="preserve">The common name of the disconnect or switch between the asset and the </w:t>
      </w:r>
      <w:r>
        <w:rPr>
          <w:szCs w:val="24"/>
        </w:rPr>
        <w:t>t</w:t>
      </w:r>
      <w:r w:rsidRPr="00D25391">
        <w:rPr>
          <w:szCs w:val="24"/>
        </w:rPr>
        <w:t xml:space="preserve">ransmission </w:t>
      </w:r>
      <w:r>
        <w:rPr>
          <w:szCs w:val="24"/>
        </w:rPr>
        <w:t>s</w:t>
      </w:r>
      <w:r w:rsidRPr="00D25391">
        <w:rPr>
          <w:szCs w:val="24"/>
        </w:rPr>
        <w:t>ystem.</w:t>
      </w:r>
    </w:p>
    <w:p w14:paraId="7056E2CC" w14:textId="34365891" w:rsidR="00BD64CF" w:rsidRPr="00D25391" w:rsidRDefault="00BD64CF" w:rsidP="00BD64CF">
      <w:pPr>
        <w:spacing w:line="300" w:lineRule="auto"/>
        <w:ind w:left="720" w:hanging="720"/>
        <w:rPr>
          <w:szCs w:val="24"/>
        </w:rPr>
      </w:pPr>
      <w:r w:rsidRPr="00D25391">
        <w:rPr>
          <w:szCs w:val="24"/>
        </w:rPr>
        <w:t>•</w:t>
      </w:r>
      <w:r w:rsidRPr="00D25391">
        <w:rPr>
          <w:szCs w:val="24"/>
        </w:rPr>
        <w:tab/>
        <w:t>The common name of the transmission bus if there is only one delivery point/distribution transformer for loads</w:t>
      </w:r>
      <w:r>
        <w:rPr>
          <w:szCs w:val="24"/>
        </w:rPr>
        <w:t xml:space="preserve"> or</w:t>
      </w:r>
      <w:r w:rsidRPr="00D25391">
        <w:rPr>
          <w:szCs w:val="24"/>
        </w:rPr>
        <w:t xml:space="preserve"> DD</w:t>
      </w:r>
      <w:r w:rsidR="00AB53DE">
        <w:rPr>
          <w:szCs w:val="24"/>
        </w:rPr>
        <w:t>R</w:t>
      </w:r>
      <w:r w:rsidRPr="00D25391">
        <w:rPr>
          <w:szCs w:val="24"/>
        </w:rPr>
        <w:t xml:space="preserve">Rs at the substation. </w:t>
      </w:r>
    </w:p>
    <w:p w14:paraId="50479DB3" w14:textId="77777777" w:rsidR="00BD64CF" w:rsidRPr="00D25391" w:rsidRDefault="00BD64CF" w:rsidP="00BD64CF">
      <w:pPr>
        <w:spacing w:line="300" w:lineRule="auto"/>
        <w:ind w:left="720" w:hanging="720"/>
        <w:rPr>
          <w:szCs w:val="24"/>
        </w:rPr>
      </w:pPr>
      <w:r w:rsidRPr="00D25391">
        <w:rPr>
          <w:szCs w:val="24"/>
        </w:rPr>
        <w:t>•</w:t>
      </w:r>
      <w:r w:rsidRPr="00D25391">
        <w:rPr>
          <w:szCs w:val="24"/>
        </w:rPr>
        <w:tab/>
        <w:t>The common name of the transmission bus if there is only one generator step up transformer for Resources at the substation.</w:t>
      </w:r>
    </w:p>
    <w:p w14:paraId="6679C3F3" w14:textId="77777777" w:rsidR="00BD64CF" w:rsidRPr="00D25391" w:rsidRDefault="00BD64CF" w:rsidP="00BD64CF">
      <w:pPr>
        <w:spacing w:line="300" w:lineRule="auto"/>
        <w:rPr>
          <w:szCs w:val="24"/>
        </w:rPr>
      </w:pPr>
      <w:r w:rsidRPr="00D25391">
        <w:rPr>
          <w:szCs w:val="24"/>
        </w:rPr>
        <w:t xml:space="preserve">In the event that multiple distribution feeders connect the asset to the transmission system at different nodes, the Market Participant should select </w:t>
      </w:r>
      <w:r>
        <w:rPr>
          <w:szCs w:val="24"/>
        </w:rPr>
        <w:t>a</w:t>
      </w:r>
      <w:r w:rsidRPr="00D25391">
        <w:rPr>
          <w:szCs w:val="24"/>
        </w:rPr>
        <w:t xml:space="preserve"> single node. </w:t>
      </w:r>
    </w:p>
    <w:p w14:paraId="685F3F01" w14:textId="2394132C" w:rsidR="00BD64CF" w:rsidRPr="00D25391" w:rsidRDefault="00BD64CF" w:rsidP="00BD64CF">
      <w:pPr>
        <w:spacing w:line="300" w:lineRule="auto"/>
        <w:rPr>
          <w:szCs w:val="24"/>
        </w:rPr>
      </w:pPr>
      <w:r w:rsidRPr="00D25391">
        <w:rPr>
          <w:szCs w:val="24"/>
        </w:rPr>
        <w:t xml:space="preserve">All market assets registered in Markets+ must conform to the naming convention requirements described and provided in Section </w:t>
      </w:r>
      <w:r w:rsidR="000301FE">
        <w:rPr>
          <w:szCs w:val="24"/>
        </w:rPr>
        <w:fldChar w:fldCharType="begin"/>
      </w:r>
      <w:r w:rsidR="000301FE">
        <w:rPr>
          <w:szCs w:val="24"/>
        </w:rPr>
        <w:instrText xml:space="preserve"> REF _Ref212620572 \r \h </w:instrText>
      </w:r>
      <w:r w:rsidR="000301FE">
        <w:rPr>
          <w:szCs w:val="24"/>
        </w:rPr>
      </w:r>
      <w:r w:rsidR="000301FE">
        <w:rPr>
          <w:szCs w:val="24"/>
        </w:rPr>
        <w:fldChar w:fldCharType="separate"/>
      </w:r>
      <w:r w:rsidR="000301FE">
        <w:rPr>
          <w:szCs w:val="24"/>
        </w:rPr>
        <w:t>9.7</w:t>
      </w:r>
      <w:r w:rsidR="000301FE">
        <w:rPr>
          <w:szCs w:val="24"/>
        </w:rPr>
        <w:fldChar w:fldCharType="end"/>
      </w:r>
      <w:r w:rsidRPr="00D25391">
        <w:rPr>
          <w:szCs w:val="24"/>
        </w:rPr>
        <w:t xml:space="preserve">.  </w:t>
      </w:r>
    </w:p>
    <w:p w14:paraId="290101A0" w14:textId="78E787FC" w:rsidR="00BD64CF" w:rsidRPr="00D25391" w:rsidRDefault="00BD64CF" w:rsidP="00BD64CF">
      <w:pPr>
        <w:spacing w:line="300" w:lineRule="auto"/>
        <w:rPr>
          <w:szCs w:val="24"/>
        </w:rPr>
      </w:pPr>
      <w:r w:rsidRPr="00D25391">
        <w:rPr>
          <w:szCs w:val="24"/>
        </w:rPr>
        <w:t xml:space="preserve">Applications for a Market Participant to provide services in </w:t>
      </w:r>
      <w:r>
        <w:rPr>
          <w:szCs w:val="24"/>
        </w:rPr>
        <w:t>Markets+</w:t>
      </w:r>
      <w:r w:rsidRPr="00D25391">
        <w:rPr>
          <w:szCs w:val="24"/>
        </w:rPr>
        <w:t xml:space="preserve"> must be submitted to </w:t>
      </w:r>
      <w:r>
        <w:rPr>
          <w:szCs w:val="24"/>
        </w:rPr>
        <w:t>the Market Operator</w:t>
      </w:r>
      <w:r w:rsidRPr="00D25391">
        <w:rPr>
          <w:szCs w:val="24"/>
        </w:rPr>
        <w:t xml:space="preserve"> prior to the expected date of participation consistent </w:t>
      </w:r>
      <w:r w:rsidRPr="008800C2">
        <w:rPr>
          <w:szCs w:val="24"/>
        </w:rPr>
        <w:t xml:space="preserve">with Section </w:t>
      </w:r>
      <w:r w:rsidR="00257511">
        <w:rPr>
          <w:szCs w:val="24"/>
        </w:rPr>
        <w:fldChar w:fldCharType="begin"/>
      </w:r>
      <w:r w:rsidR="00257511">
        <w:rPr>
          <w:szCs w:val="24"/>
        </w:rPr>
        <w:instrText xml:space="preserve"> REF _Ref212620605 \r \h </w:instrText>
      </w:r>
      <w:r w:rsidR="00257511">
        <w:rPr>
          <w:szCs w:val="24"/>
        </w:rPr>
      </w:r>
      <w:r w:rsidR="00257511">
        <w:rPr>
          <w:szCs w:val="24"/>
        </w:rPr>
        <w:fldChar w:fldCharType="separate"/>
      </w:r>
      <w:r w:rsidR="00257511">
        <w:rPr>
          <w:szCs w:val="24"/>
        </w:rPr>
        <w:t>9.6</w:t>
      </w:r>
      <w:r w:rsidR="00257511">
        <w:rPr>
          <w:szCs w:val="24"/>
        </w:rPr>
        <w:fldChar w:fldCharType="end"/>
      </w:r>
      <w:r w:rsidRPr="008800C2">
        <w:rPr>
          <w:szCs w:val="24"/>
        </w:rPr>
        <w:t xml:space="preserve">.  New Market Participants will follow the timeframe as specified in Section </w:t>
      </w:r>
      <w:r w:rsidR="00257511">
        <w:rPr>
          <w:szCs w:val="24"/>
        </w:rPr>
        <w:fldChar w:fldCharType="begin"/>
      </w:r>
      <w:r w:rsidR="00257511">
        <w:rPr>
          <w:szCs w:val="24"/>
        </w:rPr>
        <w:instrText xml:space="preserve"> REF _Ref212620623 \r \h </w:instrText>
      </w:r>
      <w:r w:rsidR="00257511">
        <w:rPr>
          <w:szCs w:val="24"/>
        </w:rPr>
      </w:r>
      <w:r w:rsidR="00257511">
        <w:rPr>
          <w:szCs w:val="24"/>
        </w:rPr>
        <w:fldChar w:fldCharType="separate"/>
      </w:r>
      <w:r w:rsidR="00257511">
        <w:rPr>
          <w:szCs w:val="24"/>
        </w:rPr>
        <w:t>9.6</w:t>
      </w:r>
      <w:r w:rsidR="00257511">
        <w:rPr>
          <w:szCs w:val="24"/>
        </w:rPr>
        <w:fldChar w:fldCharType="end"/>
      </w:r>
      <w:r w:rsidRPr="008800C2">
        <w:rPr>
          <w:szCs w:val="24"/>
        </w:rPr>
        <w:t xml:space="preserve"> in addition to the detailed model update timing requirements in Appendix C.  Applications and required registration documentation must conform to the procedures </w:t>
      </w:r>
      <w:r w:rsidRPr="008800C2" w:rsidDel="0046151A">
        <w:rPr>
          <w:szCs w:val="24"/>
        </w:rPr>
        <w:t>and/or</w:t>
      </w:r>
      <w:r w:rsidRPr="008800C2">
        <w:rPr>
          <w:szCs w:val="24"/>
        </w:rPr>
        <w:t xml:space="preserve"> requirements specified in this </w:t>
      </w:r>
      <w:r w:rsidR="007E73D8">
        <w:rPr>
          <w:szCs w:val="24"/>
        </w:rPr>
        <w:t>s</w:t>
      </w:r>
      <w:r w:rsidRPr="008800C2">
        <w:rPr>
          <w:szCs w:val="24"/>
        </w:rPr>
        <w:t>ection.  Registration requests initially submitted with incomplete documentation may be rejected and</w:t>
      </w:r>
      <w:r w:rsidRPr="00D25391">
        <w:rPr>
          <w:szCs w:val="24"/>
        </w:rPr>
        <w:t xml:space="preserve"> scheduled for implementation during the appropriate </w:t>
      </w:r>
      <w:r w:rsidR="00582B2A">
        <w:rPr>
          <w:szCs w:val="24"/>
        </w:rPr>
        <w:t>m</w:t>
      </w:r>
      <w:r w:rsidRPr="00D25391">
        <w:rPr>
          <w:szCs w:val="24"/>
        </w:rPr>
        <w:t xml:space="preserve">odel </w:t>
      </w:r>
      <w:r w:rsidR="00582B2A">
        <w:rPr>
          <w:szCs w:val="24"/>
        </w:rPr>
        <w:t>u</w:t>
      </w:r>
      <w:r w:rsidRPr="00D25391">
        <w:rPr>
          <w:szCs w:val="24"/>
        </w:rPr>
        <w:t xml:space="preserve">pdate after all completed documentation is received and approved by </w:t>
      </w:r>
      <w:r>
        <w:rPr>
          <w:szCs w:val="24"/>
        </w:rPr>
        <w:t>the Market Operator</w:t>
      </w:r>
      <w:r w:rsidRPr="00D25391">
        <w:rPr>
          <w:szCs w:val="24"/>
        </w:rPr>
        <w:t xml:space="preserve">.  Exceptions to this process may be made on a case-by-case basis as determined by </w:t>
      </w:r>
      <w:r>
        <w:rPr>
          <w:szCs w:val="24"/>
        </w:rPr>
        <w:t>the Market Operator</w:t>
      </w:r>
      <w:r w:rsidRPr="00D25391">
        <w:rPr>
          <w:szCs w:val="24"/>
        </w:rPr>
        <w:t xml:space="preserve">.    </w:t>
      </w:r>
    </w:p>
    <w:p w14:paraId="26A81F0F" w14:textId="77777777" w:rsidR="00BD64CF" w:rsidRPr="00D25391" w:rsidRDefault="00BD64CF" w:rsidP="00BD64CF">
      <w:pPr>
        <w:spacing w:line="300" w:lineRule="auto"/>
        <w:rPr>
          <w:szCs w:val="24"/>
        </w:rPr>
        <w:sectPr w:rsidR="00BD64CF" w:rsidRPr="00D25391" w:rsidSect="00BD64CF">
          <w:pgSz w:w="12240" w:h="15840"/>
          <w:pgMar w:top="1728" w:right="1440" w:bottom="1728" w:left="1440" w:header="720" w:footer="720" w:gutter="0"/>
          <w:cols w:space="720"/>
        </w:sectPr>
      </w:pPr>
    </w:p>
    <w:bookmarkStart w:id="7099" w:name="_Toc213772429"/>
    <w:p w14:paraId="1ABC4450" w14:textId="02A7830D" w:rsidR="00BD64CF" w:rsidRPr="003937F0" w:rsidRDefault="00991258" w:rsidP="00CC62D5">
      <w:pPr>
        <w:spacing w:before="120" w:line="300" w:lineRule="auto"/>
        <w:jc w:val="center"/>
        <w:rPr>
          <w:b/>
        </w:rPr>
      </w:pPr>
      <w:r>
        <w:rPr>
          <w:b/>
          <w:noProof/>
          <w:szCs w:val="24"/>
        </w:rPr>
        <mc:AlternateContent>
          <mc:Choice Requires="wpg">
            <w:drawing>
              <wp:anchor distT="0" distB="0" distL="114300" distR="114300" simplePos="0" relativeHeight="251658244" behindDoc="0" locked="0" layoutInCell="1" allowOverlap="1" wp14:anchorId="6F5B2AC3" wp14:editId="5FB8154E">
                <wp:simplePos x="0" y="0"/>
                <wp:positionH relativeFrom="column">
                  <wp:posOffset>-868680</wp:posOffset>
                </wp:positionH>
                <wp:positionV relativeFrom="paragraph">
                  <wp:posOffset>245110</wp:posOffset>
                </wp:positionV>
                <wp:extent cx="9666436" cy="5527319"/>
                <wp:effectExtent l="0" t="0" r="0" b="0"/>
                <wp:wrapNone/>
                <wp:docPr id="241804451" name="Group 179"/>
                <wp:cNvGraphicFramePr/>
                <a:graphic xmlns:a="http://schemas.openxmlformats.org/drawingml/2006/main">
                  <a:graphicData uri="http://schemas.microsoft.com/office/word/2010/wordprocessingGroup">
                    <wpg:wgp>
                      <wpg:cNvGrpSpPr/>
                      <wpg:grpSpPr>
                        <a:xfrm>
                          <a:off x="0" y="0"/>
                          <a:ext cx="9666436" cy="5527319"/>
                          <a:chOff x="0" y="0"/>
                          <a:chExt cx="9666436" cy="5527319"/>
                        </a:xfrm>
                      </wpg:grpSpPr>
                      <wps:wsp>
                        <wps:cNvPr id="6469" name="Text Box 856"/>
                        <wps:cNvSpPr txBox="1">
                          <a:spLocks noChangeArrowheads="1"/>
                        </wps:cNvSpPr>
                        <wps:spPr bwMode="auto">
                          <a:xfrm>
                            <a:off x="185057" y="1600200"/>
                            <a:ext cx="1004044" cy="904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C04B" w14:textId="77777777" w:rsidR="00BD64CF" w:rsidRPr="00AE6192" w:rsidRDefault="00BD64CF" w:rsidP="00BD64CF">
                              <w:pPr>
                                <w:spacing w:after="0"/>
                                <w:jc w:val="right"/>
                              </w:pPr>
                              <w:r w:rsidRPr="00AE6192">
                                <w:t xml:space="preserve">Settlement </w:t>
                              </w:r>
                            </w:p>
                            <w:p w14:paraId="0CB7F104" w14:textId="77777777" w:rsidR="00BD64CF" w:rsidRPr="00AE6192" w:rsidRDefault="00BD64CF" w:rsidP="00BD64CF">
                              <w:pPr>
                                <w:spacing w:after="0"/>
                                <w:jc w:val="right"/>
                              </w:pPr>
                              <w:r w:rsidRPr="00AE6192">
                                <w:t>Locations</w:t>
                              </w:r>
                            </w:p>
                            <w:p w14:paraId="07A5CBEC" w14:textId="77777777" w:rsidR="00BD64CF" w:rsidRPr="00AE6192" w:rsidRDefault="00BD64CF" w:rsidP="00BD64CF">
                              <w:pPr>
                                <w:spacing w:after="0"/>
                                <w:jc w:val="right"/>
                              </w:pPr>
                              <w:r w:rsidRPr="00AE6192">
                                <w:t xml:space="preserve">(pricing / </w:t>
                              </w:r>
                            </w:p>
                            <w:p w14:paraId="7E8CC950" w14:textId="77777777" w:rsidR="00BD64CF" w:rsidRPr="00AE6192" w:rsidRDefault="00BD64CF" w:rsidP="00BD64CF">
                              <w:pPr>
                                <w:spacing w:after="0"/>
                                <w:jc w:val="right"/>
                              </w:pPr>
                              <w:r w:rsidRPr="00AE6192">
                                <w:t>settlement)</w:t>
                              </w:r>
                            </w:p>
                          </w:txbxContent>
                        </wps:txbx>
                        <wps:bodyPr rot="0" vert="horz" wrap="square" lIns="91440" tIns="45720" rIns="91440" bIns="45720" anchor="t" anchorCtr="0" upright="1">
                          <a:noAutofit/>
                        </wps:bodyPr>
                      </wps:wsp>
                      <wps:wsp>
                        <wps:cNvPr id="6476" name="Text Box 778"/>
                        <wps:cNvSpPr txBox="1">
                          <a:spLocks noChangeArrowheads="1"/>
                        </wps:cNvSpPr>
                        <wps:spPr bwMode="auto">
                          <a:xfrm>
                            <a:off x="5061857" y="0"/>
                            <a:ext cx="1183710" cy="300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F8C8" w14:textId="77777777" w:rsidR="00BD64CF" w:rsidRPr="00AE6192" w:rsidRDefault="00BD64CF" w:rsidP="00BD64CF">
                              <w:pPr>
                                <w:rPr>
                                  <w:szCs w:val="24"/>
                                </w:rPr>
                              </w:pPr>
                              <w:r w:rsidRPr="00AE6192">
                                <w:t xml:space="preserve">Reserve </w:t>
                              </w:r>
                              <w:r w:rsidRPr="00AE6192">
                                <w:rPr>
                                  <w:szCs w:val="24"/>
                                </w:rPr>
                                <w:t>Zones</w:t>
                              </w:r>
                            </w:p>
                          </w:txbxContent>
                        </wps:txbx>
                        <wps:bodyPr rot="0" vert="horz" wrap="square" lIns="91440" tIns="45720" rIns="91440" bIns="45720" anchor="t" anchorCtr="0" upright="1">
                          <a:noAutofit/>
                        </wps:bodyPr>
                      </wps:wsp>
                      <wps:wsp>
                        <wps:cNvPr id="6551" name="Line 881"/>
                        <wps:cNvCnPr/>
                        <wps:spPr bwMode="auto">
                          <a:xfrm flipV="1">
                            <a:off x="4528457" y="4566557"/>
                            <a:ext cx="0" cy="342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2" name="Line 882"/>
                        <wps:cNvCnPr/>
                        <wps:spPr bwMode="auto">
                          <a:xfrm flipV="1">
                            <a:off x="5094514" y="4566557"/>
                            <a:ext cx="0" cy="342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3" name="Line 883"/>
                        <wps:cNvCnPr/>
                        <wps:spPr bwMode="auto">
                          <a:xfrm flipV="1">
                            <a:off x="5671457" y="4566557"/>
                            <a:ext cx="0" cy="342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8" name="Line 889"/>
                        <wps:cNvCnPr/>
                        <wps:spPr bwMode="auto">
                          <a:xfrm flipV="1">
                            <a:off x="1436914" y="4566557"/>
                            <a:ext cx="0" cy="342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1" name="Line 896"/>
                        <wps:cNvCnPr/>
                        <wps:spPr bwMode="auto">
                          <a:xfrm>
                            <a:off x="685800" y="4689021"/>
                            <a:ext cx="811541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67" name="Text Box 781"/>
                        <wps:cNvSpPr txBox="1">
                          <a:spLocks noChangeArrowheads="1"/>
                        </wps:cNvSpPr>
                        <wps:spPr bwMode="auto">
                          <a:xfrm>
                            <a:off x="8752114" y="457200"/>
                            <a:ext cx="914322" cy="76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2DC0" w14:textId="77777777" w:rsidR="00BD64CF" w:rsidRPr="00AE6192" w:rsidRDefault="00BD64CF" w:rsidP="00BD64CF">
                              <w:pPr>
                                <w:spacing w:after="0"/>
                              </w:pPr>
                              <w:r w:rsidRPr="00AE6192">
                                <w:t xml:space="preserve">Demand Response </w:t>
                              </w:r>
                            </w:p>
                            <w:p w14:paraId="008CE26A" w14:textId="77777777" w:rsidR="00BD64CF" w:rsidRPr="00AE6192" w:rsidRDefault="00BD64CF" w:rsidP="00BD64CF">
                              <w:pPr>
                                <w:spacing w:after="0"/>
                              </w:pPr>
                              <w:r w:rsidRPr="00AE6192">
                                <w:t>Load</w:t>
                              </w:r>
                            </w:p>
                          </w:txbxContent>
                        </wps:txbx>
                        <wps:bodyPr rot="0" vert="horz" wrap="square" lIns="91440" tIns="45720" rIns="91440" bIns="45720" anchor="t" anchorCtr="0" upright="1">
                          <a:noAutofit/>
                        </wps:bodyPr>
                      </wps:wsp>
                      <wps:wsp>
                        <wps:cNvPr id="6468" name="Text Box 785"/>
                        <wps:cNvSpPr txBox="1">
                          <a:spLocks noChangeArrowheads="1"/>
                        </wps:cNvSpPr>
                        <wps:spPr bwMode="auto">
                          <a:xfrm>
                            <a:off x="119743" y="2699657"/>
                            <a:ext cx="1056678" cy="914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C6CC" w14:textId="77777777" w:rsidR="00BD64CF" w:rsidRPr="00AE6192" w:rsidRDefault="00BD64CF" w:rsidP="00BD64CF">
                              <w:pPr>
                                <w:spacing w:after="0"/>
                                <w:jc w:val="right"/>
                              </w:pPr>
                              <w:r w:rsidRPr="00AE6192">
                                <w:t>Meter</w:t>
                              </w:r>
                            </w:p>
                            <w:p w14:paraId="235C5DFF" w14:textId="77777777" w:rsidR="00BD64CF" w:rsidRPr="00AE6192" w:rsidRDefault="00BD64CF" w:rsidP="00BD64CF">
                              <w:pPr>
                                <w:spacing w:after="0"/>
                                <w:jc w:val="right"/>
                              </w:pPr>
                              <w:r>
                                <w:t>Data Submittal</w:t>
                              </w:r>
                              <w:r w:rsidRPr="00AE6192">
                                <w:t xml:space="preserve"> Locations</w:t>
                              </w:r>
                            </w:p>
                            <w:p w14:paraId="298EC9F8" w14:textId="77777777" w:rsidR="00BD64CF" w:rsidRPr="00AE6192" w:rsidRDefault="00BD64CF" w:rsidP="00BD64CF">
                              <w:pPr>
                                <w:spacing w:after="0"/>
                                <w:jc w:val="right"/>
                              </w:pPr>
                            </w:p>
                          </w:txbxContent>
                        </wps:txbx>
                        <wps:bodyPr rot="0" vert="horz" wrap="square" lIns="91440" tIns="45720" rIns="91440" bIns="45720" anchor="t" anchorCtr="0" upright="1">
                          <a:noAutofit/>
                        </wps:bodyPr>
                      </wps:wsp>
                      <wps:wsp>
                        <wps:cNvPr id="6470" name="Text Box 771"/>
                        <wps:cNvSpPr txBox="1">
                          <a:spLocks noChangeArrowheads="1"/>
                        </wps:cNvSpPr>
                        <wps:spPr bwMode="auto">
                          <a:xfrm>
                            <a:off x="2993571" y="1839686"/>
                            <a:ext cx="513015" cy="30041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6D17D77B" w14:textId="77777777" w:rsidR="00BD64CF" w:rsidRPr="00AE6192" w:rsidRDefault="00BD64CF" w:rsidP="00BD64CF">
                              <w:pPr>
                                <w:jc w:val="center"/>
                                <w:rPr>
                                  <w:b/>
                                  <w:color w:val="FFFFFF"/>
                                  <w:sz w:val="18"/>
                                  <w:szCs w:val="18"/>
                                </w:rPr>
                              </w:pPr>
                              <w:r>
                                <w:rPr>
                                  <w:b/>
                                  <w:color w:val="FFFFFF"/>
                                  <w:sz w:val="18"/>
                                  <w:szCs w:val="18"/>
                                </w:rPr>
                                <w:t>Gen</w:t>
                              </w:r>
                            </w:p>
                          </w:txbxContent>
                        </wps:txbx>
                        <wps:bodyPr rot="0" vert="horz" wrap="square" lIns="91440" tIns="45720" rIns="91440" bIns="45720" anchor="t" anchorCtr="0" upright="1">
                          <a:noAutofit/>
                        </wps:bodyPr>
                      </wps:wsp>
                      <wps:wsp>
                        <wps:cNvPr id="6471" name="Text Box 772"/>
                        <wps:cNvSpPr txBox="1">
                          <a:spLocks noChangeArrowheads="1"/>
                        </wps:cNvSpPr>
                        <wps:spPr bwMode="auto">
                          <a:xfrm>
                            <a:off x="6836229" y="3537857"/>
                            <a:ext cx="2231949" cy="54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5290" w14:textId="77777777" w:rsidR="00BD64CF" w:rsidRPr="00AE6192" w:rsidRDefault="00BD64CF" w:rsidP="00BD64CF">
                              <w:pPr>
                                <w:spacing w:after="0"/>
                              </w:pPr>
                              <w:r w:rsidRPr="00AE6192">
                                <w:t>Settlement Areas</w:t>
                              </w:r>
                            </w:p>
                            <w:p w14:paraId="19763DC6" w14:textId="77777777" w:rsidR="00BD64CF" w:rsidRPr="00AE6192" w:rsidRDefault="00BD64CF" w:rsidP="00BD64CF">
                              <w:pPr>
                                <w:spacing w:after="0"/>
                              </w:pPr>
                              <w:r w:rsidRPr="00AE6192">
                                <w:t>(residual / calibration)</w:t>
                              </w:r>
                            </w:p>
                          </w:txbxContent>
                        </wps:txbx>
                        <wps:bodyPr rot="0" vert="horz" wrap="square" lIns="91440" tIns="45720" rIns="91440" bIns="45720" anchor="t" anchorCtr="0" upright="1">
                          <a:noAutofit/>
                        </wps:bodyPr>
                      </wps:wsp>
                      <wps:wsp>
                        <wps:cNvPr id="6472" name="Text Box 773"/>
                        <wps:cNvSpPr txBox="1">
                          <a:spLocks noChangeArrowheads="1"/>
                        </wps:cNvSpPr>
                        <wps:spPr bwMode="auto">
                          <a:xfrm>
                            <a:off x="2394857" y="2873829"/>
                            <a:ext cx="513015"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11D5744C" w14:textId="77777777" w:rsidR="00BD64CF" w:rsidRPr="00541E8F" w:rsidRDefault="00BD64CF" w:rsidP="00BD64CF">
                              <w:pPr>
                                <w:jc w:val="center"/>
                                <w:rPr>
                                  <w:b/>
                                  <w:color w:val="FFFFFF"/>
                                  <w:sz w:val="16"/>
                                  <w:szCs w:val="16"/>
                                </w:rPr>
                              </w:pPr>
                              <w:r w:rsidRPr="00541E8F">
                                <w:rPr>
                                  <w:b/>
                                  <w:color w:val="FFFFFF"/>
                                  <w:sz w:val="16"/>
                                  <w:szCs w:val="16"/>
                                </w:rPr>
                                <w:t>MDSL</w:t>
                              </w:r>
                            </w:p>
                            <w:p w14:paraId="44DB4B92"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73" name="Text Box 774"/>
                        <wps:cNvSpPr txBox="1">
                          <a:spLocks noChangeArrowheads="1"/>
                        </wps:cNvSpPr>
                        <wps:spPr bwMode="auto">
                          <a:xfrm>
                            <a:off x="4767943" y="1839686"/>
                            <a:ext cx="512349" cy="300799"/>
                          </a:xfrm>
                          <a:prstGeom prst="rect">
                            <a:avLst/>
                          </a:prstGeom>
                          <a:gradFill rotWithShape="1">
                            <a:gsLst>
                              <a:gs pos="0">
                                <a:srgbClr val="00B050">
                                  <a:gamma/>
                                  <a:shade val="46275"/>
                                  <a:invGamma/>
                                </a:srgbClr>
                              </a:gs>
                              <a:gs pos="50000">
                                <a:srgbClr val="00B050"/>
                              </a:gs>
                              <a:gs pos="100000">
                                <a:srgbClr val="00B050">
                                  <a:gamma/>
                                  <a:shade val="46275"/>
                                  <a:invGamma/>
                                </a:srgbClr>
                              </a:gs>
                            </a:gsLst>
                            <a:lin ang="5400000" scaled="1"/>
                          </a:gradFill>
                          <a:ln w="9525">
                            <a:solidFill>
                              <a:srgbClr val="000000"/>
                            </a:solidFill>
                            <a:miter lim="800000"/>
                            <a:headEnd/>
                            <a:tailEnd/>
                          </a:ln>
                        </wps:spPr>
                        <wps:txbx>
                          <w:txbxContent>
                            <w:p w14:paraId="08822F19" w14:textId="77777777" w:rsidR="00BD64CF" w:rsidRPr="00AE6192" w:rsidRDefault="00BD64CF" w:rsidP="00BD64CF">
                              <w:pPr>
                                <w:jc w:val="center"/>
                                <w:rPr>
                                  <w:b/>
                                  <w:color w:val="FFFFFF"/>
                                  <w:sz w:val="18"/>
                                  <w:szCs w:val="18"/>
                                </w:rPr>
                              </w:pPr>
                              <w:r w:rsidRPr="00AE6192">
                                <w:rPr>
                                  <w:b/>
                                  <w:color w:val="FFFFFF"/>
                                  <w:sz w:val="18"/>
                                  <w:szCs w:val="18"/>
                                </w:rPr>
                                <w:t>Load</w:t>
                              </w:r>
                            </w:p>
                          </w:txbxContent>
                        </wps:txbx>
                        <wps:bodyPr rot="0" vert="horz" wrap="square" lIns="91440" tIns="45720" rIns="91440" bIns="45720" anchor="t" anchorCtr="0" upright="1">
                          <a:noAutofit/>
                        </wps:bodyPr>
                      </wps:wsp>
                      <wps:wsp>
                        <wps:cNvPr id="6474" name="Text Box 775"/>
                        <wps:cNvSpPr txBox="1">
                          <a:spLocks noChangeArrowheads="1"/>
                        </wps:cNvSpPr>
                        <wps:spPr bwMode="auto">
                          <a:xfrm>
                            <a:off x="7728857" y="1817914"/>
                            <a:ext cx="512349" cy="300799"/>
                          </a:xfrm>
                          <a:prstGeom prst="rect">
                            <a:avLst/>
                          </a:prstGeom>
                          <a:gradFill rotWithShape="1">
                            <a:gsLst>
                              <a:gs pos="0">
                                <a:srgbClr val="FFFF00">
                                  <a:gamma/>
                                  <a:shade val="46275"/>
                                  <a:invGamma/>
                                </a:srgbClr>
                              </a:gs>
                              <a:gs pos="50000">
                                <a:srgbClr val="FFFF00"/>
                              </a:gs>
                              <a:gs pos="100000">
                                <a:srgbClr val="FFFF00">
                                  <a:gamma/>
                                  <a:shade val="46275"/>
                                  <a:invGamma/>
                                </a:srgbClr>
                              </a:gs>
                            </a:gsLst>
                            <a:lin ang="5400000" scaled="1"/>
                          </a:gradFill>
                          <a:ln w="9525">
                            <a:solidFill>
                              <a:srgbClr val="000000"/>
                            </a:solidFill>
                            <a:miter lim="800000"/>
                            <a:headEnd/>
                            <a:tailEnd/>
                          </a:ln>
                        </wps:spPr>
                        <wps:txbx>
                          <w:txbxContent>
                            <w:p w14:paraId="3C0E7AD7" w14:textId="77777777" w:rsidR="00BD64CF" w:rsidRPr="00AE6192" w:rsidRDefault="00BD64CF" w:rsidP="00BD64CF">
                              <w:pPr>
                                <w:jc w:val="center"/>
                                <w:rPr>
                                  <w:b/>
                                  <w:color w:val="FFFFFF"/>
                                  <w:sz w:val="18"/>
                                  <w:szCs w:val="18"/>
                                </w:rPr>
                              </w:pPr>
                              <w:r w:rsidRPr="00AE6192">
                                <w:rPr>
                                  <w:b/>
                                  <w:color w:val="FFFFFF"/>
                                  <w:sz w:val="18"/>
                                  <w:szCs w:val="18"/>
                                </w:rPr>
                                <w:t>I</w:t>
                              </w:r>
                              <w:r w:rsidR="003B5C4B">
                                <w:rPr>
                                  <w:b/>
                                  <w:color w:val="FFFFFF"/>
                                  <w:sz w:val="18"/>
                                  <w:szCs w:val="18"/>
                                </w:rPr>
                                <w:t>ntf</w:t>
                              </w:r>
                            </w:p>
                          </w:txbxContent>
                        </wps:txbx>
                        <wps:bodyPr rot="0" vert="horz" wrap="square" lIns="91440" tIns="45720" rIns="91440" bIns="45720" anchor="t" anchorCtr="0" upright="1">
                          <a:noAutofit/>
                        </wps:bodyPr>
                      </wps:wsp>
                      <wps:wsp>
                        <wps:cNvPr id="6475" name="Text Box 776"/>
                        <wps:cNvSpPr txBox="1">
                          <a:spLocks noChangeArrowheads="1"/>
                        </wps:cNvSpPr>
                        <wps:spPr bwMode="auto">
                          <a:xfrm>
                            <a:off x="8316686" y="1828800"/>
                            <a:ext cx="512349" cy="300799"/>
                          </a:xfrm>
                          <a:prstGeom prst="rect">
                            <a:avLst/>
                          </a:prstGeom>
                          <a:gradFill rotWithShape="1">
                            <a:gsLst>
                              <a:gs pos="0">
                                <a:srgbClr val="FF33CC">
                                  <a:gamma/>
                                  <a:shade val="46275"/>
                                  <a:invGamma/>
                                </a:srgbClr>
                              </a:gs>
                              <a:gs pos="50000">
                                <a:srgbClr val="FF33CC"/>
                              </a:gs>
                              <a:gs pos="100000">
                                <a:srgbClr val="FF33CC">
                                  <a:gamma/>
                                  <a:shade val="46275"/>
                                  <a:invGamma/>
                                </a:srgbClr>
                              </a:gs>
                            </a:gsLst>
                            <a:lin ang="5400000" scaled="1"/>
                          </a:gradFill>
                          <a:ln w="9525">
                            <a:solidFill>
                              <a:srgbClr val="000000"/>
                            </a:solidFill>
                            <a:miter lim="800000"/>
                            <a:headEnd/>
                            <a:tailEnd/>
                          </a:ln>
                        </wps:spPr>
                        <wps:txbx>
                          <w:txbxContent>
                            <w:p w14:paraId="0580CF61" w14:textId="77777777" w:rsidR="00BD64CF" w:rsidRPr="00AE6192" w:rsidRDefault="00BD64CF" w:rsidP="00BD64CF">
                              <w:pPr>
                                <w:jc w:val="center"/>
                                <w:rPr>
                                  <w:b/>
                                  <w:color w:val="FFFFFF"/>
                                  <w:sz w:val="18"/>
                                  <w:szCs w:val="18"/>
                                </w:rPr>
                              </w:pPr>
                              <w:r w:rsidRPr="00AE6192">
                                <w:rPr>
                                  <w:b/>
                                  <w:color w:val="FFFFFF"/>
                                  <w:sz w:val="18"/>
                                  <w:szCs w:val="18"/>
                                </w:rPr>
                                <w:t>Hub</w:t>
                              </w:r>
                            </w:p>
                          </w:txbxContent>
                        </wps:txbx>
                        <wps:bodyPr rot="0" vert="horz" wrap="square" lIns="91440" tIns="45720" rIns="91440" bIns="45720" anchor="t" anchorCtr="0" upright="1">
                          <a:noAutofit/>
                        </wps:bodyPr>
                      </wps:wsp>
                      <wps:wsp>
                        <wps:cNvPr id="6477" name="Text Box 779"/>
                        <wps:cNvSpPr txBox="1">
                          <a:spLocks noChangeArrowheads="1"/>
                        </wps:cNvSpPr>
                        <wps:spPr bwMode="auto">
                          <a:xfrm>
                            <a:off x="3581400" y="1839686"/>
                            <a:ext cx="512349" cy="30041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32D4E636" w14:textId="77777777" w:rsidR="00BD64CF" w:rsidRPr="00AE6192" w:rsidRDefault="00BD64CF" w:rsidP="00BD64CF">
                              <w:pPr>
                                <w:jc w:val="center"/>
                                <w:rPr>
                                  <w:b/>
                                  <w:color w:val="FFFFFF"/>
                                  <w:sz w:val="18"/>
                                  <w:szCs w:val="18"/>
                                </w:rPr>
                              </w:pPr>
                              <w:r>
                                <w:rPr>
                                  <w:b/>
                                  <w:color w:val="FFFFFF"/>
                                  <w:sz w:val="18"/>
                                  <w:szCs w:val="18"/>
                                </w:rPr>
                                <w:t>Gen</w:t>
                              </w:r>
                            </w:p>
                          </w:txbxContent>
                        </wps:txbx>
                        <wps:bodyPr rot="0" vert="horz" wrap="square" lIns="91440" tIns="45720" rIns="91440" bIns="45720" anchor="t" anchorCtr="0" upright="1">
                          <a:noAutofit/>
                        </wps:bodyPr>
                      </wps:wsp>
                      <wps:wsp>
                        <wps:cNvPr id="6478" name="Text Box 780"/>
                        <wps:cNvSpPr txBox="1">
                          <a:spLocks noChangeArrowheads="1"/>
                        </wps:cNvSpPr>
                        <wps:spPr bwMode="auto">
                          <a:xfrm>
                            <a:off x="4180114" y="1839686"/>
                            <a:ext cx="512349" cy="300799"/>
                          </a:xfrm>
                          <a:prstGeom prst="rect">
                            <a:avLst/>
                          </a:prstGeom>
                          <a:gradFill rotWithShape="1">
                            <a:gsLst>
                              <a:gs pos="0">
                                <a:srgbClr val="00B050">
                                  <a:gamma/>
                                  <a:shade val="46275"/>
                                  <a:invGamma/>
                                </a:srgbClr>
                              </a:gs>
                              <a:gs pos="50000">
                                <a:srgbClr val="00B050"/>
                              </a:gs>
                              <a:gs pos="100000">
                                <a:srgbClr val="00B050">
                                  <a:gamma/>
                                  <a:shade val="46275"/>
                                  <a:invGamma/>
                                </a:srgbClr>
                              </a:gs>
                            </a:gsLst>
                            <a:lin ang="5400000" scaled="1"/>
                          </a:gradFill>
                          <a:ln w="9525">
                            <a:solidFill>
                              <a:srgbClr val="000000"/>
                            </a:solidFill>
                            <a:miter lim="800000"/>
                            <a:headEnd/>
                            <a:tailEnd/>
                          </a:ln>
                        </wps:spPr>
                        <wps:txbx>
                          <w:txbxContent>
                            <w:p w14:paraId="3EBE59F1" w14:textId="77777777" w:rsidR="00BD64CF" w:rsidRPr="00AE6192" w:rsidRDefault="00BD64CF" w:rsidP="00BD64CF">
                              <w:pPr>
                                <w:jc w:val="center"/>
                                <w:rPr>
                                  <w:b/>
                                  <w:color w:val="FFFFFF"/>
                                  <w:sz w:val="18"/>
                                  <w:szCs w:val="18"/>
                                </w:rPr>
                              </w:pPr>
                              <w:r w:rsidRPr="00AE6192">
                                <w:rPr>
                                  <w:b/>
                                  <w:color w:val="FFFFFF"/>
                                  <w:sz w:val="18"/>
                                  <w:szCs w:val="18"/>
                                </w:rPr>
                                <w:t>Load</w:t>
                              </w:r>
                            </w:p>
                          </w:txbxContent>
                        </wps:txbx>
                        <wps:bodyPr rot="0" vert="horz" wrap="square" lIns="91440" tIns="45720" rIns="91440" bIns="45720" anchor="t" anchorCtr="0" upright="1">
                          <a:noAutofit/>
                        </wps:bodyPr>
                      </wps:wsp>
                      <wps:wsp>
                        <wps:cNvPr id="6479" name="Text Box 782"/>
                        <wps:cNvSpPr txBox="1">
                          <a:spLocks noChangeArrowheads="1"/>
                        </wps:cNvSpPr>
                        <wps:spPr bwMode="auto">
                          <a:xfrm>
                            <a:off x="1469571" y="816429"/>
                            <a:ext cx="552546" cy="30041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7475F5F4" w14:textId="77777777" w:rsidR="00BD64CF" w:rsidRPr="00AE6192" w:rsidRDefault="00BD64CF" w:rsidP="00BD64CF">
                              <w:pPr>
                                <w:jc w:val="center"/>
                                <w:rPr>
                                  <w:b/>
                                  <w:color w:val="FFFFFF"/>
                                  <w:sz w:val="12"/>
                                  <w:szCs w:val="12"/>
                                </w:rPr>
                              </w:pPr>
                              <w:r w:rsidRPr="00AE6192">
                                <w:rPr>
                                  <w:b/>
                                  <w:color w:val="FFFFFF"/>
                                  <w:sz w:val="12"/>
                                  <w:szCs w:val="12"/>
                                </w:rPr>
                                <w:t>Common Bus</w:t>
                              </w:r>
                            </w:p>
                          </w:txbxContent>
                        </wps:txbx>
                        <wps:bodyPr rot="0" vert="horz" wrap="square" lIns="91440" tIns="45720" rIns="91440" bIns="45720" anchor="t" anchorCtr="0" upright="1">
                          <a:noAutofit/>
                        </wps:bodyPr>
                      </wps:wsp>
                      <wps:wsp>
                        <wps:cNvPr id="6480" name="Text Box 784"/>
                        <wps:cNvSpPr txBox="1">
                          <a:spLocks noChangeArrowheads="1"/>
                        </wps:cNvSpPr>
                        <wps:spPr bwMode="auto">
                          <a:xfrm>
                            <a:off x="5072743" y="239486"/>
                            <a:ext cx="512349" cy="300410"/>
                          </a:xfrm>
                          <a:prstGeom prst="rect">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miter lim="800000"/>
                            <a:headEnd/>
                            <a:tailEnd/>
                          </a:ln>
                        </wps:spPr>
                        <wps:txbx>
                          <w:txbxContent>
                            <w:p w14:paraId="253E68FC" w14:textId="77777777" w:rsidR="00BD64CF" w:rsidRPr="00AE6192" w:rsidRDefault="00BD64CF" w:rsidP="00BD64CF">
                              <w:pPr>
                                <w:jc w:val="center"/>
                                <w:rPr>
                                  <w:b/>
                                  <w:color w:val="FFFFFF"/>
                                  <w:sz w:val="18"/>
                                  <w:szCs w:val="18"/>
                                </w:rPr>
                              </w:pPr>
                              <w:r w:rsidRPr="00AE6192">
                                <w:rPr>
                                  <w:b/>
                                  <w:color w:val="FFFFFF"/>
                                  <w:sz w:val="18"/>
                                  <w:szCs w:val="18"/>
                                </w:rPr>
                                <w:t>RZN</w:t>
                              </w:r>
                            </w:p>
                          </w:txbxContent>
                        </wps:txbx>
                        <wps:bodyPr rot="0" vert="horz" wrap="square" lIns="91440" tIns="45720" rIns="91440" bIns="45720" anchor="t" anchorCtr="0" upright="1">
                          <a:noAutofit/>
                        </wps:bodyPr>
                      </wps:wsp>
                      <wps:wsp>
                        <wps:cNvPr id="6481" name="Text Box 786"/>
                        <wps:cNvSpPr txBox="1">
                          <a:spLocks noChangeArrowheads="1"/>
                        </wps:cNvSpPr>
                        <wps:spPr bwMode="auto">
                          <a:xfrm>
                            <a:off x="2993571" y="2873829"/>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652A7FF3" w14:textId="77777777" w:rsidR="00BD64CF" w:rsidRPr="00541E8F" w:rsidRDefault="00BD64CF" w:rsidP="00BD64CF">
                              <w:pPr>
                                <w:jc w:val="center"/>
                                <w:rPr>
                                  <w:b/>
                                  <w:color w:val="FFFFFF"/>
                                  <w:sz w:val="16"/>
                                  <w:szCs w:val="16"/>
                                </w:rPr>
                              </w:pPr>
                              <w:r w:rsidRPr="00541E8F">
                                <w:rPr>
                                  <w:b/>
                                  <w:color w:val="FFFFFF"/>
                                  <w:sz w:val="16"/>
                                  <w:szCs w:val="16"/>
                                </w:rPr>
                                <w:t>MDSL</w:t>
                              </w:r>
                            </w:p>
                            <w:p w14:paraId="2A7B7FD8"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82" name="Text Box 787"/>
                        <wps:cNvSpPr txBox="1">
                          <a:spLocks noChangeArrowheads="1"/>
                        </wps:cNvSpPr>
                        <wps:spPr bwMode="auto">
                          <a:xfrm>
                            <a:off x="7151914" y="2884714"/>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78002958" w14:textId="77777777" w:rsidR="00BD64CF" w:rsidRPr="00541E8F" w:rsidRDefault="00BD64CF" w:rsidP="00BD64CF">
                              <w:pPr>
                                <w:jc w:val="center"/>
                                <w:rPr>
                                  <w:b/>
                                  <w:color w:val="FFFFFF"/>
                                  <w:sz w:val="16"/>
                                  <w:szCs w:val="16"/>
                                </w:rPr>
                              </w:pPr>
                              <w:r w:rsidRPr="00541E8F">
                                <w:rPr>
                                  <w:b/>
                                  <w:color w:val="FFFFFF"/>
                                  <w:sz w:val="16"/>
                                  <w:szCs w:val="16"/>
                                </w:rPr>
                                <w:t>MDSL</w:t>
                              </w:r>
                            </w:p>
                            <w:p w14:paraId="393F121A"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83" name="Text Box 788"/>
                        <wps:cNvSpPr txBox="1">
                          <a:spLocks noChangeArrowheads="1"/>
                        </wps:cNvSpPr>
                        <wps:spPr bwMode="auto">
                          <a:xfrm>
                            <a:off x="6564086" y="2884714"/>
                            <a:ext cx="513015"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599072A5" w14:textId="77777777" w:rsidR="00BD64CF" w:rsidRPr="00541E8F" w:rsidRDefault="00BD64CF" w:rsidP="00BD64CF">
                              <w:pPr>
                                <w:jc w:val="center"/>
                                <w:rPr>
                                  <w:b/>
                                  <w:color w:val="FFFFFF"/>
                                  <w:sz w:val="16"/>
                                  <w:szCs w:val="16"/>
                                </w:rPr>
                              </w:pPr>
                              <w:r w:rsidRPr="00541E8F">
                                <w:rPr>
                                  <w:b/>
                                  <w:color w:val="FFFFFF"/>
                                  <w:sz w:val="16"/>
                                  <w:szCs w:val="16"/>
                                </w:rPr>
                                <w:t>MDSL</w:t>
                              </w:r>
                            </w:p>
                            <w:p w14:paraId="158B00EE"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84" name="Text Box 789"/>
                        <wps:cNvSpPr txBox="1">
                          <a:spLocks noChangeArrowheads="1"/>
                        </wps:cNvSpPr>
                        <wps:spPr bwMode="auto">
                          <a:xfrm>
                            <a:off x="1807029" y="1839686"/>
                            <a:ext cx="512349" cy="30041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3517D650" w14:textId="77777777" w:rsidR="00BD64CF" w:rsidRPr="00AE6192" w:rsidRDefault="00BD64CF" w:rsidP="00BD64CF">
                              <w:pPr>
                                <w:jc w:val="center"/>
                                <w:rPr>
                                  <w:b/>
                                  <w:color w:val="FFFFFF"/>
                                  <w:sz w:val="18"/>
                                  <w:szCs w:val="18"/>
                                </w:rPr>
                              </w:pPr>
                              <w:r w:rsidRPr="00AE6192">
                                <w:rPr>
                                  <w:b/>
                                  <w:color w:val="FFFFFF"/>
                                  <w:sz w:val="18"/>
                                  <w:szCs w:val="18"/>
                                </w:rPr>
                                <w:t>Gen</w:t>
                              </w:r>
                            </w:p>
                          </w:txbxContent>
                        </wps:txbx>
                        <wps:bodyPr rot="0" vert="horz" wrap="square" lIns="91440" tIns="45720" rIns="91440" bIns="45720" anchor="t" anchorCtr="0" upright="1">
                          <a:noAutofit/>
                        </wps:bodyPr>
                      </wps:wsp>
                      <wps:wsp>
                        <wps:cNvPr id="6485" name="Text Box 790"/>
                        <wps:cNvSpPr txBox="1">
                          <a:spLocks noChangeArrowheads="1"/>
                        </wps:cNvSpPr>
                        <wps:spPr bwMode="auto">
                          <a:xfrm>
                            <a:off x="1219200" y="1839686"/>
                            <a:ext cx="512349" cy="300410"/>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164C4C7B" w14:textId="77777777" w:rsidR="00BD64CF" w:rsidRPr="00AE6192" w:rsidRDefault="00BD64CF" w:rsidP="00BD64CF">
                              <w:pPr>
                                <w:jc w:val="center"/>
                                <w:rPr>
                                  <w:b/>
                                  <w:color w:val="FFFFFF"/>
                                  <w:sz w:val="18"/>
                                  <w:szCs w:val="18"/>
                                </w:rPr>
                              </w:pPr>
                              <w:r w:rsidRPr="00AE6192">
                                <w:rPr>
                                  <w:b/>
                                  <w:color w:val="FFFFFF"/>
                                  <w:sz w:val="18"/>
                                  <w:szCs w:val="18"/>
                                </w:rPr>
                                <w:t>Gen</w:t>
                              </w:r>
                            </w:p>
                          </w:txbxContent>
                        </wps:txbx>
                        <wps:bodyPr rot="0" vert="horz" wrap="square" lIns="91440" tIns="45720" rIns="91440" bIns="45720" anchor="t" anchorCtr="0" upright="1">
                          <a:noAutofit/>
                        </wps:bodyPr>
                      </wps:wsp>
                      <wps:wsp>
                        <wps:cNvPr id="6486" name="Text Box 791"/>
                        <wps:cNvSpPr txBox="1">
                          <a:spLocks noChangeArrowheads="1"/>
                        </wps:cNvSpPr>
                        <wps:spPr bwMode="auto">
                          <a:xfrm>
                            <a:off x="2405743" y="1839686"/>
                            <a:ext cx="512349" cy="300799"/>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1EEAB723" w14:textId="77777777" w:rsidR="00BD64CF" w:rsidRPr="00AE6192" w:rsidRDefault="00BD64CF" w:rsidP="00BD64CF">
                              <w:pPr>
                                <w:jc w:val="center"/>
                                <w:rPr>
                                  <w:b/>
                                  <w:color w:val="FFFFFF"/>
                                  <w:sz w:val="18"/>
                                  <w:szCs w:val="18"/>
                                </w:rPr>
                              </w:pPr>
                              <w:r>
                                <w:rPr>
                                  <w:b/>
                                  <w:color w:val="FFFFFF"/>
                                  <w:sz w:val="18"/>
                                  <w:szCs w:val="18"/>
                                </w:rPr>
                                <w:t>Gen</w:t>
                              </w:r>
                            </w:p>
                          </w:txbxContent>
                        </wps:txbx>
                        <wps:bodyPr rot="0" vert="horz" wrap="square" lIns="91440" tIns="45720" rIns="91440" bIns="45720" anchor="t" anchorCtr="0" upright="1">
                          <a:noAutofit/>
                        </wps:bodyPr>
                      </wps:wsp>
                      <wps:wsp>
                        <wps:cNvPr id="6487" name="Text Box 792"/>
                        <wps:cNvSpPr txBox="1">
                          <a:spLocks noChangeArrowheads="1"/>
                        </wps:cNvSpPr>
                        <wps:spPr bwMode="auto">
                          <a:xfrm>
                            <a:off x="3320143" y="3603171"/>
                            <a:ext cx="513015" cy="300799"/>
                          </a:xfrm>
                          <a:prstGeom prst="rect">
                            <a:avLst/>
                          </a:prstGeom>
                          <a:gradFill rotWithShape="1">
                            <a:gsLst>
                              <a:gs pos="0">
                                <a:srgbClr val="C4BC96">
                                  <a:gamma/>
                                  <a:shade val="46275"/>
                                  <a:invGamma/>
                                </a:srgbClr>
                              </a:gs>
                              <a:gs pos="50000">
                                <a:srgbClr val="C4BC96"/>
                              </a:gs>
                              <a:gs pos="100000">
                                <a:srgbClr val="C4BC96">
                                  <a:gamma/>
                                  <a:shade val="46275"/>
                                  <a:invGamma/>
                                </a:srgbClr>
                              </a:gs>
                            </a:gsLst>
                            <a:lin ang="5400000" scaled="1"/>
                          </a:gradFill>
                          <a:ln w="9525">
                            <a:solidFill>
                              <a:srgbClr val="000000"/>
                            </a:solidFill>
                            <a:miter lim="800000"/>
                            <a:headEnd/>
                            <a:tailEnd/>
                          </a:ln>
                        </wps:spPr>
                        <wps:txbx>
                          <w:txbxContent>
                            <w:p w14:paraId="35A722EB" w14:textId="77777777" w:rsidR="00BD64CF" w:rsidRPr="00AE6192" w:rsidRDefault="00BD64CF" w:rsidP="00BD64CF">
                              <w:pPr>
                                <w:jc w:val="center"/>
                                <w:rPr>
                                  <w:b/>
                                  <w:color w:val="FFFFFF"/>
                                  <w:sz w:val="18"/>
                                  <w:szCs w:val="18"/>
                                </w:rPr>
                              </w:pPr>
                              <w:r w:rsidRPr="00AE6192">
                                <w:rPr>
                                  <w:b/>
                                  <w:color w:val="FFFFFF"/>
                                  <w:sz w:val="18"/>
                                  <w:szCs w:val="18"/>
                                </w:rPr>
                                <w:t>SA</w:t>
                              </w:r>
                            </w:p>
                          </w:txbxContent>
                        </wps:txbx>
                        <wps:bodyPr rot="0" vert="horz" wrap="square" lIns="91440" tIns="45720" rIns="91440" bIns="45720" anchor="t" anchorCtr="0" upright="1">
                          <a:noAutofit/>
                        </wps:bodyPr>
                      </wps:wsp>
                      <wps:wsp>
                        <wps:cNvPr id="6489" name="Text Box 794"/>
                        <wps:cNvSpPr txBox="1">
                          <a:spLocks noChangeArrowheads="1"/>
                        </wps:cNvSpPr>
                        <wps:spPr bwMode="auto">
                          <a:xfrm>
                            <a:off x="6335486" y="3603171"/>
                            <a:ext cx="512349" cy="300799"/>
                          </a:xfrm>
                          <a:prstGeom prst="rect">
                            <a:avLst/>
                          </a:prstGeom>
                          <a:gradFill rotWithShape="1">
                            <a:gsLst>
                              <a:gs pos="0">
                                <a:srgbClr val="C4BC96">
                                  <a:gamma/>
                                  <a:shade val="46275"/>
                                  <a:invGamma/>
                                </a:srgbClr>
                              </a:gs>
                              <a:gs pos="50000">
                                <a:srgbClr val="C4BC96"/>
                              </a:gs>
                              <a:gs pos="100000">
                                <a:srgbClr val="C4BC96">
                                  <a:gamma/>
                                  <a:shade val="46275"/>
                                  <a:invGamma/>
                                </a:srgbClr>
                              </a:gs>
                            </a:gsLst>
                            <a:lin ang="5400000" scaled="1"/>
                          </a:gradFill>
                          <a:ln w="9525">
                            <a:solidFill>
                              <a:srgbClr val="000000"/>
                            </a:solidFill>
                            <a:miter lim="800000"/>
                            <a:headEnd/>
                            <a:tailEnd/>
                          </a:ln>
                        </wps:spPr>
                        <wps:txbx>
                          <w:txbxContent>
                            <w:p w14:paraId="7F1D1707" w14:textId="77777777" w:rsidR="00BD64CF" w:rsidRPr="00AE6192" w:rsidRDefault="00BD64CF" w:rsidP="00BD64CF">
                              <w:pPr>
                                <w:jc w:val="center"/>
                                <w:rPr>
                                  <w:b/>
                                  <w:color w:val="FFFFFF"/>
                                  <w:sz w:val="18"/>
                                  <w:szCs w:val="18"/>
                                </w:rPr>
                              </w:pPr>
                              <w:r w:rsidRPr="00AE6192">
                                <w:rPr>
                                  <w:b/>
                                  <w:color w:val="FFFFFF"/>
                                  <w:sz w:val="18"/>
                                  <w:szCs w:val="18"/>
                                </w:rPr>
                                <w:t>SA</w:t>
                              </w:r>
                            </w:p>
                          </w:txbxContent>
                        </wps:txbx>
                        <wps:bodyPr rot="0" vert="horz" wrap="square" lIns="91440" tIns="45720" rIns="91440" bIns="45720" anchor="t" anchorCtr="0" upright="1">
                          <a:noAutofit/>
                        </wps:bodyPr>
                      </wps:wsp>
                      <wps:wsp>
                        <wps:cNvPr id="6490" name="Text Box 795"/>
                        <wps:cNvSpPr txBox="1">
                          <a:spLocks noChangeArrowheads="1"/>
                        </wps:cNvSpPr>
                        <wps:spPr bwMode="auto">
                          <a:xfrm>
                            <a:off x="3581400" y="2873829"/>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7736CC9D" w14:textId="77777777" w:rsidR="00BD64CF" w:rsidRPr="00541E8F" w:rsidRDefault="00BD64CF" w:rsidP="00BD64CF">
                              <w:pPr>
                                <w:jc w:val="center"/>
                                <w:rPr>
                                  <w:b/>
                                  <w:color w:val="FFFFFF"/>
                                  <w:sz w:val="16"/>
                                  <w:szCs w:val="16"/>
                                </w:rPr>
                              </w:pPr>
                              <w:r w:rsidRPr="00541E8F">
                                <w:rPr>
                                  <w:b/>
                                  <w:color w:val="FFFFFF"/>
                                  <w:sz w:val="16"/>
                                  <w:szCs w:val="16"/>
                                </w:rPr>
                                <w:t>MDSL</w:t>
                              </w:r>
                            </w:p>
                            <w:p w14:paraId="0C548798"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91" name="AutoShape 796"/>
                        <wps:cNvCnPr>
                          <a:cxnSpLocks noChangeShapeType="1"/>
                        </wps:cNvCnPr>
                        <wps:spPr bwMode="auto">
                          <a:xfrm flipH="1" flipV="1">
                            <a:off x="2672443" y="3194957"/>
                            <a:ext cx="921428" cy="41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2" name="AutoShape 797"/>
                        <wps:cNvCnPr>
                          <a:cxnSpLocks noChangeShapeType="1"/>
                        </wps:cNvCnPr>
                        <wps:spPr bwMode="auto">
                          <a:xfrm flipH="1" flipV="1">
                            <a:off x="3249386" y="3194957"/>
                            <a:ext cx="336458" cy="41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3" name="AutoShape 798"/>
                        <wps:cNvCnPr>
                          <a:cxnSpLocks noChangeShapeType="1"/>
                        </wps:cNvCnPr>
                        <wps:spPr bwMode="auto">
                          <a:xfrm flipV="1">
                            <a:off x="3581400" y="3194957"/>
                            <a:ext cx="232967" cy="41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4" name="AutoShape 799"/>
                        <wps:cNvCnPr>
                          <a:cxnSpLocks noChangeShapeType="1"/>
                        </wps:cNvCnPr>
                        <wps:spPr bwMode="auto">
                          <a:xfrm flipV="1">
                            <a:off x="6564086" y="3184071"/>
                            <a:ext cx="262948" cy="413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5" name="AutoShape 800"/>
                        <wps:cNvCnPr>
                          <a:cxnSpLocks noChangeShapeType="1"/>
                        </wps:cNvCnPr>
                        <wps:spPr bwMode="auto">
                          <a:xfrm flipV="1">
                            <a:off x="6564086" y="3184071"/>
                            <a:ext cx="843255" cy="413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6" name="AutoShape 801"/>
                        <wps:cNvCnPr>
                          <a:cxnSpLocks noChangeShapeType="1"/>
                        </wps:cNvCnPr>
                        <wps:spPr bwMode="auto">
                          <a:xfrm flipV="1">
                            <a:off x="3243943" y="2128157"/>
                            <a:ext cx="0" cy="731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7" name="AutoShape 802"/>
                        <wps:cNvCnPr>
                          <a:cxnSpLocks noChangeShapeType="1"/>
                        </wps:cNvCnPr>
                        <wps:spPr bwMode="auto">
                          <a:xfrm flipV="1">
                            <a:off x="3842657"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8" name="Text Box 803"/>
                        <wps:cNvSpPr txBox="1">
                          <a:spLocks noChangeArrowheads="1"/>
                        </wps:cNvSpPr>
                        <wps:spPr bwMode="auto">
                          <a:xfrm>
                            <a:off x="4180114" y="2884714"/>
                            <a:ext cx="513015" cy="300410"/>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08D6DEDC" w14:textId="77777777" w:rsidR="00BD64CF" w:rsidRPr="00541E8F" w:rsidRDefault="00BD64CF" w:rsidP="00BD64CF">
                              <w:pPr>
                                <w:jc w:val="center"/>
                                <w:rPr>
                                  <w:b/>
                                  <w:color w:val="FFFFFF"/>
                                  <w:sz w:val="16"/>
                                  <w:szCs w:val="16"/>
                                </w:rPr>
                              </w:pPr>
                              <w:r w:rsidRPr="00541E8F">
                                <w:rPr>
                                  <w:b/>
                                  <w:color w:val="FFFFFF"/>
                                  <w:sz w:val="16"/>
                                  <w:szCs w:val="16"/>
                                </w:rPr>
                                <w:t>MDSL</w:t>
                              </w:r>
                            </w:p>
                            <w:p w14:paraId="36304CC1"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499" name="AutoShape 804"/>
                        <wps:cNvCnPr>
                          <a:cxnSpLocks noChangeShapeType="1"/>
                        </wps:cNvCnPr>
                        <wps:spPr bwMode="auto">
                          <a:xfrm flipV="1">
                            <a:off x="4419600"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0" name="AutoShape 805"/>
                        <wps:cNvCnPr>
                          <a:cxnSpLocks noChangeShapeType="1"/>
                        </wps:cNvCnPr>
                        <wps:spPr bwMode="auto">
                          <a:xfrm flipV="1">
                            <a:off x="3581400" y="3194957"/>
                            <a:ext cx="837036" cy="41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1" name="Text Box 806"/>
                        <wps:cNvSpPr txBox="1">
                          <a:spLocks noChangeArrowheads="1"/>
                        </wps:cNvSpPr>
                        <wps:spPr bwMode="auto">
                          <a:xfrm>
                            <a:off x="4767943" y="2884714"/>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11E91EBE" w14:textId="77777777" w:rsidR="00BD64CF" w:rsidRPr="00541E8F" w:rsidRDefault="00BD64CF" w:rsidP="00BD64CF">
                              <w:pPr>
                                <w:jc w:val="center"/>
                                <w:rPr>
                                  <w:b/>
                                  <w:color w:val="FFFFFF"/>
                                  <w:sz w:val="16"/>
                                  <w:szCs w:val="16"/>
                                </w:rPr>
                              </w:pPr>
                              <w:r w:rsidRPr="00541E8F">
                                <w:rPr>
                                  <w:b/>
                                  <w:color w:val="FFFFFF"/>
                                  <w:sz w:val="16"/>
                                  <w:szCs w:val="16"/>
                                </w:rPr>
                                <w:t>MDSL</w:t>
                              </w:r>
                            </w:p>
                            <w:p w14:paraId="374D1619"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502" name="Text Box 807"/>
                        <wps:cNvSpPr txBox="1">
                          <a:spLocks noChangeArrowheads="1"/>
                        </wps:cNvSpPr>
                        <wps:spPr bwMode="auto">
                          <a:xfrm>
                            <a:off x="5377543" y="2873829"/>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22B46E21" w14:textId="77777777" w:rsidR="00BD64CF" w:rsidRPr="00541E8F" w:rsidRDefault="00BD64CF" w:rsidP="00BD64CF">
                              <w:pPr>
                                <w:jc w:val="center"/>
                                <w:rPr>
                                  <w:b/>
                                  <w:color w:val="FFFFFF"/>
                                  <w:sz w:val="16"/>
                                  <w:szCs w:val="16"/>
                                </w:rPr>
                              </w:pPr>
                              <w:r w:rsidRPr="00541E8F">
                                <w:rPr>
                                  <w:b/>
                                  <w:color w:val="FFFFFF"/>
                                  <w:sz w:val="16"/>
                                  <w:szCs w:val="16"/>
                                </w:rPr>
                                <w:t>MDSL</w:t>
                              </w:r>
                            </w:p>
                            <w:p w14:paraId="7EF1A1D4"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503" name="Text Box 808"/>
                        <wps:cNvSpPr txBox="1">
                          <a:spLocks noChangeArrowheads="1"/>
                        </wps:cNvSpPr>
                        <wps:spPr bwMode="auto">
                          <a:xfrm>
                            <a:off x="5965371" y="2884714"/>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4F78A117" w14:textId="77777777" w:rsidR="00BD64CF" w:rsidRPr="00541E8F" w:rsidRDefault="00BD64CF" w:rsidP="00BD64CF">
                              <w:pPr>
                                <w:jc w:val="center"/>
                                <w:rPr>
                                  <w:b/>
                                  <w:color w:val="FFFFFF"/>
                                  <w:sz w:val="16"/>
                                  <w:szCs w:val="16"/>
                                </w:rPr>
                              </w:pPr>
                              <w:r w:rsidRPr="00541E8F">
                                <w:rPr>
                                  <w:b/>
                                  <w:color w:val="FFFFFF"/>
                                  <w:sz w:val="16"/>
                                  <w:szCs w:val="16"/>
                                </w:rPr>
                                <w:t>MDSL</w:t>
                              </w:r>
                            </w:p>
                            <w:p w14:paraId="61C8BE07"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504" name="AutoShape 809"/>
                        <wps:cNvCnPr>
                          <a:cxnSpLocks noChangeShapeType="1"/>
                        </wps:cNvCnPr>
                        <wps:spPr bwMode="auto">
                          <a:xfrm flipV="1">
                            <a:off x="5007429" y="2139043"/>
                            <a:ext cx="0" cy="731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5" name="AutoShape 810"/>
                        <wps:cNvCnPr>
                          <a:cxnSpLocks noChangeShapeType="1"/>
                        </wps:cNvCnPr>
                        <wps:spPr bwMode="auto">
                          <a:xfrm flipH="1" flipV="1">
                            <a:off x="5012871" y="2139043"/>
                            <a:ext cx="614064" cy="731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6" name="AutoShape 811"/>
                        <wps:cNvCnPr>
                          <a:cxnSpLocks noChangeShapeType="1"/>
                        </wps:cNvCnPr>
                        <wps:spPr bwMode="auto">
                          <a:xfrm flipH="1" flipV="1">
                            <a:off x="5012871" y="2139043"/>
                            <a:ext cx="1189929" cy="737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7" name="AutoShape 812"/>
                        <wps:cNvCnPr>
                          <a:cxnSpLocks noChangeShapeType="1"/>
                        </wps:cNvCnPr>
                        <wps:spPr bwMode="auto">
                          <a:xfrm flipH="1" flipV="1">
                            <a:off x="6199414" y="3173186"/>
                            <a:ext cx="371547" cy="425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8" name="AutoShape 813"/>
                        <wps:cNvCnPr>
                          <a:cxnSpLocks noChangeShapeType="1"/>
                        </wps:cNvCnPr>
                        <wps:spPr bwMode="auto">
                          <a:xfrm flipH="1" flipV="1">
                            <a:off x="5633357" y="3184071"/>
                            <a:ext cx="947412" cy="415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9" name="Text Box 814"/>
                        <wps:cNvSpPr txBox="1">
                          <a:spLocks noChangeArrowheads="1"/>
                        </wps:cNvSpPr>
                        <wps:spPr bwMode="auto">
                          <a:xfrm>
                            <a:off x="7130143" y="1817914"/>
                            <a:ext cx="512349" cy="300799"/>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4056CD6C" w14:textId="77777777" w:rsidR="00BD64CF" w:rsidRPr="00AE6192" w:rsidRDefault="00BD64CF" w:rsidP="00BD64CF">
                              <w:pPr>
                                <w:jc w:val="center"/>
                                <w:rPr>
                                  <w:b/>
                                  <w:color w:val="FFFFFF"/>
                                  <w:sz w:val="18"/>
                                  <w:szCs w:val="18"/>
                                </w:rPr>
                              </w:pPr>
                              <w:r w:rsidRPr="00AE6192">
                                <w:rPr>
                                  <w:b/>
                                  <w:color w:val="FFFFFF"/>
                                  <w:sz w:val="18"/>
                                  <w:szCs w:val="18"/>
                                </w:rPr>
                                <w:t>DDR</w:t>
                              </w:r>
                            </w:p>
                          </w:txbxContent>
                        </wps:txbx>
                        <wps:bodyPr rot="0" vert="horz" wrap="square" lIns="91440" tIns="45720" rIns="91440" bIns="45720" anchor="t" anchorCtr="0" upright="1">
                          <a:noAutofit/>
                        </wps:bodyPr>
                      </wps:wsp>
                      <wps:wsp>
                        <wps:cNvPr id="6510" name="Text Box 815"/>
                        <wps:cNvSpPr txBox="1">
                          <a:spLocks noChangeArrowheads="1"/>
                        </wps:cNvSpPr>
                        <wps:spPr bwMode="auto">
                          <a:xfrm>
                            <a:off x="6542314" y="1828800"/>
                            <a:ext cx="513015" cy="300799"/>
                          </a:xfrm>
                          <a:prstGeom prst="rect">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w="9525">
                            <a:solidFill>
                              <a:srgbClr val="000000"/>
                            </a:solidFill>
                            <a:miter lim="800000"/>
                            <a:headEnd/>
                            <a:tailEnd/>
                          </a:ln>
                        </wps:spPr>
                        <wps:txbx>
                          <w:txbxContent>
                            <w:p w14:paraId="51D65489" w14:textId="77777777" w:rsidR="00BD64CF" w:rsidRPr="00AE6192" w:rsidRDefault="00BD64CF" w:rsidP="00BD64CF">
                              <w:pPr>
                                <w:jc w:val="center"/>
                                <w:rPr>
                                  <w:b/>
                                  <w:color w:val="FFFFFF"/>
                                  <w:sz w:val="18"/>
                                  <w:szCs w:val="18"/>
                                </w:rPr>
                              </w:pPr>
                              <w:r>
                                <w:rPr>
                                  <w:b/>
                                  <w:color w:val="FFFFFF"/>
                                  <w:sz w:val="18"/>
                                  <w:szCs w:val="18"/>
                                </w:rPr>
                                <w:t>MCR</w:t>
                              </w:r>
                            </w:p>
                          </w:txbxContent>
                        </wps:txbx>
                        <wps:bodyPr rot="0" vert="horz" wrap="square" lIns="91440" tIns="45720" rIns="91440" bIns="45720" anchor="t" anchorCtr="0" upright="1">
                          <a:noAutofit/>
                        </wps:bodyPr>
                      </wps:wsp>
                      <wps:wsp>
                        <wps:cNvPr id="6511" name="AutoShape 816"/>
                        <wps:cNvCnPr>
                          <a:cxnSpLocks noChangeShapeType="1"/>
                        </wps:cNvCnPr>
                        <wps:spPr bwMode="auto">
                          <a:xfrm flipV="1">
                            <a:off x="6803571" y="2139043"/>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2" name="AutoShape 817"/>
                        <wps:cNvCnPr>
                          <a:cxnSpLocks noChangeShapeType="1"/>
                        </wps:cNvCnPr>
                        <wps:spPr bwMode="auto">
                          <a:xfrm flipV="1">
                            <a:off x="7380514"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3" name="Text Box 818"/>
                        <wps:cNvSpPr txBox="1">
                          <a:spLocks noChangeArrowheads="1"/>
                        </wps:cNvSpPr>
                        <wps:spPr bwMode="auto">
                          <a:xfrm>
                            <a:off x="1796143" y="2873829"/>
                            <a:ext cx="513015"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17CD771E" w14:textId="77777777" w:rsidR="00BD64CF" w:rsidRPr="00541E8F" w:rsidRDefault="00BD64CF" w:rsidP="00BD64CF">
                              <w:pPr>
                                <w:jc w:val="center"/>
                                <w:rPr>
                                  <w:b/>
                                  <w:color w:val="FFFFFF"/>
                                  <w:sz w:val="16"/>
                                  <w:szCs w:val="16"/>
                                </w:rPr>
                              </w:pPr>
                              <w:r w:rsidRPr="00541E8F">
                                <w:rPr>
                                  <w:b/>
                                  <w:color w:val="FFFFFF"/>
                                  <w:sz w:val="16"/>
                                  <w:szCs w:val="16"/>
                                </w:rPr>
                                <w:t>MDSL</w:t>
                              </w:r>
                            </w:p>
                            <w:p w14:paraId="405F76F7" w14:textId="77777777" w:rsidR="00BD64CF" w:rsidRPr="00541E8F" w:rsidRDefault="00BD64CF" w:rsidP="00BD64CF">
                              <w:pPr>
                                <w:rPr>
                                  <w:szCs w:val="18"/>
                                </w:rPr>
                              </w:pPr>
                            </w:p>
                          </w:txbxContent>
                        </wps:txbx>
                        <wps:bodyPr rot="0" vert="horz" wrap="square" lIns="91440" tIns="45720" rIns="91440" bIns="45720" anchor="t" anchorCtr="0" upright="1">
                          <a:noAutofit/>
                        </wps:bodyPr>
                      </wps:wsp>
                      <wps:wsp>
                        <wps:cNvPr id="6514" name="Text Box 819"/>
                        <wps:cNvSpPr txBox="1">
                          <a:spLocks noChangeArrowheads="1"/>
                        </wps:cNvSpPr>
                        <wps:spPr bwMode="auto">
                          <a:xfrm>
                            <a:off x="1208314" y="28629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72563F40" w14:textId="77777777" w:rsidR="00BD64CF" w:rsidRPr="00541E8F" w:rsidRDefault="00BD64CF" w:rsidP="00BD64CF">
                              <w:pPr>
                                <w:jc w:val="center"/>
                                <w:rPr>
                                  <w:b/>
                                  <w:color w:val="FFFFFF"/>
                                  <w:sz w:val="16"/>
                                  <w:szCs w:val="16"/>
                                </w:rPr>
                              </w:pPr>
                              <w:r w:rsidRPr="00541E8F">
                                <w:rPr>
                                  <w:b/>
                                  <w:color w:val="FFFFFF"/>
                                  <w:sz w:val="16"/>
                                  <w:szCs w:val="16"/>
                                </w:rPr>
                                <w:t>MDSL</w:t>
                              </w:r>
                            </w:p>
                          </w:txbxContent>
                        </wps:txbx>
                        <wps:bodyPr rot="0" vert="horz" wrap="square" lIns="91440" tIns="45720" rIns="91440" bIns="45720" anchor="t" anchorCtr="0" upright="1">
                          <a:noAutofit/>
                        </wps:bodyPr>
                      </wps:wsp>
                      <wps:wsp>
                        <wps:cNvPr id="6515" name="AutoShape 820"/>
                        <wps:cNvCnPr>
                          <a:cxnSpLocks noChangeShapeType="1"/>
                        </wps:cNvCnPr>
                        <wps:spPr bwMode="auto">
                          <a:xfrm flipV="1">
                            <a:off x="2634343"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6" name="AutoShape 821"/>
                        <wps:cNvCnPr>
                          <a:cxnSpLocks noChangeShapeType="1"/>
                        </wps:cNvCnPr>
                        <wps:spPr bwMode="auto">
                          <a:xfrm flipV="1">
                            <a:off x="2057400"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7" name="AutoShape 822"/>
                        <wps:cNvCnPr>
                          <a:cxnSpLocks noChangeShapeType="1"/>
                        </wps:cNvCnPr>
                        <wps:spPr bwMode="auto">
                          <a:xfrm flipV="1">
                            <a:off x="1469571" y="2128157"/>
                            <a:ext cx="0" cy="732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8" name="AutoShape 823"/>
                        <wps:cNvCnPr>
                          <a:cxnSpLocks noChangeShapeType="1"/>
                        </wps:cNvCnPr>
                        <wps:spPr bwMode="auto">
                          <a:xfrm flipH="1" flipV="1">
                            <a:off x="1736271" y="1115786"/>
                            <a:ext cx="326464" cy="705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9" name="AutoShape 824"/>
                        <wps:cNvCnPr>
                          <a:cxnSpLocks noChangeShapeType="1"/>
                        </wps:cNvCnPr>
                        <wps:spPr bwMode="auto">
                          <a:xfrm flipV="1">
                            <a:off x="1469571" y="1115786"/>
                            <a:ext cx="268056" cy="705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0" name="AutoShape 825"/>
                        <wps:cNvCnPr>
                          <a:cxnSpLocks noChangeShapeType="1"/>
                        </wps:cNvCnPr>
                        <wps:spPr bwMode="auto">
                          <a:xfrm flipH="1" flipV="1">
                            <a:off x="1466850" y="3181350"/>
                            <a:ext cx="2114466" cy="4177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1" name="AutoShape 826"/>
                        <wps:cNvCnPr>
                          <a:cxnSpLocks noChangeShapeType="1"/>
                        </wps:cNvCnPr>
                        <wps:spPr bwMode="auto">
                          <a:xfrm flipH="1" flipV="1">
                            <a:off x="2062843" y="3192236"/>
                            <a:ext cx="1442661" cy="407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2" name="Text Box 827"/>
                        <wps:cNvSpPr txBox="1">
                          <a:spLocks noChangeArrowheads="1"/>
                        </wps:cNvSpPr>
                        <wps:spPr bwMode="auto">
                          <a:xfrm>
                            <a:off x="5671457" y="239486"/>
                            <a:ext cx="513015" cy="300799"/>
                          </a:xfrm>
                          <a:prstGeom prst="rect">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miter lim="800000"/>
                            <a:headEnd/>
                            <a:tailEnd/>
                          </a:ln>
                        </wps:spPr>
                        <wps:txbx>
                          <w:txbxContent>
                            <w:p w14:paraId="3FA9E94E" w14:textId="77777777" w:rsidR="00BD64CF" w:rsidRPr="00AE6192" w:rsidRDefault="00BD64CF" w:rsidP="00BD64CF">
                              <w:pPr>
                                <w:jc w:val="center"/>
                                <w:rPr>
                                  <w:b/>
                                  <w:color w:val="FFFFFF"/>
                                  <w:sz w:val="18"/>
                                  <w:szCs w:val="18"/>
                                </w:rPr>
                              </w:pPr>
                              <w:r w:rsidRPr="00AE6192">
                                <w:rPr>
                                  <w:b/>
                                  <w:color w:val="FFFFFF"/>
                                  <w:sz w:val="18"/>
                                  <w:szCs w:val="18"/>
                                </w:rPr>
                                <w:t>RZN</w:t>
                              </w:r>
                            </w:p>
                          </w:txbxContent>
                        </wps:txbx>
                        <wps:bodyPr rot="0" vert="horz" wrap="square" lIns="91440" tIns="45720" rIns="91440" bIns="45720" anchor="t" anchorCtr="0" upright="1">
                          <a:noAutofit/>
                        </wps:bodyPr>
                      </wps:wsp>
                      <wps:wsp>
                        <wps:cNvPr id="6523" name="Text Box 829"/>
                        <wps:cNvSpPr txBox="1">
                          <a:spLocks noChangeArrowheads="1"/>
                        </wps:cNvSpPr>
                        <wps:spPr bwMode="auto">
                          <a:xfrm>
                            <a:off x="8218714" y="544286"/>
                            <a:ext cx="513015" cy="300410"/>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5B45AA43" w14:textId="77777777" w:rsidR="00BD64CF" w:rsidRPr="00AE6192" w:rsidRDefault="00BD64CF" w:rsidP="00BD64CF">
                              <w:pPr>
                                <w:jc w:val="center"/>
                                <w:rPr>
                                  <w:b/>
                                  <w:color w:val="FFFFFF"/>
                                  <w:sz w:val="18"/>
                                  <w:szCs w:val="18"/>
                                </w:rPr>
                              </w:pPr>
                              <w:r w:rsidRPr="00AE6192">
                                <w:rPr>
                                  <w:b/>
                                  <w:color w:val="FFFFFF"/>
                                  <w:sz w:val="18"/>
                                  <w:szCs w:val="18"/>
                                </w:rPr>
                                <w:t>DRL</w:t>
                              </w:r>
                            </w:p>
                          </w:txbxContent>
                        </wps:txbx>
                        <wps:bodyPr rot="0" vert="horz" wrap="square" lIns="91440" tIns="45720" rIns="91440" bIns="45720" anchor="t" anchorCtr="0" upright="1">
                          <a:noAutofit/>
                        </wps:bodyPr>
                      </wps:wsp>
                      <wps:wsp>
                        <wps:cNvPr id="6525" name="AutoShape 831"/>
                        <wps:cNvCnPr>
                          <a:cxnSpLocks noChangeShapeType="1"/>
                        </wps:cNvCnPr>
                        <wps:spPr bwMode="auto">
                          <a:xfrm flipV="1">
                            <a:off x="7380514" y="876300"/>
                            <a:ext cx="1073778" cy="95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6" name="AutoShape 843"/>
                        <wps:cNvCnPr>
                          <a:cxnSpLocks noChangeShapeType="1"/>
                        </wps:cNvCnPr>
                        <wps:spPr bwMode="auto">
                          <a:xfrm flipH="1" flipV="1">
                            <a:off x="5883729" y="527957"/>
                            <a:ext cx="2101807" cy="1298409"/>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27" name="AutoShape 844"/>
                        <wps:cNvCnPr>
                          <a:cxnSpLocks noChangeShapeType="1"/>
                        </wps:cNvCnPr>
                        <wps:spPr bwMode="auto">
                          <a:xfrm flipH="1" flipV="1">
                            <a:off x="5883729" y="527957"/>
                            <a:ext cx="1496627" cy="1298409"/>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28" name="AutoShape 845"/>
                        <wps:cNvCnPr>
                          <a:cxnSpLocks noChangeShapeType="1"/>
                        </wps:cNvCnPr>
                        <wps:spPr bwMode="auto">
                          <a:xfrm flipH="1" flipV="1">
                            <a:off x="5883729" y="527957"/>
                            <a:ext cx="920762" cy="1298409"/>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29" name="AutoShape 846"/>
                        <wps:cNvCnPr>
                          <a:cxnSpLocks noChangeShapeType="1"/>
                        </wps:cNvCnPr>
                        <wps:spPr bwMode="auto">
                          <a:xfrm flipV="1">
                            <a:off x="5007429" y="527957"/>
                            <a:ext cx="871904" cy="1298409"/>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0" name="AutoShape 847"/>
                        <wps:cNvCnPr>
                          <a:cxnSpLocks noChangeShapeType="1"/>
                        </wps:cNvCnPr>
                        <wps:spPr bwMode="auto">
                          <a:xfrm flipV="1">
                            <a:off x="4419600" y="527957"/>
                            <a:ext cx="869905" cy="1289082"/>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1" name="AutoShape 848"/>
                        <wps:cNvCnPr>
                          <a:cxnSpLocks noChangeShapeType="1"/>
                        </wps:cNvCnPr>
                        <wps:spPr bwMode="auto">
                          <a:xfrm flipV="1">
                            <a:off x="5007429" y="527957"/>
                            <a:ext cx="274941" cy="1289082"/>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2" name="AutoShape 849"/>
                        <wps:cNvCnPr>
                          <a:cxnSpLocks noChangeShapeType="1"/>
                        </wps:cNvCnPr>
                        <wps:spPr bwMode="auto">
                          <a:xfrm flipV="1">
                            <a:off x="4419600" y="527957"/>
                            <a:ext cx="1466868" cy="1289082"/>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3" name="AutoShape 850"/>
                        <wps:cNvCnPr>
                          <a:cxnSpLocks noChangeShapeType="1"/>
                        </wps:cNvCnPr>
                        <wps:spPr bwMode="auto">
                          <a:xfrm flipV="1">
                            <a:off x="3831771" y="527957"/>
                            <a:ext cx="1454875" cy="1289082"/>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4" name="AutoShape 851"/>
                        <wps:cNvCnPr>
                          <a:cxnSpLocks noChangeShapeType="1"/>
                        </wps:cNvCnPr>
                        <wps:spPr bwMode="auto">
                          <a:xfrm flipV="1">
                            <a:off x="3243943" y="538843"/>
                            <a:ext cx="2039624" cy="1277423"/>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5" name="AutoShape 852"/>
                        <wps:cNvCnPr>
                          <a:cxnSpLocks noChangeShapeType="1"/>
                        </wps:cNvCnPr>
                        <wps:spPr bwMode="auto">
                          <a:xfrm flipV="1">
                            <a:off x="2672443" y="544286"/>
                            <a:ext cx="2624594" cy="1277423"/>
                          </a:xfrm>
                          <a:prstGeom prst="straightConnector1">
                            <a:avLst/>
                          </a:prstGeom>
                          <a:noFill/>
                          <a:ln w="9525">
                            <a:solidFill>
                              <a:srgbClr val="FFC000"/>
                            </a:solidFill>
                            <a:round/>
                            <a:headEnd type="triangle" w="med" len="med"/>
                            <a:tailEnd/>
                          </a:ln>
                          <a:extLst>
                            <a:ext uri="{909E8E84-426E-40DD-AFC4-6F175D3DCCD1}">
                              <a14:hiddenFill xmlns:a14="http://schemas.microsoft.com/office/drawing/2010/main">
                                <a:noFill/>
                              </a14:hiddenFill>
                            </a:ext>
                          </a:extLst>
                        </wps:spPr>
                        <wps:bodyPr/>
                      </wps:wsp>
                      <wps:wsp>
                        <wps:cNvPr id="6536" name="AutoShape 853"/>
                        <wps:cNvCnPr>
                          <a:cxnSpLocks noChangeShapeType="1"/>
                        </wps:cNvCnPr>
                        <wps:spPr bwMode="auto">
                          <a:xfrm flipV="1">
                            <a:off x="2062843" y="533400"/>
                            <a:ext cx="3227109" cy="1289082"/>
                          </a:xfrm>
                          <a:prstGeom prst="straightConnector1">
                            <a:avLst/>
                          </a:prstGeom>
                          <a:noFill/>
                          <a:ln w="9525">
                            <a:solidFill>
                              <a:srgbClr val="FFC000"/>
                            </a:solidFill>
                            <a:round/>
                            <a:headEnd type="triangle" w="med" len="med"/>
                            <a:tailEnd/>
                          </a:ln>
                          <a:extLst>
                            <a:ext uri="{909E8E84-426E-40DD-AFC4-6F175D3DCCD1}">
                              <a14:hiddenFill xmlns:a14="http://schemas.microsoft.com/office/drawing/2010/main">
                                <a:noFill/>
                              </a14:hiddenFill>
                            </a:ext>
                          </a:extLst>
                        </wps:spPr>
                        <wps:bodyPr/>
                      </wps:wsp>
                      <wps:wsp>
                        <wps:cNvPr id="6537" name="AutoShape 854"/>
                        <wps:cNvCnPr>
                          <a:cxnSpLocks noChangeShapeType="1"/>
                        </wps:cNvCnPr>
                        <wps:spPr bwMode="auto">
                          <a:xfrm flipV="1">
                            <a:off x="1469571" y="538843"/>
                            <a:ext cx="3815855" cy="1344267"/>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38" name="AutoShape 855"/>
                        <wps:cNvCnPr>
                          <a:cxnSpLocks noChangeShapeType="1"/>
                        </wps:cNvCnPr>
                        <wps:spPr bwMode="auto">
                          <a:xfrm flipV="1">
                            <a:off x="3581400" y="3194957"/>
                            <a:ext cx="1426893" cy="41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9" name="Text Box 857"/>
                        <wps:cNvSpPr txBox="1">
                          <a:spLocks noChangeArrowheads="1"/>
                        </wps:cNvSpPr>
                        <wps:spPr bwMode="auto">
                          <a:xfrm>
                            <a:off x="7750629" y="2884714"/>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467C83DE" w14:textId="77777777" w:rsidR="00BD64CF" w:rsidRPr="00AE6192" w:rsidRDefault="00BD64CF" w:rsidP="00BD64CF">
                              <w:pPr>
                                <w:jc w:val="center"/>
                                <w:rPr>
                                  <w:b/>
                                  <w:color w:val="FFFFFF"/>
                                  <w:sz w:val="14"/>
                                  <w:szCs w:val="14"/>
                                </w:rPr>
                              </w:pPr>
                              <w:r w:rsidRPr="00AE6192">
                                <w:rPr>
                                  <w:b/>
                                  <w:color w:val="FFFFFF"/>
                                  <w:sz w:val="14"/>
                                  <w:szCs w:val="14"/>
                                </w:rPr>
                                <w:t>Tie Line</w:t>
                              </w:r>
                            </w:p>
                          </w:txbxContent>
                        </wps:txbx>
                        <wps:bodyPr rot="0" vert="horz" wrap="square" lIns="91440" tIns="45720" rIns="91440" bIns="45720" anchor="t" anchorCtr="0" upright="1">
                          <a:noAutofit/>
                        </wps:bodyPr>
                      </wps:wsp>
                      <wps:wsp>
                        <wps:cNvPr id="6540" name="Text Box 858"/>
                        <wps:cNvSpPr txBox="1">
                          <a:spLocks noChangeArrowheads="1"/>
                        </wps:cNvSpPr>
                        <wps:spPr bwMode="auto">
                          <a:xfrm>
                            <a:off x="8349343" y="2884714"/>
                            <a:ext cx="513015"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5244AB4F" w14:textId="77777777" w:rsidR="00BD64CF" w:rsidRPr="00AE6192" w:rsidRDefault="00BD64CF" w:rsidP="00BD64CF">
                              <w:pPr>
                                <w:jc w:val="center"/>
                                <w:rPr>
                                  <w:b/>
                                  <w:color w:val="FFFFFF"/>
                                  <w:sz w:val="14"/>
                                  <w:szCs w:val="14"/>
                                </w:rPr>
                              </w:pPr>
                              <w:r w:rsidRPr="00AE6192">
                                <w:rPr>
                                  <w:b/>
                                  <w:color w:val="FFFFFF"/>
                                  <w:sz w:val="14"/>
                                  <w:szCs w:val="14"/>
                                </w:rPr>
                                <w:t>Tie Line</w:t>
                              </w:r>
                            </w:p>
                            <w:p w14:paraId="2F6CD9BB" w14:textId="77777777" w:rsidR="00BD64CF" w:rsidRPr="00AE6192" w:rsidRDefault="00BD64CF" w:rsidP="00BD64CF">
                              <w:pPr>
                                <w:rPr>
                                  <w:szCs w:val="18"/>
                                </w:rPr>
                              </w:pPr>
                            </w:p>
                          </w:txbxContent>
                        </wps:txbx>
                        <wps:bodyPr rot="0" vert="horz" wrap="square" lIns="91440" tIns="45720" rIns="91440" bIns="45720" anchor="t" anchorCtr="0" upright="1">
                          <a:noAutofit/>
                        </wps:bodyPr>
                      </wps:wsp>
                      <wps:wsp>
                        <wps:cNvPr id="6541" name="AutoShape 859"/>
                        <wps:cNvCnPr>
                          <a:cxnSpLocks noChangeShapeType="1"/>
                        </wps:cNvCnPr>
                        <wps:spPr bwMode="auto">
                          <a:xfrm flipV="1">
                            <a:off x="6564086" y="3192236"/>
                            <a:ext cx="1426893" cy="407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2" name="AutoShape 860"/>
                        <wps:cNvCnPr>
                          <a:cxnSpLocks noChangeShapeType="1"/>
                        </wps:cNvCnPr>
                        <wps:spPr bwMode="auto">
                          <a:xfrm flipV="1">
                            <a:off x="6574971" y="3192236"/>
                            <a:ext cx="1967891" cy="407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3" name="Text Box 863"/>
                        <wps:cNvSpPr txBox="1">
                          <a:spLocks noChangeArrowheads="1"/>
                        </wps:cNvSpPr>
                        <wps:spPr bwMode="auto">
                          <a:xfrm>
                            <a:off x="1208314" y="49203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06DAA35C"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wps:txbx>
                        <wps:bodyPr rot="0" vert="horz" wrap="square" lIns="91440" tIns="45720" rIns="91440" bIns="45720" anchor="t" anchorCtr="0" upright="1">
                          <a:noAutofit/>
                        </wps:bodyPr>
                      </wps:wsp>
                      <wps:wsp>
                        <wps:cNvPr id="6544" name="Text Box 864"/>
                        <wps:cNvSpPr txBox="1">
                          <a:spLocks noChangeArrowheads="1"/>
                        </wps:cNvSpPr>
                        <wps:spPr bwMode="auto">
                          <a:xfrm>
                            <a:off x="1208314" y="42345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4B5F8E6A" w14:textId="1188FAB9" w:rsidR="00BD64CF" w:rsidRPr="00AE6192" w:rsidRDefault="002D623C" w:rsidP="00BD64CF">
                              <w:pPr>
                                <w:jc w:val="center"/>
                                <w:rPr>
                                  <w:b/>
                                  <w:color w:val="FFFFFF"/>
                                  <w:sz w:val="16"/>
                                  <w:szCs w:val="16"/>
                                </w:rPr>
                              </w:pPr>
                              <w:r>
                                <w:rPr>
                                  <w:b/>
                                  <w:color w:val="FFFFFF"/>
                                  <w:sz w:val="16"/>
                                  <w:szCs w:val="16"/>
                                </w:rPr>
                                <w:t>Pnode</w:t>
                              </w:r>
                            </w:p>
                          </w:txbxContent>
                        </wps:txbx>
                        <wps:bodyPr rot="0" vert="horz" wrap="square" lIns="91440" tIns="45720" rIns="91440" bIns="45720" anchor="t" anchorCtr="0" upright="1">
                          <a:noAutofit/>
                        </wps:bodyPr>
                      </wps:wsp>
                      <wps:wsp>
                        <wps:cNvPr id="6545" name="Text Box 873"/>
                        <wps:cNvSpPr txBox="1">
                          <a:spLocks noChangeArrowheads="1"/>
                        </wps:cNvSpPr>
                        <wps:spPr bwMode="auto">
                          <a:xfrm>
                            <a:off x="4865914" y="42345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6717D1EE" w14:textId="4F073936" w:rsidR="00BD64CF" w:rsidRPr="00AE6192" w:rsidRDefault="002D623C" w:rsidP="00BD64CF">
                              <w:pPr>
                                <w:jc w:val="center"/>
                                <w:rPr>
                                  <w:b/>
                                  <w:color w:val="FFFFFF"/>
                                  <w:sz w:val="16"/>
                                  <w:szCs w:val="16"/>
                                </w:rPr>
                              </w:pPr>
                              <w:r>
                                <w:rPr>
                                  <w:b/>
                                  <w:color w:val="FFFFFF"/>
                                  <w:sz w:val="16"/>
                                  <w:szCs w:val="16"/>
                                </w:rPr>
                                <w:t>Pnode</w:t>
                              </w:r>
                            </w:p>
                          </w:txbxContent>
                        </wps:txbx>
                        <wps:bodyPr rot="0" vert="horz" wrap="square" lIns="91440" tIns="45720" rIns="91440" bIns="45720" anchor="t" anchorCtr="0" upright="1">
                          <a:noAutofit/>
                        </wps:bodyPr>
                      </wps:wsp>
                      <wps:wsp>
                        <wps:cNvPr id="6546" name="Text Box 876"/>
                        <wps:cNvSpPr txBox="1">
                          <a:spLocks noChangeArrowheads="1"/>
                        </wps:cNvSpPr>
                        <wps:spPr bwMode="auto">
                          <a:xfrm>
                            <a:off x="5442857" y="42345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275011A0" w14:textId="632ABAAF" w:rsidR="00BD64CF" w:rsidRPr="00AE6192" w:rsidRDefault="00BD64CF" w:rsidP="00BD64CF">
                              <w:pPr>
                                <w:jc w:val="center"/>
                                <w:rPr>
                                  <w:b/>
                                  <w:color w:val="FFFFFF"/>
                                  <w:sz w:val="16"/>
                                  <w:szCs w:val="16"/>
                                </w:rPr>
                              </w:pPr>
                              <w:r>
                                <w:rPr>
                                  <w:b/>
                                  <w:color w:val="FFFFFF"/>
                                  <w:sz w:val="16"/>
                                  <w:szCs w:val="16"/>
                                </w:rPr>
                                <w:t>P</w:t>
                              </w:r>
                              <w:r w:rsidR="002D623C">
                                <w:rPr>
                                  <w:b/>
                                  <w:color w:val="FFFFFF"/>
                                  <w:sz w:val="16"/>
                                  <w:szCs w:val="16"/>
                                </w:rPr>
                                <w:t>n</w:t>
                              </w:r>
                              <w:r>
                                <w:rPr>
                                  <w:b/>
                                  <w:color w:val="FFFFFF"/>
                                  <w:sz w:val="16"/>
                                  <w:szCs w:val="16"/>
                                </w:rPr>
                                <w:t>ode</w:t>
                              </w:r>
                            </w:p>
                          </w:txbxContent>
                        </wps:txbx>
                        <wps:bodyPr rot="0" vert="horz" wrap="square" lIns="91440" tIns="45720" rIns="91440" bIns="45720" anchor="t" anchorCtr="0" upright="1">
                          <a:noAutofit/>
                        </wps:bodyPr>
                      </wps:wsp>
                      <wps:wsp>
                        <wps:cNvPr id="6547" name="Text Box 877"/>
                        <wps:cNvSpPr txBox="1">
                          <a:spLocks noChangeArrowheads="1"/>
                        </wps:cNvSpPr>
                        <wps:spPr bwMode="auto">
                          <a:xfrm>
                            <a:off x="4299857" y="42345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178B5E33" w14:textId="7948C541" w:rsidR="00BD64CF" w:rsidRPr="00AE6192" w:rsidRDefault="00BD64CF" w:rsidP="00BD64CF">
                              <w:pPr>
                                <w:jc w:val="center"/>
                                <w:rPr>
                                  <w:b/>
                                  <w:color w:val="FFFFFF"/>
                                  <w:sz w:val="16"/>
                                  <w:szCs w:val="16"/>
                                </w:rPr>
                              </w:pPr>
                              <w:r>
                                <w:rPr>
                                  <w:b/>
                                  <w:color w:val="FFFFFF"/>
                                  <w:sz w:val="16"/>
                                  <w:szCs w:val="16"/>
                                </w:rPr>
                                <w:t>P</w:t>
                              </w:r>
                              <w:r w:rsidR="002D623C">
                                <w:rPr>
                                  <w:b/>
                                  <w:color w:val="FFFFFF"/>
                                  <w:sz w:val="16"/>
                                  <w:szCs w:val="16"/>
                                </w:rPr>
                                <w:t>n</w:t>
                              </w:r>
                              <w:r>
                                <w:rPr>
                                  <w:b/>
                                  <w:color w:val="FFFFFF"/>
                                  <w:sz w:val="16"/>
                                  <w:szCs w:val="16"/>
                                </w:rPr>
                                <w:t>ode</w:t>
                              </w:r>
                            </w:p>
                          </w:txbxContent>
                        </wps:txbx>
                        <wps:bodyPr rot="0" vert="horz" wrap="square" lIns="91440" tIns="45720" rIns="91440" bIns="45720" anchor="t" anchorCtr="0" upright="1">
                          <a:noAutofit/>
                        </wps:bodyPr>
                      </wps:wsp>
                      <wps:wsp>
                        <wps:cNvPr id="6548" name="Text Box 878"/>
                        <wps:cNvSpPr txBox="1">
                          <a:spLocks noChangeArrowheads="1"/>
                        </wps:cNvSpPr>
                        <wps:spPr bwMode="auto">
                          <a:xfrm>
                            <a:off x="4299857" y="49203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7B02EAA2"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wps:txbx>
                        <wps:bodyPr rot="0" vert="horz" wrap="square" lIns="91440" tIns="45720" rIns="91440" bIns="45720" anchor="t" anchorCtr="0" upright="1">
                          <a:noAutofit/>
                        </wps:bodyPr>
                      </wps:wsp>
                      <wps:wsp>
                        <wps:cNvPr id="6549" name="Text Box 879"/>
                        <wps:cNvSpPr txBox="1">
                          <a:spLocks noChangeArrowheads="1"/>
                        </wps:cNvSpPr>
                        <wps:spPr bwMode="auto">
                          <a:xfrm>
                            <a:off x="4865914" y="49203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5177781C"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wps:txbx>
                        <wps:bodyPr rot="0" vert="horz" wrap="square" lIns="91440" tIns="45720" rIns="91440" bIns="45720" anchor="t" anchorCtr="0" upright="1">
                          <a:noAutofit/>
                        </wps:bodyPr>
                      </wps:wsp>
                      <wps:wsp>
                        <wps:cNvPr id="6550" name="Text Box 880"/>
                        <wps:cNvSpPr txBox="1">
                          <a:spLocks noChangeArrowheads="1"/>
                        </wps:cNvSpPr>
                        <wps:spPr bwMode="auto">
                          <a:xfrm>
                            <a:off x="5442857" y="4920343"/>
                            <a:ext cx="512349" cy="300799"/>
                          </a:xfrm>
                          <a:prstGeom prst="rect">
                            <a:avLst/>
                          </a:prstGeom>
                          <a:gradFill rotWithShape="1">
                            <a:gsLst>
                              <a:gs pos="0">
                                <a:srgbClr val="A5A5A5">
                                  <a:gamma/>
                                  <a:shade val="46275"/>
                                  <a:invGamma/>
                                </a:srgbClr>
                              </a:gs>
                              <a:gs pos="50000">
                                <a:srgbClr val="A5A5A5"/>
                              </a:gs>
                              <a:gs pos="100000">
                                <a:srgbClr val="A5A5A5">
                                  <a:gamma/>
                                  <a:shade val="46275"/>
                                  <a:invGamma/>
                                </a:srgbClr>
                              </a:gs>
                            </a:gsLst>
                            <a:lin ang="5400000" scaled="1"/>
                          </a:gradFill>
                          <a:ln w="9525">
                            <a:solidFill>
                              <a:srgbClr val="000000"/>
                            </a:solidFill>
                            <a:miter lim="800000"/>
                            <a:headEnd/>
                            <a:tailEnd/>
                          </a:ln>
                        </wps:spPr>
                        <wps:txbx>
                          <w:txbxContent>
                            <w:p w14:paraId="2AADF5CA"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wps:txbx>
                        <wps:bodyPr rot="0" vert="horz" wrap="square" lIns="91440" tIns="45720" rIns="91440" bIns="45720" anchor="t" anchorCtr="0" upright="1">
                          <a:noAutofit/>
                        </wps:bodyPr>
                      </wps:wsp>
                      <wps:wsp>
                        <wps:cNvPr id="6554" name="Line 884"/>
                        <wps:cNvCnPr/>
                        <wps:spPr bwMode="auto">
                          <a:xfrm flipV="1">
                            <a:off x="4528457" y="3194957"/>
                            <a:ext cx="342898"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5" name="Line 885"/>
                        <wps:cNvCnPr/>
                        <wps:spPr bwMode="auto">
                          <a:xfrm flipH="1" flipV="1">
                            <a:off x="4980214" y="3194957"/>
                            <a:ext cx="114374"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6" name="Line 886"/>
                        <wps:cNvCnPr/>
                        <wps:spPr bwMode="auto">
                          <a:xfrm flipH="1" flipV="1">
                            <a:off x="5099957" y="3194957"/>
                            <a:ext cx="571423"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7" name="Line 888"/>
                        <wps:cNvCnPr/>
                        <wps:spPr bwMode="auto">
                          <a:xfrm flipV="1">
                            <a:off x="1436914" y="3194957"/>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9" name="Text Box 891"/>
                        <wps:cNvSpPr txBox="1">
                          <a:spLocks noChangeArrowheads="1"/>
                        </wps:cNvSpPr>
                        <wps:spPr bwMode="auto">
                          <a:xfrm>
                            <a:off x="293914" y="3907971"/>
                            <a:ext cx="924538" cy="715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CDC32" w14:textId="77777777" w:rsidR="00BD64CF" w:rsidRPr="00AE6192" w:rsidRDefault="00BD64CF" w:rsidP="00BD64CF">
                              <w:pPr>
                                <w:spacing w:after="0"/>
                                <w:jc w:val="right"/>
                              </w:pPr>
                              <w:r>
                                <w:t>Meter Settlement Locations</w:t>
                              </w:r>
                            </w:p>
                            <w:p w14:paraId="1D682D87" w14:textId="77777777" w:rsidR="00BD64CF" w:rsidRPr="00AE6192" w:rsidRDefault="00BD64CF" w:rsidP="00BD64CF">
                              <w:pPr>
                                <w:spacing w:after="0"/>
                                <w:jc w:val="right"/>
                              </w:pPr>
                            </w:p>
                          </w:txbxContent>
                        </wps:txbx>
                        <wps:bodyPr rot="0" vert="horz" wrap="square" lIns="91440" tIns="45720" rIns="91440" bIns="45720" anchor="t" anchorCtr="0" upright="1">
                          <a:noAutofit/>
                        </wps:bodyPr>
                      </wps:wsp>
                      <wps:wsp>
                        <wps:cNvPr id="6560" name="Text Box 892"/>
                        <wps:cNvSpPr txBox="1">
                          <a:spLocks noChangeArrowheads="1"/>
                        </wps:cNvSpPr>
                        <wps:spPr bwMode="auto">
                          <a:xfrm>
                            <a:off x="0" y="4757057"/>
                            <a:ext cx="1163945" cy="770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9775" w14:textId="77777777" w:rsidR="00BD64CF" w:rsidRPr="00AE6192" w:rsidRDefault="00BD64CF" w:rsidP="00BD64CF">
                              <w:pPr>
                                <w:spacing w:after="0"/>
                                <w:jc w:val="right"/>
                              </w:pPr>
                              <w:r w:rsidRPr="00AE6192">
                                <w:t>Network Model</w:t>
                              </w:r>
                            </w:p>
                            <w:p w14:paraId="19BC5ACB" w14:textId="77777777" w:rsidR="00BD64CF" w:rsidRPr="00AE6192" w:rsidRDefault="00BD64CF" w:rsidP="00BD64CF">
                              <w:pPr>
                                <w:spacing w:after="0"/>
                                <w:jc w:val="right"/>
                              </w:pPr>
                              <w:r w:rsidRPr="00AE6192">
                                <w:t>Link –</w:t>
                              </w:r>
                            </w:p>
                            <w:p w14:paraId="69F3D7D0" w14:textId="77777777" w:rsidR="00BD64CF" w:rsidRPr="00AE6192" w:rsidRDefault="00BD64CF" w:rsidP="00BD64CF">
                              <w:pPr>
                                <w:spacing w:after="0"/>
                                <w:jc w:val="right"/>
                              </w:pPr>
                              <w:r w:rsidRPr="00AE6192">
                                <w:t xml:space="preserve"> </w:t>
                              </w:r>
                            </w:p>
                          </w:txbxContent>
                        </wps:txbx>
                        <wps:bodyPr rot="0" vert="horz" wrap="square" lIns="91440" tIns="45720" rIns="91440" bIns="45720" anchor="t" anchorCtr="0" upright="1">
                          <a:noAutofit/>
                        </wps:bodyPr>
                      </wps:wsp>
                      <wps:wsp>
                        <wps:cNvPr id="6562" name="Text Box 897"/>
                        <wps:cNvSpPr txBox="1">
                          <a:spLocks noChangeArrowheads="1"/>
                        </wps:cNvSpPr>
                        <wps:spPr bwMode="auto">
                          <a:xfrm>
                            <a:off x="7543800" y="4920343"/>
                            <a:ext cx="1257220" cy="388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64E02" w14:textId="77777777" w:rsidR="00BD64CF" w:rsidRPr="00AE6192" w:rsidRDefault="00BD64CF" w:rsidP="00BD64CF">
                              <w:pPr>
                                <w:spacing w:after="0"/>
                              </w:pPr>
                              <w:r>
                                <w:t>Network Model</w:t>
                              </w:r>
                            </w:p>
                          </w:txbxContent>
                        </wps:txbx>
                        <wps:bodyPr rot="0" vert="horz" wrap="square" lIns="91440" tIns="45720" rIns="91440" bIns="45720" anchor="t" anchorCtr="0" upright="1">
                          <a:noAutofit/>
                        </wps:bodyPr>
                      </wps:wsp>
                      <wps:wsp>
                        <wps:cNvPr id="6563" name="Text Box 899"/>
                        <wps:cNvSpPr txBox="1">
                          <a:spLocks noChangeArrowheads="1"/>
                        </wps:cNvSpPr>
                        <wps:spPr bwMode="auto">
                          <a:xfrm>
                            <a:off x="7532914" y="4180114"/>
                            <a:ext cx="1257220" cy="43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15B5" w14:textId="77777777" w:rsidR="00BD64CF" w:rsidRPr="00AE6192" w:rsidRDefault="00BD64CF" w:rsidP="00BD64CF">
                              <w:pPr>
                                <w:spacing w:after="0"/>
                              </w:pPr>
                              <w:r>
                                <w:t>Commercial Model</w:t>
                              </w:r>
                            </w:p>
                          </w:txbxContent>
                        </wps:txbx>
                        <wps:bodyPr rot="0" vert="horz" wrap="square" lIns="91440" tIns="45720" rIns="91440" bIns="45720" anchor="t" anchorCtr="0" upright="1">
                          <a:noAutofit/>
                        </wps:bodyPr>
                      </wps:wsp>
                      <wps:wsp>
                        <wps:cNvPr id="2116135907" name="Text Box 784"/>
                        <wps:cNvSpPr txBox="1">
                          <a:spLocks noChangeArrowheads="1"/>
                        </wps:cNvSpPr>
                        <wps:spPr bwMode="auto">
                          <a:xfrm>
                            <a:off x="2732314" y="576943"/>
                            <a:ext cx="512445" cy="300355"/>
                          </a:xfrm>
                          <a:prstGeom prst="rect">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miter lim="800000"/>
                            <a:headEnd/>
                            <a:tailEnd/>
                          </a:ln>
                        </wps:spPr>
                        <wps:txbx>
                          <w:txbxContent>
                            <w:p w14:paraId="33BBCEC2" w14:textId="77777777" w:rsidR="00BD64CF" w:rsidRPr="00AE6192" w:rsidRDefault="00BD64CF" w:rsidP="00BD64CF">
                              <w:pPr>
                                <w:jc w:val="center"/>
                                <w:rPr>
                                  <w:b/>
                                  <w:color w:val="FFFFFF"/>
                                  <w:sz w:val="18"/>
                                  <w:szCs w:val="18"/>
                                </w:rPr>
                              </w:pPr>
                              <w:r>
                                <w:rPr>
                                  <w:b/>
                                  <w:color w:val="FFFFFF"/>
                                  <w:sz w:val="18"/>
                                  <w:szCs w:val="18"/>
                                </w:rPr>
                                <w:t>BAA</w:t>
                              </w:r>
                            </w:p>
                          </w:txbxContent>
                        </wps:txbx>
                        <wps:bodyPr rot="0" vert="horz" wrap="square" lIns="91440" tIns="45720" rIns="91440" bIns="45720" anchor="t" anchorCtr="0" upright="1">
                          <a:noAutofit/>
                        </wps:bodyPr>
                      </wps:wsp>
                      <wps:wsp>
                        <wps:cNvPr id="1027933074" name="Text Box 784"/>
                        <wps:cNvSpPr txBox="1">
                          <a:spLocks noChangeArrowheads="1"/>
                        </wps:cNvSpPr>
                        <wps:spPr bwMode="auto">
                          <a:xfrm>
                            <a:off x="3450771" y="576943"/>
                            <a:ext cx="512445" cy="300355"/>
                          </a:xfrm>
                          <a:prstGeom prst="rect">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miter lim="800000"/>
                            <a:headEnd/>
                            <a:tailEnd/>
                          </a:ln>
                        </wps:spPr>
                        <wps:txbx>
                          <w:txbxContent>
                            <w:p w14:paraId="4CA96F7B" w14:textId="77777777" w:rsidR="00BD64CF" w:rsidRPr="00AE6192" w:rsidRDefault="00BD64CF" w:rsidP="00BD64CF">
                              <w:pPr>
                                <w:jc w:val="center"/>
                                <w:rPr>
                                  <w:b/>
                                  <w:color w:val="FFFFFF"/>
                                  <w:sz w:val="18"/>
                                  <w:szCs w:val="18"/>
                                </w:rPr>
                              </w:pPr>
                              <w:r>
                                <w:rPr>
                                  <w:b/>
                                  <w:color w:val="FFFFFF"/>
                                  <w:sz w:val="18"/>
                                  <w:szCs w:val="18"/>
                                </w:rPr>
                                <w:t>BAA</w:t>
                              </w:r>
                            </w:p>
                          </w:txbxContent>
                        </wps:txbx>
                        <wps:bodyPr rot="0" vert="horz" wrap="square" lIns="91440" tIns="45720" rIns="91440" bIns="45720" anchor="t" anchorCtr="0" upright="1">
                          <a:noAutofit/>
                        </wps:bodyPr>
                      </wps:wsp>
                      <wps:wsp>
                        <wps:cNvPr id="254930795" name="Text Box 778"/>
                        <wps:cNvSpPr txBox="1">
                          <a:spLocks noChangeArrowheads="1"/>
                        </wps:cNvSpPr>
                        <wps:spPr bwMode="auto">
                          <a:xfrm>
                            <a:off x="2514600" y="239486"/>
                            <a:ext cx="1958454"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D468" w14:textId="77777777" w:rsidR="00BD64CF" w:rsidRPr="00AE6192" w:rsidRDefault="00BD64CF" w:rsidP="00F748DE">
                              <w:pPr>
                                <w:jc w:val="left"/>
                                <w:rPr>
                                  <w:szCs w:val="24"/>
                                </w:rPr>
                              </w:pPr>
                              <w:r>
                                <w:t>Balancing Authority Areas</w:t>
                              </w:r>
                            </w:p>
                          </w:txbxContent>
                        </wps:txbx>
                        <wps:bodyPr rot="0" vert="horz" wrap="square" lIns="91440" tIns="45720" rIns="91440" bIns="45720" anchor="t" anchorCtr="0" upright="1">
                          <a:noAutofit/>
                        </wps:bodyPr>
                      </wps:wsp>
                      <wps:wsp>
                        <wps:cNvPr id="241400924" name="AutoShape 804"/>
                        <wps:cNvCnPr>
                          <a:cxnSpLocks noChangeShapeType="1"/>
                        </wps:cNvCnPr>
                        <wps:spPr bwMode="auto">
                          <a:xfrm flipV="1">
                            <a:off x="1959429" y="876300"/>
                            <a:ext cx="895350" cy="1075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942722" name="AutoShape 804"/>
                        <wps:cNvCnPr>
                          <a:cxnSpLocks noChangeShapeType="1"/>
                        </wps:cNvCnPr>
                        <wps:spPr bwMode="auto">
                          <a:xfrm flipV="1">
                            <a:off x="2590800" y="887186"/>
                            <a:ext cx="317500" cy="1060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770395" name="AutoShape 804"/>
                        <wps:cNvCnPr>
                          <a:cxnSpLocks noChangeShapeType="1"/>
                        </wps:cNvCnPr>
                        <wps:spPr bwMode="auto">
                          <a:xfrm flipH="1" flipV="1">
                            <a:off x="2988129" y="887186"/>
                            <a:ext cx="1304925" cy="1060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6452330" name="AutoShape 804"/>
                        <wps:cNvCnPr>
                          <a:cxnSpLocks noChangeShapeType="1"/>
                        </wps:cNvCnPr>
                        <wps:spPr bwMode="auto">
                          <a:xfrm flipV="1">
                            <a:off x="3069771" y="887186"/>
                            <a:ext cx="436245" cy="1032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610754" name="AutoShape 804"/>
                        <wps:cNvCnPr>
                          <a:cxnSpLocks noChangeShapeType="1"/>
                        </wps:cNvCnPr>
                        <wps:spPr bwMode="auto">
                          <a:xfrm flipH="1" flipV="1">
                            <a:off x="3586843" y="898071"/>
                            <a:ext cx="114935" cy="1027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9039230" name="AutoShape 804"/>
                        <wps:cNvCnPr>
                          <a:cxnSpLocks noChangeShapeType="1"/>
                        </wps:cNvCnPr>
                        <wps:spPr bwMode="auto">
                          <a:xfrm flipH="1" flipV="1">
                            <a:off x="3750129" y="898071"/>
                            <a:ext cx="1114425" cy="1036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F5B2AC3" id="_x0000_s1030" style="position:absolute;left:0;text-align:left;margin-left:-68.4pt;margin-top:19.3pt;width:761.15pt;height:435.2pt;z-index:251658244;mso-position-horizontal-relative:text;mso-position-vertical-relative:text" coordsize="96664,5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">
                <v:shape id="Text Box 856" o:spid="_x0000_s1031" type="#_x0000_t202" style="position:absolute;left:1850;top:16002;width:10041;height:9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" filled="f" stroked="f">
                  <v:textbox>
                    <w:txbxContent>
                      <w:p w14:paraId="66A2C04B" w14:textId="77777777" w:rsidR="00BD64CF" w:rsidRPr="00AE6192" w:rsidRDefault="00BD64CF" w:rsidP="00BD64CF">
                        <w:pPr>
                          <w:spacing w:after="0"/>
                          <w:jc w:val="right"/>
                        </w:pPr>
                        <w:r w:rsidRPr="00AE6192">
                          <w:t xml:space="preserve">Settlement </w:t>
                        </w:r>
                      </w:p>
                      <w:p w14:paraId="0CB7F104" w14:textId="77777777" w:rsidR="00BD64CF" w:rsidRPr="00AE6192" w:rsidRDefault="00BD64CF" w:rsidP="00BD64CF">
                        <w:pPr>
                          <w:spacing w:after="0"/>
                          <w:jc w:val="right"/>
                        </w:pPr>
                        <w:r w:rsidRPr="00AE6192">
                          <w:t>Locations</w:t>
                        </w:r>
                      </w:p>
                      <w:p w14:paraId="07A5CBEC" w14:textId="77777777" w:rsidR="00BD64CF" w:rsidRPr="00AE6192" w:rsidRDefault="00BD64CF" w:rsidP="00BD64CF">
                        <w:pPr>
                          <w:spacing w:after="0"/>
                          <w:jc w:val="right"/>
                        </w:pPr>
                        <w:r w:rsidRPr="00AE6192">
                          <w:t xml:space="preserve">(pricing / </w:t>
                        </w:r>
                      </w:p>
                      <w:p w14:paraId="7E8CC950" w14:textId="77777777" w:rsidR="00BD64CF" w:rsidRPr="00AE6192" w:rsidRDefault="00BD64CF" w:rsidP="00BD64CF">
                        <w:pPr>
                          <w:spacing w:after="0"/>
                          <w:jc w:val="right"/>
                        </w:pPr>
                        <w:r w:rsidRPr="00AE6192">
                          <w:t>settlement)</w:t>
                        </w:r>
                      </w:p>
                    </w:txbxContent>
                  </v:textbox>
                </v:shape>
                <v:shape id="Text Box 778" o:spid="_x0000_s1032" type="#_x0000_t202" style="position:absolute;left:50618;width:11837;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" filled="f" stroked="f">
                  <v:textbox>
                    <w:txbxContent>
                      <w:p w14:paraId="5A40F8C8" w14:textId="77777777" w:rsidR="00BD64CF" w:rsidRPr="00AE6192" w:rsidRDefault="00BD64CF" w:rsidP="00BD64CF">
                        <w:pPr>
                          <w:rPr>
                            <w:szCs w:val="24"/>
                          </w:rPr>
                        </w:pPr>
                        <w:r w:rsidRPr="00AE6192">
                          <w:t xml:space="preserve">Reserve </w:t>
                        </w:r>
                        <w:r w:rsidRPr="00AE6192">
                          <w:rPr>
                            <w:szCs w:val="24"/>
                          </w:rPr>
                          <w:t>Zones</w:t>
                        </w:r>
                      </w:p>
                    </w:txbxContent>
                  </v:textbox>
                </v:shape>
                <v:line id="Line 881" o:spid="_x0000_s1033" style="position:absolute;flip:y;visibility:visible;mso-wrap-style:square" from="45284,45665" to="45284,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">
                  <v:stroke endarrow="block"/>
                </v:line>
                <v:line id="Line 882" o:spid="_x0000_s1034" style="position:absolute;flip:y;visibility:visible;mso-wrap-style:square" from="50945,45665" to="50945,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">
                  <v:stroke endarrow="block"/>
                </v:line>
                <v:line id="Line 883" o:spid="_x0000_s1035" style="position:absolute;flip:y;visibility:visible;mso-wrap-style:square" from="56714,45665" to="56714,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">
                  <v:stroke endarrow="block"/>
                </v:line>
                <v:line id="Line 889" o:spid="_x0000_s1036" style="position:absolute;flip:y;visibility:visible;mso-wrap-style:square" from="14369,45665" to="14369,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">
                  <v:stroke endarrow="block"/>
                </v:line>
                <v:line id="Line 896" o:spid="_x0000_s1037" style="position:absolute;visibility:visible;mso-wrap-style:square" from="6858,46890" to="88012,4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" strokeweight="2.25pt"/>
                <v:shape id="Text Box 781" o:spid="_x0000_s1038" type="#_x0000_t202" style="position:absolute;left:87521;top:4572;width:9143;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" filled="f" stroked="f">
                  <v:textbox>
                    <w:txbxContent>
                      <w:p w14:paraId="04E92DC0" w14:textId="77777777" w:rsidR="00BD64CF" w:rsidRPr="00AE6192" w:rsidRDefault="00BD64CF" w:rsidP="00BD64CF">
                        <w:pPr>
                          <w:spacing w:after="0"/>
                        </w:pPr>
                        <w:r w:rsidRPr="00AE6192">
                          <w:t xml:space="preserve">Demand Response </w:t>
                        </w:r>
                      </w:p>
                      <w:p w14:paraId="008CE26A" w14:textId="77777777" w:rsidR="00BD64CF" w:rsidRPr="00AE6192" w:rsidRDefault="00BD64CF" w:rsidP="00BD64CF">
                        <w:pPr>
                          <w:spacing w:after="0"/>
                        </w:pPr>
                        <w:r w:rsidRPr="00AE6192">
                          <w:t>Load</w:t>
                        </w:r>
                      </w:p>
                    </w:txbxContent>
                  </v:textbox>
                </v:shape>
                <v:shape id="Text Box 785" o:spid="_x0000_s1039" type="#_x0000_t202" style="position:absolute;left:1197;top:26996;width:1056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" filled="f" stroked="f">
                  <v:textbox>
                    <w:txbxContent>
                      <w:p w14:paraId="4249C6CC" w14:textId="77777777" w:rsidR="00BD64CF" w:rsidRPr="00AE6192" w:rsidRDefault="00BD64CF" w:rsidP="00BD64CF">
                        <w:pPr>
                          <w:spacing w:after="0"/>
                          <w:jc w:val="right"/>
                        </w:pPr>
                        <w:r w:rsidRPr="00AE6192">
                          <w:t>Meter</w:t>
                        </w:r>
                      </w:p>
                      <w:p w14:paraId="235C5DFF" w14:textId="77777777" w:rsidR="00BD64CF" w:rsidRPr="00AE6192" w:rsidRDefault="00BD64CF" w:rsidP="00BD64CF">
                        <w:pPr>
                          <w:spacing w:after="0"/>
                          <w:jc w:val="right"/>
                        </w:pPr>
                        <w:r>
                          <w:t>Data Submittal</w:t>
                        </w:r>
                        <w:r w:rsidRPr="00AE6192">
                          <w:t xml:space="preserve"> Locations</w:t>
                        </w:r>
                      </w:p>
                      <w:p w14:paraId="298EC9F8" w14:textId="77777777" w:rsidR="00BD64CF" w:rsidRPr="00AE6192" w:rsidRDefault="00BD64CF" w:rsidP="00BD64CF">
                        <w:pPr>
                          <w:spacing w:after="0"/>
                          <w:jc w:val="right"/>
                        </w:pPr>
                      </w:p>
                    </w:txbxContent>
                  </v:textbox>
                </v:shape>
                <v:shape id="Text Box 771" o:spid="_x0000_s1040" type="#_x0000_t202" style="position:absolute;left:29935;top:18396;width:513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" fillcolor="#760000">
                  <v:fill color2="red" rotate="t" focus="50%" type="gradient"/>
                  <v:textbox>
                    <w:txbxContent>
                      <w:p w14:paraId="6D17D77B" w14:textId="77777777" w:rsidR="00BD64CF" w:rsidRPr="00AE6192" w:rsidRDefault="00BD64CF" w:rsidP="00BD64CF">
                        <w:pPr>
                          <w:jc w:val="center"/>
                          <w:rPr>
                            <w:b/>
                            <w:color w:val="FFFFFF"/>
                            <w:sz w:val="18"/>
                            <w:szCs w:val="18"/>
                          </w:rPr>
                        </w:pPr>
                        <w:r>
                          <w:rPr>
                            <w:b/>
                            <w:color w:val="FFFFFF"/>
                            <w:sz w:val="18"/>
                            <w:szCs w:val="18"/>
                          </w:rPr>
                          <w:t>Gen</w:t>
                        </w:r>
                      </w:p>
                    </w:txbxContent>
                  </v:textbox>
                </v:shape>
                <v:shape id="Text Box 772" o:spid="_x0000_s1041" type="#_x0000_t202" style="position:absolute;left:68362;top:35378;width:22319;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" filled="f" stroked="f">
                  <v:textbox>
                    <w:txbxContent>
                      <w:p w14:paraId="45925290" w14:textId="77777777" w:rsidR="00BD64CF" w:rsidRPr="00AE6192" w:rsidRDefault="00BD64CF" w:rsidP="00BD64CF">
                        <w:pPr>
                          <w:spacing w:after="0"/>
                        </w:pPr>
                        <w:r w:rsidRPr="00AE6192">
                          <w:t>Settlement Areas</w:t>
                        </w:r>
                      </w:p>
                      <w:p w14:paraId="19763DC6" w14:textId="77777777" w:rsidR="00BD64CF" w:rsidRPr="00AE6192" w:rsidRDefault="00BD64CF" w:rsidP="00BD64CF">
                        <w:pPr>
                          <w:spacing w:after="0"/>
                        </w:pPr>
                        <w:r w:rsidRPr="00AE6192">
                          <w:t>(residual / calibration)</w:t>
                        </w:r>
                      </w:p>
                    </w:txbxContent>
                  </v:textbox>
                </v:shape>
                <v:shape id="Text Box 773" o:spid="_x0000_s1042" type="#_x0000_t202" style="position:absolute;left:23948;top:28738;width:513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" fillcolor="#4c4c4c">
                  <v:fill color2="#a5a5a5" rotate="t" focus="50%" type="gradient"/>
                  <v:textbox>
                    <w:txbxContent>
                      <w:p w14:paraId="11D5744C" w14:textId="77777777" w:rsidR="00BD64CF" w:rsidRPr="00541E8F" w:rsidRDefault="00BD64CF" w:rsidP="00BD64CF">
                        <w:pPr>
                          <w:jc w:val="center"/>
                          <w:rPr>
                            <w:b/>
                            <w:color w:val="FFFFFF"/>
                            <w:sz w:val="16"/>
                            <w:szCs w:val="16"/>
                          </w:rPr>
                        </w:pPr>
                        <w:r w:rsidRPr="00541E8F">
                          <w:rPr>
                            <w:b/>
                            <w:color w:val="FFFFFF"/>
                            <w:sz w:val="16"/>
                            <w:szCs w:val="16"/>
                          </w:rPr>
                          <w:t>MDSL</w:t>
                        </w:r>
                      </w:p>
                      <w:p w14:paraId="44DB4B92" w14:textId="77777777" w:rsidR="00BD64CF" w:rsidRPr="00541E8F" w:rsidRDefault="00BD64CF" w:rsidP="00BD64CF">
                        <w:pPr>
                          <w:rPr>
                            <w:szCs w:val="18"/>
                          </w:rPr>
                        </w:pPr>
                      </w:p>
                    </w:txbxContent>
                  </v:textbox>
                </v:shape>
                <v:shape id="Text Box 774" o:spid="_x0000_s1043" type="#_x0000_t202" style="position:absolute;left:47679;top:18396;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" fillcolor="#005125">
                  <v:fill color2="#00b050" rotate="t" focus="50%" type="gradient"/>
                  <v:textbox>
                    <w:txbxContent>
                      <w:p w14:paraId="08822F19" w14:textId="77777777" w:rsidR="00BD64CF" w:rsidRPr="00AE6192" w:rsidRDefault="00BD64CF" w:rsidP="00BD64CF">
                        <w:pPr>
                          <w:jc w:val="center"/>
                          <w:rPr>
                            <w:b/>
                            <w:color w:val="FFFFFF"/>
                            <w:sz w:val="18"/>
                            <w:szCs w:val="18"/>
                          </w:rPr>
                        </w:pPr>
                        <w:r w:rsidRPr="00AE6192">
                          <w:rPr>
                            <w:b/>
                            <w:color w:val="FFFFFF"/>
                            <w:sz w:val="18"/>
                            <w:szCs w:val="18"/>
                          </w:rPr>
                          <w:t>Load</w:t>
                        </w:r>
                      </w:p>
                    </w:txbxContent>
                  </v:textbox>
                </v:shape>
                <v:shape id="Text Box 775" o:spid="_x0000_s1044" type="#_x0000_t202" style="position:absolute;left:77288;top:18179;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" fillcolor="#767600">
                  <v:fill color2="yellow" rotate="t" focus="50%" type="gradient"/>
                  <v:textbox>
                    <w:txbxContent>
                      <w:p w14:paraId="3C0E7AD7" w14:textId="77777777" w:rsidR="00BD64CF" w:rsidRPr="00AE6192" w:rsidRDefault="00BD64CF" w:rsidP="00BD64CF">
                        <w:pPr>
                          <w:jc w:val="center"/>
                          <w:rPr>
                            <w:b/>
                            <w:color w:val="FFFFFF"/>
                            <w:sz w:val="18"/>
                            <w:szCs w:val="18"/>
                          </w:rPr>
                        </w:pPr>
                        <w:r w:rsidRPr="00AE6192">
                          <w:rPr>
                            <w:b/>
                            <w:color w:val="FFFFFF"/>
                            <w:sz w:val="18"/>
                            <w:szCs w:val="18"/>
                          </w:rPr>
                          <w:t>I</w:t>
                        </w:r>
                        <w:r w:rsidR="003B5C4B">
                          <w:rPr>
                            <w:b/>
                            <w:color w:val="FFFFFF"/>
                            <w:sz w:val="18"/>
                            <w:szCs w:val="18"/>
                          </w:rPr>
                          <w:t>ntf</w:t>
                        </w:r>
                      </w:p>
                    </w:txbxContent>
                  </v:textbox>
                </v:shape>
                <v:shape id="Text Box 776" o:spid="_x0000_s1045" type="#_x0000_t202" style="position:absolute;left:83166;top:18288;width:5124;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" fillcolor="#76185e">
                  <v:fill color2="#f3c" rotate="t" focus="50%" type="gradient"/>
                  <v:textbox>
                    <w:txbxContent>
                      <w:p w14:paraId="0580CF61" w14:textId="77777777" w:rsidR="00BD64CF" w:rsidRPr="00AE6192" w:rsidRDefault="00BD64CF" w:rsidP="00BD64CF">
                        <w:pPr>
                          <w:jc w:val="center"/>
                          <w:rPr>
                            <w:b/>
                            <w:color w:val="FFFFFF"/>
                            <w:sz w:val="18"/>
                            <w:szCs w:val="18"/>
                          </w:rPr>
                        </w:pPr>
                        <w:r w:rsidRPr="00AE6192">
                          <w:rPr>
                            <w:b/>
                            <w:color w:val="FFFFFF"/>
                            <w:sz w:val="18"/>
                            <w:szCs w:val="18"/>
                          </w:rPr>
                          <w:t>Hub</w:t>
                        </w:r>
                      </w:p>
                    </w:txbxContent>
                  </v:textbox>
                </v:shape>
                <v:shape id="Text Box 779" o:spid="_x0000_s1046" type="#_x0000_t202" style="position:absolute;left:35814;top:18396;width:512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" fillcolor="#760000">
                  <v:fill color2="red" rotate="t" focus="50%" type="gradient"/>
                  <v:textbox>
                    <w:txbxContent>
                      <w:p w14:paraId="32D4E636" w14:textId="77777777" w:rsidR="00BD64CF" w:rsidRPr="00AE6192" w:rsidRDefault="00BD64CF" w:rsidP="00BD64CF">
                        <w:pPr>
                          <w:jc w:val="center"/>
                          <w:rPr>
                            <w:b/>
                            <w:color w:val="FFFFFF"/>
                            <w:sz w:val="18"/>
                            <w:szCs w:val="18"/>
                          </w:rPr>
                        </w:pPr>
                        <w:r>
                          <w:rPr>
                            <w:b/>
                            <w:color w:val="FFFFFF"/>
                            <w:sz w:val="18"/>
                            <w:szCs w:val="18"/>
                          </w:rPr>
                          <w:t>Gen</w:t>
                        </w:r>
                      </w:p>
                    </w:txbxContent>
                  </v:textbox>
                </v:shape>
                <v:shape id="Text Box 780" o:spid="_x0000_s1047" type="#_x0000_t202" style="position:absolute;left:41801;top:18396;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" fillcolor="#005125">
                  <v:fill color2="#00b050" rotate="t" focus="50%" type="gradient"/>
                  <v:textbox>
                    <w:txbxContent>
                      <w:p w14:paraId="3EBE59F1" w14:textId="77777777" w:rsidR="00BD64CF" w:rsidRPr="00AE6192" w:rsidRDefault="00BD64CF" w:rsidP="00BD64CF">
                        <w:pPr>
                          <w:jc w:val="center"/>
                          <w:rPr>
                            <w:b/>
                            <w:color w:val="FFFFFF"/>
                            <w:sz w:val="18"/>
                            <w:szCs w:val="18"/>
                          </w:rPr>
                        </w:pPr>
                        <w:r w:rsidRPr="00AE6192">
                          <w:rPr>
                            <w:b/>
                            <w:color w:val="FFFFFF"/>
                            <w:sz w:val="18"/>
                            <w:szCs w:val="18"/>
                          </w:rPr>
                          <w:t>Load</w:t>
                        </w:r>
                      </w:p>
                    </w:txbxContent>
                  </v:textbox>
                </v:shape>
                <v:shape id="Text Box 782" o:spid="_x0000_s1048" type="#_x0000_t202" style="position:absolute;left:14695;top:8164;width:552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" fillcolor="#760000">
                  <v:fill color2="red" rotate="t" focus="50%" type="gradient"/>
                  <v:textbox>
                    <w:txbxContent>
                      <w:p w14:paraId="7475F5F4" w14:textId="77777777" w:rsidR="00BD64CF" w:rsidRPr="00AE6192" w:rsidRDefault="00BD64CF" w:rsidP="00BD64CF">
                        <w:pPr>
                          <w:jc w:val="center"/>
                          <w:rPr>
                            <w:b/>
                            <w:color w:val="FFFFFF"/>
                            <w:sz w:val="12"/>
                            <w:szCs w:val="12"/>
                          </w:rPr>
                        </w:pPr>
                        <w:r w:rsidRPr="00AE6192">
                          <w:rPr>
                            <w:b/>
                            <w:color w:val="FFFFFF"/>
                            <w:sz w:val="12"/>
                            <w:szCs w:val="12"/>
                          </w:rPr>
                          <w:t>Common Bus</w:t>
                        </w:r>
                      </w:p>
                    </w:txbxContent>
                  </v:textbox>
                </v:shape>
                <v:shape id="Text Box 784" o:spid="_x0000_s1049" type="#_x0000_t202" style="position:absolute;left:50727;top:2394;width:512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" fillcolor="#765900">
                  <v:fill color2="#ffc000" rotate="t" focus="50%" type="gradient"/>
                  <v:textbox>
                    <w:txbxContent>
                      <w:p w14:paraId="253E68FC" w14:textId="77777777" w:rsidR="00BD64CF" w:rsidRPr="00AE6192" w:rsidRDefault="00BD64CF" w:rsidP="00BD64CF">
                        <w:pPr>
                          <w:jc w:val="center"/>
                          <w:rPr>
                            <w:b/>
                            <w:color w:val="FFFFFF"/>
                            <w:sz w:val="18"/>
                            <w:szCs w:val="18"/>
                          </w:rPr>
                        </w:pPr>
                        <w:r w:rsidRPr="00AE6192">
                          <w:rPr>
                            <w:b/>
                            <w:color w:val="FFFFFF"/>
                            <w:sz w:val="18"/>
                            <w:szCs w:val="18"/>
                          </w:rPr>
                          <w:t>RZN</w:t>
                        </w:r>
                      </w:p>
                    </w:txbxContent>
                  </v:textbox>
                </v:shape>
                <v:shape id="Text Box 786" o:spid="_x0000_s1050" type="#_x0000_t202" style="position:absolute;left:29935;top:28738;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" fillcolor="#4c4c4c">
                  <v:fill color2="#a5a5a5" rotate="t" focus="50%" type="gradient"/>
                  <v:textbox>
                    <w:txbxContent>
                      <w:p w14:paraId="652A7FF3" w14:textId="77777777" w:rsidR="00BD64CF" w:rsidRPr="00541E8F" w:rsidRDefault="00BD64CF" w:rsidP="00BD64CF">
                        <w:pPr>
                          <w:jc w:val="center"/>
                          <w:rPr>
                            <w:b/>
                            <w:color w:val="FFFFFF"/>
                            <w:sz w:val="16"/>
                            <w:szCs w:val="16"/>
                          </w:rPr>
                        </w:pPr>
                        <w:r w:rsidRPr="00541E8F">
                          <w:rPr>
                            <w:b/>
                            <w:color w:val="FFFFFF"/>
                            <w:sz w:val="16"/>
                            <w:szCs w:val="16"/>
                          </w:rPr>
                          <w:t>MDSL</w:t>
                        </w:r>
                      </w:p>
                      <w:p w14:paraId="2A7B7FD8" w14:textId="77777777" w:rsidR="00BD64CF" w:rsidRPr="00541E8F" w:rsidRDefault="00BD64CF" w:rsidP="00BD64CF">
                        <w:pPr>
                          <w:rPr>
                            <w:szCs w:val="18"/>
                          </w:rPr>
                        </w:pPr>
                      </w:p>
                    </w:txbxContent>
                  </v:textbox>
                </v:shape>
                <v:shape id="Text Box 787" o:spid="_x0000_s1051" type="#_x0000_t202" style="position:absolute;left:71519;top:28847;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" fillcolor="#4c4c4c">
                  <v:fill color2="#a5a5a5" rotate="t" focus="50%" type="gradient"/>
                  <v:textbox>
                    <w:txbxContent>
                      <w:p w14:paraId="78002958" w14:textId="77777777" w:rsidR="00BD64CF" w:rsidRPr="00541E8F" w:rsidRDefault="00BD64CF" w:rsidP="00BD64CF">
                        <w:pPr>
                          <w:jc w:val="center"/>
                          <w:rPr>
                            <w:b/>
                            <w:color w:val="FFFFFF"/>
                            <w:sz w:val="16"/>
                            <w:szCs w:val="16"/>
                          </w:rPr>
                        </w:pPr>
                        <w:r w:rsidRPr="00541E8F">
                          <w:rPr>
                            <w:b/>
                            <w:color w:val="FFFFFF"/>
                            <w:sz w:val="16"/>
                            <w:szCs w:val="16"/>
                          </w:rPr>
                          <w:t>MDSL</w:t>
                        </w:r>
                      </w:p>
                      <w:p w14:paraId="393F121A" w14:textId="77777777" w:rsidR="00BD64CF" w:rsidRPr="00541E8F" w:rsidRDefault="00BD64CF" w:rsidP="00BD64CF">
                        <w:pPr>
                          <w:rPr>
                            <w:szCs w:val="18"/>
                          </w:rPr>
                        </w:pPr>
                      </w:p>
                    </w:txbxContent>
                  </v:textbox>
                </v:shape>
                <v:shape id="Text Box 788" o:spid="_x0000_s1052" type="#_x0000_t202" style="position:absolute;left:65640;top:28847;width:513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" fillcolor="#4c4c4c">
                  <v:fill color2="#a5a5a5" rotate="t" focus="50%" type="gradient"/>
                  <v:textbox>
                    <w:txbxContent>
                      <w:p w14:paraId="599072A5" w14:textId="77777777" w:rsidR="00BD64CF" w:rsidRPr="00541E8F" w:rsidRDefault="00BD64CF" w:rsidP="00BD64CF">
                        <w:pPr>
                          <w:jc w:val="center"/>
                          <w:rPr>
                            <w:b/>
                            <w:color w:val="FFFFFF"/>
                            <w:sz w:val="16"/>
                            <w:szCs w:val="16"/>
                          </w:rPr>
                        </w:pPr>
                        <w:r w:rsidRPr="00541E8F">
                          <w:rPr>
                            <w:b/>
                            <w:color w:val="FFFFFF"/>
                            <w:sz w:val="16"/>
                            <w:szCs w:val="16"/>
                          </w:rPr>
                          <w:t>MDSL</w:t>
                        </w:r>
                      </w:p>
                      <w:p w14:paraId="158B00EE" w14:textId="77777777" w:rsidR="00BD64CF" w:rsidRPr="00541E8F" w:rsidRDefault="00BD64CF" w:rsidP="00BD64CF">
                        <w:pPr>
                          <w:rPr>
                            <w:szCs w:val="18"/>
                          </w:rPr>
                        </w:pPr>
                      </w:p>
                    </w:txbxContent>
                  </v:textbox>
                </v:shape>
                <v:shape id="Text Box 789" o:spid="_x0000_s1053" type="#_x0000_t202" style="position:absolute;left:18070;top:18396;width:512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" fillcolor="#760000">
                  <v:fill color2="red" rotate="t" focus="50%" type="gradient"/>
                  <v:textbox>
                    <w:txbxContent>
                      <w:p w14:paraId="3517D650" w14:textId="77777777" w:rsidR="00BD64CF" w:rsidRPr="00AE6192" w:rsidRDefault="00BD64CF" w:rsidP="00BD64CF">
                        <w:pPr>
                          <w:jc w:val="center"/>
                          <w:rPr>
                            <w:b/>
                            <w:color w:val="FFFFFF"/>
                            <w:sz w:val="18"/>
                            <w:szCs w:val="18"/>
                          </w:rPr>
                        </w:pPr>
                        <w:r w:rsidRPr="00AE6192">
                          <w:rPr>
                            <w:b/>
                            <w:color w:val="FFFFFF"/>
                            <w:sz w:val="18"/>
                            <w:szCs w:val="18"/>
                          </w:rPr>
                          <w:t>Gen</w:t>
                        </w:r>
                      </w:p>
                    </w:txbxContent>
                  </v:textbox>
                </v:shape>
                <v:shape id="Text Box 790" o:spid="_x0000_s1054" type="#_x0000_t202" style="position:absolute;left:12192;top:18396;width:512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" fillcolor="#760000">
                  <v:fill color2="red" rotate="t" focus="50%" type="gradient"/>
                  <v:textbox>
                    <w:txbxContent>
                      <w:p w14:paraId="164C4C7B" w14:textId="77777777" w:rsidR="00BD64CF" w:rsidRPr="00AE6192" w:rsidRDefault="00BD64CF" w:rsidP="00BD64CF">
                        <w:pPr>
                          <w:jc w:val="center"/>
                          <w:rPr>
                            <w:b/>
                            <w:color w:val="FFFFFF"/>
                            <w:sz w:val="18"/>
                            <w:szCs w:val="18"/>
                          </w:rPr>
                        </w:pPr>
                        <w:r w:rsidRPr="00AE6192">
                          <w:rPr>
                            <w:b/>
                            <w:color w:val="FFFFFF"/>
                            <w:sz w:val="18"/>
                            <w:szCs w:val="18"/>
                          </w:rPr>
                          <w:t>Gen</w:t>
                        </w:r>
                      </w:p>
                    </w:txbxContent>
                  </v:textbox>
                </v:shape>
                <v:shape id="Text Box 791" o:spid="_x0000_s1055" type="#_x0000_t202" style="position:absolute;left:24057;top:18396;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" fillcolor="#760000">
                  <v:fill color2="red" rotate="t" focus="50%" type="gradient"/>
                  <v:textbox>
                    <w:txbxContent>
                      <w:p w14:paraId="1EEAB723" w14:textId="77777777" w:rsidR="00BD64CF" w:rsidRPr="00AE6192" w:rsidRDefault="00BD64CF" w:rsidP="00BD64CF">
                        <w:pPr>
                          <w:jc w:val="center"/>
                          <w:rPr>
                            <w:b/>
                            <w:color w:val="FFFFFF"/>
                            <w:sz w:val="18"/>
                            <w:szCs w:val="18"/>
                          </w:rPr>
                        </w:pPr>
                        <w:r>
                          <w:rPr>
                            <w:b/>
                            <w:color w:val="FFFFFF"/>
                            <w:sz w:val="18"/>
                            <w:szCs w:val="18"/>
                          </w:rPr>
                          <w:t>Gen</w:t>
                        </w:r>
                      </w:p>
                    </w:txbxContent>
                  </v:textbox>
                </v:shape>
                <v:shape id="Text Box 792" o:spid="_x0000_s1056" type="#_x0000_t202" style="position:absolute;left:33201;top:36031;width:513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" fillcolor="#5b5745">
                  <v:fill color2="#c4bc96" rotate="t" focus="50%" type="gradient"/>
                  <v:textbox>
                    <w:txbxContent>
                      <w:p w14:paraId="35A722EB" w14:textId="77777777" w:rsidR="00BD64CF" w:rsidRPr="00AE6192" w:rsidRDefault="00BD64CF" w:rsidP="00BD64CF">
                        <w:pPr>
                          <w:jc w:val="center"/>
                          <w:rPr>
                            <w:b/>
                            <w:color w:val="FFFFFF"/>
                            <w:sz w:val="18"/>
                            <w:szCs w:val="18"/>
                          </w:rPr>
                        </w:pPr>
                        <w:r w:rsidRPr="00AE6192">
                          <w:rPr>
                            <w:b/>
                            <w:color w:val="FFFFFF"/>
                            <w:sz w:val="18"/>
                            <w:szCs w:val="18"/>
                          </w:rPr>
                          <w:t>SA</w:t>
                        </w:r>
                      </w:p>
                    </w:txbxContent>
                  </v:textbox>
                </v:shape>
                <v:shape id="Text Box 794" o:spid="_x0000_s1057" type="#_x0000_t202" style="position:absolute;left:63354;top:36031;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" fillcolor="#5b5745">
                  <v:fill color2="#c4bc96" rotate="t" focus="50%" type="gradient"/>
                  <v:textbox>
                    <w:txbxContent>
                      <w:p w14:paraId="7F1D1707" w14:textId="77777777" w:rsidR="00BD64CF" w:rsidRPr="00AE6192" w:rsidRDefault="00BD64CF" w:rsidP="00BD64CF">
                        <w:pPr>
                          <w:jc w:val="center"/>
                          <w:rPr>
                            <w:b/>
                            <w:color w:val="FFFFFF"/>
                            <w:sz w:val="18"/>
                            <w:szCs w:val="18"/>
                          </w:rPr>
                        </w:pPr>
                        <w:r w:rsidRPr="00AE6192">
                          <w:rPr>
                            <w:b/>
                            <w:color w:val="FFFFFF"/>
                            <w:sz w:val="18"/>
                            <w:szCs w:val="18"/>
                          </w:rPr>
                          <w:t>SA</w:t>
                        </w:r>
                      </w:p>
                    </w:txbxContent>
                  </v:textbox>
                </v:shape>
                <v:shape id="Text Box 795" o:spid="_x0000_s1058" type="#_x0000_t202" style="position:absolute;left:35814;top:28738;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" fillcolor="#4c4c4c">
                  <v:fill color2="#a5a5a5" rotate="t" focus="50%" type="gradient"/>
                  <v:textbox>
                    <w:txbxContent>
                      <w:p w14:paraId="7736CC9D" w14:textId="77777777" w:rsidR="00BD64CF" w:rsidRPr="00541E8F" w:rsidRDefault="00BD64CF" w:rsidP="00BD64CF">
                        <w:pPr>
                          <w:jc w:val="center"/>
                          <w:rPr>
                            <w:b/>
                            <w:color w:val="FFFFFF"/>
                            <w:sz w:val="16"/>
                            <w:szCs w:val="16"/>
                          </w:rPr>
                        </w:pPr>
                        <w:r w:rsidRPr="00541E8F">
                          <w:rPr>
                            <w:b/>
                            <w:color w:val="FFFFFF"/>
                            <w:sz w:val="16"/>
                            <w:szCs w:val="16"/>
                          </w:rPr>
                          <w:t>MDSL</w:t>
                        </w:r>
                      </w:p>
                      <w:p w14:paraId="0C548798" w14:textId="77777777" w:rsidR="00BD64CF" w:rsidRPr="00541E8F" w:rsidRDefault="00BD64CF" w:rsidP="00BD64CF">
                        <w:pPr>
                          <w:rPr>
                            <w:szCs w:val="18"/>
                          </w:rPr>
                        </w:pPr>
                      </w:p>
                    </w:txbxContent>
                  </v:textbox>
                </v:shape>
                <v:shapetype id="_x0000_t32" coordsize="21600,21600" o:spt="32" o:oned="t" path="m,l21600,21600e" filled="f">
                  <v:path arrowok="t" fillok="f" o:connecttype="none"/>
                  <o:lock v:ext="edit" shapetype="t"/>
                </v:shapetype>
                <v:shape id="AutoShape 796" o:spid="_x0000_s1059" type="#_x0000_t32" style="position:absolute;left:26724;top:31949;width:9214;height:4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">
                  <v:stroke endarrow="block"/>
                </v:shape>
                <v:shape id="AutoShape 797" o:spid="_x0000_s1060" type="#_x0000_t32" style="position:absolute;left:32493;top:31949;width:3365;height:4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">
                  <v:stroke endarrow="block"/>
                </v:shape>
                <v:shape id="AutoShape 798" o:spid="_x0000_s1061" type="#_x0000_t32" style="position:absolute;left:35814;top:31949;width:2329;height:4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">
                  <v:stroke endarrow="block"/>
                </v:shape>
                <v:shape id="AutoShape 799" o:spid="_x0000_s1062" type="#_x0000_t32" style="position:absolute;left:65640;top:31840;width:2630;height:4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">
                  <v:stroke endarrow="block"/>
                </v:shape>
                <v:shape id="AutoShape 800" o:spid="_x0000_s1063" type="#_x0000_t32" style="position:absolute;left:65640;top:31840;width:8433;height:4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">
                  <v:stroke endarrow="block"/>
                </v:shape>
                <v:shape id="AutoShape 801" o:spid="_x0000_s1064" type="#_x0000_t32" style="position:absolute;left:32439;top:21281;width:0;height:7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">
                  <v:stroke endarrow="block"/>
                </v:shape>
                <v:shape id="AutoShape 802" o:spid="_x0000_s1065" type="#_x0000_t32" style="position:absolute;left:38426;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">
                  <v:stroke endarrow="block"/>
                </v:shape>
                <v:shape id="Text Box 803" o:spid="_x0000_s1066" type="#_x0000_t202" style="position:absolute;left:41801;top:28847;width:513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" fillcolor="#4c4c4c">
                  <v:fill color2="#a5a5a5" rotate="t" focus="50%" type="gradient"/>
                  <v:textbox>
                    <w:txbxContent>
                      <w:p w14:paraId="08D6DEDC" w14:textId="77777777" w:rsidR="00BD64CF" w:rsidRPr="00541E8F" w:rsidRDefault="00BD64CF" w:rsidP="00BD64CF">
                        <w:pPr>
                          <w:jc w:val="center"/>
                          <w:rPr>
                            <w:b/>
                            <w:color w:val="FFFFFF"/>
                            <w:sz w:val="16"/>
                            <w:szCs w:val="16"/>
                          </w:rPr>
                        </w:pPr>
                        <w:r w:rsidRPr="00541E8F">
                          <w:rPr>
                            <w:b/>
                            <w:color w:val="FFFFFF"/>
                            <w:sz w:val="16"/>
                            <w:szCs w:val="16"/>
                          </w:rPr>
                          <w:t>MDSL</w:t>
                        </w:r>
                      </w:p>
                      <w:p w14:paraId="36304CC1" w14:textId="77777777" w:rsidR="00BD64CF" w:rsidRPr="00541E8F" w:rsidRDefault="00BD64CF" w:rsidP="00BD64CF">
                        <w:pPr>
                          <w:rPr>
                            <w:szCs w:val="18"/>
                          </w:rPr>
                        </w:pPr>
                      </w:p>
                    </w:txbxContent>
                  </v:textbox>
                </v:shape>
                <v:shape id="AutoShape 804" o:spid="_x0000_s1067" type="#_x0000_t32" style="position:absolute;left:44196;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">
                  <v:stroke endarrow="block"/>
                </v:shape>
                <v:shape id="AutoShape 805" o:spid="_x0000_s1068" type="#_x0000_t32" style="position:absolute;left:35814;top:31949;width:8370;height:4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">
                  <v:stroke endarrow="block"/>
                </v:shape>
                <v:shape id="Text Box 806" o:spid="_x0000_s1069" type="#_x0000_t202" style="position:absolute;left:47679;top:28847;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" fillcolor="#4c4c4c">
                  <v:fill color2="#a5a5a5" rotate="t" focus="50%" type="gradient"/>
                  <v:textbox>
                    <w:txbxContent>
                      <w:p w14:paraId="11E91EBE" w14:textId="77777777" w:rsidR="00BD64CF" w:rsidRPr="00541E8F" w:rsidRDefault="00BD64CF" w:rsidP="00BD64CF">
                        <w:pPr>
                          <w:jc w:val="center"/>
                          <w:rPr>
                            <w:b/>
                            <w:color w:val="FFFFFF"/>
                            <w:sz w:val="16"/>
                            <w:szCs w:val="16"/>
                          </w:rPr>
                        </w:pPr>
                        <w:r w:rsidRPr="00541E8F">
                          <w:rPr>
                            <w:b/>
                            <w:color w:val="FFFFFF"/>
                            <w:sz w:val="16"/>
                            <w:szCs w:val="16"/>
                          </w:rPr>
                          <w:t>MDSL</w:t>
                        </w:r>
                      </w:p>
                      <w:p w14:paraId="374D1619" w14:textId="77777777" w:rsidR="00BD64CF" w:rsidRPr="00541E8F" w:rsidRDefault="00BD64CF" w:rsidP="00BD64CF">
                        <w:pPr>
                          <w:rPr>
                            <w:szCs w:val="18"/>
                          </w:rPr>
                        </w:pPr>
                      </w:p>
                    </w:txbxContent>
                  </v:textbox>
                </v:shape>
                <v:shape id="Text Box 807" o:spid="_x0000_s1070" type="#_x0000_t202" style="position:absolute;left:53775;top:28738;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" fillcolor="#4c4c4c">
                  <v:fill color2="#a5a5a5" rotate="t" focus="50%" type="gradient"/>
                  <v:textbox>
                    <w:txbxContent>
                      <w:p w14:paraId="22B46E21" w14:textId="77777777" w:rsidR="00BD64CF" w:rsidRPr="00541E8F" w:rsidRDefault="00BD64CF" w:rsidP="00BD64CF">
                        <w:pPr>
                          <w:jc w:val="center"/>
                          <w:rPr>
                            <w:b/>
                            <w:color w:val="FFFFFF"/>
                            <w:sz w:val="16"/>
                            <w:szCs w:val="16"/>
                          </w:rPr>
                        </w:pPr>
                        <w:r w:rsidRPr="00541E8F">
                          <w:rPr>
                            <w:b/>
                            <w:color w:val="FFFFFF"/>
                            <w:sz w:val="16"/>
                            <w:szCs w:val="16"/>
                          </w:rPr>
                          <w:t>MDSL</w:t>
                        </w:r>
                      </w:p>
                      <w:p w14:paraId="7EF1A1D4" w14:textId="77777777" w:rsidR="00BD64CF" w:rsidRPr="00541E8F" w:rsidRDefault="00BD64CF" w:rsidP="00BD64CF">
                        <w:pPr>
                          <w:rPr>
                            <w:szCs w:val="18"/>
                          </w:rPr>
                        </w:pPr>
                      </w:p>
                    </w:txbxContent>
                  </v:textbox>
                </v:shape>
                <v:shape id="Text Box 808" o:spid="_x0000_s1071" type="#_x0000_t202" style="position:absolute;left:59653;top:28847;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" fillcolor="#4c4c4c">
                  <v:fill color2="#a5a5a5" rotate="t" focus="50%" type="gradient"/>
                  <v:textbox>
                    <w:txbxContent>
                      <w:p w14:paraId="4F78A117" w14:textId="77777777" w:rsidR="00BD64CF" w:rsidRPr="00541E8F" w:rsidRDefault="00BD64CF" w:rsidP="00BD64CF">
                        <w:pPr>
                          <w:jc w:val="center"/>
                          <w:rPr>
                            <w:b/>
                            <w:color w:val="FFFFFF"/>
                            <w:sz w:val="16"/>
                            <w:szCs w:val="16"/>
                          </w:rPr>
                        </w:pPr>
                        <w:r w:rsidRPr="00541E8F">
                          <w:rPr>
                            <w:b/>
                            <w:color w:val="FFFFFF"/>
                            <w:sz w:val="16"/>
                            <w:szCs w:val="16"/>
                          </w:rPr>
                          <w:t>MDSL</w:t>
                        </w:r>
                      </w:p>
                      <w:p w14:paraId="61C8BE07" w14:textId="77777777" w:rsidR="00BD64CF" w:rsidRPr="00541E8F" w:rsidRDefault="00BD64CF" w:rsidP="00BD64CF">
                        <w:pPr>
                          <w:rPr>
                            <w:szCs w:val="18"/>
                          </w:rPr>
                        </w:pPr>
                      </w:p>
                    </w:txbxContent>
                  </v:textbox>
                </v:shape>
                <v:shape id="AutoShape 809" o:spid="_x0000_s1072" type="#_x0000_t32" style="position:absolute;left:50074;top:21390;width:0;height:7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">
                  <v:stroke endarrow="block"/>
                </v:shape>
                <v:shape id="AutoShape 810" o:spid="_x0000_s1073" type="#_x0000_t32" style="position:absolute;left:50128;top:21390;width:6141;height:7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">
                  <v:stroke endarrow="block"/>
                </v:shape>
                <v:shape id="AutoShape 811" o:spid="_x0000_s1074" type="#_x0000_t32" style="position:absolute;left:50128;top:21390;width:11900;height:73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">
                  <v:stroke endarrow="block"/>
                </v:shape>
                <v:shape id="AutoShape 812" o:spid="_x0000_s1075" type="#_x0000_t32" style="position:absolute;left:61994;top:31731;width:3715;height:42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">
                  <v:stroke endarrow="block"/>
                </v:shape>
                <v:shape id="AutoShape 813" o:spid="_x0000_s1076" type="#_x0000_t32" style="position:absolute;left:56333;top:31840;width:9474;height:4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">
                  <v:stroke endarrow="block"/>
                </v:shape>
                <v:shape id="Text Box 814" o:spid="_x0000_s1077" type="#_x0000_t202" style="position:absolute;left:71301;top:18179;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" fillcolor="#760000">
                  <v:fill color2="red" rotate="t" focus="50%" type="gradient"/>
                  <v:textbox>
                    <w:txbxContent>
                      <w:p w14:paraId="4056CD6C" w14:textId="77777777" w:rsidR="00BD64CF" w:rsidRPr="00AE6192" w:rsidRDefault="00BD64CF" w:rsidP="00BD64CF">
                        <w:pPr>
                          <w:jc w:val="center"/>
                          <w:rPr>
                            <w:b/>
                            <w:color w:val="FFFFFF"/>
                            <w:sz w:val="18"/>
                            <w:szCs w:val="18"/>
                          </w:rPr>
                        </w:pPr>
                        <w:r w:rsidRPr="00AE6192">
                          <w:rPr>
                            <w:b/>
                            <w:color w:val="FFFFFF"/>
                            <w:sz w:val="18"/>
                            <w:szCs w:val="18"/>
                          </w:rPr>
                          <w:t>DDR</w:t>
                        </w:r>
                      </w:p>
                    </w:txbxContent>
                  </v:textbox>
                </v:shape>
                <v:shape id="Text Box 815" o:spid="_x0000_s1078" type="#_x0000_t202" style="position:absolute;left:65423;top:18288;width:513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" fillcolor="#760000">
                  <v:fill color2="red" rotate="t" focus="50%" type="gradient"/>
                  <v:textbox>
                    <w:txbxContent>
                      <w:p w14:paraId="51D65489" w14:textId="77777777" w:rsidR="00BD64CF" w:rsidRPr="00AE6192" w:rsidRDefault="00BD64CF" w:rsidP="00BD64CF">
                        <w:pPr>
                          <w:jc w:val="center"/>
                          <w:rPr>
                            <w:b/>
                            <w:color w:val="FFFFFF"/>
                            <w:sz w:val="18"/>
                            <w:szCs w:val="18"/>
                          </w:rPr>
                        </w:pPr>
                        <w:r>
                          <w:rPr>
                            <w:b/>
                            <w:color w:val="FFFFFF"/>
                            <w:sz w:val="18"/>
                            <w:szCs w:val="18"/>
                          </w:rPr>
                          <w:t>MCR</w:t>
                        </w:r>
                      </w:p>
                    </w:txbxContent>
                  </v:textbox>
                </v:shape>
                <v:shape id="AutoShape 816" o:spid="_x0000_s1079" type="#_x0000_t32" style="position:absolute;left:68035;top:21390;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">
                  <v:stroke endarrow="block"/>
                </v:shape>
                <v:shape id="AutoShape 817" o:spid="_x0000_s1080" type="#_x0000_t32" style="position:absolute;left:73805;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">
                  <v:stroke endarrow="block"/>
                </v:shape>
                <v:shape id="Text Box 818" o:spid="_x0000_s1081" type="#_x0000_t202" style="position:absolute;left:17961;top:28738;width:513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" fillcolor="#4c4c4c">
                  <v:fill color2="#a5a5a5" rotate="t" focus="50%" type="gradient"/>
                  <v:textbox>
                    <w:txbxContent>
                      <w:p w14:paraId="17CD771E" w14:textId="77777777" w:rsidR="00BD64CF" w:rsidRPr="00541E8F" w:rsidRDefault="00BD64CF" w:rsidP="00BD64CF">
                        <w:pPr>
                          <w:jc w:val="center"/>
                          <w:rPr>
                            <w:b/>
                            <w:color w:val="FFFFFF"/>
                            <w:sz w:val="16"/>
                            <w:szCs w:val="16"/>
                          </w:rPr>
                        </w:pPr>
                        <w:r w:rsidRPr="00541E8F">
                          <w:rPr>
                            <w:b/>
                            <w:color w:val="FFFFFF"/>
                            <w:sz w:val="16"/>
                            <w:szCs w:val="16"/>
                          </w:rPr>
                          <w:t>MDSL</w:t>
                        </w:r>
                      </w:p>
                      <w:p w14:paraId="405F76F7" w14:textId="77777777" w:rsidR="00BD64CF" w:rsidRPr="00541E8F" w:rsidRDefault="00BD64CF" w:rsidP="00BD64CF">
                        <w:pPr>
                          <w:rPr>
                            <w:szCs w:val="18"/>
                          </w:rPr>
                        </w:pPr>
                      </w:p>
                    </w:txbxContent>
                  </v:textbox>
                </v:shape>
                <v:shape id="Text Box 819" o:spid="_x0000_s1082" type="#_x0000_t202" style="position:absolute;left:12083;top:28629;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" fillcolor="#4c4c4c">
                  <v:fill color2="#a5a5a5" rotate="t" focus="50%" type="gradient"/>
                  <v:textbox>
                    <w:txbxContent>
                      <w:p w14:paraId="72563F40" w14:textId="77777777" w:rsidR="00BD64CF" w:rsidRPr="00541E8F" w:rsidRDefault="00BD64CF" w:rsidP="00BD64CF">
                        <w:pPr>
                          <w:jc w:val="center"/>
                          <w:rPr>
                            <w:b/>
                            <w:color w:val="FFFFFF"/>
                            <w:sz w:val="16"/>
                            <w:szCs w:val="16"/>
                          </w:rPr>
                        </w:pPr>
                        <w:r w:rsidRPr="00541E8F">
                          <w:rPr>
                            <w:b/>
                            <w:color w:val="FFFFFF"/>
                            <w:sz w:val="16"/>
                            <w:szCs w:val="16"/>
                          </w:rPr>
                          <w:t>MDSL</w:t>
                        </w:r>
                      </w:p>
                    </w:txbxContent>
                  </v:textbox>
                </v:shape>
                <v:shape id="AutoShape 820" o:spid="_x0000_s1083" type="#_x0000_t32" style="position:absolute;left:26343;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">
                  <v:stroke endarrow="block"/>
                </v:shape>
                <v:shape id="AutoShape 821" o:spid="_x0000_s1084" type="#_x0000_t32" style="position:absolute;left:20574;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">
                  <v:stroke endarrow="block"/>
                </v:shape>
                <v:shape id="AutoShape 822" o:spid="_x0000_s1085" type="#_x0000_t32" style="position:absolute;left:14695;top:21281;width:0;height:7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">
                  <v:stroke endarrow="block"/>
                </v:shape>
                <v:shape id="AutoShape 823" o:spid="_x0000_s1086" type="#_x0000_t32" style="position:absolute;left:17362;top:11157;width:3265;height:70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">
                  <v:stroke endarrow="block"/>
                </v:shape>
                <v:shape id="AutoShape 824" o:spid="_x0000_s1087" type="#_x0000_t32" style="position:absolute;left:14695;top:11157;width:2681;height:7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">
                  <v:stroke endarrow="block"/>
                </v:shape>
                <v:shape id="AutoShape 825" o:spid="_x0000_s1088" type="#_x0000_t32" style="position:absolute;left:14668;top:31813;width:21145;height:4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">
                  <v:stroke endarrow="block"/>
                </v:shape>
                <v:shape id="AutoShape 826" o:spid="_x0000_s1089" type="#_x0000_t32" style="position:absolute;left:20628;top:31922;width:14427;height:40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">
                  <v:stroke endarrow="block"/>
                </v:shape>
                <v:shape id="Text Box 827" o:spid="_x0000_s1090" type="#_x0000_t202" style="position:absolute;left:56714;top:2394;width:513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" fillcolor="#765900">
                  <v:fill color2="#ffc000" rotate="t" focus="50%" type="gradient"/>
                  <v:textbox>
                    <w:txbxContent>
                      <w:p w14:paraId="3FA9E94E" w14:textId="77777777" w:rsidR="00BD64CF" w:rsidRPr="00AE6192" w:rsidRDefault="00BD64CF" w:rsidP="00BD64CF">
                        <w:pPr>
                          <w:jc w:val="center"/>
                          <w:rPr>
                            <w:b/>
                            <w:color w:val="FFFFFF"/>
                            <w:sz w:val="18"/>
                            <w:szCs w:val="18"/>
                          </w:rPr>
                        </w:pPr>
                        <w:r w:rsidRPr="00AE6192">
                          <w:rPr>
                            <w:b/>
                            <w:color w:val="FFFFFF"/>
                            <w:sz w:val="18"/>
                            <w:szCs w:val="18"/>
                          </w:rPr>
                          <w:t>RZN</w:t>
                        </w:r>
                      </w:p>
                    </w:txbxContent>
                  </v:textbox>
                </v:shape>
                <v:shape id="Text Box 829" o:spid="_x0000_s1091" type="#_x0000_t202" style="position:absolute;left:82187;top:5442;width:513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" fillcolor="#4c4c4c">
                  <v:fill color2="#a5a5a5" rotate="t" focus="50%" type="gradient"/>
                  <v:textbox>
                    <w:txbxContent>
                      <w:p w14:paraId="5B45AA43" w14:textId="77777777" w:rsidR="00BD64CF" w:rsidRPr="00AE6192" w:rsidRDefault="00BD64CF" w:rsidP="00BD64CF">
                        <w:pPr>
                          <w:jc w:val="center"/>
                          <w:rPr>
                            <w:b/>
                            <w:color w:val="FFFFFF"/>
                            <w:sz w:val="18"/>
                            <w:szCs w:val="18"/>
                          </w:rPr>
                        </w:pPr>
                        <w:r w:rsidRPr="00AE6192">
                          <w:rPr>
                            <w:b/>
                            <w:color w:val="FFFFFF"/>
                            <w:sz w:val="18"/>
                            <w:szCs w:val="18"/>
                          </w:rPr>
                          <w:t>DRL</w:t>
                        </w:r>
                      </w:p>
                    </w:txbxContent>
                  </v:textbox>
                </v:shape>
                <v:shape id="AutoShape 831" o:spid="_x0000_s1092" type="#_x0000_t32" style="position:absolute;left:73805;top:8763;width:10737;height:9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">
                  <v:stroke endarrow="block"/>
                </v:shape>
                <v:shape id="AutoShape 843" o:spid="_x0000_s1093" type="#_x0000_t32" style="position:absolute;left:58837;top:5279;width:21018;height:12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" strokecolor="#ffc000">
                  <v:stroke endarrow="block"/>
                </v:shape>
                <v:shape id="AutoShape 844" o:spid="_x0000_s1094" type="#_x0000_t32" style="position:absolute;left:58837;top:5279;width:14966;height:12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" strokecolor="#ffc000">
                  <v:stroke endarrow="block"/>
                </v:shape>
                <v:shape id="AutoShape 845" o:spid="_x0000_s1095" type="#_x0000_t32" style="position:absolute;left:58837;top:5279;width:9207;height:12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" strokecolor="#ffc000">
                  <v:stroke endarrow="block"/>
                </v:shape>
                <v:shape id="AutoShape 846" o:spid="_x0000_s1096" type="#_x0000_t32" style="position:absolute;left:50074;top:5279;width:8719;height:12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" strokecolor="#ffc000">
                  <v:stroke endarrow="block"/>
                </v:shape>
                <v:shape id="AutoShape 847" o:spid="_x0000_s1097" type="#_x0000_t32" style="position:absolute;left:44196;top:5279;width:8699;height:12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" strokecolor="#ffc000">
                  <v:stroke endarrow="block"/>
                </v:shape>
                <v:shape id="AutoShape 848" o:spid="_x0000_s1098" type="#_x0000_t32" style="position:absolute;left:50074;top:5279;width:2749;height:12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" strokecolor="#ffc000">
                  <v:stroke endarrow="block"/>
                </v:shape>
                <v:shape id="AutoShape 849" o:spid="_x0000_s1099" type="#_x0000_t32" style="position:absolute;left:44196;top:5279;width:14668;height:12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" strokecolor="#ffc000">
                  <v:stroke endarrow="block"/>
                </v:shape>
                <v:shape id="AutoShape 850" o:spid="_x0000_s1100" type="#_x0000_t32" style="position:absolute;left:38317;top:5279;width:14549;height:12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" strokecolor="#ffc000">
                  <v:stroke endarrow="block"/>
                </v:shape>
                <v:shape id="AutoShape 851" o:spid="_x0000_s1101" type="#_x0000_t32" style="position:absolute;left:32439;top:5388;width:20396;height:12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" strokecolor="#ffc000">
                  <v:stroke endarrow="block"/>
                </v:shape>
                <v:shape id="AutoShape 852" o:spid="_x0000_s1102" type="#_x0000_t32" style="position:absolute;left:26724;top:5442;width:26246;height:12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" strokecolor="#ffc000">
                  <v:stroke startarrow="block"/>
                </v:shape>
                <v:shape id="AutoShape 853" o:spid="_x0000_s1103" type="#_x0000_t32" style="position:absolute;left:20628;top:5334;width:32271;height:12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" strokecolor="#ffc000">
                  <v:stroke startarrow="block"/>
                </v:shape>
                <v:shape id="AutoShape 854" o:spid="_x0000_s1104" type="#_x0000_t32" style="position:absolute;left:14695;top:5388;width:38159;height:134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" strokecolor="#ffc000">
                  <v:stroke endarrow="block"/>
                </v:shape>
                <v:shape id="AutoShape 855" o:spid="_x0000_s1105" type="#_x0000_t32" style="position:absolute;left:35814;top:31949;width:14268;height:4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">
                  <v:stroke endarrow="block"/>
                </v:shape>
                <v:shape id="Text Box 857" o:spid="_x0000_s1106" type="#_x0000_t202" style="position:absolute;left:77506;top:28847;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" fillcolor="#4c4c4c">
                  <v:fill color2="#a5a5a5" rotate="t" focus="50%" type="gradient"/>
                  <v:textbox>
                    <w:txbxContent>
                      <w:p w14:paraId="467C83DE" w14:textId="77777777" w:rsidR="00BD64CF" w:rsidRPr="00AE6192" w:rsidRDefault="00BD64CF" w:rsidP="00BD64CF">
                        <w:pPr>
                          <w:jc w:val="center"/>
                          <w:rPr>
                            <w:b/>
                            <w:color w:val="FFFFFF"/>
                            <w:sz w:val="14"/>
                            <w:szCs w:val="14"/>
                          </w:rPr>
                        </w:pPr>
                        <w:r w:rsidRPr="00AE6192">
                          <w:rPr>
                            <w:b/>
                            <w:color w:val="FFFFFF"/>
                            <w:sz w:val="14"/>
                            <w:szCs w:val="14"/>
                          </w:rPr>
                          <w:t>Tie Line</w:t>
                        </w:r>
                      </w:p>
                    </w:txbxContent>
                  </v:textbox>
                </v:shape>
                <v:shape id="Text Box 858" o:spid="_x0000_s1107" type="#_x0000_t202" style="position:absolute;left:83493;top:28847;width:513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" fillcolor="#4c4c4c">
                  <v:fill color2="#a5a5a5" rotate="t" focus="50%" type="gradient"/>
                  <v:textbox>
                    <w:txbxContent>
                      <w:p w14:paraId="5244AB4F" w14:textId="77777777" w:rsidR="00BD64CF" w:rsidRPr="00AE6192" w:rsidRDefault="00BD64CF" w:rsidP="00BD64CF">
                        <w:pPr>
                          <w:jc w:val="center"/>
                          <w:rPr>
                            <w:b/>
                            <w:color w:val="FFFFFF"/>
                            <w:sz w:val="14"/>
                            <w:szCs w:val="14"/>
                          </w:rPr>
                        </w:pPr>
                        <w:r w:rsidRPr="00AE6192">
                          <w:rPr>
                            <w:b/>
                            <w:color w:val="FFFFFF"/>
                            <w:sz w:val="14"/>
                            <w:szCs w:val="14"/>
                          </w:rPr>
                          <w:t>Tie Line</w:t>
                        </w:r>
                      </w:p>
                      <w:p w14:paraId="2F6CD9BB" w14:textId="77777777" w:rsidR="00BD64CF" w:rsidRPr="00AE6192" w:rsidRDefault="00BD64CF" w:rsidP="00BD64CF">
                        <w:pPr>
                          <w:rPr>
                            <w:szCs w:val="18"/>
                          </w:rPr>
                        </w:pPr>
                      </w:p>
                    </w:txbxContent>
                  </v:textbox>
                </v:shape>
                <v:shape id="AutoShape 859" o:spid="_x0000_s1108" type="#_x0000_t32" style="position:absolute;left:65640;top:31922;width:14269;height:4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">
                  <v:stroke endarrow="block"/>
                </v:shape>
                <v:shape id="AutoShape 860" o:spid="_x0000_s1109" type="#_x0000_t32" style="position:absolute;left:65749;top:31922;width:19679;height:4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">
                  <v:stroke endarrow="block"/>
                </v:shape>
                <v:shape id="Text Box 863" o:spid="_x0000_s1110" type="#_x0000_t202" style="position:absolute;left:12083;top:49203;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" fillcolor="#4c4c4c">
                  <v:fill color2="#a5a5a5" rotate="t" focus="50%" type="gradient"/>
                  <v:textbox>
                    <w:txbxContent>
                      <w:p w14:paraId="06DAA35C"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v:textbox>
                </v:shape>
                <v:shape id="Text Box 864" o:spid="_x0000_s1111" type="#_x0000_t202" style="position:absolute;left:12083;top:42345;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" fillcolor="#4c4c4c">
                  <v:fill color2="#a5a5a5" rotate="t" focus="50%" type="gradient"/>
                  <v:textbox>
                    <w:txbxContent>
                      <w:p w14:paraId="4B5F8E6A" w14:textId="1188FAB9" w:rsidR="00BD64CF" w:rsidRPr="00AE6192" w:rsidRDefault="002D623C" w:rsidP="00BD64CF">
                        <w:pPr>
                          <w:jc w:val="center"/>
                          <w:rPr>
                            <w:b/>
                            <w:color w:val="FFFFFF"/>
                            <w:sz w:val="16"/>
                            <w:szCs w:val="16"/>
                          </w:rPr>
                        </w:pPr>
                        <w:r>
                          <w:rPr>
                            <w:b/>
                            <w:color w:val="FFFFFF"/>
                            <w:sz w:val="16"/>
                            <w:szCs w:val="16"/>
                          </w:rPr>
                          <w:t>Pnode</w:t>
                        </w:r>
                      </w:p>
                    </w:txbxContent>
                  </v:textbox>
                </v:shape>
                <v:shape id="Text Box 873" o:spid="_x0000_s1112" type="#_x0000_t202" style="position:absolute;left:48659;top:42345;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" fillcolor="#4c4c4c">
                  <v:fill color2="#a5a5a5" rotate="t" focus="50%" type="gradient"/>
                  <v:textbox>
                    <w:txbxContent>
                      <w:p w14:paraId="6717D1EE" w14:textId="4F073936" w:rsidR="00BD64CF" w:rsidRPr="00AE6192" w:rsidRDefault="002D623C" w:rsidP="00BD64CF">
                        <w:pPr>
                          <w:jc w:val="center"/>
                          <w:rPr>
                            <w:b/>
                            <w:color w:val="FFFFFF"/>
                            <w:sz w:val="16"/>
                            <w:szCs w:val="16"/>
                          </w:rPr>
                        </w:pPr>
                        <w:r>
                          <w:rPr>
                            <w:b/>
                            <w:color w:val="FFFFFF"/>
                            <w:sz w:val="16"/>
                            <w:szCs w:val="16"/>
                          </w:rPr>
                          <w:t>Pnode</w:t>
                        </w:r>
                      </w:p>
                    </w:txbxContent>
                  </v:textbox>
                </v:shape>
                <v:shape id="Text Box 876" o:spid="_x0000_s1113" type="#_x0000_t202" style="position:absolute;left:54428;top:42345;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" fillcolor="#4c4c4c">
                  <v:fill color2="#a5a5a5" rotate="t" focus="50%" type="gradient"/>
                  <v:textbox>
                    <w:txbxContent>
                      <w:p w14:paraId="275011A0" w14:textId="632ABAAF" w:rsidR="00BD64CF" w:rsidRPr="00AE6192" w:rsidRDefault="00BD64CF" w:rsidP="00BD64CF">
                        <w:pPr>
                          <w:jc w:val="center"/>
                          <w:rPr>
                            <w:b/>
                            <w:color w:val="FFFFFF"/>
                            <w:sz w:val="16"/>
                            <w:szCs w:val="16"/>
                          </w:rPr>
                        </w:pPr>
                        <w:r>
                          <w:rPr>
                            <w:b/>
                            <w:color w:val="FFFFFF"/>
                            <w:sz w:val="16"/>
                            <w:szCs w:val="16"/>
                          </w:rPr>
                          <w:t>P</w:t>
                        </w:r>
                        <w:r w:rsidR="002D623C">
                          <w:rPr>
                            <w:b/>
                            <w:color w:val="FFFFFF"/>
                            <w:sz w:val="16"/>
                            <w:szCs w:val="16"/>
                          </w:rPr>
                          <w:t>n</w:t>
                        </w:r>
                        <w:r>
                          <w:rPr>
                            <w:b/>
                            <w:color w:val="FFFFFF"/>
                            <w:sz w:val="16"/>
                            <w:szCs w:val="16"/>
                          </w:rPr>
                          <w:t>ode</w:t>
                        </w:r>
                      </w:p>
                    </w:txbxContent>
                  </v:textbox>
                </v:shape>
                <v:shape id="Text Box 877" o:spid="_x0000_s1114" type="#_x0000_t202" style="position:absolute;left:42998;top:42345;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" fillcolor="#4c4c4c">
                  <v:fill color2="#a5a5a5" rotate="t" focus="50%" type="gradient"/>
                  <v:textbox>
                    <w:txbxContent>
                      <w:p w14:paraId="178B5E33" w14:textId="7948C541" w:rsidR="00BD64CF" w:rsidRPr="00AE6192" w:rsidRDefault="00BD64CF" w:rsidP="00BD64CF">
                        <w:pPr>
                          <w:jc w:val="center"/>
                          <w:rPr>
                            <w:b/>
                            <w:color w:val="FFFFFF"/>
                            <w:sz w:val="16"/>
                            <w:szCs w:val="16"/>
                          </w:rPr>
                        </w:pPr>
                        <w:r>
                          <w:rPr>
                            <w:b/>
                            <w:color w:val="FFFFFF"/>
                            <w:sz w:val="16"/>
                            <w:szCs w:val="16"/>
                          </w:rPr>
                          <w:t>P</w:t>
                        </w:r>
                        <w:r w:rsidR="002D623C">
                          <w:rPr>
                            <w:b/>
                            <w:color w:val="FFFFFF"/>
                            <w:sz w:val="16"/>
                            <w:szCs w:val="16"/>
                          </w:rPr>
                          <w:t>n</w:t>
                        </w:r>
                        <w:r>
                          <w:rPr>
                            <w:b/>
                            <w:color w:val="FFFFFF"/>
                            <w:sz w:val="16"/>
                            <w:szCs w:val="16"/>
                          </w:rPr>
                          <w:t>ode</w:t>
                        </w:r>
                      </w:p>
                    </w:txbxContent>
                  </v:textbox>
                </v:shape>
                <v:shape id="Text Box 878" o:spid="_x0000_s1115" type="#_x0000_t202" style="position:absolute;left:42998;top:49203;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" fillcolor="#4c4c4c">
                  <v:fill color2="#a5a5a5" rotate="t" focus="50%" type="gradient"/>
                  <v:textbox>
                    <w:txbxContent>
                      <w:p w14:paraId="7B02EAA2"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v:textbox>
                </v:shape>
                <v:shape id="Text Box 879" o:spid="_x0000_s1116" type="#_x0000_t202" style="position:absolute;left:48659;top:49203;width:512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" fillcolor="#4c4c4c">
                  <v:fill color2="#a5a5a5" rotate="t" focus="50%" type="gradient"/>
                  <v:textbox>
                    <w:txbxContent>
                      <w:p w14:paraId="5177781C"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v:textbox>
                </v:shape>
                <v:shape id="Text Box 880" o:spid="_x0000_s1117" type="#_x0000_t202" style="position:absolute;left:54428;top:49203;width:512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" fillcolor="#4c4c4c">
                  <v:fill color2="#a5a5a5" rotate="t" focus="50%" type="gradient"/>
                  <v:textbox>
                    <w:txbxContent>
                      <w:p w14:paraId="2AADF5CA" w14:textId="77777777" w:rsidR="00BD64CF" w:rsidRPr="00AE6192" w:rsidRDefault="00BD64CF" w:rsidP="00BD64CF">
                        <w:pPr>
                          <w:jc w:val="center"/>
                          <w:rPr>
                            <w:b/>
                            <w:color w:val="FFFFFF"/>
                            <w:sz w:val="16"/>
                            <w:szCs w:val="16"/>
                          </w:rPr>
                        </w:pPr>
                        <w:r>
                          <w:rPr>
                            <w:b/>
                            <w:color w:val="FFFFFF"/>
                            <w:sz w:val="16"/>
                            <w:szCs w:val="16"/>
                          </w:rPr>
                          <w:t>N</w:t>
                        </w:r>
                        <w:r w:rsidRPr="00AE6192">
                          <w:rPr>
                            <w:b/>
                            <w:color w:val="FFFFFF"/>
                            <w:sz w:val="16"/>
                            <w:szCs w:val="16"/>
                          </w:rPr>
                          <w:t>ode</w:t>
                        </w:r>
                      </w:p>
                    </w:txbxContent>
                  </v:textbox>
                </v:shape>
                <v:line id="Line 884" o:spid="_x0000_s1118" style="position:absolute;flip:y;visibility:visible;mso-wrap-style:square" from="45284,31949" to="48713,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">
                  <v:stroke endarrow="block"/>
                </v:line>
                <v:line id="Line 885" o:spid="_x0000_s1119" style="position:absolute;flip:x y;visibility:visible;mso-wrap-style:square" from="49802,31949" to="50945,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">
                  <v:stroke endarrow="block"/>
                </v:line>
                <v:line id="Line 886" o:spid="_x0000_s1120" style="position:absolute;flip:x y;visibility:visible;mso-wrap-style:square" from="50999,31949" to="56713,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">
                  <v:stroke endarrow="block"/>
                </v:line>
                <v:line id="Line 888" o:spid="_x0000_s1121" style="position:absolute;flip:y;visibility:visible;mso-wrap-style:square" from="14369,31949" to="1436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">
                  <v:stroke endarrow="block"/>
                </v:line>
                <v:shape id="Text Box 891" o:spid="_x0000_s1122" type="#_x0000_t202" style="position:absolute;left:2939;top:39079;width:9245;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" filled="f" stroked="f">
                  <v:textbox>
                    <w:txbxContent>
                      <w:p w14:paraId="190CDC32" w14:textId="77777777" w:rsidR="00BD64CF" w:rsidRPr="00AE6192" w:rsidRDefault="00BD64CF" w:rsidP="00BD64CF">
                        <w:pPr>
                          <w:spacing w:after="0"/>
                          <w:jc w:val="right"/>
                        </w:pPr>
                        <w:r>
                          <w:t>Meter Settlement Locations</w:t>
                        </w:r>
                      </w:p>
                      <w:p w14:paraId="1D682D87" w14:textId="77777777" w:rsidR="00BD64CF" w:rsidRPr="00AE6192" w:rsidRDefault="00BD64CF" w:rsidP="00BD64CF">
                        <w:pPr>
                          <w:spacing w:after="0"/>
                          <w:jc w:val="right"/>
                        </w:pPr>
                      </w:p>
                    </w:txbxContent>
                  </v:textbox>
                </v:shape>
                <v:shape id="Text Box 892" o:spid="_x0000_s1123" type="#_x0000_t202" style="position:absolute;top:47570;width:11639;height: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" filled="f" stroked="f">
                  <v:textbox>
                    <w:txbxContent>
                      <w:p w14:paraId="6E219775" w14:textId="77777777" w:rsidR="00BD64CF" w:rsidRPr="00AE6192" w:rsidRDefault="00BD64CF" w:rsidP="00BD64CF">
                        <w:pPr>
                          <w:spacing w:after="0"/>
                          <w:jc w:val="right"/>
                        </w:pPr>
                        <w:r w:rsidRPr="00AE6192">
                          <w:t>Network Model</w:t>
                        </w:r>
                      </w:p>
                      <w:p w14:paraId="19BC5ACB" w14:textId="77777777" w:rsidR="00BD64CF" w:rsidRPr="00AE6192" w:rsidRDefault="00BD64CF" w:rsidP="00BD64CF">
                        <w:pPr>
                          <w:spacing w:after="0"/>
                          <w:jc w:val="right"/>
                        </w:pPr>
                        <w:r w:rsidRPr="00AE6192">
                          <w:t>Link –</w:t>
                        </w:r>
                      </w:p>
                      <w:p w14:paraId="69F3D7D0" w14:textId="77777777" w:rsidR="00BD64CF" w:rsidRPr="00AE6192" w:rsidRDefault="00BD64CF" w:rsidP="00BD64CF">
                        <w:pPr>
                          <w:spacing w:after="0"/>
                          <w:jc w:val="right"/>
                        </w:pPr>
                        <w:r w:rsidRPr="00AE6192">
                          <w:t xml:space="preserve"> </w:t>
                        </w:r>
                      </w:p>
                    </w:txbxContent>
                  </v:textbox>
                </v:shape>
                <v:shape id="Text Box 897" o:spid="_x0000_s1124" type="#_x0000_t202" style="position:absolute;left:75438;top:49203;width:1257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" filled="f" stroked="f">
                  <v:textbox>
                    <w:txbxContent>
                      <w:p w14:paraId="26764E02" w14:textId="77777777" w:rsidR="00BD64CF" w:rsidRPr="00AE6192" w:rsidRDefault="00BD64CF" w:rsidP="00BD64CF">
                        <w:pPr>
                          <w:spacing w:after="0"/>
                        </w:pPr>
                        <w:r>
                          <w:t>Network Model</w:t>
                        </w:r>
                      </w:p>
                    </w:txbxContent>
                  </v:textbox>
                </v:shape>
                <v:shape id="Text Box 899" o:spid="_x0000_s1125" type="#_x0000_t202" style="position:absolute;left:75329;top:41801;width:12572;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" filled="f" stroked="f">
                  <v:textbox>
                    <w:txbxContent>
                      <w:p w14:paraId="1C7A15B5" w14:textId="77777777" w:rsidR="00BD64CF" w:rsidRPr="00AE6192" w:rsidRDefault="00BD64CF" w:rsidP="00BD64CF">
                        <w:pPr>
                          <w:spacing w:after="0"/>
                        </w:pPr>
                        <w:r>
                          <w:t>Commercial Model</w:t>
                        </w:r>
                      </w:p>
                    </w:txbxContent>
                  </v:textbox>
                </v:shape>
                <v:shape id="Text Box 784" o:spid="_x0000_s1126" type="#_x0000_t202" style="position:absolute;left:27323;top:5769;width:512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" fillcolor="#765900">
                  <v:fill color2="#ffc000" rotate="t" focus="50%" type="gradient"/>
                  <v:textbox>
                    <w:txbxContent>
                      <w:p w14:paraId="33BBCEC2" w14:textId="77777777" w:rsidR="00BD64CF" w:rsidRPr="00AE6192" w:rsidRDefault="00BD64CF" w:rsidP="00BD64CF">
                        <w:pPr>
                          <w:jc w:val="center"/>
                          <w:rPr>
                            <w:b/>
                            <w:color w:val="FFFFFF"/>
                            <w:sz w:val="18"/>
                            <w:szCs w:val="18"/>
                          </w:rPr>
                        </w:pPr>
                        <w:r>
                          <w:rPr>
                            <w:b/>
                            <w:color w:val="FFFFFF"/>
                            <w:sz w:val="18"/>
                            <w:szCs w:val="18"/>
                          </w:rPr>
                          <w:t>BAA</w:t>
                        </w:r>
                      </w:p>
                    </w:txbxContent>
                  </v:textbox>
                </v:shape>
                <v:shape id="Text Box 784" o:spid="_x0000_s1127" type="#_x0000_t202" style="position:absolute;left:34507;top:5769;width:5125;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" fillcolor="#765900">
                  <v:fill color2="#ffc000" rotate="t" focus="50%" type="gradient"/>
                  <v:textbox>
                    <w:txbxContent>
                      <w:p w14:paraId="4CA96F7B" w14:textId="77777777" w:rsidR="00BD64CF" w:rsidRPr="00AE6192" w:rsidRDefault="00BD64CF" w:rsidP="00BD64CF">
                        <w:pPr>
                          <w:jc w:val="center"/>
                          <w:rPr>
                            <w:b/>
                            <w:color w:val="FFFFFF"/>
                            <w:sz w:val="18"/>
                            <w:szCs w:val="18"/>
                          </w:rPr>
                        </w:pPr>
                        <w:r>
                          <w:rPr>
                            <w:b/>
                            <w:color w:val="FFFFFF"/>
                            <w:sz w:val="18"/>
                            <w:szCs w:val="18"/>
                          </w:rPr>
                          <w:t>BAA</w:t>
                        </w:r>
                      </w:p>
                    </w:txbxContent>
                  </v:textbox>
                </v:shape>
                <v:shape id="Text Box 778" o:spid="_x0000_s1128" type="#_x0000_t202" style="position:absolute;left:25146;top:2394;width:1958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" filled="f" stroked="f">
                  <v:textbox>
                    <w:txbxContent>
                      <w:p w14:paraId="0C5FD468" w14:textId="77777777" w:rsidR="00BD64CF" w:rsidRPr="00AE6192" w:rsidRDefault="00BD64CF" w:rsidP="00F748DE">
                        <w:pPr>
                          <w:jc w:val="left"/>
                          <w:rPr>
                            <w:szCs w:val="24"/>
                          </w:rPr>
                        </w:pPr>
                        <w:r>
                          <w:t>Balancing Authority Areas</w:t>
                        </w:r>
                      </w:p>
                    </w:txbxContent>
                  </v:textbox>
                </v:shape>
                <v:shape id="AutoShape 804" o:spid="_x0000_s1129" type="#_x0000_t32" style="position:absolute;left:19594;top:8763;width:8953;height:10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">
                  <v:stroke endarrow="block"/>
                </v:shape>
                <v:shape id="AutoShape 804" o:spid="_x0000_s1130" type="#_x0000_t32" style="position:absolute;left:25908;top:8871;width:3175;height:10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">
                  <v:stroke endarrow="block"/>
                </v:shape>
                <v:shape id="AutoShape 804" o:spid="_x0000_s1131" type="#_x0000_t32" style="position:absolute;left:29881;top:8871;width:13049;height:106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">
                  <v:stroke endarrow="block"/>
                </v:shape>
                <v:shape id="AutoShape 804" o:spid="_x0000_s1132" type="#_x0000_t32" style="position:absolute;left:30697;top:8871;width:4363;height:10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">
                  <v:stroke endarrow="block"/>
                </v:shape>
                <v:shape id="AutoShape 804" o:spid="_x0000_s1133" type="#_x0000_t32" style="position:absolute;left:35868;top:8980;width:1149;height:10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">
                  <v:stroke endarrow="block"/>
                </v:shape>
                <v:shape id="AutoShape 804" o:spid="_x0000_s1134" type="#_x0000_t32" style="position:absolute;left:37501;top:8980;width:11144;height:103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">
                  <v:stroke endarrow="block"/>
                </v:shape>
              </v:group>
            </w:pict>
          </mc:Fallback>
        </mc:AlternateContent>
      </w:r>
      <w:r w:rsidR="00BD64CF" w:rsidRPr="00D25391">
        <w:rPr>
          <w:b/>
          <w:szCs w:val="24"/>
        </w:rPr>
        <w:t xml:space="preserve">Exhibit </w:t>
      </w:r>
      <w:r w:rsidR="00CC62D5" w:rsidRPr="004046DB">
        <w:rPr>
          <w:b/>
          <w:szCs w:val="24"/>
        </w:rPr>
        <w:fldChar w:fldCharType="begin"/>
      </w:r>
      <w:r w:rsidR="00CC62D5" w:rsidRPr="004046DB">
        <w:rPr>
          <w:b/>
          <w:szCs w:val="24"/>
        </w:rPr>
        <w:instrText xml:space="preserve"> STYLEREF 1 \s </w:instrText>
      </w:r>
      <w:r w:rsidR="00CC62D5" w:rsidRPr="004046DB">
        <w:rPr>
          <w:b/>
          <w:szCs w:val="24"/>
        </w:rPr>
        <w:fldChar w:fldCharType="separate"/>
      </w:r>
      <w:r w:rsidR="00CC62D5">
        <w:rPr>
          <w:b/>
          <w:noProof/>
          <w:szCs w:val="24"/>
        </w:rPr>
        <w:t>9</w:t>
      </w:r>
      <w:r w:rsidR="00CC62D5" w:rsidRPr="004046DB">
        <w:rPr>
          <w:b/>
          <w:szCs w:val="24"/>
        </w:rPr>
        <w:fldChar w:fldCharType="end"/>
      </w:r>
      <w:r w:rsidR="00CC62D5" w:rsidRPr="004046DB">
        <w:rPr>
          <w:b/>
          <w:szCs w:val="24"/>
        </w:rPr>
        <w:noBreakHyphen/>
      </w:r>
      <w:r w:rsidR="00CC62D5" w:rsidRPr="004046DB">
        <w:rPr>
          <w:b/>
          <w:szCs w:val="24"/>
        </w:rPr>
        <w:fldChar w:fldCharType="begin"/>
      </w:r>
      <w:r w:rsidR="00CC62D5" w:rsidRPr="004046DB">
        <w:rPr>
          <w:b/>
          <w:szCs w:val="24"/>
        </w:rPr>
        <w:instrText xml:space="preserve"> SEQ Exhibit \* ARABIC \s 1 </w:instrText>
      </w:r>
      <w:r w:rsidR="00CC62D5" w:rsidRPr="004046DB">
        <w:rPr>
          <w:b/>
          <w:szCs w:val="24"/>
        </w:rPr>
        <w:fldChar w:fldCharType="separate"/>
      </w:r>
      <w:r w:rsidR="00CC62D5">
        <w:rPr>
          <w:b/>
          <w:noProof/>
          <w:szCs w:val="24"/>
        </w:rPr>
        <w:t>1</w:t>
      </w:r>
      <w:r w:rsidR="00CC62D5" w:rsidRPr="004046DB">
        <w:rPr>
          <w:b/>
          <w:szCs w:val="24"/>
        </w:rPr>
        <w:fldChar w:fldCharType="end"/>
      </w:r>
      <w:r w:rsidR="00BD64CF" w:rsidRPr="00D25391">
        <w:rPr>
          <w:b/>
          <w:szCs w:val="24"/>
        </w:rPr>
        <w:t xml:space="preserve">: </w:t>
      </w:r>
      <w:r w:rsidR="00BD64CF" w:rsidRPr="003937F0">
        <w:rPr>
          <w:b/>
        </w:rPr>
        <w:t>Commercial Model and Network Element Relationships</w:t>
      </w:r>
      <w:bookmarkEnd w:id="7099"/>
    </w:p>
    <w:p w14:paraId="43957DF0" w14:textId="0A899725" w:rsidR="00BD64CF" w:rsidRPr="00D25391" w:rsidRDefault="00BD64CF" w:rsidP="00157F65">
      <w:pPr>
        <w:spacing w:line="300" w:lineRule="auto"/>
        <w:ind w:left="-720" w:right="-1206"/>
        <w:rPr>
          <w:szCs w:val="24"/>
        </w:rPr>
      </w:pPr>
    </w:p>
    <w:p w14:paraId="590D47F6" w14:textId="1A356126" w:rsidR="00BD64CF" w:rsidRPr="00D25391" w:rsidRDefault="00BD64CF" w:rsidP="00157F65">
      <w:pPr>
        <w:spacing w:line="300" w:lineRule="auto"/>
        <w:ind w:left="-810"/>
        <w:rPr>
          <w:szCs w:val="24"/>
        </w:rPr>
      </w:pPr>
    </w:p>
    <w:p w14:paraId="6D8E9828" w14:textId="1FB0F9C4" w:rsidR="00BD64CF" w:rsidRPr="00D25391" w:rsidRDefault="00BD64CF" w:rsidP="00BD64CF">
      <w:pPr>
        <w:spacing w:line="300" w:lineRule="auto"/>
        <w:rPr>
          <w:szCs w:val="24"/>
        </w:rPr>
      </w:pPr>
    </w:p>
    <w:p w14:paraId="12703709" w14:textId="6E14774F" w:rsidR="00BD64CF" w:rsidRPr="00D25391" w:rsidRDefault="00BD64CF" w:rsidP="00BD64CF">
      <w:pPr>
        <w:spacing w:line="300" w:lineRule="auto"/>
        <w:rPr>
          <w:szCs w:val="24"/>
        </w:rPr>
      </w:pPr>
    </w:p>
    <w:p w14:paraId="75FC1B86" w14:textId="141D8FA1" w:rsidR="00BD64CF" w:rsidRPr="00D25391" w:rsidRDefault="00BD64CF" w:rsidP="00BD64CF">
      <w:pPr>
        <w:spacing w:line="300" w:lineRule="auto"/>
        <w:rPr>
          <w:szCs w:val="24"/>
        </w:rPr>
      </w:pPr>
    </w:p>
    <w:p w14:paraId="63B8D9EA" w14:textId="0C19B685" w:rsidR="00BD64CF" w:rsidRPr="00D25391" w:rsidRDefault="00BD64CF" w:rsidP="00BD64CF">
      <w:pPr>
        <w:spacing w:line="300" w:lineRule="auto"/>
        <w:rPr>
          <w:szCs w:val="24"/>
        </w:rPr>
      </w:pPr>
    </w:p>
    <w:p w14:paraId="458CD820" w14:textId="4F19913E" w:rsidR="00BD64CF" w:rsidRPr="00D25391" w:rsidRDefault="00BD64CF" w:rsidP="00BD64CF">
      <w:pPr>
        <w:spacing w:line="300" w:lineRule="auto"/>
        <w:rPr>
          <w:szCs w:val="24"/>
        </w:rPr>
      </w:pPr>
    </w:p>
    <w:p w14:paraId="474C0F9A" w14:textId="6E50FD02" w:rsidR="00BD64CF" w:rsidRPr="00D25391" w:rsidRDefault="00BD64CF" w:rsidP="00BD64CF">
      <w:pPr>
        <w:spacing w:line="300" w:lineRule="auto"/>
        <w:rPr>
          <w:szCs w:val="24"/>
        </w:rPr>
      </w:pPr>
    </w:p>
    <w:p w14:paraId="4BFF67D4" w14:textId="598D3B11" w:rsidR="00BD64CF" w:rsidRPr="00D25391" w:rsidRDefault="00BD64CF" w:rsidP="00BD64CF">
      <w:pPr>
        <w:spacing w:line="300" w:lineRule="auto"/>
        <w:rPr>
          <w:szCs w:val="24"/>
        </w:rPr>
      </w:pPr>
    </w:p>
    <w:p w14:paraId="203F0489" w14:textId="5D4732A1" w:rsidR="00BD64CF" w:rsidRPr="00D25391" w:rsidRDefault="00BD64CF" w:rsidP="00BD64CF">
      <w:pPr>
        <w:spacing w:line="300" w:lineRule="auto"/>
        <w:rPr>
          <w:szCs w:val="24"/>
        </w:rPr>
      </w:pPr>
    </w:p>
    <w:p w14:paraId="2C9DD16A" w14:textId="031B07E0" w:rsidR="00BD64CF" w:rsidRPr="00D25391" w:rsidRDefault="00BD64CF" w:rsidP="00BD64CF">
      <w:pPr>
        <w:spacing w:line="300" w:lineRule="auto"/>
        <w:rPr>
          <w:szCs w:val="24"/>
        </w:rPr>
      </w:pPr>
    </w:p>
    <w:p w14:paraId="3D779A96" w14:textId="0D02F3EB" w:rsidR="00BD64CF" w:rsidRPr="00D25391" w:rsidRDefault="00BD64CF" w:rsidP="00BD64CF">
      <w:pPr>
        <w:spacing w:line="300" w:lineRule="auto"/>
        <w:rPr>
          <w:szCs w:val="24"/>
        </w:rPr>
      </w:pPr>
    </w:p>
    <w:p w14:paraId="3072467B" w14:textId="1751DAB3" w:rsidR="00BD64CF" w:rsidRPr="00D25391" w:rsidRDefault="00BD64CF" w:rsidP="00BD64CF">
      <w:pPr>
        <w:spacing w:line="300" w:lineRule="auto"/>
        <w:rPr>
          <w:szCs w:val="24"/>
        </w:rPr>
      </w:pPr>
    </w:p>
    <w:p w14:paraId="2B06BC4B" w14:textId="38F4E0ED" w:rsidR="00BD64CF" w:rsidRPr="00D25391" w:rsidRDefault="00BD64CF" w:rsidP="00BD64CF">
      <w:pPr>
        <w:spacing w:line="300" w:lineRule="auto"/>
        <w:rPr>
          <w:szCs w:val="24"/>
        </w:rPr>
      </w:pPr>
    </w:p>
    <w:p w14:paraId="3C725A65" w14:textId="792FF6E2" w:rsidR="00BD64CF" w:rsidRPr="00D25391" w:rsidRDefault="00BD64CF" w:rsidP="00BD64CF">
      <w:pPr>
        <w:spacing w:line="300" w:lineRule="auto"/>
        <w:rPr>
          <w:szCs w:val="24"/>
        </w:rPr>
      </w:pPr>
    </w:p>
    <w:p w14:paraId="0A02A3AB" w14:textId="2A202525" w:rsidR="00BD64CF" w:rsidRPr="00D25391" w:rsidRDefault="00BD64CF" w:rsidP="00BD64CF">
      <w:pPr>
        <w:spacing w:line="300" w:lineRule="auto"/>
        <w:rPr>
          <w:szCs w:val="24"/>
        </w:rPr>
      </w:pPr>
    </w:p>
    <w:p w14:paraId="224D9BD5" w14:textId="77777777" w:rsidR="00BD64CF" w:rsidRPr="00D25391" w:rsidRDefault="00BD64CF" w:rsidP="00BD64CF">
      <w:pPr>
        <w:spacing w:line="300" w:lineRule="auto"/>
        <w:rPr>
          <w:szCs w:val="24"/>
        </w:rPr>
        <w:sectPr w:rsidR="00BD64CF" w:rsidRPr="00D25391" w:rsidSect="00BD64CF">
          <w:pgSz w:w="15840" w:h="12240" w:orient="landscape" w:code="1"/>
          <w:pgMar w:top="1440" w:right="1728" w:bottom="1440" w:left="1728" w:header="720" w:footer="720" w:gutter="0"/>
          <w:paperSrc w:first="15" w:other="15"/>
          <w:cols w:space="720"/>
        </w:sectPr>
      </w:pPr>
    </w:p>
    <w:p w14:paraId="16600383" w14:textId="48B0CC74" w:rsidR="00BD64CF" w:rsidRPr="00D25391" w:rsidRDefault="00BD64CF" w:rsidP="00A20A63">
      <w:pPr>
        <w:pStyle w:val="Heading2"/>
      </w:pPr>
      <w:bookmarkStart w:id="7100" w:name="_Toc159233362"/>
      <w:bookmarkStart w:id="7101" w:name="_Toc167202569"/>
      <w:bookmarkStart w:id="7102" w:name="_Ref212626061"/>
      <w:bookmarkStart w:id="7103" w:name="_Toc213772036"/>
      <w:bookmarkStart w:id="7104" w:name="_Toc263235170"/>
      <w:bookmarkStart w:id="7105" w:name="_Toc263235814"/>
      <w:bookmarkStart w:id="7106" w:name="_Toc263429557"/>
      <w:bookmarkStart w:id="7107" w:name="_Toc263795597"/>
      <w:bookmarkStart w:id="7108" w:name="_Toc266869773"/>
      <w:bookmarkStart w:id="7109" w:name="_Toc55118717"/>
      <w:bookmarkStart w:id="7110" w:name="_Toc254787587"/>
      <w:bookmarkStart w:id="7111" w:name="_Toc491614681"/>
      <w:bookmarkStart w:id="7112" w:name="_Toc497202834"/>
      <w:bookmarkStart w:id="7113" w:name="_Toc499457822"/>
      <w:bookmarkStart w:id="7114" w:name="_Toc500928363"/>
      <w:bookmarkStart w:id="7115" w:name="_Toc517087121"/>
      <w:r w:rsidRPr="008E07C1">
        <w:t>Registration of Resources</w:t>
      </w:r>
      <w:bookmarkEnd w:id="7100"/>
      <w:bookmarkEnd w:id="7101"/>
      <w:bookmarkEnd w:id="7102"/>
      <w:bookmarkEnd w:id="7103"/>
    </w:p>
    <w:bookmarkEnd w:id="7104"/>
    <w:bookmarkEnd w:id="7105"/>
    <w:bookmarkEnd w:id="7106"/>
    <w:bookmarkEnd w:id="7107"/>
    <w:bookmarkEnd w:id="7108"/>
    <w:bookmarkEnd w:id="7109"/>
    <w:bookmarkEnd w:id="7110"/>
    <w:bookmarkEnd w:id="7111"/>
    <w:bookmarkEnd w:id="7112"/>
    <w:bookmarkEnd w:id="7113"/>
    <w:bookmarkEnd w:id="7114"/>
    <w:bookmarkEnd w:id="7115"/>
    <w:p w14:paraId="7C7376DA" w14:textId="4B1C9843" w:rsidR="00BD64CF" w:rsidRPr="00C02915" w:rsidRDefault="00BD64CF" w:rsidP="00FE7AA5">
      <w:pPr>
        <w:pStyle w:val="Normal1070"/>
        <w:spacing w:line="300" w:lineRule="auto"/>
      </w:pPr>
      <w:r w:rsidRPr="00D25391">
        <w:rPr>
          <w:rFonts w:cs="Times New Roman"/>
        </w:rPr>
        <w:t xml:space="preserve">Any Market Participant </w:t>
      </w:r>
      <w:r>
        <w:rPr>
          <w:rFonts w:cs="Times New Roman"/>
        </w:rPr>
        <w:t>with</w:t>
      </w:r>
      <w:r w:rsidRPr="00D25391">
        <w:rPr>
          <w:rFonts w:cs="Times New Roman"/>
        </w:rPr>
        <w:t xml:space="preserve"> Resources within </w:t>
      </w:r>
      <w:r>
        <w:rPr>
          <w:rFonts w:cs="Times New Roman"/>
        </w:rPr>
        <w:t>the Markets+ Footprint</w:t>
      </w:r>
      <w:r w:rsidRPr="00D25391">
        <w:rPr>
          <w:rFonts w:cs="Times New Roman"/>
        </w:rPr>
        <w:t xml:space="preserve"> must register</w:t>
      </w:r>
      <w:r>
        <w:rPr>
          <w:rFonts w:cs="Times New Roman"/>
        </w:rPr>
        <w:t xml:space="preserve"> all Resources unless otherwise exempt as described in</w:t>
      </w:r>
      <w:r w:rsidR="005A15C7">
        <w:rPr>
          <w:rFonts w:cs="Times New Roman"/>
        </w:rPr>
        <w:t xml:space="preserve"> this s</w:t>
      </w:r>
      <w:r>
        <w:rPr>
          <w:rFonts w:cs="Times New Roman"/>
        </w:rPr>
        <w:t>ection.</w:t>
      </w:r>
      <w:r w:rsidRPr="00D25391" w:rsidDel="00B857BC">
        <w:rPr>
          <w:rFonts w:cs="Times New Roman"/>
        </w:rPr>
        <w:t xml:space="preserve"> </w:t>
      </w:r>
      <w:r>
        <w:rPr>
          <w:rFonts w:cs="Times New Roman"/>
        </w:rPr>
        <w:t xml:space="preserve">Registered Resources must </w:t>
      </w:r>
      <w:r w:rsidRPr="00D25391">
        <w:rPr>
          <w:rFonts w:cs="Times New Roman"/>
        </w:rPr>
        <w:t xml:space="preserve">be capable of performing the functions of a Resource as described </w:t>
      </w:r>
      <w:bookmarkStart w:id="7116" w:name="_Toc55118718"/>
      <w:bookmarkStart w:id="7117" w:name="_Toc499457823"/>
      <w:bookmarkStart w:id="7118" w:name="_Toc500928364"/>
      <w:r w:rsidRPr="00D25391">
        <w:rPr>
          <w:rFonts w:cs="Times New Roman"/>
        </w:rPr>
        <w:t xml:space="preserve">herein.  Resources are registered on a nodal basis to Settlement Locations.  Resources at the same physical and electrically equivalent injection point to the transmission grid may register </w:t>
      </w:r>
      <w:r>
        <w:rPr>
          <w:rFonts w:cs="Times New Roman"/>
        </w:rPr>
        <w:t>as a single Resource or as multiple Resources</w:t>
      </w:r>
      <w:r w:rsidRPr="00D25391">
        <w:rPr>
          <w:rFonts w:cs="Times New Roman"/>
        </w:rPr>
        <w:t xml:space="preserve">.  </w:t>
      </w:r>
      <w:r>
        <w:rPr>
          <w:rFonts w:cs="Times New Roman"/>
        </w:rPr>
        <w:t xml:space="preserve">Registration of multiple Resources as a Resource Aggregation is addressed in </w:t>
      </w:r>
      <w:r w:rsidRPr="00B36477">
        <w:rPr>
          <w:rFonts w:cs="Times New Roman"/>
        </w:rPr>
        <w:t xml:space="preserve">Section </w:t>
      </w:r>
      <w:r w:rsidR="00AA0CA8">
        <w:rPr>
          <w:rFonts w:cs="Times New Roman"/>
        </w:rPr>
        <w:fldChar w:fldCharType="begin"/>
      </w:r>
      <w:r w:rsidR="00AA0CA8">
        <w:rPr>
          <w:rFonts w:cs="Times New Roman"/>
        </w:rPr>
        <w:instrText xml:space="preserve"> REF _Ref195097998 \r \h </w:instrText>
      </w:r>
      <w:r w:rsidR="00AA0CA8">
        <w:rPr>
          <w:rFonts w:cs="Times New Roman"/>
        </w:rPr>
      </w:r>
      <w:r w:rsidR="00AA0CA8">
        <w:rPr>
          <w:rFonts w:cs="Times New Roman"/>
        </w:rPr>
        <w:fldChar w:fldCharType="separate"/>
      </w:r>
      <w:r w:rsidR="00AA0CA8">
        <w:rPr>
          <w:rFonts w:cs="Times New Roman"/>
        </w:rPr>
        <w:t>9.1.13</w:t>
      </w:r>
      <w:r w:rsidR="00AA0CA8">
        <w:rPr>
          <w:rFonts w:cs="Times New Roman"/>
        </w:rPr>
        <w:fldChar w:fldCharType="end"/>
      </w:r>
      <w:r>
        <w:rPr>
          <w:rFonts w:cs="Times New Roman"/>
        </w:rPr>
        <w:t xml:space="preserve">. </w:t>
      </w:r>
      <w:r w:rsidRPr="00D25391">
        <w:rPr>
          <w:rFonts w:cs="Times New Roman"/>
        </w:rPr>
        <w:t xml:space="preserve">Failure or refusal to register a </w:t>
      </w:r>
      <w:r>
        <w:rPr>
          <w:rFonts w:cs="Times New Roman"/>
        </w:rPr>
        <w:t>r</w:t>
      </w:r>
      <w:r w:rsidRPr="00D25391">
        <w:rPr>
          <w:rFonts w:cs="Times New Roman"/>
        </w:rPr>
        <w:t xml:space="preserve">esource will result in </w:t>
      </w:r>
      <w:r>
        <w:rPr>
          <w:rFonts w:cs="Times New Roman"/>
        </w:rPr>
        <w:t>the Market Operator</w:t>
      </w:r>
      <w:r w:rsidRPr="00D25391">
        <w:rPr>
          <w:rFonts w:cs="Times New Roman"/>
        </w:rPr>
        <w:t xml:space="preserve"> filing an unexecuted version of the </w:t>
      </w:r>
      <w:r>
        <w:rPr>
          <w:rFonts w:cs="Times New Roman"/>
        </w:rPr>
        <w:t>MP</w:t>
      </w:r>
      <w:r w:rsidRPr="00D25391">
        <w:rPr>
          <w:rFonts w:cs="Times New Roman"/>
        </w:rPr>
        <w:t xml:space="preserve"> agreement as specified in </w:t>
      </w:r>
      <w:r w:rsidR="00D73B63" w:rsidRPr="00D25391">
        <w:rPr>
          <w:rFonts w:cs="Times New Roman"/>
        </w:rPr>
        <w:t xml:space="preserve">Attachment E </w:t>
      </w:r>
      <w:r w:rsidR="00D73B63">
        <w:rPr>
          <w:rFonts w:cs="Times New Roman"/>
        </w:rPr>
        <w:t xml:space="preserve">of the </w:t>
      </w:r>
      <w:r w:rsidRPr="00182AC9">
        <w:rPr>
          <w:rFonts w:cs="Times New Roman"/>
        </w:rPr>
        <w:t>Markets+ Tariff</w:t>
      </w:r>
      <w:r w:rsidRPr="00D25391">
        <w:rPr>
          <w:rFonts w:cs="Times New Roman"/>
        </w:rPr>
        <w:t xml:space="preserve"> for that </w:t>
      </w:r>
      <w:r>
        <w:rPr>
          <w:rFonts w:cs="Times New Roman"/>
        </w:rPr>
        <w:t>r</w:t>
      </w:r>
      <w:r w:rsidRPr="00D25391">
        <w:rPr>
          <w:rFonts w:cs="Times New Roman"/>
        </w:rPr>
        <w:t xml:space="preserve">esource with FERC under the name of the </w:t>
      </w:r>
      <w:r>
        <w:rPr>
          <w:rFonts w:cs="Times New Roman"/>
        </w:rPr>
        <w:t>Market Participant.</w:t>
      </w:r>
      <w:r w:rsidRPr="007D4C34">
        <w:rPr>
          <w:rFonts w:cs="Times New Roman"/>
          <w:szCs w:val="20"/>
          <w:shd w:val="clear" w:color="auto" w:fill="FFFFFF"/>
        </w:rPr>
        <w:t xml:space="preserve"> </w:t>
      </w:r>
      <w:r>
        <w:rPr>
          <w:rFonts w:cs="Times New Roman"/>
        </w:rPr>
        <w:t xml:space="preserve"> </w:t>
      </w:r>
      <w:r w:rsidRPr="00D25391">
        <w:rPr>
          <w:rFonts w:cs="Times New Roman"/>
          <w:bCs/>
          <w:szCs w:val="20"/>
        </w:rPr>
        <w:t>In the case of a Qualifying Facility exercising its rights under PURPA to deliver its net output to its host utility, such registration will not require the Qualifying Facility to participate in Markets+ or subject the Qualifying Facility to any charges or credits related to Markets</w:t>
      </w:r>
      <w:r>
        <w:rPr>
          <w:rFonts w:cs="Times New Roman"/>
          <w:bCs/>
          <w:szCs w:val="20"/>
        </w:rPr>
        <w:t xml:space="preserve">+. </w:t>
      </w:r>
      <w:r w:rsidRPr="00D25391">
        <w:rPr>
          <w:rFonts w:cs="Times New Roman"/>
          <w:bCs/>
          <w:szCs w:val="20"/>
        </w:rPr>
        <w:t>Naming convention requirements for Reso</w:t>
      </w:r>
      <w:r>
        <w:rPr>
          <w:rFonts w:cs="Times New Roman"/>
          <w:bCs/>
          <w:szCs w:val="20"/>
        </w:rPr>
        <w:t>u</w:t>
      </w:r>
      <w:r w:rsidRPr="00D25391">
        <w:rPr>
          <w:rFonts w:cs="Times New Roman"/>
          <w:bCs/>
          <w:szCs w:val="20"/>
        </w:rPr>
        <w:t xml:space="preserve">rce assets registered in the Markets+ Footprint are provided in </w:t>
      </w:r>
      <w:r w:rsidRPr="005A15C7">
        <w:rPr>
          <w:rFonts w:cs="Times New Roman"/>
          <w:bCs/>
          <w:szCs w:val="20"/>
        </w:rPr>
        <w:t>S</w:t>
      </w:r>
      <w:r w:rsidRPr="005A15C7">
        <w:rPr>
          <w:rFonts w:cs="Times New Roman"/>
          <w:szCs w:val="20"/>
        </w:rPr>
        <w:t xml:space="preserve">ection </w:t>
      </w:r>
      <w:r w:rsidR="00AA0CA8">
        <w:rPr>
          <w:rFonts w:cs="Times New Roman"/>
          <w:szCs w:val="20"/>
        </w:rPr>
        <w:fldChar w:fldCharType="begin"/>
      </w:r>
      <w:r w:rsidR="00AA0CA8">
        <w:rPr>
          <w:rFonts w:cs="Times New Roman"/>
          <w:szCs w:val="20"/>
        </w:rPr>
        <w:instrText xml:space="preserve"> REF _Ref212620814 \r \h </w:instrText>
      </w:r>
      <w:r w:rsidR="00AA0CA8">
        <w:rPr>
          <w:rFonts w:cs="Times New Roman"/>
          <w:szCs w:val="20"/>
        </w:rPr>
      </w:r>
      <w:r w:rsidR="00AA0CA8">
        <w:rPr>
          <w:rFonts w:cs="Times New Roman"/>
          <w:szCs w:val="20"/>
        </w:rPr>
        <w:fldChar w:fldCharType="separate"/>
      </w:r>
      <w:r w:rsidR="00AA0CA8">
        <w:rPr>
          <w:rFonts w:cs="Times New Roman"/>
          <w:szCs w:val="20"/>
        </w:rPr>
        <w:t>9.7</w:t>
      </w:r>
      <w:r w:rsidR="00AA0CA8">
        <w:rPr>
          <w:rFonts w:cs="Times New Roman"/>
          <w:szCs w:val="20"/>
        </w:rPr>
        <w:fldChar w:fldCharType="end"/>
      </w:r>
      <w:r w:rsidRPr="00D25391">
        <w:rPr>
          <w:rFonts w:cs="Times New Roman"/>
          <w:bCs/>
          <w:szCs w:val="20"/>
        </w:rPr>
        <w:t>.</w:t>
      </w:r>
    </w:p>
    <w:p w14:paraId="74A38739" w14:textId="77777777" w:rsidR="00BD64CF" w:rsidRPr="00D25391" w:rsidRDefault="00BD64CF" w:rsidP="00BD64CF">
      <w:pPr>
        <w:spacing w:line="300" w:lineRule="auto"/>
        <w:rPr>
          <w:szCs w:val="24"/>
        </w:rPr>
      </w:pPr>
    </w:p>
    <w:p w14:paraId="408783A1" w14:textId="04FA8124" w:rsidR="00BD64CF" w:rsidRPr="00D25391" w:rsidRDefault="00BD64CF" w:rsidP="00781C61">
      <w:pPr>
        <w:pStyle w:val="Heading3"/>
        <w:rPr>
          <w:sz w:val="24"/>
        </w:rPr>
      </w:pPr>
      <w:bookmarkStart w:id="7119" w:name="_Ref258931564"/>
      <w:bookmarkStart w:id="7120" w:name="_Toc263173436"/>
      <w:bookmarkStart w:id="7121" w:name="_Toc263173665"/>
      <w:bookmarkStart w:id="7122" w:name="_Toc263173853"/>
      <w:bookmarkStart w:id="7123" w:name="_Toc263174265"/>
      <w:bookmarkStart w:id="7124" w:name="_Toc263235171"/>
      <w:bookmarkStart w:id="7125" w:name="_Toc263235815"/>
      <w:bookmarkStart w:id="7126" w:name="_Toc263429558"/>
      <w:bookmarkStart w:id="7127" w:name="_Toc263795598"/>
      <w:bookmarkStart w:id="7128" w:name="_Toc266869774"/>
      <w:bookmarkStart w:id="7129" w:name="_Toc159233363"/>
      <w:bookmarkStart w:id="7130" w:name="_Toc167202570"/>
      <w:bookmarkStart w:id="7131" w:name="_Ref212621289"/>
      <w:bookmarkStart w:id="7132" w:name="_Ref212622086"/>
      <w:bookmarkStart w:id="7133" w:name="_Ref212626168"/>
      <w:bookmarkStart w:id="7134" w:name="_Ref212626200"/>
      <w:bookmarkStart w:id="7135" w:name="_Ref212626270"/>
      <w:bookmarkStart w:id="7136" w:name="_Toc213772037"/>
      <w:r w:rsidRPr="009772C4">
        <w:t>Responsibilities of the Resource</w:t>
      </w:r>
      <w:bookmarkEnd w:id="7116"/>
      <w:r w:rsidRPr="009772C4">
        <w:t xml:space="preserve"> </w:t>
      </w:r>
      <w:bookmarkEnd w:id="7119"/>
      <w:bookmarkEnd w:id="7120"/>
      <w:bookmarkEnd w:id="7121"/>
      <w:bookmarkEnd w:id="7122"/>
      <w:bookmarkEnd w:id="7123"/>
      <w:bookmarkEnd w:id="7124"/>
      <w:bookmarkEnd w:id="7125"/>
      <w:bookmarkEnd w:id="7126"/>
      <w:bookmarkEnd w:id="7127"/>
      <w:bookmarkEnd w:id="7128"/>
      <w:bookmarkEnd w:id="7129"/>
      <w:bookmarkEnd w:id="7130"/>
      <w:r>
        <w:t>Market Participant</w:t>
      </w:r>
      <w:bookmarkEnd w:id="7131"/>
      <w:bookmarkEnd w:id="7132"/>
      <w:bookmarkEnd w:id="7133"/>
      <w:bookmarkEnd w:id="7134"/>
      <w:bookmarkEnd w:id="7135"/>
      <w:bookmarkEnd w:id="7136"/>
    </w:p>
    <w:bookmarkEnd w:id="7117"/>
    <w:bookmarkEnd w:id="7118"/>
    <w:p w14:paraId="29D17CF3" w14:textId="664F43DF" w:rsidR="00BD64CF" w:rsidRPr="00D25391" w:rsidRDefault="00BD64CF" w:rsidP="00BD64CF">
      <w:pPr>
        <w:spacing w:line="300" w:lineRule="auto"/>
        <w:rPr>
          <w:szCs w:val="24"/>
        </w:rPr>
      </w:pPr>
      <w:r w:rsidRPr="00D25391">
        <w:rPr>
          <w:szCs w:val="24"/>
        </w:rPr>
        <w:t xml:space="preserve">Each </w:t>
      </w:r>
      <w:r>
        <w:rPr>
          <w:szCs w:val="24"/>
        </w:rPr>
        <w:t>Market Participant</w:t>
      </w:r>
      <w:r w:rsidRPr="00D25391">
        <w:rPr>
          <w:szCs w:val="24"/>
        </w:rPr>
        <w:t xml:space="preserve"> </w:t>
      </w:r>
      <w:r>
        <w:rPr>
          <w:szCs w:val="24"/>
        </w:rPr>
        <w:t>is</w:t>
      </w:r>
      <w:r w:rsidRPr="00D25391">
        <w:rPr>
          <w:szCs w:val="24"/>
        </w:rPr>
        <w:t xml:space="preserve"> responsible for conducting its operations in accordance with all applicable market rules and guidelines. Each </w:t>
      </w:r>
      <w:r>
        <w:rPr>
          <w:szCs w:val="24"/>
        </w:rPr>
        <w:t>Market Participant</w:t>
      </w:r>
      <w:r w:rsidRPr="00D25391">
        <w:rPr>
          <w:szCs w:val="24"/>
        </w:rPr>
        <w:t xml:space="preserve"> </w:t>
      </w:r>
      <w:r>
        <w:rPr>
          <w:szCs w:val="24"/>
        </w:rPr>
        <w:t>must</w:t>
      </w:r>
      <w:r w:rsidRPr="00D25391">
        <w:rPr>
          <w:szCs w:val="24"/>
        </w:rPr>
        <w:t xml:space="preserve"> supply operating characteristics of its Resource, including, but not limited to location of physical Resource, </w:t>
      </w:r>
      <w:r>
        <w:rPr>
          <w:szCs w:val="24"/>
        </w:rPr>
        <w:t>l</w:t>
      </w:r>
      <w:r w:rsidRPr="00D25391">
        <w:rPr>
          <w:szCs w:val="24"/>
        </w:rPr>
        <w:t xml:space="preserve">egal owner and Resource type as specified </w:t>
      </w:r>
      <w:r w:rsidRPr="00D25391">
        <w:rPr>
          <w:color w:val="000000"/>
          <w:szCs w:val="24"/>
        </w:rPr>
        <w:t>below.  Registration</w:t>
      </w:r>
      <w:r w:rsidRPr="00D25391" w:rsidDel="0008267F">
        <w:rPr>
          <w:color w:val="000000"/>
          <w:szCs w:val="24"/>
        </w:rPr>
        <w:t xml:space="preserve"> </w:t>
      </w:r>
      <w:r>
        <w:rPr>
          <w:color w:val="000000"/>
          <w:szCs w:val="24"/>
        </w:rPr>
        <w:t>must</w:t>
      </w:r>
      <w:r w:rsidRPr="00D25391">
        <w:rPr>
          <w:color w:val="000000"/>
          <w:szCs w:val="24"/>
        </w:rPr>
        <w:t xml:space="preserve"> also include identification of the Settlement Location and Settlement Area of the Resource.  </w:t>
      </w:r>
      <w:r w:rsidRPr="00D25391">
        <w:rPr>
          <w:color w:val="000000"/>
        </w:rPr>
        <w:t xml:space="preserve">At the time of registration, </w:t>
      </w:r>
      <w:r>
        <w:rPr>
          <w:color w:val="000000"/>
        </w:rPr>
        <w:t>the Market Operator</w:t>
      </w:r>
      <w:r w:rsidRPr="00D25391">
        <w:rPr>
          <w:color w:val="000000"/>
        </w:rPr>
        <w:t xml:space="preserve"> will populate the Resource Offer parameters defined in Section </w:t>
      </w:r>
      <w:r w:rsidRPr="00D25391">
        <w:rPr>
          <w:color w:val="000000"/>
        </w:rPr>
        <w:fldChar w:fldCharType="begin"/>
      </w:r>
      <w:r w:rsidRPr="00D25391">
        <w:rPr>
          <w:color w:val="000000"/>
        </w:rPr>
        <w:instrText xml:space="preserve"> REF _Ref371343176 \r \h </w:instrText>
      </w:r>
      <w:r w:rsidRPr="00D25391">
        <w:rPr>
          <w:color w:val="000000"/>
        </w:rPr>
      </w:r>
      <w:r w:rsidRPr="00D25391">
        <w:rPr>
          <w:color w:val="000000"/>
        </w:rPr>
        <w:fldChar w:fldCharType="separate"/>
      </w:r>
      <w:r w:rsidRPr="00D25391">
        <w:rPr>
          <w:color w:val="000000"/>
        </w:rPr>
        <w:t>4.2.2.1</w:t>
      </w:r>
      <w:r w:rsidRPr="00D25391">
        <w:rPr>
          <w:color w:val="000000"/>
        </w:rPr>
        <w:fldChar w:fldCharType="end"/>
      </w:r>
      <w:r w:rsidRPr="00D25391">
        <w:rPr>
          <w:color w:val="000000"/>
        </w:rPr>
        <w:t>. These Resource Offer parameters must be updated by the Market Participant to reflect Resource</w:t>
      </w:r>
      <w:r w:rsidR="005A15C7">
        <w:rPr>
          <w:color w:val="000000"/>
        </w:rPr>
        <w:t>-</w:t>
      </w:r>
      <w:r w:rsidRPr="00D25391">
        <w:rPr>
          <w:color w:val="000000"/>
        </w:rPr>
        <w:t>specific parameters during the</w:t>
      </w:r>
      <w:r w:rsidR="000140CB">
        <w:rPr>
          <w:color w:val="000000"/>
        </w:rPr>
        <w:t xml:space="preserve"> </w:t>
      </w:r>
      <w:r w:rsidR="00501A00">
        <w:rPr>
          <w:color w:val="000000"/>
        </w:rPr>
        <w:t xml:space="preserve">seven </w:t>
      </w:r>
      <w:r w:rsidR="00501A00" w:rsidRPr="00D25391">
        <w:rPr>
          <w:color w:val="000000"/>
        </w:rPr>
        <w:t>(</w:t>
      </w:r>
      <w:r w:rsidRPr="00D25391">
        <w:rPr>
          <w:color w:val="000000"/>
        </w:rPr>
        <w:t>7</w:t>
      </w:r>
      <w:r w:rsidR="000140CB">
        <w:rPr>
          <w:color w:val="000000"/>
        </w:rPr>
        <w:t>)</w:t>
      </w:r>
      <w:r w:rsidRPr="00D25391">
        <w:rPr>
          <w:color w:val="000000"/>
        </w:rPr>
        <w:t xml:space="preserve"> days prior to the Resource’s effective date.</w:t>
      </w:r>
      <w:r w:rsidRPr="00D25391">
        <w:rPr>
          <w:color w:val="000000"/>
          <w:szCs w:val="24"/>
        </w:rPr>
        <w:t xml:space="preserve"> The Market Participant representing the applicable Asset Owner is responsible for ensuring that real</w:t>
      </w:r>
      <w:r w:rsidRPr="00D25391">
        <w:rPr>
          <w:szCs w:val="24"/>
        </w:rPr>
        <w:t xml:space="preserve">-time settlement Meter Data is submitted to </w:t>
      </w:r>
      <w:r>
        <w:rPr>
          <w:szCs w:val="24"/>
        </w:rPr>
        <w:t>the Market Operator</w:t>
      </w:r>
      <w:r w:rsidRPr="00D25391">
        <w:rPr>
          <w:szCs w:val="24"/>
        </w:rPr>
        <w:t xml:space="preserve">.  Valid Resource </w:t>
      </w:r>
      <w:r w:rsidR="005A15C7">
        <w:rPr>
          <w:szCs w:val="24"/>
        </w:rPr>
        <w:t>t</w:t>
      </w:r>
      <w:r w:rsidRPr="00D25391">
        <w:rPr>
          <w:szCs w:val="24"/>
        </w:rPr>
        <w:t>ypes</w:t>
      </w:r>
      <w:r w:rsidR="005A15C7">
        <w:rPr>
          <w:szCs w:val="24"/>
        </w:rPr>
        <w:t>,</w:t>
      </w:r>
      <w:r w:rsidRPr="00D25391">
        <w:rPr>
          <w:szCs w:val="24"/>
        </w:rPr>
        <w:t xml:space="preserve"> </w:t>
      </w:r>
      <w:r w:rsidR="00CA01B4">
        <w:rPr>
          <w:szCs w:val="24"/>
        </w:rPr>
        <w:t>of which only one type may be selected</w:t>
      </w:r>
      <w:r w:rsidR="005A15C7">
        <w:rPr>
          <w:szCs w:val="24"/>
        </w:rPr>
        <w:t>,</w:t>
      </w:r>
      <w:r w:rsidRPr="00D25391">
        <w:rPr>
          <w:szCs w:val="24"/>
        </w:rPr>
        <w:t xml:space="preserve"> are:</w:t>
      </w:r>
    </w:p>
    <w:p w14:paraId="64B3385D" w14:textId="7FCF5E2E" w:rsidR="00BD64CF" w:rsidRPr="00D25391" w:rsidRDefault="00BD64CF" w:rsidP="00DA3CE7">
      <w:pPr>
        <w:numPr>
          <w:ilvl w:val="0"/>
          <w:numId w:val="212"/>
        </w:numPr>
        <w:tabs>
          <w:tab w:val="num" w:pos="720"/>
        </w:tabs>
        <w:spacing w:before="120" w:line="300" w:lineRule="auto"/>
        <w:ind w:left="720" w:hanging="540"/>
        <w:rPr>
          <w:szCs w:val="24"/>
        </w:rPr>
      </w:pPr>
      <w:r w:rsidRPr="00D25391">
        <w:rPr>
          <w:szCs w:val="24"/>
        </w:rPr>
        <w:t xml:space="preserve">Generating </w:t>
      </w:r>
      <w:r w:rsidR="005A15C7">
        <w:rPr>
          <w:szCs w:val="24"/>
        </w:rPr>
        <w:t>u</w:t>
      </w:r>
      <w:r w:rsidRPr="00D25391">
        <w:rPr>
          <w:szCs w:val="24"/>
        </w:rPr>
        <w:t>nit (Gen);</w:t>
      </w:r>
    </w:p>
    <w:p w14:paraId="4A862991" w14:textId="768766A3" w:rsidR="00BD64CF" w:rsidRPr="00D25391" w:rsidRDefault="00BD64CF" w:rsidP="00DA3CE7">
      <w:pPr>
        <w:numPr>
          <w:ilvl w:val="0"/>
          <w:numId w:val="212"/>
        </w:numPr>
        <w:tabs>
          <w:tab w:val="num" w:pos="720"/>
        </w:tabs>
        <w:spacing w:before="120" w:line="300" w:lineRule="auto"/>
        <w:ind w:left="720" w:hanging="540"/>
        <w:rPr>
          <w:szCs w:val="24"/>
        </w:rPr>
      </w:pPr>
      <w:r w:rsidRPr="00CA01B4">
        <w:rPr>
          <w:szCs w:val="24"/>
        </w:rPr>
        <w:t>Plant (PLT)</w:t>
      </w:r>
      <w:r w:rsidR="007618C7">
        <w:rPr>
          <w:szCs w:val="24"/>
        </w:rPr>
        <w:t>;</w:t>
      </w:r>
      <w:r w:rsidR="001D46BD">
        <w:rPr>
          <w:szCs w:val="24"/>
        </w:rPr>
        <w:t xml:space="preserve"> </w:t>
      </w:r>
    </w:p>
    <w:p w14:paraId="17F57B17" w14:textId="799E4342" w:rsidR="00BD64CF" w:rsidRPr="00D25391" w:rsidRDefault="00BD64CF" w:rsidP="00DA3CE7">
      <w:pPr>
        <w:numPr>
          <w:ilvl w:val="0"/>
          <w:numId w:val="212"/>
        </w:numPr>
        <w:tabs>
          <w:tab w:val="num" w:pos="720"/>
        </w:tabs>
        <w:spacing w:before="120" w:line="300" w:lineRule="auto"/>
        <w:ind w:left="720" w:hanging="540"/>
        <w:rPr>
          <w:szCs w:val="24"/>
        </w:rPr>
      </w:pPr>
      <w:r w:rsidRPr="00D25391">
        <w:rPr>
          <w:szCs w:val="24"/>
        </w:rPr>
        <w:t>Dispatchable Demand Response</w:t>
      </w:r>
      <w:r w:rsidR="005A15C7">
        <w:rPr>
          <w:szCs w:val="24"/>
        </w:rPr>
        <w:t xml:space="preserve"> Resource</w:t>
      </w:r>
      <w:r w:rsidRPr="00D25391">
        <w:rPr>
          <w:szCs w:val="24"/>
        </w:rPr>
        <w:t xml:space="preserve"> (DDR</w:t>
      </w:r>
      <w:r w:rsidR="005A15C7">
        <w:rPr>
          <w:szCs w:val="24"/>
        </w:rPr>
        <w:t>R</w:t>
      </w:r>
      <w:r w:rsidRPr="00D25391">
        <w:rPr>
          <w:szCs w:val="24"/>
        </w:rPr>
        <w:t>);</w:t>
      </w:r>
    </w:p>
    <w:p w14:paraId="38252575" w14:textId="2B82D39D" w:rsidR="00CA01B4" w:rsidRPr="00CA01B4" w:rsidRDefault="00CA01B4" w:rsidP="00DA3CE7">
      <w:pPr>
        <w:numPr>
          <w:ilvl w:val="0"/>
          <w:numId w:val="212"/>
        </w:numPr>
        <w:tabs>
          <w:tab w:val="num" w:pos="720"/>
        </w:tabs>
        <w:spacing w:before="120" w:line="300" w:lineRule="auto"/>
        <w:ind w:left="720" w:hanging="540"/>
        <w:rPr>
          <w:szCs w:val="24"/>
        </w:rPr>
      </w:pPr>
      <w:r w:rsidRPr="00CA01B4">
        <w:rPr>
          <w:szCs w:val="24"/>
        </w:rPr>
        <w:t xml:space="preserve">Dispatchable Variable Energy Resource (DVER); </w:t>
      </w:r>
    </w:p>
    <w:p w14:paraId="041ACE7A" w14:textId="0660F960" w:rsidR="00CA01B4" w:rsidRPr="00CA01B4" w:rsidRDefault="00CA01B4" w:rsidP="00DA3CE7">
      <w:pPr>
        <w:numPr>
          <w:ilvl w:val="0"/>
          <w:numId w:val="212"/>
        </w:numPr>
        <w:tabs>
          <w:tab w:val="num" w:pos="720"/>
        </w:tabs>
        <w:spacing w:before="120" w:line="300" w:lineRule="auto"/>
        <w:ind w:left="720" w:hanging="540"/>
        <w:rPr>
          <w:szCs w:val="24"/>
        </w:rPr>
      </w:pPr>
      <w:r w:rsidRPr="00CA01B4">
        <w:rPr>
          <w:szCs w:val="24"/>
        </w:rPr>
        <w:t xml:space="preserve">Non-Dispatchable Variable Energy Resource (NDVER); </w:t>
      </w:r>
    </w:p>
    <w:p w14:paraId="69111142" w14:textId="5A086F0C" w:rsidR="00CA01B4" w:rsidRPr="000140CB" w:rsidRDefault="00BD64CF" w:rsidP="00DA3CE7">
      <w:pPr>
        <w:numPr>
          <w:ilvl w:val="0"/>
          <w:numId w:val="212"/>
        </w:numPr>
        <w:tabs>
          <w:tab w:val="num" w:pos="720"/>
        </w:tabs>
        <w:spacing w:before="120" w:line="300" w:lineRule="auto"/>
        <w:ind w:left="720" w:hanging="540"/>
        <w:rPr>
          <w:szCs w:val="24"/>
        </w:rPr>
      </w:pPr>
      <w:r w:rsidRPr="000140CB">
        <w:rPr>
          <w:szCs w:val="24"/>
        </w:rPr>
        <w:t xml:space="preserve">Combined Cycle (CC) Resource </w:t>
      </w:r>
      <w:r w:rsidRPr="000140CB">
        <w:t xml:space="preserve">(if the MCR option described under Section </w:t>
      </w:r>
      <w:r w:rsidR="000140CB" w:rsidRPr="000140CB">
        <w:t>9.1.6</w:t>
      </w:r>
      <w:r w:rsidRPr="000140CB">
        <w:t>is not selected)</w:t>
      </w:r>
      <w:r w:rsidRPr="000140CB">
        <w:rPr>
          <w:szCs w:val="24"/>
        </w:rPr>
        <w:t>;</w:t>
      </w:r>
    </w:p>
    <w:p w14:paraId="168F0B76" w14:textId="72F36D70" w:rsidR="00CA01B4" w:rsidRPr="00CA01B4" w:rsidRDefault="00CA01B4" w:rsidP="00DA3CE7">
      <w:pPr>
        <w:numPr>
          <w:ilvl w:val="0"/>
          <w:numId w:val="212"/>
        </w:numPr>
        <w:tabs>
          <w:tab w:val="num" w:pos="720"/>
        </w:tabs>
        <w:spacing w:before="120" w:line="300" w:lineRule="auto"/>
        <w:ind w:left="720" w:hanging="540"/>
        <w:rPr>
          <w:szCs w:val="24"/>
        </w:rPr>
      </w:pPr>
      <w:r w:rsidRPr="000140CB">
        <w:t xml:space="preserve">Multi-Configuration Resource (MCR) (represents </w:t>
      </w:r>
      <w:r w:rsidR="00E652FD">
        <w:t>c</w:t>
      </w:r>
      <w:r w:rsidRPr="000140CB">
        <w:t xml:space="preserve">ombined </w:t>
      </w:r>
      <w:r w:rsidR="00E652FD">
        <w:t>c</w:t>
      </w:r>
      <w:r w:rsidRPr="000140CB">
        <w:t xml:space="preserve">ycle </w:t>
      </w:r>
      <w:r w:rsidR="00501A00">
        <w:t>p</w:t>
      </w:r>
      <w:r w:rsidRPr="000140CB">
        <w:t xml:space="preserve">lant for Resources selecting the modeling option described under Section </w:t>
      </w:r>
      <w:r w:rsidR="00C356EA">
        <w:fldChar w:fldCharType="begin"/>
      </w:r>
      <w:r w:rsidR="00C356EA">
        <w:instrText xml:space="preserve"> REF _Ref476207889 \r \h </w:instrText>
      </w:r>
      <w:r w:rsidR="00C356EA">
        <w:fldChar w:fldCharType="separate"/>
      </w:r>
      <w:r w:rsidR="00C356EA">
        <w:t>9.1.6.1</w:t>
      </w:r>
      <w:r w:rsidR="00C356EA">
        <w:fldChar w:fldCharType="end"/>
      </w:r>
      <w:r w:rsidRPr="000140CB">
        <w:t>;</w:t>
      </w:r>
      <w:r w:rsidRPr="00CA01B4">
        <w:t xml:space="preserve"> </w:t>
      </w:r>
      <w:r>
        <w:t>and</w:t>
      </w:r>
    </w:p>
    <w:p w14:paraId="7DCA8C35" w14:textId="2B5BA43C" w:rsidR="00CA01B4" w:rsidRPr="00EF4322" w:rsidRDefault="00CA01B4" w:rsidP="00DA3CE7">
      <w:pPr>
        <w:numPr>
          <w:ilvl w:val="0"/>
          <w:numId w:val="212"/>
        </w:numPr>
        <w:tabs>
          <w:tab w:val="num" w:pos="720"/>
        </w:tabs>
        <w:spacing w:before="120" w:line="300" w:lineRule="auto"/>
        <w:ind w:left="720" w:hanging="540"/>
        <w:rPr>
          <w:szCs w:val="24"/>
        </w:rPr>
      </w:pPr>
      <w:r w:rsidRPr="00D25391">
        <w:t>Market Storage Resource (MSR)</w:t>
      </w:r>
      <w:r w:rsidR="0047209D">
        <w:t>.</w:t>
      </w:r>
      <w:r w:rsidRPr="00CA01B4">
        <w:t xml:space="preserve">   </w:t>
      </w:r>
    </w:p>
    <w:p w14:paraId="46DFE7BA" w14:textId="75B86809" w:rsidR="00CA01B4" w:rsidRPr="00CA01B4" w:rsidRDefault="0047209D" w:rsidP="00044BD9">
      <w:pPr>
        <w:spacing w:line="300" w:lineRule="auto"/>
        <w:rPr>
          <w:szCs w:val="24"/>
        </w:rPr>
      </w:pPr>
      <w:r>
        <w:rPr>
          <w:szCs w:val="24"/>
        </w:rPr>
        <w:t>Unless otherwise indicated, t</w:t>
      </w:r>
      <w:r w:rsidR="00CA01B4">
        <w:rPr>
          <w:szCs w:val="24"/>
        </w:rPr>
        <w:t xml:space="preserve">he Resource </w:t>
      </w:r>
      <w:r w:rsidR="00136204">
        <w:rPr>
          <w:szCs w:val="24"/>
        </w:rPr>
        <w:t xml:space="preserve">designations </w:t>
      </w:r>
      <w:r w:rsidR="00CA01B4">
        <w:rPr>
          <w:szCs w:val="24"/>
        </w:rPr>
        <w:t>below may be used in combination with the Resource type</w:t>
      </w:r>
      <w:r>
        <w:rPr>
          <w:szCs w:val="24"/>
        </w:rPr>
        <w:t xml:space="preserve"> selected</w:t>
      </w:r>
      <w:r w:rsidR="00CA01B4">
        <w:rPr>
          <w:szCs w:val="24"/>
        </w:rPr>
        <w:t xml:space="preserve"> above</w:t>
      </w:r>
      <w:r w:rsidR="00CA01B4" w:rsidRPr="00CA01B4">
        <w:rPr>
          <w:szCs w:val="24"/>
        </w:rPr>
        <w:t>:</w:t>
      </w:r>
    </w:p>
    <w:p w14:paraId="298A1938" w14:textId="4B59825C" w:rsidR="00BD64CF" w:rsidRPr="00D25391" w:rsidRDefault="00BD64CF" w:rsidP="00DA3CE7">
      <w:pPr>
        <w:numPr>
          <w:ilvl w:val="0"/>
          <w:numId w:val="212"/>
        </w:numPr>
        <w:tabs>
          <w:tab w:val="num" w:pos="720"/>
        </w:tabs>
        <w:spacing w:before="120" w:line="300" w:lineRule="auto"/>
        <w:ind w:left="720" w:hanging="540"/>
        <w:rPr>
          <w:szCs w:val="24"/>
        </w:rPr>
      </w:pPr>
      <w:r w:rsidRPr="00D25391">
        <w:rPr>
          <w:szCs w:val="24"/>
        </w:rPr>
        <w:t xml:space="preserve">Jointly Owned Unit (JOU) </w:t>
      </w:r>
      <w:r w:rsidR="003B09B7">
        <w:rPr>
          <w:szCs w:val="24"/>
        </w:rPr>
        <w:t>-</w:t>
      </w:r>
      <w:r w:rsidRPr="00D25391">
        <w:rPr>
          <w:szCs w:val="24"/>
        </w:rPr>
        <w:t xml:space="preserve"> </w:t>
      </w:r>
      <w:r w:rsidR="00F33174">
        <w:rPr>
          <w:szCs w:val="24"/>
        </w:rPr>
        <w:t xml:space="preserve">Individual </w:t>
      </w:r>
      <w:r w:rsidRPr="00D25391">
        <w:rPr>
          <w:szCs w:val="24"/>
        </w:rPr>
        <w:t>Resource</w:t>
      </w:r>
      <w:r>
        <w:rPr>
          <w:szCs w:val="24"/>
        </w:rPr>
        <w:t xml:space="preserve"> </w:t>
      </w:r>
      <w:r w:rsidR="00F33174">
        <w:rPr>
          <w:szCs w:val="24"/>
        </w:rPr>
        <w:t>Option</w:t>
      </w:r>
      <w:r w:rsidRPr="00D25391">
        <w:t xml:space="preserve"> (represents Physical JOU Resource only as defined under Section </w:t>
      </w:r>
      <w:r w:rsidR="006914DE">
        <w:fldChar w:fldCharType="begin"/>
      </w:r>
      <w:r w:rsidR="006914DE">
        <w:instrText xml:space="preserve"> REF _Ref212620965 \r \h </w:instrText>
      </w:r>
      <w:r w:rsidR="006914DE">
        <w:fldChar w:fldCharType="separate"/>
      </w:r>
      <w:r w:rsidR="006914DE">
        <w:t>4.2.2.5.7</w:t>
      </w:r>
      <w:r w:rsidR="006914DE">
        <w:fldChar w:fldCharType="end"/>
      </w:r>
      <w:r w:rsidRPr="00D25391">
        <w:t>(1)</w:t>
      </w:r>
      <w:r w:rsidR="003B09B7">
        <w:t>)</w:t>
      </w:r>
      <w:r w:rsidRPr="00D25391">
        <w:t xml:space="preserve">.  Each individual JOU Share Resource, as described under Section </w:t>
      </w:r>
      <w:r w:rsidR="006914DE">
        <w:fldChar w:fldCharType="begin"/>
      </w:r>
      <w:r w:rsidR="006914DE">
        <w:instrText xml:space="preserve"> REF _Ref212620986 \r \h </w:instrText>
      </w:r>
      <w:r w:rsidR="006914DE">
        <w:fldChar w:fldCharType="separate"/>
      </w:r>
      <w:r w:rsidR="006914DE">
        <w:t>4.2.2.5.7</w:t>
      </w:r>
      <w:r w:rsidR="006914DE">
        <w:fldChar w:fldCharType="end"/>
      </w:r>
      <w:r w:rsidRPr="00D25391">
        <w:t xml:space="preserve">(2), must register as </w:t>
      </w:r>
      <w:r w:rsidR="003B09B7">
        <w:t>“</w:t>
      </w:r>
      <w:r w:rsidRPr="00D25391">
        <w:t>PLT”))</w:t>
      </w:r>
      <w:r w:rsidR="007B1BE5">
        <w:t>. A combined cycle Resource is not eligible to also register as a JOU using the Individual Resource Option</w:t>
      </w:r>
      <w:r w:rsidRPr="00D25391">
        <w:rPr>
          <w:szCs w:val="24"/>
        </w:rPr>
        <w:t>;</w:t>
      </w:r>
    </w:p>
    <w:p w14:paraId="5FCEE961" w14:textId="40BA87E6" w:rsidR="00BD64CF" w:rsidRPr="00D25391" w:rsidRDefault="00AC1D58" w:rsidP="00DA3CE7">
      <w:pPr>
        <w:numPr>
          <w:ilvl w:val="0"/>
          <w:numId w:val="212"/>
        </w:numPr>
        <w:tabs>
          <w:tab w:val="num" w:pos="720"/>
        </w:tabs>
        <w:spacing w:before="120" w:line="300" w:lineRule="auto"/>
        <w:ind w:left="720" w:hanging="540"/>
        <w:rPr>
          <w:szCs w:val="24"/>
        </w:rPr>
      </w:pPr>
      <w:r>
        <w:rPr>
          <w:szCs w:val="24"/>
        </w:rPr>
        <w:t xml:space="preserve">JOU - </w:t>
      </w:r>
      <w:r w:rsidR="00C56B07">
        <w:rPr>
          <w:szCs w:val="24"/>
        </w:rPr>
        <w:t>Combined Interest Resource</w:t>
      </w:r>
      <w:r>
        <w:rPr>
          <w:szCs w:val="24"/>
        </w:rPr>
        <w:t xml:space="preserve"> (CIR) Option</w:t>
      </w:r>
      <w:r w:rsidR="00C56B07">
        <w:rPr>
          <w:szCs w:val="24"/>
        </w:rPr>
        <w:t>;</w:t>
      </w:r>
    </w:p>
    <w:p w14:paraId="38DAC86A" w14:textId="2C9776A3" w:rsidR="000140CB" w:rsidRDefault="00BD64CF" w:rsidP="00DA3CE7">
      <w:pPr>
        <w:numPr>
          <w:ilvl w:val="0"/>
          <w:numId w:val="212"/>
        </w:numPr>
        <w:tabs>
          <w:tab w:val="num" w:pos="720"/>
        </w:tabs>
        <w:spacing w:before="120" w:line="300" w:lineRule="auto"/>
        <w:ind w:left="720" w:hanging="540"/>
        <w:rPr>
          <w:szCs w:val="24"/>
        </w:rPr>
      </w:pPr>
      <w:r>
        <w:rPr>
          <w:szCs w:val="24"/>
        </w:rPr>
        <w:t>Resource Aggregation</w:t>
      </w:r>
      <w:r w:rsidR="000140CB">
        <w:rPr>
          <w:szCs w:val="24"/>
        </w:rPr>
        <w:t>; and</w:t>
      </w:r>
    </w:p>
    <w:p w14:paraId="1FDC109F" w14:textId="2BD67F74" w:rsidR="00BD64CF" w:rsidRPr="00D25391" w:rsidRDefault="000140CB" w:rsidP="00DA3CE7">
      <w:pPr>
        <w:numPr>
          <w:ilvl w:val="0"/>
          <w:numId w:val="212"/>
        </w:numPr>
        <w:tabs>
          <w:tab w:val="num" w:pos="720"/>
        </w:tabs>
        <w:spacing w:before="120" w:line="300" w:lineRule="auto"/>
        <w:ind w:left="720" w:hanging="540"/>
        <w:rPr>
          <w:szCs w:val="24"/>
        </w:rPr>
      </w:pPr>
      <w:r>
        <w:rPr>
          <w:szCs w:val="24"/>
        </w:rPr>
        <w:t>Specified Source Resource</w:t>
      </w:r>
      <w:r w:rsidR="00BD64CF">
        <w:rPr>
          <w:szCs w:val="24"/>
        </w:rPr>
        <w:t>.</w:t>
      </w:r>
    </w:p>
    <w:p w14:paraId="58766A31" w14:textId="77777777" w:rsidR="00BD64CF" w:rsidRPr="00D25391" w:rsidRDefault="00BD64CF" w:rsidP="00BD64CF">
      <w:pPr>
        <w:spacing w:before="120" w:line="300" w:lineRule="auto"/>
        <w:rPr>
          <w:szCs w:val="24"/>
        </w:rPr>
      </w:pPr>
      <w:r>
        <w:rPr>
          <w:szCs w:val="24"/>
        </w:rPr>
        <w:t>T</w:t>
      </w:r>
      <w:r w:rsidRPr="00D25391">
        <w:rPr>
          <w:szCs w:val="24"/>
        </w:rPr>
        <w:t>he</w:t>
      </w:r>
      <w:r w:rsidRPr="00D25391" w:rsidDel="00720FEE">
        <w:rPr>
          <w:szCs w:val="24"/>
        </w:rPr>
        <w:t xml:space="preserve"> </w:t>
      </w:r>
      <w:r>
        <w:rPr>
          <w:szCs w:val="24"/>
        </w:rPr>
        <w:t>Market Participant</w:t>
      </w:r>
      <w:r w:rsidRPr="00D25391">
        <w:rPr>
          <w:szCs w:val="24"/>
        </w:rPr>
        <w:t xml:space="preserve"> must specify whether </w:t>
      </w:r>
      <w:r>
        <w:rPr>
          <w:szCs w:val="24"/>
        </w:rPr>
        <w:t xml:space="preserve">Resource </w:t>
      </w:r>
      <w:r w:rsidRPr="00D25391">
        <w:rPr>
          <w:szCs w:val="24"/>
        </w:rPr>
        <w:t>settlement Meter Data will be submitted on an hourly or 5-minute basis.</w:t>
      </w:r>
    </w:p>
    <w:p w14:paraId="51D4D01D" w14:textId="77777777" w:rsidR="00BD64CF" w:rsidRPr="00D25391" w:rsidRDefault="00BD64CF" w:rsidP="00781C61">
      <w:pPr>
        <w:pStyle w:val="Heading3"/>
        <w:rPr>
          <w:sz w:val="24"/>
          <w:szCs w:val="24"/>
        </w:rPr>
      </w:pPr>
      <w:bookmarkStart w:id="7137" w:name="_Toc263173437"/>
      <w:bookmarkStart w:id="7138" w:name="_Toc263173666"/>
      <w:bookmarkStart w:id="7139" w:name="_Toc263173854"/>
      <w:bookmarkStart w:id="7140" w:name="_Toc263174266"/>
      <w:bookmarkStart w:id="7141" w:name="_Toc263235172"/>
      <w:bookmarkStart w:id="7142" w:name="_Toc263235816"/>
      <w:bookmarkStart w:id="7143" w:name="_Toc263429559"/>
      <w:bookmarkStart w:id="7144" w:name="_Toc263795599"/>
      <w:bookmarkStart w:id="7145" w:name="_Toc266869775"/>
      <w:bookmarkStart w:id="7146" w:name="_Toc159233364"/>
      <w:bookmarkStart w:id="7147" w:name="_Toc167202571"/>
      <w:bookmarkStart w:id="7148" w:name="_Toc213772038"/>
      <w:r w:rsidRPr="00D25391">
        <w:t xml:space="preserve">Energy Production Prior to Completion of </w:t>
      </w:r>
      <w:r w:rsidRPr="00D25391">
        <w:rPr>
          <w:sz w:val="24"/>
          <w:szCs w:val="24"/>
        </w:rPr>
        <w:t>Market Registration</w:t>
      </w:r>
      <w:bookmarkEnd w:id="7137"/>
      <w:bookmarkEnd w:id="7138"/>
      <w:bookmarkEnd w:id="7139"/>
      <w:bookmarkEnd w:id="7140"/>
      <w:bookmarkEnd w:id="7141"/>
      <w:bookmarkEnd w:id="7142"/>
      <w:bookmarkEnd w:id="7143"/>
      <w:bookmarkEnd w:id="7144"/>
      <w:bookmarkEnd w:id="7145"/>
      <w:bookmarkEnd w:id="7146"/>
      <w:bookmarkEnd w:id="7147"/>
      <w:bookmarkEnd w:id="7148"/>
    </w:p>
    <w:p w14:paraId="6C40BB1B" w14:textId="4EFC64C9" w:rsidR="00BD64CF" w:rsidRPr="00D25391" w:rsidRDefault="00BD64CF" w:rsidP="00BD64CF">
      <w:pPr>
        <w:spacing w:before="120" w:line="300" w:lineRule="auto"/>
        <w:rPr>
          <w:szCs w:val="24"/>
        </w:rPr>
      </w:pPr>
      <w:r w:rsidRPr="00D25391">
        <w:rPr>
          <w:szCs w:val="24"/>
        </w:rPr>
        <w:t xml:space="preserve">Market Participants will be allowed to generate </w:t>
      </w:r>
      <w:r w:rsidR="000140CB">
        <w:rPr>
          <w:szCs w:val="24"/>
        </w:rPr>
        <w:t>E</w:t>
      </w:r>
      <w:r w:rsidRPr="00D25391">
        <w:rPr>
          <w:szCs w:val="24"/>
        </w:rPr>
        <w:t xml:space="preserve">nergy prior to the effective date of a submitted market registration </w:t>
      </w:r>
      <w:r>
        <w:rPr>
          <w:szCs w:val="24"/>
        </w:rPr>
        <w:t>request</w:t>
      </w:r>
      <w:r w:rsidRPr="00D25391">
        <w:rPr>
          <w:szCs w:val="24"/>
        </w:rPr>
        <w:t xml:space="preserve"> </w:t>
      </w:r>
      <w:r>
        <w:rPr>
          <w:szCs w:val="24"/>
        </w:rPr>
        <w:t>if all of the following conditions are met</w:t>
      </w:r>
      <w:r w:rsidRPr="00D25391">
        <w:rPr>
          <w:szCs w:val="24"/>
        </w:rPr>
        <w:t>:</w:t>
      </w:r>
    </w:p>
    <w:p w14:paraId="0A56DB18" w14:textId="77777777" w:rsidR="00BD64CF" w:rsidRPr="00D25391" w:rsidRDefault="00BD64CF" w:rsidP="00DA3CE7">
      <w:pPr>
        <w:numPr>
          <w:ilvl w:val="0"/>
          <w:numId w:val="196"/>
        </w:numPr>
        <w:spacing w:before="120" w:line="300" w:lineRule="auto"/>
        <w:ind w:left="734" w:hanging="547"/>
        <w:rPr>
          <w:szCs w:val="24"/>
        </w:rPr>
      </w:pPr>
      <w:r w:rsidRPr="00D25391">
        <w:rPr>
          <w:szCs w:val="24"/>
        </w:rPr>
        <w:t xml:space="preserve">The Market Participant, or its agent, has submitted a completed registration </w:t>
      </w:r>
      <w:r>
        <w:rPr>
          <w:szCs w:val="24"/>
        </w:rPr>
        <w:t>request</w:t>
      </w:r>
      <w:r w:rsidRPr="00D25391">
        <w:rPr>
          <w:szCs w:val="24"/>
        </w:rPr>
        <w:t xml:space="preserve"> so that the Resource will be registered and recognized in </w:t>
      </w:r>
      <w:r>
        <w:rPr>
          <w:szCs w:val="24"/>
        </w:rPr>
        <w:t>Market Operator</w:t>
      </w:r>
      <w:r w:rsidRPr="00D25391">
        <w:rPr>
          <w:szCs w:val="24"/>
        </w:rPr>
        <w:t xml:space="preserve"> market systems on the next model update;  </w:t>
      </w:r>
    </w:p>
    <w:p w14:paraId="411FEAEE" w14:textId="33457914" w:rsidR="00BD64CF" w:rsidRPr="00D25391" w:rsidRDefault="00BD64CF" w:rsidP="00DA3CE7">
      <w:pPr>
        <w:numPr>
          <w:ilvl w:val="0"/>
          <w:numId w:val="196"/>
        </w:numPr>
        <w:spacing w:before="120" w:line="300" w:lineRule="auto"/>
        <w:ind w:left="734" w:hanging="547"/>
        <w:rPr>
          <w:szCs w:val="24"/>
        </w:rPr>
      </w:pPr>
      <w:r w:rsidRPr="00D25391">
        <w:rPr>
          <w:szCs w:val="24"/>
        </w:rPr>
        <w:t xml:space="preserve">If real-time data is not being provided via telemetry to </w:t>
      </w:r>
      <w:r>
        <w:rPr>
          <w:szCs w:val="24"/>
        </w:rPr>
        <w:t>the Market Operator</w:t>
      </w:r>
      <w:r w:rsidRPr="00D25391">
        <w:rPr>
          <w:szCs w:val="24"/>
        </w:rPr>
        <w:t xml:space="preserve">, the Market Participant or its agent </w:t>
      </w:r>
      <w:r>
        <w:rPr>
          <w:szCs w:val="24"/>
        </w:rPr>
        <w:t>must</w:t>
      </w:r>
      <w:r w:rsidRPr="00D25391">
        <w:rPr>
          <w:szCs w:val="24"/>
        </w:rPr>
        <w:t xml:space="preserve"> provide hourly updates of current output and expected output for each 5-minute interval of the upcoming hour.  The actual five (5) minute output for the previous hour </w:t>
      </w:r>
      <w:r>
        <w:rPr>
          <w:szCs w:val="24"/>
        </w:rPr>
        <w:t>must</w:t>
      </w:r>
      <w:r w:rsidRPr="00D25391">
        <w:rPr>
          <w:szCs w:val="24"/>
        </w:rPr>
        <w:t xml:space="preserve"> also be provided; </w:t>
      </w:r>
    </w:p>
    <w:p w14:paraId="008483AF" w14:textId="43B351E1" w:rsidR="00BD64CF" w:rsidRPr="00D25391" w:rsidRDefault="00BD64CF" w:rsidP="00DA3CE7">
      <w:pPr>
        <w:numPr>
          <w:ilvl w:val="0"/>
          <w:numId w:val="196"/>
        </w:numPr>
        <w:spacing w:before="120" w:line="300" w:lineRule="auto"/>
        <w:ind w:left="734" w:hanging="547"/>
        <w:rPr>
          <w:szCs w:val="24"/>
        </w:rPr>
      </w:pPr>
      <w:r w:rsidRPr="00D25391">
        <w:rPr>
          <w:szCs w:val="24"/>
        </w:rPr>
        <w:t xml:space="preserve">If the </w:t>
      </w:r>
      <w:r w:rsidR="00F84818">
        <w:rPr>
          <w:szCs w:val="24"/>
        </w:rPr>
        <w:t>E</w:t>
      </w:r>
      <w:r w:rsidRPr="00D25391">
        <w:rPr>
          <w:szCs w:val="24"/>
        </w:rPr>
        <w:t xml:space="preserve">nergy production is expected to contribute to any real-time reliability issues on the transmission system, interruption must occur </w:t>
      </w:r>
      <w:r>
        <w:rPr>
          <w:szCs w:val="24"/>
        </w:rPr>
        <w:t xml:space="preserve">as directed by </w:t>
      </w:r>
      <w:r w:rsidRPr="00D25391">
        <w:rPr>
          <w:szCs w:val="24"/>
        </w:rPr>
        <w:t xml:space="preserve">the </w:t>
      </w:r>
      <w:r>
        <w:rPr>
          <w:szCs w:val="24"/>
        </w:rPr>
        <w:t xml:space="preserve">RC and/or </w:t>
      </w:r>
      <w:r w:rsidR="00F84818">
        <w:rPr>
          <w:szCs w:val="24"/>
        </w:rPr>
        <w:t xml:space="preserve">the </w:t>
      </w:r>
      <w:r w:rsidRPr="00D25391">
        <w:rPr>
          <w:szCs w:val="24"/>
        </w:rPr>
        <w:t>BA</w:t>
      </w:r>
      <w:r>
        <w:rPr>
          <w:szCs w:val="24"/>
        </w:rPr>
        <w:t xml:space="preserve"> </w:t>
      </w:r>
      <w:r w:rsidRPr="00D25391">
        <w:rPr>
          <w:szCs w:val="24"/>
        </w:rPr>
        <w:t>internal to the Markets+</w:t>
      </w:r>
      <w:r>
        <w:rPr>
          <w:szCs w:val="24"/>
        </w:rPr>
        <w:t xml:space="preserve"> </w:t>
      </w:r>
      <w:r w:rsidRPr="00D25391">
        <w:rPr>
          <w:szCs w:val="24"/>
        </w:rPr>
        <w:t>Foo</w:t>
      </w:r>
      <w:r>
        <w:rPr>
          <w:szCs w:val="24"/>
        </w:rPr>
        <w:t>t</w:t>
      </w:r>
      <w:r w:rsidRPr="00D25391">
        <w:rPr>
          <w:szCs w:val="24"/>
        </w:rPr>
        <w:t xml:space="preserve">print; </w:t>
      </w:r>
    </w:p>
    <w:p w14:paraId="76BC6E2B" w14:textId="50BD1BA2" w:rsidR="00BD64CF" w:rsidRPr="00D25391" w:rsidRDefault="00BD64CF" w:rsidP="00DA3CE7">
      <w:pPr>
        <w:numPr>
          <w:ilvl w:val="0"/>
          <w:numId w:val="196"/>
        </w:numPr>
        <w:spacing w:before="120" w:line="300" w:lineRule="auto"/>
        <w:ind w:left="734" w:hanging="547"/>
        <w:rPr>
          <w:szCs w:val="24"/>
        </w:rPr>
      </w:pPr>
      <w:r w:rsidRPr="00D25391">
        <w:rPr>
          <w:szCs w:val="24"/>
        </w:rPr>
        <w:t>Energy</w:t>
      </w:r>
      <w:r w:rsidRPr="00D25391" w:rsidDel="007368F8">
        <w:rPr>
          <w:szCs w:val="24"/>
        </w:rPr>
        <w:t xml:space="preserve"> </w:t>
      </w:r>
      <w:r w:rsidRPr="471E84AC">
        <w:rPr>
          <w:szCs w:val="24"/>
        </w:rPr>
        <w:t xml:space="preserve">will </w:t>
      </w:r>
      <w:r w:rsidRPr="00D25391">
        <w:rPr>
          <w:szCs w:val="24"/>
        </w:rPr>
        <w:t xml:space="preserve">be limited to a maximum of 10 MW, or a greater amount agreed to by </w:t>
      </w:r>
      <w:r>
        <w:rPr>
          <w:szCs w:val="24"/>
        </w:rPr>
        <w:t>the Market Operator</w:t>
      </w:r>
      <w:r w:rsidRPr="00D25391">
        <w:rPr>
          <w:szCs w:val="24"/>
        </w:rPr>
        <w:t xml:space="preserve"> and interconnect</w:t>
      </w:r>
      <w:r>
        <w:rPr>
          <w:szCs w:val="24"/>
        </w:rPr>
        <w:t>ed</w:t>
      </w:r>
      <w:r w:rsidRPr="00D25391">
        <w:rPr>
          <w:szCs w:val="24"/>
        </w:rPr>
        <w:t xml:space="preserve"> </w:t>
      </w:r>
      <w:r>
        <w:rPr>
          <w:szCs w:val="24"/>
        </w:rPr>
        <w:t xml:space="preserve">Markets+ </w:t>
      </w:r>
      <w:r w:rsidRPr="00D25391">
        <w:rPr>
          <w:szCs w:val="24"/>
        </w:rPr>
        <w:t xml:space="preserve">Transmission </w:t>
      </w:r>
      <w:r>
        <w:rPr>
          <w:szCs w:val="24"/>
        </w:rPr>
        <w:t>Service Provider</w:t>
      </w:r>
      <w:r w:rsidRPr="471E84AC">
        <w:rPr>
          <w:szCs w:val="24"/>
        </w:rPr>
        <w:t xml:space="preserve"> within the Markets+ Footprint</w:t>
      </w:r>
      <w:r w:rsidRPr="00D25391">
        <w:rPr>
          <w:szCs w:val="24"/>
        </w:rPr>
        <w:t xml:space="preserve">;  </w:t>
      </w:r>
    </w:p>
    <w:p w14:paraId="35DB5E29" w14:textId="5158FCEE" w:rsidR="00BD64CF" w:rsidRPr="00D25391" w:rsidRDefault="00BD64CF" w:rsidP="00DA3CE7">
      <w:pPr>
        <w:numPr>
          <w:ilvl w:val="0"/>
          <w:numId w:val="196"/>
        </w:numPr>
        <w:spacing w:before="120" w:line="300" w:lineRule="auto"/>
        <w:ind w:left="734" w:hanging="547"/>
        <w:rPr>
          <w:szCs w:val="24"/>
        </w:rPr>
      </w:pPr>
      <w:r w:rsidRPr="00D25391">
        <w:rPr>
          <w:szCs w:val="24"/>
        </w:rPr>
        <w:t>Energy generated under these provisions will not be settled in Market</w:t>
      </w:r>
      <w:r>
        <w:rPr>
          <w:szCs w:val="24"/>
        </w:rPr>
        <w:t>s</w:t>
      </w:r>
      <w:r w:rsidRPr="00D25391">
        <w:rPr>
          <w:szCs w:val="24"/>
        </w:rPr>
        <w:t xml:space="preserve">+.  </w:t>
      </w:r>
      <w:r>
        <w:rPr>
          <w:szCs w:val="24"/>
        </w:rPr>
        <w:t>The Market Operator</w:t>
      </w:r>
      <w:r w:rsidRPr="00D25391">
        <w:rPr>
          <w:szCs w:val="24"/>
        </w:rPr>
        <w:t xml:space="preserve"> will not be responsible for making any compensation to the generation owner or any Market Participant for the </w:t>
      </w:r>
      <w:r w:rsidR="00F84818">
        <w:rPr>
          <w:szCs w:val="24"/>
        </w:rPr>
        <w:t>E</w:t>
      </w:r>
      <w:r w:rsidRPr="00D25391">
        <w:rPr>
          <w:szCs w:val="24"/>
        </w:rPr>
        <w:t xml:space="preserve">nergy produced.  </w:t>
      </w:r>
    </w:p>
    <w:p w14:paraId="3BB8178C" w14:textId="77777777" w:rsidR="00BD64CF" w:rsidRPr="00D25391" w:rsidRDefault="00BD64CF" w:rsidP="00781C61">
      <w:pPr>
        <w:pStyle w:val="Heading3"/>
        <w:rPr>
          <w:sz w:val="24"/>
        </w:rPr>
      </w:pPr>
      <w:bookmarkStart w:id="7149" w:name="_Toc263173438"/>
      <w:bookmarkStart w:id="7150" w:name="_Toc263173667"/>
      <w:bookmarkStart w:id="7151" w:name="_Toc263173855"/>
      <w:bookmarkStart w:id="7152" w:name="_Toc263174267"/>
      <w:bookmarkStart w:id="7153" w:name="_Toc263235173"/>
      <w:bookmarkStart w:id="7154" w:name="_Toc263235817"/>
      <w:bookmarkStart w:id="7155" w:name="_Toc263429560"/>
      <w:bookmarkStart w:id="7156" w:name="_Toc263795600"/>
      <w:bookmarkStart w:id="7157" w:name="_Toc266869776"/>
      <w:bookmarkStart w:id="7158" w:name="_Toc159233365"/>
      <w:bookmarkStart w:id="7159" w:name="_Toc167202572"/>
      <w:bookmarkStart w:id="7160" w:name="_Toc213772039"/>
      <w:r w:rsidRPr="00D25391">
        <w:t>Common Bus</w:t>
      </w:r>
      <w:bookmarkEnd w:id="7149"/>
      <w:bookmarkEnd w:id="7150"/>
      <w:bookmarkEnd w:id="7151"/>
      <w:bookmarkEnd w:id="7152"/>
      <w:bookmarkEnd w:id="7153"/>
      <w:bookmarkEnd w:id="7154"/>
      <w:bookmarkEnd w:id="7155"/>
      <w:bookmarkEnd w:id="7156"/>
      <w:bookmarkEnd w:id="7157"/>
      <w:bookmarkEnd w:id="7158"/>
      <w:bookmarkEnd w:id="7159"/>
      <w:bookmarkEnd w:id="7160"/>
    </w:p>
    <w:p w14:paraId="206C28BB" w14:textId="77777777" w:rsidR="00BD64CF" w:rsidRPr="00D25391" w:rsidRDefault="00BD64CF" w:rsidP="00BD64CF">
      <w:pPr>
        <w:spacing w:line="300" w:lineRule="auto"/>
        <w:rPr>
          <w:szCs w:val="24"/>
        </w:rPr>
      </w:pPr>
      <w:r>
        <w:rPr>
          <w:szCs w:val="24"/>
        </w:rPr>
        <w:t>Market Participant</w:t>
      </w:r>
      <w:r w:rsidRPr="00D25391">
        <w:rPr>
          <w:szCs w:val="24"/>
        </w:rPr>
        <w:t xml:space="preserve">s </w:t>
      </w:r>
      <w:r>
        <w:rPr>
          <w:szCs w:val="24"/>
        </w:rPr>
        <w:t>with</w:t>
      </w:r>
      <w:r w:rsidRPr="00D25391">
        <w:rPr>
          <w:szCs w:val="24"/>
        </w:rPr>
        <w:t xml:space="preserve"> Resources located at an electrically equivalent bus may elect Common Bus treatment for these Resources.  </w:t>
      </w:r>
      <w:r>
        <w:rPr>
          <w:szCs w:val="24"/>
        </w:rPr>
        <w:t>The Market Operator</w:t>
      </w:r>
      <w:r w:rsidRPr="00D25391">
        <w:rPr>
          <w:szCs w:val="24"/>
        </w:rPr>
        <w:t xml:space="preserve"> will verify that the specified Resources are located at an electrically equivalent bus prior to creating the Common Bus relationship in the Commercial Model.  </w:t>
      </w:r>
    </w:p>
    <w:p w14:paraId="706363B9" w14:textId="77777777" w:rsidR="00BD64CF" w:rsidRPr="00D25391" w:rsidRDefault="00BD64CF" w:rsidP="00781C61">
      <w:pPr>
        <w:pStyle w:val="Heading3"/>
        <w:rPr>
          <w:sz w:val="24"/>
        </w:rPr>
      </w:pPr>
      <w:bookmarkStart w:id="7161" w:name="_Toc263173439"/>
      <w:bookmarkStart w:id="7162" w:name="_Toc263173668"/>
      <w:bookmarkStart w:id="7163" w:name="_Toc263173856"/>
      <w:bookmarkStart w:id="7164" w:name="_Toc263174268"/>
      <w:bookmarkStart w:id="7165" w:name="_Toc263235174"/>
      <w:bookmarkStart w:id="7166" w:name="_Toc263235818"/>
      <w:bookmarkStart w:id="7167" w:name="_Toc263429561"/>
      <w:bookmarkStart w:id="7168" w:name="_Toc263795601"/>
      <w:bookmarkStart w:id="7169" w:name="_Toc266869777"/>
      <w:bookmarkStart w:id="7170" w:name="_Toc159233366"/>
      <w:bookmarkStart w:id="7171" w:name="_Toc167202573"/>
      <w:bookmarkStart w:id="7172" w:name="_Toc213772040"/>
      <w:r w:rsidRPr="00D25391">
        <w:t>Dispatchable Demand Response Resource</w:t>
      </w:r>
      <w:bookmarkEnd w:id="7161"/>
      <w:bookmarkEnd w:id="7162"/>
      <w:bookmarkEnd w:id="7163"/>
      <w:bookmarkEnd w:id="7164"/>
      <w:bookmarkEnd w:id="7165"/>
      <w:bookmarkEnd w:id="7166"/>
      <w:bookmarkEnd w:id="7167"/>
      <w:bookmarkEnd w:id="7168"/>
      <w:bookmarkEnd w:id="7169"/>
      <w:bookmarkEnd w:id="7170"/>
      <w:bookmarkEnd w:id="7171"/>
      <w:bookmarkEnd w:id="7172"/>
    </w:p>
    <w:p w14:paraId="2FF5AF96" w14:textId="5DEC0848" w:rsidR="00BD64CF" w:rsidRPr="00D25391" w:rsidRDefault="00BD64CF" w:rsidP="00BD64CF">
      <w:pPr>
        <w:spacing w:line="300" w:lineRule="auto"/>
        <w:rPr>
          <w:szCs w:val="24"/>
        </w:rPr>
      </w:pPr>
      <w:r w:rsidRPr="00D25391">
        <w:rPr>
          <w:szCs w:val="24"/>
        </w:rPr>
        <w:t xml:space="preserve">In addition to the responsibilities described under Section </w:t>
      </w:r>
      <w:r w:rsidRPr="00D25391">
        <w:rPr>
          <w:szCs w:val="24"/>
        </w:rPr>
        <w:fldChar w:fldCharType="begin"/>
      </w:r>
      <w:r w:rsidRPr="00D25391">
        <w:rPr>
          <w:szCs w:val="24"/>
        </w:rPr>
        <w:instrText xml:space="preserve"> REF _Ref258931564 \r \h </w:instrText>
      </w:r>
      <w:r w:rsidRPr="00D25391">
        <w:rPr>
          <w:szCs w:val="24"/>
        </w:rPr>
      </w:r>
      <w:r w:rsidRPr="00D25391">
        <w:rPr>
          <w:szCs w:val="24"/>
        </w:rPr>
        <w:fldChar w:fldCharType="separate"/>
      </w:r>
      <w:r w:rsidRPr="00D25391">
        <w:rPr>
          <w:szCs w:val="24"/>
        </w:rPr>
        <w:t>9.1.1</w:t>
      </w:r>
      <w:r w:rsidRPr="00D25391">
        <w:rPr>
          <w:szCs w:val="24"/>
        </w:rPr>
        <w:fldChar w:fldCharType="end"/>
      </w:r>
      <w:r w:rsidRPr="00D25391">
        <w:rPr>
          <w:szCs w:val="24"/>
        </w:rPr>
        <w:t xml:space="preserve">, Market Participants registering a Dispatchable Demand Response </w:t>
      </w:r>
      <w:r w:rsidR="006C27A4">
        <w:rPr>
          <w:szCs w:val="24"/>
        </w:rPr>
        <w:t>Resource</w:t>
      </w:r>
      <w:r w:rsidRPr="00D25391">
        <w:rPr>
          <w:szCs w:val="24"/>
        </w:rPr>
        <w:t xml:space="preserve"> (DDR</w:t>
      </w:r>
      <w:r w:rsidR="006C27A4">
        <w:rPr>
          <w:szCs w:val="24"/>
        </w:rPr>
        <w:t>R</w:t>
      </w:r>
      <w:r w:rsidRPr="00D25391">
        <w:rPr>
          <w:szCs w:val="24"/>
        </w:rPr>
        <w:t>) must:</w:t>
      </w:r>
    </w:p>
    <w:p w14:paraId="7F5DDF3C" w14:textId="77777777" w:rsidR="00BD64CF" w:rsidRPr="00D25391" w:rsidRDefault="00BD64CF" w:rsidP="00DA3CE7">
      <w:pPr>
        <w:numPr>
          <w:ilvl w:val="0"/>
          <w:numId w:val="284"/>
        </w:numPr>
        <w:tabs>
          <w:tab w:val="num" w:pos="720"/>
        </w:tabs>
        <w:spacing w:line="300" w:lineRule="auto"/>
        <w:ind w:left="720" w:hanging="540"/>
        <w:rPr>
          <w:szCs w:val="24"/>
        </w:rPr>
      </w:pPr>
      <w:r w:rsidRPr="00D25391">
        <w:rPr>
          <w:szCs w:val="24"/>
        </w:rPr>
        <w:t>Identify an associated Demand Response Load Meter Settlement</w:t>
      </w:r>
      <w:r w:rsidRPr="677820EF">
        <w:rPr>
          <w:szCs w:val="24"/>
        </w:rPr>
        <w:t xml:space="preserve"> </w:t>
      </w:r>
      <w:r w:rsidRPr="00D25391">
        <w:rPr>
          <w:szCs w:val="24"/>
        </w:rPr>
        <w:t>Location;</w:t>
      </w:r>
    </w:p>
    <w:p w14:paraId="4F4A0784" w14:textId="77777777" w:rsidR="00BD64CF" w:rsidRPr="00D25391" w:rsidRDefault="00BD64CF" w:rsidP="00DA3CE7">
      <w:pPr>
        <w:numPr>
          <w:ilvl w:val="0"/>
          <w:numId w:val="284"/>
        </w:numPr>
        <w:tabs>
          <w:tab w:val="num" w:pos="720"/>
        </w:tabs>
        <w:spacing w:line="300" w:lineRule="auto"/>
        <w:ind w:left="720" w:hanging="540"/>
        <w:rPr>
          <w:szCs w:val="24"/>
        </w:rPr>
      </w:pPr>
      <w:r w:rsidRPr="00D25391">
        <w:rPr>
          <w:szCs w:val="24"/>
        </w:rPr>
        <w:t>Identify an associated Dispatchable Demand Response Load Settlement Location;</w:t>
      </w:r>
    </w:p>
    <w:p w14:paraId="660F4391" w14:textId="4306997C" w:rsidR="00BD64CF" w:rsidRPr="00D25391" w:rsidRDefault="00BD64CF" w:rsidP="00DA3CE7">
      <w:pPr>
        <w:numPr>
          <w:ilvl w:val="0"/>
          <w:numId w:val="284"/>
        </w:numPr>
        <w:tabs>
          <w:tab w:val="num" w:pos="720"/>
        </w:tabs>
        <w:spacing w:line="300" w:lineRule="auto"/>
        <w:ind w:left="720" w:hanging="540"/>
        <w:rPr>
          <w:szCs w:val="24"/>
        </w:rPr>
      </w:pPr>
      <w:r w:rsidRPr="00D25391">
        <w:rPr>
          <w:szCs w:val="24"/>
        </w:rPr>
        <w:t xml:space="preserve">Specify one of the following two options for calculation of the </w:t>
      </w:r>
      <w:r w:rsidR="006C27A4">
        <w:rPr>
          <w:szCs w:val="24"/>
        </w:rPr>
        <w:t>DDRR</w:t>
      </w:r>
      <w:r w:rsidRPr="00D25391">
        <w:rPr>
          <w:szCs w:val="24"/>
        </w:rPr>
        <w:t xml:space="preserve"> output as described under Section </w:t>
      </w:r>
      <w:r w:rsidRPr="00D25391">
        <w:rPr>
          <w:szCs w:val="24"/>
        </w:rPr>
        <w:fldChar w:fldCharType="begin"/>
      </w:r>
      <w:r w:rsidRPr="00D25391">
        <w:rPr>
          <w:szCs w:val="24"/>
        </w:rPr>
        <w:instrText xml:space="preserve"> REF _Ref260209804 \r \h </w:instrText>
      </w:r>
      <w:r w:rsidRPr="00D25391">
        <w:rPr>
          <w:szCs w:val="24"/>
        </w:rPr>
      </w:r>
      <w:r w:rsidRPr="00D25391">
        <w:rPr>
          <w:szCs w:val="24"/>
        </w:rPr>
        <w:fldChar w:fldCharType="separate"/>
      </w:r>
      <w:r w:rsidRPr="00D25391">
        <w:rPr>
          <w:szCs w:val="24"/>
        </w:rPr>
        <w:t>4.2.2.5.1</w:t>
      </w:r>
      <w:r w:rsidRPr="00D25391">
        <w:rPr>
          <w:szCs w:val="24"/>
        </w:rPr>
        <w:fldChar w:fldCharType="end"/>
      </w:r>
      <w:r w:rsidRPr="00D25391">
        <w:rPr>
          <w:szCs w:val="24"/>
        </w:rPr>
        <w:t>:</w:t>
      </w:r>
    </w:p>
    <w:p w14:paraId="72A0121A" w14:textId="309CA1C9" w:rsidR="00BD64CF" w:rsidRPr="00D25391" w:rsidRDefault="00BD64CF" w:rsidP="00DA3CE7">
      <w:pPr>
        <w:numPr>
          <w:ilvl w:val="0"/>
          <w:numId w:val="285"/>
        </w:numPr>
        <w:tabs>
          <w:tab w:val="num" w:pos="1440"/>
        </w:tabs>
        <w:spacing w:before="120" w:line="300" w:lineRule="auto"/>
        <w:ind w:left="1440" w:hanging="540"/>
        <w:rPr>
          <w:szCs w:val="24"/>
        </w:rPr>
      </w:pPr>
      <w:r w:rsidRPr="00D25391">
        <w:rPr>
          <w:szCs w:val="24"/>
        </w:rPr>
        <w:t>Submitted Resource production option;</w:t>
      </w:r>
      <w:r w:rsidR="00D159CE">
        <w:rPr>
          <w:szCs w:val="24"/>
        </w:rPr>
        <w:t xml:space="preserve"> or</w:t>
      </w:r>
      <w:r w:rsidRPr="00D25391">
        <w:rPr>
          <w:szCs w:val="24"/>
        </w:rPr>
        <w:t xml:space="preserve"> </w:t>
      </w:r>
    </w:p>
    <w:p w14:paraId="01E35607" w14:textId="77777777" w:rsidR="00BD64CF" w:rsidRPr="00D25391" w:rsidRDefault="00BD64CF" w:rsidP="00DA3CE7">
      <w:pPr>
        <w:numPr>
          <w:ilvl w:val="0"/>
          <w:numId w:val="285"/>
        </w:numPr>
        <w:tabs>
          <w:tab w:val="num" w:pos="1440"/>
        </w:tabs>
        <w:spacing w:before="120" w:line="300" w:lineRule="auto"/>
        <w:ind w:left="1440" w:hanging="540"/>
        <w:rPr>
          <w:szCs w:val="24"/>
        </w:rPr>
      </w:pPr>
      <w:r w:rsidRPr="00D25391">
        <w:rPr>
          <w:szCs w:val="24"/>
        </w:rPr>
        <w:t>Calculated Resource production option.</w:t>
      </w:r>
    </w:p>
    <w:p w14:paraId="0967F149" w14:textId="77777777" w:rsidR="00BD64CF" w:rsidRPr="00D25391" w:rsidRDefault="00BD64CF" w:rsidP="00BD64CF">
      <w:pPr>
        <w:spacing w:before="120" w:line="300" w:lineRule="auto"/>
        <w:ind w:left="720" w:hanging="540"/>
        <w:rPr>
          <w:szCs w:val="24"/>
        </w:rPr>
      </w:pPr>
      <w:r w:rsidRPr="00D25391">
        <w:rPr>
          <w:szCs w:val="24"/>
        </w:rPr>
        <w:t>(4)</w:t>
      </w:r>
      <w:r w:rsidRPr="00D25391">
        <w:rPr>
          <w:szCs w:val="24"/>
        </w:rPr>
        <w:tab/>
        <w:t>Submit a letter of attestation certifying</w:t>
      </w:r>
      <w:r>
        <w:rPr>
          <w:szCs w:val="24"/>
        </w:rPr>
        <w:t>:</w:t>
      </w:r>
    </w:p>
    <w:p w14:paraId="73A02D79" w14:textId="6B829427" w:rsidR="00BD64CF" w:rsidRPr="00D25391" w:rsidRDefault="00BD64CF" w:rsidP="00BD64CF">
      <w:pPr>
        <w:spacing w:before="120" w:line="300" w:lineRule="auto"/>
        <w:ind w:left="720" w:hanging="810"/>
        <w:rPr>
          <w:szCs w:val="24"/>
        </w:rPr>
      </w:pPr>
      <w:r w:rsidRPr="00D25391">
        <w:rPr>
          <w:szCs w:val="24"/>
        </w:rPr>
        <w:tab/>
        <w:t xml:space="preserve">(a) The </w:t>
      </w:r>
      <w:r w:rsidR="006C27A4">
        <w:rPr>
          <w:szCs w:val="24"/>
        </w:rPr>
        <w:t>DDRR</w:t>
      </w:r>
      <w:r w:rsidRPr="00D25391">
        <w:rPr>
          <w:szCs w:val="24"/>
        </w:rPr>
        <w:t>’s participation in Markets+ is not legally or contractually precluded;</w:t>
      </w:r>
    </w:p>
    <w:p w14:paraId="62FD7561" w14:textId="75BA4920" w:rsidR="00BD64CF" w:rsidRPr="00D25391" w:rsidRDefault="00BD64CF" w:rsidP="00BD64CF">
      <w:pPr>
        <w:spacing w:before="120" w:line="300" w:lineRule="auto"/>
        <w:ind w:left="720"/>
        <w:rPr>
          <w:szCs w:val="24"/>
        </w:rPr>
      </w:pPr>
      <w:r w:rsidRPr="00D25391">
        <w:rPr>
          <w:szCs w:val="24"/>
        </w:rPr>
        <w:t xml:space="preserve">(b) The registered capacity of the </w:t>
      </w:r>
      <w:r w:rsidR="006C27A4">
        <w:rPr>
          <w:szCs w:val="24"/>
        </w:rPr>
        <w:t>DDRR</w:t>
      </w:r>
      <w:r w:rsidRPr="00D25391">
        <w:rPr>
          <w:szCs w:val="24"/>
        </w:rPr>
        <w:t xml:space="preserve"> does not exceed the maximum hourly load observed during the previous year for that load; and</w:t>
      </w:r>
    </w:p>
    <w:p w14:paraId="308CF3AA" w14:textId="02D3C801" w:rsidR="00BD64CF" w:rsidRPr="00D25391" w:rsidRDefault="00BD64CF" w:rsidP="00BD64CF">
      <w:pPr>
        <w:spacing w:before="120" w:line="300" w:lineRule="auto"/>
        <w:ind w:left="720" w:hanging="540"/>
        <w:rPr>
          <w:szCs w:val="24"/>
        </w:rPr>
      </w:pPr>
      <w:r w:rsidRPr="00D25391">
        <w:rPr>
          <w:szCs w:val="24"/>
        </w:rPr>
        <w:tab/>
        <w:t xml:space="preserve">(c) The load being registered as a </w:t>
      </w:r>
      <w:r w:rsidR="006C27A4">
        <w:rPr>
          <w:szCs w:val="24"/>
        </w:rPr>
        <w:t>DDRR</w:t>
      </w:r>
      <w:r w:rsidRPr="00D25391">
        <w:rPr>
          <w:szCs w:val="24"/>
        </w:rPr>
        <w:t xml:space="preserve"> is not Critical Load.</w:t>
      </w:r>
    </w:p>
    <w:p w14:paraId="2A6C8A0A" w14:textId="69ADF38A" w:rsidR="00BD64CF" w:rsidRPr="00D25391" w:rsidRDefault="00BD64CF" w:rsidP="00BD64CF">
      <w:pPr>
        <w:spacing w:line="300" w:lineRule="auto"/>
        <w:rPr>
          <w:szCs w:val="24"/>
        </w:rPr>
      </w:pPr>
      <w:r w:rsidRPr="00D25391">
        <w:rPr>
          <w:szCs w:val="24"/>
        </w:rPr>
        <w:t xml:space="preserve">As a part of the registration process, </w:t>
      </w:r>
      <w:r>
        <w:rPr>
          <w:szCs w:val="24"/>
        </w:rPr>
        <w:t>the Market Operator</w:t>
      </w:r>
      <w:r w:rsidRPr="00D25391">
        <w:rPr>
          <w:szCs w:val="24"/>
        </w:rPr>
        <w:t xml:space="preserve"> </w:t>
      </w:r>
      <w:r w:rsidR="00D159CE">
        <w:rPr>
          <w:szCs w:val="24"/>
        </w:rPr>
        <w:t>will notify</w:t>
      </w:r>
      <w:r w:rsidRPr="00D25391">
        <w:rPr>
          <w:szCs w:val="24"/>
        </w:rPr>
        <w:t xml:space="preserve"> the applicable retail provider, the relevant electric retail regulatory authority, and the Market Participant representing any existing load asset at the </w:t>
      </w:r>
      <w:r w:rsidR="006C27A4">
        <w:rPr>
          <w:szCs w:val="24"/>
        </w:rPr>
        <w:t>DDRR</w:t>
      </w:r>
      <w:r w:rsidRPr="00D25391">
        <w:rPr>
          <w:szCs w:val="24"/>
        </w:rPr>
        <w:t xml:space="preserve">’s associated </w:t>
      </w:r>
      <w:r w:rsidR="002D623C">
        <w:rPr>
          <w:szCs w:val="24"/>
        </w:rPr>
        <w:t>Pnode</w:t>
      </w:r>
      <w:r w:rsidRPr="00D25391">
        <w:rPr>
          <w:szCs w:val="24"/>
        </w:rPr>
        <w:t xml:space="preserve"> or A</w:t>
      </w:r>
      <w:r w:rsidR="002D623C">
        <w:rPr>
          <w:szCs w:val="24"/>
        </w:rPr>
        <w:t>Pnode</w:t>
      </w:r>
      <w:r w:rsidRPr="00D25391">
        <w:rPr>
          <w:szCs w:val="24"/>
        </w:rPr>
        <w:t xml:space="preserve"> of the pending registration, the maximum level of participation, the asset’s associated </w:t>
      </w:r>
      <w:r w:rsidR="002D623C">
        <w:rPr>
          <w:szCs w:val="24"/>
        </w:rPr>
        <w:t>Pnode</w:t>
      </w:r>
      <w:r w:rsidRPr="00D25391">
        <w:rPr>
          <w:szCs w:val="24"/>
        </w:rPr>
        <w:t xml:space="preserve"> or A</w:t>
      </w:r>
      <w:r w:rsidR="002D623C">
        <w:rPr>
          <w:szCs w:val="24"/>
        </w:rPr>
        <w:t>Pnode</w:t>
      </w:r>
      <w:r w:rsidRPr="00D25391">
        <w:rPr>
          <w:szCs w:val="24"/>
        </w:rPr>
        <w:t xml:space="preserve">, the requested effective date, and the load Settlement Location name. Additional notification will be provided if modifications are made to the expected MW level of participation. </w:t>
      </w:r>
      <w:r w:rsidR="00695E60">
        <w:rPr>
          <w:szCs w:val="24"/>
        </w:rPr>
        <w:t xml:space="preserve">Forty-five (45) </w:t>
      </w:r>
      <w:r w:rsidR="003C2775">
        <w:rPr>
          <w:szCs w:val="24"/>
        </w:rPr>
        <w:t>B</w:t>
      </w:r>
      <w:r w:rsidR="00695E60">
        <w:rPr>
          <w:szCs w:val="24"/>
        </w:rPr>
        <w:t xml:space="preserve">usiness </w:t>
      </w:r>
      <w:r w:rsidR="003C2775">
        <w:rPr>
          <w:szCs w:val="24"/>
        </w:rPr>
        <w:t>D</w:t>
      </w:r>
      <w:r w:rsidR="00695E60">
        <w:rPr>
          <w:szCs w:val="24"/>
        </w:rPr>
        <w:t>ays after either notification is sent or upon receipt of affirmed data verification, whichever is earlier, the registration process will proceed unless the registration is contested.</w:t>
      </w:r>
    </w:p>
    <w:p w14:paraId="20F86DD6" w14:textId="77777777" w:rsidR="00BD64CF" w:rsidRPr="00D25391" w:rsidRDefault="00BD64CF" w:rsidP="00BD64CF">
      <w:pPr>
        <w:tabs>
          <w:tab w:val="num" w:pos="4201"/>
        </w:tabs>
        <w:spacing w:line="300" w:lineRule="auto"/>
        <w:rPr>
          <w:szCs w:val="24"/>
        </w:rPr>
      </w:pPr>
      <w:r w:rsidRPr="00D25391">
        <w:rPr>
          <w:szCs w:val="24"/>
        </w:rPr>
        <w:t xml:space="preserve">If either the relevant electric retail regulatory authority or an applicable retail provider disputes the accuracy of the pending registration information or attestations, </w:t>
      </w:r>
      <w:r>
        <w:rPr>
          <w:szCs w:val="24"/>
        </w:rPr>
        <w:t>the Market Operator</w:t>
      </w:r>
      <w:r w:rsidRPr="00D25391">
        <w:rPr>
          <w:szCs w:val="24"/>
        </w:rPr>
        <w:t xml:space="preserve"> may pause the Resource’s registration, prohibit the Resource in question from participating in Markets+, or not accept the modification until the issue is resolved between the Market Participant and the disputing entity.</w:t>
      </w:r>
    </w:p>
    <w:p w14:paraId="759A7A2A" w14:textId="64130085" w:rsidR="00BD64CF" w:rsidRPr="00D25391" w:rsidRDefault="00BD64CF" w:rsidP="00BD64CF">
      <w:pPr>
        <w:spacing w:line="300" w:lineRule="auto"/>
        <w:rPr>
          <w:szCs w:val="24"/>
        </w:rPr>
      </w:pPr>
      <w:r w:rsidRPr="00D25391">
        <w:rPr>
          <w:szCs w:val="24"/>
        </w:rPr>
        <w:t>If agreement has not been reached between the registering Market Participant, retail regulatory authority, and the retail provider, when applicable, within</w:t>
      </w:r>
      <w:r w:rsidR="00D159CE">
        <w:rPr>
          <w:szCs w:val="24"/>
        </w:rPr>
        <w:t xml:space="preserve"> ninety</w:t>
      </w:r>
      <w:r w:rsidRPr="00D25391">
        <w:rPr>
          <w:szCs w:val="24"/>
        </w:rPr>
        <w:t xml:space="preserve"> </w:t>
      </w:r>
      <w:r w:rsidR="00D159CE">
        <w:rPr>
          <w:szCs w:val="24"/>
        </w:rPr>
        <w:t>(</w:t>
      </w:r>
      <w:r w:rsidRPr="00D25391">
        <w:rPr>
          <w:szCs w:val="24"/>
        </w:rPr>
        <w:t>90</w:t>
      </w:r>
      <w:r w:rsidR="00D159CE">
        <w:rPr>
          <w:szCs w:val="24"/>
        </w:rPr>
        <w:t>)</w:t>
      </w:r>
      <w:r w:rsidRPr="00D25391">
        <w:rPr>
          <w:szCs w:val="24"/>
        </w:rPr>
        <w:t xml:space="preserve"> days of notification of dispute, the Resource’s pending registration or the modification to the existing registration may be cancelled.</w:t>
      </w:r>
    </w:p>
    <w:p w14:paraId="424D8BC7" w14:textId="5164EC6B" w:rsidR="00BD64CF" w:rsidRPr="00D25391" w:rsidRDefault="00BD64CF" w:rsidP="00BD64CF">
      <w:pPr>
        <w:spacing w:before="120" w:line="300" w:lineRule="auto"/>
        <w:rPr>
          <w:szCs w:val="24"/>
        </w:rPr>
      </w:pPr>
      <w:r w:rsidRPr="00D25391">
        <w:rPr>
          <w:szCs w:val="24"/>
        </w:rPr>
        <w:t xml:space="preserve">In the event that a Market Participant submits a request to terminate the registration of a </w:t>
      </w:r>
      <w:r w:rsidR="006C27A4">
        <w:rPr>
          <w:szCs w:val="24"/>
        </w:rPr>
        <w:t>DDRR</w:t>
      </w:r>
      <w:r w:rsidRPr="00D25391">
        <w:rPr>
          <w:szCs w:val="24"/>
        </w:rPr>
        <w:t xml:space="preserve">, </w:t>
      </w:r>
      <w:r>
        <w:rPr>
          <w:szCs w:val="24"/>
        </w:rPr>
        <w:t>the Market Operator</w:t>
      </w:r>
      <w:r w:rsidRPr="00D25391">
        <w:rPr>
          <w:szCs w:val="24"/>
        </w:rPr>
        <w:t xml:space="preserve"> will notify the applicable retail provider and the relevant electric retail regulatory authority.</w:t>
      </w:r>
    </w:p>
    <w:p w14:paraId="33F82823" w14:textId="472FE569" w:rsidR="00BD64CF" w:rsidRPr="00D25391" w:rsidRDefault="00BD64CF" w:rsidP="00781C61">
      <w:pPr>
        <w:pStyle w:val="Heading3"/>
        <w:rPr>
          <w:sz w:val="24"/>
        </w:rPr>
      </w:pPr>
      <w:bookmarkStart w:id="7173" w:name="_Toc213772041"/>
      <w:bookmarkStart w:id="7174" w:name="_Ref258933022"/>
      <w:bookmarkStart w:id="7175" w:name="_Ref260817796"/>
      <w:bookmarkStart w:id="7176" w:name="_Ref260817822"/>
      <w:bookmarkStart w:id="7177" w:name="_Toc263173441"/>
      <w:bookmarkStart w:id="7178" w:name="_Toc263173670"/>
      <w:bookmarkStart w:id="7179" w:name="_Toc263173858"/>
      <w:bookmarkStart w:id="7180" w:name="_Toc263174270"/>
      <w:bookmarkStart w:id="7181" w:name="_Toc263235176"/>
      <w:bookmarkStart w:id="7182" w:name="_Toc263235820"/>
      <w:bookmarkStart w:id="7183" w:name="_Toc263429563"/>
      <w:bookmarkStart w:id="7184" w:name="_Toc263795603"/>
      <w:bookmarkStart w:id="7185" w:name="_Toc266869780"/>
      <w:bookmarkStart w:id="7186" w:name="_Ref274134115"/>
      <w:bookmarkStart w:id="7187" w:name="_Toc159233368"/>
      <w:bookmarkStart w:id="7188" w:name="_Toc167202583"/>
      <w:bookmarkStart w:id="7189" w:name="OLE_LINK135"/>
      <w:bookmarkStart w:id="7190" w:name="OLE_LINK179"/>
      <w:r w:rsidRPr="00D25391">
        <w:t xml:space="preserve">Jointly Owned </w:t>
      </w:r>
      <w:r>
        <w:t>Unit</w:t>
      </w:r>
      <w:r w:rsidR="00F15303">
        <w:t>s</w:t>
      </w:r>
      <w:bookmarkEnd w:id="7173"/>
      <w:r>
        <w:t xml:space="preserve">  </w:t>
      </w:r>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14:paraId="52288E32" w14:textId="3DA87269" w:rsidR="00BD64CF" w:rsidRPr="00D25391" w:rsidDel="0050769F" w:rsidRDefault="00BD64CF" w:rsidP="00BD64CF">
      <w:pPr>
        <w:spacing w:before="120" w:line="300" w:lineRule="auto"/>
        <w:rPr>
          <w:szCs w:val="24"/>
        </w:rPr>
      </w:pPr>
      <w:r w:rsidRPr="00D25391" w:rsidDel="00F72BAD">
        <w:rPr>
          <w:szCs w:val="24"/>
        </w:rPr>
        <w:t xml:space="preserve">In addition to the responsibilities described </w:t>
      </w:r>
      <w:r w:rsidRPr="00213424" w:rsidDel="00F72BAD">
        <w:rPr>
          <w:szCs w:val="24"/>
        </w:rPr>
        <w:t xml:space="preserve">under Section </w:t>
      </w:r>
      <w:r w:rsidRPr="00213424">
        <w:rPr>
          <w:szCs w:val="24"/>
        </w:rPr>
        <w:fldChar w:fldCharType="begin"/>
      </w:r>
      <w:r w:rsidRPr="00213424">
        <w:rPr>
          <w:szCs w:val="24"/>
        </w:rPr>
        <w:instrText xml:space="preserve"> REF _Ref258931564 \r \h  \* MERGEFORMAT </w:instrText>
      </w:r>
      <w:r w:rsidRPr="00213424">
        <w:rPr>
          <w:szCs w:val="24"/>
        </w:rPr>
      </w:r>
      <w:r w:rsidRPr="00213424">
        <w:rPr>
          <w:szCs w:val="24"/>
        </w:rPr>
        <w:fldChar w:fldCharType="separate"/>
      </w:r>
      <w:r w:rsidR="00503334">
        <w:rPr>
          <w:szCs w:val="24"/>
        </w:rPr>
        <w:t>9.1.</w:t>
      </w:r>
      <w:r w:rsidRPr="00213424">
        <w:rPr>
          <w:szCs w:val="24"/>
        </w:rPr>
        <w:t>1</w:t>
      </w:r>
      <w:r w:rsidRPr="00213424">
        <w:rPr>
          <w:szCs w:val="24"/>
        </w:rPr>
        <w:fldChar w:fldCharType="end"/>
      </w:r>
      <w:r w:rsidRPr="00213424" w:rsidDel="00F72BAD">
        <w:rPr>
          <w:szCs w:val="24"/>
        </w:rPr>
        <w:t>,</w:t>
      </w:r>
      <w:r w:rsidRPr="00D25391" w:rsidDel="00F72BAD">
        <w:rPr>
          <w:szCs w:val="24"/>
        </w:rPr>
        <w:t xml:space="preserve"> </w:t>
      </w:r>
      <w:r w:rsidRPr="00D25391">
        <w:rPr>
          <w:szCs w:val="24"/>
        </w:rPr>
        <w:t xml:space="preserve">Market Participants </w:t>
      </w:r>
      <w:r w:rsidR="00503334">
        <w:rPr>
          <w:szCs w:val="24"/>
        </w:rPr>
        <w:t xml:space="preserve">that </w:t>
      </w:r>
      <w:r w:rsidR="004D0011">
        <w:rPr>
          <w:szCs w:val="24"/>
        </w:rPr>
        <w:t>optionally</w:t>
      </w:r>
      <w:r w:rsidR="00503334">
        <w:rPr>
          <w:szCs w:val="24"/>
        </w:rPr>
        <w:t xml:space="preserve"> register a Resource as a Jointly Owned Unit </w:t>
      </w:r>
      <w:r w:rsidRPr="00D25391">
        <w:rPr>
          <w:szCs w:val="24"/>
        </w:rPr>
        <w:t xml:space="preserve">must </w:t>
      </w:r>
      <w:r w:rsidRPr="00D25391" w:rsidDel="00405727">
        <w:rPr>
          <w:szCs w:val="24"/>
        </w:rPr>
        <w:t>choose</w:t>
      </w:r>
      <w:r w:rsidR="00503334">
        <w:rPr>
          <w:szCs w:val="24"/>
        </w:rPr>
        <w:t xml:space="preserve"> either</w:t>
      </w:r>
      <w:r w:rsidRPr="00D25391" w:rsidDel="00405727">
        <w:rPr>
          <w:szCs w:val="24"/>
        </w:rPr>
        <w:t xml:space="preserve"> the </w:t>
      </w:r>
      <w:r w:rsidR="00374B2F">
        <w:rPr>
          <w:szCs w:val="24"/>
        </w:rPr>
        <w:t xml:space="preserve">Individual Resource </w:t>
      </w:r>
      <w:r w:rsidRPr="00D25391" w:rsidDel="00405727">
        <w:rPr>
          <w:szCs w:val="24"/>
        </w:rPr>
        <w:t>option</w:t>
      </w:r>
      <w:r w:rsidR="00374B2F">
        <w:rPr>
          <w:szCs w:val="24"/>
        </w:rPr>
        <w:t xml:space="preserve"> or the </w:t>
      </w:r>
      <w:r w:rsidR="00503334">
        <w:rPr>
          <w:szCs w:val="24"/>
        </w:rPr>
        <w:t>Combined Interest Resource</w:t>
      </w:r>
      <w:r w:rsidRPr="00D25391" w:rsidDel="00405727">
        <w:rPr>
          <w:szCs w:val="24"/>
        </w:rPr>
        <w:t xml:space="preserve"> option</w:t>
      </w:r>
      <w:r w:rsidR="00503334">
        <w:rPr>
          <w:szCs w:val="24"/>
        </w:rPr>
        <w:t xml:space="preserve"> </w:t>
      </w:r>
      <w:r w:rsidRPr="00D25391" w:rsidDel="00405727">
        <w:rPr>
          <w:szCs w:val="24"/>
        </w:rPr>
        <w:t xml:space="preserve">described below and </w:t>
      </w:r>
      <w:r w:rsidRPr="00D25391" w:rsidDel="0050769F">
        <w:rPr>
          <w:szCs w:val="24"/>
        </w:rPr>
        <w:t xml:space="preserve">provide the specified additional information. </w:t>
      </w:r>
    </w:p>
    <w:p w14:paraId="78E3F8F1" w14:textId="77777777" w:rsidR="00BD64CF" w:rsidRPr="00D25391" w:rsidDel="0050769F" w:rsidRDefault="00BD64CF" w:rsidP="00574EDE">
      <w:pPr>
        <w:pStyle w:val="Heading4"/>
      </w:pPr>
      <w:bookmarkStart w:id="7191" w:name="_Toc266869781"/>
      <w:bookmarkStart w:id="7192" w:name="_Toc159233369"/>
      <w:bookmarkStart w:id="7193" w:name="_Toc167202584"/>
      <w:bookmarkStart w:id="7194" w:name="_Ref195095682"/>
      <w:bookmarkStart w:id="7195" w:name="_Ref195098496"/>
      <w:bookmarkStart w:id="7196" w:name="_Toc213772042"/>
      <w:r w:rsidRPr="00D25391" w:rsidDel="0050769F">
        <w:t>Individual Resource Option</w:t>
      </w:r>
      <w:bookmarkEnd w:id="7191"/>
      <w:bookmarkEnd w:id="7192"/>
      <w:bookmarkEnd w:id="7193"/>
      <w:bookmarkEnd w:id="7194"/>
      <w:bookmarkEnd w:id="7195"/>
      <w:bookmarkEnd w:id="7196"/>
    </w:p>
    <w:p w14:paraId="5CD21B27" w14:textId="3A054167" w:rsidR="00BD64CF" w:rsidRPr="00D25391" w:rsidRDefault="00BD64CF" w:rsidP="00BD64CF">
      <w:pPr>
        <w:spacing w:before="120" w:line="300" w:lineRule="auto"/>
      </w:pPr>
      <w:r w:rsidRPr="00D25391" w:rsidDel="0050769F">
        <w:t xml:space="preserve">Under the Individual Resource Option, </w:t>
      </w:r>
      <w:r w:rsidR="00957B1C">
        <w:t xml:space="preserve">Market Participants must </w:t>
      </w:r>
      <w:r>
        <w:rPr>
          <w:szCs w:val="24"/>
        </w:rPr>
        <w:t xml:space="preserve">register </w:t>
      </w:r>
      <w:r w:rsidRPr="00D25391">
        <w:t>each share as a separate Resource for the purposes of commitment and dispatch</w:t>
      </w:r>
      <w:r>
        <w:t>.</w:t>
      </w:r>
      <w:r w:rsidRPr="00D25391">
        <w:t xml:space="preserve"> </w:t>
      </w:r>
      <w:r>
        <w:t xml:space="preserve"> E</w:t>
      </w:r>
      <w:r w:rsidRPr="00D25391">
        <w:t>ach Resource may be committed independent</w:t>
      </w:r>
      <w:r>
        <w:t>ly</w:t>
      </w:r>
      <w:r w:rsidRPr="00D25391">
        <w:t xml:space="preserve"> of the other Resource shares.  A Resource registered as a Combined Cycle Resource</w:t>
      </w:r>
      <w:r w:rsidR="008D582D">
        <w:t xml:space="preserve"> or an MCR,</w:t>
      </w:r>
      <w:r w:rsidRPr="00D25391">
        <w:t xml:space="preserve"> may not register </w:t>
      </w:r>
      <w:r>
        <w:t>in this way</w:t>
      </w:r>
      <w:r w:rsidRPr="00D25391">
        <w:t>.  The following information must be provided:</w:t>
      </w:r>
    </w:p>
    <w:p w14:paraId="03688CB3" w14:textId="0239EE28" w:rsidR="00BD64CF" w:rsidRPr="00D25391" w:rsidRDefault="00BD64CF" w:rsidP="00DA3CE7">
      <w:pPr>
        <w:numPr>
          <w:ilvl w:val="0"/>
          <w:numId w:val="213"/>
        </w:numPr>
        <w:tabs>
          <w:tab w:val="num" w:pos="720"/>
        </w:tabs>
        <w:spacing w:before="120" w:line="300" w:lineRule="auto"/>
        <w:ind w:left="720" w:hanging="540"/>
        <w:rPr>
          <w:szCs w:val="24"/>
        </w:rPr>
      </w:pPr>
      <w:r w:rsidRPr="00D25391">
        <w:rPr>
          <w:szCs w:val="24"/>
        </w:rPr>
        <w:t xml:space="preserve">Specification of a single </w:t>
      </w:r>
      <w:r>
        <w:rPr>
          <w:szCs w:val="24"/>
        </w:rPr>
        <w:t>Market Participant</w:t>
      </w:r>
      <w:r w:rsidRPr="00D25391">
        <w:rPr>
          <w:szCs w:val="24"/>
        </w:rPr>
        <w:t xml:space="preserve"> that will be responsible for submittal of the following operating data representing the physical operating characteristics of entire JOU Resource for use in data validation as described under </w:t>
      </w:r>
      <w:r w:rsidRPr="00262635">
        <w:rPr>
          <w:szCs w:val="24"/>
        </w:rPr>
        <w:t>Section</w:t>
      </w:r>
      <w:r w:rsidR="009513F9">
        <w:rPr>
          <w:szCs w:val="24"/>
        </w:rPr>
        <w:t xml:space="preserve"> </w:t>
      </w:r>
      <w:r w:rsidR="009513F9">
        <w:rPr>
          <w:szCs w:val="24"/>
        </w:rPr>
        <w:fldChar w:fldCharType="begin"/>
      </w:r>
      <w:r w:rsidR="009513F9">
        <w:rPr>
          <w:szCs w:val="24"/>
        </w:rPr>
        <w:instrText xml:space="preserve"> REF _Ref212621170 \r \h </w:instrText>
      </w:r>
      <w:r w:rsidR="009513F9">
        <w:rPr>
          <w:szCs w:val="24"/>
        </w:rPr>
      </w:r>
      <w:r w:rsidR="009513F9">
        <w:rPr>
          <w:szCs w:val="24"/>
        </w:rPr>
        <w:fldChar w:fldCharType="separate"/>
      </w:r>
      <w:r w:rsidR="009513F9">
        <w:rPr>
          <w:szCs w:val="24"/>
        </w:rPr>
        <w:t>4.2.2.5.7</w:t>
      </w:r>
      <w:r w:rsidR="009513F9">
        <w:rPr>
          <w:szCs w:val="24"/>
        </w:rPr>
        <w:fldChar w:fldCharType="end"/>
      </w:r>
      <w:r w:rsidRPr="00262635">
        <w:rPr>
          <w:szCs w:val="24"/>
        </w:rPr>
        <w:fldChar w:fldCharType="begin"/>
      </w:r>
      <w:r w:rsidRPr="00262635">
        <w:rPr>
          <w:szCs w:val="24"/>
        </w:rPr>
        <w:instrText xml:space="preserve"> REF _Ref262715947 \r \h </w:instrText>
      </w:r>
      <w:r w:rsidR="00D159CE" w:rsidRPr="00262635">
        <w:rPr>
          <w:szCs w:val="24"/>
        </w:rPr>
        <w:instrText xml:space="preserve"> \* MERGEFORMAT </w:instrText>
      </w:r>
      <w:r w:rsidRPr="00262635">
        <w:rPr>
          <w:szCs w:val="24"/>
        </w:rPr>
      </w:r>
      <w:r w:rsidRPr="00262635">
        <w:rPr>
          <w:szCs w:val="24"/>
        </w:rPr>
        <w:fldChar w:fldCharType="separate"/>
      </w:r>
      <w:r w:rsidRPr="00262635">
        <w:rPr>
          <w:szCs w:val="24"/>
        </w:rPr>
        <w:fldChar w:fldCharType="end"/>
      </w:r>
      <w:r w:rsidRPr="00262635">
        <w:rPr>
          <w:szCs w:val="24"/>
        </w:rPr>
        <w:t>;</w:t>
      </w:r>
    </w:p>
    <w:p w14:paraId="5CEA6739" w14:textId="03721701" w:rsidR="00BD64CF" w:rsidRPr="00D25391" w:rsidRDefault="00BD64CF" w:rsidP="00DA3CE7">
      <w:pPr>
        <w:numPr>
          <w:ilvl w:val="1"/>
          <w:numId w:val="214"/>
        </w:numPr>
        <w:tabs>
          <w:tab w:val="num" w:pos="1440"/>
        </w:tabs>
        <w:spacing w:before="120" w:line="300" w:lineRule="auto"/>
        <w:ind w:left="1440" w:hanging="540"/>
        <w:rPr>
          <w:szCs w:val="24"/>
        </w:rPr>
      </w:pPr>
      <w:r w:rsidRPr="00D25391">
        <w:rPr>
          <w:szCs w:val="24"/>
        </w:rPr>
        <w:t xml:space="preserve">JOU Maximum </w:t>
      </w:r>
      <w:r w:rsidR="008D582D">
        <w:rPr>
          <w:szCs w:val="24"/>
        </w:rPr>
        <w:t>p</w:t>
      </w:r>
      <w:r w:rsidRPr="00D25391">
        <w:rPr>
          <w:szCs w:val="24"/>
        </w:rPr>
        <w:t>hysical Capacity Operating Limit;</w:t>
      </w:r>
    </w:p>
    <w:p w14:paraId="2786D864" w14:textId="4AE923C2" w:rsidR="00BD64CF" w:rsidRPr="00D25391" w:rsidRDefault="00BD64CF" w:rsidP="00DA3CE7">
      <w:pPr>
        <w:numPr>
          <w:ilvl w:val="1"/>
          <w:numId w:val="214"/>
        </w:numPr>
        <w:tabs>
          <w:tab w:val="num" w:pos="1440"/>
        </w:tabs>
        <w:spacing w:line="300" w:lineRule="auto"/>
        <w:ind w:left="1440" w:hanging="540"/>
        <w:rPr>
          <w:szCs w:val="24"/>
        </w:rPr>
      </w:pPr>
      <w:r w:rsidRPr="00D25391">
        <w:rPr>
          <w:szCs w:val="24"/>
        </w:rPr>
        <w:t xml:space="preserve">JOU Minimum </w:t>
      </w:r>
      <w:r w:rsidR="008D582D">
        <w:rPr>
          <w:szCs w:val="24"/>
        </w:rPr>
        <w:t>p</w:t>
      </w:r>
      <w:r w:rsidRPr="00D25391">
        <w:rPr>
          <w:szCs w:val="24"/>
        </w:rPr>
        <w:t xml:space="preserve">hysical Capacity Operating Limit; </w:t>
      </w:r>
    </w:p>
    <w:p w14:paraId="7B283044" w14:textId="6D0DA241" w:rsidR="00BD64CF" w:rsidRPr="00D25391" w:rsidRDefault="00BD64CF" w:rsidP="00E94CBF">
      <w:pPr>
        <w:tabs>
          <w:tab w:val="num" w:pos="2160"/>
        </w:tabs>
        <w:spacing w:line="300" w:lineRule="auto"/>
        <w:ind w:left="1440"/>
        <w:rPr>
          <w:szCs w:val="24"/>
        </w:rPr>
      </w:pPr>
      <w:r w:rsidRPr="00D25391">
        <w:rPr>
          <w:szCs w:val="24"/>
        </w:rPr>
        <w:t>and</w:t>
      </w:r>
    </w:p>
    <w:p w14:paraId="4FD0ACE5" w14:textId="77777777" w:rsidR="00BD64CF" w:rsidRPr="00D25391" w:rsidRDefault="00BD64CF" w:rsidP="00DA3CE7">
      <w:pPr>
        <w:numPr>
          <w:ilvl w:val="1"/>
          <w:numId w:val="214"/>
        </w:numPr>
        <w:tabs>
          <w:tab w:val="num" w:pos="1440"/>
        </w:tabs>
        <w:spacing w:line="300" w:lineRule="auto"/>
        <w:ind w:left="1440" w:hanging="540"/>
        <w:rPr>
          <w:szCs w:val="24"/>
        </w:rPr>
      </w:pPr>
      <w:r w:rsidRPr="00D25391">
        <w:rPr>
          <w:szCs w:val="24"/>
        </w:rPr>
        <w:t xml:space="preserve">Maximum physical 10-minute response from an off-line state. </w:t>
      </w:r>
    </w:p>
    <w:p w14:paraId="2CF0F1E6" w14:textId="235FB7F6" w:rsidR="00BD64CF" w:rsidRPr="00D25391" w:rsidRDefault="00BD64CF" w:rsidP="00DA3CE7">
      <w:pPr>
        <w:numPr>
          <w:ilvl w:val="0"/>
          <w:numId w:val="214"/>
        </w:numPr>
        <w:tabs>
          <w:tab w:val="num" w:pos="720"/>
        </w:tabs>
        <w:spacing w:before="120" w:line="300" w:lineRule="auto"/>
        <w:ind w:left="720" w:hanging="540"/>
        <w:rPr>
          <w:szCs w:val="24"/>
        </w:rPr>
      </w:pPr>
      <w:r w:rsidRPr="00D25391">
        <w:rPr>
          <w:szCs w:val="24"/>
        </w:rPr>
        <w:t xml:space="preserve">Specification of each Asset Owner and Settlement Location associated with each individual share.  </w:t>
      </w:r>
    </w:p>
    <w:p w14:paraId="0B9C3101" w14:textId="664DD1B8" w:rsidR="00957B1C" w:rsidRPr="00957B1C" w:rsidRDefault="00A93F38" w:rsidP="00574EDE">
      <w:pPr>
        <w:pStyle w:val="Heading4"/>
      </w:pPr>
      <w:bookmarkStart w:id="7197" w:name="_Ref195098314"/>
      <w:bookmarkStart w:id="7198" w:name="_Toc213772043"/>
      <w:bookmarkStart w:id="7199" w:name="_Ref262110609"/>
      <w:bookmarkStart w:id="7200" w:name="_Ref262719827"/>
      <w:bookmarkStart w:id="7201" w:name="_Toc263173442"/>
      <w:bookmarkStart w:id="7202" w:name="_Toc263173671"/>
      <w:bookmarkStart w:id="7203" w:name="_Toc263173859"/>
      <w:bookmarkStart w:id="7204" w:name="_Toc263174271"/>
      <w:bookmarkStart w:id="7205" w:name="_Toc263235177"/>
      <w:bookmarkStart w:id="7206" w:name="_Toc263235821"/>
      <w:bookmarkStart w:id="7207" w:name="_Toc263429564"/>
      <w:bookmarkStart w:id="7208" w:name="_Toc263795604"/>
      <w:bookmarkStart w:id="7209" w:name="_Toc266869783"/>
      <w:bookmarkStart w:id="7210" w:name="_Ref274131154"/>
      <w:bookmarkStart w:id="7211" w:name="_Ref349713043"/>
      <w:bookmarkStart w:id="7212" w:name="_Toc159233370"/>
      <w:bookmarkStart w:id="7213" w:name="_Toc167202585"/>
      <w:bookmarkStart w:id="7214" w:name="_Toc211084353"/>
      <w:bookmarkStart w:id="7215" w:name="_Toc254787591"/>
      <w:bookmarkStart w:id="7216" w:name="_Toc254787588"/>
      <w:bookmarkEnd w:id="7189"/>
      <w:bookmarkEnd w:id="7190"/>
      <w:r>
        <w:t xml:space="preserve">Combined Interest Resource </w:t>
      </w:r>
      <w:r w:rsidR="00374B2F">
        <w:t>Option</w:t>
      </w:r>
      <w:bookmarkEnd w:id="7197"/>
      <w:bookmarkEnd w:id="7198"/>
    </w:p>
    <w:p w14:paraId="17355079" w14:textId="649700A0" w:rsidR="00FE3FED" w:rsidRDefault="00FE3FED" w:rsidP="00BC364C">
      <w:r>
        <w:t xml:space="preserve">Market </w:t>
      </w:r>
      <w:r w:rsidR="00A608DD">
        <w:t>Participants</w:t>
      </w:r>
      <w:r>
        <w:t xml:space="preserve"> registering a Combined Interest Resource must provide the following additional information:</w:t>
      </w:r>
    </w:p>
    <w:p w14:paraId="27FCAE5E" w14:textId="23468D35" w:rsidR="00A608DD" w:rsidRPr="00715B62" w:rsidRDefault="000126D5" w:rsidP="00DA3CE7">
      <w:pPr>
        <w:numPr>
          <w:ilvl w:val="0"/>
          <w:numId w:val="328"/>
        </w:numPr>
        <w:tabs>
          <w:tab w:val="clear" w:pos="1440"/>
        </w:tabs>
        <w:spacing w:before="120" w:line="300" w:lineRule="auto"/>
        <w:ind w:left="720" w:hanging="540"/>
        <w:rPr>
          <w:szCs w:val="24"/>
        </w:rPr>
      </w:pPr>
      <w:r w:rsidRPr="00715B62">
        <w:rPr>
          <w:szCs w:val="24"/>
        </w:rPr>
        <w:t>Specifications of each Asset Owner and Interest Percent Share associated with each individual share.  Submitted Interest Percent Shares must add up to 100%.</w:t>
      </w:r>
    </w:p>
    <w:p w14:paraId="088B3969" w14:textId="6B789294" w:rsidR="00BD64CF" w:rsidRPr="00D25391" w:rsidRDefault="00BD64CF" w:rsidP="00781C61">
      <w:pPr>
        <w:pStyle w:val="Heading3"/>
      </w:pPr>
      <w:bookmarkStart w:id="7217" w:name="_Toc213772044"/>
      <w:r w:rsidRPr="00D25391">
        <w:t>Combined Cycle Resource</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7"/>
    </w:p>
    <w:p w14:paraId="60262A77" w14:textId="259943DE" w:rsidR="00BD64CF" w:rsidRPr="00D25391" w:rsidRDefault="00BD64CF" w:rsidP="00BD64CF">
      <w:pPr>
        <w:spacing w:line="300" w:lineRule="auto"/>
        <w:rPr>
          <w:szCs w:val="24"/>
        </w:rPr>
      </w:pPr>
      <w:r w:rsidRPr="00D25391">
        <w:rPr>
          <w:szCs w:val="24"/>
        </w:rPr>
        <w:t xml:space="preserve">In addition to the responsibilities described under Section </w:t>
      </w:r>
      <w:r w:rsidRPr="00D25391">
        <w:rPr>
          <w:szCs w:val="24"/>
        </w:rPr>
        <w:fldChar w:fldCharType="begin"/>
      </w:r>
      <w:r w:rsidRPr="00D25391">
        <w:rPr>
          <w:szCs w:val="24"/>
        </w:rPr>
        <w:instrText xml:space="preserve"> REF _Ref258931564 \r \h </w:instrText>
      </w:r>
      <w:r w:rsidRPr="00D25391">
        <w:rPr>
          <w:szCs w:val="24"/>
        </w:rPr>
      </w:r>
      <w:r w:rsidRPr="00D25391">
        <w:rPr>
          <w:szCs w:val="24"/>
        </w:rPr>
        <w:fldChar w:fldCharType="separate"/>
      </w:r>
      <w:r>
        <w:rPr>
          <w:szCs w:val="24"/>
        </w:rPr>
        <w:t>9</w:t>
      </w:r>
      <w:r w:rsidRPr="00D25391">
        <w:rPr>
          <w:szCs w:val="24"/>
        </w:rPr>
        <w:t>.1.1</w:t>
      </w:r>
      <w:r w:rsidRPr="00D25391">
        <w:rPr>
          <w:szCs w:val="24"/>
        </w:rPr>
        <w:fldChar w:fldCharType="end"/>
      </w:r>
      <w:r w:rsidRPr="00D25391">
        <w:rPr>
          <w:szCs w:val="24"/>
        </w:rPr>
        <w:t xml:space="preserve">, Market Participants registering a Resource as a combined cycle Resource </w:t>
      </w:r>
      <w:r>
        <w:rPr>
          <w:szCs w:val="24"/>
        </w:rPr>
        <w:t>must</w:t>
      </w:r>
      <w:r w:rsidRPr="00D25391">
        <w:rPr>
          <w:szCs w:val="24"/>
        </w:rPr>
        <w:t xml:space="preserve"> register their Resources using one of the four options described below.</w:t>
      </w:r>
    </w:p>
    <w:p w14:paraId="3337EF59" w14:textId="77777777" w:rsidR="00BD64CF" w:rsidRPr="00D25391" w:rsidRDefault="00BD64CF" w:rsidP="00BD64CF">
      <w:pPr>
        <w:spacing w:line="300" w:lineRule="auto"/>
        <w:ind w:left="720" w:hanging="540"/>
        <w:rPr>
          <w:szCs w:val="24"/>
        </w:rPr>
      </w:pPr>
      <w:r w:rsidRPr="00D25391">
        <w:rPr>
          <w:szCs w:val="24"/>
        </w:rPr>
        <w:t>(1)</w:t>
      </w:r>
      <w:r w:rsidRPr="00D25391">
        <w:rPr>
          <w:szCs w:val="24"/>
        </w:rPr>
        <w:tab/>
        <w:t xml:space="preserve">Each combustion turbine and steam turbine may be registered as a separate Resource asset. Each individual Resource asset will be assigned a unique Settlement Location, and each Resource asset must be registered to the same Asset Owner.  </w:t>
      </w:r>
    </w:p>
    <w:p w14:paraId="03E5F430" w14:textId="77777777" w:rsidR="00BD64CF" w:rsidRPr="00D25391" w:rsidRDefault="00BD64CF" w:rsidP="00BD64CF">
      <w:pPr>
        <w:spacing w:line="300" w:lineRule="auto"/>
        <w:ind w:left="1440" w:hanging="720"/>
        <w:rPr>
          <w:szCs w:val="24"/>
        </w:rPr>
      </w:pPr>
      <w:r w:rsidRPr="00D25391">
        <w:rPr>
          <w:szCs w:val="24"/>
        </w:rPr>
        <w:t>(a)</w:t>
      </w:r>
      <w:r w:rsidRPr="00D25391">
        <w:rPr>
          <w:szCs w:val="24"/>
        </w:rPr>
        <w:tab/>
        <w:t>Each Resource asset will be committed and dispatched as an independent Resource.  Each individual Resource asset will be settled at its Settlement Location.  Telemetering and settlement Meter Data must be submitted for each registered Resource asset.</w:t>
      </w:r>
    </w:p>
    <w:p w14:paraId="27D59A86" w14:textId="77777777" w:rsidR="00BD64CF" w:rsidRPr="00D25391" w:rsidRDefault="00BD64CF" w:rsidP="00BD64CF">
      <w:pPr>
        <w:spacing w:line="300" w:lineRule="auto"/>
        <w:ind w:left="1440" w:hanging="720"/>
        <w:rPr>
          <w:szCs w:val="24"/>
        </w:rPr>
      </w:pPr>
      <w:r w:rsidRPr="00D25391">
        <w:rPr>
          <w:szCs w:val="24"/>
        </w:rPr>
        <w:t>(b)</w:t>
      </w:r>
      <w:r w:rsidRPr="00D25391">
        <w:rPr>
          <w:szCs w:val="24"/>
        </w:rPr>
        <w:tab/>
        <w:t>The Market Participant may optionally request that all Resource assets be registered at a Common Bus.</w:t>
      </w:r>
    </w:p>
    <w:p w14:paraId="4895CC4A" w14:textId="3F1691E6" w:rsidR="00BD64CF" w:rsidRPr="00D25391" w:rsidRDefault="00BD64CF" w:rsidP="00BD64CF">
      <w:pPr>
        <w:spacing w:line="300" w:lineRule="auto"/>
        <w:ind w:left="720" w:hanging="540"/>
        <w:rPr>
          <w:szCs w:val="24"/>
        </w:rPr>
      </w:pPr>
      <w:r w:rsidRPr="00D25391">
        <w:rPr>
          <w:szCs w:val="24"/>
        </w:rPr>
        <w:t>(2)</w:t>
      </w:r>
      <w:r w:rsidRPr="00D25391">
        <w:rPr>
          <w:szCs w:val="24"/>
        </w:rPr>
        <w:tab/>
        <w:t>An aggregate unit configuration may be registered as a single Resource asset in the Commercial Model and is assigned an A</w:t>
      </w:r>
      <w:r w:rsidR="002D623C">
        <w:rPr>
          <w:szCs w:val="24"/>
        </w:rPr>
        <w:t>Pnode</w:t>
      </w:r>
      <w:r w:rsidRPr="00D25391">
        <w:rPr>
          <w:szCs w:val="24"/>
        </w:rPr>
        <w:t xml:space="preserve"> Settlement Location.  </w:t>
      </w:r>
    </w:p>
    <w:p w14:paraId="35CB02E8" w14:textId="5FE7E8D0" w:rsidR="00BD64CF" w:rsidRPr="00D25391" w:rsidRDefault="00BD64CF" w:rsidP="00BD64CF">
      <w:pPr>
        <w:spacing w:line="300" w:lineRule="auto"/>
        <w:ind w:left="1440" w:hanging="720"/>
        <w:rPr>
          <w:szCs w:val="24"/>
        </w:rPr>
      </w:pPr>
      <w:r w:rsidRPr="00D25391">
        <w:rPr>
          <w:szCs w:val="24"/>
        </w:rPr>
        <w:t>(a)</w:t>
      </w:r>
      <w:r w:rsidRPr="00D25391">
        <w:rPr>
          <w:szCs w:val="24"/>
        </w:rPr>
        <w:tab/>
        <w:t>The aggregate Resource asset will be committed and dispatched as a separate Resource and will be settled at its A</w:t>
      </w:r>
      <w:r w:rsidR="002D623C">
        <w:rPr>
          <w:szCs w:val="24"/>
        </w:rPr>
        <w:t>Pnode</w:t>
      </w:r>
      <w:r w:rsidRPr="00D25391">
        <w:rPr>
          <w:szCs w:val="24"/>
        </w:rPr>
        <w:t xml:space="preserve"> Settlement location.  </w:t>
      </w:r>
    </w:p>
    <w:p w14:paraId="483B57D2" w14:textId="77777777" w:rsidR="00BD64CF" w:rsidRPr="00D25391" w:rsidRDefault="00BD64CF" w:rsidP="00BD64CF">
      <w:pPr>
        <w:spacing w:line="300" w:lineRule="auto"/>
        <w:ind w:left="1440" w:hanging="720"/>
        <w:rPr>
          <w:szCs w:val="24"/>
        </w:rPr>
      </w:pPr>
      <w:r w:rsidRPr="00D25391">
        <w:rPr>
          <w:szCs w:val="24"/>
        </w:rPr>
        <w:t>(b)</w:t>
      </w:r>
      <w:r w:rsidRPr="00D25391">
        <w:rPr>
          <w:szCs w:val="24"/>
        </w:rPr>
        <w:tab/>
        <w:t>Settlement Meter Data must be submitted for the aggregate Resource;</w:t>
      </w:r>
    </w:p>
    <w:p w14:paraId="27A4EF74" w14:textId="77777777" w:rsidR="00BD64CF" w:rsidRPr="00D25391" w:rsidRDefault="00BD64CF" w:rsidP="00BD64CF">
      <w:pPr>
        <w:spacing w:line="300" w:lineRule="auto"/>
        <w:ind w:left="1440" w:hanging="720"/>
        <w:rPr>
          <w:szCs w:val="24"/>
        </w:rPr>
      </w:pPr>
      <w:r w:rsidRPr="00D25391">
        <w:rPr>
          <w:szCs w:val="24"/>
        </w:rPr>
        <w:t>(c)</w:t>
      </w:r>
      <w:r w:rsidRPr="00D25391">
        <w:rPr>
          <w:szCs w:val="24"/>
        </w:rPr>
        <w:tab/>
        <w:t xml:space="preserve">Telemetering must be submitted for each component of the aggregate Resource that is modeled in the Network Model.  </w:t>
      </w:r>
    </w:p>
    <w:p w14:paraId="7D82F8A6" w14:textId="5EDB5F9C" w:rsidR="00BD64CF" w:rsidRPr="00D25391" w:rsidRDefault="00BD64CF" w:rsidP="00BD64CF">
      <w:pPr>
        <w:spacing w:line="300" w:lineRule="auto"/>
        <w:ind w:left="720" w:hanging="540"/>
        <w:rPr>
          <w:szCs w:val="24"/>
        </w:rPr>
      </w:pPr>
      <w:r w:rsidRPr="00D25391">
        <w:rPr>
          <w:szCs w:val="24"/>
        </w:rPr>
        <w:t>(3)</w:t>
      </w:r>
      <w:r w:rsidRPr="00D25391">
        <w:rPr>
          <w:szCs w:val="24"/>
        </w:rPr>
        <w:tab/>
        <w:t>The combined cycle Resource may be registered in the Commercial Model as several “pseudo” unit assets, each unit representing a combination of one combustion turbine and a portion of a steam turbine. Each pseudo unit asset is assigned an A</w:t>
      </w:r>
      <w:r w:rsidR="002D623C">
        <w:rPr>
          <w:szCs w:val="24"/>
        </w:rPr>
        <w:t>Pnode</w:t>
      </w:r>
      <w:r w:rsidRPr="00D25391">
        <w:rPr>
          <w:szCs w:val="24"/>
        </w:rPr>
        <w:t xml:space="preserve"> Settlement Location.</w:t>
      </w:r>
    </w:p>
    <w:p w14:paraId="2489EB66" w14:textId="20EFBAAA" w:rsidR="00BD64CF" w:rsidRPr="00D25391" w:rsidRDefault="00BD64CF" w:rsidP="00BD64CF">
      <w:pPr>
        <w:spacing w:line="300" w:lineRule="auto"/>
        <w:ind w:left="1440" w:hanging="720"/>
        <w:rPr>
          <w:szCs w:val="24"/>
        </w:rPr>
      </w:pPr>
      <w:r w:rsidRPr="00D25391">
        <w:rPr>
          <w:szCs w:val="24"/>
        </w:rPr>
        <w:t>(a)</w:t>
      </w:r>
      <w:r w:rsidRPr="00D25391">
        <w:rPr>
          <w:szCs w:val="24"/>
        </w:rPr>
        <w:tab/>
        <w:t>Each pseudo unit asset will be committed and dispatched as a separate Resource and will be settled at its A</w:t>
      </w:r>
      <w:r w:rsidR="002D623C">
        <w:rPr>
          <w:szCs w:val="24"/>
        </w:rPr>
        <w:t>Pnode</w:t>
      </w:r>
      <w:r w:rsidRPr="00D25391">
        <w:rPr>
          <w:szCs w:val="24"/>
        </w:rPr>
        <w:t xml:space="preserve"> Settlement location.   </w:t>
      </w:r>
    </w:p>
    <w:p w14:paraId="5A185B87" w14:textId="77777777" w:rsidR="00BD64CF" w:rsidRPr="00D25391" w:rsidRDefault="00BD64CF" w:rsidP="00BD64CF">
      <w:pPr>
        <w:spacing w:line="300" w:lineRule="auto"/>
        <w:ind w:left="1440" w:hanging="720"/>
        <w:rPr>
          <w:szCs w:val="24"/>
        </w:rPr>
      </w:pPr>
      <w:r w:rsidRPr="00D25391">
        <w:rPr>
          <w:szCs w:val="24"/>
        </w:rPr>
        <w:t>(b)</w:t>
      </w:r>
      <w:r w:rsidRPr="00D25391">
        <w:rPr>
          <w:szCs w:val="24"/>
        </w:rPr>
        <w:tab/>
        <w:t>Settlement Meter Data must be submitted for each individual pseudo unit asset.</w:t>
      </w:r>
    </w:p>
    <w:p w14:paraId="737C4213" w14:textId="77777777" w:rsidR="00BD64CF" w:rsidRPr="00D25391" w:rsidRDefault="00BD64CF" w:rsidP="00BD64CF">
      <w:pPr>
        <w:spacing w:line="300" w:lineRule="auto"/>
        <w:ind w:left="1440" w:hanging="720"/>
        <w:rPr>
          <w:szCs w:val="24"/>
        </w:rPr>
      </w:pPr>
      <w:r w:rsidRPr="00D25391">
        <w:rPr>
          <w:szCs w:val="24"/>
        </w:rPr>
        <w:t xml:space="preserve">(c) </w:t>
      </w:r>
      <w:r w:rsidRPr="00D25391">
        <w:rPr>
          <w:szCs w:val="24"/>
        </w:rPr>
        <w:tab/>
        <w:t xml:space="preserve">Telemetering must be submitted for each component - of each individual pseudo unit asset that is modeled in the Network Model.  </w:t>
      </w:r>
    </w:p>
    <w:p w14:paraId="00FFD2A9" w14:textId="77777777" w:rsidR="00BD64CF" w:rsidRPr="00D25391" w:rsidRDefault="00BD64CF" w:rsidP="00BD64CF">
      <w:pPr>
        <w:spacing w:line="300" w:lineRule="auto"/>
        <w:ind w:left="1440" w:hanging="720"/>
        <w:rPr>
          <w:szCs w:val="24"/>
        </w:rPr>
      </w:pPr>
      <w:r w:rsidRPr="00D25391">
        <w:rPr>
          <w:szCs w:val="24"/>
        </w:rPr>
        <w:t>(d)</w:t>
      </w:r>
      <w:r w:rsidRPr="00D25391">
        <w:rPr>
          <w:szCs w:val="24"/>
        </w:rPr>
        <w:tab/>
        <w:t>The Market Participant may optionally request that all pseudo unit assets be registered at a Common Bus.</w:t>
      </w:r>
    </w:p>
    <w:p w14:paraId="71414554" w14:textId="77777777" w:rsidR="00BD64CF" w:rsidRPr="00D25391" w:rsidRDefault="00BD64CF" w:rsidP="00BD64CF">
      <w:pPr>
        <w:spacing w:line="300" w:lineRule="auto"/>
        <w:ind w:left="720" w:hanging="540"/>
        <w:rPr>
          <w:szCs w:val="24"/>
        </w:rPr>
      </w:pPr>
      <w:r w:rsidRPr="00D25391">
        <w:rPr>
          <w:szCs w:val="24"/>
        </w:rPr>
        <w:t>(4)   The combined cycle Resource may be registered in the Commercial Model as a</w:t>
      </w:r>
      <w:r>
        <w:rPr>
          <w:szCs w:val="24"/>
        </w:rPr>
        <w:t>n</w:t>
      </w:r>
      <w:r w:rsidRPr="00D25391">
        <w:rPr>
          <w:szCs w:val="24"/>
        </w:rPr>
        <w:t xml:space="preserve"> MCR as       described in </w:t>
      </w:r>
      <w:r w:rsidRPr="00213424">
        <w:rPr>
          <w:szCs w:val="24"/>
        </w:rPr>
        <w:t xml:space="preserve">Section </w:t>
      </w:r>
      <w:r w:rsidRPr="00213424">
        <w:rPr>
          <w:szCs w:val="24"/>
        </w:rPr>
        <w:fldChar w:fldCharType="begin"/>
      </w:r>
      <w:r w:rsidRPr="00213424">
        <w:rPr>
          <w:szCs w:val="24"/>
        </w:rPr>
        <w:instrText xml:space="preserve"> REF _Ref476207889 \r \h  \* MERGEFORMAT </w:instrText>
      </w:r>
      <w:r w:rsidRPr="00213424">
        <w:rPr>
          <w:szCs w:val="24"/>
        </w:rPr>
      </w:r>
      <w:r w:rsidRPr="00213424">
        <w:rPr>
          <w:szCs w:val="24"/>
        </w:rPr>
        <w:fldChar w:fldCharType="separate"/>
      </w:r>
      <w:r w:rsidRPr="00213424">
        <w:rPr>
          <w:szCs w:val="24"/>
        </w:rPr>
        <w:t>9.1.6.1</w:t>
      </w:r>
      <w:r w:rsidRPr="00213424">
        <w:rPr>
          <w:szCs w:val="24"/>
        </w:rPr>
        <w:fldChar w:fldCharType="end"/>
      </w:r>
      <w:r w:rsidRPr="00213424">
        <w:rPr>
          <w:szCs w:val="24"/>
        </w:rPr>
        <w:t>.</w:t>
      </w:r>
      <w:r w:rsidRPr="00D25391">
        <w:rPr>
          <w:szCs w:val="24"/>
        </w:rPr>
        <w:t xml:space="preserve"> </w:t>
      </w:r>
    </w:p>
    <w:p w14:paraId="700DA099" w14:textId="27D8E12E" w:rsidR="00BD64CF" w:rsidRPr="00D25391" w:rsidRDefault="00BD64CF" w:rsidP="00574EDE">
      <w:pPr>
        <w:pStyle w:val="Heading4"/>
      </w:pPr>
      <w:bookmarkStart w:id="7218" w:name="_Ref476207889"/>
      <w:bookmarkStart w:id="7219" w:name="_Toc159233371"/>
      <w:bookmarkStart w:id="7220" w:name="_Toc167202586"/>
      <w:bookmarkStart w:id="7221" w:name="_Toc213772045"/>
      <w:bookmarkStart w:id="7222" w:name="_Ref307831282"/>
      <w:bookmarkStart w:id="7223" w:name="_Toc263173445"/>
      <w:bookmarkStart w:id="7224" w:name="_Toc263173672"/>
      <w:bookmarkStart w:id="7225" w:name="_Toc263173860"/>
      <w:bookmarkStart w:id="7226" w:name="_Toc263174274"/>
      <w:bookmarkStart w:id="7227" w:name="_Toc263235178"/>
      <w:bookmarkStart w:id="7228" w:name="_Toc263235822"/>
      <w:bookmarkStart w:id="7229" w:name="_Toc263429567"/>
      <w:bookmarkStart w:id="7230" w:name="_Toc263795607"/>
      <w:bookmarkStart w:id="7231" w:name="_Toc266869784"/>
      <w:r w:rsidRPr="00D25391">
        <w:t>Multi-Configuration Resource</w:t>
      </w:r>
      <w:bookmarkEnd w:id="7218"/>
      <w:bookmarkEnd w:id="7219"/>
      <w:bookmarkEnd w:id="7220"/>
      <w:bookmarkEnd w:id="7221"/>
    </w:p>
    <w:p w14:paraId="55D70757" w14:textId="208F5F75" w:rsidR="00BD64CF" w:rsidRPr="00D25391" w:rsidRDefault="00BD64CF" w:rsidP="00BD64CF">
      <w:pPr>
        <w:spacing w:line="300" w:lineRule="auto"/>
        <w:rPr>
          <w:szCs w:val="24"/>
        </w:rPr>
      </w:pPr>
      <w:r w:rsidRPr="00D25391">
        <w:rPr>
          <w:szCs w:val="24"/>
        </w:rPr>
        <w:t>The combined cycle Resource registered as a M</w:t>
      </w:r>
      <w:r>
        <w:rPr>
          <w:szCs w:val="24"/>
        </w:rPr>
        <w:t>ulti-Configuration Resource (</w:t>
      </w:r>
      <w:r w:rsidRPr="00D25391">
        <w:rPr>
          <w:szCs w:val="24"/>
        </w:rPr>
        <w:t>MCR</w:t>
      </w:r>
      <w:r>
        <w:rPr>
          <w:szCs w:val="24"/>
        </w:rPr>
        <w:t>)</w:t>
      </w:r>
      <w:r w:rsidRPr="00D25391">
        <w:rPr>
          <w:szCs w:val="24"/>
        </w:rPr>
        <w:t xml:space="preserve"> </w:t>
      </w:r>
      <w:r>
        <w:rPr>
          <w:szCs w:val="24"/>
        </w:rPr>
        <w:t>must</w:t>
      </w:r>
      <w:r w:rsidRPr="00D25391">
        <w:rPr>
          <w:szCs w:val="24"/>
        </w:rPr>
        <w:t xml:space="preserve"> be registered as a single parent Resource </w:t>
      </w:r>
      <w:r w:rsidR="00EB3ECA">
        <w:rPr>
          <w:szCs w:val="24"/>
        </w:rPr>
        <w:t>a</w:t>
      </w:r>
      <w:r w:rsidRPr="00D25391">
        <w:rPr>
          <w:szCs w:val="24"/>
        </w:rPr>
        <w:t>sset with associated valid operating configurations.</w:t>
      </w:r>
    </w:p>
    <w:p w14:paraId="354174E4" w14:textId="77777777" w:rsidR="00BD64CF" w:rsidRPr="00D25391" w:rsidRDefault="00BD64CF" w:rsidP="00BD64CF">
      <w:pPr>
        <w:spacing w:line="300" w:lineRule="auto"/>
        <w:ind w:left="720" w:hanging="540"/>
        <w:rPr>
          <w:szCs w:val="24"/>
        </w:rPr>
      </w:pPr>
      <w:r>
        <w:rPr>
          <w:szCs w:val="24"/>
        </w:rPr>
        <w:t>(1)</w:t>
      </w:r>
      <w:r>
        <w:rPr>
          <w:szCs w:val="24"/>
        </w:rPr>
        <w:tab/>
      </w:r>
      <w:r w:rsidRPr="00D25391">
        <w:rPr>
          <w:szCs w:val="24"/>
        </w:rPr>
        <w:t xml:space="preserve">Market Participants using the combined cycle configuration based modeling option </w:t>
      </w:r>
      <w:r>
        <w:rPr>
          <w:szCs w:val="24"/>
        </w:rPr>
        <w:t>must</w:t>
      </w:r>
      <w:r w:rsidRPr="00D25391">
        <w:rPr>
          <w:szCs w:val="24"/>
        </w:rPr>
        <w:t xml:space="preserve"> register the physical units that are part of the combined cycle Resource as well as the operational configuration modes representing a valid operating configuration of the combined cycle Resource.  Each valid operating configuration is treated as a separate Resource in the market systems and may have Resource Offers submitted using the same Offer parameters as any other Resource.  The physical unit data are referenced by the Network Model that needs detailed unit physical characteristics and parameters as inputs.  </w:t>
      </w:r>
    </w:p>
    <w:p w14:paraId="2B2E11F7" w14:textId="374DC3A0" w:rsidR="00BD64CF" w:rsidRPr="00D25391" w:rsidRDefault="00BD64CF" w:rsidP="00BD64CF">
      <w:pPr>
        <w:spacing w:line="300" w:lineRule="auto"/>
        <w:ind w:left="720" w:hanging="540"/>
        <w:rPr>
          <w:szCs w:val="24"/>
        </w:rPr>
      </w:pPr>
      <w:r w:rsidRPr="00D25391">
        <w:rPr>
          <w:szCs w:val="24"/>
        </w:rPr>
        <w:t>(</w:t>
      </w:r>
      <w:r>
        <w:rPr>
          <w:szCs w:val="24"/>
        </w:rPr>
        <w:t>2</w:t>
      </w:r>
      <w:r w:rsidRPr="00D25391">
        <w:rPr>
          <w:szCs w:val="24"/>
        </w:rPr>
        <w:t>)</w:t>
      </w:r>
      <w:r w:rsidRPr="00D25391">
        <w:rPr>
          <w:szCs w:val="24"/>
        </w:rPr>
        <w:tab/>
        <w:t xml:space="preserve">Configuration </w:t>
      </w:r>
      <w:r w:rsidR="00EB3ECA">
        <w:rPr>
          <w:szCs w:val="24"/>
        </w:rPr>
        <w:t>b</w:t>
      </w:r>
      <w:r w:rsidRPr="00D25391">
        <w:rPr>
          <w:szCs w:val="24"/>
        </w:rPr>
        <w:t>ased modeling is only available for registered MCRs that are combined cycle Resources which can operate in more than one mode.  The most operational configurations that can be registered per an MCR is three</w:t>
      </w:r>
      <w:r w:rsidR="00EB3ECA">
        <w:rPr>
          <w:szCs w:val="24"/>
        </w:rPr>
        <w:t xml:space="preserve"> (3)</w:t>
      </w:r>
      <w:r w:rsidRPr="00D25391">
        <w:rPr>
          <w:szCs w:val="24"/>
        </w:rPr>
        <w:t>.</w:t>
      </w:r>
    </w:p>
    <w:p w14:paraId="217400FB" w14:textId="4131742B" w:rsidR="00BD64CF" w:rsidRPr="00D25391" w:rsidRDefault="00BD64CF" w:rsidP="00BD64CF">
      <w:pPr>
        <w:spacing w:line="300" w:lineRule="auto"/>
        <w:ind w:left="720" w:hanging="540"/>
        <w:rPr>
          <w:szCs w:val="24"/>
        </w:rPr>
      </w:pPr>
      <w:r w:rsidRPr="00D25391">
        <w:rPr>
          <w:szCs w:val="24"/>
        </w:rPr>
        <w:t>(</w:t>
      </w:r>
      <w:r>
        <w:rPr>
          <w:szCs w:val="24"/>
        </w:rPr>
        <w:t>3</w:t>
      </w:r>
      <w:r w:rsidRPr="00D25391">
        <w:rPr>
          <w:szCs w:val="24"/>
        </w:rPr>
        <w:t>)</w:t>
      </w:r>
      <w:r w:rsidRPr="00D25391">
        <w:rPr>
          <w:szCs w:val="24"/>
        </w:rPr>
        <w:tab/>
        <w:t xml:space="preserve">Market Participants </w:t>
      </w:r>
      <w:r>
        <w:rPr>
          <w:szCs w:val="24"/>
        </w:rPr>
        <w:t>must</w:t>
      </w:r>
      <w:r w:rsidRPr="00D25391">
        <w:rPr>
          <w:szCs w:val="24"/>
        </w:rPr>
        <w:t xml:space="preserve"> supply operating characteristics for each operational configuration of an MCR, including, but not limited to:  location of physical Resource, </w:t>
      </w:r>
      <w:r>
        <w:rPr>
          <w:szCs w:val="24"/>
        </w:rPr>
        <w:t>l</w:t>
      </w:r>
      <w:r w:rsidRPr="00D25391">
        <w:rPr>
          <w:szCs w:val="24"/>
        </w:rPr>
        <w:t xml:space="preserve">egal owner, Resource type set to MCR (see </w:t>
      </w:r>
      <w:r w:rsidR="00BC5583">
        <w:rPr>
          <w:szCs w:val="24"/>
        </w:rPr>
        <w:t>S</w:t>
      </w:r>
      <w:r w:rsidRPr="00D25391">
        <w:rPr>
          <w:szCs w:val="24"/>
        </w:rPr>
        <w:t xml:space="preserve">ection </w:t>
      </w:r>
      <w:r w:rsidR="00DA2ECC">
        <w:rPr>
          <w:szCs w:val="24"/>
        </w:rPr>
        <w:fldChar w:fldCharType="begin"/>
      </w:r>
      <w:r w:rsidR="00DA2ECC">
        <w:rPr>
          <w:szCs w:val="24"/>
        </w:rPr>
        <w:instrText xml:space="preserve"> REF _Ref212621289 \r \h </w:instrText>
      </w:r>
      <w:r w:rsidR="00DA2ECC">
        <w:rPr>
          <w:szCs w:val="24"/>
        </w:rPr>
      </w:r>
      <w:r w:rsidR="00DA2ECC">
        <w:rPr>
          <w:szCs w:val="24"/>
        </w:rPr>
        <w:fldChar w:fldCharType="separate"/>
      </w:r>
      <w:r w:rsidR="00DA2ECC">
        <w:rPr>
          <w:szCs w:val="24"/>
        </w:rPr>
        <w:t>9.1.1</w:t>
      </w:r>
      <w:r w:rsidR="00DA2ECC">
        <w:rPr>
          <w:szCs w:val="24"/>
        </w:rPr>
        <w:fldChar w:fldCharType="end"/>
      </w:r>
      <w:r w:rsidRPr="00D25391">
        <w:rPr>
          <w:szCs w:val="24"/>
        </w:rPr>
        <w:t xml:space="preserve">), and all of the non-price related operating parameters listed under Section </w:t>
      </w:r>
      <w:r w:rsidRPr="00D25391">
        <w:rPr>
          <w:szCs w:val="24"/>
        </w:rPr>
        <w:fldChar w:fldCharType="begin"/>
      </w:r>
      <w:r w:rsidRPr="00D25391">
        <w:rPr>
          <w:szCs w:val="24"/>
        </w:rPr>
        <w:instrText xml:space="preserve"> REF _Ref476749987 \r \h </w:instrText>
      </w:r>
      <w:r>
        <w:rPr>
          <w:szCs w:val="24"/>
        </w:rPr>
        <w:instrText xml:space="preserve"> \* MERGEFORMAT </w:instrText>
      </w:r>
      <w:r w:rsidRPr="00D25391">
        <w:rPr>
          <w:szCs w:val="24"/>
        </w:rPr>
      </w:r>
      <w:r w:rsidRPr="00D25391">
        <w:rPr>
          <w:szCs w:val="24"/>
        </w:rPr>
        <w:fldChar w:fldCharType="separate"/>
      </w:r>
      <w:r w:rsidRPr="00D25391">
        <w:rPr>
          <w:szCs w:val="24"/>
        </w:rPr>
        <w:t>4.2.2.1</w:t>
      </w:r>
      <w:r w:rsidRPr="00D25391">
        <w:rPr>
          <w:szCs w:val="24"/>
        </w:rPr>
        <w:fldChar w:fldCharType="end"/>
      </w:r>
      <w:r w:rsidRPr="00D25391">
        <w:rPr>
          <w:szCs w:val="24"/>
        </w:rPr>
        <w:t xml:space="preserve"> for each  operational configuration;</w:t>
      </w:r>
    </w:p>
    <w:p w14:paraId="7A566543" w14:textId="77777777" w:rsidR="00BD64CF" w:rsidRPr="00D25391" w:rsidRDefault="00BD64CF" w:rsidP="00BD64CF">
      <w:pPr>
        <w:spacing w:line="300" w:lineRule="auto"/>
        <w:ind w:left="720" w:hanging="540"/>
        <w:rPr>
          <w:szCs w:val="24"/>
        </w:rPr>
      </w:pPr>
      <w:r w:rsidRPr="00D25391">
        <w:rPr>
          <w:szCs w:val="24"/>
        </w:rPr>
        <w:t>(</w:t>
      </w:r>
      <w:r>
        <w:rPr>
          <w:szCs w:val="24"/>
        </w:rPr>
        <w:t>4</w:t>
      </w:r>
      <w:r w:rsidRPr="00D25391">
        <w:rPr>
          <w:szCs w:val="24"/>
        </w:rPr>
        <w:t>)</w:t>
      </w:r>
      <w:r w:rsidRPr="00D25391">
        <w:rPr>
          <w:szCs w:val="24"/>
        </w:rPr>
        <w:tab/>
        <w:t xml:space="preserve">Market Participants </w:t>
      </w:r>
      <w:r>
        <w:rPr>
          <w:szCs w:val="24"/>
        </w:rPr>
        <w:t>must</w:t>
      </w:r>
      <w:r w:rsidRPr="00D25391">
        <w:rPr>
          <w:szCs w:val="24"/>
        </w:rPr>
        <w:t xml:space="preserve"> supply a state transition matrix for each operational configuration.  The state transition matrix describes the state transition relationship between the individual operational configurations, and includes the following:</w:t>
      </w:r>
    </w:p>
    <w:p w14:paraId="5F77B180" w14:textId="77777777" w:rsidR="00BD64CF" w:rsidRPr="00D25391" w:rsidRDefault="00BD64CF" w:rsidP="00BD64CF">
      <w:pPr>
        <w:spacing w:before="120" w:line="300" w:lineRule="auto"/>
        <w:ind w:left="1440" w:hanging="720"/>
        <w:rPr>
          <w:szCs w:val="24"/>
        </w:rPr>
      </w:pPr>
      <w:r w:rsidRPr="00D25391">
        <w:rPr>
          <w:szCs w:val="24"/>
        </w:rPr>
        <w:t>(</w:t>
      </w:r>
      <w:r>
        <w:rPr>
          <w:szCs w:val="24"/>
        </w:rPr>
        <w:t>a</w:t>
      </w:r>
      <w:r w:rsidRPr="00D25391">
        <w:rPr>
          <w:szCs w:val="24"/>
        </w:rPr>
        <w:t>)</w:t>
      </w:r>
      <w:r w:rsidRPr="00D25391">
        <w:rPr>
          <w:b/>
          <w:szCs w:val="24"/>
        </w:rPr>
        <w:tab/>
        <w:t>Transition Enabled:</w:t>
      </w:r>
      <w:r w:rsidRPr="00D25391">
        <w:rPr>
          <w:szCs w:val="24"/>
        </w:rPr>
        <w:t xml:space="preserve"> a flag describing whether a configuration transition is allowed between two given configurations, in the direction of ‘From’ configuration towards ‘To’ configuration;</w:t>
      </w:r>
    </w:p>
    <w:p w14:paraId="0DE16693" w14:textId="352FB132" w:rsidR="00BD64CF" w:rsidRPr="00D25391" w:rsidRDefault="00BD64CF" w:rsidP="00BD64CF">
      <w:pPr>
        <w:spacing w:before="120" w:line="300" w:lineRule="auto"/>
        <w:ind w:left="1440" w:hanging="720"/>
        <w:rPr>
          <w:szCs w:val="24"/>
        </w:rPr>
      </w:pPr>
      <w:r w:rsidRPr="00D25391">
        <w:rPr>
          <w:szCs w:val="24"/>
        </w:rPr>
        <w:t>(</w:t>
      </w:r>
      <w:r>
        <w:rPr>
          <w:szCs w:val="24"/>
        </w:rPr>
        <w:t>b</w:t>
      </w:r>
      <w:r w:rsidRPr="00D25391">
        <w:rPr>
          <w:szCs w:val="24"/>
        </w:rPr>
        <w:t>)</w:t>
      </w:r>
      <w:r w:rsidRPr="00D25391">
        <w:rPr>
          <w:b/>
          <w:szCs w:val="24"/>
        </w:rPr>
        <w:tab/>
        <w:t>Transition Cost:</w:t>
      </w:r>
      <w:r w:rsidRPr="00D25391">
        <w:rPr>
          <w:szCs w:val="24"/>
        </w:rPr>
        <w:t xml:space="preserve"> the additional operational cost associated with a configuration transition, in the direction of ‘From’ configuration towards ‘To’ configuration;</w:t>
      </w:r>
      <w:r w:rsidR="0059234D">
        <w:rPr>
          <w:szCs w:val="24"/>
        </w:rPr>
        <w:t xml:space="preserve"> and</w:t>
      </w:r>
    </w:p>
    <w:p w14:paraId="1B28DE89" w14:textId="0E785F7F" w:rsidR="00BD64CF" w:rsidRPr="00D25391" w:rsidRDefault="00BD64CF" w:rsidP="00BD64CF">
      <w:pPr>
        <w:spacing w:before="120" w:line="300" w:lineRule="auto"/>
        <w:ind w:left="1440" w:hanging="720"/>
        <w:rPr>
          <w:szCs w:val="24"/>
        </w:rPr>
      </w:pPr>
      <w:r w:rsidRPr="00D25391">
        <w:rPr>
          <w:szCs w:val="24"/>
        </w:rPr>
        <w:t>(</w:t>
      </w:r>
      <w:r>
        <w:rPr>
          <w:szCs w:val="24"/>
        </w:rPr>
        <w:t>c</w:t>
      </w:r>
      <w:r w:rsidRPr="00D25391">
        <w:rPr>
          <w:szCs w:val="24"/>
        </w:rPr>
        <w:t>)</w:t>
      </w:r>
      <w:r w:rsidRPr="00D25391">
        <w:rPr>
          <w:b/>
          <w:szCs w:val="24"/>
        </w:rPr>
        <w:tab/>
        <w:t>Transition Time:</w:t>
      </w:r>
      <w:r w:rsidRPr="00D25391">
        <w:rPr>
          <w:szCs w:val="24"/>
        </w:rPr>
        <w:t xml:space="preserve"> the additional time needed for a configuration transition, in the direction of ‘From’ configuration towards ‘To’ configuration.  ;</w:t>
      </w:r>
    </w:p>
    <w:p w14:paraId="09EDEC0A" w14:textId="3F8C2E3A" w:rsidR="00BD64CF" w:rsidRPr="00D25391" w:rsidRDefault="00BD64CF" w:rsidP="00BD64CF">
      <w:pPr>
        <w:spacing w:line="300" w:lineRule="auto"/>
        <w:ind w:left="720"/>
        <w:rPr>
          <w:szCs w:val="24"/>
        </w:rPr>
      </w:pPr>
      <w:r w:rsidRPr="00D25391">
        <w:rPr>
          <w:szCs w:val="24"/>
        </w:rPr>
        <w:t xml:space="preserve">Exhibit </w:t>
      </w:r>
      <w:r>
        <w:rPr>
          <w:szCs w:val="24"/>
        </w:rPr>
        <w:t>9</w:t>
      </w:r>
      <w:r w:rsidRPr="00D25391">
        <w:rPr>
          <w:szCs w:val="24"/>
        </w:rPr>
        <w:t xml:space="preserve">-2 provides an example of a state transition matrix for Transition Costs which indicates that switching to configuration 2 will result in a </w:t>
      </w:r>
      <w:r w:rsidR="008B5F62">
        <w:rPr>
          <w:szCs w:val="24"/>
        </w:rPr>
        <w:t>T</w:t>
      </w:r>
      <w:r w:rsidRPr="00D25391">
        <w:rPr>
          <w:szCs w:val="24"/>
        </w:rPr>
        <w:t xml:space="preserve">ransition </w:t>
      </w:r>
      <w:r w:rsidR="008B5F62">
        <w:rPr>
          <w:szCs w:val="24"/>
        </w:rPr>
        <w:t>C</w:t>
      </w:r>
      <w:r w:rsidRPr="00D25391">
        <w:rPr>
          <w:szCs w:val="24"/>
        </w:rPr>
        <w:t>ost of $300, assuming the plant is operating in configuration 1 mode when the transition occurs.</w:t>
      </w:r>
    </w:p>
    <w:p w14:paraId="6BDBADB8" w14:textId="77777777" w:rsidR="00BD64CF" w:rsidRDefault="00BD64CF" w:rsidP="00CC62D5">
      <w:pPr>
        <w:spacing w:before="120" w:line="300" w:lineRule="auto"/>
        <w:jc w:val="center"/>
        <w:rPr>
          <w:b/>
          <w:szCs w:val="24"/>
        </w:rPr>
      </w:pPr>
    </w:p>
    <w:p w14:paraId="11827A99" w14:textId="1C0A7B1B" w:rsidR="00BD64CF" w:rsidRPr="00D25391" w:rsidRDefault="00BD64CF" w:rsidP="00CC62D5">
      <w:pPr>
        <w:spacing w:before="120" w:line="300" w:lineRule="auto"/>
        <w:jc w:val="center"/>
        <w:rPr>
          <w:b/>
        </w:rPr>
      </w:pPr>
      <w:bookmarkStart w:id="7232" w:name="_Toc432167887"/>
      <w:bookmarkStart w:id="7233" w:name="_Toc213772430"/>
      <w:r w:rsidRPr="004046DB">
        <w:rPr>
          <w:b/>
          <w:szCs w:val="24"/>
        </w:rPr>
        <w:t xml:space="preserve">Exhibit </w:t>
      </w:r>
      <w:r w:rsidR="00CC62D5" w:rsidRPr="004046DB">
        <w:rPr>
          <w:b/>
          <w:szCs w:val="24"/>
        </w:rPr>
        <w:fldChar w:fldCharType="begin"/>
      </w:r>
      <w:r w:rsidR="00CC62D5" w:rsidRPr="004046DB">
        <w:rPr>
          <w:b/>
          <w:szCs w:val="24"/>
        </w:rPr>
        <w:instrText xml:space="preserve"> STYLEREF 1 \s </w:instrText>
      </w:r>
      <w:r w:rsidR="00CC62D5" w:rsidRPr="004046DB">
        <w:rPr>
          <w:b/>
          <w:szCs w:val="24"/>
        </w:rPr>
        <w:fldChar w:fldCharType="separate"/>
      </w:r>
      <w:r w:rsidR="00CC62D5">
        <w:rPr>
          <w:b/>
          <w:noProof/>
          <w:szCs w:val="24"/>
        </w:rPr>
        <w:t>9</w:t>
      </w:r>
      <w:r w:rsidR="00CC62D5" w:rsidRPr="004046DB">
        <w:rPr>
          <w:b/>
          <w:szCs w:val="24"/>
        </w:rPr>
        <w:fldChar w:fldCharType="end"/>
      </w:r>
      <w:r w:rsidR="00CC62D5" w:rsidRPr="004046DB">
        <w:rPr>
          <w:b/>
          <w:szCs w:val="24"/>
        </w:rPr>
        <w:noBreakHyphen/>
      </w:r>
      <w:r w:rsidR="00CC62D5" w:rsidRPr="004046DB">
        <w:rPr>
          <w:b/>
          <w:szCs w:val="24"/>
        </w:rPr>
        <w:fldChar w:fldCharType="begin"/>
      </w:r>
      <w:r w:rsidR="00CC62D5" w:rsidRPr="004046DB">
        <w:rPr>
          <w:b/>
          <w:szCs w:val="24"/>
        </w:rPr>
        <w:instrText xml:space="preserve"> SEQ Exhibit \* ARABIC \s 1 </w:instrText>
      </w:r>
      <w:r w:rsidR="00CC62D5" w:rsidRPr="004046DB">
        <w:rPr>
          <w:b/>
          <w:szCs w:val="24"/>
        </w:rPr>
        <w:fldChar w:fldCharType="separate"/>
      </w:r>
      <w:r w:rsidR="00CC62D5">
        <w:rPr>
          <w:b/>
          <w:noProof/>
          <w:szCs w:val="24"/>
        </w:rPr>
        <w:t>2</w:t>
      </w:r>
      <w:r w:rsidR="00CC62D5" w:rsidRPr="004046DB">
        <w:rPr>
          <w:b/>
          <w:szCs w:val="24"/>
        </w:rPr>
        <w:fldChar w:fldCharType="end"/>
      </w:r>
      <w:r>
        <w:rPr>
          <w:b/>
          <w:szCs w:val="24"/>
        </w:rPr>
        <w:t xml:space="preserve">: </w:t>
      </w:r>
      <w:r w:rsidRPr="00D25391">
        <w:rPr>
          <w:b/>
        </w:rPr>
        <w:t>MCR Transition Cost Matrix</w:t>
      </w:r>
      <w:bookmarkEnd w:id="7232"/>
      <w:bookmarkEnd w:id="7233"/>
    </w:p>
    <w:p w14:paraId="55A5F707" w14:textId="77777777" w:rsidR="00BD64CF" w:rsidRPr="00D25391" w:rsidRDefault="00BD64CF" w:rsidP="00BD64CF">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885"/>
        <w:gridCol w:w="1890"/>
        <w:gridCol w:w="1980"/>
      </w:tblGrid>
      <w:tr w:rsidR="00BD64CF" w:rsidRPr="00D25391" w14:paraId="06DAD7F0" w14:textId="77777777" w:rsidTr="00D14054">
        <w:trPr>
          <w:cantSplit/>
          <w:tblHeader/>
          <w:jc w:val="center"/>
        </w:trPr>
        <w:tc>
          <w:tcPr>
            <w:tcW w:w="1895" w:type="dxa"/>
            <w:tcBorders>
              <w:bottom w:val="single" w:sz="4" w:space="0" w:color="auto"/>
            </w:tcBorders>
            <w:shd w:val="clear" w:color="auto" w:fill="F2F2F2"/>
          </w:tcPr>
          <w:p w14:paraId="5B02B144" w14:textId="77777777" w:rsidR="00BD64CF" w:rsidRPr="00D25391" w:rsidRDefault="00BD64CF" w:rsidP="00D14054">
            <w:pPr>
              <w:ind w:left="240" w:hanging="240"/>
            </w:pPr>
            <w:r w:rsidRPr="00D25391">
              <w:rPr>
                <w:b/>
                <w:color w:val="000000"/>
                <w:u w:val="single"/>
              </w:rPr>
              <w:t>From &gt; To</w:t>
            </w:r>
          </w:p>
        </w:tc>
        <w:tc>
          <w:tcPr>
            <w:tcW w:w="1885" w:type="dxa"/>
            <w:tcBorders>
              <w:bottom w:val="single" w:sz="4" w:space="0" w:color="auto"/>
            </w:tcBorders>
            <w:shd w:val="clear" w:color="auto" w:fill="F2F2F2"/>
            <w:vAlign w:val="bottom"/>
          </w:tcPr>
          <w:p w14:paraId="115762DC" w14:textId="77777777" w:rsidR="00BD64CF" w:rsidRPr="00D25391" w:rsidRDefault="00BD64CF" w:rsidP="00D14054">
            <w:pPr>
              <w:ind w:left="240" w:hanging="240"/>
              <w:jc w:val="center"/>
              <w:rPr>
                <w:rFonts w:eastAsia="Calibri"/>
                <w:b/>
                <w:color w:val="000000"/>
              </w:rPr>
            </w:pPr>
            <w:r w:rsidRPr="00D25391">
              <w:rPr>
                <w:b/>
                <w:color w:val="000000"/>
              </w:rPr>
              <w:t>Configuration 1</w:t>
            </w:r>
          </w:p>
        </w:tc>
        <w:tc>
          <w:tcPr>
            <w:tcW w:w="1890" w:type="dxa"/>
            <w:shd w:val="clear" w:color="auto" w:fill="F2F2F2"/>
            <w:vAlign w:val="bottom"/>
          </w:tcPr>
          <w:p w14:paraId="60784DA3" w14:textId="77777777" w:rsidR="00BD64CF" w:rsidRPr="00D25391" w:rsidRDefault="00BD64CF" w:rsidP="00D14054">
            <w:pPr>
              <w:ind w:left="240" w:hanging="240"/>
              <w:jc w:val="center"/>
              <w:rPr>
                <w:rFonts w:eastAsia="Calibri"/>
                <w:b/>
                <w:color w:val="000000"/>
              </w:rPr>
            </w:pPr>
            <w:r w:rsidRPr="00D25391">
              <w:rPr>
                <w:b/>
                <w:color w:val="000000"/>
              </w:rPr>
              <w:t>Configuration 2</w:t>
            </w:r>
          </w:p>
        </w:tc>
        <w:tc>
          <w:tcPr>
            <w:tcW w:w="1980" w:type="dxa"/>
            <w:shd w:val="clear" w:color="auto" w:fill="F2F2F2"/>
            <w:vAlign w:val="bottom"/>
          </w:tcPr>
          <w:p w14:paraId="02475D81" w14:textId="77777777" w:rsidR="00BD64CF" w:rsidRPr="00D25391" w:rsidRDefault="00BD64CF" w:rsidP="00D14054">
            <w:pPr>
              <w:ind w:left="240" w:hanging="240"/>
              <w:jc w:val="center"/>
              <w:rPr>
                <w:rFonts w:eastAsia="Calibri"/>
                <w:b/>
                <w:color w:val="000000"/>
              </w:rPr>
            </w:pPr>
            <w:r w:rsidRPr="00D25391">
              <w:rPr>
                <w:b/>
                <w:color w:val="000000"/>
              </w:rPr>
              <w:t>Configuration 3</w:t>
            </w:r>
          </w:p>
        </w:tc>
      </w:tr>
      <w:tr w:rsidR="00BD64CF" w:rsidRPr="00D25391" w14:paraId="5CD817C6" w14:textId="77777777" w:rsidTr="00D14054">
        <w:trPr>
          <w:cantSplit/>
          <w:tblHeader/>
          <w:jc w:val="center"/>
        </w:trPr>
        <w:tc>
          <w:tcPr>
            <w:tcW w:w="1895" w:type="dxa"/>
            <w:shd w:val="clear" w:color="auto" w:fill="F2F2F2"/>
            <w:vAlign w:val="bottom"/>
          </w:tcPr>
          <w:p w14:paraId="149ABCE7" w14:textId="77777777" w:rsidR="00BD64CF" w:rsidRPr="00D25391" w:rsidRDefault="00BD64CF" w:rsidP="00D14054">
            <w:pPr>
              <w:ind w:left="240" w:hanging="240"/>
              <w:jc w:val="center"/>
              <w:rPr>
                <w:rFonts w:eastAsia="Calibri"/>
                <w:b/>
                <w:color w:val="000000"/>
              </w:rPr>
            </w:pPr>
            <w:r w:rsidRPr="00D25391">
              <w:rPr>
                <w:b/>
                <w:color w:val="000000"/>
              </w:rPr>
              <w:t>Configuration 1</w:t>
            </w:r>
          </w:p>
        </w:tc>
        <w:tc>
          <w:tcPr>
            <w:tcW w:w="1885" w:type="dxa"/>
            <w:shd w:val="clear" w:color="auto" w:fill="D9D9D9"/>
            <w:vAlign w:val="bottom"/>
          </w:tcPr>
          <w:p w14:paraId="0F4DA28F" w14:textId="77777777" w:rsidR="00BD64CF" w:rsidRPr="00D25391" w:rsidRDefault="00BD64CF" w:rsidP="00D14054">
            <w:pPr>
              <w:ind w:left="240" w:hanging="240"/>
              <w:jc w:val="center"/>
              <w:rPr>
                <w:rFonts w:eastAsia="Calibri"/>
                <w:color w:val="000000"/>
              </w:rPr>
            </w:pPr>
            <w:r w:rsidRPr="00D25391">
              <w:rPr>
                <w:color w:val="000000"/>
              </w:rPr>
              <w:t> </w:t>
            </w:r>
          </w:p>
        </w:tc>
        <w:tc>
          <w:tcPr>
            <w:tcW w:w="1890" w:type="dxa"/>
            <w:tcBorders>
              <w:bottom w:val="single" w:sz="4" w:space="0" w:color="auto"/>
            </w:tcBorders>
            <w:vAlign w:val="bottom"/>
          </w:tcPr>
          <w:p w14:paraId="3061F877" w14:textId="091D222A" w:rsidR="00BD64CF" w:rsidRPr="00D25391" w:rsidRDefault="00D629F3" w:rsidP="00D14054">
            <w:pPr>
              <w:ind w:left="240" w:hanging="240"/>
              <w:jc w:val="center"/>
              <w:rPr>
                <w:rFonts w:eastAsia="Calibri"/>
                <w:color w:val="000000"/>
              </w:rPr>
            </w:pPr>
            <w:r>
              <w:rPr>
                <w:color w:val="000000"/>
              </w:rPr>
              <w:t>$</w:t>
            </w:r>
            <w:r w:rsidR="00BD64CF" w:rsidRPr="00D25391">
              <w:rPr>
                <w:color w:val="000000"/>
              </w:rPr>
              <w:t>300</w:t>
            </w:r>
          </w:p>
        </w:tc>
        <w:tc>
          <w:tcPr>
            <w:tcW w:w="1980" w:type="dxa"/>
            <w:vAlign w:val="bottom"/>
          </w:tcPr>
          <w:p w14:paraId="3985CB61" w14:textId="2F7C1B2C" w:rsidR="00BD64CF" w:rsidRPr="00D25391" w:rsidRDefault="00D629F3" w:rsidP="00D14054">
            <w:pPr>
              <w:ind w:left="240" w:hanging="240"/>
              <w:jc w:val="center"/>
              <w:rPr>
                <w:rFonts w:eastAsia="Calibri"/>
                <w:color w:val="000000"/>
              </w:rPr>
            </w:pPr>
            <w:r>
              <w:rPr>
                <w:color w:val="000000"/>
              </w:rPr>
              <w:t>$</w:t>
            </w:r>
            <w:r w:rsidR="00BD64CF" w:rsidRPr="00D25391">
              <w:rPr>
                <w:color w:val="000000"/>
              </w:rPr>
              <w:t>2,000</w:t>
            </w:r>
          </w:p>
        </w:tc>
      </w:tr>
      <w:tr w:rsidR="00BD64CF" w:rsidRPr="00D25391" w14:paraId="61D4D633" w14:textId="77777777" w:rsidTr="00D14054">
        <w:trPr>
          <w:cantSplit/>
          <w:tblHeader/>
          <w:jc w:val="center"/>
        </w:trPr>
        <w:tc>
          <w:tcPr>
            <w:tcW w:w="1895" w:type="dxa"/>
            <w:shd w:val="clear" w:color="auto" w:fill="F2F2F2"/>
            <w:vAlign w:val="bottom"/>
          </w:tcPr>
          <w:p w14:paraId="6914ECAE" w14:textId="77777777" w:rsidR="00BD64CF" w:rsidRPr="00D25391" w:rsidRDefault="00BD64CF" w:rsidP="00D14054">
            <w:pPr>
              <w:ind w:left="240" w:hanging="240"/>
              <w:jc w:val="center"/>
              <w:rPr>
                <w:rFonts w:eastAsia="Calibri"/>
                <w:b/>
                <w:color w:val="000000"/>
              </w:rPr>
            </w:pPr>
            <w:r w:rsidRPr="00D25391">
              <w:rPr>
                <w:b/>
                <w:color w:val="000000"/>
              </w:rPr>
              <w:t>Configuration 2</w:t>
            </w:r>
          </w:p>
        </w:tc>
        <w:tc>
          <w:tcPr>
            <w:tcW w:w="1885" w:type="dxa"/>
            <w:vAlign w:val="bottom"/>
          </w:tcPr>
          <w:p w14:paraId="62C8C2AC" w14:textId="77777777" w:rsidR="00BD64CF" w:rsidRPr="00D25391" w:rsidRDefault="00BD64CF" w:rsidP="00D14054">
            <w:pPr>
              <w:ind w:left="240" w:hanging="240"/>
              <w:jc w:val="center"/>
              <w:rPr>
                <w:rFonts w:eastAsia="Calibri"/>
                <w:color w:val="000000"/>
              </w:rPr>
            </w:pPr>
            <w:r w:rsidRPr="00D25391">
              <w:rPr>
                <w:color w:val="000000"/>
              </w:rPr>
              <w:t>0</w:t>
            </w:r>
          </w:p>
        </w:tc>
        <w:tc>
          <w:tcPr>
            <w:tcW w:w="1890" w:type="dxa"/>
            <w:shd w:val="clear" w:color="auto" w:fill="D9D9D9"/>
            <w:vAlign w:val="bottom"/>
          </w:tcPr>
          <w:p w14:paraId="4AE13D2A" w14:textId="77777777" w:rsidR="00BD64CF" w:rsidRPr="00D25391" w:rsidRDefault="00BD64CF" w:rsidP="00D14054">
            <w:pPr>
              <w:ind w:left="240" w:hanging="240"/>
              <w:jc w:val="center"/>
              <w:rPr>
                <w:rFonts w:eastAsia="Calibri"/>
                <w:color w:val="000000"/>
              </w:rPr>
            </w:pPr>
            <w:r w:rsidRPr="00D25391">
              <w:rPr>
                <w:color w:val="000000"/>
              </w:rPr>
              <w:t> </w:t>
            </w:r>
          </w:p>
        </w:tc>
        <w:tc>
          <w:tcPr>
            <w:tcW w:w="1980" w:type="dxa"/>
            <w:tcBorders>
              <w:bottom w:val="single" w:sz="4" w:space="0" w:color="auto"/>
            </w:tcBorders>
            <w:vAlign w:val="bottom"/>
          </w:tcPr>
          <w:p w14:paraId="3DF457B0" w14:textId="07864E99" w:rsidR="00BD64CF" w:rsidRPr="00D25391" w:rsidRDefault="00D629F3" w:rsidP="00D14054">
            <w:pPr>
              <w:ind w:left="240" w:hanging="240"/>
              <w:jc w:val="center"/>
              <w:rPr>
                <w:rFonts w:eastAsia="Calibri"/>
                <w:color w:val="000000"/>
              </w:rPr>
            </w:pPr>
            <w:r>
              <w:rPr>
                <w:color w:val="000000"/>
              </w:rPr>
              <w:t>$</w:t>
            </w:r>
            <w:r w:rsidR="00BD64CF" w:rsidRPr="00D25391">
              <w:rPr>
                <w:color w:val="000000"/>
              </w:rPr>
              <w:t>1,500</w:t>
            </w:r>
          </w:p>
        </w:tc>
      </w:tr>
      <w:tr w:rsidR="00BD64CF" w:rsidRPr="00D25391" w14:paraId="41800C9C" w14:textId="77777777" w:rsidTr="00D14054">
        <w:trPr>
          <w:cantSplit/>
          <w:tblHeader/>
          <w:jc w:val="center"/>
        </w:trPr>
        <w:tc>
          <w:tcPr>
            <w:tcW w:w="1895" w:type="dxa"/>
            <w:shd w:val="clear" w:color="auto" w:fill="F2F2F2"/>
            <w:vAlign w:val="bottom"/>
          </w:tcPr>
          <w:p w14:paraId="3D2A4582" w14:textId="77777777" w:rsidR="00BD64CF" w:rsidRPr="00D25391" w:rsidRDefault="00BD64CF" w:rsidP="00D14054">
            <w:pPr>
              <w:ind w:left="240" w:hanging="240"/>
              <w:jc w:val="center"/>
              <w:rPr>
                <w:rFonts w:eastAsia="Calibri"/>
                <w:b/>
                <w:color w:val="000000"/>
              </w:rPr>
            </w:pPr>
            <w:r w:rsidRPr="00D25391">
              <w:rPr>
                <w:b/>
                <w:color w:val="000000"/>
              </w:rPr>
              <w:t>Configuration 3</w:t>
            </w:r>
          </w:p>
        </w:tc>
        <w:tc>
          <w:tcPr>
            <w:tcW w:w="1885" w:type="dxa"/>
            <w:vAlign w:val="bottom"/>
          </w:tcPr>
          <w:p w14:paraId="19B9640C" w14:textId="77777777" w:rsidR="00BD64CF" w:rsidRPr="00D25391" w:rsidRDefault="00BD64CF" w:rsidP="00D14054">
            <w:pPr>
              <w:ind w:left="240" w:hanging="240"/>
              <w:jc w:val="center"/>
              <w:rPr>
                <w:rFonts w:eastAsia="Calibri"/>
                <w:color w:val="000000"/>
              </w:rPr>
            </w:pPr>
            <w:r w:rsidRPr="00D25391">
              <w:rPr>
                <w:color w:val="000000"/>
              </w:rPr>
              <w:t>0</w:t>
            </w:r>
          </w:p>
        </w:tc>
        <w:tc>
          <w:tcPr>
            <w:tcW w:w="1890" w:type="dxa"/>
            <w:vAlign w:val="bottom"/>
          </w:tcPr>
          <w:p w14:paraId="783FCF56" w14:textId="77777777" w:rsidR="00BD64CF" w:rsidRPr="00D25391" w:rsidRDefault="00BD64CF" w:rsidP="00D14054">
            <w:pPr>
              <w:ind w:left="240" w:hanging="240"/>
              <w:jc w:val="center"/>
              <w:rPr>
                <w:rFonts w:eastAsia="Calibri"/>
                <w:color w:val="000000"/>
              </w:rPr>
            </w:pPr>
            <w:r w:rsidRPr="00D25391">
              <w:rPr>
                <w:color w:val="000000"/>
              </w:rPr>
              <w:t>0</w:t>
            </w:r>
          </w:p>
        </w:tc>
        <w:tc>
          <w:tcPr>
            <w:tcW w:w="1980" w:type="dxa"/>
            <w:shd w:val="clear" w:color="auto" w:fill="D9D9D9"/>
            <w:vAlign w:val="bottom"/>
          </w:tcPr>
          <w:p w14:paraId="4302122C" w14:textId="77777777" w:rsidR="00BD64CF" w:rsidRPr="00D25391" w:rsidRDefault="00BD64CF" w:rsidP="00D14054">
            <w:pPr>
              <w:ind w:left="240" w:hanging="240"/>
              <w:jc w:val="center"/>
              <w:rPr>
                <w:rFonts w:eastAsia="Calibri"/>
                <w:color w:val="000000"/>
              </w:rPr>
            </w:pPr>
            <w:r w:rsidRPr="00D25391">
              <w:rPr>
                <w:color w:val="000000"/>
              </w:rPr>
              <w:t> </w:t>
            </w:r>
          </w:p>
        </w:tc>
      </w:tr>
    </w:tbl>
    <w:p w14:paraId="6870825A" w14:textId="77777777" w:rsidR="00BD64CF" w:rsidRPr="00D25391" w:rsidRDefault="00BD64CF" w:rsidP="00BD64CF"/>
    <w:p w14:paraId="3F45B40D" w14:textId="77777777" w:rsidR="00BD64CF" w:rsidRPr="00D25391" w:rsidRDefault="00BD64CF" w:rsidP="00BD64CF">
      <w:pPr>
        <w:spacing w:line="300" w:lineRule="auto"/>
        <w:ind w:left="720" w:hanging="540"/>
        <w:rPr>
          <w:szCs w:val="24"/>
        </w:rPr>
      </w:pPr>
      <w:r w:rsidRPr="00D25391">
        <w:rPr>
          <w:szCs w:val="24"/>
        </w:rPr>
        <w:t>(</w:t>
      </w:r>
      <w:r>
        <w:rPr>
          <w:szCs w:val="24"/>
        </w:rPr>
        <w:t>5</w:t>
      </w:r>
      <w:r w:rsidRPr="00D25391">
        <w:rPr>
          <w:szCs w:val="24"/>
        </w:rPr>
        <w:t>)</w:t>
      </w:r>
      <w:r w:rsidRPr="00D25391">
        <w:rPr>
          <w:szCs w:val="24"/>
        </w:rPr>
        <w:tab/>
        <w:t xml:space="preserve">Market Participants </w:t>
      </w:r>
      <w:r>
        <w:rPr>
          <w:szCs w:val="24"/>
        </w:rPr>
        <w:t>must</w:t>
      </w:r>
      <w:r w:rsidRPr="00D25391">
        <w:rPr>
          <w:szCs w:val="24"/>
        </w:rPr>
        <w:t xml:space="preserve"> submit an MCR capability array.  The capability array stores information on the physical units that can participate in the operational state described by a logical operational configuration.  Exhibit </w:t>
      </w:r>
      <w:r>
        <w:rPr>
          <w:szCs w:val="24"/>
        </w:rPr>
        <w:t>9</w:t>
      </w:r>
      <w:r w:rsidRPr="00D25391">
        <w:rPr>
          <w:szCs w:val="24"/>
        </w:rPr>
        <w:t>-3 provides an example of a configuration capability array.</w:t>
      </w:r>
    </w:p>
    <w:p w14:paraId="70192C23" w14:textId="1A87B740" w:rsidR="00BD64CF" w:rsidRPr="00D25391" w:rsidRDefault="00BD64CF" w:rsidP="00A817DB">
      <w:pPr>
        <w:spacing w:before="120" w:line="300" w:lineRule="auto"/>
        <w:jc w:val="center"/>
        <w:rPr>
          <w:b/>
          <w:szCs w:val="24"/>
        </w:rPr>
      </w:pPr>
      <w:bookmarkStart w:id="7234" w:name="_Toc213772431"/>
      <w:r w:rsidRPr="00D25391">
        <w:rPr>
          <w:b/>
          <w:szCs w:val="24"/>
        </w:rPr>
        <w:t xml:space="preserve">Exhibit </w:t>
      </w:r>
      <w:r w:rsidR="00A817DB" w:rsidRPr="004046DB">
        <w:rPr>
          <w:b/>
          <w:szCs w:val="24"/>
        </w:rPr>
        <w:fldChar w:fldCharType="begin"/>
      </w:r>
      <w:r w:rsidR="00A817DB" w:rsidRPr="004046DB">
        <w:rPr>
          <w:b/>
          <w:szCs w:val="24"/>
        </w:rPr>
        <w:instrText xml:space="preserve"> STYLEREF 1 \s </w:instrText>
      </w:r>
      <w:r w:rsidR="00A817DB" w:rsidRPr="004046DB">
        <w:rPr>
          <w:b/>
          <w:szCs w:val="24"/>
        </w:rPr>
        <w:fldChar w:fldCharType="separate"/>
      </w:r>
      <w:r w:rsidR="00A817DB">
        <w:rPr>
          <w:b/>
          <w:noProof/>
          <w:szCs w:val="24"/>
        </w:rPr>
        <w:t>9</w:t>
      </w:r>
      <w:r w:rsidR="00A817DB" w:rsidRPr="004046DB">
        <w:rPr>
          <w:b/>
          <w:szCs w:val="24"/>
        </w:rPr>
        <w:fldChar w:fldCharType="end"/>
      </w:r>
      <w:r w:rsidR="00A817DB" w:rsidRPr="004046DB">
        <w:rPr>
          <w:b/>
          <w:szCs w:val="24"/>
        </w:rPr>
        <w:noBreakHyphen/>
      </w:r>
      <w:r w:rsidR="00A817DB" w:rsidRPr="004046DB">
        <w:rPr>
          <w:b/>
          <w:szCs w:val="24"/>
        </w:rPr>
        <w:fldChar w:fldCharType="begin"/>
      </w:r>
      <w:r w:rsidR="00A817DB" w:rsidRPr="004046DB">
        <w:rPr>
          <w:b/>
          <w:szCs w:val="24"/>
        </w:rPr>
        <w:instrText xml:space="preserve"> SEQ Exhibit \* ARABIC \s 1 </w:instrText>
      </w:r>
      <w:r w:rsidR="00A817DB" w:rsidRPr="004046DB">
        <w:rPr>
          <w:b/>
          <w:szCs w:val="24"/>
        </w:rPr>
        <w:fldChar w:fldCharType="separate"/>
      </w:r>
      <w:r w:rsidR="00A817DB">
        <w:rPr>
          <w:b/>
          <w:noProof/>
          <w:szCs w:val="24"/>
        </w:rPr>
        <w:t>3</w:t>
      </w:r>
      <w:r w:rsidR="00A817DB" w:rsidRPr="004046DB">
        <w:rPr>
          <w:b/>
          <w:szCs w:val="24"/>
        </w:rPr>
        <w:fldChar w:fldCharType="end"/>
      </w:r>
      <w:r w:rsidRPr="00D25391">
        <w:rPr>
          <w:b/>
          <w:szCs w:val="24"/>
        </w:rPr>
        <w:t xml:space="preserve">: </w:t>
      </w:r>
      <w:r>
        <w:rPr>
          <w:b/>
          <w:szCs w:val="24"/>
        </w:rPr>
        <w:t xml:space="preserve">3 x 1 </w:t>
      </w:r>
      <w:r w:rsidRPr="00D25391">
        <w:rPr>
          <w:b/>
          <w:szCs w:val="24"/>
        </w:rPr>
        <w:t>MCR Capability Array</w:t>
      </w:r>
      <w:bookmarkEnd w:id="7234"/>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2605"/>
        <w:gridCol w:w="2520"/>
      </w:tblGrid>
      <w:tr w:rsidR="00BD64CF" w:rsidRPr="00D25391" w14:paraId="08A3AB62" w14:textId="77777777" w:rsidTr="00D14054">
        <w:tc>
          <w:tcPr>
            <w:tcW w:w="2453" w:type="dxa"/>
          </w:tcPr>
          <w:p w14:paraId="10BF3D9E" w14:textId="77777777" w:rsidR="00BD64CF" w:rsidRPr="00D25391" w:rsidRDefault="00BD64CF" w:rsidP="00D14054">
            <w:pPr>
              <w:tabs>
                <w:tab w:val="left" w:pos="1440"/>
              </w:tabs>
              <w:spacing w:before="240" w:line="300" w:lineRule="auto"/>
              <w:jc w:val="center"/>
              <w:rPr>
                <w:b/>
              </w:rPr>
            </w:pPr>
            <w:r w:rsidRPr="00D25391">
              <w:rPr>
                <w:b/>
              </w:rPr>
              <w:t>Configuration 1 X 1</w:t>
            </w:r>
          </w:p>
        </w:tc>
        <w:tc>
          <w:tcPr>
            <w:tcW w:w="2605" w:type="dxa"/>
          </w:tcPr>
          <w:p w14:paraId="13AB9677" w14:textId="77777777" w:rsidR="00BD64CF" w:rsidRPr="00D25391" w:rsidRDefault="00BD64CF" w:rsidP="00D14054">
            <w:pPr>
              <w:tabs>
                <w:tab w:val="left" w:pos="1440"/>
              </w:tabs>
              <w:spacing w:before="240" w:line="300" w:lineRule="auto"/>
              <w:jc w:val="center"/>
              <w:rPr>
                <w:b/>
              </w:rPr>
            </w:pPr>
            <w:r w:rsidRPr="00D25391">
              <w:rPr>
                <w:b/>
              </w:rPr>
              <w:t>Configuration 2 X 1</w:t>
            </w:r>
          </w:p>
        </w:tc>
        <w:tc>
          <w:tcPr>
            <w:tcW w:w="2520" w:type="dxa"/>
          </w:tcPr>
          <w:p w14:paraId="38B81252" w14:textId="77777777" w:rsidR="00BD64CF" w:rsidRPr="00D25391" w:rsidRDefault="00BD64CF" w:rsidP="00D14054">
            <w:pPr>
              <w:tabs>
                <w:tab w:val="left" w:pos="1440"/>
              </w:tabs>
              <w:spacing w:before="240" w:line="300" w:lineRule="auto"/>
              <w:jc w:val="center"/>
              <w:rPr>
                <w:b/>
              </w:rPr>
            </w:pPr>
            <w:r w:rsidRPr="00D25391">
              <w:rPr>
                <w:b/>
              </w:rPr>
              <w:t>Configuration 3 X 1</w:t>
            </w:r>
          </w:p>
        </w:tc>
      </w:tr>
      <w:tr w:rsidR="00BD64CF" w:rsidRPr="00D25391" w14:paraId="5E979911" w14:textId="77777777" w:rsidTr="00D14054">
        <w:tc>
          <w:tcPr>
            <w:tcW w:w="2453" w:type="dxa"/>
          </w:tcPr>
          <w:p w14:paraId="09F28F0B" w14:textId="77777777" w:rsidR="00BD64CF" w:rsidRPr="00D25391" w:rsidRDefault="00BD64CF" w:rsidP="00D14054">
            <w:pPr>
              <w:tabs>
                <w:tab w:val="left" w:pos="1440"/>
              </w:tabs>
              <w:spacing w:before="240" w:line="300" w:lineRule="auto"/>
              <w:jc w:val="center"/>
              <w:rPr>
                <w:b/>
              </w:rPr>
            </w:pPr>
            <w:r w:rsidRPr="00D25391">
              <w:rPr>
                <w:b/>
              </w:rPr>
              <w:t>CT-1, ST</w:t>
            </w:r>
          </w:p>
        </w:tc>
        <w:tc>
          <w:tcPr>
            <w:tcW w:w="2605" w:type="dxa"/>
          </w:tcPr>
          <w:p w14:paraId="39665491" w14:textId="77777777" w:rsidR="00BD64CF" w:rsidRPr="00D25391" w:rsidRDefault="00BD64CF" w:rsidP="00D14054">
            <w:pPr>
              <w:tabs>
                <w:tab w:val="left" w:pos="1440"/>
              </w:tabs>
              <w:spacing w:before="240" w:line="300" w:lineRule="auto"/>
              <w:jc w:val="center"/>
              <w:rPr>
                <w:b/>
              </w:rPr>
            </w:pPr>
            <w:r w:rsidRPr="00D25391">
              <w:rPr>
                <w:b/>
              </w:rPr>
              <w:t>CT-1, CT-2, ST</w:t>
            </w:r>
          </w:p>
        </w:tc>
        <w:tc>
          <w:tcPr>
            <w:tcW w:w="2520" w:type="dxa"/>
          </w:tcPr>
          <w:p w14:paraId="25C701AA" w14:textId="77777777" w:rsidR="00BD64CF" w:rsidRPr="00D25391" w:rsidRDefault="00BD64CF" w:rsidP="00D14054">
            <w:pPr>
              <w:tabs>
                <w:tab w:val="left" w:pos="1440"/>
              </w:tabs>
              <w:spacing w:before="240" w:line="300" w:lineRule="auto"/>
              <w:jc w:val="center"/>
              <w:rPr>
                <w:b/>
              </w:rPr>
            </w:pPr>
            <w:r w:rsidRPr="00D25391">
              <w:rPr>
                <w:b/>
              </w:rPr>
              <w:t>CT-1, CT-2, CT-3, ST</w:t>
            </w:r>
          </w:p>
        </w:tc>
      </w:tr>
      <w:tr w:rsidR="00BD64CF" w:rsidRPr="00D25391" w14:paraId="7893C09C" w14:textId="77777777" w:rsidTr="00D14054">
        <w:tc>
          <w:tcPr>
            <w:tcW w:w="2453" w:type="dxa"/>
          </w:tcPr>
          <w:p w14:paraId="78D817DC" w14:textId="77777777" w:rsidR="00BD64CF" w:rsidRPr="00D25391" w:rsidRDefault="00BD64CF" w:rsidP="00D14054">
            <w:pPr>
              <w:tabs>
                <w:tab w:val="left" w:pos="1440"/>
              </w:tabs>
              <w:spacing w:before="240" w:line="300" w:lineRule="auto"/>
              <w:jc w:val="center"/>
              <w:rPr>
                <w:b/>
              </w:rPr>
            </w:pPr>
            <w:r w:rsidRPr="00D25391">
              <w:rPr>
                <w:b/>
              </w:rPr>
              <w:t>CT-2, ST</w:t>
            </w:r>
          </w:p>
        </w:tc>
        <w:tc>
          <w:tcPr>
            <w:tcW w:w="2605" w:type="dxa"/>
          </w:tcPr>
          <w:p w14:paraId="15184856" w14:textId="77777777" w:rsidR="00BD64CF" w:rsidRPr="00D25391" w:rsidRDefault="00BD64CF" w:rsidP="00D14054">
            <w:pPr>
              <w:tabs>
                <w:tab w:val="left" w:pos="1440"/>
              </w:tabs>
              <w:spacing w:before="240" w:line="300" w:lineRule="auto"/>
              <w:jc w:val="center"/>
              <w:rPr>
                <w:b/>
              </w:rPr>
            </w:pPr>
            <w:r w:rsidRPr="00D25391">
              <w:rPr>
                <w:b/>
              </w:rPr>
              <w:t>CT-2, CT-3, ST</w:t>
            </w:r>
          </w:p>
        </w:tc>
        <w:tc>
          <w:tcPr>
            <w:tcW w:w="2520" w:type="dxa"/>
          </w:tcPr>
          <w:p w14:paraId="5F9BD6FE" w14:textId="77777777" w:rsidR="00BD64CF" w:rsidRPr="00D25391" w:rsidRDefault="00BD64CF" w:rsidP="00D14054">
            <w:pPr>
              <w:tabs>
                <w:tab w:val="left" w:pos="1440"/>
              </w:tabs>
              <w:spacing w:before="240" w:line="300" w:lineRule="auto"/>
              <w:jc w:val="center"/>
              <w:rPr>
                <w:b/>
              </w:rPr>
            </w:pPr>
          </w:p>
        </w:tc>
      </w:tr>
      <w:tr w:rsidR="00BD64CF" w:rsidRPr="00D25391" w14:paraId="295DBCED" w14:textId="77777777" w:rsidTr="00D14054">
        <w:tc>
          <w:tcPr>
            <w:tcW w:w="2453" w:type="dxa"/>
          </w:tcPr>
          <w:p w14:paraId="575127EB" w14:textId="77777777" w:rsidR="00BD64CF" w:rsidRPr="00D25391" w:rsidRDefault="00BD64CF" w:rsidP="00D14054">
            <w:pPr>
              <w:tabs>
                <w:tab w:val="left" w:pos="1440"/>
              </w:tabs>
              <w:spacing w:before="240" w:line="300" w:lineRule="auto"/>
              <w:jc w:val="center"/>
              <w:rPr>
                <w:b/>
              </w:rPr>
            </w:pPr>
            <w:r w:rsidRPr="00D25391">
              <w:rPr>
                <w:b/>
              </w:rPr>
              <w:t>CT3, ST</w:t>
            </w:r>
          </w:p>
        </w:tc>
        <w:tc>
          <w:tcPr>
            <w:tcW w:w="2605" w:type="dxa"/>
          </w:tcPr>
          <w:p w14:paraId="5F7536F7" w14:textId="77777777" w:rsidR="00BD64CF" w:rsidRPr="00D25391" w:rsidRDefault="00BD64CF" w:rsidP="00D14054">
            <w:pPr>
              <w:tabs>
                <w:tab w:val="left" w:pos="1440"/>
              </w:tabs>
              <w:spacing w:before="240" w:line="300" w:lineRule="auto"/>
              <w:jc w:val="center"/>
              <w:rPr>
                <w:b/>
              </w:rPr>
            </w:pPr>
            <w:r w:rsidRPr="00D25391">
              <w:rPr>
                <w:b/>
              </w:rPr>
              <w:t>CT-1, CT-3, ST</w:t>
            </w:r>
          </w:p>
        </w:tc>
        <w:tc>
          <w:tcPr>
            <w:tcW w:w="2520" w:type="dxa"/>
          </w:tcPr>
          <w:p w14:paraId="2ECA7E58" w14:textId="77777777" w:rsidR="00BD64CF" w:rsidRPr="00D25391" w:rsidRDefault="00BD64CF" w:rsidP="00D14054">
            <w:pPr>
              <w:tabs>
                <w:tab w:val="left" w:pos="1440"/>
              </w:tabs>
              <w:spacing w:before="240" w:line="300" w:lineRule="auto"/>
              <w:jc w:val="center"/>
              <w:rPr>
                <w:b/>
              </w:rPr>
            </w:pPr>
          </w:p>
        </w:tc>
      </w:tr>
    </w:tbl>
    <w:p w14:paraId="0C25AA77" w14:textId="77777777" w:rsidR="00BD64CF" w:rsidRPr="00D25391" w:rsidRDefault="00BD64CF" w:rsidP="00BD64CF">
      <w:pPr>
        <w:ind w:left="1440"/>
        <w:contextualSpacing/>
        <w:rPr>
          <w:b/>
        </w:rPr>
      </w:pPr>
    </w:p>
    <w:p w14:paraId="1C094CF5" w14:textId="77777777" w:rsidR="00BD64CF" w:rsidRPr="00D25391" w:rsidRDefault="00BD64CF" w:rsidP="00BD64CF">
      <w:pPr>
        <w:spacing w:after="0"/>
        <w:ind w:left="1440"/>
        <w:contextualSpacing/>
        <w:rPr>
          <w:b/>
          <w:szCs w:val="24"/>
        </w:rPr>
      </w:pPr>
    </w:p>
    <w:p w14:paraId="2BDA0F8C" w14:textId="77777777" w:rsidR="00BD64CF" w:rsidRPr="00D25391" w:rsidRDefault="00BD64CF" w:rsidP="00BD64CF">
      <w:pPr>
        <w:tabs>
          <w:tab w:val="left" w:pos="2130"/>
        </w:tabs>
      </w:pPr>
    </w:p>
    <w:p w14:paraId="67933EB4" w14:textId="77777777" w:rsidR="00BD64CF" w:rsidRPr="00D25391" w:rsidRDefault="00BD64CF" w:rsidP="00BD64CF">
      <w:pPr>
        <w:spacing w:line="300" w:lineRule="auto"/>
        <w:ind w:left="720" w:hanging="540"/>
        <w:rPr>
          <w:szCs w:val="24"/>
        </w:rPr>
      </w:pPr>
      <w:r w:rsidRPr="00D25391">
        <w:rPr>
          <w:szCs w:val="24"/>
        </w:rPr>
        <w:t>(</w:t>
      </w:r>
      <w:r>
        <w:rPr>
          <w:szCs w:val="24"/>
        </w:rPr>
        <w:t>6</w:t>
      </w:r>
      <w:r w:rsidRPr="00D25391">
        <w:rPr>
          <w:szCs w:val="24"/>
        </w:rPr>
        <w:t>)</w:t>
      </w:r>
      <w:r w:rsidRPr="00D25391">
        <w:rPr>
          <w:szCs w:val="24"/>
        </w:rPr>
        <w:tab/>
        <w:t xml:space="preserve">Market Participants may optionally define groups of operational configurations to which a Group Minimum Down Time and Group Minimum Run Time will apply.  The Group Minimum Down Time and Group Minimum Run Time, if Groups are defined, will be used in addition to the Plant Minimum Down Time and Plant Minimum Run Time for more accurate operational modeling of the plant.  Exhibit </w:t>
      </w:r>
      <w:r>
        <w:rPr>
          <w:szCs w:val="24"/>
        </w:rPr>
        <w:t>9</w:t>
      </w:r>
      <w:r w:rsidRPr="00D25391">
        <w:rPr>
          <w:szCs w:val="24"/>
        </w:rPr>
        <w:t>-4 shows an example of how a group definition might be defined for a 2 x 1 plant.  Configuration 1 X 1 A is (CT1, ST); Configuration 1 X 1 B is (CT2, ST) and Configuration 2 X 1 C is (CT1, CT2, ST).</w:t>
      </w:r>
    </w:p>
    <w:p w14:paraId="575F2E18" w14:textId="77777777" w:rsidR="00A817DB" w:rsidRDefault="00A817DB" w:rsidP="00A817DB">
      <w:pPr>
        <w:spacing w:before="120" w:line="300" w:lineRule="auto"/>
        <w:jc w:val="center"/>
        <w:rPr>
          <w:b/>
          <w:szCs w:val="24"/>
        </w:rPr>
      </w:pPr>
      <w:bookmarkStart w:id="7235" w:name="_Toc432167889"/>
    </w:p>
    <w:p w14:paraId="16D97F39" w14:textId="62B5A64C" w:rsidR="00BD64CF" w:rsidRPr="00D25391" w:rsidRDefault="00A817DB" w:rsidP="00A817DB">
      <w:pPr>
        <w:spacing w:before="120" w:line="300" w:lineRule="auto"/>
        <w:jc w:val="center"/>
        <w:rPr>
          <w:b/>
          <w:szCs w:val="24"/>
        </w:rPr>
      </w:pPr>
      <w:bookmarkStart w:id="7236" w:name="_Toc213772432"/>
      <w:r w:rsidRPr="004046DB">
        <w:rPr>
          <w:b/>
          <w:szCs w:val="24"/>
        </w:rPr>
        <w:t xml:space="preserve">Exhibit </w:t>
      </w:r>
      <w:r w:rsidRPr="004046DB">
        <w:rPr>
          <w:b/>
          <w:szCs w:val="24"/>
        </w:rPr>
        <w:fldChar w:fldCharType="begin"/>
      </w:r>
      <w:r w:rsidRPr="004046DB">
        <w:rPr>
          <w:b/>
          <w:szCs w:val="24"/>
        </w:rPr>
        <w:instrText xml:space="preserve"> STYLEREF 1 \s </w:instrText>
      </w:r>
      <w:r w:rsidRPr="004046DB">
        <w:rPr>
          <w:b/>
          <w:szCs w:val="24"/>
        </w:rPr>
        <w:fldChar w:fldCharType="separate"/>
      </w:r>
      <w:r>
        <w:rPr>
          <w:b/>
          <w:noProof/>
          <w:szCs w:val="24"/>
        </w:rPr>
        <w:t>9</w:t>
      </w:r>
      <w:r w:rsidRPr="004046DB">
        <w:rPr>
          <w:b/>
          <w:szCs w:val="24"/>
        </w:rPr>
        <w:fldChar w:fldCharType="end"/>
      </w:r>
      <w:r w:rsidRPr="004046DB">
        <w:rPr>
          <w:b/>
          <w:szCs w:val="24"/>
        </w:rPr>
        <w:noBreakHyphen/>
      </w:r>
      <w:r w:rsidRPr="004046DB">
        <w:rPr>
          <w:b/>
          <w:szCs w:val="24"/>
        </w:rPr>
        <w:fldChar w:fldCharType="begin"/>
      </w:r>
      <w:r w:rsidRPr="004046DB">
        <w:rPr>
          <w:b/>
          <w:szCs w:val="24"/>
        </w:rPr>
        <w:instrText xml:space="preserve"> SEQ Exhibit \* ARABIC \s 1 </w:instrText>
      </w:r>
      <w:r w:rsidRPr="004046DB">
        <w:rPr>
          <w:b/>
          <w:szCs w:val="24"/>
        </w:rPr>
        <w:fldChar w:fldCharType="separate"/>
      </w:r>
      <w:r>
        <w:rPr>
          <w:b/>
          <w:noProof/>
          <w:szCs w:val="24"/>
        </w:rPr>
        <w:t>4</w:t>
      </w:r>
      <w:r w:rsidRPr="004046DB">
        <w:rPr>
          <w:b/>
          <w:szCs w:val="24"/>
        </w:rPr>
        <w:fldChar w:fldCharType="end"/>
      </w:r>
      <w:r>
        <w:rPr>
          <w:b/>
          <w:szCs w:val="24"/>
        </w:rPr>
        <w:t xml:space="preserve">: </w:t>
      </w:r>
      <w:r w:rsidR="00BD64CF" w:rsidRPr="00D25391">
        <w:rPr>
          <w:b/>
          <w:szCs w:val="24"/>
        </w:rPr>
        <w:t>MCR Group Definition</w:t>
      </w:r>
      <w:bookmarkEnd w:id="7236"/>
    </w:p>
    <w:bookmarkEnd w:id="7235"/>
    <w:p w14:paraId="30F25C8A" w14:textId="77777777" w:rsidR="00BD64CF" w:rsidRPr="00D25391" w:rsidRDefault="00BD64CF" w:rsidP="00BD64CF">
      <w:pPr>
        <w:tabs>
          <w:tab w:val="left" w:pos="2130"/>
        </w:tabs>
      </w:pPr>
    </w:p>
    <w:tbl>
      <w:tblPr>
        <w:tblStyle w:val="TableGrid2"/>
        <w:tblW w:w="9630" w:type="dxa"/>
        <w:jc w:val="center"/>
        <w:tblLook w:val="04A0" w:firstRow="1" w:lastRow="0" w:firstColumn="1" w:lastColumn="0" w:noHBand="0" w:noVBand="1"/>
      </w:tblPr>
      <w:tblGrid>
        <w:gridCol w:w="1850"/>
        <w:gridCol w:w="2560"/>
        <w:gridCol w:w="2610"/>
        <w:gridCol w:w="2610"/>
      </w:tblGrid>
      <w:tr w:rsidR="00BD64CF" w:rsidRPr="00D25391" w14:paraId="2151FD10" w14:textId="77777777" w:rsidTr="00D14054">
        <w:trPr>
          <w:jc w:val="center"/>
        </w:trPr>
        <w:tc>
          <w:tcPr>
            <w:tcW w:w="1850" w:type="dxa"/>
            <w:tcBorders>
              <w:top w:val="nil"/>
              <w:left w:val="nil"/>
            </w:tcBorders>
          </w:tcPr>
          <w:p w14:paraId="5CD4E1C3" w14:textId="77777777" w:rsidR="00BD64CF" w:rsidRPr="00D25391" w:rsidRDefault="00BD64CF" w:rsidP="00D14054">
            <w:pPr>
              <w:jc w:val="center"/>
              <w:rPr>
                <w:rFonts w:ascii="Times New Roman" w:hAnsi="Times New Roman"/>
                <w:b/>
                <w:szCs w:val="24"/>
              </w:rPr>
            </w:pPr>
          </w:p>
        </w:tc>
        <w:tc>
          <w:tcPr>
            <w:tcW w:w="2560" w:type="dxa"/>
          </w:tcPr>
          <w:p w14:paraId="6DE5E88D" w14:textId="77777777" w:rsidR="00BD64CF" w:rsidRPr="00D25391" w:rsidRDefault="00BD64CF" w:rsidP="00D14054">
            <w:pPr>
              <w:jc w:val="center"/>
              <w:rPr>
                <w:rFonts w:ascii="Times New Roman" w:hAnsi="Times New Roman"/>
                <w:b/>
                <w:szCs w:val="24"/>
              </w:rPr>
            </w:pPr>
            <w:r w:rsidRPr="00D25391">
              <w:rPr>
                <w:rFonts w:ascii="Times New Roman" w:hAnsi="Times New Roman"/>
                <w:b/>
                <w:szCs w:val="24"/>
              </w:rPr>
              <w:t>Configuration 1 X 1 A</w:t>
            </w:r>
          </w:p>
        </w:tc>
        <w:tc>
          <w:tcPr>
            <w:tcW w:w="2610" w:type="dxa"/>
          </w:tcPr>
          <w:p w14:paraId="28176CF3" w14:textId="77777777" w:rsidR="00BD64CF" w:rsidRPr="00D25391" w:rsidRDefault="00BD64CF" w:rsidP="00D14054">
            <w:pPr>
              <w:jc w:val="center"/>
              <w:rPr>
                <w:rFonts w:ascii="Times New Roman" w:hAnsi="Times New Roman"/>
                <w:b/>
                <w:szCs w:val="24"/>
              </w:rPr>
            </w:pPr>
            <w:r w:rsidRPr="00D25391">
              <w:rPr>
                <w:rFonts w:ascii="Times New Roman" w:hAnsi="Times New Roman"/>
                <w:b/>
                <w:szCs w:val="24"/>
              </w:rPr>
              <w:t>Configuration 1 X 1 B</w:t>
            </w:r>
          </w:p>
        </w:tc>
        <w:tc>
          <w:tcPr>
            <w:tcW w:w="2610" w:type="dxa"/>
          </w:tcPr>
          <w:p w14:paraId="25BB6658" w14:textId="77777777" w:rsidR="00BD64CF" w:rsidRPr="00D25391" w:rsidRDefault="00BD64CF" w:rsidP="00D14054">
            <w:pPr>
              <w:jc w:val="center"/>
              <w:rPr>
                <w:rFonts w:ascii="Times New Roman" w:hAnsi="Times New Roman"/>
                <w:b/>
                <w:szCs w:val="24"/>
              </w:rPr>
            </w:pPr>
            <w:r w:rsidRPr="00D25391">
              <w:rPr>
                <w:rFonts w:ascii="Times New Roman" w:hAnsi="Times New Roman"/>
                <w:b/>
                <w:szCs w:val="24"/>
              </w:rPr>
              <w:t>Configuration 2 X 1 C</w:t>
            </w:r>
          </w:p>
        </w:tc>
      </w:tr>
      <w:tr w:rsidR="00BD64CF" w:rsidRPr="00D25391" w14:paraId="46EEB60B" w14:textId="77777777" w:rsidTr="00D14054">
        <w:trPr>
          <w:jc w:val="center"/>
        </w:trPr>
        <w:tc>
          <w:tcPr>
            <w:tcW w:w="1850" w:type="dxa"/>
          </w:tcPr>
          <w:p w14:paraId="6166000A" w14:textId="77777777" w:rsidR="00BD64CF" w:rsidRPr="002619A4" w:rsidRDefault="00BD64CF" w:rsidP="00D14054">
            <w:pPr>
              <w:jc w:val="center"/>
              <w:rPr>
                <w:rFonts w:ascii="Times New Roman" w:hAnsi="Times New Roman"/>
                <w:b/>
                <w:szCs w:val="24"/>
              </w:rPr>
            </w:pPr>
            <w:r w:rsidRPr="002619A4">
              <w:rPr>
                <w:rFonts w:ascii="Times New Roman" w:hAnsi="Times New Roman"/>
                <w:b/>
                <w:szCs w:val="24"/>
              </w:rPr>
              <w:t>Group 1</w:t>
            </w:r>
          </w:p>
        </w:tc>
        <w:tc>
          <w:tcPr>
            <w:tcW w:w="2560" w:type="dxa"/>
          </w:tcPr>
          <w:p w14:paraId="211C6670" w14:textId="77777777" w:rsidR="00BD64CF" w:rsidRPr="002619A4" w:rsidRDefault="00BD64CF" w:rsidP="00D14054">
            <w:pPr>
              <w:jc w:val="center"/>
              <w:rPr>
                <w:rFonts w:ascii="Times New Roman" w:hAnsi="Times New Roman"/>
                <w:szCs w:val="24"/>
              </w:rPr>
            </w:pPr>
            <w:r w:rsidRPr="002619A4">
              <w:rPr>
                <w:rFonts w:ascii="Times New Roman" w:hAnsi="Times New Roman"/>
                <w:szCs w:val="24"/>
              </w:rPr>
              <w:t>Yes</w:t>
            </w:r>
          </w:p>
        </w:tc>
        <w:tc>
          <w:tcPr>
            <w:tcW w:w="2610" w:type="dxa"/>
          </w:tcPr>
          <w:p w14:paraId="59929241" w14:textId="77777777" w:rsidR="00BD64CF" w:rsidRPr="002619A4" w:rsidRDefault="00BD64CF" w:rsidP="00D14054">
            <w:pPr>
              <w:jc w:val="center"/>
              <w:rPr>
                <w:rFonts w:ascii="Times New Roman" w:hAnsi="Times New Roman"/>
                <w:szCs w:val="24"/>
              </w:rPr>
            </w:pPr>
            <w:r w:rsidRPr="002619A4">
              <w:rPr>
                <w:rFonts w:ascii="Times New Roman" w:hAnsi="Times New Roman"/>
                <w:szCs w:val="24"/>
              </w:rPr>
              <w:t>No</w:t>
            </w:r>
          </w:p>
        </w:tc>
        <w:tc>
          <w:tcPr>
            <w:tcW w:w="2610" w:type="dxa"/>
          </w:tcPr>
          <w:p w14:paraId="6701B0F6" w14:textId="77777777" w:rsidR="00BD64CF" w:rsidRPr="002619A4" w:rsidRDefault="00BD64CF" w:rsidP="00D14054">
            <w:pPr>
              <w:jc w:val="center"/>
              <w:rPr>
                <w:rFonts w:ascii="Times New Roman" w:hAnsi="Times New Roman"/>
                <w:szCs w:val="24"/>
              </w:rPr>
            </w:pPr>
            <w:r w:rsidRPr="002619A4">
              <w:rPr>
                <w:rFonts w:ascii="Times New Roman" w:hAnsi="Times New Roman"/>
                <w:szCs w:val="24"/>
              </w:rPr>
              <w:t>Yes</w:t>
            </w:r>
          </w:p>
        </w:tc>
      </w:tr>
      <w:tr w:rsidR="00BD64CF" w:rsidRPr="00D25391" w14:paraId="65356C8B" w14:textId="77777777" w:rsidTr="00D14054">
        <w:trPr>
          <w:jc w:val="center"/>
        </w:trPr>
        <w:tc>
          <w:tcPr>
            <w:tcW w:w="1850" w:type="dxa"/>
          </w:tcPr>
          <w:p w14:paraId="4ECA9452" w14:textId="77777777" w:rsidR="00BD64CF" w:rsidRPr="00E9531B" w:rsidRDefault="00BD64CF" w:rsidP="00D14054">
            <w:pPr>
              <w:jc w:val="center"/>
              <w:rPr>
                <w:rFonts w:ascii="Times New Roman" w:hAnsi="Times New Roman"/>
                <w:b/>
                <w:szCs w:val="24"/>
              </w:rPr>
            </w:pPr>
            <w:r w:rsidRPr="002619A4">
              <w:rPr>
                <w:rFonts w:ascii="Times New Roman" w:hAnsi="Times New Roman"/>
                <w:b/>
                <w:szCs w:val="24"/>
              </w:rPr>
              <w:t>Group 2</w:t>
            </w:r>
          </w:p>
        </w:tc>
        <w:tc>
          <w:tcPr>
            <w:tcW w:w="2560" w:type="dxa"/>
          </w:tcPr>
          <w:p w14:paraId="4CA8DCD7" w14:textId="77777777" w:rsidR="00BD64CF" w:rsidRPr="00E9531B" w:rsidRDefault="00BD64CF" w:rsidP="00D14054">
            <w:pPr>
              <w:jc w:val="center"/>
              <w:rPr>
                <w:rFonts w:ascii="Times New Roman" w:hAnsi="Times New Roman"/>
                <w:szCs w:val="24"/>
              </w:rPr>
            </w:pPr>
            <w:r w:rsidRPr="00E9531B">
              <w:rPr>
                <w:rFonts w:ascii="Times New Roman" w:hAnsi="Times New Roman"/>
                <w:szCs w:val="24"/>
              </w:rPr>
              <w:t>No</w:t>
            </w:r>
          </w:p>
        </w:tc>
        <w:tc>
          <w:tcPr>
            <w:tcW w:w="2610" w:type="dxa"/>
          </w:tcPr>
          <w:p w14:paraId="052CEFC9" w14:textId="77777777" w:rsidR="00BD64CF" w:rsidRPr="00E9531B" w:rsidRDefault="00BD64CF" w:rsidP="00D14054">
            <w:pPr>
              <w:jc w:val="center"/>
              <w:rPr>
                <w:rFonts w:ascii="Times New Roman" w:hAnsi="Times New Roman"/>
                <w:szCs w:val="24"/>
              </w:rPr>
            </w:pPr>
            <w:r w:rsidRPr="00E9531B">
              <w:rPr>
                <w:rFonts w:ascii="Times New Roman" w:hAnsi="Times New Roman"/>
                <w:szCs w:val="24"/>
              </w:rPr>
              <w:t>Yes</w:t>
            </w:r>
          </w:p>
        </w:tc>
        <w:tc>
          <w:tcPr>
            <w:tcW w:w="2610" w:type="dxa"/>
          </w:tcPr>
          <w:p w14:paraId="27F7B708" w14:textId="77777777" w:rsidR="00BD64CF" w:rsidRPr="00E9531B" w:rsidRDefault="00BD64CF" w:rsidP="00D14054">
            <w:pPr>
              <w:jc w:val="center"/>
              <w:rPr>
                <w:rFonts w:ascii="Times New Roman" w:hAnsi="Times New Roman"/>
                <w:szCs w:val="24"/>
              </w:rPr>
            </w:pPr>
            <w:r w:rsidRPr="00E9531B">
              <w:rPr>
                <w:rFonts w:ascii="Times New Roman" w:hAnsi="Times New Roman"/>
                <w:szCs w:val="24"/>
              </w:rPr>
              <w:t>Yes</w:t>
            </w:r>
          </w:p>
        </w:tc>
      </w:tr>
    </w:tbl>
    <w:p w14:paraId="4D920B01" w14:textId="77777777" w:rsidR="00BD64CF" w:rsidRPr="00D25391" w:rsidRDefault="00BD64CF" w:rsidP="00BD64CF">
      <w:pPr>
        <w:tabs>
          <w:tab w:val="left" w:pos="2130"/>
        </w:tabs>
      </w:pPr>
    </w:p>
    <w:p w14:paraId="76BCFE86" w14:textId="77777777" w:rsidR="00BD64CF" w:rsidRPr="002619A4" w:rsidRDefault="00BD64CF" w:rsidP="00BD64CF">
      <w:pPr>
        <w:spacing w:line="300" w:lineRule="auto"/>
        <w:ind w:left="720"/>
        <w:rPr>
          <w:szCs w:val="24"/>
        </w:rPr>
      </w:pPr>
      <w:r w:rsidRPr="002619A4">
        <w:rPr>
          <w:szCs w:val="24"/>
        </w:rPr>
        <w:t>Exhibit 9-5 shows the impact of the use of Plant Minimum Down Time, Plant Minimum Run Time, Group Minimum Down Time, and Group Minimum Run Time on how the combined cycle plant is committed through various configurations.</w:t>
      </w:r>
    </w:p>
    <w:p w14:paraId="4B7D60BA" w14:textId="77777777" w:rsidR="00BD64CF" w:rsidRPr="00D25391" w:rsidRDefault="00BD64CF" w:rsidP="00BD64CF">
      <w:pPr>
        <w:tabs>
          <w:tab w:val="left" w:pos="2130"/>
        </w:tabs>
        <w:ind w:left="1440"/>
      </w:pPr>
    </w:p>
    <w:p w14:paraId="23F497C3" w14:textId="77777777" w:rsidR="00BD64CF" w:rsidRDefault="00BD64CF" w:rsidP="00BD64CF">
      <w:pPr>
        <w:rPr>
          <w:b/>
          <w:szCs w:val="24"/>
        </w:rPr>
      </w:pPr>
      <w:bookmarkStart w:id="7237" w:name="_Toc476746562"/>
      <w:bookmarkStart w:id="7238" w:name="_Toc432167890"/>
      <w:r>
        <w:rPr>
          <w:b/>
          <w:szCs w:val="24"/>
        </w:rPr>
        <w:br w:type="page"/>
      </w:r>
    </w:p>
    <w:p w14:paraId="796EE5A9" w14:textId="11C4B2FB" w:rsidR="00BD64CF" w:rsidRPr="00D25391" w:rsidRDefault="00BD64CF" w:rsidP="00A817DB">
      <w:pPr>
        <w:spacing w:before="120" w:line="300" w:lineRule="auto"/>
        <w:jc w:val="center"/>
        <w:rPr>
          <w:b/>
          <w:szCs w:val="24"/>
        </w:rPr>
      </w:pPr>
      <w:bookmarkStart w:id="7239" w:name="_Toc213772433"/>
      <w:r w:rsidRPr="00D25391">
        <w:rPr>
          <w:b/>
          <w:szCs w:val="24"/>
        </w:rPr>
        <w:t xml:space="preserve">Exhibit </w:t>
      </w:r>
      <w:r w:rsidR="00A817DB" w:rsidRPr="004046DB">
        <w:rPr>
          <w:b/>
          <w:szCs w:val="24"/>
        </w:rPr>
        <w:fldChar w:fldCharType="begin"/>
      </w:r>
      <w:r w:rsidR="00A817DB" w:rsidRPr="004046DB">
        <w:rPr>
          <w:b/>
          <w:szCs w:val="24"/>
        </w:rPr>
        <w:instrText xml:space="preserve"> STYLEREF 1 \s </w:instrText>
      </w:r>
      <w:r w:rsidR="00A817DB" w:rsidRPr="004046DB">
        <w:rPr>
          <w:b/>
          <w:szCs w:val="24"/>
        </w:rPr>
        <w:fldChar w:fldCharType="separate"/>
      </w:r>
      <w:r w:rsidR="00A817DB">
        <w:rPr>
          <w:b/>
          <w:noProof/>
          <w:szCs w:val="24"/>
        </w:rPr>
        <w:t>9</w:t>
      </w:r>
      <w:r w:rsidR="00A817DB" w:rsidRPr="004046DB">
        <w:rPr>
          <w:b/>
          <w:szCs w:val="24"/>
        </w:rPr>
        <w:fldChar w:fldCharType="end"/>
      </w:r>
      <w:r w:rsidR="00A817DB" w:rsidRPr="004046DB">
        <w:rPr>
          <w:b/>
          <w:szCs w:val="24"/>
        </w:rPr>
        <w:noBreakHyphen/>
      </w:r>
      <w:r w:rsidR="00A817DB" w:rsidRPr="004046DB">
        <w:rPr>
          <w:b/>
          <w:szCs w:val="24"/>
        </w:rPr>
        <w:fldChar w:fldCharType="begin"/>
      </w:r>
      <w:r w:rsidR="00A817DB" w:rsidRPr="004046DB">
        <w:rPr>
          <w:b/>
          <w:szCs w:val="24"/>
        </w:rPr>
        <w:instrText xml:space="preserve"> SEQ Exhibit \* ARABIC \s 1 </w:instrText>
      </w:r>
      <w:r w:rsidR="00A817DB" w:rsidRPr="004046DB">
        <w:rPr>
          <w:b/>
          <w:szCs w:val="24"/>
        </w:rPr>
        <w:fldChar w:fldCharType="separate"/>
      </w:r>
      <w:r w:rsidR="00A817DB">
        <w:rPr>
          <w:b/>
          <w:noProof/>
          <w:szCs w:val="24"/>
        </w:rPr>
        <w:t>5</w:t>
      </w:r>
      <w:r w:rsidR="00A817DB" w:rsidRPr="004046DB">
        <w:rPr>
          <w:b/>
          <w:szCs w:val="24"/>
        </w:rPr>
        <w:fldChar w:fldCharType="end"/>
      </w:r>
      <w:r w:rsidRPr="00D25391">
        <w:rPr>
          <w:b/>
          <w:szCs w:val="24"/>
        </w:rPr>
        <w:t xml:space="preserve">: </w:t>
      </w:r>
      <w:bookmarkEnd w:id="7237"/>
      <w:r w:rsidRPr="00D25391">
        <w:rPr>
          <w:b/>
          <w:szCs w:val="24"/>
        </w:rPr>
        <w:t>Combined Cycle Configuration Group Definition</w:t>
      </w:r>
      <w:bookmarkEnd w:id="7239"/>
    </w:p>
    <w:bookmarkEnd w:id="7238"/>
    <w:p w14:paraId="2E6D6BB9" w14:textId="77777777" w:rsidR="00BD64CF" w:rsidRPr="00D25391" w:rsidRDefault="00BD64CF" w:rsidP="00BD64CF">
      <w:pPr>
        <w:jc w:val="center"/>
        <w:rPr>
          <w:b/>
          <w:szCs w:val="24"/>
        </w:rPr>
      </w:pPr>
    </w:p>
    <w:p w14:paraId="36CA5E44" w14:textId="77777777" w:rsidR="00BD64CF" w:rsidRPr="00D25391" w:rsidRDefault="00BD64CF" w:rsidP="00BD64CF">
      <w:pPr>
        <w:tabs>
          <w:tab w:val="left" w:pos="2130"/>
        </w:tabs>
        <w:ind w:left="990" w:hanging="900"/>
        <w:jc w:val="center"/>
      </w:pPr>
      <w:r w:rsidRPr="00D25391">
        <w:rPr>
          <w:noProof/>
        </w:rPr>
        <w:drawing>
          <wp:inline distT="0" distB="0" distL="0" distR="0" wp14:anchorId="60ED9214" wp14:editId="1509E2F5">
            <wp:extent cx="5508952" cy="3562350"/>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2670" cy="3571221"/>
                    </a:xfrm>
                    <a:prstGeom prst="rect">
                      <a:avLst/>
                    </a:prstGeom>
                    <a:noFill/>
                    <a:ln>
                      <a:noFill/>
                    </a:ln>
                  </pic:spPr>
                </pic:pic>
              </a:graphicData>
            </a:graphic>
          </wp:inline>
        </w:drawing>
      </w:r>
    </w:p>
    <w:p w14:paraId="0C8F2A2D" w14:textId="23C408D5" w:rsidR="00BD64CF" w:rsidRPr="00421A81" w:rsidRDefault="00BD64CF" w:rsidP="00781C61">
      <w:pPr>
        <w:pStyle w:val="Heading3"/>
      </w:pPr>
      <w:bookmarkStart w:id="7240" w:name="_Ref514853876"/>
      <w:bookmarkStart w:id="7241" w:name="_Toc159233372"/>
      <w:bookmarkStart w:id="7242" w:name="_Toc167202587"/>
      <w:bookmarkStart w:id="7243" w:name="_Toc213772046"/>
      <w:r>
        <w:t>Dispatchable Variable Energy Resource</w:t>
      </w:r>
      <w:bookmarkEnd w:id="7222"/>
      <w:bookmarkEnd w:id="7240"/>
      <w:bookmarkEnd w:id="7241"/>
      <w:bookmarkEnd w:id="7242"/>
      <w:bookmarkEnd w:id="7243"/>
      <w:r>
        <w:t xml:space="preserve"> </w:t>
      </w:r>
      <w:bookmarkEnd w:id="7223"/>
      <w:bookmarkEnd w:id="7224"/>
      <w:bookmarkEnd w:id="7225"/>
      <w:bookmarkEnd w:id="7226"/>
      <w:bookmarkEnd w:id="7227"/>
      <w:bookmarkEnd w:id="7228"/>
      <w:bookmarkEnd w:id="7229"/>
      <w:bookmarkEnd w:id="7230"/>
      <w:bookmarkEnd w:id="7231"/>
    </w:p>
    <w:p w14:paraId="3DF5DB2C" w14:textId="5BBE22B5" w:rsidR="00BD64CF" w:rsidRDefault="00BD64CF" w:rsidP="00191686">
      <w:pPr>
        <w:spacing w:line="300" w:lineRule="auto"/>
        <w:rPr>
          <w:szCs w:val="24"/>
        </w:rPr>
      </w:pPr>
      <w:bookmarkStart w:id="7244" w:name="_Toc263173446"/>
      <w:bookmarkStart w:id="7245" w:name="_Toc263173673"/>
      <w:bookmarkStart w:id="7246" w:name="_Toc263173861"/>
      <w:bookmarkStart w:id="7247" w:name="_Toc263174275"/>
      <w:bookmarkStart w:id="7248" w:name="_Toc263235179"/>
      <w:bookmarkStart w:id="7249" w:name="_Toc263235823"/>
      <w:bookmarkStart w:id="7250" w:name="_Toc263429568"/>
      <w:bookmarkStart w:id="7251" w:name="_Toc263795608"/>
      <w:bookmarkStart w:id="7252" w:name="_Toc266869785"/>
      <w:bookmarkStart w:id="7253" w:name="_Ref307828075"/>
      <w:r w:rsidRPr="00B00DC4">
        <w:rPr>
          <w:szCs w:val="24"/>
        </w:rPr>
        <w:t>All Variable Energy Resources</w:t>
      </w:r>
      <w:r w:rsidR="00295708">
        <w:rPr>
          <w:szCs w:val="24"/>
        </w:rPr>
        <w:t xml:space="preserve"> </w:t>
      </w:r>
      <w:r w:rsidRPr="00B00DC4">
        <w:rPr>
          <w:szCs w:val="24"/>
        </w:rPr>
        <w:t xml:space="preserve">in the Markets+ Footprint must be registered as a Dispatchable Variable Energy Resource except for (1) a Qualifying Facility exercising its rights under PURPA to deliver its net output to its host utility, (2) a </w:t>
      </w:r>
      <w:r>
        <w:rPr>
          <w:szCs w:val="24"/>
        </w:rPr>
        <w:t xml:space="preserve">Variable Energy </w:t>
      </w:r>
      <w:r w:rsidRPr="00B00DC4">
        <w:rPr>
          <w:szCs w:val="24"/>
        </w:rPr>
        <w:t>Resource that is</w:t>
      </w:r>
      <w:r w:rsidR="003E402F">
        <w:rPr>
          <w:szCs w:val="24"/>
        </w:rPr>
        <w:t xml:space="preserve"> </w:t>
      </w:r>
      <w:r w:rsidR="00191686" w:rsidRPr="00C709BD">
        <w:rPr>
          <w:szCs w:val="24"/>
        </w:rPr>
        <w:t>physically, legally, or contractually incapable of following Dispatch Targets</w:t>
      </w:r>
      <w:r w:rsidR="00FC4577">
        <w:rPr>
          <w:szCs w:val="24"/>
        </w:rPr>
        <w:t xml:space="preserve">, or (3) is part of an HSMR </w:t>
      </w:r>
      <w:r w:rsidR="00191686" w:rsidRPr="00C709BD">
        <w:rPr>
          <w:szCs w:val="24"/>
        </w:rPr>
        <w:t>.</w:t>
      </w:r>
      <w:r w:rsidRPr="00B00DC4">
        <w:rPr>
          <w:szCs w:val="24"/>
        </w:rPr>
        <w:t>  A Qualifying Facility exercising its rights under PURPA to deliver its net output to its host utility may register as a Dispatchable Variable Energy Resource if it is capable of being incrementally dispatched by the Market Operator and will be subject to the Dispatchable Variable Energy Resource market rules including Uninstructed Resource Deviation charges. </w:t>
      </w:r>
      <w:r>
        <w:rPr>
          <w:szCs w:val="24"/>
        </w:rPr>
        <w:t xml:space="preserve"> Any Resource that has previously </w:t>
      </w:r>
      <w:r>
        <w:t>registered as a Dispatchable Variable Energy Resource may not subsequently register as a Non-Dispatchable Variable Energy Resources.</w:t>
      </w:r>
    </w:p>
    <w:p w14:paraId="4DBCD5BF" w14:textId="77777777" w:rsidR="009002AC" w:rsidRDefault="00BD64CF" w:rsidP="00DA3CE7">
      <w:pPr>
        <w:numPr>
          <w:ilvl w:val="0"/>
          <w:numId w:val="235"/>
        </w:numPr>
        <w:spacing w:line="300" w:lineRule="auto"/>
        <w:rPr>
          <w:szCs w:val="24"/>
        </w:rPr>
      </w:pPr>
      <w:r w:rsidRPr="00D25391">
        <w:rPr>
          <w:szCs w:val="24"/>
        </w:rPr>
        <w:t>Dispatchable Variable Energy Resources are committed and dispatched the same as any other Resource in the Day-Ahead Market.</w:t>
      </w:r>
    </w:p>
    <w:p w14:paraId="5FB227BB" w14:textId="46E4CE71" w:rsidR="00BD64CF" w:rsidRPr="00DA6D89" w:rsidRDefault="00BD64CF" w:rsidP="00DA3CE7">
      <w:pPr>
        <w:numPr>
          <w:ilvl w:val="0"/>
          <w:numId w:val="235"/>
        </w:numPr>
        <w:spacing w:line="300" w:lineRule="auto"/>
        <w:rPr>
          <w:szCs w:val="24"/>
        </w:rPr>
      </w:pPr>
      <w:r w:rsidRPr="00D25391">
        <w:rPr>
          <w:szCs w:val="24"/>
        </w:rPr>
        <w:t xml:space="preserve">For the RUC and RTBM, special commitment and dispatch rules apply as defined under </w:t>
      </w:r>
      <w:r w:rsidRPr="00DA6D89">
        <w:rPr>
          <w:szCs w:val="24"/>
        </w:rPr>
        <w:t xml:space="preserve">Section </w:t>
      </w:r>
      <w:r w:rsidR="00403192">
        <w:rPr>
          <w:szCs w:val="24"/>
        </w:rPr>
        <w:fldChar w:fldCharType="begin"/>
      </w:r>
      <w:r w:rsidR="00403192">
        <w:rPr>
          <w:szCs w:val="24"/>
        </w:rPr>
        <w:instrText xml:space="preserve"> REF _Ref195097551 \r \h </w:instrText>
      </w:r>
      <w:r w:rsidR="00403192">
        <w:rPr>
          <w:szCs w:val="24"/>
        </w:rPr>
      </w:r>
      <w:r w:rsidR="00403192">
        <w:rPr>
          <w:szCs w:val="24"/>
        </w:rPr>
        <w:fldChar w:fldCharType="separate"/>
      </w:r>
      <w:r w:rsidR="00403192">
        <w:rPr>
          <w:szCs w:val="24"/>
        </w:rPr>
        <w:t>4.2.2.5.4.1</w:t>
      </w:r>
      <w:r w:rsidR="00403192">
        <w:rPr>
          <w:szCs w:val="24"/>
        </w:rPr>
        <w:fldChar w:fldCharType="end"/>
      </w:r>
      <w:r w:rsidRPr="00DA6D89">
        <w:rPr>
          <w:szCs w:val="24"/>
        </w:rPr>
        <w:t xml:space="preserve">.  </w:t>
      </w:r>
    </w:p>
    <w:p w14:paraId="50AB1B55" w14:textId="52D09513" w:rsidR="00BD64CF" w:rsidRPr="00DA6D89" w:rsidRDefault="00BD64CF" w:rsidP="00DA3CE7">
      <w:pPr>
        <w:numPr>
          <w:ilvl w:val="0"/>
          <w:numId w:val="235"/>
        </w:numPr>
        <w:spacing w:line="300" w:lineRule="auto"/>
        <w:rPr>
          <w:szCs w:val="24"/>
        </w:rPr>
      </w:pPr>
      <w:r w:rsidRPr="00DA6D89">
        <w:rPr>
          <w:szCs w:val="24"/>
        </w:rPr>
        <w:t xml:space="preserve">Dispatchable Variable Energy Resource data submittal requirements are defined in Section </w:t>
      </w:r>
      <w:r w:rsidR="00C67FAD">
        <w:rPr>
          <w:szCs w:val="24"/>
        </w:rPr>
        <w:fldChar w:fldCharType="begin"/>
      </w:r>
      <w:r w:rsidR="00C67FAD">
        <w:rPr>
          <w:szCs w:val="24"/>
        </w:rPr>
        <w:instrText xml:space="preserve"> REF _Ref350493338 \r \h </w:instrText>
      </w:r>
      <w:r w:rsidR="00C67FAD">
        <w:rPr>
          <w:szCs w:val="24"/>
        </w:rPr>
      </w:r>
      <w:r w:rsidR="00C67FAD">
        <w:rPr>
          <w:szCs w:val="24"/>
        </w:rPr>
        <w:fldChar w:fldCharType="separate"/>
      </w:r>
      <w:r w:rsidR="00C67FAD">
        <w:rPr>
          <w:szCs w:val="24"/>
        </w:rPr>
        <w:t>4.1.2.3</w:t>
      </w:r>
      <w:r w:rsidR="00C67FAD">
        <w:rPr>
          <w:szCs w:val="24"/>
        </w:rPr>
        <w:fldChar w:fldCharType="end"/>
      </w:r>
      <w:r w:rsidRPr="00DA6D89">
        <w:rPr>
          <w:szCs w:val="24"/>
        </w:rPr>
        <w:t>.</w:t>
      </w:r>
    </w:p>
    <w:p w14:paraId="6517C2A4" w14:textId="32939EFC" w:rsidR="00BD64CF" w:rsidRPr="00D25391" w:rsidRDefault="00BD64CF" w:rsidP="00781C61">
      <w:pPr>
        <w:pStyle w:val="Heading3"/>
        <w:rPr>
          <w:sz w:val="24"/>
        </w:rPr>
      </w:pPr>
      <w:bookmarkStart w:id="7254" w:name="_Ref307831224"/>
      <w:bookmarkStart w:id="7255" w:name="_Toc159233373"/>
      <w:bookmarkStart w:id="7256" w:name="_Toc167202588"/>
      <w:bookmarkStart w:id="7257" w:name="_Toc213772047"/>
      <w:r w:rsidRPr="00D25391">
        <w:t>Non-Dispatchable Variable Energy Resource</w:t>
      </w:r>
      <w:bookmarkEnd w:id="7254"/>
      <w:bookmarkEnd w:id="7255"/>
      <w:bookmarkEnd w:id="7256"/>
      <w:bookmarkEnd w:id="7257"/>
    </w:p>
    <w:p w14:paraId="47C8B8D2" w14:textId="66416B7D" w:rsidR="001E3C55" w:rsidRPr="00C709BD" w:rsidRDefault="001E3C55" w:rsidP="001E3C55">
      <w:pPr>
        <w:spacing w:before="120" w:line="300" w:lineRule="auto"/>
        <w:rPr>
          <w:szCs w:val="24"/>
        </w:rPr>
      </w:pPr>
      <w:r w:rsidRPr="00C709BD">
        <w:rPr>
          <w:szCs w:val="24"/>
        </w:rPr>
        <w:t xml:space="preserve">Variable Energy Resources that qualify may register as a Non-Dispatchable Variable Energy Resource.  The Market Participant registering a Non-Dispatchable Variable Energy Resource must provide documentation to the Market Operator verifying that it meets one or more of the exceptions in Section </w:t>
      </w:r>
      <w:r w:rsidR="00470824">
        <w:rPr>
          <w:szCs w:val="24"/>
        </w:rPr>
        <w:fldChar w:fldCharType="begin"/>
      </w:r>
      <w:r w:rsidR="00470824">
        <w:rPr>
          <w:szCs w:val="24"/>
        </w:rPr>
        <w:instrText xml:space="preserve"> REF _Ref514853876 \r \h </w:instrText>
      </w:r>
      <w:r w:rsidR="00470824">
        <w:rPr>
          <w:szCs w:val="24"/>
        </w:rPr>
      </w:r>
      <w:r w:rsidR="00470824">
        <w:rPr>
          <w:szCs w:val="24"/>
        </w:rPr>
        <w:fldChar w:fldCharType="separate"/>
      </w:r>
      <w:r w:rsidR="00470824">
        <w:rPr>
          <w:szCs w:val="24"/>
        </w:rPr>
        <w:t>9.1.7</w:t>
      </w:r>
      <w:r w:rsidR="00470824">
        <w:rPr>
          <w:szCs w:val="24"/>
        </w:rPr>
        <w:fldChar w:fldCharType="end"/>
      </w:r>
      <w:r w:rsidRPr="00C709BD">
        <w:rPr>
          <w:szCs w:val="24"/>
        </w:rPr>
        <w:t xml:space="preserve">.  Otherwise, the Resource must be registered as a Dispatchable Variable Energy Resource. NDVERs are committed and cleared the same as any other Resource in the Day-Ahead Market.  For the RUC and RTBM, special commitment and dispatch rules apply as defined under Section </w:t>
      </w:r>
      <w:r w:rsidR="00470824">
        <w:rPr>
          <w:szCs w:val="24"/>
        </w:rPr>
        <w:fldChar w:fldCharType="begin"/>
      </w:r>
      <w:r w:rsidR="00470824">
        <w:rPr>
          <w:szCs w:val="24"/>
        </w:rPr>
        <w:instrText xml:space="preserve"> REF _Ref195097569 \r \h </w:instrText>
      </w:r>
      <w:r w:rsidR="00470824">
        <w:rPr>
          <w:szCs w:val="24"/>
        </w:rPr>
      </w:r>
      <w:r w:rsidR="00470824">
        <w:rPr>
          <w:szCs w:val="24"/>
        </w:rPr>
        <w:fldChar w:fldCharType="separate"/>
      </w:r>
      <w:r w:rsidR="00470824">
        <w:rPr>
          <w:szCs w:val="24"/>
        </w:rPr>
        <w:t>4.2.2.5.4.2</w:t>
      </w:r>
      <w:r w:rsidR="00470824">
        <w:rPr>
          <w:szCs w:val="24"/>
        </w:rPr>
        <w:fldChar w:fldCharType="end"/>
      </w:r>
      <w:r w:rsidRPr="00C709BD">
        <w:rPr>
          <w:szCs w:val="24"/>
        </w:rPr>
        <w:t xml:space="preserve">.  Non-Dispatchable Variable Energy Resource data submittal requirements are defined in Section </w:t>
      </w:r>
      <w:r w:rsidR="00E8381C">
        <w:rPr>
          <w:szCs w:val="24"/>
        </w:rPr>
        <w:fldChar w:fldCharType="begin"/>
      </w:r>
      <w:r w:rsidR="00E8381C">
        <w:rPr>
          <w:szCs w:val="24"/>
        </w:rPr>
        <w:instrText xml:space="preserve"> REF _Ref350493338 \r \h </w:instrText>
      </w:r>
      <w:r w:rsidR="00E8381C">
        <w:rPr>
          <w:szCs w:val="24"/>
        </w:rPr>
      </w:r>
      <w:r w:rsidR="00E8381C">
        <w:rPr>
          <w:szCs w:val="24"/>
        </w:rPr>
        <w:fldChar w:fldCharType="separate"/>
      </w:r>
      <w:r w:rsidR="00E8381C">
        <w:rPr>
          <w:szCs w:val="24"/>
        </w:rPr>
        <w:t>4.1.2.3</w:t>
      </w:r>
      <w:r w:rsidR="00E8381C">
        <w:rPr>
          <w:szCs w:val="24"/>
        </w:rPr>
        <w:fldChar w:fldCharType="end"/>
      </w:r>
      <w:r w:rsidRPr="00C709BD">
        <w:rPr>
          <w:szCs w:val="24"/>
        </w:rPr>
        <w:t>.</w:t>
      </w:r>
    </w:p>
    <w:p w14:paraId="2DF5A359" w14:textId="77777777" w:rsidR="00BD64CF" w:rsidRPr="00D25391" w:rsidRDefault="00BD64CF" w:rsidP="00781C61">
      <w:pPr>
        <w:pStyle w:val="Heading3"/>
      </w:pPr>
      <w:bookmarkStart w:id="7258" w:name="_Toc213772048"/>
      <w:bookmarkEnd w:id="7214"/>
      <w:bookmarkEnd w:id="7215"/>
      <w:bookmarkEnd w:id="7244"/>
      <w:bookmarkEnd w:id="7245"/>
      <w:bookmarkEnd w:id="7246"/>
      <w:bookmarkEnd w:id="7247"/>
      <w:bookmarkEnd w:id="7248"/>
      <w:bookmarkEnd w:id="7249"/>
      <w:bookmarkEnd w:id="7250"/>
      <w:bookmarkEnd w:id="7251"/>
      <w:bookmarkEnd w:id="7252"/>
      <w:bookmarkEnd w:id="7253"/>
      <w:r w:rsidRPr="00D25391">
        <w:t xml:space="preserve">Resources </w:t>
      </w:r>
      <w:r w:rsidRPr="00D25391" w:rsidDel="001E5E23">
        <w:t xml:space="preserve">External </w:t>
      </w:r>
      <w:bookmarkStart w:id="7259" w:name="_Toc134798317"/>
      <w:bookmarkStart w:id="7260" w:name="_Toc134800613"/>
      <w:bookmarkStart w:id="7261" w:name="_Toc145061016"/>
      <w:bookmarkStart w:id="7262" w:name="_Toc145064435"/>
      <w:bookmarkStart w:id="7263" w:name="_Toc145069047"/>
      <w:bookmarkStart w:id="7264" w:name="_Toc146628888"/>
      <w:bookmarkStart w:id="7265" w:name="_Toc146630750"/>
      <w:bookmarkStart w:id="7266" w:name="_Toc146632617"/>
      <w:bookmarkStart w:id="7267" w:name="_Toc146634482"/>
      <w:bookmarkStart w:id="7268" w:name="_Toc146635357"/>
      <w:bookmarkStart w:id="7269" w:name="_Toc146794210"/>
      <w:bookmarkStart w:id="7270" w:name="_Toc146795905"/>
      <w:bookmarkStart w:id="7271" w:name="_Toc146797600"/>
      <w:bookmarkStart w:id="7272" w:name="_Toc146799292"/>
      <w:bookmarkStart w:id="7273" w:name="_Toc146801911"/>
      <w:bookmarkStart w:id="7274" w:name="_Toc146804551"/>
      <w:bookmarkStart w:id="7275" w:name="_Toc146806255"/>
      <w:bookmarkStart w:id="7276" w:name="_Toc146807961"/>
      <w:bookmarkStart w:id="7277" w:name="_Toc148706039"/>
      <w:bookmarkStart w:id="7278" w:name="_Toc149558994"/>
      <w:bookmarkStart w:id="7279" w:name="_Toc150786461"/>
      <w:bookmarkStart w:id="7280" w:name="_Toc150855939"/>
      <w:bookmarkStart w:id="7281" w:name="_Toc151992882"/>
      <w:bookmarkStart w:id="7282" w:name="_Toc152335988"/>
      <w:bookmarkStart w:id="7283" w:name="_Toc153272354"/>
      <w:bookmarkStart w:id="7284" w:name="_Toc157502196"/>
      <w:bookmarkStart w:id="7285" w:name="_Toc159233375"/>
      <w:bookmarkStart w:id="7286" w:name="_Toc167106121"/>
      <w:bookmarkStart w:id="7287" w:name="_Toc167106199"/>
      <w:bookmarkStart w:id="7288" w:name="_Toc167202481"/>
      <w:bookmarkStart w:id="7289" w:name="_Toc167202589"/>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r w:rsidRPr="00D25391" w:rsidDel="001E5E23">
        <w:t xml:space="preserve">to </w:t>
      </w:r>
      <w:bookmarkStart w:id="7290" w:name="_Toc134798318"/>
      <w:bookmarkStart w:id="7291" w:name="_Toc134800614"/>
      <w:bookmarkStart w:id="7292" w:name="_Toc145061017"/>
      <w:bookmarkStart w:id="7293" w:name="_Toc145064436"/>
      <w:bookmarkStart w:id="7294" w:name="_Toc145069048"/>
      <w:bookmarkStart w:id="7295" w:name="_Toc146628889"/>
      <w:bookmarkStart w:id="7296" w:name="_Toc146630751"/>
      <w:bookmarkStart w:id="7297" w:name="_Toc146632618"/>
      <w:bookmarkStart w:id="7298" w:name="_Toc146634483"/>
      <w:bookmarkStart w:id="7299" w:name="_Toc146635358"/>
      <w:bookmarkStart w:id="7300" w:name="_Toc146794211"/>
      <w:bookmarkStart w:id="7301" w:name="_Toc146795906"/>
      <w:bookmarkStart w:id="7302" w:name="_Toc146797601"/>
      <w:bookmarkStart w:id="7303" w:name="_Toc146799293"/>
      <w:bookmarkStart w:id="7304" w:name="_Toc146801912"/>
      <w:bookmarkStart w:id="7305" w:name="_Toc146804552"/>
      <w:bookmarkStart w:id="7306" w:name="_Toc146806256"/>
      <w:bookmarkStart w:id="7307" w:name="_Toc146807962"/>
      <w:bookmarkStart w:id="7308" w:name="_Toc148706040"/>
      <w:bookmarkStart w:id="7309" w:name="_Toc149558995"/>
      <w:bookmarkStart w:id="7310" w:name="_Toc150786462"/>
      <w:bookmarkStart w:id="7311" w:name="_Toc150855940"/>
      <w:bookmarkStart w:id="7312" w:name="_Toc151992883"/>
      <w:bookmarkStart w:id="7313" w:name="_Toc152335989"/>
      <w:bookmarkStart w:id="7314" w:name="_Toc153272355"/>
      <w:bookmarkStart w:id="7315" w:name="_Toc157502197"/>
      <w:bookmarkStart w:id="7316" w:name="_Toc159233376"/>
      <w:bookmarkStart w:id="7317" w:name="_Toc167106122"/>
      <w:bookmarkStart w:id="7318" w:name="_Toc167106200"/>
      <w:bookmarkStart w:id="7319" w:name="_Toc167202482"/>
      <w:bookmarkStart w:id="7320" w:name="_Toc167202590"/>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r w:rsidRPr="00D25391">
        <w:t>Markets</w:t>
      </w:r>
      <w:bookmarkStart w:id="7321" w:name="_Ref372284828"/>
      <w:bookmarkStart w:id="7322" w:name="_Toc159233377"/>
      <w:bookmarkStart w:id="7323" w:name="_Toc167202591"/>
      <w:r w:rsidRPr="00D25391">
        <w:t>+ Footprint Pseudo-Tying In</w:t>
      </w:r>
      <w:bookmarkEnd w:id="7258"/>
      <w:bookmarkEnd w:id="7321"/>
      <w:bookmarkEnd w:id="7322"/>
      <w:bookmarkEnd w:id="7323"/>
    </w:p>
    <w:p w14:paraId="43884707" w14:textId="76C58D92" w:rsidR="00BD64CF" w:rsidRPr="00D25391" w:rsidRDefault="00BD64CF" w:rsidP="00BD64CF">
      <w:pPr>
        <w:spacing w:before="240" w:line="300" w:lineRule="auto"/>
        <w:rPr>
          <w:szCs w:val="24"/>
        </w:rPr>
      </w:pPr>
      <w:r w:rsidRPr="00D25391">
        <w:rPr>
          <w:szCs w:val="24"/>
        </w:rPr>
        <w:t xml:space="preserve">Market Participants with Resources external to Markets+ Footprint </w:t>
      </w:r>
      <w:r w:rsidR="00AC4307">
        <w:rPr>
          <w:szCs w:val="24"/>
        </w:rPr>
        <w:t>seeking</w:t>
      </w:r>
      <w:r w:rsidR="00AC4307" w:rsidRPr="00D25391">
        <w:rPr>
          <w:szCs w:val="24"/>
        </w:rPr>
        <w:t xml:space="preserve"> </w:t>
      </w:r>
      <w:r w:rsidRPr="00D25391">
        <w:rPr>
          <w:szCs w:val="24"/>
        </w:rPr>
        <w:t xml:space="preserve">to participate in Markets+ with those Resources must pseudo-tie those Resources into a </w:t>
      </w:r>
      <w:r>
        <w:rPr>
          <w:szCs w:val="24"/>
        </w:rPr>
        <w:t xml:space="preserve">Participating </w:t>
      </w:r>
      <w:r w:rsidRPr="00D25391">
        <w:rPr>
          <w:szCs w:val="24"/>
        </w:rPr>
        <w:t xml:space="preserve">Balancing Authority </w:t>
      </w:r>
      <w:r>
        <w:rPr>
          <w:szCs w:val="24"/>
        </w:rPr>
        <w:t>Area</w:t>
      </w:r>
      <w:r w:rsidRPr="00D25391" w:rsidDel="00473212">
        <w:rPr>
          <w:szCs w:val="24"/>
        </w:rPr>
        <w:t xml:space="preserve"> </w:t>
      </w:r>
      <w:r w:rsidRPr="00D25391">
        <w:rPr>
          <w:szCs w:val="24"/>
        </w:rPr>
        <w:t>within the Markets+ Footprint</w:t>
      </w:r>
      <w:r>
        <w:rPr>
          <w:szCs w:val="24"/>
        </w:rPr>
        <w:t xml:space="preserve">.  Details of the pseudo-tie, including any required agreements, are the responsibility of the Market Participant and the applicable Participating Balancing Authority. </w:t>
      </w:r>
      <w:r w:rsidRPr="00D25391">
        <w:rPr>
          <w:szCs w:val="24"/>
        </w:rPr>
        <w:t xml:space="preserve">  </w:t>
      </w:r>
    </w:p>
    <w:p w14:paraId="5E19AC23" w14:textId="77777777" w:rsidR="00BD64CF" w:rsidRPr="00D25391" w:rsidRDefault="00BD64CF" w:rsidP="00DA3CE7">
      <w:pPr>
        <w:numPr>
          <w:ilvl w:val="0"/>
          <w:numId w:val="316"/>
        </w:numPr>
        <w:spacing w:line="300" w:lineRule="auto"/>
        <w:rPr>
          <w:szCs w:val="24"/>
        </w:rPr>
      </w:pPr>
      <w:r>
        <w:rPr>
          <w:szCs w:val="24"/>
        </w:rPr>
        <w:t>T</w:t>
      </w:r>
      <w:r w:rsidRPr="00D25391">
        <w:rPr>
          <w:szCs w:val="24"/>
        </w:rPr>
        <w:t>he Market Participant representing the Resource will be responsible for registering and performing all responsibilities that are required of any other Resource in Markets+.</w:t>
      </w:r>
    </w:p>
    <w:p w14:paraId="19ED9754" w14:textId="77777777" w:rsidR="00BD64CF" w:rsidRPr="00D25391" w:rsidRDefault="00BD64CF" w:rsidP="00DA3CE7">
      <w:pPr>
        <w:numPr>
          <w:ilvl w:val="0"/>
          <w:numId w:val="316"/>
        </w:numPr>
        <w:spacing w:line="300" w:lineRule="auto"/>
        <w:rPr>
          <w:szCs w:val="24"/>
        </w:rPr>
      </w:pPr>
      <w:r w:rsidRPr="006D350A">
        <w:rPr>
          <w:szCs w:val="24"/>
        </w:rPr>
        <w:t>The Market Participant representing the Resource must</w:t>
      </w:r>
      <w:r>
        <w:rPr>
          <w:szCs w:val="24"/>
        </w:rPr>
        <w:t xml:space="preserve"> designate a </w:t>
      </w:r>
      <w:r w:rsidRPr="006D350A">
        <w:rPr>
          <w:szCs w:val="24"/>
        </w:rPr>
        <w:t>Meter Agent that will be responsible for submittal of settlement Meter Data as described under Appendix B.</w:t>
      </w:r>
    </w:p>
    <w:p w14:paraId="4AD33879" w14:textId="77777777" w:rsidR="00BD64CF" w:rsidRPr="00D25391" w:rsidRDefault="00BD64CF" w:rsidP="00DA3CE7">
      <w:pPr>
        <w:numPr>
          <w:ilvl w:val="0"/>
          <w:numId w:val="316"/>
        </w:numPr>
        <w:spacing w:line="300" w:lineRule="auto"/>
        <w:rPr>
          <w:szCs w:val="24"/>
        </w:rPr>
      </w:pPr>
      <w:r w:rsidRPr="00D25391">
        <w:rPr>
          <w:szCs w:val="24"/>
        </w:rPr>
        <w:t xml:space="preserve">Firm transmission service from the Resource </w:t>
      </w:r>
      <w:r>
        <w:rPr>
          <w:szCs w:val="24"/>
        </w:rPr>
        <w:t>in</w:t>
      </w:r>
      <w:r w:rsidRPr="00D25391">
        <w:rPr>
          <w:szCs w:val="24"/>
        </w:rPr>
        <w:t>to the Markets+ Footprint is required.</w:t>
      </w:r>
    </w:p>
    <w:p w14:paraId="242A5453" w14:textId="13D52136" w:rsidR="00BD64CF" w:rsidRPr="00EA2E7B" w:rsidRDefault="00BD64CF" w:rsidP="00DA3CE7">
      <w:pPr>
        <w:numPr>
          <w:ilvl w:val="0"/>
          <w:numId w:val="316"/>
        </w:numPr>
        <w:spacing w:line="300" w:lineRule="auto"/>
        <w:rPr>
          <w:szCs w:val="24"/>
        </w:rPr>
      </w:pPr>
      <w:r w:rsidRPr="00EA2E7B">
        <w:rPr>
          <w:szCs w:val="24"/>
        </w:rPr>
        <w:t>Market Participants may remove or add pseudo-tied in Resources in accordance with the timelines described under Section 9.</w:t>
      </w:r>
      <w:r w:rsidR="00AC4307">
        <w:rPr>
          <w:szCs w:val="24"/>
        </w:rPr>
        <w:t>6</w:t>
      </w:r>
      <w:r w:rsidRPr="00EA2E7B">
        <w:rPr>
          <w:szCs w:val="24"/>
        </w:rPr>
        <w:t>.</w:t>
      </w:r>
    </w:p>
    <w:p w14:paraId="06F1A9E1" w14:textId="77777777" w:rsidR="00BD64CF" w:rsidRPr="00D25391" w:rsidRDefault="00BD64CF" w:rsidP="00BD64CF">
      <w:pPr>
        <w:pStyle w:val="Normal29200"/>
      </w:pPr>
    </w:p>
    <w:p w14:paraId="000ED949" w14:textId="77777777" w:rsidR="00BD64CF" w:rsidRPr="00D25391" w:rsidRDefault="00BD64CF" w:rsidP="00781C61">
      <w:pPr>
        <w:pStyle w:val="Heading3"/>
      </w:pPr>
      <w:bookmarkStart w:id="7324" w:name="_Toc263173447"/>
      <w:bookmarkStart w:id="7325" w:name="_Toc263173674"/>
      <w:bookmarkStart w:id="7326" w:name="_Toc263173862"/>
      <w:bookmarkStart w:id="7327" w:name="_Toc263174276"/>
      <w:bookmarkStart w:id="7328" w:name="_Toc263235180"/>
      <w:bookmarkStart w:id="7329" w:name="_Toc263235824"/>
      <w:bookmarkStart w:id="7330" w:name="_Toc263429569"/>
      <w:bookmarkStart w:id="7331" w:name="_Toc263795609"/>
      <w:bookmarkStart w:id="7332" w:name="_Toc266869786"/>
      <w:bookmarkStart w:id="7333" w:name="_Toc159233379"/>
      <w:bookmarkStart w:id="7334" w:name="_Toc167202593"/>
      <w:bookmarkStart w:id="7335" w:name="_Ref194664705"/>
      <w:bookmarkStart w:id="7336" w:name="_Ref194664734"/>
      <w:bookmarkStart w:id="7337" w:name="_Ref194664740"/>
      <w:bookmarkStart w:id="7338" w:name="_Toc213772049"/>
      <w:r w:rsidRPr="00D25391">
        <w:t>Flexibility Reserve Products Certification</w:t>
      </w:r>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r w:rsidRPr="00D25391">
        <w:tab/>
      </w:r>
    </w:p>
    <w:p w14:paraId="54B27001" w14:textId="7267E22A" w:rsidR="00BD64CF" w:rsidRPr="00D25391" w:rsidRDefault="00BD64CF" w:rsidP="00BD64CF">
      <w:pPr>
        <w:spacing w:line="300" w:lineRule="auto"/>
        <w:rPr>
          <w:szCs w:val="24"/>
        </w:rPr>
      </w:pPr>
      <w:r w:rsidRPr="00D25391">
        <w:rPr>
          <w:szCs w:val="24"/>
        </w:rPr>
        <w:t>A Market Participant’s Resource must meet the following certification requirements to be eligible to clear Short-Term Flex Up and Short-Term Flex Down and to submit Offers for use in clearing Mid-Term Flex Up in Markes+.</w:t>
      </w:r>
    </w:p>
    <w:p w14:paraId="5C7FAFD4" w14:textId="77777777" w:rsidR="00BD64CF" w:rsidRPr="00D25391" w:rsidRDefault="00BD64CF" w:rsidP="00574EDE">
      <w:pPr>
        <w:pStyle w:val="Heading4"/>
      </w:pPr>
      <w:bookmarkStart w:id="7339" w:name="_Toc141100772"/>
      <w:bookmarkStart w:id="7340" w:name="_Toc159233380"/>
      <w:bookmarkStart w:id="7341" w:name="_Toc167202594"/>
      <w:bookmarkStart w:id="7342" w:name="_Toc213772050"/>
      <w:bookmarkStart w:id="7343" w:name="_Ref258999844"/>
      <w:bookmarkStart w:id="7344" w:name="_Toc263173448"/>
      <w:bookmarkStart w:id="7345" w:name="_Toc263174277"/>
      <w:bookmarkStart w:id="7346" w:name="_Toc263429570"/>
      <w:bookmarkStart w:id="7347" w:name="_Toc263795610"/>
      <w:bookmarkStart w:id="7348" w:name="_Toc266869787"/>
      <w:r w:rsidRPr="00D25391">
        <w:t>Short-Term Flexibility Products Qualified Resources</w:t>
      </w:r>
      <w:bookmarkEnd w:id="7339"/>
      <w:bookmarkEnd w:id="7340"/>
      <w:bookmarkEnd w:id="7341"/>
      <w:bookmarkEnd w:id="7342"/>
    </w:p>
    <w:p w14:paraId="29893AD9" w14:textId="68BC4023" w:rsidR="00BD64CF" w:rsidRPr="00D25391" w:rsidRDefault="00BD64CF" w:rsidP="00BD64CF">
      <w:pPr>
        <w:spacing w:line="300" w:lineRule="auto"/>
      </w:pPr>
      <w:r w:rsidRPr="00D25391">
        <w:t xml:space="preserve">Short-Term Flex Up and Short-Term Flex </w:t>
      </w:r>
      <w:r w:rsidRPr="00D25391" w:rsidDel="00232954">
        <w:t>Down</w:t>
      </w:r>
      <w:r w:rsidRPr="00D25391">
        <w:t xml:space="preserve"> are procured from Resources to respond to future net obligation changes in Markets+.  There are no specific testing requirements for a Resource to become a Short-Term Flexibility Products Qualified Resource.  A Resource that is capable of following Setpoint Targets will be qualified to clear Short-Term Flex Up and Short-Term Flex Down products.  </w:t>
      </w:r>
      <w:r>
        <w:t>The Market Operator</w:t>
      </w:r>
      <w:r w:rsidRPr="00D25391">
        <w:t xml:space="preserve"> will </w:t>
      </w:r>
      <w:r>
        <w:t>procure</w:t>
      </w:r>
      <w:r w:rsidRPr="00D25391">
        <w:t xml:space="preserve"> Short-Term Flex Up and Short-Term Flex Down and Market Participants will </w:t>
      </w:r>
      <w:r w:rsidR="00AC4307">
        <w:t>be</w:t>
      </w:r>
      <w:r w:rsidR="00AC4307" w:rsidRPr="00D25391">
        <w:t xml:space="preserve"> </w:t>
      </w:r>
      <w:r w:rsidRPr="00D25391">
        <w:t xml:space="preserve">paid </w:t>
      </w:r>
      <w:r w:rsidR="00AC4307">
        <w:t>or will</w:t>
      </w:r>
      <w:r w:rsidRPr="00D25391">
        <w:t xml:space="preserve"> pay for these </w:t>
      </w:r>
      <w:r>
        <w:t xml:space="preserve">Flexibility Reserve Products as described </w:t>
      </w:r>
      <w:r w:rsidR="00355388">
        <w:t>in the Markets+ Settlements Calculation Guide</w:t>
      </w:r>
      <w:r w:rsidRPr="00D25391">
        <w:t>.</w:t>
      </w:r>
    </w:p>
    <w:p w14:paraId="10A360B7" w14:textId="77777777" w:rsidR="00BD64CF" w:rsidRPr="00D25391" w:rsidRDefault="00BD64CF" w:rsidP="00574EDE">
      <w:pPr>
        <w:pStyle w:val="Heading4"/>
      </w:pPr>
      <w:bookmarkStart w:id="7349" w:name="_Toc141100773"/>
      <w:bookmarkStart w:id="7350" w:name="_Toc159233381"/>
      <w:bookmarkStart w:id="7351" w:name="_Ref159855517"/>
      <w:bookmarkStart w:id="7352" w:name="_Toc167202595"/>
      <w:bookmarkStart w:id="7353" w:name="_Toc213772051"/>
      <w:r w:rsidRPr="00D25391">
        <w:t>Mid-Term Flex Up Qualified Resources</w:t>
      </w:r>
      <w:bookmarkEnd w:id="7349"/>
      <w:bookmarkEnd w:id="7350"/>
      <w:bookmarkEnd w:id="7351"/>
      <w:bookmarkEnd w:id="7352"/>
      <w:bookmarkEnd w:id="7353"/>
      <w:r w:rsidRPr="00D25391">
        <w:t xml:space="preserve"> </w:t>
      </w:r>
    </w:p>
    <w:p w14:paraId="17F0CE65" w14:textId="37194157" w:rsidR="00977EA7" w:rsidRPr="00D1363C" w:rsidRDefault="00BD64CF" w:rsidP="00E94CBF">
      <w:pPr>
        <w:spacing w:line="300" w:lineRule="auto"/>
        <w:rPr>
          <w:szCs w:val="24"/>
        </w:rPr>
      </w:pPr>
      <w:r w:rsidRPr="00D25391">
        <w:rPr>
          <w:szCs w:val="24"/>
        </w:rPr>
        <w:t>Mid-Term Flex Up is procured from Resources to respond to potential future net obligation changes in Markets+.  There are no specific testing requirements for a Resource to become a Mid-Term Flex Up Qualified Resource. A Resource that is capable of following RTBM Dispatch Targets and one that has the ability to increase and maintain its output for at least the duration of the Mid-Term Fl</w:t>
      </w:r>
      <w:r w:rsidR="00AC4307">
        <w:rPr>
          <w:szCs w:val="24"/>
        </w:rPr>
        <w:t>e</w:t>
      </w:r>
      <w:r w:rsidRPr="00D25391">
        <w:rPr>
          <w:szCs w:val="24"/>
        </w:rPr>
        <w:t xml:space="preserve">x Up response time (once the specified resource output is achieved), will be qualified to clear Mid-Term Flex Up.  Resources that are physically capable </w:t>
      </w:r>
      <w:r w:rsidR="00B2086F">
        <w:rPr>
          <w:szCs w:val="24"/>
        </w:rPr>
        <w:t>may</w:t>
      </w:r>
      <w:r w:rsidRPr="00D25391">
        <w:rPr>
          <w:szCs w:val="24"/>
        </w:rPr>
        <w:t xml:space="preserve"> opt-out of offline Mid-Term Flex Up in the </w:t>
      </w:r>
      <w:r>
        <w:rPr>
          <w:szCs w:val="24"/>
        </w:rPr>
        <w:t>Day-Ahead</w:t>
      </w:r>
      <w:r w:rsidRPr="00D25391">
        <w:rPr>
          <w:szCs w:val="24"/>
        </w:rPr>
        <w:t xml:space="preserve"> Market.  The product may be provided by online </w:t>
      </w:r>
      <w:r w:rsidR="00AC4307">
        <w:rPr>
          <w:szCs w:val="24"/>
        </w:rPr>
        <w:t>R</w:t>
      </w:r>
      <w:r w:rsidRPr="00D25391">
        <w:rPr>
          <w:szCs w:val="24"/>
        </w:rPr>
        <w:t xml:space="preserve">esources and offline </w:t>
      </w:r>
      <w:r w:rsidR="00AC4307">
        <w:rPr>
          <w:szCs w:val="24"/>
        </w:rPr>
        <w:t>R</w:t>
      </w:r>
      <w:r w:rsidRPr="00D25391">
        <w:rPr>
          <w:szCs w:val="24"/>
        </w:rPr>
        <w:t>esources.</w:t>
      </w:r>
      <w:r w:rsidR="0054359A">
        <w:rPr>
          <w:szCs w:val="24"/>
        </w:rPr>
        <w:t xml:space="preserve"> The Resource must have the ability to p</w:t>
      </w:r>
      <w:r w:rsidR="00977EA7" w:rsidRPr="00D1363C">
        <w:rPr>
          <w:szCs w:val="24"/>
        </w:rPr>
        <w:t>rovide telemetered output data that can be scanned every</w:t>
      </w:r>
      <w:r w:rsidR="00977EA7">
        <w:rPr>
          <w:szCs w:val="24"/>
        </w:rPr>
        <w:t xml:space="preserve"> ten</w:t>
      </w:r>
      <w:r w:rsidR="00977EA7" w:rsidRPr="00D1363C">
        <w:rPr>
          <w:szCs w:val="24"/>
        </w:rPr>
        <w:t xml:space="preserve"> </w:t>
      </w:r>
      <w:r w:rsidR="00977EA7">
        <w:rPr>
          <w:szCs w:val="24"/>
        </w:rPr>
        <w:t>(</w:t>
      </w:r>
      <w:r w:rsidR="00977EA7" w:rsidRPr="00D1363C">
        <w:rPr>
          <w:szCs w:val="24"/>
        </w:rPr>
        <w:t>10</w:t>
      </w:r>
      <w:r w:rsidR="00977EA7">
        <w:rPr>
          <w:szCs w:val="24"/>
        </w:rPr>
        <w:t>)</w:t>
      </w:r>
      <w:r w:rsidR="00977EA7" w:rsidRPr="00D1363C">
        <w:rPr>
          <w:szCs w:val="24"/>
        </w:rPr>
        <w:t xml:space="preserve"> seconds. </w:t>
      </w:r>
    </w:p>
    <w:p w14:paraId="395A29D7" w14:textId="77777777" w:rsidR="00977EA7" w:rsidRPr="00D25391" w:rsidRDefault="00977EA7" w:rsidP="00BD64CF">
      <w:pPr>
        <w:spacing w:line="300" w:lineRule="auto"/>
        <w:rPr>
          <w:szCs w:val="24"/>
        </w:rPr>
      </w:pPr>
    </w:p>
    <w:p w14:paraId="3C14E536" w14:textId="77777777" w:rsidR="00BD64CF" w:rsidRPr="00D25391" w:rsidRDefault="00BD64CF" w:rsidP="00781C61">
      <w:pPr>
        <w:pStyle w:val="Heading3"/>
      </w:pPr>
      <w:bookmarkStart w:id="7354" w:name="_Toc134798348"/>
      <w:bookmarkStart w:id="7355" w:name="_Toc134800644"/>
      <w:bookmarkStart w:id="7356" w:name="_Toc145061047"/>
      <w:bookmarkStart w:id="7357" w:name="_Toc145064466"/>
      <w:bookmarkStart w:id="7358" w:name="_Toc145069078"/>
      <w:bookmarkStart w:id="7359" w:name="_Toc146628950"/>
      <w:bookmarkStart w:id="7360" w:name="_Toc146630812"/>
      <w:bookmarkStart w:id="7361" w:name="_Toc146632679"/>
      <w:bookmarkStart w:id="7362" w:name="_Toc146634544"/>
      <w:bookmarkStart w:id="7363" w:name="_Toc146635419"/>
      <w:bookmarkStart w:id="7364" w:name="_Toc146794272"/>
      <w:bookmarkStart w:id="7365" w:name="_Toc146795967"/>
      <w:bookmarkStart w:id="7366" w:name="_Toc146797662"/>
      <w:bookmarkStart w:id="7367" w:name="_Toc146799354"/>
      <w:bookmarkStart w:id="7368" w:name="_Toc146801973"/>
      <w:bookmarkStart w:id="7369" w:name="_Toc146804613"/>
      <w:bookmarkStart w:id="7370" w:name="_Toc146806317"/>
      <w:bookmarkStart w:id="7371" w:name="_Toc146808023"/>
      <w:bookmarkStart w:id="7372" w:name="_Toc148706101"/>
      <w:bookmarkStart w:id="7373" w:name="_Toc149559056"/>
      <w:bookmarkStart w:id="7374" w:name="_Toc150786523"/>
      <w:bookmarkStart w:id="7375" w:name="_Toc150856001"/>
      <w:bookmarkStart w:id="7376" w:name="_Toc151992944"/>
      <w:bookmarkStart w:id="7377" w:name="_Toc152336050"/>
      <w:bookmarkStart w:id="7378" w:name="_Toc153272416"/>
      <w:bookmarkStart w:id="7379" w:name="_Toc157502258"/>
      <w:bookmarkStart w:id="7380" w:name="_Toc159233437"/>
      <w:bookmarkStart w:id="7381" w:name="_Toc134798349"/>
      <w:bookmarkStart w:id="7382" w:name="_Toc134800645"/>
      <w:bookmarkStart w:id="7383" w:name="_Toc145061048"/>
      <w:bookmarkStart w:id="7384" w:name="_Toc145064467"/>
      <w:bookmarkStart w:id="7385" w:name="_Toc145069079"/>
      <w:bookmarkStart w:id="7386" w:name="_Toc146628951"/>
      <w:bookmarkStart w:id="7387" w:name="_Toc146630813"/>
      <w:bookmarkStart w:id="7388" w:name="_Toc146632680"/>
      <w:bookmarkStart w:id="7389" w:name="_Toc146634545"/>
      <w:bookmarkStart w:id="7390" w:name="_Toc146635420"/>
      <w:bookmarkStart w:id="7391" w:name="_Toc146794273"/>
      <w:bookmarkStart w:id="7392" w:name="_Toc146795968"/>
      <w:bookmarkStart w:id="7393" w:name="_Toc146797663"/>
      <w:bookmarkStart w:id="7394" w:name="_Toc146799355"/>
      <w:bookmarkStart w:id="7395" w:name="_Toc146801974"/>
      <w:bookmarkStart w:id="7396" w:name="_Toc146804614"/>
      <w:bookmarkStart w:id="7397" w:name="_Toc146806318"/>
      <w:bookmarkStart w:id="7398" w:name="_Toc146808024"/>
      <w:bookmarkStart w:id="7399" w:name="_Toc148706102"/>
      <w:bookmarkStart w:id="7400" w:name="_Toc149559057"/>
      <w:bookmarkStart w:id="7401" w:name="_Toc150786524"/>
      <w:bookmarkStart w:id="7402" w:name="_Toc150856002"/>
      <w:bookmarkStart w:id="7403" w:name="_Toc151992945"/>
      <w:bookmarkStart w:id="7404" w:name="_Toc152336051"/>
      <w:bookmarkStart w:id="7405" w:name="_Toc153272417"/>
      <w:bookmarkStart w:id="7406" w:name="_Toc157502259"/>
      <w:bookmarkStart w:id="7407" w:name="_Toc159233438"/>
      <w:bookmarkStart w:id="7408" w:name="_Toc134798350"/>
      <w:bookmarkStart w:id="7409" w:name="_Toc134800646"/>
      <w:bookmarkStart w:id="7410" w:name="_Toc145061049"/>
      <w:bookmarkStart w:id="7411" w:name="_Toc145064468"/>
      <w:bookmarkStart w:id="7412" w:name="_Toc145069080"/>
      <w:bookmarkStart w:id="7413" w:name="_Toc146628952"/>
      <w:bookmarkStart w:id="7414" w:name="_Toc146630814"/>
      <w:bookmarkStart w:id="7415" w:name="_Toc146632681"/>
      <w:bookmarkStart w:id="7416" w:name="_Toc146634546"/>
      <w:bookmarkStart w:id="7417" w:name="_Toc146635421"/>
      <w:bookmarkStart w:id="7418" w:name="_Toc146794274"/>
      <w:bookmarkStart w:id="7419" w:name="_Toc146795969"/>
      <w:bookmarkStart w:id="7420" w:name="_Toc146797664"/>
      <w:bookmarkStart w:id="7421" w:name="_Toc146799356"/>
      <w:bookmarkStart w:id="7422" w:name="_Toc146801975"/>
      <w:bookmarkStart w:id="7423" w:name="_Toc146804615"/>
      <w:bookmarkStart w:id="7424" w:name="_Toc146806319"/>
      <w:bookmarkStart w:id="7425" w:name="_Toc146808025"/>
      <w:bookmarkStart w:id="7426" w:name="_Toc148706103"/>
      <w:bookmarkStart w:id="7427" w:name="_Toc149559058"/>
      <w:bookmarkStart w:id="7428" w:name="_Toc150786525"/>
      <w:bookmarkStart w:id="7429" w:name="_Toc150856003"/>
      <w:bookmarkStart w:id="7430" w:name="_Toc151992946"/>
      <w:bookmarkStart w:id="7431" w:name="_Toc152336052"/>
      <w:bookmarkStart w:id="7432" w:name="_Toc153272418"/>
      <w:bookmarkStart w:id="7433" w:name="_Toc157502260"/>
      <w:bookmarkStart w:id="7434" w:name="_Toc159233439"/>
      <w:bookmarkStart w:id="7435" w:name="_Toc134798351"/>
      <w:bookmarkStart w:id="7436" w:name="_Toc134800647"/>
      <w:bookmarkStart w:id="7437" w:name="_Toc145061050"/>
      <w:bookmarkStart w:id="7438" w:name="_Toc145064469"/>
      <w:bookmarkStart w:id="7439" w:name="_Toc145069081"/>
      <w:bookmarkStart w:id="7440" w:name="_Toc146628953"/>
      <w:bookmarkStart w:id="7441" w:name="_Toc146630815"/>
      <w:bookmarkStart w:id="7442" w:name="_Toc146632682"/>
      <w:bookmarkStart w:id="7443" w:name="_Toc146634547"/>
      <w:bookmarkStart w:id="7444" w:name="_Toc146635422"/>
      <w:bookmarkStart w:id="7445" w:name="_Toc146794275"/>
      <w:bookmarkStart w:id="7446" w:name="_Toc146795970"/>
      <w:bookmarkStart w:id="7447" w:name="_Toc146797665"/>
      <w:bookmarkStart w:id="7448" w:name="_Toc146799357"/>
      <w:bookmarkStart w:id="7449" w:name="_Toc146801976"/>
      <w:bookmarkStart w:id="7450" w:name="_Toc146804616"/>
      <w:bookmarkStart w:id="7451" w:name="_Toc146806320"/>
      <w:bookmarkStart w:id="7452" w:name="_Toc146808026"/>
      <w:bookmarkStart w:id="7453" w:name="_Toc148706104"/>
      <w:bookmarkStart w:id="7454" w:name="_Toc149559059"/>
      <w:bookmarkStart w:id="7455" w:name="_Toc150786526"/>
      <w:bookmarkStart w:id="7456" w:name="_Toc150856004"/>
      <w:bookmarkStart w:id="7457" w:name="_Toc151992947"/>
      <w:bookmarkStart w:id="7458" w:name="_Toc152336053"/>
      <w:bookmarkStart w:id="7459" w:name="_Toc153272419"/>
      <w:bookmarkStart w:id="7460" w:name="_Toc157502261"/>
      <w:bookmarkStart w:id="7461" w:name="_Toc159233440"/>
      <w:bookmarkStart w:id="7462" w:name="_Toc134798352"/>
      <w:bookmarkStart w:id="7463" w:name="_Toc134800648"/>
      <w:bookmarkStart w:id="7464" w:name="_Toc145061051"/>
      <w:bookmarkStart w:id="7465" w:name="_Toc145064470"/>
      <w:bookmarkStart w:id="7466" w:name="_Toc145069082"/>
      <w:bookmarkStart w:id="7467" w:name="_Toc146628954"/>
      <w:bookmarkStart w:id="7468" w:name="_Toc146630816"/>
      <w:bookmarkStart w:id="7469" w:name="_Toc146632683"/>
      <w:bookmarkStart w:id="7470" w:name="_Toc146634548"/>
      <w:bookmarkStart w:id="7471" w:name="_Toc146635423"/>
      <w:bookmarkStart w:id="7472" w:name="_Toc146794276"/>
      <w:bookmarkStart w:id="7473" w:name="_Toc146795971"/>
      <w:bookmarkStart w:id="7474" w:name="_Toc146797666"/>
      <w:bookmarkStart w:id="7475" w:name="_Toc146799358"/>
      <w:bookmarkStart w:id="7476" w:name="_Toc146801977"/>
      <w:bookmarkStart w:id="7477" w:name="_Toc146804617"/>
      <w:bookmarkStart w:id="7478" w:name="_Toc146806321"/>
      <w:bookmarkStart w:id="7479" w:name="_Toc146808027"/>
      <w:bookmarkStart w:id="7480" w:name="_Toc148706105"/>
      <w:bookmarkStart w:id="7481" w:name="_Toc149559060"/>
      <w:bookmarkStart w:id="7482" w:name="_Toc150786527"/>
      <w:bookmarkStart w:id="7483" w:name="_Toc150856005"/>
      <w:bookmarkStart w:id="7484" w:name="_Toc151992948"/>
      <w:bookmarkStart w:id="7485" w:name="_Toc152336054"/>
      <w:bookmarkStart w:id="7486" w:name="_Toc153272420"/>
      <w:bookmarkStart w:id="7487" w:name="_Toc157502262"/>
      <w:bookmarkStart w:id="7488" w:name="_Toc159233441"/>
      <w:bookmarkStart w:id="7489" w:name="_Toc134798353"/>
      <w:bookmarkStart w:id="7490" w:name="_Toc134800649"/>
      <w:bookmarkStart w:id="7491" w:name="_Toc145061052"/>
      <w:bookmarkStart w:id="7492" w:name="_Toc145064471"/>
      <w:bookmarkStart w:id="7493" w:name="_Toc145069083"/>
      <w:bookmarkStart w:id="7494" w:name="_Toc146628955"/>
      <w:bookmarkStart w:id="7495" w:name="_Toc146630817"/>
      <w:bookmarkStart w:id="7496" w:name="_Toc146632684"/>
      <w:bookmarkStart w:id="7497" w:name="_Toc146634549"/>
      <w:bookmarkStart w:id="7498" w:name="_Toc146635424"/>
      <w:bookmarkStart w:id="7499" w:name="_Toc146794277"/>
      <w:bookmarkStart w:id="7500" w:name="_Toc146795972"/>
      <w:bookmarkStart w:id="7501" w:name="_Toc146797667"/>
      <w:bookmarkStart w:id="7502" w:name="_Toc146799359"/>
      <w:bookmarkStart w:id="7503" w:name="_Toc146801978"/>
      <w:bookmarkStart w:id="7504" w:name="_Toc146804618"/>
      <w:bookmarkStart w:id="7505" w:name="_Toc146806322"/>
      <w:bookmarkStart w:id="7506" w:name="_Toc146808028"/>
      <w:bookmarkStart w:id="7507" w:name="_Toc148706106"/>
      <w:bookmarkStart w:id="7508" w:name="_Toc149559061"/>
      <w:bookmarkStart w:id="7509" w:name="_Toc150786528"/>
      <w:bookmarkStart w:id="7510" w:name="_Toc150856006"/>
      <w:bookmarkStart w:id="7511" w:name="_Toc151992949"/>
      <w:bookmarkStart w:id="7512" w:name="_Toc152336055"/>
      <w:bookmarkStart w:id="7513" w:name="_Toc153272421"/>
      <w:bookmarkStart w:id="7514" w:name="_Toc157502263"/>
      <w:bookmarkStart w:id="7515" w:name="_Toc159233442"/>
      <w:bookmarkStart w:id="7516" w:name="_Toc134798354"/>
      <w:bookmarkStart w:id="7517" w:name="_Toc134800650"/>
      <w:bookmarkStart w:id="7518" w:name="_Toc145061053"/>
      <w:bookmarkStart w:id="7519" w:name="_Toc145064472"/>
      <w:bookmarkStart w:id="7520" w:name="_Toc145069084"/>
      <w:bookmarkStart w:id="7521" w:name="_Toc146628956"/>
      <w:bookmarkStart w:id="7522" w:name="_Toc146630818"/>
      <w:bookmarkStart w:id="7523" w:name="_Toc146632685"/>
      <w:bookmarkStart w:id="7524" w:name="_Toc146634550"/>
      <w:bookmarkStart w:id="7525" w:name="_Toc146635425"/>
      <w:bookmarkStart w:id="7526" w:name="_Toc146794278"/>
      <w:bookmarkStart w:id="7527" w:name="_Toc146795973"/>
      <w:bookmarkStart w:id="7528" w:name="_Toc146797668"/>
      <w:bookmarkStart w:id="7529" w:name="_Toc146799360"/>
      <w:bookmarkStart w:id="7530" w:name="_Toc146801979"/>
      <w:bookmarkStart w:id="7531" w:name="_Toc146804619"/>
      <w:bookmarkStart w:id="7532" w:name="_Toc146806323"/>
      <w:bookmarkStart w:id="7533" w:name="_Toc146808029"/>
      <w:bookmarkStart w:id="7534" w:name="_Toc148706107"/>
      <w:bookmarkStart w:id="7535" w:name="_Toc149559062"/>
      <w:bookmarkStart w:id="7536" w:name="_Toc150786529"/>
      <w:bookmarkStart w:id="7537" w:name="_Toc150856007"/>
      <w:bookmarkStart w:id="7538" w:name="_Toc151992950"/>
      <w:bookmarkStart w:id="7539" w:name="_Toc152336056"/>
      <w:bookmarkStart w:id="7540" w:name="_Toc153272422"/>
      <w:bookmarkStart w:id="7541" w:name="_Toc157502264"/>
      <w:bookmarkStart w:id="7542" w:name="_Toc159233443"/>
      <w:bookmarkStart w:id="7543" w:name="_Toc134798355"/>
      <w:bookmarkStart w:id="7544" w:name="_Toc134800651"/>
      <w:bookmarkStart w:id="7545" w:name="_Toc145061054"/>
      <w:bookmarkStart w:id="7546" w:name="_Toc145064473"/>
      <w:bookmarkStart w:id="7547" w:name="_Toc145069085"/>
      <w:bookmarkStart w:id="7548" w:name="_Toc146628957"/>
      <w:bookmarkStart w:id="7549" w:name="_Toc146630819"/>
      <w:bookmarkStart w:id="7550" w:name="_Toc146632686"/>
      <w:bookmarkStart w:id="7551" w:name="_Toc146634551"/>
      <w:bookmarkStart w:id="7552" w:name="_Toc146635426"/>
      <w:bookmarkStart w:id="7553" w:name="_Toc146794279"/>
      <w:bookmarkStart w:id="7554" w:name="_Toc146795974"/>
      <w:bookmarkStart w:id="7555" w:name="_Toc146797669"/>
      <w:bookmarkStart w:id="7556" w:name="_Toc146799361"/>
      <w:bookmarkStart w:id="7557" w:name="_Toc146801980"/>
      <w:bookmarkStart w:id="7558" w:name="_Toc146804620"/>
      <w:bookmarkStart w:id="7559" w:name="_Toc146806324"/>
      <w:bookmarkStart w:id="7560" w:name="_Toc146808030"/>
      <w:bookmarkStart w:id="7561" w:name="_Toc148706108"/>
      <w:bookmarkStart w:id="7562" w:name="_Toc149559063"/>
      <w:bookmarkStart w:id="7563" w:name="_Toc150786530"/>
      <w:bookmarkStart w:id="7564" w:name="_Toc150856008"/>
      <w:bookmarkStart w:id="7565" w:name="_Toc151992951"/>
      <w:bookmarkStart w:id="7566" w:name="_Toc152336057"/>
      <w:bookmarkStart w:id="7567" w:name="_Toc153272423"/>
      <w:bookmarkStart w:id="7568" w:name="_Toc157502265"/>
      <w:bookmarkStart w:id="7569" w:name="_Toc159233444"/>
      <w:bookmarkStart w:id="7570" w:name="_Toc134798358"/>
      <w:bookmarkStart w:id="7571" w:name="_Toc134800654"/>
      <w:bookmarkStart w:id="7572" w:name="_Toc145061057"/>
      <w:bookmarkStart w:id="7573" w:name="_Toc145064476"/>
      <w:bookmarkStart w:id="7574" w:name="_Toc145069088"/>
      <w:bookmarkStart w:id="7575" w:name="_Toc146628960"/>
      <w:bookmarkStart w:id="7576" w:name="_Toc146630822"/>
      <w:bookmarkStart w:id="7577" w:name="_Toc146632689"/>
      <w:bookmarkStart w:id="7578" w:name="_Toc146634554"/>
      <w:bookmarkStart w:id="7579" w:name="_Toc146635429"/>
      <w:bookmarkStart w:id="7580" w:name="_Toc146794282"/>
      <w:bookmarkStart w:id="7581" w:name="_Toc146795977"/>
      <w:bookmarkStart w:id="7582" w:name="_Toc146797672"/>
      <w:bookmarkStart w:id="7583" w:name="_Toc146799364"/>
      <w:bookmarkStart w:id="7584" w:name="_Toc146801983"/>
      <w:bookmarkStart w:id="7585" w:name="_Toc146804623"/>
      <w:bookmarkStart w:id="7586" w:name="_Toc146806327"/>
      <w:bookmarkStart w:id="7587" w:name="_Toc146808033"/>
      <w:bookmarkStart w:id="7588" w:name="_Toc148706111"/>
      <w:bookmarkStart w:id="7589" w:name="_Toc149559066"/>
      <w:bookmarkStart w:id="7590" w:name="_Toc150786533"/>
      <w:bookmarkStart w:id="7591" w:name="_Toc150856011"/>
      <w:bookmarkStart w:id="7592" w:name="_Toc151992954"/>
      <w:bookmarkStart w:id="7593" w:name="_Toc152336060"/>
      <w:bookmarkStart w:id="7594" w:name="_Toc153272426"/>
      <w:bookmarkStart w:id="7595" w:name="_Toc157502268"/>
      <w:bookmarkStart w:id="7596" w:name="_Toc159233447"/>
      <w:bookmarkStart w:id="7597" w:name="_Toc134798359"/>
      <w:bookmarkStart w:id="7598" w:name="_Toc134800655"/>
      <w:bookmarkStart w:id="7599" w:name="_Toc145061058"/>
      <w:bookmarkStart w:id="7600" w:name="_Toc145064477"/>
      <w:bookmarkStart w:id="7601" w:name="_Toc145069089"/>
      <w:bookmarkStart w:id="7602" w:name="_Toc146628961"/>
      <w:bookmarkStart w:id="7603" w:name="_Toc146630823"/>
      <w:bookmarkStart w:id="7604" w:name="_Toc146632690"/>
      <w:bookmarkStart w:id="7605" w:name="_Toc146634555"/>
      <w:bookmarkStart w:id="7606" w:name="_Toc146635430"/>
      <w:bookmarkStart w:id="7607" w:name="_Toc146794283"/>
      <w:bookmarkStart w:id="7608" w:name="_Toc146795978"/>
      <w:bookmarkStart w:id="7609" w:name="_Toc146797673"/>
      <w:bookmarkStart w:id="7610" w:name="_Toc146799365"/>
      <w:bookmarkStart w:id="7611" w:name="_Toc146801984"/>
      <w:bookmarkStart w:id="7612" w:name="_Toc146804624"/>
      <w:bookmarkStart w:id="7613" w:name="_Toc146806328"/>
      <w:bookmarkStart w:id="7614" w:name="_Toc146808034"/>
      <w:bookmarkStart w:id="7615" w:name="_Toc148706112"/>
      <w:bookmarkStart w:id="7616" w:name="_Toc149559067"/>
      <w:bookmarkStart w:id="7617" w:name="_Toc150786534"/>
      <w:bookmarkStart w:id="7618" w:name="_Toc150856012"/>
      <w:bookmarkStart w:id="7619" w:name="_Toc151992955"/>
      <w:bookmarkStart w:id="7620" w:name="_Toc152336061"/>
      <w:bookmarkStart w:id="7621" w:name="_Toc153272427"/>
      <w:bookmarkStart w:id="7622" w:name="_Toc157502269"/>
      <w:bookmarkStart w:id="7623" w:name="_Toc159233448"/>
      <w:bookmarkStart w:id="7624" w:name="_Ref371340817"/>
      <w:bookmarkStart w:id="7625" w:name="_Ref132977871"/>
      <w:bookmarkStart w:id="7626" w:name="_Ref132977907"/>
      <w:bookmarkStart w:id="7627" w:name="_Toc159233479"/>
      <w:bookmarkStart w:id="7628" w:name="_Toc167202596"/>
      <w:bookmarkStart w:id="7629" w:name="_Toc213772052"/>
      <w:bookmarkStart w:id="7630" w:name="OLE_LINK200"/>
      <w:bookmarkStart w:id="7631" w:name="OLE_LINK201"/>
      <w:bookmarkEnd w:id="7343"/>
      <w:bookmarkEnd w:id="7344"/>
      <w:bookmarkEnd w:id="7345"/>
      <w:bookmarkEnd w:id="7346"/>
      <w:bookmarkEnd w:id="7347"/>
      <w:bookmarkEnd w:id="7348"/>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r>
        <w:t>Resource Auxiliary Load Modeling</w:t>
      </w:r>
      <w:bookmarkEnd w:id="7624"/>
      <w:bookmarkEnd w:id="7625"/>
      <w:bookmarkEnd w:id="7626"/>
      <w:bookmarkEnd w:id="7627"/>
      <w:bookmarkEnd w:id="7628"/>
      <w:bookmarkEnd w:id="7629"/>
    </w:p>
    <w:p w14:paraId="08AA13C6" w14:textId="322245EC" w:rsidR="00BD64CF" w:rsidRPr="00D25391" w:rsidRDefault="00BD64CF" w:rsidP="00BD64CF">
      <w:pPr>
        <w:spacing w:before="120" w:line="300" w:lineRule="auto"/>
        <w:rPr>
          <w:szCs w:val="24"/>
        </w:rPr>
      </w:pPr>
      <w:r w:rsidRPr="00D25391">
        <w:rPr>
          <w:szCs w:val="24"/>
        </w:rPr>
        <w:t xml:space="preserve">In addition to the responsibilities described under Section </w:t>
      </w:r>
      <w:r w:rsidRPr="00D25391">
        <w:rPr>
          <w:szCs w:val="24"/>
        </w:rPr>
        <w:fldChar w:fldCharType="begin"/>
      </w:r>
      <w:r w:rsidRPr="00D25391">
        <w:rPr>
          <w:szCs w:val="24"/>
        </w:rPr>
        <w:instrText xml:space="preserve"> REF _Ref258931564 \r \h </w:instrText>
      </w:r>
      <w:r w:rsidRPr="00D25391">
        <w:rPr>
          <w:szCs w:val="24"/>
        </w:rPr>
      </w:r>
      <w:r w:rsidRPr="00D25391">
        <w:rPr>
          <w:szCs w:val="24"/>
        </w:rPr>
        <w:fldChar w:fldCharType="separate"/>
      </w:r>
      <w:r w:rsidRPr="00D25391">
        <w:rPr>
          <w:szCs w:val="24"/>
        </w:rPr>
        <w:t>9.1.</w:t>
      </w:r>
      <w:r w:rsidRPr="00D25391" w:rsidDel="00AB559E">
        <w:rPr>
          <w:szCs w:val="24"/>
        </w:rPr>
        <w:t>1</w:t>
      </w:r>
      <w:r w:rsidRPr="00D25391">
        <w:rPr>
          <w:szCs w:val="24"/>
        </w:rPr>
        <w:fldChar w:fldCharType="end"/>
      </w:r>
      <w:r w:rsidRPr="00D25391">
        <w:rPr>
          <w:szCs w:val="24"/>
        </w:rPr>
        <w:t xml:space="preserve">, </w:t>
      </w:r>
      <w:r w:rsidR="00B2086F">
        <w:rPr>
          <w:szCs w:val="24"/>
        </w:rPr>
        <w:t xml:space="preserve">a </w:t>
      </w:r>
      <w:r w:rsidRPr="00D25391">
        <w:rPr>
          <w:szCs w:val="24"/>
        </w:rPr>
        <w:t xml:space="preserve">Market Participant registering a Resource </w:t>
      </w:r>
      <w:r>
        <w:rPr>
          <w:szCs w:val="24"/>
        </w:rPr>
        <w:t>must</w:t>
      </w:r>
      <w:r w:rsidRPr="00D25391">
        <w:rPr>
          <w:szCs w:val="24"/>
        </w:rPr>
        <w:t xml:space="preserve"> register </w:t>
      </w:r>
      <w:r w:rsidR="00B2086F">
        <w:rPr>
          <w:szCs w:val="24"/>
        </w:rPr>
        <w:t>the</w:t>
      </w:r>
      <w:r w:rsidRPr="00D25391">
        <w:rPr>
          <w:szCs w:val="24"/>
        </w:rPr>
        <w:t xml:space="preserve"> Resource for real-time and settlement metering purposes using one of </w:t>
      </w:r>
      <w:r w:rsidRPr="000E25A0">
        <w:rPr>
          <w:szCs w:val="24"/>
        </w:rPr>
        <w:t xml:space="preserve">the three options described below relating to modeling and reporting of Auxiliary Load.  An MSR and associated Auxiliary Load must be registered as described </w:t>
      </w:r>
      <w:r w:rsidR="000C71B1" w:rsidRPr="000E25A0">
        <w:rPr>
          <w:szCs w:val="24"/>
        </w:rPr>
        <w:t>in this Section 9.1.11(1)</w:t>
      </w:r>
      <w:r w:rsidR="00D70017" w:rsidRPr="000E25A0">
        <w:rPr>
          <w:szCs w:val="24"/>
        </w:rPr>
        <w:t xml:space="preserve"> or Section 9.1.11</w:t>
      </w:r>
      <w:r w:rsidR="000C71B1" w:rsidRPr="000E25A0">
        <w:rPr>
          <w:szCs w:val="24"/>
        </w:rPr>
        <w:t>(2)</w:t>
      </w:r>
      <w:r w:rsidRPr="000E25A0">
        <w:rPr>
          <w:szCs w:val="24"/>
        </w:rPr>
        <w:t>.  The Market Participant must ensure that the registration of Auxiliary Load is consistent</w:t>
      </w:r>
      <w:r w:rsidRPr="00D25391">
        <w:rPr>
          <w:szCs w:val="24"/>
        </w:rPr>
        <w:t xml:space="preserve"> with any federal, state, and local laws, rules, and regulations applicable to the Auxiliary Load or the entity serving such load.</w:t>
      </w:r>
    </w:p>
    <w:p w14:paraId="7FC54D85" w14:textId="77777777" w:rsidR="00BD64CF" w:rsidRPr="00D25391" w:rsidRDefault="00BD64CF" w:rsidP="00DA3CE7">
      <w:pPr>
        <w:numPr>
          <w:ilvl w:val="0"/>
          <w:numId w:val="318"/>
        </w:numPr>
        <w:spacing w:before="120" w:line="300" w:lineRule="auto"/>
        <w:contextualSpacing/>
        <w:rPr>
          <w:b/>
          <w:szCs w:val="24"/>
        </w:rPr>
      </w:pPr>
      <w:r w:rsidRPr="00D25391">
        <w:rPr>
          <w:b/>
          <w:szCs w:val="24"/>
        </w:rPr>
        <w:t>Gross</w:t>
      </w:r>
      <w:r w:rsidRPr="00D25391">
        <w:rPr>
          <w:szCs w:val="24"/>
        </w:rPr>
        <w:t xml:space="preserve"> – Two values </w:t>
      </w:r>
      <w:r>
        <w:rPr>
          <w:szCs w:val="24"/>
        </w:rPr>
        <w:t>must</w:t>
      </w:r>
      <w:r w:rsidRPr="00D25391">
        <w:rPr>
          <w:szCs w:val="24"/>
        </w:rPr>
        <w:t xml:space="preserve"> be reported to </w:t>
      </w:r>
      <w:r>
        <w:rPr>
          <w:szCs w:val="24"/>
        </w:rPr>
        <w:t>the Market Operator</w:t>
      </w:r>
      <w:r w:rsidRPr="00D25391">
        <w:rPr>
          <w:szCs w:val="24"/>
        </w:rPr>
        <w:t xml:space="preserve"> via ICCP:  gross Resource output (positive value) and Auxiliary Load consumption (positive value).  The gross Resource output does not include reductions for Auxiliary Load.  The Market Participant </w:t>
      </w:r>
      <w:r>
        <w:rPr>
          <w:szCs w:val="24"/>
        </w:rPr>
        <w:t>must</w:t>
      </w:r>
      <w:r w:rsidRPr="00D25391">
        <w:rPr>
          <w:szCs w:val="24"/>
        </w:rPr>
        <w:t xml:space="preserve"> include the Auxiliary Load of the Resource in the instantaneous load reported to </w:t>
      </w:r>
      <w:r>
        <w:rPr>
          <w:szCs w:val="24"/>
        </w:rPr>
        <w:t>the Market Operator</w:t>
      </w:r>
      <w:r w:rsidRPr="00D25391">
        <w:rPr>
          <w:szCs w:val="24"/>
        </w:rPr>
        <w:t xml:space="preserve"> through ICCP whether the Resource is online or offline.  The Resource’s gross output into the </w:t>
      </w:r>
      <w:r>
        <w:rPr>
          <w:szCs w:val="24"/>
        </w:rPr>
        <w:t>Markets+ Footprint</w:t>
      </w:r>
      <w:r w:rsidRPr="00D25391">
        <w:rPr>
          <w:szCs w:val="24"/>
        </w:rPr>
        <w:t xml:space="preserve"> will be reported separately through ICCP.  </w:t>
      </w:r>
    </w:p>
    <w:p w14:paraId="4F3BE92B" w14:textId="659AB7B3" w:rsidR="00BD64CF" w:rsidRPr="00D25391" w:rsidRDefault="00BD64CF" w:rsidP="00DA3CE7">
      <w:pPr>
        <w:numPr>
          <w:ilvl w:val="0"/>
          <w:numId w:val="318"/>
        </w:numPr>
        <w:spacing w:before="120" w:line="300" w:lineRule="auto"/>
        <w:contextualSpacing/>
        <w:rPr>
          <w:b/>
          <w:szCs w:val="24"/>
        </w:rPr>
      </w:pPr>
      <w:r w:rsidRPr="00D25391">
        <w:rPr>
          <w:b/>
          <w:szCs w:val="24"/>
        </w:rPr>
        <w:t>Net with Aux</w:t>
      </w:r>
      <w:r w:rsidRPr="00D25391">
        <w:rPr>
          <w:szCs w:val="24"/>
        </w:rPr>
        <w:t xml:space="preserve"> – Two values </w:t>
      </w:r>
      <w:r>
        <w:rPr>
          <w:szCs w:val="24"/>
        </w:rPr>
        <w:t>must</w:t>
      </w:r>
      <w:r w:rsidRPr="00D25391">
        <w:rPr>
          <w:szCs w:val="24"/>
        </w:rPr>
        <w:t xml:space="preserve"> be reported to </w:t>
      </w:r>
      <w:r>
        <w:rPr>
          <w:szCs w:val="24"/>
        </w:rPr>
        <w:t>the Market Operator</w:t>
      </w:r>
      <w:r w:rsidRPr="00D25391">
        <w:rPr>
          <w:szCs w:val="24"/>
        </w:rPr>
        <w:t xml:space="preserve"> via ICCP:  net Resource output (positive value) and Auxiliary Load consumption (positive value).  The Market Participant </w:t>
      </w:r>
      <w:r>
        <w:rPr>
          <w:szCs w:val="24"/>
        </w:rPr>
        <w:t>must</w:t>
      </w:r>
      <w:r w:rsidRPr="00D25391">
        <w:rPr>
          <w:szCs w:val="24"/>
        </w:rPr>
        <w:t xml:space="preserve"> report the net value of the Resource’s gross output and Auxiliary Load to </w:t>
      </w:r>
      <w:r>
        <w:rPr>
          <w:szCs w:val="24"/>
        </w:rPr>
        <w:t>the Market Operator</w:t>
      </w:r>
      <w:r w:rsidRPr="00D25391">
        <w:rPr>
          <w:szCs w:val="24"/>
        </w:rPr>
        <w:t xml:space="preserve"> through ICCP while the gross output is greater than the Auxiliary Load.  When the Resource’s gross output is less than or equal to the Auxiliary Load, the Market Participant </w:t>
      </w:r>
      <w:r>
        <w:rPr>
          <w:szCs w:val="24"/>
        </w:rPr>
        <w:t>must</w:t>
      </w:r>
      <w:r w:rsidRPr="00D25391">
        <w:rPr>
          <w:szCs w:val="24"/>
        </w:rPr>
        <w:t xml:space="preserve"> include the Auxiliary Load less gross output in the instantaneous load that is also reported to </w:t>
      </w:r>
      <w:r>
        <w:rPr>
          <w:szCs w:val="24"/>
        </w:rPr>
        <w:t>the Market Operator</w:t>
      </w:r>
      <w:r w:rsidRPr="00D25391">
        <w:rPr>
          <w:szCs w:val="24"/>
        </w:rPr>
        <w:t xml:space="preserve"> through ICCP and report the Resource’s output as zero MWs.</w:t>
      </w:r>
    </w:p>
    <w:p w14:paraId="486CE838" w14:textId="67E14965" w:rsidR="00BD64CF" w:rsidRPr="00D25391" w:rsidRDefault="00BD64CF" w:rsidP="00DA3CE7">
      <w:pPr>
        <w:numPr>
          <w:ilvl w:val="0"/>
          <w:numId w:val="318"/>
        </w:numPr>
        <w:spacing w:before="120" w:after="240" w:line="300" w:lineRule="auto"/>
        <w:ind w:left="734" w:hanging="547"/>
        <w:contextualSpacing/>
        <w:rPr>
          <w:b/>
          <w:szCs w:val="24"/>
        </w:rPr>
      </w:pPr>
      <w:r w:rsidRPr="00D25391">
        <w:rPr>
          <w:b/>
          <w:szCs w:val="24"/>
        </w:rPr>
        <w:t>Net without Aux</w:t>
      </w:r>
      <w:r w:rsidRPr="00D25391">
        <w:rPr>
          <w:szCs w:val="24"/>
        </w:rPr>
        <w:t xml:space="preserve"> – One value </w:t>
      </w:r>
      <w:r>
        <w:rPr>
          <w:szCs w:val="24"/>
        </w:rPr>
        <w:t>must</w:t>
      </w:r>
      <w:r w:rsidRPr="00D25391">
        <w:rPr>
          <w:szCs w:val="24"/>
        </w:rPr>
        <w:t xml:space="preserve"> be reported to </w:t>
      </w:r>
      <w:r>
        <w:rPr>
          <w:szCs w:val="24"/>
        </w:rPr>
        <w:t>the Market Operator</w:t>
      </w:r>
      <w:r w:rsidRPr="00D25391">
        <w:rPr>
          <w:szCs w:val="24"/>
        </w:rPr>
        <w:t xml:space="preserve"> via ICCP:  net Resource output (positive or negative).  The Market Participant </w:t>
      </w:r>
      <w:r>
        <w:rPr>
          <w:szCs w:val="24"/>
        </w:rPr>
        <w:t>must</w:t>
      </w:r>
      <w:r w:rsidRPr="00D25391">
        <w:rPr>
          <w:szCs w:val="24"/>
        </w:rPr>
        <w:t xml:space="preserve"> report the net value of the Resource’s gross output and Auxiliary Load to </w:t>
      </w:r>
      <w:r>
        <w:rPr>
          <w:szCs w:val="24"/>
        </w:rPr>
        <w:t>the Market Operator</w:t>
      </w:r>
      <w:r w:rsidRPr="00D25391">
        <w:rPr>
          <w:szCs w:val="24"/>
        </w:rPr>
        <w:t xml:space="preserve"> through ICCP.  When the Resource’s gross output is less than the Auxiliary Load, the net Resource output will be negative and</w:t>
      </w:r>
      <w:r w:rsidR="00371379">
        <w:rPr>
          <w:szCs w:val="24"/>
        </w:rPr>
        <w:t xml:space="preserve"> assessed as load in market settlements</w:t>
      </w:r>
      <w:r w:rsidRPr="00D25391">
        <w:rPr>
          <w:szCs w:val="24"/>
        </w:rPr>
        <w:t>. This option may only be used when the Resource’s Market Participant and the entity serving the Auxiliary Load are the same entity.</w:t>
      </w:r>
    </w:p>
    <w:p w14:paraId="15157EC5" w14:textId="77777777" w:rsidR="00BD64CF" w:rsidRPr="00D25391" w:rsidRDefault="00BD64CF" w:rsidP="00BD64CF">
      <w:pPr>
        <w:spacing w:before="120" w:line="300" w:lineRule="auto"/>
      </w:pPr>
      <w:r w:rsidRPr="00D25391">
        <w:t xml:space="preserve">For options (1) or (2) above, the Auxiliary Load for the Resource is registered by the Market Participant as part of a load Settlement Location included in its load Meter Data.  For option (3), the Auxiliary Load must not be registered by a Market Participant as part of a load Settlement Location </w:t>
      </w:r>
      <w:r w:rsidRPr="00D25391">
        <w:rPr>
          <w:szCs w:val="24"/>
        </w:rPr>
        <w:t xml:space="preserve">or included in its load Meter Data submission. Information on Resource metering is described </w:t>
      </w:r>
      <w:r w:rsidRPr="00556598">
        <w:rPr>
          <w:szCs w:val="24"/>
        </w:rPr>
        <w:t xml:space="preserve">in Appendix </w:t>
      </w:r>
      <w:r w:rsidRPr="00400E44">
        <w:rPr>
          <w:szCs w:val="24"/>
        </w:rPr>
        <w:t>B</w:t>
      </w:r>
      <w:r w:rsidRPr="00556598">
        <w:rPr>
          <w:szCs w:val="24"/>
        </w:rPr>
        <w:t>.7.1.</w:t>
      </w:r>
      <w:r w:rsidRPr="00D25391">
        <w:t xml:space="preserve">    </w:t>
      </w:r>
    </w:p>
    <w:p w14:paraId="35163A48" w14:textId="48C99FA7" w:rsidR="00BD64CF" w:rsidRPr="00D25391" w:rsidRDefault="00BD64CF" w:rsidP="00781C61">
      <w:pPr>
        <w:pStyle w:val="Heading3"/>
      </w:pPr>
      <w:bookmarkStart w:id="7632" w:name="_Ref212542249"/>
      <w:bookmarkStart w:id="7633" w:name="_Toc213772053"/>
      <w:bookmarkStart w:id="7634" w:name="_Ref73010983"/>
      <w:bookmarkStart w:id="7635" w:name="_Toc159233485"/>
      <w:bookmarkStart w:id="7636" w:name="_Toc167202607"/>
      <w:bookmarkStart w:id="7637" w:name="_Toc263235181"/>
      <w:bookmarkStart w:id="7638" w:name="_Toc263235825"/>
      <w:bookmarkStart w:id="7639" w:name="_Toc263429573"/>
      <w:bookmarkStart w:id="7640" w:name="_Toc263795616"/>
      <w:bookmarkStart w:id="7641" w:name="_Toc266869790"/>
      <w:bookmarkEnd w:id="7630"/>
      <w:bookmarkEnd w:id="7631"/>
      <w:r w:rsidRPr="00D25391">
        <w:t>Market Storage Resource</w:t>
      </w:r>
      <w:bookmarkEnd w:id="7632"/>
      <w:bookmarkEnd w:id="7633"/>
      <w:r w:rsidRPr="00D25391">
        <w:t xml:space="preserve"> </w:t>
      </w:r>
      <w:bookmarkEnd w:id="7634"/>
      <w:bookmarkEnd w:id="7635"/>
      <w:bookmarkEnd w:id="7636"/>
    </w:p>
    <w:p w14:paraId="30C6A690" w14:textId="76A36D52" w:rsidR="00BD64CF" w:rsidRPr="00D25391" w:rsidRDefault="00BD64CF" w:rsidP="00BD64CF">
      <w:pPr>
        <w:spacing w:before="120" w:line="300" w:lineRule="auto"/>
        <w:rPr>
          <w:szCs w:val="24"/>
        </w:rPr>
      </w:pPr>
      <w:r w:rsidRPr="00D25391">
        <w:rPr>
          <w:szCs w:val="24"/>
        </w:rPr>
        <w:t xml:space="preserve">In addition to the responsibilities described under Section </w:t>
      </w:r>
      <w:r w:rsidRPr="00D25391">
        <w:rPr>
          <w:szCs w:val="24"/>
        </w:rPr>
        <w:fldChar w:fldCharType="begin"/>
      </w:r>
      <w:r w:rsidRPr="00D25391">
        <w:rPr>
          <w:szCs w:val="24"/>
        </w:rPr>
        <w:instrText xml:space="preserve"> REF _Ref258931564 \r \h  \* MERGEFORMAT </w:instrText>
      </w:r>
      <w:r w:rsidRPr="00D25391">
        <w:rPr>
          <w:szCs w:val="24"/>
        </w:rPr>
      </w:r>
      <w:r w:rsidRPr="00D25391">
        <w:rPr>
          <w:szCs w:val="24"/>
        </w:rPr>
        <w:fldChar w:fldCharType="separate"/>
      </w:r>
      <w:r>
        <w:rPr>
          <w:szCs w:val="24"/>
        </w:rPr>
        <w:t>9</w:t>
      </w:r>
      <w:r w:rsidRPr="00D25391">
        <w:rPr>
          <w:szCs w:val="24"/>
        </w:rPr>
        <w:t>.1.1</w:t>
      </w:r>
      <w:r w:rsidRPr="00D25391">
        <w:rPr>
          <w:szCs w:val="24"/>
        </w:rPr>
        <w:fldChar w:fldCharType="end"/>
      </w:r>
      <w:r w:rsidRPr="00D25391">
        <w:rPr>
          <w:szCs w:val="24"/>
        </w:rPr>
        <w:t xml:space="preserve">, an MSR must provide: </w:t>
      </w:r>
    </w:p>
    <w:p w14:paraId="4FF0A3F3" w14:textId="77777777" w:rsidR="00BD64CF" w:rsidRPr="00D25391" w:rsidRDefault="00BD64CF" w:rsidP="00DA3CE7">
      <w:pPr>
        <w:numPr>
          <w:ilvl w:val="0"/>
          <w:numId w:val="269"/>
        </w:numPr>
        <w:autoSpaceDE w:val="0"/>
        <w:autoSpaceDN w:val="0"/>
        <w:adjustRightInd w:val="0"/>
        <w:spacing w:line="300" w:lineRule="auto"/>
        <w:rPr>
          <w:rFonts w:eastAsia="Calibri"/>
        </w:rPr>
      </w:pPr>
      <w:r w:rsidRPr="00D25391">
        <w:rPr>
          <w:rFonts w:eastAsia="Calibri"/>
        </w:rPr>
        <w:t>State of Charge maximum capability in MWh;</w:t>
      </w:r>
    </w:p>
    <w:p w14:paraId="5DCE7F9C" w14:textId="77777777" w:rsidR="00BD64CF" w:rsidRPr="00D25391" w:rsidRDefault="00BD64CF" w:rsidP="00DA3CE7">
      <w:pPr>
        <w:numPr>
          <w:ilvl w:val="0"/>
          <w:numId w:val="269"/>
        </w:numPr>
        <w:autoSpaceDE w:val="0"/>
        <w:autoSpaceDN w:val="0"/>
        <w:adjustRightInd w:val="0"/>
        <w:spacing w:line="300" w:lineRule="auto"/>
        <w:rPr>
          <w:rFonts w:eastAsia="Calibri"/>
        </w:rPr>
      </w:pPr>
      <w:r w:rsidRPr="00D25391">
        <w:rPr>
          <w:rFonts w:eastAsia="Calibri"/>
        </w:rPr>
        <w:t>Inverter power rating maximum (MW);</w:t>
      </w:r>
    </w:p>
    <w:p w14:paraId="7C5C5DF1" w14:textId="3D89D8F0" w:rsidR="003E6EAF" w:rsidRPr="00A04C12" w:rsidRDefault="00BD64CF" w:rsidP="002E0AF8">
      <w:pPr>
        <w:numPr>
          <w:ilvl w:val="0"/>
          <w:numId w:val="269"/>
        </w:numPr>
        <w:autoSpaceDE w:val="0"/>
        <w:autoSpaceDN w:val="0"/>
        <w:adjustRightInd w:val="0"/>
        <w:spacing w:line="300" w:lineRule="auto"/>
        <w:rPr>
          <w:rFonts w:eastAsia="Calibri"/>
        </w:rPr>
      </w:pPr>
      <w:r w:rsidRPr="002E0AF8">
        <w:rPr>
          <w:rFonts w:eastAsia="Calibri"/>
        </w:rPr>
        <w:t>Registration charge maximum and discharge maximum (MW)</w:t>
      </w:r>
      <w:r>
        <w:t>.</w:t>
      </w:r>
      <w:r w:rsidR="002E0AF8" w:rsidRPr="002E0AF8">
        <w:t xml:space="preserve"> </w:t>
      </w:r>
      <w:r w:rsidR="002E0AF8" w:rsidRPr="000968D0">
        <w:t>The regist</w:t>
      </w:r>
      <w:r w:rsidR="002E0AF8">
        <w:t>ration</w:t>
      </w:r>
      <w:r w:rsidR="002E0AF8" w:rsidRPr="000968D0">
        <w:t xml:space="preserve"> charge maximum and discharge </w:t>
      </w:r>
      <w:r w:rsidR="002E0AF8">
        <w:t>maximum</w:t>
      </w:r>
      <w:r w:rsidR="002E0AF8" w:rsidRPr="000968D0">
        <w:t xml:space="preserve"> must reflect the </w:t>
      </w:r>
      <w:r w:rsidR="002E0AF8">
        <w:t xml:space="preserve">MW value the MSR is capable of producing for the Operating Hour. </w:t>
      </w:r>
      <w:r w:rsidR="002E0AF8" w:rsidRPr="000968D0">
        <w:t xml:space="preserve"> </w:t>
      </w:r>
      <w:r>
        <w:t xml:space="preserve"> </w:t>
      </w:r>
      <w:r w:rsidRPr="000968D0">
        <w:t xml:space="preserve">An MSR </w:t>
      </w:r>
      <w:r w:rsidR="000F34ED">
        <w:t>must</w:t>
      </w:r>
      <w:r w:rsidRPr="000968D0">
        <w:t xml:space="preserve"> submit Maximum Charge Limits and Maximum Discharge Limits to qualify for any market product the MSR is technically capable of providing</w:t>
      </w:r>
      <w:r w:rsidR="000F34ED">
        <w:t xml:space="preserve"> for the Operating Hour</w:t>
      </w:r>
      <w:r w:rsidRPr="000968D0">
        <w:t>.</w:t>
      </w:r>
    </w:p>
    <w:p w14:paraId="24432E86" w14:textId="4B5C17C1" w:rsidR="00067F29" w:rsidRPr="002E0AF8" w:rsidRDefault="00067F29" w:rsidP="00A04C12">
      <w:pPr>
        <w:numPr>
          <w:ilvl w:val="1"/>
          <w:numId w:val="269"/>
        </w:numPr>
        <w:autoSpaceDE w:val="0"/>
        <w:autoSpaceDN w:val="0"/>
        <w:adjustRightInd w:val="0"/>
        <w:spacing w:line="300" w:lineRule="auto"/>
        <w:rPr>
          <w:rFonts w:eastAsia="Calibri"/>
        </w:rPr>
      </w:pPr>
      <w:r>
        <w:rPr>
          <w:rFonts w:eastAsia="Calibri"/>
        </w:rPr>
        <w:t xml:space="preserve">For example, an </w:t>
      </w:r>
      <w:r w:rsidR="002A4177">
        <w:rPr>
          <w:rFonts w:eastAsia="Calibri"/>
        </w:rPr>
        <w:t>E</w:t>
      </w:r>
      <w:r>
        <w:rPr>
          <w:rFonts w:eastAsia="Calibri"/>
        </w:rPr>
        <w:t xml:space="preserve">SR </w:t>
      </w:r>
      <w:r w:rsidRPr="00067F29">
        <w:rPr>
          <w:rFonts w:eastAsia="Calibri"/>
        </w:rPr>
        <w:t xml:space="preserve">with a rated maximum discharge capacity of 100 MW that can discharge at 100 MW for </w:t>
      </w:r>
      <w:r>
        <w:rPr>
          <w:rFonts w:eastAsia="Calibri"/>
        </w:rPr>
        <w:t>fifteen (</w:t>
      </w:r>
      <w:r w:rsidRPr="00067F29">
        <w:rPr>
          <w:rFonts w:eastAsia="Calibri"/>
        </w:rPr>
        <w:t>15</w:t>
      </w:r>
      <w:r>
        <w:rPr>
          <w:rFonts w:eastAsia="Calibri"/>
        </w:rPr>
        <w:t>)</w:t>
      </w:r>
      <w:r w:rsidRPr="00067F29">
        <w:rPr>
          <w:rFonts w:eastAsia="Calibri"/>
        </w:rPr>
        <w:t xml:space="preserve"> minutes would not be able to register as an MSR in Markets+ with a registration discharge maximum of 100 MW. The M</w:t>
      </w:r>
      <w:r w:rsidR="00A41EB3">
        <w:rPr>
          <w:rFonts w:eastAsia="Calibri"/>
        </w:rPr>
        <w:t xml:space="preserve">arket </w:t>
      </w:r>
      <w:r w:rsidR="007825EF" w:rsidRPr="00067F29">
        <w:rPr>
          <w:rFonts w:eastAsia="Calibri"/>
        </w:rPr>
        <w:t>P</w:t>
      </w:r>
      <w:r w:rsidR="007825EF">
        <w:rPr>
          <w:rFonts w:eastAsia="Calibri"/>
        </w:rPr>
        <w:t>articipant</w:t>
      </w:r>
      <w:r w:rsidRPr="00067F29">
        <w:rPr>
          <w:rFonts w:eastAsia="Calibri"/>
        </w:rPr>
        <w:t xml:space="preserve"> would need to register the MSR with a registration discharge maximum of 25 MW.</w:t>
      </w:r>
    </w:p>
    <w:p w14:paraId="37BB2EDE" w14:textId="7E973A4A" w:rsidR="00BD64CF" w:rsidRPr="009210AF" w:rsidRDefault="00BD64CF" w:rsidP="00DA3CE7">
      <w:pPr>
        <w:numPr>
          <w:ilvl w:val="0"/>
          <w:numId w:val="269"/>
        </w:numPr>
        <w:autoSpaceDE w:val="0"/>
        <w:autoSpaceDN w:val="0"/>
        <w:adjustRightInd w:val="0"/>
        <w:spacing w:line="300" w:lineRule="auto"/>
        <w:rPr>
          <w:rFonts w:eastAsia="Calibri"/>
        </w:rPr>
      </w:pPr>
      <w:r w:rsidRPr="00D25391">
        <w:rPr>
          <w:rFonts w:eastAsia="Calibri"/>
        </w:rPr>
        <w:t xml:space="preserve">Register auxiliary load as described </w:t>
      </w:r>
      <w:r w:rsidRPr="009210AF">
        <w:rPr>
          <w:rFonts w:eastAsia="Calibri"/>
        </w:rPr>
        <w:t xml:space="preserve">under Section </w:t>
      </w:r>
      <w:r w:rsidR="00A60BE0">
        <w:rPr>
          <w:rFonts w:eastAsia="Calibri"/>
        </w:rPr>
        <w:fldChar w:fldCharType="begin"/>
      </w:r>
      <w:r w:rsidR="00A60BE0">
        <w:rPr>
          <w:rFonts w:eastAsia="Calibri"/>
        </w:rPr>
        <w:instrText xml:space="preserve"> REF _Ref371340817 \r \h </w:instrText>
      </w:r>
      <w:r w:rsidR="00A60BE0">
        <w:rPr>
          <w:rFonts w:eastAsia="Calibri"/>
        </w:rPr>
      </w:r>
      <w:r w:rsidR="00A60BE0">
        <w:rPr>
          <w:rFonts w:eastAsia="Calibri"/>
        </w:rPr>
        <w:fldChar w:fldCharType="separate"/>
      </w:r>
      <w:r w:rsidR="00A60BE0">
        <w:rPr>
          <w:rFonts w:eastAsia="Calibri"/>
        </w:rPr>
        <w:t>9.1.11</w:t>
      </w:r>
      <w:r w:rsidR="00A60BE0">
        <w:rPr>
          <w:rFonts w:eastAsia="Calibri"/>
        </w:rPr>
        <w:fldChar w:fldCharType="end"/>
      </w:r>
      <w:r w:rsidRPr="009210AF">
        <w:rPr>
          <w:rFonts w:eastAsia="Calibri"/>
        </w:rPr>
        <w:t>(1)(2)</w:t>
      </w:r>
      <w:r>
        <w:rPr>
          <w:rFonts w:eastAsia="Calibri"/>
        </w:rPr>
        <w:t>.</w:t>
      </w:r>
    </w:p>
    <w:p w14:paraId="2301DF5B" w14:textId="0990F086" w:rsidR="00BD64CF" w:rsidRDefault="00BD64CF" w:rsidP="00781C61">
      <w:pPr>
        <w:pStyle w:val="Heading3"/>
      </w:pPr>
      <w:bookmarkStart w:id="7642" w:name="_Ref195097998"/>
      <w:bookmarkStart w:id="7643" w:name="_Ref210812437"/>
      <w:bookmarkStart w:id="7644" w:name="_Toc213772054"/>
      <w:r>
        <w:t>Resource Aggregation</w:t>
      </w:r>
      <w:bookmarkEnd w:id="7642"/>
      <w:bookmarkEnd w:id="7643"/>
      <w:bookmarkEnd w:id="7644"/>
    </w:p>
    <w:p w14:paraId="1E274EE3" w14:textId="1EA4ED35" w:rsidR="006017B5" w:rsidRPr="006B794A" w:rsidRDefault="006017B5" w:rsidP="006017B5">
      <w:pPr>
        <w:spacing w:before="120" w:line="300" w:lineRule="auto"/>
        <w:rPr>
          <w:szCs w:val="24"/>
        </w:rPr>
      </w:pPr>
      <w:r w:rsidRPr="24365125">
        <w:rPr>
          <w:szCs w:val="24"/>
        </w:rPr>
        <w:t xml:space="preserve">In addition to the responsibilities described under Section </w:t>
      </w:r>
      <w:r w:rsidR="00A60BE0">
        <w:rPr>
          <w:szCs w:val="24"/>
        </w:rPr>
        <w:fldChar w:fldCharType="begin"/>
      </w:r>
      <w:r w:rsidR="00A60BE0">
        <w:rPr>
          <w:szCs w:val="24"/>
        </w:rPr>
        <w:instrText xml:space="preserve"> REF _Ref212622086 \r \h </w:instrText>
      </w:r>
      <w:r w:rsidR="00A60BE0">
        <w:rPr>
          <w:szCs w:val="24"/>
        </w:rPr>
      </w:r>
      <w:r w:rsidR="00A60BE0">
        <w:rPr>
          <w:szCs w:val="24"/>
        </w:rPr>
        <w:fldChar w:fldCharType="separate"/>
      </w:r>
      <w:r w:rsidR="00A60BE0">
        <w:rPr>
          <w:szCs w:val="24"/>
        </w:rPr>
        <w:t>9.1.1</w:t>
      </w:r>
      <w:r w:rsidR="00A60BE0">
        <w:rPr>
          <w:szCs w:val="24"/>
        </w:rPr>
        <w:fldChar w:fldCharType="end"/>
      </w:r>
      <w:r w:rsidRPr="24365125">
        <w:rPr>
          <w:szCs w:val="24"/>
        </w:rPr>
        <w:t xml:space="preserve">, </w:t>
      </w:r>
      <w:r w:rsidR="00B2086F">
        <w:rPr>
          <w:szCs w:val="24"/>
        </w:rPr>
        <w:t xml:space="preserve">a </w:t>
      </w:r>
      <w:r w:rsidRPr="24365125">
        <w:rPr>
          <w:szCs w:val="24"/>
        </w:rPr>
        <w:t xml:space="preserve">Market Participant that </w:t>
      </w:r>
      <w:r w:rsidR="00B2086F">
        <w:rPr>
          <w:szCs w:val="24"/>
        </w:rPr>
        <w:t>seeks</w:t>
      </w:r>
      <w:r w:rsidRPr="24365125">
        <w:rPr>
          <w:szCs w:val="24"/>
        </w:rPr>
        <w:t xml:space="preserve"> to aggregate units or plants into a Resource Aggregation must indicate this selection at </w:t>
      </w:r>
      <w:r w:rsidR="00B2086F">
        <w:rPr>
          <w:szCs w:val="24"/>
        </w:rPr>
        <w:t>r</w:t>
      </w:r>
      <w:r w:rsidRPr="24365125">
        <w:rPr>
          <w:szCs w:val="24"/>
        </w:rPr>
        <w:t xml:space="preserve">egistration.  The Market Participant will provide all necessary operational characteristics for each unit or plant in the </w:t>
      </w:r>
      <w:r w:rsidR="00B2086F">
        <w:rPr>
          <w:szCs w:val="24"/>
        </w:rPr>
        <w:t xml:space="preserve">Resource </w:t>
      </w:r>
      <w:r w:rsidRPr="24365125">
        <w:rPr>
          <w:szCs w:val="24"/>
        </w:rPr>
        <w:t>Aggregation. Resource Aggregations are subject to the same telemetry</w:t>
      </w:r>
      <w:r w:rsidR="00B2086F">
        <w:rPr>
          <w:szCs w:val="24"/>
        </w:rPr>
        <w:t xml:space="preserve"> (ICCP)</w:t>
      </w:r>
      <w:r w:rsidRPr="24365125">
        <w:rPr>
          <w:szCs w:val="24"/>
        </w:rPr>
        <w:t xml:space="preserve"> requirements as any other Resource.  </w:t>
      </w:r>
      <w:r>
        <w:rPr>
          <w:szCs w:val="24"/>
        </w:rPr>
        <w:t xml:space="preserve">The Market </w:t>
      </w:r>
      <w:r w:rsidRPr="00CA3504">
        <w:rPr>
          <w:szCs w:val="24"/>
        </w:rPr>
        <w:t>Participant must provide</w:t>
      </w:r>
      <w:r>
        <w:rPr>
          <w:szCs w:val="24"/>
        </w:rPr>
        <w:t xml:space="preserve"> </w:t>
      </w:r>
      <w:r w:rsidRPr="24365125">
        <w:rPr>
          <w:szCs w:val="24"/>
        </w:rPr>
        <w:t>the Market Operator with actual output for each unit or plant</w:t>
      </w:r>
      <w:r>
        <w:rPr>
          <w:szCs w:val="24"/>
        </w:rPr>
        <w:t xml:space="preserve"> within the aggregation</w:t>
      </w:r>
      <w:r w:rsidRPr="24365125">
        <w:rPr>
          <w:szCs w:val="24"/>
        </w:rPr>
        <w:t xml:space="preserve"> via ICCP and each unit or plant will be modeled separately in the Network Model. In addition, an initial distribution factor for each unit or plant within the Resource Aggregation must be supplied.  </w:t>
      </w:r>
      <w:r w:rsidR="00307D6D">
        <w:rPr>
          <w:szCs w:val="24"/>
        </w:rPr>
        <w:t xml:space="preserve">A </w:t>
      </w:r>
      <w:r w:rsidRPr="24365125">
        <w:rPr>
          <w:szCs w:val="24"/>
        </w:rPr>
        <w:t xml:space="preserve">Market Participant registering a Resource as a Resource Aggregation must provide additional information demonstrating that the Resource Aggregation meets the following requirements: </w:t>
      </w:r>
    </w:p>
    <w:p w14:paraId="650A217F" w14:textId="5BE08B8E" w:rsidR="006017B5" w:rsidRPr="006B794A" w:rsidRDefault="006017B5" w:rsidP="00DA3CE7">
      <w:pPr>
        <w:pStyle w:val="ListParagraph"/>
        <w:numPr>
          <w:ilvl w:val="0"/>
          <w:numId w:val="329"/>
        </w:numPr>
        <w:spacing w:before="120" w:line="300" w:lineRule="auto"/>
        <w:ind w:left="360"/>
        <w:contextualSpacing w:val="0"/>
        <w:rPr>
          <w:szCs w:val="24"/>
        </w:rPr>
      </w:pPr>
      <w:r w:rsidRPr="006B794A">
        <w:rPr>
          <w:szCs w:val="24"/>
        </w:rPr>
        <w:t xml:space="preserve">Units or plants within the Resource Aggregation must be electrically similar.  The Market Operator will make this determination during </w:t>
      </w:r>
      <w:r w:rsidR="00307D6D">
        <w:rPr>
          <w:szCs w:val="24"/>
        </w:rPr>
        <w:t>r</w:t>
      </w:r>
      <w:r w:rsidRPr="006B794A">
        <w:rPr>
          <w:szCs w:val="24"/>
        </w:rPr>
        <w:t xml:space="preserve">egistration by evaluating the proposed Resource Aggregation to ensure that any differences in shift factors of the individual units or plants on Markets+ market flows can be adequately modeled through the use of </w:t>
      </w:r>
      <w:r w:rsidR="000D46AD">
        <w:rPr>
          <w:szCs w:val="24"/>
        </w:rPr>
        <w:t>d</w:t>
      </w:r>
      <w:r w:rsidRPr="006B794A">
        <w:rPr>
          <w:szCs w:val="24"/>
        </w:rPr>
        <w:t xml:space="preserve">istribution </w:t>
      </w:r>
      <w:r w:rsidR="000D46AD">
        <w:rPr>
          <w:szCs w:val="24"/>
        </w:rPr>
        <w:t>f</w:t>
      </w:r>
      <w:r w:rsidRPr="006B794A">
        <w:rPr>
          <w:szCs w:val="24"/>
        </w:rPr>
        <w:t xml:space="preserve">actors, and that the use of the Resource Aggregation is not expected to materially affect Markets+ operations. </w:t>
      </w:r>
    </w:p>
    <w:p w14:paraId="50B3E678" w14:textId="77777777" w:rsidR="006017B5" w:rsidRPr="006B794A" w:rsidRDefault="006017B5" w:rsidP="00DA3CE7">
      <w:pPr>
        <w:pStyle w:val="ListParagraph"/>
        <w:numPr>
          <w:ilvl w:val="0"/>
          <w:numId w:val="329"/>
        </w:numPr>
        <w:spacing w:before="120" w:line="300" w:lineRule="auto"/>
        <w:ind w:left="360"/>
        <w:contextualSpacing w:val="0"/>
        <w:rPr>
          <w:szCs w:val="24"/>
        </w:rPr>
      </w:pPr>
      <w:r w:rsidRPr="006B794A">
        <w:rPr>
          <w:szCs w:val="24"/>
        </w:rPr>
        <w:t xml:space="preserve">Resources that connect to the Markets+ Footprint at the same electrical </w:t>
      </w:r>
      <w:r>
        <w:rPr>
          <w:szCs w:val="24"/>
        </w:rPr>
        <w:t>point of interconnection to the transmission system</w:t>
      </w:r>
      <w:r w:rsidRPr="006B794A">
        <w:rPr>
          <w:szCs w:val="24"/>
        </w:rPr>
        <w:t xml:space="preserve"> may be </w:t>
      </w:r>
      <w:r>
        <w:rPr>
          <w:szCs w:val="24"/>
        </w:rPr>
        <w:t>combined</w:t>
      </w:r>
      <w:r w:rsidRPr="006B794A">
        <w:rPr>
          <w:szCs w:val="24"/>
        </w:rPr>
        <w:t xml:space="preserve"> </w:t>
      </w:r>
      <w:r>
        <w:rPr>
          <w:szCs w:val="24"/>
        </w:rPr>
        <w:t>as</w:t>
      </w:r>
      <w:r w:rsidRPr="006B794A">
        <w:rPr>
          <w:szCs w:val="24"/>
        </w:rPr>
        <w:t xml:space="preserve"> part of a Resource Aggregation</w:t>
      </w:r>
      <w:r>
        <w:rPr>
          <w:szCs w:val="24"/>
        </w:rPr>
        <w:t>, but resources that are part of a Resource Aggregation are not required to have a single point of interconnection with the transmission system</w:t>
      </w:r>
      <w:r w:rsidRPr="006B794A">
        <w:rPr>
          <w:szCs w:val="24"/>
        </w:rPr>
        <w:t>.</w:t>
      </w:r>
    </w:p>
    <w:p w14:paraId="209D6190" w14:textId="77777777" w:rsidR="006017B5" w:rsidRPr="006B794A" w:rsidRDefault="006017B5" w:rsidP="00DA3CE7">
      <w:pPr>
        <w:pStyle w:val="ListParagraph"/>
        <w:numPr>
          <w:ilvl w:val="0"/>
          <w:numId w:val="329"/>
        </w:numPr>
        <w:spacing w:before="120" w:line="300" w:lineRule="auto"/>
        <w:ind w:left="360"/>
        <w:contextualSpacing w:val="0"/>
        <w:rPr>
          <w:szCs w:val="24"/>
        </w:rPr>
      </w:pPr>
      <w:r w:rsidRPr="006B794A">
        <w:rPr>
          <w:szCs w:val="24"/>
        </w:rPr>
        <w:t xml:space="preserve">The Resource Aggregations </w:t>
      </w:r>
      <w:r>
        <w:rPr>
          <w:szCs w:val="24"/>
        </w:rPr>
        <w:t>must</w:t>
      </w:r>
      <w:r w:rsidRPr="006B794A">
        <w:rPr>
          <w:szCs w:val="24"/>
        </w:rPr>
        <w:t xml:space="preserve"> be comprised of: </w:t>
      </w:r>
      <w:r w:rsidRPr="006B794A">
        <w:rPr>
          <w:szCs w:val="24"/>
        </w:rPr>
        <w:tab/>
      </w:r>
    </w:p>
    <w:p w14:paraId="50B48E3A" w14:textId="77777777" w:rsidR="006017B5" w:rsidRPr="006B794A" w:rsidRDefault="006017B5" w:rsidP="00DA3CE7">
      <w:pPr>
        <w:pStyle w:val="ListParagraph"/>
        <w:numPr>
          <w:ilvl w:val="0"/>
          <w:numId w:val="330"/>
        </w:numPr>
        <w:spacing w:before="120" w:line="300" w:lineRule="auto"/>
        <w:ind w:left="720"/>
        <w:contextualSpacing w:val="0"/>
        <w:rPr>
          <w:szCs w:val="24"/>
        </w:rPr>
      </w:pPr>
      <w:r w:rsidRPr="006B794A">
        <w:rPr>
          <w:szCs w:val="24"/>
        </w:rPr>
        <w:t>Units or plants located in the same Balancing Authority Area, which requires all units or plants associated with a Resource Aggregation to be within the same Balancing Authority Area; and</w:t>
      </w:r>
    </w:p>
    <w:p w14:paraId="39C13AC3" w14:textId="5056B4CE" w:rsidR="006017B5" w:rsidRPr="006B794A" w:rsidRDefault="006017B5" w:rsidP="00DA3CE7">
      <w:pPr>
        <w:pStyle w:val="ListParagraph"/>
        <w:numPr>
          <w:ilvl w:val="0"/>
          <w:numId w:val="330"/>
        </w:numPr>
        <w:tabs>
          <w:tab w:val="left" w:pos="1890"/>
        </w:tabs>
        <w:spacing w:before="120" w:line="300" w:lineRule="auto"/>
        <w:ind w:left="720"/>
        <w:contextualSpacing w:val="0"/>
        <w:rPr>
          <w:szCs w:val="24"/>
        </w:rPr>
      </w:pPr>
      <w:r w:rsidRPr="006B794A">
        <w:rPr>
          <w:szCs w:val="24"/>
        </w:rPr>
        <w:t xml:space="preserve">Units or plants that </w:t>
      </w:r>
      <w:r>
        <w:rPr>
          <w:szCs w:val="24"/>
        </w:rPr>
        <w:t>are</w:t>
      </w:r>
      <w:r w:rsidRPr="006B794A">
        <w:rPr>
          <w:szCs w:val="24"/>
        </w:rPr>
        <w:t xml:space="preserve"> </w:t>
      </w:r>
      <w:r w:rsidR="00184B69">
        <w:rPr>
          <w:szCs w:val="24"/>
        </w:rPr>
        <w:t>p</w:t>
      </w:r>
      <w:r w:rsidRPr="006B794A">
        <w:rPr>
          <w:szCs w:val="24"/>
        </w:rPr>
        <w:t>seudo</w:t>
      </w:r>
      <w:r w:rsidRPr="006B794A" w:rsidDel="00A20911">
        <w:rPr>
          <w:szCs w:val="24"/>
        </w:rPr>
        <w:t xml:space="preserve">-tied </w:t>
      </w:r>
      <w:r w:rsidRPr="006B794A">
        <w:rPr>
          <w:szCs w:val="24"/>
        </w:rPr>
        <w:t>into a Participating Balancing Authority Area,</w:t>
      </w:r>
      <w:r w:rsidRPr="006B794A" w:rsidDel="00DA57A5">
        <w:rPr>
          <w:szCs w:val="24"/>
        </w:rPr>
        <w:t xml:space="preserve"> </w:t>
      </w:r>
      <w:r w:rsidRPr="006B794A">
        <w:rPr>
          <w:szCs w:val="24"/>
        </w:rPr>
        <w:t xml:space="preserve">provided that all the units or plants associated with a particular Resource Aggregation are within a single Balancing Authority Area.  </w:t>
      </w:r>
    </w:p>
    <w:p w14:paraId="44F80FB3" w14:textId="77777777" w:rsidR="006017B5" w:rsidRDefault="006017B5" w:rsidP="00DA3CE7">
      <w:pPr>
        <w:pStyle w:val="ListParagraph"/>
        <w:numPr>
          <w:ilvl w:val="0"/>
          <w:numId w:val="329"/>
        </w:numPr>
        <w:spacing w:before="120" w:line="300" w:lineRule="auto"/>
        <w:ind w:left="450"/>
        <w:rPr>
          <w:szCs w:val="24"/>
        </w:rPr>
      </w:pPr>
      <w:r w:rsidRPr="00757C9A">
        <w:rPr>
          <w:szCs w:val="24"/>
        </w:rPr>
        <w:t>The units or plants within the Resource Aggregation</w:t>
      </w:r>
      <w:r w:rsidRPr="00757C9A" w:rsidDel="00C76145">
        <w:rPr>
          <w:szCs w:val="24"/>
        </w:rPr>
        <w:t xml:space="preserve"> </w:t>
      </w:r>
      <w:r w:rsidRPr="00757C9A">
        <w:rPr>
          <w:szCs w:val="24"/>
        </w:rPr>
        <w:t>must share common operational control. Common operational control means that a common Market Participant is responsible for the dispatch of each unit or plant in the aggregation, and the units or plants included in the Resource Aggregation have a collective dispatch capability consistent with the registration parameters of the Resource Aggregation.</w:t>
      </w:r>
    </w:p>
    <w:p w14:paraId="7B7F1D17" w14:textId="77777777" w:rsidR="006017B5" w:rsidRPr="00757C9A" w:rsidRDefault="006017B5" w:rsidP="006017B5">
      <w:pPr>
        <w:pStyle w:val="ListParagraph"/>
        <w:spacing w:before="120" w:line="300" w:lineRule="auto"/>
        <w:ind w:left="450"/>
        <w:rPr>
          <w:szCs w:val="24"/>
        </w:rPr>
      </w:pPr>
    </w:p>
    <w:p w14:paraId="4D7EFEC0" w14:textId="5676FECE" w:rsidR="000D46AD" w:rsidRPr="000D46AD" w:rsidRDefault="006017B5" w:rsidP="00E679DC">
      <w:pPr>
        <w:pStyle w:val="ListParagraph"/>
        <w:spacing w:line="276" w:lineRule="auto"/>
        <w:rPr>
          <w:szCs w:val="24"/>
        </w:rPr>
      </w:pPr>
      <w:r w:rsidRPr="008C5AFA">
        <w:rPr>
          <w:szCs w:val="24"/>
        </w:rPr>
        <w:t>At Registration, the Market Participant must provide</w:t>
      </w:r>
      <w:r w:rsidRPr="008C5AFA" w:rsidDel="0087326F">
        <w:rPr>
          <w:szCs w:val="24"/>
        </w:rPr>
        <w:t xml:space="preserve"> </w:t>
      </w:r>
      <w:r w:rsidRPr="008C5AFA">
        <w:rPr>
          <w:szCs w:val="24"/>
        </w:rPr>
        <w:t xml:space="preserve">an initial </w:t>
      </w:r>
      <w:r w:rsidR="008F7330" w:rsidRPr="008C5AFA">
        <w:rPr>
          <w:szCs w:val="24"/>
        </w:rPr>
        <w:t>d</w:t>
      </w:r>
      <w:r w:rsidRPr="008C5AFA">
        <w:rPr>
          <w:szCs w:val="24"/>
        </w:rPr>
        <w:t xml:space="preserve">istribution </w:t>
      </w:r>
      <w:r w:rsidR="008F7330" w:rsidRPr="008C5AFA">
        <w:rPr>
          <w:szCs w:val="24"/>
        </w:rPr>
        <w:t>f</w:t>
      </w:r>
      <w:r w:rsidRPr="008C5AFA">
        <w:rPr>
          <w:szCs w:val="24"/>
        </w:rPr>
        <w:t xml:space="preserve">actor for each unit or plant within the Resource Aggregation. A </w:t>
      </w:r>
      <w:r w:rsidR="008F7330" w:rsidRPr="001B0AEA">
        <w:rPr>
          <w:szCs w:val="24"/>
        </w:rPr>
        <w:t>d</w:t>
      </w:r>
      <w:r w:rsidRPr="008C5AFA">
        <w:rPr>
          <w:szCs w:val="24"/>
        </w:rPr>
        <w:t xml:space="preserve">istribution </w:t>
      </w:r>
      <w:r w:rsidR="008F7330" w:rsidRPr="001B0AEA">
        <w:rPr>
          <w:szCs w:val="24"/>
        </w:rPr>
        <w:t>f</w:t>
      </w:r>
      <w:r w:rsidRPr="008C5AFA">
        <w:rPr>
          <w:szCs w:val="24"/>
        </w:rPr>
        <w:t xml:space="preserve">actor represents an estimate of the respective participation of each unit or plant in the aggregation. The factor is expressed as a percent. </w:t>
      </w:r>
    </w:p>
    <w:p w14:paraId="3087BC86" w14:textId="2E19F5FC" w:rsidR="000D46AD" w:rsidRDefault="000D46AD" w:rsidP="000D46AD">
      <w:pPr>
        <w:pStyle w:val="ListParagraph"/>
        <w:numPr>
          <w:ilvl w:val="0"/>
          <w:numId w:val="446"/>
        </w:numPr>
        <w:spacing w:line="300" w:lineRule="auto"/>
        <w:rPr>
          <w:szCs w:val="24"/>
        </w:rPr>
      </w:pPr>
      <w:r w:rsidRPr="00A231CB">
        <w:rPr>
          <w:szCs w:val="24"/>
        </w:rPr>
        <w:t xml:space="preserve">If, after resource registration, the Market Operator observes that the Resource Aggregation has or anticipates that the Resource Aggregation will have a material impact on market operations then the Market Operator will work with the Market Participant, Participating Balancing Authority, </w:t>
      </w:r>
      <w:r w:rsidRPr="00E94CBF" w:rsidDel="0046151A">
        <w:rPr>
          <w:szCs w:val="24"/>
        </w:rPr>
        <w:t>and/</w:t>
      </w:r>
      <w:r w:rsidRPr="00E94CBF">
        <w:rPr>
          <w:szCs w:val="24"/>
        </w:rPr>
        <w:t>or</w:t>
      </w:r>
      <w:r w:rsidRPr="00A231CB">
        <w:rPr>
          <w:szCs w:val="24"/>
        </w:rPr>
        <w:t xml:space="preserve"> Markets+ Transmission Service Provider, as applicable, to remedy the situation through the Resource registration process. A Resource Aggregation will be considered to have a material impact on Markets+ market operations if system or market abnormalities are observed that occur in conjunction with the Resource Aggregation Point of Interconnection. The Market Operator recognizes that grouped hydro may not be able to separate hydro aggregations because of river management obligations, recognizing that power production is generally subordinate to other multi-purpose project usage directed by laws including statutes, treaties, and operation agreements</w:t>
      </w:r>
      <w:r>
        <w:rPr>
          <w:szCs w:val="24"/>
        </w:rPr>
        <w:t xml:space="preserve">. </w:t>
      </w:r>
    </w:p>
    <w:p w14:paraId="4C3C5439" w14:textId="2F11F2D1" w:rsidR="003D5114" w:rsidRPr="006B794A" w:rsidRDefault="009C5FB5" w:rsidP="00E679DC">
      <w:pPr>
        <w:pStyle w:val="ListParagraph"/>
        <w:numPr>
          <w:ilvl w:val="0"/>
          <w:numId w:val="446"/>
        </w:numPr>
        <w:spacing w:before="120" w:after="240" w:line="300" w:lineRule="auto"/>
        <w:contextualSpacing w:val="0"/>
        <w:rPr>
          <w:szCs w:val="24"/>
        </w:rPr>
      </w:pPr>
      <w:r>
        <w:rPr>
          <w:szCs w:val="24"/>
        </w:rPr>
        <w:t xml:space="preserve">If </w:t>
      </w:r>
      <w:r w:rsidR="0024484C">
        <w:rPr>
          <w:szCs w:val="24"/>
        </w:rPr>
        <w:t>units or plants within the</w:t>
      </w:r>
      <w:r>
        <w:rPr>
          <w:szCs w:val="24"/>
        </w:rPr>
        <w:t xml:space="preserve"> Resource Aggregation </w:t>
      </w:r>
      <w:r w:rsidR="0024484C">
        <w:rPr>
          <w:szCs w:val="24"/>
        </w:rPr>
        <w:t>need to be added or removed,</w:t>
      </w:r>
      <w:r>
        <w:rPr>
          <w:szCs w:val="24"/>
        </w:rPr>
        <w:t xml:space="preserve"> that </w:t>
      </w:r>
      <w:r w:rsidR="0024484C">
        <w:rPr>
          <w:szCs w:val="24"/>
        </w:rPr>
        <w:t>R</w:t>
      </w:r>
      <w:r>
        <w:rPr>
          <w:szCs w:val="24"/>
        </w:rPr>
        <w:t>esource</w:t>
      </w:r>
      <w:r w:rsidR="0024484C">
        <w:rPr>
          <w:szCs w:val="24"/>
        </w:rPr>
        <w:t xml:space="preserve"> Aggregation</w:t>
      </w:r>
      <w:r>
        <w:rPr>
          <w:szCs w:val="24"/>
        </w:rPr>
        <w:t xml:space="preserve"> </w:t>
      </w:r>
      <w:r w:rsidR="00EB00F2">
        <w:rPr>
          <w:szCs w:val="24"/>
        </w:rPr>
        <w:t>must</w:t>
      </w:r>
      <w:r>
        <w:rPr>
          <w:szCs w:val="24"/>
        </w:rPr>
        <w:t xml:space="preserve"> be </w:t>
      </w:r>
      <w:r w:rsidR="00B44163">
        <w:rPr>
          <w:szCs w:val="24"/>
        </w:rPr>
        <w:t>deregistered</w:t>
      </w:r>
      <w:r>
        <w:rPr>
          <w:szCs w:val="24"/>
        </w:rPr>
        <w:t xml:space="preserve"> and registered again as a new </w:t>
      </w:r>
      <w:r w:rsidR="0024484C">
        <w:rPr>
          <w:szCs w:val="24"/>
        </w:rPr>
        <w:t>Resource Aggregation with the updated units or plants.</w:t>
      </w:r>
      <w:r>
        <w:rPr>
          <w:szCs w:val="24"/>
        </w:rPr>
        <w:t xml:space="preserve"> </w:t>
      </w:r>
    </w:p>
    <w:p w14:paraId="53A02A4C" w14:textId="5E9D04C1" w:rsidR="006017B5" w:rsidRPr="006B794A" w:rsidRDefault="006017B5" w:rsidP="006017B5">
      <w:pPr>
        <w:rPr>
          <w:szCs w:val="24"/>
        </w:rPr>
      </w:pPr>
      <w:r w:rsidRPr="006B794A">
        <w:rPr>
          <w:szCs w:val="24"/>
        </w:rPr>
        <w:t>Exhibit 9-</w:t>
      </w:r>
      <w:r w:rsidR="00B44163">
        <w:rPr>
          <w:szCs w:val="24"/>
        </w:rPr>
        <w:t>6</w:t>
      </w:r>
      <w:r w:rsidRPr="006B794A">
        <w:rPr>
          <w:szCs w:val="24"/>
        </w:rPr>
        <w:t xml:space="preserve"> provides a summary of Resource Aggregation registration requirements.</w:t>
      </w:r>
    </w:p>
    <w:p w14:paraId="4283934E" w14:textId="77777777" w:rsidR="006017B5" w:rsidRPr="006B794A" w:rsidRDefault="006017B5" w:rsidP="006017B5"/>
    <w:p w14:paraId="2088E667" w14:textId="77777777" w:rsidR="00F90CFF" w:rsidRDefault="00F90CFF">
      <w:pPr>
        <w:spacing w:after="0"/>
        <w:jc w:val="left"/>
        <w:rPr>
          <w:b/>
          <w:szCs w:val="24"/>
        </w:rPr>
      </w:pPr>
      <w:r>
        <w:rPr>
          <w:b/>
          <w:szCs w:val="24"/>
        </w:rPr>
        <w:br w:type="page"/>
      </w:r>
    </w:p>
    <w:p w14:paraId="20DC2232" w14:textId="211926BC" w:rsidR="006017B5" w:rsidRPr="006B794A" w:rsidRDefault="006017B5" w:rsidP="00A817DB">
      <w:pPr>
        <w:spacing w:before="120" w:line="300" w:lineRule="auto"/>
        <w:jc w:val="center"/>
        <w:rPr>
          <w:b/>
          <w:szCs w:val="24"/>
        </w:rPr>
      </w:pPr>
      <w:bookmarkStart w:id="7645" w:name="_Toc213772434"/>
      <w:r w:rsidRPr="006B794A">
        <w:rPr>
          <w:b/>
          <w:szCs w:val="24"/>
        </w:rPr>
        <w:t xml:space="preserve">Exhibit </w:t>
      </w:r>
      <w:r w:rsidR="00A817DB" w:rsidRPr="004046DB">
        <w:rPr>
          <w:b/>
          <w:szCs w:val="24"/>
        </w:rPr>
        <w:fldChar w:fldCharType="begin"/>
      </w:r>
      <w:r w:rsidR="00A817DB" w:rsidRPr="004046DB">
        <w:rPr>
          <w:b/>
          <w:szCs w:val="24"/>
        </w:rPr>
        <w:instrText xml:space="preserve"> STYLEREF 1 \s </w:instrText>
      </w:r>
      <w:r w:rsidR="00A817DB" w:rsidRPr="004046DB">
        <w:rPr>
          <w:b/>
          <w:szCs w:val="24"/>
        </w:rPr>
        <w:fldChar w:fldCharType="separate"/>
      </w:r>
      <w:r w:rsidR="001B4900">
        <w:rPr>
          <w:b/>
          <w:noProof/>
          <w:szCs w:val="24"/>
        </w:rPr>
        <w:t>9</w:t>
      </w:r>
      <w:r w:rsidR="00A817DB" w:rsidRPr="004046DB">
        <w:rPr>
          <w:b/>
          <w:szCs w:val="24"/>
        </w:rPr>
        <w:fldChar w:fldCharType="end"/>
      </w:r>
      <w:r w:rsidR="00A817DB" w:rsidRPr="004046DB">
        <w:rPr>
          <w:b/>
          <w:szCs w:val="24"/>
        </w:rPr>
        <w:noBreakHyphen/>
      </w:r>
      <w:r w:rsidR="00A817DB" w:rsidRPr="004046DB">
        <w:rPr>
          <w:b/>
          <w:szCs w:val="24"/>
        </w:rPr>
        <w:fldChar w:fldCharType="begin"/>
      </w:r>
      <w:r w:rsidR="00A817DB" w:rsidRPr="004046DB">
        <w:rPr>
          <w:b/>
          <w:szCs w:val="24"/>
        </w:rPr>
        <w:instrText xml:space="preserve"> SEQ Exhibit \* ARABIC \s 1 </w:instrText>
      </w:r>
      <w:r w:rsidR="00A817DB" w:rsidRPr="004046DB">
        <w:rPr>
          <w:b/>
          <w:szCs w:val="24"/>
        </w:rPr>
        <w:fldChar w:fldCharType="separate"/>
      </w:r>
      <w:r w:rsidR="001B4900">
        <w:rPr>
          <w:b/>
          <w:noProof/>
          <w:szCs w:val="24"/>
        </w:rPr>
        <w:t>6</w:t>
      </w:r>
      <w:r w:rsidR="00A817DB" w:rsidRPr="004046DB">
        <w:rPr>
          <w:b/>
          <w:szCs w:val="24"/>
        </w:rPr>
        <w:fldChar w:fldCharType="end"/>
      </w:r>
      <w:r w:rsidR="00A817DB">
        <w:rPr>
          <w:b/>
          <w:szCs w:val="24"/>
        </w:rPr>
        <w:t xml:space="preserve">: </w:t>
      </w:r>
      <w:r w:rsidRPr="006B794A">
        <w:rPr>
          <w:b/>
          <w:szCs w:val="24"/>
        </w:rPr>
        <w:t>Resource Aggregation Registration Requirements</w:t>
      </w:r>
      <w:bookmarkEnd w:id="7645"/>
    </w:p>
    <w:p w14:paraId="38189695" w14:textId="3ED0F60B" w:rsidR="006017B5" w:rsidRPr="000843EB" w:rsidRDefault="00FC0AB0" w:rsidP="006017B5">
      <w:pPr>
        <w:jc w:val="center"/>
        <w:rPr>
          <w:b/>
          <w:szCs w:val="24"/>
        </w:rPr>
      </w:pPr>
      <w:r w:rsidRPr="00BE5D31">
        <w:rPr>
          <w:b/>
          <w:noProof/>
          <w:szCs w:val="24"/>
        </w:rPr>
        <w:drawing>
          <wp:inline distT="0" distB="0" distL="0" distR="0" wp14:anchorId="717BEA58" wp14:editId="54709AA2">
            <wp:extent cx="5852160" cy="2969846"/>
            <wp:effectExtent l="0" t="0" r="0" b="2540"/>
            <wp:docPr id="57200204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02046" name="Picture 1" descr="Diagram&#10;&#10;Description automatically generated"/>
                    <pic:cNvPicPr/>
                  </pic:nvPicPr>
                  <pic:blipFill>
                    <a:blip r:embed="rId105"/>
                    <a:stretch>
                      <a:fillRect/>
                    </a:stretch>
                  </pic:blipFill>
                  <pic:spPr>
                    <a:xfrm>
                      <a:off x="0" y="0"/>
                      <a:ext cx="5855414" cy="2971497"/>
                    </a:xfrm>
                    <a:prstGeom prst="rect">
                      <a:avLst/>
                    </a:prstGeom>
                  </pic:spPr>
                </pic:pic>
              </a:graphicData>
            </a:graphic>
          </wp:inline>
        </w:drawing>
      </w:r>
    </w:p>
    <w:p w14:paraId="2255915F" w14:textId="77777777" w:rsidR="006017B5" w:rsidRDefault="006017B5" w:rsidP="006017B5">
      <w:bookmarkStart w:id="7646" w:name="_Ref212549984"/>
    </w:p>
    <w:bookmarkEnd w:id="7646"/>
    <w:p w14:paraId="4373BEB8" w14:textId="77777777" w:rsidR="00FD35D6" w:rsidRPr="00FD35D6" w:rsidRDefault="00FD35D6" w:rsidP="00FD35D6">
      <w:pPr>
        <w:pStyle w:val="ParaText"/>
      </w:pPr>
    </w:p>
    <w:p w14:paraId="19E25E55" w14:textId="77777777" w:rsidR="00BD64CF" w:rsidRDefault="00BD64CF" w:rsidP="00781C61">
      <w:pPr>
        <w:pStyle w:val="Heading3"/>
      </w:pPr>
      <w:bookmarkStart w:id="7647" w:name="_Ref212550017"/>
      <w:bookmarkStart w:id="7648" w:name="_Ref212550090"/>
      <w:bookmarkStart w:id="7649" w:name="_Toc213772055"/>
      <w:r>
        <w:t>High Priority Export Interchange Transaction Resource</w:t>
      </w:r>
      <w:bookmarkEnd w:id="7647"/>
      <w:bookmarkEnd w:id="7648"/>
      <w:bookmarkEnd w:id="7649"/>
    </w:p>
    <w:p w14:paraId="1C49A62B" w14:textId="61087295" w:rsidR="00BD64CF" w:rsidRPr="00AD5C65" w:rsidRDefault="00BD64CF" w:rsidP="00BD64CF">
      <w:pPr>
        <w:spacing w:before="120" w:line="300" w:lineRule="auto"/>
        <w:rPr>
          <w:szCs w:val="24"/>
        </w:rPr>
      </w:pPr>
      <w:r w:rsidRPr="004A2A62">
        <w:rPr>
          <w:szCs w:val="24"/>
        </w:rPr>
        <w:t xml:space="preserve">Market Participants with Resources identified as supporting a High Priority Export Interchange Transaction as described under Section </w:t>
      </w:r>
      <w:r w:rsidR="00716CAE">
        <w:rPr>
          <w:szCs w:val="24"/>
        </w:rPr>
        <w:fldChar w:fldCharType="begin"/>
      </w:r>
      <w:r w:rsidR="00716CAE">
        <w:rPr>
          <w:szCs w:val="24"/>
        </w:rPr>
        <w:instrText xml:space="preserve"> REF _Ref212622438 \r \h </w:instrText>
      </w:r>
      <w:r w:rsidR="00716CAE">
        <w:rPr>
          <w:szCs w:val="24"/>
        </w:rPr>
      </w:r>
      <w:r w:rsidR="00716CAE">
        <w:rPr>
          <w:szCs w:val="24"/>
        </w:rPr>
        <w:fldChar w:fldCharType="separate"/>
      </w:r>
      <w:r w:rsidR="00716CAE">
        <w:rPr>
          <w:szCs w:val="24"/>
        </w:rPr>
        <w:t>4.2.3.3</w:t>
      </w:r>
      <w:r w:rsidR="00716CAE">
        <w:rPr>
          <w:szCs w:val="24"/>
        </w:rPr>
        <w:fldChar w:fldCharType="end"/>
      </w:r>
      <w:r w:rsidRPr="004A2A62">
        <w:rPr>
          <w:szCs w:val="24"/>
        </w:rPr>
        <w:t xml:space="preserve">(4)(a)(iii) must register as such.  The Resource name identified during registration must be specified on the associated High Priority </w:t>
      </w:r>
      <w:r>
        <w:rPr>
          <w:szCs w:val="24"/>
        </w:rPr>
        <w:t>Ex</w:t>
      </w:r>
      <w:r w:rsidRPr="004A2A62">
        <w:rPr>
          <w:szCs w:val="24"/>
        </w:rPr>
        <w:t xml:space="preserve">port Interchange Transaction </w:t>
      </w:r>
      <w:r w:rsidR="00C731F4">
        <w:rPr>
          <w:szCs w:val="24"/>
        </w:rPr>
        <w:t>e</w:t>
      </w:r>
      <w:r w:rsidR="00EA76D7">
        <w:rPr>
          <w:szCs w:val="24"/>
        </w:rPr>
        <w:t>-Tag</w:t>
      </w:r>
      <w:r w:rsidRPr="004A2A62">
        <w:rPr>
          <w:szCs w:val="24"/>
        </w:rPr>
        <w:t xml:space="preserve"> for validation.  In addition, the Market Participant must provide an executed High Priority </w:t>
      </w:r>
      <w:r>
        <w:rPr>
          <w:szCs w:val="24"/>
        </w:rPr>
        <w:t>Ex</w:t>
      </w:r>
      <w:r w:rsidRPr="004A2A62">
        <w:rPr>
          <w:szCs w:val="24"/>
        </w:rPr>
        <w:t>port Interchange Transaction Resource form attesting that the associated Resource is not committed to supply load within the Markets+ Footprint</w:t>
      </w:r>
      <w:r>
        <w:rPr>
          <w:szCs w:val="24"/>
        </w:rPr>
        <w:t xml:space="preserve"> to complete the registration</w:t>
      </w:r>
      <w:r w:rsidRPr="004A2A62">
        <w:rPr>
          <w:szCs w:val="24"/>
        </w:rPr>
        <w:t>.</w:t>
      </w:r>
    </w:p>
    <w:p w14:paraId="50787771" w14:textId="77777777" w:rsidR="00BD64CF" w:rsidRDefault="00BD64CF" w:rsidP="00BD64CF">
      <w:pPr>
        <w:autoSpaceDE w:val="0"/>
        <w:autoSpaceDN w:val="0"/>
        <w:adjustRightInd w:val="0"/>
        <w:spacing w:line="300" w:lineRule="auto"/>
        <w:rPr>
          <w:rFonts w:eastAsia="Calibri"/>
        </w:rPr>
      </w:pPr>
    </w:p>
    <w:p w14:paraId="554C16F3" w14:textId="24ED80BC" w:rsidR="00524B1A" w:rsidRDefault="00524B1A" w:rsidP="00781C61">
      <w:pPr>
        <w:pStyle w:val="Heading3"/>
      </w:pPr>
      <w:bookmarkStart w:id="7650" w:name="_Toc213772056"/>
      <w:bookmarkStart w:id="7651" w:name="_Toc159233486"/>
      <w:bookmarkStart w:id="7652" w:name="_Toc167202608"/>
      <w:r>
        <w:t xml:space="preserve">High Priority </w:t>
      </w:r>
      <w:r w:rsidR="00412FCD">
        <w:t>Import</w:t>
      </w:r>
      <w:r>
        <w:t xml:space="preserve"> Interchange Transaction Resource</w:t>
      </w:r>
      <w:bookmarkEnd w:id="7650"/>
    </w:p>
    <w:p w14:paraId="63195213" w14:textId="17B4791C" w:rsidR="00524B1A" w:rsidRPr="00AD5C65" w:rsidRDefault="008D7134" w:rsidP="00524B1A">
      <w:pPr>
        <w:spacing w:before="120" w:line="300" w:lineRule="auto"/>
        <w:rPr>
          <w:szCs w:val="24"/>
        </w:rPr>
      </w:pPr>
      <w:r w:rsidRPr="004A2A62">
        <w:rPr>
          <w:szCs w:val="24"/>
        </w:rPr>
        <w:t>Market Participant</w:t>
      </w:r>
      <w:r w:rsidR="008013EB">
        <w:rPr>
          <w:szCs w:val="24"/>
        </w:rPr>
        <w:t>s</w:t>
      </w:r>
      <w:r w:rsidRPr="004A2A62">
        <w:rPr>
          <w:szCs w:val="24"/>
        </w:rPr>
        <w:t xml:space="preserve"> must provide an executed High Priority </w:t>
      </w:r>
      <w:r>
        <w:rPr>
          <w:szCs w:val="24"/>
        </w:rPr>
        <w:t>Import</w:t>
      </w:r>
      <w:r w:rsidRPr="004A2A62">
        <w:rPr>
          <w:szCs w:val="24"/>
        </w:rPr>
        <w:t xml:space="preserve"> Interchange Transaction form attesting that the </w:t>
      </w:r>
      <w:r w:rsidR="008E6FCA">
        <w:rPr>
          <w:szCs w:val="24"/>
        </w:rPr>
        <w:t xml:space="preserve">High Priority Import Transaction </w:t>
      </w:r>
      <w:r w:rsidR="009C6346">
        <w:rPr>
          <w:szCs w:val="24"/>
        </w:rPr>
        <w:t>has met the requirements</w:t>
      </w:r>
      <w:r w:rsidR="002F6D9C">
        <w:rPr>
          <w:szCs w:val="24"/>
        </w:rPr>
        <w:t xml:space="preserve"> as described in Section 4.2.2.7(4)(a)(iii)</w:t>
      </w:r>
      <w:r w:rsidR="008E6FCA">
        <w:rPr>
          <w:szCs w:val="24"/>
        </w:rPr>
        <w:t>.</w:t>
      </w:r>
    </w:p>
    <w:p w14:paraId="388B1041" w14:textId="77777777" w:rsidR="00BD64CF" w:rsidRPr="00D25391" w:rsidRDefault="00BD64CF" w:rsidP="00A20A63">
      <w:pPr>
        <w:pStyle w:val="Heading2"/>
      </w:pPr>
      <w:bookmarkStart w:id="7653" w:name="_Ref212626085"/>
      <w:bookmarkStart w:id="7654" w:name="_Ref212626667"/>
      <w:bookmarkStart w:id="7655" w:name="_Toc213772057"/>
      <w:r w:rsidRPr="00D25391">
        <w:t>Registration of Load</w:t>
      </w:r>
      <w:bookmarkEnd w:id="7651"/>
      <w:bookmarkEnd w:id="7652"/>
      <w:bookmarkEnd w:id="7653"/>
      <w:bookmarkEnd w:id="7654"/>
      <w:bookmarkEnd w:id="7655"/>
    </w:p>
    <w:bookmarkEnd w:id="7216"/>
    <w:bookmarkEnd w:id="7637"/>
    <w:bookmarkEnd w:id="7638"/>
    <w:bookmarkEnd w:id="7639"/>
    <w:bookmarkEnd w:id="7640"/>
    <w:bookmarkEnd w:id="7641"/>
    <w:p w14:paraId="49FB5E29" w14:textId="37570E35" w:rsidR="00BD64CF" w:rsidRPr="00D25391" w:rsidRDefault="00BD64CF" w:rsidP="00BD64CF">
      <w:pPr>
        <w:spacing w:before="120" w:line="300" w:lineRule="auto"/>
        <w:rPr>
          <w:szCs w:val="24"/>
        </w:rPr>
      </w:pPr>
      <w:r w:rsidRPr="00D25391">
        <w:rPr>
          <w:szCs w:val="24"/>
        </w:rPr>
        <w:t xml:space="preserve">Any Market Participant with load within the Markets+ Footprint must register with </w:t>
      </w:r>
      <w:r>
        <w:rPr>
          <w:szCs w:val="24"/>
        </w:rPr>
        <w:t>the Market Operator</w:t>
      </w:r>
      <w:r w:rsidRPr="00D25391">
        <w:rPr>
          <w:szCs w:val="24"/>
        </w:rPr>
        <w:t xml:space="preserve"> via </w:t>
      </w:r>
      <w:r>
        <w:rPr>
          <w:szCs w:val="24"/>
        </w:rPr>
        <w:t>the registration process</w:t>
      </w:r>
      <w:r w:rsidRPr="00D25391">
        <w:rPr>
          <w:szCs w:val="24"/>
        </w:rPr>
        <w:t xml:space="preserve"> and be capable of performing the functions of load as described herein.  Loads are registered at Settlement Locations within Settlement Areas.  Loads may choose to be registered at a Settlement Location consisting of either a single Meter</w:t>
      </w:r>
      <w:r>
        <w:rPr>
          <w:szCs w:val="24"/>
        </w:rPr>
        <w:t xml:space="preserve"> Data</w:t>
      </w:r>
      <w:r w:rsidRPr="00D25391">
        <w:rPr>
          <w:szCs w:val="24"/>
        </w:rPr>
        <w:t xml:space="preserve"> S</w:t>
      </w:r>
      <w:r>
        <w:rPr>
          <w:szCs w:val="24"/>
        </w:rPr>
        <w:t>ubmittal</w:t>
      </w:r>
      <w:r w:rsidRPr="00D25391">
        <w:rPr>
          <w:szCs w:val="24"/>
        </w:rPr>
        <w:t xml:space="preserve"> Location or multiple Meter</w:t>
      </w:r>
      <w:r>
        <w:rPr>
          <w:szCs w:val="24"/>
        </w:rPr>
        <w:t xml:space="preserve"> Data</w:t>
      </w:r>
      <w:r w:rsidRPr="00D25391">
        <w:rPr>
          <w:szCs w:val="24"/>
        </w:rPr>
        <w:t xml:space="preserve"> S</w:t>
      </w:r>
      <w:r>
        <w:rPr>
          <w:szCs w:val="24"/>
        </w:rPr>
        <w:t>ubmittal</w:t>
      </w:r>
      <w:r w:rsidRPr="00D25391">
        <w:rPr>
          <w:szCs w:val="24"/>
        </w:rPr>
        <w:t xml:space="preserve"> Locations.  For each load registered, the </w:t>
      </w:r>
      <w:r>
        <w:rPr>
          <w:szCs w:val="24"/>
        </w:rPr>
        <w:t>Market Participant</w:t>
      </w:r>
      <w:r w:rsidRPr="00D25391">
        <w:rPr>
          <w:szCs w:val="24"/>
        </w:rPr>
        <w:t xml:space="preserve"> must specify whether </w:t>
      </w:r>
      <w:r>
        <w:rPr>
          <w:szCs w:val="24"/>
        </w:rPr>
        <w:t>s</w:t>
      </w:r>
      <w:r w:rsidRPr="00D25391">
        <w:rPr>
          <w:szCs w:val="24"/>
        </w:rPr>
        <w:t xml:space="preserve">ettlement Meter Data will be submitted on an hourly basis or on a five (5) minute basis.  Naming convention requirements for load assets registered in the Markets+ Footprint are provided in </w:t>
      </w:r>
      <w:r w:rsidR="00BC5583">
        <w:rPr>
          <w:szCs w:val="24"/>
        </w:rPr>
        <w:t>S</w:t>
      </w:r>
      <w:r w:rsidRPr="00D25391">
        <w:rPr>
          <w:szCs w:val="24"/>
        </w:rPr>
        <w:t xml:space="preserve">ection </w:t>
      </w:r>
      <w:r>
        <w:rPr>
          <w:szCs w:val="24"/>
        </w:rPr>
        <w:t>9</w:t>
      </w:r>
      <w:r w:rsidRPr="00D25391">
        <w:rPr>
          <w:szCs w:val="24"/>
        </w:rPr>
        <w:t>.7.3.  An A</w:t>
      </w:r>
      <w:r w:rsidR="002D623C">
        <w:rPr>
          <w:szCs w:val="24"/>
        </w:rPr>
        <w:t>Pnode</w:t>
      </w:r>
      <w:r w:rsidRPr="00D25391">
        <w:rPr>
          <w:szCs w:val="24"/>
        </w:rPr>
        <w:t xml:space="preserve"> load Settlement Location is not limited by Settlement Area boundaries.  Failure or refusal to register a load will result in </w:t>
      </w:r>
      <w:r>
        <w:rPr>
          <w:szCs w:val="24"/>
        </w:rPr>
        <w:t>the Market Operator</w:t>
      </w:r>
      <w:r w:rsidRPr="00D25391">
        <w:rPr>
          <w:szCs w:val="24"/>
        </w:rPr>
        <w:t xml:space="preserve"> filing an unexecuted version of the service agreement as specified in Attachment </w:t>
      </w:r>
      <w:r w:rsidRPr="00556598">
        <w:rPr>
          <w:szCs w:val="24"/>
        </w:rPr>
        <w:t xml:space="preserve">E </w:t>
      </w:r>
      <w:r w:rsidRPr="00D25391">
        <w:rPr>
          <w:szCs w:val="24"/>
        </w:rPr>
        <w:t xml:space="preserve">of the </w:t>
      </w:r>
      <w:r w:rsidRPr="00556598">
        <w:rPr>
          <w:szCs w:val="24"/>
        </w:rPr>
        <w:t>Markets+ Tariff</w:t>
      </w:r>
      <w:r w:rsidRPr="00D25391">
        <w:rPr>
          <w:szCs w:val="24"/>
        </w:rPr>
        <w:t xml:space="preserve"> for that load with </w:t>
      </w:r>
      <w:r>
        <w:rPr>
          <w:szCs w:val="24"/>
        </w:rPr>
        <w:t>FERC</w:t>
      </w:r>
      <w:r w:rsidRPr="00D25391">
        <w:rPr>
          <w:szCs w:val="24"/>
        </w:rPr>
        <w:t xml:space="preserve"> under the name of the</w:t>
      </w:r>
      <w:r>
        <w:rPr>
          <w:szCs w:val="24"/>
        </w:rPr>
        <w:t xml:space="preserve"> Market Participant.</w:t>
      </w:r>
    </w:p>
    <w:p w14:paraId="4B582ED9" w14:textId="0BAB1925" w:rsidR="00BD64CF" w:rsidRPr="00D25391" w:rsidRDefault="00BD64CF" w:rsidP="00BD64CF">
      <w:pPr>
        <w:spacing w:before="120" w:line="300" w:lineRule="auto"/>
        <w:rPr>
          <w:szCs w:val="24"/>
        </w:rPr>
      </w:pPr>
      <w:r w:rsidRPr="00D25391">
        <w:rPr>
          <w:szCs w:val="24"/>
        </w:rPr>
        <w:t xml:space="preserve">Applications and required registration documentation must conform to the procedures </w:t>
      </w:r>
      <w:r w:rsidR="0046151A">
        <w:rPr>
          <w:szCs w:val="24"/>
        </w:rPr>
        <w:t>and</w:t>
      </w:r>
      <w:r w:rsidRPr="00D25391">
        <w:rPr>
          <w:szCs w:val="24"/>
        </w:rPr>
        <w:t xml:space="preserve"> requirements specified in Section </w:t>
      </w:r>
      <w:r>
        <w:rPr>
          <w:szCs w:val="24"/>
        </w:rPr>
        <w:t>9</w:t>
      </w:r>
      <w:r w:rsidR="00BA3864">
        <w:rPr>
          <w:szCs w:val="24"/>
        </w:rPr>
        <w:t>.</w:t>
      </w:r>
      <w:r w:rsidRPr="00D25391">
        <w:rPr>
          <w:szCs w:val="24"/>
        </w:rPr>
        <w:t xml:space="preserve">  Registration requests with incomplete documentation may be rejected and scheduled for implementation during the appropriate </w:t>
      </w:r>
      <w:r>
        <w:rPr>
          <w:szCs w:val="24"/>
        </w:rPr>
        <w:t>m</w:t>
      </w:r>
      <w:r w:rsidRPr="00D25391">
        <w:rPr>
          <w:szCs w:val="24"/>
        </w:rPr>
        <w:t xml:space="preserve">odel </w:t>
      </w:r>
      <w:r>
        <w:rPr>
          <w:szCs w:val="24"/>
        </w:rPr>
        <w:t>u</w:t>
      </w:r>
      <w:r w:rsidRPr="00D25391">
        <w:rPr>
          <w:szCs w:val="24"/>
        </w:rPr>
        <w:t xml:space="preserve">pdate after all completed documentation is received and approved by </w:t>
      </w:r>
      <w:r>
        <w:rPr>
          <w:szCs w:val="24"/>
        </w:rPr>
        <w:t>the Market Operator</w:t>
      </w:r>
      <w:r w:rsidRPr="00D25391">
        <w:rPr>
          <w:szCs w:val="24"/>
        </w:rPr>
        <w:t xml:space="preserve">.  </w:t>
      </w:r>
    </w:p>
    <w:p w14:paraId="110A2083" w14:textId="77777777" w:rsidR="00BD64CF" w:rsidRPr="00D25391" w:rsidRDefault="00BD64CF" w:rsidP="00781C61">
      <w:pPr>
        <w:pStyle w:val="Heading3"/>
      </w:pPr>
      <w:bookmarkStart w:id="7656" w:name="_Toc263173454"/>
      <w:bookmarkStart w:id="7657" w:name="_Toc263173675"/>
      <w:bookmarkStart w:id="7658" w:name="_Toc263173863"/>
      <w:bookmarkStart w:id="7659" w:name="_Toc263174280"/>
      <w:bookmarkStart w:id="7660" w:name="_Toc263235182"/>
      <w:bookmarkStart w:id="7661" w:name="_Toc263235826"/>
      <w:bookmarkStart w:id="7662" w:name="_Toc263429574"/>
      <w:bookmarkStart w:id="7663" w:name="_Toc263795617"/>
      <w:bookmarkStart w:id="7664" w:name="_Toc266869791"/>
      <w:bookmarkStart w:id="7665" w:name="_Toc159233487"/>
      <w:bookmarkStart w:id="7666" w:name="_Toc167202609"/>
      <w:bookmarkStart w:id="7667" w:name="_Toc213772058"/>
      <w:r>
        <w:t>Responsibilities of the Load</w:t>
      </w:r>
      <w:bookmarkEnd w:id="7656"/>
      <w:bookmarkEnd w:id="7657"/>
      <w:bookmarkEnd w:id="7658"/>
      <w:bookmarkEnd w:id="7659"/>
      <w:bookmarkEnd w:id="7660"/>
      <w:bookmarkEnd w:id="7661"/>
      <w:bookmarkEnd w:id="7662"/>
      <w:bookmarkEnd w:id="7663"/>
      <w:bookmarkEnd w:id="7664"/>
      <w:bookmarkEnd w:id="7665"/>
      <w:bookmarkEnd w:id="7666"/>
      <w:bookmarkEnd w:id="7667"/>
    </w:p>
    <w:p w14:paraId="4C8E07B9" w14:textId="77777777" w:rsidR="00BD64CF" w:rsidRPr="00D25391" w:rsidRDefault="00BD64CF" w:rsidP="00BD64CF">
      <w:pPr>
        <w:spacing w:line="300" w:lineRule="auto"/>
        <w:rPr>
          <w:szCs w:val="24"/>
        </w:rPr>
      </w:pPr>
      <w:r w:rsidRPr="00D25391">
        <w:rPr>
          <w:szCs w:val="24"/>
        </w:rPr>
        <w:t xml:space="preserve">Each Market Participant </w:t>
      </w:r>
      <w:r>
        <w:rPr>
          <w:szCs w:val="24"/>
        </w:rPr>
        <w:t>is</w:t>
      </w:r>
      <w:r w:rsidRPr="00D25391">
        <w:rPr>
          <w:szCs w:val="24"/>
        </w:rPr>
        <w:t xml:space="preserve"> responsible for conducting its operations in accordance with all applicable Markets+ market rules and guidelines.  The Market Participant is responsible for ensuring that settlement Meter Data is submitted to </w:t>
      </w:r>
      <w:r>
        <w:rPr>
          <w:szCs w:val="24"/>
        </w:rPr>
        <w:t>the Market Operator</w:t>
      </w:r>
      <w:r w:rsidRPr="00D25391">
        <w:rPr>
          <w:szCs w:val="24"/>
        </w:rPr>
        <w:t>.</w:t>
      </w:r>
    </w:p>
    <w:p w14:paraId="7FCB1EA4" w14:textId="77777777" w:rsidR="00BD64CF" w:rsidRPr="00D25391" w:rsidRDefault="00BD64CF" w:rsidP="00781C61">
      <w:pPr>
        <w:pStyle w:val="Heading3"/>
      </w:pPr>
      <w:bookmarkStart w:id="7668" w:name="_Toc263173455"/>
      <w:bookmarkStart w:id="7669" w:name="_Toc263173676"/>
      <w:bookmarkStart w:id="7670" w:name="_Toc263173864"/>
      <w:bookmarkStart w:id="7671" w:name="_Toc263174281"/>
      <w:bookmarkStart w:id="7672" w:name="_Toc263235183"/>
      <w:bookmarkStart w:id="7673" w:name="_Toc263235827"/>
      <w:bookmarkStart w:id="7674" w:name="_Toc263429575"/>
      <w:bookmarkStart w:id="7675" w:name="_Toc263795618"/>
      <w:bookmarkStart w:id="7676" w:name="_Toc266869792"/>
      <w:bookmarkStart w:id="7677" w:name="_Toc293318494"/>
      <w:bookmarkStart w:id="7678" w:name="_Ref310435972"/>
      <w:bookmarkStart w:id="7679" w:name="_Ref310435978"/>
      <w:bookmarkStart w:id="7680" w:name="_Toc159233488"/>
      <w:bookmarkStart w:id="7681" w:name="_Toc167202610"/>
      <w:bookmarkStart w:id="7682" w:name="_Toc213772059"/>
      <w:bookmarkStart w:id="7683" w:name="_Toc263173456"/>
      <w:bookmarkStart w:id="7684" w:name="_Toc263173677"/>
      <w:bookmarkStart w:id="7685" w:name="_Toc263173865"/>
      <w:bookmarkStart w:id="7686" w:name="_Toc263174282"/>
      <w:bookmarkStart w:id="7687" w:name="_Toc263235184"/>
      <w:bookmarkStart w:id="7688" w:name="_Toc263235828"/>
      <w:bookmarkStart w:id="7689" w:name="_Toc263429576"/>
      <w:bookmarkStart w:id="7690" w:name="_Toc263795619"/>
      <w:bookmarkStart w:id="7691" w:name="_Toc266869793"/>
      <w:bookmarkStart w:id="7692" w:name="_Toc254787589"/>
      <w:r>
        <w:t>Non-Conforming Load</w:t>
      </w:r>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p>
    <w:p w14:paraId="2E6382FF" w14:textId="6DAC39CA" w:rsidR="00BD64CF" w:rsidRPr="00D25391" w:rsidRDefault="00BD64CF" w:rsidP="00BD64CF">
      <w:pPr>
        <w:spacing w:line="300" w:lineRule="auto"/>
        <w:rPr>
          <w:szCs w:val="24"/>
        </w:rPr>
      </w:pPr>
      <w:r w:rsidRPr="00D25391">
        <w:rPr>
          <w:szCs w:val="24"/>
        </w:rPr>
        <w:t xml:space="preserve">Each </w:t>
      </w:r>
      <w:r>
        <w:rPr>
          <w:szCs w:val="24"/>
        </w:rPr>
        <w:t>Market Participant</w:t>
      </w:r>
      <w:r w:rsidRPr="00D25391">
        <w:rPr>
          <w:szCs w:val="24"/>
        </w:rPr>
        <w:t xml:space="preserve"> must identify any Non-Conforming Load asset</w:t>
      </w:r>
      <w:r w:rsidR="00A25B7A">
        <w:rPr>
          <w:szCs w:val="24"/>
        </w:rPr>
        <w:t xml:space="preserve"> </w:t>
      </w:r>
      <w:r w:rsidR="00A25B7A" w:rsidRPr="00D25391">
        <w:rPr>
          <w:szCs w:val="24"/>
        </w:rPr>
        <w:t>of 50 MW or greater</w:t>
      </w:r>
      <w:r w:rsidRPr="00D25391">
        <w:rPr>
          <w:szCs w:val="24"/>
        </w:rPr>
        <w:t xml:space="preserve"> that the </w:t>
      </w:r>
      <w:r>
        <w:rPr>
          <w:szCs w:val="24"/>
        </w:rPr>
        <w:t>Market Participant</w:t>
      </w:r>
      <w:r w:rsidRPr="00D25391">
        <w:rPr>
          <w:szCs w:val="24"/>
        </w:rPr>
        <w:t xml:space="preserve"> specifically forecasts and the </w:t>
      </w:r>
      <w:r w:rsidR="002D623C">
        <w:rPr>
          <w:szCs w:val="24"/>
        </w:rPr>
        <w:t>Pnode</w:t>
      </w:r>
      <w:r w:rsidRPr="00D25391">
        <w:rPr>
          <w:szCs w:val="24"/>
        </w:rPr>
        <w:t xml:space="preserve"> or A</w:t>
      </w:r>
      <w:r w:rsidR="002D623C">
        <w:rPr>
          <w:szCs w:val="24"/>
        </w:rPr>
        <w:t>Pnode</w:t>
      </w:r>
      <w:r w:rsidRPr="00D25391">
        <w:rPr>
          <w:szCs w:val="24"/>
        </w:rPr>
        <w:t xml:space="preserve"> at which it resides.  </w:t>
      </w:r>
      <w:r w:rsidRPr="00D25391">
        <w:t>A Non-Conforming Load may only be represented by an A</w:t>
      </w:r>
      <w:r w:rsidR="002D623C">
        <w:t>Pnode</w:t>
      </w:r>
      <w:r w:rsidRPr="00D25391">
        <w:t xml:space="preserve"> if the load is in the same location (e.g.</w:t>
      </w:r>
      <w:r w:rsidR="002B27B3">
        <w:t>,</w:t>
      </w:r>
      <w:r w:rsidRPr="00D25391">
        <w:t xml:space="preserve"> a single industrial process served by more than one bus</w:t>
      </w:r>
    </w:p>
    <w:p w14:paraId="3AA54F92" w14:textId="77777777" w:rsidR="00BD64CF" w:rsidRPr="00D25391" w:rsidRDefault="00BD64CF" w:rsidP="00781C61">
      <w:pPr>
        <w:pStyle w:val="Heading3"/>
      </w:pPr>
      <w:bookmarkStart w:id="7693" w:name="_Toc159233489"/>
      <w:bookmarkStart w:id="7694" w:name="_Toc167202611"/>
      <w:bookmarkStart w:id="7695" w:name="_Toc213772060"/>
      <w:r>
        <w:t>Demand Response Load</w:t>
      </w:r>
      <w:bookmarkEnd w:id="7683"/>
      <w:bookmarkEnd w:id="7684"/>
      <w:bookmarkEnd w:id="7685"/>
      <w:bookmarkEnd w:id="7686"/>
      <w:bookmarkEnd w:id="7687"/>
      <w:bookmarkEnd w:id="7688"/>
      <w:bookmarkEnd w:id="7689"/>
      <w:bookmarkEnd w:id="7690"/>
      <w:bookmarkEnd w:id="7691"/>
      <w:r>
        <w:t xml:space="preserve"> Asset</w:t>
      </w:r>
      <w:bookmarkEnd w:id="7693"/>
      <w:bookmarkEnd w:id="7694"/>
      <w:bookmarkEnd w:id="7695"/>
    </w:p>
    <w:p w14:paraId="72EA7332" w14:textId="7AEA22E8" w:rsidR="00BD64CF" w:rsidRPr="00D25391" w:rsidRDefault="00BD64CF" w:rsidP="00BD64CF">
      <w:pPr>
        <w:spacing w:line="300" w:lineRule="auto"/>
        <w:rPr>
          <w:szCs w:val="24"/>
        </w:rPr>
      </w:pPr>
      <w:bookmarkStart w:id="7696" w:name="OLE_LINK90"/>
      <w:bookmarkStart w:id="7697" w:name="OLE_LINK91"/>
      <w:bookmarkStart w:id="7698" w:name="_Toc263173457"/>
      <w:bookmarkStart w:id="7699" w:name="_Toc263173678"/>
      <w:bookmarkStart w:id="7700" w:name="_Toc263173866"/>
      <w:bookmarkStart w:id="7701" w:name="_Toc263174283"/>
      <w:bookmarkStart w:id="7702" w:name="_Toc263235185"/>
      <w:bookmarkStart w:id="7703" w:name="_Toc263235829"/>
      <w:bookmarkStart w:id="7704" w:name="_Toc263429577"/>
      <w:bookmarkStart w:id="7705" w:name="_Toc263795620"/>
      <w:bookmarkStart w:id="7706" w:name="_Toc266869794"/>
      <w:r w:rsidRPr="00D25391">
        <w:t xml:space="preserve">As part of the registration of a </w:t>
      </w:r>
      <w:r w:rsidR="00F130B2">
        <w:t>DDRR</w:t>
      </w:r>
      <w:r w:rsidRPr="00D25391">
        <w:t xml:space="preserve">, the </w:t>
      </w:r>
      <w:r>
        <w:t>Market Participant</w:t>
      </w:r>
      <w:r w:rsidRPr="00D25391">
        <w:t xml:space="preserve"> must also identify a corresponding Demand Response Load Asset and its associated </w:t>
      </w:r>
      <w:r w:rsidR="002D623C">
        <w:t>Pnode</w:t>
      </w:r>
      <w:r w:rsidRPr="00D25391">
        <w:t xml:space="preserve"> or A</w:t>
      </w:r>
      <w:r w:rsidR="002D623C">
        <w:t>Pnode</w:t>
      </w:r>
      <w:r w:rsidRPr="00D25391">
        <w:t xml:space="preserve"> at which the load will be reduced.  A Demand Response Load Asset may only be represented by an A</w:t>
      </w:r>
      <w:r w:rsidR="002D623C">
        <w:t>Pnode</w:t>
      </w:r>
      <w:r w:rsidRPr="00D25391">
        <w:t xml:space="preserve"> if the load is in the same location (e.g.</w:t>
      </w:r>
      <w:r w:rsidR="002B27B3">
        <w:t>,</w:t>
      </w:r>
      <w:r w:rsidRPr="00D25391">
        <w:t xml:space="preserve"> a single industrial process served by more than one bus).  The </w:t>
      </w:r>
      <w:r w:rsidR="002D623C">
        <w:t>Pnode</w:t>
      </w:r>
      <w:r w:rsidRPr="00D25391">
        <w:t xml:space="preserve"> or A</w:t>
      </w:r>
      <w:r w:rsidR="002D623C">
        <w:t>Pnode</w:t>
      </w:r>
      <w:r w:rsidRPr="00D25391">
        <w:t xml:space="preserve"> of the Demand Response Load Asset </w:t>
      </w:r>
      <w:bookmarkEnd w:id="7696"/>
      <w:bookmarkEnd w:id="7697"/>
      <w:r w:rsidRPr="00D25391">
        <w:t xml:space="preserve">must be contained within the associated </w:t>
      </w:r>
      <w:r w:rsidR="009368AA">
        <w:t>Demand Response Load</w:t>
      </w:r>
      <w:r w:rsidRPr="00D25391">
        <w:t xml:space="preserve"> Settlement Location definition and have a single Meter Data Submi</w:t>
      </w:r>
      <w:r>
        <w:t>ttal</w:t>
      </w:r>
      <w:r w:rsidRPr="00D25391">
        <w:t xml:space="preserve"> Location.  </w:t>
      </w:r>
      <w:r w:rsidRPr="00D25391">
        <w:rPr>
          <w:szCs w:val="24"/>
        </w:rPr>
        <w:t xml:space="preserve">The Demand Response Load Asset is only used by </w:t>
      </w:r>
      <w:r>
        <w:rPr>
          <w:szCs w:val="24"/>
        </w:rPr>
        <w:t>the Market Operator</w:t>
      </w:r>
      <w:r w:rsidRPr="00D25391">
        <w:rPr>
          <w:szCs w:val="24"/>
        </w:rPr>
        <w:t xml:space="preserve"> to identify the actual load reduction to verify </w:t>
      </w:r>
      <w:r w:rsidR="006C27A4">
        <w:rPr>
          <w:szCs w:val="24"/>
        </w:rPr>
        <w:t>DDRR</w:t>
      </w:r>
      <w:r w:rsidRPr="00D25391">
        <w:rPr>
          <w:szCs w:val="24"/>
        </w:rPr>
        <w:t xml:space="preserve"> compliance with </w:t>
      </w:r>
      <w:r w:rsidRPr="00D25391" w:rsidDel="00A77FA7">
        <w:rPr>
          <w:szCs w:val="24"/>
        </w:rPr>
        <w:t xml:space="preserve">Dispatch </w:t>
      </w:r>
      <w:r w:rsidRPr="00D25391">
        <w:rPr>
          <w:szCs w:val="24"/>
        </w:rPr>
        <w:t xml:space="preserve">Targets and Flexibility Reserve </w:t>
      </w:r>
      <w:r>
        <w:rPr>
          <w:szCs w:val="24"/>
        </w:rPr>
        <w:t>Product</w:t>
      </w:r>
      <w:r w:rsidRPr="00D25391">
        <w:rPr>
          <w:szCs w:val="24"/>
        </w:rPr>
        <w:t xml:space="preserve"> deployment instructions. </w:t>
      </w:r>
    </w:p>
    <w:p w14:paraId="2752393B" w14:textId="77777777" w:rsidR="00BD64CF" w:rsidRPr="00D25391" w:rsidRDefault="00BD64CF" w:rsidP="00781C61">
      <w:pPr>
        <w:pStyle w:val="Heading3"/>
      </w:pPr>
      <w:bookmarkStart w:id="7707" w:name="_Toc159233490"/>
      <w:bookmarkStart w:id="7708" w:name="_Toc167202612"/>
      <w:bookmarkStart w:id="7709" w:name="_Toc213772061"/>
      <w:r>
        <w:t>Dispatchable Demand Response Load</w:t>
      </w:r>
      <w:bookmarkEnd w:id="7698"/>
      <w:bookmarkEnd w:id="7699"/>
      <w:bookmarkEnd w:id="7700"/>
      <w:bookmarkEnd w:id="7701"/>
      <w:bookmarkEnd w:id="7702"/>
      <w:bookmarkEnd w:id="7703"/>
      <w:bookmarkEnd w:id="7704"/>
      <w:bookmarkEnd w:id="7705"/>
      <w:bookmarkEnd w:id="7706"/>
      <w:r>
        <w:t xml:space="preserve"> Settlement Location</w:t>
      </w:r>
      <w:bookmarkEnd w:id="7707"/>
      <w:bookmarkEnd w:id="7708"/>
      <w:bookmarkEnd w:id="7709"/>
    </w:p>
    <w:p w14:paraId="186A4DD9" w14:textId="034A2229" w:rsidR="00BD64CF" w:rsidRPr="00D25391" w:rsidRDefault="00BD64CF" w:rsidP="00BD64CF">
      <w:pPr>
        <w:spacing w:line="300" w:lineRule="auto"/>
        <w:rPr>
          <w:szCs w:val="24"/>
        </w:rPr>
      </w:pPr>
      <w:bookmarkStart w:id="7710" w:name="_Toc263173458"/>
      <w:bookmarkStart w:id="7711" w:name="_Toc263173679"/>
      <w:bookmarkStart w:id="7712" w:name="_Toc263173867"/>
      <w:bookmarkStart w:id="7713" w:name="_Toc263174284"/>
      <w:bookmarkStart w:id="7714" w:name="_Toc263235186"/>
      <w:bookmarkStart w:id="7715" w:name="_Toc263235830"/>
      <w:bookmarkStart w:id="7716" w:name="_Toc263429578"/>
      <w:bookmarkStart w:id="7717" w:name="_Toc263795621"/>
      <w:bookmarkStart w:id="7718" w:name="_Toc266869795"/>
      <w:r w:rsidRPr="00D25391">
        <w:rPr>
          <w:szCs w:val="24"/>
        </w:rPr>
        <w:t xml:space="preserve">As part of the registration of a </w:t>
      </w:r>
      <w:r w:rsidR="00F130B2">
        <w:rPr>
          <w:szCs w:val="24"/>
        </w:rPr>
        <w:t>DDRR</w:t>
      </w:r>
      <w:r w:rsidRPr="00D25391">
        <w:rPr>
          <w:szCs w:val="24"/>
        </w:rPr>
        <w:t xml:space="preserve">, the </w:t>
      </w:r>
      <w:r>
        <w:rPr>
          <w:szCs w:val="24"/>
        </w:rPr>
        <w:t>Market Participant</w:t>
      </w:r>
      <w:r w:rsidRPr="00D25391">
        <w:rPr>
          <w:szCs w:val="24"/>
        </w:rPr>
        <w:t xml:space="preserve"> must also identify a corresponding load Settlement Location in which the associated Demand Response Load resides.  The Demand Response Load is used by </w:t>
      </w:r>
      <w:r>
        <w:rPr>
          <w:szCs w:val="24"/>
        </w:rPr>
        <w:t>the Market Operator</w:t>
      </w:r>
      <w:r w:rsidRPr="00D25391">
        <w:rPr>
          <w:szCs w:val="24"/>
        </w:rPr>
        <w:t xml:space="preserve"> for settlements.  </w:t>
      </w:r>
      <w:bookmarkStart w:id="7719" w:name="_Toc263235187"/>
      <w:bookmarkStart w:id="7720" w:name="_Toc263235831"/>
      <w:bookmarkStart w:id="7721" w:name="_Toc263429579"/>
      <w:bookmarkStart w:id="7722" w:name="_Toc263795622"/>
      <w:bookmarkStart w:id="7723" w:name="_Toc266869796"/>
      <w:bookmarkEnd w:id="7710"/>
      <w:bookmarkEnd w:id="7711"/>
      <w:bookmarkEnd w:id="7712"/>
      <w:bookmarkEnd w:id="7713"/>
      <w:bookmarkEnd w:id="7714"/>
      <w:bookmarkEnd w:id="7715"/>
      <w:bookmarkEnd w:id="7716"/>
      <w:bookmarkEnd w:id="7717"/>
      <w:bookmarkEnd w:id="7718"/>
      <w:r w:rsidRPr="00D25391">
        <w:rPr>
          <w:szCs w:val="24"/>
        </w:rPr>
        <w:t xml:space="preserve"> </w:t>
      </w:r>
    </w:p>
    <w:p w14:paraId="41394743" w14:textId="77777777" w:rsidR="00BD64CF" w:rsidRPr="00D25391" w:rsidRDefault="00BD64CF" w:rsidP="00781C61">
      <w:pPr>
        <w:pStyle w:val="Heading3"/>
      </w:pPr>
      <w:bookmarkStart w:id="7724" w:name="_Toc159233492"/>
      <w:bookmarkStart w:id="7725" w:name="_Toc167202613"/>
      <w:bookmarkStart w:id="7726" w:name="_Toc213772062"/>
      <w:r>
        <w:t>Loads External to Markets+ Footprint Pseudo-Tying In</w:t>
      </w:r>
      <w:bookmarkEnd w:id="7724"/>
      <w:bookmarkEnd w:id="7725"/>
      <w:bookmarkEnd w:id="7726"/>
    </w:p>
    <w:p w14:paraId="4D6FAF7A" w14:textId="60BDB82C" w:rsidR="00BD64CF" w:rsidRPr="00D25391" w:rsidRDefault="00BD64CF" w:rsidP="00BD64CF">
      <w:pPr>
        <w:spacing w:line="300" w:lineRule="auto"/>
        <w:rPr>
          <w:szCs w:val="24"/>
        </w:rPr>
      </w:pPr>
      <w:r w:rsidRPr="00D25391">
        <w:rPr>
          <w:szCs w:val="24"/>
        </w:rPr>
        <w:t xml:space="preserve">Market Participants with </w:t>
      </w:r>
      <w:r w:rsidR="00C61E3C">
        <w:rPr>
          <w:szCs w:val="24"/>
        </w:rPr>
        <w:t>l</w:t>
      </w:r>
      <w:r w:rsidRPr="00D25391">
        <w:rPr>
          <w:szCs w:val="24"/>
        </w:rPr>
        <w:t xml:space="preserve">oad external to the Markets+ Footprint </w:t>
      </w:r>
      <w:r w:rsidR="00C61E3C">
        <w:rPr>
          <w:szCs w:val="24"/>
        </w:rPr>
        <w:t>seek</w:t>
      </w:r>
      <w:r w:rsidRPr="00D25391">
        <w:rPr>
          <w:szCs w:val="24"/>
        </w:rPr>
        <w:t xml:space="preserve">ing to participate in Markets+ with that </w:t>
      </w:r>
      <w:r w:rsidR="00C61E3C">
        <w:rPr>
          <w:szCs w:val="24"/>
        </w:rPr>
        <w:t>l</w:t>
      </w:r>
      <w:r w:rsidRPr="00D25391">
        <w:rPr>
          <w:szCs w:val="24"/>
        </w:rPr>
        <w:t xml:space="preserve">oad must pseudo-tie that </w:t>
      </w:r>
      <w:r w:rsidR="00C61E3C">
        <w:rPr>
          <w:szCs w:val="24"/>
        </w:rPr>
        <w:t>l</w:t>
      </w:r>
      <w:r w:rsidRPr="00D25391">
        <w:rPr>
          <w:szCs w:val="24"/>
        </w:rPr>
        <w:t xml:space="preserve">oad into a </w:t>
      </w:r>
      <w:r>
        <w:rPr>
          <w:szCs w:val="24"/>
        </w:rPr>
        <w:t>Participating</w:t>
      </w:r>
      <w:r w:rsidRPr="00D25391">
        <w:rPr>
          <w:szCs w:val="24"/>
        </w:rPr>
        <w:t xml:space="preserve"> Balancing Authority</w:t>
      </w:r>
      <w:r>
        <w:rPr>
          <w:szCs w:val="24"/>
        </w:rPr>
        <w:t xml:space="preserve"> Area</w:t>
      </w:r>
      <w:r w:rsidRPr="00D25391">
        <w:rPr>
          <w:szCs w:val="24"/>
        </w:rPr>
        <w:t xml:space="preserve"> (BA</w:t>
      </w:r>
      <w:r>
        <w:rPr>
          <w:szCs w:val="24"/>
        </w:rPr>
        <w:t>A</w:t>
      </w:r>
      <w:r w:rsidRPr="00D25391">
        <w:rPr>
          <w:szCs w:val="24"/>
        </w:rPr>
        <w:t>) within the Markets+ Footprint</w:t>
      </w:r>
      <w:r>
        <w:rPr>
          <w:szCs w:val="24"/>
        </w:rPr>
        <w:t>.</w:t>
      </w:r>
      <w:r w:rsidRPr="00D25391">
        <w:rPr>
          <w:szCs w:val="24"/>
        </w:rPr>
        <w:t xml:space="preserve"> </w:t>
      </w:r>
      <w:r>
        <w:rPr>
          <w:szCs w:val="24"/>
        </w:rPr>
        <w:t xml:space="preserve">Details of the </w:t>
      </w:r>
      <w:r w:rsidR="00184B69">
        <w:rPr>
          <w:szCs w:val="24"/>
        </w:rPr>
        <w:t>p</w:t>
      </w:r>
      <w:r>
        <w:rPr>
          <w:szCs w:val="24"/>
        </w:rPr>
        <w:t>seudo-</w:t>
      </w:r>
      <w:r w:rsidR="00184B69">
        <w:rPr>
          <w:szCs w:val="24"/>
        </w:rPr>
        <w:t>t</w:t>
      </w:r>
      <w:r>
        <w:rPr>
          <w:szCs w:val="24"/>
        </w:rPr>
        <w:t>ie, including any required agreements, are the responsibility of the Market Participant and the applicable Participating Balancing Authority</w:t>
      </w:r>
      <w:r w:rsidRPr="00D25391">
        <w:rPr>
          <w:szCs w:val="24"/>
        </w:rPr>
        <w:t xml:space="preserve">.  </w:t>
      </w:r>
    </w:p>
    <w:p w14:paraId="50ABC8DD" w14:textId="22E6C8C8" w:rsidR="00BD64CF" w:rsidRPr="00D25391" w:rsidRDefault="00BD64CF" w:rsidP="00BD64CF">
      <w:pPr>
        <w:spacing w:line="300" w:lineRule="auto"/>
        <w:ind w:left="1260" w:hanging="540"/>
        <w:rPr>
          <w:szCs w:val="24"/>
        </w:rPr>
      </w:pPr>
      <w:r w:rsidRPr="00D25391">
        <w:rPr>
          <w:szCs w:val="24"/>
        </w:rPr>
        <w:t>(a)</w:t>
      </w:r>
      <w:r w:rsidRPr="00D25391">
        <w:rPr>
          <w:szCs w:val="24"/>
        </w:rPr>
        <w:tab/>
      </w:r>
      <w:r>
        <w:rPr>
          <w:szCs w:val="24"/>
        </w:rPr>
        <w:t>T</w:t>
      </w:r>
      <w:r w:rsidRPr="00D25391">
        <w:rPr>
          <w:szCs w:val="24"/>
        </w:rPr>
        <w:t xml:space="preserve">he Market Participant representing the </w:t>
      </w:r>
      <w:r w:rsidR="00C61E3C">
        <w:rPr>
          <w:szCs w:val="24"/>
        </w:rPr>
        <w:t>l</w:t>
      </w:r>
      <w:r w:rsidRPr="00D25391">
        <w:rPr>
          <w:szCs w:val="24"/>
        </w:rPr>
        <w:t xml:space="preserve">oad will be responsible for registering and performing all responsibilities that are required of any other </w:t>
      </w:r>
      <w:r w:rsidR="00C61E3C">
        <w:rPr>
          <w:szCs w:val="24"/>
        </w:rPr>
        <w:t>l</w:t>
      </w:r>
      <w:r w:rsidRPr="00D25391">
        <w:rPr>
          <w:szCs w:val="24"/>
        </w:rPr>
        <w:t xml:space="preserve">oad in Markets+. </w:t>
      </w:r>
    </w:p>
    <w:p w14:paraId="6945B58D" w14:textId="0AB169F1" w:rsidR="00BD64CF" w:rsidRPr="00D25391" w:rsidRDefault="00BD64CF" w:rsidP="00BD64CF">
      <w:pPr>
        <w:spacing w:before="120" w:line="300" w:lineRule="auto"/>
        <w:ind w:left="1260" w:hanging="540"/>
      </w:pPr>
      <w:bookmarkStart w:id="7727" w:name="_Ref212626723"/>
      <w:r w:rsidRPr="00D25391">
        <w:t>(b)</w:t>
      </w:r>
      <w:r w:rsidRPr="00D25391">
        <w:tab/>
        <w:t xml:space="preserve">The Market Participant representing the </w:t>
      </w:r>
      <w:r w:rsidR="00C61E3C">
        <w:t>l</w:t>
      </w:r>
      <w:r w:rsidRPr="00D25391">
        <w:t xml:space="preserve">oad must be the Meter Agent or contract with a Meter Agent that will be responsible for submittal of settlement Meter Data as described under </w:t>
      </w:r>
      <w:r w:rsidRPr="00353EC0">
        <w:t>Appendix B.</w:t>
      </w:r>
      <w:bookmarkEnd w:id="7727"/>
    </w:p>
    <w:p w14:paraId="3252D850" w14:textId="5339E864" w:rsidR="00BD64CF" w:rsidRPr="00D25391" w:rsidRDefault="00BD64CF" w:rsidP="00BD64CF">
      <w:pPr>
        <w:spacing w:line="300" w:lineRule="auto"/>
        <w:ind w:left="1260" w:hanging="540"/>
        <w:rPr>
          <w:szCs w:val="24"/>
        </w:rPr>
      </w:pPr>
      <w:r w:rsidRPr="00D25391">
        <w:rPr>
          <w:szCs w:val="24"/>
        </w:rPr>
        <w:t>(c)</w:t>
      </w:r>
      <w:r w:rsidRPr="00D25391">
        <w:rPr>
          <w:szCs w:val="24"/>
        </w:rPr>
        <w:tab/>
        <w:t xml:space="preserve">Firm transmission service from the </w:t>
      </w:r>
      <w:r w:rsidR="00C61E3C">
        <w:rPr>
          <w:szCs w:val="24"/>
        </w:rPr>
        <w:t>l</w:t>
      </w:r>
      <w:r w:rsidRPr="00D25391">
        <w:rPr>
          <w:szCs w:val="24"/>
        </w:rPr>
        <w:t xml:space="preserve">oad </w:t>
      </w:r>
      <w:r>
        <w:rPr>
          <w:szCs w:val="24"/>
        </w:rPr>
        <w:t>into</w:t>
      </w:r>
      <w:r w:rsidRPr="00D25391">
        <w:rPr>
          <w:szCs w:val="24"/>
        </w:rPr>
        <w:t xml:space="preserve"> the Markets+ Footprint is required.</w:t>
      </w:r>
    </w:p>
    <w:p w14:paraId="2F4132BB" w14:textId="45239B45" w:rsidR="00BD64CF" w:rsidRPr="00D25391" w:rsidRDefault="00BD64CF" w:rsidP="00BD64CF">
      <w:pPr>
        <w:spacing w:before="120" w:line="300" w:lineRule="auto"/>
        <w:ind w:left="1260" w:hanging="540"/>
      </w:pPr>
      <w:r w:rsidRPr="00D25391">
        <w:t>(d)</w:t>
      </w:r>
      <w:r w:rsidRPr="00D25391">
        <w:tab/>
        <w:t xml:space="preserve">Market Participants may remove or add pseudo-tied in </w:t>
      </w:r>
      <w:r w:rsidR="00C61E3C">
        <w:t>l</w:t>
      </w:r>
      <w:r w:rsidRPr="00D25391">
        <w:t xml:space="preserve">oad in accordance with the timelines described under Section </w:t>
      </w:r>
      <w:r w:rsidR="00EB157A">
        <w:fldChar w:fldCharType="begin"/>
      </w:r>
      <w:r w:rsidR="00EB157A">
        <w:instrText xml:space="preserve"> REF _Ref212625985 \r \h </w:instrText>
      </w:r>
      <w:r w:rsidR="00EB157A">
        <w:fldChar w:fldCharType="separate"/>
      </w:r>
      <w:r w:rsidR="00EB157A">
        <w:t>9.6</w:t>
      </w:r>
      <w:r w:rsidR="00EB157A">
        <w:fldChar w:fldCharType="end"/>
      </w:r>
      <w:r w:rsidRPr="00D25391">
        <w:t>.</w:t>
      </w:r>
    </w:p>
    <w:p w14:paraId="334FA608" w14:textId="0F458649" w:rsidR="000B2B5C" w:rsidRPr="00861E15" w:rsidRDefault="000B2B5C" w:rsidP="00556F5B">
      <w:pPr>
        <w:pStyle w:val="Heading2"/>
      </w:pPr>
      <w:bookmarkStart w:id="7728" w:name="_Toc213772063"/>
      <w:r>
        <w:t>I</w:t>
      </w:r>
      <w:r w:rsidRPr="00861E15">
        <w:t>dentification of Assets Subject to GHG Pricing Programs</w:t>
      </w:r>
      <w:bookmarkEnd w:id="7728"/>
      <w:r w:rsidRPr="00861E15">
        <w:t xml:space="preserve"> </w:t>
      </w:r>
    </w:p>
    <w:p w14:paraId="11A15474" w14:textId="7006B667" w:rsidR="000B2B5C" w:rsidRPr="00861E15" w:rsidRDefault="000B2B5C" w:rsidP="000B2B5C">
      <w:pPr>
        <w:spacing w:before="120" w:line="300" w:lineRule="auto"/>
      </w:pPr>
      <w:r w:rsidRPr="00861E15">
        <w:t xml:space="preserve">A Market Participant subject to a GHG Pricing Program with Resources </w:t>
      </w:r>
      <w:r w:rsidR="0046151A">
        <w:t>and</w:t>
      </w:r>
      <w:r w:rsidRPr="00861E15">
        <w:t xml:space="preserve"> load assets registered under Sections </w:t>
      </w:r>
      <w:r w:rsidR="001F4F65">
        <w:fldChar w:fldCharType="begin"/>
      </w:r>
      <w:r w:rsidR="001F4F65">
        <w:instrText xml:space="preserve"> REF _Ref212626061 \r \h </w:instrText>
      </w:r>
      <w:r w:rsidR="001F4F65">
        <w:fldChar w:fldCharType="separate"/>
      </w:r>
      <w:r w:rsidR="001F4F65">
        <w:t>9.1</w:t>
      </w:r>
      <w:r w:rsidR="001F4F65">
        <w:fldChar w:fldCharType="end"/>
      </w:r>
      <w:r w:rsidRPr="00861E15">
        <w:t xml:space="preserve"> and </w:t>
      </w:r>
      <w:r w:rsidR="001F4F65">
        <w:fldChar w:fldCharType="begin"/>
      </w:r>
      <w:r w:rsidR="001F4F65">
        <w:instrText xml:space="preserve"> REF _Ref212626085 \r \h </w:instrText>
      </w:r>
      <w:r w:rsidR="001F4F65">
        <w:fldChar w:fldCharType="separate"/>
      </w:r>
      <w:r w:rsidR="001F4F65">
        <w:t>9.2</w:t>
      </w:r>
      <w:r w:rsidR="001F4F65">
        <w:fldChar w:fldCharType="end"/>
      </w:r>
      <w:r w:rsidRPr="00861E15">
        <w:t xml:space="preserve"> must identify those assets to the Market Operator as follows.</w:t>
      </w:r>
    </w:p>
    <w:p w14:paraId="7531ADEB" w14:textId="21656BB8" w:rsidR="000B2B5C" w:rsidRPr="00861E15" w:rsidRDefault="000B2B5C" w:rsidP="00781C61">
      <w:pPr>
        <w:pStyle w:val="Heading3"/>
      </w:pPr>
      <w:bookmarkStart w:id="7729" w:name="_Ref212626756"/>
      <w:bookmarkStart w:id="7730" w:name="_Toc213772064"/>
      <w:r w:rsidRPr="00861E15">
        <w:t>Identification of Resource Assets Subject to GHG Pricing Programs</w:t>
      </w:r>
      <w:bookmarkEnd w:id="7729"/>
      <w:bookmarkEnd w:id="7730"/>
    </w:p>
    <w:p w14:paraId="0DEA1107" w14:textId="77777777" w:rsidR="000B2B5C" w:rsidRPr="00861E15" w:rsidRDefault="000B2B5C" w:rsidP="000B2B5C">
      <w:pPr>
        <w:spacing w:before="120" w:line="300" w:lineRule="auto"/>
      </w:pPr>
      <w:r w:rsidRPr="00861E15">
        <w:t xml:space="preserve">A Market Participant with registered Resource assets must identify which Resources are subject to a GHG Pricing Program, the state or regional regulatory body sponsoring such GHG Pricing Program, and the type of Resource that will be participating within a particular GHG Pricing Program.  There are two types of Resources that may be identified as participating within a GHG Pricing Zone: (1) an Internal GHG Resource and (2) a Specified Source Resource.  </w:t>
      </w:r>
    </w:p>
    <w:p w14:paraId="679BE85F" w14:textId="053E8A14" w:rsidR="000B2B5C" w:rsidRPr="00861E15" w:rsidRDefault="000B2B5C" w:rsidP="00574EDE">
      <w:pPr>
        <w:pStyle w:val="Heading4"/>
      </w:pPr>
      <w:bookmarkStart w:id="7731" w:name="_Ref212559962"/>
      <w:bookmarkStart w:id="7732" w:name="_Toc213772065"/>
      <w:r w:rsidRPr="00861E15">
        <w:t>Identification of Internal GHG Resources</w:t>
      </w:r>
      <w:bookmarkEnd w:id="7731"/>
      <w:bookmarkEnd w:id="7732"/>
    </w:p>
    <w:p w14:paraId="632E7281" w14:textId="600BE4B7" w:rsidR="000B2B5C" w:rsidRPr="00861E15" w:rsidRDefault="000B2B5C" w:rsidP="000B2B5C">
      <w:pPr>
        <w:spacing w:line="300" w:lineRule="auto"/>
      </w:pPr>
      <w:r w:rsidRPr="00861E15">
        <w:t xml:space="preserve">A Market Participant which identifies a registered Resource as subject to a GHG Pricing Program must designate that Resource as an Internal GHG Resource. A Resource identified as an Internal GHG Resource may register as any Resource </w:t>
      </w:r>
      <w:r w:rsidR="00C61E3C">
        <w:t>t</w:t>
      </w:r>
      <w:r w:rsidRPr="00861E15">
        <w:t xml:space="preserve">ype described under Section </w:t>
      </w:r>
      <w:r w:rsidR="00D313A9">
        <w:fldChar w:fldCharType="begin"/>
      </w:r>
      <w:r w:rsidR="00D313A9">
        <w:instrText xml:space="preserve"> REF _Ref212626168 \r \h </w:instrText>
      </w:r>
      <w:r w:rsidR="00D313A9">
        <w:fldChar w:fldCharType="separate"/>
      </w:r>
      <w:r w:rsidR="00D313A9">
        <w:t>9.1.1</w:t>
      </w:r>
      <w:r w:rsidR="00D313A9">
        <w:fldChar w:fldCharType="end"/>
      </w:r>
      <w:r w:rsidRPr="00861E15">
        <w:t>. Any Energy dispatched on an Internal GHG Resource is attributed to the GHG Pricing Zone, and the Market Participant offering that Energy into the GHG Pricing Zone will be paid at the Marginal GHG Price.</w:t>
      </w:r>
    </w:p>
    <w:p w14:paraId="285F56BB" w14:textId="588D1B8F" w:rsidR="002447DE" w:rsidRPr="002447DE" w:rsidRDefault="002447DE" w:rsidP="00574EDE">
      <w:pPr>
        <w:pStyle w:val="Heading4"/>
      </w:pPr>
      <w:bookmarkStart w:id="7733" w:name="_Ref212560889"/>
      <w:bookmarkStart w:id="7734" w:name="_Toc213772066"/>
      <w:r w:rsidRPr="002447DE">
        <w:t>Identification of Specified Source Resources</w:t>
      </w:r>
      <w:bookmarkEnd w:id="7733"/>
      <w:bookmarkEnd w:id="7734"/>
    </w:p>
    <w:p w14:paraId="6C8F0F02" w14:textId="119B7F01" w:rsidR="002447DE" w:rsidRPr="002447DE" w:rsidRDefault="002447DE" w:rsidP="002447DE">
      <w:pPr>
        <w:spacing w:before="120" w:line="300" w:lineRule="auto"/>
        <w:rPr>
          <w:bCs/>
          <w:szCs w:val="24"/>
        </w:rPr>
      </w:pPr>
      <w:r w:rsidRPr="002447DE">
        <w:rPr>
          <w:bCs/>
          <w:szCs w:val="24"/>
        </w:rPr>
        <w:t xml:space="preserve">A Market Participant with a registered Resource that is outside of the GHG Pricing Zone that intends to sell Energy into a GHG Pricing Zone may identify that Resource as a Specified Source Resource.  A Resource identified as a Specified Source Resource may register as any Resource type described under Section </w:t>
      </w:r>
      <w:r w:rsidR="008F0403">
        <w:rPr>
          <w:bCs/>
          <w:szCs w:val="24"/>
        </w:rPr>
        <w:fldChar w:fldCharType="begin"/>
      </w:r>
      <w:r w:rsidR="008F0403">
        <w:rPr>
          <w:bCs/>
          <w:szCs w:val="24"/>
        </w:rPr>
        <w:instrText xml:space="preserve"> REF _Ref212626270 \r \h </w:instrText>
      </w:r>
      <w:r w:rsidR="008F0403">
        <w:rPr>
          <w:bCs/>
          <w:szCs w:val="24"/>
        </w:rPr>
      </w:r>
      <w:r w:rsidR="008F0403">
        <w:rPr>
          <w:bCs/>
          <w:szCs w:val="24"/>
        </w:rPr>
        <w:fldChar w:fldCharType="separate"/>
      </w:r>
      <w:r w:rsidR="008F0403">
        <w:rPr>
          <w:bCs/>
          <w:szCs w:val="24"/>
        </w:rPr>
        <w:t>9.1.1</w:t>
      </w:r>
      <w:r w:rsidR="008F0403">
        <w:rPr>
          <w:bCs/>
          <w:szCs w:val="24"/>
        </w:rPr>
        <w:fldChar w:fldCharType="end"/>
      </w:r>
      <w:r w:rsidR="008F0403">
        <w:rPr>
          <w:bCs/>
          <w:szCs w:val="24"/>
        </w:rPr>
        <w:t>.</w:t>
      </w:r>
      <w:r w:rsidRPr="002447DE">
        <w:rPr>
          <w:bCs/>
          <w:szCs w:val="24"/>
        </w:rPr>
        <w:t xml:space="preserve"> There are three types of Energy that may be attributed to a GHG Pricing Zone from a Specified Source Resource: (1) Type 1A Energy; (2) Type 1B Energy; and (3) Type 2 Energy.  A Specified Source Resource is modeled as a single physical “Parent” Resource asset that has two Specified Source Resource “Child” Resource assets as shown in Exhibit 9-7 that represent Type 1A Energy and Type 1B and/or Type 2 Energy.  The Specified Source Resource “Child” Resource associated with Type 1B Energy and Type 2 Energy also has the ability to participate in the market as market Energy not attributable to a GHG Pricing Zone through structuring parameters mentioned in Section </w:t>
      </w:r>
      <w:r w:rsidR="00AE2884">
        <w:rPr>
          <w:bCs/>
          <w:szCs w:val="24"/>
        </w:rPr>
        <w:fldChar w:fldCharType="begin"/>
      </w:r>
      <w:r w:rsidR="00AE2884">
        <w:rPr>
          <w:bCs/>
          <w:szCs w:val="24"/>
        </w:rPr>
        <w:instrText xml:space="preserve"> REF _Ref212560366 \r \h </w:instrText>
      </w:r>
      <w:r w:rsidR="00AE2884">
        <w:rPr>
          <w:bCs/>
          <w:szCs w:val="24"/>
        </w:rPr>
      </w:r>
      <w:r w:rsidR="00AE2884">
        <w:rPr>
          <w:bCs/>
          <w:szCs w:val="24"/>
        </w:rPr>
        <w:fldChar w:fldCharType="separate"/>
      </w:r>
      <w:r w:rsidR="00AE2884">
        <w:rPr>
          <w:bCs/>
          <w:szCs w:val="24"/>
        </w:rPr>
        <w:t>5.1.9</w:t>
      </w:r>
      <w:r w:rsidR="00AE2884">
        <w:rPr>
          <w:bCs/>
          <w:szCs w:val="24"/>
        </w:rPr>
        <w:fldChar w:fldCharType="end"/>
      </w:r>
      <w:r w:rsidRPr="002447DE">
        <w:rPr>
          <w:bCs/>
          <w:szCs w:val="24"/>
        </w:rPr>
        <w:t xml:space="preserve">.  A maximum capacity MW value and minimum capacity MW value associated with the physical “Parent” Resource or, if the Specified Source Resource is an MCR, a maximum capacity MW value and minimum capacity MW value for each configuration associated with the physical “Parent” Resource, must be submitted and will be used for offer validation purposes, as further described under Section </w:t>
      </w:r>
      <w:r w:rsidR="005C21E9">
        <w:rPr>
          <w:bCs/>
          <w:szCs w:val="24"/>
        </w:rPr>
        <w:fldChar w:fldCharType="begin"/>
      </w:r>
      <w:r w:rsidR="005C21E9">
        <w:rPr>
          <w:bCs/>
          <w:szCs w:val="24"/>
        </w:rPr>
        <w:instrText xml:space="preserve"> REF _Ref212626505 \r \h </w:instrText>
      </w:r>
      <w:r w:rsidR="005C21E9">
        <w:rPr>
          <w:bCs/>
          <w:szCs w:val="24"/>
        </w:rPr>
      </w:r>
      <w:r w:rsidR="005C21E9">
        <w:rPr>
          <w:bCs/>
          <w:szCs w:val="24"/>
        </w:rPr>
        <w:fldChar w:fldCharType="separate"/>
      </w:r>
      <w:r w:rsidR="005C21E9">
        <w:rPr>
          <w:bCs/>
          <w:szCs w:val="24"/>
        </w:rPr>
        <w:t>5.1.6</w:t>
      </w:r>
      <w:r w:rsidR="005C21E9">
        <w:rPr>
          <w:bCs/>
          <w:szCs w:val="24"/>
        </w:rPr>
        <w:fldChar w:fldCharType="end"/>
      </w:r>
      <w:r w:rsidRPr="002447DE">
        <w:rPr>
          <w:bCs/>
          <w:szCs w:val="24"/>
        </w:rPr>
        <w:t xml:space="preserve"> and </w:t>
      </w:r>
      <w:r w:rsidR="005C21E9">
        <w:rPr>
          <w:bCs/>
          <w:szCs w:val="24"/>
        </w:rPr>
        <w:fldChar w:fldCharType="begin"/>
      </w:r>
      <w:r w:rsidR="005C21E9">
        <w:rPr>
          <w:bCs/>
          <w:szCs w:val="24"/>
        </w:rPr>
        <w:instrText xml:space="preserve"> REF _Ref212560366 \r \h </w:instrText>
      </w:r>
      <w:r w:rsidR="005C21E9">
        <w:rPr>
          <w:bCs/>
          <w:szCs w:val="24"/>
        </w:rPr>
      </w:r>
      <w:r w:rsidR="005C21E9">
        <w:rPr>
          <w:bCs/>
          <w:szCs w:val="24"/>
        </w:rPr>
        <w:fldChar w:fldCharType="separate"/>
      </w:r>
      <w:r w:rsidR="005C21E9">
        <w:rPr>
          <w:bCs/>
          <w:szCs w:val="24"/>
        </w:rPr>
        <w:t>5.1.9</w:t>
      </w:r>
      <w:r w:rsidR="005C21E9">
        <w:rPr>
          <w:bCs/>
          <w:szCs w:val="24"/>
        </w:rPr>
        <w:fldChar w:fldCharType="end"/>
      </w:r>
      <w:r w:rsidRPr="002447DE">
        <w:rPr>
          <w:bCs/>
          <w:szCs w:val="24"/>
        </w:rPr>
        <w:t xml:space="preserve">.  In addition, if the Specified Source Resource is an MSR, </w:t>
      </w:r>
      <w:r w:rsidR="006C5840">
        <w:rPr>
          <w:bCs/>
          <w:szCs w:val="24"/>
        </w:rPr>
        <w:t>the</w:t>
      </w:r>
      <w:r w:rsidRPr="002447DE">
        <w:rPr>
          <w:bCs/>
          <w:szCs w:val="24"/>
        </w:rPr>
        <w:t xml:space="preserve"> </w:t>
      </w:r>
      <w:r w:rsidR="006C5840">
        <w:rPr>
          <w:bCs/>
          <w:szCs w:val="24"/>
        </w:rPr>
        <w:t>registration charge</w:t>
      </w:r>
      <w:r w:rsidRPr="002447DE">
        <w:rPr>
          <w:bCs/>
          <w:szCs w:val="24"/>
        </w:rPr>
        <w:t xml:space="preserve"> minimum, </w:t>
      </w:r>
      <w:r w:rsidR="006C5840">
        <w:rPr>
          <w:bCs/>
          <w:szCs w:val="24"/>
        </w:rPr>
        <w:t xml:space="preserve">charge </w:t>
      </w:r>
      <w:r w:rsidRPr="002447DE">
        <w:rPr>
          <w:bCs/>
          <w:szCs w:val="24"/>
        </w:rPr>
        <w:t xml:space="preserve">maximum, </w:t>
      </w:r>
      <w:r w:rsidR="006C5840" w:rsidRPr="002447DE">
        <w:rPr>
          <w:bCs/>
          <w:szCs w:val="24"/>
        </w:rPr>
        <w:t xml:space="preserve">discharge </w:t>
      </w:r>
      <w:r w:rsidRPr="002447DE">
        <w:rPr>
          <w:bCs/>
          <w:szCs w:val="24"/>
        </w:rPr>
        <w:t xml:space="preserve">minimum , and </w:t>
      </w:r>
      <w:r w:rsidR="006C5840">
        <w:rPr>
          <w:bCs/>
          <w:szCs w:val="24"/>
        </w:rPr>
        <w:t xml:space="preserve">discharge </w:t>
      </w:r>
      <w:r w:rsidRPr="002447DE">
        <w:rPr>
          <w:bCs/>
          <w:szCs w:val="24"/>
        </w:rPr>
        <w:t xml:space="preserve">maximum </w:t>
      </w:r>
      <w:r w:rsidR="006C5840">
        <w:rPr>
          <w:bCs/>
          <w:szCs w:val="24"/>
        </w:rPr>
        <w:t>parameters</w:t>
      </w:r>
      <w:r w:rsidRPr="002447DE">
        <w:rPr>
          <w:bCs/>
          <w:szCs w:val="24"/>
        </w:rPr>
        <w:t xml:space="preserve"> must be submitted and will be used for Offer validation purposes, as further described under Section </w:t>
      </w:r>
      <w:r w:rsidR="005C21E9">
        <w:rPr>
          <w:bCs/>
          <w:szCs w:val="24"/>
        </w:rPr>
        <w:fldChar w:fldCharType="begin"/>
      </w:r>
      <w:r w:rsidR="005C21E9">
        <w:rPr>
          <w:bCs/>
          <w:szCs w:val="24"/>
        </w:rPr>
        <w:instrText xml:space="preserve"> REF _Ref212626505 \r \h </w:instrText>
      </w:r>
      <w:r w:rsidR="005C21E9">
        <w:rPr>
          <w:bCs/>
          <w:szCs w:val="24"/>
        </w:rPr>
      </w:r>
      <w:r w:rsidR="005C21E9">
        <w:rPr>
          <w:bCs/>
          <w:szCs w:val="24"/>
        </w:rPr>
        <w:fldChar w:fldCharType="separate"/>
      </w:r>
      <w:r w:rsidR="005C21E9">
        <w:rPr>
          <w:bCs/>
          <w:szCs w:val="24"/>
        </w:rPr>
        <w:t>5.1.6</w:t>
      </w:r>
      <w:r w:rsidR="005C21E9">
        <w:rPr>
          <w:bCs/>
          <w:szCs w:val="24"/>
        </w:rPr>
        <w:fldChar w:fldCharType="end"/>
      </w:r>
      <w:r w:rsidRPr="002447DE">
        <w:rPr>
          <w:bCs/>
          <w:szCs w:val="24"/>
        </w:rPr>
        <w:t xml:space="preserve"> and </w:t>
      </w:r>
      <w:r w:rsidR="005C21E9">
        <w:rPr>
          <w:bCs/>
          <w:szCs w:val="24"/>
        </w:rPr>
        <w:fldChar w:fldCharType="begin"/>
      </w:r>
      <w:r w:rsidR="005C21E9">
        <w:rPr>
          <w:bCs/>
          <w:szCs w:val="24"/>
        </w:rPr>
        <w:instrText xml:space="preserve"> REF _Ref212560366 \r \h </w:instrText>
      </w:r>
      <w:r w:rsidR="005C21E9">
        <w:rPr>
          <w:bCs/>
          <w:szCs w:val="24"/>
        </w:rPr>
      </w:r>
      <w:r w:rsidR="005C21E9">
        <w:rPr>
          <w:bCs/>
          <w:szCs w:val="24"/>
        </w:rPr>
        <w:fldChar w:fldCharType="separate"/>
      </w:r>
      <w:r w:rsidR="005C21E9">
        <w:rPr>
          <w:bCs/>
          <w:szCs w:val="24"/>
        </w:rPr>
        <w:t>5.1.9</w:t>
      </w:r>
      <w:r w:rsidR="005C21E9">
        <w:rPr>
          <w:bCs/>
          <w:szCs w:val="24"/>
        </w:rPr>
        <w:fldChar w:fldCharType="end"/>
      </w:r>
      <w:r w:rsidRPr="002447DE">
        <w:rPr>
          <w:bCs/>
          <w:szCs w:val="24"/>
        </w:rPr>
        <w:t>.</w:t>
      </w:r>
    </w:p>
    <w:p w14:paraId="7B26E30C" w14:textId="77777777" w:rsidR="008C03DC" w:rsidRDefault="000B2B5C" w:rsidP="002812E3">
      <w:pPr>
        <w:spacing w:after="0"/>
        <w:jc w:val="center"/>
        <w:rPr>
          <w:b/>
        </w:rPr>
      </w:pPr>
      <w:r w:rsidRPr="00861E15">
        <w:rPr>
          <w:b/>
        </w:rPr>
        <w:br w:type="page"/>
      </w:r>
      <w:bookmarkStart w:id="7735" w:name="_Toc183787439"/>
    </w:p>
    <w:p w14:paraId="4B75C878" w14:textId="553C49AC" w:rsidR="00940560" w:rsidRPr="006B794A" w:rsidRDefault="00940560" w:rsidP="00940560">
      <w:pPr>
        <w:spacing w:before="120" w:line="300" w:lineRule="auto"/>
        <w:jc w:val="center"/>
        <w:rPr>
          <w:b/>
          <w:szCs w:val="24"/>
        </w:rPr>
      </w:pPr>
      <w:bookmarkStart w:id="7736" w:name="_Toc213772435"/>
      <w:r w:rsidRPr="006B794A">
        <w:rPr>
          <w:b/>
          <w:szCs w:val="24"/>
        </w:rPr>
        <w:t xml:space="preserve">Exhibit </w:t>
      </w:r>
      <w:r w:rsidRPr="004046DB">
        <w:rPr>
          <w:b/>
          <w:szCs w:val="24"/>
        </w:rPr>
        <w:fldChar w:fldCharType="begin"/>
      </w:r>
      <w:r w:rsidRPr="1DA37A45">
        <w:rPr>
          <w:b/>
        </w:rPr>
        <w:instrText xml:space="preserve"> STYLEREF 1 \s </w:instrText>
      </w:r>
      <w:r w:rsidRPr="004046DB">
        <w:rPr>
          <w:b/>
          <w:szCs w:val="24"/>
        </w:rPr>
        <w:fldChar w:fldCharType="separate"/>
      </w:r>
      <w:r>
        <w:rPr>
          <w:b/>
          <w:noProof/>
          <w:szCs w:val="24"/>
        </w:rPr>
        <w:t>9</w:t>
      </w:r>
      <w:r w:rsidRPr="004046DB">
        <w:rPr>
          <w:b/>
          <w:szCs w:val="24"/>
        </w:rPr>
        <w:fldChar w:fldCharType="end"/>
      </w:r>
      <w:r w:rsidRPr="004046DB">
        <w:rPr>
          <w:b/>
          <w:szCs w:val="24"/>
        </w:rPr>
        <w:noBreakHyphen/>
      </w:r>
      <w:r w:rsidR="00FE7192">
        <w:rPr>
          <w:b/>
          <w:szCs w:val="24"/>
        </w:rPr>
        <w:t>7</w:t>
      </w:r>
      <w:r w:rsidRPr="004046DB">
        <w:rPr>
          <w:b/>
          <w:szCs w:val="24"/>
        </w:rPr>
        <w:fldChar w:fldCharType="begin"/>
      </w:r>
      <w:r w:rsidRPr="1DA37A45">
        <w:rPr>
          <w:b/>
        </w:rPr>
        <w:instrText xml:space="preserve"> SEQ Exhibit \* ARABIC \s 1 </w:instrText>
      </w:r>
      <w:r w:rsidRPr="004046DB">
        <w:rPr>
          <w:b/>
          <w:szCs w:val="24"/>
        </w:rPr>
        <w:fldChar w:fldCharType="separate"/>
      </w:r>
      <w:r w:rsidRPr="004046DB">
        <w:rPr>
          <w:b/>
          <w:szCs w:val="24"/>
        </w:rPr>
        <w:fldChar w:fldCharType="end"/>
      </w:r>
      <w:r>
        <w:rPr>
          <w:b/>
          <w:szCs w:val="24"/>
        </w:rPr>
        <w:t xml:space="preserve">: </w:t>
      </w:r>
      <w:r w:rsidR="00A23C23">
        <w:rPr>
          <w:b/>
          <w:szCs w:val="24"/>
        </w:rPr>
        <w:t>Specified Source Resource Modeling</w:t>
      </w:r>
      <w:bookmarkEnd w:id="7736"/>
    </w:p>
    <w:p w14:paraId="1147F84E" w14:textId="77777777" w:rsidR="00940560" w:rsidRDefault="00940560" w:rsidP="008C03DC">
      <w:pPr>
        <w:spacing w:before="120" w:line="300" w:lineRule="auto"/>
        <w:jc w:val="center"/>
        <w:rPr>
          <w:b/>
          <w:szCs w:val="24"/>
        </w:rPr>
      </w:pPr>
    </w:p>
    <w:bookmarkEnd w:id="7735"/>
    <w:p w14:paraId="4B36941A" w14:textId="77777777" w:rsidR="000B2B5C" w:rsidRPr="00861E15" w:rsidRDefault="000B2B5C" w:rsidP="000B2B5C">
      <w:pPr>
        <w:spacing w:before="120" w:line="300" w:lineRule="auto"/>
        <w:jc w:val="center"/>
      </w:pPr>
      <w:r>
        <w:rPr>
          <w:noProof/>
        </w:rPr>
        <w:drawing>
          <wp:inline distT="0" distB="0" distL="0" distR="0" wp14:anchorId="03625D05" wp14:editId="6F973E9D">
            <wp:extent cx="5314950" cy="3133725"/>
            <wp:effectExtent l="0" t="0" r="0" b="9525"/>
            <wp:docPr id="2036692140" name="Picture 2" descr="Diagram,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92140" name="Picture 2" descr="Diagram, text&#10;&#10;AI-generated content may be incorrect."/>
                    <pic:cNvPicPr/>
                  </pic:nvPicPr>
                  <pic:blipFill rotWithShape="1">
                    <a:blip r:embed="rId106">
                      <a:extLst>
                        <a:ext uri="{28A0092B-C50C-407E-A947-70E740481C1C}">
                          <a14:useLocalDpi xmlns:a14="http://schemas.microsoft.com/office/drawing/2010/main" val="0"/>
                        </a:ext>
                      </a:extLst>
                    </a:blip>
                    <a:srcRect l="3500" t="2030" r="3500" b="2534"/>
                    <a:stretch/>
                  </pic:blipFill>
                  <pic:spPr bwMode="auto">
                    <a:xfrm>
                      <a:off x="0" y="0"/>
                      <a:ext cx="5314950" cy="3133725"/>
                    </a:xfrm>
                    <a:prstGeom prst="rect">
                      <a:avLst/>
                    </a:prstGeom>
                    <a:ln>
                      <a:noFill/>
                    </a:ln>
                    <a:extLst>
                      <a:ext uri="{53640926-AAD7-44D8-BBD7-CCE9431645EC}">
                        <a14:shadowObscured xmlns:a14="http://schemas.microsoft.com/office/drawing/2010/main"/>
                      </a:ext>
                    </a:extLst>
                  </pic:spPr>
                </pic:pic>
              </a:graphicData>
            </a:graphic>
          </wp:inline>
        </w:drawing>
      </w:r>
    </w:p>
    <w:p w14:paraId="07DC9259" w14:textId="3FDB6AAD" w:rsidR="000B2B5C" w:rsidRPr="00861E15" w:rsidRDefault="000B2B5C">
      <w:pPr>
        <w:pStyle w:val="Heading5"/>
      </w:pPr>
      <w:bookmarkStart w:id="7737" w:name="_Ref212560010"/>
      <w:bookmarkStart w:id="7738" w:name="_Ref212560034"/>
      <w:bookmarkStart w:id="7739" w:name="_Ref212560052"/>
      <w:bookmarkStart w:id="7740" w:name="_Ref212560296"/>
      <w:bookmarkStart w:id="7741" w:name="_Ref212560319"/>
      <w:bookmarkStart w:id="7742" w:name="_Toc213772067"/>
      <w:r w:rsidRPr="00861E15">
        <w:t>Type 1A Energy</w:t>
      </w:r>
      <w:r w:rsidRPr="00861E15" w:rsidDel="00493B0D">
        <w:t xml:space="preserve"> </w:t>
      </w:r>
      <w:r w:rsidRPr="00861E15">
        <w:t>Qualifications for Specified Source Resources</w:t>
      </w:r>
      <w:bookmarkEnd w:id="7737"/>
      <w:bookmarkEnd w:id="7738"/>
      <w:bookmarkEnd w:id="7739"/>
      <w:bookmarkEnd w:id="7740"/>
      <w:bookmarkEnd w:id="7741"/>
      <w:bookmarkEnd w:id="7742"/>
    </w:p>
    <w:p w14:paraId="33E71F33" w14:textId="77777777" w:rsidR="000B2B5C" w:rsidRPr="00861E15" w:rsidRDefault="000B2B5C" w:rsidP="000B2B5C">
      <w:pPr>
        <w:spacing w:line="300" w:lineRule="auto"/>
      </w:pPr>
      <w:r w:rsidRPr="00861E15">
        <w:t>A Market Participant with a Specified Source Resource that intends to offer Type 1A Energy must provide the following information to the Market Operator:</w:t>
      </w:r>
    </w:p>
    <w:p w14:paraId="44A4AA37" w14:textId="77777777" w:rsidR="000B2B5C" w:rsidRPr="00861E15" w:rsidRDefault="000B2B5C" w:rsidP="000B2B5C">
      <w:pPr>
        <w:numPr>
          <w:ilvl w:val="3"/>
          <w:numId w:val="335"/>
        </w:numPr>
        <w:spacing w:line="300" w:lineRule="auto"/>
        <w:ind w:left="540"/>
      </w:pPr>
      <w:r w:rsidRPr="00861E15">
        <w:t>A notification that there is an existing agreement between the Market Participant identifying the Specified Source Resource and a Market Participant serving GHG Load within the applicable GHG Pricing Zone. This notification also includes when a previously reported contract has been terminated.</w:t>
      </w:r>
    </w:p>
    <w:p w14:paraId="7C22CCC7" w14:textId="77777777" w:rsidR="000B2B5C" w:rsidRPr="00861E15" w:rsidRDefault="000B2B5C" w:rsidP="000B2B5C">
      <w:pPr>
        <w:numPr>
          <w:ilvl w:val="3"/>
          <w:numId w:val="335"/>
        </w:numPr>
        <w:spacing w:line="300" w:lineRule="auto"/>
        <w:ind w:left="540"/>
      </w:pPr>
      <w:r w:rsidRPr="00861E15">
        <w:t>Confirm the existence of transmission service or demonstrate the ability to obtain transmission service to the load to which the Type 1A Energy is contracted. Such demonstration can include</w:t>
      </w:r>
      <w:r>
        <w:t>,</w:t>
      </w:r>
      <w:r w:rsidRPr="00861E15">
        <w:t xml:space="preserve"> but is not limited to</w:t>
      </w:r>
      <w:r>
        <w:t>,</w:t>
      </w:r>
      <w:r w:rsidRPr="00861E15">
        <w:t xml:space="preserve"> the following:</w:t>
      </w:r>
    </w:p>
    <w:p w14:paraId="5E16F576" w14:textId="15640CA7" w:rsidR="000B2B5C" w:rsidRPr="00861E15" w:rsidRDefault="000B2B5C" w:rsidP="000B2B5C">
      <w:pPr>
        <w:numPr>
          <w:ilvl w:val="1"/>
          <w:numId w:val="269"/>
        </w:numPr>
        <w:spacing w:line="300" w:lineRule="auto"/>
      </w:pPr>
      <w:r w:rsidRPr="00861E15">
        <w:t xml:space="preserve">OASIS scenario analyzer report resulting in a </w:t>
      </w:r>
      <w:r>
        <w:t>“</w:t>
      </w:r>
      <w:r w:rsidRPr="00861E15">
        <w:t>pass</w:t>
      </w:r>
      <w:r>
        <w:t>”</w:t>
      </w:r>
      <w:r w:rsidR="00C61E3C">
        <w:t>; and</w:t>
      </w:r>
    </w:p>
    <w:p w14:paraId="31D3A3C8" w14:textId="2E73139D" w:rsidR="000B2B5C" w:rsidRPr="00861E15" w:rsidRDefault="000B2B5C" w:rsidP="000B2B5C">
      <w:pPr>
        <w:numPr>
          <w:ilvl w:val="1"/>
          <w:numId w:val="269"/>
        </w:numPr>
        <w:spacing w:line="300" w:lineRule="auto"/>
      </w:pPr>
      <w:r w:rsidRPr="00861E15">
        <w:t xml:space="preserve">Historical </w:t>
      </w:r>
      <w:r w:rsidR="00C731F4">
        <w:t>e</w:t>
      </w:r>
      <w:r w:rsidR="00EA76D7">
        <w:t>-Tag</w:t>
      </w:r>
      <w:r w:rsidRPr="00861E15">
        <w:t>s on the contracted path</w:t>
      </w:r>
      <w:r w:rsidR="00C61E3C">
        <w:t>.</w:t>
      </w:r>
    </w:p>
    <w:p w14:paraId="1F3F096C" w14:textId="0FC43E96" w:rsidR="000B2B5C" w:rsidRPr="00861E15" w:rsidRDefault="000B2B5C" w:rsidP="000B2B5C">
      <w:pPr>
        <w:numPr>
          <w:ilvl w:val="3"/>
          <w:numId w:val="335"/>
        </w:numPr>
        <w:spacing w:line="300" w:lineRule="auto"/>
        <w:ind w:left="540"/>
      </w:pPr>
      <w:r w:rsidRPr="00861E15">
        <w:t xml:space="preserve">Confirmation of the maximum amount of GHG Load to be served under the contract.  This value will be used by the Market Operator to validate that the submission of a Type 1A </w:t>
      </w:r>
      <w:r>
        <w:t>Energy Specified Source Resource “Child</w:t>
      </w:r>
      <w:r w:rsidR="000A30E4">
        <w:t>”</w:t>
      </w:r>
      <w:r>
        <w:t xml:space="preserve"> Resource M</w:t>
      </w:r>
      <w:r w:rsidR="00CC0132">
        <w:t xml:space="preserve">ax </w:t>
      </w:r>
      <w:r>
        <w:t>ECOL</w:t>
      </w:r>
      <w:r w:rsidR="00CC0132">
        <w:t>, or in the case of an MSR</w:t>
      </w:r>
      <w:r w:rsidR="00D967DD">
        <w:t>,</w:t>
      </w:r>
      <w:r w:rsidR="00CC0132">
        <w:t xml:space="preserve"> the Maximum Discharge Limit,</w:t>
      </w:r>
      <w:r w:rsidRPr="00861E15">
        <w:t xml:space="preserve"> does not exceed this value.</w:t>
      </w:r>
    </w:p>
    <w:p w14:paraId="50593EF0" w14:textId="76A1BE15" w:rsidR="000B2B5C" w:rsidRPr="00861E15" w:rsidRDefault="000B2B5C" w:rsidP="000B2B5C">
      <w:pPr>
        <w:numPr>
          <w:ilvl w:val="1"/>
          <w:numId w:val="318"/>
        </w:numPr>
        <w:spacing w:line="300" w:lineRule="auto"/>
        <w:ind w:left="1260"/>
      </w:pPr>
      <w:r w:rsidRPr="00861E15">
        <w:t>If the contract is for a fixed amount of hourly Energy, this fixed amount of Energy will serve as a cap on the M</w:t>
      </w:r>
      <w:r w:rsidR="00CC0132">
        <w:t xml:space="preserve">ax </w:t>
      </w:r>
      <w:r w:rsidRPr="00861E15">
        <w:t>ECOL</w:t>
      </w:r>
      <w:r w:rsidR="00CC0132">
        <w:t>, or in the case of an MSR</w:t>
      </w:r>
      <w:r w:rsidR="00D967DD">
        <w:t>,</w:t>
      </w:r>
      <w:r w:rsidR="00CC0132">
        <w:t xml:space="preserve"> the Maximum Discharge Limit,</w:t>
      </w:r>
      <w:r w:rsidRPr="00861E15">
        <w:t xml:space="preserve"> that is submitted as part of the Resource offer associated with the Type 1A</w:t>
      </w:r>
      <w:r>
        <w:t xml:space="preserve"> Energy Specified Source Resource</w:t>
      </w:r>
      <w:r w:rsidRPr="0007641A">
        <w:t xml:space="preserve"> </w:t>
      </w:r>
      <w:r>
        <w:t>“C</w:t>
      </w:r>
      <w:r w:rsidRPr="00861E15">
        <w:t>hild</w:t>
      </w:r>
      <w:r w:rsidR="000A30E4">
        <w:t>”</w:t>
      </w:r>
      <w:r w:rsidRPr="00861E15">
        <w:t xml:space="preserve"> Resource</w:t>
      </w:r>
      <w:r>
        <w:t>.</w:t>
      </w:r>
    </w:p>
    <w:p w14:paraId="0AD05AB4" w14:textId="3606114F" w:rsidR="000B2B5C" w:rsidRDefault="000B2B5C" w:rsidP="000B2B5C">
      <w:pPr>
        <w:numPr>
          <w:ilvl w:val="1"/>
          <w:numId w:val="318"/>
        </w:numPr>
        <w:spacing w:line="300" w:lineRule="auto"/>
        <w:ind w:left="1260"/>
      </w:pPr>
      <w:r w:rsidRPr="00861E15">
        <w:t xml:space="preserve">If the contract </w:t>
      </w:r>
      <w:r>
        <w:t>designates something other than hourly fixed deliveries</w:t>
      </w:r>
      <w:r w:rsidRPr="00861E15">
        <w:t>, the Market Participant must submit an hourly profile that is applicable to an Operating Day, with each hour representing the maximum forecasted load amount in that hour.  These values will serve as a cap on the M</w:t>
      </w:r>
      <w:r w:rsidR="00CC0132">
        <w:t xml:space="preserve">ax </w:t>
      </w:r>
      <w:r w:rsidRPr="00861E15">
        <w:t>ECOL</w:t>
      </w:r>
      <w:r w:rsidR="00CC0132">
        <w:t>, or in the case of an MSR</w:t>
      </w:r>
      <w:r w:rsidR="00D967DD">
        <w:t>,</w:t>
      </w:r>
      <w:r w:rsidR="00CC0132">
        <w:t xml:space="preserve"> the Maximum Discharge Limit,</w:t>
      </w:r>
      <w:r w:rsidRPr="00861E15">
        <w:t xml:space="preserve"> that is submitted as part of the Resource </w:t>
      </w:r>
      <w:r>
        <w:t>O</w:t>
      </w:r>
      <w:r w:rsidRPr="00861E15">
        <w:t>ffer associated with the Type 1A</w:t>
      </w:r>
      <w:r>
        <w:t xml:space="preserve"> Energy Specified Source Resource “Child</w:t>
      </w:r>
      <w:r w:rsidR="000A30E4">
        <w:t>”</w:t>
      </w:r>
      <w:r>
        <w:t xml:space="preserve"> Resource.</w:t>
      </w:r>
    </w:p>
    <w:p w14:paraId="763452E0" w14:textId="21D2C9E9" w:rsidR="000B2B5C" w:rsidRPr="00861E15" w:rsidRDefault="000B2B5C" w:rsidP="000B2B5C">
      <w:pPr>
        <w:numPr>
          <w:ilvl w:val="1"/>
          <w:numId w:val="318"/>
        </w:numPr>
        <w:spacing w:line="300" w:lineRule="auto"/>
        <w:ind w:left="1260"/>
      </w:pPr>
      <w:r>
        <w:t xml:space="preserve">In the event that a Market Participant’s </w:t>
      </w:r>
      <w:r w:rsidRPr="00F35430">
        <w:t xml:space="preserve">agreement to supply </w:t>
      </w:r>
      <w:r>
        <w:t>a</w:t>
      </w:r>
      <w:r w:rsidRPr="00F35430">
        <w:t xml:space="preserve"> GHG Pricing Zone</w:t>
      </w:r>
      <w:r>
        <w:t xml:space="preserve"> is not specific to any one Resource within the Market Participant’s fleet of Resources, then during asset registration that Market Participant will denote the potential maximum contracted value that could be used to satisfy the forecasted load amount in each hour. These values will serve as a cap on the M</w:t>
      </w:r>
      <w:r w:rsidR="00CC0132">
        <w:t xml:space="preserve">ax </w:t>
      </w:r>
      <w:r>
        <w:t>ECOLs</w:t>
      </w:r>
      <w:r w:rsidR="00CC0132">
        <w:t>, or in the case of an MSR</w:t>
      </w:r>
      <w:r w:rsidR="00D967DD">
        <w:t>,</w:t>
      </w:r>
      <w:r w:rsidR="00CC0132">
        <w:t xml:space="preserve"> the Maximum Discharge Limits,</w:t>
      </w:r>
      <w:r>
        <w:t xml:space="preserve"> that are submitted as part of the Resource Offers associated with the Type 1A Energy “Child</w:t>
      </w:r>
      <w:r w:rsidR="000A30E4">
        <w:t>”</w:t>
      </w:r>
      <w:r>
        <w:t xml:space="preserve"> Resources that are associated with each physical “Parent” Resource that is participating in supplying the maximum contracted amount. </w:t>
      </w:r>
    </w:p>
    <w:p w14:paraId="505C5103" w14:textId="2B50846E" w:rsidR="000B2B5C" w:rsidRPr="00861E15" w:rsidRDefault="000B2B5C">
      <w:pPr>
        <w:pStyle w:val="Heading5"/>
      </w:pPr>
      <w:bookmarkStart w:id="7743" w:name="_Ref212560080"/>
      <w:bookmarkStart w:id="7744" w:name="_Toc213772068"/>
      <w:r w:rsidRPr="00861E15">
        <w:t>Type 1B Energy</w:t>
      </w:r>
      <w:r w:rsidRPr="00861E15" w:rsidDel="00493B0D">
        <w:t xml:space="preserve"> </w:t>
      </w:r>
      <w:r w:rsidRPr="00861E15">
        <w:t>Qualifications for Specified Source Resources</w:t>
      </w:r>
      <w:bookmarkEnd w:id="7743"/>
      <w:bookmarkEnd w:id="7744"/>
    </w:p>
    <w:p w14:paraId="009CC0D4" w14:textId="31D900DF" w:rsidR="000B2B5C" w:rsidRPr="00585BD7" w:rsidRDefault="000B2B5C" w:rsidP="00E94CBF">
      <w:pPr>
        <w:spacing w:before="120" w:line="300" w:lineRule="auto"/>
        <w:rPr>
          <w:szCs w:val="24"/>
        </w:rPr>
      </w:pPr>
      <w:r w:rsidRPr="00585BD7">
        <w:t>A Market Participant with a Specified Source Resource that intends to offer Type 1B Energy must provide</w:t>
      </w:r>
      <w:r w:rsidRPr="00E94CBF">
        <w:rPr>
          <w:rStyle w:val="cf01"/>
          <w:rFonts w:ascii="Times New Roman" w:hAnsi="Times New Roman" w:cs="Times New Roman"/>
          <w:sz w:val="24"/>
          <w:szCs w:val="24"/>
        </w:rPr>
        <w:t xml:space="preserve"> notification to the Market Operator that there is an existing agreement between the Market Participant identifying the Specified Source Resource and a Market Participant serving GHG Load within the applicable GHG Pricing Zone. This notification also includes when a previously reported contract has been terminated.</w:t>
      </w:r>
    </w:p>
    <w:p w14:paraId="189E253D" w14:textId="05F6FE92" w:rsidR="000B2B5C" w:rsidRPr="00861E15" w:rsidRDefault="000B2B5C">
      <w:pPr>
        <w:pStyle w:val="Heading5"/>
      </w:pPr>
      <w:bookmarkStart w:id="7745" w:name="_Ref212560199"/>
      <w:bookmarkStart w:id="7746" w:name="_Toc213772069"/>
      <w:r w:rsidRPr="00861E15">
        <w:t>Type 2 Energy</w:t>
      </w:r>
      <w:r w:rsidRPr="00861E15" w:rsidDel="00493B0D">
        <w:t xml:space="preserve"> </w:t>
      </w:r>
      <w:r w:rsidRPr="00861E15">
        <w:t>Qualifications for Specified Source Resources</w:t>
      </w:r>
      <w:bookmarkEnd w:id="7745"/>
      <w:bookmarkEnd w:id="7746"/>
    </w:p>
    <w:p w14:paraId="06074CB0" w14:textId="77777777" w:rsidR="000B2B5C" w:rsidRPr="00861E15" w:rsidRDefault="000B2B5C" w:rsidP="000B2B5C">
      <w:pPr>
        <w:spacing w:line="300" w:lineRule="auto"/>
      </w:pPr>
      <w:r w:rsidRPr="00861E15">
        <w:t>Type 2 Energy is Energy in excess of the Specified Source Resource’s Surplus Threshold. A Market Participant with a Specified Source Resource that intends to offer Type 2 Energy is not required to submit any documentation</w:t>
      </w:r>
      <w:r>
        <w:t xml:space="preserve"> of such Energy at registration.</w:t>
      </w:r>
      <w:r w:rsidRPr="00861E15">
        <w:t xml:space="preserve"> </w:t>
      </w:r>
    </w:p>
    <w:p w14:paraId="6115AB67" w14:textId="398372DC" w:rsidR="000B2B5C" w:rsidRPr="00861E15" w:rsidRDefault="000B2B5C" w:rsidP="00781C61">
      <w:pPr>
        <w:pStyle w:val="Heading3"/>
      </w:pPr>
      <w:bookmarkStart w:id="7747" w:name="_Ref212626788"/>
      <w:bookmarkStart w:id="7748" w:name="_Toc213772070"/>
      <w:r w:rsidRPr="00861E15">
        <w:t>Identification of Load Assets Subject to GHG Pricing Programs</w:t>
      </w:r>
      <w:bookmarkEnd w:id="7747"/>
      <w:bookmarkEnd w:id="7748"/>
    </w:p>
    <w:p w14:paraId="175D7E1A" w14:textId="6D034A2B" w:rsidR="000B2B5C" w:rsidRPr="00861E15" w:rsidRDefault="000B2B5C" w:rsidP="000B2B5C">
      <w:pPr>
        <w:spacing w:before="120" w:line="300" w:lineRule="auto"/>
      </w:pPr>
      <w:r w:rsidRPr="1DA37A45">
        <w:t xml:space="preserve">A Market Participant with registered load assets as described under Section </w:t>
      </w:r>
      <w:r w:rsidR="000D07B8">
        <w:fldChar w:fldCharType="begin"/>
      </w:r>
      <w:r w:rsidR="000D07B8">
        <w:instrText xml:space="preserve"> REF _Ref212626667 \r \h </w:instrText>
      </w:r>
      <w:r w:rsidR="000D07B8">
        <w:fldChar w:fldCharType="separate"/>
      </w:r>
      <w:r w:rsidR="000D07B8">
        <w:t>9.2</w:t>
      </w:r>
      <w:r w:rsidR="000D07B8">
        <w:fldChar w:fldCharType="end"/>
      </w:r>
      <w:r w:rsidRPr="1DA37A45">
        <w:t xml:space="preserve"> must identify which load assets would qualify as GHG Load and are subject to a GHG Pricing Program, and the state or regional regulatory body sponsoring such GHG Pricing Program. </w:t>
      </w:r>
    </w:p>
    <w:p w14:paraId="78BB67FC" w14:textId="085E4285" w:rsidR="000B2B5C" w:rsidRPr="00861E15" w:rsidRDefault="000B2B5C" w:rsidP="00781C61">
      <w:pPr>
        <w:pStyle w:val="Heading3"/>
      </w:pPr>
      <w:bookmarkStart w:id="7749" w:name="_Toc213772071"/>
      <w:r w:rsidRPr="00861E15">
        <w:t>Identification of GHG Pricing Zones</w:t>
      </w:r>
      <w:bookmarkEnd w:id="7749"/>
    </w:p>
    <w:p w14:paraId="489125C2" w14:textId="6DC7A962" w:rsidR="000B2B5C" w:rsidRPr="00861E15" w:rsidRDefault="000B2B5C" w:rsidP="000B2B5C">
      <w:pPr>
        <w:spacing w:before="120" w:line="300" w:lineRule="auto"/>
      </w:pPr>
      <w:r w:rsidRPr="00861E15">
        <w:t xml:space="preserve">A GHG Pricing Zone is defined by the </w:t>
      </w:r>
      <w:r w:rsidR="002D623C">
        <w:t>Pnode</w:t>
      </w:r>
      <w:r w:rsidRPr="00861E15">
        <w:t xml:space="preserve">s of the Resource asset identified under Section </w:t>
      </w:r>
      <w:r w:rsidR="000220E4">
        <w:fldChar w:fldCharType="begin"/>
      </w:r>
      <w:r w:rsidR="000220E4">
        <w:instrText xml:space="preserve"> REF _Ref212626756 \r \h </w:instrText>
      </w:r>
      <w:r w:rsidR="000220E4">
        <w:fldChar w:fldCharType="separate"/>
      </w:r>
      <w:r w:rsidR="000220E4">
        <w:t>9.3.1</w:t>
      </w:r>
      <w:r w:rsidR="000220E4">
        <w:fldChar w:fldCharType="end"/>
      </w:r>
      <w:r w:rsidRPr="00861E15">
        <w:t xml:space="preserve"> and the </w:t>
      </w:r>
      <w:r w:rsidR="002D623C">
        <w:t>Pnode</w:t>
      </w:r>
      <w:r w:rsidRPr="00861E15">
        <w:t>s/A</w:t>
      </w:r>
      <w:r w:rsidR="002D623C">
        <w:t>Pnode</w:t>
      </w:r>
      <w:r w:rsidRPr="00861E15">
        <w:t xml:space="preserve">s of the load assets identified under Section </w:t>
      </w:r>
      <w:r w:rsidR="000220E4">
        <w:fldChar w:fldCharType="begin"/>
      </w:r>
      <w:r w:rsidR="000220E4">
        <w:instrText xml:space="preserve"> REF _Ref212626788 \r \h </w:instrText>
      </w:r>
      <w:r w:rsidR="000220E4">
        <w:fldChar w:fldCharType="separate"/>
      </w:r>
      <w:r w:rsidR="000220E4">
        <w:t>9.3.2</w:t>
      </w:r>
      <w:r w:rsidR="000220E4">
        <w:fldChar w:fldCharType="end"/>
      </w:r>
      <w:r w:rsidRPr="00861E15">
        <w:t>.</w:t>
      </w:r>
    </w:p>
    <w:p w14:paraId="1149845C" w14:textId="77777777" w:rsidR="00BD64CF" w:rsidRPr="00D153CD" w:rsidDel="00E23EB3" w:rsidRDefault="00BD64CF" w:rsidP="00556F5B">
      <w:pPr>
        <w:pStyle w:val="Heading2"/>
      </w:pPr>
      <w:bookmarkStart w:id="7750" w:name="_Toc167202615"/>
      <w:bookmarkStart w:id="7751" w:name="_Toc145062226"/>
      <w:bookmarkStart w:id="7752" w:name="_Toc146118414"/>
      <w:bookmarkStart w:id="7753" w:name="_Ref212619527"/>
      <w:bookmarkStart w:id="7754" w:name="_Ref212619545"/>
      <w:bookmarkStart w:id="7755" w:name="_Toc213772072"/>
      <w:r w:rsidRPr="00D153CD">
        <w:t>Registration of Transmission Assets</w:t>
      </w:r>
      <w:bookmarkStart w:id="7756" w:name="_Toc145061104"/>
      <w:bookmarkStart w:id="7757" w:name="_Toc145064523"/>
      <w:bookmarkStart w:id="7758" w:name="_Toc145069135"/>
      <w:bookmarkStart w:id="7759" w:name="_Toc146629007"/>
      <w:bookmarkStart w:id="7760" w:name="_Toc146630869"/>
      <w:bookmarkStart w:id="7761" w:name="_Toc146632736"/>
      <w:bookmarkStart w:id="7762" w:name="_Toc146634601"/>
      <w:bookmarkStart w:id="7763" w:name="_Toc146635476"/>
      <w:bookmarkStart w:id="7764" w:name="_Toc146794329"/>
      <w:bookmarkStart w:id="7765" w:name="_Toc146796024"/>
      <w:bookmarkStart w:id="7766" w:name="_Toc146797719"/>
      <w:bookmarkStart w:id="7767" w:name="_Toc146799411"/>
      <w:bookmarkStart w:id="7768" w:name="_Toc146802030"/>
      <w:bookmarkStart w:id="7769" w:name="_Toc146804670"/>
      <w:bookmarkStart w:id="7770" w:name="_Toc146806374"/>
      <w:bookmarkStart w:id="7771" w:name="_Toc146808080"/>
      <w:bookmarkStart w:id="7772" w:name="_Toc148706158"/>
      <w:bookmarkStart w:id="7773" w:name="_Toc149559113"/>
      <w:bookmarkStart w:id="7774" w:name="_Toc150786580"/>
      <w:bookmarkStart w:id="7775" w:name="_Toc150856058"/>
      <w:bookmarkStart w:id="7776" w:name="_Toc151993001"/>
      <w:bookmarkStart w:id="7777" w:name="_Toc152336107"/>
      <w:bookmarkStart w:id="7778" w:name="_Toc153272473"/>
      <w:bookmarkStart w:id="7779" w:name="_Toc157502315"/>
      <w:bookmarkStart w:id="7780" w:name="_Toc159233494"/>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p>
    <w:p w14:paraId="4C6771F2" w14:textId="3E3351D0" w:rsidR="00BD64CF" w:rsidRPr="00651761" w:rsidRDefault="00BD64CF" w:rsidP="00695DBA">
      <w:pPr>
        <w:pStyle w:val="Normal91"/>
        <w:spacing w:before="120" w:after="120" w:line="300" w:lineRule="auto"/>
        <w:rPr>
          <w:rFonts w:cs="Times New Roman"/>
        </w:rPr>
      </w:pPr>
      <w:bookmarkStart w:id="7781" w:name="_Toc159233496"/>
      <w:r w:rsidRPr="00651761">
        <w:rPr>
          <w:rFonts w:cs="Times New Roman"/>
        </w:rPr>
        <w:t>As part of the initial Network Model build prior to Markets+ go-live,</w:t>
      </w:r>
      <w:r>
        <w:rPr>
          <w:rFonts w:cs="Times New Roman"/>
        </w:rPr>
        <w:t xml:space="preserve"> throughout routine Markets+ operations, or during Markets+ </w:t>
      </w:r>
      <w:r w:rsidR="00CC0132">
        <w:rPr>
          <w:rFonts w:cs="Times New Roman"/>
        </w:rPr>
        <w:t>e</w:t>
      </w:r>
      <w:r>
        <w:rPr>
          <w:rFonts w:cs="Times New Roman"/>
        </w:rPr>
        <w:t>xpansion,</w:t>
      </w:r>
      <w:r w:rsidRPr="00651761">
        <w:rPr>
          <w:rFonts w:cs="Times New Roman"/>
        </w:rPr>
        <w:t xml:space="preserve"> the Market Operator will require the following transmission asset-related information to be supplied by all Markets+ Transmission Service Providers, Markets+ Transmission Operators, Participating Balancing Authorities</w:t>
      </w:r>
      <w:r>
        <w:rPr>
          <w:rFonts w:cs="Times New Roman"/>
        </w:rPr>
        <w:t>,</w:t>
      </w:r>
      <w:r w:rsidRPr="00651761">
        <w:rPr>
          <w:rFonts w:cs="Times New Roman"/>
        </w:rPr>
        <w:t xml:space="preserve"> and non-Markets+ </w:t>
      </w:r>
      <w:r>
        <w:rPr>
          <w:rFonts w:cs="Times New Roman"/>
        </w:rPr>
        <w:t>T</w:t>
      </w:r>
      <w:r w:rsidRPr="00651761">
        <w:rPr>
          <w:rFonts w:cs="Times New Roman"/>
        </w:rPr>
        <w:t xml:space="preserve">ransmission </w:t>
      </w:r>
      <w:r>
        <w:rPr>
          <w:rFonts w:cs="Times New Roman"/>
        </w:rPr>
        <w:t>S</w:t>
      </w:r>
      <w:r w:rsidRPr="00651761">
        <w:rPr>
          <w:rFonts w:cs="Times New Roman"/>
        </w:rPr>
        <w:t xml:space="preserve">ervice </w:t>
      </w:r>
      <w:r>
        <w:rPr>
          <w:rFonts w:cs="Times New Roman"/>
        </w:rPr>
        <w:t>P</w:t>
      </w:r>
      <w:r w:rsidRPr="00651761">
        <w:rPr>
          <w:rFonts w:cs="Times New Roman"/>
        </w:rPr>
        <w:t xml:space="preserve">roviders and non-Markets+ Balancing Authorities representing transmission opted-in by a Market+ </w:t>
      </w:r>
      <w:r>
        <w:rPr>
          <w:rFonts w:cs="Times New Roman"/>
        </w:rPr>
        <w:t>Transmission</w:t>
      </w:r>
      <w:r w:rsidRPr="00651761">
        <w:rPr>
          <w:rFonts w:cs="Times New Roman"/>
        </w:rPr>
        <w:t xml:space="preserve"> Contributor, as applicable.</w:t>
      </w:r>
      <w:r>
        <w:rPr>
          <w:rFonts w:cs="Times New Roman"/>
        </w:rPr>
        <w:t xml:space="preserve"> To the extent the Participating Balancing Authority is already communicating this information to </w:t>
      </w:r>
      <w:r w:rsidR="00D3628F">
        <w:rPr>
          <w:rFonts w:cs="Times New Roman"/>
        </w:rPr>
        <w:t xml:space="preserve">the Market Operator </w:t>
      </w:r>
      <w:r>
        <w:rPr>
          <w:rFonts w:cs="Times New Roman"/>
        </w:rPr>
        <w:t>via another function, the Market Operator will use that information as appropriate.</w:t>
      </w:r>
      <w:r w:rsidRPr="00651761">
        <w:rPr>
          <w:rFonts w:cs="Times New Roman"/>
        </w:rPr>
        <w:t xml:space="preserve">  After Markets+ go-live, any updates/changes to transmission asset data should be submitted in accordance with</w:t>
      </w:r>
      <w:r>
        <w:rPr>
          <w:rFonts w:cs="Times New Roman"/>
        </w:rPr>
        <w:t xml:space="preserve"> </w:t>
      </w:r>
      <w:r w:rsidRPr="00651761">
        <w:rPr>
          <w:rFonts w:cs="Times New Roman"/>
        </w:rPr>
        <w:t>Section 9.</w:t>
      </w:r>
      <w:r>
        <w:rPr>
          <w:rFonts w:cs="Times New Roman"/>
        </w:rPr>
        <w:t>6</w:t>
      </w:r>
      <w:r w:rsidR="00126B74">
        <w:rPr>
          <w:rFonts w:cs="Times New Roman"/>
        </w:rPr>
        <w:t>.</w:t>
      </w:r>
      <w:r w:rsidR="00B91EEE">
        <w:rPr>
          <w:rFonts w:cs="Times New Roman"/>
        </w:rPr>
        <w:t xml:space="preserve"> </w:t>
      </w:r>
    </w:p>
    <w:p w14:paraId="378B376B" w14:textId="7777777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Transmission system facilities topology including identification of all transmission lines, buses, transformers, reactive and inductive devices, and voltage levels;</w:t>
      </w:r>
    </w:p>
    <w:p w14:paraId="72D9C9ED" w14:textId="7777777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Normal operating conditions for all switches, breakers, and disconnects (Normally Open, Normally Closed);</w:t>
      </w:r>
    </w:p>
    <w:p w14:paraId="282482EF" w14:textId="77777777" w:rsidR="00BD64CF" w:rsidRPr="00651761" w:rsidRDefault="00BD64CF" w:rsidP="00DA3CE7">
      <w:pPr>
        <w:pStyle w:val="Normal91"/>
        <w:numPr>
          <w:ilvl w:val="0"/>
          <w:numId w:val="315"/>
        </w:numPr>
        <w:spacing w:before="120" w:after="120" w:line="300" w:lineRule="auto"/>
        <w:rPr>
          <w:rFonts w:cs="Times New Roman"/>
        </w:rPr>
      </w:pPr>
      <w:r w:rsidRPr="064BEAAD">
        <w:rPr>
          <w:rFonts w:cs="Times New Roman"/>
        </w:rPr>
        <w:t xml:space="preserve">System Operating Limits (SOL) and Interconnection Reliability Operating Limits (IROL) that would impact the modeling of constraints in the Day-Ahead Market clearing, RUC execution, and RTBM execution; </w:t>
      </w:r>
    </w:p>
    <w:p w14:paraId="1BBFCBCA" w14:textId="7777777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 xml:space="preserve">All </w:t>
      </w:r>
      <w:r>
        <w:rPr>
          <w:rFonts w:cs="Times New Roman"/>
        </w:rPr>
        <w:t>Remedial</w:t>
      </w:r>
      <w:r w:rsidRPr="00651761">
        <w:rPr>
          <w:rFonts w:cs="Times New Roman"/>
        </w:rPr>
        <w:t xml:space="preserve"> Action Schemes (RAS) that would impact </w:t>
      </w:r>
      <w:r>
        <w:rPr>
          <w:rFonts w:cs="Times New Roman"/>
        </w:rPr>
        <w:t xml:space="preserve">the </w:t>
      </w:r>
      <w:r w:rsidRPr="00651761">
        <w:rPr>
          <w:rFonts w:cs="Times New Roman"/>
        </w:rPr>
        <w:t>modeling of constraints in the Day-Ahead Market clearing, RUC execution</w:t>
      </w:r>
      <w:r>
        <w:rPr>
          <w:rFonts w:cs="Times New Roman"/>
        </w:rPr>
        <w:t>,</w:t>
      </w:r>
      <w:r w:rsidRPr="00651761">
        <w:rPr>
          <w:rFonts w:cs="Times New Roman"/>
        </w:rPr>
        <w:t xml:space="preserve"> and RTBM execution;</w:t>
      </w:r>
    </w:p>
    <w:p w14:paraId="27F9CA5E" w14:textId="09C8758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 xml:space="preserve">Identification of known Service Flow Constraints, including required </w:t>
      </w:r>
      <w:r>
        <w:rPr>
          <w:rFonts w:cs="Times New Roman"/>
        </w:rPr>
        <w:t>SFCs</w:t>
      </w:r>
      <w:r w:rsidRPr="00651761">
        <w:rPr>
          <w:rFonts w:cs="Times New Roman"/>
        </w:rPr>
        <w:t xml:space="preserve"> related to transmission opted-in by a Markets+ Transmission Contributor</w:t>
      </w:r>
      <w:r w:rsidR="00DB7072">
        <w:rPr>
          <w:rFonts w:cs="Times New Roman"/>
        </w:rPr>
        <w:t xml:space="preserve"> </w:t>
      </w:r>
    </w:p>
    <w:p w14:paraId="34D544A7" w14:textId="7777777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Normal and emergency ratings adjusted for ambient temperatures</w:t>
      </w:r>
      <w:r>
        <w:rPr>
          <w:rFonts w:cs="Times New Roman"/>
        </w:rPr>
        <w:t>, if applicable,</w:t>
      </w:r>
      <w:r w:rsidRPr="00651761">
        <w:rPr>
          <w:rFonts w:cs="Times New Roman"/>
        </w:rPr>
        <w:t xml:space="preserve"> for all transmission facilities for all seasons;</w:t>
      </w:r>
    </w:p>
    <w:p w14:paraId="74B77F99" w14:textId="77777777" w:rsidR="00BD64CF" w:rsidRPr="00651761" w:rsidRDefault="00BD64CF" w:rsidP="00DA3CE7">
      <w:pPr>
        <w:pStyle w:val="Normal91"/>
        <w:numPr>
          <w:ilvl w:val="0"/>
          <w:numId w:val="315"/>
        </w:numPr>
        <w:spacing w:before="120" w:after="120" w:line="300" w:lineRule="auto"/>
        <w:rPr>
          <w:rFonts w:cs="Times New Roman"/>
        </w:rPr>
      </w:pPr>
      <w:r w:rsidRPr="00651761">
        <w:rPr>
          <w:rFonts w:cs="Times New Roman"/>
        </w:rPr>
        <w:t xml:space="preserve">Transformers tap positions and related voltages; </w:t>
      </w:r>
    </w:p>
    <w:p w14:paraId="3EA714FB" w14:textId="77777777" w:rsidR="00BD64CF" w:rsidRDefault="00BD64CF" w:rsidP="00DA3CE7">
      <w:pPr>
        <w:pStyle w:val="Normal91"/>
        <w:numPr>
          <w:ilvl w:val="0"/>
          <w:numId w:val="315"/>
        </w:numPr>
        <w:spacing w:before="120" w:after="120" w:line="300" w:lineRule="auto"/>
        <w:rPr>
          <w:rFonts w:cs="Times New Roman"/>
        </w:rPr>
      </w:pPr>
      <w:r w:rsidRPr="00651761">
        <w:rPr>
          <w:rFonts w:cs="Times New Roman"/>
        </w:rPr>
        <w:t>Transmission line and transformer impedances</w:t>
      </w:r>
      <w:r>
        <w:rPr>
          <w:rFonts w:cs="Times New Roman"/>
        </w:rPr>
        <w:t>; and</w:t>
      </w:r>
    </w:p>
    <w:p w14:paraId="2ADCB987" w14:textId="27C22FB1" w:rsidR="00BD64CF" w:rsidRDefault="00BD64CF" w:rsidP="00DA3CE7">
      <w:pPr>
        <w:pStyle w:val="Normal91"/>
        <w:numPr>
          <w:ilvl w:val="0"/>
          <w:numId w:val="315"/>
        </w:numPr>
        <w:spacing w:before="120" w:after="120" w:line="300" w:lineRule="auto"/>
        <w:rPr>
          <w:rFonts w:cs="Times New Roman"/>
        </w:rPr>
      </w:pPr>
      <w:r>
        <w:rPr>
          <w:rFonts w:cs="Times New Roman"/>
        </w:rPr>
        <w:t xml:space="preserve">Transmission asset ownership percent share for instances associated with more than one MTSP to be used in the allocation of </w:t>
      </w:r>
      <w:r w:rsidR="00834FA2">
        <w:rPr>
          <w:rFonts w:cs="Times New Roman"/>
        </w:rPr>
        <w:t>e</w:t>
      </w:r>
      <w:r>
        <w:rPr>
          <w:rFonts w:cs="Times New Roman"/>
        </w:rPr>
        <w:t xml:space="preserve">xcess Congestion Rent as described in </w:t>
      </w:r>
      <w:r w:rsidR="00444786">
        <w:rPr>
          <w:rFonts w:cs="Times New Roman"/>
        </w:rPr>
        <w:t xml:space="preserve">the Markets+ Settlements </w:t>
      </w:r>
      <w:r w:rsidR="00BA0C4B">
        <w:rPr>
          <w:rFonts w:cs="Times New Roman"/>
        </w:rPr>
        <w:t>Calculation</w:t>
      </w:r>
      <w:r w:rsidR="00444786">
        <w:rPr>
          <w:rFonts w:cs="Times New Roman"/>
        </w:rPr>
        <w:t xml:space="preserve"> Guide</w:t>
      </w:r>
      <w:r>
        <w:rPr>
          <w:rFonts w:cs="Times New Roman"/>
        </w:rPr>
        <w:t>. The Market Operator will verify the total percent shares among the MTSPs sum to 100 percent.</w:t>
      </w:r>
    </w:p>
    <w:p w14:paraId="7F1CD9FD" w14:textId="58B2DD9B" w:rsidR="004D1AAD" w:rsidRDefault="004D1AAD" w:rsidP="00781C61">
      <w:pPr>
        <w:pStyle w:val="Heading3"/>
      </w:pPr>
      <w:r>
        <w:t xml:space="preserve">Market Transfer Interface and </w:t>
      </w:r>
      <w:r w:rsidR="00A619B1">
        <w:t>Market Opt-In Transfer Interface Registration</w:t>
      </w:r>
    </w:p>
    <w:p w14:paraId="6F25092B" w14:textId="481FECCC" w:rsidR="00AF605D" w:rsidRPr="00673267" w:rsidRDefault="00AF605D" w:rsidP="00D22ABE">
      <w:pPr>
        <w:pStyle w:val="Normal91"/>
        <w:spacing w:before="120" w:after="120" w:line="300" w:lineRule="auto"/>
        <w:rPr>
          <w:rFonts w:cs="Times New Roman"/>
        </w:rPr>
      </w:pPr>
      <w:bookmarkStart w:id="7782" w:name="_Toc167202616"/>
      <w:bookmarkStart w:id="7783" w:name="_Toc213772074"/>
      <w:r>
        <w:rPr>
          <w:rFonts w:cs="Times New Roman"/>
        </w:rPr>
        <w:t>Participating Balancing Authorities within Markets+ must register MTIs and MOTIs to represent the designated interfaces between two Participating BAAs where Markets+ interchange from the optimized dispatch will be allocated for scheduling and tagging. MTI and MOTI tag attributes of Normal and Dynamic should be identified at Registration. At least one (1) MTI must be provided at Registration between each adjacent pair of Participating BAs.   Registration of these interfaces should be coordinated between the impacted BAAs. These interfaces must be registered separately as an import for one BAA and an export for the other BAA.  In addition, Participating BAs may optionally define BAA Scheduling Constraints.  These constraints will identify two or more MTIs or MOTIs including all e-Tags associated with MTI and MOTIs  that may be collectively constrained to represent a broader BA to BA interface scheduling constraint, Net Scheduled Interchange adjustment constraint, or other reliability-based constraint.</w:t>
      </w:r>
      <w:r>
        <w:t xml:space="preserve"> </w:t>
      </w:r>
      <w:r>
        <w:rPr>
          <w:rFonts w:cs="Times New Roman"/>
        </w:rPr>
        <w:t>Following such registration, the Coordinated Interchange Scheduling Limits for both MTI and BAA Scheduling Constraints will be conveyed via the Market User Interface by each BA as inputs to the market.  See Sections (4.3.1.1, 4.3.</w:t>
      </w:r>
      <w:r w:rsidR="00753249">
        <w:rPr>
          <w:rFonts w:cs="Times New Roman"/>
        </w:rPr>
        <w:t>2.1</w:t>
      </w:r>
      <w:r>
        <w:rPr>
          <w:rFonts w:cs="Times New Roman"/>
        </w:rPr>
        <w:t xml:space="preserve">, 4.4.1.1 and 4.4.1.5).  </w:t>
      </w:r>
    </w:p>
    <w:p w14:paraId="7ADD975A" w14:textId="77777777" w:rsidR="00AF605D" w:rsidRDefault="00AF605D" w:rsidP="00D22ABE">
      <w:pPr>
        <w:pStyle w:val="Normal91"/>
        <w:numPr>
          <w:ilvl w:val="0"/>
          <w:numId w:val="394"/>
        </w:numPr>
        <w:spacing w:before="120" w:after="120" w:line="300" w:lineRule="auto"/>
        <w:ind w:left="360"/>
        <w:rPr>
          <w:rFonts w:cs="Times New Roman"/>
        </w:rPr>
      </w:pPr>
      <w:r>
        <w:rPr>
          <w:rFonts w:cs="Times New Roman"/>
        </w:rPr>
        <w:t>MTI information must include the registering BAA, exporting BA, importing BA, common scheduling point (POR/POD) between the BAs, direction relative to the registering BA, and priority of the schedule.  The Market Operator wi</w:t>
      </w:r>
      <w:r w:rsidRPr="007120D5">
        <w:t>ll</w:t>
      </w:r>
      <w:r>
        <w:t xml:space="preserve"> validate a</w:t>
      </w:r>
      <w:r w:rsidRPr="007120D5">
        <w:t>ll</w:t>
      </w:r>
      <w:r>
        <w:t xml:space="preserve"> components match from each BAA and pair up the Export and Import MTIs in the commercia</w:t>
      </w:r>
      <w:r w:rsidRPr="007120D5">
        <w:t>l</w:t>
      </w:r>
      <w:r>
        <w:t xml:space="preserve"> mode</w:t>
      </w:r>
      <w:r w:rsidRPr="007120D5">
        <w:t>l</w:t>
      </w:r>
      <w:r>
        <w:t>.</w:t>
      </w:r>
    </w:p>
    <w:p w14:paraId="220444B8" w14:textId="77777777" w:rsidR="00AF605D" w:rsidRDefault="00AF605D" w:rsidP="00D22ABE">
      <w:pPr>
        <w:pStyle w:val="Normal91"/>
        <w:numPr>
          <w:ilvl w:val="0"/>
          <w:numId w:val="394"/>
        </w:numPr>
        <w:spacing w:before="120" w:after="120" w:line="300" w:lineRule="auto"/>
        <w:ind w:left="360"/>
        <w:rPr>
          <w:rFonts w:cs="Times New Roman"/>
        </w:rPr>
      </w:pPr>
      <w:r>
        <w:rPr>
          <w:rFonts w:cs="Times New Roman"/>
        </w:rPr>
        <w:t xml:space="preserve">MOTI information must include the registering BAA, exporting BAA, importing BAA, scheduling point (POD) of the exporting BAA, scheduling point (POR) of the importing BA and direction relative to the registering BAA. </w:t>
      </w:r>
      <w:r w:rsidRPr="008E0DD1">
        <w:rPr>
          <w:rFonts w:cs="Times New Roman"/>
        </w:rPr>
        <w:t xml:space="preserve"> </w:t>
      </w:r>
      <w:r>
        <w:rPr>
          <w:rFonts w:cs="Times New Roman"/>
        </w:rPr>
        <w:t>The Market Operator wi</w:t>
      </w:r>
      <w:r w:rsidRPr="007120D5">
        <w:t>ll</w:t>
      </w:r>
      <w:r>
        <w:t xml:space="preserve"> validate that a</w:t>
      </w:r>
      <w:r w:rsidRPr="007120D5">
        <w:t>ll</w:t>
      </w:r>
      <w:r>
        <w:t xml:space="preserve"> components match from each BAA and pair up the Export and Import MOTIs in the commercia</w:t>
      </w:r>
      <w:r w:rsidRPr="007120D5">
        <w:t>l</w:t>
      </w:r>
      <w:r>
        <w:t xml:space="preserve"> mode</w:t>
      </w:r>
      <w:r w:rsidRPr="007120D5">
        <w:t>l</w:t>
      </w:r>
      <w:r>
        <w:t>.</w:t>
      </w:r>
    </w:p>
    <w:p w14:paraId="18CD0569" w14:textId="77777777" w:rsidR="00AF605D" w:rsidRDefault="00AF605D" w:rsidP="00D22ABE">
      <w:pPr>
        <w:pStyle w:val="Normal91"/>
        <w:numPr>
          <w:ilvl w:val="0"/>
          <w:numId w:val="394"/>
        </w:numPr>
        <w:spacing w:before="120" w:after="120" w:line="300" w:lineRule="auto"/>
        <w:ind w:left="360"/>
        <w:rPr>
          <w:rFonts w:cs="Times New Roman"/>
        </w:rPr>
      </w:pPr>
      <w:r>
        <w:rPr>
          <w:rFonts w:cs="Times New Roman"/>
        </w:rPr>
        <w:t>In order to distinguish between two parallel paths between the two Participating BAAs at those designated scheduling points, a MOTI_ID field will also be determined at registration.  This will be supplied by the Market Operator and will default to 1 if there is only a single path.</w:t>
      </w:r>
    </w:p>
    <w:p w14:paraId="0C555A53" w14:textId="77777777" w:rsidR="00AF605D" w:rsidRDefault="00AF605D" w:rsidP="00D22ABE">
      <w:pPr>
        <w:pStyle w:val="Normal91"/>
        <w:numPr>
          <w:ilvl w:val="0"/>
          <w:numId w:val="394"/>
        </w:numPr>
        <w:spacing w:before="120" w:after="120" w:line="300" w:lineRule="auto"/>
        <w:ind w:left="360"/>
        <w:rPr>
          <w:rFonts w:cs="Times New Roman"/>
        </w:rPr>
      </w:pPr>
      <w:r>
        <w:rPr>
          <w:rFonts w:cs="Times New Roman"/>
        </w:rPr>
        <w:t>For each MOTI, all transmission service opted-in on external TSPs must also be provided.  This service must complete a valid transmission path between the two Participating BAAs.  The Priority of the MOTI will be derived by the Market Operator from the lowest priority of service of any segment used to define the path.  If the MOTI contains opt-in Transmission service across a DC line, the DC line must also be specified.</w:t>
      </w:r>
    </w:p>
    <w:p w14:paraId="4176D913" w14:textId="77777777" w:rsidR="00AF605D" w:rsidRPr="00673267" w:rsidRDefault="00AF605D" w:rsidP="00D22ABE">
      <w:pPr>
        <w:pStyle w:val="Normal91"/>
        <w:numPr>
          <w:ilvl w:val="0"/>
          <w:numId w:val="394"/>
        </w:numPr>
        <w:spacing w:before="120" w:after="120" w:line="300" w:lineRule="auto"/>
        <w:ind w:left="360"/>
        <w:rPr>
          <w:rFonts w:cs="Times New Roman"/>
        </w:rPr>
      </w:pPr>
      <w:r>
        <w:rPr>
          <w:rFonts w:cs="Times New Roman"/>
        </w:rPr>
        <w:t xml:space="preserve">BAA Scheduling Constraints must provide the name of the constraint and the list of all MTIs and MOTIs that will be assessed on a net basis for the constraint.  The MTIs and MOTIs may be both imports and exports combined.   </w:t>
      </w:r>
    </w:p>
    <w:p w14:paraId="7D308CC5" w14:textId="77777777" w:rsidR="00BD64CF" w:rsidRPr="00D25391" w:rsidRDefault="00BD64CF" w:rsidP="00556F5B">
      <w:pPr>
        <w:pStyle w:val="Heading2"/>
      </w:pPr>
      <w:r>
        <w:t>Registration of Meter Agent</w:t>
      </w:r>
      <w:bookmarkEnd w:id="7692"/>
      <w:bookmarkEnd w:id="7719"/>
      <w:bookmarkEnd w:id="7720"/>
      <w:bookmarkEnd w:id="7721"/>
      <w:bookmarkEnd w:id="7722"/>
      <w:bookmarkEnd w:id="7723"/>
      <w:bookmarkEnd w:id="7781"/>
      <w:bookmarkEnd w:id="7782"/>
      <w:bookmarkEnd w:id="7783"/>
    </w:p>
    <w:p w14:paraId="4A954EBD" w14:textId="77777777" w:rsidR="00BD64CF" w:rsidRPr="00D25391" w:rsidRDefault="00BD64CF" w:rsidP="00BD64CF">
      <w:pPr>
        <w:spacing w:line="300" w:lineRule="auto"/>
        <w:rPr>
          <w:szCs w:val="24"/>
        </w:rPr>
      </w:pPr>
      <w:r w:rsidRPr="00D25391">
        <w:rPr>
          <w:szCs w:val="24"/>
        </w:rPr>
        <w:t xml:space="preserve">The Market Participant </w:t>
      </w:r>
      <w:r>
        <w:rPr>
          <w:szCs w:val="24"/>
        </w:rPr>
        <w:t>must</w:t>
      </w:r>
      <w:r w:rsidRPr="00D25391">
        <w:rPr>
          <w:szCs w:val="24"/>
        </w:rPr>
        <w:t xml:space="preserve"> designate a Meter Agent </w:t>
      </w:r>
      <w:r w:rsidRPr="00556598">
        <w:rPr>
          <w:szCs w:val="24"/>
        </w:rPr>
        <w:t xml:space="preserve">per the guidelines documented in Section </w:t>
      </w:r>
      <w:r w:rsidRPr="00193A60">
        <w:rPr>
          <w:szCs w:val="24"/>
        </w:rPr>
        <w:t>B</w:t>
      </w:r>
      <w:r w:rsidRPr="00556598">
        <w:rPr>
          <w:szCs w:val="24"/>
        </w:rPr>
        <w:t xml:space="preserve">.4.2 of the Market Protocols and Attachment </w:t>
      </w:r>
      <w:r w:rsidRPr="00193A60">
        <w:rPr>
          <w:szCs w:val="24"/>
        </w:rPr>
        <w:t>G</w:t>
      </w:r>
      <w:r w:rsidRPr="00556598">
        <w:rPr>
          <w:szCs w:val="24"/>
        </w:rPr>
        <w:t xml:space="preserve"> of the </w:t>
      </w:r>
      <w:r w:rsidRPr="00193A60">
        <w:rPr>
          <w:szCs w:val="24"/>
        </w:rPr>
        <w:t>Markets+ Tariff</w:t>
      </w:r>
      <w:r w:rsidRPr="00556598">
        <w:rPr>
          <w:szCs w:val="24"/>
        </w:rPr>
        <w:t>.</w:t>
      </w:r>
      <w:r w:rsidRPr="00D25391">
        <w:rPr>
          <w:szCs w:val="24"/>
        </w:rPr>
        <w:t xml:space="preserve">  All Meter Agents providing Meter Data under Markets+ Tariff must register with </w:t>
      </w:r>
      <w:r>
        <w:rPr>
          <w:szCs w:val="24"/>
        </w:rPr>
        <w:t>the Market Operator</w:t>
      </w:r>
      <w:r w:rsidRPr="00D25391">
        <w:rPr>
          <w:szCs w:val="24"/>
        </w:rPr>
        <w:t xml:space="preserve"> via </w:t>
      </w:r>
      <w:r>
        <w:rPr>
          <w:szCs w:val="24"/>
        </w:rPr>
        <w:t>the registration process</w:t>
      </w:r>
      <w:r w:rsidRPr="00D25391">
        <w:rPr>
          <w:szCs w:val="24"/>
        </w:rPr>
        <w:t xml:space="preserve">.  To become registered, a Meter Agent must be able to demonstrate to </w:t>
      </w:r>
      <w:r>
        <w:rPr>
          <w:szCs w:val="24"/>
        </w:rPr>
        <w:t>the Market Operator</w:t>
      </w:r>
      <w:r w:rsidRPr="00D25391">
        <w:rPr>
          <w:szCs w:val="24"/>
        </w:rPr>
        <w:t xml:space="preserve"> that it is capable of performing the functions as described herein.  Meter Data will be provided with the content and format prescribed in these protocols.  The Market Participant is responsible for ensuring that </w:t>
      </w:r>
      <w:r>
        <w:rPr>
          <w:szCs w:val="24"/>
        </w:rPr>
        <w:t>the Market Operator</w:t>
      </w:r>
      <w:r w:rsidRPr="00D25391">
        <w:rPr>
          <w:szCs w:val="24"/>
        </w:rPr>
        <w:t xml:space="preserve"> receives Meter Data Submittal Location data from the Meter Agent in a suitable electronic format.</w:t>
      </w:r>
    </w:p>
    <w:p w14:paraId="5CFA7529" w14:textId="77777777" w:rsidR="00BD64CF" w:rsidRPr="00D25391" w:rsidRDefault="00BD64CF" w:rsidP="00556F5B">
      <w:pPr>
        <w:pStyle w:val="Heading2"/>
      </w:pPr>
      <w:bookmarkStart w:id="7784" w:name="_Toc263235189"/>
      <w:bookmarkStart w:id="7785" w:name="_Toc263235833"/>
      <w:bookmarkStart w:id="7786" w:name="_Toc263429581"/>
      <w:bookmarkStart w:id="7787" w:name="_Toc263795624"/>
      <w:bookmarkStart w:id="7788" w:name="_Toc266869798"/>
      <w:bookmarkStart w:id="7789" w:name="_Ref349716467"/>
      <w:bookmarkStart w:id="7790" w:name="_Ref350419138"/>
      <w:bookmarkStart w:id="7791" w:name="_Ref372285616"/>
      <w:bookmarkStart w:id="7792" w:name="_Ref372285617"/>
      <w:bookmarkStart w:id="7793" w:name="_Ref372285619"/>
      <w:bookmarkStart w:id="7794" w:name="_Ref372285620"/>
      <w:bookmarkStart w:id="7795" w:name="_Toc159233497"/>
      <w:bookmarkStart w:id="7796" w:name="_Toc167202617"/>
      <w:bookmarkStart w:id="7797" w:name="_Ref212558205"/>
      <w:bookmarkStart w:id="7798" w:name="_Ref212620605"/>
      <w:bookmarkStart w:id="7799" w:name="_Ref212620623"/>
      <w:bookmarkStart w:id="7800" w:name="_Ref212625985"/>
      <w:bookmarkStart w:id="7801" w:name="_Toc213772075"/>
      <w:r>
        <w:t>Network and Commercial Model Updates</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p w14:paraId="40205F70" w14:textId="41FF977D" w:rsidR="006012DF" w:rsidRPr="00C709BD" w:rsidRDefault="006012DF" w:rsidP="006012DF">
      <w:pPr>
        <w:spacing w:line="300" w:lineRule="auto"/>
        <w:rPr>
          <w:szCs w:val="24"/>
        </w:rPr>
      </w:pPr>
      <w:r w:rsidRPr="00C709BD">
        <w:rPr>
          <w:szCs w:val="24"/>
        </w:rPr>
        <w:t>Exhibit 9-</w:t>
      </w:r>
      <w:r w:rsidR="00834FA2">
        <w:rPr>
          <w:szCs w:val="24"/>
        </w:rPr>
        <w:t>8</w:t>
      </w:r>
      <w:r w:rsidRPr="00C709BD">
        <w:rPr>
          <w:szCs w:val="24"/>
        </w:rPr>
        <w:t>, Model Update Implementation Timeline, illustrates when model changes and new Market Participant on-boarding registrations are implemented.  Detailed model update timing requirements for new market data registration and changes to existing market data are included in Appendix C</w:t>
      </w:r>
      <w:r w:rsidR="00834FA2">
        <w:rPr>
          <w:szCs w:val="24"/>
        </w:rPr>
        <w:t>.</w:t>
      </w:r>
    </w:p>
    <w:p w14:paraId="34FA2E25" w14:textId="05637D97" w:rsidR="00BD64CF" w:rsidRPr="00D25391" w:rsidRDefault="00BD64CF" w:rsidP="00BD64CF">
      <w:pPr>
        <w:spacing w:line="300" w:lineRule="auto"/>
        <w:rPr>
          <w:szCs w:val="24"/>
        </w:rPr>
      </w:pPr>
      <w:r w:rsidRPr="00D25391">
        <w:rPr>
          <w:szCs w:val="24"/>
        </w:rPr>
        <w:t>The "</w:t>
      </w:r>
      <w:r>
        <w:rPr>
          <w:szCs w:val="24"/>
        </w:rPr>
        <w:t>U</w:t>
      </w:r>
      <w:r w:rsidRPr="00D25391">
        <w:rPr>
          <w:szCs w:val="24"/>
        </w:rPr>
        <w:t xml:space="preserve">pdate </w:t>
      </w:r>
      <w:r>
        <w:rPr>
          <w:szCs w:val="24"/>
        </w:rPr>
        <w:t>D</w:t>
      </w:r>
      <w:r w:rsidRPr="00D25391">
        <w:rPr>
          <w:szCs w:val="24"/>
        </w:rPr>
        <w:t xml:space="preserve">uration", as detailed in </w:t>
      </w:r>
      <w:r w:rsidRPr="00556598">
        <w:rPr>
          <w:szCs w:val="24"/>
        </w:rPr>
        <w:t xml:space="preserve">Appendix </w:t>
      </w:r>
      <w:r w:rsidRPr="000B385C">
        <w:rPr>
          <w:szCs w:val="24"/>
        </w:rPr>
        <w:t>C</w:t>
      </w:r>
      <w:r w:rsidRPr="00556598">
        <w:rPr>
          <w:szCs w:val="24"/>
        </w:rPr>
        <w:t>,</w:t>
      </w:r>
      <w:r w:rsidRPr="00D25391">
        <w:rPr>
          <w:szCs w:val="24"/>
        </w:rPr>
        <w:t xml:space="preserve"> starts when the completed registration documentation is submitted, and all required technical information is received by </w:t>
      </w:r>
      <w:r>
        <w:rPr>
          <w:szCs w:val="24"/>
        </w:rPr>
        <w:t>the Market Operator</w:t>
      </w:r>
      <w:r w:rsidRPr="00D25391">
        <w:rPr>
          <w:szCs w:val="24"/>
        </w:rPr>
        <w:t xml:space="preserve"> and ends when the change is fully implemented in all affected </w:t>
      </w:r>
      <w:r>
        <w:rPr>
          <w:szCs w:val="24"/>
        </w:rPr>
        <w:t>m</w:t>
      </w:r>
      <w:r w:rsidRPr="00D25391">
        <w:rPr>
          <w:szCs w:val="24"/>
        </w:rPr>
        <w:t xml:space="preserve">odels, systems, </w:t>
      </w:r>
      <w:r w:rsidRPr="00D25391" w:rsidDel="0046151A">
        <w:rPr>
          <w:szCs w:val="24"/>
        </w:rPr>
        <w:t>and/or</w:t>
      </w:r>
      <w:r w:rsidRPr="00D25391">
        <w:rPr>
          <w:szCs w:val="24"/>
        </w:rPr>
        <w:t xml:space="preserve"> databases such that the change is effective in the Production (PROD) environment. </w:t>
      </w:r>
      <w:r w:rsidR="006012DF" w:rsidRPr="00C709BD">
        <w:rPr>
          <w:szCs w:val="24"/>
        </w:rPr>
        <w:t xml:space="preserve">Registration </w:t>
      </w:r>
      <w:r w:rsidRPr="00D25391">
        <w:rPr>
          <w:szCs w:val="24"/>
        </w:rPr>
        <w:t xml:space="preserve">requests submitted with incomplete documentation may be rejected and scheduled for implementation during the appropriate </w:t>
      </w:r>
      <w:r>
        <w:rPr>
          <w:szCs w:val="24"/>
        </w:rPr>
        <w:t>m</w:t>
      </w:r>
      <w:r w:rsidRPr="00D25391">
        <w:rPr>
          <w:szCs w:val="24"/>
        </w:rPr>
        <w:t xml:space="preserve">odel </w:t>
      </w:r>
      <w:r>
        <w:rPr>
          <w:szCs w:val="24"/>
        </w:rPr>
        <w:t>u</w:t>
      </w:r>
      <w:r w:rsidRPr="00D25391">
        <w:rPr>
          <w:szCs w:val="24"/>
        </w:rPr>
        <w:t xml:space="preserve">pdate after all completed documentation is received and approved by </w:t>
      </w:r>
      <w:r>
        <w:rPr>
          <w:szCs w:val="24"/>
        </w:rPr>
        <w:t>the Market Operator</w:t>
      </w:r>
      <w:r w:rsidRPr="00D25391">
        <w:rPr>
          <w:szCs w:val="24"/>
        </w:rPr>
        <w:t>.  Changes having a</w:t>
      </w:r>
      <w:r w:rsidR="00834FA2">
        <w:rPr>
          <w:szCs w:val="24"/>
        </w:rPr>
        <w:t>n</w:t>
      </w:r>
      <w:r w:rsidRPr="00D25391">
        <w:rPr>
          <w:szCs w:val="24"/>
        </w:rPr>
        <w:t xml:space="preserve"> </w:t>
      </w:r>
      <w:r>
        <w:rPr>
          <w:szCs w:val="24"/>
        </w:rPr>
        <w:t>u</w:t>
      </w:r>
      <w:r w:rsidRPr="00D25391">
        <w:rPr>
          <w:szCs w:val="24"/>
        </w:rPr>
        <w:t xml:space="preserve">pdate </w:t>
      </w:r>
      <w:r>
        <w:rPr>
          <w:szCs w:val="24"/>
        </w:rPr>
        <w:t>d</w:t>
      </w:r>
      <w:r w:rsidRPr="00D25391">
        <w:rPr>
          <w:szCs w:val="24"/>
        </w:rPr>
        <w:t xml:space="preserve">uration of less than thirty (30) </w:t>
      </w:r>
      <w:r>
        <w:rPr>
          <w:szCs w:val="24"/>
        </w:rPr>
        <w:t>Calendar D</w:t>
      </w:r>
      <w:r w:rsidRPr="00D25391">
        <w:rPr>
          <w:szCs w:val="24"/>
        </w:rPr>
        <w:t xml:space="preserve">ays may be implemented incrementally in advance of the next scheduled </w:t>
      </w:r>
      <w:r>
        <w:rPr>
          <w:szCs w:val="24"/>
        </w:rPr>
        <w:t>m</w:t>
      </w:r>
      <w:r w:rsidRPr="00D25391">
        <w:rPr>
          <w:szCs w:val="24"/>
        </w:rPr>
        <w:t xml:space="preserve">odel </w:t>
      </w:r>
      <w:r>
        <w:rPr>
          <w:szCs w:val="24"/>
        </w:rPr>
        <w:t>u</w:t>
      </w:r>
      <w:r w:rsidRPr="00D25391">
        <w:rPr>
          <w:szCs w:val="24"/>
        </w:rPr>
        <w:t xml:space="preserve">pdate as outlined </w:t>
      </w:r>
      <w:r w:rsidRPr="00556598">
        <w:rPr>
          <w:szCs w:val="24"/>
        </w:rPr>
        <w:t xml:space="preserve">in Appendix </w:t>
      </w:r>
      <w:r w:rsidRPr="000B385C">
        <w:rPr>
          <w:szCs w:val="24"/>
        </w:rPr>
        <w:t>C</w:t>
      </w:r>
      <w:r w:rsidRPr="00D25391">
        <w:rPr>
          <w:szCs w:val="24"/>
        </w:rPr>
        <w:t xml:space="preserve">.  </w:t>
      </w:r>
    </w:p>
    <w:p w14:paraId="7CC90ED7" w14:textId="54D5C1E7" w:rsidR="00BD64CF" w:rsidRPr="00D25391" w:rsidRDefault="00BD64CF" w:rsidP="00BD64CF">
      <w:pPr>
        <w:spacing w:line="300" w:lineRule="auto"/>
        <w:rPr>
          <w:szCs w:val="24"/>
        </w:rPr>
      </w:pPr>
      <w:r w:rsidRPr="00D25391">
        <w:rPr>
          <w:szCs w:val="24"/>
        </w:rPr>
        <w:t xml:space="preserve">Model changes will be effective on the 1st day of the applicable month. The changes will be available at least seven (7) </w:t>
      </w:r>
      <w:r>
        <w:rPr>
          <w:szCs w:val="24"/>
        </w:rPr>
        <w:t>Calendar D</w:t>
      </w:r>
      <w:r w:rsidRPr="00D25391">
        <w:rPr>
          <w:szCs w:val="24"/>
        </w:rPr>
        <w:t>ays prior to the effective date to allow participants to submit necessary market data as applicable in preparation for the effective date.  Requests for a new Market Participant without physical assets must be received four (4) months in advance of the effective date desired.  Requests for a new Market Participa</w:t>
      </w:r>
      <w:r w:rsidR="00834FA2">
        <w:rPr>
          <w:szCs w:val="24"/>
        </w:rPr>
        <w:t>nt</w:t>
      </w:r>
      <w:r w:rsidRPr="00D25391">
        <w:rPr>
          <w:szCs w:val="24"/>
        </w:rPr>
        <w:t xml:space="preserve"> with physical assets must be received six (6) months in advance of the effective date desired.  </w:t>
      </w:r>
    </w:p>
    <w:p w14:paraId="484B404C" w14:textId="77777777" w:rsidR="00BD64CF" w:rsidRPr="00D25391" w:rsidRDefault="00BD64CF" w:rsidP="00BD64CF">
      <w:pPr>
        <w:spacing w:line="300" w:lineRule="auto"/>
        <w:rPr>
          <w:szCs w:val="24"/>
        </w:rPr>
      </w:pPr>
      <w:r>
        <w:rPr>
          <w:szCs w:val="24"/>
        </w:rPr>
        <w:t>The Market Operator</w:t>
      </w:r>
      <w:r w:rsidRPr="00D25391">
        <w:rPr>
          <w:szCs w:val="24"/>
        </w:rPr>
        <w:t xml:space="preserve"> will work to implement each </w:t>
      </w:r>
      <w:r>
        <w:rPr>
          <w:szCs w:val="24"/>
        </w:rPr>
        <w:t>m</w:t>
      </w:r>
      <w:r w:rsidRPr="00D25391">
        <w:rPr>
          <w:szCs w:val="24"/>
        </w:rPr>
        <w:t xml:space="preserve">odel </w:t>
      </w:r>
      <w:r>
        <w:rPr>
          <w:szCs w:val="24"/>
        </w:rPr>
        <w:t>u</w:t>
      </w:r>
      <w:r w:rsidRPr="00D25391">
        <w:rPr>
          <w:szCs w:val="24"/>
        </w:rPr>
        <w:t>pdate as soon as possible and ensure the updates are implemented in a period that is no later/longer than the applicable indicated update duration, unless otherwise noted.</w:t>
      </w:r>
    </w:p>
    <w:p w14:paraId="09EE768F" w14:textId="77777777" w:rsidR="00BD64CF" w:rsidRPr="00D25391" w:rsidRDefault="00BD64CF" w:rsidP="00A817DB">
      <w:pPr>
        <w:spacing w:before="120" w:line="300" w:lineRule="auto"/>
        <w:jc w:val="center"/>
        <w:rPr>
          <w:b/>
          <w:szCs w:val="24"/>
        </w:rPr>
      </w:pPr>
      <w:bookmarkStart w:id="7802" w:name="_Toc213772436"/>
      <w:r w:rsidRPr="00D25391">
        <w:rPr>
          <w:b/>
          <w:szCs w:val="24"/>
        </w:rPr>
        <w:t xml:space="preserve">Exhibit </w:t>
      </w:r>
      <w:r w:rsidR="00A817DB" w:rsidRPr="004046DB">
        <w:rPr>
          <w:b/>
          <w:szCs w:val="24"/>
        </w:rPr>
        <w:fldChar w:fldCharType="begin"/>
      </w:r>
      <w:r w:rsidR="00A817DB" w:rsidRPr="004046DB">
        <w:rPr>
          <w:b/>
          <w:szCs w:val="24"/>
        </w:rPr>
        <w:instrText xml:space="preserve"> STYLEREF 1 \s </w:instrText>
      </w:r>
      <w:r w:rsidR="00A817DB" w:rsidRPr="004046DB">
        <w:rPr>
          <w:b/>
          <w:szCs w:val="24"/>
        </w:rPr>
        <w:fldChar w:fldCharType="separate"/>
      </w:r>
      <w:r w:rsidR="00A817DB">
        <w:rPr>
          <w:b/>
          <w:noProof/>
          <w:szCs w:val="24"/>
        </w:rPr>
        <w:t>9</w:t>
      </w:r>
      <w:r w:rsidR="00A817DB" w:rsidRPr="004046DB">
        <w:rPr>
          <w:b/>
          <w:szCs w:val="24"/>
        </w:rPr>
        <w:fldChar w:fldCharType="end"/>
      </w:r>
      <w:r w:rsidR="00A817DB" w:rsidRPr="004046DB">
        <w:rPr>
          <w:b/>
          <w:szCs w:val="24"/>
        </w:rPr>
        <w:noBreakHyphen/>
      </w:r>
      <w:r w:rsidR="00A817DB" w:rsidRPr="004046DB">
        <w:rPr>
          <w:b/>
          <w:szCs w:val="24"/>
        </w:rPr>
        <w:fldChar w:fldCharType="begin"/>
      </w:r>
      <w:r w:rsidR="00A817DB" w:rsidRPr="004046DB">
        <w:rPr>
          <w:b/>
          <w:szCs w:val="24"/>
        </w:rPr>
        <w:instrText xml:space="preserve"> SEQ Exhibit \* ARABIC \s 1 </w:instrText>
      </w:r>
      <w:r w:rsidR="00A817DB" w:rsidRPr="004046DB">
        <w:rPr>
          <w:b/>
          <w:szCs w:val="24"/>
        </w:rPr>
        <w:fldChar w:fldCharType="separate"/>
      </w:r>
      <w:r w:rsidR="00A817DB">
        <w:rPr>
          <w:b/>
          <w:noProof/>
          <w:szCs w:val="24"/>
        </w:rPr>
        <w:t>8</w:t>
      </w:r>
      <w:r w:rsidR="00A817DB" w:rsidRPr="004046DB">
        <w:rPr>
          <w:b/>
          <w:szCs w:val="24"/>
        </w:rPr>
        <w:fldChar w:fldCharType="end"/>
      </w:r>
      <w:r w:rsidRPr="00D25391">
        <w:rPr>
          <w:b/>
          <w:szCs w:val="24"/>
        </w:rPr>
        <w:t>: Model Update Implementation Timeline</w:t>
      </w:r>
      <w:bookmarkEnd w:id="7802"/>
    </w:p>
    <w:p w14:paraId="1C47025A" w14:textId="77777777" w:rsidR="00BD64CF" w:rsidRPr="00D25391" w:rsidRDefault="00BD64CF" w:rsidP="00BD64CF">
      <w:pPr>
        <w:spacing w:after="0"/>
        <w:rPr>
          <w:b/>
          <w:szCs w:val="24"/>
        </w:rPr>
      </w:pPr>
    </w:p>
    <w:tbl>
      <w:tblPr>
        <w:tblW w:w="4231" w:type="pct"/>
        <w:jc w:val="center"/>
        <w:tblLayout w:type="fixed"/>
        <w:tblLook w:val="0000" w:firstRow="0" w:lastRow="0" w:firstColumn="0" w:lastColumn="0" w:noHBand="0" w:noVBand="0"/>
      </w:tblPr>
      <w:tblGrid>
        <w:gridCol w:w="1705"/>
        <w:gridCol w:w="1247"/>
        <w:gridCol w:w="1722"/>
        <w:gridCol w:w="1619"/>
        <w:gridCol w:w="1619"/>
      </w:tblGrid>
      <w:tr w:rsidR="006012DF" w:rsidRPr="00C709BD" w14:paraId="5C5E19AD" w14:textId="77777777">
        <w:trPr>
          <w:cantSplit/>
          <w:trHeight w:val="946"/>
          <w:tblHeader/>
          <w:jc w:val="center"/>
        </w:trPr>
        <w:tc>
          <w:tcPr>
            <w:tcW w:w="1077" w:type="pct"/>
            <w:tcBorders>
              <w:top w:val="single" w:sz="4" w:space="0" w:color="auto"/>
              <w:left w:val="single" w:sz="4" w:space="0" w:color="auto"/>
              <w:bottom w:val="single" w:sz="4" w:space="0" w:color="auto"/>
              <w:right w:val="single" w:sz="4" w:space="0" w:color="auto"/>
            </w:tcBorders>
            <w:shd w:val="clear" w:color="auto" w:fill="E6E6E6"/>
            <w:vAlign w:val="center"/>
          </w:tcPr>
          <w:p w14:paraId="6B31E539" w14:textId="77777777" w:rsidR="006012DF" w:rsidRPr="00C709BD" w:rsidRDefault="006012DF">
            <w:pPr>
              <w:jc w:val="center"/>
              <w:rPr>
                <w:b/>
                <w:bCs/>
                <w:color w:val="000000"/>
                <w:szCs w:val="24"/>
              </w:rPr>
            </w:pPr>
            <w:r w:rsidRPr="00C709BD">
              <w:rPr>
                <w:b/>
                <w:bCs/>
                <w:color w:val="000000"/>
                <w:szCs w:val="24"/>
              </w:rPr>
              <w:t xml:space="preserve">Model Upload Production </w:t>
            </w:r>
            <w:r w:rsidRPr="00C709BD">
              <w:rPr>
                <w:b/>
                <w:bCs/>
                <w:color w:val="000000"/>
                <w:szCs w:val="24"/>
              </w:rPr>
              <w:br/>
              <w:t>Effective Date</w:t>
            </w:r>
          </w:p>
        </w:tc>
        <w:tc>
          <w:tcPr>
            <w:tcW w:w="788" w:type="pct"/>
            <w:tcBorders>
              <w:top w:val="single" w:sz="4" w:space="0" w:color="auto"/>
              <w:left w:val="nil"/>
              <w:bottom w:val="single" w:sz="4" w:space="0" w:color="auto"/>
              <w:right w:val="single" w:sz="4" w:space="0" w:color="auto"/>
            </w:tcBorders>
            <w:shd w:val="clear" w:color="auto" w:fill="E6E6E6"/>
            <w:vAlign w:val="center"/>
          </w:tcPr>
          <w:p w14:paraId="7433B430" w14:textId="77777777" w:rsidR="006012DF" w:rsidRPr="00C709BD" w:rsidRDefault="006012DF">
            <w:pPr>
              <w:jc w:val="center"/>
              <w:rPr>
                <w:b/>
                <w:bCs/>
                <w:color w:val="000000"/>
                <w:szCs w:val="24"/>
              </w:rPr>
            </w:pPr>
            <w:r w:rsidRPr="00C709BD">
              <w:rPr>
                <w:b/>
                <w:bCs/>
                <w:color w:val="000000"/>
                <w:szCs w:val="24"/>
              </w:rPr>
              <w:t>Network Model Changes Effective</w:t>
            </w:r>
          </w:p>
        </w:tc>
        <w:tc>
          <w:tcPr>
            <w:tcW w:w="1088" w:type="pct"/>
            <w:tcBorders>
              <w:top w:val="single" w:sz="4" w:space="0" w:color="auto"/>
              <w:left w:val="nil"/>
              <w:bottom w:val="single" w:sz="4" w:space="0" w:color="auto"/>
              <w:right w:val="single" w:sz="4" w:space="0" w:color="auto"/>
            </w:tcBorders>
            <w:shd w:val="clear" w:color="auto" w:fill="E6E6E6"/>
            <w:vAlign w:val="center"/>
          </w:tcPr>
          <w:p w14:paraId="7E9498A2" w14:textId="77777777" w:rsidR="006012DF" w:rsidRPr="00C709BD" w:rsidRDefault="006012DF">
            <w:pPr>
              <w:jc w:val="center"/>
              <w:rPr>
                <w:b/>
                <w:bCs/>
                <w:color w:val="000000"/>
                <w:szCs w:val="24"/>
              </w:rPr>
            </w:pPr>
            <w:r w:rsidRPr="00C709BD">
              <w:rPr>
                <w:b/>
                <w:bCs/>
                <w:color w:val="000000"/>
                <w:szCs w:val="24"/>
              </w:rPr>
              <w:t>*Commercial Model Changes Effective (Existing Market Participants)</w:t>
            </w:r>
          </w:p>
        </w:tc>
        <w:tc>
          <w:tcPr>
            <w:tcW w:w="1023" w:type="pct"/>
            <w:tcBorders>
              <w:top w:val="single" w:sz="4" w:space="0" w:color="auto"/>
              <w:left w:val="nil"/>
              <w:bottom w:val="single" w:sz="4" w:space="0" w:color="auto"/>
              <w:right w:val="single" w:sz="4" w:space="0" w:color="auto"/>
            </w:tcBorders>
            <w:shd w:val="clear" w:color="auto" w:fill="E6E6E6"/>
            <w:vAlign w:val="center"/>
          </w:tcPr>
          <w:p w14:paraId="25B08127" w14:textId="77777777" w:rsidR="006012DF" w:rsidRPr="00C709BD" w:rsidRDefault="006012DF">
            <w:pPr>
              <w:jc w:val="center"/>
              <w:rPr>
                <w:b/>
                <w:bCs/>
                <w:color w:val="000000"/>
                <w:szCs w:val="24"/>
              </w:rPr>
            </w:pPr>
            <w:r w:rsidRPr="00C709BD">
              <w:rPr>
                <w:b/>
                <w:bCs/>
                <w:color w:val="000000"/>
                <w:szCs w:val="24"/>
              </w:rPr>
              <w:t>New Market Participants without Assets Registration Effective</w:t>
            </w:r>
          </w:p>
        </w:tc>
        <w:tc>
          <w:tcPr>
            <w:tcW w:w="1023" w:type="pct"/>
            <w:tcBorders>
              <w:top w:val="single" w:sz="4" w:space="0" w:color="auto"/>
              <w:left w:val="nil"/>
              <w:bottom w:val="single" w:sz="4" w:space="0" w:color="auto"/>
              <w:right w:val="single" w:sz="4" w:space="0" w:color="auto"/>
            </w:tcBorders>
            <w:shd w:val="clear" w:color="auto" w:fill="E6E6E6"/>
            <w:vAlign w:val="center"/>
          </w:tcPr>
          <w:p w14:paraId="7F578A35" w14:textId="77777777" w:rsidR="006012DF" w:rsidRPr="00C709BD" w:rsidRDefault="006012DF">
            <w:pPr>
              <w:jc w:val="center"/>
              <w:rPr>
                <w:b/>
                <w:bCs/>
                <w:color w:val="000000"/>
                <w:szCs w:val="24"/>
              </w:rPr>
            </w:pPr>
            <w:r w:rsidRPr="00C709BD">
              <w:rPr>
                <w:b/>
                <w:bCs/>
                <w:color w:val="000000"/>
                <w:szCs w:val="24"/>
              </w:rPr>
              <w:t>New Market Participants with Assets Registration Effective</w:t>
            </w:r>
          </w:p>
        </w:tc>
      </w:tr>
      <w:tr w:rsidR="006012DF" w:rsidRPr="00C709BD" w14:paraId="7121D14D"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210BD698" w14:textId="77777777" w:rsidR="006012DF" w:rsidRPr="00C709BD" w:rsidRDefault="006012DF">
            <w:pPr>
              <w:rPr>
                <w:b/>
                <w:bCs/>
                <w:color w:val="000000"/>
                <w:szCs w:val="24"/>
              </w:rPr>
            </w:pPr>
            <w:r w:rsidRPr="00C709BD">
              <w:rPr>
                <w:b/>
                <w:bCs/>
                <w:color w:val="000000"/>
                <w:szCs w:val="24"/>
              </w:rPr>
              <w:t>January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5E344967"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16F0D980"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30D4B840"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6BAD444B" w14:textId="77777777" w:rsidR="006012DF" w:rsidRPr="00C709BD" w:rsidRDefault="006012DF">
            <w:pPr>
              <w:jc w:val="center"/>
              <w:rPr>
                <w:b/>
                <w:bCs/>
                <w:color w:val="000000"/>
                <w:szCs w:val="24"/>
              </w:rPr>
            </w:pPr>
          </w:p>
        </w:tc>
      </w:tr>
      <w:tr w:rsidR="006012DF" w:rsidRPr="00C709BD" w14:paraId="36B76766"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39677215" w14:textId="77777777" w:rsidR="006012DF" w:rsidRPr="00C709BD" w:rsidRDefault="006012DF">
            <w:pPr>
              <w:rPr>
                <w:b/>
                <w:bCs/>
                <w:color w:val="000000"/>
                <w:szCs w:val="24"/>
              </w:rPr>
            </w:pPr>
            <w:r w:rsidRPr="00C709BD">
              <w:rPr>
                <w:b/>
                <w:bCs/>
                <w:color w:val="000000"/>
                <w:szCs w:val="24"/>
              </w:rPr>
              <w:t>February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509053E3"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4BEF1783"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2E65D395"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1372D08D" w14:textId="77777777" w:rsidR="006012DF" w:rsidRPr="00C709BD" w:rsidRDefault="006012DF">
            <w:pPr>
              <w:jc w:val="center"/>
              <w:rPr>
                <w:b/>
                <w:bCs/>
                <w:color w:val="000000"/>
                <w:szCs w:val="24"/>
              </w:rPr>
            </w:pPr>
          </w:p>
        </w:tc>
      </w:tr>
      <w:tr w:rsidR="006012DF" w:rsidRPr="00C709BD" w14:paraId="49775349"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3506740B" w14:textId="77777777" w:rsidR="006012DF" w:rsidRPr="00C709BD" w:rsidRDefault="006012DF">
            <w:pPr>
              <w:rPr>
                <w:b/>
                <w:bCs/>
                <w:color w:val="000000"/>
                <w:szCs w:val="24"/>
              </w:rPr>
            </w:pPr>
            <w:r w:rsidRPr="00C709BD">
              <w:rPr>
                <w:b/>
                <w:bCs/>
                <w:color w:val="000000"/>
                <w:szCs w:val="24"/>
              </w:rPr>
              <w:t>March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539EA87B"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08B25266"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3C0FD31E"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46230B5A" w14:textId="77777777" w:rsidR="006012DF" w:rsidRPr="00C709BD" w:rsidRDefault="006012DF">
            <w:pPr>
              <w:jc w:val="center"/>
              <w:rPr>
                <w:b/>
                <w:bCs/>
                <w:color w:val="000000"/>
                <w:szCs w:val="24"/>
              </w:rPr>
            </w:pPr>
          </w:p>
        </w:tc>
      </w:tr>
      <w:tr w:rsidR="006012DF" w:rsidRPr="00C709BD" w14:paraId="3C292A6D"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01C2FE53" w14:textId="77777777" w:rsidR="006012DF" w:rsidRPr="00C709BD" w:rsidRDefault="006012DF">
            <w:pPr>
              <w:rPr>
                <w:b/>
                <w:bCs/>
                <w:color w:val="000000"/>
                <w:szCs w:val="24"/>
              </w:rPr>
            </w:pPr>
            <w:r w:rsidRPr="00C709BD">
              <w:rPr>
                <w:b/>
                <w:bCs/>
                <w:color w:val="000000"/>
                <w:szCs w:val="24"/>
              </w:rPr>
              <w:t>April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30A371B9"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094E8933"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24F21C7B"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773B61F0" w14:textId="77777777" w:rsidR="006012DF" w:rsidRPr="00C709BD" w:rsidRDefault="006012DF">
            <w:pPr>
              <w:jc w:val="center"/>
              <w:rPr>
                <w:b/>
                <w:bCs/>
                <w:color w:val="000000"/>
                <w:szCs w:val="24"/>
              </w:rPr>
            </w:pPr>
            <w:r w:rsidRPr="00C709BD">
              <w:rPr>
                <w:b/>
                <w:bCs/>
                <w:color w:val="000000"/>
                <w:szCs w:val="24"/>
              </w:rPr>
              <w:t>X</w:t>
            </w:r>
          </w:p>
        </w:tc>
      </w:tr>
      <w:tr w:rsidR="006012DF" w:rsidRPr="00C709BD" w14:paraId="0D631749"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124D635A" w14:textId="77777777" w:rsidR="006012DF" w:rsidRPr="00C709BD" w:rsidRDefault="006012DF">
            <w:pPr>
              <w:rPr>
                <w:b/>
                <w:bCs/>
                <w:color w:val="000000"/>
                <w:szCs w:val="24"/>
              </w:rPr>
            </w:pPr>
            <w:r w:rsidRPr="00C709BD">
              <w:rPr>
                <w:b/>
                <w:bCs/>
                <w:color w:val="000000"/>
                <w:szCs w:val="24"/>
              </w:rPr>
              <w:t>May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3DE93FAC"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383C8A5E"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05950CAC"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4213D1C4" w14:textId="77777777" w:rsidR="006012DF" w:rsidRPr="00C709BD" w:rsidRDefault="006012DF">
            <w:pPr>
              <w:jc w:val="center"/>
              <w:rPr>
                <w:b/>
                <w:bCs/>
                <w:color w:val="000000"/>
                <w:szCs w:val="24"/>
              </w:rPr>
            </w:pPr>
          </w:p>
        </w:tc>
      </w:tr>
      <w:tr w:rsidR="006012DF" w:rsidRPr="00C709BD" w14:paraId="5A29D0E4"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2D80FF26" w14:textId="77777777" w:rsidR="006012DF" w:rsidRPr="00C709BD" w:rsidRDefault="006012DF">
            <w:pPr>
              <w:rPr>
                <w:b/>
                <w:bCs/>
                <w:color w:val="000000"/>
                <w:szCs w:val="24"/>
              </w:rPr>
            </w:pPr>
            <w:r w:rsidRPr="00C709BD">
              <w:rPr>
                <w:b/>
                <w:bCs/>
                <w:color w:val="000000"/>
                <w:szCs w:val="24"/>
              </w:rPr>
              <w:t>June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48C90E0D"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642CD9DE"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27AF0EFD"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01DEC4A0" w14:textId="77777777" w:rsidR="006012DF" w:rsidRPr="00C709BD" w:rsidRDefault="006012DF">
            <w:pPr>
              <w:jc w:val="center"/>
              <w:rPr>
                <w:b/>
                <w:bCs/>
                <w:color w:val="000000"/>
                <w:szCs w:val="24"/>
              </w:rPr>
            </w:pPr>
          </w:p>
        </w:tc>
      </w:tr>
      <w:tr w:rsidR="006012DF" w:rsidRPr="00C709BD" w14:paraId="2A081446"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113F9F76" w14:textId="77777777" w:rsidR="006012DF" w:rsidRPr="00C709BD" w:rsidRDefault="006012DF">
            <w:pPr>
              <w:rPr>
                <w:b/>
                <w:bCs/>
                <w:color w:val="000000"/>
                <w:szCs w:val="24"/>
              </w:rPr>
            </w:pPr>
            <w:r w:rsidRPr="00C709BD">
              <w:rPr>
                <w:b/>
                <w:bCs/>
                <w:color w:val="000000"/>
                <w:szCs w:val="24"/>
              </w:rPr>
              <w:t>July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50D53A2C"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1F258EB1"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7EDFD492"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6BEACEB0" w14:textId="77777777" w:rsidR="006012DF" w:rsidRPr="00C709BD" w:rsidRDefault="006012DF">
            <w:pPr>
              <w:jc w:val="center"/>
              <w:rPr>
                <w:b/>
                <w:bCs/>
                <w:color w:val="000000"/>
                <w:szCs w:val="24"/>
              </w:rPr>
            </w:pPr>
          </w:p>
        </w:tc>
      </w:tr>
      <w:tr w:rsidR="006012DF" w:rsidRPr="00C709BD" w14:paraId="3B148EDB"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12FE8F49" w14:textId="77777777" w:rsidR="006012DF" w:rsidRPr="00C709BD" w:rsidRDefault="006012DF">
            <w:pPr>
              <w:rPr>
                <w:b/>
                <w:bCs/>
                <w:color w:val="000000"/>
                <w:szCs w:val="24"/>
              </w:rPr>
            </w:pPr>
            <w:r w:rsidRPr="00C709BD">
              <w:rPr>
                <w:b/>
                <w:bCs/>
                <w:color w:val="000000"/>
                <w:szCs w:val="24"/>
              </w:rPr>
              <w:t>August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4ACB8C6E"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7DD7388A"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44A10B81"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714339FD" w14:textId="77777777" w:rsidR="006012DF" w:rsidRPr="00C709BD" w:rsidRDefault="006012DF">
            <w:pPr>
              <w:jc w:val="center"/>
              <w:rPr>
                <w:b/>
                <w:bCs/>
                <w:color w:val="000000"/>
                <w:szCs w:val="24"/>
              </w:rPr>
            </w:pPr>
          </w:p>
        </w:tc>
      </w:tr>
      <w:tr w:rsidR="006012DF" w:rsidRPr="00C709BD" w14:paraId="3464C660" w14:textId="77777777">
        <w:trPr>
          <w:cantSplit/>
          <w:trHeight w:val="315"/>
          <w:jc w:val="center"/>
        </w:trPr>
        <w:tc>
          <w:tcPr>
            <w:tcW w:w="1077" w:type="pct"/>
            <w:tcBorders>
              <w:top w:val="nil"/>
              <w:left w:val="single" w:sz="4" w:space="0" w:color="auto"/>
              <w:bottom w:val="single" w:sz="4" w:space="0" w:color="auto"/>
              <w:right w:val="single" w:sz="4" w:space="0" w:color="auto"/>
            </w:tcBorders>
            <w:noWrap/>
            <w:vAlign w:val="bottom"/>
          </w:tcPr>
          <w:p w14:paraId="1EB9296C" w14:textId="77777777" w:rsidR="006012DF" w:rsidRPr="00C709BD" w:rsidRDefault="006012DF">
            <w:pPr>
              <w:rPr>
                <w:b/>
                <w:bCs/>
                <w:color w:val="000000"/>
                <w:szCs w:val="24"/>
              </w:rPr>
            </w:pPr>
            <w:r w:rsidRPr="00C709BD">
              <w:rPr>
                <w:b/>
                <w:bCs/>
                <w:color w:val="000000"/>
                <w:szCs w:val="24"/>
              </w:rPr>
              <w:t>September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4076E11C"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2BA6D6F3"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3A90F1B5"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659586E4" w14:textId="77777777" w:rsidR="006012DF" w:rsidRPr="00C709BD" w:rsidRDefault="006012DF">
            <w:pPr>
              <w:jc w:val="center"/>
              <w:rPr>
                <w:b/>
                <w:bCs/>
                <w:color w:val="000000"/>
                <w:szCs w:val="24"/>
              </w:rPr>
            </w:pPr>
          </w:p>
        </w:tc>
      </w:tr>
      <w:tr w:rsidR="006012DF" w:rsidRPr="00C709BD" w14:paraId="23FBD3A5" w14:textId="77777777">
        <w:trPr>
          <w:cantSplit/>
          <w:trHeight w:val="314"/>
          <w:jc w:val="center"/>
        </w:trPr>
        <w:tc>
          <w:tcPr>
            <w:tcW w:w="1077" w:type="pct"/>
            <w:tcBorders>
              <w:top w:val="nil"/>
              <w:left w:val="single" w:sz="4" w:space="0" w:color="auto"/>
              <w:bottom w:val="single" w:sz="4" w:space="0" w:color="auto"/>
              <w:right w:val="single" w:sz="4" w:space="0" w:color="auto"/>
            </w:tcBorders>
            <w:noWrap/>
            <w:vAlign w:val="bottom"/>
          </w:tcPr>
          <w:p w14:paraId="191B19C8" w14:textId="77777777" w:rsidR="006012DF" w:rsidRPr="00C709BD" w:rsidRDefault="006012DF">
            <w:pPr>
              <w:rPr>
                <w:b/>
                <w:bCs/>
                <w:color w:val="000000"/>
                <w:szCs w:val="24"/>
              </w:rPr>
            </w:pPr>
            <w:r w:rsidRPr="00C709BD">
              <w:rPr>
                <w:b/>
                <w:bCs/>
                <w:color w:val="000000"/>
                <w:szCs w:val="24"/>
              </w:rPr>
              <w:t>October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3FB8DD61"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3211B645"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6C8A3B59"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0E13ADB6" w14:textId="77777777" w:rsidR="006012DF" w:rsidRPr="00C709BD" w:rsidRDefault="006012DF">
            <w:pPr>
              <w:jc w:val="center"/>
              <w:rPr>
                <w:b/>
                <w:bCs/>
                <w:color w:val="000000"/>
                <w:szCs w:val="24"/>
              </w:rPr>
            </w:pPr>
            <w:r w:rsidRPr="00C709BD">
              <w:rPr>
                <w:b/>
                <w:bCs/>
                <w:color w:val="000000"/>
                <w:szCs w:val="24"/>
              </w:rPr>
              <w:t>X</w:t>
            </w:r>
          </w:p>
        </w:tc>
      </w:tr>
      <w:tr w:rsidR="006012DF" w:rsidRPr="00C709BD" w14:paraId="0EA09B41" w14:textId="77777777">
        <w:trPr>
          <w:cantSplit/>
          <w:trHeight w:val="359"/>
          <w:jc w:val="center"/>
        </w:trPr>
        <w:tc>
          <w:tcPr>
            <w:tcW w:w="1077" w:type="pct"/>
            <w:tcBorders>
              <w:top w:val="nil"/>
              <w:left w:val="single" w:sz="4" w:space="0" w:color="auto"/>
              <w:bottom w:val="single" w:sz="4" w:space="0" w:color="auto"/>
              <w:right w:val="single" w:sz="4" w:space="0" w:color="auto"/>
            </w:tcBorders>
            <w:noWrap/>
            <w:vAlign w:val="bottom"/>
          </w:tcPr>
          <w:p w14:paraId="0EF32115" w14:textId="77777777" w:rsidR="006012DF" w:rsidRPr="00C709BD" w:rsidRDefault="006012DF">
            <w:pPr>
              <w:rPr>
                <w:b/>
                <w:bCs/>
                <w:color w:val="000000"/>
                <w:szCs w:val="24"/>
              </w:rPr>
            </w:pPr>
            <w:r w:rsidRPr="00C709BD">
              <w:rPr>
                <w:b/>
                <w:bCs/>
                <w:color w:val="000000"/>
                <w:szCs w:val="24"/>
              </w:rPr>
              <w:t>November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2048E8B0"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28137B69"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0E722BF6" w14:textId="77777777" w:rsidR="006012DF" w:rsidRPr="00C709BD" w:rsidRDefault="006012DF">
            <w:pPr>
              <w:jc w:val="center"/>
              <w:rPr>
                <w:b/>
                <w:bCs/>
                <w:color w:val="000000"/>
                <w:szCs w:val="24"/>
              </w:rPr>
            </w:pPr>
          </w:p>
        </w:tc>
        <w:tc>
          <w:tcPr>
            <w:tcW w:w="1023" w:type="pct"/>
            <w:tcBorders>
              <w:top w:val="nil"/>
              <w:left w:val="nil"/>
              <w:bottom w:val="single" w:sz="4" w:space="0" w:color="auto"/>
              <w:right w:val="single" w:sz="4" w:space="0" w:color="auto"/>
            </w:tcBorders>
          </w:tcPr>
          <w:p w14:paraId="4D0D346A" w14:textId="77777777" w:rsidR="006012DF" w:rsidRPr="00C709BD" w:rsidRDefault="006012DF">
            <w:pPr>
              <w:jc w:val="center"/>
              <w:rPr>
                <w:b/>
                <w:bCs/>
                <w:color w:val="000000"/>
                <w:szCs w:val="24"/>
              </w:rPr>
            </w:pPr>
          </w:p>
        </w:tc>
      </w:tr>
      <w:tr w:rsidR="006012DF" w:rsidRPr="00C709BD" w14:paraId="2484F696" w14:textId="77777777">
        <w:trPr>
          <w:cantSplit/>
          <w:trHeight w:val="404"/>
          <w:jc w:val="center"/>
        </w:trPr>
        <w:tc>
          <w:tcPr>
            <w:tcW w:w="1077" w:type="pct"/>
            <w:tcBorders>
              <w:top w:val="nil"/>
              <w:left w:val="single" w:sz="4" w:space="0" w:color="auto"/>
              <w:bottom w:val="single" w:sz="4" w:space="0" w:color="auto"/>
              <w:right w:val="single" w:sz="4" w:space="0" w:color="auto"/>
            </w:tcBorders>
            <w:noWrap/>
            <w:vAlign w:val="bottom"/>
          </w:tcPr>
          <w:p w14:paraId="4270D0CC" w14:textId="77777777" w:rsidR="006012DF" w:rsidRPr="00C709BD" w:rsidRDefault="006012DF">
            <w:pPr>
              <w:rPr>
                <w:b/>
                <w:bCs/>
                <w:color w:val="000000"/>
                <w:szCs w:val="24"/>
              </w:rPr>
            </w:pPr>
            <w:r w:rsidRPr="00C709BD">
              <w:rPr>
                <w:b/>
                <w:bCs/>
                <w:color w:val="000000"/>
                <w:szCs w:val="24"/>
              </w:rPr>
              <w:t>December 1</w:t>
            </w:r>
            <w:r w:rsidRPr="00C709BD">
              <w:rPr>
                <w:b/>
                <w:bCs/>
                <w:color w:val="000000"/>
                <w:szCs w:val="24"/>
                <w:vertAlign w:val="superscript"/>
              </w:rPr>
              <w:t>st</w:t>
            </w:r>
          </w:p>
        </w:tc>
        <w:tc>
          <w:tcPr>
            <w:tcW w:w="788" w:type="pct"/>
            <w:tcBorders>
              <w:top w:val="nil"/>
              <w:left w:val="nil"/>
              <w:bottom w:val="single" w:sz="4" w:space="0" w:color="auto"/>
              <w:right w:val="single" w:sz="4" w:space="0" w:color="auto"/>
            </w:tcBorders>
            <w:noWrap/>
            <w:vAlign w:val="bottom"/>
          </w:tcPr>
          <w:p w14:paraId="7D07072F" w14:textId="77777777" w:rsidR="006012DF" w:rsidRPr="00C709BD" w:rsidRDefault="006012DF">
            <w:pPr>
              <w:jc w:val="center"/>
              <w:rPr>
                <w:b/>
                <w:bCs/>
                <w:color w:val="000000"/>
                <w:szCs w:val="24"/>
              </w:rPr>
            </w:pPr>
            <w:r w:rsidRPr="00C709BD">
              <w:rPr>
                <w:b/>
                <w:bCs/>
                <w:color w:val="000000"/>
                <w:szCs w:val="24"/>
              </w:rPr>
              <w:t>X</w:t>
            </w:r>
          </w:p>
        </w:tc>
        <w:tc>
          <w:tcPr>
            <w:tcW w:w="1088" w:type="pct"/>
            <w:tcBorders>
              <w:top w:val="nil"/>
              <w:left w:val="nil"/>
              <w:bottom w:val="single" w:sz="4" w:space="0" w:color="auto"/>
              <w:right w:val="single" w:sz="4" w:space="0" w:color="auto"/>
            </w:tcBorders>
            <w:noWrap/>
            <w:vAlign w:val="bottom"/>
          </w:tcPr>
          <w:p w14:paraId="11AB978E"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7EE1D143" w14:textId="77777777" w:rsidR="006012DF" w:rsidRPr="00C709BD" w:rsidRDefault="006012DF">
            <w:pPr>
              <w:jc w:val="center"/>
              <w:rPr>
                <w:b/>
                <w:bCs/>
                <w:color w:val="000000"/>
                <w:szCs w:val="24"/>
              </w:rPr>
            </w:pPr>
            <w:r w:rsidRPr="00C709BD">
              <w:rPr>
                <w:b/>
                <w:bCs/>
                <w:color w:val="000000"/>
                <w:szCs w:val="24"/>
              </w:rPr>
              <w:t>X</w:t>
            </w:r>
          </w:p>
        </w:tc>
        <w:tc>
          <w:tcPr>
            <w:tcW w:w="1023" w:type="pct"/>
            <w:tcBorders>
              <w:top w:val="nil"/>
              <w:left w:val="nil"/>
              <w:bottom w:val="single" w:sz="4" w:space="0" w:color="auto"/>
              <w:right w:val="single" w:sz="4" w:space="0" w:color="auto"/>
            </w:tcBorders>
          </w:tcPr>
          <w:p w14:paraId="3825FDC3" w14:textId="77777777" w:rsidR="006012DF" w:rsidRPr="00C709BD" w:rsidRDefault="006012DF">
            <w:pPr>
              <w:rPr>
                <w:b/>
                <w:bCs/>
                <w:color w:val="000000"/>
                <w:szCs w:val="24"/>
              </w:rPr>
            </w:pPr>
          </w:p>
        </w:tc>
      </w:tr>
    </w:tbl>
    <w:p w14:paraId="358C790D" w14:textId="77777777" w:rsidR="00BD64CF" w:rsidRPr="00D25391" w:rsidRDefault="00BD64CF" w:rsidP="00BD64CF">
      <w:pPr>
        <w:tabs>
          <w:tab w:val="left" w:pos="1800"/>
          <w:tab w:val="left" w:pos="2160"/>
        </w:tabs>
        <w:spacing w:before="120" w:line="300" w:lineRule="auto"/>
        <w:ind w:left="720"/>
        <w:jc w:val="center"/>
        <w:rPr>
          <w:szCs w:val="24"/>
        </w:rPr>
      </w:pPr>
    </w:p>
    <w:p w14:paraId="5F52FA3D" w14:textId="77777777" w:rsidR="00CD2AEB" w:rsidRDefault="00CD2AEB" w:rsidP="00BD64CF">
      <w:pPr>
        <w:tabs>
          <w:tab w:val="left" w:pos="1800"/>
          <w:tab w:val="left" w:pos="2160"/>
        </w:tabs>
        <w:spacing w:before="120" w:line="300" w:lineRule="auto"/>
        <w:ind w:left="720"/>
        <w:jc w:val="center"/>
        <w:rPr>
          <w:szCs w:val="24"/>
        </w:rPr>
      </w:pPr>
    </w:p>
    <w:tbl>
      <w:tblPr>
        <w:tblW w:w="4203" w:type="pct"/>
        <w:jc w:val="center"/>
        <w:tblLayout w:type="fixed"/>
        <w:tblLook w:val="0000" w:firstRow="0" w:lastRow="0" w:firstColumn="0" w:lastColumn="0" w:noHBand="0" w:noVBand="0"/>
      </w:tblPr>
      <w:tblGrid>
        <w:gridCol w:w="3724"/>
        <w:gridCol w:w="4136"/>
      </w:tblGrid>
      <w:tr w:rsidR="00CD2AEB" w14:paraId="1B6C5885" w14:textId="77777777">
        <w:trPr>
          <w:cantSplit/>
          <w:trHeight w:val="895"/>
          <w:tblHeader/>
          <w:jc w:val="center"/>
        </w:trPr>
        <w:tc>
          <w:tcPr>
            <w:tcW w:w="948" w:type="pct"/>
            <w:tcBorders>
              <w:top w:val="single" w:sz="4" w:space="0" w:color="auto"/>
              <w:left w:val="single" w:sz="4" w:space="0" w:color="auto"/>
              <w:bottom w:val="single" w:sz="4" w:space="0" w:color="auto"/>
              <w:right w:val="single" w:sz="4" w:space="0" w:color="auto"/>
            </w:tcBorders>
            <w:shd w:val="clear" w:color="auto" w:fill="E6E6E6"/>
            <w:vAlign w:val="center"/>
          </w:tcPr>
          <w:p w14:paraId="1C044EDB" w14:textId="77777777" w:rsidR="00CD2AEB" w:rsidRPr="00843663" w:rsidRDefault="00CD2AEB">
            <w:pPr>
              <w:jc w:val="center"/>
              <w:rPr>
                <w:b/>
                <w:bCs/>
                <w:color w:val="000000"/>
              </w:rPr>
            </w:pPr>
            <w:r w:rsidRPr="1D1790DD">
              <w:rPr>
                <w:b/>
                <w:bCs/>
                <w:color w:val="000000"/>
              </w:rPr>
              <w:t>Model Upload Production Effective Date For Commercial  Model Changes</w:t>
            </w:r>
          </w:p>
        </w:tc>
        <w:tc>
          <w:tcPr>
            <w:tcW w:w="1053" w:type="pct"/>
            <w:tcBorders>
              <w:top w:val="single" w:sz="4" w:space="0" w:color="auto"/>
              <w:left w:val="nil"/>
              <w:bottom w:val="single" w:sz="4" w:space="0" w:color="auto"/>
              <w:right w:val="single" w:sz="4" w:space="0" w:color="auto"/>
            </w:tcBorders>
            <w:shd w:val="clear" w:color="auto" w:fill="E6E6E6"/>
          </w:tcPr>
          <w:p w14:paraId="6C51DBDB" w14:textId="77777777" w:rsidR="00CD2AEB" w:rsidRDefault="00CD2AEB">
            <w:pPr>
              <w:jc w:val="center"/>
              <w:rPr>
                <w:b/>
                <w:bCs/>
                <w:color w:val="000000"/>
              </w:rPr>
            </w:pPr>
            <w:r>
              <w:rPr>
                <w:b/>
                <w:bCs/>
                <w:color w:val="000000"/>
              </w:rPr>
              <w:t>Commercial Changes Submission Due Date</w:t>
            </w:r>
          </w:p>
        </w:tc>
      </w:tr>
      <w:tr w:rsidR="00CD2AEB" w:rsidRPr="00843663" w14:paraId="73186AFE"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268CB8D0" w14:textId="77777777" w:rsidR="00CD2AEB" w:rsidRPr="00843663" w:rsidRDefault="00CD2AEB" w:rsidP="004B753E">
            <w:pPr>
              <w:jc w:val="center"/>
              <w:rPr>
                <w:b/>
                <w:bCs/>
                <w:color w:val="000000"/>
                <w:szCs w:val="24"/>
              </w:rPr>
            </w:pPr>
            <w:r w:rsidRPr="00843663">
              <w:rPr>
                <w:b/>
                <w:bCs/>
                <w:color w:val="000000"/>
                <w:szCs w:val="24"/>
              </w:rPr>
              <w:t>January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7F9ADCE0" w14:textId="77777777" w:rsidR="00CD2AEB" w:rsidRPr="00843663" w:rsidRDefault="00CD2AEB">
            <w:pPr>
              <w:jc w:val="center"/>
              <w:rPr>
                <w:b/>
                <w:bCs/>
                <w:color w:val="000000"/>
                <w:szCs w:val="24"/>
              </w:rPr>
            </w:pPr>
            <w:r>
              <w:rPr>
                <w:b/>
                <w:bCs/>
                <w:color w:val="000000"/>
                <w:szCs w:val="24"/>
              </w:rPr>
              <w:t>November 15</w:t>
            </w:r>
            <w:r w:rsidRPr="00625649">
              <w:rPr>
                <w:b/>
                <w:bCs/>
                <w:color w:val="000000"/>
                <w:szCs w:val="24"/>
                <w:vertAlign w:val="superscript"/>
              </w:rPr>
              <w:t>th</w:t>
            </w:r>
          </w:p>
        </w:tc>
      </w:tr>
      <w:tr w:rsidR="00CD2AEB" w:rsidRPr="00843663" w14:paraId="651AE6F7"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0ACD8897" w14:textId="77777777" w:rsidR="00CD2AEB" w:rsidRPr="00843663" w:rsidRDefault="00CD2AEB" w:rsidP="004B753E">
            <w:pPr>
              <w:jc w:val="center"/>
              <w:rPr>
                <w:b/>
                <w:bCs/>
                <w:color w:val="000000"/>
                <w:szCs w:val="24"/>
              </w:rPr>
            </w:pPr>
            <w:r w:rsidRPr="00843663">
              <w:rPr>
                <w:b/>
                <w:bCs/>
                <w:color w:val="000000"/>
                <w:szCs w:val="24"/>
              </w:rPr>
              <w:t>February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09FDB524" w14:textId="77777777" w:rsidR="00CD2AEB" w:rsidRPr="00843663" w:rsidRDefault="00CD2AEB">
            <w:pPr>
              <w:jc w:val="center"/>
              <w:rPr>
                <w:b/>
                <w:bCs/>
                <w:color w:val="000000"/>
                <w:szCs w:val="24"/>
              </w:rPr>
            </w:pPr>
            <w:r>
              <w:rPr>
                <w:b/>
                <w:bCs/>
                <w:color w:val="000000"/>
                <w:szCs w:val="24"/>
              </w:rPr>
              <w:t>December 15</w:t>
            </w:r>
            <w:r w:rsidRPr="00625649">
              <w:rPr>
                <w:b/>
                <w:bCs/>
                <w:color w:val="000000"/>
                <w:szCs w:val="24"/>
                <w:vertAlign w:val="superscript"/>
              </w:rPr>
              <w:t>th</w:t>
            </w:r>
          </w:p>
        </w:tc>
      </w:tr>
      <w:tr w:rsidR="00CD2AEB" w:rsidRPr="00843663" w14:paraId="10107FAC"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541B771C" w14:textId="77777777" w:rsidR="00CD2AEB" w:rsidRPr="00843663" w:rsidRDefault="00CD2AEB" w:rsidP="004B753E">
            <w:pPr>
              <w:jc w:val="center"/>
              <w:rPr>
                <w:b/>
                <w:bCs/>
                <w:color w:val="000000"/>
                <w:szCs w:val="24"/>
              </w:rPr>
            </w:pPr>
            <w:r w:rsidRPr="00843663">
              <w:rPr>
                <w:b/>
                <w:bCs/>
                <w:color w:val="000000"/>
                <w:szCs w:val="24"/>
              </w:rPr>
              <w:t>March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3CB53DCC" w14:textId="77777777" w:rsidR="00CD2AEB" w:rsidRPr="00843663" w:rsidRDefault="00CD2AEB">
            <w:pPr>
              <w:jc w:val="center"/>
              <w:rPr>
                <w:b/>
                <w:bCs/>
                <w:color w:val="000000"/>
                <w:szCs w:val="24"/>
              </w:rPr>
            </w:pPr>
            <w:r>
              <w:rPr>
                <w:b/>
                <w:bCs/>
                <w:color w:val="000000"/>
                <w:szCs w:val="24"/>
              </w:rPr>
              <w:t>January 15</w:t>
            </w:r>
            <w:r w:rsidRPr="00625649">
              <w:rPr>
                <w:b/>
                <w:bCs/>
                <w:color w:val="000000"/>
                <w:szCs w:val="24"/>
                <w:vertAlign w:val="superscript"/>
              </w:rPr>
              <w:t>th</w:t>
            </w:r>
          </w:p>
        </w:tc>
      </w:tr>
      <w:tr w:rsidR="00CD2AEB" w:rsidRPr="00843663" w14:paraId="1A7E02C3"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63FEA4AD" w14:textId="77777777" w:rsidR="00CD2AEB" w:rsidRPr="00843663" w:rsidRDefault="00CD2AEB" w:rsidP="004B753E">
            <w:pPr>
              <w:jc w:val="center"/>
              <w:rPr>
                <w:b/>
                <w:bCs/>
                <w:color w:val="000000"/>
                <w:szCs w:val="24"/>
              </w:rPr>
            </w:pPr>
            <w:r w:rsidRPr="00843663">
              <w:rPr>
                <w:b/>
                <w:bCs/>
                <w:color w:val="000000"/>
                <w:szCs w:val="24"/>
              </w:rPr>
              <w:t>April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3B006DB8" w14:textId="77777777" w:rsidR="00CD2AEB" w:rsidRPr="00843663" w:rsidRDefault="00CD2AEB">
            <w:pPr>
              <w:jc w:val="center"/>
              <w:rPr>
                <w:b/>
                <w:bCs/>
                <w:color w:val="000000"/>
                <w:szCs w:val="24"/>
              </w:rPr>
            </w:pPr>
            <w:r>
              <w:rPr>
                <w:b/>
                <w:bCs/>
                <w:color w:val="000000"/>
                <w:szCs w:val="24"/>
              </w:rPr>
              <w:t>February 15</w:t>
            </w:r>
            <w:r w:rsidRPr="00625649">
              <w:rPr>
                <w:b/>
                <w:bCs/>
                <w:color w:val="000000"/>
                <w:szCs w:val="24"/>
                <w:vertAlign w:val="superscript"/>
              </w:rPr>
              <w:t>th</w:t>
            </w:r>
          </w:p>
        </w:tc>
      </w:tr>
      <w:tr w:rsidR="00CD2AEB" w:rsidRPr="00843663" w14:paraId="31B0D843"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6F3CC14A" w14:textId="77777777" w:rsidR="00CD2AEB" w:rsidRPr="00843663" w:rsidRDefault="00CD2AEB" w:rsidP="004B753E">
            <w:pPr>
              <w:jc w:val="center"/>
              <w:rPr>
                <w:b/>
                <w:bCs/>
                <w:color w:val="000000"/>
                <w:szCs w:val="24"/>
              </w:rPr>
            </w:pPr>
            <w:r w:rsidRPr="00843663">
              <w:rPr>
                <w:b/>
                <w:bCs/>
                <w:color w:val="000000"/>
                <w:szCs w:val="24"/>
              </w:rPr>
              <w:t>May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08D0148B" w14:textId="77777777" w:rsidR="00CD2AEB" w:rsidRPr="00843663" w:rsidRDefault="00CD2AEB">
            <w:pPr>
              <w:jc w:val="center"/>
              <w:rPr>
                <w:b/>
                <w:bCs/>
                <w:color w:val="000000"/>
                <w:szCs w:val="24"/>
              </w:rPr>
            </w:pPr>
            <w:r>
              <w:rPr>
                <w:b/>
                <w:bCs/>
                <w:color w:val="000000"/>
                <w:szCs w:val="24"/>
              </w:rPr>
              <w:t>March 15</w:t>
            </w:r>
            <w:r w:rsidRPr="00625649">
              <w:rPr>
                <w:b/>
                <w:bCs/>
                <w:color w:val="000000"/>
                <w:szCs w:val="24"/>
                <w:vertAlign w:val="superscript"/>
              </w:rPr>
              <w:t>th</w:t>
            </w:r>
          </w:p>
        </w:tc>
      </w:tr>
      <w:tr w:rsidR="00CD2AEB" w:rsidRPr="00843663" w14:paraId="551A20B7"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68654BEB" w14:textId="77777777" w:rsidR="00CD2AEB" w:rsidRPr="00843663" w:rsidRDefault="00CD2AEB" w:rsidP="004B753E">
            <w:pPr>
              <w:jc w:val="center"/>
              <w:rPr>
                <w:b/>
                <w:bCs/>
                <w:color w:val="000000"/>
                <w:szCs w:val="24"/>
              </w:rPr>
            </w:pPr>
            <w:r w:rsidRPr="00843663">
              <w:rPr>
                <w:b/>
                <w:bCs/>
                <w:color w:val="000000"/>
                <w:szCs w:val="24"/>
              </w:rPr>
              <w:t>June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111E5E73" w14:textId="77777777" w:rsidR="00CD2AEB" w:rsidRPr="00843663" w:rsidRDefault="00CD2AEB">
            <w:pPr>
              <w:jc w:val="center"/>
              <w:rPr>
                <w:b/>
                <w:bCs/>
                <w:color w:val="000000"/>
                <w:szCs w:val="24"/>
              </w:rPr>
            </w:pPr>
            <w:r>
              <w:rPr>
                <w:b/>
                <w:bCs/>
                <w:color w:val="000000"/>
                <w:szCs w:val="24"/>
              </w:rPr>
              <w:t>April 15</w:t>
            </w:r>
            <w:r w:rsidRPr="00625649">
              <w:rPr>
                <w:b/>
                <w:bCs/>
                <w:color w:val="000000"/>
                <w:szCs w:val="24"/>
                <w:vertAlign w:val="superscript"/>
              </w:rPr>
              <w:t>th</w:t>
            </w:r>
          </w:p>
        </w:tc>
      </w:tr>
      <w:tr w:rsidR="00CD2AEB" w:rsidRPr="00843663" w14:paraId="69795CE4"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6665FC7F" w14:textId="77777777" w:rsidR="00CD2AEB" w:rsidRPr="00843663" w:rsidRDefault="00CD2AEB" w:rsidP="004B753E">
            <w:pPr>
              <w:jc w:val="center"/>
              <w:rPr>
                <w:b/>
                <w:bCs/>
                <w:color w:val="000000"/>
                <w:szCs w:val="24"/>
              </w:rPr>
            </w:pPr>
            <w:r w:rsidRPr="00843663">
              <w:rPr>
                <w:b/>
                <w:bCs/>
                <w:color w:val="000000"/>
                <w:szCs w:val="24"/>
              </w:rPr>
              <w:t>July 1</w:t>
            </w:r>
            <w:r w:rsidRPr="00843663">
              <w:rPr>
                <w:b/>
                <w:bCs/>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7194832E" w14:textId="77777777" w:rsidR="00CD2AEB" w:rsidRPr="00843663" w:rsidRDefault="00CD2AEB">
            <w:pPr>
              <w:jc w:val="center"/>
              <w:rPr>
                <w:b/>
                <w:bCs/>
                <w:color w:val="000000"/>
                <w:szCs w:val="24"/>
              </w:rPr>
            </w:pPr>
            <w:r>
              <w:rPr>
                <w:b/>
                <w:bCs/>
                <w:color w:val="000000"/>
                <w:szCs w:val="24"/>
              </w:rPr>
              <w:t>May 15</w:t>
            </w:r>
            <w:r w:rsidRPr="00625649">
              <w:rPr>
                <w:b/>
                <w:bCs/>
                <w:color w:val="000000"/>
                <w:szCs w:val="24"/>
                <w:vertAlign w:val="superscript"/>
              </w:rPr>
              <w:t>th</w:t>
            </w:r>
          </w:p>
        </w:tc>
      </w:tr>
      <w:tr w:rsidR="00CD2AEB" w:rsidRPr="00843663" w14:paraId="01162D1F"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6FED874B" w14:textId="77777777" w:rsidR="00CD2AEB" w:rsidRPr="00843663" w:rsidRDefault="00CD2AEB" w:rsidP="004B753E">
            <w:pPr>
              <w:jc w:val="center"/>
              <w:rPr>
                <w:b/>
                <w:bCs/>
                <w:color w:val="000000"/>
                <w:szCs w:val="24"/>
              </w:rPr>
            </w:pPr>
            <w:r w:rsidRPr="00843663">
              <w:rPr>
                <w:b/>
                <w:bCs/>
                <w:color w:val="000000"/>
                <w:szCs w:val="24"/>
              </w:rPr>
              <w:t>August 1</w:t>
            </w:r>
            <w:r w:rsidRPr="004B753E">
              <w:rPr>
                <w:b/>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066C3ABE" w14:textId="77777777" w:rsidR="00CD2AEB" w:rsidRPr="00843663" w:rsidRDefault="00CD2AEB">
            <w:pPr>
              <w:jc w:val="center"/>
              <w:rPr>
                <w:b/>
                <w:bCs/>
                <w:color w:val="000000"/>
                <w:szCs w:val="24"/>
              </w:rPr>
            </w:pPr>
            <w:r>
              <w:rPr>
                <w:b/>
                <w:bCs/>
                <w:color w:val="000000"/>
                <w:szCs w:val="24"/>
              </w:rPr>
              <w:t>June 15</w:t>
            </w:r>
            <w:r w:rsidRPr="00625649">
              <w:rPr>
                <w:b/>
                <w:bCs/>
                <w:color w:val="000000"/>
                <w:szCs w:val="24"/>
                <w:vertAlign w:val="superscript"/>
              </w:rPr>
              <w:t>th</w:t>
            </w:r>
          </w:p>
        </w:tc>
      </w:tr>
      <w:tr w:rsidR="00CD2AEB" w:rsidRPr="00843663" w14:paraId="42C7D086"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4ACDA42D" w14:textId="77777777" w:rsidR="00CD2AEB" w:rsidRPr="00843663" w:rsidRDefault="00CD2AEB" w:rsidP="004B753E">
            <w:pPr>
              <w:jc w:val="center"/>
              <w:rPr>
                <w:b/>
                <w:bCs/>
                <w:color w:val="000000"/>
                <w:szCs w:val="24"/>
              </w:rPr>
            </w:pPr>
            <w:r w:rsidRPr="00843663">
              <w:rPr>
                <w:b/>
                <w:bCs/>
                <w:color w:val="000000"/>
                <w:szCs w:val="24"/>
              </w:rPr>
              <w:t>September 1</w:t>
            </w:r>
            <w:r w:rsidRPr="004B753E">
              <w:rPr>
                <w:b/>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4E2028BE" w14:textId="77777777" w:rsidR="00CD2AEB" w:rsidRPr="00843663" w:rsidRDefault="00CD2AEB">
            <w:pPr>
              <w:jc w:val="center"/>
              <w:rPr>
                <w:b/>
                <w:bCs/>
                <w:color w:val="000000"/>
                <w:szCs w:val="24"/>
              </w:rPr>
            </w:pPr>
            <w:r>
              <w:rPr>
                <w:b/>
                <w:bCs/>
                <w:color w:val="000000"/>
                <w:szCs w:val="24"/>
              </w:rPr>
              <w:t>July 15</w:t>
            </w:r>
            <w:r w:rsidRPr="00625649">
              <w:rPr>
                <w:b/>
                <w:bCs/>
                <w:color w:val="000000"/>
                <w:szCs w:val="24"/>
                <w:vertAlign w:val="superscript"/>
              </w:rPr>
              <w:t>th</w:t>
            </w:r>
          </w:p>
        </w:tc>
      </w:tr>
      <w:tr w:rsidR="00CD2AEB" w:rsidRPr="00843663" w14:paraId="4014EDEF"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069773CF" w14:textId="77777777" w:rsidR="00CD2AEB" w:rsidRPr="00843663" w:rsidRDefault="00CD2AEB" w:rsidP="004B753E">
            <w:pPr>
              <w:jc w:val="center"/>
              <w:rPr>
                <w:b/>
                <w:bCs/>
                <w:color w:val="000000"/>
                <w:szCs w:val="24"/>
              </w:rPr>
            </w:pPr>
            <w:r w:rsidRPr="00843663">
              <w:rPr>
                <w:b/>
                <w:bCs/>
                <w:color w:val="000000"/>
                <w:szCs w:val="24"/>
              </w:rPr>
              <w:t>October 1</w:t>
            </w:r>
            <w:r w:rsidRPr="004B753E">
              <w:rPr>
                <w:b/>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7B42787B" w14:textId="77777777" w:rsidR="00CD2AEB" w:rsidRPr="00843663" w:rsidRDefault="00CD2AEB">
            <w:pPr>
              <w:jc w:val="center"/>
              <w:rPr>
                <w:b/>
                <w:bCs/>
                <w:color w:val="000000"/>
                <w:szCs w:val="24"/>
              </w:rPr>
            </w:pPr>
            <w:r>
              <w:rPr>
                <w:b/>
                <w:bCs/>
                <w:color w:val="000000"/>
                <w:szCs w:val="24"/>
              </w:rPr>
              <w:t>August 15</w:t>
            </w:r>
            <w:r w:rsidRPr="00625649">
              <w:rPr>
                <w:b/>
                <w:bCs/>
                <w:color w:val="000000"/>
                <w:szCs w:val="24"/>
                <w:vertAlign w:val="superscript"/>
              </w:rPr>
              <w:t>th</w:t>
            </w:r>
          </w:p>
        </w:tc>
      </w:tr>
      <w:tr w:rsidR="00CD2AEB" w:rsidRPr="00843663" w14:paraId="67593671" w14:textId="77777777">
        <w:trPr>
          <w:cantSplit/>
          <w:trHeight w:val="298"/>
          <w:jc w:val="center"/>
        </w:trPr>
        <w:tc>
          <w:tcPr>
            <w:tcW w:w="948" w:type="pct"/>
            <w:tcBorders>
              <w:top w:val="nil"/>
              <w:left w:val="single" w:sz="4" w:space="0" w:color="auto"/>
              <w:bottom w:val="single" w:sz="4" w:space="0" w:color="auto"/>
              <w:right w:val="single" w:sz="4" w:space="0" w:color="auto"/>
            </w:tcBorders>
            <w:noWrap/>
            <w:vAlign w:val="bottom"/>
          </w:tcPr>
          <w:p w14:paraId="7DF8CF59" w14:textId="77777777" w:rsidR="00CD2AEB" w:rsidRPr="00843663" w:rsidRDefault="00CD2AEB" w:rsidP="004B753E">
            <w:pPr>
              <w:jc w:val="center"/>
              <w:rPr>
                <w:b/>
                <w:bCs/>
                <w:color w:val="000000"/>
                <w:szCs w:val="24"/>
              </w:rPr>
            </w:pPr>
            <w:r w:rsidRPr="00843663">
              <w:rPr>
                <w:b/>
                <w:bCs/>
                <w:color w:val="000000"/>
                <w:szCs w:val="24"/>
              </w:rPr>
              <w:t>November 1</w:t>
            </w:r>
            <w:r w:rsidRPr="004B753E">
              <w:rPr>
                <w:b/>
                <w:color w:val="000000"/>
                <w:szCs w:val="24"/>
                <w:vertAlign w:val="superscript"/>
              </w:rPr>
              <w:t>st</w:t>
            </w:r>
          </w:p>
        </w:tc>
        <w:tc>
          <w:tcPr>
            <w:tcW w:w="1053" w:type="pct"/>
            <w:tcBorders>
              <w:top w:val="single" w:sz="4" w:space="0" w:color="auto"/>
              <w:left w:val="nil"/>
              <w:bottom w:val="single" w:sz="4" w:space="0" w:color="auto"/>
              <w:right w:val="single" w:sz="4" w:space="0" w:color="auto"/>
            </w:tcBorders>
          </w:tcPr>
          <w:p w14:paraId="4D378E41" w14:textId="77777777" w:rsidR="00CD2AEB" w:rsidRPr="00843663" w:rsidRDefault="00CD2AEB">
            <w:pPr>
              <w:jc w:val="center"/>
              <w:rPr>
                <w:b/>
                <w:bCs/>
                <w:color w:val="000000"/>
                <w:szCs w:val="24"/>
              </w:rPr>
            </w:pPr>
            <w:r>
              <w:rPr>
                <w:b/>
                <w:bCs/>
                <w:color w:val="000000"/>
                <w:szCs w:val="24"/>
              </w:rPr>
              <w:t>September 15</w:t>
            </w:r>
            <w:r w:rsidRPr="00625649">
              <w:rPr>
                <w:b/>
                <w:bCs/>
                <w:color w:val="000000"/>
                <w:szCs w:val="24"/>
                <w:vertAlign w:val="superscript"/>
              </w:rPr>
              <w:t>th</w:t>
            </w:r>
          </w:p>
        </w:tc>
      </w:tr>
      <w:tr w:rsidR="00CD2AEB" w:rsidRPr="00843663" w14:paraId="45510AAE" w14:textId="77777777">
        <w:trPr>
          <w:cantSplit/>
          <w:trHeight w:val="647"/>
          <w:jc w:val="center"/>
        </w:trPr>
        <w:tc>
          <w:tcPr>
            <w:tcW w:w="948" w:type="pct"/>
            <w:tcBorders>
              <w:top w:val="nil"/>
              <w:left w:val="single" w:sz="4" w:space="0" w:color="auto"/>
              <w:bottom w:val="single" w:sz="4" w:space="0" w:color="auto"/>
              <w:right w:val="single" w:sz="4" w:space="0" w:color="auto"/>
            </w:tcBorders>
            <w:noWrap/>
            <w:vAlign w:val="bottom"/>
          </w:tcPr>
          <w:p w14:paraId="44687736" w14:textId="77777777" w:rsidR="00CD2AEB" w:rsidRDefault="00CD2AEB" w:rsidP="004B753E">
            <w:pPr>
              <w:jc w:val="center"/>
              <w:rPr>
                <w:b/>
                <w:bCs/>
                <w:color w:val="000000"/>
                <w:szCs w:val="24"/>
              </w:rPr>
            </w:pPr>
            <w:r w:rsidRPr="00843663">
              <w:rPr>
                <w:b/>
                <w:bCs/>
                <w:color w:val="000000"/>
                <w:szCs w:val="24"/>
              </w:rPr>
              <w:t>December 1</w:t>
            </w:r>
            <w:r w:rsidRPr="004B753E">
              <w:rPr>
                <w:b/>
                <w:color w:val="000000"/>
                <w:szCs w:val="24"/>
                <w:vertAlign w:val="superscript"/>
              </w:rPr>
              <w:t>st</w:t>
            </w:r>
          </w:p>
          <w:p w14:paraId="648A7D4B" w14:textId="77777777" w:rsidR="00CD2AEB" w:rsidRPr="00843663" w:rsidRDefault="00CD2AEB" w:rsidP="004B753E">
            <w:pPr>
              <w:jc w:val="center"/>
              <w:rPr>
                <w:b/>
                <w:bCs/>
                <w:color w:val="000000"/>
                <w:szCs w:val="24"/>
              </w:rPr>
            </w:pPr>
          </w:p>
        </w:tc>
        <w:tc>
          <w:tcPr>
            <w:tcW w:w="1053" w:type="pct"/>
            <w:tcBorders>
              <w:top w:val="single" w:sz="4" w:space="0" w:color="auto"/>
              <w:left w:val="nil"/>
              <w:bottom w:val="single" w:sz="4" w:space="0" w:color="auto"/>
              <w:right w:val="single" w:sz="4" w:space="0" w:color="auto"/>
            </w:tcBorders>
          </w:tcPr>
          <w:p w14:paraId="78CF5732" w14:textId="77777777" w:rsidR="00CD2AEB" w:rsidRPr="00843663" w:rsidRDefault="00CD2AEB">
            <w:pPr>
              <w:jc w:val="center"/>
              <w:rPr>
                <w:b/>
                <w:bCs/>
                <w:color w:val="000000"/>
                <w:szCs w:val="24"/>
              </w:rPr>
            </w:pPr>
            <w:r>
              <w:rPr>
                <w:b/>
                <w:bCs/>
                <w:color w:val="000000"/>
                <w:szCs w:val="24"/>
              </w:rPr>
              <w:t>October 15</w:t>
            </w:r>
            <w:r w:rsidRPr="00625649">
              <w:rPr>
                <w:b/>
                <w:bCs/>
                <w:color w:val="000000"/>
                <w:szCs w:val="24"/>
                <w:vertAlign w:val="superscript"/>
              </w:rPr>
              <w:t>th</w:t>
            </w:r>
          </w:p>
        </w:tc>
      </w:tr>
    </w:tbl>
    <w:p w14:paraId="592282E4" w14:textId="77777777" w:rsidR="00CD2AEB" w:rsidRPr="00D25391" w:rsidRDefault="00CD2AEB" w:rsidP="00BD64CF">
      <w:pPr>
        <w:tabs>
          <w:tab w:val="left" w:pos="1800"/>
          <w:tab w:val="left" w:pos="2160"/>
        </w:tabs>
        <w:spacing w:before="120" w:line="300" w:lineRule="auto"/>
        <w:ind w:left="720"/>
        <w:jc w:val="center"/>
        <w:rPr>
          <w:szCs w:val="24"/>
        </w:rPr>
      </w:pPr>
    </w:p>
    <w:p w14:paraId="690CBA24" w14:textId="77777777" w:rsidR="00BD64CF" w:rsidRPr="00D25391" w:rsidRDefault="00BD64CF" w:rsidP="00BD64CF">
      <w:pPr>
        <w:spacing w:line="300" w:lineRule="auto"/>
      </w:pPr>
    </w:p>
    <w:p w14:paraId="284DEFCA" w14:textId="77777777" w:rsidR="00BD64CF" w:rsidRPr="00D25391" w:rsidRDefault="00BD64CF" w:rsidP="00BD64CF"/>
    <w:p w14:paraId="50F4E3C3" w14:textId="77777777" w:rsidR="00BD64CF" w:rsidRPr="00D25391" w:rsidRDefault="00BD64CF" w:rsidP="00BD64CF">
      <w:pPr>
        <w:tabs>
          <w:tab w:val="left" w:pos="1800"/>
          <w:tab w:val="left" w:pos="2160"/>
        </w:tabs>
        <w:spacing w:before="120" w:line="300" w:lineRule="auto"/>
        <w:ind w:left="720"/>
        <w:rPr>
          <w:szCs w:val="24"/>
        </w:rPr>
        <w:sectPr w:rsidR="00BD64CF" w:rsidRPr="00D25391" w:rsidSect="00BD64CF">
          <w:pgSz w:w="12240" w:h="15840"/>
          <w:pgMar w:top="1728" w:right="1440" w:bottom="1728" w:left="1440" w:header="720" w:footer="720" w:gutter="0"/>
          <w:cols w:space="720"/>
        </w:sectPr>
      </w:pPr>
    </w:p>
    <w:p w14:paraId="5DD27F56" w14:textId="77777777" w:rsidR="00BD64CF" w:rsidRPr="00FF5CD3" w:rsidRDefault="00BD64CF" w:rsidP="00556F5B">
      <w:pPr>
        <w:pStyle w:val="Heading2"/>
      </w:pPr>
      <w:bookmarkStart w:id="7803" w:name="_Toc449947874"/>
      <w:bookmarkStart w:id="7804" w:name="_Toc159233507"/>
      <w:bookmarkStart w:id="7805" w:name="_Toc167202625"/>
      <w:bookmarkStart w:id="7806" w:name="_Ref212620572"/>
      <w:bookmarkStart w:id="7807" w:name="_Ref212620814"/>
      <w:bookmarkStart w:id="7808" w:name="_Toc213772076"/>
      <w:r w:rsidRPr="00FF5CD3">
        <w:t>Naming Conventions for Market Assets</w:t>
      </w:r>
      <w:bookmarkEnd w:id="7803"/>
      <w:bookmarkEnd w:id="7804"/>
      <w:bookmarkEnd w:id="7805"/>
      <w:bookmarkEnd w:id="7806"/>
      <w:bookmarkEnd w:id="7807"/>
      <w:bookmarkEnd w:id="7808"/>
      <w:r w:rsidRPr="00FF5CD3">
        <w:t xml:space="preserve"> </w:t>
      </w:r>
    </w:p>
    <w:p w14:paraId="6F6BFBBA" w14:textId="277C8FAA" w:rsidR="00BD64CF" w:rsidRPr="00D25391" w:rsidRDefault="00BD64CF" w:rsidP="00BD64CF">
      <w:pPr>
        <w:spacing w:line="300" w:lineRule="auto"/>
        <w:rPr>
          <w:szCs w:val="24"/>
        </w:rPr>
      </w:pPr>
      <w:r>
        <w:rPr>
          <w:szCs w:val="24"/>
        </w:rPr>
        <w:t>Market Operator</w:t>
      </w:r>
      <w:r w:rsidRPr="00D25391">
        <w:rPr>
          <w:szCs w:val="24"/>
        </w:rPr>
        <w:t xml:space="preserve"> naming conventions are established to ensure that the names for all Market assets meet specific criteria so that: 1) the naming structure of Settlement Locations , </w:t>
      </w:r>
      <w:r w:rsidRPr="4A5DC047">
        <w:rPr>
          <w:szCs w:val="24"/>
        </w:rPr>
        <w:t>Meter Data Submittal Locations (</w:t>
      </w:r>
      <w:r w:rsidRPr="00D25391">
        <w:rPr>
          <w:szCs w:val="24"/>
        </w:rPr>
        <w:t xml:space="preserve">MDSLs), </w:t>
      </w:r>
      <w:r w:rsidRPr="4A5DC047">
        <w:rPr>
          <w:szCs w:val="24"/>
        </w:rPr>
        <w:t xml:space="preserve">Sources </w:t>
      </w:r>
      <w:r w:rsidRPr="4A5DC047" w:rsidDel="0046151A">
        <w:rPr>
          <w:szCs w:val="24"/>
        </w:rPr>
        <w:t>and/or</w:t>
      </w:r>
      <w:r w:rsidRPr="4A5DC047">
        <w:rPr>
          <w:szCs w:val="24"/>
        </w:rPr>
        <w:t xml:space="preserve"> Sinks (</w:t>
      </w:r>
      <w:r w:rsidRPr="00D25391">
        <w:rPr>
          <w:szCs w:val="24"/>
        </w:rPr>
        <w:t xml:space="preserve">Source/Sinks), etc. is consistent and 2) the names of assets are easily identifiable in all </w:t>
      </w:r>
      <w:r>
        <w:rPr>
          <w:szCs w:val="24"/>
        </w:rPr>
        <w:t>Market Operator</w:t>
      </w:r>
      <w:r w:rsidRPr="00D25391">
        <w:rPr>
          <w:szCs w:val="24"/>
        </w:rPr>
        <w:t xml:space="preserve"> </w:t>
      </w:r>
      <w:r w:rsidRPr="4A5DC047">
        <w:rPr>
          <w:szCs w:val="24"/>
        </w:rPr>
        <w:t>Network</w:t>
      </w:r>
      <w:r w:rsidRPr="00D25391">
        <w:rPr>
          <w:szCs w:val="24"/>
        </w:rPr>
        <w:t xml:space="preserve"> and Market models, systems, etc. </w:t>
      </w:r>
      <w:r w:rsidRPr="4A5DC047">
        <w:rPr>
          <w:szCs w:val="24"/>
        </w:rPr>
        <w:t>The naming conventions primarily address the naming requirements for S</w:t>
      </w:r>
      <w:r w:rsidR="009B4A92">
        <w:rPr>
          <w:szCs w:val="24"/>
        </w:rPr>
        <w:t xml:space="preserve">ettlement </w:t>
      </w:r>
      <w:r w:rsidRPr="4A5DC047">
        <w:rPr>
          <w:szCs w:val="24"/>
        </w:rPr>
        <w:t>L</w:t>
      </w:r>
      <w:r w:rsidR="009B4A92">
        <w:rPr>
          <w:szCs w:val="24"/>
        </w:rPr>
        <w:t>ocation</w:t>
      </w:r>
      <w:r w:rsidRPr="4A5DC047">
        <w:rPr>
          <w:szCs w:val="24"/>
        </w:rPr>
        <w:t xml:space="preserve">s and MDSLs, </w:t>
      </w:r>
      <w:r w:rsidRPr="00D25391">
        <w:rPr>
          <w:szCs w:val="24"/>
        </w:rPr>
        <w:t>Source/Sinks, and other Market/model data</w:t>
      </w:r>
      <w:r w:rsidRPr="4A5DC047">
        <w:rPr>
          <w:szCs w:val="24"/>
        </w:rPr>
        <w:t xml:space="preserve"> for Market assets registered in Markets+ and used in related models and databases.  However,</w:t>
      </w:r>
      <w:r w:rsidRPr="00D25391">
        <w:rPr>
          <w:b/>
          <w:bCs/>
          <w:szCs w:val="24"/>
        </w:rPr>
        <w:t xml:space="preserve"> </w:t>
      </w:r>
      <w:r>
        <w:rPr>
          <w:szCs w:val="24"/>
        </w:rPr>
        <w:t>the Market Operator</w:t>
      </w:r>
      <w:r w:rsidRPr="4A5DC047">
        <w:rPr>
          <w:szCs w:val="24"/>
        </w:rPr>
        <w:t xml:space="preserve"> will work to ensure that the applicable asset name is consistently used in all pertinent Market Operator model data, e.g., EMS data (equipment data), Commercial Model data (Settlement Location name), MOS data (PNODENAME), and other applicable model and system data.  </w:t>
      </w:r>
    </w:p>
    <w:p w14:paraId="188341CB" w14:textId="60F73EE2" w:rsidR="003F1C49" w:rsidRPr="009C317C" w:rsidRDefault="003F1C49" w:rsidP="003F1C49">
      <w:pPr>
        <w:spacing w:line="300" w:lineRule="auto"/>
        <w:rPr>
          <w:szCs w:val="24"/>
        </w:rPr>
      </w:pPr>
      <w:r w:rsidRPr="009C317C">
        <w:rPr>
          <w:bCs/>
          <w:szCs w:val="24"/>
        </w:rPr>
        <w:t>There are five (5</w:t>
      </w:r>
      <w:r w:rsidRPr="009C317C">
        <w:rPr>
          <w:szCs w:val="24"/>
        </w:rPr>
        <w:t xml:space="preserve">) types of Settlement Locations, which are: Resource (including pseudo-tied resources), Load (including pseudo-tied loads), Trading Hub, Resource Hub, and External Interface. The information provided in the following sections address naming conventions developed for naming the five </w:t>
      </w:r>
      <w:r w:rsidR="00834FA2">
        <w:rPr>
          <w:szCs w:val="24"/>
        </w:rPr>
        <w:t xml:space="preserve">(5) </w:t>
      </w:r>
      <w:r w:rsidRPr="009C317C">
        <w:rPr>
          <w:szCs w:val="24"/>
        </w:rPr>
        <w:t xml:space="preserve">types of Settlement Locations as well as MDSLs, Source/Sinks, and other Market data.  </w:t>
      </w:r>
    </w:p>
    <w:p w14:paraId="0220A019" w14:textId="77777777" w:rsidR="00BD64CF" w:rsidRPr="00D25391" w:rsidRDefault="00BD64CF" w:rsidP="00781C61">
      <w:pPr>
        <w:pStyle w:val="Heading3"/>
      </w:pPr>
      <w:bookmarkStart w:id="7809" w:name="_Toc449947875"/>
      <w:bookmarkStart w:id="7810" w:name="_Toc159233508"/>
      <w:bookmarkStart w:id="7811" w:name="_Toc167202626"/>
      <w:bookmarkStart w:id="7812" w:name="_Toc213772077"/>
      <w:r w:rsidRPr="00D25391">
        <w:t>General Requirements</w:t>
      </w:r>
      <w:bookmarkEnd w:id="7809"/>
      <w:bookmarkEnd w:id="7810"/>
      <w:bookmarkEnd w:id="7811"/>
      <w:bookmarkEnd w:id="7812"/>
    </w:p>
    <w:p w14:paraId="38AA7EB4" w14:textId="70A030F1" w:rsidR="00BD64CF" w:rsidRPr="00D25391" w:rsidRDefault="00BD64CF" w:rsidP="00DA3CE7">
      <w:pPr>
        <w:numPr>
          <w:ilvl w:val="0"/>
          <w:numId w:val="257"/>
        </w:numPr>
        <w:spacing w:line="300" w:lineRule="auto"/>
        <w:rPr>
          <w:bCs/>
          <w:szCs w:val="24"/>
        </w:rPr>
      </w:pPr>
      <w:r w:rsidRPr="00D25391">
        <w:rPr>
          <w:bCs/>
          <w:szCs w:val="24"/>
        </w:rPr>
        <w:t xml:space="preserve">The names of Settlement Locations  and Meter Data Submittal Locations (MDSLs) </w:t>
      </w:r>
      <w:r>
        <w:rPr>
          <w:bCs/>
          <w:szCs w:val="24"/>
        </w:rPr>
        <w:t>must</w:t>
      </w:r>
      <w:r w:rsidRPr="00D25391">
        <w:rPr>
          <w:bCs/>
          <w:szCs w:val="24"/>
        </w:rPr>
        <w:t xml:space="preserve"> be in all UPPERCASE LETTERS/ALPHANUMERIC CHARACTERS and </w:t>
      </w:r>
      <w:r>
        <w:rPr>
          <w:bCs/>
          <w:szCs w:val="24"/>
        </w:rPr>
        <w:t>must</w:t>
      </w:r>
      <w:r w:rsidRPr="00D25391">
        <w:rPr>
          <w:bCs/>
          <w:szCs w:val="24"/>
        </w:rPr>
        <w:t xml:space="preserve"> not be more than twenty-five (25) characters in length.  </w:t>
      </w:r>
      <w:r w:rsidRPr="00D25391">
        <w:rPr>
          <w:szCs w:val="24"/>
        </w:rPr>
        <w:t>Each Settlement Location registered in the Market must have a unique name.</w:t>
      </w:r>
    </w:p>
    <w:p w14:paraId="7FCB8BE4" w14:textId="1DBBD7C7" w:rsidR="00BD64CF" w:rsidRPr="00D25391" w:rsidRDefault="00BD64CF" w:rsidP="00DA3CE7">
      <w:pPr>
        <w:numPr>
          <w:ilvl w:val="0"/>
          <w:numId w:val="257"/>
        </w:numPr>
        <w:spacing w:line="300" w:lineRule="auto"/>
        <w:rPr>
          <w:bCs/>
          <w:szCs w:val="24"/>
        </w:rPr>
      </w:pPr>
      <w:r w:rsidRPr="00D25391">
        <w:rPr>
          <w:bCs/>
          <w:szCs w:val="24"/>
        </w:rPr>
        <w:t xml:space="preserve">The names for Sources </w:t>
      </w:r>
      <w:r w:rsidRPr="00D25391" w:rsidDel="0046151A">
        <w:rPr>
          <w:bCs/>
          <w:szCs w:val="24"/>
        </w:rPr>
        <w:t>and/or</w:t>
      </w:r>
      <w:r w:rsidRPr="00D25391">
        <w:rPr>
          <w:bCs/>
          <w:szCs w:val="24"/>
        </w:rPr>
        <w:t xml:space="preserve"> Sinks should also be in all UPPERCASE LETTERS/ALPHANUMERIC CHARACTERS and </w:t>
      </w:r>
      <w:r>
        <w:rPr>
          <w:bCs/>
          <w:szCs w:val="24"/>
        </w:rPr>
        <w:t>must</w:t>
      </w:r>
      <w:r w:rsidRPr="00D25391">
        <w:rPr>
          <w:bCs/>
          <w:szCs w:val="24"/>
        </w:rPr>
        <w:t xml:space="preserve"> not be more than fourteen (14) characters in length.  </w:t>
      </w:r>
      <w:r w:rsidRPr="00D25391">
        <w:rPr>
          <w:szCs w:val="24"/>
        </w:rPr>
        <w:t xml:space="preserve">Each Source </w:t>
      </w:r>
      <w:r w:rsidRPr="00D25391" w:rsidDel="0046151A">
        <w:rPr>
          <w:szCs w:val="24"/>
        </w:rPr>
        <w:t>and/or</w:t>
      </w:r>
      <w:r w:rsidRPr="00D25391">
        <w:rPr>
          <w:szCs w:val="24"/>
        </w:rPr>
        <w:t xml:space="preserve"> Sink to be mapped to a</w:t>
      </w:r>
      <w:r>
        <w:rPr>
          <w:szCs w:val="24"/>
        </w:rPr>
        <w:t xml:space="preserve"> modeled</w:t>
      </w:r>
      <w:r w:rsidRPr="00D25391">
        <w:rPr>
          <w:szCs w:val="24"/>
        </w:rPr>
        <w:t xml:space="preserve"> Settlement Location must have a unique name.</w:t>
      </w:r>
    </w:p>
    <w:p w14:paraId="3EC2AC21" w14:textId="77777777" w:rsidR="00BD64CF" w:rsidRPr="00D25391" w:rsidRDefault="00BD64CF" w:rsidP="00DA3CE7">
      <w:pPr>
        <w:numPr>
          <w:ilvl w:val="0"/>
          <w:numId w:val="257"/>
        </w:numPr>
        <w:spacing w:line="300" w:lineRule="auto"/>
        <w:rPr>
          <w:bCs/>
          <w:szCs w:val="24"/>
        </w:rPr>
      </w:pPr>
      <w:r w:rsidRPr="00D25391">
        <w:t xml:space="preserve">Appropriate and approved acronyms for applicable </w:t>
      </w:r>
      <w:r>
        <w:t>Markets+</w:t>
      </w:r>
      <w:r w:rsidRPr="00D25391">
        <w:t xml:space="preserve"> Settlement Areas must be used for the Settlement Area information included in the names of Settlement Locations</w:t>
      </w:r>
      <w:r>
        <w:t xml:space="preserve"> and</w:t>
      </w:r>
      <w:r w:rsidRPr="00D25391">
        <w:t xml:space="preserve"> MDSL</w:t>
      </w:r>
      <w:r>
        <w:t>s.</w:t>
      </w:r>
      <w:r w:rsidRPr="00D25391">
        <w:t xml:space="preserve"> </w:t>
      </w:r>
    </w:p>
    <w:p w14:paraId="4D524308" w14:textId="61D333F3" w:rsidR="00BD64CF" w:rsidRPr="00D25391" w:rsidRDefault="00BD64CF" w:rsidP="00DA3CE7">
      <w:pPr>
        <w:numPr>
          <w:ilvl w:val="0"/>
          <w:numId w:val="257"/>
        </w:numPr>
        <w:spacing w:line="300" w:lineRule="auto"/>
        <w:rPr>
          <w:bCs/>
          <w:szCs w:val="24"/>
        </w:rPr>
      </w:pPr>
      <w:r w:rsidRPr="00D25391">
        <w:rPr>
          <w:bCs/>
          <w:szCs w:val="24"/>
        </w:rPr>
        <w:t xml:space="preserve">At least one MDSL will be registered and related to a registered asset Settlement Location. The applicable MDSL should have the same name and format as the registered Asset Resource Settlement Location to which it is related.  A Market Participant may register multiple MDSLs and assign them to one Settlement Location.  For this situation, the name of each additional MDSL should be similar to </w:t>
      </w:r>
      <w:r w:rsidRPr="00D25391" w:rsidDel="0046151A">
        <w:rPr>
          <w:bCs/>
          <w:szCs w:val="24"/>
        </w:rPr>
        <w:t>and/or</w:t>
      </w:r>
      <w:r w:rsidRPr="00D25391">
        <w:rPr>
          <w:bCs/>
          <w:szCs w:val="24"/>
        </w:rPr>
        <w:t xml:space="preserve"> reflect the naming aspects of the asset’s registered Settlement Location.</w:t>
      </w:r>
    </w:p>
    <w:p w14:paraId="67E269F6" w14:textId="4C8272A1" w:rsidR="00BD64CF" w:rsidRPr="00D25391" w:rsidRDefault="00BD64CF" w:rsidP="00DA3CE7">
      <w:pPr>
        <w:numPr>
          <w:ilvl w:val="0"/>
          <w:numId w:val="257"/>
        </w:numPr>
        <w:spacing w:line="300" w:lineRule="auto"/>
        <w:rPr>
          <w:bCs/>
          <w:szCs w:val="24"/>
        </w:rPr>
      </w:pPr>
      <w:r>
        <w:t>N</w:t>
      </w:r>
      <w:r w:rsidRPr="00D25391">
        <w:t>aming conventions also apply to Load and Resource assets that are pseudo-tied into the Markets+</w:t>
      </w:r>
      <w:r>
        <w:t xml:space="preserve"> </w:t>
      </w:r>
      <w:r w:rsidRPr="00D25391">
        <w:t>Footprint since they are considered to be Markets+</w:t>
      </w:r>
      <w:r>
        <w:t xml:space="preserve"> </w:t>
      </w:r>
      <w:r w:rsidRPr="00D25391">
        <w:t xml:space="preserve">Footprint assets.  </w:t>
      </w:r>
      <w:r>
        <w:t>The</w:t>
      </w:r>
      <w:r w:rsidRPr="00D25391">
        <w:t xml:space="preserve"> Settlement Area used in the names of the Settlement Locations for pseudo-tied Load and Resources will be the Settlement Area into which the Load or Resource is pseudo-tied.   </w:t>
      </w:r>
    </w:p>
    <w:p w14:paraId="7407FD52" w14:textId="77777777" w:rsidR="00BD64CF" w:rsidRPr="00D25391" w:rsidRDefault="00BD64CF" w:rsidP="00781C61">
      <w:pPr>
        <w:pStyle w:val="Heading3"/>
      </w:pPr>
      <w:bookmarkStart w:id="7813" w:name="_Toc449947876"/>
      <w:bookmarkStart w:id="7814" w:name="_Toc159233509"/>
      <w:bookmarkStart w:id="7815" w:name="_Toc167202627"/>
      <w:bookmarkStart w:id="7816" w:name="_Toc213772078"/>
      <w:r w:rsidRPr="00D25391">
        <w:t>Resource Settlement Location /Asset Name</w:t>
      </w:r>
      <w:bookmarkEnd w:id="7813"/>
      <w:bookmarkEnd w:id="7814"/>
      <w:bookmarkEnd w:id="7815"/>
      <w:bookmarkEnd w:id="7816"/>
    </w:p>
    <w:p w14:paraId="718E35C3" w14:textId="77777777" w:rsidR="00BD64CF" w:rsidRPr="00D25391" w:rsidRDefault="00BD64CF" w:rsidP="00BD64CF">
      <w:pPr>
        <w:spacing w:line="300" w:lineRule="auto"/>
        <w:rPr>
          <w:szCs w:val="24"/>
        </w:rPr>
      </w:pPr>
      <w:r w:rsidRPr="7F5E29A4">
        <w:rPr>
          <w:szCs w:val="24"/>
        </w:rPr>
        <w:t xml:space="preserve">The Market Operator will work to ensure the applicable Resource name is consistently used in model data, e.g., EMS Resource data, Commercial Model data (Settlement Location name) and MOS data (PNODENAME), etc.  The Resource Settlement Location name </w:t>
      </w:r>
      <w:r>
        <w:rPr>
          <w:szCs w:val="24"/>
        </w:rPr>
        <w:t>must</w:t>
      </w:r>
      <w:r w:rsidRPr="7F5E29A4">
        <w:rPr>
          <w:szCs w:val="24"/>
        </w:rPr>
        <w:t xml:space="preserve"> include appropriate information to uniquely distinguish the Resource from other Resources registered in Markets+.  For each option below,</w:t>
      </w:r>
      <w:r w:rsidRPr="00D25391">
        <w:rPr>
          <w:szCs w:val="24"/>
        </w:rPr>
        <w:t xml:space="preserve"> the Resource name and Unit name may be combined with no period (.) separating them.  </w:t>
      </w:r>
    </w:p>
    <w:p w14:paraId="77B16728" w14:textId="77777777" w:rsidR="00BD64CF" w:rsidRPr="00D25391" w:rsidRDefault="00BD64CF" w:rsidP="00DA3CE7">
      <w:pPr>
        <w:numPr>
          <w:ilvl w:val="0"/>
          <w:numId w:val="258"/>
        </w:numPr>
        <w:spacing w:line="300" w:lineRule="auto"/>
        <w:rPr>
          <w:szCs w:val="24"/>
        </w:rPr>
      </w:pPr>
      <w:r w:rsidRPr="7F5E29A4">
        <w:rPr>
          <w:szCs w:val="24"/>
        </w:rPr>
        <w:t xml:space="preserve">Resource Settlement Location for MP of Settlement Area – The Settlement Location name </w:t>
      </w:r>
      <w:r>
        <w:rPr>
          <w:szCs w:val="24"/>
        </w:rPr>
        <w:t>must</w:t>
      </w:r>
      <w:r w:rsidRPr="7F5E29A4">
        <w:rPr>
          <w:szCs w:val="24"/>
        </w:rPr>
        <w:t xml:space="preserve"> include the Settlement Area (SA), </w:t>
      </w:r>
      <w:r w:rsidRPr="074AC6A8">
        <w:rPr>
          <w:szCs w:val="24"/>
        </w:rPr>
        <w:t xml:space="preserve">MP/Asset Owner name/acronym, </w:t>
      </w:r>
      <w:r w:rsidRPr="7F5E29A4">
        <w:rPr>
          <w:szCs w:val="24"/>
        </w:rPr>
        <w:t>Resource name, and Unit name/ID with each separated by a period (.), as applicable. T</w:t>
      </w:r>
      <w:r w:rsidRPr="00D25391">
        <w:rPr>
          <w:szCs w:val="24"/>
        </w:rPr>
        <w:t>he Resource name and Unit name can be combined with no period (.) separating them</w:t>
      </w:r>
    </w:p>
    <w:p w14:paraId="6BCF6A55" w14:textId="77777777" w:rsidR="00BD64CF" w:rsidRPr="00D25391" w:rsidRDefault="00BD64CF" w:rsidP="00BD64CF">
      <w:pPr>
        <w:spacing w:line="300" w:lineRule="auto"/>
        <w:ind w:left="720"/>
        <w:rPr>
          <w:szCs w:val="24"/>
        </w:rPr>
      </w:pPr>
      <w:r w:rsidRPr="00D25391">
        <w:rPr>
          <w:b/>
          <w:bCs/>
          <w:szCs w:val="24"/>
        </w:rPr>
        <w:t>Example:</w:t>
      </w:r>
      <w:r w:rsidRPr="7F5E29A4">
        <w:rPr>
          <w:szCs w:val="24"/>
        </w:rPr>
        <w:t xml:space="preserve"> With Settlement Area for Resource being “AAAA”; MP/Asset Owner name being “MMMM”, Resource name being “BBBB”; unit name being “CCCC”; Settlement Location name = AAAA.MMMM.BBBB.CCCC or AAAA.MMMM.BBBBCCCC. </w:t>
      </w:r>
    </w:p>
    <w:p w14:paraId="0F2F2203" w14:textId="77777777" w:rsidR="00BD64CF" w:rsidRPr="00D25391" w:rsidRDefault="00BD64CF" w:rsidP="00781C61">
      <w:pPr>
        <w:pStyle w:val="Heading3"/>
      </w:pPr>
      <w:bookmarkStart w:id="7817" w:name="_Toc134798420"/>
      <w:bookmarkStart w:id="7818" w:name="_Toc134800716"/>
      <w:bookmarkStart w:id="7819" w:name="_Toc145061120"/>
      <w:bookmarkStart w:id="7820" w:name="_Toc145064539"/>
      <w:bookmarkStart w:id="7821" w:name="_Toc145069151"/>
      <w:bookmarkStart w:id="7822" w:name="_Toc146629023"/>
      <w:bookmarkStart w:id="7823" w:name="_Toc146630885"/>
      <w:bookmarkStart w:id="7824" w:name="_Toc146632752"/>
      <w:bookmarkStart w:id="7825" w:name="_Toc146634617"/>
      <w:bookmarkStart w:id="7826" w:name="_Toc146635492"/>
      <w:bookmarkStart w:id="7827" w:name="_Toc146794345"/>
      <w:bookmarkStart w:id="7828" w:name="_Toc146796040"/>
      <w:bookmarkStart w:id="7829" w:name="_Toc146797735"/>
      <w:bookmarkStart w:id="7830" w:name="_Toc146799427"/>
      <w:bookmarkStart w:id="7831" w:name="_Toc146802046"/>
      <w:bookmarkStart w:id="7832" w:name="_Toc146804686"/>
      <w:bookmarkStart w:id="7833" w:name="_Toc146806390"/>
      <w:bookmarkStart w:id="7834" w:name="_Toc146808096"/>
      <w:bookmarkStart w:id="7835" w:name="_Toc148706174"/>
      <w:bookmarkStart w:id="7836" w:name="_Toc149559129"/>
      <w:bookmarkStart w:id="7837" w:name="_Toc150786596"/>
      <w:bookmarkStart w:id="7838" w:name="_Toc150856074"/>
      <w:bookmarkStart w:id="7839" w:name="_Toc151993017"/>
      <w:bookmarkStart w:id="7840" w:name="_Toc152336123"/>
      <w:bookmarkStart w:id="7841" w:name="_Toc153272489"/>
      <w:bookmarkStart w:id="7842" w:name="_Toc157502331"/>
      <w:bookmarkStart w:id="7843" w:name="_Toc159233510"/>
      <w:bookmarkStart w:id="7844" w:name="_Toc167106155"/>
      <w:bookmarkStart w:id="7845" w:name="_Toc167106233"/>
      <w:bookmarkStart w:id="7846" w:name="_Toc167202520"/>
      <w:bookmarkStart w:id="7847" w:name="_Toc167202628"/>
      <w:bookmarkStart w:id="7848" w:name="_Toc134798421"/>
      <w:bookmarkStart w:id="7849" w:name="_Toc134800717"/>
      <w:bookmarkStart w:id="7850" w:name="_Toc145061121"/>
      <w:bookmarkStart w:id="7851" w:name="_Toc145064540"/>
      <w:bookmarkStart w:id="7852" w:name="_Toc145069152"/>
      <w:bookmarkStart w:id="7853" w:name="_Toc146629024"/>
      <w:bookmarkStart w:id="7854" w:name="_Toc146630886"/>
      <w:bookmarkStart w:id="7855" w:name="_Toc146632753"/>
      <w:bookmarkStart w:id="7856" w:name="_Toc146634618"/>
      <w:bookmarkStart w:id="7857" w:name="_Toc146635493"/>
      <w:bookmarkStart w:id="7858" w:name="_Toc146794346"/>
      <w:bookmarkStart w:id="7859" w:name="_Toc146796041"/>
      <w:bookmarkStart w:id="7860" w:name="_Toc146797736"/>
      <w:bookmarkStart w:id="7861" w:name="_Toc146799428"/>
      <w:bookmarkStart w:id="7862" w:name="_Toc146802047"/>
      <w:bookmarkStart w:id="7863" w:name="_Toc146804687"/>
      <w:bookmarkStart w:id="7864" w:name="_Toc146806391"/>
      <w:bookmarkStart w:id="7865" w:name="_Toc146808097"/>
      <w:bookmarkStart w:id="7866" w:name="_Toc148706175"/>
      <w:bookmarkStart w:id="7867" w:name="_Toc149559130"/>
      <w:bookmarkStart w:id="7868" w:name="_Toc150786597"/>
      <w:bookmarkStart w:id="7869" w:name="_Toc150856075"/>
      <w:bookmarkStart w:id="7870" w:name="_Toc151993018"/>
      <w:bookmarkStart w:id="7871" w:name="_Toc152336124"/>
      <w:bookmarkStart w:id="7872" w:name="_Toc153272490"/>
      <w:bookmarkStart w:id="7873" w:name="_Toc157502332"/>
      <w:bookmarkStart w:id="7874" w:name="_Toc159233511"/>
      <w:bookmarkStart w:id="7875" w:name="_Toc167106156"/>
      <w:bookmarkStart w:id="7876" w:name="_Toc167106234"/>
      <w:bookmarkStart w:id="7877" w:name="_Toc167202521"/>
      <w:bookmarkStart w:id="7878" w:name="_Toc167202629"/>
      <w:bookmarkStart w:id="7879" w:name="_Toc449947877"/>
      <w:bookmarkStart w:id="7880" w:name="_Toc159233512"/>
      <w:bookmarkStart w:id="7881" w:name="_Toc167202630"/>
      <w:bookmarkStart w:id="7882" w:name="_Toc213772079"/>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r w:rsidRPr="00D25391">
        <w:t>Load Settlement Location Name/Asset Name</w:t>
      </w:r>
      <w:bookmarkEnd w:id="7879"/>
      <w:bookmarkEnd w:id="7880"/>
      <w:bookmarkEnd w:id="7881"/>
      <w:bookmarkEnd w:id="7882"/>
    </w:p>
    <w:p w14:paraId="1E388C8E" w14:textId="77777777" w:rsidR="00BD64CF" w:rsidRPr="00D25391" w:rsidRDefault="00BD64CF" w:rsidP="00BD64CF">
      <w:pPr>
        <w:spacing w:line="300" w:lineRule="auto"/>
        <w:rPr>
          <w:bCs/>
          <w:szCs w:val="24"/>
        </w:rPr>
      </w:pPr>
      <w:r w:rsidRPr="00D25391">
        <w:rPr>
          <w:bCs/>
          <w:szCs w:val="24"/>
        </w:rPr>
        <w:t xml:space="preserve">The Load Settlement Location /Asset name </w:t>
      </w:r>
      <w:r>
        <w:rPr>
          <w:bCs/>
          <w:szCs w:val="24"/>
        </w:rPr>
        <w:t>must</w:t>
      </w:r>
      <w:r w:rsidRPr="00D25391">
        <w:rPr>
          <w:bCs/>
          <w:szCs w:val="24"/>
        </w:rPr>
        <w:t xml:space="preserve"> be consistent with the name used for the load in the latest applicable load data as well as for Source/Sinks. </w:t>
      </w:r>
      <w:r>
        <w:rPr>
          <w:bCs/>
          <w:szCs w:val="24"/>
        </w:rPr>
        <w:t>The Market Operator</w:t>
      </w:r>
      <w:r w:rsidRPr="00D25391">
        <w:rPr>
          <w:bCs/>
          <w:szCs w:val="24"/>
        </w:rPr>
        <w:t xml:space="preserve"> will work to ensure that the applicable load name is consistently used in </w:t>
      </w:r>
      <w:r>
        <w:rPr>
          <w:bCs/>
          <w:szCs w:val="24"/>
        </w:rPr>
        <w:t>m</w:t>
      </w:r>
      <w:r w:rsidRPr="00D25391">
        <w:rPr>
          <w:bCs/>
          <w:szCs w:val="24"/>
        </w:rPr>
        <w:t xml:space="preserve">odel data, e.g., EMS load data, Commercial Model data (Settlement Location Name) and MOS data (PNODENAME), etc.. The Load Settlement Location name </w:t>
      </w:r>
      <w:r>
        <w:rPr>
          <w:bCs/>
          <w:szCs w:val="24"/>
        </w:rPr>
        <w:t>must</w:t>
      </w:r>
      <w:r w:rsidRPr="00D25391">
        <w:rPr>
          <w:bCs/>
          <w:szCs w:val="24"/>
        </w:rPr>
        <w:t xml:space="preserve"> include the appropriate information, based on the type of load being registered. </w:t>
      </w:r>
    </w:p>
    <w:p w14:paraId="7A74F7A7" w14:textId="77777777" w:rsidR="00BD64CF" w:rsidRPr="00D25391" w:rsidRDefault="00BD64CF" w:rsidP="00DA3CE7">
      <w:pPr>
        <w:numPr>
          <w:ilvl w:val="0"/>
          <w:numId w:val="256"/>
        </w:numPr>
        <w:spacing w:line="300" w:lineRule="auto"/>
        <w:rPr>
          <w:szCs w:val="24"/>
        </w:rPr>
      </w:pPr>
      <w:r w:rsidRPr="7F5E29A4">
        <w:rPr>
          <w:szCs w:val="24"/>
        </w:rPr>
        <w:t>The name of a</w:t>
      </w:r>
      <w:r>
        <w:rPr>
          <w:szCs w:val="24"/>
        </w:rPr>
        <w:t>n</w:t>
      </w:r>
      <w:r w:rsidRPr="7F5E29A4">
        <w:rPr>
          <w:szCs w:val="24"/>
        </w:rPr>
        <w:t xml:space="preserve"> MP’s Load Settlement Location for loads in the Settlement Area </w:t>
      </w:r>
      <w:r>
        <w:rPr>
          <w:szCs w:val="24"/>
        </w:rPr>
        <w:t>must</w:t>
      </w:r>
      <w:r w:rsidRPr="7F5E29A4">
        <w:rPr>
          <w:szCs w:val="24"/>
        </w:rPr>
        <w:t xml:space="preserve"> include the MP’s Settlement Area (SA) </w:t>
      </w:r>
      <w:r>
        <w:rPr>
          <w:szCs w:val="24"/>
        </w:rPr>
        <w:t xml:space="preserve">followed by the MP/Asset Owner name/acronym </w:t>
      </w:r>
      <w:r w:rsidRPr="7F5E29A4">
        <w:rPr>
          <w:szCs w:val="24"/>
        </w:rPr>
        <w:t xml:space="preserve">separated by an underscore (_).  </w:t>
      </w:r>
      <w:r w:rsidRPr="7F5E29A4" w:rsidDel="1E7FC9E1">
        <w:rPr>
          <w:szCs w:val="24"/>
        </w:rPr>
        <w:t xml:space="preserve">It is also acceptable to include </w:t>
      </w:r>
      <w:r>
        <w:rPr>
          <w:szCs w:val="24"/>
        </w:rPr>
        <w:t>a load name</w:t>
      </w:r>
      <w:r w:rsidRPr="7F5E29A4" w:rsidDel="1E7FC9E1">
        <w:rPr>
          <w:szCs w:val="24"/>
        </w:rPr>
        <w:t xml:space="preserve"> as long as the naming convention character limit is not exceeded </w:t>
      </w:r>
      <w:r>
        <w:rPr>
          <w:szCs w:val="24"/>
        </w:rPr>
        <w:t>as shown below</w:t>
      </w:r>
      <w:r w:rsidRPr="00D25391">
        <w:rPr>
          <w:szCs w:val="24"/>
        </w:rPr>
        <w:t>.</w:t>
      </w:r>
      <w:r w:rsidRPr="7F5E29A4">
        <w:rPr>
          <w:szCs w:val="24"/>
        </w:rPr>
        <w:t xml:space="preserve">  </w:t>
      </w:r>
    </w:p>
    <w:p w14:paraId="744DBA3A" w14:textId="77777777" w:rsidR="00BD64CF" w:rsidRPr="00D25391" w:rsidRDefault="00BD64CF" w:rsidP="00BD64CF">
      <w:pPr>
        <w:spacing w:line="300" w:lineRule="auto"/>
        <w:ind w:left="720"/>
        <w:rPr>
          <w:szCs w:val="24"/>
        </w:rPr>
      </w:pPr>
      <w:r w:rsidRPr="00D25391">
        <w:rPr>
          <w:b/>
          <w:bCs/>
          <w:szCs w:val="24"/>
        </w:rPr>
        <w:t>Example:</w:t>
      </w:r>
      <w:r w:rsidRPr="00D25391">
        <w:rPr>
          <w:bCs/>
          <w:szCs w:val="24"/>
        </w:rPr>
        <w:t xml:space="preserve"> With MP’s Settlement Area for load being “AAAA”;</w:t>
      </w:r>
      <w:r>
        <w:rPr>
          <w:bCs/>
          <w:szCs w:val="24"/>
        </w:rPr>
        <w:t xml:space="preserve"> MP name being “MMMM”; </w:t>
      </w:r>
      <w:r w:rsidRPr="00D25391">
        <w:rPr>
          <w:bCs/>
          <w:szCs w:val="24"/>
        </w:rPr>
        <w:t>Settlement Location name = AAAA_</w:t>
      </w:r>
      <w:r>
        <w:rPr>
          <w:bCs/>
          <w:szCs w:val="24"/>
        </w:rPr>
        <w:t>MMMM or with MP’s Settlement Area for load being “AAAA”; MP name being “MMMM”, and load name being “LLLL”; Settlement Location name = AAAA_MMMM_LLLL</w:t>
      </w:r>
      <w:r w:rsidRPr="00D25391">
        <w:rPr>
          <w:bCs/>
          <w:szCs w:val="24"/>
        </w:rPr>
        <w:t>.</w:t>
      </w:r>
    </w:p>
    <w:p w14:paraId="64EE26F3" w14:textId="77777777" w:rsidR="00BD64CF" w:rsidRDefault="00BD64CF" w:rsidP="00BD64CF">
      <w:pPr>
        <w:spacing w:line="300" w:lineRule="auto"/>
        <w:ind w:left="720"/>
        <w:rPr>
          <w:szCs w:val="24"/>
        </w:rPr>
      </w:pPr>
    </w:p>
    <w:p w14:paraId="1F591710" w14:textId="77777777" w:rsidR="00BD64CF" w:rsidRPr="00D25391" w:rsidRDefault="00BD64CF" w:rsidP="00781C61">
      <w:pPr>
        <w:pStyle w:val="Heading3"/>
      </w:pPr>
      <w:bookmarkStart w:id="7883" w:name="_Toc449947878"/>
      <w:bookmarkStart w:id="7884" w:name="_Toc159233515"/>
      <w:bookmarkStart w:id="7885" w:name="_Toc167202633"/>
      <w:bookmarkStart w:id="7886" w:name="_Toc213772080"/>
      <w:r w:rsidRPr="00D25391">
        <w:t>Hub Settlement Location Name</w:t>
      </w:r>
      <w:bookmarkEnd w:id="7883"/>
      <w:bookmarkEnd w:id="7884"/>
      <w:bookmarkEnd w:id="7885"/>
      <w:bookmarkEnd w:id="7886"/>
    </w:p>
    <w:p w14:paraId="37D69209" w14:textId="437465AD" w:rsidR="00BD64CF" w:rsidRPr="00D25391" w:rsidRDefault="00BD64CF" w:rsidP="00BD64CF">
      <w:pPr>
        <w:spacing w:line="300" w:lineRule="auto"/>
      </w:pPr>
      <w:r w:rsidRPr="00D25391">
        <w:t xml:space="preserve">A Hub is a Settlement Location representing an aggregation of </w:t>
      </w:r>
      <w:r w:rsidR="002D623C">
        <w:t>Pnode</w:t>
      </w:r>
      <w:r w:rsidRPr="00D25391">
        <w:t xml:space="preserve">s as defined by </w:t>
      </w:r>
      <w:r>
        <w:t>the Market Operator in coordination with Market Participants.</w:t>
      </w:r>
      <w:r w:rsidRPr="00D25391">
        <w:t xml:space="preserve">  </w:t>
      </w:r>
      <w:r>
        <w:t>The Market Operator</w:t>
      </w:r>
      <w:r w:rsidRPr="00D25391">
        <w:t xml:space="preserve"> will determine the Settlement Location name of any approved Trading Hub developed for use in Markets+</w:t>
      </w:r>
      <w:r w:rsidRPr="00D25391" w:rsidDel="00AC2B1E">
        <w:t xml:space="preserve"> </w:t>
      </w:r>
      <w:r w:rsidRPr="00D25391">
        <w:t xml:space="preserve">and post the identification of the Hub prior to the proposed effective date.  The name of a Resource Hub is determined by the Market Participant registering the Hub and should include the MP’s acronym. </w:t>
      </w:r>
    </w:p>
    <w:p w14:paraId="3DAD3936" w14:textId="77777777" w:rsidR="00BD64CF" w:rsidRPr="00D25391" w:rsidRDefault="00BD64CF" w:rsidP="00781C61">
      <w:pPr>
        <w:pStyle w:val="Heading3"/>
      </w:pPr>
      <w:bookmarkStart w:id="7887" w:name="_Toc449947879"/>
      <w:bookmarkStart w:id="7888" w:name="_Toc159233516"/>
      <w:bookmarkStart w:id="7889" w:name="_Toc167202634"/>
      <w:bookmarkStart w:id="7890" w:name="_Toc213772081"/>
      <w:r w:rsidRPr="00D25391">
        <w:t>Tie Interface Meter Data Submittal Location (MDSL) Name</w:t>
      </w:r>
      <w:bookmarkEnd w:id="7887"/>
      <w:bookmarkEnd w:id="7888"/>
      <w:bookmarkEnd w:id="7889"/>
      <w:bookmarkEnd w:id="7890"/>
    </w:p>
    <w:p w14:paraId="3978B392" w14:textId="675E4AE1" w:rsidR="00BD64CF" w:rsidRPr="00D25391" w:rsidRDefault="00BD64CF" w:rsidP="00BD64CF">
      <w:pPr>
        <w:spacing w:line="300" w:lineRule="auto"/>
        <w:rPr>
          <w:szCs w:val="24"/>
        </w:rPr>
      </w:pPr>
      <w:r>
        <w:rPr>
          <w:szCs w:val="24"/>
        </w:rPr>
        <w:t>The Market Operator</w:t>
      </w:r>
      <w:r w:rsidRPr="00D25391">
        <w:rPr>
          <w:szCs w:val="24"/>
        </w:rPr>
        <w:t xml:space="preserve"> requires net measurements on the tie interfaces between each Settlement Area and between the Settlement Areas and the BAs external to the Markets+ Footprint.  Each Market Participant responsible for a residual load of a Settlement Area is required to register </w:t>
      </w:r>
      <w:r w:rsidR="00520363">
        <w:rPr>
          <w:szCs w:val="24"/>
        </w:rPr>
        <w:t>t</w:t>
      </w:r>
      <w:r>
        <w:rPr>
          <w:szCs w:val="24"/>
        </w:rPr>
        <w:t>ie</w:t>
      </w:r>
      <w:r w:rsidRPr="00D25391">
        <w:rPr>
          <w:szCs w:val="24"/>
        </w:rPr>
        <w:t xml:space="preserve"> </w:t>
      </w:r>
      <w:r w:rsidR="00520363">
        <w:rPr>
          <w:szCs w:val="24"/>
        </w:rPr>
        <w:t>i</w:t>
      </w:r>
      <w:r w:rsidRPr="00D25391">
        <w:rPr>
          <w:szCs w:val="24"/>
        </w:rPr>
        <w:t xml:space="preserve">nterface MDSL(s), as applicable, to </w:t>
      </w:r>
      <w:r>
        <w:rPr>
          <w:szCs w:val="24"/>
        </w:rPr>
        <w:t>account for</w:t>
      </w:r>
      <w:r w:rsidRPr="00D25391">
        <w:rPr>
          <w:szCs w:val="24"/>
        </w:rPr>
        <w:t xml:space="preserve"> the </w:t>
      </w:r>
      <w:r w:rsidR="00520363">
        <w:rPr>
          <w:szCs w:val="24"/>
        </w:rPr>
        <w:t>t</w:t>
      </w:r>
      <w:r w:rsidRPr="00D25391">
        <w:rPr>
          <w:szCs w:val="24"/>
        </w:rPr>
        <w:t xml:space="preserve">ie </w:t>
      </w:r>
      <w:r w:rsidR="00520363">
        <w:rPr>
          <w:szCs w:val="24"/>
        </w:rPr>
        <w:t>i</w:t>
      </w:r>
      <w:r w:rsidRPr="00D25391">
        <w:rPr>
          <w:szCs w:val="24"/>
        </w:rPr>
        <w:t xml:space="preserve">nterfaces and account for net tie-line flows for that Settlement Area. The format for each </w:t>
      </w:r>
      <w:r w:rsidR="00520363">
        <w:rPr>
          <w:szCs w:val="24"/>
        </w:rPr>
        <w:t>t</w:t>
      </w:r>
      <w:r w:rsidRPr="00D25391">
        <w:rPr>
          <w:szCs w:val="24"/>
        </w:rPr>
        <w:t xml:space="preserve">ie </w:t>
      </w:r>
      <w:r w:rsidR="00520363">
        <w:rPr>
          <w:szCs w:val="24"/>
        </w:rPr>
        <w:t>i</w:t>
      </w:r>
      <w:r w:rsidRPr="00D25391">
        <w:rPr>
          <w:szCs w:val="24"/>
        </w:rPr>
        <w:t>nterface is AREAX.AREAY</w:t>
      </w:r>
      <w:r>
        <w:rPr>
          <w:szCs w:val="24"/>
        </w:rPr>
        <w:t>, where AREAX and AREAY are the Settlement Area names or Balancing Authority Area names neighboring the Settlement Area.</w:t>
      </w:r>
      <w:r w:rsidRPr="00D25391">
        <w:rPr>
          <w:szCs w:val="24"/>
        </w:rPr>
        <w:t xml:space="preserve">  See additional details below:</w:t>
      </w:r>
    </w:p>
    <w:p w14:paraId="668DB18B" w14:textId="7FF71E81" w:rsidR="00BD64CF" w:rsidRDefault="00BD64CF" w:rsidP="00DA3CE7">
      <w:pPr>
        <w:pStyle w:val="ListParagraph"/>
        <w:numPr>
          <w:ilvl w:val="0"/>
          <w:numId w:val="317"/>
        </w:numPr>
        <w:spacing w:line="300" w:lineRule="auto"/>
        <w:ind w:left="720" w:hanging="540"/>
        <w:rPr>
          <w:szCs w:val="24"/>
        </w:rPr>
      </w:pPr>
      <w:r w:rsidRPr="000E6C1B">
        <w:rPr>
          <w:b/>
          <w:bCs/>
          <w:szCs w:val="24"/>
        </w:rPr>
        <w:t>Example:</w:t>
      </w:r>
      <w:r w:rsidRPr="000E6C1B">
        <w:rPr>
          <w:bCs/>
          <w:szCs w:val="24"/>
        </w:rPr>
        <w:t xml:space="preserve"> With the registering MP’s related Settlement Area acronym being “AREA1” and the </w:t>
      </w:r>
      <w:r w:rsidRPr="20F695DB">
        <w:rPr>
          <w:szCs w:val="24"/>
        </w:rPr>
        <w:t>neighboring</w:t>
      </w:r>
      <w:r w:rsidRPr="000E6C1B">
        <w:rPr>
          <w:bCs/>
          <w:szCs w:val="24"/>
        </w:rPr>
        <w:t xml:space="preserve"> Settlement Area being “AREA2”; the </w:t>
      </w:r>
      <w:r w:rsidR="00520363">
        <w:rPr>
          <w:bCs/>
          <w:szCs w:val="24"/>
        </w:rPr>
        <w:t>t</w:t>
      </w:r>
      <w:r>
        <w:rPr>
          <w:bCs/>
          <w:szCs w:val="24"/>
        </w:rPr>
        <w:t xml:space="preserve">ie </w:t>
      </w:r>
      <w:r w:rsidR="00520363">
        <w:rPr>
          <w:bCs/>
          <w:szCs w:val="24"/>
        </w:rPr>
        <w:t>i</w:t>
      </w:r>
      <w:r>
        <w:rPr>
          <w:bCs/>
          <w:szCs w:val="24"/>
        </w:rPr>
        <w:t>nterface</w:t>
      </w:r>
      <w:r w:rsidRPr="000E6C1B">
        <w:rPr>
          <w:bCs/>
          <w:szCs w:val="24"/>
        </w:rPr>
        <w:t xml:space="preserve"> MDSL name = AREA1.AREA2</w:t>
      </w:r>
      <w:r w:rsidRPr="20F695DB">
        <w:rPr>
          <w:szCs w:val="24"/>
        </w:rPr>
        <w:t>.</w:t>
      </w:r>
      <w:r w:rsidRPr="000E6C1B">
        <w:rPr>
          <w:bCs/>
          <w:szCs w:val="24"/>
        </w:rPr>
        <w:t xml:space="preserve">  </w:t>
      </w:r>
      <w:r w:rsidRPr="000E6C1B">
        <w:rPr>
          <w:szCs w:val="24"/>
        </w:rPr>
        <w:t xml:space="preserve">For each AREA1.AREA2 MDSL combination where both areas are Settlement Areas, there will also be a corresponding </w:t>
      </w:r>
      <w:r>
        <w:rPr>
          <w:szCs w:val="24"/>
        </w:rPr>
        <w:t>r</w:t>
      </w:r>
      <w:r w:rsidRPr="000E6C1B">
        <w:rPr>
          <w:szCs w:val="24"/>
        </w:rPr>
        <w:t xml:space="preserve">eciprocal </w:t>
      </w:r>
      <w:r w:rsidR="00520363">
        <w:rPr>
          <w:szCs w:val="24"/>
        </w:rPr>
        <w:t>t</w:t>
      </w:r>
      <w:r>
        <w:rPr>
          <w:szCs w:val="24"/>
        </w:rPr>
        <w:t>ie</w:t>
      </w:r>
      <w:r w:rsidRPr="000E6C1B">
        <w:rPr>
          <w:szCs w:val="24"/>
        </w:rPr>
        <w:t xml:space="preserve"> </w:t>
      </w:r>
      <w:r w:rsidR="00520363">
        <w:rPr>
          <w:szCs w:val="24"/>
        </w:rPr>
        <w:t>i</w:t>
      </w:r>
      <w:r w:rsidRPr="000E6C1B">
        <w:rPr>
          <w:szCs w:val="24"/>
        </w:rPr>
        <w:t xml:space="preserve">nterface, AREA2.AREA1.  This </w:t>
      </w:r>
      <w:r>
        <w:rPr>
          <w:szCs w:val="24"/>
        </w:rPr>
        <w:t>r</w:t>
      </w:r>
      <w:r w:rsidRPr="000E6C1B">
        <w:rPr>
          <w:szCs w:val="24"/>
        </w:rPr>
        <w:t xml:space="preserve">eciprocal </w:t>
      </w:r>
      <w:r w:rsidR="00520363">
        <w:rPr>
          <w:szCs w:val="24"/>
        </w:rPr>
        <w:t>t</w:t>
      </w:r>
      <w:r>
        <w:rPr>
          <w:szCs w:val="24"/>
        </w:rPr>
        <w:t>ie</w:t>
      </w:r>
      <w:r w:rsidRPr="000E6C1B">
        <w:rPr>
          <w:szCs w:val="24"/>
        </w:rPr>
        <w:t xml:space="preserve"> </w:t>
      </w:r>
      <w:r w:rsidR="00520363">
        <w:rPr>
          <w:szCs w:val="24"/>
        </w:rPr>
        <w:t>i</w:t>
      </w:r>
      <w:r w:rsidRPr="000E6C1B">
        <w:rPr>
          <w:szCs w:val="24"/>
        </w:rPr>
        <w:t xml:space="preserve">nterface is registered by the MP responsible for the adjacent Settlement Area and data for this MDSL must be submitted by the designated Meter Agent of the residual load owner of AREA2. </w:t>
      </w:r>
    </w:p>
    <w:p w14:paraId="64E1029A" w14:textId="77777777" w:rsidR="00BD64CF" w:rsidRPr="000E6C1B" w:rsidRDefault="00BD64CF" w:rsidP="00BD64CF">
      <w:pPr>
        <w:pStyle w:val="ListParagraph"/>
        <w:spacing w:line="300" w:lineRule="auto"/>
        <w:rPr>
          <w:szCs w:val="24"/>
        </w:rPr>
      </w:pPr>
    </w:p>
    <w:p w14:paraId="272DB75F" w14:textId="0E764E7A" w:rsidR="00BD64CF" w:rsidRPr="00D25391" w:rsidRDefault="00BD64CF" w:rsidP="00DA3CE7">
      <w:pPr>
        <w:pStyle w:val="ListParagraph"/>
        <w:numPr>
          <w:ilvl w:val="0"/>
          <w:numId w:val="317"/>
        </w:numPr>
        <w:spacing w:line="300" w:lineRule="auto"/>
        <w:ind w:left="720" w:hanging="540"/>
        <w:rPr>
          <w:szCs w:val="24"/>
        </w:rPr>
      </w:pPr>
      <w:r w:rsidRPr="000E6C1B">
        <w:rPr>
          <w:b/>
          <w:bCs/>
          <w:szCs w:val="24"/>
        </w:rPr>
        <w:t>Example:</w:t>
      </w:r>
      <w:r w:rsidRPr="000E6C1B">
        <w:rPr>
          <w:bCs/>
          <w:szCs w:val="24"/>
        </w:rPr>
        <w:t xml:space="preserve"> With </w:t>
      </w:r>
      <w:r w:rsidRPr="20F695DB">
        <w:rPr>
          <w:szCs w:val="24"/>
        </w:rPr>
        <w:t xml:space="preserve">the registering MP’s related Settlement Area acronym being “AREAM” and the neighboring </w:t>
      </w:r>
      <w:r w:rsidRPr="00DD4262">
        <w:rPr>
          <w:szCs w:val="24"/>
        </w:rPr>
        <w:t>Balancing</w:t>
      </w:r>
      <w:r w:rsidRPr="000E6C1B">
        <w:rPr>
          <w:szCs w:val="24"/>
        </w:rPr>
        <w:t xml:space="preserve"> Authority </w:t>
      </w:r>
      <w:r w:rsidRPr="20F695DB">
        <w:rPr>
          <w:szCs w:val="24"/>
        </w:rPr>
        <w:t>Area which is outside of the M+ footprint</w:t>
      </w:r>
      <w:r w:rsidRPr="000E6C1B">
        <w:rPr>
          <w:bCs/>
          <w:szCs w:val="24"/>
        </w:rPr>
        <w:t xml:space="preserve"> being “AREAE</w:t>
      </w:r>
      <w:r w:rsidRPr="20F695DB">
        <w:rPr>
          <w:szCs w:val="24"/>
        </w:rPr>
        <w:t xml:space="preserve">”; the </w:t>
      </w:r>
      <w:r w:rsidR="00520363">
        <w:rPr>
          <w:szCs w:val="24"/>
        </w:rPr>
        <w:t>t</w:t>
      </w:r>
      <w:r w:rsidRPr="20F695DB">
        <w:rPr>
          <w:szCs w:val="24"/>
        </w:rPr>
        <w:t xml:space="preserve">ie </w:t>
      </w:r>
      <w:r w:rsidR="00520363">
        <w:rPr>
          <w:szCs w:val="24"/>
        </w:rPr>
        <w:t>i</w:t>
      </w:r>
      <w:r w:rsidRPr="20F695DB">
        <w:rPr>
          <w:szCs w:val="24"/>
        </w:rPr>
        <w:t xml:space="preserve">nterface </w:t>
      </w:r>
      <w:r w:rsidRPr="000E6C1B">
        <w:rPr>
          <w:bCs/>
          <w:szCs w:val="24"/>
        </w:rPr>
        <w:t>MDSL name = AREAE.</w:t>
      </w:r>
      <w:r w:rsidRPr="20F695DB">
        <w:rPr>
          <w:szCs w:val="24"/>
        </w:rPr>
        <w:t>AREAM.</w:t>
      </w:r>
      <w:r w:rsidRPr="000E6C1B">
        <w:rPr>
          <w:bCs/>
          <w:szCs w:val="24"/>
        </w:rPr>
        <w:t xml:space="preserve">  A reciprocal MDSL is not required for </w:t>
      </w:r>
      <w:r w:rsidRPr="20F695DB">
        <w:rPr>
          <w:szCs w:val="24"/>
        </w:rPr>
        <w:t>neighboring Balancing Authority Areas.</w:t>
      </w:r>
    </w:p>
    <w:p w14:paraId="1FE080CB" w14:textId="77777777" w:rsidR="00BD64CF" w:rsidRPr="00D25391" w:rsidRDefault="00BD64CF" w:rsidP="00781C61">
      <w:pPr>
        <w:pStyle w:val="Heading3"/>
      </w:pPr>
      <w:bookmarkStart w:id="7891" w:name="_Toc449947880"/>
      <w:bookmarkStart w:id="7892" w:name="_Toc159233517"/>
      <w:bookmarkStart w:id="7893" w:name="_Toc167202635"/>
      <w:bookmarkStart w:id="7894" w:name="_Toc213772082"/>
      <w:r w:rsidRPr="00D25391">
        <w:t>Source/Sink Name</w:t>
      </w:r>
      <w:bookmarkEnd w:id="7891"/>
      <w:bookmarkEnd w:id="7892"/>
      <w:r>
        <w:t xml:space="preserve"> and Settlement Location Mapping</w:t>
      </w:r>
      <w:bookmarkEnd w:id="7893"/>
      <w:bookmarkEnd w:id="7894"/>
    </w:p>
    <w:p w14:paraId="02B9B7F4" w14:textId="6BAD6367" w:rsidR="00BD64CF" w:rsidRPr="00D25391" w:rsidRDefault="00BD64CF" w:rsidP="00BD64CF">
      <w:pPr>
        <w:spacing w:line="300" w:lineRule="auto"/>
      </w:pPr>
      <w:r w:rsidRPr="00D25391">
        <w:t xml:space="preserve">Each Settlement Location must have at least one Source </w:t>
      </w:r>
      <w:r w:rsidRPr="00D25391" w:rsidDel="0046151A">
        <w:t>and/or</w:t>
      </w:r>
      <w:r w:rsidRPr="00D25391">
        <w:t xml:space="preserve"> Sink related/mapped to it, which must be registered and activated in the NAESB EIR Source/Sink registry.  The Source/Sink should include the MP acronym and be</w:t>
      </w:r>
      <w:r w:rsidRPr="00D25391">
        <w:rPr>
          <w:bCs/>
        </w:rPr>
        <w:t xml:space="preserve"> consistent with</w:t>
      </w:r>
      <w:r w:rsidRPr="00D25391">
        <w:t>/compatible to</w:t>
      </w:r>
      <w:r w:rsidRPr="00D25391">
        <w:rPr>
          <w:bCs/>
        </w:rPr>
        <w:t xml:space="preserve"> the related Settlement Location name as well as with the name used for the asset in the latest applicable data. The Source/Sink may also be the same as the related </w:t>
      </w:r>
      <w:r w:rsidRPr="00D25391">
        <w:t xml:space="preserve">Settlement Location name; however, the Source/Sink name must be less than or equal to fourteen (14) characters.  The Source/Sink name </w:t>
      </w:r>
      <w:r>
        <w:t>must</w:t>
      </w:r>
      <w:r w:rsidRPr="00D25391">
        <w:t xml:space="preserve"> be consistent with or similar to the name used for the Resource or load asset in the latest applicable database.  In some instances, multiple </w:t>
      </w:r>
      <w:r>
        <w:t>MPs</w:t>
      </w:r>
      <w:r w:rsidRPr="00D25391">
        <w:t xml:space="preserve"> may register different sources </w:t>
      </w:r>
      <w:r w:rsidR="0046151A">
        <w:t>and</w:t>
      </w:r>
      <w:r w:rsidRPr="00D25391">
        <w:t xml:space="preserve"> sinks that represent or map to the same Settlement Location.  </w:t>
      </w:r>
    </w:p>
    <w:p w14:paraId="29D2B4B4" w14:textId="3F88913F" w:rsidR="00BD64CF" w:rsidRPr="00D25391" w:rsidRDefault="00BD64CF" w:rsidP="00781C61">
      <w:pPr>
        <w:pStyle w:val="Heading3"/>
      </w:pPr>
      <w:bookmarkStart w:id="7895" w:name="_Toc449947881"/>
      <w:bookmarkStart w:id="7896" w:name="_Toc159233518"/>
      <w:bookmarkStart w:id="7897" w:name="_Toc167202636"/>
      <w:bookmarkStart w:id="7898" w:name="_Toc213772083"/>
      <w:r w:rsidRPr="00D25391">
        <w:t xml:space="preserve">Market </w:t>
      </w:r>
      <w:r w:rsidRPr="00D25391" w:rsidDel="0046151A">
        <w:t>and/or</w:t>
      </w:r>
      <w:r w:rsidRPr="00D25391">
        <w:t xml:space="preserve"> Reliability Data Developed and Named by </w:t>
      </w:r>
      <w:bookmarkEnd w:id="7895"/>
      <w:bookmarkEnd w:id="7896"/>
      <w:bookmarkEnd w:id="7897"/>
      <w:r>
        <w:t>the Market Operator</w:t>
      </w:r>
      <w:bookmarkEnd w:id="7898"/>
    </w:p>
    <w:p w14:paraId="136B258D" w14:textId="73D0AE58" w:rsidR="00C22220" w:rsidRDefault="00BD64CF" w:rsidP="00BD64CF">
      <w:pPr>
        <w:spacing w:line="300" w:lineRule="auto"/>
      </w:pPr>
      <w:r>
        <w:t>The Market Operator</w:t>
      </w:r>
      <w:r w:rsidRPr="00D25391">
        <w:t xml:space="preserve"> will determine and provide the naming of the </w:t>
      </w:r>
      <w:r w:rsidR="002D623C">
        <w:t>Pnode</w:t>
      </w:r>
      <w:r w:rsidRPr="00D25391">
        <w:t xml:space="preserve"> name (including </w:t>
      </w:r>
      <w:r w:rsidR="002D623C">
        <w:t>Pnode</w:t>
      </w:r>
      <w:r>
        <w:t>s and</w:t>
      </w:r>
      <w:r w:rsidRPr="00D25391">
        <w:t xml:space="preserve"> </w:t>
      </w:r>
      <w:r>
        <w:t>A</w:t>
      </w:r>
      <w:r w:rsidR="002D623C">
        <w:t>Pnode</w:t>
      </w:r>
      <w:r>
        <w:t>s</w:t>
      </w:r>
      <w:r w:rsidRPr="00D25391">
        <w:t xml:space="preserve">), EMS </w:t>
      </w:r>
      <w:r w:rsidR="00520363">
        <w:t>s</w:t>
      </w:r>
      <w:r w:rsidRPr="00D25391">
        <w:t xml:space="preserve">tation name, and EMS </w:t>
      </w:r>
      <w:r w:rsidR="00520363">
        <w:t>u</w:t>
      </w:r>
      <w:r w:rsidRPr="00D25391">
        <w:t xml:space="preserve">nit name for all Market assets (Resource, aggregate load, and bus level loads) registered in the Markets+ Footprint by a Market Participant. </w:t>
      </w:r>
      <w:r>
        <w:t>The Market Operator</w:t>
      </w:r>
      <w:r w:rsidRPr="00D25391">
        <w:t xml:space="preserve"> will also determine and provide the naming of DC </w:t>
      </w:r>
      <w:r w:rsidR="00520363">
        <w:t>t</w:t>
      </w:r>
      <w:r w:rsidRPr="00D25391">
        <w:t xml:space="preserve">ies, </w:t>
      </w:r>
      <w:r w:rsidR="00520363">
        <w:t>z</w:t>
      </w:r>
      <w:r w:rsidRPr="00D25391">
        <w:t>ones, and other Market data working with MPs</w:t>
      </w:r>
      <w:r w:rsidRPr="00556598">
        <w:t xml:space="preserve">, </w:t>
      </w:r>
      <w:r w:rsidRPr="000B017C">
        <w:t>TSPs</w:t>
      </w:r>
      <w:r w:rsidRPr="00556598">
        <w:t>, TOPs</w:t>
      </w:r>
      <w:r w:rsidRPr="000B017C">
        <w:t xml:space="preserve"> and BAs</w:t>
      </w:r>
      <w:r w:rsidRPr="00556598">
        <w:t>, and</w:t>
      </w:r>
      <w:r w:rsidRPr="00D25391">
        <w:t xml:space="preserve"> others as needed.  </w:t>
      </w:r>
      <w:r>
        <w:t>The Market Operator</w:t>
      </w:r>
      <w:r w:rsidRPr="00D25391">
        <w:t xml:space="preserve"> will ensure that names selected and used for each of these data fields are consistent with</w:t>
      </w:r>
      <w:r>
        <w:t xml:space="preserve"> other</w:t>
      </w:r>
      <w:r w:rsidRPr="00D25391">
        <w:t xml:space="preserve"> names</w:t>
      </w:r>
      <w:r>
        <w:t>, including the</w:t>
      </w:r>
      <w:r w:rsidRPr="00D25391">
        <w:t xml:space="preserve"> related Settlement Location, MDSL,</w:t>
      </w:r>
      <w:r>
        <w:t xml:space="preserve"> and</w:t>
      </w:r>
      <w:r w:rsidRPr="00D25391">
        <w:t xml:space="preserve"> Source/Sink registered and used for the assets in </w:t>
      </w:r>
      <w:r>
        <w:t>Markets+</w:t>
      </w:r>
      <w:r w:rsidRPr="00D25391">
        <w:t xml:space="preserve">.  </w:t>
      </w:r>
    </w:p>
    <w:p w14:paraId="16C6D3CF" w14:textId="77777777" w:rsidR="00C22220" w:rsidRDefault="00C22220">
      <w:pPr>
        <w:spacing w:after="0"/>
        <w:jc w:val="left"/>
      </w:pPr>
      <w:r>
        <w:br w:type="page"/>
      </w:r>
    </w:p>
    <w:p w14:paraId="554A202F" w14:textId="7261B160" w:rsidR="0037262D" w:rsidRPr="00A24400" w:rsidRDefault="0037262D" w:rsidP="000872D9">
      <w:pPr>
        <w:pStyle w:val="Heading1"/>
      </w:pPr>
      <w:bookmarkStart w:id="7899" w:name="_Toc213772084"/>
      <w:r w:rsidRPr="00A24400">
        <w:t>Market System Outage and Error Handling</w:t>
      </w:r>
      <w:bookmarkEnd w:id="7899"/>
    </w:p>
    <w:p w14:paraId="17C196AD" w14:textId="37B52ECA" w:rsidR="0037262D" w:rsidRPr="00A24400" w:rsidRDefault="0037262D" w:rsidP="00556F5B">
      <w:pPr>
        <w:pStyle w:val="Heading2"/>
      </w:pPr>
      <w:bookmarkStart w:id="7900" w:name="_Toc159233520"/>
      <w:bookmarkStart w:id="7901" w:name="_Toc213772085"/>
      <w:r w:rsidRPr="00A24400">
        <w:t>Market System Outages</w:t>
      </w:r>
      <w:bookmarkEnd w:id="7900"/>
      <w:bookmarkEnd w:id="7901"/>
    </w:p>
    <w:p w14:paraId="78BE1807" w14:textId="28A6FD6A" w:rsidR="0037262D" w:rsidRPr="00A24400" w:rsidRDefault="0037262D" w:rsidP="0037262D">
      <w:pPr>
        <w:spacing w:line="300" w:lineRule="auto"/>
      </w:pPr>
      <w:r w:rsidRPr="00A24400">
        <w:t>In the event that the Day-Ahead Market system or the RTBM system incurs an outage that prevents LMPs and MCPs from being calculated for use in settlement</w:t>
      </w:r>
      <w:r>
        <w:t>s</w:t>
      </w:r>
      <w:r w:rsidRPr="00A24400">
        <w:t xml:space="preserve">, </w:t>
      </w:r>
      <w:r>
        <w:t>the Market Operator</w:t>
      </w:r>
      <w:r w:rsidRPr="00A24400">
        <w:t xml:space="preserve"> will use the following procedures to calculate prices for use in settlement</w:t>
      </w:r>
      <w:r>
        <w:t>s</w:t>
      </w:r>
      <w:r w:rsidRPr="00A24400">
        <w:t>.</w:t>
      </w:r>
    </w:p>
    <w:p w14:paraId="2FACB2B0" w14:textId="355184AB" w:rsidR="0037262D" w:rsidRPr="00A24400" w:rsidRDefault="0037262D" w:rsidP="00781C61">
      <w:pPr>
        <w:pStyle w:val="Heading3"/>
      </w:pPr>
      <w:bookmarkStart w:id="7902" w:name="_Toc159233521"/>
      <w:bookmarkStart w:id="7903" w:name="_Toc213772086"/>
      <w:r w:rsidRPr="00A24400">
        <w:t>Day-Ahead Market System Outages</w:t>
      </w:r>
      <w:bookmarkEnd w:id="7902"/>
      <w:bookmarkEnd w:id="7903"/>
    </w:p>
    <w:p w14:paraId="0F4FE461" w14:textId="77A43D96" w:rsidR="0037262D" w:rsidRPr="004A4D49" w:rsidRDefault="0037262D" w:rsidP="0037262D">
      <w:pPr>
        <w:spacing w:before="120" w:line="300" w:lineRule="auto"/>
        <w:rPr>
          <w:szCs w:val="24"/>
        </w:rPr>
      </w:pPr>
      <w:r w:rsidRPr="004A4D49">
        <w:rPr>
          <w:szCs w:val="24"/>
        </w:rPr>
        <w:t xml:space="preserve">In the event a failure of the Day-Ahead Market systems results in the loss of the ability to clear the Day-Ahead Market, the Market Operator will set the Day-Ahead Market LMP and MCP and all the components thereof to zero. </w:t>
      </w:r>
      <w:r>
        <w:rPr>
          <w:szCs w:val="24"/>
        </w:rPr>
        <w:t xml:space="preserve">Settlements will use a </w:t>
      </w:r>
      <w:r w:rsidRPr="004A4D49">
        <w:rPr>
          <w:rStyle w:val="ui-provider"/>
          <w:szCs w:val="24"/>
        </w:rPr>
        <w:t xml:space="preserve">zero </w:t>
      </w:r>
      <w:r w:rsidR="009F3349">
        <w:rPr>
          <w:rStyle w:val="ui-provider"/>
          <w:szCs w:val="24"/>
        </w:rPr>
        <w:t>(0)</w:t>
      </w:r>
      <w:r w:rsidRPr="004A4D49">
        <w:rPr>
          <w:rStyle w:val="ui-provider"/>
          <w:szCs w:val="24"/>
        </w:rPr>
        <w:t xml:space="preserve"> dollar</w:t>
      </w:r>
      <w:r>
        <w:rPr>
          <w:rStyle w:val="ui-provider"/>
          <w:szCs w:val="24"/>
        </w:rPr>
        <w:t xml:space="preserve"> value</w:t>
      </w:r>
      <w:r w:rsidRPr="004A4D49">
        <w:rPr>
          <w:rStyle w:val="ui-provider"/>
          <w:szCs w:val="24"/>
        </w:rPr>
        <w:t xml:space="preserve"> for all D</w:t>
      </w:r>
      <w:r>
        <w:rPr>
          <w:rStyle w:val="ui-provider"/>
          <w:szCs w:val="24"/>
        </w:rPr>
        <w:t>ay-</w:t>
      </w:r>
      <w:r w:rsidRPr="004A4D49">
        <w:rPr>
          <w:rStyle w:val="ui-provider"/>
          <w:szCs w:val="24"/>
        </w:rPr>
        <w:t>A</w:t>
      </w:r>
      <w:r>
        <w:rPr>
          <w:rStyle w:val="ui-provider"/>
          <w:szCs w:val="24"/>
        </w:rPr>
        <w:t>head</w:t>
      </w:r>
      <w:r w:rsidRPr="004A4D49">
        <w:rPr>
          <w:rStyle w:val="ui-provider"/>
          <w:szCs w:val="24"/>
        </w:rPr>
        <w:t xml:space="preserve"> Market charges and credits.</w:t>
      </w:r>
      <w:r w:rsidRPr="004A4D49">
        <w:rPr>
          <w:szCs w:val="24"/>
        </w:rPr>
        <w:t xml:space="preserve"> </w:t>
      </w:r>
      <w:r>
        <w:rPr>
          <w:szCs w:val="24"/>
        </w:rPr>
        <w:t>T</w:t>
      </w:r>
      <w:r w:rsidRPr="004A4D49">
        <w:rPr>
          <w:szCs w:val="24"/>
        </w:rPr>
        <w:t>he Day-Ahead RUC process will be performed assuming that there are no Day-Ahead Market commitments available.</w:t>
      </w:r>
      <w:r>
        <w:rPr>
          <w:szCs w:val="24"/>
        </w:rPr>
        <w:t xml:space="preserve"> </w:t>
      </w:r>
    </w:p>
    <w:p w14:paraId="06F919EF" w14:textId="4D96F04F" w:rsidR="0037262D" w:rsidRPr="00A24400" w:rsidRDefault="0037262D" w:rsidP="00781C61">
      <w:pPr>
        <w:pStyle w:val="Heading3"/>
      </w:pPr>
      <w:bookmarkStart w:id="7904" w:name="_Toc159233522"/>
      <w:bookmarkStart w:id="7905" w:name="_Toc213772087"/>
      <w:r>
        <w:t xml:space="preserve">Markets+ Footprint </w:t>
      </w:r>
      <w:r w:rsidRPr="00A24400">
        <w:t>Wide Real-Time Balancing Market System Outages</w:t>
      </w:r>
      <w:bookmarkEnd w:id="7904"/>
      <w:bookmarkEnd w:id="7905"/>
    </w:p>
    <w:p w14:paraId="1D649E3F" w14:textId="77777777" w:rsidR="0037262D" w:rsidRPr="00A24400" w:rsidRDefault="0037262D" w:rsidP="0037262D">
      <w:pPr>
        <w:spacing w:before="120" w:line="300" w:lineRule="auto"/>
      </w:pPr>
      <w:r w:rsidRPr="00A24400">
        <w:t>Outages of the Real-Time Balancing Market can result in the loss of Real-Time Balancing Market pricing data for use in settlements.  The following rules will apply to the calculation of RTBM LMPs and MCPs during RTBM system outages:</w:t>
      </w:r>
    </w:p>
    <w:p w14:paraId="3817A81C" w14:textId="77777777" w:rsidR="0037262D" w:rsidRPr="00A24400" w:rsidRDefault="0037262D" w:rsidP="00DA3CE7">
      <w:pPr>
        <w:numPr>
          <w:ilvl w:val="0"/>
          <w:numId w:val="236"/>
        </w:numPr>
        <w:spacing w:before="120" w:line="300" w:lineRule="auto"/>
        <w:rPr>
          <w:szCs w:val="24"/>
        </w:rPr>
      </w:pPr>
      <w:r w:rsidRPr="00A24400">
        <w:rPr>
          <w:szCs w:val="24"/>
        </w:rPr>
        <w:t xml:space="preserve">For RTBM outages of twelve (12) Dispatch Intervals or less, </w:t>
      </w:r>
      <w:r>
        <w:rPr>
          <w:szCs w:val="24"/>
        </w:rPr>
        <w:t xml:space="preserve">the estimated </w:t>
      </w:r>
      <w:r w:rsidRPr="00A24400">
        <w:rPr>
          <w:szCs w:val="24"/>
        </w:rPr>
        <w:t>LMPs, MCCs, MLCs</w:t>
      </w:r>
      <w:r>
        <w:rPr>
          <w:szCs w:val="24"/>
        </w:rPr>
        <w:t>,</w:t>
      </w:r>
      <w:r w:rsidRPr="00A24400">
        <w:rPr>
          <w:szCs w:val="24"/>
        </w:rPr>
        <w:t xml:space="preserve"> and MCPs will be set equal to the set of LMPs, MCCs, MLCs</w:t>
      </w:r>
      <w:r>
        <w:rPr>
          <w:szCs w:val="24"/>
        </w:rPr>
        <w:t>,</w:t>
      </w:r>
      <w:r w:rsidRPr="00A24400">
        <w:rPr>
          <w:szCs w:val="24"/>
        </w:rPr>
        <w:t xml:space="preserve"> and MCPs from the last successful RTBM execution.</w:t>
      </w:r>
    </w:p>
    <w:p w14:paraId="7E99101C" w14:textId="799CB0B2" w:rsidR="0037262D" w:rsidRPr="00A24400" w:rsidRDefault="0037262D" w:rsidP="00DA3CE7">
      <w:pPr>
        <w:numPr>
          <w:ilvl w:val="0"/>
          <w:numId w:val="236"/>
        </w:numPr>
        <w:spacing w:before="120" w:line="300" w:lineRule="auto"/>
        <w:rPr>
          <w:szCs w:val="24"/>
        </w:rPr>
      </w:pPr>
      <w:r w:rsidRPr="00A24400">
        <w:rPr>
          <w:szCs w:val="24"/>
        </w:rPr>
        <w:t xml:space="preserve">For RTBM outages of more than twelve (12) Dispatch Intervals, </w:t>
      </w:r>
      <w:r>
        <w:t>the Market Operator</w:t>
      </w:r>
      <w:r w:rsidRPr="00A24400">
        <w:t xml:space="preserve"> </w:t>
      </w:r>
      <w:r w:rsidRPr="00A24400">
        <w:rPr>
          <w:szCs w:val="24"/>
        </w:rPr>
        <w:t xml:space="preserve">will </w:t>
      </w:r>
      <w:r w:rsidR="00491FC9">
        <w:rPr>
          <w:szCs w:val="24"/>
        </w:rPr>
        <w:t>for RTBM settlements, use the</w:t>
      </w:r>
      <w:r w:rsidR="00491FC9" w:rsidRPr="00A24400">
        <w:rPr>
          <w:szCs w:val="24"/>
        </w:rPr>
        <w:t xml:space="preserve"> </w:t>
      </w:r>
      <w:r w:rsidRPr="00A24400">
        <w:rPr>
          <w:szCs w:val="24"/>
        </w:rPr>
        <w:t>LMPs, MCCs, MLCs</w:t>
      </w:r>
      <w:r>
        <w:rPr>
          <w:szCs w:val="24"/>
        </w:rPr>
        <w:t>,</w:t>
      </w:r>
      <w:r w:rsidRPr="00A24400">
        <w:rPr>
          <w:szCs w:val="24"/>
        </w:rPr>
        <w:t xml:space="preserve"> and MCPs </w:t>
      </w:r>
      <w:r w:rsidR="00D902A0">
        <w:rPr>
          <w:szCs w:val="24"/>
        </w:rPr>
        <w:t xml:space="preserve">generated in the Day-Ahead Market. </w:t>
      </w:r>
      <w:r w:rsidRPr="00A24400">
        <w:rPr>
          <w:szCs w:val="24"/>
        </w:rPr>
        <w:t xml:space="preserve"> To the extent that </w:t>
      </w:r>
      <w:r>
        <w:t>the Market Operator</w:t>
      </w:r>
      <w:r w:rsidRPr="00A24400">
        <w:t xml:space="preserve"> </w:t>
      </w:r>
      <w:r w:rsidRPr="00A24400">
        <w:rPr>
          <w:szCs w:val="24"/>
        </w:rPr>
        <w:t xml:space="preserve">is unable to </w:t>
      </w:r>
      <w:r w:rsidR="00D902A0">
        <w:rPr>
          <w:szCs w:val="24"/>
        </w:rPr>
        <w:t xml:space="preserve">use the </w:t>
      </w:r>
      <w:r w:rsidR="00D902A0" w:rsidRPr="00A24400">
        <w:rPr>
          <w:szCs w:val="24"/>
        </w:rPr>
        <w:t xml:space="preserve"> </w:t>
      </w:r>
      <w:r w:rsidRPr="00A24400">
        <w:rPr>
          <w:szCs w:val="24"/>
        </w:rPr>
        <w:t>LMPs, MCCs, MLCs</w:t>
      </w:r>
      <w:r>
        <w:rPr>
          <w:szCs w:val="24"/>
        </w:rPr>
        <w:t>,</w:t>
      </w:r>
      <w:r w:rsidRPr="00A24400">
        <w:rPr>
          <w:szCs w:val="24"/>
        </w:rPr>
        <w:t xml:space="preserve"> and MCPs</w:t>
      </w:r>
      <w:r w:rsidR="00D902A0">
        <w:rPr>
          <w:szCs w:val="24"/>
        </w:rPr>
        <w:t xml:space="preserve"> generated in the Day-Ahead Market</w:t>
      </w:r>
      <w:r w:rsidRPr="00A24400">
        <w:rPr>
          <w:szCs w:val="24"/>
        </w:rPr>
        <w:t xml:space="preserve">, </w:t>
      </w:r>
      <w:r>
        <w:t>the Market Operator</w:t>
      </w:r>
      <w:r w:rsidRPr="00A24400">
        <w:t xml:space="preserve"> </w:t>
      </w:r>
      <w:r w:rsidRPr="00A24400">
        <w:rPr>
          <w:szCs w:val="24"/>
        </w:rPr>
        <w:t xml:space="preserve">will </w:t>
      </w:r>
      <w:r w:rsidR="00491FC9">
        <w:rPr>
          <w:szCs w:val="24"/>
        </w:rPr>
        <w:t>re</w:t>
      </w:r>
      <w:r w:rsidR="00D902A0">
        <w:rPr>
          <w:szCs w:val="24"/>
        </w:rPr>
        <w:t>calculate</w:t>
      </w:r>
      <w:r w:rsidRPr="00A24400">
        <w:rPr>
          <w:szCs w:val="24"/>
        </w:rPr>
        <w:t xml:space="preserve"> the LMPs, MCCs, MLCs</w:t>
      </w:r>
      <w:r>
        <w:rPr>
          <w:szCs w:val="24"/>
        </w:rPr>
        <w:t>,</w:t>
      </w:r>
      <w:r w:rsidRPr="00A24400">
        <w:rPr>
          <w:szCs w:val="24"/>
        </w:rPr>
        <w:t xml:space="preserve"> and MCPs </w:t>
      </w:r>
      <w:r w:rsidR="00D902A0">
        <w:rPr>
          <w:szCs w:val="24"/>
        </w:rPr>
        <w:t xml:space="preserve">using the best data available during the RTBM system outage. </w:t>
      </w:r>
      <w:r w:rsidRPr="00A24400">
        <w:rPr>
          <w:szCs w:val="24"/>
        </w:rPr>
        <w:t xml:space="preserve"> </w:t>
      </w:r>
    </w:p>
    <w:p w14:paraId="510C0F7C" w14:textId="0B33A004" w:rsidR="0037262D" w:rsidRPr="00A24400" w:rsidRDefault="00BC4FA4" w:rsidP="00781C61">
      <w:pPr>
        <w:pStyle w:val="Heading3"/>
      </w:pPr>
      <w:bookmarkStart w:id="7906" w:name="_Toc213772088"/>
      <w:bookmarkStart w:id="7907" w:name="_Toc159233523"/>
      <w:r w:rsidRPr="00055E16">
        <w:rPr>
          <w:snapToGrid w:val="0"/>
        </w:rPr>
        <w:t>Locational Marginal Prices during Island Conditions and Markets+ Footprint Expansion Cutovers</w:t>
      </w:r>
      <w:bookmarkEnd w:id="7906"/>
      <w:r w:rsidRPr="00A24400">
        <w:t xml:space="preserve"> </w:t>
      </w:r>
      <w:bookmarkEnd w:id="7907"/>
    </w:p>
    <w:p w14:paraId="56BAF810" w14:textId="63DD24DE" w:rsidR="0037262D" w:rsidRDefault="0037262D" w:rsidP="00FE7AA5">
      <w:pPr>
        <w:pStyle w:val="Header4"/>
        <w:spacing w:before="120" w:after="120" w:line="300" w:lineRule="auto"/>
        <w:jc w:val="both"/>
        <w:rPr>
          <w:szCs w:val="20"/>
        </w:rPr>
      </w:pPr>
      <w:r>
        <w:rPr>
          <w:szCs w:val="20"/>
        </w:rPr>
        <w:t>If a portion of generation and load within the Markets+ Footprint becomes electrically isolated from the rest of the Markets+ Footprint (Island), the Market Operator will calculate LMPs and settlement components thereof for the Day-Ahead Market and the RTBM within the Island using Mitigated Offers for Resources within the Island in a manner that reflects, as closely as practicable, the LMPs and settlement components thereof within the Island that would have resulted if the RTBM systems had calculated the LMPs and settlement components thereof, and will use such data for settlement purposes within the Island for each of the Dispatch Intervals.</w:t>
      </w:r>
    </w:p>
    <w:p w14:paraId="601BEEBD" w14:textId="77777777" w:rsidR="0037262D" w:rsidRDefault="0037262D" w:rsidP="00FE7AA5">
      <w:pPr>
        <w:pStyle w:val="Normal1802"/>
        <w:spacing w:before="120" w:after="120" w:line="300" w:lineRule="auto"/>
      </w:pPr>
      <w:r>
        <w:t xml:space="preserve">If an approved RTBM solution does not include a value for the first interval a Settlement Location is effective, the Market Operator will calculate the </w:t>
      </w:r>
      <w:r>
        <w:rPr>
          <w:szCs w:val="20"/>
        </w:rPr>
        <w:t>LMPs and settlement components thereof</w:t>
      </w:r>
      <w:r>
        <w:t xml:space="preserve"> for that Settlement Location for that interval, using Mitigated Offers for Resources in a manner that reflects, as closely as practicable, the </w:t>
      </w:r>
      <w:r>
        <w:rPr>
          <w:szCs w:val="20"/>
        </w:rPr>
        <w:t>LMPs and settlement components thereof</w:t>
      </w:r>
      <w:r>
        <w:t xml:space="preserve"> that would have resulted if the RTBM systems had calculated the values, and will use such data for settlement purposes for that Settlement Location until an RTBM approves. </w:t>
      </w:r>
    </w:p>
    <w:p w14:paraId="3FA2133F" w14:textId="77777777" w:rsidR="0037262D" w:rsidRDefault="0037262D" w:rsidP="00FE7AA5">
      <w:pPr>
        <w:pStyle w:val="Normal1802"/>
        <w:spacing w:before="120" w:after="120" w:line="300" w:lineRule="auto"/>
      </w:pPr>
      <w:r>
        <w:t xml:space="preserve">No clearing of Flexibility Reserve Products will occur within the island and MCPs within the island will be set equal to zero. </w:t>
      </w:r>
    </w:p>
    <w:p w14:paraId="0A88B523" w14:textId="52CEA53A" w:rsidR="0037262D" w:rsidRPr="00A24400" w:rsidRDefault="0037262D" w:rsidP="00556F5B">
      <w:pPr>
        <w:pStyle w:val="Heading2"/>
      </w:pPr>
      <w:bookmarkStart w:id="7908" w:name="_Toc212633558"/>
      <w:bookmarkStart w:id="7909" w:name="_Toc212634239"/>
      <w:bookmarkStart w:id="7910" w:name="_Toc213746624"/>
      <w:bookmarkStart w:id="7911" w:name="_Toc213772089"/>
      <w:bookmarkStart w:id="7912" w:name="_Toc159233524"/>
      <w:bookmarkStart w:id="7913" w:name="_Ref180147511"/>
      <w:bookmarkStart w:id="7914" w:name="_Toc213772090"/>
      <w:bookmarkEnd w:id="7908"/>
      <w:bookmarkEnd w:id="7909"/>
      <w:bookmarkEnd w:id="7910"/>
      <w:bookmarkEnd w:id="7911"/>
      <w:r w:rsidRPr="000872D9">
        <w:rPr>
          <w:rStyle w:val="Heading2Char"/>
          <w:b/>
          <w:bCs/>
        </w:rPr>
        <w:t>Procedures for Correcting Prices Resulting From Market Software</w:t>
      </w:r>
      <w:r w:rsidRPr="00A24400">
        <w:t xml:space="preserve"> and Data Errors</w:t>
      </w:r>
      <w:bookmarkEnd w:id="7912"/>
      <w:bookmarkEnd w:id="7913"/>
      <w:bookmarkEnd w:id="7914"/>
    </w:p>
    <w:p w14:paraId="3999B344" w14:textId="2399EFBC" w:rsidR="0037262D" w:rsidRPr="00A24400" w:rsidRDefault="0037262D" w:rsidP="0037262D">
      <w:pPr>
        <w:spacing w:line="300" w:lineRule="auto"/>
        <w:rPr>
          <w:rFonts w:ascii="TimesNewRoman" w:hAnsi="TimesNewRoman" w:cs="TimesNewRoman"/>
          <w:szCs w:val="24"/>
        </w:rPr>
      </w:pPr>
      <w:r w:rsidRPr="00A24400">
        <w:rPr>
          <w:rFonts w:ascii="TimesNewRoman" w:hAnsi="TimesNewRoman" w:cs="TimesNewRoman"/>
          <w:szCs w:val="24"/>
        </w:rPr>
        <w:t xml:space="preserve">Market </w:t>
      </w:r>
      <w:r>
        <w:rPr>
          <w:rFonts w:ascii="TimesNewRoman" w:hAnsi="TimesNewRoman" w:cs="TimesNewRoman"/>
          <w:szCs w:val="24"/>
        </w:rPr>
        <w:t>S</w:t>
      </w:r>
      <w:r w:rsidRPr="00A24400">
        <w:rPr>
          <w:rFonts w:ascii="TimesNewRoman" w:hAnsi="TimesNewRoman" w:cs="TimesNewRoman"/>
          <w:szCs w:val="24"/>
        </w:rPr>
        <w:t xml:space="preserve">oftware </w:t>
      </w:r>
      <w:r>
        <w:rPr>
          <w:rFonts w:ascii="TimesNewRoman" w:hAnsi="TimesNewRoman" w:cs="TimesNewRoman"/>
          <w:szCs w:val="24"/>
        </w:rPr>
        <w:t>Errors</w:t>
      </w:r>
      <w:r w:rsidRPr="00A24400">
        <w:rPr>
          <w:rFonts w:ascii="TimesNewRoman" w:hAnsi="TimesNewRoman" w:cs="TimesNewRoman"/>
          <w:szCs w:val="24"/>
        </w:rPr>
        <w:t xml:space="preserve"> </w:t>
      </w:r>
      <w:r w:rsidRPr="00A24400" w:rsidDel="0046151A">
        <w:rPr>
          <w:rFonts w:ascii="TimesNewRoman" w:hAnsi="TimesNewRoman" w:cs="TimesNewRoman"/>
          <w:szCs w:val="24"/>
        </w:rPr>
        <w:t>and/or</w:t>
      </w:r>
      <w:r w:rsidRPr="00A24400">
        <w:rPr>
          <w:rFonts w:ascii="TimesNewRoman" w:hAnsi="TimesNewRoman" w:cs="TimesNewRoman"/>
          <w:szCs w:val="24"/>
        </w:rPr>
        <w:t xml:space="preserve"> Data Errors may occur in the </w:t>
      </w:r>
      <w:r>
        <w:rPr>
          <w:rFonts w:ascii="TimesNewRoman" w:hAnsi="TimesNewRoman" w:cs="TimesNewRoman"/>
          <w:szCs w:val="24"/>
        </w:rPr>
        <w:t>Day-Ahead</w:t>
      </w:r>
      <w:r w:rsidRPr="00A24400">
        <w:rPr>
          <w:rFonts w:ascii="TimesNewRoman" w:hAnsi="TimesNewRoman" w:cs="TimesNewRoman"/>
          <w:szCs w:val="24"/>
        </w:rPr>
        <w:t xml:space="preserve"> Market </w:t>
      </w:r>
      <w:r w:rsidRPr="00A24400" w:rsidDel="0046151A">
        <w:rPr>
          <w:rFonts w:ascii="TimesNewRoman" w:hAnsi="TimesNewRoman" w:cs="TimesNewRoman"/>
          <w:szCs w:val="24"/>
        </w:rPr>
        <w:t>and/or</w:t>
      </w:r>
      <w:r w:rsidRPr="00A24400">
        <w:rPr>
          <w:rFonts w:ascii="TimesNewRoman" w:hAnsi="TimesNewRoman" w:cs="TimesNewRoman"/>
          <w:szCs w:val="24"/>
        </w:rPr>
        <w:t xml:space="preserve"> RTBM and result in inaccurate LMPs</w:t>
      </w:r>
      <w:r>
        <w:rPr>
          <w:rFonts w:ascii="TimesNewRoman" w:hAnsi="TimesNewRoman" w:cs="TimesNewRoman"/>
          <w:szCs w:val="24"/>
        </w:rPr>
        <w:t>,</w:t>
      </w:r>
      <w:r w:rsidRPr="00A24400">
        <w:rPr>
          <w:rFonts w:ascii="TimesNewRoman" w:hAnsi="TimesNewRoman" w:cs="TimesNewRoman"/>
          <w:szCs w:val="24"/>
        </w:rPr>
        <w:t xml:space="preserve"> MCPs</w:t>
      </w:r>
      <w:r>
        <w:rPr>
          <w:rFonts w:ascii="TimesNewRoman" w:hAnsi="TimesNewRoman" w:cs="TimesNewRoman"/>
          <w:szCs w:val="24"/>
        </w:rPr>
        <w:t xml:space="preserve">, </w:t>
      </w:r>
      <w:r w:rsidDel="0046151A">
        <w:rPr>
          <w:rFonts w:ascii="TimesNewRoman" w:hAnsi="TimesNewRoman" w:cs="TimesNewRoman"/>
          <w:szCs w:val="24"/>
        </w:rPr>
        <w:t>and/or</w:t>
      </w:r>
      <w:r>
        <w:rPr>
          <w:rFonts w:ascii="TimesNewRoman" w:hAnsi="TimesNewRoman" w:cs="TimesNewRoman"/>
          <w:szCs w:val="24"/>
        </w:rPr>
        <w:t xml:space="preserve"> Marginal GHG Prices</w:t>
      </w:r>
      <w:r w:rsidRPr="00A24400">
        <w:rPr>
          <w:rFonts w:ascii="TimesNewRoman" w:hAnsi="TimesNewRoman" w:cs="TimesNewRoman"/>
          <w:szCs w:val="24"/>
        </w:rPr>
        <w:t xml:space="preserve">.     </w:t>
      </w:r>
    </w:p>
    <w:p w14:paraId="587F1058" w14:textId="638EC31B" w:rsidR="0037262D" w:rsidRPr="00A24400" w:rsidRDefault="0037262D" w:rsidP="0037262D">
      <w:pPr>
        <w:autoSpaceDE w:val="0"/>
        <w:autoSpaceDN w:val="0"/>
        <w:adjustRightInd w:val="0"/>
        <w:spacing w:before="120" w:line="300" w:lineRule="auto"/>
        <w:rPr>
          <w:szCs w:val="24"/>
        </w:rPr>
      </w:pPr>
      <w:r w:rsidRPr="00A24400">
        <w:rPr>
          <w:szCs w:val="24"/>
        </w:rPr>
        <w:t>The</w:t>
      </w:r>
      <w:r>
        <w:rPr>
          <w:szCs w:val="24"/>
        </w:rPr>
        <w:t>se</w:t>
      </w:r>
      <w:r w:rsidRPr="00A24400">
        <w:rPr>
          <w:szCs w:val="24"/>
        </w:rPr>
        <w:t xml:space="preserve"> occurrence</w:t>
      </w:r>
      <w:r>
        <w:rPr>
          <w:szCs w:val="24"/>
        </w:rPr>
        <w:t>s</w:t>
      </w:r>
      <w:r w:rsidRPr="00A24400">
        <w:rPr>
          <w:szCs w:val="24"/>
        </w:rPr>
        <w:t xml:space="preserve"> may warrant a revision to LMPs</w:t>
      </w:r>
      <w:r>
        <w:rPr>
          <w:szCs w:val="24"/>
        </w:rPr>
        <w:t>,</w:t>
      </w:r>
      <w:r w:rsidRPr="00A24400">
        <w:rPr>
          <w:szCs w:val="24"/>
        </w:rPr>
        <w:t xml:space="preserve"> MCPs</w:t>
      </w:r>
      <w:r>
        <w:rPr>
          <w:szCs w:val="24"/>
        </w:rPr>
        <w:t xml:space="preserve">, </w:t>
      </w:r>
      <w:r w:rsidDel="0046151A">
        <w:rPr>
          <w:szCs w:val="24"/>
        </w:rPr>
        <w:t>and/or</w:t>
      </w:r>
      <w:r>
        <w:rPr>
          <w:szCs w:val="24"/>
        </w:rPr>
        <w:t xml:space="preserve"> Marginal GHG Prices,</w:t>
      </w:r>
      <w:r w:rsidRPr="00A24400">
        <w:rPr>
          <w:szCs w:val="24"/>
        </w:rPr>
        <w:t xml:space="preserve"> and are flagged by </w:t>
      </w:r>
      <w:r>
        <w:t>the Market Operator</w:t>
      </w:r>
      <w:r w:rsidRPr="00A24400">
        <w:rPr>
          <w:szCs w:val="24"/>
        </w:rPr>
        <w:t xml:space="preserve">. </w:t>
      </w:r>
    </w:p>
    <w:p w14:paraId="1DA2D53D" w14:textId="75FF30FD" w:rsidR="0037262D" w:rsidRPr="000C3C97" w:rsidRDefault="0037262D" w:rsidP="00781C61">
      <w:pPr>
        <w:pStyle w:val="Heading3"/>
      </w:pPr>
      <w:bookmarkStart w:id="7915" w:name="_Toc254787600"/>
      <w:bookmarkStart w:id="7916" w:name="_Toc263173461"/>
      <w:bookmarkStart w:id="7917" w:name="_Toc263173682"/>
      <w:bookmarkStart w:id="7918" w:name="_Toc263173870"/>
      <w:bookmarkStart w:id="7919" w:name="_Toc263174287"/>
      <w:bookmarkStart w:id="7920" w:name="_Toc263235194"/>
      <w:bookmarkStart w:id="7921" w:name="_Toc263235838"/>
      <w:bookmarkStart w:id="7922" w:name="_Toc263429586"/>
      <w:bookmarkStart w:id="7923" w:name="_Toc263795629"/>
      <w:bookmarkStart w:id="7924" w:name="_Toc266869803"/>
      <w:bookmarkStart w:id="7925" w:name="_Ref491440241"/>
      <w:bookmarkStart w:id="7926" w:name="_Toc159233525"/>
      <w:bookmarkStart w:id="7927" w:name="_Toc213772091"/>
      <w:r w:rsidRPr="00A24400">
        <w:t xml:space="preserve">Procedures for Revising Prices in Response to Market Software and Data </w:t>
      </w:r>
      <w:r w:rsidRPr="000C3C97">
        <w:t>Errors</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14:paraId="0ADB53C3" w14:textId="64F6EF43" w:rsidR="0037262D" w:rsidRDefault="0037262D" w:rsidP="0037262D">
      <w:pPr>
        <w:pStyle w:val="Normal1440"/>
        <w:spacing w:line="300" w:lineRule="auto"/>
      </w:pPr>
      <w:r w:rsidRPr="000C3C97">
        <w:rPr>
          <w:rFonts w:cs="Times New Roman"/>
        </w:rPr>
        <w:t>In accordance with the process set forth in</w:t>
      </w:r>
      <w:r w:rsidRPr="000C3C97" w:rsidDel="000C778D">
        <w:rPr>
          <w:rFonts w:cs="Times New Roman"/>
        </w:rPr>
        <w:t xml:space="preserve"> </w:t>
      </w:r>
      <w:r w:rsidRPr="00007B62">
        <w:rPr>
          <w:rFonts w:cs="Times New Roman"/>
        </w:rPr>
        <w:t>Attachment A of the Markets+ Tariff</w:t>
      </w:r>
      <w:r w:rsidRPr="000C3C97">
        <w:rPr>
          <w:rFonts w:cs="Times New Roman"/>
        </w:rPr>
        <w:t xml:space="preserve">, </w:t>
      </w:r>
      <w:r w:rsidRPr="000C3C97">
        <w:t xml:space="preserve">The Market Operator, in its sole discretion, may make LMP, Marginal GHG Price, and MCP corrections, and such corrections will be made in accordance with </w:t>
      </w:r>
      <w:r w:rsidR="002A5029">
        <w:t>Attachment A of the  Markets+ Tariff</w:t>
      </w:r>
      <w:r w:rsidRPr="000C3C97">
        <w:t xml:space="preserve">.  Such price corrections may only be performed if the underlying causes result in a significant Day-Ahead or Real-Time Balancing Market impact.  In the exercise of its discretion pursuant to </w:t>
      </w:r>
      <w:r w:rsidR="002A5029">
        <w:t xml:space="preserve">Attachment A of the  Markets+ Tariff </w:t>
      </w:r>
      <w:r w:rsidRPr="000C3C97">
        <w:t>, the Market Operator may consider all relevant facts, including, but not limited to, the degree</w:t>
      </w:r>
      <w:r>
        <w:t xml:space="preserve"> of the economic impact to the market results in terms of production cost. For purposes of this section, "production cost" is defined as the settlement cost for the market and can be calculated as the sum of the cleared MW * LMP plus cleared Flexibility Reserve Products * MCP plus start-up and no-load costs plus </w:t>
      </w:r>
      <w:r w:rsidRPr="002A0273">
        <w:t>Marginal GHG Price</w:t>
      </w:r>
      <w:r>
        <w:t xml:space="preserve"> * GHG attributed MW for all Resources.</w:t>
      </w:r>
    </w:p>
    <w:p w14:paraId="29BDE0F6" w14:textId="77777777" w:rsidR="002A5029" w:rsidRDefault="002A5029" w:rsidP="0037262D">
      <w:pPr>
        <w:pStyle w:val="Normal1440"/>
        <w:spacing w:line="300" w:lineRule="auto"/>
      </w:pPr>
    </w:p>
    <w:p w14:paraId="14F31847" w14:textId="0E90E12E" w:rsidR="0037262D" w:rsidRPr="00701EA7" w:rsidRDefault="0037262D" w:rsidP="00574EDE">
      <w:pPr>
        <w:pStyle w:val="Heading4"/>
      </w:pPr>
      <w:bookmarkStart w:id="7928" w:name="_Toc263173462"/>
      <w:bookmarkStart w:id="7929" w:name="_Toc263174288"/>
      <w:bookmarkStart w:id="7930" w:name="_Toc263429587"/>
      <w:bookmarkStart w:id="7931" w:name="_Toc263795630"/>
      <w:bookmarkStart w:id="7932" w:name="_Toc266869804"/>
      <w:bookmarkStart w:id="7933" w:name="_Toc159233526"/>
      <w:bookmarkStart w:id="7934" w:name="_Toc213772092"/>
      <w:r w:rsidRPr="00701EA7">
        <w:t>Notice to Market Participants and the Public</w:t>
      </w:r>
      <w:bookmarkEnd w:id="7928"/>
      <w:bookmarkEnd w:id="7929"/>
      <w:bookmarkEnd w:id="7930"/>
      <w:bookmarkEnd w:id="7931"/>
      <w:bookmarkEnd w:id="7932"/>
      <w:bookmarkEnd w:id="7933"/>
      <w:bookmarkEnd w:id="7934"/>
    </w:p>
    <w:p w14:paraId="4CF7182F" w14:textId="24C057F2" w:rsidR="0037262D" w:rsidRPr="00A24400" w:rsidRDefault="0037262D" w:rsidP="0037262D">
      <w:pPr>
        <w:spacing w:before="120" w:line="300" w:lineRule="auto"/>
        <w:rPr>
          <w:b/>
        </w:rPr>
      </w:pPr>
      <w:bookmarkStart w:id="7935" w:name="_Toc263173463"/>
      <w:bookmarkStart w:id="7936" w:name="_Toc263174289"/>
      <w:bookmarkStart w:id="7937" w:name="_Toc263429588"/>
      <w:bookmarkStart w:id="7938" w:name="_Toc263795631"/>
      <w:bookmarkStart w:id="7939" w:name="_Toc266869805"/>
      <w:r w:rsidRPr="00A24400">
        <w:rPr>
          <w:szCs w:val="24"/>
        </w:rPr>
        <w:t xml:space="preserve">If </w:t>
      </w:r>
      <w:r>
        <w:t>the Market Operator</w:t>
      </w:r>
      <w:r w:rsidRPr="00A24400">
        <w:t xml:space="preserve"> </w:t>
      </w:r>
      <w:r w:rsidRPr="00A24400">
        <w:rPr>
          <w:szCs w:val="24"/>
        </w:rPr>
        <w:t xml:space="preserve">determines per </w:t>
      </w:r>
      <w:r>
        <w:rPr>
          <w:szCs w:val="24"/>
        </w:rPr>
        <w:t>Attachment A of the Markets+ Tariff</w:t>
      </w:r>
      <w:r w:rsidRPr="00A24400">
        <w:rPr>
          <w:szCs w:val="24"/>
        </w:rPr>
        <w:t xml:space="preserve"> that a </w:t>
      </w:r>
      <w:r w:rsidR="00CF6601">
        <w:rPr>
          <w:szCs w:val="24"/>
        </w:rPr>
        <w:t>M</w:t>
      </w:r>
      <w:r w:rsidR="00CF6601" w:rsidRPr="00A24400">
        <w:rPr>
          <w:szCs w:val="24"/>
        </w:rPr>
        <w:t xml:space="preserve">arket </w:t>
      </w:r>
      <w:r w:rsidR="00CF6601">
        <w:rPr>
          <w:szCs w:val="24"/>
        </w:rPr>
        <w:t>S</w:t>
      </w:r>
      <w:r w:rsidR="00CF6601" w:rsidRPr="00A24400">
        <w:rPr>
          <w:szCs w:val="24"/>
        </w:rPr>
        <w:t>oftware</w:t>
      </w:r>
      <w:r w:rsidRPr="00A24400">
        <w:rPr>
          <w:szCs w:val="24"/>
        </w:rPr>
        <w:t xml:space="preserve"> </w:t>
      </w:r>
      <w:r w:rsidRPr="00A24400" w:rsidDel="0046151A">
        <w:rPr>
          <w:szCs w:val="24"/>
        </w:rPr>
        <w:t>and/or</w:t>
      </w:r>
      <w:r w:rsidRPr="00A24400">
        <w:rPr>
          <w:szCs w:val="24"/>
        </w:rPr>
        <w:t xml:space="preserve"> Data Error has occurred that requires a correction of one or more LMPs</w:t>
      </w:r>
      <w:r>
        <w:rPr>
          <w:szCs w:val="24"/>
        </w:rPr>
        <w:t>, Marginal GHG Prices,</w:t>
      </w:r>
      <w:r w:rsidRPr="00A24400">
        <w:rPr>
          <w:szCs w:val="24"/>
        </w:rPr>
        <w:t xml:space="preserve"> </w:t>
      </w:r>
      <w:r w:rsidRPr="00A24400" w:rsidDel="0046151A">
        <w:rPr>
          <w:szCs w:val="24"/>
        </w:rPr>
        <w:t>and/or</w:t>
      </w:r>
      <w:r w:rsidRPr="00A24400">
        <w:rPr>
          <w:szCs w:val="24"/>
        </w:rPr>
        <w:t xml:space="preserve"> MCPs, </w:t>
      </w:r>
      <w:r>
        <w:t>the Market Operator</w:t>
      </w:r>
      <w:r w:rsidRPr="00A24400">
        <w:t xml:space="preserve"> </w:t>
      </w:r>
      <w:r>
        <w:rPr>
          <w:szCs w:val="24"/>
        </w:rPr>
        <w:t>will</w:t>
      </w:r>
      <w:r w:rsidRPr="00A24400">
        <w:rPr>
          <w:szCs w:val="24"/>
        </w:rPr>
        <w:t xml:space="preserve"> notify Market Participants of the contemplated price correction.  If </w:t>
      </w:r>
      <w:r>
        <w:t>the Market Operator</w:t>
      </w:r>
      <w:r w:rsidRPr="00A24400">
        <w:t xml:space="preserve"> </w:t>
      </w:r>
      <w:r w:rsidRPr="00A24400">
        <w:rPr>
          <w:szCs w:val="24"/>
        </w:rPr>
        <w:t xml:space="preserve">provides notification of the contemplated price correction later than </w:t>
      </w:r>
      <w:r>
        <w:rPr>
          <w:szCs w:val="24"/>
        </w:rPr>
        <w:t>23:59</w:t>
      </w:r>
      <w:r w:rsidRPr="00A24400">
        <w:rPr>
          <w:szCs w:val="24"/>
        </w:rPr>
        <w:t xml:space="preserve"> hours </w:t>
      </w:r>
      <w:r w:rsidR="00EA5F4B">
        <w:rPr>
          <w:szCs w:val="24"/>
        </w:rPr>
        <w:t>PPT</w:t>
      </w:r>
      <w:r w:rsidRPr="00A24400">
        <w:rPr>
          <w:szCs w:val="24"/>
        </w:rPr>
        <w:t xml:space="preserve"> five (5) </w:t>
      </w:r>
      <w:r w:rsidR="00DF5ADA">
        <w:rPr>
          <w:szCs w:val="24"/>
        </w:rPr>
        <w:t>Business</w:t>
      </w:r>
      <w:r w:rsidRPr="00A24400">
        <w:rPr>
          <w:szCs w:val="24"/>
        </w:rPr>
        <w:t xml:space="preserve"> Days following the </w:t>
      </w:r>
      <w:r w:rsidR="002A5029">
        <w:rPr>
          <w:szCs w:val="24"/>
        </w:rPr>
        <w:t>O</w:t>
      </w:r>
      <w:r w:rsidRPr="00A24400">
        <w:rPr>
          <w:szCs w:val="24"/>
        </w:rPr>
        <w:t xml:space="preserve">perating </w:t>
      </w:r>
      <w:r w:rsidR="002A5029">
        <w:rPr>
          <w:szCs w:val="24"/>
        </w:rPr>
        <w:t>D</w:t>
      </w:r>
      <w:r w:rsidR="002A5029" w:rsidRPr="00A24400">
        <w:rPr>
          <w:szCs w:val="24"/>
        </w:rPr>
        <w:t>ay</w:t>
      </w:r>
      <w:r w:rsidRPr="00A24400">
        <w:rPr>
          <w:szCs w:val="24"/>
        </w:rPr>
        <w:t xml:space="preserve"> in which the LMPs</w:t>
      </w:r>
      <w:r>
        <w:rPr>
          <w:szCs w:val="24"/>
        </w:rPr>
        <w:t>, Marginal GHG Prices,</w:t>
      </w:r>
      <w:r w:rsidRPr="00A24400">
        <w:rPr>
          <w:szCs w:val="24"/>
        </w:rPr>
        <w:t xml:space="preserve"> and MCPs would be affected by the contemplated price correction, </w:t>
      </w:r>
      <w:r>
        <w:t>the Market Operator</w:t>
      </w:r>
      <w:r w:rsidRPr="00A24400">
        <w:t xml:space="preserve"> </w:t>
      </w:r>
      <w:r>
        <w:rPr>
          <w:szCs w:val="24"/>
        </w:rPr>
        <w:t>will</w:t>
      </w:r>
      <w:r w:rsidRPr="00A24400">
        <w:rPr>
          <w:szCs w:val="24"/>
        </w:rPr>
        <w:t xml:space="preserve"> request Commission approval prior to making the price correction.  </w:t>
      </w:r>
      <w:r>
        <w:rPr>
          <w:szCs w:val="24"/>
        </w:rPr>
        <w:t>T</w:t>
      </w:r>
      <w:r>
        <w:t>he Market Operator</w:t>
      </w:r>
      <w:r w:rsidRPr="00A24400">
        <w:t xml:space="preserve"> </w:t>
      </w:r>
      <w:r>
        <w:rPr>
          <w:szCs w:val="24"/>
        </w:rPr>
        <w:t>will</w:t>
      </w:r>
      <w:r w:rsidRPr="00A24400">
        <w:rPr>
          <w:szCs w:val="24"/>
        </w:rPr>
        <w:t xml:space="preserve"> utilize the following repricing notification process prior to requesting Commission approval:</w:t>
      </w:r>
      <w:bookmarkEnd w:id="7935"/>
      <w:bookmarkEnd w:id="7936"/>
      <w:bookmarkEnd w:id="7937"/>
      <w:bookmarkEnd w:id="7938"/>
      <w:bookmarkEnd w:id="7939"/>
    </w:p>
    <w:p w14:paraId="3E67AC59" w14:textId="0FB9BD85" w:rsidR="0037262D" w:rsidRPr="00A24400" w:rsidRDefault="0037262D" w:rsidP="00DA3CE7">
      <w:pPr>
        <w:numPr>
          <w:ilvl w:val="0"/>
          <w:numId w:val="215"/>
        </w:numPr>
        <w:spacing w:before="120" w:line="300" w:lineRule="auto"/>
        <w:ind w:left="720" w:hanging="540"/>
        <w:rPr>
          <w:szCs w:val="24"/>
        </w:rPr>
      </w:pPr>
      <w:r w:rsidRPr="00A24400">
        <w:rPr>
          <w:szCs w:val="24"/>
        </w:rPr>
        <w:t xml:space="preserve">First, </w:t>
      </w:r>
      <w:r>
        <w:t>the Market Operator</w:t>
      </w:r>
      <w:r w:rsidRPr="00A24400">
        <w:t xml:space="preserve"> </w:t>
      </w:r>
      <w:r>
        <w:rPr>
          <w:szCs w:val="24"/>
        </w:rPr>
        <w:t>will</w:t>
      </w:r>
      <w:r w:rsidRPr="00A24400">
        <w:rPr>
          <w:szCs w:val="24"/>
        </w:rPr>
        <w:t xml:space="preserve"> review with the appropriate Markets+ organizational group the proposal for the price correction and the schedule for remediating the market software </w:t>
      </w:r>
      <w:r w:rsidRPr="00A24400" w:rsidDel="0046151A">
        <w:rPr>
          <w:szCs w:val="24"/>
        </w:rPr>
        <w:t>and/or</w:t>
      </w:r>
      <w:r w:rsidRPr="00A24400">
        <w:rPr>
          <w:szCs w:val="24"/>
        </w:rPr>
        <w:t xml:space="preserve"> Data Error causing the need for price correction;</w:t>
      </w:r>
    </w:p>
    <w:p w14:paraId="2A4BB40A" w14:textId="71F068E3" w:rsidR="0037262D" w:rsidRPr="00A24400" w:rsidRDefault="0037262D" w:rsidP="00DA3CE7">
      <w:pPr>
        <w:numPr>
          <w:ilvl w:val="0"/>
          <w:numId w:val="215"/>
        </w:numPr>
        <w:tabs>
          <w:tab w:val="num" w:pos="720"/>
        </w:tabs>
        <w:spacing w:before="120" w:line="300" w:lineRule="auto"/>
        <w:ind w:left="720" w:hanging="540"/>
        <w:rPr>
          <w:szCs w:val="24"/>
        </w:rPr>
      </w:pPr>
      <w:r w:rsidRPr="00A24400">
        <w:rPr>
          <w:szCs w:val="24"/>
        </w:rPr>
        <w:t xml:space="preserve">Second, </w:t>
      </w:r>
      <w:r>
        <w:t>the Market Operator</w:t>
      </w:r>
      <w:r w:rsidRPr="00A24400">
        <w:t xml:space="preserve"> </w:t>
      </w:r>
      <w:r>
        <w:rPr>
          <w:szCs w:val="24"/>
        </w:rPr>
        <w:t>will</w:t>
      </w:r>
      <w:r w:rsidRPr="00A24400">
        <w:rPr>
          <w:szCs w:val="24"/>
        </w:rPr>
        <w:t xml:space="preserve"> review the proposal with the Markets</w:t>
      </w:r>
      <w:r w:rsidR="009D7C79">
        <w:rPr>
          <w:szCs w:val="24"/>
        </w:rPr>
        <w:t>+</w:t>
      </w:r>
      <w:r w:rsidRPr="00A24400">
        <w:rPr>
          <w:szCs w:val="24"/>
        </w:rPr>
        <w:t xml:space="preserve"> Executive Committee (MPEC) and the Markets+ Independent Panel (MIP); and</w:t>
      </w:r>
    </w:p>
    <w:p w14:paraId="3546B814" w14:textId="77777777" w:rsidR="0037262D" w:rsidRPr="00A24400" w:rsidRDefault="0037262D" w:rsidP="00DA3CE7">
      <w:pPr>
        <w:numPr>
          <w:ilvl w:val="0"/>
          <w:numId w:val="215"/>
        </w:numPr>
        <w:tabs>
          <w:tab w:val="num" w:pos="720"/>
        </w:tabs>
        <w:spacing w:before="120" w:line="300" w:lineRule="auto"/>
        <w:ind w:left="720" w:hanging="540"/>
        <w:rPr>
          <w:szCs w:val="24"/>
        </w:rPr>
      </w:pPr>
      <w:r w:rsidRPr="00A24400">
        <w:rPr>
          <w:szCs w:val="24"/>
        </w:rPr>
        <w:t xml:space="preserve">Third, </w:t>
      </w:r>
      <w:r>
        <w:t>the Market Operator</w:t>
      </w:r>
      <w:r w:rsidRPr="00A24400">
        <w:t xml:space="preserve"> </w:t>
      </w:r>
      <w:r>
        <w:rPr>
          <w:szCs w:val="24"/>
        </w:rPr>
        <w:t>will</w:t>
      </w:r>
      <w:r w:rsidRPr="00A24400">
        <w:rPr>
          <w:szCs w:val="24"/>
        </w:rPr>
        <w:t xml:space="preserve"> file the request for approval with the Commission.</w:t>
      </w:r>
    </w:p>
    <w:p w14:paraId="7510A5F0" w14:textId="2EF4BF68" w:rsidR="0037262D" w:rsidRPr="00A24400" w:rsidRDefault="0037262D" w:rsidP="00574EDE">
      <w:pPr>
        <w:pStyle w:val="Heading4"/>
      </w:pPr>
      <w:bookmarkStart w:id="7940" w:name="_Toc266869806"/>
      <w:bookmarkStart w:id="7941" w:name="_Toc159233527"/>
      <w:bookmarkStart w:id="7942" w:name="_Toc213772093"/>
      <w:bookmarkStart w:id="7943" w:name="_Toc263173464"/>
      <w:bookmarkStart w:id="7944" w:name="_Toc263174290"/>
      <w:bookmarkStart w:id="7945" w:name="_Toc263429589"/>
      <w:bookmarkStart w:id="7946" w:name="_Toc263795632"/>
      <w:r w:rsidRPr="00A24400">
        <w:t>Process for Recalculating</w:t>
      </w:r>
      <w:r w:rsidR="00966B55">
        <w:t xml:space="preserve"> Day-Ahead </w:t>
      </w:r>
      <w:r w:rsidRPr="00A24400">
        <w:t>Market Cleared Amounts and Prices</w:t>
      </w:r>
      <w:bookmarkEnd w:id="7940"/>
      <w:bookmarkEnd w:id="7941"/>
      <w:bookmarkEnd w:id="7942"/>
    </w:p>
    <w:p w14:paraId="1ABADDC1" w14:textId="3B0F073B" w:rsidR="0037262D" w:rsidRPr="00A24400" w:rsidRDefault="0037262D" w:rsidP="0037262D">
      <w:pPr>
        <w:spacing w:line="300" w:lineRule="auto"/>
        <w:rPr>
          <w:szCs w:val="24"/>
        </w:rPr>
      </w:pPr>
      <w:r>
        <w:t>The Market Operator</w:t>
      </w:r>
      <w:r w:rsidRPr="00A24400">
        <w:t xml:space="preserve"> </w:t>
      </w:r>
      <w:r>
        <w:rPr>
          <w:szCs w:val="24"/>
        </w:rPr>
        <w:t>will</w:t>
      </w:r>
      <w:r w:rsidRPr="00A24400">
        <w:rPr>
          <w:szCs w:val="24"/>
        </w:rPr>
        <w:t xml:space="preserve"> recalculate LMPs, MCPs</w:t>
      </w:r>
      <w:r>
        <w:rPr>
          <w:szCs w:val="24"/>
        </w:rPr>
        <w:t>, Marginal GHG Prices,</w:t>
      </w:r>
      <w:r w:rsidRPr="00A24400">
        <w:rPr>
          <w:szCs w:val="24"/>
        </w:rPr>
        <w:t xml:space="preserve"> and </w:t>
      </w:r>
      <w:r>
        <w:rPr>
          <w:szCs w:val="24"/>
        </w:rPr>
        <w:t>Day-Ahead</w:t>
      </w:r>
      <w:r w:rsidRPr="00A24400">
        <w:rPr>
          <w:szCs w:val="24"/>
        </w:rPr>
        <w:t xml:space="preserve"> Market cleared </w:t>
      </w:r>
      <w:r>
        <w:rPr>
          <w:szCs w:val="24"/>
        </w:rPr>
        <w:t>quantities</w:t>
      </w:r>
      <w:r w:rsidRPr="00A24400">
        <w:rPr>
          <w:szCs w:val="24"/>
        </w:rPr>
        <w:t xml:space="preserve"> in a manner that reflects, as closely as practicable, the </w:t>
      </w:r>
      <w:r>
        <w:rPr>
          <w:szCs w:val="24"/>
        </w:rPr>
        <w:t>Day-Ahead</w:t>
      </w:r>
      <w:r w:rsidRPr="00A24400">
        <w:rPr>
          <w:szCs w:val="24"/>
        </w:rPr>
        <w:t xml:space="preserve"> Market results that would have resulted but for the </w:t>
      </w:r>
      <w:r>
        <w:rPr>
          <w:szCs w:val="24"/>
        </w:rPr>
        <w:t xml:space="preserve">relevant </w:t>
      </w:r>
      <w:r w:rsidR="00EA5F4B">
        <w:rPr>
          <w:szCs w:val="24"/>
        </w:rPr>
        <w:t>M</w:t>
      </w:r>
      <w:r w:rsidR="00EA5F4B" w:rsidRPr="00A24400">
        <w:rPr>
          <w:szCs w:val="24"/>
        </w:rPr>
        <w:t xml:space="preserve">arket </w:t>
      </w:r>
      <w:r w:rsidR="00EA5F4B">
        <w:rPr>
          <w:szCs w:val="24"/>
        </w:rPr>
        <w:t>S</w:t>
      </w:r>
      <w:r w:rsidR="00EA5F4B" w:rsidRPr="00A24400">
        <w:rPr>
          <w:szCs w:val="24"/>
        </w:rPr>
        <w:t>oftware</w:t>
      </w:r>
      <w:r w:rsidRPr="00A24400">
        <w:rPr>
          <w:szCs w:val="24"/>
        </w:rPr>
        <w:t xml:space="preserve"> </w:t>
      </w:r>
      <w:r w:rsidRPr="00A24400" w:rsidDel="0046151A">
        <w:rPr>
          <w:szCs w:val="24"/>
        </w:rPr>
        <w:t>and/or</w:t>
      </w:r>
      <w:r w:rsidRPr="00A24400">
        <w:rPr>
          <w:szCs w:val="24"/>
        </w:rPr>
        <w:t xml:space="preserve"> Data Error while maintaining the original </w:t>
      </w:r>
      <w:r>
        <w:rPr>
          <w:szCs w:val="24"/>
        </w:rPr>
        <w:t>Day-Ahead</w:t>
      </w:r>
      <w:r w:rsidRPr="00A24400">
        <w:rPr>
          <w:szCs w:val="24"/>
        </w:rPr>
        <w:t xml:space="preserve"> Market unit commitment.  </w:t>
      </w:r>
      <w:r>
        <w:t>The Market Operator</w:t>
      </w:r>
      <w:r w:rsidRPr="00A24400">
        <w:t xml:space="preserve"> </w:t>
      </w:r>
      <w:r>
        <w:rPr>
          <w:szCs w:val="24"/>
        </w:rPr>
        <w:t>will</w:t>
      </w:r>
      <w:r w:rsidRPr="00A24400">
        <w:rPr>
          <w:szCs w:val="24"/>
        </w:rPr>
        <w:t xml:space="preserve"> perform a</w:t>
      </w:r>
      <w:r>
        <w:rPr>
          <w:szCs w:val="24"/>
        </w:rPr>
        <w:t>ny necessary</w:t>
      </w:r>
      <w:r w:rsidRPr="00A24400">
        <w:rPr>
          <w:szCs w:val="24"/>
        </w:rPr>
        <w:t xml:space="preserve"> settlement</w:t>
      </w:r>
      <w:r>
        <w:rPr>
          <w:szCs w:val="24"/>
        </w:rPr>
        <w:t xml:space="preserve"> recalculation</w:t>
      </w:r>
      <w:r w:rsidRPr="00A24400">
        <w:rPr>
          <w:szCs w:val="24"/>
        </w:rPr>
        <w:t xml:space="preserve"> using these </w:t>
      </w:r>
      <w:r>
        <w:rPr>
          <w:szCs w:val="24"/>
        </w:rPr>
        <w:t>updated Day-Ahead Market results</w:t>
      </w:r>
      <w:r w:rsidRPr="00A24400">
        <w:rPr>
          <w:szCs w:val="24"/>
        </w:rPr>
        <w:t xml:space="preserve">, if required.  Such recalculated </w:t>
      </w:r>
      <w:r>
        <w:rPr>
          <w:szCs w:val="24"/>
        </w:rPr>
        <w:t>Day-Ahead</w:t>
      </w:r>
      <w:r w:rsidRPr="00A24400">
        <w:rPr>
          <w:szCs w:val="24"/>
        </w:rPr>
        <w:t xml:space="preserve"> Market results </w:t>
      </w:r>
      <w:r>
        <w:rPr>
          <w:szCs w:val="24"/>
        </w:rPr>
        <w:t>will</w:t>
      </w:r>
      <w:r w:rsidRPr="00A24400">
        <w:rPr>
          <w:szCs w:val="24"/>
        </w:rPr>
        <w:t xml:space="preserve"> be provided to Market Participants in the same manner as </w:t>
      </w:r>
      <w:r>
        <w:rPr>
          <w:szCs w:val="24"/>
        </w:rPr>
        <w:t>the original Day-Ahead Market results</w:t>
      </w:r>
      <w:r w:rsidRPr="00A24400">
        <w:rPr>
          <w:szCs w:val="24"/>
        </w:rPr>
        <w:t xml:space="preserve"> determined in the ordinary course of business (i.e.</w:t>
      </w:r>
      <w:r>
        <w:rPr>
          <w:szCs w:val="24"/>
        </w:rPr>
        <w:t>,</w:t>
      </w:r>
      <w:r w:rsidRPr="00A24400">
        <w:rPr>
          <w:szCs w:val="24"/>
        </w:rPr>
        <w:t xml:space="preserve"> in a programmatically downloadable file).     </w:t>
      </w:r>
    </w:p>
    <w:p w14:paraId="0DD9E871" w14:textId="212B2885" w:rsidR="0037262D" w:rsidRPr="00A24400" w:rsidRDefault="0037262D" w:rsidP="00574EDE">
      <w:pPr>
        <w:pStyle w:val="Heading4"/>
      </w:pPr>
      <w:bookmarkStart w:id="7947" w:name="_Toc266869807"/>
      <w:bookmarkStart w:id="7948" w:name="_Toc159233528"/>
      <w:bookmarkStart w:id="7949" w:name="_Toc213772094"/>
      <w:r w:rsidRPr="00A24400">
        <w:t>Process for Recalculating RTBM Prices</w:t>
      </w:r>
      <w:bookmarkEnd w:id="7943"/>
      <w:bookmarkEnd w:id="7944"/>
      <w:bookmarkEnd w:id="7945"/>
      <w:bookmarkEnd w:id="7946"/>
      <w:bookmarkEnd w:id="7947"/>
      <w:bookmarkEnd w:id="7948"/>
      <w:bookmarkEnd w:id="7949"/>
    </w:p>
    <w:p w14:paraId="7BB6FAC8" w14:textId="77777777" w:rsidR="0037262D" w:rsidRPr="00A24400" w:rsidRDefault="0037262D" w:rsidP="0037262D">
      <w:pPr>
        <w:spacing w:line="300" w:lineRule="auto"/>
        <w:rPr>
          <w:szCs w:val="24"/>
        </w:rPr>
      </w:pPr>
      <w:r>
        <w:t>T</w:t>
      </w:r>
      <w:r w:rsidRPr="00A04DB3">
        <w:t xml:space="preserve">he Market Operator will recalculate LMPs, Marginal GHG Prices, and MCPs for the RTBM in a manner that reflects, as closely as practicable, the LMPs, Marginal GHG Prices, and MCPs that would have resulted but for the relevant Software Error or Data Error and will perform any necessary settlement recalculation using these updated values.  Such recalculated LMPs, Marginal GHG Prices, and MCPs will be provided to Market Participants in the same manner as LMPs, Marginal GHG Prices, and MCPs determined in the ordinary course of business </w:t>
      </w:r>
      <w:r w:rsidRPr="00A24400">
        <w:rPr>
          <w:szCs w:val="24"/>
        </w:rPr>
        <w:t>(i.e.</w:t>
      </w:r>
      <w:r>
        <w:rPr>
          <w:szCs w:val="24"/>
        </w:rPr>
        <w:t>,</w:t>
      </w:r>
      <w:r w:rsidRPr="00A24400">
        <w:rPr>
          <w:szCs w:val="24"/>
        </w:rPr>
        <w:t xml:space="preserve"> in a programmatically downloadable file).</w:t>
      </w:r>
    </w:p>
    <w:p w14:paraId="35BFD2A7" w14:textId="3616984C" w:rsidR="0037262D" w:rsidRPr="00A24400" w:rsidRDefault="0037262D" w:rsidP="00574EDE">
      <w:pPr>
        <w:pStyle w:val="Heading4"/>
      </w:pPr>
      <w:bookmarkStart w:id="7950" w:name="_Toc159233529"/>
      <w:bookmarkStart w:id="7951" w:name="_Toc213772095"/>
      <w:bookmarkStart w:id="7952" w:name="_Toc263173465"/>
      <w:bookmarkStart w:id="7953" w:name="_Toc263174291"/>
      <w:bookmarkStart w:id="7954" w:name="_Toc263429590"/>
      <w:bookmarkStart w:id="7955" w:name="_Toc263795633"/>
      <w:bookmarkStart w:id="7956" w:name="_Toc266869808"/>
      <w:r w:rsidRPr="00A24400">
        <w:t>Compensatory Payments to Market Participants</w:t>
      </w:r>
      <w:bookmarkEnd w:id="7950"/>
      <w:bookmarkEnd w:id="7951"/>
      <w:r w:rsidRPr="00A24400">
        <w:t xml:space="preserve"> </w:t>
      </w:r>
      <w:bookmarkEnd w:id="7952"/>
      <w:bookmarkEnd w:id="7953"/>
      <w:bookmarkEnd w:id="7954"/>
      <w:bookmarkEnd w:id="7955"/>
      <w:bookmarkEnd w:id="7956"/>
    </w:p>
    <w:p w14:paraId="1B011E39" w14:textId="0930C996" w:rsidR="0037262D" w:rsidRPr="005E0228" w:rsidRDefault="0037262D" w:rsidP="0037262D">
      <w:pPr>
        <w:spacing w:line="300" w:lineRule="auto"/>
        <w:rPr>
          <w:szCs w:val="24"/>
        </w:rPr>
      </w:pPr>
      <w:r w:rsidRPr="005E0228">
        <w:rPr>
          <w:szCs w:val="24"/>
        </w:rPr>
        <w:t>For cases in which RTBM prices have been recalculated, compensation to Market Participants will be as follows:</w:t>
      </w:r>
      <w:r w:rsidR="00760F34">
        <w:rPr>
          <w:szCs w:val="24"/>
        </w:rPr>
        <w:t xml:space="preserve"> </w:t>
      </w:r>
    </w:p>
    <w:p w14:paraId="14F1241C" w14:textId="30002E31" w:rsidR="0037262D" w:rsidRPr="00346960" w:rsidRDefault="0037262D" w:rsidP="00A61735">
      <w:pPr>
        <w:pStyle w:val="ListParagraph"/>
        <w:numPr>
          <w:ilvl w:val="1"/>
          <w:numId w:val="215"/>
        </w:numPr>
        <w:tabs>
          <w:tab w:val="clear" w:pos="1973"/>
        </w:tabs>
        <w:spacing w:before="120" w:line="300" w:lineRule="auto"/>
        <w:ind w:left="360"/>
        <w:contextualSpacing w:val="0"/>
      </w:pPr>
      <w:r w:rsidRPr="00346960">
        <w:t xml:space="preserve">When the recalculated RTBM LMP plus the applicable RTBM Marginal GHG Price is less than a Resource’s Energy Offer Curve price plus the applicable Specified GHG Adder, compensation will be as described under Section </w:t>
      </w:r>
      <w:r w:rsidRPr="00346960">
        <w:fldChar w:fldCharType="begin"/>
      </w:r>
      <w:r w:rsidRPr="00346960">
        <w:instrText xml:space="preserve"> REF _Ref257912936 \r \h  \* MERGEFORMAT </w:instrText>
      </w:r>
      <w:r w:rsidRPr="00346960">
        <w:fldChar w:fldCharType="separate"/>
      </w:r>
      <w:r w:rsidRPr="00346960">
        <w:fldChar w:fldCharType="end"/>
      </w:r>
      <w:r w:rsidR="00A3519C">
        <w:t>2.6.5</w:t>
      </w:r>
      <w:r w:rsidRPr="00346960">
        <w:t>(1)(a)</w:t>
      </w:r>
      <w:r w:rsidR="00A3519C">
        <w:t xml:space="preserve"> of </w:t>
      </w:r>
      <w:r w:rsidR="005F3359">
        <w:t>the Markets+ Settlements Calculation Guide</w:t>
      </w:r>
      <w:r w:rsidRPr="00346960">
        <w:t>;</w:t>
      </w:r>
      <w:bookmarkStart w:id="7957" w:name="_Toc212633565"/>
      <w:bookmarkStart w:id="7958" w:name="_Toc212634246"/>
      <w:bookmarkStart w:id="7959" w:name="_Toc213746631"/>
      <w:bookmarkStart w:id="7960" w:name="_Toc213772096"/>
      <w:bookmarkEnd w:id="7957"/>
      <w:bookmarkEnd w:id="7958"/>
      <w:bookmarkEnd w:id="7959"/>
      <w:bookmarkEnd w:id="7960"/>
    </w:p>
    <w:p w14:paraId="020310E1" w14:textId="64A1AB83" w:rsidR="0037262D" w:rsidRPr="00346960" w:rsidRDefault="0037262D" w:rsidP="00A61735">
      <w:pPr>
        <w:pStyle w:val="ListParagraph"/>
        <w:numPr>
          <w:ilvl w:val="1"/>
          <w:numId w:val="215"/>
        </w:numPr>
        <w:tabs>
          <w:tab w:val="clear" w:pos="1973"/>
        </w:tabs>
        <w:spacing w:before="120" w:line="300" w:lineRule="auto"/>
        <w:ind w:left="360"/>
        <w:contextualSpacing w:val="0"/>
      </w:pPr>
      <w:r w:rsidRPr="00346960">
        <w:t xml:space="preserve">When a Resource’s recalculated RTBM LMP plus the applicable RTBM Marginal GHG Price is greater than the Day-Ahead Market LMP plus the applicable RTBM Marginal GHG Price and the Market Participant is buying back its Day-Ahead Market position,  compensation will be as described under Section </w:t>
      </w:r>
      <w:r w:rsidRPr="00346960">
        <w:fldChar w:fldCharType="begin"/>
      </w:r>
      <w:r w:rsidRPr="00346960">
        <w:instrText xml:space="preserve"> REF _Ref257912936 \r \h  \* MERGEFORMAT </w:instrText>
      </w:r>
      <w:r w:rsidRPr="00346960">
        <w:fldChar w:fldCharType="separate"/>
      </w:r>
      <w:r w:rsidRPr="00346960">
        <w:fldChar w:fldCharType="end"/>
      </w:r>
      <w:r w:rsidR="005F3359">
        <w:t>2.6.5</w:t>
      </w:r>
      <w:r w:rsidRPr="00346960">
        <w:t>(1)(b)</w:t>
      </w:r>
      <w:r w:rsidR="005F3359">
        <w:t xml:space="preserve"> of the Markets+ Settlements Calculation Guide</w:t>
      </w:r>
      <w:r w:rsidRPr="00346960">
        <w:t xml:space="preserve">;     </w:t>
      </w:r>
      <w:bookmarkStart w:id="7961" w:name="_Toc212633566"/>
      <w:bookmarkStart w:id="7962" w:name="_Toc212634247"/>
      <w:bookmarkStart w:id="7963" w:name="_Toc213746632"/>
      <w:bookmarkStart w:id="7964" w:name="_Toc213772097"/>
      <w:bookmarkEnd w:id="7961"/>
      <w:bookmarkEnd w:id="7962"/>
      <w:bookmarkEnd w:id="7963"/>
      <w:bookmarkEnd w:id="7964"/>
    </w:p>
    <w:p w14:paraId="4AAB3EE3" w14:textId="3C65939B" w:rsidR="0037262D" w:rsidRPr="00346960" w:rsidRDefault="0037262D" w:rsidP="00A61735">
      <w:pPr>
        <w:pStyle w:val="ListParagraph"/>
        <w:numPr>
          <w:ilvl w:val="1"/>
          <w:numId w:val="215"/>
        </w:numPr>
        <w:tabs>
          <w:tab w:val="clear" w:pos="1973"/>
        </w:tabs>
        <w:spacing w:before="120" w:line="300" w:lineRule="auto"/>
        <w:ind w:left="360"/>
        <w:contextualSpacing w:val="0"/>
      </w:pPr>
      <w:r w:rsidRPr="00346960">
        <w:t xml:space="preserve">When a Resource’s recalculated RTBM Flexibility Reserve Product MCP is greater than the Day-Ahead Market Flexibility Reserve Product MCP and the Market Participant is buying back its Day-Ahead Market Flexibility Reserve Product position resulting from the Market Operator clearing all or a portion of that Flexibility Reserve Product on a different Resource in the market solution, compensation will be as described under Section </w:t>
      </w:r>
      <w:r w:rsidR="005F3359">
        <w:t>2.6.5</w:t>
      </w:r>
      <w:r w:rsidRPr="00346960">
        <w:t>(1)(c)</w:t>
      </w:r>
      <w:r w:rsidR="005F3359">
        <w:t xml:space="preserve"> of the Markets+ Settlements Calculation Guide</w:t>
      </w:r>
      <w:r w:rsidRPr="00346960">
        <w:t xml:space="preserve">.     </w:t>
      </w:r>
      <w:bookmarkStart w:id="7965" w:name="_Toc212633567"/>
      <w:bookmarkStart w:id="7966" w:name="_Toc212634248"/>
      <w:bookmarkStart w:id="7967" w:name="_Toc213772098"/>
      <w:bookmarkEnd w:id="7965"/>
      <w:bookmarkEnd w:id="7966"/>
      <w:bookmarkEnd w:id="7967"/>
    </w:p>
    <w:p w14:paraId="26985852" w14:textId="40047A56" w:rsidR="0037262D" w:rsidRPr="00A24400" w:rsidRDefault="0037262D" w:rsidP="00781C61">
      <w:pPr>
        <w:pStyle w:val="Heading3"/>
      </w:pPr>
      <w:bookmarkStart w:id="7968" w:name="_Toc254787601"/>
      <w:bookmarkStart w:id="7969" w:name="_Toc263173466"/>
      <w:bookmarkStart w:id="7970" w:name="_Toc263173683"/>
      <w:bookmarkStart w:id="7971" w:name="_Toc263173871"/>
      <w:bookmarkStart w:id="7972" w:name="_Toc263174292"/>
      <w:bookmarkStart w:id="7973" w:name="_Toc263235195"/>
      <w:bookmarkStart w:id="7974" w:name="_Toc263235839"/>
      <w:bookmarkStart w:id="7975" w:name="_Toc263429591"/>
      <w:bookmarkStart w:id="7976" w:name="_Toc263795634"/>
      <w:bookmarkStart w:id="7977" w:name="_Toc266869809"/>
      <w:bookmarkStart w:id="7978" w:name="_Toc159233530"/>
      <w:bookmarkStart w:id="7979" w:name="_Toc213772099"/>
      <w:r w:rsidRPr="00A24400">
        <w:t>Disputes and Resettlement Provisions</w:t>
      </w:r>
      <w:bookmarkEnd w:id="7968"/>
      <w:bookmarkEnd w:id="7969"/>
      <w:bookmarkEnd w:id="7970"/>
      <w:bookmarkEnd w:id="7971"/>
      <w:bookmarkEnd w:id="7972"/>
      <w:bookmarkEnd w:id="7973"/>
      <w:bookmarkEnd w:id="7974"/>
      <w:bookmarkEnd w:id="7975"/>
      <w:bookmarkEnd w:id="7976"/>
      <w:bookmarkEnd w:id="7977"/>
      <w:bookmarkEnd w:id="7978"/>
      <w:bookmarkEnd w:id="7979"/>
    </w:p>
    <w:p w14:paraId="3D8101B4" w14:textId="77777777" w:rsidR="0037262D" w:rsidRPr="00A24400" w:rsidRDefault="0037262D" w:rsidP="0037262D">
      <w:pPr>
        <w:spacing w:before="120" w:line="300" w:lineRule="auto"/>
      </w:pPr>
      <w:r w:rsidRPr="00A24400">
        <w:t xml:space="preserve">If a Market Participant does not agree with a price correction made by </w:t>
      </w:r>
      <w:r>
        <w:t>the Market Operator</w:t>
      </w:r>
      <w:r w:rsidRPr="00A24400">
        <w:t xml:space="preserve">, the Market Participant may use the dispute and resettlement mechanism provided in </w:t>
      </w:r>
      <w:r w:rsidRPr="008A22C8">
        <w:t xml:space="preserve">Section </w:t>
      </w:r>
      <w:r w:rsidRPr="008A22C8">
        <w:fldChar w:fldCharType="begin"/>
      </w:r>
      <w:r w:rsidRPr="008A22C8">
        <w:instrText xml:space="preserve"> REF _Ref259088615 \r \h  \* MERGEFORMAT </w:instrText>
      </w:r>
      <w:r w:rsidRPr="008A22C8">
        <w:fldChar w:fldCharType="separate"/>
      </w:r>
      <w:r w:rsidRPr="008A22C8">
        <w:t>4.5.15</w:t>
      </w:r>
      <w:r w:rsidRPr="008A22C8">
        <w:fldChar w:fldCharType="end"/>
      </w:r>
      <w:r w:rsidRPr="00A24400">
        <w:t xml:space="preserve"> to resolve such disagreement.</w:t>
      </w:r>
    </w:p>
    <w:p w14:paraId="6AAC478B" w14:textId="77777777" w:rsidR="00A734BE" w:rsidRPr="00FE7AA5" w:rsidRDefault="00A734BE" w:rsidP="00FE7AA5">
      <w:pPr>
        <w:pStyle w:val="Heading1"/>
      </w:pPr>
      <w:bookmarkStart w:id="7980" w:name="_Toc212633569"/>
      <w:bookmarkStart w:id="7981" w:name="_Toc212634250"/>
      <w:bookmarkStart w:id="7982" w:name="_Toc213746635"/>
      <w:bookmarkStart w:id="7983" w:name="_Toc213772100"/>
      <w:bookmarkStart w:id="7984" w:name="_Toc212633570"/>
      <w:bookmarkStart w:id="7985" w:name="_Toc212634251"/>
      <w:bookmarkStart w:id="7986" w:name="_Toc213746636"/>
      <w:bookmarkStart w:id="7987" w:name="_Toc213772101"/>
      <w:bookmarkStart w:id="7988" w:name="_Toc192154793"/>
      <w:bookmarkStart w:id="7989" w:name="_Toc193031455"/>
      <w:bookmarkStart w:id="7990" w:name="_Toc193032148"/>
      <w:bookmarkStart w:id="7991" w:name="_Toc193032841"/>
      <w:bookmarkStart w:id="7992" w:name="_Toc208563339"/>
      <w:bookmarkStart w:id="7993" w:name="_Toc213772102"/>
      <w:bookmarkEnd w:id="7980"/>
      <w:bookmarkEnd w:id="7981"/>
      <w:bookmarkEnd w:id="7982"/>
      <w:bookmarkEnd w:id="7983"/>
      <w:bookmarkEnd w:id="7984"/>
      <w:bookmarkEnd w:id="7985"/>
      <w:bookmarkEnd w:id="7986"/>
      <w:bookmarkEnd w:id="7987"/>
      <w:bookmarkEnd w:id="7988"/>
      <w:bookmarkEnd w:id="7989"/>
      <w:bookmarkEnd w:id="7990"/>
      <w:bookmarkEnd w:id="7991"/>
      <w:bookmarkEnd w:id="7992"/>
      <w:r w:rsidRPr="00FE7AA5">
        <w:t>Market Monitoring and Mitigation</w:t>
      </w:r>
      <w:bookmarkEnd w:id="7993"/>
    </w:p>
    <w:p w14:paraId="6E417E5A" w14:textId="34BE0C05" w:rsidR="00A734BE" w:rsidRPr="00352538" w:rsidRDefault="00A734BE" w:rsidP="00FE7AA5">
      <w:pPr>
        <w:spacing w:before="120" w:line="300" w:lineRule="auto"/>
        <w:rPr>
          <w:szCs w:val="24"/>
        </w:rPr>
      </w:pPr>
      <w:r w:rsidRPr="00352538">
        <w:rPr>
          <w:szCs w:val="24"/>
        </w:rPr>
        <w:t xml:space="preserve">Market monitoring and mitigation </w:t>
      </w:r>
      <w:r w:rsidR="00F12D7C">
        <w:rPr>
          <w:szCs w:val="24"/>
        </w:rPr>
        <w:t>are</w:t>
      </w:r>
      <w:r w:rsidR="00F12D7C" w:rsidRPr="00352538">
        <w:rPr>
          <w:szCs w:val="24"/>
        </w:rPr>
        <w:t xml:space="preserve"> </w:t>
      </w:r>
      <w:r w:rsidRPr="00352538">
        <w:rPr>
          <w:szCs w:val="24"/>
        </w:rPr>
        <w:t xml:space="preserve">intended to provide for the monitoring by </w:t>
      </w:r>
      <w:r>
        <w:rPr>
          <w:szCs w:val="24"/>
        </w:rPr>
        <w:t xml:space="preserve">the </w:t>
      </w:r>
      <w:r w:rsidRPr="00352538">
        <w:rPr>
          <w:szCs w:val="24"/>
        </w:rPr>
        <w:t xml:space="preserve">Market Monitor of </w:t>
      </w:r>
      <w:r w:rsidRPr="0CC07711">
        <w:rPr>
          <w:szCs w:val="24"/>
        </w:rPr>
        <w:t>Markets+</w:t>
      </w:r>
      <w:r w:rsidRPr="00352538">
        <w:rPr>
          <w:szCs w:val="24"/>
        </w:rPr>
        <w:t xml:space="preserve"> and other services provided under the </w:t>
      </w:r>
      <w:r w:rsidRPr="0CC07711">
        <w:rPr>
          <w:szCs w:val="24"/>
        </w:rPr>
        <w:t>Markets+ Tariff (</w:t>
      </w:r>
      <w:r>
        <w:rPr>
          <w:szCs w:val="24"/>
        </w:rPr>
        <w:t>Markets</w:t>
      </w:r>
      <w:r w:rsidRPr="00352538">
        <w:rPr>
          <w:szCs w:val="24"/>
        </w:rPr>
        <w:t xml:space="preserve"> and Services) and mitigation by </w:t>
      </w:r>
      <w:r w:rsidRPr="0CC07711">
        <w:rPr>
          <w:szCs w:val="24"/>
        </w:rPr>
        <w:t>the Market Operator</w:t>
      </w:r>
      <w:r w:rsidRPr="00352538">
        <w:rPr>
          <w:szCs w:val="24"/>
        </w:rPr>
        <w:t xml:space="preserve"> of the potential exercise of horizontal and vertical market power by Market Participants.  </w:t>
      </w:r>
    </w:p>
    <w:p w14:paraId="6199413F" w14:textId="77777777" w:rsidR="00A734BE" w:rsidRDefault="00A734BE" w:rsidP="00FE7AA5">
      <w:pPr>
        <w:pStyle w:val="Heading2"/>
        <w:spacing w:before="120" w:after="120" w:line="300" w:lineRule="auto"/>
      </w:pPr>
      <w:bookmarkStart w:id="7994" w:name="_Toc213772103"/>
      <w:bookmarkStart w:id="7995" w:name="_Toc263429593"/>
      <w:bookmarkStart w:id="7996" w:name="_Toc263795636"/>
      <w:bookmarkStart w:id="7997" w:name="_Toc265675884"/>
      <w:bookmarkStart w:id="7998" w:name="_Toc266869811"/>
      <w:bookmarkStart w:id="7999" w:name="_Toc159233532"/>
      <w:bookmarkStart w:id="8000" w:name="_Toc141100815"/>
      <w:r w:rsidRPr="00F847EF">
        <w:t>Market Monitoring</w:t>
      </w:r>
      <w:bookmarkEnd w:id="7994"/>
      <w:r w:rsidRPr="00F847EF">
        <w:t xml:space="preserve"> </w:t>
      </w:r>
      <w:bookmarkEnd w:id="7995"/>
      <w:bookmarkEnd w:id="7996"/>
      <w:bookmarkEnd w:id="7997"/>
      <w:bookmarkEnd w:id="7998"/>
      <w:bookmarkEnd w:id="7999"/>
      <w:bookmarkEnd w:id="8000"/>
    </w:p>
    <w:p w14:paraId="4F690625" w14:textId="30560443" w:rsidR="00A734BE" w:rsidRDefault="00A734BE" w:rsidP="00FE7AA5">
      <w:pPr>
        <w:spacing w:before="120" w:line="300" w:lineRule="auto"/>
        <w:rPr>
          <w:szCs w:val="24"/>
        </w:rPr>
      </w:pPr>
      <w:bookmarkStart w:id="8001" w:name="_Toc262560958"/>
      <w:r w:rsidRPr="00E207BF">
        <w:rPr>
          <w:szCs w:val="24"/>
        </w:rPr>
        <w:t xml:space="preserve">The function of the Market Monitor is to promote and support </w:t>
      </w:r>
      <w:r>
        <w:rPr>
          <w:szCs w:val="24"/>
        </w:rPr>
        <w:t xml:space="preserve">a </w:t>
      </w:r>
      <w:r w:rsidRPr="00E207BF">
        <w:rPr>
          <w:szCs w:val="24"/>
        </w:rPr>
        <w:t>competit</w:t>
      </w:r>
      <w:r>
        <w:rPr>
          <w:szCs w:val="24"/>
        </w:rPr>
        <w:t>ive</w:t>
      </w:r>
      <w:r w:rsidRPr="00E207BF">
        <w:rPr>
          <w:szCs w:val="24"/>
        </w:rPr>
        <w:t xml:space="preserve"> and efficien</w:t>
      </w:r>
      <w:r>
        <w:rPr>
          <w:szCs w:val="24"/>
        </w:rPr>
        <w:t>t market</w:t>
      </w:r>
      <w:r w:rsidRPr="00E207BF">
        <w:rPr>
          <w:szCs w:val="24"/>
        </w:rPr>
        <w:t>.  Efficient markets optimize the outcome for both buyers and sellers as a whole by reasonably reflect</w:t>
      </w:r>
      <w:r>
        <w:rPr>
          <w:szCs w:val="24"/>
        </w:rPr>
        <w:t>ing</w:t>
      </w:r>
      <w:r w:rsidRPr="00E207BF">
        <w:rPr>
          <w:szCs w:val="24"/>
        </w:rPr>
        <w:t xml:space="preserve"> supply and demand conditions</w:t>
      </w:r>
      <w:r>
        <w:rPr>
          <w:szCs w:val="24"/>
        </w:rPr>
        <w:t xml:space="preserve"> in the resulting prices and quantities</w:t>
      </w:r>
      <w:r w:rsidRPr="00E207BF">
        <w:rPr>
          <w:szCs w:val="24"/>
        </w:rPr>
        <w:t>.  The Market Monitor can promote and support the</w:t>
      </w:r>
      <w:r>
        <w:rPr>
          <w:szCs w:val="24"/>
        </w:rPr>
        <w:t xml:space="preserve"> Markets+</w:t>
      </w:r>
      <w:r w:rsidRPr="00E207BF">
        <w:rPr>
          <w:szCs w:val="24"/>
        </w:rPr>
        <w:t xml:space="preserve"> market</w:t>
      </w:r>
      <w:r>
        <w:rPr>
          <w:szCs w:val="24"/>
        </w:rPr>
        <w:t>s</w:t>
      </w:r>
      <w:r w:rsidRPr="00E207BF">
        <w:rPr>
          <w:szCs w:val="24"/>
        </w:rPr>
        <w:t xml:space="preserve"> because it is independent of any entity, including the Market Operator and Market Participants.</w:t>
      </w:r>
      <w:r w:rsidRPr="00060F91">
        <w:rPr>
          <w:szCs w:val="24"/>
        </w:rPr>
        <w:t xml:space="preserve"> </w:t>
      </w:r>
      <w:r>
        <w:rPr>
          <w:szCs w:val="24"/>
        </w:rPr>
        <w:t xml:space="preserve"> The Market Monitor does not levy fines on Market Participants.  If the Market Monitor observes potential violations, including the exercise of market power, it may investigate market behavior, refer behavior to FERC, and recommend action to the Market Operator as allowed by the Tariff.</w:t>
      </w:r>
      <w:r w:rsidRPr="00E207BF">
        <w:rPr>
          <w:szCs w:val="24"/>
        </w:rPr>
        <w:t xml:space="preserve">  Though the Market Monitor interacts with FERC, such as submitting reports or referring </w:t>
      </w:r>
      <w:r>
        <w:rPr>
          <w:szCs w:val="24"/>
        </w:rPr>
        <w:t xml:space="preserve">potential </w:t>
      </w:r>
      <w:r w:rsidRPr="00E207BF">
        <w:rPr>
          <w:szCs w:val="24"/>
        </w:rPr>
        <w:t>violations, FERC does not manage the Market Monitor’s daily operation.  The Market Monitor is not partial to any entity</w:t>
      </w:r>
      <w:r>
        <w:rPr>
          <w:szCs w:val="24"/>
        </w:rPr>
        <w:t xml:space="preserve"> or group</w:t>
      </w:r>
      <w:r w:rsidRPr="00E207BF">
        <w:rPr>
          <w:szCs w:val="24"/>
        </w:rPr>
        <w:t xml:space="preserve">, including generation, load, fuel type, technology type, region, or any particular Market Participant.  The Market Monitor’s independence and impartiality allow it to </w:t>
      </w:r>
      <w:r>
        <w:rPr>
          <w:szCs w:val="24"/>
        </w:rPr>
        <w:t xml:space="preserve">objectively </w:t>
      </w:r>
      <w:r w:rsidRPr="00E207BF">
        <w:rPr>
          <w:szCs w:val="24"/>
        </w:rPr>
        <w:t xml:space="preserve">evaluate and </w:t>
      </w:r>
      <w:r>
        <w:rPr>
          <w:szCs w:val="24"/>
        </w:rPr>
        <w:t xml:space="preserve">report on </w:t>
      </w:r>
      <w:r w:rsidRPr="00E207BF">
        <w:rPr>
          <w:szCs w:val="24"/>
        </w:rPr>
        <w:t>the market.</w:t>
      </w:r>
      <w:r>
        <w:rPr>
          <w:szCs w:val="24"/>
        </w:rPr>
        <w:t xml:space="preserve">  </w:t>
      </w:r>
      <w:r w:rsidRPr="00E207BF">
        <w:rPr>
          <w:szCs w:val="24"/>
        </w:rPr>
        <w:t>The independent Market Monitor will use economic theory and market data to evaluate and propose market rules, to review and report on market performance, and to identify behavior of Market Participants or the Market Operator that may require investigation</w:t>
      </w:r>
      <w:r>
        <w:rPr>
          <w:szCs w:val="24"/>
        </w:rPr>
        <w:t xml:space="preserve"> according to its </w:t>
      </w:r>
      <w:r w:rsidR="00C72283">
        <w:rPr>
          <w:szCs w:val="24"/>
        </w:rPr>
        <w:t xml:space="preserve">Market Monitoring Plan (the </w:t>
      </w:r>
      <w:r>
        <w:rPr>
          <w:szCs w:val="24"/>
        </w:rPr>
        <w:t>Plan</w:t>
      </w:r>
      <w:r w:rsidR="00C72283">
        <w:rPr>
          <w:szCs w:val="24"/>
        </w:rPr>
        <w:t>)</w:t>
      </w:r>
      <w:r w:rsidRPr="00E207BF">
        <w:rPr>
          <w:szCs w:val="24"/>
        </w:rPr>
        <w:t>.</w:t>
      </w:r>
      <w:r>
        <w:rPr>
          <w:szCs w:val="24"/>
        </w:rPr>
        <w:t xml:space="preserve">  </w:t>
      </w:r>
    </w:p>
    <w:p w14:paraId="0B1DA7BD" w14:textId="77777777" w:rsidR="00A734BE" w:rsidRPr="00D23EC2" w:rsidRDefault="00A734BE" w:rsidP="00FE7AA5">
      <w:pPr>
        <w:spacing w:before="120" w:line="300" w:lineRule="auto"/>
      </w:pPr>
    </w:p>
    <w:p w14:paraId="0BB8BF87" w14:textId="77777777" w:rsidR="00A734BE" w:rsidRPr="00D50AE3" w:rsidRDefault="00A734BE" w:rsidP="00781C61">
      <w:pPr>
        <w:pStyle w:val="Heading3"/>
        <w:rPr>
          <w:rFonts w:eastAsia="Arial Unicode MS"/>
        </w:rPr>
      </w:pPr>
      <w:bookmarkStart w:id="8002" w:name="_Toc263429594"/>
      <w:bookmarkStart w:id="8003" w:name="_Toc263795637"/>
      <w:bookmarkStart w:id="8004" w:name="_Toc265675885"/>
      <w:bookmarkStart w:id="8005" w:name="_Toc266869812"/>
      <w:bookmarkStart w:id="8006" w:name="_Ref349743163"/>
      <w:bookmarkStart w:id="8007" w:name="_Toc159233533"/>
      <w:r w:rsidRPr="00F847EF">
        <w:rPr>
          <w:rFonts w:eastAsia="Arial Unicode MS"/>
        </w:rPr>
        <w:t xml:space="preserve"> </w:t>
      </w:r>
      <w:bookmarkStart w:id="8008" w:name="_Toc141100816"/>
      <w:bookmarkStart w:id="8009" w:name="_Ref212627422"/>
      <w:bookmarkStart w:id="8010" w:name="_Toc213772104"/>
      <w:r w:rsidRPr="00F847EF">
        <w:rPr>
          <w:rFonts w:eastAsia="Arial Unicode MS"/>
        </w:rPr>
        <w:t>Purpose and Objective</w:t>
      </w:r>
      <w:bookmarkEnd w:id="8001"/>
      <w:bookmarkEnd w:id="8002"/>
      <w:bookmarkEnd w:id="8003"/>
      <w:bookmarkEnd w:id="8004"/>
      <w:bookmarkEnd w:id="8005"/>
      <w:bookmarkEnd w:id="8006"/>
      <w:bookmarkEnd w:id="8007"/>
      <w:bookmarkEnd w:id="8008"/>
      <w:bookmarkEnd w:id="8009"/>
      <w:bookmarkEnd w:id="8010"/>
    </w:p>
    <w:p w14:paraId="4998448E" w14:textId="77777777" w:rsidR="00A734BE" w:rsidRPr="000D646E" w:rsidRDefault="00A734BE" w:rsidP="00FE7AA5">
      <w:pPr>
        <w:spacing w:before="120" w:line="300" w:lineRule="auto"/>
        <w:rPr>
          <w:szCs w:val="24"/>
        </w:rPr>
      </w:pPr>
      <w:r w:rsidRPr="00352538">
        <w:rPr>
          <w:szCs w:val="24"/>
        </w:rPr>
        <w:t xml:space="preserve">The objective of the Market Monitoring Plan is to provide for the independent, impartial, and effective monitoring of </w:t>
      </w:r>
      <w:r>
        <w:rPr>
          <w:szCs w:val="24"/>
        </w:rPr>
        <w:t xml:space="preserve">Markets and Services to </w:t>
      </w:r>
      <w:r w:rsidRPr="00352538">
        <w:rPr>
          <w:szCs w:val="24"/>
        </w:rPr>
        <w:t xml:space="preserve">(a) </w:t>
      </w:r>
      <w:r>
        <w:rPr>
          <w:szCs w:val="24"/>
        </w:rPr>
        <w:t>identify</w:t>
      </w:r>
      <w:r w:rsidRPr="00352538">
        <w:rPr>
          <w:szCs w:val="24"/>
        </w:rPr>
        <w:t xml:space="preserve"> </w:t>
      </w:r>
      <w:r>
        <w:rPr>
          <w:szCs w:val="24"/>
        </w:rPr>
        <w:t xml:space="preserve">and address </w:t>
      </w:r>
      <w:r w:rsidRPr="00352538">
        <w:rPr>
          <w:szCs w:val="24"/>
        </w:rPr>
        <w:t>abuses of horizontal and vertical market power</w:t>
      </w:r>
      <w:r>
        <w:rPr>
          <w:szCs w:val="24"/>
        </w:rPr>
        <w:t>,</w:t>
      </w:r>
      <w:r w:rsidRPr="00352538">
        <w:rPr>
          <w:szCs w:val="24"/>
        </w:rPr>
        <w:t xml:space="preserve">  (b) </w:t>
      </w:r>
      <w:r>
        <w:rPr>
          <w:szCs w:val="24"/>
        </w:rPr>
        <w:t xml:space="preserve">evaluate </w:t>
      </w:r>
      <w:r w:rsidRPr="00352538">
        <w:rPr>
          <w:szCs w:val="24"/>
        </w:rPr>
        <w:t xml:space="preserve">the efficiency and implementation of </w:t>
      </w:r>
      <w:r w:rsidRPr="46A4DE61">
        <w:rPr>
          <w:szCs w:val="24"/>
        </w:rPr>
        <w:t>Markets</w:t>
      </w:r>
      <w:r w:rsidRPr="00352538">
        <w:rPr>
          <w:szCs w:val="24"/>
        </w:rPr>
        <w:t xml:space="preserve"> and Services</w:t>
      </w:r>
      <w:r>
        <w:rPr>
          <w:szCs w:val="24"/>
        </w:rPr>
        <w:t xml:space="preserve">, (c) </w:t>
      </w:r>
      <w:r w:rsidRPr="00281924">
        <w:rPr>
          <w:szCs w:val="24"/>
        </w:rPr>
        <w:t xml:space="preserve">identify market design flaws and recommend any </w:t>
      </w:r>
      <w:r w:rsidRPr="000D646E">
        <w:rPr>
          <w:szCs w:val="24"/>
        </w:rPr>
        <w:t>changes in design to improve the operation of Markets and Services for the benefit of consumers and Market Participants</w:t>
      </w:r>
      <w:r>
        <w:rPr>
          <w:szCs w:val="24"/>
        </w:rPr>
        <w:t>,</w:t>
      </w:r>
      <w:r w:rsidRPr="000D646E">
        <w:rPr>
          <w:szCs w:val="24"/>
        </w:rPr>
        <w:t xml:space="preserve"> and (</w:t>
      </w:r>
      <w:r>
        <w:rPr>
          <w:szCs w:val="24"/>
        </w:rPr>
        <w:t>d</w:t>
      </w:r>
      <w:r w:rsidRPr="000D646E">
        <w:rPr>
          <w:szCs w:val="24"/>
        </w:rPr>
        <w:t xml:space="preserve">) monitor Market Participants’ compliance with market rules. </w:t>
      </w:r>
    </w:p>
    <w:p w14:paraId="718AE35C" w14:textId="6E0D66A6" w:rsidR="00A734BE" w:rsidRPr="00352538" w:rsidRDefault="00A734BE" w:rsidP="00FE7AA5">
      <w:pPr>
        <w:spacing w:before="120" w:line="300" w:lineRule="auto"/>
        <w:rPr>
          <w:szCs w:val="24"/>
        </w:rPr>
      </w:pPr>
      <w:r w:rsidRPr="00352538">
        <w:rPr>
          <w:szCs w:val="24"/>
        </w:rPr>
        <w:t xml:space="preserve">The Market Monitor will work to ensure that </w:t>
      </w:r>
      <w:r>
        <w:rPr>
          <w:szCs w:val="24"/>
        </w:rPr>
        <w:t>its</w:t>
      </w:r>
      <w:r w:rsidRPr="00352538">
        <w:rPr>
          <w:szCs w:val="24"/>
        </w:rPr>
        <w:t xml:space="preserve"> functions and activities are implemented fairly and consistently and that they protect and foster competition while minimizing interference with open and competitive markets.  </w:t>
      </w:r>
      <w:r>
        <w:rPr>
          <w:szCs w:val="24"/>
        </w:rPr>
        <w:t>The Market Monitor will observe and evaluate market performance and activity using indices, metrics, and screens.  While the Market Monitor remains independent from the Market Operator and Market Participants, the Market Monitor may take input from appropriate stakeholders and interested parties to develop indices and metrics.  The Market Monitor</w:t>
      </w:r>
      <w:r w:rsidRPr="0014411B">
        <w:rPr>
          <w:szCs w:val="24"/>
        </w:rPr>
        <w:t xml:space="preserve"> prefers a</w:t>
      </w:r>
      <w:r>
        <w:rPr>
          <w:szCs w:val="24"/>
        </w:rPr>
        <w:t>n efficient</w:t>
      </w:r>
      <w:r w:rsidRPr="0014411B">
        <w:rPr>
          <w:szCs w:val="24"/>
        </w:rPr>
        <w:t xml:space="preserve"> market design that </w:t>
      </w:r>
      <w:r>
        <w:rPr>
          <w:szCs w:val="24"/>
        </w:rPr>
        <w:t>mitigates</w:t>
      </w:r>
      <w:r w:rsidRPr="0014411B">
        <w:rPr>
          <w:szCs w:val="24"/>
        </w:rPr>
        <w:t xml:space="preserve"> the exercise of market power in advance rather than </w:t>
      </w:r>
      <w:r>
        <w:rPr>
          <w:szCs w:val="24"/>
        </w:rPr>
        <w:t>monitoring and attempting to address the behavior</w:t>
      </w:r>
      <w:r w:rsidRPr="0014411B">
        <w:rPr>
          <w:szCs w:val="24"/>
        </w:rPr>
        <w:t xml:space="preserve"> afterward.</w:t>
      </w:r>
    </w:p>
    <w:p w14:paraId="78413036" w14:textId="1327D662" w:rsidR="00A734BE" w:rsidRPr="00352538" w:rsidRDefault="00A734BE" w:rsidP="00FE7AA5">
      <w:pPr>
        <w:spacing w:before="120" w:line="300" w:lineRule="auto"/>
        <w:rPr>
          <w:szCs w:val="24"/>
        </w:rPr>
      </w:pPr>
      <w:r w:rsidRPr="00352538">
        <w:rPr>
          <w:szCs w:val="24"/>
        </w:rPr>
        <w:t>The Market Monitor will evaluate existing and proposed market rules, Markets+ Tariff provisions and market design elements</w:t>
      </w:r>
      <w:r w:rsidR="00497532">
        <w:rPr>
          <w:szCs w:val="24"/>
        </w:rPr>
        <w:t>,</w:t>
      </w:r>
      <w:r w:rsidRPr="00352538">
        <w:rPr>
          <w:szCs w:val="24"/>
        </w:rPr>
        <w:t xml:space="preserve"> and</w:t>
      </w:r>
      <w:r w:rsidR="00497532">
        <w:rPr>
          <w:szCs w:val="24"/>
        </w:rPr>
        <w:t xml:space="preserve"> will</w:t>
      </w:r>
      <w:r w:rsidRPr="00352538">
        <w:rPr>
          <w:szCs w:val="24"/>
        </w:rPr>
        <w:t xml:space="preserve"> recommend proposed rules and tariff changes to </w:t>
      </w:r>
      <w:r>
        <w:rPr>
          <w:szCs w:val="24"/>
        </w:rPr>
        <w:t>the Market Operator</w:t>
      </w:r>
      <w:r w:rsidRPr="00352538">
        <w:rPr>
          <w:szCs w:val="24"/>
        </w:rPr>
        <w:t xml:space="preserve">, </w:t>
      </w:r>
      <w:r>
        <w:rPr>
          <w:szCs w:val="24"/>
        </w:rPr>
        <w:t>FERC’s</w:t>
      </w:r>
      <w:r w:rsidRPr="00352538">
        <w:rPr>
          <w:szCs w:val="24"/>
        </w:rPr>
        <w:t xml:space="preserve"> Office of Energy Market Regulation (or its successor organization) staff, and other interested entities such as state commissions and Market Participants</w:t>
      </w:r>
      <w:r>
        <w:rPr>
          <w:szCs w:val="24"/>
        </w:rPr>
        <w:t>, as appropriate</w:t>
      </w:r>
      <w:r w:rsidRPr="00352538">
        <w:rPr>
          <w:szCs w:val="24"/>
        </w:rPr>
        <w:t>.</w:t>
      </w:r>
      <w:r>
        <w:rPr>
          <w:szCs w:val="24"/>
        </w:rPr>
        <w:t xml:space="preserve">  Because the role is advisory only, t</w:t>
      </w:r>
      <w:r w:rsidRPr="00325D06">
        <w:rPr>
          <w:szCs w:val="24"/>
        </w:rPr>
        <w:t xml:space="preserve">he Market Monitor </w:t>
      </w:r>
      <w:r>
        <w:rPr>
          <w:szCs w:val="24"/>
        </w:rPr>
        <w:t>will</w:t>
      </w:r>
      <w:r w:rsidRPr="00325D06">
        <w:rPr>
          <w:szCs w:val="24"/>
        </w:rPr>
        <w:t xml:space="preserve"> not effectuate its proposed market design itself</w:t>
      </w:r>
      <w:r>
        <w:rPr>
          <w:szCs w:val="24"/>
        </w:rPr>
        <w:t xml:space="preserve">.  </w:t>
      </w:r>
      <w:r w:rsidRPr="00352538">
        <w:rPr>
          <w:szCs w:val="24"/>
        </w:rPr>
        <w:t xml:space="preserve">The Market Monitor will limit </w:t>
      </w:r>
      <w:r>
        <w:rPr>
          <w:szCs w:val="24"/>
        </w:rPr>
        <w:t>the</w:t>
      </w:r>
      <w:r w:rsidRPr="00352538">
        <w:rPr>
          <w:szCs w:val="24"/>
        </w:rPr>
        <w:t xml:space="preserve"> distribution of its identifications and recommendations to </w:t>
      </w:r>
      <w:r>
        <w:rPr>
          <w:szCs w:val="24"/>
        </w:rPr>
        <w:t>the Market Operator</w:t>
      </w:r>
      <w:r w:rsidRPr="00352538">
        <w:rPr>
          <w:szCs w:val="24"/>
        </w:rPr>
        <w:t xml:space="preserve"> and </w:t>
      </w:r>
      <w:r>
        <w:rPr>
          <w:szCs w:val="24"/>
        </w:rPr>
        <w:t>FERC</w:t>
      </w:r>
      <w:r w:rsidRPr="00352538">
        <w:rPr>
          <w:szCs w:val="24"/>
        </w:rPr>
        <w:t>’s Office of Energy Market Regulations (or its successor organization) staff in the event that the Market Monitor believes that broader dissemination could lead to exploitation, with an explanation of why further dissemination should be avoided</w:t>
      </w:r>
      <w:r>
        <w:rPr>
          <w:szCs w:val="24"/>
        </w:rPr>
        <w:t xml:space="preserve"> at that time</w:t>
      </w:r>
      <w:r w:rsidRPr="00352538">
        <w:rPr>
          <w:szCs w:val="24"/>
        </w:rPr>
        <w:t>.</w:t>
      </w:r>
    </w:p>
    <w:p w14:paraId="77E3881E" w14:textId="5DB9FCBD" w:rsidR="00A734BE" w:rsidRDefault="00A734BE" w:rsidP="00FE7AA5">
      <w:pPr>
        <w:spacing w:before="120" w:line="300" w:lineRule="auto"/>
        <w:rPr>
          <w:szCs w:val="24"/>
        </w:rPr>
      </w:pPr>
      <w:r w:rsidRPr="00261AF2">
        <w:rPr>
          <w:szCs w:val="24"/>
        </w:rPr>
        <w:t xml:space="preserve">The Market Monitor will review </w:t>
      </w:r>
      <w:r>
        <w:rPr>
          <w:szCs w:val="24"/>
        </w:rPr>
        <w:t xml:space="preserve">and report on </w:t>
      </w:r>
      <w:r w:rsidRPr="00261AF2">
        <w:rPr>
          <w:szCs w:val="24"/>
        </w:rPr>
        <w:t xml:space="preserve">the performance of the wholesale market as </w:t>
      </w:r>
      <w:r>
        <w:rPr>
          <w:szCs w:val="24"/>
        </w:rPr>
        <w:t>described</w:t>
      </w:r>
      <w:r w:rsidRPr="00261AF2">
        <w:rPr>
          <w:szCs w:val="24"/>
        </w:rPr>
        <w:t xml:space="preserve"> in </w:t>
      </w:r>
      <w:r w:rsidRPr="000B358D">
        <w:rPr>
          <w:szCs w:val="24"/>
        </w:rPr>
        <w:t xml:space="preserve">Section </w:t>
      </w:r>
      <w:r w:rsidR="005E3F02">
        <w:rPr>
          <w:szCs w:val="24"/>
        </w:rPr>
        <w:fldChar w:fldCharType="begin"/>
      </w:r>
      <w:r w:rsidR="005E3F02">
        <w:rPr>
          <w:szCs w:val="24"/>
        </w:rPr>
        <w:instrText xml:space="preserve"> REF _Ref212627224 \r \h </w:instrText>
      </w:r>
      <w:r w:rsidR="005E3F02">
        <w:rPr>
          <w:szCs w:val="24"/>
        </w:rPr>
      </w:r>
      <w:r w:rsidR="005E3F02">
        <w:rPr>
          <w:szCs w:val="24"/>
        </w:rPr>
        <w:fldChar w:fldCharType="separate"/>
      </w:r>
      <w:r w:rsidR="005E3F02">
        <w:rPr>
          <w:szCs w:val="24"/>
        </w:rPr>
        <w:t>11.1.7</w:t>
      </w:r>
      <w:r w:rsidR="005E3F02">
        <w:rPr>
          <w:szCs w:val="24"/>
        </w:rPr>
        <w:fldChar w:fldCharType="end"/>
      </w:r>
      <w:r w:rsidRPr="00261AF2">
        <w:rPr>
          <w:szCs w:val="24"/>
        </w:rPr>
        <w:t>.</w:t>
      </w:r>
    </w:p>
    <w:p w14:paraId="6EE9D484" w14:textId="77777777" w:rsidR="00A734BE" w:rsidRPr="00261AF2" w:rsidRDefault="00A734BE" w:rsidP="00FE7AA5">
      <w:pPr>
        <w:spacing w:before="120" w:line="300" w:lineRule="auto"/>
        <w:rPr>
          <w:szCs w:val="24"/>
        </w:rPr>
      </w:pPr>
      <w:r>
        <w:rPr>
          <w:szCs w:val="24"/>
        </w:rPr>
        <w:t xml:space="preserve">The Market Monitor will </w:t>
      </w:r>
      <w:r w:rsidRPr="6CE57AAF">
        <w:rPr>
          <w:szCs w:val="24"/>
        </w:rPr>
        <w:t>identify and</w:t>
      </w:r>
      <w:r w:rsidRPr="003C1E9C">
        <w:rPr>
          <w:szCs w:val="24"/>
        </w:rPr>
        <w:t xml:space="preserve"> notify FERC of instances in which a </w:t>
      </w:r>
      <w:r>
        <w:rPr>
          <w:szCs w:val="24"/>
        </w:rPr>
        <w:t>M</w:t>
      </w:r>
      <w:r w:rsidRPr="003C1E9C">
        <w:rPr>
          <w:szCs w:val="24"/>
        </w:rPr>
        <w:t xml:space="preserve">arket </w:t>
      </w:r>
      <w:r>
        <w:rPr>
          <w:szCs w:val="24"/>
        </w:rPr>
        <w:t>P</w:t>
      </w:r>
      <w:r w:rsidRPr="003C1E9C">
        <w:rPr>
          <w:szCs w:val="24"/>
        </w:rPr>
        <w:t>articipant's or the Market Operator's behavior may require investigation, including, but not limited to, suspected Market Violations.</w:t>
      </w:r>
    </w:p>
    <w:p w14:paraId="1B8AC244" w14:textId="77777777" w:rsidR="00A734BE" w:rsidRPr="00E6100D" w:rsidRDefault="00A734BE" w:rsidP="00781C61">
      <w:pPr>
        <w:pStyle w:val="Heading3"/>
        <w:rPr>
          <w:sz w:val="24"/>
          <w:szCs w:val="24"/>
        </w:rPr>
      </w:pPr>
      <w:bookmarkStart w:id="8011" w:name="_Toc266869813"/>
      <w:bookmarkStart w:id="8012" w:name="_Toc159233534"/>
      <w:bookmarkStart w:id="8013" w:name="_Toc141100817"/>
      <w:bookmarkStart w:id="8014" w:name="_Toc213772105"/>
      <w:r w:rsidRPr="00E6100D">
        <w:rPr>
          <w:rFonts w:eastAsia="Arial Unicode MS"/>
        </w:rPr>
        <w:t>Resolution of Conflicts</w:t>
      </w:r>
      <w:bookmarkEnd w:id="8011"/>
      <w:bookmarkEnd w:id="8012"/>
      <w:bookmarkEnd w:id="8013"/>
      <w:bookmarkEnd w:id="8014"/>
    </w:p>
    <w:p w14:paraId="354B7D5A" w14:textId="77777777" w:rsidR="00A734BE" w:rsidRPr="00352538" w:rsidRDefault="00A734BE" w:rsidP="00FE7AA5">
      <w:pPr>
        <w:spacing w:before="120" w:line="300" w:lineRule="auto"/>
        <w:rPr>
          <w:szCs w:val="24"/>
        </w:rPr>
      </w:pPr>
      <w:r w:rsidRPr="00352538">
        <w:rPr>
          <w:szCs w:val="24"/>
        </w:rPr>
        <w:t xml:space="preserve">In the event there is a conflict between this </w:t>
      </w:r>
      <w:r w:rsidRPr="007169C0">
        <w:rPr>
          <w:szCs w:val="24"/>
        </w:rPr>
        <w:t xml:space="preserve">Section 11 of the Markets+ </w:t>
      </w:r>
      <w:r w:rsidRPr="007B2375">
        <w:rPr>
          <w:szCs w:val="24"/>
        </w:rPr>
        <w:t>Protocols</w:t>
      </w:r>
      <w:r w:rsidRPr="00352538">
        <w:rPr>
          <w:szCs w:val="24"/>
        </w:rPr>
        <w:t xml:space="preserve"> and Attachment </w:t>
      </w:r>
      <w:r w:rsidRPr="00E6100D">
        <w:rPr>
          <w:szCs w:val="24"/>
        </w:rPr>
        <w:t>C</w:t>
      </w:r>
      <w:r w:rsidRPr="00352538">
        <w:rPr>
          <w:szCs w:val="24"/>
        </w:rPr>
        <w:t xml:space="preserve"> of </w:t>
      </w:r>
      <w:r w:rsidRPr="46A4DE61">
        <w:rPr>
          <w:szCs w:val="24"/>
        </w:rPr>
        <w:t xml:space="preserve">the </w:t>
      </w:r>
      <w:r w:rsidRPr="00E6100D">
        <w:rPr>
          <w:szCs w:val="24"/>
        </w:rPr>
        <w:t>Markets+ Tariff</w:t>
      </w:r>
      <w:r w:rsidRPr="00352538">
        <w:rPr>
          <w:szCs w:val="24"/>
        </w:rPr>
        <w:t xml:space="preserve"> or any other provision of the </w:t>
      </w:r>
      <w:r w:rsidRPr="46A4DE61">
        <w:rPr>
          <w:szCs w:val="24"/>
        </w:rPr>
        <w:t>Markets+ Tariff</w:t>
      </w:r>
      <w:r w:rsidRPr="00352538">
        <w:rPr>
          <w:szCs w:val="24"/>
        </w:rPr>
        <w:t xml:space="preserve">, </w:t>
      </w:r>
      <w:r w:rsidRPr="6CE57AAF">
        <w:rPr>
          <w:szCs w:val="24"/>
        </w:rPr>
        <w:t xml:space="preserve">Attachment </w:t>
      </w:r>
      <w:r w:rsidRPr="46A4DE61">
        <w:rPr>
          <w:szCs w:val="24"/>
        </w:rPr>
        <w:t>C</w:t>
      </w:r>
      <w:r w:rsidRPr="6CE57AAF">
        <w:rPr>
          <w:szCs w:val="24"/>
        </w:rPr>
        <w:t xml:space="preserve"> </w:t>
      </w:r>
      <w:r w:rsidRPr="00352538">
        <w:rPr>
          <w:szCs w:val="24"/>
        </w:rPr>
        <w:t>will control.</w:t>
      </w:r>
    </w:p>
    <w:p w14:paraId="2C14A696" w14:textId="77777777" w:rsidR="00A734BE" w:rsidRPr="00E6100D" w:rsidRDefault="00A734BE" w:rsidP="00781C61">
      <w:pPr>
        <w:pStyle w:val="Heading3"/>
        <w:rPr>
          <w:sz w:val="24"/>
          <w:szCs w:val="24"/>
        </w:rPr>
      </w:pPr>
      <w:bookmarkStart w:id="8015" w:name="_Toc263429595"/>
      <w:bookmarkStart w:id="8016" w:name="_Toc263795638"/>
      <w:bookmarkStart w:id="8017" w:name="_Toc265675886"/>
      <w:bookmarkStart w:id="8018" w:name="_Toc266869814"/>
      <w:bookmarkStart w:id="8019" w:name="_Toc159233535"/>
      <w:bookmarkStart w:id="8020" w:name="_Toc141100818"/>
      <w:bookmarkStart w:id="8021" w:name="_Toc213772106"/>
      <w:r w:rsidRPr="00E6100D">
        <w:t>Independent Market Monitor</w:t>
      </w:r>
      <w:bookmarkEnd w:id="8015"/>
      <w:bookmarkEnd w:id="8016"/>
      <w:bookmarkEnd w:id="8017"/>
      <w:bookmarkEnd w:id="8018"/>
      <w:bookmarkEnd w:id="8019"/>
      <w:bookmarkEnd w:id="8020"/>
      <w:bookmarkEnd w:id="8021"/>
    </w:p>
    <w:p w14:paraId="2F478782" w14:textId="77777777" w:rsidR="00A734BE" w:rsidRPr="00352538" w:rsidRDefault="00A734BE" w:rsidP="00FE7AA5">
      <w:pPr>
        <w:spacing w:before="120" w:line="300" w:lineRule="auto"/>
        <w:rPr>
          <w:szCs w:val="24"/>
        </w:rPr>
      </w:pPr>
      <w:r w:rsidRPr="00352538">
        <w:rPr>
          <w:szCs w:val="24"/>
        </w:rPr>
        <w:t>The Market Monitor independen</w:t>
      </w:r>
      <w:r>
        <w:rPr>
          <w:szCs w:val="24"/>
        </w:rPr>
        <w:t>tly</w:t>
      </w:r>
      <w:r w:rsidRPr="00352538">
        <w:rPr>
          <w:szCs w:val="24"/>
        </w:rPr>
        <w:t xml:space="preserve"> perform</w:t>
      </w:r>
      <w:r>
        <w:rPr>
          <w:szCs w:val="24"/>
        </w:rPr>
        <w:t>s</w:t>
      </w:r>
      <w:r w:rsidRPr="00352538">
        <w:rPr>
          <w:szCs w:val="24"/>
        </w:rPr>
        <w:t xml:space="preserve"> those activities </w:t>
      </w:r>
      <w:r w:rsidRPr="00015551">
        <w:rPr>
          <w:szCs w:val="24"/>
        </w:rPr>
        <w:t>necessary to provide impartial and effective market monitoring within the scope of</w:t>
      </w:r>
      <w:r>
        <w:rPr>
          <w:szCs w:val="24"/>
        </w:rPr>
        <w:t xml:space="preserve"> the Markets+ Tariff and </w:t>
      </w:r>
      <w:r w:rsidRPr="00015551">
        <w:rPr>
          <w:szCs w:val="24"/>
        </w:rPr>
        <w:t>the</w:t>
      </w:r>
      <w:r>
        <w:rPr>
          <w:szCs w:val="24"/>
        </w:rPr>
        <w:t>se</w:t>
      </w:r>
      <w:r w:rsidRPr="00015551">
        <w:rPr>
          <w:szCs w:val="24"/>
        </w:rPr>
        <w:t xml:space="preserve"> Protocols.  No person or entity may screen, alter, delete, or delay the findings, conclusions, and recommendations developed</w:t>
      </w:r>
      <w:r w:rsidRPr="00352538">
        <w:rPr>
          <w:szCs w:val="24"/>
        </w:rPr>
        <w:t xml:space="preserve"> by the Market Monitor that fall within the scope of the market monitoring responsibilities contained in the Markets+ Tariff and these Protocols.</w:t>
      </w:r>
      <w:r>
        <w:rPr>
          <w:szCs w:val="24"/>
        </w:rPr>
        <w:t xml:space="preserve"> </w:t>
      </w:r>
      <w:r w:rsidRPr="001D5ECC">
        <w:rPr>
          <w:szCs w:val="24"/>
        </w:rPr>
        <w:t>The Market Monitor may verify information with affected Market Participants prior to making recommendations or reports</w:t>
      </w:r>
      <w:r>
        <w:rPr>
          <w:szCs w:val="24"/>
        </w:rPr>
        <w:t xml:space="preserve">. </w:t>
      </w:r>
    </w:p>
    <w:p w14:paraId="662656D9" w14:textId="77777777" w:rsidR="00A734BE" w:rsidRPr="00352538" w:rsidRDefault="00A734BE" w:rsidP="00574EDE">
      <w:pPr>
        <w:pStyle w:val="Heading4"/>
      </w:pPr>
      <w:bookmarkStart w:id="8022" w:name="_Toc263429596"/>
      <w:bookmarkStart w:id="8023" w:name="_Toc263795639"/>
      <w:bookmarkStart w:id="8024" w:name="_Toc265675887"/>
      <w:bookmarkStart w:id="8025" w:name="_Toc266869815"/>
      <w:bookmarkStart w:id="8026" w:name="_Toc159233536"/>
      <w:bookmarkStart w:id="8027" w:name="_Toc141100819"/>
      <w:bookmarkStart w:id="8028" w:name="_Toc213772107"/>
      <w:r w:rsidRPr="00352538">
        <w:t>Staffing and Resources</w:t>
      </w:r>
      <w:bookmarkEnd w:id="8022"/>
      <w:bookmarkEnd w:id="8023"/>
      <w:bookmarkEnd w:id="8024"/>
      <w:bookmarkEnd w:id="8025"/>
      <w:bookmarkEnd w:id="8026"/>
      <w:bookmarkEnd w:id="8027"/>
      <w:bookmarkEnd w:id="8028"/>
    </w:p>
    <w:p w14:paraId="67DEADC1" w14:textId="4321C038" w:rsidR="00A734BE" w:rsidRPr="00B21C8C" w:rsidRDefault="00A734BE" w:rsidP="00FE7AA5">
      <w:pPr>
        <w:spacing w:before="120" w:line="300" w:lineRule="auto"/>
        <w:rPr>
          <w:szCs w:val="24"/>
        </w:rPr>
      </w:pPr>
      <w:r w:rsidRPr="00B21C8C">
        <w:rPr>
          <w:szCs w:val="24"/>
        </w:rPr>
        <w:t xml:space="preserve">The Market Monitor is responsible for all Market Monitoring functions and is an independent organization within SPP that directly reports to the Board of Directors, </w:t>
      </w:r>
      <w:r w:rsidR="00663303">
        <w:rPr>
          <w:szCs w:val="24"/>
        </w:rPr>
        <w:t>excluding</w:t>
      </w:r>
      <w:r w:rsidRPr="00B21C8C">
        <w:rPr>
          <w:szCs w:val="24"/>
        </w:rPr>
        <w:t xml:space="preserve"> any SPP management representatives serving on the Board of Directors.</w:t>
      </w:r>
    </w:p>
    <w:p w14:paraId="64BCA6AB" w14:textId="77777777" w:rsidR="00A734BE" w:rsidRPr="00352538" w:rsidRDefault="00A734BE" w:rsidP="00574EDE">
      <w:pPr>
        <w:pStyle w:val="Heading4"/>
        <w:rPr>
          <w:szCs w:val="24"/>
        </w:rPr>
      </w:pPr>
      <w:bookmarkStart w:id="8029" w:name="_Toc263429597"/>
      <w:bookmarkStart w:id="8030" w:name="_Toc263795640"/>
      <w:bookmarkStart w:id="8031" w:name="_Toc265675888"/>
      <w:bookmarkStart w:id="8032" w:name="_Toc266869816"/>
      <w:bookmarkStart w:id="8033" w:name="_Toc159233537"/>
      <w:bookmarkStart w:id="8034" w:name="_Toc141100820"/>
      <w:bookmarkStart w:id="8035" w:name="_Toc213772108"/>
      <w:r w:rsidRPr="00352538">
        <w:t>Relationships and Notifications</w:t>
      </w:r>
      <w:bookmarkEnd w:id="8029"/>
      <w:bookmarkEnd w:id="8030"/>
      <w:bookmarkEnd w:id="8031"/>
      <w:bookmarkEnd w:id="8032"/>
      <w:bookmarkEnd w:id="8033"/>
      <w:bookmarkEnd w:id="8034"/>
      <w:bookmarkEnd w:id="8035"/>
    </w:p>
    <w:p w14:paraId="3452DAFE" w14:textId="77777777" w:rsidR="00A734BE" w:rsidRDefault="00A734BE" w:rsidP="00FE7AA5">
      <w:pPr>
        <w:spacing w:before="120" w:line="300" w:lineRule="auto"/>
        <w:rPr>
          <w:szCs w:val="24"/>
        </w:rPr>
      </w:pPr>
      <w:r w:rsidRPr="00261AF2">
        <w:rPr>
          <w:szCs w:val="24"/>
        </w:rPr>
        <w:t xml:space="preserve">As a general principle, the Market Monitor may obtain input from the </w:t>
      </w:r>
      <w:r w:rsidRPr="72043633">
        <w:rPr>
          <w:szCs w:val="24"/>
        </w:rPr>
        <w:t>Markets+ committees and working groups</w:t>
      </w:r>
      <w:r w:rsidRPr="00261AF2">
        <w:rPr>
          <w:szCs w:val="24"/>
        </w:rPr>
        <w:t xml:space="preserve">, FERC Staff, </w:t>
      </w:r>
      <w:r>
        <w:rPr>
          <w:szCs w:val="24"/>
        </w:rPr>
        <w:t>Market Operator</w:t>
      </w:r>
      <w:r w:rsidRPr="00261AF2">
        <w:rPr>
          <w:szCs w:val="24"/>
        </w:rPr>
        <w:t xml:space="preserve"> Staff, </w:t>
      </w:r>
      <w:r w:rsidRPr="72043633">
        <w:rPr>
          <w:szCs w:val="24"/>
        </w:rPr>
        <w:t xml:space="preserve">the </w:t>
      </w:r>
      <w:r w:rsidRPr="1E342A31">
        <w:rPr>
          <w:szCs w:val="24"/>
        </w:rPr>
        <w:t>Markets+ State Committee</w:t>
      </w:r>
      <w:r w:rsidRPr="72043633">
        <w:rPr>
          <w:szCs w:val="24"/>
        </w:rPr>
        <w:t>,</w:t>
      </w:r>
      <w:r w:rsidRPr="00261AF2">
        <w:rPr>
          <w:szCs w:val="24"/>
        </w:rPr>
        <w:t xml:space="preserve"> and affected state regulatory authorities for the purpose of executing its duties.  </w:t>
      </w:r>
    </w:p>
    <w:p w14:paraId="69A81930" w14:textId="77777777" w:rsidR="00A734BE" w:rsidRDefault="00A734BE" w:rsidP="00FE7AA5">
      <w:pPr>
        <w:spacing w:before="120" w:line="300" w:lineRule="auto"/>
        <w:rPr>
          <w:szCs w:val="24"/>
        </w:rPr>
      </w:pPr>
      <w:r w:rsidRPr="00261AF2">
        <w:rPr>
          <w:szCs w:val="24"/>
        </w:rPr>
        <w:t xml:space="preserve">The Market Monitor </w:t>
      </w:r>
      <w:r>
        <w:rPr>
          <w:szCs w:val="24"/>
        </w:rPr>
        <w:t>must</w:t>
      </w:r>
      <w:r w:rsidRPr="1E342A31">
        <w:rPr>
          <w:szCs w:val="24"/>
        </w:rPr>
        <w:t xml:space="preserve"> </w:t>
      </w:r>
      <w:r w:rsidRPr="00261AF2">
        <w:rPr>
          <w:szCs w:val="24"/>
        </w:rPr>
        <w:t xml:space="preserve">bring any instances of market behavior that may require investigation (including, but not limited to, suspected </w:t>
      </w:r>
      <w:r w:rsidRPr="72043633">
        <w:rPr>
          <w:szCs w:val="24"/>
        </w:rPr>
        <w:t>Markets+ Tariff</w:t>
      </w:r>
      <w:r w:rsidRPr="00261AF2">
        <w:rPr>
          <w:szCs w:val="24"/>
        </w:rPr>
        <w:t xml:space="preserve"> violations, suspected violations of </w:t>
      </w:r>
      <w:r w:rsidRPr="1E342A31">
        <w:rPr>
          <w:szCs w:val="24"/>
        </w:rPr>
        <w:t>FERC</w:t>
      </w:r>
      <w:r w:rsidRPr="00261AF2">
        <w:rPr>
          <w:szCs w:val="24"/>
        </w:rPr>
        <w:t xml:space="preserve">-approved rules and regulations, suspected market manipulation, and inappropriate dispatch) to the attention of the Board, the officers of SPP, FERC’s Office of Enforcement (or its successor organization) staff, and other affected state regulatory authorities, as the Market Monitor may deem necessary or appropriate.  </w:t>
      </w:r>
    </w:p>
    <w:p w14:paraId="70DB3B40" w14:textId="77777777" w:rsidR="00A734BE" w:rsidRPr="00261AF2" w:rsidRDefault="00A734BE" w:rsidP="00FE7AA5">
      <w:pPr>
        <w:spacing w:before="120" w:line="300" w:lineRule="auto"/>
        <w:rPr>
          <w:szCs w:val="24"/>
        </w:rPr>
      </w:pPr>
      <w:r w:rsidRPr="00261AF2">
        <w:rPr>
          <w:szCs w:val="24"/>
        </w:rPr>
        <w:t xml:space="preserve">After any initial inquiry, the Market Monitor </w:t>
      </w:r>
      <w:r>
        <w:rPr>
          <w:szCs w:val="24"/>
        </w:rPr>
        <w:t>must</w:t>
      </w:r>
      <w:r w:rsidRPr="1E342A31">
        <w:rPr>
          <w:szCs w:val="24"/>
        </w:rPr>
        <w:t xml:space="preserve"> </w:t>
      </w:r>
      <w:r w:rsidRPr="00261AF2">
        <w:rPr>
          <w:szCs w:val="24"/>
        </w:rPr>
        <w:t xml:space="preserve">also provide notification to the </w:t>
      </w:r>
      <w:r>
        <w:rPr>
          <w:szCs w:val="24"/>
        </w:rPr>
        <w:t xml:space="preserve">Markets+ Independent Panel, the </w:t>
      </w:r>
      <w:r w:rsidRPr="00261AF2">
        <w:rPr>
          <w:szCs w:val="24"/>
        </w:rPr>
        <w:t xml:space="preserve">Board of Directors, the President of SPP, FERC’s Office of Enforcement (or its successor organization) staff, and other interested entities such as relevant state regulatory commissions and Market Participants, as soon as practicable in the event it identifies a significant market problem </w:t>
      </w:r>
      <w:r w:rsidRPr="001409A0">
        <w:rPr>
          <w:szCs w:val="24"/>
        </w:rPr>
        <w:t>that may require (a) further review, (b) a change</w:t>
      </w:r>
      <w:r w:rsidRPr="00261AF2">
        <w:rPr>
          <w:szCs w:val="24"/>
        </w:rPr>
        <w:t xml:space="preserve"> in tariffs or market rules, or (c) referral to FERC.  In the event the Market Monitor believes broader dissemination could lead to exploitation, it may limit distribution of its identifications and recommendations to the Board of Director</w:t>
      </w:r>
      <w:r w:rsidRPr="1E342A31">
        <w:rPr>
          <w:szCs w:val="24"/>
        </w:rPr>
        <w:t xml:space="preserve">s, </w:t>
      </w:r>
      <w:r w:rsidRPr="72043633">
        <w:rPr>
          <w:szCs w:val="24"/>
        </w:rPr>
        <w:t>the Markets+ Independent Panel</w:t>
      </w:r>
      <w:r w:rsidRPr="00261AF2">
        <w:rPr>
          <w:szCs w:val="24"/>
        </w:rPr>
        <w:t xml:space="preserve">, </w:t>
      </w:r>
      <w:r>
        <w:rPr>
          <w:szCs w:val="24"/>
        </w:rPr>
        <w:t xml:space="preserve">the President of SPP, </w:t>
      </w:r>
      <w:r w:rsidRPr="00261AF2">
        <w:rPr>
          <w:szCs w:val="24"/>
        </w:rPr>
        <w:t>and FERC Staff with an explanation of why further dissemination should be avoided at that time.</w:t>
      </w:r>
    </w:p>
    <w:p w14:paraId="257CE6E9" w14:textId="77777777" w:rsidR="00A734BE" w:rsidRPr="00261AF2" w:rsidRDefault="00A734BE" w:rsidP="00FE7AA5">
      <w:pPr>
        <w:spacing w:before="120" w:line="300" w:lineRule="auto"/>
        <w:rPr>
          <w:szCs w:val="24"/>
        </w:rPr>
      </w:pPr>
      <w:r w:rsidRPr="00261AF2">
        <w:rPr>
          <w:szCs w:val="24"/>
        </w:rPr>
        <w:t xml:space="preserve">The </w:t>
      </w:r>
      <w:r w:rsidRPr="72043633">
        <w:rPr>
          <w:szCs w:val="24"/>
        </w:rPr>
        <w:t>Market Monitor</w:t>
      </w:r>
      <w:r w:rsidRPr="00261AF2">
        <w:rPr>
          <w:szCs w:val="24"/>
        </w:rPr>
        <w:t xml:space="preserve"> </w:t>
      </w:r>
      <w:r>
        <w:rPr>
          <w:szCs w:val="24"/>
        </w:rPr>
        <w:t>may</w:t>
      </w:r>
      <w:r w:rsidRPr="00261AF2">
        <w:rPr>
          <w:szCs w:val="24"/>
        </w:rPr>
        <w:t xml:space="preserve"> also interface with FERC </w:t>
      </w:r>
      <w:r>
        <w:rPr>
          <w:szCs w:val="24"/>
        </w:rPr>
        <w:t>s</w:t>
      </w:r>
      <w:r w:rsidRPr="00261AF2">
        <w:rPr>
          <w:szCs w:val="24"/>
        </w:rPr>
        <w:t xml:space="preserve">taff and other RTO and ISO market monitors in adjacent regions as needed for the purpose of addressing electricity market issues in a comprehensive manner.  </w:t>
      </w:r>
    </w:p>
    <w:p w14:paraId="43B33869" w14:textId="77777777" w:rsidR="00A734BE" w:rsidRPr="00352538" w:rsidRDefault="00A734BE" w:rsidP="00574EDE">
      <w:pPr>
        <w:pStyle w:val="Heading4"/>
        <w:rPr>
          <w:szCs w:val="24"/>
        </w:rPr>
      </w:pPr>
      <w:bookmarkStart w:id="8036" w:name="_Toc263429598"/>
      <w:bookmarkStart w:id="8037" w:name="_Toc263795641"/>
      <w:bookmarkStart w:id="8038" w:name="_Toc265675889"/>
      <w:bookmarkStart w:id="8039" w:name="_Toc266869817"/>
      <w:bookmarkStart w:id="8040" w:name="_Toc159233538"/>
      <w:bookmarkStart w:id="8041" w:name="_Toc141100821"/>
      <w:bookmarkStart w:id="8042" w:name="_Toc213772109"/>
      <w:r w:rsidRPr="00352538">
        <w:t>Standards of Conduct</w:t>
      </w:r>
      <w:bookmarkEnd w:id="8036"/>
      <w:bookmarkEnd w:id="8037"/>
      <w:bookmarkEnd w:id="8038"/>
      <w:bookmarkEnd w:id="8039"/>
      <w:bookmarkEnd w:id="8040"/>
      <w:bookmarkEnd w:id="8041"/>
      <w:bookmarkEnd w:id="8042"/>
    </w:p>
    <w:p w14:paraId="4D87DDB9" w14:textId="00D7EADB" w:rsidR="00A734BE" w:rsidRPr="00261AF2" w:rsidRDefault="00A734BE" w:rsidP="00FE7AA5">
      <w:pPr>
        <w:spacing w:before="120" w:line="300" w:lineRule="auto"/>
        <w:rPr>
          <w:szCs w:val="24"/>
        </w:rPr>
      </w:pPr>
      <w:bookmarkStart w:id="8043" w:name="_Ref212627806"/>
      <w:r w:rsidRPr="00261AF2">
        <w:rPr>
          <w:szCs w:val="24"/>
        </w:rPr>
        <w:t xml:space="preserve">The Market Monitor </w:t>
      </w:r>
      <w:r>
        <w:rPr>
          <w:szCs w:val="24"/>
        </w:rPr>
        <w:t xml:space="preserve">must </w:t>
      </w:r>
      <w:r w:rsidRPr="00261AF2">
        <w:rPr>
          <w:szCs w:val="24"/>
        </w:rPr>
        <w:t xml:space="preserve">abide by </w:t>
      </w:r>
      <w:r>
        <w:rPr>
          <w:szCs w:val="24"/>
        </w:rPr>
        <w:t xml:space="preserve">the SPP </w:t>
      </w:r>
      <w:r w:rsidRPr="00261AF2">
        <w:rPr>
          <w:szCs w:val="24"/>
        </w:rPr>
        <w:t xml:space="preserve">Standards of Conduct, which </w:t>
      </w:r>
      <w:r>
        <w:rPr>
          <w:szCs w:val="24"/>
        </w:rPr>
        <w:t>will</w:t>
      </w:r>
      <w:r w:rsidRPr="00261AF2">
        <w:rPr>
          <w:szCs w:val="24"/>
        </w:rPr>
        <w:t xml:space="preserve"> be appropriate for establishing the professional and financial independence of the Market Monitor.  The Market Monitor </w:t>
      </w:r>
      <w:r>
        <w:rPr>
          <w:szCs w:val="24"/>
        </w:rPr>
        <w:t>will</w:t>
      </w:r>
      <w:r w:rsidRPr="00261AF2">
        <w:rPr>
          <w:szCs w:val="24"/>
        </w:rPr>
        <w:t xml:space="preserve"> certify compliance with such policies to the Board</w:t>
      </w:r>
      <w:r>
        <w:rPr>
          <w:szCs w:val="24"/>
        </w:rPr>
        <w:t xml:space="preserve"> and President of SPP</w:t>
      </w:r>
      <w:r w:rsidRPr="00261AF2">
        <w:rPr>
          <w:szCs w:val="24"/>
        </w:rPr>
        <w:t>.</w:t>
      </w:r>
      <w:r w:rsidRPr="00261AF2" w:rsidDel="00C15807">
        <w:rPr>
          <w:szCs w:val="24"/>
        </w:rPr>
        <w:t xml:space="preserve"> </w:t>
      </w:r>
      <w:r w:rsidRPr="00261AF2">
        <w:rPr>
          <w:szCs w:val="24"/>
        </w:rPr>
        <w:t xml:space="preserve"> Consistent with Order No. 719 requirements for Market Monitor ethics standards, the Market Monitor and its employees </w:t>
      </w:r>
      <w:r>
        <w:rPr>
          <w:szCs w:val="24"/>
        </w:rPr>
        <w:t>will</w:t>
      </w:r>
      <w:r w:rsidRPr="00261AF2">
        <w:rPr>
          <w:szCs w:val="24"/>
        </w:rPr>
        <w:t xml:space="preserve"> comply with those standards outlined in Attachment </w:t>
      </w:r>
      <w:r w:rsidRPr="00E6100D">
        <w:rPr>
          <w:szCs w:val="24"/>
        </w:rPr>
        <w:t>C</w:t>
      </w:r>
      <w:r w:rsidRPr="00261AF2">
        <w:rPr>
          <w:szCs w:val="24"/>
        </w:rPr>
        <w:t xml:space="preserve"> of the </w:t>
      </w:r>
      <w:r w:rsidRPr="00E6100D">
        <w:rPr>
          <w:szCs w:val="24"/>
        </w:rPr>
        <w:t>Markets+ Tariff</w:t>
      </w:r>
      <w:r w:rsidRPr="00261AF2">
        <w:rPr>
          <w:szCs w:val="24"/>
        </w:rPr>
        <w:t>.</w:t>
      </w:r>
      <w:bookmarkEnd w:id="8043"/>
    </w:p>
    <w:p w14:paraId="7051EA48" w14:textId="77777777" w:rsidR="00A734BE" w:rsidRPr="00E6100D" w:rsidRDefault="00A734BE" w:rsidP="00781C61">
      <w:pPr>
        <w:pStyle w:val="Heading3"/>
      </w:pPr>
      <w:bookmarkStart w:id="8044" w:name="_Toc81128812"/>
      <w:bookmarkStart w:id="8045" w:name="_Toc262560961"/>
      <w:bookmarkStart w:id="8046" w:name="_Toc263429599"/>
      <w:bookmarkStart w:id="8047" w:name="_Toc263795642"/>
      <w:bookmarkStart w:id="8048" w:name="_Toc265675890"/>
      <w:bookmarkStart w:id="8049" w:name="_Toc266869818"/>
      <w:bookmarkStart w:id="8050" w:name="_Ref349743195"/>
      <w:bookmarkStart w:id="8051" w:name="_Ref349743210"/>
      <w:bookmarkStart w:id="8052" w:name="_Ref349743226"/>
      <w:bookmarkStart w:id="8053" w:name="_Toc159233539"/>
      <w:bookmarkStart w:id="8054" w:name="_Toc141100822"/>
      <w:bookmarkStart w:id="8055" w:name="_Ref212627820"/>
      <w:bookmarkStart w:id="8056" w:name="_Ref212627846"/>
      <w:bookmarkStart w:id="8057" w:name="_Ref212627882"/>
      <w:bookmarkStart w:id="8058" w:name="_Toc213772110"/>
      <w:r w:rsidRPr="00E6100D">
        <w:t>Market M</w:t>
      </w:r>
      <w:bookmarkEnd w:id="8044"/>
      <w:r w:rsidRPr="00E6100D">
        <w:t>onitoring</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14:paraId="1195B176" w14:textId="77777777" w:rsidR="00A734BE" w:rsidRPr="00352538" w:rsidRDefault="00A734BE" w:rsidP="00574EDE">
      <w:pPr>
        <w:pStyle w:val="Heading4"/>
        <w:rPr>
          <w:szCs w:val="24"/>
        </w:rPr>
      </w:pPr>
      <w:bookmarkStart w:id="8059" w:name="_Toc263429600"/>
      <w:bookmarkStart w:id="8060" w:name="_Toc263795643"/>
      <w:bookmarkStart w:id="8061" w:name="_Toc265675891"/>
      <w:bookmarkStart w:id="8062" w:name="_Toc266869819"/>
      <w:bookmarkStart w:id="8063" w:name="_Toc159233540"/>
      <w:bookmarkStart w:id="8064" w:name="_Toc141100823"/>
      <w:bookmarkStart w:id="8065" w:name="_Toc213772111"/>
      <w:r w:rsidRPr="00352538">
        <w:t>Markets to be Monitored</w:t>
      </w:r>
      <w:bookmarkEnd w:id="8059"/>
      <w:bookmarkEnd w:id="8060"/>
      <w:bookmarkEnd w:id="8061"/>
      <w:bookmarkEnd w:id="8062"/>
      <w:bookmarkEnd w:id="8063"/>
      <w:bookmarkEnd w:id="8064"/>
      <w:bookmarkEnd w:id="8065"/>
    </w:p>
    <w:p w14:paraId="36C5C586" w14:textId="77777777" w:rsidR="00A734BE" w:rsidRPr="00352538" w:rsidRDefault="00A734BE" w:rsidP="00FE7AA5">
      <w:pPr>
        <w:spacing w:before="120" w:line="300" w:lineRule="auto"/>
        <w:rPr>
          <w:szCs w:val="24"/>
        </w:rPr>
      </w:pPr>
      <w:r w:rsidRPr="00352538">
        <w:rPr>
          <w:szCs w:val="24"/>
        </w:rPr>
        <w:t xml:space="preserve">The Market Monitor will monitor Markets and Services provided under </w:t>
      </w:r>
      <w:r>
        <w:rPr>
          <w:szCs w:val="24"/>
        </w:rPr>
        <w:t>the</w:t>
      </w:r>
      <w:r w:rsidRPr="00352538">
        <w:rPr>
          <w:szCs w:val="24"/>
        </w:rPr>
        <w:t xml:space="preserve"> Markets+ Tariff.  The Market Monitor will not monitor bilateral energy, transmission</w:t>
      </w:r>
      <w:r>
        <w:rPr>
          <w:szCs w:val="24"/>
        </w:rPr>
        <w:t>,</w:t>
      </w:r>
      <w:r w:rsidRPr="00352538">
        <w:rPr>
          <w:szCs w:val="24"/>
        </w:rPr>
        <w:t xml:space="preserve"> or capacity markets and services not administered, coordinated</w:t>
      </w:r>
      <w:r>
        <w:rPr>
          <w:szCs w:val="24"/>
        </w:rPr>
        <w:t>,</w:t>
      </w:r>
      <w:r w:rsidRPr="00352538">
        <w:rPr>
          <w:szCs w:val="24"/>
        </w:rPr>
        <w:t xml:space="preserve"> or facilitated by </w:t>
      </w:r>
      <w:r>
        <w:rPr>
          <w:szCs w:val="24"/>
        </w:rPr>
        <w:t>the Market Operator</w:t>
      </w:r>
      <w:r w:rsidRPr="00352538">
        <w:rPr>
          <w:szCs w:val="24"/>
        </w:rPr>
        <w:t>, except to assess the effect of these markets and services on Markets and Services or the effects of Markets and Services on these unmonitored markets.  Similarly, the Market Monitor will not monitor the energy, transmission</w:t>
      </w:r>
      <w:r>
        <w:rPr>
          <w:szCs w:val="24"/>
        </w:rPr>
        <w:t>,</w:t>
      </w:r>
      <w:r w:rsidRPr="00352538">
        <w:rPr>
          <w:szCs w:val="24"/>
        </w:rPr>
        <w:t xml:space="preserve"> or capacity markets and services in regions adjacent to Markets+ except to assess the effect of these markets and services on Markets and Services or the effects of Markets and Services on these adjacent markets.</w:t>
      </w:r>
    </w:p>
    <w:p w14:paraId="5C376E5C" w14:textId="77777777" w:rsidR="00A734BE" w:rsidRPr="00352538" w:rsidRDefault="00A734BE" w:rsidP="00574EDE">
      <w:pPr>
        <w:pStyle w:val="Heading4"/>
        <w:rPr>
          <w:szCs w:val="24"/>
        </w:rPr>
      </w:pPr>
      <w:bookmarkStart w:id="8066" w:name="_Toc263429601"/>
      <w:bookmarkStart w:id="8067" w:name="_Toc263795644"/>
      <w:bookmarkStart w:id="8068" w:name="_Toc265675892"/>
      <w:bookmarkStart w:id="8069" w:name="_Toc266869820"/>
      <w:bookmarkStart w:id="8070" w:name="_Toc159233541"/>
      <w:bookmarkStart w:id="8071" w:name="_Toc141100824"/>
      <w:bookmarkStart w:id="8072" w:name="_Toc213772112"/>
      <w:r w:rsidRPr="00352538">
        <w:t>Monitoring Activities</w:t>
      </w:r>
      <w:bookmarkEnd w:id="8066"/>
      <w:bookmarkEnd w:id="8067"/>
      <w:bookmarkEnd w:id="8068"/>
      <w:bookmarkEnd w:id="8069"/>
      <w:bookmarkEnd w:id="8070"/>
      <w:bookmarkEnd w:id="8071"/>
      <w:bookmarkEnd w:id="8072"/>
    </w:p>
    <w:p w14:paraId="5591A09A" w14:textId="77777777" w:rsidR="00A734BE" w:rsidRPr="00352538" w:rsidRDefault="00A734BE" w:rsidP="00FE7AA5">
      <w:pPr>
        <w:spacing w:before="120" w:line="300" w:lineRule="auto"/>
        <w:rPr>
          <w:szCs w:val="24"/>
        </w:rPr>
      </w:pPr>
      <w:r w:rsidRPr="00352538">
        <w:rPr>
          <w:szCs w:val="24"/>
        </w:rPr>
        <w:t>The Market Monitor will implement the</w:t>
      </w:r>
      <w:r>
        <w:rPr>
          <w:szCs w:val="24"/>
        </w:rPr>
        <w:t>se</w:t>
      </w:r>
      <w:r w:rsidRPr="00352538">
        <w:rPr>
          <w:szCs w:val="24"/>
        </w:rPr>
        <w:t xml:space="preserve"> market monitoring protocols and will monitor Markets and Services by reviewing and analyzing market </w:t>
      </w:r>
      <w:r>
        <w:rPr>
          <w:szCs w:val="24"/>
        </w:rPr>
        <w:t>D</w:t>
      </w:r>
      <w:r w:rsidRPr="00352538">
        <w:rPr>
          <w:szCs w:val="24"/>
        </w:rPr>
        <w:t xml:space="preserve">ata and </w:t>
      </w:r>
      <w:r>
        <w:rPr>
          <w:szCs w:val="24"/>
        </w:rPr>
        <w:t>I</w:t>
      </w:r>
      <w:r w:rsidRPr="00352538">
        <w:rPr>
          <w:szCs w:val="24"/>
        </w:rPr>
        <w:t>nformation including, but not limited to:</w:t>
      </w:r>
    </w:p>
    <w:p w14:paraId="4ECB2456" w14:textId="6F172E27" w:rsidR="00A734BE" w:rsidRPr="00261AF2" w:rsidRDefault="00A734BE" w:rsidP="00FE7AA5">
      <w:pPr>
        <w:numPr>
          <w:ilvl w:val="0"/>
          <w:numId w:val="217"/>
        </w:numPr>
        <w:tabs>
          <w:tab w:val="num" w:pos="720"/>
        </w:tabs>
        <w:spacing w:before="120" w:line="300" w:lineRule="auto"/>
        <w:ind w:left="720" w:hanging="540"/>
        <w:rPr>
          <w:szCs w:val="24"/>
        </w:rPr>
      </w:pPr>
      <w:r w:rsidRPr="00261AF2">
        <w:rPr>
          <w:szCs w:val="24"/>
        </w:rPr>
        <w:t xml:space="preserve">Resource Registration data required under </w:t>
      </w:r>
      <w:r w:rsidRPr="00F73BA2">
        <w:rPr>
          <w:szCs w:val="24"/>
        </w:rPr>
        <w:t xml:space="preserve">Section </w:t>
      </w:r>
      <w:r w:rsidR="00B74AA3">
        <w:rPr>
          <w:szCs w:val="24"/>
        </w:rPr>
        <w:fldChar w:fldCharType="begin"/>
      </w:r>
      <w:r w:rsidR="00B74AA3">
        <w:rPr>
          <w:szCs w:val="24"/>
        </w:rPr>
        <w:instrText xml:space="preserve"> REF _Ref212627270 \r \h </w:instrText>
      </w:r>
      <w:r w:rsidR="00B74AA3">
        <w:rPr>
          <w:szCs w:val="24"/>
        </w:rPr>
      </w:r>
      <w:r w:rsidR="00B74AA3">
        <w:rPr>
          <w:szCs w:val="24"/>
        </w:rPr>
        <w:fldChar w:fldCharType="separate"/>
      </w:r>
      <w:r w:rsidR="00B74AA3">
        <w:rPr>
          <w:szCs w:val="24"/>
        </w:rPr>
        <w:t>9</w:t>
      </w:r>
      <w:r w:rsidR="00B74AA3">
        <w:rPr>
          <w:szCs w:val="24"/>
        </w:rPr>
        <w:fldChar w:fldCharType="end"/>
      </w:r>
      <w:r w:rsidRPr="00F73BA2">
        <w:rPr>
          <w:szCs w:val="24"/>
        </w:rPr>
        <w:t>;</w:t>
      </w:r>
    </w:p>
    <w:p w14:paraId="623DE2C3" w14:textId="675281C8" w:rsidR="00A734BE" w:rsidRPr="00261AF2" w:rsidRDefault="00A734BE" w:rsidP="00FE7AA5">
      <w:pPr>
        <w:numPr>
          <w:ilvl w:val="0"/>
          <w:numId w:val="217"/>
        </w:numPr>
        <w:tabs>
          <w:tab w:val="num" w:pos="720"/>
        </w:tabs>
        <w:spacing w:before="120" w:line="300" w:lineRule="auto"/>
        <w:ind w:left="720" w:hanging="540"/>
        <w:rPr>
          <w:szCs w:val="24"/>
        </w:rPr>
      </w:pPr>
      <w:r w:rsidRPr="00261AF2">
        <w:rPr>
          <w:szCs w:val="24"/>
        </w:rPr>
        <w:t>Resource Offer data</w:t>
      </w:r>
      <w:r w:rsidR="009B20C4">
        <w:rPr>
          <w:szCs w:val="24"/>
        </w:rPr>
        <w:t>,</w:t>
      </w:r>
      <w:r w:rsidRPr="00261AF2">
        <w:rPr>
          <w:szCs w:val="24"/>
        </w:rPr>
        <w:t xml:space="preserve"> </w:t>
      </w:r>
      <w:r>
        <w:rPr>
          <w:szCs w:val="24"/>
        </w:rPr>
        <w:t xml:space="preserve">including non-price related </w:t>
      </w:r>
      <w:r w:rsidR="009B20C4">
        <w:rPr>
          <w:szCs w:val="24"/>
        </w:rPr>
        <w:t>O</w:t>
      </w:r>
      <w:r>
        <w:rPr>
          <w:szCs w:val="24"/>
        </w:rPr>
        <w:t>ffer parameters</w:t>
      </w:r>
      <w:r w:rsidRPr="00261AF2">
        <w:rPr>
          <w:szCs w:val="24"/>
        </w:rPr>
        <w:t xml:space="preserve"> required for use in either the </w:t>
      </w:r>
      <w:r>
        <w:rPr>
          <w:szCs w:val="24"/>
        </w:rPr>
        <w:t>Day-Ahead</w:t>
      </w:r>
      <w:r w:rsidRPr="00261AF2">
        <w:rPr>
          <w:szCs w:val="24"/>
        </w:rPr>
        <w:t xml:space="preserve"> Market</w:t>
      </w:r>
      <w:r>
        <w:rPr>
          <w:szCs w:val="24"/>
        </w:rPr>
        <w:t>,</w:t>
      </w:r>
      <w:r w:rsidRPr="00704888">
        <w:t xml:space="preserve"> </w:t>
      </w:r>
      <w:r w:rsidRPr="00704888">
        <w:rPr>
          <w:szCs w:val="24"/>
        </w:rPr>
        <w:t>Reliability Unit Commitment processes</w:t>
      </w:r>
      <w:r>
        <w:rPr>
          <w:szCs w:val="24"/>
        </w:rPr>
        <w:t>,</w:t>
      </w:r>
      <w:r w:rsidRPr="00261AF2">
        <w:rPr>
          <w:szCs w:val="24"/>
        </w:rPr>
        <w:t xml:space="preserve"> </w:t>
      </w:r>
      <w:r w:rsidDel="0046151A">
        <w:rPr>
          <w:szCs w:val="24"/>
        </w:rPr>
        <w:t>and/</w:t>
      </w:r>
      <w:r w:rsidRPr="00261AF2" w:rsidDel="0046151A">
        <w:rPr>
          <w:szCs w:val="24"/>
        </w:rPr>
        <w:t>or</w:t>
      </w:r>
      <w:r w:rsidRPr="00261AF2">
        <w:rPr>
          <w:szCs w:val="24"/>
        </w:rPr>
        <w:t xml:space="preserve"> RTBM</w:t>
      </w:r>
      <w:r w:rsidR="009B20C4">
        <w:rPr>
          <w:szCs w:val="24"/>
        </w:rPr>
        <w:t>,</w:t>
      </w:r>
      <w:r w:rsidRPr="35E115C0">
        <w:rPr>
          <w:szCs w:val="24"/>
        </w:rPr>
        <w:t xml:space="preserve"> including parameters related to </w:t>
      </w:r>
      <w:r>
        <w:rPr>
          <w:szCs w:val="24"/>
        </w:rPr>
        <w:t>GHG Pricing Programs and GHG Reduction Programs under Attachment K of the Markets+ Tariff</w:t>
      </w:r>
      <w:r w:rsidRPr="35E115C0">
        <w:rPr>
          <w:szCs w:val="24"/>
        </w:rPr>
        <w:t>;</w:t>
      </w:r>
      <w:r w:rsidRPr="00261AF2" w:rsidDel="00E66D2C">
        <w:rPr>
          <w:szCs w:val="24"/>
        </w:rPr>
        <w:t xml:space="preserve"> </w:t>
      </w:r>
    </w:p>
    <w:p w14:paraId="7B3145C7" w14:textId="77777777" w:rsidR="00A734BE" w:rsidRPr="00261AF2" w:rsidRDefault="00A734BE" w:rsidP="00FE7AA5">
      <w:pPr>
        <w:numPr>
          <w:ilvl w:val="0"/>
          <w:numId w:val="217"/>
        </w:numPr>
        <w:tabs>
          <w:tab w:val="num" w:pos="720"/>
        </w:tabs>
        <w:spacing w:before="120" w:line="300" w:lineRule="auto"/>
        <w:ind w:left="720" w:hanging="540"/>
        <w:rPr>
          <w:szCs w:val="24"/>
        </w:rPr>
      </w:pPr>
      <w:r w:rsidRPr="00261AF2">
        <w:rPr>
          <w:szCs w:val="24"/>
        </w:rPr>
        <w:t xml:space="preserve">Demand Bids for the purchase of Energy in the </w:t>
      </w:r>
      <w:r>
        <w:rPr>
          <w:szCs w:val="24"/>
        </w:rPr>
        <w:t>Day-Ahead</w:t>
      </w:r>
      <w:r w:rsidRPr="00261AF2">
        <w:rPr>
          <w:szCs w:val="24"/>
        </w:rPr>
        <w:t xml:space="preserve"> Market;</w:t>
      </w:r>
    </w:p>
    <w:p w14:paraId="2C4ED58F" w14:textId="77777777" w:rsidR="00A734BE" w:rsidRPr="00261AF2" w:rsidRDefault="00A734BE" w:rsidP="00FE7AA5">
      <w:pPr>
        <w:numPr>
          <w:ilvl w:val="0"/>
          <w:numId w:val="217"/>
        </w:numPr>
        <w:tabs>
          <w:tab w:val="num" w:pos="720"/>
        </w:tabs>
        <w:spacing w:before="120" w:line="300" w:lineRule="auto"/>
        <w:ind w:left="720" w:hanging="540"/>
        <w:rPr>
          <w:szCs w:val="24"/>
        </w:rPr>
      </w:pPr>
      <w:r w:rsidRPr="00261AF2">
        <w:rPr>
          <w:szCs w:val="24"/>
        </w:rPr>
        <w:t xml:space="preserve">Virtual Energy Transactions for the purchase or sale of Energy in the </w:t>
      </w:r>
      <w:r>
        <w:rPr>
          <w:szCs w:val="24"/>
        </w:rPr>
        <w:t>Day-Ahead</w:t>
      </w:r>
      <w:r w:rsidRPr="00261AF2">
        <w:rPr>
          <w:szCs w:val="24"/>
        </w:rPr>
        <w:t xml:space="preserve"> Market;</w:t>
      </w:r>
    </w:p>
    <w:p w14:paraId="6763A8F0"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 xml:space="preserve">Export Interchange Transaction Bids and Import Interchange Transaction Offers for the purchase </w:t>
      </w:r>
      <w:r>
        <w:rPr>
          <w:szCs w:val="24"/>
        </w:rPr>
        <w:t>and</w:t>
      </w:r>
      <w:r w:rsidRPr="00352538">
        <w:rPr>
          <w:szCs w:val="24"/>
        </w:rPr>
        <w:t xml:space="preserve"> sale of Energy in the </w:t>
      </w:r>
      <w:r>
        <w:rPr>
          <w:szCs w:val="24"/>
        </w:rPr>
        <w:t>Day-Ahead</w:t>
      </w:r>
      <w:r w:rsidRPr="00352538">
        <w:rPr>
          <w:szCs w:val="24"/>
        </w:rPr>
        <w:t xml:space="preserve"> Market </w:t>
      </w:r>
      <w:r>
        <w:rPr>
          <w:szCs w:val="24"/>
        </w:rPr>
        <w:t>and</w:t>
      </w:r>
      <w:r w:rsidRPr="00352538">
        <w:rPr>
          <w:szCs w:val="24"/>
        </w:rPr>
        <w:t xml:space="preserve"> RTBM;</w:t>
      </w:r>
    </w:p>
    <w:p w14:paraId="7554DECB"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Actual commitment and dispatch of Resources, including but not limited to Resource MW capability and output, MVAR capability and output, status, and outages;</w:t>
      </w:r>
    </w:p>
    <w:p w14:paraId="53F40941"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 xml:space="preserve">Locational Marginal Prices and </w:t>
      </w:r>
      <w:r>
        <w:rPr>
          <w:szCs w:val="24"/>
        </w:rPr>
        <w:t xml:space="preserve">zonal </w:t>
      </w:r>
      <w:r w:rsidRPr="00352538">
        <w:rPr>
          <w:szCs w:val="24"/>
        </w:rPr>
        <w:t xml:space="preserve">Market Clearing Prices at all </w:t>
      </w:r>
      <w:r>
        <w:rPr>
          <w:szCs w:val="24"/>
        </w:rPr>
        <w:t>Settlement Locations</w:t>
      </w:r>
      <w:r w:rsidRPr="00352538">
        <w:rPr>
          <w:szCs w:val="24"/>
        </w:rPr>
        <w:t xml:space="preserve"> in or affecting any of </w:t>
      </w:r>
      <w:r>
        <w:rPr>
          <w:szCs w:val="24"/>
        </w:rPr>
        <w:t xml:space="preserve">the </w:t>
      </w:r>
      <w:r w:rsidRPr="00352538">
        <w:rPr>
          <w:szCs w:val="24"/>
        </w:rPr>
        <w:t>Markets and Services;</w:t>
      </w:r>
    </w:p>
    <w:p w14:paraId="5413F806" w14:textId="77777777" w:rsidR="00A734BE" w:rsidRPr="00261AF2" w:rsidRDefault="00A734BE" w:rsidP="00FE7AA5">
      <w:pPr>
        <w:numPr>
          <w:ilvl w:val="0"/>
          <w:numId w:val="217"/>
        </w:numPr>
        <w:tabs>
          <w:tab w:val="num" w:pos="720"/>
        </w:tabs>
        <w:spacing w:before="120" w:line="300" w:lineRule="auto"/>
        <w:ind w:left="720" w:hanging="540"/>
        <w:rPr>
          <w:szCs w:val="24"/>
        </w:rPr>
      </w:pPr>
      <w:r w:rsidRPr="0CBCF3EB">
        <w:rPr>
          <w:szCs w:val="24"/>
        </w:rPr>
        <w:t xml:space="preserve">Markets+ Participating </w:t>
      </w:r>
      <w:r w:rsidRPr="00261AF2">
        <w:rPr>
          <w:szCs w:val="24"/>
        </w:rPr>
        <w:t>Balancing Authority Area data</w:t>
      </w:r>
      <w:r w:rsidRPr="0CBCF3EB">
        <w:rPr>
          <w:szCs w:val="24"/>
        </w:rPr>
        <w:t xml:space="preserve"> within the Markets+ Footprint</w:t>
      </w:r>
      <w:r w:rsidRPr="00261AF2">
        <w:rPr>
          <w:szCs w:val="24"/>
        </w:rPr>
        <w:t xml:space="preserve">, including but not limited to demand, area control error, </w:t>
      </w:r>
      <w:r>
        <w:rPr>
          <w:szCs w:val="24"/>
        </w:rPr>
        <w:t>N</w:t>
      </w:r>
      <w:r w:rsidRPr="00261AF2">
        <w:rPr>
          <w:szCs w:val="24"/>
        </w:rPr>
        <w:t xml:space="preserve">et </w:t>
      </w:r>
      <w:r>
        <w:rPr>
          <w:szCs w:val="24"/>
        </w:rPr>
        <w:t>S</w:t>
      </w:r>
      <w:r w:rsidRPr="00261AF2">
        <w:rPr>
          <w:szCs w:val="24"/>
        </w:rPr>
        <w:t xml:space="preserve">cheduled </w:t>
      </w:r>
      <w:r>
        <w:rPr>
          <w:szCs w:val="24"/>
        </w:rPr>
        <w:t>I</w:t>
      </w:r>
      <w:r w:rsidRPr="00261AF2">
        <w:rPr>
          <w:szCs w:val="24"/>
        </w:rPr>
        <w:t xml:space="preserve">nterchange, actual total net interchange, and forecasts of </w:t>
      </w:r>
      <w:r w:rsidRPr="0CBCF3EB">
        <w:rPr>
          <w:szCs w:val="24"/>
        </w:rPr>
        <w:t>operating reserve</w:t>
      </w:r>
      <w:r w:rsidRPr="00261AF2">
        <w:rPr>
          <w:szCs w:val="24"/>
        </w:rPr>
        <w:t>s and peak demand;</w:t>
      </w:r>
    </w:p>
    <w:p w14:paraId="1D1EF039"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 xml:space="preserve">Conditions or events both inside and outside the Markets+ Footprint affecting the supply and demand for, and the quantity and price of, products or services sold or to be sold in Markets and Services; </w:t>
      </w:r>
    </w:p>
    <w:p w14:paraId="46F27FB7" w14:textId="1E70DAB5" w:rsidR="00A734BE" w:rsidRPr="00261AF2" w:rsidRDefault="00A734BE" w:rsidP="00FE7AA5">
      <w:pPr>
        <w:numPr>
          <w:ilvl w:val="0"/>
          <w:numId w:val="217"/>
        </w:numPr>
        <w:tabs>
          <w:tab w:val="num" w:pos="720"/>
        </w:tabs>
        <w:spacing w:before="120" w:line="300" w:lineRule="auto"/>
        <w:ind w:left="720" w:hanging="540"/>
        <w:rPr>
          <w:szCs w:val="24"/>
        </w:rPr>
      </w:pPr>
      <w:r w:rsidRPr="35E115C0" w:rsidDel="00261AF2">
        <w:rPr>
          <w:szCs w:val="24"/>
        </w:rPr>
        <w:t>Information regarding transmission services and rights</w:t>
      </w:r>
      <w:r>
        <w:rPr>
          <w:szCs w:val="24"/>
        </w:rPr>
        <w:t>. This</w:t>
      </w:r>
      <w:r w:rsidRPr="35E115C0" w:rsidDel="00261AF2">
        <w:rPr>
          <w:szCs w:val="24"/>
        </w:rPr>
        <w:t xml:space="preserve"> includ</w:t>
      </w:r>
      <w:r>
        <w:rPr>
          <w:szCs w:val="24"/>
        </w:rPr>
        <w:t>es</w:t>
      </w:r>
      <w:r w:rsidRPr="35E115C0" w:rsidDel="00261AF2">
        <w:rPr>
          <w:szCs w:val="24"/>
        </w:rPr>
        <w:t xml:space="preserve"> the estimati</w:t>
      </w:r>
      <w:r>
        <w:rPr>
          <w:szCs w:val="24"/>
        </w:rPr>
        <w:t>on, calculation,</w:t>
      </w:r>
      <w:r w:rsidRPr="35E115C0" w:rsidDel="00261AF2">
        <w:rPr>
          <w:szCs w:val="24"/>
        </w:rPr>
        <w:t xml:space="preserve"> and posting of </w:t>
      </w:r>
      <w:r w:rsidRPr="69AC5379">
        <w:rPr>
          <w:szCs w:val="24"/>
        </w:rPr>
        <w:t>Service Flow Constraint</w:t>
      </w:r>
      <w:r>
        <w:rPr>
          <w:szCs w:val="24"/>
        </w:rPr>
        <w:t>s</w:t>
      </w:r>
      <w:r w:rsidRPr="69AC5379">
        <w:rPr>
          <w:szCs w:val="24"/>
        </w:rPr>
        <w:t xml:space="preserve"> (SFC</w:t>
      </w:r>
      <w:r w:rsidRPr="04E5A89A">
        <w:rPr>
          <w:szCs w:val="24"/>
        </w:rPr>
        <w:t>)</w:t>
      </w:r>
      <w:r>
        <w:rPr>
          <w:szCs w:val="24"/>
        </w:rPr>
        <w:t xml:space="preserve"> and the inputs used to determine SFC</w:t>
      </w:r>
      <w:r w:rsidRPr="04E5A89A">
        <w:rPr>
          <w:szCs w:val="24"/>
        </w:rPr>
        <w:t>.</w:t>
      </w:r>
      <w:r w:rsidRPr="69AC5379">
        <w:rPr>
          <w:szCs w:val="24"/>
        </w:rPr>
        <w:t xml:space="preserve"> </w:t>
      </w:r>
      <w:r w:rsidRPr="572719CB">
        <w:rPr>
          <w:szCs w:val="24"/>
        </w:rPr>
        <w:t xml:space="preserve">This </w:t>
      </w:r>
      <w:r>
        <w:rPr>
          <w:szCs w:val="24"/>
        </w:rPr>
        <w:t xml:space="preserve">also </w:t>
      </w:r>
      <w:r w:rsidRPr="572719CB">
        <w:rPr>
          <w:szCs w:val="24"/>
        </w:rPr>
        <w:t>includes</w:t>
      </w:r>
      <w:r w:rsidRPr="35E115C0">
        <w:rPr>
          <w:szCs w:val="24"/>
        </w:rPr>
        <w:t xml:space="preserve"> </w:t>
      </w:r>
      <w:r>
        <w:rPr>
          <w:szCs w:val="24"/>
        </w:rPr>
        <w:t xml:space="preserve">transmission rights that have been opted-out from or opted-in </w:t>
      </w:r>
      <w:r w:rsidRPr="35E115C0">
        <w:rPr>
          <w:szCs w:val="24"/>
        </w:rPr>
        <w:t>to Markets+</w:t>
      </w:r>
      <w:r>
        <w:rPr>
          <w:szCs w:val="24"/>
        </w:rPr>
        <w:t>;</w:t>
      </w:r>
      <w:r w:rsidRPr="35E115C0">
        <w:rPr>
          <w:szCs w:val="24"/>
        </w:rPr>
        <w:t xml:space="preserve"> </w:t>
      </w:r>
    </w:p>
    <w:p w14:paraId="601A747B"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Information regarding the nature and extent of transmission congestion in the region and, to the extent practicable, transmission congestion on any other system that affects Markets and Services, including but not limited to causes of, costs of</w:t>
      </w:r>
      <w:r w:rsidRPr="1E342A31">
        <w:rPr>
          <w:szCs w:val="24"/>
        </w:rPr>
        <w:t>,</w:t>
      </w:r>
      <w:r w:rsidRPr="00352538">
        <w:rPr>
          <w:szCs w:val="24"/>
        </w:rPr>
        <w:t xml:space="preserve"> and charges for transmission congestion, transmission facility loading, MVA capability, line status</w:t>
      </w:r>
      <w:r w:rsidRPr="1E342A31">
        <w:rPr>
          <w:szCs w:val="24"/>
        </w:rPr>
        <w:t>,</w:t>
      </w:r>
      <w:r w:rsidRPr="00352538">
        <w:rPr>
          <w:szCs w:val="24"/>
        </w:rPr>
        <w:t xml:space="preserve"> and outages;</w:t>
      </w:r>
    </w:p>
    <w:p w14:paraId="71F38D30"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 xml:space="preserve">Settlement data for Markets and Services; </w:t>
      </w:r>
    </w:p>
    <w:p w14:paraId="277C69F8" w14:textId="77777777" w:rsidR="00A734BE" w:rsidRPr="00352538" w:rsidRDefault="00A734BE" w:rsidP="00FE7AA5">
      <w:pPr>
        <w:numPr>
          <w:ilvl w:val="0"/>
          <w:numId w:val="217"/>
        </w:numPr>
        <w:tabs>
          <w:tab w:val="num" w:pos="720"/>
        </w:tabs>
        <w:spacing w:before="120" w:line="300" w:lineRule="auto"/>
        <w:ind w:left="720" w:hanging="540"/>
        <w:rPr>
          <w:szCs w:val="24"/>
        </w:rPr>
      </w:pPr>
      <w:r w:rsidRPr="00352538">
        <w:rPr>
          <w:szCs w:val="24"/>
        </w:rPr>
        <w:t xml:space="preserve">Any information regarding collusive or other anticompetitive or inefficient behavior in or affecting Markets and Services; </w:t>
      </w:r>
    </w:p>
    <w:p w14:paraId="6AFA0890" w14:textId="73348CD4" w:rsidR="00A734BE" w:rsidRDefault="00A734BE" w:rsidP="00FE7AA5">
      <w:pPr>
        <w:numPr>
          <w:ilvl w:val="0"/>
          <w:numId w:val="217"/>
        </w:numPr>
        <w:tabs>
          <w:tab w:val="num" w:pos="720"/>
        </w:tabs>
        <w:spacing w:before="120" w:line="300" w:lineRule="auto"/>
        <w:ind w:left="720" w:hanging="540"/>
        <w:rPr>
          <w:szCs w:val="24"/>
        </w:rPr>
      </w:pPr>
      <w:r w:rsidRPr="00352538">
        <w:rPr>
          <w:szCs w:val="24"/>
        </w:rPr>
        <w:t xml:space="preserve">Generation </w:t>
      </w:r>
      <w:r>
        <w:rPr>
          <w:szCs w:val="24"/>
        </w:rPr>
        <w:t>r</w:t>
      </w:r>
      <w:r w:rsidRPr="00352538">
        <w:rPr>
          <w:szCs w:val="24"/>
        </w:rPr>
        <w:t>esource operating cost data for estimating Resource incremental cost, including fuel input costs, heat rates where applicable, start-up fuel requirements, environmental costs</w:t>
      </w:r>
      <w:r>
        <w:rPr>
          <w:szCs w:val="24"/>
        </w:rPr>
        <w:t>,</w:t>
      </w:r>
      <w:r w:rsidRPr="00352538">
        <w:rPr>
          <w:szCs w:val="24"/>
        </w:rPr>
        <w:t xml:space="preserve"> and variable operating and maintenance expenses; </w:t>
      </w:r>
      <w:r w:rsidR="005A05BA">
        <w:rPr>
          <w:szCs w:val="24"/>
        </w:rPr>
        <w:t>and</w:t>
      </w:r>
    </w:p>
    <w:p w14:paraId="1527625E" w14:textId="3F21BD78" w:rsidR="00A734BE" w:rsidRPr="00352538" w:rsidRDefault="00A734BE" w:rsidP="00FE7AA5">
      <w:pPr>
        <w:numPr>
          <w:ilvl w:val="0"/>
          <w:numId w:val="217"/>
        </w:numPr>
        <w:tabs>
          <w:tab w:val="num" w:pos="720"/>
        </w:tabs>
        <w:spacing w:before="120" w:line="300" w:lineRule="auto"/>
        <w:ind w:left="720" w:hanging="540"/>
        <w:rPr>
          <w:szCs w:val="24"/>
        </w:rPr>
      </w:pPr>
      <w:r w:rsidRPr="69AC5379">
        <w:rPr>
          <w:szCs w:val="24"/>
        </w:rPr>
        <w:t xml:space="preserve">Any </w:t>
      </w:r>
      <w:r w:rsidRPr="00A6764F">
        <w:rPr>
          <w:szCs w:val="24"/>
        </w:rPr>
        <w:t xml:space="preserve">additional Resource and transmission facility outage data not otherwise provided for in this </w:t>
      </w:r>
      <w:r w:rsidR="0060516A">
        <w:rPr>
          <w:szCs w:val="24"/>
        </w:rPr>
        <w:t>s</w:t>
      </w:r>
      <w:r w:rsidRPr="00A6764F">
        <w:rPr>
          <w:szCs w:val="24"/>
        </w:rPr>
        <w:t>ection</w:t>
      </w:r>
      <w:r w:rsidR="0060516A">
        <w:rPr>
          <w:szCs w:val="24"/>
        </w:rPr>
        <w:t>.</w:t>
      </w:r>
    </w:p>
    <w:p w14:paraId="22F572E9" w14:textId="77777777" w:rsidR="00A734BE" w:rsidRDefault="00A734BE" w:rsidP="00FE7AA5">
      <w:pPr>
        <w:spacing w:before="120" w:line="300" w:lineRule="auto"/>
        <w:rPr>
          <w:szCs w:val="24"/>
        </w:rPr>
      </w:pPr>
    </w:p>
    <w:p w14:paraId="3D46286A" w14:textId="5E99B4CC" w:rsidR="00A734BE" w:rsidRPr="00261AF2" w:rsidRDefault="00A734BE" w:rsidP="00FE7AA5">
      <w:pPr>
        <w:spacing w:before="120" w:line="300" w:lineRule="auto"/>
        <w:rPr>
          <w:szCs w:val="24"/>
        </w:rPr>
      </w:pPr>
      <w:bookmarkStart w:id="8073" w:name="_Ref212628560"/>
      <w:r w:rsidRPr="00261AF2">
        <w:rPr>
          <w:szCs w:val="24"/>
        </w:rPr>
        <w:t xml:space="preserve">In addition to the monitoring of market </w:t>
      </w:r>
      <w:r w:rsidRPr="0D7CD36C">
        <w:rPr>
          <w:szCs w:val="24"/>
        </w:rPr>
        <w:t>D</w:t>
      </w:r>
      <w:r w:rsidRPr="00261AF2">
        <w:rPr>
          <w:szCs w:val="24"/>
        </w:rPr>
        <w:t xml:space="preserve">ata and </w:t>
      </w:r>
      <w:r w:rsidRPr="0D7CD36C">
        <w:rPr>
          <w:szCs w:val="24"/>
        </w:rPr>
        <w:t>I</w:t>
      </w:r>
      <w:r w:rsidRPr="00261AF2">
        <w:rPr>
          <w:szCs w:val="24"/>
        </w:rPr>
        <w:t xml:space="preserve">nformation, the Market Monitor may communicate with </w:t>
      </w:r>
      <w:r w:rsidR="006D1E03">
        <w:rPr>
          <w:szCs w:val="24"/>
        </w:rPr>
        <w:t>the</w:t>
      </w:r>
      <w:r w:rsidRPr="00261AF2">
        <w:rPr>
          <w:szCs w:val="24"/>
        </w:rPr>
        <w:t xml:space="preserve"> Market Operator and Market Participants at any time for the purpose of monitoring and assessing market conditions.</w:t>
      </w:r>
      <w:bookmarkEnd w:id="8073"/>
    </w:p>
    <w:p w14:paraId="47894732" w14:textId="77777777" w:rsidR="00A734BE" w:rsidRPr="00352538" w:rsidRDefault="00A734BE" w:rsidP="00574EDE">
      <w:pPr>
        <w:pStyle w:val="Heading4"/>
        <w:rPr>
          <w:szCs w:val="24"/>
        </w:rPr>
      </w:pPr>
      <w:bookmarkStart w:id="8074" w:name="_Toc263429603"/>
      <w:bookmarkStart w:id="8075" w:name="_Toc263795646"/>
      <w:bookmarkStart w:id="8076" w:name="_Toc265675894"/>
      <w:bookmarkStart w:id="8077" w:name="_Toc266869822"/>
      <w:bookmarkStart w:id="8078" w:name="_Toc159233542"/>
      <w:bookmarkStart w:id="8079" w:name="_Toc141100825"/>
      <w:bookmarkStart w:id="8080" w:name="_Ref212128412"/>
      <w:bookmarkStart w:id="8081" w:name="_Ref212627988"/>
      <w:bookmarkStart w:id="8082" w:name="_Ref212628561"/>
      <w:bookmarkStart w:id="8083" w:name="_Ref212631759"/>
      <w:bookmarkStart w:id="8084" w:name="_Ref212632227"/>
      <w:bookmarkStart w:id="8085" w:name="_Toc213772113"/>
      <w:r w:rsidRPr="00352538">
        <w:t xml:space="preserve">Instances of </w:t>
      </w:r>
      <w:r w:rsidRPr="00352538">
        <w:rPr>
          <w:szCs w:val="24"/>
        </w:rPr>
        <w:t>Market Power</w:t>
      </w:r>
      <w:bookmarkEnd w:id="8074"/>
      <w:bookmarkEnd w:id="8075"/>
      <w:bookmarkEnd w:id="8076"/>
      <w:bookmarkEnd w:id="8077"/>
      <w:bookmarkEnd w:id="8078"/>
      <w:bookmarkEnd w:id="8079"/>
      <w:bookmarkEnd w:id="8080"/>
      <w:bookmarkEnd w:id="8081"/>
      <w:bookmarkEnd w:id="8082"/>
      <w:bookmarkEnd w:id="8083"/>
      <w:bookmarkEnd w:id="8084"/>
      <w:bookmarkEnd w:id="8085"/>
    </w:p>
    <w:p w14:paraId="787D1716" w14:textId="502CB33E" w:rsidR="00A734BE" w:rsidRPr="00707ED7" w:rsidRDefault="00A734BE" w:rsidP="00FE7AA5">
      <w:pPr>
        <w:spacing w:before="120" w:line="300" w:lineRule="auto"/>
        <w:rPr>
          <w:sz w:val="28"/>
          <w:szCs w:val="28"/>
        </w:rPr>
      </w:pPr>
      <w:r w:rsidRPr="00352538">
        <w:rPr>
          <w:szCs w:val="24"/>
        </w:rPr>
        <w:t xml:space="preserve">The Market Monitor will analyze market data with regard to </w:t>
      </w:r>
      <w:r>
        <w:rPr>
          <w:szCs w:val="24"/>
        </w:rPr>
        <w:t>i</w:t>
      </w:r>
      <w:r w:rsidRPr="00352538">
        <w:rPr>
          <w:szCs w:val="24"/>
        </w:rPr>
        <w:t xml:space="preserve">nstances of </w:t>
      </w:r>
      <w:r>
        <w:rPr>
          <w:szCs w:val="24"/>
        </w:rPr>
        <w:t>m</w:t>
      </w:r>
      <w:r w:rsidRPr="00352538">
        <w:rPr>
          <w:szCs w:val="24"/>
        </w:rPr>
        <w:t xml:space="preserve">arket </w:t>
      </w:r>
      <w:r>
        <w:rPr>
          <w:szCs w:val="24"/>
        </w:rPr>
        <w:t>p</w:t>
      </w:r>
      <w:r w:rsidRPr="00352538">
        <w:rPr>
          <w:szCs w:val="24"/>
        </w:rPr>
        <w:t xml:space="preserve">ower and refer possible cases to FERC when </w:t>
      </w:r>
      <w:r>
        <w:rPr>
          <w:szCs w:val="24"/>
        </w:rPr>
        <w:t xml:space="preserve">the Market Monitor determines that </w:t>
      </w:r>
      <w:r w:rsidRPr="00352538">
        <w:rPr>
          <w:szCs w:val="24"/>
        </w:rPr>
        <w:t xml:space="preserve">there is sufficient credible information to warrant such action.  </w:t>
      </w:r>
      <w:r>
        <w:rPr>
          <w:rStyle w:val="ui-provider"/>
          <w:szCs w:val="24"/>
        </w:rPr>
        <w:t>The Market Monitor will make r</w:t>
      </w:r>
      <w:r>
        <w:rPr>
          <w:szCs w:val="24"/>
        </w:rPr>
        <w:t>eferrals in accordance with</w:t>
      </w:r>
      <w:r>
        <w:rPr>
          <w:rStyle w:val="ui-provider"/>
          <w:szCs w:val="24"/>
        </w:rPr>
        <w:t xml:space="preserve"> </w:t>
      </w:r>
      <w:r w:rsidRPr="00526C25">
        <w:rPr>
          <w:rStyle w:val="ui-provider"/>
          <w:szCs w:val="24"/>
        </w:rPr>
        <w:t>18 CFR 35.28(g)(3)(iv)(A</w:t>
      </w:r>
      <w:r>
        <w:rPr>
          <w:rStyle w:val="ui-provider"/>
          <w:szCs w:val="24"/>
        </w:rPr>
        <w:t>).</w:t>
      </w:r>
      <w:r w:rsidRPr="00A108B9" w:rsidDel="0048462E">
        <w:rPr>
          <w:sz w:val="28"/>
          <w:szCs w:val="28"/>
        </w:rPr>
        <w:t xml:space="preserve"> </w:t>
      </w:r>
      <w:r w:rsidRPr="00A108B9">
        <w:rPr>
          <w:sz w:val="28"/>
          <w:szCs w:val="28"/>
        </w:rPr>
        <w:t xml:space="preserve">  </w:t>
      </w:r>
    </w:p>
    <w:p w14:paraId="71EBA398" w14:textId="55D1001B" w:rsidR="00A734BE" w:rsidRPr="00261AF2" w:rsidRDefault="00A734BE" w:rsidP="00FE7AA5">
      <w:pPr>
        <w:spacing w:before="120" w:line="300" w:lineRule="auto"/>
        <w:rPr>
          <w:szCs w:val="24"/>
        </w:rPr>
      </w:pPr>
      <w:r w:rsidRPr="00261AF2">
        <w:rPr>
          <w:szCs w:val="24"/>
        </w:rPr>
        <w:t xml:space="preserve">The Market Monitor will keep </w:t>
      </w:r>
      <w:r>
        <w:rPr>
          <w:szCs w:val="24"/>
        </w:rPr>
        <w:t xml:space="preserve">the </w:t>
      </w:r>
      <w:r w:rsidRPr="008A4470">
        <w:rPr>
          <w:szCs w:val="24"/>
        </w:rPr>
        <w:t>Market Operator and Interested Government Agencies apprised</w:t>
      </w:r>
      <w:r w:rsidRPr="00261AF2">
        <w:rPr>
          <w:szCs w:val="24"/>
        </w:rPr>
        <w:t xml:space="preserve"> of the potential for and the implications of abusive market power </w:t>
      </w:r>
      <w:r w:rsidRPr="46A4DE61">
        <w:rPr>
          <w:szCs w:val="24"/>
        </w:rPr>
        <w:t>behavior and</w:t>
      </w:r>
      <w:r w:rsidRPr="00261AF2">
        <w:rPr>
          <w:szCs w:val="24"/>
        </w:rPr>
        <w:t xml:space="preserve"> make recommendations as to how to remove the potential for</w:t>
      </w:r>
      <w:r>
        <w:rPr>
          <w:szCs w:val="24"/>
        </w:rPr>
        <w:t>,</w:t>
      </w:r>
      <w:r w:rsidRPr="00261AF2">
        <w:rPr>
          <w:szCs w:val="24"/>
        </w:rPr>
        <w:t xml:space="preserve"> and ability to exercise</w:t>
      </w:r>
      <w:r w:rsidR="00516478">
        <w:rPr>
          <w:szCs w:val="24"/>
        </w:rPr>
        <w:t>,</w:t>
      </w:r>
      <w:r w:rsidRPr="00261AF2">
        <w:rPr>
          <w:szCs w:val="24"/>
        </w:rPr>
        <w:t xml:space="preserve"> market power. </w:t>
      </w:r>
    </w:p>
    <w:p w14:paraId="77F0011E" w14:textId="493BCFA8" w:rsidR="00A734BE" w:rsidRPr="00352538" w:rsidRDefault="00A734BE" w:rsidP="00FE7AA5">
      <w:pPr>
        <w:spacing w:before="120" w:line="300" w:lineRule="auto"/>
        <w:rPr>
          <w:szCs w:val="24"/>
        </w:rPr>
      </w:pPr>
      <w:r w:rsidRPr="00352538">
        <w:rPr>
          <w:szCs w:val="24"/>
        </w:rPr>
        <w:t xml:space="preserve">Specific monitoring activities regarding physical and economic withholding </w:t>
      </w:r>
      <w:r w:rsidRPr="2B9CD647">
        <w:rPr>
          <w:szCs w:val="24"/>
        </w:rPr>
        <w:t>will</w:t>
      </w:r>
      <w:r w:rsidRPr="00352538">
        <w:rPr>
          <w:szCs w:val="24"/>
        </w:rPr>
        <w:t xml:space="preserve"> include</w:t>
      </w:r>
      <w:r w:rsidR="00342C8B">
        <w:rPr>
          <w:szCs w:val="24"/>
        </w:rPr>
        <w:t>,</w:t>
      </w:r>
      <w:r w:rsidRPr="00352538">
        <w:rPr>
          <w:szCs w:val="24"/>
        </w:rPr>
        <w:t xml:space="preserve"> but not be limited to</w:t>
      </w:r>
      <w:r w:rsidR="00342C8B">
        <w:rPr>
          <w:szCs w:val="24"/>
        </w:rPr>
        <w:t>,</w:t>
      </w:r>
      <w:r w:rsidRPr="00352538">
        <w:rPr>
          <w:szCs w:val="24"/>
        </w:rPr>
        <w:t xml:space="preserve"> assessment </w:t>
      </w:r>
      <w:r w:rsidRPr="2B9CD647">
        <w:rPr>
          <w:szCs w:val="24"/>
        </w:rPr>
        <w:t>of</w:t>
      </w:r>
      <w:r w:rsidRPr="00352538">
        <w:rPr>
          <w:szCs w:val="24"/>
        </w:rPr>
        <w:t xml:space="preserve"> (a) availability of Resources, (b) artificial barriers to entry and exit, (c) impact of the use of Resources for reliability versus energy purposes, (d) market response to price spikes, and (e) analysis of bidding patterns.  On an ongoing basis, the Market Monitor will consult with the </w:t>
      </w:r>
      <w:r w:rsidRPr="2B9CD647">
        <w:rPr>
          <w:szCs w:val="24"/>
        </w:rPr>
        <w:t>Markets+ Design Working Group</w:t>
      </w:r>
      <w:r w:rsidRPr="00352538">
        <w:rPr>
          <w:szCs w:val="24"/>
        </w:rPr>
        <w:t xml:space="preserve"> on examining other areas for </w:t>
      </w:r>
      <w:r>
        <w:rPr>
          <w:szCs w:val="24"/>
        </w:rPr>
        <w:t>potential instances of</w:t>
      </w:r>
      <w:r w:rsidRPr="00352538">
        <w:rPr>
          <w:szCs w:val="24"/>
        </w:rPr>
        <w:t xml:space="preserve"> </w:t>
      </w:r>
      <w:r>
        <w:rPr>
          <w:szCs w:val="24"/>
        </w:rPr>
        <w:t>m</w:t>
      </w:r>
      <w:r w:rsidRPr="00352538">
        <w:rPr>
          <w:szCs w:val="24"/>
        </w:rPr>
        <w:t xml:space="preserve">arket </w:t>
      </w:r>
      <w:r>
        <w:rPr>
          <w:szCs w:val="24"/>
        </w:rPr>
        <w:t>p</w:t>
      </w:r>
      <w:r w:rsidRPr="00352538">
        <w:rPr>
          <w:szCs w:val="24"/>
        </w:rPr>
        <w:t>ower.</w:t>
      </w:r>
      <w:r>
        <w:rPr>
          <w:szCs w:val="24"/>
        </w:rPr>
        <w:t xml:space="preserve"> </w:t>
      </w:r>
    </w:p>
    <w:p w14:paraId="4D67C253" w14:textId="77777777" w:rsidR="00A734BE" w:rsidRPr="00352538" w:rsidRDefault="00A734BE" w:rsidP="00574EDE">
      <w:pPr>
        <w:pStyle w:val="Heading4"/>
      </w:pPr>
      <w:bookmarkStart w:id="8086" w:name="_Toc263429604"/>
      <w:bookmarkStart w:id="8087" w:name="_Toc263795647"/>
      <w:bookmarkStart w:id="8088" w:name="_Toc265675895"/>
      <w:bookmarkStart w:id="8089" w:name="_Toc266869823"/>
      <w:bookmarkStart w:id="8090" w:name="_Toc159233543"/>
      <w:bookmarkStart w:id="8091" w:name="_Toc141100826"/>
      <w:bookmarkStart w:id="8092" w:name="_Toc213772114"/>
      <w:r w:rsidRPr="00352538">
        <w:t>Market Participant Behavior Warranting Possible Mitigation</w:t>
      </w:r>
      <w:bookmarkEnd w:id="8086"/>
      <w:bookmarkEnd w:id="8087"/>
      <w:bookmarkEnd w:id="8088"/>
      <w:bookmarkEnd w:id="8089"/>
      <w:bookmarkEnd w:id="8090"/>
      <w:bookmarkEnd w:id="8091"/>
      <w:bookmarkEnd w:id="8092"/>
    </w:p>
    <w:p w14:paraId="2096CFAF" w14:textId="77777777" w:rsidR="00A734BE" w:rsidRPr="00352538" w:rsidRDefault="00A734BE" w:rsidP="00FE7AA5">
      <w:pPr>
        <w:spacing w:before="120" w:line="300" w:lineRule="auto"/>
        <w:rPr>
          <w:szCs w:val="24"/>
        </w:rPr>
      </w:pPr>
      <w:r w:rsidRPr="00352538">
        <w:rPr>
          <w:szCs w:val="24"/>
        </w:rPr>
        <w:t xml:space="preserve">The Market Monitor </w:t>
      </w:r>
      <w:r>
        <w:rPr>
          <w:szCs w:val="24"/>
        </w:rPr>
        <w:t>will</w:t>
      </w:r>
      <w:r w:rsidRPr="00352538">
        <w:rPr>
          <w:szCs w:val="24"/>
        </w:rPr>
        <w:t xml:space="preserve"> monitor Markets and Services for potential abuse associated with the following categories of Market Participant behavior:</w:t>
      </w:r>
    </w:p>
    <w:p w14:paraId="54AA24C5" w14:textId="77777777" w:rsidR="00A734BE" w:rsidRPr="00352538" w:rsidRDefault="00A734BE" w:rsidP="00FE7AA5">
      <w:pPr>
        <w:numPr>
          <w:ilvl w:val="0"/>
          <w:numId w:val="218"/>
        </w:numPr>
        <w:tabs>
          <w:tab w:val="num" w:pos="720"/>
        </w:tabs>
        <w:spacing w:before="120" w:line="300" w:lineRule="auto"/>
        <w:ind w:left="720" w:hanging="540"/>
        <w:rPr>
          <w:szCs w:val="24"/>
        </w:rPr>
      </w:pPr>
      <w:r w:rsidRPr="00352538">
        <w:rPr>
          <w:szCs w:val="24"/>
        </w:rPr>
        <w:t xml:space="preserve">Economic </w:t>
      </w:r>
      <w:r w:rsidRPr="00352538" w:rsidDel="00BE5F19">
        <w:rPr>
          <w:szCs w:val="24"/>
        </w:rPr>
        <w:t>W</w:t>
      </w:r>
      <w:r w:rsidRPr="00352538">
        <w:rPr>
          <w:szCs w:val="24"/>
        </w:rPr>
        <w:t>ithholding;</w:t>
      </w:r>
    </w:p>
    <w:p w14:paraId="1E517C40" w14:textId="77777777" w:rsidR="00A734BE" w:rsidRPr="00261AF2" w:rsidRDefault="00A734BE" w:rsidP="00FE7AA5">
      <w:pPr>
        <w:numPr>
          <w:ilvl w:val="0"/>
          <w:numId w:val="218"/>
        </w:numPr>
        <w:tabs>
          <w:tab w:val="num" w:pos="720"/>
        </w:tabs>
        <w:spacing w:before="120" w:line="300" w:lineRule="auto"/>
        <w:ind w:left="720" w:hanging="540"/>
        <w:rPr>
          <w:szCs w:val="24"/>
        </w:rPr>
      </w:pPr>
      <w:r w:rsidRPr="00261AF2">
        <w:rPr>
          <w:szCs w:val="24"/>
        </w:rPr>
        <w:t>Uneconomic Production;</w:t>
      </w:r>
    </w:p>
    <w:p w14:paraId="37185F32" w14:textId="77777777" w:rsidR="00A734BE" w:rsidRPr="00261AF2" w:rsidRDefault="00A734BE" w:rsidP="00FE7AA5">
      <w:pPr>
        <w:numPr>
          <w:ilvl w:val="0"/>
          <w:numId w:val="218"/>
        </w:numPr>
        <w:tabs>
          <w:tab w:val="num" w:pos="720"/>
        </w:tabs>
        <w:spacing w:before="120" w:line="300" w:lineRule="auto"/>
        <w:ind w:left="720" w:hanging="540"/>
        <w:rPr>
          <w:szCs w:val="24"/>
        </w:rPr>
      </w:pPr>
      <w:r w:rsidRPr="00261AF2">
        <w:rPr>
          <w:szCs w:val="24"/>
        </w:rPr>
        <w:t>Physical Withholding</w:t>
      </w:r>
      <w:r w:rsidRPr="25AC1CC4">
        <w:rPr>
          <w:szCs w:val="24"/>
        </w:rPr>
        <w:t>;</w:t>
      </w:r>
      <w:r w:rsidRPr="483E9097">
        <w:rPr>
          <w:szCs w:val="24"/>
        </w:rPr>
        <w:t xml:space="preserve"> and</w:t>
      </w:r>
    </w:p>
    <w:p w14:paraId="3D08C0A1" w14:textId="77777777" w:rsidR="00A734BE" w:rsidRPr="00352538" w:rsidRDefault="00A734BE" w:rsidP="00FE7AA5">
      <w:pPr>
        <w:numPr>
          <w:ilvl w:val="0"/>
          <w:numId w:val="218"/>
        </w:numPr>
        <w:tabs>
          <w:tab w:val="num" w:pos="720"/>
        </w:tabs>
        <w:spacing w:before="120" w:line="300" w:lineRule="auto"/>
        <w:ind w:left="720" w:hanging="540"/>
        <w:rPr>
          <w:szCs w:val="24"/>
        </w:rPr>
      </w:pPr>
      <w:r w:rsidRPr="00352538">
        <w:rPr>
          <w:szCs w:val="24"/>
        </w:rPr>
        <w:t xml:space="preserve">Uneconomic Virtual </w:t>
      </w:r>
      <w:r w:rsidRPr="00352538" w:rsidDel="0001752F">
        <w:rPr>
          <w:szCs w:val="24"/>
        </w:rPr>
        <w:t>Bids and Offers</w:t>
      </w:r>
      <w:r w:rsidRPr="00352538">
        <w:rPr>
          <w:szCs w:val="24"/>
        </w:rPr>
        <w:t>.</w:t>
      </w:r>
    </w:p>
    <w:p w14:paraId="13D2B490" w14:textId="77777777" w:rsidR="00A734BE" w:rsidRDefault="00A734BE" w:rsidP="00FE7AA5">
      <w:pPr>
        <w:spacing w:before="120" w:line="300" w:lineRule="auto"/>
        <w:ind w:left="720"/>
        <w:rPr>
          <w:szCs w:val="24"/>
        </w:rPr>
      </w:pPr>
    </w:p>
    <w:p w14:paraId="1565A426" w14:textId="4B9672B6" w:rsidR="00A734BE" w:rsidRPr="00B21C8C" w:rsidRDefault="00A734BE" w:rsidP="00FE7AA5">
      <w:pPr>
        <w:spacing w:before="120" w:line="300" w:lineRule="auto"/>
        <w:rPr>
          <w:szCs w:val="24"/>
        </w:rPr>
      </w:pPr>
      <w:r w:rsidRPr="00B21C8C">
        <w:rPr>
          <w:szCs w:val="24"/>
        </w:rPr>
        <w:t xml:space="preserve">Abuse of these types of behaviors is prohibited.  The above list is not an exhaustive list of potential signs of market manipulation.  The mitigation measures and monitoring metrics for each of the Market Participant behaviors in (1)-(4) are fully developed in this Section 11 and in </w:t>
      </w:r>
      <w:r w:rsidR="00E41277" w:rsidRPr="00B21C8C">
        <w:rPr>
          <w:szCs w:val="24"/>
        </w:rPr>
        <w:t>A</w:t>
      </w:r>
      <w:r w:rsidR="00E41277">
        <w:rPr>
          <w:szCs w:val="24"/>
        </w:rPr>
        <w:t>ppendix</w:t>
      </w:r>
      <w:r w:rsidR="00E41277" w:rsidRPr="00B21C8C">
        <w:rPr>
          <w:szCs w:val="24"/>
        </w:rPr>
        <w:t xml:space="preserve"> </w:t>
      </w:r>
      <w:r w:rsidRPr="00B21C8C">
        <w:rPr>
          <w:szCs w:val="24"/>
        </w:rPr>
        <w:t xml:space="preserve">D.  When the Market Monitor determines there is sufficient credible information about a specific abusive practice, it will refer the issue to FERC’s Office of Enforcement for further review.  Nothing in this </w:t>
      </w:r>
      <w:r w:rsidR="00B1362C">
        <w:rPr>
          <w:szCs w:val="24"/>
        </w:rPr>
        <w:t>S</w:t>
      </w:r>
      <w:r w:rsidRPr="00B21C8C">
        <w:rPr>
          <w:szCs w:val="24"/>
        </w:rPr>
        <w:t>ection</w:t>
      </w:r>
      <w:r w:rsidR="00B1362C">
        <w:rPr>
          <w:szCs w:val="24"/>
        </w:rPr>
        <w:t xml:space="preserve"> 11</w:t>
      </w:r>
      <w:r w:rsidRPr="00B21C8C">
        <w:rPr>
          <w:szCs w:val="24"/>
        </w:rPr>
        <w:t xml:space="preserve"> limits the Market Monitor’s obligation to refer other suspected market violations to FERC’s Office of Enforcement, even where suspected behavior does not fall explicitly within the above</w:t>
      </w:r>
      <w:r w:rsidR="009A32B8">
        <w:rPr>
          <w:szCs w:val="24"/>
        </w:rPr>
        <w:t>-</w:t>
      </w:r>
      <w:r w:rsidRPr="00B21C8C">
        <w:rPr>
          <w:szCs w:val="24"/>
        </w:rPr>
        <w:t xml:space="preserve">mentioned categories or descriptions, including for market manipulation as described in Attachment C.   </w:t>
      </w:r>
    </w:p>
    <w:p w14:paraId="7757033E" w14:textId="77777777" w:rsidR="00A734BE" w:rsidRPr="00E6100D" w:rsidRDefault="00A734BE" w:rsidP="00781C61">
      <w:pPr>
        <w:pStyle w:val="Heading3"/>
      </w:pPr>
      <w:bookmarkStart w:id="8093" w:name="_Toc81128814"/>
      <w:bookmarkStart w:id="8094" w:name="_Toc262560962"/>
      <w:bookmarkStart w:id="8095" w:name="_Toc263429605"/>
      <w:bookmarkStart w:id="8096" w:name="_Toc263795648"/>
      <w:bookmarkStart w:id="8097" w:name="_Toc265675896"/>
      <w:bookmarkStart w:id="8098" w:name="_Toc266869824"/>
      <w:bookmarkStart w:id="8099" w:name="_Toc159233544"/>
      <w:bookmarkStart w:id="8100" w:name="_Toc141100827"/>
      <w:bookmarkStart w:id="8101" w:name="_Toc213772115"/>
      <w:r w:rsidRPr="00E6100D">
        <w:t>I</w:t>
      </w:r>
      <w:bookmarkEnd w:id="8093"/>
      <w:r w:rsidRPr="00E6100D">
        <w:t>nquiries</w:t>
      </w:r>
      <w:bookmarkEnd w:id="8094"/>
      <w:bookmarkEnd w:id="8095"/>
      <w:bookmarkEnd w:id="8096"/>
      <w:bookmarkEnd w:id="8097"/>
      <w:bookmarkEnd w:id="8098"/>
      <w:bookmarkEnd w:id="8099"/>
      <w:bookmarkEnd w:id="8100"/>
      <w:bookmarkEnd w:id="8101"/>
    </w:p>
    <w:p w14:paraId="60245FA0" w14:textId="77777777" w:rsidR="00A734BE" w:rsidRPr="00352538" w:rsidRDefault="00A734BE" w:rsidP="00574EDE">
      <w:pPr>
        <w:pStyle w:val="Heading4"/>
      </w:pPr>
      <w:bookmarkStart w:id="8102" w:name="_Toc263429606"/>
      <w:bookmarkStart w:id="8103" w:name="_Toc263795649"/>
      <w:bookmarkStart w:id="8104" w:name="_Toc265675897"/>
      <w:bookmarkStart w:id="8105" w:name="_Toc266869825"/>
      <w:bookmarkStart w:id="8106" w:name="_Toc159233545"/>
      <w:bookmarkStart w:id="8107" w:name="_Toc213772116"/>
      <w:r w:rsidRPr="00352538">
        <w:t>Requests</w:t>
      </w:r>
      <w:bookmarkEnd w:id="8102"/>
      <w:bookmarkEnd w:id="8103"/>
      <w:bookmarkEnd w:id="8104"/>
      <w:bookmarkEnd w:id="8105"/>
      <w:bookmarkEnd w:id="8106"/>
      <w:r>
        <w:t xml:space="preserve"> to the Market Monitor Regarding Market Participant Behavior</w:t>
      </w:r>
      <w:bookmarkEnd w:id="8107"/>
    </w:p>
    <w:p w14:paraId="6E7571F0" w14:textId="77777777" w:rsidR="00A734BE" w:rsidRPr="00352538" w:rsidRDefault="00A734BE" w:rsidP="00FE7AA5">
      <w:pPr>
        <w:spacing w:before="120" w:line="300" w:lineRule="auto"/>
        <w:rPr>
          <w:szCs w:val="24"/>
        </w:rPr>
      </w:pPr>
      <w:r w:rsidRPr="00352538">
        <w:rPr>
          <w:szCs w:val="24"/>
        </w:rPr>
        <w:t xml:space="preserve">Any Market Participant or Interested Government Agency may submit in writing a complaint or request for </w:t>
      </w:r>
      <w:r w:rsidRPr="3E369010">
        <w:rPr>
          <w:szCs w:val="24"/>
        </w:rPr>
        <w:t xml:space="preserve">an </w:t>
      </w:r>
      <w:r w:rsidRPr="00352538">
        <w:rPr>
          <w:szCs w:val="24"/>
        </w:rPr>
        <w:t>inquiry to the Market Monitor.  Upon receipt of such complaint or request, the Market Monitor will decide whether an inquiry should be conducted.  As an initial screen, the Market Monitor should not pursue any complaint pertaining to issues not related to Markets and Services or monitored and overseen by the Market Monitor.  An inquiry will be conducted if the</w:t>
      </w:r>
      <w:r w:rsidDel="00261AF2">
        <w:rPr>
          <w:szCs w:val="24"/>
        </w:rPr>
        <w:t xml:space="preserve"> </w:t>
      </w:r>
      <w:r w:rsidRPr="00352538">
        <w:rPr>
          <w:szCs w:val="24"/>
        </w:rPr>
        <w:t xml:space="preserve">Market Monitor determines it should be conducted.  Requests by Market Participants and Interested Government Agencies for the Market Monitor to conduct an inquiry </w:t>
      </w:r>
      <w:r>
        <w:rPr>
          <w:szCs w:val="24"/>
        </w:rPr>
        <w:t>may</w:t>
      </w:r>
      <w:r w:rsidRPr="00352538">
        <w:rPr>
          <w:szCs w:val="24"/>
        </w:rPr>
        <w:t xml:space="preserve"> be made confidentially.  The Market Monitor </w:t>
      </w:r>
      <w:r>
        <w:rPr>
          <w:szCs w:val="24"/>
        </w:rPr>
        <w:t>will</w:t>
      </w:r>
      <w:r w:rsidRPr="00352538">
        <w:rPr>
          <w:szCs w:val="24"/>
        </w:rPr>
        <w:t xml:space="preserve"> keep the identity of the request</w:t>
      </w:r>
      <w:r>
        <w:rPr>
          <w:szCs w:val="24"/>
        </w:rPr>
        <w:t>e</w:t>
      </w:r>
      <w:r w:rsidRPr="00352538">
        <w:rPr>
          <w:szCs w:val="24"/>
        </w:rPr>
        <w:t xml:space="preserve">r confidential and </w:t>
      </w:r>
      <w:r>
        <w:rPr>
          <w:szCs w:val="24"/>
        </w:rPr>
        <w:t>will</w:t>
      </w:r>
      <w:r w:rsidRPr="00352538">
        <w:rPr>
          <w:szCs w:val="24"/>
        </w:rPr>
        <w:t xml:space="preserve"> keep the existence of any inquiry conducted confidential from all uninvolved parties and from involved parties, other than the requesting party, to the extent practicable.</w:t>
      </w:r>
    </w:p>
    <w:p w14:paraId="2AA0E4D9" w14:textId="65BB8CE0" w:rsidR="00A734BE" w:rsidRDefault="00A734BE" w:rsidP="00FE7AA5">
      <w:pPr>
        <w:spacing w:before="120" w:line="300" w:lineRule="auto"/>
        <w:rPr>
          <w:szCs w:val="24"/>
        </w:rPr>
      </w:pPr>
      <w:r w:rsidRPr="00261AF2">
        <w:rPr>
          <w:szCs w:val="24"/>
        </w:rPr>
        <w:t xml:space="preserve">Nothing in this </w:t>
      </w:r>
      <w:r w:rsidR="008A1A80">
        <w:rPr>
          <w:szCs w:val="24"/>
        </w:rPr>
        <w:t>S</w:t>
      </w:r>
      <w:r w:rsidRPr="00261AF2">
        <w:rPr>
          <w:szCs w:val="24"/>
        </w:rPr>
        <w:t>ection</w:t>
      </w:r>
      <w:r w:rsidR="008A1A80">
        <w:rPr>
          <w:szCs w:val="24"/>
        </w:rPr>
        <w:t xml:space="preserve"> 11</w:t>
      </w:r>
      <w:r w:rsidRPr="00261AF2">
        <w:rPr>
          <w:szCs w:val="24"/>
        </w:rPr>
        <w:t xml:space="preserve"> should be interpreted as preventing the Market Monitor from conducting inquiries, either confidentially or publicly, without first receiving a complaint from a Market Participant or Interested Government Agency.  The Market Monitor may initiate inquiries into any matter at any time that pertains to Markets and Services that is part of their market monitoring obligation or market power mitigation obligation.</w:t>
      </w:r>
    </w:p>
    <w:p w14:paraId="79781898" w14:textId="77777777" w:rsidR="00A734BE" w:rsidRDefault="00A734BE" w:rsidP="00FE7AA5">
      <w:pPr>
        <w:spacing w:before="120" w:line="300" w:lineRule="auto"/>
        <w:rPr>
          <w:szCs w:val="24"/>
        </w:rPr>
      </w:pPr>
      <w:r>
        <w:rPr>
          <w:szCs w:val="24"/>
        </w:rPr>
        <w:t>T</w:t>
      </w:r>
      <w:r w:rsidRPr="4D8D4AB2">
        <w:rPr>
          <w:szCs w:val="24"/>
        </w:rPr>
        <w:t xml:space="preserve">he Market Monitor </w:t>
      </w:r>
      <w:r>
        <w:rPr>
          <w:szCs w:val="24"/>
        </w:rPr>
        <w:t>may be</w:t>
      </w:r>
      <w:r w:rsidRPr="4D8D4AB2">
        <w:rPr>
          <w:szCs w:val="24"/>
        </w:rPr>
        <w:t xml:space="preserve"> limited in its ability to communicate results or progress of the inquiry to the issuing entity.  If appropriate, the Market Monitor will coordinate the reporting of the inquiry to the Board of Directors, Oversight Committee, FERC, or state authority.</w:t>
      </w:r>
    </w:p>
    <w:p w14:paraId="0F546F2A" w14:textId="4322D3E8" w:rsidR="00A734BE" w:rsidRPr="00261AF2" w:rsidRDefault="00A734BE" w:rsidP="00FE7AA5">
      <w:pPr>
        <w:spacing w:before="120" w:line="300" w:lineRule="auto"/>
        <w:rPr>
          <w:szCs w:val="24"/>
        </w:rPr>
      </w:pPr>
      <w:r w:rsidRPr="4D8D4AB2">
        <w:rPr>
          <w:szCs w:val="24"/>
        </w:rPr>
        <w:t xml:space="preserve">  </w:t>
      </w:r>
      <w:r>
        <w:rPr>
          <w:noProof/>
        </w:rPr>
        <w:drawing>
          <wp:inline distT="0" distB="0" distL="0" distR="0" wp14:anchorId="03A1D840" wp14:editId="72F1B0D1">
            <wp:extent cx="5943600" cy="4554220"/>
            <wp:effectExtent l="0" t="0" r="0" b="0"/>
            <wp:docPr id="52019103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1034" name="Picture 4" descr="Graphical user interface&#10;&#10;Description automatically generated with medium confidence"/>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943600" cy="4554220"/>
                    </a:xfrm>
                    <a:prstGeom prst="rect">
                      <a:avLst/>
                    </a:prstGeom>
                    <a:noFill/>
                    <a:ln>
                      <a:noFill/>
                    </a:ln>
                  </pic:spPr>
                </pic:pic>
              </a:graphicData>
            </a:graphic>
          </wp:inline>
        </w:drawing>
      </w:r>
    </w:p>
    <w:p w14:paraId="3539601F" w14:textId="77777777" w:rsidR="00A734BE" w:rsidRPr="00595CA5" w:rsidRDefault="00A734BE" w:rsidP="00781C61">
      <w:pPr>
        <w:pStyle w:val="Heading3"/>
      </w:pPr>
      <w:bookmarkStart w:id="8108" w:name="_Toc81128815"/>
      <w:bookmarkStart w:id="8109" w:name="_Toc262560963"/>
      <w:bookmarkStart w:id="8110" w:name="_Toc263429609"/>
      <w:bookmarkStart w:id="8111" w:name="_Toc263795652"/>
      <w:bookmarkStart w:id="8112" w:name="_Toc265675900"/>
      <w:bookmarkStart w:id="8113" w:name="_Toc266869828"/>
      <w:bookmarkStart w:id="8114" w:name="_Toc159233548"/>
      <w:bookmarkStart w:id="8115" w:name="_Toc141100831"/>
      <w:bookmarkStart w:id="8116" w:name="_Toc213772117"/>
      <w:r w:rsidRPr="00595CA5">
        <w:t>Compliance and Corrective A</w:t>
      </w:r>
      <w:bookmarkEnd w:id="8108"/>
      <w:r w:rsidRPr="00595CA5">
        <w:t>ctions</w:t>
      </w:r>
      <w:bookmarkEnd w:id="8109"/>
      <w:bookmarkEnd w:id="8110"/>
      <w:bookmarkEnd w:id="8111"/>
      <w:bookmarkEnd w:id="8112"/>
      <w:bookmarkEnd w:id="8113"/>
      <w:bookmarkEnd w:id="8114"/>
      <w:bookmarkEnd w:id="8115"/>
      <w:bookmarkEnd w:id="8116"/>
    </w:p>
    <w:p w14:paraId="75295223" w14:textId="77777777" w:rsidR="00A734BE" w:rsidRPr="00352538" w:rsidRDefault="00A734BE" w:rsidP="00574EDE">
      <w:pPr>
        <w:pStyle w:val="Heading4"/>
      </w:pPr>
      <w:bookmarkStart w:id="8117" w:name="_Toc141100832"/>
      <w:bookmarkStart w:id="8118" w:name="_Toc213772118"/>
      <w:r w:rsidRPr="00352538">
        <w:t>Compliance</w:t>
      </w:r>
      <w:bookmarkEnd w:id="8117"/>
      <w:bookmarkEnd w:id="8118"/>
    </w:p>
    <w:p w14:paraId="4D40F07D" w14:textId="5692521B" w:rsidR="00A734BE" w:rsidRDefault="00A734BE" w:rsidP="00FE7AA5">
      <w:pPr>
        <w:spacing w:before="120" w:line="300" w:lineRule="auto"/>
        <w:rPr>
          <w:szCs w:val="24"/>
        </w:rPr>
      </w:pPr>
      <w:r w:rsidRPr="00C34423">
        <w:rPr>
          <w:szCs w:val="24"/>
        </w:rPr>
        <w:t xml:space="preserve">The Market Monitor </w:t>
      </w:r>
      <w:r w:rsidRPr="2D983527">
        <w:rPr>
          <w:szCs w:val="24"/>
        </w:rPr>
        <w:t>will</w:t>
      </w:r>
      <w:r w:rsidRPr="00C34423">
        <w:rPr>
          <w:szCs w:val="24"/>
        </w:rPr>
        <w:t xml:space="preserve"> administer </w:t>
      </w:r>
      <w:r w:rsidRPr="2D983527">
        <w:rPr>
          <w:szCs w:val="24"/>
        </w:rPr>
        <w:t>the</w:t>
      </w:r>
      <w:r w:rsidRPr="00C34423">
        <w:rPr>
          <w:szCs w:val="24"/>
        </w:rPr>
        <w:t xml:space="preserve"> Market Monitoring Plan as described in </w:t>
      </w:r>
      <w:r w:rsidR="00904DDA">
        <w:rPr>
          <w:szCs w:val="24"/>
        </w:rPr>
        <w:t>Attachment C of</w:t>
      </w:r>
      <w:r w:rsidRPr="00C34423">
        <w:rPr>
          <w:szCs w:val="24"/>
        </w:rPr>
        <w:t xml:space="preserve"> </w:t>
      </w:r>
      <w:r w:rsidRPr="00595CA5">
        <w:rPr>
          <w:szCs w:val="24"/>
        </w:rPr>
        <w:t>the Markets+ Tariff</w:t>
      </w:r>
      <w:r w:rsidRPr="00C34423">
        <w:rPr>
          <w:szCs w:val="24"/>
        </w:rPr>
        <w:t xml:space="preserve"> and report any actual or potential abuse of market power or market design inefficiencies as part of its monitoring process</w:t>
      </w:r>
      <w:r>
        <w:rPr>
          <w:szCs w:val="24"/>
        </w:rPr>
        <w:t xml:space="preserve">.  </w:t>
      </w:r>
      <w:r w:rsidRPr="00B3285D">
        <w:rPr>
          <w:szCs w:val="24"/>
        </w:rPr>
        <w:t xml:space="preserve">However, the Market Monitor’s activities are limited to matters that (i) are expressly set forth in the Markets+ Tariff; (ii) involve objectively identifiable behavior; and (iii) do not subject the Market Participant to sanctions or other consequences other than those expressly approved by FERC and set forth in </w:t>
      </w:r>
      <w:r w:rsidR="00904DDA">
        <w:rPr>
          <w:szCs w:val="24"/>
        </w:rPr>
        <w:t>the</w:t>
      </w:r>
      <w:r w:rsidR="00904DDA" w:rsidRPr="00B3285D">
        <w:rPr>
          <w:szCs w:val="24"/>
        </w:rPr>
        <w:t xml:space="preserve"> </w:t>
      </w:r>
      <w:r w:rsidRPr="00B3285D">
        <w:rPr>
          <w:szCs w:val="24"/>
        </w:rPr>
        <w:t xml:space="preserve">Markets+ Tariff.  </w:t>
      </w:r>
    </w:p>
    <w:p w14:paraId="4F56DB47" w14:textId="4664CA2C" w:rsidR="00A734BE" w:rsidRPr="00352538" w:rsidRDefault="00A734BE" w:rsidP="00FE7AA5">
      <w:pPr>
        <w:spacing w:before="120" w:line="300" w:lineRule="auto"/>
        <w:rPr>
          <w:szCs w:val="24"/>
        </w:rPr>
      </w:pPr>
      <w:r w:rsidRPr="00C34423">
        <w:rPr>
          <w:szCs w:val="24"/>
        </w:rPr>
        <w:t xml:space="preserve">As part of the </w:t>
      </w:r>
      <w:r>
        <w:rPr>
          <w:szCs w:val="24"/>
        </w:rPr>
        <w:t>monitoring</w:t>
      </w:r>
      <w:r w:rsidRPr="00C34423">
        <w:rPr>
          <w:szCs w:val="24"/>
        </w:rPr>
        <w:t xml:space="preserve"> process, the Market</w:t>
      </w:r>
      <w:r w:rsidRPr="00352538">
        <w:rPr>
          <w:szCs w:val="24"/>
        </w:rPr>
        <w:t xml:space="preserve"> Monitor may issue a demand letter requesting Market Participants causing the issue to change actions</w:t>
      </w:r>
      <w:r w:rsidR="004826D0">
        <w:rPr>
          <w:szCs w:val="24"/>
        </w:rPr>
        <w:t>,</w:t>
      </w:r>
      <w:r w:rsidRPr="00352538">
        <w:rPr>
          <w:szCs w:val="24"/>
        </w:rPr>
        <w:t xml:space="preserve"> as the Market Monitor deem</w:t>
      </w:r>
      <w:r>
        <w:rPr>
          <w:szCs w:val="24"/>
        </w:rPr>
        <w:t>s</w:t>
      </w:r>
      <w:r w:rsidRPr="00352538">
        <w:rPr>
          <w:szCs w:val="24"/>
        </w:rPr>
        <w:t xml:space="preserve"> proper</w:t>
      </w:r>
      <w:r w:rsidR="004826D0">
        <w:rPr>
          <w:szCs w:val="24"/>
        </w:rPr>
        <w:t>,</w:t>
      </w:r>
      <w:r w:rsidRPr="00352538">
        <w:rPr>
          <w:szCs w:val="24"/>
        </w:rPr>
        <w:t xml:space="preserve"> to achieve compliance.</w:t>
      </w:r>
    </w:p>
    <w:p w14:paraId="522713E6" w14:textId="77777777" w:rsidR="00A734BE" w:rsidRPr="00352538" w:rsidRDefault="00A734BE" w:rsidP="00FE7AA5">
      <w:pPr>
        <w:spacing w:before="120" w:line="300" w:lineRule="auto"/>
        <w:rPr>
          <w:szCs w:val="24"/>
        </w:rPr>
      </w:pPr>
      <w:r w:rsidRPr="00352538">
        <w:rPr>
          <w:szCs w:val="24"/>
        </w:rPr>
        <w:t xml:space="preserve">The Market Monitor may also engage in discussions with persons or entities other than Market Participants </w:t>
      </w:r>
      <w:r>
        <w:rPr>
          <w:szCs w:val="24"/>
        </w:rPr>
        <w:t>as necessary as part of</w:t>
      </w:r>
      <w:r w:rsidRPr="00352538">
        <w:rPr>
          <w:szCs w:val="24"/>
        </w:rPr>
        <w:t xml:space="preserve"> any investigatory or compliance process.</w:t>
      </w:r>
    </w:p>
    <w:p w14:paraId="403347FB" w14:textId="77777777" w:rsidR="00A734BE" w:rsidRPr="00352538" w:rsidRDefault="00A734BE" w:rsidP="00574EDE">
      <w:pPr>
        <w:pStyle w:val="Heading4"/>
      </w:pPr>
      <w:bookmarkStart w:id="8119" w:name="_Toc263429611"/>
      <w:bookmarkStart w:id="8120" w:name="_Toc263795654"/>
      <w:bookmarkStart w:id="8121" w:name="_Toc265675902"/>
      <w:bookmarkStart w:id="8122" w:name="_Toc266869830"/>
      <w:bookmarkStart w:id="8123" w:name="_Toc159233550"/>
      <w:bookmarkStart w:id="8124" w:name="_Toc141100833"/>
      <w:bookmarkStart w:id="8125" w:name="_Toc213772119"/>
      <w:r w:rsidRPr="00352538">
        <w:t>Corrective Actions for Market Design</w:t>
      </w:r>
      <w:bookmarkEnd w:id="8119"/>
      <w:bookmarkEnd w:id="8120"/>
      <w:bookmarkEnd w:id="8121"/>
      <w:bookmarkEnd w:id="8122"/>
      <w:bookmarkEnd w:id="8123"/>
      <w:bookmarkEnd w:id="8124"/>
      <w:bookmarkEnd w:id="8125"/>
      <w:r w:rsidRPr="00352538">
        <w:t xml:space="preserve"> </w:t>
      </w:r>
    </w:p>
    <w:p w14:paraId="0A5D3178" w14:textId="23ACD732" w:rsidR="00A734BE" w:rsidRDefault="00A734BE" w:rsidP="00FE7AA5">
      <w:pPr>
        <w:spacing w:before="120" w:line="300" w:lineRule="auto"/>
        <w:rPr>
          <w:szCs w:val="24"/>
        </w:rPr>
      </w:pPr>
      <w:r w:rsidRPr="00352538">
        <w:rPr>
          <w:szCs w:val="24"/>
        </w:rPr>
        <w:t>If the Market Monitor discerns any weaknesses or failures in market design</w:t>
      </w:r>
      <w:r w:rsidRPr="72110A46">
        <w:rPr>
          <w:szCs w:val="24"/>
        </w:rPr>
        <w:t>, market rules,</w:t>
      </w:r>
      <w:r>
        <w:rPr>
          <w:szCs w:val="24"/>
        </w:rPr>
        <w:t xml:space="preserve"> </w:t>
      </w:r>
      <w:r w:rsidR="00EB1C02">
        <w:rPr>
          <w:szCs w:val="24"/>
        </w:rPr>
        <w:t>or</w:t>
      </w:r>
      <w:r w:rsidR="00EB1C02" w:rsidRPr="00352538">
        <w:rPr>
          <w:szCs w:val="24"/>
        </w:rPr>
        <w:t xml:space="preserve"> </w:t>
      </w:r>
      <w:r w:rsidRPr="72110A46">
        <w:rPr>
          <w:szCs w:val="24"/>
        </w:rPr>
        <w:t xml:space="preserve">Markets+ </w:t>
      </w:r>
      <w:r w:rsidRPr="1C5FFED0">
        <w:rPr>
          <w:szCs w:val="24"/>
        </w:rPr>
        <w:t>P</w:t>
      </w:r>
      <w:r w:rsidRPr="72110A46">
        <w:rPr>
          <w:szCs w:val="24"/>
        </w:rPr>
        <w:t>rotocols</w:t>
      </w:r>
      <w:r w:rsidRPr="00352538">
        <w:rPr>
          <w:szCs w:val="24"/>
        </w:rPr>
        <w:t xml:space="preserve">, including the determination that Markets and Services are not resulting in just and reasonable prices,  or providing appropriate incentives for investment in needed infrastructure, the Market Monitor </w:t>
      </w:r>
      <w:r w:rsidRPr="72110A46">
        <w:rPr>
          <w:szCs w:val="24"/>
        </w:rPr>
        <w:t>will advise</w:t>
      </w:r>
      <w:r>
        <w:rPr>
          <w:szCs w:val="24"/>
        </w:rPr>
        <w:t xml:space="preserve"> and inform</w:t>
      </w:r>
      <w:r w:rsidRPr="00352538">
        <w:rPr>
          <w:szCs w:val="24"/>
        </w:rPr>
        <w:t xml:space="preserve"> the appropriate </w:t>
      </w:r>
      <w:r w:rsidRPr="1C5FFED0">
        <w:rPr>
          <w:szCs w:val="24"/>
        </w:rPr>
        <w:t>Markets+ o</w:t>
      </w:r>
      <w:r w:rsidRPr="72110A46">
        <w:rPr>
          <w:szCs w:val="24"/>
        </w:rPr>
        <w:t xml:space="preserve">rganizational </w:t>
      </w:r>
      <w:r w:rsidRPr="1C5FFED0">
        <w:rPr>
          <w:szCs w:val="24"/>
        </w:rPr>
        <w:t>g</w:t>
      </w:r>
      <w:r w:rsidRPr="72110A46">
        <w:rPr>
          <w:szCs w:val="24"/>
        </w:rPr>
        <w:t>roup</w:t>
      </w:r>
      <w:r w:rsidRPr="00352538">
        <w:rPr>
          <w:szCs w:val="24"/>
        </w:rPr>
        <w:t xml:space="preserve">, </w:t>
      </w:r>
      <w:r>
        <w:rPr>
          <w:szCs w:val="24"/>
        </w:rPr>
        <w:t xml:space="preserve">the </w:t>
      </w:r>
      <w:r w:rsidRPr="00352538">
        <w:rPr>
          <w:szCs w:val="24"/>
        </w:rPr>
        <w:t xml:space="preserve">SPP President, the </w:t>
      </w:r>
      <w:r>
        <w:rPr>
          <w:szCs w:val="24"/>
        </w:rPr>
        <w:t>Markets+ State Committee</w:t>
      </w:r>
      <w:r w:rsidRPr="00352538">
        <w:rPr>
          <w:szCs w:val="24"/>
        </w:rPr>
        <w:t xml:space="preserve">, appropriate state authorities, FERC Staff, and relevant Market Participants.  In the event the Market Monitor believes providing such information could lead to exploitation, it will restrict such notification to the </w:t>
      </w:r>
      <w:r w:rsidRPr="72110A46">
        <w:rPr>
          <w:szCs w:val="24"/>
        </w:rPr>
        <w:t xml:space="preserve">SPP </w:t>
      </w:r>
      <w:r>
        <w:rPr>
          <w:szCs w:val="24"/>
        </w:rPr>
        <w:t>President</w:t>
      </w:r>
      <w:r w:rsidRPr="00352538">
        <w:rPr>
          <w:szCs w:val="24"/>
        </w:rPr>
        <w:t xml:space="preserve">, the Chairman of SPP Oversight Committee, and FERC, and will provide a justification for such limited notification.  </w:t>
      </w:r>
    </w:p>
    <w:p w14:paraId="343F6E6F" w14:textId="7C6CBF92" w:rsidR="00A734BE" w:rsidRPr="00352538" w:rsidRDefault="00A734BE" w:rsidP="00FE7AA5">
      <w:pPr>
        <w:spacing w:before="120" w:line="300" w:lineRule="auto"/>
        <w:rPr>
          <w:szCs w:val="24"/>
        </w:rPr>
      </w:pPr>
      <w:r w:rsidRPr="00352538">
        <w:rPr>
          <w:szCs w:val="24"/>
        </w:rPr>
        <w:t xml:space="preserve">Should the appropriate </w:t>
      </w:r>
      <w:r>
        <w:rPr>
          <w:szCs w:val="24"/>
        </w:rPr>
        <w:t>Markets+ organizational group</w:t>
      </w:r>
      <w:r w:rsidRPr="00352538">
        <w:rPr>
          <w:szCs w:val="24"/>
        </w:rPr>
        <w:t xml:space="preserve"> not respond within </w:t>
      </w:r>
      <w:r w:rsidR="004826D0">
        <w:rPr>
          <w:szCs w:val="24"/>
        </w:rPr>
        <w:t>sixty (</w:t>
      </w:r>
      <w:r w:rsidRPr="00352538">
        <w:rPr>
          <w:szCs w:val="24"/>
        </w:rPr>
        <w:t>60</w:t>
      </w:r>
      <w:r w:rsidR="004826D0">
        <w:rPr>
          <w:szCs w:val="24"/>
        </w:rPr>
        <w:t>)</w:t>
      </w:r>
      <w:r w:rsidRPr="00352538">
        <w:rPr>
          <w:szCs w:val="24"/>
        </w:rPr>
        <w:t xml:space="preserve"> Calendar Days, the Market Monitor may recommend changes in market design</w:t>
      </w:r>
      <w:r>
        <w:rPr>
          <w:szCs w:val="24"/>
        </w:rPr>
        <w:t>, market rules,</w:t>
      </w:r>
      <w:r w:rsidRPr="00352538">
        <w:rPr>
          <w:szCs w:val="24"/>
        </w:rPr>
        <w:t xml:space="preserve"> and</w:t>
      </w:r>
      <w:r>
        <w:rPr>
          <w:szCs w:val="24"/>
        </w:rPr>
        <w:t xml:space="preserve"> Markets+</w:t>
      </w:r>
      <w:r w:rsidRPr="00352538">
        <w:rPr>
          <w:szCs w:val="24"/>
        </w:rPr>
        <w:t xml:space="preserve"> </w:t>
      </w:r>
      <w:r w:rsidRPr="1C5FFED0">
        <w:rPr>
          <w:szCs w:val="24"/>
        </w:rPr>
        <w:t>P</w:t>
      </w:r>
      <w:r w:rsidRPr="00352538">
        <w:rPr>
          <w:szCs w:val="24"/>
        </w:rPr>
        <w:t>rotocols to the Board, FERC</w:t>
      </w:r>
      <w:r w:rsidRPr="1C5FFED0">
        <w:rPr>
          <w:szCs w:val="24"/>
        </w:rPr>
        <w:t>,</w:t>
      </w:r>
      <w:r w:rsidRPr="00352538">
        <w:rPr>
          <w:szCs w:val="24"/>
        </w:rPr>
        <w:t xml:space="preserve"> and the </w:t>
      </w:r>
      <w:r>
        <w:rPr>
          <w:szCs w:val="24"/>
        </w:rPr>
        <w:t xml:space="preserve">Markets+ State Committee </w:t>
      </w:r>
      <w:r w:rsidRPr="00352538">
        <w:rPr>
          <w:szCs w:val="24"/>
        </w:rPr>
        <w:t xml:space="preserve">as needed.  If </w:t>
      </w:r>
      <w:r>
        <w:rPr>
          <w:szCs w:val="24"/>
        </w:rPr>
        <w:t>the Market Operator</w:t>
      </w:r>
      <w:r w:rsidRPr="00352538">
        <w:rPr>
          <w:szCs w:val="24"/>
        </w:rPr>
        <w:t xml:space="preserve"> responds, but does not recommend changes to market design and market rules that are acceptable to the Market Monitor, the Market Monitor </w:t>
      </w:r>
      <w:r w:rsidRPr="1C5FFED0">
        <w:rPr>
          <w:szCs w:val="24"/>
        </w:rPr>
        <w:t xml:space="preserve">will </w:t>
      </w:r>
      <w:r w:rsidRPr="00352538">
        <w:rPr>
          <w:szCs w:val="24"/>
        </w:rPr>
        <w:t xml:space="preserve">report to the Board, and the appropriate regulatory body or bodies as needed, and then </w:t>
      </w:r>
      <w:r>
        <w:rPr>
          <w:szCs w:val="24"/>
        </w:rPr>
        <w:t>the Market Operator</w:t>
      </w:r>
      <w:r w:rsidRPr="00352538">
        <w:rPr>
          <w:szCs w:val="24"/>
        </w:rPr>
        <w:t xml:space="preserve"> or the Market Monitor may file a petition or submission seeking appropriate action from FERC or any other appropriate enforcement agency.  The Market Monitor </w:t>
      </w:r>
      <w:r>
        <w:rPr>
          <w:szCs w:val="24"/>
        </w:rPr>
        <w:t xml:space="preserve">may </w:t>
      </w:r>
      <w:r w:rsidRPr="00352538">
        <w:rPr>
          <w:szCs w:val="24"/>
        </w:rPr>
        <w:t xml:space="preserve">make recommendations for changes to </w:t>
      </w:r>
      <w:r w:rsidRPr="1C5FFED0">
        <w:rPr>
          <w:szCs w:val="24"/>
        </w:rPr>
        <w:t>the Markets+ Tariff</w:t>
      </w:r>
      <w:r w:rsidRPr="00352538">
        <w:rPr>
          <w:szCs w:val="24"/>
        </w:rPr>
        <w:t xml:space="preserve"> and </w:t>
      </w:r>
      <w:r w:rsidRPr="1C5FFED0">
        <w:rPr>
          <w:szCs w:val="24"/>
        </w:rPr>
        <w:t xml:space="preserve">Markets+ </w:t>
      </w:r>
      <w:r w:rsidRPr="00352538">
        <w:rPr>
          <w:szCs w:val="24"/>
        </w:rPr>
        <w:t xml:space="preserve">Protocols as necessary to correct weaknesses or failures in </w:t>
      </w:r>
      <w:r w:rsidRPr="1C5FFED0">
        <w:rPr>
          <w:szCs w:val="24"/>
        </w:rPr>
        <w:t xml:space="preserve">the </w:t>
      </w:r>
      <w:r w:rsidRPr="00352538">
        <w:rPr>
          <w:szCs w:val="24"/>
        </w:rPr>
        <w:t>Markets and Services.</w:t>
      </w:r>
    </w:p>
    <w:p w14:paraId="007C67C1" w14:textId="77777777" w:rsidR="00A734BE" w:rsidRPr="00352538" w:rsidRDefault="00A734BE" w:rsidP="00FE7AA5">
      <w:pPr>
        <w:spacing w:before="120" w:line="300" w:lineRule="auto"/>
        <w:rPr>
          <w:szCs w:val="24"/>
        </w:rPr>
      </w:pPr>
      <w:r w:rsidRPr="00352538">
        <w:rPr>
          <w:szCs w:val="24"/>
        </w:rPr>
        <w:t xml:space="preserve">In the event that any weaknesses or failures in market design require immediate corrective action to ensure just and reasonable prices, the Market Monitor may request </w:t>
      </w:r>
      <w:r w:rsidRPr="35DFC9B9">
        <w:rPr>
          <w:szCs w:val="24"/>
        </w:rPr>
        <w:t xml:space="preserve">that </w:t>
      </w:r>
      <w:r>
        <w:rPr>
          <w:szCs w:val="24"/>
        </w:rPr>
        <w:t xml:space="preserve">the </w:t>
      </w:r>
      <w:r w:rsidRPr="00352538">
        <w:rPr>
          <w:szCs w:val="24"/>
        </w:rPr>
        <w:t xml:space="preserve">SPP President authorize an immediate FERC filing requesting implementation of a corrective action while the appropriate </w:t>
      </w:r>
      <w:r w:rsidRPr="35DFC9B9">
        <w:rPr>
          <w:szCs w:val="24"/>
        </w:rPr>
        <w:t>Markets+ organizational group</w:t>
      </w:r>
      <w:r w:rsidRPr="00352538">
        <w:rPr>
          <w:szCs w:val="24"/>
        </w:rPr>
        <w:t xml:space="preserve"> responds to the Market Monitor’s notification as described above.  The requested immediate corrective action should be the method least intrusive or disruptive to Markets and Services necessary to resolve the market weakness or failure as determined by the Market Monitor. Prior to making such a request to the SPP President, the Market Monitor will make reasonable efforts to discuss </w:t>
      </w:r>
      <w:r w:rsidRPr="35DFC9B9">
        <w:rPr>
          <w:szCs w:val="24"/>
        </w:rPr>
        <w:t xml:space="preserve">the market weakness or failure potentially requiring immediate corrective action </w:t>
      </w:r>
      <w:r w:rsidRPr="00352538">
        <w:rPr>
          <w:szCs w:val="24"/>
        </w:rPr>
        <w:t xml:space="preserve">with affected Market Participants and the </w:t>
      </w:r>
      <w:r>
        <w:rPr>
          <w:szCs w:val="24"/>
        </w:rPr>
        <w:t>s</w:t>
      </w:r>
      <w:r w:rsidRPr="00352538">
        <w:rPr>
          <w:szCs w:val="24"/>
        </w:rPr>
        <w:t>taff of affected Interested Government Agencies, unless the Market Monitor determines that such discussion would lead to exploitation.</w:t>
      </w:r>
    </w:p>
    <w:p w14:paraId="3FA4F8E8" w14:textId="77777777" w:rsidR="00A734BE" w:rsidRPr="00595CA5" w:rsidRDefault="00A734BE" w:rsidP="00781C61">
      <w:pPr>
        <w:pStyle w:val="Heading3"/>
        <w:rPr>
          <w:sz w:val="24"/>
          <w:szCs w:val="24"/>
        </w:rPr>
      </w:pPr>
      <w:bookmarkStart w:id="8126" w:name="_Toc81128816"/>
      <w:bookmarkStart w:id="8127" w:name="_Toc262560964"/>
      <w:bookmarkStart w:id="8128" w:name="_Toc263429612"/>
      <w:bookmarkStart w:id="8129" w:name="_Toc263795655"/>
      <w:bookmarkStart w:id="8130" w:name="_Toc265675903"/>
      <w:bookmarkStart w:id="8131" w:name="_Toc266869831"/>
      <w:bookmarkStart w:id="8132" w:name="_Toc159233551"/>
      <w:bookmarkStart w:id="8133" w:name="_Ref212627224"/>
      <w:bookmarkStart w:id="8134" w:name="_Toc213772120"/>
      <w:r>
        <w:t xml:space="preserve">Market Monitor </w:t>
      </w:r>
      <w:bookmarkStart w:id="8135" w:name="_Toc141100834"/>
      <w:r w:rsidRPr="00595CA5">
        <w:t>R</w:t>
      </w:r>
      <w:bookmarkEnd w:id="8126"/>
      <w:r w:rsidRPr="00595CA5">
        <w:t>eporting</w:t>
      </w:r>
      <w:bookmarkEnd w:id="8127"/>
      <w:bookmarkEnd w:id="8128"/>
      <w:bookmarkEnd w:id="8129"/>
      <w:bookmarkEnd w:id="8130"/>
      <w:bookmarkEnd w:id="8131"/>
      <w:bookmarkEnd w:id="8132"/>
      <w:bookmarkEnd w:id="8135"/>
      <w:r>
        <w:t xml:space="preserve"> Requirements</w:t>
      </w:r>
      <w:bookmarkEnd w:id="8133"/>
      <w:bookmarkEnd w:id="8134"/>
    </w:p>
    <w:p w14:paraId="36EDB30D" w14:textId="77777777" w:rsidR="00A734BE" w:rsidRDefault="00A734BE" w:rsidP="00FE7AA5">
      <w:pPr>
        <w:pStyle w:val="ListParagraph"/>
        <w:spacing w:before="120" w:line="300" w:lineRule="auto"/>
        <w:ind w:left="0"/>
        <w:contextualSpacing w:val="0"/>
        <w:rPr>
          <w:szCs w:val="24"/>
        </w:rPr>
      </w:pPr>
      <w:r>
        <w:rPr>
          <w:szCs w:val="24"/>
        </w:rPr>
        <w:t xml:space="preserve">The Market Monitor will publish reports as described below.  The Market Monitor may take input from SPP working groups, the Market Operator, </w:t>
      </w:r>
      <w:r w:rsidRPr="008A4470">
        <w:rPr>
          <w:szCs w:val="24"/>
        </w:rPr>
        <w:t>Interested Government Agencies</w:t>
      </w:r>
      <w:r>
        <w:rPr>
          <w:szCs w:val="24"/>
        </w:rPr>
        <w:t xml:space="preserve">, or other interested entities.  </w:t>
      </w:r>
      <w:r w:rsidRPr="00CC4454">
        <w:rPr>
          <w:szCs w:val="24"/>
        </w:rPr>
        <w:t xml:space="preserve">These reports </w:t>
      </w:r>
      <w:r>
        <w:rPr>
          <w:szCs w:val="24"/>
        </w:rPr>
        <w:t xml:space="preserve">may </w:t>
      </w:r>
      <w:r w:rsidRPr="00CC4454">
        <w:rPr>
          <w:szCs w:val="24"/>
        </w:rPr>
        <w:t xml:space="preserve">contain </w:t>
      </w:r>
      <w:r>
        <w:rPr>
          <w:szCs w:val="24"/>
        </w:rPr>
        <w:t xml:space="preserve">an </w:t>
      </w:r>
      <w:r w:rsidRPr="00CC4454">
        <w:rPr>
          <w:szCs w:val="24"/>
        </w:rPr>
        <w:t>aggregation of Confidential Information that allows the Market Monitor to observe and report on the performance of Markets+.   Confidential Information will be subject to redaction or other measures necessary to maintain its protection.</w:t>
      </w:r>
      <w:r>
        <w:rPr>
          <w:szCs w:val="24"/>
        </w:rPr>
        <w:t xml:space="preserve">  </w:t>
      </w:r>
      <w:r w:rsidRPr="002929C4">
        <w:rPr>
          <w:szCs w:val="24"/>
        </w:rPr>
        <w:t>The Market Monitor will have complete independence in developing and producing reports, and no person or entity may screen, alter, delete, or delay the Market Monitor’s findings, conclusions, and recommendations.</w:t>
      </w:r>
      <w:r>
        <w:rPr>
          <w:szCs w:val="24"/>
        </w:rPr>
        <w:t xml:space="preserve"> </w:t>
      </w:r>
    </w:p>
    <w:p w14:paraId="4A7F44E9" w14:textId="1651A602" w:rsidR="00A734BE" w:rsidRDefault="00A734BE" w:rsidP="00FE7AA5">
      <w:pPr>
        <w:pStyle w:val="Normal321"/>
        <w:spacing w:before="120" w:after="120" w:line="300" w:lineRule="auto"/>
      </w:pPr>
      <w:r w:rsidRPr="0044284E">
        <w:t xml:space="preserve">Any such reports may be subject to confidentiality provisions consistent with </w:t>
      </w:r>
      <w:r>
        <w:t xml:space="preserve">the Markets+ Tariff. </w:t>
      </w:r>
    </w:p>
    <w:p w14:paraId="40E5E7E7" w14:textId="77777777" w:rsidR="00A734BE" w:rsidRPr="00352538" w:rsidRDefault="00A734BE" w:rsidP="00574EDE">
      <w:pPr>
        <w:pStyle w:val="Heading4"/>
        <w:rPr>
          <w:szCs w:val="24"/>
        </w:rPr>
      </w:pPr>
      <w:bookmarkStart w:id="8136" w:name="_Toc263429613"/>
      <w:bookmarkStart w:id="8137" w:name="_Toc263795656"/>
      <w:bookmarkStart w:id="8138" w:name="_Toc265675904"/>
      <w:bookmarkStart w:id="8139" w:name="_Toc266869832"/>
      <w:bookmarkStart w:id="8140" w:name="_Toc159233552"/>
      <w:bookmarkStart w:id="8141" w:name="_Toc141100835"/>
      <w:bookmarkStart w:id="8142" w:name="_Toc213772121"/>
      <w:r w:rsidRPr="00352538">
        <w:t>Annual State of the Market Report</w:t>
      </w:r>
      <w:bookmarkEnd w:id="8136"/>
      <w:bookmarkEnd w:id="8137"/>
      <w:bookmarkEnd w:id="8138"/>
      <w:bookmarkEnd w:id="8139"/>
      <w:bookmarkEnd w:id="8140"/>
      <w:bookmarkEnd w:id="8141"/>
      <w:bookmarkEnd w:id="8142"/>
    </w:p>
    <w:p w14:paraId="4EFE53FF" w14:textId="026D7C37" w:rsidR="00A734BE" w:rsidRPr="00261AF2" w:rsidRDefault="00A734BE" w:rsidP="00FE7AA5">
      <w:pPr>
        <w:spacing w:before="120" w:line="300" w:lineRule="auto"/>
        <w:rPr>
          <w:szCs w:val="24"/>
        </w:rPr>
      </w:pPr>
      <w:r w:rsidRPr="00507024">
        <w:rPr>
          <w:szCs w:val="24"/>
        </w:rPr>
        <w:t xml:space="preserve">The Market Monitor will publish an </w:t>
      </w:r>
      <w:r w:rsidR="00DB76B4">
        <w:rPr>
          <w:szCs w:val="24"/>
        </w:rPr>
        <w:t>A</w:t>
      </w:r>
      <w:r w:rsidRPr="00507024">
        <w:rPr>
          <w:szCs w:val="24"/>
        </w:rPr>
        <w:t xml:space="preserve">nnual </w:t>
      </w:r>
      <w:r w:rsidR="008F5771">
        <w:rPr>
          <w:szCs w:val="24"/>
        </w:rPr>
        <w:t>S</w:t>
      </w:r>
      <w:r w:rsidRPr="00507024">
        <w:rPr>
          <w:szCs w:val="24"/>
        </w:rPr>
        <w:t xml:space="preserve">tate of the </w:t>
      </w:r>
      <w:r w:rsidR="008F5771">
        <w:rPr>
          <w:szCs w:val="24"/>
        </w:rPr>
        <w:t>M</w:t>
      </w:r>
      <w:r w:rsidRPr="00507024">
        <w:rPr>
          <w:szCs w:val="24"/>
        </w:rPr>
        <w:t xml:space="preserve">arket </w:t>
      </w:r>
      <w:r w:rsidR="008F5771">
        <w:rPr>
          <w:szCs w:val="24"/>
        </w:rPr>
        <w:t>R</w:t>
      </w:r>
      <w:r w:rsidRPr="00507024">
        <w:rPr>
          <w:szCs w:val="24"/>
        </w:rPr>
        <w:t xml:space="preserve">eport </w:t>
      </w:r>
      <w:r>
        <w:rPr>
          <w:szCs w:val="24"/>
        </w:rPr>
        <w:t>that reviews the performance of</w:t>
      </w:r>
      <w:r w:rsidRPr="00507024">
        <w:rPr>
          <w:szCs w:val="24"/>
        </w:rPr>
        <w:t xml:space="preserve"> the market for the previous year.  </w:t>
      </w:r>
      <w:r w:rsidRPr="00261AF2">
        <w:rPr>
          <w:szCs w:val="24"/>
        </w:rPr>
        <w:t xml:space="preserve">The Annual State of the Market Report </w:t>
      </w:r>
      <w:r>
        <w:rPr>
          <w:szCs w:val="24"/>
        </w:rPr>
        <w:t>will</w:t>
      </w:r>
      <w:r w:rsidRPr="00261AF2">
        <w:rPr>
          <w:szCs w:val="24"/>
        </w:rPr>
        <w:t xml:space="preserve"> assess the performance of Markets and Services as discussed in </w:t>
      </w:r>
      <w:r w:rsidRPr="00BB7C7D">
        <w:rPr>
          <w:szCs w:val="24"/>
        </w:rPr>
        <w:t xml:space="preserve">Section </w:t>
      </w:r>
      <w:r w:rsidR="00D41304">
        <w:rPr>
          <w:szCs w:val="24"/>
        </w:rPr>
        <w:fldChar w:fldCharType="begin"/>
      </w:r>
      <w:r w:rsidR="00D41304">
        <w:rPr>
          <w:szCs w:val="24"/>
        </w:rPr>
        <w:instrText xml:space="preserve"> REF _Ref212627422 \r \h </w:instrText>
      </w:r>
      <w:r w:rsidR="00D41304">
        <w:rPr>
          <w:szCs w:val="24"/>
        </w:rPr>
      </w:r>
      <w:r w:rsidR="00D41304">
        <w:rPr>
          <w:szCs w:val="24"/>
        </w:rPr>
        <w:fldChar w:fldCharType="separate"/>
      </w:r>
      <w:r w:rsidR="00D41304">
        <w:rPr>
          <w:szCs w:val="24"/>
        </w:rPr>
        <w:t>11.1.1</w:t>
      </w:r>
      <w:r w:rsidR="00D41304">
        <w:rPr>
          <w:szCs w:val="24"/>
        </w:rPr>
        <w:fldChar w:fldCharType="end"/>
      </w:r>
      <w:r w:rsidR="00D41304">
        <w:rPr>
          <w:szCs w:val="24"/>
        </w:rPr>
        <w:t>.</w:t>
      </w:r>
      <w:r w:rsidRPr="00261AF2">
        <w:rPr>
          <w:szCs w:val="24"/>
        </w:rPr>
        <w:t xml:space="preserve">  </w:t>
      </w:r>
      <w:r>
        <w:rPr>
          <w:szCs w:val="24"/>
        </w:rPr>
        <w:t>This</w:t>
      </w:r>
      <w:r w:rsidRPr="00261AF2">
        <w:rPr>
          <w:szCs w:val="24"/>
        </w:rPr>
        <w:t xml:space="preserve"> report </w:t>
      </w:r>
      <w:r>
        <w:rPr>
          <w:szCs w:val="24"/>
        </w:rPr>
        <w:t>may</w:t>
      </w:r>
      <w:r w:rsidRPr="00261AF2">
        <w:rPr>
          <w:szCs w:val="24"/>
        </w:rPr>
        <w:t xml:space="preserve"> include </w:t>
      </w:r>
      <w:r>
        <w:rPr>
          <w:szCs w:val="24"/>
        </w:rPr>
        <w:t xml:space="preserve">the Market Monitor’s </w:t>
      </w:r>
      <w:r w:rsidRPr="00261AF2">
        <w:rPr>
          <w:szCs w:val="24"/>
        </w:rPr>
        <w:t>recommendations for the improvement of Markets and Services, or of the monitoring, reporting</w:t>
      </w:r>
      <w:r>
        <w:rPr>
          <w:szCs w:val="24"/>
        </w:rPr>
        <w:t>,</w:t>
      </w:r>
      <w:r w:rsidRPr="00261AF2">
        <w:rPr>
          <w:szCs w:val="24"/>
        </w:rPr>
        <w:t xml:space="preserve"> and other functions undertaken pursuant to these Protocols.  </w:t>
      </w:r>
      <w:r w:rsidDel="00470B12">
        <w:rPr>
          <w:szCs w:val="24"/>
        </w:rPr>
        <w:t xml:space="preserve"> </w:t>
      </w:r>
    </w:p>
    <w:p w14:paraId="0DE937A1" w14:textId="3D430181" w:rsidR="00A734BE" w:rsidRPr="00352538" w:rsidRDefault="00A734BE" w:rsidP="00FE7AA5">
      <w:pPr>
        <w:spacing w:before="120" w:line="300" w:lineRule="auto"/>
        <w:rPr>
          <w:szCs w:val="24"/>
        </w:rPr>
      </w:pPr>
      <w:r w:rsidRPr="00352538">
        <w:rPr>
          <w:szCs w:val="24"/>
        </w:rPr>
        <w:t>The</w:t>
      </w:r>
      <w:r>
        <w:rPr>
          <w:szCs w:val="24"/>
        </w:rPr>
        <w:t xml:space="preserve"> Market Monitor will submit and present the Annual State of the Market Report </w:t>
      </w:r>
      <w:r w:rsidRPr="00352538">
        <w:rPr>
          <w:szCs w:val="24"/>
        </w:rPr>
        <w:t xml:space="preserve">to the </w:t>
      </w:r>
      <w:r>
        <w:rPr>
          <w:szCs w:val="24"/>
        </w:rPr>
        <w:t xml:space="preserve">Oversight Committee and </w:t>
      </w:r>
      <w:r w:rsidRPr="00352538">
        <w:rPr>
          <w:szCs w:val="24"/>
        </w:rPr>
        <w:t>Board</w:t>
      </w:r>
      <w:r>
        <w:rPr>
          <w:szCs w:val="24"/>
        </w:rPr>
        <w:t xml:space="preserve"> of Directors. </w:t>
      </w:r>
      <w:r w:rsidRPr="00352538">
        <w:rPr>
          <w:szCs w:val="24"/>
        </w:rPr>
        <w:t xml:space="preserve"> </w:t>
      </w:r>
      <w:r>
        <w:rPr>
          <w:szCs w:val="24"/>
        </w:rPr>
        <w:t>T</w:t>
      </w:r>
      <w:r w:rsidRPr="00352538">
        <w:rPr>
          <w:szCs w:val="24"/>
        </w:rPr>
        <w:t xml:space="preserve">he </w:t>
      </w:r>
      <w:r>
        <w:rPr>
          <w:szCs w:val="24"/>
        </w:rPr>
        <w:t xml:space="preserve">Market Monitor will provide the </w:t>
      </w:r>
      <w:r w:rsidRPr="00352538">
        <w:rPr>
          <w:szCs w:val="24"/>
        </w:rPr>
        <w:t xml:space="preserve">report </w:t>
      </w:r>
      <w:r>
        <w:rPr>
          <w:szCs w:val="24"/>
        </w:rPr>
        <w:t xml:space="preserve">to </w:t>
      </w:r>
      <w:r w:rsidRPr="42315A22">
        <w:rPr>
          <w:szCs w:val="24"/>
        </w:rPr>
        <w:t>the Market Operator</w:t>
      </w:r>
      <w:r w:rsidRPr="00352538">
        <w:rPr>
          <w:szCs w:val="24"/>
        </w:rPr>
        <w:t xml:space="preserve"> </w:t>
      </w:r>
      <w:r>
        <w:rPr>
          <w:szCs w:val="24"/>
        </w:rPr>
        <w:t>for</w:t>
      </w:r>
      <w:r w:rsidRPr="00352538">
        <w:rPr>
          <w:szCs w:val="24"/>
        </w:rPr>
        <w:t xml:space="preserve"> posting on </w:t>
      </w:r>
      <w:r w:rsidRPr="1B3338FB">
        <w:rPr>
          <w:szCs w:val="24"/>
        </w:rPr>
        <w:t xml:space="preserve">the </w:t>
      </w:r>
      <w:r w:rsidR="005B6A88">
        <w:rPr>
          <w:szCs w:val="24"/>
        </w:rPr>
        <w:t>Market Operator website</w:t>
      </w:r>
      <w:r>
        <w:rPr>
          <w:szCs w:val="24"/>
        </w:rPr>
        <w:t xml:space="preserve"> where it will be publicly available</w:t>
      </w:r>
      <w:r w:rsidRPr="00352538">
        <w:rPr>
          <w:szCs w:val="24"/>
        </w:rPr>
        <w:t>.</w:t>
      </w:r>
    </w:p>
    <w:p w14:paraId="4707D4BC" w14:textId="77777777" w:rsidR="00A734BE" w:rsidRPr="00352538" w:rsidRDefault="00A734BE" w:rsidP="00574EDE">
      <w:pPr>
        <w:pStyle w:val="Heading4"/>
        <w:rPr>
          <w:szCs w:val="24"/>
        </w:rPr>
      </w:pPr>
      <w:bookmarkStart w:id="8143" w:name="_Toc263429614"/>
      <w:bookmarkStart w:id="8144" w:name="_Toc263795657"/>
      <w:bookmarkStart w:id="8145" w:name="_Toc265675905"/>
      <w:bookmarkStart w:id="8146" w:name="_Toc266869833"/>
      <w:bookmarkStart w:id="8147" w:name="_Toc159233553"/>
      <w:bookmarkStart w:id="8148" w:name="_Toc141100836"/>
      <w:bookmarkStart w:id="8149" w:name="_Toc213772122"/>
      <w:r w:rsidRPr="00352538">
        <w:t>Quarterly</w:t>
      </w:r>
      <w:r>
        <w:t xml:space="preserve"> State of the Market Report</w:t>
      </w:r>
      <w:bookmarkEnd w:id="8143"/>
      <w:bookmarkEnd w:id="8144"/>
      <w:bookmarkEnd w:id="8145"/>
      <w:bookmarkEnd w:id="8146"/>
      <w:bookmarkEnd w:id="8147"/>
      <w:bookmarkEnd w:id="8148"/>
      <w:bookmarkEnd w:id="8149"/>
    </w:p>
    <w:p w14:paraId="12790173" w14:textId="77777777" w:rsidR="00A734BE" w:rsidRDefault="00A734BE" w:rsidP="00FE7AA5">
      <w:pPr>
        <w:spacing w:before="120" w:line="300" w:lineRule="auto"/>
        <w:rPr>
          <w:szCs w:val="24"/>
        </w:rPr>
      </w:pPr>
      <w:r w:rsidRPr="00261AF2">
        <w:rPr>
          <w:szCs w:val="24"/>
        </w:rPr>
        <w:t xml:space="preserve">The Market Monitor will </w:t>
      </w:r>
      <w:r>
        <w:rPr>
          <w:szCs w:val="24"/>
        </w:rPr>
        <w:t>publish</w:t>
      </w:r>
      <w:r w:rsidRPr="00261AF2">
        <w:rPr>
          <w:szCs w:val="24"/>
        </w:rPr>
        <w:t xml:space="preserve"> </w:t>
      </w:r>
      <w:r>
        <w:rPr>
          <w:szCs w:val="24"/>
        </w:rPr>
        <w:t xml:space="preserve">a </w:t>
      </w:r>
      <w:r w:rsidRPr="00261AF2">
        <w:rPr>
          <w:szCs w:val="24"/>
        </w:rPr>
        <w:t>Quarterly</w:t>
      </w:r>
      <w:r>
        <w:rPr>
          <w:szCs w:val="24"/>
        </w:rPr>
        <w:t xml:space="preserve"> State of the Market</w:t>
      </w:r>
      <w:r w:rsidRPr="00261AF2">
        <w:rPr>
          <w:szCs w:val="24"/>
        </w:rPr>
        <w:t xml:space="preserve"> Report</w:t>
      </w:r>
      <w:r>
        <w:rPr>
          <w:szCs w:val="24"/>
        </w:rPr>
        <w:t xml:space="preserve"> that reviews</w:t>
      </w:r>
      <w:r w:rsidRPr="00D8371E">
        <w:rPr>
          <w:szCs w:val="24"/>
        </w:rPr>
        <w:t xml:space="preserve"> the market </w:t>
      </w:r>
      <w:r>
        <w:rPr>
          <w:szCs w:val="24"/>
        </w:rPr>
        <w:t xml:space="preserve">performance </w:t>
      </w:r>
      <w:r w:rsidRPr="00D8371E">
        <w:rPr>
          <w:szCs w:val="24"/>
        </w:rPr>
        <w:t>for the previous quarter</w:t>
      </w:r>
      <w:r w:rsidRPr="00261AF2">
        <w:rPr>
          <w:szCs w:val="24"/>
        </w:rPr>
        <w:t xml:space="preserve">.  </w:t>
      </w:r>
      <w:r>
        <w:rPr>
          <w:szCs w:val="24"/>
        </w:rPr>
        <w:t>This report may</w:t>
      </w:r>
      <w:r w:rsidRPr="00E470A1">
        <w:rPr>
          <w:szCs w:val="24"/>
        </w:rPr>
        <w:t xml:space="preserve"> include </w:t>
      </w:r>
      <w:r>
        <w:rPr>
          <w:szCs w:val="24"/>
        </w:rPr>
        <w:t xml:space="preserve">the Market Monitor’s </w:t>
      </w:r>
      <w:r w:rsidRPr="00E470A1">
        <w:rPr>
          <w:szCs w:val="24"/>
        </w:rPr>
        <w:t>recommendations for the improvement of Markets and Services, or of the monitoring, reporting, and other functions undertaken pursuant to these Protocols.</w:t>
      </w:r>
      <w:r>
        <w:rPr>
          <w:szCs w:val="24"/>
        </w:rPr>
        <w:t xml:space="preserve">  </w:t>
      </w:r>
    </w:p>
    <w:p w14:paraId="47394163" w14:textId="4E9D7C32" w:rsidR="00A734BE" w:rsidRPr="00261AF2" w:rsidRDefault="00A734BE" w:rsidP="00FE7AA5">
      <w:pPr>
        <w:spacing w:before="120" w:line="300" w:lineRule="auto"/>
        <w:rPr>
          <w:szCs w:val="24"/>
        </w:rPr>
      </w:pPr>
      <w:r>
        <w:rPr>
          <w:szCs w:val="24"/>
        </w:rPr>
        <w:t>T</w:t>
      </w:r>
      <w:r w:rsidRPr="00352538">
        <w:rPr>
          <w:szCs w:val="24"/>
        </w:rPr>
        <w:t xml:space="preserve">he </w:t>
      </w:r>
      <w:r>
        <w:rPr>
          <w:szCs w:val="24"/>
        </w:rPr>
        <w:t xml:space="preserve">Market Monitor will provide the </w:t>
      </w:r>
      <w:r w:rsidRPr="00352538">
        <w:rPr>
          <w:szCs w:val="24"/>
        </w:rPr>
        <w:t xml:space="preserve">report </w:t>
      </w:r>
      <w:r>
        <w:rPr>
          <w:szCs w:val="24"/>
        </w:rPr>
        <w:t xml:space="preserve">to </w:t>
      </w:r>
      <w:r w:rsidRPr="42315A22">
        <w:rPr>
          <w:szCs w:val="24"/>
        </w:rPr>
        <w:t>the Market Operator</w:t>
      </w:r>
      <w:r w:rsidRPr="00352538">
        <w:rPr>
          <w:szCs w:val="24"/>
        </w:rPr>
        <w:t xml:space="preserve"> </w:t>
      </w:r>
      <w:r>
        <w:rPr>
          <w:szCs w:val="24"/>
        </w:rPr>
        <w:t>for</w:t>
      </w:r>
      <w:r w:rsidRPr="00352538">
        <w:rPr>
          <w:szCs w:val="24"/>
        </w:rPr>
        <w:t xml:space="preserve"> posting on </w:t>
      </w:r>
      <w:r w:rsidRPr="1B3338FB">
        <w:rPr>
          <w:szCs w:val="24"/>
        </w:rPr>
        <w:t xml:space="preserve">the </w:t>
      </w:r>
      <w:r w:rsidR="005B6A88">
        <w:rPr>
          <w:szCs w:val="24"/>
        </w:rPr>
        <w:t>Market Operator website</w:t>
      </w:r>
      <w:r>
        <w:rPr>
          <w:szCs w:val="24"/>
        </w:rPr>
        <w:t xml:space="preserve"> where it will be publicly available</w:t>
      </w:r>
      <w:r w:rsidRPr="00352538">
        <w:rPr>
          <w:szCs w:val="24"/>
        </w:rPr>
        <w:t>.</w:t>
      </w:r>
    </w:p>
    <w:p w14:paraId="7A8E5E09" w14:textId="77777777" w:rsidR="00A734BE" w:rsidRDefault="00A734BE" w:rsidP="00574EDE">
      <w:pPr>
        <w:pStyle w:val="Heading4"/>
      </w:pPr>
      <w:bookmarkStart w:id="8150" w:name="_Toc213772123"/>
      <w:bookmarkStart w:id="8151" w:name="_Toc266869834"/>
      <w:bookmarkStart w:id="8152" w:name="_Toc159233554"/>
      <w:bookmarkStart w:id="8153" w:name="_Toc141100837"/>
      <w:r>
        <w:t>Monthly Report</w:t>
      </w:r>
      <w:bookmarkEnd w:id="8150"/>
    </w:p>
    <w:p w14:paraId="42BA6EC3" w14:textId="1A9D6730" w:rsidR="00A734BE" w:rsidRPr="003D40BE" w:rsidRDefault="00A734BE" w:rsidP="00E679DC">
      <w:pPr>
        <w:spacing w:line="300" w:lineRule="auto"/>
      </w:pPr>
      <w:r w:rsidRPr="003D40BE">
        <w:rPr>
          <w:bCs/>
        </w:rPr>
        <w:t xml:space="preserve">The Market Monitor will provide a monthly report to the Market Operator and relevant stakeholders reviewing market performance for the previous month.  </w:t>
      </w:r>
    </w:p>
    <w:p w14:paraId="05381379" w14:textId="77777777" w:rsidR="00A734BE" w:rsidRPr="00C52AD1" w:rsidRDefault="00A734BE" w:rsidP="00574EDE">
      <w:pPr>
        <w:pStyle w:val="Heading4"/>
      </w:pPr>
      <w:bookmarkStart w:id="8154" w:name="_Toc213772124"/>
      <w:r w:rsidRPr="00C52AD1">
        <w:t>Report Comments</w:t>
      </w:r>
      <w:bookmarkEnd w:id="8154"/>
      <w:r w:rsidRPr="00C52AD1">
        <w:rPr>
          <w:highlight w:val="yellow"/>
        </w:rPr>
        <w:t xml:space="preserve"> </w:t>
      </w:r>
    </w:p>
    <w:p w14:paraId="524B1BA8" w14:textId="77777777" w:rsidR="005D0FE9" w:rsidRDefault="00A734BE" w:rsidP="00FE7AA5">
      <w:pPr>
        <w:pStyle w:val="Normal321"/>
        <w:spacing w:before="120" w:after="120" w:line="300" w:lineRule="auto"/>
      </w:pPr>
      <w:r>
        <w:t xml:space="preserve">SPP and Market Participants may comment on any public reports made pursuant to this section, through the appropriate stakeholder process or directly to the Market Monitor.  The independent Market Monitor maintains discretion to disregard any comments or suggestions. </w:t>
      </w:r>
    </w:p>
    <w:p w14:paraId="534FBA42" w14:textId="7C57E076" w:rsidR="00A734BE" w:rsidRPr="005D0FE9" w:rsidRDefault="00A734BE" w:rsidP="00574EDE">
      <w:pPr>
        <w:pStyle w:val="Heading4"/>
        <w:rPr>
          <w:szCs w:val="24"/>
        </w:rPr>
      </w:pPr>
      <w:bookmarkStart w:id="8155" w:name="_Toc213772125"/>
      <w:r w:rsidRPr="005D0FE9">
        <w:t>Communication of Market Monitoring Reports</w:t>
      </w:r>
      <w:bookmarkEnd w:id="8151"/>
      <w:bookmarkEnd w:id="8152"/>
      <w:bookmarkEnd w:id="8153"/>
      <w:bookmarkEnd w:id="8155"/>
      <w:r w:rsidR="008F6C88" w:rsidRPr="005D0FE9">
        <w:t xml:space="preserve"> </w:t>
      </w:r>
    </w:p>
    <w:p w14:paraId="34A963BF" w14:textId="77777777" w:rsidR="00A734BE" w:rsidRPr="00352538" w:rsidRDefault="00A734BE" w:rsidP="00FE7AA5">
      <w:pPr>
        <w:spacing w:before="120" w:line="300" w:lineRule="auto"/>
        <w:rPr>
          <w:szCs w:val="24"/>
        </w:rPr>
      </w:pPr>
      <w:r w:rsidRPr="00485365">
        <w:rPr>
          <w:szCs w:val="24"/>
        </w:rPr>
        <w:t xml:space="preserve">The Market Monitor will hold conference calls related to </w:t>
      </w:r>
      <w:r>
        <w:rPr>
          <w:szCs w:val="24"/>
        </w:rPr>
        <w:t xml:space="preserve">the Annual State of the Market Report and the Quarterly State of the Market Report.  </w:t>
      </w:r>
      <w:r w:rsidRPr="006E2F54">
        <w:rPr>
          <w:szCs w:val="24"/>
        </w:rPr>
        <w:t>Any interested party may attend these conference calls.</w:t>
      </w:r>
      <w:r w:rsidRPr="00352538">
        <w:rPr>
          <w:szCs w:val="24"/>
        </w:rPr>
        <w:t xml:space="preserve">  </w:t>
      </w:r>
      <w:r w:rsidRPr="00687089">
        <w:rPr>
          <w:szCs w:val="24"/>
        </w:rPr>
        <w:t>Individual entities may request meetings to discuss these reports.</w:t>
      </w:r>
      <w:r>
        <w:rPr>
          <w:szCs w:val="24"/>
        </w:rPr>
        <w:t xml:space="preserve">  </w:t>
      </w:r>
    </w:p>
    <w:p w14:paraId="61647432" w14:textId="77777777" w:rsidR="00A734BE" w:rsidRPr="00352538" w:rsidRDefault="00A734BE" w:rsidP="00574EDE">
      <w:pPr>
        <w:pStyle w:val="Heading4"/>
        <w:rPr>
          <w:szCs w:val="24"/>
        </w:rPr>
      </w:pPr>
      <w:bookmarkStart w:id="8156" w:name="_Toc263429615"/>
      <w:bookmarkStart w:id="8157" w:name="_Toc263795658"/>
      <w:bookmarkStart w:id="8158" w:name="_Toc265675906"/>
      <w:bookmarkStart w:id="8159" w:name="_Toc266869835"/>
      <w:bookmarkStart w:id="8160" w:name="_Toc159233555"/>
      <w:bookmarkStart w:id="8161" w:name="_Toc141100838"/>
      <w:bookmarkStart w:id="8162" w:name="_Toc213772126"/>
      <w:r w:rsidRPr="00352538">
        <w:t>Other Reports</w:t>
      </w:r>
      <w:bookmarkEnd w:id="8156"/>
      <w:bookmarkEnd w:id="8157"/>
      <w:bookmarkEnd w:id="8158"/>
      <w:bookmarkEnd w:id="8159"/>
      <w:bookmarkEnd w:id="8160"/>
      <w:bookmarkEnd w:id="8161"/>
      <w:bookmarkEnd w:id="8162"/>
    </w:p>
    <w:p w14:paraId="65CA8BE3" w14:textId="77777777" w:rsidR="00A734BE" w:rsidRPr="00352538" w:rsidRDefault="00A734BE" w:rsidP="00FE7AA5">
      <w:pPr>
        <w:spacing w:before="120" w:line="300" w:lineRule="auto"/>
        <w:rPr>
          <w:szCs w:val="24"/>
        </w:rPr>
      </w:pPr>
      <w:r w:rsidRPr="00352538">
        <w:rPr>
          <w:szCs w:val="24"/>
        </w:rPr>
        <w:t xml:space="preserve">The Market Monitor </w:t>
      </w:r>
      <w:r>
        <w:t>may</w:t>
      </w:r>
      <w:r w:rsidRPr="00352538">
        <w:rPr>
          <w:szCs w:val="24"/>
        </w:rPr>
        <w:t xml:space="preserve"> prepare other reports or briefings on matters within their responsibility as requested by the Board or FERC, or as they deem necessary. </w:t>
      </w:r>
    </w:p>
    <w:p w14:paraId="2665689F" w14:textId="77777777" w:rsidR="00A734BE" w:rsidRPr="00C00AE6" w:rsidRDefault="00A734BE" w:rsidP="00781C61">
      <w:pPr>
        <w:pStyle w:val="Heading3"/>
        <w:rPr>
          <w:sz w:val="24"/>
          <w:szCs w:val="24"/>
        </w:rPr>
      </w:pPr>
      <w:bookmarkStart w:id="8163" w:name="_Ref349553324"/>
      <w:bookmarkStart w:id="8164" w:name="_Toc159233558"/>
      <w:bookmarkStart w:id="8165" w:name="_Toc141100841"/>
      <w:bookmarkStart w:id="8166" w:name="_Toc213772127"/>
      <w:r w:rsidRPr="00C00AE6">
        <w:t xml:space="preserve">Referrals to </w:t>
      </w:r>
      <w:bookmarkEnd w:id="8163"/>
      <w:bookmarkEnd w:id="8164"/>
      <w:bookmarkEnd w:id="8165"/>
      <w:r>
        <w:rPr>
          <w:sz w:val="24"/>
          <w:szCs w:val="24"/>
        </w:rPr>
        <w:t>FERC</w:t>
      </w:r>
      <w:bookmarkEnd w:id="8166"/>
    </w:p>
    <w:p w14:paraId="1B6B577B" w14:textId="77777777" w:rsidR="00A734BE" w:rsidRPr="00F96392" w:rsidRDefault="00A734BE" w:rsidP="00FE7AA5">
      <w:pPr>
        <w:spacing w:before="120" w:line="300" w:lineRule="auto"/>
        <w:rPr>
          <w:szCs w:val="24"/>
        </w:rPr>
      </w:pPr>
      <w:bookmarkStart w:id="8167" w:name="_Toc262560967"/>
      <w:bookmarkStart w:id="8168" w:name="_Toc263429620"/>
      <w:bookmarkStart w:id="8169" w:name="_Toc263795663"/>
      <w:bookmarkStart w:id="8170" w:name="_Toc265675910"/>
      <w:bookmarkStart w:id="8171" w:name="_Toc266869839"/>
      <w:r w:rsidRPr="00F96392">
        <w:rPr>
          <w:szCs w:val="24"/>
        </w:rPr>
        <w:t xml:space="preserve">The Market Monitor will report suspected Market Violations, as defined in 18 CFR 35.28(b)(8), to FERC’s Office of Enforcement (or its successor organization) staff in accordance with FERC’s reporting protocols for referral by market monitors as specified in 18 CFR 35.28(g)(3)(iv) in a timely manner. Any such referrals by the Market Monitor to FERC Staff will be on a confidential basis, and all information and documents included in such reports will not be released to any other party except to the extent FERC directs or authorizes such release unless such information and documents are already in the public domain.  Where applicable, the Market Monitor will follow the Market Participant Inquiry Process as set forth in Section </w:t>
      </w:r>
      <w:r>
        <w:rPr>
          <w:szCs w:val="24"/>
        </w:rPr>
        <w:t>11.1.5.</w:t>
      </w:r>
    </w:p>
    <w:p w14:paraId="0007DA9C" w14:textId="77777777" w:rsidR="00A734BE" w:rsidRPr="00F96392" w:rsidRDefault="00A734BE" w:rsidP="00FE7AA5">
      <w:pPr>
        <w:spacing w:before="120" w:line="300" w:lineRule="auto"/>
        <w:rPr>
          <w:szCs w:val="24"/>
        </w:rPr>
      </w:pPr>
      <w:r w:rsidRPr="00F96392">
        <w:rPr>
          <w:szCs w:val="24"/>
        </w:rPr>
        <w:t>The Market Monitor will refer any perceived market design flaws and recommended Tariff language changes to FERC’s Office of Energy Market Regulation or its successor office/organization in accordance with 18 C.F.R. § 35.28(g)(3)(v).</w:t>
      </w:r>
    </w:p>
    <w:p w14:paraId="485A4CBE" w14:textId="77777777" w:rsidR="00A734BE" w:rsidRPr="00C00AE6" w:rsidRDefault="00A734BE" w:rsidP="00781C61">
      <w:pPr>
        <w:pStyle w:val="Heading3"/>
        <w:rPr>
          <w:sz w:val="24"/>
          <w:szCs w:val="24"/>
        </w:rPr>
      </w:pPr>
      <w:bookmarkStart w:id="8172" w:name="_Toc159233559"/>
      <w:bookmarkStart w:id="8173" w:name="_Toc141100842"/>
      <w:bookmarkStart w:id="8174" w:name="_Toc213772128"/>
      <w:r w:rsidRPr="00C00AE6">
        <w:t>Market Manipulation</w:t>
      </w:r>
      <w:bookmarkEnd w:id="8167"/>
      <w:bookmarkEnd w:id="8168"/>
      <w:bookmarkEnd w:id="8169"/>
      <w:bookmarkEnd w:id="8170"/>
      <w:bookmarkEnd w:id="8171"/>
      <w:bookmarkEnd w:id="8172"/>
      <w:bookmarkEnd w:id="8173"/>
      <w:bookmarkEnd w:id="8174"/>
    </w:p>
    <w:p w14:paraId="4B3EE619" w14:textId="77777777" w:rsidR="00A734BE" w:rsidRPr="00352538" w:rsidRDefault="00A734BE" w:rsidP="00FE7AA5">
      <w:pPr>
        <w:spacing w:before="120" w:line="300" w:lineRule="auto"/>
        <w:rPr>
          <w:szCs w:val="24"/>
        </w:rPr>
      </w:pPr>
      <w:r w:rsidRPr="00352538">
        <w:rPr>
          <w:szCs w:val="24"/>
        </w:rPr>
        <w:t>The Market Monitor will monitor Markets and Services for potential instances of market manipulation</w:t>
      </w:r>
      <w:r>
        <w:rPr>
          <w:szCs w:val="24"/>
        </w:rPr>
        <w:t xml:space="preserve"> </w:t>
      </w:r>
      <w:r w:rsidRPr="00C41035">
        <w:rPr>
          <w:szCs w:val="24"/>
        </w:rPr>
        <w:t>as defined in 18 C.F.R. §1c.2</w:t>
      </w:r>
      <w:r w:rsidRPr="00352538">
        <w:rPr>
          <w:szCs w:val="24"/>
        </w:rPr>
        <w:t>.  The Market Monitor will report any potential market manipulation to FERC in a timely manner.</w:t>
      </w:r>
    </w:p>
    <w:p w14:paraId="470E22BA" w14:textId="77777777" w:rsidR="00A734BE" w:rsidRPr="00F3289E" w:rsidRDefault="00A734BE" w:rsidP="00781C61">
      <w:pPr>
        <w:pStyle w:val="Heading3"/>
      </w:pPr>
      <w:bookmarkStart w:id="8175" w:name="_Toc213772129"/>
      <w:bookmarkStart w:id="8176" w:name="_Toc262560969"/>
      <w:bookmarkStart w:id="8177" w:name="_Toc263429622"/>
      <w:bookmarkStart w:id="8178" w:name="_Toc263795665"/>
      <w:bookmarkStart w:id="8179" w:name="_Toc265675912"/>
      <w:bookmarkStart w:id="8180" w:name="_Toc266869841"/>
      <w:bookmarkStart w:id="8181" w:name="_Toc159233561"/>
      <w:bookmarkStart w:id="8182" w:name="_Toc141100844"/>
      <w:r w:rsidRPr="00C00AE6">
        <w:t xml:space="preserve">Monitoring for Potential </w:t>
      </w:r>
      <w:r w:rsidRPr="00F3289E">
        <w:rPr>
          <w:rFonts w:eastAsiaTheme="minorEastAsia"/>
        </w:rPr>
        <w:t>Transmission Market Power Activities</w:t>
      </w:r>
      <w:bookmarkEnd w:id="8175"/>
    </w:p>
    <w:p w14:paraId="045704A7" w14:textId="77777777" w:rsidR="00A734BE" w:rsidRPr="00261AF2" w:rsidRDefault="00A734BE" w:rsidP="00FE7AA5">
      <w:pPr>
        <w:spacing w:before="120" w:line="300" w:lineRule="auto"/>
        <w:rPr>
          <w:szCs w:val="24"/>
        </w:rPr>
      </w:pPr>
      <w:r w:rsidRPr="00261AF2">
        <w:rPr>
          <w:szCs w:val="24"/>
        </w:rPr>
        <w:t xml:space="preserve">The Market Monitor </w:t>
      </w:r>
      <w:r w:rsidRPr="34D3FDF0">
        <w:rPr>
          <w:szCs w:val="24"/>
        </w:rPr>
        <w:t>will</w:t>
      </w:r>
      <w:r w:rsidRPr="00261AF2">
        <w:rPr>
          <w:szCs w:val="24"/>
        </w:rPr>
        <w:t xml:space="preserve"> monitor Markets and Services</w:t>
      </w:r>
      <w:r w:rsidRPr="34D3FDF0">
        <w:rPr>
          <w:szCs w:val="24"/>
        </w:rPr>
        <w:t xml:space="preserve">, including the Markets+ </w:t>
      </w:r>
      <w:r>
        <w:rPr>
          <w:szCs w:val="24"/>
        </w:rPr>
        <w:t xml:space="preserve">Tariff </w:t>
      </w:r>
      <w:r w:rsidRPr="34D3FDF0">
        <w:rPr>
          <w:szCs w:val="24"/>
        </w:rPr>
        <w:t xml:space="preserve">transmission rights </w:t>
      </w:r>
      <w:r>
        <w:rPr>
          <w:szCs w:val="24"/>
        </w:rPr>
        <w:t xml:space="preserve">that are </w:t>
      </w:r>
      <w:r w:rsidRPr="34D3FDF0">
        <w:rPr>
          <w:szCs w:val="24"/>
        </w:rPr>
        <w:t>opt</w:t>
      </w:r>
      <w:r>
        <w:rPr>
          <w:szCs w:val="24"/>
        </w:rPr>
        <w:t>ed</w:t>
      </w:r>
      <w:r w:rsidRPr="34D3FDF0">
        <w:rPr>
          <w:szCs w:val="24"/>
        </w:rPr>
        <w:t>-in and opt</w:t>
      </w:r>
      <w:r>
        <w:rPr>
          <w:szCs w:val="24"/>
        </w:rPr>
        <w:t>ed</w:t>
      </w:r>
      <w:r w:rsidRPr="34D3FDF0">
        <w:rPr>
          <w:szCs w:val="24"/>
        </w:rPr>
        <w:t>-out,</w:t>
      </w:r>
      <w:r w:rsidRPr="00261AF2">
        <w:rPr>
          <w:szCs w:val="24"/>
        </w:rPr>
        <w:t xml:space="preserve"> for</w:t>
      </w:r>
      <w:r w:rsidRPr="34D3FDF0">
        <w:rPr>
          <w:szCs w:val="24"/>
        </w:rPr>
        <w:t xml:space="preserve"> the</w:t>
      </w:r>
      <w:r w:rsidRPr="00261AF2">
        <w:rPr>
          <w:szCs w:val="24"/>
        </w:rPr>
        <w:t xml:space="preserve"> suspected exercise of transmission market power by reviewing and analyzing data and information related to the availability of transmission facilities that impact access</w:t>
      </w:r>
      <w:r>
        <w:rPr>
          <w:szCs w:val="24"/>
        </w:rPr>
        <w:t xml:space="preserve"> to services under the Markets+ Tariff</w:t>
      </w:r>
      <w:r w:rsidRPr="34D3FDF0">
        <w:rPr>
          <w:szCs w:val="24"/>
        </w:rPr>
        <w:t>,</w:t>
      </w:r>
      <w:r w:rsidRPr="00261AF2">
        <w:rPr>
          <w:szCs w:val="24"/>
        </w:rPr>
        <w:t xml:space="preserve"> particularly with respect to the withholding of transmission facilities or transmission capacity, including activities such as but not limited to, the following:</w:t>
      </w:r>
    </w:p>
    <w:p w14:paraId="195A2E4C" w14:textId="4530E218" w:rsidR="00A734BE" w:rsidRPr="00352538" w:rsidRDefault="00A734BE" w:rsidP="00FE7AA5">
      <w:pPr>
        <w:numPr>
          <w:ilvl w:val="0"/>
          <w:numId w:val="219"/>
        </w:numPr>
        <w:tabs>
          <w:tab w:val="num" w:pos="720"/>
        </w:tabs>
        <w:spacing w:before="120" w:line="300" w:lineRule="auto"/>
        <w:ind w:left="720" w:hanging="540"/>
        <w:rPr>
          <w:szCs w:val="24"/>
        </w:rPr>
      </w:pPr>
      <w:r w:rsidRPr="00352538">
        <w:rPr>
          <w:szCs w:val="24"/>
        </w:rPr>
        <w:t>Physical withholding by</w:t>
      </w:r>
      <w:r>
        <w:rPr>
          <w:szCs w:val="24"/>
        </w:rPr>
        <w:t xml:space="preserve"> </w:t>
      </w:r>
      <w:r w:rsidRPr="2370430E">
        <w:rPr>
          <w:szCs w:val="24"/>
        </w:rPr>
        <w:t>Transmission Owner</w:t>
      </w:r>
      <w:r>
        <w:rPr>
          <w:szCs w:val="24"/>
        </w:rPr>
        <w:t>s</w:t>
      </w:r>
      <w:r w:rsidRPr="00352538">
        <w:rPr>
          <w:szCs w:val="24"/>
        </w:rPr>
        <w:t xml:space="preserve"> by providing improper information related to the availability of transmission, such as information related to the capability or other modeling data used by </w:t>
      </w:r>
      <w:r>
        <w:rPr>
          <w:szCs w:val="24"/>
        </w:rPr>
        <w:t>the Market Operator</w:t>
      </w:r>
      <w:r w:rsidRPr="00352538">
        <w:rPr>
          <w:szCs w:val="24"/>
        </w:rPr>
        <w:t xml:space="preserve"> for use in system operations;</w:t>
      </w:r>
    </w:p>
    <w:p w14:paraId="33AED2DB" w14:textId="5CDC5B54" w:rsidR="00A734BE" w:rsidRPr="00352538" w:rsidRDefault="00A734BE" w:rsidP="00FE7AA5">
      <w:pPr>
        <w:numPr>
          <w:ilvl w:val="0"/>
          <w:numId w:val="219"/>
        </w:numPr>
        <w:tabs>
          <w:tab w:val="num" w:pos="720"/>
        </w:tabs>
        <w:spacing w:before="120" w:line="300" w:lineRule="auto"/>
        <w:ind w:left="720" w:hanging="540"/>
        <w:rPr>
          <w:szCs w:val="24"/>
        </w:rPr>
      </w:pPr>
      <w:r w:rsidRPr="00352538">
        <w:rPr>
          <w:szCs w:val="24"/>
        </w:rPr>
        <w:t xml:space="preserve">Economic withholding by </w:t>
      </w:r>
      <w:r w:rsidRPr="2606110A">
        <w:rPr>
          <w:szCs w:val="24"/>
        </w:rPr>
        <w:t xml:space="preserve">Transmission </w:t>
      </w:r>
      <w:r w:rsidRPr="2370430E">
        <w:rPr>
          <w:szCs w:val="24"/>
        </w:rPr>
        <w:t>Owner</w:t>
      </w:r>
      <w:r>
        <w:rPr>
          <w:szCs w:val="24"/>
        </w:rPr>
        <w:t>s</w:t>
      </w:r>
      <w:r w:rsidRPr="2606110A">
        <w:rPr>
          <w:szCs w:val="24"/>
        </w:rPr>
        <w:t>;</w:t>
      </w:r>
    </w:p>
    <w:p w14:paraId="54DBECB4" w14:textId="77777777" w:rsidR="00A734BE" w:rsidRPr="00352538" w:rsidRDefault="00A734BE" w:rsidP="00FE7AA5">
      <w:pPr>
        <w:numPr>
          <w:ilvl w:val="0"/>
          <w:numId w:val="219"/>
        </w:numPr>
        <w:tabs>
          <w:tab w:val="num" w:pos="720"/>
        </w:tabs>
        <w:spacing w:before="120" w:line="300" w:lineRule="auto"/>
        <w:ind w:left="720" w:hanging="540"/>
        <w:rPr>
          <w:szCs w:val="24"/>
        </w:rPr>
      </w:pPr>
      <w:r w:rsidRPr="00352538">
        <w:rPr>
          <w:szCs w:val="24"/>
        </w:rPr>
        <w:t>Unavailability of transmission facilities through planned and unplanned maintenance outages that routinely exceed historical baselines;</w:t>
      </w:r>
      <w:r w:rsidRPr="2606110A">
        <w:rPr>
          <w:szCs w:val="24"/>
        </w:rPr>
        <w:t xml:space="preserve"> and</w:t>
      </w:r>
    </w:p>
    <w:p w14:paraId="1414AABB" w14:textId="77777777" w:rsidR="00A734BE" w:rsidRPr="00261AF2" w:rsidRDefault="00A734BE" w:rsidP="00FE7AA5">
      <w:pPr>
        <w:numPr>
          <w:ilvl w:val="0"/>
          <w:numId w:val="219"/>
        </w:numPr>
        <w:tabs>
          <w:tab w:val="num" w:pos="720"/>
        </w:tabs>
        <w:spacing w:before="120" w:line="300" w:lineRule="auto"/>
        <w:ind w:left="720" w:hanging="540"/>
        <w:rPr>
          <w:szCs w:val="24"/>
        </w:rPr>
      </w:pPr>
      <w:r w:rsidRPr="00261AF2">
        <w:rPr>
          <w:szCs w:val="24"/>
        </w:rPr>
        <w:t xml:space="preserve">Withholding of transmission capacity by transmission users </w:t>
      </w:r>
      <w:r w:rsidRPr="00A67A9F">
        <w:rPr>
          <w:szCs w:val="24"/>
        </w:rPr>
        <w:t xml:space="preserve">through </w:t>
      </w:r>
      <w:r w:rsidRPr="00A0402C">
        <w:rPr>
          <w:szCs w:val="24"/>
        </w:rPr>
        <w:t>excess reservations or</w:t>
      </w:r>
      <w:r>
        <w:rPr>
          <w:szCs w:val="24"/>
        </w:rPr>
        <w:t xml:space="preserve"> opt outs</w:t>
      </w:r>
      <w:r>
        <w:t xml:space="preserve"> </w:t>
      </w:r>
      <w:r w:rsidRPr="2606110A">
        <w:rPr>
          <w:szCs w:val="24"/>
        </w:rPr>
        <w:t>that</w:t>
      </w:r>
      <w:r w:rsidRPr="00261AF2">
        <w:rPr>
          <w:szCs w:val="24"/>
        </w:rPr>
        <w:t xml:space="preserve"> are not actually used.</w:t>
      </w:r>
    </w:p>
    <w:p w14:paraId="77E68CA4" w14:textId="77777777" w:rsidR="00A734BE" w:rsidRPr="00261AF2" w:rsidRDefault="00A734BE" w:rsidP="00FE7AA5">
      <w:pPr>
        <w:spacing w:before="120" w:line="300" w:lineRule="auto"/>
        <w:rPr>
          <w:szCs w:val="24"/>
        </w:rPr>
      </w:pPr>
      <w:r>
        <w:rPr>
          <w:szCs w:val="24"/>
        </w:rPr>
        <w:t>T</w:t>
      </w:r>
      <w:r w:rsidRPr="00261AF2">
        <w:rPr>
          <w:szCs w:val="24"/>
        </w:rPr>
        <w:t xml:space="preserve">he Market Monitor </w:t>
      </w:r>
      <w:r w:rsidRPr="2606110A">
        <w:rPr>
          <w:szCs w:val="24"/>
        </w:rPr>
        <w:t xml:space="preserve">will </w:t>
      </w:r>
      <w:r w:rsidRPr="00261AF2">
        <w:rPr>
          <w:szCs w:val="24"/>
        </w:rPr>
        <w:t xml:space="preserve">refer any instance(s) of suspected exercise of </w:t>
      </w:r>
      <w:r w:rsidRPr="008E3F1C">
        <w:rPr>
          <w:szCs w:val="24"/>
        </w:rPr>
        <w:t>transmission market power</w:t>
      </w:r>
      <w:r w:rsidRPr="00261AF2">
        <w:rPr>
          <w:szCs w:val="24"/>
        </w:rPr>
        <w:t xml:space="preserve"> directly to </w:t>
      </w:r>
      <w:r w:rsidRPr="2606110A">
        <w:rPr>
          <w:szCs w:val="24"/>
        </w:rPr>
        <w:t xml:space="preserve">FERC’s </w:t>
      </w:r>
      <w:r w:rsidRPr="00261AF2">
        <w:rPr>
          <w:szCs w:val="24"/>
        </w:rPr>
        <w:t xml:space="preserve">Office of Enforcement (or its successor organization) utilizing the protocols for referral to </w:t>
      </w:r>
      <w:r w:rsidRPr="2606110A">
        <w:rPr>
          <w:szCs w:val="24"/>
        </w:rPr>
        <w:t xml:space="preserve">FERC </w:t>
      </w:r>
      <w:r w:rsidRPr="00261AF2">
        <w:rPr>
          <w:szCs w:val="24"/>
        </w:rPr>
        <w:t>for suspect</w:t>
      </w:r>
      <w:r>
        <w:rPr>
          <w:szCs w:val="24"/>
        </w:rPr>
        <w:t>ed</w:t>
      </w:r>
      <w:r w:rsidRPr="00261AF2">
        <w:rPr>
          <w:szCs w:val="24"/>
        </w:rPr>
        <w:t xml:space="preserve"> potential instances of the exercise of market violations (such as manipulation) as found in 18 CFR 35.28(g)(3)(iv), when there is sufficient credible information to warrant such action.  All such referrals by the Market Monitor to FERC will be on a confidential basis, and all information and documents included in such reports will not be released to any other party except to the extent FERC directs or authorizes such release.</w:t>
      </w:r>
    </w:p>
    <w:p w14:paraId="62AE5F12" w14:textId="77777777" w:rsidR="00A734BE" w:rsidRPr="00352538" w:rsidRDefault="00A734BE" w:rsidP="000D46AD">
      <w:pPr>
        <w:spacing w:before="120" w:line="300" w:lineRule="auto"/>
        <w:rPr>
          <w:szCs w:val="24"/>
        </w:rPr>
        <w:sectPr w:rsidR="00A734BE" w:rsidRPr="00352538" w:rsidSect="00A734BE">
          <w:footerReference w:type="even" r:id="rId109"/>
          <w:footerReference w:type="default" r:id="rId110"/>
          <w:footerReference w:type="first" r:id="rId111"/>
          <w:pgSz w:w="12240" w:h="15840"/>
          <w:pgMar w:top="1728" w:right="1440" w:bottom="1728" w:left="1440" w:header="720" w:footer="720" w:gutter="0"/>
          <w:cols w:space="720"/>
        </w:sectPr>
      </w:pPr>
    </w:p>
    <w:p w14:paraId="56821A2B" w14:textId="77777777" w:rsidR="00A734BE" w:rsidRPr="00E6100D" w:rsidRDefault="00A734BE" w:rsidP="00781C61">
      <w:pPr>
        <w:pStyle w:val="Heading3"/>
      </w:pPr>
      <w:bookmarkStart w:id="8183" w:name="_Toc213772130"/>
      <w:r w:rsidRPr="00E6100D">
        <w:t xml:space="preserve">Data Access, </w:t>
      </w:r>
      <w:r w:rsidRPr="00162A00">
        <w:t>Collection</w:t>
      </w:r>
      <w:r>
        <w:t>,</w:t>
      </w:r>
      <w:r w:rsidRPr="00162A00">
        <w:t xml:space="preserve"> and Retention</w:t>
      </w:r>
      <w:bookmarkEnd w:id="8176"/>
      <w:bookmarkEnd w:id="8177"/>
      <w:bookmarkEnd w:id="8178"/>
      <w:bookmarkEnd w:id="8179"/>
      <w:bookmarkEnd w:id="8180"/>
      <w:bookmarkEnd w:id="8181"/>
      <w:bookmarkEnd w:id="8182"/>
      <w:bookmarkEnd w:id="8183"/>
    </w:p>
    <w:p w14:paraId="5832BB49" w14:textId="77777777" w:rsidR="00A734BE" w:rsidRPr="00352538" w:rsidRDefault="00A734BE" w:rsidP="00FE7AA5">
      <w:pPr>
        <w:spacing w:before="120" w:line="300" w:lineRule="auto"/>
        <w:rPr>
          <w:szCs w:val="24"/>
        </w:rPr>
      </w:pPr>
      <w:r>
        <w:rPr>
          <w:szCs w:val="24"/>
        </w:rPr>
        <w:t>The Market Operator</w:t>
      </w:r>
      <w:r w:rsidRPr="00352538">
        <w:rPr>
          <w:szCs w:val="24"/>
        </w:rPr>
        <w:t xml:space="preserve"> </w:t>
      </w:r>
      <w:r>
        <w:rPr>
          <w:szCs w:val="24"/>
        </w:rPr>
        <w:t>will</w:t>
      </w:r>
      <w:r w:rsidRPr="00352538">
        <w:rPr>
          <w:szCs w:val="24"/>
        </w:rPr>
        <w:t xml:space="preserve"> regularly collect and maintain Data and Information necessary for monitoring Markets and Services and implementing mitigation protocols.  </w:t>
      </w:r>
    </w:p>
    <w:p w14:paraId="2D47CD4A" w14:textId="77777777" w:rsidR="00A734BE" w:rsidRPr="00352538" w:rsidRDefault="00A734BE" w:rsidP="00574EDE">
      <w:pPr>
        <w:pStyle w:val="Heading4"/>
        <w:rPr>
          <w:szCs w:val="24"/>
        </w:rPr>
      </w:pPr>
      <w:bookmarkStart w:id="8184" w:name="_Toc263429623"/>
      <w:bookmarkStart w:id="8185" w:name="_Toc263795666"/>
      <w:bookmarkStart w:id="8186" w:name="_Toc265675913"/>
      <w:bookmarkStart w:id="8187" w:name="_Toc266869842"/>
      <w:bookmarkStart w:id="8188" w:name="_Toc159233562"/>
      <w:bookmarkStart w:id="8189" w:name="_Toc141100845"/>
      <w:bookmarkStart w:id="8190" w:name="_Toc213772131"/>
      <w:r w:rsidRPr="00352538">
        <w:t>Confidentiality</w:t>
      </w:r>
      <w:bookmarkEnd w:id="8184"/>
      <w:bookmarkEnd w:id="8185"/>
      <w:bookmarkEnd w:id="8186"/>
      <w:bookmarkEnd w:id="8187"/>
      <w:bookmarkEnd w:id="8188"/>
      <w:bookmarkEnd w:id="8189"/>
      <w:bookmarkEnd w:id="8190"/>
    </w:p>
    <w:p w14:paraId="369B6DB2" w14:textId="0D7461E9" w:rsidR="00A734BE" w:rsidRPr="00CF0698" w:rsidRDefault="00A734BE" w:rsidP="00FE7AA5">
      <w:pPr>
        <w:spacing w:before="120" w:line="300" w:lineRule="auto"/>
        <w:rPr>
          <w:szCs w:val="24"/>
        </w:rPr>
      </w:pPr>
      <w:r w:rsidRPr="00CF0698">
        <w:rPr>
          <w:sz w:val="28"/>
          <w:szCs w:val="28"/>
        </w:rPr>
        <w:t xml:space="preserve"> </w:t>
      </w:r>
      <w:r w:rsidRPr="00CF0698">
        <w:rPr>
          <w:szCs w:val="24"/>
        </w:rPr>
        <w:t>SPP and Market Participants may designate Data and Information as Confidential Information consistent with the terms of Attachment A, Section 11</w:t>
      </w:r>
      <w:r w:rsidR="00A71EAB">
        <w:rPr>
          <w:szCs w:val="24"/>
        </w:rPr>
        <w:t xml:space="preserve"> of the Markets+ Tar</w:t>
      </w:r>
      <w:r w:rsidR="009D3CDB">
        <w:rPr>
          <w:szCs w:val="24"/>
        </w:rPr>
        <w:t>iff</w:t>
      </w:r>
      <w:r w:rsidRPr="00CF0698">
        <w:rPr>
          <w:szCs w:val="24"/>
        </w:rPr>
        <w:t xml:space="preserve"> If the designation of Confidential Information appears to be unreasonable, the Market Monitor may challenge such designation of Confidential Information consistent with Attachment A, Section 11</w:t>
      </w:r>
      <w:r w:rsidR="009D3CDB">
        <w:rPr>
          <w:szCs w:val="24"/>
        </w:rPr>
        <w:t xml:space="preserve"> of the Markets+ Tariff</w:t>
      </w:r>
      <w:r w:rsidRPr="00CF0698">
        <w:rPr>
          <w:szCs w:val="24"/>
        </w:rPr>
        <w:t>.</w:t>
      </w:r>
    </w:p>
    <w:p w14:paraId="03CC0907" w14:textId="77777777" w:rsidR="00A734BE" w:rsidRPr="00C74842" w:rsidRDefault="00A734BE" w:rsidP="00574EDE">
      <w:pPr>
        <w:pStyle w:val="Heading4"/>
      </w:pPr>
      <w:bookmarkStart w:id="8191" w:name="_Toc213772132"/>
      <w:r w:rsidRPr="00C74842">
        <w:t>Interested Government Agencies</w:t>
      </w:r>
      <w:bookmarkEnd w:id="8191"/>
    </w:p>
    <w:p w14:paraId="45831055" w14:textId="717F593B" w:rsidR="00A734BE" w:rsidRPr="003D40BE" w:rsidRDefault="00A734BE" w:rsidP="00E679DC">
      <w:pPr>
        <w:spacing w:line="300" w:lineRule="auto"/>
      </w:pPr>
      <w:r w:rsidRPr="00CF0698">
        <w:t xml:space="preserve">The Market Monitor will provide Confidential Information to Interested </w:t>
      </w:r>
      <w:r w:rsidRPr="003D40BE">
        <w:t>Government Agencies consistent with the terms of Attachment A, Section 11.</w:t>
      </w:r>
      <w:bookmarkStart w:id="8192" w:name="_Toc263429624"/>
      <w:bookmarkStart w:id="8193" w:name="_Toc263795667"/>
      <w:bookmarkStart w:id="8194" w:name="_Toc265675914"/>
      <w:bookmarkStart w:id="8195" w:name="_Toc266869843"/>
      <w:bookmarkStart w:id="8196" w:name="_Toc159233563"/>
      <w:bookmarkStart w:id="8197" w:name="_Toc141100846"/>
    </w:p>
    <w:p w14:paraId="50166EF6" w14:textId="77777777" w:rsidR="00A734BE" w:rsidRPr="00352538" w:rsidRDefault="00A734BE" w:rsidP="00574EDE">
      <w:pPr>
        <w:pStyle w:val="Heading4"/>
        <w:rPr>
          <w:szCs w:val="24"/>
        </w:rPr>
      </w:pPr>
      <w:bookmarkStart w:id="8198" w:name="_Toc213772133"/>
      <w:r w:rsidRPr="00352538">
        <w:t xml:space="preserve">Access to </w:t>
      </w:r>
      <w:r>
        <w:t>Market Operator</w:t>
      </w:r>
      <w:r w:rsidRPr="00352538">
        <w:t xml:space="preserve"> Data and Information</w:t>
      </w:r>
      <w:bookmarkEnd w:id="8192"/>
      <w:bookmarkEnd w:id="8193"/>
      <w:bookmarkEnd w:id="8194"/>
      <w:bookmarkEnd w:id="8195"/>
      <w:bookmarkEnd w:id="8196"/>
      <w:bookmarkEnd w:id="8197"/>
      <w:bookmarkEnd w:id="8198"/>
    </w:p>
    <w:p w14:paraId="07ABA44B" w14:textId="0C69320C" w:rsidR="00A734BE" w:rsidRPr="00CF0698" w:rsidRDefault="00A734BE" w:rsidP="00FE7AA5">
      <w:pPr>
        <w:spacing w:before="120" w:line="300" w:lineRule="auto"/>
        <w:rPr>
          <w:szCs w:val="24"/>
        </w:rPr>
      </w:pPr>
      <w:r w:rsidRPr="00CF0698">
        <w:rPr>
          <w:szCs w:val="24"/>
        </w:rPr>
        <w:t xml:space="preserve">The Market Monitor must have access to all market impacting Data and Information. This Data and Information will be gathered or generated by the Market Operator, Participating Balancing Authority, or Market Participant. This Data and Information includes, but is not limited to the operational data, listed in Section </w:t>
      </w:r>
      <w:r w:rsidR="001F75C4">
        <w:rPr>
          <w:szCs w:val="24"/>
        </w:rPr>
        <w:fldChar w:fldCharType="begin"/>
      </w:r>
      <w:r w:rsidR="001F75C4">
        <w:rPr>
          <w:szCs w:val="24"/>
        </w:rPr>
        <w:instrText xml:space="preserve"> REF _Ref212627820 \r \h </w:instrText>
      </w:r>
      <w:r w:rsidR="001F75C4">
        <w:rPr>
          <w:szCs w:val="24"/>
        </w:rPr>
      </w:r>
      <w:r w:rsidR="001F75C4">
        <w:rPr>
          <w:szCs w:val="24"/>
        </w:rPr>
        <w:fldChar w:fldCharType="separate"/>
      </w:r>
      <w:r w:rsidR="001F75C4">
        <w:rPr>
          <w:szCs w:val="24"/>
        </w:rPr>
        <w:t>11.1.4</w:t>
      </w:r>
      <w:r w:rsidR="001F75C4">
        <w:rPr>
          <w:szCs w:val="24"/>
        </w:rPr>
        <w:fldChar w:fldCharType="end"/>
      </w:r>
      <w:r w:rsidRPr="00CF0698">
        <w:rPr>
          <w:szCs w:val="24"/>
        </w:rPr>
        <w:t xml:space="preserve"> of th</w:t>
      </w:r>
      <w:r w:rsidR="00403647">
        <w:rPr>
          <w:szCs w:val="24"/>
        </w:rPr>
        <w:t>e</w:t>
      </w:r>
      <w:r w:rsidRPr="00CF0698">
        <w:rPr>
          <w:szCs w:val="24"/>
        </w:rPr>
        <w:t xml:space="preserve"> Plan, gathered or generated by all market impacting entities which may include the Market Operator, Balancing Authority, Reliability Coordinator, and transmission service provider. All Data and Information listed in Section </w:t>
      </w:r>
      <w:r w:rsidR="00375957">
        <w:rPr>
          <w:szCs w:val="24"/>
        </w:rPr>
        <w:fldChar w:fldCharType="begin"/>
      </w:r>
      <w:r w:rsidR="00375957">
        <w:rPr>
          <w:szCs w:val="24"/>
        </w:rPr>
        <w:instrText xml:space="preserve"> REF _Ref212627846 \r \h </w:instrText>
      </w:r>
      <w:r w:rsidR="00375957">
        <w:rPr>
          <w:szCs w:val="24"/>
        </w:rPr>
      </w:r>
      <w:r w:rsidR="00375957">
        <w:rPr>
          <w:szCs w:val="24"/>
        </w:rPr>
        <w:fldChar w:fldCharType="separate"/>
      </w:r>
      <w:r w:rsidR="00375957">
        <w:rPr>
          <w:szCs w:val="24"/>
        </w:rPr>
        <w:t>11.1.4</w:t>
      </w:r>
      <w:r w:rsidR="00375957">
        <w:rPr>
          <w:szCs w:val="24"/>
        </w:rPr>
        <w:fldChar w:fldCharType="end"/>
      </w:r>
      <w:r w:rsidRPr="00CF0698">
        <w:rPr>
          <w:szCs w:val="24"/>
        </w:rPr>
        <w:t xml:space="preserve"> of th</w:t>
      </w:r>
      <w:r w:rsidR="002A41A6">
        <w:rPr>
          <w:szCs w:val="24"/>
        </w:rPr>
        <w:t>e</w:t>
      </w:r>
      <w:r w:rsidRPr="00CF0698">
        <w:rPr>
          <w:szCs w:val="24"/>
        </w:rPr>
        <w:t xml:space="preserve"> Plan must be retained for a minimum period of six (6) years.</w:t>
      </w:r>
    </w:p>
    <w:p w14:paraId="5ECA8B50" w14:textId="77777777" w:rsidR="00A734BE" w:rsidRPr="00352538" w:rsidRDefault="00A734BE" w:rsidP="00574EDE">
      <w:pPr>
        <w:pStyle w:val="Heading4"/>
        <w:rPr>
          <w:szCs w:val="24"/>
        </w:rPr>
      </w:pPr>
      <w:bookmarkStart w:id="8199" w:name="_Toc263429625"/>
      <w:bookmarkStart w:id="8200" w:name="_Toc263795668"/>
      <w:bookmarkStart w:id="8201" w:name="_Toc265675915"/>
      <w:bookmarkStart w:id="8202" w:name="_Toc266869844"/>
      <w:bookmarkStart w:id="8203" w:name="_Toc159233564"/>
      <w:bookmarkStart w:id="8204" w:name="_Toc141100847"/>
      <w:bookmarkStart w:id="8205" w:name="_Toc213772134"/>
      <w:r w:rsidRPr="00352538">
        <w:t>Access to Market Participant Data and Information</w:t>
      </w:r>
      <w:bookmarkEnd w:id="8199"/>
      <w:bookmarkEnd w:id="8200"/>
      <w:bookmarkEnd w:id="8201"/>
      <w:bookmarkEnd w:id="8202"/>
      <w:bookmarkEnd w:id="8203"/>
      <w:bookmarkEnd w:id="8204"/>
      <w:bookmarkEnd w:id="8205"/>
      <w:r w:rsidRPr="00352538">
        <w:t xml:space="preserve"> </w:t>
      </w:r>
    </w:p>
    <w:p w14:paraId="1B4F7380" w14:textId="0854D040" w:rsidR="00A734BE" w:rsidRDefault="00A734BE" w:rsidP="00FE7AA5">
      <w:pPr>
        <w:spacing w:before="120" w:line="300" w:lineRule="auto"/>
        <w:rPr>
          <w:szCs w:val="24"/>
        </w:rPr>
      </w:pPr>
      <w:r w:rsidRPr="00261AF2">
        <w:rPr>
          <w:szCs w:val="24"/>
        </w:rPr>
        <w:t xml:space="preserve">Market Participants </w:t>
      </w:r>
      <w:r>
        <w:rPr>
          <w:szCs w:val="24"/>
        </w:rPr>
        <w:t>must</w:t>
      </w:r>
      <w:r w:rsidRPr="00261AF2">
        <w:rPr>
          <w:szCs w:val="24"/>
        </w:rPr>
        <w:t xml:space="preserve"> retain all Data and Information </w:t>
      </w:r>
      <w:r w:rsidRPr="00665682">
        <w:rPr>
          <w:szCs w:val="24"/>
        </w:rPr>
        <w:t xml:space="preserve">listed below, and in </w:t>
      </w:r>
      <w:r w:rsidR="00F34848">
        <w:rPr>
          <w:szCs w:val="24"/>
        </w:rPr>
        <w:t xml:space="preserve">Section </w:t>
      </w:r>
      <w:r w:rsidR="00375957">
        <w:rPr>
          <w:szCs w:val="24"/>
        </w:rPr>
        <w:fldChar w:fldCharType="begin"/>
      </w:r>
      <w:r w:rsidR="00375957">
        <w:rPr>
          <w:szCs w:val="24"/>
        </w:rPr>
        <w:instrText xml:space="preserve"> REF _Ref212627882 \r \h </w:instrText>
      </w:r>
      <w:r w:rsidR="00375957">
        <w:rPr>
          <w:szCs w:val="24"/>
        </w:rPr>
      </w:r>
      <w:r w:rsidR="00375957">
        <w:rPr>
          <w:szCs w:val="24"/>
        </w:rPr>
        <w:fldChar w:fldCharType="separate"/>
      </w:r>
      <w:r w:rsidR="00375957">
        <w:rPr>
          <w:szCs w:val="24"/>
        </w:rPr>
        <w:t>11.1.4</w:t>
      </w:r>
      <w:r w:rsidR="00375957">
        <w:rPr>
          <w:szCs w:val="24"/>
        </w:rPr>
        <w:fldChar w:fldCharType="end"/>
      </w:r>
      <w:r w:rsidRPr="00665682">
        <w:rPr>
          <w:szCs w:val="24"/>
        </w:rPr>
        <w:t xml:space="preserve"> of the Plan</w:t>
      </w:r>
      <w:r w:rsidR="00275FF6">
        <w:rPr>
          <w:szCs w:val="24"/>
        </w:rPr>
        <w:t>,</w:t>
      </w:r>
      <w:r w:rsidRPr="00665682">
        <w:rPr>
          <w:szCs w:val="24"/>
        </w:rPr>
        <w:t xml:space="preserve"> as applicable, that</w:t>
      </w:r>
      <w:r w:rsidRPr="00261AF2">
        <w:rPr>
          <w:szCs w:val="24"/>
        </w:rPr>
        <w:t xml:space="preserve"> is in the custody and control of Market Participants, for a minimum of </w:t>
      </w:r>
      <w:r w:rsidRPr="2A78FE21">
        <w:rPr>
          <w:szCs w:val="24"/>
        </w:rPr>
        <w:t>six</w:t>
      </w:r>
      <w:r w:rsidRPr="00261AF2">
        <w:rPr>
          <w:szCs w:val="24"/>
        </w:rPr>
        <w:t xml:space="preserve"> years and </w:t>
      </w:r>
      <w:r>
        <w:rPr>
          <w:szCs w:val="24"/>
        </w:rPr>
        <w:t>must</w:t>
      </w:r>
      <w:r w:rsidRPr="00261AF2">
        <w:rPr>
          <w:szCs w:val="24"/>
        </w:rPr>
        <w:t xml:space="preserve"> promptly provide any such Data and Information to the Market Monitor upon request</w:t>
      </w:r>
      <w:r w:rsidRPr="2A78FE21">
        <w:rPr>
          <w:szCs w:val="24"/>
        </w:rPr>
        <w:t xml:space="preserve">, unless </w:t>
      </w:r>
      <w:r w:rsidRPr="00DA39E0">
        <w:rPr>
          <w:szCs w:val="24"/>
        </w:rPr>
        <w:t>such Data and Information is not required for sharing with the Market Monitor as detailed in this section.</w:t>
      </w:r>
      <w:r>
        <w:rPr>
          <w:szCs w:val="24"/>
        </w:rPr>
        <w:t xml:space="preserve"> </w:t>
      </w:r>
      <w:r w:rsidRPr="0009647D">
        <w:rPr>
          <w:szCs w:val="24"/>
        </w:rPr>
        <w:t>Market Participants must provide the Data and Information to the Market Monitor, upon request, unless explicitly exempted in a Market Participant Agreement.</w:t>
      </w:r>
    </w:p>
    <w:p w14:paraId="520EBD81" w14:textId="75926ACF" w:rsidR="00A734BE" w:rsidRPr="00261AF2" w:rsidRDefault="00A734BE" w:rsidP="00FE7AA5">
      <w:pPr>
        <w:spacing w:before="120" w:line="300" w:lineRule="auto"/>
        <w:rPr>
          <w:szCs w:val="24"/>
        </w:rPr>
      </w:pPr>
      <w:r w:rsidRPr="00261AF2">
        <w:rPr>
          <w:szCs w:val="24"/>
        </w:rPr>
        <w:t xml:space="preserve">Market Participants </w:t>
      </w:r>
      <w:r>
        <w:rPr>
          <w:szCs w:val="24"/>
        </w:rPr>
        <w:t>must</w:t>
      </w:r>
      <w:r w:rsidRPr="00261AF2">
        <w:rPr>
          <w:szCs w:val="24"/>
        </w:rPr>
        <w:t xml:space="preserve"> be capable, upon request, of providing the Data</w:t>
      </w:r>
      <w:r w:rsidR="00B127D5">
        <w:rPr>
          <w:szCs w:val="24"/>
        </w:rPr>
        <w:t xml:space="preserve"> and Information</w:t>
      </w:r>
      <w:r w:rsidRPr="00261AF2">
        <w:rPr>
          <w:szCs w:val="24"/>
        </w:rPr>
        <w:t xml:space="preserve"> in </w:t>
      </w:r>
      <w:r>
        <w:rPr>
          <w:szCs w:val="24"/>
        </w:rPr>
        <w:t>commonly used</w:t>
      </w:r>
      <w:r w:rsidRPr="00261AF2">
        <w:rPr>
          <w:szCs w:val="24"/>
        </w:rPr>
        <w:t xml:space="preserve"> format and a description of the format used by the Market Participant.  If necessary, due to proprietary format restrictions, the M</w:t>
      </w:r>
      <w:r>
        <w:rPr>
          <w:szCs w:val="24"/>
        </w:rPr>
        <w:t xml:space="preserve">arket </w:t>
      </w:r>
      <w:r w:rsidRPr="00261AF2">
        <w:rPr>
          <w:szCs w:val="24"/>
        </w:rPr>
        <w:t>P</w:t>
      </w:r>
      <w:r>
        <w:rPr>
          <w:szCs w:val="24"/>
        </w:rPr>
        <w:t>articipant</w:t>
      </w:r>
      <w:r w:rsidRPr="00261AF2">
        <w:rPr>
          <w:szCs w:val="24"/>
        </w:rPr>
        <w:t xml:space="preserve"> </w:t>
      </w:r>
      <w:r>
        <w:rPr>
          <w:szCs w:val="24"/>
        </w:rPr>
        <w:t>must</w:t>
      </w:r>
      <w:r w:rsidRPr="00261AF2">
        <w:rPr>
          <w:szCs w:val="24"/>
        </w:rPr>
        <w:t xml:space="preserve"> be capable of providing the data in a non-proprietary format, such as CSV or XML format</w:t>
      </w:r>
      <w:r>
        <w:rPr>
          <w:szCs w:val="24"/>
        </w:rPr>
        <w:t xml:space="preserve"> </w:t>
      </w:r>
      <w:r w:rsidRPr="009260B4">
        <w:rPr>
          <w:szCs w:val="24"/>
        </w:rPr>
        <w:t>along with a description of the data and format.  Market Participants may designate such Data and Information as Confidential Information, but such Data and Information must not be redacted or modified in any manner prior to delivery to the Market Monitor by the Market Participant</w:t>
      </w:r>
      <w:r w:rsidRPr="00261AF2">
        <w:rPr>
          <w:szCs w:val="24"/>
        </w:rPr>
        <w:t xml:space="preserve">. </w:t>
      </w:r>
      <w:r w:rsidRPr="0009647D">
        <w:rPr>
          <w:szCs w:val="24"/>
        </w:rPr>
        <w:t xml:space="preserve">Market Participants will not continuously share data on Resources beyond what is necessary to represent the Resource’s generation capability in the market optimization software for the applicable period. </w:t>
      </w:r>
    </w:p>
    <w:p w14:paraId="1A88ED0F" w14:textId="77777777" w:rsidR="00A734BE" w:rsidRPr="00352538" w:rsidRDefault="00A734BE" w:rsidP="00FE7AA5">
      <w:pPr>
        <w:spacing w:before="120" w:line="300" w:lineRule="auto"/>
        <w:rPr>
          <w:szCs w:val="24"/>
        </w:rPr>
      </w:pPr>
      <w:r w:rsidRPr="00E9644A">
        <w:rPr>
          <w:szCs w:val="24"/>
        </w:rPr>
        <w:t xml:space="preserve">Unless explicitly exempted in a Market Participant Agreement, </w:t>
      </w:r>
      <w:r w:rsidRPr="00265992">
        <w:rPr>
          <w:szCs w:val="24"/>
        </w:rPr>
        <w:t>Market Participants must retain the following Data and Information for all parties affiliated with the Market Participant and provide it to the Market Monitor upon request:</w:t>
      </w:r>
    </w:p>
    <w:p w14:paraId="11FB2135" w14:textId="2D208CF9" w:rsidR="00A734BE" w:rsidRPr="00261AF2" w:rsidRDefault="00A734BE" w:rsidP="00FE7AA5">
      <w:pPr>
        <w:numPr>
          <w:ilvl w:val="0"/>
          <w:numId w:val="209"/>
        </w:numPr>
        <w:spacing w:before="120" w:line="300" w:lineRule="auto"/>
        <w:rPr>
          <w:szCs w:val="24"/>
        </w:rPr>
      </w:pPr>
      <w:r w:rsidRPr="00261AF2">
        <w:rPr>
          <w:szCs w:val="24"/>
        </w:rPr>
        <w:t xml:space="preserve">All Data and Information relating to the costs of operating a Resource, including but not limited to, heat rates, start-up fuel requirements, fuel purchase costs, environmental costs, </w:t>
      </w:r>
      <w:r w:rsidRPr="154310E7">
        <w:rPr>
          <w:szCs w:val="24"/>
        </w:rPr>
        <w:t xml:space="preserve"> emissions factors, and operating and maintenance expenses, including any costs used in support of a request to evaluate a Resource Aggregation Offer Mitigation Request, or a request for the use of the SHOC; </w:t>
      </w:r>
    </w:p>
    <w:p w14:paraId="6A35B00A" w14:textId="77777777" w:rsidR="00A734BE" w:rsidRPr="00352538" w:rsidRDefault="00A734BE" w:rsidP="00FE7AA5">
      <w:pPr>
        <w:numPr>
          <w:ilvl w:val="0"/>
          <w:numId w:val="209"/>
        </w:numPr>
        <w:spacing w:before="120" w:line="300" w:lineRule="auto"/>
        <w:rPr>
          <w:szCs w:val="24"/>
        </w:rPr>
      </w:pPr>
      <w:r w:rsidRPr="00352538">
        <w:rPr>
          <w:szCs w:val="24"/>
        </w:rPr>
        <w:t>All Data and Information regarding opportunity costs of a Resource, including but not limited to, regulatory, environmental, technical, or other restrictions that limit the run-time or other Resource operating characteristics;</w:t>
      </w:r>
    </w:p>
    <w:p w14:paraId="28AF5BE8" w14:textId="77777777" w:rsidR="00A734BE" w:rsidRPr="00DB1386" w:rsidRDefault="00A734BE" w:rsidP="00FE7AA5">
      <w:pPr>
        <w:numPr>
          <w:ilvl w:val="0"/>
          <w:numId w:val="209"/>
        </w:numPr>
        <w:spacing w:before="120" w:line="300" w:lineRule="auto"/>
        <w:rPr>
          <w:szCs w:val="24"/>
        </w:rPr>
      </w:pPr>
      <w:r w:rsidRPr="00A77C5E">
        <w:rPr>
          <w:szCs w:val="24"/>
        </w:rPr>
        <w:t>All Data and Information relating to the operating status of a Resource, including but not limited to logs showing the status of a Resource, including information relating to an outage or derate;</w:t>
      </w:r>
    </w:p>
    <w:p w14:paraId="6A6598D0" w14:textId="77777777" w:rsidR="00A734BE" w:rsidRPr="00352538" w:rsidRDefault="00A734BE" w:rsidP="00FE7AA5">
      <w:pPr>
        <w:numPr>
          <w:ilvl w:val="0"/>
          <w:numId w:val="209"/>
        </w:numPr>
        <w:spacing w:before="120" w:line="300" w:lineRule="auto"/>
        <w:rPr>
          <w:szCs w:val="24"/>
        </w:rPr>
      </w:pPr>
      <w:r w:rsidRPr="00352538">
        <w:rPr>
          <w:szCs w:val="24"/>
        </w:rPr>
        <w:t xml:space="preserve">All Data and Information relating to the operating status of a transmission facility, a contingency, </w:t>
      </w:r>
      <w:r w:rsidRPr="00487CD5">
        <w:rPr>
          <w:szCs w:val="24"/>
        </w:rPr>
        <w:t>tap setting of a phase shifting transformer</w:t>
      </w:r>
      <w:r>
        <w:rPr>
          <w:szCs w:val="24"/>
        </w:rPr>
        <w:t>,</w:t>
      </w:r>
      <w:r w:rsidRPr="00487CD5">
        <w:rPr>
          <w:szCs w:val="24"/>
        </w:rPr>
        <w:t xml:space="preserve"> </w:t>
      </w:r>
      <w:r w:rsidRPr="00352538">
        <w:rPr>
          <w:szCs w:val="24"/>
        </w:rPr>
        <w:t xml:space="preserve">or other operating consideration, including outages or derating of a transmission system component; </w:t>
      </w:r>
    </w:p>
    <w:p w14:paraId="56A452FB" w14:textId="77777777" w:rsidR="00A734BE" w:rsidRDefault="00A734BE" w:rsidP="00FE7AA5">
      <w:pPr>
        <w:numPr>
          <w:ilvl w:val="0"/>
          <w:numId w:val="209"/>
        </w:numPr>
        <w:spacing w:before="120" w:line="300" w:lineRule="auto"/>
        <w:rPr>
          <w:szCs w:val="24"/>
        </w:rPr>
      </w:pPr>
      <w:r w:rsidRPr="00352538">
        <w:rPr>
          <w:szCs w:val="24"/>
        </w:rPr>
        <w:t xml:space="preserve">All Data and Information relating to the ability of a Market Participant or its Affiliate to determine the pricing or output level of </w:t>
      </w:r>
      <w:r>
        <w:rPr>
          <w:szCs w:val="24"/>
        </w:rPr>
        <w:t>Resource</w:t>
      </w:r>
      <w:r w:rsidRPr="00352538">
        <w:rPr>
          <w:szCs w:val="24"/>
        </w:rPr>
        <w:t xml:space="preserve"> capacity owned by another entity, including but not limited to any document setting forth the terms or conditions of such ability</w:t>
      </w:r>
      <w:r>
        <w:rPr>
          <w:szCs w:val="24"/>
        </w:rPr>
        <w:t xml:space="preserve">; </w:t>
      </w:r>
    </w:p>
    <w:p w14:paraId="791044D7" w14:textId="54CCFE94" w:rsidR="00A734BE" w:rsidRPr="00352538" w:rsidDel="005467E1" w:rsidRDefault="00A734BE" w:rsidP="00FE7AA5">
      <w:pPr>
        <w:spacing w:before="120" w:line="300" w:lineRule="auto"/>
        <w:ind w:left="360"/>
        <w:rPr>
          <w:szCs w:val="24"/>
        </w:rPr>
      </w:pPr>
      <w:r w:rsidRPr="419CB29A">
        <w:rPr>
          <w:szCs w:val="24"/>
        </w:rPr>
        <w:t>(</w:t>
      </w:r>
      <w:r w:rsidR="00AA5169">
        <w:rPr>
          <w:szCs w:val="24"/>
        </w:rPr>
        <w:t>6</w:t>
      </w:r>
      <w:r w:rsidRPr="419CB29A">
        <w:rPr>
          <w:szCs w:val="24"/>
        </w:rPr>
        <w:t xml:space="preserve">) </w:t>
      </w:r>
      <w:r>
        <w:tab/>
      </w:r>
      <w:r w:rsidRPr="00352538" w:rsidDel="005467E1">
        <w:rPr>
          <w:szCs w:val="24"/>
        </w:rPr>
        <w:t xml:space="preserve">All Data and Information used in the course of business operations in arriving at a decision by a </w:t>
      </w:r>
      <w:r w:rsidRPr="419CB29A">
        <w:rPr>
          <w:szCs w:val="24"/>
        </w:rPr>
        <w:t>reserve sharing</w:t>
      </w:r>
      <w:r w:rsidRPr="419CB29A" w:rsidDel="005467E1">
        <w:rPr>
          <w:szCs w:val="24"/>
        </w:rPr>
        <w:t xml:space="preserve"> </w:t>
      </w:r>
      <w:r w:rsidRPr="419CB29A">
        <w:rPr>
          <w:szCs w:val="24"/>
        </w:rPr>
        <w:t>group</w:t>
      </w:r>
      <w:r w:rsidRPr="00352538">
        <w:rPr>
          <w:szCs w:val="24"/>
        </w:rPr>
        <w:t xml:space="preserve"> </w:t>
      </w:r>
      <w:r w:rsidRPr="00352538" w:rsidDel="005467E1">
        <w:rPr>
          <w:szCs w:val="24"/>
        </w:rPr>
        <w:t xml:space="preserve">member to call an </w:t>
      </w:r>
      <w:r w:rsidRPr="419CB29A">
        <w:rPr>
          <w:szCs w:val="24"/>
        </w:rPr>
        <w:t>operating reserve c</w:t>
      </w:r>
      <w:r w:rsidRPr="419CB29A" w:rsidDel="005467E1">
        <w:rPr>
          <w:szCs w:val="24"/>
        </w:rPr>
        <w:t>ontingency</w:t>
      </w:r>
      <w:r w:rsidRPr="00352538" w:rsidDel="005467E1">
        <w:rPr>
          <w:szCs w:val="24"/>
        </w:rPr>
        <w:t xml:space="preserve"> and request assistance.</w:t>
      </w:r>
    </w:p>
    <w:p w14:paraId="002DEE43" w14:textId="574F509A" w:rsidR="00A734BE" w:rsidRPr="00352538" w:rsidRDefault="00A734BE" w:rsidP="00FE7AA5">
      <w:pPr>
        <w:spacing w:before="120" w:line="300" w:lineRule="auto"/>
        <w:rPr>
          <w:szCs w:val="24"/>
        </w:rPr>
      </w:pPr>
      <w:r w:rsidRPr="00352538">
        <w:rPr>
          <w:szCs w:val="24"/>
        </w:rPr>
        <w:t xml:space="preserve">If any additional Data and Information not listed above or in the Market Monitoring section of these </w:t>
      </w:r>
      <w:r w:rsidR="00B06D74">
        <w:rPr>
          <w:szCs w:val="24"/>
        </w:rPr>
        <w:t>P</w:t>
      </w:r>
      <w:r w:rsidRPr="00352538">
        <w:rPr>
          <w:szCs w:val="24"/>
        </w:rPr>
        <w:t xml:space="preserve">rotocols is required from Market Participants by the Market Monitor for the purpose of fulfilling its responsibilities, the Market Monitor may request such Data and Information from Market Participants.  Such Data and Information </w:t>
      </w:r>
      <w:r>
        <w:rPr>
          <w:szCs w:val="24"/>
        </w:rPr>
        <w:t>must</w:t>
      </w:r>
      <w:r w:rsidRPr="00352538">
        <w:rPr>
          <w:szCs w:val="24"/>
        </w:rPr>
        <w:t xml:space="preserve"> be provided in a timely manner by Market Participants </w:t>
      </w:r>
      <w:r w:rsidRPr="00434E2E">
        <w:rPr>
          <w:szCs w:val="24"/>
        </w:rPr>
        <w:t xml:space="preserve">unless such Data and Information is explicitly excluded as a sharing obligation in this Section or exempted in a Market Participant Agreement.  </w:t>
      </w:r>
      <w:r w:rsidRPr="00352538">
        <w:rPr>
          <w:szCs w:val="24"/>
        </w:rPr>
        <w:t xml:space="preserve">Any such request </w:t>
      </w:r>
      <w:r>
        <w:rPr>
          <w:szCs w:val="24"/>
        </w:rPr>
        <w:t>will</w:t>
      </w:r>
      <w:r w:rsidRPr="00352538">
        <w:rPr>
          <w:szCs w:val="24"/>
        </w:rPr>
        <w:t xml:space="preserve"> be accompanied by an explanation of the need for such data or other information, a specification of the form or format in which the data is to be produced, and an </w:t>
      </w:r>
      <w:r>
        <w:rPr>
          <w:szCs w:val="24"/>
        </w:rPr>
        <w:t>acknowledgment</w:t>
      </w:r>
      <w:r w:rsidRPr="00352538">
        <w:rPr>
          <w:szCs w:val="24"/>
        </w:rPr>
        <w:t xml:space="preserve"> of the obligation of the Market Monitor to maintain the confidentiality of the data.  </w:t>
      </w:r>
    </w:p>
    <w:p w14:paraId="7D1A2115" w14:textId="591915C2" w:rsidR="00A734BE" w:rsidRPr="00352538" w:rsidRDefault="00A734BE" w:rsidP="00FE7AA5">
      <w:pPr>
        <w:spacing w:before="120" w:line="300" w:lineRule="auto"/>
        <w:rPr>
          <w:szCs w:val="24"/>
        </w:rPr>
      </w:pPr>
      <w:r w:rsidRPr="00352538">
        <w:rPr>
          <w:szCs w:val="24"/>
        </w:rPr>
        <w:t xml:space="preserve">If a Market Participant receiving a request for Data and Information not listed above or in the Market Monitoring section of these </w:t>
      </w:r>
      <w:r w:rsidR="00AF2B44">
        <w:rPr>
          <w:szCs w:val="24"/>
        </w:rPr>
        <w:t>P</w:t>
      </w:r>
      <w:r w:rsidRPr="00352538">
        <w:rPr>
          <w:szCs w:val="24"/>
        </w:rPr>
        <w:t xml:space="preserve">rotocols believes that production of the requested Data and Information would impose a substantial burden or expense, or would require the party to produce information that is not relevant to achieving the purposes or objectives of these </w:t>
      </w:r>
      <w:r w:rsidR="00AF2B44">
        <w:rPr>
          <w:szCs w:val="24"/>
        </w:rPr>
        <w:t>P</w:t>
      </w:r>
      <w:r w:rsidRPr="00352538">
        <w:rPr>
          <w:szCs w:val="24"/>
        </w:rPr>
        <w:t xml:space="preserve">rotocols, the Market Participant receiving the request </w:t>
      </w:r>
      <w:r>
        <w:rPr>
          <w:szCs w:val="24"/>
        </w:rPr>
        <w:t>should</w:t>
      </w:r>
      <w:r w:rsidRPr="00352538">
        <w:rPr>
          <w:szCs w:val="24"/>
        </w:rPr>
        <w:t xml:space="preserve"> promptly notify the Market Monitor.  The Market Monitor </w:t>
      </w:r>
      <w:r>
        <w:rPr>
          <w:szCs w:val="24"/>
        </w:rPr>
        <w:t>will</w:t>
      </w:r>
      <w:r w:rsidRPr="00352538">
        <w:rPr>
          <w:szCs w:val="24"/>
        </w:rPr>
        <w:t xml:space="preserve"> review the request with the receiving Market Participant to determine whether, without unduly compromising the objectives of these </w:t>
      </w:r>
      <w:r w:rsidR="00AF2B44">
        <w:rPr>
          <w:szCs w:val="24"/>
        </w:rPr>
        <w:t>P</w:t>
      </w:r>
      <w:r w:rsidRPr="00352538">
        <w:rPr>
          <w:szCs w:val="24"/>
        </w:rPr>
        <w:t xml:space="preserve">rotocols, the request can be narrowed or otherwise modified to reduce the burden or expense of compliance, and if so, </w:t>
      </w:r>
      <w:r>
        <w:rPr>
          <w:szCs w:val="24"/>
        </w:rPr>
        <w:t>will</w:t>
      </w:r>
      <w:r w:rsidRPr="00352538">
        <w:rPr>
          <w:szCs w:val="24"/>
        </w:rPr>
        <w:t xml:space="preserve"> so modify the request.  No party that is the subject of a data request </w:t>
      </w:r>
      <w:r>
        <w:rPr>
          <w:szCs w:val="24"/>
        </w:rPr>
        <w:t>will</w:t>
      </w:r>
      <w:r w:rsidRPr="00352538">
        <w:rPr>
          <w:szCs w:val="24"/>
        </w:rPr>
        <w:t xml:space="preserve"> be required to produce any summaries, analyses</w:t>
      </w:r>
      <w:r>
        <w:rPr>
          <w:szCs w:val="24"/>
        </w:rPr>
        <w:t>,</w:t>
      </w:r>
      <w:r w:rsidRPr="00352538">
        <w:rPr>
          <w:szCs w:val="24"/>
        </w:rPr>
        <w:t xml:space="preserve"> or reports of the data that do not exist at the time of the data request.</w:t>
      </w:r>
    </w:p>
    <w:p w14:paraId="6E740AEE" w14:textId="210FB02F" w:rsidR="00A734BE" w:rsidRPr="00352538" w:rsidRDefault="00A734BE" w:rsidP="00FE7AA5">
      <w:pPr>
        <w:spacing w:before="120" w:line="300" w:lineRule="auto"/>
        <w:rPr>
          <w:szCs w:val="24"/>
        </w:rPr>
      </w:pPr>
      <w:r w:rsidRPr="00352538">
        <w:rPr>
          <w:szCs w:val="24"/>
        </w:rPr>
        <w:t xml:space="preserve">If the Market Monitor determines that the requested Data and Information has not or will not be provided in a timely manner, the Market Monitor may utilize (a) </w:t>
      </w:r>
      <w:r>
        <w:rPr>
          <w:szCs w:val="24"/>
        </w:rPr>
        <w:t>the Market Operator’s</w:t>
      </w:r>
      <w:r w:rsidRPr="00352538">
        <w:rPr>
          <w:szCs w:val="24"/>
        </w:rPr>
        <w:t xml:space="preserve"> dispute resolution procedures in its Markets+ Tariff</w:t>
      </w:r>
      <w:r w:rsidR="00275FF6">
        <w:rPr>
          <w:szCs w:val="24"/>
        </w:rPr>
        <w:t>,</w:t>
      </w:r>
      <w:r w:rsidRPr="00352538">
        <w:rPr>
          <w:szCs w:val="24"/>
        </w:rPr>
        <w:t xml:space="preserve"> as applicable</w:t>
      </w:r>
      <w:r w:rsidR="00275FF6">
        <w:rPr>
          <w:szCs w:val="24"/>
        </w:rPr>
        <w:t>,</w:t>
      </w:r>
      <w:r w:rsidRPr="00352538">
        <w:rPr>
          <w:szCs w:val="24"/>
        </w:rPr>
        <w:t xml:space="preserve"> or (b) a filing with the appropriate regulatory or enforcement agency to compel the production of the requested information.</w:t>
      </w:r>
    </w:p>
    <w:p w14:paraId="74D42EB0" w14:textId="77777777" w:rsidR="00A734BE" w:rsidRPr="00352538" w:rsidRDefault="00A734BE" w:rsidP="00574EDE">
      <w:pPr>
        <w:pStyle w:val="Heading4"/>
        <w:rPr>
          <w:szCs w:val="24"/>
        </w:rPr>
      </w:pPr>
      <w:bookmarkStart w:id="8206" w:name="_Toc266869845"/>
      <w:bookmarkStart w:id="8207" w:name="_Toc159233565"/>
      <w:bookmarkStart w:id="8208" w:name="_Toc141100848"/>
      <w:bookmarkStart w:id="8209" w:name="_Toc213772135"/>
      <w:r w:rsidRPr="00352538">
        <w:t>Data Created by the Market Monitor</w:t>
      </w:r>
      <w:bookmarkEnd w:id="8206"/>
      <w:bookmarkEnd w:id="8207"/>
      <w:bookmarkEnd w:id="8208"/>
      <w:bookmarkEnd w:id="8209"/>
    </w:p>
    <w:p w14:paraId="0B101B3D" w14:textId="32649290" w:rsidR="00A734BE" w:rsidRPr="005972F3" w:rsidRDefault="00A734BE" w:rsidP="00FE7AA5">
      <w:pPr>
        <w:pStyle w:val="Normal322"/>
        <w:spacing w:before="120" w:after="120" w:line="300" w:lineRule="auto"/>
        <w:rPr>
          <w:sz w:val="22"/>
          <w:szCs w:val="24"/>
        </w:rPr>
      </w:pPr>
      <w:r w:rsidRPr="00F32558">
        <w:rPr>
          <w:szCs w:val="28"/>
        </w:rPr>
        <w:t xml:space="preserve">Any data created by the Market Monitor, including any reconfiguration of Data and Information under this section, will remain within the Market Monitor’s exclusive control.  Such data may be shared at the Market Monitor’s sole discretion and on a non-discriminatory basis, subject to the confidentiality provisions specified in </w:t>
      </w:r>
      <w:r w:rsidR="002A72F4">
        <w:rPr>
          <w:szCs w:val="28"/>
        </w:rPr>
        <w:t>Protocols and the Markets+ Tariff</w:t>
      </w:r>
      <w:r w:rsidRPr="00F32558">
        <w:rPr>
          <w:szCs w:val="28"/>
        </w:rPr>
        <w:t>.</w:t>
      </w:r>
    </w:p>
    <w:p w14:paraId="69618393" w14:textId="77777777" w:rsidR="00A734BE" w:rsidRDefault="00A734BE" w:rsidP="00574EDE">
      <w:pPr>
        <w:pStyle w:val="Heading4"/>
        <w:rPr>
          <w:szCs w:val="24"/>
        </w:rPr>
      </w:pPr>
      <w:bookmarkStart w:id="8210" w:name="_Toc213772136"/>
      <w:r>
        <w:t>Accuracy of Data and Information</w:t>
      </w:r>
      <w:bookmarkEnd w:id="8210"/>
    </w:p>
    <w:p w14:paraId="5D0181FB" w14:textId="77777777" w:rsidR="00A734BE" w:rsidRPr="000E2DC0" w:rsidRDefault="00A734BE" w:rsidP="00FE7AA5">
      <w:pPr>
        <w:spacing w:before="120" w:line="300" w:lineRule="auto"/>
        <w:rPr>
          <w:szCs w:val="24"/>
        </w:rPr>
      </w:pPr>
      <w:r w:rsidRPr="00E6100D">
        <w:rPr>
          <w:szCs w:val="24"/>
        </w:rPr>
        <w:t xml:space="preserve">A Market Participant must exercise due diligence and good utility practice in providing accurate and factual information, and not omit non-privileged material information, when responding to a written request from the Market Monitor for Data and Information.  The </w:t>
      </w:r>
      <w:r>
        <w:rPr>
          <w:szCs w:val="24"/>
        </w:rPr>
        <w:t>Market Monitor</w:t>
      </w:r>
      <w:r w:rsidRPr="00E6100D">
        <w:rPr>
          <w:szCs w:val="24"/>
        </w:rPr>
        <w:t xml:space="preserve"> will provide the Market Participant a reasonable amount of time to deliver the requested information depending on the amount of information requested and provide responses to questions on the scope of the written request from the Market Participant to the extent appropriate. In the event that the Market Participant becomes aware that there is an error in its response to the written request, the Market Participant will promptly notify the Market Monitor and work to correct the error in a timely manner.</w:t>
      </w:r>
    </w:p>
    <w:p w14:paraId="1DE46363" w14:textId="1E44309F" w:rsidR="00A734BE" w:rsidRPr="00E6100D" w:rsidRDefault="00400BAA" w:rsidP="00781C61">
      <w:pPr>
        <w:pStyle w:val="Heading3"/>
        <w:rPr>
          <w:szCs w:val="24"/>
        </w:rPr>
      </w:pPr>
      <w:bookmarkStart w:id="8211" w:name="_Toc263429626"/>
      <w:bookmarkStart w:id="8212" w:name="_Toc263795669"/>
      <w:bookmarkStart w:id="8213" w:name="_Toc265675916"/>
      <w:bookmarkStart w:id="8214" w:name="_Toc266869846"/>
      <w:bookmarkStart w:id="8215" w:name="_Toc262560970"/>
      <w:bookmarkStart w:id="8216" w:name="_Toc159233566"/>
      <w:bookmarkStart w:id="8217" w:name="_Toc141100849"/>
      <w:r>
        <w:t xml:space="preserve"> </w:t>
      </w:r>
      <w:bookmarkStart w:id="8218" w:name="_Toc213772137"/>
      <w:r w:rsidR="00A734BE" w:rsidRPr="00E6100D">
        <w:t>Miscellaneous Provisions</w:t>
      </w:r>
      <w:bookmarkEnd w:id="8211"/>
      <w:bookmarkEnd w:id="8212"/>
      <w:bookmarkEnd w:id="8213"/>
      <w:bookmarkEnd w:id="8214"/>
      <w:bookmarkEnd w:id="8215"/>
      <w:bookmarkEnd w:id="8216"/>
      <w:bookmarkEnd w:id="8217"/>
      <w:bookmarkEnd w:id="8218"/>
    </w:p>
    <w:p w14:paraId="5DC58157" w14:textId="77777777" w:rsidR="00A734BE" w:rsidRPr="00352538" w:rsidRDefault="00A734BE" w:rsidP="00574EDE">
      <w:pPr>
        <w:pStyle w:val="Heading4"/>
        <w:rPr>
          <w:szCs w:val="24"/>
        </w:rPr>
      </w:pPr>
      <w:bookmarkStart w:id="8219" w:name="_Toc263429627"/>
      <w:bookmarkStart w:id="8220" w:name="_Toc263795670"/>
      <w:bookmarkStart w:id="8221" w:name="_Toc265675917"/>
      <w:bookmarkStart w:id="8222" w:name="_Toc266869847"/>
      <w:bookmarkStart w:id="8223" w:name="_Toc159233567"/>
      <w:bookmarkStart w:id="8224" w:name="_Toc213772138"/>
      <w:r>
        <w:t xml:space="preserve">Market Operator and Market Participant </w:t>
      </w:r>
      <w:bookmarkStart w:id="8225" w:name="_Toc141100850"/>
      <w:r w:rsidRPr="00352538">
        <w:t>Rights and Remedies</w:t>
      </w:r>
      <w:bookmarkEnd w:id="8219"/>
      <w:bookmarkEnd w:id="8220"/>
      <w:bookmarkEnd w:id="8221"/>
      <w:bookmarkEnd w:id="8222"/>
      <w:bookmarkEnd w:id="8223"/>
      <w:bookmarkEnd w:id="8224"/>
      <w:bookmarkEnd w:id="8225"/>
    </w:p>
    <w:p w14:paraId="7CFFBF2B" w14:textId="77777777" w:rsidR="00A734BE" w:rsidRDefault="00A734BE" w:rsidP="00FE7AA5">
      <w:pPr>
        <w:spacing w:before="120" w:line="300" w:lineRule="auto"/>
        <w:rPr>
          <w:szCs w:val="24"/>
        </w:rPr>
      </w:pPr>
      <w:r w:rsidRPr="00B15DEE">
        <w:rPr>
          <w:szCs w:val="24"/>
        </w:rPr>
        <w:t xml:space="preserve">The Market Power Mitigation Plan does not restrict </w:t>
      </w:r>
      <w:r>
        <w:t>SPP</w:t>
      </w:r>
      <w:r w:rsidRPr="00B15DEE">
        <w:rPr>
          <w:szCs w:val="24"/>
        </w:rPr>
        <w:t xml:space="preserve"> and </w:t>
      </w:r>
      <w:r w:rsidRPr="00352538">
        <w:rPr>
          <w:szCs w:val="24"/>
        </w:rPr>
        <w:t>Market Participants from asserting any rights they may have under state and federal regulation and laws, including initiating proceedings before FERC regarding any matter which is subject to th</w:t>
      </w:r>
      <w:r>
        <w:rPr>
          <w:szCs w:val="24"/>
        </w:rPr>
        <w:t>e</w:t>
      </w:r>
      <w:r w:rsidRPr="00352538">
        <w:rPr>
          <w:szCs w:val="24"/>
        </w:rPr>
        <w:t xml:space="preserve"> </w:t>
      </w:r>
      <w:r w:rsidRPr="00B15DEE">
        <w:rPr>
          <w:szCs w:val="24"/>
        </w:rPr>
        <w:t xml:space="preserve">Market Power Mitigation </w:t>
      </w:r>
      <w:r w:rsidRPr="00352538">
        <w:rPr>
          <w:szCs w:val="24"/>
        </w:rPr>
        <w:t>Plan.</w:t>
      </w:r>
    </w:p>
    <w:p w14:paraId="7A55C948" w14:textId="77777777" w:rsidR="00A734BE" w:rsidRPr="00352538" w:rsidRDefault="00A734BE" w:rsidP="00574EDE">
      <w:pPr>
        <w:pStyle w:val="Heading4"/>
        <w:rPr>
          <w:szCs w:val="24"/>
        </w:rPr>
      </w:pPr>
      <w:bookmarkStart w:id="8226" w:name="_Toc263429628"/>
      <w:bookmarkStart w:id="8227" w:name="_Toc263795671"/>
      <w:bookmarkStart w:id="8228" w:name="_Toc265675918"/>
      <w:bookmarkStart w:id="8229" w:name="_Toc266869848"/>
      <w:bookmarkStart w:id="8230" w:name="_Toc159233568"/>
      <w:bookmarkStart w:id="8231" w:name="_Toc141100851"/>
      <w:bookmarkStart w:id="8232" w:name="_Ref212629475"/>
      <w:bookmarkStart w:id="8233" w:name="_Toc213772139"/>
      <w:r w:rsidRPr="00352538">
        <w:t>Disputes</w:t>
      </w:r>
      <w:bookmarkEnd w:id="8226"/>
      <w:bookmarkEnd w:id="8227"/>
      <w:bookmarkEnd w:id="8228"/>
      <w:bookmarkEnd w:id="8229"/>
      <w:bookmarkEnd w:id="8230"/>
      <w:bookmarkEnd w:id="8231"/>
      <w:bookmarkEnd w:id="8232"/>
      <w:bookmarkEnd w:id="8233"/>
    </w:p>
    <w:p w14:paraId="4817C851" w14:textId="6495C3D0" w:rsidR="00A734BE" w:rsidRPr="00261AF2" w:rsidRDefault="00A734BE" w:rsidP="00FE7AA5">
      <w:pPr>
        <w:spacing w:before="120" w:line="300" w:lineRule="auto"/>
        <w:rPr>
          <w:szCs w:val="24"/>
        </w:rPr>
      </w:pPr>
      <w:r w:rsidRPr="00261AF2">
        <w:rPr>
          <w:szCs w:val="24"/>
        </w:rPr>
        <w:t>Disputes as to the implementation of, or compliance with, th</w:t>
      </w:r>
      <w:r w:rsidR="00400BAA">
        <w:rPr>
          <w:szCs w:val="24"/>
        </w:rPr>
        <w:t>e</w:t>
      </w:r>
      <w:r w:rsidRPr="00261AF2">
        <w:rPr>
          <w:szCs w:val="24"/>
        </w:rPr>
        <w:t xml:space="preserve"> Plan </w:t>
      </w:r>
      <w:r>
        <w:rPr>
          <w:szCs w:val="24"/>
        </w:rPr>
        <w:t>are</w:t>
      </w:r>
      <w:r w:rsidRPr="00261AF2">
        <w:rPr>
          <w:szCs w:val="24"/>
        </w:rPr>
        <w:t xml:space="preserve"> subject to the dispute resolution procedures under </w:t>
      </w:r>
      <w:r>
        <w:rPr>
          <w:szCs w:val="24"/>
        </w:rPr>
        <w:t>the Markets+ Tariff</w:t>
      </w:r>
      <w:r w:rsidR="00275FF6">
        <w:rPr>
          <w:szCs w:val="24"/>
        </w:rPr>
        <w:t>,</w:t>
      </w:r>
      <w:r w:rsidRPr="00261AF2">
        <w:rPr>
          <w:szCs w:val="24"/>
        </w:rPr>
        <w:t xml:space="preserve"> as applicable</w:t>
      </w:r>
      <w:r w:rsidR="00275FF6">
        <w:rPr>
          <w:szCs w:val="24"/>
        </w:rPr>
        <w:t>,</w:t>
      </w:r>
      <w:r w:rsidRPr="00261AF2">
        <w:rPr>
          <w:szCs w:val="24"/>
        </w:rPr>
        <w:t xml:space="preserve"> or subject to review by FERC.</w:t>
      </w:r>
    </w:p>
    <w:p w14:paraId="536C9A53" w14:textId="77777777" w:rsidR="00A734BE" w:rsidRPr="00352538" w:rsidRDefault="00A734BE" w:rsidP="00574EDE">
      <w:pPr>
        <w:pStyle w:val="Heading4"/>
        <w:rPr>
          <w:szCs w:val="24"/>
        </w:rPr>
      </w:pPr>
      <w:bookmarkStart w:id="8234" w:name="_Toc263429629"/>
      <w:bookmarkStart w:id="8235" w:name="_Toc263795672"/>
      <w:bookmarkStart w:id="8236" w:name="_Toc265675919"/>
      <w:bookmarkStart w:id="8237" w:name="_Toc266869849"/>
      <w:bookmarkStart w:id="8238" w:name="_Toc159233569"/>
      <w:bookmarkStart w:id="8239" w:name="_Toc141100852"/>
      <w:bookmarkStart w:id="8240" w:name="_Toc213772140"/>
      <w:r w:rsidRPr="00352538">
        <w:t>Review of Market Monitor</w:t>
      </w:r>
      <w:bookmarkEnd w:id="8234"/>
      <w:bookmarkEnd w:id="8235"/>
      <w:bookmarkEnd w:id="8236"/>
      <w:bookmarkEnd w:id="8237"/>
      <w:bookmarkEnd w:id="8238"/>
      <w:bookmarkEnd w:id="8239"/>
      <w:bookmarkEnd w:id="8240"/>
    </w:p>
    <w:p w14:paraId="08694643" w14:textId="77777777" w:rsidR="00A734BE" w:rsidRPr="00352538" w:rsidRDefault="00A734BE" w:rsidP="00FE7AA5">
      <w:pPr>
        <w:spacing w:before="120" w:line="300" w:lineRule="auto"/>
        <w:rPr>
          <w:szCs w:val="24"/>
        </w:rPr>
      </w:pPr>
      <w:r w:rsidRPr="00352538">
        <w:rPr>
          <w:szCs w:val="24"/>
        </w:rPr>
        <w:t xml:space="preserve">The activities of the Market Monitor </w:t>
      </w:r>
      <w:r>
        <w:rPr>
          <w:szCs w:val="24"/>
        </w:rPr>
        <w:t>will</w:t>
      </w:r>
      <w:r w:rsidRPr="00352538">
        <w:rPr>
          <w:szCs w:val="24"/>
        </w:rPr>
        <w:t xml:space="preserve"> be reviewed from time to time by the Board of Directors.</w:t>
      </w:r>
    </w:p>
    <w:p w14:paraId="49B91F3A" w14:textId="77777777" w:rsidR="00A734BE" w:rsidRPr="00E6100D" w:rsidRDefault="00A734BE" w:rsidP="00FE7AA5">
      <w:pPr>
        <w:pStyle w:val="Heading2"/>
        <w:spacing w:before="120" w:after="120" w:line="300" w:lineRule="auto"/>
        <w:rPr>
          <w:sz w:val="24"/>
          <w:szCs w:val="24"/>
        </w:rPr>
      </w:pPr>
      <w:bookmarkStart w:id="8241" w:name="_Toc262560971"/>
      <w:bookmarkStart w:id="8242" w:name="_Toc263429630"/>
      <w:bookmarkStart w:id="8243" w:name="_Toc263795673"/>
      <w:bookmarkStart w:id="8244" w:name="_Toc265675920"/>
      <w:bookmarkStart w:id="8245" w:name="_Toc266869850"/>
      <w:bookmarkStart w:id="8246" w:name="_Ref349636338"/>
      <w:bookmarkStart w:id="8247" w:name="_Toc159233570"/>
      <w:bookmarkStart w:id="8248" w:name="_Toc141100853"/>
      <w:bookmarkStart w:id="8249" w:name="_Toc213772141"/>
      <w:r w:rsidRPr="00E6100D">
        <w:t>Market Power Mitigation</w:t>
      </w:r>
      <w:bookmarkEnd w:id="8241"/>
      <w:bookmarkEnd w:id="8242"/>
      <w:bookmarkEnd w:id="8243"/>
      <w:bookmarkEnd w:id="8244"/>
      <w:r w:rsidRPr="00E6100D">
        <w:t xml:space="preserve"> and Monitoring</w:t>
      </w:r>
      <w:bookmarkEnd w:id="8245"/>
      <w:bookmarkEnd w:id="8246"/>
      <w:bookmarkEnd w:id="8247"/>
      <w:bookmarkEnd w:id="8248"/>
      <w:bookmarkEnd w:id="8249"/>
    </w:p>
    <w:p w14:paraId="5DEFD853" w14:textId="77777777" w:rsidR="00A734BE" w:rsidRPr="00E6100D" w:rsidRDefault="00A734BE" w:rsidP="00781C61">
      <w:pPr>
        <w:pStyle w:val="Heading3"/>
        <w:rPr>
          <w:sz w:val="24"/>
          <w:szCs w:val="24"/>
        </w:rPr>
      </w:pPr>
      <w:bookmarkStart w:id="8250" w:name="_Toc263429631"/>
      <w:bookmarkStart w:id="8251" w:name="_Toc263795674"/>
      <w:bookmarkStart w:id="8252" w:name="_Toc265675921"/>
      <w:bookmarkStart w:id="8253" w:name="_Toc266869851"/>
      <w:bookmarkStart w:id="8254" w:name="_Toc159233571"/>
      <w:bookmarkStart w:id="8255" w:name="_Toc141100854"/>
      <w:bookmarkStart w:id="8256" w:name="_Toc213772142"/>
      <w:r w:rsidRPr="00E6100D">
        <w:t xml:space="preserve">Purpose and </w:t>
      </w:r>
      <w:r w:rsidRPr="00E6100D">
        <w:rPr>
          <w:sz w:val="24"/>
          <w:szCs w:val="24"/>
        </w:rPr>
        <w:t>Objectives</w:t>
      </w:r>
      <w:bookmarkEnd w:id="8250"/>
      <w:bookmarkEnd w:id="8251"/>
      <w:bookmarkEnd w:id="8252"/>
      <w:bookmarkEnd w:id="8253"/>
      <w:bookmarkEnd w:id="8254"/>
      <w:bookmarkEnd w:id="8255"/>
      <w:bookmarkEnd w:id="8256"/>
    </w:p>
    <w:p w14:paraId="554AC357" w14:textId="77777777" w:rsidR="00A734BE" w:rsidRPr="00CF0698" w:rsidRDefault="00A734BE" w:rsidP="00FE7AA5">
      <w:pPr>
        <w:spacing w:before="120" w:line="300" w:lineRule="auto"/>
        <w:rPr>
          <w:szCs w:val="24"/>
        </w:rPr>
      </w:pPr>
      <w:r w:rsidRPr="00CF0698">
        <w:rPr>
          <w:szCs w:val="24"/>
        </w:rPr>
        <w:t>The Market Operator will implement these Market Mitigation Protocols in conjunction with the Market Mitigation Plan in Attachment B of the Markets+ Tariff.</w:t>
      </w:r>
    </w:p>
    <w:p w14:paraId="3034BC9E" w14:textId="2A9F0D85" w:rsidR="00A734BE" w:rsidRPr="00CF0698" w:rsidRDefault="00A734BE" w:rsidP="00FE7AA5">
      <w:pPr>
        <w:spacing w:before="120" w:line="300" w:lineRule="auto"/>
        <w:rPr>
          <w:szCs w:val="24"/>
        </w:rPr>
      </w:pPr>
      <w:r w:rsidRPr="00CF0698">
        <w:rPr>
          <w:szCs w:val="24"/>
        </w:rPr>
        <w:t>Mitigation measures aim to alleviate market outcomes that deviate from competitive levels. In this regard, offer and bid practices that result in economic withholding, physical withholding</w:t>
      </w:r>
      <w:r w:rsidR="00146185">
        <w:rPr>
          <w:szCs w:val="24"/>
        </w:rPr>
        <w:t>,</w:t>
      </w:r>
      <w:r w:rsidRPr="00CF0698">
        <w:rPr>
          <w:szCs w:val="24"/>
        </w:rPr>
        <w:t xml:space="preserve"> and uneconomic production are addressed via the measures outlined below. </w:t>
      </w:r>
    </w:p>
    <w:p w14:paraId="7234D555" w14:textId="77777777" w:rsidR="00A734BE" w:rsidRPr="00E6100D" w:rsidRDefault="00A734BE" w:rsidP="00781C61">
      <w:pPr>
        <w:pStyle w:val="Heading3"/>
        <w:rPr>
          <w:szCs w:val="24"/>
        </w:rPr>
      </w:pPr>
      <w:bookmarkStart w:id="8257" w:name="_Toc262560973"/>
      <w:bookmarkStart w:id="8258" w:name="_Toc263429632"/>
      <w:bookmarkStart w:id="8259" w:name="_Toc263795675"/>
      <w:bookmarkStart w:id="8260" w:name="_Toc265675922"/>
      <w:bookmarkStart w:id="8261" w:name="_Toc266869852"/>
      <w:bookmarkStart w:id="8262" w:name="_Toc159233572"/>
      <w:bookmarkStart w:id="8263" w:name="_Toc213772143"/>
      <w:r w:rsidRPr="00D940C9">
        <w:t xml:space="preserve">Mitigation Measures for </w:t>
      </w:r>
      <w:bookmarkStart w:id="8264" w:name="_Toc141100855"/>
      <w:r w:rsidRPr="00D940C9">
        <w:t>Economic Withholding</w:t>
      </w:r>
      <w:bookmarkEnd w:id="8264"/>
      <w:r w:rsidRPr="00D940C9">
        <w:t xml:space="preserve"> – Market Power in Energy and Flexibility Reserve Products</w:t>
      </w:r>
      <w:bookmarkEnd w:id="8257"/>
      <w:bookmarkEnd w:id="8258"/>
      <w:bookmarkEnd w:id="8259"/>
      <w:bookmarkEnd w:id="8260"/>
      <w:bookmarkEnd w:id="8261"/>
      <w:bookmarkEnd w:id="8262"/>
      <w:bookmarkEnd w:id="8263"/>
    </w:p>
    <w:p w14:paraId="6FE91935" w14:textId="33FB9B42" w:rsidR="00A734BE" w:rsidRPr="00CF0698" w:rsidRDefault="00A734BE" w:rsidP="00FE7AA5">
      <w:pPr>
        <w:spacing w:before="120" w:line="300" w:lineRule="auto"/>
        <w:rPr>
          <w:szCs w:val="24"/>
        </w:rPr>
      </w:pPr>
      <w:r w:rsidRPr="00CF0698">
        <w:rPr>
          <w:szCs w:val="24"/>
        </w:rPr>
        <w:t>This section develops the market power mitigation measures that are applied to the Day-Ahead Market, Reliability Unit Commitment processes, and the Real-Time Balancing Energy Markets, collectively referred to as Markets+.</w:t>
      </w:r>
    </w:p>
    <w:p w14:paraId="5C7905DB" w14:textId="77777777" w:rsidR="00A734BE" w:rsidRPr="00A108B9" w:rsidRDefault="00A734BE" w:rsidP="00574EDE">
      <w:pPr>
        <w:pStyle w:val="Heading4"/>
      </w:pPr>
      <w:bookmarkStart w:id="8265" w:name="_Toc263795677"/>
      <w:bookmarkStart w:id="8266" w:name="_Ref272785013"/>
      <w:bookmarkStart w:id="8267" w:name="_Toc309309696"/>
      <w:bookmarkStart w:id="8268" w:name="_Toc159233573"/>
      <w:bookmarkStart w:id="8269" w:name="_Toc141100856"/>
      <w:bookmarkStart w:id="8270" w:name="_Toc213772144"/>
      <w:r w:rsidRPr="00261AF2">
        <w:t>Mitigate Only in the Presence of Market Power</w:t>
      </w:r>
      <w:bookmarkEnd w:id="8265"/>
      <w:bookmarkEnd w:id="8266"/>
      <w:bookmarkEnd w:id="8267"/>
      <w:bookmarkEnd w:id="8268"/>
      <w:bookmarkEnd w:id="8269"/>
      <w:bookmarkEnd w:id="8270"/>
    </w:p>
    <w:p w14:paraId="29E28949" w14:textId="77777777" w:rsidR="00A734BE" w:rsidRPr="00CF0698" w:rsidRDefault="00A734BE" w:rsidP="00FE7AA5">
      <w:pPr>
        <w:spacing w:before="120" w:line="300" w:lineRule="auto"/>
        <w:rPr>
          <w:szCs w:val="24"/>
        </w:rPr>
      </w:pPr>
      <w:r w:rsidRPr="00CF0698">
        <w:rPr>
          <w:szCs w:val="24"/>
        </w:rPr>
        <w:t>An electricity marketplace should not typically require market power mitigation under competitive conditions, including (i) an adequate supply of energy and diversity of suppliers, (ii) sufficient liquidity, and (iii) an absence of out-of-market conditions or congestion on the transmission system that create the potential for abuse of market power.  If these conditions are not met, mitigation measures are applied to limit the abuse of market power.  Mitigation will be applied only when and where market power is determined to be present.</w:t>
      </w:r>
    </w:p>
    <w:p w14:paraId="72B9907B" w14:textId="77777777" w:rsidR="00A734BE" w:rsidRPr="00352538" w:rsidRDefault="00A734BE" w:rsidP="00A310BF">
      <w:pPr>
        <w:spacing w:before="120" w:line="300" w:lineRule="auto"/>
        <w:rPr>
          <w:szCs w:val="24"/>
        </w:rPr>
      </w:pPr>
    </w:p>
    <w:p w14:paraId="53E8AC27" w14:textId="77777777" w:rsidR="00A734BE" w:rsidRPr="00352538" w:rsidRDefault="00A734BE" w:rsidP="00574EDE">
      <w:pPr>
        <w:pStyle w:val="Heading4"/>
        <w:rPr>
          <w:szCs w:val="24"/>
        </w:rPr>
      </w:pPr>
      <w:bookmarkStart w:id="8271" w:name="_Toc263429634"/>
      <w:bookmarkStart w:id="8272" w:name="_Toc263795679"/>
      <w:bookmarkStart w:id="8273" w:name="_Toc265675924"/>
      <w:bookmarkStart w:id="8274" w:name="_Toc266869854"/>
      <w:bookmarkStart w:id="8275" w:name="_Ref323550357"/>
      <w:bookmarkStart w:id="8276" w:name="_Toc159233574"/>
      <w:bookmarkStart w:id="8277" w:name="_Toc141100857"/>
      <w:bookmarkStart w:id="8278" w:name="_Toc213772145"/>
      <w:r>
        <w:t>Mitigation Measure</w:t>
      </w:r>
      <w:bookmarkEnd w:id="8271"/>
      <w:bookmarkEnd w:id="8272"/>
      <w:r>
        <w:t>s</w:t>
      </w:r>
      <w:bookmarkEnd w:id="8273"/>
      <w:bookmarkEnd w:id="8274"/>
      <w:bookmarkEnd w:id="8275"/>
      <w:bookmarkEnd w:id="8276"/>
      <w:bookmarkEnd w:id="8277"/>
      <w:bookmarkEnd w:id="8278"/>
    </w:p>
    <w:p w14:paraId="20213C8C" w14:textId="42364322" w:rsidR="00A734BE" w:rsidRPr="00CF0698" w:rsidRDefault="00A734BE" w:rsidP="00A310BF">
      <w:pPr>
        <w:spacing w:before="120" w:line="300" w:lineRule="auto"/>
        <w:rPr>
          <w:szCs w:val="24"/>
        </w:rPr>
      </w:pPr>
      <w:r w:rsidRPr="00CF0698">
        <w:rPr>
          <w:szCs w:val="24"/>
        </w:rPr>
        <w:t xml:space="preserve">The following Resource Offer parameters are subject to mitigation measures in the Day-Ahead Market, RTBM, and the RUC processes:  the Energy Offer Curves and Flexibility Reserve Product Offers that are used for SCED calculations; and the Energy Offer Curves, Flexibility Reserve Product Offers, </w:t>
      </w:r>
      <w:r w:rsidRPr="00CF0698">
        <w:rPr>
          <w:bCs/>
          <w:szCs w:val="24"/>
        </w:rPr>
        <w:t xml:space="preserve">Transition State Offers, </w:t>
      </w:r>
      <w:r w:rsidRPr="00CF0698">
        <w:rPr>
          <w:szCs w:val="24"/>
        </w:rPr>
        <w:t xml:space="preserve">Start-Up Offers, and No-Load Offers used to determine commitment costs during the SCUC calculations.  A determination of Resources that have market power is described in Section </w:t>
      </w:r>
      <w:r w:rsidR="00D828AB">
        <w:rPr>
          <w:szCs w:val="24"/>
        </w:rPr>
        <w:fldChar w:fldCharType="begin"/>
      </w:r>
      <w:r w:rsidR="00D828AB">
        <w:rPr>
          <w:szCs w:val="24"/>
        </w:rPr>
        <w:instrText xml:space="preserve"> REF _Ref212627988 \r \h </w:instrText>
      </w:r>
      <w:r w:rsidR="00D828AB">
        <w:rPr>
          <w:szCs w:val="24"/>
        </w:rPr>
      </w:r>
      <w:r w:rsidR="00D828AB">
        <w:rPr>
          <w:szCs w:val="24"/>
        </w:rPr>
        <w:fldChar w:fldCharType="separate"/>
      </w:r>
      <w:r w:rsidR="00D828AB">
        <w:rPr>
          <w:szCs w:val="24"/>
        </w:rPr>
        <w:t>11.1.4.3</w:t>
      </w:r>
      <w:r w:rsidR="00D828AB">
        <w:rPr>
          <w:szCs w:val="24"/>
        </w:rPr>
        <w:fldChar w:fldCharType="end"/>
      </w:r>
      <w:r w:rsidRPr="00CF0698">
        <w:rPr>
          <w:szCs w:val="24"/>
        </w:rPr>
        <w:t xml:space="preserve">.  A Resource with mitigation measures applied to its Energy Offer Curve must have an effective </w:t>
      </w:r>
      <w:r w:rsidR="00146185">
        <w:rPr>
          <w:szCs w:val="24"/>
        </w:rPr>
        <w:t>E</w:t>
      </w:r>
      <w:r w:rsidRPr="00CF0698">
        <w:rPr>
          <w:szCs w:val="24"/>
        </w:rPr>
        <w:t>nergy offer no higher than the Resource’s Mitigated Energy Offer Curve. A Resource with mitigation measures applied to one of its Flexibility Reserve Product Offers must have an effective offer no higher than the Resource’s corresponding Flexibility Reserve Product mitigated offer. A Resource with mitigation measures applied to its Start-Up Offer or No-Load Offer will be capped at the Mitigated Start-</w:t>
      </w:r>
      <w:r w:rsidR="00775676">
        <w:rPr>
          <w:szCs w:val="24"/>
        </w:rPr>
        <w:t>U</w:t>
      </w:r>
      <w:r w:rsidRPr="00CF0698">
        <w:rPr>
          <w:szCs w:val="24"/>
        </w:rPr>
        <w:t xml:space="preserve">p Offer or No-Load Offer, respectively, in the calculation of an effective commitment cost for the SCUC.  The effective </w:t>
      </w:r>
      <w:r w:rsidR="00146185">
        <w:rPr>
          <w:szCs w:val="24"/>
        </w:rPr>
        <w:t>E</w:t>
      </w:r>
      <w:r w:rsidRPr="00CF0698">
        <w:rPr>
          <w:szCs w:val="24"/>
        </w:rPr>
        <w:t>nergy and Flexibility Reserve Product Offers and commitment cost</w:t>
      </w:r>
      <w:r w:rsidR="00146185">
        <w:rPr>
          <w:szCs w:val="24"/>
        </w:rPr>
        <w:t>s</w:t>
      </w:r>
      <w:r w:rsidRPr="00CF0698">
        <w:rPr>
          <w:szCs w:val="24"/>
        </w:rPr>
        <w:t xml:space="preserve"> are used by the Market Operating System to determine unit commitment and prices.  The effective </w:t>
      </w:r>
      <w:r w:rsidR="00146185">
        <w:rPr>
          <w:szCs w:val="24"/>
        </w:rPr>
        <w:t>E</w:t>
      </w:r>
      <w:r w:rsidRPr="00CF0698">
        <w:rPr>
          <w:szCs w:val="24"/>
        </w:rPr>
        <w:t>nergy and Flexibility Reserve Product Offers and commitment cost</w:t>
      </w:r>
      <w:r w:rsidR="00146185">
        <w:rPr>
          <w:szCs w:val="24"/>
        </w:rPr>
        <w:t>s</w:t>
      </w:r>
      <w:r w:rsidRPr="00CF0698">
        <w:rPr>
          <w:szCs w:val="24"/>
        </w:rPr>
        <w:t xml:space="preserve"> are also used in the determination of Day-Ahead and RUC make whole payments.  Whenever a Market Participant has a Resource(s) where a mitigation measure has been applied to its </w:t>
      </w:r>
      <w:r w:rsidR="00146185">
        <w:rPr>
          <w:szCs w:val="24"/>
        </w:rPr>
        <w:t>O</w:t>
      </w:r>
      <w:r w:rsidRPr="00CF0698">
        <w:rPr>
          <w:szCs w:val="24"/>
        </w:rPr>
        <w:t xml:space="preserve">ffer(s), the Market Operator will identify the </w:t>
      </w:r>
      <w:r w:rsidR="00B30FDC">
        <w:rPr>
          <w:szCs w:val="24"/>
        </w:rPr>
        <w:t>O</w:t>
      </w:r>
      <w:r w:rsidRPr="00CF0698">
        <w:rPr>
          <w:szCs w:val="24"/>
        </w:rPr>
        <w:t xml:space="preserve">ffer(s) that have been mitigated and whether the </w:t>
      </w:r>
      <w:r w:rsidR="00B30FDC">
        <w:rPr>
          <w:szCs w:val="24"/>
        </w:rPr>
        <w:t>O</w:t>
      </w:r>
      <w:r w:rsidRPr="00CF0698">
        <w:rPr>
          <w:szCs w:val="24"/>
        </w:rPr>
        <w:t xml:space="preserve">ffer(s) were mitigated in SCUC </w:t>
      </w:r>
      <w:r w:rsidRPr="00CF0698" w:rsidDel="0046151A">
        <w:rPr>
          <w:szCs w:val="24"/>
        </w:rPr>
        <w:t>and/or</w:t>
      </w:r>
      <w:r w:rsidRPr="00CF0698">
        <w:rPr>
          <w:szCs w:val="24"/>
        </w:rPr>
        <w:t xml:space="preserve"> SCED. The Market Operator will supply the Market Participant with the reason for mitigation, (market power failure test, analysis of constraints in the market, or other test failures) where a mitigation measure has been applied.  If the mitigation is associated with the Market Power Test, the Market Operator will also provide the Market Participant, when applicable, with the binding transmission constraint and Resource-to-Load Distribution </w:t>
      </w:r>
      <w:r w:rsidR="00122363">
        <w:rPr>
          <w:szCs w:val="24"/>
        </w:rPr>
        <w:t>F</w:t>
      </w:r>
      <w:r w:rsidRPr="00CF0698">
        <w:rPr>
          <w:szCs w:val="24"/>
        </w:rPr>
        <w:t>actor.</w:t>
      </w:r>
    </w:p>
    <w:p w14:paraId="361C7B4F" w14:textId="77777777" w:rsidR="00A734BE" w:rsidRPr="00A93CD4" w:rsidRDefault="00A734BE" w:rsidP="00574EDE">
      <w:pPr>
        <w:pStyle w:val="Heading4"/>
      </w:pPr>
      <w:bookmarkStart w:id="8279" w:name="_Ref212559671"/>
      <w:bookmarkStart w:id="8280" w:name="_Toc213772146"/>
      <w:r w:rsidRPr="1E342A31">
        <w:t>Mitigated Offer Calculation Methodology</w:t>
      </w:r>
      <w:bookmarkEnd w:id="8279"/>
      <w:bookmarkEnd w:id="8280"/>
      <w:r w:rsidRPr="1E342A31">
        <w:t xml:space="preserve"> </w:t>
      </w:r>
    </w:p>
    <w:p w14:paraId="7DB3653B" w14:textId="48F2AE46" w:rsidR="00A734BE" w:rsidRDefault="00A734BE" w:rsidP="00A310BF">
      <w:pPr>
        <w:pStyle w:val="Normal269"/>
        <w:spacing w:before="120" w:after="120" w:line="300" w:lineRule="auto"/>
        <w:jc w:val="both"/>
        <w:rPr>
          <w:szCs w:val="20"/>
        </w:rPr>
      </w:pPr>
      <w:r w:rsidRPr="00A93CD4">
        <w:rPr>
          <w:szCs w:val="20"/>
        </w:rPr>
        <w:t xml:space="preserve">Market Participants must submit a </w:t>
      </w:r>
      <w:r w:rsidR="001441AC">
        <w:rPr>
          <w:szCs w:val="20"/>
        </w:rPr>
        <w:t>M</w:t>
      </w:r>
      <w:r w:rsidRPr="00A93CD4">
        <w:rPr>
          <w:szCs w:val="20"/>
        </w:rPr>
        <w:t xml:space="preserve">itigated </w:t>
      </w:r>
      <w:r w:rsidR="001441AC">
        <w:rPr>
          <w:szCs w:val="20"/>
        </w:rPr>
        <w:t>O</w:t>
      </w:r>
      <w:r w:rsidRPr="00A93CD4">
        <w:rPr>
          <w:szCs w:val="20"/>
        </w:rPr>
        <w:t xml:space="preserve">ffer </w:t>
      </w:r>
      <w:r w:rsidR="001441AC">
        <w:rPr>
          <w:szCs w:val="20"/>
        </w:rPr>
        <w:t>Development</w:t>
      </w:r>
      <w:r w:rsidR="001441AC" w:rsidRPr="00A93CD4">
        <w:rPr>
          <w:szCs w:val="20"/>
        </w:rPr>
        <w:t xml:space="preserve"> </w:t>
      </w:r>
      <w:r w:rsidR="001441AC">
        <w:rPr>
          <w:szCs w:val="20"/>
        </w:rPr>
        <w:t>M</w:t>
      </w:r>
      <w:r w:rsidRPr="00A93CD4">
        <w:rPr>
          <w:szCs w:val="20"/>
        </w:rPr>
        <w:t xml:space="preserve">ethodology, including accurate cost data </w:t>
      </w:r>
      <w:r w:rsidRPr="00A93CD4" w:rsidDel="0046151A">
        <w:rPr>
          <w:szCs w:val="20"/>
        </w:rPr>
        <w:t>and</w:t>
      </w:r>
      <w:r w:rsidDel="0046151A">
        <w:rPr>
          <w:szCs w:val="20"/>
        </w:rPr>
        <w:t>/or</w:t>
      </w:r>
      <w:r>
        <w:rPr>
          <w:szCs w:val="20"/>
        </w:rPr>
        <w:t xml:space="preserve"> </w:t>
      </w:r>
      <w:r w:rsidRPr="00A93CD4">
        <w:rPr>
          <w:szCs w:val="20"/>
        </w:rPr>
        <w:t>verifiable supporting documentation</w:t>
      </w:r>
      <w:r>
        <w:rPr>
          <w:szCs w:val="20"/>
        </w:rPr>
        <w:t>,</w:t>
      </w:r>
      <w:r w:rsidRPr="00A93CD4">
        <w:rPr>
          <w:szCs w:val="20"/>
        </w:rPr>
        <w:t xml:space="preserve"> </w:t>
      </w:r>
      <w:r>
        <w:rPr>
          <w:szCs w:val="20"/>
        </w:rPr>
        <w:t xml:space="preserve">as applicable, </w:t>
      </w:r>
      <w:r w:rsidRPr="00A93CD4">
        <w:rPr>
          <w:szCs w:val="20"/>
        </w:rPr>
        <w:t xml:space="preserve">sufficient to replicate the </w:t>
      </w:r>
      <w:r>
        <w:rPr>
          <w:szCs w:val="20"/>
        </w:rPr>
        <w:t>M</w:t>
      </w:r>
      <w:r w:rsidRPr="00A93CD4">
        <w:rPr>
          <w:szCs w:val="20"/>
        </w:rPr>
        <w:t xml:space="preserve">itigated </w:t>
      </w:r>
      <w:r>
        <w:rPr>
          <w:szCs w:val="20"/>
        </w:rPr>
        <w:t>E</w:t>
      </w:r>
      <w:r w:rsidRPr="00A93CD4">
        <w:rPr>
          <w:szCs w:val="20"/>
        </w:rPr>
        <w:t xml:space="preserve">nergy </w:t>
      </w:r>
      <w:r>
        <w:rPr>
          <w:szCs w:val="20"/>
        </w:rPr>
        <w:t>O</w:t>
      </w:r>
      <w:r w:rsidRPr="00A93CD4">
        <w:rPr>
          <w:szCs w:val="20"/>
        </w:rPr>
        <w:t xml:space="preserve">ffer </w:t>
      </w:r>
      <w:r>
        <w:rPr>
          <w:szCs w:val="20"/>
        </w:rPr>
        <w:t>C</w:t>
      </w:r>
      <w:r w:rsidRPr="00A93CD4">
        <w:rPr>
          <w:szCs w:val="20"/>
        </w:rPr>
        <w:t>urve</w:t>
      </w:r>
      <w:r>
        <w:rPr>
          <w:szCs w:val="20"/>
        </w:rPr>
        <w:t xml:space="preserve"> </w:t>
      </w:r>
      <w:r w:rsidRPr="00A93CD4">
        <w:rPr>
          <w:szCs w:val="20"/>
        </w:rPr>
        <w:t>to the Market Monitor for approval for each Resource.  Market Participants must keep the methodology up to date.  Mitigated offers</w:t>
      </w:r>
      <w:r>
        <w:rPr>
          <w:szCs w:val="20"/>
        </w:rPr>
        <w:t>, including components reflecting</w:t>
      </w:r>
      <w:r w:rsidRPr="00A93CD4">
        <w:rPr>
          <w:szCs w:val="20"/>
        </w:rPr>
        <w:t xml:space="preserve"> the </w:t>
      </w:r>
      <w:r>
        <w:rPr>
          <w:szCs w:val="20"/>
        </w:rPr>
        <w:t>costs of compliance with greenhouse gas programs,</w:t>
      </w:r>
      <w:r w:rsidRPr="00A93CD4">
        <w:rPr>
          <w:szCs w:val="20"/>
        </w:rPr>
        <w:t xml:space="preserve"> must be calculated according to the approved methodology.  </w:t>
      </w:r>
    </w:p>
    <w:p w14:paraId="2C10E211" w14:textId="1DF1541D" w:rsidR="00A734BE" w:rsidRPr="00A93CD4" w:rsidRDefault="00A734BE" w:rsidP="00A310BF">
      <w:pPr>
        <w:pStyle w:val="Normal269"/>
        <w:spacing w:before="120" w:after="120" w:line="300" w:lineRule="auto"/>
        <w:jc w:val="both"/>
        <w:rPr>
          <w:szCs w:val="20"/>
        </w:rPr>
      </w:pPr>
      <w:r w:rsidRPr="00A93CD4">
        <w:rPr>
          <w:szCs w:val="20"/>
        </w:rPr>
        <w:t xml:space="preserve">For a new Market Participant registering a new Resource in the market, the Market Participant must submit the methodology no less than 120 </w:t>
      </w:r>
      <w:r>
        <w:rPr>
          <w:szCs w:val="20"/>
        </w:rPr>
        <w:t>Calendar D</w:t>
      </w:r>
      <w:r w:rsidRPr="00A93CD4">
        <w:rPr>
          <w:szCs w:val="20"/>
        </w:rPr>
        <w:t xml:space="preserve">ays before its first offer.  For an existing Market Participant registering a new Resource, the Market Participant must submit the methodology no less than thirty (30) </w:t>
      </w:r>
      <w:r>
        <w:rPr>
          <w:szCs w:val="20"/>
        </w:rPr>
        <w:t>C</w:t>
      </w:r>
      <w:r w:rsidRPr="00A93CD4">
        <w:rPr>
          <w:szCs w:val="20"/>
        </w:rPr>
        <w:t xml:space="preserve">alendar </w:t>
      </w:r>
      <w:r>
        <w:rPr>
          <w:szCs w:val="20"/>
        </w:rPr>
        <w:t>D</w:t>
      </w:r>
      <w:r w:rsidRPr="00A93CD4">
        <w:rPr>
          <w:szCs w:val="20"/>
        </w:rPr>
        <w:t xml:space="preserve">ays before its first offer. If the Market Monitor communicates to a Market Participant that a methodology is not approved, the Market Monitor will identify the reasons, and the Market Participant must re-submit as soon as practicable.  The methodology is effective beginning on the Operating Day following Market Monitor approval.  If the Market Monitor does not respond to a submitted methodology in fifteen (15) </w:t>
      </w:r>
      <w:r>
        <w:rPr>
          <w:szCs w:val="20"/>
        </w:rPr>
        <w:t>C</w:t>
      </w:r>
      <w:r w:rsidRPr="00A93CD4">
        <w:rPr>
          <w:szCs w:val="20"/>
        </w:rPr>
        <w:t xml:space="preserve">alendar </w:t>
      </w:r>
      <w:r>
        <w:rPr>
          <w:szCs w:val="20"/>
        </w:rPr>
        <w:t>D</w:t>
      </w:r>
      <w:r w:rsidRPr="00A93CD4">
        <w:rPr>
          <w:szCs w:val="20"/>
        </w:rPr>
        <w:t>ays, then the submitted methodology is allowed until the Market Monitor communicates otherwise.</w:t>
      </w:r>
    </w:p>
    <w:p w14:paraId="1EBD7873" w14:textId="77777777" w:rsidR="00A734BE" w:rsidRPr="00A93CD4" w:rsidRDefault="00A734BE" w:rsidP="00A310BF">
      <w:pPr>
        <w:pStyle w:val="Normal269"/>
        <w:spacing w:before="120" w:after="120" w:line="300" w:lineRule="auto"/>
        <w:ind w:left="720" w:hanging="720"/>
        <w:jc w:val="both"/>
        <w:rPr>
          <w:szCs w:val="20"/>
        </w:rPr>
      </w:pPr>
    </w:p>
    <w:p w14:paraId="65C2982F" w14:textId="77777777" w:rsidR="00A734BE" w:rsidRPr="00352538" w:rsidRDefault="00A734BE" w:rsidP="00574EDE">
      <w:pPr>
        <w:pStyle w:val="Heading4"/>
        <w:rPr>
          <w:szCs w:val="24"/>
        </w:rPr>
      </w:pPr>
      <w:bookmarkStart w:id="8281" w:name="_Ref323550152"/>
      <w:bookmarkStart w:id="8282" w:name="_Toc159233575"/>
      <w:bookmarkStart w:id="8283" w:name="_Toc141100858"/>
      <w:bookmarkStart w:id="8284" w:name="_Toc213772147"/>
      <w:r>
        <w:t>Mitigation Measures for Energy Offer Curves</w:t>
      </w:r>
      <w:bookmarkEnd w:id="8281"/>
      <w:bookmarkEnd w:id="8282"/>
      <w:bookmarkEnd w:id="8283"/>
      <w:bookmarkEnd w:id="8284"/>
    </w:p>
    <w:p w14:paraId="75553D0E" w14:textId="77777777" w:rsidR="00A734BE" w:rsidRDefault="00A734BE" w:rsidP="00A310BF">
      <w:pPr>
        <w:numPr>
          <w:ilvl w:val="0"/>
          <w:numId w:val="253"/>
        </w:numPr>
        <w:spacing w:before="120" w:line="300" w:lineRule="auto"/>
        <w:rPr>
          <w:szCs w:val="24"/>
        </w:rPr>
      </w:pPr>
      <w:r w:rsidRPr="00261AF2">
        <w:rPr>
          <w:szCs w:val="24"/>
        </w:rPr>
        <w:t>Mitigated Energy Offer Curves</w:t>
      </w:r>
      <w:r w:rsidRPr="35E115C0">
        <w:rPr>
          <w:szCs w:val="24"/>
        </w:rPr>
        <w:t xml:space="preserve"> </w:t>
      </w:r>
      <w:r>
        <w:rPr>
          <w:szCs w:val="24"/>
        </w:rPr>
        <w:t>must</w:t>
      </w:r>
      <w:r w:rsidRPr="00261AF2">
        <w:rPr>
          <w:szCs w:val="24"/>
        </w:rPr>
        <w:t xml:space="preserve"> be submitted on a daily basis by the Market Participant in accordance with the Mitigated Offer Development Guidelines.  </w:t>
      </w:r>
    </w:p>
    <w:p w14:paraId="62143732" w14:textId="43A25EAB" w:rsidR="00A734BE" w:rsidRDefault="00A734BE" w:rsidP="00A310BF">
      <w:pPr>
        <w:numPr>
          <w:ilvl w:val="1"/>
          <w:numId w:val="253"/>
        </w:numPr>
        <w:spacing w:before="120" w:line="300" w:lineRule="auto"/>
        <w:rPr>
          <w:szCs w:val="24"/>
        </w:rPr>
      </w:pPr>
      <w:r w:rsidRPr="00261AF2">
        <w:rPr>
          <w:szCs w:val="24"/>
        </w:rPr>
        <w:t>For Multi-Configuration Resources (MCR</w:t>
      </w:r>
      <w:r w:rsidR="00AD2140">
        <w:rPr>
          <w:szCs w:val="24"/>
        </w:rPr>
        <w:t>s</w:t>
      </w:r>
      <w:r w:rsidRPr="00261AF2">
        <w:rPr>
          <w:szCs w:val="24"/>
        </w:rPr>
        <w:t>)</w:t>
      </w:r>
      <w:r w:rsidRPr="35E115C0">
        <w:rPr>
          <w:szCs w:val="24"/>
        </w:rPr>
        <w:t xml:space="preserve"> </w:t>
      </w:r>
      <w:r w:rsidRPr="00261AF2">
        <w:rPr>
          <w:szCs w:val="24"/>
        </w:rPr>
        <w:t xml:space="preserve">for which a single configuration allows physical units to be swapped (e.g., Combustion Turbine 2 for Combustion Turbine 1), the costs used in the mitigated offer development for that configuration </w:t>
      </w:r>
      <w:r>
        <w:rPr>
          <w:szCs w:val="24"/>
        </w:rPr>
        <w:t>will</w:t>
      </w:r>
      <w:r w:rsidRPr="00261AF2">
        <w:rPr>
          <w:szCs w:val="24"/>
        </w:rPr>
        <w:t xml:space="preserve"> be those of the least cost physical unit that is available and can be swapped in such configuration.  </w:t>
      </w:r>
    </w:p>
    <w:p w14:paraId="3C9675C5" w14:textId="77777777" w:rsidR="00A734BE" w:rsidRDefault="00A734BE" w:rsidP="00A310BF">
      <w:pPr>
        <w:numPr>
          <w:ilvl w:val="1"/>
          <w:numId w:val="253"/>
        </w:numPr>
        <w:spacing w:before="120" w:line="300" w:lineRule="auto"/>
        <w:rPr>
          <w:szCs w:val="24"/>
        </w:rPr>
      </w:pPr>
      <w:r w:rsidRPr="00261AF2">
        <w:rPr>
          <w:szCs w:val="24"/>
        </w:rPr>
        <w:t xml:space="preserve">The Mitigated Energy Offer Curve may be updated up to the close of the </w:t>
      </w:r>
      <w:r>
        <w:rPr>
          <w:szCs w:val="24"/>
        </w:rPr>
        <w:t>Day-Ahead</w:t>
      </w:r>
      <w:r w:rsidRPr="00261AF2">
        <w:rPr>
          <w:szCs w:val="24"/>
        </w:rPr>
        <w:t xml:space="preserve"> Market for use in the </w:t>
      </w:r>
      <w:r>
        <w:rPr>
          <w:szCs w:val="24"/>
        </w:rPr>
        <w:t>Day-Ahead</w:t>
      </w:r>
      <w:r w:rsidRPr="00261AF2">
        <w:rPr>
          <w:szCs w:val="24"/>
        </w:rPr>
        <w:t xml:space="preserve"> Market. </w:t>
      </w:r>
    </w:p>
    <w:p w14:paraId="7330E306" w14:textId="471693E6" w:rsidR="00A734BE" w:rsidRDefault="00A734BE" w:rsidP="00A310BF">
      <w:pPr>
        <w:numPr>
          <w:ilvl w:val="2"/>
          <w:numId w:val="253"/>
        </w:numPr>
        <w:spacing w:before="120" w:line="300" w:lineRule="auto"/>
        <w:rPr>
          <w:szCs w:val="24"/>
        </w:rPr>
      </w:pPr>
      <w:r w:rsidRPr="00261AF2">
        <w:rPr>
          <w:szCs w:val="24"/>
        </w:rPr>
        <w:t xml:space="preserve">For Resources committed by the </w:t>
      </w:r>
      <w:r>
        <w:rPr>
          <w:szCs w:val="24"/>
        </w:rPr>
        <w:t>Day-Ahead</w:t>
      </w:r>
      <w:r w:rsidRPr="00261AF2">
        <w:rPr>
          <w:szCs w:val="24"/>
        </w:rPr>
        <w:t xml:space="preserve"> Market, the Mitigated Energy Offer Curve submitted as of the close of the </w:t>
      </w:r>
      <w:r>
        <w:rPr>
          <w:szCs w:val="24"/>
        </w:rPr>
        <w:t>Day-Ahead</w:t>
      </w:r>
      <w:r w:rsidRPr="00261AF2">
        <w:rPr>
          <w:szCs w:val="24"/>
        </w:rPr>
        <w:t xml:space="preserve"> Market will apply to the </w:t>
      </w:r>
      <w:r>
        <w:rPr>
          <w:szCs w:val="24"/>
        </w:rPr>
        <w:t>Day-Ahead</w:t>
      </w:r>
      <w:r w:rsidRPr="00261AF2">
        <w:rPr>
          <w:szCs w:val="24"/>
        </w:rPr>
        <w:t xml:space="preserve"> Market on the day before the Operating Day and the RTBM on the Operating Day unless an exception is allowed in </w:t>
      </w:r>
      <w:r w:rsidRPr="00783564">
        <w:rPr>
          <w:szCs w:val="24"/>
        </w:rPr>
        <w:t xml:space="preserve">this </w:t>
      </w:r>
      <w:r w:rsidR="00EC5FCC">
        <w:rPr>
          <w:szCs w:val="24"/>
        </w:rPr>
        <w:t>s</w:t>
      </w:r>
      <w:r w:rsidRPr="00783564">
        <w:rPr>
          <w:szCs w:val="24"/>
        </w:rPr>
        <w:t>ection;</w:t>
      </w:r>
      <w:r w:rsidRPr="00261AF2">
        <w:rPr>
          <w:szCs w:val="24"/>
        </w:rPr>
        <w:t xml:space="preserve"> </w:t>
      </w:r>
    </w:p>
    <w:p w14:paraId="358262ED" w14:textId="77777777" w:rsidR="00A734BE" w:rsidRPr="00261AF2" w:rsidRDefault="00A734BE" w:rsidP="00A310BF">
      <w:pPr>
        <w:numPr>
          <w:ilvl w:val="2"/>
          <w:numId w:val="253"/>
        </w:numPr>
        <w:spacing w:before="120" w:line="300" w:lineRule="auto"/>
        <w:rPr>
          <w:szCs w:val="24"/>
        </w:rPr>
      </w:pPr>
      <w:r w:rsidRPr="30D4B76D">
        <w:rPr>
          <w:szCs w:val="24"/>
        </w:rPr>
        <w:t xml:space="preserve">For any period a Resource is not committed by the Day-Ahead Market or the RUC, the mitigated Energy Offer Curve for that period may be updated for use in the RUC and RTBM.  </w:t>
      </w:r>
    </w:p>
    <w:p w14:paraId="661A00C7" w14:textId="26F22AA1" w:rsidR="00A734BE" w:rsidRPr="0063019A" w:rsidRDefault="00A734BE" w:rsidP="00A310BF">
      <w:pPr>
        <w:pStyle w:val="Normal270"/>
        <w:numPr>
          <w:ilvl w:val="0"/>
          <w:numId w:val="253"/>
        </w:numPr>
        <w:spacing w:before="120" w:after="120" w:line="300" w:lineRule="auto"/>
        <w:jc w:val="both"/>
        <w:rPr>
          <w:szCs w:val="20"/>
        </w:rPr>
      </w:pPr>
      <w:r w:rsidRPr="0063019A">
        <w:rPr>
          <w:szCs w:val="20"/>
        </w:rPr>
        <w:t xml:space="preserve">The conduct threshold is </w:t>
      </w:r>
      <w:r w:rsidRPr="0063019A">
        <w:t xml:space="preserve">a 10% increase above the </w:t>
      </w:r>
      <w:r w:rsidR="00281416">
        <w:t>M</w:t>
      </w:r>
      <w:r w:rsidRPr="0063019A">
        <w:t>itigated Energy Offer Curve.</w:t>
      </w:r>
      <w:r w:rsidRPr="0063019A">
        <w:rPr>
          <w:szCs w:val="20"/>
        </w:rPr>
        <w:t xml:space="preserve"> </w:t>
      </w:r>
      <w:r>
        <w:rPr>
          <w:szCs w:val="20"/>
        </w:rPr>
        <w:t xml:space="preserve"> </w:t>
      </w:r>
      <w:r w:rsidRPr="0063019A">
        <w:rPr>
          <w:szCs w:val="20"/>
        </w:rPr>
        <w:t xml:space="preserve">The Market Operator applies mitigation measures by placing a cap on the Energy Offer Curve of </w:t>
      </w:r>
      <w:r w:rsidRPr="0063019A">
        <w:t>10%</w:t>
      </w:r>
      <w:r w:rsidRPr="0063019A">
        <w:rPr>
          <w:szCs w:val="20"/>
        </w:rPr>
        <w:t xml:space="preserve"> above the </w:t>
      </w:r>
      <w:r w:rsidR="007E3C12">
        <w:rPr>
          <w:szCs w:val="20"/>
        </w:rPr>
        <w:t>M</w:t>
      </w:r>
      <w:r w:rsidRPr="0063019A">
        <w:rPr>
          <w:szCs w:val="20"/>
        </w:rPr>
        <w:t>itigated Energy Offer Curve if:</w:t>
      </w:r>
    </w:p>
    <w:p w14:paraId="0E9CB49A" w14:textId="335A1AC3" w:rsidR="00A734BE" w:rsidRPr="0063019A" w:rsidRDefault="00A734BE" w:rsidP="00A310BF">
      <w:pPr>
        <w:pStyle w:val="Normal270"/>
        <w:numPr>
          <w:ilvl w:val="1"/>
          <w:numId w:val="253"/>
        </w:numPr>
        <w:spacing w:before="120" w:after="120" w:line="300" w:lineRule="auto"/>
        <w:jc w:val="both"/>
        <w:rPr>
          <w:szCs w:val="20"/>
        </w:rPr>
      </w:pPr>
      <w:r>
        <w:t xml:space="preserve">The Resource’s Energy Offer Curve exceeds the </w:t>
      </w:r>
      <w:r w:rsidR="007E3C12">
        <w:t>M</w:t>
      </w:r>
      <w:r>
        <w:t>itigated Energy Offer Curve by the conduct threshold; and</w:t>
      </w:r>
    </w:p>
    <w:p w14:paraId="2CC93769" w14:textId="22C16E21" w:rsidR="00A734BE" w:rsidRPr="007745B1" w:rsidRDefault="00A734BE" w:rsidP="00A310BF">
      <w:pPr>
        <w:pStyle w:val="Normal270"/>
        <w:numPr>
          <w:ilvl w:val="1"/>
          <w:numId w:val="253"/>
        </w:numPr>
        <w:spacing w:before="120" w:after="120" w:line="300" w:lineRule="auto"/>
        <w:jc w:val="both"/>
        <w:rPr>
          <w:szCs w:val="20"/>
        </w:rPr>
      </w:pPr>
      <w:r>
        <w:t>The Resource has market power as determ</w:t>
      </w:r>
      <w:r w:rsidRPr="007745B1">
        <w:t xml:space="preserve">ined in </w:t>
      </w:r>
      <w:r w:rsidR="00281416">
        <w:t xml:space="preserve">Section </w:t>
      </w:r>
      <w:r w:rsidR="001D7198">
        <w:fldChar w:fldCharType="begin"/>
      </w:r>
      <w:r w:rsidR="001D7198">
        <w:instrText xml:space="preserve"> REF _Ref212628094 \r \h </w:instrText>
      </w:r>
      <w:r w:rsidR="001D7198">
        <w:fldChar w:fldCharType="separate"/>
      </w:r>
      <w:r w:rsidR="001D7198">
        <w:t>11.2.2.9</w:t>
      </w:r>
      <w:r w:rsidR="001D7198">
        <w:fldChar w:fldCharType="end"/>
      </w:r>
      <w:r w:rsidRPr="007745B1">
        <w:t>(1) or (3); and</w:t>
      </w:r>
    </w:p>
    <w:p w14:paraId="3E5F8B37" w14:textId="2B866EBF" w:rsidR="00A734BE" w:rsidRPr="007745B1" w:rsidRDefault="00A734BE" w:rsidP="00A310BF">
      <w:pPr>
        <w:pStyle w:val="Normal270"/>
        <w:numPr>
          <w:ilvl w:val="1"/>
          <w:numId w:val="253"/>
        </w:numPr>
        <w:spacing w:before="120" w:after="120" w:line="300" w:lineRule="auto"/>
        <w:jc w:val="both"/>
        <w:rPr>
          <w:szCs w:val="20"/>
        </w:rPr>
      </w:pPr>
      <w:r w:rsidRPr="007745B1">
        <w:rPr>
          <w:szCs w:val="20"/>
        </w:rPr>
        <w:t xml:space="preserve">The Resource fails the Market Impact Test as described in </w:t>
      </w:r>
      <w:r w:rsidR="007E3C12">
        <w:rPr>
          <w:szCs w:val="20"/>
        </w:rPr>
        <w:t xml:space="preserve">Section </w:t>
      </w:r>
      <w:r w:rsidR="00536AD8">
        <w:rPr>
          <w:szCs w:val="20"/>
        </w:rPr>
        <w:fldChar w:fldCharType="begin"/>
      </w:r>
      <w:r w:rsidR="00536AD8">
        <w:rPr>
          <w:szCs w:val="20"/>
        </w:rPr>
        <w:instrText xml:space="preserve"> REF _Ref323550387 \r \h </w:instrText>
      </w:r>
      <w:r w:rsidR="00536AD8">
        <w:rPr>
          <w:szCs w:val="20"/>
        </w:rPr>
      </w:r>
      <w:r w:rsidR="00536AD8">
        <w:rPr>
          <w:szCs w:val="20"/>
        </w:rPr>
        <w:fldChar w:fldCharType="separate"/>
      </w:r>
      <w:r w:rsidR="00536AD8">
        <w:rPr>
          <w:szCs w:val="20"/>
        </w:rPr>
        <w:t>11.2.2.11</w:t>
      </w:r>
      <w:r w:rsidR="00536AD8">
        <w:rPr>
          <w:szCs w:val="20"/>
        </w:rPr>
        <w:fldChar w:fldCharType="end"/>
      </w:r>
      <w:r w:rsidR="007E3C12">
        <w:rPr>
          <w:szCs w:val="20"/>
        </w:rPr>
        <w:t>.</w:t>
      </w:r>
    </w:p>
    <w:p w14:paraId="726C8F2D" w14:textId="1EF5D4B6" w:rsidR="00A734BE" w:rsidRPr="0063019A" w:rsidRDefault="00A734BE" w:rsidP="00A310BF">
      <w:pPr>
        <w:pStyle w:val="Normal270"/>
        <w:numPr>
          <w:ilvl w:val="0"/>
          <w:numId w:val="253"/>
        </w:numPr>
        <w:spacing w:before="120" w:after="120" w:line="300" w:lineRule="auto"/>
        <w:jc w:val="both"/>
        <w:rPr>
          <w:szCs w:val="20"/>
        </w:rPr>
      </w:pPr>
      <w:r w:rsidRPr="0063019A">
        <w:rPr>
          <w:szCs w:val="20"/>
        </w:rPr>
        <w:t xml:space="preserve">For a Resource that has market power as </w:t>
      </w:r>
      <w:r w:rsidRPr="005E5648">
        <w:rPr>
          <w:szCs w:val="20"/>
        </w:rPr>
        <w:t xml:space="preserve">determined in </w:t>
      </w:r>
      <w:r w:rsidR="00281416">
        <w:rPr>
          <w:szCs w:val="20"/>
        </w:rPr>
        <w:t xml:space="preserve">Section </w:t>
      </w:r>
      <w:r w:rsidR="00A96EC4">
        <w:rPr>
          <w:szCs w:val="20"/>
        </w:rPr>
        <w:fldChar w:fldCharType="begin"/>
      </w:r>
      <w:r w:rsidR="00A96EC4">
        <w:rPr>
          <w:szCs w:val="20"/>
        </w:rPr>
        <w:instrText xml:space="preserve"> REF _Ref212628201 \r \h </w:instrText>
      </w:r>
      <w:r w:rsidR="00A96EC4">
        <w:rPr>
          <w:szCs w:val="20"/>
        </w:rPr>
      </w:r>
      <w:r w:rsidR="00A96EC4">
        <w:rPr>
          <w:szCs w:val="20"/>
        </w:rPr>
        <w:fldChar w:fldCharType="separate"/>
      </w:r>
      <w:r w:rsidR="00A96EC4">
        <w:rPr>
          <w:szCs w:val="20"/>
        </w:rPr>
        <w:t>11.2.2.9</w:t>
      </w:r>
      <w:r w:rsidR="00A96EC4">
        <w:rPr>
          <w:szCs w:val="20"/>
        </w:rPr>
        <w:fldChar w:fldCharType="end"/>
      </w:r>
      <w:r w:rsidRPr="005E5648">
        <w:t>,</w:t>
      </w:r>
      <w:r w:rsidRPr="005E5648">
        <w:rPr>
          <w:szCs w:val="20"/>
        </w:rPr>
        <w:t xml:space="preserve"> the</w:t>
      </w:r>
      <w:r w:rsidRPr="0063019A">
        <w:rPr>
          <w:szCs w:val="20"/>
        </w:rPr>
        <w:t xml:space="preserve"> Market Operator applies mitigation measures by placing a cap on the Energy Offer Curve of </w:t>
      </w:r>
      <w:r w:rsidRPr="0063019A">
        <w:t>10%</w:t>
      </w:r>
      <w:r w:rsidRPr="0063019A">
        <w:rPr>
          <w:szCs w:val="20"/>
        </w:rPr>
        <w:t xml:space="preserve"> above the </w:t>
      </w:r>
      <w:r w:rsidR="007E3C12">
        <w:rPr>
          <w:szCs w:val="20"/>
        </w:rPr>
        <w:t>M</w:t>
      </w:r>
      <w:r w:rsidRPr="0063019A">
        <w:rPr>
          <w:szCs w:val="20"/>
        </w:rPr>
        <w:t>itigated Energy Offer Curve.</w:t>
      </w:r>
    </w:p>
    <w:p w14:paraId="49BD9527" w14:textId="72E08B3B" w:rsidR="00A734BE" w:rsidRPr="004222B4" w:rsidRDefault="00A734BE" w:rsidP="00A310BF">
      <w:pPr>
        <w:numPr>
          <w:ilvl w:val="0"/>
          <w:numId w:val="253"/>
        </w:numPr>
        <w:spacing w:before="120" w:line="300" w:lineRule="auto"/>
        <w:rPr>
          <w:szCs w:val="24"/>
        </w:rPr>
      </w:pPr>
      <w:r w:rsidRPr="00D94E0A">
        <w:rPr>
          <w:szCs w:val="24"/>
        </w:rPr>
        <w:t xml:space="preserve">Except for </w:t>
      </w:r>
      <w:r w:rsidRPr="30D4B76D">
        <w:rPr>
          <w:szCs w:val="24"/>
        </w:rPr>
        <w:t xml:space="preserve">Resources following the Seasonal Hydroelectric Offer Curve </w:t>
      </w:r>
      <w:r>
        <w:rPr>
          <w:szCs w:val="24"/>
        </w:rPr>
        <w:t xml:space="preserve">(SHOC) </w:t>
      </w:r>
      <w:r w:rsidRPr="30D4B76D">
        <w:rPr>
          <w:szCs w:val="24"/>
        </w:rPr>
        <w:t xml:space="preserve">methodology outlined in </w:t>
      </w:r>
      <w:r>
        <w:rPr>
          <w:szCs w:val="24"/>
        </w:rPr>
        <w:t>Appendix D</w:t>
      </w:r>
      <w:r w:rsidRPr="30D4B76D">
        <w:rPr>
          <w:szCs w:val="24"/>
        </w:rPr>
        <w:t>, t</w:t>
      </w:r>
      <w:r w:rsidRPr="004872B0">
        <w:rPr>
          <w:szCs w:val="24"/>
        </w:rPr>
        <w:t xml:space="preserve">he Mitigated Energy Offer Curve </w:t>
      </w:r>
      <w:r w:rsidRPr="30D4B76D">
        <w:rPr>
          <w:szCs w:val="24"/>
        </w:rPr>
        <w:t xml:space="preserve">must </w:t>
      </w:r>
      <w:r w:rsidRPr="004872B0">
        <w:rPr>
          <w:szCs w:val="24"/>
        </w:rPr>
        <w:t>be the Resource’s short-run marginal cost of producing energy as determined by the unit’s heat rate</w:t>
      </w:r>
      <w:r w:rsidRPr="00AA5EF2">
        <w:t xml:space="preserve"> </w:t>
      </w:r>
      <w:r w:rsidRPr="30D4B76D">
        <w:rPr>
          <w:szCs w:val="24"/>
        </w:rPr>
        <w:t>or similar production efficiency ratio</w:t>
      </w:r>
      <w:r w:rsidRPr="004872B0">
        <w:rPr>
          <w:szCs w:val="24"/>
        </w:rPr>
        <w:t xml:space="preserve">, fuel costs and the </w:t>
      </w:r>
      <w:r w:rsidRPr="004222B4">
        <w:rPr>
          <w:szCs w:val="24"/>
        </w:rPr>
        <w:t>costs related to fuel usage, such as transportation and emissions costs (</w:t>
      </w:r>
      <w:r w:rsidR="002B27B3">
        <w:rPr>
          <w:szCs w:val="24"/>
        </w:rPr>
        <w:t>T</w:t>
      </w:r>
      <w:r w:rsidRPr="004222B4">
        <w:rPr>
          <w:szCs w:val="24"/>
        </w:rPr>
        <w:t xml:space="preserve">otal </w:t>
      </w:r>
      <w:r w:rsidR="002B27B3">
        <w:rPr>
          <w:szCs w:val="24"/>
        </w:rPr>
        <w:t>F</w:t>
      </w:r>
      <w:r w:rsidRPr="004222B4">
        <w:rPr>
          <w:szCs w:val="24"/>
        </w:rPr>
        <w:t xml:space="preserve">uel </w:t>
      </w:r>
      <w:r w:rsidR="002B27B3">
        <w:rPr>
          <w:szCs w:val="24"/>
        </w:rPr>
        <w:t>R</w:t>
      </w:r>
      <w:r w:rsidRPr="004222B4">
        <w:rPr>
          <w:szCs w:val="24"/>
        </w:rPr>
        <w:t xml:space="preserve">elated </w:t>
      </w:r>
      <w:r w:rsidR="002B27B3">
        <w:rPr>
          <w:szCs w:val="24"/>
        </w:rPr>
        <w:t>C</w:t>
      </w:r>
      <w:r w:rsidRPr="004222B4">
        <w:rPr>
          <w:szCs w:val="24"/>
        </w:rPr>
        <w:t xml:space="preserve">osts),  Energy Offer Curve variable operation and maintenance costs (VOM) as detailed in the Mitigated Offer Development Guidelines, </w:t>
      </w:r>
      <w:r>
        <w:rPr>
          <w:szCs w:val="24"/>
        </w:rPr>
        <w:t xml:space="preserve">incremental costs related to compliance with greenhouse gas programs </w:t>
      </w:r>
      <w:r w:rsidRPr="004222B4">
        <w:rPr>
          <w:szCs w:val="24"/>
        </w:rPr>
        <w:t xml:space="preserve">and the charges incurred from Schedule 1-B of the Markets+ Tariff. </w:t>
      </w:r>
      <w:r>
        <w:rPr>
          <w:szCs w:val="24"/>
        </w:rPr>
        <w:t>Example f</w:t>
      </w:r>
      <w:r w:rsidRPr="004222B4">
        <w:rPr>
          <w:szCs w:val="24"/>
        </w:rPr>
        <w:t>ormula</w:t>
      </w:r>
      <w:r>
        <w:rPr>
          <w:szCs w:val="24"/>
        </w:rPr>
        <w:t xml:space="preserve"> and supporting methodology options for the calculation of </w:t>
      </w:r>
      <w:r w:rsidRPr="004222B4">
        <w:rPr>
          <w:szCs w:val="24"/>
        </w:rPr>
        <w:t xml:space="preserve">Mitigated Energy Offer Curves can be found in </w:t>
      </w:r>
      <w:r w:rsidRPr="002C2165">
        <w:rPr>
          <w:szCs w:val="24"/>
        </w:rPr>
        <w:t xml:space="preserve">Appendix </w:t>
      </w:r>
      <w:r w:rsidRPr="006D409E">
        <w:rPr>
          <w:szCs w:val="24"/>
        </w:rPr>
        <w:t>D</w:t>
      </w:r>
      <w:r w:rsidRPr="002C2165">
        <w:rPr>
          <w:szCs w:val="24"/>
        </w:rPr>
        <w:t>.</w:t>
      </w:r>
      <w:r w:rsidRPr="004222B4">
        <w:rPr>
          <w:szCs w:val="24"/>
        </w:rPr>
        <w:t xml:space="preserve">  The Mitigated Energy Offer Curve may also reflect certain Resource </w:t>
      </w:r>
      <w:r w:rsidR="007E3C12">
        <w:rPr>
          <w:szCs w:val="24"/>
        </w:rPr>
        <w:t>s</w:t>
      </w:r>
      <w:r w:rsidRPr="004222B4">
        <w:rPr>
          <w:szCs w:val="24"/>
        </w:rPr>
        <w:t xml:space="preserve">pecific short-run marginal cost elements as further detailed in Appendix </w:t>
      </w:r>
      <w:r>
        <w:rPr>
          <w:szCs w:val="24"/>
        </w:rPr>
        <w:t>D</w:t>
      </w:r>
      <w:r w:rsidRPr="004222B4">
        <w:rPr>
          <w:szCs w:val="24"/>
        </w:rPr>
        <w:t xml:space="preserve">. </w:t>
      </w:r>
    </w:p>
    <w:p w14:paraId="090FD0EA" w14:textId="32E3C711" w:rsidR="00A734BE" w:rsidRDefault="00A734BE" w:rsidP="00A310BF">
      <w:pPr>
        <w:pStyle w:val="Normal270"/>
        <w:numPr>
          <w:ilvl w:val="0"/>
          <w:numId w:val="253"/>
        </w:numPr>
        <w:spacing w:before="120" w:after="120" w:line="300" w:lineRule="auto"/>
        <w:jc w:val="both"/>
      </w:pPr>
      <w:r w:rsidRPr="30D4B76D">
        <w:t xml:space="preserve">For Resources that are not ESRs that are not eligible or do not elect the </w:t>
      </w:r>
      <w:r w:rsidR="006914F9">
        <w:t>SHOC</w:t>
      </w:r>
      <w:r w:rsidRPr="30D4B76D">
        <w:t xml:space="preserve"> methodology outlined </w:t>
      </w:r>
      <w:r w:rsidRPr="00C70D0E">
        <w:t xml:space="preserve">in </w:t>
      </w:r>
      <w:r w:rsidR="00B14785">
        <w:t xml:space="preserve">this </w:t>
      </w:r>
      <w:r w:rsidRPr="00C70D0E">
        <w:t>Section</w:t>
      </w:r>
      <w:r w:rsidR="003B53CC">
        <w:t xml:space="preserve"> 12</w:t>
      </w:r>
      <w:r w:rsidRPr="00C70D0E">
        <w:t xml:space="preserve">, </w:t>
      </w:r>
      <w:r w:rsidRPr="30D4B76D">
        <w:t>o</w:t>
      </w:r>
      <w:r w:rsidRPr="004872B0">
        <w:t xml:space="preserve">pportunity costs </w:t>
      </w:r>
      <w:r w:rsidRPr="30D4B76D">
        <w:t>must be an estimate of Markets+ revenues net of short</w:t>
      </w:r>
      <w:r w:rsidR="007E3C12">
        <w:t>-</w:t>
      </w:r>
      <w:r w:rsidRPr="30D4B76D">
        <w:t xml:space="preserve">run marginal costs for the marginal forgone run time during the timeframe when the Resource experiences the run-time restrictions. </w:t>
      </w:r>
      <w:r>
        <w:t xml:space="preserve"> See Appendix D for details on how to include these opportunity costs.</w:t>
      </w:r>
    </w:p>
    <w:p w14:paraId="3ECE4905" w14:textId="654AAC29" w:rsidR="00A734BE" w:rsidRPr="00261AF2" w:rsidRDefault="00A734BE" w:rsidP="00A310BF">
      <w:pPr>
        <w:numPr>
          <w:ilvl w:val="0"/>
          <w:numId w:val="253"/>
        </w:numPr>
        <w:spacing w:before="120" w:line="300" w:lineRule="auto"/>
        <w:rPr>
          <w:szCs w:val="24"/>
        </w:rPr>
      </w:pPr>
      <w:r w:rsidRPr="30D4B76D">
        <w:rPr>
          <w:szCs w:val="24"/>
        </w:rPr>
        <w:t xml:space="preserve">For Resources that are not eligible or do not elect the </w:t>
      </w:r>
      <w:r w:rsidR="006914F9">
        <w:rPr>
          <w:szCs w:val="24"/>
        </w:rPr>
        <w:t>SHOC</w:t>
      </w:r>
      <w:r w:rsidRPr="30D4B76D">
        <w:rPr>
          <w:szCs w:val="24"/>
        </w:rPr>
        <w:t xml:space="preserve"> methodology outlined in </w:t>
      </w:r>
      <w:r w:rsidR="003B53CC">
        <w:rPr>
          <w:szCs w:val="24"/>
        </w:rPr>
        <w:t xml:space="preserve">this </w:t>
      </w:r>
      <w:r w:rsidRPr="00C70D0E">
        <w:rPr>
          <w:szCs w:val="24"/>
        </w:rPr>
        <w:t>Section</w:t>
      </w:r>
      <w:r w:rsidR="003B53CC">
        <w:rPr>
          <w:szCs w:val="24"/>
        </w:rPr>
        <w:t xml:space="preserve"> 12</w:t>
      </w:r>
      <w:r w:rsidRPr="30D4B76D">
        <w:rPr>
          <w:szCs w:val="24"/>
        </w:rPr>
        <w:t>,</w:t>
      </w:r>
      <w:r>
        <w:rPr>
          <w:szCs w:val="24"/>
        </w:rPr>
        <w:t xml:space="preserve"> </w:t>
      </w:r>
      <w:r w:rsidRPr="30D4B76D">
        <w:rPr>
          <w:szCs w:val="24"/>
        </w:rPr>
        <w:t>t</w:t>
      </w:r>
      <w:r w:rsidRPr="00261AF2">
        <w:rPr>
          <w:szCs w:val="24"/>
        </w:rPr>
        <w:t xml:space="preserve">he Market Participant </w:t>
      </w:r>
      <w:r w:rsidRPr="30D4B76D">
        <w:rPr>
          <w:szCs w:val="24"/>
        </w:rPr>
        <w:t xml:space="preserve">must </w:t>
      </w:r>
      <w:r w:rsidRPr="00261AF2">
        <w:rPr>
          <w:szCs w:val="24"/>
        </w:rPr>
        <w:t>submit</w:t>
      </w:r>
      <w:r w:rsidRPr="30D4B76D">
        <w:rPr>
          <w:szCs w:val="24"/>
        </w:rPr>
        <w:t>, if applicable,</w:t>
      </w:r>
      <w:r w:rsidRPr="00261AF2">
        <w:rPr>
          <w:szCs w:val="24"/>
        </w:rPr>
        <w:t xml:space="preserve"> heat rate</w:t>
      </w:r>
      <w:r w:rsidRPr="30D4B76D">
        <w:rPr>
          <w:szCs w:val="24"/>
        </w:rPr>
        <w:t xml:space="preserve"> curves, descriptions of how spot fuel prices </w:t>
      </w:r>
      <w:r w:rsidRPr="30D4B76D" w:rsidDel="0046151A">
        <w:rPr>
          <w:szCs w:val="24"/>
        </w:rPr>
        <w:t>and/or</w:t>
      </w:r>
      <w:r w:rsidRPr="30D4B76D">
        <w:rPr>
          <w:szCs w:val="24"/>
        </w:rPr>
        <w:t xml:space="preserve"> contract prices are used to calculate fuel costs</w:t>
      </w:r>
      <w:r w:rsidRPr="00261AF2">
        <w:rPr>
          <w:szCs w:val="24"/>
        </w:rPr>
        <w:t xml:space="preserve">, </w:t>
      </w:r>
      <w:r w:rsidRPr="30D4B76D">
        <w:rPr>
          <w:szCs w:val="24"/>
        </w:rPr>
        <w:t xml:space="preserve">variable fuel transportation and handling </w:t>
      </w:r>
      <w:r w:rsidRPr="00261AF2">
        <w:rPr>
          <w:szCs w:val="24"/>
        </w:rPr>
        <w:t>costs</w:t>
      </w:r>
      <w:r w:rsidRPr="30D4B76D">
        <w:rPr>
          <w:szCs w:val="24"/>
        </w:rPr>
        <w:t>,</w:t>
      </w:r>
      <w:r w:rsidRPr="00261AF2">
        <w:rPr>
          <w:szCs w:val="24"/>
        </w:rPr>
        <w:t xml:space="preserve"> including emissions costs, opportunity costs, and variable operation and maintenance costs to the </w:t>
      </w:r>
      <w:r w:rsidRPr="30D4B76D">
        <w:rPr>
          <w:szCs w:val="24"/>
        </w:rPr>
        <w:t>Market Monitor</w:t>
      </w:r>
      <w:r w:rsidRPr="00261AF2">
        <w:rPr>
          <w:szCs w:val="24"/>
        </w:rPr>
        <w:t xml:space="preserve">.  The information will be sufficient for replication of the Mitigated Energy Offer Curve and </w:t>
      </w:r>
      <w:r w:rsidRPr="30D4B76D">
        <w:rPr>
          <w:szCs w:val="24"/>
        </w:rPr>
        <w:t xml:space="preserve">must </w:t>
      </w:r>
      <w:r w:rsidRPr="00261AF2">
        <w:rPr>
          <w:szCs w:val="24"/>
        </w:rPr>
        <w:t>include, among other data, the following information:</w:t>
      </w:r>
    </w:p>
    <w:p w14:paraId="0AD41E82" w14:textId="0C4B23DC" w:rsidR="00A734BE" w:rsidRPr="00261AF2" w:rsidRDefault="00A734BE" w:rsidP="00A310BF">
      <w:pPr>
        <w:numPr>
          <w:ilvl w:val="1"/>
          <w:numId w:val="253"/>
        </w:numPr>
        <w:spacing w:before="120" w:line="300" w:lineRule="auto"/>
        <w:rPr>
          <w:szCs w:val="24"/>
        </w:rPr>
      </w:pPr>
      <w:r w:rsidRPr="00261AF2">
        <w:rPr>
          <w:szCs w:val="24"/>
        </w:rPr>
        <w:t xml:space="preserve">For fuel costs, Market Participants </w:t>
      </w:r>
      <w:r>
        <w:rPr>
          <w:szCs w:val="24"/>
        </w:rPr>
        <w:t>must</w:t>
      </w:r>
      <w:r w:rsidRPr="00261AF2">
        <w:rPr>
          <w:szCs w:val="24"/>
        </w:rPr>
        <w:t xml:space="preserve"> provide the Market Monitor</w:t>
      </w:r>
      <w:r>
        <w:rPr>
          <w:szCs w:val="24"/>
        </w:rPr>
        <w:t xml:space="preserve"> </w:t>
      </w:r>
      <w:r w:rsidRPr="00261AF2">
        <w:rPr>
          <w:szCs w:val="24"/>
        </w:rPr>
        <w:t xml:space="preserve">with an explanation of the Market Participants’ fuel cost policy, indicating whether fuel purchases are subject to a fixed contract price </w:t>
      </w:r>
      <w:r w:rsidRPr="00261AF2" w:rsidDel="0046151A">
        <w:rPr>
          <w:szCs w:val="24"/>
        </w:rPr>
        <w:t>and/or</w:t>
      </w:r>
      <w:r w:rsidRPr="00261AF2">
        <w:rPr>
          <w:szCs w:val="24"/>
        </w:rPr>
        <w:t xml:space="preserve"> spot pricing and specifying the contract price </w:t>
      </w:r>
      <w:r w:rsidRPr="00261AF2" w:rsidDel="0046151A">
        <w:rPr>
          <w:szCs w:val="24"/>
        </w:rPr>
        <w:t>and/or</w:t>
      </w:r>
      <w:r w:rsidRPr="00261AF2">
        <w:rPr>
          <w:szCs w:val="24"/>
        </w:rPr>
        <w:t xml:space="preserve"> referenced spot market prices.  Any included fuel transportation and handling costs must be short-run marginal costs only, exclusive of fixed costs</w:t>
      </w:r>
      <w:r>
        <w:rPr>
          <w:szCs w:val="24"/>
        </w:rPr>
        <w:t xml:space="preserve">;  </w:t>
      </w:r>
    </w:p>
    <w:p w14:paraId="06A324F7" w14:textId="77777777" w:rsidR="00A734BE" w:rsidRPr="00261AF2" w:rsidRDefault="00A734BE" w:rsidP="00A310BF">
      <w:pPr>
        <w:numPr>
          <w:ilvl w:val="1"/>
          <w:numId w:val="253"/>
        </w:numPr>
        <w:spacing w:before="120" w:line="300" w:lineRule="auto"/>
        <w:rPr>
          <w:szCs w:val="24"/>
        </w:rPr>
      </w:pPr>
      <w:r w:rsidRPr="00352538">
        <w:rPr>
          <w:szCs w:val="24"/>
        </w:rPr>
        <w:t xml:space="preserve">For emissions costs, Market Participants </w:t>
      </w:r>
      <w:r w:rsidRPr="1577F71B">
        <w:rPr>
          <w:szCs w:val="24"/>
        </w:rPr>
        <w:t xml:space="preserve">must </w:t>
      </w:r>
      <w:r w:rsidRPr="00352538">
        <w:rPr>
          <w:szCs w:val="24"/>
        </w:rPr>
        <w:t>report the emissions rate of each of their units and indicate the applicable emissions allowance cost.</w:t>
      </w:r>
      <w:r w:rsidRPr="1577F71B">
        <w:rPr>
          <w:szCs w:val="24"/>
        </w:rPr>
        <w:t xml:space="preserve"> </w:t>
      </w:r>
    </w:p>
    <w:p w14:paraId="3BCDD300" w14:textId="7CBB8A64" w:rsidR="00A734BE" w:rsidRPr="004222B4" w:rsidRDefault="00A734BE" w:rsidP="00A310BF">
      <w:pPr>
        <w:numPr>
          <w:ilvl w:val="1"/>
          <w:numId w:val="253"/>
        </w:numPr>
        <w:spacing w:before="120" w:line="300" w:lineRule="auto"/>
        <w:rPr>
          <w:szCs w:val="24"/>
        </w:rPr>
      </w:pPr>
      <w:r w:rsidRPr="00352538">
        <w:rPr>
          <w:szCs w:val="24"/>
        </w:rPr>
        <w:t xml:space="preserve">For VOM </w:t>
      </w:r>
      <w:r w:rsidRPr="004222B4">
        <w:rPr>
          <w:szCs w:val="24"/>
        </w:rPr>
        <w:t xml:space="preserve">costs, Market Participants must submit VOM costs, calculated in adherence with Appendix </w:t>
      </w:r>
      <w:r>
        <w:rPr>
          <w:szCs w:val="24"/>
        </w:rPr>
        <w:t>D</w:t>
      </w:r>
      <w:r w:rsidRPr="004222B4">
        <w:rPr>
          <w:szCs w:val="24"/>
        </w:rPr>
        <w:t>, reflecting short-run marginal costs, exclusive of fixed costs.</w:t>
      </w:r>
    </w:p>
    <w:p w14:paraId="62247479" w14:textId="41B914F1" w:rsidR="00A734BE" w:rsidRPr="004222B4" w:rsidRDefault="00A734BE" w:rsidP="00A310BF">
      <w:pPr>
        <w:spacing w:before="120" w:line="300" w:lineRule="auto"/>
        <w:ind w:left="720"/>
        <w:rPr>
          <w:szCs w:val="24"/>
        </w:rPr>
      </w:pPr>
      <w:r w:rsidRPr="004222B4">
        <w:rPr>
          <w:szCs w:val="24"/>
        </w:rPr>
        <w:t xml:space="preserve">Further details associated with the development and validation of these costs are included in Appendix </w:t>
      </w:r>
      <w:r>
        <w:rPr>
          <w:szCs w:val="24"/>
        </w:rPr>
        <w:t>D</w:t>
      </w:r>
      <w:r w:rsidRPr="004222B4">
        <w:rPr>
          <w:szCs w:val="24"/>
        </w:rPr>
        <w:t>.</w:t>
      </w:r>
    </w:p>
    <w:p w14:paraId="2B953F1E" w14:textId="67FDDB85" w:rsidR="00A734BE" w:rsidRPr="00261AF2" w:rsidRDefault="00A734BE" w:rsidP="00A310BF">
      <w:pPr>
        <w:numPr>
          <w:ilvl w:val="0"/>
          <w:numId w:val="253"/>
        </w:numPr>
        <w:spacing w:before="120" w:line="300" w:lineRule="auto"/>
        <w:rPr>
          <w:szCs w:val="24"/>
        </w:rPr>
      </w:pPr>
      <w:r w:rsidRPr="004222B4">
        <w:rPr>
          <w:szCs w:val="24"/>
        </w:rPr>
        <w:t xml:space="preserve">For </w:t>
      </w:r>
      <w:r w:rsidRPr="004222B4" w:rsidDel="00F130B2">
        <w:rPr>
          <w:szCs w:val="24"/>
        </w:rPr>
        <w:t xml:space="preserve">Dispatchable Demand Response </w:t>
      </w:r>
      <w:r w:rsidRPr="004222B4">
        <w:rPr>
          <w:szCs w:val="24"/>
        </w:rPr>
        <w:t xml:space="preserve">Resources </w:t>
      </w:r>
      <w:r w:rsidR="006914F9">
        <w:rPr>
          <w:szCs w:val="24"/>
        </w:rPr>
        <w:t>(DDRRs)</w:t>
      </w:r>
      <w:r w:rsidRPr="004222B4">
        <w:rPr>
          <w:szCs w:val="24"/>
        </w:rPr>
        <w:t xml:space="preserve"> utilizing</w:t>
      </w:r>
      <w:r w:rsidRPr="30D4B76D">
        <w:rPr>
          <w:szCs w:val="24"/>
        </w:rPr>
        <w:t xml:space="preserve"> </w:t>
      </w:r>
      <w:r w:rsidRPr="00352538">
        <w:rPr>
          <w:szCs w:val="24"/>
        </w:rPr>
        <w:t>Behind-The-Meter Generation</w:t>
      </w:r>
      <w:r w:rsidR="006914F9">
        <w:rPr>
          <w:szCs w:val="24"/>
        </w:rPr>
        <w:t>,</w:t>
      </w:r>
      <w:r w:rsidRPr="00352538">
        <w:rPr>
          <w:szCs w:val="24"/>
        </w:rPr>
        <w:t xml:space="preserve"> the Mitigated Energy Offer Curve </w:t>
      </w:r>
      <w:r w:rsidRPr="30D4B76D">
        <w:rPr>
          <w:szCs w:val="24"/>
        </w:rPr>
        <w:t xml:space="preserve">must </w:t>
      </w:r>
      <w:r w:rsidRPr="00352538">
        <w:rPr>
          <w:szCs w:val="24"/>
        </w:rPr>
        <w:t xml:space="preserve">be developed in the same manner, described above, as any other generating Resource.  For load </w:t>
      </w:r>
      <w:r w:rsidRPr="30D4B76D">
        <w:rPr>
          <w:szCs w:val="24"/>
        </w:rPr>
        <w:t xml:space="preserve">reduction </w:t>
      </w:r>
      <w:r w:rsidR="00F130B2">
        <w:rPr>
          <w:szCs w:val="24"/>
        </w:rPr>
        <w:t>DDRR</w:t>
      </w:r>
      <w:r w:rsidRPr="00352538">
        <w:rPr>
          <w:szCs w:val="24"/>
        </w:rPr>
        <w:t xml:space="preserve">s, the Mitigated Energy Offer Curve </w:t>
      </w:r>
      <w:r w:rsidRPr="30D4B76D">
        <w:rPr>
          <w:szCs w:val="24"/>
        </w:rPr>
        <w:t>methodology must include</w:t>
      </w:r>
      <w:r w:rsidRPr="00352538">
        <w:rPr>
          <w:szCs w:val="24"/>
        </w:rPr>
        <w:t xml:space="preserve"> the quantifiable opportunity costs associated with the reduction, net of related offsetting increases in usage.</w:t>
      </w:r>
    </w:p>
    <w:p w14:paraId="17A330BA" w14:textId="77777777" w:rsidR="00A734BE" w:rsidRDefault="00A734BE" w:rsidP="00A310BF">
      <w:pPr>
        <w:numPr>
          <w:ilvl w:val="0"/>
          <w:numId w:val="253"/>
        </w:numPr>
        <w:spacing w:before="120" w:line="300" w:lineRule="auto"/>
        <w:rPr>
          <w:szCs w:val="24"/>
        </w:rPr>
      </w:pPr>
      <w:r w:rsidRPr="00352538">
        <w:rPr>
          <w:szCs w:val="24"/>
        </w:rPr>
        <w:t xml:space="preserve">For Dispatchable Variable Energy Resources, the Mitigated Energy Offer Curve may include, but </w:t>
      </w:r>
      <w:r w:rsidRPr="30D4B76D">
        <w:rPr>
          <w:szCs w:val="24"/>
        </w:rPr>
        <w:t xml:space="preserve">must </w:t>
      </w:r>
      <w:r w:rsidRPr="00352538">
        <w:rPr>
          <w:szCs w:val="24"/>
        </w:rPr>
        <w:t xml:space="preserve">not exceed, any </w:t>
      </w:r>
      <w:r w:rsidRPr="30D4B76D">
        <w:rPr>
          <w:szCs w:val="24"/>
        </w:rPr>
        <w:t xml:space="preserve">calculation of </w:t>
      </w:r>
      <w:r w:rsidRPr="00352538">
        <w:rPr>
          <w:szCs w:val="24"/>
        </w:rPr>
        <w:t xml:space="preserve">quantifiable costs that vary by MWh output, including short-run incremental VOM.  Mitigation </w:t>
      </w:r>
      <w:r w:rsidRPr="30D4B76D">
        <w:rPr>
          <w:szCs w:val="24"/>
        </w:rPr>
        <w:t xml:space="preserve">does </w:t>
      </w:r>
      <w:r w:rsidRPr="00352538">
        <w:rPr>
          <w:szCs w:val="24"/>
        </w:rPr>
        <w:t>not apply to Non-Dispatchable Variable Energy Resources in the Real-Time Balancing Market.</w:t>
      </w:r>
    </w:p>
    <w:p w14:paraId="6A910657" w14:textId="4BA55471" w:rsidR="00A734BE" w:rsidRPr="00EB71CB" w:rsidRDefault="00A734BE" w:rsidP="00A310BF">
      <w:pPr>
        <w:numPr>
          <w:ilvl w:val="0"/>
          <w:numId w:val="253"/>
        </w:numPr>
        <w:spacing w:before="120" w:line="300" w:lineRule="auto"/>
      </w:pPr>
      <w:r w:rsidRPr="00EB71CB">
        <w:t xml:space="preserve">For an </w:t>
      </w:r>
      <w:r w:rsidR="00FA3B6C">
        <w:t>MSR</w:t>
      </w:r>
      <w:r w:rsidRPr="00EB71CB">
        <w:t xml:space="preserve">, the </w:t>
      </w:r>
      <w:r w:rsidR="006914F9">
        <w:t>M</w:t>
      </w:r>
      <w:r w:rsidRPr="00EB71CB">
        <w:t xml:space="preserve">itigated Energy Offer Curve methodology may include, but must not exceed, (i) charging cost and (ii) opportunity cost, both adjusted for round-trip efficiency; as further detailed in Appendix D. </w:t>
      </w:r>
    </w:p>
    <w:p w14:paraId="58AD2F57" w14:textId="77777777" w:rsidR="00A734BE" w:rsidRPr="00261AF2" w:rsidRDefault="00A734BE" w:rsidP="00A310BF">
      <w:pPr>
        <w:numPr>
          <w:ilvl w:val="0"/>
          <w:numId w:val="253"/>
        </w:numPr>
        <w:spacing w:before="120" w:line="300" w:lineRule="auto"/>
        <w:rPr>
          <w:szCs w:val="24"/>
        </w:rPr>
      </w:pPr>
      <w:r w:rsidRPr="00261AF2">
        <w:rPr>
          <w:szCs w:val="24"/>
        </w:rPr>
        <w:t>Intra-day changes to the Mitigated Energy Offer Curve are allowed under the following conditions:</w:t>
      </w:r>
    </w:p>
    <w:p w14:paraId="06FE007D" w14:textId="20A5500A" w:rsidR="00A734BE" w:rsidRPr="00261AF2" w:rsidRDefault="00A734BE" w:rsidP="00A310BF">
      <w:pPr>
        <w:numPr>
          <w:ilvl w:val="1"/>
          <w:numId w:val="253"/>
        </w:numPr>
        <w:spacing w:before="120" w:line="300" w:lineRule="auto"/>
        <w:rPr>
          <w:szCs w:val="24"/>
        </w:rPr>
      </w:pPr>
      <w:r w:rsidRPr="00DE6B98">
        <w:rPr>
          <w:szCs w:val="24"/>
        </w:rPr>
        <w:t xml:space="preserve">In the event that the Market Operator requests that a Resource remain online past their initial commitment period by the Day-Ahead Market or a RUC process, the Market Participant may submit an updated </w:t>
      </w:r>
      <w:r w:rsidR="006914F9">
        <w:rPr>
          <w:szCs w:val="24"/>
        </w:rPr>
        <w:t>M</w:t>
      </w:r>
      <w:r w:rsidRPr="00DE6B98">
        <w:rPr>
          <w:szCs w:val="24"/>
        </w:rPr>
        <w:t>itigated Energy Offer Curve that reflects the procurement of higher cost fuel;</w:t>
      </w:r>
      <w:r>
        <w:rPr>
          <w:szCs w:val="24"/>
        </w:rPr>
        <w:t xml:space="preserve"> </w:t>
      </w:r>
    </w:p>
    <w:p w14:paraId="596573C1" w14:textId="77777777" w:rsidR="00A734BE" w:rsidRPr="00261AF2" w:rsidRDefault="00A734BE" w:rsidP="00A310BF">
      <w:pPr>
        <w:numPr>
          <w:ilvl w:val="1"/>
          <w:numId w:val="253"/>
        </w:numPr>
        <w:spacing w:before="120" w:line="300" w:lineRule="auto"/>
        <w:rPr>
          <w:szCs w:val="24"/>
        </w:rPr>
      </w:pPr>
      <w:r w:rsidRPr="00261AF2">
        <w:rPr>
          <w:szCs w:val="24"/>
        </w:rPr>
        <w:t>A Resource must switch fuels due to unforeseen operating conditions;</w:t>
      </w:r>
    </w:p>
    <w:p w14:paraId="2416A3BC" w14:textId="4E1B31E0" w:rsidR="00A734BE" w:rsidRPr="00261AF2" w:rsidRDefault="00A734BE" w:rsidP="00A310BF">
      <w:pPr>
        <w:numPr>
          <w:ilvl w:val="1"/>
          <w:numId w:val="253"/>
        </w:numPr>
        <w:spacing w:before="120" w:line="300" w:lineRule="auto"/>
        <w:rPr>
          <w:szCs w:val="24"/>
        </w:rPr>
      </w:pPr>
      <w:r w:rsidRPr="00261AF2">
        <w:rPr>
          <w:szCs w:val="24"/>
        </w:rPr>
        <w:t xml:space="preserve">The Resource is </w:t>
      </w:r>
      <w:r w:rsidR="00287577">
        <w:rPr>
          <w:szCs w:val="24"/>
        </w:rPr>
        <w:t>registered as an MSR;</w:t>
      </w:r>
      <w:r>
        <w:rPr>
          <w:szCs w:val="24"/>
        </w:rPr>
        <w:t>or</w:t>
      </w:r>
    </w:p>
    <w:p w14:paraId="13941700" w14:textId="77777777" w:rsidR="00A734BE" w:rsidRPr="004222B4" w:rsidRDefault="00A734BE" w:rsidP="00A310BF">
      <w:pPr>
        <w:numPr>
          <w:ilvl w:val="1"/>
          <w:numId w:val="253"/>
        </w:numPr>
        <w:spacing w:before="120" w:line="300" w:lineRule="auto"/>
        <w:rPr>
          <w:szCs w:val="24"/>
        </w:rPr>
      </w:pPr>
      <w:r w:rsidRPr="004222B4">
        <w:rPr>
          <w:szCs w:val="24"/>
        </w:rPr>
        <w:t>As approved by the Market Monitor during periods of high intraday fuel volatilit</w:t>
      </w:r>
      <w:r>
        <w:rPr>
          <w:szCs w:val="24"/>
        </w:rPr>
        <w:t>y</w:t>
      </w:r>
      <w:r w:rsidRPr="004222B4">
        <w:rPr>
          <w:szCs w:val="24"/>
        </w:rPr>
        <w:t xml:space="preserve">. </w:t>
      </w:r>
    </w:p>
    <w:p w14:paraId="33431B37" w14:textId="04553A3E" w:rsidR="00A734BE" w:rsidRPr="004222B4" w:rsidRDefault="00A734BE" w:rsidP="00A310BF">
      <w:pPr>
        <w:spacing w:before="120" w:line="300" w:lineRule="auto"/>
        <w:ind w:left="720"/>
        <w:rPr>
          <w:szCs w:val="24"/>
        </w:rPr>
      </w:pPr>
      <w:r w:rsidRPr="004222B4">
        <w:rPr>
          <w:szCs w:val="24"/>
        </w:rPr>
        <w:t>Intra-day changes to the Mitigat</w:t>
      </w:r>
      <w:r w:rsidR="006914F9">
        <w:rPr>
          <w:szCs w:val="24"/>
        </w:rPr>
        <w:t>ed</w:t>
      </w:r>
      <w:r w:rsidRPr="004222B4">
        <w:rPr>
          <w:szCs w:val="24"/>
        </w:rPr>
        <w:t xml:space="preserve"> Energy Offer Curve must follow the Mitigated Offer Development Guidelines and will be validated by the Market Monitor.</w:t>
      </w:r>
    </w:p>
    <w:p w14:paraId="3077DA02" w14:textId="44B47266" w:rsidR="00A734BE" w:rsidRPr="00261AF2" w:rsidRDefault="00A734BE" w:rsidP="00A310BF">
      <w:pPr>
        <w:numPr>
          <w:ilvl w:val="0"/>
          <w:numId w:val="253"/>
        </w:numPr>
        <w:spacing w:before="120" w:line="300" w:lineRule="auto"/>
        <w:rPr>
          <w:szCs w:val="24"/>
        </w:rPr>
      </w:pPr>
      <w:r w:rsidRPr="004222B4">
        <w:rPr>
          <w:szCs w:val="24"/>
        </w:rPr>
        <w:t xml:space="preserve">A Market Participant that has a Resource with short-run marginal costs greater than the Energy Offer Soft Cap specified in Section </w:t>
      </w:r>
      <w:r w:rsidR="004E4DC3">
        <w:rPr>
          <w:szCs w:val="24"/>
        </w:rPr>
        <w:fldChar w:fldCharType="begin"/>
      </w:r>
      <w:r w:rsidR="004E4DC3">
        <w:rPr>
          <w:szCs w:val="24"/>
        </w:rPr>
        <w:instrText xml:space="preserve"> REF _Ref265244269 \r \h </w:instrText>
      </w:r>
      <w:r w:rsidR="004E4DC3">
        <w:rPr>
          <w:szCs w:val="24"/>
        </w:rPr>
      </w:r>
      <w:r w:rsidR="004E4DC3">
        <w:rPr>
          <w:szCs w:val="24"/>
        </w:rPr>
        <w:fldChar w:fldCharType="separate"/>
      </w:r>
      <w:r w:rsidR="004E4DC3">
        <w:rPr>
          <w:szCs w:val="24"/>
        </w:rPr>
        <w:t>11.2.5</w:t>
      </w:r>
      <w:r w:rsidR="004E4DC3">
        <w:rPr>
          <w:szCs w:val="24"/>
        </w:rPr>
        <w:fldChar w:fldCharType="end"/>
      </w:r>
      <w:r w:rsidRPr="004222B4">
        <w:rPr>
          <w:szCs w:val="24"/>
        </w:rPr>
        <w:t xml:space="preserve"> may submit an Energy Offer Curve using the same guidelines for the development of the </w:t>
      </w:r>
      <w:r w:rsidRPr="00A108B9">
        <w:rPr>
          <w:szCs w:val="24"/>
        </w:rPr>
        <w:t xml:space="preserve">Resource’s Mitigated Energy Offer Curve established in Appendix </w:t>
      </w:r>
      <w:r w:rsidR="004A3D6D">
        <w:rPr>
          <w:szCs w:val="24"/>
        </w:rPr>
        <w:t>D</w:t>
      </w:r>
      <w:r w:rsidRPr="00A108B9">
        <w:rPr>
          <w:szCs w:val="24"/>
        </w:rPr>
        <w:t>.  The Energy Offer Curve above $1,000/MWh must be equal to the Mitigated Energy Offer Curve and may include an adder with a maximum of $100/MWh due to the uncertainty of expected costs.  For purposes of LMP calculation, the Energy Offer Curve will be limited to a maximum of $2,000/MWh and must be verified by the Market Monitor prior to the start of the applicable market clearing process.  If the Energy Offer Curve cannot be verified prior to the start of the applicable market clearing process, then the Resource may be eligible to receive make whole payments for its actual costs after verification by the Market Monitor.  The default value is $1,000/MWh for any offer above $1,000/MWh until the offer can be verified.  If the verified Energy Offer Curve is greater than $2,000/MWh, the Energy Offer Curve will be capped at $2,000/MWh in the applicable market clearing process, and the Resource may be eligible for make whole payments for actual costs exceeding $2,000/MWh.  Market Participants must submit evidence of actual costs to the Market Monitor.  The Market Monitor must verify the actual costs for use in make whole payments.  In</w:t>
      </w:r>
      <w:r w:rsidRPr="00261AF2">
        <w:rPr>
          <w:szCs w:val="24"/>
        </w:rPr>
        <w:t xml:space="preserve"> order to include the costs in the make whole payments by the S120 Settlement Statement, the submission must occur within </w:t>
      </w:r>
      <w:r w:rsidR="00896E5E">
        <w:rPr>
          <w:szCs w:val="24"/>
        </w:rPr>
        <w:t>seventy-five (</w:t>
      </w:r>
      <w:r w:rsidRPr="00261AF2">
        <w:rPr>
          <w:szCs w:val="24"/>
        </w:rPr>
        <w:t>75</w:t>
      </w:r>
      <w:r w:rsidR="00896E5E">
        <w:rPr>
          <w:szCs w:val="24"/>
        </w:rPr>
        <w:t>)</w:t>
      </w:r>
      <w:r w:rsidRPr="00261AF2">
        <w:rPr>
          <w:szCs w:val="24"/>
        </w:rPr>
        <w:t xml:space="preserve"> </w:t>
      </w:r>
      <w:r w:rsidRPr="0CBCF3EB">
        <w:rPr>
          <w:szCs w:val="24"/>
        </w:rPr>
        <w:t>Calendar Day</w:t>
      </w:r>
      <w:r w:rsidRPr="00261AF2">
        <w:rPr>
          <w:szCs w:val="24"/>
        </w:rPr>
        <w:t xml:space="preserve">s after the Operating </w:t>
      </w:r>
      <w:r w:rsidRPr="30D4B76D">
        <w:rPr>
          <w:szCs w:val="24"/>
        </w:rPr>
        <w:t>Day and</w:t>
      </w:r>
      <w:r w:rsidRPr="00261AF2">
        <w:rPr>
          <w:szCs w:val="24"/>
        </w:rPr>
        <w:t xml:space="preserve"> the verification must be complete no later than noon on the business day prior to 105 </w:t>
      </w:r>
      <w:r w:rsidRPr="0CBCF3EB">
        <w:rPr>
          <w:szCs w:val="24"/>
        </w:rPr>
        <w:t>Calendar Day</w:t>
      </w:r>
      <w:r w:rsidRPr="00261AF2">
        <w:rPr>
          <w:szCs w:val="24"/>
        </w:rPr>
        <w:t>s after the Operating Day.</w:t>
      </w:r>
    </w:p>
    <w:p w14:paraId="00F34E14" w14:textId="33772EC7" w:rsidR="00A734BE" w:rsidRPr="00261AF2" w:rsidRDefault="00A734BE" w:rsidP="00A310BF">
      <w:pPr>
        <w:numPr>
          <w:ilvl w:val="0"/>
          <w:numId w:val="253"/>
        </w:numPr>
        <w:spacing w:before="120" w:line="300" w:lineRule="auto"/>
        <w:rPr>
          <w:szCs w:val="24"/>
        </w:rPr>
      </w:pPr>
      <w:r w:rsidRPr="00261AF2">
        <w:rPr>
          <w:szCs w:val="24"/>
        </w:rPr>
        <w:t xml:space="preserve">In all cases under this Section </w:t>
      </w:r>
      <w:r>
        <w:rPr>
          <w:szCs w:val="24"/>
        </w:rPr>
        <w:t>1</w:t>
      </w:r>
      <w:r w:rsidR="00A91288">
        <w:rPr>
          <w:szCs w:val="24"/>
        </w:rPr>
        <w:t>2</w:t>
      </w:r>
      <w:r w:rsidRPr="00261AF2">
        <w:rPr>
          <w:szCs w:val="24"/>
        </w:rPr>
        <w:t xml:space="preserve">, cost data submitted for the development of mitigated offers, including opportunity cost data, </w:t>
      </w:r>
      <w:r>
        <w:rPr>
          <w:szCs w:val="24"/>
        </w:rPr>
        <w:t>are</w:t>
      </w:r>
      <w:r w:rsidRPr="00261AF2">
        <w:rPr>
          <w:szCs w:val="24"/>
        </w:rPr>
        <w:t xml:space="preserve"> subject to the confidentiality provisions set forth in Attachment A </w:t>
      </w:r>
      <w:r w:rsidR="00560BF1">
        <w:rPr>
          <w:szCs w:val="24"/>
        </w:rPr>
        <w:t>of</w:t>
      </w:r>
      <w:r w:rsidR="00560BF1" w:rsidRPr="00261AF2">
        <w:rPr>
          <w:szCs w:val="24"/>
        </w:rPr>
        <w:t xml:space="preserve"> </w:t>
      </w:r>
      <w:r w:rsidRPr="00261AF2">
        <w:rPr>
          <w:szCs w:val="24"/>
        </w:rPr>
        <w:t xml:space="preserve">the </w:t>
      </w:r>
      <w:r w:rsidRPr="00E6100D">
        <w:rPr>
          <w:szCs w:val="24"/>
        </w:rPr>
        <w:t>Markets+ Tariff</w:t>
      </w:r>
      <w:r w:rsidRPr="00261AF2">
        <w:rPr>
          <w:szCs w:val="24"/>
        </w:rPr>
        <w:t>.</w:t>
      </w:r>
    </w:p>
    <w:p w14:paraId="11071675" w14:textId="1D83B5A4" w:rsidR="00A734BE" w:rsidRDefault="00A734BE" w:rsidP="00A310BF">
      <w:pPr>
        <w:pStyle w:val="Normal270"/>
        <w:numPr>
          <w:ilvl w:val="0"/>
          <w:numId w:val="253"/>
        </w:numPr>
        <w:spacing w:before="120" w:after="120" w:line="300" w:lineRule="auto"/>
        <w:jc w:val="both"/>
      </w:pPr>
      <w:r w:rsidRPr="00E94F34">
        <w:t xml:space="preserve">For hydroelectric Resources with storage capability, including a Resource </w:t>
      </w:r>
      <w:r w:rsidR="00A91288">
        <w:t>A</w:t>
      </w:r>
      <w:r w:rsidRPr="00E94F34">
        <w:t xml:space="preserve">ggregation, as defined in this Section </w:t>
      </w:r>
      <w:r>
        <w:t>1</w:t>
      </w:r>
      <w:r w:rsidR="00A91288">
        <w:t>2</w:t>
      </w:r>
      <w:r w:rsidRPr="00E94F34">
        <w:t>, Market Participants may elect to use the SHOC calculation</w:t>
      </w:r>
      <w:r w:rsidRPr="00B23778">
        <w:t xml:space="preserve">.  </w:t>
      </w:r>
      <w:r>
        <w:t xml:space="preserve"> </w:t>
      </w:r>
      <w:r w:rsidRPr="00B23778">
        <w:t xml:space="preserve">The SHOC consists of three </w:t>
      </w:r>
      <w:r w:rsidR="00560BF1">
        <w:t xml:space="preserve">(3) </w:t>
      </w:r>
      <w:r w:rsidRPr="00B23778">
        <w:t>elements which are reported by the Market Participant, to the Market Monitor, for all operating hours of every Operating Day for the duration of the Market Participant</w:t>
      </w:r>
      <w:r w:rsidR="00560BF1">
        <w:t>’</w:t>
      </w:r>
      <w:r w:rsidRPr="00B23778">
        <w:t xml:space="preserve">s SHOC request. </w:t>
      </w:r>
      <w:r>
        <w:t xml:space="preserve">See Appendix D for details on how to include these opportunity costs. </w:t>
      </w:r>
    </w:p>
    <w:p w14:paraId="57F53B07" w14:textId="1C3025ED" w:rsidR="00A734BE" w:rsidRDefault="00A734BE" w:rsidP="00A310BF">
      <w:pPr>
        <w:pStyle w:val="Normal270"/>
        <w:numPr>
          <w:ilvl w:val="0"/>
          <w:numId w:val="253"/>
        </w:numPr>
        <w:spacing w:before="120" w:after="120" w:line="300" w:lineRule="auto"/>
        <w:jc w:val="both"/>
      </w:pPr>
      <w:r>
        <w:t xml:space="preserve">For a Specified GHG Adder in a Resource Offer, the same requirements for establishing and submitting a </w:t>
      </w:r>
      <w:r w:rsidR="00B20CD3">
        <w:t>M</w:t>
      </w:r>
      <w:r>
        <w:t xml:space="preserve">itigated </w:t>
      </w:r>
      <w:r w:rsidR="00B20CD3">
        <w:t>O</w:t>
      </w:r>
      <w:r>
        <w:t xml:space="preserve">ffer </w:t>
      </w:r>
      <w:r w:rsidR="00B20CD3">
        <w:t>Development M</w:t>
      </w:r>
      <w:r>
        <w:t xml:space="preserve">ethodology to the Market Monitor apply as found in Appendix D. </w:t>
      </w:r>
    </w:p>
    <w:p w14:paraId="75E66D8B" w14:textId="2F749FE4" w:rsidR="00A734BE" w:rsidRPr="00923EB3" w:rsidRDefault="00A734BE" w:rsidP="00A310BF">
      <w:pPr>
        <w:pStyle w:val="Normal270"/>
        <w:numPr>
          <w:ilvl w:val="0"/>
          <w:numId w:val="253"/>
        </w:numPr>
        <w:spacing w:before="120" w:after="120" w:line="300" w:lineRule="auto"/>
        <w:jc w:val="both"/>
      </w:pPr>
      <w:r>
        <w:t>The Specified GHG Adder must reflect the applicable emissions allowance price multiplied by the applicable emissions factor assessed by the relevant authority for each Resource.  The Specified GHG Adder is subject to the same requirements for offer validation as mitigated offers in Appendix D.  Upon request from the Market Monitor, Market Participants must provide support for the elements of the Specified GHG Adder.</w:t>
      </w:r>
    </w:p>
    <w:p w14:paraId="24056888" w14:textId="77777777" w:rsidR="00A734BE" w:rsidRPr="00A93CD4" w:rsidRDefault="00A734BE" w:rsidP="00574EDE">
      <w:pPr>
        <w:pStyle w:val="Heading4"/>
      </w:pPr>
      <w:bookmarkStart w:id="8285" w:name="_Toc141100859"/>
      <w:bookmarkStart w:id="8286" w:name="_Toc213772148"/>
      <w:bookmarkStart w:id="8287" w:name="_Ref323550198"/>
      <w:bookmarkStart w:id="8288" w:name="_Toc159233576"/>
      <w:r>
        <w:t>Mitigation Measures for Start-Up and No-Load Offers</w:t>
      </w:r>
      <w:bookmarkEnd w:id="8285"/>
      <w:bookmarkEnd w:id="8286"/>
    </w:p>
    <w:bookmarkEnd w:id="8287"/>
    <w:bookmarkEnd w:id="8288"/>
    <w:p w14:paraId="7E87E6C5" w14:textId="67CA9B75" w:rsidR="00A734BE" w:rsidRPr="002F1900" w:rsidRDefault="00A734BE" w:rsidP="00A310BF">
      <w:pPr>
        <w:pStyle w:val="Normal271"/>
        <w:numPr>
          <w:ilvl w:val="0"/>
          <w:numId w:val="254"/>
        </w:numPr>
        <w:spacing w:before="120" w:after="120" w:line="300" w:lineRule="auto"/>
        <w:jc w:val="both"/>
      </w:pPr>
      <w:r>
        <w:t xml:space="preserve">A Market Participant must submit a </w:t>
      </w:r>
      <w:r w:rsidR="002F1236">
        <w:t>M</w:t>
      </w:r>
      <w:r>
        <w:t xml:space="preserve">itigated Start-Up Offer and a </w:t>
      </w:r>
      <w:r w:rsidR="002F1236">
        <w:t>M</w:t>
      </w:r>
      <w:r>
        <w:t xml:space="preserve">itigated No-Load Offer for each Resource in accordance with the mitigated offer development guidelines found in Appendix D.  The </w:t>
      </w:r>
      <w:r w:rsidR="002F1236">
        <w:t>M</w:t>
      </w:r>
      <w:r>
        <w:t xml:space="preserve">itigated Start-Up </w:t>
      </w:r>
      <w:r w:rsidR="002F1236">
        <w:t xml:space="preserve">Offers </w:t>
      </w:r>
      <w:r>
        <w:t xml:space="preserve">and </w:t>
      </w:r>
      <w:r w:rsidR="002F1236">
        <w:t>Mitigated</w:t>
      </w:r>
      <w:r>
        <w:t xml:space="preserve"> No-Load Offers may be updated up to the close of the Day-Ahead Market for use in the Day-Ahead Market.  In the case a Resource is not committed by the Day-Ahead Market, the Start-Up and No-Load Offers may be updated until the Day-Ahead RUC process begins.  The </w:t>
      </w:r>
      <w:r w:rsidR="002F1236">
        <w:t>M</w:t>
      </w:r>
      <w:r>
        <w:t xml:space="preserve">itigated Start-Up </w:t>
      </w:r>
      <w:r w:rsidR="002F1236">
        <w:t xml:space="preserve">Offers </w:t>
      </w:r>
      <w:r>
        <w:t xml:space="preserve">and </w:t>
      </w:r>
      <w:r w:rsidR="002F1236">
        <w:t>Mitigated</w:t>
      </w:r>
      <w:r>
        <w:t xml:space="preserve"> No-Load Offers submitted at the time the Day-Ahead RUC process begins will apply to the Day-Ahead RUC process on the day before the Operating Day and the Intra-Day RUC process on the Operating Day, unless an exception is allowed in </w:t>
      </w:r>
      <w:r w:rsidR="00766F14">
        <w:t xml:space="preserve">this </w:t>
      </w:r>
      <w:r w:rsidR="00B02160">
        <w:t>s</w:t>
      </w:r>
      <w:r w:rsidR="00766F14">
        <w:t>ection</w:t>
      </w:r>
      <w:r>
        <w:t>.</w:t>
      </w:r>
    </w:p>
    <w:p w14:paraId="3EAD0AB4" w14:textId="30042533" w:rsidR="00A734BE" w:rsidRPr="002F1900" w:rsidRDefault="00A734BE" w:rsidP="00A310BF">
      <w:pPr>
        <w:numPr>
          <w:ilvl w:val="0"/>
          <w:numId w:val="254"/>
        </w:numPr>
        <w:spacing w:before="120" w:line="300" w:lineRule="auto"/>
        <w:rPr>
          <w:szCs w:val="24"/>
        </w:rPr>
      </w:pPr>
      <w:r w:rsidRPr="002F1900">
        <w:rPr>
          <w:szCs w:val="28"/>
        </w:rPr>
        <w:t xml:space="preserve">The Start-Up and No-Load Offer conduct threshold is a 25% increase above the </w:t>
      </w:r>
      <w:r w:rsidR="002F1236">
        <w:rPr>
          <w:szCs w:val="28"/>
        </w:rPr>
        <w:t>M</w:t>
      </w:r>
      <w:r w:rsidRPr="002F1900">
        <w:rPr>
          <w:szCs w:val="28"/>
        </w:rPr>
        <w:t xml:space="preserve">itigated Start-Up </w:t>
      </w:r>
      <w:r w:rsidR="002F1236">
        <w:rPr>
          <w:szCs w:val="28"/>
        </w:rPr>
        <w:t xml:space="preserve">Offer </w:t>
      </w:r>
      <w:r w:rsidRPr="002F1900">
        <w:rPr>
          <w:szCs w:val="28"/>
        </w:rPr>
        <w:t xml:space="preserve">or </w:t>
      </w:r>
      <w:r w:rsidR="002F1236">
        <w:rPr>
          <w:szCs w:val="28"/>
        </w:rPr>
        <w:t>M</w:t>
      </w:r>
      <w:r w:rsidRPr="002F1900">
        <w:rPr>
          <w:szCs w:val="28"/>
        </w:rPr>
        <w:t>itigated No-Load Offer, as applicable</w:t>
      </w:r>
      <w:r w:rsidRPr="002F1900">
        <w:rPr>
          <w:sz w:val="28"/>
          <w:szCs w:val="28"/>
        </w:rPr>
        <w:t xml:space="preserve">. </w:t>
      </w:r>
    </w:p>
    <w:p w14:paraId="0F806E0A" w14:textId="2A13F4FD" w:rsidR="00A734BE" w:rsidRPr="002F1900" w:rsidRDefault="00A734BE" w:rsidP="00A310BF">
      <w:pPr>
        <w:numPr>
          <w:ilvl w:val="0"/>
          <w:numId w:val="254"/>
        </w:numPr>
        <w:spacing w:before="120" w:line="300" w:lineRule="auto"/>
      </w:pPr>
      <w:r w:rsidRPr="002F1900">
        <w:rPr>
          <w:szCs w:val="24"/>
        </w:rPr>
        <w:t xml:space="preserve">The Market Operator applies mitigation measures by placing a cap on the Start-Up or No-Load Offer of 25% above the applicable </w:t>
      </w:r>
      <w:r w:rsidR="002F1236">
        <w:rPr>
          <w:szCs w:val="24"/>
        </w:rPr>
        <w:t>M</w:t>
      </w:r>
      <w:r w:rsidRPr="002F1900">
        <w:rPr>
          <w:szCs w:val="24"/>
        </w:rPr>
        <w:t xml:space="preserve">itigated Start-Up </w:t>
      </w:r>
      <w:r w:rsidR="002F1236">
        <w:rPr>
          <w:szCs w:val="24"/>
        </w:rPr>
        <w:t>Offer</w:t>
      </w:r>
      <w:r w:rsidRPr="002F1900">
        <w:rPr>
          <w:szCs w:val="24"/>
        </w:rPr>
        <w:t xml:space="preserve"> or </w:t>
      </w:r>
      <w:r w:rsidR="002F1236">
        <w:rPr>
          <w:szCs w:val="24"/>
        </w:rPr>
        <w:t xml:space="preserve">Mitigated </w:t>
      </w:r>
      <w:r w:rsidRPr="002F1900">
        <w:rPr>
          <w:szCs w:val="24"/>
        </w:rPr>
        <w:t>No-Load Offer if:</w:t>
      </w:r>
    </w:p>
    <w:p w14:paraId="4D0A3685" w14:textId="52F6E97A" w:rsidR="00A734BE" w:rsidRPr="002F1900" w:rsidRDefault="00A734BE" w:rsidP="00A310BF">
      <w:pPr>
        <w:pStyle w:val="Normal271"/>
        <w:spacing w:before="120" w:after="120" w:line="300" w:lineRule="auto"/>
        <w:ind w:left="1440" w:hanging="720"/>
        <w:jc w:val="both"/>
      </w:pPr>
      <w:r w:rsidRPr="002F1900">
        <w:t>(1)</w:t>
      </w:r>
      <w:r w:rsidRPr="002F1900">
        <w:tab/>
        <w:t xml:space="preserve">The Resource’s Start-Up or No-Load Offer exceeds the </w:t>
      </w:r>
      <w:r w:rsidR="000C0128">
        <w:t>M</w:t>
      </w:r>
      <w:r w:rsidRPr="002F1900">
        <w:t xml:space="preserve">itigated Start-Up </w:t>
      </w:r>
      <w:r w:rsidR="002F1236">
        <w:t>Offer</w:t>
      </w:r>
      <w:r w:rsidRPr="002F1900">
        <w:t xml:space="preserve"> or </w:t>
      </w:r>
      <w:r w:rsidR="000C0128">
        <w:t>M</w:t>
      </w:r>
      <w:r w:rsidRPr="002F1900">
        <w:t>itigated No-Load Offer, as applicable, by the applicable conduct threshold; and</w:t>
      </w:r>
    </w:p>
    <w:p w14:paraId="1BDA71B2" w14:textId="5BC8A51D" w:rsidR="00A734BE" w:rsidRPr="002F1900" w:rsidRDefault="00A734BE" w:rsidP="00A310BF">
      <w:pPr>
        <w:pStyle w:val="Normal271"/>
        <w:spacing w:before="120" w:after="120" w:line="300" w:lineRule="auto"/>
        <w:ind w:left="1440" w:hanging="720"/>
        <w:jc w:val="both"/>
      </w:pPr>
      <w:r w:rsidRPr="002F1900">
        <w:t>(2)</w:t>
      </w:r>
      <w:r w:rsidRPr="002F1900">
        <w:tab/>
        <w:t xml:space="preserve">The Resource has market power as defined in </w:t>
      </w:r>
      <w:r w:rsidR="00BF0BC4">
        <w:t>S</w:t>
      </w:r>
      <w:r w:rsidRPr="002F1900">
        <w:t xml:space="preserve">ection </w:t>
      </w:r>
      <w:r w:rsidR="0012196A">
        <w:fldChar w:fldCharType="begin"/>
      </w:r>
      <w:r w:rsidR="0012196A">
        <w:instrText xml:space="preserve"> REF _Ref212628450 \r \h </w:instrText>
      </w:r>
      <w:r w:rsidR="0012196A">
        <w:fldChar w:fldCharType="separate"/>
      </w:r>
      <w:r w:rsidR="0012196A">
        <w:t>11.2.2.9</w:t>
      </w:r>
      <w:r w:rsidR="0012196A">
        <w:fldChar w:fldCharType="end"/>
      </w:r>
      <w:r w:rsidRPr="002F1900">
        <w:t>(1) and (3); and</w:t>
      </w:r>
    </w:p>
    <w:p w14:paraId="26488A4A" w14:textId="4D2C1402" w:rsidR="00A734BE" w:rsidRPr="002F1900" w:rsidRDefault="00A734BE" w:rsidP="00A310BF">
      <w:pPr>
        <w:spacing w:before="120" w:line="300" w:lineRule="auto"/>
        <w:ind w:left="720"/>
        <w:rPr>
          <w:szCs w:val="24"/>
        </w:rPr>
      </w:pPr>
      <w:r w:rsidRPr="002F1900">
        <w:rPr>
          <w:szCs w:val="24"/>
        </w:rPr>
        <w:t>(3)</w:t>
      </w:r>
      <w:r w:rsidRPr="002F1900">
        <w:tab/>
      </w:r>
      <w:r w:rsidRPr="002F1900">
        <w:rPr>
          <w:szCs w:val="24"/>
        </w:rPr>
        <w:t xml:space="preserve">The Resource fails the Market Impact Test as defined in </w:t>
      </w:r>
      <w:r w:rsidR="00BF0BC4">
        <w:rPr>
          <w:szCs w:val="24"/>
        </w:rPr>
        <w:t>S</w:t>
      </w:r>
      <w:r w:rsidRPr="002F1900">
        <w:rPr>
          <w:szCs w:val="24"/>
        </w:rPr>
        <w:t xml:space="preserve">ection </w:t>
      </w:r>
      <w:r w:rsidR="005153D9">
        <w:rPr>
          <w:szCs w:val="24"/>
        </w:rPr>
        <w:fldChar w:fldCharType="begin"/>
      </w:r>
      <w:r w:rsidR="005153D9">
        <w:rPr>
          <w:szCs w:val="24"/>
        </w:rPr>
        <w:instrText xml:space="preserve"> REF _Ref323550387 \r \h </w:instrText>
      </w:r>
      <w:r w:rsidR="005153D9">
        <w:rPr>
          <w:szCs w:val="24"/>
        </w:rPr>
      </w:r>
      <w:r w:rsidR="005153D9">
        <w:rPr>
          <w:szCs w:val="24"/>
        </w:rPr>
        <w:fldChar w:fldCharType="separate"/>
      </w:r>
      <w:r w:rsidR="005153D9">
        <w:rPr>
          <w:szCs w:val="24"/>
        </w:rPr>
        <w:t>11.2.2.11</w:t>
      </w:r>
      <w:r w:rsidR="005153D9">
        <w:rPr>
          <w:szCs w:val="24"/>
        </w:rPr>
        <w:fldChar w:fldCharType="end"/>
      </w:r>
      <w:r w:rsidRPr="002F1900">
        <w:rPr>
          <w:szCs w:val="24"/>
        </w:rPr>
        <w:t>.</w:t>
      </w:r>
    </w:p>
    <w:p w14:paraId="47EDFD71" w14:textId="7370F160" w:rsidR="00A734BE" w:rsidRPr="00261AF2" w:rsidRDefault="00A734BE" w:rsidP="00A310BF">
      <w:pPr>
        <w:numPr>
          <w:ilvl w:val="0"/>
          <w:numId w:val="254"/>
        </w:numPr>
        <w:spacing w:before="120" w:line="300" w:lineRule="auto"/>
        <w:rPr>
          <w:szCs w:val="24"/>
        </w:rPr>
      </w:pPr>
      <w:r w:rsidRPr="002F1900">
        <w:rPr>
          <w:szCs w:val="24"/>
        </w:rPr>
        <w:t xml:space="preserve">For a Resource that has market power as determined in </w:t>
      </w:r>
      <w:r w:rsidR="00BF0BC4">
        <w:rPr>
          <w:szCs w:val="24"/>
        </w:rPr>
        <w:t>S</w:t>
      </w:r>
      <w:r w:rsidRPr="002F1900">
        <w:rPr>
          <w:szCs w:val="24"/>
        </w:rPr>
        <w:t xml:space="preserve">ection </w:t>
      </w:r>
      <w:r w:rsidR="00E8083E">
        <w:rPr>
          <w:szCs w:val="24"/>
        </w:rPr>
        <w:fldChar w:fldCharType="begin"/>
      </w:r>
      <w:r w:rsidR="00E8083E">
        <w:rPr>
          <w:szCs w:val="24"/>
        </w:rPr>
        <w:instrText xml:space="preserve"> REF _Ref212628561 \r \h </w:instrText>
      </w:r>
      <w:r w:rsidR="00E8083E">
        <w:rPr>
          <w:szCs w:val="24"/>
        </w:rPr>
      </w:r>
      <w:r w:rsidR="00E8083E">
        <w:rPr>
          <w:szCs w:val="24"/>
        </w:rPr>
        <w:fldChar w:fldCharType="separate"/>
      </w:r>
      <w:r w:rsidR="00E8083E">
        <w:rPr>
          <w:szCs w:val="24"/>
        </w:rPr>
        <w:t>11.1.4.3</w:t>
      </w:r>
      <w:r w:rsidR="00E8083E">
        <w:rPr>
          <w:szCs w:val="24"/>
        </w:rPr>
        <w:fldChar w:fldCharType="end"/>
      </w:r>
      <w:r w:rsidRPr="002F1900">
        <w:rPr>
          <w:szCs w:val="24"/>
        </w:rPr>
        <w:t>(2), the Market Operator will apply mitigation measures by placing a cap on the Start-Up or No-Load</w:t>
      </w:r>
      <w:r w:rsidRPr="00261AF2">
        <w:rPr>
          <w:szCs w:val="24"/>
        </w:rPr>
        <w:t xml:space="preserve"> Offer of 10% above the Mitigated Start-Up Offer or Mitigated No-Load Offer</w:t>
      </w:r>
      <w:r w:rsidRPr="30D4B76D">
        <w:rPr>
          <w:szCs w:val="24"/>
        </w:rPr>
        <w:t>, as applicable</w:t>
      </w:r>
      <w:r w:rsidRPr="00261AF2">
        <w:rPr>
          <w:szCs w:val="24"/>
        </w:rPr>
        <w:t>.</w:t>
      </w:r>
    </w:p>
    <w:p w14:paraId="1020B99C" w14:textId="77777777" w:rsidR="00A734BE" w:rsidRPr="00261AF2" w:rsidRDefault="00A734BE" w:rsidP="00A310BF">
      <w:pPr>
        <w:numPr>
          <w:ilvl w:val="0"/>
          <w:numId w:val="254"/>
        </w:numPr>
        <w:tabs>
          <w:tab w:val="left" w:pos="2070"/>
        </w:tabs>
        <w:spacing w:before="120" w:line="300" w:lineRule="auto"/>
        <w:rPr>
          <w:szCs w:val="24"/>
        </w:rPr>
      </w:pPr>
      <w:r w:rsidRPr="00261AF2">
        <w:rPr>
          <w:szCs w:val="24"/>
        </w:rPr>
        <w:t xml:space="preserve">The Mitigated Start-Up Offer </w:t>
      </w:r>
      <w:r w:rsidRPr="30D4B76D">
        <w:rPr>
          <w:szCs w:val="24"/>
        </w:rPr>
        <w:t xml:space="preserve">must </w:t>
      </w:r>
      <w:r w:rsidRPr="00261AF2">
        <w:rPr>
          <w:szCs w:val="24"/>
        </w:rPr>
        <w:t xml:space="preserve">represent the cost per start as determined from start fuel usage and the costs related to that fuel usage, </w:t>
      </w:r>
      <w:r w:rsidRPr="30D4B76D">
        <w:rPr>
          <w:szCs w:val="24"/>
        </w:rPr>
        <w:t xml:space="preserve">Performance Factor, cost of electricity for station use to start </w:t>
      </w:r>
      <w:r w:rsidRPr="00261AF2">
        <w:rPr>
          <w:szCs w:val="24"/>
        </w:rPr>
        <w:t>(</w:t>
      </w:r>
      <w:r w:rsidRPr="30D4B76D">
        <w:rPr>
          <w:szCs w:val="24"/>
        </w:rPr>
        <w:t>S</w:t>
      </w:r>
      <w:r w:rsidRPr="00261AF2">
        <w:rPr>
          <w:szCs w:val="24"/>
        </w:rPr>
        <w:t xml:space="preserve">tation </w:t>
      </w:r>
      <w:r w:rsidRPr="30D4B76D">
        <w:rPr>
          <w:szCs w:val="24"/>
        </w:rPr>
        <w:t>S</w:t>
      </w:r>
      <w:r w:rsidRPr="00261AF2">
        <w:rPr>
          <w:szCs w:val="24"/>
        </w:rPr>
        <w:t xml:space="preserve">ervice), </w:t>
      </w:r>
      <w:r w:rsidRPr="30D4B76D">
        <w:rPr>
          <w:szCs w:val="24"/>
        </w:rPr>
        <w:t xml:space="preserve">start-up VOM cost, </w:t>
      </w:r>
      <w:r w:rsidRPr="00261AF2">
        <w:rPr>
          <w:szCs w:val="24"/>
        </w:rPr>
        <w:t xml:space="preserve">maintenance costs attributed to starts, and additional labor costs, if required above normal station </w:t>
      </w:r>
      <w:r w:rsidRPr="30D4B76D">
        <w:rPr>
          <w:szCs w:val="24"/>
        </w:rPr>
        <w:t xml:space="preserve">staffing </w:t>
      </w:r>
      <w:r w:rsidRPr="00261AF2">
        <w:rPr>
          <w:szCs w:val="24"/>
        </w:rPr>
        <w:t xml:space="preserve">levels.  The formula for Mitigated Start-Up Offers can be found in </w:t>
      </w:r>
      <w:r w:rsidRPr="00950818">
        <w:rPr>
          <w:szCs w:val="24"/>
        </w:rPr>
        <w:t>Appendix D Section 2.8:</w:t>
      </w:r>
    </w:p>
    <w:p w14:paraId="527D5C2E" w14:textId="77777777" w:rsidR="00A734BE" w:rsidRDefault="00A734BE" w:rsidP="00A310BF">
      <w:pPr>
        <w:numPr>
          <w:ilvl w:val="0"/>
          <w:numId w:val="254"/>
        </w:numPr>
        <w:tabs>
          <w:tab w:val="left" w:pos="2070"/>
        </w:tabs>
        <w:spacing w:before="120" w:line="300" w:lineRule="auto"/>
        <w:rPr>
          <w:szCs w:val="24"/>
        </w:rPr>
      </w:pPr>
      <w:r w:rsidRPr="00261AF2">
        <w:rPr>
          <w:szCs w:val="24"/>
        </w:rPr>
        <w:t>The Mitigated Start-Up Offer for Demand Response Resources must be</w:t>
      </w:r>
      <w:r>
        <w:rPr>
          <w:szCs w:val="24"/>
        </w:rPr>
        <w:t>:</w:t>
      </w:r>
    </w:p>
    <w:p w14:paraId="2E4627A1" w14:textId="77777777" w:rsidR="00A734BE" w:rsidRPr="001B11C9" w:rsidRDefault="00A734BE" w:rsidP="00A310BF">
      <w:pPr>
        <w:numPr>
          <w:ilvl w:val="1"/>
          <w:numId w:val="254"/>
        </w:numPr>
        <w:tabs>
          <w:tab w:val="left" w:pos="2070"/>
        </w:tabs>
        <w:spacing w:before="120" w:line="300" w:lineRule="auto"/>
        <w:rPr>
          <w:szCs w:val="24"/>
        </w:rPr>
      </w:pPr>
      <w:r w:rsidRPr="001B11C9">
        <w:rPr>
          <w:szCs w:val="24"/>
        </w:rPr>
        <w:t xml:space="preserve">For load that is shut down or curtailed, the cost to shut down or curtail the load for a given period, which varies with the number of deployments rather than the amount of response, and </w:t>
      </w:r>
    </w:p>
    <w:p w14:paraId="546B19F0" w14:textId="4EE8ED3B" w:rsidR="00A734BE" w:rsidRPr="00261AF2" w:rsidRDefault="00A734BE" w:rsidP="00A310BF">
      <w:pPr>
        <w:numPr>
          <w:ilvl w:val="1"/>
          <w:numId w:val="254"/>
        </w:numPr>
        <w:tabs>
          <w:tab w:val="left" w:pos="2070"/>
        </w:tabs>
        <w:spacing w:before="120" w:line="300" w:lineRule="auto"/>
        <w:rPr>
          <w:szCs w:val="24"/>
        </w:rPr>
      </w:pPr>
      <w:r w:rsidRPr="30D4B76D">
        <w:rPr>
          <w:szCs w:val="24"/>
        </w:rPr>
        <w:t xml:space="preserve">For load that is not shut down or curtailed, the start cost of Behind-the-Meter Generation utilizing the </w:t>
      </w:r>
      <w:r w:rsidR="002F1236">
        <w:rPr>
          <w:szCs w:val="24"/>
        </w:rPr>
        <w:t>M</w:t>
      </w:r>
      <w:r w:rsidRPr="30D4B76D">
        <w:rPr>
          <w:szCs w:val="24"/>
        </w:rPr>
        <w:t>itigated Start-Up Offer calculation applicable to other generation Resources as defined above.</w:t>
      </w:r>
    </w:p>
    <w:p w14:paraId="2BCEECD9" w14:textId="18BF1475" w:rsidR="00A734BE" w:rsidRPr="00261AF2" w:rsidRDefault="00A734BE" w:rsidP="00A310BF">
      <w:pPr>
        <w:numPr>
          <w:ilvl w:val="0"/>
          <w:numId w:val="254"/>
        </w:numPr>
        <w:tabs>
          <w:tab w:val="left" w:pos="2070"/>
        </w:tabs>
        <w:spacing w:before="120" w:line="300" w:lineRule="auto"/>
        <w:rPr>
          <w:szCs w:val="24"/>
        </w:rPr>
      </w:pPr>
      <w:r w:rsidRPr="00261AF2">
        <w:rPr>
          <w:szCs w:val="24"/>
        </w:rPr>
        <w:t xml:space="preserve">The Mitigated Start-Up Offer for Variable Energy Resources </w:t>
      </w:r>
      <w:r w:rsidRPr="30D4B76D">
        <w:rPr>
          <w:szCs w:val="24"/>
        </w:rPr>
        <w:t>must</w:t>
      </w:r>
      <w:r w:rsidRPr="00261AF2">
        <w:rPr>
          <w:szCs w:val="24"/>
        </w:rPr>
        <w:t xml:space="preserve"> be zero</w:t>
      </w:r>
      <w:r w:rsidR="002F1236">
        <w:rPr>
          <w:szCs w:val="24"/>
        </w:rPr>
        <w:t xml:space="preserve"> (0)</w:t>
      </w:r>
      <w:r w:rsidRPr="00261AF2">
        <w:rPr>
          <w:szCs w:val="24"/>
        </w:rPr>
        <w:t>.</w:t>
      </w:r>
    </w:p>
    <w:p w14:paraId="3C610072" w14:textId="3904B335" w:rsidR="00A734BE" w:rsidRPr="00261AF2" w:rsidRDefault="00A734BE" w:rsidP="00A310BF">
      <w:pPr>
        <w:numPr>
          <w:ilvl w:val="0"/>
          <w:numId w:val="254"/>
        </w:numPr>
        <w:tabs>
          <w:tab w:val="left" w:pos="2070"/>
        </w:tabs>
        <w:spacing w:before="120" w:line="300" w:lineRule="auto"/>
        <w:rPr>
          <w:szCs w:val="24"/>
        </w:rPr>
      </w:pPr>
      <w:r w:rsidRPr="30D4B76D">
        <w:rPr>
          <w:szCs w:val="24"/>
        </w:rPr>
        <w:t xml:space="preserve">The </w:t>
      </w:r>
      <w:r w:rsidR="002F1236">
        <w:rPr>
          <w:szCs w:val="24"/>
        </w:rPr>
        <w:t>M</w:t>
      </w:r>
      <w:r w:rsidRPr="30D4B76D">
        <w:rPr>
          <w:szCs w:val="24"/>
        </w:rPr>
        <w:t xml:space="preserve">itigated No-Load Offer must be the hourly fixed cost, represented in $/hr, required to operate the Resource at zero </w:t>
      </w:r>
      <w:r w:rsidR="002F1236">
        <w:rPr>
          <w:szCs w:val="24"/>
        </w:rPr>
        <w:t>(0)</w:t>
      </w:r>
      <w:r w:rsidRPr="30D4B76D">
        <w:rPr>
          <w:szCs w:val="24"/>
        </w:rPr>
        <w:t xml:space="preserve"> electricity output to the grid</w:t>
      </w:r>
      <w:r>
        <w:rPr>
          <w:szCs w:val="24"/>
        </w:rPr>
        <w:t xml:space="preserve"> such that the Mitigated Energy Offer Curve is monotonically non-decreasing</w:t>
      </w:r>
      <w:r w:rsidRPr="30D4B76D">
        <w:rPr>
          <w:szCs w:val="24"/>
        </w:rPr>
        <w:t xml:space="preserve">.  The </w:t>
      </w:r>
      <w:r w:rsidR="002F1236">
        <w:rPr>
          <w:szCs w:val="24"/>
        </w:rPr>
        <w:t>M</w:t>
      </w:r>
      <w:r w:rsidRPr="30D4B76D">
        <w:rPr>
          <w:szCs w:val="24"/>
        </w:rPr>
        <w:t xml:space="preserve">itigated No-Load Offer can be calculated using either (1) the no-load fuel approach that includes no-load fuel (mmBtu/hour), Performance Factor, no-load VOM cost ($/mmBtu), total fuel related cost ($/mmBtu), and no-load major maintenance cost ($/hr); or (2) calculated using the no-load cost approach that includes heat input at Minimum Economic Capacity Operating Limit (mmBtu), Performance Factor, total fuel related cost ($/mmBtu), no-load VOM cost ($/mmBtu), incremental cost up to Minimum Economic Capacity Operating Limit ($/MWh),  Minimum Economic Capacity Operating Limit (MW), and no-load major maintenance cost ($/hr).  Further guidelines for the </w:t>
      </w:r>
      <w:r w:rsidR="002F1236">
        <w:rPr>
          <w:szCs w:val="24"/>
        </w:rPr>
        <w:t>M</w:t>
      </w:r>
      <w:r w:rsidRPr="30D4B76D">
        <w:rPr>
          <w:szCs w:val="24"/>
        </w:rPr>
        <w:t xml:space="preserve">itigated No-Load Offer are documented in Appendix </w:t>
      </w:r>
      <w:r w:rsidR="002F1236">
        <w:rPr>
          <w:szCs w:val="24"/>
        </w:rPr>
        <w:t>D</w:t>
      </w:r>
      <w:r w:rsidRPr="30D4B76D">
        <w:rPr>
          <w:szCs w:val="24"/>
        </w:rPr>
        <w:t>.</w:t>
      </w:r>
    </w:p>
    <w:p w14:paraId="705AF76B" w14:textId="002D5549" w:rsidR="00A734BE" w:rsidRPr="00A93CD4" w:rsidRDefault="00A734BE" w:rsidP="00A310BF">
      <w:pPr>
        <w:pStyle w:val="Normal271"/>
        <w:numPr>
          <w:ilvl w:val="0"/>
          <w:numId w:val="254"/>
        </w:numPr>
        <w:spacing w:before="120" w:after="120" w:line="300" w:lineRule="auto"/>
        <w:jc w:val="both"/>
      </w:pPr>
      <w:r w:rsidRPr="00A93CD4">
        <w:t xml:space="preserve">The </w:t>
      </w:r>
      <w:r w:rsidR="002F1236">
        <w:t>M</w:t>
      </w:r>
      <w:r w:rsidRPr="00A93CD4">
        <w:t xml:space="preserve">itigated No-Load Offer for </w:t>
      </w:r>
      <w:r w:rsidR="00F130B2">
        <w:t>DDRR</w:t>
      </w:r>
      <w:r w:rsidRPr="00A93CD4">
        <w:t>s utilizing Behind-</w:t>
      </w:r>
      <w:r>
        <w:t>t</w:t>
      </w:r>
      <w:r w:rsidRPr="00A93CD4">
        <w:t xml:space="preserve">he-Meter Generation must adhere to the same definition above as a generating Resource.  For </w:t>
      </w:r>
      <w:r w:rsidR="00F130B2">
        <w:t>DDRR</w:t>
      </w:r>
      <w:r w:rsidRPr="00A93CD4">
        <w:t xml:space="preserve">s utilizing load reduction, the </w:t>
      </w:r>
      <w:r w:rsidR="002F1236">
        <w:t>M</w:t>
      </w:r>
      <w:r w:rsidRPr="00A93CD4">
        <w:t>itigated No-Load Offer must not exceed the quantifiable ongoing hourly costs associated with load reduction.</w:t>
      </w:r>
    </w:p>
    <w:p w14:paraId="6CD2B430" w14:textId="14655514" w:rsidR="00A734BE" w:rsidRPr="00261AF2" w:rsidRDefault="00A734BE" w:rsidP="00A310BF">
      <w:pPr>
        <w:numPr>
          <w:ilvl w:val="0"/>
          <w:numId w:val="254"/>
        </w:numPr>
        <w:tabs>
          <w:tab w:val="left" w:pos="2070"/>
        </w:tabs>
        <w:spacing w:before="120" w:line="300" w:lineRule="auto"/>
        <w:rPr>
          <w:szCs w:val="24"/>
        </w:rPr>
      </w:pPr>
      <w:r w:rsidRPr="00352538">
        <w:rPr>
          <w:szCs w:val="24"/>
        </w:rPr>
        <w:t xml:space="preserve">The Mitigated No-Load Offer for Variable Energy Resources </w:t>
      </w:r>
      <w:r w:rsidRPr="30D4B76D">
        <w:rPr>
          <w:szCs w:val="24"/>
        </w:rPr>
        <w:t xml:space="preserve">must </w:t>
      </w:r>
      <w:r w:rsidRPr="00352538">
        <w:rPr>
          <w:szCs w:val="24"/>
        </w:rPr>
        <w:t>be zero</w:t>
      </w:r>
      <w:r w:rsidR="002F1236">
        <w:rPr>
          <w:szCs w:val="24"/>
        </w:rPr>
        <w:t xml:space="preserve"> (0)</w:t>
      </w:r>
      <w:r w:rsidRPr="00352538">
        <w:rPr>
          <w:szCs w:val="24"/>
        </w:rPr>
        <w:t>.</w:t>
      </w:r>
    </w:p>
    <w:p w14:paraId="6A577A10" w14:textId="7BF4F510" w:rsidR="00A734BE" w:rsidRPr="002A0354" w:rsidRDefault="00A734BE" w:rsidP="00A310BF">
      <w:pPr>
        <w:numPr>
          <w:ilvl w:val="0"/>
          <w:numId w:val="254"/>
        </w:numPr>
        <w:tabs>
          <w:tab w:val="left" w:pos="2070"/>
        </w:tabs>
        <w:spacing w:before="120" w:line="300" w:lineRule="auto"/>
      </w:pPr>
      <w:r w:rsidRPr="08B5C25F">
        <w:rPr>
          <w:szCs w:val="24"/>
        </w:rPr>
        <w:t xml:space="preserve">The Market Participant must submit </w:t>
      </w:r>
      <w:r w:rsidRPr="00315F21">
        <w:rPr>
          <w:szCs w:val="24"/>
        </w:rPr>
        <w:t xml:space="preserve">all inputs used in </w:t>
      </w:r>
      <w:r w:rsidRPr="08B5C25F">
        <w:rPr>
          <w:szCs w:val="24"/>
        </w:rPr>
        <w:t xml:space="preserve">calculating </w:t>
      </w:r>
      <w:r w:rsidR="002F1236">
        <w:rPr>
          <w:szCs w:val="24"/>
        </w:rPr>
        <w:t>M</w:t>
      </w:r>
      <w:r w:rsidRPr="08B5C25F">
        <w:rPr>
          <w:szCs w:val="24"/>
        </w:rPr>
        <w:t xml:space="preserve">itigated Start-Up </w:t>
      </w:r>
      <w:r w:rsidR="002F1236">
        <w:rPr>
          <w:szCs w:val="24"/>
        </w:rPr>
        <w:t xml:space="preserve">Offers </w:t>
      </w:r>
      <w:r w:rsidRPr="08B5C25F">
        <w:rPr>
          <w:szCs w:val="24"/>
        </w:rPr>
        <w:t xml:space="preserve">and </w:t>
      </w:r>
      <w:r w:rsidR="002F1236">
        <w:rPr>
          <w:szCs w:val="24"/>
        </w:rPr>
        <w:t>M</w:t>
      </w:r>
      <w:r w:rsidRPr="08B5C25F">
        <w:rPr>
          <w:szCs w:val="24"/>
        </w:rPr>
        <w:t xml:space="preserve">itigated No-Load Offers to permit the Market Monitor to verify submitted offers.  </w:t>
      </w:r>
      <w:r w:rsidRPr="00315F21">
        <w:rPr>
          <w:szCs w:val="24"/>
        </w:rPr>
        <w:t xml:space="preserve">Required information includes: heat rate curves, descriptions of how spot fuel prices </w:t>
      </w:r>
      <w:r w:rsidRPr="00315F21" w:rsidDel="0046151A">
        <w:rPr>
          <w:szCs w:val="24"/>
        </w:rPr>
        <w:t>and/or</w:t>
      </w:r>
      <w:r w:rsidRPr="00315F21">
        <w:rPr>
          <w:szCs w:val="24"/>
        </w:rPr>
        <w:t xml:space="preserve"> contract prices are used to calculate fuel costs, variable fuel transportation and handling costs, emissions costs, and VOM cost.  All cost data and cost calculation descriptions are subject to the review and approval of the Market Monitor to ensure reasonableness and consistency across Market Participants.  Information to be provided by the Market Participant must include the following:</w:t>
      </w:r>
    </w:p>
    <w:p w14:paraId="38F2B5EB" w14:textId="79C96C54" w:rsidR="00A734BE" w:rsidRPr="002A0354" w:rsidRDefault="00A734BE" w:rsidP="00A310BF">
      <w:pPr>
        <w:numPr>
          <w:ilvl w:val="1"/>
          <w:numId w:val="254"/>
        </w:numPr>
        <w:tabs>
          <w:tab w:val="left" w:pos="2070"/>
        </w:tabs>
        <w:spacing w:before="120" w:line="300" w:lineRule="auto"/>
      </w:pPr>
      <w:r w:rsidRPr="00315F21">
        <w:rPr>
          <w:szCs w:val="24"/>
        </w:rPr>
        <w:t xml:space="preserve">For fuel costs, Market Participants must provide the Market Monitor with an explanation of the Market Participants’ fuel cost policy, indicating whether fuel purchases are subject to a fixed contract price </w:t>
      </w:r>
      <w:r w:rsidRPr="00315F21" w:rsidDel="0046151A">
        <w:rPr>
          <w:szCs w:val="24"/>
        </w:rPr>
        <w:t>and/or</w:t>
      </w:r>
      <w:r w:rsidRPr="00315F21">
        <w:rPr>
          <w:szCs w:val="24"/>
        </w:rPr>
        <w:t xml:space="preserve"> spot pricing and specifying the contract price </w:t>
      </w:r>
      <w:r w:rsidRPr="00315F21" w:rsidDel="0046151A">
        <w:rPr>
          <w:szCs w:val="24"/>
        </w:rPr>
        <w:t>and/or</w:t>
      </w:r>
      <w:r w:rsidRPr="00315F21">
        <w:rPr>
          <w:szCs w:val="24"/>
        </w:rPr>
        <w:t xml:space="preserve"> referenced spot market prices.  Any included fuel transportation and handling costs must be short-run marginal costs only, exclusive of fixed costs.</w:t>
      </w:r>
    </w:p>
    <w:p w14:paraId="5239C6BF" w14:textId="77777777" w:rsidR="00A734BE" w:rsidRPr="002A0354" w:rsidRDefault="00A734BE" w:rsidP="00A310BF">
      <w:pPr>
        <w:numPr>
          <w:ilvl w:val="1"/>
          <w:numId w:val="254"/>
        </w:numPr>
        <w:tabs>
          <w:tab w:val="left" w:pos="2070"/>
        </w:tabs>
        <w:spacing w:before="120" w:line="300" w:lineRule="auto"/>
      </w:pPr>
      <w:r w:rsidRPr="00315F21">
        <w:rPr>
          <w:szCs w:val="24"/>
        </w:rPr>
        <w:t xml:space="preserve">For emissions costs, Market Participants must report the emissions rate of each of their units and indicate the applicable emissions allowance cost.  </w:t>
      </w:r>
    </w:p>
    <w:p w14:paraId="0D8A6714" w14:textId="77777777" w:rsidR="00A734BE" w:rsidRPr="002A0354" w:rsidRDefault="00A734BE" w:rsidP="00A310BF">
      <w:pPr>
        <w:numPr>
          <w:ilvl w:val="1"/>
          <w:numId w:val="254"/>
        </w:numPr>
        <w:tabs>
          <w:tab w:val="left" w:pos="2070"/>
        </w:tabs>
        <w:spacing w:before="120" w:line="300" w:lineRule="auto"/>
      </w:pPr>
      <w:r w:rsidRPr="00315F21">
        <w:rPr>
          <w:szCs w:val="24"/>
        </w:rPr>
        <w:t>For VOM costs, Market Participants must submit VOM costs reflecting short-run marginal costs, exclusive of fixed costs.</w:t>
      </w:r>
    </w:p>
    <w:p w14:paraId="11A12E01" w14:textId="31FE7F2E" w:rsidR="00A734BE" w:rsidRPr="002A0354" w:rsidRDefault="00A734BE" w:rsidP="00A310BF">
      <w:pPr>
        <w:numPr>
          <w:ilvl w:val="1"/>
          <w:numId w:val="254"/>
        </w:numPr>
        <w:tabs>
          <w:tab w:val="left" w:pos="2070"/>
        </w:tabs>
        <w:spacing w:before="120" w:line="300" w:lineRule="auto"/>
      </w:pPr>
      <w:r w:rsidRPr="00315F21">
        <w:rPr>
          <w:szCs w:val="24"/>
        </w:rPr>
        <w:t>For start-up and no-load major maintenance cost, Market Participants</w:t>
      </w:r>
      <w:r w:rsidRPr="007720C7">
        <w:rPr>
          <w:szCs w:val="24"/>
        </w:rPr>
        <w:t xml:space="preserve"> may include these costs as a component of the </w:t>
      </w:r>
      <w:r w:rsidR="002F1236">
        <w:rPr>
          <w:szCs w:val="24"/>
        </w:rPr>
        <w:t>M</w:t>
      </w:r>
      <w:r w:rsidRPr="007720C7">
        <w:rPr>
          <w:szCs w:val="24"/>
        </w:rPr>
        <w:t xml:space="preserve">itigated Start-Up Offer and the </w:t>
      </w:r>
      <w:r w:rsidR="002F1236">
        <w:rPr>
          <w:szCs w:val="24"/>
        </w:rPr>
        <w:t>M</w:t>
      </w:r>
      <w:r w:rsidRPr="007720C7">
        <w:rPr>
          <w:szCs w:val="24"/>
        </w:rPr>
        <w:t>itigated No-Load Offer.  Such cost must be based solely on Resource-specific information derived from actual variable maintenance costs, when available, or estimated variable maintenance costs.  The maintenance period for start-up major maintenance cost must be tied to the number of starts, and the maintenance period for no-load major maintenance cost must be tied to the number of Resource run hours.</w:t>
      </w:r>
    </w:p>
    <w:p w14:paraId="6F6E97A1" w14:textId="77777777" w:rsidR="00A734BE" w:rsidRPr="00C8090C" w:rsidRDefault="00A734BE" w:rsidP="001663DA">
      <w:pPr>
        <w:pStyle w:val="Normal271"/>
        <w:spacing w:before="120" w:after="120" w:line="300" w:lineRule="auto"/>
        <w:ind w:left="720"/>
        <w:jc w:val="both"/>
        <w:rPr>
          <w:iCs/>
          <w:szCs w:val="20"/>
        </w:rPr>
      </w:pPr>
      <w:r w:rsidRPr="00261AF2">
        <w:t xml:space="preserve">Further details associated with the development of these costs are included in </w:t>
      </w:r>
      <w:r>
        <w:t>Appendix D</w:t>
      </w:r>
      <w:r w:rsidRPr="00261AF2">
        <w:t>.</w:t>
      </w:r>
    </w:p>
    <w:p w14:paraId="00BBEF55" w14:textId="0B61E380" w:rsidR="00A734BE" w:rsidRPr="00352538" w:rsidRDefault="00A734BE" w:rsidP="001663DA">
      <w:pPr>
        <w:numPr>
          <w:ilvl w:val="0"/>
          <w:numId w:val="254"/>
        </w:numPr>
        <w:spacing w:before="120" w:line="300" w:lineRule="auto"/>
        <w:rPr>
          <w:szCs w:val="24"/>
        </w:rPr>
      </w:pPr>
      <w:r w:rsidRPr="00352538">
        <w:rPr>
          <w:szCs w:val="24"/>
        </w:rPr>
        <w:t xml:space="preserve">Intra-day changes to Mitigated Start-Up </w:t>
      </w:r>
      <w:r w:rsidR="002F1236">
        <w:rPr>
          <w:szCs w:val="24"/>
        </w:rPr>
        <w:t xml:space="preserve">Offers </w:t>
      </w:r>
      <w:r w:rsidRPr="00352538">
        <w:rPr>
          <w:szCs w:val="24"/>
        </w:rPr>
        <w:t>and Mitigated No-Load Offers are allowed under the following conditions:</w:t>
      </w:r>
    </w:p>
    <w:p w14:paraId="44D93C76" w14:textId="458D7EBD" w:rsidR="00A734BE" w:rsidRPr="00A93CD4" w:rsidRDefault="00A734BE" w:rsidP="001663DA">
      <w:pPr>
        <w:pStyle w:val="Normal271"/>
        <w:numPr>
          <w:ilvl w:val="1"/>
          <w:numId w:val="254"/>
        </w:numPr>
        <w:spacing w:before="120" w:after="120" w:line="300" w:lineRule="auto"/>
        <w:jc w:val="both"/>
        <w:rPr>
          <w:rFonts w:eastAsia="Calibri"/>
        </w:rPr>
      </w:pPr>
      <w:r w:rsidRPr="00A93CD4">
        <w:rPr>
          <w:rFonts w:eastAsia="Calibri"/>
        </w:rPr>
        <w:t xml:space="preserve">In the event that the Market Operator requests that a Resource remain online past </w:t>
      </w:r>
      <w:r>
        <w:rPr>
          <w:rFonts w:eastAsia="Calibri"/>
        </w:rPr>
        <w:t>its</w:t>
      </w:r>
      <w:r w:rsidRPr="00A93CD4">
        <w:rPr>
          <w:rFonts w:eastAsia="Calibri"/>
        </w:rPr>
        <w:t xml:space="preserve"> commitment period, the Market Participant may submit updated </w:t>
      </w:r>
      <w:r w:rsidR="002F1236">
        <w:rPr>
          <w:rFonts w:eastAsia="Calibri"/>
        </w:rPr>
        <w:t>M</w:t>
      </w:r>
      <w:r w:rsidRPr="00A93CD4">
        <w:rPr>
          <w:rFonts w:eastAsia="Calibri"/>
        </w:rPr>
        <w:t xml:space="preserve">itigated Start-Up </w:t>
      </w:r>
      <w:r w:rsidR="002F1236">
        <w:rPr>
          <w:rFonts w:eastAsia="Calibri"/>
        </w:rPr>
        <w:t xml:space="preserve">Offers </w:t>
      </w:r>
      <w:r w:rsidRPr="00A93CD4">
        <w:rPr>
          <w:rFonts w:eastAsia="Calibri"/>
        </w:rPr>
        <w:t xml:space="preserve">and </w:t>
      </w:r>
      <w:r w:rsidR="002F1236">
        <w:rPr>
          <w:rFonts w:eastAsia="Calibri"/>
        </w:rPr>
        <w:t>M</w:t>
      </w:r>
      <w:r w:rsidRPr="00A93CD4">
        <w:rPr>
          <w:rFonts w:eastAsia="Calibri"/>
        </w:rPr>
        <w:t>itigated No-Load Offers that reflect the procurement of higher cost fuel;</w:t>
      </w:r>
      <w:r>
        <w:rPr>
          <w:rFonts w:eastAsia="Calibri"/>
        </w:rPr>
        <w:t xml:space="preserve"> or</w:t>
      </w:r>
    </w:p>
    <w:p w14:paraId="5CF157A1" w14:textId="77777777" w:rsidR="00A734BE" w:rsidRPr="00A93CD4" w:rsidRDefault="00A734BE" w:rsidP="001663DA">
      <w:pPr>
        <w:pStyle w:val="Normal271"/>
        <w:numPr>
          <w:ilvl w:val="1"/>
          <w:numId w:val="254"/>
        </w:numPr>
        <w:spacing w:before="120" w:after="120" w:line="300" w:lineRule="auto"/>
        <w:jc w:val="both"/>
        <w:rPr>
          <w:rFonts w:eastAsia="Calibri"/>
        </w:rPr>
      </w:pPr>
      <w:r w:rsidRPr="00A93CD4">
        <w:rPr>
          <w:rFonts w:eastAsia="Calibri"/>
        </w:rPr>
        <w:t>A Resource must switch fuels due to unforeseen operating conditions; or</w:t>
      </w:r>
    </w:p>
    <w:p w14:paraId="31BB9BD9" w14:textId="6043F0A0" w:rsidR="00A734BE" w:rsidRDefault="00A734BE" w:rsidP="001663DA">
      <w:pPr>
        <w:pStyle w:val="Normal271"/>
        <w:numPr>
          <w:ilvl w:val="1"/>
          <w:numId w:val="254"/>
        </w:numPr>
        <w:spacing w:before="120" w:after="120" w:line="300" w:lineRule="auto"/>
        <w:jc w:val="both"/>
        <w:rPr>
          <w:rFonts w:eastAsia="Calibri"/>
        </w:rPr>
      </w:pPr>
      <w:r w:rsidRPr="00A93CD4">
        <w:rPr>
          <w:rFonts w:eastAsia="Calibri"/>
        </w:rPr>
        <w:t xml:space="preserve">The Resource is </w:t>
      </w:r>
      <w:r w:rsidR="00837AE3">
        <w:rPr>
          <w:rFonts w:eastAsia="Calibri"/>
        </w:rPr>
        <w:t xml:space="preserve">registered as </w:t>
      </w:r>
      <w:r w:rsidRPr="00A93CD4">
        <w:rPr>
          <w:rFonts w:eastAsia="Calibri"/>
        </w:rPr>
        <w:t xml:space="preserve">an </w:t>
      </w:r>
      <w:r w:rsidR="00837AE3">
        <w:rPr>
          <w:rFonts w:eastAsia="Calibri"/>
        </w:rPr>
        <w:t>M</w:t>
      </w:r>
      <w:r w:rsidRPr="00A93CD4">
        <w:rPr>
          <w:rFonts w:eastAsia="Calibri"/>
        </w:rPr>
        <w:t xml:space="preserve">SR. </w:t>
      </w:r>
    </w:p>
    <w:p w14:paraId="05569DF1" w14:textId="29730D68" w:rsidR="00A734BE" w:rsidRDefault="00A734BE" w:rsidP="001663DA">
      <w:pPr>
        <w:spacing w:before="120" w:line="300" w:lineRule="auto"/>
        <w:ind w:left="720"/>
        <w:rPr>
          <w:szCs w:val="24"/>
        </w:rPr>
      </w:pPr>
      <w:r w:rsidRPr="00352538">
        <w:rPr>
          <w:szCs w:val="24"/>
        </w:rPr>
        <w:t xml:space="preserve">Intra-day changes to Mitigated Start-Up </w:t>
      </w:r>
      <w:r w:rsidR="002F1236">
        <w:rPr>
          <w:szCs w:val="24"/>
        </w:rPr>
        <w:t xml:space="preserve">Offers </w:t>
      </w:r>
      <w:r w:rsidRPr="00352538">
        <w:rPr>
          <w:szCs w:val="24"/>
        </w:rPr>
        <w:t>and Mitigated No-Load Offers must follow the Mitigated Offer Development Guidelines and will be validated by the Market Monitor.</w:t>
      </w:r>
    </w:p>
    <w:p w14:paraId="7EAC07E1" w14:textId="22D38EB3" w:rsidR="00A734BE" w:rsidRPr="00261AF2" w:rsidRDefault="00A734BE" w:rsidP="001663DA">
      <w:pPr>
        <w:numPr>
          <w:ilvl w:val="0"/>
          <w:numId w:val="254"/>
        </w:numPr>
        <w:spacing w:before="120" w:line="300" w:lineRule="auto"/>
        <w:rPr>
          <w:szCs w:val="24"/>
        </w:rPr>
      </w:pPr>
      <w:r w:rsidRPr="00352538">
        <w:rPr>
          <w:szCs w:val="24"/>
        </w:rPr>
        <w:t xml:space="preserve">In all cases under this </w:t>
      </w:r>
      <w:r w:rsidR="002F1236">
        <w:rPr>
          <w:szCs w:val="24"/>
        </w:rPr>
        <w:t>s</w:t>
      </w:r>
      <w:r w:rsidRPr="00352538">
        <w:rPr>
          <w:szCs w:val="24"/>
        </w:rPr>
        <w:t xml:space="preserve">ection, cost data submitted for the development of mitigated offers, including opportunity cost data, </w:t>
      </w:r>
      <w:r w:rsidRPr="30D4B76D">
        <w:rPr>
          <w:szCs w:val="24"/>
        </w:rPr>
        <w:t>is</w:t>
      </w:r>
      <w:r w:rsidRPr="00352538">
        <w:rPr>
          <w:szCs w:val="24"/>
        </w:rPr>
        <w:t xml:space="preserve"> subject to the confidentiality provisions set forth in </w:t>
      </w:r>
      <w:r w:rsidRPr="00950818">
        <w:rPr>
          <w:szCs w:val="24"/>
        </w:rPr>
        <w:t xml:space="preserve">Attachment A </w:t>
      </w:r>
      <w:r w:rsidR="002F1236">
        <w:rPr>
          <w:szCs w:val="24"/>
        </w:rPr>
        <w:t>of</w:t>
      </w:r>
      <w:r w:rsidR="002F1236" w:rsidRPr="00352538">
        <w:rPr>
          <w:szCs w:val="24"/>
        </w:rPr>
        <w:t xml:space="preserve"> </w:t>
      </w:r>
      <w:r w:rsidRPr="00352538">
        <w:rPr>
          <w:szCs w:val="24"/>
        </w:rPr>
        <w:t xml:space="preserve">the </w:t>
      </w:r>
      <w:r w:rsidRPr="30D4B76D">
        <w:rPr>
          <w:szCs w:val="24"/>
        </w:rPr>
        <w:t>Markets+ Tariff</w:t>
      </w:r>
      <w:r w:rsidRPr="00352538">
        <w:rPr>
          <w:szCs w:val="24"/>
        </w:rPr>
        <w:t>.</w:t>
      </w:r>
    </w:p>
    <w:p w14:paraId="28B73561" w14:textId="77777777" w:rsidR="00A734BE" w:rsidRPr="00352538" w:rsidRDefault="00A734BE" w:rsidP="00574EDE">
      <w:pPr>
        <w:pStyle w:val="Heading4"/>
        <w:rPr>
          <w:szCs w:val="24"/>
        </w:rPr>
      </w:pPr>
      <w:bookmarkStart w:id="8289" w:name="_Ref323550205"/>
      <w:bookmarkStart w:id="8290" w:name="_Toc159233577"/>
      <w:bookmarkStart w:id="8291" w:name="_Toc141100860"/>
      <w:bookmarkStart w:id="8292" w:name="_Toc213772149"/>
      <w:bookmarkStart w:id="8293" w:name="_Toc263429636"/>
      <w:bookmarkStart w:id="8294" w:name="_Toc263795691"/>
      <w:bookmarkStart w:id="8295" w:name="_Toc265675927"/>
      <w:bookmarkStart w:id="8296" w:name="_Toc266869857"/>
      <w:bookmarkStart w:id="8297" w:name="_Toc262560974"/>
      <w:r>
        <w:t>Mitigation Measures for Flexibility Reserve Products Offers</w:t>
      </w:r>
      <w:bookmarkEnd w:id="8289"/>
      <w:bookmarkEnd w:id="8290"/>
      <w:bookmarkEnd w:id="8291"/>
      <w:bookmarkEnd w:id="8292"/>
    </w:p>
    <w:p w14:paraId="1787A0C9" w14:textId="064E678E" w:rsidR="00A734BE" w:rsidRPr="00261AF2" w:rsidRDefault="00A734BE" w:rsidP="001663DA">
      <w:pPr>
        <w:numPr>
          <w:ilvl w:val="0"/>
          <w:numId w:val="255"/>
        </w:numPr>
        <w:spacing w:before="120" w:line="300" w:lineRule="auto"/>
        <w:rPr>
          <w:szCs w:val="24"/>
        </w:rPr>
      </w:pPr>
      <w:r w:rsidRPr="00315F21">
        <w:rPr>
          <w:szCs w:val="24"/>
        </w:rPr>
        <w:t xml:space="preserve">For each Flexibility Reserve Product offered, a mitigated </w:t>
      </w:r>
      <w:r w:rsidR="00DC4408">
        <w:rPr>
          <w:szCs w:val="24"/>
        </w:rPr>
        <w:t>o</w:t>
      </w:r>
      <w:r w:rsidRPr="00315F21">
        <w:rPr>
          <w:szCs w:val="24"/>
        </w:rPr>
        <w:t>ffer must</w:t>
      </w:r>
      <w:r>
        <w:t xml:space="preserve"> </w:t>
      </w:r>
      <w:r w:rsidRPr="00261AF2">
        <w:rPr>
          <w:szCs w:val="24"/>
        </w:rPr>
        <w:t xml:space="preserve">be submitted daily by the Market Participant in accordance with </w:t>
      </w:r>
      <w:r w:rsidRPr="00EE2FBA">
        <w:rPr>
          <w:szCs w:val="24"/>
        </w:rPr>
        <w:t>the Mitigated Offer Development Guidelines.</w:t>
      </w:r>
      <w:r w:rsidRPr="00261AF2">
        <w:rPr>
          <w:szCs w:val="24"/>
        </w:rPr>
        <w:t xml:space="preserve">  For MCRs for which a single configuration allows physical units to be swapped (e.g., Combustion Turbine 2 for Combustion Turbine 1), the costs used in the mitigated </w:t>
      </w:r>
      <w:r w:rsidR="00DC4408">
        <w:rPr>
          <w:szCs w:val="24"/>
        </w:rPr>
        <w:t>o</w:t>
      </w:r>
      <w:r w:rsidRPr="00261AF2">
        <w:rPr>
          <w:szCs w:val="24"/>
        </w:rPr>
        <w:t xml:space="preserve">ffer development for that configuration </w:t>
      </w:r>
      <w:r w:rsidRPr="4132ACFC">
        <w:rPr>
          <w:szCs w:val="24"/>
        </w:rPr>
        <w:t xml:space="preserve">must </w:t>
      </w:r>
      <w:r w:rsidRPr="00261AF2">
        <w:rPr>
          <w:szCs w:val="24"/>
        </w:rPr>
        <w:t xml:space="preserve">be those of the least cost physical unit that is available and can be swapped in such configuration.  The mitigated </w:t>
      </w:r>
      <w:r w:rsidRPr="4132ACFC">
        <w:rPr>
          <w:szCs w:val="24"/>
        </w:rPr>
        <w:t>Flexibility Reserve</w:t>
      </w:r>
      <w:r w:rsidRPr="00261AF2">
        <w:rPr>
          <w:szCs w:val="24"/>
        </w:rPr>
        <w:t xml:space="preserve"> </w:t>
      </w:r>
      <w:r w:rsidRPr="4132ACFC">
        <w:rPr>
          <w:szCs w:val="24"/>
        </w:rPr>
        <w:t xml:space="preserve">Product </w:t>
      </w:r>
      <w:r>
        <w:rPr>
          <w:szCs w:val="24"/>
        </w:rPr>
        <w:t>O</w:t>
      </w:r>
      <w:r w:rsidRPr="00261AF2">
        <w:rPr>
          <w:szCs w:val="24"/>
        </w:rPr>
        <w:t xml:space="preserve">ffers may be updated up to the close of the </w:t>
      </w:r>
      <w:r w:rsidRPr="4132ACFC">
        <w:rPr>
          <w:szCs w:val="24"/>
        </w:rPr>
        <w:t xml:space="preserve">Day-Ahead </w:t>
      </w:r>
      <w:r w:rsidRPr="00261AF2">
        <w:rPr>
          <w:szCs w:val="24"/>
        </w:rPr>
        <w:t xml:space="preserve">Market for use in the </w:t>
      </w:r>
      <w:r w:rsidRPr="4132ACFC">
        <w:rPr>
          <w:szCs w:val="24"/>
        </w:rPr>
        <w:t xml:space="preserve">Day-Ahead </w:t>
      </w:r>
      <w:r w:rsidRPr="00261AF2">
        <w:rPr>
          <w:szCs w:val="24"/>
        </w:rPr>
        <w:t xml:space="preserve">Market. </w:t>
      </w:r>
      <w:r w:rsidRPr="4132ACFC">
        <w:rPr>
          <w:szCs w:val="24"/>
        </w:rPr>
        <w:t>If</w:t>
      </w:r>
      <w:r w:rsidRPr="00261AF2">
        <w:rPr>
          <w:szCs w:val="24"/>
        </w:rPr>
        <w:t xml:space="preserve"> a Resource is not committed by the </w:t>
      </w:r>
      <w:r w:rsidRPr="4132ACFC">
        <w:rPr>
          <w:szCs w:val="24"/>
        </w:rPr>
        <w:t xml:space="preserve">Day-Ahead </w:t>
      </w:r>
      <w:r w:rsidRPr="00261AF2">
        <w:rPr>
          <w:szCs w:val="24"/>
        </w:rPr>
        <w:t xml:space="preserve">Market, the mitigated </w:t>
      </w:r>
      <w:r w:rsidRPr="4132ACFC">
        <w:rPr>
          <w:szCs w:val="24"/>
        </w:rPr>
        <w:t>Flexibility Reserve Product Offers</w:t>
      </w:r>
      <w:r w:rsidRPr="00261AF2">
        <w:rPr>
          <w:szCs w:val="24"/>
        </w:rPr>
        <w:t xml:space="preserve"> may be updated until the Day-Ahead RUC process begins. For Resources committed by the </w:t>
      </w:r>
      <w:r w:rsidRPr="4132ACFC">
        <w:rPr>
          <w:szCs w:val="24"/>
        </w:rPr>
        <w:t xml:space="preserve">Day-Ahead </w:t>
      </w:r>
      <w:r w:rsidRPr="00261AF2">
        <w:rPr>
          <w:szCs w:val="24"/>
        </w:rPr>
        <w:t xml:space="preserve">Market, the mitigated </w:t>
      </w:r>
      <w:r w:rsidRPr="4132ACFC">
        <w:rPr>
          <w:szCs w:val="24"/>
        </w:rPr>
        <w:t>Flexibility Reserve</w:t>
      </w:r>
      <w:r w:rsidRPr="00261AF2">
        <w:rPr>
          <w:szCs w:val="24"/>
        </w:rPr>
        <w:t xml:space="preserve"> </w:t>
      </w:r>
      <w:r w:rsidRPr="4132ACFC">
        <w:rPr>
          <w:szCs w:val="24"/>
        </w:rPr>
        <w:t>Product O</w:t>
      </w:r>
      <w:r w:rsidRPr="00261AF2">
        <w:rPr>
          <w:szCs w:val="24"/>
        </w:rPr>
        <w:t xml:space="preserve">ffers submitted as of the close of the </w:t>
      </w:r>
      <w:r w:rsidRPr="4132ACFC">
        <w:rPr>
          <w:szCs w:val="24"/>
        </w:rPr>
        <w:t xml:space="preserve">Day-Ahead </w:t>
      </w:r>
      <w:r w:rsidRPr="00261AF2">
        <w:rPr>
          <w:szCs w:val="24"/>
        </w:rPr>
        <w:t xml:space="preserve">Market will apply to the </w:t>
      </w:r>
      <w:r w:rsidRPr="4132ACFC">
        <w:rPr>
          <w:szCs w:val="24"/>
        </w:rPr>
        <w:t xml:space="preserve">Day-Ahead </w:t>
      </w:r>
      <w:r w:rsidRPr="00261AF2">
        <w:rPr>
          <w:szCs w:val="24"/>
        </w:rPr>
        <w:t>Market on the day before the Operating Day and the RTBM on the Operating Day</w:t>
      </w:r>
      <w:r w:rsidRPr="4132ACFC">
        <w:rPr>
          <w:szCs w:val="24"/>
        </w:rPr>
        <w:t xml:space="preserve"> unless an exception is allowed in </w:t>
      </w:r>
      <w:r>
        <w:rPr>
          <w:szCs w:val="24"/>
        </w:rPr>
        <w:t>Attachment B</w:t>
      </w:r>
      <w:r w:rsidRPr="00261AF2">
        <w:rPr>
          <w:szCs w:val="24"/>
        </w:rPr>
        <w:t xml:space="preserve">; for all other Resources, the mitigated </w:t>
      </w:r>
      <w:r w:rsidRPr="4132ACFC">
        <w:rPr>
          <w:szCs w:val="24"/>
        </w:rPr>
        <w:t>Flexibility Reserve Product</w:t>
      </w:r>
      <w:r w:rsidRPr="00261AF2">
        <w:rPr>
          <w:szCs w:val="24"/>
        </w:rPr>
        <w:t xml:space="preserve"> </w:t>
      </w:r>
      <w:r w:rsidRPr="4132ACFC">
        <w:rPr>
          <w:szCs w:val="24"/>
        </w:rPr>
        <w:t>O</w:t>
      </w:r>
      <w:r w:rsidRPr="00261AF2">
        <w:rPr>
          <w:szCs w:val="24"/>
        </w:rPr>
        <w:t>ffers submitted at the time the Day-Ahead RUC process begins will apply to the RTBM on the Operating Day.</w:t>
      </w:r>
    </w:p>
    <w:p w14:paraId="492FEAA1" w14:textId="77777777" w:rsidR="00A734BE" w:rsidRPr="00352538" w:rsidRDefault="00A734BE" w:rsidP="001663DA">
      <w:pPr>
        <w:numPr>
          <w:ilvl w:val="0"/>
          <w:numId w:val="255"/>
        </w:numPr>
        <w:spacing w:before="120" w:line="300" w:lineRule="auto"/>
        <w:rPr>
          <w:szCs w:val="24"/>
        </w:rPr>
      </w:pPr>
      <w:r w:rsidRPr="00961D35">
        <w:rPr>
          <w:szCs w:val="24"/>
        </w:rPr>
        <w:t>For each Flexibility Reserve Product offered, the conduct threshold is a 10% increase above the mitigated offer for the applicable Flexibility Reserve Product Offer.</w:t>
      </w:r>
    </w:p>
    <w:p w14:paraId="4E48F163" w14:textId="1BFE9225" w:rsidR="00A734BE" w:rsidRPr="00261AF2" w:rsidRDefault="00A734BE" w:rsidP="001663DA">
      <w:pPr>
        <w:numPr>
          <w:ilvl w:val="0"/>
          <w:numId w:val="255"/>
        </w:numPr>
        <w:spacing w:before="120" w:line="300" w:lineRule="auto"/>
        <w:rPr>
          <w:szCs w:val="24"/>
        </w:rPr>
      </w:pPr>
      <w:r w:rsidRPr="00406521">
        <w:rPr>
          <w:szCs w:val="24"/>
        </w:rPr>
        <w:t>The Market Operator applies mitigation measures by placing a cap on the Flexibility Reserve Product Offer of 10% above the applicable mitigated Flexibility Reserve Product Offer if:</w:t>
      </w:r>
    </w:p>
    <w:p w14:paraId="5F614711" w14:textId="77777777" w:rsidR="00A734BE" w:rsidRPr="00261AF2" w:rsidRDefault="00A734BE" w:rsidP="001663DA">
      <w:pPr>
        <w:numPr>
          <w:ilvl w:val="1"/>
          <w:numId w:val="255"/>
        </w:numPr>
        <w:spacing w:before="120" w:line="300" w:lineRule="auto"/>
        <w:ind w:left="1530"/>
        <w:rPr>
          <w:szCs w:val="24"/>
        </w:rPr>
      </w:pPr>
      <w:r w:rsidRPr="00261AF2">
        <w:rPr>
          <w:szCs w:val="24"/>
        </w:rPr>
        <w:t>The Resource’s Flexibility Reserve</w:t>
      </w:r>
      <w:r>
        <w:rPr>
          <w:szCs w:val="24"/>
        </w:rPr>
        <w:t xml:space="preserve"> Product</w:t>
      </w:r>
      <w:r w:rsidRPr="00261AF2">
        <w:rPr>
          <w:szCs w:val="24"/>
        </w:rPr>
        <w:t xml:space="preserve"> Offer exceeds the mitigated offer by the applicable conduct threshold</w:t>
      </w:r>
      <w:r>
        <w:rPr>
          <w:szCs w:val="24"/>
        </w:rPr>
        <w:t>;</w:t>
      </w:r>
      <w:r w:rsidRPr="00261AF2">
        <w:rPr>
          <w:szCs w:val="24"/>
        </w:rPr>
        <w:t xml:space="preserve"> and</w:t>
      </w:r>
    </w:p>
    <w:p w14:paraId="31F04ACB" w14:textId="4F62D80F" w:rsidR="00A734BE" w:rsidRPr="00261AF2" w:rsidRDefault="00A734BE" w:rsidP="001663DA">
      <w:pPr>
        <w:numPr>
          <w:ilvl w:val="1"/>
          <w:numId w:val="255"/>
        </w:numPr>
        <w:spacing w:before="120" w:line="300" w:lineRule="auto"/>
        <w:ind w:left="1530"/>
        <w:rPr>
          <w:szCs w:val="24"/>
        </w:rPr>
      </w:pPr>
      <w:r w:rsidRPr="00261AF2">
        <w:rPr>
          <w:szCs w:val="24"/>
        </w:rPr>
        <w:t>The Resource has market power</w:t>
      </w:r>
      <w:r>
        <w:rPr>
          <w:szCs w:val="24"/>
        </w:rPr>
        <w:t xml:space="preserve"> as described in </w:t>
      </w:r>
      <w:r w:rsidR="002B3F78">
        <w:rPr>
          <w:szCs w:val="24"/>
        </w:rPr>
        <w:t xml:space="preserve">Section </w:t>
      </w:r>
      <w:r w:rsidR="00B54247">
        <w:rPr>
          <w:szCs w:val="24"/>
        </w:rPr>
        <w:fldChar w:fldCharType="begin"/>
      </w:r>
      <w:r w:rsidR="00B54247">
        <w:rPr>
          <w:szCs w:val="24"/>
        </w:rPr>
        <w:instrText xml:space="preserve"> REF _Ref212628840 \r \h </w:instrText>
      </w:r>
      <w:r w:rsidR="00B54247">
        <w:rPr>
          <w:szCs w:val="24"/>
        </w:rPr>
      </w:r>
      <w:r w:rsidR="00B54247">
        <w:rPr>
          <w:szCs w:val="24"/>
        </w:rPr>
        <w:fldChar w:fldCharType="separate"/>
      </w:r>
      <w:r w:rsidR="00B54247">
        <w:rPr>
          <w:szCs w:val="24"/>
        </w:rPr>
        <w:t>11.2.2.9</w:t>
      </w:r>
      <w:r w:rsidR="00B54247">
        <w:rPr>
          <w:szCs w:val="24"/>
        </w:rPr>
        <w:fldChar w:fldCharType="end"/>
      </w:r>
      <w:r>
        <w:rPr>
          <w:szCs w:val="24"/>
        </w:rPr>
        <w:t>(1) and (3)</w:t>
      </w:r>
      <w:r w:rsidRPr="00261AF2">
        <w:rPr>
          <w:szCs w:val="24"/>
        </w:rPr>
        <w:t>; and</w:t>
      </w:r>
    </w:p>
    <w:p w14:paraId="6A720BA2" w14:textId="3D6AED5D" w:rsidR="00A734BE" w:rsidRPr="00261AF2" w:rsidRDefault="00A734BE" w:rsidP="001663DA">
      <w:pPr>
        <w:numPr>
          <w:ilvl w:val="1"/>
          <w:numId w:val="255"/>
        </w:numPr>
        <w:spacing w:before="120" w:line="300" w:lineRule="auto"/>
        <w:ind w:left="1530"/>
        <w:rPr>
          <w:szCs w:val="24"/>
        </w:rPr>
      </w:pPr>
      <w:r w:rsidRPr="00246576">
        <w:rPr>
          <w:szCs w:val="24"/>
        </w:rPr>
        <w:t>The Resource fails the Market Impact Test</w:t>
      </w:r>
      <w:r>
        <w:rPr>
          <w:szCs w:val="24"/>
        </w:rPr>
        <w:t xml:space="preserve"> </w:t>
      </w:r>
      <w:r w:rsidRPr="00940533">
        <w:rPr>
          <w:szCs w:val="24"/>
        </w:rPr>
        <w:t xml:space="preserve">as described in </w:t>
      </w:r>
      <w:r w:rsidR="00C86DE8">
        <w:rPr>
          <w:szCs w:val="24"/>
        </w:rPr>
        <w:t>Section</w:t>
      </w:r>
      <w:r w:rsidRPr="00940533">
        <w:rPr>
          <w:szCs w:val="24"/>
        </w:rPr>
        <w:t xml:space="preserve"> </w:t>
      </w:r>
      <w:r w:rsidR="00025A14">
        <w:rPr>
          <w:szCs w:val="24"/>
        </w:rPr>
        <w:fldChar w:fldCharType="begin"/>
      </w:r>
      <w:r w:rsidR="00025A14">
        <w:rPr>
          <w:szCs w:val="24"/>
        </w:rPr>
        <w:instrText xml:space="preserve"> REF _Ref323550387 \r \h </w:instrText>
      </w:r>
      <w:r w:rsidR="00025A14">
        <w:rPr>
          <w:szCs w:val="24"/>
        </w:rPr>
      </w:r>
      <w:r w:rsidR="00025A14">
        <w:rPr>
          <w:szCs w:val="24"/>
        </w:rPr>
        <w:fldChar w:fldCharType="separate"/>
      </w:r>
      <w:r w:rsidR="00025A14">
        <w:rPr>
          <w:szCs w:val="24"/>
        </w:rPr>
        <w:t>11.2.2.11</w:t>
      </w:r>
      <w:r w:rsidR="00025A14">
        <w:rPr>
          <w:szCs w:val="24"/>
        </w:rPr>
        <w:fldChar w:fldCharType="end"/>
      </w:r>
      <w:r w:rsidRPr="00940533">
        <w:rPr>
          <w:szCs w:val="24"/>
        </w:rPr>
        <w:t>.</w:t>
      </w:r>
    </w:p>
    <w:p w14:paraId="34354767" w14:textId="6821A98F" w:rsidR="00A734BE" w:rsidRPr="00315F21" w:rsidRDefault="00A734BE" w:rsidP="001663DA">
      <w:pPr>
        <w:numPr>
          <w:ilvl w:val="0"/>
          <w:numId w:val="255"/>
        </w:numPr>
        <w:spacing w:before="120" w:line="300" w:lineRule="auto"/>
      </w:pPr>
      <w:r w:rsidRPr="00315F21">
        <w:rPr>
          <w:szCs w:val="24"/>
        </w:rPr>
        <w:t xml:space="preserve">For a Resource that has market power as </w:t>
      </w:r>
      <w:r w:rsidRPr="00950818">
        <w:rPr>
          <w:szCs w:val="24"/>
        </w:rPr>
        <w:t xml:space="preserve">determined in Section </w:t>
      </w:r>
      <w:r w:rsidR="00025A14">
        <w:rPr>
          <w:szCs w:val="24"/>
        </w:rPr>
        <w:fldChar w:fldCharType="begin"/>
      </w:r>
      <w:r w:rsidR="00025A14">
        <w:rPr>
          <w:szCs w:val="24"/>
        </w:rPr>
        <w:instrText xml:space="preserve"> REF _Ref212631594 \r \h </w:instrText>
      </w:r>
      <w:r w:rsidR="00025A14">
        <w:rPr>
          <w:szCs w:val="24"/>
        </w:rPr>
      </w:r>
      <w:r w:rsidR="00025A14">
        <w:rPr>
          <w:szCs w:val="24"/>
        </w:rPr>
        <w:fldChar w:fldCharType="separate"/>
      </w:r>
      <w:r w:rsidR="00025A14">
        <w:rPr>
          <w:szCs w:val="24"/>
        </w:rPr>
        <w:t>11.2.2.9</w:t>
      </w:r>
      <w:r w:rsidR="00025A14">
        <w:rPr>
          <w:szCs w:val="24"/>
        </w:rPr>
        <w:fldChar w:fldCharType="end"/>
      </w:r>
      <w:r>
        <w:rPr>
          <w:szCs w:val="24"/>
        </w:rPr>
        <w:t>(2),</w:t>
      </w:r>
      <w:r w:rsidRPr="00315F21">
        <w:rPr>
          <w:szCs w:val="24"/>
        </w:rPr>
        <w:t xml:space="preserve"> the Market Operator applies mitigation measures by placing a cap on the Flexibility Reserve Product Offer of 10% above the applicable mitigated Flexibility Reserve Product Offer.  </w:t>
      </w:r>
    </w:p>
    <w:p w14:paraId="7B01166D" w14:textId="77777777" w:rsidR="00A734BE" w:rsidRPr="00261AF2" w:rsidRDefault="00A734BE" w:rsidP="001663DA">
      <w:pPr>
        <w:numPr>
          <w:ilvl w:val="0"/>
          <w:numId w:val="255"/>
        </w:numPr>
        <w:spacing w:before="120" w:line="300" w:lineRule="auto"/>
        <w:rPr>
          <w:szCs w:val="24"/>
        </w:rPr>
      </w:pPr>
      <w:r w:rsidRPr="00261AF2">
        <w:rPr>
          <w:szCs w:val="24"/>
        </w:rPr>
        <w:t xml:space="preserve">Further details associated with the development of the exact costs specified in the formulas above are </w:t>
      </w:r>
      <w:r w:rsidRPr="005075F4">
        <w:rPr>
          <w:szCs w:val="24"/>
        </w:rPr>
        <w:t>included in Appendix D.</w:t>
      </w:r>
    </w:p>
    <w:p w14:paraId="73C655E5" w14:textId="38670310" w:rsidR="00A734BE" w:rsidRPr="00261AF2" w:rsidRDefault="00A734BE" w:rsidP="001663DA">
      <w:pPr>
        <w:numPr>
          <w:ilvl w:val="0"/>
          <w:numId w:val="255"/>
        </w:numPr>
        <w:spacing w:before="120" w:line="300" w:lineRule="auto"/>
        <w:rPr>
          <w:szCs w:val="24"/>
        </w:rPr>
      </w:pPr>
      <w:r w:rsidRPr="2A78FE21">
        <w:rPr>
          <w:szCs w:val="24"/>
        </w:rPr>
        <w:t xml:space="preserve">The Market Participant may include in the calculation of its mitigated Flexibility Reserve </w:t>
      </w:r>
      <w:r w:rsidRPr="30D4B76D">
        <w:rPr>
          <w:szCs w:val="24"/>
        </w:rPr>
        <w:t xml:space="preserve">Product </w:t>
      </w:r>
      <w:r w:rsidRPr="2A78FE21">
        <w:rPr>
          <w:szCs w:val="24"/>
        </w:rPr>
        <w:t xml:space="preserve">Offer an amount reflecting the Resource-specific opportunity costs if the Market Participant is able to demonstrate to the satisfaction of </w:t>
      </w:r>
      <w:r w:rsidRPr="30D4B76D">
        <w:rPr>
          <w:szCs w:val="24"/>
        </w:rPr>
        <w:t>the Market Monitor</w:t>
      </w:r>
      <w:r w:rsidRPr="2A78FE21">
        <w:rPr>
          <w:szCs w:val="24"/>
        </w:rPr>
        <w:t xml:space="preserve"> that such costs are legitimate and verifiable and not otherwise included in market outcomes.  To the extent such costs include run-time restrictions, such run-time restrictions </w:t>
      </w:r>
      <w:r w:rsidRPr="30D4B76D">
        <w:rPr>
          <w:szCs w:val="24"/>
        </w:rPr>
        <w:t xml:space="preserve">must </w:t>
      </w:r>
      <w:r w:rsidRPr="2A78FE21">
        <w:rPr>
          <w:szCs w:val="24"/>
        </w:rPr>
        <w:t xml:space="preserve">be updated at least weekly with more frequent updating to occur the fewer hours that remain available. </w:t>
      </w:r>
      <w:r w:rsidRPr="00261AF2">
        <w:rPr>
          <w:szCs w:val="24"/>
        </w:rPr>
        <w:t xml:space="preserve">  The formulas and instructions in the price </w:t>
      </w:r>
      <w:r w:rsidRPr="005075F4">
        <w:rPr>
          <w:szCs w:val="24"/>
        </w:rPr>
        <w:t>forecast model for any such opportunity costs will be determined by the Market Monitor and published in Appendix D as part of the Mitigated Offer Development Guidelines, updated, as needed, by the Market Monitor.  Opportunity costs for mitigated Flexibility Reserve Product</w:t>
      </w:r>
      <w:r w:rsidRPr="00261AF2">
        <w:rPr>
          <w:szCs w:val="24"/>
        </w:rPr>
        <w:t xml:space="preserve"> Offers </w:t>
      </w:r>
      <w:r w:rsidRPr="30D4B76D">
        <w:rPr>
          <w:szCs w:val="24"/>
        </w:rPr>
        <w:t xml:space="preserve">must </w:t>
      </w:r>
      <w:r w:rsidRPr="00261AF2">
        <w:rPr>
          <w:szCs w:val="24"/>
        </w:rPr>
        <w:t xml:space="preserve">not include </w:t>
      </w:r>
      <w:r w:rsidRPr="2A78FE21">
        <w:rPr>
          <w:szCs w:val="24"/>
        </w:rPr>
        <w:t>Energy and Flexibility Reserve</w:t>
      </w:r>
      <w:r>
        <w:rPr>
          <w:szCs w:val="24"/>
        </w:rPr>
        <w:t xml:space="preserve"> Products</w:t>
      </w:r>
      <w:r w:rsidRPr="2A78FE21">
        <w:rPr>
          <w:szCs w:val="24"/>
        </w:rPr>
        <w:t xml:space="preserve"> Markets revenues</w:t>
      </w:r>
      <w:r w:rsidRPr="00261AF2">
        <w:rPr>
          <w:szCs w:val="24"/>
        </w:rPr>
        <w:t xml:space="preserve"> associated with forgone Energy or other types of </w:t>
      </w:r>
      <w:r w:rsidRPr="2A78FE21">
        <w:rPr>
          <w:szCs w:val="24"/>
        </w:rPr>
        <w:t>Flexibility</w:t>
      </w:r>
      <w:r w:rsidRPr="00261AF2">
        <w:rPr>
          <w:szCs w:val="24"/>
        </w:rPr>
        <w:t xml:space="preserve"> Reserve </w:t>
      </w:r>
      <w:r w:rsidRPr="30D4B76D">
        <w:rPr>
          <w:szCs w:val="24"/>
        </w:rPr>
        <w:t xml:space="preserve">Product </w:t>
      </w:r>
      <w:r w:rsidRPr="00261AF2">
        <w:rPr>
          <w:szCs w:val="24"/>
        </w:rPr>
        <w:t>production to the extent that such costs are included in market outcomes</w:t>
      </w:r>
      <w:r>
        <w:rPr>
          <w:szCs w:val="24"/>
        </w:rPr>
        <w:t>.</w:t>
      </w:r>
    </w:p>
    <w:p w14:paraId="1ADA2D9A" w14:textId="6A64DBE2" w:rsidR="00A734BE" w:rsidRPr="008C037B" w:rsidRDefault="00A734BE" w:rsidP="001663DA">
      <w:pPr>
        <w:pStyle w:val="ParaText"/>
        <w:numPr>
          <w:ilvl w:val="0"/>
          <w:numId w:val="255"/>
        </w:numPr>
        <w:spacing w:before="120"/>
        <w:rPr>
          <w:szCs w:val="24"/>
        </w:rPr>
      </w:pPr>
      <w:r>
        <w:t xml:space="preserve">The offline Mid-Term Flex Up mitigated offer will be comprised of the </w:t>
      </w:r>
      <w:r w:rsidR="006544B7">
        <w:t>m</w:t>
      </w:r>
      <w:r>
        <w:t>itigated start-up offer,</w:t>
      </w:r>
      <w:r w:rsidR="00E857E8">
        <w:t xml:space="preserve"> </w:t>
      </w:r>
      <w:r w:rsidR="006544B7">
        <w:t>m</w:t>
      </w:r>
      <w:r w:rsidR="00E857E8">
        <w:t>itigated</w:t>
      </w:r>
      <w:r>
        <w:t xml:space="preserve"> no-load offer, and </w:t>
      </w:r>
      <w:r w:rsidR="006544B7">
        <w:t>m</w:t>
      </w:r>
      <w:r w:rsidR="00836CEF">
        <w:t>itigated</w:t>
      </w:r>
      <w:r>
        <w:t xml:space="preserve"> Energy offer up to the resource’s </w:t>
      </w:r>
      <w:r w:rsidR="00D967DD">
        <w:t>Min ECOL</w:t>
      </w:r>
      <w:r w:rsidR="009D43E5">
        <w:t>, or in the case of an MSR, the Minimum Discharge Limit</w:t>
      </w:r>
      <w:r>
        <w:t xml:space="preserve">.  These costs will be amortized over the </w:t>
      </w:r>
      <w:r w:rsidR="00405BEC">
        <w:t>R</w:t>
      </w:r>
      <w:r>
        <w:t>esource’s expected Mid-Term Flex Up megawatts for the duration of the Mid-Term Flex Up response time.</w:t>
      </w:r>
    </w:p>
    <w:p w14:paraId="3F1426B7" w14:textId="4267CCBD" w:rsidR="00A734BE" w:rsidRPr="00261AF2" w:rsidRDefault="00A734BE" w:rsidP="001663DA">
      <w:pPr>
        <w:numPr>
          <w:ilvl w:val="0"/>
          <w:numId w:val="255"/>
        </w:numPr>
        <w:spacing w:before="120" w:line="300" w:lineRule="auto"/>
        <w:rPr>
          <w:szCs w:val="24"/>
        </w:rPr>
      </w:pPr>
      <w:r w:rsidRPr="00261AF2">
        <w:rPr>
          <w:szCs w:val="24"/>
        </w:rPr>
        <w:t xml:space="preserve">All cost data and cost calculation descriptions are subject to the review and approval of </w:t>
      </w:r>
      <w:r w:rsidRPr="30D4B76D">
        <w:rPr>
          <w:szCs w:val="24"/>
        </w:rPr>
        <w:t>the Market Monitor to</w:t>
      </w:r>
      <w:r w:rsidRPr="00261AF2">
        <w:rPr>
          <w:szCs w:val="24"/>
        </w:rPr>
        <w:t xml:space="preserve"> ensure reasonableness and consistency across Market Participants.  The information </w:t>
      </w:r>
      <w:r w:rsidRPr="30D4B76D">
        <w:rPr>
          <w:szCs w:val="24"/>
        </w:rPr>
        <w:t xml:space="preserve">must </w:t>
      </w:r>
      <w:r w:rsidRPr="00261AF2">
        <w:rPr>
          <w:szCs w:val="24"/>
        </w:rPr>
        <w:t xml:space="preserve">be sufficient for replication of the mitigated </w:t>
      </w:r>
      <w:r w:rsidRPr="2A78FE21">
        <w:rPr>
          <w:szCs w:val="24"/>
        </w:rPr>
        <w:t>Flexibility</w:t>
      </w:r>
      <w:r w:rsidRPr="00261AF2">
        <w:rPr>
          <w:szCs w:val="24"/>
        </w:rPr>
        <w:t xml:space="preserve"> Reserve </w:t>
      </w:r>
      <w:r w:rsidRPr="30D4B76D">
        <w:rPr>
          <w:szCs w:val="24"/>
        </w:rPr>
        <w:t xml:space="preserve">Product </w:t>
      </w:r>
      <w:r w:rsidRPr="00261AF2">
        <w:rPr>
          <w:szCs w:val="24"/>
        </w:rPr>
        <w:t xml:space="preserve">Offers and </w:t>
      </w:r>
      <w:r w:rsidRPr="30D4B76D">
        <w:rPr>
          <w:szCs w:val="24"/>
        </w:rPr>
        <w:t xml:space="preserve">must </w:t>
      </w:r>
      <w:r w:rsidRPr="00261AF2">
        <w:rPr>
          <w:szCs w:val="24"/>
        </w:rPr>
        <w:t>include, among other data, the following information:</w:t>
      </w:r>
    </w:p>
    <w:p w14:paraId="031E160C" w14:textId="2F1BFF3E" w:rsidR="00A734BE" w:rsidRPr="00261AF2" w:rsidRDefault="00A734BE" w:rsidP="001663DA">
      <w:pPr>
        <w:numPr>
          <w:ilvl w:val="1"/>
          <w:numId w:val="255"/>
        </w:numPr>
        <w:spacing w:before="120" w:line="300" w:lineRule="auto"/>
        <w:ind w:left="1530"/>
        <w:rPr>
          <w:szCs w:val="24"/>
        </w:rPr>
      </w:pPr>
      <w:r w:rsidRPr="00261AF2">
        <w:rPr>
          <w:szCs w:val="24"/>
        </w:rPr>
        <w:t xml:space="preserve">For fuel costs, Market Participants </w:t>
      </w:r>
      <w:r>
        <w:rPr>
          <w:szCs w:val="24"/>
        </w:rPr>
        <w:t>must</w:t>
      </w:r>
      <w:r w:rsidRPr="00261AF2">
        <w:rPr>
          <w:szCs w:val="24"/>
        </w:rPr>
        <w:t xml:space="preserve"> provide the Market Monitor</w:t>
      </w:r>
      <w:r>
        <w:rPr>
          <w:szCs w:val="24"/>
        </w:rPr>
        <w:t xml:space="preserve"> </w:t>
      </w:r>
      <w:r w:rsidRPr="00261AF2">
        <w:rPr>
          <w:szCs w:val="24"/>
        </w:rPr>
        <w:t xml:space="preserve">with an explanation of the Market Participants’ fuel cost policy, indicating whether fuel purchases are subject to a fixed contract price </w:t>
      </w:r>
      <w:r w:rsidRPr="00261AF2" w:rsidDel="0046151A">
        <w:rPr>
          <w:szCs w:val="24"/>
        </w:rPr>
        <w:t>and/or</w:t>
      </w:r>
      <w:r w:rsidRPr="00261AF2">
        <w:rPr>
          <w:szCs w:val="24"/>
        </w:rPr>
        <w:t xml:space="preserve"> spot pricing and specifying the contract price </w:t>
      </w:r>
      <w:r w:rsidRPr="00261AF2" w:rsidDel="0046151A">
        <w:rPr>
          <w:szCs w:val="24"/>
        </w:rPr>
        <w:t>and/or</w:t>
      </w:r>
      <w:r w:rsidRPr="00261AF2">
        <w:rPr>
          <w:szCs w:val="24"/>
        </w:rPr>
        <w:t xml:space="preserve"> referenced spot market prices. Any included fuel transportation and handling costs must be short-run marginal costs only, exclusive of fixed costs.</w:t>
      </w:r>
    </w:p>
    <w:p w14:paraId="34407C7D" w14:textId="07741D36" w:rsidR="00A734BE" w:rsidRPr="00261AF2" w:rsidRDefault="00A734BE" w:rsidP="001663DA">
      <w:pPr>
        <w:numPr>
          <w:ilvl w:val="1"/>
          <w:numId w:val="255"/>
        </w:numPr>
        <w:spacing w:before="120" w:line="300" w:lineRule="auto"/>
        <w:ind w:left="1530"/>
        <w:rPr>
          <w:szCs w:val="24"/>
        </w:rPr>
      </w:pPr>
      <w:r w:rsidRPr="00352538">
        <w:rPr>
          <w:szCs w:val="24"/>
        </w:rPr>
        <w:t>For emissions costs</w:t>
      </w:r>
      <w:r>
        <w:rPr>
          <w:szCs w:val="24"/>
        </w:rPr>
        <w:t xml:space="preserve"> that are not otherwise contemplated in Attachment K</w:t>
      </w:r>
      <w:r w:rsidR="0007297B">
        <w:rPr>
          <w:szCs w:val="24"/>
        </w:rPr>
        <w:t xml:space="preserve"> of the Markets+ Tariff</w:t>
      </w:r>
      <w:r w:rsidRPr="00352538">
        <w:rPr>
          <w:szCs w:val="24"/>
        </w:rPr>
        <w:t xml:space="preserve">, Market Participants </w:t>
      </w:r>
      <w:r>
        <w:rPr>
          <w:szCs w:val="24"/>
        </w:rPr>
        <w:t>must</w:t>
      </w:r>
      <w:r w:rsidRPr="00352538">
        <w:rPr>
          <w:szCs w:val="24"/>
        </w:rPr>
        <w:t xml:space="preserve"> report the emissions rate of each of their units and indicate the applicable emissions allowance cost.</w:t>
      </w:r>
    </w:p>
    <w:p w14:paraId="28F48EBF" w14:textId="3A545CF8" w:rsidR="00A734BE" w:rsidRPr="000F34FB" w:rsidRDefault="00A734BE" w:rsidP="001663DA">
      <w:pPr>
        <w:numPr>
          <w:ilvl w:val="1"/>
          <w:numId w:val="255"/>
        </w:numPr>
        <w:spacing w:before="120" w:line="300" w:lineRule="auto"/>
        <w:ind w:left="1530"/>
        <w:rPr>
          <w:szCs w:val="24"/>
        </w:rPr>
      </w:pPr>
      <w:r w:rsidRPr="00352538">
        <w:rPr>
          <w:szCs w:val="24"/>
        </w:rPr>
        <w:t xml:space="preserve">For </w:t>
      </w:r>
      <w:r w:rsidRPr="000F34FB">
        <w:rPr>
          <w:szCs w:val="24"/>
        </w:rPr>
        <w:t>VOM costs, Market Participants must submit VOM costs, calculated in adherence with Appendix D, reflecting short-run marginal costs, exclusive of fixed costs.</w:t>
      </w:r>
    </w:p>
    <w:p w14:paraId="4914FCDE" w14:textId="517F7733" w:rsidR="00A734BE" w:rsidRPr="00352538" w:rsidRDefault="00A734BE" w:rsidP="001663DA">
      <w:pPr>
        <w:numPr>
          <w:ilvl w:val="0"/>
          <w:numId w:val="255"/>
        </w:numPr>
        <w:spacing w:before="120" w:line="300" w:lineRule="auto"/>
        <w:rPr>
          <w:szCs w:val="24"/>
        </w:rPr>
      </w:pPr>
      <w:r w:rsidRPr="00352538">
        <w:rPr>
          <w:szCs w:val="24"/>
        </w:rPr>
        <w:t xml:space="preserve">Intra-day changes to the </w:t>
      </w:r>
      <w:r w:rsidR="001D411F">
        <w:rPr>
          <w:szCs w:val="24"/>
        </w:rPr>
        <w:t>m</w:t>
      </w:r>
      <w:r w:rsidRPr="00352538">
        <w:rPr>
          <w:szCs w:val="24"/>
        </w:rPr>
        <w:t xml:space="preserve">itigated </w:t>
      </w:r>
      <w:r w:rsidRPr="30D4B76D">
        <w:rPr>
          <w:szCs w:val="24"/>
        </w:rPr>
        <w:t>Flexibility</w:t>
      </w:r>
      <w:r w:rsidRPr="00352538">
        <w:rPr>
          <w:szCs w:val="24"/>
        </w:rPr>
        <w:t xml:space="preserve"> Reserve </w:t>
      </w:r>
      <w:r w:rsidRPr="30D4B76D">
        <w:rPr>
          <w:szCs w:val="24"/>
        </w:rPr>
        <w:t xml:space="preserve">Product </w:t>
      </w:r>
      <w:r w:rsidRPr="00352538">
        <w:rPr>
          <w:szCs w:val="24"/>
        </w:rPr>
        <w:t>Offers are allowed under the following conditions:</w:t>
      </w:r>
    </w:p>
    <w:p w14:paraId="4535B56D" w14:textId="1144AAD1" w:rsidR="00A734BE" w:rsidRPr="00B16068" w:rsidRDefault="00A734BE" w:rsidP="001663DA">
      <w:pPr>
        <w:pStyle w:val="Normal272"/>
        <w:numPr>
          <w:ilvl w:val="1"/>
          <w:numId w:val="255"/>
        </w:numPr>
        <w:spacing w:before="120" w:after="120" w:line="300" w:lineRule="auto"/>
        <w:ind w:left="1530"/>
        <w:jc w:val="both"/>
        <w:rPr>
          <w:rFonts w:eastAsia="Calibri"/>
        </w:rPr>
      </w:pPr>
      <w:r w:rsidRPr="00B16068">
        <w:rPr>
          <w:rFonts w:eastAsia="Calibri"/>
        </w:rPr>
        <w:t>In the event that the Market Operator requests that a Resource that is supplying Flexibility Reserve Products remain online past their commitment period by the Day-Ahead Market or a RUC process, the Market Participant may submit an updated mitigated Flexibility Reserve Product Offer that reflects the procurement of higher cost fuel;</w:t>
      </w:r>
    </w:p>
    <w:p w14:paraId="387DFC34" w14:textId="77777777" w:rsidR="00A734BE" w:rsidRPr="00B16068" w:rsidRDefault="00A734BE" w:rsidP="001663DA">
      <w:pPr>
        <w:pStyle w:val="Normal272"/>
        <w:numPr>
          <w:ilvl w:val="1"/>
          <w:numId w:val="255"/>
        </w:numPr>
        <w:spacing w:before="120" w:after="120" w:line="300" w:lineRule="auto"/>
        <w:ind w:left="1530"/>
        <w:jc w:val="both"/>
        <w:rPr>
          <w:rFonts w:eastAsia="Calibri"/>
        </w:rPr>
      </w:pPr>
      <w:r w:rsidRPr="00B16068">
        <w:rPr>
          <w:rFonts w:eastAsia="Calibri"/>
        </w:rPr>
        <w:t>A Resource must switch fuels due to unforeseen operating conditions; or</w:t>
      </w:r>
    </w:p>
    <w:p w14:paraId="5441160E" w14:textId="220CC8F4" w:rsidR="00A734BE" w:rsidRPr="00577C0F" w:rsidRDefault="00A734BE" w:rsidP="001663DA">
      <w:pPr>
        <w:pStyle w:val="Normal272"/>
        <w:numPr>
          <w:ilvl w:val="2"/>
          <w:numId w:val="255"/>
        </w:numPr>
        <w:spacing w:before="120" w:after="120" w:line="300" w:lineRule="auto"/>
        <w:jc w:val="both"/>
        <w:rPr>
          <w:rFonts w:eastAsia="Calibri"/>
        </w:rPr>
      </w:pPr>
      <w:r w:rsidRPr="00577C0F">
        <w:rPr>
          <w:rFonts w:eastAsia="Calibri"/>
        </w:rPr>
        <w:t>Intra-day changes to the mitigated Flexibility Reserve Product Offers are allowed after the RUC clears on the day before the Operating Day if</w:t>
      </w:r>
      <w:r>
        <w:rPr>
          <w:rFonts w:eastAsia="Calibri"/>
        </w:rPr>
        <w:t xml:space="preserve"> t</w:t>
      </w:r>
      <w:r w:rsidRPr="00577C0F">
        <w:rPr>
          <w:rFonts w:eastAsia="Calibri"/>
        </w:rPr>
        <w:t xml:space="preserve">he Resource incurs the uncompensated cost in Attachment B, Section </w:t>
      </w:r>
      <w:r w:rsidRPr="00950818">
        <w:rPr>
          <w:rFonts w:eastAsia="Calibri"/>
        </w:rPr>
        <w:t>3.</w:t>
      </w:r>
      <w:r w:rsidR="00024ED0">
        <w:rPr>
          <w:rFonts w:eastAsia="Calibri"/>
        </w:rPr>
        <w:t>3</w:t>
      </w:r>
      <w:r w:rsidRPr="00950818">
        <w:rPr>
          <w:rFonts w:eastAsia="Calibri"/>
        </w:rPr>
        <w:t>(E)(3)</w:t>
      </w:r>
      <w:r w:rsidR="009375AC">
        <w:rPr>
          <w:rFonts w:eastAsia="Calibri"/>
        </w:rPr>
        <w:t xml:space="preserve"> of the Markets+ Tariff</w:t>
      </w:r>
      <w:r w:rsidRPr="00950818">
        <w:rPr>
          <w:rFonts w:eastAsia="Calibri"/>
        </w:rPr>
        <w:t>,</w:t>
      </w:r>
      <w:r w:rsidRPr="00577C0F">
        <w:rPr>
          <w:rFonts w:eastAsia="Calibri"/>
        </w:rPr>
        <w:t xml:space="preserve"> for which the mitigated offer calculation is described in the Markets+ Protocols. </w:t>
      </w:r>
    </w:p>
    <w:p w14:paraId="5FF7F5A5" w14:textId="5F8601EB" w:rsidR="00A734BE" w:rsidRPr="00D0276D" w:rsidRDefault="00A734BE" w:rsidP="001663DA">
      <w:pPr>
        <w:spacing w:before="120" w:line="300" w:lineRule="auto"/>
        <w:ind w:left="720"/>
        <w:rPr>
          <w:szCs w:val="24"/>
        </w:rPr>
      </w:pPr>
      <w:r w:rsidRPr="00D0276D">
        <w:rPr>
          <w:rFonts w:eastAsia="Calibri"/>
          <w:szCs w:val="24"/>
        </w:rPr>
        <w:t xml:space="preserve">Intra-day changes to the mitigated Flexibility Reserve Product Offer must follow the </w:t>
      </w:r>
      <w:r w:rsidRPr="00D0276D">
        <w:rPr>
          <w:szCs w:val="24"/>
        </w:rPr>
        <w:t>Mitigated Offer Development Guidelines found in Appendix D</w:t>
      </w:r>
      <w:r w:rsidRPr="00D0276D">
        <w:rPr>
          <w:rFonts w:eastAsia="Calibri"/>
          <w:szCs w:val="24"/>
        </w:rPr>
        <w:t xml:space="preserve"> and will be validated by the Market Monitor. </w:t>
      </w:r>
    </w:p>
    <w:p w14:paraId="46979D9F" w14:textId="0C5FA28E" w:rsidR="00A734BE" w:rsidRPr="00D0276D" w:rsidRDefault="00A734BE" w:rsidP="001663DA">
      <w:pPr>
        <w:numPr>
          <w:ilvl w:val="0"/>
          <w:numId w:val="255"/>
        </w:numPr>
        <w:spacing w:before="120" w:line="300" w:lineRule="auto"/>
        <w:rPr>
          <w:szCs w:val="24"/>
        </w:rPr>
      </w:pPr>
      <w:r w:rsidRPr="00D0276D">
        <w:rPr>
          <w:szCs w:val="24"/>
        </w:rPr>
        <w:t xml:space="preserve">In all cases under this </w:t>
      </w:r>
      <w:r w:rsidR="00D23F84">
        <w:rPr>
          <w:szCs w:val="24"/>
        </w:rPr>
        <w:t>s</w:t>
      </w:r>
      <w:r w:rsidRPr="00D0276D">
        <w:rPr>
          <w:szCs w:val="24"/>
        </w:rPr>
        <w:t>ection, cost data submitted for the development of mitigated offers, including opportunity cost data, will be subject to the confidentiality provisions set forth in Attachment A o</w:t>
      </w:r>
      <w:r w:rsidR="008D4AAF">
        <w:rPr>
          <w:szCs w:val="24"/>
        </w:rPr>
        <w:t>f</w:t>
      </w:r>
      <w:r w:rsidRPr="00D0276D">
        <w:rPr>
          <w:szCs w:val="24"/>
        </w:rPr>
        <w:t xml:space="preserve"> the Markets+ Tariff.</w:t>
      </w:r>
    </w:p>
    <w:p w14:paraId="4186BF11" w14:textId="77777777" w:rsidR="00A734BE" w:rsidRPr="00261AF2" w:rsidRDefault="00A734BE" w:rsidP="00574EDE">
      <w:pPr>
        <w:pStyle w:val="Heading4"/>
        <w:rPr>
          <w:szCs w:val="24"/>
        </w:rPr>
      </w:pPr>
      <w:bookmarkStart w:id="8298" w:name="_Toc159233578"/>
      <w:bookmarkStart w:id="8299" w:name="_Toc141100861"/>
      <w:bookmarkStart w:id="8300" w:name="_Ref212127751"/>
      <w:bookmarkStart w:id="8301" w:name="_Toc213772150"/>
      <w:bookmarkStart w:id="8302" w:name="_Ref349210094"/>
      <w:r>
        <w:t>Mitigation Measures for Transition State Offers</w:t>
      </w:r>
      <w:bookmarkEnd w:id="8298"/>
      <w:bookmarkEnd w:id="8299"/>
      <w:bookmarkEnd w:id="8300"/>
      <w:bookmarkEnd w:id="8301"/>
    </w:p>
    <w:p w14:paraId="695CD500" w14:textId="53D1D595" w:rsidR="00A734BE" w:rsidRPr="00261AF2" w:rsidRDefault="00A734BE" w:rsidP="001663DA">
      <w:pPr>
        <w:numPr>
          <w:ilvl w:val="0"/>
          <w:numId w:val="260"/>
        </w:numPr>
        <w:spacing w:before="120" w:line="300" w:lineRule="auto"/>
        <w:rPr>
          <w:szCs w:val="24"/>
        </w:rPr>
      </w:pPr>
      <w:r w:rsidRPr="00261AF2">
        <w:rPr>
          <w:szCs w:val="24"/>
        </w:rPr>
        <w:t xml:space="preserve">The mitigation measures in this section apply only </w:t>
      </w:r>
      <w:r w:rsidRPr="00D0276D">
        <w:rPr>
          <w:szCs w:val="24"/>
        </w:rPr>
        <w:t>to MCRs.  A Mitigated Transition State Offer must be submitted daily by the Market Participant in accordance with the Mitigated Offer Development Guidelines for each potential transition</w:t>
      </w:r>
      <w:r w:rsidRPr="00261AF2">
        <w:rPr>
          <w:szCs w:val="24"/>
        </w:rPr>
        <w:t xml:space="preserve"> state change.  The Mitigated Transition State Offer may be updated up to the close of the </w:t>
      </w:r>
      <w:r>
        <w:rPr>
          <w:szCs w:val="24"/>
        </w:rPr>
        <w:t>Day-Ahead</w:t>
      </w:r>
      <w:r w:rsidRPr="00261AF2">
        <w:rPr>
          <w:szCs w:val="24"/>
        </w:rPr>
        <w:t xml:space="preserve"> Market for use in the </w:t>
      </w:r>
      <w:r>
        <w:rPr>
          <w:szCs w:val="24"/>
        </w:rPr>
        <w:t>Day-Ahead</w:t>
      </w:r>
      <w:r w:rsidRPr="00261AF2">
        <w:rPr>
          <w:szCs w:val="24"/>
        </w:rPr>
        <w:t xml:space="preserve"> Market.  </w:t>
      </w:r>
      <w:r>
        <w:rPr>
          <w:szCs w:val="24"/>
        </w:rPr>
        <w:t xml:space="preserve">If </w:t>
      </w:r>
      <w:r w:rsidRPr="00261AF2">
        <w:rPr>
          <w:szCs w:val="24"/>
        </w:rPr>
        <w:t xml:space="preserve">a Resource </w:t>
      </w:r>
      <w:r>
        <w:rPr>
          <w:szCs w:val="24"/>
        </w:rPr>
        <w:t>is</w:t>
      </w:r>
      <w:r w:rsidRPr="00261AF2">
        <w:rPr>
          <w:szCs w:val="24"/>
        </w:rPr>
        <w:t xml:space="preserve"> not committed by the Day-Ahead Market, the Mitigated Transition State Offer may be updated until the Day-Ahead RUC process begins.  The Mitigated Transition State Offer submitted at the time the Day-Ahead RUC process begins will apply to the Day-Ahead RUC process on the day before the Operating Day and the Intra-Day RUC processes on the Operating Day. </w:t>
      </w:r>
    </w:p>
    <w:p w14:paraId="29645B6F" w14:textId="77777777" w:rsidR="00A734BE" w:rsidRPr="00261AF2" w:rsidRDefault="00A734BE" w:rsidP="001663DA">
      <w:pPr>
        <w:numPr>
          <w:ilvl w:val="0"/>
          <w:numId w:val="260"/>
        </w:numPr>
        <w:spacing w:before="120" w:line="300" w:lineRule="auto"/>
        <w:rPr>
          <w:szCs w:val="24"/>
        </w:rPr>
      </w:pPr>
      <w:r w:rsidRPr="00804DA2">
        <w:rPr>
          <w:szCs w:val="24"/>
        </w:rPr>
        <w:t>The Transition State Offer conduct threshold is a 25% increase above the mitigated Transition State Offer.</w:t>
      </w:r>
      <w:r w:rsidRPr="00261AF2">
        <w:rPr>
          <w:szCs w:val="24"/>
        </w:rPr>
        <w:t xml:space="preserve">  </w:t>
      </w:r>
    </w:p>
    <w:p w14:paraId="0A148386" w14:textId="77777777" w:rsidR="00A734BE" w:rsidRPr="00261AF2" w:rsidRDefault="00A734BE" w:rsidP="001663DA">
      <w:pPr>
        <w:numPr>
          <w:ilvl w:val="0"/>
          <w:numId w:val="260"/>
        </w:numPr>
        <w:spacing w:before="120" w:line="300" w:lineRule="auto"/>
        <w:rPr>
          <w:szCs w:val="24"/>
        </w:rPr>
      </w:pPr>
      <w:r w:rsidRPr="00F30BE9">
        <w:rPr>
          <w:szCs w:val="24"/>
        </w:rPr>
        <w:t>The Market Operator applies mitigation measures by placing a cap on the Transition State Offer of 10% above the mitigated Transition State Offer if:</w:t>
      </w:r>
      <w:r w:rsidRPr="00F30BE9">
        <w:rPr>
          <w:szCs w:val="24"/>
        </w:rPr>
        <w:tab/>
      </w:r>
    </w:p>
    <w:p w14:paraId="5006691F" w14:textId="77777777" w:rsidR="00A734BE" w:rsidRPr="00261AF2" w:rsidRDefault="00A734BE" w:rsidP="001663DA">
      <w:pPr>
        <w:numPr>
          <w:ilvl w:val="1"/>
          <w:numId w:val="259"/>
        </w:numPr>
        <w:spacing w:before="120" w:line="300" w:lineRule="auto"/>
        <w:rPr>
          <w:szCs w:val="24"/>
        </w:rPr>
      </w:pPr>
      <w:r w:rsidRPr="001B1E1A">
        <w:rPr>
          <w:szCs w:val="24"/>
        </w:rPr>
        <w:t xml:space="preserve">The Resource’s Transition State Offer exceeds the mitigated Transition State Offer by the applicable conduct threshold; and </w:t>
      </w:r>
    </w:p>
    <w:p w14:paraId="20FBA201" w14:textId="4792B5DB" w:rsidR="00A734BE" w:rsidRPr="00D0276D" w:rsidRDefault="00A734BE" w:rsidP="001663DA">
      <w:pPr>
        <w:numPr>
          <w:ilvl w:val="1"/>
          <w:numId w:val="259"/>
        </w:numPr>
        <w:spacing w:before="120" w:line="300" w:lineRule="auto"/>
        <w:rPr>
          <w:szCs w:val="24"/>
        </w:rPr>
      </w:pPr>
      <w:r w:rsidRPr="00D0276D">
        <w:rPr>
          <w:szCs w:val="24"/>
        </w:rPr>
        <w:t>The Resource has market power as described in</w:t>
      </w:r>
      <w:r w:rsidR="00C300DB">
        <w:rPr>
          <w:szCs w:val="24"/>
        </w:rPr>
        <w:t xml:space="preserve"> Sections</w:t>
      </w:r>
      <w:r w:rsidRPr="00D0276D">
        <w:rPr>
          <w:szCs w:val="24"/>
        </w:rPr>
        <w:t xml:space="preserve"> </w:t>
      </w:r>
      <w:r w:rsidR="00CA7E42">
        <w:rPr>
          <w:szCs w:val="24"/>
        </w:rPr>
        <w:fldChar w:fldCharType="begin"/>
      </w:r>
      <w:r w:rsidR="00CA7E42">
        <w:rPr>
          <w:szCs w:val="24"/>
        </w:rPr>
        <w:instrText xml:space="preserve"> REF _Ref212629138 \r \h </w:instrText>
      </w:r>
      <w:r w:rsidR="00CA7E42">
        <w:rPr>
          <w:szCs w:val="24"/>
        </w:rPr>
      </w:r>
      <w:r w:rsidR="00CA7E42">
        <w:rPr>
          <w:szCs w:val="24"/>
        </w:rPr>
        <w:fldChar w:fldCharType="separate"/>
      </w:r>
      <w:r w:rsidR="00CA7E42">
        <w:rPr>
          <w:szCs w:val="24"/>
        </w:rPr>
        <w:t>11.2.2.9</w:t>
      </w:r>
      <w:r w:rsidR="00CA7E42">
        <w:rPr>
          <w:szCs w:val="24"/>
        </w:rPr>
        <w:fldChar w:fldCharType="end"/>
      </w:r>
      <w:r w:rsidRPr="00D0276D">
        <w:rPr>
          <w:szCs w:val="24"/>
        </w:rPr>
        <w:t>(1) and (3)</w:t>
      </w:r>
      <w:r w:rsidR="0058020B">
        <w:rPr>
          <w:szCs w:val="24"/>
        </w:rPr>
        <w:t>;</w:t>
      </w:r>
      <w:r w:rsidRPr="00D0276D">
        <w:rPr>
          <w:szCs w:val="24"/>
        </w:rPr>
        <w:t xml:space="preserve"> and </w:t>
      </w:r>
    </w:p>
    <w:p w14:paraId="7082CEBC" w14:textId="259AB2CA" w:rsidR="00A734BE" w:rsidRPr="00D0276D" w:rsidRDefault="00A734BE" w:rsidP="001663DA">
      <w:pPr>
        <w:numPr>
          <w:ilvl w:val="1"/>
          <w:numId w:val="259"/>
        </w:numPr>
        <w:spacing w:before="120" w:line="300" w:lineRule="auto"/>
        <w:rPr>
          <w:szCs w:val="24"/>
        </w:rPr>
      </w:pPr>
      <w:r w:rsidRPr="00D0276D">
        <w:rPr>
          <w:szCs w:val="24"/>
        </w:rPr>
        <w:t>The Resource fails the Market Impact Test as described in</w:t>
      </w:r>
      <w:r w:rsidR="0058020B">
        <w:rPr>
          <w:szCs w:val="24"/>
        </w:rPr>
        <w:t xml:space="preserve"> Section</w:t>
      </w:r>
      <w:r w:rsidRPr="00D0276D">
        <w:rPr>
          <w:szCs w:val="24"/>
        </w:rPr>
        <w:t xml:space="preserve"> </w:t>
      </w:r>
      <w:r w:rsidR="00CA7E42">
        <w:rPr>
          <w:szCs w:val="24"/>
        </w:rPr>
        <w:fldChar w:fldCharType="begin"/>
      </w:r>
      <w:r w:rsidR="00CA7E42">
        <w:rPr>
          <w:szCs w:val="24"/>
        </w:rPr>
        <w:instrText xml:space="preserve"> REF _Ref323550387 \r \h </w:instrText>
      </w:r>
      <w:r w:rsidR="00CA7E42">
        <w:rPr>
          <w:szCs w:val="24"/>
        </w:rPr>
      </w:r>
      <w:r w:rsidR="00CA7E42">
        <w:rPr>
          <w:szCs w:val="24"/>
        </w:rPr>
        <w:fldChar w:fldCharType="separate"/>
      </w:r>
      <w:r w:rsidR="00CA7E42">
        <w:rPr>
          <w:szCs w:val="24"/>
        </w:rPr>
        <w:t>11.2.2.11</w:t>
      </w:r>
      <w:r w:rsidR="00CA7E42">
        <w:rPr>
          <w:szCs w:val="24"/>
        </w:rPr>
        <w:fldChar w:fldCharType="end"/>
      </w:r>
    </w:p>
    <w:p w14:paraId="65420259" w14:textId="7D6972FF" w:rsidR="00A734BE" w:rsidRDefault="00A734BE" w:rsidP="001663DA">
      <w:pPr>
        <w:numPr>
          <w:ilvl w:val="0"/>
          <w:numId w:val="262"/>
        </w:numPr>
        <w:spacing w:before="120" w:line="300" w:lineRule="auto"/>
        <w:rPr>
          <w:szCs w:val="24"/>
        </w:rPr>
      </w:pPr>
      <w:r w:rsidRPr="00352538">
        <w:rPr>
          <w:szCs w:val="24"/>
        </w:rPr>
        <w:t xml:space="preserve">For an MCR that has market power as determined in </w:t>
      </w:r>
      <w:r w:rsidR="00BF0BC4">
        <w:rPr>
          <w:szCs w:val="24"/>
        </w:rPr>
        <w:t>S</w:t>
      </w:r>
      <w:r w:rsidRPr="00352538">
        <w:rPr>
          <w:szCs w:val="24"/>
        </w:rPr>
        <w:t xml:space="preserve">ection </w:t>
      </w:r>
      <w:r w:rsidR="00C1434E">
        <w:rPr>
          <w:szCs w:val="24"/>
        </w:rPr>
        <w:fldChar w:fldCharType="begin"/>
      </w:r>
      <w:r w:rsidR="00C1434E">
        <w:rPr>
          <w:szCs w:val="24"/>
        </w:rPr>
        <w:instrText xml:space="preserve"> REF _Ref212629322 \r \h </w:instrText>
      </w:r>
      <w:r w:rsidR="00C1434E">
        <w:rPr>
          <w:szCs w:val="24"/>
        </w:rPr>
      </w:r>
      <w:r w:rsidR="00C1434E">
        <w:rPr>
          <w:szCs w:val="24"/>
        </w:rPr>
        <w:fldChar w:fldCharType="separate"/>
      </w:r>
      <w:r w:rsidR="00C1434E">
        <w:rPr>
          <w:szCs w:val="24"/>
        </w:rPr>
        <w:t>11.2.2.9</w:t>
      </w:r>
      <w:r w:rsidR="00C1434E">
        <w:rPr>
          <w:szCs w:val="24"/>
        </w:rPr>
        <w:fldChar w:fldCharType="end"/>
      </w:r>
      <w:r>
        <w:rPr>
          <w:szCs w:val="24"/>
        </w:rPr>
        <w:t>.</w:t>
      </w:r>
      <w:r w:rsidRPr="00352538">
        <w:rPr>
          <w:szCs w:val="24"/>
        </w:rPr>
        <w:t>(</w:t>
      </w:r>
      <w:r>
        <w:rPr>
          <w:szCs w:val="24"/>
        </w:rPr>
        <w:t>2</w:t>
      </w:r>
      <w:r w:rsidRPr="00352538">
        <w:rPr>
          <w:szCs w:val="24"/>
        </w:rPr>
        <w:t xml:space="preserve">), </w:t>
      </w:r>
      <w:r>
        <w:rPr>
          <w:szCs w:val="24"/>
        </w:rPr>
        <w:t>the Market Operator applies</w:t>
      </w:r>
      <w:r w:rsidRPr="00261AF2">
        <w:rPr>
          <w:szCs w:val="24"/>
        </w:rPr>
        <w:t xml:space="preserve"> mitigation measures by placing a cap on the Transition State Offer of 10% above the Mitigated Transition State Offer.</w:t>
      </w:r>
    </w:p>
    <w:p w14:paraId="3060FA82" w14:textId="77777777" w:rsidR="00A734BE" w:rsidRPr="00A93CD4" w:rsidRDefault="00A734BE" w:rsidP="001663DA">
      <w:pPr>
        <w:pStyle w:val="Normal271"/>
        <w:numPr>
          <w:ilvl w:val="0"/>
          <w:numId w:val="262"/>
        </w:numPr>
        <w:spacing w:before="120" w:after="120" w:line="300" w:lineRule="auto"/>
        <w:jc w:val="both"/>
        <w:rPr>
          <w:szCs w:val="20"/>
        </w:rPr>
      </w:pPr>
      <w:bookmarkStart w:id="8303" w:name="_Toc141100862"/>
      <w:r w:rsidRPr="00A93CD4">
        <w:rPr>
          <w:szCs w:val="20"/>
        </w:rPr>
        <w:t xml:space="preserve">The mitigated Transition State Offer for an MCR must represent the costs of moving from the current configuration to another configuration as determined </w:t>
      </w:r>
      <w:r>
        <w:rPr>
          <w:szCs w:val="20"/>
        </w:rPr>
        <w:t>by</w:t>
      </w:r>
      <w:r w:rsidRPr="00A93CD4">
        <w:rPr>
          <w:szCs w:val="20"/>
        </w:rPr>
        <w:t xml:space="preserve"> the fuel costs incurred during the transition, the costs related to that fuel usage, Performance Factor, and additional maintenance and labor </w:t>
      </w:r>
      <w:r w:rsidRPr="00880EF5">
        <w:rPr>
          <w:szCs w:val="20"/>
        </w:rPr>
        <w:t xml:space="preserve">costs incurred during the transition, including transition VOM cost and transition major maintenance cost.  Further guidelines for the mitigated Transition State Offer are documented in the </w:t>
      </w:r>
      <w:r w:rsidRPr="00880EF5">
        <w:t>Mitigated Offer Development Guidelines</w:t>
      </w:r>
      <w:r w:rsidRPr="00880EF5">
        <w:rPr>
          <w:szCs w:val="20"/>
        </w:rPr>
        <w:t>.</w:t>
      </w:r>
      <w:r w:rsidRPr="00A93CD4">
        <w:rPr>
          <w:szCs w:val="20"/>
        </w:rPr>
        <w:t xml:space="preserve">  </w:t>
      </w:r>
    </w:p>
    <w:p w14:paraId="13770F77" w14:textId="77777777" w:rsidR="00A734BE" w:rsidRPr="00A93CD4" w:rsidRDefault="00A734BE" w:rsidP="001663DA">
      <w:pPr>
        <w:pStyle w:val="Normal271"/>
        <w:spacing w:before="120" w:after="120" w:line="300" w:lineRule="auto"/>
        <w:ind w:left="720"/>
        <w:jc w:val="both"/>
        <w:rPr>
          <w:szCs w:val="20"/>
        </w:rPr>
      </w:pPr>
      <w:r>
        <w:t xml:space="preserve">The Market Participant must submit documentation of the method and any cost data for calculating the </w:t>
      </w:r>
      <w:r w:rsidRPr="00880EF5">
        <w:t>mitigated Transition State Offer that is necessary to allow the Market Monitor to validate submitted offers.  Further details associated with the development of these costs are included in the Mitigated Offer Development Guidelines.</w:t>
      </w:r>
    </w:p>
    <w:p w14:paraId="59991196" w14:textId="77777777" w:rsidR="00A734BE" w:rsidRPr="00A93CD4" w:rsidRDefault="00A734BE" w:rsidP="001663DA">
      <w:pPr>
        <w:pStyle w:val="Normal271"/>
        <w:numPr>
          <w:ilvl w:val="0"/>
          <w:numId w:val="262"/>
        </w:numPr>
        <w:spacing w:before="120" w:after="120" w:line="300" w:lineRule="auto"/>
        <w:jc w:val="both"/>
        <w:rPr>
          <w:szCs w:val="20"/>
        </w:rPr>
      </w:pPr>
      <w:r w:rsidRPr="00A93CD4">
        <w:rPr>
          <w:szCs w:val="20"/>
        </w:rPr>
        <w:t>Intra-day changes to the mitigated Transition State Offers are allowed under the following conditions:</w:t>
      </w:r>
    </w:p>
    <w:p w14:paraId="60447AA9" w14:textId="77777777" w:rsidR="00A734BE" w:rsidRPr="00A93CD4" w:rsidRDefault="00A734BE" w:rsidP="001663DA">
      <w:pPr>
        <w:pStyle w:val="Normal271"/>
        <w:numPr>
          <w:ilvl w:val="1"/>
          <w:numId w:val="262"/>
        </w:numPr>
        <w:spacing w:before="120" w:after="120" w:line="300" w:lineRule="auto"/>
        <w:jc w:val="both"/>
        <w:rPr>
          <w:szCs w:val="20"/>
        </w:rPr>
      </w:pPr>
      <w:r>
        <w:t>In the event that the Market Operator requests that a Resource remain online past its commitment period, the Market Participant may submit an updated mitigated Transition State Offer that reflects the procurement of higher cost fuel; or</w:t>
      </w:r>
    </w:p>
    <w:p w14:paraId="3E229710" w14:textId="77777777" w:rsidR="00A734BE" w:rsidRPr="00880EF5" w:rsidRDefault="00A734BE" w:rsidP="001663DA">
      <w:pPr>
        <w:pStyle w:val="Normal271"/>
        <w:numPr>
          <w:ilvl w:val="1"/>
          <w:numId w:val="262"/>
        </w:numPr>
        <w:spacing w:before="120" w:after="120" w:line="300" w:lineRule="auto"/>
        <w:jc w:val="both"/>
        <w:rPr>
          <w:szCs w:val="20"/>
        </w:rPr>
      </w:pPr>
      <w:r>
        <w:t xml:space="preserve">A Resource must switch fuels due to unforeseen operating </w:t>
      </w:r>
      <w:r w:rsidRPr="00880EF5">
        <w:t>conditions.</w:t>
      </w:r>
    </w:p>
    <w:p w14:paraId="500A0958" w14:textId="77777777" w:rsidR="00A734BE" w:rsidRPr="00A93CD4" w:rsidRDefault="00A734BE" w:rsidP="001663DA">
      <w:pPr>
        <w:pStyle w:val="Normal271"/>
        <w:spacing w:before="120" w:after="120" w:line="300" w:lineRule="auto"/>
        <w:ind w:left="720"/>
        <w:jc w:val="both"/>
        <w:rPr>
          <w:szCs w:val="20"/>
        </w:rPr>
      </w:pPr>
      <w:r w:rsidRPr="00880EF5">
        <w:t>Intra-day changes to the mitigated Transition State Offers must follow the Mitigated Offer Development Guidelines and will be validated by the Market Monitor.</w:t>
      </w:r>
    </w:p>
    <w:p w14:paraId="2C154837" w14:textId="09BAF5F3" w:rsidR="00A734BE" w:rsidRPr="00080506" w:rsidRDefault="00A734BE" w:rsidP="001663DA">
      <w:pPr>
        <w:pStyle w:val="Normal271"/>
        <w:numPr>
          <w:ilvl w:val="0"/>
          <w:numId w:val="262"/>
        </w:numPr>
        <w:spacing w:before="120" w:after="120" w:line="300" w:lineRule="auto"/>
        <w:jc w:val="both"/>
        <w:rPr>
          <w:szCs w:val="20"/>
        </w:rPr>
      </w:pPr>
      <w:r>
        <w:rPr>
          <w:szCs w:val="20"/>
        </w:rPr>
        <w:t>C</w:t>
      </w:r>
      <w:r w:rsidRPr="00A93CD4">
        <w:rPr>
          <w:szCs w:val="20"/>
        </w:rPr>
        <w:t>ost data submitted for the development of mitigated offers, including opportunity cost data, is subject to the confidentiality provisions set forth in Attachment A</w:t>
      </w:r>
      <w:r w:rsidR="00597A10">
        <w:rPr>
          <w:szCs w:val="20"/>
        </w:rPr>
        <w:t xml:space="preserve"> of the Markets+ Tariff</w:t>
      </w:r>
      <w:r w:rsidRPr="00A93CD4">
        <w:rPr>
          <w:szCs w:val="20"/>
        </w:rPr>
        <w:t>.</w:t>
      </w:r>
    </w:p>
    <w:p w14:paraId="47803840" w14:textId="77777777" w:rsidR="00A734BE" w:rsidRPr="00261AF2" w:rsidRDefault="00A734BE" w:rsidP="001663DA">
      <w:pPr>
        <w:spacing w:before="120" w:line="300" w:lineRule="auto"/>
        <w:rPr>
          <w:szCs w:val="24"/>
        </w:rPr>
      </w:pPr>
    </w:p>
    <w:p w14:paraId="1CFADA06" w14:textId="77777777" w:rsidR="00A734BE" w:rsidRDefault="00A734BE" w:rsidP="00574EDE">
      <w:pPr>
        <w:pStyle w:val="Heading4"/>
        <w:rPr>
          <w:szCs w:val="24"/>
        </w:rPr>
      </w:pPr>
      <w:bookmarkStart w:id="8304" w:name="_Toc213772151"/>
      <w:bookmarkStart w:id="8305" w:name="_Ref476750024"/>
      <w:bookmarkStart w:id="8306" w:name="_Ref482195470"/>
      <w:bookmarkStart w:id="8307" w:name="_Ref482195497"/>
      <w:bookmarkStart w:id="8308" w:name="_Ref482195520"/>
      <w:bookmarkStart w:id="8309" w:name="_Ref482195544"/>
      <w:bookmarkStart w:id="8310" w:name="_Ref482195562"/>
      <w:bookmarkStart w:id="8311" w:name="_Toc159233579"/>
      <w:r w:rsidRPr="003956B3">
        <w:t>Validation of Mitigated Resource Offers</w:t>
      </w:r>
      <w:bookmarkEnd w:id="8304"/>
    </w:p>
    <w:p w14:paraId="5E8AEBCC" w14:textId="24AAFAC1" w:rsidR="00A734BE" w:rsidRPr="00A93CD4" w:rsidRDefault="00A734BE" w:rsidP="001663DA">
      <w:pPr>
        <w:pStyle w:val="Normal273"/>
        <w:spacing w:before="120" w:after="120" w:line="300" w:lineRule="auto"/>
        <w:jc w:val="both"/>
        <w:rPr>
          <w:rFonts w:eastAsia="Calibri"/>
        </w:rPr>
      </w:pPr>
      <w:r w:rsidRPr="6CE57AAF">
        <w:rPr>
          <w:rFonts w:eastAsia="Calibri"/>
        </w:rPr>
        <w:t xml:space="preserve">If the Market Monitor determines that a Market Participant has incorrectly applied the formulas and definitions </w:t>
      </w:r>
      <w:r w:rsidRPr="00224D43">
        <w:rPr>
          <w:rFonts w:eastAsia="Calibri"/>
        </w:rPr>
        <w:t xml:space="preserve">in </w:t>
      </w:r>
      <w:r>
        <w:rPr>
          <w:rFonts w:eastAsia="Calibri"/>
        </w:rPr>
        <w:t>Appendix D</w:t>
      </w:r>
      <w:r w:rsidR="006D2ECB">
        <w:rPr>
          <w:rFonts w:eastAsia="Calibri"/>
        </w:rPr>
        <w:t>,</w:t>
      </w:r>
      <w:r w:rsidRPr="6CE57AAF">
        <w:rPr>
          <w:rFonts w:eastAsia="Calibri"/>
        </w:rPr>
        <w:t xml:space="preserve"> or determines that a mitigated offer deviates from the approved mitigated offer methodology, or is otherwise unacceptable</w:t>
      </w:r>
      <w:r w:rsidRPr="00A93CD4">
        <w:rPr>
          <w:rFonts w:eastAsia="Calibri"/>
        </w:rPr>
        <w:t xml:space="preserve">, the Market Participant must submit the mitigated offer calculated by the Market Monitor going forward.  </w:t>
      </w:r>
      <w:r w:rsidRPr="6CE57AAF">
        <w:rPr>
          <w:rFonts w:eastAsia="Calibri"/>
        </w:rPr>
        <w:t xml:space="preserve">The Market Monitor calculated mitigated offer must continue to be submitted until any dispute is resolved.  The procedures for submitting and processing disputes related to mitigated offers are specified </w:t>
      </w:r>
      <w:r w:rsidRPr="00950818">
        <w:rPr>
          <w:rFonts w:eastAsia="Calibri"/>
        </w:rPr>
        <w:t xml:space="preserve">in Section </w:t>
      </w:r>
      <w:r w:rsidR="007B4DDA">
        <w:rPr>
          <w:rFonts w:eastAsia="Calibri"/>
        </w:rPr>
        <w:fldChar w:fldCharType="begin"/>
      </w:r>
      <w:r w:rsidR="007B4DDA">
        <w:rPr>
          <w:rFonts w:eastAsia="Calibri"/>
        </w:rPr>
        <w:instrText xml:space="preserve"> REF _Ref212629475 \r \h </w:instrText>
      </w:r>
      <w:r w:rsidR="007B4DDA">
        <w:rPr>
          <w:rFonts w:eastAsia="Calibri"/>
        </w:rPr>
      </w:r>
      <w:r w:rsidR="007B4DDA">
        <w:rPr>
          <w:rFonts w:eastAsia="Calibri"/>
        </w:rPr>
        <w:fldChar w:fldCharType="separate"/>
      </w:r>
      <w:r w:rsidR="007B4DDA">
        <w:rPr>
          <w:rFonts w:eastAsia="Calibri"/>
        </w:rPr>
        <w:t>11.1.12.2</w:t>
      </w:r>
      <w:r w:rsidR="007B4DDA">
        <w:rPr>
          <w:rFonts w:eastAsia="Calibri"/>
        </w:rPr>
        <w:fldChar w:fldCharType="end"/>
      </w:r>
      <w:r w:rsidRPr="00950818">
        <w:rPr>
          <w:rFonts w:eastAsia="Calibri"/>
        </w:rPr>
        <w:t>.</w:t>
      </w:r>
      <w:r w:rsidRPr="6CE57AAF">
        <w:rPr>
          <w:rFonts w:eastAsia="Calibri"/>
        </w:rPr>
        <w:t xml:space="preserve"> The Market Operator remedies mitigated offer disputes resolved in favor of the Market Participant by providing make whole payments, as necessary, to the Market Participant whose mitigated offer was improperly determined by the Market Monitor.  </w:t>
      </w:r>
    </w:p>
    <w:p w14:paraId="1284E63A" w14:textId="77777777" w:rsidR="00A734BE" w:rsidRPr="00A93CD4" w:rsidRDefault="00A734BE" w:rsidP="001663DA">
      <w:pPr>
        <w:pStyle w:val="Normal273"/>
        <w:spacing w:before="120" w:after="120" w:line="300" w:lineRule="auto"/>
        <w:jc w:val="both"/>
        <w:rPr>
          <w:rFonts w:eastAsia="Calibri"/>
          <w:szCs w:val="20"/>
        </w:rPr>
      </w:pPr>
      <w:r w:rsidRPr="00A93CD4">
        <w:rPr>
          <w:rFonts w:eastAsia="Calibri"/>
          <w:szCs w:val="20"/>
        </w:rPr>
        <w:t>Each Market Participant is obligated to provide to the Market Monitor any cost data necessary to allow the Market Monitor to validate its mitigated Resource Offer.</w:t>
      </w:r>
    </w:p>
    <w:p w14:paraId="0F80EEE1" w14:textId="4E627EC7" w:rsidR="00A734BE" w:rsidRPr="00315F21" w:rsidRDefault="00A734BE" w:rsidP="001663DA">
      <w:pPr>
        <w:pStyle w:val="Normal273"/>
        <w:spacing w:before="120" w:after="120" w:line="300" w:lineRule="auto"/>
        <w:jc w:val="both"/>
        <w:rPr>
          <w:rFonts w:eastAsia="Calibri"/>
          <w:szCs w:val="20"/>
        </w:rPr>
      </w:pPr>
      <w:bookmarkStart w:id="8312" w:name="_Ref212628073"/>
      <w:r w:rsidRPr="30D4B76D">
        <w:rPr>
          <w:rFonts w:eastAsia="Calibri"/>
        </w:rPr>
        <w:t>The Market Monitor will keep such data confidential, and all cost data submitted, including any opportunity cost data, are subject to the confidentiality provisions set forth in Attachment A</w:t>
      </w:r>
      <w:r w:rsidR="00877D7F">
        <w:rPr>
          <w:rFonts w:eastAsia="Calibri"/>
        </w:rPr>
        <w:t xml:space="preserve"> </w:t>
      </w:r>
      <w:r w:rsidRPr="30D4B76D">
        <w:rPr>
          <w:rFonts w:eastAsia="Calibri"/>
        </w:rPr>
        <w:t>of the Markets+ Tariff.  The Market Monitor maintains the mechanism and procedures to allow Market Participants to submit such cost data on the Market Operator’s website.</w:t>
      </w:r>
      <w:bookmarkEnd w:id="8312"/>
    </w:p>
    <w:p w14:paraId="6058DCDE" w14:textId="77777777" w:rsidR="00A734BE" w:rsidRPr="00352538" w:rsidRDefault="00A734BE" w:rsidP="00574EDE">
      <w:pPr>
        <w:pStyle w:val="Heading4"/>
        <w:rPr>
          <w:szCs w:val="24"/>
        </w:rPr>
      </w:pPr>
      <w:bookmarkStart w:id="8313" w:name="_Ref212628094"/>
      <w:bookmarkStart w:id="8314" w:name="_Ref212628201"/>
      <w:bookmarkStart w:id="8315" w:name="_Ref212628450"/>
      <w:bookmarkStart w:id="8316" w:name="_Ref212628840"/>
      <w:bookmarkStart w:id="8317" w:name="_Ref212629138"/>
      <w:bookmarkStart w:id="8318" w:name="_Ref212629322"/>
      <w:bookmarkStart w:id="8319" w:name="_Ref212631594"/>
      <w:bookmarkStart w:id="8320" w:name="_Toc213772152"/>
      <w:r>
        <w:t>Market Power Test</w:t>
      </w:r>
      <w:bookmarkEnd w:id="8302"/>
      <w:bookmarkEnd w:id="8303"/>
      <w:bookmarkEnd w:id="8305"/>
      <w:bookmarkEnd w:id="8306"/>
      <w:bookmarkEnd w:id="8307"/>
      <w:bookmarkEnd w:id="8308"/>
      <w:bookmarkEnd w:id="8309"/>
      <w:bookmarkEnd w:id="8310"/>
      <w:bookmarkEnd w:id="8311"/>
      <w:bookmarkEnd w:id="8313"/>
      <w:bookmarkEnd w:id="8314"/>
      <w:bookmarkEnd w:id="8315"/>
      <w:bookmarkEnd w:id="8316"/>
      <w:bookmarkEnd w:id="8317"/>
      <w:bookmarkEnd w:id="8318"/>
      <w:bookmarkEnd w:id="8319"/>
      <w:bookmarkEnd w:id="8320"/>
    </w:p>
    <w:p w14:paraId="4C1E1427" w14:textId="77777777" w:rsidR="00A734BE" w:rsidRDefault="00A734BE" w:rsidP="001663DA">
      <w:pPr>
        <w:spacing w:before="120" w:line="300" w:lineRule="auto"/>
        <w:rPr>
          <w:szCs w:val="24"/>
        </w:rPr>
      </w:pPr>
      <w:r w:rsidRPr="00352538">
        <w:rPr>
          <w:szCs w:val="24"/>
        </w:rPr>
        <w:t>A Resource satisfying at least one of the following conditions is determined to have market power:</w:t>
      </w:r>
    </w:p>
    <w:p w14:paraId="38F7FE66" w14:textId="33A668C4" w:rsidR="00A734BE" w:rsidRPr="00A93CD4" w:rsidRDefault="00A734BE" w:rsidP="001663DA">
      <w:pPr>
        <w:pStyle w:val="Normal268"/>
        <w:spacing w:before="120" w:after="120" w:line="300" w:lineRule="auto"/>
        <w:ind w:left="720" w:hanging="720"/>
        <w:jc w:val="both"/>
      </w:pPr>
      <w:r>
        <w:t>(1)</w:t>
      </w:r>
      <w:r>
        <w:tab/>
        <w:t xml:space="preserve">The Resource has a Resource-to-Load-Distribution </w:t>
      </w:r>
      <w:r w:rsidR="009E5B17">
        <w:t>F</w:t>
      </w:r>
      <w:r>
        <w:t xml:space="preserve">actor less than or equal to negative five percent (-5%) relative to a binding transmission constraint; </w:t>
      </w:r>
    </w:p>
    <w:p w14:paraId="1CE76DEB" w14:textId="77777777" w:rsidR="00A734BE" w:rsidRPr="00A93CD4" w:rsidRDefault="00A734BE" w:rsidP="001663DA">
      <w:pPr>
        <w:pStyle w:val="Normal268"/>
        <w:spacing w:before="120" w:after="120" w:line="300" w:lineRule="auto"/>
        <w:ind w:left="720" w:hanging="720"/>
        <w:jc w:val="both"/>
        <w:rPr>
          <w:szCs w:val="20"/>
        </w:rPr>
      </w:pPr>
      <w:r w:rsidRPr="00A93CD4">
        <w:rPr>
          <w:szCs w:val="20"/>
        </w:rPr>
        <w:t>(2)</w:t>
      </w:r>
      <w:r w:rsidRPr="00A93CD4">
        <w:rPr>
          <w:szCs w:val="20"/>
        </w:rPr>
        <w:tab/>
        <w:t>The Resource is committed, or the MCR is transitioned, as a Reliability Must Run; or</w:t>
      </w:r>
    </w:p>
    <w:p w14:paraId="75708232" w14:textId="3EC38F3D" w:rsidR="00A734BE" w:rsidRPr="00A93CD4" w:rsidRDefault="00A734BE" w:rsidP="001663DA">
      <w:pPr>
        <w:pStyle w:val="Normal268"/>
        <w:spacing w:before="120" w:after="120" w:line="300" w:lineRule="auto"/>
        <w:ind w:left="720" w:hanging="720"/>
        <w:jc w:val="both"/>
        <w:rPr>
          <w:szCs w:val="20"/>
        </w:rPr>
      </w:pPr>
      <w:r w:rsidRPr="00A93CD4">
        <w:rPr>
          <w:szCs w:val="20"/>
        </w:rPr>
        <w:t>(3)</w:t>
      </w:r>
      <w:r w:rsidRPr="00A93CD4">
        <w:rPr>
          <w:szCs w:val="20"/>
        </w:rPr>
        <w:tab/>
        <w:t xml:space="preserve">Within a </w:t>
      </w:r>
      <w:r>
        <w:rPr>
          <w:szCs w:val="20"/>
        </w:rPr>
        <w:t>Reserve Zone</w:t>
      </w:r>
      <w:r w:rsidRPr="00A93CD4">
        <w:rPr>
          <w:szCs w:val="20"/>
        </w:rPr>
        <w:t xml:space="preserve">, the total Supplier Capacity plus unused deliverable import capacity is not sufficient to meet the Market Adjusted Obligation without a Market Participant’s Supplier Capacity in a Dispatch Interval. </w:t>
      </w:r>
      <w:r>
        <w:rPr>
          <w:szCs w:val="20"/>
        </w:rPr>
        <w:t>An illustrative formula for this Residual Supply Index (RSI) as calculated within a given reserve zone is provided below:</w:t>
      </w:r>
    </w:p>
    <w:p w14:paraId="783FB059" w14:textId="77777777" w:rsidR="00A734BE" w:rsidRPr="006F455A" w:rsidRDefault="00A734BE" w:rsidP="001663DA">
      <w:pPr>
        <w:pStyle w:val="Normal268"/>
        <w:spacing w:before="120" w:after="120" w:line="300" w:lineRule="auto"/>
        <w:ind w:left="720" w:hanging="720"/>
        <w:jc w:val="both"/>
        <w:rPr>
          <w:szCs w:val="20"/>
        </w:rPr>
      </w:pPr>
      <m:oMathPara>
        <m:oMath>
          <m:r>
            <w:rPr>
              <w:rFonts w:ascii="Cambria Math" w:hAnsi="Cambria Math"/>
              <w:szCs w:val="20"/>
            </w:rPr>
            <m:t xml:space="preserve">RSI= </m:t>
          </m:r>
          <m:f>
            <m:fPr>
              <m:ctrlPr>
                <w:rPr>
                  <w:rFonts w:ascii="Cambria Math" w:hAnsi="Cambria Math"/>
                  <w:i/>
                  <w:szCs w:val="20"/>
                </w:rPr>
              </m:ctrlPr>
            </m:fPr>
            <m:num>
              <m:r>
                <w:rPr>
                  <w:rFonts w:ascii="Cambria Math" w:hAnsi="Cambria Math"/>
                  <w:szCs w:val="20"/>
                </w:rPr>
                <m:t>∑Supplier Capacity+∑Import Capacity-Supplier Capacit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num>
            <m:den>
              <m:r>
                <w:rPr>
                  <w:rFonts w:ascii="Cambria Math" w:hAnsi="Cambria Math"/>
                  <w:szCs w:val="20"/>
                </w:rPr>
                <m:t>Forecast+Net Scheduled Interchange+∑MSR Charge Limit</m:t>
              </m:r>
            </m:den>
          </m:f>
        </m:oMath>
      </m:oMathPara>
    </w:p>
    <w:p w14:paraId="3E5D2DA9" w14:textId="77777777" w:rsidR="00A734BE" w:rsidRPr="00A93CD4" w:rsidRDefault="00A734BE" w:rsidP="001663DA">
      <w:pPr>
        <w:pStyle w:val="Normal268"/>
        <w:spacing w:before="120" w:after="120" w:line="300" w:lineRule="auto"/>
        <w:ind w:left="720" w:hanging="720"/>
        <w:jc w:val="both"/>
        <w:rPr>
          <w:szCs w:val="20"/>
        </w:rPr>
      </w:pPr>
      <w:r>
        <w:rPr>
          <w:szCs w:val="20"/>
        </w:rPr>
        <w:tab/>
        <w:t>When this index is greater than one (1), the supplier is deemed not to have market power.</w:t>
      </w:r>
    </w:p>
    <w:p w14:paraId="17AD7275" w14:textId="77777777" w:rsidR="00A734BE" w:rsidRPr="00A93CD4" w:rsidRDefault="00A734BE" w:rsidP="001663DA">
      <w:pPr>
        <w:pStyle w:val="Normal268"/>
        <w:spacing w:before="120" w:after="120" w:line="300" w:lineRule="auto"/>
        <w:ind w:left="1440" w:hanging="720"/>
        <w:jc w:val="both"/>
        <w:rPr>
          <w:szCs w:val="20"/>
        </w:rPr>
      </w:pPr>
      <w:r w:rsidRPr="00A93CD4">
        <w:rPr>
          <w:szCs w:val="20"/>
        </w:rPr>
        <w:t>(a)</w:t>
      </w:r>
      <w:r w:rsidRPr="00A93CD4">
        <w:rPr>
          <w:szCs w:val="20"/>
        </w:rPr>
        <w:tab/>
        <w:t>Supplier Capacity is the sum of Maximum Output Limits of each Supplying Resource.</w:t>
      </w:r>
    </w:p>
    <w:p w14:paraId="740C9F9C" w14:textId="77777777" w:rsidR="00A734BE" w:rsidRPr="00A93CD4" w:rsidRDefault="00A734BE" w:rsidP="001663DA">
      <w:pPr>
        <w:pStyle w:val="Normal268"/>
        <w:spacing w:before="120" w:after="120" w:line="300" w:lineRule="auto"/>
        <w:ind w:left="1440" w:hanging="720"/>
        <w:jc w:val="both"/>
        <w:rPr>
          <w:szCs w:val="20"/>
        </w:rPr>
      </w:pPr>
      <w:r w:rsidRPr="00A93CD4">
        <w:rPr>
          <w:szCs w:val="20"/>
        </w:rPr>
        <w:tab/>
        <w:t>(i)</w:t>
      </w:r>
      <w:r w:rsidRPr="00A93CD4">
        <w:rPr>
          <w:szCs w:val="20"/>
        </w:rPr>
        <w:tab/>
        <w:t>The Maximum Output Limit is defined by Resource type:</w:t>
      </w:r>
    </w:p>
    <w:p w14:paraId="23540ADA" w14:textId="295A4BFA" w:rsidR="00A734BE" w:rsidRPr="00A93CD4" w:rsidRDefault="00A734BE" w:rsidP="001663DA">
      <w:pPr>
        <w:pStyle w:val="Normal268"/>
        <w:spacing w:before="120" w:after="120" w:line="300" w:lineRule="auto"/>
        <w:ind w:left="2880" w:hanging="720"/>
        <w:jc w:val="both"/>
        <w:rPr>
          <w:szCs w:val="20"/>
        </w:rPr>
      </w:pPr>
      <w:r w:rsidRPr="00A93CD4">
        <w:rPr>
          <w:szCs w:val="20"/>
        </w:rPr>
        <w:t>(1)</w:t>
      </w:r>
      <w:r w:rsidRPr="00A93CD4">
        <w:rPr>
          <w:szCs w:val="20"/>
        </w:rPr>
        <w:tab/>
        <w:t xml:space="preserve">For a forecasted </w:t>
      </w:r>
      <w:r>
        <w:rPr>
          <w:szCs w:val="20"/>
        </w:rPr>
        <w:t>Variable Energy Resource</w:t>
      </w:r>
      <w:r w:rsidRPr="00A93CD4">
        <w:rPr>
          <w:szCs w:val="20"/>
        </w:rPr>
        <w:t xml:space="preserve">, </w:t>
      </w:r>
      <w:r>
        <w:rPr>
          <w:szCs w:val="20"/>
        </w:rPr>
        <w:t xml:space="preserve">the Maximum Output Limit is the lesser </w:t>
      </w:r>
      <w:r w:rsidRPr="00A93CD4">
        <w:rPr>
          <w:szCs w:val="20"/>
        </w:rPr>
        <w:t>of its (i) output forecast or (ii) its Maximum Economic Capacity Operating Limit</w:t>
      </w:r>
      <w:r w:rsidR="00C310E8">
        <w:rPr>
          <w:szCs w:val="20"/>
        </w:rPr>
        <w:t xml:space="preserve"> (Max ECOL)</w:t>
      </w:r>
      <w:r w:rsidRPr="00A93CD4">
        <w:rPr>
          <w:szCs w:val="20"/>
        </w:rPr>
        <w:t>.</w:t>
      </w:r>
    </w:p>
    <w:p w14:paraId="6A310550" w14:textId="77777777" w:rsidR="00A734BE" w:rsidRPr="00A93CD4" w:rsidRDefault="00A734BE" w:rsidP="001663DA">
      <w:pPr>
        <w:pStyle w:val="Normal268"/>
        <w:spacing w:before="120" w:after="120" w:line="300" w:lineRule="auto"/>
        <w:ind w:left="2880" w:hanging="720"/>
        <w:jc w:val="both"/>
        <w:rPr>
          <w:szCs w:val="20"/>
        </w:rPr>
      </w:pPr>
      <w:r w:rsidRPr="00A93CD4">
        <w:rPr>
          <w:szCs w:val="20"/>
        </w:rPr>
        <w:t>(2)</w:t>
      </w:r>
      <w:r w:rsidRPr="00A93CD4">
        <w:rPr>
          <w:szCs w:val="20"/>
        </w:rPr>
        <w:tab/>
        <w:t>For an MSR with a commitment that allows it to be dispatched above zero</w:t>
      </w:r>
      <w:r>
        <w:rPr>
          <w:szCs w:val="20"/>
        </w:rPr>
        <w:t xml:space="preserve"> (0)</w:t>
      </w:r>
      <w:r w:rsidRPr="00A93CD4">
        <w:rPr>
          <w:szCs w:val="20"/>
        </w:rPr>
        <w:t xml:space="preserve"> </w:t>
      </w:r>
      <w:r>
        <w:rPr>
          <w:szCs w:val="20"/>
        </w:rPr>
        <w:t>MWs</w:t>
      </w:r>
      <w:r w:rsidRPr="00A93CD4">
        <w:rPr>
          <w:szCs w:val="20"/>
        </w:rPr>
        <w:t xml:space="preserve">, the Maximum Output Limit is its Maximum Discharge Limit.  For an MSR with a commitment that allows it to charge only, the Maximum Output Limit is zero </w:t>
      </w:r>
      <w:r>
        <w:rPr>
          <w:szCs w:val="20"/>
        </w:rPr>
        <w:t>(0) MWs</w:t>
      </w:r>
      <w:r w:rsidRPr="00A93CD4">
        <w:rPr>
          <w:szCs w:val="20"/>
        </w:rPr>
        <w:t>.</w:t>
      </w:r>
    </w:p>
    <w:p w14:paraId="75A5D023" w14:textId="6F5ADCEA" w:rsidR="00A734BE" w:rsidRPr="00A93CD4" w:rsidRDefault="00A734BE" w:rsidP="001663DA">
      <w:pPr>
        <w:pStyle w:val="Normal268"/>
        <w:spacing w:before="120" w:after="120" w:line="300" w:lineRule="auto"/>
        <w:ind w:left="2880" w:hanging="720"/>
        <w:jc w:val="both"/>
        <w:rPr>
          <w:szCs w:val="20"/>
        </w:rPr>
      </w:pPr>
      <w:r w:rsidRPr="00A93CD4">
        <w:rPr>
          <w:szCs w:val="20"/>
        </w:rPr>
        <w:t>(3)</w:t>
      </w:r>
      <w:r w:rsidRPr="00A93CD4">
        <w:rPr>
          <w:szCs w:val="20"/>
        </w:rPr>
        <w:tab/>
        <w:t xml:space="preserve">For a Resource type that is not specified above, the Maximum Output Limit is the Resource’s </w:t>
      </w:r>
      <w:r w:rsidR="00C310E8">
        <w:rPr>
          <w:szCs w:val="20"/>
        </w:rPr>
        <w:t>Max ECOL</w:t>
      </w:r>
      <w:r w:rsidRPr="00A93CD4">
        <w:rPr>
          <w:szCs w:val="20"/>
        </w:rPr>
        <w:t xml:space="preserve"> for that interval;</w:t>
      </w:r>
    </w:p>
    <w:p w14:paraId="752EB524" w14:textId="77777777" w:rsidR="00A734BE" w:rsidRPr="00A93CD4" w:rsidRDefault="00A734BE" w:rsidP="001663DA">
      <w:pPr>
        <w:pStyle w:val="Normal268"/>
        <w:spacing w:before="120" w:after="120" w:line="300" w:lineRule="auto"/>
        <w:ind w:left="2160" w:hanging="720"/>
        <w:jc w:val="both"/>
        <w:rPr>
          <w:szCs w:val="20"/>
        </w:rPr>
      </w:pPr>
      <w:r w:rsidRPr="00A93CD4">
        <w:rPr>
          <w:szCs w:val="20"/>
        </w:rPr>
        <w:t>(ii)</w:t>
      </w:r>
      <w:r w:rsidRPr="00A93CD4">
        <w:rPr>
          <w:szCs w:val="20"/>
        </w:rPr>
        <w:tab/>
        <w:t xml:space="preserve">A Supplying Resource is a Resource that is both:  </w:t>
      </w:r>
    </w:p>
    <w:p w14:paraId="1BE80B9C" w14:textId="77777777" w:rsidR="00A734BE" w:rsidRPr="00A93CD4" w:rsidRDefault="00A734BE" w:rsidP="001663DA">
      <w:pPr>
        <w:pStyle w:val="Normal268"/>
        <w:spacing w:before="120" w:after="120" w:line="300" w:lineRule="auto"/>
        <w:ind w:left="2880" w:hanging="720"/>
        <w:jc w:val="both"/>
        <w:rPr>
          <w:szCs w:val="20"/>
        </w:rPr>
      </w:pPr>
      <w:r w:rsidRPr="00A93CD4">
        <w:rPr>
          <w:szCs w:val="20"/>
        </w:rPr>
        <w:t>(1)</w:t>
      </w:r>
      <w:r w:rsidRPr="00A93CD4">
        <w:rPr>
          <w:szCs w:val="20"/>
        </w:rPr>
        <w:tab/>
        <w:t>Registered under that Market Participant or its Affiliate(s), where “Affiliate” is defined in 18 CFR § 35.36(a)(9)</w:t>
      </w:r>
      <w:r>
        <w:rPr>
          <w:szCs w:val="20"/>
        </w:rPr>
        <w:t>;</w:t>
      </w:r>
      <w:r w:rsidRPr="00A93CD4">
        <w:rPr>
          <w:szCs w:val="20"/>
        </w:rPr>
        <w:t xml:space="preserve"> and   </w:t>
      </w:r>
    </w:p>
    <w:p w14:paraId="301217F2" w14:textId="77777777" w:rsidR="00A734BE" w:rsidRDefault="00A734BE" w:rsidP="001663DA">
      <w:pPr>
        <w:pStyle w:val="Normal268"/>
        <w:spacing w:before="120" w:after="120" w:line="300" w:lineRule="auto"/>
        <w:ind w:left="2880" w:hanging="720"/>
        <w:jc w:val="both"/>
        <w:rPr>
          <w:szCs w:val="20"/>
        </w:rPr>
      </w:pPr>
      <w:r w:rsidRPr="00A93CD4">
        <w:rPr>
          <w:szCs w:val="20"/>
        </w:rPr>
        <w:t xml:space="preserve"> (2)</w:t>
      </w:r>
      <w:r w:rsidRPr="00A93CD4">
        <w:rPr>
          <w:szCs w:val="20"/>
        </w:rPr>
        <w:tab/>
        <w:t xml:space="preserve">Available </w:t>
      </w:r>
      <w:r>
        <w:rPr>
          <w:szCs w:val="20"/>
        </w:rPr>
        <w:t>to the market</w:t>
      </w:r>
      <w:r w:rsidRPr="00A93CD4">
        <w:rPr>
          <w:szCs w:val="20"/>
        </w:rPr>
        <w:t>:</w:t>
      </w:r>
    </w:p>
    <w:p w14:paraId="412D6233" w14:textId="77777777" w:rsidR="00A734BE" w:rsidRPr="00A93CD4" w:rsidRDefault="00A734BE" w:rsidP="001663DA">
      <w:pPr>
        <w:pStyle w:val="Normal268"/>
        <w:spacing w:before="120" w:after="120" w:line="300" w:lineRule="auto"/>
        <w:ind w:left="2880" w:hanging="720"/>
        <w:jc w:val="both"/>
        <w:rPr>
          <w:szCs w:val="20"/>
        </w:rPr>
      </w:pPr>
      <w:r>
        <w:rPr>
          <w:szCs w:val="20"/>
        </w:rPr>
        <w:tab/>
        <w:t>(a)</w:t>
      </w:r>
      <w:r>
        <w:rPr>
          <w:szCs w:val="20"/>
        </w:rPr>
        <w:tab/>
        <w:t>For a dispatch process, a Resource is available when it:</w:t>
      </w:r>
    </w:p>
    <w:p w14:paraId="051D1CB7" w14:textId="77777777" w:rsidR="00A734BE" w:rsidRPr="00A93CD4" w:rsidRDefault="00A734BE" w:rsidP="001663DA">
      <w:pPr>
        <w:pStyle w:val="Normal268"/>
        <w:spacing w:before="120" w:after="120" w:line="300" w:lineRule="auto"/>
        <w:ind w:left="4320" w:hanging="720"/>
        <w:jc w:val="both"/>
        <w:rPr>
          <w:szCs w:val="20"/>
        </w:rPr>
      </w:pPr>
      <w:r w:rsidRPr="00A93CD4">
        <w:rPr>
          <w:szCs w:val="20"/>
        </w:rPr>
        <w:t>(i)</w:t>
      </w:r>
      <w:r w:rsidRPr="00A93CD4">
        <w:rPr>
          <w:szCs w:val="20"/>
        </w:rPr>
        <w:tab/>
        <w:t xml:space="preserve">Has a </w:t>
      </w:r>
      <w:r>
        <w:rPr>
          <w:szCs w:val="20"/>
        </w:rPr>
        <w:t>c</w:t>
      </w:r>
      <w:r w:rsidRPr="00A93CD4">
        <w:rPr>
          <w:szCs w:val="20"/>
        </w:rPr>
        <w:t xml:space="preserve">ommitment;  </w:t>
      </w:r>
    </w:p>
    <w:p w14:paraId="48E35852" w14:textId="77777777" w:rsidR="00A734BE" w:rsidRPr="00A93CD4" w:rsidRDefault="00A734BE" w:rsidP="001663DA">
      <w:pPr>
        <w:pStyle w:val="Normal268"/>
        <w:spacing w:before="120" w:after="120" w:line="300" w:lineRule="auto"/>
        <w:ind w:left="4320" w:hanging="720"/>
        <w:jc w:val="both"/>
        <w:rPr>
          <w:szCs w:val="20"/>
        </w:rPr>
      </w:pPr>
      <w:r w:rsidRPr="00A93CD4">
        <w:rPr>
          <w:szCs w:val="20"/>
        </w:rPr>
        <w:t>(ii)</w:t>
      </w:r>
      <w:r w:rsidRPr="00A93CD4">
        <w:rPr>
          <w:szCs w:val="20"/>
        </w:rPr>
        <w:tab/>
        <w:t xml:space="preserve">Is an off-line </w:t>
      </w:r>
      <w:r>
        <w:rPr>
          <w:szCs w:val="20"/>
        </w:rPr>
        <w:t>F</w:t>
      </w:r>
      <w:r w:rsidRPr="00A93CD4">
        <w:rPr>
          <w:szCs w:val="20"/>
        </w:rPr>
        <w:t>ast-</w:t>
      </w:r>
      <w:r>
        <w:rPr>
          <w:szCs w:val="20"/>
        </w:rPr>
        <w:t>S</w:t>
      </w:r>
      <w:r w:rsidRPr="00A93CD4">
        <w:rPr>
          <w:szCs w:val="20"/>
        </w:rPr>
        <w:t xml:space="preserve">tart </w:t>
      </w:r>
      <w:r>
        <w:rPr>
          <w:szCs w:val="20"/>
        </w:rPr>
        <w:t>R</w:t>
      </w:r>
      <w:r w:rsidRPr="00A93CD4">
        <w:rPr>
          <w:szCs w:val="20"/>
        </w:rPr>
        <w:t>esource that is eligible to be dispatched above zero</w:t>
      </w:r>
      <w:r>
        <w:rPr>
          <w:szCs w:val="20"/>
        </w:rPr>
        <w:t xml:space="preserve"> (0)</w:t>
      </w:r>
      <w:r w:rsidRPr="00A93CD4">
        <w:rPr>
          <w:szCs w:val="20"/>
        </w:rPr>
        <w:t xml:space="preserve"> </w:t>
      </w:r>
      <w:r>
        <w:rPr>
          <w:szCs w:val="20"/>
        </w:rPr>
        <w:t>MWs</w:t>
      </w:r>
      <w:r w:rsidRPr="00A93CD4">
        <w:rPr>
          <w:szCs w:val="20"/>
        </w:rPr>
        <w:t xml:space="preserve">; or </w:t>
      </w:r>
    </w:p>
    <w:p w14:paraId="54C01256" w14:textId="77777777" w:rsidR="00A734BE" w:rsidRDefault="00A734BE" w:rsidP="001663DA">
      <w:pPr>
        <w:pStyle w:val="Normal268"/>
        <w:spacing w:before="120" w:after="120" w:line="300" w:lineRule="auto"/>
        <w:ind w:left="4320" w:hanging="720"/>
        <w:jc w:val="both"/>
        <w:rPr>
          <w:szCs w:val="20"/>
        </w:rPr>
      </w:pPr>
      <w:r w:rsidRPr="00A93CD4">
        <w:rPr>
          <w:szCs w:val="20"/>
        </w:rPr>
        <w:t>(iii)</w:t>
      </w:r>
      <w:r w:rsidRPr="00A93CD4">
        <w:rPr>
          <w:szCs w:val="20"/>
        </w:rPr>
        <w:tab/>
        <w:t xml:space="preserve">Is a Variable Energy Resource that has a Commitment Status other than ‘Outage’ or ‘Not </w:t>
      </w:r>
      <w:r>
        <w:rPr>
          <w:szCs w:val="20"/>
        </w:rPr>
        <w:t>Available</w:t>
      </w:r>
      <w:r w:rsidRPr="00A93CD4">
        <w:rPr>
          <w:szCs w:val="20"/>
        </w:rPr>
        <w:t>’.</w:t>
      </w:r>
    </w:p>
    <w:p w14:paraId="678C5132" w14:textId="77777777" w:rsidR="00A734BE" w:rsidRDefault="00A734BE" w:rsidP="001663DA">
      <w:pPr>
        <w:pStyle w:val="Normal268"/>
        <w:spacing w:before="120" w:after="120" w:line="300" w:lineRule="auto"/>
        <w:ind w:left="3600" w:hanging="720"/>
        <w:jc w:val="both"/>
        <w:rPr>
          <w:szCs w:val="20"/>
        </w:rPr>
      </w:pPr>
      <w:r>
        <w:rPr>
          <w:szCs w:val="20"/>
        </w:rPr>
        <w:t>(b)</w:t>
      </w:r>
      <w:r>
        <w:rPr>
          <w:szCs w:val="20"/>
        </w:rPr>
        <w:tab/>
        <w:t xml:space="preserve">For a commitment process, a Resource is available when it </w:t>
      </w:r>
    </w:p>
    <w:p w14:paraId="0D13D0D8" w14:textId="77777777" w:rsidR="00A734BE" w:rsidRPr="00A93CD4" w:rsidRDefault="00A734BE" w:rsidP="001663DA">
      <w:pPr>
        <w:pStyle w:val="Normal268"/>
        <w:spacing w:before="120" w:after="120" w:line="300" w:lineRule="auto"/>
        <w:ind w:left="3600"/>
        <w:jc w:val="both"/>
        <w:rPr>
          <w:szCs w:val="20"/>
        </w:rPr>
      </w:pPr>
      <w:r>
        <w:rPr>
          <w:szCs w:val="20"/>
        </w:rPr>
        <w:t>has a commitment status other than ‘Outage’ or ‘Not Available’.</w:t>
      </w:r>
    </w:p>
    <w:p w14:paraId="4C3FB49A" w14:textId="77777777" w:rsidR="00A734BE" w:rsidRPr="00362F2E" w:rsidRDefault="00A734BE" w:rsidP="001663DA">
      <w:pPr>
        <w:pStyle w:val="Normal268"/>
        <w:spacing w:before="120" w:after="120" w:line="300" w:lineRule="auto"/>
        <w:ind w:left="1440" w:hanging="720"/>
        <w:jc w:val="both"/>
        <w:rPr>
          <w:szCs w:val="20"/>
        </w:rPr>
      </w:pPr>
      <w:r w:rsidRPr="00A93CD4">
        <w:rPr>
          <w:szCs w:val="20"/>
        </w:rPr>
        <w:t>(b)</w:t>
      </w:r>
      <w:r w:rsidRPr="00A93CD4">
        <w:rPr>
          <w:szCs w:val="20"/>
        </w:rPr>
        <w:tab/>
        <w:t xml:space="preserve">The Market Adjusted Obligation is equal to (i) the forecasted obligation adjusted by (ii) the Net Scheduled Interchange plus (iii) the sum of Maximum Charge Limits of </w:t>
      </w:r>
      <w:r>
        <w:rPr>
          <w:szCs w:val="20"/>
        </w:rPr>
        <w:t xml:space="preserve">available </w:t>
      </w:r>
      <w:r w:rsidRPr="00A93CD4">
        <w:rPr>
          <w:szCs w:val="20"/>
        </w:rPr>
        <w:t>MSRs.</w:t>
      </w:r>
    </w:p>
    <w:p w14:paraId="43005262" w14:textId="77777777" w:rsidR="00A734BE" w:rsidRPr="00352538" w:rsidRDefault="00A734BE" w:rsidP="001663DA">
      <w:pPr>
        <w:spacing w:before="120" w:line="300" w:lineRule="auto"/>
        <w:rPr>
          <w:szCs w:val="24"/>
        </w:rPr>
      </w:pPr>
    </w:p>
    <w:p w14:paraId="7E655CA7" w14:textId="77777777" w:rsidR="00A734BE" w:rsidRPr="00352538" w:rsidRDefault="00A734BE" w:rsidP="00574EDE">
      <w:pPr>
        <w:pStyle w:val="Heading4"/>
        <w:rPr>
          <w:szCs w:val="24"/>
        </w:rPr>
      </w:pPr>
      <w:bookmarkStart w:id="8321" w:name="_Ref372883858"/>
      <w:bookmarkStart w:id="8322" w:name="_Toc159233581"/>
      <w:bookmarkStart w:id="8323" w:name="_Toc141100864"/>
      <w:bookmarkStart w:id="8324" w:name="_Toc213772153"/>
      <w:r>
        <w:t>Additional Mitigation Measures for Resource Offer Parameters</w:t>
      </w:r>
      <w:bookmarkEnd w:id="8321"/>
      <w:bookmarkEnd w:id="8322"/>
      <w:bookmarkEnd w:id="8323"/>
      <w:bookmarkEnd w:id="8324"/>
    </w:p>
    <w:p w14:paraId="11A077D2" w14:textId="2CB56C97" w:rsidR="00A734BE" w:rsidRPr="00352538" w:rsidRDefault="00A734BE" w:rsidP="001663DA">
      <w:pPr>
        <w:spacing w:before="120" w:line="300" w:lineRule="auto"/>
        <w:rPr>
          <w:b/>
          <w:bCs/>
          <w:szCs w:val="24"/>
        </w:rPr>
      </w:pPr>
      <w:r w:rsidRPr="00352538">
        <w:rPr>
          <w:szCs w:val="24"/>
        </w:rPr>
        <w:t xml:space="preserve">Competitive outcomes can also be distorted by submitting offers that do not reflect the physical capabilities of Resources.  The mitigation measures in this </w:t>
      </w:r>
      <w:r w:rsidR="00BF0BC4">
        <w:rPr>
          <w:szCs w:val="24"/>
        </w:rPr>
        <w:t>S</w:t>
      </w:r>
      <w:r w:rsidRPr="00352538">
        <w:rPr>
          <w:szCs w:val="24"/>
        </w:rPr>
        <w:t xml:space="preserve">ection are intended to provide </w:t>
      </w:r>
      <w:r>
        <w:rPr>
          <w:szCs w:val="24"/>
        </w:rPr>
        <w:t xml:space="preserve">the </w:t>
      </w:r>
      <w:r w:rsidRPr="5D45D9AF">
        <w:rPr>
          <w:szCs w:val="24"/>
        </w:rPr>
        <w:t>Market Operator</w:t>
      </w:r>
      <w:r w:rsidRPr="00352538">
        <w:rPr>
          <w:szCs w:val="24"/>
        </w:rPr>
        <w:t xml:space="preserve"> with the means to mitigate the effects of physical parameter offers that are inconsistent with competitive conduct.  The mitigation measures in this </w:t>
      </w:r>
      <w:r w:rsidR="00BF0BC4">
        <w:rPr>
          <w:szCs w:val="24"/>
        </w:rPr>
        <w:t>S</w:t>
      </w:r>
      <w:r w:rsidRPr="00352538">
        <w:rPr>
          <w:szCs w:val="24"/>
        </w:rPr>
        <w:t xml:space="preserve">ection apply to all </w:t>
      </w:r>
      <w:r>
        <w:rPr>
          <w:szCs w:val="24"/>
        </w:rPr>
        <w:t xml:space="preserve">Resource </w:t>
      </w:r>
      <w:r w:rsidRPr="00352538">
        <w:rPr>
          <w:szCs w:val="24"/>
        </w:rPr>
        <w:t xml:space="preserve">Offer parameters in </w:t>
      </w:r>
      <w:r>
        <w:rPr>
          <w:szCs w:val="24"/>
        </w:rPr>
        <w:t xml:space="preserve">Attachment A </w:t>
      </w:r>
      <w:r w:rsidR="007B0986">
        <w:rPr>
          <w:szCs w:val="24"/>
        </w:rPr>
        <w:t xml:space="preserve">of the Markets+ </w:t>
      </w:r>
      <w:r w:rsidR="00C43D4A">
        <w:rPr>
          <w:szCs w:val="24"/>
        </w:rPr>
        <w:t>T</w:t>
      </w:r>
      <w:r w:rsidR="007B0986">
        <w:rPr>
          <w:szCs w:val="24"/>
        </w:rPr>
        <w:t>ariff</w:t>
      </w:r>
      <w:r>
        <w:rPr>
          <w:szCs w:val="24"/>
        </w:rPr>
        <w:t xml:space="preserve"> and </w:t>
      </w:r>
      <w:r w:rsidRPr="00352538">
        <w:rPr>
          <w:szCs w:val="24"/>
        </w:rPr>
        <w:t xml:space="preserve"> expressed in </w:t>
      </w:r>
      <w:r>
        <w:rPr>
          <w:szCs w:val="24"/>
        </w:rPr>
        <w:t>non-currency based units</w:t>
      </w:r>
      <w:r w:rsidRPr="00352538">
        <w:rPr>
          <w:szCs w:val="24"/>
        </w:rPr>
        <w:t xml:space="preserve"> and will only apply in the presence of market power as described in Section </w:t>
      </w:r>
      <w:r w:rsidR="00A35C8C">
        <w:rPr>
          <w:szCs w:val="24"/>
        </w:rPr>
        <w:fldChar w:fldCharType="begin"/>
      </w:r>
      <w:r w:rsidR="00A35C8C">
        <w:rPr>
          <w:szCs w:val="24"/>
        </w:rPr>
        <w:instrText xml:space="preserve"> REF _Ref212631759 \r \h </w:instrText>
      </w:r>
      <w:r w:rsidR="00A35C8C">
        <w:rPr>
          <w:szCs w:val="24"/>
        </w:rPr>
      </w:r>
      <w:r w:rsidR="00A35C8C">
        <w:rPr>
          <w:szCs w:val="24"/>
        </w:rPr>
        <w:fldChar w:fldCharType="separate"/>
      </w:r>
      <w:r w:rsidR="00A35C8C">
        <w:rPr>
          <w:szCs w:val="24"/>
        </w:rPr>
        <w:t>11.1.4.3</w:t>
      </w:r>
      <w:r w:rsidR="00A35C8C">
        <w:rPr>
          <w:szCs w:val="24"/>
        </w:rPr>
        <w:fldChar w:fldCharType="end"/>
      </w:r>
      <w:r>
        <w:rPr>
          <w:szCs w:val="24"/>
        </w:rPr>
        <w:t>.</w:t>
      </w:r>
    </w:p>
    <w:p w14:paraId="54215E39" w14:textId="0046C5CE" w:rsidR="00A734BE" w:rsidRPr="00261AF2" w:rsidRDefault="00A734BE" w:rsidP="001663DA">
      <w:pPr>
        <w:spacing w:before="120" w:line="300" w:lineRule="auto"/>
        <w:rPr>
          <w:szCs w:val="24"/>
        </w:rPr>
      </w:pPr>
      <w:r w:rsidRPr="00261AF2">
        <w:rPr>
          <w:szCs w:val="24"/>
        </w:rPr>
        <w:t xml:space="preserve">A reference level for each </w:t>
      </w:r>
      <w:r>
        <w:rPr>
          <w:szCs w:val="24"/>
        </w:rPr>
        <w:t xml:space="preserve">applicable Resource </w:t>
      </w:r>
      <w:r w:rsidRPr="00261AF2">
        <w:rPr>
          <w:szCs w:val="24"/>
        </w:rPr>
        <w:t xml:space="preserve">Offer parameter that reflects the physical capability of the Resource </w:t>
      </w:r>
      <w:r>
        <w:rPr>
          <w:szCs w:val="24"/>
        </w:rPr>
        <w:t>is</w:t>
      </w:r>
      <w:r w:rsidRPr="00261AF2">
        <w:rPr>
          <w:szCs w:val="24"/>
        </w:rPr>
        <w:t xml:space="preserve"> determined prior to the start of </w:t>
      </w:r>
      <w:r>
        <w:rPr>
          <w:szCs w:val="24"/>
        </w:rPr>
        <w:t>Markets+</w:t>
      </w:r>
      <w:r w:rsidRPr="00261AF2">
        <w:rPr>
          <w:szCs w:val="24"/>
        </w:rPr>
        <w:t xml:space="preserve"> by one or </w:t>
      </w:r>
      <w:r>
        <w:rPr>
          <w:szCs w:val="24"/>
        </w:rPr>
        <w:t>both</w:t>
      </w:r>
      <w:r w:rsidRPr="00261AF2">
        <w:rPr>
          <w:szCs w:val="24"/>
        </w:rPr>
        <w:t xml:space="preserve"> of the following methods: (i) consultation </w:t>
      </w:r>
      <w:r>
        <w:rPr>
          <w:szCs w:val="24"/>
        </w:rPr>
        <w:t>between</w:t>
      </w:r>
      <w:r w:rsidRPr="00261AF2">
        <w:rPr>
          <w:szCs w:val="24"/>
        </w:rPr>
        <w:t xml:space="preserve"> the Market Participant and the Market Monitor;</w:t>
      </w:r>
      <w:r>
        <w:rPr>
          <w:szCs w:val="24"/>
        </w:rPr>
        <w:t xml:space="preserve"> </w:t>
      </w:r>
      <w:r w:rsidDel="0046151A">
        <w:rPr>
          <w:szCs w:val="24"/>
        </w:rPr>
        <w:t>and/or</w:t>
      </w:r>
      <w:r w:rsidRPr="00261AF2">
        <w:rPr>
          <w:szCs w:val="24"/>
        </w:rPr>
        <w:t xml:space="preserve"> (ii) based on averages of </w:t>
      </w:r>
      <w:r>
        <w:rPr>
          <w:szCs w:val="24"/>
        </w:rPr>
        <w:t xml:space="preserve">Resource </w:t>
      </w:r>
      <w:r w:rsidRPr="00261AF2">
        <w:rPr>
          <w:szCs w:val="24"/>
        </w:rPr>
        <w:t xml:space="preserve">Offer parameters from similar Resources.  This methodology for setting reference levels for Offer parameters </w:t>
      </w:r>
      <w:r>
        <w:rPr>
          <w:szCs w:val="24"/>
        </w:rPr>
        <w:t>applies</w:t>
      </w:r>
      <w:r w:rsidRPr="00261AF2">
        <w:rPr>
          <w:szCs w:val="24"/>
        </w:rPr>
        <w:t xml:space="preserve"> to all Resources at the start of </w:t>
      </w:r>
      <w:r>
        <w:rPr>
          <w:szCs w:val="24"/>
        </w:rPr>
        <w:t xml:space="preserve">Markets+ </w:t>
      </w:r>
      <w:r w:rsidRPr="00261AF2">
        <w:rPr>
          <w:szCs w:val="24"/>
        </w:rPr>
        <w:t xml:space="preserve">and to all Resources that </w:t>
      </w:r>
      <w:r>
        <w:rPr>
          <w:szCs w:val="24"/>
        </w:rPr>
        <w:t>register</w:t>
      </w:r>
      <w:r w:rsidRPr="00261AF2">
        <w:rPr>
          <w:szCs w:val="24"/>
        </w:rPr>
        <w:t xml:space="preserve"> subsequent to the start of </w:t>
      </w:r>
      <w:r>
        <w:rPr>
          <w:szCs w:val="24"/>
        </w:rPr>
        <w:t>Markets+</w:t>
      </w:r>
      <w:r w:rsidRPr="00261AF2">
        <w:rPr>
          <w:szCs w:val="24"/>
        </w:rPr>
        <w:t xml:space="preserve">. The </w:t>
      </w:r>
      <w:r>
        <w:rPr>
          <w:szCs w:val="24"/>
        </w:rPr>
        <w:t>Market Operator’s</w:t>
      </w:r>
      <w:r w:rsidRPr="00261AF2">
        <w:rPr>
          <w:szCs w:val="24"/>
        </w:rPr>
        <w:t xml:space="preserve"> output forecast for a wind</w:t>
      </w:r>
      <w:r>
        <w:rPr>
          <w:szCs w:val="24"/>
        </w:rPr>
        <w:t xml:space="preserve"> and solar</w:t>
      </w:r>
      <w:r w:rsidRPr="00261AF2">
        <w:rPr>
          <w:szCs w:val="24"/>
        </w:rPr>
        <w:t xml:space="preserve">-powered Variable Energy Resource </w:t>
      </w:r>
      <w:r>
        <w:rPr>
          <w:szCs w:val="24"/>
        </w:rPr>
        <w:t>is</w:t>
      </w:r>
      <w:r w:rsidRPr="00261AF2">
        <w:rPr>
          <w:szCs w:val="24"/>
        </w:rPr>
        <w:t xml:space="preserve"> used as the reference maximum output limit for the wind</w:t>
      </w:r>
      <w:r>
        <w:rPr>
          <w:szCs w:val="24"/>
        </w:rPr>
        <w:t xml:space="preserve"> and solar</w:t>
      </w:r>
      <w:r w:rsidRPr="00261AF2">
        <w:rPr>
          <w:szCs w:val="24"/>
        </w:rPr>
        <w:t>-powered Variable Energy Resource.</w:t>
      </w:r>
    </w:p>
    <w:p w14:paraId="1F288D9F" w14:textId="77777777" w:rsidR="00A734BE" w:rsidRPr="00352538" w:rsidRDefault="00A734BE" w:rsidP="001663DA">
      <w:pPr>
        <w:spacing w:before="120" w:line="300" w:lineRule="auto"/>
        <w:rPr>
          <w:szCs w:val="24"/>
        </w:rPr>
      </w:pPr>
      <w:r w:rsidRPr="00352538">
        <w:rPr>
          <w:szCs w:val="24"/>
        </w:rPr>
        <w:t xml:space="preserve">The following thresholds </w:t>
      </w:r>
      <w:r>
        <w:rPr>
          <w:szCs w:val="24"/>
        </w:rPr>
        <w:t>are</w:t>
      </w:r>
      <w:r w:rsidRPr="00352538">
        <w:rPr>
          <w:szCs w:val="24"/>
        </w:rPr>
        <w:t xml:space="preserve"> used by </w:t>
      </w:r>
      <w:r>
        <w:rPr>
          <w:szCs w:val="24"/>
        </w:rPr>
        <w:t>the Market Monitor</w:t>
      </w:r>
      <w:r w:rsidRPr="00352538">
        <w:rPr>
          <w:szCs w:val="24"/>
        </w:rPr>
        <w:t xml:space="preserve"> to identify Resource Offers that may warrant mitigation and </w:t>
      </w:r>
      <w:r>
        <w:rPr>
          <w:szCs w:val="24"/>
        </w:rPr>
        <w:t>are</w:t>
      </w:r>
      <w:r w:rsidRPr="00352538">
        <w:rPr>
          <w:szCs w:val="24"/>
        </w:rPr>
        <w:t xml:space="preserve"> determined with respect to the corresponding reference level:</w:t>
      </w:r>
    </w:p>
    <w:p w14:paraId="71CDC93A" w14:textId="77777777" w:rsidR="00A734BE" w:rsidRPr="00352538" w:rsidRDefault="00A734BE" w:rsidP="001663DA">
      <w:pPr>
        <w:spacing w:before="120" w:line="300" w:lineRule="auto"/>
        <w:ind w:left="990"/>
        <w:rPr>
          <w:szCs w:val="24"/>
        </w:rPr>
      </w:pPr>
      <w:r w:rsidRPr="00352538">
        <w:rPr>
          <w:szCs w:val="24"/>
          <w:u w:val="single"/>
        </w:rPr>
        <w:t>Time-based Offer parameters</w:t>
      </w:r>
      <w:r w:rsidRPr="00352538">
        <w:rPr>
          <w:szCs w:val="24"/>
        </w:rPr>
        <w:t xml:space="preserve">: An increase of three (3) hours, or an increase of six (6) hours in total for multiple time-based </w:t>
      </w:r>
      <w:r>
        <w:rPr>
          <w:szCs w:val="24"/>
        </w:rPr>
        <w:t xml:space="preserve">Resource </w:t>
      </w:r>
      <w:r w:rsidRPr="00352538">
        <w:rPr>
          <w:szCs w:val="24"/>
        </w:rPr>
        <w:t xml:space="preserve">Offer parameters.  </w:t>
      </w:r>
    </w:p>
    <w:p w14:paraId="7EADA64F" w14:textId="77777777" w:rsidR="00A734BE" w:rsidRPr="00352538" w:rsidRDefault="00A734BE" w:rsidP="001663DA">
      <w:pPr>
        <w:spacing w:before="120" w:line="300" w:lineRule="auto"/>
        <w:ind w:left="990"/>
        <w:rPr>
          <w:szCs w:val="24"/>
        </w:rPr>
      </w:pPr>
      <w:r>
        <w:rPr>
          <w:szCs w:val="24"/>
          <w:u w:val="single"/>
        </w:rPr>
        <w:t xml:space="preserve">Resource </w:t>
      </w:r>
      <w:r w:rsidRPr="00352538">
        <w:rPr>
          <w:szCs w:val="24"/>
          <w:u w:val="single"/>
        </w:rPr>
        <w:t>Offer parameters expressed in units other than time or dollars</w:t>
      </w:r>
      <w:r w:rsidRPr="00352538">
        <w:rPr>
          <w:szCs w:val="24"/>
        </w:rPr>
        <w:t xml:space="preserve">: A </w:t>
      </w:r>
      <w:r w:rsidRPr="00A25E9D">
        <w:rPr>
          <w:szCs w:val="24"/>
        </w:rPr>
        <w:t xml:space="preserve">One hundred percent (100%) </w:t>
      </w:r>
      <w:r w:rsidRPr="00352538">
        <w:rPr>
          <w:szCs w:val="24"/>
        </w:rPr>
        <w:t xml:space="preserve">increase for </w:t>
      </w:r>
      <w:r>
        <w:rPr>
          <w:szCs w:val="24"/>
        </w:rPr>
        <w:t xml:space="preserve">Resource </w:t>
      </w:r>
      <w:r w:rsidRPr="00352538">
        <w:rPr>
          <w:szCs w:val="24"/>
        </w:rPr>
        <w:t xml:space="preserve">Offer parameters that are minimum values, or a </w:t>
      </w:r>
      <w:r w:rsidRPr="00B84AC1">
        <w:rPr>
          <w:szCs w:val="24"/>
        </w:rPr>
        <w:t xml:space="preserve">fifty percent (50%) </w:t>
      </w:r>
      <w:r w:rsidRPr="00352538">
        <w:rPr>
          <w:szCs w:val="24"/>
        </w:rPr>
        <w:t>decrease for Offer parameters that are maximum values.</w:t>
      </w:r>
    </w:p>
    <w:p w14:paraId="66D228CC" w14:textId="77777777" w:rsidR="00A734BE" w:rsidRPr="00261AF2" w:rsidRDefault="00A734BE" w:rsidP="001663DA">
      <w:pPr>
        <w:spacing w:before="120" w:line="300" w:lineRule="auto"/>
        <w:ind w:left="990"/>
        <w:rPr>
          <w:szCs w:val="24"/>
        </w:rPr>
      </w:pPr>
      <w:r w:rsidRPr="00261AF2">
        <w:rPr>
          <w:szCs w:val="24"/>
          <w:u w:val="single"/>
        </w:rPr>
        <w:t xml:space="preserve">Minimum Economic Capacity Operating Limit, Minimum Discharge Limit, or Maximum Charge Limit, as applicable, </w:t>
      </w:r>
      <w:r w:rsidRPr="00BD4835">
        <w:rPr>
          <w:szCs w:val="24"/>
          <w:u w:val="single"/>
        </w:rPr>
        <w:t>threshold for Resources committed to address a Local Reliability Issue:</w:t>
      </w:r>
      <w:r w:rsidRPr="00261AF2">
        <w:rPr>
          <w:szCs w:val="24"/>
        </w:rPr>
        <w:t xml:space="preserve"> </w:t>
      </w:r>
      <w:r w:rsidRPr="00C3535A">
        <w:rPr>
          <w:szCs w:val="24"/>
        </w:rPr>
        <w:t>twenty-five percent (25%) increase.</w:t>
      </w:r>
    </w:p>
    <w:p w14:paraId="2773FCF1" w14:textId="77777777" w:rsidR="00A734BE" w:rsidRPr="00261AF2" w:rsidRDefault="00A734BE" w:rsidP="001663DA">
      <w:pPr>
        <w:spacing w:before="120" w:line="300" w:lineRule="auto"/>
        <w:ind w:left="990"/>
        <w:rPr>
          <w:szCs w:val="24"/>
          <w:u w:val="single"/>
        </w:rPr>
      </w:pPr>
      <w:r w:rsidRPr="00261AF2">
        <w:rPr>
          <w:szCs w:val="24"/>
          <w:u w:val="single"/>
        </w:rPr>
        <w:t xml:space="preserve">Maximum Charge Limit, as applicable, </w:t>
      </w:r>
      <w:r w:rsidRPr="00BD4835">
        <w:rPr>
          <w:szCs w:val="24"/>
          <w:u w:val="single"/>
        </w:rPr>
        <w:t>threshold for Resources committed to address a Local Reliability Issue</w:t>
      </w:r>
      <w:r>
        <w:rPr>
          <w:szCs w:val="24"/>
          <w:u w:val="single"/>
        </w:rPr>
        <w:t>:</w:t>
      </w:r>
      <w:r w:rsidRPr="00261AF2">
        <w:rPr>
          <w:szCs w:val="24"/>
        </w:rPr>
        <w:t xml:space="preserve"> </w:t>
      </w:r>
      <w:r w:rsidRPr="00C3535A">
        <w:rPr>
          <w:szCs w:val="24"/>
        </w:rPr>
        <w:t>twenty-five percent (25%) increase.</w:t>
      </w:r>
    </w:p>
    <w:p w14:paraId="27BB736F" w14:textId="092870D5" w:rsidR="00A734BE" w:rsidRDefault="00A734BE" w:rsidP="001663DA">
      <w:pPr>
        <w:spacing w:before="120" w:line="300" w:lineRule="auto"/>
        <w:rPr>
          <w:szCs w:val="24"/>
        </w:rPr>
      </w:pPr>
      <w:r w:rsidRPr="00352538">
        <w:rPr>
          <w:szCs w:val="24"/>
        </w:rPr>
        <w:t xml:space="preserve">In the case that a Resource Offer fails the thresholds described above, the Market Monitor </w:t>
      </w:r>
      <w:r>
        <w:rPr>
          <w:szCs w:val="24"/>
        </w:rPr>
        <w:t>will</w:t>
      </w:r>
      <w:r w:rsidRPr="00352538">
        <w:rPr>
          <w:szCs w:val="24"/>
        </w:rPr>
        <w:t xml:space="preserve"> determine the impact on prices or make whole payments.  If </w:t>
      </w:r>
      <w:r w:rsidRPr="00261AF2">
        <w:rPr>
          <w:szCs w:val="24"/>
        </w:rPr>
        <w:t xml:space="preserve">an impact exceeds the LMP, MCP, or make whole </w:t>
      </w:r>
      <w:r w:rsidRPr="008E73F7">
        <w:rPr>
          <w:szCs w:val="24"/>
        </w:rPr>
        <w:t xml:space="preserve">payment thresholds in Section </w:t>
      </w:r>
      <w:r w:rsidR="005867A2">
        <w:rPr>
          <w:szCs w:val="24"/>
        </w:rPr>
        <w:fldChar w:fldCharType="begin"/>
      </w:r>
      <w:r w:rsidR="005867A2">
        <w:rPr>
          <w:szCs w:val="24"/>
        </w:rPr>
        <w:instrText xml:space="preserve"> REF _Ref323550387 \r \h </w:instrText>
      </w:r>
      <w:r w:rsidR="005867A2">
        <w:rPr>
          <w:szCs w:val="24"/>
        </w:rPr>
      </w:r>
      <w:r w:rsidR="005867A2">
        <w:rPr>
          <w:szCs w:val="24"/>
        </w:rPr>
        <w:fldChar w:fldCharType="separate"/>
      </w:r>
      <w:r w:rsidR="005867A2">
        <w:rPr>
          <w:szCs w:val="24"/>
        </w:rPr>
        <w:t>11.2.2.11</w:t>
      </w:r>
      <w:r w:rsidR="005867A2">
        <w:rPr>
          <w:szCs w:val="24"/>
        </w:rPr>
        <w:fldChar w:fldCharType="end"/>
      </w:r>
      <w:r w:rsidRPr="008E73F7">
        <w:rPr>
          <w:szCs w:val="24"/>
        </w:rPr>
        <w:t>, the Market</w:t>
      </w:r>
      <w:r w:rsidRPr="00352538">
        <w:rPr>
          <w:szCs w:val="24"/>
        </w:rPr>
        <w:t xml:space="preserve"> Monitor will initiate a discussion with the Market Participant concerning an explanation of the parameter changes.  </w:t>
      </w:r>
      <w:r w:rsidRPr="00261AF2">
        <w:rPr>
          <w:szCs w:val="24"/>
        </w:rPr>
        <w:t xml:space="preserve">The Market Monitor will inform </w:t>
      </w:r>
      <w:r>
        <w:rPr>
          <w:szCs w:val="24"/>
        </w:rPr>
        <w:t>the Market Operator</w:t>
      </w:r>
      <w:r w:rsidRPr="00261AF2">
        <w:rPr>
          <w:szCs w:val="24"/>
        </w:rPr>
        <w:t xml:space="preserve"> of any potential issue. </w:t>
      </w:r>
      <w:r w:rsidRPr="00352538">
        <w:rPr>
          <w:szCs w:val="24"/>
        </w:rPr>
        <w:t xml:space="preserve">If </w:t>
      </w:r>
      <w:r>
        <w:rPr>
          <w:szCs w:val="24"/>
        </w:rPr>
        <w:t>the Market Operator</w:t>
      </w:r>
      <w:r w:rsidRPr="00261AF2">
        <w:rPr>
          <w:szCs w:val="24"/>
        </w:rPr>
        <w:t xml:space="preserve">, in consultation with the </w:t>
      </w:r>
      <w:r w:rsidRPr="00352538">
        <w:rPr>
          <w:szCs w:val="24"/>
        </w:rPr>
        <w:t>Market Monitor, concludes that the Market Participant</w:t>
      </w:r>
      <w:r w:rsidRPr="00261AF2">
        <w:rPr>
          <w:szCs w:val="24"/>
        </w:rPr>
        <w:t xml:space="preserve"> has demonstrated the validity of the submitted Resource Offer</w:t>
      </w:r>
      <w:r w:rsidRPr="00352538">
        <w:rPr>
          <w:szCs w:val="24"/>
        </w:rPr>
        <w:t xml:space="preserve"> parameter, </w:t>
      </w:r>
      <w:r w:rsidRPr="00261AF2">
        <w:rPr>
          <w:szCs w:val="24"/>
        </w:rPr>
        <w:t xml:space="preserve">no further action will be taken. If not, </w:t>
      </w:r>
      <w:r>
        <w:rPr>
          <w:szCs w:val="24"/>
        </w:rPr>
        <w:t>the Market Operator</w:t>
      </w:r>
      <w:r w:rsidRPr="00261AF2">
        <w:rPr>
          <w:szCs w:val="24"/>
        </w:rPr>
        <w:t xml:space="preserve"> </w:t>
      </w:r>
      <w:r>
        <w:rPr>
          <w:szCs w:val="24"/>
        </w:rPr>
        <w:t>will</w:t>
      </w:r>
      <w:r w:rsidRPr="00261AF2">
        <w:rPr>
          <w:szCs w:val="24"/>
        </w:rPr>
        <w:t xml:space="preserve"> replace the Resource </w:t>
      </w:r>
      <w:r w:rsidRPr="00352538">
        <w:rPr>
          <w:szCs w:val="24"/>
        </w:rPr>
        <w:t xml:space="preserve">Offer parameter with the corresponding reference level.  Mitigation measures will remain in place until such time that the Market Participant demonstrates the validity of the </w:t>
      </w:r>
      <w:r w:rsidRPr="00261AF2">
        <w:rPr>
          <w:szCs w:val="24"/>
        </w:rPr>
        <w:t xml:space="preserve">Resource </w:t>
      </w:r>
      <w:r w:rsidRPr="00352538">
        <w:rPr>
          <w:szCs w:val="24"/>
        </w:rPr>
        <w:t>Offer parameter</w:t>
      </w:r>
      <w:r w:rsidRPr="00261AF2">
        <w:rPr>
          <w:szCs w:val="24"/>
        </w:rPr>
        <w:t xml:space="preserve"> </w:t>
      </w:r>
      <w:r w:rsidRPr="00352538">
        <w:rPr>
          <w:szCs w:val="24"/>
        </w:rPr>
        <w:t xml:space="preserve">or </w:t>
      </w:r>
      <w:r w:rsidRPr="00261AF2">
        <w:rPr>
          <w:szCs w:val="24"/>
        </w:rPr>
        <w:t xml:space="preserve">the Market Participant notifies the Market Monitor that </w:t>
      </w:r>
      <w:r w:rsidRPr="00352538">
        <w:rPr>
          <w:szCs w:val="24"/>
        </w:rPr>
        <w:t xml:space="preserve">the </w:t>
      </w:r>
      <w:r w:rsidRPr="00261AF2">
        <w:rPr>
          <w:szCs w:val="24"/>
        </w:rPr>
        <w:t xml:space="preserve">Resource </w:t>
      </w:r>
      <w:r w:rsidRPr="00352538">
        <w:rPr>
          <w:szCs w:val="24"/>
        </w:rPr>
        <w:t xml:space="preserve">Offer parameter has been changed </w:t>
      </w:r>
      <w:r w:rsidRPr="00261AF2">
        <w:rPr>
          <w:szCs w:val="24"/>
        </w:rPr>
        <w:t>to a value that is within the applicable threshold range</w:t>
      </w:r>
      <w:r>
        <w:rPr>
          <w:szCs w:val="24"/>
        </w:rPr>
        <w:t xml:space="preserve"> as described above</w:t>
      </w:r>
      <w:r w:rsidRPr="00352538">
        <w:rPr>
          <w:szCs w:val="24"/>
        </w:rPr>
        <w:t>, and the Market Monitor has verified that this change has occurred.  In the event that the Market Participant submits a dispute, the mitigation measure will remain in place until the resolution of the dispute.</w:t>
      </w:r>
    </w:p>
    <w:p w14:paraId="5D48208B" w14:textId="33A34C1D" w:rsidR="00A734BE" w:rsidRPr="00352538" w:rsidRDefault="00A734BE" w:rsidP="001663DA">
      <w:pPr>
        <w:spacing w:before="120" w:line="300" w:lineRule="auto"/>
        <w:rPr>
          <w:szCs w:val="24"/>
        </w:rPr>
      </w:pPr>
      <w:r w:rsidRPr="00166F1C">
        <w:rPr>
          <w:szCs w:val="24"/>
        </w:rPr>
        <w:t>Cost data submitted for the development of mitigated offers, including opportunity cost data, is subject to the confidentiality provisions set forth in Attachment A</w:t>
      </w:r>
      <w:r w:rsidR="00877D7F">
        <w:rPr>
          <w:szCs w:val="24"/>
        </w:rPr>
        <w:t xml:space="preserve"> </w:t>
      </w:r>
      <w:r>
        <w:rPr>
          <w:szCs w:val="24"/>
        </w:rPr>
        <w:t>of the Markets+ Tariff.</w:t>
      </w:r>
    </w:p>
    <w:p w14:paraId="33156FAE" w14:textId="77777777" w:rsidR="00A734BE" w:rsidRPr="00352538" w:rsidRDefault="00A734BE" w:rsidP="00574EDE">
      <w:pPr>
        <w:pStyle w:val="Heading4"/>
        <w:rPr>
          <w:szCs w:val="24"/>
        </w:rPr>
      </w:pPr>
      <w:bookmarkStart w:id="8325" w:name="_Ref323550387"/>
      <w:bookmarkStart w:id="8326" w:name="_Ref323550659"/>
      <w:bookmarkStart w:id="8327" w:name="_Toc159233582"/>
      <w:bookmarkStart w:id="8328" w:name="_Toc141100865"/>
      <w:bookmarkStart w:id="8329" w:name="_Toc213772154"/>
      <w:r>
        <w:t>Market Impact Test</w:t>
      </w:r>
      <w:bookmarkEnd w:id="8325"/>
      <w:bookmarkEnd w:id="8326"/>
      <w:bookmarkEnd w:id="8327"/>
      <w:bookmarkEnd w:id="8328"/>
      <w:bookmarkEnd w:id="8329"/>
    </w:p>
    <w:p w14:paraId="586A315D" w14:textId="4A362046" w:rsidR="00A734BE" w:rsidRPr="00A93CD4" w:rsidRDefault="00E5273E" w:rsidP="001663DA">
      <w:pPr>
        <w:pStyle w:val="Normal276"/>
        <w:spacing w:before="120" w:after="120" w:line="300" w:lineRule="auto"/>
        <w:jc w:val="both"/>
        <w:rPr>
          <w:rFonts w:eastAsia="Calibri"/>
        </w:rPr>
      </w:pPr>
      <w:r>
        <w:t xml:space="preserve">The Market Operator </w:t>
      </w:r>
      <w:r w:rsidR="00A734BE">
        <w:t xml:space="preserve">will apply a dynamic impact threshold to determine if prices would be significantly affected by the market offers as compared to mitigated offers.  The dynamic impact test reflects that the significance of the impact varies with price.  </w:t>
      </w:r>
      <w:r w:rsidR="00A734BE" w:rsidRPr="6CE57AAF">
        <w:rPr>
          <w:rFonts w:eastAsia="Calibri"/>
        </w:rPr>
        <w:t xml:space="preserve">If any Resource meets the conditions in </w:t>
      </w:r>
      <w:r w:rsidR="00A734BE" w:rsidRPr="00E719FF">
        <w:rPr>
          <w:rFonts w:eastAsia="Calibri"/>
        </w:rPr>
        <w:t>Attachment B</w:t>
      </w:r>
      <w:r w:rsidR="000732C3">
        <w:rPr>
          <w:rFonts w:eastAsia="Calibri"/>
        </w:rPr>
        <w:t xml:space="preserve"> of the Markets+ Tariff</w:t>
      </w:r>
      <w:r w:rsidR="00A734BE" w:rsidRPr="6CE57AAF">
        <w:rPr>
          <w:rFonts w:eastAsia="Calibri"/>
        </w:rPr>
        <w:t>, then the Market Operator compares a market solution with no mitigation measures to a market solution with mitigation measures applied.  The Market Operator will apply mitigation measures to all such Resources when:</w:t>
      </w:r>
    </w:p>
    <w:p w14:paraId="7CF49DBD" w14:textId="77777777" w:rsidR="00A734BE" w:rsidRPr="00A93CD4" w:rsidRDefault="00A734BE" w:rsidP="001663DA">
      <w:pPr>
        <w:pStyle w:val="Normal276"/>
        <w:spacing w:before="120" w:after="120" w:line="300" w:lineRule="auto"/>
        <w:ind w:left="1440" w:hanging="720"/>
        <w:jc w:val="both"/>
        <w:rPr>
          <w:rFonts w:eastAsia="Calibri"/>
          <w:szCs w:val="20"/>
        </w:rPr>
      </w:pPr>
      <w:r w:rsidRPr="00A93CD4">
        <w:rPr>
          <w:rFonts w:eastAsia="Calibri"/>
          <w:szCs w:val="20"/>
        </w:rPr>
        <w:t xml:space="preserve">(1) </w:t>
      </w:r>
      <w:r>
        <w:rPr>
          <w:rFonts w:eastAsia="Calibri"/>
          <w:szCs w:val="20"/>
        </w:rPr>
        <w:tab/>
      </w:r>
      <w:r w:rsidRPr="00A93CD4">
        <w:rPr>
          <w:rFonts w:eastAsia="Calibri"/>
          <w:szCs w:val="20"/>
        </w:rPr>
        <w:t xml:space="preserve">An LMP or MCP at a Settlement Location exceeds the corresponding price from the market solution with mitigation measures applied by </w:t>
      </w:r>
      <w:r>
        <w:t xml:space="preserve">at least </w:t>
      </w:r>
      <w:r w:rsidRPr="00A93CD4">
        <w:rPr>
          <w:rFonts w:eastAsia="Calibri"/>
          <w:szCs w:val="20"/>
        </w:rPr>
        <w:t>the applicable impact test threshold</w:t>
      </w:r>
      <w:r>
        <w:rPr>
          <w:rFonts w:eastAsia="Calibri"/>
          <w:szCs w:val="20"/>
        </w:rPr>
        <w:t>;</w:t>
      </w:r>
      <w:r w:rsidRPr="00A93CD4">
        <w:rPr>
          <w:rFonts w:eastAsia="Calibri"/>
          <w:szCs w:val="20"/>
        </w:rPr>
        <w:t xml:space="preserve"> or </w:t>
      </w:r>
    </w:p>
    <w:p w14:paraId="4F545D83" w14:textId="5AF71A16" w:rsidR="00A734BE" w:rsidRPr="00A93CD4" w:rsidRDefault="00A734BE" w:rsidP="001663DA">
      <w:pPr>
        <w:pStyle w:val="Normal276"/>
        <w:spacing w:before="120" w:after="120" w:line="300" w:lineRule="auto"/>
        <w:ind w:left="1440" w:hanging="720"/>
        <w:jc w:val="both"/>
        <w:rPr>
          <w:rFonts w:eastAsia="Calibri"/>
          <w:szCs w:val="20"/>
        </w:rPr>
      </w:pPr>
      <w:r w:rsidRPr="00A93CD4">
        <w:rPr>
          <w:rFonts w:eastAsia="Calibri"/>
          <w:szCs w:val="20"/>
        </w:rPr>
        <w:t xml:space="preserve">(2) </w:t>
      </w:r>
      <w:r>
        <w:rPr>
          <w:rFonts w:eastAsia="Calibri"/>
          <w:szCs w:val="20"/>
        </w:rPr>
        <w:tab/>
      </w:r>
      <w:r w:rsidRPr="00A93CD4">
        <w:rPr>
          <w:rFonts w:eastAsia="Calibri"/>
          <w:szCs w:val="20"/>
        </w:rPr>
        <w:t xml:space="preserve">A make whole payment for any Resource exceeds the corresponding make whole payment from the market solution with mitigation measures applied by </w:t>
      </w:r>
      <w:r>
        <w:t>at least</w:t>
      </w:r>
      <w:r w:rsidR="00773371">
        <w:t xml:space="preserve"> the </w:t>
      </w:r>
      <w:r w:rsidRPr="00A93CD4">
        <w:rPr>
          <w:rFonts w:eastAsia="Calibri"/>
          <w:szCs w:val="20"/>
        </w:rPr>
        <w:t>make whole payment impact test threshold.</w:t>
      </w:r>
    </w:p>
    <w:p w14:paraId="72943C2F" w14:textId="77777777" w:rsidR="00A734BE" w:rsidRDefault="00A734BE" w:rsidP="001663DA">
      <w:pPr>
        <w:pStyle w:val="Normal276"/>
        <w:spacing w:before="120" w:after="120" w:line="300" w:lineRule="auto"/>
        <w:jc w:val="both"/>
        <w:rPr>
          <w:rFonts w:eastAsia="Calibri"/>
          <w:szCs w:val="20"/>
        </w:rPr>
      </w:pPr>
      <w:r w:rsidRPr="00A93CD4">
        <w:rPr>
          <w:rFonts w:eastAsia="Calibri"/>
          <w:szCs w:val="20"/>
        </w:rPr>
        <w:t>The LMP, MCP, and make whole payment impact threshold is calculated as the product of (i) the MEC from the market solution with mitigation measures applied and (ii) the Slope Factor, where the impact threshold is between the minimum and maximum impact thresholds, inclusive.</w:t>
      </w:r>
    </w:p>
    <w:p w14:paraId="3BD5CFDC" w14:textId="77777777" w:rsidR="00A734BE" w:rsidRPr="00A93CD4" w:rsidRDefault="00A734BE" w:rsidP="001663DA">
      <w:pPr>
        <w:pStyle w:val="Normal276"/>
        <w:spacing w:before="120" w:after="120" w:line="300" w:lineRule="auto"/>
        <w:jc w:val="both"/>
        <w:rPr>
          <w:rFonts w:eastAsia="Calibri"/>
          <w:szCs w:val="20"/>
        </w:rPr>
      </w:pPr>
      <w:r>
        <w:rPr>
          <w:rFonts w:eastAsia="Calibri"/>
          <w:szCs w:val="20"/>
        </w:rPr>
        <w:t>Impact threshold = Min[ Max( MEC</w:t>
      </w:r>
      <w:r>
        <w:rPr>
          <w:rFonts w:eastAsia="Calibri"/>
          <w:szCs w:val="20"/>
          <w:vertAlign w:val="subscript"/>
        </w:rPr>
        <w:t>mitigation</w:t>
      </w:r>
      <w:r>
        <w:rPr>
          <w:rFonts w:eastAsia="Calibri"/>
          <w:szCs w:val="20"/>
        </w:rPr>
        <w:t xml:space="preserve"> * Slope Factor, Minimum Impact Threshold), Maximum Impact Threshold]</w:t>
      </w:r>
    </w:p>
    <w:p w14:paraId="1493FD45" w14:textId="77777777" w:rsidR="00A734BE" w:rsidRPr="00A93CD4" w:rsidRDefault="00A734BE" w:rsidP="001663DA">
      <w:pPr>
        <w:pStyle w:val="Normal276"/>
        <w:spacing w:before="120" w:after="120" w:line="300" w:lineRule="auto"/>
        <w:ind w:left="1440" w:hanging="720"/>
        <w:jc w:val="both"/>
        <w:rPr>
          <w:rFonts w:eastAsia="Calibri"/>
          <w:szCs w:val="20"/>
        </w:rPr>
      </w:pPr>
      <w:r w:rsidRPr="00A93CD4">
        <w:rPr>
          <w:rFonts w:eastAsia="Calibri"/>
          <w:szCs w:val="20"/>
        </w:rPr>
        <w:t>(1)</w:t>
      </w:r>
      <w:r w:rsidRPr="00A93CD4">
        <w:rPr>
          <w:rFonts w:eastAsia="Calibri"/>
          <w:szCs w:val="20"/>
        </w:rPr>
        <w:tab/>
        <w:t>The Slope Factor determines how much the MEC affects the impact threshold between the minimum impact threshold and maximum impact threshold.  The Slope Factor is 0.5; and</w:t>
      </w:r>
    </w:p>
    <w:p w14:paraId="0C680B73" w14:textId="77777777" w:rsidR="00A734BE" w:rsidRDefault="00A734BE" w:rsidP="001663DA">
      <w:pPr>
        <w:pStyle w:val="Normal276"/>
        <w:spacing w:before="120" w:after="120" w:line="300" w:lineRule="auto"/>
        <w:ind w:left="1440" w:hanging="720"/>
        <w:jc w:val="both"/>
        <w:rPr>
          <w:rFonts w:eastAsia="Calibri"/>
          <w:szCs w:val="20"/>
        </w:rPr>
      </w:pPr>
      <w:r w:rsidRPr="00A93CD4">
        <w:rPr>
          <w:rFonts w:eastAsia="Calibri"/>
          <w:szCs w:val="20"/>
        </w:rPr>
        <w:t>(2)</w:t>
      </w:r>
      <w:r w:rsidRPr="00A93CD4">
        <w:rPr>
          <w:rFonts w:eastAsia="Calibri"/>
          <w:szCs w:val="20"/>
        </w:rPr>
        <w:tab/>
        <w:t>The minimum impact threshold is</w:t>
      </w:r>
      <w:r>
        <w:rPr>
          <w:rFonts w:eastAsia="Calibri"/>
          <w:szCs w:val="20"/>
        </w:rPr>
        <w:t xml:space="preserve"> five dollars</w:t>
      </w:r>
      <w:r w:rsidRPr="00A93CD4">
        <w:rPr>
          <w:rFonts w:eastAsia="Calibri"/>
          <w:szCs w:val="20"/>
        </w:rPr>
        <w:t xml:space="preserve"> </w:t>
      </w:r>
      <w:r>
        <w:rPr>
          <w:rFonts w:eastAsia="Calibri"/>
          <w:szCs w:val="20"/>
        </w:rPr>
        <w:t>(</w:t>
      </w:r>
      <w:r w:rsidRPr="00A93CD4">
        <w:rPr>
          <w:rFonts w:eastAsia="Calibri"/>
          <w:szCs w:val="20"/>
        </w:rPr>
        <w:t>$5</w:t>
      </w:r>
      <w:r>
        <w:rPr>
          <w:rFonts w:eastAsia="Calibri"/>
          <w:szCs w:val="20"/>
        </w:rPr>
        <w:t>)</w:t>
      </w:r>
      <w:r w:rsidRPr="00A93CD4">
        <w:rPr>
          <w:rFonts w:eastAsia="Calibri"/>
          <w:szCs w:val="20"/>
        </w:rPr>
        <w:t xml:space="preserve"> and the maximum impact threshold is</w:t>
      </w:r>
      <w:r>
        <w:rPr>
          <w:rFonts w:eastAsia="Calibri"/>
          <w:szCs w:val="20"/>
        </w:rPr>
        <w:t xml:space="preserve"> one hundred dollars (</w:t>
      </w:r>
      <w:r w:rsidRPr="00A93CD4">
        <w:rPr>
          <w:rFonts w:eastAsia="Calibri"/>
          <w:szCs w:val="20"/>
        </w:rPr>
        <w:t>$100</w:t>
      </w:r>
      <w:r>
        <w:rPr>
          <w:rFonts w:eastAsia="Calibri"/>
          <w:szCs w:val="20"/>
        </w:rPr>
        <w:t>)</w:t>
      </w:r>
      <w:r w:rsidRPr="00A93CD4">
        <w:rPr>
          <w:rFonts w:eastAsia="Calibri"/>
          <w:szCs w:val="20"/>
        </w:rPr>
        <w:t>.</w:t>
      </w:r>
    </w:p>
    <w:p w14:paraId="0E8BE3EB" w14:textId="77777777" w:rsidR="00A734BE" w:rsidRPr="00CD06B7" w:rsidRDefault="00A734BE" w:rsidP="001663DA">
      <w:pPr>
        <w:pStyle w:val="Normal276"/>
        <w:spacing w:before="120" w:after="120" w:line="300" w:lineRule="auto"/>
        <w:ind w:left="1440" w:hanging="720"/>
        <w:jc w:val="both"/>
        <w:rPr>
          <w:rFonts w:eastAsia="Calibri"/>
          <w:szCs w:val="20"/>
        </w:rPr>
      </w:pPr>
    </w:p>
    <w:p w14:paraId="27B35722" w14:textId="77777777" w:rsidR="00A734BE" w:rsidRPr="00352538" w:rsidRDefault="00A734BE" w:rsidP="00574EDE">
      <w:pPr>
        <w:pStyle w:val="Heading4"/>
        <w:rPr>
          <w:szCs w:val="24"/>
        </w:rPr>
      </w:pPr>
      <w:bookmarkStart w:id="8330" w:name="_Ref323550576"/>
      <w:bookmarkStart w:id="8331" w:name="_Toc159233583"/>
      <w:bookmarkStart w:id="8332" w:name="_Toc141100866"/>
      <w:bookmarkStart w:id="8333" w:name="_Toc213772155"/>
      <w:r>
        <w:t>Mitigated Offer Development Guidelines</w:t>
      </w:r>
      <w:bookmarkEnd w:id="8330"/>
      <w:bookmarkEnd w:id="8331"/>
      <w:bookmarkEnd w:id="8332"/>
      <w:bookmarkEnd w:id="8333"/>
    </w:p>
    <w:p w14:paraId="26228600" w14:textId="03CEA16A" w:rsidR="00A734BE" w:rsidRPr="002C3C44" w:rsidRDefault="00A734BE" w:rsidP="001663DA">
      <w:pPr>
        <w:spacing w:before="120" w:line="300" w:lineRule="auto"/>
        <w:rPr>
          <w:szCs w:val="24"/>
        </w:rPr>
      </w:pPr>
      <w:r w:rsidRPr="002C3C44">
        <w:rPr>
          <w:szCs w:val="24"/>
        </w:rPr>
        <w:t xml:space="preserve">The Markets+ Design Working Group (or its successor), in coordination with the Market Monitor and Market Operator, will develop and maintain Mitigated Offer Development Guidelines in Appendix D, describing the standards for determining cost components for products and services provided to Markets+ that are subject to mitigation.  The Mitigated Offer Development Guidelines in Appendix D are intended to capture the short-run marginal cost, including the appropriate application of opportunity costs, of providing each service to Markets+ Energy and Flexibility Reserve Markets.  </w:t>
      </w:r>
      <w:r w:rsidRPr="002C3C44" w:rsidDel="00261AF2">
        <w:rPr>
          <w:szCs w:val="24"/>
        </w:rPr>
        <w:t xml:space="preserve">The Mitigated Offer Development Guidelines </w:t>
      </w:r>
      <w:r w:rsidRPr="002C3C44">
        <w:rPr>
          <w:szCs w:val="24"/>
        </w:rPr>
        <w:t>will</w:t>
      </w:r>
      <w:r w:rsidRPr="002C3C44" w:rsidDel="00261AF2">
        <w:rPr>
          <w:szCs w:val="24"/>
        </w:rPr>
        <w:t xml:space="preserve"> describe all relevant cost components for defining Mitigated Start-Up Offers, Mitigated No-Load Offers, Mitigated Energy Offer Curves, </w:t>
      </w:r>
      <w:r w:rsidRPr="009C100D" w:rsidDel="00261AF2">
        <w:rPr>
          <w:szCs w:val="24"/>
        </w:rPr>
        <w:t xml:space="preserve">and </w:t>
      </w:r>
      <w:r w:rsidR="00406670">
        <w:t xml:space="preserve">offline Mid-Term Flex Up mitigated offers </w:t>
      </w:r>
      <w:r w:rsidRPr="009C100D" w:rsidDel="00261AF2">
        <w:rPr>
          <w:szCs w:val="24"/>
        </w:rPr>
        <w:t>, by Resource</w:t>
      </w:r>
      <w:r w:rsidRPr="002C3C44">
        <w:rPr>
          <w:szCs w:val="24"/>
        </w:rPr>
        <w:t xml:space="preserve"> type.</w:t>
      </w:r>
    </w:p>
    <w:p w14:paraId="157B6EE4" w14:textId="77777777" w:rsidR="00A734BE" w:rsidRPr="002C3C44" w:rsidRDefault="00A734BE" w:rsidP="001663DA">
      <w:pPr>
        <w:spacing w:before="120" w:line="300" w:lineRule="auto"/>
        <w:rPr>
          <w:szCs w:val="24"/>
        </w:rPr>
      </w:pPr>
    </w:p>
    <w:p w14:paraId="3B59DFD8" w14:textId="32EB9989" w:rsidR="00A734BE" w:rsidRPr="002C3C44" w:rsidRDefault="00A734BE" w:rsidP="001663DA">
      <w:pPr>
        <w:spacing w:before="120" w:line="300" w:lineRule="auto"/>
        <w:rPr>
          <w:szCs w:val="24"/>
        </w:rPr>
      </w:pPr>
      <w:r w:rsidRPr="002C3C44">
        <w:rPr>
          <w:szCs w:val="24"/>
        </w:rPr>
        <w:t xml:space="preserve">The Market Monitor will shadow calculate mitigated offers based on the approved mitigated offer methodology and compare the shadow calculated mitigated offer to the Mitigated Resource Offer on an </w:t>
      </w:r>
      <w:r w:rsidRPr="002C3C44">
        <w:rPr>
          <w:i/>
          <w:iCs/>
          <w:szCs w:val="24"/>
        </w:rPr>
        <w:t xml:space="preserve">ex-post </w:t>
      </w:r>
      <w:r w:rsidRPr="002C3C44">
        <w:rPr>
          <w:szCs w:val="24"/>
        </w:rPr>
        <w:t xml:space="preserve">basis to ensure that the Market Participant has correctly applied the formulas and definitions </w:t>
      </w:r>
      <w:r w:rsidRPr="002C3C44">
        <w:rPr>
          <w:szCs w:val="24"/>
        </w:rPr>
        <w:fldChar w:fldCharType="begin"/>
      </w:r>
      <w:r w:rsidRPr="002C3C44">
        <w:rPr>
          <w:szCs w:val="24"/>
        </w:rPr>
        <w:fldChar w:fldCharType="separate"/>
      </w:r>
      <w:r w:rsidR="00A54E61">
        <w:rPr>
          <w:szCs w:val="24"/>
        </w:rPr>
        <w:t>11.2.2.4</w:t>
      </w:r>
      <w:r w:rsidRPr="002C3C44">
        <w:rPr>
          <w:szCs w:val="24"/>
        </w:rPr>
        <w:fldChar w:fldCharType="end"/>
      </w:r>
      <w:r w:rsidRPr="002C3C44">
        <w:rPr>
          <w:szCs w:val="24"/>
        </w:rPr>
        <w:fldChar w:fldCharType="begin"/>
      </w:r>
      <w:r w:rsidRPr="002C3C44">
        <w:rPr>
          <w:szCs w:val="24"/>
        </w:rPr>
        <w:fldChar w:fldCharType="separate"/>
      </w:r>
      <w:r w:rsidR="00A54E61">
        <w:rPr>
          <w:szCs w:val="24"/>
        </w:rPr>
        <w:t>11.2.2.5</w:t>
      </w:r>
      <w:r w:rsidRPr="002C3C44">
        <w:rPr>
          <w:szCs w:val="24"/>
        </w:rPr>
        <w:fldChar w:fldCharType="end"/>
      </w:r>
      <w:r w:rsidRPr="002C3C44">
        <w:rPr>
          <w:szCs w:val="24"/>
        </w:rPr>
        <w:fldChar w:fldCharType="begin"/>
      </w:r>
      <w:r w:rsidRPr="002C3C44">
        <w:rPr>
          <w:szCs w:val="24"/>
        </w:rPr>
        <w:fldChar w:fldCharType="separate"/>
      </w:r>
      <w:r w:rsidR="00A54E61">
        <w:rPr>
          <w:szCs w:val="24"/>
        </w:rPr>
        <w:t>11.2.2.6</w:t>
      </w:r>
      <w:r w:rsidRPr="002C3C44">
        <w:rPr>
          <w:szCs w:val="24"/>
        </w:rPr>
        <w:fldChar w:fldCharType="end"/>
      </w:r>
      <w:r w:rsidR="003954E2">
        <w:rPr>
          <w:szCs w:val="24"/>
        </w:rPr>
        <w:t xml:space="preserve">in </w:t>
      </w:r>
      <w:r w:rsidRPr="0006767B">
        <w:rPr>
          <w:szCs w:val="24"/>
        </w:rPr>
        <w:t>the Mitigated Offer Development Guidelines in Appendix D</w:t>
      </w:r>
      <w:r w:rsidR="00F472CC">
        <w:rPr>
          <w:szCs w:val="24"/>
        </w:rPr>
        <w:t>,</w:t>
      </w:r>
      <w:r w:rsidRPr="0006767B">
        <w:rPr>
          <w:szCs w:val="24"/>
        </w:rPr>
        <w:t xml:space="preserve"> and</w:t>
      </w:r>
      <w:r w:rsidRPr="002C3C44">
        <w:rPr>
          <w:szCs w:val="24"/>
        </w:rPr>
        <w:t xml:space="preserve"> in Attachment B of</w:t>
      </w:r>
      <w:r w:rsidR="001402E9">
        <w:rPr>
          <w:szCs w:val="24"/>
        </w:rPr>
        <w:t xml:space="preserve"> the</w:t>
      </w:r>
      <w:r w:rsidRPr="002C3C44">
        <w:rPr>
          <w:szCs w:val="24"/>
        </w:rPr>
        <w:t xml:space="preserve"> Markets+ Tariff, and that the mitigated offer is otherwise acceptable.  If the Market Monitor determines that the shadow calculation and the mitigated offer provided by the Market Participant differ materially, the Market Participant must use the mitigated offer calculated by the Market Monitor going forward.  If a Market Participant submits a dispute over its mitigated offer, the previously approved mitigated offer must be used from the time the dispute is submitted until the dispute is resolved.  The Market Operator will remedy mitigated offer disputes resolved in favor of the Market Participant by providing make whole payments, as necessary, to the Market Participant whose mitigated offer was improperly determined by the Market Monitor.</w:t>
      </w:r>
    </w:p>
    <w:p w14:paraId="01ED3219" w14:textId="77777777" w:rsidR="00A734BE" w:rsidRPr="00261AF2" w:rsidRDefault="00A734BE" w:rsidP="001663DA">
      <w:pPr>
        <w:spacing w:before="120" w:line="300" w:lineRule="auto"/>
        <w:rPr>
          <w:szCs w:val="24"/>
        </w:rPr>
      </w:pPr>
      <w:r w:rsidRPr="00261AF2">
        <w:rPr>
          <w:szCs w:val="24"/>
        </w:rPr>
        <w:t xml:space="preserve">The Market Monitor </w:t>
      </w:r>
      <w:r>
        <w:rPr>
          <w:szCs w:val="24"/>
        </w:rPr>
        <w:t>will</w:t>
      </w:r>
      <w:r w:rsidRPr="00261AF2">
        <w:rPr>
          <w:szCs w:val="24"/>
        </w:rPr>
        <w:t xml:space="preserve"> gather and keep confidential detailed data on the costs of generation of electric power transmitted in the </w:t>
      </w:r>
      <w:r w:rsidRPr="35E115C0">
        <w:rPr>
          <w:szCs w:val="24"/>
        </w:rPr>
        <w:t>Markets+ Footprint</w:t>
      </w:r>
      <w:r w:rsidRPr="00261AF2">
        <w:rPr>
          <w:szCs w:val="24"/>
        </w:rPr>
        <w:t xml:space="preserve"> in order to perform its duties under the </w:t>
      </w:r>
      <w:r w:rsidRPr="35E115C0">
        <w:rPr>
          <w:szCs w:val="24"/>
        </w:rPr>
        <w:t>Markets+</w:t>
      </w:r>
      <w:r w:rsidRPr="00261AF2">
        <w:rPr>
          <w:szCs w:val="24"/>
        </w:rPr>
        <w:t xml:space="preserve"> Tariff.  To achieve this objective, the </w:t>
      </w:r>
      <w:r w:rsidRPr="35E115C0">
        <w:rPr>
          <w:szCs w:val="24"/>
        </w:rPr>
        <w:t>Market Monitor</w:t>
      </w:r>
      <w:r>
        <w:rPr>
          <w:szCs w:val="24"/>
        </w:rPr>
        <w:t xml:space="preserve"> will</w:t>
      </w:r>
      <w:r w:rsidRPr="00261AF2">
        <w:rPr>
          <w:szCs w:val="24"/>
        </w:rPr>
        <w:t xml:space="preserve"> maintain on its website a mechanism that allows Market Participants to conveniently and confidentially submit such data.  Market Participants registering a Resource or otherwise subject to a commitment to provide service to </w:t>
      </w:r>
      <w:r>
        <w:rPr>
          <w:szCs w:val="24"/>
        </w:rPr>
        <w:t>the Market Operator</w:t>
      </w:r>
      <w:r w:rsidRPr="00261AF2">
        <w:rPr>
          <w:szCs w:val="24"/>
        </w:rPr>
        <w:t xml:space="preserve"> </w:t>
      </w:r>
      <w:r>
        <w:rPr>
          <w:szCs w:val="24"/>
        </w:rPr>
        <w:t>must</w:t>
      </w:r>
      <w:r w:rsidRPr="00261AF2">
        <w:rPr>
          <w:szCs w:val="24"/>
        </w:rPr>
        <w:t xml:space="preserve"> provide data to the </w:t>
      </w:r>
      <w:r w:rsidRPr="35E115C0">
        <w:rPr>
          <w:szCs w:val="24"/>
        </w:rPr>
        <w:t>Market Monitor.</w:t>
      </w:r>
    </w:p>
    <w:p w14:paraId="03A78748" w14:textId="77777777" w:rsidR="00A734BE" w:rsidRPr="0018420A" w:rsidRDefault="00A734BE" w:rsidP="00781C61">
      <w:pPr>
        <w:pStyle w:val="Heading3"/>
        <w:rPr>
          <w:szCs w:val="24"/>
        </w:rPr>
      </w:pPr>
      <w:bookmarkStart w:id="8334" w:name="_Ref372640477"/>
      <w:bookmarkStart w:id="8335" w:name="_Ref372640491"/>
      <w:bookmarkStart w:id="8336" w:name="_Toc159233585"/>
      <w:bookmarkStart w:id="8337" w:name="_Toc141100868"/>
      <w:bookmarkStart w:id="8338" w:name="_Toc213772156"/>
      <w:r>
        <w:t>Uneconomic Production</w:t>
      </w:r>
      <w:bookmarkEnd w:id="8293"/>
      <w:bookmarkEnd w:id="8294"/>
      <w:bookmarkEnd w:id="8295"/>
      <w:bookmarkEnd w:id="8296"/>
      <w:bookmarkEnd w:id="8334"/>
      <w:bookmarkEnd w:id="8335"/>
      <w:bookmarkEnd w:id="8336"/>
      <w:bookmarkEnd w:id="8337"/>
      <w:bookmarkEnd w:id="8338"/>
    </w:p>
    <w:p w14:paraId="4CFD905A" w14:textId="136DE4DB" w:rsidR="00A734BE" w:rsidRPr="0003778C" w:rsidRDefault="00A734BE" w:rsidP="001663DA">
      <w:pPr>
        <w:spacing w:before="120" w:line="300" w:lineRule="auto"/>
        <w:rPr>
          <w:szCs w:val="24"/>
        </w:rPr>
      </w:pPr>
      <w:r w:rsidRPr="0003778C">
        <w:rPr>
          <w:szCs w:val="28"/>
        </w:rPr>
        <w:t xml:space="preserve">The Market Monitor will monitor Markets+ for uneconomic production and may recommend that the Market Operator impose appropriate mitigation measures if such conduct is detected.  These measures may include recommendations to replace the market offer with the mitigated offer, or to override parameters.  </w:t>
      </w:r>
      <w:r w:rsidRPr="0003778C">
        <w:rPr>
          <w:color w:val="000000" w:themeColor="text1"/>
          <w:szCs w:val="28"/>
        </w:rPr>
        <w:t xml:space="preserve">Uneconomic production is increasing the injection or withdrawal of a Resource to levels that would otherwise be uneconomic in order to cause and obtain benefits from (1) congestion on a transmission constraint; or (2) price separation between Reserve Zones.  </w:t>
      </w:r>
      <w:r w:rsidRPr="00E719FF">
        <w:rPr>
          <w:szCs w:val="28"/>
        </w:rPr>
        <w:t xml:space="preserve">The provisions of this Section 11.2.3 will not apply to </w:t>
      </w:r>
      <w:r w:rsidR="00F130B2">
        <w:rPr>
          <w:szCs w:val="28"/>
        </w:rPr>
        <w:t>DDRR</w:t>
      </w:r>
      <w:r w:rsidRPr="00E719FF">
        <w:rPr>
          <w:szCs w:val="28"/>
        </w:rPr>
        <w:t>s.</w:t>
      </w:r>
      <w:r w:rsidRPr="0003778C">
        <w:rPr>
          <w:sz w:val="28"/>
          <w:szCs w:val="28"/>
        </w:rPr>
        <w:t xml:space="preserve"> </w:t>
      </w:r>
    </w:p>
    <w:p w14:paraId="3697AA33" w14:textId="77777777" w:rsidR="00A734BE" w:rsidRPr="0018420A" w:rsidRDefault="00A734BE" w:rsidP="00781C61">
      <w:pPr>
        <w:pStyle w:val="Heading3"/>
        <w:rPr>
          <w:sz w:val="24"/>
          <w:szCs w:val="24"/>
        </w:rPr>
      </w:pPr>
      <w:bookmarkStart w:id="8339" w:name="_Toc265675928"/>
      <w:bookmarkStart w:id="8340" w:name="_Toc266869858"/>
      <w:bookmarkStart w:id="8341" w:name="_Toc159233586"/>
      <w:bookmarkStart w:id="8342" w:name="_Toc141100869"/>
      <w:bookmarkStart w:id="8343" w:name="_Toc213772157"/>
      <w:bookmarkStart w:id="8344" w:name="_Toc263429637"/>
      <w:bookmarkStart w:id="8345" w:name="_Toc263795692"/>
      <w:r>
        <w:t>Measures and Mitigation for Virtual Energy Bids and Offers</w:t>
      </w:r>
      <w:bookmarkEnd w:id="8339"/>
      <w:bookmarkEnd w:id="8340"/>
      <w:bookmarkEnd w:id="8341"/>
      <w:bookmarkEnd w:id="8342"/>
      <w:bookmarkEnd w:id="8343"/>
    </w:p>
    <w:p w14:paraId="73692517" w14:textId="0AA899DC" w:rsidR="00A734BE" w:rsidRDefault="00A734BE" w:rsidP="001663DA">
      <w:pPr>
        <w:spacing w:before="120" w:line="300" w:lineRule="auto"/>
        <w:rPr>
          <w:szCs w:val="24"/>
        </w:rPr>
      </w:pPr>
      <w:r w:rsidRPr="00352538">
        <w:rPr>
          <w:szCs w:val="24"/>
        </w:rPr>
        <w:t xml:space="preserve">The Market Monitor will monitor the level of divergence between the </w:t>
      </w:r>
      <w:r>
        <w:rPr>
          <w:szCs w:val="24"/>
        </w:rPr>
        <w:t>Day-Ahead</w:t>
      </w:r>
      <w:r w:rsidRPr="00352538">
        <w:rPr>
          <w:szCs w:val="24"/>
        </w:rPr>
        <w:t xml:space="preserve"> Market LMP and the RTBM LMP.  </w:t>
      </w:r>
      <w:r w:rsidRPr="00381651">
        <w:rPr>
          <w:szCs w:val="24"/>
        </w:rPr>
        <w:t xml:space="preserve">Sections </w:t>
      </w:r>
      <w:r w:rsidR="0002528B">
        <w:rPr>
          <w:szCs w:val="24"/>
        </w:rPr>
        <w:fldChar w:fldCharType="begin"/>
      </w:r>
      <w:r w:rsidR="0002528B">
        <w:rPr>
          <w:szCs w:val="24"/>
        </w:rPr>
        <w:instrText xml:space="preserve"> REF _Ref212127877 \r \h </w:instrText>
      </w:r>
      <w:r w:rsidR="0002528B">
        <w:rPr>
          <w:szCs w:val="24"/>
        </w:rPr>
      </w:r>
      <w:r w:rsidR="0002528B">
        <w:rPr>
          <w:szCs w:val="24"/>
        </w:rPr>
        <w:fldChar w:fldCharType="separate"/>
      </w:r>
      <w:r w:rsidR="0002528B">
        <w:rPr>
          <w:szCs w:val="24"/>
        </w:rPr>
        <w:t>11.2.4.1</w:t>
      </w:r>
      <w:r w:rsidR="0002528B">
        <w:rPr>
          <w:szCs w:val="24"/>
        </w:rPr>
        <w:fldChar w:fldCharType="end"/>
      </w:r>
      <w:r w:rsidRPr="00381651">
        <w:rPr>
          <w:szCs w:val="24"/>
        </w:rPr>
        <w:t xml:space="preserve"> and </w:t>
      </w:r>
      <w:r w:rsidR="0002528B">
        <w:rPr>
          <w:szCs w:val="24"/>
        </w:rPr>
        <w:fldChar w:fldCharType="begin"/>
      </w:r>
      <w:r w:rsidR="0002528B">
        <w:rPr>
          <w:szCs w:val="24"/>
        </w:rPr>
        <w:instrText xml:space="preserve"> REF _Ref212127926 \r \h </w:instrText>
      </w:r>
      <w:r w:rsidR="0002528B">
        <w:rPr>
          <w:szCs w:val="24"/>
        </w:rPr>
      </w:r>
      <w:r w:rsidR="0002528B">
        <w:rPr>
          <w:szCs w:val="24"/>
        </w:rPr>
        <w:fldChar w:fldCharType="separate"/>
      </w:r>
      <w:r w:rsidR="0002528B">
        <w:rPr>
          <w:szCs w:val="24"/>
        </w:rPr>
        <w:t>11.2.4.2</w:t>
      </w:r>
      <w:r w:rsidR="0002528B">
        <w:rPr>
          <w:szCs w:val="24"/>
        </w:rPr>
        <w:fldChar w:fldCharType="end"/>
      </w:r>
      <w:r w:rsidRPr="00381651">
        <w:rPr>
          <w:szCs w:val="24"/>
        </w:rPr>
        <w:t xml:space="preserve"> </w:t>
      </w:r>
      <w:r w:rsidRPr="00352538">
        <w:rPr>
          <w:szCs w:val="24"/>
        </w:rPr>
        <w:t>defines the mon</w:t>
      </w:r>
      <w:r w:rsidRPr="00723259">
        <w:rPr>
          <w:szCs w:val="24"/>
        </w:rPr>
        <w:t>itoring metrics and thresholds, to be used in determining the existence of excessive LMP divergence</w:t>
      </w:r>
      <w:r w:rsidRPr="00174AA9">
        <w:t>,</w:t>
      </w:r>
      <w:r w:rsidRPr="00352538">
        <w:rPr>
          <w:szCs w:val="24"/>
        </w:rPr>
        <w:t xml:space="preserve"> as well as the mitigation measures to be imposed by </w:t>
      </w:r>
      <w:r>
        <w:rPr>
          <w:szCs w:val="24"/>
        </w:rPr>
        <w:t>the Market Operator</w:t>
      </w:r>
      <w:r w:rsidRPr="00352538">
        <w:rPr>
          <w:szCs w:val="24"/>
        </w:rPr>
        <w:t xml:space="preserve"> when the Virtual Energy Bids or Offers of one or more Market Participants are shown to have caused excessive LMP divergence </w:t>
      </w:r>
      <w:r>
        <w:rPr>
          <w:szCs w:val="24"/>
        </w:rPr>
        <w:t>as discussed below</w:t>
      </w:r>
      <w:r w:rsidRPr="00352538">
        <w:rPr>
          <w:szCs w:val="24"/>
        </w:rPr>
        <w:t>.</w:t>
      </w:r>
    </w:p>
    <w:p w14:paraId="23C0D6E6" w14:textId="01234845" w:rsidR="00A734BE" w:rsidRPr="00723259" w:rsidRDefault="00A734BE" w:rsidP="001663DA">
      <w:pPr>
        <w:spacing w:before="120" w:line="300" w:lineRule="auto"/>
        <w:rPr>
          <w:sz w:val="28"/>
          <w:szCs w:val="28"/>
        </w:rPr>
      </w:pPr>
      <w:r w:rsidRPr="00723259">
        <w:rPr>
          <w:szCs w:val="24"/>
        </w:rPr>
        <w:t>If the Market Monitor identifies one or more Market Participants as having caused the excessive LMP divergence through Virtual Energy Bid and Virtual Energy Offer behavior, then the Market Monitor will recommend that the Market Operator apply the mitigation measures described in Attachment A</w:t>
      </w:r>
      <w:r w:rsidR="0054434E">
        <w:rPr>
          <w:szCs w:val="24"/>
        </w:rPr>
        <w:t xml:space="preserve"> of the Markets+ Tariff</w:t>
      </w:r>
      <w:r w:rsidRPr="00723259">
        <w:rPr>
          <w:szCs w:val="24"/>
        </w:rPr>
        <w:t>.</w:t>
      </w:r>
    </w:p>
    <w:p w14:paraId="3800ECA1" w14:textId="77777777" w:rsidR="00A734BE" w:rsidRPr="00352538" w:rsidRDefault="00A734BE" w:rsidP="00574EDE">
      <w:pPr>
        <w:pStyle w:val="Heading4"/>
        <w:rPr>
          <w:szCs w:val="24"/>
        </w:rPr>
      </w:pPr>
      <w:bookmarkStart w:id="8346" w:name="_Toc265675929"/>
      <w:bookmarkStart w:id="8347" w:name="_Toc266869859"/>
      <w:bookmarkStart w:id="8348" w:name="_Ref349577527"/>
      <w:bookmarkStart w:id="8349" w:name="_Toc159233587"/>
      <w:bookmarkStart w:id="8350" w:name="_Toc141100870"/>
      <w:bookmarkStart w:id="8351" w:name="_Ref212127877"/>
      <w:bookmarkStart w:id="8352" w:name="_Toc213772158"/>
      <w:r w:rsidRPr="00352538">
        <w:t>Metric and Threshold Specifications</w:t>
      </w:r>
      <w:bookmarkEnd w:id="8346"/>
      <w:bookmarkEnd w:id="8347"/>
      <w:bookmarkEnd w:id="8348"/>
      <w:bookmarkEnd w:id="8349"/>
      <w:bookmarkEnd w:id="8350"/>
      <w:bookmarkEnd w:id="8351"/>
      <w:bookmarkEnd w:id="8352"/>
    </w:p>
    <w:p w14:paraId="1682A360" w14:textId="79F14EFE" w:rsidR="00A734BE" w:rsidRPr="00352538" w:rsidRDefault="00A734BE" w:rsidP="001663DA">
      <w:pPr>
        <w:spacing w:before="120" w:line="300" w:lineRule="auto"/>
        <w:rPr>
          <w:szCs w:val="24"/>
        </w:rPr>
      </w:pPr>
      <w:r w:rsidRPr="00352538">
        <w:rPr>
          <w:szCs w:val="24"/>
        </w:rPr>
        <w:t xml:space="preserve">The Market Monitor will compute the hourly LMP deviation between the </w:t>
      </w:r>
      <w:r>
        <w:rPr>
          <w:szCs w:val="24"/>
        </w:rPr>
        <w:t>Day-Ahead</w:t>
      </w:r>
      <w:r w:rsidRPr="00352538">
        <w:rPr>
          <w:szCs w:val="24"/>
        </w:rPr>
        <w:t xml:space="preserve"> Market and RTBM using the following formula: </w:t>
      </w:r>
      <w:r>
        <w:rPr>
          <w:szCs w:val="24"/>
        </w:rPr>
        <w:t>[</w:t>
      </w:r>
      <w:r w:rsidRPr="00352538">
        <w:rPr>
          <w:szCs w:val="24"/>
        </w:rPr>
        <w:t>(LMP</w:t>
      </w:r>
      <w:r w:rsidRPr="00352538">
        <w:rPr>
          <w:szCs w:val="24"/>
          <w:vertAlign w:val="subscript"/>
        </w:rPr>
        <w:t>RTBM</w:t>
      </w:r>
      <w:r w:rsidRPr="00352538">
        <w:rPr>
          <w:szCs w:val="24"/>
        </w:rPr>
        <w:t xml:space="preserve"> / LMP</w:t>
      </w:r>
      <w:r w:rsidRPr="00352538">
        <w:rPr>
          <w:szCs w:val="24"/>
          <w:vertAlign w:val="subscript"/>
        </w:rPr>
        <w:t>DA Market</w:t>
      </w:r>
      <w:r w:rsidRPr="00352538">
        <w:rPr>
          <w:szCs w:val="24"/>
        </w:rPr>
        <w:t>) – 1</w:t>
      </w:r>
      <w:r>
        <w:rPr>
          <w:szCs w:val="24"/>
        </w:rPr>
        <w:t>] *100</w:t>
      </w:r>
      <w:r w:rsidRPr="00352538">
        <w:rPr>
          <w:szCs w:val="24"/>
        </w:rPr>
        <w:t>.  The average hourly LMP deviation is computed over a rolling four</w:t>
      </w:r>
      <w:r>
        <w:rPr>
          <w:szCs w:val="24"/>
        </w:rPr>
        <w:t xml:space="preserve"> (4) </w:t>
      </w:r>
      <w:r w:rsidRPr="00352538">
        <w:rPr>
          <w:szCs w:val="24"/>
        </w:rPr>
        <w:t>week period or any other period length that the Market Monitor determines is appropriate to achieve the desired purpose.  If the four</w:t>
      </w:r>
      <w:r>
        <w:rPr>
          <w:szCs w:val="24"/>
        </w:rPr>
        <w:t xml:space="preserve"> (4) </w:t>
      </w:r>
      <w:r w:rsidRPr="00352538">
        <w:rPr>
          <w:szCs w:val="24"/>
        </w:rPr>
        <w:t xml:space="preserve">week rolling average is below negative </w:t>
      </w:r>
      <w:r w:rsidRPr="004102A7">
        <w:rPr>
          <w:szCs w:val="24"/>
        </w:rPr>
        <w:t>ten percent (-10%) or in excess of ten percent (10%)</w:t>
      </w:r>
      <w:r w:rsidRPr="00352538">
        <w:rPr>
          <w:szCs w:val="24"/>
        </w:rPr>
        <w:t>, then the divergence is considered excessive and additional studies are required.</w:t>
      </w:r>
    </w:p>
    <w:p w14:paraId="2CC246E9" w14:textId="77777777" w:rsidR="00A734BE" w:rsidRPr="00352538" w:rsidRDefault="00A734BE" w:rsidP="00574EDE">
      <w:pPr>
        <w:pStyle w:val="Heading4"/>
        <w:rPr>
          <w:szCs w:val="24"/>
        </w:rPr>
      </w:pPr>
      <w:bookmarkStart w:id="8353" w:name="_Toc265675930"/>
      <w:bookmarkStart w:id="8354" w:name="_Toc266869860"/>
      <w:bookmarkStart w:id="8355" w:name="_Toc159233588"/>
      <w:bookmarkStart w:id="8356" w:name="_Toc141100871"/>
      <w:bookmarkStart w:id="8357" w:name="_Ref212127926"/>
      <w:bookmarkStart w:id="8358" w:name="_Toc213772159"/>
      <w:r w:rsidRPr="00352538">
        <w:t>Excessive Divergence and Mitigation Measures</w:t>
      </w:r>
      <w:bookmarkEnd w:id="8353"/>
      <w:bookmarkEnd w:id="8354"/>
      <w:bookmarkEnd w:id="8355"/>
      <w:bookmarkEnd w:id="8356"/>
      <w:bookmarkEnd w:id="8357"/>
      <w:bookmarkEnd w:id="8358"/>
    </w:p>
    <w:p w14:paraId="3427127D" w14:textId="77777777" w:rsidR="00A734BE" w:rsidRPr="00352538" w:rsidRDefault="00A734BE" w:rsidP="001663DA">
      <w:pPr>
        <w:spacing w:before="120" w:line="300" w:lineRule="auto"/>
        <w:rPr>
          <w:szCs w:val="24"/>
        </w:rPr>
      </w:pPr>
      <w:r w:rsidRPr="00352538">
        <w:rPr>
          <w:szCs w:val="24"/>
        </w:rPr>
        <w:t xml:space="preserve">If </w:t>
      </w:r>
      <w:r>
        <w:rPr>
          <w:szCs w:val="24"/>
        </w:rPr>
        <w:t>the Market Monitor determines</w:t>
      </w:r>
      <w:r w:rsidRPr="00352538">
        <w:rPr>
          <w:szCs w:val="24"/>
        </w:rPr>
        <w:t xml:space="preserve"> that excessive divergence exists and the divergence is the result of the Virtual Energy Bids or Offers of one or more Market Participants, </w:t>
      </w:r>
      <w:r>
        <w:rPr>
          <w:szCs w:val="24"/>
        </w:rPr>
        <w:t xml:space="preserve">the Market Operator will impose </w:t>
      </w:r>
      <w:r w:rsidRPr="00352538">
        <w:rPr>
          <w:szCs w:val="24"/>
        </w:rPr>
        <w:t xml:space="preserve">mitigation measures.  The mitigation measures will restrict the Market Participants that caused the divergence from submitting any Virtual Energy Bids or Offers at the settlement locations where the Market Participant’s Virtual Energy Bids or Offers caused the excessive divergence.  </w:t>
      </w:r>
      <w:bookmarkEnd w:id="8297"/>
      <w:bookmarkEnd w:id="8344"/>
      <w:bookmarkEnd w:id="8345"/>
      <w:r>
        <w:rPr>
          <w:szCs w:val="24"/>
        </w:rPr>
        <w:t xml:space="preserve"> </w:t>
      </w:r>
    </w:p>
    <w:p w14:paraId="59FD27F1" w14:textId="77777777" w:rsidR="00A734BE" w:rsidRPr="0018420A" w:rsidRDefault="00A734BE" w:rsidP="00781C61">
      <w:pPr>
        <w:pStyle w:val="Heading3"/>
        <w:rPr>
          <w:sz w:val="24"/>
          <w:szCs w:val="24"/>
        </w:rPr>
      </w:pPr>
      <w:bookmarkStart w:id="8359" w:name="_Ref265244269"/>
      <w:bookmarkStart w:id="8360" w:name="_Toc265675932"/>
      <w:bookmarkStart w:id="8361" w:name="_Toc266869862"/>
      <w:bookmarkStart w:id="8362" w:name="_Toc159233589"/>
      <w:bookmarkStart w:id="8363" w:name="_Toc141100872"/>
      <w:bookmarkStart w:id="8364" w:name="_Toc213772160"/>
      <w:r w:rsidRPr="0018420A">
        <w:t>Offer Caps and Floors</w:t>
      </w:r>
      <w:bookmarkEnd w:id="8359"/>
      <w:bookmarkEnd w:id="8360"/>
      <w:bookmarkEnd w:id="8361"/>
      <w:bookmarkEnd w:id="8362"/>
      <w:bookmarkEnd w:id="8363"/>
      <w:bookmarkEnd w:id="8364"/>
    </w:p>
    <w:p w14:paraId="5FF21CEB" w14:textId="77777777" w:rsidR="00A734BE" w:rsidRPr="00315DE9" w:rsidRDefault="00A734BE" w:rsidP="001663DA">
      <w:pPr>
        <w:pStyle w:val="Normal101"/>
        <w:spacing w:before="120" w:after="120" w:line="300" w:lineRule="auto"/>
        <w:rPr>
          <w:color w:val="000000"/>
        </w:rPr>
      </w:pPr>
      <w:r w:rsidRPr="00315DE9">
        <w:rPr>
          <w:color w:val="000000"/>
        </w:rPr>
        <w:t>Submission of Energy Offer Curves</w:t>
      </w:r>
      <w:r w:rsidRPr="00315DE9">
        <w:rPr>
          <w:i/>
          <w:iCs/>
          <w:color w:val="000000"/>
        </w:rPr>
        <w:t>, </w:t>
      </w:r>
      <w:r w:rsidRPr="00315DE9">
        <w:rPr>
          <w:color w:val="000000"/>
        </w:rPr>
        <w:t>Start-Up Offers, No-Load Offers,</w:t>
      </w:r>
      <w:r w:rsidRPr="00315DE9">
        <w:rPr>
          <w:i/>
          <w:iCs/>
          <w:color w:val="000000"/>
        </w:rPr>
        <w:t> </w:t>
      </w:r>
      <w:r w:rsidRPr="00315DE9">
        <w:rPr>
          <w:color w:val="000000"/>
        </w:rPr>
        <w:t xml:space="preserve">and </w:t>
      </w:r>
      <w:r>
        <w:rPr>
          <w:color w:val="000000"/>
        </w:rPr>
        <w:t>Flexibility</w:t>
      </w:r>
      <w:r w:rsidRPr="00315DE9">
        <w:rPr>
          <w:color w:val="000000"/>
        </w:rPr>
        <w:t xml:space="preserve"> Reserve</w:t>
      </w:r>
      <w:r>
        <w:rPr>
          <w:color w:val="000000"/>
        </w:rPr>
        <w:t xml:space="preserve"> Product</w:t>
      </w:r>
      <w:r w:rsidRPr="00315DE9">
        <w:rPr>
          <w:color w:val="000000"/>
        </w:rPr>
        <w:t xml:space="preserve"> Offers by Market Participants for use in the Day-Ahead Market and the RTBM </w:t>
      </w:r>
      <w:r>
        <w:rPr>
          <w:color w:val="000000"/>
        </w:rPr>
        <w:t>will</w:t>
      </w:r>
      <w:r w:rsidRPr="00315DE9">
        <w:rPr>
          <w:color w:val="000000"/>
        </w:rPr>
        <w:t xml:space="preserve"> be limited by the following Offer caps and floors:</w:t>
      </w:r>
    </w:p>
    <w:p w14:paraId="664C5170" w14:textId="46750DEE"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Pr>
          <w:color w:val="000000"/>
        </w:rPr>
        <w:t>Energy Offer Soft</w:t>
      </w:r>
      <w:r w:rsidRPr="00315DE9">
        <w:rPr>
          <w:color w:val="000000"/>
        </w:rPr>
        <w:t xml:space="preserve"> </w:t>
      </w:r>
      <w:r>
        <w:rPr>
          <w:color w:val="000000"/>
        </w:rPr>
        <w:t>C</w:t>
      </w:r>
      <w:r w:rsidRPr="00315DE9">
        <w:rPr>
          <w:color w:val="000000"/>
        </w:rPr>
        <w:t xml:space="preserve">ap = $1,000/MWh; Energy Offers greater than $1,000/MWh are subject to </w:t>
      </w:r>
      <w:r>
        <w:rPr>
          <w:color w:val="000000"/>
        </w:rPr>
        <w:t>Attachment B</w:t>
      </w:r>
      <w:r w:rsidR="003C7151">
        <w:rPr>
          <w:color w:val="000000"/>
        </w:rPr>
        <w:t xml:space="preserve"> of the Markets+ Tariff</w:t>
      </w:r>
      <w:r>
        <w:rPr>
          <w:color w:val="000000"/>
        </w:rPr>
        <w:t>.</w:t>
      </w:r>
    </w:p>
    <w:p w14:paraId="18DD2F60" w14:textId="77777777" w:rsidR="00A734BE" w:rsidRDefault="00A734BE" w:rsidP="001663DA">
      <w:pPr>
        <w:pStyle w:val="Normal101"/>
        <w:numPr>
          <w:ilvl w:val="0"/>
          <w:numId w:val="210"/>
        </w:numPr>
        <w:tabs>
          <w:tab w:val="clear" w:pos="1800"/>
          <w:tab w:val="num" w:pos="1080"/>
        </w:tabs>
        <w:spacing w:before="120" w:after="120" w:line="300" w:lineRule="auto"/>
        <w:ind w:left="1080"/>
        <w:rPr>
          <w:color w:val="000000"/>
        </w:rPr>
      </w:pPr>
      <w:r>
        <w:rPr>
          <w:color w:val="000000"/>
        </w:rPr>
        <w:t xml:space="preserve">Energy Offer Hard Cap = $2,000/MWh;  </w:t>
      </w:r>
    </w:p>
    <w:p w14:paraId="786F28C0" w14:textId="77777777"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sidRPr="00315DE9">
        <w:rPr>
          <w:color w:val="000000"/>
        </w:rPr>
        <w:t>Virtual Energy Offer Cap = $2,000/MWh;</w:t>
      </w:r>
    </w:p>
    <w:p w14:paraId="5B7B3467" w14:textId="77777777"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Pr>
          <w:color w:val="000000"/>
        </w:rPr>
        <w:t>Interchange</w:t>
      </w:r>
      <w:r w:rsidRPr="00315DE9">
        <w:rPr>
          <w:color w:val="000000"/>
        </w:rPr>
        <w:t xml:space="preserve"> Offer Cap = $2,000/MWh;</w:t>
      </w:r>
    </w:p>
    <w:p w14:paraId="20962791" w14:textId="77777777"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sidRPr="00315DE9">
        <w:rPr>
          <w:color w:val="000000"/>
        </w:rPr>
        <w:t xml:space="preserve">Energy Offer </w:t>
      </w:r>
      <w:r>
        <w:rPr>
          <w:color w:val="000000"/>
        </w:rPr>
        <w:t>F</w:t>
      </w:r>
      <w:r w:rsidRPr="00315DE9">
        <w:rPr>
          <w:color w:val="000000"/>
        </w:rPr>
        <w:t>loor = Negative $</w:t>
      </w:r>
      <w:r>
        <w:rPr>
          <w:color w:val="000000"/>
        </w:rPr>
        <w:t>15</w:t>
      </w:r>
      <w:r w:rsidRPr="00315DE9">
        <w:rPr>
          <w:color w:val="000000"/>
        </w:rPr>
        <w:t>0/MWh;</w:t>
      </w:r>
    </w:p>
    <w:p w14:paraId="3B78987A" w14:textId="77777777"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sidRPr="00315DE9">
        <w:rPr>
          <w:color w:val="000000"/>
        </w:rPr>
        <w:t xml:space="preserve">Start-Up Offer </w:t>
      </w:r>
      <w:r>
        <w:rPr>
          <w:color w:val="000000"/>
        </w:rPr>
        <w:t>F</w:t>
      </w:r>
      <w:r w:rsidRPr="00315DE9">
        <w:rPr>
          <w:color w:val="000000"/>
        </w:rPr>
        <w:t>loor = $0;</w:t>
      </w:r>
    </w:p>
    <w:p w14:paraId="1C7E6002" w14:textId="77777777" w:rsidR="00A734BE" w:rsidRDefault="00A734BE" w:rsidP="001663DA">
      <w:pPr>
        <w:pStyle w:val="Normal101"/>
        <w:numPr>
          <w:ilvl w:val="0"/>
          <w:numId w:val="210"/>
        </w:numPr>
        <w:tabs>
          <w:tab w:val="clear" w:pos="1800"/>
          <w:tab w:val="num" w:pos="1080"/>
        </w:tabs>
        <w:spacing w:before="120" w:after="120" w:line="300" w:lineRule="auto"/>
        <w:ind w:left="1080"/>
        <w:rPr>
          <w:color w:val="000000"/>
        </w:rPr>
      </w:pPr>
      <w:r w:rsidRPr="00315DE9">
        <w:rPr>
          <w:color w:val="000000"/>
        </w:rPr>
        <w:t xml:space="preserve">No-Load Offer </w:t>
      </w:r>
      <w:r>
        <w:rPr>
          <w:color w:val="000000"/>
        </w:rPr>
        <w:t>F</w:t>
      </w:r>
      <w:r w:rsidRPr="00315DE9">
        <w:rPr>
          <w:color w:val="000000"/>
        </w:rPr>
        <w:t>loor = $0</w:t>
      </w:r>
      <w:r>
        <w:rPr>
          <w:color w:val="000000"/>
        </w:rPr>
        <w:t>;</w:t>
      </w:r>
    </w:p>
    <w:p w14:paraId="3735DE7B" w14:textId="77777777" w:rsidR="00A734BE" w:rsidRDefault="00A734BE" w:rsidP="001663DA">
      <w:pPr>
        <w:pStyle w:val="Normal101"/>
        <w:numPr>
          <w:ilvl w:val="0"/>
          <w:numId w:val="210"/>
        </w:numPr>
        <w:tabs>
          <w:tab w:val="clear" w:pos="1800"/>
          <w:tab w:val="num" w:pos="1080"/>
        </w:tabs>
        <w:spacing w:before="120" w:after="120" w:line="300" w:lineRule="auto"/>
        <w:ind w:left="1080"/>
        <w:rPr>
          <w:color w:val="000000"/>
        </w:rPr>
      </w:pPr>
      <w:r>
        <w:rPr>
          <w:color w:val="000000"/>
        </w:rPr>
        <w:t>Flexibility Reserve Products Cap = $1,000/MWh;</w:t>
      </w:r>
    </w:p>
    <w:p w14:paraId="28A4DF8A" w14:textId="77777777" w:rsidR="00A734BE" w:rsidRPr="00315DE9" w:rsidRDefault="00A734BE" w:rsidP="001663DA">
      <w:pPr>
        <w:pStyle w:val="Normal101"/>
        <w:numPr>
          <w:ilvl w:val="0"/>
          <w:numId w:val="210"/>
        </w:numPr>
        <w:tabs>
          <w:tab w:val="clear" w:pos="1800"/>
          <w:tab w:val="num" w:pos="1080"/>
        </w:tabs>
        <w:spacing w:before="120" w:after="120" w:line="300" w:lineRule="auto"/>
        <w:ind w:left="1080"/>
        <w:rPr>
          <w:color w:val="000000"/>
        </w:rPr>
      </w:pPr>
      <w:r>
        <w:rPr>
          <w:color w:val="000000"/>
        </w:rPr>
        <w:t>Flexibility Reserve Products Floor = $0/MWh.</w:t>
      </w:r>
    </w:p>
    <w:p w14:paraId="58207637" w14:textId="77777777" w:rsidR="00A734BE" w:rsidRPr="0033396F" w:rsidRDefault="00A734BE" w:rsidP="001663DA">
      <w:pPr>
        <w:pStyle w:val="Normal101"/>
        <w:spacing w:before="120" w:after="120" w:line="300" w:lineRule="auto"/>
        <w:rPr>
          <w:color w:val="000000"/>
        </w:rPr>
      </w:pPr>
      <w:r w:rsidRPr="30D4B76D">
        <w:rPr>
          <w:color w:val="000000" w:themeColor="text1"/>
        </w:rPr>
        <w:t xml:space="preserve">In addition to these Offer caps and floors, submission of Offers may be limited by the requirements of this </w:t>
      </w:r>
      <w:r w:rsidRPr="00E719FF">
        <w:rPr>
          <w:rFonts w:eastAsiaTheme="minorHAnsi"/>
          <w:color w:val="000000" w:themeColor="text1"/>
        </w:rPr>
        <w:t>Section</w:t>
      </w:r>
      <w:r w:rsidRPr="00E719FF" w:rsidDel="00A73DC8">
        <w:rPr>
          <w:rFonts w:eastAsiaTheme="minorHAnsi"/>
          <w:color w:val="000000" w:themeColor="text1"/>
        </w:rPr>
        <w:t xml:space="preserve"> </w:t>
      </w:r>
      <w:r w:rsidDel="00A73DC8">
        <w:rPr>
          <w:rFonts w:eastAsiaTheme="minorHAnsi"/>
          <w:color w:val="000000" w:themeColor="text1"/>
        </w:rPr>
        <w:t>11.2.5</w:t>
      </w:r>
      <w:r w:rsidRPr="30D4B76D">
        <w:rPr>
          <w:color w:val="000000" w:themeColor="text1"/>
        </w:rPr>
        <w:t>.</w:t>
      </w:r>
    </w:p>
    <w:p w14:paraId="706407F3" w14:textId="77777777" w:rsidR="00A734BE" w:rsidRPr="0018420A" w:rsidRDefault="00A734BE" w:rsidP="00781C61">
      <w:pPr>
        <w:pStyle w:val="Heading3"/>
        <w:rPr>
          <w:sz w:val="24"/>
          <w:szCs w:val="24"/>
        </w:rPr>
      </w:pPr>
      <w:bookmarkStart w:id="8365" w:name="_Toc262560975"/>
      <w:bookmarkStart w:id="8366" w:name="_Toc263429640"/>
      <w:bookmarkStart w:id="8367" w:name="_Toc263795695"/>
      <w:bookmarkStart w:id="8368" w:name="_Toc265675933"/>
      <w:bookmarkStart w:id="8369" w:name="_Toc266869863"/>
      <w:bookmarkStart w:id="8370" w:name="_Ref349552544"/>
      <w:bookmarkStart w:id="8371" w:name="_Ref349552553"/>
      <w:bookmarkStart w:id="8372" w:name="_Ref349552573"/>
      <w:bookmarkStart w:id="8373" w:name="_Ref349552658"/>
      <w:bookmarkStart w:id="8374" w:name="_Ref349552667"/>
      <w:bookmarkStart w:id="8375" w:name="_Ref349553176"/>
      <w:bookmarkStart w:id="8376" w:name="_Ref349553187"/>
      <w:bookmarkStart w:id="8377" w:name="_Ref368556716"/>
      <w:bookmarkStart w:id="8378" w:name="_Ref368556726"/>
      <w:bookmarkStart w:id="8379" w:name="_Ref368556736"/>
      <w:bookmarkStart w:id="8380" w:name="_Ref368556764"/>
      <w:bookmarkStart w:id="8381" w:name="_Ref368556773"/>
      <w:bookmarkStart w:id="8382" w:name="_Ref431990432"/>
      <w:bookmarkStart w:id="8383" w:name="_Toc159233590"/>
      <w:bookmarkStart w:id="8384" w:name="_Toc141100873"/>
      <w:bookmarkStart w:id="8385" w:name="_Toc213772161"/>
      <w:r>
        <w:t>Physical Withholding</w:t>
      </w:r>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p>
    <w:p w14:paraId="4891EBAA" w14:textId="2224171C" w:rsidR="00A734BE" w:rsidRPr="00352538" w:rsidRDefault="00A734BE" w:rsidP="001663DA">
      <w:pPr>
        <w:numPr>
          <w:ilvl w:val="0"/>
          <w:numId w:val="270"/>
        </w:numPr>
        <w:spacing w:before="120" w:line="300" w:lineRule="auto"/>
        <w:ind w:left="360"/>
        <w:rPr>
          <w:szCs w:val="24"/>
        </w:rPr>
      </w:pPr>
      <w:r w:rsidRPr="00352538">
        <w:rPr>
          <w:szCs w:val="24"/>
        </w:rPr>
        <w:t xml:space="preserve">The Market Monitor will monitor for physical withholding of capacity from the Energy and Flex Reserve </w:t>
      </w:r>
      <w:r>
        <w:rPr>
          <w:szCs w:val="24"/>
        </w:rPr>
        <w:t xml:space="preserve">Product </w:t>
      </w:r>
      <w:r w:rsidRPr="00352538">
        <w:rPr>
          <w:szCs w:val="24"/>
        </w:rPr>
        <w:t>Markets, and unavailability of transmission facilities. Physical withholding may include,</w:t>
      </w:r>
      <w:r>
        <w:rPr>
          <w:szCs w:val="24"/>
        </w:rPr>
        <w:t xml:space="preserve"> but is not limited to:</w:t>
      </w:r>
    </w:p>
    <w:p w14:paraId="210AB24D" w14:textId="218663BB" w:rsidR="00A734BE" w:rsidRPr="00352538" w:rsidRDefault="00A734BE" w:rsidP="001663DA">
      <w:pPr>
        <w:numPr>
          <w:ilvl w:val="0"/>
          <w:numId w:val="231"/>
        </w:numPr>
        <w:spacing w:before="120" w:line="300" w:lineRule="auto"/>
        <w:ind w:left="1080" w:hanging="720"/>
        <w:rPr>
          <w:szCs w:val="24"/>
        </w:rPr>
      </w:pPr>
      <w:r w:rsidRPr="00352538">
        <w:rPr>
          <w:szCs w:val="24"/>
        </w:rPr>
        <w:t>Declaring that a Resource has been derated, forced out of service</w:t>
      </w:r>
      <w:r w:rsidR="00972B1A">
        <w:rPr>
          <w:szCs w:val="24"/>
        </w:rPr>
        <w:t>,</w:t>
      </w:r>
      <w:r w:rsidRPr="00352538">
        <w:rPr>
          <w:szCs w:val="24"/>
        </w:rPr>
        <w:t xml:space="preserve"> or otherwise been made unavailable for technical reasons that are untrue or that cannot be verified;</w:t>
      </w:r>
    </w:p>
    <w:p w14:paraId="3266E9C6" w14:textId="77777777" w:rsidR="00A734BE" w:rsidRPr="00352538" w:rsidRDefault="00A734BE" w:rsidP="001663DA">
      <w:pPr>
        <w:numPr>
          <w:ilvl w:val="0"/>
          <w:numId w:val="231"/>
        </w:numPr>
        <w:spacing w:before="120" w:line="300" w:lineRule="auto"/>
        <w:ind w:left="1080" w:hanging="720"/>
        <w:rPr>
          <w:szCs w:val="24"/>
        </w:rPr>
      </w:pPr>
      <w:r w:rsidRPr="00352538">
        <w:rPr>
          <w:szCs w:val="24"/>
        </w:rPr>
        <w:t>Refusing to provide offers or schedules for a Resource when it would otherwise have been in the economic interest to do so without market power;</w:t>
      </w:r>
    </w:p>
    <w:p w14:paraId="31231471" w14:textId="4261E4F3" w:rsidR="00A734BE" w:rsidRPr="00352538" w:rsidRDefault="00A734BE" w:rsidP="001663DA">
      <w:pPr>
        <w:numPr>
          <w:ilvl w:val="0"/>
          <w:numId w:val="231"/>
        </w:numPr>
        <w:spacing w:before="120" w:line="300" w:lineRule="auto"/>
        <w:ind w:left="1080" w:hanging="720"/>
        <w:rPr>
          <w:szCs w:val="24"/>
        </w:rPr>
      </w:pPr>
      <w:r w:rsidRPr="00352538">
        <w:rPr>
          <w:szCs w:val="24"/>
        </w:rPr>
        <w:t xml:space="preserve">Operating a Resource in real-time to produce an output level that is less than the </w:t>
      </w:r>
      <w:r w:rsidRPr="22C52887">
        <w:rPr>
          <w:szCs w:val="24"/>
        </w:rPr>
        <w:t>Dispatch Target</w:t>
      </w:r>
      <w:r w:rsidRPr="00352538">
        <w:rPr>
          <w:szCs w:val="24"/>
        </w:rPr>
        <w:t xml:space="preserve"> minus the Resource’s </w:t>
      </w:r>
      <w:r w:rsidR="004863F2">
        <w:rPr>
          <w:szCs w:val="24"/>
        </w:rPr>
        <w:t xml:space="preserve">High </w:t>
      </w:r>
      <w:r w:rsidRPr="00352538">
        <w:rPr>
          <w:szCs w:val="24"/>
        </w:rPr>
        <w:t>Operating Tolerance</w:t>
      </w:r>
      <w:r w:rsidR="004863F2">
        <w:rPr>
          <w:szCs w:val="24"/>
        </w:rPr>
        <w:t xml:space="preserve">, </w:t>
      </w:r>
      <w:r w:rsidR="001747E5">
        <w:rPr>
          <w:szCs w:val="24"/>
        </w:rPr>
        <w:t>or at an output level that is less than the Dispatch Target minus the Resource’s Low Operating Tolerance</w:t>
      </w:r>
      <w:r w:rsidRPr="00352538">
        <w:rPr>
          <w:szCs w:val="24"/>
        </w:rPr>
        <w:t xml:space="preserve"> and the Resource is not exempt from URD under Section </w:t>
      </w:r>
      <w:r w:rsidR="0002528B">
        <w:rPr>
          <w:szCs w:val="24"/>
        </w:rPr>
        <w:fldChar w:fldCharType="begin"/>
      </w:r>
      <w:r w:rsidR="0002528B">
        <w:rPr>
          <w:szCs w:val="24"/>
        </w:rPr>
        <w:instrText xml:space="preserve"> REF _Ref212128018 \r \h </w:instrText>
      </w:r>
      <w:r w:rsidR="0002528B">
        <w:rPr>
          <w:szCs w:val="24"/>
        </w:rPr>
      </w:r>
      <w:r w:rsidR="0002528B">
        <w:rPr>
          <w:szCs w:val="24"/>
        </w:rPr>
        <w:fldChar w:fldCharType="separate"/>
      </w:r>
      <w:r w:rsidR="0002528B">
        <w:rPr>
          <w:szCs w:val="24"/>
        </w:rPr>
        <w:t>4.4.4.1.1</w:t>
      </w:r>
      <w:r w:rsidR="0002528B">
        <w:rPr>
          <w:szCs w:val="24"/>
        </w:rPr>
        <w:fldChar w:fldCharType="end"/>
      </w:r>
      <w:r w:rsidRPr="00352538">
        <w:rPr>
          <w:szCs w:val="24"/>
        </w:rPr>
        <w:t>;</w:t>
      </w:r>
    </w:p>
    <w:p w14:paraId="29D3FFC7" w14:textId="77777777" w:rsidR="00A734BE" w:rsidRPr="00261AF2" w:rsidRDefault="00A734BE" w:rsidP="001663DA">
      <w:pPr>
        <w:numPr>
          <w:ilvl w:val="0"/>
          <w:numId w:val="231"/>
        </w:numPr>
        <w:spacing w:before="120" w:line="300" w:lineRule="auto"/>
        <w:ind w:left="1080" w:hanging="720"/>
        <w:rPr>
          <w:szCs w:val="24"/>
        </w:rPr>
      </w:pPr>
      <w:r w:rsidRPr="5D45D9AF">
        <w:rPr>
          <w:szCs w:val="24"/>
        </w:rPr>
        <w:t xml:space="preserve">Derating a transmission facility for technical reasons that are not true or verifiable; </w:t>
      </w:r>
    </w:p>
    <w:p w14:paraId="45084F22" w14:textId="77777777" w:rsidR="00A734BE" w:rsidRPr="00261AF2" w:rsidRDefault="00A734BE" w:rsidP="001663DA">
      <w:pPr>
        <w:numPr>
          <w:ilvl w:val="0"/>
          <w:numId w:val="231"/>
        </w:numPr>
        <w:spacing w:before="120" w:line="300" w:lineRule="auto"/>
        <w:ind w:left="1080" w:hanging="720"/>
        <w:rPr>
          <w:szCs w:val="24"/>
        </w:rPr>
      </w:pPr>
      <w:r w:rsidRPr="5D45D9AF">
        <w:rPr>
          <w:szCs w:val="24"/>
        </w:rPr>
        <w:t xml:space="preserve">Operating a transmission facility in a manner that is not economic and that causes a binding transmission constraint </w:t>
      </w:r>
      <w:r w:rsidRPr="00E719FF">
        <w:rPr>
          <w:szCs w:val="24"/>
        </w:rPr>
        <w:t>or binding reserve zone</w:t>
      </w:r>
      <w:r w:rsidRPr="5D45D9AF">
        <w:rPr>
          <w:szCs w:val="24"/>
        </w:rPr>
        <w:t xml:space="preserve"> or reliability issue</w:t>
      </w:r>
      <w:r>
        <w:rPr>
          <w:szCs w:val="24"/>
        </w:rPr>
        <w:t xml:space="preserve"> or Emergency Condition</w:t>
      </w:r>
      <w:r w:rsidRPr="5D45D9AF">
        <w:rPr>
          <w:szCs w:val="24"/>
        </w:rPr>
        <w:t>; and</w:t>
      </w:r>
    </w:p>
    <w:p w14:paraId="6AD09D05" w14:textId="77777777" w:rsidR="00A734BE" w:rsidRDefault="00A734BE" w:rsidP="001663DA">
      <w:pPr>
        <w:numPr>
          <w:ilvl w:val="0"/>
          <w:numId w:val="231"/>
        </w:numPr>
        <w:spacing w:before="120" w:line="300" w:lineRule="auto"/>
        <w:ind w:left="1080" w:hanging="720"/>
        <w:rPr>
          <w:szCs w:val="24"/>
        </w:rPr>
      </w:pPr>
      <w:r w:rsidRPr="00261AF2">
        <w:rPr>
          <w:szCs w:val="24"/>
        </w:rPr>
        <w:t>Declaring that the magnitude of the capability of a Resource is reduced for reasons that are not true or verifiable.  This capability includes</w:t>
      </w:r>
      <w:r>
        <w:rPr>
          <w:szCs w:val="24"/>
        </w:rPr>
        <w:t>, but is not limited to the following:</w:t>
      </w:r>
      <w:r w:rsidRPr="00261AF2">
        <w:rPr>
          <w:szCs w:val="24"/>
        </w:rPr>
        <w:t xml:space="preserve"> </w:t>
      </w:r>
    </w:p>
    <w:p w14:paraId="6024C891" w14:textId="77777777" w:rsidR="00A734BE" w:rsidRDefault="00A734BE" w:rsidP="001663DA">
      <w:pPr>
        <w:numPr>
          <w:ilvl w:val="1"/>
          <w:numId w:val="231"/>
        </w:numPr>
        <w:spacing w:before="120" w:line="300" w:lineRule="auto"/>
        <w:rPr>
          <w:szCs w:val="24"/>
        </w:rPr>
      </w:pPr>
      <w:r>
        <w:rPr>
          <w:szCs w:val="24"/>
        </w:rPr>
        <w:t>The capability to provide Energy;</w:t>
      </w:r>
    </w:p>
    <w:p w14:paraId="7E2F5756" w14:textId="77777777" w:rsidR="00A734BE" w:rsidRDefault="00A734BE" w:rsidP="001663DA">
      <w:pPr>
        <w:numPr>
          <w:ilvl w:val="1"/>
          <w:numId w:val="231"/>
        </w:numPr>
        <w:spacing w:before="120" w:line="300" w:lineRule="auto"/>
        <w:rPr>
          <w:szCs w:val="24"/>
        </w:rPr>
      </w:pPr>
      <w:r>
        <w:rPr>
          <w:szCs w:val="24"/>
        </w:rPr>
        <w:t>The capability to provide Flexibility Reserve Products;</w:t>
      </w:r>
    </w:p>
    <w:p w14:paraId="79367753" w14:textId="0282E409" w:rsidR="00A734BE" w:rsidRPr="00352538" w:rsidRDefault="00A734BE" w:rsidP="001663DA">
      <w:pPr>
        <w:numPr>
          <w:ilvl w:val="1"/>
          <w:numId w:val="231"/>
        </w:numPr>
        <w:spacing w:before="120" w:line="300" w:lineRule="auto"/>
        <w:rPr>
          <w:szCs w:val="24"/>
        </w:rPr>
      </w:pPr>
      <w:r w:rsidRPr="30D4B76D">
        <w:rPr>
          <w:szCs w:val="24"/>
        </w:rPr>
        <w:t xml:space="preserve">In the case of MSRs, the capability to charge </w:t>
      </w:r>
      <w:r w:rsidRPr="30D4B76D" w:rsidDel="0046151A">
        <w:rPr>
          <w:szCs w:val="24"/>
        </w:rPr>
        <w:t>and/or</w:t>
      </w:r>
      <w:r w:rsidRPr="30D4B76D">
        <w:rPr>
          <w:szCs w:val="24"/>
        </w:rPr>
        <w:t xml:space="preserve"> to discharge. </w:t>
      </w:r>
    </w:p>
    <w:p w14:paraId="398C995F" w14:textId="77777777" w:rsidR="00A734BE" w:rsidRPr="00352538" w:rsidRDefault="00A734BE" w:rsidP="001663DA">
      <w:pPr>
        <w:numPr>
          <w:ilvl w:val="0"/>
          <w:numId w:val="270"/>
        </w:numPr>
        <w:spacing w:before="120" w:line="300" w:lineRule="auto"/>
        <w:ind w:left="360"/>
        <w:rPr>
          <w:szCs w:val="24"/>
        </w:rPr>
      </w:pPr>
      <w:r w:rsidRPr="00352538">
        <w:rPr>
          <w:szCs w:val="24"/>
        </w:rPr>
        <w:t xml:space="preserve">A Market Participant will be deemed </w:t>
      </w:r>
      <w:r>
        <w:rPr>
          <w:szCs w:val="24"/>
        </w:rPr>
        <w:t xml:space="preserve">not </w:t>
      </w:r>
      <w:r w:rsidRPr="00352538">
        <w:rPr>
          <w:szCs w:val="24"/>
        </w:rPr>
        <w:t>to be physically withholding if;</w:t>
      </w:r>
    </w:p>
    <w:p w14:paraId="61E4B2D8" w14:textId="77777777" w:rsidR="00A734BE" w:rsidRPr="00261AF2" w:rsidRDefault="00A734BE" w:rsidP="001663DA">
      <w:pPr>
        <w:numPr>
          <w:ilvl w:val="0"/>
          <w:numId w:val="271"/>
        </w:numPr>
        <w:spacing w:before="120" w:line="300" w:lineRule="auto"/>
        <w:ind w:left="1080" w:hanging="720"/>
        <w:rPr>
          <w:szCs w:val="24"/>
        </w:rPr>
      </w:pPr>
      <w:r w:rsidRPr="00261AF2">
        <w:rPr>
          <w:szCs w:val="24"/>
        </w:rPr>
        <w:t xml:space="preserve">They are following the directions of </w:t>
      </w:r>
      <w:r>
        <w:rPr>
          <w:szCs w:val="24"/>
        </w:rPr>
        <w:t xml:space="preserve">the Balancing Authority, Reliability Coordinator, transmission service provider, or </w:t>
      </w:r>
      <w:r w:rsidRPr="00261AF2">
        <w:rPr>
          <w:szCs w:val="24"/>
        </w:rPr>
        <w:t xml:space="preserve">applicable reliability standards; </w:t>
      </w:r>
      <w:r w:rsidRPr="6CE57AAF">
        <w:rPr>
          <w:szCs w:val="24"/>
        </w:rPr>
        <w:t>or</w:t>
      </w:r>
      <w:r>
        <w:rPr>
          <w:szCs w:val="24"/>
        </w:rPr>
        <w:t xml:space="preserve"> </w:t>
      </w:r>
    </w:p>
    <w:p w14:paraId="1DADE070" w14:textId="409924C8" w:rsidR="00A734BE" w:rsidRDefault="00A734BE" w:rsidP="001663DA">
      <w:pPr>
        <w:numPr>
          <w:ilvl w:val="0"/>
          <w:numId w:val="271"/>
        </w:numPr>
        <w:spacing w:before="120" w:line="300" w:lineRule="auto"/>
        <w:ind w:left="1080" w:hanging="720"/>
        <w:rPr>
          <w:szCs w:val="24"/>
        </w:rPr>
      </w:pPr>
      <w:r w:rsidRPr="5D45D9AF">
        <w:rPr>
          <w:szCs w:val="24"/>
        </w:rPr>
        <w:t xml:space="preserve">The Market Participant satisfies the Must Offer Requirements as detailed in Attachment A </w:t>
      </w:r>
      <w:r w:rsidR="001028BA">
        <w:rPr>
          <w:szCs w:val="24"/>
        </w:rPr>
        <w:t>of the Markets+ Tariff</w:t>
      </w:r>
      <w:r w:rsidRPr="5D45D9AF">
        <w:rPr>
          <w:szCs w:val="24"/>
        </w:rPr>
        <w:t xml:space="preserve">; </w:t>
      </w:r>
      <w:r>
        <w:rPr>
          <w:szCs w:val="24"/>
        </w:rPr>
        <w:t>or</w:t>
      </w:r>
    </w:p>
    <w:p w14:paraId="3287E59B" w14:textId="77777777" w:rsidR="00A734BE" w:rsidRPr="00352538" w:rsidRDefault="00A734BE" w:rsidP="001663DA">
      <w:pPr>
        <w:numPr>
          <w:ilvl w:val="0"/>
          <w:numId w:val="271"/>
        </w:numPr>
        <w:spacing w:before="120" w:line="300" w:lineRule="auto"/>
        <w:ind w:left="1080" w:hanging="720"/>
        <w:rPr>
          <w:szCs w:val="24"/>
        </w:rPr>
      </w:pPr>
      <w:r w:rsidRPr="00261AF2">
        <w:rPr>
          <w:szCs w:val="24"/>
        </w:rPr>
        <w:t>They are selling into another market at a higher price;</w:t>
      </w:r>
      <w:r>
        <w:rPr>
          <w:szCs w:val="24"/>
        </w:rPr>
        <w:t xml:space="preserve"> or</w:t>
      </w:r>
    </w:p>
    <w:p w14:paraId="228038A3" w14:textId="77777777" w:rsidR="00A734BE" w:rsidRPr="00261AF2" w:rsidRDefault="00A734BE" w:rsidP="001663DA">
      <w:pPr>
        <w:numPr>
          <w:ilvl w:val="0"/>
          <w:numId w:val="271"/>
        </w:numPr>
        <w:spacing w:before="120" w:line="300" w:lineRule="auto"/>
        <w:ind w:left="1080" w:hanging="720"/>
        <w:rPr>
          <w:szCs w:val="24"/>
        </w:rPr>
      </w:pPr>
      <w:r w:rsidRPr="00261AF2">
        <w:rPr>
          <w:szCs w:val="24"/>
        </w:rPr>
        <w:t>The Market Participant is reducing the magnitude of the MSR’s maximum capability, either charging or discharging, from its true and verifiable physical or environmental limitations in order to provide that capability for the duration of the minimum clearable commitment period</w:t>
      </w:r>
      <w:r>
        <w:rPr>
          <w:szCs w:val="24"/>
        </w:rPr>
        <w:t>; or</w:t>
      </w:r>
    </w:p>
    <w:p w14:paraId="2C098A13" w14:textId="77777777" w:rsidR="00A734BE" w:rsidRDefault="00A734BE" w:rsidP="001663DA">
      <w:pPr>
        <w:numPr>
          <w:ilvl w:val="0"/>
          <w:numId w:val="271"/>
        </w:numPr>
        <w:spacing w:before="120" w:line="300" w:lineRule="auto"/>
        <w:ind w:left="1080" w:hanging="720"/>
        <w:rPr>
          <w:szCs w:val="24"/>
        </w:rPr>
      </w:pPr>
      <w:r w:rsidRPr="35E115C0">
        <w:rPr>
          <w:szCs w:val="24"/>
        </w:rPr>
        <w:t>They are following water management requests or directives pursuant to the legal authority and operational responsibilities of the hydro operator or hydro participant</w:t>
      </w:r>
      <w:r>
        <w:rPr>
          <w:szCs w:val="24"/>
        </w:rPr>
        <w:t>; or</w:t>
      </w:r>
    </w:p>
    <w:p w14:paraId="0502D1F9" w14:textId="38F33EA0" w:rsidR="00A734BE" w:rsidRDefault="00A734BE" w:rsidP="001663DA">
      <w:pPr>
        <w:numPr>
          <w:ilvl w:val="0"/>
          <w:numId w:val="271"/>
        </w:numPr>
        <w:spacing w:before="120" w:line="300" w:lineRule="auto"/>
        <w:ind w:left="1080" w:hanging="720"/>
        <w:rPr>
          <w:szCs w:val="24"/>
        </w:rPr>
      </w:pPr>
      <w:r w:rsidRPr="35E115C0">
        <w:rPr>
          <w:szCs w:val="24"/>
        </w:rPr>
        <w:t>The Market Participant is subject to the terms of a power purchase agreement or other power supply agreement that limits the availability of capacity</w:t>
      </w:r>
      <w:r>
        <w:rPr>
          <w:szCs w:val="24"/>
        </w:rPr>
        <w:t xml:space="preserve"> </w:t>
      </w:r>
      <w:r w:rsidRPr="35E115C0">
        <w:rPr>
          <w:szCs w:val="24"/>
        </w:rPr>
        <w:t xml:space="preserve">or energy deliveries to Markets+ as a result of (i) the good faith exercise of by the Market </w:t>
      </w:r>
      <w:r>
        <w:rPr>
          <w:szCs w:val="24"/>
        </w:rPr>
        <w:t>Participant</w:t>
      </w:r>
      <w:r w:rsidRPr="35E115C0">
        <w:rPr>
          <w:szCs w:val="24"/>
        </w:rPr>
        <w:t xml:space="preserve"> of contractual or operational responsibilities thereunder, (ii) the technical or operational limitations of the resource of the interconnected facilities, which limitations are beyond the control of the Market Participant to mitigate, </w:t>
      </w:r>
      <w:r>
        <w:rPr>
          <w:szCs w:val="24"/>
        </w:rPr>
        <w:t xml:space="preserve">or </w:t>
      </w:r>
      <w:r w:rsidRPr="35E115C0">
        <w:rPr>
          <w:szCs w:val="24"/>
        </w:rPr>
        <w:t>(iii)  a request, order, or directive issued by a legal authority with jurisdiction over the resource or interconnected facilities. Subject to the confidentiality provisions set forth in Attachment A</w:t>
      </w:r>
      <w:r w:rsidR="00C9447F">
        <w:rPr>
          <w:szCs w:val="24"/>
        </w:rPr>
        <w:t xml:space="preserve"> of the Markets+ Tariff</w:t>
      </w:r>
      <w:r w:rsidRPr="35E115C0">
        <w:rPr>
          <w:szCs w:val="24"/>
        </w:rPr>
        <w:t>, a Market Participant that invokes this Section will provide to the Market Monitor upon request the applicable unredacted portions of the power purchase agreement, or other applicable power supply agreement, to which the Market Participant is a party and supporting explanation for the technical, operational, or legal limitations of the resource or interconnected facilities, if applicable</w:t>
      </w:r>
      <w:r w:rsidR="00E51B11">
        <w:rPr>
          <w:szCs w:val="24"/>
        </w:rPr>
        <w:t>; or</w:t>
      </w:r>
    </w:p>
    <w:p w14:paraId="583DF37B" w14:textId="77777777" w:rsidR="00A734BE" w:rsidRDefault="00A734BE" w:rsidP="001663DA">
      <w:pPr>
        <w:numPr>
          <w:ilvl w:val="0"/>
          <w:numId w:val="271"/>
        </w:numPr>
        <w:spacing w:before="120" w:line="300" w:lineRule="auto"/>
        <w:ind w:left="1080" w:hanging="720"/>
        <w:rPr>
          <w:szCs w:val="24"/>
        </w:rPr>
      </w:pPr>
      <w:r>
        <w:rPr>
          <w:szCs w:val="24"/>
        </w:rPr>
        <w:t xml:space="preserve">The Market Participant bears the responsibility of demonstrating with appropriate documentation the exemption from physical withholding in any of the above-claimed conditions.  The Market Monitor will determine whether the constraint has been supported with sufficient detail to alleviate the concern regarding physical withholding.  </w:t>
      </w:r>
    </w:p>
    <w:p w14:paraId="5BB28E19" w14:textId="77777777" w:rsidR="00A734BE" w:rsidRPr="00352538" w:rsidRDefault="00A734BE" w:rsidP="00574EDE">
      <w:pPr>
        <w:pStyle w:val="Heading4"/>
        <w:rPr>
          <w:szCs w:val="24"/>
        </w:rPr>
      </w:pPr>
      <w:bookmarkStart w:id="8386" w:name="_Ref349553267"/>
      <w:bookmarkStart w:id="8387" w:name="_Toc159233591"/>
      <w:bookmarkStart w:id="8388" w:name="_Toc141100874"/>
      <w:bookmarkStart w:id="8389" w:name="_Toc213772162"/>
      <w:bookmarkStart w:id="8390" w:name="_Ref349307488"/>
      <w:bookmarkStart w:id="8391" w:name="_Toc262560976"/>
      <w:bookmarkStart w:id="8392" w:name="_Toc263429641"/>
      <w:bookmarkStart w:id="8393" w:name="_Toc263795696"/>
      <w:bookmarkStart w:id="8394" w:name="_Toc265675934"/>
      <w:bookmarkStart w:id="8395" w:name="_Toc266869864"/>
      <w:r w:rsidRPr="0018420A">
        <w:t xml:space="preserve">Thresholds for Identifying Physical Withholding of </w:t>
      </w:r>
      <w:r w:rsidRPr="0018420A">
        <w:rPr>
          <w:szCs w:val="24"/>
        </w:rPr>
        <w:t>Resource Capacity</w:t>
      </w:r>
      <w:bookmarkEnd w:id="8386"/>
      <w:bookmarkEnd w:id="8387"/>
      <w:bookmarkEnd w:id="8388"/>
      <w:bookmarkEnd w:id="8389"/>
    </w:p>
    <w:p w14:paraId="6C023BCE" w14:textId="66B65BD6" w:rsidR="00A734BE" w:rsidRPr="00352538" w:rsidRDefault="00A734BE" w:rsidP="001663DA">
      <w:pPr>
        <w:spacing w:before="120" w:line="300" w:lineRule="auto"/>
        <w:rPr>
          <w:szCs w:val="24"/>
        </w:rPr>
      </w:pPr>
      <w:r w:rsidRPr="00352538">
        <w:rPr>
          <w:szCs w:val="24"/>
        </w:rPr>
        <w:t xml:space="preserve">A Market Participant is deemed to be physically withholding capacity </w:t>
      </w:r>
      <w:r w:rsidRPr="003C2388">
        <w:rPr>
          <w:szCs w:val="24"/>
        </w:rPr>
        <w:t xml:space="preserve">if none of the conditions are met </w:t>
      </w:r>
      <w:r w:rsidRPr="00BD43CB">
        <w:rPr>
          <w:szCs w:val="24"/>
        </w:rPr>
        <w:t xml:space="preserve">pursuant to Section </w:t>
      </w:r>
      <w:r w:rsidR="000B0DC4">
        <w:rPr>
          <w:szCs w:val="24"/>
        </w:rPr>
        <w:fldChar w:fldCharType="begin"/>
      </w:r>
      <w:r w:rsidR="000B0DC4">
        <w:rPr>
          <w:szCs w:val="24"/>
        </w:rPr>
        <w:instrText xml:space="preserve"> REF _Ref212128412 \r \h </w:instrText>
      </w:r>
      <w:r w:rsidR="000B0DC4">
        <w:rPr>
          <w:szCs w:val="24"/>
        </w:rPr>
      </w:r>
      <w:r w:rsidR="000B0DC4">
        <w:rPr>
          <w:szCs w:val="24"/>
        </w:rPr>
        <w:fldChar w:fldCharType="separate"/>
      </w:r>
      <w:r w:rsidR="000B0DC4">
        <w:rPr>
          <w:szCs w:val="24"/>
        </w:rPr>
        <w:t>11.1.4.3</w:t>
      </w:r>
      <w:r w:rsidR="000B0DC4">
        <w:rPr>
          <w:szCs w:val="24"/>
        </w:rPr>
        <w:fldChar w:fldCharType="end"/>
      </w:r>
      <w:r>
        <w:rPr>
          <w:szCs w:val="24"/>
        </w:rPr>
        <w:t xml:space="preserve"> </w:t>
      </w:r>
      <w:r w:rsidRPr="003C2388">
        <w:rPr>
          <w:szCs w:val="24"/>
        </w:rPr>
        <w:t>and all of the following conditions exist</w:t>
      </w:r>
      <w:r w:rsidRPr="00352538">
        <w:rPr>
          <w:szCs w:val="24"/>
        </w:rPr>
        <w:t xml:space="preserve">: </w:t>
      </w:r>
    </w:p>
    <w:p w14:paraId="2CBD4F2A" w14:textId="77777777" w:rsidR="00A734BE" w:rsidRPr="00352538" w:rsidRDefault="00A734BE" w:rsidP="001663DA">
      <w:pPr>
        <w:numPr>
          <w:ilvl w:val="0"/>
          <w:numId w:val="232"/>
        </w:numPr>
        <w:spacing w:before="120" w:line="300" w:lineRule="auto"/>
        <w:rPr>
          <w:szCs w:val="24"/>
        </w:rPr>
      </w:pPr>
      <w:r w:rsidRPr="00352538">
        <w:rPr>
          <w:szCs w:val="24"/>
        </w:rPr>
        <w:t>One or more of the transmission constraints</w:t>
      </w:r>
      <w:r>
        <w:rPr>
          <w:szCs w:val="24"/>
        </w:rPr>
        <w:t xml:space="preserve"> are binding</w:t>
      </w:r>
      <w:r w:rsidRPr="00352538">
        <w:rPr>
          <w:szCs w:val="24"/>
        </w:rPr>
        <w:t xml:space="preserve"> or </w:t>
      </w:r>
      <w:r>
        <w:rPr>
          <w:szCs w:val="24"/>
        </w:rPr>
        <w:t xml:space="preserve">a </w:t>
      </w:r>
      <w:r w:rsidRPr="00352538">
        <w:rPr>
          <w:szCs w:val="24"/>
        </w:rPr>
        <w:t xml:space="preserve">Reserve Zone </w:t>
      </w:r>
      <w:r>
        <w:rPr>
          <w:szCs w:val="24"/>
        </w:rPr>
        <w:t xml:space="preserve">is </w:t>
      </w:r>
      <w:r w:rsidRPr="00352538">
        <w:rPr>
          <w:szCs w:val="24"/>
        </w:rPr>
        <w:t xml:space="preserve">binding; </w:t>
      </w:r>
      <w:r>
        <w:rPr>
          <w:szCs w:val="24"/>
        </w:rPr>
        <w:t>and</w:t>
      </w:r>
    </w:p>
    <w:p w14:paraId="7592C583" w14:textId="5295E213" w:rsidR="00A734BE" w:rsidRPr="009412C3" w:rsidRDefault="00A734BE" w:rsidP="001663DA">
      <w:pPr>
        <w:numPr>
          <w:ilvl w:val="0"/>
          <w:numId w:val="232"/>
        </w:numPr>
        <w:spacing w:before="120" w:line="300" w:lineRule="auto"/>
        <w:rPr>
          <w:szCs w:val="24"/>
        </w:rPr>
      </w:pPr>
      <w:r w:rsidRPr="009412C3">
        <w:rPr>
          <w:szCs w:val="24"/>
        </w:rPr>
        <w:t xml:space="preserve">The Market Participant controls or owns one or more Resources that have market power as defined in </w:t>
      </w:r>
      <w:r w:rsidRPr="00E719FF">
        <w:rPr>
          <w:szCs w:val="24"/>
        </w:rPr>
        <w:t xml:space="preserve">Section </w:t>
      </w:r>
      <w:r w:rsidR="003E2A03">
        <w:rPr>
          <w:szCs w:val="24"/>
        </w:rPr>
        <w:fldChar w:fldCharType="begin"/>
      </w:r>
      <w:r w:rsidR="003E2A03">
        <w:rPr>
          <w:szCs w:val="24"/>
        </w:rPr>
        <w:instrText xml:space="preserve"> REF _Ref212632227 \r \h </w:instrText>
      </w:r>
      <w:r w:rsidR="003E2A03">
        <w:rPr>
          <w:szCs w:val="24"/>
        </w:rPr>
      </w:r>
      <w:r w:rsidR="003E2A03">
        <w:rPr>
          <w:szCs w:val="24"/>
        </w:rPr>
        <w:fldChar w:fldCharType="separate"/>
      </w:r>
      <w:r w:rsidR="003E2A03">
        <w:rPr>
          <w:szCs w:val="24"/>
        </w:rPr>
        <w:t>11.1.4.3</w:t>
      </w:r>
      <w:r w:rsidR="003E2A03">
        <w:rPr>
          <w:szCs w:val="24"/>
        </w:rPr>
        <w:fldChar w:fldCharType="end"/>
      </w:r>
      <w:r w:rsidRPr="009412C3">
        <w:rPr>
          <w:szCs w:val="24"/>
        </w:rPr>
        <w:t>; and</w:t>
      </w:r>
    </w:p>
    <w:p w14:paraId="1AB028D4" w14:textId="77777777" w:rsidR="00A734BE" w:rsidRDefault="00A734BE" w:rsidP="001663DA">
      <w:pPr>
        <w:pStyle w:val="Normal310"/>
        <w:numPr>
          <w:ilvl w:val="0"/>
          <w:numId w:val="232"/>
        </w:numPr>
        <w:spacing w:before="120" w:after="120" w:line="300" w:lineRule="auto"/>
      </w:pPr>
      <w:r>
        <w:t xml:space="preserve">One of the following conditions apply: </w:t>
      </w:r>
    </w:p>
    <w:p w14:paraId="731B18C4" w14:textId="6180EA51" w:rsidR="00A734BE" w:rsidRDefault="00A734BE" w:rsidP="001663DA">
      <w:pPr>
        <w:pStyle w:val="Normal310"/>
        <w:numPr>
          <w:ilvl w:val="1"/>
          <w:numId w:val="232"/>
        </w:numPr>
        <w:spacing w:before="120" w:after="120" w:line="300" w:lineRule="auto"/>
      </w:pPr>
      <w:r>
        <w:t>Such Resource(s) satisfy one</w:t>
      </w:r>
      <w:r w:rsidR="00431401">
        <w:t xml:space="preserve"> (1)</w:t>
      </w:r>
      <w:r>
        <w:t xml:space="preserve"> of the conditions in </w:t>
      </w:r>
      <w:r w:rsidR="002B24E3">
        <w:t>this Section</w:t>
      </w:r>
      <w:r>
        <w:t xml:space="preserve"> and the total withheld capacity exceeds the lower of</w:t>
      </w:r>
      <w:r w:rsidR="00431401">
        <w:t xml:space="preserve"> five</w:t>
      </w:r>
      <w:r>
        <w:t xml:space="preserve"> </w:t>
      </w:r>
      <w:r w:rsidR="00431401">
        <w:t>(</w:t>
      </w:r>
      <w:r>
        <w:t>5</w:t>
      </w:r>
      <w:r w:rsidR="00431401">
        <w:t>)</w:t>
      </w:r>
      <w:r>
        <w:t xml:space="preserve"> percent of the total capability owned or controlled by the Market Participant or 200 MW; or</w:t>
      </w:r>
    </w:p>
    <w:p w14:paraId="7192098A" w14:textId="79ACE5A1" w:rsidR="00A734BE" w:rsidRDefault="00A734BE" w:rsidP="001663DA">
      <w:pPr>
        <w:pStyle w:val="Normal310"/>
        <w:numPr>
          <w:ilvl w:val="1"/>
          <w:numId w:val="232"/>
        </w:numPr>
        <w:spacing w:before="120" w:after="120" w:line="300" w:lineRule="auto"/>
      </w:pPr>
      <w:r>
        <w:t xml:space="preserve">Where the real-time output of each such Resource is less than the Dispatch Target minus the Resource’s </w:t>
      </w:r>
      <w:r w:rsidR="001747E5">
        <w:t xml:space="preserve">High </w:t>
      </w:r>
      <w:r>
        <w:t>Operating Tolerance</w:t>
      </w:r>
      <w:r w:rsidR="001747E5">
        <w:t xml:space="preserve"> or is less than the Dispatch Target minus the Resource’s Low Operating Tolerance</w:t>
      </w:r>
      <w:r>
        <w:t xml:space="preserve"> defined in Section </w:t>
      </w:r>
      <w:r w:rsidR="005F5799">
        <w:fldChar w:fldCharType="begin"/>
      </w:r>
      <w:r w:rsidR="005F5799">
        <w:instrText xml:space="preserve"> REF _Ref247975819 \r \h </w:instrText>
      </w:r>
      <w:r w:rsidR="005F5799">
        <w:fldChar w:fldCharType="separate"/>
      </w:r>
      <w:r w:rsidR="005F5799">
        <w:t>4.4.4.1</w:t>
      </w:r>
      <w:r w:rsidR="005F5799">
        <w:fldChar w:fldCharType="end"/>
      </w:r>
      <w:r>
        <w:t xml:space="preserve"> and the Resource is not exempt from Uninstructed Resource Deviation under </w:t>
      </w:r>
      <w:r w:rsidRPr="00E719FF">
        <w:t xml:space="preserve">Section </w:t>
      </w:r>
      <w:r w:rsidR="005F5799">
        <w:fldChar w:fldCharType="begin"/>
      </w:r>
      <w:r w:rsidR="005F5799">
        <w:instrText xml:space="preserve"> REF _Ref212632370 \r \h </w:instrText>
      </w:r>
      <w:r w:rsidR="005F5799">
        <w:fldChar w:fldCharType="separate"/>
      </w:r>
      <w:r w:rsidR="005F5799">
        <w:t>4.4.4.1.1</w:t>
      </w:r>
      <w:r w:rsidR="005F5799">
        <w:fldChar w:fldCharType="end"/>
      </w:r>
      <w:r>
        <w:t>.</w:t>
      </w:r>
    </w:p>
    <w:p w14:paraId="2A8BEF93" w14:textId="77777777" w:rsidR="00A734BE" w:rsidRPr="00352538" w:rsidRDefault="00A734BE" w:rsidP="00574EDE">
      <w:pPr>
        <w:pStyle w:val="Heading4"/>
      </w:pPr>
      <w:bookmarkStart w:id="8396" w:name="_Toc212633634"/>
      <w:bookmarkStart w:id="8397" w:name="_Toc212634315"/>
      <w:bookmarkStart w:id="8398" w:name="_Toc213746700"/>
      <w:bookmarkStart w:id="8399" w:name="_Toc213772163"/>
      <w:bookmarkStart w:id="8400" w:name="_Ref349553288"/>
      <w:bookmarkStart w:id="8401" w:name="_Toc159233592"/>
      <w:bookmarkStart w:id="8402" w:name="_Toc141100875"/>
      <w:bookmarkStart w:id="8403" w:name="_Toc213772164"/>
      <w:bookmarkEnd w:id="8396"/>
      <w:bookmarkEnd w:id="8397"/>
      <w:bookmarkEnd w:id="8398"/>
      <w:bookmarkEnd w:id="8399"/>
      <w:r>
        <w:t>Thresholds for Screening of Physical Withholding of Transmission Facilities</w:t>
      </w:r>
      <w:bookmarkEnd w:id="8400"/>
      <w:bookmarkEnd w:id="8401"/>
      <w:bookmarkEnd w:id="8402"/>
      <w:bookmarkEnd w:id="8403"/>
    </w:p>
    <w:p w14:paraId="5572AEC5" w14:textId="77777777" w:rsidR="00A734BE" w:rsidRPr="00352538" w:rsidRDefault="00A734BE" w:rsidP="001663DA">
      <w:pPr>
        <w:spacing w:before="120" w:line="300" w:lineRule="auto"/>
        <w:rPr>
          <w:szCs w:val="24"/>
        </w:rPr>
      </w:pPr>
      <w:r w:rsidRPr="00352538">
        <w:rPr>
          <w:szCs w:val="24"/>
        </w:rPr>
        <w:t xml:space="preserve">A transmission facility </w:t>
      </w:r>
      <w:r>
        <w:rPr>
          <w:szCs w:val="24"/>
        </w:rPr>
        <w:t>fails the physical withholding screen if either of</w:t>
      </w:r>
      <w:r w:rsidRPr="00352538">
        <w:rPr>
          <w:szCs w:val="24"/>
        </w:rPr>
        <w:t xml:space="preserve"> the following conditions </w:t>
      </w:r>
      <w:r>
        <w:rPr>
          <w:szCs w:val="24"/>
        </w:rPr>
        <w:t>is met</w:t>
      </w:r>
      <w:r w:rsidRPr="00352538">
        <w:rPr>
          <w:szCs w:val="24"/>
        </w:rPr>
        <w:t>:</w:t>
      </w:r>
    </w:p>
    <w:p w14:paraId="2BA7A9A3" w14:textId="6713426B" w:rsidR="00A734BE" w:rsidRDefault="00A734BE" w:rsidP="001663DA">
      <w:pPr>
        <w:pStyle w:val="ListParagraph"/>
        <w:numPr>
          <w:ilvl w:val="1"/>
          <w:numId w:val="233"/>
        </w:numPr>
        <w:spacing w:before="120" w:line="300" w:lineRule="auto"/>
        <w:ind w:hanging="540"/>
        <w:contextualSpacing w:val="0"/>
        <w:rPr>
          <w:szCs w:val="24"/>
        </w:rPr>
      </w:pPr>
      <w:r w:rsidRPr="2A78FE21">
        <w:rPr>
          <w:szCs w:val="24"/>
        </w:rPr>
        <w:t xml:space="preserve">The transmission facility satisfies a condition </w:t>
      </w:r>
      <w:r w:rsidRPr="002925EA">
        <w:rPr>
          <w:szCs w:val="24"/>
        </w:rPr>
        <w:t xml:space="preserve">in Section </w:t>
      </w:r>
      <w:r w:rsidR="00E80ADB">
        <w:rPr>
          <w:szCs w:val="24"/>
        </w:rPr>
        <w:fldChar w:fldCharType="begin"/>
      </w:r>
      <w:r w:rsidR="00E80ADB">
        <w:rPr>
          <w:szCs w:val="24"/>
        </w:rPr>
        <w:instrText xml:space="preserve"> REF _Ref349553267 \r \h </w:instrText>
      </w:r>
      <w:r w:rsidR="00E80ADB">
        <w:rPr>
          <w:szCs w:val="24"/>
        </w:rPr>
      </w:r>
      <w:r w:rsidR="00E80ADB">
        <w:rPr>
          <w:szCs w:val="24"/>
        </w:rPr>
        <w:fldChar w:fldCharType="separate"/>
      </w:r>
      <w:r w:rsidR="00E80ADB">
        <w:rPr>
          <w:szCs w:val="24"/>
        </w:rPr>
        <w:t>11.2.6.1</w:t>
      </w:r>
      <w:r w:rsidR="00E80ADB">
        <w:rPr>
          <w:szCs w:val="24"/>
        </w:rPr>
        <w:fldChar w:fldCharType="end"/>
      </w:r>
      <w:r w:rsidRPr="002925EA">
        <w:rPr>
          <w:szCs w:val="24"/>
        </w:rPr>
        <w:t>;</w:t>
      </w:r>
      <w:r w:rsidRPr="2A78FE21">
        <w:rPr>
          <w:szCs w:val="24"/>
        </w:rPr>
        <w:t xml:space="preserve"> or</w:t>
      </w:r>
    </w:p>
    <w:p w14:paraId="5A23A589" w14:textId="68E7FAE7" w:rsidR="00A734BE" w:rsidRPr="00352538" w:rsidRDefault="00A734BE" w:rsidP="001663DA">
      <w:pPr>
        <w:numPr>
          <w:ilvl w:val="1"/>
          <w:numId w:val="233"/>
        </w:numPr>
        <w:spacing w:before="120" w:line="300" w:lineRule="auto"/>
        <w:ind w:hanging="547"/>
        <w:rPr>
          <w:szCs w:val="24"/>
        </w:rPr>
      </w:pPr>
      <w:r w:rsidRPr="00261AF2">
        <w:rPr>
          <w:szCs w:val="24"/>
        </w:rPr>
        <w:t>The Market Monitor identifies a pattern of scheduling outages resulting in increased market costs compared to an alternative and lower cost impact outage schedule</w:t>
      </w:r>
      <w:r w:rsidR="00A1300B">
        <w:rPr>
          <w:szCs w:val="24"/>
        </w:rPr>
        <w:t>.</w:t>
      </w:r>
    </w:p>
    <w:p w14:paraId="24925203" w14:textId="77777777" w:rsidR="00A734BE" w:rsidRPr="00352538" w:rsidRDefault="00A734BE" w:rsidP="00574EDE">
      <w:pPr>
        <w:pStyle w:val="Heading4"/>
        <w:rPr>
          <w:szCs w:val="24"/>
        </w:rPr>
      </w:pPr>
      <w:bookmarkStart w:id="8404" w:name="_Toc213772165"/>
      <w:bookmarkStart w:id="8405" w:name="_Toc159233593"/>
      <w:bookmarkStart w:id="8406" w:name="_Toc141100876"/>
      <w:r>
        <w:t>Sanctions</w:t>
      </w:r>
      <w:bookmarkEnd w:id="8404"/>
      <w:r>
        <w:t xml:space="preserve"> </w:t>
      </w:r>
      <w:bookmarkEnd w:id="8405"/>
      <w:bookmarkEnd w:id="8406"/>
    </w:p>
    <w:p w14:paraId="1C60FD61" w14:textId="005FC2FE" w:rsidR="00A734BE" w:rsidRPr="00261AF2" w:rsidRDefault="00A734BE" w:rsidP="001663DA">
      <w:pPr>
        <w:spacing w:before="120" w:line="300" w:lineRule="auto"/>
        <w:rPr>
          <w:szCs w:val="24"/>
        </w:rPr>
      </w:pPr>
      <w:r w:rsidRPr="00261AF2">
        <w:rPr>
          <w:szCs w:val="24"/>
        </w:rPr>
        <w:t xml:space="preserve">The Market Monitor will record instances where Market Participants have failed the physical withholding </w:t>
      </w:r>
      <w:r w:rsidRPr="002925EA">
        <w:rPr>
          <w:szCs w:val="24"/>
        </w:rPr>
        <w:t xml:space="preserve">screens in Sections </w:t>
      </w:r>
      <w:r w:rsidRPr="002925EA">
        <w:rPr>
          <w:szCs w:val="24"/>
        </w:rPr>
        <w:fldChar w:fldCharType="begin"/>
      </w:r>
      <w:r w:rsidRPr="002925EA">
        <w:rPr>
          <w:szCs w:val="24"/>
        </w:rPr>
        <w:instrText xml:space="preserve"> REF _Ref349553267 \n \h  \* MERGEFORMAT </w:instrText>
      </w:r>
      <w:r w:rsidRPr="002925EA">
        <w:rPr>
          <w:szCs w:val="24"/>
        </w:rPr>
      </w:r>
      <w:r w:rsidRPr="002925EA">
        <w:rPr>
          <w:szCs w:val="24"/>
        </w:rPr>
        <w:fldChar w:fldCharType="separate"/>
      </w:r>
      <w:r w:rsidRPr="002925EA">
        <w:rPr>
          <w:szCs w:val="24"/>
        </w:rPr>
        <w:t>11.2.6.1</w:t>
      </w:r>
      <w:r w:rsidRPr="002925EA">
        <w:rPr>
          <w:szCs w:val="24"/>
        </w:rPr>
        <w:fldChar w:fldCharType="end"/>
      </w:r>
      <w:r w:rsidRPr="002925EA">
        <w:rPr>
          <w:szCs w:val="24"/>
        </w:rPr>
        <w:t xml:space="preserve">  or </w:t>
      </w:r>
      <w:r w:rsidR="00E80ADB">
        <w:rPr>
          <w:szCs w:val="24"/>
        </w:rPr>
        <w:fldChar w:fldCharType="begin"/>
      </w:r>
      <w:r w:rsidR="00E80ADB">
        <w:rPr>
          <w:szCs w:val="24"/>
        </w:rPr>
        <w:instrText xml:space="preserve"> REF _Ref349553288 \r \h </w:instrText>
      </w:r>
      <w:r w:rsidR="00E80ADB">
        <w:rPr>
          <w:szCs w:val="24"/>
        </w:rPr>
      </w:r>
      <w:r w:rsidR="00E80ADB">
        <w:rPr>
          <w:szCs w:val="24"/>
        </w:rPr>
        <w:fldChar w:fldCharType="separate"/>
      </w:r>
      <w:r w:rsidR="00E80ADB">
        <w:rPr>
          <w:szCs w:val="24"/>
        </w:rPr>
        <w:t>11.2.6.2</w:t>
      </w:r>
      <w:r w:rsidR="00E80ADB">
        <w:rPr>
          <w:szCs w:val="24"/>
        </w:rPr>
        <w:fldChar w:fldCharType="end"/>
      </w:r>
      <w:r w:rsidRPr="00352538">
        <w:rPr>
          <w:szCs w:val="24"/>
        </w:rPr>
        <w:t>.</w:t>
      </w:r>
      <w:r w:rsidRPr="00261AF2">
        <w:rPr>
          <w:szCs w:val="24"/>
        </w:rPr>
        <w:t xml:space="preserve">  The Market Monitor will notify </w:t>
      </w:r>
      <w:r>
        <w:rPr>
          <w:szCs w:val="24"/>
        </w:rPr>
        <w:t>FERC</w:t>
      </w:r>
      <w:r w:rsidRPr="00261AF2">
        <w:rPr>
          <w:szCs w:val="24"/>
        </w:rPr>
        <w:t xml:space="preserve">’s Office of Enforcement, or successor organization, of suspected physical withholding behavior. In the event the Market Monitor determines there is credible evidence of a market violation, the Market Monitor </w:t>
      </w:r>
      <w:r>
        <w:rPr>
          <w:szCs w:val="24"/>
        </w:rPr>
        <w:t>will</w:t>
      </w:r>
      <w:r w:rsidRPr="00261AF2">
        <w:rPr>
          <w:szCs w:val="24"/>
        </w:rPr>
        <w:t xml:space="preserve"> make a referral to </w:t>
      </w:r>
      <w:r>
        <w:rPr>
          <w:szCs w:val="24"/>
        </w:rPr>
        <w:t>FERC</w:t>
      </w:r>
      <w:r w:rsidRPr="00261AF2">
        <w:rPr>
          <w:szCs w:val="24"/>
        </w:rPr>
        <w:t xml:space="preserve"> as described in </w:t>
      </w:r>
      <w:r w:rsidRPr="00352538">
        <w:rPr>
          <w:szCs w:val="24"/>
        </w:rPr>
        <w:fldChar w:fldCharType="begin"/>
      </w:r>
      <w:r w:rsidRPr="00352538">
        <w:rPr>
          <w:szCs w:val="24"/>
        </w:rPr>
        <w:instrText xml:space="preserve"> REF _Ref349553324 \n \h  \* MERGEFORMAT </w:instrText>
      </w:r>
      <w:r w:rsidRPr="00352538">
        <w:rPr>
          <w:szCs w:val="24"/>
        </w:rPr>
      </w:r>
      <w:r w:rsidRPr="00352538">
        <w:rPr>
          <w:szCs w:val="24"/>
        </w:rPr>
        <w:fldChar w:fldCharType="separate"/>
      </w:r>
      <w:r w:rsidRPr="00352538">
        <w:rPr>
          <w:szCs w:val="24"/>
        </w:rPr>
        <w:fldChar w:fldCharType="end"/>
      </w:r>
      <w:r w:rsidRPr="00352538">
        <w:rPr>
          <w:szCs w:val="24"/>
        </w:rPr>
        <w:t>Attachment C</w:t>
      </w:r>
      <w:r w:rsidR="00C87225">
        <w:rPr>
          <w:szCs w:val="24"/>
        </w:rPr>
        <w:t xml:space="preserve"> of the Markets+ Tariff</w:t>
      </w:r>
      <w:r w:rsidRPr="00352538">
        <w:rPr>
          <w:szCs w:val="24"/>
        </w:rPr>
        <w:t>.</w:t>
      </w:r>
    </w:p>
    <w:p w14:paraId="4FE5463B" w14:textId="77777777" w:rsidR="00A734BE" w:rsidRPr="0018420A" w:rsidRDefault="00A734BE" w:rsidP="00781C61">
      <w:pPr>
        <w:pStyle w:val="Heading3"/>
        <w:rPr>
          <w:sz w:val="24"/>
          <w:szCs w:val="24"/>
        </w:rPr>
      </w:pPr>
      <w:bookmarkStart w:id="8407" w:name="_Toc262560977"/>
      <w:bookmarkStart w:id="8408" w:name="_Toc263429642"/>
      <w:bookmarkStart w:id="8409" w:name="_Toc263795697"/>
      <w:bookmarkStart w:id="8410" w:name="_Toc265675935"/>
      <w:bookmarkStart w:id="8411" w:name="_Toc266869865"/>
      <w:bookmarkStart w:id="8412" w:name="_Toc159233595"/>
      <w:bookmarkStart w:id="8413" w:name="_Toc141100878"/>
      <w:bookmarkStart w:id="8414" w:name="_Toc213772166"/>
      <w:bookmarkEnd w:id="8390"/>
      <w:bookmarkEnd w:id="8391"/>
      <w:bookmarkEnd w:id="8392"/>
      <w:bookmarkEnd w:id="8393"/>
      <w:bookmarkEnd w:id="8394"/>
      <w:bookmarkEnd w:id="8395"/>
      <w:r>
        <w:t>Maintenance and Implementation of the Mitigation Protocols</w:t>
      </w:r>
      <w:bookmarkEnd w:id="8407"/>
      <w:bookmarkEnd w:id="8408"/>
      <w:bookmarkEnd w:id="8409"/>
      <w:bookmarkEnd w:id="8410"/>
      <w:bookmarkEnd w:id="8411"/>
      <w:bookmarkEnd w:id="8412"/>
      <w:bookmarkEnd w:id="8413"/>
      <w:bookmarkEnd w:id="8414"/>
    </w:p>
    <w:p w14:paraId="29C43707" w14:textId="77777777" w:rsidR="00A734BE" w:rsidRDefault="00A734BE" w:rsidP="001663DA">
      <w:pPr>
        <w:spacing w:before="120" w:line="300" w:lineRule="auto"/>
        <w:rPr>
          <w:szCs w:val="24"/>
        </w:rPr>
      </w:pPr>
      <w:r>
        <w:rPr>
          <w:szCs w:val="24"/>
        </w:rPr>
        <w:t>The Market Operator</w:t>
      </w:r>
      <w:r w:rsidRPr="00352538">
        <w:rPr>
          <w:szCs w:val="24"/>
        </w:rPr>
        <w:t xml:space="preserve"> is responsible for implementing the market power mitigation measures as approved by FERC.  </w:t>
      </w:r>
      <w:r>
        <w:rPr>
          <w:szCs w:val="24"/>
        </w:rPr>
        <w:t>The Market Operator</w:t>
      </w:r>
      <w:r w:rsidRPr="00352538">
        <w:rPr>
          <w:szCs w:val="24"/>
        </w:rPr>
        <w:t xml:space="preserve"> is also responsible for periodically reviewing and recommending revisions to the mitigation protocols and supporting </w:t>
      </w:r>
      <w:r>
        <w:rPr>
          <w:szCs w:val="24"/>
        </w:rPr>
        <w:t>the Market Operator’s</w:t>
      </w:r>
      <w:r w:rsidRPr="00352538">
        <w:rPr>
          <w:szCs w:val="24"/>
        </w:rPr>
        <w:t xml:space="preserve"> Regulatory Staff in obtaining approval from FERC for any such updates with input and support from the M</w:t>
      </w:r>
      <w:r>
        <w:rPr>
          <w:szCs w:val="24"/>
        </w:rPr>
        <w:t xml:space="preserve">arkets+ </w:t>
      </w:r>
      <w:r w:rsidRPr="00352538">
        <w:rPr>
          <w:szCs w:val="24"/>
        </w:rPr>
        <w:t>D</w:t>
      </w:r>
      <w:r>
        <w:rPr>
          <w:szCs w:val="24"/>
        </w:rPr>
        <w:t xml:space="preserve">esign </w:t>
      </w:r>
      <w:r w:rsidRPr="00352538">
        <w:rPr>
          <w:szCs w:val="24"/>
        </w:rPr>
        <w:t>W</w:t>
      </w:r>
      <w:r>
        <w:rPr>
          <w:szCs w:val="24"/>
        </w:rPr>
        <w:t xml:space="preserve">orking </w:t>
      </w:r>
      <w:r w:rsidRPr="00352538">
        <w:rPr>
          <w:szCs w:val="24"/>
        </w:rPr>
        <w:t>G</w:t>
      </w:r>
      <w:r>
        <w:rPr>
          <w:szCs w:val="24"/>
        </w:rPr>
        <w:t>roup</w:t>
      </w:r>
      <w:r w:rsidRPr="00352538">
        <w:rPr>
          <w:szCs w:val="24"/>
        </w:rPr>
        <w:t>.</w:t>
      </w:r>
    </w:p>
    <w:p w14:paraId="677FC91A" w14:textId="77777777" w:rsidR="00A734BE" w:rsidRPr="00EC10A2" w:rsidRDefault="00A734BE" w:rsidP="00781C61">
      <w:pPr>
        <w:pStyle w:val="Heading3"/>
      </w:pPr>
      <w:bookmarkStart w:id="8415" w:name="_Toc213772167"/>
      <w:r w:rsidRPr="00EC10A2">
        <w:t>Resolution of Conflicts</w:t>
      </w:r>
      <w:bookmarkEnd w:id="8415"/>
    </w:p>
    <w:p w14:paraId="2C52E82D" w14:textId="0B97227D" w:rsidR="00A734BE" w:rsidRPr="00352538" w:rsidRDefault="00A734BE" w:rsidP="001663DA">
      <w:pPr>
        <w:spacing w:before="120" w:line="300" w:lineRule="auto"/>
        <w:rPr>
          <w:szCs w:val="24"/>
        </w:rPr>
      </w:pPr>
      <w:r w:rsidRPr="00352538">
        <w:rPr>
          <w:szCs w:val="24"/>
        </w:rPr>
        <w:t xml:space="preserve">In the event there is a conflict between this </w:t>
      </w:r>
      <w:r w:rsidRPr="007169C0">
        <w:rPr>
          <w:szCs w:val="24"/>
        </w:rPr>
        <w:t>Section</w:t>
      </w:r>
      <w:r w:rsidRPr="00352538">
        <w:rPr>
          <w:szCs w:val="24"/>
        </w:rPr>
        <w:t xml:space="preserve"> and Attachment</w:t>
      </w:r>
      <w:r>
        <w:rPr>
          <w:szCs w:val="24"/>
        </w:rPr>
        <w:t>s B and</w:t>
      </w:r>
      <w:r w:rsidRPr="00352538">
        <w:rPr>
          <w:szCs w:val="24"/>
        </w:rPr>
        <w:t xml:space="preserve"> </w:t>
      </w:r>
      <w:r w:rsidRPr="00E6100D">
        <w:rPr>
          <w:szCs w:val="24"/>
        </w:rPr>
        <w:t>C</w:t>
      </w:r>
      <w:r w:rsidRPr="00352538">
        <w:rPr>
          <w:szCs w:val="24"/>
        </w:rPr>
        <w:t xml:space="preserve"> of </w:t>
      </w:r>
      <w:r w:rsidRPr="46A4DE61">
        <w:rPr>
          <w:szCs w:val="24"/>
        </w:rPr>
        <w:t xml:space="preserve">the </w:t>
      </w:r>
      <w:r w:rsidRPr="00E6100D">
        <w:rPr>
          <w:szCs w:val="24"/>
        </w:rPr>
        <w:t>Markets+ Tariff</w:t>
      </w:r>
      <w:r w:rsidRPr="00352538">
        <w:rPr>
          <w:szCs w:val="24"/>
        </w:rPr>
        <w:t xml:space="preserve"> or any other provision of the </w:t>
      </w:r>
      <w:r w:rsidRPr="46A4DE61">
        <w:rPr>
          <w:szCs w:val="24"/>
        </w:rPr>
        <w:t>Markets+ Tariff</w:t>
      </w:r>
      <w:r w:rsidRPr="00352538">
        <w:rPr>
          <w:szCs w:val="24"/>
        </w:rPr>
        <w:t>, Attachment</w:t>
      </w:r>
      <w:r>
        <w:rPr>
          <w:szCs w:val="24"/>
        </w:rPr>
        <w:t>s B and</w:t>
      </w:r>
      <w:r w:rsidRPr="00352538">
        <w:rPr>
          <w:szCs w:val="24"/>
        </w:rPr>
        <w:t xml:space="preserve"> </w:t>
      </w:r>
      <w:r w:rsidRPr="46A4DE61">
        <w:rPr>
          <w:szCs w:val="24"/>
        </w:rPr>
        <w:t>C</w:t>
      </w:r>
      <w:r w:rsidRPr="00352538">
        <w:rPr>
          <w:szCs w:val="24"/>
        </w:rPr>
        <w:t xml:space="preserve"> will control.</w:t>
      </w:r>
    </w:p>
    <w:p w14:paraId="0E545F14" w14:textId="77777777" w:rsidR="000F4D4E" w:rsidRDefault="000F4D4E" w:rsidP="000F4D4E">
      <w:pPr>
        <w:pStyle w:val="ParaText"/>
      </w:pPr>
    </w:p>
    <w:p w14:paraId="2DF59F5B" w14:textId="77777777" w:rsidR="000F4D4E" w:rsidRDefault="000F4D4E" w:rsidP="000F4D4E">
      <w:pPr>
        <w:pStyle w:val="ParaText"/>
      </w:pPr>
    </w:p>
    <w:p w14:paraId="6B85197D" w14:textId="6C2FC0BA" w:rsidR="000F4D4E" w:rsidRDefault="000F4D4E">
      <w:pPr>
        <w:spacing w:after="0"/>
        <w:jc w:val="left"/>
      </w:pPr>
      <w:r>
        <w:br w:type="page"/>
      </w:r>
    </w:p>
    <w:p w14:paraId="17BAA017" w14:textId="4AC70D38" w:rsidR="00D91C87" w:rsidRPr="00D91C87" w:rsidRDefault="00D91C87" w:rsidP="00D91C87">
      <w:pPr>
        <w:pStyle w:val="Heading1"/>
      </w:pPr>
      <w:bookmarkStart w:id="8416" w:name="_Toc213772168"/>
      <w:r w:rsidRPr="00D91C87">
        <w:t>Market Process and System Change Process</w:t>
      </w:r>
      <w:bookmarkEnd w:id="8416"/>
    </w:p>
    <w:p w14:paraId="7F3DADD6" w14:textId="0C13AF9A" w:rsidR="0070348D" w:rsidRPr="0070348D" w:rsidRDefault="0070348D" w:rsidP="00FE7AA5">
      <w:pPr>
        <w:spacing w:before="120" w:line="300" w:lineRule="auto"/>
      </w:pPr>
      <w:r w:rsidRPr="0070348D">
        <w:t xml:space="preserve">This section outlines the methods that govern the Market Operator system changes that directly impact or are visible to Market Participants’ processes, systems, or interfaces with the Market Operator systems.  The intent of this section is to ensure there is transparency when Market Participant-impacting or Market Participant-facing changes occur to the Market Operator processes </w:t>
      </w:r>
      <w:r w:rsidRPr="0070348D" w:rsidDel="0046151A">
        <w:t>and/or</w:t>
      </w:r>
      <w:r w:rsidRPr="0070348D">
        <w:t xml:space="preserve"> systems.     </w:t>
      </w:r>
    </w:p>
    <w:p w14:paraId="7C42DFA1" w14:textId="2ABD2922" w:rsidR="0070348D" w:rsidRPr="0070348D" w:rsidRDefault="0070348D" w:rsidP="00FE7AA5">
      <w:pPr>
        <w:numPr>
          <w:ilvl w:val="0"/>
          <w:numId w:val="202"/>
        </w:numPr>
        <w:tabs>
          <w:tab w:val="clear" w:pos="1800"/>
          <w:tab w:val="num" w:pos="720"/>
        </w:tabs>
        <w:spacing w:before="120" w:line="300" w:lineRule="auto"/>
        <w:ind w:left="720" w:hanging="630"/>
        <w:rPr>
          <w:szCs w:val="24"/>
        </w:rPr>
      </w:pPr>
      <w:r w:rsidRPr="0070348D">
        <w:rPr>
          <w:szCs w:val="24"/>
        </w:rPr>
        <w:t xml:space="preserve">Once a Markets+ Revision Request (MRR) has been approved through the stakeholder process, the Markets+ Change User Forum (MCUF) will serve as the forum for coordinating the implementation of Market Participant-facing and Market Participant-impacting efforts for process </w:t>
      </w:r>
      <w:r w:rsidRPr="0070348D" w:rsidDel="0046151A">
        <w:rPr>
          <w:szCs w:val="24"/>
        </w:rPr>
        <w:t>and/or</w:t>
      </w:r>
      <w:r w:rsidRPr="0070348D">
        <w:rPr>
          <w:szCs w:val="24"/>
        </w:rPr>
        <w:t xml:space="preserve"> system changes affecting the Market Operator administered markets and reliability functions.  MCUF is the group responsible for monitoring and coordinating all planned Market Participant-impacting or Market Participant-facing system or process changes.  A Market Participant-facing system or process change is perceptible but will not require any modifications to market participant/member systems or processes.  In contrast, a Market Participant-impacting system or process change is one that meets any of the criteria listed in (1) through (5) below.</w:t>
      </w:r>
    </w:p>
    <w:p w14:paraId="2C8A0B1E" w14:textId="77777777" w:rsidR="0070348D" w:rsidRPr="0070348D" w:rsidRDefault="0070348D" w:rsidP="00FE7AA5">
      <w:pPr>
        <w:numPr>
          <w:ilvl w:val="0"/>
          <w:numId w:val="201"/>
        </w:numPr>
        <w:tabs>
          <w:tab w:val="num" w:pos="1440"/>
        </w:tabs>
        <w:spacing w:before="120" w:line="300" w:lineRule="auto"/>
        <w:ind w:left="1440" w:hanging="540"/>
        <w:rPr>
          <w:szCs w:val="24"/>
        </w:rPr>
      </w:pPr>
      <w:r w:rsidRPr="0070348D">
        <w:rPr>
          <w:szCs w:val="24"/>
        </w:rPr>
        <w:t>The change will result in Market Participants having to make changes to their internal systems or interfaces;</w:t>
      </w:r>
    </w:p>
    <w:p w14:paraId="46D93977" w14:textId="77777777" w:rsidR="0070348D" w:rsidRPr="0070348D" w:rsidRDefault="0070348D" w:rsidP="00FE7AA5">
      <w:pPr>
        <w:numPr>
          <w:ilvl w:val="0"/>
          <w:numId w:val="201"/>
        </w:numPr>
        <w:tabs>
          <w:tab w:val="num" w:pos="1440"/>
        </w:tabs>
        <w:spacing w:before="120" w:line="300" w:lineRule="auto"/>
        <w:ind w:left="1440" w:hanging="540"/>
        <w:rPr>
          <w:szCs w:val="24"/>
        </w:rPr>
      </w:pPr>
      <w:r w:rsidRPr="0070348D">
        <w:rPr>
          <w:szCs w:val="24"/>
        </w:rPr>
        <w:t>The change will require Market Participants to coordinate testing with the Market Operator prior to the change being released to Production systems;</w:t>
      </w:r>
    </w:p>
    <w:p w14:paraId="167E7395" w14:textId="77777777" w:rsidR="0070348D" w:rsidRPr="0070348D" w:rsidRDefault="0070348D" w:rsidP="00FE7AA5">
      <w:pPr>
        <w:numPr>
          <w:ilvl w:val="0"/>
          <w:numId w:val="201"/>
        </w:numPr>
        <w:tabs>
          <w:tab w:val="num" w:pos="1440"/>
        </w:tabs>
        <w:spacing w:before="120" w:line="300" w:lineRule="auto"/>
        <w:ind w:left="1440" w:hanging="540"/>
        <w:rPr>
          <w:szCs w:val="24"/>
        </w:rPr>
      </w:pPr>
      <w:r w:rsidRPr="0070348D">
        <w:rPr>
          <w:szCs w:val="24"/>
        </w:rPr>
        <w:t>The change will cause Market Participants to change their internal processes;</w:t>
      </w:r>
    </w:p>
    <w:p w14:paraId="0C24DD72" w14:textId="77777777" w:rsidR="0070348D" w:rsidRPr="0070348D" w:rsidRDefault="0070348D" w:rsidP="00FE7AA5">
      <w:pPr>
        <w:numPr>
          <w:ilvl w:val="0"/>
          <w:numId w:val="201"/>
        </w:numPr>
        <w:tabs>
          <w:tab w:val="num" w:pos="1440"/>
        </w:tabs>
        <w:spacing w:before="120" w:line="300" w:lineRule="auto"/>
        <w:ind w:left="1440" w:hanging="540"/>
        <w:rPr>
          <w:szCs w:val="24"/>
        </w:rPr>
      </w:pPr>
      <w:r w:rsidRPr="0070348D">
        <w:rPr>
          <w:szCs w:val="24"/>
        </w:rPr>
        <w:t>The change modifies or creates a system interface between the Market Operator and its Market Participant;</w:t>
      </w:r>
    </w:p>
    <w:p w14:paraId="7D50085F" w14:textId="77777777" w:rsidR="0070348D" w:rsidRPr="0070348D" w:rsidRDefault="0070348D" w:rsidP="00FE7AA5">
      <w:pPr>
        <w:numPr>
          <w:ilvl w:val="0"/>
          <w:numId w:val="201"/>
        </w:numPr>
        <w:tabs>
          <w:tab w:val="num" w:pos="1440"/>
        </w:tabs>
        <w:spacing w:before="120" w:line="300" w:lineRule="auto"/>
        <w:ind w:left="1440" w:hanging="540"/>
        <w:rPr>
          <w:szCs w:val="24"/>
        </w:rPr>
      </w:pPr>
      <w:r w:rsidRPr="0070348D">
        <w:rPr>
          <w:szCs w:val="24"/>
        </w:rPr>
        <w:t>The risk associated with the change justifies inclusion as a Market Participant-impacting change.</w:t>
      </w:r>
    </w:p>
    <w:p w14:paraId="025E19EE" w14:textId="77777777" w:rsidR="0070348D" w:rsidRPr="0070348D" w:rsidRDefault="0070348D" w:rsidP="00FE7AA5">
      <w:pPr>
        <w:numPr>
          <w:ilvl w:val="0"/>
          <w:numId w:val="202"/>
        </w:numPr>
        <w:tabs>
          <w:tab w:val="clear" w:pos="1800"/>
          <w:tab w:val="left" w:pos="1530"/>
          <w:tab w:val="num" w:pos="1710"/>
        </w:tabs>
        <w:spacing w:before="120" w:line="300" w:lineRule="auto"/>
        <w:ind w:left="720" w:hanging="540"/>
      </w:pPr>
      <w:r w:rsidRPr="0070348D">
        <w:t>The MCUF and the Market Operator will develop and maintain a plan outlining Market Participant-impacting and Market Participant-facing change initiatives. This plan will be updated at least quarterly and posted to the MCUF page on the Market Operator’s website. The plan will reflect the relative priority of all Market Participant-impacting and Market Participant-facing change initiatives.  These priorities will be determined based on the MRR priority ranking process conducted by the Markets+ Design Working Group (MDWG) as well as the Market Operator’s internal project prioritization processes.  System changes that cannot be implemented according to the requested priority rank will be identified and communicated to the MDWG, after coordination with the MCUF.  The plan will include, at a minimum, the following:</w:t>
      </w:r>
    </w:p>
    <w:p w14:paraId="6F1564D9" w14:textId="77777777" w:rsidR="0070348D" w:rsidRPr="0070348D" w:rsidRDefault="0070348D" w:rsidP="00FE7AA5">
      <w:pPr>
        <w:numPr>
          <w:ilvl w:val="0"/>
          <w:numId w:val="203"/>
        </w:numPr>
        <w:tabs>
          <w:tab w:val="num" w:pos="1440"/>
        </w:tabs>
        <w:spacing w:before="120" w:line="300" w:lineRule="auto"/>
        <w:ind w:left="1454" w:hanging="547"/>
        <w:rPr>
          <w:szCs w:val="24"/>
        </w:rPr>
      </w:pPr>
      <w:r w:rsidRPr="0070348D">
        <w:rPr>
          <w:szCs w:val="24"/>
        </w:rPr>
        <w:t>Listing and description of planned Market Participant-impacting or Market Participant-facing projects;</w:t>
      </w:r>
    </w:p>
    <w:p w14:paraId="22CACB2D" w14:textId="77777777" w:rsidR="0070348D" w:rsidRPr="0070348D" w:rsidRDefault="0070348D" w:rsidP="00FE7AA5">
      <w:pPr>
        <w:numPr>
          <w:ilvl w:val="0"/>
          <w:numId w:val="203"/>
        </w:numPr>
        <w:tabs>
          <w:tab w:val="num" w:pos="1440"/>
        </w:tabs>
        <w:spacing w:before="120" w:line="300" w:lineRule="auto"/>
        <w:ind w:left="1454" w:hanging="547"/>
        <w:rPr>
          <w:szCs w:val="24"/>
        </w:rPr>
      </w:pPr>
      <w:r w:rsidRPr="0070348D">
        <w:rPr>
          <w:szCs w:val="24"/>
        </w:rPr>
        <w:t>Updated current status of planned Market Participant-impacting or Market Participant-facing projects;</w:t>
      </w:r>
    </w:p>
    <w:p w14:paraId="58E14EF2" w14:textId="77777777" w:rsidR="0070348D" w:rsidRPr="0070348D" w:rsidRDefault="0070348D" w:rsidP="00FE7AA5">
      <w:pPr>
        <w:numPr>
          <w:ilvl w:val="0"/>
          <w:numId w:val="203"/>
        </w:numPr>
        <w:tabs>
          <w:tab w:val="num" w:pos="1440"/>
        </w:tabs>
        <w:spacing w:before="120" w:line="300" w:lineRule="auto"/>
        <w:ind w:left="1454" w:hanging="547"/>
        <w:rPr>
          <w:szCs w:val="24"/>
        </w:rPr>
      </w:pPr>
      <w:r w:rsidRPr="0070348D">
        <w:rPr>
          <w:szCs w:val="24"/>
        </w:rPr>
        <w:t>Identifiable milestones of planned Market Participant-impacting or Market Participant-facing projects, including, but not limited to:</w:t>
      </w:r>
    </w:p>
    <w:p w14:paraId="569E6C56" w14:textId="77777777" w:rsidR="0070348D" w:rsidRPr="0070348D" w:rsidRDefault="0070348D" w:rsidP="00FE7AA5">
      <w:pPr>
        <w:numPr>
          <w:ilvl w:val="0"/>
          <w:numId w:val="204"/>
        </w:numPr>
        <w:tabs>
          <w:tab w:val="num" w:pos="2160"/>
        </w:tabs>
        <w:spacing w:before="120" w:line="300" w:lineRule="auto"/>
        <w:ind w:left="2160" w:hanging="540"/>
        <w:rPr>
          <w:szCs w:val="24"/>
        </w:rPr>
      </w:pPr>
      <w:r w:rsidRPr="0070348D">
        <w:rPr>
          <w:szCs w:val="24"/>
        </w:rPr>
        <w:t>Requirements signoff;</w:t>
      </w:r>
    </w:p>
    <w:p w14:paraId="16AEF197" w14:textId="77777777" w:rsidR="0070348D" w:rsidRPr="0070348D" w:rsidRDefault="0070348D" w:rsidP="00FE7AA5">
      <w:pPr>
        <w:numPr>
          <w:ilvl w:val="0"/>
          <w:numId w:val="204"/>
        </w:numPr>
        <w:tabs>
          <w:tab w:val="num" w:pos="2160"/>
        </w:tabs>
        <w:spacing w:before="120" w:line="300" w:lineRule="auto"/>
        <w:ind w:left="2160" w:hanging="540"/>
        <w:rPr>
          <w:szCs w:val="24"/>
        </w:rPr>
      </w:pPr>
      <w:r w:rsidRPr="0070348D">
        <w:rPr>
          <w:szCs w:val="24"/>
        </w:rPr>
        <w:t>Schedule of testing and training;</w:t>
      </w:r>
    </w:p>
    <w:p w14:paraId="5076F93C" w14:textId="77777777" w:rsidR="0070348D" w:rsidRPr="0070348D" w:rsidRDefault="0070348D" w:rsidP="00FE7AA5">
      <w:pPr>
        <w:numPr>
          <w:ilvl w:val="0"/>
          <w:numId w:val="204"/>
        </w:numPr>
        <w:tabs>
          <w:tab w:val="num" w:pos="2160"/>
        </w:tabs>
        <w:spacing w:before="120" w:line="300" w:lineRule="auto"/>
        <w:ind w:left="2160" w:hanging="540"/>
        <w:rPr>
          <w:szCs w:val="24"/>
        </w:rPr>
      </w:pPr>
      <w:r w:rsidRPr="0070348D">
        <w:rPr>
          <w:szCs w:val="24"/>
        </w:rPr>
        <w:t>Communication of expectations / specifications;</w:t>
      </w:r>
    </w:p>
    <w:p w14:paraId="7F44424B" w14:textId="77777777" w:rsidR="0070348D" w:rsidRPr="0070348D" w:rsidRDefault="0070348D" w:rsidP="00FE7AA5">
      <w:pPr>
        <w:numPr>
          <w:ilvl w:val="0"/>
          <w:numId w:val="204"/>
        </w:numPr>
        <w:tabs>
          <w:tab w:val="num" w:pos="2160"/>
        </w:tabs>
        <w:spacing w:before="120" w:line="300" w:lineRule="auto"/>
        <w:ind w:left="2160" w:hanging="540"/>
        <w:rPr>
          <w:szCs w:val="24"/>
        </w:rPr>
      </w:pPr>
      <w:r w:rsidRPr="0070348D">
        <w:rPr>
          <w:szCs w:val="24"/>
        </w:rPr>
        <w:t>Release of required documentation;</w:t>
      </w:r>
    </w:p>
    <w:p w14:paraId="78B02CBB" w14:textId="77777777" w:rsidR="0070348D" w:rsidRPr="0070348D" w:rsidRDefault="0070348D" w:rsidP="00FE7AA5">
      <w:pPr>
        <w:numPr>
          <w:ilvl w:val="0"/>
          <w:numId w:val="204"/>
        </w:numPr>
        <w:tabs>
          <w:tab w:val="num" w:pos="2160"/>
        </w:tabs>
        <w:spacing w:before="120" w:line="300" w:lineRule="auto"/>
        <w:ind w:left="2160" w:hanging="540"/>
        <w:rPr>
          <w:szCs w:val="24"/>
        </w:rPr>
      </w:pPr>
      <w:r w:rsidRPr="0070348D">
        <w:rPr>
          <w:szCs w:val="24"/>
        </w:rPr>
        <w:t>System release dates.</w:t>
      </w:r>
    </w:p>
    <w:p w14:paraId="19B0FAF2" w14:textId="77777777" w:rsidR="0070348D" w:rsidRPr="0070348D" w:rsidRDefault="0070348D" w:rsidP="00FE7AA5">
      <w:pPr>
        <w:numPr>
          <w:ilvl w:val="0"/>
          <w:numId w:val="202"/>
        </w:numPr>
        <w:tabs>
          <w:tab w:val="clear" w:pos="1800"/>
          <w:tab w:val="num" w:pos="1440"/>
        </w:tabs>
        <w:spacing w:before="120" w:line="300" w:lineRule="auto"/>
        <w:ind w:left="720" w:hanging="540"/>
      </w:pPr>
      <w:r w:rsidRPr="0070348D">
        <w:t>All Market Participant-impacting or Market Participant-facing change initiatives are classified as minor, minor-informational, medium, major or emergency changes. The Market Operator will make the initial determination to then be reviewed by the MCUF.  The MCUF will routinely review and discuss initiatives classified as minor, medium, major and emergency, and alternative timelines will be recommended, depending on the scope of the individual projects.  The Market Operator will maintain a list of system changes and their associated classifications for discussion and coordination with the MCUF.</w:t>
      </w:r>
    </w:p>
    <w:p w14:paraId="3597D6E1" w14:textId="77777777" w:rsidR="0070348D" w:rsidRPr="0070348D" w:rsidRDefault="0070348D" w:rsidP="00FE7AA5">
      <w:pPr>
        <w:numPr>
          <w:ilvl w:val="0"/>
          <w:numId w:val="205"/>
        </w:numPr>
        <w:tabs>
          <w:tab w:val="num" w:pos="1440"/>
        </w:tabs>
        <w:spacing w:before="120" w:line="300" w:lineRule="auto"/>
        <w:ind w:left="1454" w:hanging="547"/>
        <w:rPr>
          <w:szCs w:val="24"/>
        </w:rPr>
      </w:pPr>
      <w:r w:rsidRPr="0070348D">
        <w:rPr>
          <w:b/>
          <w:szCs w:val="24"/>
        </w:rPr>
        <w:t>Minor-Informational Change</w:t>
      </w:r>
      <w:r w:rsidRPr="0070348D">
        <w:rPr>
          <w:szCs w:val="24"/>
        </w:rPr>
        <w:t xml:space="preserve"> – A change to a Market Operator system correcting or changing existing functionality that does not require Market Participant action and is not visible to Market Participants.  An example of a minor-informational change is an update to a system to address a non-Market Participant-facing defect.  For minor-informational changes, the Market Operator is required to notify Market Participants at least two (2) days prior to implementation in the Market Participant testing and production environments. </w:t>
      </w:r>
    </w:p>
    <w:p w14:paraId="1D1B3BB9" w14:textId="77777777" w:rsidR="0070348D" w:rsidRPr="0070348D" w:rsidRDefault="0070348D" w:rsidP="00FE7AA5">
      <w:pPr>
        <w:numPr>
          <w:ilvl w:val="0"/>
          <w:numId w:val="205"/>
        </w:numPr>
        <w:tabs>
          <w:tab w:val="num" w:pos="1440"/>
        </w:tabs>
        <w:spacing w:before="120" w:line="300" w:lineRule="auto"/>
        <w:ind w:left="1454" w:hanging="547"/>
        <w:rPr>
          <w:szCs w:val="24"/>
        </w:rPr>
      </w:pPr>
      <w:r w:rsidRPr="0070348D">
        <w:rPr>
          <w:b/>
          <w:szCs w:val="24"/>
        </w:rPr>
        <w:t xml:space="preserve">Minor Change </w:t>
      </w:r>
      <w:r w:rsidRPr="0070348D">
        <w:rPr>
          <w:szCs w:val="24"/>
        </w:rPr>
        <w:t>– A Market Participant-facing change to a Market Operator system that corrects or changes existing functionality but does not require Market Participants to make any changes to their systems, nor test the new functionality in a coordinated fashion with the Market Operator.  An example of a minor Market Participant-facing change would be an enhancement to Market Participant accessible web page that includes adding newly available options or functionality.  For minor Market Participant-facing changes, the Market Operator is required to notify Market Participants at least one (1) week prior in the Market Participant testing environment and two (2) weeks prior to implementation in the production environment.</w:t>
      </w:r>
    </w:p>
    <w:p w14:paraId="38CEF4B6" w14:textId="77777777" w:rsidR="0070348D" w:rsidRPr="0070348D" w:rsidRDefault="0070348D" w:rsidP="00FE7AA5">
      <w:pPr>
        <w:numPr>
          <w:ilvl w:val="0"/>
          <w:numId w:val="205"/>
        </w:numPr>
        <w:tabs>
          <w:tab w:val="num" w:pos="1440"/>
        </w:tabs>
        <w:spacing w:before="120" w:line="300" w:lineRule="auto"/>
        <w:ind w:left="1454" w:hanging="547"/>
      </w:pPr>
      <w:r w:rsidRPr="0070348D">
        <w:rPr>
          <w:b/>
          <w:bCs/>
        </w:rPr>
        <w:t>Medium Change</w:t>
      </w:r>
      <w:r w:rsidRPr="0070348D">
        <w:t xml:space="preserve"> – A Market Participant-impacting change to a Market Operator system that involves changes to system interfaces between the Market Operator and Market Participants, such as changes to XML file specifications or Application Programmable Interfaces (API). The process for interface changes must allow sufficient time for Market Participants to assess the impact of the change to their systems, make appropriate revisions, and complete testing in an offline environment, where applicable.  The Market Operator is required to notify Market Participants at least two (2) weeks prior in the Market Participant testing environment and six (6) weeks prior in the production environment, or as defined and agreed to by the MCUF.</w:t>
      </w:r>
    </w:p>
    <w:p w14:paraId="768EAF0C" w14:textId="77777777" w:rsidR="0070348D" w:rsidRPr="0070348D" w:rsidRDefault="0070348D" w:rsidP="00FE7AA5">
      <w:pPr>
        <w:numPr>
          <w:ilvl w:val="0"/>
          <w:numId w:val="205"/>
        </w:numPr>
        <w:tabs>
          <w:tab w:val="num" w:pos="1440"/>
        </w:tabs>
        <w:spacing w:before="120" w:line="300" w:lineRule="auto"/>
        <w:ind w:left="1454" w:hanging="547"/>
        <w:rPr>
          <w:szCs w:val="24"/>
        </w:rPr>
      </w:pPr>
      <w:r w:rsidRPr="0070348D">
        <w:rPr>
          <w:b/>
          <w:szCs w:val="24"/>
        </w:rPr>
        <w:t>Major Change</w:t>
      </w:r>
      <w:r w:rsidRPr="0070348D">
        <w:rPr>
          <w:szCs w:val="24"/>
        </w:rPr>
        <w:t xml:space="preserve"> – A Market Participant-impacting change to a Market Operator system that introduces a new Market Participant-facing application, major system functionality or wholesale process changes. These changes will always be managed by the Market Operator as projects, with milestones defined on the plan that is updated quarterly, and will include Market Participant participation, coordination, and testing throughout the project phases.  For major changes that require the development of new applications or interfaces by Market Participants, the Market Operator is required to coordinate the project schedule by means of the MCUF to determine the appropriate lead times for documentation, testing, and implementation. </w:t>
      </w:r>
    </w:p>
    <w:p w14:paraId="5ADE63C2" w14:textId="77777777" w:rsidR="0070348D" w:rsidRPr="0070348D" w:rsidRDefault="0070348D" w:rsidP="00FE7AA5">
      <w:pPr>
        <w:numPr>
          <w:ilvl w:val="0"/>
          <w:numId w:val="205"/>
        </w:numPr>
        <w:tabs>
          <w:tab w:val="num" w:pos="1440"/>
        </w:tabs>
        <w:spacing w:before="120" w:line="300" w:lineRule="auto"/>
        <w:ind w:left="1454" w:hanging="547"/>
      </w:pPr>
      <w:r w:rsidRPr="0070348D">
        <w:rPr>
          <w:b/>
          <w:bCs/>
        </w:rPr>
        <w:t>Emergency Change</w:t>
      </w:r>
      <w:r w:rsidRPr="0070348D">
        <w:t xml:space="preserve"> – A Market Participant-impacting or Market Participant-facing change to a Market Operator system that is required to immediately restore or correct existing functionality.  If changes to Market Participant systems or processes are required as a result of an Emergency Change, the Market Operator will make the necessary changes and send notification of the change as soon as practicable following the resolution of the Emergency Change.</w:t>
      </w:r>
    </w:p>
    <w:p w14:paraId="20A5E1D2" w14:textId="77777777" w:rsidR="0070348D" w:rsidRPr="0070348D" w:rsidRDefault="0070348D" w:rsidP="00F32B58">
      <w:pPr>
        <w:spacing w:before="120" w:line="300" w:lineRule="auto"/>
      </w:pPr>
      <w:r w:rsidRPr="0070348D">
        <w:rPr>
          <w:szCs w:val="24"/>
        </w:rPr>
        <w:t xml:space="preserve">In addition to the change types listed above, routine maintenance will be communicated to Market Participants.  Routine work is defined as work on a Market Participant-facing Market Operator system to perform general maintenance/housekeeping.  Examples of routine maintenance include server patching or renewing a server certificate.  For routine maintenance, the Market Operator is required to notify Market Participants at least two (2) days prior to implementation in the Market Participant testing and production environments. </w:t>
      </w:r>
    </w:p>
    <w:p w14:paraId="22215AE8" w14:textId="77777777" w:rsidR="009B43EC" w:rsidRDefault="009B43EC">
      <w:pPr>
        <w:spacing w:after="0"/>
        <w:jc w:val="left"/>
        <w:rPr>
          <w:szCs w:val="24"/>
        </w:rPr>
      </w:pPr>
      <w:r>
        <w:rPr>
          <w:szCs w:val="24"/>
        </w:rPr>
        <w:br w:type="page"/>
      </w:r>
    </w:p>
    <w:p w14:paraId="0445CFA8" w14:textId="77777777" w:rsidR="009B43EC" w:rsidRPr="00970A16" w:rsidRDefault="009B43EC" w:rsidP="009B43EC">
      <w:pPr>
        <w:keepNext/>
        <w:spacing w:after="240"/>
        <w:outlineLvl w:val="0"/>
        <w:rPr>
          <w:b/>
          <w:kern w:val="28"/>
          <w:sz w:val="34"/>
        </w:rPr>
      </w:pPr>
      <w:bookmarkStart w:id="8417" w:name="_Toc213772169"/>
      <w:r w:rsidRPr="00970A16">
        <w:rPr>
          <w:b/>
          <w:kern w:val="28"/>
          <w:sz w:val="34"/>
        </w:rPr>
        <w:t>Appendix A</w:t>
      </w:r>
      <w:r w:rsidRPr="00970A16">
        <w:rPr>
          <w:b/>
          <w:kern w:val="28"/>
          <w:sz w:val="34"/>
        </w:rPr>
        <w:tab/>
        <w:t>Meter Technical Protocols</w:t>
      </w:r>
      <w:bookmarkEnd w:id="8417"/>
    </w:p>
    <w:p w14:paraId="053C0101" w14:textId="77777777" w:rsidR="009B43EC" w:rsidRPr="00970A16" w:rsidRDefault="009B43EC" w:rsidP="009B43EC">
      <w:pPr>
        <w:spacing w:after="60"/>
        <w:outlineLvl w:val="1"/>
        <w:rPr>
          <w:rFonts w:cs="Arial"/>
          <w:szCs w:val="24"/>
        </w:rPr>
        <w:sectPr w:rsidR="009B43EC" w:rsidRPr="00970A16" w:rsidSect="009B43EC">
          <w:pgSz w:w="12240" w:h="15840"/>
          <w:pgMar w:top="1728" w:right="1440" w:bottom="1728" w:left="1440" w:header="720" w:footer="720" w:gutter="0"/>
          <w:cols w:space="720"/>
        </w:sectPr>
      </w:pPr>
    </w:p>
    <w:p w14:paraId="69FF33D7" w14:textId="77777777" w:rsidR="009B43EC" w:rsidRPr="00970A16" w:rsidRDefault="009B43EC" w:rsidP="009B43EC">
      <w:pPr>
        <w:keepNext/>
        <w:spacing w:after="240"/>
        <w:ind w:left="630" w:hanging="630"/>
        <w:outlineLvl w:val="1"/>
        <w:rPr>
          <w:b/>
          <w:bCs/>
          <w:sz w:val="30"/>
        </w:rPr>
      </w:pPr>
      <w:bookmarkStart w:id="8418" w:name="_Toc159233598"/>
      <w:bookmarkStart w:id="8419" w:name="_Toc213772170"/>
      <w:r w:rsidRPr="00970A16">
        <w:rPr>
          <w:b/>
          <w:sz w:val="30"/>
        </w:rPr>
        <w:t>A.1</w:t>
      </w:r>
      <w:r w:rsidRPr="00970A16">
        <w:rPr>
          <w:b/>
          <w:sz w:val="30"/>
        </w:rPr>
        <w:tab/>
        <w:t>Scope</w:t>
      </w:r>
      <w:bookmarkEnd w:id="8418"/>
      <w:bookmarkEnd w:id="8419"/>
    </w:p>
    <w:p w14:paraId="47E7E852" w14:textId="35DFB566" w:rsidR="006B343D" w:rsidRPr="00970A16" w:rsidRDefault="006B343D" w:rsidP="006B343D">
      <w:pPr>
        <w:spacing w:line="300" w:lineRule="auto"/>
        <w:rPr>
          <w:szCs w:val="24"/>
        </w:rPr>
      </w:pPr>
      <w:r w:rsidRPr="00970A16">
        <w:rPr>
          <w:spacing w:val="-2"/>
          <w:szCs w:val="24"/>
        </w:rPr>
        <w:t xml:space="preserve">This </w:t>
      </w:r>
      <w:r w:rsidR="00320029">
        <w:rPr>
          <w:spacing w:val="-2"/>
          <w:szCs w:val="24"/>
        </w:rPr>
        <w:t>A</w:t>
      </w:r>
      <w:r w:rsidRPr="00970A16">
        <w:rPr>
          <w:spacing w:val="-2"/>
          <w:szCs w:val="24"/>
        </w:rPr>
        <w:t>ppendix</w:t>
      </w:r>
      <w:r w:rsidR="00D73B63">
        <w:rPr>
          <w:spacing w:val="-2"/>
          <w:szCs w:val="24"/>
        </w:rPr>
        <w:t xml:space="preserve"> A</w:t>
      </w:r>
      <w:r w:rsidRPr="00970A16">
        <w:rPr>
          <w:spacing w:val="-2"/>
          <w:szCs w:val="24"/>
        </w:rPr>
        <w:t xml:space="preserve"> </w:t>
      </w:r>
      <w:r>
        <w:rPr>
          <w:spacing w:val="-2"/>
          <w:szCs w:val="24"/>
        </w:rPr>
        <w:t>will</w:t>
      </w:r>
      <w:r w:rsidRPr="00970A16">
        <w:rPr>
          <w:spacing w:val="-2"/>
          <w:szCs w:val="24"/>
        </w:rPr>
        <w:t xml:space="preserve"> apply to Metering Equipment in </w:t>
      </w:r>
      <w:r>
        <w:rPr>
          <w:spacing w:val="-2"/>
          <w:szCs w:val="24"/>
        </w:rPr>
        <w:t>the</w:t>
      </w:r>
      <w:r w:rsidRPr="00970A16">
        <w:rPr>
          <w:spacing w:val="-2"/>
          <w:szCs w:val="24"/>
        </w:rPr>
        <w:t xml:space="preserve"> Markets+ Footprint, and the specifications and practices required to provide accurate metering of real power (kWh) electrical quantities for market settlement.  These guidelines are not applicable to measurements intended for local monitoring, station relaying, control, operation, or other uses. </w:t>
      </w:r>
    </w:p>
    <w:p w14:paraId="26C8657C" w14:textId="77777777" w:rsidR="006B343D" w:rsidRPr="00970A16" w:rsidRDefault="006B343D" w:rsidP="006B343D">
      <w:pPr>
        <w:keepNext/>
        <w:tabs>
          <w:tab w:val="left" w:pos="630"/>
        </w:tabs>
        <w:spacing w:after="240"/>
        <w:outlineLvl w:val="1"/>
        <w:rPr>
          <w:b/>
          <w:sz w:val="30"/>
        </w:rPr>
      </w:pPr>
      <w:bookmarkStart w:id="8420" w:name="_Toc76320624"/>
      <w:bookmarkStart w:id="8421" w:name="_Toc76962366"/>
      <w:bookmarkStart w:id="8422" w:name="_Toc104791713"/>
      <w:bookmarkStart w:id="8423" w:name="_Toc262561000"/>
      <w:bookmarkStart w:id="8424" w:name="_Toc263173485"/>
      <w:bookmarkStart w:id="8425" w:name="_Toc263173702"/>
      <w:bookmarkStart w:id="8426" w:name="_Toc263173892"/>
      <w:bookmarkStart w:id="8427" w:name="_Toc263174313"/>
      <w:bookmarkStart w:id="8428" w:name="_Toc263235217"/>
      <w:bookmarkStart w:id="8429" w:name="_Toc263235861"/>
      <w:bookmarkStart w:id="8430" w:name="_Toc263429663"/>
      <w:bookmarkStart w:id="8431" w:name="_Toc263795718"/>
      <w:bookmarkStart w:id="8432" w:name="_Toc266869899"/>
      <w:bookmarkStart w:id="8433" w:name="_Toc159233599"/>
      <w:bookmarkStart w:id="8434" w:name="_Toc213772171"/>
      <w:r w:rsidRPr="00970A16">
        <w:rPr>
          <w:b/>
          <w:sz w:val="30"/>
        </w:rPr>
        <w:t>A.2</w:t>
      </w:r>
      <w:r w:rsidRPr="00970A16">
        <w:rPr>
          <w:b/>
          <w:sz w:val="30"/>
        </w:rPr>
        <w:tab/>
        <w:t>Purpose</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14:paraId="70EA1BC3" w14:textId="623EDECC" w:rsidR="006B343D" w:rsidRPr="00970A16" w:rsidRDefault="006B343D" w:rsidP="006B343D">
      <w:pPr>
        <w:spacing w:line="300" w:lineRule="auto"/>
        <w:rPr>
          <w:szCs w:val="24"/>
        </w:rPr>
      </w:pPr>
      <w:r w:rsidRPr="00970A16">
        <w:rPr>
          <w:szCs w:val="24"/>
        </w:rPr>
        <w:t xml:space="preserve">This </w:t>
      </w:r>
      <w:r w:rsidR="00320029">
        <w:rPr>
          <w:szCs w:val="24"/>
        </w:rPr>
        <w:t>A</w:t>
      </w:r>
      <w:r w:rsidRPr="00970A16">
        <w:rPr>
          <w:szCs w:val="24"/>
        </w:rPr>
        <w:t>ppendix</w:t>
      </w:r>
      <w:r w:rsidR="00D73B63">
        <w:rPr>
          <w:szCs w:val="24"/>
        </w:rPr>
        <w:t xml:space="preserve"> A</w:t>
      </w:r>
      <w:r w:rsidRPr="00970A16">
        <w:rPr>
          <w:szCs w:val="24"/>
        </w:rPr>
        <w:t xml:space="preserve"> documents the metering technical standards for installation, maintenance</w:t>
      </w:r>
      <w:r>
        <w:rPr>
          <w:szCs w:val="24"/>
        </w:rPr>
        <w:t>,</w:t>
      </w:r>
      <w:r w:rsidRPr="00970A16">
        <w:rPr>
          <w:szCs w:val="24"/>
        </w:rPr>
        <w:t xml:space="preserve"> and validation of Metering Equipment utilized by the Market Participant to participate in Markets+.</w:t>
      </w:r>
    </w:p>
    <w:p w14:paraId="6038003F" w14:textId="77777777" w:rsidR="006B343D" w:rsidRPr="00970A16" w:rsidRDefault="006B343D" w:rsidP="006B343D">
      <w:pPr>
        <w:keepNext/>
        <w:spacing w:after="240"/>
        <w:outlineLvl w:val="1"/>
        <w:rPr>
          <w:b/>
          <w:sz w:val="30"/>
        </w:rPr>
      </w:pPr>
      <w:bookmarkStart w:id="8435" w:name="_Toc213772172"/>
      <w:r w:rsidRPr="00970A16">
        <w:rPr>
          <w:b/>
          <w:sz w:val="30"/>
        </w:rPr>
        <w:t>A.3 Definitions</w:t>
      </w:r>
      <w:bookmarkEnd w:id="8435"/>
    </w:p>
    <w:p w14:paraId="5F6E6D31" w14:textId="20F622A9" w:rsidR="006B343D" w:rsidRPr="00970A16" w:rsidRDefault="006B343D" w:rsidP="006B343D">
      <w:pPr>
        <w:spacing w:line="300" w:lineRule="auto"/>
        <w:rPr>
          <w:szCs w:val="24"/>
        </w:rPr>
      </w:pPr>
      <w:r w:rsidRPr="00970A16">
        <w:rPr>
          <w:szCs w:val="24"/>
        </w:rPr>
        <w:t xml:space="preserve">This </w:t>
      </w:r>
      <w:r w:rsidR="00320029">
        <w:rPr>
          <w:szCs w:val="24"/>
        </w:rPr>
        <w:t>A</w:t>
      </w:r>
      <w:r w:rsidRPr="00970A16">
        <w:rPr>
          <w:szCs w:val="24"/>
        </w:rPr>
        <w:t xml:space="preserve">ppendix </w:t>
      </w:r>
      <w:r w:rsidR="00D73B63">
        <w:rPr>
          <w:szCs w:val="24"/>
        </w:rPr>
        <w:t>A</w:t>
      </w:r>
      <w:r w:rsidRPr="00970A16">
        <w:rPr>
          <w:szCs w:val="24"/>
        </w:rPr>
        <w:t xml:space="preserve"> uses the terms as defined in Section </w:t>
      </w:r>
      <w:r w:rsidRPr="00970A16">
        <w:rPr>
          <w:szCs w:val="24"/>
        </w:rPr>
        <w:fldChar w:fldCharType="begin"/>
      </w:r>
      <w:r w:rsidRPr="00970A16">
        <w:rPr>
          <w:szCs w:val="24"/>
        </w:rPr>
        <w:instrText xml:space="preserve"> REF _Ref263229127 \r \h </w:instrText>
      </w:r>
      <w:r w:rsidRPr="00970A16">
        <w:rPr>
          <w:szCs w:val="24"/>
        </w:rPr>
      </w:r>
      <w:r w:rsidRPr="00970A16">
        <w:rPr>
          <w:szCs w:val="24"/>
        </w:rPr>
        <w:fldChar w:fldCharType="separate"/>
      </w:r>
      <w:r w:rsidRPr="00970A16">
        <w:rPr>
          <w:szCs w:val="24"/>
        </w:rPr>
        <w:t>1</w:t>
      </w:r>
      <w:r w:rsidRPr="00970A16">
        <w:rPr>
          <w:szCs w:val="24"/>
        </w:rPr>
        <w:fldChar w:fldCharType="end"/>
      </w:r>
      <w:r w:rsidRPr="00970A16">
        <w:rPr>
          <w:szCs w:val="24"/>
        </w:rPr>
        <w:t xml:space="preserve"> of the Markets+ Protocols.</w:t>
      </w:r>
    </w:p>
    <w:p w14:paraId="2A5FD7C1" w14:textId="77777777" w:rsidR="006B343D" w:rsidRPr="00970A16" w:rsidRDefault="006B343D" w:rsidP="006B343D">
      <w:pPr>
        <w:keepNext/>
        <w:spacing w:after="240"/>
        <w:outlineLvl w:val="1"/>
        <w:rPr>
          <w:b/>
          <w:sz w:val="30"/>
        </w:rPr>
      </w:pPr>
      <w:bookmarkStart w:id="8436" w:name="_Toc76320627"/>
      <w:bookmarkStart w:id="8437" w:name="_Toc76962369"/>
      <w:bookmarkStart w:id="8438" w:name="_Toc104791716"/>
      <w:bookmarkStart w:id="8439" w:name="_Toc262561002"/>
      <w:bookmarkStart w:id="8440" w:name="_Toc263173487"/>
      <w:bookmarkStart w:id="8441" w:name="_Toc263173704"/>
      <w:bookmarkStart w:id="8442" w:name="_Toc263173894"/>
      <w:bookmarkStart w:id="8443" w:name="_Toc263174315"/>
      <w:bookmarkStart w:id="8444" w:name="_Toc263235219"/>
      <w:bookmarkStart w:id="8445" w:name="_Toc263235863"/>
      <w:bookmarkStart w:id="8446" w:name="_Toc263429665"/>
      <w:bookmarkStart w:id="8447" w:name="_Toc263795720"/>
      <w:bookmarkStart w:id="8448" w:name="_Toc266869901"/>
      <w:bookmarkStart w:id="8449" w:name="_Toc159233601"/>
      <w:bookmarkStart w:id="8450" w:name="_Toc213772173"/>
      <w:r w:rsidRPr="00970A16">
        <w:rPr>
          <w:b/>
          <w:sz w:val="30"/>
        </w:rPr>
        <w:t>A.4 Applicable Standards</w:t>
      </w:r>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14:paraId="39E4D09E" w14:textId="77777777" w:rsidR="006B343D" w:rsidRPr="00970A16" w:rsidRDefault="006B343D" w:rsidP="006B343D">
      <w:pPr>
        <w:spacing w:before="120" w:after="60"/>
        <w:ind w:left="2160" w:hanging="1613"/>
        <w:rPr>
          <w:spacing w:val="-2"/>
          <w:szCs w:val="24"/>
        </w:rPr>
      </w:pPr>
      <w:r w:rsidRPr="00970A16">
        <w:rPr>
          <w:spacing w:val="-2"/>
          <w:szCs w:val="24"/>
        </w:rPr>
        <w:t>ANSI C12.1</w:t>
      </w:r>
      <w:r w:rsidRPr="00970A16">
        <w:rPr>
          <w:spacing w:val="-2"/>
          <w:szCs w:val="24"/>
        </w:rPr>
        <w:tab/>
        <w:t>American National Standard</w:t>
      </w:r>
      <w:r>
        <w:rPr>
          <w:spacing w:val="-2"/>
          <w:szCs w:val="24"/>
        </w:rPr>
        <w:t xml:space="preserve"> for</w:t>
      </w:r>
      <w:r w:rsidRPr="00010328">
        <w:rPr>
          <w:spacing w:val="-2"/>
          <w:szCs w:val="24"/>
        </w:rPr>
        <w:t xml:space="preserve"> Electric</w:t>
      </w:r>
      <w:r w:rsidRPr="000A1771">
        <w:rPr>
          <w:spacing w:val="-2"/>
          <w:szCs w:val="24"/>
        </w:rPr>
        <w:t xml:space="preserve"> Meters - Code for Electricity Metering</w:t>
      </w:r>
    </w:p>
    <w:p w14:paraId="1A241E82" w14:textId="77777777" w:rsidR="006B343D" w:rsidRPr="00970A16" w:rsidRDefault="006B343D" w:rsidP="006B343D">
      <w:pPr>
        <w:spacing w:after="60"/>
        <w:ind w:left="2160" w:hanging="1620"/>
        <w:rPr>
          <w:spacing w:val="-2"/>
          <w:szCs w:val="24"/>
        </w:rPr>
      </w:pPr>
      <w:r w:rsidRPr="00970A16">
        <w:rPr>
          <w:spacing w:val="-2"/>
          <w:szCs w:val="24"/>
        </w:rPr>
        <w:t>ANSI C12.7</w:t>
      </w:r>
      <w:r w:rsidRPr="00970A16">
        <w:rPr>
          <w:spacing w:val="-2"/>
          <w:szCs w:val="24"/>
        </w:rPr>
        <w:tab/>
        <w:t>American National Standard Requirements for Watthour Meter Sockets</w:t>
      </w:r>
    </w:p>
    <w:p w14:paraId="76B32449" w14:textId="77777777" w:rsidR="006B343D" w:rsidRPr="00970A16" w:rsidRDefault="006B343D" w:rsidP="006B343D">
      <w:pPr>
        <w:spacing w:after="60"/>
        <w:ind w:left="2160" w:hanging="1620"/>
        <w:rPr>
          <w:spacing w:val="-2"/>
          <w:szCs w:val="24"/>
        </w:rPr>
      </w:pPr>
      <w:r w:rsidRPr="00970A16">
        <w:rPr>
          <w:spacing w:val="-2"/>
          <w:szCs w:val="24"/>
        </w:rPr>
        <w:t>ANSI C12.9</w:t>
      </w:r>
      <w:r w:rsidRPr="00970A16">
        <w:rPr>
          <w:spacing w:val="-2"/>
          <w:szCs w:val="24"/>
        </w:rPr>
        <w:tab/>
        <w:t xml:space="preserve">American National Standard for Test Switches and Plugs for Transformer-Rated Meters </w:t>
      </w:r>
    </w:p>
    <w:p w14:paraId="5183F429" w14:textId="77777777" w:rsidR="006B343D" w:rsidRPr="00970A16" w:rsidRDefault="006B343D" w:rsidP="006B343D">
      <w:pPr>
        <w:spacing w:after="60"/>
        <w:ind w:left="2160" w:hanging="1620"/>
        <w:rPr>
          <w:spacing w:val="-2"/>
          <w:szCs w:val="24"/>
        </w:rPr>
      </w:pPr>
      <w:r w:rsidRPr="00970A16">
        <w:rPr>
          <w:spacing w:val="-2"/>
          <w:szCs w:val="24"/>
        </w:rPr>
        <w:t>ANSI C12.10</w:t>
      </w:r>
      <w:r w:rsidRPr="00970A16">
        <w:rPr>
          <w:spacing w:val="-2"/>
          <w:szCs w:val="24"/>
        </w:rPr>
        <w:tab/>
        <w:t>American National Standard for Physical Aspects of Watthour Meters</w:t>
      </w:r>
      <w:r>
        <w:rPr>
          <w:spacing w:val="-2"/>
          <w:szCs w:val="24"/>
        </w:rPr>
        <w:t xml:space="preserve"> – Safety Standard</w:t>
      </w:r>
    </w:p>
    <w:p w14:paraId="4E3ABB9C" w14:textId="77777777" w:rsidR="006B343D" w:rsidRPr="00970A16" w:rsidRDefault="006B343D" w:rsidP="006B343D">
      <w:pPr>
        <w:tabs>
          <w:tab w:val="left" w:pos="2160"/>
        </w:tabs>
        <w:spacing w:after="60"/>
        <w:ind w:left="2160" w:hanging="1620"/>
        <w:rPr>
          <w:spacing w:val="-2"/>
          <w:szCs w:val="24"/>
        </w:rPr>
      </w:pPr>
      <w:r w:rsidRPr="00970A16">
        <w:rPr>
          <w:spacing w:val="-2"/>
          <w:szCs w:val="24"/>
        </w:rPr>
        <w:t>ANSI C12.11</w:t>
      </w:r>
      <w:r w:rsidRPr="00970A16">
        <w:rPr>
          <w:spacing w:val="-2"/>
          <w:szCs w:val="24"/>
        </w:rPr>
        <w:tab/>
        <w:t xml:space="preserve">American National Standard for Instrument Transformers </w:t>
      </w:r>
      <w:r>
        <w:rPr>
          <w:spacing w:val="-2"/>
          <w:szCs w:val="24"/>
        </w:rPr>
        <w:t>f</w:t>
      </w:r>
      <w:r w:rsidRPr="00970A16">
        <w:rPr>
          <w:spacing w:val="-2"/>
          <w:szCs w:val="24"/>
        </w:rPr>
        <w:t>or Revenue Metering</w:t>
      </w:r>
      <w:r>
        <w:rPr>
          <w:spacing w:val="-2"/>
          <w:szCs w:val="24"/>
        </w:rPr>
        <w:t>:</w:t>
      </w:r>
      <w:r w:rsidRPr="00970A16">
        <w:rPr>
          <w:spacing w:val="-2"/>
          <w:szCs w:val="24"/>
        </w:rPr>
        <w:t xml:space="preserve"> 10kV BIL through 350 kV BIL (0.6 kV NSV through 69 kV NSV)</w:t>
      </w:r>
    </w:p>
    <w:p w14:paraId="3E3C2D08" w14:textId="77777777" w:rsidR="006B343D" w:rsidRPr="00970A16" w:rsidRDefault="006B343D" w:rsidP="006B343D">
      <w:pPr>
        <w:tabs>
          <w:tab w:val="left" w:pos="2160"/>
        </w:tabs>
        <w:spacing w:after="60"/>
        <w:ind w:left="2160" w:hanging="1620"/>
        <w:rPr>
          <w:spacing w:val="-2"/>
          <w:szCs w:val="24"/>
        </w:rPr>
      </w:pPr>
      <w:r w:rsidRPr="00970A16">
        <w:rPr>
          <w:spacing w:val="-2"/>
          <w:szCs w:val="24"/>
        </w:rPr>
        <w:t>ANSI C93.1</w:t>
      </w:r>
      <w:r w:rsidRPr="00970A16">
        <w:rPr>
          <w:spacing w:val="-2"/>
          <w:szCs w:val="24"/>
        </w:rPr>
        <w:tab/>
        <w:t>Standard Requirements for Power Line Coupling Carrier Capacitors and Coupling Capacitor Voltage Transformers</w:t>
      </w:r>
    </w:p>
    <w:p w14:paraId="2598722F" w14:textId="77777777" w:rsidR="006B343D" w:rsidRDefault="006B343D" w:rsidP="006B343D">
      <w:pPr>
        <w:spacing w:after="60"/>
        <w:ind w:left="2160" w:hanging="1620"/>
        <w:rPr>
          <w:spacing w:val="-2"/>
          <w:szCs w:val="24"/>
        </w:rPr>
      </w:pPr>
      <w:r w:rsidRPr="00970A16">
        <w:rPr>
          <w:spacing w:val="-2"/>
          <w:szCs w:val="24"/>
        </w:rPr>
        <w:t>IEEE Std 100</w:t>
      </w:r>
      <w:r w:rsidRPr="00970A16">
        <w:rPr>
          <w:spacing w:val="-2"/>
          <w:szCs w:val="24"/>
        </w:rPr>
        <w:tab/>
        <w:t>The New IEEE Standard Dictionary of Electrical and Electronic Terms</w:t>
      </w:r>
    </w:p>
    <w:p w14:paraId="64614C97" w14:textId="77777777" w:rsidR="006B343D" w:rsidRPr="00970A16" w:rsidRDefault="006B343D" w:rsidP="006B343D">
      <w:pPr>
        <w:spacing w:after="60"/>
        <w:ind w:left="2160" w:hanging="1620"/>
        <w:rPr>
          <w:spacing w:val="-2"/>
          <w:szCs w:val="24"/>
        </w:rPr>
      </w:pPr>
      <w:r w:rsidRPr="00970A16">
        <w:rPr>
          <w:spacing w:val="-2"/>
          <w:szCs w:val="24"/>
        </w:rPr>
        <w:t>IEEE C57.1</w:t>
      </w:r>
      <w:r>
        <w:rPr>
          <w:spacing w:val="-2"/>
          <w:szCs w:val="24"/>
        </w:rPr>
        <w:t>3</w:t>
      </w:r>
      <w:r>
        <w:rPr>
          <w:spacing w:val="-2"/>
          <w:szCs w:val="24"/>
        </w:rPr>
        <w:tab/>
      </w:r>
      <w:r w:rsidRPr="00970A16">
        <w:rPr>
          <w:spacing w:val="-2"/>
          <w:szCs w:val="24"/>
        </w:rPr>
        <w:t>IEEE Standard Requirement for Instrument Transformers</w:t>
      </w:r>
    </w:p>
    <w:p w14:paraId="03C41CB1" w14:textId="77777777" w:rsidR="006B343D" w:rsidRPr="00970A16" w:rsidRDefault="006B343D" w:rsidP="006B343D">
      <w:pPr>
        <w:spacing w:after="60"/>
        <w:ind w:left="2160" w:hanging="1620"/>
        <w:rPr>
          <w:spacing w:val="-2"/>
          <w:szCs w:val="24"/>
        </w:rPr>
      </w:pPr>
      <w:r w:rsidRPr="00970A16">
        <w:rPr>
          <w:spacing w:val="-2"/>
          <w:szCs w:val="24"/>
        </w:rPr>
        <w:t>IEEE C57.1</w:t>
      </w:r>
      <w:r>
        <w:rPr>
          <w:spacing w:val="-2"/>
          <w:szCs w:val="24"/>
        </w:rPr>
        <w:t>3.6</w:t>
      </w:r>
      <w:r>
        <w:rPr>
          <w:spacing w:val="-2"/>
          <w:szCs w:val="24"/>
        </w:rPr>
        <w:tab/>
      </w:r>
      <w:r w:rsidRPr="00970A16">
        <w:rPr>
          <w:spacing w:val="-2"/>
          <w:szCs w:val="24"/>
        </w:rPr>
        <w:t>IEEE Standard Requirement for</w:t>
      </w:r>
      <w:r>
        <w:rPr>
          <w:spacing w:val="-2"/>
          <w:szCs w:val="24"/>
        </w:rPr>
        <w:t xml:space="preserve"> High Accuracy</w:t>
      </w:r>
      <w:r w:rsidRPr="00970A16">
        <w:rPr>
          <w:spacing w:val="-2"/>
          <w:szCs w:val="24"/>
        </w:rPr>
        <w:t xml:space="preserve"> Instrument Transformers</w:t>
      </w:r>
    </w:p>
    <w:p w14:paraId="158D71FE" w14:textId="77777777" w:rsidR="006B343D" w:rsidRPr="00970A16" w:rsidRDefault="006B343D" w:rsidP="006B343D">
      <w:pPr>
        <w:tabs>
          <w:tab w:val="left" w:pos="2160"/>
        </w:tabs>
        <w:spacing w:after="60"/>
        <w:ind w:left="2160" w:hanging="1620"/>
        <w:rPr>
          <w:spacing w:val="-2"/>
          <w:szCs w:val="24"/>
        </w:rPr>
      </w:pPr>
      <w:r w:rsidRPr="00970A16">
        <w:rPr>
          <w:spacing w:val="-2"/>
          <w:szCs w:val="24"/>
        </w:rPr>
        <w:t>IEEE C37.90.1</w:t>
      </w:r>
      <w:r w:rsidRPr="00970A16">
        <w:rPr>
          <w:spacing w:val="-2"/>
          <w:szCs w:val="24"/>
        </w:rPr>
        <w:tab/>
        <w:t>IEEE Standard Surge Withstand (SWC) Tests for Relays and Relay Systems Associated with Electric Power Apparatus</w:t>
      </w:r>
    </w:p>
    <w:p w14:paraId="6E5ADFE2" w14:textId="77777777" w:rsidR="006B343D" w:rsidRPr="00970A16" w:rsidRDefault="006B343D" w:rsidP="006B343D">
      <w:pPr>
        <w:tabs>
          <w:tab w:val="left" w:pos="2160"/>
        </w:tabs>
        <w:spacing w:after="60"/>
        <w:ind w:left="2160" w:hanging="1620"/>
        <w:rPr>
          <w:spacing w:val="-2"/>
          <w:szCs w:val="24"/>
        </w:rPr>
      </w:pPr>
      <w:r w:rsidRPr="00970A16">
        <w:rPr>
          <w:spacing w:val="-2"/>
          <w:szCs w:val="24"/>
        </w:rPr>
        <w:t>NFPA 70</w:t>
      </w:r>
      <w:r w:rsidRPr="00970A16">
        <w:rPr>
          <w:spacing w:val="-2"/>
          <w:szCs w:val="24"/>
        </w:rPr>
        <w:tab/>
        <w:t>National Electrical Code® 2011 edition, Chapter 1 General, Section II. 600 Volts, Nominal, or Less, Article 110.26 Spaces About Electrical Equipment</w:t>
      </w:r>
    </w:p>
    <w:p w14:paraId="2F4BCD4D" w14:textId="77777777" w:rsidR="006B343D" w:rsidRPr="00970A16" w:rsidRDefault="006B343D" w:rsidP="006B343D">
      <w:pPr>
        <w:keepNext/>
        <w:tabs>
          <w:tab w:val="left" w:pos="990"/>
        </w:tabs>
        <w:spacing w:after="240"/>
        <w:outlineLvl w:val="1"/>
        <w:rPr>
          <w:b/>
          <w:sz w:val="30"/>
        </w:rPr>
      </w:pPr>
      <w:bookmarkStart w:id="8451" w:name="_Toc76320628"/>
      <w:bookmarkStart w:id="8452" w:name="_Toc76962370"/>
      <w:bookmarkStart w:id="8453" w:name="_Toc104791717"/>
      <w:r w:rsidRPr="00970A16">
        <w:rPr>
          <w:b/>
          <w:spacing w:val="-2"/>
          <w:sz w:val="20"/>
        </w:rPr>
        <w:br w:type="page"/>
      </w:r>
      <w:bookmarkStart w:id="8454" w:name="_Toc262561003"/>
      <w:bookmarkStart w:id="8455" w:name="_Toc263173488"/>
      <w:bookmarkStart w:id="8456" w:name="_Toc263173705"/>
      <w:bookmarkStart w:id="8457" w:name="_Toc263173895"/>
      <w:bookmarkStart w:id="8458" w:name="_Toc263174316"/>
      <w:bookmarkStart w:id="8459" w:name="_Toc263235220"/>
      <w:bookmarkStart w:id="8460" w:name="_Toc263235864"/>
      <w:bookmarkStart w:id="8461" w:name="_Toc263429666"/>
      <w:bookmarkStart w:id="8462" w:name="_Toc263795721"/>
      <w:bookmarkStart w:id="8463" w:name="_Toc266869902"/>
      <w:bookmarkStart w:id="8464" w:name="_Toc159233602"/>
      <w:bookmarkStart w:id="8465" w:name="_Toc213772174"/>
      <w:r w:rsidRPr="00970A16">
        <w:rPr>
          <w:b/>
          <w:sz w:val="30"/>
        </w:rPr>
        <w:t>A.5</w:t>
      </w:r>
      <w:r w:rsidRPr="00970A16">
        <w:rPr>
          <w:b/>
          <w:spacing w:val="-2"/>
          <w:sz w:val="20"/>
        </w:rPr>
        <w:tab/>
      </w:r>
      <w:r w:rsidRPr="00970A16">
        <w:rPr>
          <w:b/>
          <w:sz w:val="30"/>
        </w:rPr>
        <w:t>General</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p>
    <w:p w14:paraId="0A0FC18B" w14:textId="77777777" w:rsidR="006B343D" w:rsidRPr="00970A16" w:rsidRDefault="006B343D" w:rsidP="006B343D">
      <w:pPr>
        <w:keepNext/>
        <w:spacing w:after="240"/>
        <w:outlineLvl w:val="2"/>
        <w:rPr>
          <w:b/>
          <w:sz w:val="26"/>
        </w:rPr>
      </w:pPr>
      <w:bookmarkStart w:id="8466" w:name="_Toc159233603"/>
      <w:bookmarkStart w:id="8467" w:name="_Toc213772175"/>
      <w:r w:rsidRPr="00970A16">
        <w:rPr>
          <w:b/>
          <w:sz w:val="26"/>
        </w:rPr>
        <w:t>A.5.1 Requirements Applicability Date for Existing and New Market Participants’ Metering Equipment</w:t>
      </w:r>
      <w:bookmarkEnd w:id="8466"/>
      <w:bookmarkEnd w:id="8467"/>
      <w:r w:rsidRPr="00970A16">
        <w:rPr>
          <w:b/>
          <w:sz w:val="26"/>
        </w:rPr>
        <w:t xml:space="preserve"> </w:t>
      </w:r>
    </w:p>
    <w:p w14:paraId="19809850" w14:textId="1D9C6C1D" w:rsidR="006B343D" w:rsidRPr="00970A16" w:rsidRDefault="006B343D" w:rsidP="006B343D">
      <w:pPr>
        <w:spacing w:line="300" w:lineRule="auto"/>
        <w:rPr>
          <w:szCs w:val="24"/>
        </w:rPr>
      </w:pPr>
      <w:r w:rsidRPr="00970A16">
        <w:rPr>
          <w:szCs w:val="24"/>
        </w:rPr>
        <w:t xml:space="preserve">Existing Metering Equipment at the time a Market Participant integrates into Markets+ is acceptable if the Market Participant is capable of providing at least hourly kWh interval data information. </w:t>
      </w:r>
    </w:p>
    <w:p w14:paraId="755FEBFB" w14:textId="1F27D9E4" w:rsidR="006B343D" w:rsidRPr="00970A16" w:rsidRDefault="006B343D" w:rsidP="006B343D">
      <w:pPr>
        <w:spacing w:line="300" w:lineRule="auto"/>
        <w:rPr>
          <w:szCs w:val="24"/>
        </w:rPr>
      </w:pPr>
      <w:r w:rsidRPr="00970A16">
        <w:rPr>
          <w:szCs w:val="24"/>
        </w:rPr>
        <w:t>After a facility with the existing Metering Equipment integrates into Markets+, any new or replacement Metering Equipment must satisfy the requirements of this Appendix</w:t>
      </w:r>
      <w:r w:rsidR="00D73B63">
        <w:rPr>
          <w:szCs w:val="24"/>
        </w:rPr>
        <w:t xml:space="preserve"> A</w:t>
      </w:r>
      <w:r w:rsidRPr="00970A16">
        <w:rPr>
          <w:szCs w:val="24"/>
        </w:rPr>
        <w:t xml:space="preserve">. </w:t>
      </w:r>
    </w:p>
    <w:p w14:paraId="7BED01DA" w14:textId="77777777" w:rsidR="006B343D" w:rsidRPr="00970A16" w:rsidRDefault="006B343D" w:rsidP="006B343D">
      <w:pPr>
        <w:keepNext/>
        <w:tabs>
          <w:tab w:val="left" w:pos="990"/>
        </w:tabs>
        <w:spacing w:after="240"/>
        <w:outlineLvl w:val="2"/>
        <w:rPr>
          <w:b/>
          <w:sz w:val="26"/>
        </w:rPr>
      </w:pPr>
      <w:bookmarkStart w:id="8468" w:name="_Toc159233604"/>
      <w:bookmarkStart w:id="8469" w:name="_Toc213772176"/>
      <w:r w:rsidRPr="00970A16">
        <w:rPr>
          <w:b/>
          <w:sz w:val="26"/>
        </w:rPr>
        <w:t>A.5.2</w:t>
      </w:r>
      <w:r w:rsidRPr="00970A16">
        <w:rPr>
          <w:b/>
          <w:sz w:val="26"/>
        </w:rPr>
        <w:tab/>
        <w:t>Requirement Applicability by Component Type</w:t>
      </w:r>
      <w:bookmarkEnd w:id="8468"/>
      <w:bookmarkEnd w:id="8469"/>
    </w:p>
    <w:p w14:paraId="4E6D0A32" w14:textId="14EC494A" w:rsidR="006B343D" w:rsidRPr="00970A16" w:rsidRDefault="006B343D" w:rsidP="006B343D">
      <w:pPr>
        <w:spacing w:line="300" w:lineRule="auto"/>
      </w:pPr>
      <w:r w:rsidRPr="00970A16">
        <w:t xml:space="preserve">Metering Equipment must be revenue-quality pursuant to ANSI standards.  Metering Equipment may include, among other things, watt transducers, current transformers, voltage transformers, coupling capacitor voltage transformers, and Meter Data systems (including allocators, accumulators, and remote-terminal units).  Unless noted, any particular technology or collection of components is acceptable as long as the Metering Equipment which they compose satisfies the requirements of this </w:t>
      </w:r>
      <w:r w:rsidR="00505285">
        <w:t>A</w:t>
      </w:r>
      <w:r w:rsidRPr="00970A16">
        <w:t>ppendix</w:t>
      </w:r>
      <w:r w:rsidR="00D73B63">
        <w:t xml:space="preserve"> A</w:t>
      </w:r>
      <w:r w:rsidRPr="00970A16">
        <w:t xml:space="preserve">.  </w:t>
      </w:r>
    </w:p>
    <w:p w14:paraId="482CFFB3" w14:textId="77777777" w:rsidR="006B343D" w:rsidRPr="00970A16" w:rsidRDefault="006B343D" w:rsidP="006B343D">
      <w:pPr>
        <w:keepNext/>
        <w:tabs>
          <w:tab w:val="left" w:pos="720"/>
          <w:tab w:val="left" w:pos="990"/>
        </w:tabs>
        <w:spacing w:after="240"/>
        <w:outlineLvl w:val="2"/>
        <w:rPr>
          <w:b/>
          <w:sz w:val="26"/>
        </w:rPr>
      </w:pPr>
      <w:bookmarkStart w:id="8470" w:name="_Toc159233605"/>
      <w:bookmarkStart w:id="8471" w:name="_Toc213772177"/>
      <w:r w:rsidRPr="00970A16">
        <w:rPr>
          <w:b/>
          <w:sz w:val="26"/>
        </w:rPr>
        <w:t>A.5.3       Testing, Maintenance, and Calibration Responsibilities</w:t>
      </w:r>
      <w:bookmarkEnd w:id="8470"/>
      <w:bookmarkEnd w:id="8471"/>
      <w:r w:rsidRPr="00970A16">
        <w:rPr>
          <w:b/>
          <w:sz w:val="26"/>
        </w:rPr>
        <w:t xml:space="preserve"> </w:t>
      </w:r>
    </w:p>
    <w:p w14:paraId="015A4036" w14:textId="3A357C0A" w:rsidR="006B343D" w:rsidRPr="00970A16" w:rsidRDefault="006B343D" w:rsidP="006B343D">
      <w:pPr>
        <w:spacing w:line="300" w:lineRule="auto"/>
        <w:rPr>
          <w:szCs w:val="24"/>
        </w:rPr>
      </w:pPr>
      <w:r w:rsidRPr="00970A16">
        <w:rPr>
          <w:szCs w:val="24"/>
        </w:rPr>
        <w:t xml:space="preserve">The Market Participant </w:t>
      </w:r>
      <w:r>
        <w:rPr>
          <w:szCs w:val="24"/>
        </w:rPr>
        <w:t>is</w:t>
      </w:r>
      <w:r w:rsidRPr="00970A16">
        <w:rPr>
          <w:szCs w:val="24"/>
        </w:rPr>
        <w:t xml:space="preserve"> responsible for the maintenance and calibration of the Metering Equipment.  If the Market Participant designates the maintenance and calibration of the Metering Equipment to a third party, the Market Participant </w:t>
      </w:r>
      <w:r>
        <w:rPr>
          <w:szCs w:val="24"/>
        </w:rPr>
        <w:t>will</w:t>
      </w:r>
      <w:r w:rsidRPr="00970A16">
        <w:rPr>
          <w:szCs w:val="24"/>
        </w:rPr>
        <w:t xml:space="preserve"> remain responsible for the accuracy, quality, and timely delivery of the Meter Data to </w:t>
      </w:r>
      <w:r>
        <w:rPr>
          <w:szCs w:val="24"/>
        </w:rPr>
        <w:t>the Market Operator</w:t>
      </w:r>
      <w:r w:rsidRPr="00970A16">
        <w:rPr>
          <w:szCs w:val="24"/>
        </w:rPr>
        <w:t>.  Tests of existing, newly installed</w:t>
      </w:r>
      <w:r w:rsidR="00887292">
        <w:rPr>
          <w:szCs w:val="24"/>
        </w:rPr>
        <w:t>,</w:t>
      </w:r>
      <w:r w:rsidRPr="00970A16">
        <w:rPr>
          <w:szCs w:val="24"/>
        </w:rPr>
        <w:t xml:space="preserve"> or repaired Metering Equipment are required as described in Section C.7.3.</w:t>
      </w:r>
    </w:p>
    <w:p w14:paraId="7E5E0459" w14:textId="77777777" w:rsidR="006B343D" w:rsidRPr="00970A16" w:rsidRDefault="006B343D" w:rsidP="006B343D">
      <w:pPr>
        <w:keepNext/>
        <w:spacing w:after="240"/>
        <w:outlineLvl w:val="1"/>
        <w:rPr>
          <w:b/>
          <w:sz w:val="30"/>
        </w:rPr>
      </w:pPr>
      <w:bookmarkStart w:id="8472" w:name="_Toc262561012"/>
      <w:bookmarkStart w:id="8473" w:name="_Toc263173489"/>
      <w:bookmarkStart w:id="8474" w:name="_Toc263173706"/>
      <w:bookmarkStart w:id="8475" w:name="_Toc263173904"/>
      <w:bookmarkStart w:id="8476" w:name="_Toc263174325"/>
      <w:bookmarkStart w:id="8477" w:name="_Toc263235229"/>
      <w:bookmarkStart w:id="8478" w:name="_Toc263235873"/>
      <w:bookmarkStart w:id="8479" w:name="_Toc263429675"/>
      <w:bookmarkStart w:id="8480" w:name="_Toc263795730"/>
      <w:bookmarkStart w:id="8481" w:name="_Toc266869911"/>
      <w:bookmarkStart w:id="8482" w:name="_Toc159233606"/>
      <w:bookmarkStart w:id="8483" w:name="_Toc213772178"/>
      <w:bookmarkStart w:id="8484" w:name="_Toc76320636"/>
      <w:bookmarkStart w:id="8485" w:name="_Toc76962378"/>
      <w:bookmarkStart w:id="8486" w:name="_Toc104791725"/>
      <w:r w:rsidRPr="00970A16">
        <w:rPr>
          <w:b/>
          <w:sz w:val="30"/>
        </w:rPr>
        <w:t>A.6       Timing Standard</w:t>
      </w:r>
      <w:bookmarkEnd w:id="8472"/>
      <w:bookmarkEnd w:id="8473"/>
      <w:bookmarkEnd w:id="8474"/>
      <w:bookmarkEnd w:id="8475"/>
      <w:bookmarkEnd w:id="8476"/>
      <w:bookmarkEnd w:id="8477"/>
      <w:bookmarkEnd w:id="8478"/>
      <w:bookmarkEnd w:id="8479"/>
      <w:bookmarkEnd w:id="8480"/>
      <w:bookmarkEnd w:id="8481"/>
      <w:bookmarkEnd w:id="8482"/>
      <w:bookmarkEnd w:id="8483"/>
    </w:p>
    <w:p w14:paraId="77D9B507" w14:textId="77777777" w:rsidR="006B343D" w:rsidRPr="00970A16" w:rsidRDefault="006B343D" w:rsidP="006B343D">
      <w:pPr>
        <w:keepNext/>
        <w:spacing w:after="240"/>
        <w:outlineLvl w:val="2"/>
        <w:rPr>
          <w:b/>
          <w:sz w:val="26"/>
        </w:rPr>
      </w:pPr>
      <w:bookmarkStart w:id="8487" w:name="_Toc266869913"/>
      <w:bookmarkStart w:id="8488" w:name="_Toc159233607"/>
      <w:bookmarkStart w:id="8489" w:name="_Toc213772179"/>
      <w:bookmarkStart w:id="8490" w:name="_Toc262561014"/>
      <w:bookmarkStart w:id="8491" w:name="_Toc263173906"/>
      <w:bookmarkStart w:id="8492" w:name="_Toc263174327"/>
      <w:bookmarkStart w:id="8493" w:name="_Toc263235231"/>
      <w:bookmarkStart w:id="8494" w:name="_Toc263235875"/>
      <w:bookmarkStart w:id="8495" w:name="_Toc263429677"/>
      <w:bookmarkStart w:id="8496" w:name="_Toc263795732"/>
      <w:r w:rsidRPr="00970A16">
        <w:rPr>
          <w:b/>
          <w:sz w:val="26"/>
        </w:rPr>
        <w:t xml:space="preserve">A.6.1      </w:t>
      </w:r>
      <w:bookmarkEnd w:id="8487"/>
      <w:bookmarkEnd w:id="8488"/>
      <w:r w:rsidRPr="00970A16">
        <w:rPr>
          <w:b/>
          <w:sz w:val="26"/>
        </w:rPr>
        <w:t>Accumulators / Register Values</w:t>
      </w:r>
      <w:bookmarkEnd w:id="8489"/>
    </w:p>
    <w:p w14:paraId="7602CC18" w14:textId="77777777" w:rsidR="006B343D" w:rsidRPr="00970A16" w:rsidRDefault="006B343D" w:rsidP="006B343D">
      <w:pPr>
        <w:spacing w:line="300" w:lineRule="auto"/>
        <w:rPr>
          <w:szCs w:val="24"/>
        </w:rPr>
      </w:pPr>
      <w:r w:rsidRPr="00970A16">
        <w:rPr>
          <w:szCs w:val="24"/>
        </w:rPr>
        <w:t xml:space="preserve">Accumulator/meter register values </w:t>
      </w:r>
      <w:r>
        <w:rPr>
          <w:szCs w:val="24"/>
        </w:rPr>
        <w:t>must</w:t>
      </w:r>
      <w:r w:rsidRPr="00970A16">
        <w:rPr>
          <w:szCs w:val="24"/>
        </w:rPr>
        <w:t xml:space="preserve"> be synchronized to the end of the timing interval.  </w:t>
      </w:r>
    </w:p>
    <w:p w14:paraId="645CACFA" w14:textId="77777777" w:rsidR="006B343D" w:rsidRPr="00970A16" w:rsidRDefault="006B343D" w:rsidP="006B343D">
      <w:pPr>
        <w:keepNext/>
        <w:tabs>
          <w:tab w:val="left" w:pos="900"/>
          <w:tab w:val="left" w:pos="1080"/>
        </w:tabs>
        <w:spacing w:after="240"/>
        <w:outlineLvl w:val="2"/>
        <w:rPr>
          <w:b/>
          <w:sz w:val="26"/>
        </w:rPr>
      </w:pPr>
      <w:bookmarkStart w:id="8497" w:name="_Toc159233608"/>
      <w:bookmarkStart w:id="8498" w:name="_Toc213772180"/>
      <w:bookmarkEnd w:id="8490"/>
      <w:bookmarkEnd w:id="8491"/>
      <w:bookmarkEnd w:id="8492"/>
      <w:bookmarkEnd w:id="8493"/>
      <w:bookmarkEnd w:id="8494"/>
      <w:bookmarkEnd w:id="8495"/>
      <w:bookmarkEnd w:id="8496"/>
      <w:r w:rsidRPr="00970A16">
        <w:rPr>
          <w:b/>
          <w:sz w:val="26"/>
        </w:rPr>
        <w:t>A.6.2     Timing Elements</w:t>
      </w:r>
      <w:bookmarkEnd w:id="8497"/>
      <w:bookmarkEnd w:id="8498"/>
      <w:r w:rsidRPr="00970A16">
        <w:rPr>
          <w:b/>
          <w:sz w:val="26"/>
        </w:rPr>
        <w:t xml:space="preserve"> </w:t>
      </w:r>
    </w:p>
    <w:p w14:paraId="5264E130" w14:textId="2D07E606" w:rsidR="006B343D" w:rsidRPr="00970A16" w:rsidRDefault="006B343D" w:rsidP="006B343D">
      <w:pPr>
        <w:spacing w:line="300" w:lineRule="auto"/>
      </w:pPr>
      <w:r w:rsidRPr="00970A16">
        <w:t>When the timing element of the meter or Energy Management System/Remote Terminal Unit</w:t>
      </w:r>
      <w:r w:rsidR="00B63C71">
        <w:t xml:space="preserve"> (RTU)</w:t>
      </w:r>
      <w:r w:rsidRPr="00970A16">
        <w:t xml:space="preserve"> is used to send a freeze contact </w:t>
      </w:r>
      <w:r w:rsidRPr="00970A16">
        <w:rPr>
          <w:szCs w:val="24"/>
        </w:rPr>
        <w:t xml:space="preserve">closure or signal to the RTU, freeze a meter register reading, </w:t>
      </w:r>
      <w:r w:rsidRPr="00970A16" w:rsidDel="0046151A">
        <w:t>and/or</w:t>
      </w:r>
      <w:r w:rsidRPr="00970A16">
        <w:t xml:space="preserve"> control the interval data recorder timing, the time clock </w:t>
      </w:r>
      <w:r>
        <w:t>must</w:t>
      </w:r>
      <w:r w:rsidRPr="00970A16">
        <w:t xml:space="preserve"> be within +/- </w:t>
      </w:r>
      <w:r w:rsidR="00E21988">
        <w:t>one (</w:t>
      </w:r>
      <w:r w:rsidRPr="00970A16">
        <w:t>1</w:t>
      </w:r>
      <w:r w:rsidR="00E21988">
        <w:t>)</w:t>
      </w:r>
      <w:r w:rsidRPr="00970A16">
        <w:t xml:space="preserve"> minute per any 30-day period.  </w:t>
      </w:r>
    </w:p>
    <w:p w14:paraId="031FDDA3" w14:textId="77777777" w:rsidR="006B343D" w:rsidRPr="00970A16" w:rsidRDefault="006B343D" w:rsidP="006B343D">
      <w:pPr>
        <w:keepNext/>
        <w:spacing w:after="240"/>
        <w:outlineLvl w:val="1"/>
        <w:rPr>
          <w:b/>
          <w:sz w:val="30"/>
        </w:rPr>
      </w:pPr>
      <w:bookmarkStart w:id="8499" w:name="_Toc262561015"/>
      <w:bookmarkStart w:id="8500" w:name="_Toc263173490"/>
      <w:bookmarkStart w:id="8501" w:name="_Toc263173707"/>
      <w:bookmarkStart w:id="8502" w:name="_Toc263173907"/>
      <w:bookmarkStart w:id="8503" w:name="_Toc263174328"/>
      <w:bookmarkStart w:id="8504" w:name="_Ref263229522"/>
      <w:bookmarkStart w:id="8505" w:name="_Ref263229604"/>
      <w:bookmarkStart w:id="8506" w:name="_Toc263235232"/>
      <w:bookmarkStart w:id="8507" w:name="_Toc263235876"/>
      <w:bookmarkStart w:id="8508" w:name="_Toc263429678"/>
      <w:bookmarkStart w:id="8509" w:name="_Toc263795733"/>
      <w:bookmarkStart w:id="8510" w:name="_Toc266869916"/>
      <w:bookmarkStart w:id="8511" w:name="_Ref277144561"/>
      <w:bookmarkStart w:id="8512" w:name="_Ref277144585"/>
      <w:bookmarkStart w:id="8513" w:name="_Ref349743585"/>
      <w:bookmarkStart w:id="8514" w:name="_Toc159233609"/>
      <w:bookmarkStart w:id="8515" w:name="_Toc213772181"/>
      <w:r w:rsidRPr="00970A16">
        <w:rPr>
          <w:b/>
          <w:sz w:val="30"/>
        </w:rPr>
        <w:t>A.7       Meters</w:t>
      </w:r>
      <w:bookmarkEnd w:id="8484"/>
      <w:bookmarkEnd w:id="8485"/>
      <w:bookmarkEnd w:id="8486"/>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7886589B" w14:textId="77777777" w:rsidR="006B343D" w:rsidRPr="00970A16" w:rsidRDefault="006B343D" w:rsidP="006B343D">
      <w:pPr>
        <w:keepNext/>
        <w:spacing w:after="240"/>
        <w:outlineLvl w:val="2"/>
        <w:rPr>
          <w:b/>
          <w:sz w:val="26"/>
        </w:rPr>
      </w:pPr>
      <w:bookmarkStart w:id="8516" w:name="_Toc76320637"/>
      <w:bookmarkStart w:id="8517" w:name="_Toc76962379"/>
      <w:bookmarkStart w:id="8518" w:name="_Toc104791726"/>
      <w:bookmarkStart w:id="8519" w:name="_Toc262561016"/>
      <w:bookmarkStart w:id="8520" w:name="_Toc263173908"/>
      <w:bookmarkStart w:id="8521" w:name="_Toc263174329"/>
      <w:bookmarkStart w:id="8522" w:name="_Toc263235233"/>
      <w:bookmarkStart w:id="8523" w:name="_Toc263235877"/>
      <w:bookmarkStart w:id="8524" w:name="_Toc263429679"/>
      <w:bookmarkStart w:id="8525" w:name="_Toc263795734"/>
      <w:bookmarkStart w:id="8526" w:name="_Toc266869917"/>
      <w:bookmarkStart w:id="8527" w:name="_Toc159233610"/>
      <w:bookmarkStart w:id="8528" w:name="_Toc213772182"/>
      <w:r w:rsidRPr="00970A16">
        <w:rPr>
          <w:b/>
          <w:sz w:val="26"/>
        </w:rPr>
        <w:t>A.7.1      Measurement Quantities</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55021A76" w14:textId="77777777" w:rsidR="006B343D" w:rsidRPr="00970A16" w:rsidRDefault="006B343D" w:rsidP="006B343D">
      <w:pPr>
        <w:keepNext/>
        <w:tabs>
          <w:tab w:val="left" w:pos="990"/>
          <w:tab w:val="left" w:pos="1260"/>
        </w:tabs>
        <w:spacing w:before="240" w:after="240"/>
        <w:outlineLvl w:val="3"/>
        <w:rPr>
          <w:b/>
        </w:rPr>
      </w:pPr>
      <w:bookmarkStart w:id="8529" w:name="_Toc159233611"/>
      <w:bookmarkStart w:id="8530" w:name="_Toc213772183"/>
      <w:bookmarkStart w:id="8531" w:name="_Toc76320638"/>
      <w:bookmarkStart w:id="8532" w:name="_Toc76962380"/>
      <w:bookmarkStart w:id="8533" w:name="_Toc104791727"/>
      <w:bookmarkStart w:id="8534" w:name="_Toc262561017"/>
      <w:bookmarkStart w:id="8535" w:name="_Toc263173909"/>
      <w:bookmarkStart w:id="8536" w:name="_Toc263174330"/>
      <w:bookmarkStart w:id="8537" w:name="_Toc263235234"/>
      <w:bookmarkStart w:id="8538" w:name="_Toc263235878"/>
      <w:bookmarkStart w:id="8539" w:name="_Toc263429680"/>
      <w:bookmarkStart w:id="8540" w:name="_Toc263795735"/>
      <w:bookmarkStart w:id="8541" w:name="_Toc266869918"/>
      <w:r w:rsidRPr="00970A16">
        <w:rPr>
          <w:b/>
        </w:rPr>
        <w:t>A.7.1.1    Register</w:t>
      </w:r>
      <w:bookmarkEnd w:id="8529"/>
      <w:bookmarkEnd w:id="8530"/>
    </w:p>
    <w:p w14:paraId="4CBDFDDA" w14:textId="77777777" w:rsidR="006B343D" w:rsidRPr="00970A16" w:rsidRDefault="006B343D" w:rsidP="006B343D">
      <w:pPr>
        <w:spacing w:line="300" w:lineRule="auto"/>
      </w:pPr>
      <w:r w:rsidRPr="00970A16">
        <w:t xml:space="preserve">The meter </w:t>
      </w:r>
      <w:r>
        <w:t>must</w:t>
      </w:r>
      <w:r w:rsidRPr="00970A16">
        <w:t xml:space="preserve"> be capable of reporting Kilo or Mega-Watthours (kWh or MWh) in a 5-7 digit visual display with 0-2 decimal places.</w:t>
      </w:r>
    </w:p>
    <w:p w14:paraId="2FC07DFF" w14:textId="77777777" w:rsidR="006B343D" w:rsidRPr="00970A16" w:rsidRDefault="006B343D" w:rsidP="006B343D">
      <w:pPr>
        <w:keepNext/>
        <w:spacing w:before="240" w:after="240"/>
        <w:outlineLvl w:val="3"/>
        <w:rPr>
          <w:b/>
        </w:rPr>
      </w:pPr>
      <w:bookmarkStart w:id="8542" w:name="_Toc159233612"/>
      <w:bookmarkStart w:id="8543" w:name="_Toc213772184"/>
      <w:r w:rsidRPr="00970A16">
        <w:rPr>
          <w:b/>
        </w:rPr>
        <w:t xml:space="preserve">A.7.1.2    </w:t>
      </w:r>
      <w:bookmarkEnd w:id="8542"/>
      <w:r w:rsidRPr="00970A16">
        <w:rPr>
          <w:b/>
        </w:rPr>
        <w:t>Pulse Data</w:t>
      </w:r>
      <w:bookmarkEnd w:id="8543"/>
    </w:p>
    <w:p w14:paraId="06AE6566" w14:textId="77777777" w:rsidR="006B343D" w:rsidRPr="00970A16" w:rsidRDefault="006B343D" w:rsidP="006B343D">
      <w:pPr>
        <w:spacing w:line="300" w:lineRule="auto"/>
      </w:pPr>
      <w:r w:rsidRPr="00970A16">
        <w:t xml:space="preserve">The meter </w:t>
      </w:r>
      <w:r>
        <w:t>must</w:t>
      </w:r>
      <w:r w:rsidRPr="00970A16">
        <w:t xml:space="preserve"> be capable of providing pulse outputs and storage of accumulated, interval pulse data representing Watt or Kilo-Watt values in 5, 10, 15, 30, or 60 minute storage registers.</w:t>
      </w:r>
      <w:r>
        <w:t xml:space="preserve"> </w:t>
      </w:r>
      <w:r w:rsidRPr="00001C3D">
        <w:t>The Meter Agent will deliver this data, which can be stored either internally or externally. Market Participants are required to retain the data for a minimum of three years.</w:t>
      </w:r>
    </w:p>
    <w:p w14:paraId="6B74B1A6" w14:textId="77777777" w:rsidR="006B343D" w:rsidRPr="00970A16" w:rsidRDefault="006B343D" w:rsidP="006B343D">
      <w:pPr>
        <w:keepNext/>
        <w:spacing w:before="240" w:after="240"/>
        <w:outlineLvl w:val="3"/>
        <w:rPr>
          <w:b/>
        </w:rPr>
      </w:pPr>
      <w:bookmarkStart w:id="8544" w:name="_Toc159233613"/>
      <w:bookmarkStart w:id="8545" w:name="_Toc213772185"/>
      <w:r w:rsidRPr="00970A16">
        <w:rPr>
          <w:b/>
        </w:rPr>
        <w:t>A.7.1.3    Real-Time</w:t>
      </w:r>
      <w:bookmarkEnd w:id="8544"/>
      <w:bookmarkEnd w:id="8545"/>
    </w:p>
    <w:p w14:paraId="76D024F6" w14:textId="010E0D68" w:rsidR="006B343D" w:rsidRPr="00970A16" w:rsidRDefault="006B343D" w:rsidP="006B343D">
      <w:pPr>
        <w:spacing w:line="300" w:lineRule="auto"/>
      </w:pPr>
      <w:r w:rsidRPr="00970A16">
        <w:t xml:space="preserve">The meter </w:t>
      </w:r>
      <w:r>
        <w:t>must</w:t>
      </w:r>
      <w:r w:rsidRPr="00970A16">
        <w:t xml:space="preserve"> be capable of providing to </w:t>
      </w:r>
      <w:r>
        <w:t>the Market Operator</w:t>
      </w:r>
      <w:r w:rsidRPr="00970A16">
        <w:t xml:space="preserve"> instantaneous measurement of Watts, kW</w:t>
      </w:r>
      <w:r>
        <w:t>,</w:t>
      </w:r>
      <w:r w:rsidRPr="00970A16">
        <w:t xml:space="preserve"> or MW in continuous analog</w:t>
      </w:r>
      <w:r>
        <w:t>,</w:t>
      </w:r>
      <w:r w:rsidRPr="00970A16">
        <w:t xml:space="preserve"> or digital data outputs for monitoring </w:t>
      </w:r>
      <w:r w:rsidRPr="00CC4ED0">
        <w:t>or</w:t>
      </w:r>
      <w:r w:rsidRPr="00970A16">
        <w:t xml:space="preserve"> control of </w:t>
      </w:r>
      <w:r>
        <w:t>Non-Conforming</w:t>
      </w:r>
      <w:r w:rsidRPr="00970A16">
        <w:t xml:space="preserve"> </w:t>
      </w:r>
      <w:r>
        <w:t>L</w:t>
      </w:r>
      <w:r w:rsidRPr="00970A16">
        <w:t>oads,</w:t>
      </w:r>
      <w:r>
        <w:t xml:space="preserve"> Demand Response Loads,</w:t>
      </w:r>
      <w:r w:rsidRPr="00970A16">
        <w:t xml:space="preserve"> </w:t>
      </w:r>
      <w:r>
        <w:t>R</w:t>
      </w:r>
      <w:r w:rsidRPr="00970A16">
        <w:t xml:space="preserve">esources, </w:t>
      </w:r>
      <w:r w:rsidR="0008658A">
        <w:t xml:space="preserve">and </w:t>
      </w:r>
      <w:r w:rsidRPr="00970A16">
        <w:t xml:space="preserve">interchange or boundary points to </w:t>
      </w:r>
      <w:r>
        <w:t>the</w:t>
      </w:r>
      <w:r w:rsidRPr="00970A16">
        <w:t xml:space="preserve"> Markets+ Footprint. </w:t>
      </w:r>
    </w:p>
    <w:p w14:paraId="2A26F4B8" w14:textId="77777777" w:rsidR="006B343D" w:rsidRPr="00970A16" w:rsidRDefault="006B343D" w:rsidP="006B343D">
      <w:pPr>
        <w:keepNext/>
        <w:spacing w:after="240"/>
        <w:outlineLvl w:val="2"/>
        <w:rPr>
          <w:b/>
          <w:sz w:val="26"/>
        </w:rPr>
      </w:pPr>
      <w:bookmarkStart w:id="8546" w:name="_Toc76320639"/>
      <w:bookmarkStart w:id="8547" w:name="_Toc76962381"/>
      <w:bookmarkStart w:id="8548" w:name="_Toc104791728"/>
      <w:bookmarkStart w:id="8549" w:name="_Toc262561018"/>
      <w:bookmarkStart w:id="8550" w:name="_Toc263173910"/>
      <w:bookmarkStart w:id="8551" w:name="_Toc263174331"/>
      <w:bookmarkStart w:id="8552" w:name="_Toc263235235"/>
      <w:bookmarkStart w:id="8553" w:name="_Toc263235879"/>
      <w:bookmarkStart w:id="8554" w:name="_Toc263429681"/>
      <w:bookmarkStart w:id="8555" w:name="_Toc263795736"/>
      <w:bookmarkStart w:id="8556" w:name="_Toc266869919"/>
      <w:bookmarkStart w:id="8557" w:name="_Toc159233614"/>
      <w:bookmarkStart w:id="8558" w:name="_Toc213772186"/>
      <w:bookmarkEnd w:id="8531"/>
      <w:bookmarkEnd w:id="8532"/>
      <w:bookmarkEnd w:id="8533"/>
      <w:bookmarkEnd w:id="8534"/>
      <w:bookmarkEnd w:id="8535"/>
      <w:bookmarkEnd w:id="8536"/>
      <w:bookmarkEnd w:id="8537"/>
      <w:bookmarkEnd w:id="8538"/>
      <w:bookmarkEnd w:id="8539"/>
      <w:bookmarkEnd w:id="8540"/>
      <w:bookmarkEnd w:id="8541"/>
      <w:r w:rsidRPr="00970A16">
        <w:rPr>
          <w:b/>
          <w:sz w:val="26"/>
        </w:rPr>
        <w:t>A.7.2      Accuracy</w:t>
      </w:r>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3386FA5B" w14:textId="1D4A5060" w:rsidR="006B343D" w:rsidRPr="00970A16" w:rsidRDefault="006B343D" w:rsidP="006B343D">
      <w:pPr>
        <w:spacing w:line="300" w:lineRule="auto"/>
        <w:rPr>
          <w:spacing w:val="-2"/>
        </w:rPr>
      </w:pPr>
      <w:r w:rsidRPr="00970A16">
        <w:t xml:space="preserve">The manufactured accuracy class of all meters and transducers (internal or external) </w:t>
      </w:r>
      <w:r>
        <w:t>must</w:t>
      </w:r>
      <w:r w:rsidRPr="00970A16">
        <w:t xml:space="preserve"> be accurate within ± 0.2%, per the applicable sections of the most recent ANSI C12.1 standard. </w:t>
      </w:r>
    </w:p>
    <w:p w14:paraId="5C3F41C9" w14:textId="77777777" w:rsidR="006B343D" w:rsidRPr="00970A16" w:rsidRDefault="006B343D" w:rsidP="006B343D">
      <w:pPr>
        <w:keepNext/>
        <w:spacing w:after="240"/>
        <w:outlineLvl w:val="2"/>
        <w:rPr>
          <w:b/>
          <w:sz w:val="26"/>
        </w:rPr>
      </w:pPr>
      <w:bookmarkStart w:id="8559" w:name="_Toc76320640"/>
      <w:bookmarkStart w:id="8560" w:name="_Toc76962382"/>
      <w:bookmarkStart w:id="8561" w:name="_Toc104791729"/>
      <w:bookmarkStart w:id="8562" w:name="_Toc262561019"/>
      <w:bookmarkStart w:id="8563" w:name="_Toc263173911"/>
      <w:bookmarkStart w:id="8564" w:name="_Toc263174332"/>
      <w:bookmarkStart w:id="8565" w:name="_Toc263235236"/>
      <w:bookmarkStart w:id="8566" w:name="_Toc263235880"/>
      <w:bookmarkStart w:id="8567" w:name="_Toc263429682"/>
      <w:bookmarkStart w:id="8568" w:name="_Toc263795737"/>
      <w:bookmarkStart w:id="8569" w:name="_Toc266869920"/>
      <w:bookmarkStart w:id="8570" w:name="_Toc159233615"/>
      <w:bookmarkStart w:id="8571" w:name="_Toc213772187"/>
      <w:r w:rsidRPr="00970A16">
        <w:rPr>
          <w:b/>
          <w:sz w:val="26"/>
        </w:rPr>
        <w:t>A.7.3      Testing</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p>
    <w:p w14:paraId="01CB95DD" w14:textId="77777777" w:rsidR="006B343D" w:rsidRPr="00970A16" w:rsidRDefault="006B343D" w:rsidP="006B343D">
      <w:pPr>
        <w:keepNext/>
        <w:spacing w:before="240" w:after="240"/>
        <w:outlineLvl w:val="3"/>
        <w:rPr>
          <w:b/>
        </w:rPr>
      </w:pPr>
      <w:bookmarkStart w:id="8572" w:name="_Toc262561020"/>
      <w:bookmarkStart w:id="8573" w:name="_Toc263173491"/>
      <w:bookmarkStart w:id="8574" w:name="_Toc263173708"/>
      <w:bookmarkStart w:id="8575" w:name="_Toc263173912"/>
      <w:bookmarkStart w:id="8576" w:name="_Toc263174333"/>
      <w:bookmarkStart w:id="8577" w:name="_Toc263235237"/>
      <w:bookmarkStart w:id="8578" w:name="_Toc263235881"/>
      <w:bookmarkStart w:id="8579" w:name="_Toc263429683"/>
      <w:bookmarkStart w:id="8580" w:name="_Toc263795738"/>
      <w:bookmarkStart w:id="8581" w:name="_Ref264025880"/>
      <w:bookmarkStart w:id="8582" w:name="_Toc266869921"/>
      <w:bookmarkStart w:id="8583" w:name="_Toc159233616"/>
      <w:bookmarkStart w:id="8584" w:name="_Toc213772188"/>
      <w:r w:rsidRPr="00970A16">
        <w:rPr>
          <w:b/>
        </w:rPr>
        <w:t>A.7.3.1    Testing Equipment</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14:paraId="7A40EA97" w14:textId="77777777" w:rsidR="006B343D" w:rsidRPr="00970A16" w:rsidRDefault="006B343D" w:rsidP="006B343D">
      <w:pPr>
        <w:spacing w:line="300" w:lineRule="auto"/>
        <w:rPr>
          <w:szCs w:val="24"/>
        </w:rPr>
      </w:pPr>
      <w:r w:rsidRPr="00970A16">
        <w:rPr>
          <w:szCs w:val="24"/>
        </w:rPr>
        <w:t xml:space="preserve">All meter testing equipment </w:t>
      </w:r>
      <w:r>
        <w:rPr>
          <w:szCs w:val="24"/>
        </w:rPr>
        <w:t>must</w:t>
      </w:r>
      <w:r w:rsidRPr="00970A16">
        <w:rPr>
          <w:szCs w:val="24"/>
        </w:rPr>
        <w:t xml:space="preserve"> be traceable back to National Institute of Standards and Technology (NIST) as per ANSI C12.1.  Specifically, the reference standard used to perform the comparison test on the meter </w:t>
      </w:r>
      <w:r>
        <w:rPr>
          <w:szCs w:val="24"/>
        </w:rPr>
        <w:t>must</w:t>
      </w:r>
      <w:r w:rsidRPr="00970A16">
        <w:rPr>
          <w:szCs w:val="24"/>
        </w:rPr>
        <w:t xml:space="preserve"> be of the accuracy class that meets or exceeds </w:t>
      </w:r>
      <w:r w:rsidRPr="00970A16">
        <w:rPr>
          <w:spacing w:val="-2"/>
          <w:szCs w:val="24"/>
        </w:rPr>
        <w:t>± 0.05% so as to achieve a 4 to 1 accuracy ratio between the standard and the meter.</w:t>
      </w:r>
    </w:p>
    <w:p w14:paraId="2774A29D" w14:textId="77777777" w:rsidR="006B343D" w:rsidRPr="00970A16" w:rsidRDefault="006B343D" w:rsidP="006B343D">
      <w:pPr>
        <w:keepNext/>
        <w:tabs>
          <w:tab w:val="left" w:pos="990"/>
          <w:tab w:val="left" w:pos="1080"/>
        </w:tabs>
        <w:spacing w:before="240" w:after="240"/>
        <w:outlineLvl w:val="3"/>
        <w:rPr>
          <w:b/>
        </w:rPr>
      </w:pPr>
      <w:bookmarkStart w:id="8585" w:name="_Toc262561021"/>
      <w:bookmarkStart w:id="8586" w:name="_Toc263173492"/>
      <w:bookmarkStart w:id="8587" w:name="_Toc263173709"/>
      <w:bookmarkStart w:id="8588" w:name="_Toc263173913"/>
      <w:bookmarkStart w:id="8589" w:name="_Toc263174334"/>
      <w:bookmarkStart w:id="8590" w:name="_Toc263235238"/>
      <w:bookmarkStart w:id="8591" w:name="_Toc263235882"/>
      <w:bookmarkStart w:id="8592" w:name="_Toc263429684"/>
      <w:bookmarkStart w:id="8593" w:name="_Toc263795739"/>
      <w:bookmarkStart w:id="8594" w:name="_Ref264026091"/>
      <w:bookmarkStart w:id="8595" w:name="_Toc266869922"/>
      <w:bookmarkStart w:id="8596" w:name="_Toc159233617"/>
      <w:bookmarkStart w:id="8597" w:name="_Toc213772189"/>
      <w:r w:rsidRPr="00970A16">
        <w:rPr>
          <w:b/>
        </w:rPr>
        <w:t>A.7.3.2    Acceptance Testing</w:t>
      </w:r>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14:paraId="408F1FE6" w14:textId="637E3F43" w:rsidR="006B343D" w:rsidRPr="00970A16" w:rsidRDefault="006B343D" w:rsidP="006B343D">
      <w:pPr>
        <w:spacing w:line="300" w:lineRule="auto"/>
        <w:rPr>
          <w:szCs w:val="24"/>
        </w:rPr>
      </w:pPr>
      <w:r w:rsidRPr="00970A16">
        <w:rPr>
          <w:szCs w:val="24"/>
        </w:rPr>
        <w:t xml:space="preserve">All meters and transducers </w:t>
      </w:r>
      <w:r>
        <w:rPr>
          <w:szCs w:val="24"/>
        </w:rPr>
        <w:t>must</w:t>
      </w:r>
      <w:r w:rsidRPr="00970A16">
        <w:rPr>
          <w:szCs w:val="24"/>
        </w:rPr>
        <w:t xml:space="preserve"> meet the applicable sections in ANSI C12.1.  If the initial acceptance test results exceed these tolerance</w:t>
      </w:r>
      <w:r>
        <w:rPr>
          <w:szCs w:val="24"/>
        </w:rPr>
        <w:t>s</w:t>
      </w:r>
      <w:r w:rsidRPr="00970A16">
        <w:rPr>
          <w:szCs w:val="24"/>
        </w:rPr>
        <w:t xml:space="preserve">, the meter must be </w:t>
      </w:r>
      <w:r w:rsidRPr="42AB1537">
        <w:rPr>
          <w:szCs w:val="24"/>
        </w:rPr>
        <w:t>replaced.</w:t>
      </w:r>
      <w:r w:rsidRPr="00970A16">
        <w:rPr>
          <w:szCs w:val="24"/>
        </w:rPr>
        <w:t xml:space="preserve"> Final series testing will be conducted for full load, light load</w:t>
      </w:r>
      <w:r w:rsidR="00F469A8">
        <w:rPr>
          <w:szCs w:val="24"/>
        </w:rPr>
        <w:t>,</w:t>
      </w:r>
      <w:r w:rsidRPr="00970A16">
        <w:rPr>
          <w:szCs w:val="24"/>
        </w:rPr>
        <w:t xml:space="preserve"> and power factor to document the “as left” condition of the meter. </w:t>
      </w:r>
    </w:p>
    <w:p w14:paraId="4DC7A39B" w14:textId="77777777" w:rsidR="006B343D" w:rsidRPr="00970A16" w:rsidRDefault="006B343D" w:rsidP="006B343D">
      <w:pPr>
        <w:keepNext/>
        <w:tabs>
          <w:tab w:val="left" w:pos="990"/>
          <w:tab w:val="left" w:pos="1080"/>
        </w:tabs>
        <w:spacing w:before="240" w:after="240"/>
        <w:outlineLvl w:val="3"/>
        <w:rPr>
          <w:b/>
        </w:rPr>
      </w:pPr>
      <w:bookmarkStart w:id="8598" w:name="_Toc262561022"/>
      <w:bookmarkStart w:id="8599" w:name="_Toc263173493"/>
      <w:bookmarkStart w:id="8600" w:name="_Toc263173710"/>
      <w:bookmarkStart w:id="8601" w:name="_Toc263173914"/>
      <w:bookmarkStart w:id="8602" w:name="_Toc263174335"/>
      <w:bookmarkStart w:id="8603" w:name="_Toc263235239"/>
      <w:bookmarkStart w:id="8604" w:name="_Toc263235883"/>
      <w:bookmarkStart w:id="8605" w:name="_Toc263429685"/>
      <w:bookmarkStart w:id="8606" w:name="_Toc263795740"/>
      <w:bookmarkStart w:id="8607" w:name="_Ref264025907"/>
      <w:bookmarkStart w:id="8608" w:name="_Ref264026110"/>
      <w:bookmarkStart w:id="8609" w:name="_Toc266869923"/>
      <w:bookmarkStart w:id="8610" w:name="_Toc159233618"/>
      <w:bookmarkStart w:id="8611" w:name="_Toc213772190"/>
      <w:r w:rsidRPr="00970A16">
        <w:rPr>
          <w:b/>
        </w:rPr>
        <w:t>A.7.3.3     In-Service Testing</w:t>
      </w:r>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14:paraId="7EDC3E1B" w14:textId="77777777" w:rsidR="006B343D" w:rsidRPr="00970A16" w:rsidRDefault="006B343D" w:rsidP="006B343D">
      <w:pPr>
        <w:spacing w:line="300" w:lineRule="auto"/>
      </w:pPr>
      <w:r w:rsidRPr="00970A16">
        <w:t xml:space="preserve">The accuracy of all meters </w:t>
      </w:r>
      <w:r>
        <w:t>must</w:t>
      </w:r>
      <w:r w:rsidRPr="00970A16">
        <w:t xml:space="preserve"> be periodically verified by tests conducted by the Market Participant or their designated party.  </w:t>
      </w:r>
    </w:p>
    <w:p w14:paraId="624798FA" w14:textId="77777777" w:rsidR="006B343D" w:rsidRPr="00970A16" w:rsidRDefault="006B343D" w:rsidP="006B343D">
      <w:pPr>
        <w:numPr>
          <w:ilvl w:val="0"/>
          <w:numId w:val="263"/>
        </w:numPr>
        <w:spacing w:line="300" w:lineRule="auto"/>
      </w:pPr>
      <w:r w:rsidRPr="00970A16">
        <w:t xml:space="preserve">The test interval, not to exceed three years, </w:t>
      </w:r>
      <w:r>
        <w:t>will</w:t>
      </w:r>
      <w:r w:rsidRPr="00970A16">
        <w:t xml:space="preserve"> be determined by mutual agreement of the Market Participant and Meter Equipment Owner.  The Market Participant, Meter Equipment Owner, or their designated party </w:t>
      </w:r>
      <w:r>
        <w:t>will</w:t>
      </w:r>
      <w:r w:rsidRPr="00970A16">
        <w:t xml:space="preserve"> provide reasonable advance notification to other affected parties of this periodic test and provide the test results to them, if requested.  </w:t>
      </w:r>
    </w:p>
    <w:p w14:paraId="6FC4A2BB" w14:textId="77777777" w:rsidR="006B343D" w:rsidRPr="00970A16" w:rsidRDefault="006B343D" w:rsidP="006B343D">
      <w:pPr>
        <w:numPr>
          <w:ilvl w:val="0"/>
          <w:numId w:val="263"/>
        </w:numPr>
        <w:spacing w:line="300" w:lineRule="auto"/>
      </w:pPr>
      <w:r w:rsidRPr="00970A16">
        <w:t xml:space="preserve">In-service testing of the magnitude and phase angles for each of the phase voltages and currents at the meter test switch </w:t>
      </w:r>
      <w:r>
        <w:t>must</w:t>
      </w:r>
      <w:r w:rsidRPr="00970A16">
        <w:t xml:space="preserve"> be measured to ensure the proper metering connection at the time of installation, replacement of the meter, voltage transformer or current transformer, or metering circuits wiring changes. </w:t>
      </w:r>
    </w:p>
    <w:p w14:paraId="65A3E00F" w14:textId="1457BFA2" w:rsidR="006B343D" w:rsidRPr="00970A16" w:rsidRDefault="006B343D" w:rsidP="006B343D">
      <w:pPr>
        <w:numPr>
          <w:ilvl w:val="0"/>
          <w:numId w:val="263"/>
        </w:numPr>
        <w:spacing w:line="300" w:lineRule="auto"/>
      </w:pPr>
      <w:r w:rsidRPr="00970A16">
        <w:t>If tests identify or other indications show a meter is out of service or inaccurate, the Market Participant of the Meter Settlement Location must restore the meter to correct operation within a reasonable period of time. In the interim, backup metering or integrated Real-Time metering may be used as described in Section A7.4.1.</w:t>
      </w:r>
      <w:r>
        <w:t xml:space="preserve"> </w:t>
      </w:r>
      <w:r w:rsidRPr="00970A16">
        <w:t xml:space="preserve">The reasonable period of time should not exceed a period of </w:t>
      </w:r>
      <w:r w:rsidR="003E1063">
        <w:t>thirty (</w:t>
      </w:r>
      <w:r w:rsidRPr="00970A16">
        <w:t>30</w:t>
      </w:r>
      <w:r w:rsidR="003E1063">
        <w:t>)</w:t>
      </w:r>
      <w:r w:rsidRPr="00970A16">
        <w:t xml:space="preserve"> days from the date of discovery, unless a later date is mutually agreed upon by the Market Participant</w:t>
      </w:r>
      <w:r>
        <w:t>,</w:t>
      </w:r>
      <w:r w:rsidRPr="00970A16">
        <w:t xml:space="preserve"> Meter Equipment Owner</w:t>
      </w:r>
      <w:r>
        <w:t>, and Market Operator</w:t>
      </w:r>
      <w:r w:rsidRPr="00970A16">
        <w:t>. If equipment installation or replacement is required to resolve the inaccuracy, all Metering Equipment must be correctly operating at a date mutually agreed upon by the Market Participant</w:t>
      </w:r>
      <w:r>
        <w:t>,</w:t>
      </w:r>
      <w:r w:rsidRPr="00970A16">
        <w:t xml:space="preserve"> Meter Equipment Owner</w:t>
      </w:r>
      <w:r>
        <w:t>, and Market Operator.</w:t>
      </w:r>
      <w:r w:rsidRPr="00970A16">
        <w:t xml:space="preserve">  </w:t>
      </w:r>
      <w:r>
        <w:t>The Market Operator</w:t>
      </w:r>
      <w:r w:rsidRPr="00970A16">
        <w:t xml:space="preserve"> will be notified of the inaccuracy, interim procedures, and resolution for auditing purposes by the Market Participant of the Meter Settlement Location. Authentication of existing Metering Equipment and validations of newly installed or repaired Metering Equipment are required as described in Section A.5.1 of this Appendix</w:t>
      </w:r>
      <w:r w:rsidR="00D73B63">
        <w:t xml:space="preserve"> A</w:t>
      </w:r>
      <w:r w:rsidRPr="00970A16">
        <w:t xml:space="preserve">. </w:t>
      </w:r>
    </w:p>
    <w:p w14:paraId="5AD790AA" w14:textId="77777777" w:rsidR="006B343D" w:rsidRPr="00970A16" w:rsidRDefault="006B343D" w:rsidP="006B343D">
      <w:pPr>
        <w:keepNext/>
        <w:tabs>
          <w:tab w:val="left" w:pos="990"/>
          <w:tab w:val="left" w:pos="1080"/>
        </w:tabs>
        <w:spacing w:before="240" w:after="240"/>
        <w:outlineLvl w:val="3"/>
        <w:rPr>
          <w:b/>
        </w:rPr>
      </w:pPr>
      <w:bookmarkStart w:id="8612" w:name="_Toc262561023"/>
      <w:bookmarkStart w:id="8613" w:name="_Toc263173494"/>
      <w:bookmarkStart w:id="8614" w:name="_Toc263173711"/>
      <w:bookmarkStart w:id="8615" w:name="_Toc263173915"/>
      <w:bookmarkStart w:id="8616" w:name="_Toc263174336"/>
      <w:bookmarkStart w:id="8617" w:name="_Toc263235240"/>
      <w:bookmarkStart w:id="8618" w:name="_Toc263235884"/>
      <w:bookmarkStart w:id="8619" w:name="_Toc263429686"/>
      <w:bookmarkStart w:id="8620" w:name="_Toc263795741"/>
      <w:bookmarkStart w:id="8621" w:name="_Toc266869924"/>
      <w:bookmarkStart w:id="8622" w:name="_Toc159233619"/>
      <w:bookmarkStart w:id="8623" w:name="_Toc213772191"/>
      <w:r w:rsidRPr="00970A16">
        <w:rPr>
          <w:b/>
        </w:rPr>
        <w:t>A.7.3.4    Verification Records and Retention</w:t>
      </w:r>
      <w:bookmarkEnd w:id="8612"/>
      <w:bookmarkEnd w:id="8613"/>
      <w:bookmarkEnd w:id="8614"/>
      <w:bookmarkEnd w:id="8615"/>
      <w:bookmarkEnd w:id="8616"/>
      <w:bookmarkEnd w:id="8617"/>
      <w:bookmarkEnd w:id="8618"/>
      <w:bookmarkEnd w:id="8619"/>
      <w:bookmarkEnd w:id="8620"/>
      <w:bookmarkEnd w:id="8621"/>
      <w:bookmarkEnd w:id="8622"/>
      <w:bookmarkEnd w:id="8623"/>
    </w:p>
    <w:p w14:paraId="1AD5B535" w14:textId="77777777" w:rsidR="006B343D" w:rsidRPr="00970A16" w:rsidRDefault="006B343D" w:rsidP="006B343D">
      <w:pPr>
        <w:spacing w:line="300" w:lineRule="auto"/>
        <w:rPr>
          <w:spacing w:val="-2"/>
        </w:rPr>
      </w:pPr>
      <w:r>
        <w:t>T</w:t>
      </w:r>
      <w:r w:rsidRPr="00970A16">
        <w:t xml:space="preserve">he Market Participant </w:t>
      </w:r>
      <w:r>
        <w:t>must</w:t>
      </w:r>
      <w:r w:rsidRPr="00970A16">
        <w:t xml:space="preserve"> maintain sufficient documentation to verify the integrity and accuracy of a Meter Settlement Location</w:t>
      </w:r>
      <w:r>
        <w:t xml:space="preserve"> f</w:t>
      </w:r>
      <w:r w:rsidRPr="00970A16">
        <w:t xml:space="preserve">or independent auditing purposes by </w:t>
      </w:r>
      <w:r>
        <w:t xml:space="preserve">the Market Operator, </w:t>
      </w:r>
      <w:r>
        <w:rPr>
          <w:spacing w:val="-2"/>
        </w:rPr>
        <w:t>starting when the Market Participant joins Markets+</w:t>
      </w:r>
      <w:r w:rsidRPr="00970A16">
        <w:t>.</w:t>
      </w:r>
      <w:r>
        <w:t xml:space="preserve"> </w:t>
      </w:r>
      <w:r w:rsidRPr="000F6560">
        <w:t>The most current version of all records and documentation associated with the Metering Equipment must be retained by the Market Participant for at least six years following retirement of the Meter Settlement Location. All records and documentation</w:t>
      </w:r>
      <w:r>
        <w:t>,</w:t>
      </w:r>
      <w:r w:rsidRPr="000F6560">
        <w:t xml:space="preserve"> whether current or not</w:t>
      </w:r>
      <w:r>
        <w:t>,</w:t>
      </w:r>
      <w:r w:rsidRPr="000F6560">
        <w:t xml:space="preserve"> must be retained for six years following the creation of the document, or </w:t>
      </w:r>
      <w:r>
        <w:t>longer</w:t>
      </w:r>
      <w:r w:rsidRPr="000F6560">
        <w:t xml:space="preserve"> </w:t>
      </w:r>
      <w:r>
        <w:t>for the most current version of</w:t>
      </w:r>
      <w:r w:rsidRPr="000F6560">
        <w:t xml:space="preserve"> the</w:t>
      </w:r>
      <w:r>
        <w:t xml:space="preserve"> records or documentation</w:t>
      </w:r>
      <w:r>
        <w:rPr>
          <w:spacing w:val="-2"/>
        </w:rPr>
        <w:t>.</w:t>
      </w:r>
      <w:r w:rsidRPr="00970A16">
        <w:rPr>
          <w:spacing w:val="-2"/>
        </w:rPr>
        <w:t xml:space="preserve">  This documentation </w:t>
      </w:r>
      <w:r>
        <w:rPr>
          <w:spacing w:val="-2"/>
        </w:rPr>
        <w:t>must</w:t>
      </w:r>
      <w:r w:rsidRPr="00970A16">
        <w:rPr>
          <w:spacing w:val="-2"/>
        </w:rPr>
        <w:t xml:space="preserve"> include the following:</w:t>
      </w:r>
    </w:p>
    <w:p w14:paraId="139577DE" w14:textId="77777777" w:rsidR="006B343D" w:rsidRPr="00970A16" w:rsidRDefault="006B343D" w:rsidP="006B343D">
      <w:pPr>
        <w:numPr>
          <w:ilvl w:val="0"/>
          <w:numId w:val="220"/>
        </w:numPr>
        <w:spacing w:line="300" w:lineRule="auto"/>
        <w:ind w:hanging="540"/>
      </w:pPr>
      <w:r w:rsidRPr="00970A16">
        <w:t xml:space="preserve">Schematic drawings (both detailed and one-line) of the Meter Settlement Location.  Such drawings </w:t>
      </w:r>
      <w:r>
        <w:t>must</w:t>
      </w:r>
      <w:r w:rsidRPr="00970A16">
        <w:t xml:space="preserve"> be dated, bear the current drawing revision number, and show all wiring, connections, and devices in the circuit</w:t>
      </w:r>
      <w:r>
        <w:t>;</w:t>
      </w:r>
    </w:p>
    <w:p w14:paraId="6824294E" w14:textId="1E0321D5" w:rsidR="006B343D" w:rsidRPr="00970A16" w:rsidRDefault="006B343D" w:rsidP="006B343D">
      <w:pPr>
        <w:numPr>
          <w:ilvl w:val="0"/>
          <w:numId w:val="220"/>
        </w:numPr>
        <w:spacing w:line="300" w:lineRule="auto"/>
        <w:ind w:hanging="540"/>
        <w:rPr>
          <w:szCs w:val="24"/>
        </w:rPr>
      </w:pPr>
      <w:r w:rsidRPr="00970A16">
        <w:rPr>
          <w:szCs w:val="24"/>
        </w:rPr>
        <w:t>The results of each test listed in this Appendix</w:t>
      </w:r>
      <w:r w:rsidR="00D73B63">
        <w:rPr>
          <w:szCs w:val="24"/>
        </w:rPr>
        <w:t xml:space="preserve"> A</w:t>
      </w:r>
      <w:r w:rsidRPr="00970A16">
        <w:rPr>
          <w:szCs w:val="24"/>
        </w:rPr>
        <w:t>.  Upon request, the</w:t>
      </w:r>
      <w:r>
        <w:rPr>
          <w:szCs w:val="24"/>
        </w:rPr>
        <w:t xml:space="preserve"> Participating BA, MTSP,</w:t>
      </w:r>
      <w:r w:rsidRPr="00970A16">
        <w:rPr>
          <w:szCs w:val="24"/>
        </w:rPr>
        <w:t xml:space="preserve"> Meter Equipment Owner, and the </w:t>
      </w:r>
      <w:r>
        <w:rPr>
          <w:szCs w:val="24"/>
        </w:rPr>
        <w:t>Market Operator</w:t>
      </w:r>
      <w:r w:rsidRPr="00970A16">
        <w:rPr>
          <w:szCs w:val="24"/>
        </w:rPr>
        <w:t xml:space="preserve"> </w:t>
      </w:r>
      <w:r>
        <w:rPr>
          <w:szCs w:val="24"/>
        </w:rPr>
        <w:t>must</w:t>
      </w:r>
      <w:r w:rsidRPr="00970A16">
        <w:rPr>
          <w:szCs w:val="24"/>
        </w:rPr>
        <w:t xml:space="preserve"> be provided with a copy of all of the Market Participant’s or designated parties’ documentation and drawing for a Meter Settlement Location’s Metering Equipment.  The provision of such information </w:t>
      </w:r>
      <w:r>
        <w:rPr>
          <w:szCs w:val="24"/>
        </w:rPr>
        <w:t>will</w:t>
      </w:r>
      <w:r w:rsidRPr="00970A16">
        <w:rPr>
          <w:szCs w:val="24"/>
        </w:rPr>
        <w:t xml:space="preserve"> be subject to confidentiality requirements</w:t>
      </w:r>
      <w:r>
        <w:rPr>
          <w:szCs w:val="24"/>
        </w:rPr>
        <w:t>;</w:t>
      </w:r>
    </w:p>
    <w:p w14:paraId="4E51953D" w14:textId="0B9AA4B0" w:rsidR="006B343D" w:rsidRPr="00970A16" w:rsidRDefault="006B343D" w:rsidP="006B343D">
      <w:pPr>
        <w:numPr>
          <w:ilvl w:val="0"/>
          <w:numId w:val="220"/>
        </w:numPr>
        <w:spacing w:line="300" w:lineRule="auto"/>
        <w:ind w:hanging="540"/>
      </w:pPr>
      <w:r w:rsidRPr="00970A16">
        <w:t>The format of the documents should be stored in common electronic formats (e.g.</w:t>
      </w:r>
      <w:r w:rsidR="00464C89">
        <w:t>,</w:t>
      </w:r>
      <w:r w:rsidRPr="00970A16">
        <w:t xml:space="preserve"> - .pdf, CSV, DOC, XLS, RTF)</w:t>
      </w:r>
      <w:r>
        <w:t>;</w:t>
      </w:r>
    </w:p>
    <w:p w14:paraId="2AD72153" w14:textId="275E27BF" w:rsidR="006B343D" w:rsidRDefault="006B343D" w:rsidP="006B343D">
      <w:pPr>
        <w:numPr>
          <w:ilvl w:val="0"/>
          <w:numId w:val="220"/>
        </w:numPr>
        <w:spacing w:line="300" w:lineRule="auto"/>
        <w:ind w:hanging="540"/>
        <w:rPr>
          <w:szCs w:val="24"/>
        </w:rPr>
      </w:pPr>
      <w:r w:rsidRPr="00970A16">
        <w:rPr>
          <w:szCs w:val="24"/>
        </w:rPr>
        <w:t xml:space="preserve">Compensation </w:t>
      </w:r>
      <w:r>
        <w:rPr>
          <w:szCs w:val="24"/>
        </w:rPr>
        <w:t>m</w:t>
      </w:r>
      <w:r w:rsidRPr="00970A16">
        <w:rPr>
          <w:szCs w:val="24"/>
        </w:rPr>
        <w:t>ethodology</w:t>
      </w:r>
      <w:r>
        <w:rPr>
          <w:szCs w:val="24"/>
        </w:rPr>
        <w:t xml:space="preserve"> which would be any processes </w:t>
      </w:r>
      <w:r w:rsidRPr="006F29FF">
        <w:rPr>
          <w:szCs w:val="24"/>
        </w:rPr>
        <w:t>or</w:t>
      </w:r>
      <w:r>
        <w:rPr>
          <w:szCs w:val="24"/>
        </w:rPr>
        <w:t xml:space="preserve"> techniques used to </w:t>
      </w:r>
      <w:r w:rsidRPr="00340D57">
        <w:rPr>
          <w:szCs w:val="24"/>
        </w:rPr>
        <w:t xml:space="preserve">adjust meter readings to accurately reflect the actual </w:t>
      </w:r>
      <w:r w:rsidR="00464C89">
        <w:rPr>
          <w:szCs w:val="24"/>
        </w:rPr>
        <w:t>E</w:t>
      </w:r>
      <w:r w:rsidRPr="00340D57">
        <w:rPr>
          <w:szCs w:val="24"/>
        </w:rPr>
        <w:t>nergy usage or production at a specific point in a system</w:t>
      </w:r>
      <w:r>
        <w:rPr>
          <w:szCs w:val="24"/>
        </w:rPr>
        <w:t>. Some techniques that may be used are:</w:t>
      </w:r>
    </w:p>
    <w:p w14:paraId="1A2630AA" w14:textId="77777777" w:rsidR="006B343D" w:rsidRDefault="006B343D" w:rsidP="006B343D">
      <w:pPr>
        <w:numPr>
          <w:ilvl w:val="1"/>
          <w:numId w:val="220"/>
        </w:numPr>
        <w:spacing w:line="300" w:lineRule="auto"/>
        <w:rPr>
          <w:szCs w:val="24"/>
        </w:rPr>
      </w:pPr>
      <w:r>
        <w:rPr>
          <w:szCs w:val="24"/>
        </w:rPr>
        <w:t>Loss Compensation</w:t>
      </w:r>
    </w:p>
    <w:p w14:paraId="4625B67C" w14:textId="77777777" w:rsidR="006B343D" w:rsidRDefault="006B343D" w:rsidP="006B343D">
      <w:pPr>
        <w:numPr>
          <w:ilvl w:val="1"/>
          <w:numId w:val="220"/>
        </w:numPr>
        <w:spacing w:line="300" w:lineRule="auto"/>
        <w:rPr>
          <w:szCs w:val="24"/>
        </w:rPr>
      </w:pPr>
      <w:r>
        <w:rPr>
          <w:szCs w:val="24"/>
        </w:rPr>
        <w:t>Temperature Compensation</w:t>
      </w:r>
    </w:p>
    <w:p w14:paraId="2FD68CE3" w14:textId="77777777" w:rsidR="006B343D" w:rsidRDefault="006B343D" w:rsidP="006B343D">
      <w:pPr>
        <w:numPr>
          <w:ilvl w:val="1"/>
          <w:numId w:val="220"/>
        </w:numPr>
        <w:spacing w:line="300" w:lineRule="auto"/>
        <w:rPr>
          <w:szCs w:val="24"/>
        </w:rPr>
      </w:pPr>
      <w:r>
        <w:rPr>
          <w:szCs w:val="24"/>
        </w:rPr>
        <w:t>Phase Compensation</w:t>
      </w:r>
    </w:p>
    <w:p w14:paraId="54E7B223" w14:textId="77777777" w:rsidR="006B343D" w:rsidRDefault="006B343D" w:rsidP="006B343D">
      <w:pPr>
        <w:numPr>
          <w:ilvl w:val="1"/>
          <w:numId w:val="220"/>
        </w:numPr>
        <w:spacing w:line="300" w:lineRule="auto"/>
        <w:rPr>
          <w:szCs w:val="24"/>
        </w:rPr>
      </w:pPr>
      <w:r>
        <w:rPr>
          <w:szCs w:val="24"/>
        </w:rPr>
        <w:t>Scaling Factors</w:t>
      </w:r>
    </w:p>
    <w:p w14:paraId="57A9C21A" w14:textId="77777777" w:rsidR="006B343D" w:rsidRPr="00970A16" w:rsidRDefault="006B343D" w:rsidP="006B343D">
      <w:pPr>
        <w:numPr>
          <w:ilvl w:val="0"/>
          <w:numId w:val="220"/>
        </w:numPr>
        <w:spacing w:line="300" w:lineRule="auto"/>
        <w:ind w:hanging="540"/>
      </w:pPr>
      <w:r w:rsidRPr="00970A16">
        <w:t>Meter testing documents</w:t>
      </w:r>
      <w:r>
        <w:t>; and</w:t>
      </w:r>
    </w:p>
    <w:p w14:paraId="26885409" w14:textId="77777777" w:rsidR="006B343D" w:rsidRPr="00970A16" w:rsidRDefault="006B343D" w:rsidP="006B343D">
      <w:pPr>
        <w:numPr>
          <w:ilvl w:val="0"/>
          <w:numId w:val="220"/>
        </w:numPr>
        <w:spacing w:line="300" w:lineRule="auto"/>
        <w:ind w:hanging="540"/>
      </w:pPr>
      <w:r w:rsidRPr="00970A16">
        <w:t>Meter and supporting equipment change history [to the extent that change history includes sufficient documentation of the modification, the obsolete substation/plant drawings are not required].</w:t>
      </w:r>
    </w:p>
    <w:p w14:paraId="570CA905" w14:textId="77777777" w:rsidR="006B343D" w:rsidRPr="00970A16" w:rsidRDefault="006B343D" w:rsidP="006B343D">
      <w:pPr>
        <w:keepNext/>
        <w:spacing w:after="240"/>
        <w:outlineLvl w:val="2"/>
        <w:rPr>
          <w:b/>
          <w:sz w:val="26"/>
        </w:rPr>
      </w:pPr>
      <w:bookmarkStart w:id="8624" w:name="_Toc83385424"/>
      <w:bookmarkStart w:id="8625" w:name="_Toc104791730"/>
      <w:bookmarkStart w:id="8626" w:name="_Toc262561024"/>
      <w:bookmarkStart w:id="8627" w:name="_Toc263173916"/>
      <w:bookmarkStart w:id="8628" w:name="_Toc263174337"/>
      <w:bookmarkStart w:id="8629" w:name="_Toc263235241"/>
      <w:bookmarkStart w:id="8630" w:name="_Toc263235885"/>
      <w:bookmarkStart w:id="8631" w:name="_Toc263429687"/>
      <w:bookmarkStart w:id="8632" w:name="_Toc263795742"/>
      <w:bookmarkStart w:id="8633" w:name="_Toc266869925"/>
      <w:bookmarkStart w:id="8634" w:name="_Toc159233620"/>
      <w:bookmarkStart w:id="8635" w:name="_Toc213772192"/>
      <w:bookmarkStart w:id="8636" w:name="_Toc76320641"/>
      <w:bookmarkStart w:id="8637" w:name="_Toc76962383"/>
      <w:r w:rsidRPr="00970A16">
        <w:rPr>
          <w:b/>
          <w:sz w:val="26"/>
        </w:rPr>
        <w:t>A.7.4     Real-Time Metering</w:t>
      </w:r>
      <w:bookmarkEnd w:id="8624"/>
      <w:bookmarkEnd w:id="8625"/>
      <w:bookmarkEnd w:id="8626"/>
      <w:bookmarkEnd w:id="8627"/>
      <w:bookmarkEnd w:id="8628"/>
      <w:bookmarkEnd w:id="8629"/>
      <w:bookmarkEnd w:id="8630"/>
      <w:bookmarkEnd w:id="8631"/>
      <w:bookmarkEnd w:id="8632"/>
      <w:bookmarkEnd w:id="8633"/>
      <w:bookmarkEnd w:id="8634"/>
      <w:bookmarkEnd w:id="8635"/>
    </w:p>
    <w:p w14:paraId="1BBD1729" w14:textId="77777777" w:rsidR="006B343D" w:rsidRPr="00970A16" w:rsidRDefault="006B343D" w:rsidP="006B343D">
      <w:pPr>
        <w:keepNext/>
        <w:spacing w:before="240" w:after="240"/>
        <w:outlineLvl w:val="3"/>
        <w:rPr>
          <w:b/>
        </w:rPr>
      </w:pPr>
      <w:bookmarkStart w:id="8638" w:name="_Toc159233621"/>
      <w:bookmarkStart w:id="8639" w:name="_Toc213772193"/>
      <w:r w:rsidRPr="00970A16">
        <w:rPr>
          <w:b/>
          <w:sz w:val="26"/>
        </w:rPr>
        <w:t>A.7.4.1  General</w:t>
      </w:r>
      <w:bookmarkEnd w:id="8638"/>
      <w:bookmarkEnd w:id="8639"/>
    </w:p>
    <w:p w14:paraId="402E3A6A" w14:textId="77777777" w:rsidR="006B343D" w:rsidRPr="00970A16" w:rsidRDefault="006B343D" w:rsidP="006B343D">
      <w:pPr>
        <w:spacing w:line="300" w:lineRule="auto"/>
        <w:rPr>
          <w:spacing w:val="-2"/>
        </w:rPr>
      </w:pPr>
      <w:r w:rsidRPr="00970A16">
        <w:t xml:space="preserve">If the </w:t>
      </w:r>
      <w:r>
        <w:t xml:space="preserve">revenue class </w:t>
      </w:r>
      <w:r w:rsidRPr="00970A16">
        <w:t>metering should fail,</w:t>
      </w:r>
      <w:r w:rsidRPr="00101620">
        <w:t xml:space="preserve"> then dispatch center SCADA Real-Time metering </w:t>
      </w:r>
      <w:r>
        <w:t xml:space="preserve">or other methods </w:t>
      </w:r>
      <w:r w:rsidRPr="00970A16">
        <w:t xml:space="preserve">may be used, if available, to estimate the usage.  Real-Time metering data used for back-up should be converted to kWhs.  The Real-Time metering data must be integrated over the hour that the meter has failed, to produce the estimated watt-hour.  </w:t>
      </w:r>
    </w:p>
    <w:p w14:paraId="4883C907" w14:textId="77777777" w:rsidR="006B343D" w:rsidRPr="00970A16" w:rsidRDefault="006B343D" w:rsidP="006B343D">
      <w:pPr>
        <w:keepNext/>
        <w:spacing w:after="240"/>
        <w:outlineLvl w:val="2"/>
        <w:rPr>
          <w:b/>
          <w:sz w:val="26"/>
        </w:rPr>
      </w:pPr>
      <w:bookmarkStart w:id="8640" w:name="_Toc76320642"/>
      <w:bookmarkStart w:id="8641" w:name="_Toc76962384"/>
      <w:bookmarkStart w:id="8642" w:name="_Toc104791736"/>
      <w:bookmarkStart w:id="8643" w:name="_Toc262561030"/>
      <w:bookmarkStart w:id="8644" w:name="_Toc263173922"/>
      <w:bookmarkStart w:id="8645" w:name="_Toc263174349"/>
      <w:bookmarkStart w:id="8646" w:name="_Toc263235253"/>
      <w:bookmarkStart w:id="8647" w:name="_Toc263235897"/>
      <w:bookmarkStart w:id="8648" w:name="_Toc263429699"/>
      <w:bookmarkStart w:id="8649" w:name="_Toc263795754"/>
      <w:bookmarkStart w:id="8650" w:name="_Toc266869937"/>
      <w:bookmarkStart w:id="8651" w:name="_Toc159233622"/>
      <w:bookmarkStart w:id="8652" w:name="_Toc213772194"/>
      <w:bookmarkEnd w:id="8636"/>
      <w:bookmarkEnd w:id="8637"/>
      <w:r w:rsidRPr="00970A16">
        <w:rPr>
          <w:b/>
          <w:sz w:val="26"/>
        </w:rPr>
        <w:t>A.7.5     Current Transformers</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14:paraId="02C3E731" w14:textId="77777777" w:rsidR="006B343D" w:rsidRPr="00970A16" w:rsidRDefault="006B343D" w:rsidP="006B343D">
      <w:pPr>
        <w:keepNext/>
        <w:tabs>
          <w:tab w:val="left" w:pos="990"/>
          <w:tab w:val="left" w:pos="1170"/>
        </w:tabs>
        <w:spacing w:before="240" w:after="240"/>
        <w:outlineLvl w:val="3"/>
        <w:rPr>
          <w:b/>
        </w:rPr>
      </w:pPr>
      <w:bookmarkStart w:id="8653" w:name="_Toc159233623"/>
      <w:bookmarkStart w:id="8654" w:name="_Toc213772195"/>
      <w:bookmarkStart w:id="8655" w:name="_Toc76320643"/>
      <w:bookmarkStart w:id="8656" w:name="_Toc76962385"/>
      <w:bookmarkStart w:id="8657" w:name="_Toc104791737"/>
      <w:bookmarkStart w:id="8658" w:name="_Toc262561031"/>
      <w:bookmarkStart w:id="8659" w:name="_Toc263173505"/>
      <w:bookmarkStart w:id="8660" w:name="_Toc263173716"/>
      <w:bookmarkStart w:id="8661" w:name="_Toc263173923"/>
      <w:bookmarkStart w:id="8662" w:name="_Toc263174350"/>
      <w:bookmarkStart w:id="8663" w:name="_Toc263235254"/>
      <w:bookmarkStart w:id="8664" w:name="_Toc263235898"/>
      <w:bookmarkStart w:id="8665" w:name="_Toc263429700"/>
      <w:bookmarkStart w:id="8666" w:name="_Toc263795755"/>
      <w:bookmarkStart w:id="8667" w:name="_Toc266869938"/>
      <w:r w:rsidRPr="00970A16">
        <w:rPr>
          <w:b/>
        </w:rPr>
        <w:t>A.7.5.1   Specifications</w:t>
      </w:r>
      <w:bookmarkEnd w:id="8653"/>
      <w:bookmarkEnd w:id="8654"/>
    </w:p>
    <w:p w14:paraId="3088E784" w14:textId="4AF6DC18" w:rsidR="006B343D" w:rsidRPr="006E109F" w:rsidRDefault="006B343D" w:rsidP="006B343D">
      <w:pPr>
        <w:spacing w:line="300" w:lineRule="auto"/>
      </w:pPr>
      <w:r w:rsidRPr="00056C52">
        <w:t>Current transformers (CTs) as part of existing construction must comply with IEEE C57.13, 0.3% accuracy class or lower over the full dynamic measurement range of the metered location.  New construction, replacement</w:t>
      </w:r>
      <w:r w:rsidR="00354862">
        <w:t>,</w:t>
      </w:r>
      <w:r w:rsidRPr="00056C52">
        <w:t xml:space="preserve"> or upgrade of existing </w:t>
      </w:r>
      <w:r w:rsidR="00354862">
        <w:t>CTs</w:t>
      </w:r>
      <w:r w:rsidRPr="00056C52">
        <w:t xml:space="preserve"> must meet the accuracy standards, as specified under IEEE C57.13.6 for an accuracy class of 0.15S percent at all burdens. The thermal current rating of </w:t>
      </w:r>
      <w:r w:rsidR="00354862">
        <w:t>CTs</w:t>
      </w:r>
      <w:r w:rsidRPr="00056C52">
        <w:t xml:space="preserve"> must exceed the maximum current capacity of the circuit involved by a factor of 1.5 to 4.0</w:t>
      </w:r>
      <w:r w:rsidR="00354862">
        <w:t>.</w:t>
      </w:r>
      <w:r w:rsidRPr="00056C52">
        <w:t xml:space="preserve"> </w:t>
      </w:r>
      <w:r w:rsidR="00354862">
        <w:t>CTs</w:t>
      </w:r>
      <w:r w:rsidRPr="00056C52">
        <w:t xml:space="preserve"> must be sized to accurately meter power flow over the range typically encountered.  The CTs must be at a minimum Class of 0.3%.  For situations where the meter must accurately meter well below 1% of the rated current, such as station service at a generator, higher accuracy, extended range</w:t>
      </w:r>
      <w:r w:rsidR="00317FC9">
        <w:t>,</w:t>
      </w:r>
      <w:r w:rsidRPr="00056C52">
        <w:t xml:space="preserve"> and higher rating factor CTs </w:t>
      </w:r>
      <w:r>
        <w:t>are</w:t>
      </w:r>
      <w:r w:rsidRPr="00056C52">
        <w:t xml:space="preserve"> required.  Burden ranges for CTs of B0.1 to B1.8 should be selected with consideration of cable and wiring size, length</w:t>
      </w:r>
      <w:r w:rsidR="00317FC9">
        <w:t>,</w:t>
      </w:r>
      <w:r w:rsidRPr="00056C52">
        <w:t xml:space="preserve"> and distance between CTs and meter location.  All devices in a meter circuit must not exceed the CT burden rating, which is normally B0.1 to B1.8, including cabling and ancillary devices. </w:t>
      </w:r>
    </w:p>
    <w:p w14:paraId="0F268CF3" w14:textId="77777777" w:rsidR="006B343D" w:rsidRPr="00970A16" w:rsidRDefault="006B343D" w:rsidP="006B343D">
      <w:pPr>
        <w:keepNext/>
        <w:spacing w:before="240" w:after="240"/>
        <w:outlineLvl w:val="3"/>
        <w:rPr>
          <w:b/>
        </w:rPr>
      </w:pPr>
      <w:bookmarkStart w:id="8668" w:name="_Toc159233624"/>
      <w:bookmarkStart w:id="8669" w:name="_Toc213772196"/>
      <w:r w:rsidRPr="00970A16">
        <w:rPr>
          <w:b/>
        </w:rPr>
        <w:t>A.7.5.2    Nameplate</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p>
    <w:p w14:paraId="54F9F029" w14:textId="526A3DD7" w:rsidR="006B343D" w:rsidRPr="00970A16" w:rsidRDefault="006B343D" w:rsidP="006B343D">
      <w:pPr>
        <w:spacing w:line="300" w:lineRule="auto"/>
      </w:pPr>
      <w:r w:rsidRPr="00970A16">
        <w:t xml:space="preserve">The nameplate data </w:t>
      </w:r>
      <w:r>
        <w:t>must</w:t>
      </w:r>
      <w:r w:rsidRPr="00970A16">
        <w:t xml:space="preserve"> include but is not limited to the following information: Manufacturer, Serial Number or Identification Number, Type, Current Transformer Ratios, Accuracy class and Burden Rating, thermal rating, Rating Factor, and B</w:t>
      </w:r>
      <w:r>
        <w:t xml:space="preserve">asic </w:t>
      </w:r>
      <w:r w:rsidRPr="00970A16">
        <w:t>I</w:t>
      </w:r>
      <w:r>
        <w:t xml:space="preserve">nsulation </w:t>
      </w:r>
      <w:r w:rsidRPr="00970A16">
        <w:t>L</w:t>
      </w:r>
      <w:r>
        <w:t>evel (BIL)</w:t>
      </w:r>
      <w:r w:rsidRPr="00970A16">
        <w:t xml:space="preserve">.  If the </w:t>
      </w:r>
      <w:r w:rsidR="00317FC9">
        <w:t>CTs</w:t>
      </w:r>
      <w:r w:rsidRPr="00970A16">
        <w:t xml:space="preserve"> are not accessible due to energized components or</w:t>
      </w:r>
      <w:r w:rsidR="00A733A6">
        <w:t xml:space="preserve"> if</w:t>
      </w:r>
      <w:r w:rsidRPr="00970A16">
        <w:t xml:space="preserve"> extensive disassembly is required that may impact asset availability, note the unavailability and request the Market Participant to identify a scheduled outage when the </w:t>
      </w:r>
      <w:r w:rsidR="00F73A78">
        <w:t>CT</w:t>
      </w:r>
      <w:r w:rsidRPr="00970A16">
        <w:t xml:space="preserve"> nameplate may be accessed safely.  If a nameplate does not exist showing the ANSI 0.3 accuracy class</w:t>
      </w:r>
      <w:r>
        <w:t xml:space="preserve"> at the highest</w:t>
      </w:r>
      <w:r w:rsidRPr="00970A16">
        <w:t xml:space="preserve">, testing as described in IEEE C57.13 </w:t>
      </w:r>
      <w:r>
        <w:t>must</w:t>
      </w:r>
      <w:r w:rsidRPr="00970A16">
        <w:t xml:space="preserve"> be performed to establish this level of accuracy.</w:t>
      </w:r>
    </w:p>
    <w:p w14:paraId="137F4358" w14:textId="77777777" w:rsidR="006B343D" w:rsidRPr="00970A16" w:rsidRDefault="006B343D" w:rsidP="006B343D">
      <w:pPr>
        <w:keepNext/>
        <w:spacing w:before="240" w:after="240"/>
        <w:outlineLvl w:val="3"/>
        <w:rPr>
          <w:b/>
        </w:rPr>
      </w:pPr>
      <w:bookmarkStart w:id="8670" w:name="_Toc76320645"/>
      <w:bookmarkStart w:id="8671" w:name="_Toc76962387"/>
      <w:bookmarkStart w:id="8672" w:name="_Toc104791739"/>
      <w:bookmarkStart w:id="8673" w:name="_Toc262561033"/>
      <w:bookmarkStart w:id="8674" w:name="_Toc263173507"/>
      <w:bookmarkStart w:id="8675" w:name="_Toc263173718"/>
      <w:bookmarkStart w:id="8676" w:name="_Toc263173925"/>
      <w:bookmarkStart w:id="8677" w:name="_Toc263174352"/>
      <w:bookmarkStart w:id="8678" w:name="_Toc263235256"/>
      <w:bookmarkStart w:id="8679" w:name="_Toc263235900"/>
      <w:bookmarkStart w:id="8680" w:name="_Toc263429702"/>
      <w:bookmarkStart w:id="8681" w:name="_Toc263795757"/>
      <w:bookmarkStart w:id="8682" w:name="_Toc266869940"/>
      <w:bookmarkStart w:id="8683" w:name="_Toc159233625"/>
      <w:bookmarkStart w:id="8684" w:name="_Toc213772197"/>
      <w:bookmarkStart w:id="8685" w:name="_Toc76320646"/>
      <w:bookmarkStart w:id="8686" w:name="_Toc76962388"/>
      <w:bookmarkStart w:id="8687" w:name="_Toc104791740"/>
      <w:bookmarkStart w:id="8688" w:name="_Toc262561034"/>
      <w:bookmarkStart w:id="8689" w:name="_Toc263173508"/>
      <w:bookmarkStart w:id="8690" w:name="_Toc263173719"/>
      <w:bookmarkStart w:id="8691" w:name="_Toc263173926"/>
      <w:bookmarkStart w:id="8692" w:name="_Toc263174353"/>
      <w:bookmarkStart w:id="8693" w:name="_Toc263235257"/>
      <w:bookmarkStart w:id="8694" w:name="_Toc263235901"/>
      <w:bookmarkStart w:id="8695" w:name="_Toc263429703"/>
      <w:bookmarkStart w:id="8696" w:name="_Toc263795758"/>
      <w:bookmarkStart w:id="8697" w:name="_Toc266869941"/>
      <w:bookmarkStart w:id="8698" w:name="_Toc159233626"/>
      <w:r w:rsidRPr="00970A16">
        <w:rPr>
          <w:b/>
        </w:rPr>
        <w:t>A.7.5.3   Electromechanical Burden Testing</w:t>
      </w:r>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14473068" w14:textId="50D34270" w:rsidR="006B343D" w:rsidRPr="00970A16" w:rsidRDefault="006B343D" w:rsidP="006B343D">
      <w:pPr>
        <w:spacing w:line="300" w:lineRule="auto"/>
      </w:pPr>
      <w:r w:rsidRPr="00970A16">
        <w:t xml:space="preserve">The </w:t>
      </w:r>
      <w:r w:rsidR="00F73A78">
        <w:t>CT</w:t>
      </w:r>
      <w:r w:rsidRPr="00970A16">
        <w:t xml:space="preserve"> providing input to electromechanical meters must be burden tested and must pass accuracy requirements. Burdens for electromechanical meters </w:t>
      </w:r>
      <w:r>
        <w:t>must</w:t>
      </w:r>
      <w:r w:rsidRPr="00970A16">
        <w:t xml:space="preserve"> be kept as small as practicable.  Any devices added into the electromechanical CT circuit </w:t>
      </w:r>
      <w:r>
        <w:t>must</w:t>
      </w:r>
      <w:r w:rsidRPr="00970A16">
        <w:t xml:space="preserve"> not exceed the total burden rating of the CT. </w:t>
      </w:r>
    </w:p>
    <w:p w14:paraId="0A18CA6B" w14:textId="77777777" w:rsidR="006B343D" w:rsidRPr="00970A16" w:rsidRDefault="006B343D" w:rsidP="006B343D">
      <w:pPr>
        <w:keepNext/>
        <w:spacing w:before="240" w:after="240"/>
        <w:outlineLvl w:val="3"/>
        <w:rPr>
          <w:b/>
        </w:rPr>
      </w:pPr>
      <w:bookmarkStart w:id="8699" w:name="_Toc213772198"/>
      <w:r w:rsidRPr="00970A16">
        <w:rPr>
          <w:b/>
        </w:rPr>
        <w:t>A.7.5.4   Paralleling</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741A2D08" w14:textId="0CB6AA4E" w:rsidR="006B343D" w:rsidRPr="00970A16" w:rsidRDefault="006B343D" w:rsidP="006B343D">
      <w:pPr>
        <w:spacing w:line="300" w:lineRule="auto"/>
      </w:pPr>
      <w:r w:rsidRPr="00970A16">
        <w:t xml:space="preserve">Paralleling of </w:t>
      </w:r>
      <w:r w:rsidR="00F73A78">
        <w:t>CTs</w:t>
      </w:r>
      <w:r w:rsidRPr="00970A16">
        <w:t xml:space="preserve"> is not recommended.  However, when it is necessary, the following guidelines </w:t>
      </w:r>
      <w:r>
        <w:t>must</w:t>
      </w:r>
      <w:r w:rsidRPr="00970A16">
        <w:t xml:space="preserve"> be adhered to.</w:t>
      </w:r>
    </w:p>
    <w:p w14:paraId="2B3E74A8" w14:textId="56B02AE8" w:rsidR="006B343D" w:rsidRPr="00970A16" w:rsidRDefault="006B343D" w:rsidP="006B343D">
      <w:pPr>
        <w:numPr>
          <w:ilvl w:val="0"/>
          <w:numId w:val="221"/>
        </w:numPr>
        <w:tabs>
          <w:tab w:val="num" w:pos="720"/>
        </w:tabs>
        <w:spacing w:line="300" w:lineRule="auto"/>
        <w:ind w:left="720" w:hanging="540"/>
      </w:pPr>
      <w:r w:rsidRPr="00970A16">
        <w:t xml:space="preserve">All </w:t>
      </w:r>
      <w:r w:rsidR="00B5355D">
        <w:t>CTs</w:t>
      </w:r>
      <w:r w:rsidRPr="00970A16">
        <w:t xml:space="preserve"> must have the same nominal rating regardless of the circuits in which they are connected.</w:t>
      </w:r>
    </w:p>
    <w:p w14:paraId="160E287A" w14:textId="3F6AE571" w:rsidR="006B343D" w:rsidRPr="00970A16" w:rsidRDefault="006B343D" w:rsidP="006B343D">
      <w:pPr>
        <w:numPr>
          <w:ilvl w:val="0"/>
          <w:numId w:val="221"/>
        </w:numPr>
        <w:tabs>
          <w:tab w:val="num" w:pos="720"/>
        </w:tabs>
        <w:spacing w:line="300" w:lineRule="auto"/>
        <w:ind w:left="720" w:hanging="540"/>
      </w:pPr>
      <w:r w:rsidRPr="00970A16">
        <w:t xml:space="preserve">All </w:t>
      </w:r>
      <w:r w:rsidR="00B5355D">
        <w:t>CTs</w:t>
      </w:r>
      <w:r w:rsidRPr="00970A16">
        <w:t xml:space="preserve"> which have their secondaries paralleled must be connected to the same phase of the primary circuits.</w:t>
      </w:r>
    </w:p>
    <w:p w14:paraId="383382D3" w14:textId="77777777" w:rsidR="006B343D" w:rsidRPr="00970A16" w:rsidRDefault="006B343D" w:rsidP="006B343D">
      <w:pPr>
        <w:numPr>
          <w:ilvl w:val="0"/>
          <w:numId w:val="221"/>
        </w:numPr>
        <w:tabs>
          <w:tab w:val="num" w:pos="720"/>
        </w:tabs>
        <w:spacing w:line="300" w:lineRule="auto"/>
        <w:ind w:left="720" w:hanging="540"/>
      </w:pPr>
      <w:r w:rsidRPr="00970A16">
        <w:t xml:space="preserve">The secondary circuits </w:t>
      </w:r>
      <w:r>
        <w:t>must</w:t>
      </w:r>
      <w:r w:rsidRPr="00970A16">
        <w:t xml:space="preserve"> be connected in a configuration to allow for testing of individual instrument transformers.  The secondary circuits </w:t>
      </w:r>
      <w:r>
        <w:t>must</w:t>
      </w:r>
      <w:r w:rsidRPr="00970A16">
        <w:t xml:space="preserve"> be paralleled at a point in the current circuit as close to the meter as practical.</w:t>
      </w:r>
    </w:p>
    <w:p w14:paraId="2B2E9C77" w14:textId="77777777" w:rsidR="006B343D" w:rsidRPr="00970A16" w:rsidRDefault="006B343D" w:rsidP="006B343D">
      <w:pPr>
        <w:numPr>
          <w:ilvl w:val="0"/>
          <w:numId w:val="221"/>
        </w:numPr>
        <w:tabs>
          <w:tab w:val="num" w:pos="720"/>
        </w:tabs>
        <w:spacing w:line="300" w:lineRule="auto"/>
        <w:ind w:left="720" w:hanging="540"/>
      </w:pPr>
      <w:r w:rsidRPr="00970A16">
        <w:t xml:space="preserve">There </w:t>
      </w:r>
      <w:r>
        <w:t>must</w:t>
      </w:r>
      <w:r w:rsidRPr="00970A16">
        <w:t xml:space="preserve"> be only one ground per isolated secondary of all paralleled current transformers.  It is recommended that the ground be located at the meter or at the nearest terminal block to the meter.</w:t>
      </w:r>
    </w:p>
    <w:p w14:paraId="36354378" w14:textId="02F0EDC1" w:rsidR="006B343D" w:rsidRPr="00970A16" w:rsidRDefault="006B343D" w:rsidP="006B343D">
      <w:pPr>
        <w:numPr>
          <w:ilvl w:val="0"/>
          <w:numId w:val="221"/>
        </w:numPr>
        <w:tabs>
          <w:tab w:val="num" w:pos="720"/>
        </w:tabs>
        <w:spacing w:line="300" w:lineRule="auto"/>
        <w:ind w:left="720" w:hanging="540"/>
      </w:pPr>
      <w:r w:rsidRPr="00970A16">
        <w:t xml:space="preserve">The secondary circuits must be so designed that the maximum possible burden on any </w:t>
      </w:r>
      <w:r w:rsidR="00B5355D">
        <w:t>CT</w:t>
      </w:r>
      <w:r w:rsidRPr="00970A16">
        <w:t xml:space="preserve"> will not exceed its rating.</w:t>
      </w:r>
    </w:p>
    <w:p w14:paraId="346A1BF3" w14:textId="77777777" w:rsidR="006B343D" w:rsidRPr="00970A16" w:rsidRDefault="006B343D" w:rsidP="006B343D">
      <w:pPr>
        <w:numPr>
          <w:ilvl w:val="0"/>
          <w:numId w:val="221"/>
        </w:numPr>
        <w:tabs>
          <w:tab w:val="num" w:pos="720"/>
        </w:tabs>
        <w:spacing w:line="300" w:lineRule="auto"/>
        <w:ind w:left="720" w:hanging="540"/>
      </w:pPr>
      <w:r w:rsidRPr="00970A16">
        <w:t>A common voltage must be available for the meter.  This condition is met if the circuits share a common bus that is normally operated with closed bus ties.</w:t>
      </w:r>
    </w:p>
    <w:p w14:paraId="65BF0C72" w14:textId="6FDDC673" w:rsidR="006B343D" w:rsidRPr="00970A16" w:rsidRDefault="006B343D" w:rsidP="006B343D">
      <w:pPr>
        <w:numPr>
          <w:ilvl w:val="0"/>
          <w:numId w:val="221"/>
        </w:numPr>
        <w:tabs>
          <w:tab w:val="num" w:pos="720"/>
        </w:tabs>
        <w:spacing w:line="300" w:lineRule="auto"/>
        <w:ind w:left="720" w:hanging="540"/>
      </w:pPr>
      <w:r w:rsidRPr="00970A16">
        <w:t xml:space="preserve">The meter must have sufficient current capacity to carry the sum of the currents from all the </w:t>
      </w:r>
      <w:r w:rsidR="00B5355D">
        <w:t>CTs</w:t>
      </w:r>
      <w:r w:rsidRPr="00970A16">
        <w:t xml:space="preserve"> to which it is connected.</w:t>
      </w:r>
    </w:p>
    <w:p w14:paraId="6D4D6314" w14:textId="77777777" w:rsidR="006B343D" w:rsidRPr="00970A16" w:rsidRDefault="006B343D" w:rsidP="006B343D">
      <w:pPr>
        <w:keepNext/>
        <w:spacing w:after="240"/>
        <w:outlineLvl w:val="2"/>
        <w:rPr>
          <w:b/>
          <w:sz w:val="26"/>
        </w:rPr>
      </w:pPr>
      <w:bookmarkStart w:id="8700" w:name="_Toc76320647"/>
      <w:bookmarkStart w:id="8701" w:name="_Toc76962389"/>
      <w:bookmarkStart w:id="8702" w:name="_Toc104791741"/>
      <w:bookmarkStart w:id="8703" w:name="_Toc262561035"/>
      <w:bookmarkStart w:id="8704" w:name="_Toc263173927"/>
      <w:bookmarkStart w:id="8705" w:name="_Toc263174354"/>
      <w:bookmarkStart w:id="8706" w:name="_Toc263235258"/>
      <w:bookmarkStart w:id="8707" w:name="_Toc263235902"/>
      <w:bookmarkStart w:id="8708" w:name="_Toc263429704"/>
      <w:bookmarkStart w:id="8709" w:name="_Toc263795759"/>
      <w:bookmarkStart w:id="8710" w:name="_Toc266869942"/>
      <w:bookmarkStart w:id="8711" w:name="_Toc159233627"/>
      <w:bookmarkStart w:id="8712" w:name="_Toc213772199"/>
      <w:r w:rsidRPr="00970A16">
        <w:rPr>
          <w:b/>
          <w:sz w:val="26"/>
        </w:rPr>
        <w:t>A7.6     Coupling Capacitor Voltage Transformers</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p>
    <w:p w14:paraId="4CDEE529" w14:textId="77777777" w:rsidR="006B343D" w:rsidRPr="00970A16" w:rsidRDefault="006B343D" w:rsidP="006B343D">
      <w:pPr>
        <w:keepNext/>
        <w:spacing w:before="240" w:after="240"/>
        <w:outlineLvl w:val="3"/>
        <w:rPr>
          <w:b/>
        </w:rPr>
      </w:pPr>
      <w:bookmarkStart w:id="8713" w:name="_Toc76320648"/>
      <w:bookmarkStart w:id="8714" w:name="_Toc76962390"/>
      <w:bookmarkStart w:id="8715" w:name="_Toc104791742"/>
      <w:bookmarkStart w:id="8716" w:name="_Toc262561036"/>
      <w:bookmarkStart w:id="8717" w:name="_Toc263173509"/>
      <w:bookmarkStart w:id="8718" w:name="_Toc263173720"/>
      <w:bookmarkStart w:id="8719" w:name="_Toc263173928"/>
      <w:bookmarkStart w:id="8720" w:name="_Toc263174355"/>
      <w:bookmarkStart w:id="8721" w:name="_Toc263235259"/>
      <w:bookmarkStart w:id="8722" w:name="_Toc263235903"/>
      <w:bookmarkStart w:id="8723" w:name="_Toc263429705"/>
      <w:bookmarkStart w:id="8724" w:name="_Toc263795760"/>
      <w:bookmarkStart w:id="8725" w:name="_Toc266869943"/>
      <w:bookmarkStart w:id="8726" w:name="_Toc159233628"/>
      <w:bookmarkStart w:id="8727" w:name="_Toc213772200"/>
      <w:r w:rsidRPr="00970A16">
        <w:rPr>
          <w:b/>
        </w:rPr>
        <w:t>A7.6.1   General</w:t>
      </w:r>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p>
    <w:p w14:paraId="1E0A2924" w14:textId="77777777" w:rsidR="006B343D" w:rsidRPr="00970A16" w:rsidRDefault="006B343D" w:rsidP="006B343D">
      <w:pPr>
        <w:spacing w:line="300" w:lineRule="auto"/>
      </w:pPr>
      <w:r w:rsidRPr="00970A16">
        <w:t>Existing coupling capacitor voltage transformers at a minimum are to provide the same accuracy class as wire wound devices.  Newly installed/replaced coupling capacitor voltage transformers can be used with an accuracy class of 0.3% or better</w:t>
      </w:r>
      <w:r w:rsidRPr="001C1706">
        <w:t xml:space="preserve"> </w:t>
      </w:r>
      <w:r w:rsidRPr="00970A16">
        <w:t xml:space="preserve">through Burden </w:t>
      </w:r>
      <w:r>
        <w:t>Y</w:t>
      </w:r>
      <w:r w:rsidRPr="00970A16">
        <w:t xml:space="preserve">.   </w:t>
      </w:r>
    </w:p>
    <w:p w14:paraId="06D91C5A" w14:textId="77777777" w:rsidR="006B343D" w:rsidRPr="00970A16" w:rsidRDefault="006B343D" w:rsidP="006B343D">
      <w:pPr>
        <w:keepNext/>
        <w:spacing w:before="240" w:after="240"/>
        <w:outlineLvl w:val="3"/>
        <w:rPr>
          <w:b/>
        </w:rPr>
      </w:pPr>
      <w:bookmarkStart w:id="8728" w:name="_Toc76320649"/>
      <w:bookmarkStart w:id="8729" w:name="_Toc76962391"/>
      <w:bookmarkStart w:id="8730" w:name="_Toc104791743"/>
      <w:bookmarkStart w:id="8731" w:name="_Toc262561037"/>
      <w:bookmarkStart w:id="8732" w:name="_Toc263173510"/>
      <w:bookmarkStart w:id="8733" w:name="_Toc263173721"/>
      <w:bookmarkStart w:id="8734" w:name="_Toc263173929"/>
      <w:bookmarkStart w:id="8735" w:name="_Toc263174356"/>
      <w:bookmarkStart w:id="8736" w:name="_Toc263235260"/>
      <w:bookmarkStart w:id="8737" w:name="_Toc263235904"/>
      <w:bookmarkStart w:id="8738" w:name="_Toc263429706"/>
      <w:bookmarkStart w:id="8739" w:name="_Toc263795761"/>
      <w:bookmarkStart w:id="8740" w:name="_Toc266869944"/>
      <w:bookmarkStart w:id="8741" w:name="_Toc159233629"/>
      <w:bookmarkStart w:id="8742" w:name="_Toc213772201"/>
      <w:r w:rsidRPr="00970A16">
        <w:rPr>
          <w:b/>
        </w:rPr>
        <w:t>A.7.6.2     Nameplate</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52216D1B" w14:textId="7981DB23" w:rsidR="006B343D" w:rsidRPr="00970A16" w:rsidRDefault="006B343D" w:rsidP="006B343D">
      <w:pPr>
        <w:spacing w:line="300" w:lineRule="auto"/>
      </w:pPr>
      <w:r w:rsidRPr="00970A16">
        <w:rPr>
          <w:spacing w:val="-2"/>
        </w:rPr>
        <w:t>Coupling capacitor</w:t>
      </w:r>
      <w:r w:rsidRPr="00970A16">
        <w:t xml:space="preserve"> voltage transformers </w:t>
      </w:r>
      <w:r>
        <w:t>must</w:t>
      </w:r>
      <w:r w:rsidRPr="00970A16">
        <w:t xml:space="preserve"> comply with ANSI 0.3 accuracy class</w:t>
      </w:r>
      <w:r w:rsidRPr="00970A16">
        <w:rPr>
          <w:spacing w:val="-2"/>
        </w:rPr>
        <w:t xml:space="preserve"> or better for W, X, M, Y, and Z burden levels</w:t>
      </w:r>
      <w:r w:rsidRPr="00970A16">
        <w:t xml:space="preserve">.  If a nameplate does not exist showing the ANSI 0.3 accuracy class, testing as described in ANSI </w:t>
      </w:r>
      <w:r w:rsidRPr="00970A16">
        <w:rPr>
          <w:spacing w:val="-2"/>
        </w:rPr>
        <w:t xml:space="preserve">C93.1 </w:t>
      </w:r>
      <w:r>
        <w:t>must</w:t>
      </w:r>
      <w:r w:rsidRPr="00970A16">
        <w:t xml:space="preserve"> be performed to establish this level of accuracy and a nameplate created.  Accessibility, content</w:t>
      </w:r>
      <w:r w:rsidR="00E618DA">
        <w:t>,</w:t>
      </w:r>
      <w:r w:rsidRPr="00970A16">
        <w:t xml:space="preserve"> and procedures to update the nameplate </w:t>
      </w:r>
      <w:r>
        <w:t>must</w:t>
      </w:r>
      <w:r w:rsidRPr="00970A16">
        <w:t xml:space="preserve"> otherwise follow those outlined for current transformers in Section </w:t>
      </w:r>
      <w:r>
        <w:t>A</w:t>
      </w:r>
      <w:r w:rsidRPr="00970A16">
        <w:t>.7.5.1.</w:t>
      </w:r>
    </w:p>
    <w:p w14:paraId="6763786D" w14:textId="77777777" w:rsidR="006B343D" w:rsidRPr="00970A16" w:rsidRDefault="006B343D" w:rsidP="006B343D">
      <w:pPr>
        <w:keepNext/>
        <w:spacing w:before="240" w:after="240"/>
        <w:outlineLvl w:val="3"/>
        <w:rPr>
          <w:b/>
        </w:rPr>
      </w:pPr>
      <w:bookmarkStart w:id="8743" w:name="_Toc76320651"/>
      <w:bookmarkStart w:id="8744" w:name="_Toc76962393"/>
      <w:bookmarkStart w:id="8745" w:name="_Toc104791745"/>
      <w:bookmarkStart w:id="8746" w:name="_Toc262561039"/>
      <w:bookmarkStart w:id="8747" w:name="_Toc263173512"/>
      <w:bookmarkStart w:id="8748" w:name="_Toc263173723"/>
      <w:bookmarkStart w:id="8749" w:name="_Toc263173931"/>
      <w:bookmarkStart w:id="8750" w:name="_Toc263174358"/>
      <w:bookmarkStart w:id="8751" w:name="_Toc263235262"/>
      <w:bookmarkStart w:id="8752" w:name="_Toc263235906"/>
      <w:bookmarkStart w:id="8753" w:name="_Toc263429708"/>
      <w:bookmarkStart w:id="8754" w:name="_Toc263795763"/>
      <w:bookmarkStart w:id="8755" w:name="_Toc266869946"/>
      <w:bookmarkStart w:id="8756" w:name="_Toc159233630"/>
      <w:bookmarkStart w:id="8757" w:name="_Toc213772202"/>
      <w:r w:rsidRPr="00970A16">
        <w:rPr>
          <w:b/>
        </w:rPr>
        <w:t xml:space="preserve">A.7.6.3    </w:t>
      </w:r>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r w:rsidRPr="00970A16">
        <w:rPr>
          <w:b/>
        </w:rPr>
        <w:t>Burden Testing</w:t>
      </w:r>
      <w:bookmarkEnd w:id="8757"/>
      <w:r w:rsidRPr="00970A16">
        <w:rPr>
          <w:b/>
        </w:rPr>
        <w:t xml:space="preserve"> </w:t>
      </w:r>
    </w:p>
    <w:p w14:paraId="6E0FE2B5" w14:textId="77777777" w:rsidR="006B343D" w:rsidRPr="00970A16" w:rsidRDefault="006B343D" w:rsidP="006B343D">
      <w:pPr>
        <w:spacing w:line="300" w:lineRule="auto"/>
        <w:rPr>
          <w:spacing w:val="-2"/>
        </w:rPr>
      </w:pPr>
      <w:r w:rsidRPr="00970A16">
        <w:t xml:space="preserve">The total burden/volt-ampere rating on the voltage transformer secondary </w:t>
      </w:r>
      <w:r>
        <w:t>must</w:t>
      </w:r>
      <w:r w:rsidRPr="00970A16">
        <w:t xml:space="preserve"> not exceed the accuracy burden listed on the nameplate of the voltage transformer.  </w:t>
      </w:r>
    </w:p>
    <w:p w14:paraId="72793648" w14:textId="77777777" w:rsidR="006B343D" w:rsidRPr="00970A16" w:rsidRDefault="006B343D" w:rsidP="006B343D">
      <w:pPr>
        <w:keepNext/>
        <w:spacing w:after="240"/>
        <w:outlineLvl w:val="2"/>
        <w:rPr>
          <w:b/>
          <w:sz w:val="26"/>
        </w:rPr>
      </w:pPr>
      <w:bookmarkStart w:id="8758" w:name="_Toc76320652"/>
      <w:bookmarkStart w:id="8759" w:name="_Toc76962394"/>
      <w:bookmarkStart w:id="8760" w:name="_Toc104791746"/>
      <w:bookmarkStart w:id="8761" w:name="_Toc262561040"/>
      <w:bookmarkStart w:id="8762" w:name="_Toc263173932"/>
      <w:bookmarkStart w:id="8763" w:name="_Toc263174359"/>
      <w:bookmarkStart w:id="8764" w:name="_Toc263235263"/>
      <w:bookmarkStart w:id="8765" w:name="_Toc263235907"/>
      <w:bookmarkStart w:id="8766" w:name="_Toc263429709"/>
      <w:bookmarkStart w:id="8767" w:name="_Toc263795764"/>
      <w:bookmarkStart w:id="8768" w:name="_Toc266869947"/>
      <w:bookmarkStart w:id="8769" w:name="_Toc159233631"/>
      <w:bookmarkStart w:id="8770" w:name="_Toc213772203"/>
      <w:r w:rsidRPr="00970A16">
        <w:rPr>
          <w:b/>
          <w:sz w:val="26"/>
        </w:rPr>
        <w:t>A.7.7       Wire Wound Voltage Transformers</w:t>
      </w:r>
      <w:bookmarkEnd w:id="8758"/>
      <w:bookmarkEnd w:id="8759"/>
      <w:bookmarkEnd w:id="8760"/>
      <w:bookmarkEnd w:id="8761"/>
      <w:bookmarkEnd w:id="8762"/>
      <w:bookmarkEnd w:id="8763"/>
      <w:bookmarkEnd w:id="8764"/>
      <w:bookmarkEnd w:id="8765"/>
      <w:bookmarkEnd w:id="8766"/>
      <w:bookmarkEnd w:id="8767"/>
      <w:bookmarkEnd w:id="8768"/>
      <w:bookmarkEnd w:id="8769"/>
      <w:bookmarkEnd w:id="8770"/>
    </w:p>
    <w:p w14:paraId="2F24642A" w14:textId="77777777" w:rsidR="006B343D" w:rsidRPr="00970A16" w:rsidRDefault="006B343D" w:rsidP="006B343D">
      <w:pPr>
        <w:keepNext/>
        <w:spacing w:before="240" w:after="240"/>
        <w:outlineLvl w:val="3"/>
        <w:rPr>
          <w:b/>
        </w:rPr>
      </w:pPr>
      <w:bookmarkStart w:id="8771" w:name="_Toc76320653"/>
      <w:bookmarkStart w:id="8772" w:name="_Toc76962395"/>
      <w:bookmarkStart w:id="8773" w:name="_Toc104791747"/>
      <w:bookmarkStart w:id="8774" w:name="_Toc262561041"/>
      <w:bookmarkStart w:id="8775" w:name="_Toc263173513"/>
      <w:bookmarkStart w:id="8776" w:name="_Toc263173724"/>
      <w:bookmarkStart w:id="8777" w:name="_Toc263173933"/>
      <w:bookmarkStart w:id="8778" w:name="_Toc263174360"/>
      <w:bookmarkStart w:id="8779" w:name="_Toc263235264"/>
      <w:bookmarkStart w:id="8780" w:name="_Toc263235908"/>
      <w:bookmarkStart w:id="8781" w:name="_Toc263429710"/>
      <w:bookmarkStart w:id="8782" w:name="_Toc263795765"/>
      <w:bookmarkStart w:id="8783" w:name="_Toc266869948"/>
      <w:bookmarkStart w:id="8784" w:name="_Toc159233632"/>
      <w:bookmarkStart w:id="8785" w:name="_Toc213772204"/>
      <w:r w:rsidRPr="00970A16">
        <w:rPr>
          <w:b/>
        </w:rPr>
        <w:t>A.7.7.1     Nameplate</w:t>
      </w:r>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p>
    <w:p w14:paraId="22236A6A" w14:textId="26A20E41" w:rsidR="006B343D" w:rsidRPr="00970A16" w:rsidRDefault="006B343D" w:rsidP="006B343D">
      <w:pPr>
        <w:spacing w:line="300" w:lineRule="auto"/>
      </w:pPr>
      <w:r w:rsidRPr="00970A16">
        <w:t xml:space="preserve">Voltage transformers </w:t>
      </w:r>
      <w:r>
        <w:t>must</w:t>
      </w:r>
      <w:r w:rsidRPr="00970A16">
        <w:t xml:space="preserve"> comply with ANSI 0.3 accuracy class</w:t>
      </w:r>
      <w:r w:rsidRPr="00970A16">
        <w:rPr>
          <w:spacing w:val="-2"/>
        </w:rPr>
        <w:t xml:space="preserve"> or better for W, X, M, Y, and Z burden levels</w:t>
      </w:r>
      <w:r w:rsidRPr="00970A16">
        <w:t>.  If a nameplate does not exist showing the ANSI 0.3 accuracy class</w:t>
      </w:r>
      <w:r>
        <w:t xml:space="preserve"> or better</w:t>
      </w:r>
      <w:r w:rsidRPr="00970A16">
        <w:t xml:space="preserve">, testing as described in IEEE C57.13 </w:t>
      </w:r>
      <w:r>
        <w:t>must</w:t>
      </w:r>
      <w:r w:rsidRPr="00970A16">
        <w:t xml:space="preserve"> be performed to establish this level of accuracy and a nameplate created.  Accessibility, content</w:t>
      </w:r>
      <w:r w:rsidR="00E618DA">
        <w:t>,</w:t>
      </w:r>
      <w:r w:rsidRPr="00970A16">
        <w:t xml:space="preserve"> and procedures to update the nameplate </w:t>
      </w:r>
      <w:r>
        <w:t>must</w:t>
      </w:r>
      <w:r w:rsidRPr="00970A16">
        <w:t xml:space="preserve"> otherwise follow those outlined for current transformers in Section </w:t>
      </w:r>
      <w:r>
        <w:t>A</w:t>
      </w:r>
      <w:r w:rsidRPr="00970A16">
        <w:t>.7.5.1.</w:t>
      </w:r>
    </w:p>
    <w:p w14:paraId="43B61F1A" w14:textId="77777777" w:rsidR="006B343D" w:rsidRPr="00970A16" w:rsidRDefault="006B343D" w:rsidP="006B343D">
      <w:pPr>
        <w:keepNext/>
        <w:spacing w:before="240" w:after="240"/>
        <w:outlineLvl w:val="3"/>
        <w:rPr>
          <w:b/>
        </w:rPr>
      </w:pPr>
      <w:bookmarkStart w:id="8786" w:name="_Toc76320655"/>
      <w:bookmarkStart w:id="8787" w:name="_Toc76962397"/>
      <w:bookmarkStart w:id="8788" w:name="_Toc104791749"/>
      <w:bookmarkStart w:id="8789" w:name="_Toc262561043"/>
      <w:bookmarkStart w:id="8790" w:name="_Toc263173515"/>
      <w:bookmarkStart w:id="8791" w:name="_Toc263173726"/>
      <w:bookmarkStart w:id="8792" w:name="_Toc263173935"/>
      <w:bookmarkStart w:id="8793" w:name="_Toc263174362"/>
      <w:bookmarkStart w:id="8794" w:name="_Toc263235266"/>
      <w:bookmarkStart w:id="8795" w:name="_Toc263235910"/>
      <w:bookmarkStart w:id="8796" w:name="_Toc263429712"/>
      <w:bookmarkStart w:id="8797" w:name="_Toc263795767"/>
      <w:bookmarkStart w:id="8798" w:name="_Toc266869950"/>
      <w:bookmarkStart w:id="8799" w:name="_Toc159233633"/>
      <w:bookmarkStart w:id="8800" w:name="_Toc213772205"/>
      <w:r w:rsidRPr="00970A16">
        <w:rPr>
          <w:b/>
        </w:rPr>
        <w:t xml:space="preserve">A.7.7.2     </w:t>
      </w:r>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r w:rsidRPr="00970A16">
        <w:rPr>
          <w:b/>
        </w:rPr>
        <w:t>Burden Testing</w:t>
      </w:r>
      <w:bookmarkEnd w:id="8800"/>
    </w:p>
    <w:p w14:paraId="3CD403EF" w14:textId="77777777" w:rsidR="006B343D" w:rsidRPr="00970A16" w:rsidRDefault="006B343D" w:rsidP="006B343D">
      <w:pPr>
        <w:spacing w:line="300" w:lineRule="auto"/>
      </w:pPr>
      <w:r w:rsidRPr="00970A16">
        <w:t xml:space="preserve">The voltage transformer burdens </w:t>
      </w:r>
      <w:r>
        <w:t>must</w:t>
      </w:r>
      <w:r w:rsidRPr="00970A16">
        <w:t xml:space="preserve"> be kept as small as practical.  The total burden/volt-ampere rating on the voltage transformer secondary </w:t>
      </w:r>
      <w:r>
        <w:t>must</w:t>
      </w:r>
      <w:r w:rsidRPr="00970A16">
        <w:t xml:space="preserve"> not exceed the accuracy burden listed on the nameplate of the voltage transformer.  This burden </w:t>
      </w:r>
      <w:r>
        <w:t>must</w:t>
      </w:r>
      <w:r w:rsidRPr="00970A16">
        <w:t xml:space="preserve"> include the meter, the secondary leads, and any equipment connected in the circuit.</w:t>
      </w:r>
    </w:p>
    <w:p w14:paraId="5CA2A832" w14:textId="77777777" w:rsidR="009B43EC" w:rsidRPr="00970A16" w:rsidRDefault="009B43EC" w:rsidP="009B43EC">
      <w:pPr>
        <w:spacing w:line="300" w:lineRule="auto"/>
        <w:sectPr w:rsidR="009B43EC" w:rsidRPr="00970A16" w:rsidSect="009B43EC">
          <w:pgSz w:w="12240" w:h="15840"/>
          <w:pgMar w:top="1728" w:right="1440" w:bottom="1728" w:left="1440" w:header="720" w:footer="720" w:gutter="0"/>
          <w:cols w:space="720"/>
        </w:sectPr>
      </w:pPr>
    </w:p>
    <w:p w14:paraId="671B779A" w14:textId="77777777" w:rsidR="009B43EC" w:rsidRPr="00970A16" w:rsidRDefault="009B43EC" w:rsidP="009B43EC">
      <w:pPr>
        <w:keepNext/>
        <w:spacing w:after="240"/>
        <w:outlineLvl w:val="0"/>
        <w:rPr>
          <w:b/>
          <w:kern w:val="28"/>
          <w:sz w:val="34"/>
        </w:rPr>
      </w:pPr>
      <w:bookmarkStart w:id="8801" w:name="_Toc241309360"/>
      <w:bookmarkStart w:id="8802" w:name="_Toc247271070"/>
      <w:bookmarkStart w:id="8803" w:name="_Toc258924980"/>
      <w:bookmarkStart w:id="8804" w:name="_Toc263173540"/>
      <w:bookmarkStart w:id="8805" w:name="_Toc263173733"/>
      <w:bookmarkStart w:id="8806" w:name="_Toc263173946"/>
      <w:bookmarkStart w:id="8807" w:name="_Toc263174388"/>
      <w:bookmarkStart w:id="8808" w:name="_Toc263235293"/>
      <w:bookmarkStart w:id="8809" w:name="_Toc263235937"/>
      <w:bookmarkStart w:id="8810" w:name="_Toc263429739"/>
      <w:bookmarkStart w:id="8811" w:name="_Toc263795794"/>
      <w:bookmarkStart w:id="8812" w:name="_Toc266869977"/>
      <w:bookmarkStart w:id="8813" w:name="_Toc159233637"/>
      <w:bookmarkStart w:id="8814" w:name="_Toc213772206"/>
      <w:r w:rsidRPr="00970A16">
        <w:rPr>
          <w:b/>
          <w:kern w:val="28"/>
          <w:sz w:val="34"/>
        </w:rPr>
        <w:t>Appendix B</w:t>
      </w:r>
      <w:r w:rsidRPr="00970A16">
        <w:rPr>
          <w:b/>
          <w:kern w:val="28"/>
          <w:sz w:val="34"/>
        </w:rPr>
        <w:tab/>
        <w:t>Settlement Metering Data Management Protocols</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p>
    <w:p w14:paraId="23C84F4D" w14:textId="77777777" w:rsidR="009B43EC" w:rsidRPr="00970A16" w:rsidRDefault="009B43EC" w:rsidP="009B43EC">
      <w:pPr>
        <w:spacing w:line="300" w:lineRule="auto"/>
      </w:pPr>
    </w:p>
    <w:p w14:paraId="5696F638" w14:textId="77777777" w:rsidR="009B43EC" w:rsidRPr="00970A16" w:rsidRDefault="009B43EC" w:rsidP="009B43EC">
      <w:pPr>
        <w:spacing w:line="300" w:lineRule="auto"/>
        <w:sectPr w:rsidR="009B43EC" w:rsidRPr="00970A16" w:rsidSect="009B43EC">
          <w:pgSz w:w="12240" w:h="15840"/>
          <w:pgMar w:top="1728" w:right="1440" w:bottom="1728" w:left="1440" w:header="720" w:footer="720" w:gutter="0"/>
          <w:cols w:space="720"/>
        </w:sectPr>
      </w:pPr>
    </w:p>
    <w:p w14:paraId="7870937D" w14:textId="77777777" w:rsidR="009B43EC" w:rsidRPr="00970A16" w:rsidRDefault="009B43EC" w:rsidP="009B43EC">
      <w:pPr>
        <w:keepNext/>
        <w:spacing w:after="240"/>
        <w:outlineLvl w:val="1"/>
        <w:rPr>
          <w:b/>
          <w:sz w:val="30"/>
        </w:rPr>
      </w:pPr>
      <w:bookmarkStart w:id="8815" w:name="_Toc159233638"/>
      <w:bookmarkStart w:id="8816" w:name="_Toc213772207"/>
      <w:r w:rsidRPr="00970A16">
        <w:rPr>
          <w:b/>
          <w:sz w:val="30"/>
        </w:rPr>
        <w:t>B.1</w:t>
      </w:r>
      <w:r w:rsidRPr="00970A16">
        <w:rPr>
          <w:b/>
          <w:sz w:val="30"/>
        </w:rPr>
        <w:tab/>
        <w:t xml:space="preserve">    Scope</w:t>
      </w:r>
      <w:bookmarkEnd w:id="8815"/>
      <w:bookmarkEnd w:id="8816"/>
    </w:p>
    <w:p w14:paraId="11D717C0" w14:textId="77777777" w:rsidR="009B43EC" w:rsidRPr="00970A16" w:rsidRDefault="009B43EC" w:rsidP="009B43EC">
      <w:pPr>
        <w:spacing w:line="300" w:lineRule="auto"/>
      </w:pPr>
      <w:r w:rsidRPr="00970A16">
        <w:t>This document will serve as a definitive resource concerning the expected responsibilities, duties, standards, processes, and liabilities with regard to the Market Participants and their designated Meter Agent(s) for Markets+ settlement Meter Data.</w:t>
      </w:r>
    </w:p>
    <w:p w14:paraId="03B6E59D" w14:textId="77777777" w:rsidR="009B43EC" w:rsidRPr="00970A16" w:rsidRDefault="009B43EC" w:rsidP="009B43EC">
      <w:pPr>
        <w:keepNext/>
        <w:spacing w:after="240"/>
        <w:outlineLvl w:val="1"/>
        <w:rPr>
          <w:b/>
          <w:sz w:val="30"/>
        </w:rPr>
      </w:pPr>
      <w:bookmarkStart w:id="8817" w:name="_Toc120891409"/>
      <w:bookmarkStart w:id="8818" w:name="_Toc120920480"/>
      <w:bookmarkStart w:id="8819" w:name="_Toc262561057"/>
      <w:bookmarkStart w:id="8820" w:name="_Toc263173542"/>
      <w:bookmarkStart w:id="8821" w:name="_Toc263173735"/>
      <w:bookmarkStart w:id="8822" w:name="_Toc263173948"/>
      <w:bookmarkStart w:id="8823" w:name="_Toc263174390"/>
      <w:bookmarkStart w:id="8824" w:name="_Toc263235295"/>
      <w:bookmarkStart w:id="8825" w:name="_Toc263235939"/>
      <w:bookmarkStart w:id="8826" w:name="_Toc263429741"/>
      <w:bookmarkStart w:id="8827" w:name="_Toc263795796"/>
      <w:bookmarkStart w:id="8828" w:name="_Toc266869979"/>
      <w:bookmarkStart w:id="8829" w:name="_Toc159233639"/>
      <w:bookmarkStart w:id="8830" w:name="_Toc213772208"/>
      <w:r w:rsidRPr="00970A16">
        <w:rPr>
          <w:b/>
          <w:sz w:val="30"/>
        </w:rPr>
        <w:t>B.2</w:t>
      </w:r>
      <w:r w:rsidRPr="00970A16">
        <w:rPr>
          <w:b/>
          <w:sz w:val="30"/>
        </w:rPr>
        <w:tab/>
        <w:t xml:space="preserve">    Purpose</w:t>
      </w:r>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14:paraId="1A9368BE" w14:textId="3B6E39E7" w:rsidR="009B43EC" w:rsidRPr="00970A16" w:rsidRDefault="009B43EC" w:rsidP="009B43EC">
      <w:pPr>
        <w:spacing w:line="300" w:lineRule="auto"/>
      </w:pPr>
      <w:r w:rsidRPr="00970A16">
        <w:t>This document will provide the standards by which the Meter Agent, on behalf of the Market Participant, consistent with other sections of the Markets+ Protocols and the Markets+ Tariff</w:t>
      </w:r>
      <w:r w:rsidR="00D670CF">
        <w:t>,</w:t>
      </w:r>
      <w:r w:rsidRPr="00970A16">
        <w:t xml:space="preserve"> will collect, calculate, document, and report settlement Meter Data for Markets+.</w:t>
      </w:r>
    </w:p>
    <w:p w14:paraId="2425F70C" w14:textId="77777777" w:rsidR="009B43EC" w:rsidRPr="00970A16" w:rsidRDefault="009B43EC" w:rsidP="009B43EC">
      <w:pPr>
        <w:keepNext/>
        <w:spacing w:after="240"/>
        <w:outlineLvl w:val="1"/>
        <w:rPr>
          <w:b/>
          <w:sz w:val="30"/>
        </w:rPr>
      </w:pPr>
      <w:bookmarkStart w:id="8831" w:name="_Toc120891410"/>
      <w:bookmarkStart w:id="8832" w:name="_Toc120920481"/>
      <w:bookmarkStart w:id="8833" w:name="_Toc262561058"/>
      <w:bookmarkStart w:id="8834" w:name="_Toc263173543"/>
      <w:bookmarkStart w:id="8835" w:name="_Toc263173736"/>
      <w:bookmarkStart w:id="8836" w:name="_Toc263173949"/>
      <w:bookmarkStart w:id="8837" w:name="_Toc263174391"/>
      <w:bookmarkStart w:id="8838" w:name="_Toc263235296"/>
      <w:bookmarkStart w:id="8839" w:name="_Toc263235940"/>
      <w:bookmarkStart w:id="8840" w:name="_Toc263429742"/>
      <w:bookmarkStart w:id="8841" w:name="_Toc263795797"/>
      <w:bookmarkStart w:id="8842" w:name="_Toc266869980"/>
      <w:bookmarkStart w:id="8843" w:name="_Toc159233640"/>
      <w:bookmarkStart w:id="8844" w:name="_Toc213772209"/>
      <w:r w:rsidRPr="00970A16">
        <w:rPr>
          <w:b/>
          <w:sz w:val="30"/>
        </w:rPr>
        <w:t>B.3</w:t>
      </w:r>
      <w:r w:rsidRPr="00970A16">
        <w:rPr>
          <w:b/>
          <w:sz w:val="30"/>
        </w:rPr>
        <w:tab/>
        <w:t xml:space="preserve">    Definitions</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p>
    <w:p w14:paraId="5F835FC6" w14:textId="2A13129B" w:rsidR="009B43EC" w:rsidRPr="00970A16" w:rsidRDefault="009B43EC" w:rsidP="009B43EC">
      <w:pPr>
        <w:spacing w:line="300" w:lineRule="auto"/>
      </w:pPr>
      <w:r w:rsidRPr="00970A16">
        <w:t xml:space="preserve">This </w:t>
      </w:r>
      <w:r w:rsidR="00320029">
        <w:t>A</w:t>
      </w:r>
      <w:r w:rsidRPr="00970A16">
        <w:t xml:space="preserve">ppendix </w:t>
      </w:r>
      <w:r w:rsidR="00D73B63">
        <w:t>B</w:t>
      </w:r>
      <w:r w:rsidRPr="00970A16">
        <w:t xml:space="preserve"> uses the terms as defined in Section </w:t>
      </w:r>
      <w:r w:rsidRPr="00970A16">
        <w:fldChar w:fldCharType="begin"/>
      </w:r>
      <w:r w:rsidRPr="00970A16">
        <w:instrText xml:space="preserve"> REF _Ref349743783 \n \h </w:instrText>
      </w:r>
      <w:r w:rsidRPr="00970A16">
        <w:fldChar w:fldCharType="separate"/>
      </w:r>
      <w:r w:rsidRPr="00970A16">
        <w:t>1</w:t>
      </w:r>
      <w:r w:rsidRPr="00970A16">
        <w:fldChar w:fldCharType="end"/>
      </w:r>
      <w:r w:rsidRPr="00970A16">
        <w:t xml:space="preserve">.  </w:t>
      </w:r>
    </w:p>
    <w:p w14:paraId="4DFE15A8" w14:textId="77777777" w:rsidR="009B43EC" w:rsidRPr="00970A16" w:rsidRDefault="009B43EC" w:rsidP="009B43EC">
      <w:pPr>
        <w:keepNext/>
        <w:spacing w:after="240"/>
        <w:outlineLvl w:val="1"/>
        <w:rPr>
          <w:b/>
          <w:sz w:val="30"/>
        </w:rPr>
      </w:pPr>
      <w:bookmarkStart w:id="8845" w:name="_Toc120891411"/>
      <w:bookmarkStart w:id="8846" w:name="_Toc120920482"/>
      <w:bookmarkStart w:id="8847" w:name="_Toc262561059"/>
      <w:bookmarkStart w:id="8848" w:name="_Toc263173544"/>
      <w:bookmarkStart w:id="8849" w:name="_Toc263173737"/>
      <w:bookmarkStart w:id="8850" w:name="_Toc263173950"/>
      <w:bookmarkStart w:id="8851" w:name="_Toc263174392"/>
      <w:bookmarkStart w:id="8852" w:name="_Toc263235297"/>
      <w:bookmarkStart w:id="8853" w:name="_Toc263235941"/>
      <w:bookmarkStart w:id="8854" w:name="_Toc263429743"/>
      <w:bookmarkStart w:id="8855" w:name="_Toc263795798"/>
      <w:bookmarkStart w:id="8856" w:name="_Toc266869981"/>
      <w:bookmarkStart w:id="8857" w:name="_Toc159233641"/>
      <w:bookmarkStart w:id="8858" w:name="_Toc213772210"/>
      <w:r w:rsidRPr="00970A16">
        <w:rPr>
          <w:b/>
          <w:sz w:val="30"/>
        </w:rPr>
        <w:t>B.4</w:t>
      </w:r>
      <w:r w:rsidRPr="00970A16">
        <w:rPr>
          <w:b/>
          <w:sz w:val="30"/>
        </w:rPr>
        <w:tab/>
        <w:t xml:space="preserve">    Market Participants</w:t>
      </w:r>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
    <w:p w14:paraId="2791A8FF" w14:textId="77777777" w:rsidR="009B43EC" w:rsidRPr="00970A16" w:rsidRDefault="009B43EC" w:rsidP="009B43EC">
      <w:pPr>
        <w:spacing w:line="300" w:lineRule="auto"/>
      </w:pPr>
      <w:r w:rsidRPr="00970A16">
        <w:t xml:space="preserve">This document will define what is expected of the Market Participant with regards to their Meter Data Submittal Locations.  </w:t>
      </w:r>
    </w:p>
    <w:p w14:paraId="1A0D05BF" w14:textId="77777777" w:rsidR="009B43EC" w:rsidRPr="00970A16" w:rsidRDefault="009B43EC" w:rsidP="009B43EC">
      <w:pPr>
        <w:keepNext/>
        <w:spacing w:after="240"/>
        <w:outlineLvl w:val="2"/>
        <w:rPr>
          <w:b/>
          <w:sz w:val="26"/>
        </w:rPr>
      </w:pPr>
      <w:bookmarkStart w:id="8859" w:name="_Toc120891412"/>
      <w:bookmarkStart w:id="8860" w:name="_Toc120920483"/>
      <w:bookmarkStart w:id="8861" w:name="_Toc262561060"/>
      <w:bookmarkStart w:id="8862" w:name="_Toc263173951"/>
      <w:bookmarkStart w:id="8863" w:name="_Toc263174393"/>
      <w:bookmarkStart w:id="8864" w:name="_Toc263235298"/>
      <w:bookmarkStart w:id="8865" w:name="_Toc263235942"/>
      <w:bookmarkStart w:id="8866" w:name="_Toc263429744"/>
      <w:bookmarkStart w:id="8867" w:name="_Toc263795799"/>
      <w:bookmarkStart w:id="8868" w:name="_Toc266869982"/>
      <w:bookmarkStart w:id="8869" w:name="_Toc159233642"/>
      <w:bookmarkStart w:id="8870" w:name="_Toc213772211"/>
      <w:r w:rsidRPr="00970A16">
        <w:rPr>
          <w:b/>
          <w:sz w:val="26"/>
        </w:rPr>
        <w:t>B.4.1</w:t>
      </w:r>
      <w:r w:rsidRPr="00970A16">
        <w:rPr>
          <w:b/>
          <w:sz w:val="26"/>
        </w:rPr>
        <w:tab/>
        <w:t xml:space="preserve">    Responsibilities</w:t>
      </w:r>
      <w:bookmarkEnd w:id="8859"/>
      <w:bookmarkEnd w:id="8860"/>
      <w:bookmarkEnd w:id="8861"/>
      <w:bookmarkEnd w:id="8862"/>
      <w:bookmarkEnd w:id="8863"/>
      <w:bookmarkEnd w:id="8864"/>
      <w:bookmarkEnd w:id="8865"/>
      <w:bookmarkEnd w:id="8866"/>
      <w:bookmarkEnd w:id="8867"/>
      <w:bookmarkEnd w:id="8868"/>
      <w:bookmarkEnd w:id="8869"/>
      <w:bookmarkEnd w:id="8870"/>
    </w:p>
    <w:p w14:paraId="00A23254" w14:textId="1324388B" w:rsidR="009B43EC" w:rsidRPr="00970A16" w:rsidRDefault="009B43EC" w:rsidP="009B43EC">
      <w:pPr>
        <w:spacing w:line="300" w:lineRule="auto"/>
      </w:pPr>
      <w:r w:rsidRPr="00970A16">
        <w:t>The Market Participant is responsible for the quality, accuracy</w:t>
      </w:r>
      <w:r w:rsidR="00D670CF">
        <w:t>,</w:t>
      </w:r>
      <w:r w:rsidRPr="00970A16">
        <w:t xml:space="preserve"> and timeliness of Meter Data submitted to </w:t>
      </w:r>
      <w:r>
        <w:t>the Market Operator</w:t>
      </w:r>
      <w:r w:rsidRPr="00970A16">
        <w:t xml:space="preserve"> for the purposes of, and use in, the execution of Markets+ settlements.  At all times, </w:t>
      </w:r>
      <w:r>
        <w:t>the Market Operator</w:t>
      </w:r>
      <w:r w:rsidRPr="00970A16">
        <w:t xml:space="preserve"> maintains a financial, legal</w:t>
      </w:r>
      <w:r>
        <w:t>,</w:t>
      </w:r>
      <w:r w:rsidRPr="00970A16">
        <w:t xml:space="preserve"> and operational relationship with the Market Participant, and not the Meter Agent.</w:t>
      </w:r>
    </w:p>
    <w:p w14:paraId="69716DFF" w14:textId="77777777" w:rsidR="009B43EC" w:rsidRPr="00970A16" w:rsidRDefault="009B43EC" w:rsidP="009B43EC">
      <w:pPr>
        <w:keepNext/>
        <w:spacing w:after="240"/>
        <w:outlineLvl w:val="2"/>
        <w:rPr>
          <w:b/>
          <w:sz w:val="26"/>
        </w:rPr>
      </w:pPr>
      <w:bookmarkStart w:id="8871" w:name="_Toc120891413"/>
      <w:bookmarkStart w:id="8872" w:name="_Toc120920484"/>
      <w:bookmarkStart w:id="8873" w:name="_Toc262561061"/>
      <w:bookmarkStart w:id="8874" w:name="_Toc263173952"/>
      <w:bookmarkStart w:id="8875" w:name="_Toc263174394"/>
      <w:bookmarkStart w:id="8876" w:name="_Toc263235299"/>
      <w:bookmarkStart w:id="8877" w:name="_Toc263235943"/>
      <w:bookmarkStart w:id="8878" w:name="_Toc263429745"/>
      <w:bookmarkStart w:id="8879" w:name="_Toc263795800"/>
      <w:bookmarkStart w:id="8880" w:name="_Toc266869983"/>
      <w:bookmarkStart w:id="8881" w:name="_Toc159233643"/>
      <w:bookmarkStart w:id="8882" w:name="_Toc213772212"/>
      <w:r w:rsidRPr="00970A16">
        <w:rPr>
          <w:b/>
          <w:sz w:val="26"/>
        </w:rPr>
        <w:t>B.4.2</w:t>
      </w:r>
      <w:r w:rsidRPr="00970A16">
        <w:rPr>
          <w:b/>
          <w:sz w:val="26"/>
        </w:rPr>
        <w:tab/>
        <w:t xml:space="preserve">    Meter Agent(s) Designation</w:t>
      </w:r>
      <w:bookmarkEnd w:id="8871"/>
      <w:bookmarkEnd w:id="8872"/>
      <w:bookmarkEnd w:id="8873"/>
      <w:bookmarkEnd w:id="8874"/>
      <w:bookmarkEnd w:id="8875"/>
      <w:bookmarkEnd w:id="8876"/>
      <w:bookmarkEnd w:id="8877"/>
      <w:bookmarkEnd w:id="8878"/>
      <w:bookmarkEnd w:id="8879"/>
      <w:bookmarkEnd w:id="8880"/>
      <w:bookmarkEnd w:id="8881"/>
      <w:bookmarkEnd w:id="8882"/>
    </w:p>
    <w:p w14:paraId="3F95B34B" w14:textId="77777777" w:rsidR="009B43EC" w:rsidRPr="00970A16" w:rsidRDefault="009B43EC" w:rsidP="009B43EC">
      <w:pPr>
        <w:spacing w:line="300" w:lineRule="auto"/>
      </w:pPr>
      <w:r w:rsidRPr="00970A16">
        <w:t>The Market Participant must designate a Meter Agent for each of its Meter Data Submittal Locations (MDSLs).  The Market Participant will be responsible for any and all data supplied by its designated Meter Agent.</w:t>
      </w:r>
    </w:p>
    <w:p w14:paraId="6D0C1983" w14:textId="77777777" w:rsidR="009B43EC" w:rsidRPr="00970A16" w:rsidRDefault="009B43EC" w:rsidP="009B43EC">
      <w:pPr>
        <w:spacing w:line="300" w:lineRule="auto"/>
      </w:pPr>
      <w:r w:rsidRPr="00970A16">
        <w:t xml:space="preserve">The Market Participant can have more than one Meter Agent, but only one designated Meter Agent per Meter Data Submittal Location.  </w:t>
      </w:r>
    </w:p>
    <w:p w14:paraId="043BAB8F" w14:textId="77777777" w:rsidR="009B43EC" w:rsidRPr="00970A16" w:rsidRDefault="009B43EC" w:rsidP="009B43EC">
      <w:pPr>
        <w:spacing w:line="300" w:lineRule="auto"/>
      </w:pPr>
      <w:r>
        <w:t>The Market Operator</w:t>
      </w:r>
      <w:r w:rsidRPr="00970A16">
        <w:t xml:space="preserve"> will at all times use the data provided by the Meter Agent until such time as the Market Participant revokes the designation of an entity as its Meter Agent and replaces that entity with a substitute entity.</w:t>
      </w:r>
    </w:p>
    <w:p w14:paraId="00312EE5" w14:textId="1D9A8E87" w:rsidR="009B43EC" w:rsidRPr="00970A16" w:rsidRDefault="009B43EC" w:rsidP="009B43EC">
      <w:pPr>
        <w:spacing w:line="300" w:lineRule="auto"/>
      </w:pPr>
      <w:r w:rsidRPr="00970A16">
        <w:t xml:space="preserve">Any dispute between the Meter Agent and the Market Participant concerning the accuracy of values reported to </w:t>
      </w:r>
      <w:r>
        <w:t>the Market Operator</w:t>
      </w:r>
      <w:r w:rsidRPr="00970A16">
        <w:t xml:space="preserve"> </w:t>
      </w:r>
      <w:r>
        <w:t>must</w:t>
      </w:r>
      <w:r w:rsidRPr="00970A16">
        <w:t xml:space="preserve"> be resolved between the two</w:t>
      </w:r>
      <w:r w:rsidR="00D670CF">
        <w:t xml:space="preserve"> (2)</w:t>
      </w:r>
      <w:r w:rsidRPr="00970A16">
        <w:t xml:space="preserve"> parties</w:t>
      </w:r>
      <w:r w:rsidR="00D670CF">
        <w:t>,</w:t>
      </w:r>
      <w:r w:rsidRPr="00970A16">
        <w:t xml:space="preserve"> absent the involvement of </w:t>
      </w:r>
      <w:r>
        <w:t>the Market Operator</w:t>
      </w:r>
      <w:r w:rsidRPr="00970A16">
        <w:t xml:space="preserve">.  </w:t>
      </w:r>
    </w:p>
    <w:p w14:paraId="79E0C587" w14:textId="77777777" w:rsidR="009B43EC" w:rsidRPr="00970A16" w:rsidRDefault="009B43EC" w:rsidP="009B43EC">
      <w:pPr>
        <w:keepNext/>
        <w:spacing w:after="240"/>
        <w:outlineLvl w:val="1"/>
        <w:rPr>
          <w:b/>
          <w:sz w:val="30"/>
        </w:rPr>
      </w:pPr>
      <w:bookmarkStart w:id="8883" w:name="_Toc159233644"/>
      <w:bookmarkStart w:id="8884" w:name="_Toc213772213"/>
      <w:r w:rsidRPr="00970A16">
        <w:rPr>
          <w:b/>
          <w:sz w:val="30"/>
        </w:rPr>
        <w:t>B.5</w:t>
      </w:r>
      <w:r w:rsidRPr="00970A16">
        <w:rPr>
          <w:b/>
          <w:sz w:val="30"/>
        </w:rPr>
        <w:tab/>
        <w:t xml:space="preserve">    Meter Agent</w:t>
      </w:r>
      <w:bookmarkEnd w:id="8883"/>
      <w:bookmarkEnd w:id="8884"/>
    </w:p>
    <w:p w14:paraId="3F06D10B" w14:textId="77777777" w:rsidR="009B43EC" w:rsidRPr="00970A16" w:rsidRDefault="009B43EC" w:rsidP="009B43EC">
      <w:pPr>
        <w:spacing w:line="300" w:lineRule="auto"/>
      </w:pPr>
      <w:r w:rsidRPr="00970A16">
        <w:t>The Meter Agent is expected to fulfill the Market Participant’s responsibility for submitting Meter Data Submittal Location data for which it is responsible and registered.</w:t>
      </w:r>
    </w:p>
    <w:p w14:paraId="038E64BF" w14:textId="1C34A525" w:rsidR="009B43EC" w:rsidRPr="00970A16" w:rsidRDefault="009B43EC" w:rsidP="009B43EC">
      <w:pPr>
        <w:spacing w:line="300" w:lineRule="auto"/>
      </w:pPr>
      <w:r w:rsidRPr="00970A16">
        <w:t>The Meter Agent will adhere to the standards for calculating and reporting settlement data as defined in this Appendix</w:t>
      </w:r>
      <w:r w:rsidR="00D73B63">
        <w:t xml:space="preserve"> A</w:t>
      </w:r>
      <w:r w:rsidRPr="00970A16">
        <w:t>.</w:t>
      </w:r>
    </w:p>
    <w:p w14:paraId="08BBAD63" w14:textId="77777777" w:rsidR="009B43EC" w:rsidRPr="00970A16" w:rsidRDefault="009B43EC" w:rsidP="009B43EC">
      <w:pPr>
        <w:spacing w:line="300" w:lineRule="auto"/>
      </w:pPr>
      <w:r w:rsidRPr="00970A16">
        <w:t xml:space="preserve">The Meter Agent will act on behalf of the Market Participant to provide settlement Meter Data to </w:t>
      </w:r>
      <w:r>
        <w:t>the Market Operator</w:t>
      </w:r>
      <w:r w:rsidRPr="00970A16">
        <w:t>, the Market Participant, and the entity responsible for Residual Load.</w:t>
      </w:r>
    </w:p>
    <w:p w14:paraId="22F752B5" w14:textId="77777777" w:rsidR="009B43EC" w:rsidRPr="00970A16" w:rsidRDefault="009B43EC" w:rsidP="009B43EC">
      <w:pPr>
        <w:keepNext/>
        <w:spacing w:after="240"/>
        <w:outlineLvl w:val="1"/>
        <w:rPr>
          <w:b/>
          <w:sz w:val="30"/>
        </w:rPr>
      </w:pPr>
      <w:bookmarkStart w:id="8885" w:name="_Toc120891415"/>
      <w:bookmarkStart w:id="8886" w:name="_Toc120920486"/>
      <w:bookmarkStart w:id="8887" w:name="_Toc262561063"/>
      <w:bookmarkStart w:id="8888" w:name="_Toc263173546"/>
      <w:bookmarkStart w:id="8889" w:name="_Toc263173739"/>
      <w:bookmarkStart w:id="8890" w:name="_Toc263173954"/>
      <w:bookmarkStart w:id="8891" w:name="_Toc263174396"/>
      <w:bookmarkStart w:id="8892" w:name="_Toc263235301"/>
      <w:bookmarkStart w:id="8893" w:name="_Toc263235945"/>
      <w:bookmarkStart w:id="8894" w:name="_Toc263429747"/>
      <w:bookmarkStart w:id="8895" w:name="_Toc263795802"/>
      <w:bookmarkStart w:id="8896" w:name="_Toc266869985"/>
      <w:bookmarkStart w:id="8897" w:name="_Ref349743971"/>
      <w:bookmarkStart w:id="8898" w:name="_Toc159233645"/>
      <w:bookmarkStart w:id="8899" w:name="_Toc213772214"/>
      <w:r w:rsidRPr="00970A16">
        <w:rPr>
          <w:b/>
          <w:sz w:val="30"/>
        </w:rPr>
        <w:t>B.6</w:t>
      </w:r>
      <w:r w:rsidRPr="00970A16">
        <w:rPr>
          <w:b/>
          <w:sz w:val="30"/>
        </w:rPr>
        <w:tab/>
        <w:t xml:space="preserve">    Data Format</w:t>
      </w:r>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p>
    <w:p w14:paraId="052CB5E3" w14:textId="77777777" w:rsidR="009B43EC" w:rsidRPr="00970A16" w:rsidRDefault="009B43EC" w:rsidP="009B43EC">
      <w:pPr>
        <w:spacing w:line="300" w:lineRule="auto"/>
      </w:pPr>
      <w:r w:rsidRPr="00970A16">
        <w:t>The settlement data must be submitted according to the following conventions.</w:t>
      </w:r>
    </w:p>
    <w:p w14:paraId="1F4A678F" w14:textId="77777777" w:rsidR="009B43EC" w:rsidRPr="00970A16" w:rsidRDefault="009B43EC" w:rsidP="009B43EC">
      <w:pPr>
        <w:keepNext/>
        <w:spacing w:after="240"/>
        <w:outlineLvl w:val="2"/>
        <w:rPr>
          <w:b/>
          <w:sz w:val="26"/>
        </w:rPr>
      </w:pPr>
      <w:bookmarkStart w:id="8900" w:name="_Toc120891416"/>
      <w:bookmarkStart w:id="8901" w:name="_Toc120920487"/>
      <w:bookmarkStart w:id="8902" w:name="_Toc262561064"/>
      <w:bookmarkStart w:id="8903" w:name="_Toc263173955"/>
      <w:bookmarkStart w:id="8904" w:name="_Toc263174397"/>
      <w:bookmarkStart w:id="8905" w:name="_Toc263235302"/>
      <w:bookmarkStart w:id="8906" w:name="_Toc263235946"/>
      <w:bookmarkStart w:id="8907" w:name="_Toc263429748"/>
      <w:bookmarkStart w:id="8908" w:name="_Toc263795803"/>
      <w:bookmarkStart w:id="8909" w:name="_Toc266869986"/>
      <w:bookmarkStart w:id="8910" w:name="_Toc159233646"/>
      <w:bookmarkStart w:id="8911" w:name="_Toc213772215"/>
      <w:r w:rsidRPr="00970A16">
        <w:rPr>
          <w:b/>
          <w:sz w:val="26"/>
        </w:rPr>
        <w:t>B.6.1</w:t>
      </w:r>
      <w:r w:rsidRPr="00970A16">
        <w:rPr>
          <w:b/>
          <w:sz w:val="26"/>
        </w:rPr>
        <w:tab/>
        <w:t xml:space="preserve">    Unit of Measure</w:t>
      </w:r>
      <w:bookmarkEnd w:id="8900"/>
      <w:bookmarkEnd w:id="8901"/>
      <w:bookmarkEnd w:id="8902"/>
      <w:bookmarkEnd w:id="8903"/>
      <w:bookmarkEnd w:id="8904"/>
      <w:bookmarkEnd w:id="8905"/>
      <w:bookmarkEnd w:id="8906"/>
      <w:bookmarkEnd w:id="8907"/>
      <w:bookmarkEnd w:id="8908"/>
      <w:bookmarkEnd w:id="8909"/>
      <w:bookmarkEnd w:id="8910"/>
      <w:bookmarkEnd w:id="8911"/>
    </w:p>
    <w:p w14:paraId="0473A53B" w14:textId="77777777" w:rsidR="009B43EC" w:rsidRPr="00970A16" w:rsidRDefault="009B43EC" w:rsidP="009B43EC">
      <w:pPr>
        <w:spacing w:line="300" w:lineRule="auto"/>
      </w:pPr>
      <w:r w:rsidRPr="00970A16">
        <w:t>The following rules apply to the submittal of Meter Data:</w:t>
      </w:r>
    </w:p>
    <w:p w14:paraId="63967876" w14:textId="777DF750" w:rsidR="009B43EC" w:rsidRPr="00970A16" w:rsidRDefault="009B43EC" w:rsidP="00DA3CE7">
      <w:pPr>
        <w:numPr>
          <w:ilvl w:val="0"/>
          <w:numId w:val="222"/>
        </w:numPr>
        <w:spacing w:line="300" w:lineRule="auto"/>
        <w:ind w:hanging="540"/>
      </w:pPr>
      <w:r w:rsidRPr="00970A16">
        <w:t xml:space="preserve">Settlement Meter Data </w:t>
      </w:r>
      <w:r>
        <w:t>must</w:t>
      </w:r>
      <w:r w:rsidRPr="00970A16">
        <w:t xml:space="preserve"> be submitted in 5-minute or hourly intervals for Resources, load</w:t>
      </w:r>
      <w:r w:rsidR="00BC0686">
        <w:t>,</w:t>
      </w:r>
      <w:r w:rsidRPr="00970A16">
        <w:t xml:space="preserve"> </w:t>
      </w:r>
      <w:r w:rsidRPr="00970A16" w:rsidDel="0046151A">
        <w:t>and/or</w:t>
      </w:r>
      <w:r w:rsidRPr="00970A16">
        <w:t xml:space="preserve"> Settlement Area tie-lines as specified by the market registration;</w:t>
      </w:r>
    </w:p>
    <w:p w14:paraId="1E983145" w14:textId="77777777" w:rsidR="009B43EC" w:rsidRPr="00970A16" w:rsidRDefault="009B43EC" w:rsidP="00DA3CE7">
      <w:pPr>
        <w:numPr>
          <w:ilvl w:val="0"/>
          <w:numId w:val="222"/>
        </w:numPr>
        <w:spacing w:line="300" w:lineRule="auto"/>
        <w:ind w:hanging="540"/>
      </w:pPr>
      <w:r w:rsidRPr="00970A16">
        <w:t xml:space="preserve">Megawatt-hour (MWh) is the standard unit of service measurement.  Service may be measured in kilowatt-hours (kWh) if required by the specific service, local or state regulations, host utilities, service providers, or as mutually agreed upon by the parties involved.  Service information provided in kWh must be converted to MWh before submission to </w:t>
      </w:r>
      <w:r>
        <w:t>the Market Operator</w:t>
      </w:r>
      <w:r w:rsidRPr="00970A16">
        <w:t>; and</w:t>
      </w:r>
    </w:p>
    <w:p w14:paraId="4FA6D4D8" w14:textId="77777777" w:rsidR="009B43EC" w:rsidRPr="00970A16" w:rsidRDefault="009B43EC" w:rsidP="00DA3CE7">
      <w:pPr>
        <w:numPr>
          <w:ilvl w:val="0"/>
          <w:numId w:val="222"/>
        </w:numPr>
        <w:spacing w:line="300" w:lineRule="auto"/>
        <w:ind w:hanging="540"/>
      </w:pPr>
      <w:r w:rsidRPr="00970A16">
        <w:t xml:space="preserve">Settlement Meter Data </w:t>
      </w:r>
      <w:r>
        <w:t>may</w:t>
      </w:r>
      <w:r w:rsidRPr="00970A16">
        <w:t xml:space="preserve"> be submitted in fractional MWhs</w:t>
      </w:r>
      <w:r>
        <w:t>.</w:t>
      </w:r>
    </w:p>
    <w:p w14:paraId="4E4045D3" w14:textId="77777777" w:rsidR="009B43EC" w:rsidRPr="00970A16" w:rsidRDefault="009B43EC" w:rsidP="009B43EC">
      <w:pPr>
        <w:keepNext/>
        <w:spacing w:after="240"/>
        <w:outlineLvl w:val="2"/>
        <w:rPr>
          <w:b/>
          <w:sz w:val="26"/>
        </w:rPr>
      </w:pPr>
      <w:bookmarkStart w:id="8912" w:name="_Toc120891417"/>
      <w:bookmarkStart w:id="8913" w:name="_Toc120920488"/>
      <w:bookmarkStart w:id="8914" w:name="_Toc262561065"/>
      <w:bookmarkStart w:id="8915" w:name="_Toc263173956"/>
      <w:bookmarkStart w:id="8916" w:name="_Toc263174398"/>
      <w:bookmarkStart w:id="8917" w:name="_Toc263235303"/>
      <w:bookmarkStart w:id="8918" w:name="_Toc263235947"/>
      <w:bookmarkStart w:id="8919" w:name="_Toc263429749"/>
      <w:bookmarkStart w:id="8920" w:name="_Toc263795804"/>
      <w:bookmarkStart w:id="8921" w:name="_Toc266869987"/>
      <w:bookmarkStart w:id="8922" w:name="_Toc159233647"/>
      <w:bookmarkStart w:id="8923" w:name="_Toc213772216"/>
      <w:r w:rsidRPr="00970A16">
        <w:rPr>
          <w:b/>
          <w:sz w:val="26"/>
        </w:rPr>
        <w:t>B.6.2</w:t>
      </w:r>
      <w:r w:rsidRPr="00970A16">
        <w:rPr>
          <w:b/>
          <w:sz w:val="26"/>
        </w:rPr>
        <w:tab/>
        <w:t xml:space="preserve">    Sign Convention of Data</w:t>
      </w:r>
      <w:bookmarkEnd w:id="8912"/>
      <w:bookmarkEnd w:id="8913"/>
      <w:bookmarkEnd w:id="8914"/>
      <w:bookmarkEnd w:id="8915"/>
      <w:bookmarkEnd w:id="8916"/>
      <w:bookmarkEnd w:id="8917"/>
      <w:bookmarkEnd w:id="8918"/>
      <w:bookmarkEnd w:id="8919"/>
      <w:bookmarkEnd w:id="8920"/>
      <w:bookmarkEnd w:id="8921"/>
      <w:bookmarkEnd w:id="8922"/>
      <w:bookmarkEnd w:id="8923"/>
    </w:p>
    <w:p w14:paraId="12C383F3" w14:textId="77777777" w:rsidR="009B43EC" w:rsidRPr="00910577" w:rsidRDefault="009B43EC" w:rsidP="009B43EC">
      <w:pPr>
        <w:spacing w:line="300" w:lineRule="auto"/>
        <w:ind w:left="360"/>
        <w:rPr>
          <w:szCs w:val="24"/>
        </w:rPr>
      </w:pPr>
      <w:r w:rsidRPr="00910577">
        <w:rPr>
          <w:szCs w:val="24"/>
        </w:rPr>
        <w:t>Meter Data Submittal Locations:</w:t>
      </w:r>
    </w:p>
    <w:p w14:paraId="71A9C203" w14:textId="77777777" w:rsidR="009B43EC" w:rsidRPr="00910577" w:rsidRDefault="009B43EC" w:rsidP="00DA3CE7">
      <w:pPr>
        <w:numPr>
          <w:ilvl w:val="0"/>
          <w:numId w:val="206"/>
        </w:numPr>
        <w:tabs>
          <w:tab w:val="num" w:pos="1080"/>
        </w:tabs>
        <w:spacing w:line="300" w:lineRule="auto"/>
        <w:ind w:left="1080"/>
        <w:rPr>
          <w:szCs w:val="24"/>
        </w:rPr>
      </w:pPr>
      <w:r w:rsidRPr="00910577">
        <w:rPr>
          <w:szCs w:val="24"/>
        </w:rPr>
        <w:t>Net Injection into the Markets+ Footprint transmission system will be negative [-].</w:t>
      </w:r>
    </w:p>
    <w:p w14:paraId="1884EAE6" w14:textId="77777777" w:rsidR="009B43EC" w:rsidRPr="00910577" w:rsidRDefault="009B43EC" w:rsidP="00DA3CE7">
      <w:pPr>
        <w:numPr>
          <w:ilvl w:val="0"/>
          <w:numId w:val="206"/>
        </w:numPr>
        <w:tabs>
          <w:tab w:val="num" w:pos="1080"/>
        </w:tabs>
        <w:spacing w:line="300" w:lineRule="auto"/>
        <w:ind w:left="1080"/>
        <w:rPr>
          <w:szCs w:val="24"/>
        </w:rPr>
      </w:pPr>
      <w:r w:rsidRPr="00910577">
        <w:rPr>
          <w:szCs w:val="24"/>
        </w:rPr>
        <w:t>Net Withdrawals out of the Markets+ Footprint transmission system will be positive [+].</w:t>
      </w:r>
    </w:p>
    <w:p w14:paraId="3E342C22" w14:textId="77777777" w:rsidR="009B43EC" w:rsidRPr="00910577" w:rsidRDefault="009B43EC" w:rsidP="009B43EC">
      <w:pPr>
        <w:spacing w:line="300" w:lineRule="auto"/>
        <w:ind w:left="360"/>
        <w:rPr>
          <w:szCs w:val="24"/>
        </w:rPr>
      </w:pPr>
      <w:r w:rsidRPr="00910577">
        <w:rPr>
          <w:szCs w:val="24"/>
        </w:rPr>
        <w:t>Meter Data Submittal Location between Settlement Areas:</w:t>
      </w:r>
    </w:p>
    <w:p w14:paraId="728DDF21" w14:textId="77777777" w:rsidR="009B43EC" w:rsidRPr="00910577" w:rsidRDefault="009B43EC" w:rsidP="00DA3CE7">
      <w:pPr>
        <w:numPr>
          <w:ilvl w:val="0"/>
          <w:numId w:val="206"/>
        </w:numPr>
        <w:tabs>
          <w:tab w:val="num" w:pos="1080"/>
        </w:tabs>
        <w:spacing w:line="300" w:lineRule="auto"/>
        <w:ind w:left="1080"/>
        <w:rPr>
          <w:szCs w:val="24"/>
        </w:rPr>
      </w:pPr>
      <w:r w:rsidRPr="00910577">
        <w:rPr>
          <w:szCs w:val="24"/>
        </w:rPr>
        <w:t xml:space="preserve">Metered Settlement Area tie-line flows will be reported based on the Settlement Area perspective.  </w:t>
      </w:r>
    </w:p>
    <w:p w14:paraId="47B5D978" w14:textId="77777777" w:rsidR="009B43EC" w:rsidRPr="00910577" w:rsidRDefault="009B43EC" w:rsidP="00DA3CE7">
      <w:pPr>
        <w:numPr>
          <w:ilvl w:val="0"/>
          <w:numId w:val="206"/>
        </w:numPr>
        <w:tabs>
          <w:tab w:val="num" w:pos="1080"/>
        </w:tabs>
        <w:spacing w:line="300" w:lineRule="auto"/>
        <w:ind w:left="1080"/>
        <w:rPr>
          <w:szCs w:val="24"/>
        </w:rPr>
      </w:pPr>
      <w:r w:rsidRPr="00910577">
        <w:rPr>
          <w:szCs w:val="24"/>
        </w:rPr>
        <w:t>Into the Settlement Area will be reported as negative [-].</w:t>
      </w:r>
    </w:p>
    <w:p w14:paraId="26649A66" w14:textId="77777777" w:rsidR="009B43EC" w:rsidRPr="00910577" w:rsidRDefault="009B43EC" w:rsidP="00DA3CE7">
      <w:pPr>
        <w:numPr>
          <w:ilvl w:val="0"/>
          <w:numId w:val="206"/>
        </w:numPr>
        <w:tabs>
          <w:tab w:val="num" w:pos="1080"/>
        </w:tabs>
        <w:spacing w:line="300" w:lineRule="auto"/>
        <w:ind w:left="1080"/>
        <w:rPr>
          <w:szCs w:val="24"/>
        </w:rPr>
      </w:pPr>
      <w:r w:rsidRPr="00910577">
        <w:rPr>
          <w:szCs w:val="24"/>
        </w:rPr>
        <w:t>Out of the Settlement Area will be reported as positive [+].</w:t>
      </w:r>
    </w:p>
    <w:p w14:paraId="7C8411AB" w14:textId="77777777" w:rsidR="009B43EC" w:rsidRPr="00970A16" w:rsidRDefault="009B43EC" w:rsidP="009B43EC">
      <w:pPr>
        <w:keepNext/>
        <w:spacing w:after="240"/>
        <w:outlineLvl w:val="2"/>
        <w:rPr>
          <w:b/>
          <w:sz w:val="26"/>
        </w:rPr>
      </w:pPr>
      <w:bookmarkStart w:id="8924" w:name="_Toc120891418"/>
      <w:bookmarkStart w:id="8925" w:name="_Toc120920489"/>
      <w:bookmarkStart w:id="8926" w:name="_Toc262561066"/>
      <w:bookmarkStart w:id="8927" w:name="_Toc263173957"/>
      <w:bookmarkStart w:id="8928" w:name="_Toc263174399"/>
      <w:bookmarkStart w:id="8929" w:name="_Toc263235304"/>
      <w:bookmarkStart w:id="8930" w:name="_Toc263235948"/>
      <w:bookmarkStart w:id="8931" w:name="_Toc263429750"/>
      <w:bookmarkStart w:id="8932" w:name="_Toc263795805"/>
      <w:bookmarkStart w:id="8933" w:name="_Toc266869988"/>
      <w:bookmarkStart w:id="8934" w:name="_Toc159233648"/>
      <w:bookmarkStart w:id="8935" w:name="_Toc213772217"/>
      <w:r w:rsidRPr="00970A16">
        <w:rPr>
          <w:b/>
          <w:sz w:val="26"/>
        </w:rPr>
        <w:t>B.6.3</w:t>
      </w:r>
      <w:r w:rsidRPr="00970A16">
        <w:rPr>
          <w:b/>
          <w:sz w:val="26"/>
        </w:rPr>
        <w:tab/>
        <w:t xml:space="preserve">     Meter Technical Standards</w:t>
      </w:r>
      <w:bookmarkEnd w:id="8924"/>
      <w:bookmarkEnd w:id="8925"/>
      <w:bookmarkEnd w:id="8926"/>
      <w:bookmarkEnd w:id="8927"/>
      <w:bookmarkEnd w:id="8928"/>
      <w:bookmarkEnd w:id="8929"/>
      <w:bookmarkEnd w:id="8930"/>
      <w:bookmarkEnd w:id="8931"/>
      <w:bookmarkEnd w:id="8932"/>
      <w:bookmarkEnd w:id="8933"/>
      <w:bookmarkEnd w:id="8934"/>
      <w:bookmarkEnd w:id="8935"/>
    </w:p>
    <w:p w14:paraId="71A6CC6C" w14:textId="77777777" w:rsidR="009B43EC" w:rsidRPr="00970A16" w:rsidRDefault="009B43EC" w:rsidP="009B43EC">
      <w:pPr>
        <w:spacing w:line="300" w:lineRule="auto"/>
      </w:pPr>
      <w:r w:rsidRPr="00970A16">
        <w:t xml:space="preserve">Any data supplied to </w:t>
      </w:r>
      <w:r>
        <w:t>the Market Operator</w:t>
      </w:r>
      <w:r w:rsidRPr="00970A16">
        <w:t xml:space="preserve"> from existing metering or other equipment must comply with the Meter Data technical standards specified under Appendix A. </w:t>
      </w:r>
    </w:p>
    <w:p w14:paraId="26FD3C74" w14:textId="77777777" w:rsidR="009B43EC" w:rsidRPr="00970A16" w:rsidRDefault="009B43EC" w:rsidP="009B43EC">
      <w:pPr>
        <w:keepNext/>
        <w:spacing w:after="240"/>
        <w:outlineLvl w:val="2"/>
        <w:rPr>
          <w:b/>
          <w:sz w:val="26"/>
        </w:rPr>
      </w:pPr>
      <w:bookmarkStart w:id="8936" w:name="_Toc120891419"/>
      <w:bookmarkStart w:id="8937" w:name="_Toc120920490"/>
      <w:bookmarkStart w:id="8938" w:name="_Toc262561067"/>
      <w:bookmarkStart w:id="8939" w:name="_Toc263173958"/>
      <w:bookmarkStart w:id="8940" w:name="_Toc263174400"/>
      <w:bookmarkStart w:id="8941" w:name="_Toc263235305"/>
      <w:bookmarkStart w:id="8942" w:name="_Toc263235949"/>
      <w:bookmarkStart w:id="8943" w:name="_Toc263429751"/>
      <w:bookmarkStart w:id="8944" w:name="_Toc263795806"/>
      <w:bookmarkStart w:id="8945" w:name="_Toc266869989"/>
      <w:bookmarkStart w:id="8946" w:name="_Toc159233649"/>
      <w:bookmarkStart w:id="8947" w:name="_Toc213772218"/>
      <w:r w:rsidRPr="00970A16">
        <w:rPr>
          <w:b/>
          <w:sz w:val="26"/>
        </w:rPr>
        <w:t>B.6.4</w:t>
      </w:r>
      <w:r w:rsidRPr="00970A16">
        <w:rPr>
          <w:b/>
          <w:sz w:val="26"/>
        </w:rPr>
        <w:tab/>
        <w:t xml:space="preserve">     Data Submission Standards</w:t>
      </w:r>
      <w:bookmarkEnd w:id="8936"/>
      <w:bookmarkEnd w:id="8937"/>
      <w:bookmarkEnd w:id="8938"/>
      <w:bookmarkEnd w:id="8939"/>
      <w:bookmarkEnd w:id="8940"/>
      <w:bookmarkEnd w:id="8941"/>
      <w:bookmarkEnd w:id="8942"/>
      <w:bookmarkEnd w:id="8943"/>
      <w:bookmarkEnd w:id="8944"/>
      <w:bookmarkEnd w:id="8945"/>
      <w:bookmarkEnd w:id="8946"/>
      <w:bookmarkEnd w:id="8947"/>
    </w:p>
    <w:p w14:paraId="5C04F34C" w14:textId="77777777" w:rsidR="009B43EC" w:rsidRPr="00970A16" w:rsidRDefault="009B43EC" w:rsidP="009B43EC">
      <w:pPr>
        <w:spacing w:line="300" w:lineRule="auto"/>
      </w:pPr>
      <w:r w:rsidRPr="00970A16">
        <w:t xml:space="preserve">Settlement Data must be communicated to </w:t>
      </w:r>
      <w:r>
        <w:t>the Market Operator</w:t>
      </w:r>
      <w:r w:rsidRPr="00970A16">
        <w:t xml:space="preserve"> in electronic format in order to </w:t>
      </w:r>
      <w:r w:rsidRPr="00AE1E4D">
        <w:t xml:space="preserve">ensure timely settlement as defined in </w:t>
      </w:r>
      <w:r w:rsidRPr="004F0BB0">
        <w:t>Section 4.5.13.1</w:t>
      </w:r>
      <w:r w:rsidRPr="00AE1E4D">
        <w:t>.</w:t>
      </w:r>
      <w:r w:rsidRPr="00970A16">
        <w:t xml:space="preserve">  </w:t>
      </w:r>
    </w:p>
    <w:p w14:paraId="44F69D8D" w14:textId="77777777" w:rsidR="009B43EC" w:rsidRPr="00970A16" w:rsidRDefault="009B43EC" w:rsidP="009B43EC">
      <w:pPr>
        <w:keepNext/>
        <w:spacing w:after="240"/>
        <w:outlineLvl w:val="1"/>
        <w:rPr>
          <w:b/>
          <w:sz w:val="30"/>
        </w:rPr>
      </w:pPr>
      <w:bookmarkStart w:id="8948" w:name="_Toc120891420"/>
      <w:bookmarkStart w:id="8949" w:name="_Toc120920491"/>
      <w:bookmarkStart w:id="8950" w:name="_Toc262561068"/>
      <w:bookmarkStart w:id="8951" w:name="_Toc263173547"/>
      <w:bookmarkStart w:id="8952" w:name="_Toc263173740"/>
      <w:bookmarkStart w:id="8953" w:name="_Toc263173959"/>
      <w:bookmarkStart w:id="8954" w:name="_Toc263174401"/>
      <w:bookmarkStart w:id="8955" w:name="_Toc263235306"/>
      <w:bookmarkStart w:id="8956" w:name="_Toc263235950"/>
      <w:bookmarkStart w:id="8957" w:name="_Toc263429752"/>
      <w:bookmarkStart w:id="8958" w:name="_Toc263795807"/>
      <w:bookmarkStart w:id="8959" w:name="_Toc266869990"/>
      <w:bookmarkStart w:id="8960" w:name="_Toc159233650"/>
      <w:bookmarkStart w:id="8961" w:name="_Toc213772219"/>
      <w:r w:rsidRPr="00970A16">
        <w:rPr>
          <w:b/>
          <w:sz w:val="30"/>
        </w:rPr>
        <w:t>B.7</w:t>
      </w:r>
      <w:r w:rsidRPr="00970A16">
        <w:rPr>
          <w:b/>
          <w:sz w:val="30"/>
        </w:rPr>
        <w:tab/>
        <w:t xml:space="preserve">    Settlement Meter Data Types</w:t>
      </w:r>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p w14:paraId="4406F620" w14:textId="1D94F2E8" w:rsidR="009B43EC" w:rsidRPr="00970A16" w:rsidRDefault="009B43EC" w:rsidP="009B43EC">
      <w:pPr>
        <w:spacing w:line="300" w:lineRule="auto"/>
      </w:pPr>
      <w:r w:rsidRPr="00970A16">
        <w:t>There are three</w:t>
      </w:r>
      <w:r w:rsidR="0024364B">
        <w:t xml:space="preserve"> (3)</w:t>
      </w:r>
      <w:r w:rsidRPr="00970A16">
        <w:t xml:space="preserve"> basic types of interval settlement data required for Markets+.   </w:t>
      </w:r>
    </w:p>
    <w:p w14:paraId="5A1D038A" w14:textId="77777777" w:rsidR="009B43EC" w:rsidRPr="00970A16" w:rsidRDefault="009B43EC" w:rsidP="009B43EC">
      <w:pPr>
        <w:spacing w:line="300" w:lineRule="auto"/>
      </w:pPr>
      <w:r w:rsidRPr="00970A16">
        <w:t xml:space="preserve">Meter Data Submittal Locations:  </w:t>
      </w:r>
    </w:p>
    <w:p w14:paraId="261D9DC6" w14:textId="77777777" w:rsidR="009B43EC" w:rsidRPr="00970A16" w:rsidRDefault="009B43EC" w:rsidP="00DA3CE7">
      <w:pPr>
        <w:numPr>
          <w:ilvl w:val="0"/>
          <w:numId w:val="223"/>
        </w:numPr>
        <w:tabs>
          <w:tab w:val="clear" w:pos="360"/>
          <w:tab w:val="num" w:pos="720"/>
        </w:tabs>
        <w:spacing w:line="300" w:lineRule="auto"/>
        <w:ind w:left="720" w:hanging="540"/>
      </w:pPr>
      <w:r w:rsidRPr="00970A16">
        <w:t>Resources (generation)</w:t>
      </w:r>
    </w:p>
    <w:p w14:paraId="593A8A32" w14:textId="77777777" w:rsidR="009B43EC" w:rsidRPr="0024364B" w:rsidRDefault="009B43EC" w:rsidP="00DA3CE7">
      <w:pPr>
        <w:numPr>
          <w:ilvl w:val="0"/>
          <w:numId w:val="223"/>
        </w:numPr>
        <w:tabs>
          <w:tab w:val="clear" w:pos="360"/>
          <w:tab w:val="num" w:pos="720"/>
        </w:tabs>
        <w:spacing w:line="300" w:lineRule="auto"/>
        <w:ind w:left="720" w:hanging="540"/>
      </w:pPr>
      <w:r w:rsidRPr="0024364B">
        <w:t>Loads</w:t>
      </w:r>
    </w:p>
    <w:p w14:paraId="35D49521" w14:textId="77777777" w:rsidR="009B43EC" w:rsidRPr="00970A16" w:rsidRDefault="009B43EC" w:rsidP="00DA3CE7">
      <w:pPr>
        <w:numPr>
          <w:ilvl w:val="0"/>
          <w:numId w:val="223"/>
        </w:numPr>
        <w:tabs>
          <w:tab w:val="clear" w:pos="360"/>
          <w:tab w:val="num" w:pos="720"/>
        </w:tabs>
        <w:spacing w:line="300" w:lineRule="auto"/>
        <w:ind w:left="720" w:hanging="540"/>
      </w:pPr>
      <w:r w:rsidRPr="00970A16">
        <w:t>Settlement Area tie-lines: (Metered tie-line flows between Settlement Areas, and between Settlement Areas and Balancing Authorities external to the Markets+ Footprint including pseudo-ties)</w:t>
      </w:r>
    </w:p>
    <w:p w14:paraId="3769DB38" w14:textId="77777777" w:rsidR="009B43EC" w:rsidRPr="00970A16" w:rsidRDefault="009B43EC" w:rsidP="009B43EC">
      <w:pPr>
        <w:spacing w:line="300" w:lineRule="auto"/>
      </w:pPr>
      <w:r w:rsidRPr="00970A16">
        <w:t xml:space="preserve">Additional Meter Data types include: </w:t>
      </w:r>
    </w:p>
    <w:p w14:paraId="730BD114" w14:textId="77777777" w:rsidR="009B43EC" w:rsidRPr="0024364B" w:rsidRDefault="009B43EC" w:rsidP="00DA3CE7">
      <w:pPr>
        <w:numPr>
          <w:ilvl w:val="0"/>
          <w:numId w:val="264"/>
        </w:numPr>
        <w:spacing w:line="300" w:lineRule="auto"/>
        <w:ind w:hanging="540"/>
      </w:pPr>
      <w:r w:rsidRPr="0024364B">
        <w:t xml:space="preserve">Demand Response Load </w:t>
      </w:r>
    </w:p>
    <w:p w14:paraId="2760CF06" w14:textId="77777777" w:rsidR="009B43EC" w:rsidRPr="00970A16" w:rsidRDefault="009B43EC" w:rsidP="00DA3CE7">
      <w:pPr>
        <w:numPr>
          <w:ilvl w:val="0"/>
          <w:numId w:val="264"/>
        </w:numPr>
        <w:spacing w:line="300" w:lineRule="auto"/>
        <w:ind w:hanging="540"/>
      </w:pPr>
      <w:r w:rsidRPr="00970A16">
        <w:t xml:space="preserve">Dispatchable Demand Response Resource </w:t>
      </w:r>
    </w:p>
    <w:p w14:paraId="47F2DC3E" w14:textId="38BD9335" w:rsidR="009B43EC" w:rsidRPr="00970A16" w:rsidRDefault="009B43EC" w:rsidP="00DA3CE7">
      <w:pPr>
        <w:numPr>
          <w:ilvl w:val="0"/>
          <w:numId w:val="264"/>
        </w:numPr>
        <w:spacing w:line="300" w:lineRule="auto"/>
        <w:ind w:hanging="540"/>
      </w:pPr>
      <w:r w:rsidRPr="00970A16">
        <w:t>Pseudo-</w:t>
      </w:r>
      <w:r w:rsidR="00184B69">
        <w:t>t</w:t>
      </w:r>
      <w:r w:rsidRPr="00970A16">
        <w:t>ie Generation In</w:t>
      </w:r>
    </w:p>
    <w:p w14:paraId="4AF7FFCE" w14:textId="5BC53C5B" w:rsidR="009B43EC" w:rsidRPr="00970A16" w:rsidRDefault="009B43EC" w:rsidP="00DA3CE7">
      <w:pPr>
        <w:numPr>
          <w:ilvl w:val="0"/>
          <w:numId w:val="264"/>
        </w:numPr>
        <w:spacing w:line="300" w:lineRule="auto"/>
        <w:ind w:hanging="540"/>
      </w:pPr>
      <w:r w:rsidRPr="00970A16">
        <w:t>Pseudo-</w:t>
      </w:r>
      <w:r w:rsidR="00184B69">
        <w:t>t</w:t>
      </w:r>
      <w:r w:rsidRPr="00970A16">
        <w:t>ie Load In</w:t>
      </w:r>
    </w:p>
    <w:p w14:paraId="271D4E0A" w14:textId="38A962AC" w:rsidR="009B43EC" w:rsidRPr="00970A16" w:rsidRDefault="009B43EC" w:rsidP="00DA3CE7">
      <w:pPr>
        <w:numPr>
          <w:ilvl w:val="0"/>
          <w:numId w:val="264"/>
        </w:numPr>
        <w:spacing w:line="300" w:lineRule="auto"/>
        <w:ind w:hanging="540"/>
      </w:pPr>
      <w:r w:rsidRPr="00970A16">
        <w:t>Pseudo-</w:t>
      </w:r>
      <w:r w:rsidR="00184B69">
        <w:t>t</w:t>
      </w:r>
      <w:r w:rsidRPr="00970A16">
        <w:t xml:space="preserve">ie Generation Out </w:t>
      </w:r>
    </w:p>
    <w:p w14:paraId="2A47A50F" w14:textId="553B44BD" w:rsidR="009B43EC" w:rsidRPr="00970A16" w:rsidRDefault="009B43EC" w:rsidP="00DA3CE7">
      <w:pPr>
        <w:numPr>
          <w:ilvl w:val="0"/>
          <w:numId w:val="264"/>
        </w:numPr>
        <w:spacing w:line="300" w:lineRule="auto"/>
        <w:ind w:hanging="540"/>
      </w:pPr>
      <w:r w:rsidRPr="00970A16">
        <w:t>Pseudo-</w:t>
      </w:r>
      <w:r w:rsidR="00184B69">
        <w:t>t</w:t>
      </w:r>
      <w:r w:rsidRPr="00970A16">
        <w:t>ie Load Out</w:t>
      </w:r>
    </w:p>
    <w:p w14:paraId="1993F89C" w14:textId="77777777" w:rsidR="009B43EC" w:rsidRPr="00970A16" w:rsidRDefault="009B43EC" w:rsidP="009B43EC">
      <w:pPr>
        <w:keepNext/>
        <w:spacing w:after="240"/>
        <w:outlineLvl w:val="2"/>
        <w:rPr>
          <w:b/>
          <w:sz w:val="26"/>
        </w:rPr>
      </w:pPr>
      <w:bookmarkStart w:id="8962" w:name="_Toc120891421"/>
      <w:bookmarkStart w:id="8963" w:name="_Toc120920492"/>
      <w:bookmarkStart w:id="8964" w:name="_Toc262561069"/>
      <w:bookmarkStart w:id="8965" w:name="_Toc263173960"/>
      <w:bookmarkStart w:id="8966" w:name="_Toc263174402"/>
      <w:bookmarkStart w:id="8967" w:name="_Toc263235307"/>
      <w:bookmarkStart w:id="8968" w:name="_Toc263235951"/>
      <w:bookmarkStart w:id="8969" w:name="_Toc263429753"/>
      <w:bookmarkStart w:id="8970" w:name="_Toc263795808"/>
      <w:bookmarkStart w:id="8971" w:name="_Toc266869991"/>
      <w:bookmarkStart w:id="8972" w:name="_Ref372285615"/>
      <w:bookmarkStart w:id="8973" w:name="_Ref372285618"/>
      <w:bookmarkStart w:id="8974" w:name="_Toc159233651"/>
      <w:bookmarkStart w:id="8975" w:name="_Toc213772220"/>
      <w:r w:rsidRPr="00970A16">
        <w:rPr>
          <w:b/>
          <w:sz w:val="26"/>
        </w:rPr>
        <w:t>B.7.1</w:t>
      </w:r>
      <w:r w:rsidRPr="00970A16">
        <w:rPr>
          <w:b/>
          <w:sz w:val="26"/>
        </w:rPr>
        <w:tab/>
        <w:t xml:space="preserve">     Resource Metering</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p w14:paraId="5CB52913" w14:textId="77777777" w:rsidR="009B43EC" w:rsidRPr="00C633AE" w:rsidRDefault="009B43EC" w:rsidP="009B43EC">
      <w:pPr>
        <w:pStyle w:val="ParaText"/>
        <w:rPr>
          <w:szCs w:val="24"/>
        </w:rPr>
      </w:pPr>
      <w:bookmarkStart w:id="8976" w:name="_Toc120891423"/>
      <w:bookmarkStart w:id="8977" w:name="_Toc120920494"/>
      <w:bookmarkStart w:id="8978" w:name="_Toc262561071"/>
      <w:bookmarkStart w:id="8979" w:name="_Toc263173549"/>
      <w:bookmarkStart w:id="8980" w:name="_Toc263173742"/>
      <w:bookmarkStart w:id="8981" w:name="_Toc263173962"/>
      <w:bookmarkStart w:id="8982" w:name="_Toc263174404"/>
      <w:bookmarkStart w:id="8983" w:name="_Toc263235309"/>
      <w:bookmarkStart w:id="8984" w:name="_Toc263235953"/>
      <w:bookmarkStart w:id="8985" w:name="_Toc263429755"/>
      <w:bookmarkStart w:id="8986" w:name="_Toc263795810"/>
      <w:bookmarkStart w:id="8987" w:name="_Toc266869993"/>
      <w:bookmarkStart w:id="8988" w:name="_Toc159233652"/>
      <w:r w:rsidRPr="00C633AE">
        <w:rPr>
          <w:szCs w:val="24"/>
        </w:rPr>
        <w:t xml:space="preserve">Resource data must be submitted in either 5-minute or hourly intervals as indicated by the market registration and must be consistent with the Resource’s registration as described in </w:t>
      </w:r>
      <w:r w:rsidRPr="004F0BB0">
        <w:rPr>
          <w:szCs w:val="24"/>
        </w:rPr>
        <w:t>Section 9.1.1</w:t>
      </w:r>
      <w:r w:rsidRPr="00C633AE">
        <w:rPr>
          <w:szCs w:val="24"/>
        </w:rPr>
        <w:t xml:space="preserve">. </w:t>
      </w:r>
    </w:p>
    <w:p w14:paraId="2CF5A4C8" w14:textId="77777777" w:rsidR="009B43EC" w:rsidRPr="00C633AE" w:rsidRDefault="009B43EC" w:rsidP="009B43EC">
      <w:pPr>
        <w:rPr>
          <w:rFonts w:eastAsia="Calibri"/>
          <w:szCs w:val="24"/>
        </w:rPr>
      </w:pPr>
      <w:r w:rsidRPr="00C633AE">
        <w:rPr>
          <w:rFonts w:eastAsia="Calibri"/>
          <w:szCs w:val="24"/>
        </w:rPr>
        <w:t xml:space="preserve">No load </w:t>
      </w:r>
      <w:r>
        <w:rPr>
          <w:rFonts w:eastAsia="Calibri"/>
          <w:szCs w:val="24"/>
        </w:rPr>
        <w:t>may</w:t>
      </w:r>
      <w:r w:rsidRPr="00C633AE">
        <w:rPr>
          <w:rFonts w:eastAsia="Calibri"/>
          <w:szCs w:val="24"/>
        </w:rPr>
        <w:t xml:space="preserve"> be aggregated with a registered Resource for market settlement purposes. The only exceptions to this are cases which include:</w:t>
      </w:r>
    </w:p>
    <w:p w14:paraId="66BF4F31" w14:textId="77777777" w:rsidR="009B43EC" w:rsidRPr="00C633AE" w:rsidRDefault="009B43EC" w:rsidP="00DA3CE7">
      <w:pPr>
        <w:numPr>
          <w:ilvl w:val="0"/>
          <w:numId w:val="280"/>
        </w:numPr>
        <w:spacing w:after="160" w:line="300" w:lineRule="auto"/>
        <w:ind w:left="734" w:hanging="547"/>
        <w:jc w:val="left"/>
        <w:rPr>
          <w:rFonts w:eastAsia="Calibri"/>
          <w:szCs w:val="24"/>
        </w:rPr>
      </w:pPr>
      <w:r w:rsidRPr="00C633AE">
        <w:rPr>
          <w:rFonts w:eastAsia="Calibri"/>
          <w:szCs w:val="24"/>
        </w:rPr>
        <w:t xml:space="preserve">Auxiliary Load as described under </w:t>
      </w:r>
      <w:r w:rsidRPr="004F0BB0">
        <w:rPr>
          <w:rFonts w:eastAsia="Calibri"/>
          <w:szCs w:val="24"/>
        </w:rPr>
        <w:t>Section 9.1.12(2) and 9.1.12 (3)</w:t>
      </w:r>
      <w:r w:rsidRPr="00C633AE">
        <w:rPr>
          <w:rFonts w:eastAsia="Calibri"/>
          <w:szCs w:val="24"/>
        </w:rPr>
        <w:t>;</w:t>
      </w:r>
    </w:p>
    <w:p w14:paraId="544DF007" w14:textId="5F5B41D3" w:rsidR="009B43EC" w:rsidRPr="00C633AE" w:rsidRDefault="009B43EC" w:rsidP="00DA3CE7">
      <w:pPr>
        <w:numPr>
          <w:ilvl w:val="0"/>
          <w:numId w:val="280"/>
        </w:numPr>
        <w:spacing w:after="160" w:line="300" w:lineRule="auto"/>
        <w:ind w:left="734" w:hanging="547"/>
        <w:jc w:val="left"/>
        <w:rPr>
          <w:rFonts w:eastAsia="Calibri"/>
          <w:szCs w:val="24"/>
        </w:rPr>
      </w:pPr>
      <w:r w:rsidRPr="00C633AE">
        <w:rPr>
          <w:rFonts w:eastAsia="Calibri"/>
          <w:szCs w:val="24"/>
        </w:rPr>
        <w:t xml:space="preserve">Load which is being directly served by and is located at the same physical and electrically equivalent injection point to the </w:t>
      </w:r>
      <w:r w:rsidR="00FD6E53">
        <w:rPr>
          <w:rFonts w:eastAsia="Calibri"/>
          <w:szCs w:val="24"/>
        </w:rPr>
        <w:t xml:space="preserve">transmission system in the </w:t>
      </w:r>
      <w:r>
        <w:rPr>
          <w:rFonts w:eastAsia="Calibri"/>
          <w:szCs w:val="24"/>
        </w:rPr>
        <w:t xml:space="preserve">Markets+ Footprint </w:t>
      </w:r>
      <w:r w:rsidRPr="00C633AE">
        <w:rPr>
          <w:rFonts w:eastAsia="Calibri"/>
          <w:szCs w:val="24"/>
        </w:rPr>
        <w:t>as a registered Resource exercising its rights under PURPA; or</w:t>
      </w:r>
    </w:p>
    <w:p w14:paraId="4CFE2598" w14:textId="2118C33B" w:rsidR="009B43EC" w:rsidRPr="00C633AE" w:rsidRDefault="009B43EC" w:rsidP="00DA3CE7">
      <w:pPr>
        <w:numPr>
          <w:ilvl w:val="0"/>
          <w:numId w:val="280"/>
        </w:numPr>
        <w:spacing w:after="160" w:line="300" w:lineRule="auto"/>
        <w:ind w:left="734" w:hanging="547"/>
        <w:jc w:val="left"/>
        <w:rPr>
          <w:rFonts w:eastAsia="Calibri"/>
          <w:szCs w:val="24"/>
        </w:rPr>
      </w:pPr>
      <w:r w:rsidRPr="00C633AE">
        <w:rPr>
          <w:rFonts w:eastAsia="Calibri"/>
          <w:szCs w:val="24"/>
        </w:rPr>
        <w:t>Load which is being directly served by and is located at the same physical and electrically equivalent injection point to the</w:t>
      </w:r>
      <w:r w:rsidR="00FD6E53">
        <w:rPr>
          <w:rFonts w:eastAsia="Calibri"/>
          <w:szCs w:val="24"/>
        </w:rPr>
        <w:t xml:space="preserve"> transmission system in the</w:t>
      </w:r>
      <w:r w:rsidRPr="00C633AE">
        <w:rPr>
          <w:rFonts w:eastAsia="Calibri"/>
          <w:szCs w:val="24"/>
        </w:rPr>
        <w:t xml:space="preserve"> </w:t>
      </w:r>
      <w:r>
        <w:rPr>
          <w:rFonts w:eastAsia="Calibri"/>
          <w:szCs w:val="24"/>
        </w:rPr>
        <w:t xml:space="preserve">Markets+ Footprint </w:t>
      </w:r>
      <w:r w:rsidRPr="00C633AE">
        <w:rPr>
          <w:rFonts w:eastAsia="Calibri"/>
          <w:szCs w:val="24"/>
        </w:rPr>
        <w:t>as a registered Resource and configured to be physically isolated and prevented from withdrawing from the</w:t>
      </w:r>
      <w:r w:rsidR="00FD6E53">
        <w:rPr>
          <w:rFonts w:eastAsia="Calibri"/>
          <w:szCs w:val="24"/>
        </w:rPr>
        <w:t xml:space="preserve"> transmission system in the</w:t>
      </w:r>
      <w:r w:rsidRPr="00C633AE">
        <w:rPr>
          <w:rFonts w:eastAsia="Calibri"/>
          <w:szCs w:val="24"/>
        </w:rPr>
        <w:t xml:space="preserve"> </w:t>
      </w:r>
      <w:r>
        <w:rPr>
          <w:rFonts w:eastAsia="Calibri"/>
          <w:szCs w:val="24"/>
        </w:rPr>
        <w:t>Markets+ Footprint</w:t>
      </w:r>
      <w:r w:rsidRPr="00C633AE">
        <w:rPr>
          <w:rFonts w:eastAsia="Calibri"/>
          <w:szCs w:val="24"/>
        </w:rPr>
        <w:t>.</w:t>
      </w:r>
    </w:p>
    <w:p w14:paraId="4CF50505" w14:textId="77777777" w:rsidR="009B43EC" w:rsidRPr="00C633AE" w:rsidRDefault="009B43EC" w:rsidP="009B43EC">
      <w:pPr>
        <w:pStyle w:val="ParaText"/>
        <w:rPr>
          <w:szCs w:val="24"/>
        </w:rPr>
      </w:pPr>
      <w:r w:rsidRPr="00C633AE">
        <w:rPr>
          <w:rFonts w:eastAsia="Calibri"/>
          <w:szCs w:val="24"/>
        </w:rPr>
        <w:t>Exceptions must be consistent with applicable laws, rules, and regulations.</w:t>
      </w:r>
    </w:p>
    <w:p w14:paraId="6ECE719F" w14:textId="4E0683C7" w:rsidR="009B43EC" w:rsidRPr="00C633AE" w:rsidRDefault="009B43EC" w:rsidP="009B43EC">
      <w:pPr>
        <w:pStyle w:val="ParaText"/>
        <w:rPr>
          <w:szCs w:val="24"/>
        </w:rPr>
      </w:pPr>
      <w:r w:rsidRPr="00C633AE">
        <w:rPr>
          <w:szCs w:val="24"/>
        </w:rPr>
        <w:t xml:space="preserve">If a Resource is registered with the Net without Aux option, as described in </w:t>
      </w:r>
      <w:r w:rsidRPr="004F0BB0">
        <w:rPr>
          <w:szCs w:val="24"/>
        </w:rPr>
        <w:t>Section 9.1.12</w:t>
      </w:r>
      <w:r w:rsidRPr="00C633AE">
        <w:rPr>
          <w:szCs w:val="24"/>
        </w:rPr>
        <w:t xml:space="preserve">, a negative [-] value will indicate a net injection, where a positive [+] value will indicate a net withdrawal (e.g., Auxiliary Load not covered by generation gross output) for that MDSL.  The “net” </w:t>
      </w:r>
      <w:r w:rsidR="0046151A" w:rsidRPr="004B6AF6">
        <w:rPr>
          <w:szCs w:val="24"/>
        </w:rPr>
        <w:t>will</w:t>
      </w:r>
      <w:r w:rsidRPr="00C633AE">
        <w:rPr>
          <w:szCs w:val="24"/>
        </w:rPr>
        <w:t xml:space="preserve"> be determined by the “gross” output (a negative value</w:t>
      </w:r>
      <w:r>
        <w:rPr>
          <w:szCs w:val="24"/>
        </w:rPr>
        <w:t xml:space="preserve"> </w:t>
      </w:r>
      <w:r w:rsidRPr="00C633AE">
        <w:rPr>
          <w:szCs w:val="24"/>
        </w:rPr>
        <w:t xml:space="preserve">number) plus the unit Auxiliary Load (a positive value). </w:t>
      </w:r>
    </w:p>
    <w:p w14:paraId="00E9D4AE" w14:textId="1DD4101A" w:rsidR="009B43EC" w:rsidRPr="00C633AE" w:rsidRDefault="009B43EC" w:rsidP="009B43EC">
      <w:pPr>
        <w:pStyle w:val="ParaText"/>
        <w:rPr>
          <w:szCs w:val="24"/>
        </w:rPr>
      </w:pPr>
      <w:r w:rsidRPr="00C633AE">
        <w:rPr>
          <w:szCs w:val="24"/>
        </w:rPr>
        <w:t>If a Resource</w:t>
      </w:r>
      <w:r>
        <w:rPr>
          <w:szCs w:val="24"/>
        </w:rPr>
        <w:t>, excluding MSRs,</w:t>
      </w:r>
      <w:r w:rsidRPr="00C633AE">
        <w:rPr>
          <w:szCs w:val="24"/>
        </w:rPr>
        <w:t xml:space="preserve"> is registered with </w:t>
      </w:r>
      <w:r>
        <w:rPr>
          <w:szCs w:val="24"/>
        </w:rPr>
        <w:t>either</w:t>
      </w:r>
      <w:r w:rsidRPr="00C633AE">
        <w:rPr>
          <w:szCs w:val="24"/>
        </w:rPr>
        <w:t xml:space="preserve"> the Gross or the Net with Aux option, as described in </w:t>
      </w:r>
      <w:r w:rsidRPr="004F0BB0">
        <w:rPr>
          <w:szCs w:val="24"/>
        </w:rPr>
        <w:t>Section 9.1.12</w:t>
      </w:r>
      <w:r w:rsidRPr="00C633AE">
        <w:rPr>
          <w:szCs w:val="24"/>
        </w:rPr>
        <w:t>, then the Resource meter value will always be an injection (a negative value), and two</w:t>
      </w:r>
      <w:r w:rsidR="00FD6E53">
        <w:rPr>
          <w:szCs w:val="24"/>
        </w:rPr>
        <w:t xml:space="preserve"> (2)</w:t>
      </w:r>
      <w:r w:rsidRPr="00C633AE">
        <w:rPr>
          <w:szCs w:val="24"/>
        </w:rPr>
        <w:t xml:space="preserve"> values </w:t>
      </w:r>
      <w:r>
        <w:rPr>
          <w:szCs w:val="24"/>
        </w:rPr>
        <w:t>must</w:t>
      </w:r>
      <w:r w:rsidRPr="00C633AE">
        <w:rPr>
          <w:szCs w:val="24"/>
        </w:rPr>
        <w:t xml:space="preserve"> always be reported. For the Gross option, all generation is reported under the Resource’s MDSL, and all Auxiliary Load is included in the applicable Market Participant’s load MDSL. For the Net with Aux option, the reported output </w:t>
      </w:r>
      <w:r>
        <w:rPr>
          <w:szCs w:val="24"/>
        </w:rPr>
        <w:t>must</w:t>
      </w:r>
      <w:r w:rsidRPr="00C633AE">
        <w:rPr>
          <w:szCs w:val="24"/>
        </w:rPr>
        <w:t xml:space="preserve"> be determined by the generation (a negative value) plus the Auxiliary Load (a positive value). When the Resource’s generation is less than or equal to the Auxiliary Load, the Market Participant </w:t>
      </w:r>
      <w:r>
        <w:rPr>
          <w:szCs w:val="24"/>
        </w:rPr>
        <w:t>must</w:t>
      </w:r>
      <w:r w:rsidRPr="00C633AE">
        <w:rPr>
          <w:szCs w:val="24"/>
        </w:rPr>
        <w:t xml:space="preserve"> report the Resource’s output as zero</w:t>
      </w:r>
      <w:r w:rsidR="00FD6E53">
        <w:rPr>
          <w:szCs w:val="24"/>
        </w:rPr>
        <w:t xml:space="preserve"> (0)</w:t>
      </w:r>
      <w:r w:rsidRPr="00C633AE">
        <w:rPr>
          <w:szCs w:val="24"/>
        </w:rPr>
        <w:t xml:space="preserve">, and any Auxiliary Load not covered by generation </w:t>
      </w:r>
      <w:r>
        <w:rPr>
          <w:szCs w:val="24"/>
        </w:rPr>
        <w:t>must</w:t>
      </w:r>
      <w:r w:rsidRPr="00C633AE">
        <w:rPr>
          <w:szCs w:val="24"/>
        </w:rPr>
        <w:t xml:space="preserve"> be included in the applicable Market Participant’s load MDSL.</w:t>
      </w:r>
    </w:p>
    <w:p w14:paraId="2590CAB0" w14:textId="77777777" w:rsidR="009B43EC" w:rsidRPr="00970A16" w:rsidRDefault="009B43EC" w:rsidP="009B43EC">
      <w:pPr>
        <w:keepNext/>
        <w:spacing w:before="240" w:after="240"/>
        <w:outlineLvl w:val="3"/>
        <w:rPr>
          <w:b/>
        </w:rPr>
      </w:pPr>
      <w:bookmarkStart w:id="8989" w:name="_Toc213772221"/>
      <w:r w:rsidRPr="00970A16">
        <w:rPr>
          <w:b/>
        </w:rPr>
        <w:t>B.7.1.1</w:t>
      </w:r>
      <w:r w:rsidRPr="00970A16">
        <w:rPr>
          <w:b/>
        </w:rPr>
        <w:tab/>
        <w:t xml:space="preserve">     Joint Owned Unit (JOU) Generation</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p>
    <w:p w14:paraId="3EBC939C" w14:textId="77777777" w:rsidR="009B43EC" w:rsidRPr="00970A16" w:rsidRDefault="009B43EC" w:rsidP="009B43EC">
      <w:pPr>
        <w:spacing w:line="300" w:lineRule="auto"/>
      </w:pPr>
      <w:r w:rsidRPr="00970A16">
        <w:t xml:space="preserve">JOU Meter Data Submittal Location data reporting must be consistent with the JOU registration </w:t>
      </w:r>
      <w:r w:rsidRPr="005408FC">
        <w:t xml:space="preserve">outlined in </w:t>
      </w:r>
      <w:r w:rsidRPr="004F0BB0">
        <w:t>Section 9.1.5</w:t>
      </w:r>
      <w:r>
        <w:t>.</w:t>
      </w:r>
    </w:p>
    <w:p w14:paraId="6377AC90" w14:textId="77777777" w:rsidR="009B43EC" w:rsidRPr="00970A16" w:rsidRDefault="009B43EC" w:rsidP="009B43EC">
      <w:pPr>
        <w:keepNext/>
        <w:spacing w:before="240" w:after="240"/>
        <w:outlineLvl w:val="3"/>
        <w:rPr>
          <w:b/>
        </w:rPr>
      </w:pPr>
      <w:bookmarkStart w:id="8990" w:name="_Toc120891424"/>
      <w:bookmarkStart w:id="8991" w:name="_Toc120920495"/>
      <w:bookmarkStart w:id="8992" w:name="_Toc262561072"/>
      <w:bookmarkStart w:id="8993" w:name="_Toc263173550"/>
      <w:bookmarkStart w:id="8994" w:name="_Toc263173743"/>
      <w:bookmarkStart w:id="8995" w:name="_Toc263173963"/>
      <w:bookmarkStart w:id="8996" w:name="_Toc263174405"/>
      <w:bookmarkStart w:id="8997" w:name="_Toc263235310"/>
      <w:bookmarkStart w:id="8998" w:name="_Toc263235954"/>
      <w:bookmarkStart w:id="8999" w:name="_Toc263429756"/>
      <w:bookmarkStart w:id="9000" w:name="_Toc263795811"/>
      <w:bookmarkStart w:id="9001" w:name="_Toc266869994"/>
      <w:bookmarkStart w:id="9002" w:name="_Toc159233653"/>
      <w:bookmarkStart w:id="9003" w:name="_Toc213772222"/>
      <w:r w:rsidRPr="00970A16">
        <w:rPr>
          <w:b/>
        </w:rPr>
        <w:t>B.7.1.2</w:t>
      </w:r>
      <w:r w:rsidRPr="00970A16">
        <w:rPr>
          <w:b/>
        </w:rPr>
        <w:tab/>
        <w:t xml:space="preserve">     Generation Loss </w:t>
      </w:r>
      <w:bookmarkEnd w:id="8990"/>
      <w:bookmarkEnd w:id="8991"/>
      <w:bookmarkEnd w:id="8992"/>
      <w:bookmarkEnd w:id="8993"/>
      <w:bookmarkEnd w:id="8994"/>
      <w:bookmarkEnd w:id="8995"/>
      <w:bookmarkEnd w:id="8996"/>
      <w:bookmarkEnd w:id="8997"/>
      <w:bookmarkEnd w:id="8998"/>
      <w:bookmarkEnd w:id="8999"/>
      <w:bookmarkEnd w:id="9000"/>
      <w:bookmarkEnd w:id="9001"/>
      <w:bookmarkEnd w:id="9002"/>
      <w:r>
        <w:rPr>
          <w:b/>
        </w:rPr>
        <w:t>Adjustment</w:t>
      </w:r>
      <w:bookmarkEnd w:id="9003"/>
    </w:p>
    <w:p w14:paraId="0123ED3A" w14:textId="3FAA29A7" w:rsidR="009B43EC" w:rsidRPr="00970A16" w:rsidRDefault="009B43EC" w:rsidP="009B43EC">
      <w:pPr>
        <w:spacing w:line="300" w:lineRule="auto"/>
      </w:pPr>
      <w:r w:rsidRPr="00970A16">
        <w:t xml:space="preserve">Meter Data for a Resource must be loss </w:t>
      </w:r>
      <w:r>
        <w:t>adjusted</w:t>
      </w:r>
      <w:r w:rsidRPr="00970A16">
        <w:t xml:space="preserve">, when the meter is not at </w:t>
      </w:r>
      <w:r>
        <w:t xml:space="preserve">an </w:t>
      </w:r>
      <w:r w:rsidR="00F313A9">
        <w:t>Enode</w:t>
      </w:r>
      <w:r w:rsidRPr="00970A16">
        <w:t xml:space="preserve">. Complete loss </w:t>
      </w:r>
      <w:r>
        <w:t>adjustment</w:t>
      </w:r>
      <w:r w:rsidRPr="00970A16">
        <w:t xml:space="preserve"> requirements are described within this Appendix</w:t>
      </w:r>
      <w:r>
        <w:t xml:space="preserve"> </w:t>
      </w:r>
      <w:r w:rsidR="00D73B63">
        <w:t>A</w:t>
      </w:r>
      <w:r>
        <w:t xml:space="preserve"> under </w:t>
      </w:r>
      <w:r w:rsidRPr="004F0BB0">
        <w:t>Section B.9</w:t>
      </w:r>
      <w:r w:rsidRPr="00970A16">
        <w:t>.</w:t>
      </w:r>
    </w:p>
    <w:p w14:paraId="5A508689" w14:textId="77777777" w:rsidR="009B43EC" w:rsidRPr="00970A16" w:rsidRDefault="009B43EC" w:rsidP="009B43EC">
      <w:pPr>
        <w:keepNext/>
        <w:spacing w:after="240"/>
        <w:outlineLvl w:val="2"/>
        <w:rPr>
          <w:b/>
          <w:sz w:val="26"/>
        </w:rPr>
      </w:pPr>
      <w:bookmarkStart w:id="9004" w:name="_Toc120891425"/>
      <w:bookmarkStart w:id="9005" w:name="_Toc120920496"/>
      <w:bookmarkStart w:id="9006" w:name="_Toc262561073"/>
      <w:bookmarkStart w:id="9007" w:name="_Toc263173964"/>
      <w:bookmarkStart w:id="9008" w:name="_Toc263174406"/>
      <w:bookmarkStart w:id="9009" w:name="_Toc263235311"/>
      <w:bookmarkStart w:id="9010" w:name="_Toc263235955"/>
      <w:bookmarkStart w:id="9011" w:name="_Toc263429757"/>
      <w:bookmarkStart w:id="9012" w:name="_Toc263795812"/>
      <w:bookmarkStart w:id="9013" w:name="_Toc266869995"/>
      <w:bookmarkStart w:id="9014" w:name="_Toc159233654"/>
      <w:bookmarkStart w:id="9015" w:name="_Toc213772223"/>
      <w:r w:rsidRPr="00970A16">
        <w:rPr>
          <w:b/>
          <w:sz w:val="26"/>
        </w:rPr>
        <w:t>B.7.2</w:t>
      </w:r>
      <w:r w:rsidRPr="00970A16">
        <w:rPr>
          <w:b/>
          <w:sz w:val="26"/>
        </w:rPr>
        <w:tab/>
        <w:t xml:space="preserve">     Load Metering</w:t>
      </w:r>
      <w:bookmarkEnd w:id="9004"/>
      <w:bookmarkEnd w:id="9005"/>
      <w:bookmarkEnd w:id="9006"/>
      <w:bookmarkEnd w:id="9007"/>
      <w:bookmarkEnd w:id="9008"/>
      <w:bookmarkEnd w:id="9009"/>
      <w:bookmarkEnd w:id="9010"/>
      <w:bookmarkEnd w:id="9011"/>
      <w:bookmarkEnd w:id="9012"/>
      <w:bookmarkEnd w:id="9013"/>
      <w:bookmarkEnd w:id="9014"/>
      <w:bookmarkEnd w:id="9015"/>
    </w:p>
    <w:p w14:paraId="5E462603" w14:textId="77777777" w:rsidR="009B43EC" w:rsidRPr="00970A16" w:rsidRDefault="009B43EC" w:rsidP="009B43EC">
      <w:pPr>
        <w:keepNext/>
        <w:spacing w:before="240" w:after="240"/>
        <w:outlineLvl w:val="3"/>
        <w:rPr>
          <w:b/>
        </w:rPr>
      </w:pPr>
      <w:bookmarkStart w:id="9016" w:name="_Toc120891426"/>
      <w:bookmarkStart w:id="9017" w:name="_Toc120920497"/>
      <w:bookmarkStart w:id="9018" w:name="_Toc262561074"/>
      <w:bookmarkStart w:id="9019" w:name="_Toc263173551"/>
      <w:bookmarkStart w:id="9020" w:name="_Toc263173744"/>
      <w:bookmarkStart w:id="9021" w:name="_Toc263173965"/>
      <w:bookmarkStart w:id="9022" w:name="_Toc263174407"/>
      <w:bookmarkStart w:id="9023" w:name="_Toc263235312"/>
      <w:bookmarkStart w:id="9024" w:name="_Toc263235956"/>
      <w:bookmarkStart w:id="9025" w:name="_Toc263429758"/>
      <w:bookmarkStart w:id="9026" w:name="_Toc263795813"/>
      <w:bookmarkStart w:id="9027" w:name="_Toc266869996"/>
      <w:bookmarkStart w:id="9028" w:name="_Toc159233655"/>
      <w:bookmarkStart w:id="9029" w:name="_Toc213772224"/>
      <w:r w:rsidRPr="00970A16">
        <w:rPr>
          <w:b/>
        </w:rPr>
        <w:t>B.7.2.1</w:t>
      </w:r>
      <w:r w:rsidRPr="00970A16">
        <w:rPr>
          <w:b/>
        </w:rPr>
        <w:tab/>
        <w:t xml:space="preserve">     General</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p>
    <w:p w14:paraId="442D2A24" w14:textId="77777777" w:rsidR="009B43EC" w:rsidRPr="00970A16" w:rsidRDefault="009B43EC" w:rsidP="009B43EC">
      <w:pPr>
        <w:spacing w:line="300" w:lineRule="auto"/>
      </w:pPr>
      <w:r w:rsidRPr="00970A16">
        <w:t xml:space="preserve">Metering Equipment sufficient to meet the requirements set forth in </w:t>
      </w:r>
      <w:r>
        <w:t xml:space="preserve">this </w:t>
      </w:r>
      <w:r w:rsidRPr="00970A16">
        <w:t xml:space="preserve">Section </w:t>
      </w:r>
      <w:r>
        <w:t>must</w:t>
      </w:r>
      <w:r w:rsidRPr="00970A16">
        <w:t xml:space="preserve"> be installed </w:t>
      </w:r>
      <w:r w:rsidRPr="00D00C48">
        <w:rPr>
          <w:szCs w:val="24"/>
        </w:rPr>
        <w:t>for the settlement of Reported Load</w:t>
      </w:r>
      <w:r>
        <w:rPr>
          <w:szCs w:val="24"/>
        </w:rPr>
        <w:t>.</w:t>
      </w:r>
      <w:r w:rsidRPr="00D00C48">
        <w:rPr>
          <w:szCs w:val="24"/>
        </w:rPr>
        <w:t xml:space="preserve"> Meter Data supplied to the Market Operator </w:t>
      </w:r>
      <w:r>
        <w:rPr>
          <w:szCs w:val="24"/>
        </w:rPr>
        <w:t xml:space="preserve">must </w:t>
      </w:r>
      <w:r w:rsidRPr="003421E7">
        <w:t>be consistent with the registered load as described in Section 9.2.</w:t>
      </w:r>
    </w:p>
    <w:p w14:paraId="13B673E2" w14:textId="141C2349" w:rsidR="009B43EC" w:rsidRPr="00970A16" w:rsidRDefault="009B43EC" w:rsidP="009B43EC">
      <w:pPr>
        <w:spacing w:line="300" w:lineRule="auto"/>
      </w:pPr>
      <w:r w:rsidRPr="00970A16">
        <w:t>Load data must be submitted in either 5-minute or hourly intervals</w:t>
      </w:r>
      <w:r>
        <w:t>.</w:t>
      </w:r>
      <w:r w:rsidRPr="00970A16">
        <w:t xml:space="preserve">  All </w:t>
      </w:r>
      <w:r w:rsidR="005A606F">
        <w:t>l</w:t>
      </w:r>
      <w:r w:rsidRPr="00970A16">
        <w:t xml:space="preserve">oads </w:t>
      </w:r>
      <w:r>
        <w:t>must</w:t>
      </w:r>
      <w:r w:rsidRPr="00970A16">
        <w:t xml:space="preserve"> be reported as a positive [+] value to indicate a net withdrawal at </w:t>
      </w:r>
      <w:r>
        <w:t xml:space="preserve">an </w:t>
      </w:r>
      <w:r w:rsidR="00F313A9">
        <w:t>Enode</w:t>
      </w:r>
      <w:r w:rsidRPr="00970A16">
        <w:t>.</w:t>
      </w:r>
    </w:p>
    <w:p w14:paraId="59885F8B" w14:textId="77777777" w:rsidR="009B43EC" w:rsidRPr="00970A16" w:rsidRDefault="009B43EC" w:rsidP="009B43EC">
      <w:pPr>
        <w:keepNext/>
        <w:spacing w:before="240" w:after="240"/>
        <w:outlineLvl w:val="3"/>
        <w:rPr>
          <w:b/>
        </w:rPr>
      </w:pPr>
      <w:bookmarkStart w:id="9030" w:name="_Toc120891427"/>
      <w:bookmarkStart w:id="9031" w:name="_Toc120920498"/>
      <w:bookmarkStart w:id="9032" w:name="_Toc262561075"/>
      <w:bookmarkStart w:id="9033" w:name="_Toc263173552"/>
      <w:bookmarkStart w:id="9034" w:name="_Toc263173745"/>
      <w:bookmarkStart w:id="9035" w:name="_Toc263173966"/>
      <w:bookmarkStart w:id="9036" w:name="_Toc263174408"/>
      <w:bookmarkStart w:id="9037" w:name="_Toc263235313"/>
      <w:bookmarkStart w:id="9038" w:name="_Toc263235957"/>
      <w:bookmarkStart w:id="9039" w:name="_Toc263429759"/>
      <w:bookmarkStart w:id="9040" w:name="_Toc263795814"/>
      <w:bookmarkStart w:id="9041" w:name="_Ref264028110"/>
      <w:bookmarkStart w:id="9042" w:name="_Toc266869997"/>
      <w:bookmarkStart w:id="9043" w:name="_Toc159233656"/>
      <w:bookmarkStart w:id="9044" w:name="_Toc213772225"/>
      <w:r w:rsidRPr="00970A16">
        <w:rPr>
          <w:b/>
        </w:rPr>
        <w:t>B</w:t>
      </w:r>
      <w:r w:rsidRPr="00970A16" w:rsidDel="00793615">
        <w:rPr>
          <w:b/>
        </w:rPr>
        <w:t>.</w:t>
      </w:r>
      <w:r w:rsidRPr="00970A16">
        <w:rPr>
          <w:b/>
        </w:rPr>
        <w:t>7.2.2</w:t>
      </w:r>
      <w:r w:rsidRPr="00970A16">
        <w:rPr>
          <w:b/>
        </w:rPr>
        <w:tab/>
        <w:t xml:space="preserve">     Load Loss </w:t>
      </w:r>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r>
        <w:rPr>
          <w:b/>
        </w:rPr>
        <w:t>Adjustment</w:t>
      </w:r>
      <w:bookmarkEnd w:id="9044"/>
    </w:p>
    <w:p w14:paraId="5FC64B69" w14:textId="68325F18" w:rsidR="009B43EC" w:rsidRPr="00970A16" w:rsidRDefault="009B43EC" w:rsidP="009B43EC">
      <w:pPr>
        <w:spacing w:line="300" w:lineRule="auto"/>
      </w:pPr>
      <w:r w:rsidRPr="00970A16">
        <w:t xml:space="preserve">Metering for a </w:t>
      </w:r>
      <w:r w:rsidR="005A606F">
        <w:t>l</w:t>
      </w:r>
      <w:r w:rsidRPr="00970A16">
        <w:t xml:space="preserve">oad must be </w:t>
      </w:r>
      <w:r>
        <w:t>adjusted</w:t>
      </w:r>
      <w:r w:rsidRPr="00970A16">
        <w:t xml:space="preserve"> for any distribution and transmission losses up to the point of interconnection with</w:t>
      </w:r>
      <w:r w:rsidR="00F313A9">
        <w:t xml:space="preserve"> the transmission system inside the</w:t>
      </w:r>
      <w:r w:rsidRPr="00970A16">
        <w:t xml:space="preserve"> </w:t>
      </w:r>
      <w:r>
        <w:t>Markets+ Footprint</w:t>
      </w:r>
      <w:r w:rsidR="00F313A9">
        <w:t>.</w:t>
      </w:r>
      <w:r w:rsidRPr="00970A16">
        <w:t xml:space="preserve"> Submitted Meter Data for </w:t>
      </w:r>
      <w:r w:rsidR="005A606F">
        <w:t>l</w:t>
      </w:r>
      <w:r w:rsidRPr="00970A16">
        <w:t xml:space="preserve">oad, other than Residual Load, does not include </w:t>
      </w:r>
      <w:r>
        <w:t>transmission system</w:t>
      </w:r>
      <w:r w:rsidRPr="00970A16">
        <w:t xml:space="preserve"> losses.  </w:t>
      </w:r>
    </w:p>
    <w:p w14:paraId="5547D4E8" w14:textId="77777777" w:rsidR="009B43EC" w:rsidRPr="00970A16" w:rsidRDefault="009B43EC" w:rsidP="009B43EC">
      <w:pPr>
        <w:keepNext/>
        <w:spacing w:before="240" w:after="240"/>
        <w:outlineLvl w:val="3"/>
        <w:rPr>
          <w:b/>
        </w:rPr>
      </w:pPr>
      <w:bookmarkStart w:id="9045" w:name="_Toc120891428"/>
      <w:bookmarkStart w:id="9046" w:name="_Toc120920499"/>
      <w:bookmarkStart w:id="9047" w:name="_Toc262561076"/>
      <w:bookmarkStart w:id="9048" w:name="_Toc263173553"/>
      <w:bookmarkStart w:id="9049" w:name="_Toc263173746"/>
      <w:bookmarkStart w:id="9050" w:name="_Toc263173967"/>
      <w:bookmarkStart w:id="9051" w:name="_Toc263174409"/>
      <w:bookmarkStart w:id="9052" w:name="_Toc263235314"/>
      <w:bookmarkStart w:id="9053" w:name="_Toc263235958"/>
      <w:bookmarkStart w:id="9054" w:name="_Toc263429760"/>
      <w:bookmarkStart w:id="9055" w:name="_Toc263795815"/>
      <w:bookmarkStart w:id="9056" w:name="_Toc266869998"/>
      <w:bookmarkStart w:id="9057" w:name="_Toc159233657"/>
      <w:bookmarkStart w:id="9058" w:name="_Toc213772226"/>
      <w:r w:rsidRPr="00970A16">
        <w:rPr>
          <w:b/>
        </w:rPr>
        <w:t>B.7.2.3</w:t>
      </w:r>
      <w:r w:rsidRPr="00970A16">
        <w:rPr>
          <w:b/>
        </w:rPr>
        <w:tab/>
        <w:t xml:space="preserve">     Residual Load</w:t>
      </w:r>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r w:rsidRPr="00970A16">
        <w:rPr>
          <w:b/>
        </w:rPr>
        <w:t xml:space="preserve"> </w:t>
      </w:r>
    </w:p>
    <w:p w14:paraId="3FBFB959" w14:textId="48F6833A" w:rsidR="009B43EC" w:rsidRPr="00970A16" w:rsidRDefault="009B43EC" w:rsidP="009B43EC">
      <w:pPr>
        <w:spacing w:line="300" w:lineRule="auto"/>
      </w:pPr>
      <w:r w:rsidRPr="00970A16">
        <w:t xml:space="preserve">Residual Load in a Settlement Area is the sum of the metered tie-line flows </w:t>
      </w:r>
      <w:r w:rsidRPr="00CE5BFE">
        <w:t>adjusted for pseudo-ties out of the Settlement Area</w:t>
      </w:r>
      <w:r w:rsidRPr="00970A16">
        <w:t xml:space="preserve">, plus the sum of all Resource Meter Data Submittal Locations less all other load Meter Data Submittal Location for that Settlement Area.  Residual Load is submitted by the Meter Agent representing the Market Participant responsible for Residual Load in the same manner as other Meter Data Submittal Locations for loads.  </w:t>
      </w:r>
      <w:r>
        <w:t>The Market Operator</w:t>
      </w:r>
      <w:r w:rsidRPr="00970A16">
        <w:t xml:space="preserve"> adjusts the </w:t>
      </w:r>
      <w:r w:rsidRPr="00C50CF3">
        <w:t xml:space="preserve">submitted Residual Load for transmission system losses as described </w:t>
      </w:r>
      <w:r w:rsidR="00161A0C">
        <w:rPr>
          <w:szCs w:val="24"/>
        </w:rPr>
        <w:t xml:space="preserve">in the Markets+ Settlements </w:t>
      </w:r>
      <w:r w:rsidR="00BA0C4B">
        <w:rPr>
          <w:szCs w:val="24"/>
        </w:rPr>
        <w:t xml:space="preserve">Calculation </w:t>
      </w:r>
      <w:r w:rsidR="00161A0C">
        <w:rPr>
          <w:szCs w:val="24"/>
        </w:rPr>
        <w:t>Guide</w:t>
      </w:r>
      <w:r w:rsidRPr="00C50CF3">
        <w:t>.</w:t>
      </w:r>
    </w:p>
    <w:p w14:paraId="393668D8" w14:textId="77777777" w:rsidR="009B43EC" w:rsidRPr="00970A16" w:rsidRDefault="009B43EC" w:rsidP="009B43EC">
      <w:pPr>
        <w:keepNext/>
        <w:spacing w:after="240"/>
        <w:outlineLvl w:val="2"/>
        <w:rPr>
          <w:b/>
          <w:sz w:val="26"/>
        </w:rPr>
      </w:pPr>
      <w:bookmarkStart w:id="9059" w:name="_Toc159233658"/>
      <w:bookmarkStart w:id="9060" w:name="_Toc213772227"/>
      <w:r w:rsidRPr="00970A16">
        <w:rPr>
          <w:b/>
          <w:sz w:val="26"/>
        </w:rPr>
        <w:t>B.7.3</w:t>
      </w:r>
      <w:r w:rsidRPr="00970A16">
        <w:rPr>
          <w:b/>
          <w:sz w:val="26"/>
        </w:rPr>
        <w:tab/>
        <w:t xml:space="preserve">     Settlement Area Tie-Lines</w:t>
      </w:r>
      <w:bookmarkEnd w:id="9059"/>
      <w:bookmarkEnd w:id="9060"/>
    </w:p>
    <w:p w14:paraId="7760F451" w14:textId="54768E63" w:rsidR="009B43EC" w:rsidRPr="00970A16" w:rsidRDefault="009B43EC" w:rsidP="009B43EC">
      <w:pPr>
        <w:spacing w:line="300" w:lineRule="auto"/>
      </w:pPr>
      <w:r w:rsidRPr="00970A16">
        <w:rPr>
          <w:szCs w:val="24"/>
        </w:rPr>
        <w:t xml:space="preserve">Each </w:t>
      </w:r>
      <w:r w:rsidRPr="00970A16">
        <w:t xml:space="preserve">Meter Agent that is responsible for the calculation of total Settlement Area load </w:t>
      </w:r>
      <w:r>
        <w:t>must</w:t>
      </w:r>
      <w:r w:rsidRPr="00970A16" w:rsidDel="00A55584">
        <w:rPr>
          <w:szCs w:val="24"/>
        </w:rPr>
        <w:t xml:space="preserve"> </w:t>
      </w:r>
      <w:r w:rsidRPr="00970A16">
        <w:rPr>
          <w:szCs w:val="24"/>
        </w:rPr>
        <w:t xml:space="preserve">report metered tie-line flows between each Settlement Area and each </w:t>
      </w:r>
      <w:r>
        <w:rPr>
          <w:szCs w:val="24"/>
        </w:rPr>
        <w:t>non-Markets+</w:t>
      </w:r>
      <w:r w:rsidRPr="00970A16">
        <w:rPr>
          <w:szCs w:val="24"/>
        </w:rPr>
        <w:t xml:space="preserve"> Balancing Authority </w:t>
      </w:r>
      <w:r>
        <w:rPr>
          <w:szCs w:val="24"/>
        </w:rPr>
        <w:t>Area</w:t>
      </w:r>
      <w:r w:rsidRPr="00970A16">
        <w:rPr>
          <w:szCs w:val="24"/>
        </w:rPr>
        <w:t xml:space="preserve"> with which its Settlement Area is interconnected </w:t>
      </w:r>
      <w:r w:rsidRPr="00635D02">
        <w:t xml:space="preserve">and pseudo-tie out interchange associated with each Settlement Area and </w:t>
      </w:r>
      <w:r>
        <w:t>non-Markets+</w:t>
      </w:r>
      <w:r w:rsidRPr="00635D02">
        <w:t xml:space="preserve"> Balancing Authority</w:t>
      </w:r>
      <w:r>
        <w:t xml:space="preserve"> Area</w:t>
      </w:r>
      <w:r w:rsidRPr="00970A16">
        <w:rPr>
          <w:szCs w:val="24"/>
        </w:rPr>
        <w:t xml:space="preserve">.  </w:t>
      </w:r>
      <w:r w:rsidRPr="00970A16">
        <w:t xml:space="preserve">If a Settlement Area interconnection point is not at the meter location, loss </w:t>
      </w:r>
      <w:r>
        <w:t>adjustment</w:t>
      </w:r>
      <w:r w:rsidRPr="00970A16">
        <w:t xml:space="preserve"> is needed unless all Market Participants and Meter Agents have agreed to another method.  </w:t>
      </w:r>
      <w:r w:rsidRPr="00970A16">
        <w:rPr>
          <w:szCs w:val="24"/>
        </w:rPr>
        <w:t xml:space="preserve">This Meter Data must be submitted in either 5-minute intervals or </w:t>
      </w:r>
      <w:r w:rsidRPr="00970A16">
        <w:t xml:space="preserve">hourly intervals, as specified by the market registration, </w:t>
      </w:r>
      <w:r>
        <w:t>using</w:t>
      </w:r>
      <w:r w:rsidRPr="00970A16">
        <w:t xml:space="preserve"> the sign convention.  Metered tie-line flows are reported based on the Settlement Area’s p</w:t>
      </w:r>
      <w:r w:rsidR="0094290E">
        <w:t>er</w:t>
      </w:r>
      <w:r w:rsidRPr="00970A16">
        <w:t>spective</w:t>
      </w:r>
      <w:r w:rsidR="0094290E">
        <w:t xml:space="preserve"> as described inB.6.2. </w:t>
      </w:r>
      <w:r w:rsidRPr="00970A16">
        <w:t xml:space="preserve">The </w:t>
      </w:r>
      <w:r w:rsidRPr="004627B4">
        <w:t xml:space="preserve">metered tie-line flows are needed for the calibration function of settlements (See </w:t>
      </w:r>
      <w:r w:rsidR="00161A0C">
        <w:rPr>
          <w:szCs w:val="24"/>
        </w:rPr>
        <w:t xml:space="preserve">the Markets+ Settlements </w:t>
      </w:r>
      <w:r w:rsidR="00BA0C4B">
        <w:rPr>
          <w:szCs w:val="24"/>
        </w:rPr>
        <w:t xml:space="preserve">Calculation </w:t>
      </w:r>
      <w:r w:rsidR="00161A0C">
        <w:rPr>
          <w:szCs w:val="24"/>
        </w:rPr>
        <w:t>Guide</w:t>
      </w:r>
      <w:r w:rsidRPr="00970A16">
        <w:t xml:space="preserve"> for a description of the calibration calculation).  </w:t>
      </w:r>
    </w:p>
    <w:p w14:paraId="5D89BD10" w14:textId="77777777" w:rsidR="009B43EC" w:rsidRPr="00970A16" w:rsidRDefault="009B43EC" w:rsidP="009B43EC">
      <w:pPr>
        <w:spacing w:line="300" w:lineRule="auto"/>
      </w:pPr>
      <w:r>
        <w:rPr>
          <w:noProof/>
        </w:rPr>
        <w:drawing>
          <wp:inline distT="0" distB="0" distL="0" distR="0" wp14:anchorId="1B1F0688" wp14:editId="104A4B21">
            <wp:extent cx="5943600" cy="3343275"/>
            <wp:effectExtent l="0" t="0" r="0" b="9525"/>
            <wp:docPr id="8922770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7042"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5943600" cy="3343275"/>
                    </a:xfrm>
                    <a:prstGeom prst="rect">
                      <a:avLst/>
                    </a:prstGeom>
                  </pic:spPr>
                </pic:pic>
              </a:graphicData>
            </a:graphic>
          </wp:inline>
        </w:drawing>
      </w:r>
    </w:p>
    <w:p w14:paraId="0826EF8C" w14:textId="77777777" w:rsidR="009B43EC" w:rsidRPr="00970A16" w:rsidRDefault="009B43EC" w:rsidP="009B43EC">
      <w:pPr>
        <w:jc w:val="center"/>
        <w:rPr>
          <w:szCs w:val="24"/>
        </w:rPr>
      </w:pPr>
    </w:p>
    <w:p w14:paraId="58C09471" w14:textId="77777777" w:rsidR="009B43EC" w:rsidRPr="00970A16" w:rsidRDefault="009B43EC" w:rsidP="009B43EC">
      <w:pPr>
        <w:keepNext/>
        <w:spacing w:before="240" w:after="240"/>
        <w:outlineLvl w:val="3"/>
        <w:rPr>
          <w:b/>
        </w:rPr>
      </w:pPr>
      <w:bookmarkStart w:id="9061" w:name="_Toc266870000"/>
      <w:bookmarkStart w:id="9062" w:name="_Toc159233659"/>
      <w:bookmarkStart w:id="9063" w:name="_Toc213772228"/>
      <w:bookmarkStart w:id="9064" w:name="_Toc262561084"/>
      <w:bookmarkStart w:id="9065" w:name="_Toc263173559"/>
      <w:bookmarkStart w:id="9066" w:name="_Toc263173752"/>
      <w:bookmarkStart w:id="9067" w:name="_Toc263173974"/>
      <w:bookmarkStart w:id="9068" w:name="_Toc263174416"/>
      <w:bookmarkStart w:id="9069" w:name="_Toc263235321"/>
      <w:bookmarkStart w:id="9070" w:name="_Toc263235965"/>
      <w:bookmarkStart w:id="9071" w:name="_Toc263429767"/>
      <w:bookmarkStart w:id="9072" w:name="_Toc263795822"/>
      <w:bookmarkStart w:id="9073" w:name="_Toc120891435"/>
      <w:bookmarkStart w:id="9074" w:name="_Toc120920505"/>
      <w:r w:rsidRPr="00970A16">
        <w:rPr>
          <w:b/>
        </w:rPr>
        <w:t>B.7.3.1</w:t>
      </w:r>
      <w:r w:rsidRPr="00970A16">
        <w:rPr>
          <w:b/>
        </w:rPr>
        <w:tab/>
        <w:t xml:space="preserve">     Substitution for Missing </w:t>
      </w:r>
      <w:r>
        <w:rPr>
          <w:b/>
        </w:rPr>
        <w:t>Meter</w:t>
      </w:r>
      <w:r w:rsidRPr="00970A16">
        <w:rPr>
          <w:b/>
        </w:rPr>
        <w:t xml:space="preserve"> Data</w:t>
      </w:r>
      <w:bookmarkEnd w:id="9061"/>
      <w:bookmarkEnd w:id="9062"/>
      <w:bookmarkEnd w:id="9063"/>
      <w:r w:rsidRPr="00970A16">
        <w:rPr>
          <w:b/>
        </w:rPr>
        <w:t xml:space="preserve"> </w:t>
      </w:r>
      <w:bookmarkEnd w:id="9064"/>
      <w:bookmarkEnd w:id="9065"/>
      <w:bookmarkEnd w:id="9066"/>
      <w:bookmarkEnd w:id="9067"/>
      <w:bookmarkEnd w:id="9068"/>
      <w:bookmarkEnd w:id="9069"/>
      <w:bookmarkEnd w:id="9070"/>
      <w:bookmarkEnd w:id="9071"/>
      <w:bookmarkEnd w:id="9072"/>
    </w:p>
    <w:p w14:paraId="6F0B90EF" w14:textId="77777777" w:rsidR="009B43EC" w:rsidRPr="00970A16" w:rsidRDefault="009B43EC" w:rsidP="009B43EC">
      <w:pPr>
        <w:spacing w:line="300" w:lineRule="auto"/>
      </w:pPr>
      <w:r w:rsidRPr="00970A16">
        <w:t xml:space="preserve">In the event that a Meter Agent fails to submit Settlement Area tie-line flow data or pseudo-tie interchange data, </w:t>
      </w:r>
      <w:r>
        <w:t>the Market Operator</w:t>
      </w:r>
      <w:r w:rsidRPr="00970A16">
        <w:t xml:space="preserve"> will initially use the value calculated by the State Estimator until the actual value is submitted prior to the S120 meter submittal window closing.</w:t>
      </w:r>
    </w:p>
    <w:p w14:paraId="29C41185" w14:textId="77777777" w:rsidR="009B43EC" w:rsidRPr="00970A16" w:rsidRDefault="009B43EC" w:rsidP="009B43EC">
      <w:pPr>
        <w:keepNext/>
        <w:spacing w:after="240"/>
        <w:outlineLvl w:val="1"/>
        <w:rPr>
          <w:b/>
          <w:sz w:val="30"/>
        </w:rPr>
      </w:pPr>
      <w:bookmarkStart w:id="9075" w:name="_Toc262561085"/>
      <w:bookmarkStart w:id="9076" w:name="_Toc263173560"/>
      <w:bookmarkStart w:id="9077" w:name="_Toc263173753"/>
      <w:bookmarkStart w:id="9078" w:name="_Toc263173975"/>
      <w:bookmarkStart w:id="9079" w:name="_Toc263174417"/>
      <w:bookmarkStart w:id="9080" w:name="_Toc263235322"/>
      <w:bookmarkStart w:id="9081" w:name="_Toc263235966"/>
      <w:bookmarkStart w:id="9082" w:name="_Toc263429768"/>
      <w:bookmarkStart w:id="9083" w:name="_Toc263795823"/>
      <w:bookmarkStart w:id="9084" w:name="_Toc266870001"/>
      <w:bookmarkStart w:id="9085" w:name="_Toc159233660"/>
      <w:bookmarkStart w:id="9086" w:name="_Toc213772229"/>
      <w:r w:rsidRPr="00970A16">
        <w:rPr>
          <w:b/>
          <w:sz w:val="30"/>
        </w:rPr>
        <w:t>B.8</w:t>
      </w:r>
      <w:r w:rsidRPr="00970A16">
        <w:rPr>
          <w:b/>
          <w:sz w:val="30"/>
        </w:rPr>
        <w:tab/>
        <w:t xml:space="preserve">    Settlement Location Anatomy</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r w:rsidRPr="00970A16">
        <w:rPr>
          <w:b/>
          <w:sz w:val="30"/>
        </w:rPr>
        <w:t xml:space="preserve"> </w:t>
      </w:r>
    </w:p>
    <w:p w14:paraId="61E0D5FC" w14:textId="77777777" w:rsidR="009B43EC" w:rsidRPr="00970A16" w:rsidRDefault="009B43EC" w:rsidP="009B43EC">
      <w:pPr>
        <w:keepNext/>
        <w:spacing w:after="240"/>
        <w:outlineLvl w:val="2"/>
        <w:rPr>
          <w:b/>
          <w:sz w:val="26"/>
        </w:rPr>
      </w:pPr>
      <w:bookmarkStart w:id="9087" w:name="_Toc120920506"/>
      <w:bookmarkStart w:id="9088" w:name="_Toc262561086"/>
      <w:bookmarkStart w:id="9089" w:name="_Toc263173976"/>
      <w:bookmarkStart w:id="9090" w:name="_Toc263174418"/>
      <w:bookmarkStart w:id="9091" w:name="_Toc263235323"/>
      <w:bookmarkStart w:id="9092" w:name="_Toc263235967"/>
      <w:bookmarkStart w:id="9093" w:name="_Toc263429769"/>
      <w:bookmarkStart w:id="9094" w:name="_Toc263795824"/>
      <w:bookmarkStart w:id="9095" w:name="_Toc266870002"/>
      <w:bookmarkStart w:id="9096" w:name="_Toc159233661"/>
      <w:bookmarkStart w:id="9097" w:name="_Toc213772230"/>
      <w:r>
        <w:rPr>
          <w:b/>
          <w:sz w:val="26"/>
        </w:rPr>
        <w:t>B</w:t>
      </w:r>
      <w:r w:rsidRPr="00970A16">
        <w:rPr>
          <w:b/>
          <w:sz w:val="26"/>
        </w:rPr>
        <w:t>.8.1</w:t>
      </w:r>
      <w:r w:rsidRPr="00970A16">
        <w:rPr>
          <w:b/>
          <w:sz w:val="26"/>
        </w:rPr>
        <w:tab/>
        <w:t xml:space="preserve">     General</w:t>
      </w:r>
      <w:bookmarkEnd w:id="9087"/>
      <w:bookmarkEnd w:id="9088"/>
      <w:bookmarkEnd w:id="9089"/>
      <w:bookmarkEnd w:id="9090"/>
      <w:bookmarkEnd w:id="9091"/>
      <w:bookmarkEnd w:id="9092"/>
      <w:bookmarkEnd w:id="9093"/>
      <w:bookmarkEnd w:id="9094"/>
      <w:bookmarkEnd w:id="9095"/>
      <w:bookmarkEnd w:id="9096"/>
      <w:bookmarkEnd w:id="9097"/>
    </w:p>
    <w:p w14:paraId="097E0702" w14:textId="77777777" w:rsidR="009B43EC" w:rsidRPr="00970A16" w:rsidRDefault="009B43EC" w:rsidP="009B43EC">
      <w:pPr>
        <w:spacing w:line="300" w:lineRule="auto"/>
      </w:pPr>
      <w:bookmarkStart w:id="9098" w:name="_Toc63241022"/>
      <w:bookmarkStart w:id="9099" w:name="_Toc76320672"/>
      <w:bookmarkStart w:id="9100" w:name="_Toc76962413"/>
      <w:r w:rsidRPr="00970A16">
        <w:t>These sections describe standards for providing Meter Data under the following conditions:</w:t>
      </w:r>
    </w:p>
    <w:p w14:paraId="42DF7EC4" w14:textId="77777777" w:rsidR="009B43EC" w:rsidRPr="00970A16" w:rsidRDefault="009B43EC" w:rsidP="00DA3CE7">
      <w:pPr>
        <w:numPr>
          <w:ilvl w:val="0"/>
          <w:numId w:val="224"/>
        </w:numPr>
        <w:tabs>
          <w:tab w:val="clear" w:pos="360"/>
          <w:tab w:val="num" w:pos="720"/>
          <w:tab w:val="left" w:pos="810"/>
        </w:tabs>
        <w:spacing w:line="300" w:lineRule="auto"/>
        <w:ind w:left="720" w:hanging="720"/>
      </w:pPr>
      <w:r w:rsidRPr="00970A16">
        <w:t>The actual meter location can be on a distribution voltage system or transmission voltage system.</w:t>
      </w:r>
    </w:p>
    <w:p w14:paraId="130EF109" w14:textId="77777777" w:rsidR="009B43EC" w:rsidRPr="00970A16" w:rsidRDefault="009B43EC" w:rsidP="00DA3CE7">
      <w:pPr>
        <w:numPr>
          <w:ilvl w:val="0"/>
          <w:numId w:val="224"/>
        </w:numPr>
        <w:tabs>
          <w:tab w:val="clear" w:pos="360"/>
          <w:tab w:val="num" w:pos="720"/>
          <w:tab w:val="left" w:pos="810"/>
        </w:tabs>
        <w:spacing w:line="300" w:lineRule="auto"/>
        <w:ind w:left="720" w:hanging="720"/>
      </w:pPr>
      <w:r w:rsidRPr="00970A16">
        <w:t>The physical meter is not at the defined Meter Location.</w:t>
      </w:r>
    </w:p>
    <w:p w14:paraId="3F4192DA" w14:textId="77777777" w:rsidR="009B43EC" w:rsidRPr="00970A16" w:rsidRDefault="009B43EC" w:rsidP="00DA3CE7">
      <w:pPr>
        <w:numPr>
          <w:ilvl w:val="0"/>
          <w:numId w:val="224"/>
        </w:numPr>
        <w:tabs>
          <w:tab w:val="clear" w:pos="360"/>
          <w:tab w:val="left" w:pos="720"/>
          <w:tab w:val="num" w:pos="810"/>
        </w:tabs>
        <w:spacing w:line="300" w:lineRule="auto"/>
        <w:ind w:left="720" w:hanging="720"/>
      </w:pPr>
      <w:r w:rsidRPr="00970A16">
        <w:t>Aggregation of multiple Meter Settlement Locations for reporting Meter Data Submittal Locations.</w:t>
      </w:r>
    </w:p>
    <w:p w14:paraId="51AB91F5" w14:textId="77777777" w:rsidR="009B43EC" w:rsidRPr="00970A16" w:rsidRDefault="009B43EC" w:rsidP="00DA3CE7">
      <w:pPr>
        <w:numPr>
          <w:ilvl w:val="0"/>
          <w:numId w:val="224"/>
        </w:numPr>
        <w:tabs>
          <w:tab w:val="clear" w:pos="360"/>
          <w:tab w:val="left" w:pos="720"/>
          <w:tab w:val="num" w:pos="810"/>
        </w:tabs>
        <w:spacing w:line="300" w:lineRule="auto"/>
        <w:ind w:left="720" w:hanging="720"/>
      </w:pPr>
      <w:r w:rsidRPr="00970A16">
        <w:t xml:space="preserve">Each physical meter value will need to have applicable losses applied to the Meter Data to determine Meter Settlement Location.  The applicable losses only include losses up to a single </w:t>
      </w:r>
      <w:r>
        <w:t>Markets+</w:t>
      </w:r>
      <w:r w:rsidRPr="00970A16">
        <w:t xml:space="preserve"> Meter Settlement Location.  </w:t>
      </w:r>
    </w:p>
    <w:p w14:paraId="3E0B38E6" w14:textId="5B51051C" w:rsidR="009B43EC" w:rsidRPr="00970A16" w:rsidRDefault="009B43EC" w:rsidP="00DA3CE7">
      <w:pPr>
        <w:numPr>
          <w:ilvl w:val="0"/>
          <w:numId w:val="224"/>
        </w:numPr>
        <w:tabs>
          <w:tab w:val="clear" w:pos="360"/>
          <w:tab w:val="left" w:pos="720"/>
          <w:tab w:val="num" w:pos="810"/>
        </w:tabs>
        <w:spacing w:line="300" w:lineRule="auto"/>
        <w:ind w:left="720" w:hanging="720"/>
      </w:pPr>
      <w:r w:rsidRPr="00970A16">
        <w:t xml:space="preserve">A Node will be at the point of </w:t>
      </w:r>
      <w:r>
        <w:t xml:space="preserve">electrical interconnection </w:t>
      </w:r>
      <w:r w:rsidRPr="00970A16">
        <w:t xml:space="preserve">with the </w:t>
      </w:r>
      <w:r>
        <w:t>transmission system</w:t>
      </w:r>
      <w:r w:rsidRPr="00970A16">
        <w:t>.</w:t>
      </w:r>
    </w:p>
    <w:p w14:paraId="4F92A1AD" w14:textId="43B5CB9F" w:rsidR="009B43EC" w:rsidRPr="00970A16" w:rsidRDefault="009B43EC" w:rsidP="00DA3CE7">
      <w:pPr>
        <w:numPr>
          <w:ilvl w:val="0"/>
          <w:numId w:val="224"/>
        </w:numPr>
        <w:tabs>
          <w:tab w:val="clear" w:pos="360"/>
          <w:tab w:val="left" w:pos="720"/>
          <w:tab w:val="num" w:pos="810"/>
        </w:tabs>
        <w:spacing w:line="300" w:lineRule="auto"/>
        <w:ind w:left="720" w:hanging="720"/>
      </w:pPr>
      <w:r w:rsidRPr="00970A16">
        <w:t xml:space="preserve">A Meter Data Submittal Location includes one or more Meter Settlement Locations.  </w:t>
      </w:r>
      <w:r>
        <w:t xml:space="preserve"> </w:t>
      </w:r>
      <w:r w:rsidRPr="00970A16">
        <w:t xml:space="preserve">A Settlement Location includes one or more Meter Data Submittal </w:t>
      </w:r>
      <w:r w:rsidRPr="00DE4795">
        <w:t>Location</w:t>
      </w:r>
      <w:r>
        <w:t>(</w:t>
      </w:r>
      <w:r w:rsidRPr="00DE4795">
        <w:t>s</w:t>
      </w:r>
      <w:r>
        <w:t>)</w:t>
      </w:r>
      <w:r w:rsidRPr="00DE4795">
        <w:t>. Each M</w:t>
      </w:r>
      <w:r>
        <w:t xml:space="preserve">eter </w:t>
      </w:r>
      <w:r w:rsidRPr="00DE4795">
        <w:t>D</w:t>
      </w:r>
      <w:r>
        <w:t xml:space="preserve">ata </w:t>
      </w:r>
      <w:r w:rsidRPr="00DE4795">
        <w:t>S</w:t>
      </w:r>
      <w:r>
        <w:t xml:space="preserve">ubmittal </w:t>
      </w:r>
      <w:r w:rsidRPr="00DE4795">
        <w:t>L</w:t>
      </w:r>
      <w:r>
        <w:t>ocation</w:t>
      </w:r>
      <w:r w:rsidRPr="00970A16">
        <w:t xml:space="preserve"> may </w:t>
      </w:r>
      <w:r w:rsidRPr="00DE4795">
        <w:t xml:space="preserve">only </w:t>
      </w:r>
      <w:r w:rsidRPr="00970A16">
        <w:t xml:space="preserve">be located in </w:t>
      </w:r>
      <w:r w:rsidRPr="00DE4795">
        <w:t>one</w:t>
      </w:r>
      <w:r w:rsidR="00824DA0">
        <w:t xml:space="preserve"> (1)</w:t>
      </w:r>
      <w:r w:rsidRPr="00970A16">
        <w:t xml:space="preserve"> Settlement </w:t>
      </w:r>
      <w:r w:rsidRPr="00DE4795">
        <w:t>Area.</w:t>
      </w:r>
      <w:r w:rsidRPr="00970A16">
        <w:t xml:space="preserve"> A Settlement </w:t>
      </w:r>
      <w:r w:rsidRPr="00DE4795">
        <w:t>Location may include M</w:t>
      </w:r>
      <w:r>
        <w:t xml:space="preserve">eter </w:t>
      </w:r>
      <w:r w:rsidRPr="00DE4795">
        <w:t>D</w:t>
      </w:r>
      <w:r>
        <w:t xml:space="preserve">ata </w:t>
      </w:r>
      <w:r w:rsidRPr="00DE4795">
        <w:t>S</w:t>
      </w:r>
      <w:r>
        <w:t xml:space="preserve">ubmittal </w:t>
      </w:r>
      <w:r w:rsidRPr="00DE4795">
        <w:t>L</w:t>
      </w:r>
      <w:r>
        <w:t>ocations</w:t>
      </w:r>
      <w:r w:rsidRPr="00DE4795">
        <w:t xml:space="preserve"> from</w:t>
      </w:r>
      <w:r w:rsidRPr="00970A16">
        <w:t xml:space="preserve"> more </w:t>
      </w:r>
      <w:r w:rsidRPr="00DE4795">
        <w:t>than one</w:t>
      </w:r>
      <w:r w:rsidR="00973664">
        <w:t xml:space="preserve"> (1)</w:t>
      </w:r>
      <w:r w:rsidRPr="00DE4795">
        <w:t xml:space="preserve"> Settlement Area.</w:t>
      </w:r>
      <w:r w:rsidRPr="00970A16">
        <w:t xml:space="preserve"> Meter Data Submittal Location(s) Meter Data is a component of the settlement billing process.</w:t>
      </w:r>
    </w:p>
    <w:p w14:paraId="475146AF" w14:textId="77777777" w:rsidR="009B43EC" w:rsidRPr="00970A16" w:rsidRDefault="009B43EC" w:rsidP="00DA3CE7">
      <w:pPr>
        <w:numPr>
          <w:ilvl w:val="0"/>
          <w:numId w:val="224"/>
        </w:numPr>
        <w:tabs>
          <w:tab w:val="clear" w:pos="360"/>
          <w:tab w:val="left" w:pos="720"/>
          <w:tab w:val="num" w:pos="810"/>
        </w:tabs>
        <w:spacing w:line="300" w:lineRule="auto"/>
        <w:ind w:left="720" w:hanging="720"/>
      </w:pPr>
      <w:r w:rsidRPr="00970A16">
        <w:t>Meter Data Submittal Location Meter Data reported is effectively at a Resource bus.</w:t>
      </w:r>
    </w:p>
    <w:p w14:paraId="14118370" w14:textId="77777777" w:rsidR="009B43EC" w:rsidRPr="00970A16" w:rsidRDefault="009B43EC" w:rsidP="009B43EC">
      <w:pPr>
        <w:keepNext/>
        <w:spacing w:after="240"/>
        <w:outlineLvl w:val="2"/>
        <w:rPr>
          <w:b/>
          <w:sz w:val="26"/>
        </w:rPr>
      </w:pPr>
      <w:bookmarkStart w:id="9101" w:name="_Toc120920507"/>
      <w:bookmarkStart w:id="9102" w:name="_Toc262561087"/>
      <w:bookmarkStart w:id="9103" w:name="_Toc263173977"/>
      <w:bookmarkStart w:id="9104" w:name="_Toc263174419"/>
      <w:bookmarkStart w:id="9105" w:name="_Toc263235324"/>
      <w:bookmarkStart w:id="9106" w:name="_Toc263235968"/>
      <w:bookmarkStart w:id="9107" w:name="_Toc263429770"/>
      <w:bookmarkStart w:id="9108" w:name="_Toc263795825"/>
      <w:bookmarkStart w:id="9109" w:name="_Toc266870003"/>
      <w:bookmarkStart w:id="9110" w:name="_Toc159233662"/>
      <w:bookmarkStart w:id="9111" w:name="_Toc213772231"/>
      <w:r w:rsidRPr="00970A16">
        <w:rPr>
          <w:b/>
          <w:sz w:val="26"/>
        </w:rPr>
        <w:t>B.8.2</w:t>
      </w:r>
      <w:r w:rsidRPr="00970A16">
        <w:rPr>
          <w:b/>
          <w:sz w:val="26"/>
        </w:rPr>
        <w:tab/>
        <w:t xml:space="preserve">     Making of a Settlement Location</w:t>
      </w:r>
      <w:bookmarkEnd w:id="9101"/>
      <w:bookmarkEnd w:id="9102"/>
      <w:bookmarkEnd w:id="9103"/>
      <w:bookmarkEnd w:id="9104"/>
      <w:bookmarkEnd w:id="9105"/>
      <w:bookmarkEnd w:id="9106"/>
      <w:bookmarkEnd w:id="9107"/>
      <w:bookmarkEnd w:id="9108"/>
      <w:bookmarkEnd w:id="9109"/>
      <w:bookmarkEnd w:id="9110"/>
      <w:bookmarkEnd w:id="9111"/>
    </w:p>
    <w:p w14:paraId="7EEC2DAF" w14:textId="78AE4B48" w:rsidR="009B43EC" w:rsidRPr="00970A16" w:rsidRDefault="009B43EC" w:rsidP="009B43EC">
      <w:pPr>
        <w:spacing w:line="300" w:lineRule="auto"/>
      </w:pPr>
      <w:r w:rsidRPr="00970A16">
        <w:t xml:space="preserve">The Day-Ahead Market and Real-Time Balancing Market are </w:t>
      </w:r>
      <w:r>
        <w:t>both</w:t>
      </w:r>
      <w:r w:rsidRPr="00970A16">
        <w:t xml:space="preserve"> settled at a Settlement Location granularity.  A Settlement Location is made up of one</w:t>
      </w:r>
      <w:r w:rsidR="00973664">
        <w:t xml:space="preserve"> (1)</w:t>
      </w:r>
      <w:r w:rsidRPr="00970A16">
        <w:t xml:space="preserve"> or more Meter Data Submittal Locations.  A Meter Data Submittal Location is made up of one</w:t>
      </w:r>
      <w:r w:rsidR="00973664">
        <w:t xml:space="preserve"> (1)</w:t>
      </w:r>
      <w:r w:rsidRPr="00970A16">
        <w:t xml:space="preserve"> or more Meter Settlement Locations.  A Meter Settlement Location is made of only one</w:t>
      </w:r>
      <w:r w:rsidR="00973664">
        <w:t xml:space="preserve"> (1)</w:t>
      </w:r>
      <w:r w:rsidRPr="00970A16">
        <w:t xml:space="preserve"> Node.  A Node </w:t>
      </w:r>
      <w:r>
        <w:t>may consist</w:t>
      </w:r>
      <w:r w:rsidRPr="00970A16">
        <w:t xml:space="preserve"> of only one meter.  A Settlement Area is a collection of generation, interchange, and load Settlement Locations within a metered geographic area, as defined under Attachment A in </w:t>
      </w:r>
      <w:r>
        <w:t>the</w:t>
      </w:r>
      <w:r w:rsidRPr="00970A16">
        <w:t xml:space="preserve"> Markets+</w:t>
      </w:r>
      <w:r>
        <w:t xml:space="preserve"> </w:t>
      </w:r>
      <w:r w:rsidRPr="00970A16">
        <w:t xml:space="preserve">Tariff, used in Settlements for balancing purposes.  A Meter Settlement Location is simply a single meter </w:t>
      </w:r>
      <w:r>
        <w:t>adjusted</w:t>
      </w:r>
      <w:r w:rsidRPr="00970A16">
        <w:t xml:space="preserve"> for losses, if applicable.  Loss </w:t>
      </w:r>
      <w:r>
        <w:t>adjustment</w:t>
      </w:r>
      <w:r w:rsidRPr="00970A16">
        <w:t xml:space="preserve"> methods are detailed in Section B.9 of this Appendix</w:t>
      </w:r>
      <w:r w:rsidR="00D73B63">
        <w:t xml:space="preserve"> A</w:t>
      </w:r>
      <w:r w:rsidRPr="00970A16">
        <w:t>.</w:t>
      </w:r>
    </w:p>
    <w:p w14:paraId="45A19626" w14:textId="77777777" w:rsidR="009B43EC" w:rsidRPr="00970A16" w:rsidRDefault="009B43EC" w:rsidP="009B43EC">
      <w:pPr>
        <w:keepNext/>
        <w:spacing w:before="240" w:after="240"/>
        <w:outlineLvl w:val="3"/>
        <w:rPr>
          <w:b/>
        </w:rPr>
      </w:pPr>
      <w:bookmarkStart w:id="9112" w:name="_Toc120920508"/>
      <w:bookmarkStart w:id="9113" w:name="_Toc262561088"/>
      <w:bookmarkStart w:id="9114" w:name="_Toc263173561"/>
      <w:bookmarkStart w:id="9115" w:name="_Toc263173754"/>
      <w:bookmarkStart w:id="9116" w:name="_Toc263173978"/>
      <w:bookmarkStart w:id="9117" w:name="_Toc263174420"/>
      <w:bookmarkStart w:id="9118" w:name="_Toc263235325"/>
      <w:bookmarkStart w:id="9119" w:name="_Toc263235969"/>
      <w:bookmarkStart w:id="9120" w:name="_Toc263429771"/>
      <w:bookmarkStart w:id="9121" w:name="_Toc263795826"/>
      <w:bookmarkStart w:id="9122" w:name="_Toc266870004"/>
      <w:bookmarkStart w:id="9123" w:name="_Toc159233663"/>
      <w:bookmarkStart w:id="9124" w:name="_Toc213772232"/>
      <w:r w:rsidRPr="00970A16">
        <w:rPr>
          <w:b/>
        </w:rPr>
        <w:t>B.8.2.1</w:t>
      </w:r>
      <w:r w:rsidRPr="00970A16">
        <w:rPr>
          <w:b/>
        </w:rPr>
        <w:tab/>
        <w:t xml:space="preserve">     Resource and Load Settlement Locations</w:t>
      </w:r>
      <w:bookmarkEnd w:id="9112"/>
      <w:bookmarkEnd w:id="9113"/>
      <w:bookmarkEnd w:id="9114"/>
      <w:bookmarkEnd w:id="9115"/>
      <w:bookmarkEnd w:id="9116"/>
      <w:bookmarkEnd w:id="9117"/>
      <w:bookmarkEnd w:id="9118"/>
      <w:bookmarkEnd w:id="9119"/>
      <w:bookmarkEnd w:id="9120"/>
      <w:bookmarkEnd w:id="9121"/>
      <w:bookmarkEnd w:id="9122"/>
      <w:bookmarkEnd w:id="9123"/>
      <w:bookmarkEnd w:id="9124"/>
    </w:p>
    <w:p w14:paraId="630A0825" w14:textId="77777777" w:rsidR="009B43EC" w:rsidRPr="00970A16" w:rsidRDefault="009B43EC" w:rsidP="009B43EC">
      <w:pPr>
        <w:spacing w:line="300" w:lineRule="auto"/>
      </w:pPr>
      <w:r w:rsidRPr="00970A16">
        <w:t xml:space="preserve">The following diagram illustrates the components of the Settlement Location for either a Resource or load.  Each component is manipulated to achieve the next value.  </w:t>
      </w:r>
      <w:r>
        <w:t>The Meter Agent must complete</w:t>
      </w:r>
      <w:r w:rsidRPr="00970A16">
        <w:t xml:space="preserve"> each step of this methodology in order in </w:t>
      </w:r>
      <w:r>
        <w:t>its meter</w:t>
      </w:r>
      <w:r w:rsidRPr="00970A16">
        <w:t xml:space="preserve"> calculations.</w:t>
      </w:r>
      <w:r>
        <w:t xml:space="preserve"> </w:t>
      </w:r>
    </w:p>
    <w:p w14:paraId="12E75334" w14:textId="77777777" w:rsidR="009B43EC" w:rsidRPr="00970A16" w:rsidRDefault="009B43EC" w:rsidP="009B43EC">
      <w:pPr>
        <w:spacing w:line="300" w:lineRule="auto"/>
      </w:pPr>
      <w:r w:rsidRPr="00A068B7">
        <w:rPr>
          <w:noProof/>
        </w:rPr>
        <w:drawing>
          <wp:inline distT="0" distB="0" distL="0" distR="0" wp14:anchorId="0D30DB8D" wp14:editId="26636A4B">
            <wp:extent cx="5943600" cy="4055745"/>
            <wp:effectExtent l="0" t="0" r="0" b="1905"/>
            <wp:docPr id="203084690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6906" name="Picture 1" descr="Diagram&#10;&#10;Description automatically generated"/>
                    <pic:cNvPicPr/>
                  </pic:nvPicPr>
                  <pic:blipFill>
                    <a:blip r:embed="rId114"/>
                    <a:stretch>
                      <a:fillRect/>
                    </a:stretch>
                  </pic:blipFill>
                  <pic:spPr>
                    <a:xfrm>
                      <a:off x="0" y="0"/>
                      <a:ext cx="5943600" cy="4055745"/>
                    </a:xfrm>
                    <a:prstGeom prst="rect">
                      <a:avLst/>
                    </a:prstGeom>
                  </pic:spPr>
                </pic:pic>
              </a:graphicData>
            </a:graphic>
          </wp:inline>
        </w:drawing>
      </w:r>
    </w:p>
    <w:p w14:paraId="4F6FAA9C" w14:textId="77777777" w:rsidR="009B43EC" w:rsidRPr="00970A16" w:rsidRDefault="009B43EC" w:rsidP="009B43EC"/>
    <w:p w14:paraId="09F10FC5" w14:textId="77777777" w:rsidR="009B43EC" w:rsidRPr="00970A16" w:rsidRDefault="009B43EC" w:rsidP="009B43EC"/>
    <w:p w14:paraId="7FF6BE05" w14:textId="77777777" w:rsidR="009B43EC" w:rsidRPr="00970A16" w:rsidRDefault="009B43EC" w:rsidP="009B43EC">
      <w:pPr>
        <w:keepNext/>
        <w:spacing w:before="240" w:after="240"/>
        <w:outlineLvl w:val="3"/>
        <w:rPr>
          <w:b/>
        </w:rPr>
      </w:pPr>
      <w:r w:rsidRPr="00970A16">
        <w:rPr>
          <w:b/>
        </w:rPr>
        <w:br w:type="page"/>
      </w:r>
      <w:bookmarkStart w:id="9125" w:name="_Toc120920510"/>
      <w:bookmarkStart w:id="9126" w:name="_Toc262561090"/>
      <w:bookmarkStart w:id="9127" w:name="_Toc263173563"/>
      <w:bookmarkStart w:id="9128" w:name="_Toc263173756"/>
      <w:bookmarkStart w:id="9129" w:name="_Toc263173980"/>
      <w:bookmarkStart w:id="9130" w:name="_Toc263174422"/>
      <w:bookmarkStart w:id="9131" w:name="_Toc263235327"/>
      <w:bookmarkStart w:id="9132" w:name="_Toc263235971"/>
      <w:bookmarkStart w:id="9133" w:name="_Toc263429773"/>
      <w:bookmarkStart w:id="9134" w:name="_Toc263795828"/>
      <w:bookmarkStart w:id="9135" w:name="_Toc266870005"/>
      <w:bookmarkStart w:id="9136" w:name="_Toc159233664"/>
      <w:bookmarkStart w:id="9137" w:name="_Toc213772233"/>
      <w:r>
        <w:rPr>
          <w:b/>
        </w:rPr>
        <w:t>B</w:t>
      </w:r>
      <w:r w:rsidRPr="00970A16">
        <w:rPr>
          <w:b/>
        </w:rPr>
        <w:t>.8.2.2 Overview of Settlement Area Load Settlement Locations</w:t>
      </w:r>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14:paraId="37E4D4A1" w14:textId="63413F49" w:rsidR="009B43EC" w:rsidRPr="00970A16" w:rsidRDefault="009B43EC" w:rsidP="009B43EC">
      <w:pPr>
        <w:spacing w:line="300" w:lineRule="auto"/>
      </w:pPr>
      <w:r w:rsidRPr="00970A16">
        <w:t xml:space="preserve">Multiple Meter Agents may use a single Meter as part of their calculations of a Meter Data Submittal Location.  This requires coordination and method agreement between all Meter Agents, the Meter Equipment Owner, and Market Participants involved with the shared Meter.  The following diagram illustrates all </w:t>
      </w:r>
      <w:r w:rsidR="00A439DB">
        <w:t>l</w:t>
      </w:r>
      <w:r w:rsidRPr="00970A16">
        <w:t>oad Settlement Locations within a Settlement Area.  Load D is the Residual Load.</w:t>
      </w:r>
    </w:p>
    <w:p w14:paraId="60BE066B" w14:textId="77777777" w:rsidR="009B43EC" w:rsidRPr="00970A16" w:rsidRDefault="009B43EC" w:rsidP="009B43EC">
      <w:pPr>
        <w:spacing w:line="300" w:lineRule="auto"/>
      </w:pPr>
      <w:r w:rsidRPr="007725FF">
        <w:rPr>
          <w:noProof/>
        </w:rPr>
        <w:drawing>
          <wp:inline distT="0" distB="0" distL="0" distR="0" wp14:anchorId="4EF19051" wp14:editId="243A61CC">
            <wp:extent cx="5943600" cy="5847715"/>
            <wp:effectExtent l="0" t="0" r="0" b="635"/>
            <wp:docPr id="151191441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14411" name="Picture 1" descr="Diagram&#10;&#10;Description automatically generated"/>
                    <pic:cNvPicPr/>
                  </pic:nvPicPr>
                  <pic:blipFill>
                    <a:blip r:embed="rId115"/>
                    <a:stretch>
                      <a:fillRect/>
                    </a:stretch>
                  </pic:blipFill>
                  <pic:spPr>
                    <a:xfrm>
                      <a:off x="0" y="0"/>
                      <a:ext cx="5943600" cy="5847715"/>
                    </a:xfrm>
                    <a:prstGeom prst="rect">
                      <a:avLst/>
                    </a:prstGeom>
                  </pic:spPr>
                </pic:pic>
              </a:graphicData>
            </a:graphic>
          </wp:inline>
        </w:drawing>
      </w:r>
    </w:p>
    <w:p w14:paraId="75092038" w14:textId="77777777" w:rsidR="009B43EC" w:rsidRPr="00970A16" w:rsidRDefault="009B43EC" w:rsidP="009B43EC">
      <w:pPr>
        <w:framePr w:hSpace="180" w:wrap="around" w:vAnchor="page" w:hAnchor="page" w:x="4273" w:y="4609"/>
        <w:tabs>
          <w:tab w:val="left" w:pos="9180"/>
        </w:tabs>
        <w:spacing w:after="0" w:line="300" w:lineRule="auto"/>
        <w:jc w:val="center"/>
        <w:rPr>
          <w:b/>
          <w:noProof/>
          <w:sz w:val="20"/>
        </w:rPr>
      </w:pPr>
      <w:r w:rsidRPr="00970A16">
        <w:rPr>
          <w:b/>
          <w:sz w:val="20"/>
        </w:rPr>
        <w:t>Table 1</w:t>
      </w:r>
      <w:r w:rsidRPr="00970A16">
        <w:rPr>
          <w:b/>
          <w:noProof/>
          <w:sz w:val="20"/>
        </w:rPr>
        <w:t xml:space="preserve"> – Load Inclusion and Coordination</w:t>
      </w:r>
    </w:p>
    <w:tbl>
      <w:tblPr>
        <w:tblW w:w="1008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430"/>
        <w:gridCol w:w="9"/>
        <w:gridCol w:w="1319"/>
        <w:gridCol w:w="2278"/>
        <w:gridCol w:w="2401"/>
        <w:gridCol w:w="2625"/>
        <w:gridCol w:w="19"/>
      </w:tblGrid>
      <w:tr w:rsidR="0011095F" w:rsidRPr="00970A16" w14:paraId="6CFCE939" w14:textId="77777777" w:rsidTr="002D7B47">
        <w:trPr>
          <w:gridBefore w:val="1"/>
          <w:wBefore w:w="8" w:type="dxa"/>
          <w:cantSplit/>
        </w:trPr>
        <w:tc>
          <w:tcPr>
            <w:tcW w:w="1439" w:type="dxa"/>
            <w:gridSpan w:val="2"/>
            <w:shd w:val="clear" w:color="auto" w:fill="C0C0C0"/>
          </w:tcPr>
          <w:p w14:paraId="7A25ED04" w14:textId="77777777" w:rsidR="009B43EC" w:rsidRPr="00970A16" w:rsidRDefault="009B43EC">
            <w:pPr>
              <w:spacing w:after="0"/>
              <w:rPr>
                <w:b/>
                <w:szCs w:val="24"/>
              </w:rPr>
            </w:pPr>
            <w:r w:rsidRPr="00970A16">
              <w:br w:type="page"/>
            </w:r>
            <w:r w:rsidRPr="00970A16">
              <w:rPr>
                <w:b/>
                <w:szCs w:val="24"/>
              </w:rPr>
              <w:t>Load</w:t>
            </w:r>
          </w:p>
        </w:tc>
        <w:tc>
          <w:tcPr>
            <w:tcW w:w="1319" w:type="dxa"/>
            <w:shd w:val="clear" w:color="auto" w:fill="C0C0C0"/>
          </w:tcPr>
          <w:p w14:paraId="1C02A938" w14:textId="77777777" w:rsidR="009B43EC" w:rsidRPr="00970A16" w:rsidRDefault="009B43EC">
            <w:pPr>
              <w:spacing w:after="0"/>
              <w:rPr>
                <w:b/>
                <w:szCs w:val="24"/>
              </w:rPr>
            </w:pPr>
            <w:r w:rsidRPr="00970A16">
              <w:rPr>
                <w:b/>
                <w:szCs w:val="24"/>
              </w:rPr>
              <w:t>Actual # of Meters</w:t>
            </w:r>
          </w:p>
        </w:tc>
        <w:tc>
          <w:tcPr>
            <w:tcW w:w="2278" w:type="dxa"/>
            <w:shd w:val="clear" w:color="auto" w:fill="C0C0C0"/>
          </w:tcPr>
          <w:p w14:paraId="2D227913" w14:textId="77777777" w:rsidR="009B43EC" w:rsidRPr="00970A16" w:rsidRDefault="009B43EC">
            <w:pPr>
              <w:spacing w:after="0"/>
              <w:rPr>
                <w:b/>
                <w:szCs w:val="24"/>
              </w:rPr>
            </w:pPr>
            <w:r w:rsidRPr="00970A16">
              <w:rPr>
                <w:b/>
                <w:szCs w:val="24"/>
              </w:rPr>
              <w:t>Meters included in Settlement Location</w:t>
            </w:r>
          </w:p>
        </w:tc>
        <w:tc>
          <w:tcPr>
            <w:tcW w:w="5045" w:type="dxa"/>
            <w:gridSpan w:val="3"/>
            <w:shd w:val="clear" w:color="auto" w:fill="C0C0C0"/>
          </w:tcPr>
          <w:p w14:paraId="1E8B9C6E" w14:textId="77777777" w:rsidR="009B43EC" w:rsidRPr="00970A16" w:rsidRDefault="009B43EC">
            <w:pPr>
              <w:spacing w:after="0"/>
              <w:rPr>
                <w:b/>
                <w:szCs w:val="24"/>
              </w:rPr>
            </w:pPr>
            <w:r w:rsidRPr="00970A16">
              <w:rPr>
                <w:b/>
                <w:szCs w:val="24"/>
              </w:rPr>
              <w:t>Coordination on Methods used with all entities for Load x for meter x</w:t>
            </w:r>
          </w:p>
        </w:tc>
      </w:tr>
      <w:tr w:rsidR="009905C8" w:rsidRPr="00970A16" w14:paraId="082E2137" w14:textId="77777777" w:rsidTr="002D7B47">
        <w:tblPrEx>
          <w:jc w:val="center"/>
          <w:tblInd w:w="0" w:type="dxa"/>
        </w:tblPrEx>
        <w:trPr>
          <w:gridAfter w:val="1"/>
          <w:wAfter w:w="19" w:type="dxa"/>
          <w:cantSplit/>
          <w:trHeight w:val="280"/>
          <w:jc w:val="center"/>
        </w:trPr>
        <w:tc>
          <w:tcPr>
            <w:tcW w:w="1438" w:type="dxa"/>
            <w:gridSpan w:val="2"/>
            <w:vMerge w:val="restart"/>
            <w:tcBorders>
              <w:bottom w:val="nil"/>
            </w:tcBorders>
          </w:tcPr>
          <w:p w14:paraId="3D8C1190" w14:textId="77777777" w:rsidR="009B43EC" w:rsidRPr="00970A16" w:rsidRDefault="009B43EC">
            <w:pPr>
              <w:jc w:val="center"/>
              <w:rPr>
                <w:szCs w:val="24"/>
              </w:rPr>
            </w:pPr>
            <w:r w:rsidRPr="00970A16">
              <w:rPr>
                <w:szCs w:val="24"/>
              </w:rPr>
              <w:t>A</w:t>
            </w:r>
          </w:p>
        </w:tc>
        <w:tc>
          <w:tcPr>
            <w:tcW w:w="1328" w:type="dxa"/>
            <w:gridSpan w:val="2"/>
            <w:vMerge w:val="restart"/>
            <w:tcBorders>
              <w:bottom w:val="nil"/>
            </w:tcBorders>
          </w:tcPr>
          <w:p w14:paraId="418AA3D8" w14:textId="77777777" w:rsidR="009B43EC" w:rsidRPr="00970A16" w:rsidRDefault="009B43EC">
            <w:pPr>
              <w:jc w:val="center"/>
              <w:rPr>
                <w:szCs w:val="24"/>
              </w:rPr>
            </w:pPr>
            <w:r w:rsidRPr="00970A16">
              <w:rPr>
                <w:szCs w:val="24"/>
              </w:rPr>
              <w:t>4</w:t>
            </w:r>
          </w:p>
        </w:tc>
        <w:tc>
          <w:tcPr>
            <w:tcW w:w="2278" w:type="dxa"/>
            <w:vMerge w:val="restart"/>
            <w:tcBorders>
              <w:bottom w:val="nil"/>
            </w:tcBorders>
          </w:tcPr>
          <w:p w14:paraId="7EBC69D6" w14:textId="77777777" w:rsidR="009B43EC" w:rsidRPr="00970A16" w:rsidRDefault="009B43EC">
            <w:pPr>
              <w:rPr>
                <w:szCs w:val="24"/>
              </w:rPr>
            </w:pPr>
            <w:r w:rsidRPr="00970A16">
              <w:rPr>
                <w:szCs w:val="24"/>
              </w:rPr>
              <w:t>A, B, C, D</w:t>
            </w:r>
          </w:p>
        </w:tc>
        <w:tc>
          <w:tcPr>
            <w:tcW w:w="2401" w:type="dxa"/>
          </w:tcPr>
          <w:p w14:paraId="1D3524D0" w14:textId="77777777" w:rsidR="009B43EC" w:rsidRPr="00970A16" w:rsidRDefault="009B43EC">
            <w:pPr>
              <w:rPr>
                <w:szCs w:val="24"/>
              </w:rPr>
            </w:pPr>
            <w:r w:rsidRPr="00970A16">
              <w:rPr>
                <w:szCs w:val="24"/>
              </w:rPr>
              <w:t>Load B</w:t>
            </w:r>
          </w:p>
        </w:tc>
        <w:tc>
          <w:tcPr>
            <w:tcW w:w="2625" w:type="dxa"/>
          </w:tcPr>
          <w:p w14:paraId="1AD212F6" w14:textId="77777777" w:rsidR="009B43EC" w:rsidRPr="00970A16" w:rsidRDefault="009B43EC">
            <w:pPr>
              <w:rPr>
                <w:szCs w:val="24"/>
              </w:rPr>
            </w:pPr>
            <w:r w:rsidRPr="00970A16">
              <w:rPr>
                <w:szCs w:val="24"/>
              </w:rPr>
              <w:t>Meter C</w:t>
            </w:r>
          </w:p>
        </w:tc>
      </w:tr>
      <w:tr w:rsidR="009905C8" w:rsidRPr="00970A16" w14:paraId="64D794DF" w14:textId="77777777" w:rsidTr="002D7B47">
        <w:tblPrEx>
          <w:jc w:val="center"/>
          <w:tblInd w:w="0" w:type="dxa"/>
        </w:tblPrEx>
        <w:trPr>
          <w:gridAfter w:val="1"/>
          <w:wAfter w:w="19" w:type="dxa"/>
          <w:cantSplit/>
          <w:trHeight w:val="280"/>
          <w:jc w:val="center"/>
        </w:trPr>
        <w:tc>
          <w:tcPr>
            <w:tcW w:w="1438" w:type="dxa"/>
            <w:gridSpan w:val="2"/>
            <w:vMerge/>
            <w:tcBorders>
              <w:top w:val="nil"/>
              <w:bottom w:val="nil"/>
            </w:tcBorders>
          </w:tcPr>
          <w:p w14:paraId="6CBCF725" w14:textId="77777777" w:rsidR="009B43EC" w:rsidRPr="00970A16" w:rsidRDefault="009B43EC">
            <w:pPr>
              <w:jc w:val="center"/>
              <w:rPr>
                <w:szCs w:val="24"/>
              </w:rPr>
            </w:pPr>
          </w:p>
        </w:tc>
        <w:tc>
          <w:tcPr>
            <w:tcW w:w="1328" w:type="dxa"/>
            <w:gridSpan w:val="2"/>
            <w:vMerge/>
            <w:tcBorders>
              <w:top w:val="nil"/>
              <w:bottom w:val="nil"/>
            </w:tcBorders>
          </w:tcPr>
          <w:p w14:paraId="2862412D" w14:textId="77777777" w:rsidR="009B43EC" w:rsidRPr="00970A16" w:rsidRDefault="009B43EC">
            <w:pPr>
              <w:jc w:val="center"/>
              <w:rPr>
                <w:szCs w:val="24"/>
              </w:rPr>
            </w:pPr>
          </w:p>
        </w:tc>
        <w:tc>
          <w:tcPr>
            <w:tcW w:w="2278" w:type="dxa"/>
            <w:vMerge/>
            <w:tcBorders>
              <w:top w:val="nil"/>
              <w:bottom w:val="nil"/>
            </w:tcBorders>
          </w:tcPr>
          <w:p w14:paraId="5C6B2334" w14:textId="77777777" w:rsidR="009B43EC" w:rsidRPr="00970A16" w:rsidRDefault="009B43EC">
            <w:pPr>
              <w:rPr>
                <w:szCs w:val="24"/>
              </w:rPr>
            </w:pPr>
          </w:p>
        </w:tc>
        <w:tc>
          <w:tcPr>
            <w:tcW w:w="2401" w:type="dxa"/>
          </w:tcPr>
          <w:p w14:paraId="15326327" w14:textId="77777777" w:rsidR="009B43EC" w:rsidRPr="00970A16" w:rsidRDefault="009B43EC">
            <w:pPr>
              <w:rPr>
                <w:szCs w:val="24"/>
              </w:rPr>
            </w:pPr>
            <w:r w:rsidRPr="00970A16">
              <w:rPr>
                <w:szCs w:val="24"/>
              </w:rPr>
              <w:t>Load C</w:t>
            </w:r>
          </w:p>
        </w:tc>
        <w:tc>
          <w:tcPr>
            <w:tcW w:w="2625" w:type="dxa"/>
          </w:tcPr>
          <w:p w14:paraId="491279CD" w14:textId="77777777" w:rsidR="009B43EC" w:rsidRPr="00970A16" w:rsidRDefault="009B43EC">
            <w:pPr>
              <w:rPr>
                <w:szCs w:val="24"/>
              </w:rPr>
            </w:pPr>
            <w:r w:rsidRPr="00970A16">
              <w:rPr>
                <w:szCs w:val="24"/>
              </w:rPr>
              <w:t>Meter D</w:t>
            </w:r>
          </w:p>
        </w:tc>
      </w:tr>
      <w:tr w:rsidR="009905C8" w:rsidRPr="00970A16" w14:paraId="350C1B17" w14:textId="77777777" w:rsidTr="002D7B47">
        <w:tblPrEx>
          <w:jc w:val="center"/>
          <w:tblInd w:w="0" w:type="dxa"/>
        </w:tblPrEx>
        <w:trPr>
          <w:gridAfter w:val="1"/>
          <w:wAfter w:w="19" w:type="dxa"/>
          <w:cantSplit/>
          <w:trHeight w:val="60"/>
          <w:jc w:val="center"/>
        </w:trPr>
        <w:tc>
          <w:tcPr>
            <w:tcW w:w="1438" w:type="dxa"/>
            <w:gridSpan w:val="2"/>
            <w:vMerge/>
            <w:tcBorders>
              <w:top w:val="nil"/>
            </w:tcBorders>
          </w:tcPr>
          <w:p w14:paraId="3D772254" w14:textId="77777777" w:rsidR="009B43EC" w:rsidRPr="00970A16" w:rsidRDefault="009B43EC">
            <w:pPr>
              <w:jc w:val="center"/>
              <w:rPr>
                <w:szCs w:val="24"/>
              </w:rPr>
            </w:pPr>
          </w:p>
        </w:tc>
        <w:tc>
          <w:tcPr>
            <w:tcW w:w="1328" w:type="dxa"/>
            <w:gridSpan w:val="2"/>
            <w:vMerge/>
            <w:tcBorders>
              <w:top w:val="nil"/>
            </w:tcBorders>
          </w:tcPr>
          <w:p w14:paraId="1E6CB8E6" w14:textId="77777777" w:rsidR="009B43EC" w:rsidRPr="00970A16" w:rsidRDefault="009B43EC">
            <w:pPr>
              <w:jc w:val="center"/>
              <w:rPr>
                <w:szCs w:val="24"/>
              </w:rPr>
            </w:pPr>
          </w:p>
        </w:tc>
        <w:tc>
          <w:tcPr>
            <w:tcW w:w="2278" w:type="dxa"/>
            <w:vMerge/>
            <w:tcBorders>
              <w:top w:val="nil"/>
            </w:tcBorders>
          </w:tcPr>
          <w:p w14:paraId="4BFE14DD" w14:textId="77777777" w:rsidR="009B43EC" w:rsidRPr="00970A16" w:rsidRDefault="009B43EC">
            <w:pPr>
              <w:rPr>
                <w:szCs w:val="24"/>
              </w:rPr>
            </w:pPr>
          </w:p>
        </w:tc>
        <w:tc>
          <w:tcPr>
            <w:tcW w:w="2401" w:type="dxa"/>
          </w:tcPr>
          <w:p w14:paraId="6D733CCC" w14:textId="77777777" w:rsidR="009B43EC" w:rsidRPr="00970A16" w:rsidRDefault="009B43EC">
            <w:pPr>
              <w:rPr>
                <w:szCs w:val="24"/>
              </w:rPr>
            </w:pPr>
            <w:r w:rsidRPr="00970A16">
              <w:rPr>
                <w:szCs w:val="24"/>
              </w:rPr>
              <w:t>Load D</w:t>
            </w:r>
          </w:p>
        </w:tc>
        <w:tc>
          <w:tcPr>
            <w:tcW w:w="2625" w:type="dxa"/>
          </w:tcPr>
          <w:p w14:paraId="78F04821" w14:textId="77777777" w:rsidR="009B43EC" w:rsidRPr="00970A16" w:rsidRDefault="009B43EC">
            <w:pPr>
              <w:rPr>
                <w:szCs w:val="24"/>
              </w:rPr>
            </w:pPr>
            <w:r w:rsidRPr="00970A16">
              <w:rPr>
                <w:szCs w:val="24"/>
              </w:rPr>
              <w:t>Meter A and B</w:t>
            </w:r>
          </w:p>
        </w:tc>
      </w:tr>
      <w:tr w:rsidR="009905C8" w:rsidRPr="00970A16" w14:paraId="641DABCA" w14:textId="77777777" w:rsidTr="002D7B47">
        <w:tblPrEx>
          <w:jc w:val="center"/>
          <w:tblInd w:w="0" w:type="dxa"/>
        </w:tblPrEx>
        <w:trPr>
          <w:gridAfter w:val="1"/>
          <w:wAfter w:w="19" w:type="dxa"/>
          <w:cantSplit/>
          <w:trHeight w:val="280"/>
          <w:jc w:val="center"/>
        </w:trPr>
        <w:tc>
          <w:tcPr>
            <w:tcW w:w="1438" w:type="dxa"/>
            <w:gridSpan w:val="2"/>
            <w:vMerge w:val="restart"/>
            <w:tcBorders>
              <w:bottom w:val="nil"/>
            </w:tcBorders>
          </w:tcPr>
          <w:p w14:paraId="2C7819FF" w14:textId="77777777" w:rsidR="009B43EC" w:rsidRPr="00970A16" w:rsidRDefault="009B43EC">
            <w:pPr>
              <w:jc w:val="center"/>
              <w:rPr>
                <w:szCs w:val="24"/>
              </w:rPr>
            </w:pPr>
            <w:r w:rsidRPr="00970A16">
              <w:rPr>
                <w:szCs w:val="24"/>
              </w:rPr>
              <w:t>B</w:t>
            </w:r>
          </w:p>
        </w:tc>
        <w:tc>
          <w:tcPr>
            <w:tcW w:w="1328" w:type="dxa"/>
            <w:gridSpan w:val="2"/>
            <w:vMerge w:val="restart"/>
            <w:tcBorders>
              <w:bottom w:val="nil"/>
            </w:tcBorders>
          </w:tcPr>
          <w:p w14:paraId="168A20E8" w14:textId="77777777" w:rsidR="009B43EC" w:rsidRPr="00970A16" w:rsidRDefault="009B43EC">
            <w:pPr>
              <w:pBdr>
                <w:top w:val="single" w:sz="12" w:space="1" w:color="auto"/>
              </w:pBdr>
              <w:spacing w:after="0"/>
              <w:jc w:val="center"/>
              <w:rPr>
                <w:szCs w:val="24"/>
              </w:rPr>
            </w:pPr>
            <w:r w:rsidRPr="00970A16">
              <w:rPr>
                <w:szCs w:val="24"/>
              </w:rPr>
              <w:t>2</w:t>
            </w:r>
          </w:p>
        </w:tc>
        <w:tc>
          <w:tcPr>
            <w:tcW w:w="2278" w:type="dxa"/>
            <w:vMerge w:val="restart"/>
            <w:tcBorders>
              <w:bottom w:val="nil"/>
            </w:tcBorders>
          </w:tcPr>
          <w:p w14:paraId="4C1D32E1" w14:textId="77777777" w:rsidR="009B43EC" w:rsidRPr="00970A16" w:rsidRDefault="009B43EC">
            <w:pPr>
              <w:rPr>
                <w:szCs w:val="24"/>
              </w:rPr>
            </w:pPr>
            <w:r w:rsidRPr="00970A16">
              <w:rPr>
                <w:szCs w:val="24"/>
              </w:rPr>
              <w:t>C, F</w:t>
            </w:r>
          </w:p>
        </w:tc>
        <w:tc>
          <w:tcPr>
            <w:tcW w:w="2401" w:type="dxa"/>
          </w:tcPr>
          <w:p w14:paraId="1735D056" w14:textId="77777777" w:rsidR="009B43EC" w:rsidRPr="00970A16" w:rsidRDefault="009B43EC">
            <w:pPr>
              <w:rPr>
                <w:szCs w:val="24"/>
              </w:rPr>
            </w:pPr>
            <w:r w:rsidRPr="00970A16">
              <w:rPr>
                <w:szCs w:val="24"/>
              </w:rPr>
              <w:t>Load A</w:t>
            </w:r>
          </w:p>
        </w:tc>
        <w:tc>
          <w:tcPr>
            <w:tcW w:w="2625" w:type="dxa"/>
          </w:tcPr>
          <w:p w14:paraId="06862A9E" w14:textId="77777777" w:rsidR="009B43EC" w:rsidRPr="00970A16" w:rsidRDefault="009B43EC">
            <w:pPr>
              <w:rPr>
                <w:szCs w:val="24"/>
              </w:rPr>
            </w:pPr>
            <w:r w:rsidRPr="00970A16">
              <w:rPr>
                <w:szCs w:val="24"/>
              </w:rPr>
              <w:t>Meter C</w:t>
            </w:r>
          </w:p>
        </w:tc>
      </w:tr>
      <w:tr w:rsidR="009905C8" w:rsidRPr="00970A16" w14:paraId="4A59AC64" w14:textId="77777777" w:rsidTr="002D7B47">
        <w:tblPrEx>
          <w:jc w:val="center"/>
          <w:tblInd w:w="0" w:type="dxa"/>
        </w:tblPrEx>
        <w:trPr>
          <w:gridAfter w:val="1"/>
          <w:wAfter w:w="19" w:type="dxa"/>
          <w:cantSplit/>
          <w:trHeight w:val="280"/>
          <w:jc w:val="center"/>
        </w:trPr>
        <w:tc>
          <w:tcPr>
            <w:tcW w:w="1438" w:type="dxa"/>
            <w:gridSpan w:val="2"/>
            <w:vMerge/>
            <w:tcBorders>
              <w:top w:val="nil"/>
              <w:bottom w:val="nil"/>
            </w:tcBorders>
          </w:tcPr>
          <w:p w14:paraId="61544DA8" w14:textId="77777777" w:rsidR="009B43EC" w:rsidRPr="00970A16" w:rsidRDefault="009B43EC">
            <w:pPr>
              <w:jc w:val="center"/>
              <w:rPr>
                <w:szCs w:val="24"/>
              </w:rPr>
            </w:pPr>
          </w:p>
        </w:tc>
        <w:tc>
          <w:tcPr>
            <w:tcW w:w="1328" w:type="dxa"/>
            <w:gridSpan w:val="2"/>
            <w:vMerge/>
            <w:tcBorders>
              <w:top w:val="nil"/>
              <w:bottom w:val="nil"/>
            </w:tcBorders>
          </w:tcPr>
          <w:p w14:paraId="7A3407BC" w14:textId="77777777" w:rsidR="009B43EC" w:rsidRPr="00970A16" w:rsidRDefault="009B43EC">
            <w:pPr>
              <w:jc w:val="center"/>
              <w:rPr>
                <w:szCs w:val="24"/>
              </w:rPr>
            </w:pPr>
          </w:p>
        </w:tc>
        <w:tc>
          <w:tcPr>
            <w:tcW w:w="2278" w:type="dxa"/>
            <w:vMerge/>
            <w:tcBorders>
              <w:top w:val="nil"/>
              <w:bottom w:val="nil"/>
            </w:tcBorders>
          </w:tcPr>
          <w:p w14:paraId="3919B21B" w14:textId="77777777" w:rsidR="009B43EC" w:rsidRPr="00970A16" w:rsidRDefault="009B43EC">
            <w:pPr>
              <w:rPr>
                <w:szCs w:val="24"/>
              </w:rPr>
            </w:pPr>
          </w:p>
        </w:tc>
        <w:tc>
          <w:tcPr>
            <w:tcW w:w="2401" w:type="dxa"/>
          </w:tcPr>
          <w:p w14:paraId="29D2848F" w14:textId="77777777" w:rsidR="009B43EC" w:rsidRPr="00970A16" w:rsidRDefault="009B43EC">
            <w:pPr>
              <w:rPr>
                <w:szCs w:val="24"/>
              </w:rPr>
            </w:pPr>
            <w:r w:rsidRPr="00970A16">
              <w:rPr>
                <w:szCs w:val="24"/>
              </w:rPr>
              <w:t>Load D</w:t>
            </w:r>
          </w:p>
        </w:tc>
        <w:tc>
          <w:tcPr>
            <w:tcW w:w="2625" w:type="dxa"/>
          </w:tcPr>
          <w:p w14:paraId="0C34381F" w14:textId="77777777" w:rsidR="009B43EC" w:rsidRPr="00970A16" w:rsidRDefault="009B43EC">
            <w:pPr>
              <w:rPr>
                <w:szCs w:val="24"/>
              </w:rPr>
            </w:pPr>
            <w:r w:rsidRPr="00970A16">
              <w:rPr>
                <w:szCs w:val="24"/>
              </w:rPr>
              <w:t>Meter F</w:t>
            </w:r>
          </w:p>
        </w:tc>
      </w:tr>
      <w:tr w:rsidR="00FA2BFC" w:rsidRPr="00970A16" w14:paraId="4B3F0BD6" w14:textId="77777777" w:rsidTr="002D7B47">
        <w:tblPrEx>
          <w:jc w:val="center"/>
          <w:tblInd w:w="0" w:type="dxa"/>
        </w:tblPrEx>
        <w:trPr>
          <w:gridAfter w:val="1"/>
          <w:wAfter w:w="19" w:type="dxa"/>
          <w:cantSplit/>
          <w:trHeight w:val="280"/>
          <w:jc w:val="center"/>
        </w:trPr>
        <w:tc>
          <w:tcPr>
            <w:tcW w:w="1438" w:type="dxa"/>
            <w:gridSpan w:val="2"/>
            <w:vMerge w:val="restart"/>
            <w:tcBorders>
              <w:top w:val="single" w:sz="4" w:space="0" w:color="auto"/>
              <w:bottom w:val="nil"/>
            </w:tcBorders>
          </w:tcPr>
          <w:p w14:paraId="6D375BD5" w14:textId="77777777" w:rsidR="009B43EC" w:rsidRPr="00970A16" w:rsidRDefault="009B43EC">
            <w:pPr>
              <w:jc w:val="center"/>
              <w:rPr>
                <w:szCs w:val="24"/>
              </w:rPr>
            </w:pPr>
            <w:r w:rsidRPr="00970A16">
              <w:rPr>
                <w:szCs w:val="24"/>
              </w:rPr>
              <w:t>C</w:t>
            </w:r>
          </w:p>
        </w:tc>
        <w:tc>
          <w:tcPr>
            <w:tcW w:w="1328" w:type="dxa"/>
            <w:gridSpan w:val="2"/>
            <w:vMerge w:val="restart"/>
            <w:tcBorders>
              <w:top w:val="single" w:sz="4" w:space="0" w:color="auto"/>
              <w:bottom w:val="nil"/>
            </w:tcBorders>
          </w:tcPr>
          <w:p w14:paraId="7FCADC9B" w14:textId="77777777" w:rsidR="009B43EC" w:rsidRPr="00970A16" w:rsidRDefault="009B43EC">
            <w:pPr>
              <w:jc w:val="center"/>
              <w:rPr>
                <w:szCs w:val="24"/>
              </w:rPr>
            </w:pPr>
            <w:r w:rsidRPr="00970A16">
              <w:rPr>
                <w:szCs w:val="24"/>
              </w:rPr>
              <w:t>2</w:t>
            </w:r>
          </w:p>
        </w:tc>
        <w:tc>
          <w:tcPr>
            <w:tcW w:w="2278" w:type="dxa"/>
            <w:vMerge w:val="restart"/>
            <w:tcBorders>
              <w:top w:val="single" w:sz="4" w:space="0" w:color="auto"/>
              <w:bottom w:val="nil"/>
            </w:tcBorders>
          </w:tcPr>
          <w:p w14:paraId="247E2B9C" w14:textId="77777777" w:rsidR="009B43EC" w:rsidRPr="00970A16" w:rsidRDefault="009B43EC">
            <w:pPr>
              <w:rPr>
                <w:szCs w:val="24"/>
              </w:rPr>
            </w:pPr>
            <w:r w:rsidRPr="00970A16">
              <w:rPr>
                <w:szCs w:val="24"/>
              </w:rPr>
              <w:t>D, E</w:t>
            </w:r>
          </w:p>
        </w:tc>
        <w:tc>
          <w:tcPr>
            <w:tcW w:w="2401" w:type="dxa"/>
          </w:tcPr>
          <w:p w14:paraId="175BB88C" w14:textId="77777777" w:rsidR="009B43EC" w:rsidRPr="00970A16" w:rsidRDefault="009B43EC">
            <w:pPr>
              <w:rPr>
                <w:szCs w:val="24"/>
              </w:rPr>
            </w:pPr>
            <w:r w:rsidRPr="00970A16">
              <w:rPr>
                <w:szCs w:val="24"/>
              </w:rPr>
              <w:t>Load A</w:t>
            </w:r>
          </w:p>
        </w:tc>
        <w:tc>
          <w:tcPr>
            <w:tcW w:w="2625" w:type="dxa"/>
          </w:tcPr>
          <w:p w14:paraId="34C3812B" w14:textId="77777777" w:rsidR="009B43EC" w:rsidRPr="00970A16" w:rsidRDefault="009B43EC">
            <w:pPr>
              <w:rPr>
                <w:szCs w:val="24"/>
              </w:rPr>
            </w:pPr>
            <w:r w:rsidRPr="00970A16">
              <w:rPr>
                <w:szCs w:val="24"/>
              </w:rPr>
              <w:t>Meter D</w:t>
            </w:r>
          </w:p>
        </w:tc>
      </w:tr>
      <w:tr w:rsidR="009905C8" w:rsidRPr="00970A16" w14:paraId="16C1F4B3" w14:textId="77777777" w:rsidTr="002D7B47">
        <w:tblPrEx>
          <w:jc w:val="center"/>
          <w:tblInd w:w="0" w:type="dxa"/>
        </w:tblPrEx>
        <w:trPr>
          <w:gridAfter w:val="1"/>
          <w:wAfter w:w="19" w:type="dxa"/>
          <w:cantSplit/>
          <w:trHeight w:val="280"/>
          <w:jc w:val="center"/>
        </w:trPr>
        <w:tc>
          <w:tcPr>
            <w:tcW w:w="1438" w:type="dxa"/>
            <w:gridSpan w:val="2"/>
            <w:vMerge/>
            <w:tcBorders>
              <w:top w:val="nil"/>
              <w:bottom w:val="nil"/>
            </w:tcBorders>
          </w:tcPr>
          <w:p w14:paraId="4CB5F9F1" w14:textId="77777777" w:rsidR="009B43EC" w:rsidRPr="00970A16" w:rsidRDefault="009B43EC">
            <w:pPr>
              <w:jc w:val="center"/>
              <w:rPr>
                <w:szCs w:val="24"/>
              </w:rPr>
            </w:pPr>
          </w:p>
        </w:tc>
        <w:tc>
          <w:tcPr>
            <w:tcW w:w="1328" w:type="dxa"/>
            <w:gridSpan w:val="2"/>
            <w:vMerge/>
            <w:tcBorders>
              <w:top w:val="nil"/>
              <w:bottom w:val="nil"/>
            </w:tcBorders>
          </w:tcPr>
          <w:p w14:paraId="7C426D49" w14:textId="77777777" w:rsidR="009B43EC" w:rsidRPr="00970A16" w:rsidRDefault="009B43EC">
            <w:pPr>
              <w:jc w:val="center"/>
              <w:rPr>
                <w:szCs w:val="24"/>
              </w:rPr>
            </w:pPr>
          </w:p>
        </w:tc>
        <w:tc>
          <w:tcPr>
            <w:tcW w:w="2278" w:type="dxa"/>
            <w:vMerge/>
            <w:tcBorders>
              <w:top w:val="nil"/>
              <w:bottom w:val="nil"/>
            </w:tcBorders>
          </w:tcPr>
          <w:p w14:paraId="1B678873" w14:textId="77777777" w:rsidR="009B43EC" w:rsidRPr="00970A16" w:rsidRDefault="009B43EC">
            <w:pPr>
              <w:rPr>
                <w:szCs w:val="24"/>
              </w:rPr>
            </w:pPr>
          </w:p>
        </w:tc>
        <w:tc>
          <w:tcPr>
            <w:tcW w:w="2401" w:type="dxa"/>
          </w:tcPr>
          <w:p w14:paraId="6DEA723A" w14:textId="77777777" w:rsidR="009B43EC" w:rsidRPr="00970A16" w:rsidRDefault="009B43EC">
            <w:pPr>
              <w:rPr>
                <w:szCs w:val="24"/>
              </w:rPr>
            </w:pPr>
            <w:r w:rsidRPr="00970A16">
              <w:rPr>
                <w:szCs w:val="24"/>
              </w:rPr>
              <w:t>Load D</w:t>
            </w:r>
          </w:p>
        </w:tc>
        <w:tc>
          <w:tcPr>
            <w:tcW w:w="2625" w:type="dxa"/>
          </w:tcPr>
          <w:p w14:paraId="562CFBBA" w14:textId="77777777" w:rsidR="009B43EC" w:rsidRPr="00970A16" w:rsidRDefault="009B43EC">
            <w:pPr>
              <w:rPr>
                <w:szCs w:val="24"/>
              </w:rPr>
            </w:pPr>
            <w:r w:rsidRPr="00970A16">
              <w:rPr>
                <w:szCs w:val="24"/>
              </w:rPr>
              <w:t>Meter E</w:t>
            </w:r>
          </w:p>
        </w:tc>
      </w:tr>
      <w:tr w:rsidR="009905C8" w:rsidRPr="00970A16" w14:paraId="11DD25EA" w14:textId="77777777" w:rsidTr="002D7B47">
        <w:tblPrEx>
          <w:jc w:val="center"/>
          <w:tblInd w:w="0" w:type="dxa"/>
        </w:tblPrEx>
        <w:trPr>
          <w:gridAfter w:val="1"/>
          <w:wAfter w:w="19" w:type="dxa"/>
          <w:cantSplit/>
          <w:trHeight w:val="280"/>
          <w:jc w:val="center"/>
        </w:trPr>
        <w:tc>
          <w:tcPr>
            <w:tcW w:w="1438" w:type="dxa"/>
            <w:gridSpan w:val="2"/>
            <w:vMerge w:val="restart"/>
            <w:tcBorders>
              <w:bottom w:val="single" w:sz="4" w:space="0" w:color="auto"/>
            </w:tcBorders>
          </w:tcPr>
          <w:p w14:paraId="29D5409C" w14:textId="77777777" w:rsidR="009B43EC" w:rsidRPr="00970A16" w:rsidRDefault="009B43EC">
            <w:pPr>
              <w:jc w:val="center"/>
              <w:rPr>
                <w:szCs w:val="24"/>
              </w:rPr>
            </w:pPr>
            <w:r w:rsidRPr="00970A16">
              <w:rPr>
                <w:szCs w:val="24"/>
              </w:rPr>
              <w:t>D</w:t>
            </w:r>
          </w:p>
          <w:p w14:paraId="751C6262" w14:textId="77777777" w:rsidR="009B43EC" w:rsidRPr="00970A16" w:rsidRDefault="009B43EC">
            <w:pPr>
              <w:jc w:val="center"/>
              <w:rPr>
                <w:szCs w:val="24"/>
              </w:rPr>
            </w:pPr>
            <w:r w:rsidRPr="00970A16">
              <w:rPr>
                <w:szCs w:val="24"/>
              </w:rPr>
              <w:t>Residual</w:t>
            </w:r>
          </w:p>
          <w:p w14:paraId="5CF72EE7" w14:textId="77777777" w:rsidR="009B43EC" w:rsidRPr="00970A16" w:rsidRDefault="009B43EC">
            <w:pPr>
              <w:jc w:val="center"/>
              <w:rPr>
                <w:szCs w:val="24"/>
              </w:rPr>
            </w:pPr>
            <w:r w:rsidRPr="00970A16">
              <w:rPr>
                <w:szCs w:val="24"/>
              </w:rPr>
              <w:t>Load</w:t>
            </w:r>
          </w:p>
        </w:tc>
        <w:tc>
          <w:tcPr>
            <w:tcW w:w="1328" w:type="dxa"/>
            <w:gridSpan w:val="2"/>
            <w:vMerge w:val="restart"/>
            <w:tcBorders>
              <w:bottom w:val="single" w:sz="4" w:space="0" w:color="auto"/>
            </w:tcBorders>
          </w:tcPr>
          <w:p w14:paraId="11CF43F0" w14:textId="77777777" w:rsidR="009B43EC" w:rsidRPr="00970A16" w:rsidRDefault="009B43EC">
            <w:pPr>
              <w:jc w:val="center"/>
              <w:rPr>
                <w:szCs w:val="24"/>
              </w:rPr>
            </w:pPr>
            <w:r w:rsidRPr="00970A16">
              <w:rPr>
                <w:szCs w:val="24"/>
              </w:rPr>
              <w:t>8</w:t>
            </w:r>
          </w:p>
        </w:tc>
        <w:tc>
          <w:tcPr>
            <w:tcW w:w="2278" w:type="dxa"/>
            <w:vMerge w:val="restart"/>
            <w:tcBorders>
              <w:bottom w:val="single" w:sz="4" w:space="0" w:color="auto"/>
            </w:tcBorders>
          </w:tcPr>
          <w:p w14:paraId="576E16DE" w14:textId="77777777" w:rsidR="009B43EC" w:rsidRPr="00970A16" w:rsidRDefault="009B43EC">
            <w:pPr>
              <w:rPr>
                <w:szCs w:val="24"/>
              </w:rPr>
            </w:pPr>
            <w:r w:rsidRPr="00970A16">
              <w:rPr>
                <w:szCs w:val="24"/>
              </w:rPr>
              <w:t>A, B, E, F,</w:t>
            </w:r>
          </w:p>
          <w:p w14:paraId="357023D5" w14:textId="77777777" w:rsidR="009B43EC" w:rsidRPr="00970A16" w:rsidRDefault="009B43EC">
            <w:pPr>
              <w:rPr>
                <w:szCs w:val="24"/>
              </w:rPr>
            </w:pPr>
            <w:r w:rsidRPr="00970A16">
              <w:rPr>
                <w:szCs w:val="24"/>
              </w:rPr>
              <w:t>1, 2, 3, 4</w:t>
            </w:r>
          </w:p>
        </w:tc>
        <w:tc>
          <w:tcPr>
            <w:tcW w:w="2401" w:type="dxa"/>
          </w:tcPr>
          <w:p w14:paraId="2A1B6C69" w14:textId="77777777" w:rsidR="009B43EC" w:rsidRPr="00970A16" w:rsidRDefault="009B43EC">
            <w:pPr>
              <w:rPr>
                <w:szCs w:val="24"/>
              </w:rPr>
            </w:pPr>
            <w:r w:rsidRPr="00970A16">
              <w:rPr>
                <w:szCs w:val="24"/>
              </w:rPr>
              <w:t>Load A</w:t>
            </w:r>
          </w:p>
        </w:tc>
        <w:tc>
          <w:tcPr>
            <w:tcW w:w="2625" w:type="dxa"/>
          </w:tcPr>
          <w:p w14:paraId="791ABD4D" w14:textId="77777777" w:rsidR="009B43EC" w:rsidRPr="00970A16" w:rsidRDefault="009B43EC">
            <w:pPr>
              <w:rPr>
                <w:szCs w:val="24"/>
              </w:rPr>
            </w:pPr>
            <w:r w:rsidRPr="00970A16">
              <w:rPr>
                <w:szCs w:val="24"/>
              </w:rPr>
              <w:t>Meter A and B</w:t>
            </w:r>
          </w:p>
        </w:tc>
      </w:tr>
      <w:tr w:rsidR="009905C8" w:rsidRPr="00970A16" w14:paraId="02B54C6A" w14:textId="77777777" w:rsidTr="002D7B47">
        <w:tblPrEx>
          <w:jc w:val="center"/>
          <w:tblInd w:w="0" w:type="dxa"/>
        </w:tblPrEx>
        <w:trPr>
          <w:gridAfter w:val="1"/>
          <w:wAfter w:w="19" w:type="dxa"/>
          <w:cantSplit/>
          <w:trHeight w:val="280"/>
          <w:jc w:val="center"/>
        </w:trPr>
        <w:tc>
          <w:tcPr>
            <w:tcW w:w="1438" w:type="dxa"/>
            <w:gridSpan w:val="2"/>
            <w:vMerge/>
            <w:tcBorders>
              <w:top w:val="single" w:sz="4" w:space="0" w:color="auto"/>
              <w:bottom w:val="single" w:sz="4" w:space="0" w:color="auto"/>
            </w:tcBorders>
          </w:tcPr>
          <w:p w14:paraId="6C044E0F" w14:textId="77777777" w:rsidR="009B43EC" w:rsidRPr="00970A16" w:rsidRDefault="009B43EC">
            <w:pPr>
              <w:rPr>
                <w:szCs w:val="24"/>
              </w:rPr>
            </w:pPr>
          </w:p>
        </w:tc>
        <w:tc>
          <w:tcPr>
            <w:tcW w:w="1328" w:type="dxa"/>
            <w:gridSpan w:val="2"/>
            <w:vMerge/>
            <w:tcBorders>
              <w:top w:val="single" w:sz="4" w:space="0" w:color="auto"/>
              <w:bottom w:val="single" w:sz="4" w:space="0" w:color="auto"/>
            </w:tcBorders>
          </w:tcPr>
          <w:p w14:paraId="7C337D4C" w14:textId="77777777" w:rsidR="009B43EC" w:rsidRPr="00970A16" w:rsidRDefault="009B43EC">
            <w:pPr>
              <w:rPr>
                <w:szCs w:val="24"/>
              </w:rPr>
            </w:pPr>
          </w:p>
        </w:tc>
        <w:tc>
          <w:tcPr>
            <w:tcW w:w="2278" w:type="dxa"/>
            <w:vMerge/>
            <w:tcBorders>
              <w:top w:val="single" w:sz="4" w:space="0" w:color="auto"/>
              <w:bottom w:val="single" w:sz="4" w:space="0" w:color="auto"/>
            </w:tcBorders>
          </w:tcPr>
          <w:p w14:paraId="5E5AC385" w14:textId="77777777" w:rsidR="009B43EC" w:rsidRPr="00970A16" w:rsidRDefault="009B43EC">
            <w:pPr>
              <w:rPr>
                <w:szCs w:val="24"/>
              </w:rPr>
            </w:pPr>
          </w:p>
        </w:tc>
        <w:tc>
          <w:tcPr>
            <w:tcW w:w="2401" w:type="dxa"/>
          </w:tcPr>
          <w:p w14:paraId="5B0BA958" w14:textId="77777777" w:rsidR="009B43EC" w:rsidRPr="00970A16" w:rsidRDefault="009B43EC">
            <w:pPr>
              <w:rPr>
                <w:szCs w:val="24"/>
              </w:rPr>
            </w:pPr>
            <w:r w:rsidRPr="00970A16">
              <w:rPr>
                <w:szCs w:val="24"/>
              </w:rPr>
              <w:t>Load B</w:t>
            </w:r>
          </w:p>
        </w:tc>
        <w:tc>
          <w:tcPr>
            <w:tcW w:w="2625" w:type="dxa"/>
          </w:tcPr>
          <w:p w14:paraId="696C819D" w14:textId="77777777" w:rsidR="009B43EC" w:rsidRPr="00970A16" w:rsidRDefault="009B43EC">
            <w:pPr>
              <w:rPr>
                <w:szCs w:val="24"/>
              </w:rPr>
            </w:pPr>
            <w:r w:rsidRPr="00970A16">
              <w:rPr>
                <w:szCs w:val="24"/>
              </w:rPr>
              <w:t>Meter F</w:t>
            </w:r>
          </w:p>
        </w:tc>
      </w:tr>
      <w:tr w:rsidR="009905C8" w:rsidRPr="00970A16" w14:paraId="0AE934FE" w14:textId="77777777" w:rsidTr="002D7B47">
        <w:tblPrEx>
          <w:jc w:val="center"/>
          <w:tblInd w:w="0" w:type="dxa"/>
        </w:tblPrEx>
        <w:trPr>
          <w:gridAfter w:val="1"/>
          <w:wAfter w:w="19" w:type="dxa"/>
          <w:cantSplit/>
          <w:trHeight w:val="280"/>
          <w:jc w:val="center"/>
        </w:trPr>
        <w:tc>
          <w:tcPr>
            <w:tcW w:w="1438" w:type="dxa"/>
            <w:gridSpan w:val="2"/>
            <w:vMerge/>
            <w:tcBorders>
              <w:top w:val="single" w:sz="4" w:space="0" w:color="auto"/>
              <w:bottom w:val="single" w:sz="4" w:space="0" w:color="auto"/>
            </w:tcBorders>
          </w:tcPr>
          <w:p w14:paraId="004132F6" w14:textId="77777777" w:rsidR="009B43EC" w:rsidRPr="00970A16" w:rsidRDefault="009B43EC">
            <w:pPr>
              <w:rPr>
                <w:szCs w:val="24"/>
              </w:rPr>
            </w:pPr>
          </w:p>
        </w:tc>
        <w:tc>
          <w:tcPr>
            <w:tcW w:w="1328" w:type="dxa"/>
            <w:gridSpan w:val="2"/>
            <w:vMerge/>
            <w:tcBorders>
              <w:top w:val="single" w:sz="4" w:space="0" w:color="auto"/>
              <w:bottom w:val="single" w:sz="4" w:space="0" w:color="auto"/>
            </w:tcBorders>
          </w:tcPr>
          <w:p w14:paraId="604CC08A" w14:textId="77777777" w:rsidR="009B43EC" w:rsidRPr="00970A16" w:rsidRDefault="009B43EC">
            <w:pPr>
              <w:rPr>
                <w:szCs w:val="24"/>
              </w:rPr>
            </w:pPr>
          </w:p>
        </w:tc>
        <w:tc>
          <w:tcPr>
            <w:tcW w:w="2278" w:type="dxa"/>
            <w:vMerge/>
            <w:tcBorders>
              <w:top w:val="single" w:sz="4" w:space="0" w:color="auto"/>
              <w:bottom w:val="single" w:sz="4" w:space="0" w:color="auto"/>
            </w:tcBorders>
          </w:tcPr>
          <w:p w14:paraId="7B834F4E" w14:textId="77777777" w:rsidR="009B43EC" w:rsidRPr="00970A16" w:rsidRDefault="009B43EC">
            <w:pPr>
              <w:rPr>
                <w:szCs w:val="24"/>
              </w:rPr>
            </w:pPr>
          </w:p>
        </w:tc>
        <w:tc>
          <w:tcPr>
            <w:tcW w:w="2401" w:type="dxa"/>
          </w:tcPr>
          <w:p w14:paraId="778669D4" w14:textId="77777777" w:rsidR="009B43EC" w:rsidRPr="00970A16" w:rsidRDefault="009B43EC">
            <w:pPr>
              <w:rPr>
                <w:szCs w:val="24"/>
              </w:rPr>
            </w:pPr>
            <w:r w:rsidRPr="00970A16">
              <w:rPr>
                <w:szCs w:val="24"/>
              </w:rPr>
              <w:t>Load C</w:t>
            </w:r>
          </w:p>
        </w:tc>
        <w:tc>
          <w:tcPr>
            <w:tcW w:w="2625" w:type="dxa"/>
          </w:tcPr>
          <w:p w14:paraId="7A96EC03" w14:textId="77777777" w:rsidR="009B43EC" w:rsidRPr="00970A16" w:rsidRDefault="009B43EC">
            <w:pPr>
              <w:rPr>
                <w:szCs w:val="24"/>
              </w:rPr>
            </w:pPr>
            <w:r w:rsidRPr="00970A16">
              <w:rPr>
                <w:szCs w:val="24"/>
              </w:rPr>
              <w:t>Meter E</w:t>
            </w:r>
          </w:p>
        </w:tc>
      </w:tr>
      <w:tr w:rsidR="009905C8" w:rsidRPr="00970A16" w14:paraId="5B8BE54A" w14:textId="77777777" w:rsidTr="002D7B47">
        <w:tblPrEx>
          <w:jc w:val="center"/>
          <w:tblInd w:w="0" w:type="dxa"/>
        </w:tblPrEx>
        <w:trPr>
          <w:gridAfter w:val="1"/>
          <w:wAfter w:w="19" w:type="dxa"/>
          <w:cantSplit/>
          <w:trHeight w:val="280"/>
          <w:jc w:val="center"/>
        </w:trPr>
        <w:tc>
          <w:tcPr>
            <w:tcW w:w="1438" w:type="dxa"/>
            <w:gridSpan w:val="2"/>
            <w:vMerge/>
            <w:tcBorders>
              <w:top w:val="single" w:sz="4" w:space="0" w:color="auto"/>
              <w:bottom w:val="single" w:sz="4" w:space="0" w:color="auto"/>
            </w:tcBorders>
          </w:tcPr>
          <w:p w14:paraId="2FA2982A" w14:textId="77777777" w:rsidR="009B43EC" w:rsidRPr="00970A16" w:rsidRDefault="009B43EC">
            <w:pPr>
              <w:rPr>
                <w:szCs w:val="24"/>
              </w:rPr>
            </w:pPr>
          </w:p>
        </w:tc>
        <w:tc>
          <w:tcPr>
            <w:tcW w:w="1328" w:type="dxa"/>
            <w:gridSpan w:val="2"/>
            <w:vMerge/>
            <w:tcBorders>
              <w:top w:val="single" w:sz="4" w:space="0" w:color="auto"/>
              <w:bottom w:val="single" w:sz="4" w:space="0" w:color="auto"/>
            </w:tcBorders>
          </w:tcPr>
          <w:p w14:paraId="0BB45D53" w14:textId="77777777" w:rsidR="009B43EC" w:rsidRPr="00970A16" w:rsidRDefault="009B43EC">
            <w:pPr>
              <w:rPr>
                <w:szCs w:val="24"/>
              </w:rPr>
            </w:pPr>
          </w:p>
        </w:tc>
        <w:tc>
          <w:tcPr>
            <w:tcW w:w="2278" w:type="dxa"/>
            <w:vMerge/>
            <w:tcBorders>
              <w:top w:val="single" w:sz="4" w:space="0" w:color="auto"/>
              <w:bottom w:val="single" w:sz="4" w:space="0" w:color="auto"/>
            </w:tcBorders>
          </w:tcPr>
          <w:p w14:paraId="216CF95E" w14:textId="77777777" w:rsidR="009B43EC" w:rsidRPr="00970A16" w:rsidRDefault="009B43EC">
            <w:pPr>
              <w:rPr>
                <w:szCs w:val="24"/>
              </w:rPr>
            </w:pPr>
          </w:p>
        </w:tc>
        <w:tc>
          <w:tcPr>
            <w:tcW w:w="2401" w:type="dxa"/>
          </w:tcPr>
          <w:p w14:paraId="6CA7582C" w14:textId="77777777" w:rsidR="009B43EC" w:rsidRPr="00970A16" w:rsidRDefault="009B43EC">
            <w:pPr>
              <w:rPr>
                <w:szCs w:val="24"/>
              </w:rPr>
            </w:pPr>
            <w:r w:rsidRPr="00970A16">
              <w:rPr>
                <w:szCs w:val="24"/>
              </w:rPr>
              <w:t>Others (Tie-lines)</w:t>
            </w:r>
          </w:p>
        </w:tc>
        <w:tc>
          <w:tcPr>
            <w:tcW w:w="2625" w:type="dxa"/>
          </w:tcPr>
          <w:p w14:paraId="6AEE85B2" w14:textId="77777777" w:rsidR="009B43EC" w:rsidRPr="00970A16" w:rsidRDefault="009B43EC">
            <w:pPr>
              <w:rPr>
                <w:szCs w:val="24"/>
              </w:rPr>
            </w:pPr>
            <w:r w:rsidRPr="00970A16">
              <w:rPr>
                <w:szCs w:val="24"/>
              </w:rPr>
              <w:t>Meters 1, 2, 3, 4</w:t>
            </w:r>
          </w:p>
        </w:tc>
      </w:tr>
      <w:tr w:rsidR="009905C8" w:rsidRPr="00970A16" w14:paraId="0598F9EA" w14:textId="77777777" w:rsidTr="002D7B47">
        <w:tblPrEx>
          <w:jc w:val="center"/>
          <w:tblInd w:w="0" w:type="dxa"/>
        </w:tblPrEx>
        <w:trPr>
          <w:gridAfter w:val="1"/>
          <w:wAfter w:w="19" w:type="dxa"/>
          <w:cantSplit/>
          <w:trHeight w:val="280"/>
          <w:jc w:val="center"/>
        </w:trPr>
        <w:tc>
          <w:tcPr>
            <w:tcW w:w="10070" w:type="dxa"/>
            <w:gridSpan w:val="7"/>
            <w:tcBorders>
              <w:top w:val="single" w:sz="4" w:space="0" w:color="auto"/>
              <w:bottom w:val="single" w:sz="4" w:space="0" w:color="auto"/>
            </w:tcBorders>
          </w:tcPr>
          <w:p w14:paraId="20E829D1" w14:textId="5925ACC2" w:rsidR="009B43EC" w:rsidRPr="00970A16" w:rsidRDefault="009B43EC">
            <w:pPr>
              <w:pBdr>
                <w:top w:val="single" w:sz="12" w:space="1" w:color="auto"/>
              </w:pBdr>
              <w:spacing w:after="0"/>
              <w:rPr>
                <w:i/>
                <w:szCs w:val="24"/>
              </w:rPr>
            </w:pPr>
            <w:r w:rsidRPr="00970A16">
              <w:rPr>
                <w:i/>
                <w:szCs w:val="24"/>
              </w:rPr>
              <w:t xml:space="preserve">Others: defined as another </w:t>
            </w:r>
            <w:r w:rsidR="00A439DB">
              <w:rPr>
                <w:i/>
                <w:szCs w:val="24"/>
              </w:rPr>
              <w:t>l</w:t>
            </w:r>
            <w:r w:rsidRPr="00970A16">
              <w:rPr>
                <w:i/>
                <w:szCs w:val="24"/>
              </w:rPr>
              <w:t xml:space="preserve">oad Settlement Location and seam with </w:t>
            </w:r>
            <w:r>
              <w:rPr>
                <w:i/>
                <w:szCs w:val="24"/>
              </w:rPr>
              <w:t>a non-Markets+ Balancing Authority Area</w:t>
            </w:r>
            <w:r w:rsidRPr="00970A16">
              <w:rPr>
                <w:i/>
                <w:szCs w:val="24"/>
              </w:rPr>
              <w:t xml:space="preserve"> or other Settlement Areas.</w:t>
            </w:r>
          </w:p>
        </w:tc>
      </w:tr>
      <w:tr w:rsidR="009905C8" w:rsidRPr="00970A16" w14:paraId="30BB421D" w14:textId="77777777" w:rsidTr="002D7B47">
        <w:tblPrEx>
          <w:jc w:val="center"/>
          <w:tblInd w:w="0" w:type="dxa"/>
        </w:tblPrEx>
        <w:trPr>
          <w:gridAfter w:val="1"/>
          <w:wAfter w:w="19" w:type="dxa"/>
          <w:cantSplit/>
          <w:trHeight w:val="280"/>
          <w:jc w:val="center"/>
        </w:trPr>
        <w:tc>
          <w:tcPr>
            <w:tcW w:w="10070" w:type="dxa"/>
            <w:gridSpan w:val="7"/>
            <w:tcBorders>
              <w:top w:val="single" w:sz="4" w:space="0" w:color="auto"/>
              <w:bottom w:val="single" w:sz="4" w:space="0" w:color="auto"/>
            </w:tcBorders>
          </w:tcPr>
          <w:p w14:paraId="58B84851" w14:textId="77777777" w:rsidR="009B43EC" w:rsidRPr="00970A16" w:rsidRDefault="009B43EC">
            <w:pPr>
              <w:pBdr>
                <w:top w:val="single" w:sz="12" w:space="1" w:color="auto"/>
              </w:pBdr>
              <w:spacing w:after="0"/>
              <w:rPr>
                <w:i/>
                <w:szCs w:val="24"/>
              </w:rPr>
            </w:pPr>
            <w:r w:rsidRPr="00970A16">
              <w:rPr>
                <w:i/>
                <w:szCs w:val="24"/>
              </w:rPr>
              <w:t>Settlement Area Boundary would be equal to the sum of meters 1, 2, 3, and 4.</w:t>
            </w:r>
          </w:p>
        </w:tc>
      </w:tr>
      <w:tr w:rsidR="009905C8" w:rsidRPr="00970A16" w14:paraId="3CE9432C" w14:textId="77777777" w:rsidTr="002D7B47">
        <w:tblPrEx>
          <w:jc w:val="center"/>
          <w:tblInd w:w="0" w:type="dxa"/>
        </w:tblPrEx>
        <w:trPr>
          <w:gridAfter w:val="1"/>
          <w:wAfter w:w="19" w:type="dxa"/>
          <w:cantSplit/>
          <w:trHeight w:val="280"/>
          <w:jc w:val="center"/>
        </w:trPr>
        <w:tc>
          <w:tcPr>
            <w:tcW w:w="10070" w:type="dxa"/>
            <w:gridSpan w:val="7"/>
            <w:tcBorders>
              <w:top w:val="single" w:sz="4" w:space="0" w:color="auto"/>
            </w:tcBorders>
          </w:tcPr>
          <w:p w14:paraId="1AE42196" w14:textId="77777777" w:rsidR="009B43EC" w:rsidRPr="00970A16" w:rsidRDefault="009B43EC">
            <w:pPr>
              <w:pBdr>
                <w:top w:val="single" w:sz="12" w:space="1" w:color="auto"/>
              </w:pBdr>
              <w:spacing w:after="0"/>
              <w:rPr>
                <w:i/>
                <w:szCs w:val="24"/>
              </w:rPr>
            </w:pPr>
            <w:r w:rsidRPr="00970A16">
              <w:rPr>
                <w:i/>
                <w:szCs w:val="24"/>
              </w:rPr>
              <w:t>Load D (Residual) accounts for any unaccounted for energy within the Settlement Area Z.</w:t>
            </w:r>
          </w:p>
        </w:tc>
      </w:tr>
    </w:tbl>
    <w:p w14:paraId="5BC2B3FE" w14:textId="77777777" w:rsidR="009B43EC" w:rsidRPr="00970A16" w:rsidRDefault="009B43EC" w:rsidP="009B43EC"/>
    <w:p w14:paraId="577FFC47" w14:textId="77777777" w:rsidR="009B43EC" w:rsidRPr="00970A16" w:rsidRDefault="009B43EC" w:rsidP="009B43EC">
      <w:pPr>
        <w:keepNext/>
        <w:spacing w:after="240"/>
        <w:outlineLvl w:val="1"/>
        <w:rPr>
          <w:b/>
          <w:sz w:val="30"/>
        </w:rPr>
      </w:pPr>
      <w:bookmarkStart w:id="9138" w:name="_Toc266870006"/>
      <w:bookmarkStart w:id="9139" w:name="_Ref349743836"/>
      <w:bookmarkStart w:id="9140" w:name="_Toc120920511"/>
      <w:bookmarkStart w:id="9141" w:name="_Toc262561091"/>
      <w:bookmarkStart w:id="9142" w:name="_Toc263173564"/>
      <w:bookmarkStart w:id="9143" w:name="_Toc263173757"/>
      <w:bookmarkStart w:id="9144" w:name="_Toc263173981"/>
      <w:bookmarkStart w:id="9145" w:name="_Toc263174423"/>
      <w:bookmarkStart w:id="9146" w:name="_Toc263235328"/>
      <w:bookmarkStart w:id="9147" w:name="_Toc263235972"/>
      <w:bookmarkStart w:id="9148" w:name="_Toc263429774"/>
      <w:bookmarkStart w:id="9149" w:name="_Toc263795829"/>
      <w:bookmarkStart w:id="9150" w:name="_Toc159233665"/>
      <w:bookmarkStart w:id="9151" w:name="_Toc213772234"/>
      <w:r w:rsidRPr="00970A16">
        <w:rPr>
          <w:b/>
          <w:sz w:val="30"/>
        </w:rPr>
        <w:t>B.9</w:t>
      </w:r>
      <w:r w:rsidRPr="00970A16">
        <w:rPr>
          <w:b/>
          <w:sz w:val="30"/>
        </w:rPr>
        <w:tab/>
        <w:t xml:space="preserve">     Loss </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r>
        <w:rPr>
          <w:b/>
          <w:sz w:val="30"/>
        </w:rPr>
        <w:t>Adjustment</w:t>
      </w:r>
      <w:bookmarkEnd w:id="9151"/>
    </w:p>
    <w:p w14:paraId="63FE03F0" w14:textId="77777777" w:rsidR="009B43EC" w:rsidRPr="00970A16" w:rsidRDefault="009B43EC" w:rsidP="009B43EC">
      <w:pPr>
        <w:keepNext/>
        <w:spacing w:after="240"/>
        <w:outlineLvl w:val="2"/>
        <w:rPr>
          <w:b/>
          <w:sz w:val="26"/>
        </w:rPr>
      </w:pPr>
      <w:bookmarkStart w:id="9152" w:name="_Toc120920512"/>
      <w:bookmarkStart w:id="9153" w:name="_Toc262561092"/>
      <w:bookmarkStart w:id="9154" w:name="_Toc263173982"/>
      <w:bookmarkStart w:id="9155" w:name="_Toc263174424"/>
      <w:bookmarkStart w:id="9156" w:name="_Toc263235329"/>
      <w:bookmarkStart w:id="9157" w:name="_Toc263235973"/>
      <w:bookmarkStart w:id="9158" w:name="_Toc263429775"/>
      <w:bookmarkStart w:id="9159" w:name="_Toc263795830"/>
      <w:bookmarkStart w:id="9160" w:name="_Toc266870007"/>
      <w:bookmarkStart w:id="9161" w:name="_Toc159233666"/>
      <w:bookmarkStart w:id="9162" w:name="_Toc213772235"/>
      <w:r w:rsidRPr="00970A16">
        <w:rPr>
          <w:b/>
          <w:sz w:val="26"/>
        </w:rPr>
        <w:t>B.9.1</w:t>
      </w:r>
      <w:r w:rsidRPr="00970A16">
        <w:rPr>
          <w:b/>
          <w:sz w:val="26"/>
        </w:rPr>
        <w:tab/>
        <w:t xml:space="preserve">     General</w:t>
      </w:r>
      <w:bookmarkEnd w:id="9152"/>
      <w:bookmarkEnd w:id="9153"/>
      <w:bookmarkEnd w:id="9154"/>
      <w:bookmarkEnd w:id="9155"/>
      <w:bookmarkEnd w:id="9156"/>
      <w:bookmarkEnd w:id="9157"/>
      <w:bookmarkEnd w:id="9158"/>
      <w:bookmarkEnd w:id="9159"/>
      <w:bookmarkEnd w:id="9160"/>
      <w:bookmarkEnd w:id="9161"/>
      <w:bookmarkEnd w:id="9162"/>
    </w:p>
    <w:p w14:paraId="22E9E75B" w14:textId="1BCAFCC7" w:rsidR="009B43EC" w:rsidRPr="00970A16" w:rsidRDefault="009B43EC" w:rsidP="009B43EC">
      <w:pPr>
        <w:spacing w:line="300" w:lineRule="auto"/>
      </w:pPr>
      <w:r w:rsidRPr="00970A16">
        <w:t xml:space="preserve">The Meter Agent will submit Meter Data Submittal Location data for Resources and </w:t>
      </w:r>
      <w:r w:rsidR="00D27E69">
        <w:t>l</w:t>
      </w:r>
      <w:r w:rsidRPr="00970A16">
        <w:t xml:space="preserve">oads with the applicable loss </w:t>
      </w:r>
      <w:r>
        <w:t>adjustment</w:t>
      </w:r>
      <w:r w:rsidRPr="00970A16">
        <w:t xml:space="preserve">s for the Meter Settlement Location.  Load Meter Settlement Locations may have line losses, transformer step-downs, shared metering, etc.  Resource Meter Settlement Locations may have transformer losses, </w:t>
      </w:r>
      <w:r w:rsidR="00D27E69">
        <w:t>A</w:t>
      </w:r>
      <w:r w:rsidRPr="00970A16">
        <w:t xml:space="preserve">uxiliary Loads, shared metering between units, commercial </w:t>
      </w:r>
      <w:r w:rsidR="00D27E69">
        <w:t>l</w:t>
      </w:r>
      <w:r w:rsidRPr="00970A16">
        <w:t>oad off generation bus, etc.  These sections cannot cover all possible situations; therefore, good utility practices will apply.  The Market Participants, through their Meter Agent</w:t>
      </w:r>
      <w:r>
        <w:t>s</w:t>
      </w:r>
      <w:r w:rsidRPr="00970A16">
        <w:t xml:space="preserve">, will be responsible for appropriate Meter Data adjustments and submissions. </w:t>
      </w:r>
    </w:p>
    <w:p w14:paraId="025D4762" w14:textId="77777777" w:rsidR="009B43EC" w:rsidRPr="00970A16" w:rsidRDefault="009B43EC" w:rsidP="009B43EC">
      <w:pPr>
        <w:keepNext/>
        <w:spacing w:after="240"/>
        <w:outlineLvl w:val="2"/>
        <w:rPr>
          <w:b/>
          <w:sz w:val="26"/>
        </w:rPr>
      </w:pPr>
      <w:bookmarkStart w:id="9163" w:name="_Toc120920513"/>
      <w:bookmarkStart w:id="9164" w:name="_Toc262561093"/>
      <w:bookmarkStart w:id="9165" w:name="_Toc263173983"/>
      <w:bookmarkStart w:id="9166" w:name="_Toc263174425"/>
      <w:bookmarkStart w:id="9167" w:name="_Toc263235330"/>
      <w:bookmarkStart w:id="9168" w:name="_Toc263235974"/>
      <w:bookmarkStart w:id="9169" w:name="_Toc263429776"/>
      <w:bookmarkStart w:id="9170" w:name="_Toc263795831"/>
      <w:bookmarkStart w:id="9171" w:name="_Toc266870008"/>
      <w:bookmarkStart w:id="9172" w:name="_Toc159233667"/>
      <w:bookmarkStart w:id="9173" w:name="_Toc213772236"/>
      <w:r w:rsidRPr="00970A16">
        <w:rPr>
          <w:b/>
          <w:sz w:val="26"/>
        </w:rPr>
        <w:t>B.9.2</w:t>
      </w:r>
      <w:r w:rsidRPr="00970A16">
        <w:rPr>
          <w:b/>
          <w:sz w:val="26"/>
        </w:rPr>
        <w:tab/>
        <w:t xml:space="preserve">     Node Loss </w:t>
      </w:r>
      <w:r>
        <w:rPr>
          <w:b/>
          <w:sz w:val="26"/>
        </w:rPr>
        <w:t>Adjustment</w:t>
      </w:r>
      <w:r w:rsidRPr="00970A16">
        <w:rPr>
          <w:b/>
          <w:sz w:val="26"/>
        </w:rPr>
        <w:t xml:space="preserve"> </w:t>
      </w:r>
      <w:bookmarkEnd w:id="9163"/>
      <w:bookmarkEnd w:id="9164"/>
      <w:bookmarkEnd w:id="9165"/>
      <w:bookmarkEnd w:id="9166"/>
      <w:bookmarkEnd w:id="9167"/>
      <w:bookmarkEnd w:id="9168"/>
      <w:bookmarkEnd w:id="9169"/>
      <w:bookmarkEnd w:id="9170"/>
      <w:r w:rsidRPr="00970A16">
        <w:rPr>
          <w:b/>
          <w:sz w:val="26"/>
        </w:rPr>
        <w:t>Examples</w:t>
      </w:r>
      <w:bookmarkEnd w:id="9171"/>
      <w:bookmarkEnd w:id="9172"/>
      <w:bookmarkEnd w:id="9173"/>
    </w:p>
    <w:p w14:paraId="4F882C5A" w14:textId="77777777" w:rsidR="009B43EC" w:rsidRPr="00970A16" w:rsidRDefault="009B43EC" w:rsidP="009B43EC">
      <w:pPr>
        <w:spacing w:line="300" w:lineRule="auto"/>
      </w:pPr>
      <w:r w:rsidRPr="00970A16">
        <w:t xml:space="preserve">There are several elements that can require loss </w:t>
      </w:r>
      <w:r>
        <w:t>adjustment</w:t>
      </w:r>
      <w:r w:rsidRPr="00970A16">
        <w:t xml:space="preserve"> prior to the Meter Settlement Location.  A couple of examples of this are: 1) Meter is located on the distribution system and needs to be adjusted to the Node and 2) Meter is located on the transmission system not at the Node and needs to be adjusted to the Node.  </w:t>
      </w:r>
    </w:p>
    <w:p w14:paraId="361A69EA" w14:textId="77777777" w:rsidR="009B43EC" w:rsidRDefault="009B43EC" w:rsidP="009B43EC">
      <w:pPr>
        <w:spacing w:line="300" w:lineRule="auto"/>
        <w:rPr>
          <w:szCs w:val="24"/>
        </w:rPr>
      </w:pPr>
      <w:r w:rsidRPr="00970A16">
        <w:rPr>
          <w:szCs w:val="24"/>
        </w:rPr>
        <w:t>Formula for calculation of Meter Settlement Location is known actual meter value divided by (1- Loss %).  This formula will be used for all calculations of the Meter Settlement Location.  Actual meter value divided by (1-Loss %).</w:t>
      </w:r>
    </w:p>
    <w:p w14:paraId="0952A947" w14:textId="156DF8B5" w:rsidR="00356E3A" w:rsidRDefault="00B07BBD" w:rsidP="00B07BBD">
      <w:pPr>
        <w:spacing w:line="300" w:lineRule="auto"/>
        <w:jc w:val="center"/>
        <w:rPr>
          <w:szCs w:val="24"/>
        </w:rPr>
      </w:pPr>
      <w:r w:rsidRPr="00B07BBD">
        <w:rPr>
          <w:noProof/>
          <w:szCs w:val="24"/>
        </w:rPr>
        <w:drawing>
          <wp:inline distT="0" distB="0" distL="0" distR="0" wp14:anchorId="54AD31C2" wp14:editId="55B17F50">
            <wp:extent cx="5943600" cy="4072255"/>
            <wp:effectExtent l="0" t="0" r="0" b="4445"/>
            <wp:docPr id="777598423"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8423" name="Picture 1" descr="Diagram&#10;&#10;AI-generated content may be incorrect."/>
                    <pic:cNvPicPr/>
                  </pic:nvPicPr>
                  <pic:blipFill>
                    <a:blip r:embed="rId116"/>
                    <a:stretch>
                      <a:fillRect/>
                    </a:stretch>
                  </pic:blipFill>
                  <pic:spPr>
                    <a:xfrm>
                      <a:off x="0" y="0"/>
                      <a:ext cx="5943600" cy="4072255"/>
                    </a:xfrm>
                    <a:prstGeom prst="rect">
                      <a:avLst/>
                    </a:prstGeom>
                  </pic:spPr>
                </pic:pic>
              </a:graphicData>
            </a:graphic>
          </wp:inline>
        </w:drawing>
      </w:r>
    </w:p>
    <w:p w14:paraId="2E5E1219" w14:textId="6A9CEAC4" w:rsidR="009B43EC" w:rsidRDefault="009B43EC" w:rsidP="009B43EC">
      <w:pPr>
        <w:spacing w:line="300" w:lineRule="auto"/>
        <w:rPr>
          <w:szCs w:val="24"/>
        </w:rPr>
      </w:pPr>
    </w:p>
    <w:p w14:paraId="69E9059F" w14:textId="77777777" w:rsidR="009B43EC" w:rsidRDefault="009B43EC" w:rsidP="009B43EC">
      <w:pPr>
        <w:spacing w:line="300" w:lineRule="auto"/>
        <w:jc w:val="center"/>
        <w:rPr>
          <w:szCs w:val="24"/>
        </w:rPr>
      </w:pPr>
      <w:r w:rsidRPr="00970A16">
        <w:rPr>
          <w:sz w:val="20"/>
        </w:rPr>
        <w:t>A1 = Generation Injection Value</w:t>
      </w:r>
    </w:p>
    <w:p w14:paraId="2B899BF9" w14:textId="77777777" w:rsidR="009B43EC" w:rsidRPr="0057559E" w:rsidRDefault="009B43EC" w:rsidP="009B43EC">
      <w:pPr>
        <w:spacing w:line="300" w:lineRule="auto"/>
        <w:jc w:val="center"/>
        <w:rPr>
          <w:szCs w:val="24"/>
        </w:rPr>
      </w:pPr>
      <w:r w:rsidRPr="00970A16">
        <w:rPr>
          <w:sz w:val="20"/>
        </w:rPr>
        <w:t>A2</w:t>
      </w:r>
      <w:r>
        <w:rPr>
          <w:sz w:val="20"/>
        </w:rPr>
        <w:t xml:space="preserve">, A3, </w:t>
      </w:r>
      <w:r w:rsidRPr="00970A16">
        <w:rPr>
          <w:sz w:val="20"/>
        </w:rPr>
        <w:t xml:space="preserve">An = Generation Injection Value with Node Loss </w:t>
      </w:r>
      <w:r>
        <w:rPr>
          <w:sz w:val="20"/>
        </w:rPr>
        <w:t>Adjustment</w:t>
      </w:r>
    </w:p>
    <w:p w14:paraId="593178EC" w14:textId="77777777" w:rsidR="009B43EC" w:rsidRPr="00970A16" w:rsidRDefault="009B43EC" w:rsidP="009B43EC">
      <w:pPr>
        <w:ind w:left="1440" w:hanging="270"/>
        <w:rPr>
          <w:sz w:val="20"/>
        </w:rPr>
      </w:pPr>
    </w:p>
    <w:p w14:paraId="59F8CAED" w14:textId="77777777" w:rsidR="009B43EC" w:rsidRPr="00970A16" w:rsidRDefault="009B43EC" w:rsidP="009B43EC">
      <w:pPr>
        <w:spacing w:after="0" w:line="300" w:lineRule="auto"/>
        <w:rPr>
          <w:szCs w:val="24"/>
        </w:rPr>
      </w:pPr>
      <w:r w:rsidRPr="00970A16">
        <w:rPr>
          <w:szCs w:val="24"/>
        </w:rPr>
        <w:t xml:space="preserve">Node Loss </w:t>
      </w:r>
      <w:r>
        <w:rPr>
          <w:szCs w:val="24"/>
        </w:rPr>
        <w:t>Adjustment</w:t>
      </w:r>
      <w:r w:rsidRPr="00970A16">
        <w:rPr>
          <w:szCs w:val="24"/>
        </w:rPr>
        <w:t xml:space="preserve"> is a combination of any or all of the following between the meter and the Generation Node Point.</w:t>
      </w:r>
    </w:p>
    <w:p w14:paraId="388DD418" w14:textId="77777777" w:rsidR="009B43EC" w:rsidRPr="00970A16" w:rsidRDefault="009B43EC" w:rsidP="00DA3CE7">
      <w:pPr>
        <w:numPr>
          <w:ilvl w:val="0"/>
          <w:numId w:val="265"/>
        </w:numPr>
        <w:spacing w:before="120" w:after="0" w:line="300" w:lineRule="auto"/>
        <w:ind w:left="1267" w:hanging="547"/>
        <w:rPr>
          <w:szCs w:val="24"/>
        </w:rPr>
      </w:pPr>
      <w:r w:rsidRPr="00970A16">
        <w:rPr>
          <w:szCs w:val="24"/>
        </w:rPr>
        <w:t xml:space="preserve">Transformer </w:t>
      </w:r>
      <w:r>
        <w:rPr>
          <w:szCs w:val="24"/>
        </w:rPr>
        <w:t>n</w:t>
      </w:r>
      <w:r w:rsidRPr="00970A16">
        <w:rPr>
          <w:szCs w:val="24"/>
        </w:rPr>
        <w:t>o-</w:t>
      </w:r>
      <w:r>
        <w:rPr>
          <w:szCs w:val="24"/>
        </w:rPr>
        <w:t>l</w:t>
      </w:r>
      <w:r w:rsidRPr="00970A16">
        <w:rPr>
          <w:szCs w:val="24"/>
        </w:rPr>
        <w:t xml:space="preserve">oad </w:t>
      </w:r>
      <w:r>
        <w:rPr>
          <w:szCs w:val="24"/>
        </w:rPr>
        <w:t>l</w:t>
      </w:r>
      <w:r w:rsidRPr="00970A16">
        <w:rPr>
          <w:szCs w:val="24"/>
        </w:rPr>
        <w:t>oss</w:t>
      </w:r>
      <w:r>
        <w:rPr>
          <w:szCs w:val="24"/>
        </w:rPr>
        <w:t>;</w:t>
      </w:r>
    </w:p>
    <w:p w14:paraId="340E6912" w14:textId="77777777" w:rsidR="009B43EC" w:rsidRPr="00970A16" w:rsidRDefault="009B43EC" w:rsidP="00DA3CE7">
      <w:pPr>
        <w:numPr>
          <w:ilvl w:val="0"/>
          <w:numId w:val="265"/>
        </w:numPr>
        <w:spacing w:before="120" w:line="300" w:lineRule="auto"/>
        <w:ind w:left="1267" w:hanging="547"/>
        <w:rPr>
          <w:szCs w:val="24"/>
        </w:rPr>
      </w:pPr>
      <w:r w:rsidRPr="00970A16">
        <w:rPr>
          <w:szCs w:val="24"/>
        </w:rPr>
        <w:t xml:space="preserve">Transformer </w:t>
      </w:r>
      <w:r>
        <w:rPr>
          <w:szCs w:val="24"/>
        </w:rPr>
        <w:t>f</w:t>
      </w:r>
      <w:r w:rsidRPr="00970A16">
        <w:rPr>
          <w:szCs w:val="24"/>
        </w:rPr>
        <w:t xml:space="preserve">ull </w:t>
      </w:r>
      <w:r>
        <w:rPr>
          <w:szCs w:val="24"/>
        </w:rPr>
        <w:t>l</w:t>
      </w:r>
      <w:r w:rsidRPr="00970A16">
        <w:rPr>
          <w:szCs w:val="24"/>
        </w:rPr>
        <w:t xml:space="preserve">oad </w:t>
      </w:r>
      <w:r>
        <w:rPr>
          <w:szCs w:val="24"/>
        </w:rPr>
        <w:t>l</w:t>
      </w:r>
      <w:r w:rsidRPr="00970A16">
        <w:rPr>
          <w:szCs w:val="24"/>
        </w:rPr>
        <w:t>osses;</w:t>
      </w:r>
    </w:p>
    <w:p w14:paraId="27E1B4E7" w14:textId="77777777" w:rsidR="009B43EC" w:rsidRPr="00970A16" w:rsidRDefault="009B43EC" w:rsidP="00DA3CE7">
      <w:pPr>
        <w:numPr>
          <w:ilvl w:val="0"/>
          <w:numId w:val="265"/>
        </w:numPr>
        <w:spacing w:before="120" w:line="300" w:lineRule="auto"/>
        <w:ind w:left="1267" w:hanging="547"/>
        <w:rPr>
          <w:szCs w:val="24"/>
        </w:rPr>
      </w:pPr>
      <w:r w:rsidRPr="00970A16">
        <w:rPr>
          <w:szCs w:val="24"/>
        </w:rPr>
        <w:t xml:space="preserve">Distribution </w:t>
      </w:r>
      <w:r>
        <w:rPr>
          <w:szCs w:val="24"/>
        </w:rPr>
        <w:t>l</w:t>
      </w:r>
      <w:r w:rsidRPr="00970A16">
        <w:rPr>
          <w:szCs w:val="24"/>
        </w:rPr>
        <w:t>osses;</w:t>
      </w:r>
    </w:p>
    <w:p w14:paraId="18E5C1D6" w14:textId="77777777" w:rsidR="009B43EC" w:rsidRPr="00970A16" w:rsidRDefault="009B43EC" w:rsidP="00DA3CE7">
      <w:pPr>
        <w:numPr>
          <w:ilvl w:val="0"/>
          <w:numId w:val="265"/>
        </w:numPr>
        <w:spacing w:before="120" w:line="300" w:lineRule="auto"/>
        <w:ind w:left="1267" w:hanging="547"/>
        <w:rPr>
          <w:szCs w:val="24"/>
        </w:rPr>
      </w:pPr>
      <w:r w:rsidRPr="00970A16">
        <w:rPr>
          <w:szCs w:val="24"/>
        </w:rPr>
        <w:t xml:space="preserve">Transmission losses before </w:t>
      </w:r>
      <w:r>
        <w:rPr>
          <w:szCs w:val="24"/>
        </w:rPr>
        <w:t>Markets+</w:t>
      </w:r>
      <w:r w:rsidRPr="00970A16">
        <w:rPr>
          <w:szCs w:val="24"/>
        </w:rPr>
        <w:t xml:space="preserve"> </w:t>
      </w:r>
      <w:r>
        <w:rPr>
          <w:szCs w:val="24"/>
        </w:rPr>
        <w:t>t</w:t>
      </w:r>
      <w:r w:rsidRPr="00970A16">
        <w:rPr>
          <w:szCs w:val="24"/>
        </w:rPr>
        <w:t xml:space="preserve">ransmission </w:t>
      </w:r>
      <w:r>
        <w:rPr>
          <w:szCs w:val="24"/>
        </w:rPr>
        <w:t>s</w:t>
      </w:r>
      <w:r w:rsidRPr="00970A16">
        <w:rPr>
          <w:szCs w:val="24"/>
        </w:rPr>
        <w:t xml:space="preserve">ystem </w:t>
      </w:r>
      <w:r>
        <w:rPr>
          <w:szCs w:val="24"/>
        </w:rPr>
        <w:t>l</w:t>
      </w:r>
      <w:r w:rsidRPr="00970A16">
        <w:rPr>
          <w:szCs w:val="24"/>
        </w:rPr>
        <w:t>osses</w:t>
      </w:r>
      <w:r>
        <w:rPr>
          <w:szCs w:val="24"/>
        </w:rPr>
        <w:t>.</w:t>
      </w:r>
    </w:p>
    <w:p w14:paraId="4149DFE5" w14:textId="77777777" w:rsidR="009B43EC" w:rsidRPr="00970A16" w:rsidRDefault="009B43EC" w:rsidP="009B43EC">
      <w:r w:rsidRPr="00970A16">
        <w:t>Calculating Aggregation of Meter Settlement Locations to report Meter Data Submittal Location:</w:t>
      </w:r>
    </w:p>
    <w:p w14:paraId="4A1F3406" w14:textId="55501FDB" w:rsidR="009B43EC" w:rsidRPr="00970A16" w:rsidRDefault="009B43EC" w:rsidP="00DA3CE7">
      <w:pPr>
        <w:numPr>
          <w:ilvl w:val="1"/>
          <w:numId w:val="207"/>
        </w:numPr>
        <w:tabs>
          <w:tab w:val="clear" w:pos="360"/>
        </w:tabs>
        <w:spacing w:line="300" w:lineRule="auto"/>
        <w:ind w:left="1260" w:hanging="540"/>
      </w:pPr>
      <w:r w:rsidRPr="00970A16">
        <w:t>A Meter Agent may combine two</w:t>
      </w:r>
      <w:r w:rsidR="00497581">
        <w:t xml:space="preserve"> (2)</w:t>
      </w:r>
      <w:r w:rsidRPr="00970A16">
        <w:t xml:space="preserve"> or more Meter Settlement Locations for </w:t>
      </w:r>
      <w:r w:rsidR="00D27E69">
        <w:t>l</w:t>
      </w:r>
      <w:r w:rsidRPr="00970A16">
        <w:t xml:space="preserve">oads within a Settlement Area to report the registered Meter Data Submittal Location. </w:t>
      </w:r>
    </w:p>
    <w:p w14:paraId="2A1BB03C" w14:textId="73913445" w:rsidR="009B43EC" w:rsidRPr="00970A16" w:rsidRDefault="009B43EC" w:rsidP="00DA3CE7">
      <w:pPr>
        <w:numPr>
          <w:ilvl w:val="1"/>
          <w:numId w:val="207"/>
        </w:numPr>
        <w:tabs>
          <w:tab w:val="clear" w:pos="360"/>
        </w:tabs>
        <w:spacing w:line="300" w:lineRule="auto"/>
        <w:ind w:left="1260" w:hanging="540"/>
      </w:pPr>
      <w:r w:rsidRPr="00970A16">
        <w:t>A Meter Agent may combine two</w:t>
      </w:r>
      <w:r w:rsidR="00497581">
        <w:t xml:space="preserve"> (2)</w:t>
      </w:r>
      <w:r w:rsidRPr="00970A16">
        <w:t xml:space="preserve"> or more Meter Settlement Locations to report a Resource Meter Data Submittal Location as long as all the combined Meter Settlement Locations are electrically equivalent.</w:t>
      </w:r>
    </w:p>
    <w:p w14:paraId="0344B06A" w14:textId="77777777" w:rsidR="009B43EC" w:rsidRPr="00970A16" w:rsidRDefault="009B43EC" w:rsidP="009B43EC">
      <w:pPr>
        <w:keepNext/>
        <w:spacing w:before="240" w:after="240"/>
        <w:outlineLvl w:val="3"/>
        <w:rPr>
          <w:b/>
        </w:rPr>
      </w:pPr>
      <w:bookmarkStart w:id="9174" w:name="_Toc266870009"/>
      <w:bookmarkStart w:id="9175" w:name="_Toc159233668"/>
      <w:bookmarkStart w:id="9176" w:name="_Toc213772237"/>
      <w:r>
        <w:rPr>
          <w:b/>
        </w:rPr>
        <w:t>B</w:t>
      </w:r>
      <w:r w:rsidRPr="00970A16">
        <w:rPr>
          <w:b/>
        </w:rPr>
        <w:t>.9.2.1</w:t>
      </w:r>
      <w:r w:rsidRPr="00970A16">
        <w:rPr>
          <w:b/>
        </w:rPr>
        <w:tab/>
        <w:t xml:space="preserve">      Loss </w:t>
      </w:r>
      <w:r>
        <w:rPr>
          <w:b/>
        </w:rPr>
        <w:t>Adjustment</w:t>
      </w:r>
      <w:r w:rsidRPr="00970A16">
        <w:rPr>
          <w:b/>
        </w:rPr>
        <w:t xml:space="preserve"> to Node when Meter is on Distribution System</w:t>
      </w:r>
      <w:bookmarkEnd w:id="9174"/>
      <w:bookmarkEnd w:id="9175"/>
      <w:bookmarkEnd w:id="9176"/>
    </w:p>
    <w:p w14:paraId="7D3071F9" w14:textId="77777777" w:rsidR="009B43EC" w:rsidRPr="00970A16" w:rsidRDefault="009B43EC" w:rsidP="009B43EC">
      <w:pPr>
        <w:spacing w:line="300" w:lineRule="auto"/>
      </w:pPr>
      <w:r w:rsidRPr="00970A16">
        <w:rPr>
          <w:noProof/>
        </w:rPr>
        <mc:AlternateContent>
          <mc:Choice Requires="wpg">
            <w:drawing>
              <wp:anchor distT="0" distB="0" distL="114300" distR="114300" simplePos="0" relativeHeight="251658246" behindDoc="0" locked="0" layoutInCell="1" allowOverlap="1" wp14:anchorId="7E67B58F" wp14:editId="6BAD2230">
                <wp:simplePos x="0" y="0"/>
                <wp:positionH relativeFrom="column">
                  <wp:posOffset>-107950</wp:posOffset>
                </wp:positionH>
                <wp:positionV relativeFrom="paragraph">
                  <wp:posOffset>89535</wp:posOffset>
                </wp:positionV>
                <wp:extent cx="6057900" cy="2933812"/>
                <wp:effectExtent l="0" t="0" r="19050" b="0"/>
                <wp:wrapNone/>
                <wp:docPr id="6388"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933812"/>
                          <a:chOff x="1440" y="1908"/>
                          <a:chExt cx="9540" cy="4453"/>
                        </a:xfrm>
                      </wpg:grpSpPr>
                      <wpg:grpSp>
                        <wpg:cNvPr id="6389" name="Group 956"/>
                        <wpg:cNvGrpSpPr>
                          <a:grpSpLocks/>
                        </wpg:cNvGrpSpPr>
                        <wpg:grpSpPr bwMode="auto">
                          <a:xfrm>
                            <a:off x="1541" y="2082"/>
                            <a:ext cx="9367" cy="4279"/>
                            <a:chOff x="1541" y="2082"/>
                            <a:chExt cx="9367" cy="4279"/>
                          </a:xfrm>
                        </wpg:grpSpPr>
                        <wps:wsp>
                          <wps:cNvPr id="6390" name="Line 925"/>
                          <wps:cNvCnPr/>
                          <wps:spPr bwMode="auto">
                            <a:xfrm flipV="1">
                              <a:off x="1778" y="4797"/>
                              <a:ext cx="9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6391" name="Line 926"/>
                          <wps:cNvCnPr/>
                          <wps:spPr bwMode="auto">
                            <a:xfrm>
                              <a:off x="3662" y="4440"/>
                              <a:ext cx="0" cy="3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6392" name="Text Box 927"/>
                          <wps:cNvSpPr txBox="1">
                            <a:spLocks noChangeArrowheads="1"/>
                          </wps:cNvSpPr>
                          <wps:spPr bwMode="auto">
                            <a:xfrm>
                              <a:off x="3117" y="4918"/>
                              <a:ext cx="1006" cy="1142"/>
                            </a:xfrm>
                            <a:prstGeom prst="rect">
                              <a:avLst/>
                            </a:prstGeom>
                            <a:noFill/>
                            <a:ln>
                              <a:noFill/>
                            </a:ln>
                            <a:effectLst/>
                            <a:extLst>
                              <a:ext uri="{909E8E84-426E-40DD-AFC4-6F175D3DCCD1}">
                                <a14:hiddenFill xmlns:a14="http://schemas.microsoft.com/office/drawing/2010/main">
                                  <a:solidFill>
                                    <a:srgbClr val="C41E3A"/>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9385D" w14:textId="77777777" w:rsidR="009B43EC" w:rsidRPr="00915982" w:rsidRDefault="009B43EC" w:rsidP="009B43EC">
                                <w:pPr>
                                  <w:rPr>
                                    <w:snapToGrid w:val="0"/>
                                    <w:color w:val="000000"/>
                                    <w:sz w:val="48"/>
                                  </w:rPr>
                                </w:pPr>
                                <w:r w:rsidRPr="00915982">
                                  <w:rPr>
                                    <w:snapToGrid w:val="0"/>
                                    <w:color w:val="000000"/>
                                    <w:sz w:val="32"/>
                                  </w:rPr>
                                  <w:t>12kV</w:t>
                                </w:r>
                              </w:p>
                            </w:txbxContent>
                          </wps:txbx>
                          <wps:bodyPr rot="0" vert="horz" wrap="square" lIns="91440" tIns="45720" rIns="91440" bIns="45720" anchor="t" anchorCtr="0" upright="1">
                            <a:noAutofit/>
                          </wps:bodyPr>
                        </wps:wsp>
                        <wps:wsp>
                          <wps:cNvPr id="6393" name="Freeform 928"/>
                          <wps:cNvSpPr>
                            <a:spLocks/>
                          </wps:cNvSpPr>
                          <wps:spPr bwMode="auto">
                            <a:xfrm>
                              <a:off x="5860" y="4789"/>
                              <a:ext cx="121" cy="436"/>
                            </a:xfrm>
                            <a:custGeom>
                              <a:avLst/>
                              <a:gdLst>
                                <a:gd name="T0" fmla="*/ 0 w 112"/>
                                <a:gd name="T1" fmla="*/ 8 h 112"/>
                                <a:gd name="T2" fmla="*/ 96 w 112"/>
                                <a:gd name="T3" fmla="*/ 8 h 112"/>
                                <a:gd name="T4" fmla="*/ 96 w 112"/>
                                <a:gd name="T5" fmla="*/ 56 h 112"/>
                                <a:gd name="T6" fmla="*/ 0 w 112"/>
                                <a:gd name="T7" fmla="*/ 56 h 112"/>
                                <a:gd name="T8" fmla="*/ 96 w 112"/>
                                <a:gd name="T9" fmla="*/ 56 h 112"/>
                                <a:gd name="T10" fmla="*/ 96 w 112"/>
                                <a:gd name="T11" fmla="*/ 104 h 112"/>
                                <a:gd name="T12" fmla="*/ 48 w 112"/>
                                <a:gd name="T13" fmla="*/ 104 h 112"/>
                                <a:gd name="T14" fmla="*/ 0 w 112"/>
                                <a:gd name="T15" fmla="*/ 104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0" y="8"/>
                                  </a:moveTo>
                                  <a:cubicBezTo>
                                    <a:pt x="40" y="4"/>
                                    <a:pt x="80" y="0"/>
                                    <a:pt x="96" y="8"/>
                                  </a:cubicBezTo>
                                  <a:cubicBezTo>
                                    <a:pt x="112" y="16"/>
                                    <a:pt x="112" y="48"/>
                                    <a:pt x="96" y="56"/>
                                  </a:cubicBezTo>
                                  <a:cubicBezTo>
                                    <a:pt x="80" y="64"/>
                                    <a:pt x="0" y="56"/>
                                    <a:pt x="0" y="56"/>
                                  </a:cubicBezTo>
                                  <a:cubicBezTo>
                                    <a:pt x="0" y="56"/>
                                    <a:pt x="80" y="48"/>
                                    <a:pt x="96" y="56"/>
                                  </a:cubicBezTo>
                                  <a:cubicBezTo>
                                    <a:pt x="112" y="64"/>
                                    <a:pt x="104" y="96"/>
                                    <a:pt x="96" y="104"/>
                                  </a:cubicBezTo>
                                  <a:cubicBezTo>
                                    <a:pt x="88" y="112"/>
                                    <a:pt x="64" y="104"/>
                                    <a:pt x="48" y="104"/>
                                  </a:cubicBezTo>
                                  <a:cubicBezTo>
                                    <a:pt x="32" y="104"/>
                                    <a:pt x="16" y="104"/>
                                    <a:pt x="0" y="104"/>
                                  </a:cubicBezTo>
                                </a:path>
                              </a:pathLst>
                            </a:custGeom>
                            <a:noFill/>
                            <a:ln w="9525">
                              <a:solidFill>
                                <a:srgbClr val="000000"/>
                              </a:solidFill>
                              <a:round/>
                              <a:headEnd/>
                              <a:tailEnd/>
                            </a:ln>
                            <a:effectLst/>
                            <a:extLst>
                              <a:ext uri="{909E8E84-426E-40DD-AFC4-6F175D3DCCD1}">
                                <a14:hiddenFill xmlns:a14="http://schemas.microsoft.com/office/drawing/2010/main">
                                  <a:solidFill>
                                    <a:srgbClr val="C41E3A"/>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94" name="Freeform 929"/>
                          <wps:cNvSpPr>
                            <a:spLocks/>
                          </wps:cNvSpPr>
                          <wps:spPr bwMode="auto">
                            <a:xfrm flipH="1">
                              <a:off x="6050" y="4789"/>
                              <a:ext cx="121" cy="436"/>
                            </a:xfrm>
                            <a:custGeom>
                              <a:avLst/>
                              <a:gdLst>
                                <a:gd name="T0" fmla="*/ 0 w 112"/>
                                <a:gd name="T1" fmla="*/ 8 h 112"/>
                                <a:gd name="T2" fmla="*/ 96 w 112"/>
                                <a:gd name="T3" fmla="*/ 8 h 112"/>
                                <a:gd name="T4" fmla="*/ 96 w 112"/>
                                <a:gd name="T5" fmla="*/ 56 h 112"/>
                                <a:gd name="T6" fmla="*/ 0 w 112"/>
                                <a:gd name="T7" fmla="*/ 56 h 112"/>
                                <a:gd name="T8" fmla="*/ 96 w 112"/>
                                <a:gd name="T9" fmla="*/ 56 h 112"/>
                                <a:gd name="T10" fmla="*/ 96 w 112"/>
                                <a:gd name="T11" fmla="*/ 104 h 112"/>
                                <a:gd name="T12" fmla="*/ 48 w 112"/>
                                <a:gd name="T13" fmla="*/ 104 h 112"/>
                                <a:gd name="T14" fmla="*/ 0 w 112"/>
                                <a:gd name="T15" fmla="*/ 104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0" y="8"/>
                                  </a:moveTo>
                                  <a:cubicBezTo>
                                    <a:pt x="40" y="4"/>
                                    <a:pt x="80" y="0"/>
                                    <a:pt x="96" y="8"/>
                                  </a:cubicBezTo>
                                  <a:cubicBezTo>
                                    <a:pt x="112" y="16"/>
                                    <a:pt x="112" y="48"/>
                                    <a:pt x="96" y="56"/>
                                  </a:cubicBezTo>
                                  <a:cubicBezTo>
                                    <a:pt x="80" y="64"/>
                                    <a:pt x="0" y="56"/>
                                    <a:pt x="0" y="56"/>
                                  </a:cubicBezTo>
                                  <a:cubicBezTo>
                                    <a:pt x="0" y="56"/>
                                    <a:pt x="80" y="48"/>
                                    <a:pt x="96" y="56"/>
                                  </a:cubicBezTo>
                                  <a:cubicBezTo>
                                    <a:pt x="112" y="64"/>
                                    <a:pt x="104" y="96"/>
                                    <a:pt x="96" y="104"/>
                                  </a:cubicBezTo>
                                  <a:cubicBezTo>
                                    <a:pt x="88" y="112"/>
                                    <a:pt x="64" y="104"/>
                                    <a:pt x="48" y="104"/>
                                  </a:cubicBezTo>
                                  <a:cubicBezTo>
                                    <a:pt x="32" y="104"/>
                                    <a:pt x="16" y="104"/>
                                    <a:pt x="0" y="104"/>
                                  </a:cubicBezTo>
                                </a:path>
                              </a:pathLst>
                            </a:custGeom>
                            <a:noFill/>
                            <a:ln w="9525">
                              <a:solidFill>
                                <a:srgbClr val="000000"/>
                              </a:solidFill>
                              <a:round/>
                              <a:headEnd/>
                              <a:tailEnd/>
                            </a:ln>
                            <a:effectLst/>
                            <a:extLst>
                              <a:ext uri="{909E8E84-426E-40DD-AFC4-6F175D3DCCD1}">
                                <a14:hiddenFill xmlns:a14="http://schemas.microsoft.com/office/drawing/2010/main">
                                  <a:solidFill>
                                    <a:srgbClr val="C41E3A"/>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95" name="Freeform 930"/>
                          <wps:cNvSpPr>
                            <a:spLocks/>
                          </wps:cNvSpPr>
                          <wps:spPr bwMode="auto">
                            <a:xfrm flipH="1">
                              <a:off x="6050" y="4340"/>
                              <a:ext cx="121" cy="436"/>
                            </a:xfrm>
                            <a:custGeom>
                              <a:avLst/>
                              <a:gdLst>
                                <a:gd name="T0" fmla="*/ 0 w 112"/>
                                <a:gd name="T1" fmla="*/ 8 h 112"/>
                                <a:gd name="T2" fmla="*/ 96 w 112"/>
                                <a:gd name="T3" fmla="*/ 8 h 112"/>
                                <a:gd name="T4" fmla="*/ 96 w 112"/>
                                <a:gd name="T5" fmla="*/ 56 h 112"/>
                                <a:gd name="T6" fmla="*/ 0 w 112"/>
                                <a:gd name="T7" fmla="*/ 56 h 112"/>
                                <a:gd name="T8" fmla="*/ 96 w 112"/>
                                <a:gd name="T9" fmla="*/ 56 h 112"/>
                                <a:gd name="T10" fmla="*/ 96 w 112"/>
                                <a:gd name="T11" fmla="*/ 104 h 112"/>
                                <a:gd name="T12" fmla="*/ 48 w 112"/>
                                <a:gd name="T13" fmla="*/ 104 h 112"/>
                                <a:gd name="T14" fmla="*/ 0 w 112"/>
                                <a:gd name="T15" fmla="*/ 104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0" y="8"/>
                                  </a:moveTo>
                                  <a:cubicBezTo>
                                    <a:pt x="40" y="4"/>
                                    <a:pt x="80" y="0"/>
                                    <a:pt x="96" y="8"/>
                                  </a:cubicBezTo>
                                  <a:cubicBezTo>
                                    <a:pt x="112" y="16"/>
                                    <a:pt x="112" y="48"/>
                                    <a:pt x="96" y="56"/>
                                  </a:cubicBezTo>
                                  <a:cubicBezTo>
                                    <a:pt x="80" y="64"/>
                                    <a:pt x="0" y="56"/>
                                    <a:pt x="0" y="56"/>
                                  </a:cubicBezTo>
                                  <a:cubicBezTo>
                                    <a:pt x="0" y="56"/>
                                    <a:pt x="80" y="48"/>
                                    <a:pt x="96" y="56"/>
                                  </a:cubicBezTo>
                                  <a:cubicBezTo>
                                    <a:pt x="112" y="64"/>
                                    <a:pt x="104" y="96"/>
                                    <a:pt x="96" y="104"/>
                                  </a:cubicBezTo>
                                  <a:cubicBezTo>
                                    <a:pt x="88" y="112"/>
                                    <a:pt x="64" y="104"/>
                                    <a:pt x="48" y="104"/>
                                  </a:cubicBezTo>
                                  <a:cubicBezTo>
                                    <a:pt x="32" y="104"/>
                                    <a:pt x="16" y="104"/>
                                    <a:pt x="0" y="104"/>
                                  </a:cubicBezTo>
                                </a:path>
                              </a:pathLst>
                            </a:custGeom>
                            <a:noFill/>
                            <a:ln w="9525">
                              <a:solidFill>
                                <a:srgbClr val="000000"/>
                              </a:solidFill>
                              <a:round/>
                              <a:headEnd/>
                              <a:tailEnd/>
                            </a:ln>
                            <a:effectLst/>
                            <a:extLst>
                              <a:ext uri="{909E8E84-426E-40DD-AFC4-6F175D3DCCD1}">
                                <a14:hiddenFill xmlns:a14="http://schemas.microsoft.com/office/drawing/2010/main">
                                  <a:solidFill>
                                    <a:srgbClr val="C41E3A"/>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96" name="Freeform 931"/>
                          <wps:cNvSpPr>
                            <a:spLocks/>
                          </wps:cNvSpPr>
                          <wps:spPr bwMode="auto">
                            <a:xfrm>
                              <a:off x="5860" y="4340"/>
                              <a:ext cx="121" cy="436"/>
                            </a:xfrm>
                            <a:custGeom>
                              <a:avLst/>
                              <a:gdLst>
                                <a:gd name="T0" fmla="*/ 0 w 112"/>
                                <a:gd name="T1" fmla="*/ 8 h 112"/>
                                <a:gd name="T2" fmla="*/ 96 w 112"/>
                                <a:gd name="T3" fmla="*/ 8 h 112"/>
                                <a:gd name="T4" fmla="*/ 96 w 112"/>
                                <a:gd name="T5" fmla="*/ 56 h 112"/>
                                <a:gd name="T6" fmla="*/ 0 w 112"/>
                                <a:gd name="T7" fmla="*/ 56 h 112"/>
                                <a:gd name="T8" fmla="*/ 96 w 112"/>
                                <a:gd name="T9" fmla="*/ 56 h 112"/>
                                <a:gd name="T10" fmla="*/ 96 w 112"/>
                                <a:gd name="T11" fmla="*/ 104 h 112"/>
                                <a:gd name="T12" fmla="*/ 48 w 112"/>
                                <a:gd name="T13" fmla="*/ 104 h 112"/>
                                <a:gd name="T14" fmla="*/ 0 w 112"/>
                                <a:gd name="T15" fmla="*/ 104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0" y="8"/>
                                  </a:moveTo>
                                  <a:cubicBezTo>
                                    <a:pt x="40" y="4"/>
                                    <a:pt x="80" y="0"/>
                                    <a:pt x="96" y="8"/>
                                  </a:cubicBezTo>
                                  <a:cubicBezTo>
                                    <a:pt x="112" y="16"/>
                                    <a:pt x="112" y="48"/>
                                    <a:pt x="96" y="56"/>
                                  </a:cubicBezTo>
                                  <a:cubicBezTo>
                                    <a:pt x="80" y="64"/>
                                    <a:pt x="0" y="56"/>
                                    <a:pt x="0" y="56"/>
                                  </a:cubicBezTo>
                                  <a:cubicBezTo>
                                    <a:pt x="0" y="56"/>
                                    <a:pt x="80" y="48"/>
                                    <a:pt x="96" y="56"/>
                                  </a:cubicBezTo>
                                  <a:cubicBezTo>
                                    <a:pt x="112" y="64"/>
                                    <a:pt x="104" y="96"/>
                                    <a:pt x="96" y="104"/>
                                  </a:cubicBezTo>
                                  <a:cubicBezTo>
                                    <a:pt x="88" y="112"/>
                                    <a:pt x="64" y="104"/>
                                    <a:pt x="48" y="104"/>
                                  </a:cubicBezTo>
                                  <a:cubicBezTo>
                                    <a:pt x="32" y="104"/>
                                    <a:pt x="16" y="104"/>
                                    <a:pt x="0" y="104"/>
                                  </a:cubicBezTo>
                                </a:path>
                              </a:pathLst>
                            </a:custGeom>
                            <a:noFill/>
                            <a:ln w="9525">
                              <a:solidFill>
                                <a:srgbClr val="000000"/>
                              </a:solidFill>
                              <a:round/>
                              <a:headEnd/>
                              <a:tailEnd/>
                            </a:ln>
                            <a:effectLst/>
                            <a:extLst>
                              <a:ext uri="{909E8E84-426E-40DD-AFC4-6F175D3DCCD1}">
                                <a14:hiddenFill xmlns:a14="http://schemas.microsoft.com/office/drawing/2010/main">
                                  <a:solidFill>
                                    <a:srgbClr val="C41E3A"/>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97" name="Text Box 932"/>
                          <wps:cNvSpPr txBox="1">
                            <a:spLocks noChangeArrowheads="1"/>
                          </wps:cNvSpPr>
                          <wps:spPr bwMode="auto">
                            <a:xfrm>
                              <a:off x="4162" y="5283"/>
                              <a:ext cx="3693" cy="1078"/>
                            </a:xfrm>
                            <a:prstGeom prst="rect">
                              <a:avLst/>
                            </a:prstGeom>
                            <a:noFill/>
                            <a:ln>
                              <a:noFill/>
                            </a:ln>
                            <a:effectLst/>
                            <a:extLst>
                              <a:ext uri="{909E8E84-426E-40DD-AFC4-6F175D3DCCD1}">
                                <a14:hiddenFill xmlns:a14="http://schemas.microsoft.com/office/drawing/2010/main">
                                  <a:solidFill>
                                    <a:srgbClr val="C41E3A"/>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DB38F3" w14:textId="77777777" w:rsidR="009B43EC" w:rsidRPr="003C33B2" w:rsidRDefault="009B43EC" w:rsidP="009B43EC">
                                <w:pPr>
                                  <w:jc w:val="center"/>
                                  <w:rPr>
                                    <w:snapToGrid w:val="0"/>
                                    <w:color w:val="000000"/>
                                    <w:szCs w:val="28"/>
                                  </w:rPr>
                                </w:pPr>
                                <w:r w:rsidRPr="003C33B2">
                                  <w:rPr>
                                    <w:snapToGrid w:val="0"/>
                                    <w:color w:val="000000"/>
                                    <w:szCs w:val="28"/>
                                  </w:rPr>
                                  <w:t>69-12kV Transformer</w:t>
                                </w:r>
                              </w:p>
                              <w:p w14:paraId="4C2493CD" w14:textId="77777777" w:rsidR="009B43EC" w:rsidRPr="003C33B2" w:rsidRDefault="009B43EC" w:rsidP="009B43EC">
                                <w:pPr>
                                  <w:jc w:val="center"/>
                                  <w:rPr>
                                    <w:snapToGrid w:val="0"/>
                                    <w:color w:val="000000"/>
                                    <w:sz w:val="56"/>
                                    <w:szCs w:val="28"/>
                                  </w:rPr>
                                </w:pPr>
                                <w:r w:rsidRPr="003C33B2">
                                  <w:rPr>
                                    <w:snapToGrid w:val="0"/>
                                    <w:color w:val="000000"/>
                                    <w:szCs w:val="28"/>
                                  </w:rPr>
                                  <w:t>Losses across Transformer = 5%</w:t>
                                </w:r>
                              </w:p>
                            </w:txbxContent>
                          </wps:txbx>
                          <wps:bodyPr rot="0" vert="horz" wrap="square" lIns="91440" tIns="45720" rIns="91440" bIns="45720" anchor="t" anchorCtr="0" upright="1">
                            <a:noAutofit/>
                          </wps:bodyPr>
                        </wps:wsp>
                        <wps:wsp>
                          <wps:cNvPr id="6398" name="AutoShape 933"/>
                          <wps:cNvSpPr>
                            <a:spLocks noChangeArrowheads="1"/>
                          </wps:cNvSpPr>
                          <wps:spPr bwMode="auto">
                            <a:xfrm>
                              <a:off x="3228" y="2082"/>
                              <a:ext cx="5434" cy="1308"/>
                            </a:xfrm>
                            <a:prstGeom prst="curvedDownArrow">
                              <a:avLst>
                                <a:gd name="adj1" fmla="val 83089"/>
                                <a:gd name="adj2" fmla="val 166177"/>
                                <a:gd name="adj3" fmla="val 33333"/>
                              </a:avLst>
                            </a:prstGeom>
                            <a:solidFill>
                              <a:srgbClr val="C41E3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99" name="Text Box 934"/>
                          <wps:cNvSpPr txBox="1">
                            <a:spLocks noChangeArrowheads="1"/>
                          </wps:cNvSpPr>
                          <wps:spPr bwMode="auto">
                            <a:xfrm>
                              <a:off x="1541" y="4407"/>
                              <a:ext cx="1087" cy="747"/>
                            </a:xfrm>
                            <a:prstGeom prst="rect">
                              <a:avLst/>
                            </a:prstGeom>
                            <a:solidFill>
                              <a:srgbClr val="00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5AF5C90" w14:textId="77777777" w:rsidR="009B43EC" w:rsidRPr="00141234" w:rsidRDefault="009B43EC" w:rsidP="009B43EC">
                                <w:pPr>
                                  <w:jc w:val="center"/>
                                  <w:rPr>
                                    <w:szCs w:val="24"/>
                                  </w:rPr>
                                </w:pPr>
                                <w:r w:rsidRPr="00141234">
                                  <w:rPr>
                                    <w:szCs w:val="24"/>
                                  </w:rPr>
                                  <w:t>Load</w:t>
                                </w:r>
                              </w:p>
                            </w:txbxContent>
                          </wps:txbx>
                          <wps:bodyPr rot="0" vert="horz" wrap="square" lIns="91440" tIns="45720" rIns="91440" bIns="45720" anchor="b" anchorCtr="0" upright="1">
                            <a:noAutofit/>
                          </wps:bodyPr>
                        </wps:wsp>
                        <wps:wsp>
                          <wps:cNvPr id="6400" name="Rectangle 935"/>
                          <wps:cNvSpPr>
                            <a:spLocks noChangeArrowheads="1"/>
                          </wps:cNvSpPr>
                          <wps:spPr bwMode="auto">
                            <a:xfrm>
                              <a:off x="3122" y="4048"/>
                              <a:ext cx="1040" cy="428"/>
                            </a:xfrm>
                            <a:prstGeom prst="rect">
                              <a:avLst/>
                            </a:prstGeom>
                            <a:solidFill>
                              <a:srgbClr val="99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80A733C" w14:textId="77777777" w:rsidR="009B43EC" w:rsidRPr="003C33B2" w:rsidRDefault="009B43EC" w:rsidP="009B43EC">
                                <w:pPr>
                                  <w:jc w:val="center"/>
                                  <w:rPr>
                                    <w:bCs/>
                                    <w:snapToGrid w:val="0"/>
                                    <w:color w:val="000000"/>
                                    <w:szCs w:val="24"/>
                                  </w:rPr>
                                </w:pPr>
                                <w:r w:rsidRPr="003C33B2">
                                  <w:rPr>
                                    <w:bCs/>
                                    <w:snapToGrid w:val="0"/>
                                    <w:color w:val="000000"/>
                                    <w:szCs w:val="24"/>
                                  </w:rPr>
                                  <w:t>Meter</w:t>
                                </w:r>
                              </w:p>
                            </w:txbxContent>
                          </wps:txbx>
                          <wps:bodyPr rot="0" vert="horz" wrap="square" lIns="91440" tIns="45720" rIns="91440" bIns="45720" anchor="ctr" anchorCtr="0" upright="1">
                            <a:noAutofit/>
                          </wps:bodyPr>
                        </wps:wsp>
                        <wps:wsp>
                          <wps:cNvPr id="6401" name="Text Box 936"/>
                          <wps:cNvSpPr txBox="1">
                            <a:spLocks noChangeArrowheads="1"/>
                          </wps:cNvSpPr>
                          <wps:spPr bwMode="auto">
                            <a:xfrm>
                              <a:off x="7025" y="4956"/>
                              <a:ext cx="1167" cy="48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FD55607" w14:textId="77777777" w:rsidR="009B43EC" w:rsidRPr="00915982" w:rsidRDefault="009B43EC" w:rsidP="009B43EC">
                                <w:pPr>
                                  <w:rPr>
                                    <w:snapToGrid w:val="0"/>
                                    <w:color w:val="000000"/>
                                    <w:sz w:val="48"/>
                                  </w:rPr>
                                </w:pPr>
                                <w:r w:rsidRPr="00915982">
                                  <w:rPr>
                                    <w:snapToGrid w:val="0"/>
                                    <w:color w:val="000000"/>
                                    <w:sz w:val="32"/>
                                  </w:rPr>
                                  <w:t>69kV*</w:t>
                                </w:r>
                              </w:p>
                            </w:txbxContent>
                          </wps:txbx>
                          <wps:bodyPr rot="0" vert="horz" wrap="square" lIns="91440" tIns="45720" rIns="91440" bIns="45720" anchor="t" anchorCtr="0" upright="1">
                            <a:noAutofit/>
                          </wps:bodyPr>
                        </wps:wsp>
                        <wps:wsp>
                          <wps:cNvPr id="6402" name="Rectangle 937"/>
                          <wps:cNvSpPr>
                            <a:spLocks noChangeArrowheads="1"/>
                          </wps:cNvSpPr>
                          <wps:spPr bwMode="auto">
                            <a:xfrm>
                              <a:off x="6694" y="3426"/>
                              <a:ext cx="1755" cy="1350"/>
                            </a:xfrm>
                            <a:prstGeom prst="rect">
                              <a:avLst/>
                            </a:prstGeom>
                            <a:solidFill>
                              <a:srgbClr val="33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CF09FD0" w14:textId="77777777" w:rsidR="009B43EC" w:rsidRPr="003C33B2" w:rsidRDefault="009B43EC" w:rsidP="009B43EC">
                                <w:pPr>
                                  <w:jc w:val="center"/>
                                  <w:rPr>
                                    <w:bCs/>
                                    <w:snapToGrid w:val="0"/>
                                    <w:color w:val="000000"/>
                                    <w:szCs w:val="24"/>
                                  </w:rPr>
                                </w:pPr>
                                <w:r w:rsidRPr="003C33B2">
                                  <w:rPr>
                                    <w:bCs/>
                                    <w:snapToGrid w:val="0"/>
                                    <w:color w:val="FFFFFF"/>
                                    <w:szCs w:val="24"/>
                                  </w:rPr>
                                  <w:t xml:space="preserve">M+ transmission system Node </w:t>
                                </w:r>
                              </w:p>
                            </w:txbxContent>
                          </wps:txbx>
                          <wps:bodyPr rot="0" vert="horz" wrap="square" lIns="91440" tIns="45720" rIns="91440" bIns="45720" anchor="ctr" anchorCtr="0" upright="1">
                            <a:noAutofit/>
                          </wps:bodyPr>
                        </wps:wsp>
                        <wps:wsp>
                          <wps:cNvPr id="6403" name="AutoShape 938"/>
                          <wps:cNvSpPr>
                            <a:spLocks noChangeArrowheads="1"/>
                          </wps:cNvSpPr>
                          <wps:spPr bwMode="auto">
                            <a:xfrm flipH="1">
                              <a:off x="8355" y="4476"/>
                              <a:ext cx="389" cy="437"/>
                            </a:xfrm>
                            <a:prstGeom prst="lightningBolt">
                              <a:avLst/>
                            </a:prstGeom>
                            <a:solidFill>
                              <a:srgbClr val="C41E3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g:grpSp>
                      <wps:wsp>
                        <wps:cNvPr id="6404" name="Rectangle 939"/>
                        <wps:cNvSpPr>
                          <a:spLocks noChangeArrowheads="1"/>
                        </wps:cNvSpPr>
                        <wps:spPr bwMode="auto">
                          <a:xfrm>
                            <a:off x="1440" y="1908"/>
                            <a:ext cx="9540" cy="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7B58F" id="Group 957" o:spid="_x0000_s1135" style="position:absolute;left:0;text-align:left;margin-left:-8.5pt;margin-top:7.05pt;width:477pt;height:231pt;z-index:251658246;mso-position-horizontal-relative:text;mso-position-vertical-relative:text" coordorigin="1440,1908" coordsize="9540,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">
                <v:group id="Group 956" o:spid="_x0000_s1136" style="position:absolute;left:1541;top:2082;width:9367;height:4279" coordorigin="1541,2082" coordsize="9367,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">
                  <v:line id="Line 925" o:spid="_x0000_s1137" style="position:absolute;flip:y;visibility:visible;mso-wrap-style:square" from="1778,4797" to="10908,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">
                    <v:shadow color="#5f5f5f"/>
                  </v:line>
                  <v:line id="Line 926" o:spid="_x0000_s1138" style="position:absolute;visibility:visible;mso-wrap-style:square" from="3662,4440" to="366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">
                    <v:shadow color="#5f5f5f"/>
                  </v:line>
                  <v:shape id="Text Box 927" o:spid="_x0000_s1139" type="#_x0000_t202" style="position:absolute;left:3117;top:4918;width:1006;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" filled="f" fillcolor="#c41e3a" stroked="f">
                    <v:textbox>
                      <w:txbxContent>
                        <w:p w14:paraId="74A9385D" w14:textId="77777777" w:rsidR="009B43EC" w:rsidRPr="00915982" w:rsidRDefault="009B43EC" w:rsidP="009B43EC">
                          <w:pPr>
                            <w:rPr>
                              <w:snapToGrid w:val="0"/>
                              <w:color w:val="000000"/>
                              <w:sz w:val="48"/>
                            </w:rPr>
                          </w:pPr>
                          <w:r w:rsidRPr="00915982">
                            <w:rPr>
                              <w:snapToGrid w:val="0"/>
                              <w:color w:val="000000"/>
                              <w:sz w:val="32"/>
                            </w:rPr>
                            <w:t>12kV</w:t>
                          </w:r>
                        </w:p>
                      </w:txbxContent>
                    </v:textbox>
                  </v:shape>
                  <v:shape id="Freeform 928" o:spid="_x0000_s1140" style="position:absolute;left:5860;top:4789;width:121;height:436;visibility:visible;mso-wrap-style:square;v-text-anchor:middle"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" path="m,8c40,4,80,,96,8v16,8,16,40,,48c80,64,,56,,56v,,80,-8,96,c112,64,104,96,96,104v-8,8,-32,,-48,c32,104,16,104,,104e" filled="f" fillcolor="#c41e3a">
                    <v:shadow color="#5f5f5f"/>
                    <v:path arrowok="t" o:connecttype="custom" o:connectlocs="0,31;104,31;104,218;0,218;104,218;104,405;52,405;0,405" o:connectangles="0,0,0,0,0,0,0,0"/>
                  </v:shape>
                  <v:shape id="Freeform 929" o:spid="_x0000_s1141" style="position:absolute;left:6050;top:4789;width:121;height:436;flip:x;visibility:visible;mso-wrap-style:square;v-text-anchor:middle"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" path="m,8c40,4,80,,96,8v16,8,16,40,,48c80,64,,56,,56v,,80,-8,96,c112,64,104,96,96,104v-8,8,-32,,-48,c32,104,16,104,,104e" filled="f" fillcolor="#c41e3a">
                    <v:shadow color="#5f5f5f"/>
                    <v:path arrowok="t" o:connecttype="custom" o:connectlocs="0,31;104,31;104,218;0,218;104,218;104,405;52,405;0,405" o:connectangles="0,0,0,0,0,0,0,0"/>
                  </v:shape>
                  <v:shape id="Freeform 930" o:spid="_x0000_s1142" style="position:absolute;left:6050;top:4340;width:121;height:436;flip:x;visibility:visible;mso-wrap-style:square;v-text-anchor:middle"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" path="m,8c40,4,80,,96,8v16,8,16,40,,48c80,64,,56,,56v,,80,-8,96,c112,64,104,96,96,104v-8,8,-32,,-48,c32,104,16,104,,104e" filled="f" fillcolor="#c41e3a">
                    <v:shadow color="#5f5f5f"/>
                    <v:path arrowok="t" o:connecttype="custom" o:connectlocs="0,31;104,31;104,218;0,218;104,218;104,405;52,405;0,405" o:connectangles="0,0,0,0,0,0,0,0"/>
                  </v:shape>
                  <v:shape id="Freeform 931" o:spid="_x0000_s1143" style="position:absolute;left:5860;top:4340;width:121;height:436;visibility:visible;mso-wrap-style:square;v-text-anchor:middle"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" path="m,8c40,4,80,,96,8v16,8,16,40,,48c80,64,,56,,56v,,80,-8,96,c112,64,104,96,96,104v-8,8,-32,,-48,c32,104,16,104,,104e" filled="f" fillcolor="#c41e3a">
                    <v:shadow color="#5f5f5f"/>
                    <v:path arrowok="t" o:connecttype="custom" o:connectlocs="0,31;104,31;104,218;0,218;104,218;104,405;52,405;0,405" o:connectangles="0,0,0,0,0,0,0,0"/>
                  </v:shape>
                  <v:shape id="Text Box 932" o:spid="_x0000_s1144" type="#_x0000_t202" style="position:absolute;left:4162;top:5283;width:369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" filled="f" fillcolor="#c41e3a" stroked="f">
                    <v:textbox>
                      <w:txbxContent>
                        <w:p w14:paraId="43DB38F3" w14:textId="77777777" w:rsidR="009B43EC" w:rsidRPr="003C33B2" w:rsidRDefault="009B43EC" w:rsidP="009B43EC">
                          <w:pPr>
                            <w:jc w:val="center"/>
                            <w:rPr>
                              <w:snapToGrid w:val="0"/>
                              <w:color w:val="000000"/>
                              <w:szCs w:val="28"/>
                            </w:rPr>
                          </w:pPr>
                          <w:r w:rsidRPr="003C33B2">
                            <w:rPr>
                              <w:snapToGrid w:val="0"/>
                              <w:color w:val="000000"/>
                              <w:szCs w:val="28"/>
                            </w:rPr>
                            <w:t>69-12kV Transformer</w:t>
                          </w:r>
                        </w:p>
                        <w:p w14:paraId="4C2493CD" w14:textId="77777777" w:rsidR="009B43EC" w:rsidRPr="003C33B2" w:rsidRDefault="009B43EC" w:rsidP="009B43EC">
                          <w:pPr>
                            <w:jc w:val="center"/>
                            <w:rPr>
                              <w:snapToGrid w:val="0"/>
                              <w:color w:val="000000"/>
                              <w:sz w:val="56"/>
                              <w:szCs w:val="28"/>
                            </w:rPr>
                          </w:pPr>
                          <w:r w:rsidRPr="003C33B2">
                            <w:rPr>
                              <w:snapToGrid w:val="0"/>
                              <w:color w:val="000000"/>
                              <w:szCs w:val="28"/>
                            </w:rPr>
                            <w:t>Losses across Transformer = 5%</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33" o:spid="_x0000_s1145" type="#_x0000_t105" style="position:absolute;left:3228;top:2082;width:543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" fillcolor="#c41e3a">
                    <v:shadow color="#5f5f5f"/>
                  </v:shape>
                  <v:shape id="Text Box 934" o:spid="_x0000_s1146" type="#_x0000_t202" style="position:absolute;left:1541;top:4407;width:1087;height:7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" fillcolor="lime">
                    <v:shadow color="#5f5f5f"/>
                    <v:textbox>
                      <w:txbxContent>
                        <w:p w14:paraId="65AF5C90" w14:textId="77777777" w:rsidR="009B43EC" w:rsidRPr="00141234" w:rsidRDefault="009B43EC" w:rsidP="009B43EC">
                          <w:pPr>
                            <w:jc w:val="center"/>
                            <w:rPr>
                              <w:szCs w:val="24"/>
                            </w:rPr>
                          </w:pPr>
                          <w:r w:rsidRPr="00141234">
                            <w:rPr>
                              <w:szCs w:val="24"/>
                            </w:rPr>
                            <w:t>Load</w:t>
                          </w:r>
                        </w:p>
                      </w:txbxContent>
                    </v:textbox>
                  </v:shape>
                  <v:rect id="Rectangle 935" o:spid="_x0000_s1147" style="position:absolute;left:3122;top:4048;width:1040;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" fillcolor="#9cf">
                    <v:shadow color="#5f5f5f"/>
                    <v:textbox>
                      <w:txbxContent>
                        <w:p w14:paraId="080A733C" w14:textId="77777777" w:rsidR="009B43EC" w:rsidRPr="003C33B2" w:rsidRDefault="009B43EC" w:rsidP="009B43EC">
                          <w:pPr>
                            <w:jc w:val="center"/>
                            <w:rPr>
                              <w:bCs/>
                              <w:snapToGrid w:val="0"/>
                              <w:color w:val="000000"/>
                              <w:szCs w:val="24"/>
                            </w:rPr>
                          </w:pPr>
                          <w:r w:rsidRPr="003C33B2">
                            <w:rPr>
                              <w:bCs/>
                              <w:snapToGrid w:val="0"/>
                              <w:color w:val="000000"/>
                              <w:szCs w:val="24"/>
                            </w:rPr>
                            <w:t>Meter</w:t>
                          </w:r>
                        </w:p>
                      </w:txbxContent>
                    </v:textbox>
                  </v:rect>
                  <v:shape id="Text Box 936" o:spid="_x0000_s1148" type="#_x0000_t202" style="position:absolute;left:7025;top:4956;width:116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" stroked="f">
                    <v:shadow color="#5f5f5f"/>
                    <v:textbox>
                      <w:txbxContent>
                        <w:p w14:paraId="7FD55607" w14:textId="77777777" w:rsidR="009B43EC" w:rsidRPr="00915982" w:rsidRDefault="009B43EC" w:rsidP="009B43EC">
                          <w:pPr>
                            <w:rPr>
                              <w:snapToGrid w:val="0"/>
                              <w:color w:val="000000"/>
                              <w:sz w:val="48"/>
                            </w:rPr>
                          </w:pPr>
                          <w:r w:rsidRPr="00915982">
                            <w:rPr>
                              <w:snapToGrid w:val="0"/>
                              <w:color w:val="000000"/>
                              <w:sz w:val="32"/>
                            </w:rPr>
                            <w:t>69kV*</w:t>
                          </w:r>
                        </w:p>
                      </w:txbxContent>
                    </v:textbox>
                  </v:shape>
                  <v:rect id="Rectangle 937" o:spid="_x0000_s1149" style="position:absolute;left:6694;top:3426;width:1755;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" fillcolor="#36f">
                    <v:shadow color="#5f5f5f"/>
                    <v:textbox>
                      <w:txbxContent>
                        <w:p w14:paraId="0CF09FD0" w14:textId="77777777" w:rsidR="009B43EC" w:rsidRPr="003C33B2" w:rsidRDefault="009B43EC" w:rsidP="009B43EC">
                          <w:pPr>
                            <w:jc w:val="center"/>
                            <w:rPr>
                              <w:bCs/>
                              <w:snapToGrid w:val="0"/>
                              <w:color w:val="000000"/>
                              <w:szCs w:val="24"/>
                            </w:rPr>
                          </w:pPr>
                          <w:r w:rsidRPr="003C33B2">
                            <w:rPr>
                              <w:bCs/>
                              <w:snapToGrid w:val="0"/>
                              <w:color w:val="FFFFFF"/>
                              <w:szCs w:val="24"/>
                            </w:rPr>
                            <w:t xml:space="preserve">M+ transmission system Node </w:t>
                          </w:r>
                        </w:p>
                      </w:txbxContent>
                    </v:textbox>
                  </v:re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938" o:spid="_x0000_s1150" type="#_x0000_t73" style="position:absolute;left:8355;top:4476;width:389;height:43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" fillcolor="#c41e3a">
                    <v:shadow color="#5f5f5f"/>
                  </v:shape>
                </v:group>
                <v:rect id="Rectangle 939" o:spid="_x0000_s1151" style="position:absolute;left:1440;top:1908;width:95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" filled="f"/>
              </v:group>
            </w:pict>
          </mc:Fallback>
        </mc:AlternateContent>
      </w:r>
    </w:p>
    <w:p w14:paraId="469168C0" w14:textId="77777777" w:rsidR="009B43EC" w:rsidRPr="00970A16" w:rsidRDefault="009B43EC" w:rsidP="009B43EC">
      <w:pPr>
        <w:spacing w:line="300" w:lineRule="auto"/>
      </w:pPr>
    </w:p>
    <w:p w14:paraId="536C71EE" w14:textId="77777777" w:rsidR="009B43EC" w:rsidRPr="00970A16" w:rsidRDefault="009B43EC" w:rsidP="009B43EC">
      <w:pPr>
        <w:spacing w:line="300" w:lineRule="auto"/>
      </w:pPr>
    </w:p>
    <w:p w14:paraId="025B8BAF" w14:textId="77777777" w:rsidR="009B43EC" w:rsidRPr="00970A16" w:rsidRDefault="009B43EC" w:rsidP="009B43EC">
      <w:pPr>
        <w:spacing w:line="300" w:lineRule="auto"/>
      </w:pPr>
    </w:p>
    <w:p w14:paraId="0D0A7259" w14:textId="77777777" w:rsidR="009B43EC" w:rsidRPr="00970A16" w:rsidRDefault="009B43EC" w:rsidP="009B43EC">
      <w:pPr>
        <w:spacing w:line="300" w:lineRule="auto"/>
      </w:pPr>
    </w:p>
    <w:p w14:paraId="64D17588" w14:textId="77777777" w:rsidR="009B43EC" w:rsidRPr="00970A16" w:rsidRDefault="009B43EC" w:rsidP="009B43EC">
      <w:pPr>
        <w:ind w:left="907" w:hanging="360"/>
        <w:rPr>
          <w:szCs w:val="24"/>
        </w:rPr>
      </w:pPr>
    </w:p>
    <w:p w14:paraId="5296D1E4" w14:textId="77777777" w:rsidR="009B43EC" w:rsidRPr="00970A16" w:rsidRDefault="009B43EC" w:rsidP="009B43EC">
      <w:pPr>
        <w:ind w:left="907" w:hanging="360"/>
        <w:rPr>
          <w:szCs w:val="24"/>
        </w:rPr>
      </w:pPr>
    </w:p>
    <w:p w14:paraId="7EFEED2B" w14:textId="77777777" w:rsidR="009B43EC" w:rsidRPr="00970A16" w:rsidRDefault="009B43EC" w:rsidP="009B43EC">
      <w:pPr>
        <w:ind w:left="907" w:hanging="360"/>
        <w:rPr>
          <w:szCs w:val="24"/>
        </w:rPr>
      </w:pPr>
    </w:p>
    <w:p w14:paraId="14DD868E" w14:textId="77777777" w:rsidR="009B43EC" w:rsidRPr="00970A16" w:rsidRDefault="009B43EC" w:rsidP="009B43EC">
      <w:pPr>
        <w:ind w:left="907" w:hanging="360"/>
        <w:rPr>
          <w:szCs w:val="24"/>
        </w:rPr>
      </w:pPr>
    </w:p>
    <w:p w14:paraId="117FB9D9" w14:textId="77777777" w:rsidR="009B43EC" w:rsidRPr="00970A16" w:rsidRDefault="009B43EC" w:rsidP="009B43EC">
      <w:pPr>
        <w:ind w:left="907" w:hanging="360"/>
        <w:rPr>
          <w:szCs w:val="24"/>
        </w:rPr>
      </w:pPr>
    </w:p>
    <w:p w14:paraId="6C097F83" w14:textId="77777777" w:rsidR="009B43EC" w:rsidRPr="00970A16" w:rsidRDefault="009B43EC" w:rsidP="009B43EC">
      <w:pPr>
        <w:ind w:left="907" w:hanging="360"/>
        <w:rPr>
          <w:szCs w:val="24"/>
        </w:rPr>
      </w:pPr>
    </w:p>
    <w:p w14:paraId="436DC1F2" w14:textId="77777777" w:rsidR="009B43EC" w:rsidRPr="00970A16" w:rsidRDefault="009B43EC" w:rsidP="009B43EC">
      <w:pPr>
        <w:ind w:left="907" w:hanging="360"/>
        <w:rPr>
          <w:szCs w:val="24"/>
        </w:rPr>
      </w:pPr>
    </w:p>
    <w:p w14:paraId="64B63668" w14:textId="77777777" w:rsidR="009B43EC" w:rsidRPr="00970A16" w:rsidRDefault="009B43EC" w:rsidP="009B43EC">
      <w:pPr>
        <w:ind w:left="907" w:hanging="360"/>
        <w:rPr>
          <w:szCs w:val="24"/>
        </w:rPr>
      </w:pPr>
    </w:p>
    <w:p w14:paraId="3D521749" w14:textId="77777777" w:rsidR="009B43EC" w:rsidRPr="00970A16" w:rsidRDefault="009B43EC" w:rsidP="009B43EC">
      <w:pPr>
        <w:ind w:left="360" w:hanging="7"/>
        <w:rPr>
          <w:b/>
          <w:szCs w:val="24"/>
        </w:rPr>
      </w:pPr>
      <w:r w:rsidRPr="00970A16">
        <w:rPr>
          <w:b/>
          <w:szCs w:val="24"/>
          <w:u w:val="single"/>
        </w:rPr>
        <w:t xml:space="preserve">Loss </w:t>
      </w:r>
      <w:r>
        <w:rPr>
          <w:b/>
          <w:szCs w:val="24"/>
          <w:u w:val="single"/>
        </w:rPr>
        <w:t>Adjustment</w:t>
      </w:r>
      <w:r w:rsidRPr="00970A16">
        <w:rPr>
          <w:b/>
          <w:szCs w:val="24"/>
          <w:u w:val="single"/>
        </w:rPr>
        <w:t xml:space="preserve"> to Node – Example 1 Assumptions:</w:t>
      </w:r>
    </w:p>
    <w:p w14:paraId="11542DC1" w14:textId="77777777" w:rsidR="009B43EC" w:rsidRPr="00970A16" w:rsidRDefault="009B43EC" w:rsidP="00DA3CE7">
      <w:pPr>
        <w:numPr>
          <w:ilvl w:val="0"/>
          <w:numId w:val="225"/>
        </w:numPr>
        <w:tabs>
          <w:tab w:val="num" w:pos="720"/>
        </w:tabs>
        <w:spacing w:line="300" w:lineRule="auto"/>
        <w:ind w:left="720" w:hanging="540"/>
      </w:pPr>
      <w:r w:rsidRPr="00970A16">
        <w:t>Meter is on distribution system @ 12 kV</w:t>
      </w:r>
      <w:r>
        <w:t>.</w:t>
      </w:r>
    </w:p>
    <w:p w14:paraId="656BFD9B" w14:textId="0581B500" w:rsidR="009B43EC" w:rsidRPr="00970A16" w:rsidRDefault="009B43EC" w:rsidP="00DA3CE7">
      <w:pPr>
        <w:numPr>
          <w:ilvl w:val="0"/>
          <w:numId w:val="225"/>
        </w:numPr>
        <w:tabs>
          <w:tab w:val="num" w:pos="720"/>
        </w:tabs>
        <w:spacing w:line="300" w:lineRule="auto"/>
        <w:ind w:left="720" w:hanging="540"/>
      </w:pPr>
      <w:r w:rsidRPr="00970A16">
        <w:t xml:space="preserve">Transformer between distribution and transmission system requires </w:t>
      </w:r>
      <w:r>
        <w:t>adjustment</w:t>
      </w:r>
      <w:r w:rsidRPr="00970A16">
        <w:t xml:space="preserve"> for a transmission voltage at </w:t>
      </w:r>
      <w:r w:rsidR="00CC75D6">
        <w:t xml:space="preserve">the Node on the transmission system inside the </w:t>
      </w:r>
      <w:r>
        <w:t xml:space="preserve">Markets+ Footprint </w:t>
      </w:r>
      <w:r w:rsidRPr="00970A16">
        <w:t>.</w:t>
      </w:r>
    </w:p>
    <w:p w14:paraId="7AED21DC" w14:textId="77777777" w:rsidR="009B43EC" w:rsidRPr="00970A16" w:rsidRDefault="009B43EC" w:rsidP="00DA3CE7">
      <w:pPr>
        <w:numPr>
          <w:ilvl w:val="0"/>
          <w:numId w:val="225"/>
        </w:numPr>
        <w:tabs>
          <w:tab w:val="num" w:pos="720"/>
        </w:tabs>
        <w:spacing w:line="300" w:lineRule="auto"/>
        <w:ind w:left="720" w:hanging="540"/>
      </w:pPr>
      <w:r w:rsidRPr="00970A16">
        <w:t>The actual meter reads 20</w:t>
      </w:r>
      <w:r>
        <w:t>,</w:t>
      </w:r>
      <w:r w:rsidRPr="00970A16">
        <w:t>000 kWh.</w:t>
      </w:r>
    </w:p>
    <w:p w14:paraId="7638ED1B" w14:textId="77777777" w:rsidR="009B43EC" w:rsidRPr="00970A16" w:rsidRDefault="009B43EC" w:rsidP="00DA3CE7">
      <w:pPr>
        <w:numPr>
          <w:ilvl w:val="0"/>
          <w:numId w:val="225"/>
        </w:numPr>
        <w:tabs>
          <w:tab w:val="num" w:pos="720"/>
        </w:tabs>
        <w:spacing w:line="300" w:lineRule="auto"/>
        <w:ind w:left="720" w:hanging="540"/>
      </w:pPr>
      <w:r w:rsidRPr="00970A16">
        <w:t>Transformer loss is 5%.</w:t>
      </w:r>
    </w:p>
    <w:p w14:paraId="00ED0C24" w14:textId="77777777" w:rsidR="009B43EC" w:rsidRPr="00970A16" w:rsidRDefault="009B43EC" w:rsidP="00DA3CE7">
      <w:pPr>
        <w:numPr>
          <w:ilvl w:val="0"/>
          <w:numId w:val="225"/>
        </w:numPr>
        <w:tabs>
          <w:tab w:val="num" w:pos="720"/>
        </w:tabs>
        <w:spacing w:line="300" w:lineRule="auto"/>
        <w:ind w:left="720" w:hanging="540"/>
      </w:pPr>
      <w:r w:rsidRPr="00970A16">
        <w:t>Transmission owner has modeled their network with transmission voltage at 69kV.</w:t>
      </w:r>
    </w:p>
    <w:p w14:paraId="20F760C6" w14:textId="77777777" w:rsidR="009B43EC" w:rsidRPr="00970A16" w:rsidRDefault="009B43EC" w:rsidP="009B43EC">
      <w:pPr>
        <w:ind w:left="360" w:hanging="7"/>
        <w:rPr>
          <w:b/>
          <w:szCs w:val="24"/>
        </w:rPr>
      </w:pPr>
      <w:r w:rsidRPr="00970A16">
        <w:rPr>
          <w:b/>
          <w:szCs w:val="24"/>
          <w:u w:val="single"/>
        </w:rPr>
        <w:t>Calculating from Meter to Node</w:t>
      </w:r>
      <w:r w:rsidRPr="00970A16">
        <w:rPr>
          <w:b/>
          <w:szCs w:val="24"/>
        </w:rPr>
        <w:t>:</w:t>
      </w:r>
    </w:p>
    <w:p w14:paraId="4D485F67" w14:textId="77777777" w:rsidR="009B43EC" w:rsidRPr="00970A16" w:rsidRDefault="009B43EC" w:rsidP="00DA3CE7">
      <w:pPr>
        <w:numPr>
          <w:ilvl w:val="0"/>
          <w:numId w:val="226"/>
        </w:numPr>
        <w:tabs>
          <w:tab w:val="clear" w:pos="360"/>
          <w:tab w:val="num" w:pos="720"/>
          <w:tab w:val="num" w:pos="1440"/>
        </w:tabs>
        <w:spacing w:line="300" w:lineRule="auto"/>
        <w:ind w:left="720" w:hanging="540"/>
      </w:pPr>
      <w:r w:rsidRPr="00970A16">
        <w:t>The actual meter reads 20</w:t>
      </w:r>
      <w:r>
        <w:t>,</w:t>
      </w:r>
      <w:r w:rsidRPr="00970A16">
        <w:t>000 kWh divided by (1- 5%).  20</w:t>
      </w:r>
      <w:r>
        <w:t>,</w:t>
      </w:r>
      <w:r w:rsidRPr="00970A16">
        <w:t>000/(1–0.05) or 20</w:t>
      </w:r>
      <w:r>
        <w:t>,</w:t>
      </w:r>
      <w:r w:rsidRPr="00970A16">
        <w:t>000/0.9500</w:t>
      </w:r>
      <w:r>
        <w:t>.</w:t>
      </w:r>
    </w:p>
    <w:p w14:paraId="6C80BEBB" w14:textId="6F1A1CC5" w:rsidR="009B43EC" w:rsidRDefault="009B43EC" w:rsidP="00DA3CE7">
      <w:pPr>
        <w:numPr>
          <w:ilvl w:val="0"/>
          <w:numId w:val="226"/>
        </w:numPr>
        <w:tabs>
          <w:tab w:val="clear" w:pos="360"/>
          <w:tab w:val="num" w:pos="720"/>
          <w:tab w:val="num" w:pos="1440"/>
        </w:tabs>
        <w:spacing w:line="300" w:lineRule="auto"/>
        <w:ind w:left="720" w:hanging="540"/>
      </w:pPr>
      <w:r w:rsidRPr="00970A16">
        <w:t>Node Value</w:t>
      </w:r>
      <w:r w:rsidR="00C959DD">
        <w:t xml:space="preserve"> on the transmission system inside the Markets+ Footprint </w:t>
      </w:r>
      <w:r w:rsidRPr="00970A16">
        <w:t xml:space="preserve"> = 21</w:t>
      </w:r>
      <w:r>
        <w:t>,</w:t>
      </w:r>
      <w:r w:rsidRPr="00970A16">
        <w:t>052.631 kWh</w:t>
      </w:r>
      <w:r>
        <w:t>.</w:t>
      </w:r>
    </w:p>
    <w:p w14:paraId="2221F908" w14:textId="77777777" w:rsidR="009B43EC" w:rsidRDefault="009B43EC" w:rsidP="00DA3CE7">
      <w:pPr>
        <w:pStyle w:val="ParaText"/>
        <w:numPr>
          <w:ilvl w:val="0"/>
          <w:numId w:val="226"/>
        </w:numPr>
        <w:tabs>
          <w:tab w:val="clear" w:pos="360"/>
          <w:tab w:val="num" w:pos="720"/>
          <w:tab w:val="num" w:pos="1440"/>
        </w:tabs>
        <w:ind w:left="720" w:hanging="540"/>
      </w:pPr>
      <w:r>
        <w:t>All resolution below kWh of 21,052 is dropped.</w:t>
      </w:r>
    </w:p>
    <w:p w14:paraId="0C5B6D5E" w14:textId="77777777" w:rsidR="009B43EC" w:rsidRPr="00970A16" w:rsidRDefault="009B43EC" w:rsidP="00DA3CE7">
      <w:pPr>
        <w:numPr>
          <w:ilvl w:val="0"/>
          <w:numId w:val="226"/>
        </w:numPr>
        <w:tabs>
          <w:tab w:val="clear" w:pos="360"/>
          <w:tab w:val="num" w:pos="720"/>
          <w:tab w:val="num" w:pos="1440"/>
        </w:tabs>
        <w:spacing w:line="300" w:lineRule="auto"/>
        <w:ind w:left="720" w:hanging="540"/>
      </w:pPr>
      <w:r w:rsidRPr="00970A16">
        <w:t xml:space="preserve">This rule can be applied when distribution line losses are required along with transformer losses. </w:t>
      </w:r>
    </w:p>
    <w:p w14:paraId="2A7F713D" w14:textId="77777777" w:rsidR="009B43EC" w:rsidRPr="00970A16" w:rsidRDefault="009B43EC" w:rsidP="00DA3CE7">
      <w:pPr>
        <w:numPr>
          <w:ilvl w:val="0"/>
          <w:numId w:val="226"/>
        </w:numPr>
        <w:tabs>
          <w:tab w:val="clear" w:pos="360"/>
          <w:tab w:val="num" w:pos="720"/>
          <w:tab w:val="num" w:pos="1440"/>
        </w:tabs>
        <w:spacing w:line="300" w:lineRule="auto"/>
        <w:ind w:left="720" w:hanging="540"/>
      </w:pPr>
      <w:r w:rsidRPr="00970A16">
        <w:t xml:space="preserve">The Market Participant may apply the </w:t>
      </w:r>
      <w:r>
        <w:t>adjustment</w:t>
      </w:r>
      <w:r w:rsidRPr="00970A16">
        <w:t xml:space="preserve"> process separately for each loss percentage or sum percentages together and then apply the process for the sum of losses to calculate the Node value.</w:t>
      </w:r>
    </w:p>
    <w:p w14:paraId="7627EC93" w14:textId="77777777" w:rsidR="009B43EC" w:rsidRPr="00970A16" w:rsidRDefault="009B43EC" w:rsidP="009B43EC">
      <w:pPr>
        <w:ind w:left="360"/>
        <w:rPr>
          <w:b/>
          <w:szCs w:val="24"/>
        </w:rPr>
      </w:pPr>
      <w:r w:rsidRPr="00970A16">
        <w:rPr>
          <w:b/>
          <w:szCs w:val="24"/>
          <w:u w:val="single"/>
        </w:rPr>
        <w:t>Calculating Aggregation of Meter Settlement Locations to report Meter Data Submittal Location</w:t>
      </w:r>
    </w:p>
    <w:p w14:paraId="74ABC52D" w14:textId="57CEA0AF" w:rsidR="009B43EC" w:rsidRPr="00970A16" w:rsidRDefault="009B43EC" w:rsidP="00E94CBF">
      <w:pPr>
        <w:numPr>
          <w:ilvl w:val="0"/>
          <w:numId w:val="267"/>
        </w:numPr>
        <w:tabs>
          <w:tab w:val="clear" w:pos="360"/>
          <w:tab w:val="num" w:pos="540"/>
        </w:tabs>
        <w:spacing w:line="300" w:lineRule="auto"/>
        <w:ind w:hanging="270"/>
      </w:pPr>
      <w:r w:rsidRPr="00970A16">
        <w:t>A Meter Agent may combine two</w:t>
      </w:r>
      <w:r w:rsidR="00C959DD">
        <w:t xml:space="preserve"> (2)</w:t>
      </w:r>
      <w:r w:rsidRPr="00970A16">
        <w:t xml:space="preserve"> or more Meter Settlement Locations for </w:t>
      </w:r>
      <w:r w:rsidR="00D27E69">
        <w:t>l</w:t>
      </w:r>
      <w:r w:rsidRPr="00970A16">
        <w:t xml:space="preserve">oads within a Settlement Area to report the registered Meter Data Submittal Location. </w:t>
      </w:r>
    </w:p>
    <w:p w14:paraId="7CB84043" w14:textId="11996EF0" w:rsidR="009B43EC" w:rsidRPr="00970A16" w:rsidRDefault="009B43EC" w:rsidP="00C959DD">
      <w:pPr>
        <w:numPr>
          <w:ilvl w:val="0"/>
          <w:numId w:val="267"/>
        </w:numPr>
        <w:spacing w:line="300" w:lineRule="auto"/>
        <w:ind w:hanging="270"/>
      </w:pPr>
      <w:r w:rsidRPr="00970A16">
        <w:t>A Meter Agent may combine two</w:t>
      </w:r>
      <w:r w:rsidR="00C959DD">
        <w:t xml:space="preserve"> (2)</w:t>
      </w:r>
      <w:r w:rsidRPr="00970A16">
        <w:t xml:space="preserve"> or more Meter Settlement Locations to report a Resource Meter Data Submittal Location as long as all the combined Meter Settlement Locations are electrically equivalent.</w:t>
      </w:r>
    </w:p>
    <w:p w14:paraId="4386405A" w14:textId="77777777" w:rsidR="009B43EC" w:rsidRPr="00970A16" w:rsidRDefault="009B43EC" w:rsidP="009B43EC">
      <w:pPr>
        <w:keepNext/>
        <w:tabs>
          <w:tab w:val="left" w:pos="900"/>
        </w:tabs>
        <w:spacing w:before="240" w:after="240"/>
        <w:outlineLvl w:val="3"/>
        <w:rPr>
          <w:b/>
        </w:rPr>
      </w:pPr>
      <w:bookmarkStart w:id="9177" w:name="_Toc159233669"/>
      <w:bookmarkStart w:id="9178" w:name="_Toc213772238"/>
      <w:r w:rsidRPr="00970A16">
        <w:rPr>
          <w:b/>
          <w:szCs w:val="24"/>
        </w:rPr>
        <w:t>B.9.2.2</w:t>
      </w:r>
      <w:r w:rsidRPr="00970A16">
        <w:rPr>
          <w:b/>
          <w:szCs w:val="24"/>
        </w:rPr>
        <w:tab/>
        <w:t xml:space="preserve">Methods for </w:t>
      </w:r>
      <w:bookmarkEnd w:id="9177"/>
      <w:r>
        <w:rPr>
          <w:b/>
          <w:szCs w:val="24"/>
        </w:rPr>
        <w:t>Adjustment</w:t>
      </w:r>
      <w:bookmarkEnd w:id="9178"/>
      <w:r w:rsidRPr="00970A16">
        <w:rPr>
          <w:b/>
          <w:szCs w:val="24"/>
        </w:rPr>
        <w:t xml:space="preserve"> </w:t>
      </w:r>
    </w:p>
    <w:p w14:paraId="105F99D6" w14:textId="0BD1C2EB" w:rsidR="009B43EC" w:rsidRPr="00970A16" w:rsidRDefault="009B43EC" w:rsidP="009B43EC">
      <w:r w:rsidRPr="00970A16">
        <w:t>There are three</w:t>
      </w:r>
      <w:r w:rsidR="00C959DD">
        <w:t xml:space="preserve"> (3)</w:t>
      </w:r>
      <w:r w:rsidRPr="00970A16">
        <w:t xml:space="preserve"> methods for </w:t>
      </w:r>
      <w:r>
        <w:t>adjustment</w:t>
      </w:r>
      <w:r w:rsidRPr="00970A16">
        <w:t xml:space="preserve">: </w:t>
      </w:r>
    </w:p>
    <w:p w14:paraId="3E9D51C0" w14:textId="77777777" w:rsidR="009B43EC" w:rsidRPr="00970A16" w:rsidRDefault="009B43EC" w:rsidP="00C959DD">
      <w:pPr>
        <w:numPr>
          <w:ilvl w:val="0"/>
          <w:numId w:val="266"/>
        </w:numPr>
        <w:spacing w:line="300" w:lineRule="auto"/>
        <w:ind w:hanging="270"/>
      </w:pPr>
      <w:r w:rsidRPr="00970A16">
        <w:t xml:space="preserve">Flat Percentage Adjustment – This adjustment is made on the value delivered from the Meter to an external system and is not in the meter.  The percentage </w:t>
      </w:r>
      <w:r>
        <w:t>will</w:t>
      </w:r>
      <w:r w:rsidRPr="00970A16">
        <w:t xml:space="preserve"> be a mutually agreed upon value between the Market Participant(s) and Meter Agent(s). </w:t>
      </w:r>
    </w:p>
    <w:p w14:paraId="345616A1" w14:textId="77777777" w:rsidR="009B43EC" w:rsidRPr="00970A16" w:rsidRDefault="009B43EC" w:rsidP="00C959DD">
      <w:pPr>
        <w:numPr>
          <w:ilvl w:val="0"/>
          <w:numId w:val="266"/>
        </w:numPr>
        <w:tabs>
          <w:tab w:val="clear" w:pos="360"/>
          <w:tab w:val="num" w:pos="720"/>
        </w:tabs>
        <w:spacing w:line="300" w:lineRule="auto"/>
        <w:ind w:hanging="270"/>
      </w:pPr>
      <w:r w:rsidRPr="00970A16">
        <w:t xml:space="preserve">Engineered Adjustment with Assumptions – This type of adjustment is made on the meter quantities received by the external system. </w:t>
      </w:r>
    </w:p>
    <w:p w14:paraId="65AEFD32" w14:textId="2CF741CD" w:rsidR="009B43EC" w:rsidRPr="00970A16" w:rsidRDefault="009B43EC" w:rsidP="00C959DD">
      <w:pPr>
        <w:numPr>
          <w:ilvl w:val="0"/>
          <w:numId w:val="266"/>
        </w:numPr>
        <w:tabs>
          <w:tab w:val="clear" w:pos="360"/>
          <w:tab w:val="num" w:pos="720"/>
        </w:tabs>
        <w:spacing w:line="300" w:lineRule="auto"/>
        <w:ind w:hanging="270"/>
      </w:pPr>
      <w:r w:rsidRPr="00970A16">
        <w:t xml:space="preserve">Engineered Adjustment – The loss </w:t>
      </w:r>
      <w:r>
        <w:t>adjusted</w:t>
      </w:r>
      <w:r w:rsidRPr="00970A16">
        <w:t xml:space="preserve"> Generation Injection Node value or loss </w:t>
      </w:r>
      <w:r>
        <w:t>adjusted</w:t>
      </w:r>
      <w:r w:rsidRPr="00970A16">
        <w:t xml:space="preserve"> </w:t>
      </w:r>
      <w:r w:rsidR="00D27E69">
        <w:t>l</w:t>
      </w:r>
      <w:r w:rsidRPr="00970A16">
        <w:t xml:space="preserve">oad Injection Node value </w:t>
      </w:r>
      <w:r>
        <w:t>will</w:t>
      </w:r>
      <w:r w:rsidRPr="00970A16">
        <w:t xml:space="preserve"> be calculated internally in the meter.  This will be done using the meter manufacturer’s recommended procedures. </w:t>
      </w:r>
    </w:p>
    <w:p w14:paraId="053457C9" w14:textId="77777777" w:rsidR="009B43EC" w:rsidRPr="00970A16" w:rsidRDefault="009B43EC" w:rsidP="00E94CBF">
      <w:pPr>
        <w:numPr>
          <w:ilvl w:val="0"/>
          <w:numId w:val="266"/>
        </w:numPr>
        <w:tabs>
          <w:tab w:val="clear" w:pos="360"/>
          <w:tab w:val="num" w:pos="720"/>
        </w:tabs>
        <w:spacing w:line="300" w:lineRule="auto"/>
        <w:ind w:hanging="270"/>
      </w:pPr>
      <w:r w:rsidRPr="00970A16">
        <w:t>Transmission and secondary line losses are referenced in Section D.9.2.5.</w:t>
      </w:r>
      <w:r w:rsidRPr="00970A16">
        <w:br w:type="page"/>
      </w:r>
    </w:p>
    <w:p w14:paraId="44186DB8" w14:textId="616C2AED" w:rsidR="009B43EC" w:rsidRPr="00970A16" w:rsidRDefault="009B43EC" w:rsidP="009B43EC">
      <w:pPr>
        <w:keepNext/>
        <w:tabs>
          <w:tab w:val="left" w:pos="1080"/>
        </w:tabs>
        <w:spacing w:before="240" w:after="240"/>
        <w:outlineLvl w:val="3"/>
        <w:rPr>
          <w:b/>
        </w:rPr>
      </w:pPr>
      <w:bookmarkStart w:id="9179" w:name="_Toc159233670"/>
      <w:bookmarkStart w:id="9180" w:name="_Toc213772239"/>
      <w:r>
        <w:rPr>
          <w:b/>
        </w:rPr>
        <w:t>B</w:t>
      </w:r>
      <w:r w:rsidRPr="00970A16">
        <w:rPr>
          <w:b/>
        </w:rPr>
        <w:t xml:space="preserve">.9.2.3 Loss </w:t>
      </w:r>
      <w:r>
        <w:rPr>
          <w:b/>
        </w:rPr>
        <w:t>Adjustment</w:t>
      </w:r>
      <w:r w:rsidRPr="00970A16">
        <w:rPr>
          <w:b/>
        </w:rPr>
        <w:t xml:space="preserve"> to Node when Meter and Node at Different Location</w:t>
      </w:r>
      <w:bookmarkEnd w:id="9179"/>
      <w:bookmarkEnd w:id="9180"/>
      <w:r w:rsidRPr="00970A16">
        <w:rPr>
          <w:b/>
        </w:rPr>
        <w:t xml:space="preserve"> </w:t>
      </w:r>
    </w:p>
    <w:p w14:paraId="7836126B" w14:textId="77777777" w:rsidR="009B43EC" w:rsidRPr="00970A16" w:rsidRDefault="009B43EC" w:rsidP="009B43EC">
      <w:pPr>
        <w:spacing w:before="120" w:line="300" w:lineRule="auto"/>
        <w:ind w:left="360"/>
        <w:rPr>
          <w:b/>
          <w:u w:val="single"/>
        </w:rPr>
      </w:pPr>
      <w:r w:rsidRPr="00970A16">
        <w:rPr>
          <w:b/>
          <w:noProof/>
          <w:sz w:val="20"/>
          <w:szCs w:val="24"/>
        </w:rPr>
        <mc:AlternateContent>
          <mc:Choice Requires="wpg">
            <w:drawing>
              <wp:anchor distT="0" distB="0" distL="114300" distR="114300" simplePos="0" relativeHeight="251658247" behindDoc="0" locked="0" layoutInCell="1" allowOverlap="1" wp14:anchorId="6C05735C" wp14:editId="28278E3A">
                <wp:simplePos x="0" y="0"/>
                <wp:positionH relativeFrom="column">
                  <wp:posOffset>38100</wp:posOffset>
                </wp:positionH>
                <wp:positionV relativeFrom="paragraph">
                  <wp:posOffset>372110</wp:posOffset>
                </wp:positionV>
                <wp:extent cx="6019800" cy="2507615"/>
                <wp:effectExtent l="0" t="0" r="19050" b="6985"/>
                <wp:wrapTopAndBottom/>
                <wp:docPr id="6373"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507615"/>
                          <a:chOff x="1440" y="7380"/>
                          <a:chExt cx="9480" cy="4667"/>
                        </a:xfrm>
                      </wpg:grpSpPr>
                      <wpg:grpSp>
                        <wpg:cNvPr id="6374" name="Group 942"/>
                        <wpg:cNvGrpSpPr>
                          <a:grpSpLocks/>
                        </wpg:cNvGrpSpPr>
                        <wpg:grpSpPr bwMode="auto">
                          <a:xfrm>
                            <a:off x="1670" y="7472"/>
                            <a:ext cx="9010" cy="4575"/>
                            <a:chOff x="1670" y="7472"/>
                            <a:chExt cx="9010" cy="4575"/>
                          </a:xfrm>
                        </wpg:grpSpPr>
                        <wps:wsp>
                          <wps:cNvPr id="6375" name="Rectangle 943"/>
                          <wps:cNvSpPr>
                            <a:spLocks noChangeArrowheads="1"/>
                          </wps:cNvSpPr>
                          <wps:spPr bwMode="auto">
                            <a:xfrm>
                              <a:off x="3548" y="9755"/>
                              <a:ext cx="983" cy="614"/>
                            </a:xfrm>
                            <a:prstGeom prst="rect">
                              <a:avLst/>
                            </a:prstGeom>
                            <a:solidFill>
                              <a:srgbClr val="99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AAA9F59" w14:textId="77777777" w:rsidR="009B43EC" w:rsidRPr="002E5402" w:rsidRDefault="009B43EC" w:rsidP="009B43EC">
                                <w:pPr>
                                  <w:rPr>
                                    <w:bCs/>
                                    <w:snapToGrid w:val="0"/>
                                    <w:color w:val="000000"/>
                                    <w:szCs w:val="24"/>
                                  </w:rPr>
                                </w:pPr>
                                <w:r>
                                  <w:rPr>
                                    <w:bCs/>
                                    <w:snapToGrid w:val="0"/>
                                    <w:color w:val="000000"/>
                                    <w:szCs w:val="24"/>
                                  </w:rPr>
                                  <w:t xml:space="preserve"> Meter</w:t>
                                </w:r>
                              </w:p>
                            </w:txbxContent>
                          </wps:txbx>
                          <wps:bodyPr rot="0" vert="horz" wrap="square" lIns="91440" tIns="45720" rIns="91440" bIns="45720" anchor="ctr" anchorCtr="0" upright="1">
                            <a:noAutofit/>
                          </wps:bodyPr>
                        </wps:wsp>
                        <wps:wsp>
                          <wps:cNvPr id="6376" name="Line 944"/>
                          <wps:cNvCnPr/>
                          <wps:spPr bwMode="auto">
                            <a:xfrm>
                              <a:off x="1752" y="10609"/>
                              <a:ext cx="89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6377" name="Line 945"/>
                          <wps:cNvCnPr/>
                          <wps:spPr bwMode="auto">
                            <a:xfrm>
                              <a:off x="4032" y="10369"/>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6378" name="Text Box 946"/>
                          <wps:cNvSpPr txBox="1">
                            <a:spLocks noChangeArrowheads="1"/>
                          </wps:cNvSpPr>
                          <wps:spPr bwMode="auto">
                            <a:xfrm>
                              <a:off x="1670" y="10179"/>
                              <a:ext cx="1296" cy="834"/>
                            </a:xfrm>
                            <a:prstGeom prst="rect">
                              <a:avLst/>
                            </a:prstGeom>
                            <a:solidFill>
                              <a:srgbClr val="00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2BCA65E" w14:textId="77777777" w:rsidR="009B43EC" w:rsidRPr="003C33B2" w:rsidRDefault="009B43EC" w:rsidP="009B43EC">
                                <w:pPr>
                                  <w:jc w:val="center"/>
                                  <w:rPr>
                                    <w:snapToGrid w:val="0"/>
                                    <w:color w:val="000000"/>
                                    <w:szCs w:val="24"/>
                                  </w:rPr>
                                </w:pPr>
                                <w:r w:rsidRPr="003C33B2">
                                  <w:rPr>
                                    <w:snapToGrid w:val="0"/>
                                    <w:color w:val="000000"/>
                                    <w:szCs w:val="24"/>
                                  </w:rPr>
                                  <w:t>Load</w:t>
                                </w:r>
                              </w:p>
                            </w:txbxContent>
                          </wps:txbx>
                          <wps:bodyPr rot="0" vert="horz" wrap="square" lIns="91440" tIns="45720" rIns="91440" bIns="45720" anchor="b" anchorCtr="0" upright="1">
                            <a:noAutofit/>
                          </wps:bodyPr>
                        </wps:wsp>
                        <wps:wsp>
                          <wps:cNvPr id="6379" name="Text Box 947"/>
                          <wps:cNvSpPr txBox="1">
                            <a:spLocks noChangeArrowheads="1"/>
                          </wps:cNvSpPr>
                          <wps:spPr bwMode="auto">
                            <a:xfrm>
                              <a:off x="7372" y="10637"/>
                              <a:ext cx="1160" cy="619"/>
                            </a:xfrm>
                            <a:prstGeom prst="rect">
                              <a:avLst/>
                            </a:prstGeom>
                            <a:noFill/>
                            <a:ln>
                              <a:noFill/>
                            </a:ln>
                            <a:effectLst/>
                            <a:extLst>
                              <a:ext uri="{909E8E84-426E-40DD-AFC4-6F175D3DCCD1}">
                                <a14:hiddenFill xmlns:a14="http://schemas.microsoft.com/office/drawing/2010/main">
                                  <a:solidFill>
                                    <a:srgbClr val="C41E3A"/>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55CDC3" w14:textId="77777777" w:rsidR="009B43EC" w:rsidRPr="002E5402" w:rsidRDefault="009B43EC" w:rsidP="009B43EC">
                                <w:pPr>
                                  <w:rPr>
                                    <w:snapToGrid w:val="0"/>
                                    <w:color w:val="000000"/>
                                    <w:sz w:val="48"/>
                                  </w:rPr>
                                </w:pPr>
                                <w:r w:rsidRPr="002E5402">
                                  <w:rPr>
                                    <w:snapToGrid w:val="0"/>
                                    <w:color w:val="000000"/>
                                    <w:sz w:val="32"/>
                                  </w:rPr>
                                  <w:t>69kV*</w:t>
                                </w:r>
                              </w:p>
                            </w:txbxContent>
                          </wps:txbx>
                          <wps:bodyPr rot="0" vert="horz" wrap="square" lIns="91440" tIns="45720" rIns="91440" bIns="45720" anchor="t" anchorCtr="0" upright="1">
                            <a:noAutofit/>
                          </wps:bodyPr>
                        </wps:wsp>
                        <wps:wsp>
                          <wps:cNvPr id="6380" name="Rectangle 948"/>
                          <wps:cNvSpPr>
                            <a:spLocks noChangeArrowheads="1"/>
                          </wps:cNvSpPr>
                          <wps:spPr bwMode="auto">
                            <a:xfrm>
                              <a:off x="7353" y="8862"/>
                              <a:ext cx="1608" cy="1728"/>
                            </a:xfrm>
                            <a:prstGeom prst="rect">
                              <a:avLst/>
                            </a:prstGeom>
                            <a:solidFill>
                              <a:srgbClr val="33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B5BDB25" w14:textId="77777777" w:rsidR="009B43EC" w:rsidRPr="005E26D2" w:rsidRDefault="009B43EC" w:rsidP="009B43EC">
                                <w:pPr>
                                  <w:pStyle w:val="Footer"/>
                                  <w:pBdr>
                                    <w:top w:val="single" w:sz="12" w:space="0" w:color="auto"/>
                                  </w:pBdr>
                                  <w:jc w:val="center"/>
                                  <w:rPr>
                                    <w:i w:val="0"/>
                                    <w:iCs/>
                                    <w:color w:val="FFFFFF" w:themeColor="background1"/>
                                    <w:sz w:val="22"/>
                                    <w:szCs w:val="18"/>
                                  </w:rPr>
                                </w:pPr>
                                <w:r w:rsidRPr="005E26D2">
                                  <w:rPr>
                                    <w:i w:val="0"/>
                                    <w:iCs/>
                                    <w:color w:val="FFFFFF" w:themeColor="background1"/>
                                    <w:sz w:val="22"/>
                                    <w:szCs w:val="18"/>
                                  </w:rPr>
                                  <w:t xml:space="preserve">M+ transmission system  </w:t>
                                </w:r>
                              </w:p>
                              <w:p w14:paraId="4DF2FA0D" w14:textId="77777777" w:rsidR="009B43EC" w:rsidRPr="005E26D2" w:rsidRDefault="009B43EC" w:rsidP="009B43EC">
                                <w:pPr>
                                  <w:pStyle w:val="Footer"/>
                                  <w:pBdr>
                                    <w:top w:val="single" w:sz="12" w:space="0" w:color="auto"/>
                                  </w:pBdr>
                                  <w:jc w:val="center"/>
                                  <w:rPr>
                                    <w:i w:val="0"/>
                                    <w:iCs/>
                                    <w:snapToGrid w:val="0"/>
                                    <w:color w:val="FFFFFF" w:themeColor="background1"/>
                                    <w:sz w:val="20"/>
                                    <w:szCs w:val="18"/>
                                  </w:rPr>
                                </w:pPr>
                                <w:r w:rsidRPr="005E26D2">
                                  <w:rPr>
                                    <w:i w:val="0"/>
                                    <w:iCs/>
                                    <w:color w:val="FFFFFF" w:themeColor="background1"/>
                                    <w:sz w:val="22"/>
                                    <w:szCs w:val="18"/>
                                  </w:rPr>
                                  <w:t>Node</w:t>
                                </w:r>
                              </w:p>
                            </w:txbxContent>
                          </wps:txbx>
                          <wps:bodyPr rot="0" vert="horz" wrap="square" lIns="91440" tIns="45720" rIns="91440" bIns="45720" anchor="ctr" anchorCtr="0" upright="1">
                            <a:noAutofit/>
                          </wps:bodyPr>
                        </wps:wsp>
                        <wps:wsp>
                          <wps:cNvPr id="6381" name="AutoShape 949"/>
                          <wps:cNvSpPr>
                            <a:spLocks noChangeArrowheads="1"/>
                          </wps:cNvSpPr>
                          <wps:spPr bwMode="auto">
                            <a:xfrm flipH="1">
                              <a:off x="8872" y="10252"/>
                              <a:ext cx="360" cy="558"/>
                            </a:xfrm>
                            <a:prstGeom prst="lightningBolt">
                              <a:avLst/>
                            </a:prstGeom>
                            <a:solidFill>
                              <a:srgbClr val="C41E3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82" name="AutoShape 950"/>
                          <wps:cNvSpPr>
                            <a:spLocks noChangeArrowheads="1"/>
                          </wps:cNvSpPr>
                          <wps:spPr bwMode="auto">
                            <a:xfrm>
                              <a:off x="3792" y="7472"/>
                              <a:ext cx="5400" cy="1440"/>
                            </a:xfrm>
                            <a:prstGeom prst="curvedDownArrow">
                              <a:avLst>
                                <a:gd name="adj1" fmla="val 75000"/>
                                <a:gd name="adj2" fmla="val 150000"/>
                                <a:gd name="adj3" fmla="val 33333"/>
                              </a:avLst>
                            </a:prstGeom>
                            <a:solidFill>
                              <a:srgbClr val="C41E3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6383" name="AutoShape 951"/>
                          <wps:cNvSpPr>
                            <a:spLocks/>
                          </wps:cNvSpPr>
                          <wps:spPr bwMode="auto">
                            <a:xfrm>
                              <a:off x="4704" y="10441"/>
                              <a:ext cx="144" cy="432"/>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4" name="AutoShape 952"/>
                          <wps:cNvSpPr>
                            <a:spLocks/>
                          </wps:cNvSpPr>
                          <wps:spPr bwMode="auto">
                            <a:xfrm>
                              <a:off x="8448" y="10441"/>
                              <a:ext cx="144" cy="432"/>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5" name="Text Box 953"/>
                          <wps:cNvSpPr txBox="1">
                            <a:spLocks noChangeArrowheads="1"/>
                          </wps:cNvSpPr>
                          <wps:spPr bwMode="auto">
                            <a:xfrm>
                              <a:off x="4870" y="11075"/>
                              <a:ext cx="2865" cy="972"/>
                            </a:xfrm>
                            <a:prstGeom prst="rect">
                              <a:avLst/>
                            </a:prstGeom>
                            <a:noFill/>
                            <a:ln>
                              <a:noFill/>
                            </a:ln>
                            <a:effectLst/>
                            <a:extLst>
                              <a:ext uri="{909E8E84-426E-40DD-AFC4-6F175D3DCCD1}">
                                <a14:hiddenFill xmlns:a14="http://schemas.microsoft.com/office/drawing/2010/main">
                                  <a:solidFill>
                                    <a:srgbClr val="C41E3A"/>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55AFD" w14:textId="77777777" w:rsidR="009B43EC" w:rsidRPr="00F3694B" w:rsidRDefault="009B43EC" w:rsidP="009B43EC">
                                <w:pPr>
                                  <w:jc w:val="center"/>
                                  <w:rPr>
                                    <w:bCs/>
                                    <w:iCs/>
                                    <w:snapToGrid w:val="0"/>
                                    <w:color w:val="000000"/>
                                    <w:szCs w:val="24"/>
                                  </w:rPr>
                                </w:pPr>
                                <w:r w:rsidRPr="005E26D2">
                                  <w:rPr>
                                    <w:bCs/>
                                    <w:iCs/>
                                    <w:szCs w:val="24"/>
                                  </w:rPr>
                                  <w:t>Line Losses of 2%</w:t>
                                </w:r>
                              </w:p>
                            </w:txbxContent>
                          </wps:txbx>
                          <wps:bodyPr rot="0" vert="horz" wrap="square" lIns="91440" tIns="45720" rIns="91440" bIns="45720" anchor="t" anchorCtr="0" upright="1">
                            <a:noAutofit/>
                          </wps:bodyPr>
                        </wps:wsp>
                      </wpg:grpSp>
                      <wps:wsp>
                        <wps:cNvPr id="6386" name="Rectangle 954"/>
                        <wps:cNvSpPr>
                          <a:spLocks noChangeArrowheads="1"/>
                        </wps:cNvSpPr>
                        <wps:spPr bwMode="auto">
                          <a:xfrm>
                            <a:off x="1440" y="7380"/>
                            <a:ext cx="9480" cy="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5735C" id="Group 941" o:spid="_x0000_s1152" style="position:absolute;left:0;text-align:left;margin-left:3pt;margin-top:29.3pt;width:474pt;height:197.45pt;z-index:251658247;mso-position-horizontal-relative:text;mso-position-vertical-relative:text" coordorigin="1440,7380" coordsize="948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">
                <v:group id="Group 942" o:spid="_x0000_s1153" style="position:absolute;left:1670;top:7472;width:9010;height:4575" coordorigin="1670,7472" coordsize="9010,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">
                  <v:rect id="Rectangle 943" o:spid="_x0000_s1154" style="position:absolute;left:3548;top:9755;width:983;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" fillcolor="#9cf">
                    <v:shadow color="#5f5f5f"/>
                    <v:textbox>
                      <w:txbxContent>
                        <w:p w14:paraId="6AAA9F59" w14:textId="77777777" w:rsidR="009B43EC" w:rsidRPr="002E5402" w:rsidRDefault="009B43EC" w:rsidP="009B43EC">
                          <w:pPr>
                            <w:rPr>
                              <w:bCs/>
                              <w:snapToGrid w:val="0"/>
                              <w:color w:val="000000"/>
                              <w:szCs w:val="24"/>
                            </w:rPr>
                          </w:pPr>
                          <w:r>
                            <w:rPr>
                              <w:bCs/>
                              <w:snapToGrid w:val="0"/>
                              <w:color w:val="000000"/>
                              <w:szCs w:val="24"/>
                            </w:rPr>
                            <w:t xml:space="preserve"> Meter</w:t>
                          </w:r>
                        </w:p>
                      </w:txbxContent>
                    </v:textbox>
                  </v:rect>
                  <v:line id="Line 944" o:spid="_x0000_s1155" style="position:absolute;visibility:visible;mso-wrap-style:square" from="1752,10609" to="10680,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">
                    <v:shadow color="#5f5f5f"/>
                  </v:line>
                  <v:line id="Line 945" o:spid="_x0000_s1156" style="position:absolute;visibility:visible;mso-wrap-style:square" from="4032,10369" to="4032,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">
                    <v:shadow color="#5f5f5f"/>
                  </v:line>
                  <v:shape id="Text Box 946" o:spid="_x0000_s1157" type="#_x0000_t202" style="position:absolute;left:1670;top:10179;width:1296;height:8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" fillcolor="lime">
                    <v:shadow color="#5f5f5f"/>
                    <v:textbox>
                      <w:txbxContent>
                        <w:p w14:paraId="32BCA65E" w14:textId="77777777" w:rsidR="009B43EC" w:rsidRPr="003C33B2" w:rsidRDefault="009B43EC" w:rsidP="009B43EC">
                          <w:pPr>
                            <w:jc w:val="center"/>
                            <w:rPr>
                              <w:snapToGrid w:val="0"/>
                              <w:color w:val="000000"/>
                              <w:szCs w:val="24"/>
                            </w:rPr>
                          </w:pPr>
                          <w:r w:rsidRPr="003C33B2">
                            <w:rPr>
                              <w:snapToGrid w:val="0"/>
                              <w:color w:val="000000"/>
                              <w:szCs w:val="24"/>
                            </w:rPr>
                            <w:t>Load</w:t>
                          </w:r>
                        </w:p>
                      </w:txbxContent>
                    </v:textbox>
                  </v:shape>
                  <v:shape id="Text Box 947" o:spid="_x0000_s1158" type="#_x0000_t202" style="position:absolute;left:7372;top:10637;width:116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" filled="f" fillcolor="#c41e3a" stroked="f">
                    <v:textbox>
                      <w:txbxContent>
                        <w:p w14:paraId="6955CDC3" w14:textId="77777777" w:rsidR="009B43EC" w:rsidRPr="002E5402" w:rsidRDefault="009B43EC" w:rsidP="009B43EC">
                          <w:pPr>
                            <w:rPr>
                              <w:snapToGrid w:val="0"/>
                              <w:color w:val="000000"/>
                              <w:sz w:val="48"/>
                            </w:rPr>
                          </w:pPr>
                          <w:r w:rsidRPr="002E5402">
                            <w:rPr>
                              <w:snapToGrid w:val="0"/>
                              <w:color w:val="000000"/>
                              <w:sz w:val="32"/>
                            </w:rPr>
                            <w:t>69kV*</w:t>
                          </w:r>
                        </w:p>
                      </w:txbxContent>
                    </v:textbox>
                  </v:shape>
                  <v:rect id="Rectangle 948" o:spid="_x0000_s1159" style="position:absolute;left:7353;top:8862;width:1608;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" fillcolor="#36f">
                    <v:shadow color="#5f5f5f"/>
                    <v:textbox>
                      <w:txbxContent>
                        <w:p w14:paraId="3B5BDB25" w14:textId="77777777" w:rsidR="009B43EC" w:rsidRPr="005E26D2" w:rsidRDefault="009B43EC" w:rsidP="009B43EC">
                          <w:pPr>
                            <w:pStyle w:val="Footer"/>
                            <w:pBdr>
                              <w:top w:val="single" w:sz="12" w:space="0" w:color="auto"/>
                            </w:pBdr>
                            <w:jc w:val="center"/>
                            <w:rPr>
                              <w:i w:val="0"/>
                              <w:iCs/>
                              <w:color w:val="FFFFFF" w:themeColor="background1"/>
                              <w:sz w:val="22"/>
                              <w:szCs w:val="18"/>
                            </w:rPr>
                          </w:pPr>
                          <w:r w:rsidRPr="005E26D2">
                            <w:rPr>
                              <w:i w:val="0"/>
                              <w:iCs/>
                              <w:color w:val="FFFFFF" w:themeColor="background1"/>
                              <w:sz w:val="22"/>
                              <w:szCs w:val="18"/>
                            </w:rPr>
                            <w:t xml:space="preserve">M+ transmission system  </w:t>
                          </w:r>
                        </w:p>
                        <w:p w14:paraId="4DF2FA0D" w14:textId="77777777" w:rsidR="009B43EC" w:rsidRPr="005E26D2" w:rsidRDefault="009B43EC" w:rsidP="009B43EC">
                          <w:pPr>
                            <w:pStyle w:val="Footer"/>
                            <w:pBdr>
                              <w:top w:val="single" w:sz="12" w:space="0" w:color="auto"/>
                            </w:pBdr>
                            <w:jc w:val="center"/>
                            <w:rPr>
                              <w:i w:val="0"/>
                              <w:iCs/>
                              <w:snapToGrid w:val="0"/>
                              <w:color w:val="FFFFFF" w:themeColor="background1"/>
                              <w:sz w:val="20"/>
                              <w:szCs w:val="18"/>
                            </w:rPr>
                          </w:pPr>
                          <w:r w:rsidRPr="005E26D2">
                            <w:rPr>
                              <w:i w:val="0"/>
                              <w:iCs/>
                              <w:color w:val="FFFFFF" w:themeColor="background1"/>
                              <w:sz w:val="22"/>
                              <w:szCs w:val="18"/>
                            </w:rPr>
                            <w:t>Node</w:t>
                          </w:r>
                        </w:p>
                      </w:txbxContent>
                    </v:textbox>
                  </v:rect>
                  <v:shape id="AutoShape 949" o:spid="_x0000_s1160" type="#_x0000_t73" style="position:absolute;left:8872;top:10252;width:360;height:5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" fillcolor="#c41e3a">
                    <v:shadow color="#5f5f5f"/>
                  </v:shape>
                  <v:shape id="AutoShape 950" o:spid="_x0000_s1161" type="#_x0000_t105" style="position:absolute;left:3792;top:7472;width:54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" fillcolor="#c41e3a">
                    <v:shadow color="#5f5f5f"/>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951" o:spid="_x0000_s1162" type="#_x0000_t85" style="position:absolute;left:4704;top:10441;width:1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952" o:spid="_x0000_s1163" type="#_x0000_t86" style="position:absolute;left:8448;top:10441;width:1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"/>
                  <v:shape id="Text Box 953" o:spid="_x0000_s1164" type="#_x0000_t202" style="position:absolute;left:4870;top:11075;width:2865;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" filled="f" fillcolor="#c41e3a" stroked="f">
                    <v:textbox>
                      <w:txbxContent>
                        <w:p w14:paraId="3CD55AFD" w14:textId="77777777" w:rsidR="009B43EC" w:rsidRPr="00F3694B" w:rsidRDefault="009B43EC" w:rsidP="009B43EC">
                          <w:pPr>
                            <w:jc w:val="center"/>
                            <w:rPr>
                              <w:bCs/>
                              <w:iCs/>
                              <w:snapToGrid w:val="0"/>
                              <w:color w:val="000000"/>
                              <w:szCs w:val="24"/>
                            </w:rPr>
                          </w:pPr>
                          <w:r w:rsidRPr="005E26D2">
                            <w:rPr>
                              <w:bCs/>
                              <w:iCs/>
                              <w:szCs w:val="24"/>
                            </w:rPr>
                            <w:t>Line Losses of 2%</w:t>
                          </w:r>
                        </w:p>
                      </w:txbxContent>
                    </v:textbox>
                  </v:shape>
                </v:group>
                <v:rect id="Rectangle 954" o:spid="_x0000_s1165" style="position:absolute;left:1440;top:7380;width:94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" filled="f"/>
                <w10:wrap type="topAndBottom"/>
              </v:group>
            </w:pict>
          </mc:Fallback>
        </mc:AlternateContent>
      </w:r>
      <w:r w:rsidRPr="00970A16">
        <w:rPr>
          <w:noProof/>
          <w:szCs w:val="24"/>
        </w:rPr>
        <mc:AlternateContent>
          <mc:Choice Requires="wps">
            <w:drawing>
              <wp:anchor distT="0" distB="0" distL="114300" distR="114300" simplePos="0" relativeHeight="251658245" behindDoc="0" locked="0" layoutInCell="1" allowOverlap="1" wp14:anchorId="10882003" wp14:editId="5140DDDE">
                <wp:simplePos x="0" y="0"/>
                <wp:positionH relativeFrom="column">
                  <wp:posOffset>0</wp:posOffset>
                </wp:positionH>
                <wp:positionV relativeFrom="paragraph">
                  <wp:posOffset>-635</wp:posOffset>
                </wp:positionV>
                <wp:extent cx="6057900" cy="280670"/>
                <wp:effectExtent l="0" t="0" r="0" b="5080"/>
                <wp:wrapNone/>
                <wp:docPr id="6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3CA1" w14:textId="0C62B485" w:rsidR="009B43EC" w:rsidRDefault="009B43EC" w:rsidP="009B43EC">
                            <w:pPr>
                              <w:pStyle w:val="Caption"/>
                            </w:pPr>
                            <w:r>
                              <w:t>Example 2 – Loss Compensation to Markets+ Node when Meter and</w:t>
                            </w:r>
                            <w:r w:rsidR="00DF5721">
                              <w:t xml:space="preserve"> Node</w:t>
                            </w:r>
                            <w:r>
                              <w:t xml:space="preserve"> at Different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2003" id="Text Box 940" o:spid="_x0000_s1166" type="#_x0000_t202" style="position:absolute;left:0;text-align:left;margin-left:0;margin-top:-.05pt;width:477pt;height:2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" filled="f" stroked="f">
                <v:textbox>
                  <w:txbxContent>
                    <w:p w14:paraId="6F5D3CA1" w14:textId="0C62B485" w:rsidR="009B43EC" w:rsidRDefault="009B43EC" w:rsidP="009B43EC">
                      <w:pPr>
                        <w:pStyle w:val="Caption"/>
                      </w:pPr>
                      <w:r>
                        <w:t>Example 2 – Loss Compensation to Markets+ Node when Meter and</w:t>
                      </w:r>
                      <w:r w:rsidR="00DF5721">
                        <w:t xml:space="preserve"> Node</w:t>
                      </w:r>
                      <w:r>
                        <w:t xml:space="preserve"> at Different Location</w:t>
                      </w:r>
                    </w:p>
                  </w:txbxContent>
                </v:textbox>
              </v:shape>
            </w:pict>
          </mc:Fallback>
        </mc:AlternateContent>
      </w:r>
    </w:p>
    <w:p w14:paraId="4D6D8643" w14:textId="77777777" w:rsidR="009B43EC" w:rsidRPr="00970A16" w:rsidRDefault="009B43EC" w:rsidP="009B43EC">
      <w:pPr>
        <w:spacing w:before="120" w:line="300" w:lineRule="auto"/>
        <w:ind w:left="360"/>
        <w:rPr>
          <w:b/>
          <w:u w:val="single"/>
        </w:rPr>
      </w:pPr>
    </w:p>
    <w:p w14:paraId="7DC487AF" w14:textId="77777777" w:rsidR="009B43EC" w:rsidRPr="00970A16" w:rsidRDefault="009B43EC" w:rsidP="009B43EC">
      <w:pPr>
        <w:keepNext/>
        <w:tabs>
          <w:tab w:val="left" w:pos="1080"/>
        </w:tabs>
        <w:spacing w:before="240" w:after="240"/>
        <w:outlineLvl w:val="3"/>
        <w:rPr>
          <w:b/>
          <w:u w:val="single"/>
        </w:rPr>
      </w:pPr>
      <w:bookmarkStart w:id="9181" w:name="_Toc159233671"/>
      <w:bookmarkStart w:id="9182" w:name="_Toc213772240"/>
      <w:r w:rsidRPr="00970A16">
        <w:rPr>
          <w:b/>
          <w:u w:val="single"/>
        </w:rPr>
        <w:t xml:space="preserve">B.9.2.4 Loss </w:t>
      </w:r>
      <w:r>
        <w:rPr>
          <w:b/>
          <w:u w:val="single"/>
        </w:rPr>
        <w:t>Adjustment</w:t>
      </w:r>
      <w:r w:rsidRPr="00970A16">
        <w:rPr>
          <w:b/>
          <w:u w:val="single"/>
        </w:rPr>
        <w:t xml:space="preserve"> to Node – Example 2 Assumptions:</w:t>
      </w:r>
      <w:bookmarkEnd w:id="9181"/>
      <w:bookmarkEnd w:id="9182"/>
    </w:p>
    <w:p w14:paraId="7796527C" w14:textId="77777777" w:rsidR="009B43EC" w:rsidRPr="00970A16" w:rsidRDefault="009B43EC" w:rsidP="00DA3CE7">
      <w:pPr>
        <w:numPr>
          <w:ilvl w:val="0"/>
          <w:numId w:val="227"/>
        </w:numPr>
        <w:tabs>
          <w:tab w:val="clear" w:pos="360"/>
          <w:tab w:val="num" w:pos="720"/>
        </w:tabs>
        <w:spacing w:line="300" w:lineRule="auto"/>
        <w:ind w:left="720" w:hanging="540"/>
      </w:pPr>
      <w:r w:rsidRPr="00970A16">
        <w:t>Meter is on transmission system @ 69kV</w:t>
      </w:r>
      <w:r>
        <w:t>.</w:t>
      </w:r>
    </w:p>
    <w:p w14:paraId="5CE76072" w14:textId="77777777" w:rsidR="009B43EC" w:rsidRPr="00970A16" w:rsidRDefault="009B43EC" w:rsidP="00DA3CE7">
      <w:pPr>
        <w:numPr>
          <w:ilvl w:val="0"/>
          <w:numId w:val="227"/>
        </w:numPr>
        <w:tabs>
          <w:tab w:val="clear" w:pos="360"/>
          <w:tab w:val="num" w:pos="720"/>
        </w:tabs>
        <w:spacing w:line="300" w:lineRule="auto"/>
        <w:ind w:left="720" w:hanging="540"/>
      </w:pPr>
      <w:r w:rsidRPr="00970A16">
        <w:t xml:space="preserve">The Node is not at the same location as the meter. (i.e. losses on </w:t>
      </w:r>
      <w:r>
        <w:t xml:space="preserve">the </w:t>
      </w:r>
      <w:r w:rsidRPr="00970A16">
        <w:t>line between meter and Node will be applied to provide the correct value at the Node)</w:t>
      </w:r>
      <w:r>
        <w:t>.</w:t>
      </w:r>
    </w:p>
    <w:p w14:paraId="336BE9EE" w14:textId="77777777" w:rsidR="009B43EC" w:rsidRPr="00970A16" w:rsidRDefault="009B43EC" w:rsidP="00DA3CE7">
      <w:pPr>
        <w:numPr>
          <w:ilvl w:val="0"/>
          <w:numId w:val="227"/>
        </w:numPr>
        <w:tabs>
          <w:tab w:val="clear" w:pos="360"/>
          <w:tab w:val="num" w:pos="720"/>
        </w:tabs>
        <w:spacing w:line="300" w:lineRule="auto"/>
        <w:ind w:left="720" w:hanging="540"/>
      </w:pPr>
      <w:r w:rsidRPr="00970A16">
        <w:t>The actual meter reads 20</w:t>
      </w:r>
      <w:r>
        <w:t>,</w:t>
      </w:r>
      <w:r w:rsidRPr="00970A16">
        <w:t>000 kWh.</w:t>
      </w:r>
    </w:p>
    <w:p w14:paraId="4DFA143F" w14:textId="28C6339A" w:rsidR="009B43EC" w:rsidRPr="00970A16" w:rsidRDefault="009B43EC" w:rsidP="00DA3CE7">
      <w:pPr>
        <w:numPr>
          <w:ilvl w:val="0"/>
          <w:numId w:val="227"/>
        </w:numPr>
        <w:tabs>
          <w:tab w:val="clear" w:pos="360"/>
          <w:tab w:val="num" w:pos="720"/>
        </w:tabs>
        <w:spacing w:line="300" w:lineRule="auto"/>
        <w:ind w:left="720" w:hanging="540"/>
      </w:pPr>
      <w:r w:rsidRPr="00970A16">
        <w:t xml:space="preserve">Line losses between meter and </w:t>
      </w:r>
      <w:r w:rsidR="00EC1F18">
        <w:t xml:space="preserve">the Node on the transmission system inside the </w:t>
      </w:r>
      <w:r>
        <w:t xml:space="preserve">Markets+ </w:t>
      </w:r>
      <w:r w:rsidR="00EC1F18">
        <w:t xml:space="preserve">Footprint </w:t>
      </w:r>
      <w:r w:rsidRPr="00970A16">
        <w:t>is 2%</w:t>
      </w:r>
      <w:r>
        <w:t>.</w:t>
      </w:r>
    </w:p>
    <w:p w14:paraId="0DE784FD" w14:textId="77777777" w:rsidR="009B43EC" w:rsidRPr="00970A16" w:rsidRDefault="009B43EC" w:rsidP="00DA3CE7">
      <w:pPr>
        <w:numPr>
          <w:ilvl w:val="0"/>
          <w:numId w:val="227"/>
        </w:numPr>
        <w:tabs>
          <w:tab w:val="clear" w:pos="360"/>
          <w:tab w:val="num" w:pos="720"/>
        </w:tabs>
        <w:spacing w:line="300" w:lineRule="auto"/>
        <w:ind w:left="720" w:hanging="540"/>
      </w:pPr>
      <w:r w:rsidRPr="00970A16">
        <w:t xml:space="preserve">This 69kV line starting at the Node is part of the </w:t>
      </w:r>
      <w:r>
        <w:t>t</w:t>
      </w:r>
      <w:r w:rsidRPr="00970A16">
        <w:t xml:space="preserve">ransmission </w:t>
      </w:r>
      <w:r>
        <w:t>s</w:t>
      </w:r>
      <w:r w:rsidRPr="00970A16">
        <w:t>ystem.</w:t>
      </w:r>
    </w:p>
    <w:p w14:paraId="05E5980F" w14:textId="56B67515" w:rsidR="009B43EC" w:rsidRPr="00970A16" w:rsidRDefault="009B43EC" w:rsidP="009B43EC">
      <w:pPr>
        <w:ind w:left="360" w:hanging="7"/>
        <w:rPr>
          <w:b/>
          <w:szCs w:val="24"/>
        </w:rPr>
      </w:pPr>
      <w:r w:rsidRPr="00970A16">
        <w:rPr>
          <w:b/>
          <w:szCs w:val="24"/>
          <w:u w:val="single"/>
        </w:rPr>
        <w:t xml:space="preserve">Calculating from the Meter to </w:t>
      </w:r>
      <w:r w:rsidR="001335DD">
        <w:rPr>
          <w:b/>
          <w:szCs w:val="24"/>
          <w:u w:val="single"/>
        </w:rPr>
        <w:t>the</w:t>
      </w:r>
      <w:r w:rsidRPr="00970A16">
        <w:rPr>
          <w:b/>
          <w:szCs w:val="24"/>
          <w:u w:val="single"/>
        </w:rPr>
        <w:t xml:space="preserve"> Node value</w:t>
      </w:r>
      <w:r w:rsidR="001335DD">
        <w:rPr>
          <w:b/>
          <w:szCs w:val="24"/>
          <w:u w:val="single"/>
        </w:rPr>
        <w:t xml:space="preserve"> on the transmission system inside the Markets+ Footprint</w:t>
      </w:r>
      <w:r w:rsidRPr="00970A16">
        <w:rPr>
          <w:b/>
          <w:szCs w:val="24"/>
          <w:u w:val="single"/>
        </w:rPr>
        <w:t>:</w:t>
      </w:r>
    </w:p>
    <w:p w14:paraId="54072920" w14:textId="77777777" w:rsidR="009B43EC" w:rsidRPr="00970A16" w:rsidRDefault="009B43EC" w:rsidP="00DA3CE7">
      <w:pPr>
        <w:numPr>
          <w:ilvl w:val="0"/>
          <w:numId w:val="228"/>
        </w:numPr>
        <w:tabs>
          <w:tab w:val="clear" w:pos="360"/>
          <w:tab w:val="num" w:pos="720"/>
        </w:tabs>
        <w:spacing w:line="300" w:lineRule="auto"/>
        <w:ind w:left="720" w:hanging="540"/>
      </w:pPr>
      <w:r w:rsidRPr="00970A16">
        <w:t>The actual meter reads 20</w:t>
      </w:r>
      <w:r>
        <w:t>,</w:t>
      </w:r>
      <w:r w:rsidRPr="00970A16">
        <w:t>000 kWh divided by (1- 2%)</w:t>
      </w:r>
      <w:r>
        <w:t>.</w:t>
      </w:r>
    </w:p>
    <w:p w14:paraId="31C19AE0" w14:textId="77777777" w:rsidR="009B43EC" w:rsidRPr="00970A16" w:rsidRDefault="009B43EC" w:rsidP="00DA3CE7">
      <w:pPr>
        <w:numPr>
          <w:ilvl w:val="0"/>
          <w:numId w:val="228"/>
        </w:numPr>
        <w:tabs>
          <w:tab w:val="clear" w:pos="360"/>
          <w:tab w:val="num" w:pos="720"/>
        </w:tabs>
        <w:spacing w:line="300" w:lineRule="auto"/>
        <w:ind w:left="720" w:hanging="540"/>
      </w:pPr>
      <w:r w:rsidRPr="00970A16">
        <w:t>20</w:t>
      </w:r>
      <w:r>
        <w:t>,</w:t>
      </w:r>
      <w:r w:rsidRPr="00970A16">
        <w:t>000 / (1 – 0.02) or 20</w:t>
      </w:r>
      <w:r>
        <w:t>,</w:t>
      </w:r>
      <w:r w:rsidRPr="00970A16">
        <w:t>000 / 0.9800</w:t>
      </w:r>
      <w:r>
        <w:t>.</w:t>
      </w:r>
    </w:p>
    <w:p w14:paraId="6B5F4C94" w14:textId="675F4B40" w:rsidR="009B43EC" w:rsidRPr="00970A16" w:rsidRDefault="009B43EC" w:rsidP="00DA3CE7">
      <w:pPr>
        <w:numPr>
          <w:ilvl w:val="0"/>
          <w:numId w:val="228"/>
        </w:numPr>
        <w:tabs>
          <w:tab w:val="clear" w:pos="360"/>
          <w:tab w:val="num" w:pos="720"/>
        </w:tabs>
        <w:spacing w:line="300" w:lineRule="auto"/>
        <w:ind w:left="720" w:hanging="540"/>
      </w:pPr>
      <w:r w:rsidRPr="00970A16">
        <w:t>Node value</w:t>
      </w:r>
      <w:r w:rsidR="00EC1F18">
        <w:t xml:space="preserve"> on the transmission system inside the Markets+ Footprint</w:t>
      </w:r>
      <w:r w:rsidRPr="00970A16">
        <w:t xml:space="preserve"> = 20</w:t>
      </w:r>
      <w:r>
        <w:t>,</w:t>
      </w:r>
      <w:r w:rsidRPr="00970A16">
        <w:t>408.163 kWh</w:t>
      </w:r>
      <w:r>
        <w:t>.</w:t>
      </w:r>
    </w:p>
    <w:p w14:paraId="4209B55D" w14:textId="77777777" w:rsidR="009B43EC" w:rsidRPr="00970A16" w:rsidRDefault="009B43EC" w:rsidP="00DA3CE7">
      <w:pPr>
        <w:numPr>
          <w:ilvl w:val="0"/>
          <w:numId w:val="228"/>
        </w:numPr>
        <w:tabs>
          <w:tab w:val="clear" w:pos="360"/>
          <w:tab w:val="num" w:pos="720"/>
        </w:tabs>
        <w:spacing w:line="300" w:lineRule="auto"/>
        <w:ind w:left="720" w:hanging="540"/>
      </w:pPr>
      <w:r w:rsidRPr="00970A16">
        <w:t>All resolution below kWh of 20</w:t>
      </w:r>
      <w:r>
        <w:t>,</w:t>
      </w:r>
      <w:r w:rsidRPr="00970A16">
        <w:t>408 is dropped</w:t>
      </w:r>
      <w:r>
        <w:t>.</w:t>
      </w:r>
    </w:p>
    <w:p w14:paraId="097F8455" w14:textId="77777777" w:rsidR="009B43EC" w:rsidRPr="00970A16" w:rsidRDefault="009B43EC" w:rsidP="009B43EC">
      <w:pPr>
        <w:ind w:left="360"/>
        <w:rPr>
          <w:b/>
          <w:szCs w:val="24"/>
        </w:rPr>
      </w:pPr>
      <w:r w:rsidRPr="00970A16">
        <w:rPr>
          <w:b/>
          <w:szCs w:val="24"/>
          <w:u w:val="single"/>
        </w:rPr>
        <w:t>Calculating Aggregation of Meter Settlement Locations to report Meter Data Submittal Location</w:t>
      </w:r>
    </w:p>
    <w:p w14:paraId="7C0478A8" w14:textId="4DD6CC56" w:rsidR="009B43EC" w:rsidRPr="00970A16" w:rsidRDefault="009B43EC" w:rsidP="00DA3CE7">
      <w:pPr>
        <w:numPr>
          <w:ilvl w:val="0"/>
          <w:numId w:val="229"/>
        </w:numPr>
        <w:tabs>
          <w:tab w:val="clear" w:pos="360"/>
          <w:tab w:val="left" w:pos="720"/>
        </w:tabs>
        <w:spacing w:line="300" w:lineRule="auto"/>
        <w:ind w:left="720" w:hanging="540"/>
      </w:pPr>
      <w:r w:rsidRPr="00970A16">
        <w:t>A Meter Agent may combine two</w:t>
      </w:r>
      <w:r w:rsidR="00EC1F18">
        <w:t xml:space="preserve"> (2)</w:t>
      </w:r>
      <w:r w:rsidRPr="00970A16">
        <w:t xml:space="preserve"> or more Meter Settlement Locations for </w:t>
      </w:r>
      <w:r w:rsidR="00D27E69">
        <w:t>l</w:t>
      </w:r>
      <w:r w:rsidRPr="00970A16">
        <w:t xml:space="preserve">oads within a Settlement Area to report the registered Meter Data Submittal Location. </w:t>
      </w:r>
    </w:p>
    <w:p w14:paraId="5295C5AF" w14:textId="4D7BEE58" w:rsidR="009B43EC" w:rsidRPr="00970A16" w:rsidRDefault="009B43EC" w:rsidP="00DA3CE7">
      <w:pPr>
        <w:numPr>
          <w:ilvl w:val="0"/>
          <w:numId w:val="229"/>
        </w:numPr>
        <w:tabs>
          <w:tab w:val="clear" w:pos="360"/>
          <w:tab w:val="num" w:pos="720"/>
        </w:tabs>
        <w:spacing w:line="300" w:lineRule="auto"/>
        <w:ind w:left="720" w:hanging="540"/>
      </w:pPr>
      <w:r w:rsidRPr="00970A16">
        <w:t>A Meter Agent may combine two</w:t>
      </w:r>
      <w:r w:rsidR="00EC1F18">
        <w:t xml:space="preserve"> (2)</w:t>
      </w:r>
      <w:r w:rsidRPr="00970A16">
        <w:t xml:space="preserve"> or more Meter Settlement Locations to report a Resource Meter Data Submittal Location as long as all the combined Meter Settlement Locations are electrically equivalent.</w:t>
      </w:r>
    </w:p>
    <w:p w14:paraId="56CD9FC4" w14:textId="77777777" w:rsidR="009B43EC" w:rsidRPr="00970A16" w:rsidRDefault="009B43EC" w:rsidP="009B43EC">
      <w:pPr>
        <w:keepNext/>
        <w:tabs>
          <w:tab w:val="left" w:pos="1080"/>
        </w:tabs>
        <w:spacing w:before="240" w:after="240"/>
        <w:outlineLvl w:val="3"/>
        <w:rPr>
          <w:b/>
        </w:rPr>
      </w:pPr>
      <w:bookmarkStart w:id="9183" w:name="_Toc159233672"/>
      <w:bookmarkStart w:id="9184" w:name="_Toc213772241"/>
      <w:bookmarkStart w:id="9185" w:name="_Toc120891437"/>
      <w:bookmarkStart w:id="9186" w:name="_Toc120920522"/>
      <w:bookmarkStart w:id="9187" w:name="_Toc262561102"/>
      <w:bookmarkStart w:id="9188" w:name="_Toc263173992"/>
      <w:bookmarkStart w:id="9189" w:name="_Toc263174437"/>
      <w:bookmarkStart w:id="9190" w:name="_Toc263235342"/>
      <w:bookmarkStart w:id="9191" w:name="_Toc263235986"/>
      <w:bookmarkStart w:id="9192" w:name="_Toc263429789"/>
      <w:bookmarkStart w:id="9193" w:name="_Toc263795844"/>
      <w:bookmarkStart w:id="9194" w:name="_Toc266870014"/>
      <w:bookmarkEnd w:id="9098"/>
      <w:bookmarkEnd w:id="9099"/>
      <w:bookmarkEnd w:id="9100"/>
      <w:r w:rsidRPr="00970A16">
        <w:rPr>
          <w:b/>
        </w:rPr>
        <w:t>B.9.2.5 Transmission and Secondary Line Losses</w:t>
      </w:r>
      <w:bookmarkEnd w:id="9183"/>
      <w:bookmarkEnd w:id="9184"/>
    </w:p>
    <w:p w14:paraId="29771033" w14:textId="77777777" w:rsidR="009B43EC" w:rsidRPr="00970A16" w:rsidRDefault="009B43EC" w:rsidP="009B43EC">
      <w:pPr>
        <w:spacing w:line="276" w:lineRule="auto"/>
      </w:pPr>
      <w:r w:rsidRPr="00970A16">
        <w:t>Transmission and secondary line losses are the result of series resistance, inductance, and shunt capacitance.  The following items are required to calculate these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2070"/>
      </w:tblGrid>
      <w:tr w:rsidR="009B43EC" w:rsidRPr="00970A16" w14:paraId="52AA065C" w14:textId="77777777">
        <w:trPr>
          <w:jc w:val="center"/>
        </w:trPr>
        <w:tc>
          <w:tcPr>
            <w:tcW w:w="4045" w:type="dxa"/>
            <w:vAlign w:val="center"/>
          </w:tcPr>
          <w:p w14:paraId="57B540E1" w14:textId="77777777" w:rsidR="009B43EC" w:rsidRPr="00970A16" w:rsidRDefault="009B43EC">
            <w:pPr>
              <w:keepLines/>
              <w:spacing w:before="60" w:after="60"/>
              <w:rPr>
                <w:b/>
                <w:szCs w:val="24"/>
                <w:lang w:val="en-AU"/>
              </w:rPr>
            </w:pPr>
            <w:r w:rsidRPr="00970A16">
              <w:rPr>
                <w:b/>
                <w:szCs w:val="24"/>
                <w:lang w:val="en-AU"/>
              </w:rPr>
              <w:t>Transmission Line Loss Components</w:t>
            </w:r>
          </w:p>
        </w:tc>
        <w:tc>
          <w:tcPr>
            <w:tcW w:w="2070" w:type="dxa"/>
            <w:vAlign w:val="center"/>
          </w:tcPr>
          <w:p w14:paraId="5F86D519" w14:textId="77777777" w:rsidR="009B43EC" w:rsidRPr="00970A16" w:rsidRDefault="009B43EC">
            <w:pPr>
              <w:keepLines/>
              <w:spacing w:before="60" w:after="60"/>
              <w:rPr>
                <w:b/>
                <w:szCs w:val="24"/>
                <w:lang w:val="en-AU"/>
              </w:rPr>
            </w:pPr>
            <w:r w:rsidRPr="00970A16">
              <w:rPr>
                <w:b/>
                <w:szCs w:val="24"/>
                <w:lang w:val="en-AU"/>
              </w:rPr>
              <w:t>Units</w:t>
            </w:r>
          </w:p>
        </w:tc>
      </w:tr>
      <w:tr w:rsidR="009B43EC" w:rsidRPr="00970A16" w14:paraId="6FBF7EDE" w14:textId="77777777">
        <w:trPr>
          <w:jc w:val="center"/>
        </w:trPr>
        <w:tc>
          <w:tcPr>
            <w:tcW w:w="4045" w:type="dxa"/>
            <w:vAlign w:val="center"/>
          </w:tcPr>
          <w:p w14:paraId="5FC2CEF0" w14:textId="77777777" w:rsidR="009B43EC" w:rsidRPr="00970A16" w:rsidRDefault="009B43EC">
            <w:pPr>
              <w:keepLines/>
              <w:spacing w:before="60" w:after="60"/>
              <w:rPr>
                <w:szCs w:val="24"/>
                <w:lang w:val="en-AU"/>
              </w:rPr>
            </w:pPr>
            <w:r w:rsidRPr="00970A16">
              <w:rPr>
                <w:szCs w:val="24"/>
                <w:lang w:val="en-AU"/>
              </w:rPr>
              <w:t>Series resistance</w:t>
            </w:r>
            <w:r w:rsidRPr="00970A16">
              <w:rPr>
                <w:szCs w:val="24"/>
                <w:lang w:val="en-AU"/>
              </w:rPr>
              <w:tab/>
              <w:t>(r</w:t>
            </w:r>
            <w:r w:rsidRPr="00970A16">
              <w:rPr>
                <w:szCs w:val="24"/>
                <w:vertAlign w:val="subscript"/>
                <w:lang w:val="en-AU"/>
              </w:rPr>
              <w:t>TL</w:t>
            </w:r>
            <w:r w:rsidRPr="00970A16">
              <w:rPr>
                <w:szCs w:val="24"/>
                <w:lang w:val="en-AU"/>
              </w:rPr>
              <w:t>)</w:t>
            </w:r>
          </w:p>
        </w:tc>
        <w:tc>
          <w:tcPr>
            <w:tcW w:w="2070" w:type="dxa"/>
            <w:vAlign w:val="center"/>
          </w:tcPr>
          <w:p w14:paraId="4F89AD05" w14:textId="77777777" w:rsidR="009B43EC" w:rsidRPr="00970A16" w:rsidRDefault="009B43EC">
            <w:pPr>
              <w:keepLines/>
              <w:spacing w:before="60" w:after="60"/>
              <w:rPr>
                <w:szCs w:val="24"/>
                <w:lang w:val="en-AU"/>
              </w:rPr>
            </w:pPr>
            <w:r w:rsidRPr="00970A16">
              <w:rPr>
                <w:szCs w:val="24"/>
                <w:lang w:val="en-AU"/>
              </w:rPr>
              <w:t>Ohms / mile</w:t>
            </w:r>
          </w:p>
        </w:tc>
      </w:tr>
      <w:tr w:rsidR="009B43EC" w:rsidRPr="00970A16" w14:paraId="108FA9CE" w14:textId="77777777">
        <w:trPr>
          <w:jc w:val="center"/>
        </w:trPr>
        <w:tc>
          <w:tcPr>
            <w:tcW w:w="4045" w:type="dxa"/>
            <w:vAlign w:val="center"/>
          </w:tcPr>
          <w:p w14:paraId="2072F3A0" w14:textId="77777777" w:rsidR="009B43EC" w:rsidRPr="00970A16" w:rsidRDefault="009B43EC">
            <w:pPr>
              <w:keepLines/>
              <w:spacing w:before="60" w:after="60"/>
              <w:rPr>
                <w:szCs w:val="24"/>
                <w:lang w:val="en-AU"/>
              </w:rPr>
            </w:pPr>
            <w:r w:rsidRPr="00970A16">
              <w:rPr>
                <w:szCs w:val="24"/>
                <w:lang w:val="en-AU"/>
              </w:rPr>
              <w:t>The effective series reactance</w:t>
            </w:r>
            <w:r w:rsidRPr="00970A16">
              <w:rPr>
                <w:szCs w:val="24"/>
                <w:lang w:val="en-AU"/>
              </w:rPr>
              <w:tab/>
              <w:t>(x</w:t>
            </w:r>
            <w:r w:rsidRPr="00970A16">
              <w:rPr>
                <w:szCs w:val="24"/>
                <w:vertAlign w:val="subscript"/>
                <w:lang w:val="en-AU"/>
              </w:rPr>
              <w:t>TL</w:t>
            </w:r>
            <w:r w:rsidRPr="00970A16">
              <w:rPr>
                <w:szCs w:val="24"/>
                <w:lang w:val="en-AU"/>
              </w:rPr>
              <w:t>)</w:t>
            </w:r>
          </w:p>
        </w:tc>
        <w:tc>
          <w:tcPr>
            <w:tcW w:w="2070" w:type="dxa"/>
            <w:vAlign w:val="center"/>
          </w:tcPr>
          <w:p w14:paraId="74F90708" w14:textId="77777777" w:rsidR="009B43EC" w:rsidRPr="00970A16" w:rsidRDefault="009B43EC">
            <w:pPr>
              <w:keepLines/>
              <w:spacing w:before="60" w:after="60"/>
              <w:rPr>
                <w:szCs w:val="24"/>
                <w:lang w:val="en-AU"/>
              </w:rPr>
            </w:pPr>
            <w:r w:rsidRPr="00970A16">
              <w:rPr>
                <w:szCs w:val="24"/>
                <w:lang w:val="en-AU"/>
              </w:rPr>
              <w:t>Ohms / mile</w:t>
            </w:r>
          </w:p>
        </w:tc>
      </w:tr>
      <w:tr w:rsidR="009B43EC" w:rsidRPr="00970A16" w14:paraId="78CCEB58" w14:textId="77777777">
        <w:trPr>
          <w:jc w:val="center"/>
        </w:trPr>
        <w:tc>
          <w:tcPr>
            <w:tcW w:w="4045" w:type="dxa"/>
            <w:vAlign w:val="center"/>
          </w:tcPr>
          <w:p w14:paraId="72720CE3" w14:textId="77777777" w:rsidR="009B43EC" w:rsidRPr="00970A16" w:rsidRDefault="009B43EC">
            <w:pPr>
              <w:keepLines/>
              <w:spacing w:before="60" w:after="60"/>
              <w:rPr>
                <w:szCs w:val="24"/>
                <w:lang w:val="en-AU"/>
              </w:rPr>
            </w:pPr>
            <w:r w:rsidRPr="00970A16">
              <w:rPr>
                <w:szCs w:val="24"/>
                <w:lang w:val="en-AU"/>
              </w:rPr>
              <w:t>The length of the line</w:t>
            </w:r>
            <w:r w:rsidRPr="00970A16">
              <w:rPr>
                <w:szCs w:val="24"/>
                <w:lang w:val="en-AU"/>
              </w:rPr>
              <w:tab/>
              <w:t>(L</w:t>
            </w:r>
            <w:r w:rsidRPr="00970A16">
              <w:rPr>
                <w:szCs w:val="24"/>
                <w:vertAlign w:val="subscript"/>
                <w:lang w:val="en-AU"/>
              </w:rPr>
              <w:t>TL</w:t>
            </w:r>
            <w:r w:rsidRPr="00970A16">
              <w:rPr>
                <w:szCs w:val="24"/>
                <w:lang w:val="en-AU"/>
              </w:rPr>
              <w:t>)</w:t>
            </w:r>
          </w:p>
        </w:tc>
        <w:tc>
          <w:tcPr>
            <w:tcW w:w="2070" w:type="dxa"/>
            <w:vAlign w:val="center"/>
          </w:tcPr>
          <w:p w14:paraId="1C65647E" w14:textId="77777777" w:rsidR="009B43EC" w:rsidRPr="00970A16" w:rsidRDefault="009B43EC">
            <w:pPr>
              <w:keepLines/>
              <w:spacing w:before="60" w:after="60"/>
              <w:rPr>
                <w:szCs w:val="24"/>
                <w:lang w:val="en-AU"/>
              </w:rPr>
            </w:pPr>
            <w:r w:rsidRPr="00970A16">
              <w:rPr>
                <w:szCs w:val="24"/>
                <w:lang w:val="en-AU"/>
              </w:rPr>
              <w:t>mile</w:t>
            </w:r>
          </w:p>
        </w:tc>
      </w:tr>
    </w:tbl>
    <w:p w14:paraId="686D8A4C" w14:textId="77777777" w:rsidR="009B43EC" w:rsidRPr="00970A16" w:rsidRDefault="009B43EC" w:rsidP="009B43E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2080"/>
      </w:tblGrid>
      <w:tr w:rsidR="009B43EC" w:rsidRPr="00970A16" w14:paraId="0F9BDE10" w14:textId="77777777">
        <w:trPr>
          <w:jc w:val="center"/>
        </w:trPr>
        <w:tc>
          <w:tcPr>
            <w:tcW w:w="4045" w:type="dxa"/>
            <w:vAlign w:val="center"/>
          </w:tcPr>
          <w:p w14:paraId="4D5F8536" w14:textId="77777777" w:rsidR="009B43EC" w:rsidRPr="00970A16" w:rsidRDefault="009B43EC">
            <w:pPr>
              <w:keepLines/>
              <w:spacing w:before="60" w:after="60"/>
              <w:rPr>
                <w:b/>
                <w:szCs w:val="24"/>
                <w:lang w:val="en-AU"/>
              </w:rPr>
            </w:pPr>
            <w:r w:rsidRPr="00970A16">
              <w:rPr>
                <w:b/>
                <w:szCs w:val="24"/>
                <w:lang w:val="en-AU"/>
              </w:rPr>
              <w:t>Secondary Line Loss Components</w:t>
            </w:r>
          </w:p>
        </w:tc>
        <w:tc>
          <w:tcPr>
            <w:tcW w:w="2080" w:type="dxa"/>
            <w:vAlign w:val="center"/>
          </w:tcPr>
          <w:p w14:paraId="64864F44" w14:textId="77777777" w:rsidR="009B43EC" w:rsidRPr="00970A16" w:rsidRDefault="009B43EC">
            <w:pPr>
              <w:keepLines/>
              <w:spacing w:before="60" w:after="60"/>
              <w:rPr>
                <w:b/>
                <w:szCs w:val="24"/>
                <w:lang w:val="en-AU"/>
              </w:rPr>
            </w:pPr>
            <w:r w:rsidRPr="00970A16">
              <w:rPr>
                <w:b/>
                <w:szCs w:val="24"/>
                <w:lang w:val="en-AU"/>
              </w:rPr>
              <w:t>Units</w:t>
            </w:r>
          </w:p>
        </w:tc>
      </w:tr>
      <w:tr w:rsidR="009B43EC" w:rsidRPr="00970A16" w14:paraId="253D7F51" w14:textId="77777777">
        <w:trPr>
          <w:jc w:val="center"/>
        </w:trPr>
        <w:tc>
          <w:tcPr>
            <w:tcW w:w="4045" w:type="dxa"/>
            <w:vAlign w:val="center"/>
          </w:tcPr>
          <w:p w14:paraId="69A2D70A" w14:textId="77777777" w:rsidR="009B43EC" w:rsidRPr="00970A16" w:rsidRDefault="009B43EC">
            <w:pPr>
              <w:keepLines/>
              <w:spacing w:before="60" w:after="60"/>
              <w:rPr>
                <w:szCs w:val="24"/>
                <w:lang w:val="en-AU"/>
              </w:rPr>
            </w:pPr>
            <w:r w:rsidRPr="00970A16">
              <w:rPr>
                <w:szCs w:val="24"/>
                <w:lang w:val="en-AU"/>
              </w:rPr>
              <w:t>Series resistance</w:t>
            </w:r>
            <w:r w:rsidRPr="00970A16">
              <w:rPr>
                <w:szCs w:val="24"/>
                <w:lang w:val="en-AU"/>
              </w:rPr>
              <w:tab/>
              <w:t>(r</w:t>
            </w:r>
            <w:r w:rsidRPr="00970A16">
              <w:rPr>
                <w:szCs w:val="24"/>
                <w:vertAlign w:val="subscript"/>
                <w:lang w:val="en-AU"/>
              </w:rPr>
              <w:t>SL</w:t>
            </w:r>
            <w:r w:rsidRPr="00970A16">
              <w:rPr>
                <w:szCs w:val="24"/>
                <w:lang w:val="en-AU"/>
              </w:rPr>
              <w:t>)</w:t>
            </w:r>
          </w:p>
        </w:tc>
        <w:tc>
          <w:tcPr>
            <w:tcW w:w="2080" w:type="dxa"/>
            <w:vAlign w:val="center"/>
          </w:tcPr>
          <w:p w14:paraId="2720828F" w14:textId="77777777" w:rsidR="009B43EC" w:rsidRPr="00970A16" w:rsidRDefault="009B43EC">
            <w:pPr>
              <w:keepLines/>
              <w:spacing w:before="60" w:after="60"/>
              <w:rPr>
                <w:szCs w:val="24"/>
                <w:lang w:val="en-AU"/>
              </w:rPr>
            </w:pPr>
            <w:r w:rsidRPr="00970A16">
              <w:rPr>
                <w:szCs w:val="24"/>
                <w:lang w:val="en-AU"/>
              </w:rPr>
              <w:t>Ohms / mile</w:t>
            </w:r>
          </w:p>
        </w:tc>
      </w:tr>
      <w:tr w:rsidR="009B43EC" w:rsidRPr="00970A16" w14:paraId="226E3DDB" w14:textId="77777777">
        <w:trPr>
          <w:jc w:val="center"/>
        </w:trPr>
        <w:tc>
          <w:tcPr>
            <w:tcW w:w="4045" w:type="dxa"/>
            <w:vAlign w:val="center"/>
          </w:tcPr>
          <w:p w14:paraId="434A1853" w14:textId="77777777" w:rsidR="009B43EC" w:rsidRPr="00970A16" w:rsidRDefault="009B43EC">
            <w:pPr>
              <w:keepLines/>
              <w:spacing w:before="60" w:after="60"/>
              <w:rPr>
                <w:szCs w:val="24"/>
                <w:lang w:val="en-AU"/>
              </w:rPr>
            </w:pPr>
            <w:r w:rsidRPr="00970A16">
              <w:rPr>
                <w:szCs w:val="24"/>
                <w:lang w:val="en-AU"/>
              </w:rPr>
              <w:t>The effective series reactance</w:t>
            </w:r>
            <w:r w:rsidRPr="00970A16">
              <w:rPr>
                <w:szCs w:val="24"/>
                <w:lang w:val="en-AU"/>
              </w:rPr>
              <w:tab/>
              <w:t>(x</w:t>
            </w:r>
            <w:r w:rsidRPr="00970A16">
              <w:rPr>
                <w:szCs w:val="24"/>
                <w:vertAlign w:val="subscript"/>
                <w:lang w:val="en-AU"/>
              </w:rPr>
              <w:t>SL</w:t>
            </w:r>
            <w:r w:rsidRPr="00970A16">
              <w:rPr>
                <w:szCs w:val="24"/>
                <w:lang w:val="en-AU"/>
              </w:rPr>
              <w:t>)</w:t>
            </w:r>
          </w:p>
        </w:tc>
        <w:tc>
          <w:tcPr>
            <w:tcW w:w="2080" w:type="dxa"/>
            <w:vAlign w:val="center"/>
          </w:tcPr>
          <w:p w14:paraId="0C93F016" w14:textId="77777777" w:rsidR="009B43EC" w:rsidRPr="00970A16" w:rsidRDefault="009B43EC">
            <w:pPr>
              <w:keepLines/>
              <w:spacing w:before="60" w:after="60"/>
              <w:rPr>
                <w:szCs w:val="24"/>
                <w:lang w:val="en-AU"/>
              </w:rPr>
            </w:pPr>
            <w:r w:rsidRPr="00970A16">
              <w:rPr>
                <w:szCs w:val="24"/>
                <w:lang w:val="en-AU"/>
              </w:rPr>
              <w:t>Ohms / mile</w:t>
            </w:r>
          </w:p>
        </w:tc>
      </w:tr>
      <w:tr w:rsidR="009B43EC" w:rsidRPr="00970A16" w14:paraId="508E0FF3" w14:textId="77777777">
        <w:trPr>
          <w:jc w:val="center"/>
        </w:trPr>
        <w:tc>
          <w:tcPr>
            <w:tcW w:w="4045" w:type="dxa"/>
            <w:vAlign w:val="center"/>
          </w:tcPr>
          <w:p w14:paraId="7A47C76F" w14:textId="77777777" w:rsidR="009B43EC" w:rsidRPr="00970A16" w:rsidRDefault="009B43EC">
            <w:pPr>
              <w:keepLines/>
              <w:spacing w:before="60" w:after="60"/>
              <w:rPr>
                <w:szCs w:val="24"/>
                <w:lang w:val="en-AU"/>
              </w:rPr>
            </w:pPr>
            <w:r w:rsidRPr="00970A16">
              <w:rPr>
                <w:szCs w:val="24"/>
                <w:lang w:val="en-AU"/>
              </w:rPr>
              <w:t>The length of the line</w:t>
            </w:r>
            <w:r w:rsidRPr="00970A16">
              <w:rPr>
                <w:szCs w:val="24"/>
                <w:lang w:val="en-AU"/>
              </w:rPr>
              <w:tab/>
              <w:t>(L</w:t>
            </w:r>
            <w:r w:rsidRPr="00970A16">
              <w:rPr>
                <w:szCs w:val="24"/>
                <w:vertAlign w:val="subscript"/>
                <w:lang w:val="en-AU"/>
              </w:rPr>
              <w:t>SL</w:t>
            </w:r>
            <w:r w:rsidRPr="00970A16">
              <w:rPr>
                <w:szCs w:val="24"/>
                <w:lang w:val="en-AU"/>
              </w:rPr>
              <w:t>)</w:t>
            </w:r>
          </w:p>
        </w:tc>
        <w:tc>
          <w:tcPr>
            <w:tcW w:w="2080" w:type="dxa"/>
            <w:vAlign w:val="center"/>
          </w:tcPr>
          <w:p w14:paraId="2EBAD51A" w14:textId="77777777" w:rsidR="009B43EC" w:rsidRPr="00970A16" w:rsidRDefault="009B43EC">
            <w:pPr>
              <w:keepLines/>
              <w:spacing w:before="60" w:after="60"/>
              <w:rPr>
                <w:szCs w:val="24"/>
                <w:lang w:val="en-AU"/>
              </w:rPr>
            </w:pPr>
            <w:r w:rsidRPr="00970A16">
              <w:rPr>
                <w:szCs w:val="24"/>
                <w:lang w:val="en-AU"/>
              </w:rPr>
              <w:t>mile</w:t>
            </w:r>
          </w:p>
        </w:tc>
      </w:tr>
    </w:tbl>
    <w:p w14:paraId="7506BE62" w14:textId="77777777" w:rsidR="009B43EC" w:rsidRPr="00970A16" w:rsidRDefault="009B43EC" w:rsidP="009B43EC"/>
    <w:p w14:paraId="1EC29F07" w14:textId="77777777" w:rsidR="009B43EC" w:rsidRPr="00970A16" w:rsidRDefault="009B43EC" w:rsidP="009B43EC">
      <w:pPr>
        <w:keepNext/>
        <w:spacing w:after="240"/>
        <w:outlineLvl w:val="2"/>
        <w:rPr>
          <w:b/>
          <w:sz w:val="26"/>
        </w:rPr>
      </w:pPr>
      <w:bookmarkStart w:id="9195" w:name="_Toc159233673"/>
      <w:bookmarkStart w:id="9196" w:name="_Toc213772242"/>
      <w:r w:rsidRPr="00970A16">
        <w:rPr>
          <w:b/>
          <w:sz w:val="26"/>
        </w:rPr>
        <w:t>B.9.3</w:t>
      </w:r>
      <w:r w:rsidRPr="00970A16">
        <w:rPr>
          <w:b/>
          <w:sz w:val="26"/>
        </w:rPr>
        <w:tab/>
        <w:t xml:space="preserve">     Meter Data Exchange and Submission</w:t>
      </w:r>
      <w:bookmarkEnd w:id="9185"/>
      <w:bookmarkEnd w:id="9186"/>
      <w:bookmarkEnd w:id="9187"/>
      <w:bookmarkEnd w:id="9188"/>
      <w:bookmarkEnd w:id="9189"/>
      <w:bookmarkEnd w:id="9190"/>
      <w:bookmarkEnd w:id="9191"/>
      <w:bookmarkEnd w:id="9192"/>
      <w:bookmarkEnd w:id="9193"/>
      <w:bookmarkEnd w:id="9194"/>
      <w:bookmarkEnd w:id="9195"/>
      <w:bookmarkEnd w:id="9196"/>
    </w:p>
    <w:p w14:paraId="2B5B98E6" w14:textId="77777777" w:rsidR="009B43EC" w:rsidRPr="00970A16" w:rsidRDefault="009B43EC" w:rsidP="009B43EC">
      <w:pPr>
        <w:spacing w:line="300" w:lineRule="auto"/>
        <w:rPr>
          <w:color w:val="000000"/>
        </w:rPr>
      </w:pPr>
      <w:r w:rsidRPr="00970A16">
        <w:t xml:space="preserve">Meter Data </w:t>
      </w:r>
      <w:r>
        <w:t>must</w:t>
      </w:r>
      <w:r w:rsidRPr="00970A16">
        <w:t xml:space="preserve"> be entered, modified</w:t>
      </w:r>
      <w:r>
        <w:t>,</w:t>
      </w:r>
      <w:r w:rsidRPr="00970A16">
        <w:t xml:space="preserve"> and retrieved solely via the XML specification for submission of interval Settlement Data.</w:t>
      </w:r>
    </w:p>
    <w:p w14:paraId="740582B9" w14:textId="77777777" w:rsidR="009B43EC" w:rsidRPr="00970A16" w:rsidRDefault="009B43EC" w:rsidP="009B43EC">
      <w:pPr>
        <w:spacing w:line="300" w:lineRule="auto"/>
      </w:pPr>
      <w:r w:rsidRPr="00970A16">
        <w:t xml:space="preserve">Meter Data </w:t>
      </w:r>
      <w:r>
        <w:t>will</w:t>
      </w:r>
      <w:r w:rsidRPr="00970A16">
        <w:t xml:space="preserve"> be available via the Portal and include the files uploaded from the Meter Agent.  There will also be the capability of reviewing any rejected values with the specific errors associated with the attempt to process the rejected values.  Values successfully processed </w:t>
      </w:r>
      <w:r>
        <w:t>will</w:t>
      </w:r>
      <w:r w:rsidRPr="00970A16">
        <w:t xml:space="preserve"> also be available via the Portal for that Market Participant.</w:t>
      </w:r>
    </w:p>
    <w:p w14:paraId="1274E4E0" w14:textId="77777777" w:rsidR="009B43EC" w:rsidRPr="00970A16" w:rsidRDefault="009B43EC" w:rsidP="009B43EC">
      <w:pPr>
        <w:spacing w:line="300" w:lineRule="auto"/>
      </w:pPr>
      <w:r w:rsidRPr="00970A16">
        <w:t xml:space="preserve">Other parties may have access to </w:t>
      </w:r>
      <w:r>
        <w:t>Meter</w:t>
      </w:r>
      <w:r w:rsidRPr="00970A16">
        <w:t xml:space="preserve"> </w:t>
      </w:r>
      <w:r>
        <w:t>D</w:t>
      </w:r>
      <w:r w:rsidRPr="00970A16">
        <w:t xml:space="preserve">ata, as allowed by </w:t>
      </w:r>
      <w:r>
        <w:t>the Market Operator</w:t>
      </w:r>
      <w:r w:rsidRPr="00970A16">
        <w:t>.</w:t>
      </w:r>
    </w:p>
    <w:p w14:paraId="297D2DFB" w14:textId="77777777" w:rsidR="009B43EC" w:rsidRPr="00970A16" w:rsidRDefault="009B43EC" w:rsidP="009B43EC">
      <w:pPr>
        <w:keepNext/>
        <w:spacing w:before="240" w:after="240"/>
        <w:outlineLvl w:val="3"/>
        <w:rPr>
          <w:b/>
        </w:rPr>
      </w:pPr>
      <w:bookmarkStart w:id="9197" w:name="_Toc120920525"/>
      <w:bookmarkStart w:id="9198" w:name="_Toc262561105"/>
      <w:bookmarkStart w:id="9199" w:name="_Toc263173576"/>
      <w:bookmarkStart w:id="9200" w:name="_Toc263173765"/>
      <w:bookmarkStart w:id="9201" w:name="_Toc263173995"/>
      <w:bookmarkStart w:id="9202" w:name="_Toc263174440"/>
      <w:bookmarkStart w:id="9203" w:name="_Toc263235345"/>
      <w:bookmarkStart w:id="9204" w:name="_Toc263235989"/>
      <w:bookmarkStart w:id="9205" w:name="_Toc263429792"/>
      <w:bookmarkStart w:id="9206" w:name="_Toc263795847"/>
      <w:bookmarkStart w:id="9207" w:name="_Toc266870016"/>
      <w:bookmarkStart w:id="9208" w:name="_Toc159233674"/>
      <w:bookmarkStart w:id="9209" w:name="_Toc213772243"/>
      <w:r w:rsidRPr="00970A16">
        <w:rPr>
          <w:b/>
        </w:rPr>
        <w:t>B.9.3.1</w:t>
      </w:r>
      <w:r w:rsidRPr="00970A16">
        <w:rPr>
          <w:b/>
        </w:rPr>
        <w:tab/>
        <w:t xml:space="preserve">      Alternate Settlement Meter Data</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p>
    <w:p w14:paraId="4259D066" w14:textId="5A17A235" w:rsidR="009B43EC" w:rsidRPr="00970A16" w:rsidRDefault="009B43EC" w:rsidP="009B43EC">
      <w:pPr>
        <w:spacing w:line="300" w:lineRule="auto"/>
      </w:pPr>
      <w:r w:rsidRPr="00970A16">
        <w:rPr>
          <w:szCs w:val="24"/>
        </w:rPr>
        <w:t xml:space="preserve">Under circumstances where one or more Meter Agents fails to submit Meter Data in accordance with the timelines set forth for Settlement Statements, </w:t>
      </w:r>
      <w:r>
        <w:rPr>
          <w:szCs w:val="24"/>
        </w:rPr>
        <w:t>the Market Operator</w:t>
      </w:r>
      <w:r w:rsidRPr="00970A16">
        <w:rPr>
          <w:szCs w:val="24"/>
        </w:rPr>
        <w:t xml:space="preserve"> </w:t>
      </w:r>
      <w:r>
        <w:rPr>
          <w:szCs w:val="24"/>
        </w:rPr>
        <w:t>will</w:t>
      </w:r>
      <w:r w:rsidRPr="00970A16">
        <w:rPr>
          <w:szCs w:val="24"/>
        </w:rPr>
        <w:t xml:space="preserve"> substitute missing Meter Data with the State Estimator data for that </w:t>
      </w:r>
      <w:r>
        <w:rPr>
          <w:szCs w:val="24"/>
        </w:rPr>
        <w:t>Meter Data Submittal</w:t>
      </w:r>
      <w:r w:rsidRPr="00970A16">
        <w:rPr>
          <w:szCs w:val="24"/>
        </w:rPr>
        <w:t xml:space="preserve"> Location until Meter Data is provided.  </w:t>
      </w:r>
      <w:r>
        <w:rPr>
          <w:szCs w:val="24"/>
        </w:rPr>
        <w:t>The Market Operator</w:t>
      </w:r>
      <w:r w:rsidRPr="00970A16">
        <w:rPr>
          <w:szCs w:val="24"/>
        </w:rPr>
        <w:t xml:space="preserve"> </w:t>
      </w:r>
      <w:r>
        <w:rPr>
          <w:szCs w:val="24"/>
        </w:rPr>
        <w:t>will</w:t>
      </w:r>
      <w:r w:rsidRPr="00970A16">
        <w:rPr>
          <w:szCs w:val="24"/>
        </w:rPr>
        <w:t xml:space="preserve"> notify all MPs and Meter Agents when a Meter Agent fails to submit Meter Data.  Refer to </w:t>
      </w:r>
      <w:r w:rsidR="00161A0C">
        <w:rPr>
          <w:szCs w:val="24"/>
        </w:rPr>
        <w:t xml:space="preserve">the Markets+ Settlements </w:t>
      </w:r>
      <w:r w:rsidR="00BA0C4B">
        <w:rPr>
          <w:szCs w:val="24"/>
        </w:rPr>
        <w:t>Calculation</w:t>
      </w:r>
      <w:r w:rsidR="00161A0C">
        <w:rPr>
          <w:szCs w:val="24"/>
        </w:rPr>
        <w:t xml:space="preserve"> Guide</w:t>
      </w:r>
      <w:r w:rsidRPr="00970A16">
        <w:rPr>
          <w:szCs w:val="24"/>
        </w:rPr>
        <w:t xml:space="preserve"> for treatment of substitution data for calibration purposes.</w:t>
      </w:r>
    </w:p>
    <w:p w14:paraId="0A9CA735" w14:textId="3ED58C2E" w:rsidR="009B43EC" w:rsidRPr="00970A16" w:rsidRDefault="009B43EC" w:rsidP="009B43EC">
      <w:pPr>
        <w:keepNext/>
        <w:spacing w:after="240"/>
        <w:outlineLvl w:val="1"/>
        <w:rPr>
          <w:b/>
          <w:sz w:val="30"/>
        </w:rPr>
      </w:pPr>
      <w:bookmarkStart w:id="9210" w:name="_Toc262561113"/>
      <w:bookmarkStart w:id="9211" w:name="_Toc263173582"/>
      <w:bookmarkStart w:id="9212" w:name="_Toc263173771"/>
      <w:bookmarkStart w:id="9213" w:name="_Toc263174003"/>
      <w:bookmarkStart w:id="9214" w:name="_Toc263174448"/>
      <w:bookmarkStart w:id="9215" w:name="_Toc263235353"/>
      <w:bookmarkStart w:id="9216" w:name="_Toc263235997"/>
      <w:bookmarkStart w:id="9217" w:name="_Toc263429800"/>
      <w:bookmarkStart w:id="9218" w:name="_Toc263795855"/>
      <w:bookmarkStart w:id="9219" w:name="_Toc266870024"/>
      <w:bookmarkStart w:id="9220" w:name="_Toc159233675"/>
      <w:bookmarkStart w:id="9221" w:name="_Toc213772244"/>
      <w:bookmarkStart w:id="9222" w:name="_Toc120920526"/>
      <w:r w:rsidRPr="00970A16">
        <w:rPr>
          <w:b/>
          <w:sz w:val="30"/>
        </w:rPr>
        <w:t>B.10</w:t>
      </w:r>
      <w:r w:rsidRPr="00970A16">
        <w:rPr>
          <w:b/>
          <w:sz w:val="30"/>
        </w:rPr>
        <w:tab/>
        <w:t xml:space="preserve">   Verification Meter S</w:t>
      </w:r>
      <w:r w:rsidR="009B4A92">
        <w:rPr>
          <w:b/>
          <w:sz w:val="30"/>
        </w:rPr>
        <w:t xml:space="preserve">ettlement </w:t>
      </w:r>
      <w:r w:rsidRPr="00970A16">
        <w:rPr>
          <w:b/>
          <w:sz w:val="30"/>
        </w:rPr>
        <w:t>L</w:t>
      </w:r>
      <w:r w:rsidR="009B4A92">
        <w:rPr>
          <w:b/>
          <w:sz w:val="30"/>
        </w:rPr>
        <w:t>ocation</w:t>
      </w:r>
      <w:r w:rsidRPr="00970A16">
        <w:rPr>
          <w:b/>
          <w:sz w:val="30"/>
        </w:rPr>
        <w:t xml:space="preserve"> Values</w:t>
      </w:r>
      <w:bookmarkEnd w:id="9210"/>
      <w:bookmarkEnd w:id="9211"/>
      <w:bookmarkEnd w:id="9212"/>
      <w:bookmarkEnd w:id="9213"/>
      <w:bookmarkEnd w:id="9214"/>
      <w:bookmarkEnd w:id="9215"/>
      <w:bookmarkEnd w:id="9216"/>
      <w:bookmarkEnd w:id="9217"/>
      <w:bookmarkEnd w:id="9218"/>
      <w:bookmarkEnd w:id="9219"/>
      <w:bookmarkEnd w:id="9220"/>
      <w:bookmarkEnd w:id="9221"/>
    </w:p>
    <w:p w14:paraId="36C7610A" w14:textId="77777777" w:rsidR="009B43EC" w:rsidRPr="00970A16" w:rsidRDefault="009B43EC" w:rsidP="009B43EC">
      <w:pPr>
        <w:tabs>
          <w:tab w:val="left" w:pos="990"/>
        </w:tabs>
        <w:spacing w:line="300" w:lineRule="auto"/>
      </w:pPr>
      <w:r w:rsidRPr="00970A16">
        <w:t xml:space="preserve">Verification of Meter Data used as a component of Settlement Location value calculations </w:t>
      </w:r>
      <w:r>
        <w:t>will</w:t>
      </w:r>
      <w:r w:rsidRPr="00970A16">
        <w:t xml:space="preserve"> be performed.  Verification of Meter Data </w:t>
      </w:r>
      <w:r>
        <w:t>must</w:t>
      </w:r>
      <w:r w:rsidRPr="00970A16">
        <w:t xml:space="preserve"> be performed by the party responsible for the operations of that meter.  The Market Participant is responsible for the data verification process for all meters that are used in calculation of Settlement Location values.  Methods of verification </w:t>
      </w:r>
      <w:r>
        <w:t>must</w:t>
      </w:r>
      <w:r w:rsidRPr="00970A16">
        <w:t xml:space="preserve"> be based on the type of data and communication technology used.</w:t>
      </w:r>
    </w:p>
    <w:p w14:paraId="19E28CBC" w14:textId="77777777" w:rsidR="009B43EC" w:rsidRPr="00970A16" w:rsidRDefault="009B43EC" w:rsidP="009B43EC">
      <w:pPr>
        <w:keepNext/>
        <w:spacing w:after="240"/>
        <w:outlineLvl w:val="1"/>
        <w:rPr>
          <w:b/>
          <w:sz w:val="30"/>
        </w:rPr>
      </w:pPr>
      <w:bookmarkStart w:id="9223" w:name="_Toc213772245"/>
      <w:bookmarkStart w:id="9224" w:name="_Toc262561126"/>
      <w:bookmarkStart w:id="9225" w:name="_Toc263173596"/>
      <w:bookmarkStart w:id="9226" w:name="_Toc263173781"/>
      <w:bookmarkStart w:id="9227" w:name="_Toc263174016"/>
      <w:bookmarkStart w:id="9228" w:name="_Toc263174463"/>
      <w:bookmarkStart w:id="9229" w:name="_Toc263235368"/>
      <w:bookmarkStart w:id="9230" w:name="_Toc263236012"/>
      <w:bookmarkStart w:id="9231" w:name="_Toc263429815"/>
      <w:bookmarkStart w:id="9232" w:name="_Toc263795872"/>
      <w:bookmarkStart w:id="9233" w:name="_Toc266870039"/>
      <w:bookmarkStart w:id="9234" w:name="_Toc159233676"/>
      <w:r w:rsidRPr="00970A16">
        <w:rPr>
          <w:b/>
          <w:sz w:val="30"/>
        </w:rPr>
        <w:t>B.11</w:t>
      </w:r>
      <w:r w:rsidRPr="00970A16">
        <w:rPr>
          <w:b/>
          <w:sz w:val="30"/>
        </w:rPr>
        <w:tab/>
        <w:t xml:space="preserve">   Real-Time Data Reporting to </w:t>
      </w:r>
      <w:r>
        <w:rPr>
          <w:b/>
          <w:sz w:val="30"/>
        </w:rPr>
        <w:t>Market Operator</w:t>
      </w:r>
      <w:bookmarkEnd w:id="9223"/>
      <w:r w:rsidRPr="00970A16">
        <w:rPr>
          <w:b/>
          <w:sz w:val="30"/>
        </w:rPr>
        <w:t xml:space="preserve"> </w:t>
      </w:r>
      <w:bookmarkEnd w:id="9222"/>
      <w:bookmarkEnd w:id="9224"/>
      <w:bookmarkEnd w:id="9225"/>
      <w:bookmarkEnd w:id="9226"/>
      <w:bookmarkEnd w:id="9227"/>
      <w:bookmarkEnd w:id="9228"/>
      <w:bookmarkEnd w:id="9229"/>
      <w:bookmarkEnd w:id="9230"/>
      <w:bookmarkEnd w:id="9231"/>
      <w:bookmarkEnd w:id="9232"/>
      <w:bookmarkEnd w:id="9233"/>
      <w:bookmarkEnd w:id="9234"/>
    </w:p>
    <w:p w14:paraId="233DC271" w14:textId="0B8159AF" w:rsidR="009B43EC" w:rsidRPr="00970A16" w:rsidRDefault="009B43EC" w:rsidP="009B43EC">
      <w:pPr>
        <w:spacing w:line="300" w:lineRule="auto"/>
      </w:pPr>
      <w:r>
        <w:t>All</w:t>
      </w:r>
      <w:r w:rsidRPr="00970A16">
        <w:t xml:space="preserve"> Resources, other than </w:t>
      </w:r>
      <w:r w:rsidR="00D45A27">
        <w:t xml:space="preserve">Dispatchable </w:t>
      </w:r>
      <w:r w:rsidRPr="00970A16">
        <w:t xml:space="preserve">Demand Response Resources, </w:t>
      </w:r>
      <w:r>
        <w:t>must</w:t>
      </w:r>
      <w:r w:rsidRPr="00970A16">
        <w:t xml:space="preserve"> submit the following data via ICCP to </w:t>
      </w:r>
      <w:r>
        <w:t>the Market Operator</w:t>
      </w:r>
      <w:r w:rsidRPr="00970A16">
        <w:t xml:space="preserve">.  </w:t>
      </w:r>
    </w:p>
    <w:p w14:paraId="13594118" w14:textId="77777777" w:rsidR="009B43EC" w:rsidRPr="00970A16" w:rsidRDefault="009B43EC" w:rsidP="00DA3CE7">
      <w:pPr>
        <w:numPr>
          <w:ilvl w:val="0"/>
          <w:numId w:val="230"/>
        </w:numPr>
        <w:spacing w:line="300" w:lineRule="auto"/>
        <w:ind w:hanging="540"/>
      </w:pPr>
      <w:r w:rsidRPr="00970A16">
        <w:t>Unit power output (MW);</w:t>
      </w:r>
    </w:p>
    <w:p w14:paraId="6222F99A" w14:textId="77777777" w:rsidR="009B43EC" w:rsidRPr="00970A16" w:rsidRDefault="009B43EC" w:rsidP="00DA3CE7">
      <w:pPr>
        <w:numPr>
          <w:ilvl w:val="0"/>
          <w:numId w:val="230"/>
        </w:numPr>
        <w:spacing w:line="300" w:lineRule="auto"/>
        <w:ind w:hanging="540"/>
      </w:pPr>
      <w:r w:rsidRPr="00970A16">
        <w:t>Unit MVar output;</w:t>
      </w:r>
    </w:p>
    <w:p w14:paraId="72CE7883" w14:textId="2A2530A9" w:rsidR="009B43EC" w:rsidRPr="00970A16" w:rsidRDefault="009B43EC" w:rsidP="00DA3CE7">
      <w:pPr>
        <w:numPr>
          <w:ilvl w:val="0"/>
          <w:numId w:val="230"/>
        </w:numPr>
        <w:spacing w:line="300" w:lineRule="auto"/>
        <w:ind w:hanging="540"/>
      </w:pPr>
      <w:r w:rsidRPr="00970A16">
        <w:t>Current on/off line status;</w:t>
      </w:r>
      <w:r w:rsidR="0011639E">
        <w:t xml:space="preserve"> and</w:t>
      </w:r>
    </w:p>
    <w:p w14:paraId="75F2252F" w14:textId="77777777" w:rsidR="009B43EC" w:rsidRPr="00970A16" w:rsidRDefault="009B43EC" w:rsidP="00DA3CE7">
      <w:pPr>
        <w:numPr>
          <w:ilvl w:val="0"/>
          <w:numId w:val="230"/>
        </w:numPr>
        <w:spacing w:line="300" w:lineRule="auto"/>
        <w:ind w:hanging="540"/>
        <w:rPr>
          <w:szCs w:val="24"/>
        </w:rPr>
      </w:pPr>
      <w:r w:rsidRPr="00970A16">
        <w:t>Current AGC status (on/off).</w:t>
      </w:r>
    </w:p>
    <w:p w14:paraId="658975FB" w14:textId="77777777" w:rsidR="009B43EC" w:rsidRPr="00970A16" w:rsidRDefault="009B43EC" w:rsidP="009B43EC">
      <w:pPr>
        <w:spacing w:before="120" w:line="300" w:lineRule="auto"/>
      </w:pPr>
      <w:r w:rsidRPr="00970A16">
        <w:t xml:space="preserve">Additionally, MCRs that have registered under the option described under Section </w:t>
      </w:r>
      <w:r w:rsidRPr="00B07BBD">
        <w:t>9.1.6.1</w:t>
      </w:r>
      <w:r w:rsidRPr="00970A16">
        <w:t xml:space="preserve"> are required to submit the following information via ICCP to </w:t>
      </w:r>
      <w:r>
        <w:t>the Market Operator</w:t>
      </w:r>
      <w:r w:rsidRPr="00970A16">
        <w:t>:</w:t>
      </w:r>
    </w:p>
    <w:p w14:paraId="65800C67" w14:textId="77777777" w:rsidR="009B43EC" w:rsidRPr="00970A16" w:rsidRDefault="009B43EC" w:rsidP="00DA3CE7">
      <w:pPr>
        <w:numPr>
          <w:ilvl w:val="0"/>
          <w:numId w:val="261"/>
        </w:numPr>
        <w:spacing w:before="120" w:line="300" w:lineRule="auto"/>
        <w:ind w:hanging="540"/>
        <w:contextualSpacing/>
        <w:rPr>
          <w:szCs w:val="24"/>
        </w:rPr>
      </w:pPr>
      <w:r w:rsidRPr="00970A16">
        <w:rPr>
          <w:szCs w:val="24"/>
        </w:rPr>
        <w:t>Unit power output for each physical individual component (with the exception of non-telemeterable pieces such as duct burners);</w:t>
      </w:r>
    </w:p>
    <w:p w14:paraId="7C68ACAC" w14:textId="683B324C" w:rsidR="009B43EC" w:rsidRPr="00970A16" w:rsidRDefault="009B43EC" w:rsidP="00DA3CE7">
      <w:pPr>
        <w:numPr>
          <w:ilvl w:val="0"/>
          <w:numId w:val="261"/>
        </w:numPr>
        <w:spacing w:before="120" w:line="300" w:lineRule="auto"/>
        <w:ind w:hanging="540"/>
        <w:contextualSpacing/>
        <w:rPr>
          <w:szCs w:val="24"/>
        </w:rPr>
      </w:pPr>
      <w:r w:rsidRPr="00970A16">
        <w:rPr>
          <w:szCs w:val="24"/>
        </w:rPr>
        <w:t>The current configuration;</w:t>
      </w:r>
      <w:r w:rsidR="0011639E">
        <w:rPr>
          <w:szCs w:val="24"/>
        </w:rPr>
        <w:t xml:space="preserve"> and</w:t>
      </w:r>
    </w:p>
    <w:p w14:paraId="56B539D8" w14:textId="77777777" w:rsidR="009B43EC" w:rsidRPr="00970A16" w:rsidRDefault="009B43EC" w:rsidP="00DA3CE7">
      <w:pPr>
        <w:numPr>
          <w:ilvl w:val="0"/>
          <w:numId w:val="261"/>
        </w:numPr>
        <w:spacing w:before="120" w:line="300" w:lineRule="auto"/>
        <w:ind w:hanging="540"/>
        <w:contextualSpacing/>
        <w:rPr>
          <w:szCs w:val="24"/>
        </w:rPr>
      </w:pPr>
      <w:r w:rsidRPr="00970A16">
        <w:rPr>
          <w:szCs w:val="24"/>
        </w:rPr>
        <w:t>Transition state status (in transition or not in transition).</w:t>
      </w:r>
    </w:p>
    <w:p w14:paraId="0178FAF3" w14:textId="77777777" w:rsidR="009B43EC" w:rsidRPr="00970A16" w:rsidRDefault="009B43EC" w:rsidP="009B43EC">
      <w:pPr>
        <w:spacing w:line="300" w:lineRule="auto"/>
        <w:ind w:left="180"/>
        <w:rPr>
          <w:szCs w:val="24"/>
        </w:rPr>
      </w:pPr>
    </w:p>
    <w:p w14:paraId="193FE9D6" w14:textId="77777777" w:rsidR="009B43EC" w:rsidRPr="00970A16" w:rsidRDefault="009B43EC" w:rsidP="009B43EC">
      <w:pPr>
        <w:keepNext/>
        <w:spacing w:after="240"/>
        <w:outlineLvl w:val="1"/>
        <w:rPr>
          <w:b/>
          <w:sz w:val="30"/>
        </w:rPr>
      </w:pPr>
      <w:bookmarkStart w:id="9235" w:name="_Toc120920527"/>
      <w:bookmarkStart w:id="9236" w:name="_Toc262561127"/>
      <w:bookmarkStart w:id="9237" w:name="_Toc263173597"/>
      <w:bookmarkStart w:id="9238" w:name="_Toc263173782"/>
      <w:bookmarkStart w:id="9239" w:name="_Toc263174017"/>
      <w:bookmarkStart w:id="9240" w:name="_Toc263174464"/>
      <w:bookmarkStart w:id="9241" w:name="_Toc263235369"/>
      <w:bookmarkStart w:id="9242" w:name="_Toc263236013"/>
      <w:bookmarkStart w:id="9243" w:name="_Toc263429816"/>
      <w:bookmarkStart w:id="9244" w:name="_Toc263795873"/>
      <w:bookmarkStart w:id="9245" w:name="_Toc266870040"/>
      <w:bookmarkStart w:id="9246" w:name="_Toc159233677"/>
      <w:bookmarkStart w:id="9247" w:name="_Toc213772246"/>
      <w:r w:rsidRPr="00970A16">
        <w:rPr>
          <w:b/>
          <w:sz w:val="30"/>
        </w:rPr>
        <w:t>B.12</w:t>
      </w:r>
      <w:r w:rsidRPr="00970A16">
        <w:rPr>
          <w:b/>
          <w:sz w:val="30"/>
        </w:rPr>
        <w:tab/>
        <w:t xml:space="preserve">   Record Retention</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p>
    <w:p w14:paraId="43FA7B01" w14:textId="77777777" w:rsidR="009B43EC" w:rsidRPr="00970A16" w:rsidRDefault="009B43EC" w:rsidP="009B43EC">
      <w:pPr>
        <w:spacing w:line="300" w:lineRule="auto"/>
      </w:pPr>
      <w:r w:rsidRPr="00970A16">
        <w:t xml:space="preserve">The Market Participant must maintain the following additional documentation of the meter process and values in order to verify the integrity and accuracy of the reported data.  </w:t>
      </w:r>
    </w:p>
    <w:p w14:paraId="7B4DA68B" w14:textId="77777777" w:rsidR="009B43EC" w:rsidRPr="00970A16" w:rsidRDefault="009B43EC" w:rsidP="00DA3CE7">
      <w:pPr>
        <w:numPr>
          <w:ilvl w:val="0"/>
          <w:numId w:val="208"/>
        </w:numPr>
        <w:tabs>
          <w:tab w:val="num" w:pos="720"/>
        </w:tabs>
        <w:spacing w:line="300" w:lineRule="auto"/>
        <w:ind w:left="720"/>
      </w:pPr>
      <w:r w:rsidRPr="00970A16">
        <w:t>Raw Meter values;</w:t>
      </w:r>
    </w:p>
    <w:p w14:paraId="6CFB2E76" w14:textId="77777777" w:rsidR="009B43EC" w:rsidRPr="00970A16" w:rsidRDefault="009B43EC" w:rsidP="00DA3CE7">
      <w:pPr>
        <w:numPr>
          <w:ilvl w:val="0"/>
          <w:numId w:val="208"/>
        </w:numPr>
        <w:tabs>
          <w:tab w:val="num" w:pos="720"/>
        </w:tabs>
        <w:spacing w:line="300" w:lineRule="auto"/>
        <w:ind w:left="720"/>
      </w:pPr>
      <w:r w:rsidRPr="00970A16">
        <w:t>Truncate and Carry Process and Results;</w:t>
      </w:r>
    </w:p>
    <w:p w14:paraId="7B324A64" w14:textId="595636BE" w:rsidR="009B43EC" w:rsidRPr="00970A16" w:rsidRDefault="009B43EC" w:rsidP="00DA3CE7">
      <w:pPr>
        <w:numPr>
          <w:ilvl w:val="0"/>
          <w:numId w:val="208"/>
        </w:numPr>
        <w:tabs>
          <w:tab w:val="num" w:pos="720"/>
        </w:tabs>
        <w:spacing w:line="300" w:lineRule="auto"/>
        <w:ind w:left="720"/>
      </w:pPr>
      <w:r w:rsidRPr="00970A16">
        <w:t>Meter Settlement Location values;</w:t>
      </w:r>
      <w:r w:rsidR="00C97F9E">
        <w:t xml:space="preserve"> and</w:t>
      </w:r>
    </w:p>
    <w:p w14:paraId="535CE353" w14:textId="77777777" w:rsidR="009B43EC" w:rsidRPr="00970A16" w:rsidRDefault="009B43EC" w:rsidP="00DA3CE7">
      <w:pPr>
        <w:numPr>
          <w:ilvl w:val="0"/>
          <w:numId w:val="208"/>
        </w:numPr>
        <w:tabs>
          <w:tab w:val="num" w:pos="720"/>
        </w:tabs>
        <w:spacing w:line="300" w:lineRule="auto"/>
        <w:ind w:left="720"/>
      </w:pPr>
      <w:r w:rsidRPr="00970A16">
        <w:t>Settlement Location values.</w:t>
      </w:r>
    </w:p>
    <w:p w14:paraId="2D89D0E1" w14:textId="15EA09AF" w:rsidR="009B43EC" w:rsidRDefault="009B43EC" w:rsidP="009B43EC">
      <w:pPr>
        <w:spacing w:line="300" w:lineRule="auto"/>
      </w:pPr>
      <w:r>
        <w:t>Records</w:t>
      </w:r>
      <w:r w:rsidRPr="00970A16">
        <w:t xml:space="preserve"> must be retained for a period of </w:t>
      </w:r>
      <w:r w:rsidR="00805325">
        <w:t>six</w:t>
      </w:r>
      <w:r w:rsidR="00805325" w:rsidRPr="00970A16">
        <w:t xml:space="preserve"> </w:t>
      </w:r>
      <w:r w:rsidRPr="00970A16">
        <w:t>(</w:t>
      </w:r>
      <w:r w:rsidR="00805325">
        <w:t>6</w:t>
      </w:r>
      <w:r w:rsidRPr="00970A16">
        <w:t>) years.</w:t>
      </w:r>
    </w:p>
    <w:p w14:paraId="140D3CF6" w14:textId="2CC91707" w:rsidR="00AB3F04" w:rsidRDefault="00AB3F04">
      <w:pPr>
        <w:spacing w:after="0"/>
        <w:jc w:val="left"/>
        <w:rPr>
          <w:szCs w:val="24"/>
        </w:rPr>
      </w:pPr>
      <w:r>
        <w:rPr>
          <w:szCs w:val="24"/>
        </w:rPr>
        <w:br w:type="page"/>
      </w:r>
    </w:p>
    <w:p w14:paraId="0CB0DAEC" w14:textId="47CD2C33" w:rsidR="00AB3F04" w:rsidRPr="000A2AA8" w:rsidRDefault="00AB3F04" w:rsidP="00AB3F04">
      <w:pPr>
        <w:keepNext/>
        <w:spacing w:after="240"/>
        <w:outlineLvl w:val="0"/>
        <w:rPr>
          <w:b/>
          <w:bCs/>
          <w:kern w:val="28"/>
          <w:sz w:val="34"/>
          <w:szCs w:val="34"/>
        </w:rPr>
      </w:pPr>
      <w:bookmarkStart w:id="9248" w:name="_Toc213772247"/>
      <w:r w:rsidRPr="7A6F1EC9">
        <w:rPr>
          <w:b/>
          <w:bCs/>
          <w:kern w:val="28"/>
          <w:sz w:val="34"/>
          <w:szCs w:val="34"/>
        </w:rPr>
        <w:t>Appendix C</w:t>
      </w:r>
      <w:r w:rsidRPr="000A2AA8">
        <w:rPr>
          <w:b/>
          <w:kern w:val="28"/>
          <w:sz w:val="34"/>
        </w:rPr>
        <w:tab/>
      </w:r>
      <w:r w:rsidRPr="7A6F1EC9">
        <w:rPr>
          <w:b/>
          <w:bCs/>
          <w:kern w:val="28"/>
          <w:sz w:val="34"/>
          <w:szCs w:val="34"/>
        </w:rPr>
        <w:t>Network and Commercial Model Update Timing</w:t>
      </w:r>
      <w:bookmarkEnd w:id="9248"/>
    </w:p>
    <w:p w14:paraId="77CB5304" w14:textId="77777777" w:rsidR="00AB3F04" w:rsidRPr="000A2AA8" w:rsidRDefault="00AB3F04" w:rsidP="00AB3F04">
      <w:pPr>
        <w:spacing w:before="120" w:after="0" w:line="300" w:lineRule="auto"/>
      </w:pPr>
      <w:r w:rsidRPr="000A2AA8">
        <w:t xml:space="preserve">The timelines in Appendix C identify a minimum update duration for requested changes.  Some updates will require longer lead times and coordination with SPP staff. </w:t>
      </w:r>
    </w:p>
    <w:p w14:paraId="4E3CC500" w14:textId="77777777" w:rsidR="00AB3F04" w:rsidRPr="000A2AA8" w:rsidRDefault="00AB3F04" w:rsidP="00AB3F04">
      <w:pPr>
        <w:spacing w:before="120" w:after="0"/>
      </w:pPr>
    </w:p>
    <w:p w14:paraId="0C5E7748" w14:textId="4E8246F4" w:rsidR="00AB3F04" w:rsidRPr="000A2AA8" w:rsidRDefault="00AB3F04" w:rsidP="00AB3F04">
      <w:pPr>
        <w:spacing w:before="120" w:after="0"/>
      </w:pPr>
      <w:r w:rsidRPr="000A2AA8">
        <w:t>Exhibit C-1 lists the</w:t>
      </w:r>
      <w:r>
        <w:t xml:space="preserve"> minimum</w:t>
      </w:r>
      <w:r w:rsidRPr="000A2AA8">
        <w:t xml:space="preserve"> update durations required to modify, terminate, or add attributes for each registration type.</w:t>
      </w:r>
      <w:r>
        <w:t xml:space="preserve"> </w:t>
      </w:r>
      <w:r w:rsidR="003B5842" w:rsidRPr="00097E26">
        <w:t>For Commercial Model updates that require</w:t>
      </w:r>
      <w:r w:rsidR="003B5842">
        <w:t xml:space="preserve"> a</w:t>
      </w:r>
      <w:r w:rsidR="003B5842" w:rsidRPr="00097E26">
        <w:t xml:space="preserve"> </w:t>
      </w:r>
      <w:r w:rsidR="003B5842" w:rsidRPr="00471778">
        <w:t>1.5 month</w:t>
      </w:r>
      <w:r w:rsidR="003B5842" w:rsidRPr="00097E26">
        <w:t xml:space="preserve"> update duration, the deadlines </w:t>
      </w:r>
      <w:r w:rsidR="003B5842">
        <w:t>listed in</w:t>
      </w:r>
      <w:r w:rsidR="003B5842" w:rsidRPr="00097E26">
        <w:t xml:space="preserve"> the Model Update Implementation Timeline in </w:t>
      </w:r>
      <w:r w:rsidR="00733E2C">
        <w:t>Section 9.6</w:t>
      </w:r>
      <w:r w:rsidR="003B5842" w:rsidRPr="00097E26">
        <w:t xml:space="preserve"> apply.</w:t>
      </w:r>
    </w:p>
    <w:p w14:paraId="1F12B650" w14:textId="77777777" w:rsidR="00AB3F04" w:rsidRPr="000A2AA8" w:rsidRDefault="00AB3F04" w:rsidP="00AB3F04">
      <w:pPr>
        <w:spacing w:before="120" w:after="0"/>
      </w:pPr>
    </w:p>
    <w:tbl>
      <w:tblPr>
        <w:tblW w:w="1018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95"/>
        <w:gridCol w:w="1975"/>
        <w:gridCol w:w="1440"/>
        <w:gridCol w:w="1620"/>
        <w:gridCol w:w="1558"/>
      </w:tblGrid>
      <w:tr w:rsidR="00AB3F04" w:rsidRPr="000A2AA8" w14:paraId="1E2E4B76" w14:textId="77777777">
        <w:trPr>
          <w:trHeight w:val="330"/>
          <w:jc w:val="center"/>
        </w:trPr>
        <w:tc>
          <w:tcPr>
            <w:tcW w:w="10188" w:type="dxa"/>
            <w:gridSpan w:val="5"/>
            <w:shd w:val="clear" w:color="auto" w:fill="F2F2F2" w:themeFill="background1" w:themeFillShade="F2"/>
          </w:tcPr>
          <w:p w14:paraId="2BE8D489" w14:textId="77777777" w:rsidR="00AB3F04" w:rsidRPr="000A2AA8" w:rsidRDefault="00AB3F04">
            <w:pPr>
              <w:jc w:val="center"/>
            </w:pPr>
            <w:r w:rsidRPr="5E68F708">
              <w:rPr>
                <w:b/>
                <w:bCs/>
                <w:szCs w:val="24"/>
              </w:rPr>
              <w:t>Exhibit C-1</w:t>
            </w:r>
          </w:p>
        </w:tc>
      </w:tr>
      <w:tr w:rsidR="00AB3F04" w:rsidRPr="000A2AA8" w14:paraId="1FABBE94" w14:textId="77777777">
        <w:trPr>
          <w:trHeight w:val="430"/>
          <w:jc w:val="center"/>
        </w:trPr>
        <w:tc>
          <w:tcPr>
            <w:tcW w:w="3595" w:type="dxa"/>
            <w:shd w:val="clear" w:color="auto" w:fill="D9D9D9" w:themeFill="background1" w:themeFillShade="D9"/>
            <w:vAlign w:val="center"/>
          </w:tcPr>
          <w:p w14:paraId="7111B07A" w14:textId="77777777" w:rsidR="00AB3F04" w:rsidRPr="000A2AA8" w:rsidRDefault="00AB3F04">
            <w:pPr>
              <w:rPr>
                <w:b/>
                <w:bCs/>
              </w:rPr>
            </w:pPr>
            <w:r w:rsidRPr="000A2AA8">
              <w:rPr>
                <w:b/>
                <w:bCs/>
              </w:rPr>
              <w:t>Entity</w:t>
            </w:r>
          </w:p>
        </w:tc>
        <w:tc>
          <w:tcPr>
            <w:tcW w:w="1975" w:type="dxa"/>
            <w:shd w:val="clear" w:color="auto" w:fill="D9D9D9" w:themeFill="background1" w:themeFillShade="D9"/>
            <w:vAlign w:val="center"/>
          </w:tcPr>
          <w:p w14:paraId="4EAC2484" w14:textId="77777777" w:rsidR="00AB3F04" w:rsidRPr="000A2AA8" w:rsidRDefault="00AB3F04">
            <w:r w:rsidRPr="000A2AA8">
              <w:rPr>
                <w:b/>
                <w:bCs/>
              </w:rPr>
              <w:t>Attribute</w:t>
            </w:r>
          </w:p>
        </w:tc>
        <w:tc>
          <w:tcPr>
            <w:tcW w:w="1440" w:type="dxa"/>
            <w:shd w:val="clear" w:color="auto" w:fill="D9D9D9" w:themeFill="background1" w:themeFillShade="D9"/>
            <w:vAlign w:val="center"/>
          </w:tcPr>
          <w:p w14:paraId="3D01C0E2" w14:textId="77777777" w:rsidR="00AB3F04" w:rsidRPr="000A2AA8" w:rsidRDefault="00AB3F04">
            <w:pPr>
              <w:jc w:val="center"/>
              <w:rPr>
                <w:iCs/>
              </w:rPr>
            </w:pPr>
            <w:r w:rsidRPr="000A2AA8">
              <w:rPr>
                <w:b/>
                <w:bCs/>
              </w:rPr>
              <w:t>Terminate</w:t>
            </w:r>
          </w:p>
        </w:tc>
        <w:tc>
          <w:tcPr>
            <w:tcW w:w="1620" w:type="dxa"/>
            <w:shd w:val="clear" w:color="auto" w:fill="D9D9D9" w:themeFill="background1" w:themeFillShade="D9"/>
            <w:vAlign w:val="center"/>
          </w:tcPr>
          <w:p w14:paraId="07516B48" w14:textId="77777777" w:rsidR="00AB3F04" w:rsidRPr="000A2AA8" w:rsidRDefault="00AB3F04">
            <w:pPr>
              <w:jc w:val="center"/>
            </w:pPr>
            <w:r w:rsidRPr="000A2AA8">
              <w:rPr>
                <w:b/>
                <w:bCs/>
              </w:rPr>
              <w:t>Modify</w:t>
            </w:r>
          </w:p>
        </w:tc>
        <w:tc>
          <w:tcPr>
            <w:tcW w:w="1558" w:type="dxa"/>
            <w:shd w:val="clear" w:color="auto" w:fill="D9D9D9" w:themeFill="background1" w:themeFillShade="D9"/>
            <w:vAlign w:val="center"/>
          </w:tcPr>
          <w:p w14:paraId="598D6014" w14:textId="77777777" w:rsidR="00AB3F04" w:rsidRPr="000A2AA8" w:rsidRDefault="00AB3F04">
            <w:pPr>
              <w:jc w:val="center"/>
            </w:pPr>
            <w:r w:rsidRPr="000A2AA8">
              <w:rPr>
                <w:b/>
                <w:bCs/>
              </w:rPr>
              <w:t>Add</w:t>
            </w:r>
          </w:p>
        </w:tc>
      </w:tr>
      <w:tr w:rsidR="00AB3F04" w:rsidRPr="000A2AA8" w14:paraId="11EFD729" w14:textId="77777777">
        <w:trPr>
          <w:trHeight w:val="376"/>
          <w:jc w:val="center"/>
        </w:trPr>
        <w:tc>
          <w:tcPr>
            <w:tcW w:w="3595" w:type="dxa"/>
            <w:vAlign w:val="center"/>
          </w:tcPr>
          <w:p w14:paraId="1ABAE90B" w14:textId="77777777" w:rsidR="00AB3F04" w:rsidRPr="000A2AA8" w:rsidRDefault="00AB3F04">
            <w:pPr>
              <w:rPr>
                <w:b/>
                <w:bCs/>
              </w:rPr>
            </w:pPr>
            <w:r w:rsidRPr="000A2AA8">
              <w:t>Market Participant with Asset</w:t>
            </w:r>
          </w:p>
        </w:tc>
        <w:tc>
          <w:tcPr>
            <w:tcW w:w="1975" w:type="dxa"/>
            <w:vAlign w:val="center"/>
          </w:tcPr>
          <w:p w14:paraId="0F8B0418" w14:textId="77777777" w:rsidR="00AB3F04" w:rsidRPr="000A2AA8" w:rsidRDefault="00AB3F04">
            <w:r w:rsidRPr="000A2AA8">
              <w:t>Entity</w:t>
            </w:r>
          </w:p>
        </w:tc>
        <w:tc>
          <w:tcPr>
            <w:tcW w:w="1440" w:type="dxa"/>
            <w:vAlign w:val="center"/>
          </w:tcPr>
          <w:p w14:paraId="6328CFED" w14:textId="77777777" w:rsidR="00AB3F04" w:rsidRPr="000A2AA8" w:rsidRDefault="00AB3F04">
            <w:pPr>
              <w:jc w:val="center"/>
              <w:rPr>
                <w:iCs/>
              </w:rPr>
            </w:pPr>
            <w:r w:rsidRPr="000A2AA8">
              <w:rPr>
                <w:iCs/>
              </w:rPr>
              <w:t>6 mo</w:t>
            </w:r>
          </w:p>
        </w:tc>
        <w:tc>
          <w:tcPr>
            <w:tcW w:w="1620" w:type="dxa"/>
            <w:vAlign w:val="center"/>
          </w:tcPr>
          <w:p w14:paraId="2FBDB4AE" w14:textId="77777777" w:rsidR="00AB3F04" w:rsidRPr="000A2AA8" w:rsidRDefault="00AB3F04">
            <w:pPr>
              <w:jc w:val="center"/>
              <w:rPr>
                <w:i/>
                <w:iCs/>
                <w:u w:val="single"/>
              </w:rPr>
            </w:pPr>
            <w:r w:rsidRPr="000A2AA8">
              <w:t>6 mo</w:t>
            </w:r>
          </w:p>
        </w:tc>
        <w:tc>
          <w:tcPr>
            <w:tcW w:w="1558" w:type="dxa"/>
            <w:vAlign w:val="center"/>
          </w:tcPr>
          <w:p w14:paraId="1BC93B2C" w14:textId="77777777" w:rsidR="00AB3F04" w:rsidRPr="000A2AA8" w:rsidRDefault="00AB3F04">
            <w:pPr>
              <w:jc w:val="center"/>
            </w:pPr>
            <w:r w:rsidRPr="000A2AA8">
              <w:t>6 mo</w:t>
            </w:r>
          </w:p>
        </w:tc>
      </w:tr>
      <w:tr w:rsidR="00AB3F04" w14:paraId="3F1598ED" w14:textId="77777777">
        <w:trPr>
          <w:trHeight w:val="376"/>
          <w:jc w:val="center"/>
        </w:trPr>
        <w:tc>
          <w:tcPr>
            <w:tcW w:w="3595" w:type="dxa"/>
            <w:vAlign w:val="center"/>
          </w:tcPr>
          <w:p w14:paraId="391E0102" w14:textId="77777777" w:rsidR="00AB3F04" w:rsidRDefault="00AB3F04">
            <w:r w:rsidRPr="5E68F708">
              <w:t>Market Participant without Asset</w:t>
            </w:r>
          </w:p>
        </w:tc>
        <w:tc>
          <w:tcPr>
            <w:tcW w:w="1975" w:type="dxa"/>
            <w:vAlign w:val="center"/>
          </w:tcPr>
          <w:p w14:paraId="4F197DA5" w14:textId="77777777" w:rsidR="00AB3F04" w:rsidRDefault="00AB3F04">
            <w:r w:rsidRPr="5E68F708">
              <w:t>Entity</w:t>
            </w:r>
          </w:p>
        </w:tc>
        <w:tc>
          <w:tcPr>
            <w:tcW w:w="1440" w:type="dxa"/>
            <w:vAlign w:val="center"/>
          </w:tcPr>
          <w:p w14:paraId="1FF60D91" w14:textId="77777777" w:rsidR="00AB3F04" w:rsidRDefault="00AB3F04">
            <w:pPr>
              <w:jc w:val="center"/>
            </w:pPr>
            <w:r w:rsidRPr="5E68F708">
              <w:t>6 mo</w:t>
            </w:r>
          </w:p>
        </w:tc>
        <w:tc>
          <w:tcPr>
            <w:tcW w:w="1620" w:type="dxa"/>
            <w:vAlign w:val="center"/>
          </w:tcPr>
          <w:p w14:paraId="3D73395C" w14:textId="77777777" w:rsidR="00AB3F04" w:rsidRDefault="00AB3F04">
            <w:pPr>
              <w:jc w:val="center"/>
            </w:pPr>
            <w:r w:rsidRPr="5E68F708">
              <w:t>6 mo</w:t>
            </w:r>
          </w:p>
        </w:tc>
        <w:tc>
          <w:tcPr>
            <w:tcW w:w="1558" w:type="dxa"/>
            <w:vAlign w:val="center"/>
          </w:tcPr>
          <w:p w14:paraId="086C556B" w14:textId="77777777" w:rsidR="00AB3F04" w:rsidRDefault="00AB3F04">
            <w:pPr>
              <w:jc w:val="center"/>
            </w:pPr>
            <w:r w:rsidRPr="5E68F708">
              <w:t>4 mo</w:t>
            </w:r>
          </w:p>
        </w:tc>
      </w:tr>
      <w:tr w:rsidR="00AB3F04" w:rsidRPr="000A2AA8" w14:paraId="323C6CE6" w14:textId="77777777">
        <w:trPr>
          <w:trHeight w:val="376"/>
          <w:jc w:val="center"/>
        </w:trPr>
        <w:tc>
          <w:tcPr>
            <w:tcW w:w="3595" w:type="dxa"/>
            <w:vAlign w:val="center"/>
          </w:tcPr>
          <w:p w14:paraId="3A9898A2" w14:textId="77777777" w:rsidR="00AB3F04" w:rsidRPr="000A2AA8" w:rsidRDefault="00AB3F04">
            <w:r w:rsidRPr="000A2AA8">
              <w:t>Market Participant</w:t>
            </w:r>
          </w:p>
        </w:tc>
        <w:tc>
          <w:tcPr>
            <w:tcW w:w="1975" w:type="dxa"/>
            <w:vAlign w:val="center"/>
          </w:tcPr>
          <w:p w14:paraId="0B246535" w14:textId="77777777" w:rsidR="00AB3F04" w:rsidRPr="000A2AA8" w:rsidRDefault="00AB3F04">
            <w:r w:rsidRPr="000A2AA8">
              <w:t>Short Name</w:t>
            </w:r>
          </w:p>
        </w:tc>
        <w:tc>
          <w:tcPr>
            <w:tcW w:w="1440" w:type="dxa"/>
            <w:vAlign w:val="center"/>
          </w:tcPr>
          <w:p w14:paraId="0E4B5A61" w14:textId="77777777" w:rsidR="00AB3F04" w:rsidRPr="000A2AA8" w:rsidRDefault="00AB3F04">
            <w:pPr>
              <w:jc w:val="center"/>
              <w:rPr>
                <w:iCs/>
              </w:rPr>
            </w:pPr>
            <w:r w:rsidRPr="000A2AA8">
              <w:rPr>
                <w:iCs/>
              </w:rPr>
              <w:t>-</w:t>
            </w:r>
          </w:p>
        </w:tc>
        <w:tc>
          <w:tcPr>
            <w:tcW w:w="1620" w:type="dxa"/>
            <w:vAlign w:val="center"/>
          </w:tcPr>
          <w:p w14:paraId="7BD6F095" w14:textId="77777777" w:rsidR="00AB3F04" w:rsidRPr="000A2AA8" w:rsidRDefault="00AB3F04">
            <w:pPr>
              <w:jc w:val="center"/>
            </w:pPr>
            <w:r w:rsidRPr="000A2AA8">
              <w:t>6 mo</w:t>
            </w:r>
          </w:p>
        </w:tc>
        <w:tc>
          <w:tcPr>
            <w:tcW w:w="1558" w:type="dxa"/>
            <w:vAlign w:val="center"/>
          </w:tcPr>
          <w:p w14:paraId="7FD890EA" w14:textId="77777777" w:rsidR="00AB3F04" w:rsidRPr="000A2AA8" w:rsidRDefault="00AB3F04">
            <w:pPr>
              <w:jc w:val="center"/>
            </w:pPr>
            <w:r w:rsidRPr="000A2AA8">
              <w:t>-</w:t>
            </w:r>
          </w:p>
        </w:tc>
      </w:tr>
      <w:tr w:rsidR="00AB3F04" w:rsidRPr="000A2AA8" w14:paraId="74CDC185" w14:textId="77777777">
        <w:trPr>
          <w:trHeight w:val="376"/>
          <w:jc w:val="center"/>
        </w:trPr>
        <w:tc>
          <w:tcPr>
            <w:tcW w:w="3595" w:type="dxa"/>
            <w:vAlign w:val="center"/>
          </w:tcPr>
          <w:p w14:paraId="532A9230" w14:textId="77777777" w:rsidR="00AB3F04" w:rsidRPr="000A2AA8" w:rsidRDefault="00AB3F04">
            <w:r w:rsidRPr="000A2AA8">
              <w:t>Market Participant</w:t>
            </w:r>
          </w:p>
        </w:tc>
        <w:tc>
          <w:tcPr>
            <w:tcW w:w="1975" w:type="dxa"/>
            <w:vAlign w:val="center"/>
          </w:tcPr>
          <w:p w14:paraId="23372517" w14:textId="77777777" w:rsidR="00AB3F04" w:rsidRPr="000A2AA8" w:rsidRDefault="00AB3F04">
            <w:r w:rsidRPr="000A2AA8">
              <w:t>Long Name</w:t>
            </w:r>
          </w:p>
        </w:tc>
        <w:tc>
          <w:tcPr>
            <w:tcW w:w="1440" w:type="dxa"/>
            <w:vAlign w:val="center"/>
          </w:tcPr>
          <w:p w14:paraId="15969B2E" w14:textId="77777777" w:rsidR="00AB3F04" w:rsidRPr="000A2AA8" w:rsidRDefault="00AB3F04">
            <w:pPr>
              <w:jc w:val="center"/>
              <w:rPr>
                <w:iCs/>
              </w:rPr>
            </w:pPr>
            <w:r w:rsidRPr="000A2AA8">
              <w:rPr>
                <w:iCs/>
              </w:rPr>
              <w:t>-</w:t>
            </w:r>
          </w:p>
        </w:tc>
        <w:tc>
          <w:tcPr>
            <w:tcW w:w="1620" w:type="dxa"/>
            <w:vAlign w:val="center"/>
          </w:tcPr>
          <w:p w14:paraId="4DCBF38D" w14:textId="76E8EA4F" w:rsidR="00AB3F04" w:rsidRPr="000A2AA8" w:rsidRDefault="004E2662">
            <w:pPr>
              <w:jc w:val="center"/>
            </w:pPr>
            <w:r>
              <w:t>1.5mo</w:t>
            </w:r>
          </w:p>
        </w:tc>
        <w:tc>
          <w:tcPr>
            <w:tcW w:w="1558" w:type="dxa"/>
            <w:vAlign w:val="center"/>
          </w:tcPr>
          <w:p w14:paraId="244B38C6" w14:textId="77777777" w:rsidR="00AB3F04" w:rsidRPr="000A2AA8" w:rsidRDefault="00AB3F04">
            <w:pPr>
              <w:jc w:val="center"/>
            </w:pPr>
            <w:r w:rsidRPr="000A2AA8">
              <w:t>-</w:t>
            </w:r>
          </w:p>
        </w:tc>
      </w:tr>
      <w:tr w:rsidR="00AB3F04" w:rsidRPr="000A2AA8" w14:paraId="50889D9F" w14:textId="77777777">
        <w:trPr>
          <w:trHeight w:val="376"/>
          <w:jc w:val="center"/>
        </w:trPr>
        <w:tc>
          <w:tcPr>
            <w:tcW w:w="3595" w:type="dxa"/>
            <w:vAlign w:val="center"/>
          </w:tcPr>
          <w:p w14:paraId="1485F0FF" w14:textId="77777777" w:rsidR="00AB3F04" w:rsidRPr="000A2AA8" w:rsidRDefault="00AB3F04">
            <w:r w:rsidRPr="000A2AA8">
              <w:t>Asset Owner</w:t>
            </w:r>
          </w:p>
        </w:tc>
        <w:tc>
          <w:tcPr>
            <w:tcW w:w="1975" w:type="dxa"/>
            <w:vAlign w:val="center"/>
          </w:tcPr>
          <w:p w14:paraId="717B2CD8" w14:textId="77777777" w:rsidR="00AB3F04" w:rsidRPr="000A2AA8" w:rsidRDefault="00AB3F04">
            <w:r w:rsidRPr="000A2AA8">
              <w:t>Entity</w:t>
            </w:r>
          </w:p>
        </w:tc>
        <w:tc>
          <w:tcPr>
            <w:tcW w:w="1440" w:type="dxa"/>
            <w:vAlign w:val="center"/>
          </w:tcPr>
          <w:p w14:paraId="1D743BE1" w14:textId="77777777" w:rsidR="00AB3F04" w:rsidRPr="000A2AA8" w:rsidRDefault="00AB3F04">
            <w:pPr>
              <w:jc w:val="center"/>
              <w:rPr>
                <w:iCs/>
              </w:rPr>
            </w:pPr>
            <w:r w:rsidRPr="000A2AA8">
              <w:rPr>
                <w:iCs/>
              </w:rPr>
              <w:t>6 mo</w:t>
            </w:r>
          </w:p>
        </w:tc>
        <w:tc>
          <w:tcPr>
            <w:tcW w:w="1620" w:type="dxa"/>
            <w:vAlign w:val="center"/>
          </w:tcPr>
          <w:p w14:paraId="0F29DF50" w14:textId="6071D993" w:rsidR="00AB3F04" w:rsidRPr="000A2AA8" w:rsidRDefault="004E2662">
            <w:pPr>
              <w:jc w:val="center"/>
            </w:pPr>
            <w:r>
              <w:t>1.5mo</w:t>
            </w:r>
          </w:p>
        </w:tc>
        <w:tc>
          <w:tcPr>
            <w:tcW w:w="1558" w:type="dxa"/>
            <w:vAlign w:val="center"/>
          </w:tcPr>
          <w:p w14:paraId="5468B8DB" w14:textId="0AB4C66E" w:rsidR="00AB3F04" w:rsidRPr="000A2AA8" w:rsidRDefault="004E2662">
            <w:pPr>
              <w:jc w:val="center"/>
            </w:pPr>
            <w:r>
              <w:t>1.5mo</w:t>
            </w:r>
          </w:p>
        </w:tc>
      </w:tr>
      <w:tr w:rsidR="00AB3F04" w:rsidRPr="000A2AA8" w14:paraId="46477344" w14:textId="77777777">
        <w:trPr>
          <w:trHeight w:val="214"/>
          <w:jc w:val="center"/>
        </w:trPr>
        <w:tc>
          <w:tcPr>
            <w:tcW w:w="3595" w:type="dxa"/>
            <w:vAlign w:val="center"/>
          </w:tcPr>
          <w:p w14:paraId="2413C477" w14:textId="77777777" w:rsidR="00AB3F04" w:rsidRPr="000A2AA8" w:rsidRDefault="00AB3F04">
            <w:r w:rsidRPr="000A2AA8">
              <w:t>Asset Owner</w:t>
            </w:r>
          </w:p>
        </w:tc>
        <w:tc>
          <w:tcPr>
            <w:tcW w:w="1975" w:type="dxa"/>
            <w:vAlign w:val="center"/>
          </w:tcPr>
          <w:p w14:paraId="2564CBB2" w14:textId="77777777" w:rsidR="00AB3F04" w:rsidRPr="000A2AA8" w:rsidRDefault="00AB3F04">
            <w:r w:rsidRPr="000A2AA8">
              <w:t>Long Name</w:t>
            </w:r>
          </w:p>
        </w:tc>
        <w:tc>
          <w:tcPr>
            <w:tcW w:w="1440" w:type="dxa"/>
            <w:vAlign w:val="center"/>
          </w:tcPr>
          <w:p w14:paraId="26E72390" w14:textId="77777777" w:rsidR="00AB3F04" w:rsidRPr="000A2AA8" w:rsidRDefault="00AB3F04">
            <w:pPr>
              <w:jc w:val="center"/>
              <w:rPr>
                <w:iCs/>
              </w:rPr>
            </w:pPr>
            <w:r w:rsidRPr="000A2AA8">
              <w:rPr>
                <w:iCs/>
              </w:rPr>
              <w:t>-</w:t>
            </w:r>
          </w:p>
        </w:tc>
        <w:tc>
          <w:tcPr>
            <w:tcW w:w="1620" w:type="dxa"/>
            <w:vAlign w:val="center"/>
          </w:tcPr>
          <w:p w14:paraId="0C4C1220" w14:textId="542D1E43" w:rsidR="00AB3F04" w:rsidRPr="000A2AA8" w:rsidRDefault="004E2662">
            <w:pPr>
              <w:jc w:val="center"/>
            </w:pPr>
            <w:r>
              <w:t>1.5mo</w:t>
            </w:r>
          </w:p>
        </w:tc>
        <w:tc>
          <w:tcPr>
            <w:tcW w:w="1558" w:type="dxa"/>
            <w:vAlign w:val="center"/>
          </w:tcPr>
          <w:p w14:paraId="5D5FFBB0" w14:textId="77777777" w:rsidR="00AB3F04" w:rsidRPr="000A2AA8" w:rsidRDefault="00AB3F04">
            <w:pPr>
              <w:jc w:val="center"/>
            </w:pPr>
            <w:r w:rsidRPr="000A2AA8">
              <w:t>-</w:t>
            </w:r>
          </w:p>
        </w:tc>
      </w:tr>
      <w:tr w:rsidR="00AB3F04" w:rsidRPr="000A2AA8" w14:paraId="60ACE92C" w14:textId="77777777">
        <w:trPr>
          <w:trHeight w:val="376"/>
          <w:jc w:val="center"/>
        </w:trPr>
        <w:tc>
          <w:tcPr>
            <w:tcW w:w="3595" w:type="dxa"/>
            <w:vAlign w:val="center"/>
          </w:tcPr>
          <w:p w14:paraId="3E1DD9DC" w14:textId="77777777" w:rsidR="00AB3F04" w:rsidRPr="000A2AA8" w:rsidRDefault="00AB3F04">
            <w:r w:rsidRPr="000A2AA8">
              <w:t>Asset Owner</w:t>
            </w:r>
          </w:p>
        </w:tc>
        <w:tc>
          <w:tcPr>
            <w:tcW w:w="1975" w:type="dxa"/>
            <w:vAlign w:val="center"/>
          </w:tcPr>
          <w:p w14:paraId="1A3BA4D1" w14:textId="77777777" w:rsidR="00AB3F04" w:rsidRPr="000A2AA8" w:rsidRDefault="00AB3F04">
            <w:r w:rsidRPr="000A2AA8">
              <w:t>Short Name</w:t>
            </w:r>
          </w:p>
        </w:tc>
        <w:tc>
          <w:tcPr>
            <w:tcW w:w="1440" w:type="dxa"/>
            <w:vAlign w:val="center"/>
          </w:tcPr>
          <w:p w14:paraId="7D2E9BDF" w14:textId="77777777" w:rsidR="00AB3F04" w:rsidRPr="000A2AA8" w:rsidRDefault="00AB3F04">
            <w:pPr>
              <w:jc w:val="center"/>
              <w:rPr>
                <w:iCs/>
              </w:rPr>
            </w:pPr>
            <w:r w:rsidRPr="000A2AA8">
              <w:rPr>
                <w:iCs/>
              </w:rPr>
              <w:t>-</w:t>
            </w:r>
          </w:p>
        </w:tc>
        <w:tc>
          <w:tcPr>
            <w:tcW w:w="1620" w:type="dxa"/>
            <w:vAlign w:val="center"/>
          </w:tcPr>
          <w:p w14:paraId="001EB1D4" w14:textId="77777777" w:rsidR="00AB3F04" w:rsidRPr="000A2AA8" w:rsidRDefault="00AB3F04">
            <w:pPr>
              <w:jc w:val="center"/>
            </w:pPr>
            <w:r w:rsidRPr="000A2AA8">
              <w:t>6 mo</w:t>
            </w:r>
          </w:p>
        </w:tc>
        <w:tc>
          <w:tcPr>
            <w:tcW w:w="1558" w:type="dxa"/>
            <w:vAlign w:val="center"/>
          </w:tcPr>
          <w:p w14:paraId="3498B036" w14:textId="77777777" w:rsidR="00AB3F04" w:rsidRPr="000A2AA8" w:rsidRDefault="00AB3F04">
            <w:pPr>
              <w:jc w:val="center"/>
            </w:pPr>
            <w:r w:rsidRPr="000A2AA8">
              <w:t>-</w:t>
            </w:r>
          </w:p>
        </w:tc>
      </w:tr>
      <w:tr w:rsidR="00AB3F04" w:rsidRPr="000A2AA8" w14:paraId="43B89A9E" w14:textId="77777777">
        <w:trPr>
          <w:trHeight w:val="376"/>
          <w:jc w:val="center"/>
        </w:trPr>
        <w:tc>
          <w:tcPr>
            <w:tcW w:w="3595" w:type="dxa"/>
            <w:vAlign w:val="center"/>
          </w:tcPr>
          <w:p w14:paraId="647A383D" w14:textId="77777777" w:rsidR="00AB3F04" w:rsidRPr="000A2AA8" w:rsidRDefault="00AB3F04">
            <w:r w:rsidRPr="000A2AA8">
              <w:t>Resource Asset</w:t>
            </w:r>
          </w:p>
        </w:tc>
        <w:tc>
          <w:tcPr>
            <w:tcW w:w="1975" w:type="dxa"/>
            <w:vAlign w:val="center"/>
          </w:tcPr>
          <w:p w14:paraId="3FCC74A5" w14:textId="77777777" w:rsidR="00AB3F04" w:rsidRPr="000A2AA8" w:rsidRDefault="00AB3F04">
            <w:r w:rsidRPr="000A2AA8">
              <w:t>Asset</w:t>
            </w:r>
          </w:p>
        </w:tc>
        <w:tc>
          <w:tcPr>
            <w:tcW w:w="1440" w:type="dxa"/>
            <w:vAlign w:val="center"/>
          </w:tcPr>
          <w:p w14:paraId="21A3BAC8" w14:textId="77777777" w:rsidR="00AB3F04" w:rsidRPr="000A2AA8" w:rsidRDefault="00AB3F04">
            <w:pPr>
              <w:jc w:val="center"/>
              <w:rPr>
                <w:iCs/>
              </w:rPr>
            </w:pPr>
            <w:r w:rsidRPr="000A2AA8">
              <w:rPr>
                <w:iCs/>
              </w:rPr>
              <w:t>3 mo</w:t>
            </w:r>
          </w:p>
        </w:tc>
        <w:tc>
          <w:tcPr>
            <w:tcW w:w="1620" w:type="dxa"/>
            <w:vAlign w:val="center"/>
          </w:tcPr>
          <w:p w14:paraId="21414028" w14:textId="61EEC1EF" w:rsidR="00AB3F04" w:rsidRPr="000A2AA8" w:rsidRDefault="004E2662">
            <w:pPr>
              <w:jc w:val="center"/>
            </w:pPr>
            <w:r>
              <w:t>1.5mo</w:t>
            </w:r>
          </w:p>
        </w:tc>
        <w:tc>
          <w:tcPr>
            <w:tcW w:w="1558" w:type="dxa"/>
            <w:vAlign w:val="center"/>
          </w:tcPr>
          <w:p w14:paraId="5F470C88" w14:textId="1F92E69C" w:rsidR="00AB3F04" w:rsidRPr="000A2AA8" w:rsidRDefault="004E2662">
            <w:pPr>
              <w:jc w:val="center"/>
            </w:pPr>
            <w:r>
              <w:t>1.5mo</w:t>
            </w:r>
          </w:p>
        </w:tc>
      </w:tr>
      <w:tr w:rsidR="00AB3F04" w:rsidRPr="000A2AA8" w14:paraId="2E1DC45A" w14:textId="77777777">
        <w:trPr>
          <w:trHeight w:val="376"/>
          <w:jc w:val="center"/>
        </w:trPr>
        <w:tc>
          <w:tcPr>
            <w:tcW w:w="3595" w:type="dxa"/>
            <w:vAlign w:val="center"/>
          </w:tcPr>
          <w:p w14:paraId="1C1077BE" w14:textId="77777777" w:rsidR="00AB3F04" w:rsidRPr="000A2AA8" w:rsidRDefault="00AB3F04">
            <w:r w:rsidRPr="000A2AA8">
              <w:t>Resource Asset</w:t>
            </w:r>
          </w:p>
        </w:tc>
        <w:tc>
          <w:tcPr>
            <w:tcW w:w="1975" w:type="dxa"/>
            <w:vAlign w:val="center"/>
          </w:tcPr>
          <w:p w14:paraId="3ECE6D6B" w14:textId="77777777" w:rsidR="00AB3F04" w:rsidRPr="000A2AA8" w:rsidRDefault="00AB3F04">
            <w:r>
              <w:t>Maximum Normal</w:t>
            </w:r>
            <w:r w:rsidRPr="000A2AA8">
              <w:t xml:space="preserve"> Limit MW</w:t>
            </w:r>
          </w:p>
        </w:tc>
        <w:tc>
          <w:tcPr>
            <w:tcW w:w="1440" w:type="dxa"/>
            <w:vAlign w:val="center"/>
          </w:tcPr>
          <w:p w14:paraId="104880F5" w14:textId="77777777" w:rsidR="00AB3F04" w:rsidRPr="000A2AA8" w:rsidRDefault="00AB3F04">
            <w:pPr>
              <w:jc w:val="center"/>
              <w:rPr>
                <w:iCs/>
              </w:rPr>
            </w:pPr>
            <w:r w:rsidRPr="000A2AA8">
              <w:t>-</w:t>
            </w:r>
          </w:p>
        </w:tc>
        <w:tc>
          <w:tcPr>
            <w:tcW w:w="1620" w:type="dxa"/>
            <w:vAlign w:val="center"/>
          </w:tcPr>
          <w:p w14:paraId="4887FDBC" w14:textId="77777777" w:rsidR="00AB3F04" w:rsidRPr="000A2AA8" w:rsidRDefault="00AB3F04">
            <w:pPr>
              <w:jc w:val="center"/>
            </w:pPr>
            <w:r w:rsidRPr="000A2AA8">
              <w:t xml:space="preserve">2 w </w:t>
            </w:r>
          </w:p>
        </w:tc>
        <w:tc>
          <w:tcPr>
            <w:tcW w:w="1558" w:type="dxa"/>
            <w:vAlign w:val="center"/>
          </w:tcPr>
          <w:p w14:paraId="241E011F" w14:textId="77777777" w:rsidR="00AB3F04" w:rsidRPr="000A2AA8" w:rsidRDefault="00AB3F04">
            <w:pPr>
              <w:jc w:val="center"/>
            </w:pPr>
            <w:r w:rsidRPr="000A2AA8">
              <w:t>-</w:t>
            </w:r>
          </w:p>
        </w:tc>
      </w:tr>
      <w:tr w:rsidR="00AB3F04" w:rsidRPr="000A2AA8" w14:paraId="1862B5D3" w14:textId="77777777">
        <w:trPr>
          <w:trHeight w:val="376"/>
          <w:jc w:val="center"/>
        </w:trPr>
        <w:tc>
          <w:tcPr>
            <w:tcW w:w="3595" w:type="dxa"/>
            <w:vAlign w:val="center"/>
          </w:tcPr>
          <w:p w14:paraId="47026C1D" w14:textId="77777777" w:rsidR="00AB3F04" w:rsidRPr="000A2AA8" w:rsidRDefault="00AB3F04">
            <w:r w:rsidRPr="000A2AA8">
              <w:t>Resource Asset</w:t>
            </w:r>
          </w:p>
        </w:tc>
        <w:tc>
          <w:tcPr>
            <w:tcW w:w="1975" w:type="dxa"/>
            <w:vAlign w:val="center"/>
          </w:tcPr>
          <w:p w14:paraId="42FA6FF3" w14:textId="77777777" w:rsidR="00AB3F04" w:rsidRPr="000A2AA8" w:rsidRDefault="00AB3F04">
            <w:r w:rsidRPr="5E68F708">
              <w:t>Minimum Normal Limit MW</w:t>
            </w:r>
          </w:p>
        </w:tc>
        <w:tc>
          <w:tcPr>
            <w:tcW w:w="1440" w:type="dxa"/>
            <w:vAlign w:val="center"/>
          </w:tcPr>
          <w:p w14:paraId="1CA587D5" w14:textId="77777777" w:rsidR="00AB3F04" w:rsidRPr="000A2AA8" w:rsidRDefault="00AB3F04">
            <w:pPr>
              <w:jc w:val="center"/>
            </w:pPr>
            <w:r w:rsidRPr="000A2AA8">
              <w:t>-</w:t>
            </w:r>
          </w:p>
        </w:tc>
        <w:tc>
          <w:tcPr>
            <w:tcW w:w="1620" w:type="dxa"/>
            <w:vAlign w:val="center"/>
          </w:tcPr>
          <w:p w14:paraId="1558C5F5" w14:textId="77777777" w:rsidR="00AB3F04" w:rsidRPr="000A2AA8" w:rsidRDefault="00AB3F04">
            <w:pPr>
              <w:jc w:val="center"/>
            </w:pPr>
            <w:r w:rsidRPr="000A2AA8">
              <w:t xml:space="preserve">2 w </w:t>
            </w:r>
          </w:p>
        </w:tc>
        <w:tc>
          <w:tcPr>
            <w:tcW w:w="1558" w:type="dxa"/>
            <w:vAlign w:val="center"/>
          </w:tcPr>
          <w:p w14:paraId="09AEF7BD" w14:textId="77777777" w:rsidR="00AB3F04" w:rsidRPr="000A2AA8" w:rsidRDefault="00AB3F04">
            <w:pPr>
              <w:jc w:val="center"/>
            </w:pPr>
            <w:r w:rsidRPr="000A2AA8">
              <w:t>-</w:t>
            </w:r>
          </w:p>
        </w:tc>
      </w:tr>
      <w:tr w:rsidR="006F6B0A" w:rsidRPr="000A2AA8" w14:paraId="29E7FC54" w14:textId="77777777">
        <w:trPr>
          <w:trHeight w:val="376"/>
          <w:jc w:val="center"/>
        </w:trPr>
        <w:tc>
          <w:tcPr>
            <w:tcW w:w="3595" w:type="dxa"/>
            <w:vAlign w:val="center"/>
          </w:tcPr>
          <w:p w14:paraId="174D67BE" w14:textId="40CE5F97" w:rsidR="006F6B0A" w:rsidRPr="000A2AA8" w:rsidRDefault="006F6B0A" w:rsidP="006F6B0A">
            <w:r>
              <w:rPr>
                <w:szCs w:val="24"/>
              </w:rPr>
              <w:t xml:space="preserve">Resource supplying </w:t>
            </w:r>
            <w:r w:rsidRPr="00CA37EA">
              <w:rPr>
                <w:szCs w:val="24"/>
              </w:rPr>
              <w:t xml:space="preserve">High Priority </w:t>
            </w:r>
            <w:r w:rsidR="00607330">
              <w:rPr>
                <w:szCs w:val="24"/>
              </w:rPr>
              <w:t>Export</w:t>
            </w:r>
            <w:r w:rsidRPr="00CA37EA">
              <w:rPr>
                <w:szCs w:val="24"/>
              </w:rPr>
              <w:t xml:space="preserve"> Interchange Transaction</w:t>
            </w:r>
            <w:r w:rsidR="00BB6484">
              <w:rPr>
                <w:szCs w:val="24"/>
              </w:rPr>
              <w:t>s</w:t>
            </w:r>
            <w:r>
              <w:rPr>
                <w:szCs w:val="24"/>
              </w:rPr>
              <w:t xml:space="preserve"> </w:t>
            </w:r>
          </w:p>
        </w:tc>
        <w:tc>
          <w:tcPr>
            <w:tcW w:w="1975" w:type="dxa"/>
            <w:vAlign w:val="center"/>
          </w:tcPr>
          <w:p w14:paraId="0F919A93" w14:textId="39658D2F" w:rsidR="006F6B0A" w:rsidRPr="000A2AA8" w:rsidRDefault="00E32653" w:rsidP="006F6B0A">
            <w:r>
              <w:t>Definition</w:t>
            </w:r>
          </w:p>
        </w:tc>
        <w:tc>
          <w:tcPr>
            <w:tcW w:w="1440" w:type="dxa"/>
            <w:vAlign w:val="center"/>
          </w:tcPr>
          <w:p w14:paraId="5FE3B5DE" w14:textId="6DB0EE60" w:rsidR="006F6B0A" w:rsidRPr="000A2AA8" w:rsidRDefault="004E2662" w:rsidP="006F6B0A">
            <w:pPr>
              <w:jc w:val="center"/>
            </w:pPr>
            <w:r>
              <w:t>1.5mo</w:t>
            </w:r>
          </w:p>
        </w:tc>
        <w:tc>
          <w:tcPr>
            <w:tcW w:w="1620" w:type="dxa"/>
            <w:vAlign w:val="center"/>
          </w:tcPr>
          <w:p w14:paraId="3DC4F5E4" w14:textId="5586AF53" w:rsidR="006F6B0A" w:rsidRPr="000A2AA8" w:rsidRDefault="004E2662" w:rsidP="006F6B0A">
            <w:pPr>
              <w:jc w:val="center"/>
            </w:pPr>
            <w:r>
              <w:t>1.5mo</w:t>
            </w:r>
          </w:p>
        </w:tc>
        <w:tc>
          <w:tcPr>
            <w:tcW w:w="1558" w:type="dxa"/>
            <w:vAlign w:val="center"/>
          </w:tcPr>
          <w:p w14:paraId="481A096A" w14:textId="5A9DF448" w:rsidR="006F6B0A" w:rsidRPr="000A2AA8" w:rsidRDefault="004E2662" w:rsidP="006F6B0A">
            <w:pPr>
              <w:jc w:val="center"/>
            </w:pPr>
            <w:r>
              <w:t>1.5mo</w:t>
            </w:r>
          </w:p>
        </w:tc>
      </w:tr>
      <w:tr w:rsidR="00AB3F04" w:rsidRPr="000A2AA8" w14:paraId="6C55FD57" w14:textId="77777777">
        <w:trPr>
          <w:trHeight w:val="376"/>
          <w:jc w:val="center"/>
        </w:trPr>
        <w:tc>
          <w:tcPr>
            <w:tcW w:w="3595" w:type="dxa"/>
            <w:vAlign w:val="center"/>
          </w:tcPr>
          <w:p w14:paraId="1DE620EB" w14:textId="700B4829" w:rsidR="00AB3F04" w:rsidRPr="000A2AA8" w:rsidRDefault="00AB3F04">
            <w:r w:rsidRPr="000A2AA8">
              <w:t>Combined Interest Resource</w:t>
            </w:r>
          </w:p>
        </w:tc>
        <w:tc>
          <w:tcPr>
            <w:tcW w:w="1975" w:type="dxa"/>
            <w:vAlign w:val="center"/>
          </w:tcPr>
          <w:p w14:paraId="208992DE" w14:textId="77777777" w:rsidR="00AB3F04" w:rsidRPr="000A2AA8" w:rsidDel="000C5CBE" w:rsidRDefault="00AB3F04">
            <w:r w:rsidRPr="000A2AA8">
              <w:t>Entity</w:t>
            </w:r>
          </w:p>
        </w:tc>
        <w:tc>
          <w:tcPr>
            <w:tcW w:w="1440" w:type="dxa"/>
            <w:vAlign w:val="center"/>
          </w:tcPr>
          <w:p w14:paraId="58D40AAA" w14:textId="77777777" w:rsidR="00AB3F04" w:rsidRPr="000A2AA8" w:rsidRDefault="00AB3F04">
            <w:pPr>
              <w:jc w:val="center"/>
            </w:pPr>
            <w:r w:rsidRPr="000A2AA8">
              <w:t>3 mo</w:t>
            </w:r>
          </w:p>
        </w:tc>
        <w:tc>
          <w:tcPr>
            <w:tcW w:w="1620" w:type="dxa"/>
            <w:vAlign w:val="center"/>
          </w:tcPr>
          <w:p w14:paraId="59AA088D" w14:textId="61A5C104" w:rsidR="00AB3F04" w:rsidRPr="000A2AA8" w:rsidRDefault="004E2662">
            <w:pPr>
              <w:jc w:val="center"/>
            </w:pPr>
            <w:r>
              <w:t>1.5mo</w:t>
            </w:r>
          </w:p>
        </w:tc>
        <w:tc>
          <w:tcPr>
            <w:tcW w:w="1558" w:type="dxa"/>
            <w:vAlign w:val="center"/>
          </w:tcPr>
          <w:p w14:paraId="6B16FF88" w14:textId="2EEAA832" w:rsidR="00AB3F04" w:rsidRPr="000A2AA8" w:rsidRDefault="004E2662">
            <w:pPr>
              <w:jc w:val="center"/>
            </w:pPr>
            <w:r>
              <w:t>1.5mo</w:t>
            </w:r>
          </w:p>
        </w:tc>
      </w:tr>
      <w:tr w:rsidR="00AB3F04" w:rsidRPr="000A2AA8" w14:paraId="4D94C9AE" w14:textId="77777777">
        <w:trPr>
          <w:trHeight w:val="376"/>
          <w:jc w:val="center"/>
        </w:trPr>
        <w:tc>
          <w:tcPr>
            <w:tcW w:w="3595" w:type="dxa"/>
            <w:vAlign w:val="center"/>
          </w:tcPr>
          <w:p w14:paraId="39E4D30A" w14:textId="77777777" w:rsidR="00AB3F04" w:rsidRPr="000A2AA8" w:rsidRDefault="00AB3F04">
            <w:r w:rsidRPr="000A2AA8">
              <w:t>Combined Interest Resource</w:t>
            </w:r>
          </w:p>
        </w:tc>
        <w:tc>
          <w:tcPr>
            <w:tcW w:w="1975" w:type="dxa"/>
            <w:vAlign w:val="center"/>
          </w:tcPr>
          <w:p w14:paraId="1A80F7C8" w14:textId="77777777" w:rsidR="00AB3F04" w:rsidRPr="000A2AA8" w:rsidRDefault="00AB3F04">
            <w:r w:rsidRPr="000A2AA8">
              <w:t>Asset Owner</w:t>
            </w:r>
          </w:p>
        </w:tc>
        <w:tc>
          <w:tcPr>
            <w:tcW w:w="1440" w:type="dxa"/>
            <w:vAlign w:val="center"/>
          </w:tcPr>
          <w:p w14:paraId="60AE82A1" w14:textId="7B4355A9" w:rsidR="00AB3F04" w:rsidRPr="000A2AA8" w:rsidRDefault="004E2662">
            <w:pPr>
              <w:jc w:val="center"/>
            </w:pPr>
            <w:r>
              <w:t>1.5mo</w:t>
            </w:r>
          </w:p>
        </w:tc>
        <w:tc>
          <w:tcPr>
            <w:tcW w:w="1620" w:type="dxa"/>
            <w:vAlign w:val="center"/>
          </w:tcPr>
          <w:p w14:paraId="21D64590" w14:textId="77777777" w:rsidR="00AB3F04" w:rsidRPr="000A2AA8" w:rsidRDefault="00AB3F04">
            <w:pPr>
              <w:jc w:val="center"/>
            </w:pPr>
            <w:r w:rsidRPr="000A2AA8">
              <w:t>2 w</w:t>
            </w:r>
          </w:p>
        </w:tc>
        <w:tc>
          <w:tcPr>
            <w:tcW w:w="1558" w:type="dxa"/>
            <w:vAlign w:val="center"/>
          </w:tcPr>
          <w:p w14:paraId="34376E72" w14:textId="613A29E1" w:rsidR="00AB3F04" w:rsidRPr="000A2AA8" w:rsidRDefault="004E2662">
            <w:pPr>
              <w:jc w:val="center"/>
            </w:pPr>
            <w:r>
              <w:t>1.5mo</w:t>
            </w:r>
          </w:p>
        </w:tc>
      </w:tr>
      <w:tr w:rsidR="00AB3F04" w:rsidRPr="000A2AA8" w14:paraId="3295E2A0" w14:textId="77777777">
        <w:trPr>
          <w:trHeight w:val="376"/>
          <w:jc w:val="center"/>
        </w:trPr>
        <w:tc>
          <w:tcPr>
            <w:tcW w:w="3595" w:type="dxa"/>
            <w:vAlign w:val="center"/>
          </w:tcPr>
          <w:p w14:paraId="6009EFE0" w14:textId="77777777" w:rsidR="00AB3F04" w:rsidRPr="000A2AA8" w:rsidRDefault="00AB3F04">
            <w:r w:rsidRPr="000A2AA8">
              <w:t>Trading Hub</w:t>
            </w:r>
          </w:p>
        </w:tc>
        <w:tc>
          <w:tcPr>
            <w:tcW w:w="1975" w:type="dxa"/>
            <w:vAlign w:val="center"/>
          </w:tcPr>
          <w:p w14:paraId="78445224" w14:textId="77777777" w:rsidR="00AB3F04" w:rsidRPr="000A2AA8" w:rsidRDefault="00AB3F04">
            <w:r w:rsidRPr="000A2AA8">
              <w:t>Entity</w:t>
            </w:r>
          </w:p>
        </w:tc>
        <w:tc>
          <w:tcPr>
            <w:tcW w:w="1440" w:type="dxa"/>
            <w:vAlign w:val="center"/>
          </w:tcPr>
          <w:p w14:paraId="70103340" w14:textId="77777777" w:rsidR="00AB3F04" w:rsidRPr="000A2AA8" w:rsidRDefault="00AB3F04">
            <w:pPr>
              <w:jc w:val="center"/>
            </w:pPr>
            <w:r w:rsidRPr="000A2AA8">
              <w:rPr>
                <w:iCs/>
              </w:rPr>
              <w:t>6 mo</w:t>
            </w:r>
          </w:p>
        </w:tc>
        <w:tc>
          <w:tcPr>
            <w:tcW w:w="1620" w:type="dxa"/>
            <w:vAlign w:val="center"/>
          </w:tcPr>
          <w:p w14:paraId="388B07F9" w14:textId="77777777" w:rsidR="00AB3F04" w:rsidRPr="000A2AA8" w:rsidRDefault="00AB3F04">
            <w:pPr>
              <w:jc w:val="center"/>
            </w:pPr>
            <w:r w:rsidRPr="000A2AA8">
              <w:t>6 mo</w:t>
            </w:r>
          </w:p>
        </w:tc>
        <w:tc>
          <w:tcPr>
            <w:tcW w:w="1558" w:type="dxa"/>
            <w:vAlign w:val="center"/>
          </w:tcPr>
          <w:p w14:paraId="48BDC0AF" w14:textId="77777777" w:rsidR="00AB3F04" w:rsidRPr="000A2AA8" w:rsidRDefault="00AB3F04">
            <w:pPr>
              <w:jc w:val="center"/>
            </w:pPr>
            <w:r w:rsidRPr="000A2AA8">
              <w:t>6 mo</w:t>
            </w:r>
          </w:p>
        </w:tc>
      </w:tr>
      <w:tr w:rsidR="00AB3F04" w:rsidRPr="000A2AA8" w14:paraId="3FC12CF4" w14:textId="77777777">
        <w:trPr>
          <w:trHeight w:val="376"/>
          <w:jc w:val="center"/>
        </w:trPr>
        <w:tc>
          <w:tcPr>
            <w:tcW w:w="3595" w:type="dxa"/>
            <w:vAlign w:val="center"/>
          </w:tcPr>
          <w:p w14:paraId="3B23E0ED" w14:textId="0F6595C0" w:rsidR="00AB3F04" w:rsidRPr="000A2AA8" w:rsidRDefault="00AB3F04">
            <w:r w:rsidRPr="000A2AA8">
              <w:t>Resource Hub</w:t>
            </w:r>
          </w:p>
        </w:tc>
        <w:tc>
          <w:tcPr>
            <w:tcW w:w="1975" w:type="dxa"/>
            <w:vAlign w:val="center"/>
          </w:tcPr>
          <w:p w14:paraId="6A78C4E7" w14:textId="77777777" w:rsidR="00AB3F04" w:rsidRPr="000A2AA8" w:rsidRDefault="00AB3F04">
            <w:r w:rsidRPr="000A2AA8">
              <w:t>Entity</w:t>
            </w:r>
          </w:p>
        </w:tc>
        <w:tc>
          <w:tcPr>
            <w:tcW w:w="1440" w:type="dxa"/>
            <w:vAlign w:val="center"/>
          </w:tcPr>
          <w:p w14:paraId="3626C5D5" w14:textId="77777777" w:rsidR="00AB3F04" w:rsidRPr="000A2AA8" w:rsidRDefault="00AB3F04">
            <w:pPr>
              <w:jc w:val="center"/>
              <w:rPr>
                <w:iCs/>
              </w:rPr>
            </w:pPr>
            <w:r w:rsidRPr="000A2AA8">
              <w:rPr>
                <w:iCs/>
              </w:rPr>
              <w:t>6 mo</w:t>
            </w:r>
          </w:p>
        </w:tc>
        <w:tc>
          <w:tcPr>
            <w:tcW w:w="1620" w:type="dxa"/>
            <w:vAlign w:val="center"/>
          </w:tcPr>
          <w:p w14:paraId="08805626" w14:textId="77777777" w:rsidR="00AB3F04" w:rsidRPr="000A2AA8" w:rsidRDefault="00AB3F04">
            <w:pPr>
              <w:jc w:val="center"/>
            </w:pPr>
            <w:r w:rsidRPr="000A2AA8">
              <w:t>6 mo</w:t>
            </w:r>
          </w:p>
        </w:tc>
        <w:tc>
          <w:tcPr>
            <w:tcW w:w="1558" w:type="dxa"/>
            <w:vAlign w:val="center"/>
          </w:tcPr>
          <w:p w14:paraId="3E759425" w14:textId="77777777" w:rsidR="00AB3F04" w:rsidRPr="000A2AA8" w:rsidRDefault="00AB3F04">
            <w:pPr>
              <w:jc w:val="center"/>
            </w:pPr>
            <w:r w:rsidRPr="000A2AA8">
              <w:t>6 mo</w:t>
            </w:r>
          </w:p>
        </w:tc>
      </w:tr>
      <w:tr w:rsidR="00AB3F04" w:rsidRPr="000A2AA8" w14:paraId="3F33F840" w14:textId="77777777">
        <w:trPr>
          <w:trHeight w:val="376"/>
          <w:jc w:val="center"/>
        </w:trPr>
        <w:tc>
          <w:tcPr>
            <w:tcW w:w="3595" w:type="dxa"/>
            <w:vAlign w:val="center"/>
          </w:tcPr>
          <w:p w14:paraId="70E65A7D" w14:textId="77777777" w:rsidR="00AB3F04" w:rsidRPr="000A2AA8" w:rsidRDefault="00AB3F04">
            <w:r w:rsidRPr="000A2AA8">
              <w:t>Load Asset</w:t>
            </w:r>
          </w:p>
        </w:tc>
        <w:tc>
          <w:tcPr>
            <w:tcW w:w="1975" w:type="dxa"/>
            <w:vAlign w:val="center"/>
          </w:tcPr>
          <w:p w14:paraId="502A630C" w14:textId="77777777" w:rsidR="00AB3F04" w:rsidRPr="000A2AA8" w:rsidRDefault="00AB3F04">
            <w:r w:rsidRPr="000A2AA8">
              <w:t>Entity</w:t>
            </w:r>
          </w:p>
        </w:tc>
        <w:tc>
          <w:tcPr>
            <w:tcW w:w="1440" w:type="dxa"/>
            <w:vAlign w:val="center"/>
          </w:tcPr>
          <w:p w14:paraId="0526A419" w14:textId="472EA7A3" w:rsidR="00AB3F04" w:rsidRPr="000A2AA8" w:rsidRDefault="004E2662">
            <w:pPr>
              <w:jc w:val="center"/>
              <w:rPr>
                <w:iCs/>
              </w:rPr>
            </w:pPr>
            <w:r>
              <w:t>1.5mo</w:t>
            </w:r>
          </w:p>
        </w:tc>
        <w:tc>
          <w:tcPr>
            <w:tcW w:w="1620" w:type="dxa"/>
            <w:vAlign w:val="center"/>
          </w:tcPr>
          <w:p w14:paraId="3671F34D" w14:textId="63E1FD97" w:rsidR="00AB3F04" w:rsidRPr="000A2AA8" w:rsidRDefault="004E2662">
            <w:pPr>
              <w:jc w:val="center"/>
            </w:pPr>
            <w:r>
              <w:t>1.5mo</w:t>
            </w:r>
          </w:p>
        </w:tc>
        <w:tc>
          <w:tcPr>
            <w:tcW w:w="1558" w:type="dxa"/>
            <w:vAlign w:val="center"/>
          </w:tcPr>
          <w:p w14:paraId="4C8FAEDB" w14:textId="46BDA307" w:rsidR="00AB3F04" w:rsidRPr="000A2AA8" w:rsidRDefault="004E2662">
            <w:pPr>
              <w:jc w:val="center"/>
            </w:pPr>
            <w:r>
              <w:t>1.5mo</w:t>
            </w:r>
          </w:p>
        </w:tc>
      </w:tr>
      <w:tr w:rsidR="00AB3F04" w:rsidRPr="000A2AA8" w14:paraId="04BDDA65" w14:textId="77777777">
        <w:trPr>
          <w:trHeight w:val="376"/>
          <w:jc w:val="center"/>
        </w:trPr>
        <w:tc>
          <w:tcPr>
            <w:tcW w:w="3595" w:type="dxa"/>
            <w:vAlign w:val="center"/>
          </w:tcPr>
          <w:p w14:paraId="47C79048" w14:textId="77777777" w:rsidR="00AB3F04" w:rsidRPr="000A2AA8" w:rsidRDefault="00AB3F04">
            <w:r w:rsidRPr="000A2AA8">
              <w:t>Meter Agent</w:t>
            </w:r>
          </w:p>
        </w:tc>
        <w:tc>
          <w:tcPr>
            <w:tcW w:w="1975" w:type="dxa"/>
            <w:vAlign w:val="center"/>
          </w:tcPr>
          <w:p w14:paraId="4DF6FC9D" w14:textId="77777777" w:rsidR="00AB3F04" w:rsidRPr="000A2AA8" w:rsidRDefault="00AB3F04">
            <w:r w:rsidRPr="000A2AA8">
              <w:t>Entity</w:t>
            </w:r>
          </w:p>
        </w:tc>
        <w:tc>
          <w:tcPr>
            <w:tcW w:w="1440" w:type="dxa"/>
            <w:vAlign w:val="center"/>
          </w:tcPr>
          <w:p w14:paraId="1745E070" w14:textId="77777777" w:rsidR="00AB3F04" w:rsidRPr="000A2AA8" w:rsidRDefault="00AB3F04">
            <w:pPr>
              <w:jc w:val="center"/>
              <w:rPr>
                <w:iCs/>
              </w:rPr>
            </w:pPr>
            <w:r w:rsidRPr="000A2AA8">
              <w:rPr>
                <w:iCs/>
              </w:rPr>
              <w:t xml:space="preserve">6 mo </w:t>
            </w:r>
          </w:p>
        </w:tc>
        <w:tc>
          <w:tcPr>
            <w:tcW w:w="1620" w:type="dxa"/>
            <w:vAlign w:val="center"/>
          </w:tcPr>
          <w:p w14:paraId="6EBFF483" w14:textId="77777777" w:rsidR="00AB3F04" w:rsidRPr="000A2AA8" w:rsidRDefault="00AB3F04">
            <w:pPr>
              <w:jc w:val="center"/>
            </w:pPr>
            <w:r w:rsidRPr="000A2AA8">
              <w:t>6 mo</w:t>
            </w:r>
          </w:p>
        </w:tc>
        <w:tc>
          <w:tcPr>
            <w:tcW w:w="1558" w:type="dxa"/>
            <w:vAlign w:val="center"/>
          </w:tcPr>
          <w:p w14:paraId="55143EE6" w14:textId="77777777" w:rsidR="00AB3F04" w:rsidRPr="000A2AA8" w:rsidRDefault="00AB3F04">
            <w:pPr>
              <w:jc w:val="center"/>
            </w:pPr>
            <w:r w:rsidRPr="000A2AA8">
              <w:t>4 mo</w:t>
            </w:r>
          </w:p>
        </w:tc>
      </w:tr>
      <w:tr w:rsidR="00AB3F04" w:rsidRPr="000A2AA8" w14:paraId="3E8723B9" w14:textId="77777777">
        <w:trPr>
          <w:trHeight w:val="376"/>
          <w:jc w:val="center"/>
        </w:trPr>
        <w:tc>
          <w:tcPr>
            <w:tcW w:w="3595" w:type="dxa"/>
            <w:vAlign w:val="center"/>
          </w:tcPr>
          <w:p w14:paraId="02700A32" w14:textId="77777777" w:rsidR="00AB3F04" w:rsidRPr="000A2AA8" w:rsidRDefault="00AB3F04">
            <w:r w:rsidRPr="000A2AA8">
              <w:t>Meter Data Submittal Location</w:t>
            </w:r>
          </w:p>
        </w:tc>
        <w:tc>
          <w:tcPr>
            <w:tcW w:w="1975" w:type="dxa"/>
            <w:vAlign w:val="center"/>
          </w:tcPr>
          <w:p w14:paraId="1F43C7CE" w14:textId="77777777" w:rsidR="00AB3F04" w:rsidRPr="000A2AA8" w:rsidRDefault="00AB3F04">
            <w:r w:rsidRPr="000A2AA8">
              <w:t>Entity</w:t>
            </w:r>
          </w:p>
        </w:tc>
        <w:tc>
          <w:tcPr>
            <w:tcW w:w="1440" w:type="dxa"/>
            <w:vAlign w:val="center"/>
          </w:tcPr>
          <w:p w14:paraId="0654E0B1" w14:textId="7424252C" w:rsidR="00AB3F04" w:rsidRPr="000A2AA8" w:rsidRDefault="004E2662">
            <w:pPr>
              <w:jc w:val="center"/>
              <w:rPr>
                <w:iCs/>
              </w:rPr>
            </w:pPr>
            <w:r>
              <w:t>1.5mo</w:t>
            </w:r>
          </w:p>
        </w:tc>
        <w:tc>
          <w:tcPr>
            <w:tcW w:w="1620" w:type="dxa"/>
            <w:vAlign w:val="center"/>
          </w:tcPr>
          <w:p w14:paraId="013C88EC" w14:textId="29B2FCD3" w:rsidR="00AB3F04" w:rsidRPr="000A2AA8" w:rsidRDefault="004E2662">
            <w:pPr>
              <w:jc w:val="center"/>
            </w:pPr>
            <w:r>
              <w:t>1.5mo</w:t>
            </w:r>
          </w:p>
        </w:tc>
        <w:tc>
          <w:tcPr>
            <w:tcW w:w="1558" w:type="dxa"/>
            <w:vAlign w:val="center"/>
          </w:tcPr>
          <w:p w14:paraId="0A5D7611" w14:textId="5299FD99" w:rsidR="00AB3F04" w:rsidRPr="000A2AA8" w:rsidRDefault="004E2662">
            <w:pPr>
              <w:jc w:val="center"/>
            </w:pPr>
            <w:r>
              <w:t>1.5mo</w:t>
            </w:r>
          </w:p>
        </w:tc>
      </w:tr>
      <w:tr w:rsidR="00AB3F04" w:rsidRPr="000A2AA8" w14:paraId="57585DC7" w14:textId="77777777">
        <w:trPr>
          <w:trHeight w:val="376"/>
          <w:jc w:val="center"/>
        </w:trPr>
        <w:tc>
          <w:tcPr>
            <w:tcW w:w="3595" w:type="dxa"/>
            <w:vAlign w:val="center"/>
          </w:tcPr>
          <w:p w14:paraId="6172425D" w14:textId="77777777" w:rsidR="00AB3F04" w:rsidRPr="000A2AA8" w:rsidRDefault="00AB3F04">
            <w:r w:rsidRPr="000A2AA8">
              <w:t>Settlement Area</w:t>
            </w:r>
          </w:p>
        </w:tc>
        <w:tc>
          <w:tcPr>
            <w:tcW w:w="1975" w:type="dxa"/>
            <w:vAlign w:val="center"/>
          </w:tcPr>
          <w:p w14:paraId="7768DD52" w14:textId="77777777" w:rsidR="00AB3F04" w:rsidRPr="000A2AA8" w:rsidRDefault="00AB3F04">
            <w:r w:rsidRPr="000A2AA8">
              <w:t>Entity</w:t>
            </w:r>
          </w:p>
        </w:tc>
        <w:tc>
          <w:tcPr>
            <w:tcW w:w="1440" w:type="dxa"/>
            <w:vAlign w:val="center"/>
          </w:tcPr>
          <w:p w14:paraId="0CFF9671" w14:textId="77777777" w:rsidR="00AB3F04" w:rsidRPr="000A2AA8" w:rsidRDefault="00AB3F04">
            <w:pPr>
              <w:jc w:val="center"/>
              <w:rPr>
                <w:iCs/>
              </w:rPr>
            </w:pPr>
            <w:r w:rsidRPr="000A2AA8">
              <w:rPr>
                <w:iCs/>
              </w:rPr>
              <w:t>4 mo</w:t>
            </w:r>
          </w:p>
        </w:tc>
        <w:tc>
          <w:tcPr>
            <w:tcW w:w="1620" w:type="dxa"/>
            <w:vAlign w:val="center"/>
          </w:tcPr>
          <w:p w14:paraId="443B2612" w14:textId="77777777" w:rsidR="00AB3F04" w:rsidRPr="000A2AA8" w:rsidRDefault="00AB3F04">
            <w:pPr>
              <w:jc w:val="center"/>
            </w:pPr>
            <w:r w:rsidRPr="000A2AA8">
              <w:t>4 mo</w:t>
            </w:r>
          </w:p>
        </w:tc>
        <w:tc>
          <w:tcPr>
            <w:tcW w:w="1558" w:type="dxa"/>
            <w:vAlign w:val="center"/>
          </w:tcPr>
          <w:p w14:paraId="2C306325" w14:textId="77777777" w:rsidR="00AB3F04" w:rsidRPr="000A2AA8" w:rsidRDefault="00AB3F04">
            <w:pPr>
              <w:jc w:val="center"/>
            </w:pPr>
            <w:r w:rsidRPr="000A2AA8">
              <w:t>6 mo</w:t>
            </w:r>
          </w:p>
        </w:tc>
      </w:tr>
      <w:tr w:rsidR="00AB3F04" w:rsidRPr="000A2AA8" w14:paraId="70C1DEA4" w14:textId="77777777">
        <w:trPr>
          <w:trHeight w:val="376"/>
          <w:jc w:val="center"/>
        </w:trPr>
        <w:tc>
          <w:tcPr>
            <w:tcW w:w="3595" w:type="dxa"/>
            <w:vAlign w:val="center"/>
          </w:tcPr>
          <w:p w14:paraId="7412853D" w14:textId="77777777" w:rsidR="00AB3F04" w:rsidRPr="000A2AA8" w:rsidRDefault="00AB3F04">
            <w:r w:rsidRPr="000A2AA8">
              <w:t>Settlement Location</w:t>
            </w:r>
          </w:p>
        </w:tc>
        <w:tc>
          <w:tcPr>
            <w:tcW w:w="1975" w:type="dxa"/>
            <w:vAlign w:val="center"/>
          </w:tcPr>
          <w:p w14:paraId="058E6F39" w14:textId="77777777" w:rsidR="00AB3F04" w:rsidRPr="000A2AA8" w:rsidRDefault="00AB3F04">
            <w:r w:rsidRPr="000A2AA8">
              <w:t>Entity</w:t>
            </w:r>
          </w:p>
        </w:tc>
        <w:tc>
          <w:tcPr>
            <w:tcW w:w="1440" w:type="dxa"/>
            <w:vAlign w:val="center"/>
          </w:tcPr>
          <w:p w14:paraId="444D8D23" w14:textId="78A2B357" w:rsidR="00AB3F04" w:rsidRPr="000A2AA8" w:rsidRDefault="004E2662">
            <w:pPr>
              <w:jc w:val="center"/>
              <w:rPr>
                <w:iCs/>
              </w:rPr>
            </w:pPr>
            <w:r>
              <w:t>1.5mo</w:t>
            </w:r>
          </w:p>
        </w:tc>
        <w:tc>
          <w:tcPr>
            <w:tcW w:w="1620" w:type="dxa"/>
            <w:vAlign w:val="center"/>
          </w:tcPr>
          <w:p w14:paraId="6E2C50BA" w14:textId="14C70BDE" w:rsidR="00AB3F04" w:rsidRPr="000A2AA8" w:rsidRDefault="004E2662">
            <w:pPr>
              <w:jc w:val="center"/>
            </w:pPr>
            <w:r>
              <w:t>1.5mo</w:t>
            </w:r>
          </w:p>
        </w:tc>
        <w:tc>
          <w:tcPr>
            <w:tcW w:w="1558" w:type="dxa"/>
            <w:vAlign w:val="center"/>
          </w:tcPr>
          <w:p w14:paraId="3521E7AE" w14:textId="331EEF7C" w:rsidR="00AB3F04" w:rsidRPr="000A2AA8" w:rsidRDefault="004E2662">
            <w:pPr>
              <w:jc w:val="center"/>
            </w:pPr>
            <w:r>
              <w:t>1.5mo</w:t>
            </w:r>
          </w:p>
        </w:tc>
      </w:tr>
      <w:tr w:rsidR="00AB3F04" w:rsidRPr="000A2AA8" w14:paraId="25706DD9" w14:textId="77777777">
        <w:trPr>
          <w:trHeight w:val="376"/>
          <w:jc w:val="center"/>
        </w:trPr>
        <w:tc>
          <w:tcPr>
            <w:tcW w:w="3595" w:type="dxa"/>
            <w:vAlign w:val="center"/>
          </w:tcPr>
          <w:p w14:paraId="58873103" w14:textId="77777777" w:rsidR="00AB3F04" w:rsidRPr="000A2AA8" w:rsidRDefault="00AB3F04">
            <w:r w:rsidRPr="000A2AA8">
              <w:t>Source/Sink</w:t>
            </w:r>
          </w:p>
        </w:tc>
        <w:tc>
          <w:tcPr>
            <w:tcW w:w="1975" w:type="dxa"/>
            <w:vAlign w:val="center"/>
          </w:tcPr>
          <w:p w14:paraId="55702E9C" w14:textId="77777777" w:rsidR="00AB3F04" w:rsidRPr="000A2AA8" w:rsidRDefault="00AB3F04">
            <w:r w:rsidRPr="000A2AA8">
              <w:t>Entity</w:t>
            </w:r>
          </w:p>
        </w:tc>
        <w:tc>
          <w:tcPr>
            <w:tcW w:w="1440" w:type="dxa"/>
            <w:vAlign w:val="center"/>
          </w:tcPr>
          <w:p w14:paraId="4BB8ED70" w14:textId="77777777" w:rsidR="00AB3F04" w:rsidRPr="000A2AA8" w:rsidRDefault="00AB3F04">
            <w:pPr>
              <w:jc w:val="center"/>
              <w:rPr>
                <w:iCs/>
              </w:rPr>
            </w:pPr>
            <w:r w:rsidRPr="000A2AA8">
              <w:rPr>
                <w:iCs/>
              </w:rPr>
              <w:t>2 w</w:t>
            </w:r>
          </w:p>
        </w:tc>
        <w:tc>
          <w:tcPr>
            <w:tcW w:w="1620" w:type="dxa"/>
            <w:vAlign w:val="center"/>
          </w:tcPr>
          <w:p w14:paraId="1079C891" w14:textId="77777777" w:rsidR="00AB3F04" w:rsidRPr="000A2AA8" w:rsidRDefault="00AB3F04">
            <w:pPr>
              <w:jc w:val="center"/>
            </w:pPr>
            <w:r w:rsidRPr="000A2AA8">
              <w:t>2 w</w:t>
            </w:r>
          </w:p>
        </w:tc>
        <w:tc>
          <w:tcPr>
            <w:tcW w:w="1558" w:type="dxa"/>
            <w:vAlign w:val="center"/>
          </w:tcPr>
          <w:p w14:paraId="2B102537" w14:textId="77777777" w:rsidR="00AB3F04" w:rsidRPr="000A2AA8" w:rsidRDefault="00AB3F04">
            <w:pPr>
              <w:jc w:val="center"/>
            </w:pPr>
            <w:r w:rsidRPr="000A2AA8">
              <w:t>2 w</w:t>
            </w:r>
          </w:p>
        </w:tc>
      </w:tr>
      <w:tr w:rsidR="00AB3F04" w:rsidRPr="000A2AA8" w14:paraId="1AE9AD06" w14:textId="77777777">
        <w:trPr>
          <w:trHeight w:val="376"/>
          <w:jc w:val="center"/>
        </w:trPr>
        <w:tc>
          <w:tcPr>
            <w:tcW w:w="3595" w:type="dxa"/>
            <w:vAlign w:val="center"/>
          </w:tcPr>
          <w:p w14:paraId="6532E084" w14:textId="77777777" w:rsidR="00AB3F04" w:rsidRPr="000A2AA8" w:rsidRDefault="00AB3F04">
            <w:r>
              <w:t xml:space="preserve">MTSP </w:t>
            </w:r>
            <w:r w:rsidRPr="1406C58E">
              <w:t>Transmission Customer</w:t>
            </w:r>
          </w:p>
        </w:tc>
        <w:tc>
          <w:tcPr>
            <w:tcW w:w="1975" w:type="dxa"/>
            <w:vAlign w:val="center"/>
          </w:tcPr>
          <w:p w14:paraId="6BDC1B1E" w14:textId="77777777" w:rsidR="00AB3F04" w:rsidRPr="000A2AA8" w:rsidRDefault="00AB3F04">
            <w:r w:rsidRPr="000A2AA8">
              <w:t>Entity</w:t>
            </w:r>
          </w:p>
        </w:tc>
        <w:tc>
          <w:tcPr>
            <w:tcW w:w="1440" w:type="dxa"/>
            <w:vAlign w:val="center"/>
          </w:tcPr>
          <w:p w14:paraId="76092EB4" w14:textId="77777777" w:rsidR="00AB3F04" w:rsidRPr="000A2AA8" w:rsidRDefault="00AB3F04">
            <w:pPr>
              <w:jc w:val="center"/>
              <w:rPr>
                <w:iCs/>
              </w:rPr>
            </w:pPr>
            <w:r w:rsidRPr="000A2AA8">
              <w:rPr>
                <w:iCs/>
              </w:rPr>
              <w:t>4 mo</w:t>
            </w:r>
          </w:p>
        </w:tc>
        <w:tc>
          <w:tcPr>
            <w:tcW w:w="1620" w:type="dxa"/>
            <w:vAlign w:val="center"/>
          </w:tcPr>
          <w:p w14:paraId="5951A34E" w14:textId="77777777" w:rsidR="00AB3F04" w:rsidRPr="000A2AA8" w:rsidRDefault="00AB3F04">
            <w:pPr>
              <w:jc w:val="center"/>
            </w:pPr>
            <w:r w:rsidRPr="000A2AA8">
              <w:t>-</w:t>
            </w:r>
          </w:p>
        </w:tc>
        <w:tc>
          <w:tcPr>
            <w:tcW w:w="1558" w:type="dxa"/>
            <w:vAlign w:val="center"/>
          </w:tcPr>
          <w:p w14:paraId="2BF2C12D" w14:textId="77777777" w:rsidR="00AB3F04" w:rsidRPr="000A2AA8" w:rsidRDefault="00AB3F04">
            <w:pPr>
              <w:jc w:val="center"/>
            </w:pPr>
            <w:r w:rsidRPr="000A2AA8">
              <w:t>2 mo</w:t>
            </w:r>
          </w:p>
        </w:tc>
      </w:tr>
      <w:tr w:rsidR="00AB3F04" w:rsidRPr="000A2AA8" w14:paraId="29F6E919" w14:textId="77777777">
        <w:trPr>
          <w:trHeight w:val="376"/>
          <w:jc w:val="center"/>
        </w:trPr>
        <w:tc>
          <w:tcPr>
            <w:tcW w:w="3595" w:type="dxa"/>
            <w:vAlign w:val="center"/>
          </w:tcPr>
          <w:p w14:paraId="119F7236" w14:textId="77777777" w:rsidR="00AB3F04" w:rsidRPr="000A2AA8" w:rsidRDefault="00AB3F04">
            <w:r>
              <w:t xml:space="preserve">MTSP </w:t>
            </w:r>
            <w:r w:rsidRPr="000A2AA8">
              <w:t>Transmission Customer</w:t>
            </w:r>
          </w:p>
        </w:tc>
        <w:tc>
          <w:tcPr>
            <w:tcW w:w="1975" w:type="dxa"/>
            <w:vAlign w:val="center"/>
          </w:tcPr>
          <w:p w14:paraId="2CED297B" w14:textId="77777777" w:rsidR="00AB3F04" w:rsidRPr="000A2AA8" w:rsidRDefault="00AB3F04">
            <w:r w:rsidRPr="000A2AA8">
              <w:t>Short Name</w:t>
            </w:r>
          </w:p>
        </w:tc>
        <w:tc>
          <w:tcPr>
            <w:tcW w:w="1440" w:type="dxa"/>
            <w:vAlign w:val="center"/>
          </w:tcPr>
          <w:p w14:paraId="215D1F70" w14:textId="77777777" w:rsidR="00AB3F04" w:rsidRPr="000A2AA8" w:rsidRDefault="00AB3F04">
            <w:pPr>
              <w:jc w:val="center"/>
              <w:rPr>
                <w:iCs/>
              </w:rPr>
            </w:pPr>
            <w:r w:rsidRPr="000A2AA8">
              <w:rPr>
                <w:iCs/>
              </w:rPr>
              <w:t>-</w:t>
            </w:r>
          </w:p>
        </w:tc>
        <w:tc>
          <w:tcPr>
            <w:tcW w:w="1620" w:type="dxa"/>
            <w:vAlign w:val="center"/>
          </w:tcPr>
          <w:p w14:paraId="0C8BD7AB" w14:textId="77777777" w:rsidR="00AB3F04" w:rsidRPr="000A2AA8" w:rsidRDefault="00AB3F04">
            <w:pPr>
              <w:jc w:val="center"/>
            </w:pPr>
            <w:r w:rsidRPr="000A2AA8">
              <w:t>6 mo</w:t>
            </w:r>
          </w:p>
        </w:tc>
        <w:tc>
          <w:tcPr>
            <w:tcW w:w="1558" w:type="dxa"/>
            <w:vAlign w:val="center"/>
          </w:tcPr>
          <w:p w14:paraId="6BDD75A3" w14:textId="77777777" w:rsidR="00AB3F04" w:rsidRPr="000A2AA8" w:rsidRDefault="00AB3F04">
            <w:pPr>
              <w:jc w:val="center"/>
            </w:pPr>
            <w:r w:rsidRPr="000A2AA8">
              <w:t>-</w:t>
            </w:r>
          </w:p>
        </w:tc>
      </w:tr>
      <w:tr w:rsidR="00AB3F04" w:rsidRPr="000A2AA8" w14:paraId="0892CAA1" w14:textId="77777777">
        <w:trPr>
          <w:trHeight w:val="376"/>
          <w:jc w:val="center"/>
        </w:trPr>
        <w:tc>
          <w:tcPr>
            <w:tcW w:w="3595" w:type="dxa"/>
            <w:vAlign w:val="center"/>
          </w:tcPr>
          <w:p w14:paraId="005939BB" w14:textId="77777777" w:rsidR="00AB3F04" w:rsidRPr="000A2AA8" w:rsidRDefault="00AB3F04">
            <w:r>
              <w:t xml:space="preserve">MTSP </w:t>
            </w:r>
            <w:r w:rsidRPr="000A2AA8">
              <w:t>Transmission Customer</w:t>
            </w:r>
          </w:p>
        </w:tc>
        <w:tc>
          <w:tcPr>
            <w:tcW w:w="1975" w:type="dxa"/>
            <w:vAlign w:val="center"/>
          </w:tcPr>
          <w:p w14:paraId="7A085FA5" w14:textId="77777777" w:rsidR="00AB3F04" w:rsidRPr="000A2AA8" w:rsidRDefault="00AB3F04">
            <w:r w:rsidRPr="000A2AA8">
              <w:t>Long Name</w:t>
            </w:r>
          </w:p>
        </w:tc>
        <w:tc>
          <w:tcPr>
            <w:tcW w:w="1440" w:type="dxa"/>
            <w:vAlign w:val="center"/>
          </w:tcPr>
          <w:p w14:paraId="2E4A3D4C" w14:textId="77777777" w:rsidR="00AB3F04" w:rsidRPr="000A2AA8" w:rsidRDefault="00AB3F04">
            <w:pPr>
              <w:jc w:val="center"/>
              <w:rPr>
                <w:iCs/>
              </w:rPr>
            </w:pPr>
            <w:r w:rsidRPr="000A2AA8">
              <w:rPr>
                <w:iCs/>
              </w:rPr>
              <w:t>-</w:t>
            </w:r>
          </w:p>
        </w:tc>
        <w:tc>
          <w:tcPr>
            <w:tcW w:w="1620" w:type="dxa"/>
            <w:vAlign w:val="center"/>
          </w:tcPr>
          <w:p w14:paraId="711E5450" w14:textId="44D6257D" w:rsidR="00AB3F04" w:rsidRPr="000A2AA8" w:rsidRDefault="004E2662">
            <w:pPr>
              <w:jc w:val="center"/>
            </w:pPr>
            <w:r>
              <w:t>1.5mo</w:t>
            </w:r>
          </w:p>
        </w:tc>
        <w:tc>
          <w:tcPr>
            <w:tcW w:w="1558" w:type="dxa"/>
            <w:vAlign w:val="center"/>
          </w:tcPr>
          <w:p w14:paraId="33957ABF" w14:textId="77777777" w:rsidR="00AB3F04" w:rsidRPr="000A2AA8" w:rsidRDefault="00AB3F04">
            <w:pPr>
              <w:jc w:val="center"/>
            </w:pPr>
            <w:r w:rsidRPr="000A2AA8">
              <w:t>-</w:t>
            </w:r>
          </w:p>
        </w:tc>
      </w:tr>
      <w:tr w:rsidR="00AB3F04" w:rsidRPr="000A2AA8" w14:paraId="7A34FC2E" w14:textId="77777777">
        <w:trPr>
          <w:cantSplit/>
          <w:trHeight w:val="376"/>
          <w:jc w:val="center"/>
        </w:trPr>
        <w:tc>
          <w:tcPr>
            <w:tcW w:w="3595" w:type="dxa"/>
            <w:vAlign w:val="center"/>
          </w:tcPr>
          <w:p w14:paraId="027442C8" w14:textId="77777777" w:rsidR="00AB3F04" w:rsidRPr="000A2AA8" w:rsidRDefault="00AB3F04">
            <w:r>
              <w:t xml:space="preserve">MTSP </w:t>
            </w:r>
            <w:r w:rsidRPr="000A2AA8">
              <w:t>Transmission Customer</w:t>
            </w:r>
          </w:p>
        </w:tc>
        <w:tc>
          <w:tcPr>
            <w:tcW w:w="1975" w:type="dxa"/>
            <w:vAlign w:val="center"/>
          </w:tcPr>
          <w:p w14:paraId="4132A04A" w14:textId="77777777" w:rsidR="00AB3F04" w:rsidRPr="000A2AA8" w:rsidRDefault="00AB3F04">
            <w:r w:rsidRPr="000A2AA8">
              <w:t>Asset Owner</w:t>
            </w:r>
          </w:p>
        </w:tc>
        <w:tc>
          <w:tcPr>
            <w:tcW w:w="1440" w:type="dxa"/>
            <w:vAlign w:val="center"/>
          </w:tcPr>
          <w:p w14:paraId="4E3C021D" w14:textId="77777777" w:rsidR="00AB3F04" w:rsidRPr="000A2AA8" w:rsidRDefault="00AB3F04">
            <w:pPr>
              <w:jc w:val="center"/>
              <w:rPr>
                <w:iCs/>
              </w:rPr>
            </w:pPr>
            <w:r w:rsidRPr="000A2AA8">
              <w:rPr>
                <w:iCs/>
              </w:rPr>
              <w:t>-</w:t>
            </w:r>
          </w:p>
        </w:tc>
        <w:tc>
          <w:tcPr>
            <w:tcW w:w="1620" w:type="dxa"/>
            <w:vAlign w:val="center"/>
          </w:tcPr>
          <w:p w14:paraId="6F29EB19" w14:textId="66690426" w:rsidR="00AB3F04" w:rsidRPr="000A2AA8" w:rsidRDefault="004E2662">
            <w:pPr>
              <w:jc w:val="center"/>
            </w:pPr>
            <w:r>
              <w:t>1.5mo</w:t>
            </w:r>
          </w:p>
        </w:tc>
        <w:tc>
          <w:tcPr>
            <w:tcW w:w="1558" w:type="dxa"/>
            <w:vAlign w:val="center"/>
          </w:tcPr>
          <w:p w14:paraId="362D12BF" w14:textId="77777777" w:rsidR="00AB3F04" w:rsidRPr="000A2AA8" w:rsidRDefault="00AB3F04">
            <w:pPr>
              <w:jc w:val="center"/>
            </w:pPr>
            <w:r w:rsidRPr="000A2AA8">
              <w:t>-</w:t>
            </w:r>
          </w:p>
        </w:tc>
      </w:tr>
      <w:tr w:rsidR="00AB3F04" w:rsidRPr="000A2AA8" w14:paraId="3DAFBE2C" w14:textId="77777777">
        <w:trPr>
          <w:trHeight w:val="376"/>
          <w:jc w:val="center"/>
        </w:trPr>
        <w:tc>
          <w:tcPr>
            <w:tcW w:w="3595" w:type="dxa"/>
            <w:vAlign w:val="center"/>
          </w:tcPr>
          <w:p w14:paraId="5DBB65E6" w14:textId="77777777" w:rsidR="00AB3F04" w:rsidRPr="000A2AA8" w:rsidRDefault="00AB3F04">
            <w:r w:rsidRPr="000A2AA8">
              <w:t>Asset Owner Company</w:t>
            </w:r>
          </w:p>
        </w:tc>
        <w:tc>
          <w:tcPr>
            <w:tcW w:w="1975" w:type="dxa"/>
            <w:vAlign w:val="center"/>
          </w:tcPr>
          <w:p w14:paraId="794105B0" w14:textId="77777777" w:rsidR="00AB3F04" w:rsidRPr="000A2AA8" w:rsidRDefault="00AB3F04">
            <w:r w:rsidRPr="000A2AA8">
              <w:t>Entity</w:t>
            </w:r>
          </w:p>
        </w:tc>
        <w:tc>
          <w:tcPr>
            <w:tcW w:w="1440" w:type="dxa"/>
            <w:vAlign w:val="center"/>
          </w:tcPr>
          <w:p w14:paraId="4E8428AC" w14:textId="65D11A8A" w:rsidR="00AB3F04" w:rsidRPr="000A2AA8" w:rsidRDefault="004E2662">
            <w:pPr>
              <w:jc w:val="center"/>
              <w:rPr>
                <w:iCs/>
              </w:rPr>
            </w:pPr>
            <w:r>
              <w:t>1.5mo</w:t>
            </w:r>
          </w:p>
        </w:tc>
        <w:tc>
          <w:tcPr>
            <w:tcW w:w="1620" w:type="dxa"/>
            <w:vAlign w:val="center"/>
          </w:tcPr>
          <w:p w14:paraId="3F193284" w14:textId="21F42030" w:rsidR="00AB3F04" w:rsidRPr="000A2AA8" w:rsidRDefault="004E2662">
            <w:pPr>
              <w:jc w:val="center"/>
            </w:pPr>
            <w:r>
              <w:t>1.5mo</w:t>
            </w:r>
          </w:p>
        </w:tc>
        <w:tc>
          <w:tcPr>
            <w:tcW w:w="1558" w:type="dxa"/>
            <w:vAlign w:val="center"/>
          </w:tcPr>
          <w:p w14:paraId="44B3B83C" w14:textId="77777777" w:rsidR="00AB3F04" w:rsidRPr="000A2AA8" w:rsidRDefault="00AB3F04">
            <w:pPr>
              <w:jc w:val="center"/>
            </w:pPr>
            <w:r w:rsidRPr="000A2AA8">
              <w:t>4 mo</w:t>
            </w:r>
          </w:p>
        </w:tc>
      </w:tr>
      <w:tr w:rsidR="00AB3F04" w:rsidRPr="000A2AA8" w14:paraId="5A183D20" w14:textId="77777777">
        <w:trPr>
          <w:trHeight w:val="376"/>
          <w:jc w:val="center"/>
        </w:trPr>
        <w:tc>
          <w:tcPr>
            <w:tcW w:w="3595" w:type="dxa"/>
            <w:vAlign w:val="center"/>
          </w:tcPr>
          <w:p w14:paraId="1A1F78CD" w14:textId="77777777" w:rsidR="00AB3F04" w:rsidRPr="000A2AA8" w:rsidRDefault="00AB3F04">
            <w:r w:rsidRPr="000A2AA8">
              <w:t>EMS Equipment</w:t>
            </w:r>
          </w:p>
        </w:tc>
        <w:tc>
          <w:tcPr>
            <w:tcW w:w="1975" w:type="dxa"/>
            <w:vAlign w:val="center"/>
          </w:tcPr>
          <w:p w14:paraId="446A09A5" w14:textId="77777777" w:rsidR="00AB3F04" w:rsidRPr="000A2AA8" w:rsidRDefault="00AB3F04">
            <w:r w:rsidRPr="000A2AA8">
              <w:t>Entity</w:t>
            </w:r>
          </w:p>
        </w:tc>
        <w:tc>
          <w:tcPr>
            <w:tcW w:w="1440" w:type="dxa"/>
            <w:vAlign w:val="center"/>
          </w:tcPr>
          <w:p w14:paraId="3300C91F" w14:textId="4FD08D1D" w:rsidR="00AB3F04" w:rsidRPr="000A2AA8" w:rsidRDefault="00AB3F04">
            <w:pPr>
              <w:jc w:val="center"/>
              <w:rPr>
                <w:iCs/>
              </w:rPr>
            </w:pPr>
            <w:r w:rsidRPr="000A2AA8">
              <w:rPr>
                <w:iCs/>
              </w:rPr>
              <w:t>45 d</w:t>
            </w:r>
          </w:p>
        </w:tc>
        <w:tc>
          <w:tcPr>
            <w:tcW w:w="1620" w:type="dxa"/>
            <w:vAlign w:val="center"/>
          </w:tcPr>
          <w:p w14:paraId="40307D5C" w14:textId="0EC267A2" w:rsidR="00AB3F04" w:rsidRPr="000A2AA8" w:rsidRDefault="00AB3F04">
            <w:pPr>
              <w:jc w:val="center"/>
            </w:pPr>
            <w:r w:rsidRPr="000A2AA8">
              <w:t>45 d</w:t>
            </w:r>
          </w:p>
        </w:tc>
        <w:tc>
          <w:tcPr>
            <w:tcW w:w="1558" w:type="dxa"/>
            <w:vAlign w:val="center"/>
          </w:tcPr>
          <w:p w14:paraId="1F45F6C2" w14:textId="530E5A03" w:rsidR="00AB3F04" w:rsidRPr="000A2AA8" w:rsidRDefault="00AB3F04">
            <w:pPr>
              <w:jc w:val="center"/>
            </w:pPr>
            <w:r w:rsidRPr="000A2AA8">
              <w:t>45 d</w:t>
            </w:r>
          </w:p>
        </w:tc>
      </w:tr>
      <w:tr w:rsidR="00AB3F04" w:rsidRPr="000A2AA8" w14:paraId="41B14F40" w14:textId="77777777">
        <w:trPr>
          <w:trHeight w:val="376"/>
          <w:jc w:val="center"/>
        </w:trPr>
        <w:tc>
          <w:tcPr>
            <w:tcW w:w="3595" w:type="dxa"/>
            <w:vAlign w:val="center"/>
          </w:tcPr>
          <w:p w14:paraId="6EEDEDDB" w14:textId="77777777" w:rsidR="00AB3F04" w:rsidRPr="000A2AA8" w:rsidRDefault="00AB3F04">
            <w:r w:rsidRPr="000A2AA8">
              <w:t>EMS Contingency</w:t>
            </w:r>
          </w:p>
        </w:tc>
        <w:tc>
          <w:tcPr>
            <w:tcW w:w="1975" w:type="dxa"/>
            <w:vAlign w:val="center"/>
          </w:tcPr>
          <w:p w14:paraId="38CAE6B7" w14:textId="77777777" w:rsidR="00AB3F04" w:rsidRPr="000A2AA8" w:rsidRDefault="00AB3F04">
            <w:r w:rsidRPr="000A2AA8">
              <w:t>Entity</w:t>
            </w:r>
          </w:p>
        </w:tc>
        <w:tc>
          <w:tcPr>
            <w:tcW w:w="1440" w:type="dxa"/>
            <w:vAlign w:val="center"/>
          </w:tcPr>
          <w:p w14:paraId="5B01D392" w14:textId="77777777" w:rsidR="00AB3F04" w:rsidRPr="000A2AA8" w:rsidRDefault="00AB3F04">
            <w:pPr>
              <w:jc w:val="center"/>
              <w:rPr>
                <w:iCs/>
              </w:rPr>
            </w:pPr>
            <w:r w:rsidRPr="000A2AA8">
              <w:rPr>
                <w:iCs/>
              </w:rPr>
              <w:t>2 w</w:t>
            </w:r>
          </w:p>
        </w:tc>
        <w:tc>
          <w:tcPr>
            <w:tcW w:w="1620" w:type="dxa"/>
            <w:vAlign w:val="center"/>
          </w:tcPr>
          <w:p w14:paraId="701E60C0" w14:textId="77777777" w:rsidR="00AB3F04" w:rsidRPr="000A2AA8" w:rsidRDefault="00AB3F04">
            <w:pPr>
              <w:jc w:val="center"/>
            </w:pPr>
            <w:r w:rsidRPr="000A2AA8">
              <w:t>-</w:t>
            </w:r>
          </w:p>
        </w:tc>
        <w:tc>
          <w:tcPr>
            <w:tcW w:w="1558" w:type="dxa"/>
            <w:vAlign w:val="center"/>
          </w:tcPr>
          <w:p w14:paraId="5872A859" w14:textId="77777777" w:rsidR="00AB3F04" w:rsidRPr="000A2AA8" w:rsidRDefault="00AB3F04">
            <w:pPr>
              <w:jc w:val="center"/>
            </w:pPr>
            <w:r w:rsidRPr="000A2AA8">
              <w:t>2 w</w:t>
            </w:r>
          </w:p>
        </w:tc>
      </w:tr>
      <w:tr w:rsidR="00AB3F04" w:rsidRPr="000A2AA8" w14:paraId="6798741D" w14:textId="77777777">
        <w:trPr>
          <w:trHeight w:val="376"/>
          <w:jc w:val="center"/>
        </w:trPr>
        <w:tc>
          <w:tcPr>
            <w:tcW w:w="3595" w:type="dxa"/>
            <w:vAlign w:val="center"/>
          </w:tcPr>
          <w:p w14:paraId="4A3A19D3" w14:textId="77777777" w:rsidR="00AB3F04" w:rsidRPr="000A2AA8" w:rsidRDefault="00AB3F04">
            <w:r w:rsidRPr="000A2AA8">
              <w:t>AFC Flowgate</w:t>
            </w:r>
          </w:p>
        </w:tc>
        <w:tc>
          <w:tcPr>
            <w:tcW w:w="1975" w:type="dxa"/>
            <w:vAlign w:val="center"/>
          </w:tcPr>
          <w:p w14:paraId="31FD89BF" w14:textId="77777777" w:rsidR="00AB3F04" w:rsidRPr="000A2AA8" w:rsidRDefault="00AB3F04">
            <w:r w:rsidRPr="000A2AA8">
              <w:t>Entity</w:t>
            </w:r>
          </w:p>
        </w:tc>
        <w:tc>
          <w:tcPr>
            <w:tcW w:w="1440" w:type="dxa"/>
            <w:vAlign w:val="center"/>
          </w:tcPr>
          <w:p w14:paraId="669A32E9" w14:textId="68A00CB7" w:rsidR="00AB3F04" w:rsidRPr="000A2AA8" w:rsidRDefault="00AB3F04">
            <w:pPr>
              <w:jc w:val="center"/>
              <w:rPr>
                <w:iCs/>
              </w:rPr>
            </w:pPr>
            <w:r w:rsidRPr="000A2AA8">
              <w:rPr>
                <w:iCs/>
              </w:rPr>
              <w:t>45 d</w:t>
            </w:r>
          </w:p>
        </w:tc>
        <w:tc>
          <w:tcPr>
            <w:tcW w:w="1620" w:type="dxa"/>
            <w:vAlign w:val="center"/>
          </w:tcPr>
          <w:p w14:paraId="449FFC45" w14:textId="5F14AA56" w:rsidR="00AB3F04" w:rsidRPr="000A2AA8" w:rsidRDefault="00AB3F04">
            <w:pPr>
              <w:jc w:val="center"/>
            </w:pPr>
            <w:r w:rsidRPr="000A2AA8">
              <w:t>45 d</w:t>
            </w:r>
          </w:p>
        </w:tc>
        <w:tc>
          <w:tcPr>
            <w:tcW w:w="1558" w:type="dxa"/>
            <w:vAlign w:val="center"/>
          </w:tcPr>
          <w:p w14:paraId="489DC4EC" w14:textId="36D787A0" w:rsidR="00AB3F04" w:rsidRPr="000A2AA8" w:rsidRDefault="00AB3F04">
            <w:pPr>
              <w:jc w:val="center"/>
            </w:pPr>
            <w:r w:rsidRPr="000A2AA8">
              <w:t>45 d</w:t>
            </w:r>
          </w:p>
        </w:tc>
      </w:tr>
      <w:tr w:rsidR="00AB3F04" w:rsidRPr="000A2AA8" w14:paraId="5AD63366" w14:textId="77777777">
        <w:trPr>
          <w:trHeight w:val="376"/>
          <w:jc w:val="center"/>
        </w:trPr>
        <w:tc>
          <w:tcPr>
            <w:tcW w:w="3595" w:type="dxa"/>
            <w:vAlign w:val="center"/>
          </w:tcPr>
          <w:p w14:paraId="4FE25ABC" w14:textId="77777777" w:rsidR="00AB3F04" w:rsidRPr="000A2AA8" w:rsidRDefault="00AB3F04">
            <w:r w:rsidRPr="000A2AA8">
              <w:t>Temporary Flowgate</w:t>
            </w:r>
          </w:p>
        </w:tc>
        <w:tc>
          <w:tcPr>
            <w:tcW w:w="1975" w:type="dxa"/>
            <w:vAlign w:val="center"/>
          </w:tcPr>
          <w:p w14:paraId="39BFCF84" w14:textId="77777777" w:rsidR="00AB3F04" w:rsidRPr="000A2AA8" w:rsidRDefault="00AB3F04">
            <w:r w:rsidRPr="000A2AA8">
              <w:t>Entity</w:t>
            </w:r>
          </w:p>
        </w:tc>
        <w:tc>
          <w:tcPr>
            <w:tcW w:w="1440" w:type="dxa"/>
            <w:vAlign w:val="center"/>
          </w:tcPr>
          <w:p w14:paraId="0E88C00A" w14:textId="77777777" w:rsidR="00AB3F04" w:rsidRPr="000A2AA8" w:rsidRDefault="00AB3F04">
            <w:pPr>
              <w:jc w:val="center"/>
              <w:rPr>
                <w:iCs/>
              </w:rPr>
            </w:pPr>
            <w:r w:rsidRPr="000A2AA8">
              <w:rPr>
                <w:iCs/>
              </w:rPr>
              <w:t>1 d</w:t>
            </w:r>
          </w:p>
        </w:tc>
        <w:tc>
          <w:tcPr>
            <w:tcW w:w="1620" w:type="dxa"/>
            <w:vAlign w:val="center"/>
          </w:tcPr>
          <w:p w14:paraId="2F3C053E" w14:textId="77777777" w:rsidR="00AB3F04" w:rsidRPr="000A2AA8" w:rsidRDefault="00AB3F04">
            <w:pPr>
              <w:jc w:val="center"/>
            </w:pPr>
            <w:r w:rsidRPr="000A2AA8">
              <w:t>1 d</w:t>
            </w:r>
          </w:p>
        </w:tc>
        <w:tc>
          <w:tcPr>
            <w:tcW w:w="1558" w:type="dxa"/>
            <w:vAlign w:val="center"/>
          </w:tcPr>
          <w:p w14:paraId="2CA1EB8C" w14:textId="77777777" w:rsidR="00AB3F04" w:rsidRPr="000A2AA8" w:rsidRDefault="00AB3F04">
            <w:pPr>
              <w:jc w:val="center"/>
            </w:pPr>
            <w:r w:rsidRPr="000A2AA8">
              <w:t>1 d</w:t>
            </w:r>
          </w:p>
        </w:tc>
      </w:tr>
      <w:tr w:rsidR="00AB3F04" w:rsidRPr="000A2AA8" w14:paraId="286B8443" w14:textId="77777777">
        <w:trPr>
          <w:trHeight w:val="376"/>
          <w:jc w:val="center"/>
        </w:trPr>
        <w:tc>
          <w:tcPr>
            <w:tcW w:w="3595" w:type="dxa"/>
            <w:vAlign w:val="center"/>
          </w:tcPr>
          <w:p w14:paraId="667EAC37" w14:textId="77777777" w:rsidR="00AB3F04" w:rsidRPr="000A2AA8" w:rsidRDefault="00AB3F04">
            <w:r w:rsidRPr="000A2AA8">
              <w:t>ICCP Data Item</w:t>
            </w:r>
          </w:p>
        </w:tc>
        <w:tc>
          <w:tcPr>
            <w:tcW w:w="1975" w:type="dxa"/>
            <w:vAlign w:val="center"/>
          </w:tcPr>
          <w:p w14:paraId="24A1A3DB" w14:textId="77777777" w:rsidR="00AB3F04" w:rsidRPr="000A2AA8" w:rsidRDefault="00AB3F04">
            <w:r w:rsidRPr="000A2AA8">
              <w:t>Entity</w:t>
            </w:r>
          </w:p>
        </w:tc>
        <w:tc>
          <w:tcPr>
            <w:tcW w:w="1440" w:type="dxa"/>
            <w:vAlign w:val="center"/>
          </w:tcPr>
          <w:p w14:paraId="6817D548" w14:textId="77777777" w:rsidR="00AB3F04" w:rsidRPr="000A2AA8" w:rsidRDefault="00AB3F04">
            <w:pPr>
              <w:jc w:val="center"/>
              <w:rPr>
                <w:iCs/>
              </w:rPr>
            </w:pPr>
            <w:r w:rsidRPr="5E68F708">
              <w:t>5 w</w:t>
            </w:r>
          </w:p>
        </w:tc>
        <w:tc>
          <w:tcPr>
            <w:tcW w:w="1620" w:type="dxa"/>
            <w:vAlign w:val="center"/>
          </w:tcPr>
          <w:p w14:paraId="755E2B5B" w14:textId="77777777" w:rsidR="00AB3F04" w:rsidRPr="000A2AA8" w:rsidRDefault="00AB3F04">
            <w:pPr>
              <w:jc w:val="center"/>
            </w:pPr>
            <w:r>
              <w:t>5</w:t>
            </w:r>
            <w:r w:rsidRPr="000A2AA8">
              <w:t xml:space="preserve"> w </w:t>
            </w:r>
          </w:p>
        </w:tc>
        <w:tc>
          <w:tcPr>
            <w:tcW w:w="1558" w:type="dxa"/>
            <w:vAlign w:val="center"/>
          </w:tcPr>
          <w:p w14:paraId="38B23A18" w14:textId="77777777" w:rsidR="00AB3F04" w:rsidRPr="000A2AA8" w:rsidRDefault="00AB3F04">
            <w:pPr>
              <w:jc w:val="center"/>
            </w:pPr>
            <w:r>
              <w:t>5</w:t>
            </w:r>
            <w:r w:rsidRPr="000A2AA8">
              <w:t xml:space="preserve"> w</w:t>
            </w:r>
          </w:p>
        </w:tc>
      </w:tr>
      <w:tr w:rsidR="00AB3F04" w:rsidRPr="000A2AA8" w14:paraId="5FFF2997" w14:textId="77777777">
        <w:trPr>
          <w:trHeight w:val="376"/>
          <w:jc w:val="center"/>
        </w:trPr>
        <w:tc>
          <w:tcPr>
            <w:tcW w:w="3595" w:type="dxa"/>
            <w:vAlign w:val="center"/>
          </w:tcPr>
          <w:p w14:paraId="3FBDB424" w14:textId="77777777" w:rsidR="00AB3F04" w:rsidRPr="000A2AA8" w:rsidRDefault="00AB3F04">
            <w:r w:rsidRPr="000A2AA8">
              <w:t>ICCP Remote Addition</w:t>
            </w:r>
          </w:p>
        </w:tc>
        <w:tc>
          <w:tcPr>
            <w:tcW w:w="1975" w:type="dxa"/>
            <w:vAlign w:val="center"/>
          </w:tcPr>
          <w:p w14:paraId="6BB48C96" w14:textId="77777777" w:rsidR="00AB3F04" w:rsidRPr="000A2AA8" w:rsidRDefault="00AB3F04">
            <w:r w:rsidRPr="000A2AA8">
              <w:t>Entity</w:t>
            </w:r>
          </w:p>
        </w:tc>
        <w:tc>
          <w:tcPr>
            <w:tcW w:w="1440" w:type="dxa"/>
            <w:vAlign w:val="center"/>
          </w:tcPr>
          <w:p w14:paraId="08824996" w14:textId="77777777" w:rsidR="00AB3F04" w:rsidRPr="000A2AA8" w:rsidRDefault="00AB3F04">
            <w:pPr>
              <w:jc w:val="center"/>
            </w:pPr>
            <w:r w:rsidRPr="000A2AA8">
              <w:rPr>
                <w:iCs/>
              </w:rPr>
              <w:t>-</w:t>
            </w:r>
          </w:p>
        </w:tc>
        <w:tc>
          <w:tcPr>
            <w:tcW w:w="1620" w:type="dxa"/>
            <w:vAlign w:val="center"/>
          </w:tcPr>
          <w:p w14:paraId="094DB2F9" w14:textId="77777777" w:rsidR="00AB3F04" w:rsidRPr="000A2AA8" w:rsidRDefault="00AB3F04">
            <w:pPr>
              <w:jc w:val="center"/>
            </w:pPr>
            <w:r w:rsidRPr="000A2AA8">
              <w:t>6 mo</w:t>
            </w:r>
          </w:p>
        </w:tc>
        <w:tc>
          <w:tcPr>
            <w:tcW w:w="1558" w:type="dxa"/>
            <w:vAlign w:val="center"/>
          </w:tcPr>
          <w:p w14:paraId="04D7A5C5" w14:textId="77777777" w:rsidR="00AB3F04" w:rsidRPr="000A2AA8" w:rsidRDefault="00AB3F04">
            <w:pPr>
              <w:jc w:val="center"/>
            </w:pPr>
            <w:r w:rsidRPr="000A2AA8">
              <w:t>6 mo</w:t>
            </w:r>
          </w:p>
        </w:tc>
      </w:tr>
      <w:tr w:rsidR="00AB3F04" w:rsidRPr="000A2AA8" w14:paraId="17219265" w14:textId="77777777">
        <w:trPr>
          <w:trHeight w:val="376"/>
          <w:jc w:val="center"/>
        </w:trPr>
        <w:tc>
          <w:tcPr>
            <w:tcW w:w="3595" w:type="dxa"/>
            <w:vAlign w:val="center"/>
          </w:tcPr>
          <w:p w14:paraId="5AEB7A71" w14:textId="77777777" w:rsidR="00AB3F04" w:rsidRPr="000A2AA8" w:rsidRDefault="00AB3F04">
            <w:r w:rsidRPr="000A2AA8">
              <w:t>External RSS</w:t>
            </w:r>
          </w:p>
        </w:tc>
        <w:tc>
          <w:tcPr>
            <w:tcW w:w="1975" w:type="dxa"/>
            <w:vAlign w:val="center"/>
          </w:tcPr>
          <w:p w14:paraId="16C5332B" w14:textId="77777777" w:rsidR="00AB3F04" w:rsidRPr="000A2AA8" w:rsidRDefault="00AB3F04">
            <w:r w:rsidRPr="000A2AA8">
              <w:t>Entity</w:t>
            </w:r>
          </w:p>
        </w:tc>
        <w:tc>
          <w:tcPr>
            <w:tcW w:w="1440" w:type="dxa"/>
            <w:vAlign w:val="center"/>
          </w:tcPr>
          <w:p w14:paraId="2648C49A" w14:textId="77777777" w:rsidR="00AB3F04" w:rsidRPr="000A2AA8" w:rsidRDefault="00AB3F04">
            <w:pPr>
              <w:jc w:val="center"/>
              <w:rPr>
                <w:iCs/>
              </w:rPr>
            </w:pPr>
            <w:r w:rsidRPr="000A2AA8">
              <w:rPr>
                <w:iCs/>
              </w:rPr>
              <w:t>1 w</w:t>
            </w:r>
          </w:p>
        </w:tc>
        <w:tc>
          <w:tcPr>
            <w:tcW w:w="1620" w:type="dxa"/>
            <w:vAlign w:val="center"/>
          </w:tcPr>
          <w:p w14:paraId="50AB0277" w14:textId="77777777" w:rsidR="00AB3F04" w:rsidRPr="000A2AA8" w:rsidRDefault="00AB3F04">
            <w:pPr>
              <w:jc w:val="center"/>
            </w:pPr>
            <w:r w:rsidRPr="000A2AA8">
              <w:t>1 w</w:t>
            </w:r>
          </w:p>
        </w:tc>
        <w:tc>
          <w:tcPr>
            <w:tcW w:w="1558" w:type="dxa"/>
            <w:vAlign w:val="center"/>
          </w:tcPr>
          <w:p w14:paraId="4B8A63C0" w14:textId="77777777" w:rsidR="00AB3F04" w:rsidRPr="000A2AA8" w:rsidRDefault="00AB3F04">
            <w:pPr>
              <w:jc w:val="center"/>
            </w:pPr>
            <w:r w:rsidRPr="000A2AA8">
              <w:t>1 w</w:t>
            </w:r>
          </w:p>
        </w:tc>
      </w:tr>
      <w:tr w:rsidR="00AB3F04" w:rsidRPr="000A2AA8" w14:paraId="4DF129E6" w14:textId="77777777">
        <w:trPr>
          <w:trHeight w:val="376"/>
          <w:jc w:val="center"/>
        </w:trPr>
        <w:tc>
          <w:tcPr>
            <w:tcW w:w="3595" w:type="dxa"/>
            <w:vAlign w:val="center"/>
          </w:tcPr>
          <w:p w14:paraId="7DF9F7C4" w14:textId="77777777" w:rsidR="00AB3F04" w:rsidRPr="000A2AA8" w:rsidRDefault="00AB3F04">
            <w:r>
              <w:t>Transmission System Facility Topology</w:t>
            </w:r>
          </w:p>
        </w:tc>
        <w:tc>
          <w:tcPr>
            <w:tcW w:w="1975" w:type="dxa"/>
            <w:vAlign w:val="center"/>
          </w:tcPr>
          <w:p w14:paraId="79A31A8D" w14:textId="77777777" w:rsidR="00AB3F04" w:rsidRPr="000A2AA8" w:rsidRDefault="00AB3F04">
            <w:r w:rsidRPr="0421BC12">
              <w:t>Connectivity</w:t>
            </w:r>
          </w:p>
        </w:tc>
        <w:tc>
          <w:tcPr>
            <w:tcW w:w="1440" w:type="dxa"/>
            <w:vAlign w:val="center"/>
          </w:tcPr>
          <w:p w14:paraId="013E9946" w14:textId="1C996020" w:rsidR="00AB3F04" w:rsidRPr="000A2AA8" w:rsidRDefault="00AB3F04">
            <w:pPr>
              <w:jc w:val="center"/>
              <w:rPr>
                <w:iCs/>
              </w:rPr>
            </w:pPr>
            <w:r w:rsidRPr="0421BC12">
              <w:t>45 d</w:t>
            </w:r>
          </w:p>
        </w:tc>
        <w:tc>
          <w:tcPr>
            <w:tcW w:w="1620" w:type="dxa"/>
            <w:vAlign w:val="center"/>
          </w:tcPr>
          <w:p w14:paraId="598AC441" w14:textId="430977AD" w:rsidR="00AB3F04" w:rsidRPr="000A2AA8" w:rsidRDefault="00AB3F04">
            <w:pPr>
              <w:jc w:val="center"/>
            </w:pPr>
            <w:r w:rsidRPr="0421BC12">
              <w:t>45 d</w:t>
            </w:r>
          </w:p>
        </w:tc>
        <w:tc>
          <w:tcPr>
            <w:tcW w:w="1558" w:type="dxa"/>
            <w:vAlign w:val="center"/>
          </w:tcPr>
          <w:p w14:paraId="3B97E9CD" w14:textId="5D410FB2" w:rsidR="00AB3F04" w:rsidRPr="000A2AA8" w:rsidRDefault="00AB3F04">
            <w:pPr>
              <w:jc w:val="center"/>
            </w:pPr>
            <w:r w:rsidRPr="00EA34C2">
              <w:t>45 d</w:t>
            </w:r>
          </w:p>
        </w:tc>
      </w:tr>
      <w:tr w:rsidR="00AB3F04" w:rsidRPr="000A2AA8" w14:paraId="32601369" w14:textId="77777777">
        <w:trPr>
          <w:trHeight w:val="376"/>
          <w:jc w:val="center"/>
        </w:trPr>
        <w:tc>
          <w:tcPr>
            <w:tcW w:w="3595" w:type="dxa"/>
            <w:vAlign w:val="center"/>
          </w:tcPr>
          <w:p w14:paraId="37E140E2" w14:textId="6E104090" w:rsidR="00AB3F04" w:rsidRDefault="00AB3F04">
            <w:r>
              <w:t>Normal Operating Conditions for Switches, Breakers and Disconnects</w:t>
            </w:r>
          </w:p>
        </w:tc>
        <w:tc>
          <w:tcPr>
            <w:tcW w:w="1975" w:type="dxa"/>
            <w:vAlign w:val="center"/>
          </w:tcPr>
          <w:p w14:paraId="57830042" w14:textId="77777777" w:rsidR="00AB3F04" w:rsidRPr="000A2AA8" w:rsidRDefault="00AB3F04">
            <w:r w:rsidRPr="0421BC12">
              <w:t>Normal Status</w:t>
            </w:r>
          </w:p>
        </w:tc>
        <w:tc>
          <w:tcPr>
            <w:tcW w:w="1440" w:type="dxa"/>
            <w:vAlign w:val="center"/>
          </w:tcPr>
          <w:p w14:paraId="57ADBBDE" w14:textId="77777777" w:rsidR="00AB3F04" w:rsidRPr="000A2AA8" w:rsidRDefault="00AB3F04">
            <w:pPr>
              <w:jc w:val="center"/>
            </w:pPr>
            <w:r w:rsidRPr="0421BC12">
              <w:t>3 d</w:t>
            </w:r>
          </w:p>
        </w:tc>
        <w:tc>
          <w:tcPr>
            <w:tcW w:w="1620" w:type="dxa"/>
            <w:vAlign w:val="center"/>
          </w:tcPr>
          <w:p w14:paraId="3F0D0FF6" w14:textId="77777777" w:rsidR="00AB3F04" w:rsidRPr="000A2AA8" w:rsidRDefault="00AB3F04">
            <w:pPr>
              <w:jc w:val="center"/>
            </w:pPr>
            <w:r w:rsidRPr="0421BC12">
              <w:t>3 d</w:t>
            </w:r>
          </w:p>
        </w:tc>
        <w:tc>
          <w:tcPr>
            <w:tcW w:w="1558" w:type="dxa"/>
            <w:vAlign w:val="center"/>
          </w:tcPr>
          <w:p w14:paraId="732A21D0" w14:textId="77777777" w:rsidR="00AB3F04" w:rsidRPr="00EA34C2" w:rsidRDefault="00AB3F04">
            <w:pPr>
              <w:jc w:val="center"/>
            </w:pPr>
            <w:r w:rsidRPr="0421BC12">
              <w:t>3 d</w:t>
            </w:r>
          </w:p>
        </w:tc>
      </w:tr>
      <w:tr w:rsidR="00AB3F04" w:rsidRPr="000A2AA8" w14:paraId="20DCDD42" w14:textId="77777777">
        <w:trPr>
          <w:trHeight w:val="376"/>
          <w:jc w:val="center"/>
        </w:trPr>
        <w:tc>
          <w:tcPr>
            <w:tcW w:w="3595" w:type="dxa"/>
            <w:vAlign w:val="center"/>
          </w:tcPr>
          <w:p w14:paraId="2AD57DE2" w14:textId="77777777" w:rsidR="00AB3F04" w:rsidRDefault="00AB3F04">
            <w:r>
              <w:t>System Operating Limits (SOL) and Interconnection Reliability Operating Limits (IROL)</w:t>
            </w:r>
          </w:p>
        </w:tc>
        <w:tc>
          <w:tcPr>
            <w:tcW w:w="1975" w:type="dxa"/>
            <w:vAlign w:val="center"/>
          </w:tcPr>
          <w:p w14:paraId="5B4B1FAA" w14:textId="77777777" w:rsidR="00AB3F04" w:rsidRPr="000A2AA8" w:rsidRDefault="00AB3F04">
            <w:r w:rsidRPr="0421BC12">
              <w:t>Planned Changes</w:t>
            </w:r>
          </w:p>
        </w:tc>
        <w:tc>
          <w:tcPr>
            <w:tcW w:w="1440" w:type="dxa"/>
            <w:vAlign w:val="center"/>
          </w:tcPr>
          <w:p w14:paraId="6C0AB16B" w14:textId="77777777" w:rsidR="00AB3F04" w:rsidRPr="000A2AA8" w:rsidRDefault="00AB3F04">
            <w:pPr>
              <w:jc w:val="center"/>
            </w:pPr>
            <w:r w:rsidRPr="0421BC12">
              <w:t>3 d</w:t>
            </w:r>
          </w:p>
        </w:tc>
        <w:tc>
          <w:tcPr>
            <w:tcW w:w="1620" w:type="dxa"/>
            <w:vAlign w:val="center"/>
          </w:tcPr>
          <w:p w14:paraId="71454EF4" w14:textId="77777777" w:rsidR="00AB3F04" w:rsidRPr="000A2AA8" w:rsidRDefault="00AB3F04">
            <w:pPr>
              <w:jc w:val="center"/>
            </w:pPr>
            <w:r w:rsidRPr="0421BC12">
              <w:t>3 d</w:t>
            </w:r>
          </w:p>
        </w:tc>
        <w:tc>
          <w:tcPr>
            <w:tcW w:w="1558" w:type="dxa"/>
            <w:vAlign w:val="center"/>
          </w:tcPr>
          <w:p w14:paraId="0AF2D4DD" w14:textId="77777777" w:rsidR="00AB3F04" w:rsidRPr="00EA34C2" w:rsidRDefault="00AB3F04">
            <w:pPr>
              <w:jc w:val="center"/>
            </w:pPr>
            <w:r w:rsidRPr="0421BC12">
              <w:t>3 d</w:t>
            </w:r>
          </w:p>
        </w:tc>
      </w:tr>
      <w:tr w:rsidR="00AB3F04" w:rsidRPr="000A2AA8" w14:paraId="20A46FB7" w14:textId="77777777">
        <w:trPr>
          <w:trHeight w:val="376"/>
          <w:jc w:val="center"/>
        </w:trPr>
        <w:tc>
          <w:tcPr>
            <w:tcW w:w="3595" w:type="dxa"/>
            <w:vAlign w:val="center"/>
          </w:tcPr>
          <w:p w14:paraId="5420DE94" w14:textId="77777777" w:rsidR="00AB3F04" w:rsidRDefault="00AB3F04">
            <w:r w:rsidRPr="0421BC12">
              <w:t>System Operating Limits (SOL) and Interconnection Reliability Operating Limits (IROL)</w:t>
            </w:r>
          </w:p>
          <w:p w14:paraId="0C07B70D" w14:textId="77777777" w:rsidR="00AB3F04" w:rsidRDefault="00AB3F04"/>
        </w:tc>
        <w:tc>
          <w:tcPr>
            <w:tcW w:w="1975" w:type="dxa"/>
            <w:vAlign w:val="center"/>
          </w:tcPr>
          <w:p w14:paraId="1F0614B0" w14:textId="77777777" w:rsidR="00AB3F04" w:rsidRPr="000A2AA8" w:rsidRDefault="00AB3F04">
            <w:r w:rsidRPr="0421BC12">
              <w:t>Unplanned Changes</w:t>
            </w:r>
          </w:p>
        </w:tc>
        <w:tc>
          <w:tcPr>
            <w:tcW w:w="1440" w:type="dxa"/>
            <w:vAlign w:val="center"/>
          </w:tcPr>
          <w:p w14:paraId="475468CC" w14:textId="77777777" w:rsidR="00AB3F04" w:rsidRPr="000A2AA8" w:rsidRDefault="00AB3F04">
            <w:pPr>
              <w:jc w:val="center"/>
            </w:pPr>
            <w:r w:rsidRPr="0421BC12">
              <w:t>Upon agreement of RC and TOP</w:t>
            </w:r>
          </w:p>
        </w:tc>
        <w:tc>
          <w:tcPr>
            <w:tcW w:w="1620" w:type="dxa"/>
            <w:vAlign w:val="center"/>
          </w:tcPr>
          <w:p w14:paraId="0C45312E" w14:textId="77777777" w:rsidR="00AB3F04" w:rsidRPr="000A2AA8" w:rsidRDefault="00AB3F04">
            <w:pPr>
              <w:jc w:val="center"/>
            </w:pPr>
            <w:r w:rsidRPr="0421BC12">
              <w:t>Upon agreement of RC and TOP</w:t>
            </w:r>
          </w:p>
        </w:tc>
        <w:tc>
          <w:tcPr>
            <w:tcW w:w="1558" w:type="dxa"/>
            <w:vAlign w:val="center"/>
          </w:tcPr>
          <w:p w14:paraId="557C67BC" w14:textId="77777777" w:rsidR="00AB3F04" w:rsidRPr="00EA34C2" w:rsidRDefault="00AB3F04">
            <w:pPr>
              <w:jc w:val="center"/>
            </w:pPr>
            <w:r w:rsidRPr="0421BC12">
              <w:t>Upon agreement of RC and TOP</w:t>
            </w:r>
          </w:p>
        </w:tc>
      </w:tr>
      <w:tr w:rsidR="00AB3F04" w14:paraId="007341CF" w14:textId="77777777">
        <w:trPr>
          <w:trHeight w:val="376"/>
          <w:jc w:val="center"/>
        </w:trPr>
        <w:tc>
          <w:tcPr>
            <w:tcW w:w="3595" w:type="dxa"/>
            <w:vAlign w:val="center"/>
          </w:tcPr>
          <w:p w14:paraId="5F5E7FD8" w14:textId="77777777" w:rsidR="00AB3F04" w:rsidRDefault="00AB3F04">
            <w:r>
              <w:t>Remedial Action Schemes (RAS)</w:t>
            </w:r>
          </w:p>
        </w:tc>
        <w:tc>
          <w:tcPr>
            <w:tcW w:w="1975" w:type="dxa"/>
            <w:vAlign w:val="center"/>
          </w:tcPr>
          <w:p w14:paraId="475B5C6E" w14:textId="77777777" w:rsidR="00AB3F04" w:rsidRDefault="00AB3F04">
            <w:r w:rsidRPr="0421BC12">
              <w:t>Definition</w:t>
            </w:r>
          </w:p>
        </w:tc>
        <w:tc>
          <w:tcPr>
            <w:tcW w:w="1440" w:type="dxa"/>
            <w:vAlign w:val="center"/>
          </w:tcPr>
          <w:p w14:paraId="16F5D56F" w14:textId="77777777" w:rsidR="00AB3F04" w:rsidRDefault="00AB3F04">
            <w:pPr>
              <w:jc w:val="center"/>
            </w:pPr>
            <w:r w:rsidRPr="0421BC12">
              <w:t>6 mo</w:t>
            </w:r>
          </w:p>
        </w:tc>
        <w:tc>
          <w:tcPr>
            <w:tcW w:w="1620" w:type="dxa"/>
            <w:vAlign w:val="center"/>
          </w:tcPr>
          <w:p w14:paraId="7009C542" w14:textId="77777777" w:rsidR="00AB3F04" w:rsidRDefault="00AB3F04">
            <w:pPr>
              <w:jc w:val="center"/>
            </w:pPr>
            <w:r w:rsidRPr="0421BC12">
              <w:t>6 mo</w:t>
            </w:r>
          </w:p>
        </w:tc>
        <w:tc>
          <w:tcPr>
            <w:tcW w:w="1558" w:type="dxa"/>
            <w:vAlign w:val="center"/>
          </w:tcPr>
          <w:p w14:paraId="41E16F2F" w14:textId="77777777" w:rsidR="00AB3F04" w:rsidRDefault="00AB3F04">
            <w:pPr>
              <w:jc w:val="center"/>
            </w:pPr>
            <w:r w:rsidRPr="0421BC12">
              <w:t>6 mo</w:t>
            </w:r>
          </w:p>
        </w:tc>
      </w:tr>
      <w:tr w:rsidR="00AB3F04" w:rsidRPr="000A2AA8" w14:paraId="4862A182" w14:textId="77777777">
        <w:trPr>
          <w:trHeight w:val="376"/>
          <w:jc w:val="center"/>
        </w:trPr>
        <w:tc>
          <w:tcPr>
            <w:tcW w:w="3595" w:type="dxa"/>
            <w:vAlign w:val="center"/>
          </w:tcPr>
          <w:p w14:paraId="60B04C9B" w14:textId="77777777" w:rsidR="00AB3F04" w:rsidRDefault="00AB3F04">
            <w:r>
              <w:t>Service Flow Constraints</w:t>
            </w:r>
          </w:p>
        </w:tc>
        <w:tc>
          <w:tcPr>
            <w:tcW w:w="1975" w:type="dxa"/>
            <w:vAlign w:val="center"/>
          </w:tcPr>
          <w:p w14:paraId="6677CF2B" w14:textId="7C8FF504" w:rsidR="00AB3F04" w:rsidRPr="000A2AA8" w:rsidRDefault="00FC4EEF">
            <w:r>
              <w:t>Definition</w:t>
            </w:r>
          </w:p>
        </w:tc>
        <w:tc>
          <w:tcPr>
            <w:tcW w:w="1440" w:type="dxa"/>
            <w:vAlign w:val="center"/>
          </w:tcPr>
          <w:p w14:paraId="1D538967" w14:textId="77777777" w:rsidR="00AB3F04" w:rsidRPr="000A2AA8" w:rsidRDefault="00AB3F04">
            <w:pPr>
              <w:jc w:val="center"/>
            </w:pPr>
            <w:r w:rsidRPr="000A2AA8">
              <w:rPr>
                <w:iCs/>
              </w:rPr>
              <w:t>45 d</w:t>
            </w:r>
          </w:p>
        </w:tc>
        <w:tc>
          <w:tcPr>
            <w:tcW w:w="1620" w:type="dxa"/>
            <w:vAlign w:val="center"/>
          </w:tcPr>
          <w:p w14:paraId="28CAF3A9" w14:textId="77777777" w:rsidR="00AB3F04" w:rsidRPr="000A2AA8" w:rsidRDefault="00AB3F04">
            <w:pPr>
              <w:jc w:val="center"/>
            </w:pPr>
            <w:r w:rsidRPr="000A2AA8">
              <w:t>45 d</w:t>
            </w:r>
          </w:p>
        </w:tc>
        <w:tc>
          <w:tcPr>
            <w:tcW w:w="1558" w:type="dxa"/>
            <w:vAlign w:val="center"/>
          </w:tcPr>
          <w:p w14:paraId="0CF25990" w14:textId="77777777" w:rsidR="00AB3F04" w:rsidRPr="00EA34C2" w:rsidRDefault="00AB3F04">
            <w:pPr>
              <w:jc w:val="center"/>
            </w:pPr>
            <w:r>
              <w:t>45 d</w:t>
            </w:r>
          </w:p>
        </w:tc>
      </w:tr>
      <w:tr w:rsidR="00293426" w:rsidRPr="000A2AA8" w14:paraId="6F0D161D" w14:textId="77777777" w:rsidTr="00293426">
        <w:trPr>
          <w:trHeight w:val="376"/>
          <w:jc w:val="center"/>
        </w:trPr>
        <w:tc>
          <w:tcPr>
            <w:tcW w:w="3595" w:type="dxa"/>
            <w:tcBorders>
              <w:top w:val="single" w:sz="6" w:space="0" w:color="auto"/>
              <w:left w:val="single" w:sz="4" w:space="0" w:color="auto"/>
              <w:bottom w:val="single" w:sz="6" w:space="0" w:color="auto"/>
              <w:right w:val="single" w:sz="6" w:space="0" w:color="auto"/>
            </w:tcBorders>
            <w:vAlign w:val="center"/>
          </w:tcPr>
          <w:p w14:paraId="1FCA545D" w14:textId="77777777" w:rsidR="00293426" w:rsidRDefault="00293426">
            <w:r>
              <w:t xml:space="preserve">MOTI and MTI </w:t>
            </w:r>
          </w:p>
        </w:tc>
        <w:tc>
          <w:tcPr>
            <w:tcW w:w="1975" w:type="dxa"/>
            <w:tcBorders>
              <w:top w:val="single" w:sz="6" w:space="0" w:color="auto"/>
              <w:left w:val="single" w:sz="6" w:space="0" w:color="auto"/>
              <w:bottom w:val="single" w:sz="6" w:space="0" w:color="auto"/>
              <w:right w:val="single" w:sz="6" w:space="0" w:color="auto"/>
            </w:tcBorders>
            <w:vAlign w:val="center"/>
          </w:tcPr>
          <w:p w14:paraId="301338B8" w14:textId="77777777" w:rsidR="00293426" w:rsidRPr="000A2AA8" w:rsidRDefault="00293426">
            <w:r>
              <w:t>Definition</w:t>
            </w:r>
          </w:p>
        </w:tc>
        <w:tc>
          <w:tcPr>
            <w:tcW w:w="1440" w:type="dxa"/>
            <w:tcBorders>
              <w:top w:val="single" w:sz="6" w:space="0" w:color="auto"/>
              <w:left w:val="single" w:sz="6" w:space="0" w:color="auto"/>
              <w:bottom w:val="single" w:sz="6" w:space="0" w:color="auto"/>
              <w:right w:val="single" w:sz="6" w:space="0" w:color="auto"/>
            </w:tcBorders>
            <w:vAlign w:val="center"/>
          </w:tcPr>
          <w:p w14:paraId="6C73C8E0" w14:textId="77777777" w:rsidR="00293426" w:rsidRPr="000A2AA8" w:rsidRDefault="00293426">
            <w:pPr>
              <w:jc w:val="center"/>
              <w:rPr>
                <w:iCs/>
              </w:rPr>
            </w:pPr>
            <w:r>
              <w:rPr>
                <w:iCs/>
              </w:rPr>
              <w:t>1.5 Months</w:t>
            </w:r>
            <w:r w:rsidRPr="000A2AA8">
              <w:rPr>
                <w:iCs/>
              </w:rPr>
              <w:t xml:space="preserve"> </w:t>
            </w:r>
          </w:p>
        </w:tc>
        <w:tc>
          <w:tcPr>
            <w:tcW w:w="1620" w:type="dxa"/>
            <w:tcBorders>
              <w:top w:val="single" w:sz="6" w:space="0" w:color="auto"/>
              <w:left w:val="single" w:sz="6" w:space="0" w:color="auto"/>
              <w:bottom w:val="single" w:sz="6" w:space="0" w:color="auto"/>
              <w:right w:val="single" w:sz="6" w:space="0" w:color="auto"/>
            </w:tcBorders>
            <w:vAlign w:val="center"/>
          </w:tcPr>
          <w:p w14:paraId="30EE3801" w14:textId="77777777" w:rsidR="00293426" w:rsidRPr="000A2AA8" w:rsidRDefault="00293426">
            <w:pPr>
              <w:jc w:val="center"/>
            </w:pPr>
            <w:r w:rsidRPr="00293426">
              <w:t>1.5 Months</w:t>
            </w:r>
          </w:p>
        </w:tc>
        <w:tc>
          <w:tcPr>
            <w:tcW w:w="1558" w:type="dxa"/>
            <w:tcBorders>
              <w:top w:val="single" w:sz="6" w:space="0" w:color="auto"/>
              <w:left w:val="single" w:sz="6" w:space="0" w:color="auto"/>
              <w:bottom w:val="single" w:sz="6" w:space="0" w:color="auto"/>
              <w:right w:val="single" w:sz="4" w:space="0" w:color="auto"/>
            </w:tcBorders>
            <w:vAlign w:val="center"/>
          </w:tcPr>
          <w:p w14:paraId="3DE7574E" w14:textId="77777777" w:rsidR="00293426" w:rsidRDefault="00293426">
            <w:pPr>
              <w:jc w:val="center"/>
            </w:pPr>
            <w:r w:rsidRPr="00293426">
              <w:t>1.5 Months</w:t>
            </w:r>
          </w:p>
        </w:tc>
      </w:tr>
      <w:tr w:rsidR="00293426" w:rsidRPr="000A2AA8" w14:paraId="420A11D6" w14:textId="77777777" w:rsidTr="00293426">
        <w:trPr>
          <w:trHeight w:val="376"/>
          <w:jc w:val="center"/>
        </w:trPr>
        <w:tc>
          <w:tcPr>
            <w:tcW w:w="3595" w:type="dxa"/>
            <w:tcBorders>
              <w:top w:val="single" w:sz="6" w:space="0" w:color="auto"/>
              <w:left w:val="single" w:sz="4" w:space="0" w:color="auto"/>
              <w:bottom w:val="single" w:sz="6" w:space="0" w:color="auto"/>
              <w:right w:val="single" w:sz="6" w:space="0" w:color="auto"/>
            </w:tcBorders>
            <w:vAlign w:val="center"/>
          </w:tcPr>
          <w:p w14:paraId="64163B03" w14:textId="77777777" w:rsidR="00293426" w:rsidRDefault="00293426">
            <w:r>
              <w:t>BAA Scheduling Constraints</w:t>
            </w:r>
          </w:p>
        </w:tc>
        <w:tc>
          <w:tcPr>
            <w:tcW w:w="1975" w:type="dxa"/>
            <w:tcBorders>
              <w:top w:val="single" w:sz="6" w:space="0" w:color="auto"/>
              <w:left w:val="single" w:sz="6" w:space="0" w:color="auto"/>
              <w:bottom w:val="single" w:sz="6" w:space="0" w:color="auto"/>
              <w:right w:val="single" w:sz="6" w:space="0" w:color="auto"/>
            </w:tcBorders>
            <w:vAlign w:val="center"/>
          </w:tcPr>
          <w:p w14:paraId="43E2D242" w14:textId="77777777" w:rsidR="00293426" w:rsidRPr="000A2AA8" w:rsidRDefault="00293426">
            <w:r>
              <w:t>Definition</w:t>
            </w:r>
          </w:p>
        </w:tc>
        <w:tc>
          <w:tcPr>
            <w:tcW w:w="1440" w:type="dxa"/>
            <w:tcBorders>
              <w:top w:val="single" w:sz="6" w:space="0" w:color="auto"/>
              <w:left w:val="single" w:sz="6" w:space="0" w:color="auto"/>
              <w:bottom w:val="single" w:sz="6" w:space="0" w:color="auto"/>
              <w:right w:val="single" w:sz="6" w:space="0" w:color="auto"/>
            </w:tcBorders>
            <w:vAlign w:val="center"/>
          </w:tcPr>
          <w:p w14:paraId="6FA90497" w14:textId="77777777" w:rsidR="00293426" w:rsidRPr="000A2AA8" w:rsidRDefault="00293426">
            <w:pPr>
              <w:jc w:val="center"/>
              <w:rPr>
                <w:iCs/>
              </w:rPr>
            </w:pPr>
            <w:r>
              <w:rPr>
                <w:iCs/>
              </w:rPr>
              <w:t>1.5 Months</w:t>
            </w:r>
          </w:p>
        </w:tc>
        <w:tc>
          <w:tcPr>
            <w:tcW w:w="1620" w:type="dxa"/>
            <w:tcBorders>
              <w:top w:val="single" w:sz="6" w:space="0" w:color="auto"/>
              <w:left w:val="single" w:sz="6" w:space="0" w:color="auto"/>
              <w:bottom w:val="single" w:sz="6" w:space="0" w:color="auto"/>
              <w:right w:val="single" w:sz="6" w:space="0" w:color="auto"/>
            </w:tcBorders>
            <w:vAlign w:val="center"/>
          </w:tcPr>
          <w:p w14:paraId="42221429" w14:textId="77777777" w:rsidR="00293426" w:rsidRPr="000A2AA8" w:rsidRDefault="00293426">
            <w:pPr>
              <w:jc w:val="center"/>
            </w:pPr>
            <w:r w:rsidRPr="00293426">
              <w:t>1.5 Months</w:t>
            </w:r>
          </w:p>
        </w:tc>
        <w:tc>
          <w:tcPr>
            <w:tcW w:w="1558" w:type="dxa"/>
            <w:tcBorders>
              <w:top w:val="single" w:sz="6" w:space="0" w:color="auto"/>
              <w:left w:val="single" w:sz="6" w:space="0" w:color="auto"/>
              <w:bottom w:val="single" w:sz="6" w:space="0" w:color="auto"/>
              <w:right w:val="single" w:sz="4" w:space="0" w:color="auto"/>
            </w:tcBorders>
            <w:vAlign w:val="center"/>
          </w:tcPr>
          <w:p w14:paraId="306C33C0" w14:textId="77777777" w:rsidR="00293426" w:rsidRDefault="00293426">
            <w:pPr>
              <w:jc w:val="center"/>
            </w:pPr>
            <w:r w:rsidRPr="00293426">
              <w:t>1.5 Months</w:t>
            </w:r>
          </w:p>
        </w:tc>
      </w:tr>
      <w:tr w:rsidR="00AB3F04" w:rsidRPr="000A2AA8" w14:paraId="13E5C1C8" w14:textId="77777777">
        <w:trPr>
          <w:trHeight w:val="376"/>
          <w:jc w:val="center"/>
        </w:trPr>
        <w:tc>
          <w:tcPr>
            <w:tcW w:w="3595" w:type="dxa"/>
            <w:vAlign w:val="center"/>
          </w:tcPr>
          <w:p w14:paraId="0ADADAE9" w14:textId="77777777" w:rsidR="00AB3F04" w:rsidRDefault="00AB3F04">
            <w:r>
              <w:t>Normal and Emergency Ratings Adjusted for Ambient Temperatures</w:t>
            </w:r>
          </w:p>
        </w:tc>
        <w:tc>
          <w:tcPr>
            <w:tcW w:w="1975" w:type="dxa"/>
            <w:vAlign w:val="center"/>
          </w:tcPr>
          <w:p w14:paraId="090CD897" w14:textId="77777777" w:rsidR="00AB3F04" w:rsidRPr="000A2AA8" w:rsidRDefault="00AB3F04">
            <w:r>
              <w:t>TBD</w:t>
            </w:r>
          </w:p>
        </w:tc>
        <w:tc>
          <w:tcPr>
            <w:tcW w:w="1440" w:type="dxa"/>
            <w:vAlign w:val="center"/>
          </w:tcPr>
          <w:p w14:paraId="4CDDD852" w14:textId="77777777" w:rsidR="00AB3F04" w:rsidRPr="000A2AA8" w:rsidRDefault="00AB3F04">
            <w:pPr>
              <w:jc w:val="center"/>
            </w:pPr>
            <w:r w:rsidRPr="0421BC12">
              <w:t>TBD</w:t>
            </w:r>
          </w:p>
        </w:tc>
        <w:tc>
          <w:tcPr>
            <w:tcW w:w="1620" w:type="dxa"/>
            <w:vAlign w:val="center"/>
          </w:tcPr>
          <w:p w14:paraId="75C095DB" w14:textId="77777777" w:rsidR="00AB3F04" w:rsidRPr="000A2AA8" w:rsidRDefault="00AB3F04">
            <w:pPr>
              <w:jc w:val="center"/>
            </w:pPr>
            <w:r w:rsidRPr="0421BC12">
              <w:t>TBD</w:t>
            </w:r>
          </w:p>
        </w:tc>
        <w:tc>
          <w:tcPr>
            <w:tcW w:w="1558" w:type="dxa"/>
            <w:vAlign w:val="center"/>
          </w:tcPr>
          <w:p w14:paraId="7841EB1D" w14:textId="77777777" w:rsidR="00AB3F04" w:rsidRPr="00EA34C2" w:rsidRDefault="00AB3F04">
            <w:pPr>
              <w:jc w:val="center"/>
            </w:pPr>
            <w:r w:rsidRPr="0421BC12">
              <w:t>TBD</w:t>
            </w:r>
          </w:p>
        </w:tc>
      </w:tr>
      <w:tr w:rsidR="00AB3F04" w:rsidRPr="000A2AA8" w14:paraId="08FF614F" w14:textId="77777777">
        <w:trPr>
          <w:trHeight w:val="376"/>
          <w:jc w:val="center"/>
        </w:trPr>
        <w:tc>
          <w:tcPr>
            <w:tcW w:w="3595" w:type="dxa"/>
            <w:vAlign w:val="center"/>
          </w:tcPr>
          <w:p w14:paraId="7047CE13" w14:textId="77777777" w:rsidR="00AB3F04" w:rsidRDefault="00AB3F04">
            <w:r w:rsidRPr="0421BC12">
              <w:t>Transformer Tap Settings</w:t>
            </w:r>
          </w:p>
        </w:tc>
        <w:tc>
          <w:tcPr>
            <w:tcW w:w="1975" w:type="dxa"/>
            <w:vAlign w:val="center"/>
          </w:tcPr>
          <w:p w14:paraId="0DB9A67E" w14:textId="77777777" w:rsidR="00AB3F04" w:rsidRPr="000A2AA8" w:rsidRDefault="00AB3F04">
            <w:r w:rsidRPr="0421BC12">
              <w:t>Non-telemetered settings</w:t>
            </w:r>
          </w:p>
        </w:tc>
        <w:tc>
          <w:tcPr>
            <w:tcW w:w="1440" w:type="dxa"/>
            <w:vAlign w:val="center"/>
          </w:tcPr>
          <w:p w14:paraId="2634DF5B" w14:textId="77777777" w:rsidR="00AB3F04" w:rsidRPr="000A2AA8" w:rsidRDefault="00AB3F04">
            <w:pPr>
              <w:jc w:val="center"/>
            </w:pPr>
            <w:r w:rsidRPr="0421BC12">
              <w:t>3 d</w:t>
            </w:r>
          </w:p>
        </w:tc>
        <w:tc>
          <w:tcPr>
            <w:tcW w:w="1620" w:type="dxa"/>
            <w:vAlign w:val="center"/>
          </w:tcPr>
          <w:p w14:paraId="556966A5" w14:textId="77777777" w:rsidR="00AB3F04" w:rsidRPr="000A2AA8" w:rsidRDefault="00AB3F04">
            <w:pPr>
              <w:jc w:val="center"/>
            </w:pPr>
            <w:r w:rsidRPr="0421BC12">
              <w:t>3 d</w:t>
            </w:r>
          </w:p>
        </w:tc>
        <w:tc>
          <w:tcPr>
            <w:tcW w:w="1558" w:type="dxa"/>
            <w:vAlign w:val="center"/>
          </w:tcPr>
          <w:p w14:paraId="4793B7CF" w14:textId="77777777" w:rsidR="00AB3F04" w:rsidRPr="00EA34C2" w:rsidRDefault="00AB3F04">
            <w:pPr>
              <w:jc w:val="center"/>
            </w:pPr>
            <w:r w:rsidRPr="0421BC12">
              <w:t>3 d</w:t>
            </w:r>
          </w:p>
        </w:tc>
      </w:tr>
      <w:tr w:rsidR="00AB3F04" w:rsidRPr="000A2AA8" w14:paraId="67F9C247" w14:textId="77777777">
        <w:trPr>
          <w:trHeight w:val="376"/>
          <w:jc w:val="center"/>
        </w:trPr>
        <w:tc>
          <w:tcPr>
            <w:tcW w:w="3595" w:type="dxa"/>
            <w:vAlign w:val="center"/>
          </w:tcPr>
          <w:p w14:paraId="4844D6C3" w14:textId="77777777" w:rsidR="00AB3F04" w:rsidRDefault="00AB3F04">
            <w:r>
              <w:t>Transmission Line and Transformer Impedances</w:t>
            </w:r>
          </w:p>
        </w:tc>
        <w:tc>
          <w:tcPr>
            <w:tcW w:w="1975" w:type="dxa"/>
            <w:vAlign w:val="center"/>
          </w:tcPr>
          <w:p w14:paraId="13EFC01F" w14:textId="77777777" w:rsidR="00AB3F04" w:rsidRPr="000A2AA8" w:rsidRDefault="00AB3F04">
            <w:r w:rsidRPr="0421BC12">
              <w:t>R, X, Bch</w:t>
            </w:r>
          </w:p>
        </w:tc>
        <w:tc>
          <w:tcPr>
            <w:tcW w:w="1440" w:type="dxa"/>
            <w:vAlign w:val="center"/>
          </w:tcPr>
          <w:p w14:paraId="6FAA3176" w14:textId="77777777" w:rsidR="00AB3F04" w:rsidRPr="000A2AA8" w:rsidRDefault="00AB3F04">
            <w:pPr>
              <w:jc w:val="center"/>
            </w:pPr>
            <w:r w:rsidRPr="0421BC12">
              <w:t>3 d</w:t>
            </w:r>
          </w:p>
        </w:tc>
        <w:tc>
          <w:tcPr>
            <w:tcW w:w="1620" w:type="dxa"/>
            <w:vAlign w:val="center"/>
          </w:tcPr>
          <w:p w14:paraId="6F3871A7" w14:textId="77777777" w:rsidR="00AB3F04" w:rsidRPr="000A2AA8" w:rsidRDefault="00AB3F04">
            <w:pPr>
              <w:jc w:val="center"/>
            </w:pPr>
            <w:r w:rsidRPr="0421BC12">
              <w:t>3 d</w:t>
            </w:r>
          </w:p>
        </w:tc>
        <w:tc>
          <w:tcPr>
            <w:tcW w:w="1558" w:type="dxa"/>
            <w:vAlign w:val="center"/>
          </w:tcPr>
          <w:p w14:paraId="636D022F" w14:textId="77777777" w:rsidR="00AB3F04" w:rsidRPr="00EA34C2" w:rsidRDefault="00AB3F04">
            <w:pPr>
              <w:jc w:val="center"/>
            </w:pPr>
            <w:r w:rsidRPr="0421BC12">
              <w:t>3 d</w:t>
            </w:r>
          </w:p>
        </w:tc>
      </w:tr>
      <w:tr w:rsidR="00AB3F04" w:rsidRPr="000A2AA8" w14:paraId="1D724648" w14:textId="77777777">
        <w:trPr>
          <w:trHeight w:val="376"/>
          <w:jc w:val="center"/>
        </w:trPr>
        <w:tc>
          <w:tcPr>
            <w:tcW w:w="3595" w:type="dxa"/>
            <w:vAlign w:val="center"/>
          </w:tcPr>
          <w:p w14:paraId="739F0BA3" w14:textId="77777777" w:rsidR="00AB3F04" w:rsidRDefault="00AB3F04">
            <w:r>
              <w:t>Markets+ Transmission Service Provider</w:t>
            </w:r>
          </w:p>
        </w:tc>
        <w:tc>
          <w:tcPr>
            <w:tcW w:w="1975" w:type="dxa"/>
            <w:vAlign w:val="center"/>
          </w:tcPr>
          <w:p w14:paraId="378E50FF" w14:textId="77777777" w:rsidR="00AB3F04" w:rsidRPr="000A2AA8" w:rsidRDefault="00AB3F04">
            <w:r>
              <w:t>Entity</w:t>
            </w:r>
          </w:p>
        </w:tc>
        <w:tc>
          <w:tcPr>
            <w:tcW w:w="1440" w:type="dxa"/>
            <w:vAlign w:val="center"/>
          </w:tcPr>
          <w:p w14:paraId="69C605F3" w14:textId="39B78DD8" w:rsidR="00AB3F04" w:rsidRPr="000A2AA8" w:rsidRDefault="004E2662">
            <w:pPr>
              <w:jc w:val="center"/>
            </w:pPr>
            <w:r>
              <w:t>1.5mo</w:t>
            </w:r>
          </w:p>
        </w:tc>
        <w:tc>
          <w:tcPr>
            <w:tcW w:w="1620" w:type="dxa"/>
            <w:vAlign w:val="center"/>
          </w:tcPr>
          <w:p w14:paraId="6CDF27C5" w14:textId="51C966D1" w:rsidR="00AB3F04" w:rsidRPr="000A2AA8" w:rsidRDefault="004E2662">
            <w:pPr>
              <w:jc w:val="center"/>
            </w:pPr>
            <w:r>
              <w:t>1.5mo</w:t>
            </w:r>
          </w:p>
        </w:tc>
        <w:tc>
          <w:tcPr>
            <w:tcW w:w="1558" w:type="dxa"/>
            <w:vAlign w:val="center"/>
          </w:tcPr>
          <w:p w14:paraId="4805B15E" w14:textId="77777777" w:rsidR="00AB3F04" w:rsidRPr="00EA34C2" w:rsidRDefault="00AB3F04">
            <w:pPr>
              <w:jc w:val="center"/>
            </w:pPr>
            <w:r>
              <w:t>4 mo</w:t>
            </w:r>
          </w:p>
        </w:tc>
      </w:tr>
      <w:tr w:rsidR="00AB3F04" w:rsidRPr="000A2AA8" w14:paraId="4706A01B" w14:textId="77777777">
        <w:trPr>
          <w:trHeight w:val="376"/>
          <w:jc w:val="center"/>
        </w:trPr>
        <w:tc>
          <w:tcPr>
            <w:tcW w:w="3595" w:type="dxa"/>
            <w:vAlign w:val="center"/>
          </w:tcPr>
          <w:p w14:paraId="43FEF78C" w14:textId="77777777" w:rsidR="00AB3F04" w:rsidRDefault="00AB3F04">
            <w:r>
              <w:t>Transmission asset ownership percent share</w:t>
            </w:r>
          </w:p>
        </w:tc>
        <w:tc>
          <w:tcPr>
            <w:tcW w:w="1975" w:type="dxa"/>
            <w:vAlign w:val="center"/>
          </w:tcPr>
          <w:p w14:paraId="276B82F6" w14:textId="77777777" w:rsidR="00AB3F04" w:rsidRPr="0421BC12" w:rsidRDefault="00AB3F04">
            <w:r>
              <w:t>MTSP</w:t>
            </w:r>
          </w:p>
        </w:tc>
        <w:tc>
          <w:tcPr>
            <w:tcW w:w="1440" w:type="dxa"/>
            <w:vAlign w:val="center"/>
          </w:tcPr>
          <w:p w14:paraId="628BEDAF" w14:textId="77777777" w:rsidR="00AB3F04" w:rsidRPr="0421BC12" w:rsidRDefault="00AB3F04">
            <w:pPr>
              <w:jc w:val="center"/>
            </w:pPr>
            <w:r>
              <w:t>2 w</w:t>
            </w:r>
          </w:p>
        </w:tc>
        <w:tc>
          <w:tcPr>
            <w:tcW w:w="1620" w:type="dxa"/>
            <w:vAlign w:val="center"/>
          </w:tcPr>
          <w:p w14:paraId="2D2A3601" w14:textId="77777777" w:rsidR="00AB3F04" w:rsidRPr="0421BC12" w:rsidRDefault="00AB3F04">
            <w:pPr>
              <w:jc w:val="center"/>
            </w:pPr>
            <w:r>
              <w:t>2 w</w:t>
            </w:r>
          </w:p>
        </w:tc>
        <w:tc>
          <w:tcPr>
            <w:tcW w:w="1558" w:type="dxa"/>
            <w:vAlign w:val="center"/>
          </w:tcPr>
          <w:p w14:paraId="47669FA0" w14:textId="77777777" w:rsidR="00AB3F04" w:rsidRPr="0421BC12" w:rsidRDefault="00AB3F04">
            <w:pPr>
              <w:jc w:val="center"/>
            </w:pPr>
            <w:r>
              <w:t>2 w</w:t>
            </w:r>
          </w:p>
        </w:tc>
      </w:tr>
    </w:tbl>
    <w:p w14:paraId="230EA180" w14:textId="261D7FD6" w:rsidR="006F6375" w:rsidRDefault="006F6375" w:rsidP="003469E4">
      <w:pPr>
        <w:pStyle w:val="IntenseQuote"/>
        <w:spacing w:line="300" w:lineRule="auto"/>
        <w:ind w:left="900"/>
      </w:pPr>
      <w:bookmarkStart w:id="9249" w:name="_Toc350920245"/>
      <w:bookmarkStart w:id="9250" w:name="_Toc350954090"/>
      <w:bookmarkStart w:id="9251" w:name="_Toc350961363"/>
      <w:bookmarkStart w:id="9252" w:name="_Toc351021273"/>
      <w:bookmarkStart w:id="9253" w:name="_Toc351021716"/>
      <w:bookmarkStart w:id="9254" w:name="_Toc350920246"/>
      <w:bookmarkStart w:id="9255" w:name="_Toc350954091"/>
      <w:bookmarkStart w:id="9256" w:name="_Toc350961364"/>
      <w:bookmarkStart w:id="9257" w:name="_Toc351021274"/>
      <w:bookmarkStart w:id="9258" w:name="_Toc351021717"/>
      <w:bookmarkStart w:id="9259" w:name="_Toc350920247"/>
      <w:bookmarkStart w:id="9260" w:name="_Toc350954092"/>
      <w:bookmarkStart w:id="9261" w:name="_Toc350961365"/>
      <w:bookmarkStart w:id="9262" w:name="_Toc351021275"/>
      <w:bookmarkStart w:id="9263" w:name="_Toc351021718"/>
      <w:bookmarkStart w:id="9264" w:name="_Toc350961367"/>
      <w:bookmarkStart w:id="9265" w:name="_Toc351021277"/>
      <w:bookmarkStart w:id="9266" w:name="_Toc351021720"/>
      <w:bookmarkStart w:id="9267" w:name="_Toc350920251"/>
      <w:bookmarkStart w:id="9268" w:name="_Toc350954096"/>
      <w:bookmarkStart w:id="9269" w:name="_Toc350961370"/>
      <w:bookmarkStart w:id="9270" w:name="_Toc351021280"/>
      <w:bookmarkStart w:id="9271" w:name="_Toc351021723"/>
      <w:bookmarkStart w:id="9272" w:name="_Toc350920253"/>
      <w:bookmarkStart w:id="9273" w:name="_Toc350954098"/>
      <w:bookmarkStart w:id="9274" w:name="_Toc350961372"/>
      <w:bookmarkStart w:id="9275" w:name="_Toc351021282"/>
      <w:bookmarkStart w:id="9276" w:name="_Toc351021725"/>
      <w:bookmarkStart w:id="9277" w:name="_Toc350920255"/>
      <w:bookmarkStart w:id="9278" w:name="_Toc350954100"/>
      <w:bookmarkStart w:id="9279" w:name="_Toc350961374"/>
      <w:bookmarkStart w:id="9280" w:name="_Toc351021284"/>
      <w:bookmarkStart w:id="9281" w:name="_Toc351021727"/>
      <w:bookmarkStart w:id="9282" w:name="_Toc350920257"/>
      <w:bookmarkStart w:id="9283" w:name="_Toc350954102"/>
      <w:bookmarkStart w:id="9284" w:name="_Toc350961376"/>
      <w:bookmarkStart w:id="9285" w:name="_Toc351021286"/>
      <w:bookmarkStart w:id="9286" w:name="_Toc351021729"/>
      <w:bookmarkStart w:id="9287" w:name="_Toc350954105"/>
      <w:bookmarkStart w:id="9288" w:name="_Toc350961379"/>
      <w:bookmarkStart w:id="9289" w:name="_Toc351021289"/>
      <w:bookmarkStart w:id="9290" w:name="_Toc351021732"/>
      <w:bookmarkStart w:id="9291" w:name="_Toc350954107"/>
      <w:bookmarkStart w:id="9292" w:name="_Toc350961381"/>
      <w:bookmarkStart w:id="9293" w:name="_Toc351021291"/>
      <w:bookmarkStart w:id="9294" w:name="_Toc351021734"/>
      <w:bookmarkStart w:id="9295" w:name="_Toc350961383"/>
      <w:bookmarkStart w:id="9296" w:name="_Toc351021293"/>
      <w:bookmarkStart w:id="9297" w:name="_Toc351021736"/>
      <w:bookmarkStart w:id="9298" w:name="_Toc350954113"/>
      <w:bookmarkStart w:id="9299" w:name="_Toc350961388"/>
      <w:bookmarkStart w:id="9300" w:name="_Toc351021298"/>
      <w:bookmarkStart w:id="9301" w:name="_Toc351021741"/>
      <w:bookmarkStart w:id="9302" w:name="_Toc350954114"/>
      <w:bookmarkStart w:id="9303" w:name="_Toc350961389"/>
      <w:bookmarkStart w:id="9304" w:name="_Toc351021299"/>
      <w:bookmarkStart w:id="9305" w:name="_Toc351021742"/>
      <w:bookmarkStart w:id="9306" w:name="_Toc350954115"/>
      <w:bookmarkStart w:id="9307" w:name="_Toc350961390"/>
      <w:bookmarkStart w:id="9308" w:name="_Toc351021300"/>
      <w:bookmarkStart w:id="9309" w:name="_Toc351021743"/>
      <w:bookmarkStart w:id="9310" w:name="_Toc350954116"/>
      <w:bookmarkStart w:id="9311" w:name="_Toc350961391"/>
      <w:bookmarkStart w:id="9312" w:name="_Toc351021301"/>
      <w:bookmarkStart w:id="9313" w:name="_Toc351021744"/>
      <w:bookmarkStart w:id="9314" w:name="_Toc350954119"/>
      <w:bookmarkStart w:id="9315" w:name="_Toc350961394"/>
      <w:bookmarkStart w:id="9316" w:name="_Toc351021304"/>
      <w:bookmarkStart w:id="9317" w:name="_Toc351021747"/>
      <w:bookmarkStart w:id="9318" w:name="_Toc350954120"/>
      <w:bookmarkStart w:id="9319" w:name="_Toc350961395"/>
      <w:bookmarkStart w:id="9320" w:name="_Toc351021305"/>
      <w:bookmarkStart w:id="9321" w:name="_Toc351021748"/>
      <w:bookmarkStart w:id="9322" w:name="_Toc350954121"/>
      <w:bookmarkStart w:id="9323" w:name="_Toc350961396"/>
      <w:bookmarkStart w:id="9324" w:name="_Toc351021306"/>
      <w:bookmarkStart w:id="9325" w:name="_Toc351021749"/>
      <w:bookmarkStart w:id="9326" w:name="_Toc350954122"/>
      <w:bookmarkStart w:id="9327" w:name="_Toc350961397"/>
      <w:bookmarkStart w:id="9328" w:name="_Toc351021307"/>
      <w:bookmarkStart w:id="9329" w:name="_Toc351021750"/>
      <w:bookmarkStart w:id="9330" w:name="_Toc350954123"/>
      <w:bookmarkStart w:id="9331" w:name="_Toc350961398"/>
      <w:bookmarkStart w:id="9332" w:name="_Toc351021308"/>
      <w:bookmarkStart w:id="9333" w:name="_Toc351021751"/>
      <w:bookmarkStart w:id="9334" w:name="_Toc350920269"/>
      <w:bookmarkStart w:id="9335" w:name="_Toc350954125"/>
      <w:bookmarkStart w:id="9336" w:name="_Toc350961400"/>
      <w:bookmarkStart w:id="9337" w:name="_Toc351021310"/>
      <w:bookmarkStart w:id="9338" w:name="_Toc351021753"/>
      <w:bookmarkStart w:id="9339" w:name="_Toc350920270"/>
      <w:bookmarkStart w:id="9340" w:name="_Toc350954126"/>
      <w:bookmarkStart w:id="9341" w:name="_Toc350961401"/>
      <w:bookmarkStart w:id="9342" w:name="_Toc351021311"/>
      <w:bookmarkStart w:id="9343" w:name="_Toc351021754"/>
      <w:bookmarkStart w:id="9344" w:name="_Toc350920271"/>
      <w:bookmarkStart w:id="9345" w:name="_Toc350954127"/>
      <w:bookmarkStart w:id="9346" w:name="_Toc350961402"/>
      <w:bookmarkStart w:id="9347" w:name="_Toc351021312"/>
      <w:bookmarkStart w:id="9348" w:name="_Toc351021755"/>
      <w:bookmarkStart w:id="9349" w:name="_Toc350954129"/>
      <w:bookmarkStart w:id="9350" w:name="_Toc350961404"/>
      <w:bookmarkStart w:id="9351" w:name="_Toc351021314"/>
      <w:bookmarkStart w:id="9352" w:name="_Toc351021757"/>
      <w:bookmarkStart w:id="9353" w:name="_Toc337654701"/>
      <w:bookmarkStart w:id="9354" w:name="_Toc338053260"/>
      <w:bookmarkStart w:id="9355" w:name="_Toc338689365"/>
      <w:bookmarkStart w:id="9356" w:name="_Toc337654702"/>
      <w:bookmarkStart w:id="9357" w:name="_Toc338053261"/>
      <w:bookmarkStart w:id="9358" w:name="_Toc338689366"/>
      <w:bookmarkStart w:id="9359" w:name="_Toc350961457"/>
      <w:bookmarkStart w:id="9360" w:name="_Toc351021367"/>
      <w:bookmarkStart w:id="9361" w:name="_Toc351021810"/>
      <w:bookmarkStart w:id="9362" w:name="_Toc350961464"/>
      <w:bookmarkStart w:id="9363" w:name="_Toc351021374"/>
      <w:bookmarkStart w:id="9364" w:name="_Toc351021817"/>
      <w:bookmarkStart w:id="9365" w:name="_Toc350961465"/>
      <w:bookmarkStart w:id="9366" w:name="_Toc351021375"/>
      <w:bookmarkStart w:id="9367" w:name="_Toc351021818"/>
      <w:bookmarkStart w:id="9368" w:name="_Toc350961466"/>
      <w:bookmarkStart w:id="9369" w:name="_Toc351021376"/>
      <w:bookmarkStart w:id="9370" w:name="_Toc351021819"/>
      <w:bookmarkStart w:id="9371" w:name="_Toc350961467"/>
      <w:bookmarkStart w:id="9372" w:name="_Toc351021377"/>
      <w:bookmarkStart w:id="9373" w:name="_Toc351021820"/>
      <w:bookmarkStart w:id="9374" w:name="_Toc350961468"/>
      <w:bookmarkStart w:id="9375" w:name="_Toc351021378"/>
      <w:bookmarkStart w:id="9376" w:name="_Toc351021821"/>
      <w:bookmarkStart w:id="9377" w:name="_Toc350961469"/>
      <w:bookmarkStart w:id="9378" w:name="_Toc351021379"/>
      <w:bookmarkStart w:id="9379" w:name="_Toc351021822"/>
      <w:bookmarkStart w:id="9380" w:name="_Toc350961470"/>
      <w:bookmarkStart w:id="9381" w:name="_Toc351021380"/>
      <w:bookmarkStart w:id="9382" w:name="_Toc351021823"/>
      <w:bookmarkStart w:id="9383" w:name="_Toc350961471"/>
      <w:bookmarkStart w:id="9384" w:name="_Toc351021381"/>
      <w:bookmarkStart w:id="9385" w:name="_Toc351021824"/>
      <w:bookmarkStart w:id="9386" w:name="_Toc350961472"/>
      <w:bookmarkStart w:id="9387" w:name="_Toc351021382"/>
      <w:bookmarkStart w:id="9388" w:name="_Toc351021825"/>
      <w:bookmarkStart w:id="9389" w:name="_Toc350961473"/>
      <w:bookmarkStart w:id="9390" w:name="_Toc351021383"/>
      <w:bookmarkStart w:id="9391" w:name="_Toc351021826"/>
      <w:bookmarkStart w:id="9392" w:name="_Toc350961474"/>
      <w:bookmarkStart w:id="9393" w:name="_Toc351021384"/>
      <w:bookmarkStart w:id="9394" w:name="_Toc351021827"/>
      <w:bookmarkStart w:id="9395" w:name="_Toc350961475"/>
      <w:bookmarkStart w:id="9396" w:name="_Toc351021385"/>
      <w:bookmarkStart w:id="9397" w:name="_Toc351021828"/>
      <w:bookmarkStart w:id="9398" w:name="_Toc350961476"/>
      <w:bookmarkStart w:id="9399" w:name="_Toc351021386"/>
      <w:bookmarkStart w:id="9400" w:name="_Toc351021829"/>
      <w:bookmarkStart w:id="9401" w:name="_Toc350961477"/>
      <w:bookmarkStart w:id="9402" w:name="_Toc350961784"/>
      <w:bookmarkStart w:id="9403" w:name="_Toc351021387"/>
      <w:bookmarkStart w:id="9404" w:name="_Toc351021830"/>
      <w:bookmarkStart w:id="9405" w:name="_Toc351022142"/>
      <w:bookmarkStart w:id="9406" w:name="_Toc350961478"/>
      <w:bookmarkStart w:id="9407" w:name="_Toc351021388"/>
      <w:bookmarkStart w:id="9408" w:name="_Toc351021831"/>
      <w:bookmarkStart w:id="9409" w:name="_Toc350961479"/>
      <w:bookmarkStart w:id="9410" w:name="_Toc351021389"/>
      <w:bookmarkStart w:id="9411" w:name="_Toc351021832"/>
      <w:bookmarkStart w:id="9412" w:name="_Toc350961480"/>
      <w:bookmarkStart w:id="9413" w:name="_Toc351021390"/>
      <w:bookmarkStart w:id="9414" w:name="_Toc351021833"/>
      <w:bookmarkStart w:id="9415" w:name="_Toc350961481"/>
      <w:bookmarkStart w:id="9416" w:name="_Toc351021391"/>
      <w:bookmarkStart w:id="9417" w:name="_Toc351021834"/>
      <w:bookmarkStart w:id="9418" w:name="_Toc350961482"/>
      <w:bookmarkStart w:id="9419" w:name="_Toc351021392"/>
      <w:bookmarkStart w:id="9420" w:name="_Toc351021835"/>
      <w:bookmarkStart w:id="9421" w:name="_Toc350961483"/>
      <w:bookmarkStart w:id="9422" w:name="_Toc351021393"/>
      <w:bookmarkStart w:id="9423" w:name="_Toc351021836"/>
      <w:bookmarkStart w:id="9424" w:name="_Toc350961484"/>
      <w:bookmarkStart w:id="9425" w:name="_Toc351021394"/>
      <w:bookmarkStart w:id="9426" w:name="_Toc351021837"/>
      <w:bookmarkStart w:id="9427" w:name="_Toc350961485"/>
      <w:bookmarkStart w:id="9428" w:name="_Toc351021395"/>
      <w:bookmarkStart w:id="9429" w:name="_Toc351021838"/>
      <w:bookmarkStart w:id="9430" w:name="_Toc350961486"/>
      <w:bookmarkStart w:id="9431" w:name="_Toc351021396"/>
      <w:bookmarkStart w:id="9432" w:name="_Toc351021839"/>
      <w:bookmarkStart w:id="9433" w:name="_Toc350961487"/>
      <w:bookmarkStart w:id="9434" w:name="_Toc351021397"/>
      <w:bookmarkStart w:id="9435" w:name="_Toc351021840"/>
      <w:bookmarkStart w:id="9436" w:name="_Toc350961490"/>
      <w:bookmarkStart w:id="9437" w:name="_Toc351021400"/>
      <w:bookmarkStart w:id="9438" w:name="_Toc351021843"/>
      <w:bookmarkStart w:id="9439" w:name="_Toc350961491"/>
      <w:bookmarkStart w:id="9440" w:name="_Toc351021401"/>
      <w:bookmarkStart w:id="9441" w:name="_Toc351021844"/>
      <w:bookmarkStart w:id="9442" w:name="_Toc350961492"/>
      <w:bookmarkStart w:id="9443" w:name="_Toc351021402"/>
      <w:bookmarkStart w:id="9444" w:name="_Toc351021845"/>
      <w:bookmarkStart w:id="9445" w:name="_Toc350961493"/>
      <w:bookmarkStart w:id="9446" w:name="_Toc351021403"/>
      <w:bookmarkStart w:id="9447" w:name="_Toc351021846"/>
      <w:bookmarkStart w:id="9448" w:name="_Toc350961494"/>
      <w:bookmarkStart w:id="9449" w:name="_Toc351021404"/>
      <w:bookmarkStart w:id="9450" w:name="_Toc351021847"/>
      <w:bookmarkStart w:id="9451" w:name="_Toc350961495"/>
      <w:bookmarkStart w:id="9452" w:name="_Toc351021405"/>
      <w:bookmarkStart w:id="9453" w:name="_Toc351021848"/>
      <w:bookmarkStart w:id="9454" w:name="_Toc350961496"/>
      <w:bookmarkStart w:id="9455" w:name="_Toc351021406"/>
      <w:bookmarkStart w:id="9456" w:name="_Toc351021849"/>
      <w:bookmarkStart w:id="9457" w:name="_Toc350961498"/>
      <w:bookmarkStart w:id="9458" w:name="_Toc351021408"/>
      <w:bookmarkStart w:id="9459" w:name="_Toc351021851"/>
      <w:bookmarkStart w:id="9460" w:name="_Toc350961503"/>
      <w:bookmarkStart w:id="9461" w:name="_Toc351021413"/>
      <w:bookmarkStart w:id="9462" w:name="_Toc351021856"/>
      <w:bookmarkStart w:id="9463" w:name="_Toc350961506"/>
      <w:bookmarkStart w:id="9464" w:name="_Toc351021416"/>
      <w:bookmarkStart w:id="9465" w:name="_Toc351021859"/>
      <w:bookmarkStart w:id="9466" w:name="_Toc350961508"/>
      <w:bookmarkStart w:id="9467" w:name="_Toc351021418"/>
      <w:bookmarkStart w:id="9468" w:name="_Toc351021861"/>
      <w:bookmarkStart w:id="9469" w:name="_Toc350920328"/>
      <w:bookmarkStart w:id="9470" w:name="_Toc350954196"/>
      <w:bookmarkStart w:id="9471" w:name="_Toc350961509"/>
      <w:bookmarkStart w:id="9472" w:name="_Toc351021419"/>
      <w:bookmarkStart w:id="9473" w:name="_Toc351021862"/>
      <w:bookmarkStart w:id="9474" w:name="_Toc350920329"/>
      <w:bookmarkStart w:id="9475" w:name="_Toc350954197"/>
      <w:bookmarkStart w:id="9476" w:name="_Toc350961510"/>
      <w:bookmarkStart w:id="9477" w:name="_Toc351021420"/>
      <w:bookmarkStart w:id="9478" w:name="_Toc351021863"/>
      <w:bookmarkStart w:id="9479" w:name="_Toc350920330"/>
      <w:bookmarkStart w:id="9480" w:name="_Toc350954198"/>
      <w:bookmarkStart w:id="9481" w:name="_Toc350961511"/>
      <w:bookmarkStart w:id="9482" w:name="_Toc351021421"/>
      <w:bookmarkStart w:id="9483" w:name="_Toc351021864"/>
      <w:bookmarkStart w:id="9484" w:name="_Toc350954199"/>
      <w:bookmarkStart w:id="9485" w:name="_Toc350961512"/>
      <w:bookmarkStart w:id="9486" w:name="_Toc351021422"/>
      <w:bookmarkStart w:id="9487" w:name="_Toc351021865"/>
      <w:bookmarkStart w:id="9488" w:name="_Toc350961514"/>
      <w:bookmarkStart w:id="9489" w:name="_Toc351021424"/>
      <w:bookmarkStart w:id="9490" w:name="_Toc351021867"/>
      <w:bookmarkStart w:id="9491" w:name="_Toc350961517"/>
      <w:bookmarkStart w:id="9492" w:name="_Toc351021427"/>
      <w:bookmarkStart w:id="9493" w:name="_Toc351021870"/>
      <w:bookmarkStart w:id="9494" w:name="_Toc350961521"/>
      <w:bookmarkStart w:id="9495" w:name="_Toc351021431"/>
      <w:bookmarkStart w:id="9496" w:name="_Toc351021874"/>
      <w:bookmarkStart w:id="9497" w:name="_Toc350961522"/>
      <w:bookmarkStart w:id="9498" w:name="_Toc351021432"/>
      <w:bookmarkStart w:id="9499" w:name="_Toc351021875"/>
      <w:bookmarkStart w:id="9500" w:name="_Toc350961523"/>
      <w:bookmarkStart w:id="9501" w:name="_Toc351021433"/>
      <w:bookmarkStart w:id="9502" w:name="_Toc351021876"/>
      <w:bookmarkStart w:id="9503" w:name="_Toc350961524"/>
      <w:bookmarkStart w:id="9504" w:name="_Toc351021434"/>
      <w:bookmarkStart w:id="9505" w:name="_Toc351021877"/>
      <w:bookmarkStart w:id="9506" w:name="_Toc350961525"/>
      <w:bookmarkStart w:id="9507" w:name="_Toc351021435"/>
      <w:bookmarkStart w:id="9508" w:name="_Toc351021878"/>
      <w:bookmarkStart w:id="9509" w:name="_Toc350961526"/>
      <w:bookmarkStart w:id="9510" w:name="_Toc351021436"/>
      <w:bookmarkStart w:id="9511" w:name="_Toc351021879"/>
      <w:bookmarkStart w:id="9512" w:name="_Toc350961527"/>
      <w:bookmarkStart w:id="9513" w:name="_Toc351021437"/>
      <w:bookmarkStart w:id="9514" w:name="_Toc351021880"/>
      <w:bookmarkStart w:id="9515" w:name="_Toc350961528"/>
      <w:bookmarkStart w:id="9516" w:name="_Toc351021438"/>
      <w:bookmarkStart w:id="9517" w:name="_Toc351021881"/>
      <w:bookmarkStart w:id="9518" w:name="_Toc350961529"/>
      <w:bookmarkStart w:id="9519" w:name="_Toc351021439"/>
      <w:bookmarkStart w:id="9520" w:name="_Toc351021882"/>
      <w:bookmarkStart w:id="9521" w:name="_Toc350961530"/>
      <w:bookmarkStart w:id="9522" w:name="_Toc351021440"/>
      <w:bookmarkStart w:id="9523" w:name="_Toc351021883"/>
      <w:bookmarkStart w:id="9524" w:name="_Toc350961531"/>
      <w:bookmarkStart w:id="9525" w:name="_Toc351021441"/>
      <w:bookmarkStart w:id="9526" w:name="_Toc351021884"/>
      <w:bookmarkStart w:id="9527" w:name="_Toc350961532"/>
      <w:bookmarkStart w:id="9528" w:name="_Toc351021442"/>
      <w:bookmarkStart w:id="9529" w:name="_Toc351021885"/>
      <w:bookmarkStart w:id="9530" w:name="_Toc350961533"/>
      <w:bookmarkStart w:id="9531" w:name="_Toc351021443"/>
      <w:bookmarkStart w:id="9532" w:name="_Toc351021886"/>
      <w:bookmarkStart w:id="9533" w:name="_Toc350961534"/>
      <w:bookmarkStart w:id="9534" w:name="_Toc351021444"/>
      <w:bookmarkStart w:id="9535" w:name="_Toc351021887"/>
      <w:bookmarkStart w:id="9536" w:name="_Toc350961535"/>
      <w:bookmarkStart w:id="9537" w:name="_Toc351021445"/>
      <w:bookmarkStart w:id="9538" w:name="_Toc351021888"/>
      <w:bookmarkStart w:id="9539" w:name="_Toc350961536"/>
      <w:bookmarkStart w:id="9540" w:name="_Toc351021446"/>
      <w:bookmarkStart w:id="9541" w:name="_Toc351021889"/>
      <w:bookmarkStart w:id="9542" w:name="_Toc350961537"/>
      <w:bookmarkStart w:id="9543" w:name="_Toc351021447"/>
      <w:bookmarkStart w:id="9544" w:name="_Toc351021890"/>
      <w:bookmarkStart w:id="9545" w:name="_Toc350961538"/>
      <w:bookmarkStart w:id="9546" w:name="_Toc351021448"/>
      <w:bookmarkStart w:id="9547" w:name="_Toc351021891"/>
      <w:bookmarkStart w:id="9548" w:name="_Toc350961539"/>
      <w:bookmarkStart w:id="9549" w:name="_Toc351021449"/>
      <w:bookmarkStart w:id="9550" w:name="_Toc351021892"/>
      <w:bookmarkStart w:id="9551" w:name="_Toc350961540"/>
      <w:bookmarkStart w:id="9552" w:name="_Toc351021450"/>
      <w:bookmarkStart w:id="9553" w:name="_Toc351021893"/>
      <w:bookmarkStart w:id="9554" w:name="_Toc350961541"/>
      <w:bookmarkStart w:id="9555" w:name="_Toc351021451"/>
      <w:bookmarkStart w:id="9556" w:name="_Toc351021894"/>
      <w:bookmarkStart w:id="9557" w:name="_Toc350961542"/>
      <w:bookmarkStart w:id="9558" w:name="_Toc351021452"/>
      <w:bookmarkStart w:id="9559" w:name="_Toc351021895"/>
      <w:bookmarkStart w:id="9560" w:name="_Toc350961543"/>
      <w:bookmarkStart w:id="9561" w:name="_Toc351021453"/>
      <w:bookmarkStart w:id="9562" w:name="_Toc351021896"/>
      <w:bookmarkStart w:id="9563" w:name="_Toc350961544"/>
      <w:bookmarkStart w:id="9564" w:name="_Toc351021454"/>
      <w:bookmarkStart w:id="9565" w:name="_Toc351021897"/>
      <w:bookmarkStart w:id="9566" w:name="_Toc350961545"/>
      <w:bookmarkStart w:id="9567" w:name="_Toc351021455"/>
      <w:bookmarkStart w:id="9568" w:name="_Toc351021898"/>
      <w:bookmarkStart w:id="9569" w:name="_Toc350961546"/>
      <w:bookmarkStart w:id="9570" w:name="_Toc351021456"/>
      <w:bookmarkStart w:id="9571" w:name="_Toc351021899"/>
      <w:bookmarkStart w:id="9572" w:name="_Toc350961547"/>
      <w:bookmarkStart w:id="9573" w:name="_Toc351021457"/>
      <w:bookmarkStart w:id="9574" w:name="_Toc351021900"/>
      <w:bookmarkStart w:id="9575" w:name="_Toc350961548"/>
      <w:bookmarkStart w:id="9576" w:name="_Toc351021458"/>
      <w:bookmarkStart w:id="9577" w:name="_Toc351021901"/>
      <w:bookmarkStart w:id="9578" w:name="_Toc350961549"/>
      <w:bookmarkStart w:id="9579" w:name="_Toc351021459"/>
      <w:bookmarkStart w:id="9580" w:name="_Toc351021902"/>
      <w:bookmarkStart w:id="9581" w:name="_Toc350961551"/>
      <w:bookmarkStart w:id="9582" w:name="_Toc351021461"/>
      <w:bookmarkStart w:id="9583" w:name="_Toc351021904"/>
      <w:bookmarkStart w:id="9584" w:name="_Toc350961553"/>
      <w:bookmarkStart w:id="9585" w:name="_Toc351021463"/>
      <w:bookmarkStart w:id="9586" w:name="_Toc351021906"/>
      <w:bookmarkStart w:id="9587" w:name="_Toc350961554"/>
      <w:bookmarkStart w:id="9588" w:name="_Toc351021464"/>
      <w:bookmarkStart w:id="9589" w:name="_Toc351021907"/>
      <w:bookmarkStart w:id="9590" w:name="_Toc350920340"/>
      <w:bookmarkStart w:id="9591" w:name="_Toc350954208"/>
      <w:bookmarkStart w:id="9592" w:name="_Toc350961555"/>
      <w:bookmarkStart w:id="9593" w:name="_Toc351021465"/>
      <w:bookmarkStart w:id="9594" w:name="_Toc351021908"/>
      <w:bookmarkStart w:id="9595" w:name="_Toc350920341"/>
      <w:bookmarkStart w:id="9596" w:name="_Toc350954209"/>
      <w:bookmarkStart w:id="9597" w:name="_Toc350961556"/>
      <w:bookmarkStart w:id="9598" w:name="_Toc351021466"/>
      <w:bookmarkStart w:id="9599" w:name="_Toc351021909"/>
      <w:bookmarkStart w:id="9600" w:name="_Toc350920342"/>
      <w:bookmarkStart w:id="9601" w:name="_Toc350954210"/>
      <w:bookmarkStart w:id="9602" w:name="_Toc350961557"/>
      <w:bookmarkStart w:id="9603" w:name="_Toc351021467"/>
      <w:bookmarkStart w:id="9604" w:name="_Toc351021910"/>
      <w:bookmarkStart w:id="9605" w:name="_Toc350920343"/>
      <w:bookmarkStart w:id="9606" w:name="_Toc350954211"/>
      <w:bookmarkStart w:id="9607" w:name="_Toc350961558"/>
      <w:bookmarkStart w:id="9608" w:name="_Toc351021468"/>
      <w:bookmarkStart w:id="9609" w:name="_Toc351021911"/>
      <w:bookmarkStart w:id="9610" w:name="_Toc350920344"/>
      <w:bookmarkStart w:id="9611" w:name="_Toc350954212"/>
      <w:bookmarkStart w:id="9612" w:name="_Toc350961559"/>
      <w:bookmarkStart w:id="9613" w:name="_Toc351021469"/>
      <w:bookmarkStart w:id="9614" w:name="_Toc351021912"/>
      <w:bookmarkStart w:id="9615" w:name="_Toc350961613"/>
      <w:bookmarkStart w:id="9616" w:name="_Toc351021523"/>
      <w:bookmarkStart w:id="9617" w:name="_Toc351021966"/>
      <w:bookmarkStart w:id="9618" w:name="_Toc351021970"/>
      <w:bookmarkStart w:id="9619" w:name="_Toc350961618"/>
      <w:bookmarkStart w:id="9620" w:name="_Toc351021528"/>
      <w:bookmarkStart w:id="9621" w:name="_Toc351021972"/>
      <w:bookmarkStart w:id="9622" w:name="_Toc350961676"/>
      <w:bookmarkStart w:id="9623" w:name="_Toc351021586"/>
      <w:bookmarkStart w:id="9624" w:name="_Toc351022030"/>
      <w:bookmarkStart w:id="9625" w:name="_Toc350961677"/>
      <w:bookmarkStart w:id="9626" w:name="_Toc351021587"/>
      <w:bookmarkStart w:id="9627" w:name="_Toc351022031"/>
      <w:bookmarkStart w:id="9628" w:name="_Toc350961680"/>
      <w:bookmarkStart w:id="9629" w:name="_Toc351021590"/>
      <w:bookmarkStart w:id="9630" w:name="_Toc351022034"/>
      <w:bookmarkStart w:id="9631" w:name="_Toc350961681"/>
      <w:bookmarkStart w:id="9632" w:name="_Toc351021591"/>
      <w:bookmarkStart w:id="9633" w:name="_Toc351022035"/>
      <w:bookmarkStart w:id="9634" w:name="_Toc350954328"/>
      <w:bookmarkStart w:id="9635" w:name="_Toc350961683"/>
      <w:bookmarkStart w:id="9636" w:name="_Toc351021593"/>
      <w:bookmarkStart w:id="9637" w:name="_Toc351022037"/>
      <w:bookmarkStart w:id="9638" w:name="_Toc350920460"/>
      <w:bookmarkStart w:id="9639" w:name="_Toc350954329"/>
      <w:bookmarkStart w:id="9640" w:name="_Toc350961684"/>
      <w:bookmarkStart w:id="9641" w:name="_Toc351021594"/>
      <w:bookmarkStart w:id="9642" w:name="_Toc351022038"/>
      <w:bookmarkStart w:id="9643" w:name="_Toc350920461"/>
      <w:bookmarkStart w:id="9644" w:name="_Toc350954330"/>
      <w:bookmarkStart w:id="9645" w:name="_Toc350961685"/>
      <w:bookmarkStart w:id="9646" w:name="_Toc351021595"/>
      <w:bookmarkStart w:id="9647" w:name="_Toc351022039"/>
      <w:bookmarkStart w:id="9648" w:name="_Toc350920462"/>
      <w:bookmarkStart w:id="9649" w:name="_Toc350954331"/>
      <w:bookmarkStart w:id="9650" w:name="_Toc350961686"/>
      <w:bookmarkStart w:id="9651" w:name="_Toc351021596"/>
      <w:bookmarkStart w:id="9652" w:name="_Toc351022040"/>
      <w:bookmarkStart w:id="9653" w:name="_Toc500945101"/>
      <w:bookmarkStart w:id="9654" w:name="_Toc502848477"/>
      <w:bookmarkStart w:id="9655" w:name="_Toc500945103"/>
      <w:bookmarkStart w:id="9656" w:name="_Toc502848479"/>
      <w:bookmarkStart w:id="9657" w:name="_Toc500945106"/>
      <w:bookmarkStart w:id="9658" w:name="_Toc502848482"/>
      <w:bookmarkStart w:id="9659" w:name="_Toc500945107"/>
      <w:bookmarkStart w:id="9660" w:name="_Toc502848483"/>
      <w:bookmarkStart w:id="9661" w:name="_Toc351022059"/>
      <w:bookmarkStart w:id="9662" w:name="_Toc350920466"/>
      <w:bookmarkStart w:id="9663" w:name="_Toc350954350"/>
      <w:bookmarkStart w:id="9664" w:name="_Toc350961705"/>
      <w:bookmarkStart w:id="9665" w:name="_Toc351021615"/>
      <w:bookmarkStart w:id="9666" w:name="_Toc351022060"/>
      <w:bookmarkStart w:id="9667" w:name="_Toc350961707"/>
      <w:bookmarkStart w:id="9668" w:name="_Toc351021617"/>
      <w:bookmarkStart w:id="9669" w:name="_Toc351022062"/>
      <w:bookmarkStart w:id="9670" w:name="_Toc350961708"/>
      <w:bookmarkStart w:id="9671" w:name="_Toc351021618"/>
      <w:bookmarkStart w:id="9672" w:name="_Toc351022063"/>
      <w:bookmarkStart w:id="9673" w:name="_Toc350961709"/>
      <w:bookmarkStart w:id="9674" w:name="_Toc351021619"/>
      <w:bookmarkStart w:id="9675" w:name="_Toc351022064"/>
      <w:bookmarkStart w:id="9676" w:name="_Toc350961710"/>
      <w:bookmarkStart w:id="9677" w:name="_Toc351021620"/>
      <w:bookmarkStart w:id="9678" w:name="_Toc351022065"/>
      <w:bookmarkStart w:id="9679" w:name="_Toc350961711"/>
      <w:bookmarkStart w:id="9680" w:name="_Toc351021621"/>
      <w:bookmarkStart w:id="9681" w:name="_Toc351022066"/>
      <w:bookmarkStart w:id="9682" w:name="_Toc350961712"/>
      <w:bookmarkStart w:id="9683" w:name="_Toc351021622"/>
      <w:bookmarkStart w:id="9684" w:name="_Toc351022067"/>
      <w:bookmarkStart w:id="9685" w:name="_Toc350961713"/>
      <w:bookmarkStart w:id="9686" w:name="_Toc351021623"/>
      <w:bookmarkStart w:id="9687" w:name="_Toc351022068"/>
      <w:bookmarkStart w:id="9688" w:name="_Toc350961714"/>
      <w:bookmarkStart w:id="9689" w:name="_Toc351021624"/>
      <w:bookmarkStart w:id="9690" w:name="_Toc351022069"/>
      <w:bookmarkStart w:id="9691" w:name="_Toc350961715"/>
      <w:bookmarkStart w:id="9692" w:name="_Toc351021625"/>
      <w:bookmarkStart w:id="9693" w:name="_Toc351022070"/>
      <w:bookmarkStart w:id="9694" w:name="_Toc350961716"/>
      <w:bookmarkStart w:id="9695" w:name="_Toc351021626"/>
      <w:bookmarkStart w:id="9696" w:name="_Toc351022071"/>
      <w:bookmarkStart w:id="9697" w:name="_Toc350961717"/>
      <w:bookmarkStart w:id="9698" w:name="_Toc351021627"/>
      <w:bookmarkStart w:id="9699" w:name="_Toc351022072"/>
      <w:bookmarkStart w:id="9700" w:name="_Toc350961718"/>
      <w:bookmarkStart w:id="9701" w:name="_Toc351021628"/>
      <w:bookmarkStart w:id="9702" w:name="_Toc351022073"/>
      <w:bookmarkStart w:id="9703" w:name="_Toc350961719"/>
      <w:bookmarkStart w:id="9704" w:name="_Toc351021629"/>
      <w:bookmarkStart w:id="9705" w:name="_Toc351022074"/>
      <w:bookmarkStart w:id="9706" w:name="_Toc350961720"/>
      <w:bookmarkStart w:id="9707" w:name="_Toc351021630"/>
      <w:bookmarkStart w:id="9708" w:name="_Toc351022075"/>
      <w:bookmarkStart w:id="9709" w:name="_Toc350961721"/>
      <w:bookmarkStart w:id="9710" w:name="_Toc351021631"/>
      <w:bookmarkStart w:id="9711" w:name="_Toc351022076"/>
      <w:bookmarkStart w:id="9712" w:name="_Toc350961722"/>
      <w:bookmarkStart w:id="9713" w:name="_Toc351021632"/>
      <w:bookmarkStart w:id="9714" w:name="_Toc351022077"/>
      <w:bookmarkStart w:id="9715" w:name="_Toc350961723"/>
      <w:bookmarkStart w:id="9716" w:name="_Toc351021633"/>
      <w:bookmarkStart w:id="9717" w:name="_Toc351022078"/>
      <w:bookmarkStart w:id="9718" w:name="_Toc350961724"/>
      <w:bookmarkStart w:id="9719" w:name="_Toc351021634"/>
      <w:bookmarkStart w:id="9720" w:name="_Toc351022079"/>
      <w:bookmarkStart w:id="9721" w:name="_Toc350961725"/>
      <w:bookmarkStart w:id="9722" w:name="_Toc351021635"/>
      <w:bookmarkStart w:id="9723" w:name="_Toc351022080"/>
      <w:bookmarkStart w:id="9724" w:name="_Toc350961726"/>
      <w:bookmarkStart w:id="9725" w:name="_Toc351021636"/>
      <w:bookmarkStart w:id="9726" w:name="_Toc351022081"/>
      <w:bookmarkStart w:id="9727" w:name="_Toc351021641"/>
      <w:bookmarkStart w:id="9728" w:name="_Toc351022086"/>
      <w:bookmarkStart w:id="9729" w:name="_Toc351021645"/>
      <w:bookmarkStart w:id="9730" w:name="_Toc351022090"/>
      <w:bookmarkStart w:id="9731" w:name="_Toc351021646"/>
      <w:bookmarkStart w:id="9732" w:name="_Toc351022091"/>
      <w:bookmarkStart w:id="9733" w:name="_Toc350954361"/>
      <w:bookmarkStart w:id="9734" w:name="_Toc350961734"/>
      <w:bookmarkStart w:id="9735" w:name="_Toc351021647"/>
      <w:bookmarkStart w:id="9736" w:name="_Toc351022092"/>
      <w:bookmarkStart w:id="9737" w:name="_Toc351021650"/>
      <w:bookmarkStart w:id="9738" w:name="_Toc351022095"/>
      <w:bookmarkStart w:id="9739" w:name="_Toc350920483"/>
      <w:bookmarkStart w:id="9740" w:name="_Toc350954368"/>
      <w:bookmarkStart w:id="9741" w:name="_Toc350961741"/>
      <w:bookmarkStart w:id="9742" w:name="_Toc351021654"/>
      <w:bookmarkStart w:id="9743" w:name="_Toc351022099"/>
      <w:bookmarkStart w:id="9744" w:name="_Toc351019684"/>
      <w:bookmarkStart w:id="9745" w:name="_Toc351019843"/>
      <w:bookmarkStart w:id="9746" w:name="_Toc357523362"/>
      <w:bookmarkStart w:id="9747" w:name="_Toc357581766"/>
      <w:bookmarkStart w:id="9748" w:name="_Toc357585455"/>
      <w:bookmarkStart w:id="9749" w:name="_Toc357586216"/>
      <w:bookmarkStart w:id="9750" w:name="_Toc357586970"/>
      <w:bookmarkStart w:id="9751" w:name="_Toc357771447"/>
      <w:bookmarkStart w:id="9752" w:name="_Toc357772195"/>
      <w:bookmarkStart w:id="9753" w:name="_Toc357772943"/>
      <w:bookmarkStart w:id="9754" w:name="_Toc357773694"/>
      <w:bookmarkStart w:id="9755" w:name="_Toc357774481"/>
      <w:bookmarkStart w:id="9756" w:name="_Toc357775228"/>
      <w:bookmarkStart w:id="9757" w:name="_Toc357783033"/>
      <w:bookmarkStart w:id="9758" w:name="_Toc357783780"/>
      <w:bookmarkStart w:id="9759" w:name="_Toc357784606"/>
      <w:bookmarkStart w:id="9760" w:name="_Toc363027737"/>
      <w:bookmarkStart w:id="9761" w:name="_Toc363482625"/>
      <w:bookmarkStart w:id="9762" w:name="_Toc363483386"/>
      <w:bookmarkStart w:id="9763" w:name="_Toc367453403"/>
      <w:bookmarkStart w:id="9764" w:name="_Toc367454190"/>
      <w:bookmarkStart w:id="9765" w:name="_Toc367776720"/>
      <w:bookmarkStart w:id="9766" w:name="_Toc367777472"/>
      <w:bookmarkStart w:id="9767" w:name="_Toc367806774"/>
      <w:bookmarkStart w:id="9768" w:name="_Toc367807617"/>
      <w:bookmarkStart w:id="9769" w:name="_Toc372284003"/>
      <w:bookmarkStart w:id="9770" w:name="_Toc372284778"/>
      <w:bookmarkStart w:id="9771" w:name="_Toc372285565"/>
      <w:bookmarkStart w:id="9772" w:name="_Toc372286124"/>
      <w:bookmarkStart w:id="9773" w:name="_Toc372295205"/>
      <w:bookmarkStart w:id="9774" w:name="_Toc372295984"/>
      <w:bookmarkStart w:id="9775" w:name="_Toc372702845"/>
      <w:bookmarkStart w:id="9776" w:name="_Toc372703673"/>
      <w:bookmarkStart w:id="9777" w:name="_Toc372890125"/>
      <w:bookmarkStart w:id="9778" w:name="_Toc372890957"/>
      <w:bookmarkStart w:id="9779" w:name="_Toc378773923"/>
      <w:bookmarkStart w:id="9780" w:name="_Toc378774745"/>
      <w:bookmarkStart w:id="9781" w:name="_Toc378844271"/>
      <w:bookmarkStart w:id="9782" w:name="_Toc378945285"/>
      <w:bookmarkStart w:id="9783" w:name="_Toc379281277"/>
      <w:bookmarkStart w:id="9784" w:name="_Toc379282099"/>
      <w:bookmarkStart w:id="9785" w:name="_Toc379282921"/>
      <w:bookmarkStart w:id="9786" w:name="_Toc379443354"/>
      <w:bookmarkStart w:id="9787" w:name="_Toc379444116"/>
      <w:bookmarkStart w:id="9788" w:name="_Toc381001084"/>
      <w:bookmarkStart w:id="9789" w:name="_Toc381090420"/>
      <w:bookmarkStart w:id="9790" w:name="_Toc383441052"/>
      <w:bookmarkStart w:id="9791" w:name="_Toc383686058"/>
      <w:bookmarkStart w:id="9792" w:name="_Toc383686834"/>
      <w:bookmarkStart w:id="9793" w:name="_Toc384134798"/>
      <w:bookmarkStart w:id="9794" w:name="_Toc387734874"/>
      <w:bookmarkStart w:id="9795" w:name="_Toc389638197"/>
      <w:bookmarkStart w:id="9796" w:name="_Toc397008594"/>
      <w:bookmarkStart w:id="9797" w:name="_Toc397009370"/>
      <w:bookmarkStart w:id="9798" w:name="_Toc397067410"/>
      <w:bookmarkStart w:id="9799" w:name="_Toc403476897"/>
      <w:bookmarkStart w:id="9800" w:name="_Toc403479521"/>
      <w:bookmarkStart w:id="9801" w:name="_Toc403480825"/>
      <w:bookmarkStart w:id="9802" w:name="_Toc403483850"/>
      <w:bookmarkStart w:id="9803" w:name="_Toc403484833"/>
      <w:bookmarkStart w:id="9804" w:name="_Toc408500522"/>
      <w:bookmarkStart w:id="9805" w:name="_Toc408557461"/>
      <w:bookmarkStart w:id="9806" w:name="_Toc411519907"/>
      <w:bookmarkStart w:id="9807" w:name="_Toc412190265"/>
      <w:bookmarkStart w:id="9808" w:name="_Toc412816049"/>
      <w:bookmarkStart w:id="9809" w:name="_Toc415747668"/>
      <w:bookmarkStart w:id="9810" w:name="_Toc418586324"/>
      <w:bookmarkStart w:id="9811" w:name="_Toc418591275"/>
      <w:bookmarkStart w:id="9812" w:name="_Toc418592054"/>
      <w:bookmarkStart w:id="9813" w:name="_Toc418592833"/>
      <w:bookmarkStart w:id="9814" w:name="_Toc418596541"/>
      <w:bookmarkStart w:id="9815" w:name="_Toc418597320"/>
      <w:bookmarkStart w:id="9816" w:name="_Toc419705267"/>
      <w:bookmarkStart w:id="9817" w:name="_Toc420932871"/>
      <w:bookmarkStart w:id="9818" w:name="_Toc420933638"/>
      <w:bookmarkStart w:id="9819" w:name="_Toc420934405"/>
      <w:bookmarkStart w:id="9820" w:name="_Toc420941973"/>
      <w:bookmarkStart w:id="9821" w:name="_Toc424543242"/>
      <w:bookmarkStart w:id="9822" w:name="_Toc424547719"/>
      <w:bookmarkStart w:id="9823" w:name="_Toc424562206"/>
      <w:bookmarkStart w:id="9824" w:name="_Toc425837177"/>
      <w:bookmarkStart w:id="9825" w:name="_Toc425837960"/>
      <w:bookmarkStart w:id="9826" w:name="_Toc425838740"/>
      <w:bookmarkStart w:id="9827" w:name="_Toc425839520"/>
      <w:bookmarkStart w:id="9828" w:name="_Toc425840301"/>
      <w:bookmarkStart w:id="9829" w:name="_Toc425841080"/>
      <w:bookmarkStart w:id="9830" w:name="_Toc425841859"/>
      <w:bookmarkStart w:id="9831" w:name="_Toc425864717"/>
      <w:bookmarkStart w:id="9832" w:name="_Toc425865495"/>
      <w:bookmarkStart w:id="9833" w:name="_Toc425942705"/>
      <w:bookmarkStart w:id="9834" w:name="_Toc425943619"/>
      <w:bookmarkStart w:id="9835" w:name="_Toc430847800"/>
      <w:bookmarkStart w:id="9836" w:name="_Toc431501288"/>
      <w:bookmarkStart w:id="9837" w:name="_Toc431619464"/>
      <w:bookmarkStart w:id="9838" w:name="_Toc431620236"/>
      <w:bookmarkStart w:id="9839" w:name="_Toc432156831"/>
      <w:bookmarkStart w:id="9840" w:name="_Toc432166049"/>
      <w:bookmarkStart w:id="9841" w:name="_Toc432166904"/>
      <w:bookmarkStart w:id="9842" w:name="_Toc432167762"/>
      <w:bookmarkStart w:id="9843" w:name="_Toc432168578"/>
      <w:bookmarkStart w:id="9844" w:name="_Toc435192088"/>
      <w:bookmarkStart w:id="9845" w:name="_Toc437590685"/>
      <w:bookmarkStart w:id="9846" w:name="_Toc443913434"/>
      <w:bookmarkStart w:id="9847" w:name="_Toc444090834"/>
      <w:bookmarkStart w:id="9848" w:name="_Toc357585456"/>
      <w:bookmarkStart w:id="9849" w:name="_Toc357586217"/>
      <w:bookmarkStart w:id="9850" w:name="_Toc357586971"/>
      <w:bookmarkStart w:id="9851" w:name="_Toc357771448"/>
      <w:bookmarkStart w:id="9852" w:name="_Toc357772196"/>
      <w:bookmarkStart w:id="9853" w:name="_Toc357772944"/>
      <w:bookmarkStart w:id="9854" w:name="_Toc357773695"/>
      <w:bookmarkStart w:id="9855" w:name="_Toc357774482"/>
      <w:bookmarkStart w:id="9856" w:name="_Toc357775229"/>
      <w:bookmarkStart w:id="9857" w:name="_Toc357783034"/>
      <w:bookmarkStart w:id="9858" w:name="_Toc357783781"/>
      <w:bookmarkStart w:id="9859" w:name="_Toc357784607"/>
      <w:bookmarkStart w:id="9860" w:name="_Toc363027738"/>
      <w:bookmarkStart w:id="9861" w:name="_Toc363482626"/>
      <w:bookmarkStart w:id="9862" w:name="_Toc363483387"/>
      <w:bookmarkStart w:id="9863" w:name="_Toc367453404"/>
      <w:bookmarkStart w:id="9864" w:name="_Toc367454191"/>
      <w:bookmarkStart w:id="9865" w:name="_Toc367776721"/>
      <w:bookmarkStart w:id="9866" w:name="_Toc367777473"/>
      <w:bookmarkStart w:id="9867" w:name="_Toc367806775"/>
      <w:bookmarkStart w:id="9868" w:name="_Toc367807618"/>
      <w:bookmarkStart w:id="9869" w:name="_Toc372284004"/>
      <w:bookmarkStart w:id="9870" w:name="_Toc372284779"/>
      <w:bookmarkStart w:id="9871" w:name="_Toc372285566"/>
      <w:bookmarkStart w:id="9872" w:name="_Toc372286125"/>
      <w:bookmarkStart w:id="9873" w:name="_Toc372295206"/>
      <w:bookmarkStart w:id="9874" w:name="_Toc372295985"/>
      <w:bookmarkStart w:id="9875" w:name="_Toc372702846"/>
      <w:bookmarkStart w:id="9876" w:name="_Toc372703674"/>
      <w:bookmarkStart w:id="9877" w:name="_Toc372890126"/>
      <w:bookmarkStart w:id="9878" w:name="_Toc372890958"/>
      <w:bookmarkStart w:id="9879" w:name="_Toc378773924"/>
      <w:bookmarkStart w:id="9880" w:name="_Toc378774746"/>
      <w:bookmarkStart w:id="9881" w:name="_Toc378844272"/>
      <w:bookmarkStart w:id="9882" w:name="_Toc378945286"/>
      <w:bookmarkStart w:id="9883" w:name="_Toc379281278"/>
      <w:bookmarkStart w:id="9884" w:name="_Toc379282100"/>
      <w:bookmarkStart w:id="9885" w:name="_Toc379282922"/>
      <w:bookmarkStart w:id="9886" w:name="_Toc379443355"/>
      <w:bookmarkStart w:id="9887" w:name="_Toc379444117"/>
      <w:bookmarkStart w:id="9888" w:name="_Toc381001085"/>
      <w:bookmarkStart w:id="9889" w:name="_Toc381090421"/>
      <w:bookmarkStart w:id="9890" w:name="_Toc383441053"/>
      <w:bookmarkStart w:id="9891" w:name="_Toc383686059"/>
      <w:bookmarkStart w:id="9892" w:name="_Toc383686835"/>
      <w:bookmarkStart w:id="9893" w:name="_Toc384134799"/>
      <w:bookmarkStart w:id="9894" w:name="_Toc387734875"/>
      <w:bookmarkStart w:id="9895" w:name="_Toc389638198"/>
      <w:bookmarkStart w:id="9896" w:name="_Toc397008595"/>
      <w:bookmarkStart w:id="9897" w:name="_Toc397009371"/>
      <w:bookmarkStart w:id="9898" w:name="_Toc397067411"/>
      <w:bookmarkStart w:id="9899" w:name="_Toc403476898"/>
      <w:bookmarkStart w:id="9900" w:name="_Toc403479522"/>
      <w:bookmarkStart w:id="9901" w:name="_Toc403480826"/>
      <w:bookmarkStart w:id="9902" w:name="_Toc403483851"/>
      <w:bookmarkStart w:id="9903" w:name="_Toc403484834"/>
      <w:bookmarkStart w:id="9904" w:name="_Toc408500523"/>
      <w:bookmarkStart w:id="9905" w:name="_Toc408557462"/>
      <w:bookmarkStart w:id="9906" w:name="_Toc411519908"/>
      <w:bookmarkStart w:id="9907" w:name="_Toc412190266"/>
      <w:bookmarkStart w:id="9908" w:name="_Toc412816050"/>
      <w:bookmarkStart w:id="9909" w:name="_Toc415747669"/>
      <w:bookmarkStart w:id="9910" w:name="_Toc418586325"/>
      <w:bookmarkStart w:id="9911" w:name="_Toc418591276"/>
      <w:bookmarkStart w:id="9912" w:name="_Toc418592055"/>
      <w:bookmarkStart w:id="9913" w:name="_Toc418592834"/>
      <w:bookmarkStart w:id="9914" w:name="_Toc418596542"/>
      <w:bookmarkStart w:id="9915" w:name="_Toc418597321"/>
      <w:bookmarkStart w:id="9916" w:name="_Toc419705268"/>
      <w:bookmarkStart w:id="9917" w:name="_Toc420932872"/>
      <w:bookmarkStart w:id="9918" w:name="_Toc420933639"/>
      <w:bookmarkStart w:id="9919" w:name="_Toc420934406"/>
      <w:bookmarkStart w:id="9920" w:name="_Toc420941974"/>
      <w:bookmarkStart w:id="9921" w:name="_Toc424543243"/>
      <w:bookmarkStart w:id="9922" w:name="_Toc424547720"/>
      <w:bookmarkStart w:id="9923" w:name="_Toc424562207"/>
      <w:bookmarkStart w:id="9924" w:name="_Toc425837178"/>
      <w:bookmarkStart w:id="9925" w:name="_Toc425837961"/>
      <w:bookmarkStart w:id="9926" w:name="_Toc425838741"/>
      <w:bookmarkStart w:id="9927" w:name="_Toc425839521"/>
      <w:bookmarkStart w:id="9928" w:name="_Toc425840302"/>
      <w:bookmarkStart w:id="9929" w:name="_Toc425841081"/>
      <w:bookmarkStart w:id="9930" w:name="_Toc425841860"/>
      <w:bookmarkStart w:id="9931" w:name="_Toc425864718"/>
      <w:bookmarkStart w:id="9932" w:name="_Toc425865496"/>
      <w:bookmarkStart w:id="9933" w:name="_Toc425942706"/>
      <w:bookmarkStart w:id="9934" w:name="_Toc425943620"/>
      <w:bookmarkStart w:id="9935" w:name="_Toc430847801"/>
      <w:bookmarkStart w:id="9936" w:name="_Toc431501289"/>
      <w:bookmarkStart w:id="9937" w:name="_Toc431619465"/>
      <w:bookmarkStart w:id="9938" w:name="_Toc431620237"/>
      <w:bookmarkStart w:id="9939" w:name="_Toc432156832"/>
      <w:bookmarkStart w:id="9940" w:name="_Toc432166050"/>
      <w:bookmarkStart w:id="9941" w:name="_Toc432166905"/>
      <w:bookmarkStart w:id="9942" w:name="_Toc432167763"/>
      <w:bookmarkStart w:id="9943" w:name="_Toc432168579"/>
      <w:bookmarkStart w:id="9944" w:name="_Toc435192089"/>
      <w:bookmarkStart w:id="9945" w:name="_Toc437590686"/>
      <w:bookmarkStart w:id="9946" w:name="_Toc443913435"/>
      <w:bookmarkStart w:id="9947" w:name="_Toc444090835"/>
      <w:bookmarkStart w:id="9948" w:name="_Toc357585457"/>
      <w:bookmarkStart w:id="9949" w:name="_Toc357586218"/>
      <w:bookmarkStart w:id="9950" w:name="_Toc357586972"/>
      <w:bookmarkStart w:id="9951" w:name="_Toc357771449"/>
      <w:bookmarkStart w:id="9952" w:name="_Toc357772197"/>
      <w:bookmarkStart w:id="9953" w:name="_Toc357772945"/>
      <w:bookmarkStart w:id="9954" w:name="_Toc357773696"/>
      <w:bookmarkStart w:id="9955" w:name="_Toc357774483"/>
      <w:bookmarkStart w:id="9956" w:name="_Toc357775230"/>
      <w:bookmarkStart w:id="9957" w:name="_Toc357783035"/>
      <w:bookmarkStart w:id="9958" w:name="_Toc357783782"/>
      <w:bookmarkStart w:id="9959" w:name="_Toc357784608"/>
      <w:bookmarkStart w:id="9960" w:name="_Toc363027739"/>
      <w:bookmarkStart w:id="9961" w:name="_Toc363482627"/>
      <w:bookmarkStart w:id="9962" w:name="_Toc363483388"/>
      <w:bookmarkStart w:id="9963" w:name="_Toc367453405"/>
      <w:bookmarkStart w:id="9964" w:name="_Toc367454192"/>
      <w:bookmarkStart w:id="9965" w:name="_Toc367776722"/>
      <w:bookmarkStart w:id="9966" w:name="_Toc367777474"/>
      <w:bookmarkStart w:id="9967" w:name="_Toc367806776"/>
      <w:bookmarkStart w:id="9968" w:name="_Toc367807619"/>
      <w:bookmarkStart w:id="9969" w:name="_Toc372284005"/>
      <w:bookmarkStart w:id="9970" w:name="_Toc372284780"/>
      <w:bookmarkStart w:id="9971" w:name="_Toc372285567"/>
      <w:bookmarkStart w:id="9972" w:name="_Toc372286126"/>
      <w:bookmarkStart w:id="9973" w:name="_Toc372295207"/>
      <w:bookmarkStart w:id="9974" w:name="_Toc372295986"/>
      <w:bookmarkStart w:id="9975" w:name="_Toc372702847"/>
      <w:bookmarkStart w:id="9976" w:name="_Toc372703675"/>
      <w:bookmarkStart w:id="9977" w:name="_Toc372890127"/>
      <w:bookmarkStart w:id="9978" w:name="_Toc372890959"/>
      <w:bookmarkStart w:id="9979" w:name="_Toc378773925"/>
      <w:bookmarkStart w:id="9980" w:name="_Toc378774747"/>
      <w:bookmarkStart w:id="9981" w:name="_Toc378844273"/>
      <w:bookmarkStart w:id="9982" w:name="_Toc378945287"/>
      <w:bookmarkStart w:id="9983" w:name="_Toc379281279"/>
      <w:bookmarkStart w:id="9984" w:name="_Toc379282101"/>
      <w:bookmarkStart w:id="9985" w:name="_Toc379282923"/>
      <w:bookmarkStart w:id="9986" w:name="_Toc379443356"/>
      <w:bookmarkStart w:id="9987" w:name="_Toc379444118"/>
      <w:bookmarkStart w:id="9988" w:name="_Toc381001086"/>
      <w:bookmarkStart w:id="9989" w:name="_Toc381090422"/>
      <w:bookmarkStart w:id="9990" w:name="_Toc383441054"/>
      <w:bookmarkStart w:id="9991" w:name="_Toc383686060"/>
      <w:bookmarkStart w:id="9992" w:name="_Toc383686836"/>
      <w:bookmarkStart w:id="9993" w:name="_Toc384134800"/>
      <w:bookmarkStart w:id="9994" w:name="_Toc387734876"/>
      <w:bookmarkStart w:id="9995" w:name="_Toc389638199"/>
      <w:bookmarkStart w:id="9996" w:name="_Toc397008596"/>
      <w:bookmarkStart w:id="9997" w:name="_Toc397009372"/>
      <w:bookmarkStart w:id="9998" w:name="_Toc397067412"/>
      <w:bookmarkStart w:id="9999" w:name="_Toc403476899"/>
      <w:bookmarkStart w:id="10000" w:name="_Toc403479523"/>
      <w:bookmarkStart w:id="10001" w:name="_Toc403480827"/>
      <w:bookmarkStart w:id="10002" w:name="_Toc403483852"/>
      <w:bookmarkStart w:id="10003" w:name="_Toc403484835"/>
      <w:bookmarkStart w:id="10004" w:name="_Toc408500524"/>
      <w:bookmarkStart w:id="10005" w:name="_Toc408557463"/>
      <w:bookmarkStart w:id="10006" w:name="_Toc411519909"/>
      <w:bookmarkStart w:id="10007" w:name="_Toc412190267"/>
      <w:bookmarkStart w:id="10008" w:name="_Toc412816051"/>
      <w:bookmarkStart w:id="10009" w:name="_Toc415747670"/>
      <w:bookmarkStart w:id="10010" w:name="_Toc418586326"/>
      <w:bookmarkStart w:id="10011" w:name="_Toc418591277"/>
      <w:bookmarkStart w:id="10012" w:name="_Toc418592056"/>
      <w:bookmarkStart w:id="10013" w:name="_Toc418592835"/>
      <w:bookmarkStart w:id="10014" w:name="_Toc418596543"/>
      <w:bookmarkStart w:id="10015" w:name="_Toc418597322"/>
      <w:bookmarkStart w:id="10016" w:name="_Toc419705269"/>
      <w:bookmarkStart w:id="10017" w:name="_Toc420932873"/>
      <w:bookmarkStart w:id="10018" w:name="_Toc420933640"/>
      <w:bookmarkStart w:id="10019" w:name="_Toc420934407"/>
      <w:bookmarkStart w:id="10020" w:name="_Toc420941975"/>
      <w:bookmarkStart w:id="10021" w:name="_Toc424543244"/>
      <w:bookmarkStart w:id="10022" w:name="_Toc424547721"/>
      <w:bookmarkStart w:id="10023" w:name="_Toc424562208"/>
      <w:bookmarkStart w:id="10024" w:name="_Toc425837179"/>
      <w:bookmarkStart w:id="10025" w:name="_Toc425837962"/>
      <w:bookmarkStart w:id="10026" w:name="_Toc425838742"/>
      <w:bookmarkStart w:id="10027" w:name="_Toc425839522"/>
      <w:bookmarkStart w:id="10028" w:name="_Toc425840303"/>
      <w:bookmarkStart w:id="10029" w:name="_Toc425841082"/>
      <w:bookmarkStart w:id="10030" w:name="_Toc425841861"/>
      <w:bookmarkStart w:id="10031" w:name="_Toc425864719"/>
      <w:bookmarkStart w:id="10032" w:name="_Toc425865497"/>
      <w:bookmarkStart w:id="10033" w:name="_Toc425942707"/>
      <w:bookmarkStart w:id="10034" w:name="_Toc425943621"/>
      <w:bookmarkStart w:id="10035" w:name="_Toc430847802"/>
      <w:bookmarkStart w:id="10036" w:name="_Toc431501290"/>
      <w:bookmarkStart w:id="10037" w:name="_Toc431619466"/>
      <w:bookmarkStart w:id="10038" w:name="_Toc431620238"/>
      <w:bookmarkStart w:id="10039" w:name="_Toc432156833"/>
      <w:bookmarkStart w:id="10040" w:name="_Toc432166051"/>
      <w:bookmarkStart w:id="10041" w:name="_Toc432166906"/>
      <w:bookmarkStart w:id="10042" w:name="_Toc432167764"/>
      <w:bookmarkStart w:id="10043" w:name="_Toc432168580"/>
      <w:bookmarkStart w:id="10044" w:name="_Toc435192090"/>
      <w:bookmarkStart w:id="10045" w:name="_Toc437590687"/>
      <w:bookmarkStart w:id="10046" w:name="_Toc443913436"/>
      <w:bookmarkStart w:id="10047" w:name="_Toc444090836"/>
      <w:bookmarkStart w:id="10048" w:name="_Toc357585458"/>
      <w:bookmarkStart w:id="10049" w:name="_Toc357586219"/>
      <w:bookmarkStart w:id="10050" w:name="_Toc357586973"/>
      <w:bookmarkStart w:id="10051" w:name="_Toc357771450"/>
      <w:bookmarkStart w:id="10052" w:name="_Toc357772198"/>
      <w:bookmarkStart w:id="10053" w:name="_Toc357772946"/>
      <w:bookmarkStart w:id="10054" w:name="_Toc357773697"/>
      <w:bookmarkStart w:id="10055" w:name="_Toc357774484"/>
      <w:bookmarkStart w:id="10056" w:name="_Toc357775231"/>
      <w:bookmarkStart w:id="10057" w:name="_Toc357783036"/>
      <w:bookmarkStart w:id="10058" w:name="_Toc357783783"/>
      <w:bookmarkStart w:id="10059" w:name="_Toc357784609"/>
      <w:bookmarkStart w:id="10060" w:name="_Toc363027740"/>
      <w:bookmarkStart w:id="10061" w:name="_Toc363482628"/>
      <w:bookmarkStart w:id="10062" w:name="_Toc363483389"/>
      <w:bookmarkStart w:id="10063" w:name="_Toc367453406"/>
      <w:bookmarkStart w:id="10064" w:name="_Toc367454193"/>
      <w:bookmarkStart w:id="10065" w:name="_Toc367776723"/>
      <w:bookmarkStart w:id="10066" w:name="_Toc367777475"/>
      <w:bookmarkStart w:id="10067" w:name="_Toc367806777"/>
      <w:bookmarkStart w:id="10068" w:name="_Toc367807620"/>
      <w:bookmarkStart w:id="10069" w:name="_Toc372284006"/>
      <w:bookmarkStart w:id="10070" w:name="_Toc372284781"/>
      <w:bookmarkStart w:id="10071" w:name="_Toc372285568"/>
      <w:bookmarkStart w:id="10072" w:name="_Toc372286127"/>
      <w:bookmarkStart w:id="10073" w:name="_Toc372295208"/>
      <w:bookmarkStart w:id="10074" w:name="_Toc372295987"/>
      <w:bookmarkStart w:id="10075" w:name="_Toc372702848"/>
      <w:bookmarkStart w:id="10076" w:name="_Toc372703676"/>
      <w:bookmarkStart w:id="10077" w:name="_Toc372890128"/>
      <w:bookmarkStart w:id="10078" w:name="_Toc372890960"/>
      <w:bookmarkStart w:id="10079" w:name="_Toc378773926"/>
      <w:bookmarkStart w:id="10080" w:name="_Toc378774748"/>
      <w:bookmarkStart w:id="10081" w:name="_Toc378844274"/>
      <w:bookmarkStart w:id="10082" w:name="_Toc378945288"/>
      <w:bookmarkStart w:id="10083" w:name="_Toc379281280"/>
      <w:bookmarkStart w:id="10084" w:name="_Toc379282102"/>
      <w:bookmarkStart w:id="10085" w:name="_Toc379282924"/>
      <w:bookmarkStart w:id="10086" w:name="_Toc379443357"/>
      <w:bookmarkStart w:id="10087" w:name="_Toc379444119"/>
      <w:bookmarkStart w:id="10088" w:name="_Toc381001087"/>
      <w:bookmarkStart w:id="10089" w:name="_Toc381090423"/>
      <w:bookmarkStart w:id="10090" w:name="_Toc383441055"/>
      <w:bookmarkStart w:id="10091" w:name="_Toc383686061"/>
      <w:bookmarkStart w:id="10092" w:name="_Toc383686837"/>
      <w:bookmarkStart w:id="10093" w:name="_Toc384134801"/>
      <w:bookmarkStart w:id="10094" w:name="_Toc387734877"/>
      <w:bookmarkStart w:id="10095" w:name="_Toc389638200"/>
      <w:bookmarkStart w:id="10096" w:name="_Toc397008597"/>
      <w:bookmarkStart w:id="10097" w:name="_Toc397009373"/>
      <w:bookmarkStart w:id="10098" w:name="_Toc397067413"/>
      <w:bookmarkStart w:id="10099" w:name="_Toc403476900"/>
      <w:bookmarkStart w:id="10100" w:name="_Toc403479524"/>
      <w:bookmarkStart w:id="10101" w:name="_Toc403480828"/>
      <w:bookmarkStart w:id="10102" w:name="_Toc403483853"/>
      <w:bookmarkStart w:id="10103" w:name="_Toc403484836"/>
      <w:bookmarkStart w:id="10104" w:name="_Toc408500525"/>
      <w:bookmarkStart w:id="10105" w:name="_Toc408557464"/>
      <w:bookmarkStart w:id="10106" w:name="_Toc411519910"/>
      <w:bookmarkStart w:id="10107" w:name="_Toc412190268"/>
      <w:bookmarkStart w:id="10108" w:name="_Toc412816052"/>
      <w:bookmarkStart w:id="10109" w:name="_Toc415747671"/>
      <w:bookmarkStart w:id="10110" w:name="_Toc418586327"/>
      <w:bookmarkStart w:id="10111" w:name="_Toc418591278"/>
      <w:bookmarkStart w:id="10112" w:name="_Toc418592057"/>
      <w:bookmarkStart w:id="10113" w:name="_Toc418592836"/>
      <w:bookmarkStart w:id="10114" w:name="_Toc418596544"/>
      <w:bookmarkStart w:id="10115" w:name="_Toc418597323"/>
      <w:bookmarkStart w:id="10116" w:name="_Toc419705270"/>
      <w:bookmarkStart w:id="10117" w:name="_Toc420932874"/>
      <w:bookmarkStart w:id="10118" w:name="_Toc420933641"/>
      <w:bookmarkStart w:id="10119" w:name="_Toc420934408"/>
      <w:bookmarkStart w:id="10120" w:name="_Toc420941976"/>
      <w:bookmarkStart w:id="10121" w:name="_Toc424543245"/>
      <w:bookmarkStart w:id="10122" w:name="_Toc424547722"/>
      <w:bookmarkStart w:id="10123" w:name="_Toc424562209"/>
      <w:bookmarkStart w:id="10124" w:name="_Toc425837180"/>
      <w:bookmarkStart w:id="10125" w:name="_Toc425837963"/>
      <w:bookmarkStart w:id="10126" w:name="_Toc425838743"/>
      <w:bookmarkStart w:id="10127" w:name="_Toc425839523"/>
      <w:bookmarkStart w:id="10128" w:name="_Toc425840304"/>
      <w:bookmarkStart w:id="10129" w:name="_Toc425841083"/>
      <w:bookmarkStart w:id="10130" w:name="_Toc425841862"/>
      <w:bookmarkStart w:id="10131" w:name="_Toc425864720"/>
      <w:bookmarkStart w:id="10132" w:name="_Toc425865498"/>
      <w:bookmarkStart w:id="10133" w:name="_Toc425942708"/>
      <w:bookmarkStart w:id="10134" w:name="_Toc425943622"/>
      <w:bookmarkStart w:id="10135" w:name="_Toc430847803"/>
      <w:bookmarkStart w:id="10136" w:name="_Toc431501291"/>
      <w:bookmarkStart w:id="10137" w:name="_Toc431619467"/>
      <w:bookmarkStart w:id="10138" w:name="_Toc431620239"/>
      <w:bookmarkStart w:id="10139" w:name="_Toc432156834"/>
      <w:bookmarkStart w:id="10140" w:name="_Toc432166052"/>
      <w:bookmarkStart w:id="10141" w:name="_Toc432166907"/>
      <w:bookmarkStart w:id="10142" w:name="_Toc432167765"/>
      <w:bookmarkStart w:id="10143" w:name="_Toc432168581"/>
      <w:bookmarkStart w:id="10144" w:name="_Toc435192091"/>
      <w:bookmarkStart w:id="10145" w:name="_Toc437590688"/>
      <w:bookmarkStart w:id="10146" w:name="_Toc443913437"/>
      <w:bookmarkStart w:id="10147" w:name="_Toc444090837"/>
      <w:bookmarkStart w:id="10148" w:name="_Toc357585459"/>
      <w:bookmarkStart w:id="10149" w:name="_Toc357586220"/>
      <w:bookmarkStart w:id="10150" w:name="_Toc357586974"/>
      <w:bookmarkStart w:id="10151" w:name="_Toc357771451"/>
      <w:bookmarkStart w:id="10152" w:name="_Toc357772199"/>
      <w:bookmarkStart w:id="10153" w:name="_Toc357772947"/>
      <w:bookmarkStart w:id="10154" w:name="_Toc357773698"/>
      <w:bookmarkStart w:id="10155" w:name="_Toc357774485"/>
      <w:bookmarkStart w:id="10156" w:name="_Toc357775232"/>
      <w:bookmarkStart w:id="10157" w:name="_Toc357783037"/>
      <w:bookmarkStart w:id="10158" w:name="_Toc357783784"/>
      <w:bookmarkStart w:id="10159" w:name="_Toc357784610"/>
      <w:bookmarkStart w:id="10160" w:name="_Toc363027741"/>
      <w:bookmarkStart w:id="10161" w:name="_Toc363482629"/>
      <w:bookmarkStart w:id="10162" w:name="_Toc363483390"/>
      <w:bookmarkStart w:id="10163" w:name="_Toc367453407"/>
      <w:bookmarkStart w:id="10164" w:name="_Toc367454194"/>
      <w:bookmarkStart w:id="10165" w:name="_Toc367776724"/>
      <w:bookmarkStart w:id="10166" w:name="_Toc367777476"/>
      <w:bookmarkStart w:id="10167" w:name="_Toc367806778"/>
      <w:bookmarkStart w:id="10168" w:name="_Toc367807621"/>
      <w:bookmarkStart w:id="10169" w:name="_Toc372284007"/>
      <w:bookmarkStart w:id="10170" w:name="_Toc372284782"/>
      <w:bookmarkStart w:id="10171" w:name="_Toc372285569"/>
      <w:bookmarkStart w:id="10172" w:name="_Toc372286128"/>
      <w:bookmarkStart w:id="10173" w:name="_Toc372295209"/>
      <w:bookmarkStart w:id="10174" w:name="_Toc372295988"/>
      <w:bookmarkStart w:id="10175" w:name="_Toc372702849"/>
      <w:bookmarkStart w:id="10176" w:name="_Toc372703677"/>
      <w:bookmarkStart w:id="10177" w:name="_Toc372890129"/>
      <w:bookmarkStart w:id="10178" w:name="_Toc372890961"/>
      <w:bookmarkStart w:id="10179" w:name="_Toc378773927"/>
      <w:bookmarkStart w:id="10180" w:name="_Toc378774749"/>
      <w:bookmarkStart w:id="10181" w:name="_Toc378844275"/>
      <w:bookmarkStart w:id="10182" w:name="_Toc378945289"/>
      <w:bookmarkStart w:id="10183" w:name="_Toc379281281"/>
      <w:bookmarkStart w:id="10184" w:name="_Toc379282103"/>
      <w:bookmarkStart w:id="10185" w:name="_Toc379282925"/>
      <w:bookmarkStart w:id="10186" w:name="_Toc379443358"/>
      <w:bookmarkStart w:id="10187" w:name="_Toc379444120"/>
      <w:bookmarkStart w:id="10188" w:name="_Toc381001088"/>
      <w:bookmarkStart w:id="10189" w:name="_Toc381090424"/>
      <w:bookmarkStart w:id="10190" w:name="_Toc383441056"/>
      <w:bookmarkStart w:id="10191" w:name="_Toc383686062"/>
      <w:bookmarkStart w:id="10192" w:name="_Toc383686838"/>
      <w:bookmarkStart w:id="10193" w:name="_Toc384134802"/>
      <w:bookmarkStart w:id="10194" w:name="_Toc387734878"/>
      <w:bookmarkStart w:id="10195" w:name="_Toc389638201"/>
      <w:bookmarkStart w:id="10196" w:name="_Toc397008598"/>
      <w:bookmarkStart w:id="10197" w:name="_Toc397009374"/>
      <w:bookmarkStart w:id="10198" w:name="_Toc397067414"/>
      <w:bookmarkStart w:id="10199" w:name="_Toc403476901"/>
      <w:bookmarkStart w:id="10200" w:name="_Toc403479525"/>
      <w:bookmarkStart w:id="10201" w:name="_Toc403480829"/>
      <w:bookmarkStart w:id="10202" w:name="_Toc403483854"/>
      <w:bookmarkStart w:id="10203" w:name="_Toc403484837"/>
      <w:bookmarkStart w:id="10204" w:name="_Toc408500526"/>
      <w:bookmarkStart w:id="10205" w:name="_Toc408557465"/>
      <w:bookmarkStart w:id="10206" w:name="_Toc411519911"/>
      <w:bookmarkStart w:id="10207" w:name="_Toc412190269"/>
      <w:bookmarkStart w:id="10208" w:name="_Toc412816053"/>
      <w:bookmarkStart w:id="10209" w:name="_Toc415747672"/>
      <w:bookmarkStart w:id="10210" w:name="_Toc418586328"/>
      <w:bookmarkStart w:id="10211" w:name="_Toc418591279"/>
      <w:bookmarkStart w:id="10212" w:name="_Toc418592058"/>
      <w:bookmarkStart w:id="10213" w:name="_Toc418592837"/>
      <w:bookmarkStart w:id="10214" w:name="_Toc418596545"/>
      <w:bookmarkStart w:id="10215" w:name="_Toc418597324"/>
      <w:bookmarkStart w:id="10216" w:name="_Toc419705271"/>
      <w:bookmarkStart w:id="10217" w:name="_Toc420932875"/>
      <w:bookmarkStart w:id="10218" w:name="_Toc420933642"/>
      <w:bookmarkStart w:id="10219" w:name="_Toc420934409"/>
      <w:bookmarkStart w:id="10220" w:name="_Toc420941977"/>
      <w:bookmarkStart w:id="10221" w:name="_Toc424543246"/>
      <w:bookmarkStart w:id="10222" w:name="_Toc424547723"/>
      <w:bookmarkStart w:id="10223" w:name="_Toc424562210"/>
      <w:bookmarkStart w:id="10224" w:name="_Toc425837181"/>
      <w:bookmarkStart w:id="10225" w:name="_Toc425837964"/>
      <w:bookmarkStart w:id="10226" w:name="_Toc425838744"/>
      <w:bookmarkStart w:id="10227" w:name="_Toc425839524"/>
      <w:bookmarkStart w:id="10228" w:name="_Toc425840305"/>
      <w:bookmarkStart w:id="10229" w:name="_Toc425841084"/>
      <w:bookmarkStart w:id="10230" w:name="_Toc425841863"/>
      <w:bookmarkStart w:id="10231" w:name="_Toc425864721"/>
      <w:bookmarkStart w:id="10232" w:name="_Toc425865499"/>
      <w:bookmarkStart w:id="10233" w:name="_Toc425942709"/>
      <w:bookmarkStart w:id="10234" w:name="_Toc425943623"/>
      <w:bookmarkStart w:id="10235" w:name="_Toc430847804"/>
      <w:bookmarkStart w:id="10236" w:name="_Toc431501292"/>
      <w:bookmarkStart w:id="10237" w:name="_Toc431619468"/>
      <w:bookmarkStart w:id="10238" w:name="_Toc431620240"/>
      <w:bookmarkStart w:id="10239" w:name="_Toc432156835"/>
      <w:bookmarkStart w:id="10240" w:name="_Toc432166053"/>
      <w:bookmarkStart w:id="10241" w:name="_Toc432166908"/>
      <w:bookmarkStart w:id="10242" w:name="_Toc432167766"/>
      <w:bookmarkStart w:id="10243" w:name="_Toc432168582"/>
      <w:bookmarkStart w:id="10244" w:name="_Toc435192092"/>
      <w:bookmarkStart w:id="10245" w:name="_Toc437590689"/>
      <w:bookmarkStart w:id="10246" w:name="_Toc443913438"/>
      <w:bookmarkStart w:id="10247" w:name="_Toc444090838"/>
      <w:bookmarkStart w:id="10248" w:name="_Toc357585460"/>
      <w:bookmarkStart w:id="10249" w:name="_Toc357586221"/>
      <w:bookmarkStart w:id="10250" w:name="_Toc357586975"/>
      <w:bookmarkStart w:id="10251" w:name="_Toc357771452"/>
      <w:bookmarkStart w:id="10252" w:name="_Toc357772200"/>
      <w:bookmarkStart w:id="10253" w:name="_Toc357772948"/>
      <w:bookmarkStart w:id="10254" w:name="_Toc357773699"/>
      <w:bookmarkStart w:id="10255" w:name="_Toc357774486"/>
      <w:bookmarkStart w:id="10256" w:name="_Toc357775233"/>
      <w:bookmarkStart w:id="10257" w:name="_Toc357783038"/>
      <w:bookmarkStart w:id="10258" w:name="_Toc357783785"/>
      <w:bookmarkStart w:id="10259" w:name="_Toc357784611"/>
      <w:bookmarkStart w:id="10260" w:name="_Toc363027742"/>
      <w:bookmarkStart w:id="10261" w:name="_Toc363482630"/>
      <w:bookmarkStart w:id="10262" w:name="_Toc363483391"/>
      <w:bookmarkStart w:id="10263" w:name="_Toc367453408"/>
      <w:bookmarkStart w:id="10264" w:name="_Toc367454195"/>
      <w:bookmarkStart w:id="10265" w:name="_Toc367776725"/>
      <w:bookmarkStart w:id="10266" w:name="_Toc367777477"/>
      <w:bookmarkStart w:id="10267" w:name="_Toc367806779"/>
      <w:bookmarkStart w:id="10268" w:name="_Toc367807622"/>
      <w:bookmarkStart w:id="10269" w:name="_Toc372284008"/>
      <w:bookmarkStart w:id="10270" w:name="_Toc372284783"/>
      <w:bookmarkStart w:id="10271" w:name="_Toc372285570"/>
      <w:bookmarkStart w:id="10272" w:name="_Toc372286129"/>
      <w:bookmarkStart w:id="10273" w:name="_Toc372295210"/>
      <w:bookmarkStart w:id="10274" w:name="_Toc372295989"/>
      <w:bookmarkStart w:id="10275" w:name="_Toc372702850"/>
      <w:bookmarkStart w:id="10276" w:name="_Toc372703678"/>
      <w:bookmarkStart w:id="10277" w:name="_Toc372890130"/>
      <w:bookmarkStart w:id="10278" w:name="_Toc372890962"/>
      <w:bookmarkStart w:id="10279" w:name="_Toc378773928"/>
      <w:bookmarkStart w:id="10280" w:name="_Toc378774750"/>
      <w:bookmarkStart w:id="10281" w:name="_Toc378844276"/>
      <w:bookmarkStart w:id="10282" w:name="_Toc378945290"/>
      <w:bookmarkStart w:id="10283" w:name="_Toc379281282"/>
      <w:bookmarkStart w:id="10284" w:name="_Toc379282104"/>
      <w:bookmarkStart w:id="10285" w:name="_Toc379282926"/>
      <w:bookmarkStart w:id="10286" w:name="_Toc379443359"/>
      <w:bookmarkStart w:id="10287" w:name="_Toc379444121"/>
      <w:bookmarkStart w:id="10288" w:name="_Toc381001089"/>
      <w:bookmarkStart w:id="10289" w:name="_Toc381090425"/>
      <w:bookmarkStart w:id="10290" w:name="_Toc383441057"/>
      <w:bookmarkStart w:id="10291" w:name="_Toc383686063"/>
      <w:bookmarkStart w:id="10292" w:name="_Toc383686839"/>
      <w:bookmarkStart w:id="10293" w:name="_Toc384134803"/>
      <w:bookmarkStart w:id="10294" w:name="_Toc387734879"/>
      <w:bookmarkStart w:id="10295" w:name="_Toc389638202"/>
      <w:bookmarkStart w:id="10296" w:name="_Toc397008599"/>
      <w:bookmarkStart w:id="10297" w:name="_Toc397009375"/>
      <w:bookmarkStart w:id="10298" w:name="_Toc397067415"/>
      <w:bookmarkStart w:id="10299" w:name="_Toc403476902"/>
      <w:bookmarkStart w:id="10300" w:name="_Toc403479526"/>
      <w:bookmarkStart w:id="10301" w:name="_Toc403480830"/>
      <w:bookmarkStart w:id="10302" w:name="_Toc403483855"/>
      <w:bookmarkStart w:id="10303" w:name="_Toc403484838"/>
      <w:bookmarkStart w:id="10304" w:name="_Toc408500527"/>
      <w:bookmarkStart w:id="10305" w:name="_Toc408557466"/>
      <w:bookmarkStart w:id="10306" w:name="_Toc411519912"/>
      <w:bookmarkStart w:id="10307" w:name="_Toc412190270"/>
      <w:bookmarkStart w:id="10308" w:name="_Toc412816054"/>
      <w:bookmarkStart w:id="10309" w:name="_Toc415747673"/>
      <w:bookmarkStart w:id="10310" w:name="_Toc418586329"/>
      <w:bookmarkStart w:id="10311" w:name="_Toc418591280"/>
      <w:bookmarkStart w:id="10312" w:name="_Toc418592059"/>
      <w:bookmarkStart w:id="10313" w:name="_Toc418592838"/>
      <w:bookmarkStart w:id="10314" w:name="_Toc418596546"/>
      <w:bookmarkStart w:id="10315" w:name="_Toc418597325"/>
      <w:bookmarkStart w:id="10316" w:name="_Toc419705272"/>
      <w:bookmarkStart w:id="10317" w:name="_Toc420932876"/>
      <w:bookmarkStart w:id="10318" w:name="_Toc420933643"/>
      <w:bookmarkStart w:id="10319" w:name="_Toc420934410"/>
      <w:bookmarkStart w:id="10320" w:name="_Toc420941978"/>
      <w:bookmarkStart w:id="10321" w:name="_Toc424543247"/>
      <w:bookmarkStart w:id="10322" w:name="_Toc424547724"/>
      <w:bookmarkStart w:id="10323" w:name="_Toc424562211"/>
      <w:bookmarkStart w:id="10324" w:name="_Toc425837182"/>
      <w:bookmarkStart w:id="10325" w:name="_Toc425837965"/>
      <w:bookmarkStart w:id="10326" w:name="_Toc425838745"/>
      <w:bookmarkStart w:id="10327" w:name="_Toc425839525"/>
      <w:bookmarkStart w:id="10328" w:name="_Toc425840306"/>
      <w:bookmarkStart w:id="10329" w:name="_Toc425841085"/>
      <w:bookmarkStart w:id="10330" w:name="_Toc425841864"/>
      <w:bookmarkStart w:id="10331" w:name="_Toc425864722"/>
      <w:bookmarkStart w:id="10332" w:name="_Toc425865500"/>
      <w:bookmarkStart w:id="10333" w:name="_Toc425942710"/>
      <w:bookmarkStart w:id="10334" w:name="_Toc425943624"/>
      <w:bookmarkStart w:id="10335" w:name="_Toc430847805"/>
      <w:bookmarkStart w:id="10336" w:name="_Toc431501293"/>
      <w:bookmarkStart w:id="10337" w:name="_Toc431619469"/>
      <w:bookmarkStart w:id="10338" w:name="_Toc431620241"/>
      <w:bookmarkStart w:id="10339" w:name="_Toc432156836"/>
      <w:bookmarkStart w:id="10340" w:name="_Toc432166054"/>
      <w:bookmarkStart w:id="10341" w:name="_Toc432166909"/>
      <w:bookmarkStart w:id="10342" w:name="_Toc432167767"/>
      <w:bookmarkStart w:id="10343" w:name="_Toc432168583"/>
      <w:bookmarkStart w:id="10344" w:name="_Toc435192093"/>
      <w:bookmarkStart w:id="10345" w:name="_Toc437590690"/>
      <w:bookmarkStart w:id="10346" w:name="_Toc443913439"/>
      <w:bookmarkStart w:id="10347" w:name="_Toc444090839"/>
      <w:bookmarkStart w:id="10348" w:name="_Toc357585461"/>
      <w:bookmarkStart w:id="10349" w:name="_Toc357586222"/>
      <w:bookmarkStart w:id="10350" w:name="_Toc357586976"/>
      <w:bookmarkStart w:id="10351" w:name="_Toc357771453"/>
      <w:bookmarkStart w:id="10352" w:name="_Toc357772201"/>
      <w:bookmarkStart w:id="10353" w:name="_Toc357772949"/>
      <w:bookmarkStart w:id="10354" w:name="_Toc357773700"/>
      <w:bookmarkStart w:id="10355" w:name="_Toc357774487"/>
      <w:bookmarkStart w:id="10356" w:name="_Toc357775234"/>
      <w:bookmarkStart w:id="10357" w:name="_Toc357783039"/>
      <w:bookmarkStart w:id="10358" w:name="_Toc357783786"/>
      <w:bookmarkStart w:id="10359" w:name="_Toc357784612"/>
      <w:bookmarkStart w:id="10360" w:name="_Toc363027743"/>
      <w:bookmarkStart w:id="10361" w:name="_Toc363482631"/>
      <w:bookmarkStart w:id="10362" w:name="_Toc363483392"/>
      <w:bookmarkStart w:id="10363" w:name="_Toc367453409"/>
      <w:bookmarkStart w:id="10364" w:name="_Toc367454196"/>
      <w:bookmarkStart w:id="10365" w:name="_Toc367776726"/>
      <w:bookmarkStart w:id="10366" w:name="_Toc367777478"/>
      <w:bookmarkStart w:id="10367" w:name="_Toc367806780"/>
      <w:bookmarkStart w:id="10368" w:name="_Toc367807623"/>
      <w:bookmarkStart w:id="10369" w:name="_Toc372284009"/>
      <w:bookmarkStart w:id="10370" w:name="_Toc372284784"/>
      <w:bookmarkStart w:id="10371" w:name="_Toc372285571"/>
      <w:bookmarkStart w:id="10372" w:name="_Toc372286130"/>
      <w:bookmarkStart w:id="10373" w:name="_Toc372295211"/>
      <w:bookmarkStart w:id="10374" w:name="_Toc372295990"/>
      <w:bookmarkStart w:id="10375" w:name="_Toc372702851"/>
      <w:bookmarkStart w:id="10376" w:name="_Toc372703679"/>
      <w:bookmarkStart w:id="10377" w:name="_Toc372890131"/>
      <w:bookmarkStart w:id="10378" w:name="_Toc372890963"/>
      <w:bookmarkStart w:id="10379" w:name="_Toc378773929"/>
      <w:bookmarkStart w:id="10380" w:name="_Toc378774751"/>
      <w:bookmarkStart w:id="10381" w:name="_Toc378844277"/>
      <w:bookmarkStart w:id="10382" w:name="_Toc378945291"/>
      <w:bookmarkStart w:id="10383" w:name="_Toc379281283"/>
      <w:bookmarkStart w:id="10384" w:name="_Toc379282105"/>
      <w:bookmarkStart w:id="10385" w:name="_Toc379282927"/>
      <w:bookmarkStart w:id="10386" w:name="_Toc379443360"/>
      <w:bookmarkStart w:id="10387" w:name="_Toc379444122"/>
      <w:bookmarkStart w:id="10388" w:name="_Toc381001090"/>
      <w:bookmarkStart w:id="10389" w:name="_Toc381090426"/>
      <w:bookmarkStart w:id="10390" w:name="_Toc383441058"/>
      <w:bookmarkStart w:id="10391" w:name="_Toc383686064"/>
      <w:bookmarkStart w:id="10392" w:name="_Toc383686840"/>
      <w:bookmarkStart w:id="10393" w:name="_Toc384134804"/>
      <w:bookmarkStart w:id="10394" w:name="_Toc387734880"/>
      <w:bookmarkStart w:id="10395" w:name="_Toc389638203"/>
      <w:bookmarkStart w:id="10396" w:name="_Toc397008600"/>
      <w:bookmarkStart w:id="10397" w:name="_Toc397009376"/>
      <w:bookmarkStart w:id="10398" w:name="_Toc397067416"/>
      <w:bookmarkStart w:id="10399" w:name="_Toc403476903"/>
      <w:bookmarkStart w:id="10400" w:name="_Toc403479527"/>
      <w:bookmarkStart w:id="10401" w:name="_Toc403480831"/>
      <w:bookmarkStart w:id="10402" w:name="_Toc403483856"/>
      <w:bookmarkStart w:id="10403" w:name="_Toc403484839"/>
      <w:bookmarkStart w:id="10404" w:name="_Toc408500528"/>
      <w:bookmarkStart w:id="10405" w:name="_Toc408557467"/>
      <w:bookmarkStart w:id="10406" w:name="_Toc411519913"/>
      <w:bookmarkStart w:id="10407" w:name="_Toc412190271"/>
      <w:bookmarkStart w:id="10408" w:name="_Toc412816055"/>
      <w:bookmarkStart w:id="10409" w:name="_Toc415747674"/>
      <w:bookmarkStart w:id="10410" w:name="_Toc418586330"/>
      <w:bookmarkStart w:id="10411" w:name="_Toc418591281"/>
      <w:bookmarkStart w:id="10412" w:name="_Toc418592060"/>
      <w:bookmarkStart w:id="10413" w:name="_Toc418592839"/>
      <w:bookmarkStart w:id="10414" w:name="_Toc418596547"/>
      <w:bookmarkStart w:id="10415" w:name="_Toc418597326"/>
      <w:bookmarkStart w:id="10416" w:name="_Toc419705273"/>
      <w:bookmarkStart w:id="10417" w:name="_Toc420932877"/>
      <w:bookmarkStart w:id="10418" w:name="_Toc420933644"/>
      <w:bookmarkStart w:id="10419" w:name="_Toc420934411"/>
      <w:bookmarkStart w:id="10420" w:name="_Toc420941979"/>
      <w:bookmarkStart w:id="10421" w:name="_Toc424543248"/>
      <w:bookmarkStart w:id="10422" w:name="_Toc424547725"/>
      <w:bookmarkStart w:id="10423" w:name="_Toc424562212"/>
      <w:bookmarkStart w:id="10424" w:name="_Toc425837183"/>
      <w:bookmarkStart w:id="10425" w:name="_Toc425837966"/>
      <w:bookmarkStart w:id="10426" w:name="_Toc425838746"/>
      <w:bookmarkStart w:id="10427" w:name="_Toc425839526"/>
      <w:bookmarkStart w:id="10428" w:name="_Toc425840307"/>
      <w:bookmarkStart w:id="10429" w:name="_Toc425841086"/>
      <w:bookmarkStart w:id="10430" w:name="_Toc425841865"/>
      <w:bookmarkStart w:id="10431" w:name="_Toc425864723"/>
      <w:bookmarkStart w:id="10432" w:name="_Toc425865501"/>
      <w:bookmarkStart w:id="10433" w:name="_Toc425942711"/>
      <w:bookmarkStart w:id="10434" w:name="_Toc425943625"/>
      <w:bookmarkStart w:id="10435" w:name="_Toc430847806"/>
      <w:bookmarkStart w:id="10436" w:name="_Toc431501294"/>
      <w:bookmarkStart w:id="10437" w:name="_Toc431619470"/>
      <w:bookmarkStart w:id="10438" w:name="_Toc431620242"/>
      <w:bookmarkStart w:id="10439" w:name="_Toc432156837"/>
      <w:bookmarkStart w:id="10440" w:name="_Toc432166055"/>
      <w:bookmarkStart w:id="10441" w:name="_Toc432166910"/>
      <w:bookmarkStart w:id="10442" w:name="_Toc432167768"/>
      <w:bookmarkStart w:id="10443" w:name="_Toc432168584"/>
      <w:bookmarkStart w:id="10444" w:name="_Toc435192094"/>
      <w:bookmarkStart w:id="10445" w:name="_Toc437590691"/>
      <w:bookmarkStart w:id="10446" w:name="_Toc443913440"/>
      <w:bookmarkStart w:id="10447" w:name="_Toc444090840"/>
      <w:bookmarkStart w:id="10448" w:name="_Toc357585462"/>
      <w:bookmarkStart w:id="10449" w:name="_Toc357586223"/>
      <w:bookmarkStart w:id="10450" w:name="_Toc357586977"/>
      <w:bookmarkStart w:id="10451" w:name="_Toc357771454"/>
      <w:bookmarkStart w:id="10452" w:name="_Toc357772202"/>
      <w:bookmarkStart w:id="10453" w:name="_Toc357772950"/>
      <w:bookmarkStart w:id="10454" w:name="_Toc357773701"/>
      <w:bookmarkStart w:id="10455" w:name="_Toc357774488"/>
      <w:bookmarkStart w:id="10456" w:name="_Toc357775235"/>
      <w:bookmarkStart w:id="10457" w:name="_Toc357783040"/>
      <w:bookmarkStart w:id="10458" w:name="_Toc357783787"/>
      <w:bookmarkStart w:id="10459" w:name="_Toc357784613"/>
      <w:bookmarkStart w:id="10460" w:name="_Toc363027744"/>
      <w:bookmarkStart w:id="10461" w:name="_Toc363482632"/>
      <w:bookmarkStart w:id="10462" w:name="_Toc363483393"/>
      <w:bookmarkStart w:id="10463" w:name="_Toc367453410"/>
      <w:bookmarkStart w:id="10464" w:name="_Toc367454197"/>
      <w:bookmarkStart w:id="10465" w:name="_Toc367776727"/>
      <w:bookmarkStart w:id="10466" w:name="_Toc367777479"/>
      <w:bookmarkStart w:id="10467" w:name="_Toc367806781"/>
      <w:bookmarkStart w:id="10468" w:name="_Toc367807624"/>
      <w:bookmarkStart w:id="10469" w:name="_Toc372284010"/>
      <w:bookmarkStart w:id="10470" w:name="_Toc372284785"/>
      <w:bookmarkStart w:id="10471" w:name="_Toc372285572"/>
      <w:bookmarkStart w:id="10472" w:name="_Toc372286131"/>
      <w:bookmarkStart w:id="10473" w:name="_Toc372295212"/>
      <w:bookmarkStart w:id="10474" w:name="_Toc372295991"/>
      <w:bookmarkStart w:id="10475" w:name="_Toc372702852"/>
      <w:bookmarkStart w:id="10476" w:name="_Toc372703680"/>
      <w:bookmarkStart w:id="10477" w:name="_Toc372890132"/>
      <w:bookmarkStart w:id="10478" w:name="_Toc372890964"/>
      <w:bookmarkStart w:id="10479" w:name="_Toc378773930"/>
      <w:bookmarkStart w:id="10480" w:name="_Toc378774752"/>
      <w:bookmarkStart w:id="10481" w:name="_Toc378844278"/>
      <w:bookmarkStart w:id="10482" w:name="_Toc378945292"/>
      <w:bookmarkStart w:id="10483" w:name="_Toc379281284"/>
      <w:bookmarkStart w:id="10484" w:name="_Toc379282106"/>
      <w:bookmarkStart w:id="10485" w:name="_Toc379282928"/>
      <w:bookmarkStart w:id="10486" w:name="_Toc379443361"/>
      <w:bookmarkStart w:id="10487" w:name="_Toc379444123"/>
      <w:bookmarkStart w:id="10488" w:name="_Toc381001091"/>
      <w:bookmarkStart w:id="10489" w:name="_Toc381090427"/>
      <w:bookmarkStart w:id="10490" w:name="_Toc383441059"/>
      <w:bookmarkStart w:id="10491" w:name="_Toc383686065"/>
      <w:bookmarkStart w:id="10492" w:name="_Toc383686841"/>
      <w:bookmarkStart w:id="10493" w:name="_Toc384134805"/>
      <w:bookmarkStart w:id="10494" w:name="_Toc387734881"/>
      <w:bookmarkStart w:id="10495" w:name="_Toc389638204"/>
      <w:bookmarkStart w:id="10496" w:name="_Toc397008601"/>
      <w:bookmarkStart w:id="10497" w:name="_Toc397009377"/>
      <w:bookmarkStart w:id="10498" w:name="_Toc397067417"/>
      <w:bookmarkStart w:id="10499" w:name="_Toc403476904"/>
      <w:bookmarkStart w:id="10500" w:name="_Toc403479528"/>
      <w:bookmarkStart w:id="10501" w:name="_Toc403480832"/>
      <w:bookmarkStart w:id="10502" w:name="_Toc403483857"/>
      <w:bookmarkStart w:id="10503" w:name="_Toc403484840"/>
      <w:bookmarkStart w:id="10504" w:name="_Toc408500529"/>
      <w:bookmarkStart w:id="10505" w:name="_Toc408557468"/>
      <w:bookmarkStart w:id="10506" w:name="_Toc411519914"/>
      <w:bookmarkStart w:id="10507" w:name="_Toc412190272"/>
      <w:bookmarkStart w:id="10508" w:name="_Toc412816056"/>
      <w:bookmarkStart w:id="10509" w:name="_Toc415747675"/>
      <w:bookmarkStart w:id="10510" w:name="_Toc418586331"/>
      <w:bookmarkStart w:id="10511" w:name="_Toc418591282"/>
      <w:bookmarkStart w:id="10512" w:name="_Toc418592061"/>
      <w:bookmarkStart w:id="10513" w:name="_Toc418592840"/>
      <w:bookmarkStart w:id="10514" w:name="_Toc418596548"/>
      <w:bookmarkStart w:id="10515" w:name="_Toc418597327"/>
      <w:bookmarkStart w:id="10516" w:name="_Toc419705274"/>
      <w:bookmarkStart w:id="10517" w:name="_Toc420932878"/>
      <w:bookmarkStart w:id="10518" w:name="_Toc420933645"/>
      <w:bookmarkStart w:id="10519" w:name="_Toc420934412"/>
      <w:bookmarkStart w:id="10520" w:name="_Toc420941980"/>
      <w:bookmarkStart w:id="10521" w:name="_Toc424543249"/>
      <w:bookmarkStart w:id="10522" w:name="_Toc424547726"/>
      <w:bookmarkStart w:id="10523" w:name="_Toc424562213"/>
      <w:bookmarkStart w:id="10524" w:name="_Toc425837184"/>
      <w:bookmarkStart w:id="10525" w:name="_Toc425837967"/>
      <w:bookmarkStart w:id="10526" w:name="_Toc425838747"/>
      <w:bookmarkStart w:id="10527" w:name="_Toc425839527"/>
      <w:bookmarkStart w:id="10528" w:name="_Toc425840308"/>
      <w:bookmarkStart w:id="10529" w:name="_Toc425841087"/>
      <w:bookmarkStart w:id="10530" w:name="_Toc425841866"/>
      <w:bookmarkStart w:id="10531" w:name="_Toc425864724"/>
      <w:bookmarkStart w:id="10532" w:name="_Toc425865502"/>
      <w:bookmarkStart w:id="10533" w:name="_Toc425942712"/>
      <w:bookmarkStart w:id="10534" w:name="_Toc425943626"/>
      <w:bookmarkStart w:id="10535" w:name="_Toc430847807"/>
      <w:bookmarkStart w:id="10536" w:name="_Toc431501295"/>
      <w:bookmarkStart w:id="10537" w:name="_Toc431619471"/>
      <w:bookmarkStart w:id="10538" w:name="_Toc431620243"/>
      <w:bookmarkStart w:id="10539" w:name="_Toc432156838"/>
      <w:bookmarkStart w:id="10540" w:name="_Toc432166056"/>
      <w:bookmarkStart w:id="10541" w:name="_Toc432166911"/>
      <w:bookmarkStart w:id="10542" w:name="_Toc432167769"/>
      <w:bookmarkStart w:id="10543" w:name="_Toc432168585"/>
      <w:bookmarkStart w:id="10544" w:name="_Toc435192095"/>
      <w:bookmarkStart w:id="10545" w:name="_Toc437590692"/>
      <w:bookmarkStart w:id="10546" w:name="_Toc443913441"/>
      <w:bookmarkStart w:id="10547" w:name="_Toc444090841"/>
      <w:bookmarkStart w:id="10548" w:name="_Toc357585463"/>
      <w:bookmarkStart w:id="10549" w:name="_Toc357586224"/>
      <w:bookmarkStart w:id="10550" w:name="_Toc357586978"/>
      <w:bookmarkStart w:id="10551" w:name="_Toc357771455"/>
      <w:bookmarkStart w:id="10552" w:name="_Toc357772203"/>
      <w:bookmarkStart w:id="10553" w:name="_Toc357772951"/>
      <w:bookmarkStart w:id="10554" w:name="_Toc357773702"/>
      <w:bookmarkStart w:id="10555" w:name="_Toc357774489"/>
      <w:bookmarkStart w:id="10556" w:name="_Toc357775236"/>
      <w:bookmarkStart w:id="10557" w:name="_Toc357783041"/>
      <w:bookmarkStart w:id="10558" w:name="_Toc357783788"/>
      <w:bookmarkStart w:id="10559" w:name="_Toc357784614"/>
      <w:bookmarkStart w:id="10560" w:name="_Toc363027745"/>
      <w:bookmarkStart w:id="10561" w:name="_Toc363482633"/>
      <w:bookmarkStart w:id="10562" w:name="_Toc363483394"/>
      <w:bookmarkStart w:id="10563" w:name="_Toc367453411"/>
      <w:bookmarkStart w:id="10564" w:name="_Toc367454198"/>
      <w:bookmarkStart w:id="10565" w:name="_Toc367776728"/>
      <w:bookmarkStart w:id="10566" w:name="_Toc367777480"/>
      <w:bookmarkStart w:id="10567" w:name="_Toc367806782"/>
      <w:bookmarkStart w:id="10568" w:name="_Toc367807625"/>
      <w:bookmarkStart w:id="10569" w:name="_Toc372284011"/>
      <w:bookmarkStart w:id="10570" w:name="_Toc372284786"/>
      <w:bookmarkStart w:id="10571" w:name="_Toc372285573"/>
      <w:bookmarkStart w:id="10572" w:name="_Toc372286132"/>
      <w:bookmarkStart w:id="10573" w:name="_Toc372295213"/>
      <w:bookmarkStart w:id="10574" w:name="_Toc372295992"/>
      <w:bookmarkStart w:id="10575" w:name="_Toc372702853"/>
      <w:bookmarkStart w:id="10576" w:name="_Toc372703681"/>
      <w:bookmarkStart w:id="10577" w:name="_Toc372890133"/>
      <w:bookmarkStart w:id="10578" w:name="_Toc372890965"/>
      <w:bookmarkStart w:id="10579" w:name="_Toc378773931"/>
      <w:bookmarkStart w:id="10580" w:name="_Toc378774753"/>
      <w:bookmarkStart w:id="10581" w:name="_Toc378844279"/>
      <w:bookmarkStart w:id="10582" w:name="_Toc378945293"/>
      <w:bookmarkStart w:id="10583" w:name="_Toc379281285"/>
      <w:bookmarkStart w:id="10584" w:name="_Toc379282107"/>
      <w:bookmarkStart w:id="10585" w:name="_Toc379282929"/>
      <w:bookmarkStart w:id="10586" w:name="_Toc379443362"/>
      <w:bookmarkStart w:id="10587" w:name="_Toc379444124"/>
      <w:bookmarkStart w:id="10588" w:name="_Toc381001092"/>
      <w:bookmarkStart w:id="10589" w:name="_Toc381090428"/>
      <w:bookmarkStart w:id="10590" w:name="_Toc383441060"/>
      <w:bookmarkStart w:id="10591" w:name="_Toc383686066"/>
      <w:bookmarkStart w:id="10592" w:name="_Toc383686842"/>
      <w:bookmarkStart w:id="10593" w:name="_Toc384134806"/>
      <w:bookmarkStart w:id="10594" w:name="_Toc387734882"/>
      <w:bookmarkStart w:id="10595" w:name="_Toc389638205"/>
      <w:bookmarkStart w:id="10596" w:name="_Toc397008602"/>
      <w:bookmarkStart w:id="10597" w:name="_Toc397009378"/>
      <w:bookmarkStart w:id="10598" w:name="_Toc397067418"/>
      <w:bookmarkStart w:id="10599" w:name="_Toc403476905"/>
      <w:bookmarkStart w:id="10600" w:name="_Toc403479529"/>
      <w:bookmarkStart w:id="10601" w:name="_Toc403480833"/>
      <w:bookmarkStart w:id="10602" w:name="_Toc403483858"/>
      <w:bookmarkStart w:id="10603" w:name="_Toc403484841"/>
      <w:bookmarkStart w:id="10604" w:name="_Toc408500530"/>
      <w:bookmarkStart w:id="10605" w:name="_Toc408557469"/>
      <w:bookmarkStart w:id="10606" w:name="_Toc411519915"/>
      <w:bookmarkStart w:id="10607" w:name="_Toc412190273"/>
      <w:bookmarkStart w:id="10608" w:name="_Toc412816057"/>
      <w:bookmarkStart w:id="10609" w:name="_Toc415747676"/>
      <w:bookmarkStart w:id="10610" w:name="_Toc418586332"/>
      <w:bookmarkStart w:id="10611" w:name="_Toc418591283"/>
      <w:bookmarkStart w:id="10612" w:name="_Toc418592062"/>
      <w:bookmarkStart w:id="10613" w:name="_Toc418592841"/>
      <w:bookmarkStart w:id="10614" w:name="_Toc418596549"/>
      <w:bookmarkStart w:id="10615" w:name="_Toc418597328"/>
      <w:bookmarkStart w:id="10616" w:name="_Toc419705275"/>
      <w:bookmarkStart w:id="10617" w:name="_Toc420932879"/>
      <w:bookmarkStart w:id="10618" w:name="_Toc420933646"/>
      <w:bookmarkStart w:id="10619" w:name="_Toc420934413"/>
      <w:bookmarkStart w:id="10620" w:name="_Toc420941981"/>
      <w:bookmarkStart w:id="10621" w:name="_Toc424543250"/>
      <w:bookmarkStart w:id="10622" w:name="_Toc424547727"/>
      <w:bookmarkStart w:id="10623" w:name="_Toc424562214"/>
      <w:bookmarkStart w:id="10624" w:name="_Toc425837185"/>
      <w:bookmarkStart w:id="10625" w:name="_Toc425837968"/>
      <w:bookmarkStart w:id="10626" w:name="_Toc425838748"/>
      <w:bookmarkStart w:id="10627" w:name="_Toc425839528"/>
      <w:bookmarkStart w:id="10628" w:name="_Toc425840309"/>
      <w:bookmarkStart w:id="10629" w:name="_Toc425841088"/>
      <w:bookmarkStart w:id="10630" w:name="_Toc425841867"/>
      <w:bookmarkStart w:id="10631" w:name="_Toc425864725"/>
      <w:bookmarkStart w:id="10632" w:name="_Toc425865503"/>
      <w:bookmarkStart w:id="10633" w:name="_Toc425942713"/>
      <w:bookmarkStart w:id="10634" w:name="_Toc425943627"/>
      <w:bookmarkStart w:id="10635" w:name="_Toc430847808"/>
      <w:bookmarkStart w:id="10636" w:name="_Toc431501296"/>
      <w:bookmarkStart w:id="10637" w:name="_Toc431619472"/>
      <w:bookmarkStart w:id="10638" w:name="_Toc431620244"/>
      <w:bookmarkStart w:id="10639" w:name="_Toc432156839"/>
      <w:bookmarkStart w:id="10640" w:name="_Toc432166057"/>
      <w:bookmarkStart w:id="10641" w:name="_Toc432166912"/>
      <w:bookmarkStart w:id="10642" w:name="_Toc432167770"/>
      <w:bookmarkStart w:id="10643" w:name="_Toc432168586"/>
      <w:bookmarkStart w:id="10644" w:name="_Toc435192096"/>
      <w:bookmarkStart w:id="10645" w:name="_Toc437590693"/>
      <w:bookmarkStart w:id="10646" w:name="_Toc443913442"/>
      <w:bookmarkStart w:id="10647" w:name="_Toc444090842"/>
      <w:bookmarkStart w:id="10648" w:name="_Toc357585464"/>
      <w:bookmarkStart w:id="10649" w:name="_Toc357586225"/>
      <w:bookmarkStart w:id="10650" w:name="_Toc357586979"/>
      <w:bookmarkStart w:id="10651" w:name="_Toc357771456"/>
      <w:bookmarkStart w:id="10652" w:name="_Toc357772204"/>
      <w:bookmarkStart w:id="10653" w:name="_Toc357772952"/>
      <w:bookmarkStart w:id="10654" w:name="_Toc357773703"/>
      <w:bookmarkStart w:id="10655" w:name="_Toc357774490"/>
      <w:bookmarkStart w:id="10656" w:name="_Toc357775237"/>
      <w:bookmarkStart w:id="10657" w:name="_Toc357783042"/>
      <w:bookmarkStart w:id="10658" w:name="_Toc357783789"/>
      <w:bookmarkStart w:id="10659" w:name="_Toc357784615"/>
      <w:bookmarkStart w:id="10660" w:name="_Toc363027746"/>
      <w:bookmarkStart w:id="10661" w:name="_Toc363482634"/>
      <w:bookmarkStart w:id="10662" w:name="_Toc363483395"/>
      <w:bookmarkStart w:id="10663" w:name="_Toc367453412"/>
      <w:bookmarkStart w:id="10664" w:name="_Toc367454199"/>
      <w:bookmarkStart w:id="10665" w:name="_Toc367776729"/>
      <w:bookmarkStart w:id="10666" w:name="_Toc367777481"/>
      <w:bookmarkStart w:id="10667" w:name="_Toc367806783"/>
      <w:bookmarkStart w:id="10668" w:name="_Toc367807626"/>
      <w:bookmarkStart w:id="10669" w:name="_Toc372284012"/>
      <w:bookmarkStart w:id="10670" w:name="_Toc372284787"/>
      <w:bookmarkStart w:id="10671" w:name="_Toc372285574"/>
      <w:bookmarkStart w:id="10672" w:name="_Toc372286133"/>
      <w:bookmarkStart w:id="10673" w:name="_Toc372295214"/>
      <w:bookmarkStart w:id="10674" w:name="_Toc372295993"/>
      <w:bookmarkStart w:id="10675" w:name="_Toc372702854"/>
      <w:bookmarkStart w:id="10676" w:name="_Toc372703682"/>
      <w:bookmarkStart w:id="10677" w:name="_Toc372890134"/>
      <w:bookmarkStart w:id="10678" w:name="_Toc372890966"/>
      <w:bookmarkStart w:id="10679" w:name="_Toc378773932"/>
      <w:bookmarkStart w:id="10680" w:name="_Toc378774754"/>
      <w:bookmarkStart w:id="10681" w:name="_Toc378844280"/>
      <w:bookmarkStart w:id="10682" w:name="_Toc378945294"/>
      <w:bookmarkStart w:id="10683" w:name="_Toc379281286"/>
      <w:bookmarkStart w:id="10684" w:name="_Toc379282108"/>
      <w:bookmarkStart w:id="10685" w:name="_Toc379282930"/>
      <w:bookmarkStart w:id="10686" w:name="_Toc379443363"/>
      <w:bookmarkStart w:id="10687" w:name="_Toc379444125"/>
      <w:bookmarkStart w:id="10688" w:name="_Toc381001093"/>
      <w:bookmarkStart w:id="10689" w:name="_Toc381090429"/>
      <w:bookmarkStart w:id="10690" w:name="_Toc383441061"/>
      <w:bookmarkStart w:id="10691" w:name="_Toc383686067"/>
      <w:bookmarkStart w:id="10692" w:name="_Toc383686843"/>
      <w:bookmarkStart w:id="10693" w:name="_Toc384134807"/>
      <w:bookmarkStart w:id="10694" w:name="_Toc387734883"/>
      <w:bookmarkStart w:id="10695" w:name="_Toc389638206"/>
      <w:bookmarkStart w:id="10696" w:name="_Toc397008603"/>
      <w:bookmarkStart w:id="10697" w:name="_Toc397009379"/>
      <w:bookmarkStart w:id="10698" w:name="_Toc397067419"/>
      <w:bookmarkStart w:id="10699" w:name="_Toc403476906"/>
      <w:bookmarkStart w:id="10700" w:name="_Toc403479530"/>
      <w:bookmarkStart w:id="10701" w:name="_Toc403480834"/>
      <w:bookmarkStart w:id="10702" w:name="_Toc403483859"/>
      <w:bookmarkStart w:id="10703" w:name="_Toc403484842"/>
      <w:bookmarkStart w:id="10704" w:name="_Toc408500531"/>
      <w:bookmarkStart w:id="10705" w:name="_Toc408557470"/>
      <w:bookmarkStart w:id="10706" w:name="_Toc411519916"/>
      <w:bookmarkStart w:id="10707" w:name="_Toc412190274"/>
      <w:bookmarkStart w:id="10708" w:name="_Toc412816058"/>
      <w:bookmarkStart w:id="10709" w:name="_Toc415747677"/>
      <w:bookmarkStart w:id="10710" w:name="_Toc418586333"/>
      <w:bookmarkStart w:id="10711" w:name="_Toc418591284"/>
      <w:bookmarkStart w:id="10712" w:name="_Toc418592063"/>
      <w:bookmarkStart w:id="10713" w:name="_Toc418592842"/>
      <w:bookmarkStart w:id="10714" w:name="_Toc418596550"/>
      <w:bookmarkStart w:id="10715" w:name="_Toc418597329"/>
      <w:bookmarkStart w:id="10716" w:name="_Toc419705276"/>
      <w:bookmarkStart w:id="10717" w:name="_Toc420932880"/>
      <w:bookmarkStart w:id="10718" w:name="_Toc420933647"/>
      <w:bookmarkStart w:id="10719" w:name="_Toc420934414"/>
      <w:bookmarkStart w:id="10720" w:name="_Toc420941982"/>
      <w:bookmarkStart w:id="10721" w:name="_Toc424543251"/>
      <w:bookmarkStart w:id="10722" w:name="_Toc424547728"/>
      <w:bookmarkStart w:id="10723" w:name="_Toc424562215"/>
      <w:bookmarkStart w:id="10724" w:name="_Toc425837186"/>
      <w:bookmarkStart w:id="10725" w:name="_Toc425837969"/>
      <w:bookmarkStart w:id="10726" w:name="_Toc425838749"/>
      <w:bookmarkStart w:id="10727" w:name="_Toc425839529"/>
      <w:bookmarkStart w:id="10728" w:name="_Toc425840310"/>
      <w:bookmarkStart w:id="10729" w:name="_Toc425841089"/>
      <w:bookmarkStart w:id="10730" w:name="_Toc425841868"/>
      <w:bookmarkStart w:id="10731" w:name="_Toc425864726"/>
      <w:bookmarkStart w:id="10732" w:name="_Toc425865504"/>
      <w:bookmarkStart w:id="10733" w:name="_Toc425942714"/>
      <w:bookmarkStart w:id="10734" w:name="_Toc425943628"/>
      <w:bookmarkStart w:id="10735" w:name="_Toc430847809"/>
      <w:bookmarkStart w:id="10736" w:name="_Toc431501297"/>
      <w:bookmarkStart w:id="10737" w:name="_Toc431619473"/>
      <w:bookmarkStart w:id="10738" w:name="_Toc431620245"/>
      <w:bookmarkStart w:id="10739" w:name="_Toc432156840"/>
      <w:bookmarkStart w:id="10740" w:name="_Toc432166058"/>
      <w:bookmarkStart w:id="10741" w:name="_Toc432166913"/>
      <w:bookmarkStart w:id="10742" w:name="_Toc432167771"/>
      <w:bookmarkStart w:id="10743" w:name="_Toc432168587"/>
      <w:bookmarkStart w:id="10744" w:name="_Toc435192097"/>
      <w:bookmarkStart w:id="10745" w:name="_Toc437590694"/>
      <w:bookmarkStart w:id="10746" w:name="_Toc443913443"/>
      <w:bookmarkStart w:id="10747" w:name="_Toc444090843"/>
      <w:bookmarkStart w:id="10748" w:name="_Toc357585465"/>
      <w:bookmarkStart w:id="10749" w:name="_Toc357586226"/>
      <w:bookmarkStart w:id="10750" w:name="_Toc357586980"/>
      <w:bookmarkStart w:id="10751" w:name="_Toc357771457"/>
      <w:bookmarkStart w:id="10752" w:name="_Toc357772205"/>
      <w:bookmarkStart w:id="10753" w:name="_Toc357772953"/>
      <w:bookmarkStart w:id="10754" w:name="_Toc357773704"/>
      <w:bookmarkStart w:id="10755" w:name="_Toc357774491"/>
      <w:bookmarkStart w:id="10756" w:name="_Toc357775238"/>
      <w:bookmarkStart w:id="10757" w:name="_Toc357783043"/>
      <w:bookmarkStart w:id="10758" w:name="_Toc357783790"/>
      <w:bookmarkStart w:id="10759" w:name="_Toc357784616"/>
      <w:bookmarkStart w:id="10760" w:name="_Toc363027747"/>
      <w:bookmarkStart w:id="10761" w:name="_Toc363482635"/>
      <w:bookmarkStart w:id="10762" w:name="_Toc363483396"/>
      <w:bookmarkStart w:id="10763" w:name="_Toc367453413"/>
      <w:bookmarkStart w:id="10764" w:name="_Toc367454200"/>
      <w:bookmarkStart w:id="10765" w:name="_Toc367776730"/>
      <w:bookmarkStart w:id="10766" w:name="_Toc367777482"/>
      <w:bookmarkStart w:id="10767" w:name="_Toc367806784"/>
      <w:bookmarkStart w:id="10768" w:name="_Toc367807627"/>
      <w:bookmarkStart w:id="10769" w:name="_Toc372284013"/>
      <w:bookmarkStart w:id="10770" w:name="_Toc372284788"/>
      <w:bookmarkStart w:id="10771" w:name="_Toc372285575"/>
      <w:bookmarkStart w:id="10772" w:name="_Toc372286134"/>
      <w:bookmarkStart w:id="10773" w:name="_Toc372295215"/>
      <w:bookmarkStart w:id="10774" w:name="_Toc372295994"/>
      <w:bookmarkStart w:id="10775" w:name="_Toc372702855"/>
      <w:bookmarkStart w:id="10776" w:name="_Toc372703683"/>
      <w:bookmarkStart w:id="10777" w:name="_Toc372890135"/>
      <w:bookmarkStart w:id="10778" w:name="_Toc372890967"/>
      <w:bookmarkStart w:id="10779" w:name="_Toc378773933"/>
      <w:bookmarkStart w:id="10780" w:name="_Toc378774755"/>
      <w:bookmarkStart w:id="10781" w:name="_Toc378844281"/>
      <w:bookmarkStart w:id="10782" w:name="_Toc378945295"/>
      <w:bookmarkStart w:id="10783" w:name="_Toc379281287"/>
      <w:bookmarkStart w:id="10784" w:name="_Toc379282109"/>
      <w:bookmarkStart w:id="10785" w:name="_Toc379282931"/>
      <w:bookmarkStart w:id="10786" w:name="_Toc379443364"/>
      <w:bookmarkStart w:id="10787" w:name="_Toc379444126"/>
      <w:bookmarkStart w:id="10788" w:name="_Toc381001094"/>
      <w:bookmarkStart w:id="10789" w:name="_Toc381090430"/>
      <w:bookmarkStart w:id="10790" w:name="_Toc383441062"/>
      <w:bookmarkStart w:id="10791" w:name="_Toc383686068"/>
      <w:bookmarkStart w:id="10792" w:name="_Toc383686844"/>
      <w:bookmarkStart w:id="10793" w:name="_Toc384134808"/>
      <w:bookmarkStart w:id="10794" w:name="_Toc387734884"/>
      <w:bookmarkStart w:id="10795" w:name="_Toc389638207"/>
      <w:bookmarkStart w:id="10796" w:name="_Toc397008604"/>
      <w:bookmarkStart w:id="10797" w:name="_Toc397009380"/>
      <w:bookmarkStart w:id="10798" w:name="_Toc397067420"/>
      <w:bookmarkStart w:id="10799" w:name="_Toc403476907"/>
      <w:bookmarkStart w:id="10800" w:name="_Toc403479531"/>
      <w:bookmarkStart w:id="10801" w:name="_Toc403480835"/>
      <w:bookmarkStart w:id="10802" w:name="_Toc403483860"/>
      <w:bookmarkStart w:id="10803" w:name="_Toc403484843"/>
      <w:bookmarkStart w:id="10804" w:name="_Toc408500532"/>
      <w:bookmarkStart w:id="10805" w:name="_Toc408557471"/>
      <w:bookmarkStart w:id="10806" w:name="_Toc411519917"/>
      <w:bookmarkStart w:id="10807" w:name="_Toc412190275"/>
      <w:bookmarkStart w:id="10808" w:name="_Toc412816059"/>
      <w:bookmarkStart w:id="10809" w:name="_Toc415747678"/>
      <w:bookmarkStart w:id="10810" w:name="_Toc418586334"/>
      <w:bookmarkStart w:id="10811" w:name="_Toc418591285"/>
      <w:bookmarkStart w:id="10812" w:name="_Toc418592064"/>
      <w:bookmarkStart w:id="10813" w:name="_Toc418592843"/>
      <w:bookmarkStart w:id="10814" w:name="_Toc418596551"/>
      <w:bookmarkStart w:id="10815" w:name="_Toc418597330"/>
      <w:bookmarkStart w:id="10816" w:name="_Toc419705277"/>
      <w:bookmarkStart w:id="10817" w:name="_Toc420932881"/>
      <w:bookmarkStart w:id="10818" w:name="_Toc420933648"/>
      <w:bookmarkStart w:id="10819" w:name="_Toc420934415"/>
      <w:bookmarkStart w:id="10820" w:name="_Toc420941983"/>
      <w:bookmarkStart w:id="10821" w:name="_Toc424543252"/>
      <w:bookmarkStart w:id="10822" w:name="_Toc424547729"/>
      <w:bookmarkStart w:id="10823" w:name="_Toc424562216"/>
      <w:bookmarkStart w:id="10824" w:name="_Toc425837187"/>
      <w:bookmarkStart w:id="10825" w:name="_Toc425837970"/>
      <w:bookmarkStart w:id="10826" w:name="_Toc425838750"/>
      <w:bookmarkStart w:id="10827" w:name="_Toc425839530"/>
      <w:bookmarkStart w:id="10828" w:name="_Toc425840311"/>
      <w:bookmarkStart w:id="10829" w:name="_Toc425841090"/>
      <w:bookmarkStart w:id="10830" w:name="_Toc425841869"/>
      <w:bookmarkStart w:id="10831" w:name="_Toc425864727"/>
      <w:bookmarkStart w:id="10832" w:name="_Toc425865505"/>
      <w:bookmarkStart w:id="10833" w:name="_Toc425942715"/>
      <w:bookmarkStart w:id="10834" w:name="_Toc425943629"/>
      <w:bookmarkStart w:id="10835" w:name="_Toc430847810"/>
      <w:bookmarkStart w:id="10836" w:name="_Toc431501298"/>
      <w:bookmarkStart w:id="10837" w:name="_Toc431619474"/>
      <w:bookmarkStart w:id="10838" w:name="_Toc431620246"/>
      <w:bookmarkStart w:id="10839" w:name="_Toc432156841"/>
      <w:bookmarkStart w:id="10840" w:name="_Toc432166059"/>
      <w:bookmarkStart w:id="10841" w:name="_Toc432166914"/>
      <w:bookmarkStart w:id="10842" w:name="_Toc432167772"/>
      <w:bookmarkStart w:id="10843" w:name="_Toc432168588"/>
      <w:bookmarkStart w:id="10844" w:name="_Toc435192098"/>
      <w:bookmarkStart w:id="10845" w:name="_Toc437590695"/>
      <w:bookmarkStart w:id="10846" w:name="_Toc443913444"/>
      <w:bookmarkStart w:id="10847" w:name="_Toc444090844"/>
      <w:bookmarkStart w:id="10848" w:name="_Toc357585466"/>
      <w:bookmarkStart w:id="10849" w:name="_Toc357586227"/>
      <w:bookmarkStart w:id="10850" w:name="_Toc357586981"/>
      <w:bookmarkStart w:id="10851" w:name="_Toc357771458"/>
      <w:bookmarkStart w:id="10852" w:name="_Toc357772206"/>
      <w:bookmarkStart w:id="10853" w:name="_Toc357772954"/>
      <w:bookmarkStart w:id="10854" w:name="_Toc357773705"/>
      <w:bookmarkStart w:id="10855" w:name="_Toc357774492"/>
      <w:bookmarkStart w:id="10856" w:name="_Toc357775239"/>
      <w:bookmarkStart w:id="10857" w:name="_Toc357783044"/>
      <w:bookmarkStart w:id="10858" w:name="_Toc357783791"/>
      <w:bookmarkStart w:id="10859" w:name="_Toc357784617"/>
      <w:bookmarkStart w:id="10860" w:name="_Toc363027748"/>
      <w:bookmarkStart w:id="10861" w:name="_Toc363482636"/>
      <w:bookmarkStart w:id="10862" w:name="_Toc363483397"/>
      <w:bookmarkStart w:id="10863" w:name="_Toc367453414"/>
      <w:bookmarkStart w:id="10864" w:name="_Toc367454201"/>
      <w:bookmarkStart w:id="10865" w:name="_Toc367776731"/>
      <w:bookmarkStart w:id="10866" w:name="_Toc367777483"/>
      <w:bookmarkStart w:id="10867" w:name="_Toc367806785"/>
      <w:bookmarkStart w:id="10868" w:name="_Toc367807628"/>
      <w:bookmarkStart w:id="10869" w:name="_Toc372284014"/>
      <w:bookmarkStart w:id="10870" w:name="_Toc372284789"/>
      <w:bookmarkStart w:id="10871" w:name="_Toc372285576"/>
      <w:bookmarkStart w:id="10872" w:name="_Toc372286135"/>
      <w:bookmarkStart w:id="10873" w:name="_Toc372295216"/>
      <w:bookmarkStart w:id="10874" w:name="_Toc372295995"/>
      <w:bookmarkStart w:id="10875" w:name="_Toc372702856"/>
      <w:bookmarkStart w:id="10876" w:name="_Toc372703684"/>
      <w:bookmarkStart w:id="10877" w:name="_Toc372890136"/>
      <w:bookmarkStart w:id="10878" w:name="_Toc372890968"/>
      <w:bookmarkStart w:id="10879" w:name="_Toc378773934"/>
      <w:bookmarkStart w:id="10880" w:name="_Toc378774756"/>
      <w:bookmarkStart w:id="10881" w:name="_Toc378844282"/>
      <w:bookmarkStart w:id="10882" w:name="_Toc378945296"/>
      <w:bookmarkStart w:id="10883" w:name="_Toc379281288"/>
      <w:bookmarkStart w:id="10884" w:name="_Toc379282110"/>
      <w:bookmarkStart w:id="10885" w:name="_Toc379282932"/>
      <w:bookmarkStart w:id="10886" w:name="_Toc379443365"/>
      <w:bookmarkStart w:id="10887" w:name="_Toc379444127"/>
      <w:bookmarkStart w:id="10888" w:name="_Toc381001095"/>
      <w:bookmarkStart w:id="10889" w:name="_Toc381090431"/>
      <w:bookmarkStart w:id="10890" w:name="_Toc383441063"/>
      <w:bookmarkStart w:id="10891" w:name="_Toc383686069"/>
      <w:bookmarkStart w:id="10892" w:name="_Toc383686845"/>
      <w:bookmarkStart w:id="10893" w:name="_Toc384134809"/>
      <w:bookmarkStart w:id="10894" w:name="_Toc387734885"/>
      <w:bookmarkStart w:id="10895" w:name="_Toc389638208"/>
      <w:bookmarkStart w:id="10896" w:name="_Toc397008605"/>
      <w:bookmarkStart w:id="10897" w:name="_Toc397009381"/>
      <w:bookmarkStart w:id="10898" w:name="_Toc397067421"/>
      <w:bookmarkStart w:id="10899" w:name="_Toc403476908"/>
      <w:bookmarkStart w:id="10900" w:name="_Toc403479532"/>
      <w:bookmarkStart w:id="10901" w:name="_Toc403480836"/>
      <w:bookmarkStart w:id="10902" w:name="_Toc403483861"/>
      <w:bookmarkStart w:id="10903" w:name="_Toc403484844"/>
      <w:bookmarkStart w:id="10904" w:name="_Toc408500533"/>
      <w:bookmarkStart w:id="10905" w:name="_Toc408557472"/>
      <w:bookmarkStart w:id="10906" w:name="_Toc411519918"/>
      <w:bookmarkStart w:id="10907" w:name="_Toc412190276"/>
      <w:bookmarkStart w:id="10908" w:name="_Toc412816060"/>
      <w:bookmarkStart w:id="10909" w:name="_Toc415747679"/>
      <w:bookmarkStart w:id="10910" w:name="_Toc418586335"/>
      <w:bookmarkStart w:id="10911" w:name="_Toc418591286"/>
      <w:bookmarkStart w:id="10912" w:name="_Toc418592065"/>
      <w:bookmarkStart w:id="10913" w:name="_Toc418592844"/>
      <w:bookmarkStart w:id="10914" w:name="_Toc418596552"/>
      <w:bookmarkStart w:id="10915" w:name="_Toc418597331"/>
      <w:bookmarkStart w:id="10916" w:name="_Toc419705278"/>
      <w:bookmarkStart w:id="10917" w:name="_Toc420932882"/>
      <w:bookmarkStart w:id="10918" w:name="_Toc420933649"/>
      <w:bookmarkStart w:id="10919" w:name="_Toc420934416"/>
      <w:bookmarkStart w:id="10920" w:name="_Toc420941984"/>
      <w:bookmarkStart w:id="10921" w:name="_Toc424543253"/>
      <w:bookmarkStart w:id="10922" w:name="_Toc424547730"/>
      <w:bookmarkStart w:id="10923" w:name="_Toc424562217"/>
      <w:bookmarkStart w:id="10924" w:name="_Toc425837188"/>
      <w:bookmarkStart w:id="10925" w:name="_Toc425837971"/>
      <w:bookmarkStart w:id="10926" w:name="_Toc425838751"/>
      <w:bookmarkStart w:id="10927" w:name="_Toc425839531"/>
      <w:bookmarkStart w:id="10928" w:name="_Toc425840312"/>
      <w:bookmarkStart w:id="10929" w:name="_Toc425841091"/>
      <w:bookmarkStart w:id="10930" w:name="_Toc425841870"/>
      <w:bookmarkStart w:id="10931" w:name="_Toc425864728"/>
      <w:bookmarkStart w:id="10932" w:name="_Toc425865506"/>
      <w:bookmarkStart w:id="10933" w:name="_Toc425942716"/>
      <w:bookmarkStart w:id="10934" w:name="_Toc425943630"/>
      <w:bookmarkStart w:id="10935" w:name="_Toc430847811"/>
      <w:bookmarkStart w:id="10936" w:name="_Toc431501299"/>
      <w:bookmarkStart w:id="10937" w:name="_Toc431619475"/>
      <w:bookmarkStart w:id="10938" w:name="_Toc431620247"/>
      <w:bookmarkStart w:id="10939" w:name="_Toc432156842"/>
      <w:bookmarkStart w:id="10940" w:name="_Toc432166060"/>
      <w:bookmarkStart w:id="10941" w:name="_Toc432166915"/>
      <w:bookmarkStart w:id="10942" w:name="_Toc432167773"/>
      <w:bookmarkStart w:id="10943" w:name="_Toc432168589"/>
      <w:bookmarkStart w:id="10944" w:name="_Toc435192099"/>
      <w:bookmarkStart w:id="10945" w:name="_Toc437590696"/>
      <w:bookmarkStart w:id="10946" w:name="_Toc443913445"/>
      <w:bookmarkStart w:id="10947" w:name="_Toc444090845"/>
      <w:bookmarkStart w:id="10948" w:name="_Toc350920497"/>
      <w:bookmarkStart w:id="10949" w:name="_Toc350954382"/>
      <w:bookmarkStart w:id="10950" w:name="_Toc350961755"/>
      <w:bookmarkStart w:id="10951" w:name="_Toc351021668"/>
      <w:bookmarkStart w:id="10952" w:name="_Toc351022113"/>
      <w:bookmarkStart w:id="10953" w:name="_Toc351019698"/>
      <w:bookmarkStart w:id="10954" w:name="_Toc351019857"/>
      <w:bookmarkStart w:id="10955" w:name="_Toc357523376"/>
      <w:bookmarkStart w:id="10956" w:name="_Toc357581780"/>
      <w:bookmarkStart w:id="10957" w:name="_Toc357585468"/>
      <w:bookmarkStart w:id="10958" w:name="_Toc357586229"/>
      <w:bookmarkStart w:id="10959" w:name="_Toc357586983"/>
      <w:bookmarkStart w:id="10960" w:name="_Toc357771460"/>
      <w:bookmarkStart w:id="10961" w:name="_Toc357772208"/>
      <w:bookmarkStart w:id="10962" w:name="_Toc357772956"/>
      <w:bookmarkStart w:id="10963" w:name="_Toc350920500"/>
      <w:bookmarkStart w:id="10964" w:name="_Toc350954385"/>
      <w:bookmarkStart w:id="10965" w:name="_Toc350961758"/>
      <w:bookmarkStart w:id="10966" w:name="_Toc351021671"/>
      <w:bookmarkStart w:id="10967" w:name="_Toc351022116"/>
      <w:bookmarkStart w:id="10968" w:name="_Toc350954389"/>
      <w:bookmarkStart w:id="10969" w:name="_Toc350961762"/>
      <w:bookmarkStart w:id="10970" w:name="_Toc351021675"/>
      <w:bookmarkStart w:id="10971" w:name="_Toc351022120"/>
      <w:bookmarkStart w:id="10972" w:name="_Toc350920505"/>
      <w:bookmarkStart w:id="10973" w:name="_Toc350954391"/>
      <w:bookmarkStart w:id="10974" w:name="_Toc350961764"/>
      <w:bookmarkStart w:id="10975" w:name="_Toc351021677"/>
      <w:bookmarkStart w:id="10976" w:name="_Toc351022122"/>
      <w:bookmarkStart w:id="10977" w:name="_Toc351019705"/>
      <w:bookmarkStart w:id="10978" w:name="_Toc351019864"/>
      <w:bookmarkStart w:id="10979" w:name="_Toc357523383"/>
      <w:bookmarkStart w:id="10980" w:name="_Toc357581787"/>
      <w:bookmarkStart w:id="10981" w:name="_Toc357585475"/>
      <w:bookmarkStart w:id="10982" w:name="_Toc357586236"/>
      <w:bookmarkStart w:id="10983" w:name="_Toc357586990"/>
      <w:bookmarkStart w:id="10984" w:name="_Toc357771467"/>
      <w:bookmarkStart w:id="10985" w:name="_Toc357772215"/>
      <w:bookmarkStart w:id="10986" w:name="_Toc357772963"/>
      <w:bookmarkStart w:id="10987" w:name="_Toc357773713"/>
      <w:bookmarkStart w:id="10988" w:name="_Toc357774500"/>
      <w:bookmarkStart w:id="10989" w:name="_Toc357775247"/>
      <w:bookmarkStart w:id="10990" w:name="_Toc357783052"/>
      <w:bookmarkStart w:id="10991" w:name="_Toc357783799"/>
      <w:bookmarkStart w:id="10992" w:name="_Toc357784625"/>
      <w:bookmarkStart w:id="10993" w:name="_Toc363027756"/>
      <w:bookmarkStart w:id="10994" w:name="_Toc363482644"/>
      <w:bookmarkStart w:id="10995" w:name="_Toc363483405"/>
      <w:bookmarkStart w:id="10996" w:name="_Toc367453422"/>
      <w:bookmarkStart w:id="10997" w:name="_Toc367454209"/>
      <w:bookmarkStart w:id="10998" w:name="_Toc367776739"/>
      <w:bookmarkStart w:id="10999" w:name="_Toc367777491"/>
      <w:bookmarkStart w:id="11000" w:name="_Toc367806793"/>
      <w:bookmarkStart w:id="11001" w:name="_Toc367807636"/>
      <w:bookmarkStart w:id="11002" w:name="_Toc372284022"/>
      <w:bookmarkStart w:id="11003" w:name="_Toc372284797"/>
      <w:bookmarkStart w:id="11004" w:name="_Toc372285584"/>
      <w:bookmarkStart w:id="11005" w:name="_Toc372286143"/>
      <w:bookmarkStart w:id="11006" w:name="_Toc372295224"/>
      <w:bookmarkStart w:id="11007" w:name="_Toc372296003"/>
      <w:bookmarkStart w:id="11008" w:name="_Toc372702864"/>
      <w:bookmarkStart w:id="11009" w:name="_Toc372703692"/>
      <w:bookmarkStart w:id="11010" w:name="_Toc372890144"/>
      <w:bookmarkStart w:id="11011" w:name="_Toc372890976"/>
      <w:bookmarkStart w:id="11012" w:name="_Toc378773942"/>
      <w:bookmarkStart w:id="11013" w:name="_Toc378774764"/>
      <w:bookmarkStart w:id="11014" w:name="_Toc378844290"/>
      <w:bookmarkStart w:id="11015" w:name="_Toc378945304"/>
      <w:bookmarkStart w:id="11016" w:name="_Toc379281296"/>
      <w:bookmarkStart w:id="11017" w:name="_Toc379282118"/>
      <w:bookmarkStart w:id="11018" w:name="_Toc379282940"/>
      <w:bookmarkStart w:id="11019" w:name="_Toc379443373"/>
      <w:bookmarkStart w:id="11020" w:name="_Toc379444135"/>
      <w:bookmarkStart w:id="11021" w:name="_Toc381001103"/>
      <w:bookmarkStart w:id="11022" w:name="_Toc381090439"/>
      <w:bookmarkStart w:id="11023" w:name="_Toc383441071"/>
      <w:bookmarkStart w:id="11024" w:name="_Toc383686077"/>
      <w:bookmarkStart w:id="11025" w:name="_Toc383686853"/>
      <w:bookmarkStart w:id="11026" w:name="_Toc384134817"/>
      <w:bookmarkStart w:id="11027" w:name="_Toc387734893"/>
      <w:bookmarkStart w:id="11028" w:name="_Toc389638216"/>
      <w:bookmarkStart w:id="11029" w:name="_Toc397008613"/>
      <w:bookmarkStart w:id="11030" w:name="_Toc397009389"/>
      <w:bookmarkStart w:id="11031" w:name="_Toc397067429"/>
      <w:bookmarkStart w:id="11032" w:name="_Toc403476916"/>
      <w:bookmarkStart w:id="11033" w:name="_Toc403479540"/>
      <w:bookmarkStart w:id="11034" w:name="_Toc403480844"/>
      <w:bookmarkStart w:id="11035" w:name="_Toc403483869"/>
      <w:bookmarkStart w:id="11036" w:name="_Toc403484852"/>
      <w:bookmarkStart w:id="11037" w:name="_Toc408500541"/>
      <w:bookmarkStart w:id="11038" w:name="_Toc408557480"/>
      <w:bookmarkStart w:id="11039" w:name="_Toc411519926"/>
      <w:bookmarkStart w:id="11040" w:name="_Toc412190284"/>
      <w:bookmarkStart w:id="11041" w:name="_Toc412816068"/>
      <w:bookmarkStart w:id="11042" w:name="_Toc415747687"/>
      <w:bookmarkStart w:id="11043" w:name="_Toc418586343"/>
      <w:bookmarkStart w:id="11044" w:name="_Toc418591294"/>
      <w:bookmarkStart w:id="11045" w:name="_Toc418592073"/>
      <w:bookmarkStart w:id="11046" w:name="_Toc418592852"/>
      <w:bookmarkStart w:id="11047" w:name="_Toc418596560"/>
      <w:bookmarkStart w:id="11048" w:name="_Toc418597339"/>
      <w:bookmarkStart w:id="11049" w:name="_Toc419705286"/>
      <w:bookmarkStart w:id="11050" w:name="_Toc420932890"/>
      <w:bookmarkStart w:id="11051" w:name="_Toc420933657"/>
      <w:bookmarkStart w:id="11052" w:name="_Toc420934424"/>
      <w:bookmarkStart w:id="11053" w:name="_Toc420941992"/>
      <w:bookmarkStart w:id="11054" w:name="_Toc424543261"/>
      <w:bookmarkStart w:id="11055" w:name="_Toc424547738"/>
      <w:bookmarkStart w:id="11056" w:name="_Toc424562225"/>
      <w:bookmarkStart w:id="11057" w:name="_Toc425837196"/>
      <w:bookmarkStart w:id="11058" w:name="_Toc425837979"/>
      <w:bookmarkStart w:id="11059" w:name="_Toc425838759"/>
      <w:bookmarkStart w:id="11060" w:name="_Toc425839539"/>
      <w:bookmarkStart w:id="11061" w:name="_Toc425840320"/>
      <w:bookmarkStart w:id="11062" w:name="_Toc425841099"/>
      <w:bookmarkStart w:id="11063" w:name="_Toc425841878"/>
      <w:bookmarkStart w:id="11064" w:name="_Toc425864736"/>
      <w:bookmarkStart w:id="11065" w:name="_Toc425865514"/>
      <w:bookmarkStart w:id="11066" w:name="_Toc425942724"/>
      <w:bookmarkStart w:id="11067" w:name="_Toc425943638"/>
      <w:bookmarkStart w:id="11068" w:name="_Toc430847819"/>
      <w:bookmarkStart w:id="11069" w:name="_Toc431501307"/>
      <w:bookmarkStart w:id="11070" w:name="_Toc431619483"/>
      <w:bookmarkStart w:id="11071" w:name="_Toc431620255"/>
      <w:bookmarkStart w:id="11072" w:name="_Toc432156850"/>
      <w:bookmarkStart w:id="11073" w:name="_Toc432166068"/>
      <w:bookmarkStart w:id="11074" w:name="_Toc432166923"/>
      <w:bookmarkStart w:id="11075" w:name="_Toc432167781"/>
      <w:bookmarkStart w:id="11076" w:name="_Toc432168597"/>
      <w:bookmarkStart w:id="11077" w:name="_Toc435192107"/>
      <w:bookmarkStart w:id="11078" w:name="_Toc437590704"/>
      <w:bookmarkStart w:id="11079" w:name="_Toc443913453"/>
      <w:bookmarkStart w:id="11080" w:name="_Toc444090853"/>
      <w:bookmarkStart w:id="11081" w:name="_Toc350920506"/>
      <w:bookmarkStart w:id="11082" w:name="_Toc350954392"/>
      <w:bookmarkStart w:id="11083" w:name="_Toc350961765"/>
      <w:bookmarkStart w:id="11084" w:name="_Toc351021678"/>
      <w:bookmarkStart w:id="11085" w:name="_Toc351022123"/>
      <w:bookmarkStart w:id="11086" w:name="_Toc351019706"/>
      <w:bookmarkStart w:id="11087" w:name="_Toc351019865"/>
      <w:bookmarkStart w:id="11088" w:name="_Toc357523384"/>
      <w:bookmarkStart w:id="11089" w:name="_Toc357581788"/>
      <w:bookmarkStart w:id="11090" w:name="_Toc357585476"/>
      <w:bookmarkStart w:id="11091" w:name="_Toc357586237"/>
      <w:bookmarkStart w:id="11092" w:name="_Toc357586991"/>
      <w:bookmarkStart w:id="11093" w:name="_Toc357771468"/>
      <w:bookmarkStart w:id="11094" w:name="_Toc357772216"/>
      <w:bookmarkStart w:id="11095" w:name="_Toc357772964"/>
      <w:bookmarkStart w:id="11096" w:name="_Toc357773714"/>
      <w:bookmarkStart w:id="11097" w:name="_Toc357774501"/>
      <w:bookmarkStart w:id="11098" w:name="_Toc357775248"/>
      <w:bookmarkStart w:id="11099" w:name="_Toc357783053"/>
      <w:bookmarkStart w:id="11100" w:name="_Toc357783800"/>
      <w:bookmarkStart w:id="11101" w:name="_Toc357784626"/>
      <w:bookmarkStart w:id="11102" w:name="_Toc363027757"/>
      <w:bookmarkStart w:id="11103" w:name="_Toc363482645"/>
      <w:bookmarkStart w:id="11104" w:name="_Toc363483406"/>
      <w:bookmarkStart w:id="11105" w:name="_Toc367453423"/>
      <w:bookmarkStart w:id="11106" w:name="_Toc367454210"/>
      <w:bookmarkStart w:id="11107" w:name="_Toc367776740"/>
      <w:bookmarkStart w:id="11108" w:name="_Toc367777492"/>
      <w:bookmarkStart w:id="11109" w:name="_Toc367806794"/>
      <w:bookmarkStart w:id="11110" w:name="_Toc367807637"/>
      <w:bookmarkStart w:id="11111" w:name="_Toc372284023"/>
      <w:bookmarkStart w:id="11112" w:name="_Toc372284798"/>
      <w:bookmarkStart w:id="11113" w:name="_Toc372285585"/>
      <w:bookmarkStart w:id="11114" w:name="_Toc372286144"/>
      <w:bookmarkStart w:id="11115" w:name="_Toc372295225"/>
      <w:bookmarkStart w:id="11116" w:name="_Toc372296004"/>
      <w:bookmarkStart w:id="11117" w:name="_Toc372702865"/>
      <w:bookmarkStart w:id="11118" w:name="_Toc372703693"/>
      <w:bookmarkStart w:id="11119" w:name="_Toc372890145"/>
      <w:bookmarkStart w:id="11120" w:name="_Toc372890977"/>
      <w:bookmarkStart w:id="11121" w:name="_Toc378773943"/>
      <w:bookmarkStart w:id="11122" w:name="_Toc378774765"/>
      <w:bookmarkStart w:id="11123" w:name="_Toc378844291"/>
      <w:bookmarkStart w:id="11124" w:name="_Toc378945305"/>
      <w:bookmarkStart w:id="11125" w:name="_Toc379281297"/>
      <w:bookmarkStart w:id="11126" w:name="_Toc379282119"/>
      <w:bookmarkStart w:id="11127" w:name="_Toc379282941"/>
      <w:bookmarkStart w:id="11128" w:name="_Toc379443374"/>
      <w:bookmarkStart w:id="11129" w:name="_Toc379444136"/>
      <w:bookmarkStart w:id="11130" w:name="_Toc381001104"/>
      <w:bookmarkStart w:id="11131" w:name="_Toc381090440"/>
      <w:bookmarkStart w:id="11132" w:name="_Toc383441072"/>
      <w:bookmarkStart w:id="11133" w:name="_Toc383686078"/>
      <w:bookmarkStart w:id="11134" w:name="_Toc383686854"/>
      <w:bookmarkStart w:id="11135" w:name="_Toc384134818"/>
      <w:bookmarkStart w:id="11136" w:name="_Toc387734894"/>
      <w:bookmarkStart w:id="11137" w:name="_Toc389638217"/>
      <w:bookmarkStart w:id="11138" w:name="_Toc397008614"/>
      <w:bookmarkStart w:id="11139" w:name="_Toc397009390"/>
      <w:bookmarkStart w:id="11140" w:name="_Toc397067430"/>
      <w:bookmarkStart w:id="11141" w:name="_Toc403476917"/>
      <w:bookmarkStart w:id="11142" w:name="_Toc403479541"/>
      <w:bookmarkStart w:id="11143" w:name="_Toc403480845"/>
      <w:bookmarkStart w:id="11144" w:name="_Toc403483870"/>
      <w:bookmarkStart w:id="11145" w:name="_Toc403484853"/>
      <w:bookmarkStart w:id="11146" w:name="_Toc408500542"/>
      <w:bookmarkStart w:id="11147" w:name="_Toc408557481"/>
      <w:bookmarkStart w:id="11148" w:name="_Toc411519927"/>
      <w:bookmarkStart w:id="11149" w:name="_Toc412190285"/>
      <w:bookmarkStart w:id="11150" w:name="_Toc412816069"/>
      <w:bookmarkStart w:id="11151" w:name="_Toc415747688"/>
      <w:bookmarkStart w:id="11152" w:name="_Toc418586344"/>
      <w:bookmarkStart w:id="11153" w:name="_Toc418591295"/>
      <w:bookmarkStart w:id="11154" w:name="_Toc418592074"/>
      <w:bookmarkStart w:id="11155" w:name="_Toc418592853"/>
      <w:bookmarkStart w:id="11156" w:name="_Toc418596561"/>
      <w:bookmarkStart w:id="11157" w:name="_Toc418597340"/>
      <w:bookmarkStart w:id="11158" w:name="_Toc419705287"/>
      <w:bookmarkStart w:id="11159" w:name="_Toc420932891"/>
      <w:bookmarkStart w:id="11160" w:name="_Toc420933658"/>
      <w:bookmarkStart w:id="11161" w:name="_Toc420934425"/>
      <w:bookmarkStart w:id="11162" w:name="_Toc420941993"/>
      <w:bookmarkStart w:id="11163" w:name="_Toc424543262"/>
      <w:bookmarkStart w:id="11164" w:name="_Toc424547739"/>
      <w:bookmarkStart w:id="11165" w:name="_Toc424562226"/>
      <w:bookmarkStart w:id="11166" w:name="_Toc425837197"/>
      <w:bookmarkStart w:id="11167" w:name="_Toc425837980"/>
      <w:bookmarkStart w:id="11168" w:name="_Toc425838760"/>
      <w:bookmarkStart w:id="11169" w:name="_Toc425839540"/>
      <w:bookmarkStart w:id="11170" w:name="_Toc425840321"/>
      <w:bookmarkStart w:id="11171" w:name="_Toc425841100"/>
      <w:bookmarkStart w:id="11172" w:name="_Toc425841879"/>
      <w:bookmarkStart w:id="11173" w:name="_Toc425864737"/>
      <w:bookmarkStart w:id="11174" w:name="_Toc425865515"/>
      <w:bookmarkStart w:id="11175" w:name="_Toc425942725"/>
      <w:bookmarkStart w:id="11176" w:name="_Toc425943639"/>
      <w:bookmarkStart w:id="11177" w:name="_Toc430847820"/>
      <w:bookmarkStart w:id="11178" w:name="_Toc431501308"/>
      <w:bookmarkStart w:id="11179" w:name="_Toc431619484"/>
      <w:bookmarkStart w:id="11180" w:name="_Toc431620256"/>
      <w:bookmarkStart w:id="11181" w:name="_Toc432156851"/>
      <w:bookmarkStart w:id="11182" w:name="_Toc432166069"/>
      <w:bookmarkStart w:id="11183" w:name="_Toc432166924"/>
      <w:bookmarkStart w:id="11184" w:name="_Toc432167782"/>
      <w:bookmarkStart w:id="11185" w:name="_Toc432168598"/>
      <w:bookmarkStart w:id="11186" w:name="_Toc435192108"/>
      <w:bookmarkStart w:id="11187" w:name="_Toc437590705"/>
      <w:bookmarkStart w:id="11188" w:name="_Toc443913454"/>
      <w:bookmarkStart w:id="11189" w:name="_Toc444090854"/>
      <w:bookmarkStart w:id="11190" w:name="_Toc350920509"/>
      <w:bookmarkStart w:id="11191" w:name="_Toc350954395"/>
      <w:bookmarkStart w:id="11192" w:name="_Toc350961768"/>
      <w:bookmarkStart w:id="11193" w:name="_Toc351021681"/>
      <w:bookmarkStart w:id="11194" w:name="_Toc351022126"/>
      <w:bookmarkStart w:id="11195" w:name="_Toc351019709"/>
      <w:bookmarkStart w:id="11196" w:name="_Toc351019868"/>
      <w:bookmarkStart w:id="11197" w:name="_Toc357523387"/>
      <w:bookmarkStart w:id="11198" w:name="_Toc357581791"/>
      <w:bookmarkStart w:id="11199" w:name="_Toc357585479"/>
      <w:bookmarkStart w:id="11200" w:name="_Toc357586240"/>
      <w:bookmarkStart w:id="11201" w:name="_Toc357586994"/>
      <w:bookmarkStart w:id="11202" w:name="_Toc357771471"/>
      <w:bookmarkStart w:id="11203" w:name="_Toc357772219"/>
      <w:bookmarkStart w:id="11204" w:name="_Toc357772967"/>
      <w:bookmarkStart w:id="11205" w:name="_Toc357773717"/>
      <w:bookmarkStart w:id="11206" w:name="_Toc357774504"/>
      <w:bookmarkStart w:id="11207" w:name="_Toc357775251"/>
      <w:bookmarkStart w:id="11208" w:name="_Toc357783056"/>
      <w:bookmarkStart w:id="11209" w:name="_Toc357783803"/>
      <w:bookmarkStart w:id="11210" w:name="_Toc357784629"/>
      <w:bookmarkStart w:id="11211" w:name="_Toc363027760"/>
      <w:bookmarkStart w:id="11212" w:name="_Toc363482648"/>
      <w:bookmarkStart w:id="11213" w:name="_Toc363483409"/>
      <w:bookmarkStart w:id="11214" w:name="_Toc367453426"/>
      <w:bookmarkStart w:id="11215" w:name="_Toc367454213"/>
      <w:bookmarkStart w:id="11216" w:name="_Toc367776743"/>
      <w:bookmarkStart w:id="11217" w:name="_Toc367777495"/>
      <w:bookmarkStart w:id="11218" w:name="_Toc367806797"/>
      <w:bookmarkStart w:id="11219" w:name="_Toc367807640"/>
      <w:bookmarkStart w:id="11220" w:name="_Toc372284026"/>
      <w:bookmarkStart w:id="11221" w:name="_Toc372284801"/>
      <w:bookmarkStart w:id="11222" w:name="_Toc372285588"/>
      <w:bookmarkStart w:id="11223" w:name="_Toc372286147"/>
      <w:bookmarkStart w:id="11224" w:name="_Toc372295228"/>
      <w:bookmarkStart w:id="11225" w:name="_Toc372296007"/>
      <w:bookmarkStart w:id="11226" w:name="_Toc372702868"/>
      <w:bookmarkStart w:id="11227" w:name="_Toc372703696"/>
      <w:bookmarkStart w:id="11228" w:name="_Toc372890148"/>
      <w:bookmarkStart w:id="11229" w:name="_Toc372890980"/>
      <w:bookmarkStart w:id="11230" w:name="_Toc378773946"/>
      <w:bookmarkStart w:id="11231" w:name="_Toc378774768"/>
      <w:bookmarkStart w:id="11232" w:name="_Toc378844294"/>
      <w:bookmarkStart w:id="11233" w:name="_Toc378945308"/>
      <w:bookmarkStart w:id="11234" w:name="_Toc379281300"/>
      <w:bookmarkStart w:id="11235" w:name="_Toc379282122"/>
      <w:bookmarkStart w:id="11236" w:name="_Toc379282944"/>
      <w:bookmarkStart w:id="11237" w:name="_Toc379443377"/>
      <w:bookmarkStart w:id="11238" w:name="_Toc379444139"/>
      <w:bookmarkStart w:id="11239" w:name="_Toc381001107"/>
      <w:bookmarkStart w:id="11240" w:name="_Toc381090443"/>
      <w:bookmarkStart w:id="11241" w:name="_Toc383441075"/>
      <w:bookmarkStart w:id="11242" w:name="_Toc383686081"/>
      <w:bookmarkStart w:id="11243" w:name="_Toc383686857"/>
      <w:bookmarkStart w:id="11244" w:name="_Toc384134821"/>
      <w:bookmarkStart w:id="11245" w:name="_Toc387734897"/>
      <w:bookmarkStart w:id="11246" w:name="_Toc389638220"/>
      <w:bookmarkStart w:id="11247" w:name="_Toc397008617"/>
      <w:bookmarkStart w:id="11248" w:name="_Toc397009393"/>
      <w:bookmarkStart w:id="11249" w:name="_Toc397067433"/>
      <w:bookmarkStart w:id="11250" w:name="_Toc403476920"/>
      <w:bookmarkStart w:id="11251" w:name="_Toc403479544"/>
      <w:bookmarkStart w:id="11252" w:name="_Toc403480848"/>
      <w:bookmarkStart w:id="11253" w:name="_Toc403483873"/>
      <w:bookmarkStart w:id="11254" w:name="_Toc403484856"/>
      <w:bookmarkStart w:id="11255" w:name="_Toc408500545"/>
      <w:bookmarkStart w:id="11256" w:name="_Toc408557484"/>
      <w:bookmarkStart w:id="11257" w:name="_Toc411519930"/>
      <w:bookmarkStart w:id="11258" w:name="_Toc412190288"/>
      <w:bookmarkStart w:id="11259" w:name="_Toc412816072"/>
      <w:bookmarkStart w:id="11260" w:name="_Toc415747691"/>
      <w:bookmarkStart w:id="11261" w:name="_Toc418586347"/>
      <w:bookmarkStart w:id="11262" w:name="_Toc418591298"/>
      <w:bookmarkStart w:id="11263" w:name="_Toc418592077"/>
      <w:bookmarkStart w:id="11264" w:name="_Toc418592856"/>
      <w:bookmarkStart w:id="11265" w:name="_Toc418596564"/>
      <w:bookmarkStart w:id="11266" w:name="_Toc418597343"/>
      <w:bookmarkStart w:id="11267" w:name="_Toc419705290"/>
      <w:bookmarkStart w:id="11268" w:name="_Toc420932894"/>
      <w:bookmarkStart w:id="11269" w:name="_Toc420933661"/>
      <w:bookmarkStart w:id="11270" w:name="_Toc420934428"/>
      <w:bookmarkStart w:id="11271" w:name="_Toc420941996"/>
      <w:bookmarkStart w:id="11272" w:name="_Toc424543265"/>
      <w:bookmarkStart w:id="11273" w:name="_Toc424547742"/>
      <w:bookmarkStart w:id="11274" w:name="_Toc424562229"/>
      <w:bookmarkStart w:id="11275" w:name="_Toc425837200"/>
      <w:bookmarkStart w:id="11276" w:name="_Toc425837983"/>
      <w:bookmarkStart w:id="11277" w:name="_Toc425838763"/>
      <w:bookmarkStart w:id="11278" w:name="_Toc425839543"/>
      <w:bookmarkStart w:id="11279" w:name="_Toc425840324"/>
      <w:bookmarkStart w:id="11280" w:name="_Toc425841103"/>
      <w:bookmarkStart w:id="11281" w:name="_Toc425841882"/>
      <w:bookmarkStart w:id="11282" w:name="_Toc425864740"/>
      <w:bookmarkStart w:id="11283" w:name="_Toc425865518"/>
      <w:bookmarkStart w:id="11284" w:name="_Toc425942728"/>
      <w:bookmarkStart w:id="11285" w:name="_Toc425943642"/>
      <w:bookmarkStart w:id="11286" w:name="_Toc430847823"/>
      <w:bookmarkStart w:id="11287" w:name="_Toc431501311"/>
      <w:bookmarkStart w:id="11288" w:name="_Toc431619487"/>
      <w:bookmarkStart w:id="11289" w:name="_Toc431620259"/>
      <w:bookmarkStart w:id="11290" w:name="_Toc432156854"/>
      <w:bookmarkStart w:id="11291" w:name="_Toc432166072"/>
      <w:bookmarkStart w:id="11292" w:name="_Toc432166927"/>
      <w:bookmarkStart w:id="11293" w:name="_Toc432167785"/>
      <w:bookmarkStart w:id="11294" w:name="_Toc432168601"/>
      <w:bookmarkStart w:id="11295" w:name="_Toc435192111"/>
      <w:bookmarkStart w:id="11296" w:name="_Toc437590708"/>
      <w:bookmarkStart w:id="11297" w:name="_Toc443913457"/>
      <w:bookmarkStart w:id="11298" w:name="_Toc444090857"/>
      <w:bookmarkStart w:id="11299" w:name="_Wind_Guidelines"/>
      <w:bookmarkStart w:id="11300" w:name="_Toc350961775"/>
      <w:bookmarkStart w:id="11301" w:name="_Toc351021688"/>
      <w:bookmarkStart w:id="11302" w:name="_Toc351022133"/>
      <w:bookmarkStart w:id="11303" w:name="_Solar_Guidelines"/>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p>
    <w:p w14:paraId="30FAC13A" w14:textId="77777777" w:rsidR="003469E4" w:rsidRDefault="003469E4" w:rsidP="003469E4"/>
    <w:p w14:paraId="5699BBAD" w14:textId="7C10E686" w:rsidR="003469E4" w:rsidRDefault="003469E4" w:rsidP="003469E4">
      <w:pPr>
        <w:keepNext/>
        <w:spacing w:after="240"/>
        <w:outlineLvl w:val="0"/>
        <w:rPr>
          <w:b/>
          <w:bCs/>
          <w:kern w:val="28"/>
          <w:sz w:val="34"/>
          <w:szCs w:val="34"/>
        </w:rPr>
      </w:pPr>
      <w:bookmarkStart w:id="11304" w:name="_Toc213772248"/>
      <w:r w:rsidRPr="7A6F1EC9">
        <w:rPr>
          <w:b/>
          <w:bCs/>
          <w:kern w:val="28"/>
          <w:sz w:val="34"/>
          <w:szCs w:val="34"/>
        </w:rPr>
        <w:t xml:space="preserve">Appendix </w:t>
      </w:r>
      <w:r>
        <w:rPr>
          <w:b/>
          <w:bCs/>
          <w:kern w:val="28"/>
          <w:sz w:val="34"/>
          <w:szCs w:val="34"/>
        </w:rPr>
        <w:t>D</w:t>
      </w:r>
      <w:r w:rsidRPr="000A2AA8">
        <w:rPr>
          <w:b/>
          <w:kern w:val="28"/>
          <w:sz w:val="34"/>
        </w:rPr>
        <w:tab/>
      </w:r>
      <w:r w:rsidR="003054A4">
        <w:rPr>
          <w:b/>
          <w:bCs/>
          <w:kern w:val="28"/>
          <w:sz w:val="34"/>
          <w:szCs w:val="34"/>
        </w:rPr>
        <w:t>Mitigated Offer Development Guidelines</w:t>
      </w:r>
      <w:bookmarkEnd w:id="11304"/>
    </w:p>
    <w:p w14:paraId="258882A1" w14:textId="1F334145" w:rsidR="00812F0A" w:rsidRPr="009824C2" w:rsidRDefault="002871E5" w:rsidP="00E679DC">
      <w:pPr>
        <w:pStyle w:val="Heading471"/>
      </w:pPr>
      <w:bookmarkStart w:id="11305" w:name="_Toc192154941"/>
      <w:bookmarkStart w:id="11306" w:name="_Toc193031603"/>
      <w:bookmarkStart w:id="11307" w:name="_Toc193032296"/>
      <w:bookmarkStart w:id="11308" w:name="_Toc193032989"/>
      <w:bookmarkStart w:id="11309" w:name="_Toc208563487"/>
      <w:bookmarkStart w:id="11310" w:name="_Toc213772249"/>
      <w:bookmarkEnd w:id="11305"/>
      <w:bookmarkEnd w:id="11306"/>
      <w:bookmarkEnd w:id="11307"/>
      <w:bookmarkEnd w:id="11308"/>
      <w:bookmarkEnd w:id="11309"/>
      <w:r w:rsidRPr="009824C2">
        <w:t>D.1</w:t>
      </w:r>
      <w:r w:rsidRPr="009824C2">
        <w:tab/>
      </w:r>
      <w:r w:rsidR="00812F0A" w:rsidRPr="009824C2">
        <w:t>About These Guidelines</w:t>
      </w:r>
      <w:bookmarkEnd w:id="11310"/>
    </w:p>
    <w:p w14:paraId="010828DE" w14:textId="367A477A" w:rsidR="00812F0A" w:rsidRDefault="00812F0A" w:rsidP="00812F0A">
      <w:pPr>
        <w:spacing w:line="300" w:lineRule="auto"/>
      </w:pPr>
      <w:r>
        <w:t xml:space="preserve">The Mitigated Offer Development Guidelines manual comprises Appendix D of the Markets+ Protocols.  This manual is maintained by the Markets+ Design Working Group with the advice of the Market Monitor.  </w:t>
      </w:r>
    </w:p>
    <w:p w14:paraId="31147FFA" w14:textId="1A034DC2" w:rsidR="00812F0A" w:rsidRDefault="00812F0A" w:rsidP="00812F0A">
      <w:pPr>
        <w:spacing w:line="300" w:lineRule="auto"/>
      </w:pPr>
      <w:r>
        <w:t xml:space="preserve">To use this manual, read sections </w:t>
      </w:r>
      <w:r w:rsidR="00B67E90">
        <w:t>D.1</w:t>
      </w:r>
      <w:r>
        <w:t xml:space="preserve"> and </w:t>
      </w:r>
      <w:r w:rsidR="00B67E90">
        <w:t>D.2</w:t>
      </w:r>
      <w:r>
        <w:t xml:space="preserve"> then go to the section for a particular Resource type for possible additional information.  </w:t>
      </w:r>
    </w:p>
    <w:p w14:paraId="7A7E5D8E" w14:textId="1987C932" w:rsidR="00812F0A" w:rsidRDefault="00812F0A" w:rsidP="00812F0A">
      <w:pPr>
        <w:spacing w:line="300" w:lineRule="auto"/>
      </w:pPr>
      <w:r>
        <w:t xml:space="preserve">All capitalized terms have the same meaning as defined in the Markets+ Protocols </w:t>
      </w:r>
      <w:r w:rsidDel="0046151A">
        <w:t>and/or</w:t>
      </w:r>
      <w:r>
        <w:t xml:space="preserve"> the Markets+ Tariff.</w:t>
      </w:r>
    </w:p>
    <w:p w14:paraId="5CD7FDB8" w14:textId="77777777" w:rsidR="00812F0A" w:rsidRDefault="00812F0A" w:rsidP="00812F0A">
      <w:pPr>
        <w:spacing w:line="300" w:lineRule="auto"/>
      </w:pPr>
      <w:r>
        <w:t xml:space="preserve">In the event of a conflict between the Markets+ Tariff and Appendix D, the most recent approved version of the Markets+ Tariff will govern.   </w:t>
      </w:r>
    </w:p>
    <w:p w14:paraId="652D5814" w14:textId="3FD57EF4" w:rsidR="00812F0A" w:rsidRDefault="002871E5" w:rsidP="00781C61">
      <w:pPr>
        <w:pStyle w:val="3Appx3"/>
        <w:numPr>
          <w:ilvl w:val="0"/>
          <w:numId w:val="0"/>
        </w:numPr>
      </w:pPr>
      <w:bookmarkStart w:id="11311" w:name="_Toc351019723"/>
      <w:bookmarkStart w:id="11312" w:name="_Toc363483269"/>
      <w:bookmarkStart w:id="11313" w:name="_Toc131493400"/>
      <w:bookmarkStart w:id="11314" w:name="_Toc213772250"/>
      <w:r>
        <w:t>D.1.1</w:t>
      </w:r>
      <w:r>
        <w:tab/>
      </w:r>
      <w:r w:rsidR="00812F0A">
        <w:t>Intended Audience</w:t>
      </w:r>
      <w:bookmarkEnd w:id="11311"/>
      <w:bookmarkEnd w:id="11312"/>
      <w:bookmarkEnd w:id="11313"/>
      <w:bookmarkEnd w:id="11314"/>
    </w:p>
    <w:p w14:paraId="1798E81C" w14:textId="77777777" w:rsidR="00812F0A" w:rsidRDefault="00812F0A" w:rsidP="00DA3CE7">
      <w:pPr>
        <w:pStyle w:val="SPPBulletedList"/>
        <w:numPr>
          <w:ilvl w:val="0"/>
          <w:numId w:val="238"/>
        </w:numPr>
        <w:tabs>
          <w:tab w:val="left" w:pos="720"/>
        </w:tabs>
        <w:spacing w:line="300" w:lineRule="auto"/>
        <w:jc w:val="both"/>
      </w:pPr>
      <w:r>
        <w:rPr>
          <w:rFonts w:hint="cs"/>
        </w:rPr>
        <w:t>Market Participants</w:t>
      </w:r>
    </w:p>
    <w:p w14:paraId="600D42C7" w14:textId="77777777" w:rsidR="00812F0A" w:rsidRDefault="00812F0A" w:rsidP="00DA3CE7">
      <w:pPr>
        <w:pStyle w:val="SPPBulletedList"/>
        <w:numPr>
          <w:ilvl w:val="0"/>
          <w:numId w:val="238"/>
        </w:numPr>
        <w:tabs>
          <w:tab w:val="left" w:pos="720"/>
        </w:tabs>
        <w:spacing w:line="300" w:lineRule="auto"/>
        <w:jc w:val="both"/>
      </w:pPr>
      <w:r>
        <w:rPr>
          <w:rFonts w:hint="cs"/>
        </w:rPr>
        <w:t>SPP Staff</w:t>
      </w:r>
    </w:p>
    <w:p w14:paraId="77C7A681" w14:textId="77777777" w:rsidR="00812F0A" w:rsidRDefault="00812F0A" w:rsidP="00DA3CE7">
      <w:pPr>
        <w:pStyle w:val="SPPBulletedList"/>
        <w:numPr>
          <w:ilvl w:val="0"/>
          <w:numId w:val="238"/>
        </w:numPr>
        <w:tabs>
          <w:tab w:val="left" w:pos="720"/>
        </w:tabs>
        <w:spacing w:line="300" w:lineRule="auto"/>
        <w:jc w:val="both"/>
      </w:pPr>
      <w:r>
        <w:rPr>
          <w:rFonts w:hint="cs"/>
        </w:rPr>
        <w:t>Market Monitor</w:t>
      </w:r>
    </w:p>
    <w:p w14:paraId="414B9761" w14:textId="77777777" w:rsidR="00812F0A" w:rsidRDefault="00812F0A" w:rsidP="00DA3CE7">
      <w:pPr>
        <w:pStyle w:val="SPPBulletedList"/>
        <w:numPr>
          <w:ilvl w:val="0"/>
          <w:numId w:val="238"/>
        </w:numPr>
        <w:tabs>
          <w:tab w:val="left" w:pos="720"/>
        </w:tabs>
        <w:spacing w:line="300" w:lineRule="auto"/>
        <w:jc w:val="both"/>
      </w:pPr>
      <w:r>
        <w:rPr>
          <w:rFonts w:hint="cs"/>
        </w:rPr>
        <w:t>Regulators</w:t>
      </w:r>
    </w:p>
    <w:p w14:paraId="0BFB291A" w14:textId="5C1C9BFB" w:rsidR="00812F0A" w:rsidRDefault="002871E5" w:rsidP="00781C61">
      <w:pPr>
        <w:pStyle w:val="3Appx3"/>
        <w:numPr>
          <w:ilvl w:val="0"/>
          <w:numId w:val="0"/>
        </w:numPr>
      </w:pPr>
      <w:bookmarkStart w:id="11315" w:name="_Toc323732880"/>
      <w:bookmarkStart w:id="11316" w:name="_Toc351019724"/>
      <w:bookmarkStart w:id="11317" w:name="_Toc363483270"/>
      <w:bookmarkStart w:id="11318" w:name="_Toc131493401"/>
      <w:bookmarkStart w:id="11319" w:name="_Toc213772251"/>
      <w:r>
        <w:t>D.1.2</w:t>
      </w:r>
      <w:r>
        <w:tab/>
      </w:r>
      <w:r w:rsidR="00812F0A">
        <w:t>What is in this Manual?</w:t>
      </w:r>
      <w:bookmarkEnd w:id="11315"/>
      <w:bookmarkEnd w:id="11316"/>
      <w:bookmarkEnd w:id="11317"/>
      <w:bookmarkEnd w:id="11318"/>
      <w:bookmarkEnd w:id="11319"/>
    </w:p>
    <w:p w14:paraId="3D647B26" w14:textId="0BCAD18A" w:rsidR="00812F0A" w:rsidRDefault="00812F0A" w:rsidP="00DA3CE7">
      <w:pPr>
        <w:pStyle w:val="SPPBulletedList"/>
        <w:numPr>
          <w:ilvl w:val="0"/>
          <w:numId w:val="238"/>
        </w:numPr>
        <w:tabs>
          <w:tab w:val="left" w:pos="720"/>
        </w:tabs>
        <w:spacing w:line="300" w:lineRule="auto"/>
        <w:jc w:val="both"/>
      </w:pPr>
      <w:r>
        <w:rPr>
          <w:rFonts w:hint="cs"/>
        </w:rPr>
        <w:t xml:space="preserve">The Mitigated Offer </w:t>
      </w:r>
      <w:r w:rsidR="00692523">
        <w:t xml:space="preserve">Development </w:t>
      </w:r>
      <w:r>
        <w:rPr>
          <w:rFonts w:hint="cs"/>
        </w:rPr>
        <w:t xml:space="preserve">Methodology Approval Process (Section D1.5) required for all </w:t>
      </w:r>
      <w:r w:rsidR="00390DCE">
        <w:t>R</w:t>
      </w:r>
      <w:r>
        <w:rPr>
          <w:rFonts w:hint="cs"/>
        </w:rPr>
        <w:t>esources</w:t>
      </w:r>
    </w:p>
    <w:p w14:paraId="52D53D31" w14:textId="57413356" w:rsidR="00812F0A" w:rsidRDefault="00812F0A" w:rsidP="00DA3CE7">
      <w:pPr>
        <w:pStyle w:val="SPPBulletedList"/>
        <w:numPr>
          <w:ilvl w:val="0"/>
          <w:numId w:val="238"/>
        </w:numPr>
        <w:tabs>
          <w:tab w:val="left" w:pos="720"/>
        </w:tabs>
        <w:spacing w:line="300" w:lineRule="auto"/>
        <w:jc w:val="both"/>
      </w:pPr>
      <w:r>
        <w:rPr>
          <w:rFonts w:hint="cs"/>
        </w:rPr>
        <w:t xml:space="preserve">Policy sections containing the specific guidelines, requirements, or procedures including SPP actions and </w:t>
      </w:r>
      <w:r w:rsidR="00B664F8">
        <w:t>Markets+ Market Participant</w:t>
      </w:r>
      <w:r>
        <w:rPr>
          <w:rFonts w:hint="cs"/>
        </w:rPr>
        <w:t xml:space="preserve"> actions by </w:t>
      </w:r>
      <w:r w:rsidR="00B664F8">
        <w:t>R</w:t>
      </w:r>
      <w:r>
        <w:rPr>
          <w:rFonts w:hint="cs"/>
        </w:rPr>
        <w:t>esource type</w:t>
      </w:r>
    </w:p>
    <w:p w14:paraId="59995937" w14:textId="4023AA02" w:rsidR="00812F0A" w:rsidRDefault="002871E5" w:rsidP="00781C61">
      <w:pPr>
        <w:pStyle w:val="3Appx3"/>
        <w:numPr>
          <w:ilvl w:val="0"/>
          <w:numId w:val="0"/>
        </w:numPr>
      </w:pPr>
      <w:bookmarkStart w:id="11320" w:name="_Toc351019726"/>
      <w:bookmarkStart w:id="11321" w:name="_Toc363483272"/>
      <w:bookmarkStart w:id="11322" w:name="_Toc131493402"/>
      <w:bookmarkStart w:id="11323" w:name="_Toc213772252"/>
      <w:r>
        <w:t>D.1.3</w:t>
      </w:r>
      <w:r>
        <w:tab/>
      </w:r>
      <w:r w:rsidR="00812F0A">
        <w:t>Purpose</w:t>
      </w:r>
      <w:bookmarkEnd w:id="11320"/>
      <w:bookmarkEnd w:id="11321"/>
      <w:bookmarkEnd w:id="11322"/>
      <w:bookmarkEnd w:id="11323"/>
    </w:p>
    <w:p w14:paraId="6B0079B4" w14:textId="7B5B48B9" w:rsidR="00812F0A" w:rsidRDefault="00812F0A" w:rsidP="00812F0A">
      <w:pPr>
        <w:pStyle w:val="Normal120"/>
        <w:jc w:val="both"/>
      </w:pPr>
      <w:r>
        <w:t>As described in Section 11, each Market Participant must submit mitigated offer parameters along with each market offer.   The mitigated offers reflect the short-run marginal cost of providing the offered product or service.  The Market Operator will use the mitigated offers to screen for market offers that adversely impact the market and as replacement offers in the case that those offers are mitigated.  The purpose of this Manual is to define the mitigated offer requirements and process to ensure that each Market Participant develops its mitigated offer in a manner that will represent the short-run marginal cost of production, ensuring that the Market Participants who own or control Resources with market power cannot exercise it.</w:t>
      </w:r>
    </w:p>
    <w:p w14:paraId="27986341" w14:textId="773C2EF8" w:rsidR="00C54281" w:rsidRDefault="002871E5" w:rsidP="00781C61">
      <w:pPr>
        <w:pStyle w:val="3Appx3"/>
        <w:numPr>
          <w:ilvl w:val="0"/>
          <w:numId w:val="0"/>
        </w:numPr>
      </w:pPr>
      <w:bookmarkStart w:id="11324" w:name="_Ref340045292"/>
      <w:bookmarkStart w:id="11325" w:name="_Toc351019727"/>
      <w:bookmarkStart w:id="11326" w:name="_Toc363483273"/>
      <w:bookmarkStart w:id="11327" w:name="_Toc131493403"/>
      <w:bookmarkStart w:id="11328" w:name="_Toc213772253"/>
      <w:r>
        <w:t>D.1.4</w:t>
      </w:r>
      <w:r>
        <w:tab/>
      </w:r>
      <w:r w:rsidR="00C54281">
        <w:t>Mitigated Offer</w:t>
      </w:r>
      <w:r w:rsidR="007C1C2B">
        <w:t xml:space="preserve"> Development</w:t>
      </w:r>
      <w:r w:rsidR="00C54281">
        <w:t xml:space="preserve"> Methodology Approval Process</w:t>
      </w:r>
      <w:bookmarkEnd w:id="11324"/>
      <w:bookmarkEnd w:id="11325"/>
      <w:bookmarkEnd w:id="11326"/>
      <w:bookmarkEnd w:id="11327"/>
      <w:bookmarkEnd w:id="11328"/>
    </w:p>
    <w:p w14:paraId="1C248D68" w14:textId="54295135" w:rsidR="00C54281" w:rsidRDefault="00C54281" w:rsidP="00C54281">
      <w:pPr>
        <w:spacing w:line="276" w:lineRule="auto"/>
      </w:pPr>
      <w:r>
        <w:t xml:space="preserve">Market Participants must submit a </w:t>
      </w:r>
      <w:r w:rsidR="001441AC">
        <w:t>M</w:t>
      </w:r>
      <w:r>
        <w:t xml:space="preserve">itigated </w:t>
      </w:r>
      <w:r w:rsidR="001441AC">
        <w:t>O</w:t>
      </w:r>
      <w:r>
        <w:t xml:space="preserve">ffer </w:t>
      </w:r>
      <w:r w:rsidR="001441AC">
        <w:t>Development M</w:t>
      </w:r>
      <w:r>
        <w:t xml:space="preserve">ethodology, including accurate cost data </w:t>
      </w:r>
      <w:r w:rsidDel="0046151A">
        <w:t>and/or</w:t>
      </w:r>
      <w:r>
        <w:t xml:space="preserve"> verifiable supporting documentation, as applicable, sufficient to replicate the Mitigated Energy Offer Curve to the Market Monitor for approval for each Resource.  Market Participants must keep the methodology up to date.  Mitigated offers must be calculated according to the approved methodology.   </w:t>
      </w:r>
    </w:p>
    <w:p w14:paraId="41518BA0" w14:textId="77777777" w:rsidR="00C54281" w:rsidRDefault="00C54281" w:rsidP="00C54281">
      <w:pPr>
        <w:spacing w:line="276" w:lineRule="auto"/>
      </w:pPr>
      <w:r>
        <w:t> </w:t>
      </w:r>
    </w:p>
    <w:p w14:paraId="70663F7B" w14:textId="77777777" w:rsidR="00C54281" w:rsidRDefault="00C54281" w:rsidP="00C54281">
      <w:pPr>
        <w:spacing w:line="276" w:lineRule="auto"/>
      </w:pPr>
      <w:r>
        <w:t>For a new Market Participant registering a new Resource in the market, the Market Participant must submit the methodology no less than 120 Calendar Days before its first offer.  For an existing Market Participant registering a new Resource, the Market Participant must submit the methodology no less than thirty (30) Calendar Days before its first offer.   </w:t>
      </w:r>
    </w:p>
    <w:p w14:paraId="1D9E4108" w14:textId="77777777" w:rsidR="00C54281" w:rsidRDefault="00C54281" w:rsidP="00C54281">
      <w:pPr>
        <w:spacing w:line="276" w:lineRule="auto"/>
      </w:pPr>
      <w:r>
        <w:t>The Market Monitor will maintain on its website a mechanism that allows Market Participants to conveniently and confidentially submit and update such data as required or as needed.  The website will also contain instructions and examples of required documentation. </w:t>
      </w:r>
    </w:p>
    <w:p w14:paraId="5B318062" w14:textId="77777777" w:rsidR="00C54281" w:rsidRDefault="00C54281" w:rsidP="00C54281">
      <w:pPr>
        <w:spacing w:line="276" w:lineRule="auto"/>
      </w:pPr>
      <w:r>
        <w:t>The Market Monitor will approve or disapprove such a request based on the following criteria: </w:t>
      </w:r>
    </w:p>
    <w:p w14:paraId="15171D73" w14:textId="77777777" w:rsidR="00C54281" w:rsidRDefault="00C54281" w:rsidP="00DA3CE7">
      <w:pPr>
        <w:numPr>
          <w:ilvl w:val="0"/>
          <w:numId w:val="346"/>
        </w:numPr>
        <w:spacing w:line="276" w:lineRule="auto"/>
      </w:pPr>
      <w:r>
        <w:t>The cost components included in all mitigated offers should reflect the short-run marginal cost of energy or other services;  </w:t>
      </w:r>
    </w:p>
    <w:p w14:paraId="32D18332" w14:textId="77777777" w:rsidR="00C54281" w:rsidRDefault="00C54281" w:rsidP="00DA3CE7">
      <w:pPr>
        <w:numPr>
          <w:ilvl w:val="0"/>
          <w:numId w:val="347"/>
        </w:numPr>
        <w:spacing w:line="276" w:lineRule="auto"/>
      </w:pPr>
      <w:r>
        <w:t>The formulas used to calculate mitigated offers and the components of cost included in mitigated offers do not deviate from those specified in the Markets+ Tariff; and  </w:t>
      </w:r>
    </w:p>
    <w:p w14:paraId="2AA2D468" w14:textId="77777777" w:rsidR="00C54281" w:rsidRDefault="00C54281" w:rsidP="00DA3CE7">
      <w:pPr>
        <w:numPr>
          <w:ilvl w:val="0"/>
          <w:numId w:val="348"/>
        </w:numPr>
        <w:spacing w:line="276" w:lineRule="auto"/>
      </w:pPr>
      <w:r>
        <w:t>The documentation and data validation provided by the Market Participant are sufficient for the Market Monitor to verify mitigated offers on an ongoing basis. </w:t>
      </w:r>
    </w:p>
    <w:p w14:paraId="43BB58F2" w14:textId="77777777" w:rsidR="00C54281" w:rsidRDefault="00C54281" w:rsidP="00C54281">
      <w:pPr>
        <w:spacing w:line="276" w:lineRule="auto"/>
      </w:pPr>
      <w:r>
        <w:t>The methodology is effective beginning on the Operating Day following Market Monitor approval.  If the Market Monitor does not respond to a submitted methodology in fifteen (15) Calendar Days, then the submitted methodology is allowed until the Market Monitor communicates otherwise. </w:t>
      </w:r>
    </w:p>
    <w:p w14:paraId="05501A7A" w14:textId="77777777" w:rsidR="00C54281" w:rsidRDefault="00C54281" w:rsidP="00C54281">
      <w:pPr>
        <w:spacing w:line="276" w:lineRule="auto"/>
      </w:pPr>
      <w:r>
        <w:t> </w:t>
      </w:r>
    </w:p>
    <w:p w14:paraId="6D1476A3" w14:textId="501D3B6D" w:rsidR="00C54281" w:rsidRDefault="00C54281" w:rsidP="00C54281">
      <w:pPr>
        <w:spacing w:line="276" w:lineRule="auto"/>
      </w:pPr>
      <w:r>
        <w:t>If the Market Monitor communicates to a Market Participant that a methodology is not approved, the Market Monitor will identify the reasons, and the Market Participant must re-submit as soon as practicable.  In the event that the Market Participant disagrees with the Market Monitor’s decision and submits a dispute following the procedures described in the Markets+ Tariff, the previously approved time frame, process, methodology, calculation</w:t>
      </w:r>
      <w:r w:rsidR="00F50B9C">
        <w:t>,</w:t>
      </w:r>
      <w:r>
        <w:t xml:space="preserve"> or policy will remain in place until the resolution of the dispute.   </w:t>
      </w:r>
    </w:p>
    <w:p w14:paraId="45182D85" w14:textId="2C006E2F" w:rsidR="00C54281" w:rsidRDefault="00C54281" w:rsidP="00C54281">
      <w:pPr>
        <w:spacing w:line="276" w:lineRule="auto"/>
      </w:pPr>
      <w:r>
        <w:t>A Market Participant who seeks to obtain an exemption, exception or change to any time frame, process, methodology, calculation</w:t>
      </w:r>
      <w:r w:rsidR="00306ADF">
        <w:t>,</w:t>
      </w:r>
      <w:r>
        <w:t xml:space="preserve"> or policy set forth in these guidelines, or the approval of any mitigated offer that is not specifically permitted by these guidelines, must submit a request to the Market Monitor for consideration and determination, except as otherwise specified herein. </w:t>
      </w:r>
    </w:p>
    <w:p w14:paraId="5AEE35A1" w14:textId="0ABFD27A" w:rsidR="003379A9" w:rsidRPr="009824C2" w:rsidRDefault="00B249C9" w:rsidP="00E679DC">
      <w:pPr>
        <w:pStyle w:val="Heading471"/>
      </w:pPr>
      <w:bookmarkStart w:id="11329" w:name="_Toc213772254"/>
      <w:bookmarkStart w:id="11330" w:name="_Toc351019728"/>
      <w:bookmarkStart w:id="11331" w:name="_Toc363483274"/>
      <w:bookmarkStart w:id="11332" w:name="_Toc131493404"/>
      <w:r w:rsidRPr="009824C2">
        <w:t>D.2</w:t>
      </w:r>
      <w:r w:rsidRPr="009824C2">
        <w:tab/>
      </w:r>
      <w:r w:rsidR="003379A9" w:rsidRPr="009824C2">
        <w:t>Policies for All Resource Types</w:t>
      </w:r>
      <w:bookmarkEnd w:id="11329"/>
    </w:p>
    <w:bookmarkEnd w:id="11330"/>
    <w:bookmarkEnd w:id="11331"/>
    <w:bookmarkEnd w:id="11332"/>
    <w:p w14:paraId="33D24BCA" w14:textId="77777777" w:rsidR="00C54281" w:rsidRDefault="00C54281" w:rsidP="00C54281">
      <w:pPr>
        <w:pStyle w:val="Normal120"/>
      </w:pPr>
      <w:r>
        <w:t xml:space="preserve">This section contains information that is relevant for the development of a mitigated offer for all types of Resources.  </w:t>
      </w:r>
    </w:p>
    <w:p w14:paraId="25B241D4" w14:textId="75322CA3" w:rsidR="00C54281" w:rsidRDefault="00AA1EA4" w:rsidP="00781C61">
      <w:pPr>
        <w:pStyle w:val="3Appx3"/>
        <w:numPr>
          <w:ilvl w:val="0"/>
          <w:numId w:val="0"/>
        </w:numPr>
      </w:pPr>
      <w:bookmarkStart w:id="11333" w:name="_Ref332266011"/>
      <w:bookmarkStart w:id="11334" w:name="_Toc351019729"/>
      <w:bookmarkStart w:id="11335" w:name="_Toc363483275"/>
      <w:bookmarkStart w:id="11336" w:name="_Toc131493405"/>
      <w:bookmarkStart w:id="11337" w:name="_Toc213772255"/>
      <w:r>
        <w:t>D.2.1</w:t>
      </w:r>
      <w:r>
        <w:tab/>
      </w:r>
      <w:r w:rsidR="00C54281">
        <w:t>Heat Rates</w:t>
      </w:r>
      <w:bookmarkEnd w:id="11333"/>
      <w:bookmarkEnd w:id="11334"/>
      <w:bookmarkEnd w:id="11335"/>
      <w:bookmarkEnd w:id="11336"/>
      <w:bookmarkEnd w:id="11337"/>
    </w:p>
    <w:p w14:paraId="42942A66" w14:textId="70B7B3DB" w:rsidR="00C54281" w:rsidRDefault="00C54281" w:rsidP="00C54281">
      <w:pPr>
        <w:pStyle w:val="Normal120"/>
        <w:rPr>
          <w:rFonts w:cs="Times New (W1)"/>
        </w:rPr>
      </w:pPr>
      <w:r w:rsidRPr="00E94CBF">
        <w:rPr>
          <w:b/>
        </w:rPr>
        <w:t>Heat Rate</w:t>
      </w:r>
      <w:r>
        <w:t xml:space="preserve"> </w:t>
      </w:r>
      <w:r w:rsidR="00755E81">
        <w:t xml:space="preserve">is </w:t>
      </w:r>
      <w:r>
        <w:t xml:space="preserve">the </w:t>
      </w:r>
      <w:r w:rsidR="00755E81">
        <w:t xml:space="preserve">heat </w:t>
      </w:r>
      <w:r>
        <w:t>content</w:t>
      </w:r>
      <w:r w:rsidR="00F2377A">
        <w:t xml:space="preserve"> per Hour in MMBtu</w:t>
      </w:r>
      <w:r>
        <w:t xml:space="preserve"> </w:t>
      </w:r>
      <w:r w:rsidR="00F37FEC">
        <w:t>that is</w:t>
      </w:r>
      <w:r>
        <w:t xml:space="preserve"> input</w:t>
      </w:r>
      <w:r w:rsidR="00F37FEC">
        <w:t xml:space="preserve"> to the generator</w:t>
      </w:r>
      <w:r w:rsidR="001A54DF">
        <w:t xml:space="preserve"> per</w:t>
      </w:r>
      <w:r>
        <w:t xml:space="preserve"> power output</w:t>
      </w:r>
      <w:r w:rsidR="001A54DF">
        <w:t xml:space="preserve"> in MW</w:t>
      </w:r>
      <w:r>
        <w:t>.  The smaller the heat rate value</w:t>
      </w:r>
      <w:r w:rsidR="00252A4E">
        <w:t>,</w:t>
      </w:r>
      <w:r>
        <w:t xml:space="preserve"> the greater the efficiency.    MMBtu is one million British thermal units</w:t>
      </w:r>
    </w:p>
    <w:p w14:paraId="0E18E7FF" w14:textId="29C6F35E" w:rsidR="001A54DF" w:rsidRPr="001A54DF" w:rsidRDefault="001A54DF" w:rsidP="00C54281">
      <w:pPr>
        <w:pStyle w:val="Normal120"/>
        <w:rPr>
          <w:rFonts w:cs="Times New (W1)"/>
        </w:rPr>
      </w:pPr>
      <w:r>
        <w:rPr>
          <w:rFonts w:cs="Times New (W1)"/>
          <w:b/>
          <w:bCs/>
        </w:rPr>
        <w:t>Heat Rate Curve</w:t>
      </w:r>
      <w:r>
        <w:rPr>
          <w:rFonts w:cs="Times New (W1)"/>
        </w:rPr>
        <w:t xml:space="preserve">, or input-output curve, is the functional relationship between the heat input, described as MMBtu/h, and power output in MW. </w:t>
      </w:r>
    </w:p>
    <w:p w14:paraId="492B505D" w14:textId="77777777" w:rsidR="00C54281" w:rsidRDefault="00C54281" w:rsidP="00C54281">
      <w:pPr>
        <w:rPr>
          <w:rFonts w:cs="Times New (W1)"/>
        </w:rPr>
      </w:pPr>
    </w:p>
    <w:p w14:paraId="0AE17FA3" w14:textId="50914DEB" w:rsidR="00C54281" w:rsidRDefault="00C54281" w:rsidP="00C54281">
      <w:pPr>
        <w:jc w:val="center"/>
      </w:pPr>
    </w:p>
    <w:p w14:paraId="07EA4485" w14:textId="3B3030F4" w:rsidR="00C54281" w:rsidRDefault="00C54281" w:rsidP="00C54281">
      <w:pPr>
        <w:pStyle w:val="Normal120"/>
      </w:pPr>
      <w:r>
        <w:rPr>
          <w:b/>
        </w:rPr>
        <w:t xml:space="preserve">Incremental </w:t>
      </w:r>
      <w:r w:rsidR="009D55AE">
        <w:rPr>
          <w:b/>
        </w:rPr>
        <w:t>H</w:t>
      </w:r>
      <w:r>
        <w:rPr>
          <w:b/>
        </w:rPr>
        <w:t xml:space="preserve">eat </w:t>
      </w:r>
      <w:r w:rsidR="009D55AE">
        <w:rPr>
          <w:b/>
        </w:rPr>
        <w:t>R</w:t>
      </w:r>
      <w:r>
        <w:rPr>
          <w:b/>
        </w:rPr>
        <w:t>ate</w:t>
      </w:r>
      <w:r>
        <w:t xml:space="preserve"> is the relationship between an additional MW of output and the additional heat input necessary to produce it.  Graphically, the incremental heat rate can be determined from the ratio of the change in fuel input to the change in Resource MW output; which is the slope of the </w:t>
      </w:r>
      <w:r w:rsidR="007A08BB">
        <w:t>Heat Rate</w:t>
      </w:r>
      <w:r>
        <w:t xml:space="preserve"> </w:t>
      </w:r>
      <w:r w:rsidR="007A08BB">
        <w:t>C</w:t>
      </w:r>
      <w:r>
        <w:t xml:space="preserve">urve.   Mathematically, the </w:t>
      </w:r>
      <w:r w:rsidR="00FE063F">
        <w:t>I</w:t>
      </w:r>
      <w:r>
        <w:t xml:space="preserve">ncremental </w:t>
      </w:r>
      <w:r w:rsidR="00FE063F">
        <w:t>H</w:t>
      </w:r>
      <w:r>
        <w:t xml:space="preserve">eat </w:t>
      </w:r>
      <w:r w:rsidR="00FE063F">
        <w:t>R</w:t>
      </w:r>
      <w:r>
        <w:t xml:space="preserve">ate (or the slope of the input-output curve) can be expressed as the first derivative of the </w:t>
      </w:r>
      <w:r w:rsidR="00FE063F">
        <w:t>Heat Rate</w:t>
      </w:r>
      <w:r>
        <w:t xml:space="preserve"> </w:t>
      </w:r>
      <w:r w:rsidR="00FE063F">
        <w:t>C</w:t>
      </w:r>
      <w:r>
        <w:t>urve (input heat</w:t>
      </w:r>
      <w:r w:rsidR="00FE063F">
        <w:t xml:space="preserve"> per hour</w:t>
      </w:r>
      <w:r>
        <w:t xml:space="preserve"> versus MW output).  </w:t>
      </w:r>
    </w:p>
    <w:p w14:paraId="41534D8D" w14:textId="77777777" w:rsidR="00C54281" w:rsidRDefault="00C54281" w:rsidP="00C54281"/>
    <w:p w14:paraId="33D2ECA5" w14:textId="49DD92F4" w:rsidR="00C54281" w:rsidRDefault="0002195B" w:rsidP="00C54281">
      <m:oMathPara>
        <m:oMath>
          <m:r>
            <w:rPr>
              <w:rFonts w:ascii="Cambria Math" w:hAnsi="Cambria Math"/>
            </w:rPr>
            <m:t>Incremental Heat Rate=</m:t>
          </m:r>
          <m:f>
            <m:fPr>
              <m:ctrlPr>
                <w:rPr>
                  <w:rFonts w:ascii="Cambria Math" w:hAnsi="Cambria Math"/>
                  <w:i/>
                </w:rPr>
              </m:ctrlPr>
            </m:fPr>
            <m:num>
              <m:r>
                <w:rPr>
                  <w:rFonts w:ascii="Cambria Math" w:hAnsi="Cambria Math"/>
                </w:rPr>
                <m:t>Change in Heat Rate</m:t>
              </m:r>
            </m:num>
            <m:den>
              <m:r>
                <w:rPr>
                  <w:rFonts w:ascii="Cambria Math" w:hAnsi="Cambria Math"/>
                </w:rPr>
                <m:t>Change in Power Output</m:t>
              </m:r>
            </m:den>
          </m:f>
        </m:oMath>
      </m:oMathPara>
    </w:p>
    <w:p w14:paraId="3DCD484A" w14:textId="77777777" w:rsidR="00C54281" w:rsidRDefault="00C54281" w:rsidP="00C54281"/>
    <w:p w14:paraId="075B0A44" w14:textId="545B6F15" w:rsidR="00C54281" w:rsidRDefault="00690F95" w:rsidP="00781C61">
      <w:pPr>
        <w:pStyle w:val="3Appx3"/>
        <w:numPr>
          <w:ilvl w:val="0"/>
          <w:numId w:val="0"/>
        </w:numPr>
      </w:pPr>
      <w:bookmarkStart w:id="11338" w:name="_Toc351019730"/>
      <w:bookmarkStart w:id="11339" w:name="_Toc363483276"/>
      <w:bookmarkStart w:id="11340" w:name="_Toc131493406"/>
      <w:bookmarkStart w:id="11341" w:name="_Toc213772256"/>
      <w:r>
        <w:t>D.2.</w:t>
      </w:r>
      <w:r w:rsidR="00F32B58">
        <w:t>2</w:t>
      </w:r>
      <w:r>
        <w:tab/>
      </w:r>
      <w:r w:rsidR="00C54281">
        <w:t xml:space="preserve"> Heat Content of Fuel</w:t>
      </w:r>
      <w:bookmarkEnd w:id="11338"/>
      <w:bookmarkEnd w:id="11339"/>
      <w:bookmarkEnd w:id="11340"/>
      <w:bookmarkEnd w:id="11341"/>
    </w:p>
    <w:p w14:paraId="4AA57BD7" w14:textId="77777777" w:rsidR="00C54281" w:rsidRDefault="00C54281" w:rsidP="00C54281">
      <w:pPr>
        <w:pStyle w:val="Normal120"/>
      </w:pPr>
      <w:r>
        <w:rPr>
          <w:b/>
        </w:rPr>
        <w:t xml:space="preserve">Heat Content of Fuel </w:t>
      </w:r>
      <w:r>
        <w:t>is the energy content of a given fuel, expressed in MMBtu per unit of fuel.  Heat content of fuel may be based on of the following:</w:t>
      </w:r>
    </w:p>
    <w:p w14:paraId="498CB63B" w14:textId="77777777" w:rsidR="00C54281" w:rsidRDefault="00C54281" w:rsidP="00DA3CE7">
      <w:pPr>
        <w:pStyle w:val="SPPBulletedList"/>
        <w:numPr>
          <w:ilvl w:val="0"/>
          <w:numId w:val="351"/>
        </w:numPr>
        <w:tabs>
          <w:tab w:val="left" w:pos="720"/>
        </w:tabs>
        <w:spacing w:line="300" w:lineRule="auto"/>
        <w:jc w:val="both"/>
      </w:pPr>
      <w:r>
        <w:rPr>
          <w:rFonts w:hint="cs"/>
        </w:rPr>
        <w:t>As burned test</w:t>
      </w:r>
    </w:p>
    <w:p w14:paraId="3637C815" w14:textId="77777777" w:rsidR="00C54281" w:rsidRDefault="00C54281" w:rsidP="00DA3CE7">
      <w:pPr>
        <w:pStyle w:val="SPPBulletedList"/>
        <w:numPr>
          <w:ilvl w:val="0"/>
          <w:numId w:val="351"/>
        </w:numPr>
        <w:tabs>
          <w:tab w:val="left" w:pos="720"/>
        </w:tabs>
        <w:spacing w:line="300" w:lineRule="auto"/>
        <w:jc w:val="both"/>
      </w:pPr>
      <w:r>
        <w:rPr>
          <w:rFonts w:hint="cs"/>
        </w:rPr>
        <w:t>In stock test</w:t>
      </w:r>
    </w:p>
    <w:p w14:paraId="15038E85" w14:textId="77777777" w:rsidR="00C54281" w:rsidRDefault="00C54281" w:rsidP="00DA3CE7">
      <w:pPr>
        <w:pStyle w:val="SPPBulletedList"/>
        <w:numPr>
          <w:ilvl w:val="0"/>
          <w:numId w:val="351"/>
        </w:numPr>
        <w:tabs>
          <w:tab w:val="left" w:pos="720"/>
        </w:tabs>
        <w:spacing w:line="300" w:lineRule="auto"/>
        <w:jc w:val="both"/>
      </w:pPr>
      <w:r>
        <w:rPr>
          <w:rFonts w:hint="cs"/>
        </w:rPr>
        <w:t>As received test</w:t>
      </w:r>
    </w:p>
    <w:p w14:paraId="447F4355" w14:textId="77777777" w:rsidR="00C54281" w:rsidRDefault="00C54281" w:rsidP="00DA3CE7">
      <w:pPr>
        <w:pStyle w:val="SPPBulletedList"/>
        <w:numPr>
          <w:ilvl w:val="0"/>
          <w:numId w:val="351"/>
        </w:numPr>
        <w:tabs>
          <w:tab w:val="left" w:pos="720"/>
        </w:tabs>
        <w:spacing w:line="300" w:lineRule="auto"/>
        <w:jc w:val="both"/>
      </w:pPr>
      <w:r>
        <w:rPr>
          <w:rFonts w:hint="cs"/>
        </w:rPr>
        <w:t xml:space="preserve">As shipped test </w:t>
      </w:r>
    </w:p>
    <w:p w14:paraId="6146E480" w14:textId="77777777" w:rsidR="00C54281" w:rsidRDefault="00C54281" w:rsidP="00DA3CE7">
      <w:pPr>
        <w:pStyle w:val="SPPBulletedList"/>
        <w:numPr>
          <w:ilvl w:val="0"/>
          <w:numId w:val="351"/>
        </w:numPr>
        <w:tabs>
          <w:tab w:val="left" w:pos="720"/>
        </w:tabs>
        <w:spacing w:line="300" w:lineRule="auto"/>
        <w:jc w:val="both"/>
      </w:pPr>
      <w:r>
        <w:rPr>
          <w:rFonts w:hint="cs"/>
        </w:rPr>
        <w:t xml:space="preserve">Contract value </w:t>
      </w:r>
    </w:p>
    <w:p w14:paraId="77B8ED6B" w14:textId="77777777" w:rsidR="00C54281" w:rsidRDefault="00C54281" w:rsidP="00DA3CE7">
      <w:pPr>
        <w:pStyle w:val="SPPBulletedList"/>
        <w:numPr>
          <w:ilvl w:val="0"/>
          <w:numId w:val="351"/>
        </w:numPr>
        <w:tabs>
          <w:tab w:val="left" w:pos="720"/>
        </w:tabs>
        <w:spacing w:line="300" w:lineRule="auto"/>
        <w:jc w:val="both"/>
      </w:pPr>
      <w:r>
        <w:rPr>
          <w:rFonts w:hint="cs"/>
        </w:rPr>
        <w:t xml:space="preserve">Seller's invoice </w:t>
      </w:r>
    </w:p>
    <w:p w14:paraId="0C7929CB" w14:textId="77777777" w:rsidR="00C54281" w:rsidRDefault="00C54281" w:rsidP="00DA3CE7">
      <w:pPr>
        <w:pStyle w:val="SPPBulletedList"/>
        <w:numPr>
          <w:ilvl w:val="0"/>
          <w:numId w:val="351"/>
        </w:numPr>
        <w:tabs>
          <w:tab w:val="left" w:pos="720"/>
        </w:tabs>
        <w:spacing w:line="300" w:lineRule="auto"/>
        <w:jc w:val="both"/>
      </w:pPr>
      <w:r>
        <w:rPr>
          <w:rFonts w:hint="cs"/>
        </w:rPr>
        <w:t xml:space="preserve">Seller's quote </w:t>
      </w:r>
    </w:p>
    <w:p w14:paraId="1F451768" w14:textId="77777777" w:rsidR="00C54281" w:rsidRDefault="00C54281" w:rsidP="00DA3CE7">
      <w:pPr>
        <w:pStyle w:val="ListParagraph"/>
        <w:numPr>
          <w:ilvl w:val="0"/>
          <w:numId w:val="239"/>
        </w:numPr>
        <w:spacing w:after="0" w:line="300" w:lineRule="auto"/>
      </w:pPr>
      <w:r>
        <w:t xml:space="preserve">Nominal value based on Industry Standard </w:t>
      </w:r>
    </w:p>
    <w:p w14:paraId="389FAF46" w14:textId="6A38843D" w:rsidR="00C54281" w:rsidRDefault="00690F95" w:rsidP="00781C61">
      <w:pPr>
        <w:pStyle w:val="3Appx3"/>
        <w:numPr>
          <w:ilvl w:val="0"/>
          <w:numId w:val="0"/>
        </w:numPr>
      </w:pPr>
      <w:bookmarkStart w:id="11342" w:name="_Ref340739638"/>
      <w:bookmarkStart w:id="11343" w:name="_Toc351019731"/>
      <w:bookmarkStart w:id="11344" w:name="_Toc363483277"/>
      <w:bookmarkStart w:id="11345" w:name="_Toc131493407"/>
      <w:bookmarkStart w:id="11346" w:name="_Toc213772257"/>
      <w:r>
        <w:t>D.2.</w:t>
      </w:r>
      <w:r w:rsidR="00577915">
        <w:t>3</w:t>
      </w:r>
      <w:r>
        <w:tab/>
      </w:r>
      <w:r w:rsidR="00C54281">
        <w:t xml:space="preserve">Heat Rate </w:t>
      </w:r>
      <w:bookmarkEnd w:id="11342"/>
      <w:r w:rsidR="00C54281">
        <w:t>(or Input-Output) Curves</w:t>
      </w:r>
      <w:bookmarkEnd w:id="11343"/>
      <w:bookmarkEnd w:id="11344"/>
      <w:bookmarkEnd w:id="11345"/>
      <w:bookmarkEnd w:id="11346"/>
    </w:p>
    <w:p w14:paraId="6113D6A3" w14:textId="3ADE8AC9" w:rsidR="00C54281" w:rsidRDefault="00C54281" w:rsidP="00C54281">
      <w:pPr>
        <w:pStyle w:val="Normal120"/>
      </w:pPr>
      <w:r>
        <w:t xml:space="preserve">All Market Participants must develop heat rate (or input-output) curves where applicable, which they must submit to the Market Monitor pursuant to the Mitigated Offer </w:t>
      </w:r>
      <w:r w:rsidR="00692523">
        <w:t xml:space="preserve">Development </w:t>
      </w:r>
      <w:r>
        <w:t xml:space="preserve">Methodology Approval Process (Section </w:t>
      </w:r>
      <w:r>
        <w:fldChar w:fldCharType="begin"/>
      </w:r>
      <w:r>
        <w:instrText xml:space="preserve"> REF _Ref340045292 \r \h  \* MERGEFORMAT </w:instrText>
      </w:r>
      <w:r>
        <w:fldChar w:fldCharType="separate"/>
      </w:r>
      <w:r>
        <w:t>D.1.5</w:t>
      </w:r>
      <w:r>
        <w:fldChar w:fldCharType="end"/>
      </w:r>
      <w:r>
        <w:t xml:space="preserve">).   The heat rate is the preferred method for determining actual fuel consumption. </w:t>
      </w:r>
    </w:p>
    <w:p w14:paraId="511E0C9F" w14:textId="77777777" w:rsidR="00C54281" w:rsidRDefault="00C54281" w:rsidP="00C54281">
      <w:pPr>
        <w:pStyle w:val="Normal120"/>
      </w:pPr>
    </w:p>
    <w:p w14:paraId="08D70EB3" w14:textId="77777777" w:rsidR="00C54281" w:rsidRDefault="00C54281" w:rsidP="00DA3CE7">
      <w:pPr>
        <w:pStyle w:val="SPPBulletedList"/>
        <w:numPr>
          <w:ilvl w:val="0"/>
          <w:numId w:val="243"/>
        </w:numPr>
        <w:tabs>
          <w:tab w:val="left" w:pos="720"/>
        </w:tabs>
        <w:spacing w:line="300" w:lineRule="auto"/>
        <w:jc w:val="both"/>
      </w:pPr>
      <w:r>
        <w:rPr>
          <w:rFonts w:hint="cs"/>
        </w:rPr>
        <w:t xml:space="preserve">These curves show input heat from burning fuel for each level of MW output for each of their Resources.  The curves serve as the basis for the theoretical incremental heat rate curves for fuel consumption and performance factor development.  Heat rate curves submitted to Market Monitor should be calculated on a net MW basis.  </w:t>
      </w:r>
    </w:p>
    <w:p w14:paraId="3D5BA1D3" w14:textId="00428F74" w:rsidR="00C54281" w:rsidRDefault="00C54281" w:rsidP="00DA3CE7">
      <w:pPr>
        <w:pStyle w:val="SPPBulletedList"/>
        <w:numPr>
          <w:ilvl w:val="0"/>
          <w:numId w:val="241"/>
        </w:numPr>
        <w:tabs>
          <w:tab w:val="left" w:pos="720"/>
        </w:tabs>
        <w:spacing w:line="300" w:lineRule="auto"/>
        <w:jc w:val="both"/>
      </w:pPr>
      <w:r>
        <w:rPr>
          <w:rFonts w:hint="cs"/>
        </w:rPr>
        <w:t xml:space="preserve">Heat rate curves (one curve per fuel type of operating mode, such as combustion turbine or combined cycle) will be based on design </w:t>
      </w:r>
      <w:r w:rsidDel="0046151A">
        <w:rPr>
          <w:rFonts w:hint="cs"/>
        </w:rPr>
        <w:t>and/or</w:t>
      </w:r>
      <w:r>
        <w:rPr>
          <w:rFonts w:hint="cs"/>
        </w:rPr>
        <w:t xml:space="preserve"> comparable Resource data modified by actual Resource test data (when available), </w:t>
      </w:r>
      <w:r w:rsidDel="0046151A">
        <w:rPr>
          <w:rFonts w:hint="cs"/>
        </w:rPr>
        <w:t>and/or</w:t>
      </w:r>
      <w:r>
        <w:rPr>
          <w:rFonts w:hint="cs"/>
        </w:rPr>
        <w:t xml:space="preserve"> actual Resource operations data.  </w:t>
      </w:r>
    </w:p>
    <w:p w14:paraId="7F5BE959" w14:textId="77777777" w:rsidR="00C54281" w:rsidRDefault="00C54281" w:rsidP="00DA3CE7">
      <w:pPr>
        <w:pStyle w:val="SPPBulletedList"/>
        <w:numPr>
          <w:ilvl w:val="0"/>
          <w:numId w:val="241"/>
        </w:numPr>
        <w:tabs>
          <w:tab w:val="left" w:pos="720"/>
        </w:tabs>
        <w:spacing w:line="300" w:lineRule="auto"/>
        <w:jc w:val="both"/>
      </w:pPr>
      <w:r>
        <w:rPr>
          <w:rFonts w:hint="cs"/>
        </w:rPr>
        <w:t xml:space="preserve">Data for the heat rate curve development should include normal minimum and normal maximum MW points.  The heat rate curve for emergency ranges may be extrapolated from available data by the Market Participant.  </w:t>
      </w:r>
    </w:p>
    <w:p w14:paraId="04140966" w14:textId="77777777" w:rsidR="00C54281" w:rsidRDefault="00C54281" w:rsidP="00DA3CE7">
      <w:pPr>
        <w:pStyle w:val="SPPBulletedList"/>
        <w:numPr>
          <w:ilvl w:val="0"/>
          <w:numId w:val="241"/>
        </w:numPr>
        <w:tabs>
          <w:tab w:val="left" w:pos="720"/>
        </w:tabs>
        <w:spacing w:line="300" w:lineRule="auto"/>
        <w:jc w:val="both"/>
      </w:pPr>
      <w:r>
        <w:rPr>
          <w:rFonts w:hint="cs"/>
        </w:rPr>
        <w:t xml:space="preserve">This heat rate curve (or curves) will be used as the basis for incremental heat rate curves, incremental costs, and performance factor calculations.  </w:t>
      </w:r>
    </w:p>
    <w:p w14:paraId="0FB95085" w14:textId="6532F7E7" w:rsidR="00C54281" w:rsidRDefault="00C54281" w:rsidP="00DA3CE7">
      <w:pPr>
        <w:pStyle w:val="SPPBulletedList"/>
        <w:numPr>
          <w:ilvl w:val="0"/>
          <w:numId w:val="241"/>
        </w:numPr>
        <w:tabs>
          <w:tab w:val="left" w:pos="720"/>
        </w:tabs>
        <w:spacing w:line="300" w:lineRule="auto"/>
        <w:jc w:val="both"/>
      </w:pPr>
      <w:r>
        <w:rPr>
          <w:rFonts w:hint="cs"/>
        </w:rPr>
        <w:t xml:space="preserve">Heat rate and heat input data used in offer curve and no-load cost development should be submitted to the Market Monitor pursuant to the Mitigated Offer </w:t>
      </w:r>
      <w:r w:rsidR="00692523">
        <w:t xml:space="preserve">Development </w:t>
      </w:r>
      <w:r>
        <w:rPr>
          <w:rFonts w:hint="cs"/>
        </w:rPr>
        <w:t>Methodology Approval Process as a component of cost policy.</w:t>
      </w:r>
    </w:p>
    <w:p w14:paraId="5352B636" w14:textId="4E3C7DDC" w:rsidR="00C54281" w:rsidRDefault="00690F95" w:rsidP="00781C61">
      <w:pPr>
        <w:pStyle w:val="3Appx3"/>
        <w:numPr>
          <w:ilvl w:val="0"/>
          <w:numId w:val="0"/>
        </w:numPr>
      </w:pPr>
      <w:bookmarkStart w:id="11347" w:name="_Ref332266034"/>
      <w:bookmarkStart w:id="11348" w:name="_Toc351019732"/>
      <w:bookmarkStart w:id="11349" w:name="_Toc363483278"/>
      <w:bookmarkStart w:id="11350" w:name="_Toc131493408"/>
      <w:bookmarkStart w:id="11351" w:name="_Toc213772258"/>
      <w:r>
        <w:t>D.2</w:t>
      </w:r>
      <w:r w:rsidR="00F32B58">
        <w:t>.4</w:t>
      </w:r>
      <w:r>
        <w:tab/>
      </w:r>
      <w:r w:rsidR="00C54281">
        <w:t>Performance Factors</w:t>
      </w:r>
      <w:bookmarkEnd w:id="11347"/>
      <w:bookmarkEnd w:id="11348"/>
      <w:bookmarkEnd w:id="11349"/>
      <w:bookmarkEnd w:id="11350"/>
      <w:bookmarkEnd w:id="11351"/>
    </w:p>
    <w:p w14:paraId="272522CA" w14:textId="77777777" w:rsidR="00C54281" w:rsidRDefault="00C54281" w:rsidP="00C54281">
      <w:pPr>
        <w:pStyle w:val="Normal120"/>
        <w:jc w:val="both"/>
      </w:pPr>
      <w:r>
        <w:rPr>
          <w:b/>
        </w:rPr>
        <w:t>Performance Factor</w:t>
      </w:r>
      <w:r>
        <w:t xml:space="preserve"> is the calculated ratio of actual fuel burn to either theoretical fuel use (design heat input) or the most recent heat rate performance test, as applicable.  Actual burn may vary from theoretical or test fuel use due to factors such as Resource age or modification, changes in fuel properties, seasonal ambient conditions, etc.  </w:t>
      </w:r>
    </w:p>
    <w:p w14:paraId="56B46BCF" w14:textId="77777777" w:rsidR="00C54281" w:rsidRDefault="00C54281" w:rsidP="00C54281"/>
    <w:p w14:paraId="6298C887" w14:textId="77777777" w:rsidR="00C54281" w:rsidRDefault="0002195B" w:rsidP="00C54281">
      <m:oMathPara>
        <m:oMath>
          <m:r>
            <w:rPr>
              <w:rFonts w:ascii="Cambria Math" w:hAnsi="Cambria Math"/>
            </w:rPr>
            <m:t>Performance Factor=</m:t>
          </m:r>
          <m:f>
            <m:fPr>
              <m:ctrlPr>
                <w:rPr>
                  <w:rFonts w:ascii="Cambria Math" w:hAnsi="Cambria Math"/>
                  <w:i/>
                </w:rPr>
              </m:ctrlPr>
            </m:fPr>
            <m:num>
              <m:r>
                <w:rPr>
                  <w:rFonts w:ascii="Cambria Math" w:hAnsi="Cambria Math"/>
                </w:rPr>
                <m:t>Total Actual Fuel Consumed(MMBtu)</m:t>
              </m:r>
            </m:num>
            <m:den>
              <m:r>
                <w:rPr>
                  <w:rFonts w:ascii="Cambria Math" w:hAnsi="Cambria Math"/>
                </w:rPr>
                <m:t>Total Theoretical Fuel Consumed(MMBtu)</m:t>
              </m:r>
            </m:den>
          </m:f>
        </m:oMath>
      </m:oMathPara>
    </w:p>
    <w:p w14:paraId="1A51C534" w14:textId="77777777" w:rsidR="00C54281" w:rsidRDefault="00C54281" w:rsidP="00C54281"/>
    <w:p w14:paraId="4E070D6B" w14:textId="6DB237FB" w:rsidR="00C54281" w:rsidRDefault="00C54281" w:rsidP="00C54281">
      <w:pPr>
        <w:pStyle w:val="Normal120"/>
        <w:jc w:val="both"/>
      </w:pPr>
      <w:r>
        <w:t xml:space="preserve">The </w:t>
      </w:r>
      <w:r w:rsidR="00360598">
        <w:t>P</w:t>
      </w:r>
      <w:r>
        <w:t xml:space="preserve">erformance </w:t>
      </w:r>
      <w:r w:rsidR="00360598">
        <w:t>F</w:t>
      </w:r>
      <w:r>
        <w:t xml:space="preserve">actor must be calculated on either the total fuel consumed over a specific calibration period or a monthly spot check test basis.  Market Participants are required to update their Resources’ Performance Factors(s) annually; however, Market Participants may update these </w:t>
      </w:r>
      <w:r w:rsidR="0025055C">
        <w:t>P</w:t>
      </w:r>
      <w:r>
        <w:t xml:space="preserve">erformance </w:t>
      </w:r>
      <w:r w:rsidR="0025055C">
        <w:t>F</w:t>
      </w:r>
      <w:r>
        <w:t xml:space="preserve">actors more frequently to reflect seasonal variations </w:t>
      </w:r>
      <w:r w:rsidDel="0046151A">
        <w:t>and/or</w:t>
      </w:r>
      <w:r>
        <w:t xml:space="preserve"> other operational changes.</w:t>
      </w:r>
    </w:p>
    <w:p w14:paraId="7F9A9E2E" w14:textId="77777777" w:rsidR="00C54281" w:rsidRDefault="00C54281" w:rsidP="00C54281">
      <w:pPr>
        <w:pStyle w:val="Normal120"/>
        <w:jc w:val="both"/>
      </w:pPr>
      <w:r>
        <w:t xml:space="preserve">Market Participants must use fuel consumed during the most recent heat rate performance test or the design heat input if no heat rate performance test has been performed as the “Total Theoretical Fuel Consumed” value and report such value to Market Monitor.  Market Participants will also submit the fuel consumption data from a subsequent window of operation to update its Performance Factor by updating the total actual fuel consumed as the numerator in the Performance Factor equation above and reporting such value to Market Monitor.  </w:t>
      </w:r>
    </w:p>
    <w:p w14:paraId="69B34285" w14:textId="3B214D7A" w:rsidR="00C54281" w:rsidRDefault="00C54281" w:rsidP="00C54281">
      <w:pPr>
        <w:pStyle w:val="Normal120"/>
        <w:jc w:val="both"/>
      </w:pPr>
      <w:r>
        <w:t xml:space="preserve">Requests for exemptions from these periods should first be submitted to the Market Monitor for evaluation pursuant to the Mitigated Offer </w:t>
      </w:r>
      <w:r w:rsidR="00692523">
        <w:t xml:space="preserve">Development </w:t>
      </w:r>
      <w:r>
        <w:t xml:space="preserve">Methodology Approval Process.  The overall </w:t>
      </w:r>
      <w:r w:rsidR="00D7532B">
        <w:t>P</w:t>
      </w:r>
      <w:r>
        <w:t xml:space="preserve">erformance </w:t>
      </w:r>
      <w:r w:rsidR="00D7532B">
        <w:t>F</w:t>
      </w:r>
      <w:r>
        <w:t xml:space="preserve">actor can be modified by a seasonal performance factor to reflect ambient conditions or equipment conditions.  </w:t>
      </w:r>
    </w:p>
    <w:p w14:paraId="1D0BD33E" w14:textId="077307D7" w:rsidR="00C54281" w:rsidRDefault="00690F95" w:rsidP="00E679DC">
      <w:pPr>
        <w:pStyle w:val="Heading471"/>
      </w:pPr>
      <w:bookmarkStart w:id="11352" w:name="_Toc351019733"/>
      <w:bookmarkStart w:id="11353" w:name="_Toc363483279"/>
      <w:bookmarkStart w:id="11354" w:name="_Toc131493409"/>
      <w:bookmarkStart w:id="11355" w:name="_Toc213772259"/>
      <w:r>
        <w:t>D.2.</w:t>
      </w:r>
      <w:r w:rsidR="00F32B58">
        <w:t>4.</w:t>
      </w:r>
      <w:r>
        <w:t>1</w:t>
      </w:r>
      <w:r>
        <w:tab/>
      </w:r>
      <w:r w:rsidR="00575B8A">
        <w:tab/>
      </w:r>
      <w:r w:rsidR="00C54281">
        <w:t>Engineering Judgment in Performance Factors</w:t>
      </w:r>
      <w:bookmarkEnd w:id="11352"/>
      <w:bookmarkEnd w:id="11353"/>
      <w:bookmarkEnd w:id="11354"/>
      <w:bookmarkEnd w:id="11355"/>
    </w:p>
    <w:p w14:paraId="69B3ACB7" w14:textId="5702A3EB" w:rsidR="00C54281" w:rsidRDefault="00C54281" w:rsidP="00C54281">
      <w:pPr>
        <w:pStyle w:val="Normal120"/>
        <w:jc w:val="both"/>
      </w:pPr>
      <w:r>
        <w:t xml:space="preserve">The calculated </w:t>
      </w:r>
      <w:r w:rsidR="00790085">
        <w:t>P</w:t>
      </w:r>
      <w:r>
        <w:t xml:space="preserve">erformance </w:t>
      </w:r>
      <w:r w:rsidR="00790085">
        <w:t>F</w:t>
      </w:r>
      <w:r>
        <w:t xml:space="preserve">actor may be superseded by estimates based on sound engineering judgment.  If the period during which estimated </w:t>
      </w:r>
      <w:r w:rsidR="00790085">
        <w:t>P</w:t>
      </w:r>
      <w:r>
        <w:t xml:space="preserve">erformance </w:t>
      </w:r>
      <w:r w:rsidR="00790085">
        <w:t>F</w:t>
      </w:r>
      <w:r>
        <w:t>actors are used exceeds three</w:t>
      </w:r>
      <w:r w:rsidR="00790085">
        <w:t xml:space="preserve"> (3)</w:t>
      </w:r>
      <w:r>
        <w:t xml:space="preserve"> months, documentation concerning reasons for the override must be maintained and available for review upon request.  </w:t>
      </w:r>
    </w:p>
    <w:p w14:paraId="2CF5D55A" w14:textId="7D381FC5" w:rsidR="00C54281" w:rsidRDefault="00690F95" w:rsidP="00E679DC">
      <w:pPr>
        <w:pStyle w:val="Heading471"/>
      </w:pPr>
      <w:bookmarkStart w:id="11356" w:name="_Toc351019734"/>
      <w:bookmarkStart w:id="11357" w:name="_Toc363483280"/>
      <w:bookmarkStart w:id="11358" w:name="_Toc131493410"/>
      <w:bookmarkStart w:id="11359" w:name="_Toc213772260"/>
      <w:r>
        <w:t>D.2.</w:t>
      </w:r>
      <w:r w:rsidR="00F32B58">
        <w:t>4.</w:t>
      </w:r>
      <w:r>
        <w:t>2</w:t>
      </w:r>
      <w:r>
        <w:tab/>
      </w:r>
      <w:r w:rsidR="00575B8A">
        <w:tab/>
      </w:r>
      <w:r w:rsidR="00C54281">
        <w:t>Calculation Methods of Performance Factors</w:t>
      </w:r>
      <w:bookmarkEnd w:id="11356"/>
      <w:bookmarkEnd w:id="11357"/>
      <w:bookmarkEnd w:id="11358"/>
      <w:bookmarkEnd w:id="11359"/>
    </w:p>
    <w:p w14:paraId="6E06B49C" w14:textId="3B6B746E" w:rsidR="00C54281" w:rsidRDefault="00C54281" w:rsidP="00C54281">
      <w:pPr>
        <w:pStyle w:val="Normal120"/>
        <w:jc w:val="both"/>
      </w:pPr>
      <w:r>
        <w:t xml:space="preserve">There are three </w:t>
      </w:r>
      <w:r w:rsidR="00790085">
        <w:t xml:space="preserve">(3) </w:t>
      </w:r>
      <w:r>
        <w:t xml:space="preserve">options available for use in determining a Resource’s </w:t>
      </w:r>
      <w:r w:rsidR="00790085">
        <w:t>P</w:t>
      </w:r>
      <w:r>
        <w:t xml:space="preserve">erformance </w:t>
      </w:r>
      <w:r w:rsidR="00790085">
        <w:t>F</w:t>
      </w:r>
      <w:r>
        <w:t>actor:</w:t>
      </w:r>
    </w:p>
    <w:p w14:paraId="124BB97D" w14:textId="77777777" w:rsidR="00C54281" w:rsidRDefault="00C54281" w:rsidP="00DA3CE7">
      <w:pPr>
        <w:pStyle w:val="SPPBulletedList"/>
        <w:numPr>
          <w:ilvl w:val="0"/>
          <w:numId w:val="337"/>
        </w:numPr>
        <w:tabs>
          <w:tab w:val="left" w:pos="720"/>
        </w:tabs>
        <w:spacing w:line="300" w:lineRule="auto"/>
        <w:jc w:val="both"/>
      </w:pPr>
      <w:r>
        <w:rPr>
          <w:rFonts w:hint="cs"/>
        </w:rPr>
        <w:t>Total Fuel approach</w:t>
      </w:r>
    </w:p>
    <w:p w14:paraId="7E17AAC7" w14:textId="0A6AEF1B" w:rsidR="00C54281" w:rsidRDefault="00C54281" w:rsidP="00DA3CE7">
      <w:pPr>
        <w:pStyle w:val="SPPBulletedList"/>
        <w:numPr>
          <w:ilvl w:val="0"/>
          <w:numId w:val="337"/>
        </w:numPr>
        <w:tabs>
          <w:tab w:val="left" w:pos="720"/>
        </w:tabs>
        <w:spacing w:line="300" w:lineRule="auto"/>
        <w:jc w:val="both"/>
      </w:pPr>
      <w:r>
        <w:rPr>
          <w:rFonts w:hint="cs"/>
        </w:rPr>
        <w:t>Separate performance factors</w:t>
      </w:r>
    </w:p>
    <w:p w14:paraId="6CFF813C" w14:textId="77777777" w:rsidR="00C54281" w:rsidRDefault="00C54281" w:rsidP="00DA3CE7">
      <w:pPr>
        <w:pStyle w:val="SPPBulletedList"/>
        <w:numPr>
          <w:ilvl w:val="0"/>
          <w:numId w:val="337"/>
        </w:numPr>
        <w:tabs>
          <w:tab w:val="left" w:pos="720"/>
        </w:tabs>
        <w:spacing w:line="300" w:lineRule="auto"/>
        <w:jc w:val="both"/>
      </w:pPr>
      <w:r>
        <w:rPr>
          <w:rFonts w:hint="cs"/>
        </w:rPr>
        <w:t>Fixed start approach</w:t>
      </w:r>
    </w:p>
    <w:p w14:paraId="210DDF33" w14:textId="245E809F" w:rsidR="00C54281" w:rsidRDefault="00C54281" w:rsidP="00C54281">
      <w:pPr>
        <w:pStyle w:val="Normal120"/>
        <w:jc w:val="both"/>
      </w:pPr>
      <w:r>
        <w:t xml:space="preserve">Performance </w:t>
      </w:r>
      <w:r w:rsidR="00233754">
        <w:t>F</w:t>
      </w:r>
      <w:r>
        <w:t xml:space="preserve">actors are used in calculating start fuel as well as operating fuel.  </w:t>
      </w:r>
    </w:p>
    <w:p w14:paraId="2C385982" w14:textId="37E92BE2" w:rsidR="00C54281" w:rsidRDefault="00C54281" w:rsidP="00C54281">
      <w:pPr>
        <w:pStyle w:val="Normal120"/>
        <w:jc w:val="both"/>
      </w:pPr>
      <w:r>
        <w:t xml:space="preserve">When the </w:t>
      </w:r>
      <w:r>
        <w:rPr>
          <w:b/>
        </w:rPr>
        <w:t>total fuel approach</w:t>
      </w:r>
      <w:r>
        <w:t xml:space="preserve"> is used, the </w:t>
      </w:r>
      <w:r w:rsidR="00123A77">
        <w:t>P</w:t>
      </w:r>
      <w:r>
        <w:t xml:space="preserve">erformance </w:t>
      </w:r>
      <w:r w:rsidR="00123A77">
        <w:t>F</w:t>
      </w:r>
      <w:r>
        <w:t>actor represents the ratio:</w:t>
      </w:r>
    </w:p>
    <w:p w14:paraId="08CE89A0" w14:textId="77777777" w:rsidR="00C54281" w:rsidRDefault="00C54281" w:rsidP="00C54281"/>
    <w:p w14:paraId="768277D8" w14:textId="77777777" w:rsidR="00C54281" w:rsidRDefault="0002195B" w:rsidP="00C54281">
      <m:oMathPara>
        <m:oMath>
          <m:r>
            <w:rPr>
              <w:rFonts w:ascii="Cambria Math" w:hAnsi="Cambria Math"/>
            </w:rPr>
            <m:t>Performance Factor=</m:t>
          </m:r>
          <m:f>
            <m:fPr>
              <m:ctrlPr>
                <w:rPr>
                  <w:rFonts w:ascii="Cambria Math" w:hAnsi="Cambria Math"/>
                  <w:i/>
                </w:rPr>
              </m:ctrlPr>
            </m:fPr>
            <m:num>
              <m:r>
                <w:rPr>
                  <w:rFonts w:ascii="Cambria Math" w:hAnsi="Cambria Math"/>
                </w:rPr>
                <m:t>Total Actual Fuel Consumed(MMBtu)</m:t>
              </m:r>
            </m:num>
            <m:den>
              <m:r>
                <w:rPr>
                  <w:rFonts w:ascii="Cambria Math" w:hAnsi="Cambria Math"/>
                </w:rPr>
                <m:t>Total Theoretical Fuel Consumed(MMBtu)</m:t>
              </m:r>
            </m:den>
          </m:f>
        </m:oMath>
      </m:oMathPara>
    </w:p>
    <w:p w14:paraId="063C8691" w14:textId="77777777" w:rsidR="00C54281" w:rsidRDefault="00C54281" w:rsidP="00C54281"/>
    <w:p w14:paraId="5B032E22" w14:textId="07C3C8A5" w:rsidR="00C54281" w:rsidRDefault="00C54281" w:rsidP="00C54281">
      <w:pPr>
        <w:pStyle w:val="Normal120"/>
        <w:jc w:val="both"/>
      </w:pPr>
      <w:r>
        <w:t xml:space="preserve">With the total fuel approach, fuel quantities measured during start tests should be modified by the </w:t>
      </w:r>
      <w:r w:rsidR="001E462F">
        <w:t>P</w:t>
      </w:r>
      <w:r>
        <w:t xml:space="preserve">erformance </w:t>
      </w:r>
      <w:r w:rsidR="001E462F">
        <w:t>F</w:t>
      </w:r>
      <w:r>
        <w:t xml:space="preserve">actor in effect at the time of the test so that theoretical or standard start fuel quantities will be on the same basis as the standard operating fuel quantity.  </w:t>
      </w:r>
    </w:p>
    <w:p w14:paraId="240DB6CE" w14:textId="2750F5BC" w:rsidR="00C54281" w:rsidRDefault="00C54281" w:rsidP="00C54281">
      <w:pPr>
        <w:pStyle w:val="Normal120"/>
        <w:jc w:val="both"/>
      </w:pPr>
      <w:r>
        <w:t xml:space="preserve">Conditions encountered during the start of certain Resources may make it preferable to assign separate performance factors for start and operating fuel (no-load fuel and fuel used for any energy production).  </w:t>
      </w:r>
    </w:p>
    <w:p w14:paraId="3D2AB841" w14:textId="77777777" w:rsidR="00C54281" w:rsidRDefault="00C54281" w:rsidP="00C54281">
      <w:pPr>
        <w:pStyle w:val="Normal120"/>
        <w:jc w:val="both"/>
      </w:pPr>
      <w:r>
        <w:t xml:space="preserve">If </w:t>
      </w:r>
      <w:r>
        <w:rPr>
          <w:b/>
          <w:bCs/>
        </w:rPr>
        <w:t>separate performance factors</w:t>
      </w:r>
      <w:r>
        <w:t xml:space="preserve"> are calculated for start fuel prior to calculating the “operating fuel” performance factor, the operating fuel performance factor represents the ratio:</w:t>
      </w:r>
    </w:p>
    <w:p w14:paraId="2AEB7107" w14:textId="77777777" w:rsidR="00C54281" w:rsidRDefault="0002195B" w:rsidP="00C54281">
      <w:pPr>
        <w:pStyle w:val="Normal120"/>
        <w:jc w:val="both"/>
      </w:pPr>
      <m:oMathPara>
        <m:oMathParaPr>
          <m:jc m:val="center"/>
        </m:oMathParaPr>
        <m:oMath>
          <m:r>
            <w:rPr>
              <w:rFonts w:ascii="Cambria Math" w:hAnsi="Cambria Math"/>
            </w:rPr>
            <m:t>Operating Fuel Performance Factor</m:t>
          </m:r>
        </m:oMath>
      </m:oMathPara>
    </w:p>
    <w:p w14:paraId="255BE419" w14:textId="77777777"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Total Actual Fuel Consumed(MMBtu)-Actual Start Fuel Consumed(MMBtu)</m:t>
              </m:r>
            </m:num>
            <m:den>
              <m:r>
                <w:rPr>
                  <w:rFonts w:ascii="Cambria Math" w:hAnsi="Cambria Math"/>
                </w:rPr>
                <m:t>Total Theoretical Fuel Consumed(MMBtu)-Theoretical Start Fuel Consumed(MMBtu)</m:t>
              </m:r>
            </m:den>
          </m:f>
        </m:oMath>
      </m:oMathPara>
    </w:p>
    <w:p w14:paraId="514A62A8" w14:textId="77777777" w:rsidR="00C54281" w:rsidRDefault="00C54281" w:rsidP="00C54281"/>
    <w:p w14:paraId="2DB79D20" w14:textId="77777777" w:rsidR="00C54281" w:rsidRDefault="00C54281" w:rsidP="00C54281">
      <w:pPr>
        <w:pStyle w:val="Normal120"/>
        <w:jc w:val="both"/>
      </w:pPr>
      <w:r>
        <w:t xml:space="preserve">Due to the variability and difficulty in measuring actual start fuel, a Market Participant may choose to set a </w:t>
      </w:r>
      <w:r>
        <w:rPr>
          <w:b/>
        </w:rPr>
        <w:t>fixed start performance factor of one</w:t>
      </w:r>
      <w:r>
        <w:t>, implicitly assigning all performance variations to no-load and incremental loading costs.  In order to account for all fuel actually consumed, the operating fuel performance factor represents the ratio:</w:t>
      </w:r>
    </w:p>
    <w:p w14:paraId="7813A326" w14:textId="77777777" w:rsidR="00C54281" w:rsidRDefault="0002195B" w:rsidP="00C54281">
      <m:oMathPara>
        <m:oMathParaPr>
          <m:jc m:val="center"/>
        </m:oMathParaPr>
        <m:oMath>
          <m:r>
            <w:rPr>
              <w:rFonts w:ascii="Cambria Math" w:hAnsi="Cambria Math"/>
            </w:rPr>
            <m:t>Operating Fuel Performance Factor</m:t>
          </m:r>
        </m:oMath>
      </m:oMathPara>
    </w:p>
    <w:p w14:paraId="2466D06F" w14:textId="7CF50C46"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Total Actual Fuel Consumed(MMBtu)-Theoretical Start Fuel Consumed(MMBtu)</m:t>
              </m:r>
            </m:num>
            <m:den>
              <m:r>
                <w:rPr>
                  <w:rFonts w:ascii="Cambria Math" w:hAnsi="Cambria Math"/>
                </w:rPr>
                <m:t>Total Theoretical Fuel Consumed(MMBtu)-Theoretical Start Fuel Consumed(MMBtu)</m:t>
              </m:r>
            </m:den>
          </m:f>
        </m:oMath>
      </m:oMathPara>
    </w:p>
    <w:p w14:paraId="1756EDE5" w14:textId="77777777" w:rsidR="00C54281" w:rsidRDefault="00C54281" w:rsidP="00C54281"/>
    <w:p w14:paraId="7CF12D2D" w14:textId="77777777" w:rsidR="00C54281" w:rsidRDefault="00C54281" w:rsidP="00C54281">
      <w:pPr>
        <w:pStyle w:val="Normal120"/>
        <w:jc w:val="both"/>
      </w:pPr>
      <w:r>
        <w:t xml:space="preserve">where </w:t>
      </w:r>
      <w:r>
        <w:rPr>
          <w:i/>
        </w:rPr>
        <w:t>Total Theoretical Start Fuel Consumed</w:t>
      </w:r>
      <w:r>
        <w:t xml:space="preserve"> is the fuel quantity used in the start cost calculation.  </w:t>
      </w:r>
    </w:p>
    <w:p w14:paraId="4B5F0006" w14:textId="55CEBE70" w:rsidR="00C54281" w:rsidRDefault="00690F95" w:rsidP="00E679DC">
      <w:pPr>
        <w:pStyle w:val="Heading471"/>
      </w:pPr>
      <w:bookmarkStart w:id="11360" w:name="_Toc351019735"/>
      <w:bookmarkStart w:id="11361" w:name="_Toc363483281"/>
      <w:bookmarkStart w:id="11362" w:name="_Toc131493411"/>
      <w:bookmarkStart w:id="11363" w:name="_Toc213772261"/>
      <w:r>
        <w:t>D.2.4.3</w:t>
      </w:r>
      <w:r>
        <w:tab/>
      </w:r>
      <w:r w:rsidR="00575B8A">
        <w:tab/>
      </w:r>
      <w:r w:rsidR="00C54281">
        <w:t>“Like” Resources for Performance Factors</w:t>
      </w:r>
      <w:bookmarkEnd w:id="11360"/>
      <w:bookmarkEnd w:id="11361"/>
      <w:bookmarkEnd w:id="11362"/>
      <w:bookmarkEnd w:id="11363"/>
    </w:p>
    <w:p w14:paraId="1690B695" w14:textId="77777777" w:rsidR="00C54281" w:rsidRDefault="00C54281" w:rsidP="00C54281">
      <w:pPr>
        <w:pStyle w:val="Normal120"/>
        <w:jc w:val="both"/>
      </w:pPr>
      <w:r>
        <w:t xml:space="preserve">An average performance factor may be calculated and applied for groups of like Resources burning the same type of fuel.  Please see the Resource Type sections for further detail of “like” Resources.  </w:t>
      </w:r>
    </w:p>
    <w:p w14:paraId="48B921C8" w14:textId="2FB9007B" w:rsidR="00C54281" w:rsidRDefault="00690F95" w:rsidP="00781C61">
      <w:pPr>
        <w:pStyle w:val="3Appx3"/>
        <w:numPr>
          <w:ilvl w:val="0"/>
          <w:numId w:val="0"/>
        </w:numPr>
      </w:pPr>
      <w:bookmarkStart w:id="11364" w:name="_Ref332266078"/>
      <w:bookmarkStart w:id="11365" w:name="_Toc351019736"/>
      <w:bookmarkStart w:id="11366" w:name="_Toc363483282"/>
      <w:bookmarkStart w:id="11367" w:name="_Ref424295117"/>
      <w:bookmarkStart w:id="11368" w:name="_Toc131493412"/>
      <w:bookmarkStart w:id="11369" w:name="_Toc213772262"/>
      <w:r>
        <w:t>D.2.5</w:t>
      </w:r>
      <w:r>
        <w:tab/>
      </w:r>
      <w:r w:rsidR="00C54281">
        <w:t xml:space="preserve">Fuel Cost </w:t>
      </w:r>
      <w:bookmarkEnd w:id="11364"/>
      <w:r w:rsidR="00C54281">
        <w:t>Policies</w:t>
      </w:r>
      <w:bookmarkEnd w:id="11365"/>
      <w:bookmarkEnd w:id="11366"/>
      <w:bookmarkEnd w:id="11367"/>
      <w:bookmarkEnd w:id="11368"/>
      <w:bookmarkEnd w:id="11369"/>
      <w:r w:rsidR="00C54281">
        <w:t xml:space="preserve"> </w:t>
      </w:r>
    </w:p>
    <w:p w14:paraId="0151E395" w14:textId="1B5D45AA" w:rsidR="00C54281" w:rsidRDefault="00C54281" w:rsidP="00C54281">
      <w:pPr>
        <w:pStyle w:val="Normal120"/>
      </w:pPr>
      <w:r>
        <w:t xml:space="preserve">Market Participants must submit a fuel cost policy for each Resource describing its method of calculation of fuel costs to the Market Monitor pursuant to the Mitigated Offer </w:t>
      </w:r>
      <w:r w:rsidR="00692523">
        <w:t>Development</w:t>
      </w:r>
      <w:r>
        <w:t xml:space="preserve"> Methodology Approval Process.  Such fuel cost policies must include the following information:</w:t>
      </w:r>
    </w:p>
    <w:p w14:paraId="3D946A26" w14:textId="77777777" w:rsidR="00C54281" w:rsidRDefault="00C54281" w:rsidP="00DA3CE7">
      <w:pPr>
        <w:pStyle w:val="ListParagraph"/>
        <w:numPr>
          <w:ilvl w:val="1"/>
          <w:numId w:val="351"/>
        </w:numPr>
        <w:spacing w:before="120" w:after="240" w:line="300" w:lineRule="auto"/>
        <w:ind w:left="734" w:hanging="547"/>
        <w:rPr>
          <w:color w:val="000000"/>
        </w:rPr>
      </w:pPr>
      <w:r>
        <w:rPr>
          <w:color w:val="000000" w:themeColor="text1"/>
        </w:rPr>
        <w:t>For the component of cost indicating daily delivered fuel cost, please include, for each fuel type:</w:t>
      </w:r>
    </w:p>
    <w:p w14:paraId="01B9154B"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rPr>
          <w:color w:val="000000"/>
        </w:rPr>
      </w:pPr>
      <w:r>
        <w:rPr>
          <w:color w:val="000000"/>
        </w:rPr>
        <w:t>Resources using this fuel</w:t>
      </w:r>
    </w:p>
    <w:p w14:paraId="347282E3"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jc w:val="left"/>
        <w:rPr>
          <w:color w:val="000000"/>
        </w:rPr>
      </w:pPr>
      <w:r>
        <w:rPr>
          <w:color w:val="000000" w:themeColor="text1"/>
        </w:rPr>
        <w:t>Source of fuel cost, for each Resource.  For example: specified NYMEX index, forward contract.</w:t>
      </w:r>
    </w:p>
    <w:p w14:paraId="2814117D"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jc w:val="left"/>
        <w:rPr>
          <w:color w:val="000000"/>
        </w:rPr>
      </w:pPr>
      <w:r>
        <w:rPr>
          <w:color w:val="000000"/>
        </w:rPr>
        <w:t>Source of fuel basis cost (e.g., Henry Hub)</w:t>
      </w:r>
    </w:p>
    <w:p w14:paraId="24EFBCC8"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jc w:val="left"/>
        <w:rPr>
          <w:color w:val="000000"/>
        </w:rPr>
      </w:pPr>
      <w:r>
        <w:rPr>
          <w:color w:val="000000"/>
        </w:rPr>
        <w:t>Methodology for converting fuel basis cost to $/MMBtu.</w:t>
      </w:r>
    </w:p>
    <w:p w14:paraId="1C2A0C5D"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jc w:val="left"/>
        <w:rPr>
          <w:color w:val="000000"/>
        </w:rPr>
      </w:pPr>
      <w:r>
        <w:rPr>
          <w:color w:val="000000"/>
        </w:rPr>
        <w:t>Average BTU content of fuel (as fuel prices must be converted to $/MMBtu), if source does not describe a fixed BTU content.</w:t>
      </w:r>
    </w:p>
    <w:p w14:paraId="14291F1C" w14:textId="77777777" w:rsidR="00C54281" w:rsidRDefault="00C54281" w:rsidP="00DA3CE7">
      <w:pPr>
        <w:pStyle w:val="ListParagraph"/>
        <w:numPr>
          <w:ilvl w:val="0"/>
          <w:numId w:val="338"/>
        </w:numPr>
        <w:autoSpaceDE w:val="0"/>
        <w:autoSpaceDN w:val="0"/>
        <w:adjustRightInd w:val="0"/>
        <w:spacing w:before="120" w:line="300" w:lineRule="auto"/>
        <w:ind w:left="1260" w:right="18" w:hanging="540"/>
        <w:jc w:val="left"/>
        <w:rPr>
          <w:color w:val="000000"/>
        </w:rPr>
      </w:pPr>
      <w:r>
        <w:rPr>
          <w:color w:val="000000"/>
        </w:rPr>
        <w:t>Any additional information regarding pricing fuel cost including;</w:t>
      </w:r>
    </w:p>
    <w:p w14:paraId="089B280D" w14:textId="77777777" w:rsidR="00C54281" w:rsidRDefault="00C54281" w:rsidP="00DA3CE7">
      <w:pPr>
        <w:pStyle w:val="ListParagraph"/>
        <w:numPr>
          <w:ilvl w:val="2"/>
          <w:numId w:val="338"/>
        </w:numPr>
        <w:autoSpaceDE w:val="0"/>
        <w:autoSpaceDN w:val="0"/>
        <w:adjustRightInd w:val="0"/>
        <w:spacing w:before="120" w:line="300" w:lineRule="auto"/>
        <w:ind w:left="2160" w:right="18" w:hanging="360"/>
        <w:jc w:val="left"/>
        <w:rPr>
          <w:color w:val="000000"/>
        </w:rPr>
      </w:pPr>
      <w:r>
        <w:rPr>
          <w:color w:val="000000"/>
        </w:rPr>
        <w:t xml:space="preserve">Fuel cost uncertainty </w:t>
      </w:r>
    </w:p>
    <w:p w14:paraId="435C3B03" w14:textId="77777777" w:rsidR="00C54281" w:rsidRDefault="00C54281" w:rsidP="00DA3CE7">
      <w:pPr>
        <w:pStyle w:val="ListParagraph"/>
        <w:numPr>
          <w:ilvl w:val="2"/>
          <w:numId w:val="338"/>
        </w:numPr>
        <w:autoSpaceDE w:val="0"/>
        <w:autoSpaceDN w:val="0"/>
        <w:adjustRightInd w:val="0"/>
        <w:spacing w:before="120" w:line="300" w:lineRule="auto"/>
        <w:ind w:left="2160" w:right="18" w:hanging="360"/>
        <w:jc w:val="left"/>
        <w:rPr>
          <w:color w:val="000000"/>
        </w:rPr>
      </w:pPr>
      <w:r>
        <w:rPr>
          <w:color w:val="000000"/>
        </w:rPr>
        <w:t>When prices are revised</w:t>
      </w:r>
    </w:p>
    <w:p w14:paraId="4450B616" w14:textId="77777777" w:rsidR="00C54281" w:rsidRDefault="00C54281" w:rsidP="00DA3CE7">
      <w:pPr>
        <w:pStyle w:val="ListParagraph"/>
        <w:numPr>
          <w:ilvl w:val="2"/>
          <w:numId w:val="338"/>
        </w:numPr>
        <w:spacing w:before="120" w:line="300" w:lineRule="auto"/>
        <w:ind w:left="2160" w:hanging="360"/>
        <w:rPr>
          <w:color w:val="000000"/>
        </w:rPr>
      </w:pPr>
      <w:r>
        <w:rPr>
          <w:color w:val="000000"/>
        </w:rPr>
        <w:t>All additional charges</w:t>
      </w:r>
    </w:p>
    <w:p w14:paraId="67663538" w14:textId="77777777" w:rsidR="00C54281" w:rsidRPr="00E93C54" w:rsidRDefault="00C54281" w:rsidP="00DA3CE7">
      <w:pPr>
        <w:pStyle w:val="ListParagraph"/>
        <w:numPr>
          <w:ilvl w:val="0"/>
          <w:numId w:val="339"/>
        </w:numPr>
        <w:autoSpaceDE w:val="0"/>
        <w:autoSpaceDN w:val="0"/>
        <w:adjustRightInd w:val="0"/>
        <w:spacing w:before="240" w:after="240" w:line="300" w:lineRule="auto"/>
        <w:ind w:right="14" w:hanging="547"/>
      </w:pPr>
      <w:r w:rsidRPr="00E93C54">
        <w:t>Please include, for each fuel, any additional costs related to fuel or fuel handling.</w:t>
      </w:r>
    </w:p>
    <w:p w14:paraId="57148D45" w14:textId="77777777" w:rsidR="00C54281" w:rsidRPr="00E93C54" w:rsidRDefault="00C54281" w:rsidP="00DA3CE7">
      <w:pPr>
        <w:pStyle w:val="ListParagraph"/>
        <w:numPr>
          <w:ilvl w:val="0"/>
          <w:numId w:val="339"/>
        </w:numPr>
        <w:autoSpaceDE w:val="0"/>
        <w:autoSpaceDN w:val="0"/>
        <w:adjustRightInd w:val="0"/>
        <w:spacing w:before="240" w:after="240" w:line="300" w:lineRule="auto"/>
        <w:ind w:right="14" w:hanging="547"/>
      </w:pPr>
      <w:r w:rsidRPr="00E93C54">
        <w:rPr>
          <w:spacing w:val="10"/>
          <w:kern w:val="20"/>
        </w:rPr>
        <w:t>Unless CO2e emissions costs are included elsewhere in a GHG adder, (see Section D13.1) for SO2 / NOx / CO2 Emission Allowance Costs,</w:t>
      </w:r>
      <w:r w:rsidRPr="00E93C54">
        <w:rPr>
          <w:bCs/>
        </w:rPr>
        <w:t xml:space="preserve"> p</w:t>
      </w:r>
      <w:r w:rsidRPr="00E93C54">
        <w:t>lease include:</w:t>
      </w:r>
    </w:p>
    <w:p w14:paraId="4A7C676F" w14:textId="77777777" w:rsidR="00C54281" w:rsidRPr="00E93C54"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Units with emission allowance costs</w:t>
      </w:r>
    </w:p>
    <w:p w14:paraId="2198DF39" w14:textId="77777777" w:rsidR="00C54281" w:rsidRPr="00E93C54"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How emission data is collected</w:t>
      </w:r>
    </w:p>
    <w:p w14:paraId="00B855A4" w14:textId="77777777" w:rsidR="00C54281" w:rsidRPr="00E93C54"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How emission allowance is calculated in $/MMBtu</w:t>
      </w:r>
    </w:p>
    <w:p w14:paraId="3ABA3671" w14:textId="77777777" w:rsidR="00C54281" w:rsidRPr="00E93C54"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Source of emission costs</w:t>
      </w:r>
    </w:p>
    <w:p w14:paraId="14C759EE" w14:textId="77777777" w:rsidR="00C54281" w:rsidRPr="00E93C54"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When costs are updated</w:t>
      </w:r>
    </w:p>
    <w:p w14:paraId="3ED1CC56" w14:textId="77777777" w:rsidR="00C54281" w:rsidRDefault="00C54281" w:rsidP="00DA3CE7">
      <w:pPr>
        <w:pStyle w:val="ListParagraph"/>
        <w:numPr>
          <w:ilvl w:val="0"/>
          <w:numId w:val="340"/>
        </w:numPr>
        <w:autoSpaceDE w:val="0"/>
        <w:autoSpaceDN w:val="0"/>
        <w:adjustRightInd w:val="0"/>
        <w:spacing w:before="120" w:line="300" w:lineRule="auto"/>
        <w:ind w:left="1260" w:right="14" w:hanging="540"/>
        <w:jc w:val="left"/>
      </w:pPr>
      <w:r w:rsidRPr="00E93C54">
        <w:t xml:space="preserve">For an ESR, the Settlement Location described in D.12 and whether or not the Round-Trip Efficiency is as designed or actual as described in D.12.1. </w:t>
      </w:r>
      <w:r>
        <w:t xml:space="preserve"> </w:t>
      </w:r>
    </w:p>
    <w:p w14:paraId="1198E705" w14:textId="3A15FB04" w:rsidR="00C54281" w:rsidRDefault="00690F95" w:rsidP="00E679DC">
      <w:pPr>
        <w:pStyle w:val="Heading471"/>
      </w:pPr>
      <w:bookmarkStart w:id="11370" w:name="_Ref340739675"/>
      <w:bookmarkStart w:id="11371" w:name="_Toc351019737"/>
      <w:bookmarkStart w:id="11372" w:name="_Toc363483283"/>
      <w:bookmarkStart w:id="11373" w:name="_Toc131493413"/>
      <w:bookmarkStart w:id="11374" w:name="_Toc213772263"/>
      <w:r>
        <w:t>D.2.5.1</w:t>
      </w:r>
      <w:r>
        <w:tab/>
      </w:r>
      <w:r w:rsidR="00575B8A">
        <w:tab/>
      </w:r>
      <w:r w:rsidR="00C54281">
        <w:t xml:space="preserve"> Modifications to Fuel Cost Policies</w:t>
      </w:r>
      <w:bookmarkEnd w:id="11370"/>
      <w:bookmarkEnd w:id="11371"/>
      <w:bookmarkEnd w:id="11372"/>
      <w:bookmarkEnd w:id="11373"/>
      <w:bookmarkEnd w:id="11374"/>
    </w:p>
    <w:p w14:paraId="31E3743F" w14:textId="3417728E" w:rsidR="00C54281" w:rsidRDefault="00C54281" w:rsidP="00C54281">
      <w:pPr>
        <w:pStyle w:val="Normal120"/>
        <w:jc w:val="both"/>
        <w:rPr>
          <w:rFonts w:cs="Times New (W1)"/>
        </w:rPr>
      </w:pPr>
      <w:r>
        <w:t xml:space="preserve">A request to change the method of calculation of fuel cost must be submitted to the Market Monitor for evaluation pursuant to the Mitigated Offer </w:t>
      </w:r>
      <w:r w:rsidR="00692523">
        <w:t>Development</w:t>
      </w:r>
      <w:r>
        <w:t xml:space="preserve"> Methodology Approval Process in advance of the proposed change (this is referred to below as “the proposed change</w:t>
      </w:r>
      <w:r>
        <w:rPr>
          <w:rFonts w:ascii="Cambria Math" w:hAnsi="Cambria Math" w:cs="Cambria Math"/>
        </w:rPr>
        <w:t>”</w:t>
      </w:r>
      <w:r>
        <w:rPr>
          <w:rFonts w:cs="Times New (W1)"/>
        </w:rPr>
        <w:t xml:space="preserve">).  </w:t>
      </w:r>
    </w:p>
    <w:p w14:paraId="7DEF6F06" w14:textId="71C9EC50" w:rsidR="00C54281" w:rsidRDefault="00C54281" w:rsidP="00C54281">
      <w:pPr>
        <w:pStyle w:val="Normal120"/>
        <w:jc w:val="both"/>
      </w:pPr>
      <w:r>
        <w:t>The Market Participant and the Market Monitor will discuss the proposed change and the Market Participant will provide documentation supporting its request to the Market Monitor.  The Market Monitor will provide an initial response to the Market Participant in writing within</w:t>
      </w:r>
      <w:r w:rsidR="00A777C0">
        <w:t xml:space="preserve"> fifteen</w:t>
      </w:r>
      <w:r>
        <w:t xml:space="preserve"> </w:t>
      </w:r>
      <w:r w:rsidR="00571679">
        <w:t>(</w:t>
      </w:r>
      <w:r>
        <w:t>15</w:t>
      </w:r>
      <w:r w:rsidR="00571679">
        <w:t>)</w:t>
      </w:r>
      <w:r>
        <w:t xml:space="preserve"> days of the Market Participant’s submission of the request to the Market Monitor, indicating its agreement with the request or areas of concern pursuant to the Mitigated Offer </w:t>
      </w:r>
      <w:r w:rsidR="00692523">
        <w:t>Development</w:t>
      </w:r>
      <w:r>
        <w:t xml:space="preserve"> Methodology Approval Process.  The changed method of calculation may be implemented immediately upon final approval pursuant to the Mitigated Offer </w:t>
      </w:r>
      <w:r w:rsidR="00692523">
        <w:t>Development</w:t>
      </w:r>
      <w:r>
        <w:t xml:space="preserve"> Methodology Approval Process.  </w:t>
      </w:r>
    </w:p>
    <w:p w14:paraId="658326B9" w14:textId="193C89E5" w:rsidR="00C54281" w:rsidRDefault="00690F95" w:rsidP="00E679DC">
      <w:pPr>
        <w:pStyle w:val="Heading471"/>
      </w:pPr>
      <w:bookmarkStart w:id="11375" w:name="_Toc351019738"/>
      <w:bookmarkStart w:id="11376" w:name="_Toc363483284"/>
      <w:bookmarkStart w:id="11377" w:name="_Toc131493414"/>
      <w:bookmarkStart w:id="11378" w:name="_Toc213772264"/>
      <w:r>
        <w:t>D.2.5.2</w:t>
      </w:r>
      <w:r>
        <w:tab/>
      </w:r>
      <w:r w:rsidR="00575B8A">
        <w:tab/>
      </w:r>
      <w:r w:rsidR="00C54281">
        <w:t>Fuel Cost Calculation</w:t>
      </w:r>
      <w:bookmarkEnd w:id="11375"/>
      <w:bookmarkEnd w:id="11376"/>
      <w:bookmarkEnd w:id="11377"/>
      <w:bookmarkEnd w:id="11378"/>
    </w:p>
    <w:p w14:paraId="7371769F" w14:textId="09CE52F3" w:rsidR="00C54281" w:rsidRDefault="00C54281" w:rsidP="00C54281">
      <w:pPr>
        <w:pStyle w:val="Normal120"/>
        <w:jc w:val="both"/>
      </w:pPr>
      <w:r>
        <w:t xml:space="preserve">The method of calculation of fuel cost may include the use of actual fuel prices paid, </w:t>
      </w:r>
      <w:r w:rsidR="000D67D4">
        <w:t>(</w:t>
      </w:r>
      <w:r>
        <w:t>e.g.</w:t>
      </w:r>
      <w:r w:rsidR="000D67D4">
        <w:t>,</w:t>
      </w:r>
      <w:r>
        <w:t xml:space="preserve"> the contract price paid for fuel, or the spot price for fuel</w:t>
      </w:r>
      <w:r w:rsidR="008561CE">
        <w:t>)</w:t>
      </w:r>
      <w:r>
        <w:t xml:space="preserve">.  The fuel cost may also include a fuel cost uncertainty amount based on historical variance between actual fuel cost and estimated fuel cost at the time the </w:t>
      </w:r>
      <w:r w:rsidR="00AD4218">
        <w:t>O</w:t>
      </w:r>
      <w:r>
        <w:t xml:space="preserve">ffers were submitted.  The contract price for fuel must include the locational cost of fuel for the generating Resource.  The source used for spot price for fuel must be publicly available and reflect the locational cost of fuel for the generating Resource.  The locational cost of fuel must include specification of any additional incremental costs of delivery for the generating Resource.  </w:t>
      </w:r>
    </w:p>
    <w:p w14:paraId="62E0B5C9" w14:textId="2FCA1432" w:rsidR="00C54281" w:rsidRDefault="00C54281" w:rsidP="00C54281">
      <w:pPr>
        <w:pStyle w:val="Normal120"/>
        <w:jc w:val="both"/>
      </w:pPr>
      <w:r>
        <w:t>Each Market Participant will be responsible for establishing its own method of calculating delivered fossil fuel cost, limited to inventoried cost, replacement cost</w:t>
      </w:r>
      <w:r w:rsidR="00AD4218">
        <w:t>,</w:t>
      </w:r>
      <w:r>
        <w:t xml:space="preserve"> or a combination thereof, that reflects the way fuel is purchased or scheduled for purchase.  </w:t>
      </w:r>
    </w:p>
    <w:p w14:paraId="61AABBF4" w14:textId="4B50F936" w:rsidR="00C54281" w:rsidRDefault="00C54281" w:rsidP="00C54281">
      <w:pPr>
        <w:pStyle w:val="Normal120"/>
        <w:jc w:val="both"/>
      </w:pPr>
      <w:r>
        <w:t xml:space="preserve">The Market Participant must submit any changes to the method of calculation to the Market Monitor with supporting documentation.  The Market Monitor will review the changes.  If the Market Monitor has concern over any such proposed changes, it will hold discussions with the Market Participant to mitigate concerns. The method of calculation may only be changed by receipt of final approval pursuant to the Mitigated Offer </w:t>
      </w:r>
      <w:r w:rsidR="00692523">
        <w:t xml:space="preserve">Development </w:t>
      </w:r>
      <w:r>
        <w:t xml:space="preserve">Methodology Approval Process in advance of the proposed change.  </w:t>
      </w:r>
    </w:p>
    <w:p w14:paraId="6DF97AF8" w14:textId="632C500E" w:rsidR="00C54281" w:rsidRDefault="00C54281" w:rsidP="00C54281">
      <w:pPr>
        <w:pStyle w:val="Normal120"/>
        <w:jc w:val="both"/>
      </w:pPr>
      <w:r>
        <w:t xml:space="preserve">Fossil fuel cost adjustments compensating for previous estimate inaccuracies should not be considered when determining the basic fuel cost component of Total Fuel Related Cost described under Section </w:t>
      </w:r>
      <w:r w:rsidRPr="007F4172">
        <w:fldChar w:fldCharType="begin"/>
      </w:r>
      <w:r w:rsidRPr="007F4172">
        <w:instrText xml:space="preserve"> REF _Ref424196144 \r \h  \* MERGEFORMAT </w:instrText>
      </w:r>
      <w:r w:rsidRPr="007F4172">
        <w:fldChar w:fldCharType="separate"/>
      </w:r>
      <w:r w:rsidRPr="007F4172">
        <w:t>D.2.5.2</w:t>
      </w:r>
      <w:r w:rsidRPr="007F4172">
        <w:fldChar w:fldCharType="end"/>
      </w:r>
      <w:r>
        <w:t xml:space="preserve">.  </w:t>
      </w:r>
    </w:p>
    <w:p w14:paraId="16EF7B8D" w14:textId="77777777" w:rsidR="00C54281" w:rsidRDefault="00C54281" w:rsidP="00C54281">
      <w:pPr>
        <w:pStyle w:val="Normal120"/>
        <w:jc w:val="both"/>
      </w:pPr>
      <w:r>
        <w:t>Each Market Participant must review and document their historical fuel costs at least once per month (12 times per year).  Additionally, each review must occur within sixty-five (65) days of the end of the reporting month.  The results of this review will be used to determine whether a fuel cost update is necessary.  The documentation of fuel costs must be filed via the Market Monitor website.</w:t>
      </w:r>
    </w:p>
    <w:p w14:paraId="7C6382A5" w14:textId="7C756AA6" w:rsidR="00C54281" w:rsidRDefault="00690F95" w:rsidP="00E679DC">
      <w:pPr>
        <w:pStyle w:val="Heading471"/>
      </w:pPr>
      <w:bookmarkStart w:id="11379" w:name="_Toc351019739"/>
      <w:bookmarkStart w:id="11380" w:name="_Toc363483285"/>
      <w:bookmarkStart w:id="11381" w:name="_Ref424196144"/>
      <w:bookmarkStart w:id="11382" w:name="_Ref424294338"/>
      <w:bookmarkStart w:id="11383" w:name="_Toc131493415"/>
      <w:bookmarkStart w:id="11384" w:name="_Toc213772265"/>
      <w:r>
        <w:t>D.2.5.3</w:t>
      </w:r>
      <w:r w:rsidR="00575B8A">
        <w:tab/>
      </w:r>
      <w:r>
        <w:tab/>
      </w:r>
      <w:r w:rsidR="00C54281">
        <w:t>Total Fuel Related Costs</w:t>
      </w:r>
      <w:bookmarkEnd w:id="11379"/>
      <w:bookmarkEnd w:id="11380"/>
      <w:bookmarkEnd w:id="11381"/>
      <w:bookmarkEnd w:id="11382"/>
      <w:bookmarkEnd w:id="11383"/>
      <w:bookmarkEnd w:id="11384"/>
    </w:p>
    <w:p w14:paraId="1097FD83" w14:textId="33A2822A" w:rsidR="00C54281" w:rsidRDefault="00C54281" w:rsidP="00C54281">
      <w:pPr>
        <w:pStyle w:val="Normal120"/>
        <w:jc w:val="both"/>
      </w:pPr>
      <w:r>
        <w:rPr>
          <w:b/>
        </w:rPr>
        <w:t>Total Fuel Related Cost</w:t>
      </w:r>
      <w:r>
        <w:t xml:space="preserve"> (TFRC) is the sum of basic fuel cost, other fuel related cost, emission allowance cost, and variable operation and maintenance (VOM) cost.</w:t>
      </w:r>
    </w:p>
    <w:p w14:paraId="31E550F3" w14:textId="77777777" w:rsidR="00C54281" w:rsidRDefault="00C54281" w:rsidP="00C54281">
      <w:r>
        <w:t xml:space="preserve">  </w:t>
      </w:r>
      <m:oMath>
        <m:r>
          <w:rPr>
            <w:rFonts w:ascii="Cambria Math" w:hAnsi="Cambria Math"/>
          </w:rPr>
          <m:t>Total Fuel Related Costs ($/MMBtu)=</m:t>
        </m:r>
      </m:oMath>
    </w:p>
    <w:p w14:paraId="455F4342" w14:textId="77777777" w:rsidR="00C54281" w:rsidRDefault="0002195B" w:rsidP="00C54281">
      <m:oMathPara>
        <m:oMathParaPr>
          <m:jc m:val="center"/>
        </m:oMathParaPr>
        <m:oMath>
          <m:r>
            <w:rPr>
              <w:rFonts w:ascii="Cambria Math" w:hAnsi="Cambria Math"/>
            </w:rPr>
            <m:t>basic fuel costs</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+other fuel related costs</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Allowance cost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Allowance cost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Allowance cost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 xml:space="preserve">+ TFRC VOM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oMath>
      </m:oMathPara>
    </w:p>
    <w:p w14:paraId="72A411AA" w14:textId="77777777" w:rsidR="00C54281" w:rsidRDefault="00C54281" w:rsidP="00C54281">
      <w:pPr>
        <w:pStyle w:val="Normal120"/>
        <w:jc w:val="both"/>
      </w:pPr>
    </w:p>
    <w:p w14:paraId="1B46AD08" w14:textId="67583582" w:rsidR="00C54281" w:rsidRDefault="00C54281" w:rsidP="00C54281">
      <w:pPr>
        <w:pStyle w:val="Normal120"/>
        <w:jc w:val="both"/>
      </w:pPr>
      <w:r>
        <w:t>The other fuel-related cost components of TFRC may be calculated based on an average of short-run variable costs for each such component for a period of one</w:t>
      </w:r>
      <w:r w:rsidR="009438E2">
        <w:t xml:space="preserve"> (1)</w:t>
      </w:r>
      <w:r>
        <w:t xml:space="preserve"> year or less, reviewed and updated annually, or based on a rolling twelve-month average, reviewed and updated monthly.  Both the term and the frequency of the other fuel-related costs calculation must be included in the Market Participant’s fuel cost policy.  </w:t>
      </w:r>
    </w:p>
    <w:p w14:paraId="0168D291" w14:textId="4BCF5D6C" w:rsidR="00C54281" w:rsidRDefault="00C54281" w:rsidP="00C54281">
      <w:pPr>
        <w:pStyle w:val="Normal120"/>
        <w:jc w:val="both"/>
      </w:pPr>
      <w:r>
        <w:t xml:space="preserve">The TFRC VOM is calculated using an allocated portion of the total VOM calculated under Section </w:t>
      </w:r>
      <w:r>
        <w:fldChar w:fldCharType="begin"/>
      </w:r>
      <w:r>
        <w:instrText xml:space="preserve"> REF _Ref342658889 \r \h  \* MERGEFORMAT </w:instrText>
      </w:r>
      <w:r>
        <w:fldChar w:fldCharType="separate"/>
      </w:r>
      <w:r>
        <w:t>D.2.4</w:t>
      </w:r>
      <w:r>
        <w:fldChar w:fldCharType="end"/>
      </w:r>
      <w:r>
        <w:t xml:space="preserve">.  Note that the sum of total allocated $ used to calculate TFRC VOM included here, the allocated VOM $ used to calculate Energy Offer Curve VOM under Section </w:t>
      </w:r>
      <w:r>
        <w:fldChar w:fldCharType="begin"/>
      </w:r>
      <w:r>
        <w:instrText xml:space="preserve"> REF _Ref345321173 \r \h  \* MERGEFORMAT </w:instrText>
      </w:r>
      <w:r>
        <w:fldChar w:fldCharType="separate"/>
      </w:r>
      <w:r>
        <w:t>D.2.6</w:t>
      </w:r>
      <w:r>
        <w:fldChar w:fldCharType="end"/>
      </w:r>
      <w:r>
        <w:t xml:space="preserve">, the allocated VOM $ used to calculate </w:t>
      </w:r>
      <w:r w:rsidR="00D27E69">
        <w:t>n</w:t>
      </w:r>
      <w:r>
        <w:t>o-</w:t>
      </w:r>
      <w:r w:rsidR="00D27E69">
        <w:t>l</w:t>
      </w:r>
      <w:r>
        <w:t xml:space="preserve">oad VOM under </w:t>
      </w:r>
      <w:r>
        <w:fldChar w:fldCharType="begin"/>
      </w:r>
      <w:r>
        <w:instrText xml:space="preserve"> REF _Ref345314762 \r \h  \* MERGEFORMAT </w:instrText>
      </w:r>
      <w:r>
        <w:fldChar w:fldCharType="separate"/>
      </w:r>
      <w:r>
        <w:t>D.2.9</w:t>
      </w:r>
      <w:r>
        <w:fldChar w:fldCharType="end"/>
      </w:r>
      <w:r w:rsidR="00367351">
        <w:t xml:space="preserve"> and</w:t>
      </w:r>
      <w:r>
        <w:t xml:space="preserve"> the allocated VOM $ used to calculate Start-Up VOM under </w:t>
      </w:r>
      <w:r>
        <w:fldChar w:fldCharType="begin"/>
      </w:r>
      <w:r>
        <w:instrText xml:space="preserve"> REF _Ref343844373 \r \h  \* MERGEFORMAT </w:instrText>
      </w:r>
      <w:r>
        <w:fldChar w:fldCharType="separate"/>
      </w:r>
      <w:r>
        <w:t>D.2.8</w:t>
      </w:r>
      <w:r>
        <w:fldChar w:fldCharType="end"/>
      </w:r>
      <w:r>
        <w:t xml:space="preserve"> must not exceed the total VOM $ calculated under Section </w:t>
      </w:r>
      <w:r>
        <w:fldChar w:fldCharType="begin"/>
      </w:r>
      <w:r>
        <w:instrText xml:space="preserve"> REF _Ref342658889 \r \h  \* MERGEFORMAT </w:instrText>
      </w:r>
      <w:r>
        <w:fldChar w:fldCharType="separate"/>
      </w:r>
      <w:r>
        <w:t>D.2.4</w:t>
      </w:r>
      <w:r>
        <w:fldChar w:fldCharType="end"/>
      </w:r>
      <w:r>
        <w:t>.</w:t>
      </w:r>
    </w:p>
    <w:p w14:paraId="2D62C32B" w14:textId="77777777" w:rsidR="00C54281" w:rsidRDefault="00C54281" w:rsidP="00C54281">
      <w:pPr>
        <w:pStyle w:val="Normal120"/>
        <w:jc w:val="both"/>
      </w:pPr>
      <w:r>
        <w:t xml:space="preserve">Total Fuel Related Costs may vary between different Offer parameters to the extent that the differences can be quantified and demonstrated.  </w:t>
      </w:r>
    </w:p>
    <w:p w14:paraId="40E60ED5" w14:textId="6D3FC5DC" w:rsidR="00C54281" w:rsidRDefault="00690F95" w:rsidP="00E679DC">
      <w:pPr>
        <w:pStyle w:val="Heading471"/>
      </w:pPr>
      <w:bookmarkStart w:id="11385" w:name="_Toc351019740"/>
      <w:bookmarkStart w:id="11386" w:name="_Toc363483286"/>
      <w:bookmarkStart w:id="11387" w:name="_Ref424198874"/>
      <w:bookmarkStart w:id="11388" w:name="_Toc131493416"/>
      <w:bookmarkStart w:id="11389" w:name="_Toc213772266"/>
      <w:r>
        <w:t>D.2.5.4</w:t>
      </w:r>
      <w:r w:rsidR="00575B8A">
        <w:tab/>
      </w:r>
      <w:r>
        <w:tab/>
      </w:r>
      <w:r w:rsidR="00C54281">
        <w:t>Types of Fuel Costs</w:t>
      </w:r>
      <w:bookmarkEnd w:id="11385"/>
      <w:bookmarkEnd w:id="11386"/>
      <w:bookmarkEnd w:id="11387"/>
      <w:bookmarkEnd w:id="11388"/>
      <w:bookmarkEnd w:id="11389"/>
    </w:p>
    <w:p w14:paraId="54D3C7EC" w14:textId="77777777" w:rsidR="00C54281" w:rsidRDefault="00C54281" w:rsidP="00C54281">
      <w:pPr>
        <w:pStyle w:val="Normal120"/>
        <w:jc w:val="both"/>
      </w:pPr>
      <w:r>
        <w:rPr>
          <w:b/>
        </w:rPr>
        <w:t>Basic fuel cost</w:t>
      </w:r>
      <w:r>
        <w:t xml:space="preserve"> is the commodity cost of fuel calculated as stated in the company’s fuel cost policy.  </w:t>
      </w:r>
    </w:p>
    <w:p w14:paraId="5BA99647" w14:textId="77777777" w:rsidR="00C54281" w:rsidRDefault="00C54281" w:rsidP="00C54281">
      <w:pPr>
        <w:pStyle w:val="IntenseQuote"/>
        <w:jc w:val="both"/>
      </w:pPr>
      <w:r>
        <w:t xml:space="preserve">NOTE: Basic Fuel Cost for each Resource type will be addressed in subsequent sections.  </w:t>
      </w:r>
    </w:p>
    <w:p w14:paraId="13F71111" w14:textId="364D4642" w:rsidR="00C54281" w:rsidRDefault="00C54281" w:rsidP="00C54281">
      <w:pPr>
        <w:pStyle w:val="Normal120"/>
        <w:jc w:val="both"/>
      </w:pPr>
      <w:r>
        <w:rPr>
          <w:b/>
        </w:rPr>
        <w:t>Other fuel related cost</w:t>
      </w:r>
      <w:r>
        <w:t xml:space="preserve"> includes the additional incremental components of fuel cost required to operate a generating Resource, such as transportation fees, taxes on fuel</w:t>
      </w:r>
      <w:r w:rsidR="00F157C3">
        <w:t>,</w:t>
      </w:r>
      <w:r>
        <w:t xml:space="preserve"> and water injection</w:t>
      </w:r>
      <w:r w:rsidR="00844BDE">
        <w:t xml:space="preserve"> costs</w:t>
      </w:r>
      <w:r>
        <w:t>.</w:t>
      </w:r>
    </w:p>
    <w:p w14:paraId="0856628A" w14:textId="6B29F461" w:rsidR="00C54281" w:rsidRDefault="00690F95" w:rsidP="00E679DC">
      <w:pPr>
        <w:pStyle w:val="Heading471"/>
      </w:pPr>
      <w:bookmarkStart w:id="11390" w:name="_Ref340739761"/>
      <w:bookmarkStart w:id="11391" w:name="_Toc351019741"/>
      <w:bookmarkStart w:id="11392" w:name="_Toc363483287"/>
      <w:bookmarkStart w:id="11393" w:name="_Ref424199176"/>
      <w:bookmarkStart w:id="11394" w:name="_Toc131493417"/>
      <w:bookmarkStart w:id="11395" w:name="_Toc213772267"/>
      <w:r>
        <w:t>D.2.5.5</w:t>
      </w:r>
      <w:r>
        <w:tab/>
      </w:r>
      <w:r w:rsidR="00575B8A">
        <w:tab/>
      </w:r>
      <w:r w:rsidR="00C54281">
        <w:t>Emission Allowances</w:t>
      </w:r>
      <w:bookmarkEnd w:id="11390"/>
      <w:bookmarkEnd w:id="11391"/>
      <w:bookmarkEnd w:id="11392"/>
      <w:bookmarkEnd w:id="11393"/>
      <w:bookmarkEnd w:id="11394"/>
      <w:bookmarkEnd w:id="11395"/>
    </w:p>
    <w:p w14:paraId="750F05CC" w14:textId="77777777" w:rsidR="00C54281" w:rsidRDefault="00C54281" w:rsidP="00C54281">
      <w:pPr>
        <w:pStyle w:val="Normal120"/>
        <w:jc w:val="both"/>
      </w:pPr>
      <w:r>
        <w:t>Market Participants with Resources that require SO</w:t>
      </w:r>
      <w:r>
        <w:rPr>
          <w:vertAlign w:val="subscript"/>
        </w:rPr>
        <w:t>2</w:t>
      </w:r>
      <w:r>
        <w:t>, CO</w:t>
      </w:r>
      <w:r>
        <w:rPr>
          <w:vertAlign w:val="subscript"/>
        </w:rPr>
        <w:t>2</w:t>
      </w:r>
      <w:r>
        <w:t>, NO</w:t>
      </w:r>
      <w:r>
        <w:rPr>
          <w:vertAlign w:val="subscript"/>
        </w:rPr>
        <w:t xml:space="preserve">X, </w:t>
      </w:r>
      <w:r>
        <w:t>or other types of emission allowances (EAs), as dictated by regulatory bodies, to operate may include in the Resource’s TFRC the cost (</w:t>
      </w:r>
      <w:r>
        <w:rPr>
          <w:i/>
        </w:rPr>
        <w:t>$/MMBtu</w:t>
      </w:r>
      <w:r>
        <w:t xml:space="preserve">) of the EAs as determined in the Market Participant’s allowance cost policy.  </w:t>
      </w:r>
    </w:p>
    <w:p w14:paraId="5C5E4FC1" w14:textId="4604F418" w:rsidR="00C54281" w:rsidRDefault="00C54281" w:rsidP="00C54281">
      <w:pPr>
        <w:pStyle w:val="Normal120"/>
        <w:jc w:val="both"/>
      </w:pPr>
      <w:r>
        <w:t>If a Market Participant includes Emission Allowances as components of TFRC, the Market Participant must submit with their cost policy its method of determining the cost of SO</w:t>
      </w:r>
      <w:r>
        <w:rPr>
          <w:vertAlign w:val="subscript"/>
        </w:rPr>
        <w:t>2</w:t>
      </w:r>
      <w:r>
        <w:t>, CO</w:t>
      </w:r>
      <w:r>
        <w:rPr>
          <w:vertAlign w:val="subscript"/>
        </w:rPr>
        <w:t>2</w:t>
      </w:r>
      <w:r>
        <w:t>, NO</w:t>
      </w:r>
      <w:r>
        <w:rPr>
          <w:vertAlign w:val="subscript"/>
        </w:rPr>
        <w:t xml:space="preserve">X, </w:t>
      </w:r>
      <w:r>
        <w:t xml:space="preserve">or other type of EA for evaluation pursuant to the Mitigated Offer </w:t>
      </w:r>
      <w:r w:rsidR="00692523">
        <w:t xml:space="preserve">Development </w:t>
      </w:r>
      <w:r>
        <w:t xml:space="preserve">Methodology Approval Process.  An example of the calculation method must be included in the policy.  Any changes to the method of calculation may be changed only after approval pursuant to the Mitigated Offer </w:t>
      </w:r>
      <w:r w:rsidR="00692523">
        <w:t xml:space="preserve">Development </w:t>
      </w:r>
      <w:r>
        <w:t xml:space="preserve">Methodology Approval Process.  </w:t>
      </w:r>
    </w:p>
    <w:p w14:paraId="292687A4" w14:textId="77777777" w:rsidR="00C54281" w:rsidRDefault="00C54281" w:rsidP="00C54281">
      <w:pPr>
        <w:pStyle w:val="Normal120"/>
        <w:jc w:val="both"/>
      </w:pPr>
      <w:r>
        <w:t>The period used for determining the projected SO</w:t>
      </w:r>
      <w:r>
        <w:rPr>
          <w:vertAlign w:val="subscript"/>
        </w:rPr>
        <w:t>2</w:t>
      </w:r>
      <w:r>
        <w:t>, CO</w:t>
      </w:r>
      <w:r>
        <w:rPr>
          <w:vertAlign w:val="subscript"/>
        </w:rPr>
        <w:t>2</w:t>
      </w:r>
      <w:r>
        <w:t>, NO</w:t>
      </w:r>
      <w:r>
        <w:rPr>
          <w:vertAlign w:val="subscript"/>
        </w:rPr>
        <w:t xml:space="preserve">X, </w:t>
      </w:r>
      <w:r>
        <w:t xml:space="preserve">or other type of emission discharge and the MMBTUs burned must be included in the Market Participant’s allowance cost policy and may be based on historical or projected data.  </w:t>
      </w:r>
    </w:p>
    <w:p w14:paraId="462E60F7" w14:textId="33868B1C" w:rsidR="00C54281" w:rsidRDefault="00C54281" w:rsidP="00C54281">
      <w:pPr>
        <w:pStyle w:val="Normal120"/>
        <w:jc w:val="both"/>
      </w:pPr>
      <w:r>
        <w:t>For Resources that have dual fuel firing capability, a Market Participant should use different EA factors based on the SO</w:t>
      </w:r>
      <w:r>
        <w:rPr>
          <w:vertAlign w:val="subscript"/>
        </w:rPr>
        <w:t>2</w:t>
      </w:r>
      <w:r>
        <w:t>, CO</w:t>
      </w:r>
      <w:r>
        <w:rPr>
          <w:vertAlign w:val="subscript"/>
        </w:rPr>
        <w:t>2</w:t>
      </w:r>
      <w:r>
        <w:t>, NO</w:t>
      </w:r>
      <w:r>
        <w:rPr>
          <w:vertAlign w:val="subscript"/>
        </w:rPr>
        <w:t xml:space="preserve">X, </w:t>
      </w:r>
      <w:r>
        <w:t xml:space="preserve">or other type of emission emitted for each particular fuel or fuel mix.  </w:t>
      </w:r>
    </w:p>
    <w:p w14:paraId="7C4ABB05" w14:textId="77777777" w:rsidR="00C54281" w:rsidRDefault="00C54281" w:rsidP="00C54281">
      <w:pPr>
        <w:pStyle w:val="Normal120"/>
        <w:jc w:val="both"/>
      </w:pPr>
      <w:r>
        <w:t xml:space="preserve">Emissions costs will be included in TFRC only during the emission compliance period and only by Resources subject to compliance requirements.  Details of the cost calculation methodology and example calculations will be contained in each Market Participant’s allowance cost policy.  Compliance requirements and dates may vary by geographic region.  Those Market Participants not incorporating emissions costs in their TFRC will be exempt from the requirements of this Section D 2.5.5.  </w:t>
      </w:r>
    </w:p>
    <w:p w14:paraId="59F5A01B" w14:textId="52BDA4BC" w:rsidR="00C54281" w:rsidRDefault="00690F95" w:rsidP="00E679DC">
      <w:pPr>
        <w:pStyle w:val="Heading471"/>
      </w:pPr>
      <w:bookmarkStart w:id="11396" w:name="_Toc351019742"/>
      <w:bookmarkStart w:id="11397" w:name="_Toc363483288"/>
      <w:bookmarkStart w:id="11398" w:name="_Ref424199091"/>
      <w:bookmarkStart w:id="11399" w:name="_Ref424199162"/>
      <w:bookmarkStart w:id="11400" w:name="_Toc131493418"/>
      <w:bookmarkStart w:id="11401" w:name="_Toc213772268"/>
      <w:r>
        <w:t>D.2.5.6</w:t>
      </w:r>
      <w:r>
        <w:tab/>
      </w:r>
      <w:r w:rsidR="00C54281">
        <w:t xml:space="preserve"> </w:t>
      </w:r>
      <w:r w:rsidR="00575B8A">
        <w:tab/>
      </w:r>
      <w:r w:rsidR="00C54281">
        <w:t>Variable Fuel Transportation Equipment</w:t>
      </w:r>
      <w:bookmarkEnd w:id="11396"/>
      <w:bookmarkEnd w:id="11397"/>
      <w:bookmarkEnd w:id="11398"/>
      <w:bookmarkEnd w:id="11399"/>
      <w:bookmarkEnd w:id="11400"/>
      <w:bookmarkEnd w:id="11401"/>
    </w:p>
    <w:p w14:paraId="3F0C1E39" w14:textId="417BA449" w:rsidR="00C54281" w:rsidRDefault="00C54281" w:rsidP="00C54281">
      <w:pPr>
        <w:pStyle w:val="Normal120"/>
        <w:jc w:val="both"/>
      </w:pPr>
      <w:r>
        <w:t>When calculating the Total Fuel Related Costs, fixed charges for transportation equipment (e.g.</w:t>
      </w:r>
      <w:r w:rsidR="00714E47">
        <w:t>,</w:t>
      </w:r>
      <w:r>
        <w:t xml:space="preserve"> pipelines, train cars, and barges) should be excluded.  Dollars that represent lease charges are considered fixed charges if the total amount to be paid over a period is fixed regardless of the amount of fuel transported.  Should the terms of the lease or transportation agreement be such that there is a fixed charge plus a charge for the amount of fuel delivered, the “charge per unit of fuel delivered” should be included in the Fuel on Board (FOB) delivered cost or in the calculation of the “other fuel related costs” as per the documented fuel pricing policy.  </w:t>
      </w:r>
    </w:p>
    <w:p w14:paraId="4EF0588F" w14:textId="77777777" w:rsidR="00C54281" w:rsidRDefault="00C54281" w:rsidP="00C54281">
      <w:pPr>
        <w:pStyle w:val="Normal120"/>
        <w:jc w:val="both"/>
      </w:pPr>
      <w:r>
        <w:t xml:space="preserve">The above guideline applies when a Resource, plant, or system is served totally by leased fuel transportation equipment or fuel transportation contracts.  When fuel is supplied by both leased and common carrier fuel transportation systems, the common carrier rate should be included in the FOB delivered cost or included in the calculation of the “other fuel related costs” as per the documented fuel pricing policy of each Market Participant.  </w:t>
      </w:r>
    </w:p>
    <w:p w14:paraId="75823658" w14:textId="6BFCB25A" w:rsidR="00C54281" w:rsidRDefault="00690F95" w:rsidP="00781C61">
      <w:pPr>
        <w:pStyle w:val="3Appx3"/>
        <w:numPr>
          <w:ilvl w:val="0"/>
          <w:numId w:val="0"/>
        </w:numPr>
      </w:pPr>
      <w:bookmarkStart w:id="11402" w:name="_Ref342658889"/>
      <w:bookmarkStart w:id="11403" w:name="_Toc351019743"/>
      <w:bookmarkStart w:id="11404" w:name="_Toc363483289"/>
      <w:bookmarkStart w:id="11405" w:name="_Toc131493419"/>
      <w:bookmarkStart w:id="11406" w:name="_Toc213772269"/>
      <w:r>
        <w:t>D.2.6</w:t>
      </w:r>
      <w:r>
        <w:tab/>
      </w:r>
      <w:r w:rsidR="00C54281">
        <w:t>Total Variable Operation and Maintenance Cost</w:t>
      </w:r>
      <w:bookmarkEnd w:id="11402"/>
      <w:bookmarkEnd w:id="11403"/>
      <w:bookmarkEnd w:id="11404"/>
      <w:bookmarkEnd w:id="11405"/>
      <w:bookmarkEnd w:id="11406"/>
    </w:p>
    <w:p w14:paraId="1F6BCA5A" w14:textId="77777777" w:rsidR="00C54281" w:rsidRDefault="00C54281" w:rsidP="00C54281">
      <w:pPr>
        <w:pStyle w:val="Normal120"/>
        <w:jc w:val="both"/>
      </w:pPr>
      <w:r>
        <w:rPr>
          <w:b/>
        </w:rPr>
        <w:t>Total Variable Operation and Maintenance (VOM) costs</w:t>
      </w:r>
      <w:r>
        <w:t xml:space="preserve"> are the parts and labor expenses of maintaining equipment and facilities in satisfactory operating condition.  A Resource should reflect its short-run incremental VOM costs by using the most current data available. This could include the previous maintenance cycle period cost or actual short-run incremental cost where available.</w:t>
      </w:r>
    </w:p>
    <w:p w14:paraId="053EA641" w14:textId="77777777" w:rsidR="00C54281" w:rsidRDefault="00C54281" w:rsidP="00C54281"/>
    <w:p w14:paraId="4F7CD0FF" w14:textId="77777777" w:rsidR="00C54281" w:rsidRDefault="00C54281" w:rsidP="00C54281">
      <w:r>
        <w:t xml:space="preserve">  </w:t>
      </w:r>
      <w:bookmarkStart w:id="11407" w:name="_Toc350920266"/>
      <w:bookmarkStart w:id="11408" w:name="_Toc350954117"/>
      <w:bookmarkStart w:id="11409" w:name="_Toc350961392"/>
      <w:bookmarkStart w:id="11410" w:name="_Toc351021302"/>
      <w:bookmarkStart w:id="11411" w:name="_Toc351021745"/>
      <w:bookmarkEnd w:id="11407"/>
      <w:bookmarkEnd w:id="11408"/>
      <w:bookmarkEnd w:id="11409"/>
      <w:bookmarkEnd w:id="11410"/>
      <w:bookmarkEnd w:id="11411"/>
      <m:oMath>
        <m:sSub>
          <m:sSubPr>
            <m:ctrlPr>
              <w:rPr>
                <w:rFonts w:ascii="Cambria Math" w:hAnsi="Cambria Math"/>
                <w:i/>
              </w:rPr>
            </m:ctrlPr>
          </m:sSubPr>
          <m:e>
            <m:r>
              <w:rPr>
                <w:rFonts w:ascii="Cambria Math" w:hAnsi="Cambria Math"/>
              </w:rPr>
              <m:t>Total VOM</m:t>
            </m:r>
          </m:e>
          <m:sub/>
        </m:sSub>
        <m:d>
          <m:dPr>
            <m:ctrlPr>
              <w:rPr>
                <w:rFonts w:ascii="Cambria Math" w:hAnsi="Cambria Math"/>
                <w:i/>
              </w:rPr>
            </m:ctrlPr>
          </m:dPr>
          <m:e>
            <m:r>
              <w:rPr>
                <w:rFonts w:ascii="Cambria Math" w:hAnsi="Cambria Math"/>
              </w:rPr>
              <m:t>$</m:t>
            </m:r>
          </m:e>
        </m:d>
      </m:oMath>
      <w:r>
        <w:t xml:space="preserve"> =</w:t>
      </w:r>
    </w:p>
    <w:p w14:paraId="026AA81F" w14:textId="77777777" w:rsidR="00C54281" w:rsidRDefault="00977324" w:rsidP="00C54281">
      <m:oMathPara>
        <m:oMathParaPr>
          <m:jc m:val="center"/>
        </m:oMathParaP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Annual</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r>
                            <w:rPr>
                              <w:rFonts w:ascii="Cambria Math" w:hAnsi="Cambria Math"/>
                            </w:rPr>
                            <m:t>$</m:t>
                          </m:r>
                        </m:e>
                      </m:d>
                    </m:e>
                    <m:sub>
                      <m:r>
                        <w:rPr>
                          <w:rFonts w:ascii="Cambria Math" w:hAnsi="Cambria Math"/>
                        </w:rPr>
                        <m:t>current</m:t>
                      </m:r>
                      <m:r>
                        <w:rPr>
                          <w:rFonts w:ascii="Cambria Math" w:hAnsi="Cambria Math"/>
                        </w:rPr>
                        <m:t xml:space="preserve"> </m:t>
                      </m:r>
                      <m:r>
                        <w:rPr>
                          <w:rFonts w:ascii="Cambria Math" w:hAnsi="Cambria Math"/>
                        </w:rPr>
                        <m:t>year</m:t>
                      </m:r>
                      <m:r>
                        <w:rPr>
                          <w:rFonts w:ascii="Cambria Math" w:hAnsi="Cambria Math"/>
                          <w:vanish/>
                        </w:rPr>
                        <m:t>yurrent</m:t>
                      </m:r>
                      <m:r>
                        <w:rPr>
                          <w:rFonts w:ascii="Cambria Math" w:hAnsi="Cambria Math"/>
                          <w:vanish/>
                        </w:rPr>
                        <m:t xml:space="preserve"> </m:t>
                      </m:r>
                      <m:r>
                        <w:rPr>
                          <w:rFonts w:ascii="Cambria Math" w:hAnsi="Cambria Math"/>
                          <w:vanish/>
                        </w:rPr>
                        <m:t>ent</m:t>
                      </m:r>
                      <m:r>
                        <w:rPr>
                          <w:rFonts w:ascii="Cambria Math" w:hAnsi="Cambria Math"/>
                          <w:vanish/>
                        </w:rPr>
                        <m:t xml:space="preserve">  </m:t>
                      </m:r>
                      <m:r>
                        <w:rPr>
                          <w:rFonts w:ascii="Cambria Math" w:hAnsi="Cambria Math"/>
                          <w:vanish/>
                        </w:rPr>
                        <m:t>ssary</m:t>
                      </m:r>
                      <m:r>
                        <w:rPr>
                          <w:rFonts w:ascii="Cambria Math" w:hAnsi="Cambria Math"/>
                          <w:vanish/>
                        </w:rPr>
                        <m:t xml:space="preserve"> </m:t>
                      </m:r>
                      <m:r>
                        <w:rPr>
                          <w:rFonts w:ascii="Cambria Math" w:hAnsi="Cambria Math"/>
                          <w:vanish/>
                        </w:rPr>
                        <m:t>operating</m:t>
                      </m:r>
                      <m:r>
                        <w:rPr>
                          <w:rFonts w:ascii="Cambria Math" w:hAnsi="Cambria Math"/>
                          <w:vanish/>
                        </w:rPr>
                        <m:t xml:space="preserve"> </m:t>
                      </m:r>
                      <m:r>
                        <w:rPr>
                          <w:rFonts w:ascii="Cambria Math" w:hAnsi="Cambria Math"/>
                          <w:vanish/>
                        </w:rPr>
                        <m:t>reserves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next</m:t>
                          </m:r>
                          <m:r>
                            <w:rPr>
                              <w:rFonts w:ascii="Cambria Math" w:hAnsi="Cambria Math"/>
                            </w:rPr>
                            <m:t xml:space="preserve"> </m:t>
                          </m:r>
                          <m:r>
                            <w:rPr>
                              <w:rFonts w:ascii="Cambria Math" w:hAnsi="Cambria Math"/>
                            </w:rPr>
                            <m:t>year</m:t>
                          </m:r>
                        </m:sub>
                      </m:sSub>
                    </m:num>
                    <m:den>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current</m:t>
                          </m:r>
                          <m:r>
                            <w:rPr>
                              <w:rFonts w:ascii="Cambria Math" w:hAnsi="Cambria Math"/>
                            </w:rPr>
                            <m:t xml:space="preserve"> </m:t>
                          </m:r>
                          <m:r>
                            <w:rPr>
                              <w:rFonts w:ascii="Cambria Math" w:hAnsi="Cambria Math"/>
                            </w:rPr>
                            <m:t>year</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Annual</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r>
                            <w:rPr>
                              <w:rFonts w:ascii="Cambria Math" w:hAnsi="Cambria Math"/>
                            </w:rPr>
                            <m:t>$</m:t>
                          </m:r>
                        </m:e>
                      </m:d>
                    </m:e>
                    <m:sub>
                      <m:r>
                        <w:rPr>
                          <w:rFonts w:ascii="Cambria Math" w:hAnsi="Cambria Math"/>
                        </w:rPr>
                        <m:t>last</m:t>
                      </m:r>
                      <m:r>
                        <w:rPr>
                          <w:rFonts w:ascii="Cambria Math" w:hAnsi="Cambria Math"/>
                        </w:rPr>
                        <m:t xml:space="preserve"> </m:t>
                      </m:r>
                      <m:r>
                        <w:rPr>
                          <w:rFonts w:ascii="Cambria Math" w:hAnsi="Cambria Math"/>
                        </w:rPr>
                        <m:t>year</m:t>
                      </m:r>
                      <m:r>
                        <w:rPr>
                          <w:rFonts w:ascii="Cambria Math" w:hAnsi="Cambria Math"/>
                          <w:vanish/>
                        </w:rPr>
                        <m:t>yast</m:t>
                      </m:r>
                      <m:r>
                        <w:rPr>
                          <w:rFonts w:ascii="Cambria Math" w:hAnsi="Cambria Math"/>
                          <w:vanish/>
                        </w:rPr>
                        <m:t xml:space="preserve">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next</m:t>
                          </m:r>
                          <m:r>
                            <w:rPr>
                              <w:rFonts w:ascii="Cambria Math" w:hAnsi="Cambria Math"/>
                            </w:rPr>
                            <m:t xml:space="preserve"> </m:t>
                          </m:r>
                          <m:r>
                            <w:rPr>
                              <w:rFonts w:ascii="Cambria Math" w:hAnsi="Cambria Math"/>
                            </w:rPr>
                            <m:t>year</m:t>
                          </m:r>
                        </m:sub>
                      </m:sSub>
                    </m:num>
                    <m:den>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last</m:t>
                          </m:r>
                          <m:r>
                            <w:rPr>
                              <w:rFonts w:ascii="Cambria Math" w:hAnsi="Cambria Math"/>
                            </w:rPr>
                            <m:t xml:space="preserve"> </m:t>
                          </m:r>
                          <m:r>
                            <w:rPr>
                              <w:rFonts w:ascii="Cambria Math" w:hAnsi="Cambria Math"/>
                            </w:rPr>
                            <m:t>year</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Annual</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r>
                            <w:rPr>
                              <w:rFonts w:ascii="Cambria Math" w:hAnsi="Cambria Math"/>
                            </w:rPr>
                            <m:t>$</m:t>
                          </m:r>
                        </m:e>
                      </m:d>
                    </m:e>
                    <m:sub>
                      <m:r>
                        <w:rPr>
                          <w:rFonts w:ascii="Cambria Math" w:hAnsi="Cambria Math"/>
                        </w:rPr>
                        <m:t>last</m:t>
                      </m:r>
                      <m:r>
                        <w:rPr>
                          <w:rFonts w:ascii="Cambria Math" w:hAnsi="Cambria Math"/>
                        </w:rPr>
                        <m:t xml:space="preserve"> </m:t>
                      </m:r>
                      <m:r>
                        <w:rPr>
                          <w:rFonts w:ascii="Cambria Math" w:hAnsi="Cambria Math"/>
                        </w:rPr>
                        <m:t>year</m:t>
                      </m:r>
                      <m:r>
                        <w:rPr>
                          <w:rFonts w:ascii="Cambria Math" w:hAnsi="Cambria Math"/>
                        </w:rPr>
                        <m:t>-</m:t>
                      </m:r>
                      <m:r>
                        <w:rPr>
                          <w:rFonts w:ascii="Cambria Math" w:hAnsi="Cambria Math"/>
                        </w:rPr>
                        <m:t>1</m:t>
                      </m:r>
                      <m:r>
                        <w:rPr>
                          <w:rFonts w:ascii="Cambria Math" w:hAnsi="Cambria Math"/>
                          <w:vanish/>
                        </w:rPr>
                        <m:t>yast</m:t>
                      </m:r>
                      <m:r>
                        <w:rPr>
                          <w:rFonts w:ascii="Cambria Math" w:hAnsi="Cambria Math"/>
                          <w:vanish/>
                        </w:rPr>
                        <m:t xml:space="preserve">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next</m:t>
                          </m:r>
                          <m:r>
                            <w:rPr>
                              <w:rFonts w:ascii="Cambria Math" w:hAnsi="Cambria Math"/>
                            </w:rPr>
                            <m:t xml:space="preserve"> </m:t>
                          </m:r>
                          <m:r>
                            <w:rPr>
                              <w:rFonts w:ascii="Cambria Math" w:hAnsi="Cambria Math"/>
                            </w:rPr>
                            <m:t>year</m:t>
                          </m:r>
                        </m:sub>
                      </m:sSub>
                    </m:num>
                    <m:den>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last</m:t>
                          </m:r>
                          <m:r>
                            <w:rPr>
                              <w:rFonts w:ascii="Cambria Math" w:hAnsi="Cambria Math"/>
                            </w:rPr>
                            <m:t xml:space="preserve"> </m:t>
                          </m:r>
                          <m:r>
                            <w:rPr>
                              <w:rFonts w:ascii="Cambria Math" w:hAnsi="Cambria Math"/>
                            </w:rPr>
                            <m:t>year</m:t>
                          </m:r>
                          <m:r>
                            <w:rPr>
                              <w:rFonts w:ascii="Cambria Math" w:hAnsi="Cambria Math"/>
                            </w:rPr>
                            <m:t>-1</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Annual</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r>
                            <w:rPr>
                              <w:rFonts w:ascii="Cambria Math" w:hAnsi="Cambria Math"/>
                            </w:rPr>
                            <m:t>$</m:t>
                          </m:r>
                        </m:e>
                      </m:d>
                    </m:e>
                    <m:sub>
                      <m:r>
                        <w:rPr>
                          <w:rFonts w:ascii="Cambria Math" w:hAnsi="Cambria Math"/>
                        </w:rPr>
                        <m:t>current</m:t>
                      </m:r>
                      <m:r>
                        <w:rPr>
                          <w:rFonts w:ascii="Cambria Math" w:hAnsi="Cambria Math"/>
                        </w:rPr>
                        <m:t xml:space="preserve"> </m:t>
                      </m:r>
                      <m:r>
                        <w:rPr>
                          <w:rFonts w:ascii="Cambria Math" w:hAnsi="Cambria Math"/>
                        </w:rPr>
                        <m:t>year</m:t>
                      </m:r>
                      <m:r>
                        <w:rPr>
                          <w:rFonts w:ascii="Cambria Math" w:hAnsi="Cambria Math"/>
                        </w:rPr>
                        <m:t>-</m:t>
                      </m:r>
                      <m:r>
                        <w:rPr>
                          <w:rFonts w:ascii="Cambria Math" w:hAnsi="Cambria Math"/>
                        </w:rPr>
                        <m:t>maintenance</m:t>
                      </m:r>
                      <m:r>
                        <w:rPr>
                          <w:rFonts w:ascii="Cambria Math" w:hAnsi="Cambria Math"/>
                        </w:rPr>
                        <m:t xml:space="preserve"> </m:t>
                      </m:r>
                      <m:r>
                        <w:rPr>
                          <w:rFonts w:ascii="Cambria Math" w:hAnsi="Cambria Math"/>
                        </w:rPr>
                        <m:t>period</m:t>
                      </m:r>
                      <m:r>
                        <w:rPr>
                          <w:rFonts w:ascii="Cambria Math" w:hAnsi="Cambria Math"/>
                        </w:rPr>
                        <m:t>+1</m:t>
                      </m:r>
                      <m:r>
                        <w:rPr>
                          <w:rFonts w:ascii="Cambria Math" w:hAnsi="Cambria Math"/>
                          <w:vanish/>
                        </w:rPr>
                        <m:t>yast</m:t>
                      </m:r>
                      <m:r>
                        <w:rPr>
                          <w:rFonts w:ascii="Cambria Math" w:hAnsi="Cambria Math"/>
                          <w:vanish/>
                        </w:rPr>
                        <m:t xml:space="preserve">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next</m:t>
                          </m:r>
                          <m:r>
                            <w:rPr>
                              <w:rFonts w:ascii="Cambria Math" w:hAnsi="Cambria Math"/>
                            </w:rPr>
                            <m:t xml:space="preserve"> </m:t>
                          </m:r>
                          <m:r>
                            <w:rPr>
                              <w:rFonts w:ascii="Cambria Math" w:hAnsi="Cambria Math"/>
                            </w:rPr>
                            <m:t>year</m:t>
                          </m:r>
                        </m:sub>
                      </m:sSub>
                    </m:num>
                    <m:den>
                      <m:sSub>
                        <m:sSubPr>
                          <m:ctrlPr>
                            <w:rPr>
                              <w:rFonts w:ascii="Cambria Math" w:hAnsi="Cambria Math"/>
                              <w:i/>
                            </w:rPr>
                          </m:ctrlPr>
                        </m:sSubPr>
                        <m:e>
                          <m:r>
                            <w:rPr>
                              <w:rFonts w:ascii="Cambria Math" w:hAnsi="Cambria Math"/>
                            </w:rPr>
                            <m:t>Escalation</m:t>
                          </m:r>
                          <m:r>
                            <w:rPr>
                              <w:rFonts w:ascii="Cambria Math" w:hAnsi="Cambria Math"/>
                            </w:rPr>
                            <m:t xml:space="preserve"> </m:t>
                          </m:r>
                          <m:r>
                            <w:rPr>
                              <w:rFonts w:ascii="Cambria Math" w:hAnsi="Cambria Math"/>
                            </w:rPr>
                            <m:t>Index</m:t>
                          </m:r>
                        </m:e>
                        <m:sub>
                          <m:r>
                            <w:rPr>
                              <w:rFonts w:ascii="Cambria Math" w:hAnsi="Cambria Math"/>
                            </w:rPr>
                            <m:t>current</m:t>
                          </m:r>
                          <m:r>
                            <w:rPr>
                              <w:rFonts w:ascii="Cambria Math" w:hAnsi="Cambria Math"/>
                            </w:rPr>
                            <m:t xml:space="preserve"> </m:t>
                          </m:r>
                          <m:r>
                            <w:rPr>
                              <w:rFonts w:ascii="Cambria Math" w:hAnsi="Cambria Math"/>
                            </w:rPr>
                            <m:t>year</m:t>
                          </m:r>
                          <m:r>
                            <w:rPr>
                              <w:rFonts w:ascii="Cambria Math" w:hAnsi="Cambria Math"/>
                            </w:rPr>
                            <m:t>-</m:t>
                          </m:r>
                          <m:r>
                            <w:rPr>
                              <w:rFonts w:ascii="Cambria Math" w:hAnsi="Cambria Math"/>
                            </w:rPr>
                            <m:t>maintenance</m:t>
                          </m:r>
                          <m:r>
                            <w:rPr>
                              <w:rFonts w:ascii="Cambria Math" w:hAnsi="Cambria Math"/>
                            </w:rPr>
                            <m:t xml:space="preserve"> </m:t>
                          </m:r>
                          <m:r>
                            <w:rPr>
                              <w:rFonts w:ascii="Cambria Math" w:hAnsi="Cambria Math"/>
                            </w:rPr>
                            <m:t>period</m:t>
                          </m:r>
                          <m:r>
                            <w:rPr>
                              <w:rFonts w:ascii="Cambria Math" w:hAnsi="Cambria Math"/>
                            </w:rPr>
                            <m:t xml:space="preserve"> </m:t>
                          </m:r>
                          <m:r>
                            <w:rPr>
                              <w:rFonts w:ascii="Cambria Math" w:hAnsi="Cambria Math"/>
                            </w:rPr>
                            <m:t>years</m:t>
                          </m:r>
                          <m:r>
                            <w:rPr>
                              <w:rFonts w:ascii="Cambria Math" w:hAnsi="Cambria Math"/>
                            </w:rPr>
                            <m:t>+1</m:t>
                          </m:r>
                        </m:sub>
                      </m:sSub>
                    </m:den>
                  </m:f>
                </m:e>
              </m:d>
            </m:e>
          </m:d>
        </m:oMath>
      </m:oMathPara>
    </w:p>
    <w:p w14:paraId="50C06CCD" w14:textId="77777777" w:rsidR="00C54281" w:rsidRDefault="00C54281" w:rsidP="00C54281"/>
    <w:p w14:paraId="011ACF84" w14:textId="70545C84" w:rsidR="00C54281" w:rsidRDefault="00C54281" w:rsidP="00C54281">
      <w:pPr>
        <w:pStyle w:val="Normal120"/>
        <w:jc w:val="both"/>
      </w:pPr>
      <w:r>
        <w:t xml:space="preserve">The Market Monitor will review the development of the total maintenance costs for all Resources pursuant to the Mitigated Offer </w:t>
      </w:r>
      <w:r w:rsidR="00692523">
        <w:t xml:space="preserve">Development </w:t>
      </w:r>
      <w:r>
        <w:t xml:space="preserve">Methodology Approval Process.   </w:t>
      </w:r>
    </w:p>
    <w:p w14:paraId="7C97B9AA" w14:textId="77777777" w:rsidR="00C54281" w:rsidRDefault="00C54281" w:rsidP="00C54281">
      <w:pPr>
        <w:pStyle w:val="Normal120"/>
        <w:jc w:val="both"/>
      </w:pPr>
      <w:r>
        <w:t xml:space="preserve">The total VOM cost as calculated above is based on available maintenance expense history for the defined Maintenance Period (See Section </w:t>
      </w:r>
      <w:r>
        <w:fldChar w:fldCharType="begin"/>
      </w:r>
      <w:r>
        <w:instrText xml:space="preserve"> REF _Ref343759104 \r \h  \* MERGEFORMAT </w:instrText>
      </w:r>
      <w:r>
        <w:fldChar w:fldCharType="separate"/>
      </w:r>
      <w:r>
        <w:t>D.2.6.2</w:t>
      </w:r>
      <w:r>
        <w:fldChar w:fldCharType="end"/>
      </w:r>
      <w:r>
        <w:t xml:space="preserve">) regardless of the history of Market Participant Resource ownership.  Only expenses incurred as a result of short-run incremental electric production (short-run marginal costs) qualify for inclusion.  </w:t>
      </w:r>
      <w:bookmarkStart w:id="11412" w:name="_Toc424543141"/>
      <w:bookmarkStart w:id="11413" w:name="_Toc424547618"/>
      <w:bookmarkStart w:id="11414" w:name="_Toc424562105"/>
      <w:bookmarkStart w:id="11415" w:name="_Toc425837076"/>
      <w:bookmarkStart w:id="11416" w:name="_Toc425837859"/>
      <w:bookmarkStart w:id="11417" w:name="_Toc425838639"/>
      <w:bookmarkStart w:id="11418" w:name="_Toc425839419"/>
      <w:bookmarkStart w:id="11419" w:name="_Toc425840200"/>
      <w:bookmarkStart w:id="11420" w:name="_Toc425840979"/>
      <w:bookmarkStart w:id="11421" w:name="_Toc425841758"/>
      <w:bookmarkStart w:id="11422" w:name="_Toc425864616"/>
      <w:bookmarkStart w:id="11423" w:name="_Toc425865394"/>
      <w:bookmarkStart w:id="11424" w:name="_Toc425942604"/>
      <w:bookmarkStart w:id="11425" w:name="_Toc425943518"/>
      <w:bookmarkStart w:id="11426" w:name="_Toc430847699"/>
      <w:bookmarkStart w:id="11427" w:name="_Toc431501187"/>
      <w:bookmarkStart w:id="11428" w:name="_Toc424543142"/>
      <w:bookmarkStart w:id="11429" w:name="_Toc424547619"/>
      <w:bookmarkStart w:id="11430" w:name="_Toc424562106"/>
      <w:bookmarkStart w:id="11431" w:name="_Toc425837077"/>
      <w:bookmarkStart w:id="11432" w:name="_Toc425837860"/>
      <w:bookmarkStart w:id="11433" w:name="_Toc425838640"/>
      <w:bookmarkStart w:id="11434" w:name="_Toc425839420"/>
      <w:bookmarkStart w:id="11435" w:name="_Toc425840201"/>
      <w:bookmarkStart w:id="11436" w:name="_Toc425840980"/>
      <w:bookmarkStart w:id="11437" w:name="_Toc425841759"/>
      <w:bookmarkStart w:id="11438" w:name="_Toc425864617"/>
      <w:bookmarkStart w:id="11439" w:name="_Toc425865395"/>
      <w:bookmarkStart w:id="11440" w:name="_Toc425942605"/>
      <w:bookmarkStart w:id="11441" w:name="_Toc425943519"/>
      <w:bookmarkStart w:id="11442" w:name="_Toc430847700"/>
      <w:bookmarkStart w:id="11443" w:name="_Toc431501188"/>
      <w:bookmarkStart w:id="11444" w:name="_Toc424543143"/>
      <w:bookmarkStart w:id="11445" w:name="_Toc424547620"/>
      <w:bookmarkStart w:id="11446" w:name="_Toc424562107"/>
      <w:bookmarkStart w:id="11447" w:name="_Toc425837078"/>
      <w:bookmarkStart w:id="11448" w:name="_Toc425837861"/>
      <w:bookmarkStart w:id="11449" w:name="_Toc425838641"/>
      <w:bookmarkStart w:id="11450" w:name="_Toc425839421"/>
      <w:bookmarkStart w:id="11451" w:name="_Toc425840202"/>
      <w:bookmarkStart w:id="11452" w:name="_Toc425840981"/>
      <w:bookmarkStart w:id="11453" w:name="_Toc425841760"/>
      <w:bookmarkStart w:id="11454" w:name="_Toc425864618"/>
      <w:bookmarkStart w:id="11455" w:name="_Toc425865396"/>
      <w:bookmarkStart w:id="11456" w:name="_Toc425942606"/>
      <w:bookmarkStart w:id="11457" w:name="_Toc425943520"/>
      <w:bookmarkStart w:id="11458" w:name="_Toc430847701"/>
      <w:bookmarkStart w:id="11459" w:name="_Toc431501189"/>
      <w:bookmarkStart w:id="11460" w:name="_Toc424543144"/>
      <w:bookmarkStart w:id="11461" w:name="_Toc424547621"/>
      <w:bookmarkStart w:id="11462" w:name="_Toc424562108"/>
      <w:bookmarkStart w:id="11463" w:name="_Toc425837079"/>
      <w:bookmarkStart w:id="11464" w:name="_Toc425837862"/>
      <w:bookmarkStart w:id="11465" w:name="_Toc425838642"/>
      <w:bookmarkStart w:id="11466" w:name="_Toc425839422"/>
      <w:bookmarkStart w:id="11467" w:name="_Toc425840203"/>
      <w:bookmarkStart w:id="11468" w:name="_Toc425840982"/>
      <w:bookmarkStart w:id="11469" w:name="_Toc425841761"/>
      <w:bookmarkStart w:id="11470" w:name="_Toc425864619"/>
      <w:bookmarkStart w:id="11471" w:name="_Toc425865397"/>
      <w:bookmarkStart w:id="11472" w:name="_Toc425942607"/>
      <w:bookmarkStart w:id="11473" w:name="_Toc425943521"/>
      <w:bookmarkStart w:id="11474" w:name="_Toc430847702"/>
      <w:bookmarkStart w:id="11475" w:name="_Toc431501190"/>
      <w:bookmarkStart w:id="11476" w:name="_Toc432156732"/>
      <w:bookmarkStart w:id="11477" w:name="_Toc432165950"/>
      <w:bookmarkStart w:id="11478" w:name="_Toc432166805"/>
      <w:bookmarkStart w:id="11479" w:name="_Toc432167663"/>
      <w:bookmarkStart w:id="11480" w:name="_Toc432168479"/>
      <w:bookmarkStart w:id="11481" w:name="_Toc435191989"/>
      <w:bookmarkStart w:id="11482" w:name="_Toc437590586"/>
      <w:bookmarkStart w:id="11483" w:name="_Toc443913335"/>
      <w:bookmarkStart w:id="11484" w:name="_Toc444090735"/>
      <w:bookmarkStart w:id="11485" w:name="_Toc432156733"/>
      <w:bookmarkStart w:id="11486" w:name="_Toc432165951"/>
      <w:bookmarkStart w:id="11487" w:name="_Toc432166806"/>
      <w:bookmarkStart w:id="11488" w:name="_Toc432167664"/>
      <w:bookmarkStart w:id="11489" w:name="_Toc432168480"/>
      <w:bookmarkStart w:id="11490" w:name="_Toc435191990"/>
      <w:bookmarkStart w:id="11491" w:name="_Toc437590587"/>
      <w:bookmarkStart w:id="11492" w:name="_Toc443913336"/>
      <w:bookmarkStart w:id="11493" w:name="_Toc444090736"/>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p>
    <w:p w14:paraId="63BAB03C" w14:textId="518B240F" w:rsidR="00C54281" w:rsidRDefault="00690F95" w:rsidP="00E679DC">
      <w:pPr>
        <w:pStyle w:val="Heading471"/>
      </w:pPr>
      <w:bookmarkStart w:id="11494" w:name="_Toc131493420"/>
      <w:bookmarkStart w:id="11495" w:name="_Toc213772270"/>
      <w:r>
        <w:t>D.2.6.1</w:t>
      </w:r>
      <w:r w:rsidR="00575B8A">
        <w:tab/>
      </w:r>
      <w:r>
        <w:tab/>
      </w:r>
      <w:r w:rsidR="00C54281">
        <w:t>Escalation Index</w:t>
      </w:r>
      <w:bookmarkEnd w:id="11494"/>
      <w:bookmarkEnd w:id="11495"/>
    </w:p>
    <w:p w14:paraId="0C07CE62" w14:textId="77777777" w:rsidR="00C54281" w:rsidRDefault="00C54281" w:rsidP="00C54281">
      <w:pPr>
        <w:pStyle w:val="SPPBulletedList"/>
        <w:spacing w:line="276" w:lineRule="auto"/>
        <w:ind w:left="0" w:firstLine="0"/>
        <w:jc w:val="both"/>
        <w:rPr>
          <w:rFonts w:ascii="Times New Roman" w:hAnsi="Times New Roman"/>
        </w:rPr>
      </w:pPr>
      <w:r>
        <w:rPr>
          <w:rFonts w:ascii="Times New Roman" w:hAnsi="Times New Roman"/>
        </w:rPr>
        <w:t xml:space="preserve">The Bureau of Labor Statistics Producer Price Index Series ID WPU112J03, Machinery and Equipment: Other Construction Machinery and Equipment (Excluding Parts) will be used for the Escalation Index.  </w:t>
      </w:r>
    </w:p>
    <w:p w14:paraId="22853E40" w14:textId="07453026" w:rsidR="00C54281" w:rsidRDefault="00C54281" w:rsidP="00C54281">
      <w:pPr>
        <w:pStyle w:val="SPPBulletedList"/>
        <w:spacing w:line="300" w:lineRule="auto"/>
        <w:jc w:val="both"/>
      </w:pPr>
      <w:r>
        <w:rPr>
          <w:rFonts w:ascii="Times New Roman" w:hAnsi="Times New Roman"/>
        </w:rPr>
        <w:t>This Escalation Index will be posted annually on</w:t>
      </w:r>
      <w:r w:rsidR="00774C0C">
        <w:rPr>
          <w:rFonts w:ascii="Times New Roman" w:hAnsi="Times New Roman"/>
        </w:rPr>
        <w:t xml:space="preserve"> the</w:t>
      </w:r>
      <w:r>
        <w:rPr>
          <w:rFonts w:ascii="Times New Roman" w:hAnsi="Times New Roman"/>
        </w:rPr>
        <w:t xml:space="preserve"> </w:t>
      </w:r>
      <w:r w:rsidR="00774C0C">
        <w:rPr>
          <w:rFonts w:ascii="Times New Roman" w:hAnsi="Times New Roman"/>
        </w:rPr>
        <w:t>Market Operator’s website</w:t>
      </w:r>
      <w:r>
        <w:rPr>
          <w:rFonts w:ascii="Times New Roman" w:hAnsi="Times New Roman"/>
        </w:rPr>
        <w:t>.</w:t>
      </w:r>
    </w:p>
    <w:p w14:paraId="6CB1DD03" w14:textId="0454E219" w:rsidR="00C54281" w:rsidRDefault="00690F95" w:rsidP="00E679DC">
      <w:pPr>
        <w:pStyle w:val="Heading471"/>
      </w:pPr>
      <w:bookmarkStart w:id="11496" w:name="_Ref343759104"/>
      <w:bookmarkStart w:id="11497" w:name="_Toc351019745"/>
      <w:bookmarkStart w:id="11498" w:name="_Toc363483291"/>
      <w:bookmarkStart w:id="11499" w:name="_Toc131493421"/>
      <w:bookmarkStart w:id="11500" w:name="_Toc213772271"/>
      <w:r>
        <w:t>D.2.6.2</w:t>
      </w:r>
      <w:r w:rsidR="00575B8A">
        <w:tab/>
      </w:r>
      <w:r>
        <w:tab/>
      </w:r>
      <w:r w:rsidR="00C54281">
        <w:t>Maintenance Period</w:t>
      </w:r>
      <w:bookmarkEnd w:id="11496"/>
      <w:bookmarkEnd w:id="11497"/>
      <w:bookmarkEnd w:id="11498"/>
      <w:bookmarkEnd w:id="11499"/>
      <w:bookmarkEnd w:id="11500"/>
    </w:p>
    <w:p w14:paraId="7E78AC07" w14:textId="02EB7BC3" w:rsidR="00C54281" w:rsidRDefault="00C54281" w:rsidP="00C54281">
      <w:pPr>
        <w:pStyle w:val="Normal120"/>
        <w:jc w:val="both"/>
      </w:pPr>
      <w:r>
        <w:t xml:space="preserve">The period of years between major overhauls or such other period as used in the calculation of total VOM under Section D 2.6, not to exceed </w:t>
      </w:r>
      <w:r w:rsidR="00DC6099">
        <w:t>ten (</w:t>
      </w:r>
      <w:r>
        <w:t>10</w:t>
      </w:r>
      <w:r w:rsidR="00DC6099">
        <w:t>)</w:t>
      </w:r>
      <w:r>
        <w:t xml:space="preserve"> years.    </w:t>
      </w:r>
    </w:p>
    <w:p w14:paraId="766C9721" w14:textId="77777777" w:rsidR="00C54281" w:rsidRDefault="00C54281" w:rsidP="00C54281">
      <w:pPr>
        <w:pStyle w:val="Normal120"/>
        <w:jc w:val="both"/>
      </w:pPr>
      <w:r>
        <w:t>If a Resource experiences a significant configuration change, the Resource will submit to the Market Monitor its changed VOM cost methodology.</w:t>
      </w:r>
    </w:p>
    <w:p w14:paraId="3EEEC04E" w14:textId="77777777" w:rsidR="00C54281" w:rsidRDefault="00C54281" w:rsidP="00C54281">
      <w:pPr>
        <w:spacing w:line="300" w:lineRule="auto"/>
      </w:pPr>
      <w:r>
        <w:t>Examples of a significant Resource configuration change may include but are not limited to:</w:t>
      </w:r>
    </w:p>
    <w:p w14:paraId="685438CA" w14:textId="77777777" w:rsidR="00C54281" w:rsidRDefault="00C54281" w:rsidP="00DA3CE7">
      <w:pPr>
        <w:pStyle w:val="SPPBulletedList"/>
        <w:numPr>
          <w:ilvl w:val="0"/>
          <w:numId w:val="240"/>
        </w:numPr>
        <w:tabs>
          <w:tab w:val="left" w:pos="720"/>
        </w:tabs>
        <w:spacing w:line="300" w:lineRule="auto"/>
        <w:jc w:val="both"/>
      </w:pPr>
      <w:r>
        <w:rPr>
          <w:rFonts w:hint="cs"/>
        </w:rPr>
        <w:t>Flue Gas Desulfurization (FGD or scrubber)</w:t>
      </w:r>
    </w:p>
    <w:p w14:paraId="02139007" w14:textId="77777777" w:rsidR="00C54281" w:rsidRDefault="00C54281" w:rsidP="00DA3CE7">
      <w:pPr>
        <w:pStyle w:val="SPPBulletedList"/>
        <w:numPr>
          <w:ilvl w:val="0"/>
          <w:numId w:val="240"/>
        </w:numPr>
        <w:tabs>
          <w:tab w:val="left" w:pos="720"/>
        </w:tabs>
        <w:spacing w:line="300" w:lineRule="auto"/>
        <w:jc w:val="both"/>
      </w:pPr>
      <w:r>
        <w:rPr>
          <w:rFonts w:hint="cs"/>
        </w:rPr>
        <w:t>Activated Carbon Injection (ACI)</w:t>
      </w:r>
    </w:p>
    <w:p w14:paraId="43890C92" w14:textId="77777777" w:rsidR="00C54281" w:rsidRDefault="00C54281" w:rsidP="00DA3CE7">
      <w:pPr>
        <w:pStyle w:val="SPPBulletedList"/>
        <w:numPr>
          <w:ilvl w:val="0"/>
          <w:numId w:val="240"/>
        </w:numPr>
        <w:tabs>
          <w:tab w:val="left" w:pos="720"/>
        </w:tabs>
        <w:spacing w:line="300" w:lineRule="auto"/>
        <w:jc w:val="both"/>
      </w:pPr>
      <w:r>
        <w:rPr>
          <w:rFonts w:hint="cs"/>
        </w:rPr>
        <w:t>Selective Catalytic NO</w:t>
      </w:r>
      <w:r>
        <w:rPr>
          <w:rFonts w:hint="cs"/>
          <w:vertAlign w:val="subscript"/>
        </w:rPr>
        <w:t>X</w:t>
      </w:r>
      <w:r>
        <w:rPr>
          <w:rFonts w:hint="cs"/>
        </w:rPr>
        <w:t xml:space="preserve"> Reduction (SCR)</w:t>
      </w:r>
    </w:p>
    <w:p w14:paraId="7BB42770" w14:textId="77777777" w:rsidR="00C54281" w:rsidRDefault="00C54281" w:rsidP="00DA3CE7">
      <w:pPr>
        <w:pStyle w:val="SPPBulletedList"/>
        <w:numPr>
          <w:ilvl w:val="0"/>
          <w:numId w:val="240"/>
        </w:numPr>
        <w:tabs>
          <w:tab w:val="left" w:pos="720"/>
        </w:tabs>
        <w:spacing w:line="300" w:lineRule="auto"/>
        <w:jc w:val="both"/>
      </w:pPr>
      <w:r>
        <w:rPr>
          <w:rFonts w:hint="cs"/>
        </w:rPr>
        <w:t>Selective Non-Catalytic NO</w:t>
      </w:r>
      <w:r>
        <w:rPr>
          <w:rFonts w:hint="cs"/>
          <w:vertAlign w:val="subscript"/>
        </w:rPr>
        <w:t>X</w:t>
      </w:r>
      <w:r>
        <w:rPr>
          <w:rFonts w:hint="cs"/>
        </w:rPr>
        <w:t xml:space="preserve"> Reduction (SNCR)</w:t>
      </w:r>
    </w:p>
    <w:p w14:paraId="4959E1D5" w14:textId="77777777" w:rsidR="00C54281" w:rsidRDefault="00C54281" w:rsidP="00DA3CE7">
      <w:pPr>
        <w:pStyle w:val="SPPBulletedList"/>
        <w:numPr>
          <w:ilvl w:val="0"/>
          <w:numId w:val="240"/>
        </w:numPr>
        <w:tabs>
          <w:tab w:val="left" w:pos="720"/>
        </w:tabs>
        <w:spacing w:line="300" w:lineRule="auto"/>
        <w:jc w:val="both"/>
      </w:pPr>
      <w:r>
        <w:rPr>
          <w:rFonts w:hint="cs"/>
        </w:rPr>
        <w:t>Low-NO</w:t>
      </w:r>
      <w:r>
        <w:rPr>
          <w:rFonts w:hint="cs"/>
          <w:vertAlign w:val="subscript"/>
        </w:rPr>
        <w:t>X</w:t>
      </w:r>
      <w:r>
        <w:rPr>
          <w:rFonts w:hint="cs"/>
        </w:rPr>
        <w:t xml:space="preserve"> burners</w:t>
      </w:r>
    </w:p>
    <w:p w14:paraId="183982D2" w14:textId="77777777" w:rsidR="00C54281" w:rsidRDefault="00C54281" w:rsidP="00DA3CE7">
      <w:pPr>
        <w:pStyle w:val="SPPBulletedList"/>
        <w:numPr>
          <w:ilvl w:val="0"/>
          <w:numId w:val="240"/>
        </w:numPr>
        <w:tabs>
          <w:tab w:val="left" w:pos="720"/>
        </w:tabs>
        <w:spacing w:line="300" w:lineRule="auto"/>
        <w:jc w:val="both"/>
      </w:pPr>
      <w:r>
        <w:rPr>
          <w:rFonts w:hint="cs"/>
        </w:rPr>
        <w:t>Bag House addition</w:t>
      </w:r>
    </w:p>
    <w:p w14:paraId="715C6EFA" w14:textId="77777777" w:rsidR="00C54281" w:rsidRDefault="00C54281" w:rsidP="00DA3CE7">
      <w:pPr>
        <w:pStyle w:val="SPPBulletedList"/>
        <w:numPr>
          <w:ilvl w:val="0"/>
          <w:numId w:val="240"/>
        </w:numPr>
        <w:tabs>
          <w:tab w:val="left" w:pos="720"/>
        </w:tabs>
        <w:spacing w:line="300" w:lineRule="auto"/>
        <w:jc w:val="both"/>
      </w:pPr>
      <w:r>
        <w:rPr>
          <w:rFonts w:hint="cs"/>
        </w:rPr>
        <w:t>Long-term Fuel change (greater than 10 years)</w:t>
      </w:r>
    </w:p>
    <w:p w14:paraId="021A71F9" w14:textId="77777777" w:rsidR="00C54281" w:rsidRDefault="00C54281" w:rsidP="00DA3CE7">
      <w:pPr>
        <w:pStyle w:val="SPPBulletedList"/>
        <w:numPr>
          <w:ilvl w:val="0"/>
          <w:numId w:val="240"/>
        </w:numPr>
        <w:tabs>
          <w:tab w:val="left" w:pos="720"/>
        </w:tabs>
        <w:spacing w:line="300" w:lineRule="auto"/>
        <w:jc w:val="both"/>
      </w:pPr>
      <w:r>
        <w:rPr>
          <w:rFonts w:hint="cs"/>
        </w:rPr>
        <w:t>Water injection for NO</w:t>
      </w:r>
      <w:r>
        <w:rPr>
          <w:rFonts w:hint="cs"/>
          <w:vertAlign w:val="subscript"/>
        </w:rPr>
        <w:t>X</w:t>
      </w:r>
      <w:r>
        <w:rPr>
          <w:rFonts w:hint="cs"/>
        </w:rPr>
        <w:t xml:space="preserve"> control</w:t>
      </w:r>
    </w:p>
    <w:p w14:paraId="4B930864" w14:textId="77777777" w:rsidR="00C54281" w:rsidRDefault="00C54281" w:rsidP="00DA3CE7">
      <w:pPr>
        <w:pStyle w:val="SPPBulletedList"/>
        <w:numPr>
          <w:ilvl w:val="0"/>
          <w:numId w:val="240"/>
        </w:numPr>
        <w:tabs>
          <w:tab w:val="left" w:pos="720"/>
        </w:tabs>
        <w:spacing w:line="300" w:lineRule="auto"/>
        <w:jc w:val="both"/>
      </w:pPr>
      <w:r>
        <w:rPr>
          <w:rFonts w:hint="cs"/>
        </w:rPr>
        <w:t>Gas Turbine Inlet Air Cooling</w:t>
      </w:r>
    </w:p>
    <w:p w14:paraId="62B5C13D" w14:textId="77777777" w:rsidR="00C54281" w:rsidRDefault="00C54281" w:rsidP="00DA3CE7">
      <w:pPr>
        <w:pStyle w:val="SPPBulletedList"/>
        <w:numPr>
          <w:ilvl w:val="0"/>
          <w:numId w:val="240"/>
        </w:numPr>
        <w:tabs>
          <w:tab w:val="left" w:pos="720"/>
        </w:tabs>
        <w:spacing w:line="300" w:lineRule="auto"/>
        <w:jc w:val="both"/>
      </w:pPr>
      <w:r>
        <w:rPr>
          <w:rFonts w:hint="cs"/>
        </w:rPr>
        <w:t>Dry Sorbent Injection (DSI)</w:t>
      </w:r>
    </w:p>
    <w:p w14:paraId="71C33AFE" w14:textId="3259771F" w:rsidR="00C54281" w:rsidRDefault="00690F95" w:rsidP="00E679DC">
      <w:pPr>
        <w:pStyle w:val="Heading471"/>
      </w:pPr>
      <w:bookmarkStart w:id="11501" w:name="_Toc351019746"/>
      <w:bookmarkStart w:id="11502" w:name="_Toc363483292"/>
      <w:bookmarkStart w:id="11503" w:name="_Ref424132880"/>
      <w:bookmarkStart w:id="11504" w:name="_Toc131493422"/>
      <w:bookmarkStart w:id="11505" w:name="_Toc213772272"/>
      <w:r>
        <w:t>D.2.6.3</w:t>
      </w:r>
      <w:r>
        <w:tab/>
      </w:r>
      <w:r w:rsidR="00575B8A">
        <w:tab/>
      </w:r>
      <w:r w:rsidR="00C54281">
        <w:t>Average VOM Cost</w:t>
      </w:r>
      <w:bookmarkEnd w:id="11501"/>
      <w:bookmarkEnd w:id="11502"/>
      <w:bookmarkEnd w:id="11503"/>
      <w:bookmarkEnd w:id="11504"/>
      <w:bookmarkEnd w:id="11505"/>
    </w:p>
    <w:p w14:paraId="69BB0973" w14:textId="262B287D" w:rsidR="00C54281" w:rsidRDefault="00C54281" w:rsidP="00C54281">
      <w:pPr>
        <w:pStyle w:val="Normal120"/>
        <w:jc w:val="both"/>
      </w:pPr>
      <w:r>
        <w:rPr>
          <w:b/>
        </w:rPr>
        <w:t>Average VOM Cost</w:t>
      </w:r>
      <w:r>
        <w:t xml:space="preserve"> is the average VOM cost $/MMBtu, $/MWh</w:t>
      </w:r>
      <w:r w:rsidR="00C76055">
        <w:t>,</w:t>
      </w:r>
      <w:r>
        <w:t xml:space="preserve"> or $/hour.  This is defined as allocated VOM cost in the historical Maintenance Period divided by total MWhs, total fuel</w:t>
      </w:r>
      <w:r w:rsidR="00C76055">
        <w:t>,</w:t>
      </w:r>
      <w:r>
        <w:t xml:space="preserve"> or total on-line hours associated with the historical Maintenance Period, depending on VOM cost type.  </w:t>
      </w:r>
    </w:p>
    <w:p w14:paraId="47665F43" w14:textId="77777777" w:rsidR="00C54281" w:rsidRDefault="00C54281" w:rsidP="00C54281"/>
    <w:p w14:paraId="3D61690D" w14:textId="77777777" w:rsidR="00C54281" w:rsidRDefault="0002195B" w:rsidP="00C54281">
      <m:oMathPara>
        <m:oMathParaPr>
          <m:jc m:val="left"/>
        </m:oMathParaPr>
        <m:oMath>
          <m:r>
            <w:rPr>
              <w:rFonts w:ascii="Cambria Math" w:hAnsi="Cambria Math"/>
            </w:rPr>
            <m:t>Energy Offer Curve (EOC)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Style w:val="FootnoteReference"/>
              <w:rFonts w:ascii="Cambria Math" w:hAnsi="Cambria Math"/>
              <w:i/>
            </w:rPr>
            <w:footnoteReference w:id="5"/>
          </m:r>
        </m:oMath>
      </m:oMathPara>
    </w:p>
    <w:p w14:paraId="5D07FE26" w14:textId="77777777" w:rsidR="00C54281" w:rsidRDefault="00C54281" w:rsidP="00C54281"/>
    <w:p w14:paraId="16ADDD43" w14:textId="7B461EBB" w:rsidR="00C54281" w:rsidRDefault="0002195B" w:rsidP="00C54281">
      <m:oMathPara>
        <m:oMath>
          <m:r>
            <w:rPr>
              <w:rFonts w:ascii="Cambria Math" w:hAnsi="Cambria Math"/>
            </w:rPr>
            <m:t>=</m:t>
          </m:r>
          <m:f>
            <m:fPr>
              <m:ctrlPr>
                <w:rPr>
                  <w:rFonts w:ascii="Cambria Math" w:hAnsi="Cambria Math"/>
                  <w:i/>
                </w:rPr>
              </m:ctrlPr>
            </m:fPr>
            <m:num>
              <m:r>
                <w:rPr>
                  <w:rFonts w:ascii="Cambria Math" w:hAnsi="Cambria Math"/>
                </w:rPr>
                <m:t>Allocated EOC portion of Total VOM Dollars from Section 2.6</m:t>
              </m:r>
            </m:num>
            <m:den>
              <m:r>
                <w:rPr>
                  <w:rFonts w:ascii="Cambria Math" w:hAnsi="Cambria Math"/>
                </w:rPr>
                <m:t>Total MWhs in Maintenance Period</m:t>
              </m:r>
            </m:den>
          </m:f>
        </m:oMath>
      </m:oMathPara>
    </w:p>
    <w:p w14:paraId="270E0492" w14:textId="77777777" w:rsidR="00C54281" w:rsidRDefault="00C54281" w:rsidP="00C54281"/>
    <w:p w14:paraId="5FD2157A" w14:textId="77777777" w:rsidR="00C54281" w:rsidRDefault="0002195B" w:rsidP="00C54281">
      <m:oMathPara>
        <m:oMathParaPr>
          <m:jc m:val="left"/>
        </m:oMathParaPr>
        <m:oMath>
          <m:r>
            <w:rPr>
              <w:rFonts w:ascii="Cambria Math" w:hAnsi="Cambria Math"/>
            </w:rPr>
            <m:t>TFRC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Style w:val="FootnoteReference"/>
              <w:rFonts w:ascii="Cambria Math" w:hAnsi="Cambria Math"/>
              <w:i/>
            </w:rPr>
            <w:footnoteReference w:id="6"/>
          </m:r>
        </m:oMath>
      </m:oMathPara>
    </w:p>
    <w:p w14:paraId="198ECB41" w14:textId="77777777" w:rsidR="00C54281" w:rsidRDefault="00C54281" w:rsidP="00C54281"/>
    <w:p w14:paraId="16183F9A" w14:textId="77777777"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Allocated TFRC portion of Total VOM Dollars from Section 2.6</m:t>
              </m:r>
            </m:num>
            <m:den>
              <m:r>
                <w:rPr>
                  <w:rFonts w:ascii="Cambria Math" w:hAnsi="Cambria Math"/>
                </w:rPr>
                <m:t xml:space="preserve">Total Fuel </m:t>
              </m:r>
              <m:d>
                <m:dPr>
                  <m:ctrlPr>
                    <w:rPr>
                      <w:rFonts w:ascii="Cambria Math" w:hAnsi="Cambria Math"/>
                      <w:i/>
                    </w:rPr>
                  </m:ctrlPr>
                </m:dPr>
                <m:e>
                  <m:r>
                    <w:rPr>
                      <w:rFonts w:ascii="Cambria Math" w:hAnsi="Cambria Math"/>
                    </w:rPr>
                    <m:t>MMBtu</m:t>
                  </m:r>
                </m:e>
              </m:d>
              <m:r>
                <w:rPr>
                  <w:rFonts w:ascii="Cambria Math" w:hAnsi="Cambria Math"/>
                </w:rPr>
                <m:t>in Maintenance Period</m:t>
              </m:r>
            </m:den>
          </m:f>
        </m:oMath>
      </m:oMathPara>
    </w:p>
    <w:p w14:paraId="3B4CB942" w14:textId="77777777" w:rsidR="00C54281" w:rsidRDefault="00C54281" w:rsidP="00C54281"/>
    <w:p w14:paraId="096BE94E" w14:textId="77777777" w:rsidR="00C54281" w:rsidRDefault="0002195B" w:rsidP="00C54281">
      <m:oMathPara>
        <m:oMathParaPr>
          <m:jc m:val="left"/>
        </m:oMathParaPr>
        <m:oMath>
          <m:r>
            <w:rPr>
              <w:rFonts w:ascii="Cambria Math" w:hAnsi="Cambria Math"/>
            </w:rPr>
            <m:t>Noload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Style w:val="FootnoteReference"/>
              <w:rFonts w:ascii="Cambria Math" w:hAnsi="Cambria Math"/>
              <w:i/>
            </w:rPr>
            <w:footnoteReference w:id="7"/>
          </m:r>
        </m:oMath>
      </m:oMathPara>
    </w:p>
    <w:p w14:paraId="0BE1FE07" w14:textId="77777777" w:rsidR="00C54281" w:rsidRDefault="00C54281" w:rsidP="00C54281"/>
    <w:p w14:paraId="77DAF7DB" w14:textId="77777777"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Allocated Noload portion of Total VOM Dollars from Section 2.6</m:t>
              </m:r>
            </m:num>
            <m:den>
              <m:r>
                <w:rPr>
                  <w:rFonts w:ascii="Cambria Math" w:hAnsi="Cambria Math"/>
                </w:rPr>
                <m:t xml:space="preserve">Total Fuel </m:t>
              </m:r>
              <m:d>
                <m:dPr>
                  <m:ctrlPr>
                    <w:rPr>
                      <w:rFonts w:ascii="Cambria Math" w:hAnsi="Cambria Math"/>
                      <w:i/>
                    </w:rPr>
                  </m:ctrlPr>
                </m:dPr>
                <m:e>
                  <m:r>
                    <w:rPr>
                      <w:rFonts w:ascii="Cambria Math" w:hAnsi="Cambria Math"/>
                    </w:rPr>
                    <m:t>MMBtu</m:t>
                  </m:r>
                </m:e>
              </m:d>
              <m:r>
                <w:rPr>
                  <w:rFonts w:ascii="Cambria Math" w:hAnsi="Cambria Math"/>
                </w:rPr>
                <m:t>in Maintenance Period</m:t>
              </m:r>
            </m:den>
          </m:f>
        </m:oMath>
      </m:oMathPara>
    </w:p>
    <w:p w14:paraId="266377EF" w14:textId="77777777" w:rsidR="00C54281" w:rsidRDefault="00C54281" w:rsidP="00C54281"/>
    <w:p w14:paraId="50FCCA8A" w14:textId="77777777" w:rsidR="00C54281" w:rsidRDefault="0002195B" w:rsidP="00C54281">
      <m:oMathPara>
        <m:oMathParaPr>
          <m:jc m:val="left"/>
        </m:oMathParaPr>
        <m:oMath>
          <m:r>
            <w:rPr>
              <w:rFonts w:ascii="Cambria Math" w:hAnsi="Cambria Math"/>
            </w:rPr>
            <m:t>Noload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Style w:val="FootnoteReference"/>
              <w:rFonts w:ascii="Cambria Math" w:hAnsi="Cambria Math"/>
              <w:i/>
            </w:rPr>
            <w:footnoteReference w:id="8"/>
          </m:r>
        </m:oMath>
      </m:oMathPara>
    </w:p>
    <w:p w14:paraId="0CF2EB40" w14:textId="77777777" w:rsidR="00C54281" w:rsidRDefault="00C54281" w:rsidP="00C54281"/>
    <w:p w14:paraId="5E37A4EE" w14:textId="77777777"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Allocated Noload portion of Total VOM Dollars from Section 2.6</m:t>
              </m:r>
            </m:num>
            <m:den>
              <m:r>
                <w:rPr>
                  <w:rFonts w:ascii="Cambria Math" w:hAnsi="Cambria Math"/>
                </w:rPr>
                <m:t>Total on-line hours in Maintenance Period</m:t>
              </m:r>
            </m:den>
          </m:f>
        </m:oMath>
      </m:oMathPara>
    </w:p>
    <w:p w14:paraId="17BF1E86" w14:textId="77777777" w:rsidR="00C54281" w:rsidRDefault="0002195B" w:rsidP="00C54281">
      <m:oMathPara>
        <m:oMathParaPr>
          <m:jc m:val="left"/>
        </m:oMathParaPr>
        <m:oMath>
          <m:r>
            <w:rPr>
              <w:rFonts w:ascii="Cambria Math" w:hAnsi="Cambria Math"/>
            </w:rPr>
            <m:t>Startup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 xml:space="preserve"> </m:t>
          </m:r>
          <m:r>
            <w:rPr>
              <w:rStyle w:val="FootnoteReference"/>
              <w:rFonts w:ascii="Cambria Math" w:hAnsi="Cambria Math"/>
              <w:i/>
            </w:rPr>
            <w:footnoteReference w:id="9"/>
          </m:r>
        </m:oMath>
      </m:oMathPara>
    </w:p>
    <w:p w14:paraId="1A02A8EA" w14:textId="77777777" w:rsidR="00C54281" w:rsidRDefault="00C54281" w:rsidP="00C54281"/>
    <w:p w14:paraId="7316CF41" w14:textId="77777777" w:rsidR="00C54281" w:rsidRDefault="0002195B" w:rsidP="00C54281">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Allocated Startup portion of Total VOM Dollars from Section 2.6</m:t>
              </m:r>
            </m:num>
            <m:den>
              <m:r>
                <w:rPr>
                  <w:rFonts w:ascii="Cambria Math" w:hAnsi="Cambria Math"/>
                </w:rPr>
                <m:t>Total Starts in Maintenance Period</m:t>
              </m:r>
            </m:den>
          </m:f>
        </m:oMath>
      </m:oMathPara>
    </w:p>
    <w:p w14:paraId="4D19DDEF" w14:textId="77777777" w:rsidR="00C54281" w:rsidRDefault="00C54281" w:rsidP="00C54281"/>
    <w:p w14:paraId="7463F443" w14:textId="77777777" w:rsidR="00C54281" w:rsidRDefault="00C54281" w:rsidP="00C54281"/>
    <w:p w14:paraId="399E9165" w14:textId="7D398D41" w:rsidR="00C54281" w:rsidRDefault="00007C53" w:rsidP="00C54281">
      <m:oMathPara>
        <m:oMath>
          <m:r>
            <w:rPr>
              <w:rFonts w:ascii="Cambria Math" w:hAnsi="Cambria Math"/>
            </w:rPr>
            <m:t>Transition VOM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Transition</m:t>
                  </m:r>
                </m:den>
              </m:f>
            </m:e>
          </m:d>
          <m:r>
            <w:rPr>
              <w:rFonts w:ascii="Cambria Math" w:hAnsi="Cambria Math"/>
            </w:rPr>
            <m:t xml:space="preserve"> </m:t>
          </m:r>
          <m:r>
            <w:rPr>
              <w:rStyle w:val="FootnoteReference"/>
              <w:rFonts w:ascii="Cambria Math" w:hAnsi="Cambria Math"/>
              <w:i/>
            </w:rPr>
            <w:footnoteReference w:id="10"/>
          </m:r>
        </m:oMath>
      </m:oMathPara>
    </w:p>
    <w:p w14:paraId="133CAEA1" w14:textId="77777777" w:rsidR="00C54281" w:rsidRDefault="00C54281" w:rsidP="00C54281"/>
    <w:p w14:paraId="1A040F49" w14:textId="23ECE4C3" w:rsidR="00C54281" w:rsidRDefault="0002195B" w:rsidP="00C54281">
      <m:oMathPara>
        <m:oMath>
          <m:r>
            <w:rPr>
              <w:rFonts w:ascii="Cambria Math" w:hAnsi="Cambria Math"/>
            </w:rPr>
            <m:t>=</m:t>
          </m:r>
          <m:f>
            <m:fPr>
              <m:ctrlPr>
                <w:rPr>
                  <w:rFonts w:ascii="Cambria Math" w:hAnsi="Cambria Math"/>
                  <w:i/>
                </w:rPr>
              </m:ctrlPr>
            </m:fPr>
            <m:num>
              <m:r>
                <w:rPr>
                  <w:rFonts w:ascii="Cambria Math" w:hAnsi="Cambria Math"/>
                </w:rPr>
                <m:t>Allocated Combined Cycle Transition of Total VOM Dollars from Section 2.6</m:t>
              </m:r>
            </m:num>
            <m:den>
              <m:r>
                <w:rPr>
                  <w:rFonts w:ascii="Cambria Math" w:hAnsi="Cambria Math"/>
                </w:rPr>
                <m:t>Total Transitions in Maintenance Period</m:t>
              </m:r>
            </m:den>
          </m:f>
        </m:oMath>
      </m:oMathPara>
    </w:p>
    <w:p w14:paraId="28CB3139" w14:textId="358C3E1F" w:rsidR="00C54281" w:rsidRDefault="00C54281" w:rsidP="00C54281">
      <w:pPr>
        <w:pStyle w:val="Normal120"/>
        <w:jc w:val="both"/>
      </w:pPr>
      <w:r>
        <w:t>The VOM costs should be reviewed and updated at least once every twelve</w:t>
      </w:r>
      <w:r w:rsidR="00554336">
        <w:t xml:space="preserve"> (12)</w:t>
      </w:r>
      <w:r>
        <w:t xml:space="preserve"> months or once in the maintenance cycle, whichever is shorter.  </w:t>
      </w:r>
    </w:p>
    <w:p w14:paraId="162C190C" w14:textId="11D42B76" w:rsidR="00C54281" w:rsidRDefault="00C54281" w:rsidP="00C54281">
      <w:pPr>
        <w:pStyle w:val="Normal120"/>
        <w:jc w:val="both"/>
      </w:pPr>
      <w:r>
        <w:t xml:space="preserve">If a Market Participant feels that a Resource modification or required change in operating procedures will affect the Resource's VOM costs, the revised VOM costs must be submitted to the Market Monitor for review and approval pursuant to the Mitigated Offer </w:t>
      </w:r>
      <w:r w:rsidR="00692523">
        <w:t>Development</w:t>
      </w:r>
      <w:r>
        <w:t xml:space="preserve"> Methodology Approval Process.  </w:t>
      </w:r>
    </w:p>
    <w:p w14:paraId="34C9A3D2" w14:textId="6CEAA31D" w:rsidR="00C54281" w:rsidRDefault="00690F95" w:rsidP="00781C61">
      <w:pPr>
        <w:pStyle w:val="3Appx3"/>
        <w:numPr>
          <w:ilvl w:val="0"/>
          <w:numId w:val="0"/>
        </w:numPr>
      </w:pPr>
      <w:bookmarkStart w:id="11506" w:name="_Ref345321173"/>
      <w:bookmarkStart w:id="11507" w:name="_Toc351019747"/>
      <w:bookmarkStart w:id="11508" w:name="_Toc363483293"/>
      <w:bookmarkStart w:id="11509" w:name="_Toc131493423"/>
      <w:bookmarkStart w:id="11510" w:name="_Toc213772273"/>
      <w:r>
        <w:t>D.2.7</w:t>
      </w:r>
      <w:r>
        <w:tab/>
      </w:r>
      <w:r w:rsidR="00C54281">
        <w:t>Mitigated Energy Offer Curve</w:t>
      </w:r>
      <w:bookmarkEnd w:id="11506"/>
      <w:bookmarkEnd w:id="11507"/>
      <w:bookmarkEnd w:id="11508"/>
      <w:bookmarkEnd w:id="11509"/>
      <w:bookmarkEnd w:id="11510"/>
    </w:p>
    <w:p w14:paraId="369E8D8D" w14:textId="6B4E5C42" w:rsidR="00C54281" w:rsidRDefault="00C54281" w:rsidP="00C54281">
      <w:pPr>
        <w:pStyle w:val="Normal120"/>
        <w:jc w:val="both"/>
      </w:pPr>
      <w:r>
        <w:t xml:space="preserve">The </w:t>
      </w:r>
      <w:r>
        <w:rPr>
          <w:b/>
        </w:rPr>
        <w:t>Mitigated Energy Offer Curve</w:t>
      </w:r>
      <w:r>
        <w:t xml:space="preserve"> is a set of up to ten</w:t>
      </w:r>
      <w:r w:rsidR="00790637">
        <w:t xml:space="preserve"> (10)</w:t>
      </w:r>
      <w:r>
        <w:t xml:space="preserve"> price/quantity pairs (measured in $/MWh and MW) describing the short-run marginal cost of providing energy based on the heat rate curve, fuel cost, variable operations and maintenance costs</w:t>
      </w:r>
      <w:r w:rsidR="00494A18">
        <w:t>,</w:t>
      </w:r>
      <w:r>
        <w:t xml:space="preserve"> and Schedule 1B charges.</w:t>
      </w:r>
    </w:p>
    <w:p w14:paraId="7BA92107" w14:textId="77777777" w:rsidR="00C54281" w:rsidRDefault="00C54281" w:rsidP="00C54281"/>
    <w:p w14:paraId="2264FC56" w14:textId="77777777" w:rsidR="00C54281" w:rsidRDefault="0002195B" w:rsidP="00C54281">
      <m:oMath>
        <m:r>
          <w:rPr>
            <w:rFonts w:ascii="Cambria Math" w:hAnsi="Cambria Math"/>
          </w:rPr>
          <m:t xml:space="preserve">Mitigated Energy Offer </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oMath>
      <w:r w:rsidR="00C54281">
        <w:t xml:space="preserve"> = </w:t>
      </w:r>
    </w:p>
    <w:p w14:paraId="17312D36" w14:textId="77777777" w:rsidR="00C54281" w:rsidRDefault="00C54281" w:rsidP="00C54281"/>
    <w:p w14:paraId="54A02C69" w14:textId="6FB430AF" w:rsidR="00C54281" w:rsidRPr="00E94CBF" w:rsidRDefault="00A82D83" w:rsidP="00C54281">
      <w:pPr>
        <w:rPr>
          <w:i/>
        </w:rPr>
      </w:pPr>
      <m:oMath>
        <m:r>
          <w:rPr>
            <w:rFonts w:ascii="Cambria Math" w:hAnsi="Cambria Math"/>
          </w:rPr>
          <m:t>HeatRate</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MWh</m:t>
                </m:r>
              </m:den>
            </m:f>
          </m:e>
        </m:d>
        <m:r>
          <w:rPr>
            <w:rFonts w:ascii="Cambria Math" w:hAnsi="Cambria Math"/>
          </w:rPr>
          <m:t>*Performance Factor*Total Fuel Related Costs</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+EOC VOM</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 xml:space="preserve"> + Schedule 1-B Charge ($/MWh) + MTU</m:t>
        </m:r>
      </m:oMath>
      <w:r w:rsidR="00C54281" w:rsidRPr="00E94CBF">
        <w:rPr>
          <w:i/>
        </w:rPr>
        <w:t xml:space="preserve"> </w:t>
      </w:r>
    </w:p>
    <w:p w14:paraId="1FD4900A" w14:textId="77777777" w:rsidR="00C54281" w:rsidRDefault="00C54281" w:rsidP="00C54281">
      <w:pPr>
        <w:pStyle w:val="Normal120"/>
        <w:jc w:val="both"/>
      </w:pPr>
    </w:p>
    <w:p w14:paraId="38A68595" w14:textId="5493C297" w:rsidR="00C54281" w:rsidRDefault="00C54281" w:rsidP="00C54281">
      <w:pPr>
        <w:pStyle w:val="Normal120"/>
        <w:jc w:val="both"/>
      </w:pPr>
      <w:r>
        <w:t xml:space="preserve">where Energy Offer Curve (EOC) VOM is defined in Section D.2.7, the heat rate is as defined in Section </w:t>
      </w:r>
      <w:r>
        <w:fldChar w:fldCharType="begin"/>
      </w:r>
      <w:r>
        <w:instrText xml:space="preserve"> REF _Ref332266011 \r \h  \* MERGEFORMAT </w:instrText>
      </w:r>
      <w:r>
        <w:fldChar w:fldCharType="separate"/>
      </w:r>
      <w:r>
        <w:t>D.2.1</w:t>
      </w:r>
      <w:r>
        <w:fldChar w:fldCharType="end"/>
      </w:r>
      <w:r>
        <w:t xml:space="preserve">, the performance factor is as defined in Section </w:t>
      </w:r>
      <w:r>
        <w:fldChar w:fldCharType="begin"/>
      </w:r>
      <w:r>
        <w:instrText xml:space="preserve"> REF _Ref332266034 \r \h  \* MERGEFORMAT </w:instrText>
      </w:r>
      <w:r>
        <w:fldChar w:fldCharType="separate"/>
      </w:r>
      <w:r>
        <w:t>D.2.4</w:t>
      </w:r>
      <w:r>
        <w:fldChar w:fldCharType="end"/>
      </w:r>
      <w:r>
        <w:t xml:space="preserve">, and the Total Fuel Related Cost is as defined in Section </w:t>
      </w:r>
      <w:r>
        <w:fldChar w:fldCharType="begin"/>
      </w:r>
      <w:r>
        <w:instrText xml:space="preserve"> REF _Ref332266078 \r \h  \* MERGEFORMAT </w:instrText>
      </w:r>
      <w:r>
        <w:fldChar w:fldCharType="separate"/>
      </w:r>
      <w:r>
        <w:t>D.2.5.3</w:t>
      </w:r>
      <w:r>
        <w:fldChar w:fldCharType="end"/>
      </w:r>
      <w:r>
        <w:t>.  The EOC VOM is calculated using an allocated portion of the total VOM calculated under Section D 2.6.  The currently approved Schedule 1-B of the Markets+ Tariff, and MTU as applicable; these are posted on spp.org.</w:t>
      </w:r>
    </w:p>
    <w:p w14:paraId="675F7693" w14:textId="34D1C8AF" w:rsidR="00C54281" w:rsidRDefault="00C54281" w:rsidP="00C54281">
      <w:pPr>
        <w:pStyle w:val="Normal120"/>
        <w:jc w:val="both"/>
        <w:rPr>
          <w:b/>
        </w:rPr>
      </w:pPr>
      <w:r>
        <w:t>Note that the sum of total allocated $ used to calculate EOC VOM included here, the allocated VOM $ used to calculate TFRC VOM under Section 2.3, the allocated VOM $ used to calculate No-Load VOM under D.2.9</w:t>
      </w:r>
      <w:r w:rsidR="00445752">
        <w:t xml:space="preserve"> and</w:t>
      </w:r>
      <w:r>
        <w:t xml:space="preserve"> the allocated VOM $ used to calculate Start-Up VOM under D 2.8 must not exceed the total VOM $ calculated under Section D 2.6.</w:t>
      </w:r>
    </w:p>
    <w:p w14:paraId="5454D040" w14:textId="22957C1C" w:rsidR="00C54281" w:rsidRDefault="00690F95" w:rsidP="00781C61">
      <w:pPr>
        <w:pStyle w:val="3Appx3"/>
        <w:numPr>
          <w:ilvl w:val="0"/>
          <w:numId w:val="0"/>
        </w:numPr>
      </w:pPr>
      <w:bookmarkStart w:id="11511" w:name="_Ref343844373"/>
      <w:bookmarkStart w:id="11512" w:name="_Toc351019748"/>
      <w:bookmarkStart w:id="11513" w:name="_Toc363483294"/>
      <w:bookmarkStart w:id="11514" w:name="_Toc131493424"/>
      <w:bookmarkStart w:id="11515" w:name="_Toc213772274"/>
      <w:r>
        <w:t>D.2.8</w:t>
      </w:r>
      <w:r>
        <w:tab/>
      </w:r>
      <w:r w:rsidR="00C54281">
        <w:t>Mitigated Start- Up Offer</w:t>
      </w:r>
      <w:bookmarkEnd w:id="11511"/>
      <w:bookmarkEnd w:id="11512"/>
      <w:bookmarkEnd w:id="11513"/>
      <w:bookmarkEnd w:id="11514"/>
      <w:bookmarkEnd w:id="11515"/>
    </w:p>
    <w:p w14:paraId="54C601D6" w14:textId="5D0FF9D5" w:rsidR="00C54281" w:rsidRDefault="00690F95" w:rsidP="00E679DC">
      <w:pPr>
        <w:pStyle w:val="Heading471"/>
      </w:pPr>
      <w:bookmarkStart w:id="11516" w:name="_Toc351019749"/>
      <w:bookmarkStart w:id="11517" w:name="_Toc363483295"/>
      <w:bookmarkStart w:id="11518" w:name="_Toc131493425"/>
      <w:bookmarkStart w:id="11519" w:name="_Toc213772275"/>
      <w:r>
        <w:t>D.2.8.1</w:t>
      </w:r>
      <w:r w:rsidR="00575B8A">
        <w:tab/>
      </w:r>
      <w:r>
        <w:tab/>
      </w:r>
      <w:r w:rsidR="00C54281">
        <w:t>Start- Up Offer Definitions</w:t>
      </w:r>
      <w:bookmarkEnd w:id="11516"/>
      <w:bookmarkEnd w:id="11517"/>
      <w:bookmarkEnd w:id="11518"/>
      <w:bookmarkEnd w:id="11519"/>
    </w:p>
    <w:p w14:paraId="4B415FBC" w14:textId="77777777" w:rsidR="00C54281" w:rsidRDefault="00C54281" w:rsidP="00C54281">
      <w:pPr>
        <w:pStyle w:val="Normal120"/>
        <w:jc w:val="both"/>
      </w:pPr>
      <w:r>
        <w:t>The</w:t>
      </w:r>
      <w:r>
        <w:rPr>
          <w:b/>
        </w:rPr>
        <w:t xml:space="preserve"> Mitigated Start-Up Offer </w:t>
      </w:r>
      <w:r>
        <w:t xml:space="preserve">is the dollars per start as determined from start fuel, total fuel-related cost, performance factor, electrical costs, start VOM cost, start major maintenance cost, and additional labor cost, if required above normal station manning levels.  </w:t>
      </w:r>
    </w:p>
    <w:p w14:paraId="260285D7" w14:textId="77777777" w:rsidR="00C54281" w:rsidRDefault="0002195B" w:rsidP="00C54281">
      <w:pPr>
        <w:rPr>
          <w:sz w:val="22"/>
        </w:rPr>
      </w:pPr>
      <m:oMathPara>
        <m:oMathParaPr>
          <m:jc m:val="left"/>
        </m:oMathParaPr>
        <m:oMath>
          <m:r>
            <w:rPr>
              <w:rFonts w:ascii="Cambria Math" w:hAnsi="Cambria Math"/>
            </w:rPr>
            <m:t>Mitigated Start</m:t>
          </m:r>
          <m:r>
            <m:rPr>
              <m:sty m:val="p"/>
            </m:rPr>
            <w:rPr>
              <w:rFonts w:ascii="Cambria Math" w:hAnsi="Cambria Math"/>
            </w:rPr>
            <m:t>-</m:t>
          </m:r>
          <m:r>
            <w:rPr>
              <w:rFonts w:ascii="Cambria Math" w:hAnsi="Cambria Math"/>
            </w:rPr>
            <m:t>Up Offer</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 xml:space="preserve">= </m:t>
          </m:r>
        </m:oMath>
      </m:oMathPara>
    </w:p>
    <w:p w14:paraId="49D55B14" w14:textId="77777777" w:rsidR="00C54281" w:rsidRDefault="00C54281" w:rsidP="00C54281"/>
    <w:p w14:paraId="1913DD2B" w14:textId="77777777" w:rsidR="00C54281" w:rsidRDefault="00977324" w:rsidP="00C54281">
      <w:pPr>
        <w:ind w:left="-270" w:firstLine="270"/>
      </w:pPr>
      <m:oMathPara>
        <m:oMathParaPr>
          <m:jc m:val="center"/>
        </m:oMathParaPr>
        <m:oMath>
          <m:d>
            <m:dPr>
              <m:begChr m:val="["/>
              <m:endChr m:val="]"/>
              <m:ctrlPr>
                <w:rPr>
                  <w:rFonts w:ascii="Cambria Math" w:hAnsi="Cambria Math"/>
                  <w:i/>
                </w:rPr>
              </m:ctrlPr>
            </m:dPr>
            <m:e>
              <m:r>
                <w:rPr>
                  <w:rFonts w:ascii="Cambria Math" w:hAnsi="Cambria Math"/>
                </w:rPr>
                <m:t>Start</m:t>
              </m:r>
              <m:r>
                <w:rPr>
                  <w:rFonts w:ascii="Cambria Math" w:hAnsi="Cambria Math"/>
                </w:rPr>
                <m:t xml:space="preserve"> </m:t>
              </m:r>
              <m:r>
                <w:rPr>
                  <w:rFonts w:ascii="Cambria Math" w:hAnsi="Cambria Math"/>
                </w:rPr>
                <m:t>Fuel</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Start</m:t>
                      </m:r>
                    </m:den>
                  </m:f>
                </m:e>
              </m:d>
              <m:r>
                <w:rPr>
                  <w:rFonts w:ascii="Cambria Math" w:hAnsi="Cambria Math"/>
                </w:rPr>
                <m:t>*</m:t>
              </m:r>
              <m:r>
                <w:rPr>
                  <w:rFonts w:ascii="Cambria Math" w:hAnsi="Cambria Math"/>
                </w:rPr>
                <m:t>TFRC</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e>
          </m:d>
          <m:r>
            <w:rPr>
              <w:rFonts w:ascii="Cambria Math" w:hAnsi="Cambria Math"/>
            </w:rPr>
            <m:t>+</m:t>
          </m:r>
          <m:d>
            <m:dPr>
              <m:begChr m:val="["/>
              <m:endChr m:val="]"/>
              <m:ctrlPr>
                <w:rPr>
                  <w:rFonts w:ascii="Cambria Math" w:hAnsi="Cambria Math"/>
                  <w:i/>
                </w:rPr>
              </m:ctrlPr>
            </m:dPr>
            <m:e>
              <m:r>
                <w:rPr>
                  <w:rFonts w:ascii="Cambria Math" w:hAnsi="Cambria Math"/>
                </w:rPr>
                <m:t>Station</m:t>
              </m:r>
              <m:r>
                <w:rPr>
                  <w:rFonts w:ascii="Cambria Math" w:hAnsi="Cambria Math"/>
                </w:rPr>
                <m:t xml:space="preserve"> </m:t>
              </m:r>
              <m:r>
                <w:rPr>
                  <w:rFonts w:ascii="Cambria Math" w:hAnsi="Cambria Math"/>
                </w:rPr>
                <m:t>Service</m:t>
              </m:r>
              <m:d>
                <m:dPr>
                  <m:ctrlPr>
                    <w:rPr>
                      <w:rFonts w:ascii="Cambria Math" w:hAnsi="Cambria Math"/>
                      <w:i/>
                    </w:rPr>
                  </m:ctrlPr>
                </m:dPr>
                <m:e>
                  <m:r>
                    <w:rPr>
                      <w:rFonts w:ascii="Cambria Math" w:hAnsi="Cambria Math"/>
                    </w:rPr>
                    <m:t>MW</m:t>
                  </m:r>
                  <m:r>
                    <w:rPr>
                      <w:rFonts w:ascii="Cambria Math" w:hAnsi="Cambria Math"/>
                    </w:rPr>
                    <m:t>h</m:t>
                  </m:r>
                  <m:r>
                    <w:rPr>
                      <w:rFonts w:ascii="Cambria Math" w:hAnsi="Cambria Math"/>
                    </w:rPr>
                    <m:t>/</m:t>
                  </m:r>
                  <m:r>
                    <w:rPr>
                      <w:rFonts w:ascii="Cambria Math" w:hAnsi="Cambria Math"/>
                    </w:rPr>
                    <m:t>Start</m:t>
                  </m:r>
                </m:e>
              </m:d>
              <m:r>
                <w:rPr>
                  <w:rFonts w:ascii="Cambria Math" w:hAnsi="Cambria Math"/>
                </w:rPr>
                <m:t>*</m:t>
              </m:r>
              <m:r>
                <w:rPr>
                  <w:rFonts w:ascii="Cambria Math" w:hAnsi="Cambria Math"/>
                </w:rPr>
                <m:t>StationService</m:t>
              </m:r>
              <m:r>
                <w:rPr>
                  <w:rFonts w:ascii="Cambria Math" w:hAnsi="Cambria Math"/>
                </w:rPr>
                <m:t xml:space="preserve"> </m:t>
              </m:r>
              <m:r>
                <w:rPr>
                  <w:rFonts w:ascii="Cambria Math" w:hAnsi="Cambria Math"/>
                </w:rPr>
                <m:t>Rate</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m:t>
                      </m:r>
                      <m:r>
                        <w:rPr>
                          <w:rFonts w:ascii="Cambria Math" w:hAnsi="Cambria Math"/>
                        </w:rPr>
                        <m:t>h</m:t>
                      </m:r>
                    </m:den>
                  </m:f>
                </m:e>
              </m:d>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Start</m:t>
          </m:r>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Additional</m:t>
          </m:r>
          <m:r>
            <w:rPr>
              <w:rFonts w:ascii="Cambria Math" w:hAnsi="Cambria Math"/>
            </w:rPr>
            <m:t xml:space="preserve"> </m:t>
          </m:r>
          <m:r>
            <w:rPr>
              <w:rFonts w:ascii="Cambria Math" w:hAnsi="Cambria Math"/>
            </w:rPr>
            <m:t>Labor</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oMath>
      </m:oMathPara>
    </w:p>
    <w:p w14:paraId="2A18785D" w14:textId="77777777" w:rsidR="00C54281" w:rsidRDefault="00C54281" w:rsidP="00C54281">
      <w:pPr>
        <w:pStyle w:val="Normal120"/>
        <w:jc w:val="both"/>
        <w:rPr>
          <w:b/>
        </w:rPr>
      </w:pPr>
    </w:p>
    <w:p w14:paraId="07CE550A" w14:textId="3BCAD1C9" w:rsidR="00C54281" w:rsidRDefault="00C54281" w:rsidP="00C54281">
      <w:pPr>
        <w:pStyle w:val="Normal120"/>
        <w:jc w:val="both"/>
      </w:pPr>
      <w:r>
        <w:rPr>
          <w:b/>
        </w:rPr>
        <w:t>Station Service Rate</w:t>
      </w:r>
      <w:r>
        <w:t xml:space="preserve"> is either a $/MWh value equal to the 12-month rolling average LMP at the station, updated at least quarterly, or the retail tariff rate applicable to the Resource not included in the VOM cost calculated under Section </w:t>
      </w:r>
      <w:r w:rsidR="00AE2478">
        <w:t>D.</w:t>
      </w:r>
      <w:r>
        <w:t xml:space="preserve">2.6.  Other methodologies for Station Service Rate may be submitted to the Market Monitor for consideration.  </w:t>
      </w:r>
    </w:p>
    <w:p w14:paraId="11A11E87" w14:textId="77777777" w:rsidR="00C54281" w:rsidRDefault="00C54281" w:rsidP="00C54281">
      <w:pPr>
        <w:pStyle w:val="Normal120"/>
        <w:jc w:val="both"/>
      </w:pPr>
      <w:r>
        <w:rPr>
          <w:b/>
        </w:rPr>
        <w:t>Start Fuel</w:t>
      </w:r>
      <w:r>
        <w:t xml:space="preserve"> is the fuel consumed from first fire of start process (initial reactor criticality for nuclear Resources) to breaker closing (including auxiliary boiler fuel) plus fuel expended from breaker opening of the previous shutdown to initialization of the Resource start-up, excluding normal plant heating/auxiliary equipment fuel requirements.  </w:t>
      </w:r>
    </w:p>
    <w:p w14:paraId="6D1CD5DD" w14:textId="4D2A7ED9" w:rsidR="00C54281" w:rsidRDefault="00C54281" w:rsidP="00C54281">
      <w:pPr>
        <w:pStyle w:val="Normal120"/>
        <w:jc w:val="both"/>
      </w:pPr>
      <w:r>
        <w:rPr>
          <w:b/>
        </w:rPr>
        <w:t>Start VOM</w:t>
      </w:r>
      <w:r>
        <w:t xml:space="preserve"> </w:t>
      </w:r>
      <w:r>
        <w:rPr>
          <w:b/>
        </w:rPr>
        <w:t xml:space="preserve">Cost </w:t>
      </w:r>
      <w:r>
        <w:t xml:space="preserve">– The Start VOM cost is calculated using an allocated portion of the total VOM cost calculated under Section </w:t>
      </w:r>
      <w:r w:rsidR="00CB1585">
        <w:t>D.</w:t>
      </w:r>
      <w:r>
        <w:t>2.6.  Note that the sum of total allocated cost used to calculate Start VOM cost included here, the allocated VOM cost used to calculate TFRC VOM cost under Section D</w:t>
      </w:r>
      <w:r w:rsidR="00CA1248">
        <w:t>.</w:t>
      </w:r>
      <w:r>
        <w:t xml:space="preserve">2.5.3, the allocated VOM cost used to calculate No-Load VOM cost under </w:t>
      </w:r>
      <w:r w:rsidR="0099275C">
        <w:t>D.</w:t>
      </w:r>
      <w:r>
        <w:t xml:space="preserve">2.9, </w:t>
      </w:r>
      <w:r w:rsidR="00623190">
        <w:t>and</w:t>
      </w:r>
      <w:r>
        <w:t xml:space="preserve"> the allocated VOM cost used to calculate EOC VOM cost under D</w:t>
      </w:r>
      <w:r w:rsidR="0099275C">
        <w:t>.</w:t>
      </w:r>
      <w:r>
        <w:t xml:space="preserve">2.7 must not exceed the total VOM cost calculated under Section </w:t>
      </w:r>
      <w:r w:rsidR="00CB1585">
        <w:t>D.</w:t>
      </w:r>
      <w:r>
        <w:t>2.6.</w:t>
      </w:r>
    </w:p>
    <w:p w14:paraId="064581AA" w14:textId="56DA89C1" w:rsidR="00C54281" w:rsidRDefault="00C54281" w:rsidP="00C54281">
      <w:pPr>
        <w:pStyle w:val="Normal120"/>
        <w:jc w:val="both"/>
      </w:pPr>
      <w:r>
        <w:rPr>
          <w:b/>
        </w:rPr>
        <w:t>Start Major Maintenance Cost</w:t>
      </w:r>
      <w:r>
        <w:t xml:space="preserve"> – A Start Major Maintenance Cost may be included as a component of the Mitigated Start-Up Offer.  Such cost must be based solely on resource-specific information derived from actual variable maintenance costs, when available, or estimated variable maintenance costs.</w:t>
      </w:r>
    </w:p>
    <w:p w14:paraId="338C0C55" w14:textId="72513441" w:rsidR="00C54281" w:rsidRDefault="00C54281" w:rsidP="00C54281">
      <w:pPr>
        <w:pStyle w:val="Normal120"/>
        <w:jc w:val="both"/>
      </w:pPr>
      <w:r>
        <w:t>The costs will be provided by the Market Participant to the Market Monitor.  The Market Monitor will evaluate the information provided by Market Participants and may require Market Participants to provide additional information to enable the Market Monitor to determine reasonable costs for major maintenance expenses or to conduct audits of major maintenance expenses.  The maintenance period for this cost must be tied to the number of Resource starts.</w:t>
      </w:r>
    </w:p>
    <w:p w14:paraId="1EC1EDDA" w14:textId="51275D54" w:rsidR="00C54281" w:rsidRDefault="00C54281" w:rsidP="00C54281">
      <w:pPr>
        <w:pStyle w:val="Normal120"/>
        <w:jc w:val="both"/>
      </w:pPr>
      <w:r>
        <w:t xml:space="preserve">Only major maintenance costs agreed to in advance by the Market Monitor and the Market Participant will be allowed to be included as part of the participant’s Mitigated Start-Up Offer.  Market Participants may submit updated resource-specific major maintenance information for purposes of seeking a change to any major maintenance cost, no sooner than thirty (30) </w:t>
      </w:r>
      <w:r w:rsidR="00ED10A8">
        <w:t>C</w:t>
      </w:r>
      <w:r>
        <w:t xml:space="preserve">alendar </w:t>
      </w:r>
      <w:r w:rsidR="00ED10A8">
        <w:t>D</w:t>
      </w:r>
      <w:r>
        <w:t>ays after a previous major maintenance cost has been agreed upon by the Market Monitor.</w:t>
      </w:r>
    </w:p>
    <w:p w14:paraId="10CE76ED" w14:textId="651043A6" w:rsidR="00C54281" w:rsidRDefault="00C54281" w:rsidP="00C54281">
      <w:pPr>
        <w:pStyle w:val="Normal120"/>
        <w:jc w:val="both"/>
      </w:pPr>
      <w:r>
        <w:t xml:space="preserve">Within fifteen (15) calendar days of receipt of the information or any requested additional information, the Market Monitor will notify the Market Participant in writing whether it has sufficient information to determine reasonable major maintenance costs to be included in the Mitigated Start-Up Offer.  Within fifteen (15) </w:t>
      </w:r>
      <w:r w:rsidR="00ED10A8">
        <w:t>C</w:t>
      </w:r>
      <w:r>
        <w:t xml:space="preserve">alendar </w:t>
      </w:r>
      <w:r w:rsidR="00ED10A8">
        <w:t>D</w:t>
      </w:r>
      <w:r>
        <w:t xml:space="preserve">ays after providing written notification to the Market Participant that the information is sufficient, the Market Monitor will determine the reasonable cost for major maintenance expenses to be included in the Mitigated Start-Up Offer and will inform the Market Participant in writing.  Once the Market Participant has received this notification, the Market Participant will be allowed to include the major maintenance cost in the Mitigated Start-Up Offer. </w:t>
      </w:r>
    </w:p>
    <w:p w14:paraId="5BB51473" w14:textId="3F46D507" w:rsidR="00C54281" w:rsidRDefault="00C54281" w:rsidP="00C54281">
      <w:pPr>
        <w:pStyle w:val="Normal120"/>
        <w:jc w:val="both"/>
      </w:pPr>
      <w:r>
        <w:rPr>
          <w:b/>
        </w:rPr>
        <w:t>Start Additional Labor Cost</w:t>
      </w:r>
      <w:r>
        <w:t xml:space="preserve"> – Additional labor costs for start-up required above normal station manning levels not included in the VOM cost calculated under Section </w:t>
      </w:r>
      <w:r w:rsidR="00CD2763">
        <w:t>D.</w:t>
      </w:r>
      <w:r>
        <w:t xml:space="preserve">2.6.  A different value may be submitted for on-peak versus off-peak periods.  </w:t>
      </w:r>
    </w:p>
    <w:p w14:paraId="4CDE5C03" w14:textId="45318804" w:rsidR="00C54281" w:rsidRDefault="00690F95" w:rsidP="00781C61">
      <w:pPr>
        <w:pStyle w:val="3Appx3"/>
        <w:numPr>
          <w:ilvl w:val="0"/>
          <w:numId w:val="0"/>
        </w:numPr>
      </w:pPr>
      <w:bookmarkStart w:id="11520" w:name="_Ref332375304"/>
      <w:bookmarkStart w:id="11521" w:name="_Ref345314762"/>
      <w:bookmarkStart w:id="11522" w:name="_Ref345317713"/>
      <w:bookmarkStart w:id="11523" w:name="_Ref345317845"/>
      <w:bookmarkStart w:id="11524" w:name="_Ref345317926"/>
      <w:bookmarkStart w:id="11525" w:name="_Toc351019750"/>
      <w:bookmarkStart w:id="11526" w:name="_Toc363483296"/>
      <w:bookmarkStart w:id="11527" w:name="_Toc131493426"/>
      <w:bookmarkStart w:id="11528" w:name="_Toc213772276"/>
      <w:r>
        <w:t>D.2.9</w:t>
      </w:r>
      <w:r>
        <w:tab/>
      </w:r>
      <w:r w:rsidR="00C54281">
        <w:t>Mitigated No-Load</w:t>
      </w:r>
      <w:bookmarkEnd w:id="11520"/>
      <w:r w:rsidR="00C54281">
        <w:t xml:space="preserve"> Offer</w:t>
      </w:r>
      <w:bookmarkEnd w:id="11521"/>
      <w:bookmarkEnd w:id="11522"/>
      <w:bookmarkEnd w:id="11523"/>
      <w:bookmarkEnd w:id="11524"/>
      <w:bookmarkEnd w:id="11525"/>
      <w:bookmarkEnd w:id="11526"/>
      <w:bookmarkEnd w:id="11527"/>
      <w:bookmarkEnd w:id="11528"/>
    </w:p>
    <w:p w14:paraId="097CCFEF" w14:textId="1B34015B" w:rsidR="00C54281" w:rsidRDefault="00690F95" w:rsidP="00E679DC">
      <w:pPr>
        <w:pStyle w:val="Heading471"/>
      </w:pPr>
      <w:bookmarkStart w:id="11529" w:name="_Toc351019751"/>
      <w:bookmarkStart w:id="11530" w:name="_Toc363483297"/>
      <w:bookmarkStart w:id="11531" w:name="_Toc131493427"/>
      <w:bookmarkStart w:id="11532" w:name="_Toc213772277"/>
      <w:r>
        <w:t>D.2.9.1</w:t>
      </w:r>
      <w:r>
        <w:tab/>
      </w:r>
      <w:r w:rsidR="00575B8A">
        <w:tab/>
      </w:r>
      <w:r w:rsidR="00C54281">
        <w:t>No-Load Definitions</w:t>
      </w:r>
      <w:bookmarkEnd w:id="11529"/>
      <w:bookmarkEnd w:id="11530"/>
      <w:bookmarkEnd w:id="11531"/>
      <w:bookmarkEnd w:id="11532"/>
    </w:p>
    <w:p w14:paraId="1441CC6F" w14:textId="253F1229" w:rsidR="00C54281" w:rsidRDefault="00C54281" w:rsidP="00C54281">
      <w:pPr>
        <w:pStyle w:val="Normal120"/>
        <w:jc w:val="both"/>
      </w:pPr>
      <w:r>
        <w:rPr>
          <w:b/>
        </w:rPr>
        <w:t xml:space="preserve">Mitigated No-load Offer </w:t>
      </w:r>
      <w:r>
        <w:t>is the hourly fixed cost, expressed in $/h</w:t>
      </w:r>
      <w:r w:rsidR="00BD46C7">
        <w:t>ou</w:t>
      </w:r>
      <w:r>
        <w:t>r, required to operate the Resource at zero</w:t>
      </w:r>
      <w:r w:rsidR="004567EE">
        <w:t xml:space="preserve"> (0)</w:t>
      </w:r>
      <w:r>
        <w:t xml:space="preserve"> electricity output to the grid.  This is used in creating a monotonically non-decreasing incremental cost curve.</w:t>
      </w:r>
      <w:r>
        <w:rPr>
          <w:strike/>
          <w:color w:val="4F81BD" w:themeColor="accent1"/>
        </w:rPr>
        <w:t xml:space="preserve"> </w:t>
      </w:r>
    </w:p>
    <w:p w14:paraId="3B4C722D" w14:textId="1C1C6178" w:rsidR="00C54281" w:rsidRDefault="00690F95" w:rsidP="00E679DC">
      <w:pPr>
        <w:pStyle w:val="Heading471"/>
      </w:pPr>
      <w:bookmarkStart w:id="11533" w:name="_Toc351019752"/>
      <w:bookmarkStart w:id="11534" w:name="_Toc363483298"/>
      <w:bookmarkStart w:id="11535" w:name="_Toc131493428"/>
      <w:bookmarkStart w:id="11536" w:name="_Toc213772278"/>
      <w:r>
        <w:t>D.2.9.2</w:t>
      </w:r>
      <w:r>
        <w:tab/>
      </w:r>
      <w:r w:rsidR="003571F6">
        <w:tab/>
      </w:r>
      <w:r w:rsidR="00C54281">
        <w:t>No-Load Fuel</w:t>
      </w:r>
      <w:bookmarkEnd w:id="11533"/>
      <w:bookmarkEnd w:id="11534"/>
      <w:bookmarkEnd w:id="11535"/>
      <w:bookmarkEnd w:id="11536"/>
    </w:p>
    <w:p w14:paraId="7EC4F67F" w14:textId="77777777" w:rsidR="00C54281" w:rsidRDefault="00C54281" w:rsidP="00C54281">
      <w:pPr>
        <w:pStyle w:val="Normal120"/>
        <w:jc w:val="both"/>
      </w:pPr>
      <w:r>
        <w:t xml:space="preserve">The no-load heat input may be determined by collecting heat input values as a function of output and performing a regression analysis.  The heat input values as a function of output may be either created from heat rate test data or the initial design heat input curve of a Resource.  </w:t>
      </w:r>
    </w:p>
    <w:p w14:paraId="65315148" w14:textId="6C251AD9" w:rsidR="00C54281" w:rsidRDefault="00C54281" w:rsidP="00C54281">
      <w:pPr>
        <w:pStyle w:val="Normal120"/>
        <w:jc w:val="both"/>
      </w:pPr>
      <w:r>
        <w:t xml:space="preserve">The minimum number of points to develop a heat input curve must be </w:t>
      </w:r>
      <w:r w:rsidR="00CD2763">
        <w:t>two (</w:t>
      </w:r>
      <w:r>
        <w:t>2</w:t>
      </w:r>
      <w:r w:rsidR="00CD2763">
        <w:t>)</w:t>
      </w:r>
      <w:r>
        <w:t xml:space="preserve"> points for a dispatchable Resource with a variable output and </w:t>
      </w:r>
      <w:r w:rsidR="006D183F">
        <w:t>one (</w:t>
      </w:r>
      <w:r>
        <w:t>1</w:t>
      </w:r>
      <w:r w:rsidR="006D183F">
        <w:t>)</w:t>
      </w:r>
      <w:r>
        <w:t xml:space="preserve"> point for a Resource with a fixed output.  </w:t>
      </w:r>
    </w:p>
    <w:p w14:paraId="30082DC5" w14:textId="15A1643A" w:rsidR="00C54281" w:rsidRDefault="00C54281" w:rsidP="00C54281">
      <w:pPr>
        <w:pStyle w:val="Normal120"/>
        <w:jc w:val="both"/>
      </w:pPr>
      <w:r>
        <w:t xml:space="preserve">The documentation must be adequate to permit the Market Monitor to verify no-load development calculation methods used subject to the Mitigated Offer </w:t>
      </w:r>
      <w:r w:rsidR="00692523">
        <w:t>Development</w:t>
      </w:r>
      <w:r>
        <w:t xml:space="preserve"> Methodology Approval Process. </w:t>
      </w:r>
    </w:p>
    <w:p w14:paraId="44D0A6A6" w14:textId="1B98FF67" w:rsidR="00C54281" w:rsidRDefault="00C54281" w:rsidP="00C54281">
      <w:pPr>
        <w:pStyle w:val="Normal120"/>
        <w:jc w:val="both"/>
      </w:pPr>
      <w:r>
        <w:t>The initial Resource Mitigated No-Load Offer ($/h</w:t>
      </w:r>
      <w:r w:rsidR="00BD46C7">
        <w:t>ou</w:t>
      </w:r>
      <w:r>
        <w:t>r) is the No-Load fuel input rate multiplied by the performance factor, multiplied by the (No Load VOM (</w:t>
      </w:r>
      <w:r>
        <w:rPr>
          <w:i/>
        </w:rPr>
        <w:t>$/MMBtu</w:t>
      </w:r>
      <w:r>
        <w:t>) + Total Fuel-Related Cost (TFRC)) + No-Load Major Maintenance Cost:</w:t>
      </w:r>
    </w:p>
    <w:p w14:paraId="1395FE1B" w14:textId="77777777" w:rsidR="00C54281" w:rsidRDefault="0002195B" w:rsidP="00C54281">
      <w:pPr>
        <w:rPr>
          <w:sz w:val="28"/>
        </w:rPr>
      </w:pPr>
      <m:oMath>
        <m:r>
          <w:rPr>
            <w:rFonts w:ascii="Cambria Math" w:hAnsi="Cambria Math"/>
            <w:sz w:val="22"/>
          </w:rPr>
          <m:t xml:space="preserve">Mitigated No Load Offer </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rPr>
                  <m:t>$</m:t>
                </m:r>
              </m:num>
              <m:den>
                <m:r>
                  <w:rPr>
                    <w:rFonts w:ascii="Cambria Math" w:hAnsi="Cambria Math"/>
                    <w:sz w:val="22"/>
                  </w:rPr>
                  <m:t>hour</m:t>
                </m:r>
              </m:den>
            </m:f>
          </m:e>
        </m:d>
      </m:oMath>
      <w:r w:rsidR="00C54281">
        <w:rPr>
          <w:sz w:val="28"/>
        </w:rPr>
        <w:t xml:space="preserve"> </w:t>
      </w:r>
      <w:r w:rsidR="00C54281">
        <w:rPr>
          <w:sz w:val="22"/>
        </w:rPr>
        <w:t>=</w:t>
      </w:r>
      <w:r w:rsidR="00C54281">
        <w:rPr>
          <w:sz w:val="28"/>
        </w:rPr>
        <w:t xml:space="preserve"> </w:t>
      </w:r>
    </w:p>
    <w:p w14:paraId="7C421671" w14:textId="77777777" w:rsidR="00C54281" w:rsidRDefault="0002195B" w:rsidP="00C54281">
      <w:pPr>
        <w:ind w:left="-540" w:right="-270" w:firstLine="540"/>
        <w:rPr>
          <w:rFonts w:ascii="Cambria Math" w:hAnsi="Cambria Math"/>
          <w:i/>
        </w:rPr>
      </w:pPr>
      <m:oMathPara>
        <m:oMath>
          <m:r>
            <w:rPr>
              <w:rFonts w:ascii="Cambria Math" w:hAnsi="Cambria Math"/>
            </w:rPr>
            <m:t>No Load Fuel</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hour</m:t>
                  </m:r>
                </m:den>
              </m:f>
            </m:e>
          </m:d>
          <m:r>
            <w:rPr>
              <w:rFonts w:ascii="Cambria Math" w:hAnsi="Cambria Math"/>
            </w:rPr>
            <m:t>*Performance Factor*</m:t>
          </m:r>
          <m:d>
            <m:dPr>
              <m:ctrlPr>
                <w:rPr>
                  <w:rFonts w:ascii="Cambria Math" w:hAnsi="Cambria Math"/>
                  <w:i/>
                </w:rPr>
              </m:ctrlPr>
            </m:dPr>
            <m:e>
              <m:r>
                <w:rPr>
                  <w:rFonts w:ascii="Cambria Math" w:hAnsi="Cambria Math"/>
                </w:rPr>
                <m:t xml:space="preserve"> No Load VOM</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 xml:space="preserve">+ TFRC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e>
          </m:d>
          <m:r>
            <w:rPr>
              <w:rFonts w:ascii="Cambria Math" w:hAnsi="Cambria Math"/>
            </w:rPr>
            <m:t>+No Load Major Maintenance Cost ($/hr)</m:t>
          </m:r>
        </m:oMath>
      </m:oMathPara>
    </w:p>
    <w:p w14:paraId="0E63D594" w14:textId="77777777" w:rsidR="00C54281" w:rsidRDefault="00C54281" w:rsidP="00C54281">
      <w:pPr>
        <w:ind w:left="-540" w:right="-270" w:firstLine="540"/>
        <w:rPr>
          <w:rFonts w:ascii="Cambria Math" w:hAnsi="Cambria Math"/>
          <w:i/>
          <w:sz w:val="22"/>
        </w:rPr>
      </w:pPr>
    </w:p>
    <w:p w14:paraId="2705513B" w14:textId="77777777" w:rsidR="00C54281" w:rsidRDefault="00C54281" w:rsidP="00C54281">
      <w:pPr>
        <w:pStyle w:val="Normal120"/>
        <w:jc w:val="both"/>
      </w:pPr>
      <w:r>
        <w:t xml:space="preserve">Note that if the source of VOM cost is in terms of dollars per on-line hours, the equation changes to: </w:t>
      </w:r>
    </w:p>
    <w:p w14:paraId="1209FC55" w14:textId="77777777" w:rsidR="00C54281" w:rsidRDefault="0002195B" w:rsidP="00C54281">
      <w:pPr>
        <w:ind w:left="540"/>
      </w:pPr>
      <m:oMathPara>
        <m:oMathParaPr>
          <m:jc m:val="left"/>
        </m:oMathParaPr>
        <m:oMath>
          <m:r>
            <w:rPr>
              <w:rFonts w:ascii="Cambria Math" w:hAnsi="Cambria Math"/>
            </w:rPr>
            <m:t>Mitigated No</m:t>
          </m:r>
          <m:r>
            <m:rPr>
              <m:nor/>
            </m:rPr>
            <w:rPr>
              <w:rFonts w:ascii="Cambria Math" w:hAnsi="Cambria Math"/>
            </w:rPr>
            <m:t>-</m:t>
          </m:r>
          <m:r>
            <w:rPr>
              <w:rFonts w:ascii="Cambria Math" w:hAnsi="Cambria Math"/>
            </w:rPr>
            <m:t>Load Offer</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m:t>
          </m:r>
        </m:oMath>
      </m:oMathPara>
    </w:p>
    <w:p w14:paraId="24220FB0" w14:textId="77777777" w:rsidR="00C54281" w:rsidRDefault="0002195B" w:rsidP="00C54281">
      <w:pPr>
        <w:ind w:right="-270"/>
        <w:rPr>
          <w:rFonts w:ascii="Cambria Math" w:hAnsi="Cambria Math"/>
          <w:i/>
        </w:rPr>
      </w:pPr>
      <m:oMathPara>
        <m:oMath>
          <m:r>
            <w:rPr>
              <w:rFonts w:ascii="Cambria Math" w:hAnsi="Cambria Math"/>
            </w:rPr>
            <m:t>No Load Fuel</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hour</m:t>
                  </m:r>
                </m:den>
              </m:f>
            </m:e>
          </m:d>
          <m:r>
            <w:rPr>
              <w:rFonts w:ascii="Cambria Math" w:hAnsi="Cambria Math"/>
            </w:rPr>
            <m:t>*Performance Factor*</m:t>
          </m:r>
          <m:d>
            <m:dPr>
              <m:ctrlPr>
                <w:rPr>
                  <w:rFonts w:ascii="Cambria Math" w:hAnsi="Cambria Math"/>
                  <w:i/>
                </w:rPr>
              </m:ctrlPr>
            </m:dPr>
            <m:e>
              <m:r>
                <w:rPr>
                  <w:rFonts w:ascii="Cambria Math" w:hAnsi="Cambria Math"/>
                </w:rPr>
                <m:t xml:space="preserve"> TFRC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e>
          </m:d>
          <m:r>
            <w:rPr>
              <w:rFonts w:ascii="Cambria Math" w:hAnsi="Cambria Math"/>
            </w:rPr>
            <m:t>+ No Load VOM</m:t>
          </m:r>
          <m:d>
            <m:dPr>
              <m:ctrlPr>
                <w:rPr>
                  <w:rFonts w:ascii="Cambria Math" w:hAnsi="Cambria Math"/>
                  <w:i/>
                </w:rPr>
              </m:ctrlPr>
            </m:dPr>
            <m:e>
              <m:r>
                <w:rPr>
                  <w:rFonts w:ascii="Cambria Math" w:hAnsi="Cambria Math"/>
                </w:rPr>
                <m:t>$/hr</m:t>
              </m:r>
            </m:e>
          </m:d>
          <m:r>
            <w:rPr>
              <w:rFonts w:ascii="Cambria Math" w:hAnsi="Cambria Math"/>
            </w:rPr>
            <m:t>+No Load Major Maintenance Cost ($/hr)</m:t>
          </m:r>
        </m:oMath>
      </m:oMathPara>
    </w:p>
    <w:p w14:paraId="49C09F5D" w14:textId="77777777" w:rsidR="00C54281" w:rsidRDefault="00C54281" w:rsidP="00C54281">
      <w:pPr>
        <w:pStyle w:val="Normal120"/>
        <w:jc w:val="both"/>
      </w:pPr>
    </w:p>
    <w:p w14:paraId="7DAE971C" w14:textId="77777777" w:rsidR="00C54281" w:rsidRDefault="00C54281" w:rsidP="00C54281">
      <w:pPr>
        <w:pStyle w:val="Normal120"/>
        <w:jc w:val="both"/>
      </w:pPr>
      <w:r>
        <w:t xml:space="preserve">The Mitigated No-Load Offer may also be calculated by subtracting the incremental cost (Resource’s economic minimum Mitigated Energy Offer value multiplied by MW value) at the Resource’s economic minimum point from the total cost (from the heat input at economic minimum value) at the Resource’s economic minimum point plus the No-Load Major Maintenance Cost.  </w:t>
      </w:r>
    </w:p>
    <w:p w14:paraId="2DE815B1" w14:textId="77777777" w:rsidR="00C54281" w:rsidRDefault="0002195B" w:rsidP="00C54281">
      <w:pPr>
        <w:rPr>
          <w:sz w:val="22"/>
        </w:rPr>
      </w:pPr>
      <m:oMathPara>
        <m:oMathParaPr>
          <m:jc m:val="left"/>
        </m:oMathParaPr>
        <m:oMath>
          <m:r>
            <w:rPr>
              <w:rFonts w:ascii="Cambria Math" w:hAnsi="Cambria Math"/>
              <w:sz w:val="22"/>
            </w:rPr>
            <m:t>Mitigated No</m:t>
          </m:r>
          <m:r>
            <m:rPr>
              <m:nor/>
            </m:rPr>
            <w:rPr>
              <w:rFonts w:ascii="Cambria Math" w:hAnsi="Cambria Math"/>
              <w:sz w:val="22"/>
            </w:rPr>
            <m:t>-</m:t>
          </m:r>
          <m:r>
            <w:rPr>
              <w:rFonts w:ascii="Cambria Math" w:hAnsi="Cambria Math"/>
              <w:sz w:val="22"/>
            </w:rPr>
            <m:t xml:space="preserve">Load Offer </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rPr>
                    <m:t>$</m:t>
                  </m:r>
                </m:num>
                <m:den>
                  <m:r>
                    <w:rPr>
                      <w:rFonts w:ascii="Cambria Math" w:hAnsi="Cambria Math"/>
                      <w:sz w:val="22"/>
                    </w:rPr>
                    <m:t>hour</m:t>
                  </m:r>
                </m:den>
              </m:f>
            </m:e>
          </m:d>
          <m:r>
            <w:rPr>
              <w:rFonts w:ascii="Cambria Math" w:hAnsi="Cambria Math"/>
              <w:sz w:val="22"/>
            </w:rPr>
            <m:t>=</m:t>
          </m:r>
        </m:oMath>
      </m:oMathPara>
    </w:p>
    <w:p w14:paraId="3B94FF58" w14:textId="77777777" w:rsidR="00C54281" w:rsidRDefault="00977324" w:rsidP="00C54281">
      <w:pPr>
        <w:ind w:left="-630" w:firstLine="360"/>
      </w:pPr>
      <m:oMathPara>
        <m:oMath>
          <m:d>
            <m:dPr>
              <m:ctrlPr>
                <w:rPr>
                  <w:rFonts w:ascii="Cambria Math" w:hAnsi="Cambria Math"/>
                  <w:i/>
                </w:rPr>
              </m:ctrlPr>
            </m:dPr>
            <m:e>
              <m:eqArr>
                <m:eqArrPr>
                  <m:ctrlPr>
                    <w:rPr>
                      <w:rFonts w:ascii="Cambria Math" w:hAnsi="Cambria Math"/>
                      <w:i/>
                    </w:rPr>
                  </m:ctrlPr>
                </m:eqArrPr>
                <m:e>
                  <m:r>
                    <w:rPr>
                      <w:rFonts w:ascii="Cambria Math" w:hAnsi="Cambria Math"/>
                    </w:rPr>
                    <m:t>Min</m:t>
                  </m:r>
                  <m:r>
                    <w:rPr>
                      <w:rFonts w:ascii="Cambria Math" w:hAnsi="Cambria Math"/>
                    </w:rPr>
                    <m:t xml:space="preserve">. </m:t>
                  </m:r>
                  <m:r>
                    <w:rPr>
                      <w:rFonts w:ascii="Cambria Math" w:hAnsi="Cambria Math"/>
                    </w:rPr>
                    <m:t>Econ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Limit</m:t>
                  </m:r>
                  <m:r>
                    <w:rPr>
                      <w:rFonts w:ascii="Cambria Math" w:hAnsi="Cambria Math"/>
                    </w:rPr>
                    <m:t xml:space="preserve">  </m:t>
                  </m:r>
                  <m:r>
                    <w:rPr>
                      <w:rFonts w:ascii="Cambria Math" w:hAnsi="Cambria Math"/>
                    </w:rPr>
                    <m:t>Heat</m:t>
                  </m:r>
                  <m:r>
                    <w:rPr>
                      <w:rFonts w:ascii="Cambria Math" w:hAnsi="Cambria Math"/>
                    </w:rPr>
                    <m:t xml:space="preserve"> </m:t>
                  </m:r>
                  <m:r>
                    <w:rPr>
                      <w:rFonts w:ascii="Cambria Math" w:hAnsi="Cambria Math"/>
                    </w:rPr>
                    <m:t>Input</m:t>
                  </m:r>
                  <m:d>
                    <m:dPr>
                      <m:ctrlPr>
                        <w:rPr>
                          <w:rFonts w:ascii="Cambria Math" w:hAnsi="Cambria Math"/>
                          <w:i/>
                        </w:rPr>
                      </m:ctrlPr>
                    </m:dPr>
                    <m:e>
                      <m:r>
                        <w:rPr>
                          <w:rFonts w:ascii="Cambria Math" w:hAnsi="Cambria Math"/>
                        </w:rPr>
                        <m:t>mmBtu</m:t>
                      </m:r>
                    </m:e>
                  </m:d>
                </m:e>
                <m:e>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r>
                    <w:rPr>
                      <w:rFonts w:ascii="Cambria Math" w:hAnsi="Cambria Math"/>
                    </w:rPr>
                    <m:t>*</m:t>
                  </m:r>
                  <m:d>
                    <m:dPr>
                      <m:ctrlPr>
                        <w:rPr>
                          <w:rFonts w:ascii="Cambria Math" w:hAnsi="Cambria Math"/>
                          <w:i/>
                        </w:rPr>
                      </m:ctrlPr>
                    </m:dPr>
                    <m:e>
                      <m:r>
                        <w:rPr>
                          <w:rFonts w:ascii="Cambria Math" w:hAnsi="Cambria Math"/>
                        </w:rPr>
                        <m:t>TFRC</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No</m:t>
                      </m:r>
                      <m:r>
                        <w:rPr>
                          <w:rFonts w:ascii="Cambria Math" w:hAnsi="Cambria Math"/>
                        </w:rPr>
                        <m:t xml:space="preserve"> </m:t>
                      </m:r>
                      <m:r>
                        <w:rPr>
                          <w:rFonts w:ascii="Cambria Math" w:hAnsi="Cambria Math"/>
                        </w:rPr>
                        <m:t>Load</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e>
                  </m:d>
                </m:e>
              </m:eqArr>
            </m:e>
          </m:d>
          <m:r>
            <w:rPr>
              <w:rFonts w:ascii="Cambria Math" w:hAnsi="Cambria Math"/>
            </w:rPr>
            <m:t>-</m:t>
          </m:r>
          <m:d>
            <m:dPr>
              <m:ctrlPr>
                <w:rPr>
                  <w:rFonts w:ascii="Cambria Math" w:hAnsi="Cambria Math"/>
                  <w:i/>
                </w:rPr>
              </m:ctrlPr>
            </m:dPr>
            <m:e>
              <m:r>
                <w:rPr>
                  <w:rFonts w:ascii="Cambria Math" w:hAnsi="Cambria Math"/>
                </w:rPr>
                <m:t>Min</m:t>
              </m:r>
              <m:r>
                <w:rPr>
                  <w:rFonts w:ascii="Cambria Math" w:hAnsi="Cambria Math"/>
                </w:rPr>
                <m:t>.</m:t>
              </m:r>
              <m:r>
                <w:rPr>
                  <w:rFonts w:ascii="Cambria Math" w:hAnsi="Cambria Math"/>
                </w:rPr>
                <m:t>Econ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Limit</m:t>
              </m:r>
              <m:r>
                <w:rPr>
                  <w:rFonts w:ascii="Cambria Math" w:hAnsi="Cambria Math"/>
                </w:rPr>
                <m:t xml:space="preserve"> </m:t>
              </m:r>
              <m:r>
                <w:rPr>
                  <w:rFonts w:ascii="Cambria Math" w:hAnsi="Cambria Math"/>
                </w:rPr>
                <m:t>Incremental</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m:t>
                      </m:r>
                      <m:r>
                        <w:rPr>
                          <w:rFonts w:ascii="Cambria Math" w:hAnsi="Cambria Math"/>
                        </w:rPr>
                        <m:t>h</m:t>
                      </m:r>
                    </m:den>
                  </m:f>
                </m:e>
              </m:d>
              <m:r>
                <w:rPr>
                  <w:rFonts w:ascii="Cambria Math" w:hAnsi="Cambria Math"/>
                </w:rPr>
                <m:t>*</m:t>
              </m:r>
              <m:r>
                <w:rPr>
                  <w:rFonts w:ascii="Cambria Math" w:hAnsi="Cambria Math"/>
                </w:rPr>
                <m:t>Min</m:t>
              </m:r>
              <m:r>
                <w:rPr>
                  <w:rFonts w:ascii="Cambria Math" w:hAnsi="Cambria Math"/>
                </w:rPr>
                <m:t xml:space="preserve">. </m:t>
              </m:r>
              <m:r>
                <w:rPr>
                  <w:rFonts w:ascii="Cambria Math" w:hAnsi="Cambria Math"/>
                </w:rPr>
                <m:t>Econ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Limit</m:t>
              </m:r>
              <m:r>
                <w:rPr>
                  <w:rFonts w:ascii="Cambria Math" w:hAnsi="Cambria Math"/>
                </w:rPr>
                <m:t xml:space="preserve">  </m:t>
              </m:r>
              <m:d>
                <m:dPr>
                  <m:ctrlPr>
                    <w:rPr>
                      <w:rFonts w:ascii="Cambria Math" w:hAnsi="Cambria Math"/>
                      <w:i/>
                    </w:rPr>
                  </m:ctrlPr>
                </m:dPr>
                <m:e>
                  <m:r>
                    <w:rPr>
                      <w:rFonts w:ascii="Cambria Math" w:hAnsi="Cambria Math"/>
                    </w:rPr>
                    <m:t>MW</m:t>
                  </m:r>
                </m:e>
              </m:d>
            </m:e>
          </m:d>
          <m:r>
            <w:rPr>
              <w:rFonts w:ascii="Cambria Math" w:hAnsi="Cambria Math"/>
            </w:rPr>
            <m:t>+</m:t>
          </m:r>
          <m:r>
            <w:rPr>
              <w:rFonts w:ascii="Cambria Math" w:hAnsi="Cambria Math"/>
            </w:rPr>
            <m:t>No</m:t>
          </m:r>
          <m:r>
            <w:rPr>
              <w:rFonts w:ascii="Cambria Math" w:hAnsi="Cambria Math"/>
            </w:rPr>
            <m:t xml:space="preserve"> </m:t>
          </m:r>
          <m:r>
            <w:rPr>
              <w:rFonts w:ascii="Cambria Math" w:hAnsi="Cambria Math"/>
            </w:rPr>
            <m:t>Load</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Cost</m:t>
          </m:r>
          <m:r>
            <w:rPr>
              <w:rFonts w:ascii="Cambria Math" w:hAnsi="Cambria Math"/>
            </w:rPr>
            <m:t xml:space="preserve"> ($/h</m:t>
          </m:r>
          <m:r>
            <w:rPr>
              <w:rFonts w:ascii="Cambria Math" w:hAnsi="Cambria Math"/>
            </w:rPr>
            <m:t>r</m:t>
          </m:r>
          <m:r>
            <w:rPr>
              <w:rFonts w:ascii="Cambria Math" w:hAnsi="Cambria Math"/>
            </w:rPr>
            <m:t>)</m:t>
          </m:r>
        </m:oMath>
      </m:oMathPara>
    </w:p>
    <w:p w14:paraId="5E1496DA" w14:textId="77777777" w:rsidR="00C54281" w:rsidRDefault="00C54281" w:rsidP="00C54281">
      <w:pPr>
        <w:pStyle w:val="Normal120"/>
        <w:jc w:val="both"/>
      </w:pPr>
    </w:p>
    <w:p w14:paraId="56EC18C3" w14:textId="77777777" w:rsidR="00C54281" w:rsidRDefault="00C54281" w:rsidP="00C54281">
      <w:pPr>
        <w:pStyle w:val="Normal120"/>
        <w:jc w:val="both"/>
      </w:pPr>
      <w:r>
        <w:t>Note that if the source of VOM cost is in terms of dollars per on-line hours, the equation changes to:</w:t>
      </w:r>
    </w:p>
    <w:p w14:paraId="3A7EDC70" w14:textId="77777777" w:rsidR="00C54281" w:rsidRDefault="0002195B" w:rsidP="00C54281">
      <m:oMathPara>
        <m:oMathParaPr>
          <m:jc m:val="left"/>
        </m:oMathParaPr>
        <m:oMath>
          <m:r>
            <w:rPr>
              <w:rFonts w:ascii="Cambria Math" w:hAnsi="Cambria Math"/>
            </w:rPr>
            <m:t>Mitigated No</m:t>
          </m:r>
          <m:r>
            <m:rPr>
              <m:nor/>
            </m:rPr>
            <w:rPr>
              <w:rFonts w:ascii="Cambria Math" w:hAnsi="Cambria Math"/>
            </w:rPr>
            <m:t>-</m:t>
          </m:r>
          <m:r>
            <w:rPr>
              <w:rFonts w:ascii="Cambria Math" w:hAnsi="Cambria Math"/>
            </w:rPr>
            <m:t>Load Offer</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m:t>
          </m:r>
        </m:oMath>
      </m:oMathPara>
    </w:p>
    <w:p w14:paraId="2FDB883C" w14:textId="5A5E295D" w:rsidR="00C54281" w:rsidRDefault="00977324" w:rsidP="00C54281">
      <m:oMathPara>
        <m:oMath>
          <m:d>
            <m:dPr>
              <m:ctrlPr>
                <w:rPr>
                  <w:rFonts w:ascii="Cambria Math" w:hAnsi="Cambria Math"/>
                  <w:i/>
                </w:rPr>
              </m:ctrlPr>
            </m:dPr>
            <m:e>
              <m:r>
                <w:rPr>
                  <w:rFonts w:ascii="Cambria Math" w:hAnsi="Cambria Math"/>
                </w:rPr>
                <m:t>Min</m:t>
              </m:r>
              <m:r>
                <w:rPr>
                  <w:rFonts w:ascii="Cambria Math" w:hAnsi="Cambria Math"/>
                </w:rPr>
                <m:t xml:space="preserve">. </m:t>
              </m:r>
              <m:r>
                <w:rPr>
                  <w:rFonts w:ascii="Cambria Math" w:hAnsi="Cambria Math"/>
                </w:rPr>
                <m:t>Econ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Limit</m:t>
              </m:r>
              <m:r>
                <w:rPr>
                  <w:rFonts w:ascii="Cambria Math" w:hAnsi="Cambria Math"/>
                </w:rPr>
                <m:t xml:space="preserve"> </m:t>
              </m:r>
              <m:r>
                <w:rPr>
                  <w:rFonts w:ascii="Cambria Math" w:hAnsi="Cambria Math"/>
                </w:rPr>
                <m:t>Heat</m:t>
              </m:r>
              <m:r>
                <w:rPr>
                  <w:rFonts w:ascii="Cambria Math" w:hAnsi="Cambria Math"/>
                </w:rPr>
                <m:t xml:space="preserve"> </m:t>
              </m:r>
              <m:r>
                <w:rPr>
                  <w:rFonts w:ascii="Cambria Math" w:hAnsi="Cambria Math"/>
                </w:rPr>
                <m:t>Input</m:t>
              </m:r>
              <m:r>
                <w:rPr>
                  <w:rFonts w:ascii="Cambria Math" w:hAnsi="Cambria Math"/>
                </w:rPr>
                <m:t>(</m:t>
              </m:r>
              <m:r>
                <w:rPr>
                  <w:rFonts w:ascii="Cambria Math" w:hAnsi="Cambria Math"/>
                </w:rPr>
                <m:t>MMBtu</m:t>
              </m:r>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r>
                <w:rPr>
                  <w:rFonts w:ascii="Cambria Math" w:hAnsi="Cambria Math"/>
                </w:rPr>
                <m:t>*</m:t>
              </m:r>
              <m:r>
                <w:rPr>
                  <w:rFonts w:ascii="Cambria Math" w:hAnsi="Cambria Math"/>
                </w:rPr>
                <m:t>TFRC</m:t>
              </m:r>
              <m:r>
                <w:rPr>
                  <w:rFonts w:ascii="Cambria Math" w:hAnsi="Cambria Math"/>
                </w:rPr>
                <m:t>($/</m:t>
              </m:r>
              <m:r>
                <w:rPr>
                  <w:rFonts w:ascii="Cambria Math" w:hAnsi="Cambria Math"/>
                </w:rPr>
                <m:t>MMBtu</m:t>
              </m:r>
              <m:r>
                <w:rPr>
                  <w:rFonts w:ascii="Cambria Math" w:hAnsi="Cambria Math"/>
                </w:rPr>
                <m:t>)</m:t>
              </m:r>
            </m:e>
          </m:d>
          <m:r>
            <w:rPr>
              <w:rFonts w:ascii="Cambria Math" w:hAnsi="Cambria Math"/>
            </w:rPr>
            <m:t xml:space="preserve">+ </m:t>
          </m:r>
          <m:r>
            <w:rPr>
              <w:rFonts w:ascii="Cambria Math" w:hAnsi="Cambria Math"/>
            </w:rPr>
            <m:t>No</m:t>
          </m:r>
          <m:r>
            <w:rPr>
              <w:rFonts w:ascii="Cambria Math" w:hAnsi="Cambria Math"/>
            </w:rPr>
            <m:t xml:space="preserve"> </m:t>
          </m:r>
          <m:r>
            <w:rPr>
              <w:rFonts w:ascii="Cambria Math" w:hAnsi="Cambria Math"/>
            </w:rPr>
            <m:t>Load</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r>
                <w:rPr>
                  <w:rFonts w:ascii="Cambria Math" w:hAnsi="Cambria Math"/>
                </w:rPr>
                <m:t>$/h</m:t>
              </m:r>
              <m:r>
                <w:rPr>
                  <w:rFonts w:ascii="Cambria Math" w:hAnsi="Cambria Math"/>
                </w:rPr>
                <m:t>our</m:t>
              </m:r>
            </m:e>
          </m:d>
          <m:r>
            <w:rPr>
              <w:rFonts w:ascii="Cambria Math" w:hAnsi="Cambria Math"/>
            </w:rPr>
            <m:t>-</m:t>
          </m:r>
          <m:d>
            <m:dPr>
              <m:ctrlPr>
                <w:rPr>
                  <w:rFonts w:ascii="Cambria Math" w:hAnsi="Cambria Math"/>
                  <w:i/>
                </w:rPr>
              </m:ctrlPr>
            </m:dPr>
            <m:e>
              <m:r>
                <w:rPr>
                  <w:rFonts w:ascii="Cambria Math" w:hAnsi="Cambria Math"/>
                </w:rPr>
                <m:t>Min</m:t>
              </m:r>
              <m:r>
                <w:rPr>
                  <w:rFonts w:ascii="Cambria Math" w:hAnsi="Cambria Math"/>
                </w:rPr>
                <m:t xml:space="preserve">. </m:t>
              </m:r>
              <m:r>
                <w:rPr>
                  <w:rFonts w:ascii="Cambria Math" w:hAnsi="Cambria Math"/>
                </w:rPr>
                <m:t>Econ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Limit</m:t>
              </m:r>
              <m:r>
                <w:rPr>
                  <w:rFonts w:ascii="Cambria Math" w:hAnsi="Cambria Math"/>
                </w:rPr>
                <m:t xml:space="preserve"> </m:t>
              </m:r>
              <m:r>
                <w:rPr>
                  <w:rFonts w:ascii="Cambria Math" w:hAnsi="Cambria Math"/>
                </w:rPr>
                <m:t>Incremental</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m:t>
                      </m:r>
                      <m:r>
                        <w:rPr>
                          <w:rFonts w:ascii="Cambria Math" w:hAnsi="Cambria Math"/>
                        </w:rPr>
                        <m:t>h</m:t>
                      </m:r>
                    </m:den>
                  </m:f>
                </m:e>
              </m:d>
              <m:r>
                <w:rPr>
                  <w:rFonts w:ascii="Cambria Math" w:hAnsi="Cambria Math"/>
                </w:rPr>
                <m:t>*</m:t>
              </m:r>
              <m:r>
                <w:rPr>
                  <w:rFonts w:ascii="Cambria Math" w:hAnsi="Cambria Math"/>
                </w:rPr>
                <m:t>Min</m:t>
              </m:r>
              <m:r>
                <w:rPr>
                  <w:rFonts w:ascii="Cambria Math" w:hAnsi="Cambria Math"/>
                </w:rPr>
                <m:t xml:space="preserve">.  </m:t>
              </m:r>
              <m:r>
                <w:rPr>
                  <w:rFonts w:ascii="Cambria Math" w:hAnsi="Cambria Math"/>
                </w:rPr>
                <m:t>Econ</m:t>
              </m:r>
              <m:r>
                <w:rPr>
                  <w:rFonts w:ascii="Cambria Math" w:hAnsi="Cambria Math"/>
                </w:rPr>
                <m:t xml:space="preserve">.  </m:t>
              </m:r>
              <m:d>
                <m:dPr>
                  <m:ctrlPr>
                    <w:rPr>
                      <w:rFonts w:ascii="Cambria Math" w:hAnsi="Cambria Math"/>
                      <w:i/>
                    </w:rPr>
                  </m:ctrlPr>
                </m:dPr>
                <m:e>
                  <m:r>
                    <w:rPr>
                      <w:rFonts w:ascii="Cambria Math" w:hAnsi="Cambria Math"/>
                    </w:rPr>
                    <m:t>MW</m:t>
                  </m:r>
                </m:e>
              </m:d>
              <m:r>
                <w:rPr>
                  <w:rFonts w:ascii="Cambria Math" w:hAnsi="Cambria Math"/>
                </w:rPr>
                <m:t xml:space="preserve"> </m:t>
              </m:r>
            </m:e>
          </m:d>
          <m:r>
            <w:rPr>
              <w:rFonts w:ascii="Cambria Math" w:hAnsi="Cambria Math"/>
            </w:rPr>
            <m:t>+</m:t>
          </m:r>
          <m:r>
            <w:rPr>
              <w:rFonts w:ascii="Cambria Math" w:hAnsi="Cambria Math"/>
            </w:rPr>
            <m:t>No</m:t>
          </m:r>
          <m:r>
            <w:rPr>
              <w:rFonts w:ascii="Cambria Math" w:hAnsi="Cambria Math"/>
            </w:rPr>
            <m:t xml:space="preserve"> </m:t>
          </m:r>
          <m:r>
            <w:rPr>
              <w:rFonts w:ascii="Cambria Math" w:hAnsi="Cambria Math"/>
            </w:rPr>
            <m:t>Load</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Cost</m:t>
          </m:r>
          <m:r>
            <w:rPr>
              <w:rFonts w:ascii="Cambria Math" w:hAnsi="Cambria Math"/>
            </w:rPr>
            <m:t xml:space="preserve"> ($/h</m:t>
          </m:r>
          <m:r>
            <w:rPr>
              <w:rFonts w:ascii="Cambria Math" w:hAnsi="Cambria Math"/>
            </w:rPr>
            <m:t>r</m:t>
          </m:r>
          <m:r>
            <w:rPr>
              <w:rFonts w:ascii="Cambria Math" w:hAnsi="Cambria Math"/>
            </w:rPr>
            <m:t xml:space="preserve">) </m:t>
          </m:r>
        </m:oMath>
      </m:oMathPara>
    </w:p>
    <w:p w14:paraId="14062D95" w14:textId="77777777" w:rsidR="00C54281" w:rsidRDefault="00C54281" w:rsidP="00C54281">
      <w:pPr>
        <w:rPr>
          <w:sz w:val="22"/>
        </w:rPr>
      </w:pPr>
    </w:p>
    <w:p w14:paraId="4C0F610E" w14:textId="7F9DC2A0" w:rsidR="00C54281" w:rsidRDefault="00C54281" w:rsidP="00C54281">
      <w:pPr>
        <w:spacing w:before="120" w:line="300" w:lineRule="auto"/>
      </w:pPr>
      <w:r>
        <w:rPr>
          <w:b/>
        </w:rPr>
        <w:t xml:space="preserve">No-Load VOM Cost - </w:t>
      </w:r>
      <w:r>
        <w:t xml:space="preserve">The No-Load VOM cost is calculated using an allocated portion of the total VOM cost calculated under Section </w:t>
      </w:r>
      <w:r w:rsidR="00B51BC1">
        <w:t>D.</w:t>
      </w:r>
      <w:r>
        <w:t>2.6.  Note that the sum of total allocated VOM cost used to calculate No-Load VOM cost included here, the allocated VOM cost used to calculate TFRC VOM cost under Section D</w:t>
      </w:r>
      <w:r w:rsidR="00B51BC1">
        <w:t>.</w:t>
      </w:r>
      <w:r>
        <w:t xml:space="preserve">2.5.2, the allocated VOM cost used to calculate Start VOM cost under </w:t>
      </w:r>
      <w:r w:rsidR="00B51BC1">
        <w:t>D.</w:t>
      </w:r>
      <w:r>
        <w:t>2.8,</w:t>
      </w:r>
      <w:r w:rsidR="00B51BC1">
        <w:t xml:space="preserve"> and</w:t>
      </w:r>
      <w:r>
        <w:t xml:space="preserve"> the allocated VOM cost used to calculate EOC VOM cost under D</w:t>
      </w:r>
      <w:r w:rsidR="00B51BC1">
        <w:t>.</w:t>
      </w:r>
      <w:r>
        <w:t xml:space="preserve">2.7 must not exceed the total VOM cost calculated under Section </w:t>
      </w:r>
      <w:r w:rsidR="00B51BC1">
        <w:t>D.</w:t>
      </w:r>
      <w:r>
        <w:t>2.6.</w:t>
      </w:r>
    </w:p>
    <w:p w14:paraId="050B2B35" w14:textId="77777777" w:rsidR="00C54281" w:rsidRDefault="00C54281" w:rsidP="00C54281">
      <w:pPr>
        <w:spacing w:before="120" w:line="300" w:lineRule="auto"/>
      </w:pPr>
      <w:r>
        <w:rPr>
          <w:b/>
        </w:rPr>
        <w:t>No-Load Major Maintenance Cost</w:t>
      </w:r>
      <w:r>
        <w:t xml:space="preserve"> – A No-Load Major Maintenance Cost may be included as a component of the Mitigated No-Load Offer.  Such cost must be based solely on resource-specific information derived from actual variable maintenance costs, when available, or estimated variable maintenance costs.</w:t>
      </w:r>
    </w:p>
    <w:p w14:paraId="188550EB" w14:textId="77777777" w:rsidR="00C54281" w:rsidRDefault="00C54281" w:rsidP="00C54281">
      <w:pPr>
        <w:spacing w:before="120" w:line="300" w:lineRule="auto"/>
      </w:pPr>
      <w:r>
        <w:t xml:space="preserve">The costs will be provided by the Market Participant to the Market Monitor.  The Market Monitor will evaluate the information provided by Market Participants, and may require Market Participants to provide additional information, to enable the Market Monitor to determine reasonable costs for major maintenance expenses or to conduct audits of major maintenance expenses.  The maintenance period for this cost must be tied to the number of Resource run hours. </w:t>
      </w:r>
    </w:p>
    <w:p w14:paraId="4D7E17D8" w14:textId="77777777" w:rsidR="00C54281" w:rsidRDefault="00C54281" w:rsidP="00C54281">
      <w:pPr>
        <w:spacing w:before="120" w:line="300" w:lineRule="auto"/>
      </w:pPr>
      <w:r>
        <w:t>Only No-Load Major Maintenance Costs agreed to in advance by the Market Monitor and the Market Participant will be allowed to be included as part of the participant’s Mitigated No-Load Offer.  Market Participants may submit updated resource-specific No-Load Major Maintenance information for purposes of seeking a change to any major maintenance cost, no sooner than thirty (30) calendar days after a major maintenance cost has been determined.</w:t>
      </w:r>
    </w:p>
    <w:p w14:paraId="79659674" w14:textId="073139B0" w:rsidR="00C54281" w:rsidRDefault="00C54281" w:rsidP="00C54281">
      <w:pPr>
        <w:spacing w:line="360" w:lineRule="auto"/>
      </w:pPr>
      <w:r>
        <w:t xml:space="preserve">Within fifteen (15) </w:t>
      </w:r>
      <w:r w:rsidR="00ED10A8">
        <w:t>C</w:t>
      </w:r>
      <w:r>
        <w:t xml:space="preserve">alendar </w:t>
      </w:r>
      <w:r w:rsidR="00ED10A8">
        <w:t>D</w:t>
      </w:r>
      <w:r>
        <w:t xml:space="preserve">ays of receipt of the information or any requested additional information, the Market Monitoring Unit will notify the Market Participant in writing whether it has sufficient information to determine reasonable No-Load Major Maintenance Costs to be included in the Mitigated No-Load Offer.  Within fifteen (15) </w:t>
      </w:r>
      <w:r w:rsidR="00ED10A8">
        <w:t>C</w:t>
      </w:r>
      <w:r>
        <w:t xml:space="preserve">alendar </w:t>
      </w:r>
      <w:r w:rsidR="00ED10A8">
        <w:t>D</w:t>
      </w:r>
      <w:r>
        <w:t xml:space="preserve">ays after providing written notification to the Market Participant that the information is sufficient, the Market Monitor will determine the reasonable cost to be included in the Mitigated No-Load Offer and will inform the Market Participant in writing.  Once the Market Participant has received this notification, the Market Participant will be allowed to include the major maintenance cost in the Mitigated No-Load Offer. </w:t>
      </w:r>
      <w:bookmarkStart w:id="11537" w:name="_Toc337654693"/>
      <w:bookmarkStart w:id="11538" w:name="_Toc338053252"/>
      <w:bookmarkStart w:id="11539" w:name="_Toc338689357"/>
      <w:bookmarkStart w:id="11540" w:name="_Toc337654694"/>
      <w:bookmarkStart w:id="11541" w:name="_Toc338053253"/>
      <w:bookmarkStart w:id="11542" w:name="_Toc338689358"/>
      <w:bookmarkStart w:id="11543" w:name="_Toc337654696"/>
      <w:bookmarkStart w:id="11544" w:name="_Toc338053255"/>
      <w:bookmarkStart w:id="11545" w:name="_Toc338689360"/>
      <w:bookmarkStart w:id="11546" w:name="_Toc337654697"/>
      <w:bookmarkStart w:id="11547" w:name="_Toc338053256"/>
      <w:bookmarkStart w:id="11548" w:name="_Toc338689361"/>
      <w:bookmarkEnd w:id="11537"/>
      <w:bookmarkEnd w:id="11538"/>
      <w:bookmarkEnd w:id="11539"/>
      <w:bookmarkEnd w:id="11540"/>
      <w:bookmarkEnd w:id="11541"/>
      <w:bookmarkEnd w:id="11542"/>
      <w:bookmarkEnd w:id="11543"/>
      <w:bookmarkEnd w:id="11544"/>
      <w:bookmarkEnd w:id="11545"/>
      <w:bookmarkEnd w:id="11546"/>
      <w:bookmarkEnd w:id="11547"/>
      <w:bookmarkEnd w:id="11548"/>
    </w:p>
    <w:p w14:paraId="4949C9F0" w14:textId="77777777" w:rsidR="00C54281" w:rsidRDefault="00C54281" w:rsidP="00C54281">
      <w:pPr>
        <w:pStyle w:val="Normal120"/>
        <w:jc w:val="both"/>
      </w:pPr>
    </w:p>
    <w:p w14:paraId="2ED4E84F" w14:textId="2AD78328" w:rsidR="00C54281" w:rsidRDefault="00690F95" w:rsidP="00781C61">
      <w:pPr>
        <w:pStyle w:val="3Appx3"/>
        <w:numPr>
          <w:ilvl w:val="0"/>
          <w:numId w:val="0"/>
        </w:numPr>
      </w:pPr>
      <w:bookmarkStart w:id="11549" w:name="_Ref345320333"/>
      <w:bookmarkStart w:id="11550" w:name="_Ref345320945"/>
      <w:bookmarkStart w:id="11551" w:name="_Ref345321015"/>
      <w:bookmarkStart w:id="11552" w:name="_Toc351019755"/>
      <w:bookmarkStart w:id="11553" w:name="_Toc363483300"/>
      <w:bookmarkStart w:id="11554" w:name="_Toc131493430"/>
      <w:bookmarkStart w:id="11555" w:name="_Toc213772279"/>
      <w:r>
        <w:t>D.2.10</w:t>
      </w:r>
      <w:r>
        <w:tab/>
      </w:r>
      <w:r w:rsidR="00C54281">
        <w:t>Mitigated Flexibility Reserve Products Offer</w:t>
      </w:r>
      <w:bookmarkEnd w:id="11549"/>
      <w:bookmarkEnd w:id="11550"/>
      <w:bookmarkEnd w:id="11551"/>
      <w:bookmarkEnd w:id="11552"/>
      <w:bookmarkEnd w:id="11553"/>
      <w:bookmarkEnd w:id="11554"/>
      <w:r w:rsidR="00C54281">
        <w:t xml:space="preserve"> Curve</w:t>
      </w:r>
      <w:bookmarkEnd w:id="11555"/>
    </w:p>
    <w:p w14:paraId="38E0FCA9" w14:textId="1106CF20" w:rsidR="00C54281" w:rsidRDefault="001D07D9" w:rsidP="00C54281">
      <w:pPr>
        <w:spacing w:line="360" w:lineRule="auto"/>
        <w:rPr>
          <w:rFonts w:eastAsiaTheme="majorEastAsia"/>
          <w:color w:val="000000" w:themeColor="text1"/>
        </w:rPr>
      </w:pPr>
      <w:r w:rsidRPr="001D07D9">
        <w:rPr>
          <w:rFonts w:eastAsiaTheme="majorEastAsia"/>
          <w:color w:val="000000" w:themeColor="text1"/>
        </w:rPr>
        <w:t>Offline Mid-</w:t>
      </w:r>
      <w:r w:rsidR="00A259C0">
        <w:rPr>
          <w:rFonts w:eastAsiaTheme="majorEastAsia"/>
          <w:color w:val="000000" w:themeColor="text1"/>
        </w:rPr>
        <w:t>T</w:t>
      </w:r>
      <w:r w:rsidRPr="001D07D9">
        <w:rPr>
          <w:rFonts w:eastAsiaTheme="majorEastAsia"/>
          <w:color w:val="000000" w:themeColor="text1"/>
        </w:rPr>
        <w:t xml:space="preserve">erm Flex Up is the only flexibility reserve product for which Market Participants </w:t>
      </w:r>
      <w:r w:rsidR="006623AA">
        <w:rPr>
          <w:rFonts w:eastAsiaTheme="majorEastAsia"/>
          <w:color w:val="000000" w:themeColor="text1"/>
        </w:rPr>
        <w:t xml:space="preserve">submit </w:t>
      </w:r>
      <w:r w:rsidRPr="001D07D9">
        <w:rPr>
          <w:rFonts w:eastAsiaTheme="majorEastAsia"/>
          <w:color w:val="000000" w:themeColor="text1"/>
        </w:rPr>
        <w:t>an offer. For these offers</w:t>
      </w:r>
      <w:r w:rsidR="006623AA">
        <w:rPr>
          <w:rFonts w:eastAsiaTheme="majorEastAsia"/>
          <w:color w:val="000000" w:themeColor="text1"/>
        </w:rPr>
        <w:t>,</w:t>
      </w:r>
      <w:r w:rsidRPr="001D07D9" w:rsidDel="001D07D9">
        <w:rPr>
          <w:rFonts w:eastAsiaTheme="majorEastAsia"/>
          <w:color w:val="000000" w:themeColor="text1"/>
        </w:rPr>
        <w:t xml:space="preserve"> </w:t>
      </w:r>
      <w:r w:rsidR="009E0B70">
        <w:rPr>
          <w:rStyle w:val="normaltextrun"/>
          <w:rFonts w:eastAsiaTheme="majorEastAsia"/>
          <w:color w:val="000000" w:themeColor="text1"/>
        </w:rPr>
        <w:t xml:space="preserve">total </w:t>
      </w:r>
      <w:r w:rsidR="006623AA">
        <w:rPr>
          <w:rStyle w:val="normaltextrun"/>
          <w:rFonts w:eastAsiaTheme="majorEastAsia"/>
          <w:color w:val="000000" w:themeColor="text1"/>
        </w:rPr>
        <w:t>u</w:t>
      </w:r>
      <w:r w:rsidR="00C54281">
        <w:rPr>
          <w:rStyle w:val="normaltextrun"/>
          <w:rFonts w:eastAsiaTheme="majorEastAsia"/>
          <w:color w:val="000000" w:themeColor="text1"/>
        </w:rPr>
        <w:t>ncompensated cost</w:t>
      </w:r>
      <w:r w:rsidR="009E0B70">
        <w:rPr>
          <w:rStyle w:val="normaltextrun"/>
          <w:rFonts w:eastAsiaTheme="majorEastAsia"/>
          <w:color w:val="000000" w:themeColor="text1"/>
        </w:rPr>
        <w:t>s</w:t>
      </w:r>
      <w:r w:rsidR="00C54281">
        <w:rPr>
          <w:rStyle w:val="normaltextrun"/>
          <w:rFonts w:eastAsiaTheme="majorEastAsia"/>
          <w:color w:val="000000" w:themeColor="text1"/>
        </w:rPr>
        <w:t xml:space="preserve"> should reflect the start-up, no-load, and Energy up to a Resource’s expected </w:t>
      </w:r>
      <w:r w:rsidR="00F81522">
        <w:t>offline Mid-</w:t>
      </w:r>
      <w:r w:rsidR="00A259C0">
        <w:t>T</w:t>
      </w:r>
      <w:r w:rsidR="00F81522">
        <w:t>erm Flex Up</w:t>
      </w:r>
      <w:r w:rsidR="00C36C59">
        <w:rPr>
          <w:rStyle w:val="normaltextrun"/>
          <w:rFonts w:eastAsiaTheme="majorEastAsia"/>
          <w:color w:val="000000" w:themeColor="text1"/>
        </w:rPr>
        <w:t xml:space="preserve"> </w:t>
      </w:r>
      <w:r w:rsidR="00C54281">
        <w:rPr>
          <w:rStyle w:val="normaltextrun"/>
          <w:rFonts w:eastAsiaTheme="majorEastAsia"/>
          <w:color w:val="000000" w:themeColor="text1"/>
        </w:rPr>
        <w:t xml:space="preserve">megawatts for the duration of the larger of the </w:t>
      </w:r>
      <w:r w:rsidR="00F81522">
        <w:t>offline Mid-</w:t>
      </w:r>
      <w:r w:rsidR="00A259C0">
        <w:t>T</w:t>
      </w:r>
      <w:r w:rsidR="00F81522">
        <w:t>erm Flex Up</w:t>
      </w:r>
      <w:r w:rsidR="00F81522" w:rsidDel="00F81522">
        <w:rPr>
          <w:rStyle w:val="normaltextrun"/>
          <w:rFonts w:eastAsiaTheme="majorEastAsia"/>
          <w:color w:val="000000" w:themeColor="text1"/>
        </w:rPr>
        <w:t xml:space="preserve"> </w:t>
      </w:r>
      <w:r w:rsidR="00C54281">
        <w:rPr>
          <w:rStyle w:val="normaltextrun"/>
          <w:rFonts w:eastAsiaTheme="majorEastAsia"/>
          <w:color w:val="000000" w:themeColor="text1"/>
        </w:rPr>
        <w:t xml:space="preserve">response time and the Minimum Run Time.  These costs are not eligible for reimbursements in the RUC make whole payment when the Resource clears </w:t>
      </w:r>
      <w:r w:rsidR="00F81522">
        <w:rPr>
          <w:rFonts w:eastAsiaTheme="majorEastAsia"/>
        </w:rPr>
        <w:t xml:space="preserve">offline </w:t>
      </w:r>
      <w:r w:rsidR="00F81522">
        <w:t>Mid-</w:t>
      </w:r>
      <w:r w:rsidR="00A259C0">
        <w:t>T</w:t>
      </w:r>
      <w:r w:rsidR="00F81522">
        <w:t>erm Flex Up</w:t>
      </w:r>
      <w:r w:rsidR="00F81522" w:rsidDel="00F81522">
        <w:rPr>
          <w:rStyle w:val="normaltextrun"/>
          <w:rFonts w:eastAsiaTheme="majorEastAsia"/>
          <w:color w:val="000000" w:themeColor="text1"/>
        </w:rPr>
        <w:t xml:space="preserve"> </w:t>
      </w:r>
      <w:r w:rsidR="00C54281">
        <w:rPr>
          <w:rStyle w:val="normaltextrun"/>
          <w:rFonts w:eastAsiaTheme="majorEastAsia"/>
          <w:color w:val="000000" w:themeColor="text1"/>
        </w:rPr>
        <w:t xml:space="preserve">and is subsequently committed in conjunction with RTBM </w:t>
      </w:r>
      <w:r w:rsidR="00F81522">
        <w:t>offline Mid-</w:t>
      </w:r>
      <w:r w:rsidR="00A259C0">
        <w:t>T</w:t>
      </w:r>
      <w:r w:rsidR="00F81522">
        <w:t>erm Flex Up</w:t>
      </w:r>
      <w:r w:rsidR="00F81522" w:rsidDel="00F81522">
        <w:rPr>
          <w:rStyle w:val="normaltextrun"/>
          <w:rFonts w:eastAsiaTheme="majorEastAsia"/>
          <w:color w:val="000000" w:themeColor="text1"/>
        </w:rPr>
        <w:t xml:space="preserve"> </w:t>
      </w:r>
      <w:r w:rsidR="00C54281">
        <w:rPr>
          <w:rStyle w:val="normaltextrun"/>
          <w:rFonts w:eastAsiaTheme="majorEastAsia"/>
          <w:color w:val="000000" w:themeColor="text1"/>
        </w:rPr>
        <w:t xml:space="preserve">thus these costs will be considered uncompensated costs.  Cost reimbursement for no-load, and Energy up to a Resource’s </w:t>
      </w:r>
      <w:r w:rsidR="00837DA9">
        <w:rPr>
          <w:rStyle w:val="normaltextrun"/>
          <w:rFonts w:eastAsiaTheme="majorEastAsia"/>
          <w:color w:val="000000" w:themeColor="text1"/>
        </w:rPr>
        <w:t>Min ECOL</w:t>
      </w:r>
      <w:r w:rsidR="00CD2140">
        <w:rPr>
          <w:rStyle w:val="normaltextrun"/>
          <w:rFonts w:eastAsiaTheme="majorEastAsia"/>
          <w:color w:val="000000" w:themeColor="text1"/>
        </w:rPr>
        <w:t>, or in the case of an MSR, the Minimum Discharge Limit,</w:t>
      </w:r>
      <w:r w:rsidR="00C54281">
        <w:rPr>
          <w:rStyle w:val="normaltextrun"/>
          <w:rFonts w:eastAsiaTheme="majorEastAsia"/>
          <w:color w:val="000000" w:themeColor="text1"/>
        </w:rPr>
        <w:t xml:space="preserve"> will resume through the RUC make whole payment once the larger of the Minimum Run Time and the </w:t>
      </w:r>
      <w:r w:rsidR="00F81522">
        <w:t>offline Mid-</w:t>
      </w:r>
      <w:r w:rsidR="00A259C0">
        <w:t>T</w:t>
      </w:r>
      <w:r w:rsidR="00F81522">
        <w:t>erm Flex Up</w:t>
      </w:r>
      <w:r w:rsidR="00C54281">
        <w:rPr>
          <w:rStyle w:val="normaltextrun"/>
          <w:rFonts w:eastAsiaTheme="majorEastAsia"/>
          <w:color w:val="000000" w:themeColor="text1"/>
        </w:rPr>
        <w:t xml:space="preserve"> response time has been met. </w:t>
      </w:r>
      <w:r w:rsidR="00C54281">
        <w:rPr>
          <w:rFonts w:eastAsiaTheme="majorEastAsia"/>
          <w:color w:val="000000" w:themeColor="text1"/>
        </w:rPr>
        <w:t xml:space="preserve">The </w:t>
      </w:r>
      <w:r w:rsidR="0088393A">
        <w:rPr>
          <w:rFonts w:eastAsiaTheme="majorEastAsia"/>
          <w:color w:val="000000" w:themeColor="text1"/>
        </w:rPr>
        <w:t xml:space="preserve">offline </w:t>
      </w:r>
      <w:r w:rsidR="00C54281">
        <w:rPr>
          <w:rFonts w:eastAsiaTheme="majorEastAsia"/>
          <w:color w:val="000000" w:themeColor="text1"/>
        </w:rPr>
        <w:t>Mid-</w:t>
      </w:r>
      <w:r w:rsidR="00A259C0">
        <w:rPr>
          <w:rFonts w:eastAsiaTheme="majorEastAsia"/>
          <w:color w:val="000000" w:themeColor="text1"/>
        </w:rPr>
        <w:t>T</w:t>
      </w:r>
      <w:r w:rsidR="00C54281">
        <w:rPr>
          <w:rFonts w:eastAsiaTheme="majorEastAsia"/>
          <w:color w:val="000000" w:themeColor="text1"/>
        </w:rPr>
        <w:t xml:space="preserve">erm Flex Up mitigated offer will be comprised of the Mitigated startup offer, no-load offer, and Energy offer up to the resource’s </w:t>
      </w:r>
      <w:r w:rsidR="00CD2140">
        <w:rPr>
          <w:rFonts w:eastAsiaTheme="majorEastAsia"/>
          <w:color w:val="000000" w:themeColor="text1"/>
        </w:rPr>
        <w:t>Min ECOL,</w:t>
      </w:r>
      <w:r w:rsidR="00CD2140" w:rsidRPr="00CD2140">
        <w:rPr>
          <w:rStyle w:val="normaltextrun"/>
          <w:rFonts w:eastAsiaTheme="majorEastAsia"/>
          <w:color w:val="000000" w:themeColor="text1"/>
        </w:rPr>
        <w:t xml:space="preserve"> </w:t>
      </w:r>
      <w:r w:rsidR="00CD2140">
        <w:rPr>
          <w:rStyle w:val="normaltextrun"/>
          <w:rFonts w:eastAsiaTheme="majorEastAsia"/>
          <w:color w:val="000000" w:themeColor="text1"/>
        </w:rPr>
        <w:t>or in the case of an MSR, the Minimum Discharge Limit</w:t>
      </w:r>
      <w:r w:rsidR="00C54281">
        <w:rPr>
          <w:rFonts w:eastAsiaTheme="majorEastAsia"/>
          <w:color w:val="000000" w:themeColor="text1"/>
        </w:rPr>
        <w:t xml:space="preserve">. These costs will be amortized over the resource’s expected </w:t>
      </w:r>
      <w:r w:rsidR="00F81522">
        <w:t>offline Mid-</w:t>
      </w:r>
      <w:r w:rsidR="00A259C0">
        <w:t>T</w:t>
      </w:r>
      <w:r w:rsidR="00F81522">
        <w:t>erm Flex Up</w:t>
      </w:r>
      <w:r w:rsidR="00F81522" w:rsidDel="00F81522">
        <w:rPr>
          <w:rStyle w:val="normaltextrun"/>
          <w:rFonts w:eastAsiaTheme="majorEastAsia"/>
          <w:color w:val="000000" w:themeColor="text1"/>
        </w:rPr>
        <w:t xml:space="preserve"> </w:t>
      </w:r>
      <w:r w:rsidR="00C54281">
        <w:rPr>
          <w:rFonts w:eastAsiaTheme="majorEastAsia"/>
          <w:color w:val="000000" w:themeColor="text1"/>
        </w:rPr>
        <w:t xml:space="preserve">megawatts for the duration of the </w:t>
      </w:r>
      <w:r w:rsidR="00F81522">
        <w:t>offline Mid-</w:t>
      </w:r>
      <w:r w:rsidR="00A259C0">
        <w:t>T</w:t>
      </w:r>
      <w:r w:rsidR="00F81522">
        <w:t>erm Flex Up</w:t>
      </w:r>
      <w:r w:rsidR="00F81522" w:rsidDel="00F81522">
        <w:rPr>
          <w:rFonts w:eastAsiaTheme="majorEastAsia"/>
          <w:color w:val="000000" w:themeColor="text1"/>
        </w:rPr>
        <w:t xml:space="preserve"> </w:t>
      </w:r>
      <w:r w:rsidR="00C54281">
        <w:rPr>
          <w:rFonts w:eastAsiaTheme="majorEastAsia"/>
          <w:color w:val="000000" w:themeColor="text1"/>
        </w:rPr>
        <w:t>response time.</w:t>
      </w:r>
    </w:p>
    <w:p w14:paraId="2A49B0B2" w14:textId="4D44AA88" w:rsidR="00C54281" w:rsidRDefault="0002195B" w:rsidP="00C54281">
      <w:pPr>
        <w:rPr>
          <w:rStyle w:val="normaltextrun"/>
          <w:rFonts w:eastAsiaTheme="majorEastAsia"/>
        </w:rPr>
      </w:pPr>
      <m:oMathPara>
        <m:oMath>
          <m:r>
            <w:rPr>
              <w:rStyle w:val="normaltextrun"/>
              <w:rFonts w:ascii="Cambria Math" w:hAnsi="Cambria Math"/>
            </w:rPr>
            <m:t>Offline</m:t>
          </m:r>
          <m:r>
            <m:rPr>
              <m:nor/>
            </m:rPr>
            <w:rPr>
              <w:rStyle w:val="normaltextrun"/>
              <w:rFonts w:ascii="Cambria Math" w:hAnsi="Cambria Math"/>
            </w:rPr>
            <m:t xml:space="preserve"> </m:t>
          </m:r>
          <m:r>
            <w:rPr>
              <w:rStyle w:val="normaltextrun"/>
              <w:rFonts w:ascii="Cambria Math" w:hAnsi="Cambria Math"/>
            </w:rPr>
            <m:t>Mid-term Flex Up</m:t>
          </m:r>
          <m:d>
            <m:dPr>
              <m:ctrlPr>
                <w:rPr>
                  <w:rFonts w:ascii="Cambria Math" w:hAnsi="Cambria Math"/>
                  <w:i/>
                </w:rPr>
              </m:ctrlPr>
            </m:dPr>
            <m:e>
              <m:f>
                <m:fPr>
                  <m:ctrlPr>
                    <w:rPr>
                      <w:rFonts w:ascii="Cambria Math" w:hAnsi="Cambria Math"/>
                      <w:i/>
                    </w:rPr>
                  </m:ctrlPr>
                </m:fPr>
                <m:num>
                  <m:r>
                    <w:rPr>
                      <w:rStyle w:val="normaltextrun"/>
                      <w:rFonts w:ascii="Cambria Math" w:hAnsi="Cambria Math"/>
                    </w:rPr>
                    <m:t>$</m:t>
                  </m:r>
                </m:num>
                <m:den>
                  <m:r>
                    <w:rPr>
                      <w:rStyle w:val="normaltextrun"/>
                      <w:rFonts w:ascii="Cambria Math" w:hAnsi="Cambria Math"/>
                    </w:rPr>
                    <m:t>MWh</m:t>
                  </m:r>
                </m:den>
              </m:f>
            </m:e>
          </m:d>
          <m:r>
            <w:rPr>
              <w:rStyle w:val="normaltextrun"/>
              <w:rFonts w:ascii="Cambria Math" w:hAnsi="Cambria Math"/>
            </w:rPr>
            <m:t>=</m:t>
          </m:r>
          <m:d>
            <m:dPr>
              <m:ctrlPr>
                <w:rPr>
                  <w:rFonts w:ascii="Cambria Math" w:hAnsi="Cambria Math"/>
                  <w:i/>
                </w:rPr>
              </m:ctrlPr>
            </m:dPr>
            <m:e>
              <m:r>
                <w:rPr>
                  <w:rStyle w:val="normaltextrun"/>
                  <w:rFonts w:ascii="Cambria Math" w:hAnsi="Cambria Math"/>
                </w:rPr>
                <m:t>Start</m:t>
              </m:r>
              <m:r>
                <m:rPr>
                  <m:nor/>
                </m:rPr>
                <w:rPr>
                  <w:rStyle w:val="normaltextrun"/>
                  <w:rFonts w:ascii="Cambria Math" w:hAnsi="Cambria Math"/>
                </w:rPr>
                <m:t>-</m:t>
              </m:r>
              <m:r>
                <w:rPr>
                  <w:rStyle w:val="normaltextrun"/>
                  <w:rFonts w:ascii="Cambria Math" w:hAnsi="Cambria Math"/>
                </w:rPr>
                <m:t xml:space="preserve">up Costs </m:t>
              </m:r>
              <m:d>
                <m:dPr>
                  <m:ctrlPr>
                    <w:rPr>
                      <w:rFonts w:ascii="Cambria Math" w:hAnsi="Cambria Math"/>
                      <w:i/>
                    </w:rPr>
                  </m:ctrlPr>
                </m:dPr>
                <m:e>
                  <m:f>
                    <m:fPr>
                      <m:ctrlPr>
                        <w:rPr>
                          <w:rFonts w:ascii="Cambria Math" w:hAnsi="Cambria Math"/>
                          <w:i/>
                        </w:rPr>
                      </m:ctrlPr>
                    </m:fPr>
                    <m:num>
                      <m:r>
                        <w:rPr>
                          <w:rStyle w:val="normaltextrun"/>
                          <w:rFonts w:ascii="Cambria Math" w:hAnsi="Cambria Math"/>
                        </w:rPr>
                        <m:t>$</m:t>
                      </m:r>
                    </m:num>
                    <m:den>
                      <m:r>
                        <w:rPr>
                          <w:rStyle w:val="normaltextrun"/>
                          <w:rFonts w:ascii="Cambria Math" w:hAnsi="Cambria Math"/>
                        </w:rPr>
                        <m:t>Start</m:t>
                      </m:r>
                    </m:den>
                  </m:f>
                </m:e>
              </m:d>
              <m:r>
                <w:rPr>
                  <w:rStyle w:val="normaltextrun"/>
                  <w:rFonts w:ascii="Cambria Math" w:hAnsi="Cambria Math"/>
                </w:rPr>
                <m:t>+</m:t>
              </m:r>
              <m:d>
                <m:dPr>
                  <m:ctrlPr>
                    <w:rPr>
                      <w:rFonts w:ascii="Cambria Math" w:hAnsi="Cambria Math"/>
                      <w:i/>
                    </w:rPr>
                  </m:ctrlPr>
                </m:dPr>
                <m:e>
                  <m:r>
                    <w:rPr>
                      <w:rStyle w:val="normaltextrun"/>
                      <w:rFonts w:ascii="Cambria Math" w:hAnsi="Cambria Math"/>
                    </w:rPr>
                    <m:t>No</m:t>
                  </m:r>
                  <m:r>
                    <m:rPr>
                      <m:nor/>
                    </m:rPr>
                    <w:rPr>
                      <w:rStyle w:val="normaltextrun"/>
                      <w:rFonts w:ascii="Cambria Math" w:hAnsi="Cambria Math"/>
                    </w:rPr>
                    <m:t>-</m:t>
                  </m:r>
                  <m:r>
                    <w:rPr>
                      <w:rStyle w:val="normaltextrun"/>
                      <w:rFonts w:ascii="Cambria Math" w:hAnsi="Cambria Math"/>
                    </w:rPr>
                    <m:t xml:space="preserve">Load Costs </m:t>
                  </m:r>
                  <m:d>
                    <m:dPr>
                      <m:ctrlPr>
                        <w:rPr>
                          <w:rFonts w:ascii="Cambria Math" w:hAnsi="Cambria Math"/>
                          <w:i/>
                        </w:rPr>
                      </m:ctrlPr>
                    </m:dPr>
                    <m:e>
                      <m:f>
                        <m:fPr>
                          <m:ctrlPr>
                            <w:rPr>
                              <w:rFonts w:ascii="Cambria Math" w:hAnsi="Cambria Math"/>
                              <w:i/>
                            </w:rPr>
                          </m:ctrlPr>
                        </m:fPr>
                        <m:num>
                          <m:r>
                            <w:rPr>
                              <w:rStyle w:val="normaltextrun"/>
                              <w:rFonts w:ascii="Cambria Math" w:hAnsi="Cambria Math"/>
                            </w:rPr>
                            <m:t>$</m:t>
                          </m:r>
                        </m:num>
                        <m:den>
                          <m:r>
                            <w:rPr>
                              <w:rStyle w:val="normaltextrun"/>
                              <w:rFonts w:ascii="Cambria Math" w:hAnsi="Cambria Math"/>
                            </w:rPr>
                            <m:t>hour</m:t>
                          </m:r>
                        </m:den>
                      </m:f>
                    </m:e>
                  </m:d>
                  <m:r>
                    <w:rPr>
                      <w:rStyle w:val="normaltextrun"/>
                      <w:rFonts w:ascii="Cambria Math" w:hAnsi="Cambria Math"/>
                    </w:rPr>
                    <m:t>*Max</m:t>
                  </m:r>
                  <m:d>
                    <m:dPr>
                      <m:ctrlPr>
                        <w:rPr>
                          <w:rFonts w:ascii="Cambria Math" w:hAnsi="Cambria Math"/>
                          <w:i/>
                        </w:rPr>
                      </m:ctrlPr>
                    </m:dPr>
                    <m:e>
                      <m:r>
                        <w:rPr>
                          <w:rStyle w:val="normaltextrun"/>
                          <w:rFonts w:ascii="Cambria Math" w:hAnsi="Cambria Math"/>
                        </w:rPr>
                        <m:t>Mid-term Flex Up response time</m:t>
                      </m:r>
                      <m:d>
                        <m:dPr>
                          <m:ctrlPr>
                            <w:rPr>
                              <w:rFonts w:ascii="Cambria Math" w:hAnsi="Cambria Math"/>
                              <w:i/>
                            </w:rPr>
                          </m:ctrlPr>
                        </m:dPr>
                        <m:e>
                          <m:r>
                            <w:rPr>
                              <w:rStyle w:val="normaltextrun"/>
                              <w:rFonts w:ascii="Cambria Math" w:hAnsi="Cambria Math"/>
                            </w:rPr>
                            <m:t>hours</m:t>
                          </m:r>
                        </m:e>
                      </m:d>
                      <m:r>
                        <w:rPr>
                          <w:rStyle w:val="normaltextrun"/>
                          <w:rFonts w:ascii="Cambria Math" w:hAnsi="Cambria Math"/>
                        </w:rPr>
                        <m:t xml:space="preserve">, Minimum Run Time </m:t>
                      </m:r>
                      <m:d>
                        <m:dPr>
                          <m:ctrlPr>
                            <w:rPr>
                              <w:rFonts w:ascii="Cambria Math" w:hAnsi="Cambria Math"/>
                              <w:i/>
                            </w:rPr>
                          </m:ctrlPr>
                        </m:dPr>
                        <m:e>
                          <m:r>
                            <w:rPr>
                              <w:rStyle w:val="normaltextrun"/>
                              <w:rFonts w:ascii="Cambria Math" w:hAnsi="Cambria Math"/>
                            </w:rPr>
                            <m:t>hours</m:t>
                          </m:r>
                        </m:e>
                      </m:d>
                    </m:e>
                  </m:d>
                </m:e>
              </m:d>
              <m:r>
                <w:rPr>
                  <w:rStyle w:val="normaltextrun"/>
                  <w:rFonts w:ascii="Cambria Math" w:hAnsi="Cambria Math"/>
                </w:rPr>
                <m:t xml:space="preserve">+Energy Costs up to minimum limit during the previous term </m:t>
              </m:r>
              <m:d>
                <m:dPr>
                  <m:ctrlPr>
                    <w:rPr>
                      <w:rFonts w:ascii="Cambria Math" w:hAnsi="Cambria Math"/>
                      <w:i/>
                    </w:rPr>
                  </m:ctrlPr>
                </m:dPr>
                <m:e>
                  <m:f>
                    <m:fPr>
                      <m:ctrlPr>
                        <w:rPr>
                          <w:rFonts w:ascii="Cambria Math" w:hAnsi="Cambria Math"/>
                          <w:i/>
                        </w:rPr>
                      </m:ctrlPr>
                    </m:fPr>
                    <m:num>
                      <m:r>
                        <w:rPr>
                          <w:rStyle w:val="normaltextrun"/>
                          <w:rFonts w:ascii="Cambria Math" w:hAnsi="Cambria Math"/>
                        </w:rPr>
                        <m:t>$</m:t>
                      </m:r>
                    </m:num>
                    <m:den>
                      <m:r>
                        <w:rPr>
                          <w:rStyle w:val="normaltextrun"/>
                          <w:rFonts w:ascii="Cambria Math" w:hAnsi="Cambria Math"/>
                        </w:rPr>
                        <m:t>Start</m:t>
                      </m:r>
                    </m:den>
                  </m:f>
                </m:e>
              </m:d>
            </m:e>
          </m:d>
          <m:r>
            <w:rPr>
              <w:rStyle w:val="normaltextrun"/>
              <w:rFonts w:ascii="Cambria Math" w:hAnsi="Cambria Math"/>
            </w:rPr>
            <m:t>/</m:t>
          </m:r>
          <m:d>
            <m:dPr>
              <m:ctrlPr>
                <w:rPr>
                  <w:rFonts w:ascii="Cambria Math" w:hAnsi="Cambria Math"/>
                  <w:i/>
                </w:rPr>
              </m:ctrlPr>
            </m:dPr>
            <m:e>
              <m:r>
                <w:rPr>
                  <w:rStyle w:val="normaltextrun"/>
                  <w:rFonts w:ascii="Cambria Math" w:hAnsi="Cambria Math"/>
                </w:rPr>
                <m:t xml:space="preserve">Expected Mid-term Flex Up Megawatts*Mid-term Flex Up response time </m:t>
              </m:r>
              <m:d>
                <m:dPr>
                  <m:ctrlPr>
                    <w:rPr>
                      <w:rFonts w:ascii="Cambria Math" w:hAnsi="Cambria Math"/>
                      <w:i/>
                    </w:rPr>
                  </m:ctrlPr>
                </m:dPr>
                <m:e>
                  <m:r>
                    <w:rPr>
                      <w:rStyle w:val="normaltextrun"/>
                      <w:rFonts w:ascii="Cambria Math" w:hAnsi="Cambria Math"/>
                    </w:rPr>
                    <m:t>hours</m:t>
                  </m:r>
                </m:e>
              </m:d>
            </m:e>
          </m:d>
        </m:oMath>
      </m:oMathPara>
    </w:p>
    <w:p w14:paraId="680C5336" w14:textId="77777777" w:rsidR="00C54281" w:rsidRDefault="00C54281" w:rsidP="00C54281">
      <w:pPr>
        <w:spacing w:line="360" w:lineRule="auto"/>
        <w:rPr>
          <w:rStyle w:val="normaltextrun"/>
          <w:rFonts w:eastAsiaTheme="majorEastAsia"/>
          <w:color w:val="000000" w:themeColor="text1"/>
        </w:rPr>
      </w:pPr>
    </w:p>
    <w:p w14:paraId="3BE12173" w14:textId="39FB61A1" w:rsidR="00C54281" w:rsidRDefault="00C54281" w:rsidP="00C54281">
      <w:pPr>
        <w:spacing w:line="360" w:lineRule="auto"/>
        <w:rPr>
          <w:rStyle w:val="normaltextrun"/>
          <w:rFonts w:eastAsiaTheme="majorEastAsia"/>
          <w:color w:val="000000" w:themeColor="text1"/>
        </w:rPr>
      </w:pPr>
      <w:r>
        <w:rPr>
          <w:rStyle w:val="normaltextrun"/>
          <w:rFonts w:eastAsiaTheme="majorEastAsia"/>
          <w:color w:val="000000" w:themeColor="text1"/>
        </w:rPr>
        <w:t xml:space="preserve">The energy costs up to minimum limit during the larger of the </w:t>
      </w:r>
      <w:r w:rsidR="00E32408">
        <w:rPr>
          <w:rStyle w:val="normaltextrun"/>
          <w:rFonts w:eastAsiaTheme="majorEastAsia"/>
          <w:color w:val="000000" w:themeColor="text1"/>
        </w:rPr>
        <w:t xml:space="preserve">offline </w:t>
      </w:r>
      <w:r>
        <w:rPr>
          <w:rStyle w:val="normaltextrun"/>
          <w:rFonts w:eastAsiaTheme="majorEastAsia"/>
          <w:color w:val="000000" w:themeColor="text1"/>
        </w:rPr>
        <w:t>Mid</w:t>
      </w:r>
      <w:r w:rsidR="00E32408">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response time and Minimum Run Time is computed as the costs to the Resource to run at its expected </w:t>
      </w:r>
      <w:r w:rsidR="00E67F90">
        <w:rPr>
          <w:rStyle w:val="normaltextrun"/>
          <w:rFonts w:eastAsiaTheme="majorEastAsia"/>
          <w:color w:val="000000" w:themeColor="text1"/>
        </w:rPr>
        <w:t xml:space="preserve">offline </w:t>
      </w:r>
      <w:r>
        <w:rPr>
          <w:rStyle w:val="normaltextrun"/>
          <w:rFonts w:eastAsiaTheme="majorEastAsia"/>
          <w:color w:val="000000" w:themeColor="text1"/>
        </w:rPr>
        <w:t>Mid</w:t>
      </w:r>
      <w:r w:rsidR="00E67F90">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megawatt output for the duration of the larger of the </w:t>
      </w:r>
      <w:r w:rsidR="00E67F90">
        <w:rPr>
          <w:rStyle w:val="normaltextrun"/>
          <w:rFonts w:eastAsiaTheme="majorEastAsia"/>
          <w:color w:val="000000" w:themeColor="text1"/>
        </w:rPr>
        <w:t xml:space="preserve">offline </w:t>
      </w:r>
      <w:r>
        <w:rPr>
          <w:rStyle w:val="normaltextrun"/>
          <w:rFonts w:eastAsiaTheme="majorEastAsia"/>
          <w:color w:val="000000" w:themeColor="text1"/>
        </w:rPr>
        <w:t>Mid</w:t>
      </w:r>
      <w:r w:rsidR="00E67F90">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erm Flex Up response time and Minimum Run Time.</w:t>
      </w:r>
    </w:p>
    <w:p w14:paraId="46CD02A8" w14:textId="5B761D6B" w:rsidR="00C54281" w:rsidRDefault="0002195B" w:rsidP="00C54281">
      <w:pPr>
        <w:spacing w:line="360" w:lineRule="auto"/>
        <w:rPr>
          <w:rStyle w:val="normaltextrun"/>
          <w:rFonts w:eastAsiaTheme="majorEastAsia"/>
          <w:color w:val="000000" w:themeColor="text1"/>
        </w:rPr>
      </w:pPr>
      <m:oMathPara>
        <m:oMath>
          <m:r>
            <w:rPr>
              <w:rStyle w:val="normaltextrun"/>
              <w:rFonts w:ascii="Cambria Math" w:eastAsiaTheme="majorEastAsia" w:hAnsi="Cambria Math"/>
              <w:color w:val="000000" w:themeColor="text1"/>
            </w:rPr>
            <m:t xml:space="preserve">Energy Costs up to minimum limit </m:t>
          </m:r>
          <m:d>
            <m:dPr>
              <m:ctrlPr>
                <w:rPr>
                  <w:rFonts w:ascii="Cambria Math" w:eastAsiaTheme="majorEastAsia" w:hAnsi="Cambria Math"/>
                  <w:i/>
                  <w:color w:val="000000" w:themeColor="text1"/>
                </w:rPr>
              </m:ctrlPr>
            </m:dPr>
            <m:e>
              <m:f>
                <m:fPr>
                  <m:ctrlPr>
                    <w:rPr>
                      <w:rFonts w:ascii="Cambria Math" w:eastAsiaTheme="majorEastAsia" w:hAnsi="Cambria Math"/>
                      <w:i/>
                      <w:color w:val="000000" w:themeColor="text1"/>
                    </w:rPr>
                  </m:ctrlPr>
                </m:fPr>
                <m:num>
                  <m:r>
                    <w:rPr>
                      <w:rStyle w:val="normaltextrun"/>
                      <w:rFonts w:ascii="Cambria Math" w:eastAsiaTheme="majorEastAsia" w:hAnsi="Cambria Math"/>
                      <w:color w:val="000000" w:themeColor="text1"/>
                    </w:rPr>
                    <m:t>$</m:t>
                  </m:r>
                </m:num>
                <m:den>
                  <m:r>
                    <w:rPr>
                      <w:rStyle w:val="normaltextrun"/>
                      <w:rFonts w:ascii="Cambria Math" w:eastAsiaTheme="majorEastAsia" w:hAnsi="Cambria Math"/>
                      <w:color w:val="000000" w:themeColor="text1"/>
                    </w:rPr>
                    <m:t>Start</m:t>
                  </m:r>
                </m:den>
              </m:f>
            </m:e>
          </m:d>
          <m:r>
            <w:rPr>
              <w:rStyle w:val="normaltextrun"/>
              <w:rFonts w:ascii="Cambria Math" w:eastAsiaTheme="majorEastAsia" w:hAnsi="Cambria Math"/>
              <w:color w:val="000000" w:themeColor="text1"/>
            </w:rPr>
            <m:t>=</m:t>
          </m:r>
          <m:d>
            <m:dPr>
              <m:ctrlPr>
                <w:rPr>
                  <w:rFonts w:ascii="Cambria Math" w:eastAsiaTheme="majorEastAsia" w:hAnsi="Cambria Math"/>
                  <w:i/>
                  <w:color w:val="000000" w:themeColor="text1"/>
                </w:rPr>
              </m:ctrlPr>
            </m:dPr>
            <m:e>
              <m:d>
                <m:dPr>
                  <m:ctrlPr>
                    <w:rPr>
                      <w:rFonts w:ascii="Cambria Math" w:eastAsiaTheme="majorEastAsia" w:hAnsi="Cambria Math"/>
                      <w:i/>
                      <w:color w:val="000000" w:themeColor="text1"/>
                    </w:rPr>
                  </m:ctrlPr>
                </m:dPr>
                <m:e>
                  <m:r>
                    <w:rPr>
                      <w:rStyle w:val="normaltextrun"/>
                      <w:rFonts w:ascii="Cambria Math" w:eastAsiaTheme="majorEastAsia" w:hAnsi="Cambria Math"/>
                      <w:color w:val="000000" w:themeColor="text1"/>
                    </w:rPr>
                    <m:t xml:space="preserve">Heat Rate </m:t>
                  </m:r>
                  <m:d>
                    <m:dPr>
                      <m:ctrlPr>
                        <w:rPr>
                          <w:rFonts w:ascii="Cambria Math" w:eastAsiaTheme="majorEastAsia" w:hAnsi="Cambria Math"/>
                          <w:i/>
                          <w:color w:val="000000" w:themeColor="text1"/>
                        </w:rPr>
                      </m:ctrlPr>
                    </m:dPr>
                    <m:e>
                      <m:f>
                        <m:fPr>
                          <m:ctrlPr>
                            <w:rPr>
                              <w:rFonts w:ascii="Cambria Math" w:eastAsiaTheme="majorEastAsia" w:hAnsi="Cambria Math"/>
                              <w:i/>
                              <w:color w:val="000000" w:themeColor="text1"/>
                            </w:rPr>
                          </m:ctrlPr>
                        </m:fPr>
                        <m:num>
                          <m:r>
                            <w:rPr>
                              <w:rStyle w:val="normaltextrun"/>
                              <w:rFonts w:ascii="Cambria Math" w:eastAsiaTheme="majorEastAsia" w:hAnsi="Cambria Math"/>
                              <w:color w:val="000000" w:themeColor="text1"/>
                            </w:rPr>
                            <m:t>MMBtu</m:t>
                          </m:r>
                        </m:num>
                        <m:den>
                          <m:r>
                            <w:rPr>
                              <w:rStyle w:val="normaltextrun"/>
                              <w:rFonts w:ascii="Cambria Math" w:eastAsiaTheme="majorEastAsia" w:hAnsi="Cambria Math"/>
                              <w:color w:val="000000" w:themeColor="text1"/>
                            </w:rPr>
                            <m:t>MWh</m:t>
                          </m:r>
                        </m:den>
                      </m:f>
                    </m:e>
                  </m:d>
                  <m:r>
                    <w:rPr>
                      <w:rStyle w:val="normaltextrun"/>
                      <w:rFonts w:ascii="Cambria Math" w:eastAsiaTheme="majorEastAsia" w:hAnsi="Cambria Math"/>
                      <w:color w:val="000000" w:themeColor="text1"/>
                    </w:rPr>
                    <m:t xml:space="preserve">*Total Fuel Related Costs </m:t>
                  </m:r>
                  <m:d>
                    <m:dPr>
                      <m:ctrlPr>
                        <w:rPr>
                          <w:rFonts w:ascii="Cambria Math" w:eastAsiaTheme="majorEastAsia" w:hAnsi="Cambria Math"/>
                          <w:i/>
                          <w:color w:val="000000" w:themeColor="text1"/>
                        </w:rPr>
                      </m:ctrlPr>
                    </m:dPr>
                    <m:e>
                      <m:f>
                        <m:fPr>
                          <m:ctrlPr>
                            <w:rPr>
                              <w:rFonts w:ascii="Cambria Math" w:eastAsiaTheme="majorEastAsia" w:hAnsi="Cambria Math"/>
                              <w:i/>
                              <w:color w:val="000000" w:themeColor="text1"/>
                            </w:rPr>
                          </m:ctrlPr>
                        </m:fPr>
                        <m:num>
                          <m:r>
                            <w:rPr>
                              <w:rStyle w:val="normaltextrun"/>
                              <w:rFonts w:ascii="Cambria Math" w:eastAsiaTheme="majorEastAsia" w:hAnsi="Cambria Math"/>
                              <w:color w:val="000000" w:themeColor="text1"/>
                            </w:rPr>
                            <m:t>$</m:t>
                          </m:r>
                        </m:num>
                        <m:den>
                          <m:r>
                            <w:rPr>
                              <w:rStyle w:val="normaltextrun"/>
                              <w:rFonts w:ascii="Cambria Math" w:eastAsiaTheme="majorEastAsia" w:hAnsi="Cambria Math"/>
                              <w:color w:val="000000" w:themeColor="text1"/>
                            </w:rPr>
                            <m:t>MMBtu</m:t>
                          </m:r>
                        </m:den>
                      </m:f>
                    </m:e>
                  </m:d>
                  <m:r>
                    <w:rPr>
                      <w:rStyle w:val="normaltextrun"/>
                      <w:rFonts w:ascii="Cambria Math" w:eastAsiaTheme="majorEastAsia" w:hAnsi="Cambria Math"/>
                      <w:color w:val="000000" w:themeColor="text1"/>
                    </w:rPr>
                    <m:t>*Performance Factor</m:t>
                  </m:r>
                </m:e>
              </m:d>
              <m:r>
                <w:rPr>
                  <w:rStyle w:val="normaltextrun"/>
                  <w:rFonts w:ascii="Cambria Math" w:eastAsiaTheme="majorEastAsia" w:hAnsi="Cambria Math"/>
                  <w:color w:val="000000" w:themeColor="text1"/>
                </w:rPr>
                <m:t>+Schedule 1</m:t>
              </m:r>
              <m:r>
                <m:rPr>
                  <m:nor/>
                </m:rPr>
                <w:rPr>
                  <w:rStyle w:val="normaltextrun"/>
                  <w:rFonts w:ascii="Cambria Math" w:eastAsiaTheme="majorEastAsia" w:hAnsi="Cambria Math"/>
                  <w:color w:val="000000" w:themeColor="text1"/>
                </w:rPr>
                <m:t>-</m:t>
              </m:r>
              <m:r>
                <w:rPr>
                  <w:rStyle w:val="normaltextrun"/>
                  <w:rFonts w:ascii="Cambria Math" w:eastAsiaTheme="majorEastAsia" w:hAnsi="Cambria Math"/>
                  <w:color w:val="000000" w:themeColor="text1"/>
                </w:rPr>
                <m:t xml:space="preserve">B Charge </m:t>
              </m:r>
              <m:d>
                <m:dPr>
                  <m:ctrlPr>
                    <w:rPr>
                      <w:rFonts w:ascii="Cambria Math" w:eastAsiaTheme="majorEastAsia" w:hAnsi="Cambria Math"/>
                      <w:i/>
                      <w:color w:val="000000" w:themeColor="text1"/>
                    </w:rPr>
                  </m:ctrlPr>
                </m:dPr>
                <m:e>
                  <m:f>
                    <m:fPr>
                      <m:ctrlPr>
                        <w:rPr>
                          <w:rFonts w:ascii="Cambria Math" w:eastAsiaTheme="majorEastAsia" w:hAnsi="Cambria Math"/>
                          <w:i/>
                          <w:color w:val="000000" w:themeColor="text1"/>
                        </w:rPr>
                      </m:ctrlPr>
                    </m:fPr>
                    <m:num>
                      <m:r>
                        <w:rPr>
                          <w:rStyle w:val="normaltextrun"/>
                          <w:rFonts w:ascii="Cambria Math" w:eastAsiaTheme="majorEastAsia" w:hAnsi="Cambria Math"/>
                          <w:color w:val="000000" w:themeColor="text1"/>
                        </w:rPr>
                        <m:t>$</m:t>
                      </m:r>
                    </m:num>
                    <m:den>
                      <m:r>
                        <w:rPr>
                          <w:rStyle w:val="normaltextrun"/>
                          <w:rFonts w:ascii="Cambria Math" w:eastAsiaTheme="majorEastAsia" w:hAnsi="Cambria Math"/>
                          <w:color w:val="000000" w:themeColor="text1"/>
                        </w:rPr>
                        <m:t>MWh</m:t>
                      </m:r>
                    </m:den>
                  </m:f>
                </m:e>
              </m:d>
              <m:r>
                <w:rPr>
                  <w:rStyle w:val="normaltextrun"/>
                  <w:rFonts w:ascii="Cambria Math" w:eastAsiaTheme="majorEastAsia" w:hAnsi="Cambria Math"/>
                  <w:color w:val="000000" w:themeColor="text1"/>
                </w:rPr>
                <m:t xml:space="preserve">+MTU Charge </m:t>
              </m:r>
              <m:d>
                <m:dPr>
                  <m:ctrlPr>
                    <w:rPr>
                      <w:rFonts w:ascii="Cambria Math" w:eastAsiaTheme="majorEastAsia" w:hAnsi="Cambria Math"/>
                      <w:i/>
                      <w:color w:val="000000" w:themeColor="text1"/>
                    </w:rPr>
                  </m:ctrlPr>
                </m:dPr>
                <m:e>
                  <m:f>
                    <m:fPr>
                      <m:ctrlPr>
                        <w:rPr>
                          <w:rFonts w:ascii="Cambria Math" w:eastAsiaTheme="majorEastAsia" w:hAnsi="Cambria Math"/>
                          <w:i/>
                          <w:color w:val="000000" w:themeColor="text1"/>
                        </w:rPr>
                      </m:ctrlPr>
                    </m:fPr>
                    <m:num>
                      <m:r>
                        <w:rPr>
                          <w:rStyle w:val="normaltextrun"/>
                          <w:rFonts w:ascii="Cambria Math" w:eastAsiaTheme="majorEastAsia" w:hAnsi="Cambria Math"/>
                          <w:color w:val="000000" w:themeColor="text1"/>
                        </w:rPr>
                        <m:t>$</m:t>
                      </m:r>
                    </m:num>
                    <m:den>
                      <m:r>
                        <w:rPr>
                          <w:rStyle w:val="normaltextrun"/>
                          <w:rFonts w:ascii="Cambria Math" w:eastAsiaTheme="majorEastAsia" w:hAnsi="Cambria Math"/>
                          <w:color w:val="000000" w:themeColor="text1"/>
                        </w:rPr>
                        <m:t>MWh</m:t>
                      </m:r>
                    </m:den>
                  </m:f>
                </m:e>
              </m:d>
            </m:e>
          </m:d>
          <m:r>
            <w:rPr>
              <w:rStyle w:val="normaltextrun"/>
              <w:rFonts w:ascii="Cambria Math" w:eastAsiaTheme="majorEastAsia" w:hAnsi="Cambria Math"/>
              <w:color w:val="000000" w:themeColor="text1"/>
            </w:rPr>
            <m:t>*Expected Mid-term Flex Up Megawatts*Max</m:t>
          </m:r>
          <m:d>
            <m:dPr>
              <m:ctrlPr>
                <w:rPr>
                  <w:rFonts w:ascii="Cambria Math" w:eastAsiaTheme="majorEastAsia" w:hAnsi="Cambria Math"/>
                  <w:i/>
                  <w:color w:val="000000" w:themeColor="text1"/>
                </w:rPr>
              </m:ctrlPr>
            </m:dPr>
            <m:e>
              <m:r>
                <w:rPr>
                  <w:rStyle w:val="normaltextrun"/>
                  <w:rFonts w:ascii="Cambria Math" w:hAnsi="Cambria Math"/>
                </w:rPr>
                <m:t>Mid-term Flex Up response time</m:t>
              </m:r>
              <m:d>
                <m:dPr>
                  <m:ctrlPr>
                    <w:rPr>
                      <w:rFonts w:ascii="Cambria Math" w:hAnsi="Cambria Math"/>
                      <w:i/>
                    </w:rPr>
                  </m:ctrlPr>
                </m:dPr>
                <m:e>
                  <m:r>
                    <w:rPr>
                      <w:rStyle w:val="normaltextrun"/>
                      <w:rFonts w:ascii="Cambria Math" w:hAnsi="Cambria Math"/>
                    </w:rPr>
                    <m:t>hours</m:t>
                  </m:r>
                </m:e>
              </m:d>
              <m:r>
                <w:rPr>
                  <w:rStyle w:val="normaltextrun"/>
                  <w:rFonts w:ascii="Cambria Math" w:hAnsi="Cambria Math"/>
                </w:rPr>
                <m:t xml:space="preserve">, Minimum Run Time </m:t>
              </m:r>
              <m:d>
                <m:dPr>
                  <m:ctrlPr>
                    <w:rPr>
                      <w:rFonts w:ascii="Cambria Math" w:hAnsi="Cambria Math"/>
                      <w:i/>
                    </w:rPr>
                  </m:ctrlPr>
                </m:dPr>
                <m:e>
                  <m:r>
                    <w:rPr>
                      <w:rStyle w:val="normaltextrun"/>
                      <w:rFonts w:ascii="Cambria Math" w:hAnsi="Cambria Math"/>
                    </w:rPr>
                    <m:t>hours</m:t>
                  </m:r>
                </m:e>
              </m:d>
            </m:e>
          </m:d>
        </m:oMath>
      </m:oMathPara>
    </w:p>
    <w:p w14:paraId="41EBC49E" w14:textId="5838CDCE" w:rsidR="00C54281" w:rsidRDefault="00C54281" w:rsidP="00C54281">
      <w:pPr>
        <w:spacing w:line="360" w:lineRule="auto"/>
        <w:rPr>
          <w:rStyle w:val="normaltextrun"/>
          <w:rFonts w:eastAsiaTheme="majorEastAsia"/>
          <w:color w:val="000000"/>
          <w:shd w:val="clear" w:color="auto" w:fill="FFFFFF"/>
        </w:rPr>
      </w:pPr>
      <w:r>
        <w:rPr>
          <w:rStyle w:val="normaltextrun"/>
          <w:rFonts w:eastAsiaTheme="majorEastAsia"/>
          <w:color w:val="000000" w:themeColor="text1"/>
        </w:rPr>
        <w:t>Expected Mid</w:t>
      </w:r>
      <w:r w:rsidR="00266706">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erm Flex Up megawatts are derived from the total rampable capacity that an offline Resource can provide, from an offline state, during the Mid</w:t>
      </w:r>
      <w:r w:rsidR="00266706">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response time.  This includes the ramp provided to reach the </w:t>
      </w:r>
      <w:r w:rsidR="00266706">
        <w:rPr>
          <w:rStyle w:val="normaltextrun"/>
          <w:rFonts w:eastAsiaTheme="majorEastAsia"/>
          <w:color w:val="000000" w:themeColor="text1"/>
        </w:rPr>
        <w:t>Min ECOL, or in the case of an MSR, the Minimum Discharge Limit</w:t>
      </w:r>
      <w:r>
        <w:rPr>
          <w:rStyle w:val="normaltextrun"/>
          <w:rFonts w:eastAsiaTheme="majorEastAsia"/>
          <w:color w:val="000000" w:themeColor="text1"/>
        </w:rPr>
        <w:t>, plus any ramp that can be provided to the market during the remaining Mid</w:t>
      </w:r>
      <w:r w:rsidR="00266706">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response time.  </w:t>
      </w:r>
      <w:r>
        <w:t xml:space="preserve">For example, if a Resource has a </w:t>
      </w:r>
      <w:r w:rsidR="009D1DE4">
        <w:t>one (</w:t>
      </w:r>
      <w:r>
        <w:t>1</w:t>
      </w:r>
      <w:r w:rsidR="009D1DE4">
        <w:t>)</w:t>
      </w:r>
      <w:r>
        <w:t xml:space="preserve"> megawatt per minute ramp rate, a </w:t>
      </w:r>
      <w:r w:rsidR="00266706">
        <w:t>Min ECOL, or in the case of an MSR, the Minimum Discharge Limit</w:t>
      </w:r>
      <w:r>
        <w:t xml:space="preserve"> of </w:t>
      </w:r>
      <w:r w:rsidR="00266706">
        <w:t>twenty (</w:t>
      </w:r>
      <w:r>
        <w:t>20</w:t>
      </w:r>
      <w:r w:rsidR="00266706">
        <w:t>)</w:t>
      </w:r>
      <w:r>
        <w:t xml:space="preserve"> megawatts, a </w:t>
      </w:r>
      <w:r w:rsidR="00266706">
        <w:t>Max ECOL, or in the case of an MSR, the Maximum Discharge Limit,</w:t>
      </w:r>
      <w:r>
        <w:t xml:space="preserve"> of </w:t>
      </w:r>
      <w:r w:rsidR="00266706">
        <w:t>one-hundred (</w:t>
      </w:r>
      <w:r>
        <w:t>100</w:t>
      </w:r>
      <w:r w:rsidR="00266706">
        <w:t>)</w:t>
      </w:r>
      <w:r>
        <w:t xml:space="preserve"> megawatts, and a combined Star-Up and Sync</w:t>
      </w:r>
      <w:r w:rsidR="004030BD">
        <w:t>-to-</w:t>
      </w:r>
      <w:r>
        <w:t xml:space="preserve">Min Time of </w:t>
      </w:r>
      <w:r w:rsidR="00266706">
        <w:t>forty (</w:t>
      </w:r>
      <w:r>
        <w:t>40</w:t>
      </w:r>
      <w:r w:rsidR="00266706">
        <w:t>)</w:t>
      </w:r>
      <w:r>
        <w:t xml:space="preserve"> minutes, then the expected </w:t>
      </w:r>
      <w:r>
        <w:rPr>
          <w:rStyle w:val="normaltextrun"/>
          <w:rFonts w:eastAsiaTheme="majorEastAsia"/>
          <w:color w:val="000000" w:themeColor="text1"/>
        </w:rPr>
        <w:t>Mid</w:t>
      </w:r>
      <w:r w:rsidR="00266706">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w:t>
      </w:r>
      <w:r>
        <w:t xml:space="preserve">megawatts will be </w:t>
      </w:r>
      <w:r w:rsidR="00266706">
        <w:t>forty (</w:t>
      </w:r>
      <w:r>
        <w:t>40</w:t>
      </w:r>
      <w:r w:rsidR="00266706">
        <w:t>)</w:t>
      </w:r>
      <w:r>
        <w:t xml:space="preserve"> megawatts when the </w:t>
      </w:r>
      <w:r>
        <w:rPr>
          <w:rStyle w:val="normaltextrun"/>
          <w:rFonts w:eastAsiaTheme="majorEastAsia"/>
          <w:color w:val="000000" w:themeColor="text1"/>
        </w:rPr>
        <w:t>Mid</w:t>
      </w:r>
      <w:r w:rsidR="00266706">
        <w:rPr>
          <w:rStyle w:val="normaltextrun"/>
          <w:rFonts w:eastAsiaTheme="majorEastAsia"/>
          <w:color w:val="000000" w:themeColor="text1"/>
        </w:rPr>
        <w:t>-</w:t>
      </w:r>
      <w:r w:rsidR="00A259C0">
        <w:rPr>
          <w:rStyle w:val="normaltextrun"/>
          <w:rFonts w:eastAsiaTheme="majorEastAsia"/>
          <w:color w:val="000000" w:themeColor="text1"/>
        </w:rPr>
        <w:t>T</w:t>
      </w:r>
      <w:r>
        <w:rPr>
          <w:rStyle w:val="normaltextrun"/>
          <w:rFonts w:eastAsiaTheme="majorEastAsia"/>
          <w:color w:val="000000" w:themeColor="text1"/>
        </w:rPr>
        <w:t xml:space="preserve">erm Flex Up </w:t>
      </w:r>
      <w:r>
        <w:t>response time is one</w:t>
      </w:r>
      <w:r w:rsidR="00266706">
        <w:t xml:space="preserve"> (1)</w:t>
      </w:r>
      <w:r>
        <w:t xml:space="preserve"> hour.  </w:t>
      </w:r>
      <w:r>
        <w:rPr>
          <w:rStyle w:val="normaltextrun"/>
          <w:rFonts w:eastAsiaTheme="majorEastAsia"/>
          <w:color w:val="000000" w:themeColor="text1"/>
        </w:rPr>
        <w:t xml:space="preserve">In this </w:t>
      </w:r>
      <w:r>
        <w:rPr>
          <w:rStyle w:val="normaltextrun"/>
          <w:rFonts w:eastAsiaTheme="majorEastAsia"/>
          <w:color w:val="000000"/>
          <w:shd w:val="clear" w:color="auto" w:fill="FFFFFF"/>
        </w:rPr>
        <w:t xml:space="preserve">example, </w:t>
      </w:r>
      <w:r w:rsidR="00266706">
        <w:rPr>
          <w:rStyle w:val="normaltextrun"/>
          <w:rFonts w:eastAsiaTheme="majorEastAsia"/>
          <w:color w:val="000000"/>
          <w:shd w:val="clear" w:color="auto" w:fill="FFFFFF"/>
        </w:rPr>
        <w:t>twenty (</w:t>
      </w:r>
      <w:r>
        <w:rPr>
          <w:rStyle w:val="normaltextrun"/>
          <w:rFonts w:eastAsiaTheme="majorEastAsia"/>
          <w:color w:val="000000"/>
          <w:shd w:val="clear" w:color="auto" w:fill="FFFFFF"/>
        </w:rPr>
        <w:t>20</w:t>
      </w:r>
      <w:r w:rsidR="00266706">
        <w:rPr>
          <w:rStyle w:val="normaltextrun"/>
          <w:rFonts w:eastAsiaTheme="majorEastAsia"/>
          <w:color w:val="000000"/>
          <w:shd w:val="clear" w:color="auto" w:fill="FFFFFF"/>
        </w:rPr>
        <w:t>)</w:t>
      </w:r>
      <w:r>
        <w:rPr>
          <w:rStyle w:val="normaltextrun"/>
          <w:rFonts w:eastAsiaTheme="majorEastAsia"/>
          <w:color w:val="000000" w:themeColor="text1"/>
        </w:rPr>
        <w:t xml:space="preserve"> megawatts came from the Resource reaching its economic minimum limit, and </w:t>
      </w:r>
      <w:r w:rsidR="00266706">
        <w:rPr>
          <w:rStyle w:val="normaltextrun"/>
          <w:rFonts w:eastAsiaTheme="majorEastAsia"/>
          <w:color w:val="000000" w:themeColor="text1"/>
        </w:rPr>
        <w:t>twenty (</w:t>
      </w:r>
      <w:r>
        <w:rPr>
          <w:rStyle w:val="normaltextrun"/>
          <w:rFonts w:eastAsiaTheme="majorEastAsia"/>
          <w:color w:val="000000" w:themeColor="text1"/>
        </w:rPr>
        <w:t>20</w:t>
      </w:r>
      <w:r w:rsidR="00266706">
        <w:rPr>
          <w:rStyle w:val="normaltextrun"/>
          <w:rFonts w:eastAsiaTheme="majorEastAsia"/>
          <w:color w:val="000000" w:themeColor="text1"/>
        </w:rPr>
        <w:t>)</w:t>
      </w:r>
      <w:r>
        <w:rPr>
          <w:rStyle w:val="normaltextrun"/>
          <w:rFonts w:eastAsiaTheme="majorEastAsia"/>
          <w:color w:val="000000" w:themeColor="text1"/>
        </w:rPr>
        <w:t xml:space="preserve"> megawatts came from the </w:t>
      </w:r>
      <w:r w:rsidR="00266706">
        <w:rPr>
          <w:rStyle w:val="normaltextrun"/>
          <w:rFonts w:eastAsiaTheme="majorEastAsia"/>
          <w:color w:val="000000" w:themeColor="text1"/>
        </w:rPr>
        <w:t>twenty (</w:t>
      </w:r>
      <w:r>
        <w:rPr>
          <w:rStyle w:val="normaltextrun"/>
          <w:rFonts w:eastAsiaTheme="majorEastAsia"/>
          <w:color w:val="000000" w:themeColor="text1"/>
        </w:rPr>
        <w:t>20</w:t>
      </w:r>
      <w:r w:rsidR="00266706">
        <w:rPr>
          <w:rStyle w:val="normaltextrun"/>
          <w:rFonts w:eastAsiaTheme="majorEastAsia"/>
          <w:color w:val="000000" w:themeColor="text1"/>
        </w:rPr>
        <w:t>)</w:t>
      </w:r>
      <w:r>
        <w:rPr>
          <w:rStyle w:val="normaltextrun"/>
          <w:rFonts w:eastAsiaTheme="majorEastAsia"/>
          <w:color w:val="000000" w:themeColor="text1"/>
        </w:rPr>
        <w:t xml:space="preserve"> minutes remaining in the </w:t>
      </w:r>
      <w:r w:rsidR="009D1DE4">
        <w:rPr>
          <w:rStyle w:val="normaltextrun"/>
          <w:rFonts w:eastAsiaTheme="majorEastAsia"/>
          <w:color w:val="000000" w:themeColor="text1"/>
        </w:rPr>
        <w:t>Mid-</w:t>
      </w:r>
      <w:r w:rsidR="00A259C0">
        <w:rPr>
          <w:rStyle w:val="normaltextrun"/>
          <w:rFonts w:eastAsiaTheme="majorEastAsia"/>
          <w:color w:val="000000" w:themeColor="text1"/>
        </w:rPr>
        <w:t>T</w:t>
      </w:r>
      <w:r w:rsidR="009D1DE4">
        <w:rPr>
          <w:rStyle w:val="normaltextrun"/>
          <w:rFonts w:eastAsiaTheme="majorEastAsia"/>
          <w:color w:val="000000" w:themeColor="text1"/>
        </w:rPr>
        <w:t>erm Flex Up</w:t>
      </w:r>
      <w:r>
        <w:rPr>
          <w:rStyle w:val="normaltextrun"/>
          <w:rFonts w:eastAsiaTheme="majorEastAsia"/>
          <w:color w:val="000000" w:themeColor="text1"/>
        </w:rPr>
        <w:t xml:space="preserve"> response time [response time - (Start-Up Time+ Sync-to-min)] multiplied by the </w:t>
      </w:r>
      <w:r w:rsidR="00266706">
        <w:rPr>
          <w:rStyle w:val="normaltextrun"/>
          <w:rFonts w:eastAsiaTheme="majorEastAsia"/>
          <w:color w:val="000000" w:themeColor="text1"/>
        </w:rPr>
        <w:t>one (</w:t>
      </w:r>
      <w:r>
        <w:rPr>
          <w:rStyle w:val="normaltextrun"/>
          <w:rFonts w:eastAsiaTheme="majorEastAsia"/>
          <w:color w:val="000000" w:themeColor="text1"/>
        </w:rPr>
        <w:t>1</w:t>
      </w:r>
      <w:r w:rsidR="00266706">
        <w:rPr>
          <w:rStyle w:val="normaltextrun"/>
          <w:rFonts w:eastAsiaTheme="majorEastAsia"/>
          <w:color w:val="000000" w:themeColor="text1"/>
        </w:rPr>
        <w:t>)</w:t>
      </w:r>
      <w:r>
        <w:rPr>
          <w:rStyle w:val="normaltextrun"/>
          <w:rFonts w:eastAsiaTheme="majorEastAsia"/>
          <w:color w:val="000000" w:themeColor="text1"/>
        </w:rPr>
        <w:t xml:space="preserve"> megawatt per minute ramp rate.</w:t>
      </w:r>
    </w:p>
    <w:p w14:paraId="72703FEA" w14:textId="77777777" w:rsidR="006C4BD1" w:rsidRDefault="006C4BD1" w:rsidP="006C4BD1">
      <w:pPr>
        <w:pStyle w:val="Normal120"/>
        <w:jc w:val="both"/>
      </w:pPr>
      <w:r>
        <w:t xml:space="preserve">This section presents information relevant for mitigated offer development for nuclear units.  </w:t>
      </w:r>
    </w:p>
    <w:p w14:paraId="5750ED8A" w14:textId="77777777" w:rsidR="006C4BD1" w:rsidRDefault="006C4BD1" w:rsidP="006C4BD1">
      <w:pPr>
        <w:pStyle w:val="Normal120"/>
        <w:jc w:val="both"/>
      </w:pPr>
      <w:r>
        <w:rPr>
          <w:b/>
        </w:rPr>
        <w:t>Nuclear Plant</w:t>
      </w:r>
      <w:r>
        <w:t xml:space="preserve"> – A facility that is licensed to produce commercial power from controlled nuclear reactions to heat water to produce steam that drives steam turbines Resources.  </w:t>
      </w:r>
    </w:p>
    <w:p w14:paraId="56B5B8F3" w14:textId="72F65F09" w:rsidR="006C4BD1" w:rsidRDefault="00690F95" w:rsidP="00781C61">
      <w:pPr>
        <w:pStyle w:val="3Appx3"/>
        <w:numPr>
          <w:ilvl w:val="0"/>
          <w:numId w:val="0"/>
        </w:numPr>
      </w:pPr>
      <w:bookmarkStart w:id="11556" w:name="_Toc351019775"/>
      <w:bookmarkStart w:id="11557" w:name="_Toc363483320"/>
      <w:bookmarkStart w:id="11558" w:name="_Toc131493436"/>
      <w:bookmarkStart w:id="11559" w:name="_Toc213772280"/>
      <w:r>
        <w:t>D.2.11</w:t>
      </w:r>
      <w:r>
        <w:tab/>
      </w:r>
      <w:r w:rsidR="006C4BD1">
        <w:t>Nuclear Heat Rate</w:t>
      </w:r>
      <w:bookmarkEnd w:id="11556"/>
      <w:bookmarkEnd w:id="11557"/>
      <w:bookmarkEnd w:id="11558"/>
      <w:bookmarkEnd w:id="11559"/>
      <w:r w:rsidR="006C4BD1">
        <w:t xml:space="preserve"> </w:t>
      </w:r>
    </w:p>
    <w:p w14:paraId="148518BF" w14:textId="3260472B" w:rsidR="006C4BD1" w:rsidRDefault="006C4BD1" w:rsidP="006C4BD1">
      <w:pPr>
        <w:pStyle w:val="IntenseQuote"/>
        <w:jc w:val="both"/>
      </w:pPr>
      <w:r>
        <w:t>Note: The information in Section D</w:t>
      </w:r>
      <w:r w:rsidR="00493926">
        <w:t>.</w:t>
      </w:r>
      <w:r>
        <w:t xml:space="preserve">2 contains basic Heat Rate information relevant for all unit types including nuclear units.  </w:t>
      </w:r>
    </w:p>
    <w:p w14:paraId="51132264" w14:textId="3E3AE29F" w:rsidR="006C4BD1" w:rsidRDefault="00690F95" w:rsidP="00781C61">
      <w:pPr>
        <w:pStyle w:val="3Appx3"/>
        <w:numPr>
          <w:ilvl w:val="0"/>
          <w:numId w:val="0"/>
        </w:numPr>
      </w:pPr>
      <w:bookmarkStart w:id="11560" w:name="_Toc351019776"/>
      <w:bookmarkStart w:id="11561" w:name="_Toc363483321"/>
      <w:bookmarkStart w:id="11562" w:name="_Toc131493437"/>
      <w:bookmarkStart w:id="11563" w:name="_Toc213772281"/>
      <w:r>
        <w:t>D.2.12</w:t>
      </w:r>
      <w:r>
        <w:tab/>
      </w:r>
      <w:r w:rsidR="006C4BD1">
        <w:t>Performance Factor</w:t>
      </w:r>
      <w:bookmarkEnd w:id="11560"/>
      <w:bookmarkEnd w:id="11561"/>
      <w:bookmarkEnd w:id="11562"/>
      <w:bookmarkEnd w:id="11563"/>
      <w:r w:rsidR="006C4BD1">
        <w:t xml:space="preserve"> </w:t>
      </w:r>
    </w:p>
    <w:p w14:paraId="661B2959" w14:textId="77777777" w:rsidR="006C4BD1" w:rsidRDefault="006C4BD1" w:rsidP="006C4BD1">
      <w:pPr>
        <w:pStyle w:val="IntenseQuote"/>
        <w:jc w:val="both"/>
      </w:pPr>
      <w:r>
        <w:t xml:space="preserve">Note: The information in Section </w:t>
      </w:r>
      <w:r>
        <w:fldChar w:fldCharType="begin"/>
      </w:r>
      <w:r>
        <w:instrText xml:space="preserve"> REF _Ref332266034 \r \h  \* MERGEFORMAT </w:instrText>
      </w:r>
      <w:r>
        <w:fldChar w:fldCharType="separate"/>
      </w:r>
      <w:r>
        <w:t>D.2.4</w:t>
      </w:r>
      <w:r>
        <w:fldChar w:fldCharType="end"/>
      </w:r>
      <w:r>
        <w:t xml:space="preserve"> contains basic Performance Factor information relevant for all unit types including nuclear units.  </w:t>
      </w:r>
    </w:p>
    <w:p w14:paraId="3B0E1F10" w14:textId="60C7CFDB" w:rsidR="006C4BD1" w:rsidRDefault="00690F95" w:rsidP="00781C61">
      <w:pPr>
        <w:pStyle w:val="3Appx3"/>
        <w:numPr>
          <w:ilvl w:val="0"/>
          <w:numId w:val="0"/>
        </w:numPr>
      </w:pPr>
      <w:bookmarkStart w:id="11564" w:name="_Toc351019777"/>
      <w:bookmarkStart w:id="11565" w:name="_Toc363483322"/>
      <w:bookmarkStart w:id="11566" w:name="_Toc131493438"/>
      <w:bookmarkStart w:id="11567" w:name="_Toc213772282"/>
      <w:r>
        <w:t>D.2.13</w:t>
      </w:r>
      <w:r>
        <w:tab/>
      </w:r>
      <w:r w:rsidR="006C4BD1">
        <w:t>Fuel Cost</w:t>
      </w:r>
      <w:bookmarkEnd w:id="11564"/>
      <w:bookmarkEnd w:id="11565"/>
      <w:bookmarkEnd w:id="11566"/>
      <w:bookmarkEnd w:id="11567"/>
      <w:r w:rsidR="006C4BD1">
        <w:t xml:space="preserve"> </w:t>
      </w:r>
    </w:p>
    <w:p w14:paraId="27CA7996" w14:textId="77777777" w:rsidR="006C4BD1" w:rsidRDefault="006C4BD1" w:rsidP="006C4BD1">
      <w:pPr>
        <w:pStyle w:val="IntenseQuote"/>
        <w:jc w:val="both"/>
      </w:pPr>
      <w:r>
        <w:t xml:space="preserve">Note: The information in Section </w:t>
      </w:r>
      <w:r>
        <w:fldChar w:fldCharType="begin"/>
      </w:r>
      <w:r>
        <w:instrText xml:space="preserve"> REF _Ref332266078 \r \h  \* MERGEFORMAT </w:instrText>
      </w:r>
      <w:r>
        <w:fldChar w:fldCharType="separate"/>
      </w:r>
      <w:r>
        <w:t>D.2.5</w:t>
      </w:r>
      <w:r>
        <w:fldChar w:fldCharType="end"/>
      </w:r>
      <w:r>
        <w:t xml:space="preserve"> contains basic Fuel Cost information relevant for all unit types.  The following information only pertains to nuclear units.  </w:t>
      </w:r>
    </w:p>
    <w:p w14:paraId="1DA741FE" w14:textId="3EE3DEC8" w:rsidR="006C4BD1" w:rsidRDefault="00690F95" w:rsidP="00E679DC">
      <w:pPr>
        <w:pStyle w:val="Heading471"/>
      </w:pPr>
      <w:bookmarkStart w:id="11568" w:name="_Toc351019778"/>
      <w:bookmarkStart w:id="11569" w:name="_Toc363483323"/>
      <w:bookmarkStart w:id="11570" w:name="_Toc131493439"/>
      <w:bookmarkStart w:id="11571" w:name="_Toc213772283"/>
      <w:r>
        <w:t>D.2.13.1</w:t>
      </w:r>
      <w:r>
        <w:tab/>
      </w:r>
      <w:r w:rsidR="006C4BD1">
        <w:t>Basic Nuclear Fuel Cost</w:t>
      </w:r>
      <w:bookmarkEnd w:id="11568"/>
      <w:bookmarkEnd w:id="11569"/>
      <w:bookmarkEnd w:id="11570"/>
      <w:bookmarkEnd w:id="11571"/>
    </w:p>
    <w:p w14:paraId="349B603A" w14:textId="77777777" w:rsidR="006C4BD1" w:rsidRDefault="006C4BD1" w:rsidP="006C4BD1">
      <w:pPr>
        <w:pStyle w:val="Normal120"/>
        <w:jc w:val="both"/>
      </w:pPr>
      <w:r>
        <w:rPr>
          <w:b/>
        </w:rPr>
        <w:t>Basic Nuclear Fuel Cost</w:t>
      </w:r>
      <w:r>
        <w:t xml:space="preserve"> - Basic nuclear fuel cost must be based on the dollars in FERC Account 518 or its equivalent accounting for non-jurisdictional entities, less in-service interest charges (whether related to fuel that is leased or capitalized).  This quantity must be calculated in units of dollars per MMBtu, as forecast for the applicable fuel cycle.  </w:t>
      </w:r>
    </w:p>
    <w:p w14:paraId="47C75854" w14:textId="77777777" w:rsidR="006C4BD1" w:rsidRDefault="0002195B" w:rsidP="006C4BD1">
      <w:pPr>
        <w:rPr>
          <w:sz w:val="20"/>
        </w:rPr>
      </w:pPr>
      <m:oMathPara>
        <m:oMathParaPr>
          <m:jc m:val="left"/>
        </m:oMathParaPr>
        <m:oMath>
          <m:r>
            <w:rPr>
              <w:rFonts w:ascii="Cambria Math" w:hAnsi="Cambria Math"/>
              <w:sz w:val="20"/>
            </w:rPr>
            <m:t>Basic Nuclear Fuel Cost</m:t>
          </m:r>
          <m:d>
            <m:dPr>
              <m:ctrlPr>
                <w:rPr>
                  <w:rFonts w:ascii="Cambria Math" w:hAnsi="Cambria Math"/>
                  <w:i/>
                </w:rPr>
              </m:ctrlPr>
            </m:dPr>
            <m:e>
              <m:f>
                <m:fPr>
                  <m:type m:val="lin"/>
                  <m:ctrlPr>
                    <w:rPr>
                      <w:rFonts w:ascii="Cambria Math" w:hAnsi="Cambria Math"/>
                      <w:i/>
                    </w:rPr>
                  </m:ctrlPr>
                </m:fPr>
                <m:num>
                  <m:r>
                    <w:rPr>
                      <w:rFonts w:ascii="Cambria Math" w:hAnsi="Cambria Math"/>
                      <w:sz w:val="20"/>
                    </w:rPr>
                    <m:t>$</m:t>
                  </m:r>
                </m:num>
                <m:den>
                  <m:r>
                    <w:rPr>
                      <w:rFonts w:ascii="Cambria Math" w:hAnsi="Cambria Math"/>
                      <w:sz w:val="20"/>
                    </w:rPr>
                    <m:t>MMBtu</m:t>
                  </m:r>
                </m:den>
              </m:f>
            </m:e>
          </m:d>
          <m:r>
            <w:rPr>
              <w:rFonts w:ascii="Cambria Math" w:hAnsi="Cambria Math"/>
              <w:sz w:val="20"/>
            </w:rPr>
            <m:t xml:space="preserve">= </m:t>
          </m:r>
        </m:oMath>
      </m:oMathPara>
    </w:p>
    <w:p w14:paraId="45945E64" w14:textId="77777777" w:rsidR="006C4BD1" w:rsidRDefault="0002195B" w:rsidP="006C4BD1">
      <w:pPr>
        <w:rPr>
          <w:sz w:val="20"/>
        </w:rPr>
      </w:pPr>
      <m:oMathPara>
        <m:oMathParaPr>
          <m:jc m:val="center"/>
        </m:oMathParaPr>
        <m:oMath>
          <m:r>
            <w:rPr>
              <w:rFonts w:ascii="Cambria Math" w:hAnsi="Cambria Math"/>
              <w:sz w:val="20"/>
            </w:rPr>
            <m:t>Dollars in FERC Account 518($/MMBtu)-Interest Cost($/MMBtu)</m:t>
          </m:r>
        </m:oMath>
      </m:oMathPara>
    </w:p>
    <w:p w14:paraId="67F5EDEE" w14:textId="2191EF54" w:rsidR="006C4BD1" w:rsidRDefault="00690F95" w:rsidP="00E679DC">
      <w:pPr>
        <w:pStyle w:val="Heading471"/>
      </w:pPr>
      <w:bookmarkStart w:id="11572" w:name="_Toc351019779"/>
      <w:bookmarkStart w:id="11573" w:name="_Toc363483324"/>
      <w:bookmarkStart w:id="11574" w:name="_Toc131493440"/>
      <w:bookmarkStart w:id="11575" w:name="_Toc213772284"/>
      <w:r>
        <w:t>D.2.13.2</w:t>
      </w:r>
      <w:r>
        <w:tab/>
      </w:r>
      <w:r w:rsidR="006C4BD1">
        <w:t>Total Fuel-Related Costs for Nuclear Units</w:t>
      </w:r>
      <w:bookmarkEnd w:id="11572"/>
      <w:bookmarkEnd w:id="11573"/>
      <w:bookmarkEnd w:id="11574"/>
      <w:bookmarkEnd w:id="11575"/>
    </w:p>
    <w:p w14:paraId="60B5A7DD" w14:textId="77777777" w:rsidR="006C4BD1" w:rsidRDefault="0002195B" w:rsidP="006C4BD1">
      <m:oMathPara>
        <m:oMathParaPr>
          <m:jc m:val="left"/>
        </m:oMathParaPr>
        <m:oMath>
          <m:r>
            <w:rPr>
              <w:rFonts w:ascii="Cambria Math" w:hAnsi="Cambria Math"/>
            </w:rPr>
            <m:t xml:space="preserve">Total Fuel Related Costs for Nuclear Units($/MMBtu)= </m:t>
          </m:r>
        </m:oMath>
      </m:oMathPara>
    </w:p>
    <w:p w14:paraId="33F5B269" w14:textId="77777777" w:rsidR="006C4BD1" w:rsidRDefault="0002195B" w:rsidP="006C4BD1">
      <w:pPr>
        <w:jc w:val="center"/>
      </w:pPr>
      <m:oMathPara>
        <m:oMathParaPr>
          <m:jc m:val="center"/>
        </m:oMathParaPr>
        <m:oMath>
          <m:r>
            <w:rPr>
              <w:rFonts w:ascii="Cambria Math" w:hAnsi="Cambria Math"/>
            </w:rPr>
            <m:t>Basic Nuclear Fuel Cost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+TFRC VOM Cost($/MMBtu)</m:t>
          </m:r>
        </m:oMath>
      </m:oMathPara>
    </w:p>
    <w:p w14:paraId="73CA39E9" w14:textId="4049141F" w:rsidR="006C4BD1" w:rsidRDefault="00690F95" w:rsidP="00781C61">
      <w:pPr>
        <w:pStyle w:val="3Appx3"/>
        <w:numPr>
          <w:ilvl w:val="0"/>
          <w:numId w:val="0"/>
        </w:numPr>
      </w:pPr>
      <w:bookmarkStart w:id="11576" w:name="_Toc351019780"/>
      <w:bookmarkStart w:id="11577" w:name="_Toc363483325"/>
      <w:bookmarkStart w:id="11578" w:name="_Toc131493441"/>
      <w:bookmarkStart w:id="11579" w:name="_Toc213772285"/>
      <w:r>
        <w:t>D.</w:t>
      </w:r>
      <w:r w:rsidR="0021697F">
        <w:t>2.</w:t>
      </w:r>
      <w:r>
        <w:t>14</w:t>
      </w:r>
      <w:r>
        <w:tab/>
      </w:r>
      <w:r w:rsidR="006C4BD1">
        <w:t>Mitigated Start-Up Offer</w:t>
      </w:r>
      <w:bookmarkEnd w:id="11576"/>
      <w:bookmarkEnd w:id="11577"/>
      <w:bookmarkEnd w:id="11578"/>
      <w:bookmarkEnd w:id="11579"/>
    </w:p>
    <w:p w14:paraId="301CA2B2" w14:textId="52FE9393" w:rsidR="006C4BD1" w:rsidRDefault="006C4BD1" w:rsidP="006C4BD1">
      <w:pPr>
        <w:pStyle w:val="IntenseQuote"/>
        <w:jc w:val="both"/>
      </w:pPr>
      <w:r>
        <w:t>Note: The information in Section D</w:t>
      </w:r>
      <w:r w:rsidR="00CB2407">
        <w:t>.</w:t>
      </w:r>
      <w:r>
        <w:t xml:space="preserve">2.8 contains basic Mitigated Start-Up Offer information relevant for all unit types.  The following information only pertains to nuclear units.  </w:t>
      </w:r>
    </w:p>
    <w:p w14:paraId="559A54AA" w14:textId="77777777" w:rsidR="006C4BD1" w:rsidRDefault="006C4BD1" w:rsidP="006C4BD1">
      <w:pPr>
        <w:pStyle w:val="Normal120"/>
        <w:jc w:val="both"/>
      </w:pPr>
      <w:r>
        <w:rPr>
          <w:b/>
        </w:rPr>
        <w:t>Start Cost</w:t>
      </w:r>
      <w:r>
        <w:t xml:space="preserve"> – The dollars per start as determined from start fuel, total fuel-related cost, performance factor, electrical costs, start VOM cost, start major maintenance cost, and additional labor cost, if required above normal station manning levels.  </w:t>
      </w:r>
    </w:p>
    <w:p w14:paraId="1CAEDAF9" w14:textId="77777777" w:rsidR="006C4BD1" w:rsidRDefault="006C4BD1" w:rsidP="006C4BD1">
      <w:pPr>
        <w:pStyle w:val="Normal120"/>
        <w:jc w:val="both"/>
      </w:pPr>
      <w:r>
        <w:rPr>
          <w:b/>
        </w:rPr>
        <w:t>Start Fuel</w:t>
      </w:r>
      <w:r>
        <w:t xml:space="preserve"> – Fuel consumed from first fire of start process (initial reactor criticality for nuclear units) to breaker closing and fuel expended from breaker opening of the previous shutdown to initialization of the unit start-up, excluding normal plant heating/auxiliary equipment fuel requirements.  </w:t>
      </w:r>
    </w:p>
    <w:p w14:paraId="7B13346E" w14:textId="17A8719A" w:rsidR="006C4BD1" w:rsidRDefault="00690F95" w:rsidP="00E679DC">
      <w:pPr>
        <w:pStyle w:val="Heading471"/>
      </w:pPr>
      <w:bookmarkStart w:id="11580" w:name="_Toc213772286"/>
      <w:r>
        <w:t>D.</w:t>
      </w:r>
      <w:r w:rsidR="0021697F">
        <w:t>2.</w:t>
      </w:r>
      <w:r>
        <w:t>14.1</w:t>
      </w:r>
      <w:r>
        <w:tab/>
      </w:r>
      <w:r w:rsidR="006C4BD1">
        <w:t xml:space="preserve"> </w:t>
      </w:r>
      <w:bookmarkStart w:id="11581" w:name="_Toc351019781"/>
      <w:bookmarkStart w:id="11582" w:name="_Toc363483326"/>
      <w:bookmarkStart w:id="11583" w:name="_Toc131493442"/>
      <w:r w:rsidR="006C4BD1">
        <w:t>Hot Start Cost</w:t>
      </w:r>
      <w:bookmarkEnd w:id="11580"/>
      <w:bookmarkEnd w:id="11581"/>
      <w:bookmarkEnd w:id="11582"/>
      <w:bookmarkEnd w:id="11583"/>
    </w:p>
    <w:p w14:paraId="2ACF6616" w14:textId="77777777" w:rsidR="006C4BD1" w:rsidRDefault="006C4BD1" w:rsidP="006C4BD1">
      <w:pPr>
        <w:pStyle w:val="Normal120"/>
      </w:pPr>
      <w:r>
        <w:t>Hot start cost is the expected cost to start a steam unit, which is in the "hot" condition.  Hot conditions vary unit by unit, but in general, a unit is hot after an overnight shutdown.  Components of hot start cost include:</w:t>
      </w:r>
    </w:p>
    <w:p w14:paraId="718C12DC" w14:textId="77777777" w:rsidR="006C4BD1" w:rsidRDefault="006C4BD1" w:rsidP="00DA3CE7">
      <w:pPr>
        <w:pStyle w:val="SPPBulletedList"/>
        <w:numPr>
          <w:ilvl w:val="0"/>
          <w:numId w:val="352"/>
        </w:numPr>
        <w:tabs>
          <w:tab w:val="left" w:pos="720"/>
        </w:tabs>
        <w:spacing w:line="300" w:lineRule="auto"/>
        <w:jc w:val="both"/>
      </w:pPr>
      <w:r>
        <w:rPr>
          <w:rFonts w:hint="cs"/>
        </w:rPr>
        <w:t>Total fuel-related cost from first fire of start process (initial reactor criticality for nuclear units) to breaker closing priced at the cost of fuel currently in effect</w:t>
      </w:r>
    </w:p>
    <w:p w14:paraId="25BC7CF5" w14:textId="77777777" w:rsidR="006C4BD1" w:rsidRDefault="006C4BD1" w:rsidP="00DA3CE7">
      <w:pPr>
        <w:pStyle w:val="SPPBulletedList"/>
        <w:numPr>
          <w:ilvl w:val="0"/>
          <w:numId w:val="352"/>
        </w:numPr>
        <w:tabs>
          <w:tab w:val="left" w:pos="720"/>
        </w:tabs>
        <w:spacing w:line="300" w:lineRule="auto"/>
        <w:jc w:val="both"/>
      </w:pPr>
      <w:r>
        <w:rPr>
          <w:rFonts w:hint="cs"/>
        </w:rPr>
        <w:t xml:space="preserve">And shutdown fuel cost defined as the cost of fuel expended from breaker opening of the previous shutdown to initialization of the (hot) unit start-up, excluding normal plant heating/auxiliary equipment fuel requirements.  </w:t>
      </w:r>
    </w:p>
    <w:p w14:paraId="4B12805F" w14:textId="73AA7BF4" w:rsidR="006C4BD1" w:rsidRDefault="00A27142" w:rsidP="00E679DC">
      <w:pPr>
        <w:pStyle w:val="Heading471"/>
      </w:pPr>
      <w:bookmarkStart w:id="11584" w:name="_Toc351019782"/>
      <w:bookmarkStart w:id="11585" w:name="_Toc363483327"/>
      <w:bookmarkStart w:id="11586" w:name="_Toc131493443"/>
      <w:bookmarkStart w:id="11587" w:name="_Toc213772287"/>
      <w:r>
        <w:t>D.</w:t>
      </w:r>
      <w:r w:rsidR="0021697F">
        <w:t>2.</w:t>
      </w:r>
      <w:r>
        <w:t>14.2</w:t>
      </w:r>
      <w:r>
        <w:tab/>
      </w:r>
      <w:r w:rsidR="006C4BD1">
        <w:t>Intermediate Start Cost</w:t>
      </w:r>
      <w:bookmarkEnd w:id="11584"/>
      <w:bookmarkEnd w:id="11585"/>
      <w:bookmarkEnd w:id="11586"/>
      <w:bookmarkEnd w:id="11587"/>
    </w:p>
    <w:p w14:paraId="1FD38D49" w14:textId="0A2B9ECA" w:rsidR="006C4BD1" w:rsidRDefault="006C4BD1" w:rsidP="006C4BD1">
      <w:pPr>
        <w:pStyle w:val="Normal120"/>
      </w:pPr>
      <w:r>
        <w:t xml:space="preserve">Intermediate start cost is the expected cost to start a steam unit during a period where neither hot </w:t>
      </w:r>
      <w:r w:rsidR="005060E6">
        <w:t>nor</w:t>
      </w:r>
      <w:r>
        <w:t xml:space="preserve"> cold conditions apply.  Use of intermediate start cost is optional based on Market Participant’s policy and physical machine characteristics.  The only restriction is that once an intermediate start cost is defined for a unit, the cost must be used consistently in scheduling and accounting.  Components of intermediate start cost include:</w:t>
      </w:r>
    </w:p>
    <w:p w14:paraId="11DFFC05" w14:textId="77777777" w:rsidR="006C4BD1" w:rsidRDefault="006C4BD1" w:rsidP="00DA3CE7">
      <w:pPr>
        <w:pStyle w:val="SPPBulletedList"/>
        <w:numPr>
          <w:ilvl w:val="0"/>
          <w:numId w:val="242"/>
        </w:numPr>
        <w:tabs>
          <w:tab w:val="left" w:pos="720"/>
        </w:tabs>
        <w:spacing w:line="300" w:lineRule="auto"/>
        <w:jc w:val="both"/>
      </w:pPr>
      <w:r>
        <w:rPr>
          <w:rFonts w:hint="cs"/>
        </w:rPr>
        <w:t>Total fuel-related cost from first fire (initial reactor criticality for nuclear units) to breaker closing priced at the cost of fuel currently in effect</w:t>
      </w:r>
    </w:p>
    <w:p w14:paraId="58D3FEC4" w14:textId="77777777" w:rsidR="006C4BD1" w:rsidRDefault="006C4BD1" w:rsidP="00DA3CE7">
      <w:pPr>
        <w:pStyle w:val="SPPBulletedList"/>
        <w:numPr>
          <w:ilvl w:val="0"/>
          <w:numId w:val="242"/>
        </w:numPr>
        <w:tabs>
          <w:tab w:val="left" w:pos="720"/>
        </w:tabs>
        <w:spacing w:line="300" w:lineRule="auto"/>
        <w:jc w:val="both"/>
      </w:pPr>
      <w:r>
        <w:rPr>
          <w:rFonts w:hint="cs"/>
        </w:rPr>
        <w:t xml:space="preserve">And shutdown fuel cost defined as the cost of fuel expended from breaker opening of the previous shutdown to initialization of the (intermediate) unit start-up, excluding normal plant heating/auxiliary equipment fuel requirements.  </w:t>
      </w:r>
    </w:p>
    <w:p w14:paraId="57E192D2" w14:textId="29B36A05" w:rsidR="006C4BD1" w:rsidRDefault="00A27142" w:rsidP="00E679DC">
      <w:pPr>
        <w:pStyle w:val="Heading471"/>
      </w:pPr>
      <w:bookmarkStart w:id="11588" w:name="_Toc351019783"/>
      <w:bookmarkStart w:id="11589" w:name="_Toc363483328"/>
      <w:bookmarkStart w:id="11590" w:name="_Toc131493444"/>
      <w:bookmarkStart w:id="11591" w:name="_Toc213772288"/>
      <w:r>
        <w:t>D.</w:t>
      </w:r>
      <w:r w:rsidR="0021697F">
        <w:t>2.</w:t>
      </w:r>
      <w:r>
        <w:t>14.3</w:t>
      </w:r>
      <w:r>
        <w:tab/>
      </w:r>
      <w:r w:rsidR="006C4BD1">
        <w:t xml:space="preserve"> Cold Start Cost</w:t>
      </w:r>
      <w:bookmarkEnd w:id="11588"/>
      <w:bookmarkEnd w:id="11589"/>
      <w:bookmarkEnd w:id="11590"/>
      <w:bookmarkEnd w:id="11591"/>
    </w:p>
    <w:p w14:paraId="03CA7888" w14:textId="77777777" w:rsidR="006C4BD1" w:rsidRDefault="006C4BD1" w:rsidP="006C4BD1">
      <w:pPr>
        <w:pStyle w:val="Normal120"/>
      </w:pPr>
      <w:r>
        <w:t>Cold start cost is the expected cost to start a steam unit that is in the “cold” condition.  Cold conditions vary unit by unit, but in general, a unit is cold after a two or three-day shutdown.  Components of cold start cost include:</w:t>
      </w:r>
    </w:p>
    <w:p w14:paraId="097E9EA6" w14:textId="77777777" w:rsidR="006C4BD1" w:rsidRDefault="006C4BD1" w:rsidP="00DA3CE7">
      <w:pPr>
        <w:pStyle w:val="SPPBulletedList"/>
        <w:numPr>
          <w:ilvl w:val="0"/>
          <w:numId w:val="242"/>
        </w:numPr>
        <w:tabs>
          <w:tab w:val="left" w:pos="720"/>
        </w:tabs>
        <w:spacing w:line="300" w:lineRule="auto"/>
        <w:jc w:val="both"/>
      </w:pPr>
      <w:r>
        <w:rPr>
          <w:rFonts w:hint="cs"/>
        </w:rPr>
        <w:t>Total fuel-related cost from first fire (initial reactor criticality for nuclear units) to breaker closing priced at the cost of fuel currently in effect</w:t>
      </w:r>
    </w:p>
    <w:p w14:paraId="59990458" w14:textId="77777777" w:rsidR="006C4BD1" w:rsidRDefault="006C4BD1" w:rsidP="00DA3CE7">
      <w:pPr>
        <w:pStyle w:val="SPPBulletedList"/>
        <w:numPr>
          <w:ilvl w:val="0"/>
          <w:numId w:val="242"/>
        </w:numPr>
        <w:tabs>
          <w:tab w:val="left" w:pos="720"/>
        </w:tabs>
        <w:spacing w:line="300" w:lineRule="auto"/>
        <w:jc w:val="both"/>
      </w:pPr>
      <w:r>
        <w:rPr>
          <w:rFonts w:hint="cs"/>
        </w:rPr>
        <w:t xml:space="preserve">And shutdown fuel cost defined as the cost of fuel expended from breaker opening of the previous shutdown to shutdown of equipment needed for normal cool down of plant components, excluding normal plant heating/auxiliary equipment fuel requirements.  </w:t>
      </w:r>
    </w:p>
    <w:p w14:paraId="5E488D17" w14:textId="6E546C35" w:rsidR="006C4BD1" w:rsidRPr="000579EC" w:rsidRDefault="00A27142" w:rsidP="00E679DC">
      <w:pPr>
        <w:pStyle w:val="Heading471"/>
      </w:pPr>
      <w:bookmarkStart w:id="11592" w:name="_Toc351019784"/>
      <w:bookmarkStart w:id="11593" w:name="_Toc363483329"/>
      <w:bookmarkStart w:id="11594" w:name="_Toc131493445"/>
      <w:bookmarkStart w:id="11595" w:name="_Toc213772289"/>
      <w:r w:rsidRPr="00E679DC">
        <w:rPr>
          <w:rStyle w:val="Heading4Char22"/>
          <w:b/>
          <w:bCs/>
        </w:rPr>
        <w:t>D.</w:t>
      </w:r>
      <w:r w:rsidR="000579EC">
        <w:rPr>
          <w:rStyle w:val="Heading4Char22"/>
          <w:b/>
          <w:bCs/>
        </w:rPr>
        <w:t>2.</w:t>
      </w:r>
      <w:r w:rsidRPr="00E679DC">
        <w:rPr>
          <w:rStyle w:val="Heading4Char22"/>
          <w:b/>
          <w:bCs/>
        </w:rPr>
        <w:t>14.4</w:t>
      </w:r>
      <w:r w:rsidRPr="00E679DC">
        <w:rPr>
          <w:rStyle w:val="Heading4Char22"/>
          <w:b/>
          <w:bCs/>
        </w:rPr>
        <w:tab/>
      </w:r>
      <w:r w:rsidR="006C4BD1" w:rsidRPr="00E679DC">
        <w:rPr>
          <w:rStyle w:val="Heading4Char22"/>
          <w:b/>
          <w:bCs/>
        </w:rPr>
        <w:t xml:space="preserve"> Additional Components Applied to Hot, Intermediate and Cold Start-</w:t>
      </w:r>
      <w:r w:rsidR="006C4BD1" w:rsidRPr="000579EC">
        <w:t>Up Costs</w:t>
      </w:r>
      <w:bookmarkEnd w:id="11592"/>
      <w:bookmarkEnd w:id="11593"/>
      <w:bookmarkEnd w:id="11594"/>
      <w:bookmarkEnd w:id="11595"/>
    </w:p>
    <w:p w14:paraId="2059A57E" w14:textId="77777777" w:rsidR="006C4BD1" w:rsidRDefault="006C4BD1" w:rsidP="006C4BD1">
      <w:pPr>
        <w:pStyle w:val="Normal120"/>
      </w:pPr>
      <w:r>
        <w:t xml:space="preserve">These additional components for station service, labor and Start VOM cost apply to all types of starts and should be added to the cost.  </w:t>
      </w:r>
    </w:p>
    <w:p w14:paraId="2A2E8919" w14:textId="77777777" w:rsidR="006C4BD1" w:rsidRDefault="006C4BD1" w:rsidP="00DA3CE7">
      <w:pPr>
        <w:pStyle w:val="SPPBulletedList"/>
        <w:numPr>
          <w:ilvl w:val="0"/>
          <w:numId w:val="242"/>
        </w:numPr>
        <w:tabs>
          <w:tab w:val="left" w:pos="720"/>
        </w:tabs>
        <w:spacing w:line="300" w:lineRule="auto"/>
        <w:jc w:val="both"/>
      </w:pPr>
      <w:r>
        <w:rPr>
          <w:rFonts w:hint="cs"/>
        </w:rPr>
        <w:t xml:space="preserve">Station service from initiation of start sequence to breaker closing (total station use minus normal base station use) priced at the Station Service rate.  </w:t>
      </w:r>
    </w:p>
    <w:p w14:paraId="564E5202" w14:textId="77777777" w:rsidR="006C4BD1" w:rsidRDefault="006C4BD1" w:rsidP="00DA3CE7">
      <w:pPr>
        <w:pStyle w:val="SPPBulletedList"/>
        <w:numPr>
          <w:ilvl w:val="0"/>
          <w:numId w:val="242"/>
        </w:numPr>
        <w:tabs>
          <w:tab w:val="left" w:pos="720"/>
        </w:tabs>
        <w:spacing w:line="300" w:lineRule="auto"/>
        <w:jc w:val="both"/>
      </w:pPr>
      <w:r>
        <w:rPr>
          <w:rFonts w:hint="cs"/>
        </w:rPr>
        <w:t xml:space="preserve">Station service after breaker opening during shutdown (station service during shutdown should be that associated with the normal unit auxiliary equipment operated during shutdown in excess of base unit use, this station service is not to include VOM cost or non-normal use) priced at the Station Service rate.  </w:t>
      </w:r>
    </w:p>
    <w:p w14:paraId="15ACECF9" w14:textId="77777777" w:rsidR="006C4BD1" w:rsidRDefault="006C4BD1" w:rsidP="00DA3CE7">
      <w:pPr>
        <w:pStyle w:val="SPPBulletedList"/>
        <w:numPr>
          <w:ilvl w:val="0"/>
          <w:numId w:val="242"/>
        </w:numPr>
        <w:tabs>
          <w:tab w:val="left" w:pos="720"/>
        </w:tabs>
        <w:spacing w:line="300" w:lineRule="auto"/>
        <w:jc w:val="both"/>
      </w:pPr>
      <w:r>
        <w:rPr>
          <w:rFonts w:hint="cs"/>
        </w:rPr>
        <w:t xml:space="preserve">Additional labor costs in excess of normal station manning requirements that are incurred when starting the unit that is not accounted for in VOM cost.  </w:t>
      </w:r>
    </w:p>
    <w:p w14:paraId="260BC28F" w14:textId="77777777" w:rsidR="006C4BD1" w:rsidRDefault="006C4BD1" w:rsidP="00DA3CE7">
      <w:pPr>
        <w:pStyle w:val="SPPBulletedList"/>
        <w:numPr>
          <w:ilvl w:val="0"/>
          <w:numId w:val="242"/>
        </w:numPr>
        <w:tabs>
          <w:tab w:val="left" w:pos="720"/>
        </w:tabs>
        <w:spacing w:line="300" w:lineRule="auto"/>
        <w:jc w:val="both"/>
      </w:pPr>
      <w:r>
        <w:rPr>
          <w:rFonts w:hint="cs"/>
        </w:rPr>
        <w:t xml:space="preserve">Start VOM cost.  </w:t>
      </w:r>
    </w:p>
    <w:p w14:paraId="2C33A0F9" w14:textId="7AD0A72B" w:rsidR="006C4BD1" w:rsidRDefault="00A27142" w:rsidP="00781C61">
      <w:pPr>
        <w:pStyle w:val="3Appx3"/>
        <w:numPr>
          <w:ilvl w:val="0"/>
          <w:numId w:val="0"/>
        </w:numPr>
      </w:pPr>
      <w:bookmarkStart w:id="11596" w:name="_Toc351019785"/>
      <w:bookmarkStart w:id="11597" w:name="_Toc363483330"/>
      <w:bookmarkStart w:id="11598" w:name="_Toc131493446"/>
      <w:bookmarkStart w:id="11599" w:name="_Toc213772290"/>
      <w:r>
        <w:t>D.</w:t>
      </w:r>
      <w:r w:rsidR="000579EC">
        <w:t>2.</w:t>
      </w:r>
      <w:r>
        <w:t>15</w:t>
      </w:r>
      <w:r>
        <w:tab/>
      </w:r>
      <w:r w:rsidR="006C4BD1">
        <w:t>Mitigated No-Load Offer</w:t>
      </w:r>
      <w:bookmarkEnd w:id="11596"/>
      <w:bookmarkEnd w:id="11597"/>
      <w:bookmarkEnd w:id="11598"/>
      <w:bookmarkEnd w:id="11599"/>
    </w:p>
    <w:p w14:paraId="53B32CB3" w14:textId="77777777" w:rsidR="006C4BD1" w:rsidRDefault="006C4BD1" w:rsidP="006C4BD1">
      <w:pPr>
        <w:pStyle w:val="IntenseQuote"/>
        <w:jc w:val="both"/>
      </w:pPr>
      <w:r>
        <w:t xml:space="preserve">Note: The information in Section </w:t>
      </w:r>
      <w:r>
        <w:fldChar w:fldCharType="begin"/>
      </w:r>
      <w:r>
        <w:instrText xml:space="preserve"> REF _Ref345317713 \r \h  \* MERGEFORMAT </w:instrText>
      </w:r>
      <w:r>
        <w:fldChar w:fldCharType="separate"/>
      </w:r>
      <w:r>
        <w:t>D.2.9</w:t>
      </w:r>
      <w:r>
        <w:fldChar w:fldCharType="end"/>
      </w:r>
      <w:r>
        <w:t xml:space="preserve"> contains basic Mitigated No-Load Offer information relevant for all unit types including nuclear units.  </w:t>
      </w:r>
    </w:p>
    <w:p w14:paraId="1BC6AA5E" w14:textId="306E0D72" w:rsidR="006C4BD1" w:rsidRDefault="00A27142" w:rsidP="00781C61">
      <w:pPr>
        <w:pStyle w:val="3Appx3"/>
        <w:numPr>
          <w:ilvl w:val="0"/>
          <w:numId w:val="0"/>
        </w:numPr>
      </w:pPr>
      <w:bookmarkStart w:id="11600" w:name="_Toc351019786"/>
      <w:bookmarkStart w:id="11601" w:name="_Toc363483331"/>
      <w:bookmarkStart w:id="11602" w:name="_Ref371329435"/>
      <w:bookmarkStart w:id="11603" w:name="_Ref378853249"/>
      <w:bookmarkStart w:id="11604" w:name="_Toc131493447"/>
      <w:bookmarkStart w:id="11605" w:name="_Toc213772291"/>
      <w:r>
        <w:t>D.</w:t>
      </w:r>
      <w:r w:rsidR="000579EC">
        <w:t>2.</w:t>
      </w:r>
      <w:r>
        <w:t>16</w:t>
      </w:r>
      <w:r>
        <w:tab/>
      </w:r>
      <w:r w:rsidR="006C4BD1">
        <w:t>VOM Cost</w:t>
      </w:r>
      <w:bookmarkEnd w:id="11600"/>
      <w:bookmarkEnd w:id="11601"/>
      <w:bookmarkEnd w:id="11602"/>
      <w:bookmarkEnd w:id="11603"/>
      <w:bookmarkEnd w:id="11604"/>
      <w:bookmarkEnd w:id="11605"/>
      <w:r w:rsidR="006C4BD1">
        <w:t xml:space="preserve"> </w:t>
      </w:r>
    </w:p>
    <w:p w14:paraId="2F829BBC" w14:textId="77777777" w:rsidR="006C4BD1" w:rsidRDefault="006C4BD1" w:rsidP="006C4BD1">
      <w:pPr>
        <w:pStyle w:val="IntenseQuote"/>
        <w:jc w:val="both"/>
      </w:pPr>
      <w:r>
        <w:t xml:space="preserve">Note: The information in Section </w:t>
      </w:r>
      <w:r>
        <w:fldChar w:fldCharType="begin"/>
      </w:r>
      <w:r>
        <w:instrText xml:space="preserve"> REF _Ref342658889 \r \h  \* MERGEFORMAT </w:instrText>
      </w:r>
      <w:r>
        <w:fldChar w:fldCharType="separate"/>
      </w:r>
      <w:r>
        <w:t>D.2.6</w:t>
      </w:r>
      <w:r>
        <w:fldChar w:fldCharType="end"/>
      </w:r>
      <w:r>
        <w:t xml:space="preserve"> contains basic VOM Cost information relevant for all unit types including nuclear units.  </w:t>
      </w:r>
    </w:p>
    <w:p w14:paraId="409D4EFE" w14:textId="77777777" w:rsidR="006C4BD1" w:rsidRDefault="006C4BD1" w:rsidP="006C4BD1">
      <w:pPr>
        <w:pStyle w:val="Normal120"/>
      </w:pPr>
      <w:r>
        <w:rPr>
          <w:b/>
        </w:rPr>
        <w:t>Nuclear VOM Cost</w:t>
      </w:r>
      <w:r>
        <w:t xml:space="preserve"> - The historical dollars per unit of fuel (or heat) as derived from FERC Accounts 530 and 531or the equivalent for non-jurisdictional utilities for nuclear steam units.  </w:t>
      </w:r>
    </w:p>
    <w:p w14:paraId="6DEC3BFD" w14:textId="7AC4B1AB" w:rsidR="006C4BD1" w:rsidRDefault="00A27142" w:rsidP="00E679DC">
      <w:pPr>
        <w:pStyle w:val="Heading471"/>
      </w:pPr>
      <w:bookmarkStart w:id="11606" w:name="_Toc351019787"/>
      <w:bookmarkStart w:id="11607" w:name="_Toc363483332"/>
      <w:bookmarkStart w:id="11608" w:name="_Toc131493448"/>
      <w:bookmarkStart w:id="11609" w:name="_Toc213772292"/>
      <w:r>
        <w:t>D.</w:t>
      </w:r>
      <w:r w:rsidR="000579EC">
        <w:t>2.</w:t>
      </w:r>
      <w:r>
        <w:t>16.1</w:t>
      </w:r>
      <w:r>
        <w:tab/>
      </w:r>
      <w:r w:rsidR="006C4BD1">
        <w:t xml:space="preserve">Configuration Addition VOM </w:t>
      </w:r>
      <w:bookmarkEnd w:id="11606"/>
      <w:bookmarkEnd w:id="11607"/>
      <w:r w:rsidR="006C4BD1">
        <w:t>Cost</w:t>
      </w:r>
      <w:bookmarkEnd w:id="11608"/>
      <w:bookmarkEnd w:id="11609"/>
    </w:p>
    <w:p w14:paraId="1AC65153" w14:textId="77777777" w:rsidR="006C4BD1" w:rsidRDefault="006C4BD1" w:rsidP="006C4BD1">
      <w:pPr>
        <w:pStyle w:val="Normal120"/>
      </w:pPr>
      <w:r>
        <w:t>For units undergoing a significant system or unit Configuration Addition the use of an additional “Configuration Addition VOM Cost</w:t>
      </w:r>
      <w:r>
        <w:rPr>
          <w:rFonts w:ascii="Cambria Math" w:hAnsi="Cambria Math" w:cs="Cambria Math"/>
        </w:rPr>
        <w:t>”</w:t>
      </w:r>
      <w:r>
        <w:rPr>
          <w:rFonts w:cs="Times New (W1)"/>
        </w:rPr>
        <w:t xml:space="preserve"> may be included in the determination of the total VOM cost.  It is not intended to be used for upgrades to </w:t>
      </w:r>
      <w:r>
        <w:t xml:space="preserve">existing equipment.  </w:t>
      </w:r>
    </w:p>
    <w:p w14:paraId="452A8CBB" w14:textId="77777777" w:rsidR="006C4BD1" w:rsidRDefault="006C4BD1" w:rsidP="006C4BD1">
      <w:pPr>
        <w:pStyle w:val="Normal120"/>
      </w:pPr>
      <w:r>
        <w:t>Examples of significant system or unit Configuration Additions may include but are not limited to:</w:t>
      </w:r>
    </w:p>
    <w:p w14:paraId="0C65C8E3" w14:textId="77777777" w:rsidR="006C4BD1" w:rsidRDefault="006C4BD1" w:rsidP="00DA3CE7">
      <w:pPr>
        <w:pStyle w:val="SPPBulletedList"/>
        <w:numPr>
          <w:ilvl w:val="0"/>
          <w:numId w:val="242"/>
        </w:numPr>
        <w:tabs>
          <w:tab w:val="left" w:pos="720"/>
        </w:tabs>
        <w:spacing w:line="300" w:lineRule="auto"/>
        <w:jc w:val="both"/>
      </w:pPr>
      <w:r>
        <w:rPr>
          <w:rFonts w:hint="cs"/>
        </w:rPr>
        <w:t>Conversion from open loop to closed loop circulation water systems</w:t>
      </w:r>
    </w:p>
    <w:p w14:paraId="37D875F8" w14:textId="42DA45A4" w:rsidR="006C4BD1" w:rsidRDefault="006C4BD1" w:rsidP="006C4BD1">
      <w:pPr>
        <w:pStyle w:val="Normal120"/>
      </w:pPr>
      <w:r>
        <w:t xml:space="preserve">The specific system or unit configuration system change must be reviewed by the Market Monitor for evaluation pursuant to the Mitigated Offer </w:t>
      </w:r>
      <w:r w:rsidR="00692523">
        <w:t xml:space="preserve">Development </w:t>
      </w:r>
      <w:r>
        <w:t xml:space="preserve">Methodology Approval Process prior to approving the use of a Configuration Addition VOM cost.  </w:t>
      </w:r>
    </w:p>
    <w:p w14:paraId="06328C34" w14:textId="47635491" w:rsidR="006C4BD1" w:rsidRDefault="00A27142" w:rsidP="00E679DC">
      <w:pPr>
        <w:pStyle w:val="Heading471"/>
      </w:pPr>
      <w:bookmarkStart w:id="11610" w:name="_Toc351019788"/>
      <w:bookmarkStart w:id="11611" w:name="_Toc363483333"/>
      <w:bookmarkStart w:id="11612" w:name="_Toc131493449"/>
      <w:bookmarkStart w:id="11613" w:name="_Toc213772293"/>
      <w:r>
        <w:t>D.</w:t>
      </w:r>
      <w:r w:rsidR="000579EC">
        <w:t>2.</w:t>
      </w:r>
      <w:r>
        <w:t>16.2</w:t>
      </w:r>
      <w:r>
        <w:tab/>
      </w:r>
      <w:r w:rsidR="006C4BD1">
        <w:t xml:space="preserve"> Calculation of the Configuration Addition VOM Cost:</w:t>
      </w:r>
      <w:bookmarkEnd w:id="11610"/>
      <w:bookmarkEnd w:id="11611"/>
      <w:bookmarkEnd w:id="11612"/>
      <w:bookmarkEnd w:id="11613"/>
    </w:p>
    <w:p w14:paraId="5C3969F3" w14:textId="61962A51" w:rsidR="006C4BD1" w:rsidRDefault="006C4BD1" w:rsidP="006C4BD1">
      <w:pPr>
        <w:pStyle w:val="Normal120"/>
      </w:pPr>
      <w:r>
        <w:t xml:space="preserve">The Configuration Addition VOM Cost (CAVC) is to be calculated in the same manner as the VOM cost described in this section with the exception that the Configuration Addition VOM cost are only the incremental additional costs incurred because of the system or unit configuration change.  </w:t>
      </w:r>
    </w:p>
    <w:p w14:paraId="21A27EEC" w14:textId="77777777" w:rsidR="006C4BD1" w:rsidRDefault="006C4BD1" w:rsidP="006C4BD1">
      <w:pPr>
        <w:pStyle w:val="Normal120"/>
      </w:pPr>
      <w:r>
        <w:t xml:space="preserve">As with the current VOM cost calculation, the cost for year (Y) uses the actual costs beginning with year (Y-1).  Therefore, the first year of actual incremental additional expenses will be captured by the CAVC in the second year.  If approved by Market Monitor, estimated costs may be considered in the CAVC in the first year in which the costs are incurred. </w:t>
      </w:r>
    </w:p>
    <w:p w14:paraId="71EBEFEF" w14:textId="77777777" w:rsidR="006C4BD1" w:rsidRDefault="006C4BD1" w:rsidP="006C4BD1">
      <w:pPr>
        <w:pStyle w:val="Normal120"/>
      </w:pPr>
      <w:r>
        <w:t xml:space="preserve">Following the initial year of use of the CAVC, each additional year’s Configuration Addition VOM cost will be incorporated into the Configuration Addition VOM cost until the end of the historical maintenance cost period selected for the unit.  </w:t>
      </w:r>
    </w:p>
    <w:p w14:paraId="0360999E" w14:textId="77777777" w:rsidR="006C4BD1" w:rsidRDefault="006C4BD1" w:rsidP="006C4BD1">
      <w:pPr>
        <w:pStyle w:val="Normal120"/>
      </w:pPr>
      <w:r>
        <w:t xml:space="preserve">To calculate the Configuration Addition VOM Cost, calculate the solely incremental VOM Cost for the configuration change.  Please note these expenses are purely incremental.  </w:t>
      </w:r>
    </w:p>
    <w:p w14:paraId="2BF1E431" w14:textId="58E25392" w:rsidR="006C4BD1" w:rsidRDefault="00A27142" w:rsidP="00E679DC">
      <w:pPr>
        <w:pStyle w:val="Heading471"/>
      </w:pPr>
      <w:bookmarkStart w:id="11614" w:name="_Toc351019789"/>
      <w:bookmarkStart w:id="11615" w:name="_Toc363483334"/>
      <w:bookmarkStart w:id="11616" w:name="_Toc131493450"/>
      <w:bookmarkStart w:id="11617" w:name="_Toc213772294"/>
      <w:r>
        <w:t>D.</w:t>
      </w:r>
      <w:r w:rsidR="000579EC">
        <w:t>2.</w:t>
      </w:r>
      <w:r>
        <w:t>16.3</w:t>
      </w:r>
      <w:r>
        <w:tab/>
      </w:r>
      <w:r w:rsidR="006C4BD1">
        <w:t>Reductions in Total VOM Costs:</w:t>
      </w:r>
      <w:bookmarkEnd w:id="11614"/>
      <w:bookmarkEnd w:id="11615"/>
      <w:bookmarkEnd w:id="11616"/>
      <w:bookmarkEnd w:id="11617"/>
    </w:p>
    <w:p w14:paraId="79CC0291" w14:textId="77777777" w:rsidR="006C4BD1" w:rsidRDefault="006C4BD1" w:rsidP="006C4BD1">
      <w:pPr>
        <w:pStyle w:val="Normal120"/>
      </w:pPr>
      <w:r>
        <w:t xml:space="preserve">While it is expected that the Configuration Addition VOM Cost will most often be used to cover step increases in VOM costs, it is also to be used to capture step decreases in VOM costs resulting from a significant system or unit configuration change that results in a significant reduction in VOM costs.  Any equipment that falls into disuse or is retired because of the configuration change must have its VOM expenses removed from the historical record used to develop the VOM cost.  An example of a significant system or unit configuration change that may result in a step decrease in qualified VOM costs includes, but is not limited to, conversion from open loop to closed loop circulation water systems.  </w:t>
      </w:r>
    </w:p>
    <w:p w14:paraId="228B5B8E" w14:textId="3E925C29" w:rsidR="006C4BD1" w:rsidRPr="009824C2" w:rsidRDefault="00DC317C" w:rsidP="00E679DC">
      <w:pPr>
        <w:pStyle w:val="Heading471"/>
      </w:pPr>
      <w:bookmarkStart w:id="11618" w:name="_Toc213772295"/>
      <w:r w:rsidRPr="009824C2">
        <w:t>D.3</w:t>
      </w:r>
      <w:r w:rsidRPr="009824C2">
        <w:tab/>
      </w:r>
      <w:bookmarkStart w:id="11619" w:name="_Fossil_Steam_Unit"/>
      <w:bookmarkStart w:id="11620" w:name="_Toc351019793"/>
      <w:bookmarkStart w:id="11621" w:name="_Toc363483338"/>
      <w:bookmarkStart w:id="11622" w:name="_Toc131493454"/>
      <w:bookmarkEnd w:id="11619"/>
      <w:r w:rsidR="006C4BD1" w:rsidRPr="009824C2">
        <w:t>Fossil Steam Unit Guidelines</w:t>
      </w:r>
      <w:bookmarkEnd w:id="11618"/>
      <w:bookmarkEnd w:id="11620"/>
      <w:bookmarkEnd w:id="11621"/>
      <w:bookmarkEnd w:id="11622"/>
    </w:p>
    <w:p w14:paraId="57441932" w14:textId="77777777" w:rsidR="006C4BD1" w:rsidRDefault="006C4BD1" w:rsidP="006C4BD1">
      <w:pPr>
        <w:pStyle w:val="Normal120"/>
      </w:pPr>
      <w:r>
        <w:t xml:space="preserve">This section contains information pertaining to Fossil Steam Unit mitigated offer development.  </w:t>
      </w:r>
    </w:p>
    <w:p w14:paraId="6A877F5C" w14:textId="77777777" w:rsidR="006C4BD1" w:rsidRDefault="006C4BD1" w:rsidP="006C4BD1">
      <w:pPr>
        <w:pStyle w:val="Normal120"/>
      </w:pPr>
      <w:r>
        <w:rPr>
          <w:b/>
        </w:rPr>
        <w:t>Fossil Steam Turbine plants</w:t>
      </w:r>
      <w:r>
        <w:t xml:space="preserve"> use combusted fossil fuels to heat water and create steam that generates the dynamic pressure to turn the blades of a steam turbine Resource.  </w:t>
      </w:r>
    </w:p>
    <w:p w14:paraId="6B2DD159" w14:textId="4A381316" w:rsidR="006C4BD1" w:rsidRDefault="00DC317C" w:rsidP="00781C61">
      <w:pPr>
        <w:pStyle w:val="3Appx3"/>
        <w:numPr>
          <w:ilvl w:val="0"/>
          <w:numId w:val="0"/>
        </w:numPr>
      </w:pPr>
      <w:bookmarkStart w:id="11623" w:name="_Toc351019794"/>
      <w:bookmarkStart w:id="11624" w:name="_Toc363483339"/>
      <w:bookmarkStart w:id="11625" w:name="_Toc131493455"/>
      <w:bookmarkStart w:id="11626" w:name="_Toc213772296"/>
      <w:r>
        <w:t>D.3.1</w:t>
      </w:r>
      <w:r>
        <w:tab/>
      </w:r>
      <w:r w:rsidR="006C4BD1">
        <w:t>Heat Rate</w:t>
      </w:r>
      <w:bookmarkEnd w:id="11623"/>
      <w:bookmarkEnd w:id="11624"/>
      <w:bookmarkEnd w:id="11625"/>
      <w:bookmarkEnd w:id="11626"/>
      <w:r w:rsidR="006C4BD1">
        <w:t xml:space="preserve"> </w:t>
      </w:r>
    </w:p>
    <w:p w14:paraId="57C536DF" w14:textId="28318958" w:rsidR="006C4BD1" w:rsidRDefault="006C4BD1" w:rsidP="006C4BD1">
      <w:pPr>
        <w:pStyle w:val="IntenseQuote"/>
        <w:jc w:val="both"/>
      </w:pPr>
      <w:r>
        <w:t>Note: The information in Section D</w:t>
      </w:r>
      <w:r w:rsidR="00C16712">
        <w:t>.</w:t>
      </w:r>
      <w:r>
        <w:t xml:space="preserve">2.1contains basic Heat Rate information relevant for all unit types including fossil steam units.  </w:t>
      </w:r>
    </w:p>
    <w:p w14:paraId="43D6E673" w14:textId="507EBAF8" w:rsidR="006C4BD1" w:rsidRDefault="00DC317C" w:rsidP="00781C61">
      <w:pPr>
        <w:pStyle w:val="3Appx3"/>
        <w:numPr>
          <w:ilvl w:val="0"/>
          <w:numId w:val="0"/>
        </w:numPr>
      </w:pPr>
      <w:bookmarkStart w:id="11627" w:name="_Toc351019795"/>
      <w:bookmarkStart w:id="11628" w:name="_Toc363483340"/>
      <w:bookmarkStart w:id="11629" w:name="_Toc131493456"/>
      <w:bookmarkStart w:id="11630" w:name="_Toc213772297"/>
      <w:r>
        <w:t>D.3.2</w:t>
      </w:r>
      <w:r>
        <w:tab/>
      </w:r>
      <w:r w:rsidR="006C4BD1">
        <w:t>Performance Factor</w:t>
      </w:r>
      <w:bookmarkEnd w:id="11627"/>
      <w:bookmarkEnd w:id="11628"/>
      <w:bookmarkEnd w:id="11629"/>
      <w:bookmarkEnd w:id="11630"/>
      <w:r w:rsidR="006C4BD1">
        <w:t xml:space="preserve"> </w:t>
      </w:r>
    </w:p>
    <w:p w14:paraId="265390A9" w14:textId="77777777" w:rsidR="006C4BD1" w:rsidRDefault="006C4BD1" w:rsidP="006C4BD1">
      <w:pPr>
        <w:pStyle w:val="IntenseQuote"/>
        <w:jc w:val="both"/>
      </w:pPr>
      <w:r>
        <w:t xml:space="preserve">Note: The information in Section </w:t>
      </w:r>
      <w:r>
        <w:fldChar w:fldCharType="begin"/>
      </w:r>
      <w:r>
        <w:instrText xml:space="preserve"> REF _Ref332266034 \r \h  \* MERGEFORMAT </w:instrText>
      </w:r>
      <w:r>
        <w:fldChar w:fldCharType="separate"/>
      </w:r>
      <w:r>
        <w:t>D.2.4</w:t>
      </w:r>
      <w:r>
        <w:fldChar w:fldCharType="end"/>
      </w:r>
      <w:r>
        <w:t xml:space="preserve"> contains basic Performance Factor information relevant for all unit types.  The following information only pertains to fossil steam units.  </w:t>
      </w:r>
    </w:p>
    <w:p w14:paraId="6EE176CA" w14:textId="77777777" w:rsidR="006C4BD1" w:rsidRDefault="006C4BD1" w:rsidP="006C4BD1">
      <w:pPr>
        <w:pStyle w:val="Normal120"/>
      </w:pPr>
      <w:r>
        <w:t xml:space="preserve">Like units that can be used for calculation of performance factors are units having similar ratings, steam conditions, make or model and same site location.  </w:t>
      </w:r>
    </w:p>
    <w:p w14:paraId="5A970397" w14:textId="43498936" w:rsidR="006C4BD1" w:rsidRDefault="00DC317C" w:rsidP="00781C61">
      <w:pPr>
        <w:pStyle w:val="3Appx3"/>
        <w:numPr>
          <w:ilvl w:val="0"/>
          <w:numId w:val="0"/>
        </w:numPr>
      </w:pPr>
      <w:bookmarkStart w:id="11631" w:name="_Toc351019796"/>
      <w:bookmarkStart w:id="11632" w:name="_Toc363483341"/>
      <w:bookmarkStart w:id="11633" w:name="_Toc131493457"/>
      <w:bookmarkStart w:id="11634" w:name="_Toc213772298"/>
      <w:r>
        <w:t>D.3.3</w:t>
      </w:r>
      <w:r>
        <w:tab/>
      </w:r>
      <w:r w:rsidR="006C4BD1">
        <w:t>Fuel Cost</w:t>
      </w:r>
      <w:bookmarkEnd w:id="11631"/>
      <w:bookmarkEnd w:id="11632"/>
      <w:bookmarkEnd w:id="11633"/>
      <w:bookmarkEnd w:id="11634"/>
      <w:r w:rsidR="006C4BD1">
        <w:t xml:space="preserve"> </w:t>
      </w:r>
    </w:p>
    <w:p w14:paraId="6E719A62" w14:textId="015FBA0C" w:rsidR="006C4BD1" w:rsidRDefault="006C4BD1" w:rsidP="006C4BD1">
      <w:pPr>
        <w:pStyle w:val="IntenseQuote"/>
        <w:jc w:val="both"/>
      </w:pPr>
      <w:r>
        <w:t>Note: The information in Section D</w:t>
      </w:r>
      <w:r w:rsidR="00C16712">
        <w:t>.</w:t>
      </w:r>
      <w:r>
        <w:t xml:space="preserve">2.5 contains basic Fuel information relevant for all unit types.  The following information only pertains to fossil steam units.  </w:t>
      </w:r>
    </w:p>
    <w:p w14:paraId="173C9C56" w14:textId="77777777" w:rsidR="006C4BD1" w:rsidRDefault="006C4BD1" w:rsidP="006C4BD1">
      <w:pPr>
        <w:pStyle w:val="Normal120"/>
      </w:pPr>
      <w:r>
        <w:t xml:space="preserve">Fossil fuel cost adjustments compensating for previous estimate inaccuracies should not be considered when determining the basic fossil cost component of Total Fuel Related Cost.  </w:t>
      </w:r>
    </w:p>
    <w:p w14:paraId="0B46571A" w14:textId="5070FC68" w:rsidR="006C4BD1" w:rsidRDefault="006C4BD1" w:rsidP="006C4BD1">
      <w:pPr>
        <w:pStyle w:val="Normal120"/>
      </w:pPr>
      <w:r>
        <w:rPr>
          <w:b/>
        </w:rPr>
        <w:t>Fossil Other Fuel-Related Costs -</w:t>
      </w:r>
      <w:r>
        <w:t xml:space="preserve"> the dollars in FERC </w:t>
      </w:r>
      <w:r w:rsidR="00CE1FE0" w:rsidRPr="00CE1FE0">
        <w:rPr>
          <w:rFonts w:eastAsiaTheme="majorEastAsia"/>
        </w:rPr>
        <w:t>Account 501 Fuel</w:t>
      </w:r>
      <w:r>
        <w:rPr>
          <w:rStyle w:val="Hyperlink"/>
          <w:rFonts w:eastAsiaTheme="majorEastAsia"/>
        </w:rPr>
        <w:t xml:space="preserve"> </w:t>
      </w:r>
      <w:r>
        <w:t>or its equivalent accounting for non-jurisdictional entities plus incremental expenses for fuel treatment and pollution control (excluding SO</w:t>
      </w:r>
      <w:r>
        <w:rPr>
          <w:vertAlign w:val="subscript"/>
        </w:rPr>
        <w:t>2</w:t>
      </w:r>
      <w:r>
        <w:t xml:space="preserve"> and NO</w:t>
      </w:r>
      <w:r>
        <w:rPr>
          <w:vertAlign w:val="subscript"/>
        </w:rPr>
        <w:t>X</w:t>
      </w:r>
      <w:r>
        <w:t xml:space="preserve"> emission allowance costs) that were not included in Account 501; minus the fuel expenses from FERC Account 151 or its equivalent accounting for non-jurisdictional entities that were charged into Account 501, all divided by the fuel (heat content or quantity) shifted from Account 151 into Account 501.  </w:t>
      </w:r>
    </w:p>
    <w:p w14:paraId="24883B57" w14:textId="7DE56927" w:rsidR="006C4BD1" w:rsidRDefault="00DC317C" w:rsidP="00781C61">
      <w:pPr>
        <w:pStyle w:val="3Appx3"/>
        <w:numPr>
          <w:ilvl w:val="0"/>
          <w:numId w:val="0"/>
        </w:numPr>
      </w:pPr>
      <w:bookmarkStart w:id="11635" w:name="_Toc351019797"/>
      <w:bookmarkStart w:id="11636" w:name="_Toc363483342"/>
      <w:bookmarkStart w:id="11637" w:name="_Toc131493458"/>
      <w:bookmarkStart w:id="11638" w:name="_Toc213772299"/>
      <w:r>
        <w:t>D.3.4</w:t>
      </w:r>
      <w:r>
        <w:tab/>
      </w:r>
      <w:r w:rsidR="006C4BD1">
        <w:t>Hot Start Cost, Intermediate Start Cost, and Cold Start cost</w:t>
      </w:r>
      <w:bookmarkEnd w:id="11635"/>
      <w:bookmarkEnd w:id="11636"/>
      <w:bookmarkEnd w:id="11637"/>
      <w:bookmarkEnd w:id="11638"/>
      <w:r w:rsidR="006C4BD1">
        <w:t xml:space="preserve"> </w:t>
      </w:r>
    </w:p>
    <w:p w14:paraId="1959499B" w14:textId="6159171B" w:rsidR="006C4BD1" w:rsidRDefault="006C4BD1" w:rsidP="006C4BD1">
      <w:pPr>
        <w:pStyle w:val="IntenseQuote"/>
        <w:jc w:val="both"/>
      </w:pPr>
      <w:r>
        <w:t>Note: The information in Section D</w:t>
      </w:r>
      <w:r w:rsidR="003E75D8">
        <w:t>.</w:t>
      </w:r>
      <w:r>
        <w:t xml:space="preserve">2.8 contains basic Start Cost information relevant for all unit types.  The following information only pertains to fossil steam units.  </w:t>
      </w:r>
    </w:p>
    <w:p w14:paraId="11698059" w14:textId="77777777" w:rsidR="006C4BD1" w:rsidRDefault="0002195B" w:rsidP="006C4BD1">
      <w:pPr>
        <w:rPr>
          <w:i/>
        </w:rPr>
      </w:pPr>
      <m:oMathPara>
        <m:oMathParaPr>
          <m:jc m:val="left"/>
        </m:oMathParaPr>
        <m:oMath>
          <m:r>
            <w:rPr>
              <w:rFonts w:ascii="Cambria Math" w:hAnsi="Cambria Math"/>
            </w:rPr>
            <m:t>Mitigated Start</m:t>
          </m:r>
          <m:r>
            <m:rPr>
              <m:nor/>
            </m:rPr>
            <w:rPr>
              <w:rFonts w:ascii="Cambria Math" w:hAnsi="Cambria Math"/>
            </w:rPr>
            <m:t>-</m:t>
          </m:r>
          <m:r>
            <w:rPr>
              <w:rFonts w:ascii="Cambria Math" w:hAnsi="Cambria Math"/>
            </w:rPr>
            <m:t>Up Offer</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 xml:space="preserve">= </m:t>
          </m:r>
        </m:oMath>
      </m:oMathPara>
    </w:p>
    <w:p w14:paraId="176DA349" w14:textId="77777777" w:rsidR="006C4BD1" w:rsidRDefault="00977324" w:rsidP="006C4BD1">
      <w:pPr>
        <w:ind w:left="-810" w:firstLine="810"/>
      </w:pPr>
      <m:oMathPara>
        <m:oMathParaPr>
          <m:jc m:val="center"/>
        </m:oMathParaPr>
        <m:oMath>
          <m:d>
            <m:dPr>
              <m:begChr m:val="["/>
              <m:endChr m:val="]"/>
              <m:ctrlPr>
                <w:rPr>
                  <w:rFonts w:ascii="Cambria Math" w:hAnsi="Cambria Math"/>
                  <w:i/>
                </w:rPr>
              </m:ctrlPr>
            </m:dPr>
            <m:e>
              <m:r>
                <w:rPr>
                  <w:rFonts w:ascii="Cambria Math" w:hAnsi="Cambria Math"/>
                </w:rPr>
                <m:t>Start</m:t>
              </m:r>
              <m:r>
                <w:rPr>
                  <w:rFonts w:ascii="Cambria Math" w:hAnsi="Cambria Math"/>
                </w:rPr>
                <m:t xml:space="preserve"> </m:t>
              </m:r>
              <m:r>
                <w:rPr>
                  <w:rFonts w:ascii="Cambria Math" w:hAnsi="Cambria Math"/>
                </w:rPr>
                <m:t>Fuel</m:t>
              </m:r>
              <m:r>
                <w:rPr>
                  <w:rFonts w:ascii="Cambria Math" w:hAnsi="Cambria Math"/>
                </w:rPr>
                <m:t xml:space="preserve"> </m:t>
              </m:r>
              <m:r>
                <w:rPr>
                  <w:rFonts w:ascii="Cambria Math" w:hAnsi="Cambria Math"/>
                </w:rPr>
                <m:t>Consumed</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Start</m:t>
                      </m:r>
                    </m:den>
                  </m:f>
                </m:e>
              </m:d>
              <m:r>
                <w:rPr>
                  <w:rFonts w:ascii="Cambria Math" w:hAnsi="Cambria Math"/>
                </w:rPr>
                <m:t>*</m:t>
              </m:r>
              <m:r>
                <w:rPr>
                  <w:rFonts w:ascii="Cambria Math" w:hAnsi="Cambria Math"/>
                </w:rPr>
                <m:t>TFRC</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e>
          </m:d>
          <m:r>
            <w:rPr>
              <w:rFonts w:ascii="Cambria Math" w:hAnsi="Cambria Math"/>
            </w:rPr>
            <m:t>+</m:t>
          </m:r>
          <m:d>
            <m:dPr>
              <m:begChr m:val="["/>
              <m:endChr m:val="]"/>
              <m:ctrlPr>
                <w:rPr>
                  <w:rFonts w:ascii="Cambria Math" w:hAnsi="Cambria Math"/>
                  <w:i/>
                </w:rPr>
              </m:ctrlPr>
            </m:dPr>
            <m:e>
              <m:r>
                <w:rPr>
                  <w:rFonts w:ascii="Cambria Math" w:hAnsi="Cambria Math"/>
                </w:rPr>
                <m:t>Station</m:t>
              </m:r>
              <m:r>
                <w:rPr>
                  <w:rFonts w:ascii="Cambria Math" w:hAnsi="Cambria Math"/>
                </w:rPr>
                <m:t xml:space="preserve"> </m:t>
              </m:r>
              <m:r>
                <w:rPr>
                  <w:rFonts w:ascii="Cambria Math" w:hAnsi="Cambria Math"/>
                </w:rPr>
                <m:t>Service</m:t>
              </m:r>
              <m:d>
                <m:dPr>
                  <m:ctrlPr>
                    <w:rPr>
                      <w:rFonts w:ascii="Cambria Math" w:hAnsi="Cambria Math"/>
                      <w:i/>
                    </w:rPr>
                  </m:ctrlPr>
                </m:dPr>
                <m:e>
                  <m:r>
                    <w:rPr>
                      <w:rFonts w:ascii="Cambria Math" w:hAnsi="Cambria Math"/>
                    </w:rPr>
                    <m:t>MW</m:t>
                  </m:r>
                  <m:r>
                    <w:rPr>
                      <w:rFonts w:ascii="Cambria Math" w:hAnsi="Cambria Math"/>
                    </w:rPr>
                    <m:t>h</m:t>
                  </m:r>
                  <m:r>
                    <w:rPr>
                      <w:rFonts w:ascii="Cambria Math" w:hAnsi="Cambria Math"/>
                    </w:rPr>
                    <m:t>/</m:t>
                  </m:r>
                  <m:r>
                    <w:rPr>
                      <w:rFonts w:ascii="Cambria Math" w:hAnsi="Cambria Math"/>
                    </w:rPr>
                    <m:t>Start</m:t>
                  </m:r>
                </m:e>
              </m:d>
              <m:r>
                <w:rPr>
                  <w:rFonts w:ascii="Cambria Math" w:hAnsi="Cambria Math"/>
                </w:rPr>
                <m:t>*</m:t>
              </m:r>
              <m:r>
                <w:rPr>
                  <w:rFonts w:ascii="Cambria Math" w:hAnsi="Cambria Math"/>
                </w:rPr>
                <m:t>Station</m:t>
              </m:r>
              <m:r>
                <w:rPr>
                  <w:rFonts w:ascii="Cambria Math" w:hAnsi="Cambria Math"/>
                </w:rPr>
                <m:t xml:space="preserve"> </m:t>
              </m:r>
              <m:r>
                <w:rPr>
                  <w:rFonts w:ascii="Cambria Math" w:hAnsi="Cambria Math"/>
                </w:rPr>
                <m:t>Service</m:t>
              </m:r>
              <m:r>
                <w:rPr>
                  <w:rFonts w:ascii="Cambria Math" w:hAnsi="Cambria Math"/>
                </w:rPr>
                <m:t xml:space="preserve"> </m:t>
              </m:r>
              <m:r>
                <w:rPr>
                  <w:rFonts w:ascii="Cambria Math" w:hAnsi="Cambria Math"/>
                </w:rPr>
                <m:t>Rate</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m:t>
                      </m:r>
                      <m:r>
                        <w:rPr>
                          <w:rFonts w:ascii="Cambria Math" w:hAnsi="Cambria Math"/>
                        </w:rPr>
                        <m:t>h</m:t>
                      </m:r>
                    </m:den>
                  </m:f>
                </m:e>
              </m:d>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Additional</m:t>
          </m:r>
          <m:r>
            <w:rPr>
              <w:rFonts w:ascii="Cambria Math" w:hAnsi="Cambria Math"/>
            </w:rPr>
            <m:t xml:space="preserve"> </m:t>
          </m:r>
          <m:r>
            <w:rPr>
              <w:rFonts w:ascii="Cambria Math" w:hAnsi="Cambria Math"/>
            </w:rPr>
            <m:t>Labor</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m:rPr>
              <m:sty m:val="p"/>
            </m:rPr>
            <w:rPr>
              <w:rFonts w:ascii="Cambria Math" w:hAnsi="Cambria Math"/>
            </w:rPr>
            <m:t>+</m:t>
          </m:r>
          <m:d>
            <m:dPr>
              <m:begChr m:val="["/>
              <m:endChr m:val="]"/>
              <m:ctrlPr>
                <w:rPr>
                  <w:rFonts w:ascii="Cambria Math" w:hAnsi="Cambria Math"/>
                  <w:i/>
                </w:rPr>
              </m:ctrlPr>
            </m:dPr>
            <m:e>
              <m:r>
                <w:rPr>
                  <w:rFonts w:ascii="Cambria Math" w:hAnsi="Cambria Math"/>
                </w:rPr>
                <m:t>S</m:t>
              </m:r>
              <m:r>
                <w:rPr>
                  <w:rFonts w:ascii="Cambria Math" w:hAnsi="Cambria Math"/>
                </w:rPr>
                <m:t>h</m:t>
              </m:r>
              <m:r>
                <w:rPr>
                  <w:rFonts w:ascii="Cambria Math" w:hAnsi="Cambria Math"/>
                </w:rPr>
                <m:t>ut</m:t>
              </m:r>
              <m:r>
                <m:rPr>
                  <m:nor/>
                </m:rPr>
                <w:rPr>
                  <w:rFonts w:ascii="Cambria Math" w:hAnsi="Cambria Math"/>
                </w:rPr>
                <m:t>-</m:t>
              </m:r>
              <m:r>
                <w:rPr>
                  <w:rFonts w:ascii="Cambria Math" w:hAnsi="Cambria Math"/>
                </w:rPr>
                <m:t>Down</m:t>
              </m:r>
              <m:r>
                <w:rPr>
                  <w:rFonts w:ascii="Cambria Math" w:hAnsi="Cambria Math"/>
                </w:rPr>
                <m:t xml:space="preserve"> </m:t>
              </m:r>
              <m:r>
                <w:rPr>
                  <w:rFonts w:ascii="Cambria Math" w:hAnsi="Cambria Math"/>
                </w:rPr>
                <m:t>Fuel</m:t>
              </m:r>
              <m:r>
                <w:rPr>
                  <w:rFonts w:ascii="Cambria Math" w:hAnsi="Cambria Math"/>
                </w:rPr>
                <m:t xml:space="preserve"> </m:t>
              </m:r>
              <m:r>
                <w:rPr>
                  <w:rFonts w:ascii="Cambria Math" w:hAnsi="Cambria Math"/>
                </w:rPr>
                <m:t>Consumed</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Start</m:t>
                      </m:r>
                    </m:den>
                  </m:f>
                </m:e>
              </m:d>
              <m:r>
                <w:rPr>
                  <w:rFonts w:ascii="Cambria Math" w:hAnsi="Cambria Math"/>
                </w:rPr>
                <m:t>*</m:t>
              </m:r>
              <m:r>
                <w:rPr>
                  <w:rFonts w:ascii="Cambria Math" w:hAnsi="Cambria Math"/>
                </w:rPr>
                <m:t>TFRC</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Start</m:t>
          </m:r>
          <m:r>
            <w:rPr>
              <w:rFonts w:ascii="Cambria Math" w:hAnsi="Cambria Math"/>
            </w:rPr>
            <m:t>)</m:t>
          </m:r>
        </m:oMath>
      </m:oMathPara>
    </w:p>
    <w:p w14:paraId="641DEFE6" w14:textId="5D056735" w:rsidR="006C4BD1" w:rsidRDefault="004168B5" w:rsidP="00E679DC">
      <w:pPr>
        <w:pStyle w:val="Heading471"/>
      </w:pPr>
      <w:bookmarkStart w:id="11639" w:name="_Toc351019798"/>
      <w:bookmarkStart w:id="11640" w:name="_Toc363483343"/>
      <w:bookmarkStart w:id="11641" w:name="_Toc131493459"/>
      <w:bookmarkStart w:id="11642" w:name="_Toc213772300"/>
      <w:r>
        <w:t>D.3.4.1</w:t>
      </w:r>
      <w:r>
        <w:tab/>
      </w:r>
      <w:r w:rsidR="006C4BD1">
        <w:t xml:space="preserve"> Hot Start Cost</w:t>
      </w:r>
      <w:bookmarkEnd w:id="11639"/>
      <w:bookmarkEnd w:id="11640"/>
      <w:bookmarkEnd w:id="11641"/>
      <w:bookmarkEnd w:id="11642"/>
    </w:p>
    <w:p w14:paraId="6B893639" w14:textId="77777777" w:rsidR="006C4BD1" w:rsidRDefault="006C4BD1" w:rsidP="006C4BD1">
      <w:pPr>
        <w:pStyle w:val="Normal120"/>
      </w:pPr>
      <w:r>
        <w:t xml:space="preserve">Hot start cost is the expected cost to start a steam unit, which is in the “hot” condition.  Hot conditions vary unit by unit, but in general, a unit is hot after an overnight shutdown.  </w:t>
      </w:r>
    </w:p>
    <w:p w14:paraId="09F22996" w14:textId="77777777" w:rsidR="006C4BD1" w:rsidRDefault="006C4BD1" w:rsidP="006C4BD1">
      <w:pPr>
        <w:pStyle w:val="Normal120"/>
      </w:pPr>
      <w:r>
        <w:t>Components of hot start cost include:</w:t>
      </w:r>
    </w:p>
    <w:p w14:paraId="2A322327" w14:textId="77777777" w:rsidR="006C4BD1" w:rsidRDefault="006C4BD1" w:rsidP="006C4BD1">
      <w:pPr>
        <w:pStyle w:val="Normal120"/>
      </w:pPr>
      <w:r>
        <w:rPr>
          <w:b/>
        </w:rPr>
        <w:t xml:space="preserve">Start Fuel Consumed </w:t>
      </w:r>
      <w:r>
        <w:t xml:space="preserve">is the amount of fuel consumed from first fire of start process to breaker closing (including auxiliary boiler fuel). </w:t>
      </w:r>
    </w:p>
    <w:p w14:paraId="607B69D4" w14:textId="77777777" w:rsidR="006C4BD1" w:rsidRDefault="006C4BD1" w:rsidP="006C4BD1">
      <w:pPr>
        <w:pStyle w:val="Normal120"/>
      </w:pPr>
      <w:r>
        <w:rPr>
          <w:b/>
        </w:rPr>
        <w:t>Shutdown Fuel Consumed</w:t>
      </w:r>
      <w:r>
        <w:t xml:space="preserve"> is the amount of fuel consumed from breaker opening of the previous shutdown to initialization of the (hot) unit start-up, excluding normal plant heating/auxiliary equipment fuel requirements.  </w:t>
      </w:r>
    </w:p>
    <w:p w14:paraId="7997E1F9" w14:textId="77777777" w:rsidR="006C4BD1" w:rsidRDefault="006C4BD1" w:rsidP="006C4BD1">
      <w:pPr>
        <w:pStyle w:val="Normal120"/>
      </w:pPr>
      <w:r>
        <w:rPr>
          <w:b/>
        </w:rPr>
        <w:t>Station Service</w:t>
      </w:r>
      <w:r>
        <w:t xml:space="preserve"> from initiation of start sequence to breaker closing (total station use minus normal base station use) priced at the Station Service rate and station service after breaker opening during shutdown (station service during shutdown should be that associated with the normal unit auxiliary equipment operated during shutdown in excess of base unit use, this station service is not to include VOM cost or non-normal use) priced at the Station Service rate.  </w:t>
      </w:r>
    </w:p>
    <w:p w14:paraId="52C5063E" w14:textId="77777777" w:rsidR="006C4BD1" w:rsidRDefault="006C4BD1" w:rsidP="006C4BD1">
      <w:pPr>
        <w:pStyle w:val="Normal120"/>
      </w:pPr>
      <w:r>
        <w:rPr>
          <w:b/>
        </w:rPr>
        <w:t>Additional labor costs</w:t>
      </w:r>
      <w:r>
        <w:t xml:space="preserve"> in excess of normal station manning requirements that are incurred when starting the unit.  </w:t>
      </w:r>
    </w:p>
    <w:p w14:paraId="6B8D4ADE" w14:textId="31D85AF3" w:rsidR="006C4BD1" w:rsidRDefault="006C4BD1" w:rsidP="006C4BD1">
      <w:pPr>
        <w:pStyle w:val="Normal120"/>
      </w:pPr>
      <w:r>
        <w:rPr>
          <w:b/>
        </w:rPr>
        <w:t>Start VOM Cost</w:t>
      </w:r>
      <w:r>
        <w:t xml:space="preserve"> – Section D</w:t>
      </w:r>
      <w:r w:rsidR="00DB4242">
        <w:t>.</w:t>
      </w:r>
      <w:r>
        <w:t>2.8</w:t>
      </w:r>
      <w:r w:rsidR="00DB4242">
        <w:t xml:space="preserve"> </w:t>
      </w:r>
      <w:r>
        <w:t xml:space="preserve">contains information regarding calculation of VOM cost.  </w:t>
      </w:r>
    </w:p>
    <w:p w14:paraId="267E1864" w14:textId="27A6C7EF" w:rsidR="006C4BD1" w:rsidRDefault="004168B5" w:rsidP="00E679DC">
      <w:pPr>
        <w:pStyle w:val="Heading471"/>
      </w:pPr>
      <w:bookmarkStart w:id="11643" w:name="_Toc351019799"/>
      <w:bookmarkStart w:id="11644" w:name="_Toc363483344"/>
      <w:bookmarkStart w:id="11645" w:name="_Toc131493460"/>
      <w:bookmarkStart w:id="11646" w:name="_Toc213772301"/>
      <w:r>
        <w:t>D.3.4.2</w:t>
      </w:r>
      <w:r>
        <w:tab/>
      </w:r>
      <w:r w:rsidR="006C4BD1">
        <w:t xml:space="preserve"> Intermediate Start Cost</w:t>
      </w:r>
      <w:bookmarkEnd w:id="11643"/>
      <w:bookmarkEnd w:id="11644"/>
      <w:bookmarkEnd w:id="11645"/>
      <w:bookmarkEnd w:id="11646"/>
    </w:p>
    <w:p w14:paraId="4E7A83FA" w14:textId="77777777" w:rsidR="006C4BD1" w:rsidRDefault="006C4BD1" w:rsidP="006C4BD1">
      <w:pPr>
        <w:pStyle w:val="Normal120"/>
      </w:pPr>
      <w:r>
        <w:rPr>
          <w:b/>
        </w:rPr>
        <w:t>Intermediate start cost</w:t>
      </w:r>
      <w:r>
        <w:t xml:space="preserve"> is the expected cost to start a steam unit during a period where neither hot nor cold conditions apply.  Use of intermediate start cost is optional based on company policy and physical machine characteristics.  The only restriction is that once an intermediate start cost is defined for a unit, the cost must be used consistently in scheduling and accounting.  </w:t>
      </w:r>
    </w:p>
    <w:p w14:paraId="4D25EAE1" w14:textId="77777777" w:rsidR="006C4BD1" w:rsidRDefault="006C4BD1" w:rsidP="006C4BD1">
      <w:pPr>
        <w:pStyle w:val="Normal120"/>
      </w:pPr>
      <w:r>
        <w:t>Components of intermediate start cost include:</w:t>
      </w:r>
    </w:p>
    <w:p w14:paraId="42B0AA81" w14:textId="77777777" w:rsidR="006C4BD1" w:rsidRDefault="006C4BD1" w:rsidP="006C4BD1">
      <w:pPr>
        <w:pStyle w:val="Normal120"/>
      </w:pPr>
      <w:r>
        <w:rPr>
          <w:b/>
        </w:rPr>
        <w:t xml:space="preserve">Start Fuel Consumed </w:t>
      </w:r>
      <w:r>
        <w:t xml:space="preserve">is the amount of fuel consumed from first fire of start process to breaker closing (including auxiliary boiler fuel). </w:t>
      </w:r>
    </w:p>
    <w:p w14:paraId="0E89FEDE" w14:textId="77777777" w:rsidR="006C4BD1" w:rsidRDefault="006C4BD1" w:rsidP="006C4BD1">
      <w:pPr>
        <w:pStyle w:val="Normal120"/>
      </w:pPr>
      <w:r>
        <w:rPr>
          <w:b/>
        </w:rPr>
        <w:t>Shutdown Fuel Consumed</w:t>
      </w:r>
      <w:r>
        <w:t xml:space="preserve"> is the amount of fuel consumed from breaker opening of the previous shutdown to initialization of the (intermediate) unit start-up, excluding normal plant heating/auxiliary equipment fuel requirements.  </w:t>
      </w:r>
    </w:p>
    <w:p w14:paraId="5F03429E" w14:textId="77777777" w:rsidR="006C4BD1" w:rsidRDefault="006C4BD1" w:rsidP="006C4BD1">
      <w:pPr>
        <w:pStyle w:val="Normal120"/>
      </w:pPr>
      <w:r>
        <w:rPr>
          <w:b/>
        </w:rPr>
        <w:t>Station Service</w:t>
      </w:r>
      <w:r>
        <w:t xml:space="preserve"> from initiation of start sequence to breaker closing (total station use minus normal base station use) priced at the Station Service rate and station service after breaker opening during shutdown (station service during shutdown should be that associated with the normal unit auxiliary equipment operated during shutdown in excess of base unit use, this station service is not to include VOM cost or non-normal use) priced at the Station Service rate.  </w:t>
      </w:r>
    </w:p>
    <w:p w14:paraId="1B1F9B8A" w14:textId="77777777" w:rsidR="006C4BD1" w:rsidRDefault="006C4BD1" w:rsidP="006C4BD1">
      <w:pPr>
        <w:pStyle w:val="Normal120"/>
      </w:pPr>
      <w:r>
        <w:rPr>
          <w:b/>
        </w:rPr>
        <w:t>Additional labor costs</w:t>
      </w:r>
      <w:r>
        <w:t xml:space="preserve"> in excess of normal station manning requirements that are incurred when starting the unit.  </w:t>
      </w:r>
    </w:p>
    <w:p w14:paraId="269EC571" w14:textId="77777777" w:rsidR="006C4BD1" w:rsidRDefault="006C4BD1" w:rsidP="006C4BD1">
      <w:pPr>
        <w:pStyle w:val="Normal120"/>
      </w:pPr>
      <w:r>
        <w:rPr>
          <w:b/>
        </w:rPr>
        <w:t>Start VOM Cost</w:t>
      </w:r>
      <w:r>
        <w:t xml:space="preserve"> - Section </w:t>
      </w:r>
      <w:r>
        <w:fldChar w:fldCharType="begin"/>
      </w:r>
      <w:r>
        <w:instrText xml:space="preserve"> REF _Ref343844373 \r \h  \* MERGEFORMAT </w:instrText>
      </w:r>
      <w:r>
        <w:fldChar w:fldCharType="separate"/>
      </w:r>
      <w:r>
        <w:t>D.2.8</w:t>
      </w:r>
      <w:r>
        <w:fldChar w:fldCharType="end"/>
      </w:r>
      <w:r>
        <w:t xml:space="preserve"> contains information for calculation of the Start VOM Cost.  </w:t>
      </w:r>
    </w:p>
    <w:p w14:paraId="34093E64" w14:textId="0BE6C304" w:rsidR="006C4BD1" w:rsidRDefault="004168B5" w:rsidP="00E679DC">
      <w:pPr>
        <w:pStyle w:val="Heading471"/>
      </w:pPr>
      <w:bookmarkStart w:id="11647" w:name="_Toc351019800"/>
      <w:bookmarkStart w:id="11648" w:name="_Toc363483345"/>
      <w:bookmarkStart w:id="11649" w:name="_Toc131493461"/>
      <w:bookmarkStart w:id="11650" w:name="_Toc213772302"/>
      <w:r>
        <w:t>D.3.4.3</w:t>
      </w:r>
      <w:r>
        <w:tab/>
      </w:r>
      <w:r w:rsidR="006C4BD1">
        <w:t xml:space="preserve"> Cold Start Cost</w:t>
      </w:r>
      <w:bookmarkEnd w:id="11647"/>
      <w:bookmarkEnd w:id="11648"/>
      <w:bookmarkEnd w:id="11649"/>
      <w:bookmarkEnd w:id="11650"/>
    </w:p>
    <w:p w14:paraId="61AB60F6" w14:textId="77777777" w:rsidR="006C4BD1" w:rsidRDefault="006C4BD1" w:rsidP="006C4BD1">
      <w:pPr>
        <w:pStyle w:val="Normal120"/>
      </w:pPr>
      <w:r>
        <w:rPr>
          <w:b/>
        </w:rPr>
        <w:t>Cold start cost</w:t>
      </w:r>
      <w:r>
        <w:t xml:space="preserve"> is the expected cost to start a steam unit that is in the “cold” condition.  Cold conditions vary unit by unit, but in general, a unit is cold after a two or three-day shutdown.  Components of cold start cost include:</w:t>
      </w:r>
    </w:p>
    <w:p w14:paraId="06B3A705" w14:textId="77777777" w:rsidR="006C4BD1" w:rsidRDefault="006C4BD1" w:rsidP="006C4BD1">
      <w:pPr>
        <w:pStyle w:val="Normal120"/>
      </w:pPr>
      <w:r>
        <w:rPr>
          <w:b/>
        </w:rPr>
        <w:t xml:space="preserve">Start Fuel Consumed </w:t>
      </w:r>
      <w:r>
        <w:t xml:space="preserve">is the amount of fuel consumed from first fire of start process to breaker closing (including auxiliary boiler fuel). </w:t>
      </w:r>
    </w:p>
    <w:p w14:paraId="351B22A4" w14:textId="77777777" w:rsidR="006C4BD1" w:rsidRDefault="006C4BD1" w:rsidP="006C4BD1">
      <w:pPr>
        <w:pStyle w:val="Normal120"/>
      </w:pPr>
      <w:r>
        <w:rPr>
          <w:b/>
        </w:rPr>
        <w:t>Shutdown Fuel Consumed</w:t>
      </w:r>
      <w:r>
        <w:t xml:space="preserve"> is the amount of fuel consumed from breaker opening of the previous shutdown to initialization of the (cold) unit start-up, excluding normal plant heating/auxiliary equipment fuel requirements.  </w:t>
      </w:r>
    </w:p>
    <w:p w14:paraId="6D0CAD6A" w14:textId="77777777" w:rsidR="006C4BD1" w:rsidRDefault="006C4BD1" w:rsidP="006C4BD1">
      <w:pPr>
        <w:pStyle w:val="Normal120"/>
      </w:pPr>
      <w:r>
        <w:rPr>
          <w:b/>
        </w:rPr>
        <w:t>Station Service</w:t>
      </w:r>
      <w:r>
        <w:t xml:space="preserve"> from initiation of start sequence to breaker closing (total station use minus normal base station use) priced at the Station Service rate and station service after breaker opening during shutdown (station service during shutdown should be that associated with the normal unit auxiliary equipment operated during shutdown in excess of base unit use, this station service is not to include VOM cost or non-normal uses) priced at the Station Service rate.  </w:t>
      </w:r>
    </w:p>
    <w:p w14:paraId="1A65B26C" w14:textId="77777777" w:rsidR="006C4BD1" w:rsidRDefault="006C4BD1" w:rsidP="006C4BD1">
      <w:pPr>
        <w:pStyle w:val="Normal120"/>
      </w:pPr>
      <w:r>
        <w:rPr>
          <w:b/>
        </w:rPr>
        <w:t>Additional labor costs</w:t>
      </w:r>
      <w:r>
        <w:t xml:space="preserve"> in excess of normal station manning requirements that are incurred when starting the unit.  </w:t>
      </w:r>
    </w:p>
    <w:p w14:paraId="4A7A96E6" w14:textId="77777777" w:rsidR="006C4BD1" w:rsidRDefault="006C4BD1" w:rsidP="006C4BD1">
      <w:pPr>
        <w:pStyle w:val="Normal120"/>
      </w:pPr>
      <w:r>
        <w:rPr>
          <w:b/>
        </w:rPr>
        <w:t>Start VOM Cost</w:t>
      </w:r>
      <w:r>
        <w:t xml:space="preserve"> - Section </w:t>
      </w:r>
      <w:r>
        <w:fldChar w:fldCharType="begin"/>
      </w:r>
      <w:r>
        <w:instrText xml:space="preserve"> REF _Ref343844373 \r \h  \* MERGEFORMAT </w:instrText>
      </w:r>
      <w:r>
        <w:fldChar w:fldCharType="separate"/>
      </w:r>
      <w:r>
        <w:t>D.2.8</w:t>
      </w:r>
      <w:r>
        <w:fldChar w:fldCharType="end"/>
      </w:r>
      <w:r>
        <w:t xml:space="preserve"> contains information for calculation of the Start VOM cost.  </w:t>
      </w:r>
    </w:p>
    <w:p w14:paraId="5BFBE233" w14:textId="12569864" w:rsidR="006C4BD1" w:rsidRDefault="00DC317C" w:rsidP="00781C61">
      <w:pPr>
        <w:pStyle w:val="3Appx3"/>
        <w:numPr>
          <w:ilvl w:val="0"/>
          <w:numId w:val="0"/>
        </w:numPr>
      </w:pPr>
      <w:bookmarkStart w:id="11651" w:name="_Toc351019801"/>
      <w:bookmarkStart w:id="11652" w:name="_Toc363483346"/>
      <w:bookmarkStart w:id="11653" w:name="_Toc131493462"/>
      <w:bookmarkStart w:id="11654" w:name="_Toc213772303"/>
      <w:r>
        <w:t>D.3.5</w:t>
      </w:r>
      <w:r>
        <w:tab/>
      </w:r>
      <w:r w:rsidR="006C4BD1">
        <w:t>Mitigated No-Load Offer</w:t>
      </w:r>
      <w:bookmarkEnd w:id="11651"/>
      <w:bookmarkEnd w:id="11652"/>
      <w:bookmarkEnd w:id="11653"/>
      <w:bookmarkEnd w:id="11654"/>
      <w:r w:rsidR="006C4BD1">
        <w:t xml:space="preserve"> </w:t>
      </w:r>
    </w:p>
    <w:p w14:paraId="6921A6E6" w14:textId="12FB571A" w:rsidR="006C4BD1" w:rsidRDefault="006C4BD1" w:rsidP="006C4BD1">
      <w:pPr>
        <w:pStyle w:val="IntenseQuote"/>
        <w:jc w:val="both"/>
      </w:pPr>
      <w:r>
        <w:t>Note: The information in Section D</w:t>
      </w:r>
      <w:r w:rsidR="00146561">
        <w:t>.</w:t>
      </w:r>
      <w:r>
        <w:t xml:space="preserve">2.9 contains basic Mitigated No-Load Offer information relevant for all unit types including fossil steam units.  </w:t>
      </w:r>
    </w:p>
    <w:p w14:paraId="4B0CC6BB" w14:textId="1261CD1F" w:rsidR="006C4BD1" w:rsidRDefault="00DC317C" w:rsidP="00781C61">
      <w:pPr>
        <w:pStyle w:val="3Appx3"/>
        <w:numPr>
          <w:ilvl w:val="0"/>
          <w:numId w:val="0"/>
        </w:numPr>
      </w:pPr>
      <w:bookmarkStart w:id="11655" w:name="_Toc351019802"/>
      <w:bookmarkStart w:id="11656" w:name="_Toc363483347"/>
      <w:bookmarkStart w:id="11657" w:name="_Toc131493463"/>
      <w:bookmarkStart w:id="11658" w:name="_Toc213772304"/>
      <w:r>
        <w:t>D.3.6</w:t>
      </w:r>
      <w:r>
        <w:tab/>
      </w:r>
      <w:r w:rsidR="006C4BD1">
        <w:t>VOM Cost</w:t>
      </w:r>
      <w:bookmarkEnd w:id="11655"/>
      <w:bookmarkEnd w:id="11656"/>
      <w:bookmarkEnd w:id="11657"/>
      <w:bookmarkEnd w:id="11658"/>
      <w:r w:rsidR="006C4BD1">
        <w:t xml:space="preserve"> </w:t>
      </w:r>
    </w:p>
    <w:p w14:paraId="4430D378" w14:textId="560EB0D3" w:rsidR="006C4BD1" w:rsidRDefault="006C4BD1" w:rsidP="006C4BD1">
      <w:pPr>
        <w:pStyle w:val="IntenseQuote"/>
        <w:jc w:val="both"/>
      </w:pPr>
      <w:r>
        <w:t>Note: The information in Section D</w:t>
      </w:r>
      <w:r w:rsidR="00146561">
        <w:t>.</w:t>
      </w:r>
      <w:r>
        <w:t xml:space="preserve">2.6 contains basic VOM Cost information relevant for all unit types.  The following information only pertains to fossil steam units.  </w:t>
      </w:r>
    </w:p>
    <w:p w14:paraId="202D6CC6" w14:textId="4EF10B8A" w:rsidR="006C4BD1" w:rsidRDefault="006C4BD1" w:rsidP="006C4BD1">
      <w:pPr>
        <w:pStyle w:val="Normal120"/>
      </w:pPr>
      <w:r>
        <w:rPr>
          <w:b/>
        </w:rPr>
        <w:t>Fossil Steam - VOM Cost</w:t>
      </w:r>
      <w:r>
        <w:t xml:space="preserve"> - is the historical VOM cost as derived from FERC Accounts 512 or its equivalent accounting for non-jurisdictional entities and 513 or its equivalent accounting for non-jurisdictional entities for fossil steam units.  </w:t>
      </w:r>
    </w:p>
    <w:p w14:paraId="09B2BB07" w14:textId="4A163084" w:rsidR="006C4BD1" w:rsidRDefault="006C4BD1" w:rsidP="006C4BD1">
      <w:pPr>
        <w:pStyle w:val="Normal120"/>
      </w:pPr>
      <w:r>
        <w:t xml:space="preserve">Units with less than </w:t>
      </w:r>
      <w:r w:rsidR="00146561">
        <w:t>one (</w:t>
      </w:r>
      <w:r>
        <w:t>1</w:t>
      </w:r>
      <w:r w:rsidR="00146561">
        <w:t>)</w:t>
      </w:r>
      <w:r>
        <w:t xml:space="preserve"> year of history are considered immature.  Such units can be assigned their calculated VOM cost </w:t>
      </w:r>
      <w:r w:rsidDel="0046151A">
        <w:t>and/or</w:t>
      </w:r>
      <w:r>
        <w:t xml:space="preserve"> Start VOM cost, or a forecast value, subject to evaluation pursuant to the Mitigated Offer </w:t>
      </w:r>
      <w:r w:rsidR="00692523">
        <w:t>Development</w:t>
      </w:r>
      <w:r>
        <w:t xml:space="preserve"> Methodology Approval Process.</w:t>
      </w:r>
    </w:p>
    <w:p w14:paraId="28BDBFE1" w14:textId="547FD897" w:rsidR="006C4BD1" w:rsidRDefault="000B79AE" w:rsidP="00E679DC">
      <w:pPr>
        <w:pStyle w:val="4Appx4"/>
        <w:numPr>
          <w:ilvl w:val="0"/>
          <w:numId w:val="0"/>
        </w:numPr>
      </w:pPr>
      <w:bookmarkStart w:id="11659" w:name="_Toc351019803"/>
      <w:bookmarkStart w:id="11660" w:name="_Toc363483348"/>
      <w:bookmarkStart w:id="11661" w:name="_Toc131493464"/>
      <w:bookmarkStart w:id="11662" w:name="_Toc213772305"/>
      <w:r>
        <w:t>D.3.6.1</w:t>
      </w:r>
      <w:r>
        <w:tab/>
      </w:r>
      <w:r w:rsidR="006C4BD1">
        <w:t xml:space="preserve"> Configuration Addition VOM </w:t>
      </w:r>
      <w:bookmarkEnd w:id="11659"/>
      <w:bookmarkEnd w:id="11660"/>
      <w:r w:rsidR="006C4BD1">
        <w:t>Cost</w:t>
      </w:r>
      <w:bookmarkEnd w:id="11661"/>
      <w:bookmarkEnd w:id="11662"/>
    </w:p>
    <w:p w14:paraId="1276E765" w14:textId="16580E6E" w:rsidR="006C4BD1" w:rsidRDefault="006C4BD1" w:rsidP="006C4BD1">
      <w:pPr>
        <w:spacing w:line="300" w:lineRule="auto"/>
        <w:rPr>
          <w:rFonts w:cs="Times New (W1)"/>
        </w:rPr>
      </w:pPr>
      <w:r>
        <w:t>For units undergoing a significant system or unit Configuration Addition the use of an additional “Configuration Addition VOM Cost</w:t>
      </w:r>
      <w:r>
        <w:rPr>
          <w:rFonts w:ascii="Cambria Math" w:hAnsi="Cambria Math" w:cs="Cambria Math"/>
        </w:rPr>
        <w:t>”</w:t>
      </w:r>
      <w:r>
        <w:rPr>
          <w:rFonts w:cs="Times New (W1)"/>
        </w:rPr>
        <w:t xml:space="preserve"> may be included in the determination of the total VOM cost.  It is not intended to be used for upgrades to existing equipment (i.e.</w:t>
      </w:r>
      <w:r w:rsidR="00146561">
        <w:rPr>
          <w:rFonts w:cs="Times New (W1)"/>
        </w:rPr>
        <w:t>,</w:t>
      </w:r>
      <w:r>
        <w:rPr>
          <w:rFonts w:cs="Times New (W1)"/>
        </w:rPr>
        <w:t xml:space="preserve"> replacement of a standard burner with a low NO</w:t>
      </w:r>
      <w:r>
        <w:rPr>
          <w:rFonts w:cs="Times New (W1)"/>
          <w:vertAlign w:val="subscript"/>
        </w:rPr>
        <w:t>X</w:t>
      </w:r>
      <w:r>
        <w:rPr>
          <w:rFonts w:cs="Times New (W1)"/>
        </w:rPr>
        <w:t xml:space="preserve"> burner).  </w:t>
      </w:r>
    </w:p>
    <w:p w14:paraId="7697BA32" w14:textId="77777777" w:rsidR="006C4BD1" w:rsidRDefault="006C4BD1" w:rsidP="006C4BD1">
      <w:pPr>
        <w:spacing w:line="300" w:lineRule="auto"/>
      </w:pPr>
      <w:r>
        <w:t>Examples of significant system or unit Configuration Additions may include but are not limited to:</w:t>
      </w:r>
    </w:p>
    <w:p w14:paraId="35CF0C52" w14:textId="77777777" w:rsidR="006C4BD1" w:rsidRDefault="006C4BD1" w:rsidP="00DA3CE7">
      <w:pPr>
        <w:pStyle w:val="SPPBulletedList"/>
        <w:numPr>
          <w:ilvl w:val="0"/>
          <w:numId w:val="242"/>
        </w:numPr>
        <w:tabs>
          <w:tab w:val="left" w:pos="720"/>
        </w:tabs>
        <w:spacing w:line="300" w:lineRule="auto"/>
        <w:jc w:val="both"/>
      </w:pPr>
      <w:r>
        <w:rPr>
          <w:rFonts w:hint="cs"/>
        </w:rPr>
        <w:t>Installation of Flue Gas Desulfurization (FGD or scrubber) systems</w:t>
      </w:r>
    </w:p>
    <w:p w14:paraId="63187EE1" w14:textId="77777777" w:rsidR="006C4BD1" w:rsidRDefault="006C4BD1" w:rsidP="00DA3CE7">
      <w:pPr>
        <w:pStyle w:val="SPPBulletedList"/>
        <w:numPr>
          <w:ilvl w:val="0"/>
          <w:numId w:val="242"/>
        </w:numPr>
        <w:tabs>
          <w:tab w:val="left" w:pos="720"/>
        </w:tabs>
        <w:spacing w:line="300" w:lineRule="auto"/>
        <w:jc w:val="both"/>
      </w:pPr>
      <w:r>
        <w:rPr>
          <w:rFonts w:hint="cs"/>
        </w:rPr>
        <w:t>Activated Carbon Injection (ACI) or other sorbent injection systems</w:t>
      </w:r>
    </w:p>
    <w:p w14:paraId="3DC85674" w14:textId="77777777" w:rsidR="006C4BD1" w:rsidRDefault="006C4BD1" w:rsidP="00DA3CE7">
      <w:pPr>
        <w:pStyle w:val="SPPBulletedList"/>
        <w:numPr>
          <w:ilvl w:val="0"/>
          <w:numId w:val="242"/>
        </w:numPr>
        <w:tabs>
          <w:tab w:val="left" w:pos="720"/>
        </w:tabs>
        <w:spacing w:line="300" w:lineRule="auto"/>
        <w:jc w:val="both"/>
      </w:pPr>
      <w:r>
        <w:rPr>
          <w:rFonts w:hint="cs"/>
        </w:rPr>
        <w:t>Installation of SCR or SNCR NO</w:t>
      </w:r>
      <w:r>
        <w:rPr>
          <w:rFonts w:hint="cs"/>
          <w:vertAlign w:val="subscript"/>
        </w:rPr>
        <w:t>X</w:t>
      </w:r>
      <w:r>
        <w:rPr>
          <w:rFonts w:hint="cs"/>
        </w:rPr>
        <w:t xml:space="preserve"> removal systems</w:t>
      </w:r>
    </w:p>
    <w:p w14:paraId="49A97C61" w14:textId="77777777" w:rsidR="006C4BD1" w:rsidRDefault="006C4BD1" w:rsidP="00DA3CE7">
      <w:pPr>
        <w:pStyle w:val="SPPBulletedList"/>
        <w:numPr>
          <w:ilvl w:val="0"/>
          <w:numId w:val="242"/>
        </w:numPr>
        <w:tabs>
          <w:tab w:val="left" w:pos="720"/>
        </w:tabs>
        <w:spacing w:line="300" w:lineRule="auto"/>
        <w:jc w:val="both"/>
      </w:pPr>
      <w:r>
        <w:rPr>
          <w:rFonts w:hint="cs"/>
        </w:rPr>
        <w:t>Conversion from open loop to closed loop circulation water systems</w:t>
      </w:r>
    </w:p>
    <w:p w14:paraId="06155FB9" w14:textId="77777777" w:rsidR="006C4BD1" w:rsidRDefault="006C4BD1" w:rsidP="00DA3CE7">
      <w:pPr>
        <w:pStyle w:val="SPPBulletedList"/>
        <w:numPr>
          <w:ilvl w:val="0"/>
          <w:numId w:val="242"/>
        </w:numPr>
        <w:tabs>
          <w:tab w:val="left" w:pos="720"/>
        </w:tabs>
        <w:spacing w:line="300" w:lineRule="auto"/>
        <w:jc w:val="both"/>
      </w:pPr>
      <w:r>
        <w:rPr>
          <w:rFonts w:hint="cs"/>
        </w:rPr>
        <w:t>Bag House addition</w:t>
      </w:r>
    </w:p>
    <w:p w14:paraId="7D05DE72" w14:textId="77777777" w:rsidR="006C4BD1" w:rsidRDefault="006C4BD1" w:rsidP="00DA3CE7">
      <w:pPr>
        <w:pStyle w:val="SPPBulletedList"/>
        <w:numPr>
          <w:ilvl w:val="0"/>
          <w:numId w:val="242"/>
        </w:numPr>
        <w:tabs>
          <w:tab w:val="left" w:pos="720"/>
        </w:tabs>
        <w:spacing w:line="300" w:lineRule="auto"/>
        <w:jc w:val="both"/>
      </w:pPr>
      <w:r>
        <w:rPr>
          <w:rFonts w:hint="cs"/>
        </w:rPr>
        <w:t>Water injection for NO</w:t>
      </w:r>
      <w:r>
        <w:rPr>
          <w:rFonts w:hint="cs"/>
          <w:vertAlign w:val="subscript"/>
        </w:rPr>
        <w:t>X</w:t>
      </w:r>
      <w:r>
        <w:rPr>
          <w:rFonts w:hint="cs"/>
        </w:rPr>
        <w:t xml:space="preserve"> control</w:t>
      </w:r>
    </w:p>
    <w:p w14:paraId="6533BBFD" w14:textId="77777777" w:rsidR="006C4BD1" w:rsidRDefault="006C4BD1" w:rsidP="00DA3CE7">
      <w:pPr>
        <w:pStyle w:val="SPPBulletedList"/>
        <w:numPr>
          <w:ilvl w:val="0"/>
          <w:numId w:val="242"/>
        </w:numPr>
        <w:tabs>
          <w:tab w:val="left" w:pos="720"/>
        </w:tabs>
        <w:spacing w:line="300" w:lineRule="auto"/>
        <w:jc w:val="both"/>
      </w:pPr>
      <w:r>
        <w:rPr>
          <w:rFonts w:hint="cs"/>
        </w:rPr>
        <w:t>Gas Turbine Inlet Air Cooling</w:t>
      </w:r>
    </w:p>
    <w:p w14:paraId="0CBFCD6D" w14:textId="77777777" w:rsidR="006C4BD1" w:rsidRDefault="006C4BD1" w:rsidP="00DA3CE7">
      <w:pPr>
        <w:pStyle w:val="SPPBulletedList"/>
        <w:numPr>
          <w:ilvl w:val="0"/>
          <w:numId w:val="242"/>
        </w:numPr>
        <w:tabs>
          <w:tab w:val="left" w:pos="720"/>
        </w:tabs>
        <w:spacing w:line="300" w:lineRule="auto"/>
        <w:jc w:val="both"/>
      </w:pPr>
      <w:r>
        <w:rPr>
          <w:rFonts w:hint="cs"/>
        </w:rPr>
        <w:t>Dry Sorbent Injection (DSI)</w:t>
      </w:r>
    </w:p>
    <w:p w14:paraId="35389362" w14:textId="1B35991A" w:rsidR="006C4BD1" w:rsidRDefault="006C4BD1" w:rsidP="006C4BD1">
      <w:pPr>
        <w:spacing w:line="300" w:lineRule="auto"/>
      </w:pPr>
      <w:r>
        <w:t xml:space="preserve">The specific system or unit configuration system change needs to be reviewed by the MMU pursuant to the Mitigated Offer </w:t>
      </w:r>
      <w:r w:rsidR="00692523">
        <w:t xml:space="preserve">Development </w:t>
      </w:r>
      <w:r>
        <w:t xml:space="preserve">Methodology Approval Process and receive final approval thereof prior to the use of a Configuration Addition VOM Cost.  </w:t>
      </w:r>
    </w:p>
    <w:p w14:paraId="567AE6B3" w14:textId="017490B0" w:rsidR="006C4BD1" w:rsidRDefault="000B79AE" w:rsidP="00E679DC">
      <w:pPr>
        <w:pStyle w:val="4Appx4"/>
        <w:numPr>
          <w:ilvl w:val="0"/>
          <w:numId w:val="0"/>
        </w:numPr>
      </w:pPr>
      <w:bookmarkStart w:id="11663" w:name="_Toc351019804"/>
      <w:bookmarkStart w:id="11664" w:name="_Toc363483349"/>
      <w:bookmarkStart w:id="11665" w:name="_Toc131493465"/>
      <w:bookmarkStart w:id="11666" w:name="_Toc213772306"/>
      <w:r>
        <w:t>D.3.6.2</w:t>
      </w:r>
      <w:r>
        <w:tab/>
      </w:r>
      <w:r w:rsidR="006C4BD1">
        <w:t xml:space="preserve"> Calculation of the Configuration Addition VOM </w:t>
      </w:r>
      <w:bookmarkEnd w:id="11663"/>
      <w:bookmarkEnd w:id="11664"/>
      <w:r w:rsidR="006C4BD1">
        <w:t>Cost</w:t>
      </w:r>
      <w:bookmarkEnd w:id="11665"/>
      <w:bookmarkEnd w:id="11666"/>
    </w:p>
    <w:p w14:paraId="43F14189" w14:textId="77777777" w:rsidR="006C4BD1" w:rsidRDefault="006C4BD1" w:rsidP="006C4BD1">
      <w:pPr>
        <w:pStyle w:val="Normal120"/>
      </w:pPr>
      <w:r>
        <w:t xml:space="preserve">The Configuration Addition VOM Cost (CAVC) is to be calculated in the same manner as the VOM cost described in this section with the exception that the CAVC dollars are only the incremental additional costs incurred because of the system or unit configuration change.  </w:t>
      </w:r>
    </w:p>
    <w:p w14:paraId="196BFCD0" w14:textId="56261AB0" w:rsidR="006C4BD1" w:rsidRDefault="006C4BD1" w:rsidP="006C4BD1">
      <w:pPr>
        <w:pStyle w:val="Normal120"/>
      </w:pPr>
      <w:r>
        <w:t xml:space="preserve">As with the current VOM cost calculation under Section </w:t>
      </w:r>
      <w:r w:rsidR="00021325">
        <w:t>D.</w:t>
      </w:r>
      <w:r>
        <w:t xml:space="preserve">2.6, the cost for year (Y) uses the actual costs beginning with year (Y-1).  Therefore, the first year of actual incremental additional expenses will be captured by the CAVC in the second year.  </w:t>
      </w:r>
    </w:p>
    <w:p w14:paraId="5ECE7B72" w14:textId="77777777" w:rsidR="006C4BD1" w:rsidRDefault="006C4BD1" w:rsidP="006C4BD1">
      <w:pPr>
        <w:pStyle w:val="Normal120"/>
      </w:pPr>
      <w:r>
        <w:t xml:space="preserve">Following the initial year of use of the CAVC, each additional year’s CAVC will be incorporated into the total until the end of the historical Maintenance Period selected for the unit.  </w:t>
      </w:r>
    </w:p>
    <w:p w14:paraId="3262B3FC" w14:textId="3E3E420C" w:rsidR="006C4BD1" w:rsidRDefault="000B79AE" w:rsidP="00E679DC">
      <w:pPr>
        <w:pStyle w:val="4Appx4"/>
        <w:numPr>
          <w:ilvl w:val="0"/>
          <w:numId w:val="0"/>
        </w:numPr>
      </w:pPr>
      <w:bookmarkStart w:id="11667" w:name="_Toc351019805"/>
      <w:bookmarkStart w:id="11668" w:name="_Toc363483350"/>
      <w:bookmarkStart w:id="11669" w:name="_Toc131493466"/>
      <w:bookmarkStart w:id="11670" w:name="_Toc213772307"/>
      <w:r>
        <w:t>D.3.6.3</w:t>
      </w:r>
      <w:r>
        <w:tab/>
      </w:r>
      <w:r w:rsidR="006C4BD1">
        <w:t xml:space="preserve"> Reductions in Total VOM Costs</w:t>
      </w:r>
      <w:bookmarkEnd w:id="11667"/>
      <w:bookmarkEnd w:id="11668"/>
      <w:bookmarkEnd w:id="11669"/>
      <w:bookmarkEnd w:id="11670"/>
    </w:p>
    <w:p w14:paraId="0F9F8FC9" w14:textId="77777777" w:rsidR="006C4BD1" w:rsidRDefault="006C4BD1" w:rsidP="006C4BD1">
      <w:pPr>
        <w:pStyle w:val="Normal120"/>
      </w:pPr>
      <w:r>
        <w:t xml:space="preserve">While it is expected that the CAVC will most often be used to cover step increases in VOM costs, it is also to be used to capture step decreases in VOM costs resulting from a significant system or unit configuration change that results in a significant reduction in VOM costs.  Any equipment that falls into disuse or is retired because of the configuration change must have its VOM expenses removed from the historical record used to develop the VOM cost.  An example of a significant system or unit configuration change that may result in a step decrease in qualified VOM costs includes, but is not limited to, a fuel change from coal to gas fuel.  </w:t>
      </w:r>
    </w:p>
    <w:p w14:paraId="601FD696" w14:textId="759813D7" w:rsidR="00834E69" w:rsidRPr="009824C2" w:rsidRDefault="00505C2E" w:rsidP="00E679DC">
      <w:pPr>
        <w:pStyle w:val="Heading471"/>
      </w:pPr>
      <w:bookmarkStart w:id="11671" w:name="_Toc213772308"/>
      <w:r w:rsidRPr="009824C2">
        <w:t>D.4</w:t>
      </w:r>
      <w:r w:rsidRPr="009824C2">
        <w:tab/>
      </w:r>
      <w:bookmarkStart w:id="11672" w:name="_Toc350920347"/>
      <w:bookmarkStart w:id="11673" w:name="_Toc350954215"/>
      <w:bookmarkStart w:id="11674" w:name="_Toc350961563"/>
      <w:bookmarkStart w:id="11675" w:name="_Toc351021473"/>
      <w:bookmarkStart w:id="11676" w:name="_Toc351021916"/>
      <w:bookmarkStart w:id="11677" w:name="_Toc350920348"/>
      <w:bookmarkStart w:id="11678" w:name="_Toc350954216"/>
      <w:bookmarkStart w:id="11679" w:name="_Toc350961564"/>
      <w:bookmarkStart w:id="11680" w:name="_Toc351021474"/>
      <w:bookmarkStart w:id="11681" w:name="_Toc351021917"/>
      <w:bookmarkStart w:id="11682" w:name="_Toc350920349"/>
      <w:bookmarkStart w:id="11683" w:name="_Toc350954217"/>
      <w:bookmarkStart w:id="11684" w:name="_Toc350961565"/>
      <w:bookmarkStart w:id="11685" w:name="_Toc351021475"/>
      <w:bookmarkStart w:id="11686" w:name="_Toc351021918"/>
      <w:bookmarkStart w:id="11687" w:name="_Toc350920350"/>
      <w:bookmarkStart w:id="11688" w:name="_Toc350954218"/>
      <w:bookmarkStart w:id="11689" w:name="_Toc350961566"/>
      <w:bookmarkStart w:id="11690" w:name="_Toc351021476"/>
      <w:bookmarkStart w:id="11691" w:name="_Toc351021919"/>
      <w:bookmarkStart w:id="11692" w:name="_Toc350920351"/>
      <w:bookmarkStart w:id="11693" w:name="_Toc350954219"/>
      <w:bookmarkStart w:id="11694" w:name="_Toc350961567"/>
      <w:bookmarkStart w:id="11695" w:name="_Toc351021477"/>
      <w:bookmarkStart w:id="11696" w:name="_Toc351021920"/>
      <w:bookmarkStart w:id="11697" w:name="_Toc350920352"/>
      <w:bookmarkStart w:id="11698" w:name="_Toc350954220"/>
      <w:bookmarkStart w:id="11699" w:name="_Toc350961568"/>
      <w:bookmarkStart w:id="11700" w:name="_Toc351021478"/>
      <w:bookmarkStart w:id="11701" w:name="_Toc351021921"/>
      <w:bookmarkStart w:id="11702" w:name="_Toc350920353"/>
      <w:bookmarkStart w:id="11703" w:name="_Toc350954221"/>
      <w:bookmarkStart w:id="11704" w:name="_Toc350961569"/>
      <w:bookmarkStart w:id="11705" w:name="_Toc351021479"/>
      <w:bookmarkStart w:id="11706" w:name="_Toc351021922"/>
      <w:bookmarkStart w:id="11707" w:name="_Toc350920354"/>
      <w:bookmarkStart w:id="11708" w:name="_Toc350954222"/>
      <w:bookmarkStart w:id="11709" w:name="_Toc350961570"/>
      <w:bookmarkStart w:id="11710" w:name="_Toc351021480"/>
      <w:bookmarkStart w:id="11711" w:name="_Toc351021923"/>
      <w:bookmarkStart w:id="11712" w:name="_Toc350920355"/>
      <w:bookmarkStart w:id="11713" w:name="_Toc350954223"/>
      <w:bookmarkStart w:id="11714" w:name="_Toc350961571"/>
      <w:bookmarkStart w:id="11715" w:name="_Toc351021481"/>
      <w:bookmarkStart w:id="11716" w:name="_Toc351021924"/>
      <w:bookmarkStart w:id="11717" w:name="_Toc350920356"/>
      <w:bookmarkStart w:id="11718" w:name="_Toc350954224"/>
      <w:bookmarkStart w:id="11719" w:name="_Toc350961572"/>
      <w:bookmarkStart w:id="11720" w:name="_Toc351021482"/>
      <w:bookmarkStart w:id="11721" w:name="_Toc351021925"/>
      <w:bookmarkStart w:id="11722" w:name="_Toc350920357"/>
      <w:bookmarkStart w:id="11723" w:name="_Toc350954225"/>
      <w:bookmarkStart w:id="11724" w:name="_Toc350961573"/>
      <w:bookmarkStart w:id="11725" w:name="_Toc351021483"/>
      <w:bookmarkStart w:id="11726" w:name="_Toc351021926"/>
      <w:bookmarkStart w:id="11727" w:name="_Toc350920373"/>
      <w:bookmarkStart w:id="11728" w:name="_Toc350954241"/>
      <w:bookmarkStart w:id="11729" w:name="_Toc350961589"/>
      <w:bookmarkStart w:id="11730" w:name="_Toc351021499"/>
      <w:bookmarkStart w:id="11731" w:name="_Toc351021942"/>
      <w:bookmarkStart w:id="11732" w:name="_Toc350920390"/>
      <w:bookmarkStart w:id="11733" w:name="_Toc350954258"/>
      <w:bookmarkStart w:id="11734" w:name="_Toc350961606"/>
      <w:bookmarkStart w:id="11735" w:name="_Toc351021516"/>
      <w:bookmarkStart w:id="11736" w:name="_Toc351021959"/>
      <w:bookmarkStart w:id="11737" w:name="_Toc350920391"/>
      <w:bookmarkStart w:id="11738" w:name="_Toc350954259"/>
      <w:bookmarkStart w:id="11739" w:name="_Toc350961607"/>
      <w:bookmarkStart w:id="11740" w:name="_Toc351021517"/>
      <w:bookmarkStart w:id="11741" w:name="_Toc351021960"/>
      <w:bookmarkStart w:id="11742" w:name="_Toc350961609"/>
      <w:bookmarkStart w:id="11743" w:name="_Toc351021519"/>
      <w:bookmarkStart w:id="11744" w:name="_Toc351021962"/>
      <w:bookmarkStart w:id="11745" w:name="_Combined_Cycle_(CC)"/>
      <w:bookmarkStart w:id="11746" w:name="_Toc338689412"/>
      <w:bookmarkStart w:id="11747" w:name="_Toc351019809"/>
      <w:bookmarkStart w:id="11748" w:name="_Toc363483354"/>
      <w:bookmarkStart w:id="11749" w:name="_Toc131493470"/>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r w:rsidR="00834E69" w:rsidRPr="009824C2">
        <w:t>Combined Cycle (CC) Guidelines</w:t>
      </w:r>
      <w:bookmarkEnd w:id="11671"/>
      <w:bookmarkEnd w:id="11746"/>
      <w:bookmarkEnd w:id="11747"/>
      <w:bookmarkEnd w:id="11748"/>
      <w:bookmarkEnd w:id="11749"/>
    </w:p>
    <w:p w14:paraId="407823F1" w14:textId="77777777" w:rsidR="00834E69" w:rsidRDefault="00834E69" w:rsidP="00834E69">
      <w:pPr>
        <w:pStyle w:val="Normal120"/>
      </w:pPr>
      <w:r>
        <w:t xml:space="preserve">This section contains information pertaining to Combined Cycle Cost development.  </w:t>
      </w:r>
    </w:p>
    <w:p w14:paraId="5C079A28" w14:textId="77777777" w:rsidR="00834E69" w:rsidRDefault="00834E69" w:rsidP="00834E69">
      <w:pPr>
        <w:pStyle w:val="Normal120"/>
      </w:pPr>
      <w:r>
        <w:rPr>
          <w:b/>
        </w:rPr>
        <w:t>Combined Cycle</w:t>
      </w:r>
      <w:r>
        <w:t xml:space="preserve"> - An electric generating technology in which electricity is generated by both a combustion turbine (CT) Resource (the Brayton Cycle) and a steam turbine Resource (the Rankine Cycle) hence the name combined cycle.  The CT exhaust heat flows to a conventional boiler or to a heat recovery steam Resource (HRSG) to produce steam for use by a steam turbine Resource in the production of electricity.  </w:t>
      </w:r>
    </w:p>
    <w:p w14:paraId="2AB1E6EB" w14:textId="2213829D" w:rsidR="00834E69" w:rsidRDefault="00834E69" w:rsidP="00834E69">
      <w:pPr>
        <w:pStyle w:val="Normal120"/>
      </w:pPr>
      <w:r>
        <w:rPr>
          <w:b/>
        </w:rPr>
        <w:t>Heat recovery steam Resource</w:t>
      </w:r>
      <w:r>
        <w:t xml:space="preserve"> (HRSG) – A CT exhaust feeds hot gas into a heat to steam exchanger installed on combined-cycle power plants designed to utilize the heat in the combustion turbine exhaust to produce steam to drive a conventional steam turbine Resource. The HRSG may or may not also include a supplemental source of heat </w:t>
      </w:r>
      <w:r w:rsidR="001135F9">
        <w:t>(</w:t>
      </w:r>
      <w:r>
        <w:t>e.g.</w:t>
      </w:r>
      <w:r w:rsidR="001135F9">
        <w:t>,</w:t>
      </w:r>
      <w:r>
        <w:t xml:space="preserve"> duct firing</w:t>
      </w:r>
      <w:r w:rsidR="001135F9">
        <w:t>)</w:t>
      </w:r>
      <w:r>
        <w:t xml:space="preserve">. </w:t>
      </w:r>
    </w:p>
    <w:p w14:paraId="05F49EEA" w14:textId="78D56A32" w:rsidR="00834E69" w:rsidRDefault="00505C2E" w:rsidP="00781C61">
      <w:pPr>
        <w:pStyle w:val="3Appx3"/>
        <w:numPr>
          <w:ilvl w:val="0"/>
          <w:numId w:val="0"/>
        </w:numPr>
      </w:pPr>
      <w:bookmarkStart w:id="11750" w:name="_Toc338689413"/>
      <w:bookmarkStart w:id="11751" w:name="_Toc351019810"/>
      <w:bookmarkStart w:id="11752" w:name="_Toc363483355"/>
      <w:bookmarkStart w:id="11753" w:name="_Toc131493471"/>
      <w:bookmarkStart w:id="11754" w:name="_Toc213772309"/>
      <w:r>
        <w:t>D.4.1</w:t>
      </w:r>
      <w:r>
        <w:tab/>
      </w:r>
      <w:r w:rsidR="00834E69">
        <w:t>Heat Rate</w:t>
      </w:r>
      <w:bookmarkEnd w:id="11750"/>
      <w:bookmarkEnd w:id="11751"/>
      <w:bookmarkEnd w:id="11752"/>
      <w:bookmarkEnd w:id="11753"/>
      <w:bookmarkEnd w:id="11754"/>
      <w:r w:rsidR="00834E69">
        <w:t xml:space="preserve"> </w:t>
      </w:r>
    </w:p>
    <w:p w14:paraId="14812CCF" w14:textId="51ABF3FF" w:rsidR="00834E69" w:rsidRDefault="00834E69" w:rsidP="00834E69">
      <w:pPr>
        <w:pStyle w:val="IntenseQuote"/>
        <w:jc w:val="both"/>
      </w:pPr>
      <w:r>
        <w:t>Note: The information in Section D</w:t>
      </w:r>
      <w:r w:rsidR="00E14F76">
        <w:t>.</w:t>
      </w:r>
      <w:r>
        <w:t xml:space="preserve">2 contains basic Heat Rate information relevant for all unit types including combined cycle units.  </w:t>
      </w:r>
    </w:p>
    <w:p w14:paraId="3AA0C4B6" w14:textId="1D9A61D2" w:rsidR="00834E69" w:rsidRDefault="00505C2E" w:rsidP="00781C61">
      <w:pPr>
        <w:pStyle w:val="3Appx3"/>
        <w:numPr>
          <w:ilvl w:val="0"/>
          <w:numId w:val="0"/>
        </w:numPr>
      </w:pPr>
      <w:bookmarkStart w:id="11755" w:name="_Toc338689414"/>
      <w:bookmarkStart w:id="11756" w:name="_Toc351019811"/>
      <w:bookmarkStart w:id="11757" w:name="_Toc363483356"/>
      <w:bookmarkStart w:id="11758" w:name="_Toc131493472"/>
      <w:bookmarkStart w:id="11759" w:name="_Toc213772310"/>
      <w:r>
        <w:t>D.4.2</w:t>
      </w:r>
      <w:r>
        <w:tab/>
      </w:r>
      <w:r w:rsidR="00834E69">
        <w:t>Performance Factors</w:t>
      </w:r>
      <w:bookmarkEnd w:id="11755"/>
      <w:bookmarkEnd w:id="11756"/>
      <w:bookmarkEnd w:id="11757"/>
      <w:bookmarkEnd w:id="11758"/>
      <w:bookmarkEnd w:id="11759"/>
      <w:r w:rsidR="00834E69">
        <w:t xml:space="preserve"> </w:t>
      </w:r>
    </w:p>
    <w:p w14:paraId="44A746D8" w14:textId="091CBB67" w:rsidR="00834E69" w:rsidRDefault="00834E69" w:rsidP="00834E69">
      <w:pPr>
        <w:pStyle w:val="IntenseQuote"/>
        <w:jc w:val="both"/>
      </w:pPr>
      <w:r>
        <w:t>Note: The information in Section D</w:t>
      </w:r>
      <w:r w:rsidR="00E14F76">
        <w:t>.</w:t>
      </w:r>
      <w:r>
        <w:t xml:space="preserve">2.4 contains basic Performance Factor information relevant for all unit types including combined cycle units.  </w:t>
      </w:r>
    </w:p>
    <w:p w14:paraId="6055A64E" w14:textId="0623E1F4" w:rsidR="00834E69" w:rsidRDefault="00505C2E" w:rsidP="00781C61">
      <w:pPr>
        <w:pStyle w:val="3Appx3"/>
        <w:numPr>
          <w:ilvl w:val="0"/>
          <w:numId w:val="0"/>
        </w:numPr>
      </w:pPr>
      <w:bookmarkStart w:id="11760" w:name="_Toc338689415"/>
      <w:bookmarkStart w:id="11761" w:name="_Toc351019812"/>
      <w:bookmarkStart w:id="11762" w:name="_Toc363483357"/>
      <w:bookmarkStart w:id="11763" w:name="_Toc131493473"/>
      <w:bookmarkStart w:id="11764" w:name="_Toc213772311"/>
      <w:r>
        <w:t>D.4.3</w:t>
      </w:r>
      <w:r>
        <w:tab/>
      </w:r>
      <w:r w:rsidR="00834E69">
        <w:t>Fuel Cost</w:t>
      </w:r>
      <w:bookmarkEnd w:id="11760"/>
      <w:bookmarkEnd w:id="11761"/>
      <w:bookmarkEnd w:id="11762"/>
      <w:bookmarkEnd w:id="11763"/>
      <w:bookmarkEnd w:id="11764"/>
      <w:r w:rsidR="00834E69">
        <w:t xml:space="preserve"> </w:t>
      </w:r>
    </w:p>
    <w:p w14:paraId="50D9F65F" w14:textId="42CA5F9D" w:rsidR="00834E69" w:rsidRDefault="00834E69" w:rsidP="00834E69">
      <w:pPr>
        <w:pStyle w:val="IntenseQuote"/>
        <w:jc w:val="both"/>
      </w:pPr>
      <w:r>
        <w:t>Note: The information in Section D</w:t>
      </w:r>
      <w:r w:rsidR="00967259">
        <w:t>.</w:t>
      </w:r>
      <w:r>
        <w:t xml:space="preserve">2.5 contains basic Fuel Cost information relevant for all unit types including combined cycle units.  </w:t>
      </w:r>
    </w:p>
    <w:p w14:paraId="54CD73E6" w14:textId="76D9520F" w:rsidR="00834E69" w:rsidRDefault="00505C2E" w:rsidP="00781C61">
      <w:pPr>
        <w:pStyle w:val="3Appx3"/>
        <w:numPr>
          <w:ilvl w:val="0"/>
          <w:numId w:val="0"/>
        </w:numPr>
      </w:pPr>
      <w:bookmarkStart w:id="11765" w:name="_Toc338689416"/>
      <w:bookmarkStart w:id="11766" w:name="_Toc351019813"/>
      <w:bookmarkStart w:id="11767" w:name="_Toc363483358"/>
      <w:bookmarkStart w:id="11768" w:name="_Toc131493474"/>
      <w:bookmarkStart w:id="11769" w:name="_Toc213772312"/>
      <w:r>
        <w:t>D.4.4</w:t>
      </w:r>
      <w:r>
        <w:tab/>
      </w:r>
      <w:r w:rsidR="00834E69">
        <w:t>Mitigated Start</w:t>
      </w:r>
      <w:bookmarkEnd w:id="11765"/>
      <w:r w:rsidR="00834E69">
        <w:t>-Up Offer</w:t>
      </w:r>
      <w:bookmarkEnd w:id="11766"/>
      <w:bookmarkEnd w:id="11767"/>
      <w:bookmarkEnd w:id="11768"/>
      <w:bookmarkEnd w:id="11769"/>
    </w:p>
    <w:p w14:paraId="68E43324" w14:textId="3E0E5F5B" w:rsidR="00834E69" w:rsidRDefault="00834E69" w:rsidP="00834E69">
      <w:pPr>
        <w:pStyle w:val="IntenseQuote"/>
        <w:jc w:val="both"/>
      </w:pPr>
      <w:r>
        <w:t>Note: The information in Section D</w:t>
      </w:r>
      <w:r w:rsidR="00967259">
        <w:t>.</w:t>
      </w:r>
      <w:r>
        <w:t xml:space="preserve">2.8 contains basic Mitigated Start-Up Offer information relevant for all unit types.  The following additional information only pertains to combined cycle units.  </w:t>
      </w:r>
    </w:p>
    <w:p w14:paraId="158ADE32" w14:textId="0DA41A8E" w:rsidR="00834E69" w:rsidRDefault="00834E69" w:rsidP="00834E69">
      <w:pPr>
        <w:pStyle w:val="Normal120"/>
      </w:pPr>
      <w:r>
        <w:t>Start costs for Combined Cycle (CC) plants include only the following components and will never be less than zero</w:t>
      </w:r>
      <w:r w:rsidR="00967259">
        <w:t xml:space="preserve"> (0)</w:t>
      </w:r>
      <w:r>
        <w:t>:</w:t>
      </w:r>
    </w:p>
    <w:p w14:paraId="0B7AF025" w14:textId="77777777" w:rsidR="00834E69" w:rsidRDefault="0002195B" w:rsidP="00834E69">
      <m:oMathPara>
        <m:oMathParaPr>
          <m:jc m:val="left"/>
        </m:oMathParaPr>
        <m:oMath>
          <m:r>
            <w:rPr>
              <w:rFonts w:ascii="Cambria Math" w:hAnsi="Cambria Math"/>
            </w:rPr>
            <m:t>Start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m:t>
          </m:r>
        </m:oMath>
      </m:oMathPara>
    </w:p>
    <w:p w14:paraId="065B75F7" w14:textId="77777777" w:rsidR="00834E69" w:rsidRDefault="00977324" w:rsidP="00834E69">
      <w:pPr>
        <w:ind w:left="-450" w:firstLine="450"/>
      </w:pPr>
      <m:oMathPara>
        <m:oMath>
          <m:d>
            <m:dPr>
              <m:ctrlPr>
                <w:rPr>
                  <w:rFonts w:ascii="Cambria Math" w:hAnsi="Cambria Math"/>
                  <w:i/>
                </w:rPr>
              </m:ctrlPr>
            </m:dPr>
            <m:e>
              <m:r>
                <w:rPr>
                  <w:rFonts w:ascii="Cambria Math" w:hAnsi="Cambria Math"/>
                </w:rPr>
                <m:t>Start</m:t>
              </m:r>
              <m:r>
                <w:rPr>
                  <w:rFonts w:ascii="Cambria Math" w:hAnsi="Cambria Math"/>
                </w:rPr>
                <m:t xml:space="preserve"> </m:t>
              </m:r>
              <m:r>
                <w:rPr>
                  <w:rFonts w:ascii="Cambria Math" w:hAnsi="Cambria Math"/>
                </w:rPr>
                <m:t>Fuel</m:t>
              </m:r>
              <m:r>
                <w:rPr>
                  <w:rFonts w:ascii="Cambria Math" w:hAnsi="Cambria Math"/>
                </w:rPr>
                <m:t xml:space="preserve"> </m:t>
              </m:r>
              <m:r>
                <w:rPr>
                  <w:rFonts w:ascii="Cambria Math" w:hAnsi="Cambria Math"/>
                </w:rPr>
                <m:t>Consumed</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Start</m:t>
                      </m:r>
                    </m:den>
                  </m:f>
                </m:e>
              </m:d>
              <m:r>
                <w:rPr>
                  <w:rFonts w:ascii="Cambria Math" w:hAnsi="Cambria Math"/>
                </w:rPr>
                <m:t>*</m:t>
              </m:r>
              <m:r>
                <w:rPr>
                  <w:rFonts w:ascii="Cambria Math" w:hAnsi="Cambria Math"/>
                </w:rPr>
                <m:t>TFRC</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e>
          </m:d>
          <m:r>
            <w:rPr>
              <w:rFonts w:ascii="Cambria Math" w:hAnsi="Cambria Math"/>
            </w:rPr>
            <m:t>+</m:t>
          </m:r>
          <m:d>
            <m:dPr>
              <m:ctrlPr>
                <w:rPr>
                  <w:rFonts w:ascii="Cambria Math" w:hAnsi="Cambria Math"/>
                  <w:i/>
                </w:rPr>
              </m:ctrlPr>
            </m:dPr>
            <m:e>
              <m:r>
                <w:rPr>
                  <w:rFonts w:ascii="Cambria Math" w:hAnsi="Cambria Math"/>
                </w:rPr>
                <m:t>Station</m:t>
              </m:r>
              <m:r>
                <w:rPr>
                  <w:rFonts w:ascii="Cambria Math" w:hAnsi="Cambria Math"/>
                </w:rPr>
                <m:t xml:space="preserve"> </m:t>
              </m:r>
              <m:r>
                <w:rPr>
                  <w:rFonts w:ascii="Cambria Math" w:hAnsi="Cambria Math"/>
                </w:rPr>
                <m:t>Service</m:t>
              </m:r>
              <m:d>
                <m:dPr>
                  <m:ctrlPr>
                    <w:rPr>
                      <w:rFonts w:ascii="Cambria Math" w:hAnsi="Cambria Math"/>
                      <w:i/>
                    </w:rPr>
                  </m:ctrlPr>
                </m:dPr>
                <m:e>
                  <m:r>
                    <w:rPr>
                      <w:rFonts w:ascii="Cambria Math" w:hAnsi="Cambria Math"/>
                    </w:rPr>
                    <m:t>MW</m:t>
                  </m:r>
                  <m:r>
                    <w:rPr>
                      <w:rFonts w:ascii="Cambria Math" w:hAnsi="Cambria Math"/>
                    </w:rPr>
                    <m:t>h</m:t>
                  </m:r>
                </m:e>
              </m:d>
              <m:r>
                <w:rPr>
                  <w:rFonts w:ascii="Cambria Math" w:hAnsi="Cambria Math"/>
                </w:rPr>
                <m:t>*</m:t>
              </m:r>
              <m:r>
                <w:rPr>
                  <w:rFonts w:ascii="Cambria Math" w:hAnsi="Cambria Math"/>
                </w:rPr>
                <m:t>Station</m:t>
              </m:r>
              <m:r>
                <w:rPr>
                  <w:rFonts w:ascii="Cambria Math" w:hAnsi="Cambria Math"/>
                </w:rPr>
                <m:t xml:space="preserve"> </m:t>
              </m:r>
              <m:r>
                <w:rPr>
                  <w:rFonts w:ascii="Cambria Math" w:hAnsi="Cambria Math"/>
                </w:rPr>
                <m:t>Service</m:t>
              </m:r>
              <m:r>
                <w:rPr>
                  <w:rFonts w:ascii="Cambria Math" w:hAnsi="Cambria Math"/>
                </w:rPr>
                <m:t xml:space="preserve"> </m:t>
              </m:r>
              <m:r>
                <w:rPr>
                  <w:rFonts w:ascii="Cambria Math" w:hAnsi="Cambria Math"/>
                </w:rPr>
                <m:t>Rate</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m:t>
                      </m:r>
                      <m:r>
                        <w:rPr>
                          <w:rFonts w:ascii="Cambria Math" w:hAnsi="Cambria Math"/>
                        </w:rPr>
                        <m:t>h</m:t>
                      </m:r>
                    </m:den>
                  </m:f>
                </m:e>
              </m:d>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r>
            <w:rPr>
              <w:rFonts w:ascii="Cambria Math" w:hAnsi="Cambria Math"/>
            </w:rPr>
            <m:t>+</m:t>
          </m:r>
          <m:r>
            <w:rPr>
              <w:rFonts w:ascii="Cambria Math" w:hAnsi="Cambria Math"/>
            </w:rPr>
            <m:t>Start</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Cost</m:t>
          </m:r>
          <m:r>
            <w:rPr>
              <w:rFonts w:ascii="Cambria Math" w:hAnsi="Cambria Math"/>
            </w:rPr>
            <m:t xml:space="preserve"> ($/</m:t>
          </m:r>
          <m:r>
            <w:rPr>
              <w:rFonts w:ascii="Cambria Math" w:hAnsi="Cambria Math"/>
            </w:rPr>
            <m:t>Start</m:t>
          </m:r>
          <m:r>
            <w:rPr>
              <w:rFonts w:ascii="Cambria Math" w:hAnsi="Cambria Math"/>
            </w:rPr>
            <m:t>) +</m:t>
          </m:r>
          <m:r>
            <w:rPr>
              <w:rFonts w:ascii="Cambria Math" w:hAnsi="Cambria Math"/>
            </w:rPr>
            <m:t>Incremental</m:t>
          </m:r>
          <m:r>
            <w:rPr>
              <w:rFonts w:ascii="Cambria Math" w:hAnsi="Cambria Math"/>
            </w:rPr>
            <m:t xml:space="preserve"> </m:t>
          </m:r>
          <m:r>
            <w:rPr>
              <w:rFonts w:ascii="Cambria Math" w:hAnsi="Cambria Math"/>
            </w:rPr>
            <m:t>Labor</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Start</m:t>
                  </m:r>
                </m:den>
              </m:f>
            </m:e>
          </m:d>
        </m:oMath>
      </m:oMathPara>
    </w:p>
    <w:p w14:paraId="7DC932E2" w14:textId="77777777" w:rsidR="00834E69" w:rsidRDefault="00834E69" w:rsidP="00834E69">
      <w:pPr>
        <w:ind w:left="-450" w:firstLine="450"/>
      </w:pPr>
    </w:p>
    <w:p w14:paraId="2AB2041C" w14:textId="43B8A38E" w:rsidR="00834E69" w:rsidRDefault="00834E69" w:rsidP="00834E69">
      <w:pPr>
        <w:pStyle w:val="Normal120"/>
      </w:pPr>
      <w:r>
        <w:t>Start cost can be calculated and offered for Hot, Intermediate</w:t>
      </w:r>
      <w:r w:rsidR="00967259">
        <w:t>,</w:t>
      </w:r>
      <w:r>
        <w:t xml:space="preserve"> and Cold Start conditions.</w:t>
      </w:r>
    </w:p>
    <w:p w14:paraId="0A547154" w14:textId="77777777" w:rsidR="00834E69" w:rsidRDefault="00834E69" w:rsidP="00834E69">
      <w:pPr>
        <w:pStyle w:val="Normal120"/>
      </w:pPr>
      <w:r>
        <w:rPr>
          <w:b/>
        </w:rPr>
        <w:t xml:space="preserve">Start Fuel Consumed </w:t>
      </w:r>
      <w:r>
        <w:t xml:space="preserve">is the amount of fuel consumed from first CT fire to breaker closing for the steam turbine Resource, as measured during a normal start sequence, and the amount of fuel consumed from breaker opening for the steam turbine Resource to fuel valve closure.  Additionally, for Combined Cycle Resources not registered under MCR option, this includes the amount of fuel consumed from CT first fire to the point where heat recovery steam Resource (HRSG) steam pressure matches steam turbine inlet pressure, for any CT unit/HRSG combinations started after synchronization of the steam turbine Resource.  </w:t>
      </w:r>
    </w:p>
    <w:p w14:paraId="648C5E1C" w14:textId="77777777" w:rsidR="00834E69" w:rsidRDefault="00834E69" w:rsidP="00834E69">
      <w:pPr>
        <w:pStyle w:val="Normal120"/>
      </w:pPr>
      <w:r>
        <w:rPr>
          <w:b/>
        </w:rPr>
        <w:t>Station service</w:t>
      </w:r>
      <w:r>
        <w:t xml:space="preserve"> is included from initiation of start sequence of initial combustion turbine to breaker closing of the steam turbine Resource (total station use minus normal base station use) priced at the Station Service Rate.  </w:t>
      </w:r>
    </w:p>
    <w:p w14:paraId="780333A8" w14:textId="77777777" w:rsidR="00834E69" w:rsidRDefault="00834E69" w:rsidP="00834E69">
      <w:pPr>
        <w:pStyle w:val="Normal120"/>
      </w:pPr>
      <w:r>
        <w:t>Add to this (+) station service after breaker opening of the last component when finished operating as a combined cycle unit, priced at the Station Service rate.  (Station service during shutdown should be that associated with the normal unit auxiliary equipment operated during shutdown in excess of base unit use.  This station service is not to include VOM cost or non-normal uses.)</w:t>
      </w:r>
    </w:p>
    <w:p w14:paraId="2DE1ABEB" w14:textId="77777777" w:rsidR="00834E69" w:rsidRDefault="00834E69" w:rsidP="00834E69">
      <w:pPr>
        <w:pStyle w:val="Normal120"/>
      </w:pPr>
      <w:r>
        <w:t xml:space="preserve">Minus (-) the integration of net generation from CT synchronization to steam turbine Resource synchronization or to HRSG steam output at line pressure, priced at the actual cost of the unit.  </w:t>
      </w:r>
    </w:p>
    <w:p w14:paraId="458D21D3" w14:textId="77777777" w:rsidR="00834E69" w:rsidRDefault="00834E69" w:rsidP="00834E69">
      <w:pPr>
        <w:pStyle w:val="Normal120"/>
      </w:pPr>
      <w:r>
        <w:t xml:space="preserve">Minus (-) the integration of net generation during the shutdown period, priced at the actual cost of the unit.  </w:t>
      </w:r>
    </w:p>
    <w:p w14:paraId="5257721E" w14:textId="77777777" w:rsidR="00834E69" w:rsidRDefault="00834E69" w:rsidP="00834E69">
      <w:pPr>
        <w:pStyle w:val="Normal120"/>
      </w:pPr>
      <w:r>
        <w:rPr>
          <w:b/>
        </w:rPr>
        <w:t>Incremental labor costs</w:t>
      </w:r>
      <w:r>
        <w:t xml:space="preserve"> in excess of normal station manning requirements (only when necessary to start the CC unit).  </w:t>
      </w:r>
    </w:p>
    <w:p w14:paraId="7FC1DA43" w14:textId="77777777" w:rsidR="00834E69" w:rsidRDefault="00834E69" w:rsidP="00834E69">
      <w:pPr>
        <w:pStyle w:val="Normal120"/>
      </w:pPr>
      <w:r>
        <w:rPr>
          <w:b/>
        </w:rPr>
        <w:t>Start VOM Cost</w:t>
      </w:r>
      <w:r>
        <w:t xml:space="preserve"> - this quantity includes Start VOM cost for CT Starting from CT breaker closing to steam turbine Resource breaker closing and from steam turbine Resource breaker opening at the start of unit shutdown to CT breaker opening.  </w:t>
      </w:r>
    </w:p>
    <w:p w14:paraId="4ADF35B9" w14:textId="3598B482" w:rsidR="00834E69" w:rsidRDefault="00505C2E" w:rsidP="00781C61">
      <w:pPr>
        <w:pStyle w:val="3Appx3"/>
        <w:numPr>
          <w:ilvl w:val="0"/>
          <w:numId w:val="0"/>
        </w:numPr>
      </w:pPr>
      <w:bookmarkStart w:id="11770" w:name="_Toc131493475"/>
      <w:bookmarkStart w:id="11771" w:name="_Toc213772313"/>
      <w:r>
        <w:t>D.4.5</w:t>
      </w:r>
      <w:r>
        <w:tab/>
      </w:r>
      <w:r w:rsidR="00834E69">
        <w:t>Mitigated Transition State Offer</w:t>
      </w:r>
      <w:bookmarkEnd w:id="11770"/>
      <w:bookmarkEnd w:id="11771"/>
    </w:p>
    <w:p w14:paraId="701CDDEF" w14:textId="77777777" w:rsidR="00834E69" w:rsidRDefault="0002195B" w:rsidP="00834E69">
      <w:pPr>
        <w:ind w:left="360"/>
      </w:pPr>
      <m:oMathPara>
        <m:oMathParaPr>
          <m:jc m:val="left"/>
        </m:oMathParaPr>
        <m:oMath>
          <m:r>
            <w:rPr>
              <w:rFonts w:ascii="Cambria Math" w:hAnsi="Cambria Math"/>
            </w:rPr>
            <m:t>Mitigated Transition State Offer</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Transition</m:t>
                  </m:r>
                </m:den>
              </m:f>
            </m:e>
          </m:d>
          <m:r>
            <w:rPr>
              <w:rFonts w:ascii="Cambria Math" w:hAnsi="Cambria Math"/>
            </w:rPr>
            <m:t>=</m:t>
          </m:r>
        </m:oMath>
      </m:oMathPara>
    </w:p>
    <w:p w14:paraId="1E7B10F6" w14:textId="77777777" w:rsidR="00834E69" w:rsidRDefault="00977324" w:rsidP="00834E69">
      <w:pPr>
        <w:pStyle w:val="ListParagraph"/>
      </w:pPr>
      <m:oMathPara>
        <m:oMath>
          <m:d>
            <m:dPr>
              <m:ctrlPr>
                <w:rPr>
                  <w:rFonts w:ascii="Cambria Math" w:hAnsi="Cambria Math"/>
                  <w:i/>
                </w:rPr>
              </m:ctrlPr>
            </m:dPr>
            <m:e>
              <m:r>
                <w:rPr>
                  <w:rFonts w:ascii="Cambria Math" w:hAnsi="Cambria Math"/>
                </w:rPr>
                <m:t>Transition</m:t>
              </m:r>
              <m:r>
                <w:rPr>
                  <w:rFonts w:ascii="Cambria Math" w:hAnsi="Cambria Math"/>
                </w:rPr>
                <m:t xml:space="preserve"> </m:t>
              </m:r>
              <m:r>
                <w:rPr>
                  <w:rFonts w:ascii="Cambria Math" w:hAnsi="Cambria Math"/>
                </w:rPr>
                <m:t>Fuel</m:t>
              </m:r>
              <m:r>
                <w:rPr>
                  <w:rFonts w:ascii="Cambria Math" w:hAnsi="Cambria Math"/>
                </w:rPr>
                <m:t xml:space="preserve"> </m:t>
              </m:r>
              <m:r>
                <w:rPr>
                  <w:rFonts w:ascii="Cambria Math" w:hAnsi="Cambria Math"/>
                </w:rPr>
                <m:t>Consumed</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Transition</m:t>
                      </m:r>
                    </m:den>
                  </m:f>
                </m:e>
              </m:d>
              <m:r>
                <w:rPr>
                  <w:rFonts w:ascii="Cambria Math" w:hAnsi="Cambria Math"/>
                </w:rPr>
                <m:t>*</m:t>
              </m:r>
              <m:r>
                <w:rPr>
                  <w:rFonts w:ascii="Cambria Math" w:hAnsi="Cambria Math"/>
                </w:rPr>
                <m:t>TFRC</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MMBtu</m:t>
                      </m:r>
                    </m:den>
                  </m:f>
                </m:e>
              </m:d>
              <m:r>
                <w:rPr>
                  <w:rFonts w:ascii="Cambria Math" w:hAnsi="Cambria Math"/>
                </w:rPr>
                <m:t>*</m:t>
              </m:r>
              <m:r>
                <w:rPr>
                  <w:rFonts w:ascii="Cambria Math" w:hAnsi="Cambria Math"/>
                </w:rPr>
                <m:t>Performance</m:t>
              </m:r>
              <m:r>
                <w:rPr>
                  <w:rFonts w:ascii="Cambria Math" w:hAnsi="Cambria Math"/>
                </w:rPr>
                <m:t xml:space="preserve"> </m:t>
              </m:r>
              <m:r>
                <w:rPr>
                  <w:rFonts w:ascii="Cambria Math" w:hAnsi="Cambria Math"/>
                </w:rPr>
                <m:t>Factor</m:t>
              </m:r>
            </m:e>
          </m:d>
          <m:r>
            <w:rPr>
              <w:rFonts w:ascii="Cambria Math" w:hAnsi="Cambria Math"/>
            </w:rPr>
            <m:t>+</m:t>
          </m:r>
          <m:r>
            <w:rPr>
              <w:rFonts w:ascii="Cambria Math" w:hAnsi="Cambria Math"/>
            </w:rPr>
            <m:t>Transition</m:t>
          </m:r>
          <m:r>
            <w:rPr>
              <w:rFonts w:ascii="Cambria Math" w:hAnsi="Cambria Math"/>
            </w:rPr>
            <m:t xml:space="preserve"> </m:t>
          </m:r>
          <m:r>
            <w:rPr>
              <w:rFonts w:ascii="Cambria Math" w:hAnsi="Cambria Math"/>
            </w:rPr>
            <m:t>VOM</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Transition</m:t>
                  </m:r>
                </m:den>
              </m:f>
            </m:e>
          </m:d>
          <m:r>
            <w:rPr>
              <w:rFonts w:ascii="Cambria Math" w:hAnsi="Cambria Math"/>
            </w:rPr>
            <m:t>+</m:t>
          </m:r>
          <m:r>
            <w:rPr>
              <w:rFonts w:ascii="Cambria Math" w:hAnsi="Cambria Math"/>
            </w:rPr>
            <m:t>Incremental</m:t>
          </m:r>
          <m:r>
            <w:rPr>
              <w:rFonts w:ascii="Cambria Math" w:hAnsi="Cambria Math"/>
            </w:rPr>
            <m:t xml:space="preserve"> </m:t>
          </m:r>
          <m:r>
            <w:rPr>
              <w:rFonts w:ascii="Cambria Math" w:hAnsi="Cambria Math"/>
            </w:rPr>
            <m:t>Labor</m:t>
          </m:r>
          <m:r>
            <w:rPr>
              <w:rFonts w:ascii="Cambria Math" w:hAnsi="Cambria Math"/>
            </w:rPr>
            <m:t xml:space="preserve"> </m:t>
          </m:r>
          <m:r>
            <w:rPr>
              <w:rFonts w:ascii="Cambria Math" w:hAnsi="Cambria Math"/>
            </w:rPr>
            <m:t>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Transition</m:t>
                  </m:r>
                </m:den>
              </m:f>
            </m:e>
          </m:d>
          <m:r>
            <w:rPr>
              <w:rFonts w:ascii="Cambria Math" w:hAnsi="Cambria Math"/>
            </w:rPr>
            <m:t>+</m:t>
          </m:r>
          <m:r>
            <w:rPr>
              <w:rFonts w:ascii="Cambria Math" w:hAnsi="Cambria Math"/>
            </w:rPr>
            <m:t>Transition</m:t>
          </m:r>
          <m:r>
            <w:rPr>
              <w:rFonts w:ascii="Cambria Math" w:hAnsi="Cambria Math"/>
            </w:rPr>
            <m:t xml:space="preserve"> </m:t>
          </m:r>
          <m:r>
            <w:rPr>
              <w:rFonts w:ascii="Cambria Math" w:hAnsi="Cambria Math"/>
            </w:rPr>
            <m:t>Major</m:t>
          </m:r>
          <m:r>
            <w:rPr>
              <w:rFonts w:ascii="Cambria Math" w:hAnsi="Cambria Math"/>
            </w:rPr>
            <m:t xml:space="preserve"> </m:t>
          </m:r>
          <m:r>
            <w:rPr>
              <w:rFonts w:ascii="Cambria Math" w:hAnsi="Cambria Math"/>
            </w:rPr>
            <m:t>Maintenance</m:t>
          </m:r>
          <m:r>
            <w:rPr>
              <w:rFonts w:ascii="Cambria Math" w:hAnsi="Cambria Math"/>
            </w:rPr>
            <m:t xml:space="preserve"> ($/</m:t>
          </m:r>
          <m:r>
            <w:rPr>
              <w:rFonts w:ascii="Cambria Math" w:hAnsi="Cambria Math"/>
            </w:rPr>
            <m:t>Transition</m:t>
          </m:r>
          <m:r>
            <w:rPr>
              <w:rFonts w:ascii="Cambria Math" w:hAnsi="Cambria Math"/>
            </w:rPr>
            <m:t>)</m:t>
          </m:r>
        </m:oMath>
      </m:oMathPara>
    </w:p>
    <w:p w14:paraId="72468003" w14:textId="4E244832" w:rsidR="00834E69" w:rsidRDefault="00834E69" w:rsidP="00834E69">
      <w:pPr>
        <w:pStyle w:val="Normal120"/>
      </w:pPr>
      <w:r>
        <w:rPr>
          <w:b/>
        </w:rPr>
        <w:t>Transition Fuel Consumed</w:t>
      </w:r>
      <w:r>
        <w:t xml:space="preserve"> is the amount of additional fuel consumed moving from the current configuration to another configuration (i.e.</w:t>
      </w:r>
      <w:r w:rsidR="00623F4D">
        <w:t>,</w:t>
      </w:r>
      <w:r>
        <w:t xml:space="preserve"> moving from a 1 X 1 to a 2 X 1)   </w:t>
      </w:r>
    </w:p>
    <w:p w14:paraId="15A9DA58" w14:textId="77777777" w:rsidR="00834E69" w:rsidRDefault="00834E69" w:rsidP="00834E69">
      <w:pPr>
        <w:pStyle w:val="Normal120"/>
      </w:pPr>
      <w:r>
        <w:rPr>
          <w:b/>
        </w:rPr>
        <w:t>Incremental transition labor costs</w:t>
      </w:r>
      <w:r>
        <w:t xml:space="preserve"> in excess of normal station manning requirements (only when necessary to transition the CC to a different configuration)</w:t>
      </w:r>
    </w:p>
    <w:p w14:paraId="302A2122" w14:textId="66F1D809" w:rsidR="00834E69" w:rsidRDefault="00834E69" w:rsidP="00834E69">
      <w:pPr>
        <w:pStyle w:val="ParaText"/>
      </w:pPr>
      <w:r>
        <w:rPr>
          <w:b/>
        </w:rPr>
        <w:t>Transition VOM Cost</w:t>
      </w:r>
      <w:r>
        <w:t xml:space="preserve"> - this quantity includes Transition VOM $ incurred moving from the current configuration to another configuration (i.e.</w:t>
      </w:r>
      <w:r w:rsidR="00623F4D">
        <w:t>,</w:t>
      </w:r>
      <w:r>
        <w:t xml:space="preserve"> moving from a 1 X 1 to a 2 X 1)</w:t>
      </w:r>
    </w:p>
    <w:p w14:paraId="5B45F3E9" w14:textId="3D23088E" w:rsidR="00834E69" w:rsidRDefault="00834E69" w:rsidP="00834E69">
      <w:pPr>
        <w:pStyle w:val="ParaText"/>
      </w:pPr>
      <w:r>
        <w:rPr>
          <w:b/>
        </w:rPr>
        <w:t>Transition Major Maintenance Cost</w:t>
      </w:r>
      <w:r>
        <w:t xml:space="preserve"> – Transition Major Maintenance Cost may be included as a component of the Mitigated Transition State Offer.  This quantity includes the expected Major Maintenance Costs incurred in moving from the current configuration to another configuration (i.e.</w:t>
      </w:r>
      <w:r w:rsidR="00623F4D">
        <w:t>,</w:t>
      </w:r>
      <w:r>
        <w:t xml:space="preserve"> moving from a 1 X 1 to a 2 X 1).  Such costs must be based solely on resource-specific information derived from actual variable maintenance costs, when available, or estimated variable maintenance costs.  </w:t>
      </w:r>
    </w:p>
    <w:p w14:paraId="25AB1454" w14:textId="77777777" w:rsidR="00834E69" w:rsidRDefault="00834E69" w:rsidP="00834E69">
      <w:pPr>
        <w:pStyle w:val="ParaText"/>
      </w:pPr>
      <w:r>
        <w:t xml:space="preserve">The costs will be provided by the Market Participant to the Market Monitor.  The Market Monitor will evaluate the information provided by the Market Participant and may require the Market Participant to provide additional information to enable the Market Monitor to determine reasonable costs for major maintenance expenses or to conduct audits of major maintenance expenses.  The maintenance period for this cost must be tied to starts or stops of equipment required to transition. </w:t>
      </w:r>
    </w:p>
    <w:p w14:paraId="2F379676" w14:textId="4E527FBF" w:rsidR="00834E69" w:rsidRDefault="00834E69" w:rsidP="00834E69">
      <w:pPr>
        <w:pStyle w:val="ParaText"/>
      </w:pPr>
      <w:r>
        <w:t xml:space="preserve">Only major maintenance costs agreed to in advance by the Market Monitor and the Market Participant will be allowed to be included as part of the participant’s Mitigated Transition State Offer.  The Market Participant may submit updated resource-specific major maintenance information for purposes of seeking a change to any major maintenance cost, no sooner than thirty (30) </w:t>
      </w:r>
      <w:r w:rsidR="009E33D4">
        <w:t>C</w:t>
      </w:r>
      <w:r>
        <w:t xml:space="preserve">alendar </w:t>
      </w:r>
      <w:r w:rsidR="009E33D4">
        <w:t>D</w:t>
      </w:r>
      <w:r>
        <w:t xml:space="preserve">ays after a previous major maintenance cost has been agreed upon by the Market Monitor Unit.  </w:t>
      </w:r>
    </w:p>
    <w:p w14:paraId="0293EC56" w14:textId="33ED25AD" w:rsidR="00834E69" w:rsidRDefault="00834E69" w:rsidP="00834E69">
      <w:pPr>
        <w:pStyle w:val="ParaText"/>
      </w:pPr>
      <w:r>
        <w:t xml:space="preserve">Within fifteen (15) </w:t>
      </w:r>
      <w:r w:rsidR="00623F4D">
        <w:t>C</w:t>
      </w:r>
      <w:r>
        <w:t xml:space="preserve">alendar </w:t>
      </w:r>
      <w:r w:rsidR="00623F4D">
        <w:t>D</w:t>
      </w:r>
      <w:r>
        <w:t xml:space="preserve">ays of receipt of the information or any requested additional information, the Market Monitor will notify the Market Participant in writing whether it has sufficient information to determine reasonable major maintenance costs to be included in the Mitigated Transition State Offer.  Within fifteen (15) </w:t>
      </w:r>
      <w:r w:rsidR="00623F4D">
        <w:t>C</w:t>
      </w:r>
      <w:r>
        <w:t xml:space="preserve">alendar </w:t>
      </w:r>
      <w:r w:rsidR="00623F4D">
        <w:t>D</w:t>
      </w:r>
      <w:r>
        <w:t xml:space="preserve">ays after providing written notification to the Market Participant that the information is sufficient, the Market Monitor will determine the reasonable cost for major maintenance expenses to be included in the Mitigated Transition State Offer and will inform the Market Participant in writing.  Once the Market Participant has received this notification, the Market Participant will be allowed to include the major maintenance cost in the Mitigated Transition State Offer. </w:t>
      </w:r>
    </w:p>
    <w:p w14:paraId="7FDE4CF2" w14:textId="796F1B38" w:rsidR="00834E69" w:rsidRDefault="00505C2E" w:rsidP="00781C61">
      <w:pPr>
        <w:pStyle w:val="3Appx3"/>
        <w:numPr>
          <w:ilvl w:val="0"/>
          <w:numId w:val="0"/>
        </w:numPr>
      </w:pPr>
      <w:bookmarkStart w:id="11772" w:name="_Toc131493476"/>
      <w:bookmarkStart w:id="11773" w:name="_Toc213772314"/>
      <w:r>
        <w:t>D.4.6</w:t>
      </w:r>
      <w:r>
        <w:tab/>
      </w:r>
      <w:r w:rsidR="00834E69">
        <w:t>Mitigated No-Load Offer</w:t>
      </w:r>
      <w:bookmarkEnd w:id="11772"/>
      <w:bookmarkEnd w:id="11773"/>
    </w:p>
    <w:p w14:paraId="0E3AD87B" w14:textId="2D5ACB54" w:rsidR="00834E69" w:rsidRDefault="00834E69" w:rsidP="00834E69">
      <w:pPr>
        <w:pStyle w:val="IntenseQuote"/>
        <w:jc w:val="both"/>
      </w:pPr>
      <w:r>
        <w:t>Note: The information in Section D</w:t>
      </w:r>
      <w:r w:rsidR="009E33D4">
        <w:t>.</w:t>
      </w:r>
      <w:r>
        <w:t xml:space="preserve">2.9 contains basic No-Load information relevant for all unit types including combined cycle units.  </w:t>
      </w:r>
    </w:p>
    <w:p w14:paraId="028F94C5" w14:textId="34412A6A" w:rsidR="00834E69" w:rsidRDefault="00505C2E" w:rsidP="00781C61">
      <w:pPr>
        <w:pStyle w:val="3Appx3"/>
        <w:numPr>
          <w:ilvl w:val="0"/>
          <w:numId w:val="0"/>
        </w:numPr>
      </w:pPr>
      <w:bookmarkStart w:id="11774" w:name="_Toc338689418"/>
      <w:bookmarkStart w:id="11775" w:name="_Toc351019815"/>
      <w:bookmarkStart w:id="11776" w:name="_Toc363483360"/>
      <w:bookmarkStart w:id="11777" w:name="_Toc131493477"/>
      <w:bookmarkStart w:id="11778" w:name="_Toc213772315"/>
      <w:r>
        <w:t>D.4.7</w:t>
      </w:r>
      <w:r>
        <w:tab/>
      </w:r>
      <w:r w:rsidR="00834E69">
        <w:t>VOM Cost</w:t>
      </w:r>
      <w:bookmarkEnd w:id="11774"/>
      <w:bookmarkEnd w:id="11775"/>
      <w:bookmarkEnd w:id="11776"/>
      <w:bookmarkEnd w:id="11777"/>
      <w:bookmarkEnd w:id="11778"/>
      <w:r w:rsidR="00834E69">
        <w:t xml:space="preserve"> </w:t>
      </w:r>
    </w:p>
    <w:p w14:paraId="594AF1E0" w14:textId="0060A264" w:rsidR="00834E69" w:rsidRDefault="00834E69" w:rsidP="00834E69">
      <w:pPr>
        <w:pStyle w:val="IntenseQuote"/>
        <w:jc w:val="both"/>
      </w:pPr>
      <w:r>
        <w:t>Note: The information in Section D</w:t>
      </w:r>
      <w:r w:rsidR="009E33D4">
        <w:t>.</w:t>
      </w:r>
      <w:r>
        <w:t xml:space="preserve">2.6 contains basic VOM Cost information relevant for all unit types.  The following additional information only pertains to combined cycle units.  </w:t>
      </w:r>
    </w:p>
    <w:p w14:paraId="2B2E13F1" w14:textId="77777777" w:rsidR="00834E69" w:rsidRDefault="00834E69" w:rsidP="00834E69">
      <w:pPr>
        <w:pStyle w:val="Normal120"/>
      </w:pPr>
      <w:r>
        <w:rPr>
          <w:b/>
        </w:rPr>
        <w:t>Combined Cycle VOM Cost</w:t>
      </w:r>
      <w:r>
        <w:t xml:space="preserve"> – the historical VOM dollars as derived from FERC Accounts 512, 513, and 553, or their equivalent accounting for non-jurisdictional entities.  If submitting as a simple cycle combustion turbine, use total dollars from FERC Account 553.  </w:t>
      </w:r>
    </w:p>
    <w:p w14:paraId="21BFCECF" w14:textId="79777DAE" w:rsidR="00834E69" w:rsidRPr="009824C2" w:rsidRDefault="00505C2E" w:rsidP="00E679DC">
      <w:pPr>
        <w:pStyle w:val="Heading471"/>
      </w:pPr>
      <w:bookmarkStart w:id="11779" w:name="_Toc213772316"/>
      <w:r w:rsidRPr="009824C2">
        <w:t>D.5</w:t>
      </w:r>
      <w:r w:rsidRPr="009824C2">
        <w:tab/>
      </w:r>
      <w:bookmarkStart w:id="11780" w:name="_Toc338053314"/>
      <w:bookmarkStart w:id="11781" w:name="_Toc338689421"/>
      <w:bookmarkStart w:id="11782" w:name="_Toc338053315"/>
      <w:bookmarkStart w:id="11783" w:name="_Toc338689422"/>
      <w:bookmarkStart w:id="11784" w:name="_Toc338053316"/>
      <w:bookmarkStart w:id="11785" w:name="_Toc338689423"/>
      <w:bookmarkStart w:id="11786" w:name="_Toc338053317"/>
      <w:bookmarkStart w:id="11787" w:name="_Toc338689424"/>
      <w:bookmarkStart w:id="11788" w:name="_Toc338689425"/>
      <w:bookmarkStart w:id="11789" w:name="_Toc338689426"/>
      <w:bookmarkStart w:id="11790" w:name="_Toc338689427"/>
      <w:bookmarkStart w:id="11791" w:name="_Toc338689428"/>
      <w:bookmarkStart w:id="11792" w:name="_Toc338689429"/>
      <w:bookmarkStart w:id="11793" w:name="_Toc338689430"/>
      <w:bookmarkStart w:id="11794" w:name="_Toc338689431"/>
      <w:bookmarkStart w:id="11795" w:name="_Toc338689432"/>
      <w:bookmarkStart w:id="11796" w:name="_Toc338689433"/>
      <w:bookmarkStart w:id="11797" w:name="_Toc338689434"/>
      <w:bookmarkStart w:id="11798" w:name="_Toc338689435"/>
      <w:bookmarkStart w:id="11799" w:name="_Toc338689436"/>
      <w:bookmarkStart w:id="11800" w:name="_Toc338689437"/>
      <w:bookmarkStart w:id="11801" w:name="_Toc338689438"/>
      <w:bookmarkStart w:id="11802" w:name="_Combustion_Turbine_(CT)"/>
      <w:bookmarkStart w:id="11803" w:name="_Toc338689441"/>
      <w:bookmarkStart w:id="11804" w:name="_Toc351019821"/>
      <w:bookmarkStart w:id="11805" w:name="_Toc363483364"/>
      <w:bookmarkStart w:id="11806" w:name="_Toc131493481"/>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r w:rsidR="00834E69" w:rsidRPr="009824C2">
        <w:t>Combustion Turbine (CT) and Reciprocating Engine Guidelines</w:t>
      </w:r>
      <w:bookmarkEnd w:id="11779"/>
      <w:bookmarkEnd w:id="11803"/>
      <w:bookmarkEnd w:id="11804"/>
      <w:bookmarkEnd w:id="11805"/>
      <w:bookmarkEnd w:id="11806"/>
    </w:p>
    <w:p w14:paraId="566D8EE6" w14:textId="77777777" w:rsidR="00834E69" w:rsidRDefault="00834E69" w:rsidP="00834E69">
      <w:pPr>
        <w:pStyle w:val="Normal120"/>
      </w:pPr>
      <w:r>
        <w:t xml:space="preserve">This section details specific information for the mitigated offer development for units that are Combustion turbine or reciprocating engine Resources.  </w:t>
      </w:r>
    </w:p>
    <w:p w14:paraId="440FF422" w14:textId="77777777" w:rsidR="00834E69" w:rsidRDefault="00834E69" w:rsidP="00834E69">
      <w:pPr>
        <w:pStyle w:val="Normal120"/>
      </w:pPr>
      <w:r>
        <w:rPr>
          <w:b/>
        </w:rPr>
        <w:t>Combustion Turbine Resource</w:t>
      </w:r>
      <w:r>
        <w:t xml:space="preserve"> – A generating unit in which a natural gas or oil-fired combustion turbine engine is the prime mover for an electrical Resource.  </w:t>
      </w:r>
    </w:p>
    <w:p w14:paraId="33158961" w14:textId="77777777" w:rsidR="00834E69" w:rsidRDefault="00834E69" w:rsidP="00834E69">
      <w:pPr>
        <w:pStyle w:val="Normal120"/>
      </w:pPr>
      <w:r>
        <w:rPr>
          <w:b/>
        </w:rPr>
        <w:t>Reciprocating Engine Resource</w:t>
      </w:r>
      <w:r>
        <w:t xml:space="preserve"> – A generating unit in which a reciprocating engine is the prime mover for an electrical Resource.</w:t>
      </w:r>
    </w:p>
    <w:p w14:paraId="5C441D96" w14:textId="5908B611" w:rsidR="00834E69" w:rsidRDefault="00505C2E" w:rsidP="00781C61">
      <w:pPr>
        <w:pStyle w:val="3Appx3"/>
        <w:numPr>
          <w:ilvl w:val="0"/>
          <w:numId w:val="0"/>
        </w:numPr>
      </w:pPr>
      <w:bookmarkStart w:id="11807" w:name="_Toc338689442"/>
      <w:bookmarkStart w:id="11808" w:name="_Toc351019822"/>
      <w:bookmarkStart w:id="11809" w:name="_Toc363483365"/>
      <w:bookmarkStart w:id="11810" w:name="_Toc131493482"/>
      <w:bookmarkStart w:id="11811" w:name="_Toc213772317"/>
      <w:r>
        <w:t>D.5.1</w:t>
      </w:r>
      <w:r>
        <w:tab/>
      </w:r>
      <w:r w:rsidR="00834E69">
        <w:t>Combustion Turbine and Reciprocating Engine Heat Rate</w:t>
      </w:r>
      <w:bookmarkEnd w:id="11807"/>
      <w:bookmarkEnd w:id="11808"/>
      <w:bookmarkEnd w:id="11809"/>
      <w:bookmarkEnd w:id="11810"/>
      <w:bookmarkEnd w:id="11811"/>
      <w:r w:rsidR="00834E69">
        <w:t xml:space="preserve"> </w:t>
      </w:r>
    </w:p>
    <w:p w14:paraId="3C2FEB0B" w14:textId="77777777" w:rsidR="00834E69" w:rsidRDefault="00834E69" w:rsidP="00834E69">
      <w:pPr>
        <w:pStyle w:val="IntenseQuote"/>
        <w:jc w:val="both"/>
      </w:pPr>
      <w:r>
        <w:t xml:space="preserve">Note: The information in Section </w:t>
      </w:r>
      <w:r>
        <w:fldChar w:fldCharType="begin"/>
      </w:r>
      <w:r>
        <w:instrText xml:space="preserve"> REF _Ref332266011 \r \h  \* MERGEFORMAT </w:instrText>
      </w:r>
      <w:r>
        <w:fldChar w:fldCharType="separate"/>
      </w:r>
      <w:r>
        <w:t>D.2.1</w:t>
      </w:r>
      <w:r>
        <w:fldChar w:fldCharType="end"/>
      </w:r>
      <w:r>
        <w:t xml:space="preserve"> contains basic Heat Rate information relevant for all unit types, including CTs and Reciprocating Engines.  </w:t>
      </w:r>
    </w:p>
    <w:p w14:paraId="1558DFE3" w14:textId="562F28DF" w:rsidR="00834E69" w:rsidRDefault="00505C2E" w:rsidP="00781C61">
      <w:pPr>
        <w:pStyle w:val="3Appx3"/>
        <w:numPr>
          <w:ilvl w:val="0"/>
          <w:numId w:val="0"/>
        </w:numPr>
      </w:pPr>
      <w:bookmarkStart w:id="11812" w:name="_Toc338689443"/>
      <w:bookmarkStart w:id="11813" w:name="_Toc351019823"/>
      <w:bookmarkStart w:id="11814" w:name="_Toc363483366"/>
      <w:bookmarkStart w:id="11815" w:name="_Toc131493483"/>
      <w:bookmarkStart w:id="11816" w:name="_Toc213772318"/>
      <w:r>
        <w:t>D.5.2</w:t>
      </w:r>
      <w:r>
        <w:tab/>
      </w:r>
      <w:r w:rsidR="00834E69">
        <w:t>Performance Factor</w:t>
      </w:r>
      <w:bookmarkEnd w:id="11812"/>
      <w:bookmarkEnd w:id="11813"/>
      <w:bookmarkEnd w:id="11814"/>
      <w:bookmarkEnd w:id="11815"/>
      <w:bookmarkEnd w:id="11816"/>
      <w:r w:rsidR="00834E69">
        <w:t xml:space="preserve"> </w:t>
      </w:r>
    </w:p>
    <w:p w14:paraId="0D91C79B" w14:textId="0CCD4528" w:rsidR="00834E69" w:rsidRDefault="00834E69" w:rsidP="00834E69">
      <w:pPr>
        <w:pStyle w:val="IntenseQuote"/>
        <w:jc w:val="both"/>
      </w:pPr>
      <w:r>
        <w:t>Note: The information in Section D</w:t>
      </w:r>
      <w:r w:rsidR="0023670F">
        <w:t>.</w:t>
      </w:r>
      <w:r>
        <w:t xml:space="preserve">2.4 contains basic Performance Factor information relevant for all unit types.  The following additional information only pertains to CT, diesel and reciprocating engine units.  </w:t>
      </w:r>
    </w:p>
    <w:p w14:paraId="2CA34B5E" w14:textId="77777777" w:rsidR="00834E69" w:rsidRDefault="00834E69" w:rsidP="00834E69">
      <w:pPr>
        <w:spacing w:line="300" w:lineRule="auto"/>
      </w:pPr>
      <w:r>
        <w:rPr>
          <w:b/>
        </w:rPr>
        <w:t>“Like” C</w:t>
      </w:r>
      <w:r>
        <w:rPr>
          <w:rFonts w:cs="Times New (W1)"/>
          <w:b/>
        </w:rPr>
        <w:t>ombustion Turbine Units</w:t>
      </w:r>
      <w:r>
        <w:rPr>
          <w:rFonts w:cs="Times New (W1)"/>
        </w:rPr>
        <w:t xml:space="preserve"> - An average performance factor may be calculated and applied for groups of like units burnin</w:t>
      </w:r>
      <w:r>
        <w:t>g the same type of fuel.   “Like” includes same primary manufacturer not necessarily engine or Resource manufacturer, but one with overall system responsibility.  The following are two examples:</w:t>
      </w:r>
    </w:p>
    <w:p w14:paraId="0F8F289F" w14:textId="77777777" w:rsidR="00834E69" w:rsidRDefault="00834E69" w:rsidP="00DA3CE7">
      <w:pPr>
        <w:pStyle w:val="SPPBulletedList"/>
        <w:numPr>
          <w:ilvl w:val="0"/>
          <w:numId w:val="242"/>
        </w:numPr>
        <w:tabs>
          <w:tab w:val="left" w:pos="720"/>
        </w:tabs>
        <w:spacing w:line="300" w:lineRule="auto"/>
        <w:jc w:val="both"/>
      </w:pPr>
      <w:r>
        <w:rPr>
          <w:rFonts w:hint="cs"/>
        </w:rPr>
        <w:t xml:space="preserve">Worthington sells CT's with P&amp;W engines and a GE Resource.  Worthington would be considered the primary manufacturer.  </w:t>
      </w:r>
    </w:p>
    <w:p w14:paraId="02161C94" w14:textId="77777777" w:rsidR="00834E69" w:rsidRDefault="00834E69" w:rsidP="00DA3CE7">
      <w:pPr>
        <w:pStyle w:val="SPPBulletedList"/>
        <w:numPr>
          <w:ilvl w:val="0"/>
          <w:numId w:val="242"/>
        </w:numPr>
        <w:tabs>
          <w:tab w:val="left" w:pos="720"/>
        </w:tabs>
        <w:spacing w:line="300" w:lineRule="auto"/>
        <w:jc w:val="both"/>
      </w:pPr>
      <w:r>
        <w:rPr>
          <w:rFonts w:hint="cs"/>
        </w:rPr>
        <w:t xml:space="preserve">Same general frame size - a manufacturer may modify a basic design to produce units with varying capabilities.  Units built with such variations may be placed in a single group.  </w:t>
      </w:r>
    </w:p>
    <w:p w14:paraId="255311D0" w14:textId="38B8E750" w:rsidR="00834E69" w:rsidRDefault="00505C2E" w:rsidP="00781C61">
      <w:pPr>
        <w:pStyle w:val="3Appx3"/>
        <w:numPr>
          <w:ilvl w:val="0"/>
          <w:numId w:val="0"/>
        </w:numPr>
      </w:pPr>
      <w:bookmarkStart w:id="11817" w:name="_Toc338689444"/>
      <w:bookmarkStart w:id="11818" w:name="_Toc351019824"/>
      <w:bookmarkStart w:id="11819" w:name="_Toc363483367"/>
      <w:bookmarkStart w:id="11820" w:name="_Toc131493484"/>
      <w:bookmarkStart w:id="11821" w:name="_Toc213772319"/>
      <w:r>
        <w:t>D.5.3</w:t>
      </w:r>
      <w:r>
        <w:tab/>
      </w:r>
      <w:r w:rsidR="00834E69">
        <w:t>Fuel Cost</w:t>
      </w:r>
      <w:bookmarkEnd w:id="11817"/>
      <w:bookmarkEnd w:id="11818"/>
      <w:bookmarkEnd w:id="11819"/>
      <w:bookmarkEnd w:id="11820"/>
      <w:bookmarkEnd w:id="11821"/>
      <w:r w:rsidR="00834E69">
        <w:t xml:space="preserve"> </w:t>
      </w:r>
    </w:p>
    <w:p w14:paraId="7EDF2D4E" w14:textId="7E336C0C" w:rsidR="00834E69" w:rsidRDefault="00834E69" w:rsidP="00834E69">
      <w:pPr>
        <w:pStyle w:val="IntenseQuote"/>
        <w:jc w:val="both"/>
      </w:pPr>
      <w:r>
        <w:t>Note: The information in Section D</w:t>
      </w:r>
      <w:r w:rsidR="0023670F">
        <w:t>.</w:t>
      </w:r>
      <w:r>
        <w:t xml:space="preserve">2.5 contains basic Fuel Cost information relevant for all unit types including CTs, and reciprocating diesel engine units.  </w:t>
      </w:r>
    </w:p>
    <w:p w14:paraId="52DA0AE3" w14:textId="3D69B964" w:rsidR="00834E69" w:rsidRDefault="00505C2E" w:rsidP="00E679DC">
      <w:pPr>
        <w:pStyle w:val="Heading471"/>
      </w:pPr>
      <w:bookmarkStart w:id="11822" w:name="_Toc351019825"/>
      <w:bookmarkStart w:id="11823" w:name="_Toc363483368"/>
      <w:bookmarkStart w:id="11824" w:name="_Toc131493485"/>
      <w:bookmarkStart w:id="11825" w:name="_Toc213772320"/>
      <w:r>
        <w:t>D.5.3.1</w:t>
      </w:r>
      <w:r>
        <w:tab/>
      </w:r>
      <w:r w:rsidR="00834E69">
        <w:t>Combustion Turbine other Fuel-Related Costs</w:t>
      </w:r>
      <w:bookmarkEnd w:id="11822"/>
      <w:bookmarkEnd w:id="11823"/>
      <w:bookmarkEnd w:id="11824"/>
      <w:bookmarkEnd w:id="11825"/>
    </w:p>
    <w:p w14:paraId="11E0828E" w14:textId="77777777" w:rsidR="00834E69" w:rsidRDefault="00834E69" w:rsidP="00834E69">
      <w:pPr>
        <w:pStyle w:val="Normal120"/>
      </w:pPr>
      <w:r>
        <w:t>The dollars in FERC Account 547, or its equivalent accounting for non-jurisdictional entities plus incremental expenses for fuel treatment and pollution control excluding SO</w:t>
      </w:r>
      <w:r>
        <w:rPr>
          <w:vertAlign w:val="subscript"/>
        </w:rPr>
        <w:t>2</w:t>
      </w:r>
      <w:r>
        <w:t xml:space="preserve"> and NO</w:t>
      </w:r>
      <w:r>
        <w:rPr>
          <w:vertAlign w:val="subscript"/>
        </w:rPr>
        <w:t>X</w:t>
      </w:r>
      <w:r>
        <w:t xml:space="preserve"> emission allowance costs that were not included in Account 547; minus the fuel expenses from FERC Account 151 or its equivalent accounting for non-jurisdictional entities that were charged into Account 547, all divided by the fuel (heat content or quantity) shifted from Account 151 into Account 547.  </w:t>
      </w:r>
    </w:p>
    <w:p w14:paraId="6CFD3E20" w14:textId="0E13C4E6" w:rsidR="00834E69" w:rsidRDefault="00505C2E" w:rsidP="00781C61">
      <w:pPr>
        <w:pStyle w:val="3Appx3"/>
        <w:numPr>
          <w:ilvl w:val="0"/>
          <w:numId w:val="0"/>
        </w:numPr>
      </w:pPr>
      <w:bookmarkStart w:id="11826" w:name="_Toc338689447"/>
      <w:bookmarkStart w:id="11827" w:name="_Toc351019827"/>
      <w:bookmarkStart w:id="11828" w:name="_Toc363483370"/>
      <w:bookmarkStart w:id="11829" w:name="_Toc131493486"/>
      <w:bookmarkStart w:id="11830" w:name="_Toc213772321"/>
      <w:r>
        <w:t>D.5.4</w:t>
      </w:r>
      <w:r>
        <w:tab/>
      </w:r>
      <w:r w:rsidR="00834E69">
        <w:t xml:space="preserve">Mitigated Start-Up </w:t>
      </w:r>
      <w:bookmarkEnd w:id="11826"/>
      <w:r w:rsidR="00834E69">
        <w:t>Offer</w:t>
      </w:r>
      <w:bookmarkEnd w:id="11827"/>
      <w:bookmarkEnd w:id="11828"/>
      <w:bookmarkEnd w:id="11829"/>
      <w:bookmarkEnd w:id="11830"/>
    </w:p>
    <w:p w14:paraId="4A4548D6" w14:textId="1BC7C98B" w:rsidR="00834E69" w:rsidRDefault="00834E69" w:rsidP="00834E69">
      <w:pPr>
        <w:pStyle w:val="IntenseQuote"/>
        <w:jc w:val="both"/>
      </w:pPr>
      <w:r>
        <w:t>Note: The information in Section D</w:t>
      </w:r>
      <w:r w:rsidR="00EC3BFC">
        <w:t>.</w:t>
      </w:r>
      <w:r>
        <w:t xml:space="preserve">2.8 contains basic Mitigated Start-Up Offer information relevant for all unit types, including combustion turbine and reciprocating engine Resource units.  </w:t>
      </w:r>
      <w:bookmarkStart w:id="11831" w:name="_Toc350954334"/>
      <w:bookmarkStart w:id="11832" w:name="_Toc350961689"/>
      <w:bookmarkStart w:id="11833" w:name="_Toc351021599"/>
      <w:bookmarkStart w:id="11834" w:name="_Toc351022043"/>
      <w:bookmarkStart w:id="11835" w:name="_Toc350954335"/>
      <w:bookmarkStart w:id="11836" w:name="_Toc350961690"/>
      <w:bookmarkStart w:id="11837" w:name="_Toc351021600"/>
      <w:bookmarkStart w:id="11838" w:name="_Toc351022044"/>
      <w:bookmarkStart w:id="11839" w:name="_Toc350954336"/>
      <w:bookmarkStart w:id="11840" w:name="_Toc350961691"/>
      <w:bookmarkStart w:id="11841" w:name="_Toc351021601"/>
      <w:bookmarkStart w:id="11842" w:name="_Toc351022045"/>
      <w:bookmarkStart w:id="11843" w:name="_Toc350954337"/>
      <w:bookmarkStart w:id="11844" w:name="_Toc350961692"/>
      <w:bookmarkStart w:id="11845" w:name="_Toc351021602"/>
      <w:bookmarkStart w:id="11846" w:name="_Toc351022046"/>
      <w:bookmarkStart w:id="11847" w:name="_Toc350954338"/>
      <w:bookmarkStart w:id="11848" w:name="_Toc350961693"/>
      <w:bookmarkStart w:id="11849" w:name="_Toc351021603"/>
      <w:bookmarkStart w:id="11850" w:name="_Toc351022047"/>
      <w:bookmarkStart w:id="11851" w:name="_Toc350954339"/>
      <w:bookmarkStart w:id="11852" w:name="_Toc350961694"/>
      <w:bookmarkStart w:id="11853" w:name="_Toc351021604"/>
      <w:bookmarkStart w:id="11854" w:name="_Toc351022048"/>
      <w:bookmarkStart w:id="11855" w:name="_Toc350954340"/>
      <w:bookmarkStart w:id="11856" w:name="_Toc350961695"/>
      <w:bookmarkStart w:id="11857" w:name="_Toc351021605"/>
      <w:bookmarkStart w:id="11858" w:name="_Toc351022049"/>
      <w:bookmarkStart w:id="11859" w:name="_Toc350954341"/>
      <w:bookmarkStart w:id="11860" w:name="_Toc350961696"/>
      <w:bookmarkStart w:id="11861" w:name="_Toc351021606"/>
      <w:bookmarkStart w:id="11862" w:name="_Toc351022050"/>
      <w:bookmarkStart w:id="11863" w:name="_Toc350954342"/>
      <w:bookmarkStart w:id="11864" w:name="_Toc350961697"/>
      <w:bookmarkStart w:id="11865" w:name="_Toc351021607"/>
      <w:bookmarkStart w:id="11866" w:name="_Toc351022051"/>
      <w:bookmarkStart w:id="11867" w:name="_Toc350954343"/>
      <w:bookmarkStart w:id="11868" w:name="_Toc350961698"/>
      <w:bookmarkStart w:id="11869" w:name="_Toc351021608"/>
      <w:bookmarkStart w:id="11870" w:name="_Toc351022052"/>
      <w:bookmarkStart w:id="11871" w:name="_Toc350954344"/>
      <w:bookmarkStart w:id="11872" w:name="_Toc350961699"/>
      <w:bookmarkStart w:id="11873" w:name="_Toc351021609"/>
      <w:bookmarkStart w:id="11874" w:name="_Toc351022053"/>
      <w:bookmarkStart w:id="11875" w:name="_Toc350954345"/>
      <w:bookmarkStart w:id="11876" w:name="_Toc350961700"/>
      <w:bookmarkStart w:id="11877" w:name="_Toc351021610"/>
      <w:bookmarkStart w:id="11878" w:name="_Toc351022054"/>
      <w:bookmarkStart w:id="11879" w:name="_Toc350954346"/>
      <w:bookmarkStart w:id="11880" w:name="_Toc350961701"/>
      <w:bookmarkStart w:id="11881" w:name="_Toc351021611"/>
      <w:bookmarkStart w:id="11882" w:name="_Toc351022055"/>
      <w:bookmarkStart w:id="11883" w:name="_Toc350954347"/>
      <w:bookmarkStart w:id="11884" w:name="_Toc350961702"/>
      <w:bookmarkStart w:id="11885" w:name="_Toc351021612"/>
      <w:bookmarkStart w:id="11886" w:name="_Toc351022056"/>
      <w:bookmarkStart w:id="11887" w:name="_Toc350954348"/>
      <w:bookmarkStart w:id="11888" w:name="_Toc350961703"/>
      <w:bookmarkStart w:id="11889" w:name="_Toc351021613"/>
      <w:bookmarkStart w:id="11890" w:name="_Toc351022057"/>
      <w:bookmarkStart w:id="11891" w:name="_Toc351019669"/>
      <w:bookmarkStart w:id="11892" w:name="_Toc351019828"/>
      <w:bookmarkStart w:id="11893" w:name="_Toc357523347"/>
      <w:bookmarkStart w:id="11894" w:name="_Toc357581751"/>
      <w:bookmarkStart w:id="11895" w:name="_Toc357585440"/>
      <w:bookmarkStart w:id="11896" w:name="_Toc357586201"/>
      <w:bookmarkStart w:id="11897" w:name="_Toc357586955"/>
      <w:bookmarkStart w:id="11898" w:name="_Toc357771432"/>
      <w:bookmarkStart w:id="11899" w:name="_Toc357772180"/>
      <w:bookmarkStart w:id="11900" w:name="_Toc357772928"/>
      <w:bookmarkStart w:id="11901" w:name="_Toc357773679"/>
      <w:bookmarkStart w:id="11902" w:name="_Toc357774466"/>
      <w:bookmarkStart w:id="11903" w:name="_Toc357775213"/>
      <w:bookmarkStart w:id="11904" w:name="_Toc357783018"/>
      <w:bookmarkStart w:id="11905" w:name="_Toc357783765"/>
      <w:bookmarkStart w:id="11906" w:name="_Toc357784591"/>
      <w:bookmarkStart w:id="11907" w:name="_Toc363027722"/>
      <w:bookmarkStart w:id="11908" w:name="_Toc363482610"/>
      <w:bookmarkStart w:id="11909" w:name="_Toc363483371"/>
      <w:bookmarkStart w:id="11910" w:name="_Toc367453388"/>
      <w:bookmarkStart w:id="11911" w:name="_Toc367454175"/>
      <w:bookmarkStart w:id="11912" w:name="_Toc367776705"/>
      <w:bookmarkStart w:id="11913" w:name="_Toc367777457"/>
      <w:bookmarkStart w:id="11914" w:name="_Toc367806759"/>
      <w:bookmarkStart w:id="11915" w:name="_Toc367807602"/>
      <w:bookmarkStart w:id="11916" w:name="_Toc372283988"/>
      <w:bookmarkStart w:id="11917" w:name="_Toc372284763"/>
      <w:bookmarkStart w:id="11918" w:name="_Toc372285550"/>
      <w:bookmarkStart w:id="11919" w:name="_Toc372286109"/>
      <w:bookmarkStart w:id="11920" w:name="_Toc372295190"/>
      <w:bookmarkStart w:id="11921" w:name="_Toc372295969"/>
      <w:bookmarkStart w:id="11922" w:name="_Toc372702830"/>
      <w:bookmarkStart w:id="11923" w:name="_Toc372703658"/>
      <w:bookmarkStart w:id="11924" w:name="_Toc372890110"/>
      <w:bookmarkStart w:id="11925" w:name="_Toc372890942"/>
      <w:bookmarkStart w:id="11926" w:name="_Toc378773908"/>
      <w:bookmarkStart w:id="11927" w:name="_Toc378774730"/>
      <w:bookmarkStart w:id="11928" w:name="_Toc378844256"/>
      <w:bookmarkStart w:id="11929" w:name="_Toc378945270"/>
      <w:bookmarkStart w:id="11930" w:name="_Toc379281262"/>
      <w:bookmarkStart w:id="11931" w:name="_Toc379282084"/>
      <w:bookmarkStart w:id="11932" w:name="_Toc379282906"/>
      <w:bookmarkStart w:id="11933" w:name="_Toc379443339"/>
      <w:bookmarkStart w:id="11934" w:name="_Toc379444101"/>
      <w:bookmarkStart w:id="11935" w:name="_Toc381001069"/>
      <w:bookmarkStart w:id="11936" w:name="_Toc381090405"/>
      <w:bookmarkStart w:id="11937" w:name="_Toc383441037"/>
      <w:bookmarkStart w:id="11938" w:name="_Toc383686043"/>
      <w:bookmarkStart w:id="11939" w:name="_Toc383686819"/>
      <w:bookmarkStart w:id="11940" w:name="_Toc384134783"/>
      <w:bookmarkStart w:id="11941" w:name="_Toc387734859"/>
      <w:bookmarkStart w:id="11942" w:name="_Toc389638182"/>
      <w:bookmarkStart w:id="11943" w:name="_Toc397008579"/>
      <w:bookmarkStart w:id="11944" w:name="_Toc397009355"/>
      <w:bookmarkStart w:id="11945" w:name="_Toc397067395"/>
      <w:bookmarkStart w:id="11946" w:name="_Toc403476882"/>
      <w:bookmarkStart w:id="11947" w:name="_Toc403479506"/>
      <w:bookmarkStart w:id="11948" w:name="_Toc403480810"/>
      <w:bookmarkStart w:id="11949" w:name="_Toc403483835"/>
      <w:bookmarkStart w:id="11950" w:name="_Toc403484818"/>
      <w:bookmarkStart w:id="11951" w:name="_Toc408500507"/>
      <w:bookmarkStart w:id="11952" w:name="_Toc408557446"/>
      <w:bookmarkStart w:id="11953" w:name="_Toc411519892"/>
      <w:bookmarkStart w:id="11954" w:name="_Toc412190250"/>
      <w:bookmarkStart w:id="11955" w:name="_Toc412816034"/>
      <w:bookmarkStart w:id="11956" w:name="_Toc415747653"/>
      <w:bookmarkStart w:id="11957" w:name="_Toc418586309"/>
      <w:bookmarkStart w:id="11958" w:name="_Toc418591260"/>
      <w:bookmarkStart w:id="11959" w:name="_Toc418592039"/>
      <w:bookmarkStart w:id="11960" w:name="_Toc418592818"/>
      <w:bookmarkStart w:id="11961" w:name="_Toc418596526"/>
      <w:bookmarkStart w:id="11962" w:name="_Toc418597305"/>
      <w:bookmarkStart w:id="11963" w:name="_Toc419705252"/>
      <w:bookmarkStart w:id="11964" w:name="_Toc420932856"/>
      <w:bookmarkStart w:id="11965" w:name="_Toc420933623"/>
      <w:bookmarkStart w:id="11966" w:name="_Toc420934390"/>
      <w:bookmarkStart w:id="11967" w:name="_Toc420941958"/>
      <w:bookmarkStart w:id="11968" w:name="_Toc424543227"/>
      <w:bookmarkStart w:id="11969" w:name="_Toc424547704"/>
      <w:bookmarkStart w:id="11970" w:name="_Toc424562191"/>
      <w:bookmarkStart w:id="11971" w:name="_Toc425837162"/>
      <w:bookmarkStart w:id="11972" w:name="_Toc425837945"/>
      <w:bookmarkStart w:id="11973" w:name="_Toc425838725"/>
      <w:bookmarkStart w:id="11974" w:name="_Toc425839505"/>
      <w:bookmarkStart w:id="11975" w:name="_Toc425840286"/>
      <w:bookmarkStart w:id="11976" w:name="_Toc425841065"/>
      <w:bookmarkStart w:id="11977" w:name="_Toc425841844"/>
      <w:bookmarkStart w:id="11978" w:name="_Toc425864702"/>
      <w:bookmarkStart w:id="11979" w:name="_Toc425865480"/>
      <w:bookmarkStart w:id="11980" w:name="_Toc425942690"/>
      <w:bookmarkStart w:id="11981" w:name="_Toc425943604"/>
      <w:bookmarkStart w:id="11982" w:name="_Toc430847785"/>
      <w:bookmarkStart w:id="11983" w:name="_Toc431501273"/>
      <w:bookmarkStart w:id="11984" w:name="_Toc431619449"/>
      <w:bookmarkStart w:id="11985" w:name="_Toc431620221"/>
      <w:bookmarkStart w:id="11986" w:name="_Toc432156816"/>
      <w:bookmarkStart w:id="11987" w:name="_Toc432166034"/>
      <w:bookmarkStart w:id="11988" w:name="_Toc432166889"/>
      <w:bookmarkStart w:id="11989" w:name="_Toc432167747"/>
      <w:bookmarkStart w:id="11990" w:name="_Toc432168563"/>
      <w:bookmarkStart w:id="11991" w:name="_Toc435192073"/>
      <w:bookmarkStart w:id="11992" w:name="_Toc437590670"/>
      <w:bookmarkStart w:id="11993" w:name="_Toc443913419"/>
      <w:bookmarkStart w:id="11994" w:name="_Toc444090819"/>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p>
    <w:p w14:paraId="5F081348" w14:textId="3296C125" w:rsidR="00834E69" w:rsidRDefault="00505C2E" w:rsidP="00781C61">
      <w:pPr>
        <w:pStyle w:val="3Appx3"/>
        <w:numPr>
          <w:ilvl w:val="0"/>
          <w:numId w:val="0"/>
        </w:numPr>
      </w:pPr>
      <w:bookmarkStart w:id="11995" w:name="_Toc351019829"/>
      <w:bookmarkStart w:id="11996" w:name="_Toc363483372"/>
      <w:bookmarkStart w:id="11997" w:name="_Toc131493487"/>
      <w:bookmarkStart w:id="11998" w:name="_Toc213772322"/>
      <w:r>
        <w:t>D.5.5</w:t>
      </w:r>
      <w:r>
        <w:tab/>
      </w:r>
      <w:r w:rsidR="00834E69">
        <w:t>Mitigated No-Load Offer for CTs</w:t>
      </w:r>
      <w:bookmarkEnd w:id="11995"/>
      <w:bookmarkEnd w:id="11996"/>
      <w:bookmarkEnd w:id="11997"/>
      <w:bookmarkEnd w:id="11998"/>
      <w:r w:rsidR="00834E69">
        <w:t xml:space="preserve"> </w:t>
      </w:r>
    </w:p>
    <w:p w14:paraId="53D88D51" w14:textId="35FB2378" w:rsidR="00834E69" w:rsidRDefault="00834E69" w:rsidP="00834E69">
      <w:pPr>
        <w:pStyle w:val="IntenseQuote"/>
        <w:jc w:val="both"/>
      </w:pPr>
      <w:r>
        <w:t>Note: The information in Section D</w:t>
      </w:r>
      <w:r w:rsidR="00EC3BFC">
        <w:t>.</w:t>
      </w:r>
      <w:r>
        <w:t xml:space="preserve">2.9 contains basic No-Load information relevant for all unit types, including CTs, diesel engines and reciprocating engines.    </w:t>
      </w:r>
    </w:p>
    <w:p w14:paraId="35B2464D" w14:textId="7FA4FC69" w:rsidR="00834E69" w:rsidRDefault="00505C2E" w:rsidP="00781C61">
      <w:pPr>
        <w:pStyle w:val="3Appx3"/>
        <w:numPr>
          <w:ilvl w:val="0"/>
          <w:numId w:val="0"/>
        </w:numPr>
      </w:pPr>
      <w:bookmarkStart w:id="11999" w:name="_Toc338689449"/>
      <w:bookmarkStart w:id="12000" w:name="_Ref345318926"/>
      <w:bookmarkStart w:id="12001" w:name="_Toc351019830"/>
      <w:bookmarkStart w:id="12002" w:name="_Toc363483373"/>
      <w:bookmarkStart w:id="12003" w:name="_Toc131493488"/>
      <w:bookmarkStart w:id="12004" w:name="_Toc213772323"/>
      <w:r>
        <w:t>D.5.6</w:t>
      </w:r>
      <w:r>
        <w:tab/>
      </w:r>
      <w:r w:rsidR="00834E69">
        <w:t>VOM Cost</w:t>
      </w:r>
      <w:bookmarkEnd w:id="11999"/>
      <w:bookmarkEnd w:id="12000"/>
      <w:bookmarkEnd w:id="12001"/>
      <w:bookmarkEnd w:id="12002"/>
      <w:bookmarkEnd w:id="12003"/>
      <w:bookmarkEnd w:id="12004"/>
      <w:r w:rsidR="00834E69">
        <w:t xml:space="preserve"> </w:t>
      </w:r>
    </w:p>
    <w:p w14:paraId="133FC4B4" w14:textId="6FCFD1EB" w:rsidR="00834E69" w:rsidRDefault="00834E69" w:rsidP="00834E69">
      <w:pPr>
        <w:pStyle w:val="IntenseQuote"/>
        <w:jc w:val="both"/>
      </w:pPr>
      <w:r>
        <w:t>Note: The information in Section D</w:t>
      </w:r>
      <w:r w:rsidR="00EC3BFC">
        <w:t>.</w:t>
      </w:r>
      <w:r>
        <w:t xml:space="preserve">2.6 contains basic VOM Cost information relevant for all unit types.  The following additional information only pertains to CT and diesel engine units.  </w:t>
      </w:r>
    </w:p>
    <w:p w14:paraId="1069E0DF" w14:textId="28D8E215" w:rsidR="00834E69" w:rsidRDefault="00834E69" w:rsidP="00834E69">
      <w:pPr>
        <w:pStyle w:val="Normal120"/>
      </w:pPr>
      <w:r>
        <w:rPr>
          <w:b/>
        </w:rPr>
        <w:t>Combustion Turbine - VOM Cost</w:t>
      </w:r>
      <w:r>
        <w:t xml:space="preserve"> – The historical total dollars from FERC Account 553 or its equivalent accounting for non-jurisdictional entities should be used to calculate the VOM $ specified under Section </w:t>
      </w:r>
      <w:r>
        <w:fldChar w:fldCharType="begin"/>
      </w:r>
      <w:r>
        <w:instrText xml:space="preserve"> REF _Ref342658889 \r \h </w:instrText>
      </w:r>
      <w:r>
        <w:fldChar w:fldCharType="separate"/>
      </w:r>
      <w:r>
        <w:t>D.2.6</w:t>
      </w:r>
      <w:r>
        <w:fldChar w:fldCharType="end"/>
      </w:r>
      <w:r>
        <w:t xml:space="preserve">.    </w:t>
      </w:r>
    </w:p>
    <w:p w14:paraId="48E47652" w14:textId="1D68E9C6" w:rsidR="00834E69" w:rsidRPr="009824C2" w:rsidRDefault="00505C2E" w:rsidP="00E679DC">
      <w:pPr>
        <w:pStyle w:val="Heading471"/>
      </w:pPr>
      <w:bookmarkStart w:id="12005" w:name="_Toc213772324"/>
      <w:r w:rsidRPr="009824C2">
        <w:t>D.6</w:t>
      </w:r>
      <w:r w:rsidRPr="009824C2">
        <w:tab/>
      </w:r>
      <w:bookmarkStart w:id="12006" w:name="_Toc350954354"/>
      <w:bookmarkStart w:id="12007" w:name="_Toc338689451"/>
      <w:bookmarkStart w:id="12008" w:name="_Toc338689452"/>
      <w:bookmarkStart w:id="12009" w:name="_Toc338689453"/>
      <w:bookmarkStart w:id="12010" w:name="_Toc338689454"/>
      <w:bookmarkStart w:id="12011" w:name="_Toc338689455"/>
      <w:bookmarkStart w:id="12012" w:name="_Toc338689456"/>
      <w:bookmarkStart w:id="12013" w:name="_Toc338689457"/>
      <w:bookmarkStart w:id="12014" w:name="_Toc338689458"/>
      <w:bookmarkStart w:id="12015" w:name="_Toc338689459"/>
      <w:bookmarkStart w:id="12016" w:name="_Toc338689460"/>
      <w:bookmarkStart w:id="12017" w:name="_Toc338689461"/>
      <w:bookmarkStart w:id="12018" w:name="_Toc338689462"/>
      <w:bookmarkStart w:id="12019" w:name="_Toc338689463"/>
      <w:bookmarkStart w:id="12020" w:name="_Toc338689464"/>
      <w:bookmarkStart w:id="12021" w:name="_Toc337654768"/>
      <w:bookmarkStart w:id="12022" w:name="_Toc338053333"/>
      <w:bookmarkStart w:id="12023" w:name="_Toc338689465"/>
      <w:bookmarkStart w:id="12024" w:name="_Hydro_Guidelines"/>
      <w:bookmarkStart w:id="12025" w:name="_Toc351019834"/>
      <w:bookmarkStart w:id="12026" w:name="_Toc363483377"/>
      <w:bookmarkStart w:id="12027" w:name="_Toc131493492"/>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r w:rsidR="00834E69" w:rsidRPr="009824C2">
        <w:t>Hydro Guidelines</w:t>
      </w:r>
      <w:bookmarkEnd w:id="12005"/>
      <w:bookmarkEnd w:id="12025"/>
      <w:bookmarkEnd w:id="12026"/>
      <w:bookmarkEnd w:id="12027"/>
    </w:p>
    <w:p w14:paraId="7F9C012D" w14:textId="77777777" w:rsidR="00834E69" w:rsidRDefault="00834E69" w:rsidP="00834E69">
      <w:pPr>
        <w:pStyle w:val="Normal120"/>
      </w:pPr>
      <w:r>
        <w:t xml:space="preserve">This section contains information for the development of Hydro, and Hydro Pumped Storage and cost offers.  </w:t>
      </w:r>
    </w:p>
    <w:p w14:paraId="1EE60FF0" w14:textId="77777777" w:rsidR="00834E69" w:rsidRDefault="00834E69" w:rsidP="00834E69">
      <w:pPr>
        <w:pStyle w:val="Normal120"/>
      </w:pPr>
      <w:r>
        <w:rPr>
          <w:b/>
        </w:rPr>
        <w:t>Hydro Unit</w:t>
      </w:r>
      <w:r>
        <w:t xml:space="preserve"> – Generating unit in which the energy of flowing water drives the turbine Resource to produce electricity.  </w:t>
      </w:r>
    </w:p>
    <w:p w14:paraId="7AFE35F0" w14:textId="77777777" w:rsidR="00834E69" w:rsidRDefault="00834E69" w:rsidP="00834E69">
      <w:pPr>
        <w:pStyle w:val="Normal120"/>
      </w:pPr>
      <w:r>
        <w:rPr>
          <w:b/>
          <w:bCs/>
        </w:rPr>
        <w:t>Pumped Hydro Unit</w:t>
      </w:r>
      <w:r>
        <w:t xml:space="preserve"> – Hydroelectric power generation that stores energy in the form of water by pumping from a lower elevation source to a higher elevation reservoir, then allowing the upper reservoir to drain turning the turbines to produce power.  </w:t>
      </w:r>
    </w:p>
    <w:p w14:paraId="05682A88" w14:textId="59F37336" w:rsidR="00834E69" w:rsidRDefault="00505C2E" w:rsidP="00781C61">
      <w:pPr>
        <w:pStyle w:val="3Appx3"/>
        <w:numPr>
          <w:ilvl w:val="0"/>
          <w:numId w:val="0"/>
        </w:numPr>
      </w:pPr>
      <w:bookmarkStart w:id="12028" w:name="_Toc351019835"/>
      <w:bookmarkStart w:id="12029" w:name="_Toc363483378"/>
      <w:bookmarkStart w:id="12030" w:name="_Toc131493493"/>
      <w:bookmarkStart w:id="12031" w:name="_Toc213772325"/>
      <w:r>
        <w:t>D.6.1</w:t>
      </w:r>
      <w:r>
        <w:tab/>
      </w:r>
      <w:r w:rsidR="00834E69">
        <w:t>Pumping Efficiency (Pumped Hydro Only)</w:t>
      </w:r>
      <w:bookmarkEnd w:id="12028"/>
      <w:bookmarkEnd w:id="12029"/>
      <w:bookmarkEnd w:id="12030"/>
      <w:bookmarkEnd w:id="12031"/>
    </w:p>
    <w:p w14:paraId="08345E14" w14:textId="77777777" w:rsidR="00834E69" w:rsidRDefault="00834E69" w:rsidP="00834E69">
      <w:pPr>
        <w:pStyle w:val="Normal120"/>
      </w:pPr>
      <w:r>
        <w:rPr>
          <w:b/>
        </w:rPr>
        <w:t>Pumping Efficiency</w:t>
      </w:r>
      <w:r>
        <w:t xml:space="preserve"> is the Pumped Hydro Unit’s version of a heat rate.  It measures the ratio of generation produced to the amount of generation used as fuel.  </w:t>
      </w:r>
    </w:p>
    <w:p w14:paraId="5C09E15B" w14:textId="77777777" w:rsidR="00834E69" w:rsidRDefault="00834E69" w:rsidP="00834E69">
      <w:pPr>
        <w:pStyle w:val="Normal120"/>
      </w:pPr>
      <w:r>
        <w:t xml:space="preserve">Pumping Efficiency (PE) is calculated by dividing the MWh of generation produced while operating in generation mode by the MWh required to pump the water needed to produce the generation MWh.  </w:t>
      </w:r>
    </w:p>
    <w:p w14:paraId="021753D4" w14:textId="77777777" w:rsidR="00834E69" w:rsidRDefault="0002195B" w:rsidP="00834E69">
      <m:oMathPara>
        <m:oMath>
          <m:r>
            <w:rPr>
              <w:rFonts w:ascii="Cambria Math" w:hAnsi="Cambria Math"/>
            </w:rPr>
            <m:t>Pumping Efficiency=</m:t>
          </m:r>
          <m:f>
            <m:fPr>
              <m:ctrlPr>
                <w:rPr>
                  <w:rFonts w:ascii="Cambria Math" w:hAnsi="Cambria Math"/>
                  <w:i/>
                </w:rPr>
              </m:ctrlPr>
            </m:fPr>
            <m:num>
              <m:r>
                <w:rPr>
                  <w:rFonts w:ascii="Cambria Math" w:hAnsi="Cambria Math"/>
                </w:rPr>
                <m:t>MWh Generation Produced</m:t>
              </m:r>
            </m:num>
            <m:den>
              <m:r>
                <w:rPr>
                  <w:rFonts w:ascii="Cambria Math" w:hAnsi="Cambria Math"/>
                </w:rPr>
                <m:t>MWh Generation Pumped as Fuel</m:t>
              </m:r>
            </m:den>
          </m:f>
        </m:oMath>
      </m:oMathPara>
    </w:p>
    <w:p w14:paraId="53F7917B" w14:textId="77777777" w:rsidR="00834E69" w:rsidRDefault="00834E69" w:rsidP="00834E69"/>
    <w:p w14:paraId="5B94EEA1" w14:textId="77777777" w:rsidR="00834E69" w:rsidRDefault="00834E69" w:rsidP="00834E69">
      <w:pPr>
        <w:pStyle w:val="Normal120"/>
      </w:pPr>
      <w:r>
        <w:t>For example, it requires 1,000 ft</w:t>
      </w:r>
      <w:r>
        <w:rPr>
          <w:vertAlign w:val="superscript"/>
        </w:rPr>
        <w:t>3</w:t>
      </w:r>
      <w:r>
        <w:t xml:space="preserve"> to produce one MWh of generation as water flows from the pond to the sink and it requires two MWh of pumping load to pump 1,000 ft</w:t>
      </w:r>
      <w:r>
        <w:rPr>
          <w:vertAlign w:val="superscript"/>
        </w:rPr>
        <w:t>3</w:t>
      </w:r>
      <w:r>
        <w:t xml:space="preserve"> of water from the sink to the pond.  The resultant efficiency is:</w:t>
      </w:r>
    </w:p>
    <w:p w14:paraId="7B938A40" w14:textId="77777777" w:rsidR="00834E69" w:rsidRDefault="0002195B" w:rsidP="00834E69">
      <m:oMathPara>
        <m:oMathParaPr>
          <m:jc m:val="center"/>
        </m:oMathParaPr>
        <m:oMath>
          <m:r>
            <w:rPr>
              <w:rFonts w:ascii="Cambria Math" w:hAnsi="Cambria Math"/>
            </w:rPr>
            <m:t>Pumping Efficiency=</m:t>
          </m:r>
          <m:f>
            <m:fPr>
              <m:ctrlPr>
                <w:rPr>
                  <w:rFonts w:ascii="Cambria Math" w:hAnsi="Cambria Math"/>
                  <w:i/>
                </w:rPr>
              </m:ctrlPr>
            </m:fPr>
            <m:num>
              <m:r>
                <w:rPr>
                  <w:rFonts w:ascii="Cambria Math" w:hAnsi="Cambria Math"/>
                </w:rPr>
                <m:t>MWh Generation Produced</m:t>
              </m:r>
            </m:num>
            <m:den>
              <m:r>
                <w:rPr>
                  <w:rFonts w:ascii="Cambria Math" w:hAnsi="Cambria Math"/>
                </w:rPr>
                <m:t>MWh Generation Pumped as Fuel</m:t>
              </m:r>
            </m:den>
          </m:f>
          <m:r>
            <w:rPr>
              <w:rFonts w:ascii="Cambria Math" w:hAnsi="Cambria Math"/>
            </w:rPr>
            <m:t>=</m:t>
          </m:r>
          <m:f>
            <m:fPr>
              <m:ctrlPr>
                <w:rPr>
                  <w:rFonts w:ascii="Cambria Math" w:hAnsi="Cambria Math"/>
                  <w:i/>
                </w:rPr>
              </m:ctrlPr>
            </m:fPr>
            <m:num>
              <m:r>
                <w:rPr>
                  <w:rFonts w:ascii="Cambria Math" w:hAnsi="Cambria Math"/>
                </w:rPr>
                <m:t>3.  5 MWh (generated)</m:t>
              </m:r>
            </m:num>
            <m:den>
              <m:r>
                <w:rPr>
                  <w:rFonts w:ascii="Cambria Math" w:hAnsi="Cambria Math"/>
                </w:rPr>
                <m:t>5 MWh (pumped)</m:t>
              </m:r>
            </m:den>
          </m:f>
          <m:r>
            <w:rPr>
              <w:rFonts w:ascii="Cambria Math" w:hAnsi="Cambria Math"/>
            </w:rPr>
            <m:t>=0.  70</m:t>
          </m:r>
        </m:oMath>
      </m:oMathPara>
    </w:p>
    <w:p w14:paraId="662BAB70" w14:textId="77777777" w:rsidR="00834E69" w:rsidRDefault="00834E69" w:rsidP="00834E69">
      <w:pPr>
        <w:pStyle w:val="Normal120"/>
      </w:pPr>
      <w:r>
        <w:t xml:space="preserve">In order to account for environmental and physical factors associated with the characteristics of the pond and pumping operations that limit the accuracy of calculating short term pumping efficiency, a seven-day rolling total of pumping and generation MWh are utilized for pumping efficiency calculations.  </w:t>
      </w:r>
    </w:p>
    <w:p w14:paraId="345CE0FF" w14:textId="4960C247" w:rsidR="00834E69" w:rsidRDefault="00834E69" w:rsidP="00834E69">
      <w:pPr>
        <w:spacing w:line="300" w:lineRule="auto"/>
      </w:pPr>
      <w:r>
        <w:t>PE can be calculated by one</w:t>
      </w:r>
      <w:r w:rsidR="00AD364F">
        <w:t xml:space="preserve"> (1)</w:t>
      </w:r>
      <w:r>
        <w:t xml:space="preserve"> of three</w:t>
      </w:r>
      <w:r w:rsidR="00AD364F">
        <w:t xml:space="preserve"> (3)</w:t>
      </w:r>
      <w:r>
        <w:t xml:space="preserve"> methods.  An owner must make the choice of method for a period of one year, and cannot change to another method for a period of one</w:t>
      </w:r>
      <w:r w:rsidR="00AD364F">
        <w:t xml:space="preserve"> (1)</w:t>
      </w:r>
      <w:r>
        <w:t xml:space="preserve"> calendar year.  </w:t>
      </w:r>
    </w:p>
    <w:p w14:paraId="6A307365" w14:textId="77777777" w:rsidR="00834E69" w:rsidRDefault="00834E69" w:rsidP="00DA3CE7">
      <w:pPr>
        <w:pStyle w:val="SPPBulletedList"/>
        <w:numPr>
          <w:ilvl w:val="0"/>
          <w:numId w:val="242"/>
        </w:numPr>
        <w:tabs>
          <w:tab w:val="left" w:pos="720"/>
        </w:tabs>
        <w:spacing w:line="300" w:lineRule="auto"/>
        <w:jc w:val="both"/>
      </w:pPr>
      <w:r>
        <w:rPr>
          <w:rFonts w:hint="cs"/>
        </w:rPr>
        <w:t xml:space="preserve">Option 1: Twelve-month calendar actual Pumping Efficiency.  </w:t>
      </w:r>
    </w:p>
    <w:p w14:paraId="5FC7E4F2" w14:textId="77777777" w:rsidR="00834E69" w:rsidRDefault="00834E69" w:rsidP="00DA3CE7">
      <w:pPr>
        <w:pStyle w:val="SPPBulletedList"/>
        <w:numPr>
          <w:ilvl w:val="1"/>
          <w:numId w:val="242"/>
        </w:numPr>
        <w:tabs>
          <w:tab w:val="left" w:pos="720"/>
        </w:tabs>
        <w:spacing w:line="300" w:lineRule="auto"/>
        <w:jc w:val="both"/>
      </w:pPr>
      <w:r>
        <w:rPr>
          <w:rFonts w:hint="cs"/>
        </w:rPr>
        <w:t xml:space="preserve">The previous 12-month calendar year average Pumping Efficiency based on actual pumping operations.  </w:t>
      </w:r>
    </w:p>
    <w:p w14:paraId="12A71067" w14:textId="2E5E7F79" w:rsidR="00834E69" w:rsidRDefault="00834E69" w:rsidP="00DA3CE7">
      <w:pPr>
        <w:pStyle w:val="SPPBulletedList"/>
        <w:numPr>
          <w:ilvl w:val="0"/>
          <w:numId w:val="242"/>
        </w:numPr>
        <w:tabs>
          <w:tab w:val="left" w:pos="720"/>
        </w:tabs>
        <w:spacing w:line="300" w:lineRule="auto"/>
        <w:jc w:val="both"/>
      </w:pPr>
      <w:r>
        <w:rPr>
          <w:rFonts w:hint="cs"/>
        </w:rPr>
        <w:t>Option 2: Three</w:t>
      </w:r>
      <w:r w:rsidR="001E3628">
        <w:t>-</w:t>
      </w:r>
      <w:r>
        <w:rPr>
          <w:rFonts w:hint="cs"/>
        </w:rPr>
        <w:t xml:space="preserve">month rolling Pumping Efficiency.  </w:t>
      </w:r>
    </w:p>
    <w:p w14:paraId="2E2CF5E4" w14:textId="1A5950D3" w:rsidR="00834E69" w:rsidRDefault="00834E69" w:rsidP="00DA3CE7">
      <w:pPr>
        <w:pStyle w:val="SPPBulletedList"/>
        <w:numPr>
          <w:ilvl w:val="1"/>
          <w:numId w:val="242"/>
        </w:numPr>
        <w:tabs>
          <w:tab w:val="left" w:pos="720"/>
        </w:tabs>
        <w:spacing w:line="300" w:lineRule="auto"/>
        <w:jc w:val="both"/>
      </w:pPr>
      <w:r>
        <w:rPr>
          <w:rFonts w:hint="cs"/>
        </w:rPr>
        <w:t>The previous three</w:t>
      </w:r>
      <w:r w:rsidR="001E3628">
        <w:t xml:space="preserve"> (3)</w:t>
      </w:r>
      <w:r>
        <w:rPr>
          <w:rFonts w:hint="cs"/>
        </w:rPr>
        <w:t xml:space="preserve"> months rolling actual efficiency where the average monthly availability is 50% or greater.  The calculation must be updated after each month.  </w:t>
      </w:r>
    </w:p>
    <w:p w14:paraId="0DE207B2" w14:textId="77777777" w:rsidR="00834E69" w:rsidRDefault="00834E69" w:rsidP="00DA3CE7">
      <w:pPr>
        <w:pStyle w:val="SPPBulletedList"/>
        <w:numPr>
          <w:ilvl w:val="0"/>
          <w:numId w:val="242"/>
        </w:numPr>
        <w:tabs>
          <w:tab w:val="left" w:pos="720"/>
        </w:tabs>
        <w:spacing w:line="300" w:lineRule="auto"/>
        <w:jc w:val="both"/>
      </w:pPr>
      <w:r>
        <w:rPr>
          <w:rFonts w:hint="cs"/>
        </w:rPr>
        <w:t xml:space="preserve">Option 3: The previous month actual Pumping Efficiency.  </w:t>
      </w:r>
    </w:p>
    <w:p w14:paraId="334DDF4D" w14:textId="77777777" w:rsidR="00834E69" w:rsidRDefault="00834E69" w:rsidP="00DA3CE7">
      <w:pPr>
        <w:pStyle w:val="SPPBulletedList"/>
        <w:numPr>
          <w:ilvl w:val="1"/>
          <w:numId w:val="242"/>
        </w:numPr>
        <w:tabs>
          <w:tab w:val="left" w:pos="720"/>
        </w:tabs>
        <w:spacing w:line="300" w:lineRule="auto"/>
        <w:jc w:val="both"/>
      </w:pPr>
      <w:r>
        <w:rPr>
          <w:rFonts w:hint="cs"/>
        </w:rPr>
        <w:t xml:space="preserve">The previous month actual efficiency where the availability is 50% or greater.  The calculation must be updated monthly.  </w:t>
      </w:r>
    </w:p>
    <w:p w14:paraId="4D7C6A2F" w14:textId="4182390B" w:rsidR="00834E69" w:rsidRDefault="00505C2E" w:rsidP="00781C61">
      <w:pPr>
        <w:pStyle w:val="3Appx3"/>
        <w:numPr>
          <w:ilvl w:val="0"/>
          <w:numId w:val="0"/>
        </w:numPr>
      </w:pPr>
      <w:bookmarkStart w:id="12032" w:name="_Toc351019836"/>
      <w:bookmarkStart w:id="12033" w:name="_Toc363483379"/>
      <w:bookmarkStart w:id="12034" w:name="_Toc131493494"/>
      <w:bookmarkStart w:id="12035" w:name="_Toc213772326"/>
      <w:r>
        <w:t>D.6.2</w:t>
      </w:r>
      <w:r>
        <w:tab/>
      </w:r>
      <w:r w:rsidR="00834E69">
        <w:t>Performance Factors</w:t>
      </w:r>
      <w:bookmarkEnd w:id="12032"/>
      <w:bookmarkEnd w:id="12033"/>
      <w:bookmarkEnd w:id="12034"/>
      <w:bookmarkEnd w:id="12035"/>
      <w:r w:rsidR="00834E69">
        <w:t xml:space="preserve"> </w:t>
      </w:r>
    </w:p>
    <w:p w14:paraId="3902656A" w14:textId="3E1D97CF" w:rsidR="00834E69" w:rsidRDefault="00834E69" w:rsidP="00834E69">
      <w:pPr>
        <w:pStyle w:val="IntenseQuote"/>
        <w:jc w:val="both"/>
      </w:pPr>
      <w:r>
        <w:t>Note: The information in Section D</w:t>
      </w:r>
      <w:r w:rsidR="001E3628">
        <w:t>.</w:t>
      </w:r>
      <w:r>
        <w:t xml:space="preserve">2.4 contains basic Performance Factor information relevant for all unit types.  The following additional information only pertains to hydro units.  </w:t>
      </w:r>
    </w:p>
    <w:p w14:paraId="2BF97345" w14:textId="0351E7B0" w:rsidR="00834E69" w:rsidRDefault="00505C2E" w:rsidP="00781C61">
      <w:pPr>
        <w:pStyle w:val="3Appx3"/>
        <w:numPr>
          <w:ilvl w:val="0"/>
          <w:numId w:val="0"/>
        </w:numPr>
      </w:pPr>
      <w:bookmarkStart w:id="12036" w:name="_Toc351019837"/>
      <w:bookmarkStart w:id="12037" w:name="_Toc363483380"/>
      <w:bookmarkStart w:id="12038" w:name="_Toc131493495"/>
      <w:bookmarkStart w:id="12039" w:name="_Toc213772327"/>
      <w:r>
        <w:t>D.6.3</w:t>
      </w:r>
      <w:r>
        <w:tab/>
      </w:r>
      <w:r w:rsidR="00834E69">
        <w:t>Fuel Cost</w:t>
      </w:r>
      <w:bookmarkEnd w:id="12036"/>
      <w:bookmarkEnd w:id="12037"/>
      <w:bookmarkEnd w:id="12038"/>
      <w:bookmarkEnd w:id="12039"/>
    </w:p>
    <w:p w14:paraId="1BC7D6CA" w14:textId="77777777" w:rsidR="00834E69" w:rsidRDefault="00834E69" w:rsidP="00834E69">
      <w:pPr>
        <w:pStyle w:val="Normal120"/>
      </w:pPr>
      <w:r>
        <w:t xml:space="preserve">To be consistent with other  units within this manual the term fuel cost is used to account for the energy necessary to pump from the lower reservoir to the upper reservoir.  </w:t>
      </w:r>
    </w:p>
    <w:p w14:paraId="5C87CA1D" w14:textId="35B98138" w:rsidR="00834E69" w:rsidRDefault="00834E69" w:rsidP="00834E69">
      <w:pPr>
        <w:pStyle w:val="IntenseQuote"/>
        <w:jc w:val="both"/>
      </w:pPr>
      <w:r>
        <w:t>Note: The information in Section D</w:t>
      </w:r>
      <w:r w:rsidR="001E3628">
        <w:t>.</w:t>
      </w:r>
      <w:r>
        <w:t xml:space="preserve">2.5 contains basic Fuel Cost information relevant for all unit types.  The following additional information only pertains to pumped hydro units.  </w:t>
      </w:r>
    </w:p>
    <w:p w14:paraId="6061A65B" w14:textId="04D27827" w:rsidR="00834E69" w:rsidRDefault="00834E69" w:rsidP="00834E69">
      <w:pPr>
        <w:pStyle w:val="Normal120"/>
      </w:pPr>
      <w:r>
        <w:t xml:space="preserve">If, a Market Participant wishes to change its method of calculation of pumped storage TFRC, the Market Participant must notify the Market Monitor, pursuant to the Mitigated Offer </w:t>
      </w:r>
      <w:r w:rsidR="00692523">
        <w:t xml:space="preserve">Development </w:t>
      </w:r>
      <w:r>
        <w:t>Methodology Approval Process found in section D</w:t>
      </w:r>
      <w:r w:rsidR="001E3628">
        <w:t>.</w:t>
      </w:r>
      <w:r>
        <w:t xml:space="preserve">1.5. </w:t>
      </w:r>
    </w:p>
    <w:p w14:paraId="1D37D983" w14:textId="77777777" w:rsidR="00834E69" w:rsidRDefault="00834E69" w:rsidP="00834E69">
      <w:pPr>
        <w:pStyle w:val="Normal120"/>
      </w:pPr>
      <w:r>
        <w:rPr>
          <w:b/>
        </w:rPr>
        <w:t>Pumped Storage Fuel Cost</w:t>
      </w:r>
      <w:r>
        <w:t xml:space="preserve"> – Pumped storage fuel cost must be calculated on a seven (7) day rolling basis by multiplying the Real-Time bus LMP (published by Market Operator) at the plant node by the actual power consumed when pumping.  The following equations govern pumping storage fuel cost:</w:t>
      </w:r>
    </w:p>
    <w:p w14:paraId="02A03203" w14:textId="77777777" w:rsidR="00834E69" w:rsidRDefault="0002195B" w:rsidP="00834E69">
      <m:oMath>
        <m:r>
          <w:rPr>
            <w:rFonts w:ascii="Cambria Math" w:hAnsi="Cambria Math"/>
          </w:rPr>
          <m:t>Pumping Power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oMath>
      <w:r w:rsidR="00834E69">
        <w:t xml:space="preserve"> = </w:t>
      </w:r>
    </w:p>
    <w:p w14:paraId="56AB5223" w14:textId="77777777" w:rsidR="00834E69" w:rsidRDefault="00977324" w:rsidP="00834E69">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Real</m:t>
                  </m:r>
                  <m:r>
                    <w:rPr>
                      <w:rFonts w:ascii="Cambria Math" w:hAnsi="Cambria Math"/>
                    </w:rPr>
                    <m:t>-</m:t>
                  </m:r>
                  <m:r>
                    <w:rPr>
                      <w:rFonts w:ascii="Cambria Math" w:hAnsi="Cambria Math"/>
                    </w:rPr>
                    <m:t>Time</m:t>
                  </m:r>
                  <m:r>
                    <w:rPr>
                      <w:rFonts w:ascii="Cambria Math" w:hAnsi="Cambria Math"/>
                    </w:rPr>
                    <m:t xml:space="preserve"> </m:t>
                  </m:r>
                  <m:r>
                    <w:rPr>
                      <w:rFonts w:ascii="Cambria Math" w:hAnsi="Cambria Math"/>
                    </w:rPr>
                    <m:t>LMP</m:t>
                  </m:r>
                  <m:r>
                    <w:rPr>
                      <w:rFonts w:ascii="Cambria Math" w:hAnsi="Cambria Math"/>
                    </w:rPr>
                    <m:t xml:space="preserve"> ($/</m:t>
                  </m:r>
                  <m:r>
                    <w:rPr>
                      <w:rFonts w:ascii="Cambria Math" w:hAnsi="Cambria Math"/>
                    </w:rPr>
                    <m:t>MW</m:t>
                  </m:r>
                  <m:r>
                    <w:rPr>
                      <w:rFonts w:ascii="Cambria Math" w:hAnsi="Cambria Math"/>
                    </w:rPr>
                    <m:t>h</m:t>
                  </m:r>
                  <m:r>
                    <w:rPr>
                      <w:rFonts w:ascii="Cambria Math" w:hAnsi="Cambria Math"/>
                    </w:rPr>
                    <m:t>) *</m:t>
                  </m:r>
                  <m:r>
                    <w:rPr>
                      <w:rFonts w:ascii="Cambria Math" w:hAnsi="Cambria Math"/>
                    </w:rPr>
                    <m:t>Pumping</m:t>
                  </m:r>
                  <m:r>
                    <w:rPr>
                      <w:rFonts w:ascii="Cambria Math" w:hAnsi="Cambria Math"/>
                    </w:rPr>
                    <m:t xml:space="preserve"> </m:t>
                  </m:r>
                  <m:r>
                    <w:rPr>
                      <w:rFonts w:ascii="Cambria Math" w:hAnsi="Cambria Math"/>
                    </w:rPr>
                    <m:t>Power</m:t>
                  </m:r>
                  <m:r>
                    <w:rPr>
                      <w:rFonts w:ascii="Cambria Math" w:hAnsi="Cambria Math"/>
                    </w:rPr>
                    <m:t xml:space="preserve"> (</m:t>
                  </m:r>
                  <m:r>
                    <w:rPr>
                      <w:rFonts w:ascii="Cambria Math" w:hAnsi="Cambria Math"/>
                    </w:rPr>
                    <m:t>MW</m:t>
                  </m:r>
                  <m:r>
                    <w:rPr>
                      <w:rFonts w:ascii="Cambria Math" w:hAnsi="Cambria Math"/>
                    </w:rPr>
                    <m:t>h)</m:t>
                  </m:r>
                </m:e>
              </m:nary>
            </m:num>
            <m:den>
              <m:r>
                <w:rPr>
                  <w:rFonts w:ascii="Cambria Math" w:hAnsi="Cambria Math"/>
                </w:rPr>
                <m:t>Total</m:t>
              </m:r>
              <m:r>
                <w:rPr>
                  <w:rFonts w:ascii="Cambria Math" w:hAnsi="Cambria Math"/>
                </w:rPr>
                <m:t xml:space="preserve"> </m:t>
              </m:r>
              <m:r>
                <w:rPr>
                  <w:rFonts w:ascii="Cambria Math" w:hAnsi="Cambria Math"/>
                </w:rPr>
                <m:t>Pumping</m:t>
              </m:r>
              <m:r>
                <w:rPr>
                  <w:rFonts w:ascii="Cambria Math" w:hAnsi="Cambria Math"/>
                </w:rPr>
                <m:t xml:space="preserve"> </m:t>
              </m:r>
              <m:r>
                <w:rPr>
                  <w:rFonts w:ascii="Cambria Math" w:hAnsi="Cambria Math"/>
                </w:rPr>
                <m:t>Power</m:t>
              </m:r>
              <m:r>
                <w:rPr>
                  <w:rFonts w:ascii="Cambria Math" w:hAnsi="Cambria Math"/>
                </w:rPr>
                <m:t xml:space="preserve"> </m:t>
              </m:r>
              <m:d>
                <m:dPr>
                  <m:ctrlPr>
                    <w:rPr>
                      <w:rFonts w:ascii="Cambria Math" w:hAnsi="Cambria Math"/>
                      <w:i/>
                    </w:rPr>
                  </m:ctrlPr>
                </m:dPr>
                <m:e>
                  <m:r>
                    <w:rPr>
                      <w:rFonts w:ascii="Cambria Math" w:hAnsi="Cambria Math"/>
                    </w:rPr>
                    <m:t>MW</m:t>
                  </m:r>
                  <m:r>
                    <w:rPr>
                      <w:rFonts w:ascii="Cambria Math" w:hAnsi="Cambria Math"/>
                    </w:rPr>
                    <m:t>h</m:t>
                  </m:r>
                </m:e>
              </m:d>
              <m:r>
                <w:rPr>
                  <w:rFonts w:ascii="Cambria Math" w:hAnsi="Cambria Math"/>
                </w:rPr>
                <m:t>*</m:t>
              </m:r>
              <m:r>
                <w:rPr>
                  <w:rFonts w:ascii="Cambria Math" w:hAnsi="Cambria Math"/>
                </w:rPr>
                <m:t>Pumping</m:t>
              </m:r>
              <m:r>
                <w:rPr>
                  <w:rFonts w:ascii="Cambria Math" w:hAnsi="Cambria Math"/>
                </w:rPr>
                <m:t xml:space="preserve"> </m:t>
              </m:r>
              <m:r>
                <w:rPr>
                  <w:rFonts w:ascii="Cambria Math" w:hAnsi="Cambria Math"/>
                </w:rPr>
                <m:t>Efficiency</m:t>
              </m:r>
            </m:den>
          </m:f>
          <m:r>
            <w:rPr>
              <w:rFonts w:ascii="Cambria Math" w:hAnsi="Cambria Math"/>
            </w:rPr>
            <m:t xml:space="preserve"> </m:t>
          </m:r>
        </m:oMath>
      </m:oMathPara>
    </w:p>
    <w:p w14:paraId="057AF9A3" w14:textId="6F3702B2" w:rsidR="00834E69" w:rsidRDefault="00505C2E" w:rsidP="00E679DC">
      <w:pPr>
        <w:pStyle w:val="Heading471"/>
      </w:pPr>
      <w:bookmarkStart w:id="12040" w:name="_Toc351019838"/>
      <w:bookmarkStart w:id="12041" w:name="_Toc363483381"/>
      <w:bookmarkStart w:id="12042" w:name="_Toc131493496"/>
      <w:bookmarkStart w:id="12043" w:name="_Toc213772328"/>
      <w:r>
        <w:t>D.6.3.1</w:t>
      </w:r>
      <w:r>
        <w:tab/>
      </w:r>
      <w:r w:rsidR="00834E69">
        <w:t>Total Energy Input Related Costs for Pumped Storage Hydro Plant Generation</w:t>
      </w:r>
      <w:bookmarkEnd w:id="12040"/>
      <w:bookmarkEnd w:id="12041"/>
      <w:bookmarkEnd w:id="12042"/>
      <w:bookmarkEnd w:id="12043"/>
    </w:p>
    <w:p w14:paraId="59C7A26D" w14:textId="77777777" w:rsidR="00834E69" w:rsidRDefault="00834E69" w:rsidP="00834E69">
      <w:pPr>
        <w:pStyle w:val="Normal120"/>
      </w:pPr>
      <w:r>
        <w:t>Total energy input-related costs for all pumped storage hydro units is defined as follows:</w:t>
      </w:r>
    </w:p>
    <w:p w14:paraId="5AAF22FC" w14:textId="77777777" w:rsidR="00834E69" w:rsidRDefault="0002195B" w:rsidP="00834E69">
      <m:oMathPara>
        <m:oMathParaPr>
          <m:jc m:val="left"/>
        </m:oMathParaPr>
        <m:oMath>
          <m:r>
            <w:rPr>
              <w:rFonts w:ascii="Cambria Math" w:hAnsi="Cambria Math"/>
            </w:rPr>
            <m:t>Pumped Storage Hydro Total Energy Input Related Cost($/MWh)</m:t>
          </m:r>
        </m:oMath>
      </m:oMathPara>
    </w:p>
    <w:p w14:paraId="0BDE1343" w14:textId="77777777" w:rsidR="00834E69" w:rsidRDefault="0002195B" w:rsidP="00834E69">
      <m:oMathPara>
        <m:oMathParaPr>
          <m:jc m:val="center"/>
        </m:oMathParaPr>
        <m:oMath>
          <m:r>
            <w:rPr>
              <w:rFonts w:ascii="Cambria Math" w:hAnsi="Cambria Math"/>
            </w:rPr>
            <m:t>=Pumping Power Cost($/MWh)+ EOC VOM Cost($/MWh)</m:t>
          </m:r>
        </m:oMath>
      </m:oMathPara>
    </w:p>
    <w:p w14:paraId="6195B287" w14:textId="7C7EE2E9" w:rsidR="00834E69" w:rsidRDefault="00505C2E" w:rsidP="00781C61">
      <w:pPr>
        <w:pStyle w:val="3Appx3"/>
        <w:numPr>
          <w:ilvl w:val="0"/>
          <w:numId w:val="0"/>
        </w:numPr>
      </w:pPr>
      <w:bookmarkStart w:id="12044" w:name="_Toc363483382"/>
      <w:bookmarkStart w:id="12045" w:name="_Toc131493497"/>
      <w:bookmarkStart w:id="12046" w:name="_Toc213772329"/>
      <w:r>
        <w:t>D.6.4</w:t>
      </w:r>
      <w:r>
        <w:tab/>
      </w:r>
      <w:r w:rsidR="00834E69">
        <w:t>Mitigated Start-Up Offer</w:t>
      </w:r>
      <w:bookmarkEnd w:id="12044"/>
      <w:bookmarkEnd w:id="12045"/>
      <w:bookmarkEnd w:id="12046"/>
    </w:p>
    <w:p w14:paraId="46EEBFEE" w14:textId="06C6CD44" w:rsidR="00834E69" w:rsidRDefault="00834E69" w:rsidP="00834E69">
      <w:pPr>
        <w:pStyle w:val="Normal120"/>
      </w:pPr>
      <w:r>
        <w:t xml:space="preserve">Hydro Units do not have </w:t>
      </w:r>
      <w:r w:rsidR="00775676">
        <w:t>s</w:t>
      </w:r>
      <w:r>
        <w:t xml:space="preserve">tart-up costs.  </w:t>
      </w:r>
    </w:p>
    <w:p w14:paraId="5045F3F6" w14:textId="0EEEB978" w:rsidR="00834E69" w:rsidRDefault="00505C2E" w:rsidP="00781C61">
      <w:pPr>
        <w:pStyle w:val="3Appx3"/>
        <w:numPr>
          <w:ilvl w:val="0"/>
          <w:numId w:val="0"/>
        </w:numPr>
      </w:pPr>
      <w:bookmarkStart w:id="12047" w:name="_Toc351019840"/>
      <w:bookmarkStart w:id="12048" w:name="_Toc363483383"/>
      <w:bookmarkStart w:id="12049" w:name="_Toc131493498"/>
      <w:bookmarkStart w:id="12050" w:name="_Toc213772330"/>
      <w:r>
        <w:t>D.6.5</w:t>
      </w:r>
      <w:r>
        <w:tab/>
      </w:r>
      <w:r w:rsidR="00834E69">
        <w:t>Mitigated No-Load Offer</w:t>
      </w:r>
      <w:bookmarkEnd w:id="12047"/>
      <w:bookmarkEnd w:id="12048"/>
      <w:bookmarkEnd w:id="12049"/>
      <w:bookmarkEnd w:id="12050"/>
    </w:p>
    <w:p w14:paraId="26AD10CA" w14:textId="40F5504E" w:rsidR="00834E69" w:rsidRDefault="00834E69" w:rsidP="00834E69">
      <w:pPr>
        <w:pStyle w:val="Normal120"/>
      </w:pPr>
      <w:r>
        <w:t xml:space="preserve">Hydro Units do not have </w:t>
      </w:r>
      <w:r w:rsidR="00775676">
        <w:t>n</w:t>
      </w:r>
      <w:r>
        <w:t>o-</w:t>
      </w:r>
      <w:r w:rsidR="00775676">
        <w:t>l</w:t>
      </w:r>
      <w:r>
        <w:t xml:space="preserve">oad costs.  </w:t>
      </w:r>
    </w:p>
    <w:p w14:paraId="5869E8DA" w14:textId="2AE0B686" w:rsidR="00834E69" w:rsidRDefault="00505C2E" w:rsidP="00781C61">
      <w:pPr>
        <w:pStyle w:val="3Appx3"/>
        <w:numPr>
          <w:ilvl w:val="0"/>
          <w:numId w:val="0"/>
        </w:numPr>
      </w:pPr>
      <w:bookmarkStart w:id="12051" w:name="_Toc351019841"/>
      <w:bookmarkStart w:id="12052" w:name="_Toc363483384"/>
      <w:bookmarkStart w:id="12053" w:name="_Toc131493499"/>
      <w:bookmarkStart w:id="12054" w:name="_Toc213772331"/>
      <w:r>
        <w:t>D.6.6</w:t>
      </w:r>
      <w:r>
        <w:tab/>
      </w:r>
      <w:r w:rsidR="00834E69">
        <w:t>VOM Cost</w:t>
      </w:r>
      <w:bookmarkEnd w:id="12051"/>
      <w:bookmarkEnd w:id="12052"/>
      <w:bookmarkEnd w:id="12053"/>
      <w:bookmarkEnd w:id="12054"/>
    </w:p>
    <w:p w14:paraId="7216DA5E" w14:textId="30C0BF8A" w:rsidR="00834E69" w:rsidRDefault="00834E69" w:rsidP="00834E69">
      <w:pPr>
        <w:pStyle w:val="IntenseQuote"/>
        <w:jc w:val="both"/>
      </w:pPr>
      <w:r>
        <w:t>Note: The information in Section D</w:t>
      </w:r>
      <w:r w:rsidR="00957FEF">
        <w:t>.</w:t>
      </w:r>
      <w:r>
        <w:t xml:space="preserve">2.6 contains basic VOM Cost information relevant for all unit types.  The following additional information only pertains to hydro units.  </w:t>
      </w:r>
    </w:p>
    <w:p w14:paraId="71C44CEB" w14:textId="77777777" w:rsidR="00834E69" w:rsidRDefault="00834E69" w:rsidP="00834E69">
      <w:pPr>
        <w:pStyle w:val="Normal120"/>
      </w:pPr>
      <w:r>
        <w:t>The historical total dollars from the FERC accounts or their equivalent accounting for non-jurisdictional entities listed here should be used to calculate the VOM $ specified under Section 2.6.1.  The cost of labor, materials used, and expenses incurred in the maintenance of plant, includible in Account 332, Reservoirs, Dams, and Waterways.  (See operating expense instruction 2).  The cost of labor materials used, and expenses incurred in the maintenance of fish and wildlife, and recreation facilities, the book cost of which is includible in Account 332, Reservoirs, Dams, and Waterways, includable in Account 545, Maintenance of Miscellaneous Hydraulic Plant.  Maintenance of Electric Plant as derived from FERC Account 544.  Maintenance of Reservoirs as derived from FERC Account 543.</w:t>
      </w:r>
    </w:p>
    <w:p w14:paraId="12C7CE7B" w14:textId="0BBFCE76" w:rsidR="00834E69" w:rsidRPr="009824C2" w:rsidRDefault="00505C2E" w:rsidP="00E679DC">
      <w:pPr>
        <w:pStyle w:val="Heading471"/>
      </w:pPr>
      <w:bookmarkStart w:id="12055" w:name="_Toc213772332"/>
      <w:r w:rsidRPr="009824C2">
        <w:t>D.7</w:t>
      </w:r>
      <w:r w:rsidRPr="009824C2">
        <w:tab/>
      </w:r>
      <w:r w:rsidR="00834E69" w:rsidRPr="009824C2">
        <w:t>Seasonal Hydroelectric Offer Curve (SHOC)</w:t>
      </w:r>
      <w:bookmarkEnd w:id="12055"/>
    </w:p>
    <w:p w14:paraId="164908F2" w14:textId="586048C0" w:rsidR="00834E69" w:rsidRDefault="00834E69" w:rsidP="00834E69">
      <w:pPr>
        <w:pStyle w:val="IntenseQuote"/>
        <w:pBdr>
          <w:top w:val="single" w:sz="4" w:space="3" w:color="365F91" w:themeColor="accent1" w:themeShade="BF"/>
        </w:pBdr>
        <w:jc w:val="both"/>
      </w:pPr>
      <w:r>
        <w:t>Note the information in Section D</w:t>
      </w:r>
      <w:r w:rsidR="00BC4469">
        <w:t>.</w:t>
      </w:r>
      <w:r>
        <w:t xml:space="preserve">2.6 contains basic VOM cost information relevant for all unit types.  The following additional information only pertains to SHOC-eligible hydro. </w:t>
      </w:r>
    </w:p>
    <w:p w14:paraId="0AE8F19A" w14:textId="3E3CD1E2" w:rsidR="00834E69" w:rsidRDefault="00834E69" w:rsidP="00834E69">
      <w:pPr>
        <w:spacing w:line="276" w:lineRule="auto"/>
      </w:pPr>
      <w:r>
        <w:rPr>
          <w:szCs w:val="24"/>
        </w:rPr>
        <w:t>The Seasonal Hydroelectric Offer Curve (</w:t>
      </w:r>
      <w:r>
        <w:t>SHOC) consists of three</w:t>
      </w:r>
      <w:r w:rsidR="00BC4469">
        <w:t xml:space="preserve"> (3)</w:t>
      </w:r>
      <w:r>
        <w:t xml:space="preserve"> elements, which are evaluated and selected by the Market Participant, and provided to the Market Monitor, for all </w:t>
      </w:r>
      <w:r w:rsidR="00BC4469">
        <w:t>O</w:t>
      </w:r>
      <w:r>
        <w:t xml:space="preserve">perating </w:t>
      </w:r>
      <w:r w:rsidR="00BC4469">
        <w:t>H</w:t>
      </w:r>
      <w:r>
        <w:t>ours of every Operating Day for the duration of the Market Participants’ SHOC request. A Market Participants’ request for SHOC will be evaluated pursuant to the Mitigated Offer Development Methodology Approval Process in Section D</w:t>
      </w:r>
      <w:r w:rsidR="00BC4469">
        <w:t>.</w:t>
      </w:r>
      <w:r>
        <w:t xml:space="preserve">1.5.  The elements that are required for the SHOC Mitigated Offer </w:t>
      </w:r>
      <w:r w:rsidR="00D63DC6">
        <w:t>Development</w:t>
      </w:r>
      <w:r>
        <w:t xml:space="preserve"> Methodology request will include the identification of the gas hub used in calculating the gas floor in (a)(i) below, the identification of a default electric pricing hub and any additional electric pricing hub(s) sought, as well as the demonstration of any transmission required to deliver to the additional hub(s), further detailed in (c)(1)(i)-(v) below, and evidence of the storage horizon of the Resource and any required attestation required in (d) and (e), below.  </w:t>
      </w:r>
    </w:p>
    <w:p w14:paraId="25895193" w14:textId="3DF8F4A7" w:rsidR="00834E69" w:rsidRDefault="00834E69" w:rsidP="00DA3CE7">
      <w:pPr>
        <w:numPr>
          <w:ilvl w:val="1"/>
          <w:numId w:val="276"/>
        </w:numPr>
        <w:spacing w:line="276" w:lineRule="auto"/>
      </w:pPr>
      <w:r>
        <w:t xml:space="preserve">For each hour in an operating day, the Market Participant will calculate a value for the SHOC which will be the maximum of the following three </w:t>
      </w:r>
      <w:r w:rsidR="005F1C30">
        <w:t>(3)</w:t>
      </w:r>
      <w:r>
        <w:t xml:space="preserve"> values:   </w:t>
      </w:r>
    </w:p>
    <w:p w14:paraId="200B49D3" w14:textId="77777777" w:rsidR="00834E69" w:rsidRDefault="00834E69" w:rsidP="00DA3CE7">
      <w:pPr>
        <w:numPr>
          <w:ilvl w:val="2"/>
          <w:numId w:val="276"/>
        </w:numPr>
        <w:spacing w:line="276" w:lineRule="auto"/>
      </w:pPr>
      <w:r>
        <w:rPr>
          <w:b/>
          <w:bCs/>
        </w:rPr>
        <w:t>The Gas Floor</w:t>
      </w:r>
      <w:r>
        <w:t xml:space="preserve"> is equal to the average heat rate for a typical natural gas turbine generator multiplied by the applicable natural gas price for the fuel region applicable to the location of the hydroelectric resource, multiplied by 1.1.  The average heat rate for a typical gas turbine generator is the  heat rate for a gas turbine in MMBtu/MWh in the most recent EIA table for Average Tested Heat Rates by Prime Mover and Energy Source, which can be found at </w:t>
      </w:r>
      <w:hyperlink r:id="rId117" w:tgtFrame="_blank" w:tooltip="https://www.eia.gov/electricity/annual/html/epa_08_02.html." w:history="1">
        <w:r>
          <w:rPr>
            <w:rStyle w:val="Hyperlink"/>
            <w:rFonts w:eastAsiaTheme="majorEastAsia"/>
          </w:rPr>
          <w:t>https://www.eia.gov.</w:t>
        </w:r>
      </w:hyperlink>
      <w:r>
        <w:t xml:space="preserve"> </w:t>
      </w:r>
    </w:p>
    <w:p w14:paraId="6C1BD9D3" w14:textId="3E4CA0D2" w:rsidR="00834E69" w:rsidRDefault="00834E69" w:rsidP="00DA3CE7">
      <w:pPr>
        <w:numPr>
          <w:ilvl w:val="3"/>
          <w:numId w:val="276"/>
        </w:numPr>
        <w:spacing w:line="276" w:lineRule="auto"/>
      </w:pPr>
      <w:r>
        <w:t xml:space="preserve">The applicable natural gas price for the hydroelectric resource is taken from locations where prices are published at points of multiple pipeline interconnections, or hubs, and reflect the regional price of gas supply.  The Market Participant will provide the relevant natural gas hub price as a part of its Mitigated Offer </w:t>
      </w:r>
      <w:r w:rsidR="00D63DC6">
        <w:t>Development</w:t>
      </w:r>
      <w:r>
        <w:t xml:space="preserve"> Methodology  request.   If approved, the value used in the ongoing SHOC calculation must use the relevant price index information for a published gas hub only. This documentation will be reviewed along with the other components of the SHOC request.  Hub prices are not intended to be citygate delivery prices, but rather intended to capture liquid gas supply costs as reflected in a published price index.  A non-exhaustive list of relevant hubs is below (Sumas, Kern River, Opal, Cheyenne Hub, CIG Rockies, Malin, SoCal border (non-citygate). </w:t>
      </w:r>
    </w:p>
    <w:p w14:paraId="03805A02" w14:textId="08F629CA" w:rsidR="00834E69" w:rsidRDefault="00834E69" w:rsidP="00DA3CE7">
      <w:pPr>
        <w:numPr>
          <w:ilvl w:val="2"/>
          <w:numId w:val="276"/>
        </w:numPr>
        <w:spacing w:line="276" w:lineRule="auto"/>
      </w:pPr>
      <w:r>
        <w:rPr>
          <w:b/>
          <w:bCs/>
        </w:rPr>
        <w:t>The Short-Term Component</w:t>
      </w:r>
      <w:r>
        <w:t xml:space="preserve">, which represents the opportunity cost of sales at a local default electric pricing hub, is equal to 1.4 times the maximum value of the three </w:t>
      </w:r>
      <w:r w:rsidR="002008F7">
        <w:t>(3)</w:t>
      </w:r>
      <w:r>
        <w:t xml:space="preserve"> prices below for the applicable electric pricing hub:</w:t>
      </w:r>
    </w:p>
    <w:p w14:paraId="6E09B6FF" w14:textId="77777777" w:rsidR="00834E69" w:rsidRDefault="00834E69" w:rsidP="00DA3CE7">
      <w:pPr>
        <w:numPr>
          <w:ilvl w:val="3"/>
          <w:numId w:val="276"/>
        </w:numPr>
        <w:spacing w:line="276" w:lineRule="auto"/>
      </w:pPr>
      <w:r>
        <w:t xml:space="preserve">The most recent day-ahead on-peak price at the applicable electric pricing hub; </w:t>
      </w:r>
    </w:p>
    <w:p w14:paraId="05BE3E4A" w14:textId="77777777" w:rsidR="00834E69" w:rsidRDefault="00834E69" w:rsidP="00DA3CE7">
      <w:pPr>
        <w:numPr>
          <w:ilvl w:val="3"/>
          <w:numId w:val="276"/>
        </w:numPr>
        <w:spacing w:line="276" w:lineRule="auto"/>
      </w:pPr>
      <w:r>
        <w:t>The on-peak balance of month futures price for the current month at the applicable electric pricing hub; and</w:t>
      </w:r>
    </w:p>
    <w:p w14:paraId="6E6854DA" w14:textId="58C08E1B" w:rsidR="00834E69" w:rsidRDefault="00834E69" w:rsidP="00DA3CE7">
      <w:pPr>
        <w:numPr>
          <w:ilvl w:val="3"/>
          <w:numId w:val="276"/>
        </w:numPr>
        <w:spacing w:line="276" w:lineRule="auto"/>
      </w:pPr>
      <w:r>
        <w:t>The on-peak monthly index futures price at the applicable electric pricing hub for one</w:t>
      </w:r>
      <w:r w:rsidR="00C4411B">
        <w:t xml:space="preserve"> (1)</w:t>
      </w:r>
      <w:r>
        <w:t xml:space="preserve"> month following the current month.</w:t>
      </w:r>
    </w:p>
    <w:p w14:paraId="338C2356" w14:textId="69763B1C" w:rsidR="00834E69" w:rsidRDefault="00834E69" w:rsidP="00DA3CE7">
      <w:pPr>
        <w:numPr>
          <w:ilvl w:val="2"/>
          <w:numId w:val="276"/>
        </w:numPr>
        <w:spacing w:line="276" w:lineRule="auto"/>
      </w:pPr>
      <w:r>
        <w:rPr>
          <w:b/>
          <w:bCs/>
        </w:rPr>
        <w:t xml:space="preserve">The Long-Term/Geographic Component </w:t>
      </w:r>
      <w:r>
        <w:t>will be calculated by the Market Participant and may be based on multiple electric pricing hubs in addition to the default electric pricing hub consistent with Attachment B</w:t>
      </w:r>
      <w:r w:rsidR="002008F7">
        <w:t xml:space="preserve"> of the Markets+ Tariff</w:t>
      </w:r>
      <w:r>
        <w:t>. The Market Participant will calculate the long-term/geographic component as 1.1 multiplied by the maximum of:</w:t>
      </w:r>
    </w:p>
    <w:p w14:paraId="223462B3" w14:textId="77777777" w:rsidR="00834E69" w:rsidRDefault="00834E69" w:rsidP="00E94CBF">
      <w:pPr>
        <w:spacing w:line="276" w:lineRule="auto"/>
        <w:ind w:left="2880" w:hanging="720"/>
      </w:pPr>
      <w:r>
        <w:t>(1)</w:t>
      </w:r>
      <w:r>
        <w:tab/>
        <w:t xml:space="preserve">the most recent Day-Ahead on-peak price at the applicable electric pricing hub(s); </w:t>
      </w:r>
    </w:p>
    <w:p w14:paraId="4EBB394E" w14:textId="77777777" w:rsidR="00834E69" w:rsidRDefault="00834E69" w:rsidP="00834E69">
      <w:pPr>
        <w:spacing w:line="276" w:lineRule="auto"/>
        <w:ind w:left="2880" w:hanging="720"/>
      </w:pPr>
      <w:r>
        <w:t xml:space="preserve">(2) </w:t>
      </w:r>
      <w:r>
        <w:tab/>
        <w:t>the on-peak balance of the month futures prices for the current month at the applicable electric pricing hub(s); and</w:t>
      </w:r>
    </w:p>
    <w:p w14:paraId="7F923BBA" w14:textId="77777777" w:rsidR="00834E69" w:rsidRDefault="00834E69" w:rsidP="00834E69">
      <w:pPr>
        <w:spacing w:line="276" w:lineRule="auto"/>
        <w:ind w:left="2880" w:hanging="720"/>
      </w:pPr>
      <w:r>
        <w:t xml:space="preserve">(3) </w:t>
      </w:r>
      <w:r>
        <w:tab/>
        <w:t xml:space="preserve">the on-peak monthly index futures price at the applicable electric pricing hub(s) for all future months up to the maximum storage horizon after the current month. </w:t>
      </w:r>
    </w:p>
    <w:p w14:paraId="280A38F8" w14:textId="77777777" w:rsidR="00834E69" w:rsidRDefault="00834E69" w:rsidP="00834E69">
      <w:pPr>
        <w:spacing w:line="276" w:lineRule="auto"/>
        <w:ind w:left="2880" w:hanging="720"/>
      </w:pPr>
    </w:p>
    <w:p w14:paraId="2B38593D" w14:textId="5312AB49" w:rsidR="00834E69" w:rsidRDefault="00834E69" w:rsidP="00DA3CE7">
      <w:pPr>
        <w:numPr>
          <w:ilvl w:val="1"/>
          <w:numId w:val="276"/>
        </w:numPr>
        <w:spacing w:line="276" w:lineRule="auto"/>
      </w:pPr>
      <w:r>
        <w:t>Applicable Electric Pricing Hub(s): The default hub that is selected by the Market Participant and used in the Short-Term Component must (1) be within the Markets+ footprint, (2) represent the region in which the hydroelectric resource(s) is located</w:t>
      </w:r>
      <w:r w:rsidR="00B35794">
        <w:t>,</w:t>
      </w:r>
      <w:r>
        <w:t xml:space="preserve"> and (3) be indicative of where the Resource typically sells its output. Additional hubs may be used in the Long-Term/Geographic Component, provided the hub meets the liquidity requirements in </w:t>
      </w:r>
      <w:r w:rsidR="00BB197B">
        <w:t>Section</w:t>
      </w:r>
      <w:r>
        <w:t xml:space="preserve"> D.</w:t>
      </w:r>
      <w:r w:rsidR="00BB197B">
        <w:t>7</w:t>
      </w:r>
      <w:r>
        <w:t xml:space="preserve">(f) and the Market Participant demonstrates transmission access to the requested hub as described </w:t>
      </w:r>
      <w:r w:rsidR="00BB197B">
        <w:t>S</w:t>
      </w:r>
      <w:r>
        <w:t>ection D.</w:t>
      </w:r>
      <w:r w:rsidR="00BB197B">
        <w:t>7</w:t>
      </w:r>
      <w:r>
        <w:t xml:space="preserve">(c). </w:t>
      </w:r>
    </w:p>
    <w:p w14:paraId="2BC43627" w14:textId="77777777" w:rsidR="00834E69" w:rsidRDefault="00834E69" w:rsidP="00DA3CE7">
      <w:pPr>
        <w:pStyle w:val="ListParagraph"/>
        <w:numPr>
          <w:ilvl w:val="1"/>
          <w:numId w:val="276"/>
        </w:numPr>
        <w:spacing w:line="276" w:lineRule="auto"/>
      </w:pPr>
      <w:r>
        <w:t>In its request for the use of the SHOC, a Market Participant must submit to the Market Monitor:</w:t>
      </w:r>
    </w:p>
    <w:p w14:paraId="215E4A77" w14:textId="77777777" w:rsidR="00834E69" w:rsidRDefault="00834E69" w:rsidP="00834E69">
      <w:pPr>
        <w:pStyle w:val="ListParagraph"/>
        <w:spacing w:line="276" w:lineRule="auto"/>
      </w:pPr>
    </w:p>
    <w:p w14:paraId="395B77F8" w14:textId="77777777" w:rsidR="00834E69" w:rsidRDefault="00834E69" w:rsidP="00E94CBF">
      <w:pPr>
        <w:spacing w:line="276" w:lineRule="auto"/>
        <w:ind w:left="1620"/>
      </w:pPr>
      <w:r>
        <w:t xml:space="preserve">(1) </w:t>
      </w:r>
      <w:r>
        <w:tab/>
        <w:t xml:space="preserve">For each month and for each electric pricing hub requested that is not the default electric pricing hub, the Market Participant must (1) demonstrate that it holds firm transmission rights to enable delivery from the hydroelectric Resource’s default market region to the requested electric pricing hub or to a delivery point that is similarly priced location; or (2) provide documentation that supports a historical practice of acquiring monthly firm transmission rights to the requested electric pricing hub(s) or similarly priced location. Market Participants may demonstrate transmission rights to multiple locations and, based on the Market Monitor’s evaluation of such information, the Market Participant may include multiple electric pricing hubs, in addition to the default electric pricing hubs, in the long-term/geographic component of the SHOC for the affected resources. The Market Participant will attest through its submission that it reasonably expects it will be able to use the demonstrated transmission rights to deliver incremental sales from the hydroelectric resource because the rights are not fully committed and that there is an actual opportunity to use these rights. If the Market Participant includes multiple electric pricing hubs in the long-term/geographic component, the SHOC calculation will use the maximum of the electric price indices published for each electric pricing hub as determined for each Operating Day. On Operating Days for which there are no relevant published electric price indices at an electric pricing hub, the Market Participant will use the most recently published index price for the applicable electric pricing hub. </w:t>
      </w:r>
    </w:p>
    <w:p w14:paraId="05163C8A" w14:textId="77777777" w:rsidR="00834E69" w:rsidRDefault="00834E69" w:rsidP="00DA3CE7">
      <w:pPr>
        <w:pStyle w:val="ListParagraph"/>
        <w:numPr>
          <w:ilvl w:val="2"/>
          <w:numId w:val="276"/>
        </w:numPr>
        <w:spacing w:line="276" w:lineRule="auto"/>
      </w:pPr>
      <w:r>
        <w:t>For purposes of determining the MW quantity of firm transmission rights that create eligibility for SHOC, the MW quantity eligible for SHOC is the net MW quantity that can be delivered to the applicable pricing hub using the firm transmission rights. For Resources that the Market Participant demonstrates a quantity of firm transmission rights to a requested electric pricing hub or similarly priced location that is less than the hydro Resource’s capacity, the Market Participant will include the requested electric pricing hub up to the quantity of demonstrated transmission rights, and apply a proportional weighting of the Resource’s transmission rights to calculate a weighted average of those bilateral electric pricing hub prices when calculating the value of the long-term/geographic component of the SHOC.</w:t>
      </w:r>
    </w:p>
    <w:p w14:paraId="411D2CA2" w14:textId="0E41ED68" w:rsidR="00834E69" w:rsidRDefault="00834E69" w:rsidP="00DA3CE7">
      <w:pPr>
        <w:pStyle w:val="ListParagraph"/>
        <w:numPr>
          <w:ilvl w:val="2"/>
          <w:numId w:val="276"/>
        </w:numPr>
        <w:spacing w:line="276" w:lineRule="auto"/>
      </w:pPr>
      <w:r>
        <w:t>In the absence of Market Monitor approved supporting transmission rights information when calculating the long-term/geographic component of the SHOC, the Market Participant will revert to the default bilateral electric hub price specified in Attachment B</w:t>
      </w:r>
      <w:r w:rsidR="002A27CB">
        <w:t xml:space="preserve"> of the Markets+ Tariff</w:t>
      </w:r>
      <w:r>
        <w:t>.</w:t>
      </w:r>
    </w:p>
    <w:p w14:paraId="17462D07" w14:textId="77777777" w:rsidR="00834E69" w:rsidRDefault="00834E69" w:rsidP="00DA3CE7">
      <w:pPr>
        <w:pStyle w:val="ListParagraph"/>
        <w:numPr>
          <w:ilvl w:val="2"/>
          <w:numId w:val="276"/>
        </w:numPr>
        <w:spacing w:line="276" w:lineRule="auto"/>
      </w:pPr>
      <w:r>
        <w:t>If during the term of the annual period the Market Participant no longer has the firm annual transmission rights previously demonstrated, or can no longer continue a historical practice of acquiring monthly firm transmission rights, the Market Participant must inform the Market Monitor within five (5) Business Days of no longer holding such firm transmission rights.</w:t>
      </w:r>
    </w:p>
    <w:p w14:paraId="7A3A27C7" w14:textId="77777777" w:rsidR="00834E69" w:rsidRDefault="00834E69" w:rsidP="00DA3CE7">
      <w:pPr>
        <w:pStyle w:val="ListParagraph"/>
        <w:numPr>
          <w:ilvl w:val="2"/>
          <w:numId w:val="276"/>
        </w:numPr>
        <w:spacing w:line="276" w:lineRule="auto"/>
      </w:pPr>
      <w:r>
        <w:rPr>
          <w:rFonts w:ascii="TimesNewRomanPSMT" w:hAnsi="TimesNewRomanPSMT"/>
          <w:color w:val="000000"/>
          <w:szCs w:val="24"/>
        </w:rPr>
        <w:t>The Market Monitor may audit the Market Participant and request additional information in support of the Market Participant’s assertions.</w:t>
      </w:r>
    </w:p>
    <w:p w14:paraId="2414ED03" w14:textId="77777777" w:rsidR="00834E69" w:rsidRDefault="00834E69" w:rsidP="00DA3CE7">
      <w:pPr>
        <w:pStyle w:val="ListParagraph"/>
        <w:numPr>
          <w:ilvl w:val="2"/>
          <w:numId w:val="276"/>
        </w:numPr>
        <w:spacing w:line="276" w:lineRule="auto"/>
      </w:pPr>
      <w:r>
        <w:t>If the Market Monitor determines the Market Participant has submitted</w:t>
      </w:r>
    </w:p>
    <w:p w14:paraId="51D55F56" w14:textId="77777777" w:rsidR="00834E69" w:rsidRDefault="00834E69" w:rsidP="00834E69">
      <w:pPr>
        <w:pStyle w:val="ListParagraph"/>
        <w:spacing w:line="276" w:lineRule="auto"/>
        <w:ind w:left="2160"/>
      </w:pPr>
      <w:r>
        <w:t>substantively inaccurate information, the Market Monitor will take actions</w:t>
      </w:r>
    </w:p>
    <w:p w14:paraId="01B73885" w14:textId="77777777" w:rsidR="00834E69" w:rsidRDefault="00834E69" w:rsidP="00834E69">
      <w:pPr>
        <w:pStyle w:val="ListParagraph"/>
        <w:spacing w:line="276" w:lineRule="auto"/>
        <w:ind w:left="2160"/>
      </w:pPr>
      <w:r>
        <w:t>to require the Market Participant to change which electric pricing hub it uses in the SHOC calculation.</w:t>
      </w:r>
    </w:p>
    <w:p w14:paraId="6CFFE45C" w14:textId="77777777" w:rsidR="00834E69" w:rsidRDefault="00834E69" w:rsidP="00834E69">
      <w:pPr>
        <w:spacing w:line="276" w:lineRule="auto"/>
        <w:ind w:left="1440"/>
      </w:pPr>
    </w:p>
    <w:p w14:paraId="2FE89769" w14:textId="287544BC" w:rsidR="00834E69" w:rsidRDefault="00834E69" w:rsidP="00DA3CE7">
      <w:pPr>
        <w:numPr>
          <w:ilvl w:val="1"/>
          <w:numId w:val="276"/>
        </w:numPr>
        <w:spacing w:line="276" w:lineRule="auto"/>
      </w:pPr>
      <w:r>
        <w:t xml:space="preserve">Maximum Storage Horizon. As a part of its SHOC request, a Market Participant </w:t>
      </w:r>
      <w:r w:rsidR="00B35A78">
        <w:t xml:space="preserve">must </w:t>
      </w:r>
      <w:r>
        <w:t xml:space="preserve">provide data and calculations, reasonable for the hydroelectric industry, demonstrating the storage horizon, which may include more than one </w:t>
      </w:r>
      <w:r w:rsidR="006C7D69">
        <w:t>(1)</w:t>
      </w:r>
      <w:r>
        <w:t xml:space="preserve"> reservoir; in the case of an aggregated set of Hydroelectric Resources with more than one </w:t>
      </w:r>
      <w:r w:rsidR="006C7D69">
        <w:t>(1)</w:t>
      </w:r>
      <w:r>
        <w:t xml:space="preserve"> storage reservoir, the Market Participant may use the Resource with the longest storage duration, so long as such duration is supported by reasonable data and calculations supporting the hydro cycle detailed in Attachment B </w:t>
      </w:r>
      <w:r w:rsidR="006C7D69">
        <w:t>of the Markets+ Tariff</w:t>
      </w:r>
      <w:r>
        <w:t xml:space="preserve">. The maximum storage a participant may request is limited by the hydro cycle of the Resource, which is the typical length of time between which the Resource cycles from a maximum elevation to a new maximum elevation. </w:t>
      </w:r>
    </w:p>
    <w:p w14:paraId="0905569D" w14:textId="77777777" w:rsidR="00834E69" w:rsidRDefault="00834E69" w:rsidP="00DA3CE7">
      <w:pPr>
        <w:numPr>
          <w:ilvl w:val="1"/>
          <w:numId w:val="276"/>
        </w:numPr>
        <w:spacing w:line="276" w:lineRule="auto"/>
      </w:pPr>
      <w:r>
        <w:t xml:space="preserve">These calculated storage durations will be supported by an Attestation, made by an authorized representative of the Market Participant with the authority to act on behalf of that Market Participant when entering into binding transactions.  The Market Monitor may request evidence of such authority or of the representations made in the Attestation regarding the Resource.    </w:t>
      </w:r>
    </w:p>
    <w:p w14:paraId="2CD872BE" w14:textId="45736B82" w:rsidR="00834E69" w:rsidRDefault="00834E69" w:rsidP="00DA3CE7">
      <w:pPr>
        <w:numPr>
          <w:ilvl w:val="1"/>
          <w:numId w:val="276"/>
        </w:numPr>
        <w:spacing w:line="276" w:lineRule="auto"/>
      </w:pPr>
      <w:r>
        <w:t xml:space="preserve">The default electric pricing hubs are </w:t>
      </w:r>
      <w:r w:rsidRPr="0034296E">
        <w:t>_TBD</w:t>
      </w:r>
      <w:r>
        <w:t xml:space="preserve">. Additional pricing hubs must be sufficiently liquid to avoid price distortion and reflect a true market value. This includes meeting at least one </w:t>
      </w:r>
      <w:r w:rsidR="005C0A15">
        <w:t>(1)</w:t>
      </w:r>
      <w:r>
        <w:t xml:space="preserve"> of the following criteria averaged over the most recent year:</w:t>
      </w:r>
    </w:p>
    <w:p w14:paraId="06B6B539" w14:textId="77777777" w:rsidR="00834E69" w:rsidRDefault="00834E69" w:rsidP="00DA3CE7">
      <w:pPr>
        <w:numPr>
          <w:ilvl w:val="2"/>
          <w:numId w:val="276"/>
        </w:numPr>
        <w:spacing w:line="276" w:lineRule="auto"/>
      </w:pPr>
      <w:r>
        <w:t>Average daily volume traded of at least 2,000 MWh</w:t>
      </w:r>
    </w:p>
    <w:p w14:paraId="2A530926" w14:textId="3EF3A11D" w:rsidR="00834E69" w:rsidRDefault="00834E69" w:rsidP="00DA3CE7">
      <w:pPr>
        <w:numPr>
          <w:ilvl w:val="2"/>
          <w:numId w:val="276"/>
        </w:numPr>
        <w:spacing w:line="276" w:lineRule="auto"/>
      </w:pPr>
      <w:r>
        <w:t xml:space="preserve">Average daily number of transactions of five </w:t>
      </w:r>
      <w:r w:rsidR="00863EBB">
        <w:t>(5)</w:t>
      </w:r>
      <w:r>
        <w:t xml:space="preserve"> or more</w:t>
      </w:r>
    </w:p>
    <w:p w14:paraId="4E92CE8C" w14:textId="6EAD0AA2" w:rsidR="00834E69" w:rsidRDefault="00834E69" w:rsidP="00DA3CE7">
      <w:pPr>
        <w:numPr>
          <w:ilvl w:val="2"/>
          <w:numId w:val="276"/>
        </w:numPr>
        <w:spacing w:line="276" w:lineRule="auto"/>
      </w:pPr>
      <w:r>
        <w:t xml:space="preserve">Average daily number of counterparties of five </w:t>
      </w:r>
      <w:r w:rsidR="00863EBB">
        <w:t>(5)</w:t>
      </w:r>
      <w:r>
        <w:t xml:space="preserve"> or more</w:t>
      </w:r>
    </w:p>
    <w:p w14:paraId="710A9F3B" w14:textId="35DAAC33" w:rsidR="00834E69" w:rsidRDefault="00834E69" w:rsidP="00DA3CE7">
      <w:pPr>
        <w:numPr>
          <w:ilvl w:val="1"/>
          <w:numId w:val="276"/>
        </w:numPr>
        <w:spacing w:line="276" w:lineRule="auto"/>
      </w:pPr>
      <w:r>
        <w:t xml:space="preserve">A Market Participant may request the evaluation of a new or existing default electric pricing hub by making a request in writing to the Market Monitor.  The request must state why the requested hub is a more appropriate price point for use in the SHOC and must include evidence of sufficient price and transaction liquidity, meeting one </w:t>
      </w:r>
      <w:r w:rsidR="006F5FD0">
        <w:t>(1)</w:t>
      </w:r>
      <w:r>
        <w:t xml:space="preserve"> of the three</w:t>
      </w:r>
      <w:r w:rsidR="006F5FD0">
        <w:t xml:space="preserve"> (3)</w:t>
      </w:r>
      <w:r>
        <w:t xml:space="preserve"> criteria mentioned above in section (</w:t>
      </w:r>
      <w:r w:rsidR="006F5FD0">
        <w:t>f</w:t>
      </w:r>
      <w:r>
        <w:t xml:space="preserve">)(iii) above.  The market monitor will evaluate the hub request and, if approved, will submit a request to revise the Protocols with the modified default pricing hub list. </w:t>
      </w:r>
    </w:p>
    <w:p w14:paraId="3F8B9A7D" w14:textId="77777777" w:rsidR="00834E69" w:rsidRDefault="00834E69" w:rsidP="00DA3CE7">
      <w:pPr>
        <w:pStyle w:val="ListParagraph"/>
        <w:numPr>
          <w:ilvl w:val="1"/>
          <w:numId w:val="276"/>
        </w:numPr>
        <w:spacing w:line="276" w:lineRule="auto"/>
      </w:pPr>
      <w:r>
        <w:t>Hydroelectric Resources with a maximum hydroelectric Resource storage horizon of thirty (30) days or less must not include the price for the first month after the current month in the calculation of the SHOC until such hydroelectric Resource’s maximum storage horizon extends into such month, as measured from the Operating Day.</w:t>
      </w:r>
    </w:p>
    <w:p w14:paraId="69B27138" w14:textId="77777777" w:rsidR="00834E69" w:rsidRDefault="00834E69" w:rsidP="00834E69">
      <w:pPr>
        <w:pStyle w:val="ListParagraph"/>
        <w:spacing w:line="276" w:lineRule="auto"/>
        <w:ind w:left="1440"/>
      </w:pPr>
    </w:p>
    <w:p w14:paraId="7DAE59F1" w14:textId="77777777" w:rsidR="00834E69" w:rsidRDefault="00834E69" w:rsidP="00DA3CE7">
      <w:pPr>
        <w:pStyle w:val="ListParagraph"/>
        <w:numPr>
          <w:ilvl w:val="1"/>
          <w:numId w:val="276"/>
        </w:numPr>
        <w:spacing w:line="276" w:lineRule="auto"/>
      </w:pPr>
      <w:r>
        <w:t>Notwithstanding the maximum hydroelectric Resource storage horizon, any hydroelectric Resource for which the hydro operator reasonably expects no usable storage within the Operating Day, then its Seasonal Hydroelectric Offer Curve must be the greater of (a) the most recent Day-Ahead peak price at the applicable electric pricing hub, and (b) $0/MWh. For purposes of this section, no usable storage will be defined as conditions under which generating less than the maximum output at all available units for all intervals of the Operating Day would not conserve additional water in any of the reservoirs of the hydroelectric Resource for use in a future period.</w:t>
      </w:r>
    </w:p>
    <w:p w14:paraId="24BD6245" w14:textId="77777777" w:rsidR="00834E69" w:rsidRDefault="00834E69" w:rsidP="00834E69">
      <w:pPr>
        <w:spacing w:line="276" w:lineRule="auto"/>
      </w:pPr>
    </w:p>
    <w:p w14:paraId="106FC451" w14:textId="210CFA72" w:rsidR="00834E69" w:rsidRDefault="00505C2E" w:rsidP="00E679DC">
      <w:pPr>
        <w:pStyle w:val="Heading471"/>
      </w:pPr>
      <w:bookmarkStart w:id="12056" w:name="_Toc213772333"/>
      <w:r>
        <w:t>D.7.1</w:t>
      </w:r>
      <w:r>
        <w:tab/>
      </w:r>
      <w:r w:rsidR="00834E69">
        <w:t>Electric Pricing Hubs</w:t>
      </w:r>
      <w:bookmarkEnd w:id="12056"/>
    </w:p>
    <w:p w14:paraId="2ACB0356" w14:textId="77777777" w:rsidR="00834E69" w:rsidRDefault="00834E69" w:rsidP="00834E69">
      <w:pPr>
        <w:pStyle w:val="Normal269"/>
        <w:spacing w:line="276" w:lineRule="auto"/>
        <w:jc w:val="both"/>
        <w:rPr>
          <w:szCs w:val="20"/>
        </w:rPr>
      </w:pPr>
      <w:r>
        <w:rPr>
          <w:szCs w:val="20"/>
        </w:rPr>
        <w:t xml:space="preserve">A Market Participant must submit requests for the approval of an electric pricing hub to the Market Monitor.  Within fifteen (15) Calendar Days, the Market Monitor will communicate the approval, disapproval, or any deficiency regarding this request in writing to the Market Participant.  If the Market Monitor communicates to a Market Participant that a request for an electric pricing hub is not approved or is deficient, the Market Monitor will identify the reasons, and the Market Participant must re-submit as soon as practicable.  The requested electric pricing hub must be approved before it is used in a mitigated energy offer request.  The electric pricing hub is effective beginning on the Operating Day following Market Monitor approval.  </w:t>
      </w:r>
    </w:p>
    <w:p w14:paraId="62C58025" w14:textId="77777777" w:rsidR="00E24D48" w:rsidRDefault="00E24D48" w:rsidP="00E24D48"/>
    <w:p w14:paraId="6D334DCC" w14:textId="3B73F5FC" w:rsidR="0053682F" w:rsidRPr="009824C2" w:rsidRDefault="00505C2E" w:rsidP="00E679DC">
      <w:pPr>
        <w:pStyle w:val="Heading471"/>
      </w:pPr>
      <w:bookmarkStart w:id="12057" w:name="_Toc131493503"/>
      <w:bookmarkStart w:id="12058" w:name="_Toc363483400"/>
      <w:bookmarkStart w:id="12059" w:name="_Toc351019859"/>
      <w:bookmarkStart w:id="12060" w:name="_Ref340739709"/>
      <w:bookmarkStart w:id="12061" w:name="_Toc213772334"/>
      <w:r w:rsidRPr="009824C2">
        <w:t>D.8</w:t>
      </w:r>
      <w:r w:rsidRPr="009824C2">
        <w:tab/>
      </w:r>
      <w:r w:rsidR="0053682F" w:rsidRPr="009824C2">
        <w:t>Demand Response Guidelines</w:t>
      </w:r>
      <w:bookmarkEnd w:id="12057"/>
      <w:bookmarkEnd w:id="12058"/>
      <w:bookmarkEnd w:id="12059"/>
      <w:bookmarkEnd w:id="12060"/>
      <w:bookmarkEnd w:id="12061"/>
    </w:p>
    <w:p w14:paraId="643C8517" w14:textId="14E1CEDA" w:rsidR="0053682F" w:rsidRDefault="0053682F" w:rsidP="0053682F">
      <w:pPr>
        <w:pStyle w:val="Normal120"/>
      </w:pPr>
      <w:r>
        <w:t xml:space="preserve">A </w:t>
      </w:r>
      <w:r w:rsidR="004007DF">
        <w:t xml:space="preserve">Dispatchable </w:t>
      </w:r>
      <w:r>
        <w:t>Demand Response Resource</w:t>
      </w:r>
      <w:r w:rsidR="004007DF">
        <w:t xml:space="preserve"> (DDRR)</w:t>
      </w:r>
      <w:r>
        <w:t xml:space="preserve"> is a special type of Resource created to model demand reduction associated with controllable load </w:t>
      </w:r>
      <w:r w:rsidDel="0046151A">
        <w:t>and/or</w:t>
      </w:r>
      <w:r>
        <w:t xml:space="preserve"> a behind-the-meter Resource that is dispatchable either on a 5-minute basis or an hourly basis;</w:t>
      </w:r>
    </w:p>
    <w:p w14:paraId="00CAB879" w14:textId="7406F975" w:rsidR="0053682F" w:rsidRDefault="00505C2E" w:rsidP="00781C61">
      <w:pPr>
        <w:pStyle w:val="3Appx3"/>
        <w:numPr>
          <w:ilvl w:val="0"/>
          <w:numId w:val="0"/>
        </w:numPr>
      </w:pPr>
      <w:bookmarkStart w:id="12062" w:name="_Toc351019860"/>
      <w:bookmarkStart w:id="12063" w:name="_Toc363483401"/>
      <w:bookmarkStart w:id="12064" w:name="_Toc131493504"/>
      <w:bookmarkStart w:id="12065" w:name="_Toc213772335"/>
      <w:r>
        <w:t>D.8.1</w:t>
      </w:r>
      <w:r>
        <w:tab/>
      </w:r>
      <w:r w:rsidR="0053682F">
        <w:t>DDR</w:t>
      </w:r>
      <w:r w:rsidR="006C27A4">
        <w:t>R</w:t>
      </w:r>
      <w:r w:rsidR="0053682F">
        <w:t xml:space="preserve"> Cost for Behind-The-Meter Generation</w:t>
      </w:r>
      <w:bookmarkEnd w:id="12062"/>
      <w:bookmarkEnd w:id="12063"/>
      <w:bookmarkEnd w:id="12064"/>
      <w:bookmarkEnd w:id="12065"/>
    </w:p>
    <w:p w14:paraId="7C13A9C2" w14:textId="3816DA75" w:rsidR="0053682F" w:rsidRDefault="0053682F" w:rsidP="0053682F">
      <w:pPr>
        <w:pStyle w:val="Normal120"/>
      </w:pPr>
      <w:r>
        <w:t xml:space="preserve">Market Participants using behind the meter Resource as a </w:t>
      </w:r>
      <w:r w:rsidR="00F130B2">
        <w:t>DDRR</w:t>
      </w:r>
      <w:r>
        <w:rPr>
          <w:b/>
        </w:rPr>
        <w:t xml:space="preserve"> </w:t>
      </w:r>
      <w:r>
        <w:t>should refer to the appropriate unit type defined in this manual to develop incremental cost.</w:t>
      </w:r>
    </w:p>
    <w:p w14:paraId="19647356" w14:textId="5FC78761" w:rsidR="0053682F" w:rsidRDefault="00505C2E" w:rsidP="00781C61">
      <w:pPr>
        <w:pStyle w:val="3Appx3"/>
        <w:numPr>
          <w:ilvl w:val="0"/>
          <w:numId w:val="0"/>
        </w:numPr>
      </w:pPr>
      <w:bookmarkStart w:id="12066" w:name="_Toc351019861"/>
      <w:bookmarkStart w:id="12067" w:name="_Toc363483402"/>
      <w:bookmarkStart w:id="12068" w:name="_Toc131493505"/>
      <w:bookmarkStart w:id="12069" w:name="_Toc213772336"/>
      <w:r>
        <w:t>D.8.2</w:t>
      </w:r>
      <w:r>
        <w:tab/>
      </w:r>
      <w:r w:rsidR="006C27A4">
        <w:t>DDRR</w:t>
      </w:r>
      <w:r w:rsidR="0053682F">
        <w:t xml:space="preserve"> Cost for Demand Reduction</w:t>
      </w:r>
      <w:bookmarkEnd w:id="12066"/>
      <w:bookmarkEnd w:id="12067"/>
      <w:bookmarkEnd w:id="12068"/>
      <w:bookmarkEnd w:id="12069"/>
    </w:p>
    <w:p w14:paraId="3DA972FF" w14:textId="40A4530B" w:rsidR="0053682F" w:rsidRDefault="0053682F" w:rsidP="0053682F">
      <w:pPr>
        <w:pStyle w:val="Normal120"/>
      </w:pPr>
      <w:r>
        <w:rPr>
          <w:b/>
        </w:rPr>
        <w:t>Demand Reduction</w:t>
      </w:r>
      <w:r>
        <w:t xml:space="preserve"> is the actual reduction of load at the direction of </w:t>
      </w:r>
      <w:r w:rsidR="004007DF">
        <w:t xml:space="preserve">the Market Operator </w:t>
      </w:r>
      <w:r>
        <w:t xml:space="preserve">through the commitment and dispatch of as associated </w:t>
      </w:r>
      <w:r w:rsidR="006C27A4">
        <w:t>DDRR</w:t>
      </w:r>
      <w:r>
        <w:t xml:space="preserve">. This could include the cycling of air conditioners or the shutdown of an industrial production process in order to reduce the load at a site. Incremental costs can include quantifiable opportunity costs associated with the reduction, net of related offsetting increases in usage. </w:t>
      </w:r>
    </w:p>
    <w:p w14:paraId="28AD88CA" w14:textId="7B1290E1" w:rsidR="0053682F" w:rsidRDefault="00505C2E" w:rsidP="00781C61">
      <w:pPr>
        <w:pStyle w:val="3Appx3"/>
        <w:numPr>
          <w:ilvl w:val="0"/>
          <w:numId w:val="0"/>
        </w:numPr>
      </w:pPr>
      <w:bookmarkStart w:id="12070" w:name="_Toc351019862"/>
      <w:bookmarkStart w:id="12071" w:name="_Toc363483403"/>
      <w:bookmarkStart w:id="12072" w:name="_Toc131493506"/>
      <w:bookmarkStart w:id="12073" w:name="_Toc213772337"/>
      <w:r>
        <w:t>D.8.3</w:t>
      </w:r>
      <w:r>
        <w:tab/>
      </w:r>
      <w:r w:rsidR="006C27A4">
        <w:t>DDRR</w:t>
      </w:r>
      <w:r w:rsidR="0053682F">
        <w:t xml:space="preserve"> Start-Up Cost</w:t>
      </w:r>
      <w:bookmarkEnd w:id="12070"/>
      <w:bookmarkEnd w:id="12071"/>
      <w:bookmarkEnd w:id="12072"/>
      <w:bookmarkEnd w:id="12073"/>
    </w:p>
    <w:p w14:paraId="2465734B" w14:textId="67B9A0CF" w:rsidR="0053682F" w:rsidRDefault="006C27A4" w:rsidP="0053682F">
      <w:pPr>
        <w:pStyle w:val="Normal120"/>
      </w:pPr>
      <w:r>
        <w:rPr>
          <w:b/>
        </w:rPr>
        <w:t>DDRR</w:t>
      </w:r>
      <w:r w:rsidR="0053682F">
        <w:rPr>
          <w:b/>
        </w:rPr>
        <w:t xml:space="preserve"> Start-Up cost </w:t>
      </w:r>
      <w:r w:rsidR="0053682F">
        <w:t xml:space="preserve">is the cost to shut down or curtail a load for a given period, which does not vary with output, or the start cost of a behind the meter Resource. Start costs for </w:t>
      </w:r>
      <w:r>
        <w:t>DDRR</w:t>
      </w:r>
      <w:r w:rsidR="0053682F">
        <w:t xml:space="preserve">s represented by behind-the-meter Resources are defined by unit type in this manual. Start-Up costs for </w:t>
      </w:r>
      <w:r>
        <w:t>DDRR</w:t>
      </w:r>
      <w:r w:rsidR="0053682F">
        <w:t>s representing load curtailment are not specifically defined but will be evaluated on a case by case basis when submitted as part of a Market Participants fuel cost policy for reasonableness.</w:t>
      </w:r>
    </w:p>
    <w:p w14:paraId="6304C9C7" w14:textId="200E125A" w:rsidR="0053682F" w:rsidRPr="009824C2" w:rsidRDefault="00505C2E" w:rsidP="00E679DC">
      <w:pPr>
        <w:pStyle w:val="Heading471"/>
      </w:pPr>
      <w:bookmarkStart w:id="12074" w:name="_Toc351019870"/>
      <w:bookmarkStart w:id="12075" w:name="_Toc363483411"/>
      <w:bookmarkStart w:id="12076" w:name="_Toc131493509"/>
      <w:bookmarkStart w:id="12077" w:name="_Toc213772338"/>
      <w:r w:rsidRPr="009824C2">
        <w:t>D.9</w:t>
      </w:r>
      <w:r w:rsidRPr="009824C2">
        <w:tab/>
      </w:r>
      <w:r w:rsidR="0053682F" w:rsidRPr="009824C2">
        <w:t>Wind Guidelines</w:t>
      </w:r>
      <w:bookmarkEnd w:id="12074"/>
      <w:bookmarkEnd w:id="12075"/>
      <w:bookmarkEnd w:id="12076"/>
      <w:bookmarkEnd w:id="12077"/>
    </w:p>
    <w:p w14:paraId="49BDC6B6" w14:textId="77777777" w:rsidR="0053682F" w:rsidRDefault="0053682F" w:rsidP="0053682F">
      <w:pPr>
        <w:pStyle w:val="Normal120"/>
        <w:rPr>
          <w:b/>
          <w:bCs/>
          <w:sz w:val="36"/>
          <w:szCs w:val="36"/>
        </w:rPr>
      </w:pPr>
      <w:r>
        <w:rPr>
          <w:b/>
          <w:bCs/>
        </w:rPr>
        <w:t>Wind Units</w:t>
      </w:r>
      <w:r>
        <w:t xml:space="preserve">- Generating unit in which wind spins the turbine Resource to produce electricity.  </w:t>
      </w:r>
    </w:p>
    <w:p w14:paraId="107D11C8" w14:textId="297EC4BE" w:rsidR="0053682F" w:rsidRDefault="00505C2E" w:rsidP="00781C61">
      <w:pPr>
        <w:pStyle w:val="3Appx3"/>
        <w:numPr>
          <w:ilvl w:val="0"/>
          <w:numId w:val="0"/>
        </w:numPr>
      </w:pPr>
      <w:bookmarkStart w:id="12078" w:name="_Toc351019871"/>
      <w:bookmarkStart w:id="12079" w:name="_Toc363483412"/>
      <w:bookmarkStart w:id="12080" w:name="_Toc131493510"/>
      <w:bookmarkStart w:id="12081" w:name="_Toc213772339"/>
      <w:r>
        <w:t>D.9.1</w:t>
      </w:r>
      <w:r>
        <w:tab/>
      </w:r>
      <w:r w:rsidR="0053682F">
        <w:t>Fuel Cost</w:t>
      </w:r>
      <w:bookmarkEnd w:id="12078"/>
      <w:bookmarkEnd w:id="12079"/>
      <w:bookmarkEnd w:id="12080"/>
      <w:bookmarkEnd w:id="12081"/>
    </w:p>
    <w:p w14:paraId="291FDB15" w14:textId="77777777" w:rsidR="0053682F" w:rsidRDefault="0053682F" w:rsidP="0053682F">
      <w:pPr>
        <w:pStyle w:val="Normal120"/>
      </w:pPr>
      <w:r>
        <w:t xml:space="preserve">Wind Units may include applicable costs that vary by MWh output.  </w:t>
      </w:r>
    </w:p>
    <w:p w14:paraId="46247BA9" w14:textId="77D94BC4" w:rsidR="0053682F" w:rsidRDefault="00505C2E" w:rsidP="00781C61">
      <w:pPr>
        <w:pStyle w:val="3Appx3"/>
        <w:numPr>
          <w:ilvl w:val="0"/>
          <w:numId w:val="0"/>
        </w:numPr>
      </w:pPr>
      <w:bookmarkStart w:id="12082" w:name="_Toc351019872"/>
      <w:bookmarkStart w:id="12083" w:name="_Toc363483413"/>
      <w:bookmarkStart w:id="12084" w:name="_Toc131493511"/>
      <w:bookmarkStart w:id="12085" w:name="_Toc213772340"/>
      <w:r>
        <w:t>D.9.2</w:t>
      </w:r>
      <w:r>
        <w:tab/>
      </w:r>
      <w:r w:rsidR="0053682F">
        <w:t>Mitigated Start-Up Offer</w:t>
      </w:r>
      <w:bookmarkEnd w:id="12082"/>
      <w:bookmarkEnd w:id="12083"/>
      <w:bookmarkEnd w:id="12084"/>
      <w:bookmarkEnd w:id="12085"/>
    </w:p>
    <w:p w14:paraId="00A8E3BB" w14:textId="77777777" w:rsidR="0053682F" w:rsidRDefault="0053682F" w:rsidP="0053682F">
      <w:pPr>
        <w:pStyle w:val="Normal120"/>
      </w:pPr>
      <w:r>
        <w:t xml:space="preserve">Wind Units do not have start costs.  </w:t>
      </w:r>
    </w:p>
    <w:p w14:paraId="6A352E89" w14:textId="52B7B171" w:rsidR="0053682F" w:rsidRDefault="00505C2E" w:rsidP="00781C61">
      <w:pPr>
        <w:pStyle w:val="3Appx3"/>
        <w:numPr>
          <w:ilvl w:val="0"/>
          <w:numId w:val="0"/>
        </w:numPr>
      </w:pPr>
      <w:bookmarkStart w:id="12086" w:name="_Toc351019873"/>
      <w:bookmarkStart w:id="12087" w:name="_Toc363483414"/>
      <w:bookmarkStart w:id="12088" w:name="_Toc131493512"/>
      <w:bookmarkStart w:id="12089" w:name="_Toc213772341"/>
      <w:r>
        <w:t>D.9.3</w:t>
      </w:r>
      <w:r>
        <w:tab/>
      </w:r>
      <w:r w:rsidR="0053682F">
        <w:t>Mitigated No-Load Offer</w:t>
      </w:r>
      <w:bookmarkEnd w:id="12086"/>
      <w:bookmarkEnd w:id="12087"/>
      <w:bookmarkEnd w:id="12088"/>
      <w:bookmarkEnd w:id="12089"/>
    </w:p>
    <w:p w14:paraId="1547210E" w14:textId="6F7175D1" w:rsidR="0053682F" w:rsidRDefault="0053682F" w:rsidP="0053682F">
      <w:pPr>
        <w:pStyle w:val="Normal120"/>
      </w:pPr>
      <w:r>
        <w:t xml:space="preserve">Wind Units do not have </w:t>
      </w:r>
      <w:r w:rsidR="00775676">
        <w:t>n</w:t>
      </w:r>
      <w:r>
        <w:t>o-</w:t>
      </w:r>
      <w:r w:rsidR="00775676">
        <w:t>l</w:t>
      </w:r>
      <w:r>
        <w:t xml:space="preserve">oad costs.  </w:t>
      </w:r>
    </w:p>
    <w:p w14:paraId="64CBC883" w14:textId="5FEBFBEE" w:rsidR="0053682F" w:rsidRDefault="00505C2E" w:rsidP="00781C61">
      <w:pPr>
        <w:pStyle w:val="3Appx3"/>
        <w:numPr>
          <w:ilvl w:val="0"/>
          <w:numId w:val="0"/>
        </w:numPr>
      </w:pPr>
      <w:bookmarkStart w:id="12090" w:name="_Toc351019874"/>
      <w:bookmarkStart w:id="12091" w:name="_Toc363483415"/>
      <w:bookmarkStart w:id="12092" w:name="_Toc131493513"/>
      <w:bookmarkStart w:id="12093" w:name="_Toc213772342"/>
      <w:r>
        <w:t>D.9.4</w:t>
      </w:r>
      <w:r>
        <w:tab/>
      </w:r>
      <w:r w:rsidR="0053682F">
        <w:t>VOM</w:t>
      </w:r>
      <w:bookmarkEnd w:id="12090"/>
      <w:bookmarkEnd w:id="12091"/>
      <w:bookmarkEnd w:id="12092"/>
      <w:bookmarkEnd w:id="12093"/>
    </w:p>
    <w:p w14:paraId="78D82CCB" w14:textId="58E52813" w:rsidR="0053682F" w:rsidRDefault="0053682F" w:rsidP="0053682F">
      <w:pPr>
        <w:pStyle w:val="Normal120"/>
      </w:pPr>
      <w:r>
        <w:t xml:space="preserve">Wind </w:t>
      </w:r>
      <w:r w:rsidR="00E42513">
        <w:t>U</w:t>
      </w:r>
      <w:r>
        <w:t xml:space="preserve">nits should reflect their short-run incremental VOM costs by using the most current data available.  This could include the previous actual short-run incremental cost where available.  For wind units, VOM dollars from the previous years should be divided by MWh generated in the same period. </w:t>
      </w:r>
    </w:p>
    <w:p w14:paraId="183B5478" w14:textId="77777777" w:rsidR="0053682F" w:rsidRDefault="0002195B" w:rsidP="0053682F">
      <w:pPr>
        <w:pStyle w:val="Normal120"/>
        <w:rPr>
          <w:rFonts w:cs="Cambria"/>
        </w:rPr>
      </w:pPr>
      <m:oMathPara>
        <m:oMath>
          <m:r>
            <w:rPr>
              <w:rFonts w:ascii="Cambria Math" w:hAnsi="Cambria Math"/>
            </w:rPr>
            <m:t>EOC VOM Adder ($/MWh)=</m:t>
          </m:r>
          <m:f>
            <m:fPr>
              <m:ctrlPr>
                <w:rPr>
                  <w:rFonts w:ascii="Cambria Math" w:hAnsi="Cambria Math"/>
                  <w:i/>
                </w:rPr>
              </m:ctrlPr>
            </m:fPr>
            <m:num>
              <m:r>
                <w:rPr>
                  <w:rFonts w:ascii="Cambria Math" w:hAnsi="Cambria Math"/>
                </w:rPr>
                <m:t>VOM Dollars ($)</m:t>
              </m:r>
            </m:num>
            <m:den>
              <m:r>
                <w:rPr>
                  <w:rFonts w:ascii="Cambria Math" w:hAnsi="Cambria Math"/>
                </w:rPr>
                <m:t>MWh Generation Produced</m:t>
              </m:r>
            </m:den>
          </m:f>
        </m:oMath>
      </m:oMathPara>
    </w:p>
    <w:p w14:paraId="372448A6" w14:textId="2448769D" w:rsidR="0053682F" w:rsidRPr="009824C2" w:rsidRDefault="00505C2E" w:rsidP="00E679DC">
      <w:pPr>
        <w:pStyle w:val="Heading471"/>
      </w:pPr>
      <w:bookmarkStart w:id="12094" w:name="_Toc351019875"/>
      <w:bookmarkStart w:id="12095" w:name="_Toc363483416"/>
      <w:bookmarkStart w:id="12096" w:name="_Toc131493514"/>
      <w:bookmarkStart w:id="12097" w:name="_Toc213772343"/>
      <w:r w:rsidRPr="009824C2">
        <w:t>D.10</w:t>
      </w:r>
      <w:r w:rsidRPr="009824C2">
        <w:tab/>
      </w:r>
      <w:r w:rsidR="0053682F" w:rsidRPr="009824C2">
        <w:t>Solar Guidelines</w:t>
      </w:r>
      <w:bookmarkEnd w:id="12094"/>
      <w:bookmarkEnd w:id="12095"/>
      <w:bookmarkEnd w:id="12096"/>
      <w:bookmarkEnd w:id="12097"/>
    </w:p>
    <w:p w14:paraId="0603E5F8" w14:textId="77777777" w:rsidR="0053682F" w:rsidRDefault="0053682F" w:rsidP="0053682F">
      <w:pPr>
        <w:pStyle w:val="Normal120"/>
      </w:pPr>
      <w:r>
        <w:rPr>
          <w:b/>
          <w:bCs/>
        </w:rPr>
        <w:t xml:space="preserve">Solar photovoltaic </w:t>
      </w:r>
      <w:r>
        <w:t xml:space="preserve">- Generating unit in which light from the sun is converted into electricity through solar cells.  </w:t>
      </w:r>
    </w:p>
    <w:p w14:paraId="5E9A1084" w14:textId="77777777" w:rsidR="0053682F" w:rsidRDefault="0053682F" w:rsidP="0053682F">
      <w:pPr>
        <w:pStyle w:val="Normal120"/>
        <w:rPr>
          <w:bCs/>
          <w:sz w:val="36"/>
          <w:szCs w:val="36"/>
        </w:rPr>
      </w:pPr>
      <w:r>
        <w:rPr>
          <w:b/>
        </w:rPr>
        <w:t xml:space="preserve">Solar thermal – </w:t>
      </w:r>
      <w:r>
        <w:t>Generating unit in which heat from the sun is used to create steam that spins a turbine to generate electricity.</w:t>
      </w:r>
    </w:p>
    <w:p w14:paraId="57788559" w14:textId="40B3F5D6" w:rsidR="0053682F" w:rsidRDefault="00505C2E" w:rsidP="00781C61">
      <w:pPr>
        <w:pStyle w:val="3Appx3"/>
        <w:numPr>
          <w:ilvl w:val="0"/>
          <w:numId w:val="0"/>
        </w:numPr>
      </w:pPr>
      <w:bookmarkStart w:id="12098" w:name="_Toc351019876"/>
      <w:bookmarkStart w:id="12099" w:name="_Toc363483417"/>
      <w:bookmarkStart w:id="12100" w:name="_Toc131493515"/>
      <w:bookmarkStart w:id="12101" w:name="_Toc213772344"/>
      <w:r>
        <w:t>D.10.1</w:t>
      </w:r>
      <w:r>
        <w:tab/>
      </w:r>
      <w:r w:rsidR="0053682F">
        <w:t>Fuel Cost</w:t>
      </w:r>
      <w:bookmarkEnd w:id="12098"/>
      <w:bookmarkEnd w:id="12099"/>
      <w:bookmarkEnd w:id="12100"/>
      <w:bookmarkEnd w:id="12101"/>
    </w:p>
    <w:p w14:paraId="45A088AA" w14:textId="5C456822" w:rsidR="0053682F" w:rsidRDefault="0053682F" w:rsidP="0053682F">
      <w:pPr>
        <w:pStyle w:val="Normal120"/>
      </w:pPr>
      <w:r>
        <w:t xml:space="preserve">Solar </w:t>
      </w:r>
      <w:r w:rsidR="00E42513">
        <w:t>u</w:t>
      </w:r>
      <w:r>
        <w:t xml:space="preserve">nits may include applicable costs that vary by MWh output.  </w:t>
      </w:r>
    </w:p>
    <w:p w14:paraId="3AA7B9B9" w14:textId="6403C2E4" w:rsidR="0053682F" w:rsidRDefault="00505C2E" w:rsidP="00781C61">
      <w:pPr>
        <w:pStyle w:val="3Appx3"/>
        <w:numPr>
          <w:ilvl w:val="0"/>
          <w:numId w:val="0"/>
        </w:numPr>
      </w:pPr>
      <w:bookmarkStart w:id="12102" w:name="_Toc351019877"/>
      <w:bookmarkStart w:id="12103" w:name="_Toc363483418"/>
      <w:bookmarkStart w:id="12104" w:name="_Toc131493516"/>
      <w:bookmarkStart w:id="12105" w:name="_Toc213772345"/>
      <w:r>
        <w:t>D.10.2</w:t>
      </w:r>
      <w:r>
        <w:tab/>
      </w:r>
      <w:r w:rsidR="0053682F">
        <w:t>Mitigated Start-Up Offer</w:t>
      </w:r>
      <w:bookmarkEnd w:id="12102"/>
      <w:bookmarkEnd w:id="12103"/>
      <w:bookmarkEnd w:id="12104"/>
      <w:bookmarkEnd w:id="12105"/>
    </w:p>
    <w:p w14:paraId="4F8CD17D" w14:textId="3F3FC9F7" w:rsidR="0053682F" w:rsidRDefault="0053682F" w:rsidP="0053682F">
      <w:pPr>
        <w:pStyle w:val="Normal120"/>
      </w:pPr>
      <w:r>
        <w:t xml:space="preserve">Solar </w:t>
      </w:r>
      <w:r w:rsidR="00E42513">
        <w:t>u</w:t>
      </w:r>
      <w:r>
        <w:t xml:space="preserve">nits do not have start costs.  </w:t>
      </w:r>
    </w:p>
    <w:p w14:paraId="684D75BC" w14:textId="6A149D00" w:rsidR="0053682F" w:rsidRDefault="00505C2E" w:rsidP="00781C61">
      <w:pPr>
        <w:pStyle w:val="3Appx3"/>
        <w:numPr>
          <w:ilvl w:val="0"/>
          <w:numId w:val="0"/>
        </w:numPr>
      </w:pPr>
      <w:bookmarkStart w:id="12106" w:name="_Toc351019878"/>
      <w:bookmarkStart w:id="12107" w:name="_Toc363483419"/>
      <w:bookmarkStart w:id="12108" w:name="_Toc131493517"/>
      <w:bookmarkStart w:id="12109" w:name="_Toc213772346"/>
      <w:r>
        <w:t>D.10.3</w:t>
      </w:r>
      <w:r>
        <w:tab/>
      </w:r>
      <w:r w:rsidR="0053682F">
        <w:t>Mitigated No-Load Offer</w:t>
      </w:r>
      <w:bookmarkEnd w:id="12106"/>
      <w:bookmarkEnd w:id="12107"/>
      <w:bookmarkEnd w:id="12108"/>
      <w:bookmarkEnd w:id="12109"/>
    </w:p>
    <w:p w14:paraId="7EAA9884" w14:textId="11BB7BB1" w:rsidR="0053682F" w:rsidRDefault="0053682F" w:rsidP="0053682F">
      <w:pPr>
        <w:pStyle w:val="Normal120"/>
      </w:pPr>
      <w:r>
        <w:t xml:space="preserve">Solar </w:t>
      </w:r>
      <w:r w:rsidR="00E42513">
        <w:t>u</w:t>
      </w:r>
      <w:r>
        <w:t xml:space="preserve">nits do not have </w:t>
      </w:r>
      <w:r w:rsidR="00775676">
        <w:t>n</w:t>
      </w:r>
      <w:r>
        <w:t>o-</w:t>
      </w:r>
      <w:r w:rsidR="00775676">
        <w:t>l</w:t>
      </w:r>
      <w:r>
        <w:t xml:space="preserve">oad costs.  </w:t>
      </w:r>
    </w:p>
    <w:p w14:paraId="71A9FD61" w14:textId="25A9A257" w:rsidR="0053682F" w:rsidRDefault="00505C2E" w:rsidP="00781C61">
      <w:pPr>
        <w:pStyle w:val="3Appx3"/>
        <w:numPr>
          <w:ilvl w:val="0"/>
          <w:numId w:val="0"/>
        </w:numPr>
      </w:pPr>
      <w:bookmarkStart w:id="12110" w:name="_Toc351019879"/>
      <w:bookmarkStart w:id="12111" w:name="_Toc363483420"/>
      <w:bookmarkStart w:id="12112" w:name="_Toc131493518"/>
      <w:bookmarkStart w:id="12113" w:name="_Toc213772347"/>
      <w:r>
        <w:t>D.10.4</w:t>
      </w:r>
      <w:r>
        <w:tab/>
      </w:r>
      <w:r w:rsidR="0053682F">
        <w:t>VOM</w:t>
      </w:r>
      <w:bookmarkEnd w:id="12110"/>
      <w:bookmarkEnd w:id="12111"/>
      <w:bookmarkEnd w:id="12112"/>
      <w:bookmarkEnd w:id="12113"/>
    </w:p>
    <w:p w14:paraId="216A7524" w14:textId="77777777" w:rsidR="0053682F" w:rsidRDefault="0053682F" w:rsidP="0053682F">
      <w:pPr>
        <w:pStyle w:val="Normal120"/>
      </w:pPr>
      <w:r>
        <w:t xml:space="preserve">Solar units should reflect their short-run incremental VOM costs by using the most current data available.  This could include the previous actual short-run incremental cost where available.  For solar units, VOM dollars from the previous years should be divided by MWh generated in the same period. </w:t>
      </w:r>
    </w:p>
    <w:p w14:paraId="0C1CA625" w14:textId="77777777" w:rsidR="0053682F" w:rsidRDefault="0002195B" w:rsidP="0053682F">
      <w:pPr>
        <w:rPr>
          <w:rFonts w:cs="Cambria"/>
        </w:rPr>
      </w:pPr>
      <m:oMathPara>
        <m:oMath>
          <m:r>
            <w:rPr>
              <w:rFonts w:ascii="Cambria Math" w:hAnsi="Cambria Math"/>
            </w:rPr>
            <m:t>EOC VOM Adder ($/MWh)=</m:t>
          </m:r>
          <m:f>
            <m:fPr>
              <m:ctrlPr>
                <w:rPr>
                  <w:rFonts w:ascii="Cambria Math" w:hAnsi="Cambria Math"/>
                  <w:i/>
                </w:rPr>
              </m:ctrlPr>
            </m:fPr>
            <m:num>
              <m:r>
                <w:rPr>
                  <w:rFonts w:ascii="Cambria Math" w:hAnsi="Cambria Math"/>
                </w:rPr>
                <m:t>VOM Dollars ($)</m:t>
              </m:r>
            </m:num>
            <m:den>
              <m:r>
                <w:rPr>
                  <w:rFonts w:ascii="Cambria Math" w:hAnsi="Cambria Math"/>
                </w:rPr>
                <m:t>MWh Generation Produced</m:t>
              </m:r>
            </m:den>
          </m:f>
        </m:oMath>
      </m:oMathPara>
    </w:p>
    <w:p w14:paraId="421E9888" w14:textId="77777777" w:rsidR="0053682F" w:rsidRDefault="0053682F" w:rsidP="0053682F">
      <w:pPr>
        <w:spacing w:after="0"/>
      </w:pPr>
    </w:p>
    <w:p w14:paraId="2ACE7100" w14:textId="65042FFF" w:rsidR="0053682F" w:rsidRPr="00DD6080" w:rsidRDefault="00505C2E" w:rsidP="00E679DC">
      <w:pPr>
        <w:pStyle w:val="Heading471"/>
      </w:pPr>
      <w:bookmarkStart w:id="12114" w:name="_Toc131493519"/>
      <w:bookmarkStart w:id="12115" w:name="_Toc213772348"/>
      <w:r w:rsidRPr="009824C2">
        <w:t>D.11</w:t>
      </w:r>
      <w:r w:rsidRPr="009824C2">
        <w:tab/>
      </w:r>
      <w:r w:rsidR="0053682F" w:rsidRPr="009824C2">
        <w:t>Electric Storage Resource Guidelines</w:t>
      </w:r>
      <w:bookmarkEnd w:id="12114"/>
      <w:bookmarkEnd w:id="12115"/>
    </w:p>
    <w:p w14:paraId="22591055" w14:textId="121850FC" w:rsidR="005B0547" w:rsidRDefault="0053682F" w:rsidP="00E94CBF">
      <w:pPr>
        <w:spacing w:line="276" w:lineRule="auto"/>
      </w:pPr>
      <w:r w:rsidRPr="005B0547">
        <w:t>This section contains information for the development of Energy cost offers for a</w:t>
      </w:r>
      <w:r w:rsidR="00904EE9" w:rsidRPr="005B0547">
        <w:t>n Electric Storage</w:t>
      </w:r>
      <w:r w:rsidRPr="005B0547">
        <w:t xml:space="preserve"> Resource registered in Markets+ as an </w:t>
      </w:r>
      <w:r w:rsidR="0026189B" w:rsidRPr="005B0547">
        <w:t>M</w:t>
      </w:r>
      <w:r w:rsidRPr="005B0547">
        <w:t>SR.ESR.</w:t>
      </w:r>
      <w:r w:rsidR="00B20CD3" w:rsidRPr="005B0547">
        <w:rPr>
          <w:rStyle w:val="FootnoteReference"/>
          <w:bCs/>
        </w:rPr>
        <w:footnoteReference w:id="11"/>
      </w:r>
      <w:r w:rsidRPr="005B0547">
        <w:t xml:space="preserve"> </w:t>
      </w:r>
      <w:r w:rsidR="001F141A" w:rsidRPr="00505C2E">
        <w:t>T</w:t>
      </w:r>
      <w:r w:rsidRPr="005B0547">
        <w:t xml:space="preserve">he mitigated Energy Offer Curve methodology may include, but must not exceed, (i) charging cost and (ii) opportunity cost, both adjusted for round-trip efficiency.  Charging cost is the cost at which the ESR charged, and opportunity cost is the average profit in the next hour forgone by charging or discharging in the current hour.  The sum of the charging cost and opportunity cost is the average LMP that is expected for the next Operating Hour.  The mitigated Energy Offer Curve for MSRs must have at least two (2) breakpoints, based upon how the resource is being offered to charge or discharge in the market.  More breakpoints may be added to the extent that other costs vary.  </w:t>
      </w:r>
      <w:r w:rsidRPr="00505C2E" w:rsidDel="005135BA">
        <w:t xml:space="preserve">A Market Participant may submit for approval by the Market Monitor a modified mitigation methodology for an ESR that takes into account the ESR’s storage horizon and any cycling limitations.  </w:t>
      </w:r>
      <w:r w:rsidRPr="00505C2E" w:rsidDel="00617BC5">
        <w:t xml:space="preserve">Limitations on </w:t>
      </w:r>
      <w:r w:rsidRPr="00505C2E" w:rsidDel="00F06ABD">
        <w:t xml:space="preserve">battery </w:t>
      </w:r>
      <w:r w:rsidRPr="00505C2E" w:rsidDel="00617BC5">
        <w:t xml:space="preserve">charge and discharge cycles, or </w:t>
      </w:r>
      <w:r w:rsidRPr="00505C2E" w:rsidDel="00A57C21">
        <w:t xml:space="preserve">battery </w:t>
      </w:r>
      <w:r w:rsidRPr="00505C2E" w:rsidDel="00617BC5">
        <w:t>throughput limitations, must be equipment limitations that are based on OEM specifications</w:t>
      </w:r>
      <w:r w:rsidRPr="00505C2E">
        <w:t xml:space="preserve"> </w:t>
      </w:r>
      <w:r w:rsidRPr="00505C2E" w:rsidDel="00617BC5">
        <w:t xml:space="preserve">.  </w:t>
      </w:r>
      <w:r w:rsidRPr="00505C2E" w:rsidDel="005135BA">
        <w:t xml:space="preserve">Equipment limitations must have supporting evidence submitted by the </w:t>
      </w:r>
      <w:r w:rsidRPr="00505C2E" w:rsidDel="00A57C21">
        <w:t>Asset Owner</w:t>
      </w:r>
      <w:r w:rsidRPr="00505C2E" w:rsidDel="005135BA">
        <w:t xml:space="preserve">.   </w:t>
      </w:r>
    </w:p>
    <w:p w14:paraId="27C3239F" w14:textId="3093420B" w:rsidR="0053682F" w:rsidRDefault="00505C2E" w:rsidP="00781C61">
      <w:pPr>
        <w:pStyle w:val="3Appx3"/>
        <w:numPr>
          <w:ilvl w:val="0"/>
          <w:numId w:val="0"/>
        </w:numPr>
      </w:pPr>
      <w:bookmarkStart w:id="12116" w:name="_Toc213772349"/>
      <w:r>
        <w:t>D.11.1</w:t>
      </w:r>
      <w:r>
        <w:tab/>
      </w:r>
      <w:r w:rsidR="0053682F">
        <w:t>Round</w:t>
      </w:r>
      <w:r w:rsidR="00155C72">
        <w:t>-</w:t>
      </w:r>
      <w:r w:rsidR="0053682F">
        <w:t>Trip Efficiency</w:t>
      </w:r>
      <w:bookmarkEnd w:id="12116"/>
    </w:p>
    <w:p w14:paraId="043A4DC0" w14:textId="3EBF8222" w:rsidR="0053682F" w:rsidRDefault="00CD7599" w:rsidP="0053682F">
      <w:pPr>
        <w:spacing w:line="276" w:lineRule="auto"/>
      </w:pPr>
      <w:r>
        <w:t xml:space="preserve">ESR </w:t>
      </w:r>
      <w:r w:rsidR="006113CA">
        <w:t>R</w:t>
      </w:r>
      <w:r>
        <w:t>ound-</w:t>
      </w:r>
      <w:r w:rsidR="006113CA">
        <w:t>T</w:t>
      </w:r>
      <w:r>
        <w:t xml:space="preserve">rip </w:t>
      </w:r>
      <w:r w:rsidR="006113CA">
        <w:t>E</w:t>
      </w:r>
      <w:r>
        <w:t xml:space="preserve">fficiency </w:t>
      </w:r>
      <w:r w:rsidR="0053682F">
        <w:t xml:space="preserve"> is the ratio of (1) the energy the ESR is able to inject via discharge to (2) the energy withdrawn in order to store that charge.  The Market Participant should specify if design or actual efficiency is being used when submitting their Mitigated Offer </w:t>
      </w:r>
      <w:r w:rsidR="00D43E2A">
        <w:t>Development</w:t>
      </w:r>
      <w:r w:rsidR="0053682F">
        <w:t xml:space="preserve"> Methodology.  When the expected average LMP for the next Operating Hour is less than $0/MWh, the Round-Trip Efficiency must be equal to ‘1’ in order to maintain a monotonically non-decreasing offer curve. </w:t>
      </w:r>
    </w:p>
    <w:p w14:paraId="4BC58110" w14:textId="033DAFCB" w:rsidR="0053682F" w:rsidRDefault="00505C2E" w:rsidP="00781C61">
      <w:pPr>
        <w:pStyle w:val="3Appx3"/>
        <w:numPr>
          <w:ilvl w:val="0"/>
          <w:numId w:val="0"/>
        </w:numPr>
      </w:pPr>
      <w:bookmarkStart w:id="12117" w:name="_Toc131493521"/>
      <w:bookmarkStart w:id="12118" w:name="_Toc213772350"/>
      <w:r>
        <w:t>D.11.2</w:t>
      </w:r>
      <w:r>
        <w:tab/>
      </w:r>
      <w:r w:rsidR="0053682F">
        <w:t>Performance Factor</w:t>
      </w:r>
      <w:bookmarkEnd w:id="12117"/>
      <w:bookmarkEnd w:id="12118"/>
    </w:p>
    <w:p w14:paraId="72F51322" w14:textId="5214242F" w:rsidR="0053682F" w:rsidRDefault="0053682F" w:rsidP="0053682F">
      <w:pPr>
        <w:pStyle w:val="IntenseQuote"/>
        <w:spacing w:line="276" w:lineRule="auto"/>
        <w:jc w:val="both"/>
      </w:pPr>
      <w:r>
        <w:t>Note: The information in Section D</w:t>
      </w:r>
      <w:r w:rsidR="00823282">
        <w:t>.</w:t>
      </w:r>
      <w:r>
        <w:t xml:space="preserve">2.4 contains basic Performance Factor information relevant for all unit types including ESRs. </w:t>
      </w:r>
    </w:p>
    <w:p w14:paraId="3EEBF4C4" w14:textId="365B83A4" w:rsidR="0053682F" w:rsidRDefault="00505C2E" w:rsidP="00781C61">
      <w:pPr>
        <w:pStyle w:val="3Appx3"/>
        <w:numPr>
          <w:ilvl w:val="0"/>
          <w:numId w:val="0"/>
        </w:numPr>
      </w:pPr>
      <w:bookmarkStart w:id="12119" w:name="_Toc131493522"/>
      <w:bookmarkStart w:id="12120" w:name="_Toc213772351"/>
      <w:r>
        <w:t>D.11.3</w:t>
      </w:r>
      <w:r>
        <w:tab/>
      </w:r>
      <w:r w:rsidR="0053682F">
        <w:t>Fuel Cost</w:t>
      </w:r>
      <w:bookmarkEnd w:id="12119"/>
      <w:bookmarkEnd w:id="12120"/>
    </w:p>
    <w:p w14:paraId="7D19CEF4" w14:textId="60933D73" w:rsidR="0053682F" w:rsidRDefault="0053682F" w:rsidP="0053682F">
      <w:pPr>
        <w:spacing w:line="276" w:lineRule="auto"/>
      </w:pPr>
      <w:r>
        <w:t>The fuel cost for an ESR is the unweighted average LMP that is expected for the next Operating Hour adjusted for Round-Trip Efficiency.  This expected average LMP for the next Operating Hour is the average of the LMPs for the most recent</w:t>
      </w:r>
      <w:r w:rsidR="004F7BFC">
        <w:t xml:space="preserve"> forty-five</w:t>
      </w:r>
      <w:r>
        <w:t xml:space="preserve"> </w:t>
      </w:r>
      <w:r w:rsidR="004F7BFC">
        <w:t>(</w:t>
      </w:r>
      <w:r>
        <w:t>45</w:t>
      </w:r>
      <w:r w:rsidR="004F7BFC">
        <w:t>)</w:t>
      </w:r>
      <w:r>
        <w:t xml:space="preserve"> days comparing like Operating Hours.  </w:t>
      </w:r>
    </w:p>
    <w:p w14:paraId="622558FB" w14:textId="77777777" w:rsidR="0053682F" w:rsidRDefault="0053682F" w:rsidP="0053682F">
      <w:pPr>
        <w:spacing w:line="276" w:lineRule="auto"/>
      </w:pPr>
      <w:r>
        <w:t xml:space="preserve">For example, in order to calculate the expected average LMP for hour beginning 13:00 for the current Operating Day for RTBM, perform the following calculations:  </w:t>
      </w:r>
    </w:p>
    <w:p w14:paraId="4DD37637" w14:textId="77777777" w:rsidR="0053682F" w:rsidRDefault="0053682F" w:rsidP="0053682F">
      <w:pPr>
        <w:spacing w:line="276" w:lineRule="auto"/>
      </w:pPr>
    </w:p>
    <w:p w14:paraId="446AFE70" w14:textId="0D9153A9" w:rsidR="0053682F" w:rsidRDefault="0053682F" w:rsidP="0053682F">
      <w:pPr>
        <w:spacing w:line="276" w:lineRule="auto"/>
      </w:pPr>
      <w:r>
        <w:t>1.  Sum all LMPs for the most recent</w:t>
      </w:r>
      <w:r w:rsidR="005A764E">
        <w:t xml:space="preserve"> forty-five</w:t>
      </w:r>
      <w:r>
        <w:t xml:space="preserve"> </w:t>
      </w:r>
      <w:r w:rsidR="005A764E">
        <w:t>(</w:t>
      </w:r>
      <w:r>
        <w:t>45</w:t>
      </w:r>
      <w:r w:rsidR="005A764E">
        <w:t>)</w:t>
      </w:r>
      <w:r>
        <w:t xml:space="preserve"> days for intervals beginning 13:00 to 13:55 inclusive.</w:t>
      </w:r>
    </w:p>
    <w:p w14:paraId="57AFDC16" w14:textId="77777777" w:rsidR="0053682F" w:rsidRDefault="0053682F" w:rsidP="0053682F">
      <w:pPr>
        <w:spacing w:line="276" w:lineRule="auto"/>
      </w:pPr>
      <w:r>
        <w:t>2.  Divide the sum by the total number of intervals.</w:t>
      </w:r>
    </w:p>
    <w:p w14:paraId="109B2A30" w14:textId="77777777" w:rsidR="0053682F" w:rsidRDefault="0053682F" w:rsidP="0053682F">
      <w:pPr>
        <w:spacing w:line="276" w:lineRule="auto"/>
      </w:pPr>
      <w:r>
        <w:t>3.  Use this value to calculate the cost for hour beginning 12:00.</w:t>
      </w:r>
    </w:p>
    <w:p w14:paraId="2BAE2005" w14:textId="77777777" w:rsidR="0053682F" w:rsidRDefault="0053682F" w:rsidP="0053682F">
      <w:pPr>
        <w:spacing w:line="276" w:lineRule="auto"/>
      </w:pPr>
    </w:p>
    <w:p w14:paraId="520F3C94" w14:textId="373193AF" w:rsidR="0053682F" w:rsidRDefault="0053682F" w:rsidP="0053682F">
      <w:pPr>
        <w:spacing w:line="276" w:lineRule="auto"/>
      </w:pPr>
      <w:r>
        <w:t xml:space="preserve">If the requisite pricing history is not available, the Market Participant must substitute other LMPs for the missing history until the requisite Markets+ LMPs are available as described herein.  The Market Participant must use Markets+ LMPs if they are available at the Settlement Location. If the Settlement Location lacks the requisite Markets+ LMP history, then LMPs from an electrically similar Settlement Location in Markets+ must be substituted.  The electrically similar Settlement Location is submitted for approval through the mitigated offer development methodology process described in </w:t>
      </w:r>
      <w:r w:rsidR="00FB6F67">
        <w:t>S</w:t>
      </w:r>
      <w:r>
        <w:t>ection D</w:t>
      </w:r>
      <w:r w:rsidR="00FB6F67">
        <w:t>.</w:t>
      </w:r>
      <w:r>
        <w:t xml:space="preserve">1.5.  If the Settlement Location has no Markets+ LMP history, LMPs from a previous market must be substituted if the Market Monitor can verify the LMPs and approves of their use.  If the Settlement Location cannot use LMPs from a previous market, LMPs from an electric pricing hub must be used.  The pricing hub is submitted for approval through the </w:t>
      </w:r>
      <w:r w:rsidR="00D4504B">
        <w:t>M</w:t>
      </w:r>
      <w:r>
        <w:t xml:space="preserve">itigated </w:t>
      </w:r>
      <w:r w:rsidR="00D4504B">
        <w:t>O</w:t>
      </w:r>
      <w:r>
        <w:t xml:space="preserve">ffer </w:t>
      </w:r>
      <w:r w:rsidR="00B06DF3">
        <w:t>D</w:t>
      </w:r>
      <w:r>
        <w:t xml:space="preserve">evelopment </w:t>
      </w:r>
      <w:r w:rsidR="00C6689A">
        <w:t>M</w:t>
      </w:r>
      <w:r>
        <w:t>ethodology</w:t>
      </w:r>
      <w:r w:rsidR="00C6689A">
        <w:t xml:space="preserve"> Approval</w:t>
      </w:r>
      <w:r>
        <w:t xml:space="preserve"> </w:t>
      </w:r>
      <w:r w:rsidR="00C6689A">
        <w:t>P</w:t>
      </w:r>
      <w:r>
        <w:t>rocess.  The Market Monitor will evaluate the hub or alternate Settlement Location to determine if it is reasonably representative of LMPs at that Resource’s Settlement Location.</w:t>
      </w:r>
    </w:p>
    <w:p w14:paraId="2D93CEA9" w14:textId="0B419DC7" w:rsidR="0053682F" w:rsidRDefault="0053682F" w:rsidP="0053682F">
      <w:pPr>
        <w:spacing w:line="276" w:lineRule="auto"/>
      </w:pPr>
      <w:r>
        <w:t>RTBM LMPs must be used to calculate the expected Real-Time LMP, and Day-Ahead Market LMPs must be used to calculate the expected Day-Ahead Market LMP.  Because the last hour of the Day-Ahead Market depends on the unknown expected LMP in the next hour, the Market Participant must substitute the LMP of the first hour of the same Day-Ahead Market day for that unknown expected LMP.  For example, the LMP for hour beginning 00:00 should be the expected average LMP used for calculating the mitigated offer for hour beginning 23:00 in the Day-Ahead Market.</w:t>
      </w:r>
    </w:p>
    <w:p w14:paraId="1A6BFB85" w14:textId="77777777" w:rsidR="0053682F" w:rsidRDefault="0053682F" w:rsidP="0053682F">
      <w:pPr>
        <w:spacing w:line="276" w:lineRule="auto"/>
      </w:pPr>
    </w:p>
    <w:p w14:paraId="3B9CD3CA" w14:textId="03FB7865" w:rsidR="0053682F" w:rsidRPr="00E679DC" w:rsidRDefault="00505C2E" w:rsidP="00E679DC">
      <w:pPr>
        <w:pStyle w:val="Heading471"/>
        <w:rPr>
          <w:rStyle w:val="Heading4Char22"/>
        </w:rPr>
      </w:pPr>
      <w:bookmarkStart w:id="12121" w:name="_Toc512925842"/>
      <w:bookmarkStart w:id="12122" w:name="_Toc131493523"/>
      <w:bookmarkStart w:id="12123" w:name="_Toc213772352"/>
      <w:r>
        <w:t>D.11.3.1</w:t>
      </w:r>
      <w:r>
        <w:tab/>
      </w:r>
      <w:r w:rsidR="0053682F">
        <w:t xml:space="preserve">Total Energy Input-Related Costs for Electric Storage Resource </w:t>
      </w:r>
      <w:r w:rsidR="0053682F" w:rsidRPr="00E679DC">
        <w:rPr>
          <w:rStyle w:val="Heading4Char22"/>
        </w:rPr>
        <w:t>Generation</w:t>
      </w:r>
      <w:bookmarkEnd w:id="12121"/>
      <w:bookmarkEnd w:id="12122"/>
      <w:bookmarkEnd w:id="12123"/>
    </w:p>
    <w:p w14:paraId="0A75C840" w14:textId="638E49F6" w:rsidR="0053682F" w:rsidRDefault="0053682F" w:rsidP="0053682F">
      <w:pPr>
        <w:pStyle w:val="Normal120"/>
        <w:spacing w:line="276" w:lineRule="auto"/>
        <w:jc w:val="both"/>
        <w:rPr>
          <w:szCs w:val="24"/>
        </w:rPr>
      </w:pPr>
      <w:r>
        <w:rPr>
          <w:szCs w:val="24"/>
        </w:rPr>
        <w:t>Because Round-Trip Efficiency losses require an ESR to buy more energy than it can sell, the price at which the ESR discharges should be greater than the price at which the ESR charges.  Therefore</w:t>
      </w:r>
      <w:r w:rsidR="00591BB4">
        <w:rPr>
          <w:szCs w:val="24"/>
        </w:rPr>
        <w:t>,</w:t>
      </w:r>
      <w:r>
        <w:rPr>
          <w:szCs w:val="24"/>
        </w:rPr>
        <w:t xml:space="preserve"> the marginal cost of discharging is greater than the marginal cost of charging.</w:t>
      </w:r>
    </w:p>
    <w:p w14:paraId="638FE6E3" w14:textId="77777777" w:rsidR="0053682F" w:rsidRDefault="0053682F" w:rsidP="0053682F">
      <w:pPr>
        <w:pStyle w:val="Normal120"/>
        <w:spacing w:line="276" w:lineRule="auto"/>
        <w:jc w:val="both"/>
        <w:rPr>
          <w:szCs w:val="24"/>
        </w:rPr>
      </w:pPr>
      <w:r>
        <w:rPr>
          <w:szCs w:val="24"/>
        </w:rPr>
        <w:t xml:space="preserve">The two calculations for an ESR’s total energy input-related costs are defined as follows:  </w:t>
      </w:r>
    </w:p>
    <w:p w14:paraId="22996FAE" w14:textId="77777777" w:rsidR="0053682F" w:rsidRDefault="0002195B" w:rsidP="0053682F">
      <w:pPr>
        <w:spacing w:line="276" w:lineRule="auto"/>
        <w:ind w:left="1080" w:hanging="1080"/>
        <w:rPr>
          <w:rFonts w:eastAsiaTheme="minorEastAsia"/>
        </w:rPr>
      </w:pPr>
      <m:oMath>
        <m:r>
          <w:rPr>
            <w:rFonts w:ascii="Cambria Math" w:hAnsi="Cambria Math"/>
          </w:rPr>
          <m:t xml:space="preserve">Electric Storage Resource Total Energy Input Related Costs for Charging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d>
          <m:dPr>
            <m:ctrlPr>
              <w:rPr>
                <w:rFonts w:ascii="Cambria Math" w:hAnsi="Cambria Math"/>
                <w:i/>
              </w:rPr>
            </m:ctrlPr>
          </m:dPr>
          <m:e>
            <m:r>
              <w:rPr>
                <w:rFonts w:ascii="Cambria Math" w:hAnsi="Cambria Math"/>
              </w:rPr>
              <m:t xml:space="preserve">Expected Average LMP for the Next Operating Hour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*Round Trip Efficiency</m:t>
            </m:r>
          </m:e>
        </m:d>
        <m:r>
          <w:rPr>
            <w:rFonts w:ascii="Cambria Math" w:hAnsi="Cambria Math"/>
          </w:rPr>
          <m:t xml:space="preserve">-EOC VOM Cost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 where RTE=1 when the Expected Average LMP for the Next Operating Hour&lt;$0</m:t>
        </m:r>
      </m:oMath>
      <w:r w:rsidR="0053682F">
        <w:rPr>
          <w:rFonts w:eastAsiaTheme="minorEastAsia"/>
        </w:rPr>
        <w:t>/MWh</w:t>
      </w:r>
    </w:p>
    <w:p w14:paraId="735E182F" w14:textId="77777777" w:rsidR="0053682F" w:rsidRDefault="0002195B" w:rsidP="0053682F">
      <w:pPr>
        <w:spacing w:line="276" w:lineRule="auto"/>
        <w:ind w:left="1080" w:hanging="1080"/>
        <w:rPr>
          <w:rFonts w:eastAsiaTheme="minorEastAsia"/>
        </w:rPr>
      </w:pPr>
      <m:oMath>
        <m:r>
          <w:rPr>
            <w:rFonts w:ascii="Cambria Math" w:hAnsi="Cambria Math"/>
          </w:rPr>
          <m:t xml:space="preserve">Electric Storage Resource Total Energy Input Related Costs for Discharging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Expected Average LMP for the Next Operating Hour</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num>
              <m:den>
                <m:r>
                  <w:rPr>
                    <w:rFonts w:ascii="Cambria Math" w:hAnsi="Cambria Math"/>
                  </w:rPr>
                  <m:t>Round Trip Efficiency</m:t>
                </m:r>
              </m:den>
            </m:f>
          </m:e>
        </m:d>
        <m:r>
          <w:rPr>
            <w:rFonts w:ascii="Cambria Math" w:hAnsi="Cambria Math"/>
          </w:rPr>
          <m:t xml:space="preserve">+EOC VOM Cost </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 where RTE=1 when the Expected Average LMP for the Next Operating Hour&lt;$0</m:t>
        </m:r>
      </m:oMath>
      <w:r w:rsidR="0053682F">
        <w:rPr>
          <w:rFonts w:eastAsiaTheme="minorEastAsia"/>
        </w:rPr>
        <w:t>/MWh</w:t>
      </w:r>
    </w:p>
    <w:p w14:paraId="7BD2C931" w14:textId="77777777" w:rsidR="0053682F" w:rsidRDefault="0053682F" w:rsidP="0053682F">
      <w:pPr>
        <w:spacing w:line="276" w:lineRule="auto"/>
        <w:ind w:left="1080" w:hanging="1080"/>
        <w:rPr>
          <w:rFonts w:eastAsiaTheme="minorEastAsia"/>
        </w:rPr>
      </w:pPr>
    </w:p>
    <w:p w14:paraId="607D6265" w14:textId="0CC7E340" w:rsidR="0053682F" w:rsidRDefault="00505C2E" w:rsidP="00781C61">
      <w:pPr>
        <w:pStyle w:val="3Appx3"/>
        <w:numPr>
          <w:ilvl w:val="0"/>
          <w:numId w:val="0"/>
        </w:numPr>
      </w:pPr>
      <w:bookmarkStart w:id="12124" w:name="_Toc131493524"/>
      <w:bookmarkStart w:id="12125" w:name="_Toc213772353"/>
      <w:r>
        <w:t>D.11.4</w:t>
      </w:r>
      <w:r>
        <w:tab/>
      </w:r>
      <w:r w:rsidR="0053682F">
        <w:t>Mitigated Start-Up Offer</w:t>
      </w:r>
      <w:bookmarkEnd w:id="12124"/>
      <w:bookmarkEnd w:id="12125"/>
    </w:p>
    <w:p w14:paraId="4534B7CC" w14:textId="43A51C57" w:rsidR="0053682F" w:rsidRDefault="0053682F" w:rsidP="0053682F">
      <w:pPr>
        <w:pStyle w:val="IntenseQuote"/>
        <w:spacing w:line="276" w:lineRule="auto"/>
        <w:jc w:val="both"/>
      </w:pPr>
      <w:r>
        <w:t>Note: The information in Section D</w:t>
      </w:r>
      <w:r w:rsidR="00F327E7">
        <w:t>.</w:t>
      </w:r>
      <w:r>
        <w:t xml:space="preserve">2.8 contains basic Mitigated Start-Up Offer information relevant for all unit types, including ESRs.  </w:t>
      </w:r>
      <w:bookmarkStart w:id="12126" w:name="_Toc381168512"/>
      <w:bookmarkStart w:id="12127" w:name="_Toc387395117"/>
      <w:bookmarkStart w:id="12128" w:name="_Toc395180773"/>
      <w:bookmarkStart w:id="12129" w:name="_Toc397066619"/>
      <w:bookmarkStart w:id="12130" w:name="_Toc402957552"/>
      <w:bookmarkStart w:id="12131" w:name="_Toc402958317"/>
      <w:bookmarkStart w:id="12132" w:name="_Toc403030466"/>
      <w:bookmarkStart w:id="12133" w:name="_Toc403031230"/>
      <w:bookmarkStart w:id="12134" w:name="_Toc403485632"/>
      <w:bookmarkStart w:id="12135" w:name="_Toc403486396"/>
      <w:bookmarkStart w:id="12136" w:name="_Toc411517304"/>
      <w:bookmarkStart w:id="12137" w:name="_Toc412128953"/>
      <w:bookmarkStart w:id="12138" w:name="_Toc412655680"/>
      <w:bookmarkStart w:id="12139" w:name="_Toc412706444"/>
      <w:bookmarkStart w:id="12140" w:name="_Toc412709376"/>
      <w:bookmarkStart w:id="12141" w:name="_Toc412713362"/>
      <w:bookmarkStart w:id="12142" w:name="_Toc415746698"/>
      <w:bookmarkStart w:id="12143" w:name="_Toc418588933"/>
      <w:bookmarkStart w:id="12144" w:name="_Toc418589707"/>
      <w:bookmarkStart w:id="12145" w:name="_Toc418590481"/>
      <w:bookmarkStart w:id="12146" w:name="_Toc419707955"/>
      <w:bookmarkStart w:id="12147" w:name="_Toc420922691"/>
      <w:bookmarkStart w:id="12148" w:name="_Toc420923453"/>
      <w:bookmarkStart w:id="12149" w:name="_Toc420924215"/>
      <w:bookmarkStart w:id="12150" w:name="_Toc420942780"/>
      <w:bookmarkStart w:id="12151" w:name="_Toc424545142"/>
      <w:bookmarkStart w:id="12152" w:name="_Toc424561319"/>
      <w:bookmarkStart w:id="12153" w:name="_Toc425864953"/>
      <w:bookmarkStart w:id="12154" w:name="_Toc425948726"/>
      <w:bookmarkStart w:id="12155" w:name="_Toc425949494"/>
      <w:bookmarkStart w:id="12156" w:name="_Toc426030767"/>
      <w:bookmarkStart w:id="12157" w:name="_Toc426031535"/>
      <w:bookmarkStart w:id="12158" w:name="_Toc431633515"/>
      <w:bookmarkStart w:id="12159" w:name="_Toc431634283"/>
      <w:bookmarkStart w:id="12160" w:name="_Toc431637544"/>
      <w:bookmarkStart w:id="12161" w:name="_Toc432157585"/>
      <w:bookmarkStart w:id="12162" w:name="_Toc432158353"/>
      <w:bookmarkStart w:id="12163" w:name="_Toc432164368"/>
      <w:bookmarkStart w:id="12164" w:name="_Toc432165179"/>
      <w:bookmarkStart w:id="12165" w:name="_Toc432169416"/>
      <w:bookmarkStart w:id="12166" w:name="_Toc432170229"/>
      <w:bookmarkStart w:id="12167" w:name="_Toc435432327"/>
      <w:bookmarkStart w:id="12168" w:name="_Toc443913259"/>
      <w:bookmarkStart w:id="12169" w:name="_Toc444091620"/>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p>
    <w:p w14:paraId="127BF7A9" w14:textId="3BBEF8D2" w:rsidR="0053682F" w:rsidRDefault="00505C2E" w:rsidP="00781C61">
      <w:pPr>
        <w:pStyle w:val="3Appx3"/>
        <w:numPr>
          <w:ilvl w:val="0"/>
          <w:numId w:val="0"/>
        </w:numPr>
      </w:pPr>
      <w:bookmarkStart w:id="12170" w:name="_Toc131493525"/>
      <w:bookmarkStart w:id="12171" w:name="_Toc213772354"/>
      <w:r>
        <w:t>D.11.5</w:t>
      </w:r>
      <w:r>
        <w:tab/>
      </w:r>
      <w:r w:rsidR="0053682F">
        <w:t>Mitigated No-Load Offer</w:t>
      </w:r>
      <w:bookmarkEnd w:id="12170"/>
      <w:bookmarkEnd w:id="12171"/>
    </w:p>
    <w:p w14:paraId="38D8CD1C" w14:textId="303D0CC0" w:rsidR="0053682F" w:rsidRDefault="0053682F" w:rsidP="0053682F">
      <w:pPr>
        <w:pStyle w:val="IntenseQuote"/>
        <w:spacing w:line="276" w:lineRule="auto"/>
        <w:jc w:val="both"/>
      </w:pPr>
      <w:r>
        <w:t>Note: The information in Section D</w:t>
      </w:r>
      <w:r w:rsidR="00F327E7">
        <w:t>.</w:t>
      </w:r>
      <w:r>
        <w:t xml:space="preserve">2.9 contains basic No-Load information relevant for all unit types, including ESRs. </w:t>
      </w:r>
    </w:p>
    <w:p w14:paraId="70418648" w14:textId="576032A7" w:rsidR="0053682F" w:rsidRDefault="00505C2E" w:rsidP="00781C61">
      <w:pPr>
        <w:pStyle w:val="3Appx3"/>
        <w:numPr>
          <w:ilvl w:val="0"/>
          <w:numId w:val="0"/>
        </w:numPr>
      </w:pPr>
      <w:bookmarkStart w:id="12172" w:name="_Toc131493526"/>
      <w:bookmarkStart w:id="12173" w:name="_Toc213772355"/>
      <w:r>
        <w:t>D.11.6</w:t>
      </w:r>
      <w:r>
        <w:tab/>
      </w:r>
      <w:r w:rsidR="0053682F">
        <w:t>VOM Cost</w:t>
      </w:r>
      <w:bookmarkEnd w:id="12172"/>
      <w:bookmarkEnd w:id="12173"/>
    </w:p>
    <w:p w14:paraId="1CC97391" w14:textId="7842A809" w:rsidR="0053682F" w:rsidRDefault="0053682F" w:rsidP="0053682F">
      <w:pPr>
        <w:pStyle w:val="IntenseQuote"/>
        <w:spacing w:line="276" w:lineRule="auto"/>
        <w:jc w:val="both"/>
      </w:pPr>
      <w:r>
        <w:t>Note: The information in Section D</w:t>
      </w:r>
      <w:r w:rsidR="00F327E7">
        <w:t>.</w:t>
      </w:r>
      <w:r>
        <w:t>2.6 contains basic VOM Cost information relevant for all unit types</w:t>
      </w:r>
      <w:r w:rsidR="004A65CF">
        <w:t>,</w:t>
      </w:r>
      <w:r>
        <w:t xml:space="preserve"> including ESRs.  </w:t>
      </w:r>
    </w:p>
    <w:p w14:paraId="77633B71" w14:textId="21301F89" w:rsidR="0053682F" w:rsidRDefault="0053682F" w:rsidP="0053682F">
      <w:pPr>
        <w:pStyle w:val="IntenseQuote"/>
        <w:spacing w:line="276" w:lineRule="auto"/>
        <w:jc w:val="both"/>
        <w:rPr>
          <w:b w:val="0"/>
        </w:rPr>
      </w:pPr>
      <w:r>
        <w:t xml:space="preserve">  </w:t>
      </w:r>
    </w:p>
    <w:p w14:paraId="34EC5FFA" w14:textId="77777777" w:rsidR="0053682F" w:rsidRDefault="0053682F" w:rsidP="0053682F"/>
    <w:p w14:paraId="2B1270AC" w14:textId="7B18B7AD" w:rsidR="00395484" w:rsidRPr="009824C2" w:rsidRDefault="00505C2E" w:rsidP="00E679DC">
      <w:pPr>
        <w:pStyle w:val="Heading471"/>
      </w:pPr>
      <w:bookmarkStart w:id="12174" w:name="_Toc213772356"/>
      <w:r w:rsidRPr="009824C2">
        <w:t>D.12</w:t>
      </w:r>
      <w:r w:rsidRPr="009824C2">
        <w:tab/>
      </w:r>
      <w:r w:rsidR="00395484" w:rsidRPr="009824C2">
        <w:t>Greenhouse Gas Program</w:t>
      </w:r>
      <w:bookmarkEnd w:id="12174"/>
      <w:r w:rsidR="002C5E22" w:rsidRPr="009824C2">
        <w:t xml:space="preserve"> </w:t>
      </w:r>
    </w:p>
    <w:p w14:paraId="7D7948AD" w14:textId="137222F1" w:rsidR="00395484" w:rsidRDefault="00395484" w:rsidP="00395484">
      <w:pPr>
        <w:spacing w:before="120" w:afterLines="120" w:after="288" w:line="276" w:lineRule="auto"/>
      </w:pPr>
      <w:r>
        <w:t xml:space="preserve">The Markets+ GHG program detailed in Attachment K </w:t>
      </w:r>
      <w:r w:rsidR="00985D99">
        <w:t>of the Markets+ Tariff</w:t>
      </w:r>
      <w:r>
        <w:t xml:space="preserve"> addresses GHG Pricing Programs and GHG Reduction Programs.  </w:t>
      </w:r>
    </w:p>
    <w:p w14:paraId="30E61F04" w14:textId="6806B85D" w:rsidR="00395484" w:rsidRDefault="00395484" w:rsidP="00395484">
      <w:pPr>
        <w:spacing w:before="120" w:afterLines="120" w:after="288" w:line="276" w:lineRule="auto"/>
      </w:pPr>
      <w:r>
        <w:t xml:space="preserve">Market Participants that indicate </w:t>
      </w:r>
      <w:r w:rsidR="001666EF">
        <w:t>E</w:t>
      </w:r>
      <w:r>
        <w:t>nergy is eligible</w:t>
      </w:r>
      <w:r w:rsidR="00C06215">
        <w:t xml:space="preserve"> to be offered by </w:t>
      </w:r>
      <w:r>
        <w:t>a Specified Source Resource must meet the requirements set forth in Attachment K</w:t>
      </w:r>
      <w:r w:rsidR="00985D99">
        <w:t xml:space="preserve"> of the Markets+ Tariff</w:t>
      </w:r>
      <w:r>
        <w:t xml:space="preserve">. </w:t>
      </w:r>
    </w:p>
    <w:p w14:paraId="0740B433" w14:textId="77777777" w:rsidR="00395484" w:rsidRDefault="00395484" w:rsidP="00395484">
      <w:pPr>
        <w:spacing w:before="120" w:afterLines="120" w:after="288" w:line="276" w:lineRule="auto"/>
      </w:pPr>
    </w:p>
    <w:p w14:paraId="584DB08A" w14:textId="7D0C121C" w:rsidR="00395484" w:rsidRDefault="00505C2E" w:rsidP="00781C61">
      <w:pPr>
        <w:pStyle w:val="3Appx3"/>
        <w:numPr>
          <w:ilvl w:val="0"/>
          <w:numId w:val="0"/>
        </w:numPr>
      </w:pPr>
      <w:bookmarkStart w:id="12175" w:name="_Toc213772357"/>
      <w:r>
        <w:t>D.12.1</w:t>
      </w:r>
      <w:r>
        <w:tab/>
      </w:r>
      <w:r w:rsidR="00395484">
        <w:t>GHG Adders</w:t>
      </w:r>
      <w:bookmarkEnd w:id="12175"/>
    </w:p>
    <w:p w14:paraId="377A77D3" w14:textId="59246936" w:rsidR="00395484" w:rsidRDefault="00395484" w:rsidP="00395484">
      <w:pPr>
        <w:spacing w:before="120" w:afterLines="120" w:after="288" w:line="276" w:lineRule="auto"/>
      </w:pPr>
      <w:r>
        <w:t>A Specified GHG Adder is a Resource Offer component submitted by a Market Participant that is composed of monotonically non-decreasing MW quantity and price pairs, which must both be set to zero</w:t>
      </w:r>
      <w:r w:rsidR="00C06215">
        <w:t xml:space="preserve"> (0)</w:t>
      </w:r>
      <w:r>
        <w:t xml:space="preserve"> or a positive number. The Specified GHG Adder is cost-based and is calculated using an emission</w:t>
      </w:r>
      <w:r w:rsidR="00D1436B">
        <w:t>s</w:t>
      </w:r>
      <w:r>
        <w:t xml:space="preserve"> factor and an allowance price.</w:t>
      </w:r>
    </w:p>
    <w:p w14:paraId="70539D63" w14:textId="453385D0" w:rsidR="00395484" w:rsidRDefault="00395484" w:rsidP="00395484">
      <w:pPr>
        <w:spacing w:before="120" w:afterLines="120" w:after="288" w:line="276" w:lineRule="auto"/>
      </w:pPr>
      <w:r>
        <w:t xml:space="preserve">A </w:t>
      </w:r>
      <w:r w:rsidR="00190B1C">
        <w:t xml:space="preserve">Specified </w:t>
      </w:r>
      <w:r>
        <w:t xml:space="preserve">GHG </w:t>
      </w:r>
      <w:r w:rsidR="00190B1C">
        <w:t>A</w:t>
      </w:r>
      <w:r>
        <w:t xml:space="preserve">dder may only reflect the cost of compliance with producing </w:t>
      </w:r>
      <w:r w:rsidR="004A2B40">
        <w:t>E</w:t>
      </w:r>
      <w:r>
        <w:t xml:space="preserve">nergy deemed to serve a GHG Pricing Zone. </w:t>
      </w:r>
    </w:p>
    <w:p w14:paraId="52C9C098" w14:textId="1189AD3E" w:rsidR="00395484" w:rsidRDefault="00505C2E" w:rsidP="00781C61">
      <w:pPr>
        <w:pStyle w:val="3Appx3"/>
        <w:numPr>
          <w:ilvl w:val="0"/>
          <w:numId w:val="0"/>
        </w:numPr>
      </w:pPr>
      <w:bookmarkStart w:id="12176" w:name="_Toc213772358"/>
      <w:r>
        <w:t>D.12.2</w:t>
      </w:r>
      <w:r>
        <w:tab/>
      </w:r>
      <w:r w:rsidR="00395484">
        <w:t>Internal and External Resources</w:t>
      </w:r>
      <w:bookmarkEnd w:id="12176"/>
      <w:r w:rsidR="00395484">
        <w:t xml:space="preserve"> </w:t>
      </w:r>
    </w:p>
    <w:p w14:paraId="20EE7B23" w14:textId="77777777" w:rsidR="00395484" w:rsidRDefault="00395484" w:rsidP="00395484">
      <w:pPr>
        <w:pStyle w:val="Normal303"/>
        <w:spacing w:before="120" w:after="120" w:line="276" w:lineRule="auto"/>
      </w:pPr>
      <w:r>
        <w:t xml:space="preserve">For Internal GHG Resources, the Specified GHG Adder may consist of up to ten (10) monotonically non-decreasing Price-MW pairs associated with the MW values of the resource’s offer curves. This represents the incremental costs of emissions at a given MW point on the offer curve. </w:t>
      </w:r>
    </w:p>
    <w:p w14:paraId="77F6A11D" w14:textId="77777777" w:rsidR="00395484" w:rsidRDefault="00395484" w:rsidP="00395484">
      <w:pPr>
        <w:pStyle w:val="Normal303"/>
        <w:spacing w:before="120" w:after="120" w:line="276" w:lineRule="auto"/>
        <w:rPr>
          <w:b/>
        </w:rPr>
      </w:pPr>
    </w:p>
    <w:p w14:paraId="4B8FC69A" w14:textId="77777777" w:rsidR="00395484" w:rsidRDefault="00395484" w:rsidP="00395484">
      <w:pPr>
        <w:pStyle w:val="Normal303"/>
        <w:spacing w:before="120" w:after="120" w:line="276" w:lineRule="auto"/>
      </w:pPr>
      <w:r>
        <w:t>For Specified Source Resources, the Specified GHG Adder must reflect the manner in which compliance costs are assessed by the applicable pricing program. Resources with a single per-MWh emissions factor, for example, must use a flat curve consisting of this single factor multiplied by an allowance price across all MW points.</w:t>
      </w:r>
    </w:p>
    <w:p w14:paraId="65C2DF87" w14:textId="77777777" w:rsidR="00395484" w:rsidRDefault="00395484" w:rsidP="00395484">
      <w:pPr>
        <w:pStyle w:val="Normal303"/>
        <w:rPr>
          <w:b/>
        </w:rPr>
      </w:pPr>
    </w:p>
    <w:p w14:paraId="0006393B" w14:textId="421A774B" w:rsidR="00395484" w:rsidRDefault="00505C2E" w:rsidP="00E679DC">
      <w:pPr>
        <w:pStyle w:val="Heading471"/>
      </w:pPr>
      <w:bookmarkStart w:id="12177" w:name="_Toc213772359"/>
      <w:r>
        <w:t>D.12.2.1</w:t>
      </w:r>
      <w:r>
        <w:tab/>
      </w:r>
      <w:r w:rsidR="00395484">
        <w:t xml:space="preserve">Internal </w:t>
      </w:r>
      <w:r w:rsidR="00340969">
        <w:t xml:space="preserve">GHG </w:t>
      </w:r>
      <w:r w:rsidR="00395484">
        <w:t>Resource Mitigated Start-Up Offer</w:t>
      </w:r>
      <w:bookmarkEnd w:id="12177"/>
      <w:r w:rsidR="00395484">
        <w:t xml:space="preserve"> </w:t>
      </w:r>
    </w:p>
    <w:p w14:paraId="09CE313A" w14:textId="620D111E" w:rsidR="00395484" w:rsidRDefault="00395484" w:rsidP="00395484">
      <w:r>
        <w:t xml:space="preserve">Internal GHG </w:t>
      </w:r>
      <w:r w:rsidR="00340969">
        <w:t>R</w:t>
      </w:r>
      <w:r>
        <w:t xml:space="preserve">esources with Specified GHG Adders that reflect incremental emissions not including costs related to Start-Up may include in their Mitigated Start-Up Offer a component reflecting the costs of compliance under the </w:t>
      </w:r>
      <w:r w:rsidR="00340969">
        <w:t xml:space="preserve">GHG </w:t>
      </w:r>
      <w:r>
        <w:t xml:space="preserve">Pricing Program associated with the emissions caused by </w:t>
      </w:r>
      <w:r w:rsidR="006A2BF0">
        <w:t>R</w:t>
      </w:r>
      <w:r>
        <w:t xml:space="preserve">esource Start-Up. </w:t>
      </w:r>
    </w:p>
    <w:p w14:paraId="464338AA" w14:textId="77777777" w:rsidR="00395484" w:rsidRDefault="00395484" w:rsidP="00395484"/>
    <w:p w14:paraId="1BE1BAE7" w14:textId="2B50DEDD" w:rsidR="00395484" w:rsidRDefault="00505C2E" w:rsidP="00E679DC">
      <w:pPr>
        <w:pStyle w:val="Heading471"/>
      </w:pPr>
      <w:bookmarkStart w:id="12178" w:name="_Toc213772360"/>
      <w:r>
        <w:t>D.12.2.2</w:t>
      </w:r>
      <w:r>
        <w:tab/>
      </w:r>
      <w:r w:rsidR="00395484">
        <w:t>Internal</w:t>
      </w:r>
      <w:r w:rsidR="00340969">
        <w:t xml:space="preserve"> GHG</w:t>
      </w:r>
      <w:r w:rsidR="00395484">
        <w:t xml:space="preserve"> Resource Mitigated No-Load Offer</w:t>
      </w:r>
      <w:bookmarkEnd w:id="12178"/>
      <w:r w:rsidR="00395484">
        <w:t xml:space="preserve"> </w:t>
      </w:r>
    </w:p>
    <w:p w14:paraId="3DCBFBD2" w14:textId="252C0531" w:rsidR="00395484" w:rsidRDefault="00395484" w:rsidP="00395484">
      <w:r>
        <w:t xml:space="preserve">Internal GHG </w:t>
      </w:r>
      <w:r w:rsidR="00C272C6">
        <w:t>R</w:t>
      </w:r>
      <w:r>
        <w:t xml:space="preserve">esources with Specified GHG Adders that reflect incremental emissions not including costs related to No-Load operation may include in their Mitigated No-Load Offer a component reflecting the costs of compliance under the </w:t>
      </w:r>
      <w:r w:rsidR="00340969">
        <w:t xml:space="preserve">GHG </w:t>
      </w:r>
      <w:r>
        <w:t xml:space="preserve">Pricing Program associated with the emissions caused by non-incremental unit output. </w:t>
      </w:r>
    </w:p>
    <w:p w14:paraId="55888134" w14:textId="77777777" w:rsidR="00395484" w:rsidRDefault="00395484" w:rsidP="00395484"/>
    <w:p w14:paraId="70D18087" w14:textId="16F4548F" w:rsidR="00395484" w:rsidRDefault="00505C2E" w:rsidP="00781C61">
      <w:pPr>
        <w:pStyle w:val="3Appx3"/>
        <w:numPr>
          <w:ilvl w:val="0"/>
          <w:numId w:val="0"/>
        </w:numPr>
      </w:pPr>
      <w:bookmarkStart w:id="12179" w:name="_Toc213772361"/>
      <w:r>
        <w:t>D.12.3</w:t>
      </w:r>
      <w:r>
        <w:tab/>
      </w:r>
      <w:r w:rsidR="00395484">
        <w:t>Prohibition on Double-Counting</w:t>
      </w:r>
      <w:bookmarkEnd w:id="12179"/>
      <w:r w:rsidR="00395484">
        <w:t xml:space="preserve"> </w:t>
      </w:r>
    </w:p>
    <w:p w14:paraId="303CB6AD" w14:textId="76A9D692" w:rsidR="00395484" w:rsidRDefault="00395484" w:rsidP="00395484">
      <w:pPr>
        <w:spacing w:before="120" w:line="300" w:lineRule="auto"/>
      </w:pPr>
      <w:r>
        <w:t xml:space="preserve">Resources utilizing Specified GHG Adders may not reflect the costs of compliance with the applicable </w:t>
      </w:r>
      <w:r w:rsidR="00340969">
        <w:t xml:space="preserve">GHG </w:t>
      </w:r>
      <w:r>
        <w:t xml:space="preserve">Pricing Program under other provisions in this </w:t>
      </w:r>
      <w:r w:rsidR="00320029">
        <w:t>A</w:t>
      </w:r>
      <w:r>
        <w:t>ppendix</w:t>
      </w:r>
      <w:r w:rsidR="00D73B63">
        <w:t xml:space="preserve"> D</w:t>
      </w:r>
      <w:r>
        <w:t xml:space="preserve">, including in their other mitigated offers or as a component of fuel cost under D.2.5.5.  </w:t>
      </w:r>
    </w:p>
    <w:p w14:paraId="2438D999" w14:textId="77777777" w:rsidR="00395484" w:rsidRDefault="00395484" w:rsidP="00395484"/>
    <w:p w14:paraId="340098C0" w14:textId="35308771" w:rsidR="00395484" w:rsidRDefault="00505C2E" w:rsidP="00781C61">
      <w:pPr>
        <w:pStyle w:val="3Appx3"/>
        <w:numPr>
          <w:ilvl w:val="0"/>
          <w:numId w:val="0"/>
        </w:numPr>
      </w:pPr>
      <w:bookmarkStart w:id="12180" w:name="_Toc213772362"/>
      <w:r>
        <w:t>D.12.4</w:t>
      </w:r>
      <w:r>
        <w:tab/>
      </w:r>
      <w:r w:rsidR="00395484">
        <w:t>Emission</w:t>
      </w:r>
      <w:r w:rsidR="00340969">
        <w:t>s</w:t>
      </w:r>
      <w:r w:rsidR="00395484">
        <w:t xml:space="preserve"> Factor</w:t>
      </w:r>
      <w:bookmarkEnd w:id="12180"/>
    </w:p>
    <w:p w14:paraId="15F0D33F" w14:textId="00711336" w:rsidR="00395484" w:rsidRDefault="00395484" w:rsidP="00395484">
      <w:pPr>
        <w:spacing w:before="120" w:line="300" w:lineRule="auto"/>
      </w:pPr>
      <w:r>
        <w:t>Emission</w:t>
      </w:r>
      <w:r w:rsidR="00340969">
        <w:t>s</w:t>
      </w:r>
      <w:r>
        <w:t xml:space="preserve"> factors must represent the rate of greenhouse gas emissions per MWh assessed to a Resource by the applicable GHG Pricing Program for the purposes of determining the corresponding amount of allowances required under the GHG Pricing Program. </w:t>
      </w:r>
    </w:p>
    <w:p w14:paraId="52E4D507" w14:textId="4AA25C94" w:rsidR="00395484" w:rsidRDefault="00505C2E" w:rsidP="00781C61">
      <w:pPr>
        <w:pStyle w:val="3Appx3"/>
        <w:numPr>
          <w:ilvl w:val="0"/>
          <w:numId w:val="0"/>
        </w:numPr>
      </w:pPr>
      <w:bookmarkStart w:id="12181" w:name="_Toc213772363"/>
      <w:r>
        <w:t>D.12.5</w:t>
      </w:r>
      <w:r>
        <w:tab/>
      </w:r>
      <w:r w:rsidR="00395484">
        <w:t>Allowance Price</w:t>
      </w:r>
      <w:bookmarkEnd w:id="12181"/>
    </w:p>
    <w:p w14:paraId="2FCD4FC6" w14:textId="662B2A0D" w:rsidR="00395484" w:rsidRDefault="00395484" w:rsidP="00395484">
      <w:pPr>
        <w:spacing w:before="120" w:line="300" w:lineRule="auto"/>
      </w:pPr>
      <w:r>
        <w:t xml:space="preserve">An allowance price represents the cost per unit of emissions for instruments which can be retired to fulfill the requirements of the applicable GHG Pricing Program. Market Participants may elect to use the most recent auction clearing price for the applicable GHG Pricing Program as their allowance price, or may use a suitable spot price index for allowances. Market </w:t>
      </w:r>
      <w:r w:rsidR="00565829">
        <w:t>P</w:t>
      </w:r>
      <w:r>
        <w:t>articipants may</w:t>
      </w:r>
      <w:r>
        <w:rPr>
          <w:u w:val="single"/>
        </w:rPr>
        <w:t xml:space="preserve"> </w:t>
      </w:r>
      <w:r>
        <w:t>also elect to submit an alternative method of calculating costs to the Market Monitor as part of the Mitigated Offer Development Methodology</w:t>
      </w:r>
      <w:r w:rsidR="00C92377">
        <w:t xml:space="preserve"> Approval P</w:t>
      </w:r>
      <w:r>
        <w:t xml:space="preserve">rocess. </w:t>
      </w:r>
    </w:p>
    <w:p w14:paraId="727A3DC9" w14:textId="77777777" w:rsidR="00395484" w:rsidRDefault="00395484" w:rsidP="00395484"/>
    <w:p w14:paraId="56A14693" w14:textId="20F928DD" w:rsidR="00395484" w:rsidRPr="009824C2" w:rsidRDefault="005D0BAD" w:rsidP="00E679DC">
      <w:pPr>
        <w:pStyle w:val="Heading471"/>
      </w:pPr>
      <w:bookmarkStart w:id="12182" w:name="_Toc213772364"/>
      <w:r w:rsidRPr="009824C2">
        <w:t>D.1</w:t>
      </w:r>
      <w:r w:rsidR="00F32B58">
        <w:t>3</w:t>
      </w:r>
      <w:r w:rsidRPr="009824C2">
        <w:tab/>
      </w:r>
      <w:r w:rsidRPr="009824C2">
        <w:tab/>
      </w:r>
      <w:r w:rsidR="00395484" w:rsidRPr="009824C2">
        <w:t>Resource Aggregation Guidelines</w:t>
      </w:r>
      <w:bookmarkEnd w:id="12182"/>
    </w:p>
    <w:p w14:paraId="041D474E" w14:textId="38EBA6EA" w:rsidR="00395484" w:rsidRDefault="00395484" w:rsidP="00395484">
      <w:pPr>
        <w:pStyle w:val="Normal120"/>
      </w:pPr>
      <w:r>
        <w:t xml:space="preserve">This section contains information pertaining to Resource Aggregation Cost development.  A Resource Aggregation is registered consistent with the Markets+ Tariff, and whose characteristics include individual dispatchable assets with the same fuel type under common control of a Market Participant.  A Resource Aggregation submits </w:t>
      </w:r>
      <w:r w:rsidR="004A11A9">
        <w:t xml:space="preserve">Resource Aggregation </w:t>
      </w:r>
      <w:r w:rsidR="00D51845">
        <w:t>Incremental D</w:t>
      </w:r>
      <w:r>
        <w:t xml:space="preserve">istribution </w:t>
      </w:r>
      <w:r w:rsidR="00D51845">
        <w:t>F</w:t>
      </w:r>
      <w:r>
        <w:t>actors in its Offer parameters to describe the portion of the dispatch target that will be maintained by each aggregated asset throughout the entire commitment period.  The costs below are calculated for each asset in the aggregation according to the methodology for the applicable fuel type and are aggregated as described D.1</w:t>
      </w:r>
      <w:r w:rsidR="00771383">
        <w:t>2</w:t>
      </w:r>
      <w:r>
        <w:t>.7 below.</w:t>
      </w:r>
    </w:p>
    <w:p w14:paraId="72451CE7" w14:textId="77777777" w:rsidR="00395484" w:rsidRDefault="00395484" w:rsidP="00395484">
      <w:pPr>
        <w:pStyle w:val="Normal120"/>
      </w:pPr>
    </w:p>
    <w:p w14:paraId="6072B224" w14:textId="50C89E69" w:rsidR="00395484" w:rsidRDefault="00395484" w:rsidP="00395484">
      <w:pPr>
        <w:pStyle w:val="Normal120"/>
      </w:pPr>
      <w:r>
        <w:t xml:space="preserve">To use this methodology, the Market Participant must submit, in its </w:t>
      </w:r>
      <w:r w:rsidR="0080118E">
        <w:t>M</w:t>
      </w:r>
      <w:r>
        <w:t xml:space="preserve">itigated Offer </w:t>
      </w:r>
      <w:r w:rsidR="0080118E">
        <w:t>Development</w:t>
      </w:r>
      <w:r>
        <w:t xml:space="preserve"> </w:t>
      </w:r>
      <w:r w:rsidR="0080118E">
        <w:t>M</w:t>
      </w:r>
      <w:r>
        <w:t>ethodology, the number of assets in the aggregation and the costs for each asset.</w:t>
      </w:r>
    </w:p>
    <w:p w14:paraId="3136F57D" w14:textId="77777777" w:rsidR="005D0BAD" w:rsidRPr="005D0BAD" w:rsidRDefault="005D0BAD" w:rsidP="005D0BAD">
      <w:pPr>
        <w:pStyle w:val="ListParagraph"/>
        <w:keepNext/>
        <w:numPr>
          <w:ilvl w:val="1"/>
          <w:numId w:val="350"/>
        </w:numPr>
        <w:tabs>
          <w:tab w:val="left" w:pos="1440"/>
        </w:tabs>
        <w:spacing w:after="240"/>
        <w:contextualSpacing w:val="0"/>
        <w:outlineLvl w:val="2"/>
        <w:rPr>
          <w:b/>
          <w:vanish/>
          <w:sz w:val="26"/>
        </w:rPr>
      </w:pPr>
      <w:bookmarkStart w:id="12183" w:name="_Toc212633836"/>
      <w:bookmarkStart w:id="12184" w:name="_Toc212634517"/>
      <w:bookmarkStart w:id="12185" w:name="_Toc213746902"/>
      <w:bookmarkStart w:id="12186" w:name="_Toc213772365"/>
      <w:bookmarkEnd w:id="12183"/>
      <w:bookmarkEnd w:id="12184"/>
      <w:bookmarkEnd w:id="12185"/>
      <w:bookmarkEnd w:id="12186"/>
    </w:p>
    <w:p w14:paraId="2B290265" w14:textId="3B721217" w:rsidR="00395484" w:rsidRDefault="00505C2E" w:rsidP="00781C61">
      <w:pPr>
        <w:pStyle w:val="3Appx3"/>
        <w:numPr>
          <w:ilvl w:val="0"/>
          <w:numId w:val="0"/>
        </w:numPr>
      </w:pPr>
      <w:bookmarkStart w:id="12187" w:name="_Toc213772366"/>
      <w:r>
        <w:t>D.1</w:t>
      </w:r>
      <w:r w:rsidR="00F32B58">
        <w:t>3</w:t>
      </w:r>
      <w:r>
        <w:t>.1</w:t>
      </w:r>
      <w:r>
        <w:tab/>
      </w:r>
      <w:r w:rsidR="00395484">
        <w:t>Heat Rate</w:t>
      </w:r>
      <w:bookmarkEnd w:id="12187"/>
      <w:r w:rsidR="00395484">
        <w:t xml:space="preserve"> </w:t>
      </w:r>
    </w:p>
    <w:p w14:paraId="5F4DA512" w14:textId="1FB8F510" w:rsidR="00395484" w:rsidRDefault="00395484" w:rsidP="00395484">
      <w:pPr>
        <w:pStyle w:val="IntenseQuote"/>
        <w:jc w:val="both"/>
      </w:pPr>
      <w:r>
        <w:t xml:space="preserve">Note: The information in Section </w:t>
      </w:r>
      <w:r>
        <w:fldChar w:fldCharType="begin"/>
      </w:r>
      <w:r>
        <w:instrText xml:space="preserve"> REF _Ref332266011 \r \h  \* MERGEFORMAT </w:instrText>
      </w:r>
      <w:r>
        <w:fldChar w:fldCharType="separate"/>
      </w:r>
      <w:r>
        <w:t>D.2.1</w:t>
      </w:r>
      <w:r>
        <w:fldChar w:fldCharType="end"/>
      </w:r>
      <w:r>
        <w:t xml:space="preserve"> contains basic Heat Rate information relevant for all unit types.  The following additional information pertains only to Resource </w:t>
      </w:r>
      <w:r w:rsidR="008529CD">
        <w:t>A</w:t>
      </w:r>
      <w:r>
        <w:t>ggregations.</w:t>
      </w:r>
    </w:p>
    <w:p w14:paraId="40C28F36" w14:textId="77777777" w:rsidR="00395484" w:rsidRDefault="00395484" w:rsidP="00395484">
      <w:r>
        <w:t>The heat rate for each asset is calculated according to the methodology for the applicable fuel type.</w:t>
      </w:r>
    </w:p>
    <w:p w14:paraId="02FCE522" w14:textId="159E1FFC" w:rsidR="00395484" w:rsidRDefault="00A756A5" w:rsidP="00E679DC">
      <w:pPr>
        <w:pStyle w:val="Heading471"/>
      </w:pPr>
      <w:bookmarkStart w:id="12188" w:name="_Toc213772367"/>
      <w:r>
        <w:t>D.1</w:t>
      </w:r>
      <w:r w:rsidR="00F32B58">
        <w:t>3</w:t>
      </w:r>
      <w:r>
        <w:t>.1.1</w:t>
      </w:r>
      <w:r>
        <w:tab/>
      </w:r>
      <w:r w:rsidR="00395484">
        <w:t>Performance Factors</w:t>
      </w:r>
      <w:bookmarkEnd w:id="12188"/>
      <w:r w:rsidR="00395484">
        <w:t xml:space="preserve"> </w:t>
      </w:r>
    </w:p>
    <w:p w14:paraId="3AEF0D03" w14:textId="59FF0AD5" w:rsidR="00395484" w:rsidRDefault="00395484" w:rsidP="00395484">
      <w:pPr>
        <w:pStyle w:val="IntenseQuote"/>
        <w:jc w:val="both"/>
      </w:pPr>
      <w:r>
        <w:t>Note: The information in Section D</w:t>
      </w:r>
      <w:r w:rsidR="0059125B">
        <w:t>.</w:t>
      </w:r>
      <w:r>
        <w:t xml:space="preserve">2.4 contains basic Performance Factor information relevant for all unit types.  The following additional information pertains only to Resource </w:t>
      </w:r>
      <w:r w:rsidR="008529CD">
        <w:t>A</w:t>
      </w:r>
      <w:r>
        <w:t xml:space="preserve">ggregations.  </w:t>
      </w:r>
    </w:p>
    <w:p w14:paraId="7FD306C0" w14:textId="77777777" w:rsidR="00395484" w:rsidRDefault="00395484" w:rsidP="00395484">
      <w:r>
        <w:t>The performance factor for each asset is calculated according to the methodology for the applicable fuel type.</w:t>
      </w:r>
    </w:p>
    <w:p w14:paraId="5DB702B6" w14:textId="0979BE0B" w:rsidR="00395484" w:rsidRDefault="00A756A5" w:rsidP="00781C61">
      <w:pPr>
        <w:pStyle w:val="3Appx3"/>
        <w:numPr>
          <w:ilvl w:val="0"/>
          <w:numId w:val="0"/>
        </w:numPr>
      </w:pPr>
      <w:bookmarkStart w:id="12189" w:name="_Toc213772368"/>
      <w:r>
        <w:t>D.1</w:t>
      </w:r>
      <w:r w:rsidR="00F32B58">
        <w:t>3</w:t>
      </w:r>
      <w:r>
        <w:t>.2</w:t>
      </w:r>
      <w:r>
        <w:tab/>
      </w:r>
      <w:r w:rsidR="00395484">
        <w:t>Fuel Cost</w:t>
      </w:r>
      <w:bookmarkEnd w:id="12189"/>
      <w:r w:rsidR="00395484">
        <w:t xml:space="preserve"> </w:t>
      </w:r>
    </w:p>
    <w:p w14:paraId="50EFEFD6" w14:textId="29237A14" w:rsidR="00395484" w:rsidRDefault="00395484" w:rsidP="00395484">
      <w:pPr>
        <w:pStyle w:val="IntenseQuote"/>
        <w:jc w:val="both"/>
      </w:pPr>
      <w:r>
        <w:t>Note: The information in Section D</w:t>
      </w:r>
      <w:r w:rsidR="0059125B">
        <w:t>.</w:t>
      </w:r>
      <w:r>
        <w:t xml:space="preserve">2.5 contains basic Fuel Cost information relevant for all unit types.  The following additional information pertains only to Resource </w:t>
      </w:r>
      <w:r w:rsidR="008529CD">
        <w:t>A</w:t>
      </w:r>
      <w:r>
        <w:t xml:space="preserve">ggregations.  </w:t>
      </w:r>
    </w:p>
    <w:p w14:paraId="1FD0B7EA" w14:textId="77777777" w:rsidR="00395484" w:rsidRDefault="00395484" w:rsidP="00395484">
      <w:r>
        <w:t>The fuel cost for each asset is calculated according to the methodology for the applicable fuel type.</w:t>
      </w:r>
    </w:p>
    <w:p w14:paraId="252C5750" w14:textId="48E7F6AD" w:rsidR="00395484" w:rsidRDefault="00A756A5" w:rsidP="00781C61">
      <w:pPr>
        <w:pStyle w:val="3Appx3"/>
        <w:numPr>
          <w:ilvl w:val="0"/>
          <w:numId w:val="0"/>
        </w:numPr>
      </w:pPr>
      <w:bookmarkStart w:id="12190" w:name="_Toc213772369"/>
      <w:r>
        <w:t>D.1</w:t>
      </w:r>
      <w:r w:rsidR="00F32B58">
        <w:t>3</w:t>
      </w:r>
      <w:r>
        <w:t>.3</w:t>
      </w:r>
      <w:r>
        <w:tab/>
      </w:r>
      <w:r w:rsidR="00395484">
        <w:t>Mitigated Start-Up Offer</w:t>
      </w:r>
      <w:bookmarkEnd w:id="12190"/>
    </w:p>
    <w:p w14:paraId="311E6098" w14:textId="7D297378" w:rsidR="00395484" w:rsidRDefault="00395484" w:rsidP="00395484">
      <w:pPr>
        <w:pStyle w:val="IntenseQuote"/>
        <w:jc w:val="both"/>
      </w:pPr>
      <w:r>
        <w:t>Note: The information in Section D</w:t>
      </w:r>
      <w:r w:rsidR="0059125B">
        <w:t>.</w:t>
      </w:r>
      <w:r>
        <w:t xml:space="preserve">2.8 contains basic Mitigated Start-Up Offer information relevant for all unit types.  The following additional information pertains only to Resource </w:t>
      </w:r>
      <w:r w:rsidR="008529CD">
        <w:t>A</w:t>
      </w:r>
      <w:r>
        <w:t xml:space="preserve">ggregations.  </w:t>
      </w:r>
    </w:p>
    <w:p w14:paraId="756C7A76" w14:textId="77777777" w:rsidR="00395484" w:rsidRDefault="00395484" w:rsidP="00395484">
      <w:bookmarkStart w:id="12191" w:name="_Hlk179812671"/>
      <w:r>
        <w:t xml:space="preserve">The start-up cost for each asset is calculated according to the methodology for the applicable fuel type.  </w:t>
      </w:r>
    </w:p>
    <w:p w14:paraId="5DA2F980" w14:textId="3C1AF2AE" w:rsidR="00395484" w:rsidRDefault="00A756A5" w:rsidP="00781C61">
      <w:pPr>
        <w:pStyle w:val="3Appx3"/>
        <w:numPr>
          <w:ilvl w:val="0"/>
          <w:numId w:val="0"/>
        </w:numPr>
      </w:pPr>
      <w:bookmarkStart w:id="12192" w:name="_Toc213772370"/>
      <w:r>
        <w:t>D.1</w:t>
      </w:r>
      <w:r w:rsidR="00F32B58">
        <w:t>3</w:t>
      </w:r>
      <w:r>
        <w:t>.4</w:t>
      </w:r>
      <w:r>
        <w:tab/>
      </w:r>
      <w:r w:rsidR="00395484">
        <w:t>Mitigated Transition State Offer</w:t>
      </w:r>
      <w:bookmarkEnd w:id="12192"/>
    </w:p>
    <w:p w14:paraId="504A8E6C" w14:textId="77777777" w:rsidR="00395484" w:rsidRDefault="00395484" w:rsidP="00395484">
      <w:pPr>
        <w:pStyle w:val="ParaText"/>
      </w:pPr>
      <w:r>
        <w:t xml:space="preserve">If applicable, the transition state cost for each asset is calculated according to the methodology for the applicable fuel type. </w:t>
      </w:r>
    </w:p>
    <w:p w14:paraId="5746A6CA" w14:textId="633B7F01" w:rsidR="00395484" w:rsidRDefault="00A756A5" w:rsidP="00781C61">
      <w:pPr>
        <w:pStyle w:val="3Appx3"/>
        <w:numPr>
          <w:ilvl w:val="0"/>
          <w:numId w:val="0"/>
        </w:numPr>
      </w:pPr>
      <w:bookmarkStart w:id="12193" w:name="_Toc213772371"/>
      <w:r>
        <w:t>D.1</w:t>
      </w:r>
      <w:r w:rsidR="00F32B58">
        <w:t>3</w:t>
      </w:r>
      <w:r>
        <w:t>.5</w:t>
      </w:r>
      <w:r>
        <w:tab/>
      </w:r>
      <w:r w:rsidR="00395484">
        <w:t>Mitigated No-Load Offer</w:t>
      </w:r>
      <w:bookmarkEnd w:id="12193"/>
    </w:p>
    <w:p w14:paraId="4C798041" w14:textId="781E6754" w:rsidR="00395484" w:rsidRDefault="00395484" w:rsidP="00395484">
      <w:pPr>
        <w:pStyle w:val="IntenseQuote"/>
        <w:jc w:val="both"/>
      </w:pPr>
      <w:r>
        <w:t>Note: The information in Section D</w:t>
      </w:r>
      <w:r w:rsidR="00C51067">
        <w:t>.</w:t>
      </w:r>
      <w:r>
        <w:t xml:space="preserve">2.9 contains basic No-Load information relevant for all unit types.  The following additional information pertains only to Resource </w:t>
      </w:r>
      <w:r w:rsidR="00C51067">
        <w:t>A</w:t>
      </w:r>
      <w:r>
        <w:t>ggregations.</w:t>
      </w:r>
    </w:p>
    <w:p w14:paraId="6C3A1487" w14:textId="77777777" w:rsidR="00395484" w:rsidRDefault="00395484" w:rsidP="00395484">
      <w:r>
        <w:t xml:space="preserve">The no-load cost for each asset is calculated according to the methodology for the applicable fuel type.  </w:t>
      </w:r>
    </w:p>
    <w:p w14:paraId="0B3273DC" w14:textId="77777777" w:rsidR="00395484" w:rsidRDefault="00395484" w:rsidP="00395484"/>
    <w:p w14:paraId="2993794B" w14:textId="5C11B109" w:rsidR="00395484" w:rsidRDefault="00A756A5" w:rsidP="00781C61">
      <w:pPr>
        <w:pStyle w:val="3Appx3"/>
        <w:numPr>
          <w:ilvl w:val="0"/>
          <w:numId w:val="0"/>
        </w:numPr>
      </w:pPr>
      <w:bookmarkStart w:id="12194" w:name="_Toc213772372"/>
      <w:r>
        <w:t>D.1</w:t>
      </w:r>
      <w:r w:rsidR="00F32B58">
        <w:t>3</w:t>
      </w:r>
      <w:r>
        <w:t>.6</w:t>
      </w:r>
      <w:r>
        <w:tab/>
      </w:r>
      <w:r w:rsidR="00395484">
        <w:t>VOM Cost</w:t>
      </w:r>
      <w:bookmarkEnd w:id="12194"/>
      <w:r w:rsidR="00395484">
        <w:t xml:space="preserve"> </w:t>
      </w:r>
    </w:p>
    <w:p w14:paraId="19A0F8D5" w14:textId="2DC19038" w:rsidR="00395484" w:rsidRDefault="00395484" w:rsidP="00395484">
      <w:pPr>
        <w:pStyle w:val="IntenseQuote"/>
        <w:jc w:val="both"/>
      </w:pPr>
      <w:r>
        <w:t xml:space="preserve">Note: The information in Section D2.6 contains basic VOM Cost information relevant for all unit types.  The following additional information only pertains to Resource </w:t>
      </w:r>
      <w:r w:rsidR="008529CD">
        <w:t>A</w:t>
      </w:r>
      <w:r>
        <w:t xml:space="preserve">ggregations.  </w:t>
      </w:r>
    </w:p>
    <w:p w14:paraId="4F76BAE6" w14:textId="77777777" w:rsidR="00395484" w:rsidRDefault="00395484" w:rsidP="00395484">
      <w:r>
        <w:t xml:space="preserve">The VOM cost for each asset is calculated according to the methodology for the applicable fuel type.   </w:t>
      </w:r>
    </w:p>
    <w:p w14:paraId="18ECFA40" w14:textId="77777777" w:rsidR="00395484" w:rsidRDefault="00395484" w:rsidP="00395484"/>
    <w:p w14:paraId="564923EB" w14:textId="75C68809" w:rsidR="00395484" w:rsidRDefault="00A756A5" w:rsidP="00781C61">
      <w:pPr>
        <w:pStyle w:val="3Appx3"/>
        <w:numPr>
          <w:ilvl w:val="0"/>
          <w:numId w:val="0"/>
        </w:numPr>
      </w:pPr>
      <w:bookmarkStart w:id="12195" w:name="_Toc213772373"/>
      <w:r>
        <w:t>D.1</w:t>
      </w:r>
      <w:r w:rsidR="00F86E3B">
        <w:t>3</w:t>
      </w:r>
      <w:r>
        <w:t>.7</w:t>
      </w:r>
      <w:r>
        <w:tab/>
      </w:r>
      <w:r w:rsidR="00395484">
        <w:t>Aggregation of Costs</w:t>
      </w:r>
      <w:bookmarkEnd w:id="12195"/>
    </w:p>
    <w:p w14:paraId="4EF3D0D4" w14:textId="5C5DBD59" w:rsidR="00395484" w:rsidRDefault="00A756A5" w:rsidP="00E679DC">
      <w:pPr>
        <w:pStyle w:val="Heading471"/>
      </w:pPr>
      <w:bookmarkStart w:id="12196" w:name="_Toc213772374"/>
      <w:r>
        <w:t>D.1</w:t>
      </w:r>
      <w:r w:rsidR="00F86E3B">
        <w:t>3</w:t>
      </w:r>
      <w:r>
        <w:t>.7.1</w:t>
      </w:r>
      <w:r>
        <w:tab/>
      </w:r>
      <w:r w:rsidR="00395484">
        <w:t>Aggregation of Mitigated Energy Offer Curves</w:t>
      </w:r>
      <w:bookmarkEnd w:id="12196"/>
    </w:p>
    <w:p w14:paraId="7A9F226A" w14:textId="507E4FD0" w:rsidR="00395484" w:rsidRDefault="00395484" w:rsidP="00395484">
      <w:pPr>
        <w:spacing w:before="120" w:line="276" w:lineRule="auto"/>
      </w:pPr>
      <w:r>
        <w:t xml:space="preserve">This section applies to Resource </w:t>
      </w:r>
      <w:r w:rsidR="008529CD">
        <w:t>A</w:t>
      </w:r>
      <w:r>
        <w:t>ggregations that are not using the SHOC methodology. Resource aggregations using the SHOC methodology will follow D.</w:t>
      </w:r>
      <w:r w:rsidR="008529CD">
        <w:t>7</w:t>
      </w:r>
      <w:r>
        <w:t>. Because a Resource aggregation is dispatched according to single energy offer curve, the prices and quantities that make up the mitigated energy offer curve must represent the marginal costs of each asset for each asset’s portion of the dispatch.  The aggregated marginal cost for an aggregated quantity is the weighted sum</w:t>
      </w:r>
      <w:r>
        <w:rPr>
          <w:rStyle w:val="FootnoteReference"/>
        </w:rPr>
        <w:footnoteReference w:id="12"/>
      </w:r>
      <w:r>
        <w:t xml:space="preserve"> of the marginal costs of the individual assets in the aggregation to produce their portion of the aggregated quantity, weighted by </w:t>
      </w:r>
      <w:r w:rsidR="00D51845">
        <w:t>Resource Aggregation Incremental Distribution Factors</w:t>
      </w:r>
      <w:r>
        <w:t xml:space="preserve">.  </w:t>
      </w:r>
    </w:p>
    <w:p w14:paraId="45F82EB3" w14:textId="18C8AC31" w:rsidR="00395484" w:rsidRDefault="00395484" w:rsidP="00395484">
      <w:pPr>
        <w:spacing w:before="120" w:line="276" w:lineRule="auto"/>
      </w:pPr>
      <w:r>
        <w:t xml:space="preserve">An asset’s marginal cost to produce its portion of the aggregated quantity is determined by the quantity that each asset must produce to achieve the aggregated quantity.  The quantity that each asset must produce is determined by the </w:t>
      </w:r>
      <w:r w:rsidR="00D51845">
        <w:t>Resource Aggregation Incremental Distribution Factors</w:t>
      </w:r>
      <w:r>
        <w:t xml:space="preserve">.    </w:t>
      </w:r>
    </w:p>
    <w:p w14:paraId="5D245BF9" w14:textId="65828E2B" w:rsidR="00395484" w:rsidRDefault="00395484" w:rsidP="00395484">
      <w:pPr>
        <w:spacing w:before="120" w:line="276" w:lineRule="auto"/>
      </w:pPr>
      <w:r>
        <w:t xml:space="preserve">Given </w:t>
      </w:r>
      <w:r w:rsidR="008E5A60">
        <w:t>Resource Aggregation Incremental Distribution Factors</w:t>
      </w:r>
      <w:r>
        <w:t xml:space="preserve"> for n assets, DF</w:t>
      </w:r>
      <w:r>
        <w:rPr>
          <w:vertAlign w:val="subscript"/>
        </w:rPr>
        <w:t>n</w:t>
      </w:r>
      <w:r>
        <w:t>, the aggregated price, as a function of the aggregated quantity, P(Q</w:t>
      </w:r>
      <w:r>
        <w:rPr>
          <w:vertAlign w:val="subscript"/>
        </w:rPr>
        <w:t>agg</w:t>
      </w:r>
      <w:r>
        <w:t>), is calculated as</w:t>
      </w:r>
    </w:p>
    <w:p w14:paraId="56E93C38" w14:textId="77777777" w:rsidR="00395484" w:rsidRDefault="00977324" w:rsidP="00395484">
      <w:pPr>
        <w:ind w:left="180"/>
        <w:rPr>
          <w:vertAlign w:val="subscript"/>
        </w:rPr>
      </w:pPr>
      <m:oMath>
        <m:sSub>
          <m:sSubPr>
            <m:ctrlPr>
              <w:rPr>
                <w:rFonts w:ascii="Cambria Math" w:hAnsi="Cambria Math"/>
                <w:i/>
              </w:rPr>
            </m:ctrlPr>
          </m:sSubPr>
          <m:e>
            <m:r>
              <w:rPr>
                <w:rFonts w:ascii="Cambria Math" w:hAnsi="Cambria Math"/>
              </w:rPr>
              <m:t>P</m:t>
            </m:r>
          </m:e>
          <m:sub>
            <m:r>
              <w:rPr>
                <w:rFonts w:ascii="Cambria Math" w:hAnsi="Cambria Math"/>
              </w:rPr>
              <m:t>agg</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agg</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agg</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agg</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agg</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n</m:t>
                </m:r>
              </m:sub>
            </m:sSub>
          </m:e>
        </m:d>
        <m:r>
          <w:rPr>
            <w:rFonts w:ascii="Cambria Math" w:hAnsi="Cambria Math"/>
          </w:rPr>
          <m:t>*</m:t>
        </m:r>
        <w:bookmarkStart w:id="12197" w:name="_Hlk184134468"/>
        <m:sSub>
          <m:sSubPr>
            <m:ctrlPr>
              <w:rPr>
                <w:rFonts w:ascii="Cambria Math" w:hAnsi="Cambria Math"/>
                <w:i/>
              </w:rPr>
            </m:ctrlPr>
          </m:sSubPr>
          <m:e>
            <m:r>
              <w:rPr>
                <w:rFonts w:ascii="Cambria Math" w:hAnsi="Cambria Math"/>
              </w:rPr>
              <m:t>DF</m:t>
            </m:r>
          </m:e>
          <m:sub>
            <m:r>
              <w:rPr>
                <w:rFonts w:ascii="Cambria Math" w:hAnsi="Cambria Math"/>
              </w:rPr>
              <m:t>n</m:t>
            </m:r>
          </m:sub>
        </m:sSub>
      </m:oMath>
      <w:bookmarkEnd w:id="12197"/>
      <w:r w:rsidR="00395484">
        <w:t>,</w:t>
      </w:r>
    </w:p>
    <w:p w14:paraId="4CB8053D" w14:textId="1A7FB69D" w:rsidR="00395484" w:rsidRDefault="00395484" w:rsidP="00395484">
      <w:pPr>
        <w:spacing w:before="120" w:line="276" w:lineRule="auto"/>
      </w:pPr>
      <w:r>
        <w:t>where the price for an asset’s portion of the aggregated quantity, P</w:t>
      </w:r>
      <w:r>
        <w:rPr>
          <w:vertAlign w:val="subscript"/>
        </w:rPr>
        <w:t>n</w:t>
      </w:r>
      <w:r>
        <w:t>(Q</w:t>
      </w:r>
      <w:r>
        <w:rPr>
          <w:vertAlign w:val="subscript"/>
        </w:rPr>
        <w:t>agg</w:t>
      </w:r>
      <w:r>
        <w:t>*DF</w:t>
      </w:r>
      <w:r>
        <w:rPr>
          <w:vertAlign w:val="subscript"/>
        </w:rPr>
        <w:t>n</w:t>
      </w:r>
      <w:r>
        <w:t xml:space="preserve">) is determined by an Asset Cost Curve for each asset.  An Asset Cost Curve is developed by using an approved </w:t>
      </w:r>
      <w:r w:rsidR="00D73469">
        <w:t>M</w:t>
      </w:r>
      <w:r>
        <w:t xml:space="preserve">itigated </w:t>
      </w:r>
      <w:r w:rsidR="00D73469">
        <w:t>O</w:t>
      </w:r>
      <w:r>
        <w:t xml:space="preserve">ffer </w:t>
      </w:r>
      <w:r w:rsidR="00D73469">
        <w:t>D</w:t>
      </w:r>
      <w:r>
        <w:t xml:space="preserve">evelopment </w:t>
      </w:r>
      <w:r w:rsidR="00D73469">
        <w:t>M</w:t>
      </w:r>
      <w:r>
        <w:t>ethodology to determine the marginal cost per quantity of each asset in the aggregation.  An Asset Cost Curve will look like a mitigated Energy Offer Curve but will be for an asset in an aggregation and will not be submitted itself but used to calculate the aggregated mitigated Energy Offer Curve.</w:t>
      </w:r>
    </w:p>
    <w:p w14:paraId="4AADC748" w14:textId="77777777" w:rsidR="00395484" w:rsidRDefault="00395484" w:rsidP="00395484">
      <w:pPr>
        <w:spacing w:before="120" w:line="276" w:lineRule="auto"/>
      </w:pPr>
      <w:r>
        <w:t>To determine the mitigated energy offer curve for the aggregation:</w:t>
      </w:r>
    </w:p>
    <w:p w14:paraId="07C2F1FF" w14:textId="77777777" w:rsidR="00395484" w:rsidRDefault="00395484" w:rsidP="00DA3CE7">
      <w:pPr>
        <w:pStyle w:val="ListParagraph"/>
        <w:numPr>
          <w:ilvl w:val="0"/>
          <w:numId w:val="349"/>
        </w:numPr>
        <w:spacing w:before="120" w:line="276" w:lineRule="auto"/>
      </w:pPr>
      <w:r>
        <w:t xml:space="preserve">Calculate an Asset Cost Curve for each asset according to an approved methodology for the resource type.  </w:t>
      </w:r>
    </w:p>
    <w:p w14:paraId="5CCA7922" w14:textId="77777777" w:rsidR="00395484" w:rsidRDefault="00395484" w:rsidP="00DA3CE7">
      <w:pPr>
        <w:pStyle w:val="ListParagraph"/>
        <w:numPr>
          <w:ilvl w:val="0"/>
          <w:numId w:val="349"/>
        </w:numPr>
        <w:spacing w:before="120" w:line="276" w:lineRule="auto"/>
      </w:pPr>
      <w:r>
        <w:t>For each aggregated quantity, determine a price for each asset.</w:t>
      </w:r>
    </w:p>
    <w:p w14:paraId="5E9601B7" w14:textId="77777777" w:rsidR="00395484" w:rsidRDefault="00395484" w:rsidP="00DA3CE7">
      <w:pPr>
        <w:pStyle w:val="ListParagraph"/>
        <w:numPr>
          <w:ilvl w:val="1"/>
          <w:numId w:val="349"/>
        </w:numPr>
        <w:spacing w:before="120" w:line="276" w:lineRule="auto"/>
      </w:pPr>
      <w:r>
        <w:t xml:space="preserve">The price for an asset is the price to produce that asset’s portion of the aggregated quantity, or the P value corresponding to the Q value on that asset’s Asset Cost Curve, </w:t>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oMath>
      <w:r>
        <w:t xml:space="preserve">.  </w:t>
      </w:r>
    </w:p>
    <w:p w14:paraId="3BCCA6B1" w14:textId="308D6121" w:rsidR="00395484" w:rsidRDefault="00395484" w:rsidP="00DA3CE7">
      <w:pPr>
        <w:pStyle w:val="ListParagraph"/>
        <w:numPr>
          <w:ilvl w:val="2"/>
          <w:numId w:val="349"/>
        </w:numPr>
        <w:spacing w:before="120" w:line="276" w:lineRule="auto"/>
      </w:pPr>
      <w:r>
        <w:t xml:space="preserve">That asset’s portion of the aggregated quantity is calculated as the product of the aggregated quantity and that asset’s </w:t>
      </w:r>
      <w:r w:rsidR="00AC06C7">
        <w:t>Resource Aggregation Incremental Distribution Factor</w:t>
      </w:r>
      <w:r>
        <w:t>, or</w:t>
      </w:r>
      <w:r>
        <w:rPr>
          <w:i/>
        </w:rPr>
        <w:br/>
      </w: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agg</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n</m:t>
            </m:r>
          </m:sub>
        </m:sSub>
      </m:oMath>
      <w:r>
        <w:rPr>
          <w:iCs/>
        </w:rPr>
        <w:t>.</w:t>
      </w:r>
    </w:p>
    <w:p w14:paraId="3523ACA4" w14:textId="77777777" w:rsidR="00395484" w:rsidRDefault="00395484" w:rsidP="00DA3CE7">
      <w:pPr>
        <w:pStyle w:val="ListParagraph"/>
        <w:numPr>
          <w:ilvl w:val="0"/>
          <w:numId w:val="349"/>
        </w:numPr>
        <w:spacing w:before="120" w:line="276" w:lineRule="auto"/>
      </w:pPr>
      <w:r>
        <w:rPr>
          <w:iCs/>
        </w:rPr>
        <w:t>Calculate the aggregated prices for each aggregated quantity as a weighted sum of  the prices for each asset’s portion of that quantity.</w:t>
      </w:r>
    </w:p>
    <w:p w14:paraId="34A2EF56" w14:textId="77777777" w:rsidR="00395484" w:rsidRDefault="00395484" w:rsidP="00395484">
      <w:pPr>
        <w:spacing w:before="120" w:line="300" w:lineRule="auto"/>
        <w:ind w:left="180"/>
      </w:pPr>
      <w:r>
        <w:rPr>
          <w:b/>
          <w:bCs/>
        </w:rPr>
        <w:t xml:space="preserve">Example:  </w:t>
      </w:r>
    </w:p>
    <w:p w14:paraId="69C49553" w14:textId="36770628" w:rsidR="00395484" w:rsidRDefault="00395484" w:rsidP="00395484">
      <w:pPr>
        <w:spacing w:before="120" w:line="276" w:lineRule="auto"/>
      </w:pPr>
      <w:r>
        <w:t xml:space="preserve">A </w:t>
      </w:r>
      <w:r w:rsidR="00D12485">
        <w:t>R</w:t>
      </w:r>
      <w:r>
        <w:t xml:space="preserve">esource </w:t>
      </w:r>
      <w:r w:rsidR="00D12485">
        <w:t>A</w:t>
      </w:r>
      <w:r>
        <w:t xml:space="preserve">ggregation consists of two assets, A and B, with Asset Cost Curves determined by existing methodologies as shown below.  Asset A has a </w:t>
      </w:r>
      <w:r w:rsidR="00AC06C7">
        <w:t>Resource Aggregation Incremental Distribution Factor</w:t>
      </w:r>
      <w:r>
        <w:t xml:space="preserve"> of 30% and Asset B has a </w:t>
      </w:r>
      <w:r w:rsidR="00AC06C7">
        <w:t>Resource Aggregation Incremental Distribution Factor</w:t>
      </w:r>
      <w:r>
        <w:t xml:space="preserve"> of 70%, meaning that Asset A will contribute 30% of all the energy produced and Asset B will contribute 70% of all the energy produced.</w:t>
      </w:r>
    </w:p>
    <w:p w14:paraId="35A17E40" w14:textId="77777777" w:rsidR="00395484" w:rsidRDefault="00395484" w:rsidP="00395484">
      <w:pPr>
        <w:spacing w:before="120" w:line="276" w:lineRule="auto"/>
      </w:pPr>
      <w:r>
        <w:t xml:space="preserve">Following step 1, an Asset Cost Curve, shown below, is determined for Asset A and Asset B according to a methodology.  </w:t>
      </w:r>
    </w:p>
    <w:bookmarkStart w:id="12198" w:name="_Toc342907427"/>
    <w:bookmarkStart w:id="12199" w:name="_Toc131493557"/>
    <w:bookmarkEnd w:id="12191"/>
    <w:p w14:paraId="0F7522B6" w14:textId="05B9C2C2" w:rsidR="00395484" w:rsidRDefault="00395484" w:rsidP="00395484">
      <w:r>
        <w:rPr>
          <w:noProof/>
        </w:rPr>
        <mc:AlternateContent>
          <mc:Choice Requires="wpg">
            <w:drawing>
              <wp:inline distT="0" distB="0" distL="0" distR="0" wp14:anchorId="13A1A25A" wp14:editId="05757297">
                <wp:extent cx="2135505" cy="1026795"/>
                <wp:effectExtent l="0" t="0" r="0" b="1905"/>
                <wp:docPr id="174379355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026795"/>
                          <a:chOff x="-2495" y="0"/>
                          <a:chExt cx="21355" cy="10270"/>
                        </a:xfrm>
                      </wpg:grpSpPr>
                      <wpg:grpSp>
                        <wpg:cNvPr id="736171223" name="Group 51"/>
                        <wpg:cNvGrpSpPr>
                          <a:grpSpLocks/>
                        </wpg:cNvGrpSpPr>
                        <wpg:grpSpPr bwMode="auto">
                          <a:xfrm>
                            <a:off x="-2495" y="2307"/>
                            <a:ext cx="21354" cy="7963"/>
                            <a:chOff x="957" y="2880"/>
                            <a:chExt cx="3363" cy="1254"/>
                          </a:xfrm>
                        </wpg:grpSpPr>
                        <wpg:grpSp>
                          <wpg:cNvPr id="1126834990" name="Group 29"/>
                          <wpg:cNvGrpSpPr>
                            <a:grpSpLocks/>
                          </wpg:cNvGrpSpPr>
                          <wpg:grpSpPr bwMode="auto">
                            <a:xfrm>
                              <a:off x="1987" y="2880"/>
                              <a:ext cx="1793" cy="902"/>
                              <a:chOff x="1987" y="2880"/>
                              <a:chExt cx="1793" cy="902"/>
                            </a:xfrm>
                          </wpg:grpSpPr>
                          <wps:wsp>
                            <wps:cNvPr id="2138274338" name="AutoShape 16"/>
                            <wps:cNvCnPr>
                              <a:cxnSpLocks noChangeShapeType="1"/>
                            </wps:cNvCnPr>
                            <wps:spPr bwMode="auto">
                              <a:xfrm flipV="1">
                                <a:off x="1987" y="2880"/>
                                <a:ext cx="0" cy="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8275016" name="Group 19"/>
                            <wpg:cNvGrpSpPr>
                              <a:grpSpLocks/>
                            </wpg:cNvGrpSpPr>
                            <wpg:grpSpPr bwMode="auto">
                              <a:xfrm>
                                <a:off x="1987" y="3060"/>
                                <a:ext cx="1793" cy="722"/>
                                <a:chOff x="1987" y="3060"/>
                                <a:chExt cx="1793" cy="722"/>
                              </a:xfrm>
                            </wpg:grpSpPr>
                            <wps:wsp>
                              <wps:cNvPr id="1831063136" name="AutoShape 15"/>
                              <wps:cNvCnPr>
                                <a:cxnSpLocks noChangeShapeType="1"/>
                              </wps:cNvCnPr>
                              <wps:spPr bwMode="auto">
                                <a:xfrm>
                                  <a:off x="1987" y="3780"/>
                                  <a:ext cx="1793"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263494" name="AutoShape 17"/>
                              <wps:cNvCnPr>
                                <a:cxnSpLocks noChangeShapeType="1"/>
                              </wps:cNvCnPr>
                              <wps:spPr bwMode="auto">
                                <a:xfrm>
                                  <a:off x="1993" y="3420"/>
                                  <a:ext cx="527" cy="0"/>
                                </a:xfrm>
                                <a:prstGeom prst="straightConnector1">
                                  <a:avLst/>
                                </a:prstGeom>
                                <a:noFill/>
                                <a:ln w="127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83410986" name="AutoShape 18"/>
                              <wps:cNvCnPr>
                                <a:cxnSpLocks noChangeShapeType="1"/>
                              </wps:cNvCnPr>
                              <wps:spPr bwMode="auto">
                                <a:xfrm>
                                  <a:off x="2520" y="3060"/>
                                  <a:ext cx="1080" cy="2"/>
                                </a:xfrm>
                                <a:prstGeom prst="straightConnector1">
                                  <a:avLst/>
                                </a:prstGeom>
                                <a:noFill/>
                                <a:ln w="127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803734957" name="Group 50"/>
                          <wpg:cNvGrpSpPr>
                            <a:grpSpLocks/>
                          </wpg:cNvGrpSpPr>
                          <wpg:grpSpPr bwMode="auto">
                            <a:xfrm>
                              <a:off x="957" y="2880"/>
                              <a:ext cx="3363" cy="1254"/>
                              <a:chOff x="957" y="2880"/>
                              <a:chExt cx="3363" cy="1254"/>
                            </a:xfrm>
                          </wpg:grpSpPr>
                          <wps:wsp>
                            <wps:cNvPr id="1915516510" name="Text Box 2"/>
                            <wps:cNvSpPr txBox="1">
                              <a:spLocks noChangeArrowheads="1"/>
                            </wps:cNvSpPr>
                            <wps:spPr bwMode="auto">
                              <a:xfrm>
                                <a:off x="2250" y="37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B3C0B" w14:textId="77777777" w:rsidR="00395484" w:rsidRDefault="00395484" w:rsidP="00395484">
                                  <w:pPr>
                                    <w:spacing w:after="0"/>
                                    <w:jc w:val="center"/>
                                    <w:rPr>
                                      <w:sz w:val="20"/>
                                    </w:rPr>
                                  </w:pPr>
                                  <w:r>
                                    <w:rPr>
                                      <w:sz w:val="20"/>
                                    </w:rPr>
                                    <w:t>30</w:t>
                                  </w:r>
                                </w:p>
                              </w:txbxContent>
                            </wps:txbx>
                            <wps:bodyPr rot="0" vert="horz" wrap="square" lIns="91440" tIns="45720" rIns="91440" bIns="45720" anchor="t" anchorCtr="0" upright="1">
                              <a:noAutofit/>
                            </wps:bodyPr>
                          </wps:wsp>
                          <wps:wsp>
                            <wps:cNvPr id="1183078018" name="Text Box 2"/>
                            <wps:cNvSpPr txBox="1">
                              <a:spLocks noChangeArrowheads="1"/>
                            </wps:cNvSpPr>
                            <wps:spPr bwMode="auto">
                              <a:xfrm>
                                <a:off x="2784" y="37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33C9" w14:textId="77777777" w:rsidR="00395484" w:rsidRDefault="00395484" w:rsidP="00395484">
                                  <w:pPr>
                                    <w:spacing w:after="0"/>
                                    <w:jc w:val="center"/>
                                    <w:rPr>
                                      <w:sz w:val="20"/>
                                    </w:rPr>
                                  </w:pPr>
                                  <w:r>
                                    <w:rPr>
                                      <w:sz w:val="20"/>
                                    </w:rPr>
                                    <w:t>60</w:t>
                                  </w:r>
                                </w:p>
                              </w:txbxContent>
                            </wps:txbx>
                            <wps:bodyPr rot="0" vert="horz" wrap="square" lIns="91440" tIns="45720" rIns="91440" bIns="45720" anchor="t" anchorCtr="0" upright="1">
                              <a:noAutofit/>
                            </wps:bodyPr>
                          </wps:wsp>
                          <wps:wsp>
                            <wps:cNvPr id="398851615" name="Text Box 2"/>
                            <wps:cNvSpPr txBox="1">
                              <a:spLocks noChangeArrowheads="1"/>
                            </wps:cNvSpPr>
                            <wps:spPr bwMode="auto">
                              <a:xfrm>
                                <a:off x="3325" y="37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6BED" w14:textId="77777777" w:rsidR="00395484" w:rsidRDefault="00395484" w:rsidP="00395484">
                                  <w:pPr>
                                    <w:spacing w:after="0"/>
                                    <w:jc w:val="center"/>
                                    <w:rPr>
                                      <w:sz w:val="20"/>
                                    </w:rPr>
                                  </w:pPr>
                                  <w:r>
                                    <w:rPr>
                                      <w:sz w:val="20"/>
                                    </w:rPr>
                                    <w:t>90</w:t>
                                  </w:r>
                                </w:p>
                              </w:txbxContent>
                            </wps:txbx>
                            <wps:bodyPr rot="0" vert="horz" wrap="square" lIns="91440" tIns="45720" rIns="91440" bIns="45720" anchor="t" anchorCtr="0" upright="1">
                              <a:noAutofit/>
                            </wps:bodyPr>
                          </wps:wsp>
                          <wps:wsp>
                            <wps:cNvPr id="8097375" name="Text Box 2"/>
                            <wps:cNvSpPr txBox="1">
                              <a:spLocks noChangeArrowheads="1"/>
                            </wps:cNvSpPr>
                            <wps:spPr bwMode="auto">
                              <a:xfrm>
                                <a:off x="957" y="3240"/>
                                <a:ext cx="11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4EFE" w14:textId="77777777" w:rsidR="00395484" w:rsidRDefault="00395484" w:rsidP="00395484">
                                  <w:pPr>
                                    <w:spacing w:after="0"/>
                                    <w:jc w:val="right"/>
                                    <w:rPr>
                                      <w:sz w:val="20"/>
                                    </w:rPr>
                                  </w:pPr>
                                  <w:r>
                                    <w:rPr>
                                      <w:sz w:val="20"/>
                                    </w:rPr>
                                    <w:t>$20/MWh</w:t>
                                  </w:r>
                                </w:p>
                              </w:txbxContent>
                            </wps:txbx>
                            <wps:bodyPr rot="0" vert="horz" wrap="square" lIns="91440" tIns="45720" rIns="91440" bIns="45720" anchor="t" anchorCtr="0" upright="1">
                              <a:noAutofit/>
                            </wps:bodyPr>
                          </wps:wsp>
                          <wps:wsp>
                            <wps:cNvPr id="884973870" name="Text Box 2"/>
                            <wps:cNvSpPr txBox="1">
                              <a:spLocks noChangeArrowheads="1"/>
                            </wps:cNvSpPr>
                            <wps:spPr bwMode="auto">
                              <a:xfrm>
                                <a:off x="957" y="2880"/>
                                <a:ext cx="11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55B0" w14:textId="77777777" w:rsidR="00395484" w:rsidRDefault="00395484" w:rsidP="00395484">
                                  <w:pPr>
                                    <w:spacing w:after="0"/>
                                    <w:jc w:val="right"/>
                                    <w:rPr>
                                      <w:sz w:val="20"/>
                                    </w:rPr>
                                  </w:pPr>
                                  <w:r>
                                    <w:rPr>
                                      <w:sz w:val="20"/>
                                    </w:rPr>
                                    <w:t>$40/MWh</w:t>
                                  </w:r>
                                </w:p>
                              </w:txbxContent>
                            </wps:txbx>
                            <wps:bodyPr rot="0" vert="horz" wrap="square" lIns="91440" tIns="45720" rIns="91440" bIns="45720" anchor="t" anchorCtr="0" upright="1">
                              <a:noAutofit/>
                            </wps:bodyPr>
                          </wps:wsp>
                          <wps:wsp>
                            <wps:cNvPr id="691333201" name="Text Box 2"/>
                            <wps:cNvSpPr txBox="1">
                              <a:spLocks noChangeArrowheads="1"/>
                            </wps:cNvSpPr>
                            <wps:spPr bwMode="auto">
                              <a:xfrm>
                                <a:off x="3600" y="360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44F6" w14:textId="77777777" w:rsidR="00395484" w:rsidRDefault="00395484" w:rsidP="00395484">
                                  <w:pPr>
                                    <w:spacing w:after="0"/>
                                    <w:jc w:val="center"/>
                                    <w:rPr>
                                      <w:sz w:val="16"/>
                                      <w:szCs w:val="16"/>
                                    </w:rPr>
                                  </w:pPr>
                                  <w:r>
                                    <w:rPr>
                                      <w:sz w:val="16"/>
                                      <w:szCs w:val="16"/>
                                    </w:rPr>
                                    <w:t>MW</w:t>
                                  </w:r>
                                </w:p>
                              </w:txbxContent>
                            </wps:txbx>
                            <wps:bodyPr rot="0" vert="horz" wrap="square" lIns="91440" tIns="45720" rIns="91440" bIns="45720" anchor="t" anchorCtr="0" upright="1">
                              <a:noAutofit/>
                            </wps:bodyPr>
                          </wps:wsp>
                        </wpg:grpSp>
                      </wpg:grpSp>
                      <wps:wsp>
                        <wps:cNvPr id="1177022254" name="Text Box 2"/>
                        <wps:cNvSpPr txBox="1">
                          <a:spLocks noChangeArrowheads="1"/>
                        </wps:cNvSpPr>
                        <wps:spPr bwMode="auto">
                          <a:xfrm>
                            <a:off x="2836" y="0"/>
                            <a:ext cx="45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6D4F" w14:textId="77777777" w:rsidR="00395484" w:rsidRDefault="00395484" w:rsidP="00395484">
                              <w:pPr>
                                <w:spacing w:after="0"/>
                                <w:rPr>
                                  <w:b/>
                                  <w:bCs/>
                                  <w:sz w:val="20"/>
                                </w:rPr>
                              </w:pPr>
                              <w:r>
                                <w:rPr>
                                  <w:b/>
                                  <w:bCs/>
                                  <w:sz w:val="20"/>
                                </w:rPr>
                                <w:t>A</w:t>
                              </w:r>
                            </w:p>
                          </w:txbxContent>
                        </wps:txbx>
                        <wps:bodyPr rot="0" vert="horz" wrap="square" lIns="91440" tIns="45720" rIns="91440" bIns="45720" anchor="t" anchorCtr="0" upright="1">
                          <a:noAutofit/>
                        </wps:bodyPr>
                      </wps:wsp>
                    </wpg:wgp>
                  </a:graphicData>
                </a:graphic>
              </wp:inline>
            </w:drawing>
          </mc:Choice>
          <mc:Fallback>
            <w:pict>
              <v:group w14:anchorId="13A1A25A" id="Group 179" o:spid="_x0000_s1167" style="width:168.15pt;height:80.85pt;mso-position-horizontal-relative:char;mso-position-vertical-relative:line" coordorigin="-2495" coordsize="21355,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">
                <v:group id="Group 51" o:spid="_x0000_s1168" style="position:absolute;left:-2495;top:2307;width:21354;height:7963" coordorigin="957,2880" coordsize="336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">
                  <v:group id="Group 29" o:spid="_x0000_s1169" style="position:absolute;left:1987;top:2880;width:1793;height:902" coordorigin="1987,2880" coordsize="179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">
                    <v:shape id="AutoShape 16" o:spid="_x0000_s1170" type="#_x0000_t32" style="position:absolute;left:1987;top:2880;width:0;height: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">
                      <v:stroke endarrow="block"/>
                    </v:shape>
                    <v:group id="Group 19" o:spid="_x0000_s1171" style="position:absolute;left:1987;top:3060;width:1793;height:722" coordorigin="1987,3060" coordsize="179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">
                      <v:shape id="AutoShape 15" o:spid="_x0000_s1172" type="#_x0000_t32" style="position:absolute;left:1987;top:3780;width:179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">
                        <v:stroke endarrow="block"/>
                      </v:shape>
                      <v:shape id="AutoShape 17" o:spid="_x0000_s1173" type="#_x0000_t32" style="position:absolute;left:1993;top:3420;width: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" strokecolor="#f79646 [3209]" strokeweight="1pt"/>
                      <v:shape id="AutoShape 18" o:spid="_x0000_s1174" type="#_x0000_t32" style="position:absolute;left:2520;top:3060;width:10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" strokecolor="#f79646 [3209]" strokeweight="1pt"/>
                    </v:group>
                  </v:group>
                  <v:group id="Group 50" o:spid="_x0000_s1175" style="position:absolute;left:957;top:2880;width:3363;height:1254" coordorigin="957,2880" coordsize="336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">
                    <v:shape id="_x0000_s1176" type="#_x0000_t202" style="position:absolute;left:2250;top:377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" filled="f" stroked="f">
                      <v:textbox>
                        <w:txbxContent>
                          <w:p w14:paraId="1BAB3C0B" w14:textId="77777777" w:rsidR="00395484" w:rsidRDefault="00395484" w:rsidP="00395484">
                            <w:pPr>
                              <w:spacing w:after="0"/>
                              <w:jc w:val="center"/>
                              <w:rPr>
                                <w:sz w:val="20"/>
                              </w:rPr>
                            </w:pPr>
                            <w:r>
                              <w:rPr>
                                <w:sz w:val="20"/>
                              </w:rPr>
                              <w:t>30</w:t>
                            </w:r>
                          </w:p>
                        </w:txbxContent>
                      </v:textbox>
                    </v:shape>
                    <v:shape id="_x0000_s1177" type="#_x0000_t202" style="position:absolute;left:2784;top:377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" filled="f" stroked="f">
                      <v:textbox>
                        <w:txbxContent>
                          <w:p w14:paraId="132B33C9" w14:textId="77777777" w:rsidR="00395484" w:rsidRDefault="00395484" w:rsidP="00395484">
                            <w:pPr>
                              <w:spacing w:after="0"/>
                              <w:jc w:val="center"/>
                              <w:rPr>
                                <w:sz w:val="20"/>
                              </w:rPr>
                            </w:pPr>
                            <w:r>
                              <w:rPr>
                                <w:sz w:val="20"/>
                              </w:rPr>
                              <w:t>60</w:t>
                            </w:r>
                          </w:p>
                        </w:txbxContent>
                      </v:textbox>
                    </v:shape>
                    <v:shape id="_x0000_s1178" type="#_x0000_t202" style="position:absolute;left:3325;top:377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" filled="f" stroked="f">
                      <v:textbox>
                        <w:txbxContent>
                          <w:p w14:paraId="7B6E6BED" w14:textId="77777777" w:rsidR="00395484" w:rsidRDefault="00395484" w:rsidP="00395484">
                            <w:pPr>
                              <w:spacing w:after="0"/>
                              <w:jc w:val="center"/>
                              <w:rPr>
                                <w:sz w:val="20"/>
                              </w:rPr>
                            </w:pPr>
                            <w:r>
                              <w:rPr>
                                <w:sz w:val="20"/>
                              </w:rPr>
                              <w:t>90</w:t>
                            </w:r>
                          </w:p>
                        </w:txbxContent>
                      </v:textbox>
                    </v:shape>
                    <v:shape id="_x0000_s1179" type="#_x0000_t202" style="position:absolute;left:957;top:3240;width:11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" filled="f" stroked="f">
                      <v:textbox>
                        <w:txbxContent>
                          <w:p w14:paraId="562F4EFE" w14:textId="77777777" w:rsidR="00395484" w:rsidRDefault="00395484" w:rsidP="00395484">
                            <w:pPr>
                              <w:spacing w:after="0"/>
                              <w:jc w:val="right"/>
                              <w:rPr>
                                <w:sz w:val="20"/>
                              </w:rPr>
                            </w:pPr>
                            <w:r>
                              <w:rPr>
                                <w:sz w:val="20"/>
                              </w:rPr>
                              <w:t>$20/MWh</w:t>
                            </w:r>
                          </w:p>
                        </w:txbxContent>
                      </v:textbox>
                    </v:shape>
                    <v:shape id="_x0000_s1180" type="#_x0000_t202" style="position:absolute;left:957;top:2880;width:11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" filled="f" stroked="f">
                      <v:textbox>
                        <w:txbxContent>
                          <w:p w14:paraId="6FF655B0" w14:textId="77777777" w:rsidR="00395484" w:rsidRDefault="00395484" w:rsidP="00395484">
                            <w:pPr>
                              <w:spacing w:after="0"/>
                              <w:jc w:val="right"/>
                              <w:rPr>
                                <w:sz w:val="20"/>
                              </w:rPr>
                            </w:pPr>
                            <w:r>
                              <w:rPr>
                                <w:sz w:val="20"/>
                              </w:rPr>
                              <w:t>$40/MWh</w:t>
                            </w:r>
                          </w:p>
                        </w:txbxContent>
                      </v:textbox>
                    </v:shape>
                    <v:shape id="_x0000_s1181" type="#_x0000_t202" style="position:absolute;left:3600;top:3603;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" filled="f" stroked="f">
                      <v:textbox>
                        <w:txbxContent>
                          <w:p w14:paraId="584244F6" w14:textId="77777777" w:rsidR="00395484" w:rsidRDefault="00395484" w:rsidP="00395484">
                            <w:pPr>
                              <w:spacing w:after="0"/>
                              <w:jc w:val="center"/>
                              <w:rPr>
                                <w:sz w:val="16"/>
                                <w:szCs w:val="16"/>
                              </w:rPr>
                            </w:pPr>
                            <w:r>
                              <w:rPr>
                                <w:sz w:val="16"/>
                                <w:szCs w:val="16"/>
                              </w:rPr>
                              <w:t>MW</w:t>
                            </w:r>
                          </w:p>
                        </w:txbxContent>
                      </v:textbox>
                    </v:shape>
                  </v:group>
                </v:group>
                <v:shape id="_x0000_s1182" type="#_x0000_t202" style="position:absolute;left:283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" filled="f" stroked="f">
                  <v:textbox>
                    <w:txbxContent>
                      <w:p w14:paraId="015C6D4F" w14:textId="77777777" w:rsidR="00395484" w:rsidRDefault="00395484" w:rsidP="00395484">
                        <w:pPr>
                          <w:spacing w:after="0"/>
                          <w:rPr>
                            <w:b/>
                            <w:bCs/>
                            <w:sz w:val="20"/>
                          </w:rPr>
                        </w:pPr>
                        <w:r>
                          <w:rPr>
                            <w:b/>
                            <w:bCs/>
                            <w:sz w:val="20"/>
                          </w:rPr>
                          <w:t>A</w:t>
                        </w:r>
                      </w:p>
                    </w:txbxContent>
                  </v:textbox>
                </v:shape>
                <w10:anchorlock/>
              </v:group>
            </w:pict>
          </mc:Fallback>
        </mc:AlternateContent>
      </w:r>
      <w:r>
        <w:t xml:space="preserve"> </w:t>
      </w:r>
      <w:r>
        <w:rPr>
          <w:noProof/>
        </w:rPr>
        <mc:AlternateContent>
          <mc:Choice Requires="wpg">
            <w:drawing>
              <wp:inline distT="0" distB="0" distL="0" distR="0" wp14:anchorId="3ADE1842" wp14:editId="5A6286B9">
                <wp:extent cx="3572510" cy="1023620"/>
                <wp:effectExtent l="0" t="0" r="0" b="0"/>
                <wp:docPr id="47973781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2510" cy="1023620"/>
                          <a:chOff x="-3225" y="0"/>
                          <a:chExt cx="35725" cy="10238"/>
                        </a:xfrm>
                      </wpg:grpSpPr>
                      <wpg:grpSp>
                        <wpg:cNvPr id="861608014" name="Group 49"/>
                        <wpg:cNvGrpSpPr>
                          <a:grpSpLocks/>
                        </wpg:cNvGrpSpPr>
                        <wpg:grpSpPr bwMode="auto">
                          <a:xfrm>
                            <a:off x="-3225" y="2211"/>
                            <a:ext cx="35724" cy="8027"/>
                            <a:chOff x="4292" y="2870"/>
                            <a:chExt cx="5626" cy="1264"/>
                          </a:xfrm>
                        </wpg:grpSpPr>
                        <wps:wsp>
                          <wps:cNvPr id="274931488" name="Text Box 2"/>
                          <wps:cNvSpPr txBox="1">
                            <a:spLocks noChangeArrowheads="1"/>
                          </wps:cNvSpPr>
                          <wps:spPr bwMode="auto">
                            <a:xfrm>
                              <a:off x="9198" y="36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1E4E" w14:textId="77777777" w:rsidR="00395484" w:rsidRDefault="00395484" w:rsidP="00395484">
                                <w:pPr>
                                  <w:spacing w:after="0"/>
                                  <w:jc w:val="center"/>
                                  <w:rPr>
                                    <w:sz w:val="16"/>
                                    <w:szCs w:val="16"/>
                                  </w:rPr>
                                </w:pPr>
                                <w:r>
                                  <w:rPr>
                                    <w:sz w:val="16"/>
                                    <w:szCs w:val="16"/>
                                  </w:rPr>
                                  <w:t>MW</w:t>
                                </w:r>
                              </w:p>
                            </w:txbxContent>
                          </wps:txbx>
                          <wps:bodyPr rot="0" vert="horz" wrap="square" lIns="91440" tIns="45720" rIns="91440" bIns="45720" anchor="t" anchorCtr="0" upright="1">
                            <a:noAutofit/>
                          </wps:bodyPr>
                        </wps:wsp>
                        <wpg:grpSp>
                          <wpg:cNvPr id="1192011351" name="Group 48"/>
                          <wpg:cNvGrpSpPr>
                            <a:grpSpLocks/>
                          </wpg:cNvGrpSpPr>
                          <wpg:grpSpPr bwMode="auto">
                            <a:xfrm>
                              <a:off x="4292" y="2870"/>
                              <a:ext cx="5230" cy="1264"/>
                              <a:chOff x="4292" y="2870"/>
                              <a:chExt cx="5230" cy="1264"/>
                            </a:xfrm>
                          </wpg:grpSpPr>
                          <wpg:grpSp>
                            <wpg:cNvPr id="1092386197" name="Group 28"/>
                            <wpg:cNvGrpSpPr>
                              <a:grpSpLocks/>
                            </wpg:cNvGrpSpPr>
                            <wpg:grpSpPr bwMode="auto">
                              <a:xfrm>
                                <a:off x="5430" y="2870"/>
                                <a:ext cx="3960" cy="904"/>
                                <a:chOff x="4320" y="2882"/>
                                <a:chExt cx="3960" cy="904"/>
                              </a:xfrm>
                            </wpg:grpSpPr>
                            <wps:wsp>
                              <wps:cNvPr id="1109987509" name="AutoShape 21"/>
                              <wps:cNvCnPr>
                                <a:cxnSpLocks noChangeShapeType="1"/>
                              </wps:cNvCnPr>
                              <wps:spPr bwMode="auto">
                                <a:xfrm flipV="1">
                                  <a:off x="4322" y="2882"/>
                                  <a:ext cx="0" cy="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93463" name="AutoShape 23"/>
                              <wps:cNvCnPr>
                                <a:cxnSpLocks noChangeShapeType="1"/>
                              </wps:cNvCnPr>
                              <wps:spPr bwMode="auto">
                                <a:xfrm>
                                  <a:off x="4322" y="3782"/>
                                  <a:ext cx="3958"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785800" name="AutoShape 24"/>
                              <wps:cNvCnPr>
                                <a:cxnSpLocks noChangeShapeType="1"/>
                              </wps:cNvCnPr>
                              <wps:spPr bwMode="auto">
                                <a:xfrm>
                                  <a:off x="4320" y="3600"/>
                                  <a:ext cx="1260" cy="3"/>
                                </a:xfrm>
                                <a:prstGeom prst="straightConnector1">
                                  <a:avLst/>
                                </a:prstGeom>
                                <a:noFill/>
                                <a:ln w="127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760162523" name="AutoShape 26"/>
                              <wps:cNvCnPr>
                                <a:cxnSpLocks noChangeShapeType="1"/>
                              </wps:cNvCnPr>
                              <wps:spPr bwMode="auto">
                                <a:xfrm>
                                  <a:off x="5580" y="3420"/>
                                  <a:ext cx="1260" cy="3"/>
                                </a:xfrm>
                                <a:prstGeom prst="straightConnector1">
                                  <a:avLst/>
                                </a:prstGeom>
                                <a:noFill/>
                                <a:ln w="127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926229603" name="AutoShape 27"/>
                              <wps:cNvCnPr>
                                <a:cxnSpLocks noChangeShapeType="1"/>
                              </wps:cNvCnPr>
                              <wps:spPr bwMode="auto">
                                <a:xfrm>
                                  <a:off x="6840" y="3240"/>
                                  <a:ext cx="1260" cy="3"/>
                                </a:xfrm>
                                <a:prstGeom prst="straightConnector1">
                                  <a:avLst/>
                                </a:prstGeom>
                                <a:noFill/>
                                <a:ln w="127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73217872" name="Group 47"/>
                            <wpg:cNvGrpSpPr>
                              <a:grpSpLocks/>
                            </wpg:cNvGrpSpPr>
                            <wpg:grpSpPr bwMode="auto">
                              <a:xfrm>
                                <a:off x="4292" y="3060"/>
                                <a:ext cx="5230" cy="1074"/>
                                <a:chOff x="4292" y="3060"/>
                                <a:chExt cx="5230" cy="1074"/>
                              </a:xfrm>
                            </wpg:grpSpPr>
                            <wps:wsp>
                              <wps:cNvPr id="1790089084" name="Text Box 2"/>
                              <wps:cNvSpPr txBox="1">
                                <a:spLocks noChangeArrowheads="1"/>
                              </wps:cNvSpPr>
                              <wps:spPr bwMode="auto">
                                <a:xfrm>
                                  <a:off x="4339" y="3422"/>
                                  <a:ext cx="1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6F6D" w14:textId="77777777" w:rsidR="00395484" w:rsidRDefault="00395484" w:rsidP="00395484">
                                    <w:pPr>
                                      <w:spacing w:after="0"/>
                                      <w:jc w:val="right"/>
                                      <w:rPr>
                                        <w:sz w:val="20"/>
                                      </w:rPr>
                                    </w:pPr>
                                    <w:r>
                                      <w:rPr>
                                        <w:sz w:val="20"/>
                                      </w:rPr>
                                      <w:t>$10/MWh</w:t>
                                    </w:r>
                                  </w:p>
                                  <w:p w14:paraId="45C48CC7" w14:textId="77777777" w:rsidR="00395484" w:rsidRDefault="00395484" w:rsidP="00395484">
                                    <w:pPr>
                                      <w:spacing w:after="0"/>
                                      <w:jc w:val="center"/>
                                      <w:rPr>
                                        <w:sz w:val="20"/>
                                      </w:rPr>
                                    </w:pPr>
                                    <w:r>
                                      <w:rPr>
                                        <w:sz w:val="20"/>
                                      </w:rPr>
                                      <w:t>$10</w:t>
                                    </w:r>
                                  </w:p>
                                </w:txbxContent>
                              </wps:txbx>
                              <wps:bodyPr rot="0" vert="horz" wrap="square" lIns="91440" tIns="45720" rIns="91440" bIns="45720" anchor="t" anchorCtr="0" upright="1">
                                <a:noAutofit/>
                              </wps:bodyPr>
                            </wps:wsp>
                            <wps:wsp>
                              <wps:cNvPr id="1628692511" name="Text Box 2"/>
                              <wps:cNvSpPr txBox="1">
                                <a:spLocks noChangeArrowheads="1"/>
                              </wps:cNvSpPr>
                              <wps:spPr bwMode="auto">
                                <a:xfrm>
                                  <a:off x="4339" y="3228"/>
                                  <a:ext cx="1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8284" w14:textId="77777777" w:rsidR="00395484" w:rsidRDefault="00395484" w:rsidP="00395484">
                                    <w:pPr>
                                      <w:spacing w:after="0"/>
                                      <w:jc w:val="right"/>
                                      <w:rPr>
                                        <w:sz w:val="20"/>
                                      </w:rPr>
                                    </w:pPr>
                                    <w:r>
                                      <w:rPr>
                                        <w:sz w:val="20"/>
                                      </w:rPr>
                                      <w:t>$20/MWh</w:t>
                                    </w:r>
                                  </w:p>
                                </w:txbxContent>
                              </wps:txbx>
                              <wps:bodyPr rot="0" vert="horz" wrap="square" lIns="91440" tIns="45720" rIns="91440" bIns="45720" anchor="t" anchorCtr="0" upright="1">
                                <a:noAutofit/>
                              </wps:bodyPr>
                            </wps:wsp>
                            <wps:wsp>
                              <wps:cNvPr id="574024090" name="Text Box 2"/>
                              <wps:cNvSpPr txBox="1">
                                <a:spLocks noChangeArrowheads="1"/>
                              </wps:cNvSpPr>
                              <wps:spPr bwMode="auto">
                                <a:xfrm>
                                  <a:off x="4292" y="3060"/>
                                  <a:ext cx="122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BBBA" w14:textId="77777777" w:rsidR="00395484" w:rsidRDefault="00395484" w:rsidP="00395484">
                                    <w:pPr>
                                      <w:spacing w:after="0"/>
                                      <w:jc w:val="right"/>
                                      <w:rPr>
                                        <w:sz w:val="20"/>
                                      </w:rPr>
                                    </w:pPr>
                                    <w:r>
                                      <w:rPr>
                                        <w:sz w:val="20"/>
                                      </w:rPr>
                                      <w:t>$30/MWh</w:t>
                                    </w:r>
                                  </w:p>
                                </w:txbxContent>
                              </wps:txbx>
                              <wps:bodyPr rot="0" vert="horz" wrap="square" lIns="91440" tIns="45720" rIns="91440" bIns="45720" anchor="t" anchorCtr="0" upright="1">
                                <a:noAutofit/>
                              </wps:bodyPr>
                            </wps:wsp>
                            <wps:wsp>
                              <wps:cNvPr id="329335172" name="Text Box 2"/>
                              <wps:cNvSpPr txBox="1">
                                <a:spLocks noChangeArrowheads="1"/>
                              </wps:cNvSpPr>
                              <wps:spPr bwMode="auto">
                                <a:xfrm>
                                  <a:off x="6414" y="376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83C5" w14:textId="77777777" w:rsidR="00395484" w:rsidRDefault="00395484" w:rsidP="00395484">
                                    <w:pPr>
                                      <w:spacing w:after="0"/>
                                      <w:jc w:val="center"/>
                                      <w:rPr>
                                        <w:sz w:val="20"/>
                                      </w:rPr>
                                    </w:pPr>
                                    <w:r>
                                      <w:rPr>
                                        <w:sz w:val="20"/>
                                      </w:rPr>
                                      <w:t>70</w:t>
                                    </w:r>
                                  </w:p>
                                </w:txbxContent>
                              </wps:txbx>
                              <wps:bodyPr rot="0" vert="horz" wrap="square" lIns="91440" tIns="45720" rIns="91440" bIns="45720" anchor="t" anchorCtr="0" upright="1">
                                <a:noAutofit/>
                              </wps:bodyPr>
                            </wps:wsp>
                            <wps:wsp>
                              <wps:cNvPr id="2139734425" name="Text Box 2"/>
                              <wps:cNvSpPr txBox="1">
                                <a:spLocks noChangeArrowheads="1"/>
                              </wps:cNvSpPr>
                              <wps:spPr bwMode="auto">
                                <a:xfrm>
                                  <a:off x="7632" y="3774"/>
                                  <a:ext cx="6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F50F" w14:textId="77777777" w:rsidR="00395484" w:rsidRDefault="00395484" w:rsidP="00395484">
                                    <w:pPr>
                                      <w:spacing w:after="0"/>
                                      <w:jc w:val="center"/>
                                      <w:rPr>
                                        <w:sz w:val="20"/>
                                      </w:rPr>
                                    </w:pPr>
                                    <w:r>
                                      <w:rPr>
                                        <w:sz w:val="20"/>
                                      </w:rPr>
                                      <w:t>140</w:t>
                                    </w:r>
                                  </w:p>
                                </w:txbxContent>
                              </wps:txbx>
                              <wps:bodyPr rot="0" vert="horz" wrap="square" lIns="91440" tIns="45720" rIns="91440" bIns="45720" anchor="t" anchorCtr="0" upright="1">
                                <a:noAutofit/>
                              </wps:bodyPr>
                            </wps:wsp>
                            <wps:wsp>
                              <wps:cNvPr id="875422014" name="Text Box 2"/>
                              <wps:cNvSpPr txBox="1">
                                <a:spLocks noChangeArrowheads="1"/>
                              </wps:cNvSpPr>
                              <wps:spPr bwMode="auto">
                                <a:xfrm>
                                  <a:off x="8892" y="3774"/>
                                  <a:ext cx="6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07C7" w14:textId="77777777" w:rsidR="00395484" w:rsidRDefault="00395484" w:rsidP="00395484">
                                    <w:pPr>
                                      <w:spacing w:after="0"/>
                                      <w:jc w:val="center"/>
                                      <w:rPr>
                                        <w:sz w:val="20"/>
                                      </w:rPr>
                                    </w:pPr>
                                    <w:r>
                                      <w:rPr>
                                        <w:sz w:val="20"/>
                                      </w:rPr>
                                      <w:t>210</w:t>
                                    </w:r>
                                  </w:p>
                                </w:txbxContent>
                              </wps:txbx>
                              <wps:bodyPr rot="0" vert="horz" wrap="square" lIns="91440" tIns="45720" rIns="91440" bIns="45720" anchor="t" anchorCtr="0" upright="1">
                                <a:noAutofit/>
                              </wps:bodyPr>
                            </wps:wsp>
                          </wpg:grpSp>
                        </wpg:grpSp>
                      </wpg:grpSp>
                      <wps:wsp>
                        <wps:cNvPr id="730047911" name="Text Box 2"/>
                        <wps:cNvSpPr txBox="1">
                          <a:spLocks noChangeArrowheads="1"/>
                        </wps:cNvSpPr>
                        <wps:spPr bwMode="auto">
                          <a:xfrm>
                            <a:off x="2751" y="0"/>
                            <a:ext cx="45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5A81" w14:textId="77777777" w:rsidR="00395484" w:rsidRDefault="00395484" w:rsidP="00395484">
                              <w:pPr>
                                <w:spacing w:after="0"/>
                                <w:rPr>
                                  <w:b/>
                                  <w:bCs/>
                                  <w:sz w:val="20"/>
                                </w:rPr>
                              </w:pPr>
                              <w:r>
                                <w:rPr>
                                  <w:b/>
                                  <w:bCs/>
                                  <w:sz w:val="20"/>
                                </w:rPr>
                                <w:t>B</w:t>
                              </w:r>
                            </w:p>
                          </w:txbxContent>
                        </wps:txbx>
                        <wps:bodyPr rot="0" vert="horz" wrap="square" lIns="91440" tIns="45720" rIns="91440" bIns="45720" anchor="t" anchorCtr="0" upright="1">
                          <a:noAutofit/>
                        </wps:bodyPr>
                      </wps:wsp>
                    </wpg:wgp>
                  </a:graphicData>
                </a:graphic>
              </wp:inline>
            </w:drawing>
          </mc:Choice>
          <mc:Fallback>
            <w:pict>
              <v:group w14:anchorId="3ADE1842" id="Group 178" o:spid="_x0000_s1183" style="width:281.3pt;height:80.6pt;mso-position-horizontal-relative:char;mso-position-vertical-relative:line" coordorigin="-3225" coordsize="35725,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">
                <v:group id="Group 49" o:spid="_x0000_s1184" style="position:absolute;left:-3225;top:2211;width:35724;height:8027" coordorigin="4292,2870" coordsize="562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">
                  <v:shape id="_x0000_s1185" type="#_x0000_t202" style="position:absolute;left:9198;top:360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" filled="f" stroked="f">
                    <v:textbox>
                      <w:txbxContent>
                        <w:p w14:paraId="51DA1E4E" w14:textId="77777777" w:rsidR="00395484" w:rsidRDefault="00395484" w:rsidP="00395484">
                          <w:pPr>
                            <w:spacing w:after="0"/>
                            <w:jc w:val="center"/>
                            <w:rPr>
                              <w:sz w:val="16"/>
                              <w:szCs w:val="16"/>
                            </w:rPr>
                          </w:pPr>
                          <w:r>
                            <w:rPr>
                              <w:sz w:val="16"/>
                              <w:szCs w:val="16"/>
                            </w:rPr>
                            <w:t>MW</w:t>
                          </w:r>
                        </w:p>
                      </w:txbxContent>
                    </v:textbox>
                  </v:shape>
                  <v:group id="Group 48" o:spid="_x0000_s1186" style="position:absolute;left:4292;top:2870;width:5230;height:1264" coordorigin="4292,2870" coordsize="523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">
                    <v:group id="Group 28" o:spid="_x0000_s1187" style="position:absolute;left:5430;top:2870;width:3960;height:904" coordorigin="4320,2882" coordsize="396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">
                      <v:shape id="AutoShape 21" o:spid="_x0000_s1188" type="#_x0000_t32" style="position:absolute;left:4322;top:2882;width:0;height: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">
                        <v:stroke endarrow="block"/>
                      </v:shape>
                      <v:shape id="AutoShape 23" o:spid="_x0000_s1189" type="#_x0000_t32" style="position:absolute;left:4322;top:3782;width:395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">
                        <v:stroke endarrow="block"/>
                      </v:shape>
                      <v:shape id="AutoShape 24" o:spid="_x0000_s1190" type="#_x0000_t32" style="position:absolute;left:4320;top:3600;width:126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" strokecolor="#f79646 [3209]" strokeweight="1pt"/>
                      <v:shape id="AutoShape 26" o:spid="_x0000_s1191" type="#_x0000_t32" style="position:absolute;left:5580;top:3420;width:126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" strokecolor="#f79646 [3209]" strokeweight="1pt"/>
                      <v:shape id="AutoShape 27" o:spid="_x0000_s1192" type="#_x0000_t32" style="position:absolute;left:6840;top:3240;width:126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" strokecolor="#f79646 [3209]" strokeweight="1pt"/>
                    </v:group>
                    <v:group id="Group 47" o:spid="_x0000_s1193" style="position:absolute;left:4292;top:3060;width:5230;height:1074" coordorigin="4292,3060" coordsize="523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">
                      <v:shape id="_x0000_s1194" type="#_x0000_t202" style="position:absolute;left:4339;top:3422;width:11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" filled="f" stroked="f">
                        <v:textbox>
                          <w:txbxContent>
                            <w:p w14:paraId="37C96F6D" w14:textId="77777777" w:rsidR="00395484" w:rsidRDefault="00395484" w:rsidP="00395484">
                              <w:pPr>
                                <w:spacing w:after="0"/>
                                <w:jc w:val="right"/>
                                <w:rPr>
                                  <w:sz w:val="20"/>
                                </w:rPr>
                              </w:pPr>
                              <w:r>
                                <w:rPr>
                                  <w:sz w:val="20"/>
                                </w:rPr>
                                <w:t>$10/MWh</w:t>
                              </w:r>
                            </w:p>
                            <w:p w14:paraId="45C48CC7" w14:textId="77777777" w:rsidR="00395484" w:rsidRDefault="00395484" w:rsidP="00395484">
                              <w:pPr>
                                <w:spacing w:after="0"/>
                                <w:jc w:val="center"/>
                                <w:rPr>
                                  <w:sz w:val="20"/>
                                </w:rPr>
                              </w:pPr>
                              <w:r>
                                <w:rPr>
                                  <w:sz w:val="20"/>
                                </w:rPr>
                                <w:t>$10</w:t>
                              </w:r>
                            </w:p>
                          </w:txbxContent>
                        </v:textbox>
                      </v:shape>
                      <v:shape id="_x0000_s1195" type="#_x0000_t202" style="position:absolute;left:4339;top:3228;width:11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" filled="f" stroked="f">
                        <v:textbox>
                          <w:txbxContent>
                            <w:p w14:paraId="20598284" w14:textId="77777777" w:rsidR="00395484" w:rsidRDefault="00395484" w:rsidP="00395484">
                              <w:pPr>
                                <w:spacing w:after="0"/>
                                <w:jc w:val="right"/>
                                <w:rPr>
                                  <w:sz w:val="20"/>
                                </w:rPr>
                              </w:pPr>
                              <w:r>
                                <w:rPr>
                                  <w:sz w:val="20"/>
                                </w:rPr>
                                <w:t>$20/MWh</w:t>
                              </w:r>
                            </w:p>
                          </w:txbxContent>
                        </v:textbox>
                      </v:shape>
                      <v:shape id="_x0000_s1196" type="#_x0000_t202" style="position:absolute;left:4292;top:3060;width:12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" filled="f" stroked="f">
                        <v:textbox>
                          <w:txbxContent>
                            <w:p w14:paraId="24F0BBBA" w14:textId="77777777" w:rsidR="00395484" w:rsidRDefault="00395484" w:rsidP="00395484">
                              <w:pPr>
                                <w:spacing w:after="0"/>
                                <w:jc w:val="right"/>
                                <w:rPr>
                                  <w:sz w:val="20"/>
                                </w:rPr>
                              </w:pPr>
                              <w:r>
                                <w:rPr>
                                  <w:sz w:val="20"/>
                                </w:rPr>
                                <w:t>$30/MWh</w:t>
                              </w:r>
                            </w:p>
                          </w:txbxContent>
                        </v:textbox>
                      </v:shape>
                      <v:shape id="_x0000_s1197" type="#_x0000_t202" style="position:absolute;left:6414;top:376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" filled="f" stroked="f">
                        <v:textbox>
                          <w:txbxContent>
                            <w:p w14:paraId="425E83C5" w14:textId="77777777" w:rsidR="00395484" w:rsidRDefault="00395484" w:rsidP="00395484">
                              <w:pPr>
                                <w:spacing w:after="0"/>
                                <w:jc w:val="center"/>
                                <w:rPr>
                                  <w:sz w:val="20"/>
                                </w:rPr>
                              </w:pPr>
                              <w:r>
                                <w:rPr>
                                  <w:sz w:val="20"/>
                                </w:rPr>
                                <w:t>70</w:t>
                              </w:r>
                            </w:p>
                          </w:txbxContent>
                        </v:textbox>
                      </v:shape>
                      <v:shape id="_x0000_s1198" type="#_x0000_t202" style="position:absolute;left:7632;top:3774;width:6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" filled="f" stroked="f">
                        <v:textbox>
                          <w:txbxContent>
                            <w:p w14:paraId="3EF1F50F" w14:textId="77777777" w:rsidR="00395484" w:rsidRDefault="00395484" w:rsidP="00395484">
                              <w:pPr>
                                <w:spacing w:after="0"/>
                                <w:jc w:val="center"/>
                                <w:rPr>
                                  <w:sz w:val="20"/>
                                </w:rPr>
                              </w:pPr>
                              <w:r>
                                <w:rPr>
                                  <w:sz w:val="20"/>
                                </w:rPr>
                                <w:t>140</w:t>
                              </w:r>
                            </w:p>
                          </w:txbxContent>
                        </v:textbox>
                      </v:shape>
                      <v:shape id="_x0000_s1199" type="#_x0000_t202" style="position:absolute;left:8892;top:3774;width:6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" filled="f" stroked="f">
                        <v:textbox>
                          <w:txbxContent>
                            <w:p w14:paraId="635307C7" w14:textId="77777777" w:rsidR="00395484" w:rsidRDefault="00395484" w:rsidP="00395484">
                              <w:pPr>
                                <w:spacing w:after="0"/>
                                <w:jc w:val="center"/>
                                <w:rPr>
                                  <w:sz w:val="20"/>
                                </w:rPr>
                              </w:pPr>
                              <w:r>
                                <w:rPr>
                                  <w:sz w:val="20"/>
                                </w:rPr>
                                <w:t>210</w:t>
                              </w:r>
                            </w:p>
                          </w:txbxContent>
                        </v:textbox>
                      </v:shape>
                    </v:group>
                  </v:group>
                </v:group>
                <v:shape id="_x0000_s1200" type="#_x0000_t202" style="position:absolute;left:275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" filled="f" stroked="f">
                  <v:textbox>
                    <w:txbxContent>
                      <w:p w14:paraId="035E5A81" w14:textId="77777777" w:rsidR="00395484" w:rsidRDefault="00395484" w:rsidP="00395484">
                        <w:pPr>
                          <w:spacing w:after="0"/>
                          <w:rPr>
                            <w:b/>
                            <w:bCs/>
                            <w:sz w:val="20"/>
                          </w:rPr>
                        </w:pPr>
                        <w:r>
                          <w:rPr>
                            <w:b/>
                            <w:bCs/>
                            <w:sz w:val="20"/>
                          </w:rPr>
                          <w:t>B</w:t>
                        </w:r>
                      </w:p>
                    </w:txbxContent>
                  </v:textbox>
                </v:shape>
                <w10:anchorlock/>
              </v:group>
            </w:pict>
          </mc:Fallback>
        </mc:AlternateContent>
      </w:r>
    </w:p>
    <w:p w14:paraId="1BC16235" w14:textId="0F340866" w:rsidR="00395484" w:rsidRDefault="00395484" w:rsidP="00395484">
      <w:pPr>
        <w:spacing w:before="120" w:line="300" w:lineRule="auto"/>
      </w:pPr>
      <w:r>
        <w:t xml:space="preserve">For the </w:t>
      </w:r>
      <w:r w:rsidR="00D12485">
        <w:t>Resource Aggregation</w:t>
      </w:r>
      <w:r>
        <w:t>’s first 100 MW, following step 2, Asset A can produce 30 MW (100 MW * 0.3) at a cost of $20/MWh while Asset B can produce 70 MW (100 MW * 0.7) at a cost of $10/MWh.  Following step 3, the aggregated price for these quantities is $13/MWh as calculated by the weighted sum of Asset A’s and B’s cost as shown below.</w:t>
      </w:r>
    </w:p>
    <w:p w14:paraId="64E146AC" w14:textId="77777777" w:rsidR="00395484" w:rsidRDefault="0002195B" w:rsidP="00395484">
      <m:oMathPara>
        <m:oMath>
          <m:r>
            <w:rPr>
              <w:rFonts w:ascii="Cambria Math" w:hAnsi="Cambria Math"/>
            </w:rPr>
            <m:t xml:space="preserve">Segment n:  </m:t>
          </m:r>
          <m:d>
            <m:dPr>
              <m:ctrlPr>
                <w:rPr>
                  <w:rFonts w:ascii="Cambria Math" w:hAnsi="Cambria Math"/>
                  <w:i/>
                </w:rPr>
              </m:ctrlPr>
            </m:dPr>
            <m:e>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e>
                <m:sub>
                  <m:r>
                    <w:rPr>
                      <w:rFonts w:ascii="Cambria Math" w:hAnsi="Cambria Math"/>
                    </w:rPr>
                    <m:t>Asset A</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Asset 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e>
                <m:sub>
                  <m:r>
                    <w:rPr>
                      <w:rFonts w:ascii="Cambria Math" w:hAnsi="Cambria Math"/>
                    </w:rPr>
                    <m:t>Asset B</m:t>
                  </m:r>
                </m:sub>
              </m:sSub>
              <m:r>
                <w:rPr>
                  <w:rFonts w:ascii="Cambria Math" w:hAnsi="Cambria Math"/>
                </w:rPr>
                <m:t>*</m:t>
              </m:r>
              <m:sSub>
                <m:sSubPr>
                  <m:ctrlPr>
                    <w:rPr>
                      <w:rFonts w:ascii="Cambria Math" w:hAnsi="Cambria Math"/>
                      <w:i/>
                    </w:rPr>
                  </m:ctrlPr>
                </m:sSubPr>
                <m:e>
                  <m:r>
                    <w:rPr>
                      <w:rFonts w:ascii="Cambria Math" w:hAnsi="Cambria Math"/>
                    </w:rPr>
                    <m:t>DF</m:t>
                  </m:r>
                </m:e>
                <m:sub>
                  <m:r>
                    <w:rPr>
                      <w:rFonts w:ascii="Cambria Math" w:hAnsi="Cambria Math"/>
                    </w:rPr>
                    <m:t>Asset B</m:t>
                  </m:r>
                </m:sub>
              </m:sSub>
            </m:e>
          </m:d>
          <m:r>
            <w:rPr>
              <w:rFonts w:ascii="Cambria Math" w:hAnsi="Cambria Math"/>
            </w:rPr>
            <m:t>=</m:t>
          </m:r>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e>
            <m:sub>
              <m:r>
                <w:rPr>
                  <w:rFonts w:ascii="Cambria Math" w:hAnsi="Cambria Math"/>
                </w:rPr>
                <m:t>Aggregation</m:t>
              </m:r>
            </m:sub>
          </m:sSub>
        </m:oMath>
      </m:oMathPara>
    </w:p>
    <w:p w14:paraId="31610FE6" w14:textId="77777777" w:rsidR="00395484" w:rsidRDefault="0002195B" w:rsidP="00395484">
      <m:oMathPara>
        <m:oMath>
          <m:r>
            <w:rPr>
              <w:rFonts w:ascii="Cambria Math" w:hAnsi="Cambria Math"/>
            </w:rPr>
            <m:t xml:space="preserve">First segment:  </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MWh</m:t>
                  </m:r>
                </m:den>
              </m:f>
              <m:r>
                <w:rPr>
                  <w:rFonts w:ascii="Cambria Math" w:hAnsi="Cambria Math"/>
                </w:rPr>
                <m:t>*0.3</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MWh</m:t>
                  </m:r>
                </m:den>
              </m:f>
              <m:r>
                <w:rPr>
                  <w:rFonts w:ascii="Cambria Math" w:hAnsi="Cambria Math"/>
                </w:rPr>
                <m:t>*0.7</m:t>
              </m:r>
            </m:e>
          </m:d>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MWh</m:t>
              </m:r>
            </m:den>
          </m:f>
          <m:r>
            <w:rPr>
              <w:rFonts w:ascii="Cambria Math" w:hAnsi="Cambria Math"/>
            </w:rPr>
            <m:t>, for Q&gt;0 to 100 MW</m:t>
          </m:r>
        </m:oMath>
      </m:oMathPara>
    </w:p>
    <w:p w14:paraId="73ABB51B" w14:textId="5A32D8B1" w:rsidR="00395484" w:rsidRDefault="00395484" w:rsidP="00395484">
      <w:pPr>
        <w:spacing w:before="120" w:line="300" w:lineRule="auto"/>
      </w:pPr>
      <w:r>
        <w:t xml:space="preserve">For the </w:t>
      </w:r>
      <w:r w:rsidR="002909AE">
        <w:t>Resource Aggregation</w:t>
      </w:r>
      <w:r>
        <w:t>’s second 100 MW, following step 2, Asset A can produce an additional 30 MW at $40/MWh while Asset B can produce an additional 70 MW at $20/MWh.  Following step 3, the aggregated price for these quantities is $26/MWh as calculated by the weighted sum of Asset A’s and B’s cost as shown below.</w:t>
      </w:r>
    </w:p>
    <w:p w14:paraId="1D4FC2C0" w14:textId="77777777" w:rsidR="00395484" w:rsidRDefault="0002195B" w:rsidP="00395484">
      <m:oMathPara>
        <m:oMath>
          <m:r>
            <w:rPr>
              <w:rFonts w:ascii="Cambria Math" w:hAnsi="Cambria Math"/>
            </w:rPr>
            <m:t xml:space="preserve">Second segment:  </m:t>
          </m:r>
          <m:d>
            <m:dPr>
              <m:ctrlPr>
                <w:rPr>
                  <w:rFonts w:ascii="Cambria Math" w:hAnsi="Cambria Math"/>
                  <w:i/>
                </w:rPr>
              </m:ctrlPr>
            </m:dPr>
            <m:e>
              <m:f>
                <m:fPr>
                  <m:ctrlPr>
                    <w:rPr>
                      <w:rFonts w:ascii="Cambria Math" w:hAnsi="Cambria Math"/>
                      <w:i/>
                    </w:rPr>
                  </m:ctrlPr>
                </m:fPr>
                <m:num>
                  <m:r>
                    <w:rPr>
                      <w:rFonts w:ascii="Cambria Math" w:hAnsi="Cambria Math"/>
                    </w:rPr>
                    <m:t>$40</m:t>
                  </m:r>
                </m:num>
                <m:den>
                  <m:r>
                    <w:rPr>
                      <w:rFonts w:ascii="Cambria Math" w:hAnsi="Cambria Math"/>
                    </w:rPr>
                    <m:t>MWh</m:t>
                  </m:r>
                </m:den>
              </m:f>
              <m:r>
                <w:rPr>
                  <w:rFonts w:ascii="Cambria Math" w:hAnsi="Cambria Math"/>
                </w:rPr>
                <m:t>*0.3</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$20</m:t>
                  </m:r>
                </m:num>
                <m:den>
                  <m:r>
                    <w:rPr>
                      <w:rFonts w:ascii="Cambria Math" w:hAnsi="Cambria Math"/>
                    </w:rPr>
                    <m:t>MWh</m:t>
                  </m:r>
                </m:den>
              </m:f>
              <m:r>
                <w:rPr>
                  <w:rFonts w:ascii="Cambria Math" w:hAnsi="Cambria Math"/>
                </w:rPr>
                <m:t>*0.7</m:t>
              </m:r>
            </m:e>
          </m:d>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MWh</m:t>
              </m:r>
            </m:den>
          </m:f>
          <m:r>
            <w:rPr>
              <w:rFonts w:ascii="Cambria Math" w:hAnsi="Cambria Math"/>
            </w:rPr>
            <m:t>, for Q&gt;100 to 200 MW</m:t>
          </m:r>
        </m:oMath>
      </m:oMathPara>
    </w:p>
    <w:p w14:paraId="17EEEFA2" w14:textId="6BAFDB82" w:rsidR="00395484" w:rsidRDefault="00395484" w:rsidP="00395484">
      <w:pPr>
        <w:spacing w:before="120" w:line="300" w:lineRule="auto"/>
      </w:pPr>
      <w:r>
        <w:t xml:space="preserve">For the </w:t>
      </w:r>
      <w:r w:rsidR="002909AE">
        <w:t>Resource Aggregation</w:t>
      </w:r>
      <w:r>
        <w:t>’s third 100 MW, following step 2, Asset A can produce an additional 30 MW at $40/MWh while Asset B can produce an additional 70 MW at $30/MWh.  Following step 3, the aggregated price for these quantities is $33/MWh as calculated by the weighted sum of Asset A’s and B’s cost as shown below.</w:t>
      </w:r>
    </w:p>
    <w:p w14:paraId="446BCFF3" w14:textId="77777777" w:rsidR="00395484" w:rsidRDefault="0002195B" w:rsidP="00395484">
      <m:oMathPara>
        <m:oMath>
          <m:r>
            <w:rPr>
              <w:rFonts w:ascii="Cambria Math" w:hAnsi="Cambria Math"/>
            </w:rPr>
            <m:t xml:space="preserve">Third segment:  </m:t>
          </m:r>
          <m:d>
            <m:dPr>
              <m:ctrlPr>
                <w:rPr>
                  <w:rFonts w:ascii="Cambria Math" w:hAnsi="Cambria Math"/>
                  <w:i/>
                </w:rPr>
              </m:ctrlPr>
            </m:dPr>
            <m:e>
              <m:f>
                <m:fPr>
                  <m:ctrlPr>
                    <w:rPr>
                      <w:rFonts w:ascii="Cambria Math" w:hAnsi="Cambria Math"/>
                      <w:i/>
                    </w:rPr>
                  </m:ctrlPr>
                </m:fPr>
                <m:num>
                  <m:r>
                    <w:rPr>
                      <w:rFonts w:ascii="Cambria Math" w:hAnsi="Cambria Math"/>
                    </w:rPr>
                    <m:t>$40</m:t>
                  </m:r>
                </m:num>
                <m:den>
                  <m:r>
                    <w:rPr>
                      <w:rFonts w:ascii="Cambria Math" w:hAnsi="Cambria Math"/>
                    </w:rPr>
                    <m:t>MWh</m:t>
                  </m:r>
                </m:den>
              </m:f>
              <m:r>
                <w:rPr>
                  <w:rFonts w:ascii="Cambria Math" w:hAnsi="Cambria Math"/>
                </w:rPr>
                <m:t>*0.3</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$30</m:t>
                  </m:r>
                </m:num>
                <m:den>
                  <m:r>
                    <w:rPr>
                      <w:rFonts w:ascii="Cambria Math" w:hAnsi="Cambria Math"/>
                    </w:rPr>
                    <m:t>MWh</m:t>
                  </m:r>
                </m:den>
              </m:f>
              <m:r>
                <w:rPr>
                  <w:rFonts w:ascii="Cambria Math" w:hAnsi="Cambria Math"/>
                </w:rPr>
                <m:t>*0.7</m:t>
              </m:r>
            </m:e>
          </m:d>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MWh</m:t>
              </m:r>
            </m:den>
          </m:f>
          <m:r>
            <w:rPr>
              <w:rFonts w:ascii="Cambria Math" w:hAnsi="Cambria Math"/>
            </w:rPr>
            <m:t>, for Q&gt;200 to 300 MW</m:t>
          </m:r>
        </m:oMath>
      </m:oMathPara>
    </w:p>
    <w:p w14:paraId="77157CA8" w14:textId="77777777" w:rsidR="00395484" w:rsidRDefault="00395484" w:rsidP="00395484">
      <w:r>
        <w:t>Aggregating these segments results in the aggregated mitigated Energy Offer Curve shown below.</w:t>
      </w:r>
    </w:p>
    <w:p w14:paraId="0E5C4201" w14:textId="75DA502C" w:rsidR="00395484" w:rsidRDefault="00395484" w:rsidP="00395484">
      <w:r>
        <w:rPr>
          <w:noProof/>
        </w:rPr>
        <mc:AlternateContent>
          <mc:Choice Requires="wpg">
            <w:drawing>
              <wp:inline distT="0" distB="0" distL="0" distR="0" wp14:anchorId="75557357" wp14:editId="6A025095">
                <wp:extent cx="4592955" cy="1371600"/>
                <wp:effectExtent l="0" t="0" r="0" b="0"/>
                <wp:docPr id="59897024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1371600"/>
                          <a:chOff x="-3087" y="0"/>
                          <a:chExt cx="45928" cy="13716"/>
                        </a:xfrm>
                      </wpg:grpSpPr>
                      <wps:wsp>
                        <wps:cNvPr id="349998718" name="Text Box 2"/>
                        <wps:cNvSpPr txBox="1">
                          <a:spLocks noChangeArrowheads="1"/>
                        </wps:cNvSpPr>
                        <wps:spPr bwMode="auto">
                          <a:xfrm>
                            <a:off x="38269" y="10371"/>
                            <a:ext cx="45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A7FB" w14:textId="77777777" w:rsidR="00395484" w:rsidRDefault="00395484" w:rsidP="00395484">
                              <w:pPr>
                                <w:spacing w:after="0"/>
                                <w:jc w:val="center"/>
                                <w:rPr>
                                  <w:sz w:val="16"/>
                                  <w:szCs w:val="16"/>
                                </w:rPr>
                              </w:pPr>
                              <w:r>
                                <w:rPr>
                                  <w:sz w:val="16"/>
                                  <w:szCs w:val="16"/>
                                </w:rPr>
                                <w:t>MW</w:t>
                              </w:r>
                            </w:p>
                          </w:txbxContent>
                        </wps:txbx>
                        <wps:bodyPr rot="0" vert="horz" wrap="square" lIns="91440" tIns="45720" rIns="91440" bIns="45720" anchor="t" anchorCtr="0" upright="1">
                          <a:noAutofit/>
                        </wps:bodyPr>
                      </wps:wsp>
                      <wpg:grpSp>
                        <wpg:cNvPr id="1024934870" name="Group 6"/>
                        <wpg:cNvGrpSpPr>
                          <a:grpSpLocks/>
                        </wpg:cNvGrpSpPr>
                        <wpg:grpSpPr bwMode="auto">
                          <a:xfrm>
                            <a:off x="-3087" y="0"/>
                            <a:ext cx="43286" cy="13716"/>
                            <a:chOff x="-3087" y="0"/>
                            <a:chExt cx="43287" cy="13716"/>
                          </a:xfrm>
                        </wpg:grpSpPr>
                        <wpg:grpSp>
                          <wpg:cNvPr id="1306250423" name="Group 5"/>
                          <wpg:cNvGrpSpPr>
                            <a:grpSpLocks/>
                          </wpg:cNvGrpSpPr>
                          <wpg:grpSpPr bwMode="auto">
                            <a:xfrm>
                              <a:off x="3937" y="2286"/>
                              <a:ext cx="35464" cy="9175"/>
                              <a:chOff x="0" y="0"/>
                              <a:chExt cx="35464" cy="9175"/>
                            </a:xfrm>
                          </wpg:grpSpPr>
                          <wps:wsp>
                            <wps:cNvPr id="1866926923" name="AutoShape 14"/>
                            <wps:cNvCnPr>
                              <a:cxnSpLocks noChangeShapeType="1"/>
                            </wps:cNvCnPr>
                            <wps:spPr bwMode="auto">
                              <a:xfrm flipV="1">
                                <a:off x="103" y="5685"/>
                                <a:ext cx="11348" cy="19"/>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2052359791" name="Straight Arrow Connector 1"/>
                            <wps:cNvCnPr>
                              <a:cxnSpLocks noChangeShapeType="1"/>
                            </wps:cNvCnPr>
                            <wps:spPr bwMode="auto">
                              <a:xfrm>
                                <a:off x="0" y="9169"/>
                                <a:ext cx="35464"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488760" name="Straight Arrow Connector 2"/>
                            <wps:cNvCnPr>
                              <a:cxnSpLocks noChangeShapeType="1"/>
                            </wps:cNvCnPr>
                            <wps:spPr bwMode="auto">
                              <a:xfrm flipH="1" flipV="1">
                                <a:off x="35" y="0"/>
                                <a:ext cx="58" cy="9175"/>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3324966" name="AutoShape 52"/>
                            <wps:cNvCnPr>
                              <a:cxnSpLocks noChangeShapeType="1"/>
                            </wps:cNvCnPr>
                            <wps:spPr bwMode="auto">
                              <a:xfrm flipV="1">
                                <a:off x="11461" y="2275"/>
                                <a:ext cx="11348" cy="19"/>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1476056086" name="AutoShape 53"/>
                            <wps:cNvCnPr>
                              <a:cxnSpLocks noChangeShapeType="1"/>
                            </wps:cNvCnPr>
                            <wps:spPr bwMode="auto">
                              <a:xfrm flipV="1">
                                <a:off x="22819" y="1132"/>
                                <a:ext cx="11348" cy="19"/>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grpSp>
                        <wpg:grpSp>
                          <wpg:cNvPr id="1143895829" name="Group 4"/>
                          <wpg:cNvGrpSpPr>
                            <a:grpSpLocks/>
                          </wpg:cNvGrpSpPr>
                          <wpg:grpSpPr bwMode="auto">
                            <a:xfrm>
                              <a:off x="-3087" y="0"/>
                              <a:ext cx="43286" cy="13716"/>
                              <a:chOff x="-3087" y="0"/>
                              <a:chExt cx="43287" cy="13716"/>
                            </a:xfrm>
                          </wpg:grpSpPr>
                          <wps:wsp>
                            <wps:cNvPr id="1695267821" name="Text Box 2"/>
                            <wps:cNvSpPr txBox="1">
                              <a:spLocks noChangeArrowheads="1"/>
                            </wps:cNvSpPr>
                            <wps:spPr bwMode="auto">
                              <a:xfrm>
                                <a:off x="13377" y="11430"/>
                                <a:ext cx="396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2CF7" w14:textId="77777777" w:rsidR="00395484" w:rsidRDefault="00395484" w:rsidP="00395484">
                                  <w:pPr>
                                    <w:spacing w:after="0"/>
                                    <w:jc w:val="center"/>
                                    <w:rPr>
                                      <w:sz w:val="20"/>
                                    </w:rPr>
                                  </w:pPr>
                                  <w:r>
                                    <w:rPr>
                                      <w:sz w:val="20"/>
                                    </w:rPr>
                                    <w:t>100</w:t>
                                  </w:r>
                                </w:p>
                              </w:txbxContent>
                            </wps:txbx>
                            <wps:bodyPr rot="0" vert="horz" wrap="square" lIns="91440" tIns="45720" rIns="91440" bIns="45720" anchor="t" anchorCtr="0" upright="1">
                              <a:noAutofit/>
                            </wps:bodyPr>
                          </wps:wsp>
                          <wps:wsp>
                            <wps:cNvPr id="1507117526" name="Text Box 2"/>
                            <wps:cNvSpPr txBox="1">
                              <a:spLocks noChangeArrowheads="1"/>
                            </wps:cNvSpPr>
                            <wps:spPr bwMode="auto">
                              <a:xfrm>
                                <a:off x="24807" y="11430"/>
                                <a:ext cx="396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BEF9" w14:textId="77777777" w:rsidR="00395484" w:rsidRDefault="00395484" w:rsidP="00395484">
                                  <w:pPr>
                                    <w:spacing w:after="0"/>
                                    <w:jc w:val="center"/>
                                    <w:rPr>
                                      <w:sz w:val="20"/>
                                    </w:rPr>
                                  </w:pPr>
                                  <w:r>
                                    <w:rPr>
                                      <w:sz w:val="20"/>
                                    </w:rPr>
                                    <w:t>200</w:t>
                                  </w:r>
                                </w:p>
                              </w:txbxContent>
                            </wps:txbx>
                            <wps:bodyPr rot="0" vert="horz" wrap="square" lIns="91440" tIns="45720" rIns="91440" bIns="45720" anchor="t" anchorCtr="0" upright="1">
                              <a:noAutofit/>
                            </wps:bodyPr>
                          </wps:wsp>
                          <wps:wsp>
                            <wps:cNvPr id="88564227" name="Text Box 2"/>
                            <wps:cNvSpPr txBox="1">
                              <a:spLocks noChangeArrowheads="1"/>
                            </wps:cNvSpPr>
                            <wps:spPr bwMode="auto">
                              <a:xfrm>
                                <a:off x="36237" y="11430"/>
                                <a:ext cx="396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15A0" w14:textId="77777777" w:rsidR="00395484" w:rsidRDefault="00395484" w:rsidP="00395484">
                                  <w:pPr>
                                    <w:spacing w:after="0"/>
                                    <w:jc w:val="center"/>
                                    <w:rPr>
                                      <w:sz w:val="20"/>
                                    </w:rPr>
                                  </w:pPr>
                                  <w:r>
                                    <w:rPr>
                                      <w:sz w:val="20"/>
                                    </w:rPr>
                                    <w:t>300</w:t>
                                  </w:r>
                                </w:p>
                              </w:txbxContent>
                            </wps:txbx>
                            <wps:bodyPr rot="0" vert="horz" wrap="square" lIns="91440" tIns="45720" rIns="91440" bIns="45720" anchor="t" anchorCtr="0" upright="1">
                              <a:noAutofit/>
                            </wps:bodyPr>
                          </wps:wsp>
                          <wps:wsp>
                            <wps:cNvPr id="495717799" name="Text Box 2"/>
                            <wps:cNvSpPr txBox="1">
                              <a:spLocks noChangeArrowheads="1"/>
                            </wps:cNvSpPr>
                            <wps:spPr bwMode="auto">
                              <a:xfrm>
                                <a:off x="-3087" y="6900"/>
                                <a:ext cx="7658"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5352" w14:textId="77777777" w:rsidR="00395484" w:rsidRDefault="00395484" w:rsidP="00395484">
                                  <w:pPr>
                                    <w:spacing w:after="0"/>
                                    <w:jc w:val="right"/>
                                    <w:rPr>
                                      <w:sz w:val="20"/>
                                    </w:rPr>
                                  </w:pPr>
                                  <w:r>
                                    <w:rPr>
                                      <w:sz w:val="20"/>
                                    </w:rPr>
                                    <w:t>$13/MWh</w:t>
                                  </w:r>
                                </w:p>
                              </w:txbxContent>
                            </wps:txbx>
                            <wps:bodyPr rot="0" vert="horz" wrap="square" lIns="91440" tIns="45720" rIns="91440" bIns="45720" anchor="t" anchorCtr="0" upright="1">
                              <a:noAutofit/>
                            </wps:bodyPr>
                          </wps:wsp>
                          <wps:wsp>
                            <wps:cNvPr id="2105105475" name="Text Box 2"/>
                            <wps:cNvSpPr txBox="1">
                              <a:spLocks noChangeArrowheads="1"/>
                            </wps:cNvSpPr>
                            <wps:spPr bwMode="auto">
                              <a:xfrm>
                                <a:off x="-3087" y="3344"/>
                                <a:ext cx="7658"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5378" w14:textId="77777777" w:rsidR="00395484" w:rsidRDefault="00395484" w:rsidP="00395484">
                                  <w:pPr>
                                    <w:spacing w:after="0"/>
                                    <w:jc w:val="right"/>
                                    <w:rPr>
                                      <w:sz w:val="20"/>
                                    </w:rPr>
                                  </w:pPr>
                                  <w:r>
                                    <w:rPr>
                                      <w:sz w:val="20"/>
                                    </w:rPr>
                                    <w:t>$26/MWh</w:t>
                                  </w:r>
                                </w:p>
                              </w:txbxContent>
                            </wps:txbx>
                            <wps:bodyPr rot="0" vert="horz" wrap="square" lIns="91440" tIns="45720" rIns="91440" bIns="45720" anchor="t" anchorCtr="0" upright="1">
                              <a:noAutofit/>
                            </wps:bodyPr>
                          </wps:wsp>
                          <wps:wsp>
                            <wps:cNvPr id="118299896" name="Text Box 2"/>
                            <wps:cNvSpPr txBox="1">
                              <a:spLocks noChangeArrowheads="1"/>
                            </wps:cNvSpPr>
                            <wps:spPr bwMode="auto">
                              <a:xfrm>
                                <a:off x="-3087" y="2286"/>
                                <a:ext cx="7657"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04E7" w14:textId="77777777" w:rsidR="00395484" w:rsidRDefault="00395484" w:rsidP="00395484">
                                  <w:pPr>
                                    <w:spacing w:after="0"/>
                                    <w:jc w:val="right"/>
                                    <w:rPr>
                                      <w:sz w:val="20"/>
                                    </w:rPr>
                                  </w:pPr>
                                  <w:r>
                                    <w:rPr>
                                      <w:sz w:val="20"/>
                                    </w:rPr>
                                    <w:t>$33/MWh</w:t>
                                  </w:r>
                                </w:p>
                              </w:txbxContent>
                            </wps:txbx>
                            <wps:bodyPr rot="0" vert="horz" wrap="square" lIns="91440" tIns="45720" rIns="91440" bIns="45720" anchor="t" anchorCtr="0" upright="1">
                              <a:noAutofit/>
                            </wps:bodyPr>
                          </wps:wsp>
                          <wps:wsp>
                            <wps:cNvPr id="1048476675" name="Text Box 2"/>
                            <wps:cNvSpPr txBox="1">
                              <a:spLocks noChangeArrowheads="1"/>
                            </wps:cNvSpPr>
                            <wps:spPr bwMode="auto">
                              <a:xfrm>
                                <a:off x="2836" y="0"/>
                                <a:ext cx="91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D162" w14:textId="77777777" w:rsidR="00395484" w:rsidRDefault="00395484" w:rsidP="00395484">
                                  <w:pPr>
                                    <w:spacing w:after="0"/>
                                    <w:rPr>
                                      <w:b/>
                                      <w:bCs/>
                                      <w:sz w:val="20"/>
                                    </w:rPr>
                                  </w:pPr>
                                  <w:r>
                                    <w:rPr>
                                      <w:b/>
                                      <w:bCs/>
                                      <w:sz w:val="20"/>
                                    </w:rPr>
                                    <w:t>Aggregation</w:t>
                                  </w:r>
                                </w:p>
                              </w:txbxContent>
                            </wps:txbx>
                            <wps:bodyPr rot="0" vert="horz" wrap="square" lIns="91440" tIns="45720" rIns="91440" bIns="45720" anchor="t" anchorCtr="0" upright="1">
                              <a:noAutofit/>
                            </wps:bodyPr>
                          </wps:wsp>
                        </wpg:grpSp>
                      </wpg:grpSp>
                    </wpg:wgp>
                  </a:graphicData>
                </a:graphic>
              </wp:inline>
            </w:drawing>
          </mc:Choice>
          <mc:Fallback>
            <w:pict>
              <v:group w14:anchorId="75557357" id="Group 177" o:spid="_x0000_s1201" style="width:361.65pt;height:108pt;mso-position-horizontal-relative:char;mso-position-vertical-relative:line" coordorigin="-3087" coordsize="4592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">
                <v:shape id="_x0000_s1202" type="#_x0000_t202" style="position:absolute;left:38269;top:1037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" filled="f" stroked="f">
                  <v:textbox>
                    <w:txbxContent>
                      <w:p w14:paraId="55C2A7FB" w14:textId="77777777" w:rsidR="00395484" w:rsidRDefault="00395484" w:rsidP="00395484">
                        <w:pPr>
                          <w:spacing w:after="0"/>
                          <w:jc w:val="center"/>
                          <w:rPr>
                            <w:sz w:val="16"/>
                            <w:szCs w:val="16"/>
                          </w:rPr>
                        </w:pPr>
                        <w:r>
                          <w:rPr>
                            <w:sz w:val="16"/>
                            <w:szCs w:val="16"/>
                          </w:rPr>
                          <w:t>MW</w:t>
                        </w:r>
                      </w:p>
                    </w:txbxContent>
                  </v:textbox>
                </v:shape>
                <v:group id="Group 6" o:spid="_x0000_s1203" style="position:absolute;left:-3087;width:43286;height:13716" coordorigin="-3087" coordsize="4328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">
                  <v:group id="Group 5" o:spid="_x0000_s1204" style="position:absolute;left:3937;top:2286;width:35464;height:9175" coordsize="35464,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">
                    <v:shape id="AutoShape 14" o:spid="_x0000_s1205" type="#_x0000_t32" style="position:absolute;left:103;top:5685;width:11348;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" strokecolor="#f79646 [3209]" strokeweight="1pt">
                      <v:shadow color="#205867 [1608]" opacity=".5" offset="1pt"/>
                    </v:shape>
                    <v:shape id="Straight Arrow Connector 1" o:spid="_x0000_s1206" type="#_x0000_t32" style="position:absolute;top:9169;width:35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" strokecolor="black [3213]" strokeweight="1pt">
                      <v:stroke endarrow="block" joinstyle="miter"/>
                    </v:shape>
                    <v:shape id="Straight Arrow Connector 2" o:spid="_x0000_s1207" type="#_x0000_t32" style="position:absolute;left:35;width:58;height:91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" strokecolor="black [3213]" strokeweight="1pt">
                      <v:stroke endarrow="block" joinstyle="miter"/>
                    </v:shape>
                    <v:shape id="AutoShape 52" o:spid="_x0000_s1208" type="#_x0000_t32" style="position:absolute;left:11461;top:2275;width:11348;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" strokecolor="#f79646 [3209]" strokeweight="1pt">
                      <v:shadow color="#205867 [1608]" opacity=".5" offset="1pt"/>
                    </v:shape>
                    <v:shape id="AutoShape 53" o:spid="_x0000_s1209" type="#_x0000_t32" style="position:absolute;left:22819;top:1132;width:11348;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" strokecolor="#f79646 [3209]" strokeweight="1pt">
                      <v:shadow color="#205867 [1608]" opacity=".5" offset="1pt"/>
                    </v:shape>
                  </v:group>
                  <v:group id="Group 4" o:spid="_x0000_s1210" style="position:absolute;left:-3087;width:43286;height:13716" coordorigin="-3087" coordsize="4328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">
                    <v:shape id="_x0000_s1211" type="#_x0000_t202" style="position:absolute;left:13377;top:11430;width:39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" filled="f" stroked="f">
                      <v:textbox>
                        <w:txbxContent>
                          <w:p w14:paraId="27B32CF7" w14:textId="77777777" w:rsidR="00395484" w:rsidRDefault="00395484" w:rsidP="00395484">
                            <w:pPr>
                              <w:spacing w:after="0"/>
                              <w:jc w:val="center"/>
                              <w:rPr>
                                <w:sz w:val="20"/>
                              </w:rPr>
                            </w:pPr>
                            <w:r>
                              <w:rPr>
                                <w:sz w:val="20"/>
                              </w:rPr>
                              <w:t>100</w:t>
                            </w:r>
                          </w:p>
                        </w:txbxContent>
                      </v:textbox>
                    </v:shape>
                    <v:shape id="_x0000_s1212" type="#_x0000_t202" style="position:absolute;left:24807;top:11430;width:39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" filled="f" stroked="f">
                      <v:textbox>
                        <w:txbxContent>
                          <w:p w14:paraId="1FD0BEF9" w14:textId="77777777" w:rsidR="00395484" w:rsidRDefault="00395484" w:rsidP="00395484">
                            <w:pPr>
                              <w:spacing w:after="0"/>
                              <w:jc w:val="center"/>
                              <w:rPr>
                                <w:sz w:val="20"/>
                              </w:rPr>
                            </w:pPr>
                            <w:r>
                              <w:rPr>
                                <w:sz w:val="20"/>
                              </w:rPr>
                              <w:t>200</w:t>
                            </w:r>
                          </w:p>
                        </w:txbxContent>
                      </v:textbox>
                    </v:shape>
                    <v:shape id="_x0000_s1213" type="#_x0000_t202" style="position:absolute;left:36237;top:11430;width:39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" filled="f" stroked="f">
                      <v:textbox>
                        <w:txbxContent>
                          <w:p w14:paraId="263B15A0" w14:textId="77777777" w:rsidR="00395484" w:rsidRDefault="00395484" w:rsidP="00395484">
                            <w:pPr>
                              <w:spacing w:after="0"/>
                              <w:jc w:val="center"/>
                              <w:rPr>
                                <w:sz w:val="20"/>
                              </w:rPr>
                            </w:pPr>
                            <w:r>
                              <w:rPr>
                                <w:sz w:val="20"/>
                              </w:rPr>
                              <w:t>300</w:t>
                            </w:r>
                          </w:p>
                        </w:txbxContent>
                      </v:textbox>
                    </v:shape>
                    <v:shape id="_x0000_s1214" type="#_x0000_t202" style="position:absolute;left:-3087;top:6900;width:76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" filled="f" stroked="f">
                      <v:textbox>
                        <w:txbxContent>
                          <w:p w14:paraId="43B95352" w14:textId="77777777" w:rsidR="00395484" w:rsidRDefault="00395484" w:rsidP="00395484">
                            <w:pPr>
                              <w:spacing w:after="0"/>
                              <w:jc w:val="right"/>
                              <w:rPr>
                                <w:sz w:val="20"/>
                              </w:rPr>
                            </w:pPr>
                            <w:r>
                              <w:rPr>
                                <w:sz w:val="20"/>
                              </w:rPr>
                              <w:t>$13/MWh</w:t>
                            </w:r>
                          </w:p>
                        </w:txbxContent>
                      </v:textbox>
                    </v:shape>
                    <v:shape id="_x0000_s1215" type="#_x0000_t202" style="position:absolute;left:-3087;top:3344;width:76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" filled="f" stroked="f">
                      <v:textbox>
                        <w:txbxContent>
                          <w:p w14:paraId="37BE5378" w14:textId="77777777" w:rsidR="00395484" w:rsidRDefault="00395484" w:rsidP="00395484">
                            <w:pPr>
                              <w:spacing w:after="0"/>
                              <w:jc w:val="right"/>
                              <w:rPr>
                                <w:sz w:val="20"/>
                              </w:rPr>
                            </w:pPr>
                            <w:r>
                              <w:rPr>
                                <w:sz w:val="20"/>
                              </w:rPr>
                              <w:t>$26/MWh</w:t>
                            </w:r>
                          </w:p>
                        </w:txbxContent>
                      </v:textbox>
                    </v:shape>
                    <v:shape id="_x0000_s1216" type="#_x0000_t202" style="position:absolute;left:-3087;top:2286;width:765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" filled="f" stroked="f">
                      <v:textbox>
                        <w:txbxContent>
                          <w:p w14:paraId="1B9504E7" w14:textId="77777777" w:rsidR="00395484" w:rsidRDefault="00395484" w:rsidP="00395484">
                            <w:pPr>
                              <w:spacing w:after="0"/>
                              <w:jc w:val="right"/>
                              <w:rPr>
                                <w:sz w:val="20"/>
                              </w:rPr>
                            </w:pPr>
                            <w:r>
                              <w:rPr>
                                <w:sz w:val="20"/>
                              </w:rPr>
                              <w:t>$33/MWh</w:t>
                            </w:r>
                          </w:p>
                        </w:txbxContent>
                      </v:textbox>
                    </v:shape>
                    <v:shape id="_x0000_s1217" type="#_x0000_t202" style="position:absolute;left:283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" filled="f" stroked="f">
                      <v:textbox>
                        <w:txbxContent>
                          <w:p w14:paraId="3EE9D162" w14:textId="77777777" w:rsidR="00395484" w:rsidRDefault="00395484" w:rsidP="00395484">
                            <w:pPr>
                              <w:spacing w:after="0"/>
                              <w:rPr>
                                <w:b/>
                                <w:bCs/>
                                <w:sz w:val="20"/>
                              </w:rPr>
                            </w:pPr>
                            <w:r>
                              <w:rPr>
                                <w:b/>
                                <w:bCs/>
                                <w:sz w:val="20"/>
                              </w:rPr>
                              <w:t>Aggregation</w:t>
                            </w:r>
                          </w:p>
                        </w:txbxContent>
                      </v:textbox>
                    </v:shape>
                  </v:group>
                </v:group>
                <w10:anchorlock/>
              </v:group>
            </w:pict>
          </mc:Fallback>
        </mc:AlternateContent>
      </w:r>
    </w:p>
    <w:p w14:paraId="045CD557" w14:textId="77777777" w:rsidR="00395484" w:rsidRDefault="00395484" w:rsidP="00395484">
      <w:pPr>
        <w:pStyle w:val="ListParagraph"/>
        <w:ind w:left="0"/>
      </w:pPr>
    </w:p>
    <w:p w14:paraId="78712E30" w14:textId="0EB4724C" w:rsidR="00395484" w:rsidRDefault="00A756A5" w:rsidP="00E679DC">
      <w:pPr>
        <w:pStyle w:val="Heading471"/>
      </w:pPr>
      <w:bookmarkStart w:id="12200" w:name="_Toc213772375"/>
      <w:r>
        <w:t>D.1</w:t>
      </w:r>
      <w:r w:rsidR="00240990">
        <w:t>3</w:t>
      </w:r>
      <w:r>
        <w:t>.</w:t>
      </w:r>
      <w:r w:rsidR="00240990">
        <w:t>7</w:t>
      </w:r>
      <w:r>
        <w:t>.2</w:t>
      </w:r>
      <w:r>
        <w:tab/>
      </w:r>
      <w:r w:rsidR="00395484">
        <w:t>Aggregation of Start-Up Costs</w:t>
      </w:r>
      <w:bookmarkEnd w:id="12200"/>
    </w:p>
    <w:p w14:paraId="2905E17F" w14:textId="77777777" w:rsidR="00395484" w:rsidRDefault="00395484" w:rsidP="00395484">
      <w:pPr>
        <w:spacing w:before="120" w:line="300" w:lineRule="auto"/>
      </w:pPr>
      <w:bookmarkStart w:id="12201" w:name="_Hlk179814947"/>
      <w:r>
        <w:t>The aggregated start-up cost is the sum of start-up costs for each asset in the aggregation that is incurred simultaneously for the entire commitment period.</w:t>
      </w:r>
    </w:p>
    <w:p w14:paraId="61A89AEE" w14:textId="3B918D4D" w:rsidR="00395484" w:rsidRDefault="00A756A5" w:rsidP="00E679DC">
      <w:pPr>
        <w:pStyle w:val="Heading471"/>
      </w:pPr>
      <w:bookmarkStart w:id="12202" w:name="_Toc213772376"/>
      <w:bookmarkEnd w:id="12201"/>
      <w:r>
        <w:t>D.1</w:t>
      </w:r>
      <w:r w:rsidR="00240990">
        <w:t>3</w:t>
      </w:r>
      <w:r>
        <w:t>.7.3</w:t>
      </w:r>
      <w:r>
        <w:tab/>
      </w:r>
      <w:r w:rsidR="00395484">
        <w:t>Aggregation of No-Load Costs</w:t>
      </w:r>
      <w:bookmarkEnd w:id="12202"/>
    </w:p>
    <w:p w14:paraId="1C4C757A" w14:textId="77777777" w:rsidR="00395484" w:rsidRDefault="00395484" w:rsidP="00395484">
      <w:pPr>
        <w:spacing w:before="120" w:line="300" w:lineRule="auto"/>
      </w:pPr>
      <w:r>
        <w:t>The aggregated no-load cost is the sum of no-load costs for each asset in the aggregation that is incurred simultaneously for the entire commitment period.</w:t>
      </w:r>
    </w:p>
    <w:p w14:paraId="3C439B11" w14:textId="59E68595" w:rsidR="00395484" w:rsidRDefault="00A756A5" w:rsidP="00E679DC">
      <w:pPr>
        <w:pStyle w:val="Heading471"/>
      </w:pPr>
      <w:bookmarkStart w:id="12203" w:name="_Toc213772377"/>
      <w:r>
        <w:t>D.1</w:t>
      </w:r>
      <w:r w:rsidR="00240990">
        <w:t>3</w:t>
      </w:r>
      <w:r>
        <w:t>.7.4</w:t>
      </w:r>
      <w:r>
        <w:tab/>
      </w:r>
      <w:r w:rsidR="00395484">
        <w:t>Aggregation of Transition State Costs</w:t>
      </w:r>
      <w:bookmarkEnd w:id="12203"/>
    </w:p>
    <w:p w14:paraId="08A0BB8A" w14:textId="77777777" w:rsidR="00395484" w:rsidRDefault="00395484" w:rsidP="00395484">
      <w:pPr>
        <w:spacing w:before="120" w:line="300" w:lineRule="auto"/>
      </w:pPr>
      <w:r>
        <w:t>The aggregated transition cost, if applicable, is the sum of transition costs for each asset in the aggregation that is incurred simultaneously for the entire commitment period.</w:t>
      </w:r>
    </w:p>
    <w:p w14:paraId="697B7D94" w14:textId="77777777" w:rsidR="0053682F" w:rsidRDefault="0053682F" w:rsidP="00E24D48"/>
    <w:p w14:paraId="51DFB480" w14:textId="7B9F9152" w:rsidR="00CF085E" w:rsidRPr="009824C2" w:rsidRDefault="005D0BAD" w:rsidP="00E679DC">
      <w:pPr>
        <w:pStyle w:val="Heading471"/>
      </w:pPr>
      <w:bookmarkStart w:id="12204" w:name="_Toc213772378"/>
      <w:r w:rsidRPr="009824C2">
        <w:t>D.1</w:t>
      </w:r>
      <w:r w:rsidR="00240990">
        <w:t>4</w:t>
      </w:r>
      <w:r w:rsidRPr="009824C2">
        <w:tab/>
      </w:r>
      <w:r w:rsidR="00CF085E" w:rsidRPr="009824C2">
        <w:t>Energy Market Opportunity Cost Guidelines</w:t>
      </w:r>
      <w:bookmarkEnd w:id="12204"/>
    </w:p>
    <w:p w14:paraId="0E1C7509" w14:textId="33970215" w:rsidR="00CF085E" w:rsidRDefault="00670F75" w:rsidP="00E15157">
      <w:pPr>
        <w:pStyle w:val="3Appx3"/>
        <w:numPr>
          <w:ilvl w:val="0"/>
          <w:numId w:val="0"/>
        </w:numPr>
      </w:pPr>
      <w:bookmarkStart w:id="12205" w:name="_Toc131493532"/>
      <w:bookmarkStart w:id="12206" w:name="_Toc213772379"/>
      <w:r>
        <w:t>D.1</w:t>
      </w:r>
      <w:r w:rsidR="00240990">
        <w:t>4</w:t>
      </w:r>
      <w:r>
        <w:t>.1</w:t>
      </w:r>
      <w:r>
        <w:tab/>
      </w:r>
      <w:r w:rsidR="00CF085E">
        <w:t>Basis for Opportunity Cost to be Included in Mitigated Offers</w:t>
      </w:r>
      <w:bookmarkEnd w:id="12205"/>
      <w:bookmarkEnd w:id="12206"/>
    </w:p>
    <w:p w14:paraId="74C28846" w14:textId="1AD54677" w:rsidR="00CF085E" w:rsidRDefault="00CF085E" w:rsidP="00CF085E">
      <w:pPr>
        <w:pStyle w:val="ParaText"/>
      </w:pPr>
      <w:r>
        <w:t xml:space="preserve">Opportunity Cost may be a component of mitigated offers under certain circumstances.  </w:t>
      </w:r>
      <w:r w:rsidR="007D3801">
        <w:t xml:space="preserve">The </w:t>
      </w:r>
      <w:r>
        <w:t>reasons for application of Opportunity Costs a</w:t>
      </w:r>
      <w:r w:rsidR="007D3801">
        <w:t>re</w:t>
      </w:r>
      <w:r>
        <w:t xml:space="preserve"> contained in this section.</w:t>
      </w:r>
    </w:p>
    <w:p w14:paraId="65F2D37F" w14:textId="02FCF8E2" w:rsidR="00CF085E" w:rsidRDefault="00B10151" w:rsidP="00E679DC">
      <w:pPr>
        <w:pStyle w:val="Heading471"/>
      </w:pPr>
      <w:bookmarkStart w:id="12207" w:name="_Toc131493533"/>
      <w:bookmarkStart w:id="12208" w:name="_Toc213772380"/>
      <w:r>
        <w:t>D.1</w:t>
      </w:r>
      <w:r w:rsidR="00240990">
        <w:t>4</w:t>
      </w:r>
      <w:r>
        <w:t>.</w:t>
      </w:r>
      <w:r w:rsidR="00775BB3">
        <w:t>1.1</w:t>
      </w:r>
      <w:r>
        <w:tab/>
      </w:r>
      <w:r w:rsidR="00CF085E">
        <w:t>Environmental Run-hour Restriction</w:t>
      </w:r>
      <w:bookmarkEnd w:id="12207"/>
      <w:bookmarkEnd w:id="12208"/>
    </w:p>
    <w:p w14:paraId="2FA8A8E6" w14:textId="0BCD3B1D" w:rsidR="00CF085E" w:rsidRDefault="00CF085E" w:rsidP="00CF085E">
      <w:pPr>
        <w:spacing w:line="300" w:lineRule="auto"/>
      </w:pPr>
      <w:r>
        <w:t>Opportunity costs</w:t>
      </w:r>
      <w:r w:rsidR="007D7455">
        <w:t xml:space="preserve"> may be</w:t>
      </w:r>
      <w:r>
        <w:t xml:space="preserve"> associated with an externally imposed environmental run-hour restriction on a generation unit.  Examples would include a limit on emissions for the unit imposed by a regulatory agency or legislation, a direct run hour restriction in the operating permit, or a heat input limitation defined by a regulatory decision or operating permit.  Environmental run-hour restrictions must have suitable supporting documentation. </w:t>
      </w:r>
    </w:p>
    <w:p w14:paraId="74643965" w14:textId="3DE4ABAD" w:rsidR="00CF085E" w:rsidRDefault="00B10151" w:rsidP="00E679DC">
      <w:pPr>
        <w:pStyle w:val="Heading471"/>
      </w:pPr>
      <w:bookmarkStart w:id="12209" w:name="_Toc131493534"/>
      <w:bookmarkStart w:id="12210" w:name="_Toc213772381"/>
      <w:r>
        <w:t>D.1</w:t>
      </w:r>
      <w:r w:rsidR="00240990">
        <w:t>4</w:t>
      </w:r>
      <w:r>
        <w:t>.</w:t>
      </w:r>
      <w:r w:rsidR="00775BB3">
        <w:t>1.2</w:t>
      </w:r>
      <w:r>
        <w:tab/>
      </w:r>
      <w:r w:rsidR="00CF085E">
        <w:t>Physical Equipment Limitations</w:t>
      </w:r>
      <w:bookmarkEnd w:id="12209"/>
      <w:bookmarkEnd w:id="12210"/>
    </w:p>
    <w:p w14:paraId="43FAE096" w14:textId="4CE122A6" w:rsidR="00CF085E" w:rsidRDefault="00CF085E" w:rsidP="00CF085E">
      <w:pPr>
        <w:spacing w:line="300" w:lineRule="auto"/>
      </w:pPr>
      <w:r>
        <w:t xml:space="preserve">Physical equipment limitations that cause the unit to experience a restriction in the number of starts or run hours </w:t>
      </w:r>
      <w:r w:rsidR="00F54257">
        <w:t xml:space="preserve">may </w:t>
      </w:r>
      <w:r>
        <w:t>be eligible for opportunity cost.  Physical equipment limitations must have support</w:t>
      </w:r>
      <w:r w:rsidR="00282FF6">
        <w:t>ing</w:t>
      </w:r>
      <w:r>
        <w:t xml:space="preserve"> evidence submitted by the </w:t>
      </w:r>
      <w:r w:rsidR="00D65229">
        <w:t>Market Participant</w:t>
      </w:r>
      <w:r>
        <w:t xml:space="preserve">. Documentation such as an OEM recommendation or bulletin </w:t>
      </w:r>
      <w:r w:rsidDel="0046151A">
        <w:t>and/or</w:t>
      </w:r>
      <w:r>
        <w:t xml:space="preserve"> insurance carrier restrictions </w:t>
      </w:r>
      <w:r w:rsidR="00E22852">
        <w:t>may</w:t>
      </w:r>
      <w:r w:rsidR="00D65229">
        <w:t xml:space="preserve"> </w:t>
      </w:r>
      <w:r>
        <w:t xml:space="preserve">meet this criterion. </w:t>
      </w:r>
    </w:p>
    <w:p w14:paraId="0A86AEF1" w14:textId="73FB2261" w:rsidR="00CF085E" w:rsidRDefault="00B10151" w:rsidP="00E679DC">
      <w:pPr>
        <w:pStyle w:val="Heading471"/>
      </w:pPr>
      <w:bookmarkStart w:id="12211" w:name="_Toc131493535"/>
      <w:bookmarkStart w:id="12212" w:name="_Toc213772382"/>
      <w:r>
        <w:t>D.1</w:t>
      </w:r>
      <w:r w:rsidR="00240990">
        <w:t>4</w:t>
      </w:r>
      <w:r>
        <w:t>.</w:t>
      </w:r>
      <w:r w:rsidR="00775BB3">
        <w:t>1.3</w:t>
      </w:r>
      <w:r>
        <w:tab/>
      </w:r>
      <w:r w:rsidR="00CF085E">
        <w:t>Non-Regulatory Opportunity Cost: Fuel Limitations</w:t>
      </w:r>
      <w:bookmarkEnd w:id="12211"/>
      <w:bookmarkEnd w:id="12212"/>
    </w:p>
    <w:p w14:paraId="6BF1FBDC" w14:textId="0462C88C" w:rsidR="00CF085E" w:rsidRDefault="00CF085E" w:rsidP="00CF085E">
      <w:pPr>
        <w:spacing w:line="300" w:lineRule="auto"/>
      </w:pPr>
      <w:r>
        <w:t xml:space="preserve">Fuel Limitations </w:t>
      </w:r>
      <w:r w:rsidR="00F54257">
        <w:t xml:space="preserve">may be </w:t>
      </w:r>
      <w:r>
        <w:t>eligible for Non-Regulatory Opportunity Costs for a fuel supply limitation or transportation limitation, for up to one</w:t>
      </w:r>
      <w:r w:rsidR="00F54257">
        <w:t xml:space="preserve"> (1)</w:t>
      </w:r>
      <w:r>
        <w:t xml:space="preserve"> year, resulting from (a) an event of force majeure, or (b) other circumstances verified by the Market Monitor.</w:t>
      </w:r>
    </w:p>
    <w:p w14:paraId="3D581C7C" w14:textId="77777777" w:rsidR="00CF085E" w:rsidRDefault="00CF085E" w:rsidP="00DA3CE7">
      <w:pPr>
        <w:pStyle w:val="ListParagraph"/>
        <w:numPr>
          <w:ilvl w:val="0"/>
          <w:numId w:val="341"/>
        </w:numPr>
        <w:spacing w:line="300" w:lineRule="auto"/>
      </w:pPr>
      <w:r>
        <w:t>Force Majeure is defined as: Any cause beyond the control of the affected Interconnection Party or Construction Party, including but not restricted to, acts of God, flood, drought, earthquake, storm, fire, lightning, epidemic, war, riot, civil disturbance or disobedience, labor dispute, labor or material shortage, sabotage, acts of public enemy, explosions, orders, regulations or restrictions imposed by governmental, military, or lawfully established civilian authorities, which, in any of the foregoing cases, by exercise of due diligence such party could not reasonably have been expected to avoid, and which, by the exercise of due diligence, it has been unable to overcome.  Force Majeure does not include (i) a failure of performance that is due to an affected party’s own negligence or intentional wrongdoing; (ii) any removable or remediable causes (other than settlement of a strike or labor dispute) which an affected party fails to remove or remedy within a reasonable time; or (iii) economic hardship of an affected party.</w:t>
      </w:r>
    </w:p>
    <w:p w14:paraId="78499ABC" w14:textId="77777777" w:rsidR="00CF085E" w:rsidRDefault="00CF085E" w:rsidP="00DA3CE7">
      <w:pPr>
        <w:pStyle w:val="ListParagraph"/>
        <w:numPr>
          <w:ilvl w:val="0"/>
          <w:numId w:val="341"/>
        </w:numPr>
        <w:spacing w:line="300" w:lineRule="auto"/>
        <w:rPr>
          <w:szCs w:val="24"/>
        </w:rPr>
      </w:pPr>
      <w:r>
        <w:t xml:space="preserve">Fuel Limitations resulting from other circumstances may include, but are not limited to, abnormal fuel supply or transportation limitations.  These other circumstances need not be unforeseeable.  They may include unusual market conditions and provisions considered in but not rising to the level of force majeure.  Market Participants must provide evidence to the Market Monitor supporting a request for application of this alternative.  The Market Monitor will determine whether this provision applies case-by-case and such determination will be made in a non-unduly discriminatory manner. The Market Monitor may periodically review the continuing applicability of its determination, in light of the purpose for this provision, which is to aid in the conservation of scarce fuel resources and may revoke its application if that goal is not being achieved. </w:t>
      </w:r>
    </w:p>
    <w:p w14:paraId="3AC20865" w14:textId="5CB44626" w:rsidR="00CF085E" w:rsidRDefault="00775BB3" w:rsidP="00E15157">
      <w:pPr>
        <w:pStyle w:val="3Appx3"/>
        <w:numPr>
          <w:ilvl w:val="0"/>
          <w:numId w:val="0"/>
        </w:numPr>
      </w:pPr>
      <w:bookmarkStart w:id="12213" w:name="_Toc131493536"/>
      <w:bookmarkStart w:id="12214" w:name="_Toc213772383"/>
      <w:r>
        <w:t>D.1</w:t>
      </w:r>
      <w:r w:rsidR="00767011">
        <w:t>4</w:t>
      </w:r>
      <w:r>
        <w:t>.2</w:t>
      </w:r>
      <w:r>
        <w:tab/>
      </w:r>
      <w:r w:rsidR="00CF085E">
        <w:t>Calculation Method</w:t>
      </w:r>
      <w:bookmarkEnd w:id="12213"/>
      <w:bookmarkEnd w:id="12214"/>
    </w:p>
    <w:p w14:paraId="40C8EC53" w14:textId="493705FA" w:rsidR="00CF085E" w:rsidRDefault="00CF085E" w:rsidP="00CF085E">
      <w:pPr>
        <w:spacing w:line="300" w:lineRule="auto"/>
      </w:pPr>
      <w:r>
        <w:t xml:space="preserve">Market Participants may opt to follow the method proposed here, or they may develop alternative methods specific to their Resources and submit those methods to the Market Monitor for approval.  Requests for inclusion of opportunity costs in offers using other methods not defined in the Mitigated Offer Development Guidelines should be initially submitted to the Market Monitor for evaluation under the Mitigated Offer </w:t>
      </w:r>
      <w:r w:rsidR="009C5FAF">
        <w:t xml:space="preserve">Development </w:t>
      </w:r>
      <w:r>
        <w:t xml:space="preserve">Methodology Approval Process.  </w:t>
      </w:r>
    </w:p>
    <w:p w14:paraId="771EF9A0" w14:textId="77777777" w:rsidR="00CF085E" w:rsidRDefault="00CF085E" w:rsidP="00CF085E">
      <w:pPr>
        <w:spacing w:line="300" w:lineRule="auto"/>
      </w:pPr>
      <w:r>
        <w:t>Opportunity costs are a distinct component of the mitigated offer.   However, this value may not exceed the computed value.</w:t>
      </w:r>
    </w:p>
    <w:p w14:paraId="7A5B6848" w14:textId="0AF40EDA" w:rsidR="00CF085E" w:rsidRDefault="006236E0" w:rsidP="00E679DC">
      <w:pPr>
        <w:pStyle w:val="Heading471"/>
      </w:pPr>
      <w:bookmarkStart w:id="12215" w:name="_Toc131493537"/>
      <w:bookmarkStart w:id="12216" w:name="_Toc213772384"/>
      <w:r>
        <w:t>D.1</w:t>
      </w:r>
      <w:r w:rsidR="00767011">
        <w:t>4</w:t>
      </w:r>
      <w:r>
        <w:t>.1</w:t>
      </w:r>
      <w:r>
        <w:tab/>
      </w:r>
      <w:r w:rsidR="00CF085E">
        <w:t>Overview of the Opportunity Cost Calculation</w:t>
      </w:r>
      <w:bookmarkEnd w:id="12215"/>
      <w:bookmarkEnd w:id="12216"/>
    </w:p>
    <w:p w14:paraId="1FBC876C" w14:textId="77777777" w:rsidR="00CF085E" w:rsidRDefault="00CF085E" w:rsidP="00CF085E">
      <w:pPr>
        <w:spacing w:line="300" w:lineRule="auto"/>
      </w:pPr>
      <w:r>
        <w:t>When added to the marginal cost of production in the Energy Offer Curve, the opportunity cost raises the offer to a level where the market dispatches the Resource up to, but not in excess of the run-time restriction.   This is accomplished by</w:t>
      </w:r>
    </w:p>
    <w:p w14:paraId="1EA3F80D" w14:textId="77777777" w:rsidR="00CF085E" w:rsidRDefault="00CF085E" w:rsidP="00DA3CE7">
      <w:pPr>
        <w:pStyle w:val="ListParagraph"/>
        <w:numPr>
          <w:ilvl w:val="0"/>
          <w:numId w:val="342"/>
        </w:numPr>
        <w:spacing w:after="200" w:line="300" w:lineRule="auto"/>
        <w:jc w:val="left"/>
        <w:rPr>
          <w:szCs w:val="24"/>
        </w:rPr>
      </w:pPr>
      <w:r>
        <w:rPr>
          <w:szCs w:val="24"/>
        </w:rPr>
        <w:t>Forecasting LMPs and production costs for the Resource,</w:t>
      </w:r>
    </w:p>
    <w:p w14:paraId="136FDEF2" w14:textId="77777777" w:rsidR="00CF085E" w:rsidRDefault="00CF085E" w:rsidP="00DA3CE7">
      <w:pPr>
        <w:pStyle w:val="ListParagraph"/>
        <w:numPr>
          <w:ilvl w:val="0"/>
          <w:numId w:val="342"/>
        </w:numPr>
        <w:spacing w:after="0" w:line="300" w:lineRule="auto"/>
        <w:jc w:val="left"/>
        <w:rPr>
          <w:szCs w:val="24"/>
        </w:rPr>
      </w:pPr>
      <w:r>
        <w:rPr>
          <w:szCs w:val="24"/>
        </w:rPr>
        <w:t>Determining the market value of each potential run hour, revenue minus costs,</w:t>
      </w:r>
    </w:p>
    <w:p w14:paraId="45C8A3AF" w14:textId="77777777" w:rsidR="00CF085E" w:rsidRDefault="00CF085E" w:rsidP="00DA3CE7">
      <w:pPr>
        <w:pStyle w:val="ListParagraph"/>
        <w:numPr>
          <w:ilvl w:val="0"/>
          <w:numId w:val="342"/>
        </w:numPr>
        <w:spacing w:after="0" w:line="300" w:lineRule="auto"/>
        <w:jc w:val="left"/>
        <w:rPr>
          <w:szCs w:val="24"/>
        </w:rPr>
      </w:pPr>
      <w:r>
        <w:rPr>
          <w:szCs w:val="24"/>
        </w:rPr>
        <w:t>Ranking potential run hours (or blocks of run hours) during the restricted time frame by market value,</w:t>
      </w:r>
    </w:p>
    <w:p w14:paraId="3D3C4C23" w14:textId="77777777" w:rsidR="00CF085E" w:rsidRDefault="00CF085E" w:rsidP="00DA3CE7">
      <w:pPr>
        <w:pStyle w:val="ListParagraph"/>
        <w:numPr>
          <w:ilvl w:val="0"/>
          <w:numId w:val="342"/>
        </w:numPr>
        <w:spacing w:after="0" w:line="300" w:lineRule="auto"/>
        <w:jc w:val="left"/>
        <w:rPr>
          <w:szCs w:val="24"/>
        </w:rPr>
      </w:pPr>
      <w:r>
        <w:rPr>
          <w:szCs w:val="24"/>
        </w:rPr>
        <w:t>Identifying the opportunity cost adder as the market value of the lowest ranked hour (or block of hours),</w:t>
      </w:r>
    </w:p>
    <w:p w14:paraId="4D41B334" w14:textId="77777777" w:rsidR="00CF085E" w:rsidRDefault="00CF085E" w:rsidP="00DA3CE7">
      <w:pPr>
        <w:pStyle w:val="ListParagraph"/>
        <w:numPr>
          <w:ilvl w:val="0"/>
          <w:numId w:val="342"/>
        </w:numPr>
        <w:spacing w:after="0" w:line="300" w:lineRule="auto"/>
        <w:jc w:val="left"/>
        <w:rPr>
          <w:szCs w:val="24"/>
        </w:rPr>
      </w:pPr>
      <w:r>
        <w:rPr>
          <w:szCs w:val="24"/>
        </w:rPr>
        <w:t>Adding the opportunity cost adder to the Mitigated Energy Offer Curve.</w:t>
      </w:r>
    </w:p>
    <w:p w14:paraId="6C84BF95" w14:textId="77777777" w:rsidR="00CF085E" w:rsidRDefault="00CF085E" w:rsidP="00CF085E">
      <w:pPr>
        <w:spacing w:line="300" w:lineRule="auto"/>
        <w:ind w:left="720" w:firstLine="720"/>
      </w:pPr>
    </w:p>
    <w:p w14:paraId="3BB6B456" w14:textId="55E85E14" w:rsidR="00CF085E" w:rsidRDefault="00CF085E" w:rsidP="00CF085E">
      <w:pPr>
        <w:spacing w:line="300" w:lineRule="auto"/>
      </w:pPr>
      <w:r>
        <w:t xml:space="preserve">Opportunity cost calculations are based on daily, monthly, or annual run-time restrictions as applicable to the Resource.  The run-time restriction parameters and supporting documentation must be submitted to the Market Monitor pursuant to the Mitigated Offer </w:t>
      </w:r>
      <w:r w:rsidR="001A581B">
        <w:t xml:space="preserve">Development </w:t>
      </w:r>
      <w:r>
        <w:t>Methodology Approval Process (Section D1.5).</w:t>
      </w:r>
    </w:p>
    <w:p w14:paraId="6B310ECC" w14:textId="4FEA7C03" w:rsidR="00CF085E" w:rsidRDefault="006236E0" w:rsidP="00E679DC">
      <w:pPr>
        <w:pStyle w:val="Heading471"/>
      </w:pPr>
      <w:bookmarkStart w:id="12217" w:name="_Toc131493538"/>
      <w:bookmarkStart w:id="12218" w:name="_Toc213772385"/>
      <w:r>
        <w:t>D.1</w:t>
      </w:r>
      <w:r w:rsidR="00767011">
        <w:t>4</w:t>
      </w:r>
      <w:r>
        <w:t>.2</w:t>
      </w:r>
      <w:r>
        <w:tab/>
      </w:r>
      <w:r w:rsidR="00CF085E">
        <w:t>Daily Opportunity Cost Calculation</w:t>
      </w:r>
      <w:bookmarkEnd w:id="12217"/>
      <w:bookmarkEnd w:id="12218"/>
    </w:p>
    <w:p w14:paraId="541193DB" w14:textId="71A46F7B" w:rsidR="00CF085E" w:rsidRDefault="00CF085E" w:rsidP="00CF085E">
      <w:pPr>
        <w:pStyle w:val="Normal120"/>
      </w:pPr>
      <w:r>
        <w:t>The daily opportunity cost calculation is used for Resources with a daily run-time restriction and a minimum run time that does not exceed one hour.  This would include pumped storage hydro Resources with externally imposed environmental restrictions on daily water levels.  The daily calculation would typically be performed on operating day minus two (OD – 2) for the</w:t>
      </w:r>
      <w:r w:rsidR="00966B55">
        <w:t xml:space="preserve"> Day-Ahead </w:t>
      </w:r>
      <w:r>
        <w:t>Market to run on OD – 1 for the operating day.</w:t>
      </w:r>
      <w:bookmarkStart w:id="12219" w:name="_Toc378773965"/>
      <w:bookmarkStart w:id="12220" w:name="_Toc378774787"/>
      <w:bookmarkStart w:id="12221" w:name="_Toc378844313"/>
      <w:bookmarkStart w:id="12222" w:name="_Toc378945327"/>
      <w:bookmarkStart w:id="12223" w:name="_Toc379281319"/>
      <w:bookmarkStart w:id="12224" w:name="_Toc379282141"/>
      <w:bookmarkStart w:id="12225" w:name="_Toc379282963"/>
      <w:bookmarkStart w:id="12226" w:name="_Toc379443396"/>
      <w:bookmarkStart w:id="12227" w:name="_Toc379444158"/>
      <w:bookmarkStart w:id="12228" w:name="_Toc381001127"/>
      <w:bookmarkStart w:id="12229" w:name="_Toc381090463"/>
      <w:bookmarkStart w:id="12230" w:name="_Toc383441095"/>
      <w:bookmarkStart w:id="12231" w:name="_Toc383686101"/>
      <w:bookmarkStart w:id="12232" w:name="_Toc383686877"/>
      <w:bookmarkStart w:id="12233" w:name="_Toc384134841"/>
      <w:bookmarkStart w:id="12234" w:name="_Toc387734917"/>
      <w:bookmarkStart w:id="12235" w:name="_Toc389638240"/>
      <w:bookmarkStart w:id="12236" w:name="_Toc397008637"/>
      <w:bookmarkStart w:id="12237" w:name="_Toc397009413"/>
      <w:bookmarkStart w:id="12238" w:name="_Toc397067453"/>
      <w:bookmarkStart w:id="12239" w:name="_Toc403476940"/>
      <w:bookmarkStart w:id="12240" w:name="_Toc403479564"/>
      <w:bookmarkStart w:id="12241" w:name="_Toc403480868"/>
      <w:bookmarkStart w:id="12242" w:name="_Toc403483893"/>
      <w:bookmarkStart w:id="12243" w:name="_Toc403484876"/>
      <w:bookmarkStart w:id="12244" w:name="_Toc408500565"/>
      <w:bookmarkStart w:id="12245" w:name="_Toc408557504"/>
      <w:bookmarkStart w:id="12246" w:name="_Toc411519950"/>
      <w:bookmarkStart w:id="12247" w:name="_Toc412190308"/>
      <w:bookmarkStart w:id="12248" w:name="_Toc412816092"/>
      <w:bookmarkStart w:id="12249" w:name="_Toc415747711"/>
      <w:bookmarkStart w:id="12250" w:name="_Toc418586367"/>
      <w:bookmarkStart w:id="12251" w:name="_Toc418591318"/>
      <w:bookmarkStart w:id="12252" w:name="_Toc418592097"/>
      <w:bookmarkStart w:id="12253" w:name="_Toc418592876"/>
      <w:bookmarkStart w:id="12254" w:name="_Toc418596584"/>
      <w:bookmarkStart w:id="12255" w:name="_Toc418597363"/>
      <w:bookmarkStart w:id="12256" w:name="_Toc419705310"/>
      <w:bookmarkStart w:id="12257" w:name="_Toc420932914"/>
      <w:bookmarkStart w:id="12258" w:name="_Toc420933681"/>
      <w:bookmarkStart w:id="12259" w:name="_Toc420934448"/>
      <w:bookmarkStart w:id="12260" w:name="_Toc420942016"/>
      <w:bookmarkStart w:id="12261" w:name="_Toc424543286"/>
      <w:bookmarkStart w:id="12262" w:name="_Toc424547763"/>
      <w:bookmarkStart w:id="12263" w:name="_Toc424562250"/>
      <w:bookmarkStart w:id="12264" w:name="_Toc425837221"/>
      <w:bookmarkStart w:id="12265" w:name="_Toc425838003"/>
      <w:bookmarkStart w:id="12266" w:name="_Toc425838783"/>
      <w:bookmarkStart w:id="12267" w:name="_Toc425839563"/>
      <w:bookmarkStart w:id="12268" w:name="_Toc425840344"/>
      <w:bookmarkStart w:id="12269" w:name="_Toc425841123"/>
      <w:bookmarkStart w:id="12270" w:name="_Toc425841902"/>
      <w:bookmarkStart w:id="12271" w:name="_Toc425864760"/>
      <w:bookmarkStart w:id="12272" w:name="_Toc425865538"/>
      <w:bookmarkStart w:id="12273" w:name="_Toc425942748"/>
      <w:bookmarkStart w:id="12274" w:name="_Toc425943662"/>
      <w:bookmarkStart w:id="12275" w:name="_Toc430847843"/>
      <w:bookmarkStart w:id="12276" w:name="_Toc431501331"/>
      <w:bookmarkStart w:id="12277" w:name="_Toc431619507"/>
      <w:bookmarkStart w:id="12278" w:name="_Toc431620279"/>
      <w:bookmarkStart w:id="12279" w:name="_Toc432156874"/>
      <w:bookmarkStart w:id="12280" w:name="_Toc432166092"/>
      <w:bookmarkStart w:id="12281" w:name="_Toc432166947"/>
      <w:bookmarkStart w:id="12282" w:name="_Toc432167805"/>
      <w:bookmarkStart w:id="12283" w:name="_Toc432168621"/>
      <w:bookmarkStart w:id="12284" w:name="_Toc435192131"/>
      <w:bookmarkStart w:id="12285" w:name="_Toc437590728"/>
      <w:bookmarkStart w:id="12286" w:name="_Toc443913477"/>
      <w:bookmarkStart w:id="12287" w:name="_Toc444090877"/>
      <w:bookmarkStart w:id="12288" w:name="_Toc381001128"/>
      <w:bookmarkStart w:id="12289" w:name="_Toc381090464"/>
      <w:bookmarkStart w:id="12290" w:name="_Toc383441096"/>
      <w:bookmarkStart w:id="12291" w:name="_Toc383686102"/>
      <w:bookmarkStart w:id="12292" w:name="_Toc383686878"/>
      <w:bookmarkStart w:id="12293" w:name="_Toc384134842"/>
      <w:bookmarkStart w:id="12294" w:name="_Toc387734918"/>
      <w:bookmarkStart w:id="12295" w:name="_Toc389638241"/>
      <w:bookmarkStart w:id="12296" w:name="_Toc397008638"/>
      <w:bookmarkStart w:id="12297" w:name="_Toc397009414"/>
      <w:bookmarkStart w:id="12298" w:name="_Toc397067454"/>
      <w:bookmarkStart w:id="12299" w:name="_Toc403476941"/>
      <w:bookmarkStart w:id="12300" w:name="_Toc403479565"/>
      <w:bookmarkStart w:id="12301" w:name="_Toc403480869"/>
      <w:bookmarkStart w:id="12302" w:name="_Toc403483894"/>
      <w:bookmarkStart w:id="12303" w:name="_Toc403484877"/>
      <w:bookmarkStart w:id="12304" w:name="_Toc408500566"/>
      <w:bookmarkStart w:id="12305" w:name="_Toc408557505"/>
      <w:bookmarkStart w:id="12306" w:name="_Toc411519951"/>
      <w:bookmarkStart w:id="12307" w:name="_Toc412190309"/>
      <w:bookmarkStart w:id="12308" w:name="_Toc412816093"/>
      <w:bookmarkStart w:id="12309" w:name="_Toc415747712"/>
      <w:bookmarkStart w:id="12310" w:name="_Toc418586368"/>
      <w:bookmarkStart w:id="12311" w:name="_Toc418591319"/>
      <w:bookmarkStart w:id="12312" w:name="_Toc418592098"/>
      <w:bookmarkStart w:id="12313" w:name="_Toc418592877"/>
      <w:bookmarkStart w:id="12314" w:name="_Toc418596585"/>
      <w:bookmarkStart w:id="12315" w:name="_Toc418597364"/>
      <w:bookmarkStart w:id="12316" w:name="_Toc419705311"/>
      <w:bookmarkStart w:id="12317" w:name="_Toc420932915"/>
      <w:bookmarkStart w:id="12318" w:name="_Toc420933682"/>
      <w:bookmarkStart w:id="12319" w:name="_Toc420934449"/>
      <w:bookmarkStart w:id="12320" w:name="_Toc420942017"/>
      <w:bookmarkStart w:id="12321" w:name="_Toc424543287"/>
      <w:bookmarkStart w:id="12322" w:name="_Toc424547764"/>
      <w:bookmarkStart w:id="12323" w:name="_Toc424562251"/>
      <w:bookmarkStart w:id="12324" w:name="_Toc425837222"/>
      <w:bookmarkStart w:id="12325" w:name="_Toc425838004"/>
      <w:bookmarkStart w:id="12326" w:name="_Toc425838784"/>
      <w:bookmarkStart w:id="12327" w:name="_Toc425839564"/>
      <w:bookmarkStart w:id="12328" w:name="_Toc425840345"/>
      <w:bookmarkStart w:id="12329" w:name="_Toc425841124"/>
      <w:bookmarkStart w:id="12330" w:name="_Toc425841903"/>
      <w:bookmarkStart w:id="12331" w:name="_Toc425864761"/>
      <w:bookmarkStart w:id="12332" w:name="_Toc425865539"/>
      <w:bookmarkStart w:id="12333" w:name="_Toc425942749"/>
      <w:bookmarkStart w:id="12334" w:name="_Toc425943663"/>
      <w:bookmarkStart w:id="12335" w:name="_Toc430847844"/>
      <w:bookmarkStart w:id="12336" w:name="_Toc431501332"/>
      <w:bookmarkStart w:id="12337" w:name="_Toc431619508"/>
      <w:bookmarkStart w:id="12338" w:name="_Toc431620280"/>
      <w:bookmarkStart w:id="12339" w:name="_Toc432156875"/>
      <w:bookmarkStart w:id="12340" w:name="_Toc432166093"/>
      <w:bookmarkStart w:id="12341" w:name="_Toc432166948"/>
      <w:bookmarkStart w:id="12342" w:name="_Toc432167806"/>
      <w:bookmarkStart w:id="12343" w:name="_Toc432168622"/>
      <w:bookmarkStart w:id="12344" w:name="_Toc435192132"/>
      <w:bookmarkStart w:id="12345" w:name="_Toc437590729"/>
      <w:bookmarkStart w:id="12346" w:name="_Toc443913478"/>
      <w:bookmarkStart w:id="12347" w:name="_Toc444090878"/>
      <w:bookmarkStart w:id="12348" w:name="_Toc381001129"/>
      <w:bookmarkStart w:id="12349" w:name="_Toc381090465"/>
      <w:bookmarkStart w:id="12350" w:name="_Toc383441097"/>
      <w:bookmarkStart w:id="12351" w:name="_Toc383686103"/>
      <w:bookmarkStart w:id="12352" w:name="_Toc383686879"/>
      <w:bookmarkStart w:id="12353" w:name="_Toc384134843"/>
      <w:bookmarkStart w:id="12354" w:name="_Toc387734919"/>
      <w:bookmarkStart w:id="12355" w:name="_Toc389638242"/>
      <w:bookmarkStart w:id="12356" w:name="_Toc397008639"/>
      <w:bookmarkStart w:id="12357" w:name="_Toc397009415"/>
      <w:bookmarkStart w:id="12358" w:name="_Toc397067455"/>
      <w:bookmarkStart w:id="12359" w:name="_Toc403476942"/>
      <w:bookmarkStart w:id="12360" w:name="_Toc403479566"/>
      <w:bookmarkStart w:id="12361" w:name="_Toc403480870"/>
      <w:bookmarkStart w:id="12362" w:name="_Toc403483895"/>
      <w:bookmarkStart w:id="12363" w:name="_Toc403484878"/>
      <w:bookmarkStart w:id="12364" w:name="_Toc408500567"/>
      <w:bookmarkStart w:id="12365" w:name="_Toc408557506"/>
      <w:bookmarkStart w:id="12366" w:name="_Toc411519952"/>
      <w:bookmarkStart w:id="12367" w:name="_Toc412190310"/>
      <w:bookmarkStart w:id="12368" w:name="_Toc412816094"/>
      <w:bookmarkStart w:id="12369" w:name="_Toc415747713"/>
      <w:bookmarkStart w:id="12370" w:name="_Toc418586369"/>
      <w:bookmarkStart w:id="12371" w:name="_Toc418591320"/>
      <w:bookmarkStart w:id="12372" w:name="_Toc418592099"/>
      <w:bookmarkStart w:id="12373" w:name="_Toc418592878"/>
      <w:bookmarkStart w:id="12374" w:name="_Toc418596586"/>
      <w:bookmarkStart w:id="12375" w:name="_Toc418597365"/>
      <w:bookmarkStart w:id="12376" w:name="_Toc419705312"/>
      <w:bookmarkStart w:id="12377" w:name="_Toc420932916"/>
      <w:bookmarkStart w:id="12378" w:name="_Toc420933683"/>
      <w:bookmarkStart w:id="12379" w:name="_Toc420934450"/>
      <w:bookmarkStart w:id="12380" w:name="_Toc420942018"/>
      <w:bookmarkStart w:id="12381" w:name="_Toc424543288"/>
      <w:bookmarkStart w:id="12382" w:name="_Toc424547765"/>
      <w:bookmarkStart w:id="12383" w:name="_Toc424562252"/>
      <w:bookmarkStart w:id="12384" w:name="_Toc425837223"/>
      <w:bookmarkStart w:id="12385" w:name="_Toc425838005"/>
      <w:bookmarkStart w:id="12386" w:name="_Toc425838785"/>
      <w:bookmarkStart w:id="12387" w:name="_Toc425839565"/>
      <w:bookmarkStart w:id="12388" w:name="_Toc425840346"/>
      <w:bookmarkStart w:id="12389" w:name="_Toc425841125"/>
      <w:bookmarkStart w:id="12390" w:name="_Toc425841904"/>
      <w:bookmarkStart w:id="12391" w:name="_Toc425864762"/>
      <w:bookmarkStart w:id="12392" w:name="_Toc425865540"/>
      <w:bookmarkStart w:id="12393" w:name="_Toc425942750"/>
      <w:bookmarkStart w:id="12394" w:name="_Toc425943664"/>
      <w:bookmarkStart w:id="12395" w:name="_Toc430847845"/>
      <w:bookmarkStart w:id="12396" w:name="_Toc431501333"/>
      <w:bookmarkStart w:id="12397" w:name="_Toc431619509"/>
      <w:bookmarkStart w:id="12398" w:name="_Toc431620281"/>
      <w:bookmarkStart w:id="12399" w:name="_Toc432156876"/>
      <w:bookmarkStart w:id="12400" w:name="_Toc432166094"/>
      <w:bookmarkStart w:id="12401" w:name="_Toc432166949"/>
      <w:bookmarkStart w:id="12402" w:name="_Toc432167807"/>
      <w:bookmarkStart w:id="12403" w:name="_Toc432168623"/>
      <w:bookmarkStart w:id="12404" w:name="_Toc435192133"/>
      <w:bookmarkStart w:id="12405" w:name="_Toc437590730"/>
      <w:bookmarkStart w:id="12406" w:name="_Toc443913479"/>
      <w:bookmarkStart w:id="12407" w:name="_Toc444090879"/>
      <w:bookmarkStart w:id="12408" w:name="_Toc381001139"/>
      <w:bookmarkStart w:id="12409" w:name="_Toc381090475"/>
      <w:bookmarkStart w:id="12410" w:name="_Toc383441107"/>
      <w:bookmarkStart w:id="12411" w:name="_Toc383686113"/>
      <w:bookmarkStart w:id="12412" w:name="_Toc383686889"/>
      <w:bookmarkStart w:id="12413" w:name="_Toc384134853"/>
      <w:bookmarkStart w:id="12414" w:name="_Toc387734929"/>
      <w:bookmarkStart w:id="12415" w:name="_Toc389638252"/>
      <w:bookmarkStart w:id="12416" w:name="_Toc397008649"/>
      <w:bookmarkStart w:id="12417" w:name="_Toc397009425"/>
      <w:bookmarkStart w:id="12418" w:name="_Toc397067465"/>
      <w:bookmarkStart w:id="12419" w:name="_Toc403476952"/>
      <w:bookmarkStart w:id="12420" w:name="_Toc403479576"/>
      <w:bookmarkStart w:id="12421" w:name="_Toc403480880"/>
      <w:bookmarkStart w:id="12422" w:name="_Toc403483905"/>
      <w:bookmarkStart w:id="12423" w:name="_Toc403484888"/>
      <w:bookmarkStart w:id="12424" w:name="_Toc408500577"/>
      <w:bookmarkStart w:id="12425" w:name="_Toc408557516"/>
      <w:bookmarkStart w:id="12426" w:name="_Toc411519962"/>
      <w:bookmarkStart w:id="12427" w:name="_Toc412190320"/>
      <w:bookmarkStart w:id="12428" w:name="_Toc412816104"/>
      <w:bookmarkStart w:id="12429" w:name="_Toc415747723"/>
      <w:bookmarkStart w:id="12430" w:name="_Toc418586379"/>
      <w:bookmarkStart w:id="12431" w:name="_Toc418591330"/>
      <w:bookmarkStart w:id="12432" w:name="_Toc418592109"/>
      <w:bookmarkStart w:id="12433" w:name="_Toc418592888"/>
      <w:bookmarkStart w:id="12434" w:name="_Toc418596596"/>
      <w:bookmarkStart w:id="12435" w:name="_Toc418597375"/>
      <w:bookmarkStart w:id="12436" w:name="_Toc419705322"/>
      <w:bookmarkStart w:id="12437" w:name="_Toc420932926"/>
      <w:bookmarkStart w:id="12438" w:name="_Toc420933693"/>
      <w:bookmarkStart w:id="12439" w:name="_Toc420934460"/>
      <w:bookmarkStart w:id="12440" w:name="_Toc420942028"/>
      <w:bookmarkStart w:id="12441" w:name="_Toc424543298"/>
      <w:bookmarkStart w:id="12442" w:name="_Toc424547775"/>
      <w:bookmarkStart w:id="12443" w:name="_Toc424562262"/>
      <w:bookmarkStart w:id="12444" w:name="_Toc425837233"/>
      <w:bookmarkStart w:id="12445" w:name="_Toc425838015"/>
      <w:bookmarkStart w:id="12446" w:name="_Toc425838795"/>
      <w:bookmarkStart w:id="12447" w:name="_Toc425839575"/>
      <w:bookmarkStart w:id="12448" w:name="_Toc425840356"/>
      <w:bookmarkStart w:id="12449" w:name="_Toc425841135"/>
      <w:bookmarkStart w:id="12450" w:name="_Toc425841914"/>
      <w:bookmarkStart w:id="12451" w:name="_Toc425864772"/>
      <w:bookmarkStart w:id="12452" w:name="_Toc425865550"/>
      <w:bookmarkStart w:id="12453" w:name="_Toc425942760"/>
      <w:bookmarkStart w:id="12454" w:name="_Toc425943674"/>
      <w:bookmarkStart w:id="12455" w:name="_Toc430847855"/>
      <w:bookmarkStart w:id="12456" w:name="_Toc431501343"/>
      <w:bookmarkStart w:id="12457" w:name="_Toc431619519"/>
      <w:bookmarkStart w:id="12458" w:name="_Toc431620291"/>
      <w:bookmarkStart w:id="12459" w:name="_Toc432156886"/>
      <w:bookmarkStart w:id="12460" w:name="_Toc432166104"/>
      <w:bookmarkStart w:id="12461" w:name="_Toc432166959"/>
      <w:bookmarkStart w:id="12462" w:name="_Toc432167817"/>
      <w:bookmarkStart w:id="12463" w:name="_Toc432168633"/>
      <w:bookmarkStart w:id="12464" w:name="_Toc435192143"/>
      <w:bookmarkStart w:id="12465" w:name="_Toc437590740"/>
      <w:bookmarkStart w:id="12466" w:name="_Toc443913489"/>
      <w:bookmarkStart w:id="12467" w:name="_Toc444090889"/>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p>
    <w:p w14:paraId="41621A31" w14:textId="4C55AD35" w:rsidR="00CF085E" w:rsidRDefault="006236E0" w:rsidP="00E679DC">
      <w:pPr>
        <w:pStyle w:val="Heading471"/>
      </w:pPr>
      <w:bookmarkStart w:id="12468" w:name="_Toc131493539"/>
      <w:bookmarkStart w:id="12469" w:name="_Toc213772386"/>
      <w:r>
        <w:t>D.1</w:t>
      </w:r>
      <w:r w:rsidR="00767011">
        <w:t>4</w:t>
      </w:r>
      <w:r>
        <w:t>.2.1</w:t>
      </w:r>
      <w:r>
        <w:tab/>
      </w:r>
      <w:r w:rsidR="00CF085E">
        <w:t>Step 1: Forecast Hourly Resource LMPs</w:t>
      </w:r>
      <w:bookmarkEnd w:id="12468"/>
      <w:bookmarkEnd w:id="12469"/>
    </w:p>
    <w:p w14:paraId="2F2FB214" w14:textId="5659C988" w:rsidR="00CF085E" w:rsidRDefault="006236E0" w:rsidP="00E679DC">
      <w:pPr>
        <w:pStyle w:val="Heading471"/>
      </w:pPr>
      <w:bookmarkStart w:id="12470" w:name="_Toc131493540"/>
      <w:bookmarkStart w:id="12471" w:name="_Toc213772387"/>
      <w:r>
        <w:t>D.1</w:t>
      </w:r>
      <w:r w:rsidR="00767011">
        <w:t>4</w:t>
      </w:r>
      <w:r>
        <w:t>2.2</w:t>
      </w:r>
      <w:r>
        <w:tab/>
      </w:r>
      <w:r w:rsidR="00CF085E">
        <w:t>Step 2: Calculate the price-cost margin for each hour of the day</w:t>
      </w:r>
      <w:bookmarkEnd w:id="12470"/>
      <w:bookmarkEnd w:id="12471"/>
    </w:p>
    <w:p w14:paraId="742AD7BC" w14:textId="3B1DB1F4" w:rsidR="00CF085E" w:rsidRDefault="006236E0" w:rsidP="00E679DC">
      <w:pPr>
        <w:pStyle w:val="Heading471"/>
      </w:pPr>
      <w:bookmarkStart w:id="12472" w:name="_Toc131493541"/>
      <w:bookmarkStart w:id="12473" w:name="_Toc213772388"/>
      <w:r>
        <w:t>D.1</w:t>
      </w:r>
      <w:r w:rsidR="00767011">
        <w:t>4</w:t>
      </w:r>
      <w:r>
        <w:t>.</w:t>
      </w:r>
      <w:r w:rsidR="00A32472">
        <w:t>2.3</w:t>
      </w:r>
      <w:r w:rsidR="00A32472">
        <w:tab/>
      </w:r>
      <w:r w:rsidR="00CF085E">
        <w:t>Step 3: Determine the Opportunity Cost Component</w:t>
      </w:r>
      <w:bookmarkEnd w:id="12472"/>
      <w:bookmarkEnd w:id="12473"/>
    </w:p>
    <w:p w14:paraId="527CA7F5" w14:textId="2FD69663" w:rsidR="00CF085E" w:rsidRDefault="00A32472" w:rsidP="00E679DC">
      <w:pPr>
        <w:pStyle w:val="Heading471"/>
      </w:pPr>
      <w:bookmarkStart w:id="12474" w:name="_Toc213746926"/>
      <w:bookmarkStart w:id="12475" w:name="_Toc342907411"/>
      <w:bookmarkStart w:id="12476" w:name="_Ref370826941"/>
      <w:bookmarkStart w:id="12477" w:name="_Toc131493542"/>
      <w:bookmarkStart w:id="12478" w:name="_Toc213772389"/>
      <w:bookmarkEnd w:id="12474"/>
      <w:r>
        <w:t>D.1</w:t>
      </w:r>
      <w:r w:rsidR="00767011">
        <w:t>4</w:t>
      </w:r>
      <w:r>
        <w:t>.3</w:t>
      </w:r>
      <w:r>
        <w:tab/>
      </w:r>
      <w:r w:rsidR="00CF085E">
        <w:t xml:space="preserve">Long Term </w:t>
      </w:r>
      <w:bookmarkEnd w:id="12475"/>
      <w:r w:rsidR="00CF085E">
        <w:t>Opportunity Cost Calculation</w:t>
      </w:r>
      <w:bookmarkEnd w:id="12476"/>
      <w:bookmarkEnd w:id="12477"/>
      <w:bookmarkEnd w:id="12478"/>
    </w:p>
    <w:p w14:paraId="3BD27DFA" w14:textId="52231500" w:rsidR="00CF085E" w:rsidRDefault="00A32472" w:rsidP="00E679DC">
      <w:pPr>
        <w:pStyle w:val="Heading471"/>
      </w:pPr>
      <w:bookmarkStart w:id="12479" w:name="_Toc378773981"/>
      <w:bookmarkStart w:id="12480" w:name="_Toc378774803"/>
      <w:bookmarkStart w:id="12481" w:name="_Toc378844329"/>
      <w:bookmarkStart w:id="12482" w:name="_Toc378945343"/>
      <w:bookmarkStart w:id="12483" w:name="_Toc379281335"/>
      <w:bookmarkStart w:id="12484" w:name="_Toc379282157"/>
      <w:bookmarkStart w:id="12485" w:name="_Toc379282979"/>
      <w:bookmarkStart w:id="12486" w:name="_Toc379443412"/>
      <w:bookmarkStart w:id="12487" w:name="_Toc379444174"/>
      <w:bookmarkStart w:id="12488" w:name="_Toc381001144"/>
      <w:bookmarkStart w:id="12489" w:name="_Toc381090480"/>
      <w:bookmarkStart w:id="12490" w:name="_Toc383441112"/>
      <w:bookmarkStart w:id="12491" w:name="_Toc383686118"/>
      <w:bookmarkStart w:id="12492" w:name="_Toc383686894"/>
      <w:bookmarkStart w:id="12493" w:name="_Toc384134858"/>
      <w:bookmarkStart w:id="12494" w:name="_Toc387734934"/>
      <w:bookmarkStart w:id="12495" w:name="_Toc389638257"/>
      <w:bookmarkStart w:id="12496" w:name="_Toc397008654"/>
      <w:bookmarkStart w:id="12497" w:name="_Toc397009430"/>
      <w:bookmarkStart w:id="12498" w:name="_Toc397067470"/>
      <w:bookmarkStart w:id="12499" w:name="_Toc403476957"/>
      <w:bookmarkStart w:id="12500" w:name="_Toc403479581"/>
      <w:bookmarkStart w:id="12501" w:name="_Toc403480885"/>
      <w:bookmarkStart w:id="12502" w:name="_Toc403483910"/>
      <w:bookmarkStart w:id="12503" w:name="_Toc403484893"/>
      <w:bookmarkStart w:id="12504" w:name="_Toc408500582"/>
      <w:bookmarkStart w:id="12505" w:name="_Toc408557521"/>
      <w:bookmarkStart w:id="12506" w:name="_Toc411519967"/>
      <w:bookmarkStart w:id="12507" w:name="_Toc412190325"/>
      <w:bookmarkStart w:id="12508" w:name="_Toc412816109"/>
      <w:bookmarkStart w:id="12509" w:name="_Toc415747728"/>
      <w:bookmarkStart w:id="12510" w:name="_Toc418586384"/>
      <w:bookmarkStart w:id="12511" w:name="_Toc418591335"/>
      <w:bookmarkStart w:id="12512" w:name="_Toc418592114"/>
      <w:bookmarkStart w:id="12513" w:name="_Toc418592893"/>
      <w:bookmarkStart w:id="12514" w:name="_Toc418596601"/>
      <w:bookmarkStart w:id="12515" w:name="_Toc418597380"/>
      <w:bookmarkStart w:id="12516" w:name="_Toc419705327"/>
      <w:bookmarkStart w:id="12517" w:name="_Toc420932931"/>
      <w:bookmarkStart w:id="12518" w:name="_Toc420933698"/>
      <w:bookmarkStart w:id="12519" w:name="_Toc420934465"/>
      <w:bookmarkStart w:id="12520" w:name="_Toc420942033"/>
      <w:bookmarkStart w:id="12521" w:name="_Toc424543303"/>
      <w:bookmarkStart w:id="12522" w:name="_Toc424547780"/>
      <w:bookmarkStart w:id="12523" w:name="_Toc424562267"/>
      <w:bookmarkStart w:id="12524" w:name="_Toc425837238"/>
      <w:bookmarkStart w:id="12525" w:name="_Toc425838020"/>
      <w:bookmarkStart w:id="12526" w:name="_Toc425838800"/>
      <w:bookmarkStart w:id="12527" w:name="_Toc425839580"/>
      <w:bookmarkStart w:id="12528" w:name="_Toc425840361"/>
      <w:bookmarkStart w:id="12529" w:name="_Toc425841140"/>
      <w:bookmarkStart w:id="12530" w:name="_Toc425841919"/>
      <w:bookmarkStart w:id="12531" w:name="_Toc425864777"/>
      <w:bookmarkStart w:id="12532" w:name="_Toc425865555"/>
      <w:bookmarkStart w:id="12533" w:name="_Toc425942765"/>
      <w:bookmarkStart w:id="12534" w:name="_Toc425943679"/>
      <w:bookmarkStart w:id="12535" w:name="_Toc430847860"/>
      <w:bookmarkStart w:id="12536" w:name="_Toc431501348"/>
      <w:bookmarkStart w:id="12537" w:name="_Toc431619524"/>
      <w:bookmarkStart w:id="12538" w:name="_Toc431620296"/>
      <w:bookmarkStart w:id="12539" w:name="_Toc432156891"/>
      <w:bookmarkStart w:id="12540" w:name="_Toc432166109"/>
      <w:bookmarkStart w:id="12541" w:name="_Toc432166964"/>
      <w:bookmarkStart w:id="12542" w:name="_Toc432167822"/>
      <w:bookmarkStart w:id="12543" w:name="_Toc432168638"/>
      <w:bookmarkStart w:id="12544" w:name="_Toc435192148"/>
      <w:bookmarkStart w:id="12545" w:name="_Toc437590745"/>
      <w:bookmarkStart w:id="12546" w:name="_Toc443913494"/>
      <w:bookmarkStart w:id="12547" w:name="_Toc444090894"/>
      <w:bookmarkStart w:id="12548" w:name="_Toc131493543"/>
      <w:bookmarkStart w:id="12549" w:name="_Toc213772390"/>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r>
        <w:t>D.1</w:t>
      </w:r>
      <w:r w:rsidR="00857E0E">
        <w:t>4</w:t>
      </w:r>
      <w:r>
        <w:t>.3.1</w:t>
      </w:r>
      <w:r>
        <w:tab/>
      </w:r>
      <w:r w:rsidR="00CF085E">
        <w:t>Step 1: Forecast Markets+ System Monthly On-Peak/Off-Peak Average LMPs</w:t>
      </w:r>
      <w:bookmarkEnd w:id="12548"/>
      <w:bookmarkEnd w:id="12549"/>
    </w:p>
    <w:p w14:paraId="579A0CBC" w14:textId="77777777" w:rsidR="00CF085E" w:rsidRDefault="00CF085E" w:rsidP="00CF085E">
      <w:pPr>
        <w:spacing w:line="300" w:lineRule="auto"/>
      </w:pPr>
    </w:p>
    <w:p w14:paraId="4BE763EF" w14:textId="5CEE20FE" w:rsidR="00CF085E" w:rsidRDefault="008601E9" w:rsidP="00E679DC">
      <w:pPr>
        <w:pStyle w:val="Heading471"/>
      </w:pPr>
      <w:bookmarkStart w:id="12550" w:name="_Toc131493544"/>
      <w:bookmarkStart w:id="12551" w:name="_Toc213772391"/>
      <w:r>
        <w:t>D.1</w:t>
      </w:r>
      <w:r w:rsidR="00857E0E">
        <w:t>4</w:t>
      </w:r>
      <w:r>
        <w:t>.3.2</w:t>
      </w:r>
      <w:r>
        <w:tab/>
      </w:r>
      <w:r w:rsidR="00CF085E">
        <w:t>Step 2: Derive Historical Monthly LMP Basis Differential between the Resource Settlement Location and the M+ Real-Time Marginal Energy Component of LMP</w:t>
      </w:r>
      <w:bookmarkEnd w:id="12550"/>
      <w:bookmarkEnd w:id="12551"/>
    </w:p>
    <w:p w14:paraId="099325DC" w14:textId="77777777" w:rsidR="00CF085E" w:rsidRDefault="00CF085E" w:rsidP="00CF085E">
      <w:pPr>
        <w:spacing w:line="300" w:lineRule="auto"/>
      </w:pPr>
    </w:p>
    <w:p w14:paraId="6D201DD2" w14:textId="328DF006" w:rsidR="00CF085E" w:rsidRDefault="008601E9" w:rsidP="00E679DC">
      <w:pPr>
        <w:pStyle w:val="Heading471"/>
      </w:pPr>
      <w:bookmarkStart w:id="12552" w:name="_Toc338689503"/>
      <w:bookmarkStart w:id="12553" w:name="_Toc131493545"/>
      <w:bookmarkStart w:id="12554" w:name="_Toc213772392"/>
      <w:r>
        <w:t>D.</w:t>
      </w:r>
      <w:r w:rsidR="00857E0E">
        <w:t>14</w:t>
      </w:r>
      <w:r>
        <w:t>.3.3</w:t>
      </w:r>
      <w:r>
        <w:tab/>
      </w:r>
      <w:r w:rsidR="00CF085E">
        <w:t>Step 3: Derive hourly volatility scalars to incorporate hourly volatility into the LMP forecast</w:t>
      </w:r>
      <w:bookmarkEnd w:id="12552"/>
      <w:bookmarkEnd w:id="12553"/>
      <w:bookmarkEnd w:id="12554"/>
    </w:p>
    <w:p w14:paraId="28A1DAAF" w14:textId="228FE946" w:rsidR="00CF085E" w:rsidRDefault="008601E9" w:rsidP="00E679DC">
      <w:pPr>
        <w:pStyle w:val="Heading471"/>
      </w:pPr>
      <w:bookmarkStart w:id="12555" w:name="_Toc342907417"/>
      <w:bookmarkStart w:id="12556" w:name="_Toc131493546"/>
      <w:bookmarkStart w:id="12557" w:name="_Toc213772393"/>
      <w:r>
        <w:t>D.1</w:t>
      </w:r>
      <w:r w:rsidR="00857E0E">
        <w:t>4</w:t>
      </w:r>
      <w:r>
        <w:t>.3.4</w:t>
      </w:r>
      <w:r>
        <w:tab/>
      </w:r>
      <w:r w:rsidR="00CF085E">
        <w:t>Step 4: Create three sets of hourly forecasted Resource Settlement Location values</w:t>
      </w:r>
      <w:bookmarkEnd w:id="12555"/>
      <w:bookmarkEnd w:id="12556"/>
      <w:bookmarkEnd w:id="12557"/>
    </w:p>
    <w:p w14:paraId="63EBBE84" w14:textId="7589AC7E" w:rsidR="00CF085E" w:rsidRDefault="008601E9" w:rsidP="00E679DC">
      <w:pPr>
        <w:pStyle w:val="Heading471"/>
      </w:pPr>
      <w:bookmarkStart w:id="12558" w:name="_Toc342907418"/>
      <w:bookmarkStart w:id="12559" w:name="_Toc131493547"/>
      <w:bookmarkStart w:id="12560" w:name="_Toc213772394"/>
      <w:r>
        <w:t>D.1</w:t>
      </w:r>
      <w:r w:rsidR="00857E0E">
        <w:t>4</w:t>
      </w:r>
      <w:r>
        <w:t>.3.5</w:t>
      </w:r>
      <w:r>
        <w:tab/>
      </w:r>
      <w:r w:rsidR="00CF085E">
        <w:t>Step 5: Create a daily fuel volatility scalar</w:t>
      </w:r>
      <w:bookmarkEnd w:id="12558"/>
      <w:bookmarkEnd w:id="12559"/>
      <w:bookmarkEnd w:id="12560"/>
    </w:p>
    <w:p w14:paraId="388BB891" w14:textId="25BE64DD" w:rsidR="00CF085E" w:rsidRDefault="008601E9" w:rsidP="00E679DC">
      <w:pPr>
        <w:pStyle w:val="Heading471"/>
      </w:pPr>
      <w:bookmarkStart w:id="12561" w:name="_Toc342907419"/>
      <w:bookmarkStart w:id="12562" w:name="_Toc131493548"/>
      <w:bookmarkStart w:id="12563" w:name="_Toc213772395"/>
      <w:r>
        <w:t>D.1</w:t>
      </w:r>
      <w:r w:rsidR="00857E0E">
        <w:t>4</w:t>
      </w:r>
      <w:r>
        <w:t>.3.6</w:t>
      </w:r>
      <w:r>
        <w:tab/>
      </w:r>
      <w:r w:rsidR="00CF085E">
        <w:t>Step 6: Create three daily delivered fuel forecasts</w:t>
      </w:r>
      <w:bookmarkEnd w:id="12561"/>
      <w:bookmarkEnd w:id="12562"/>
      <w:bookmarkEnd w:id="12563"/>
    </w:p>
    <w:p w14:paraId="66776DC6" w14:textId="71442055" w:rsidR="00CF085E" w:rsidRDefault="008601E9" w:rsidP="00E679DC">
      <w:pPr>
        <w:pStyle w:val="Heading471"/>
      </w:pPr>
      <w:bookmarkStart w:id="12564" w:name="_Toc342907420"/>
      <w:bookmarkStart w:id="12565" w:name="_Toc131493549"/>
      <w:bookmarkStart w:id="12566" w:name="_Toc213772396"/>
      <w:r>
        <w:t>D.1</w:t>
      </w:r>
      <w:r w:rsidR="00857E0E">
        <w:t>4</w:t>
      </w:r>
      <w:r>
        <w:t>.3.7</w:t>
      </w:r>
      <w:r>
        <w:tab/>
      </w:r>
      <w:r w:rsidR="00CF085E">
        <w:t>Step 7: Create Resource(s) cost for each of the three forecasts</w:t>
      </w:r>
      <w:bookmarkEnd w:id="12564"/>
      <w:bookmarkEnd w:id="12565"/>
      <w:bookmarkEnd w:id="12566"/>
    </w:p>
    <w:p w14:paraId="14499909" w14:textId="77777777" w:rsidR="00CF085E" w:rsidRDefault="00CF085E" w:rsidP="00CF085E">
      <w:pPr>
        <w:spacing w:line="300" w:lineRule="auto"/>
      </w:pPr>
    </w:p>
    <w:p w14:paraId="6680B24D" w14:textId="1102CBAB" w:rsidR="00CF085E" w:rsidRDefault="008601E9" w:rsidP="00E679DC">
      <w:pPr>
        <w:pStyle w:val="Heading471"/>
      </w:pPr>
      <w:bookmarkStart w:id="12567" w:name="_Toc342907421"/>
      <w:bookmarkStart w:id="12568" w:name="_Toc131493550"/>
      <w:bookmarkStart w:id="12569" w:name="_Toc213772397"/>
      <w:r>
        <w:t>D.1</w:t>
      </w:r>
      <w:r w:rsidR="00857E0E">
        <w:t>4</w:t>
      </w:r>
      <w:r>
        <w:t>.</w:t>
      </w:r>
      <w:r w:rsidR="007B5016">
        <w:t>3.8</w:t>
      </w:r>
      <w:r w:rsidR="007B5016">
        <w:tab/>
      </w:r>
      <w:r w:rsidR="00CF085E">
        <w:t>Step 8: Calculate the margin for every hour in the three hourly forecasts</w:t>
      </w:r>
      <w:bookmarkEnd w:id="12567"/>
      <w:bookmarkEnd w:id="12568"/>
      <w:bookmarkEnd w:id="12569"/>
    </w:p>
    <w:p w14:paraId="209D368E" w14:textId="5CEBB751" w:rsidR="00CF085E" w:rsidRDefault="007B5016" w:rsidP="00E679DC">
      <w:pPr>
        <w:pStyle w:val="Heading471"/>
      </w:pPr>
      <w:bookmarkStart w:id="12570" w:name="_Toc342907422"/>
      <w:bookmarkStart w:id="12571" w:name="_Toc131493551"/>
      <w:bookmarkStart w:id="12572" w:name="_Toc213772398"/>
      <w:r>
        <w:t>D.1</w:t>
      </w:r>
      <w:r w:rsidR="00857E0E">
        <w:t>4</w:t>
      </w:r>
      <w:r>
        <w:t>.3.9</w:t>
      </w:r>
      <w:r>
        <w:tab/>
      </w:r>
      <w:r w:rsidR="00CF085E">
        <w:t>Step 9: Determine the opportunity cost component</w:t>
      </w:r>
      <w:bookmarkEnd w:id="12570"/>
      <w:bookmarkEnd w:id="12571"/>
      <w:bookmarkEnd w:id="12572"/>
    </w:p>
    <w:p w14:paraId="19B3ECF2" w14:textId="77777777" w:rsidR="00CF085E" w:rsidRDefault="00CF085E" w:rsidP="00CF085E">
      <w:pPr>
        <w:spacing w:line="300" w:lineRule="auto"/>
      </w:pPr>
    </w:p>
    <w:p w14:paraId="2695C8E5" w14:textId="7F091832" w:rsidR="00CF085E" w:rsidRDefault="007B5016" w:rsidP="00E679DC">
      <w:pPr>
        <w:pStyle w:val="Heading471"/>
      </w:pPr>
      <w:bookmarkStart w:id="12573" w:name="_Toc131493552"/>
      <w:bookmarkStart w:id="12574" w:name="_Toc213772399"/>
      <w:r>
        <w:t>D.1</w:t>
      </w:r>
      <w:r w:rsidR="00857E0E">
        <w:t>4</w:t>
      </w:r>
      <w:r>
        <w:t>.4</w:t>
      </w:r>
      <w:r>
        <w:tab/>
      </w:r>
      <w:r w:rsidR="00CF085E">
        <w:t>Short Term Opportunity Cost Calculation</w:t>
      </w:r>
      <w:bookmarkEnd w:id="12573"/>
      <w:bookmarkEnd w:id="12574"/>
    </w:p>
    <w:p w14:paraId="135BF103" w14:textId="620F5637" w:rsidR="00CF085E" w:rsidRDefault="00E615C9" w:rsidP="00E679DC">
      <w:pPr>
        <w:pStyle w:val="Heading471"/>
      </w:pPr>
      <w:bookmarkStart w:id="12575" w:name="_Toc378773992"/>
      <w:bookmarkStart w:id="12576" w:name="_Toc378774814"/>
      <w:bookmarkStart w:id="12577" w:name="_Toc378844340"/>
      <w:bookmarkStart w:id="12578" w:name="_Toc378945354"/>
      <w:bookmarkStart w:id="12579" w:name="_Toc379281346"/>
      <w:bookmarkStart w:id="12580" w:name="_Toc379282168"/>
      <w:bookmarkStart w:id="12581" w:name="_Toc379282990"/>
      <w:bookmarkStart w:id="12582" w:name="_Toc379443423"/>
      <w:bookmarkStart w:id="12583" w:name="_Toc379444185"/>
      <w:bookmarkStart w:id="12584" w:name="_Toc381001155"/>
      <w:bookmarkStart w:id="12585" w:name="_Toc381090491"/>
      <w:bookmarkStart w:id="12586" w:name="_Toc383441123"/>
      <w:bookmarkStart w:id="12587" w:name="_Toc383686129"/>
      <w:bookmarkStart w:id="12588" w:name="_Toc383686905"/>
      <w:bookmarkStart w:id="12589" w:name="_Toc384134869"/>
      <w:bookmarkStart w:id="12590" w:name="_Toc387734945"/>
      <w:bookmarkStart w:id="12591" w:name="_Toc389638268"/>
      <w:bookmarkStart w:id="12592" w:name="_Toc397008665"/>
      <w:bookmarkStart w:id="12593" w:name="_Toc397009441"/>
      <w:bookmarkStart w:id="12594" w:name="_Toc397067481"/>
      <w:bookmarkStart w:id="12595" w:name="_Toc403476968"/>
      <w:bookmarkStart w:id="12596" w:name="_Toc403479592"/>
      <w:bookmarkStart w:id="12597" w:name="_Toc403480896"/>
      <w:bookmarkStart w:id="12598" w:name="_Toc403483921"/>
      <w:bookmarkStart w:id="12599" w:name="_Toc403484904"/>
      <w:bookmarkStart w:id="12600" w:name="_Toc408500593"/>
      <w:bookmarkStart w:id="12601" w:name="_Toc408557532"/>
      <w:bookmarkStart w:id="12602" w:name="_Toc411519978"/>
      <w:bookmarkStart w:id="12603" w:name="_Toc412190336"/>
      <w:bookmarkStart w:id="12604" w:name="_Toc412816120"/>
      <w:bookmarkStart w:id="12605" w:name="_Toc415747739"/>
      <w:bookmarkStart w:id="12606" w:name="_Toc418586395"/>
      <w:bookmarkStart w:id="12607" w:name="_Toc418591346"/>
      <w:bookmarkStart w:id="12608" w:name="_Toc418592125"/>
      <w:bookmarkStart w:id="12609" w:name="_Toc418592904"/>
      <w:bookmarkStart w:id="12610" w:name="_Toc418596612"/>
      <w:bookmarkStart w:id="12611" w:name="_Toc418597391"/>
      <w:bookmarkStart w:id="12612" w:name="_Toc419705338"/>
      <w:bookmarkStart w:id="12613" w:name="_Toc420932942"/>
      <w:bookmarkStart w:id="12614" w:name="_Toc420933709"/>
      <w:bookmarkStart w:id="12615" w:name="_Toc420934476"/>
      <w:bookmarkStart w:id="12616" w:name="_Toc420942044"/>
      <w:bookmarkStart w:id="12617" w:name="_Toc424543314"/>
      <w:bookmarkStart w:id="12618" w:name="_Toc424547791"/>
      <w:bookmarkStart w:id="12619" w:name="_Toc424562278"/>
      <w:bookmarkStart w:id="12620" w:name="_Toc425837249"/>
      <w:bookmarkStart w:id="12621" w:name="_Toc425838031"/>
      <w:bookmarkStart w:id="12622" w:name="_Toc425838811"/>
      <w:bookmarkStart w:id="12623" w:name="_Toc425839591"/>
      <w:bookmarkStart w:id="12624" w:name="_Toc425840372"/>
      <w:bookmarkStart w:id="12625" w:name="_Toc425841151"/>
      <w:bookmarkStart w:id="12626" w:name="_Toc425841930"/>
      <w:bookmarkStart w:id="12627" w:name="_Toc425864788"/>
      <w:bookmarkStart w:id="12628" w:name="_Toc425865566"/>
      <w:bookmarkStart w:id="12629" w:name="_Toc425942776"/>
      <w:bookmarkStart w:id="12630" w:name="_Toc425943690"/>
      <w:bookmarkStart w:id="12631" w:name="_Toc430847871"/>
      <w:bookmarkStart w:id="12632" w:name="_Toc431501359"/>
      <w:bookmarkStart w:id="12633" w:name="_Toc431619535"/>
      <w:bookmarkStart w:id="12634" w:name="_Toc431620307"/>
      <w:bookmarkStart w:id="12635" w:name="_Toc432156902"/>
      <w:bookmarkStart w:id="12636" w:name="_Toc432166120"/>
      <w:bookmarkStart w:id="12637" w:name="_Toc432166975"/>
      <w:bookmarkStart w:id="12638" w:name="_Toc432167833"/>
      <w:bookmarkStart w:id="12639" w:name="_Toc432168649"/>
      <w:bookmarkStart w:id="12640" w:name="_Toc435192159"/>
      <w:bookmarkStart w:id="12641" w:name="_Toc437590756"/>
      <w:bookmarkStart w:id="12642" w:name="_Toc443913505"/>
      <w:bookmarkStart w:id="12643" w:name="_Toc444090905"/>
      <w:bookmarkStart w:id="12644" w:name="_Toc131493553"/>
      <w:bookmarkStart w:id="12645" w:name="_Toc213772400"/>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r>
        <w:t>D.1</w:t>
      </w:r>
      <w:r w:rsidR="00910215">
        <w:t>4</w:t>
      </w:r>
      <w:r>
        <w:t>.4.1</w:t>
      </w:r>
      <w:r>
        <w:tab/>
      </w:r>
      <w:r w:rsidR="00CF085E">
        <w:t>Step 1: Forecast System Monthly On-Peak/Off-Peak Average LMPs</w:t>
      </w:r>
      <w:bookmarkEnd w:id="12644"/>
      <w:bookmarkEnd w:id="12645"/>
    </w:p>
    <w:p w14:paraId="59CD3EDA" w14:textId="77777777" w:rsidR="00CF085E" w:rsidRDefault="00CF085E" w:rsidP="00CF085E">
      <w:pPr>
        <w:spacing w:line="300" w:lineRule="auto"/>
      </w:pPr>
    </w:p>
    <w:p w14:paraId="31F11D2B" w14:textId="6E2C3AB3" w:rsidR="00CF085E" w:rsidRDefault="00E615C9" w:rsidP="00E679DC">
      <w:pPr>
        <w:pStyle w:val="Heading471"/>
      </w:pPr>
      <w:bookmarkStart w:id="12646" w:name="_Toc131493554"/>
      <w:bookmarkStart w:id="12647" w:name="_Toc213772401"/>
      <w:r>
        <w:t>D.1</w:t>
      </w:r>
      <w:r w:rsidR="00910215">
        <w:t>4</w:t>
      </w:r>
      <w:r>
        <w:t>.4.2</w:t>
      </w:r>
      <w:r>
        <w:tab/>
      </w:r>
      <w:r w:rsidR="00CF085E">
        <w:t>Step 2: Derive Historical Monthly LMP Basis Differential between the Resource Settlement Location and the M+ Real-Time Marginal Energy Component of LMP</w:t>
      </w:r>
      <w:bookmarkEnd w:id="12646"/>
      <w:bookmarkEnd w:id="12647"/>
    </w:p>
    <w:p w14:paraId="7AF723F2" w14:textId="498B85AD" w:rsidR="00CF085E" w:rsidRDefault="00E615C9" w:rsidP="00E679DC">
      <w:pPr>
        <w:pStyle w:val="Heading471"/>
      </w:pPr>
      <w:bookmarkStart w:id="12648" w:name="_Toc342907425"/>
      <w:bookmarkStart w:id="12649" w:name="_Toc131493555"/>
      <w:bookmarkStart w:id="12650" w:name="_Toc213772402"/>
      <w:r>
        <w:t>D.1</w:t>
      </w:r>
      <w:r w:rsidR="00910215">
        <w:t>4</w:t>
      </w:r>
      <w:r>
        <w:t>.4.3</w:t>
      </w:r>
      <w:r>
        <w:tab/>
      </w:r>
      <w:r w:rsidR="00CF085E">
        <w:t>Step 3: Derive hourly volatility scalars to incorporate hourly volatility into the LMP forecast</w:t>
      </w:r>
      <w:bookmarkEnd w:id="12648"/>
      <w:bookmarkEnd w:id="12649"/>
      <w:bookmarkEnd w:id="12650"/>
    </w:p>
    <w:p w14:paraId="3640C2C2" w14:textId="65917D4B" w:rsidR="00CF085E" w:rsidRDefault="00E615C9" w:rsidP="00E679DC">
      <w:pPr>
        <w:pStyle w:val="Heading471"/>
      </w:pPr>
      <w:bookmarkStart w:id="12651" w:name="_Toc342907426"/>
      <w:bookmarkStart w:id="12652" w:name="_Toc131493556"/>
      <w:bookmarkStart w:id="12653" w:name="_Toc213772403"/>
      <w:r>
        <w:t>D.1</w:t>
      </w:r>
      <w:r w:rsidR="00910215">
        <w:t>4</w:t>
      </w:r>
      <w:r>
        <w:t>.4.4</w:t>
      </w:r>
      <w:r>
        <w:tab/>
      </w:r>
      <w:r w:rsidR="00CF085E">
        <w:t xml:space="preserve">Step 4: Create three sets of hourly forecasted Resource </w:t>
      </w:r>
      <w:bookmarkEnd w:id="12651"/>
      <w:r w:rsidR="00CF085E">
        <w:t>LMPs</w:t>
      </w:r>
      <w:bookmarkEnd w:id="12652"/>
      <w:bookmarkEnd w:id="12653"/>
    </w:p>
    <w:p w14:paraId="70D892EF" w14:textId="5BACD660" w:rsidR="006F6375" w:rsidRDefault="00E615C9" w:rsidP="00E679DC">
      <w:pPr>
        <w:pStyle w:val="Heading471"/>
      </w:pPr>
      <w:bookmarkStart w:id="12654" w:name="_Toc213772404"/>
      <w:r>
        <w:t>D.1</w:t>
      </w:r>
      <w:r w:rsidR="00910215">
        <w:t>4</w:t>
      </w:r>
      <w:r>
        <w:t>.4.5</w:t>
      </w:r>
      <w:r>
        <w:tab/>
      </w:r>
      <w:r w:rsidR="006F6375">
        <w:t>Step 5: Fuel Price</w:t>
      </w:r>
      <w:bookmarkEnd w:id="12198"/>
      <w:bookmarkEnd w:id="12199"/>
      <w:bookmarkEnd w:id="12654"/>
    </w:p>
    <w:p w14:paraId="05E68DA2" w14:textId="6A746D70" w:rsidR="006F6375" w:rsidRDefault="00E615C9" w:rsidP="00E679DC">
      <w:pPr>
        <w:pStyle w:val="Heading471"/>
      </w:pPr>
      <w:bookmarkStart w:id="12655" w:name="_Toc342907428"/>
      <w:bookmarkStart w:id="12656" w:name="_Toc131493558"/>
      <w:bookmarkStart w:id="12657" w:name="_Toc213772405"/>
      <w:r>
        <w:t>D.1</w:t>
      </w:r>
      <w:r w:rsidR="00910215">
        <w:t>4</w:t>
      </w:r>
      <w:r>
        <w:t>.</w:t>
      </w:r>
      <w:r w:rsidR="00094D62">
        <w:t>4.6</w:t>
      </w:r>
      <w:r w:rsidR="00094D62">
        <w:tab/>
      </w:r>
      <w:r w:rsidR="006F6375">
        <w:t>Step 6: Create generating unit’s cost for each of the three forecasts</w:t>
      </w:r>
      <w:bookmarkEnd w:id="12655"/>
      <w:bookmarkEnd w:id="12656"/>
      <w:bookmarkEnd w:id="12657"/>
    </w:p>
    <w:p w14:paraId="4355501A" w14:textId="3CEF964F" w:rsidR="006F6375" w:rsidRDefault="00094D62" w:rsidP="00E679DC">
      <w:pPr>
        <w:pStyle w:val="Heading471"/>
      </w:pPr>
      <w:bookmarkStart w:id="12658" w:name="_Toc342907429"/>
      <w:bookmarkStart w:id="12659" w:name="_Toc131493559"/>
      <w:bookmarkStart w:id="12660" w:name="_Toc213772406"/>
      <w:r>
        <w:t>D.1</w:t>
      </w:r>
      <w:r w:rsidR="00910215">
        <w:t>4</w:t>
      </w:r>
      <w:r>
        <w:t>.4.7</w:t>
      </w:r>
      <w:r>
        <w:tab/>
      </w:r>
      <w:r w:rsidR="006F6375">
        <w:t>Step 7: Calculate the margin for every hour in the three hourly forecasts</w:t>
      </w:r>
      <w:bookmarkEnd w:id="12658"/>
      <w:bookmarkEnd w:id="12659"/>
      <w:bookmarkEnd w:id="12660"/>
    </w:p>
    <w:p w14:paraId="20BBC538" w14:textId="49789824" w:rsidR="006F6375" w:rsidRDefault="00094D62" w:rsidP="00E679DC">
      <w:pPr>
        <w:pStyle w:val="Heading471"/>
      </w:pPr>
      <w:bookmarkStart w:id="12661" w:name="_Toc342907430"/>
      <w:bookmarkStart w:id="12662" w:name="_Toc131493560"/>
      <w:bookmarkStart w:id="12663" w:name="_Toc213772407"/>
      <w:r>
        <w:t>D.1</w:t>
      </w:r>
      <w:r w:rsidR="0032171B">
        <w:t>4</w:t>
      </w:r>
      <w:r>
        <w:t>.4.8</w:t>
      </w:r>
      <w:r>
        <w:tab/>
      </w:r>
      <w:r w:rsidR="006F6375">
        <w:t>Step 8: Determine the opportunity cost</w:t>
      </w:r>
      <w:bookmarkEnd w:id="12661"/>
      <w:bookmarkEnd w:id="12662"/>
      <w:bookmarkEnd w:id="12663"/>
    </w:p>
    <w:p w14:paraId="49194F65" w14:textId="63490D82" w:rsidR="006F6375" w:rsidRDefault="00094D62" w:rsidP="00E679DC">
      <w:pPr>
        <w:pStyle w:val="Heading471"/>
      </w:pPr>
      <w:bookmarkStart w:id="12664" w:name="_Toc131493561"/>
      <w:bookmarkStart w:id="12665" w:name="_Toc213772408"/>
      <w:r>
        <w:t>D1</w:t>
      </w:r>
      <w:r w:rsidR="0032171B">
        <w:t>5</w:t>
      </w:r>
      <w:r>
        <w:tab/>
      </w:r>
      <w:r w:rsidR="006F6375">
        <w:t>No-Load Calculation Examples</w:t>
      </w:r>
      <w:bookmarkEnd w:id="12664"/>
      <w:bookmarkEnd w:id="12665"/>
    </w:p>
    <w:p w14:paraId="6B07B992" w14:textId="51B4C72F" w:rsidR="006F6375" w:rsidRDefault="006F6375" w:rsidP="006F6375">
      <w:r>
        <w:t xml:space="preserve">The information included in this </w:t>
      </w:r>
      <w:r w:rsidR="00985D99">
        <w:t>section</w:t>
      </w:r>
      <w:r>
        <w:t xml:space="preserve"> provides guidance for calculating </w:t>
      </w:r>
      <w:r w:rsidR="00547F71">
        <w:t>n</w:t>
      </w:r>
      <w:r>
        <w:t>o-</w:t>
      </w:r>
      <w:r w:rsidR="00547F71">
        <w:t>l</w:t>
      </w:r>
      <w:r>
        <w:t>oad costs for various types of generating units.</w:t>
      </w:r>
    </w:p>
    <w:p w14:paraId="2266F4C0" w14:textId="1F4A3E4D" w:rsidR="006F6375" w:rsidRDefault="00094D62" w:rsidP="00E15157">
      <w:pPr>
        <w:pStyle w:val="3Appx3"/>
        <w:numPr>
          <w:ilvl w:val="0"/>
          <w:numId w:val="0"/>
        </w:numPr>
        <w:rPr>
          <w:i/>
          <w:iCs/>
        </w:rPr>
      </w:pPr>
      <w:bookmarkStart w:id="12666" w:name="_Toc131493562"/>
      <w:bookmarkStart w:id="12667" w:name="_Toc213772409"/>
      <w:r>
        <w:t>D.1</w:t>
      </w:r>
      <w:r w:rsidR="0032171B">
        <w:t>5</w:t>
      </w:r>
      <w:r>
        <w:t>.1</w:t>
      </w:r>
      <w:r>
        <w:tab/>
      </w:r>
      <w:r w:rsidR="006F6375">
        <w:t>No-Load Fuel</w:t>
      </w:r>
      <w:bookmarkEnd w:id="12666"/>
      <w:bookmarkEnd w:id="12667"/>
    </w:p>
    <w:p w14:paraId="62C83401" w14:textId="7791F74B" w:rsidR="006F6375" w:rsidRDefault="006F6375" w:rsidP="006F6375">
      <w:r>
        <w:t>All Market Participants must use no-load fuel to develop no-load costs for their units.  Since generating units cannot normally be run stable at zero</w:t>
      </w:r>
      <w:r w:rsidR="003D4092">
        <w:t xml:space="preserve"> (0)</w:t>
      </w:r>
      <w:r>
        <w:t xml:space="preserve"> net output, the no-load fuel may be determined by: </w:t>
      </w:r>
    </w:p>
    <w:p w14:paraId="357FE46E" w14:textId="77777777" w:rsidR="006F6375" w:rsidRDefault="006F6375" w:rsidP="00DA3CE7">
      <w:pPr>
        <w:pStyle w:val="SPPBulletedList"/>
        <w:numPr>
          <w:ilvl w:val="0"/>
          <w:numId w:val="244"/>
        </w:numPr>
        <w:tabs>
          <w:tab w:val="left" w:pos="720"/>
        </w:tabs>
      </w:pPr>
      <w:r>
        <w:rPr>
          <w:rFonts w:hint="cs"/>
        </w:rPr>
        <w:t xml:space="preserve">Collecting heat input values as a function of output and performing a regression analysis, </w:t>
      </w:r>
    </w:p>
    <w:p w14:paraId="066B102E" w14:textId="77777777" w:rsidR="006F6375" w:rsidRDefault="006F6375" w:rsidP="00DA3CE7">
      <w:pPr>
        <w:pStyle w:val="SPPBulletedList"/>
        <w:numPr>
          <w:ilvl w:val="0"/>
          <w:numId w:val="244"/>
        </w:numPr>
        <w:tabs>
          <w:tab w:val="left" w:pos="720"/>
        </w:tabs>
      </w:pPr>
      <w:r>
        <w:rPr>
          <w:rFonts w:hint="cs"/>
        </w:rPr>
        <w:t xml:space="preserve">Using heat input values as provided by Original Equipment Manufacturer and performing a regression analysis, </w:t>
      </w:r>
    </w:p>
    <w:p w14:paraId="54585B5F" w14:textId="77777777" w:rsidR="006F6375" w:rsidRDefault="006F6375" w:rsidP="00DA3CE7">
      <w:pPr>
        <w:pStyle w:val="SPPBulletedList"/>
        <w:numPr>
          <w:ilvl w:val="0"/>
          <w:numId w:val="244"/>
        </w:numPr>
        <w:tabs>
          <w:tab w:val="left" w:pos="720"/>
        </w:tabs>
      </w:pPr>
      <w:r>
        <w:rPr>
          <w:rFonts w:hint="cs"/>
        </w:rPr>
        <w:t>Using the initial design heat input curve for an immature unit and performing a regression analysis</w:t>
      </w:r>
    </w:p>
    <w:p w14:paraId="5CB64139" w14:textId="490D5E0D" w:rsidR="006F6375" w:rsidRDefault="006F6375" w:rsidP="00DA3CE7">
      <w:pPr>
        <w:pStyle w:val="SPPBulletedList"/>
        <w:numPr>
          <w:ilvl w:val="0"/>
          <w:numId w:val="244"/>
        </w:numPr>
        <w:tabs>
          <w:tab w:val="left" w:pos="720"/>
        </w:tabs>
      </w:pPr>
      <w:r>
        <w:rPr>
          <w:rFonts w:hint="cs"/>
        </w:rPr>
        <w:t>Determining the measured value of fuel consumed at zero</w:t>
      </w:r>
      <w:r w:rsidR="003D4092">
        <w:t xml:space="preserve"> (0)</w:t>
      </w:r>
      <w:r>
        <w:rPr>
          <w:rFonts w:hint="cs"/>
        </w:rPr>
        <w:t xml:space="preserve"> net output from test data (moment of generator output breaker closure).</w:t>
      </w:r>
    </w:p>
    <w:p w14:paraId="56F10F42" w14:textId="35C8DD66" w:rsidR="006F6375" w:rsidRDefault="00094D62" w:rsidP="00E679DC">
      <w:pPr>
        <w:pStyle w:val="Heading471"/>
        <w:rPr>
          <w:i/>
        </w:rPr>
      </w:pPr>
      <w:bookmarkStart w:id="12668" w:name="_Toc342907452"/>
      <w:bookmarkStart w:id="12669" w:name="_Toc131493563"/>
      <w:bookmarkStart w:id="12670" w:name="_Toc213772410"/>
      <w:r>
        <w:t>D.1</w:t>
      </w:r>
      <w:r w:rsidR="0032171B">
        <w:t>5</w:t>
      </w:r>
      <w:r>
        <w:t>.1.1</w:t>
      </w:r>
      <w:r>
        <w:tab/>
      </w:r>
      <w:r w:rsidR="006F6375">
        <w:t>Typical Steam Unit Example</w:t>
      </w:r>
      <w:bookmarkEnd w:id="12668"/>
      <w:bookmarkEnd w:id="12669"/>
      <w:bookmarkEnd w:id="12670"/>
      <w:r w:rsidR="006F6375">
        <w:t xml:space="preserve"> </w:t>
      </w:r>
    </w:p>
    <w:p w14:paraId="78E331DD" w14:textId="77777777" w:rsidR="006F6375" w:rsidRDefault="006F6375" w:rsidP="006F6375">
      <w:r>
        <w:t>An example of collecting heat input values as a function of output and performing a regression analysis on the data to obtain the no-load fuel for a typical fossil steam unit is shown below:</w:t>
      </w:r>
    </w:p>
    <w:p w14:paraId="3EFCD1CA" w14:textId="4105AD8C" w:rsidR="006F6375" w:rsidRDefault="00E969F3" w:rsidP="006F6375">
      <w:pPr>
        <w:pStyle w:val="SPPBulletedList"/>
        <w:tabs>
          <w:tab w:val="clear" w:pos="360"/>
          <w:tab w:val="left" w:pos="720"/>
        </w:tabs>
        <w:ind w:left="0" w:firstLine="0"/>
        <w:jc w:val="center"/>
      </w:pPr>
      <w:r>
        <w:rPr>
          <w:noProof/>
        </w:rPr>
        <w:drawing>
          <wp:inline distT="0" distB="0" distL="0" distR="0" wp14:anchorId="60F3EF34" wp14:editId="495445C7">
            <wp:extent cx="5709920" cy="3891280"/>
            <wp:effectExtent l="0" t="0" r="5080" b="0"/>
            <wp:docPr id="1174556177"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09920" cy="3891280"/>
                    </a:xfrm>
                    <a:prstGeom prst="rect">
                      <a:avLst/>
                    </a:prstGeom>
                    <a:noFill/>
                    <a:ln>
                      <a:noFill/>
                    </a:ln>
                  </pic:spPr>
                </pic:pic>
              </a:graphicData>
            </a:graphic>
          </wp:inline>
        </w:drawing>
      </w:r>
    </w:p>
    <w:p w14:paraId="0408F872" w14:textId="77777777" w:rsidR="006F6375" w:rsidRDefault="006F6375" w:rsidP="006F6375">
      <w:pPr>
        <w:pStyle w:val="SPPBulletedList"/>
        <w:tabs>
          <w:tab w:val="clear" w:pos="360"/>
          <w:tab w:val="left" w:pos="720"/>
        </w:tabs>
        <w:ind w:left="0" w:firstLine="0"/>
        <w:jc w:val="center"/>
        <w:rPr>
          <w:szCs w:val="24"/>
        </w:rPr>
      </w:pPr>
    </w:p>
    <w:p w14:paraId="672FDA85" w14:textId="08667BDB" w:rsidR="006F6375" w:rsidRDefault="006F6375" w:rsidP="006F6375">
      <w:r>
        <w:t>Each diamond in the graph above indicates one</w:t>
      </w:r>
      <w:r w:rsidR="0047334B">
        <w:t xml:space="preserve"> (1)</w:t>
      </w:r>
      <w:r>
        <w:t xml:space="preserve"> hourly heat input data point calculated from plant instrumentation during operations. A regression analysis was performed on the data collected to obtain the unit’s Heat Input curve as a function of Output with oil as a fuel:</w:t>
      </w:r>
    </w:p>
    <w:p w14:paraId="31DF077E" w14:textId="77777777" w:rsidR="006F6375" w:rsidRDefault="006F6375" w:rsidP="006F6375">
      <w:pPr>
        <w:pStyle w:val="SPPBulletedList"/>
        <w:tabs>
          <w:tab w:val="clear" w:pos="360"/>
          <w:tab w:val="left" w:pos="720"/>
        </w:tabs>
        <w:ind w:left="0" w:firstLine="0"/>
        <w:rPr>
          <w:szCs w:val="24"/>
        </w:rPr>
      </w:pPr>
    </w:p>
    <w:p w14:paraId="542F4B2F" w14:textId="12E17549" w:rsidR="006F6375" w:rsidRDefault="00A06870" w:rsidP="006F6375">
      <w:pPr>
        <w:pStyle w:val="SPPBulletedList"/>
        <w:tabs>
          <w:tab w:val="clear" w:pos="360"/>
          <w:tab w:val="left" w:pos="720"/>
        </w:tabs>
        <w:ind w:left="0" w:firstLine="0"/>
        <w:jc w:val="center"/>
        <w:rPr>
          <w:szCs w:val="24"/>
        </w:rPr>
      </w:pPr>
      <m:oMathPara>
        <m:oMath>
          <m:r>
            <w:rPr>
              <w:rFonts w:ascii="Cambria Math" w:hAnsi="Cambria Math"/>
            </w:rPr>
            <m:t xml:space="preserve">Heat Input </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hour</m:t>
                  </m:r>
                </m:den>
              </m:f>
            </m:e>
          </m:d>
          <m:r>
            <w:rPr>
              <w:rFonts w:ascii="Cambria Math" w:hAnsi="Cambria Math"/>
            </w:rPr>
            <m:t xml:space="preserve">=0.00156391* </m:t>
          </m:r>
          <m:sSup>
            <m:sSupPr>
              <m:ctrlPr>
                <w:rPr>
                  <w:rFonts w:ascii="Cambria Math" w:hAnsi="Cambria Math"/>
                  <w:i/>
                </w:rPr>
              </m:ctrlPr>
            </m:sSupPr>
            <m:e>
              <m:r>
                <w:rPr>
                  <w:rFonts w:ascii="Cambria Math" w:hAnsi="Cambria Math"/>
                </w:rPr>
                <m:t>MW</m:t>
              </m:r>
            </m:e>
            <m:sup>
              <m:r>
                <w:rPr>
                  <w:rFonts w:ascii="Cambria Math" w:hAnsi="Cambria Math"/>
                </w:rPr>
                <m:t>2</m:t>
              </m:r>
            </m:sup>
          </m:sSup>
          <m:r>
            <w:rPr>
              <w:rFonts w:ascii="Cambria Math" w:hAnsi="Cambria Math"/>
            </w:rPr>
            <m:t>+9.6894*MW+306.744</m:t>
          </m:r>
        </m:oMath>
      </m:oMathPara>
    </w:p>
    <w:p w14:paraId="35641ED2" w14:textId="77777777" w:rsidR="006F6375" w:rsidRDefault="006F6375" w:rsidP="006F6375"/>
    <w:p w14:paraId="5CFF2279" w14:textId="3720B25D" w:rsidR="006F6375" w:rsidRDefault="006F6375" w:rsidP="006F6375">
      <w:r>
        <w:t xml:space="preserve">Then the </w:t>
      </w:r>
      <w:r w:rsidR="00547F71">
        <w:t>n</w:t>
      </w:r>
      <w:r>
        <w:t>o-</w:t>
      </w:r>
      <w:r w:rsidR="00547F71">
        <w:t>l</w:t>
      </w:r>
      <w:r>
        <w:t xml:space="preserve">oad </w:t>
      </w:r>
      <w:r w:rsidR="00547F71">
        <w:t>f</w:t>
      </w:r>
      <w:r>
        <w:t xml:space="preserve">uel at zero </w:t>
      </w:r>
      <w:r w:rsidR="00A06870">
        <w:t>(0)</w:t>
      </w:r>
      <w:r>
        <w:t xml:space="preserve"> output is</w:t>
      </w:r>
    </w:p>
    <w:p w14:paraId="42DA6109" w14:textId="77777777" w:rsidR="006F6375" w:rsidRDefault="006F6375" w:rsidP="006F6375">
      <w:pPr>
        <w:pStyle w:val="SPPBulletedList"/>
        <w:tabs>
          <w:tab w:val="clear" w:pos="360"/>
          <w:tab w:val="left" w:pos="720"/>
        </w:tabs>
        <w:ind w:left="0" w:firstLine="0"/>
        <w:rPr>
          <w:szCs w:val="24"/>
        </w:rPr>
      </w:pPr>
    </w:p>
    <w:p w14:paraId="4EC97162" w14:textId="7C6760F7" w:rsidR="006F6375" w:rsidRDefault="00A06870" w:rsidP="006F6375">
      <w:pPr>
        <w:pStyle w:val="SPPBulletedList"/>
        <w:tabs>
          <w:tab w:val="clear" w:pos="360"/>
          <w:tab w:val="left" w:pos="720"/>
        </w:tabs>
        <w:ind w:left="0" w:firstLine="0"/>
        <w:rPr>
          <w:szCs w:val="24"/>
        </w:rPr>
      </w:pPr>
      <m:oMathPara>
        <m:oMath>
          <m:r>
            <w:rPr>
              <w:rFonts w:ascii="Cambria Math" w:hAnsi="Cambria Math"/>
            </w:rPr>
            <m:t xml:space="preserve">No-Load Fuel=306.744 </m:t>
          </m:r>
          <m:f>
            <m:fPr>
              <m:type m:val="lin"/>
              <m:ctrlPr>
                <w:rPr>
                  <w:rFonts w:ascii="Cambria Math" w:hAnsi="Cambria Math"/>
                  <w:i/>
                </w:rPr>
              </m:ctrlPr>
            </m:fPr>
            <m:num>
              <m:r>
                <w:rPr>
                  <w:rFonts w:ascii="Cambria Math" w:hAnsi="Cambria Math"/>
                </w:rPr>
                <m:t>MMBTU</m:t>
              </m:r>
            </m:num>
            <m:den>
              <m:r>
                <w:rPr>
                  <w:rFonts w:ascii="Cambria Math" w:hAnsi="Cambria Math"/>
                </w:rPr>
                <m:t>hour</m:t>
              </m:r>
            </m:den>
          </m:f>
        </m:oMath>
      </m:oMathPara>
    </w:p>
    <w:p w14:paraId="210F91A6" w14:textId="77777777" w:rsidR="006F6375" w:rsidRDefault="006F6375" w:rsidP="006F6375">
      <w:pPr>
        <w:pStyle w:val="SPPBulletedList"/>
        <w:tabs>
          <w:tab w:val="clear" w:pos="360"/>
          <w:tab w:val="left" w:pos="720"/>
        </w:tabs>
        <w:ind w:left="0" w:firstLine="0"/>
        <w:rPr>
          <w:szCs w:val="24"/>
        </w:rPr>
      </w:pPr>
    </w:p>
    <w:p w14:paraId="6D5346FF" w14:textId="2E305B1C" w:rsidR="006F6375" w:rsidRDefault="006F6375" w:rsidP="006F6375">
      <w:r>
        <w:t xml:space="preserve">The initial estimate of a unit’s </w:t>
      </w:r>
      <w:r w:rsidR="00547F71">
        <w:t>n</w:t>
      </w:r>
      <w:r>
        <w:t>o-</w:t>
      </w:r>
      <w:r w:rsidR="00547F71">
        <w:t>l</w:t>
      </w:r>
      <w:r>
        <w:t xml:space="preserve">oad </w:t>
      </w:r>
      <w:r w:rsidR="00547F71">
        <w:t>c</w:t>
      </w:r>
      <w:r>
        <w:t>ost ($/Hr) is:</w:t>
      </w:r>
    </w:p>
    <w:p w14:paraId="2ED79F98" w14:textId="77777777" w:rsidR="006F6375" w:rsidRDefault="006F6375" w:rsidP="006F6375">
      <w:r>
        <w:tab/>
      </w:r>
    </w:p>
    <w:p w14:paraId="211266E8" w14:textId="77777777" w:rsidR="006F6375" w:rsidRDefault="006F6375" w:rsidP="006F6375">
      <w:pPr>
        <w:ind w:firstLine="360"/>
      </w:pPr>
      <w:r>
        <w:t>Performance Factor = 1.02</w:t>
      </w:r>
    </w:p>
    <w:p w14:paraId="5A02A035" w14:textId="77777777" w:rsidR="006F6375" w:rsidRDefault="006F6375" w:rsidP="006F6375">
      <w:pPr>
        <w:ind w:firstLine="360"/>
      </w:pPr>
    </w:p>
    <w:p w14:paraId="31C8E77F" w14:textId="10240356" w:rsidR="006F6375" w:rsidRDefault="006F6375" w:rsidP="006F6375">
      <w:pPr>
        <w:ind w:firstLine="360"/>
      </w:pPr>
      <w:r>
        <w:t>Total Fuel related Cost (TFRC) = $14.00 MMB</w:t>
      </w:r>
      <w:r w:rsidR="00A06870">
        <w:t>tu</w:t>
      </w:r>
    </w:p>
    <w:p w14:paraId="0365CF9A" w14:textId="77777777" w:rsidR="006F6375" w:rsidRDefault="006F6375" w:rsidP="006F6375">
      <w:pPr>
        <w:pStyle w:val="SPPBulletedList"/>
        <w:tabs>
          <w:tab w:val="clear" w:pos="360"/>
          <w:tab w:val="left" w:pos="720"/>
        </w:tabs>
        <w:ind w:left="0" w:firstLine="360"/>
        <w:rPr>
          <w:szCs w:val="24"/>
        </w:rPr>
      </w:pPr>
    </w:p>
    <w:p w14:paraId="73D9FFF7" w14:textId="417143C8" w:rsidR="006F6375" w:rsidRDefault="00A06870" w:rsidP="006F6375">
      <w:pPr>
        <w:pStyle w:val="SPPBulletedList"/>
        <w:tabs>
          <w:tab w:val="clear" w:pos="360"/>
          <w:tab w:val="left" w:pos="720"/>
        </w:tabs>
        <w:ind w:left="0" w:firstLine="0"/>
        <w:jc w:val="both"/>
        <w:rPr>
          <w:szCs w:val="24"/>
        </w:rPr>
      </w:pPr>
      <m:oMathPara>
        <m:oMath>
          <m:r>
            <w:rPr>
              <w:rFonts w:ascii="Cambria Math" w:hAnsi="Cambria Math"/>
            </w:rPr>
            <m:t xml:space="preserve">NoLoad Cost </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m:t>
          </m:r>
          <m:d>
            <m:dPr>
              <m:ctrlPr>
                <w:rPr>
                  <w:rFonts w:ascii="Cambria Math" w:hAnsi="Cambria Math"/>
                  <w:i/>
                </w:rPr>
              </m:ctrlPr>
            </m:dPr>
            <m:e>
              <m:r>
                <w:rPr>
                  <w:rFonts w:ascii="Cambria Math" w:hAnsi="Cambria Math"/>
                </w:rPr>
                <m:t>No Load Fuel*Performance Factor*TFRC</m:t>
              </m:r>
            </m:e>
          </m:d>
          <m:r>
            <w:rPr>
              <w:rFonts w:ascii="Cambria Math" w:hAnsi="Cambria Math"/>
            </w:rPr>
            <m:t>=306.744</m:t>
          </m:r>
          <m:f>
            <m:fPr>
              <m:type m:val="lin"/>
              <m:ctrlPr>
                <w:rPr>
                  <w:rFonts w:ascii="Cambria Math" w:hAnsi="Cambria Math"/>
                  <w:i/>
                </w:rPr>
              </m:ctrlPr>
            </m:fPr>
            <m:num>
              <m:r>
                <w:rPr>
                  <w:rFonts w:ascii="Cambria Math" w:hAnsi="Cambria Math"/>
                </w:rPr>
                <m:t>MMBTU</m:t>
              </m:r>
            </m:num>
            <m:den>
              <m:r>
                <w:rPr>
                  <w:rFonts w:ascii="Cambria Math" w:hAnsi="Cambria Math"/>
                </w:rPr>
                <m:t>hour</m:t>
              </m:r>
            </m:den>
          </m:f>
          <m:r>
            <w:rPr>
              <w:rFonts w:ascii="Cambria Math" w:hAnsi="Cambria Math"/>
            </w:rPr>
            <m:t>*1.02*</m:t>
          </m:r>
          <m:f>
            <m:fPr>
              <m:ctrlPr>
                <w:rPr>
                  <w:rFonts w:ascii="Cambria Math" w:hAnsi="Cambria Math"/>
                  <w:i/>
                </w:rPr>
              </m:ctrlPr>
            </m:fPr>
            <m:num>
              <m:r>
                <w:rPr>
                  <w:rFonts w:ascii="Cambria Math" w:hAnsi="Cambria Math"/>
                </w:rPr>
                <m:t>$14.00</m:t>
              </m:r>
            </m:num>
            <m:den>
              <m:r>
                <w:rPr>
                  <w:rFonts w:ascii="Cambria Math" w:hAnsi="Cambria Math"/>
                </w:rPr>
                <m:t>MMBtu</m:t>
              </m:r>
            </m:den>
          </m:f>
          <m:r>
            <w:rPr>
              <w:rFonts w:ascii="Cambria Math" w:hAnsi="Cambria Math"/>
            </w:rPr>
            <m:t>=$4,380/</m:t>
          </m:r>
          <m:r>
            <w:rPr>
              <w:rFonts w:ascii="Cambria Math" w:hAnsi="Cambria Math"/>
            </w:rPr>
            <m:t>hour</m:t>
          </m:r>
        </m:oMath>
      </m:oMathPara>
    </w:p>
    <w:p w14:paraId="0D3D8957" w14:textId="77777777" w:rsidR="006F6375" w:rsidRDefault="006F6375" w:rsidP="006F6375">
      <w:pPr>
        <w:pStyle w:val="SPPBulletedList"/>
        <w:tabs>
          <w:tab w:val="clear" w:pos="360"/>
          <w:tab w:val="left" w:pos="720"/>
        </w:tabs>
      </w:pPr>
    </w:p>
    <w:p w14:paraId="0CCA8395" w14:textId="136E945A" w:rsidR="006F6375" w:rsidRDefault="006F6375" w:rsidP="006F6375">
      <w:r>
        <w:t xml:space="preserve">The unit’s Cost Curve must be developed to determine if adjustments are needed for the unit’s </w:t>
      </w:r>
      <w:r w:rsidR="00547F71">
        <w:t>n</w:t>
      </w:r>
      <w:r>
        <w:t>o-</w:t>
      </w:r>
      <w:r w:rsidR="00547F71">
        <w:t>l</w:t>
      </w:r>
      <w:r>
        <w:t xml:space="preserve">oad </w:t>
      </w:r>
      <w:r w:rsidR="00547F71">
        <w:t>c</w:t>
      </w:r>
      <w:r>
        <w:t>ost.  The Heat Input Curve Equation is used to determine the units heat input at various outputs. Total Operating Cost is calculated by:</w:t>
      </w:r>
    </w:p>
    <w:p w14:paraId="5026AEB7" w14:textId="77777777" w:rsidR="006F6375" w:rsidRDefault="006F6375" w:rsidP="006F6375"/>
    <w:p w14:paraId="7709762C" w14:textId="143DEABC" w:rsidR="006F6375" w:rsidRDefault="006F6375" w:rsidP="006F6375">
      <w:pPr>
        <w:ind w:firstLine="360"/>
      </w:pPr>
      <w:r>
        <w:t>VOM = $0.15/MMB</w:t>
      </w:r>
      <w:r w:rsidR="00A06870">
        <w:t>tu</w:t>
      </w:r>
    </w:p>
    <w:p w14:paraId="41077211" w14:textId="77777777" w:rsidR="006F6375" w:rsidRDefault="00007736" w:rsidP="006F6375">
      <w:pPr>
        <w:pStyle w:val="SPPBulletedList"/>
        <w:tabs>
          <w:tab w:val="clear" w:pos="360"/>
          <w:tab w:val="left" w:pos="720"/>
        </w:tabs>
        <w:ind w:firstLine="0"/>
      </w:pPr>
      <m:oMathPara>
        <m:oMath>
          <m:r>
            <w:rPr>
              <w:rFonts w:ascii="Cambria Math" w:hAnsi="Cambria Math"/>
            </w:rPr>
            <m:t>Total Operating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=Heat Input*Performance Factor*</m:t>
          </m:r>
          <m:d>
            <m:dPr>
              <m:ctrlPr>
                <w:rPr>
                  <w:rFonts w:ascii="Cambria Math" w:hAnsi="Cambria Math"/>
                  <w:i/>
                </w:rPr>
              </m:ctrlPr>
            </m:dPr>
            <m:e>
              <m:r>
                <w:rPr>
                  <w:rFonts w:ascii="Cambria Math" w:hAnsi="Cambria Math"/>
                </w:rPr>
                <m:t>TFRC+VOM</m:t>
              </m:r>
            </m:e>
          </m:d>
        </m:oMath>
      </m:oMathPara>
    </w:p>
    <w:p w14:paraId="55AFC839" w14:textId="77777777" w:rsidR="006F6375" w:rsidRDefault="006F6375" w:rsidP="006F6375">
      <w:pPr>
        <w:pStyle w:val="SPPBulletedList"/>
        <w:tabs>
          <w:tab w:val="clear" w:pos="360"/>
          <w:tab w:val="left" w:pos="720"/>
        </w:tabs>
        <w:ind w:firstLine="0"/>
      </w:pPr>
    </w:p>
    <w:tbl>
      <w:tblPr>
        <w:tblW w:w="0" w:type="auto"/>
        <w:jc w:val="center"/>
        <w:tblBorders>
          <w:top w:val="single" w:sz="8" w:space="0" w:color="3B3B3B"/>
          <w:bottom w:val="single" w:sz="8" w:space="0" w:color="3B3B3B"/>
        </w:tblBorders>
        <w:tblLook w:val="04A0" w:firstRow="1" w:lastRow="0" w:firstColumn="1" w:lastColumn="0" w:noHBand="0" w:noVBand="1"/>
      </w:tblPr>
      <w:tblGrid>
        <w:gridCol w:w="1759"/>
        <w:gridCol w:w="2700"/>
        <w:gridCol w:w="2970"/>
      </w:tblGrid>
      <w:tr w:rsidR="006F6375" w14:paraId="02B73F98" w14:textId="77777777">
        <w:trPr>
          <w:cantSplit/>
          <w:jc w:val="center"/>
        </w:trPr>
        <w:tc>
          <w:tcPr>
            <w:tcW w:w="1759" w:type="dxa"/>
            <w:tcBorders>
              <w:top w:val="nil"/>
              <w:left w:val="nil"/>
              <w:bottom w:val="single" w:sz="8" w:space="0" w:color="3B3B3B"/>
              <w:right w:val="nil"/>
            </w:tcBorders>
            <w:shd w:val="clear" w:color="auto" w:fill="929292"/>
            <w:hideMark/>
          </w:tcPr>
          <w:p w14:paraId="53A10893"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700" w:type="dxa"/>
            <w:tcBorders>
              <w:top w:val="nil"/>
              <w:left w:val="nil"/>
              <w:bottom w:val="single" w:sz="8" w:space="0" w:color="3B3B3B"/>
              <w:right w:val="nil"/>
            </w:tcBorders>
            <w:shd w:val="clear" w:color="auto" w:fill="929292"/>
            <w:hideMark/>
          </w:tcPr>
          <w:p w14:paraId="63D2CF62" w14:textId="2662DDF4"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Heat Input (MMB</w:t>
            </w:r>
            <w:r w:rsidR="00A06870">
              <w:rPr>
                <w:rFonts w:ascii="Times New Roman" w:hAnsi="Times New Roman"/>
                <w:b/>
                <w:color w:val="F8F8F8"/>
                <w:kern w:val="2"/>
                <w:sz w:val="24"/>
                <w:szCs w:val="24"/>
                <w14:ligatures w14:val="standardContextual"/>
              </w:rPr>
              <w:t>tu</w:t>
            </w:r>
            <w:r>
              <w:rPr>
                <w:rFonts w:ascii="Times New Roman" w:hAnsi="Times New Roman"/>
                <w:b/>
                <w:color w:val="F8F8F8"/>
                <w:kern w:val="2"/>
                <w:sz w:val="24"/>
                <w:szCs w:val="24"/>
                <w14:ligatures w14:val="standardContextual"/>
              </w:rPr>
              <w:t>/hr)</w:t>
            </w:r>
          </w:p>
        </w:tc>
        <w:tc>
          <w:tcPr>
            <w:tcW w:w="2970" w:type="dxa"/>
            <w:tcBorders>
              <w:top w:val="nil"/>
              <w:left w:val="nil"/>
              <w:bottom w:val="single" w:sz="8" w:space="0" w:color="3B3B3B"/>
              <w:right w:val="nil"/>
            </w:tcBorders>
            <w:shd w:val="clear" w:color="auto" w:fill="929292"/>
            <w:hideMark/>
          </w:tcPr>
          <w:p w14:paraId="296AD698"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Total Operating Cost ($/hr)</w:t>
            </w:r>
          </w:p>
        </w:tc>
      </w:tr>
      <w:tr w:rsidR="006F6375" w14:paraId="14391444" w14:textId="77777777">
        <w:trPr>
          <w:cantSplit/>
          <w:jc w:val="center"/>
        </w:trPr>
        <w:tc>
          <w:tcPr>
            <w:tcW w:w="1759" w:type="dxa"/>
            <w:tcBorders>
              <w:top w:val="nil"/>
              <w:left w:val="nil"/>
              <w:bottom w:val="nil"/>
              <w:right w:val="nil"/>
            </w:tcBorders>
            <w:shd w:val="clear" w:color="auto" w:fill="CECECE"/>
            <w:hideMark/>
          </w:tcPr>
          <w:p w14:paraId="4B0F4A70"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50</w:t>
            </w:r>
          </w:p>
        </w:tc>
        <w:tc>
          <w:tcPr>
            <w:tcW w:w="2700" w:type="dxa"/>
            <w:tcBorders>
              <w:top w:val="nil"/>
              <w:left w:val="nil"/>
              <w:bottom w:val="nil"/>
              <w:right w:val="nil"/>
            </w:tcBorders>
            <w:shd w:val="clear" w:color="auto" w:fill="CECECE"/>
            <w:hideMark/>
          </w:tcPr>
          <w:p w14:paraId="24A78894"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795.12</w:t>
            </w:r>
          </w:p>
        </w:tc>
        <w:tc>
          <w:tcPr>
            <w:tcW w:w="2970" w:type="dxa"/>
            <w:tcBorders>
              <w:top w:val="nil"/>
              <w:left w:val="nil"/>
              <w:bottom w:val="nil"/>
              <w:right w:val="nil"/>
            </w:tcBorders>
            <w:shd w:val="clear" w:color="auto" w:fill="CECECE"/>
            <w:hideMark/>
          </w:tcPr>
          <w:p w14:paraId="4A2F50BC"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11,476</w:t>
            </w:r>
          </w:p>
        </w:tc>
      </w:tr>
      <w:tr w:rsidR="006F6375" w14:paraId="13026E0D" w14:textId="77777777">
        <w:trPr>
          <w:cantSplit/>
          <w:jc w:val="center"/>
        </w:trPr>
        <w:tc>
          <w:tcPr>
            <w:tcW w:w="1759" w:type="dxa"/>
            <w:tcBorders>
              <w:top w:val="nil"/>
              <w:left w:val="nil"/>
              <w:bottom w:val="nil"/>
              <w:right w:val="nil"/>
            </w:tcBorders>
            <w:hideMark/>
          </w:tcPr>
          <w:p w14:paraId="6CCB319E"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160</w:t>
            </w:r>
          </w:p>
        </w:tc>
        <w:tc>
          <w:tcPr>
            <w:tcW w:w="2700" w:type="dxa"/>
            <w:tcBorders>
              <w:top w:val="nil"/>
              <w:left w:val="nil"/>
              <w:bottom w:val="nil"/>
              <w:right w:val="nil"/>
            </w:tcBorders>
            <w:hideMark/>
          </w:tcPr>
          <w:p w14:paraId="4A3B6E16"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1897.08</w:t>
            </w:r>
          </w:p>
        </w:tc>
        <w:tc>
          <w:tcPr>
            <w:tcW w:w="2970" w:type="dxa"/>
            <w:tcBorders>
              <w:top w:val="nil"/>
              <w:left w:val="nil"/>
              <w:bottom w:val="nil"/>
              <w:right w:val="nil"/>
            </w:tcBorders>
            <w:hideMark/>
          </w:tcPr>
          <w:p w14:paraId="64FB2D36"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27,381</w:t>
            </w:r>
          </w:p>
        </w:tc>
      </w:tr>
      <w:tr w:rsidR="006F6375" w14:paraId="5EB7C77D" w14:textId="77777777">
        <w:trPr>
          <w:cantSplit/>
          <w:jc w:val="center"/>
        </w:trPr>
        <w:tc>
          <w:tcPr>
            <w:tcW w:w="1759" w:type="dxa"/>
            <w:tcBorders>
              <w:top w:val="nil"/>
              <w:left w:val="nil"/>
              <w:bottom w:val="nil"/>
              <w:right w:val="nil"/>
            </w:tcBorders>
            <w:shd w:val="clear" w:color="auto" w:fill="CECECE"/>
            <w:hideMark/>
          </w:tcPr>
          <w:p w14:paraId="5F449EBF"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310</w:t>
            </w:r>
          </w:p>
        </w:tc>
        <w:tc>
          <w:tcPr>
            <w:tcW w:w="2700" w:type="dxa"/>
            <w:tcBorders>
              <w:top w:val="nil"/>
              <w:left w:val="nil"/>
              <w:bottom w:val="nil"/>
              <w:right w:val="nil"/>
            </w:tcBorders>
            <w:shd w:val="clear" w:color="auto" w:fill="CECECE"/>
            <w:hideMark/>
          </w:tcPr>
          <w:p w14:paraId="668ADDCD"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3460.75</w:t>
            </w:r>
          </w:p>
        </w:tc>
        <w:tc>
          <w:tcPr>
            <w:tcW w:w="2970" w:type="dxa"/>
            <w:tcBorders>
              <w:top w:val="nil"/>
              <w:left w:val="nil"/>
              <w:bottom w:val="nil"/>
              <w:right w:val="nil"/>
            </w:tcBorders>
            <w:shd w:val="clear" w:color="auto" w:fill="CECECE"/>
            <w:hideMark/>
          </w:tcPr>
          <w:p w14:paraId="786BE832"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49,949</w:t>
            </w:r>
          </w:p>
        </w:tc>
      </w:tr>
      <w:tr w:rsidR="006F6375" w14:paraId="19F25262" w14:textId="77777777">
        <w:trPr>
          <w:cantSplit/>
          <w:jc w:val="center"/>
        </w:trPr>
        <w:tc>
          <w:tcPr>
            <w:tcW w:w="1759" w:type="dxa"/>
            <w:tcBorders>
              <w:top w:val="nil"/>
              <w:left w:val="nil"/>
              <w:bottom w:val="nil"/>
              <w:right w:val="nil"/>
            </w:tcBorders>
            <w:hideMark/>
          </w:tcPr>
          <w:p w14:paraId="4B6CF408"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410</w:t>
            </w:r>
          </w:p>
        </w:tc>
        <w:tc>
          <w:tcPr>
            <w:tcW w:w="2700" w:type="dxa"/>
            <w:tcBorders>
              <w:top w:val="nil"/>
              <w:left w:val="nil"/>
              <w:bottom w:val="nil"/>
              <w:right w:val="nil"/>
            </w:tcBorders>
            <w:hideMark/>
          </w:tcPr>
          <w:p w14:paraId="2DDAA6C8"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4542.29</w:t>
            </w:r>
          </w:p>
        </w:tc>
        <w:tc>
          <w:tcPr>
            <w:tcW w:w="2970" w:type="dxa"/>
            <w:tcBorders>
              <w:top w:val="nil"/>
              <w:left w:val="nil"/>
              <w:bottom w:val="nil"/>
              <w:right w:val="nil"/>
            </w:tcBorders>
            <w:hideMark/>
          </w:tcPr>
          <w:p w14:paraId="383D1242"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65,559</w:t>
            </w:r>
          </w:p>
        </w:tc>
      </w:tr>
      <w:tr w:rsidR="006F6375" w14:paraId="6B3CB4D0" w14:textId="77777777">
        <w:trPr>
          <w:cantSplit/>
          <w:jc w:val="center"/>
        </w:trPr>
        <w:tc>
          <w:tcPr>
            <w:tcW w:w="1759" w:type="dxa"/>
            <w:tcBorders>
              <w:top w:val="nil"/>
              <w:left w:val="nil"/>
              <w:bottom w:val="nil"/>
              <w:right w:val="nil"/>
            </w:tcBorders>
            <w:shd w:val="clear" w:color="auto" w:fill="CECECE"/>
            <w:hideMark/>
          </w:tcPr>
          <w:p w14:paraId="004F3C5E"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525</w:t>
            </w:r>
          </w:p>
        </w:tc>
        <w:tc>
          <w:tcPr>
            <w:tcW w:w="2700" w:type="dxa"/>
            <w:tcBorders>
              <w:top w:val="nil"/>
              <w:left w:val="nil"/>
              <w:bottom w:val="nil"/>
              <w:right w:val="nil"/>
            </w:tcBorders>
            <w:shd w:val="clear" w:color="auto" w:fill="CECECE"/>
            <w:hideMark/>
          </w:tcPr>
          <w:p w14:paraId="7ACB8F8D"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5824.73</w:t>
            </w:r>
          </w:p>
        </w:tc>
        <w:tc>
          <w:tcPr>
            <w:tcW w:w="2970" w:type="dxa"/>
            <w:tcBorders>
              <w:top w:val="nil"/>
              <w:left w:val="nil"/>
              <w:bottom w:val="nil"/>
              <w:right w:val="nil"/>
            </w:tcBorders>
            <w:shd w:val="clear" w:color="auto" w:fill="CECECE"/>
            <w:hideMark/>
          </w:tcPr>
          <w:p w14:paraId="6E4F1745"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84,068</w:t>
            </w:r>
          </w:p>
        </w:tc>
      </w:tr>
      <w:tr w:rsidR="006F6375" w14:paraId="4EAAF0AB" w14:textId="77777777">
        <w:trPr>
          <w:cantSplit/>
          <w:jc w:val="center"/>
        </w:trPr>
        <w:tc>
          <w:tcPr>
            <w:tcW w:w="1759" w:type="dxa"/>
            <w:tcBorders>
              <w:top w:val="nil"/>
              <w:left w:val="nil"/>
              <w:bottom w:val="single" w:sz="8" w:space="0" w:color="3B3B3B"/>
              <w:right w:val="nil"/>
            </w:tcBorders>
            <w:hideMark/>
          </w:tcPr>
          <w:p w14:paraId="12F18E6B"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550</w:t>
            </w:r>
          </w:p>
        </w:tc>
        <w:tc>
          <w:tcPr>
            <w:tcW w:w="2700" w:type="dxa"/>
            <w:tcBorders>
              <w:top w:val="nil"/>
              <w:left w:val="nil"/>
              <w:bottom w:val="single" w:sz="8" w:space="0" w:color="3B3B3B"/>
              <w:right w:val="nil"/>
            </w:tcBorders>
            <w:hideMark/>
          </w:tcPr>
          <w:p w14:paraId="57F16647"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6109.00</w:t>
            </w:r>
          </w:p>
        </w:tc>
        <w:tc>
          <w:tcPr>
            <w:tcW w:w="2970" w:type="dxa"/>
            <w:tcBorders>
              <w:top w:val="nil"/>
              <w:left w:val="nil"/>
              <w:bottom w:val="single" w:sz="8" w:space="0" w:color="3B3B3B"/>
              <w:right w:val="nil"/>
            </w:tcBorders>
            <w:hideMark/>
          </w:tcPr>
          <w:p w14:paraId="62ED8F9A" w14:textId="7738267F"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88,171</w:t>
            </w:r>
          </w:p>
        </w:tc>
      </w:tr>
    </w:tbl>
    <w:p w14:paraId="0EDFB547" w14:textId="77777777" w:rsidR="006F6375" w:rsidRDefault="006F6375" w:rsidP="006F6375">
      <w:pPr>
        <w:pStyle w:val="SPPBulletedList"/>
        <w:tabs>
          <w:tab w:val="clear" w:pos="360"/>
          <w:tab w:val="left" w:pos="720"/>
        </w:tabs>
        <w:ind w:left="0" w:firstLine="0"/>
      </w:pPr>
    </w:p>
    <w:p w14:paraId="373A2083" w14:textId="77777777" w:rsidR="006F6375" w:rsidRDefault="006F6375" w:rsidP="006F6375">
      <w:r>
        <w:t>The unit’s incremental cost ($/MWh) at various outputs can be determined arithmetically by the following equation:</w:t>
      </w:r>
    </w:p>
    <w:p w14:paraId="4BFE1283" w14:textId="77777777" w:rsidR="006F6375" w:rsidRDefault="006F6375" w:rsidP="006F6375">
      <w:pPr>
        <w:pStyle w:val="SPPBulletedList"/>
        <w:tabs>
          <w:tab w:val="clear" w:pos="360"/>
          <w:tab w:val="left" w:pos="720"/>
        </w:tabs>
        <w:ind w:left="0" w:firstLine="0"/>
      </w:pPr>
    </w:p>
    <w:p w14:paraId="6D190C05" w14:textId="77777777" w:rsidR="006F6375" w:rsidRDefault="00007736" w:rsidP="006F6375">
      <w:pPr>
        <w:pStyle w:val="SPPBulletedList"/>
        <w:tabs>
          <w:tab w:val="clear" w:pos="360"/>
          <w:tab w:val="left" w:pos="720"/>
        </w:tabs>
        <w:ind w:left="0" w:firstLine="0"/>
      </w:pPr>
      <m:oMathPara>
        <m:oMath>
          <m:r>
            <w:rPr>
              <w:rFonts w:ascii="Cambria Math" w:hAnsi="Cambria Math"/>
            </w:rPr>
            <m:t xml:space="preserve">Incremental Cost </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f>
            <m:fPr>
              <m:ctrlPr>
                <w:rPr>
                  <w:rFonts w:ascii="Cambria Math" w:hAnsi="Cambria Math"/>
                  <w:i/>
                </w:rPr>
              </m:ctrlPr>
            </m:fPr>
            <m:num>
              <m:r>
                <w:rPr>
                  <w:rFonts w:ascii="Cambria Math" w:hAnsi="Cambria Math"/>
                </w:rPr>
                <m:t xml:space="preserve">Total Operating Cost </m:t>
              </m:r>
              <m:sSub>
                <m:sSubPr>
                  <m:ctrlPr>
                    <w:rPr>
                      <w:rFonts w:ascii="Cambria Math" w:hAnsi="Cambria Math"/>
                      <w:i/>
                    </w:rPr>
                  </m:ctrlPr>
                </m:sSubPr>
                <m:e>
                  <m:r>
                    <w:rPr>
                      <w:rFonts w:ascii="Cambria Math" w:hAnsi="Cambria Math"/>
                    </w:rPr>
                    <m:t>MW</m:t>
                  </m:r>
                </m:e>
                <m:sub>
                  <m:r>
                    <w:rPr>
                      <w:rFonts w:ascii="Cambria Math" w:hAnsi="Cambria Math"/>
                    </w:rPr>
                    <m:t>2</m:t>
                  </m:r>
                </m:sub>
              </m:sSub>
              <m:r>
                <w:rPr>
                  <w:rFonts w:ascii="Cambria Math" w:hAnsi="Cambria Math"/>
                </w:rPr>
                <m:t xml:space="preserve">-Total Operating Cost </m:t>
              </m:r>
              <m:sSub>
                <m:sSubPr>
                  <m:ctrlPr>
                    <w:rPr>
                      <w:rFonts w:ascii="Cambria Math" w:hAnsi="Cambria Math"/>
                      <w:i/>
                    </w:rPr>
                  </m:ctrlPr>
                </m:sSubPr>
                <m:e>
                  <m:r>
                    <w:rPr>
                      <w:rFonts w:ascii="Cambria Math" w:hAnsi="Cambria Math"/>
                    </w:rPr>
                    <m:t>MW</m:t>
                  </m:r>
                </m:e>
                <m:sub>
                  <m:r>
                    <w:rPr>
                      <w:rFonts w:ascii="Cambria Math" w:hAnsi="Cambria Math"/>
                    </w:rPr>
                    <m:t>1</m:t>
                  </m:r>
                </m:sub>
              </m:sSub>
            </m:num>
            <m:den>
              <m:sSub>
                <m:sSubPr>
                  <m:ctrlPr>
                    <w:rPr>
                      <w:rFonts w:ascii="Cambria Math" w:hAnsi="Cambria Math"/>
                      <w:i/>
                    </w:rPr>
                  </m:ctrlPr>
                </m:sSubPr>
                <m:e>
                  <m:r>
                    <w:rPr>
                      <w:rFonts w:ascii="Cambria Math" w:hAnsi="Cambria Math"/>
                    </w:rPr>
                    <m:t>MW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MW</m:t>
                  </m:r>
                </m:e>
                <m:sub>
                  <m:r>
                    <w:rPr>
                      <w:rFonts w:ascii="Cambria Math" w:hAnsi="Cambria Math"/>
                    </w:rPr>
                    <m:t>1</m:t>
                  </m:r>
                </m:sub>
              </m:sSub>
            </m:den>
          </m:f>
        </m:oMath>
      </m:oMathPara>
    </w:p>
    <w:p w14:paraId="74EF1340" w14:textId="77777777" w:rsidR="006F6375" w:rsidRDefault="006F6375" w:rsidP="006F6375">
      <w:pPr>
        <w:pStyle w:val="SPPBulletedList"/>
        <w:tabs>
          <w:tab w:val="clear" w:pos="360"/>
          <w:tab w:val="left" w:pos="720"/>
        </w:tabs>
        <w:ind w:left="0" w:firstLine="0"/>
      </w:pPr>
    </w:p>
    <w:tbl>
      <w:tblPr>
        <w:tblW w:w="0" w:type="auto"/>
        <w:jc w:val="center"/>
        <w:tblBorders>
          <w:top w:val="single" w:sz="8" w:space="0" w:color="3B3B3B"/>
          <w:bottom w:val="single" w:sz="8" w:space="0" w:color="3B3B3B"/>
        </w:tblBorders>
        <w:tblLook w:val="04A0" w:firstRow="1" w:lastRow="0" w:firstColumn="1" w:lastColumn="0" w:noHBand="0" w:noVBand="1"/>
      </w:tblPr>
      <w:tblGrid>
        <w:gridCol w:w="2520"/>
        <w:gridCol w:w="2970"/>
      </w:tblGrid>
      <w:tr w:rsidR="006F6375" w14:paraId="1B8ABBA1" w14:textId="77777777">
        <w:trPr>
          <w:cantSplit/>
          <w:jc w:val="center"/>
        </w:trPr>
        <w:tc>
          <w:tcPr>
            <w:tcW w:w="2520" w:type="dxa"/>
            <w:tcBorders>
              <w:top w:val="nil"/>
              <w:left w:val="nil"/>
              <w:bottom w:val="single" w:sz="8" w:space="0" w:color="3B3B3B"/>
              <w:right w:val="nil"/>
            </w:tcBorders>
            <w:shd w:val="clear" w:color="auto" w:fill="929292"/>
            <w:hideMark/>
          </w:tcPr>
          <w:p w14:paraId="12C26CC6"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970" w:type="dxa"/>
            <w:tcBorders>
              <w:top w:val="nil"/>
              <w:left w:val="nil"/>
              <w:bottom w:val="single" w:sz="8" w:space="0" w:color="3B3B3B"/>
              <w:right w:val="nil"/>
            </w:tcBorders>
            <w:shd w:val="clear" w:color="auto" w:fill="929292"/>
            <w:hideMark/>
          </w:tcPr>
          <w:p w14:paraId="47D39868"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Incremental Cost ($/MWh)</w:t>
            </w:r>
          </w:p>
        </w:tc>
      </w:tr>
      <w:tr w:rsidR="006F6375" w14:paraId="3F7B5FD8" w14:textId="77777777">
        <w:trPr>
          <w:jc w:val="center"/>
        </w:trPr>
        <w:tc>
          <w:tcPr>
            <w:tcW w:w="2520" w:type="dxa"/>
            <w:tcBorders>
              <w:top w:val="nil"/>
              <w:left w:val="nil"/>
              <w:bottom w:val="nil"/>
              <w:right w:val="nil"/>
            </w:tcBorders>
            <w:shd w:val="clear" w:color="auto" w:fill="CECECE"/>
            <w:hideMark/>
          </w:tcPr>
          <w:p w14:paraId="344CCDE8"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50</w:t>
            </w:r>
          </w:p>
        </w:tc>
        <w:tc>
          <w:tcPr>
            <w:tcW w:w="2970" w:type="dxa"/>
            <w:tcBorders>
              <w:top w:val="nil"/>
              <w:left w:val="nil"/>
              <w:bottom w:val="nil"/>
              <w:right w:val="nil"/>
            </w:tcBorders>
            <w:shd w:val="clear" w:color="auto" w:fill="CECECE"/>
            <w:hideMark/>
          </w:tcPr>
          <w:p w14:paraId="0183FC86"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141.91</w:t>
            </w:r>
          </w:p>
        </w:tc>
      </w:tr>
      <w:tr w:rsidR="006F6375" w14:paraId="2E85CC61" w14:textId="77777777">
        <w:trPr>
          <w:jc w:val="center"/>
        </w:trPr>
        <w:tc>
          <w:tcPr>
            <w:tcW w:w="2520" w:type="dxa"/>
            <w:tcBorders>
              <w:top w:val="nil"/>
              <w:left w:val="nil"/>
              <w:bottom w:val="nil"/>
              <w:right w:val="nil"/>
            </w:tcBorders>
            <w:hideMark/>
          </w:tcPr>
          <w:p w14:paraId="7B18C007"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160</w:t>
            </w:r>
          </w:p>
        </w:tc>
        <w:tc>
          <w:tcPr>
            <w:tcW w:w="2970" w:type="dxa"/>
            <w:tcBorders>
              <w:top w:val="nil"/>
              <w:left w:val="nil"/>
              <w:bottom w:val="nil"/>
              <w:right w:val="nil"/>
            </w:tcBorders>
            <w:hideMark/>
          </w:tcPr>
          <w:p w14:paraId="7F8BBAAF"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144.59</w:t>
            </w:r>
          </w:p>
        </w:tc>
      </w:tr>
      <w:tr w:rsidR="006F6375" w14:paraId="17AB9A01" w14:textId="77777777">
        <w:trPr>
          <w:jc w:val="center"/>
        </w:trPr>
        <w:tc>
          <w:tcPr>
            <w:tcW w:w="2520" w:type="dxa"/>
            <w:tcBorders>
              <w:top w:val="nil"/>
              <w:left w:val="nil"/>
              <w:bottom w:val="nil"/>
              <w:right w:val="nil"/>
            </w:tcBorders>
            <w:shd w:val="clear" w:color="auto" w:fill="CECECE"/>
            <w:hideMark/>
          </w:tcPr>
          <w:p w14:paraId="5DFE6201"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310</w:t>
            </w:r>
          </w:p>
        </w:tc>
        <w:tc>
          <w:tcPr>
            <w:tcW w:w="2970" w:type="dxa"/>
            <w:tcBorders>
              <w:top w:val="nil"/>
              <w:left w:val="nil"/>
              <w:bottom w:val="nil"/>
              <w:right w:val="nil"/>
            </w:tcBorders>
            <w:shd w:val="clear" w:color="auto" w:fill="CECECE"/>
            <w:hideMark/>
          </w:tcPr>
          <w:p w14:paraId="0302A61F"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150.46</w:t>
            </w:r>
          </w:p>
        </w:tc>
      </w:tr>
      <w:tr w:rsidR="006F6375" w14:paraId="03575B1F" w14:textId="77777777">
        <w:trPr>
          <w:jc w:val="center"/>
        </w:trPr>
        <w:tc>
          <w:tcPr>
            <w:tcW w:w="2520" w:type="dxa"/>
            <w:tcBorders>
              <w:top w:val="nil"/>
              <w:left w:val="nil"/>
              <w:bottom w:val="nil"/>
              <w:right w:val="nil"/>
            </w:tcBorders>
            <w:hideMark/>
          </w:tcPr>
          <w:p w14:paraId="2D3FC852"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410</w:t>
            </w:r>
          </w:p>
        </w:tc>
        <w:tc>
          <w:tcPr>
            <w:tcW w:w="2970" w:type="dxa"/>
            <w:tcBorders>
              <w:top w:val="nil"/>
              <w:left w:val="nil"/>
              <w:bottom w:val="nil"/>
              <w:right w:val="nil"/>
            </w:tcBorders>
            <w:hideMark/>
          </w:tcPr>
          <w:p w14:paraId="02F4C5DD"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156.10</w:t>
            </w:r>
          </w:p>
        </w:tc>
      </w:tr>
      <w:tr w:rsidR="006F6375" w14:paraId="69CDA902" w14:textId="77777777">
        <w:trPr>
          <w:jc w:val="center"/>
        </w:trPr>
        <w:tc>
          <w:tcPr>
            <w:tcW w:w="2520" w:type="dxa"/>
            <w:tcBorders>
              <w:top w:val="nil"/>
              <w:left w:val="nil"/>
              <w:bottom w:val="nil"/>
              <w:right w:val="nil"/>
            </w:tcBorders>
            <w:shd w:val="clear" w:color="auto" w:fill="CECECE"/>
            <w:hideMark/>
          </w:tcPr>
          <w:p w14:paraId="494F71B4"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525</w:t>
            </w:r>
          </w:p>
        </w:tc>
        <w:tc>
          <w:tcPr>
            <w:tcW w:w="2970" w:type="dxa"/>
            <w:tcBorders>
              <w:top w:val="nil"/>
              <w:left w:val="nil"/>
              <w:bottom w:val="nil"/>
              <w:right w:val="nil"/>
            </w:tcBorders>
            <w:shd w:val="clear" w:color="auto" w:fill="CECECE"/>
            <w:hideMark/>
          </w:tcPr>
          <w:p w14:paraId="07C9F521"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160.95</w:t>
            </w:r>
          </w:p>
        </w:tc>
      </w:tr>
      <w:tr w:rsidR="006F6375" w14:paraId="49761AD1" w14:textId="77777777">
        <w:trPr>
          <w:jc w:val="center"/>
        </w:trPr>
        <w:tc>
          <w:tcPr>
            <w:tcW w:w="2520" w:type="dxa"/>
            <w:tcBorders>
              <w:top w:val="nil"/>
              <w:left w:val="nil"/>
              <w:bottom w:val="single" w:sz="8" w:space="0" w:color="3B3B3B"/>
              <w:right w:val="nil"/>
            </w:tcBorders>
            <w:hideMark/>
          </w:tcPr>
          <w:p w14:paraId="11D9B082"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550</w:t>
            </w:r>
          </w:p>
        </w:tc>
        <w:tc>
          <w:tcPr>
            <w:tcW w:w="2970" w:type="dxa"/>
            <w:tcBorders>
              <w:top w:val="nil"/>
              <w:left w:val="nil"/>
              <w:bottom w:val="single" w:sz="8" w:space="0" w:color="3B3B3B"/>
              <w:right w:val="nil"/>
            </w:tcBorders>
            <w:hideMark/>
          </w:tcPr>
          <w:p w14:paraId="67552B97"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164.11</w:t>
            </w:r>
          </w:p>
        </w:tc>
      </w:tr>
    </w:tbl>
    <w:p w14:paraId="52EFB165" w14:textId="77777777" w:rsidR="006F6375" w:rsidRDefault="006F6375" w:rsidP="006F6375">
      <w:pPr>
        <w:pStyle w:val="SPPBulletedList"/>
        <w:tabs>
          <w:tab w:val="clear" w:pos="360"/>
          <w:tab w:val="left" w:pos="720"/>
        </w:tabs>
        <w:ind w:left="0" w:firstLine="0"/>
      </w:pPr>
    </w:p>
    <w:p w14:paraId="507557FE" w14:textId="51A7ACB4" w:rsidR="006F6375" w:rsidRDefault="006F6375" w:rsidP="006F6375">
      <w:r>
        <w:t xml:space="preserve">When calculating the first increment, MW1 is zero and the Total Operating Cost MW1 is the </w:t>
      </w:r>
      <w:r w:rsidR="00A439DB">
        <w:t>n</w:t>
      </w:r>
      <w:r>
        <w:t>o-</w:t>
      </w:r>
      <w:r w:rsidR="00A439DB">
        <w:t>l</w:t>
      </w:r>
      <w:r>
        <w:t xml:space="preserve">oad </w:t>
      </w:r>
      <w:r w:rsidR="00A439DB">
        <w:t>c</w:t>
      </w:r>
      <w:r>
        <w:t xml:space="preserve">ost. Since the Incremental Costs are monotonically increasing, no adjustment to the </w:t>
      </w:r>
      <w:r w:rsidR="00A439DB">
        <w:t>n</w:t>
      </w:r>
      <w:r>
        <w:t>o-</w:t>
      </w:r>
      <w:r w:rsidR="00A439DB">
        <w:t>l</w:t>
      </w:r>
      <w:r>
        <w:t xml:space="preserve">oad </w:t>
      </w:r>
      <w:r w:rsidR="00A439DB">
        <w:t>c</w:t>
      </w:r>
      <w:r>
        <w:t xml:space="preserve">ost is required. </w:t>
      </w:r>
    </w:p>
    <w:p w14:paraId="40BD7F1E" w14:textId="77777777" w:rsidR="006F6375" w:rsidRDefault="006F6375" w:rsidP="006F6375"/>
    <w:p w14:paraId="40C2858E" w14:textId="77777777" w:rsidR="006F6375" w:rsidRDefault="006F6375" w:rsidP="006F6375">
      <w:r>
        <w:t>The unit’s Incremental Cost ($/MWh) at various outputs can also be determined by using the derivative of the Heat Input Curve:</w:t>
      </w:r>
    </w:p>
    <w:p w14:paraId="018A6265" w14:textId="77777777" w:rsidR="006F6375" w:rsidRDefault="006F6375" w:rsidP="006F6375"/>
    <w:p w14:paraId="34ED6CF2" w14:textId="77777777" w:rsidR="006F6375" w:rsidRDefault="00007736" w:rsidP="006F6375">
      <m:oMathPara>
        <m:oMathParaPr>
          <m:jc m:val="center"/>
        </m:oMathParaPr>
        <m:oMath>
          <m:r>
            <w:rPr>
              <w:rFonts w:ascii="Cambria Math" w:hAnsi="Cambria Math"/>
            </w:rPr>
            <m:t xml:space="preserve">Incremental Cost </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d>
            <m:dPr>
              <m:ctrlPr>
                <w:rPr>
                  <w:rFonts w:ascii="Cambria Math" w:hAnsi="Cambria Math"/>
                  <w:i/>
                </w:rPr>
              </m:ctrlPr>
            </m:dPr>
            <m:e>
              <m:r>
                <w:rPr>
                  <w:rFonts w:ascii="Cambria Math" w:hAnsi="Cambria Math"/>
                </w:rPr>
                <m:t>2*0.00156391*MW+9.6894</m:t>
              </m:r>
            </m:e>
          </m:d>
          <m:r>
            <w:rPr>
              <w:rFonts w:ascii="Cambria Math" w:hAnsi="Cambria Math"/>
            </w:rPr>
            <m:t>*Performance Factor*</m:t>
          </m:r>
          <m:d>
            <m:dPr>
              <m:ctrlPr>
                <w:rPr>
                  <w:rFonts w:ascii="Cambria Math" w:hAnsi="Cambria Math"/>
                  <w:i/>
                </w:rPr>
              </m:ctrlPr>
            </m:dPr>
            <m:e>
              <m:r>
                <w:rPr>
                  <w:rFonts w:ascii="Cambria Math" w:hAnsi="Cambria Math"/>
                </w:rPr>
                <m:t>TFRC+VOM</m:t>
              </m:r>
            </m:e>
          </m:d>
        </m:oMath>
      </m:oMathPara>
    </w:p>
    <w:p w14:paraId="137958DC" w14:textId="77777777" w:rsidR="006F6375" w:rsidRDefault="006F6375" w:rsidP="006F6375"/>
    <w:p w14:paraId="31529FD7" w14:textId="77777777" w:rsidR="006F6375" w:rsidRDefault="006F6375" w:rsidP="006F6375"/>
    <w:tbl>
      <w:tblPr>
        <w:tblW w:w="0" w:type="auto"/>
        <w:jc w:val="center"/>
        <w:tblBorders>
          <w:top w:val="single" w:sz="8" w:space="0" w:color="3B3B3B"/>
          <w:bottom w:val="single" w:sz="8" w:space="0" w:color="3B3B3B"/>
        </w:tblBorders>
        <w:tblLook w:val="04A0" w:firstRow="1" w:lastRow="0" w:firstColumn="1" w:lastColumn="0" w:noHBand="0" w:noVBand="1"/>
      </w:tblPr>
      <w:tblGrid>
        <w:gridCol w:w="2520"/>
        <w:gridCol w:w="2970"/>
      </w:tblGrid>
      <w:tr w:rsidR="006F6375" w14:paraId="74DB3AEC" w14:textId="77777777">
        <w:trPr>
          <w:jc w:val="center"/>
        </w:trPr>
        <w:tc>
          <w:tcPr>
            <w:tcW w:w="2520" w:type="dxa"/>
            <w:tcBorders>
              <w:top w:val="nil"/>
              <w:left w:val="nil"/>
              <w:bottom w:val="single" w:sz="8" w:space="0" w:color="3B3B3B"/>
              <w:right w:val="nil"/>
            </w:tcBorders>
            <w:shd w:val="clear" w:color="auto" w:fill="929292"/>
            <w:hideMark/>
          </w:tcPr>
          <w:p w14:paraId="49CAC7DF"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970" w:type="dxa"/>
            <w:tcBorders>
              <w:top w:val="nil"/>
              <w:left w:val="nil"/>
              <w:bottom w:val="single" w:sz="8" w:space="0" w:color="3B3B3B"/>
              <w:right w:val="nil"/>
            </w:tcBorders>
            <w:shd w:val="clear" w:color="auto" w:fill="929292"/>
            <w:hideMark/>
          </w:tcPr>
          <w:p w14:paraId="03628028"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Incremental Cost ($/MWh)</w:t>
            </w:r>
          </w:p>
        </w:tc>
      </w:tr>
      <w:tr w:rsidR="006F6375" w14:paraId="35A8EDA4" w14:textId="77777777">
        <w:trPr>
          <w:jc w:val="center"/>
        </w:trPr>
        <w:tc>
          <w:tcPr>
            <w:tcW w:w="2520" w:type="dxa"/>
            <w:tcBorders>
              <w:top w:val="nil"/>
              <w:left w:val="nil"/>
              <w:bottom w:val="nil"/>
              <w:right w:val="nil"/>
            </w:tcBorders>
            <w:shd w:val="clear" w:color="auto" w:fill="CECECE"/>
            <w:hideMark/>
          </w:tcPr>
          <w:p w14:paraId="19705903"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50</w:t>
            </w:r>
          </w:p>
        </w:tc>
        <w:tc>
          <w:tcPr>
            <w:tcW w:w="2970" w:type="dxa"/>
            <w:tcBorders>
              <w:top w:val="nil"/>
              <w:left w:val="nil"/>
              <w:bottom w:val="nil"/>
              <w:right w:val="nil"/>
            </w:tcBorders>
            <w:shd w:val="clear" w:color="auto" w:fill="CECECE"/>
            <w:hideMark/>
          </w:tcPr>
          <w:p w14:paraId="06138383"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142.10</w:t>
            </w:r>
          </w:p>
        </w:tc>
      </w:tr>
      <w:tr w:rsidR="006F6375" w14:paraId="7E2CB430" w14:textId="77777777">
        <w:trPr>
          <w:jc w:val="center"/>
        </w:trPr>
        <w:tc>
          <w:tcPr>
            <w:tcW w:w="2520" w:type="dxa"/>
            <w:tcBorders>
              <w:top w:val="nil"/>
              <w:left w:val="nil"/>
              <w:bottom w:val="nil"/>
              <w:right w:val="nil"/>
            </w:tcBorders>
            <w:hideMark/>
          </w:tcPr>
          <w:p w14:paraId="2CB17722"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160</w:t>
            </w:r>
          </w:p>
        </w:tc>
        <w:tc>
          <w:tcPr>
            <w:tcW w:w="2970" w:type="dxa"/>
            <w:tcBorders>
              <w:top w:val="nil"/>
              <w:left w:val="nil"/>
              <w:bottom w:val="nil"/>
              <w:right w:val="nil"/>
            </w:tcBorders>
            <w:hideMark/>
          </w:tcPr>
          <w:p w14:paraId="2F3422ED"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147.07</w:t>
            </w:r>
          </w:p>
        </w:tc>
      </w:tr>
      <w:tr w:rsidR="006F6375" w14:paraId="72A8A926" w14:textId="77777777">
        <w:trPr>
          <w:jc w:val="center"/>
        </w:trPr>
        <w:tc>
          <w:tcPr>
            <w:tcW w:w="2520" w:type="dxa"/>
            <w:tcBorders>
              <w:top w:val="nil"/>
              <w:left w:val="nil"/>
              <w:bottom w:val="nil"/>
              <w:right w:val="nil"/>
            </w:tcBorders>
            <w:shd w:val="clear" w:color="auto" w:fill="CECECE"/>
            <w:hideMark/>
          </w:tcPr>
          <w:p w14:paraId="14098A54"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310</w:t>
            </w:r>
          </w:p>
        </w:tc>
        <w:tc>
          <w:tcPr>
            <w:tcW w:w="2970" w:type="dxa"/>
            <w:tcBorders>
              <w:top w:val="nil"/>
              <w:left w:val="nil"/>
              <w:bottom w:val="nil"/>
              <w:right w:val="nil"/>
            </w:tcBorders>
            <w:shd w:val="clear" w:color="auto" w:fill="CECECE"/>
            <w:hideMark/>
          </w:tcPr>
          <w:p w14:paraId="4D0C79C7"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153.84</w:t>
            </w:r>
          </w:p>
        </w:tc>
      </w:tr>
      <w:tr w:rsidR="006F6375" w14:paraId="194956D5" w14:textId="77777777">
        <w:trPr>
          <w:jc w:val="center"/>
        </w:trPr>
        <w:tc>
          <w:tcPr>
            <w:tcW w:w="2520" w:type="dxa"/>
            <w:tcBorders>
              <w:top w:val="nil"/>
              <w:left w:val="nil"/>
              <w:bottom w:val="nil"/>
              <w:right w:val="nil"/>
            </w:tcBorders>
            <w:hideMark/>
          </w:tcPr>
          <w:p w14:paraId="4B6DF92F"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410</w:t>
            </w:r>
          </w:p>
        </w:tc>
        <w:tc>
          <w:tcPr>
            <w:tcW w:w="2970" w:type="dxa"/>
            <w:tcBorders>
              <w:top w:val="nil"/>
              <w:left w:val="nil"/>
              <w:bottom w:val="nil"/>
              <w:right w:val="nil"/>
            </w:tcBorders>
            <w:hideMark/>
          </w:tcPr>
          <w:p w14:paraId="54FD6CF2"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158.36</w:t>
            </w:r>
          </w:p>
        </w:tc>
      </w:tr>
      <w:tr w:rsidR="006F6375" w14:paraId="282D8C77" w14:textId="77777777">
        <w:trPr>
          <w:jc w:val="center"/>
        </w:trPr>
        <w:tc>
          <w:tcPr>
            <w:tcW w:w="2520" w:type="dxa"/>
            <w:tcBorders>
              <w:top w:val="nil"/>
              <w:left w:val="nil"/>
              <w:bottom w:val="nil"/>
              <w:right w:val="nil"/>
            </w:tcBorders>
            <w:shd w:val="clear" w:color="auto" w:fill="CECECE"/>
            <w:hideMark/>
          </w:tcPr>
          <w:p w14:paraId="2D94F7D5"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525</w:t>
            </w:r>
          </w:p>
        </w:tc>
        <w:tc>
          <w:tcPr>
            <w:tcW w:w="2970" w:type="dxa"/>
            <w:tcBorders>
              <w:top w:val="nil"/>
              <w:left w:val="nil"/>
              <w:bottom w:val="nil"/>
              <w:right w:val="nil"/>
            </w:tcBorders>
            <w:shd w:val="clear" w:color="auto" w:fill="CECECE"/>
            <w:hideMark/>
          </w:tcPr>
          <w:p w14:paraId="46F460AC"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163.55</w:t>
            </w:r>
          </w:p>
        </w:tc>
      </w:tr>
      <w:tr w:rsidR="006F6375" w14:paraId="6A055624" w14:textId="77777777">
        <w:trPr>
          <w:jc w:val="center"/>
        </w:trPr>
        <w:tc>
          <w:tcPr>
            <w:tcW w:w="2520" w:type="dxa"/>
            <w:tcBorders>
              <w:top w:val="nil"/>
              <w:left w:val="nil"/>
              <w:bottom w:val="single" w:sz="8" w:space="0" w:color="3B3B3B"/>
              <w:right w:val="nil"/>
            </w:tcBorders>
            <w:hideMark/>
          </w:tcPr>
          <w:p w14:paraId="76726CDF"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550</w:t>
            </w:r>
          </w:p>
        </w:tc>
        <w:tc>
          <w:tcPr>
            <w:tcW w:w="2970" w:type="dxa"/>
            <w:tcBorders>
              <w:top w:val="nil"/>
              <w:left w:val="nil"/>
              <w:bottom w:val="single" w:sz="8" w:space="0" w:color="3B3B3B"/>
              <w:right w:val="nil"/>
            </w:tcBorders>
            <w:hideMark/>
          </w:tcPr>
          <w:p w14:paraId="1EC79755"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164.68</w:t>
            </w:r>
          </w:p>
        </w:tc>
      </w:tr>
    </w:tbl>
    <w:p w14:paraId="69C6A11B" w14:textId="77777777" w:rsidR="006F6375" w:rsidRDefault="006F6375" w:rsidP="006F6375"/>
    <w:p w14:paraId="041F7695" w14:textId="77777777" w:rsidR="006F6375" w:rsidRDefault="006F6375" w:rsidP="006F6375">
      <w:r>
        <w:t>The no-load cost is calculated by subtracting the incremental cost (unit’s economic minimum cost-offer value multiplied by MW value) at the unit’s economic minimum point from the total cost (from the heat input at economic minimum value) at the unit’s economic minimum point.</w:t>
      </w:r>
    </w:p>
    <w:p w14:paraId="4614E993" w14:textId="77777777" w:rsidR="006F6375" w:rsidRDefault="006F6375" w:rsidP="006F6375"/>
    <w:p w14:paraId="2B519621" w14:textId="1E0E0A43" w:rsidR="006F6375" w:rsidRDefault="001D5852" w:rsidP="006F6375">
      <m:oMathPara>
        <m:oMathParaPr>
          <m:jc m:val="center"/>
        </m:oMathParaPr>
        <m:oMath>
          <m:r>
            <w:rPr>
              <w:rFonts w:ascii="Cambria Math" w:hAnsi="Cambria Math"/>
            </w:rPr>
            <m:t>No Load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m:t>
          </m:r>
          <m:d>
            <m:dPr>
              <m:ctrlPr>
                <w:rPr>
                  <w:rFonts w:ascii="Cambria Math" w:hAnsi="Cambria Math"/>
                  <w:i/>
                </w:rPr>
              </m:ctrlPr>
            </m:dPr>
            <m:e>
              <m:r>
                <w:rPr>
                  <w:rFonts w:ascii="Cambria Math" w:hAnsi="Cambria Math"/>
                </w:rPr>
                <m:t>Economic Minimum Heat Input*Performance Factor*</m:t>
              </m:r>
              <m:d>
                <m:dPr>
                  <m:ctrlPr>
                    <w:rPr>
                      <w:rFonts w:ascii="Cambria Math" w:hAnsi="Cambria Math"/>
                      <w:i/>
                    </w:rPr>
                  </m:ctrlPr>
                </m:dPr>
                <m:e>
                  <m:r>
                    <w:rPr>
                      <w:rFonts w:ascii="Cambria Math" w:hAnsi="Cambria Math"/>
                    </w:rPr>
                    <m:t>TFRC+VOM</m:t>
                  </m:r>
                </m:e>
              </m:d>
            </m:e>
          </m:d>
          <m:r>
            <w:rPr>
              <w:rFonts w:ascii="Cambria Math" w:hAnsi="Cambria Math"/>
            </w:rPr>
            <m:t>-</m:t>
          </m:r>
          <m:d>
            <m:dPr>
              <m:ctrlPr>
                <w:rPr>
                  <w:rFonts w:ascii="Cambria Math" w:hAnsi="Cambria Math"/>
                  <w:i/>
                </w:rPr>
              </m:ctrlPr>
            </m:dPr>
            <m:e>
              <m:r>
                <w:rPr>
                  <w:rFonts w:ascii="Cambria Math" w:hAnsi="Cambria Math"/>
                </w:rPr>
                <m:t>Economic Minimum Incremental Cost*Economic Minimum MW</m:t>
              </m:r>
            </m:e>
          </m:d>
          <m:r>
            <w:rPr>
              <w:rFonts w:ascii="Cambria Math" w:hAnsi="Cambria Math"/>
            </w:rPr>
            <m:t>=</m:t>
          </m:r>
          <m:d>
            <m:dPr>
              <m:ctrlPr>
                <w:rPr>
                  <w:rFonts w:ascii="Cambria Math" w:hAnsi="Cambria Math"/>
                  <w:i/>
                </w:rPr>
              </m:ctrlPr>
            </m:dPr>
            <m:e>
              <m:r>
                <w:rPr>
                  <w:rFonts w:ascii="Cambria Math" w:hAnsi="Cambria Math"/>
                </w:rPr>
                <m:t>795.12</m:t>
              </m:r>
              <m:f>
                <m:fPr>
                  <m:ctrlPr>
                    <w:rPr>
                      <w:rFonts w:ascii="Cambria Math" w:hAnsi="Cambria Math"/>
                      <w:i/>
                    </w:rPr>
                  </m:ctrlPr>
                </m:fPr>
                <m:num>
                  <m:r>
                    <w:rPr>
                      <w:rFonts w:ascii="Cambria Math" w:hAnsi="Cambria Math"/>
                    </w:rPr>
                    <m:t>MMBtu</m:t>
                  </m:r>
                </m:num>
                <m:den>
                  <m:r>
                    <w:rPr>
                      <w:rFonts w:ascii="Cambria Math" w:hAnsi="Cambria Math"/>
                    </w:rPr>
                    <m:t>hour</m:t>
                  </m:r>
                </m:den>
              </m:f>
              <m:r>
                <w:rPr>
                  <w:rFonts w:ascii="Cambria Math" w:hAnsi="Cambria Math"/>
                </w:rPr>
                <m:t>*1.02*</m:t>
              </m:r>
              <m:d>
                <m:dPr>
                  <m:ctrlPr>
                    <w:rPr>
                      <w:rFonts w:ascii="Cambria Math" w:hAnsi="Cambria Math"/>
                      <w:i/>
                    </w:rPr>
                  </m:ctrlPr>
                </m:dPr>
                <m:e>
                  <m:f>
                    <m:fPr>
                      <m:ctrlPr>
                        <w:rPr>
                          <w:rFonts w:ascii="Cambria Math" w:hAnsi="Cambria Math"/>
                          <w:i/>
                        </w:rPr>
                      </m:ctrlPr>
                    </m:fPr>
                    <m:num>
                      <m:r>
                        <w:rPr>
                          <w:rFonts w:ascii="Cambria Math" w:hAnsi="Cambria Math"/>
                        </w:rPr>
                        <m:t>$14.00</m:t>
                      </m:r>
                    </m:num>
                    <m:den>
                      <m:r>
                        <w:rPr>
                          <w:rFonts w:ascii="Cambria Math" w:hAnsi="Cambria Math"/>
                        </w:rPr>
                        <m:t>MMBTU</m:t>
                      </m:r>
                    </m:den>
                  </m:f>
                  <m:r>
                    <w:rPr>
                      <w:rFonts w:ascii="Cambria Math" w:hAnsi="Cambria Math"/>
                    </w:rPr>
                    <m:t>+$0.15/MMBtu</m:t>
                  </m:r>
                </m:e>
              </m:d>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$142.10</m:t>
                  </m:r>
                </m:num>
                <m:den>
                  <m:r>
                    <w:rPr>
                      <w:rFonts w:ascii="Cambria Math" w:hAnsi="Cambria Math"/>
                    </w:rPr>
                    <m:t>MWh</m:t>
                  </m:r>
                </m:den>
              </m:f>
              <m:r>
                <w:rPr>
                  <w:rFonts w:ascii="Cambria Math" w:hAnsi="Cambria Math"/>
                </w:rPr>
                <m:t>*50MW</m:t>
              </m:r>
            </m:e>
          </m:d>
          <m:r>
            <w:rPr>
              <w:rFonts w:ascii="Cambria Math" w:hAnsi="Cambria Math"/>
            </w:rPr>
            <m:t>=$4,370.97/</m:t>
          </m:r>
          <m:r>
            <w:rPr>
              <w:rFonts w:ascii="Cambria Math" w:hAnsi="Cambria Math"/>
            </w:rPr>
            <m:t>hour</m:t>
          </m:r>
        </m:oMath>
      </m:oMathPara>
    </w:p>
    <w:p w14:paraId="73F92EC6" w14:textId="77777777" w:rsidR="006F6375" w:rsidRDefault="006F6375" w:rsidP="006F6375"/>
    <w:p w14:paraId="39846A60" w14:textId="3FD61BBC" w:rsidR="006F6375" w:rsidRDefault="006F6375" w:rsidP="006F6375">
      <w:r>
        <w:t xml:space="preserve">Differences in the calculated </w:t>
      </w:r>
      <w:r w:rsidR="00A439DB">
        <w:t>n</w:t>
      </w:r>
      <w:r>
        <w:t>o-</w:t>
      </w:r>
      <w:r w:rsidR="00A439DB">
        <w:t>l</w:t>
      </w:r>
      <w:r>
        <w:t xml:space="preserve">oad between the two </w:t>
      </w:r>
      <w:r w:rsidR="00370ADD">
        <w:t>(2)</w:t>
      </w:r>
      <w:r>
        <w:t xml:space="preserve"> methods are due to the differences in using a block average cost offer method versus a sloped derivative cost offer. When using the derivative method, the Market Participant must use the slope option when entering the Mitigated Energy Offer Curve into the Market User Interface</w:t>
      </w:r>
      <w:r w:rsidR="00E72D74">
        <w:t xml:space="preserve"> (MUI)</w:t>
      </w:r>
      <w:r>
        <w:t>.</w:t>
      </w:r>
    </w:p>
    <w:p w14:paraId="27F1B5E0" w14:textId="77777777" w:rsidR="006F6375" w:rsidRDefault="006F6375" w:rsidP="006F6375"/>
    <w:p w14:paraId="7EDB1369" w14:textId="13F2D3CA" w:rsidR="006F6375" w:rsidRDefault="00094D62" w:rsidP="00E679DC">
      <w:pPr>
        <w:pStyle w:val="Heading471"/>
        <w:rPr>
          <w:i/>
        </w:rPr>
      </w:pPr>
      <w:bookmarkStart w:id="12671" w:name="_Toc342907453"/>
      <w:bookmarkStart w:id="12672" w:name="_Toc131493564"/>
      <w:bookmarkStart w:id="12673" w:name="_Toc213772411"/>
      <w:r>
        <w:t>D.1</w:t>
      </w:r>
      <w:r w:rsidR="0032171B">
        <w:t>5</w:t>
      </w:r>
      <w:r>
        <w:t>.1.2</w:t>
      </w:r>
      <w:r>
        <w:tab/>
      </w:r>
      <w:r w:rsidR="006F6375">
        <w:t>Typical Combustion Turbine Example</w:t>
      </w:r>
      <w:bookmarkEnd w:id="12671"/>
      <w:bookmarkEnd w:id="12672"/>
      <w:bookmarkEnd w:id="12673"/>
      <w:r w:rsidR="006F6375">
        <w:t xml:space="preserve"> </w:t>
      </w:r>
    </w:p>
    <w:p w14:paraId="35849676" w14:textId="77777777" w:rsidR="006F6375" w:rsidRDefault="006F6375" w:rsidP="006F6375">
      <w:r>
        <w:t>An example of using the design heat input curve and performing a regression analysis to obtain the no-load fuel for a simple cycle combustion turbine with peak firing is shown below:</w:t>
      </w:r>
    </w:p>
    <w:p w14:paraId="3A8CF553" w14:textId="77777777" w:rsidR="006F6375" w:rsidRDefault="006F6375" w:rsidP="006F6375"/>
    <w:p w14:paraId="4CAC3D6E" w14:textId="0FDBF8AF" w:rsidR="006F6375" w:rsidRDefault="00E969F3" w:rsidP="006F6375">
      <w:r>
        <w:rPr>
          <w:noProof/>
        </w:rPr>
        <w:drawing>
          <wp:inline distT="0" distB="0" distL="0" distR="0" wp14:anchorId="092C7F87" wp14:editId="6BE01D96">
            <wp:extent cx="5720080" cy="4157345"/>
            <wp:effectExtent l="0" t="0" r="0" b="0"/>
            <wp:docPr id="102250409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0080" cy="4157345"/>
                    </a:xfrm>
                    <a:prstGeom prst="rect">
                      <a:avLst/>
                    </a:prstGeom>
                    <a:noFill/>
                    <a:ln>
                      <a:noFill/>
                    </a:ln>
                  </pic:spPr>
                </pic:pic>
              </a:graphicData>
            </a:graphic>
          </wp:inline>
        </w:drawing>
      </w:r>
    </w:p>
    <w:p w14:paraId="06BD7B5B" w14:textId="77777777" w:rsidR="006F6375" w:rsidRDefault="006F6375" w:rsidP="006F6375"/>
    <w:p w14:paraId="2E321618" w14:textId="77777777" w:rsidR="006F6375" w:rsidRDefault="006F6375" w:rsidP="006F6375">
      <w:r>
        <w:t>Each diamond in the graph above is a design heat input data point obtained from the original equipment manufacturer or calculated by heat balance. A regression analysis was performed on the design data to obtain the unit’s Heat Input curve as a function of Output with natural gas as a fuel:</w:t>
      </w:r>
    </w:p>
    <w:p w14:paraId="52866DDC" w14:textId="77777777" w:rsidR="006F6375" w:rsidRDefault="006F6375" w:rsidP="006F6375"/>
    <w:p w14:paraId="0A317448" w14:textId="770F73C7" w:rsidR="006F6375" w:rsidRDefault="00013EA6" w:rsidP="006F6375">
      <m:oMathPara>
        <m:oMathParaPr>
          <m:jc m:val="center"/>
        </m:oMathParaPr>
        <m:oMath>
          <m:r>
            <w:rPr>
              <w:rFonts w:ascii="Cambria Math" w:hAnsi="Cambria Math"/>
            </w:rPr>
            <m:t xml:space="preserve">Heat Input </m:t>
          </m:r>
          <m:d>
            <m:dPr>
              <m:ctrlPr>
                <w:rPr>
                  <w:rFonts w:ascii="Cambria Math" w:hAnsi="Cambria Math"/>
                  <w:i/>
                </w:rPr>
              </m:ctrlPr>
            </m:dPr>
            <m:e>
              <m:f>
                <m:fPr>
                  <m:type m:val="lin"/>
                  <m:ctrlPr>
                    <w:rPr>
                      <w:rFonts w:ascii="Cambria Math" w:hAnsi="Cambria Math"/>
                      <w:i/>
                    </w:rPr>
                  </m:ctrlPr>
                </m:fPr>
                <m:num>
                  <m:r>
                    <w:rPr>
                      <w:rFonts w:ascii="Cambria Math" w:hAnsi="Cambria Math"/>
                    </w:rPr>
                    <m:t>MMBtu</m:t>
                  </m:r>
                </m:num>
                <m:den>
                  <m:r>
                    <w:rPr>
                      <w:rFonts w:ascii="Cambria Math" w:hAnsi="Cambria Math"/>
                    </w:rPr>
                    <m:t>hour</m:t>
                  </m:r>
                </m:den>
              </m:f>
            </m:e>
          </m:d>
          <m:r>
            <w:rPr>
              <w:rFonts w:ascii="Cambria Math" w:hAnsi="Cambria Math"/>
            </w:rPr>
            <m:t>=0.0498*</m:t>
          </m:r>
          <m:sSup>
            <m:sSupPr>
              <m:ctrlPr>
                <w:rPr>
                  <w:rFonts w:ascii="Cambria Math" w:hAnsi="Cambria Math"/>
                  <w:i/>
                </w:rPr>
              </m:ctrlPr>
            </m:sSupPr>
            <m:e>
              <m:r>
                <w:rPr>
                  <w:rFonts w:ascii="Cambria Math" w:hAnsi="Cambria Math"/>
                </w:rPr>
                <m:t>MW</m:t>
              </m:r>
            </m:e>
            <m:sup>
              <m:r>
                <w:rPr>
                  <w:rFonts w:ascii="Cambria Math" w:hAnsi="Cambria Math"/>
                </w:rPr>
                <m:t>2</m:t>
              </m:r>
            </m:sup>
          </m:sSup>
          <m:r>
            <w:rPr>
              <w:rFonts w:ascii="Cambria Math" w:hAnsi="Cambria Math"/>
            </w:rPr>
            <m:t>+0.8122*MW+578.23</m:t>
          </m:r>
        </m:oMath>
      </m:oMathPara>
    </w:p>
    <w:p w14:paraId="26469C17" w14:textId="77777777" w:rsidR="006F6375" w:rsidRDefault="006F6375" w:rsidP="006F6375"/>
    <w:p w14:paraId="7DDEDF17" w14:textId="77777777" w:rsidR="006F6375" w:rsidRDefault="006F6375" w:rsidP="006F6375">
      <w:r>
        <w:t>Then the No-Load Fuel at zero output is</w:t>
      </w:r>
    </w:p>
    <w:p w14:paraId="6A217328" w14:textId="77777777" w:rsidR="006F6375" w:rsidRDefault="006F6375" w:rsidP="006F6375"/>
    <w:p w14:paraId="204BC4D6" w14:textId="26D99034" w:rsidR="006F6375" w:rsidRDefault="00013EA6" w:rsidP="006F6375">
      <m:oMathPara>
        <m:oMathParaPr>
          <m:jc m:val="center"/>
        </m:oMathParaPr>
        <m:oMath>
          <m:r>
            <w:rPr>
              <w:rFonts w:ascii="Cambria Math" w:hAnsi="Cambria Math"/>
            </w:rPr>
            <m:t>No- Load Fuel=578.23 MMBtu/hour</m:t>
          </m:r>
        </m:oMath>
      </m:oMathPara>
    </w:p>
    <w:p w14:paraId="15CB1086" w14:textId="77777777" w:rsidR="006F6375" w:rsidRDefault="006F6375" w:rsidP="006F6375"/>
    <w:p w14:paraId="2A45A2CC" w14:textId="037DD0EB" w:rsidR="006F6375" w:rsidRDefault="006F6375" w:rsidP="006F6375">
      <w:r>
        <w:t>The initial estimate of a unit’s No-Load Cost ($/</w:t>
      </w:r>
      <w:r w:rsidR="0084257C">
        <w:t>hou</w:t>
      </w:r>
      <w:r>
        <w:t>r) is:</w:t>
      </w:r>
    </w:p>
    <w:p w14:paraId="4C8335D7" w14:textId="77777777" w:rsidR="006F6375" w:rsidRDefault="006F6375" w:rsidP="006F6375"/>
    <w:p w14:paraId="60B548C1" w14:textId="77777777" w:rsidR="006F6375" w:rsidRDefault="006F6375" w:rsidP="006F6375">
      <w:pPr>
        <w:ind w:firstLine="360"/>
      </w:pPr>
      <w:r>
        <w:t>Performance Factor = 1.02</w:t>
      </w:r>
    </w:p>
    <w:p w14:paraId="25B4F12D" w14:textId="77777777" w:rsidR="006F6375" w:rsidRDefault="006F6375" w:rsidP="006F6375"/>
    <w:p w14:paraId="299515C1" w14:textId="0CC4796D" w:rsidR="006F6375" w:rsidRDefault="006F6375" w:rsidP="006F6375">
      <w:pPr>
        <w:ind w:firstLine="360"/>
      </w:pPr>
      <w:r>
        <w:t>Total Fuel related Cost (TFRC) = $4.00 MMB</w:t>
      </w:r>
      <w:r w:rsidR="0084257C">
        <w:t>tu</w:t>
      </w:r>
    </w:p>
    <w:p w14:paraId="57704EC0" w14:textId="77777777" w:rsidR="006F6375" w:rsidRDefault="006F6375" w:rsidP="006F6375">
      <w:pPr>
        <w:ind w:firstLine="360"/>
      </w:pPr>
    </w:p>
    <w:p w14:paraId="0A89FA17" w14:textId="20785A55" w:rsidR="006F6375" w:rsidRDefault="00013EA6" w:rsidP="006F6375">
      <w:pPr>
        <w:ind w:firstLine="360"/>
      </w:pPr>
      <m:oMathPara>
        <m:oMathParaPr>
          <m:jc m:val="center"/>
        </m:oMathParaPr>
        <m:oMath>
          <m:r>
            <w:rPr>
              <w:rFonts w:ascii="Cambria Math" w:hAnsi="Cambria Math"/>
            </w:rPr>
            <m:t>No- Load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m:t>
          </m:r>
          <m:d>
            <m:dPr>
              <m:ctrlPr>
                <w:rPr>
                  <w:rFonts w:ascii="Cambria Math" w:hAnsi="Cambria Math"/>
                  <w:i/>
                </w:rPr>
              </m:ctrlPr>
            </m:dPr>
            <m:e>
              <m:r>
                <w:rPr>
                  <w:rFonts w:ascii="Cambria Math" w:hAnsi="Cambria Math"/>
                </w:rPr>
                <m:t>No- Load Fuel*Performance Factor*TFRC</m:t>
              </m:r>
            </m:e>
          </m:d>
          <m:r>
            <w:rPr>
              <w:rFonts w:ascii="Cambria Math" w:hAnsi="Cambria Math"/>
            </w:rPr>
            <m:t xml:space="preserve">=578.23 </m:t>
          </m:r>
          <m:f>
            <m:fPr>
              <m:type m:val="lin"/>
              <m:ctrlPr>
                <w:rPr>
                  <w:rFonts w:ascii="Cambria Math" w:hAnsi="Cambria Math"/>
                  <w:i/>
                </w:rPr>
              </m:ctrlPr>
            </m:fPr>
            <m:num>
              <m:r>
                <w:rPr>
                  <w:rFonts w:ascii="Cambria Math" w:hAnsi="Cambria Math"/>
                </w:rPr>
                <m:t>MMBtu</m:t>
              </m:r>
            </m:num>
            <m:den>
              <m:r>
                <w:rPr>
                  <w:rFonts w:ascii="Cambria Math" w:hAnsi="Cambria Math"/>
                </w:rPr>
                <m:t>hour</m:t>
              </m:r>
            </m:den>
          </m:f>
          <m:r>
            <w:rPr>
              <w:rFonts w:ascii="Cambria Math" w:hAnsi="Cambria Math"/>
            </w:rPr>
            <m:t>*1.02*$4.00/MMBtu=$2,359/</m:t>
          </m:r>
          <m:r>
            <w:rPr>
              <w:rFonts w:ascii="Cambria Math" w:hAnsi="Cambria Math"/>
            </w:rPr>
            <m:t xml:space="preserve">hour </m:t>
          </m:r>
        </m:oMath>
      </m:oMathPara>
    </w:p>
    <w:p w14:paraId="6A4BEBC4" w14:textId="77777777" w:rsidR="006F6375" w:rsidRDefault="006F6375" w:rsidP="006F6375">
      <w:pPr>
        <w:ind w:firstLine="360"/>
      </w:pPr>
    </w:p>
    <w:p w14:paraId="7DA0ACDE" w14:textId="77777777" w:rsidR="006F6375" w:rsidRDefault="006F6375" w:rsidP="006F6375">
      <w:r>
        <w:t>The unit’s Cost Curve must be developed to determine if adjustments are needed for the unit’s No-Load Cost.  The Heat Input Curve Equation is used to determine the units heat input at various outputs. Total Operating Cost is calculated by:</w:t>
      </w:r>
    </w:p>
    <w:p w14:paraId="1814CBB8" w14:textId="77777777" w:rsidR="006F6375" w:rsidRDefault="006F6375" w:rsidP="006F6375"/>
    <w:p w14:paraId="70D80A1D" w14:textId="77777777" w:rsidR="006F6375" w:rsidRDefault="006F6375" w:rsidP="006F6375">
      <w:pPr>
        <w:ind w:firstLine="360"/>
      </w:pPr>
      <w:r>
        <w:t>Maintenance Factor = 1.0 for Minimum &amp; Base   (=4.0 for Peak)</w:t>
      </w:r>
    </w:p>
    <w:p w14:paraId="2B08E430" w14:textId="77777777" w:rsidR="006F6375" w:rsidRDefault="006F6375" w:rsidP="006F6375"/>
    <w:p w14:paraId="0F26BD6A" w14:textId="77777777" w:rsidR="006F6375" w:rsidRDefault="006F6375" w:rsidP="006F6375">
      <w:pPr>
        <w:ind w:firstLine="360"/>
      </w:pPr>
      <w:r>
        <w:t>VOM = $75.00/ESH</w:t>
      </w:r>
    </w:p>
    <w:p w14:paraId="5C3D32EB" w14:textId="77777777" w:rsidR="006F6375" w:rsidRDefault="006F6375" w:rsidP="006F6375">
      <w:pPr>
        <w:ind w:firstLine="360"/>
      </w:pPr>
    </w:p>
    <w:p w14:paraId="32D7500B" w14:textId="77777777" w:rsidR="006F6375" w:rsidRDefault="00007736" w:rsidP="006F6375">
      <w:pPr>
        <w:ind w:firstLine="360"/>
      </w:pPr>
      <m:oMathPara>
        <m:oMathParaPr>
          <m:jc m:val="center"/>
        </m:oMathParaPr>
        <m:oMath>
          <m:r>
            <w:rPr>
              <w:rFonts w:ascii="Cambria Math" w:hAnsi="Cambria Math"/>
            </w:rPr>
            <m:t>Total Operating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hour</m:t>
                  </m:r>
                </m:den>
              </m:f>
            </m:e>
          </m:d>
          <m:r>
            <w:rPr>
              <w:rFonts w:ascii="Cambria Math" w:hAnsi="Cambria Math"/>
            </w:rPr>
            <m:t>=Heat Input*Performance Factor*TFRC+Maintenance Factor*VOM</m:t>
          </m:r>
        </m:oMath>
      </m:oMathPara>
    </w:p>
    <w:p w14:paraId="09267457" w14:textId="77777777" w:rsidR="006F6375" w:rsidRDefault="006F6375" w:rsidP="006F6375">
      <w:pPr>
        <w:ind w:firstLine="360"/>
      </w:pPr>
    </w:p>
    <w:p w14:paraId="2349E5E1" w14:textId="77777777" w:rsidR="006F6375" w:rsidRDefault="006F6375" w:rsidP="006F6375">
      <w:pPr>
        <w:ind w:firstLine="360"/>
      </w:pPr>
    </w:p>
    <w:tbl>
      <w:tblPr>
        <w:tblW w:w="0" w:type="auto"/>
        <w:jc w:val="center"/>
        <w:tblBorders>
          <w:top w:val="single" w:sz="8" w:space="0" w:color="3B3B3B"/>
          <w:bottom w:val="single" w:sz="8" w:space="0" w:color="3B3B3B"/>
        </w:tblBorders>
        <w:tblLook w:val="04A0" w:firstRow="1" w:lastRow="0" w:firstColumn="1" w:lastColumn="0" w:noHBand="0" w:noVBand="1"/>
      </w:tblPr>
      <w:tblGrid>
        <w:gridCol w:w="1759"/>
        <w:gridCol w:w="2700"/>
        <w:gridCol w:w="2970"/>
      </w:tblGrid>
      <w:tr w:rsidR="006F6375" w14:paraId="768A5B74" w14:textId="77777777">
        <w:trPr>
          <w:jc w:val="center"/>
        </w:trPr>
        <w:tc>
          <w:tcPr>
            <w:tcW w:w="1759" w:type="dxa"/>
            <w:tcBorders>
              <w:top w:val="nil"/>
              <w:left w:val="nil"/>
              <w:bottom w:val="single" w:sz="8" w:space="0" w:color="3B3B3B"/>
              <w:right w:val="nil"/>
            </w:tcBorders>
            <w:shd w:val="clear" w:color="auto" w:fill="929292"/>
            <w:hideMark/>
          </w:tcPr>
          <w:p w14:paraId="6504AC06" w14:textId="77777777" w:rsidR="006F6375" w:rsidRDefault="006F6375">
            <w:pPr>
              <w:pStyle w:val="StylePJMFormulaCentered"/>
              <w:jc w:val="left"/>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700" w:type="dxa"/>
            <w:tcBorders>
              <w:top w:val="nil"/>
              <w:left w:val="nil"/>
              <w:bottom w:val="single" w:sz="8" w:space="0" w:color="3B3B3B"/>
              <w:right w:val="nil"/>
            </w:tcBorders>
            <w:shd w:val="clear" w:color="auto" w:fill="929292"/>
            <w:hideMark/>
          </w:tcPr>
          <w:p w14:paraId="7F48405C" w14:textId="442E35FC" w:rsidR="006F6375" w:rsidRDefault="006F6375">
            <w:pPr>
              <w:pStyle w:val="StylePJMFormulaCentered"/>
              <w:jc w:val="left"/>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Heat Input (M</w:t>
            </w:r>
            <w:r w:rsidR="0084257C">
              <w:rPr>
                <w:rFonts w:ascii="Times New Roman" w:hAnsi="Times New Roman"/>
                <w:b/>
                <w:color w:val="F8F8F8"/>
                <w:kern w:val="2"/>
                <w:sz w:val="24"/>
                <w:szCs w:val="24"/>
                <w14:ligatures w14:val="standardContextual"/>
              </w:rPr>
              <w:t>M</w:t>
            </w:r>
            <w:r>
              <w:rPr>
                <w:rFonts w:ascii="Times New Roman" w:hAnsi="Times New Roman"/>
                <w:b/>
                <w:color w:val="F8F8F8"/>
                <w:kern w:val="2"/>
                <w:sz w:val="24"/>
                <w:szCs w:val="24"/>
                <w14:ligatures w14:val="standardContextual"/>
              </w:rPr>
              <w:t>B</w:t>
            </w:r>
            <w:r w:rsidR="0084257C">
              <w:rPr>
                <w:rFonts w:ascii="Times New Roman" w:hAnsi="Times New Roman"/>
                <w:b/>
                <w:color w:val="F8F8F8"/>
                <w:kern w:val="2"/>
                <w:sz w:val="24"/>
                <w:szCs w:val="24"/>
                <w14:ligatures w14:val="standardContextual"/>
              </w:rPr>
              <w:t>tu</w:t>
            </w:r>
            <w:r>
              <w:rPr>
                <w:rFonts w:ascii="Times New Roman" w:hAnsi="Times New Roman"/>
                <w:b/>
                <w:color w:val="F8F8F8"/>
                <w:kern w:val="2"/>
                <w:sz w:val="24"/>
                <w:szCs w:val="24"/>
                <w14:ligatures w14:val="standardContextual"/>
              </w:rPr>
              <w:t>/h</w:t>
            </w:r>
            <w:r w:rsidR="007531EA">
              <w:rPr>
                <w:rFonts w:ascii="Times New Roman" w:hAnsi="Times New Roman"/>
                <w:b/>
                <w:color w:val="F8F8F8"/>
                <w:kern w:val="2"/>
                <w:sz w:val="24"/>
                <w:szCs w:val="24"/>
                <w14:ligatures w14:val="standardContextual"/>
              </w:rPr>
              <w:t>ou</w:t>
            </w:r>
            <w:r>
              <w:rPr>
                <w:rFonts w:ascii="Times New Roman" w:hAnsi="Times New Roman"/>
                <w:b/>
                <w:color w:val="F8F8F8"/>
                <w:kern w:val="2"/>
                <w:sz w:val="24"/>
                <w:szCs w:val="24"/>
                <w14:ligatures w14:val="standardContextual"/>
              </w:rPr>
              <w:t>r)</w:t>
            </w:r>
          </w:p>
        </w:tc>
        <w:tc>
          <w:tcPr>
            <w:tcW w:w="2970" w:type="dxa"/>
            <w:tcBorders>
              <w:top w:val="nil"/>
              <w:left w:val="nil"/>
              <w:bottom w:val="single" w:sz="8" w:space="0" w:color="3B3B3B"/>
              <w:right w:val="nil"/>
            </w:tcBorders>
            <w:shd w:val="clear" w:color="auto" w:fill="929292"/>
            <w:hideMark/>
          </w:tcPr>
          <w:p w14:paraId="11DA15FE" w14:textId="35687B07" w:rsidR="006F6375" w:rsidRDefault="006F6375">
            <w:pPr>
              <w:pStyle w:val="StylePJMFormulaCentered"/>
              <w:jc w:val="left"/>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Total Operating Cost ($/h</w:t>
            </w:r>
            <w:r w:rsidR="007531EA">
              <w:rPr>
                <w:rFonts w:ascii="Times New Roman" w:hAnsi="Times New Roman"/>
                <w:b/>
                <w:color w:val="F8F8F8"/>
                <w:kern w:val="2"/>
                <w:sz w:val="24"/>
                <w:szCs w:val="24"/>
                <w14:ligatures w14:val="standardContextual"/>
              </w:rPr>
              <w:t>ou</w:t>
            </w:r>
            <w:r>
              <w:rPr>
                <w:rFonts w:ascii="Times New Roman" w:hAnsi="Times New Roman"/>
                <w:b/>
                <w:color w:val="F8F8F8"/>
                <w:kern w:val="2"/>
                <w:sz w:val="24"/>
                <w:szCs w:val="24"/>
                <w14:ligatures w14:val="standardContextual"/>
              </w:rPr>
              <w:t>r)</w:t>
            </w:r>
          </w:p>
        </w:tc>
      </w:tr>
      <w:tr w:rsidR="006F6375" w14:paraId="347E517A" w14:textId="77777777">
        <w:trPr>
          <w:jc w:val="center"/>
        </w:trPr>
        <w:tc>
          <w:tcPr>
            <w:tcW w:w="1759" w:type="dxa"/>
            <w:tcBorders>
              <w:top w:val="nil"/>
              <w:left w:val="nil"/>
              <w:bottom w:val="nil"/>
              <w:right w:val="nil"/>
            </w:tcBorders>
            <w:shd w:val="clear" w:color="auto" w:fill="CECECE"/>
            <w:hideMark/>
          </w:tcPr>
          <w:p w14:paraId="34E37B76" w14:textId="77777777" w:rsidR="006F6375" w:rsidRDefault="006F6375">
            <w:pPr>
              <w:pStyle w:val="StylePJMFormulaCentered"/>
              <w:jc w:val="left"/>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70</w:t>
            </w:r>
          </w:p>
        </w:tc>
        <w:tc>
          <w:tcPr>
            <w:tcW w:w="2700" w:type="dxa"/>
            <w:tcBorders>
              <w:top w:val="nil"/>
              <w:left w:val="nil"/>
              <w:bottom w:val="nil"/>
              <w:right w:val="nil"/>
            </w:tcBorders>
            <w:shd w:val="clear" w:color="auto" w:fill="CECECE"/>
            <w:hideMark/>
          </w:tcPr>
          <w:p w14:paraId="16041D56"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879.02</w:t>
            </w:r>
          </w:p>
        </w:tc>
        <w:tc>
          <w:tcPr>
            <w:tcW w:w="2970" w:type="dxa"/>
            <w:tcBorders>
              <w:top w:val="nil"/>
              <w:left w:val="nil"/>
              <w:bottom w:val="nil"/>
              <w:right w:val="nil"/>
            </w:tcBorders>
            <w:shd w:val="clear" w:color="auto" w:fill="CECECE"/>
            <w:hideMark/>
          </w:tcPr>
          <w:p w14:paraId="36E619F3"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3,662</w:t>
            </w:r>
          </w:p>
        </w:tc>
      </w:tr>
      <w:tr w:rsidR="006F6375" w14:paraId="30033280" w14:textId="77777777">
        <w:trPr>
          <w:jc w:val="center"/>
        </w:trPr>
        <w:tc>
          <w:tcPr>
            <w:tcW w:w="1759" w:type="dxa"/>
            <w:tcBorders>
              <w:top w:val="nil"/>
              <w:left w:val="nil"/>
              <w:bottom w:val="nil"/>
              <w:right w:val="nil"/>
            </w:tcBorders>
            <w:hideMark/>
          </w:tcPr>
          <w:p w14:paraId="6D0872C2" w14:textId="77777777" w:rsidR="006F6375" w:rsidRDefault="006F6375">
            <w:pPr>
              <w:pStyle w:val="StylePJMFormulaCentered"/>
              <w:jc w:val="left"/>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90</w:t>
            </w:r>
          </w:p>
        </w:tc>
        <w:tc>
          <w:tcPr>
            <w:tcW w:w="2700" w:type="dxa"/>
            <w:tcBorders>
              <w:top w:val="nil"/>
              <w:left w:val="nil"/>
              <w:bottom w:val="nil"/>
              <w:right w:val="nil"/>
            </w:tcBorders>
            <w:hideMark/>
          </w:tcPr>
          <w:p w14:paraId="78277A94"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1054.57</w:t>
            </w:r>
          </w:p>
        </w:tc>
        <w:tc>
          <w:tcPr>
            <w:tcW w:w="2970" w:type="dxa"/>
            <w:tcBorders>
              <w:top w:val="nil"/>
              <w:left w:val="nil"/>
              <w:bottom w:val="nil"/>
              <w:right w:val="nil"/>
            </w:tcBorders>
            <w:hideMark/>
          </w:tcPr>
          <w:p w14:paraId="1D967495"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4,378</w:t>
            </w:r>
          </w:p>
        </w:tc>
      </w:tr>
      <w:tr w:rsidR="006F6375" w14:paraId="4423AB30" w14:textId="77777777">
        <w:trPr>
          <w:jc w:val="center"/>
        </w:trPr>
        <w:tc>
          <w:tcPr>
            <w:tcW w:w="1759" w:type="dxa"/>
            <w:tcBorders>
              <w:top w:val="nil"/>
              <w:left w:val="nil"/>
              <w:bottom w:val="single" w:sz="8" w:space="0" w:color="3B3B3B"/>
              <w:right w:val="nil"/>
            </w:tcBorders>
            <w:shd w:val="clear" w:color="auto" w:fill="CECECE"/>
            <w:hideMark/>
          </w:tcPr>
          <w:p w14:paraId="05B51F16" w14:textId="77777777" w:rsidR="006F6375" w:rsidRDefault="006F6375">
            <w:pPr>
              <w:pStyle w:val="StylePJMFormulaCentered"/>
              <w:jc w:val="left"/>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100</w:t>
            </w:r>
          </w:p>
        </w:tc>
        <w:tc>
          <w:tcPr>
            <w:tcW w:w="2700" w:type="dxa"/>
            <w:tcBorders>
              <w:top w:val="nil"/>
              <w:left w:val="nil"/>
              <w:bottom w:val="single" w:sz="8" w:space="0" w:color="3B3B3B"/>
              <w:right w:val="nil"/>
            </w:tcBorders>
            <w:shd w:val="clear" w:color="auto" w:fill="CECECE"/>
            <w:hideMark/>
          </w:tcPr>
          <w:p w14:paraId="10764684"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1157.28</w:t>
            </w:r>
          </w:p>
        </w:tc>
        <w:tc>
          <w:tcPr>
            <w:tcW w:w="2970" w:type="dxa"/>
            <w:tcBorders>
              <w:top w:val="nil"/>
              <w:left w:val="nil"/>
              <w:bottom w:val="single" w:sz="8" w:space="0" w:color="3B3B3B"/>
              <w:right w:val="nil"/>
            </w:tcBorders>
            <w:shd w:val="clear" w:color="auto" w:fill="CECECE"/>
            <w:hideMark/>
          </w:tcPr>
          <w:p w14:paraId="247C0049" w14:textId="77777777" w:rsidR="006F6375" w:rsidRDefault="006F6375">
            <w:pPr>
              <w:pStyle w:val="StylePJMFormulaCentered"/>
              <w:jc w:val="left"/>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5,022</w:t>
            </w:r>
          </w:p>
        </w:tc>
      </w:tr>
    </w:tbl>
    <w:p w14:paraId="276B32E5" w14:textId="77777777" w:rsidR="006F6375" w:rsidRDefault="006F6375" w:rsidP="006F6375">
      <w:pPr>
        <w:ind w:firstLine="360"/>
      </w:pPr>
    </w:p>
    <w:p w14:paraId="568C4897" w14:textId="77777777" w:rsidR="006F6375" w:rsidRDefault="006F6375" w:rsidP="006F6375">
      <w:r>
        <w:t>The unit’s Incremental Cost ($/MWh) at various outputs can be determined arithmetically by the following equation:</w:t>
      </w:r>
    </w:p>
    <w:p w14:paraId="5EC9BB0B" w14:textId="77777777" w:rsidR="006F6375" w:rsidRDefault="006F6375" w:rsidP="006F6375"/>
    <w:p w14:paraId="7C198E4D" w14:textId="77777777" w:rsidR="006F6375" w:rsidRDefault="00007736" w:rsidP="006F6375">
      <m:oMathPara>
        <m:oMathParaPr>
          <m:jc m:val="center"/>
        </m:oMathParaPr>
        <m:oMath>
          <m:r>
            <w:rPr>
              <w:rFonts w:ascii="Cambria Math" w:hAnsi="Cambria Math"/>
            </w:rPr>
            <m:t>Incremental Cost</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f>
            <m:fPr>
              <m:ctrlPr>
                <w:rPr>
                  <w:rFonts w:ascii="Cambria Math" w:hAnsi="Cambria Math"/>
                  <w:i/>
                </w:rPr>
              </m:ctrlPr>
            </m:fPr>
            <m:num>
              <m:r>
                <w:rPr>
                  <w:rFonts w:ascii="Cambria Math" w:hAnsi="Cambria Math"/>
                </w:rPr>
                <m:t xml:space="preserve">Total Operating Cost </m:t>
              </m:r>
              <m:sSub>
                <m:sSubPr>
                  <m:ctrlPr>
                    <w:rPr>
                      <w:rFonts w:ascii="Cambria Math" w:hAnsi="Cambria Math"/>
                      <w:i/>
                    </w:rPr>
                  </m:ctrlPr>
                </m:sSubPr>
                <m:e>
                  <m:r>
                    <w:rPr>
                      <w:rFonts w:ascii="Cambria Math" w:hAnsi="Cambria Math"/>
                    </w:rPr>
                    <m:t>MW</m:t>
                  </m:r>
                </m:e>
                <m:sub>
                  <m:r>
                    <w:rPr>
                      <w:rFonts w:ascii="Cambria Math" w:hAnsi="Cambria Math"/>
                    </w:rPr>
                    <m:t>2</m:t>
                  </m:r>
                </m:sub>
              </m:sSub>
              <m:r>
                <w:rPr>
                  <w:rFonts w:ascii="Cambria Math" w:hAnsi="Cambria Math"/>
                </w:rPr>
                <m:t xml:space="preserve">-Total Operating Cost </m:t>
              </m:r>
              <m:sSub>
                <m:sSubPr>
                  <m:ctrlPr>
                    <w:rPr>
                      <w:rFonts w:ascii="Cambria Math" w:hAnsi="Cambria Math"/>
                      <w:i/>
                    </w:rPr>
                  </m:ctrlPr>
                </m:sSubPr>
                <m:e>
                  <m:r>
                    <w:rPr>
                      <w:rFonts w:ascii="Cambria Math" w:hAnsi="Cambria Math"/>
                    </w:rPr>
                    <m:t>MW</m:t>
                  </m:r>
                </m:e>
                <m:sub>
                  <m:r>
                    <w:rPr>
                      <w:rFonts w:ascii="Cambria Math" w:hAnsi="Cambria Math"/>
                    </w:rPr>
                    <m:t>1</m:t>
                  </m:r>
                </m:sub>
              </m:sSub>
            </m:num>
            <m:den>
              <m:sSub>
                <m:sSubPr>
                  <m:ctrlPr>
                    <w:rPr>
                      <w:rFonts w:ascii="Cambria Math" w:hAnsi="Cambria Math"/>
                      <w:i/>
                    </w:rPr>
                  </m:ctrlPr>
                </m:sSubPr>
                <m:e>
                  <m:r>
                    <w:rPr>
                      <w:rFonts w:ascii="Cambria Math" w:hAnsi="Cambria Math"/>
                    </w:rPr>
                    <m:t>MW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MW</m:t>
                  </m:r>
                </m:e>
                <m:sub>
                  <m:r>
                    <w:rPr>
                      <w:rFonts w:ascii="Cambria Math" w:hAnsi="Cambria Math"/>
                    </w:rPr>
                    <m:t>1</m:t>
                  </m:r>
                </m:sub>
              </m:sSub>
            </m:den>
          </m:f>
        </m:oMath>
      </m:oMathPara>
    </w:p>
    <w:p w14:paraId="7B752318" w14:textId="77777777" w:rsidR="006F6375" w:rsidRDefault="006F6375" w:rsidP="006F6375"/>
    <w:p w14:paraId="57D04B20" w14:textId="77777777" w:rsidR="006F6375" w:rsidRDefault="006F6375" w:rsidP="006F6375"/>
    <w:tbl>
      <w:tblPr>
        <w:tblW w:w="0" w:type="auto"/>
        <w:jc w:val="center"/>
        <w:tblBorders>
          <w:top w:val="single" w:sz="8" w:space="0" w:color="3B3B3B"/>
          <w:bottom w:val="single" w:sz="8" w:space="0" w:color="3B3B3B"/>
        </w:tblBorders>
        <w:tblLook w:val="04A0" w:firstRow="1" w:lastRow="0" w:firstColumn="1" w:lastColumn="0" w:noHBand="0" w:noVBand="1"/>
      </w:tblPr>
      <w:tblGrid>
        <w:gridCol w:w="2520"/>
        <w:gridCol w:w="2970"/>
      </w:tblGrid>
      <w:tr w:rsidR="006F6375" w14:paraId="56658846" w14:textId="77777777">
        <w:trPr>
          <w:jc w:val="center"/>
        </w:trPr>
        <w:tc>
          <w:tcPr>
            <w:tcW w:w="2520" w:type="dxa"/>
            <w:tcBorders>
              <w:top w:val="nil"/>
              <w:left w:val="nil"/>
              <w:bottom w:val="single" w:sz="8" w:space="0" w:color="3B3B3B"/>
              <w:right w:val="nil"/>
            </w:tcBorders>
            <w:shd w:val="clear" w:color="auto" w:fill="929292"/>
            <w:hideMark/>
          </w:tcPr>
          <w:p w14:paraId="6CDEEAC1"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970" w:type="dxa"/>
            <w:tcBorders>
              <w:top w:val="nil"/>
              <w:left w:val="nil"/>
              <w:bottom w:val="single" w:sz="8" w:space="0" w:color="3B3B3B"/>
              <w:right w:val="nil"/>
            </w:tcBorders>
            <w:shd w:val="clear" w:color="auto" w:fill="929292"/>
            <w:hideMark/>
          </w:tcPr>
          <w:p w14:paraId="3EE0F00A"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Incremental Cost ($/MWh)</w:t>
            </w:r>
          </w:p>
        </w:tc>
      </w:tr>
      <w:tr w:rsidR="006F6375" w14:paraId="1F856FB9" w14:textId="77777777">
        <w:trPr>
          <w:jc w:val="center"/>
        </w:trPr>
        <w:tc>
          <w:tcPr>
            <w:tcW w:w="2520" w:type="dxa"/>
            <w:tcBorders>
              <w:top w:val="nil"/>
              <w:left w:val="nil"/>
              <w:bottom w:val="nil"/>
              <w:right w:val="nil"/>
            </w:tcBorders>
            <w:shd w:val="clear" w:color="auto" w:fill="CECECE"/>
            <w:hideMark/>
          </w:tcPr>
          <w:p w14:paraId="1029BAB4"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70</w:t>
            </w:r>
          </w:p>
        </w:tc>
        <w:tc>
          <w:tcPr>
            <w:tcW w:w="2970" w:type="dxa"/>
            <w:tcBorders>
              <w:top w:val="nil"/>
              <w:left w:val="nil"/>
              <w:bottom w:val="nil"/>
              <w:right w:val="nil"/>
            </w:tcBorders>
            <w:shd w:val="clear" w:color="auto" w:fill="CECECE"/>
            <w:hideMark/>
          </w:tcPr>
          <w:p w14:paraId="2BEC33A1"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18.61</w:t>
            </w:r>
          </w:p>
        </w:tc>
      </w:tr>
      <w:tr w:rsidR="006F6375" w14:paraId="4200C297" w14:textId="77777777">
        <w:trPr>
          <w:jc w:val="center"/>
        </w:trPr>
        <w:tc>
          <w:tcPr>
            <w:tcW w:w="2520" w:type="dxa"/>
            <w:tcBorders>
              <w:top w:val="nil"/>
              <w:left w:val="nil"/>
              <w:bottom w:val="nil"/>
              <w:right w:val="nil"/>
            </w:tcBorders>
            <w:hideMark/>
          </w:tcPr>
          <w:p w14:paraId="5D1BC394"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90</w:t>
            </w:r>
          </w:p>
        </w:tc>
        <w:tc>
          <w:tcPr>
            <w:tcW w:w="2970" w:type="dxa"/>
            <w:tcBorders>
              <w:top w:val="nil"/>
              <w:left w:val="nil"/>
              <w:bottom w:val="nil"/>
              <w:right w:val="nil"/>
            </w:tcBorders>
            <w:hideMark/>
          </w:tcPr>
          <w:p w14:paraId="0D2AE786"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35.82</w:t>
            </w:r>
          </w:p>
        </w:tc>
      </w:tr>
      <w:tr w:rsidR="006F6375" w14:paraId="5D888526" w14:textId="77777777">
        <w:trPr>
          <w:jc w:val="center"/>
        </w:trPr>
        <w:tc>
          <w:tcPr>
            <w:tcW w:w="2520" w:type="dxa"/>
            <w:tcBorders>
              <w:top w:val="nil"/>
              <w:left w:val="nil"/>
              <w:bottom w:val="single" w:sz="8" w:space="0" w:color="3B3B3B"/>
              <w:right w:val="nil"/>
            </w:tcBorders>
            <w:shd w:val="clear" w:color="auto" w:fill="CECECE"/>
            <w:hideMark/>
          </w:tcPr>
          <w:p w14:paraId="3235FC90"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100</w:t>
            </w:r>
          </w:p>
        </w:tc>
        <w:tc>
          <w:tcPr>
            <w:tcW w:w="2970" w:type="dxa"/>
            <w:tcBorders>
              <w:top w:val="nil"/>
              <w:left w:val="nil"/>
              <w:bottom w:val="single" w:sz="8" w:space="0" w:color="3B3B3B"/>
              <w:right w:val="nil"/>
            </w:tcBorders>
            <w:shd w:val="clear" w:color="auto" w:fill="CECECE"/>
            <w:hideMark/>
          </w:tcPr>
          <w:p w14:paraId="5C26F4C1"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64.42</w:t>
            </w:r>
          </w:p>
        </w:tc>
      </w:tr>
    </w:tbl>
    <w:p w14:paraId="5968F85E" w14:textId="77777777" w:rsidR="006F6375" w:rsidRDefault="006F6375" w:rsidP="006F6375"/>
    <w:p w14:paraId="2B0D07C4" w14:textId="77777777" w:rsidR="006F6375" w:rsidRDefault="006F6375" w:rsidP="006F6375">
      <w:r>
        <w:t xml:space="preserve">When calculating the first increment, MW1 is zero and the Total Operating Cost MW1 is the No-Load Cost. Since the Incremental Costs are monotonically increasing, no adjustment to the No-Load Cost is required. </w:t>
      </w:r>
    </w:p>
    <w:p w14:paraId="2DEFA6F9" w14:textId="77777777" w:rsidR="006F6375" w:rsidRDefault="006F6375" w:rsidP="006F6375"/>
    <w:p w14:paraId="5DE55DD8" w14:textId="77777777" w:rsidR="006F6375" w:rsidRDefault="006F6375" w:rsidP="006F6375">
      <w:r>
        <w:t>The unit’s Incremental Cost ($/MWh) at various outputs can also be determined by using the derivative of the Heat Input Curve:</w:t>
      </w:r>
    </w:p>
    <w:p w14:paraId="434E1AEF" w14:textId="77777777" w:rsidR="006F6375" w:rsidRDefault="006F6375" w:rsidP="006F6375"/>
    <w:p w14:paraId="266C1925" w14:textId="77777777" w:rsidR="006F6375" w:rsidRDefault="00007736" w:rsidP="006F6375">
      <m:oMathPara>
        <m:oMathParaPr>
          <m:jc m:val="center"/>
        </m:oMathParaPr>
        <m:oMath>
          <m:r>
            <w:rPr>
              <w:rFonts w:ascii="Cambria Math" w:hAnsi="Cambria Math"/>
            </w:rPr>
            <m:t xml:space="preserve">Incremental Cost </m:t>
          </m:r>
          <m:d>
            <m:dPr>
              <m:ctrlPr>
                <w:rPr>
                  <w:rFonts w:ascii="Cambria Math" w:hAnsi="Cambria Math"/>
                  <w:i/>
                </w:rPr>
              </m:ctrlPr>
            </m:dPr>
            <m:e>
              <m:f>
                <m:fPr>
                  <m:type m:val="lin"/>
                  <m:ctrlPr>
                    <w:rPr>
                      <w:rFonts w:ascii="Cambria Math" w:hAnsi="Cambria Math"/>
                      <w:i/>
                    </w:rPr>
                  </m:ctrlPr>
                </m:fPr>
                <m:num>
                  <m:r>
                    <w:rPr>
                      <w:rFonts w:ascii="Cambria Math" w:hAnsi="Cambria Math"/>
                    </w:rPr>
                    <m:t>$</m:t>
                  </m:r>
                </m:num>
                <m:den>
                  <m:r>
                    <w:rPr>
                      <w:rFonts w:ascii="Cambria Math" w:hAnsi="Cambria Math"/>
                    </w:rPr>
                    <m:t>MWh</m:t>
                  </m:r>
                </m:den>
              </m:f>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2*0.0498*MW+0.8122</m:t>
                  </m:r>
                </m:e>
              </m:d>
              <m:r>
                <w:rPr>
                  <w:rFonts w:ascii="Cambria Math" w:hAnsi="Cambria Math"/>
                </w:rPr>
                <m:t>*Performance Factor*TFRC</m:t>
              </m:r>
            </m:e>
          </m:d>
          <m:r>
            <w:rPr>
              <w:rFonts w:ascii="Cambria Math" w:hAnsi="Cambria Math"/>
            </w:rPr>
            <m:t>+</m:t>
          </m:r>
          <m:f>
            <m:fPr>
              <m:ctrlPr>
                <w:rPr>
                  <w:rFonts w:ascii="Cambria Math" w:hAnsi="Cambria Math"/>
                  <w:i/>
                </w:rPr>
              </m:ctrlPr>
            </m:fPr>
            <m:num>
              <m:r>
                <w:rPr>
                  <w:rFonts w:ascii="Cambria Math" w:hAnsi="Cambria Math"/>
                </w:rPr>
                <m:t>∆VOM</m:t>
              </m:r>
            </m:num>
            <m:den>
              <m:r>
                <w:rPr>
                  <w:rFonts w:ascii="Cambria Math" w:hAnsi="Cambria Math"/>
                </w:rPr>
                <m:t>∆MW</m:t>
              </m:r>
            </m:den>
          </m:f>
        </m:oMath>
      </m:oMathPara>
    </w:p>
    <w:p w14:paraId="1C0D5D83" w14:textId="77777777" w:rsidR="006F6375" w:rsidRDefault="006F6375" w:rsidP="006F6375"/>
    <w:p w14:paraId="47C91F7D" w14:textId="072BF7A1" w:rsidR="006F6375" w:rsidRDefault="006F6375" w:rsidP="006F6375">
      <w:r>
        <w:t>Since VOM is in the units of $/h</w:t>
      </w:r>
      <w:r w:rsidR="007531EA">
        <w:t>ou</w:t>
      </w:r>
      <w:r>
        <w:t>r it can only be added to the first incremental and any incremental where the maintenance factor changes.</w:t>
      </w:r>
    </w:p>
    <w:p w14:paraId="09C9E165" w14:textId="77777777" w:rsidR="006F6375" w:rsidRDefault="006F6375" w:rsidP="006F6375"/>
    <w:tbl>
      <w:tblPr>
        <w:tblW w:w="0" w:type="auto"/>
        <w:jc w:val="center"/>
        <w:tblBorders>
          <w:top w:val="single" w:sz="8" w:space="0" w:color="3B3B3B"/>
          <w:bottom w:val="single" w:sz="8" w:space="0" w:color="3B3B3B"/>
        </w:tblBorders>
        <w:tblLook w:val="04A0" w:firstRow="1" w:lastRow="0" w:firstColumn="1" w:lastColumn="0" w:noHBand="0" w:noVBand="1"/>
      </w:tblPr>
      <w:tblGrid>
        <w:gridCol w:w="2520"/>
        <w:gridCol w:w="2970"/>
      </w:tblGrid>
      <w:tr w:rsidR="006F6375" w14:paraId="072EAD97" w14:textId="77777777">
        <w:trPr>
          <w:jc w:val="center"/>
        </w:trPr>
        <w:tc>
          <w:tcPr>
            <w:tcW w:w="2520" w:type="dxa"/>
            <w:tcBorders>
              <w:top w:val="nil"/>
              <w:left w:val="nil"/>
              <w:bottom w:val="single" w:sz="8" w:space="0" w:color="3B3B3B"/>
              <w:right w:val="nil"/>
            </w:tcBorders>
            <w:shd w:val="clear" w:color="auto" w:fill="929292"/>
            <w:hideMark/>
          </w:tcPr>
          <w:p w14:paraId="20D89125"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Output (MW)</w:t>
            </w:r>
          </w:p>
        </w:tc>
        <w:tc>
          <w:tcPr>
            <w:tcW w:w="2970" w:type="dxa"/>
            <w:tcBorders>
              <w:top w:val="nil"/>
              <w:left w:val="nil"/>
              <w:bottom w:val="single" w:sz="8" w:space="0" w:color="3B3B3B"/>
              <w:right w:val="nil"/>
            </w:tcBorders>
            <w:shd w:val="clear" w:color="auto" w:fill="929292"/>
            <w:hideMark/>
          </w:tcPr>
          <w:p w14:paraId="2F450DC9" w14:textId="77777777" w:rsidR="006F6375" w:rsidRDefault="006F6375">
            <w:pPr>
              <w:pStyle w:val="StylePJMFormulaCentered"/>
              <w:rPr>
                <w:rFonts w:ascii="Times New Roman" w:hAnsi="Times New Roman"/>
                <w:b/>
                <w:color w:val="F8F8F8"/>
                <w:kern w:val="2"/>
                <w:sz w:val="24"/>
                <w:szCs w:val="24"/>
                <w14:ligatures w14:val="standardContextual"/>
              </w:rPr>
            </w:pPr>
            <w:r>
              <w:rPr>
                <w:rFonts w:ascii="Times New Roman" w:hAnsi="Times New Roman"/>
                <w:b/>
                <w:color w:val="F8F8F8"/>
                <w:kern w:val="2"/>
                <w:sz w:val="24"/>
                <w:szCs w:val="24"/>
                <w14:ligatures w14:val="standardContextual"/>
              </w:rPr>
              <w:t>Incremental Cost ($/MWh)</w:t>
            </w:r>
          </w:p>
        </w:tc>
      </w:tr>
      <w:tr w:rsidR="006F6375" w14:paraId="2160B957" w14:textId="77777777">
        <w:trPr>
          <w:jc w:val="center"/>
        </w:trPr>
        <w:tc>
          <w:tcPr>
            <w:tcW w:w="2520" w:type="dxa"/>
            <w:tcBorders>
              <w:top w:val="nil"/>
              <w:left w:val="nil"/>
              <w:bottom w:val="nil"/>
              <w:right w:val="nil"/>
            </w:tcBorders>
            <w:shd w:val="clear" w:color="auto" w:fill="CECECE"/>
            <w:hideMark/>
          </w:tcPr>
          <w:p w14:paraId="24C63DF8"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70</w:t>
            </w:r>
          </w:p>
        </w:tc>
        <w:tc>
          <w:tcPr>
            <w:tcW w:w="2970" w:type="dxa"/>
            <w:tcBorders>
              <w:top w:val="nil"/>
              <w:left w:val="nil"/>
              <w:bottom w:val="nil"/>
              <w:right w:val="nil"/>
            </w:tcBorders>
            <w:shd w:val="clear" w:color="auto" w:fill="CECECE"/>
            <w:hideMark/>
          </w:tcPr>
          <w:p w14:paraId="64440AD7"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32.83</w:t>
            </w:r>
          </w:p>
        </w:tc>
      </w:tr>
      <w:tr w:rsidR="006F6375" w14:paraId="1F925DEE" w14:textId="77777777">
        <w:trPr>
          <w:jc w:val="center"/>
        </w:trPr>
        <w:tc>
          <w:tcPr>
            <w:tcW w:w="2520" w:type="dxa"/>
            <w:tcBorders>
              <w:top w:val="nil"/>
              <w:left w:val="nil"/>
              <w:bottom w:val="nil"/>
              <w:right w:val="nil"/>
            </w:tcBorders>
            <w:hideMark/>
          </w:tcPr>
          <w:p w14:paraId="16B31347"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90</w:t>
            </w:r>
          </w:p>
        </w:tc>
        <w:tc>
          <w:tcPr>
            <w:tcW w:w="2970" w:type="dxa"/>
            <w:tcBorders>
              <w:top w:val="nil"/>
              <w:left w:val="nil"/>
              <w:bottom w:val="nil"/>
              <w:right w:val="nil"/>
            </w:tcBorders>
            <w:hideMark/>
          </w:tcPr>
          <w:p w14:paraId="6EF74802"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39.89</w:t>
            </w:r>
          </w:p>
        </w:tc>
      </w:tr>
      <w:tr w:rsidR="006F6375" w14:paraId="730945FF" w14:textId="77777777">
        <w:trPr>
          <w:jc w:val="center"/>
        </w:trPr>
        <w:tc>
          <w:tcPr>
            <w:tcW w:w="2520" w:type="dxa"/>
            <w:tcBorders>
              <w:top w:val="nil"/>
              <w:left w:val="nil"/>
              <w:bottom w:val="single" w:sz="8" w:space="0" w:color="3B3B3B"/>
              <w:right w:val="nil"/>
            </w:tcBorders>
            <w:shd w:val="clear" w:color="auto" w:fill="CECECE"/>
            <w:hideMark/>
          </w:tcPr>
          <w:p w14:paraId="4D2A27D6" w14:textId="77777777" w:rsidR="006F6375" w:rsidRDefault="006F6375">
            <w:pPr>
              <w:pStyle w:val="StylePJMFormulaCentered"/>
              <w:rPr>
                <w:rFonts w:ascii="Times New Roman" w:hAnsi="Times New Roman"/>
                <w:b/>
                <w:color w:val="3B3B3B"/>
                <w:kern w:val="2"/>
                <w:sz w:val="24"/>
                <w:szCs w:val="24"/>
                <w14:ligatures w14:val="standardContextual"/>
              </w:rPr>
            </w:pPr>
            <w:r>
              <w:rPr>
                <w:rFonts w:ascii="Times New Roman" w:hAnsi="Times New Roman"/>
                <w:color w:val="3B3B3B"/>
                <w:kern w:val="2"/>
                <w:sz w:val="24"/>
                <w:szCs w:val="24"/>
                <w14:ligatures w14:val="standardContextual"/>
              </w:rPr>
              <w:t>100</w:t>
            </w:r>
          </w:p>
        </w:tc>
        <w:tc>
          <w:tcPr>
            <w:tcW w:w="2970" w:type="dxa"/>
            <w:tcBorders>
              <w:top w:val="nil"/>
              <w:left w:val="nil"/>
              <w:bottom w:val="single" w:sz="8" w:space="0" w:color="3B3B3B"/>
              <w:right w:val="nil"/>
            </w:tcBorders>
            <w:shd w:val="clear" w:color="auto" w:fill="CECECE"/>
            <w:hideMark/>
          </w:tcPr>
          <w:p w14:paraId="6547154E" w14:textId="77777777" w:rsidR="006F6375" w:rsidRDefault="006F6375">
            <w:pPr>
              <w:pStyle w:val="StylePJMFormulaCentered"/>
              <w:rPr>
                <w:rFonts w:ascii="Times New Roman" w:hAnsi="Times New Roman"/>
                <w:color w:val="3B3B3B"/>
                <w:kern w:val="2"/>
                <w:sz w:val="24"/>
                <w:szCs w:val="24"/>
                <w14:ligatures w14:val="standardContextual"/>
              </w:rPr>
            </w:pPr>
            <w:r>
              <w:rPr>
                <w:rFonts w:ascii="Times New Roman" w:hAnsi="Times New Roman"/>
                <w:color w:val="3B3B3B"/>
                <w:kern w:val="2"/>
                <w:sz w:val="24"/>
                <w:szCs w:val="24"/>
                <w14:ligatures w14:val="standardContextual"/>
              </w:rPr>
              <w:t>66.45</w:t>
            </w:r>
          </w:p>
        </w:tc>
      </w:tr>
    </w:tbl>
    <w:p w14:paraId="45CF40B9" w14:textId="77777777" w:rsidR="006F6375" w:rsidRDefault="006F6375" w:rsidP="006F6375"/>
    <w:p w14:paraId="3AF2C110" w14:textId="77777777" w:rsidR="006F6375" w:rsidRDefault="006F6375" w:rsidP="006F6375">
      <w:r>
        <w:t>The no-load cost is calculated by subtracting the incremental cost (unit’s economic minimum cost-offer value multiplied by MW value) at the unit’s economic minimum point from the total cost (from the heat input at economic minimum value) at the unit’s economic minimum point.</w:t>
      </w:r>
    </w:p>
    <w:p w14:paraId="0DE56413" w14:textId="77777777" w:rsidR="006F6375" w:rsidRDefault="006F6375" w:rsidP="006F6375"/>
    <w:p w14:paraId="343CD78A" w14:textId="37C691C8" w:rsidR="006F6375" w:rsidRPr="00E94CBF" w:rsidRDefault="00013EA6" w:rsidP="006F6375">
      <w:pPr>
        <w:pStyle w:val="StylePJMFormulaCentered"/>
        <w:jc w:val="left"/>
        <w:rPr>
          <w:rFonts w:ascii="Times New Roman" w:hAnsi="Times New Roman"/>
          <w:i/>
        </w:rPr>
      </w:pPr>
      <m:oMathPara>
        <m:oMath>
          <m:r>
            <m:t>No-Load Cost ($/hour)=</m:t>
          </m:r>
        </m:oMath>
      </m:oMathPara>
    </w:p>
    <w:p w14:paraId="1D258A2C" w14:textId="1CE44BC7" w:rsidR="006F6375" w:rsidRPr="00E94CBF" w:rsidRDefault="00013EA6" w:rsidP="006F6375">
      <w:pPr>
        <w:pStyle w:val="StylePJMFormulaCentered"/>
        <w:jc w:val="left"/>
        <w:rPr>
          <w:rFonts w:ascii="Times New Roman" w:hAnsi="Times New Roman"/>
          <w:i/>
        </w:rPr>
      </w:pPr>
      <m:oMathPara>
        <m:oMath>
          <m:r>
            <m:t>=</m:t>
          </m:r>
          <m:d>
            <m:dPr>
              <m:ctrlPr>
                <w:rPr>
                  <w:i/>
                  <w:iCs w:val="0"/>
                </w:rPr>
              </m:ctrlPr>
            </m:dPr>
            <m:e>
              <m:r>
                <m:t>Economic Minimum Heat Input*Performance Factor*TFRC</m:t>
              </m:r>
            </m:e>
          </m:d>
          <m:r>
            <m:t xml:space="preserve">+VOM- </m:t>
          </m:r>
          <m:d>
            <m:dPr>
              <m:ctrlPr>
                <w:rPr>
                  <w:i/>
                  <w:iCs w:val="0"/>
                </w:rPr>
              </m:ctrlPr>
            </m:dPr>
            <m:e>
              <m:r>
                <m:t>Economic Minimum Incremental Cost*Economic Minimum MW</m:t>
              </m:r>
            </m:e>
          </m:d>
        </m:oMath>
      </m:oMathPara>
    </w:p>
    <w:p w14:paraId="443286F0" w14:textId="5FDC6C41" w:rsidR="006F6375" w:rsidRPr="00E94CBF" w:rsidRDefault="00013EA6" w:rsidP="006F6375">
      <w:pPr>
        <w:pStyle w:val="StylePJMFormulaCentered"/>
        <w:jc w:val="left"/>
        <w:rPr>
          <w:rFonts w:ascii="Times New Roman" w:hAnsi="Times New Roman"/>
          <w:i/>
        </w:rPr>
      </w:pPr>
      <m:oMathPara>
        <m:oMath>
          <m:r>
            <m:t xml:space="preserve">=(872.58MMBtu/hour*1.02*$4.00/MMBtu)+($75.00/ESH)- ($25.82/MWh*105 MW) </m:t>
          </m:r>
        </m:oMath>
      </m:oMathPara>
    </w:p>
    <w:p w14:paraId="616F6D91" w14:textId="05CA81EF" w:rsidR="006F6375" w:rsidRPr="00E94CBF" w:rsidRDefault="00013EA6" w:rsidP="006F6375">
      <w:pPr>
        <w:pStyle w:val="StylePJMFormulaCentered"/>
        <w:jc w:val="left"/>
        <w:rPr>
          <w:rFonts w:ascii="Times New Roman" w:hAnsi="Times New Roman"/>
          <w:i/>
        </w:rPr>
      </w:pPr>
      <m:oMathPara>
        <m:oMath>
          <m:r>
            <m:t>=$924.03/</m:t>
          </m:r>
          <m:r>
            <m:t>hour</m:t>
          </m:r>
        </m:oMath>
      </m:oMathPara>
    </w:p>
    <w:p w14:paraId="0ACB3F5A" w14:textId="24507B38" w:rsidR="006F6375" w:rsidRPr="0012236C" w:rsidRDefault="006F6375" w:rsidP="006F6375">
      <w:pPr>
        <w:pStyle w:val="PJMNormal"/>
      </w:pPr>
      <w:r w:rsidRPr="0012236C">
        <w:t>Since VOM is in the units of $/h</w:t>
      </w:r>
      <w:r w:rsidR="007531EA" w:rsidRPr="0012236C">
        <w:t>ou</w:t>
      </w:r>
      <w:r w:rsidRPr="0012236C">
        <w:t xml:space="preserve">r it can only be added to the first incremental and any incremental where the maintenance factor changes. </w:t>
      </w:r>
    </w:p>
    <w:p w14:paraId="324A13D9" w14:textId="326014AE" w:rsidR="006F6375" w:rsidRPr="0012236C" w:rsidRDefault="006F6375" w:rsidP="006F6375">
      <w:pPr>
        <w:pStyle w:val="PJMNormal"/>
      </w:pPr>
      <w:r w:rsidRPr="0012236C">
        <w:t xml:space="preserve">Differences in the calculated </w:t>
      </w:r>
      <w:r w:rsidR="009E02FC">
        <w:t>n</w:t>
      </w:r>
      <w:r w:rsidRPr="0012236C">
        <w:t>o-</w:t>
      </w:r>
      <w:r w:rsidR="009E02FC">
        <w:t>l</w:t>
      </w:r>
      <w:r w:rsidRPr="0012236C">
        <w:t>oad between the two</w:t>
      </w:r>
      <w:r>
        <w:t xml:space="preserve"> </w:t>
      </w:r>
      <w:r w:rsidR="009E02FC">
        <w:t>(2)</w:t>
      </w:r>
      <w:r w:rsidRPr="0012236C">
        <w:t xml:space="preserve"> methods are due to the differences in using a block average cost offer method versus a sloped derivative cost offer. When using the derivative method, user must select “Use Sloped Offer” when entering cost information into the MUI.</w:t>
      </w:r>
      <w:bookmarkStart w:id="12674" w:name="_Toc372284042"/>
      <w:bookmarkStart w:id="12675" w:name="_Toc372284817"/>
      <w:bookmarkStart w:id="12676" w:name="_Toc372285604"/>
      <w:bookmarkStart w:id="12677" w:name="_Toc372286163"/>
      <w:bookmarkStart w:id="12678" w:name="_Toc372295244"/>
      <w:bookmarkStart w:id="12679" w:name="_Toc372296023"/>
      <w:bookmarkStart w:id="12680" w:name="_Toc372702930"/>
      <w:bookmarkStart w:id="12681" w:name="_Toc372703758"/>
      <w:bookmarkStart w:id="12682" w:name="_Toc372890210"/>
      <w:bookmarkStart w:id="12683" w:name="_Toc372891039"/>
      <w:bookmarkStart w:id="12684" w:name="_Toc378774005"/>
      <w:bookmarkStart w:id="12685" w:name="_Toc378774827"/>
      <w:bookmarkStart w:id="12686" w:name="_Toc378844353"/>
      <w:bookmarkStart w:id="12687" w:name="_Toc378945367"/>
      <w:bookmarkStart w:id="12688" w:name="_Toc379281359"/>
      <w:bookmarkStart w:id="12689" w:name="_Toc379282181"/>
      <w:bookmarkStart w:id="12690" w:name="_Toc379283003"/>
      <w:bookmarkStart w:id="12691" w:name="_Toc379443436"/>
      <w:bookmarkStart w:id="12692" w:name="_Toc379444198"/>
      <w:bookmarkStart w:id="12693" w:name="_Toc381001168"/>
      <w:bookmarkStart w:id="12694" w:name="_Toc381090504"/>
      <w:bookmarkStart w:id="12695" w:name="_Toc383441136"/>
      <w:bookmarkStart w:id="12696" w:name="_Toc383686142"/>
      <w:bookmarkStart w:id="12697" w:name="_Toc383686918"/>
      <w:bookmarkStart w:id="12698" w:name="_Toc384134882"/>
      <w:bookmarkStart w:id="12699" w:name="_Toc387734958"/>
      <w:bookmarkStart w:id="12700" w:name="_Toc389638281"/>
      <w:bookmarkStart w:id="12701" w:name="_Toc397008678"/>
      <w:bookmarkStart w:id="12702" w:name="_Toc397009454"/>
      <w:bookmarkStart w:id="12703" w:name="_Toc397067494"/>
      <w:bookmarkStart w:id="12704" w:name="_Toc403476981"/>
      <w:bookmarkStart w:id="12705" w:name="_Toc403479605"/>
      <w:bookmarkStart w:id="12706" w:name="_Toc403480909"/>
      <w:bookmarkStart w:id="12707" w:name="_Toc403483934"/>
      <w:bookmarkStart w:id="12708" w:name="_Toc403484917"/>
      <w:bookmarkStart w:id="12709" w:name="_Toc408500606"/>
      <w:bookmarkStart w:id="12710" w:name="_Toc408557545"/>
      <w:bookmarkStart w:id="12711" w:name="_Toc411519991"/>
      <w:bookmarkStart w:id="12712" w:name="_Toc412190349"/>
      <w:bookmarkStart w:id="12713" w:name="_Toc412816133"/>
      <w:bookmarkStart w:id="12714" w:name="_Toc415747752"/>
      <w:bookmarkStart w:id="12715" w:name="_Toc418586408"/>
      <w:bookmarkStart w:id="12716" w:name="_Toc418591359"/>
      <w:bookmarkStart w:id="12717" w:name="_Toc418592138"/>
      <w:bookmarkStart w:id="12718" w:name="_Toc418592917"/>
      <w:bookmarkStart w:id="12719" w:name="_Toc418596625"/>
      <w:bookmarkStart w:id="12720" w:name="_Toc418597404"/>
      <w:bookmarkStart w:id="12721" w:name="_Toc419705351"/>
      <w:bookmarkStart w:id="12722" w:name="_Toc420932955"/>
      <w:bookmarkStart w:id="12723" w:name="_Toc420933722"/>
      <w:bookmarkStart w:id="12724" w:name="_Toc420934489"/>
      <w:bookmarkStart w:id="12725" w:name="_Toc420942057"/>
      <w:bookmarkStart w:id="12726" w:name="_Toc424543327"/>
      <w:bookmarkStart w:id="12727" w:name="_Toc424547804"/>
      <w:bookmarkStart w:id="12728" w:name="_Toc424562291"/>
      <w:bookmarkStart w:id="12729" w:name="_Toc425837262"/>
      <w:bookmarkStart w:id="12730" w:name="_Toc425838044"/>
      <w:bookmarkStart w:id="12731" w:name="_Toc425838824"/>
      <w:bookmarkStart w:id="12732" w:name="_Toc425839604"/>
      <w:bookmarkStart w:id="12733" w:name="_Toc425840385"/>
      <w:bookmarkStart w:id="12734" w:name="_Toc425841164"/>
      <w:bookmarkStart w:id="12735" w:name="_Toc425841943"/>
      <w:bookmarkStart w:id="12736" w:name="_Toc425864801"/>
      <w:bookmarkStart w:id="12737" w:name="_Toc425865579"/>
      <w:bookmarkStart w:id="12738" w:name="_Toc425942789"/>
      <w:bookmarkStart w:id="12739" w:name="_Toc425943703"/>
      <w:bookmarkStart w:id="12740" w:name="_Toc430847884"/>
      <w:bookmarkStart w:id="12741" w:name="_Toc431501372"/>
      <w:bookmarkStart w:id="12742" w:name="_Toc431619548"/>
      <w:bookmarkStart w:id="12743" w:name="_Toc431620320"/>
      <w:bookmarkStart w:id="12744" w:name="_Toc432156915"/>
      <w:bookmarkStart w:id="12745" w:name="_Toc432166133"/>
      <w:bookmarkStart w:id="12746" w:name="_Toc432166988"/>
      <w:bookmarkStart w:id="12747" w:name="_Toc432167846"/>
      <w:bookmarkStart w:id="12748" w:name="_Toc432168662"/>
      <w:bookmarkStart w:id="12749" w:name="_Toc435192172"/>
      <w:bookmarkStart w:id="12750" w:name="_Toc437590769"/>
      <w:bookmarkStart w:id="12751" w:name="_Toc443913518"/>
      <w:bookmarkStart w:id="12752" w:name="_Toc444090918"/>
      <w:bookmarkStart w:id="12753" w:name="_Toc372284043"/>
      <w:bookmarkStart w:id="12754" w:name="_Toc372284818"/>
      <w:bookmarkStart w:id="12755" w:name="_Toc372285605"/>
      <w:bookmarkStart w:id="12756" w:name="_Toc372286164"/>
      <w:bookmarkStart w:id="12757" w:name="_Toc372295245"/>
      <w:bookmarkStart w:id="12758" w:name="_Toc372296024"/>
      <w:bookmarkStart w:id="12759" w:name="_Toc372702931"/>
      <w:bookmarkStart w:id="12760" w:name="_Toc372703759"/>
      <w:bookmarkStart w:id="12761" w:name="_Toc372890211"/>
      <w:bookmarkStart w:id="12762" w:name="_Toc372891040"/>
      <w:bookmarkStart w:id="12763" w:name="_Toc378774006"/>
      <w:bookmarkStart w:id="12764" w:name="_Toc378774828"/>
      <w:bookmarkStart w:id="12765" w:name="_Toc378844354"/>
      <w:bookmarkStart w:id="12766" w:name="_Toc378945368"/>
      <w:bookmarkStart w:id="12767" w:name="_Toc379281360"/>
      <w:bookmarkStart w:id="12768" w:name="_Toc379282182"/>
      <w:bookmarkStart w:id="12769" w:name="_Toc379283004"/>
      <w:bookmarkStart w:id="12770" w:name="_Toc379443437"/>
      <w:bookmarkStart w:id="12771" w:name="_Toc379444199"/>
      <w:bookmarkStart w:id="12772" w:name="_Toc381001169"/>
      <w:bookmarkStart w:id="12773" w:name="_Toc381090505"/>
      <w:bookmarkStart w:id="12774" w:name="_Toc383441137"/>
      <w:bookmarkStart w:id="12775" w:name="_Toc383686143"/>
      <w:bookmarkStart w:id="12776" w:name="_Toc383686919"/>
      <w:bookmarkStart w:id="12777" w:name="_Toc384134883"/>
      <w:bookmarkStart w:id="12778" w:name="_Toc387734959"/>
      <w:bookmarkStart w:id="12779" w:name="_Toc389638282"/>
      <w:bookmarkStart w:id="12780" w:name="_Toc397008679"/>
      <w:bookmarkStart w:id="12781" w:name="_Toc397009455"/>
      <w:bookmarkStart w:id="12782" w:name="_Toc397067495"/>
      <w:bookmarkStart w:id="12783" w:name="_Toc403476982"/>
      <w:bookmarkStart w:id="12784" w:name="_Toc403479606"/>
      <w:bookmarkStart w:id="12785" w:name="_Toc403480910"/>
      <w:bookmarkStart w:id="12786" w:name="_Toc403483935"/>
      <w:bookmarkStart w:id="12787" w:name="_Toc403484918"/>
      <w:bookmarkStart w:id="12788" w:name="_Toc408500607"/>
      <w:bookmarkStart w:id="12789" w:name="_Toc408557546"/>
      <w:bookmarkStart w:id="12790" w:name="_Toc411519992"/>
      <w:bookmarkStart w:id="12791" w:name="_Toc412190350"/>
      <w:bookmarkStart w:id="12792" w:name="_Toc412816134"/>
      <w:bookmarkStart w:id="12793" w:name="_Toc415747753"/>
      <w:bookmarkStart w:id="12794" w:name="_Toc418586409"/>
      <w:bookmarkStart w:id="12795" w:name="_Toc418591360"/>
      <w:bookmarkStart w:id="12796" w:name="_Toc418592139"/>
      <w:bookmarkStart w:id="12797" w:name="_Toc418592918"/>
      <w:bookmarkStart w:id="12798" w:name="_Toc418596626"/>
      <w:bookmarkStart w:id="12799" w:name="_Toc418597405"/>
      <w:bookmarkStart w:id="12800" w:name="_Toc419705352"/>
      <w:bookmarkStart w:id="12801" w:name="_Toc420932956"/>
      <w:bookmarkStart w:id="12802" w:name="_Toc420933723"/>
      <w:bookmarkStart w:id="12803" w:name="_Toc420934490"/>
      <w:bookmarkStart w:id="12804" w:name="_Toc420942058"/>
      <w:bookmarkStart w:id="12805" w:name="_Toc424543328"/>
      <w:bookmarkStart w:id="12806" w:name="_Toc424547805"/>
      <w:bookmarkStart w:id="12807" w:name="_Toc424562292"/>
      <w:bookmarkStart w:id="12808" w:name="_Toc425837263"/>
      <w:bookmarkStart w:id="12809" w:name="_Toc425838045"/>
      <w:bookmarkStart w:id="12810" w:name="_Toc425838825"/>
      <w:bookmarkStart w:id="12811" w:name="_Toc425839605"/>
      <w:bookmarkStart w:id="12812" w:name="_Toc425840386"/>
      <w:bookmarkStart w:id="12813" w:name="_Toc425841165"/>
      <w:bookmarkStart w:id="12814" w:name="_Toc425841944"/>
      <w:bookmarkStart w:id="12815" w:name="_Toc425864802"/>
      <w:bookmarkStart w:id="12816" w:name="_Toc425865580"/>
      <w:bookmarkStart w:id="12817" w:name="_Toc425942790"/>
      <w:bookmarkStart w:id="12818" w:name="_Toc425943704"/>
      <w:bookmarkStart w:id="12819" w:name="_Toc430847885"/>
      <w:bookmarkStart w:id="12820" w:name="_Toc431501373"/>
      <w:bookmarkStart w:id="12821" w:name="_Toc431619549"/>
      <w:bookmarkStart w:id="12822" w:name="_Toc431620321"/>
      <w:bookmarkStart w:id="12823" w:name="_Toc432156916"/>
      <w:bookmarkStart w:id="12824" w:name="_Toc432166134"/>
      <w:bookmarkStart w:id="12825" w:name="_Toc432166989"/>
      <w:bookmarkStart w:id="12826" w:name="_Toc432167847"/>
      <w:bookmarkStart w:id="12827" w:name="_Toc432168663"/>
      <w:bookmarkStart w:id="12828" w:name="_Toc435192173"/>
      <w:bookmarkStart w:id="12829" w:name="_Toc437590770"/>
      <w:bookmarkStart w:id="12830" w:name="_Toc443913519"/>
      <w:bookmarkStart w:id="12831" w:name="_Toc444090919"/>
      <w:bookmarkStart w:id="12832" w:name="_Toc323733042"/>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p>
    <w:p w14:paraId="5EE82F7E" w14:textId="2B061481" w:rsidR="006F6375" w:rsidRDefault="00094D62" w:rsidP="00E15157">
      <w:pPr>
        <w:pStyle w:val="3Appx3"/>
        <w:numPr>
          <w:ilvl w:val="0"/>
          <w:numId w:val="0"/>
        </w:numPr>
        <w:rPr>
          <w:i/>
        </w:rPr>
      </w:pPr>
      <w:bookmarkStart w:id="12833" w:name="_Toc131493565"/>
      <w:bookmarkStart w:id="12834" w:name="_Toc213772412"/>
      <w:r>
        <w:t>D.1</w:t>
      </w:r>
      <w:r w:rsidR="0032171B">
        <w:t>5</w:t>
      </w:r>
      <w:r>
        <w:t>.2</w:t>
      </w:r>
      <w:r>
        <w:tab/>
      </w:r>
      <w:r w:rsidR="006F6375">
        <w:t>No-Load Cost Adjustments</w:t>
      </w:r>
      <w:bookmarkEnd w:id="12833"/>
      <w:bookmarkEnd w:id="12834"/>
      <w:r w:rsidR="006F6375">
        <w:t xml:space="preserve"> </w:t>
      </w:r>
    </w:p>
    <w:bookmarkEnd w:id="12832"/>
    <w:p w14:paraId="0C72CF71" w14:textId="3A4C83ED" w:rsidR="006F6375" w:rsidRDefault="006F6375" w:rsidP="006F6375">
      <w:pPr>
        <w:pStyle w:val="PJMNormal"/>
      </w:pPr>
      <w:r>
        <w:t xml:space="preserve">The calculated no-load cost may need to be adjusted to allow for the first incremental point of the unit’s generator offer curve to comply with </w:t>
      </w:r>
      <w:r w:rsidR="0012236C">
        <w:t>the Market Operator</w:t>
      </w:r>
      <w:r w:rsidR="0012236C" w:rsidRPr="0012236C">
        <w:t xml:space="preserve">’s </w:t>
      </w:r>
      <w:r>
        <w:t xml:space="preserve">monotonically increasing curve requirement. </w:t>
      </w:r>
    </w:p>
    <w:p w14:paraId="2B8CCD49" w14:textId="77777777" w:rsidR="006F6375" w:rsidRDefault="006F6375" w:rsidP="006F6375">
      <w:pPr>
        <w:pStyle w:val="PJMNormal"/>
        <w:rPr>
          <w:noProof/>
        </w:rPr>
      </w:pPr>
      <w:r>
        <w:t>An example of adjusting the no-load cost for a typical natural gas fired Steam Unit after calculation follows. Heat input values as a function of output was collected for a typical fossil steam and a regression analysis was performed to obtain the no-load.</w:t>
      </w:r>
      <w:r>
        <w:rPr>
          <w:noProof/>
        </w:rPr>
        <w:t xml:space="preserve"> </w:t>
      </w:r>
    </w:p>
    <w:p w14:paraId="53AC3BF1" w14:textId="77777777" w:rsidR="006F6375" w:rsidRDefault="006F6375" w:rsidP="006F6375">
      <w:pPr>
        <w:pStyle w:val="PJMNormal"/>
        <w:rPr>
          <w:noProof/>
        </w:rPr>
      </w:pPr>
    </w:p>
    <w:p w14:paraId="11845EE6" w14:textId="7ACE0BBB" w:rsidR="006F6375" w:rsidRDefault="00E969F3" w:rsidP="006F6375">
      <w:pPr>
        <w:pStyle w:val="PJMNormal"/>
      </w:pPr>
      <w:r>
        <w:rPr>
          <w:noProof/>
        </w:rPr>
        <w:drawing>
          <wp:inline distT="0" distB="0" distL="0" distR="0" wp14:anchorId="0B250529" wp14:editId="7B90BDCB">
            <wp:extent cx="5709920" cy="3891280"/>
            <wp:effectExtent l="0" t="0" r="5080" b="0"/>
            <wp:docPr id="211642382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9920" cy="3891280"/>
                    </a:xfrm>
                    <a:prstGeom prst="rect">
                      <a:avLst/>
                    </a:prstGeom>
                    <a:noFill/>
                    <a:ln>
                      <a:noFill/>
                    </a:ln>
                  </pic:spPr>
                </pic:pic>
              </a:graphicData>
            </a:graphic>
          </wp:inline>
        </w:drawing>
      </w:r>
    </w:p>
    <w:p w14:paraId="1E3968EF" w14:textId="3C6B2131" w:rsidR="006F6375" w:rsidRDefault="006F6375" w:rsidP="006F6375">
      <w:pPr>
        <w:pStyle w:val="PJMNormal"/>
      </w:pPr>
      <w:r>
        <w:t xml:space="preserve">Each diamond in the graph above indicates one </w:t>
      </w:r>
      <w:r w:rsidR="0012236C">
        <w:t xml:space="preserve">(1) </w:t>
      </w:r>
      <w:r>
        <w:t>hourly heat input data point calculated from plant instrumentation during operations. A regression analysis was performed on the data collected to obtain the unit’s Heat Input curve as a function of Output with oil as a fuel:</w:t>
      </w:r>
    </w:p>
    <w:p w14:paraId="1B7B6853" w14:textId="77777777" w:rsidR="006F6375" w:rsidRDefault="006F6375" w:rsidP="006F6375">
      <w:pPr>
        <w:pStyle w:val="PJMNormal"/>
      </w:pPr>
    </w:p>
    <w:p w14:paraId="685E0746" w14:textId="2E7E304D" w:rsidR="006F6375" w:rsidRPr="00E94CBF" w:rsidRDefault="00025666" w:rsidP="006F6375">
      <w:pPr>
        <w:pStyle w:val="PJMNormal"/>
        <w:rPr>
          <w:i/>
        </w:rPr>
      </w:pPr>
      <m:oMathPara>
        <m:oMath>
          <m:r>
            <w:rPr>
              <w:rFonts w:ascii="Cambria Math" w:hAnsi="Cambria Math"/>
            </w:rPr>
            <m:t>Heat Input (MMBTU/Hr)=</m:t>
          </m:r>
        </m:oMath>
      </m:oMathPara>
    </w:p>
    <w:p w14:paraId="7A4A0170" w14:textId="77777777" w:rsidR="006F6375" w:rsidRPr="00E94CBF" w:rsidRDefault="00007736" w:rsidP="006F6375">
      <w:pPr>
        <w:pStyle w:val="PJMNormal"/>
        <w:rPr>
          <w:i/>
        </w:rPr>
      </w:pPr>
      <m:oMathPara>
        <m:oMath>
          <m:r>
            <w:rPr>
              <w:rFonts w:ascii="Cambria Math" w:hAnsi="Cambria Math"/>
            </w:rPr>
            <m:t xml:space="preserve">0.000148321* </m:t>
          </m:r>
          <m:sSup>
            <m:sSupPr>
              <m:ctrlPr>
                <w:rPr>
                  <w:rFonts w:ascii="Cambria Math" w:hAnsi="Cambria Math"/>
                  <w:i/>
                  <w:kern w:val="2"/>
                  <w14:ligatures w14:val="standardContextual"/>
                </w:rPr>
              </m:ctrlPr>
            </m:sSupPr>
            <m:e>
              <m:r>
                <w:rPr>
                  <w:rFonts w:ascii="Cambria Math" w:hAnsi="Cambria Math"/>
                </w:rPr>
                <m:t>MW</m:t>
              </m:r>
            </m:e>
            <m:sup>
              <m:r>
                <w:rPr>
                  <w:rFonts w:ascii="Cambria Math" w:hAnsi="Cambria Math"/>
                </w:rPr>
                <m:t>2</m:t>
              </m:r>
            </m:sup>
          </m:sSup>
          <m:r>
            <w:rPr>
              <w:rFonts w:ascii="Cambria Math" w:hAnsi="Cambria Math"/>
            </w:rPr>
            <m:t>+ 10.7195*MW+238.232</m:t>
          </m:r>
        </m:oMath>
      </m:oMathPara>
    </w:p>
    <w:p w14:paraId="04260CF1" w14:textId="77777777" w:rsidR="006F6375" w:rsidRPr="00E94CBF" w:rsidRDefault="006F6375" w:rsidP="006F6375">
      <w:pPr>
        <w:pStyle w:val="PJMNormal"/>
        <w:rPr>
          <w:i/>
        </w:rPr>
      </w:pPr>
      <w:r w:rsidRPr="00E94CBF">
        <w:rPr>
          <w:i/>
        </w:rPr>
        <w:t>Then the No-Load Fuel at zero output is</w:t>
      </w:r>
    </w:p>
    <w:p w14:paraId="42CB38B7" w14:textId="77777777" w:rsidR="006F6375" w:rsidRPr="00E94CBF" w:rsidRDefault="006F6375" w:rsidP="006F6375">
      <w:pPr>
        <w:pStyle w:val="PJMNormal"/>
        <w:rPr>
          <w:i/>
        </w:rPr>
      </w:pPr>
    </w:p>
    <w:p w14:paraId="094BA30B" w14:textId="5BAA3405" w:rsidR="006F6375" w:rsidRPr="00FF7FD7" w:rsidRDefault="00025666" w:rsidP="006F6375">
      <w:pPr>
        <w:pStyle w:val="PJMNormal"/>
        <w:rPr>
          <w:i/>
        </w:rPr>
      </w:pPr>
      <m:oMathPara>
        <m:oMath>
          <m:r>
            <m:rPr>
              <m:sty m:val="p"/>
            </m:rPr>
            <w:rPr>
              <w:rFonts w:ascii="Cambria Math" w:hAnsi="Cambria Math"/>
            </w:rPr>
            <m:t>No-Load Fuel=238.232 MMBtu/hour</m:t>
          </m:r>
          <m:r>
            <w:rPr>
              <w:rFonts w:ascii="Cambria Math" w:hAnsi="Cambria Math"/>
            </w:rPr>
            <m:t>No-Load Fuel=238.232 MMBtu/hour</m:t>
          </m:r>
        </m:oMath>
      </m:oMathPara>
    </w:p>
    <w:p w14:paraId="35BA9950" w14:textId="77777777" w:rsidR="006F6375" w:rsidRPr="00E25E47" w:rsidRDefault="006F6375" w:rsidP="006F6375">
      <w:pPr>
        <w:pStyle w:val="PJMNormal"/>
      </w:pPr>
    </w:p>
    <w:p w14:paraId="5298745E" w14:textId="246DE3C8" w:rsidR="006F6375" w:rsidRPr="00E25E47" w:rsidRDefault="006F6375" w:rsidP="006F6375">
      <w:pPr>
        <w:pStyle w:val="PJMNormal"/>
      </w:pPr>
      <w:r w:rsidRPr="00E25E47">
        <w:t>The initial estimate of a unit’s</w:t>
      </w:r>
      <w:r w:rsidRPr="00E25E47">
        <w:rPr>
          <w:b/>
        </w:rPr>
        <w:t xml:space="preserve"> </w:t>
      </w:r>
      <w:r w:rsidRPr="00E94CBF">
        <w:t>No-Load Cost ($/</w:t>
      </w:r>
      <w:r w:rsidR="00BD46C7">
        <w:rPr>
          <w:b/>
        </w:rPr>
        <w:t>hou</w:t>
      </w:r>
      <w:r w:rsidRPr="00E25E47">
        <w:rPr>
          <w:b/>
        </w:rPr>
        <w:t>r</w:t>
      </w:r>
      <w:r w:rsidRPr="00E94CBF">
        <w:t>H</w:t>
      </w:r>
      <w:r w:rsidR="0012236C" w:rsidRPr="00E94CBF">
        <w:t>ou</w:t>
      </w:r>
      <w:r w:rsidRPr="00E94CBF">
        <w:t>r)</w:t>
      </w:r>
      <w:r w:rsidRPr="00E25E47">
        <w:t xml:space="preserve"> is:</w:t>
      </w:r>
    </w:p>
    <w:p w14:paraId="3DB51FFA" w14:textId="77777777" w:rsidR="006F6375" w:rsidRPr="00E25E47" w:rsidRDefault="006F6375" w:rsidP="006F6375">
      <w:pPr>
        <w:pStyle w:val="PJMNormal"/>
      </w:pPr>
      <w:r w:rsidRPr="00E25E47">
        <w:t>Performance Factor = 1.02</w:t>
      </w:r>
    </w:p>
    <w:p w14:paraId="68988DE3" w14:textId="26C835F1" w:rsidR="006F6375" w:rsidRPr="00E25E47" w:rsidRDefault="006F6375" w:rsidP="006F6375">
      <w:pPr>
        <w:pStyle w:val="PJMNormal"/>
      </w:pPr>
      <w:r w:rsidRPr="00E25E47">
        <w:t>Total Fuel related Cost (TFRC) = $4.00 M</w:t>
      </w:r>
      <w:r>
        <w:t>M</w:t>
      </w:r>
      <w:r w:rsidRPr="00E25E47">
        <w:t>B</w:t>
      </w:r>
      <w:r w:rsidR="0012236C">
        <w:t>tu</w:t>
      </w:r>
      <w:r w:rsidRPr="00E25E47">
        <w:t xml:space="preserve"> </w:t>
      </w:r>
    </w:p>
    <w:p w14:paraId="3F883606" w14:textId="77777777" w:rsidR="006F6375" w:rsidRPr="00E25E47" w:rsidRDefault="006F6375" w:rsidP="006F6375">
      <w:pPr>
        <w:pStyle w:val="PJMNormal"/>
      </w:pPr>
    </w:p>
    <w:p w14:paraId="678D67FB" w14:textId="69CA208F" w:rsidR="006F6375" w:rsidRPr="00E25E47" w:rsidRDefault="00025666" w:rsidP="006F6375">
      <w:pPr>
        <w:pStyle w:val="StylePJMFormulaCentered"/>
        <w:rPr>
          <w:rFonts w:ascii="Times New Roman" w:hAnsi="Times New Roman"/>
        </w:rPr>
      </w:pPr>
      <m:oMathPara>
        <m:oMath>
          <m:r>
            <m:rPr>
              <m:sty m:val="p"/>
            </m:rPr>
            <m:t>No-Load Cost($⁄hour)=</m:t>
          </m:r>
        </m:oMath>
      </m:oMathPara>
    </w:p>
    <w:p w14:paraId="36DB064A" w14:textId="77777777" w:rsidR="006F6375" w:rsidRPr="00E25E47" w:rsidRDefault="00007736" w:rsidP="006F6375">
      <w:pPr>
        <w:pStyle w:val="StylePJMFormulaCentered"/>
        <w:rPr>
          <w:rFonts w:ascii="Times New Roman" w:hAnsi="Times New Roman"/>
        </w:rPr>
      </w:pPr>
      <m:oMathPara>
        <m:oMath>
          <m:r>
            <m:rPr>
              <m:sty m:val="p"/>
            </m:rPr>
            <m:t>( No-Load Fuel*Performance Factor*TFRC)</m:t>
          </m:r>
        </m:oMath>
      </m:oMathPara>
    </w:p>
    <w:p w14:paraId="0B8D1343" w14:textId="51462562" w:rsidR="006F6375" w:rsidRPr="00E25E47" w:rsidRDefault="00025666" w:rsidP="006F6375">
      <w:pPr>
        <w:pStyle w:val="StylePJMFormulaCentered"/>
        <w:rPr>
          <w:rFonts w:ascii="Times New Roman" w:hAnsi="Times New Roman"/>
        </w:rPr>
      </w:pPr>
      <m:oMathPara>
        <m:oMath>
          <m:r>
            <m:t>=238.232 MMBtu/hour *1.02*$4.00/MMBtu</m:t>
          </m:r>
        </m:oMath>
      </m:oMathPara>
    </w:p>
    <w:p w14:paraId="3E28A4AB" w14:textId="5E6641E9" w:rsidR="006F6375" w:rsidRPr="00E25E47" w:rsidRDefault="00025666" w:rsidP="006F6375">
      <w:pPr>
        <w:pStyle w:val="StylePJMFormulaCentered"/>
        <w:rPr>
          <w:rFonts w:ascii="Times New Roman" w:hAnsi="Times New Roman"/>
        </w:rPr>
      </w:pPr>
      <m:oMathPara>
        <m:oMath>
          <m:r>
            <m:t>=$972/</m:t>
          </m:r>
          <m:r>
            <m:t>hour</m:t>
          </m:r>
        </m:oMath>
      </m:oMathPara>
    </w:p>
    <w:p w14:paraId="3841F7DB" w14:textId="77777777" w:rsidR="006F6375" w:rsidRPr="00E25E47" w:rsidRDefault="006F6375" w:rsidP="006F6375">
      <w:pPr>
        <w:pStyle w:val="StylePJMFormulaCentered"/>
        <w:rPr>
          <w:rFonts w:ascii="Times New Roman" w:hAnsi="Times New Roman"/>
        </w:rPr>
      </w:pPr>
    </w:p>
    <w:p w14:paraId="55CE6E30"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The unit’s Cost Curve must be developed to determine if adjustments are needed for the unit’s No-Load Cost.  The Heat Input Curve Equation is used to determine the units heat input at various outputs. Total Operating Cost is calculated by:</w:t>
      </w:r>
    </w:p>
    <w:p w14:paraId="6B661B46"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VOM = $0.15/M</w:t>
      </w:r>
      <w:r>
        <w:rPr>
          <w:rFonts w:ascii="Times New Roman" w:hAnsi="Times New Roman"/>
        </w:rPr>
        <w:t>M</w:t>
      </w:r>
      <w:r w:rsidRPr="00E25E47">
        <w:rPr>
          <w:rFonts w:ascii="Times New Roman" w:hAnsi="Times New Roman"/>
        </w:rPr>
        <w:t>BTU</w:t>
      </w:r>
    </w:p>
    <w:p w14:paraId="47314597" w14:textId="7141EA83" w:rsidR="006F6375" w:rsidRPr="00E25E47" w:rsidRDefault="00025666" w:rsidP="006F6375">
      <w:pPr>
        <w:pStyle w:val="StylePJMFormulaCentered"/>
        <w:jc w:val="left"/>
        <w:rPr>
          <w:rFonts w:ascii="Times New Roman" w:hAnsi="Times New Roman"/>
        </w:rPr>
      </w:pPr>
      <m:oMathPara>
        <m:oMath>
          <m:r>
            <m:rPr>
              <m:sty m:val="p"/>
            </m:rPr>
            <m:t>Total Operating Cost ($/hour)</m:t>
          </m:r>
        </m:oMath>
      </m:oMathPara>
    </w:p>
    <w:p w14:paraId="484780C1" w14:textId="77777777" w:rsidR="006F6375" w:rsidRPr="00E25E47" w:rsidRDefault="00007736" w:rsidP="006F6375">
      <w:pPr>
        <w:pStyle w:val="StylePJMFormulaCentered"/>
        <w:jc w:val="left"/>
        <w:rPr>
          <w:rFonts w:ascii="Times New Roman" w:hAnsi="Times New Roman"/>
        </w:rPr>
      </w:pPr>
      <m:oMathPara>
        <m:oMath>
          <m:r>
            <m:t>=</m:t>
          </m:r>
          <m:r>
            <m:rPr>
              <m:sty m:val="p"/>
            </m:rPr>
            <m:t>Heat Input*Performance Factor*(TFRC+VOM)</m:t>
          </m:r>
        </m:oMath>
      </m:oMathPara>
    </w:p>
    <w:p w14:paraId="7A235037" w14:textId="77777777" w:rsidR="006F6375" w:rsidRPr="00E25E47" w:rsidRDefault="006F6375" w:rsidP="006F6375">
      <w:pPr>
        <w:pStyle w:val="StylePJMFormulaCentered"/>
        <w:jc w:val="lef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700"/>
        <w:gridCol w:w="2970"/>
      </w:tblGrid>
      <w:tr w:rsidR="006F6375" w:rsidRPr="00E25E47" w14:paraId="1B1F4259" w14:textId="77777777">
        <w:trPr>
          <w:tblHeader/>
          <w:jc w:val="center"/>
        </w:trPr>
        <w:tc>
          <w:tcPr>
            <w:tcW w:w="1759" w:type="dxa"/>
            <w:tcBorders>
              <w:top w:val="single" w:sz="4" w:space="0" w:color="auto"/>
              <w:left w:val="single" w:sz="4" w:space="0" w:color="auto"/>
              <w:bottom w:val="single" w:sz="4" w:space="0" w:color="auto"/>
              <w:right w:val="single" w:sz="4" w:space="0" w:color="auto"/>
            </w:tcBorders>
            <w:hideMark/>
          </w:tcPr>
          <w:p w14:paraId="37C94198"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Output (MW)</w:t>
            </w:r>
          </w:p>
        </w:tc>
        <w:tc>
          <w:tcPr>
            <w:tcW w:w="2700" w:type="dxa"/>
            <w:tcBorders>
              <w:top w:val="single" w:sz="4" w:space="0" w:color="auto"/>
              <w:left w:val="single" w:sz="4" w:space="0" w:color="auto"/>
              <w:bottom w:val="single" w:sz="4" w:space="0" w:color="auto"/>
              <w:right w:val="single" w:sz="4" w:space="0" w:color="auto"/>
            </w:tcBorders>
            <w:hideMark/>
          </w:tcPr>
          <w:p w14:paraId="3EE6488C" w14:textId="0A500F21"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Heat Input (MMB</w:t>
            </w:r>
            <w:r w:rsidR="0012236C">
              <w:rPr>
                <w:rFonts w:ascii="Times New Roman" w:hAnsi="Times New Roman"/>
                <w:kern w:val="2"/>
                <w14:ligatures w14:val="standardContextual"/>
              </w:rPr>
              <w:t>tu</w:t>
            </w:r>
            <w:r w:rsidDel="0012236C">
              <w:rPr>
                <w:rFonts w:ascii="Times New Roman" w:hAnsi="Times New Roman"/>
                <w:kern w:val="2"/>
                <w14:ligatures w14:val="standardContextual"/>
              </w:rPr>
              <w:t>TU</w:t>
            </w:r>
            <w:r>
              <w:rPr>
                <w:rFonts w:ascii="Times New Roman" w:hAnsi="Times New Roman"/>
                <w:kern w:val="2"/>
                <w14:ligatures w14:val="standardContextual"/>
              </w:rPr>
              <w:t>/h</w:t>
            </w:r>
            <w:r w:rsidR="0012236C">
              <w:rPr>
                <w:rFonts w:ascii="Times New Roman" w:hAnsi="Times New Roman"/>
                <w:kern w:val="2"/>
                <w14:ligatures w14:val="standardContextual"/>
              </w:rPr>
              <w:t>ou</w:t>
            </w:r>
            <w:r>
              <w:rPr>
                <w:rFonts w:ascii="Times New Roman" w:hAnsi="Times New Roman"/>
                <w:kern w:val="2"/>
                <w14:ligatures w14:val="standardContextual"/>
              </w:rPr>
              <w:t>r)</w:t>
            </w:r>
          </w:p>
        </w:tc>
        <w:tc>
          <w:tcPr>
            <w:tcW w:w="2970" w:type="dxa"/>
            <w:tcBorders>
              <w:top w:val="single" w:sz="4" w:space="0" w:color="auto"/>
              <w:left w:val="single" w:sz="4" w:space="0" w:color="auto"/>
              <w:bottom w:val="single" w:sz="4" w:space="0" w:color="auto"/>
              <w:right w:val="single" w:sz="4" w:space="0" w:color="auto"/>
            </w:tcBorders>
            <w:hideMark/>
          </w:tcPr>
          <w:p w14:paraId="237A0504" w14:textId="02511FE5"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Total Operating Cost ($/h</w:t>
            </w:r>
            <w:r w:rsidR="0012236C">
              <w:rPr>
                <w:rFonts w:ascii="Times New Roman" w:hAnsi="Times New Roman"/>
                <w:kern w:val="2"/>
                <w14:ligatures w14:val="standardContextual"/>
              </w:rPr>
              <w:t>ou</w:t>
            </w:r>
            <w:r>
              <w:rPr>
                <w:rFonts w:ascii="Times New Roman" w:hAnsi="Times New Roman"/>
                <w:kern w:val="2"/>
                <w14:ligatures w14:val="standardContextual"/>
              </w:rPr>
              <w:t>r)</w:t>
            </w:r>
          </w:p>
        </w:tc>
      </w:tr>
      <w:tr w:rsidR="006F6375" w:rsidRPr="00E25E47" w14:paraId="63DF5D7B"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19410648"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50</w:t>
            </w:r>
          </w:p>
        </w:tc>
        <w:tc>
          <w:tcPr>
            <w:tcW w:w="2700" w:type="dxa"/>
            <w:tcBorders>
              <w:top w:val="single" w:sz="4" w:space="0" w:color="auto"/>
              <w:left w:val="single" w:sz="4" w:space="0" w:color="auto"/>
              <w:bottom w:val="single" w:sz="4" w:space="0" w:color="auto"/>
              <w:right w:val="single" w:sz="4" w:space="0" w:color="auto"/>
            </w:tcBorders>
            <w:hideMark/>
          </w:tcPr>
          <w:p w14:paraId="6E9AC99A"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774.58</w:t>
            </w:r>
          </w:p>
        </w:tc>
        <w:tc>
          <w:tcPr>
            <w:tcW w:w="2970" w:type="dxa"/>
            <w:tcBorders>
              <w:top w:val="single" w:sz="4" w:space="0" w:color="auto"/>
              <w:left w:val="single" w:sz="4" w:space="0" w:color="auto"/>
              <w:bottom w:val="single" w:sz="4" w:space="0" w:color="auto"/>
              <w:right w:val="single" w:sz="4" w:space="0" w:color="auto"/>
            </w:tcBorders>
            <w:hideMark/>
          </w:tcPr>
          <w:p w14:paraId="433503CB"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3,279</w:t>
            </w:r>
          </w:p>
        </w:tc>
      </w:tr>
      <w:tr w:rsidR="006F6375" w:rsidRPr="00E25E47" w14:paraId="45395796"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0B12369E"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160</w:t>
            </w:r>
          </w:p>
        </w:tc>
        <w:tc>
          <w:tcPr>
            <w:tcW w:w="2700" w:type="dxa"/>
            <w:tcBorders>
              <w:top w:val="single" w:sz="4" w:space="0" w:color="auto"/>
              <w:left w:val="single" w:sz="4" w:space="0" w:color="auto"/>
              <w:bottom w:val="single" w:sz="4" w:space="0" w:color="auto"/>
              <w:right w:val="single" w:sz="4" w:space="0" w:color="auto"/>
            </w:tcBorders>
            <w:hideMark/>
          </w:tcPr>
          <w:p w14:paraId="54C5F356"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1957.15</w:t>
            </w:r>
          </w:p>
        </w:tc>
        <w:tc>
          <w:tcPr>
            <w:tcW w:w="2970" w:type="dxa"/>
            <w:tcBorders>
              <w:top w:val="single" w:sz="4" w:space="0" w:color="auto"/>
              <w:left w:val="single" w:sz="4" w:space="0" w:color="auto"/>
              <w:bottom w:val="single" w:sz="4" w:space="0" w:color="auto"/>
              <w:right w:val="single" w:sz="4" w:space="0" w:color="auto"/>
            </w:tcBorders>
            <w:hideMark/>
          </w:tcPr>
          <w:p w14:paraId="4914FCF6"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8,285</w:t>
            </w:r>
          </w:p>
        </w:tc>
      </w:tr>
      <w:tr w:rsidR="006F6375" w:rsidRPr="00E25E47" w14:paraId="32235456"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43E1F6C0"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310</w:t>
            </w:r>
          </w:p>
        </w:tc>
        <w:tc>
          <w:tcPr>
            <w:tcW w:w="2700" w:type="dxa"/>
            <w:tcBorders>
              <w:top w:val="single" w:sz="4" w:space="0" w:color="auto"/>
              <w:left w:val="single" w:sz="4" w:space="0" w:color="auto"/>
              <w:bottom w:val="single" w:sz="4" w:space="0" w:color="auto"/>
              <w:right w:val="single" w:sz="4" w:space="0" w:color="auto"/>
            </w:tcBorders>
            <w:hideMark/>
          </w:tcPr>
          <w:p w14:paraId="4EC3F4BF"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3575.53</w:t>
            </w:r>
          </w:p>
        </w:tc>
        <w:tc>
          <w:tcPr>
            <w:tcW w:w="2970" w:type="dxa"/>
            <w:tcBorders>
              <w:top w:val="single" w:sz="4" w:space="0" w:color="auto"/>
              <w:left w:val="single" w:sz="4" w:space="0" w:color="auto"/>
              <w:bottom w:val="single" w:sz="4" w:space="0" w:color="auto"/>
              <w:right w:val="single" w:sz="4" w:space="0" w:color="auto"/>
            </w:tcBorders>
            <w:hideMark/>
          </w:tcPr>
          <w:p w14:paraId="4E912ACA"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15,135</w:t>
            </w:r>
          </w:p>
        </w:tc>
      </w:tr>
      <w:tr w:rsidR="006F6375" w:rsidRPr="00E25E47" w14:paraId="72E3E9C3"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10672FA0"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410</w:t>
            </w:r>
          </w:p>
        </w:tc>
        <w:tc>
          <w:tcPr>
            <w:tcW w:w="2700" w:type="dxa"/>
            <w:tcBorders>
              <w:top w:val="single" w:sz="4" w:space="0" w:color="auto"/>
              <w:left w:val="single" w:sz="4" w:space="0" w:color="auto"/>
              <w:bottom w:val="single" w:sz="4" w:space="0" w:color="auto"/>
              <w:right w:val="single" w:sz="4" w:space="0" w:color="auto"/>
            </w:tcBorders>
            <w:hideMark/>
          </w:tcPr>
          <w:p w14:paraId="619AD26F"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4658.16</w:t>
            </w:r>
          </w:p>
        </w:tc>
        <w:tc>
          <w:tcPr>
            <w:tcW w:w="2970" w:type="dxa"/>
            <w:tcBorders>
              <w:top w:val="single" w:sz="4" w:space="0" w:color="auto"/>
              <w:left w:val="single" w:sz="4" w:space="0" w:color="auto"/>
              <w:bottom w:val="single" w:sz="4" w:space="0" w:color="auto"/>
              <w:right w:val="single" w:sz="4" w:space="0" w:color="auto"/>
            </w:tcBorders>
            <w:hideMark/>
          </w:tcPr>
          <w:p w14:paraId="0B87C6D7"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19,718</w:t>
            </w:r>
          </w:p>
        </w:tc>
      </w:tr>
      <w:tr w:rsidR="006F6375" w:rsidRPr="00E25E47" w14:paraId="02466FD5"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2C8BDEDE"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525</w:t>
            </w:r>
          </w:p>
        </w:tc>
        <w:tc>
          <w:tcPr>
            <w:tcW w:w="2700" w:type="dxa"/>
            <w:tcBorders>
              <w:top w:val="single" w:sz="4" w:space="0" w:color="auto"/>
              <w:left w:val="single" w:sz="4" w:space="0" w:color="auto"/>
              <w:bottom w:val="single" w:sz="4" w:space="0" w:color="auto"/>
              <w:right w:val="single" w:sz="4" w:space="0" w:color="auto"/>
            </w:tcBorders>
            <w:hideMark/>
          </w:tcPr>
          <w:p w14:paraId="0CF1BC66"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5906.85</w:t>
            </w:r>
          </w:p>
        </w:tc>
        <w:tc>
          <w:tcPr>
            <w:tcW w:w="2970" w:type="dxa"/>
            <w:tcBorders>
              <w:top w:val="single" w:sz="4" w:space="0" w:color="auto"/>
              <w:left w:val="single" w:sz="4" w:space="0" w:color="auto"/>
              <w:bottom w:val="single" w:sz="4" w:space="0" w:color="auto"/>
              <w:right w:val="single" w:sz="4" w:space="0" w:color="auto"/>
            </w:tcBorders>
            <w:hideMark/>
          </w:tcPr>
          <w:p w14:paraId="30D54F0D"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25,004</w:t>
            </w:r>
          </w:p>
        </w:tc>
      </w:tr>
      <w:tr w:rsidR="006F6375" w:rsidRPr="00E25E47" w14:paraId="26B73012" w14:textId="77777777">
        <w:trPr>
          <w:jc w:val="center"/>
        </w:trPr>
        <w:tc>
          <w:tcPr>
            <w:tcW w:w="1759" w:type="dxa"/>
            <w:tcBorders>
              <w:top w:val="single" w:sz="4" w:space="0" w:color="auto"/>
              <w:left w:val="single" w:sz="4" w:space="0" w:color="auto"/>
              <w:bottom w:val="single" w:sz="4" w:space="0" w:color="auto"/>
              <w:right w:val="single" w:sz="4" w:space="0" w:color="auto"/>
            </w:tcBorders>
            <w:hideMark/>
          </w:tcPr>
          <w:p w14:paraId="633CE424"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550</w:t>
            </w:r>
          </w:p>
        </w:tc>
        <w:tc>
          <w:tcPr>
            <w:tcW w:w="2700" w:type="dxa"/>
            <w:tcBorders>
              <w:top w:val="single" w:sz="4" w:space="0" w:color="auto"/>
              <w:left w:val="single" w:sz="4" w:space="0" w:color="auto"/>
              <w:bottom w:val="single" w:sz="4" w:space="0" w:color="auto"/>
              <w:right w:val="single" w:sz="4" w:space="0" w:color="auto"/>
            </w:tcBorders>
            <w:hideMark/>
          </w:tcPr>
          <w:p w14:paraId="320927E7"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6178.82</w:t>
            </w:r>
          </w:p>
        </w:tc>
        <w:tc>
          <w:tcPr>
            <w:tcW w:w="2970" w:type="dxa"/>
            <w:tcBorders>
              <w:top w:val="single" w:sz="4" w:space="0" w:color="auto"/>
              <w:left w:val="single" w:sz="4" w:space="0" w:color="auto"/>
              <w:bottom w:val="single" w:sz="4" w:space="0" w:color="auto"/>
              <w:right w:val="single" w:sz="4" w:space="0" w:color="auto"/>
            </w:tcBorders>
            <w:hideMark/>
          </w:tcPr>
          <w:p w14:paraId="244C85D6" w14:textId="77777777" w:rsidR="006F6375" w:rsidRDefault="006F6375">
            <w:pPr>
              <w:pStyle w:val="StylePJMFormulaCentered"/>
              <w:jc w:val="left"/>
              <w:rPr>
                <w:rFonts w:ascii="Times New Roman" w:hAnsi="Times New Roman"/>
                <w:kern w:val="2"/>
                <w14:ligatures w14:val="standardContextual"/>
              </w:rPr>
            </w:pPr>
            <w:r>
              <w:rPr>
                <w:rFonts w:ascii="Times New Roman" w:hAnsi="Times New Roman"/>
                <w:kern w:val="2"/>
                <w14:ligatures w14:val="standardContextual"/>
              </w:rPr>
              <w:t>26,155</w:t>
            </w:r>
          </w:p>
        </w:tc>
      </w:tr>
    </w:tbl>
    <w:p w14:paraId="5CBBE766" w14:textId="77777777" w:rsidR="006F6375" w:rsidRPr="00E25E47" w:rsidRDefault="006F6375" w:rsidP="006F6375">
      <w:pPr>
        <w:pStyle w:val="StylePJMFormulaCentered"/>
        <w:jc w:val="left"/>
        <w:rPr>
          <w:rFonts w:ascii="Times New Roman" w:hAnsi="Times New Roman"/>
        </w:rPr>
      </w:pPr>
    </w:p>
    <w:p w14:paraId="2FA90B1F"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The unit’s Incremental Cost ($/MWh) at various outputs can be determined arithmetically by the following equation:</w:t>
      </w:r>
    </w:p>
    <w:p w14:paraId="031C80A7" w14:textId="77777777" w:rsidR="006F6375" w:rsidRPr="00E25E47" w:rsidRDefault="006F6375" w:rsidP="006F6375">
      <w:pPr>
        <w:pStyle w:val="StylePJMFormulaCentered"/>
        <w:jc w:val="left"/>
        <w:rPr>
          <w:rFonts w:ascii="Times New Roman" w:hAnsi="Times New Roman"/>
        </w:rPr>
      </w:pPr>
    </w:p>
    <w:p w14:paraId="778038B8" w14:textId="77777777" w:rsidR="006F6375" w:rsidRPr="00E25E47" w:rsidRDefault="00007736" w:rsidP="006F6375">
      <w:pPr>
        <w:pStyle w:val="StylePJMFormulaCentered"/>
        <w:rPr>
          <w:rFonts w:ascii="Times New Roman" w:hAnsi="Times New Roman"/>
        </w:rPr>
      </w:pPr>
      <m:oMathPara>
        <m:oMath>
          <m:r>
            <m:rPr>
              <m:sty m:val="p"/>
            </m:rPr>
            <m:t>Incremental Cost ($/MWh)=</m:t>
          </m:r>
        </m:oMath>
      </m:oMathPara>
    </w:p>
    <w:p w14:paraId="0D0CD194" w14:textId="77777777" w:rsidR="006F6375" w:rsidRPr="00E25E47" w:rsidRDefault="00007736" w:rsidP="006F6375">
      <w:pPr>
        <w:pStyle w:val="StylePJMFormulaCentered"/>
        <w:rPr>
          <w:rFonts w:ascii="Times New Roman" w:hAnsi="Times New Roman"/>
        </w:rPr>
      </w:pPr>
      <m:oMathPara>
        <m:oMath>
          <m:r>
            <m:rPr>
              <m:sty m:val="p"/>
            </m:rPr>
            <m:t>Total Operating Cost MW2-Total Operating Cost MW1/(MW2- MW1)</m:t>
          </m:r>
        </m:oMath>
      </m:oMathPara>
    </w:p>
    <w:p w14:paraId="3FD0C001" w14:textId="77777777" w:rsidR="006F6375" w:rsidRPr="00E25E47" w:rsidRDefault="006F6375" w:rsidP="006F6375">
      <w:pPr>
        <w:pStyle w:val="StylePJMFormulaCentered"/>
        <w:rPr>
          <w:rFonts w:ascii="Times New Roman" w:hAnsi="Times New Roman"/>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70"/>
      </w:tblGrid>
      <w:tr w:rsidR="006F6375" w:rsidRPr="00E25E47" w14:paraId="28D82C4A" w14:textId="77777777">
        <w:tc>
          <w:tcPr>
            <w:tcW w:w="2520" w:type="dxa"/>
            <w:tcBorders>
              <w:top w:val="single" w:sz="4" w:space="0" w:color="auto"/>
              <w:left w:val="single" w:sz="4" w:space="0" w:color="auto"/>
              <w:bottom w:val="single" w:sz="4" w:space="0" w:color="auto"/>
              <w:right w:val="single" w:sz="4" w:space="0" w:color="auto"/>
            </w:tcBorders>
            <w:hideMark/>
          </w:tcPr>
          <w:p w14:paraId="4662CAC4"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Output (MW)</w:t>
            </w:r>
          </w:p>
        </w:tc>
        <w:tc>
          <w:tcPr>
            <w:tcW w:w="2970" w:type="dxa"/>
            <w:tcBorders>
              <w:top w:val="single" w:sz="4" w:space="0" w:color="auto"/>
              <w:left w:val="single" w:sz="4" w:space="0" w:color="auto"/>
              <w:bottom w:val="single" w:sz="4" w:space="0" w:color="auto"/>
              <w:right w:val="single" w:sz="4" w:space="0" w:color="auto"/>
            </w:tcBorders>
            <w:hideMark/>
          </w:tcPr>
          <w:p w14:paraId="5709AA54"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Incremental Cost ($/MWh)</w:t>
            </w:r>
          </w:p>
        </w:tc>
      </w:tr>
      <w:tr w:rsidR="006F6375" w:rsidRPr="00E25E47" w14:paraId="4398EEF4" w14:textId="77777777">
        <w:tc>
          <w:tcPr>
            <w:tcW w:w="2520" w:type="dxa"/>
            <w:tcBorders>
              <w:top w:val="single" w:sz="4" w:space="0" w:color="auto"/>
              <w:left w:val="single" w:sz="4" w:space="0" w:color="auto"/>
              <w:bottom w:val="single" w:sz="4" w:space="0" w:color="auto"/>
              <w:right w:val="single" w:sz="4" w:space="0" w:color="auto"/>
            </w:tcBorders>
            <w:hideMark/>
          </w:tcPr>
          <w:p w14:paraId="0827C936"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50</w:t>
            </w:r>
          </w:p>
        </w:tc>
        <w:tc>
          <w:tcPr>
            <w:tcW w:w="2970" w:type="dxa"/>
            <w:tcBorders>
              <w:top w:val="single" w:sz="4" w:space="0" w:color="auto"/>
              <w:left w:val="single" w:sz="4" w:space="0" w:color="auto"/>
              <w:bottom w:val="single" w:sz="4" w:space="0" w:color="auto"/>
              <w:right w:val="single" w:sz="4" w:space="0" w:color="auto"/>
            </w:tcBorders>
            <w:hideMark/>
          </w:tcPr>
          <w:p w14:paraId="795EC42D"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46.14</w:t>
            </w:r>
          </w:p>
        </w:tc>
      </w:tr>
      <w:tr w:rsidR="006F6375" w:rsidRPr="00E25E47" w14:paraId="7BD68082" w14:textId="77777777">
        <w:tc>
          <w:tcPr>
            <w:tcW w:w="2520" w:type="dxa"/>
            <w:tcBorders>
              <w:top w:val="single" w:sz="4" w:space="0" w:color="auto"/>
              <w:left w:val="single" w:sz="4" w:space="0" w:color="auto"/>
              <w:bottom w:val="single" w:sz="4" w:space="0" w:color="auto"/>
              <w:right w:val="single" w:sz="4" w:space="0" w:color="auto"/>
            </w:tcBorders>
            <w:hideMark/>
          </w:tcPr>
          <w:p w14:paraId="5D13E32D"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160</w:t>
            </w:r>
          </w:p>
        </w:tc>
        <w:tc>
          <w:tcPr>
            <w:tcW w:w="2970" w:type="dxa"/>
            <w:tcBorders>
              <w:top w:val="single" w:sz="4" w:space="0" w:color="auto"/>
              <w:left w:val="single" w:sz="4" w:space="0" w:color="auto"/>
              <w:bottom w:val="single" w:sz="4" w:space="0" w:color="auto"/>
              <w:right w:val="single" w:sz="4" w:space="0" w:color="auto"/>
            </w:tcBorders>
            <w:hideMark/>
          </w:tcPr>
          <w:p w14:paraId="5EFF1BB3"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45.51</w:t>
            </w:r>
          </w:p>
        </w:tc>
      </w:tr>
      <w:tr w:rsidR="006F6375" w:rsidRPr="00E25E47" w14:paraId="1E988396" w14:textId="77777777">
        <w:tc>
          <w:tcPr>
            <w:tcW w:w="2520" w:type="dxa"/>
            <w:tcBorders>
              <w:top w:val="single" w:sz="4" w:space="0" w:color="auto"/>
              <w:left w:val="single" w:sz="4" w:space="0" w:color="auto"/>
              <w:bottom w:val="single" w:sz="4" w:space="0" w:color="auto"/>
              <w:right w:val="single" w:sz="4" w:space="0" w:color="auto"/>
            </w:tcBorders>
            <w:hideMark/>
          </w:tcPr>
          <w:p w14:paraId="6F0CFD4D"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310</w:t>
            </w:r>
          </w:p>
        </w:tc>
        <w:tc>
          <w:tcPr>
            <w:tcW w:w="2970" w:type="dxa"/>
            <w:tcBorders>
              <w:top w:val="single" w:sz="4" w:space="0" w:color="auto"/>
              <w:left w:val="single" w:sz="4" w:space="0" w:color="auto"/>
              <w:bottom w:val="single" w:sz="4" w:space="0" w:color="auto"/>
              <w:right w:val="single" w:sz="4" w:space="0" w:color="auto"/>
            </w:tcBorders>
            <w:hideMark/>
          </w:tcPr>
          <w:p w14:paraId="605E5966"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45.67</w:t>
            </w:r>
          </w:p>
        </w:tc>
      </w:tr>
      <w:tr w:rsidR="006F6375" w:rsidRPr="00E25E47" w14:paraId="1D125AB5" w14:textId="77777777">
        <w:tc>
          <w:tcPr>
            <w:tcW w:w="2520" w:type="dxa"/>
            <w:tcBorders>
              <w:top w:val="single" w:sz="4" w:space="0" w:color="auto"/>
              <w:left w:val="single" w:sz="4" w:space="0" w:color="auto"/>
              <w:bottom w:val="single" w:sz="4" w:space="0" w:color="auto"/>
              <w:right w:val="single" w:sz="4" w:space="0" w:color="auto"/>
            </w:tcBorders>
            <w:hideMark/>
          </w:tcPr>
          <w:p w14:paraId="5BFCC9B0"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410</w:t>
            </w:r>
          </w:p>
        </w:tc>
        <w:tc>
          <w:tcPr>
            <w:tcW w:w="2970" w:type="dxa"/>
            <w:tcBorders>
              <w:top w:val="single" w:sz="4" w:space="0" w:color="auto"/>
              <w:left w:val="single" w:sz="4" w:space="0" w:color="auto"/>
              <w:bottom w:val="single" w:sz="4" w:space="0" w:color="auto"/>
              <w:right w:val="single" w:sz="4" w:space="0" w:color="auto"/>
            </w:tcBorders>
            <w:hideMark/>
          </w:tcPr>
          <w:p w14:paraId="0BD2479F"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45.83</w:t>
            </w:r>
          </w:p>
        </w:tc>
      </w:tr>
      <w:tr w:rsidR="006F6375" w:rsidRPr="00E25E47" w14:paraId="50BEE5B4" w14:textId="77777777">
        <w:tc>
          <w:tcPr>
            <w:tcW w:w="2520" w:type="dxa"/>
            <w:tcBorders>
              <w:top w:val="single" w:sz="4" w:space="0" w:color="auto"/>
              <w:left w:val="single" w:sz="4" w:space="0" w:color="auto"/>
              <w:bottom w:val="single" w:sz="4" w:space="0" w:color="auto"/>
              <w:right w:val="single" w:sz="4" w:space="0" w:color="auto"/>
            </w:tcBorders>
            <w:hideMark/>
          </w:tcPr>
          <w:p w14:paraId="642E9137"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525</w:t>
            </w:r>
          </w:p>
        </w:tc>
        <w:tc>
          <w:tcPr>
            <w:tcW w:w="2970" w:type="dxa"/>
            <w:tcBorders>
              <w:top w:val="single" w:sz="4" w:space="0" w:color="auto"/>
              <w:left w:val="single" w:sz="4" w:space="0" w:color="auto"/>
              <w:bottom w:val="single" w:sz="4" w:space="0" w:color="auto"/>
              <w:right w:val="single" w:sz="4" w:space="0" w:color="auto"/>
            </w:tcBorders>
            <w:hideMark/>
          </w:tcPr>
          <w:p w14:paraId="6985E569"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45.96</w:t>
            </w:r>
          </w:p>
        </w:tc>
      </w:tr>
      <w:tr w:rsidR="006F6375" w:rsidRPr="00E25E47" w14:paraId="0F4871A9" w14:textId="77777777">
        <w:tc>
          <w:tcPr>
            <w:tcW w:w="2520" w:type="dxa"/>
            <w:tcBorders>
              <w:top w:val="single" w:sz="4" w:space="0" w:color="auto"/>
              <w:left w:val="single" w:sz="4" w:space="0" w:color="auto"/>
              <w:bottom w:val="single" w:sz="4" w:space="0" w:color="auto"/>
              <w:right w:val="single" w:sz="4" w:space="0" w:color="auto"/>
            </w:tcBorders>
            <w:hideMark/>
          </w:tcPr>
          <w:p w14:paraId="467F0E32"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550</w:t>
            </w:r>
          </w:p>
        </w:tc>
        <w:tc>
          <w:tcPr>
            <w:tcW w:w="2970" w:type="dxa"/>
            <w:tcBorders>
              <w:top w:val="single" w:sz="4" w:space="0" w:color="auto"/>
              <w:left w:val="single" w:sz="4" w:space="0" w:color="auto"/>
              <w:bottom w:val="single" w:sz="4" w:space="0" w:color="auto"/>
              <w:right w:val="single" w:sz="4" w:space="0" w:color="auto"/>
            </w:tcBorders>
            <w:hideMark/>
          </w:tcPr>
          <w:p w14:paraId="13506BE8"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46.05</w:t>
            </w:r>
          </w:p>
        </w:tc>
      </w:tr>
    </w:tbl>
    <w:p w14:paraId="693D13B8" w14:textId="77777777" w:rsidR="006F6375" w:rsidRPr="00E25E47" w:rsidRDefault="006F6375" w:rsidP="006F6375">
      <w:pPr>
        <w:pStyle w:val="StylePJMFormulaCentered"/>
        <w:jc w:val="left"/>
        <w:rPr>
          <w:rFonts w:ascii="Times New Roman" w:hAnsi="Times New Roman"/>
        </w:rPr>
      </w:pPr>
    </w:p>
    <w:p w14:paraId="672A63F1" w14:textId="3FA3997F" w:rsidR="006F6375" w:rsidRPr="00E25E47" w:rsidRDefault="006F6375" w:rsidP="006F6375">
      <w:pPr>
        <w:pStyle w:val="PJMNormal"/>
      </w:pPr>
      <w:r w:rsidRPr="00E25E47">
        <w:t>When calculating the first increment, MW1 is zero and the Total Operating Cost MW1 is the No-Load Cost. However due to the quality of the heat input data, the first increment of the cost offer was greater than the second increment. This is shown in the graph below:</w:t>
      </w:r>
    </w:p>
    <w:p w14:paraId="6048F62E" w14:textId="77777777" w:rsidR="006F6375" w:rsidRPr="00E25E47" w:rsidRDefault="006F6375" w:rsidP="006F6375">
      <w:pPr>
        <w:pStyle w:val="PJMNormal"/>
      </w:pPr>
    </w:p>
    <w:p w14:paraId="6A19368C" w14:textId="4322939E" w:rsidR="006F6375" w:rsidRPr="00E25E47" w:rsidRDefault="00E969F3" w:rsidP="006F6375">
      <w:pPr>
        <w:pStyle w:val="PJMNormal"/>
      </w:pPr>
      <w:r>
        <w:rPr>
          <w:noProof/>
        </w:rPr>
        <w:drawing>
          <wp:inline distT="0" distB="0" distL="0" distR="0" wp14:anchorId="2643A254" wp14:editId="3F8096B6">
            <wp:extent cx="5720080" cy="3881120"/>
            <wp:effectExtent l="0" t="0" r="0" b="5080"/>
            <wp:docPr id="7517860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0080" cy="3881120"/>
                    </a:xfrm>
                    <a:prstGeom prst="rect">
                      <a:avLst/>
                    </a:prstGeom>
                    <a:noFill/>
                    <a:ln>
                      <a:noFill/>
                    </a:ln>
                  </pic:spPr>
                </pic:pic>
              </a:graphicData>
            </a:graphic>
          </wp:inline>
        </w:drawing>
      </w:r>
    </w:p>
    <w:p w14:paraId="644E9204" w14:textId="77777777" w:rsidR="006F6375" w:rsidRPr="00E25E47" w:rsidRDefault="006F6375" w:rsidP="006F6375">
      <w:pPr>
        <w:pStyle w:val="PJMNormal"/>
      </w:pPr>
    </w:p>
    <w:p w14:paraId="354498A4" w14:textId="3C611E29" w:rsidR="006F6375" w:rsidRPr="00E25E47" w:rsidRDefault="006F6375" w:rsidP="006F6375">
      <w:pPr>
        <w:pStyle w:val="PJMNormal"/>
      </w:pPr>
      <w:r w:rsidRPr="00E25E47">
        <w:t xml:space="preserve">The No-Load </w:t>
      </w:r>
      <w:r w:rsidR="001649C1">
        <w:t>C</w:t>
      </w:r>
      <w:r w:rsidRPr="00E25E47">
        <w:t>ost was then raised to $1</w:t>
      </w:r>
      <w:r w:rsidR="000C6F00">
        <w:t>,</w:t>
      </w:r>
      <w:r w:rsidRPr="00E25E47">
        <w:t>007.76 until the first increment of the cost offer was less than $1/MWh below the second increment, producing a monotonically increasing curve in the graph below:</w:t>
      </w:r>
    </w:p>
    <w:p w14:paraId="23A0A8B7" w14:textId="40E38987" w:rsidR="006F6375" w:rsidRPr="00E25E47" w:rsidRDefault="00E969F3" w:rsidP="006F6375">
      <w:pPr>
        <w:pStyle w:val="PJMNormal"/>
      </w:pPr>
      <w:r>
        <w:rPr>
          <w:noProof/>
        </w:rPr>
        <w:drawing>
          <wp:inline distT="0" distB="0" distL="0" distR="0" wp14:anchorId="0BB73F58" wp14:editId="62A72281">
            <wp:extent cx="5720080" cy="3891280"/>
            <wp:effectExtent l="0" t="0" r="0" b="0"/>
            <wp:docPr id="86370337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0080" cy="3891280"/>
                    </a:xfrm>
                    <a:prstGeom prst="rect">
                      <a:avLst/>
                    </a:prstGeom>
                    <a:noFill/>
                    <a:ln>
                      <a:noFill/>
                    </a:ln>
                  </pic:spPr>
                </pic:pic>
              </a:graphicData>
            </a:graphic>
          </wp:inline>
        </w:drawing>
      </w:r>
    </w:p>
    <w:p w14:paraId="657545DA" w14:textId="77777777" w:rsidR="006F6375" w:rsidRPr="00E25E47" w:rsidRDefault="006F6375" w:rsidP="006F6375"/>
    <w:p w14:paraId="5F05A013" w14:textId="3DD10D00" w:rsidR="006F6375" w:rsidRPr="00E25E47" w:rsidRDefault="006F6375" w:rsidP="006F6375">
      <w:pPr>
        <w:pStyle w:val="PJMNormal"/>
      </w:pPr>
      <w:r w:rsidRPr="00E25E47">
        <w:t xml:space="preserve">To avoid making adjustments to the </w:t>
      </w:r>
      <w:r w:rsidR="00A748C8">
        <w:t>n</w:t>
      </w:r>
      <w:r w:rsidRPr="00E25E47">
        <w:t>o-</w:t>
      </w:r>
      <w:r w:rsidR="00A748C8">
        <w:t>l</w:t>
      </w:r>
      <w:r w:rsidRPr="00E25E47">
        <w:t>oad, first calculate the unit’s Incremental Cost ($/MWh) at various outputs using the derivative of the Heat Input Curve:</w:t>
      </w:r>
    </w:p>
    <w:p w14:paraId="75DAD79C" w14:textId="77777777" w:rsidR="006F6375" w:rsidRPr="00E25E47" w:rsidRDefault="006F6375" w:rsidP="006F6375">
      <w:pPr>
        <w:pStyle w:val="StylePJMFormulaCentered"/>
        <w:jc w:val="left"/>
        <w:rPr>
          <w:rFonts w:ascii="Times New Roman" w:hAnsi="Times New Roman"/>
        </w:rPr>
      </w:pPr>
    </w:p>
    <w:p w14:paraId="678E6C49" w14:textId="77777777" w:rsidR="006F6375" w:rsidRPr="00E25E47" w:rsidRDefault="00007736" w:rsidP="006F6375">
      <w:pPr>
        <w:pStyle w:val="StylePJMFormulaCentered"/>
        <w:rPr>
          <w:rFonts w:ascii="Times New Roman" w:hAnsi="Times New Roman"/>
        </w:rPr>
      </w:pPr>
      <m:oMathPara>
        <m:oMath>
          <m:r>
            <m:rPr>
              <m:sty m:val="p"/>
            </m:rPr>
            <m:t>Incremental Cost ($/MWh)=</m:t>
          </m:r>
        </m:oMath>
      </m:oMathPara>
    </w:p>
    <w:p w14:paraId="5DDD2D05" w14:textId="77777777" w:rsidR="006F6375" w:rsidRPr="00E25E47" w:rsidRDefault="00977324" w:rsidP="006F6375">
      <w:pPr>
        <w:pStyle w:val="StylePJMFormulaCentered"/>
        <w:rPr>
          <w:rFonts w:ascii="Times New Roman" w:hAnsi="Times New Roman"/>
        </w:rPr>
      </w:pPr>
      <m:oMathPara>
        <m:oMath>
          <m:d>
            <m:dPr>
              <m:ctrlPr/>
            </m:dPr>
            <m:e>
              <m:r>
                <m:rPr>
                  <m:sty m:val="p"/>
                </m:rPr>
                <m:t>2*0.000148321*MW+10.7195</m:t>
              </m:r>
            </m:e>
          </m:d>
          <m:r>
            <m:rPr>
              <m:sty m:val="p"/>
            </m:rPr>
            <m:t>*Performance Factor *(TFRC+VOM)</m:t>
          </m:r>
        </m:oMath>
      </m:oMathPara>
    </w:p>
    <w:p w14:paraId="0915065E" w14:textId="77777777" w:rsidR="006F6375" w:rsidRPr="00E25E47" w:rsidRDefault="006F6375" w:rsidP="006F6375">
      <w:pPr>
        <w:pStyle w:val="StylePJMFormulaCentered"/>
        <w:jc w:val="left"/>
        <w:rPr>
          <w:rFonts w:ascii="Times New Roman" w:hAnsi="Times New Roman"/>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70"/>
      </w:tblGrid>
      <w:tr w:rsidR="006F6375" w:rsidRPr="00E25E47" w14:paraId="25079E36" w14:textId="77777777">
        <w:tc>
          <w:tcPr>
            <w:tcW w:w="2520" w:type="dxa"/>
            <w:tcBorders>
              <w:top w:val="single" w:sz="4" w:space="0" w:color="auto"/>
              <w:left w:val="single" w:sz="4" w:space="0" w:color="auto"/>
              <w:bottom w:val="single" w:sz="4" w:space="0" w:color="auto"/>
              <w:right w:val="single" w:sz="4" w:space="0" w:color="auto"/>
            </w:tcBorders>
            <w:hideMark/>
          </w:tcPr>
          <w:p w14:paraId="06A1E6B2"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Output (MW)</w:t>
            </w:r>
          </w:p>
        </w:tc>
        <w:tc>
          <w:tcPr>
            <w:tcW w:w="2970" w:type="dxa"/>
            <w:tcBorders>
              <w:top w:val="single" w:sz="4" w:space="0" w:color="auto"/>
              <w:left w:val="single" w:sz="4" w:space="0" w:color="auto"/>
              <w:bottom w:val="single" w:sz="4" w:space="0" w:color="auto"/>
              <w:right w:val="single" w:sz="4" w:space="0" w:color="auto"/>
            </w:tcBorders>
            <w:hideMark/>
          </w:tcPr>
          <w:p w14:paraId="0C1BE407"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Incremental Cost ($/MWh)</w:t>
            </w:r>
          </w:p>
        </w:tc>
      </w:tr>
      <w:tr w:rsidR="006F6375" w:rsidRPr="00E25E47" w14:paraId="77A0A345" w14:textId="77777777">
        <w:tc>
          <w:tcPr>
            <w:tcW w:w="2520" w:type="dxa"/>
            <w:tcBorders>
              <w:top w:val="single" w:sz="4" w:space="0" w:color="auto"/>
              <w:left w:val="single" w:sz="4" w:space="0" w:color="auto"/>
              <w:bottom w:val="single" w:sz="4" w:space="0" w:color="auto"/>
              <w:right w:val="single" w:sz="4" w:space="0" w:color="auto"/>
            </w:tcBorders>
            <w:hideMark/>
          </w:tcPr>
          <w:p w14:paraId="304D43E7"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50</w:t>
            </w:r>
          </w:p>
        </w:tc>
        <w:tc>
          <w:tcPr>
            <w:tcW w:w="2970" w:type="dxa"/>
            <w:tcBorders>
              <w:top w:val="single" w:sz="4" w:space="0" w:color="auto"/>
              <w:left w:val="single" w:sz="4" w:space="0" w:color="auto"/>
              <w:bottom w:val="single" w:sz="4" w:space="0" w:color="auto"/>
              <w:right w:val="single" w:sz="4" w:space="0" w:color="auto"/>
            </w:tcBorders>
            <w:hideMark/>
          </w:tcPr>
          <w:p w14:paraId="1F32B6EF"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45.43</w:t>
            </w:r>
          </w:p>
        </w:tc>
      </w:tr>
      <w:tr w:rsidR="006F6375" w:rsidRPr="00E25E47" w14:paraId="3776819D" w14:textId="77777777">
        <w:tc>
          <w:tcPr>
            <w:tcW w:w="2520" w:type="dxa"/>
            <w:tcBorders>
              <w:top w:val="single" w:sz="4" w:space="0" w:color="auto"/>
              <w:left w:val="single" w:sz="4" w:space="0" w:color="auto"/>
              <w:bottom w:val="single" w:sz="4" w:space="0" w:color="auto"/>
              <w:right w:val="single" w:sz="4" w:space="0" w:color="auto"/>
            </w:tcBorders>
            <w:hideMark/>
          </w:tcPr>
          <w:p w14:paraId="68A493F6"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160</w:t>
            </w:r>
          </w:p>
        </w:tc>
        <w:tc>
          <w:tcPr>
            <w:tcW w:w="2970" w:type="dxa"/>
            <w:tcBorders>
              <w:top w:val="single" w:sz="4" w:space="0" w:color="auto"/>
              <w:left w:val="single" w:sz="4" w:space="0" w:color="auto"/>
              <w:bottom w:val="single" w:sz="4" w:space="0" w:color="auto"/>
              <w:right w:val="single" w:sz="4" w:space="0" w:color="auto"/>
            </w:tcBorders>
            <w:hideMark/>
          </w:tcPr>
          <w:p w14:paraId="0CCD34FD"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45.58</w:t>
            </w:r>
          </w:p>
        </w:tc>
      </w:tr>
      <w:tr w:rsidR="006F6375" w:rsidRPr="00E25E47" w14:paraId="53110B24" w14:textId="77777777">
        <w:tc>
          <w:tcPr>
            <w:tcW w:w="2520" w:type="dxa"/>
            <w:tcBorders>
              <w:top w:val="single" w:sz="4" w:space="0" w:color="auto"/>
              <w:left w:val="single" w:sz="4" w:space="0" w:color="auto"/>
              <w:bottom w:val="single" w:sz="4" w:space="0" w:color="auto"/>
              <w:right w:val="single" w:sz="4" w:space="0" w:color="auto"/>
            </w:tcBorders>
            <w:hideMark/>
          </w:tcPr>
          <w:p w14:paraId="5857243F"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310</w:t>
            </w:r>
          </w:p>
        </w:tc>
        <w:tc>
          <w:tcPr>
            <w:tcW w:w="2970" w:type="dxa"/>
            <w:tcBorders>
              <w:top w:val="single" w:sz="4" w:space="0" w:color="auto"/>
              <w:left w:val="single" w:sz="4" w:space="0" w:color="auto"/>
              <w:bottom w:val="single" w:sz="4" w:space="0" w:color="auto"/>
              <w:right w:val="single" w:sz="4" w:space="0" w:color="auto"/>
            </w:tcBorders>
            <w:hideMark/>
          </w:tcPr>
          <w:p w14:paraId="22167847"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45.76</w:t>
            </w:r>
          </w:p>
        </w:tc>
      </w:tr>
      <w:tr w:rsidR="006F6375" w:rsidRPr="00E25E47" w14:paraId="6D335B60" w14:textId="77777777">
        <w:tc>
          <w:tcPr>
            <w:tcW w:w="2520" w:type="dxa"/>
            <w:tcBorders>
              <w:top w:val="single" w:sz="4" w:space="0" w:color="auto"/>
              <w:left w:val="single" w:sz="4" w:space="0" w:color="auto"/>
              <w:bottom w:val="single" w:sz="4" w:space="0" w:color="auto"/>
              <w:right w:val="single" w:sz="4" w:space="0" w:color="auto"/>
            </w:tcBorders>
            <w:hideMark/>
          </w:tcPr>
          <w:p w14:paraId="4FE54BA1"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410</w:t>
            </w:r>
          </w:p>
        </w:tc>
        <w:tc>
          <w:tcPr>
            <w:tcW w:w="2970" w:type="dxa"/>
            <w:tcBorders>
              <w:top w:val="single" w:sz="4" w:space="0" w:color="auto"/>
              <w:left w:val="single" w:sz="4" w:space="0" w:color="auto"/>
              <w:bottom w:val="single" w:sz="4" w:space="0" w:color="auto"/>
              <w:right w:val="single" w:sz="4" w:space="0" w:color="auto"/>
            </w:tcBorders>
            <w:hideMark/>
          </w:tcPr>
          <w:p w14:paraId="2A933A61"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45.89</w:t>
            </w:r>
          </w:p>
        </w:tc>
      </w:tr>
      <w:tr w:rsidR="006F6375" w:rsidRPr="00E25E47" w14:paraId="2FE58F50" w14:textId="77777777">
        <w:tc>
          <w:tcPr>
            <w:tcW w:w="2520" w:type="dxa"/>
            <w:tcBorders>
              <w:top w:val="single" w:sz="4" w:space="0" w:color="auto"/>
              <w:left w:val="single" w:sz="4" w:space="0" w:color="auto"/>
              <w:bottom w:val="single" w:sz="4" w:space="0" w:color="auto"/>
              <w:right w:val="single" w:sz="4" w:space="0" w:color="auto"/>
            </w:tcBorders>
            <w:hideMark/>
          </w:tcPr>
          <w:p w14:paraId="66455E4B"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525</w:t>
            </w:r>
          </w:p>
        </w:tc>
        <w:tc>
          <w:tcPr>
            <w:tcW w:w="2970" w:type="dxa"/>
            <w:tcBorders>
              <w:top w:val="single" w:sz="4" w:space="0" w:color="auto"/>
              <w:left w:val="single" w:sz="4" w:space="0" w:color="auto"/>
              <w:bottom w:val="single" w:sz="4" w:space="0" w:color="auto"/>
              <w:right w:val="single" w:sz="4" w:space="0" w:color="auto"/>
            </w:tcBorders>
            <w:hideMark/>
          </w:tcPr>
          <w:p w14:paraId="0E3F5D28"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46.03</w:t>
            </w:r>
          </w:p>
        </w:tc>
      </w:tr>
      <w:tr w:rsidR="006F6375" w:rsidRPr="00E25E47" w14:paraId="06311998" w14:textId="77777777">
        <w:tc>
          <w:tcPr>
            <w:tcW w:w="2520" w:type="dxa"/>
            <w:tcBorders>
              <w:top w:val="single" w:sz="4" w:space="0" w:color="auto"/>
              <w:left w:val="single" w:sz="4" w:space="0" w:color="auto"/>
              <w:bottom w:val="single" w:sz="4" w:space="0" w:color="auto"/>
              <w:right w:val="single" w:sz="4" w:space="0" w:color="auto"/>
            </w:tcBorders>
            <w:hideMark/>
          </w:tcPr>
          <w:p w14:paraId="14B7CA5B"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550</w:t>
            </w:r>
          </w:p>
        </w:tc>
        <w:tc>
          <w:tcPr>
            <w:tcW w:w="2970" w:type="dxa"/>
            <w:tcBorders>
              <w:top w:val="single" w:sz="4" w:space="0" w:color="auto"/>
              <w:left w:val="single" w:sz="4" w:space="0" w:color="auto"/>
              <w:bottom w:val="single" w:sz="4" w:space="0" w:color="auto"/>
              <w:right w:val="single" w:sz="4" w:space="0" w:color="auto"/>
            </w:tcBorders>
            <w:hideMark/>
          </w:tcPr>
          <w:p w14:paraId="69DAB3D0" w14:textId="77777777" w:rsidR="006F6375" w:rsidRDefault="006F6375">
            <w:pPr>
              <w:pStyle w:val="StylePJMFormulaCentered"/>
              <w:rPr>
                <w:rFonts w:ascii="Times New Roman" w:hAnsi="Times New Roman"/>
                <w:kern w:val="2"/>
                <w14:ligatures w14:val="standardContextual"/>
              </w:rPr>
            </w:pPr>
            <w:r>
              <w:rPr>
                <w:rFonts w:ascii="Times New Roman" w:hAnsi="Times New Roman"/>
                <w:kern w:val="2"/>
                <w14:ligatures w14:val="standardContextual"/>
              </w:rPr>
              <w:t>46.06</w:t>
            </w:r>
          </w:p>
        </w:tc>
      </w:tr>
    </w:tbl>
    <w:p w14:paraId="24AF8655" w14:textId="55BB45F4" w:rsidR="006F6375" w:rsidRDefault="006F6375" w:rsidP="006F6375">
      <w:pPr>
        <w:pStyle w:val="PJMNormal"/>
        <w:rPr>
          <w:rFonts w:eastAsiaTheme="minorHAnsi"/>
          <w:kern w:val="2"/>
          <w14:ligatures w14:val="standardContextual"/>
        </w:rPr>
      </w:pPr>
      <w:r w:rsidRPr="00E25E47">
        <w:t xml:space="preserve">The </w:t>
      </w:r>
      <w:r w:rsidR="00A748C8">
        <w:t>N</w:t>
      </w:r>
      <w:r w:rsidRPr="00E25E47">
        <w:t>o-</w:t>
      </w:r>
      <w:r w:rsidR="00A748C8">
        <w:t>L</w:t>
      </w:r>
      <w:r w:rsidRPr="00E25E47">
        <w:t xml:space="preserve">oad </w:t>
      </w:r>
      <w:r w:rsidR="00A748C8">
        <w:t>C</w:t>
      </w:r>
      <w:r w:rsidRPr="00E25E47">
        <w:t>ost is calculated by subtracting the incremental cost (unit’s economic minimum cost-offer value multiplied by MW value) at the unit’s economic minimum point from the total cost (from the heat input at economic minimum value) at the unit’s economic minimum point.</w:t>
      </w:r>
    </w:p>
    <w:p w14:paraId="7CC12180" w14:textId="1FDBD917" w:rsidR="006F6375" w:rsidRPr="00E25E47" w:rsidRDefault="00025666" w:rsidP="006F6375">
      <w:pPr>
        <w:pStyle w:val="StylePJMFormulaCentered"/>
        <w:jc w:val="left"/>
        <w:rPr>
          <w:rFonts w:ascii="Times New Roman" w:hAnsi="Times New Roman"/>
        </w:rPr>
      </w:pPr>
      <m:oMathPara>
        <m:oMath>
          <m:r>
            <m:rPr>
              <m:sty m:val="p"/>
            </m:rPr>
            <m:t>No-Load Cost ($/hour)=</m:t>
          </m:r>
        </m:oMath>
      </m:oMathPara>
    </w:p>
    <w:p w14:paraId="182F154D" w14:textId="77777777" w:rsidR="006F6375" w:rsidRPr="00E25E47" w:rsidRDefault="00007736" w:rsidP="006F6375">
      <w:pPr>
        <w:pStyle w:val="StylePJMFormulaCentered"/>
        <w:jc w:val="left"/>
        <w:rPr>
          <w:rFonts w:ascii="Times New Roman" w:hAnsi="Times New Roman"/>
        </w:rPr>
      </w:pPr>
      <m:oMathPara>
        <m:oMath>
          <m:r>
            <m:rPr>
              <m:sty m:val="p"/>
            </m:rPr>
            <m:t>=</m:t>
          </m:r>
          <m:d>
            <m:dPr>
              <m:ctrlPr/>
            </m:dPr>
            <m:e>
              <m:r>
                <m:rPr>
                  <m:sty m:val="p"/>
                </m:rPr>
                <m:t>Economic Minimum Heat Input*Performance Factor*</m:t>
              </m:r>
              <m:d>
                <m:dPr>
                  <m:ctrlPr/>
                </m:dPr>
                <m:e>
                  <m:r>
                    <m:rPr>
                      <m:sty m:val="p"/>
                    </m:rPr>
                    <m:t>TRFC+VOM</m:t>
                  </m:r>
                </m:e>
              </m:d>
            </m:e>
          </m:d>
          <m:r>
            <m:rPr>
              <m:sty m:val="p"/>
            </m:rPr>
            <m:t xml:space="preserve">- </m:t>
          </m:r>
          <m:d>
            <m:dPr>
              <m:ctrlPr/>
            </m:dPr>
            <m:e>
              <m:r>
                <m:rPr>
                  <m:sty m:val="p"/>
                </m:rPr>
                <m:t>Economic Minimum Incremental Cost*Economic Minimum MW</m:t>
              </m:r>
            </m:e>
          </m:d>
        </m:oMath>
      </m:oMathPara>
    </w:p>
    <w:p w14:paraId="6150F0BB" w14:textId="7549ACA1" w:rsidR="006F6375" w:rsidRPr="00E25E47" w:rsidRDefault="00025666" w:rsidP="006F6375">
      <w:pPr>
        <w:pStyle w:val="StylePJMFormulaCentered"/>
        <w:jc w:val="left"/>
        <w:rPr>
          <w:rFonts w:ascii="Times New Roman" w:hAnsi="Times New Roman"/>
        </w:rPr>
      </w:pPr>
      <m:oMathPara>
        <m:oMath>
          <m:r>
            <m:rPr>
              <m:sty m:val="p"/>
            </m:rPr>
            <m:t xml:space="preserve">=(774.58 MMBTU/hour*1.02*($4.00/MMBtu+$0.15/MMBtu))- ($45.43/MWh*50 MW) </m:t>
          </m:r>
        </m:oMath>
      </m:oMathPara>
    </w:p>
    <w:p w14:paraId="793013E4" w14:textId="45787E5A" w:rsidR="006F6375" w:rsidRPr="00E25E47" w:rsidRDefault="00025666" w:rsidP="006F6375">
      <w:pPr>
        <w:pStyle w:val="StylePJMFormulaCentered"/>
        <w:jc w:val="left"/>
        <w:rPr>
          <w:rFonts w:ascii="Times New Roman" w:hAnsi="Times New Roman"/>
        </w:rPr>
      </w:pPr>
      <m:oMathPara>
        <m:oMath>
          <m:r>
            <m:t>=$1,007.3</m:t>
          </m:r>
          <m:r>
            <m:rPr>
              <m:sty m:val="p"/>
            </m:rPr>
            <m:t>/hour</m:t>
          </m:r>
        </m:oMath>
      </m:oMathPara>
    </w:p>
    <w:p w14:paraId="4478097D" w14:textId="77777777" w:rsidR="006F6375" w:rsidRPr="00E25E47" w:rsidRDefault="006F6375" w:rsidP="006F6375">
      <w:pPr>
        <w:pStyle w:val="StylePJMFormulaCentered"/>
        <w:jc w:val="left"/>
        <w:rPr>
          <w:rFonts w:ascii="Times New Roman" w:hAnsi="Times New Roman"/>
        </w:rPr>
      </w:pPr>
    </w:p>
    <w:p w14:paraId="4C10DD65" w14:textId="55C06311" w:rsidR="006F6375" w:rsidRPr="00E25E47" w:rsidRDefault="006F6375" w:rsidP="006F6375">
      <w:pPr>
        <w:pStyle w:val="PJMNormal"/>
      </w:pPr>
      <w:r w:rsidRPr="00E25E47">
        <w:t xml:space="preserve">Differences in the calculated </w:t>
      </w:r>
      <w:r w:rsidR="00A748C8">
        <w:t>n</w:t>
      </w:r>
      <w:r w:rsidRPr="00E25E47">
        <w:t>o-</w:t>
      </w:r>
      <w:r w:rsidR="00A748C8">
        <w:t>l</w:t>
      </w:r>
      <w:r w:rsidRPr="00E25E47">
        <w:t>oad between the two methods are due to the differences in using a block average cost offer method versus a sloped derivative cost offer. When using the derivative method, user must select “Use Sloped Offer” when entering cost information into</w:t>
      </w:r>
      <w:r>
        <w:t xml:space="preserve"> </w:t>
      </w:r>
      <w:r w:rsidR="00A748C8">
        <w:t>the MUI</w:t>
      </w:r>
      <w:r w:rsidRPr="00E25E47">
        <w:t>.</w:t>
      </w:r>
    </w:p>
    <w:p w14:paraId="3E0A557E" w14:textId="50A56209" w:rsidR="006F6375" w:rsidRPr="00E25E47" w:rsidRDefault="00094D62" w:rsidP="00E679DC">
      <w:pPr>
        <w:pStyle w:val="Heading471"/>
        <w:rPr>
          <w:i/>
        </w:rPr>
      </w:pPr>
      <w:bookmarkStart w:id="12835" w:name="_Toc372284045"/>
      <w:bookmarkStart w:id="12836" w:name="_Toc372284820"/>
      <w:bookmarkStart w:id="12837" w:name="_Toc372285607"/>
      <w:bookmarkStart w:id="12838" w:name="_Toc372286166"/>
      <w:bookmarkStart w:id="12839" w:name="_Toc372295247"/>
      <w:bookmarkStart w:id="12840" w:name="_Toc372296026"/>
      <w:bookmarkStart w:id="12841" w:name="_Toc372702933"/>
      <w:bookmarkStart w:id="12842" w:name="_Toc372703761"/>
      <w:bookmarkStart w:id="12843" w:name="_Toc372890213"/>
      <w:bookmarkStart w:id="12844" w:name="_Toc372891042"/>
      <w:bookmarkStart w:id="12845" w:name="_Toc378774008"/>
      <w:bookmarkStart w:id="12846" w:name="_Toc378774830"/>
      <w:bookmarkStart w:id="12847" w:name="_Toc378844356"/>
      <w:bookmarkStart w:id="12848" w:name="_Toc378945370"/>
      <w:bookmarkStart w:id="12849" w:name="_Toc379281362"/>
      <w:bookmarkStart w:id="12850" w:name="_Toc379282184"/>
      <w:bookmarkStart w:id="12851" w:name="_Toc379283006"/>
      <w:bookmarkStart w:id="12852" w:name="_Toc379443439"/>
      <w:bookmarkStart w:id="12853" w:name="_Toc379444201"/>
      <w:bookmarkStart w:id="12854" w:name="_Toc381001171"/>
      <w:bookmarkStart w:id="12855" w:name="_Toc381090507"/>
      <w:bookmarkStart w:id="12856" w:name="_Toc383441139"/>
      <w:bookmarkStart w:id="12857" w:name="_Toc383686145"/>
      <w:bookmarkStart w:id="12858" w:name="_Toc383686921"/>
      <w:bookmarkStart w:id="12859" w:name="_Toc384134885"/>
      <w:bookmarkStart w:id="12860" w:name="_Toc387734961"/>
      <w:bookmarkStart w:id="12861" w:name="_Toc389638284"/>
      <w:bookmarkStart w:id="12862" w:name="_Toc397008681"/>
      <w:bookmarkStart w:id="12863" w:name="_Toc397009457"/>
      <w:bookmarkStart w:id="12864" w:name="_Toc397067497"/>
      <w:bookmarkStart w:id="12865" w:name="_Toc403476984"/>
      <w:bookmarkStart w:id="12866" w:name="_Toc403479608"/>
      <w:bookmarkStart w:id="12867" w:name="_Toc403480912"/>
      <w:bookmarkStart w:id="12868" w:name="_Toc403483937"/>
      <w:bookmarkStart w:id="12869" w:name="_Toc403484920"/>
      <w:bookmarkStart w:id="12870" w:name="_Toc408500609"/>
      <w:bookmarkStart w:id="12871" w:name="_Toc408557548"/>
      <w:bookmarkStart w:id="12872" w:name="_Toc411519994"/>
      <w:bookmarkStart w:id="12873" w:name="_Toc412190352"/>
      <w:bookmarkStart w:id="12874" w:name="_Toc412816136"/>
      <w:bookmarkStart w:id="12875" w:name="_Toc415747755"/>
      <w:bookmarkStart w:id="12876" w:name="_Toc418586411"/>
      <w:bookmarkStart w:id="12877" w:name="_Toc418591362"/>
      <w:bookmarkStart w:id="12878" w:name="_Toc418592141"/>
      <w:bookmarkStart w:id="12879" w:name="_Toc418592920"/>
      <w:bookmarkStart w:id="12880" w:name="_Toc418596628"/>
      <w:bookmarkStart w:id="12881" w:name="_Toc418597407"/>
      <w:bookmarkStart w:id="12882" w:name="_Toc419705354"/>
      <w:bookmarkStart w:id="12883" w:name="_Toc420932958"/>
      <w:bookmarkStart w:id="12884" w:name="_Toc420933725"/>
      <w:bookmarkStart w:id="12885" w:name="_Toc420934492"/>
      <w:bookmarkStart w:id="12886" w:name="_Toc420942060"/>
      <w:bookmarkStart w:id="12887" w:name="_Toc424543330"/>
      <w:bookmarkStart w:id="12888" w:name="_Toc424547807"/>
      <w:bookmarkStart w:id="12889" w:name="_Toc424562294"/>
      <w:bookmarkStart w:id="12890" w:name="_Toc425837265"/>
      <w:bookmarkStart w:id="12891" w:name="_Toc425838047"/>
      <w:bookmarkStart w:id="12892" w:name="_Toc425838827"/>
      <w:bookmarkStart w:id="12893" w:name="_Toc425839607"/>
      <w:bookmarkStart w:id="12894" w:name="_Toc425840388"/>
      <w:bookmarkStart w:id="12895" w:name="_Toc425841167"/>
      <w:bookmarkStart w:id="12896" w:name="_Toc425841946"/>
      <w:bookmarkStart w:id="12897" w:name="_Toc425864804"/>
      <w:bookmarkStart w:id="12898" w:name="_Toc425865582"/>
      <w:bookmarkStart w:id="12899" w:name="_Toc425942792"/>
      <w:bookmarkStart w:id="12900" w:name="_Toc425943706"/>
      <w:bookmarkStart w:id="12901" w:name="_Toc430847887"/>
      <w:bookmarkStart w:id="12902" w:name="_Toc431501375"/>
      <w:bookmarkStart w:id="12903" w:name="_Toc431619551"/>
      <w:bookmarkStart w:id="12904" w:name="_Toc431620323"/>
      <w:bookmarkStart w:id="12905" w:name="_Toc432156918"/>
      <w:bookmarkStart w:id="12906" w:name="_Toc432166136"/>
      <w:bookmarkStart w:id="12907" w:name="_Toc432166991"/>
      <w:bookmarkStart w:id="12908" w:name="_Toc432167849"/>
      <w:bookmarkStart w:id="12909" w:name="_Toc432168665"/>
      <w:bookmarkStart w:id="12910" w:name="_Toc131493566"/>
      <w:bookmarkStart w:id="12911" w:name="_Toc213772413"/>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r>
        <w:t>D.1</w:t>
      </w:r>
      <w:r w:rsidR="0032171B">
        <w:t>5</w:t>
      </w:r>
      <w:r>
        <w:t>.2.1</w:t>
      </w:r>
      <w:r>
        <w:tab/>
      </w:r>
      <w:r w:rsidR="006F6375" w:rsidRPr="00E25E47">
        <w:t>Combustion Turbine Zero No-Load Example</w:t>
      </w:r>
      <w:bookmarkEnd w:id="12910"/>
      <w:bookmarkEnd w:id="12911"/>
      <w:r w:rsidR="006F6375" w:rsidRPr="00E25E47">
        <w:t xml:space="preserve"> </w:t>
      </w:r>
    </w:p>
    <w:p w14:paraId="2D7E8888" w14:textId="23CF8B19" w:rsidR="006F6375" w:rsidRPr="00E25E47" w:rsidRDefault="006F6375" w:rsidP="006F6375">
      <w:pPr>
        <w:pStyle w:val="PJMNormal"/>
      </w:pPr>
      <w:r w:rsidRPr="00E25E47">
        <w:t>A zero</w:t>
      </w:r>
      <w:r>
        <w:t xml:space="preserve"> </w:t>
      </w:r>
      <w:r w:rsidR="00A748C8">
        <w:t>(0)</w:t>
      </w:r>
      <w:r w:rsidRPr="00E25E47">
        <w:t xml:space="preserve"> </w:t>
      </w:r>
      <w:r w:rsidR="00A748C8">
        <w:t>n</w:t>
      </w:r>
      <w:r w:rsidRPr="00E25E47">
        <w:t>o-</w:t>
      </w:r>
      <w:r w:rsidR="00A748C8">
        <w:t>l</w:t>
      </w:r>
      <w:r w:rsidRPr="00E25E47">
        <w:t>oad example for a simple cycle combustion turbine with a single offer block is shown below:</w:t>
      </w:r>
    </w:p>
    <w:p w14:paraId="6A48A75D" w14:textId="034958B9" w:rsidR="006F6375" w:rsidRPr="00E25E47" w:rsidRDefault="00E969F3" w:rsidP="006F6375">
      <w:pPr>
        <w:pStyle w:val="PJMNormal"/>
      </w:pPr>
      <w:r>
        <w:rPr>
          <w:noProof/>
        </w:rPr>
        <w:drawing>
          <wp:inline distT="0" distB="0" distL="0" distR="0" wp14:anchorId="1005C9BF" wp14:editId="5E627C59">
            <wp:extent cx="5720080" cy="4157345"/>
            <wp:effectExtent l="0" t="0" r="0" b="0"/>
            <wp:docPr id="178221669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0080" cy="4157345"/>
                    </a:xfrm>
                    <a:prstGeom prst="rect">
                      <a:avLst/>
                    </a:prstGeom>
                    <a:noFill/>
                    <a:ln>
                      <a:noFill/>
                    </a:ln>
                  </pic:spPr>
                </pic:pic>
              </a:graphicData>
            </a:graphic>
          </wp:inline>
        </w:drawing>
      </w:r>
    </w:p>
    <w:p w14:paraId="00499273" w14:textId="77777777" w:rsidR="006F6375" w:rsidRPr="00E25E47" w:rsidRDefault="006F6375" w:rsidP="006F6375">
      <w:pPr>
        <w:pStyle w:val="PJMNormal"/>
      </w:pPr>
      <w:r w:rsidRPr="00E25E47">
        <w:t>Each diamond in the graph above is a design heat input data point obtained from the original equipment manufacturer or calculated by heat balance. A regression analysis can be performed on the design data to obtain the unit’s Heat Input curve as a function of Output with natural gas as a fuel:</w:t>
      </w:r>
    </w:p>
    <w:p w14:paraId="2183FC54" w14:textId="6C180EED" w:rsidR="006F6375" w:rsidRPr="00E25E47" w:rsidRDefault="00025666" w:rsidP="006F6375">
      <w:pPr>
        <w:pStyle w:val="PJMNormal"/>
      </w:pPr>
      <m:oMathPara>
        <m:oMath>
          <m:r>
            <m:rPr>
              <m:sty m:val="p"/>
            </m:rPr>
            <w:rPr>
              <w:rFonts w:ascii="Cambria Math" w:hAnsi="Cambria Math"/>
            </w:rPr>
            <m:t>Heat Input (MMBTU/hourMMBTtuU/Hour)=</m:t>
          </m:r>
        </m:oMath>
      </m:oMathPara>
    </w:p>
    <w:p w14:paraId="5F73DEFC" w14:textId="77777777" w:rsidR="006F6375" w:rsidRPr="00E25E47" w:rsidRDefault="00007736" w:rsidP="006F6375">
      <w:pPr>
        <w:pStyle w:val="PJMNormal"/>
      </w:pPr>
      <m:oMathPara>
        <m:oMath>
          <m:r>
            <m:rPr>
              <m:sty m:val="p"/>
            </m:rPr>
            <w:rPr>
              <w:rFonts w:ascii="Cambria Math" w:hAnsi="Cambria Math"/>
            </w:rPr>
            <m:t xml:space="preserve">0.0498* </m:t>
          </m:r>
          <m:sSup>
            <m:sSupPr>
              <m:ctrlPr>
                <w:rPr>
                  <w:rFonts w:ascii="Cambria Math" w:hAnsi="Cambria Math"/>
                  <w:kern w:val="2"/>
                  <w14:ligatures w14:val="standardContextual"/>
                </w:rPr>
              </m:ctrlPr>
            </m:sSupPr>
            <m:e>
              <m:r>
                <w:rPr>
                  <w:rFonts w:ascii="Cambria Math" w:hAnsi="Cambria Math"/>
                </w:rPr>
                <m:t>MW</m:t>
              </m:r>
            </m:e>
            <m:sup>
              <m:r>
                <m:rPr>
                  <m:sty m:val="p"/>
                </m:rPr>
                <w:rPr>
                  <w:rFonts w:ascii="Cambria Math" w:hAnsi="Cambria Math"/>
                </w:rPr>
                <m:t>2</m:t>
              </m:r>
            </m:sup>
          </m:sSup>
          <m:r>
            <m:rPr>
              <m:sty m:val="p"/>
            </m:rPr>
            <w:rPr>
              <w:rFonts w:ascii="Cambria Math" w:hAnsi="Cambria Math"/>
            </w:rPr>
            <m:t>+ 0.8122*</m:t>
          </m:r>
          <m:r>
            <w:rPr>
              <w:rFonts w:ascii="Cambria Math" w:hAnsi="Cambria Math"/>
            </w:rPr>
            <m:t>MW</m:t>
          </m:r>
          <m:r>
            <m:rPr>
              <m:sty m:val="p"/>
            </m:rPr>
            <w:rPr>
              <w:rFonts w:ascii="Cambria Math" w:hAnsi="Cambria Math"/>
            </w:rPr>
            <m:t>+578.23</m:t>
          </m:r>
        </m:oMath>
      </m:oMathPara>
    </w:p>
    <w:p w14:paraId="7B3E41CF" w14:textId="77777777" w:rsidR="006F6375" w:rsidRPr="00E25E47" w:rsidRDefault="006F6375" w:rsidP="006F6375">
      <w:pPr>
        <w:pStyle w:val="PJMNormal"/>
      </w:pPr>
    </w:p>
    <w:p w14:paraId="1E6FA15B" w14:textId="77777777" w:rsidR="006F6375" w:rsidRPr="00E25E47" w:rsidRDefault="006F6375" w:rsidP="006F6375">
      <w:pPr>
        <w:pStyle w:val="PJMNormal"/>
      </w:pPr>
      <w:r w:rsidRPr="00E25E47">
        <w:t>Or the fuel input to the unit during operation can be directly measured.</w:t>
      </w:r>
    </w:p>
    <w:p w14:paraId="3B8DDCFA" w14:textId="720199EC" w:rsidR="006F6375" w:rsidRPr="002D0B21" w:rsidRDefault="006F6375" w:rsidP="006F6375">
      <w:pPr>
        <w:pStyle w:val="PJMNormal"/>
      </w:pPr>
      <w:r w:rsidRPr="00E25E47">
        <w:t xml:space="preserve">The unit may be submitted with a single cost offer block and </w:t>
      </w:r>
      <w:r w:rsidRPr="002D0B21">
        <w:t xml:space="preserve">zero </w:t>
      </w:r>
      <w:r w:rsidRPr="00E94CBF">
        <w:t>No-Load Cost ($/</w:t>
      </w:r>
      <w:r w:rsidR="000A144E">
        <w:rPr>
          <w:b/>
        </w:rPr>
        <w:t>hou</w:t>
      </w:r>
      <w:r w:rsidRPr="00E25E47">
        <w:rPr>
          <w:b/>
        </w:rPr>
        <w:t>r</w:t>
      </w:r>
      <w:r w:rsidRPr="00E94CBF">
        <w:t>H</w:t>
      </w:r>
      <w:r w:rsidR="002D0B21" w:rsidRPr="00E94CBF">
        <w:t>ou</w:t>
      </w:r>
      <w:r w:rsidRPr="00E94CBF">
        <w:t>r.</w:t>
      </w:r>
    </w:p>
    <w:p w14:paraId="4C633025" w14:textId="427AEE71" w:rsidR="006F6375" w:rsidRPr="00E25E47" w:rsidRDefault="00025666" w:rsidP="006F6375">
      <w:pPr>
        <w:pStyle w:val="StylePJMFormulaCentered"/>
        <w:rPr>
          <w:rFonts w:ascii="Times New Roman" w:hAnsi="Times New Roman"/>
        </w:rPr>
      </w:pPr>
      <m:oMathPara>
        <m:oMath>
          <m:r>
            <m:rPr>
              <m:sty m:val="p"/>
            </m:rPr>
            <m:t>No-Load Cost($⁄hour)=</m:t>
          </m:r>
        </m:oMath>
      </m:oMathPara>
    </w:p>
    <w:p w14:paraId="143AE6AB" w14:textId="5A43B993" w:rsidR="006F6375" w:rsidRPr="00E25E47" w:rsidRDefault="00025666" w:rsidP="006F6375">
      <w:pPr>
        <w:pStyle w:val="StylePJMFormulaCentered"/>
        <w:rPr>
          <w:rFonts w:ascii="Times New Roman" w:hAnsi="Times New Roman"/>
        </w:rPr>
      </w:pPr>
      <m:oMathPara>
        <m:oMath>
          <m:r>
            <m:rPr>
              <m:sty m:val="p"/>
            </m:rPr>
            <m:t>=$0/hour</m:t>
          </m:r>
        </m:oMath>
      </m:oMathPara>
    </w:p>
    <w:p w14:paraId="32AFDED3" w14:textId="011AF2FE" w:rsidR="006F6375" w:rsidRPr="00E25E47" w:rsidRDefault="006F6375" w:rsidP="006F6375">
      <w:pPr>
        <w:pStyle w:val="StylePJMFormulaCentered"/>
        <w:jc w:val="left"/>
        <w:rPr>
          <w:rFonts w:ascii="Times New Roman" w:hAnsi="Times New Roman"/>
        </w:rPr>
      </w:pPr>
      <w:r w:rsidRPr="00E25E47">
        <w:rPr>
          <w:rFonts w:ascii="Times New Roman" w:hAnsi="Times New Roman"/>
        </w:rPr>
        <w:t>The unit’s Heat Input Curve Equation or actual measured fuel input data is used to determine the units heat input at its maximum output (100</w:t>
      </w:r>
      <w:r w:rsidR="002D0B21">
        <w:rPr>
          <w:rFonts w:ascii="Times New Roman" w:hAnsi="Times New Roman"/>
        </w:rPr>
        <w:t xml:space="preserve"> </w:t>
      </w:r>
      <w:r w:rsidRPr="00E25E47">
        <w:rPr>
          <w:rFonts w:ascii="Times New Roman" w:hAnsi="Times New Roman"/>
        </w:rPr>
        <w:t xml:space="preserve">MW). </w:t>
      </w:r>
    </w:p>
    <w:p w14:paraId="2004210B" w14:textId="77777777" w:rsidR="006F6375" w:rsidRPr="00E25E47" w:rsidRDefault="006F6375" w:rsidP="006F6375">
      <w:pPr>
        <w:pStyle w:val="StylePJMFormulaCentered"/>
        <w:jc w:val="left"/>
        <w:rPr>
          <w:rFonts w:ascii="Times New Roman" w:hAnsi="Times New Roman"/>
        </w:rPr>
      </w:pPr>
    </w:p>
    <w:p w14:paraId="5974550C" w14:textId="011A3AB3" w:rsidR="006F6375" w:rsidRPr="00E25E47" w:rsidRDefault="00025666" w:rsidP="006F6375">
      <w:pPr>
        <w:pStyle w:val="PJMNormal"/>
      </w:pPr>
      <m:oMathPara>
        <m:oMath>
          <m:r>
            <m:rPr>
              <m:sty m:val="p"/>
            </m:rPr>
            <w:rPr>
              <w:rFonts w:ascii="Cambria Math" w:hAnsi="Cambria Math"/>
            </w:rPr>
            <m:t>Heat Input (MMBtu/hour)=</m:t>
          </m:r>
        </m:oMath>
      </m:oMathPara>
    </w:p>
    <w:p w14:paraId="5EEF9416" w14:textId="77777777" w:rsidR="006F6375" w:rsidRPr="00E25E47" w:rsidRDefault="00007736" w:rsidP="006F6375">
      <w:pPr>
        <w:pStyle w:val="PJMNormal"/>
      </w:pPr>
      <m:oMathPara>
        <m:oMath>
          <m:r>
            <m:rPr>
              <m:sty m:val="p"/>
            </m:rPr>
            <w:rPr>
              <w:rFonts w:ascii="Cambria Math" w:hAnsi="Cambria Math"/>
            </w:rPr>
            <m:t xml:space="preserve">0.0498* </m:t>
          </m:r>
          <m:sSup>
            <m:sSupPr>
              <m:ctrlPr>
                <w:rPr>
                  <w:rFonts w:ascii="Cambria Math" w:hAnsi="Cambria Math"/>
                  <w:kern w:val="2"/>
                  <w14:ligatures w14:val="standardContextual"/>
                </w:rPr>
              </m:ctrlPr>
            </m:sSupPr>
            <m:e>
              <m:r>
                <w:rPr>
                  <w:rFonts w:ascii="Cambria Math" w:hAnsi="Cambria Math"/>
                </w:rPr>
                <m:t>100</m:t>
              </m:r>
            </m:e>
            <m:sup>
              <m:r>
                <m:rPr>
                  <m:sty m:val="p"/>
                </m:rPr>
                <w:rPr>
                  <w:rFonts w:ascii="Cambria Math" w:hAnsi="Cambria Math"/>
                </w:rPr>
                <m:t>2</m:t>
              </m:r>
            </m:sup>
          </m:sSup>
          <m:r>
            <m:rPr>
              <m:sty m:val="p"/>
            </m:rPr>
            <w:rPr>
              <w:rFonts w:ascii="Cambria Math" w:hAnsi="Cambria Math"/>
            </w:rPr>
            <m:t>+ 0.8122*100+578.23</m:t>
          </m:r>
        </m:oMath>
      </m:oMathPara>
    </w:p>
    <w:p w14:paraId="2810EAF5" w14:textId="77777777" w:rsidR="006F6375" w:rsidRPr="00E25E47" w:rsidRDefault="006F6375" w:rsidP="006F6375">
      <w:pPr>
        <w:pStyle w:val="PJMNormal"/>
      </w:pPr>
    </w:p>
    <w:p w14:paraId="2C12801D" w14:textId="52AB06A1" w:rsidR="006F6375" w:rsidRPr="00E25E47" w:rsidRDefault="00025666" w:rsidP="006F6375">
      <w:pPr>
        <w:pStyle w:val="StylePJMFormulaCentered"/>
        <w:rPr>
          <w:rFonts w:ascii="Times New Roman" w:hAnsi="Times New Roman"/>
        </w:rPr>
      </w:pPr>
      <m:oMathPara>
        <m:oMath>
          <m:r>
            <m:rPr>
              <m:sty m:val="p"/>
            </m:rPr>
            <m:t>=1157.45 MMBtu/hour</m:t>
          </m:r>
        </m:oMath>
      </m:oMathPara>
    </w:p>
    <w:p w14:paraId="5CC99A78"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Total Operating Cost at 100 MW is calculated by:</w:t>
      </w:r>
    </w:p>
    <w:p w14:paraId="3D37E7CD"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Maintenance Factor = 1.0 for Minimum &amp; Base   (=4.0 for Peak)</w:t>
      </w:r>
    </w:p>
    <w:p w14:paraId="24C48721"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VOM = $75.00/ESH</w:t>
      </w:r>
    </w:p>
    <w:p w14:paraId="2280C6CB" w14:textId="77777777" w:rsidR="006F6375" w:rsidRPr="00E25E47" w:rsidRDefault="006F6375" w:rsidP="006F6375">
      <w:pPr>
        <w:pStyle w:val="StylePJMFormulaCentered"/>
        <w:jc w:val="left"/>
        <w:rPr>
          <w:rFonts w:ascii="Times New Roman" w:hAnsi="Times New Roman"/>
        </w:rPr>
      </w:pPr>
    </w:p>
    <w:p w14:paraId="4157305D" w14:textId="7790987B" w:rsidR="006F6375" w:rsidRPr="00E25E47" w:rsidRDefault="00025666" w:rsidP="006F6375">
      <w:pPr>
        <w:pStyle w:val="StylePJMFormulaCentered"/>
        <w:jc w:val="left"/>
        <w:rPr>
          <w:rFonts w:ascii="Times New Roman" w:hAnsi="Times New Roman"/>
        </w:rPr>
      </w:pPr>
      <m:oMathPara>
        <m:oMath>
          <m:r>
            <m:rPr>
              <m:sty m:val="p"/>
            </m:rPr>
            <m:t>Total Operating Cost ($/hour)</m:t>
          </m:r>
        </m:oMath>
      </m:oMathPara>
    </w:p>
    <w:p w14:paraId="48E738BA" w14:textId="77777777" w:rsidR="006F6375" w:rsidRPr="00E25E47" w:rsidRDefault="00007736" w:rsidP="006F6375">
      <w:pPr>
        <w:pStyle w:val="StylePJMFormulaCentered"/>
        <w:jc w:val="left"/>
        <w:rPr>
          <w:rFonts w:ascii="Times New Roman" w:hAnsi="Times New Roman"/>
        </w:rPr>
      </w:pPr>
      <m:oMathPara>
        <m:oMath>
          <m:r>
            <m:t>=</m:t>
          </m:r>
          <m:r>
            <m:rPr>
              <m:sty m:val="p"/>
            </m:rPr>
            <m:t>Heat Input*Performance Factor*TFRC+Maintenance Factor* VOM</m:t>
          </m:r>
        </m:oMath>
      </m:oMathPara>
    </w:p>
    <w:p w14:paraId="69780259" w14:textId="3BF23B45" w:rsidR="006F6375" w:rsidRPr="00E25E47" w:rsidRDefault="00025666" w:rsidP="006F6375">
      <w:pPr>
        <w:pStyle w:val="StylePJMFormulaCentered"/>
        <w:jc w:val="left"/>
        <w:rPr>
          <w:rFonts w:ascii="Times New Roman" w:hAnsi="Times New Roman"/>
        </w:rPr>
      </w:pPr>
      <m:oMathPara>
        <m:oMath>
          <m:r>
            <m:t>=</m:t>
          </m:r>
          <m:r>
            <m:rPr>
              <m:sty m:val="p"/>
            </m:rPr>
            <m:t>1157.28 MMBtu/hour*1.02*$4.00/MMBtu+4.0*$75/hour</m:t>
          </m:r>
        </m:oMath>
      </m:oMathPara>
    </w:p>
    <w:p w14:paraId="3BFEF4D0" w14:textId="2E7567E5" w:rsidR="006F6375" w:rsidRPr="00E25E47" w:rsidRDefault="00025666" w:rsidP="006F6375">
      <w:pPr>
        <w:pStyle w:val="StylePJMFormulaCentered"/>
        <w:rPr>
          <w:rFonts w:ascii="Times New Roman" w:hAnsi="Times New Roman"/>
        </w:rPr>
      </w:pPr>
      <m:oMathPara>
        <m:oMath>
          <m:r>
            <m:rPr>
              <m:sty m:val="p"/>
            </m:rPr>
            <m:t>=$5,022/hour</m:t>
          </m:r>
        </m:oMath>
      </m:oMathPara>
    </w:p>
    <w:p w14:paraId="3F02994B" w14:textId="77777777" w:rsidR="006F6375" w:rsidRPr="00E25E47" w:rsidRDefault="006F6375" w:rsidP="006F6375">
      <w:pPr>
        <w:pStyle w:val="StylePJMFormulaCentered"/>
        <w:jc w:val="left"/>
        <w:rPr>
          <w:rFonts w:ascii="Times New Roman" w:hAnsi="Times New Roman"/>
        </w:rPr>
      </w:pPr>
      <w:r w:rsidRPr="00E25E47">
        <w:rPr>
          <w:rFonts w:ascii="Times New Roman" w:hAnsi="Times New Roman"/>
        </w:rPr>
        <w:t>The unit’s Incremental Cost ($/MWh) at maximum output with a zero No-Load Cost is calculated by:</w:t>
      </w:r>
    </w:p>
    <w:p w14:paraId="61BFA1E5" w14:textId="77777777" w:rsidR="006F6375" w:rsidRPr="00E25E47" w:rsidRDefault="00007736" w:rsidP="006F6375">
      <w:pPr>
        <w:pStyle w:val="StylePJMFormulaCentered"/>
        <w:rPr>
          <w:rFonts w:ascii="Times New Roman" w:hAnsi="Times New Roman"/>
        </w:rPr>
      </w:pPr>
      <m:oMathPara>
        <m:oMath>
          <m:r>
            <m:rPr>
              <m:sty m:val="p"/>
            </m:rPr>
            <m:t>Incremental Cost ($/MWh)=</m:t>
          </m:r>
        </m:oMath>
      </m:oMathPara>
    </w:p>
    <w:p w14:paraId="0FB2AB41" w14:textId="77777777" w:rsidR="006F6375" w:rsidRPr="00E25E47" w:rsidRDefault="00007736" w:rsidP="006F6375">
      <w:pPr>
        <w:pStyle w:val="StylePJMFormulaCentered"/>
        <w:rPr>
          <w:rFonts w:ascii="Times New Roman" w:hAnsi="Times New Roman"/>
        </w:rPr>
      </w:pPr>
      <m:oMathPara>
        <m:oMath>
          <m:r>
            <m:rPr>
              <m:sty m:val="p"/>
            </m:rPr>
            <m:t>Total Operating Cost Maximum Output/(Maximum Output)</m:t>
          </m:r>
        </m:oMath>
      </m:oMathPara>
    </w:p>
    <w:p w14:paraId="5460A704" w14:textId="77777777" w:rsidR="006F6375" w:rsidRPr="00E25E47" w:rsidRDefault="00007736" w:rsidP="006F6375">
      <w:pPr>
        <w:pStyle w:val="StylePJMFormulaCentered"/>
        <w:rPr>
          <w:rFonts w:ascii="Times New Roman" w:hAnsi="Times New Roman"/>
        </w:rPr>
      </w:pPr>
      <m:oMathPara>
        <m:oMath>
          <m:r>
            <m:rPr>
              <m:sty m:val="p"/>
            </m:rPr>
            <m:t>($5,022)/(100MW)</m:t>
          </m:r>
        </m:oMath>
      </m:oMathPara>
    </w:p>
    <w:p w14:paraId="1AF42C75" w14:textId="1395A5BF" w:rsidR="006F6375" w:rsidRPr="00E25E47" w:rsidRDefault="00025666" w:rsidP="006F6375">
      <w:pPr>
        <w:spacing w:after="0"/>
        <w:jc w:val="left"/>
        <w:rPr>
          <w:szCs w:val="24"/>
        </w:rPr>
      </w:pPr>
      <m:oMath>
        <m:r>
          <m:rPr>
            <m:sty m:val="p"/>
          </m:rPr>
          <w:rPr>
            <w:rFonts w:ascii="Cambria Math" w:hAnsi="Cambria Math"/>
          </w:rPr>
          <m:t>=$</m:t>
        </m:r>
        <m:r>
          <w:rPr>
            <w:rFonts w:ascii="Cambria Math" w:hAnsi="Cambria Math"/>
          </w:rPr>
          <m:t>50</m:t>
        </m:r>
        <m:r>
          <m:rPr>
            <m:sty m:val="p"/>
          </m:rPr>
          <w:rPr>
            <w:rFonts w:ascii="Cambria Math" w:hAnsi="Cambria Math"/>
          </w:rPr>
          <m:t>.</m:t>
        </m:r>
        <m:r>
          <w:rPr>
            <w:rFonts w:ascii="Cambria Math" w:hAnsi="Cambria Math"/>
          </w:rPr>
          <m:t>22</m:t>
        </m:r>
        <m:r>
          <m:rPr>
            <m:sty m:val="p"/>
          </m:rPr>
          <w:rPr>
            <w:rFonts w:ascii="Cambria Math" w:hAnsi="Cambria Math"/>
          </w:rPr>
          <m:t xml:space="preserve"> /</m:t>
        </m:r>
        <m:r>
          <w:rPr>
            <w:rFonts w:ascii="Cambria Math" w:hAnsi="Cambria Math"/>
          </w:rPr>
          <m:t>MWh</m:t>
        </m:r>
      </m:oMath>
      <w:r w:rsidR="006F6375" w:rsidRPr="008C5517">
        <w:rPr>
          <w:bCs/>
          <w:szCs w:val="24"/>
        </w:rPr>
        <w:t xml:space="preserve"> </w:t>
      </w:r>
    </w:p>
    <w:p w14:paraId="245A3C7A" w14:textId="77777777" w:rsidR="006F6375" w:rsidRPr="00E25E47" w:rsidRDefault="006F6375" w:rsidP="006F6375"/>
    <w:p w14:paraId="1D195E34" w14:textId="77777777" w:rsidR="000F4D4E" w:rsidRPr="000F4D4E" w:rsidRDefault="000F4D4E" w:rsidP="00E24D48"/>
    <w:sectPr w:rsidR="000F4D4E" w:rsidRPr="000F4D4E" w:rsidSect="000F0F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29747" w14:textId="77777777" w:rsidR="00BA195E" w:rsidRDefault="00BA195E">
      <w:r>
        <w:separator/>
      </w:r>
    </w:p>
  </w:endnote>
  <w:endnote w:type="continuationSeparator" w:id="0">
    <w:p w14:paraId="47562632" w14:textId="77777777" w:rsidR="00BA195E" w:rsidRDefault="00BA195E">
      <w:r>
        <w:continuationSeparator/>
      </w:r>
    </w:p>
  </w:endnote>
  <w:endnote w:type="continuationNotice" w:id="1">
    <w:p w14:paraId="6AB7829D" w14:textId="77777777" w:rsidR="00BA195E" w:rsidRDefault="00BA19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ahoma"/>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charset w:val="00"/>
    <w:family w:val="auto"/>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916B" w14:textId="7A1B8AF0" w:rsidR="00225164" w:rsidRPr="007678EA" w:rsidRDefault="00225164" w:rsidP="005A4A18">
    <w:pPr>
      <w:pStyle w:val="Footer"/>
      <w:tabs>
        <w:tab w:val="center" w:pos="4680"/>
      </w:tabs>
      <w:rPr>
        <w:i w:val="0"/>
        <w:sz w:val="16"/>
        <w:szCs w:val="16"/>
      </w:rPr>
    </w:pPr>
    <w:r>
      <w:rPr>
        <w:i w:val="0"/>
        <w:sz w:val="16"/>
        <w:szCs w:val="16"/>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1F82" w14:textId="77777777" w:rsidR="000E2EF3" w:rsidRDefault="000E2EF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123B" w14:textId="77777777" w:rsidR="000E2EF3" w:rsidRDefault="000E2EF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9419C" w14:textId="77777777" w:rsidR="000E2EF3" w:rsidRDefault="000E2EF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860E" w14:textId="77777777" w:rsidR="00C8264D" w:rsidRDefault="00C8264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99C73" w14:textId="77777777" w:rsidR="00C8264D" w:rsidRDefault="00C826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1493" w14:textId="77777777" w:rsidR="00C8264D" w:rsidRDefault="00C826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6E7F" w14:textId="77777777" w:rsidR="00C8264D" w:rsidRDefault="00C8264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67F0" w14:textId="77777777" w:rsidR="00DA3CE7" w:rsidRDefault="00DA3CE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2CEAF" w14:textId="77777777" w:rsidR="00DA3CE7" w:rsidRDefault="00DA3CE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9AAD" w14:textId="216B95D4" w:rsidR="00736EDE" w:rsidRDefault="00736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FDC8D" w14:textId="6E8C8F06" w:rsidR="00225164" w:rsidRDefault="0022516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A413" w14:textId="7CB40688" w:rsidR="00736EDE" w:rsidRDefault="00736ED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044F" w14:textId="247A2396" w:rsidR="00470CA0" w:rsidRDefault="00470CA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25D9" w14:textId="4A7FD0CD" w:rsidR="00470CA0" w:rsidRDefault="00470CA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9EDD" w14:textId="77777777" w:rsidR="00A734BE" w:rsidRDefault="00A734B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9908"/>
      <w:docPartObj>
        <w:docPartGallery w:val="Page Numbers (Bottom of Page)"/>
        <w:docPartUnique/>
      </w:docPartObj>
    </w:sdtPr>
    <w:sdtEndPr>
      <w:rPr>
        <w:noProof/>
      </w:rPr>
    </w:sdtEndPr>
    <w:sdtContent>
      <w:p w14:paraId="296761E0" w14:textId="77777777" w:rsidR="00A734BE" w:rsidRDefault="00A73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2A0CB" w14:textId="77777777" w:rsidR="00A734BE" w:rsidRDefault="00A734B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47F4" w14:textId="77777777" w:rsidR="00A734BE" w:rsidRDefault="00A73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2908" w14:textId="0B2A06F6" w:rsidR="00225164" w:rsidRPr="007678EA" w:rsidRDefault="00225164" w:rsidP="005A4A18">
    <w:pPr>
      <w:pStyle w:val="Footer"/>
      <w:tabs>
        <w:tab w:val="center" w:pos="4680"/>
      </w:tabs>
      <w:rPr>
        <w:i w:val="0"/>
        <w:sz w:val="16"/>
        <w:szCs w:val="16"/>
      </w:rPr>
    </w:pPr>
    <w:r>
      <w:rPr>
        <w:i w:val="0"/>
        <w:sz w:val="16"/>
        <w:szCs w:val="16"/>
      </w:rPr>
      <w:t>Version 1.0</w:t>
    </w:r>
    <w:r>
      <w:rPr>
        <w:i w:val="0"/>
        <w:sz w:val="16"/>
        <w:szCs w:val="16"/>
      </w:rPr>
      <w:tab/>
      <w:t>1/1/2025</w:t>
    </w:r>
    <w:r w:rsidRPr="003F136A">
      <w:rPr>
        <w:i w:val="0"/>
        <w:sz w:val="16"/>
        <w:szCs w:val="16"/>
      </w:rPr>
      <w:ptab w:relativeTo="margin" w:alignment="right" w:leader="none"/>
    </w:r>
    <w:r w:rsidRPr="003F136A">
      <w:rPr>
        <w:i w:val="0"/>
        <w:sz w:val="16"/>
        <w:szCs w:val="16"/>
      </w:rPr>
      <w:fldChar w:fldCharType="begin"/>
    </w:r>
    <w:r w:rsidRPr="003F136A">
      <w:rPr>
        <w:i w:val="0"/>
        <w:sz w:val="16"/>
        <w:szCs w:val="16"/>
      </w:rPr>
      <w:instrText xml:space="preserve"> PAGE   \* MERGEFORMAT </w:instrText>
    </w:r>
    <w:r w:rsidRPr="003F136A">
      <w:rPr>
        <w:i w:val="0"/>
        <w:sz w:val="16"/>
        <w:szCs w:val="16"/>
      </w:rPr>
      <w:fldChar w:fldCharType="separate"/>
    </w:r>
    <w:r w:rsidR="00325AD7">
      <w:rPr>
        <w:i w:val="0"/>
        <w:noProof/>
        <w:sz w:val="16"/>
        <w:szCs w:val="16"/>
      </w:rPr>
      <w:t>26</w:t>
    </w:r>
    <w:r w:rsidRPr="003F136A">
      <w:rPr>
        <w:i w:val="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67F6" w14:textId="375FBAC3" w:rsidR="00225164" w:rsidRDefault="002251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3B79" w14:textId="77777777" w:rsidR="003A3051" w:rsidRDefault="003A3051">
    <w:pPr>
      <w:pStyle w:val="Normal3"/>
      <w:jc w:val="right"/>
    </w:pPr>
    <w:r>
      <w:rPr>
        <w:rFonts w:ascii="Arial" w:eastAsia="Arial" w:hAnsi="Arial" w:cs="Arial"/>
        <w:color w:val="000000"/>
        <w:sz w:val="16"/>
      </w:rPr>
      <w:t xml:space="preserve">Effective Date: 6/1/2022 - Docket #: ER22-1012-000 -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p w14:paraId="00F15A9E" w14:textId="77777777" w:rsidR="003A3051" w:rsidRDefault="003A305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FE72" w14:textId="77777777" w:rsidR="003A3051" w:rsidRDefault="003A3051">
    <w:pPr>
      <w:pStyle w:val="Normal3"/>
      <w:jc w:val="right"/>
    </w:pPr>
    <w:r>
      <w:rPr>
        <w:rFonts w:ascii="Arial" w:eastAsia="Arial" w:hAnsi="Arial" w:cs="Arial"/>
        <w:color w:val="000000"/>
        <w:sz w:val="16"/>
      </w:rPr>
      <w:t xml:space="preserve">Effective Date: 6/1/2022 - Docket #: ER22-1012-000 -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p w14:paraId="2D852E23" w14:textId="77777777" w:rsidR="003A3051" w:rsidRDefault="003A305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3E81" w14:textId="77777777" w:rsidR="003A3051" w:rsidRDefault="003A3051">
    <w:pPr>
      <w:pStyle w:val="Normal17"/>
      <w:jc w:val="right"/>
    </w:pPr>
    <w:r>
      <w:rPr>
        <w:rFonts w:ascii="Arial" w:eastAsia="Arial" w:hAnsi="Arial" w:cs="Arial"/>
        <w:color w:val="000000"/>
        <w:sz w:val="16"/>
      </w:rPr>
      <w:t xml:space="preserve">Effective Date: 2/1/2021 -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6603" w14:textId="77777777" w:rsidR="003A3051" w:rsidRPr="007678EA" w:rsidRDefault="003A3051">
    <w:pPr>
      <w:pStyle w:val="Footer"/>
      <w:tabs>
        <w:tab w:val="center" w:pos="4680"/>
      </w:tabs>
      <w:rPr>
        <w:i w:val="0"/>
        <w:sz w:val="16"/>
        <w:szCs w:val="16"/>
      </w:rPr>
    </w:pPr>
    <w:r>
      <w:rPr>
        <w:i w:val="0"/>
        <w:sz w:val="16"/>
        <w:szCs w:val="16"/>
      </w:rPr>
      <w:t>Version 1.0</w:t>
    </w:r>
    <w:r>
      <w:rPr>
        <w:i w:val="0"/>
        <w:sz w:val="16"/>
        <w:szCs w:val="16"/>
      </w:rPr>
      <w:tab/>
      <w:t>1/1/2025</w:t>
    </w:r>
    <w:r w:rsidRPr="003F136A">
      <w:rPr>
        <w:i w:val="0"/>
        <w:sz w:val="16"/>
        <w:szCs w:val="16"/>
      </w:rPr>
      <w:ptab w:relativeTo="margin" w:alignment="right" w:leader="none"/>
    </w:r>
    <w:r w:rsidRPr="003F136A">
      <w:rPr>
        <w:i w:val="0"/>
        <w:sz w:val="16"/>
        <w:szCs w:val="16"/>
      </w:rPr>
      <w:fldChar w:fldCharType="begin"/>
    </w:r>
    <w:r w:rsidRPr="003F136A">
      <w:rPr>
        <w:i w:val="0"/>
        <w:sz w:val="16"/>
        <w:szCs w:val="16"/>
      </w:rPr>
      <w:instrText xml:space="preserve"> PAGE   \* MERGEFORMAT </w:instrText>
    </w:r>
    <w:r w:rsidRPr="003F136A">
      <w:rPr>
        <w:i w:val="0"/>
        <w:sz w:val="16"/>
        <w:szCs w:val="16"/>
      </w:rPr>
      <w:fldChar w:fldCharType="separate"/>
    </w:r>
    <w:r>
      <w:rPr>
        <w:i w:val="0"/>
        <w:noProof/>
        <w:sz w:val="16"/>
        <w:szCs w:val="16"/>
      </w:rPr>
      <w:t>41</w:t>
    </w:r>
    <w:r w:rsidRPr="003F136A">
      <w:rPr>
        <w:i w:val="0"/>
        <w:sz w:val="16"/>
        <w:szCs w:val="16"/>
      </w:rPr>
      <w:fldChar w:fldCharType="end"/>
    </w:r>
  </w:p>
  <w:p w14:paraId="33D1468D" w14:textId="77777777" w:rsidR="003A3051" w:rsidRPr="007F0A2A" w:rsidRDefault="003A30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853A" w14:textId="5DCDC497" w:rsidR="003A3051" w:rsidRDefault="003A3051">
    <w:pPr>
      <w:pStyle w:val="Normal17"/>
      <w:jc w:val="right"/>
    </w:pPr>
    <w:r>
      <w:rPr>
        <w:rFonts w:ascii="Arial" w:eastAsia="Arial" w:hAnsi="Arial" w:cs="Arial"/>
        <w:color w:val="000000"/>
        <w:sz w:val="16"/>
      </w:rPr>
      <w:t xml:space="preserve">Effective Date: 2/1/2021 -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EBA1C" w14:textId="77777777" w:rsidR="00BA195E" w:rsidRDefault="00BA195E">
      <w:r>
        <w:separator/>
      </w:r>
    </w:p>
  </w:footnote>
  <w:footnote w:type="continuationSeparator" w:id="0">
    <w:p w14:paraId="79DA3ADA" w14:textId="77777777" w:rsidR="00BA195E" w:rsidRDefault="00BA195E">
      <w:r>
        <w:continuationSeparator/>
      </w:r>
    </w:p>
  </w:footnote>
  <w:footnote w:type="continuationNotice" w:id="1">
    <w:p w14:paraId="4FF43299" w14:textId="77777777" w:rsidR="00BA195E" w:rsidRDefault="00BA195E">
      <w:pPr>
        <w:spacing w:after="0"/>
      </w:pPr>
    </w:p>
  </w:footnote>
  <w:footnote w:id="2">
    <w:p w14:paraId="0733B970" w14:textId="1D843690" w:rsidR="00C70F99" w:rsidRDefault="00C70F99" w:rsidP="00C70F99">
      <w:pPr>
        <w:pStyle w:val="FootnoteText"/>
      </w:pPr>
      <w:r>
        <w:rPr>
          <w:rStyle w:val="FootnoteReference"/>
        </w:rPr>
        <w:footnoteRef/>
      </w:r>
      <w:r>
        <w:t xml:space="preserve"> </w:t>
      </w:r>
      <w:r w:rsidRPr="001F6CA6">
        <w:rPr>
          <w:sz w:val="24"/>
          <w:szCs w:val="24"/>
        </w:rPr>
        <w:t xml:space="preserve">Not applicable to ESRs </w:t>
      </w:r>
      <w:r w:rsidR="00F4022F">
        <w:rPr>
          <w:sz w:val="24"/>
          <w:szCs w:val="24"/>
        </w:rPr>
        <w:t>or HSMRs</w:t>
      </w:r>
      <w:r w:rsidRPr="001F6CA6">
        <w:rPr>
          <w:sz w:val="24"/>
          <w:szCs w:val="24"/>
        </w:rPr>
        <w:t xml:space="preserve"> registered as an MSR under </w:t>
      </w:r>
      <w:r w:rsidRPr="00583731">
        <w:rPr>
          <w:sz w:val="24"/>
          <w:szCs w:val="24"/>
        </w:rPr>
        <w:t xml:space="preserve">Section </w:t>
      </w:r>
      <w:r w:rsidR="004548E3">
        <w:rPr>
          <w:sz w:val="24"/>
          <w:szCs w:val="24"/>
        </w:rPr>
        <w:fldChar w:fldCharType="begin"/>
      </w:r>
      <w:r w:rsidR="004548E3">
        <w:rPr>
          <w:sz w:val="24"/>
          <w:szCs w:val="24"/>
        </w:rPr>
        <w:instrText xml:space="preserve"> REF _Ref73010983 \r \h </w:instrText>
      </w:r>
      <w:r w:rsidR="004548E3">
        <w:rPr>
          <w:sz w:val="24"/>
          <w:szCs w:val="24"/>
        </w:rPr>
      </w:r>
      <w:r w:rsidR="004548E3">
        <w:rPr>
          <w:sz w:val="24"/>
          <w:szCs w:val="24"/>
        </w:rPr>
        <w:fldChar w:fldCharType="separate"/>
      </w:r>
      <w:r w:rsidR="004548E3">
        <w:rPr>
          <w:sz w:val="24"/>
          <w:szCs w:val="24"/>
        </w:rPr>
        <w:t>9.1.12</w:t>
      </w:r>
      <w:r w:rsidR="004548E3">
        <w:rPr>
          <w:sz w:val="24"/>
          <w:szCs w:val="24"/>
        </w:rPr>
        <w:fldChar w:fldCharType="end"/>
      </w:r>
      <w:r w:rsidR="00DC03A0">
        <w:rPr>
          <w:sz w:val="24"/>
          <w:szCs w:val="24"/>
        </w:rPr>
        <w:t>.</w:t>
      </w:r>
    </w:p>
  </w:footnote>
  <w:footnote w:id="3">
    <w:p w14:paraId="2A57A21C" w14:textId="77777777" w:rsidR="00E52BD9" w:rsidRPr="005301C0" w:rsidRDefault="00E52BD9" w:rsidP="00E52BD9">
      <w:pPr>
        <w:pStyle w:val="FootnoteText"/>
      </w:pPr>
      <w:r w:rsidRPr="005301C0">
        <w:rPr>
          <w:rStyle w:val="FootnoteReference"/>
        </w:rPr>
        <w:footnoteRef/>
      </w:r>
      <w:r w:rsidRPr="005301C0">
        <w:t xml:space="preserve"> If the sum of the weighting factors is not equal to 1.0, the weighting factors will be scaled so that the sum is 1.0</w:t>
      </w:r>
    </w:p>
  </w:footnote>
  <w:footnote w:id="4">
    <w:p w14:paraId="7EF2C6B0" w14:textId="77777777" w:rsidR="00E52BD9" w:rsidRDefault="00E52BD9" w:rsidP="00E52BD9">
      <w:pPr>
        <w:pStyle w:val="FootnoteText"/>
      </w:pPr>
      <w:r>
        <w:rPr>
          <w:rStyle w:val="FootnoteReference"/>
        </w:rPr>
        <w:footnoteRef/>
      </w:r>
      <w:r>
        <w:t xml:space="preserve"> </w:t>
      </w:r>
      <w:r w:rsidRPr="005301C0">
        <w:t>If the sum of the weighting factors is not equal to 1.0, the weighting factors will be scaled so that the sum is 1.0</w:t>
      </w:r>
    </w:p>
  </w:footnote>
  <w:footnote w:id="5">
    <w:p w14:paraId="0CE2B639" w14:textId="22D99BDB" w:rsidR="00C54281" w:rsidRDefault="00C54281" w:rsidP="00C54281">
      <w:pPr>
        <w:pStyle w:val="FootnoteText"/>
        <w:rPr>
          <w:rFonts w:eastAsiaTheme="minorHAnsi"/>
        </w:rPr>
      </w:pPr>
      <w:r>
        <w:rPr>
          <w:rStyle w:val="FootnoteReference"/>
        </w:rPr>
        <w:footnoteRef/>
      </w:r>
      <w:r>
        <w:t xml:space="preserve"> See Section 2.</w:t>
      </w:r>
      <w:r w:rsidR="00FE063F">
        <w:t>7</w:t>
      </w:r>
      <w:r>
        <w:t xml:space="preserve"> </w:t>
      </w:r>
    </w:p>
  </w:footnote>
  <w:footnote w:id="6">
    <w:p w14:paraId="70754D7F" w14:textId="7C10C66E" w:rsidR="00C54281" w:rsidRDefault="00C54281" w:rsidP="00C54281">
      <w:pPr>
        <w:pStyle w:val="FootnoteText"/>
        <w:rPr>
          <w:szCs w:val="22"/>
        </w:rPr>
      </w:pPr>
      <w:r>
        <w:rPr>
          <w:rStyle w:val="FootnoteReference"/>
        </w:rPr>
        <w:footnoteRef/>
      </w:r>
      <w:r>
        <w:t xml:space="preserve"> See Section D.2.</w:t>
      </w:r>
      <w:r w:rsidR="00B642F9">
        <w:t>5</w:t>
      </w:r>
    </w:p>
  </w:footnote>
  <w:footnote w:id="7">
    <w:p w14:paraId="5F2AE218" w14:textId="113CECEA" w:rsidR="00C54281" w:rsidRDefault="00C54281" w:rsidP="00C54281">
      <w:pPr>
        <w:pStyle w:val="FootnoteText"/>
        <w:rPr>
          <w:rFonts w:asciiTheme="minorHAnsi" w:hAnsiTheme="minorHAnsi" w:cstheme="minorBidi"/>
        </w:rPr>
      </w:pPr>
      <w:r>
        <w:rPr>
          <w:rStyle w:val="FootnoteReference"/>
        </w:rPr>
        <w:footnoteRef/>
      </w:r>
      <w:r>
        <w:t xml:space="preserve"> See Section D.2.9</w:t>
      </w:r>
    </w:p>
  </w:footnote>
  <w:footnote w:id="8">
    <w:p w14:paraId="0B308E5C" w14:textId="69598401" w:rsidR="00C54281" w:rsidRDefault="00C54281" w:rsidP="00C54281">
      <w:pPr>
        <w:pStyle w:val="FootnoteText"/>
      </w:pPr>
      <w:r>
        <w:rPr>
          <w:rStyle w:val="FootnoteReference"/>
        </w:rPr>
        <w:footnoteRef/>
      </w:r>
      <w:r>
        <w:t xml:space="preserve"> See Section D 2.</w:t>
      </w:r>
      <w:r w:rsidR="00112F36">
        <w:t>9</w:t>
      </w:r>
    </w:p>
  </w:footnote>
  <w:footnote w:id="9">
    <w:p w14:paraId="60D21884" w14:textId="77777777" w:rsidR="00C54281" w:rsidRDefault="00C54281" w:rsidP="00C54281">
      <w:pPr>
        <w:pStyle w:val="FootnoteText"/>
      </w:pPr>
      <w:r>
        <w:rPr>
          <w:rStyle w:val="FootnoteReference"/>
        </w:rPr>
        <w:footnoteRef/>
      </w:r>
      <w:r>
        <w:t xml:space="preserve"> See Section D 2.8</w:t>
      </w:r>
    </w:p>
  </w:footnote>
  <w:footnote w:id="10">
    <w:p w14:paraId="77036986" w14:textId="2A2A00A4" w:rsidR="00C54281" w:rsidRDefault="00C54281" w:rsidP="00C54281">
      <w:pPr>
        <w:pStyle w:val="FootnoteText"/>
        <w:rPr>
          <w:rFonts w:asciiTheme="minorHAnsi" w:hAnsiTheme="minorHAnsi" w:cstheme="minorBidi"/>
        </w:rPr>
      </w:pPr>
      <w:r>
        <w:rPr>
          <w:rStyle w:val="FootnoteReference"/>
        </w:rPr>
        <w:footnoteRef/>
      </w:r>
      <w:r>
        <w:t xml:space="preserve"> See Section D.</w:t>
      </w:r>
      <w:r w:rsidR="00112F36">
        <w:t>4</w:t>
      </w:r>
      <w:r>
        <w:t>.5</w:t>
      </w:r>
    </w:p>
  </w:footnote>
  <w:footnote w:id="11">
    <w:p w14:paraId="61EF572C" w14:textId="1D50D14E" w:rsidR="00B20CD3" w:rsidRDefault="00B20CD3">
      <w:pPr>
        <w:pStyle w:val="FootnoteText"/>
      </w:pPr>
      <w:r>
        <w:rPr>
          <w:rStyle w:val="FootnoteReference"/>
        </w:rPr>
        <w:footnoteRef/>
      </w:r>
      <w:r>
        <w:t xml:space="preserve"> </w:t>
      </w:r>
      <w:r w:rsidRPr="00B20CD3">
        <w:t>The term "ESR" refers to the physical asset, and "MSR" refers to the market registration type</w:t>
      </w:r>
      <w:r>
        <w:t>.</w:t>
      </w:r>
    </w:p>
  </w:footnote>
  <w:footnote w:id="12">
    <w:p w14:paraId="5D909D80" w14:textId="28676B19" w:rsidR="00395484" w:rsidRDefault="00395484" w:rsidP="00395484">
      <w:pPr>
        <w:pStyle w:val="FootnoteText"/>
      </w:pPr>
      <w:r>
        <w:rPr>
          <w:rStyle w:val="FootnoteReference"/>
        </w:rPr>
        <w:footnoteRef/>
      </w:r>
      <w:r>
        <w:t xml:space="preserve"> This calculation is the weighted average </w:t>
      </w:r>
      <m:oMath>
        <m:f>
          <m:fPr>
            <m:ctrlPr>
              <w:rPr>
                <w:rFonts w:ascii="Cambria Math" w:hAnsi="Cambria Math"/>
                <w:i/>
                <w:kern w:val="2"/>
                <w:sz w:val="22"/>
                <w:szCs w:val="22"/>
                <w14:ligatures w14:val="standardContextual"/>
              </w:rPr>
            </m:ctrlPr>
          </m:fPr>
          <m:num>
            <m:nary>
              <m:naryPr>
                <m:chr m:val="∑"/>
                <m:limLoc m:val="undOvr"/>
                <m:subHide m:val="1"/>
                <m:supHide m:val="1"/>
                <m:ctrlPr>
                  <w:rPr>
                    <w:rFonts w:ascii="Cambria Math" w:hAnsi="Cambria Math"/>
                    <w:i/>
                    <w:kern w:val="2"/>
                    <w:sz w:val="22"/>
                    <w:szCs w:val="22"/>
                    <w14:ligatures w14:val="standardContextual"/>
                  </w:rPr>
                </m:ctrlPr>
              </m:naryPr>
              <m:sub/>
              <m:sup/>
              <m:e>
                <m:sSub>
                  <m:sSubPr>
                    <m:ctrlPr>
                      <w:rPr>
                        <w:rFonts w:ascii="Cambria Math" w:hAnsi="Cambria Math"/>
                        <w:i/>
                        <w:kern w:val="2"/>
                        <w:sz w:val="22"/>
                        <w:szCs w:val="22"/>
                        <w14:ligatures w14:val="standardContextual"/>
                      </w:rPr>
                    </m:ctrlPr>
                  </m:sSubPr>
                  <m:e>
                    <m:r>
                      <w:rPr>
                        <w:rFonts w:ascii="Cambria Math" w:hAnsi="Cambria Math"/>
                      </w:rPr>
                      <m:t>P</m:t>
                    </m:r>
                  </m:e>
                  <m:sub>
                    <m:r>
                      <w:rPr>
                        <w:rFonts w:ascii="Cambria Math" w:hAnsi="Cambria Math"/>
                      </w:rPr>
                      <m:t>n</m:t>
                    </m:r>
                  </m:sub>
                </m:sSub>
                <m:sSub>
                  <m:sSubPr>
                    <m:ctrlPr>
                      <w:rPr>
                        <w:rFonts w:ascii="Cambria Math" w:hAnsi="Cambria Math"/>
                        <w:i/>
                        <w:kern w:val="2"/>
                        <w:sz w:val="22"/>
                        <w:szCs w:val="22"/>
                        <w14:ligatures w14:val="standardContextual"/>
                      </w:rPr>
                    </m:ctrlPr>
                  </m:sSubPr>
                  <m:e>
                    <m:r>
                      <w:rPr>
                        <w:rFonts w:ascii="Cambria Math" w:hAnsi="Cambria Math"/>
                      </w:rPr>
                      <m:t>DF</m:t>
                    </m:r>
                  </m:e>
                  <m:sub>
                    <m:r>
                      <w:rPr>
                        <w:rFonts w:ascii="Cambria Math" w:hAnsi="Cambria Math"/>
                      </w:rPr>
                      <m:t>n</m:t>
                    </m:r>
                  </m:sub>
                </m:sSub>
              </m:e>
            </m:nary>
          </m:num>
          <m:den>
            <m:nary>
              <m:naryPr>
                <m:chr m:val="∑"/>
                <m:limLoc m:val="undOvr"/>
                <m:subHide m:val="1"/>
                <m:supHide m:val="1"/>
                <m:ctrlPr>
                  <w:rPr>
                    <w:rFonts w:ascii="Cambria Math" w:hAnsi="Cambria Math"/>
                    <w:i/>
                    <w:kern w:val="2"/>
                    <w:sz w:val="22"/>
                    <w:szCs w:val="22"/>
                    <w14:ligatures w14:val="standardContextual"/>
                  </w:rPr>
                </m:ctrlPr>
              </m:naryPr>
              <m:sub/>
              <m:sup/>
              <m:e>
                <m:sSub>
                  <m:sSubPr>
                    <m:ctrlPr>
                      <w:rPr>
                        <w:rFonts w:ascii="Cambria Math" w:hAnsi="Cambria Math"/>
                        <w:i/>
                        <w:kern w:val="2"/>
                        <w:sz w:val="22"/>
                        <w:szCs w:val="22"/>
                        <w14:ligatures w14:val="standardContextual"/>
                      </w:rPr>
                    </m:ctrlPr>
                  </m:sSubPr>
                  <m:e>
                    <m:r>
                      <w:rPr>
                        <w:rFonts w:ascii="Cambria Math" w:hAnsi="Cambria Math"/>
                      </w:rPr>
                      <m:t>DF</m:t>
                    </m:r>
                  </m:e>
                  <m:sub>
                    <m:r>
                      <w:rPr>
                        <w:rFonts w:ascii="Cambria Math" w:hAnsi="Cambria Math"/>
                      </w:rPr>
                      <m:t>n</m:t>
                    </m:r>
                  </m:sub>
                </m:sSub>
              </m:e>
            </m:nary>
          </m:den>
        </m:f>
      </m:oMath>
      <w:r>
        <w:t xml:space="preserve">.  When the sum of the </w:t>
      </w:r>
      <w:r w:rsidR="008E5A60">
        <w:t>Resource Aggregation Incremental Distribution Factors</w:t>
      </w:r>
      <w:r w:rsidR="008E5A60" w:rsidDel="008E5A60">
        <w:t xml:space="preserve"> </w:t>
      </w:r>
      <w:r>
        <w:t>equals 1, this calculation is a weighted sum.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A244" w14:textId="77777777" w:rsidR="00225164" w:rsidRDefault="00225164" w:rsidP="001E1D3B">
    <w:pPr>
      <w:pStyle w:val="Header"/>
      <w:pBdr>
        <w:bottom w:val="single" w:sz="12" w:space="2" w:color="auto"/>
      </w:pBdr>
      <w:tabs>
        <w:tab w:val="clear" w:pos="8640"/>
        <w:tab w:val="right" w:pos="9360"/>
      </w:tabs>
      <w:spacing w:after="0"/>
      <w:jc w:val="right"/>
      <w:rPr>
        <w:b w:val="0"/>
        <w:bCs/>
        <w:sz w:val="16"/>
      </w:rPr>
    </w:pPr>
    <w:r>
      <w:rPr>
        <w:b w:val="0"/>
        <w:bCs/>
        <w:noProof/>
        <w:sz w:val="16"/>
      </w:rPr>
      <w:drawing>
        <wp:anchor distT="0" distB="0" distL="114300" distR="114300" simplePos="0" relativeHeight="251658240" behindDoc="0" locked="0" layoutInCell="1" allowOverlap="1" wp14:anchorId="4DFDE07C" wp14:editId="1F99C1C7">
          <wp:simplePos x="0" y="0"/>
          <wp:positionH relativeFrom="column">
            <wp:posOffset>4076700</wp:posOffset>
          </wp:positionH>
          <wp:positionV relativeFrom="paragraph">
            <wp:posOffset>-133350</wp:posOffset>
          </wp:positionV>
          <wp:extent cx="1865376" cy="640080"/>
          <wp:effectExtent l="0" t="0" r="1905" b="7620"/>
          <wp:wrapNone/>
          <wp:docPr id="1669637569" name="Picture 166963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_Logo Web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376" cy="640080"/>
                  </a:xfrm>
                  <a:prstGeom prst="rect">
                    <a:avLst/>
                  </a:prstGeom>
                </pic:spPr>
              </pic:pic>
            </a:graphicData>
          </a:graphic>
          <wp14:sizeRelH relativeFrom="margin">
            <wp14:pctWidth>0</wp14:pctWidth>
          </wp14:sizeRelH>
          <wp14:sizeRelV relativeFrom="margin">
            <wp14:pctHeight>0</wp14:pctHeight>
          </wp14:sizeRelV>
        </wp:anchor>
      </w:drawing>
    </w:r>
  </w:p>
  <w:p w14:paraId="186AF57B" w14:textId="77777777" w:rsidR="00225164" w:rsidRDefault="00225164" w:rsidP="001E1D3B">
    <w:pPr>
      <w:pStyle w:val="Header"/>
      <w:pBdr>
        <w:bottom w:val="single" w:sz="12" w:space="2" w:color="auto"/>
      </w:pBdr>
      <w:tabs>
        <w:tab w:val="clear" w:pos="8640"/>
        <w:tab w:val="right" w:pos="9360"/>
      </w:tabs>
      <w:spacing w:after="0"/>
      <w:jc w:val="right"/>
      <w:rPr>
        <w:b w:val="0"/>
        <w:bCs/>
        <w:sz w:val="16"/>
      </w:rPr>
    </w:pPr>
  </w:p>
  <w:p w14:paraId="5A581D04" w14:textId="77777777" w:rsidR="00225164" w:rsidRDefault="00225164" w:rsidP="001E1D3B">
    <w:pPr>
      <w:pStyle w:val="Header"/>
      <w:pBdr>
        <w:bottom w:val="single" w:sz="12" w:space="2" w:color="auto"/>
      </w:pBdr>
      <w:tabs>
        <w:tab w:val="clear" w:pos="8640"/>
        <w:tab w:val="right" w:pos="9360"/>
      </w:tabs>
      <w:spacing w:after="0"/>
      <w:jc w:val="right"/>
      <w:rPr>
        <w:b w:val="0"/>
        <w:bCs/>
        <w:sz w:val="16"/>
      </w:rPr>
    </w:pPr>
  </w:p>
  <w:p w14:paraId="015DF82D" w14:textId="0EF6D575" w:rsidR="00225164" w:rsidRPr="00976F08" w:rsidRDefault="00225164" w:rsidP="003E56B0">
    <w:pPr>
      <w:pStyle w:val="Header"/>
      <w:pBdr>
        <w:bottom w:val="single" w:sz="12" w:space="2" w:color="auto"/>
      </w:pBdr>
      <w:tabs>
        <w:tab w:val="clear" w:pos="8640"/>
        <w:tab w:val="right" w:pos="9360"/>
      </w:tabs>
      <w:spacing w:after="0"/>
      <w:jc w:val="left"/>
      <w:rPr>
        <w:rFonts w:cs="Arial"/>
        <w:b w:val="0"/>
        <w:bCs/>
        <w:i/>
        <w:sz w:val="20"/>
      </w:rPr>
    </w:pPr>
    <w:r>
      <w:rPr>
        <w:b w:val="0"/>
        <w:bCs/>
        <w:i/>
        <w:sz w:val="20"/>
      </w:rPr>
      <w:t>Market Protocols for SPP Markets+</w:t>
    </w:r>
    <w:r w:rsidRPr="00976F08">
      <w:rPr>
        <w:b w:val="0"/>
        <w:bCs/>
        <w:i/>
        <w:sz w:val="20"/>
      </w:rPr>
      <w:tab/>
    </w:r>
    <w:r w:rsidRPr="00976F08">
      <w:rPr>
        <w:rFonts w:cs="Arial"/>
        <w:b w:val="0"/>
        <w:bCs/>
        <w:i/>
        <w:sz w:val="20"/>
      </w:rPr>
      <w:tab/>
    </w:r>
  </w:p>
  <w:p w14:paraId="0D068209" w14:textId="77777777" w:rsidR="00225164" w:rsidRDefault="002251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2E3B"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r>
      <w:rPr>
        <w:b w:val="0"/>
        <w:bCs/>
        <w:noProof/>
        <w:color w:val="2B579A"/>
        <w:sz w:val="16"/>
        <w:shd w:val="clear" w:color="auto" w:fill="E6E6E6"/>
      </w:rPr>
      <w:drawing>
        <wp:anchor distT="0" distB="0" distL="114300" distR="114300" simplePos="0" relativeHeight="251658242" behindDoc="0" locked="0" layoutInCell="1" allowOverlap="1" wp14:anchorId="62E9DC88" wp14:editId="40BE3ACD">
          <wp:simplePos x="0" y="0"/>
          <wp:positionH relativeFrom="column">
            <wp:posOffset>4114800</wp:posOffset>
          </wp:positionH>
          <wp:positionV relativeFrom="paragraph">
            <wp:posOffset>-152400</wp:posOffset>
          </wp:positionV>
          <wp:extent cx="1865376" cy="640080"/>
          <wp:effectExtent l="0" t="0" r="1905" b="7620"/>
          <wp:wrapNone/>
          <wp:docPr id="1914217748" name="Picture 19142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_Logo Web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376" cy="640080"/>
                  </a:xfrm>
                  <a:prstGeom prst="rect">
                    <a:avLst/>
                  </a:prstGeom>
                </pic:spPr>
              </pic:pic>
            </a:graphicData>
          </a:graphic>
          <wp14:sizeRelH relativeFrom="margin">
            <wp14:pctWidth>0</wp14:pctWidth>
          </wp14:sizeRelH>
        </wp:anchor>
      </w:drawing>
    </w:r>
  </w:p>
  <w:p w14:paraId="02497A3C"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p>
  <w:p w14:paraId="57E2F962"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p>
  <w:p w14:paraId="3985F72D" w14:textId="77777777" w:rsidR="00C8264D" w:rsidRPr="00976F08" w:rsidRDefault="00C8264D" w:rsidP="00D14054">
    <w:pPr>
      <w:pStyle w:val="Header"/>
      <w:pBdr>
        <w:bottom w:val="single" w:sz="12" w:space="2" w:color="auto"/>
      </w:pBdr>
      <w:tabs>
        <w:tab w:val="clear" w:pos="8640"/>
        <w:tab w:val="right" w:pos="9360"/>
      </w:tabs>
      <w:spacing w:after="0"/>
      <w:jc w:val="left"/>
      <w:rPr>
        <w:rFonts w:cs="Arial"/>
        <w:b w:val="0"/>
        <w:bCs/>
        <w:i/>
        <w:sz w:val="20"/>
      </w:rPr>
    </w:pPr>
    <w:r>
      <w:rPr>
        <w:b w:val="0"/>
        <w:bCs/>
        <w:i/>
        <w:sz w:val="20"/>
      </w:rPr>
      <w:t>Market Protocols for SPP Markets+</w:t>
    </w:r>
  </w:p>
  <w:p w14:paraId="63684A45" w14:textId="77777777" w:rsidR="00C8264D" w:rsidRDefault="00C826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28BD" w14:textId="61343574" w:rsidR="00225164" w:rsidRDefault="002251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8F51" w14:textId="77777777" w:rsidR="00225164" w:rsidRDefault="002251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CD7AB" w14:textId="77777777" w:rsidR="003A3051" w:rsidRDefault="003A3051">
    <w:pPr>
      <w:pStyle w:val="Normal3"/>
      <w:jc w:val="left"/>
    </w:pPr>
    <w:r>
      <w:rPr>
        <w:rFonts w:ascii="Arial" w:eastAsia="Arial" w:hAnsi="Arial" w:cs="Arial"/>
        <w:color w:val="000000"/>
        <w:sz w:val="16"/>
      </w:rPr>
      <w:t>Southwest Power Pool - Open Access Transmission Tariff, Sixth Revised Volume No. 1 - I Common Service Provisions - 1 Definitions - 1 Definitions B</w:t>
    </w:r>
  </w:p>
  <w:p w14:paraId="6D5AAFEF" w14:textId="77777777" w:rsidR="003A3051" w:rsidRDefault="003A30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5937" w14:textId="77777777" w:rsidR="003A3051" w:rsidRDefault="003A3051">
    <w:pPr>
      <w:pStyle w:val="Normal3"/>
      <w:jc w:val="left"/>
    </w:pPr>
    <w:r>
      <w:rPr>
        <w:rFonts w:ascii="Arial" w:eastAsia="Arial" w:hAnsi="Arial" w:cs="Arial"/>
        <w:color w:val="000000"/>
        <w:sz w:val="16"/>
      </w:rPr>
      <w:t>Southwest Power Pool - Open Access Transmission Tariff, Sixth Revised Volume No. 1 - I Common Service Provisions - 1 Definitions - 1 Definitions B</w:t>
    </w:r>
  </w:p>
  <w:p w14:paraId="03886DB9" w14:textId="77777777" w:rsidR="003A3051" w:rsidRDefault="003A305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B08D" w14:textId="77777777" w:rsidR="003A3051" w:rsidRDefault="003A3051">
    <w:pPr>
      <w:pStyle w:val="Normal17"/>
    </w:pPr>
    <w:r>
      <w:rPr>
        <w:rFonts w:ascii="Arial" w:eastAsia="Arial" w:hAnsi="Arial" w:cs="Arial"/>
        <w:color w:val="000000"/>
        <w:sz w:val="16"/>
      </w:rPr>
      <w:t>Southwest Power Pool - Western Energy Imbalance Service Tariff - I Common Service Provisions - 1 Definitions - 1 Definitions 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46E6" w14:textId="77777777" w:rsidR="003A3051" w:rsidRPr="007F0A2A" w:rsidRDefault="003A3051">
    <w:pPr>
      <w:pBdr>
        <w:bottom w:val="single" w:sz="12" w:space="2" w:color="auto"/>
      </w:pBdr>
      <w:tabs>
        <w:tab w:val="center" w:pos="4320"/>
        <w:tab w:val="right" w:pos="9360"/>
      </w:tabs>
      <w:spacing w:after="0"/>
      <w:jc w:val="right"/>
      <w:rPr>
        <w:bCs/>
        <w:sz w:val="16"/>
      </w:rPr>
    </w:pPr>
    <w:r w:rsidRPr="007F0A2A">
      <w:rPr>
        <w:bCs/>
        <w:noProof/>
        <w:sz w:val="16"/>
      </w:rPr>
      <w:drawing>
        <wp:anchor distT="0" distB="0" distL="114300" distR="114300" simplePos="0" relativeHeight="251658241" behindDoc="0" locked="0" layoutInCell="1" allowOverlap="1" wp14:anchorId="780C7B24" wp14:editId="11DCFD6E">
          <wp:simplePos x="0" y="0"/>
          <wp:positionH relativeFrom="column">
            <wp:posOffset>4076700</wp:posOffset>
          </wp:positionH>
          <wp:positionV relativeFrom="paragraph">
            <wp:posOffset>-133350</wp:posOffset>
          </wp:positionV>
          <wp:extent cx="1865376" cy="640080"/>
          <wp:effectExtent l="0" t="0" r="1905" b="7620"/>
          <wp:wrapNone/>
          <wp:docPr id="341066398" name="Picture 34106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_Logo Web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376" cy="640080"/>
                  </a:xfrm>
                  <a:prstGeom prst="rect">
                    <a:avLst/>
                  </a:prstGeom>
                </pic:spPr>
              </pic:pic>
            </a:graphicData>
          </a:graphic>
          <wp14:sizeRelH relativeFrom="margin">
            <wp14:pctWidth>0</wp14:pctWidth>
          </wp14:sizeRelH>
          <wp14:sizeRelV relativeFrom="margin">
            <wp14:pctHeight>0</wp14:pctHeight>
          </wp14:sizeRelV>
        </wp:anchor>
      </w:drawing>
    </w:r>
  </w:p>
  <w:p w14:paraId="2CD698F5" w14:textId="77777777" w:rsidR="003A3051" w:rsidRPr="007F0A2A" w:rsidRDefault="003A3051">
    <w:pPr>
      <w:pBdr>
        <w:bottom w:val="single" w:sz="12" w:space="2" w:color="auto"/>
      </w:pBdr>
      <w:tabs>
        <w:tab w:val="center" w:pos="4320"/>
        <w:tab w:val="right" w:pos="9360"/>
      </w:tabs>
      <w:spacing w:after="0"/>
      <w:jc w:val="right"/>
      <w:rPr>
        <w:bCs/>
        <w:sz w:val="16"/>
      </w:rPr>
    </w:pPr>
  </w:p>
  <w:p w14:paraId="3FB6B9B5" w14:textId="77777777" w:rsidR="003A3051" w:rsidRPr="007F0A2A" w:rsidRDefault="003A3051">
    <w:pPr>
      <w:pBdr>
        <w:bottom w:val="single" w:sz="12" w:space="2" w:color="auto"/>
      </w:pBdr>
      <w:tabs>
        <w:tab w:val="center" w:pos="4320"/>
        <w:tab w:val="right" w:pos="9360"/>
      </w:tabs>
      <w:spacing w:after="0"/>
      <w:jc w:val="right"/>
      <w:rPr>
        <w:bCs/>
        <w:sz w:val="16"/>
      </w:rPr>
    </w:pPr>
  </w:p>
  <w:p w14:paraId="5FFF3243" w14:textId="77777777" w:rsidR="003A3051" w:rsidRPr="007F0A2A" w:rsidRDefault="003A3051">
    <w:pPr>
      <w:pBdr>
        <w:bottom w:val="single" w:sz="12" w:space="2" w:color="auto"/>
      </w:pBdr>
      <w:tabs>
        <w:tab w:val="center" w:pos="4320"/>
        <w:tab w:val="right" w:pos="9360"/>
      </w:tabs>
      <w:spacing w:after="0"/>
      <w:rPr>
        <w:rFonts w:cs="Arial"/>
        <w:bCs/>
        <w:i/>
        <w:sz w:val="20"/>
      </w:rPr>
    </w:pPr>
    <w:r w:rsidRPr="007F0A2A">
      <w:rPr>
        <w:bCs/>
        <w:i/>
        <w:sz w:val="20"/>
      </w:rPr>
      <w:t>Market Protocols for SPP Markets+</w:t>
    </w:r>
    <w:r w:rsidRPr="007F0A2A">
      <w:rPr>
        <w:bCs/>
        <w:i/>
        <w:sz w:val="20"/>
      </w:rPr>
      <w:tab/>
    </w:r>
    <w:r w:rsidRPr="007F0A2A">
      <w:rPr>
        <w:rFonts w:cs="Arial"/>
        <w:bCs/>
        <w:i/>
        <w:sz w:val="20"/>
      </w:rPr>
      <w:tab/>
    </w:r>
  </w:p>
  <w:p w14:paraId="5C38288D" w14:textId="77777777" w:rsidR="003A3051" w:rsidRPr="007F0A2A" w:rsidRDefault="003A30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257B" w14:textId="77777777" w:rsidR="003A3051" w:rsidRDefault="003A3051">
    <w:pPr>
      <w:pStyle w:val="Normal17"/>
    </w:pPr>
    <w:r>
      <w:rPr>
        <w:rFonts w:ascii="Arial" w:eastAsia="Arial" w:hAnsi="Arial" w:cs="Arial"/>
        <w:color w:val="000000"/>
        <w:sz w:val="16"/>
      </w:rPr>
      <w:t>Southwest Power Pool - Western Energy Imbalance Service Tariff - I Common Service Provisions - 1 Definitions - 1 Definitions 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4334"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r>
      <w:rPr>
        <w:b w:val="0"/>
        <w:bCs/>
        <w:noProof/>
        <w:color w:val="2B579A"/>
        <w:sz w:val="16"/>
        <w:shd w:val="clear" w:color="auto" w:fill="E6E6E6"/>
      </w:rPr>
      <w:drawing>
        <wp:anchor distT="0" distB="0" distL="114300" distR="114300" simplePos="0" relativeHeight="251658243" behindDoc="0" locked="0" layoutInCell="1" allowOverlap="1" wp14:anchorId="2557668B" wp14:editId="250599CC">
          <wp:simplePos x="0" y="0"/>
          <wp:positionH relativeFrom="margin">
            <wp:align>right</wp:align>
          </wp:positionH>
          <wp:positionV relativeFrom="paragraph">
            <wp:posOffset>-288878</wp:posOffset>
          </wp:positionV>
          <wp:extent cx="1865376" cy="640080"/>
          <wp:effectExtent l="0" t="0" r="1905" b="7620"/>
          <wp:wrapNone/>
          <wp:docPr id="53094868" name="Picture 5309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_Logo Web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376" cy="640080"/>
                  </a:xfrm>
                  <a:prstGeom prst="rect">
                    <a:avLst/>
                  </a:prstGeom>
                </pic:spPr>
              </pic:pic>
            </a:graphicData>
          </a:graphic>
          <wp14:sizeRelH relativeFrom="margin">
            <wp14:pctWidth>0</wp14:pctWidth>
          </wp14:sizeRelH>
        </wp:anchor>
      </w:drawing>
    </w:r>
  </w:p>
  <w:p w14:paraId="317BD944"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p>
  <w:p w14:paraId="774AC218" w14:textId="77777777" w:rsidR="00C8264D" w:rsidRDefault="00C8264D" w:rsidP="00D14054">
    <w:pPr>
      <w:pStyle w:val="Header"/>
      <w:pBdr>
        <w:bottom w:val="single" w:sz="12" w:space="2" w:color="auto"/>
      </w:pBdr>
      <w:tabs>
        <w:tab w:val="clear" w:pos="8640"/>
        <w:tab w:val="right" w:pos="9360"/>
      </w:tabs>
      <w:spacing w:after="0"/>
      <w:jc w:val="right"/>
      <w:rPr>
        <w:b w:val="0"/>
        <w:bCs/>
        <w:sz w:val="16"/>
      </w:rPr>
    </w:pPr>
  </w:p>
  <w:p w14:paraId="0A04FBFF" w14:textId="77777777" w:rsidR="00C8264D" w:rsidRPr="00976F08" w:rsidRDefault="00C8264D" w:rsidP="00D14054">
    <w:pPr>
      <w:pStyle w:val="Header"/>
      <w:pBdr>
        <w:bottom w:val="single" w:sz="12" w:space="2" w:color="auto"/>
      </w:pBdr>
      <w:tabs>
        <w:tab w:val="clear" w:pos="8640"/>
        <w:tab w:val="right" w:pos="9360"/>
      </w:tabs>
      <w:spacing w:after="0"/>
      <w:jc w:val="left"/>
      <w:rPr>
        <w:rFonts w:cs="Arial"/>
        <w:b w:val="0"/>
        <w:bCs/>
        <w:i/>
        <w:sz w:val="20"/>
      </w:rPr>
    </w:pPr>
    <w:r>
      <w:rPr>
        <w:b w:val="0"/>
        <w:bCs/>
        <w:i/>
        <w:sz w:val="20"/>
      </w:rPr>
      <w:t>Market Protocols for SPP Markets+</w:t>
    </w:r>
    <w:r w:rsidRPr="00976F08">
      <w:rPr>
        <w:b w:val="0"/>
        <w:bCs/>
        <w:i/>
        <w:sz w:val="20"/>
      </w:rPr>
      <w:tab/>
    </w:r>
    <w:r w:rsidRPr="00976F08">
      <w:rPr>
        <w:rFonts w:cs="Arial"/>
        <w:b w:val="0"/>
        <w:bCs/>
        <w:i/>
        <w:sz w:val="20"/>
      </w:rPr>
      <w:tab/>
    </w:r>
  </w:p>
  <w:p w14:paraId="7C44210D" w14:textId="77777777" w:rsidR="00C8264D" w:rsidRDefault="00C82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31C14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5E6F8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2299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42403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DD287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8E56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3873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E4834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E0C7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BD292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6520E"/>
    <w:multiLevelType w:val="multilevel"/>
    <w:tmpl w:val="900804C4"/>
    <w:lvl w:ilvl="0">
      <w:start w:val="1"/>
      <w:numFmt w:val="decimal"/>
      <w:lvlText w:val="4.1.%1"/>
      <w:lvlJc w:val="left"/>
      <w:pPr>
        <w:ind w:left="540" w:hanging="360"/>
      </w:pPr>
      <w:rPr>
        <w:rFonts w:hint="default"/>
        <w:b/>
        <w:bCs/>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1" w15:restartNumberingAfterBreak="0">
    <w:nsid w:val="005D247D"/>
    <w:multiLevelType w:val="hybridMultilevel"/>
    <w:tmpl w:val="63A4FBE8"/>
    <w:lvl w:ilvl="0" w:tplc="58C25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DE6179"/>
    <w:multiLevelType w:val="hybridMultilevel"/>
    <w:tmpl w:val="6E3214B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01750F1F"/>
    <w:multiLevelType w:val="hybridMultilevel"/>
    <w:tmpl w:val="EEB06224"/>
    <w:lvl w:ilvl="0" w:tplc="492EB73A">
      <w:start w:val="1"/>
      <w:numFmt w:val="decimal"/>
      <w:lvlText w:val="(%1)"/>
      <w:lvlJc w:val="left"/>
      <w:pPr>
        <w:tabs>
          <w:tab w:val="num" w:pos="1440"/>
        </w:tabs>
        <w:ind w:left="1440" w:hanging="360"/>
      </w:pPr>
      <w:rPr>
        <w:rFonts w:hint="default"/>
      </w:rPr>
    </w:lvl>
    <w:lvl w:ilvl="1" w:tplc="C9BCB5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FD5F03"/>
    <w:multiLevelType w:val="hybridMultilevel"/>
    <w:tmpl w:val="A96C1376"/>
    <w:lvl w:ilvl="0" w:tplc="190C390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4155219"/>
    <w:multiLevelType w:val="hybridMultilevel"/>
    <w:tmpl w:val="D3088470"/>
    <w:lvl w:ilvl="0" w:tplc="2BE2FBB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421129D"/>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7" w15:restartNumberingAfterBreak="0">
    <w:nsid w:val="050C3F46"/>
    <w:multiLevelType w:val="hybridMultilevel"/>
    <w:tmpl w:val="26C0D792"/>
    <w:lvl w:ilvl="0" w:tplc="CED08A00">
      <w:start w:val="1"/>
      <w:numFmt w:val="lowerLetter"/>
      <w:lvlText w:val="(%1)"/>
      <w:lvlJc w:val="left"/>
      <w:pPr>
        <w:tabs>
          <w:tab w:val="num" w:pos="720"/>
        </w:tabs>
        <w:ind w:left="720" w:hanging="360"/>
      </w:pPr>
      <w:rPr>
        <w:rFonts w:hint="default"/>
      </w:rPr>
    </w:lvl>
    <w:lvl w:ilvl="1" w:tplc="AFDE6D8E" w:tentative="1">
      <w:start w:val="1"/>
      <w:numFmt w:val="lowerLetter"/>
      <w:lvlText w:val="%2."/>
      <w:lvlJc w:val="left"/>
      <w:pPr>
        <w:tabs>
          <w:tab w:val="num" w:pos="1440"/>
        </w:tabs>
        <w:ind w:left="1440" w:hanging="360"/>
      </w:pPr>
    </w:lvl>
    <w:lvl w:ilvl="2" w:tplc="46BCE59A" w:tentative="1">
      <w:start w:val="1"/>
      <w:numFmt w:val="lowerRoman"/>
      <w:lvlText w:val="%3."/>
      <w:lvlJc w:val="right"/>
      <w:pPr>
        <w:tabs>
          <w:tab w:val="num" w:pos="2160"/>
        </w:tabs>
        <w:ind w:left="2160" w:hanging="180"/>
      </w:pPr>
    </w:lvl>
    <w:lvl w:ilvl="3" w:tplc="C8E20024" w:tentative="1">
      <w:start w:val="1"/>
      <w:numFmt w:val="decimal"/>
      <w:lvlText w:val="%4."/>
      <w:lvlJc w:val="left"/>
      <w:pPr>
        <w:tabs>
          <w:tab w:val="num" w:pos="2880"/>
        </w:tabs>
        <w:ind w:left="2880" w:hanging="360"/>
      </w:pPr>
    </w:lvl>
    <w:lvl w:ilvl="4" w:tplc="C108F98A" w:tentative="1">
      <w:start w:val="1"/>
      <w:numFmt w:val="lowerLetter"/>
      <w:lvlText w:val="%5."/>
      <w:lvlJc w:val="left"/>
      <w:pPr>
        <w:tabs>
          <w:tab w:val="num" w:pos="3600"/>
        </w:tabs>
        <w:ind w:left="3600" w:hanging="360"/>
      </w:pPr>
    </w:lvl>
    <w:lvl w:ilvl="5" w:tplc="B4A49490" w:tentative="1">
      <w:start w:val="1"/>
      <w:numFmt w:val="lowerRoman"/>
      <w:lvlText w:val="%6."/>
      <w:lvlJc w:val="right"/>
      <w:pPr>
        <w:tabs>
          <w:tab w:val="num" w:pos="4320"/>
        </w:tabs>
        <w:ind w:left="4320" w:hanging="180"/>
      </w:pPr>
    </w:lvl>
    <w:lvl w:ilvl="6" w:tplc="CA28EDD2" w:tentative="1">
      <w:start w:val="1"/>
      <w:numFmt w:val="decimal"/>
      <w:lvlText w:val="%7."/>
      <w:lvlJc w:val="left"/>
      <w:pPr>
        <w:tabs>
          <w:tab w:val="num" w:pos="5040"/>
        </w:tabs>
        <w:ind w:left="5040" w:hanging="360"/>
      </w:pPr>
    </w:lvl>
    <w:lvl w:ilvl="7" w:tplc="1B087B04" w:tentative="1">
      <w:start w:val="1"/>
      <w:numFmt w:val="lowerLetter"/>
      <w:lvlText w:val="%8."/>
      <w:lvlJc w:val="left"/>
      <w:pPr>
        <w:tabs>
          <w:tab w:val="num" w:pos="5760"/>
        </w:tabs>
        <w:ind w:left="5760" w:hanging="360"/>
      </w:pPr>
    </w:lvl>
    <w:lvl w:ilvl="8" w:tplc="EFAC2C22" w:tentative="1">
      <w:start w:val="1"/>
      <w:numFmt w:val="lowerRoman"/>
      <w:lvlText w:val="%9."/>
      <w:lvlJc w:val="right"/>
      <w:pPr>
        <w:tabs>
          <w:tab w:val="num" w:pos="6480"/>
        </w:tabs>
        <w:ind w:left="6480" w:hanging="180"/>
      </w:pPr>
    </w:lvl>
  </w:abstractNum>
  <w:abstractNum w:abstractNumId="18" w15:restartNumberingAfterBreak="0">
    <w:nsid w:val="05A54DCF"/>
    <w:multiLevelType w:val="hybridMultilevel"/>
    <w:tmpl w:val="C4B85C3A"/>
    <w:lvl w:ilvl="0" w:tplc="FFFFFFFF">
      <w:start w:val="1"/>
      <w:numFmt w:val="lowerRoman"/>
      <w:lvlText w:val="(%1)"/>
      <w:lvlJc w:val="right"/>
      <w:pPr>
        <w:ind w:left="6901" w:hanging="360"/>
      </w:pPr>
      <w:rPr>
        <w:rFonts w:hint="default"/>
        <w:color w:val="auto"/>
      </w:rPr>
    </w:lvl>
    <w:lvl w:ilvl="1" w:tplc="FFFFFFFF">
      <w:start w:val="1"/>
      <w:numFmt w:val="lowerRoman"/>
      <w:lvlText w:val="%2."/>
      <w:lvlJc w:val="right"/>
      <w:pPr>
        <w:ind w:left="7621" w:hanging="360"/>
      </w:pPr>
    </w:lvl>
    <w:lvl w:ilvl="2" w:tplc="FFFFFFFF">
      <w:start w:val="1"/>
      <w:numFmt w:val="lowerRoman"/>
      <w:lvlText w:val="%3."/>
      <w:lvlJc w:val="right"/>
      <w:pPr>
        <w:ind w:left="8341" w:hanging="180"/>
      </w:pPr>
    </w:lvl>
    <w:lvl w:ilvl="3" w:tplc="FFFFFFFF">
      <w:start w:val="1"/>
      <w:numFmt w:val="decimal"/>
      <w:lvlText w:val="%4."/>
      <w:lvlJc w:val="left"/>
      <w:pPr>
        <w:ind w:left="9061" w:hanging="360"/>
      </w:pPr>
    </w:lvl>
    <w:lvl w:ilvl="4" w:tplc="FFFFFFFF">
      <w:start w:val="1"/>
      <w:numFmt w:val="lowerLetter"/>
      <w:lvlText w:val="%5."/>
      <w:lvlJc w:val="left"/>
      <w:pPr>
        <w:ind w:left="9781" w:hanging="360"/>
      </w:pPr>
    </w:lvl>
    <w:lvl w:ilvl="5" w:tplc="FFFFFFFF">
      <w:start w:val="1"/>
      <w:numFmt w:val="lowerRoman"/>
      <w:lvlText w:val="%6."/>
      <w:lvlJc w:val="right"/>
      <w:pPr>
        <w:ind w:left="10501" w:hanging="180"/>
      </w:pPr>
    </w:lvl>
    <w:lvl w:ilvl="6" w:tplc="FFFFFFFF">
      <w:start w:val="1"/>
      <w:numFmt w:val="decimal"/>
      <w:lvlText w:val="%7."/>
      <w:lvlJc w:val="left"/>
      <w:pPr>
        <w:ind w:left="11221" w:hanging="360"/>
      </w:pPr>
    </w:lvl>
    <w:lvl w:ilvl="7" w:tplc="FFFFFFFF">
      <w:start w:val="1"/>
      <w:numFmt w:val="lowerLetter"/>
      <w:lvlText w:val="%8."/>
      <w:lvlJc w:val="left"/>
      <w:pPr>
        <w:ind w:left="11941" w:hanging="360"/>
      </w:pPr>
    </w:lvl>
    <w:lvl w:ilvl="8" w:tplc="FFFFFFFF">
      <w:start w:val="1"/>
      <w:numFmt w:val="lowerRoman"/>
      <w:lvlText w:val="%9."/>
      <w:lvlJc w:val="right"/>
      <w:pPr>
        <w:ind w:left="12661" w:hanging="180"/>
      </w:pPr>
    </w:lvl>
  </w:abstractNum>
  <w:abstractNum w:abstractNumId="19" w15:restartNumberingAfterBreak="0">
    <w:nsid w:val="068A7D4E"/>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0" w15:restartNumberingAfterBreak="0">
    <w:nsid w:val="077E2755"/>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1" w15:restartNumberingAfterBreak="0">
    <w:nsid w:val="079173B6"/>
    <w:multiLevelType w:val="hybridMultilevel"/>
    <w:tmpl w:val="627ED48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38059C"/>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 w15:restartNumberingAfterBreak="0">
    <w:nsid w:val="08BA0404"/>
    <w:multiLevelType w:val="hybridMultilevel"/>
    <w:tmpl w:val="6BA4F3D6"/>
    <w:lvl w:ilvl="0" w:tplc="C9BCB580">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08C10CE3"/>
    <w:multiLevelType w:val="hybridMultilevel"/>
    <w:tmpl w:val="19F07A3A"/>
    <w:lvl w:ilvl="0" w:tplc="4BEAAA26">
      <w:start w:val="1"/>
      <w:numFmt w:val="lowerRoman"/>
      <w:lvlText w:val="%1."/>
      <w:lvlJc w:val="left"/>
      <w:pPr>
        <w:ind w:left="3060" w:hanging="720"/>
      </w:pPr>
      <w:rPr>
        <w:rFonts w:ascii="Times New Roman" w:hAnsi="Times New Roman" w:cs="Times New Roman" w:hint="default"/>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08E4439C"/>
    <w:multiLevelType w:val="hybridMultilevel"/>
    <w:tmpl w:val="D6F4D44E"/>
    <w:lvl w:ilvl="0" w:tplc="5AF28D26">
      <w:start w:val="1"/>
      <w:numFmt w:val="decimal"/>
      <w:lvlText w:val="(%1)"/>
      <w:lvlJc w:val="left"/>
      <w:pPr>
        <w:tabs>
          <w:tab w:val="num" w:pos="360"/>
        </w:tabs>
        <w:ind w:left="360" w:hanging="360"/>
      </w:pPr>
      <w:rPr>
        <w:rFonts w:hint="default"/>
      </w:rPr>
    </w:lvl>
    <w:lvl w:ilvl="1" w:tplc="63ECDBCE" w:tentative="1">
      <w:start w:val="1"/>
      <w:numFmt w:val="lowerLetter"/>
      <w:lvlText w:val="%2."/>
      <w:lvlJc w:val="left"/>
      <w:pPr>
        <w:tabs>
          <w:tab w:val="num" w:pos="1440"/>
        </w:tabs>
        <w:ind w:left="1440" w:hanging="360"/>
      </w:pPr>
    </w:lvl>
    <w:lvl w:ilvl="2" w:tplc="F6ACD06E" w:tentative="1">
      <w:start w:val="1"/>
      <w:numFmt w:val="lowerRoman"/>
      <w:lvlText w:val="%3."/>
      <w:lvlJc w:val="right"/>
      <w:pPr>
        <w:tabs>
          <w:tab w:val="num" w:pos="2160"/>
        </w:tabs>
        <w:ind w:left="2160" w:hanging="180"/>
      </w:pPr>
    </w:lvl>
    <w:lvl w:ilvl="3" w:tplc="A590052C" w:tentative="1">
      <w:start w:val="1"/>
      <w:numFmt w:val="decimal"/>
      <w:lvlText w:val="%4."/>
      <w:lvlJc w:val="left"/>
      <w:pPr>
        <w:tabs>
          <w:tab w:val="num" w:pos="2880"/>
        </w:tabs>
        <w:ind w:left="2880" w:hanging="360"/>
      </w:pPr>
    </w:lvl>
    <w:lvl w:ilvl="4" w:tplc="D30AA568" w:tentative="1">
      <w:start w:val="1"/>
      <w:numFmt w:val="lowerLetter"/>
      <w:lvlText w:val="%5."/>
      <w:lvlJc w:val="left"/>
      <w:pPr>
        <w:tabs>
          <w:tab w:val="num" w:pos="3600"/>
        </w:tabs>
        <w:ind w:left="3600" w:hanging="360"/>
      </w:pPr>
    </w:lvl>
    <w:lvl w:ilvl="5" w:tplc="FECA2BDC" w:tentative="1">
      <w:start w:val="1"/>
      <w:numFmt w:val="lowerRoman"/>
      <w:lvlText w:val="%6."/>
      <w:lvlJc w:val="right"/>
      <w:pPr>
        <w:tabs>
          <w:tab w:val="num" w:pos="4320"/>
        </w:tabs>
        <w:ind w:left="4320" w:hanging="180"/>
      </w:pPr>
    </w:lvl>
    <w:lvl w:ilvl="6" w:tplc="0E1C9134" w:tentative="1">
      <w:start w:val="1"/>
      <w:numFmt w:val="decimal"/>
      <w:lvlText w:val="%7."/>
      <w:lvlJc w:val="left"/>
      <w:pPr>
        <w:tabs>
          <w:tab w:val="num" w:pos="5040"/>
        </w:tabs>
        <w:ind w:left="5040" w:hanging="360"/>
      </w:pPr>
    </w:lvl>
    <w:lvl w:ilvl="7" w:tplc="E1622894" w:tentative="1">
      <w:start w:val="1"/>
      <w:numFmt w:val="lowerLetter"/>
      <w:lvlText w:val="%8."/>
      <w:lvlJc w:val="left"/>
      <w:pPr>
        <w:tabs>
          <w:tab w:val="num" w:pos="5760"/>
        </w:tabs>
        <w:ind w:left="5760" w:hanging="360"/>
      </w:pPr>
    </w:lvl>
    <w:lvl w:ilvl="8" w:tplc="128A7E8E" w:tentative="1">
      <w:start w:val="1"/>
      <w:numFmt w:val="lowerRoman"/>
      <w:lvlText w:val="%9."/>
      <w:lvlJc w:val="right"/>
      <w:pPr>
        <w:tabs>
          <w:tab w:val="num" w:pos="6480"/>
        </w:tabs>
        <w:ind w:left="6480" w:hanging="180"/>
      </w:pPr>
    </w:lvl>
  </w:abstractNum>
  <w:abstractNum w:abstractNumId="26" w15:restartNumberingAfterBreak="0">
    <w:nsid w:val="092A42B4"/>
    <w:multiLevelType w:val="hybridMultilevel"/>
    <w:tmpl w:val="8A3EDC80"/>
    <w:lvl w:ilvl="0" w:tplc="FF1A381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09663936"/>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8" w15:restartNumberingAfterBreak="0">
    <w:nsid w:val="0A742A68"/>
    <w:multiLevelType w:val="hybridMultilevel"/>
    <w:tmpl w:val="0846B1A6"/>
    <w:lvl w:ilvl="0" w:tplc="D2C4501A">
      <w:start w:val="1"/>
      <w:numFmt w:val="decimal"/>
      <w:lvlText w:val="(%1)"/>
      <w:lvlJc w:val="left"/>
      <w:pPr>
        <w:tabs>
          <w:tab w:val="num" w:pos="720"/>
        </w:tabs>
        <w:ind w:left="720" w:hanging="360"/>
      </w:pPr>
      <w:rPr>
        <w:rFonts w:hint="default"/>
      </w:rPr>
    </w:lvl>
    <w:lvl w:ilvl="1" w:tplc="17C8DC4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A7A1283"/>
    <w:multiLevelType w:val="multilevel"/>
    <w:tmpl w:val="E06AFB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0A800A5B"/>
    <w:multiLevelType w:val="multilevel"/>
    <w:tmpl w:val="EC2C1010"/>
    <w:lvl w:ilvl="0">
      <w:start w:val="1"/>
      <w:numFmt w:val="upperLetter"/>
      <w:lvlText w:val="(%1)"/>
      <w:lvlJc w:val="left"/>
      <w:pPr>
        <w:ind w:left="720" w:hanging="540"/>
      </w:pPr>
      <w:rPr>
        <w:rFonts w:ascii="Times New Roman" w:eastAsia="Times New Roman" w:hAnsi="Times New Roman" w:cs="Times New Roman"/>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31" w15:restartNumberingAfterBreak="0">
    <w:nsid w:val="0B5B6592"/>
    <w:multiLevelType w:val="hybridMultilevel"/>
    <w:tmpl w:val="CB1CA116"/>
    <w:lvl w:ilvl="0" w:tplc="D14E2C64">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ED37CF"/>
    <w:multiLevelType w:val="hybridMultilevel"/>
    <w:tmpl w:val="ACBE7C2E"/>
    <w:lvl w:ilvl="0" w:tplc="64B4E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997DD9"/>
    <w:multiLevelType w:val="hybridMultilevel"/>
    <w:tmpl w:val="399CA2A8"/>
    <w:lvl w:ilvl="0" w:tplc="E5B4B0A0">
      <w:start w:val="2"/>
      <w:numFmt w:val="decimal"/>
      <w:lvlText w:val="(%1)"/>
      <w:lvlJc w:val="left"/>
      <w:pPr>
        <w:ind w:left="2160" w:hanging="720"/>
      </w:pPr>
      <w:rPr>
        <w:rFonts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A92C42E">
      <w:start w:val="1"/>
      <w:numFmt w:val="low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B803E0"/>
    <w:multiLevelType w:val="hybridMultilevel"/>
    <w:tmpl w:val="C35C1726"/>
    <w:lvl w:ilvl="0" w:tplc="BA1C587C">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E000D3"/>
    <w:multiLevelType w:val="hybridMultilevel"/>
    <w:tmpl w:val="0D74766E"/>
    <w:lvl w:ilvl="0" w:tplc="F12E0322">
      <w:start w:val="4"/>
      <w:numFmt w:val="decimal"/>
      <w:lvlText w:val="(%1)"/>
      <w:lvlJc w:val="left"/>
      <w:pPr>
        <w:tabs>
          <w:tab w:val="num" w:pos="1440"/>
        </w:tabs>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F06E4A"/>
    <w:multiLevelType w:val="multilevel"/>
    <w:tmpl w:val="3E44041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7" w15:restartNumberingAfterBreak="0">
    <w:nsid w:val="0E190D18"/>
    <w:multiLevelType w:val="hybridMultilevel"/>
    <w:tmpl w:val="2546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1C02B6"/>
    <w:multiLevelType w:val="multilevel"/>
    <w:tmpl w:val="01E27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0E2C59C3"/>
    <w:multiLevelType w:val="hybridMultilevel"/>
    <w:tmpl w:val="B6C8B688"/>
    <w:lvl w:ilvl="0" w:tplc="6B868A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0ED522CF"/>
    <w:multiLevelType w:val="hybridMultilevel"/>
    <w:tmpl w:val="48C2B2F8"/>
    <w:lvl w:ilvl="0" w:tplc="C9BCB580">
      <w:start w:val="1"/>
      <w:numFmt w:val="lowerLetter"/>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0EE10696"/>
    <w:multiLevelType w:val="hybridMultilevel"/>
    <w:tmpl w:val="6B726248"/>
    <w:lvl w:ilvl="0" w:tplc="FFFFFFFF">
      <w:start w:val="1"/>
      <w:numFmt w:val="decimal"/>
      <w:lvlText w:val="(%1)"/>
      <w:lvlJc w:val="left"/>
      <w:pPr>
        <w:ind w:left="1440" w:hanging="360"/>
      </w:pPr>
      <w:rPr>
        <w:rFonts w:hint="default"/>
        <w:color w:val="auto"/>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42" w15:restartNumberingAfterBreak="0">
    <w:nsid w:val="0EFF0B7E"/>
    <w:multiLevelType w:val="hybridMultilevel"/>
    <w:tmpl w:val="03BA35BA"/>
    <w:lvl w:ilvl="0" w:tplc="7FE60B22">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100011D0"/>
    <w:multiLevelType w:val="hybridMultilevel"/>
    <w:tmpl w:val="F83A59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03D3914"/>
    <w:multiLevelType w:val="hybridMultilevel"/>
    <w:tmpl w:val="FFDC6738"/>
    <w:lvl w:ilvl="0" w:tplc="CCB84B72">
      <w:start w:val="1"/>
      <w:numFmt w:val="decimal"/>
      <w:lvlText w:val="(%1)"/>
      <w:lvlJc w:val="left"/>
      <w:pPr>
        <w:tabs>
          <w:tab w:val="num" w:pos="360"/>
        </w:tabs>
        <w:ind w:left="360" w:hanging="360"/>
      </w:pPr>
      <w:rPr>
        <w:rFonts w:hint="default"/>
      </w:rPr>
    </w:lvl>
    <w:lvl w:ilvl="1" w:tplc="B5C282E6" w:tentative="1">
      <w:start w:val="1"/>
      <w:numFmt w:val="bullet"/>
      <w:lvlText w:val="o"/>
      <w:lvlJc w:val="left"/>
      <w:pPr>
        <w:tabs>
          <w:tab w:val="num" w:pos="1440"/>
        </w:tabs>
        <w:ind w:left="1440" w:hanging="360"/>
      </w:pPr>
      <w:rPr>
        <w:rFonts w:ascii="Courier New" w:hAnsi="Courier New" w:cs="Courier New" w:hint="default"/>
      </w:rPr>
    </w:lvl>
    <w:lvl w:ilvl="2" w:tplc="3DEE2B60" w:tentative="1">
      <w:start w:val="1"/>
      <w:numFmt w:val="bullet"/>
      <w:lvlText w:val=""/>
      <w:lvlJc w:val="left"/>
      <w:pPr>
        <w:tabs>
          <w:tab w:val="num" w:pos="2160"/>
        </w:tabs>
        <w:ind w:left="2160" w:hanging="360"/>
      </w:pPr>
      <w:rPr>
        <w:rFonts w:ascii="Wingdings" w:hAnsi="Wingdings" w:hint="default"/>
      </w:rPr>
    </w:lvl>
    <w:lvl w:ilvl="3" w:tplc="895C1E9C" w:tentative="1">
      <w:start w:val="1"/>
      <w:numFmt w:val="bullet"/>
      <w:lvlText w:val=""/>
      <w:lvlJc w:val="left"/>
      <w:pPr>
        <w:tabs>
          <w:tab w:val="num" w:pos="2880"/>
        </w:tabs>
        <w:ind w:left="2880" w:hanging="360"/>
      </w:pPr>
      <w:rPr>
        <w:rFonts w:ascii="Symbol" w:hAnsi="Symbol" w:hint="default"/>
      </w:rPr>
    </w:lvl>
    <w:lvl w:ilvl="4" w:tplc="CADE5BA4" w:tentative="1">
      <w:start w:val="1"/>
      <w:numFmt w:val="bullet"/>
      <w:lvlText w:val="o"/>
      <w:lvlJc w:val="left"/>
      <w:pPr>
        <w:tabs>
          <w:tab w:val="num" w:pos="3600"/>
        </w:tabs>
        <w:ind w:left="3600" w:hanging="360"/>
      </w:pPr>
      <w:rPr>
        <w:rFonts w:ascii="Courier New" w:hAnsi="Courier New" w:cs="Courier New" w:hint="default"/>
      </w:rPr>
    </w:lvl>
    <w:lvl w:ilvl="5" w:tplc="057E34BC" w:tentative="1">
      <w:start w:val="1"/>
      <w:numFmt w:val="bullet"/>
      <w:lvlText w:val=""/>
      <w:lvlJc w:val="left"/>
      <w:pPr>
        <w:tabs>
          <w:tab w:val="num" w:pos="4320"/>
        </w:tabs>
        <w:ind w:left="4320" w:hanging="360"/>
      </w:pPr>
      <w:rPr>
        <w:rFonts w:ascii="Wingdings" w:hAnsi="Wingdings" w:hint="default"/>
      </w:rPr>
    </w:lvl>
    <w:lvl w:ilvl="6" w:tplc="577211D8" w:tentative="1">
      <w:start w:val="1"/>
      <w:numFmt w:val="bullet"/>
      <w:lvlText w:val=""/>
      <w:lvlJc w:val="left"/>
      <w:pPr>
        <w:tabs>
          <w:tab w:val="num" w:pos="5040"/>
        </w:tabs>
        <w:ind w:left="5040" w:hanging="360"/>
      </w:pPr>
      <w:rPr>
        <w:rFonts w:ascii="Symbol" w:hAnsi="Symbol" w:hint="default"/>
      </w:rPr>
    </w:lvl>
    <w:lvl w:ilvl="7" w:tplc="0CD82450" w:tentative="1">
      <w:start w:val="1"/>
      <w:numFmt w:val="bullet"/>
      <w:lvlText w:val="o"/>
      <w:lvlJc w:val="left"/>
      <w:pPr>
        <w:tabs>
          <w:tab w:val="num" w:pos="5760"/>
        </w:tabs>
        <w:ind w:left="5760" w:hanging="360"/>
      </w:pPr>
      <w:rPr>
        <w:rFonts w:ascii="Courier New" w:hAnsi="Courier New" w:cs="Courier New" w:hint="default"/>
      </w:rPr>
    </w:lvl>
    <w:lvl w:ilvl="8" w:tplc="7F789DE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1017C83"/>
    <w:multiLevelType w:val="hybridMultilevel"/>
    <w:tmpl w:val="9CDC4D36"/>
    <w:lvl w:ilvl="0" w:tplc="04090019">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112A22E5"/>
    <w:multiLevelType w:val="hybridMultilevel"/>
    <w:tmpl w:val="B57860FA"/>
    <w:lvl w:ilvl="0" w:tplc="BBFE9F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135433E"/>
    <w:multiLevelType w:val="multilevel"/>
    <w:tmpl w:val="EB78FD24"/>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8" w15:restartNumberingAfterBreak="0">
    <w:nsid w:val="114E008D"/>
    <w:multiLevelType w:val="hybridMultilevel"/>
    <w:tmpl w:val="7BC8447C"/>
    <w:lvl w:ilvl="0" w:tplc="B066AABA">
      <w:start w:val="2"/>
      <w:numFmt w:val="lowerRoman"/>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BE554B"/>
    <w:multiLevelType w:val="hybridMultilevel"/>
    <w:tmpl w:val="B0483AEE"/>
    <w:lvl w:ilvl="0" w:tplc="9ADEC790">
      <w:start w:val="1"/>
      <w:numFmt w:val="upp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50" w15:restartNumberingAfterBreak="0">
    <w:nsid w:val="12394DED"/>
    <w:multiLevelType w:val="multilevel"/>
    <w:tmpl w:val="FCA29080"/>
    <w:lvl w:ilvl="0">
      <w:start w:val="1"/>
      <w:numFmt w:val="decimal"/>
      <w:lvlText w:val="(%1)"/>
      <w:lvlJc w:val="left"/>
      <w:pPr>
        <w:ind w:left="720" w:hanging="540"/>
      </w:pPr>
      <w:rPr>
        <w:rFonts w:ascii="Times New Roman" w:hAnsi="Times New Roman" w:hint="default"/>
        <w:b w:val="0"/>
        <w:i w:val="0"/>
        <w:sz w:val="24"/>
      </w:rPr>
    </w:lvl>
    <w:lvl w:ilvl="1">
      <w:start w:val="5"/>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4"/>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51" w15:restartNumberingAfterBreak="0">
    <w:nsid w:val="1277191E"/>
    <w:multiLevelType w:val="hybridMultilevel"/>
    <w:tmpl w:val="A6DEFF8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2" w15:restartNumberingAfterBreak="0">
    <w:nsid w:val="12BF570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53" w15:restartNumberingAfterBreak="0">
    <w:nsid w:val="12E5195F"/>
    <w:multiLevelType w:val="hybridMultilevel"/>
    <w:tmpl w:val="125005F4"/>
    <w:lvl w:ilvl="0" w:tplc="73B0C170">
      <w:start w:val="1"/>
      <w:numFmt w:val="lowerLetter"/>
      <w:lvlText w:val="(%1)"/>
      <w:lvlJc w:val="left"/>
      <w:pPr>
        <w:tabs>
          <w:tab w:val="num" w:pos="720"/>
        </w:tabs>
        <w:ind w:left="720" w:hanging="360"/>
      </w:pPr>
      <w:rPr>
        <w:rFonts w:hint="default"/>
        <w:color w:val="auto"/>
      </w:rPr>
    </w:lvl>
    <w:lvl w:ilvl="1" w:tplc="FFFFFFFF">
      <w:start w:val="1"/>
      <w:numFmt w:val="lowerLetter"/>
      <w:lvlText w:val="(%2)"/>
      <w:lvlJc w:val="left"/>
      <w:pPr>
        <w:tabs>
          <w:tab w:val="num" w:pos="720"/>
        </w:tabs>
        <w:ind w:left="720" w:hanging="360"/>
      </w:pPr>
      <w:rPr>
        <w:rFonts w:hint="default"/>
        <w:color w:val="auto"/>
      </w:rPr>
    </w:lvl>
    <w:lvl w:ilvl="2" w:tplc="FFFFFFFF">
      <w:start w:val="1"/>
      <w:numFmt w:val="decimal"/>
      <w:lvlText w:val="%3."/>
      <w:lvlJc w:val="left"/>
      <w:pPr>
        <w:tabs>
          <w:tab w:val="num" w:pos="2160"/>
        </w:tabs>
        <w:ind w:left="2160" w:hanging="360"/>
      </w:pPr>
      <w:rPr>
        <w:rFonts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2F21224"/>
    <w:multiLevelType w:val="hybridMultilevel"/>
    <w:tmpl w:val="28D0015A"/>
    <w:lvl w:ilvl="0" w:tplc="492EB7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FD39B0"/>
    <w:multiLevelType w:val="multilevel"/>
    <w:tmpl w:val="CCDA42F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31B1614"/>
    <w:multiLevelType w:val="hybridMultilevel"/>
    <w:tmpl w:val="85A6A97E"/>
    <w:lvl w:ilvl="0" w:tplc="356E4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294C4B"/>
    <w:multiLevelType w:val="multilevel"/>
    <w:tmpl w:val="A02C50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133339D5"/>
    <w:multiLevelType w:val="hybridMultilevel"/>
    <w:tmpl w:val="BAEA5DB4"/>
    <w:lvl w:ilvl="0" w:tplc="092080EA">
      <w:start w:val="1"/>
      <w:numFmt w:val="upperLetter"/>
      <w:lvlText w:val="(%1)"/>
      <w:lvlJc w:val="left"/>
      <w:pPr>
        <w:ind w:left="2970" w:hanging="36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59" w15:restartNumberingAfterBreak="0">
    <w:nsid w:val="135D11EB"/>
    <w:multiLevelType w:val="hybridMultilevel"/>
    <w:tmpl w:val="E6386EA0"/>
    <w:lvl w:ilvl="0" w:tplc="C9BCB580">
      <w:start w:val="1"/>
      <w:numFmt w:val="decimal"/>
      <w:lvlText w:val="(%1)"/>
      <w:lvlJc w:val="left"/>
      <w:pPr>
        <w:ind w:left="900" w:hanging="360"/>
      </w:pPr>
      <w:rPr>
        <w:rFonts w:hint="default"/>
      </w:rPr>
    </w:lvl>
    <w:lvl w:ilvl="1" w:tplc="04090019">
      <w:start w:val="1"/>
      <w:numFmt w:val="lowerLetter"/>
      <w:lvlText w:val="(%2)"/>
      <w:lvlJc w:val="left"/>
      <w:pPr>
        <w:ind w:left="1620" w:hanging="360"/>
      </w:pPr>
      <w:rPr>
        <w:rFonts w:hint="default"/>
      </w:rPr>
    </w:lvl>
    <w:lvl w:ilvl="2" w:tplc="0409001B">
      <w:start w:val="1"/>
      <w:numFmt w:val="decimal"/>
      <w:lvlText w:val="(%3)"/>
      <w:lvlJc w:val="left"/>
      <w:pPr>
        <w:ind w:left="2340" w:hanging="180"/>
      </w:pPr>
      <w:rPr>
        <w:rFonts w:hint="default"/>
      </w:rPr>
    </w:lvl>
    <w:lvl w:ilvl="3" w:tplc="0409000F">
      <w:start w:val="1"/>
      <w:numFmt w:val="lowerLetter"/>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15:restartNumberingAfterBreak="0">
    <w:nsid w:val="139C0D72"/>
    <w:multiLevelType w:val="hybridMultilevel"/>
    <w:tmpl w:val="1234A620"/>
    <w:lvl w:ilvl="0" w:tplc="F934C4E8">
      <w:start w:val="1"/>
      <w:numFmt w:val="decimal"/>
      <w:lvlText w:val="(%1)"/>
      <w:lvlJc w:val="left"/>
      <w:pPr>
        <w:tabs>
          <w:tab w:val="num" w:pos="720"/>
        </w:tabs>
        <w:ind w:left="720" w:hanging="360"/>
      </w:pPr>
      <w:rPr>
        <w:rFonts w:hint="default"/>
      </w:rPr>
    </w:lvl>
    <w:lvl w:ilvl="1" w:tplc="7BDE571E">
      <w:start w:val="1"/>
      <w:numFmt w:val="bullet"/>
      <w:lvlText w:val="o"/>
      <w:lvlJc w:val="left"/>
      <w:pPr>
        <w:tabs>
          <w:tab w:val="num" w:pos="1440"/>
        </w:tabs>
        <w:ind w:left="1440" w:hanging="360"/>
      </w:pPr>
      <w:rPr>
        <w:rFonts w:ascii="Courier New" w:hAnsi="Courier New" w:cs="Courier New" w:hint="default"/>
      </w:rPr>
    </w:lvl>
    <w:lvl w:ilvl="2" w:tplc="837466E6" w:tentative="1">
      <w:start w:val="1"/>
      <w:numFmt w:val="bullet"/>
      <w:lvlText w:val=""/>
      <w:lvlJc w:val="left"/>
      <w:pPr>
        <w:tabs>
          <w:tab w:val="num" w:pos="2160"/>
        </w:tabs>
        <w:ind w:left="2160" w:hanging="360"/>
      </w:pPr>
      <w:rPr>
        <w:rFonts w:ascii="Wingdings" w:hAnsi="Wingdings" w:hint="default"/>
      </w:rPr>
    </w:lvl>
    <w:lvl w:ilvl="3" w:tplc="1826BFDC" w:tentative="1">
      <w:start w:val="1"/>
      <w:numFmt w:val="bullet"/>
      <w:lvlText w:val=""/>
      <w:lvlJc w:val="left"/>
      <w:pPr>
        <w:tabs>
          <w:tab w:val="num" w:pos="2880"/>
        </w:tabs>
        <w:ind w:left="2880" w:hanging="360"/>
      </w:pPr>
      <w:rPr>
        <w:rFonts w:ascii="Symbol" w:hAnsi="Symbol" w:hint="default"/>
      </w:rPr>
    </w:lvl>
    <w:lvl w:ilvl="4" w:tplc="D11CC672" w:tentative="1">
      <w:start w:val="1"/>
      <w:numFmt w:val="bullet"/>
      <w:lvlText w:val="o"/>
      <w:lvlJc w:val="left"/>
      <w:pPr>
        <w:tabs>
          <w:tab w:val="num" w:pos="3600"/>
        </w:tabs>
        <w:ind w:left="3600" w:hanging="360"/>
      </w:pPr>
      <w:rPr>
        <w:rFonts w:ascii="Courier New" w:hAnsi="Courier New" w:cs="Courier New" w:hint="default"/>
      </w:rPr>
    </w:lvl>
    <w:lvl w:ilvl="5" w:tplc="AADAD6B4" w:tentative="1">
      <w:start w:val="1"/>
      <w:numFmt w:val="bullet"/>
      <w:lvlText w:val=""/>
      <w:lvlJc w:val="left"/>
      <w:pPr>
        <w:tabs>
          <w:tab w:val="num" w:pos="4320"/>
        </w:tabs>
        <w:ind w:left="4320" w:hanging="360"/>
      </w:pPr>
      <w:rPr>
        <w:rFonts w:ascii="Wingdings" w:hAnsi="Wingdings" w:hint="default"/>
      </w:rPr>
    </w:lvl>
    <w:lvl w:ilvl="6" w:tplc="35C8C142" w:tentative="1">
      <w:start w:val="1"/>
      <w:numFmt w:val="bullet"/>
      <w:lvlText w:val=""/>
      <w:lvlJc w:val="left"/>
      <w:pPr>
        <w:tabs>
          <w:tab w:val="num" w:pos="5040"/>
        </w:tabs>
        <w:ind w:left="5040" w:hanging="360"/>
      </w:pPr>
      <w:rPr>
        <w:rFonts w:ascii="Symbol" w:hAnsi="Symbol" w:hint="default"/>
      </w:rPr>
    </w:lvl>
    <w:lvl w:ilvl="7" w:tplc="A2181218" w:tentative="1">
      <w:start w:val="1"/>
      <w:numFmt w:val="bullet"/>
      <w:lvlText w:val="o"/>
      <w:lvlJc w:val="left"/>
      <w:pPr>
        <w:tabs>
          <w:tab w:val="num" w:pos="5760"/>
        </w:tabs>
        <w:ind w:left="5760" w:hanging="360"/>
      </w:pPr>
      <w:rPr>
        <w:rFonts w:ascii="Courier New" w:hAnsi="Courier New" w:cs="Courier New" w:hint="default"/>
      </w:rPr>
    </w:lvl>
    <w:lvl w:ilvl="8" w:tplc="A09CED5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3B822F7"/>
    <w:multiLevelType w:val="hybridMultilevel"/>
    <w:tmpl w:val="31FE5922"/>
    <w:lvl w:ilvl="0" w:tplc="50648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7A4633"/>
    <w:multiLevelType w:val="hybridMultilevel"/>
    <w:tmpl w:val="A352F4FA"/>
    <w:lvl w:ilvl="0" w:tplc="04090017">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14BB74DC"/>
    <w:multiLevelType w:val="hybridMultilevel"/>
    <w:tmpl w:val="5BA2F380"/>
    <w:lvl w:ilvl="0" w:tplc="19448CB8">
      <w:start w:val="1"/>
      <w:numFmt w:val="lowerLetter"/>
      <w:lvlText w:val="(%1)"/>
      <w:lvlJc w:val="left"/>
      <w:pPr>
        <w:tabs>
          <w:tab w:val="num" w:pos="360"/>
        </w:tabs>
        <w:ind w:left="360" w:hanging="360"/>
      </w:pPr>
      <w:rPr>
        <w:rFonts w:hint="default"/>
      </w:rPr>
    </w:lvl>
    <w:lvl w:ilvl="1" w:tplc="1F508CA2">
      <w:start w:val="1"/>
      <w:numFmt w:val="lowerRoman"/>
      <w:lvlText w:val="(%2)"/>
      <w:lvlJc w:val="left"/>
      <w:pPr>
        <w:tabs>
          <w:tab w:val="num" w:pos="1440"/>
        </w:tabs>
        <w:ind w:left="1440" w:hanging="360"/>
      </w:pPr>
      <w:rPr>
        <w:rFonts w:hint="default"/>
        <w:b/>
        <w:bCs w:val="0"/>
      </w:rPr>
    </w:lvl>
    <w:lvl w:ilvl="2" w:tplc="E5660954">
      <w:start w:val="1"/>
      <w:numFmt w:val="lowerRoman"/>
      <w:lvlText w:val="%3."/>
      <w:lvlJc w:val="right"/>
      <w:pPr>
        <w:tabs>
          <w:tab w:val="num" w:pos="2160"/>
        </w:tabs>
        <w:ind w:left="2160" w:hanging="180"/>
      </w:pPr>
    </w:lvl>
    <w:lvl w:ilvl="3" w:tplc="230CDCC8">
      <w:start w:val="1"/>
      <w:numFmt w:val="decimal"/>
      <w:lvlText w:val="%4."/>
      <w:lvlJc w:val="left"/>
      <w:pPr>
        <w:tabs>
          <w:tab w:val="num" w:pos="2880"/>
        </w:tabs>
        <w:ind w:left="2880" w:hanging="360"/>
      </w:pPr>
    </w:lvl>
    <w:lvl w:ilvl="4" w:tplc="DD26B916">
      <w:start w:val="1"/>
      <w:numFmt w:val="decimal"/>
      <w:lvlText w:val="(%5)"/>
      <w:lvlJc w:val="left"/>
      <w:pPr>
        <w:tabs>
          <w:tab w:val="num" w:pos="3600"/>
        </w:tabs>
        <w:ind w:left="3600" w:hanging="360"/>
      </w:pPr>
      <w:rPr>
        <w:rFonts w:hint="default"/>
      </w:rPr>
    </w:lvl>
    <w:lvl w:ilvl="5" w:tplc="D26AC02C" w:tentative="1">
      <w:start w:val="1"/>
      <w:numFmt w:val="lowerRoman"/>
      <w:lvlText w:val="%6."/>
      <w:lvlJc w:val="right"/>
      <w:pPr>
        <w:tabs>
          <w:tab w:val="num" w:pos="4320"/>
        </w:tabs>
        <w:ind w:left="4320" w:hanging="180"/>
      </w:pPr>
    </w:lvl>
    <w:lvl w:ilvl="6" w:tplc="C7D0FCC6" w:tentative="1">
      <w:start w:val="1"/>
      <w:numFmt w:val="decimal"/>
      <w:lvlText w:val="%7."/>
      <w:lvlJc w:val="left"/>
      <w:pPr>
        <w:tabs>
          <w:tab w:val="num" w:pos="5040"/>
        </w:tabs>
        <w:ind w:left="5040" w:hanging="360"/>
      </w:pPr>
    </w:lvl>
    <w:lvl w:ilvl="7" w:tplc="D23E178A" w:tentative="1">
      <w:start w:val="1"/>
      <w:numFmt w:val="lowerLetter"/>
      <w:lvlText w:val="%8."/>
      <w:lvlJc w:val="left"/>
      <w:pPr>
        <w:tabs>
          <w:tab w:val="num" w:pos="5760"/>
        </w:tabs>
        <w:ind w:left="5760" w:hanging="360"/>
      </w:pPr>
    </w:lvl>
    <w:lvl w:ilvl="8" w:tplc="4BFEA434" w:tentative="1">
      <w:start w:val="1"/>
      <w:numFmt w:val="lowerRoman"/>
      <w:lvlText w:val="%9."/>
      <w:lvlJc w:val="right"/>
      <w:pPr>
        <w:tabs>
          <w:tab w:val="num" w:pos="6480"/>
        </w:tabs>
        <w:ind w:left="6480" w:hanging="180"/>
      </w:pPr>
    </w:lvl>
  </w:abstractNum>
  <w:abstractNum w:abstractNumId="64" w15:restartNumberingAfterBreak="0">
    <w:nsid w:val="14EB2496"/>
    <w:multiLevelType w:val="hybridMultilevel"/>
    <w:tmpl w:val="492C8792"/>
    <w:lvl w:ilvl="0" w:tplc="BBFE9F4A">
      <w:start w:val="1"/>
      <w:numFmt w:val="decimal"/>
      <w:lvlText w:val="(%1)"/>
      <w:lvlJc w:val="left"/>
      <w:pPr>
        <w:ind w:left="3330" w:hanging="360"/>
      </w:pPr>
      <w:rPr>
        <w:rFonts w:hint="default"/>
      </w:rPr>
    </w:lvl>
    <w:lvl w:ilvl="1" w:tplc="04090019">
      <w:start w:val="1"/>
      <w:numFmt w:val="lowerLetter"/>
      <w:lvlText w:val="(%2)"/>
      <w:lvlJc w:val="left"/>
      <w:pPr>
        <w:ind w:left="4050" w:hanging="360"/>
      </w:pPr>
      <w:rPr>
        <w:rFonts w:hint="default"/>
        <w:color w:val="auto"/>
      </w:rPr>
    </w:lvl>
    <w:lvl w:ilvl="2" w:tplc="0409001B">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65" w15:restartNumberingAfterBreak="0">
    <w:nsid w:val="15006324"/>
    <w:multiLevelType w:val="hybridMultilevel"/>
    <w:tmpl w:val="3764882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6" w15:restartNumberingAfterBreak="0">
    <w:nsid w:val="154534B3"/>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15:restartNumberingAfterBreak="0">
    <w:nsid w:val="15EF1932"/>
    <w:multiLevelType w:val="hybridMultilevel"/>
    <w:tmpl w:val="42FE73E6"/>
    <w:lvl w:ilvl="0" w:tplc="986286CC">
      <w:start w:val="1"/>
      <w:numFmt w:val="decimal"/>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 w15:restartNumberingAfterBreak="0">
    <w:nsid w:val="164F7B86"/>
    <w:multiLevelType w:val="multilevel"/>
    <w:tmpl w:val="4C8E5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167239D0"/>
    <w:multiLevelType w:val="hybridMultilevel"/>
    <w:tmpl w:val="1EA04CB4"/>
    <w:lvl w:ilvl="0" w:tplc="1250D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6AC6D1A"/>
    <w:multiLevelType w:val="hybridMultilevel"/>
    <w:tmpl w:val="E5860C06"/>
    <w:lvl w:ilvl="0" w:tplc="FFFFFFF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lowerLetter"/>
      <w:lvlText w:val="(%3)"/>
      <w:lvlJc w:val="left"/>
      <w:pPr>
        <w:tabs>
          <w:tab w:val="num" w:pos="2160"/>
        </w:tabs>
        <w:ind w:left="2160" w:hanging="360"/>
      </w:pPr>
      <w:rPr>
        <w:rFonts w:hint="default"/>
      </w:rPr>
    </w:lvl>
    <w:lvl w:ilvl="3" w:tplc="FFFFFFFF">
      <w:start w:val="1"/>
      <w:numFmt w:val="lowerRoman"/>
      <w:lvlText w:val="(%4)"/>
      <w:lvlJc w:val="right"/>
      <w:pPr>
        <w:tabs>
          <w:tab w:val="num" w:pos="2880"/>
        </w:tabs>
        <w:ind w:left="2880" w:hanging="360"/>
      </w:pPr>
      <w:rPr>
        <w:rFont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7647D92"/>
    <w:multiLevelType w:val="hybridMultilevel"/>
    <w:tmpl w:val="4A785570"/>
    <w:lvl w:ilvl="0" w:tplc="C9BCB580">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720"/>
        </w:tabs>
        <w:ind w:left="720" w:hanging="360"/>
      </w:pPr>
      <w:rPr>
        <w:rFonts w:hint="default"/>
        <w:color w:val="auto"/>
      </w:rPr>
    </w:lvl>
    <w:lvl w:ilvl="2" w:tplc="691E09BE">
      <w:start w:val="1"/>
      <w:numFmt w:val="decimal"/>
      <w:lvlText w:val="%3."/>
      <w:lvlJc w:val="left"/>
      <w:pPr>
        <w:tabs>
          <w:tab w:val="num" w:pos="2160"/>
        </w:tabs>
        <w:ind w:left="2160" w:hanging="360"/>
      </w:pPr>
      <w:rPr>
        <w:rFonts w:hint="default"/>
        <w:color w:val="auto"/>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78A4C5D"/>
    <w:multiLevelType w:val="hybridMultilevel"/>
    <w:tmpl w:val="82B86074"/>
    <w:lvl w:ilvl="0" w:tplc="7FE60B2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7C92696"/>
    <w:multiLevelType w:val="hybridMultilevel"/>
    <w:tmpl w:val="F34AE11C"/>
    <w:lvl w:ilvl="0" w:tplc="D258F7B6">
      <w:start w:val="1"/>
      <w:numFmt w:val="lowerRoman"/>
      <w:lvlText w:val="(%1)"/>
      <w:lvlJc w:val="left"/>
      <w:pPr>
        <w:ind w:left="1800" w:hanging="360"/>
      </w:pPr>
      <w:rPr>
        <w:rFonts w:hint="default"/>
        <w:lang w:val="pt-BR"/>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18703EC7"/>
    <w:multiLevelType w:val="hybridMultilevel"/>
    <w:tmpl w:val="2FE82D0C"/>
    <w:lvl w:ilvl="0" w:tplc="ECA057D0">
      <w:start w:val="1"/>
      <w:numFmt w:val="decimal"/>
      <w:lvlText w:val="(%1)"/>
      <w:lvlJc w:val="left"/>
      <w:pPr>
        <w:ind w:left="720" w:hanging="360"/>
      </w:pPr>
      <w:rPr>
        <w:rFonts w:hint="default"/>
      </w:rPr>
    </w:lvl>
    <w:lvl w:ilvl="1" w:tplc="6B868AA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B74FC9"/>
    <w:multiLevelType w:val="hybridMultilevel"/>
    <w:tmpl w:val="507ADD10"/>
    <w:lvl w:ilvl="0" w:tplc="63809B7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18C44DDD"/>
    <w:multiLevelType w:val="hybridMultilevel"/>
    <w:tmpl w:val="9B72E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192427DD"/>
    <w:multiLevelType w:val="hybridMultilevel"/>
    <w:tmpl w:val="DF02D268"/>
    <w:lvl w:ilvl="0" w:tplc="86CE2E0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99237E9"/>
    <w:multiLevelType w:val="hybridMultilevel"/>
    <w:tmpl w:val="B49EC076"/>
    <w:lvl w:ilvl="0" w:tplc="C9BCB58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9A33CCE"/>
    <w:multiLevelType w:val="hybridMultilevel"/>
    <w:tmpl w:val="CF661386"/>
    <w:lvl w:ilvl="0" w:tplc="C9BCB5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0" w15:restartNumberingAfterBreak="0">
    <w:nsid w:val="1A5D0549"/>
    <w:multiLevelType w:val="multilevel"/>
    <w:tmpl w:val="484E32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1A782076"/>
    <w:multiLevelType w:val="multilevel"/>
    <w:tmpl w:val="DE58532A"/>
    <w:lvl w:ilvl="0">
      <w:start w:val="4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82" w15:restartNumberingAfterBreak="0">
    <w:nsid w:val="1AFA1378"/>
    <w:multiLevelType w:val="hybridMultilevel"/>
    <w:tmpl w:val="342E2016"/>
    <w:lvl w:ilvl="0" w:tplc="C9BCB58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3" w15:restartNumberingAfterBreak="0">
    <w:nsid w:val="1B3F6BD4"/>
    <w:multiLevelType w:val="hybridMultilevel"/>
    <w:tmpl w:val="665C53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1B833207"/>
    <w:multiLevelType w:val="hybridMultilevel"/>
    <w:tmpl w:val="C10A2BDA"/>
    <w:lvl w:ilvl="0" w:tplc="8108945A">
      <w:start w:val="1"/>
      <w:numFmt w:val="decimal"/>
      <w:lvlText w:val="(%1)"/>
      <w:lvlJc w:val="left"/>
      <w:pPr>
        <w:ind w:left="540" w:hanging="360"/>
      </w:pPr>
      <w:rPr>
        <w:rFonts w:eastAsiaTheme="minorHAnsi"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5" w15:restartNumberingAfterBreak="0">
    <w:nsid w:val="1CF6420F"/>
    <w:multiLevelType w:val="hybridMultilevel"/>
    <w:tmpl w:val="1A9C3ED4"/>
    <w:lvl w:ilvl="0" w:tplc="D55604F2">
      <w:start w:val="1"/>
      <w:numFmt w:val="lowerLetter"/>
      <w:lvlText w:val="(%1)"/>
      <w:lvlJc w:val="left"/>
      <w:pPr>
        <w:ind w:left="1581" w:hanging="721"/>
      </w:pPr>
      <w:rPr>
        <w:rFonts w:ascii="Times New Roman" w:eastAsia="Times New Roman" w:hAnsi="Times New Roman" w:cs="Times New Roman" w:hint="default"/>
        <w:b w:val="0"/>
        <w:bCs w:val="0"/>
        <w:i w:val="0"/>
        <w:iCs w:val="0"/>
        <w:spacing w:val="-2"/>
        <w:w w:val="99"/>
        <w:sz w:val="24"/>
        <w:szCs w:val="24"/>
        <w:lang w:val="en-US" w:eastAsia="en-US" w:bidi="ar-SA"/>
      </w:rPr>
    </w:lvl>
    <w:lvl w:ilvl="1" w:tplc="F8C8B8E2">
      <w:numFmt w:val="bullet"/>
      <w:lvlText w:val="•"/>
      <w:lvlJc w:val="left"/>
      <w:pPr>
        <w:ind w:left="2562" w:hanging="721"/>
      </w:pPr>
      <w:rPr>
        <w:rFonts w:hint="default"/>
        <w:lang w:val="en-US" w:eastAsia="en-US" w:bidi="ar-SA"/>
      </w:rPr>
    </w:lvl>
    <w:lvl w:ilvl="2" w:tplc="4C04B506">
      <w:numFmt w:val="bullet"/>
      <w:lvlText w:val="•"/>
      <w:lvlJc w:val="left"/>
      <w:pPr>
        <w:ind w:left="3544" w:hanging="721"/>
      </w:pPr>
      <w:rPr>
        <w:rFonts w:hint="default"/>
        <w:lang w:val="en-US" w:eastAsia="en-US" w:bidi="ar-SA"/>
      </w:rPr>
    </w:lvl>
    <w:lvl w:ilvl="3" w:tplc="451EF740">
      <w:numFmt w:val="bullet"/>
      <w:lvlText w:val="•"/>
      <w:lvlJc w:val="left"/>
      <w:pPr>
        <w:ind w:left="4526" w:hanging="721"/>
      </w:pPr>
      <w:rPr>
        <w:rFonts w:hint="default"/>
        <w:lang w:val="en-US" w:eastAsia="en-US" w:bidi="ar-SA"/>
      </w:rPr>
    </w:lvl>
    <w:lvl w:ilvl="4" w:tplc="D8FCE4AC">
      <w:numFmt w:val="bullet"/>
      <w:lvlText w:val="•"/>
      <w:lvlJc w:val="left"/>
      <w:pPr>
        <w:ind w:left="5508" w:hanging="721"/>
      </w:pPr>
      <w:rPr>
        <w:rFonts w:hint="default"/>
        <w:lang w:val="en-US" w:eastAsia="en-US" w:bidi="ar-SA"/>
      </w:rPr>
    </w:lvl>
    <w:lvl w:ilvl="5" w:tplc="45CC313A">
      <w:numFmt w:val="bullet"/>
      <w:lvlText w:val="•"/>
      <w:lvlJc w:val="left"/>
      <w:pPr>
        <w:ind w:left="6490" w:hanging="721"/>
      </w:pPr>
      <w:rPr>
        <w:rFonts w:hint="default"/>
        <w:lang w:val="en-US" w:eastAsia="en-US" w:bidi="ar-SA"/>
      </w:rPr>
    </w:lvl>
    <w:lvl w:ilvl="6" w:tplc="02D63DAE">
      <w:numFmt w:val="bullet"/>
      <w:lvlText w:val="•"/>
      <w:lvlJc w:val="left"/>
      <w:pPr>
        <w:ind w:left="7472" w:hanging="721"/>
      </w:pPr>
      <w:rPr>
        <w:rFonts w:hint="default"/>
        <w:lang w:val="en-US" w:eastAsia="en-US" w:bidi="ar-SA"/>
      </w:rPr>
    </w:lvl>
    <w:lvl w:ilvl="7" w:tplc="B3207C50">
      <w:numFmt w:val="bullet"/>
      <w:lvlText w:val="•"/>
      <w:lvlJc w:val="left"/>
      <w:pPr>
        <w:ind w:left="8454" w:hanging="721"/>
      </w:pPr>
      <w:rPr>
        <w:rFonts w:hint="default"/>
        <w:lang w:val="en-US" w:eastAsia="en-US" w:bidi="ar-SA"/>
      </w:rPr>
    </w:lvl>
    <w:lvl w:ilvl="8" w:tplc="6B4E2B9A">
      <w:numFmt w:val="bullet"/>
      <w:lvlText w:val="•"/>
      <w:lvlJc w:val="left"/>
      <w:pPr>
        <w:ind w:left="9436" w:hanging="721"/>
      </w:pPr>
      <w:rPr>
        <w:rFonts w:hint="default"/>
        <w:lang w:val="en-US" w:eastAsia="en-US" w:bidi="ar-SA"/>
      </w:rPr>
    </w:lvl>
  </w:abstractNum>
  <w:abstractNum w:abstractNumId="86" w15:restartNumberingAfterBreak="0">
    <w:nsid w:val="1CFA5A3B"/>
    <w:multiLevelType w:val="hybridMultilevel"/>
    <w:tmpl w:val="824641BE"/>
    <w:lvl w:ilvl="0" w:tplc="7FD45F2A">
      <w:start w:val="1"/>
      <w:numFmt w:val="decimal"/>
      <w:lvlText w:val="(%1)"/>
      <w:lvlJc w:val="left"/>
      <w:pPr>
        <w:tabs>
          <w:tab w:val="num" w:pos="1440"/>
        </w:tabs>
        <w:ind w:left="1440" w:hanging="360"/>
      </w:pPr>
      <w:rPr>
        <w:rFonts w:hint="default"/>
      </w:rPr>
    </w:lvl>
    <w:lvl w:ilvl="1" w:tplc="2DFEDBEA" w:tentative="1">
      <w:start w:val="1"/>
      <w:numFmt w:val="lowerLetter"/>
      <w:lvlText w:val="%2."/>
      <w:lvlJc w:val="left"/>
      <w:pPr>
        <w:tabs>
          <w:tab w:val="num" w:pos="2160"/>
        </w:tabs>
        <w:ind w:left="2160" w:hanging="360"/>
      </w:pPr>
    </w:lvl>
    <w:lvl w:ilvl="2" w:tplc="5FF4AB7E" w:tentative="1">
      <w:start w:val="1"/>
      <w:numFmt w:val="lowerRoman"/>
      <w:lvlText w:val="%3."/>
      <w:lvlJc w:val="right"/>
      <w:pPr>
        <w:tabs>
          <w:tab w:val="num" w:pos="2880"/>
        </w:tabs>
        <w:ind w:left="2880" w:hanging="180"/>
      </w:pPr>
    </w:lvl>
    <w:lvl w:ilvl="3" w:tplc="89947D2C" w:tentative="1">
      <w:start w:val="1"/>
      <w:numFmt w:val="decimal"/>
      <w:lvlText w:val="%4."/>
      <w:lvlJc w:val="left"/>
      <w:pPr>
        <w:tabs>
          <w:tab w:val="num" w:pos="3600"/>
        </w:tabs>
        <w:ind w:left="3600" w:hanging="360"/>
      </w:pPr>
    </w:lvl>
    <w:lvl w:ilvl="4" w:tplc="80560C62" w:tentative="1">
      <w:start w:val="1"/>
      <w:numFmt w:val="lowerLetter"/>
      <w:lvlText w:val="%5."/>
      <w:lvlJc w:val="left"/>
      <w:pPr>
        <w:tabs>
          <w:tab w:val="num" w:pos="4320"/>
        </w:tabs>
        <w:ind w:left="4320" w:hanging="360"/>
      </w:pPr>
    </w:lvl>
    <w:lvl w:ilvl="5" w:tplc="6598FCE6" w:tentative="1">
      <w:start w:val="1"/>
      <w:numFmt w:val="lowerRoman"/>
      <w:lvlText w:val="%6."/>
      <w:lvlJc w:val="right"/>
      <w:pPr>
        <w:tabs>
          <w:tab w:val="num" w:pos="5040"/>
        </w:tabs>
        <w:ind w:left="5040" w:hanging="180"/>
      </w:pPr>
    </w:lvl>
    <w:lvl w:ilvl="6" w:tplc="BFBAB4F6" w:tentative="1">
      <w:start w:val="1"/>
      <w:numFmt w:val="decimal"/>
      <w:lvlText w:val="%7."/>
      <w:lvlJc w:val="left"/>
      <w:pPr>
        <w:tabs>
          <w:tab w:val="num" w:pos="5760"/>
        </w:tabs>
        <w:ind w:left="5760" w:hanging="360"/>
      </w:pPr>
    </w:lvl>
    <w:lvl w:ilvl="7" w:tplc="DD2EEF58" w:tentative="1">
      <w:start w:val="1"/>
      <w:numFmt w:val="lowerLetter"/>
      <w:lvlText w:val="%8."/>
      <w:lvlJc w:val="left"/>
      <w:pPr>
        <w:tabs>
          <w:tab w:val="num" w:pos="6480"/>
        </w:tabs>
        <w:ind w:left="6480" w:hanging="360"/>
      </w:pPr>
    </w:lvl>
    <w:lvl w:ilvl="8" w:tplc="A1DCE2FA" w:tentative="1">
      <w:start w:val="1"/>
      <w:numFmt w:val="lowerRoman"/>
      <w:lvlText w:val="%9."/>
      <w:lvlJc w:val="right"/>
      <w:pPr>
        <w:tabs>
          <w:tab w:val="num" w:pos="7200"/>
        </w:tabs>
        <w:ind w:left="7200" w:hanging="180"/>
      </w:pPr>
    </w:lvl>
  </w:abstractNum>
  <w:abstractNum w:abstractNumId="87" w15:restartNumberingAfterBreak="0">
    <w:nsid w:val="1D161A36"/>
    <w:multiLevelType w:val="hybridMultilevel"/>
    <w:tmpl w:val="5D143456"/>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360"/>
        </w:tabs>
        <w:ind w:left="360" w:hanging="360"/>
      </w:pPr>
      <w:rPr>
        <w:rFonts w:hint="default"/>
      </w:rPr>
    </w:lvl>
    <w:lvl w:ilvl="2" w:tplc="FFFFFFFF">
      <w:start w:val="1"/>
      <w:numFmt w:val="decimal"/>
      <w:lvlText w:val="(%3)"/>
      <w:lvlJc w:val="left"/>
      <w:pPr>
        <w:tabs>
          <w:tab w:val="num" w:pos="360"/>
        </w:tabs>
        <w:ind w:left="3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1D5575B1"/>
    <w:multiLevelType w:val="multilevel"/>
    <w:tmpl w:val="0660FCDA"/>
    <w:lvl w:ilvl="0">
      <w:start w:val="1"/>
      <w:numFmt w:val="decimal"/>
      <w:lvlText w:val="(%1)"/>
      <w:lvlJc w:val="left"/>
      <w:pPr>
        <w:ind w:left="720" w:hanging="540"/>
      </w:pPr>
      <w:rPr>
        <w:rFonts w:ascii="Times New Roman" w:hAnsi="Times New Roman" w:hint="default"/>
        <w:b w:val="0"/>
        <w:i w:val="0"/>
        <w:color w:val="auto"/>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89" w15:restartNumberingAfterBreak="0">
    <w:nsid w:val="1D7C5DB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1DB010C6"/>
    <w:multiLevelType w:val="hybridMultilevel"/>
    <w:tmpl w:val="6F548060"/>
    <w:lvl w:ilvl="0" w:tplc="FFFFFFFF">
      <w:start w:val="1"/>
      <w:numFmt w:val="lowerLetter"/>
      <w:lvlText w:val="(%1)"/>
      <w:lvlJc w:val="left"/>
      <w:pPr>
        <w:tabs>
          <w:tab w:val="num" w:pos="720"/>
        </w:tabs>
        <w:ind w:left="720" w:hanging="360"/>
      </w:pPr>
      <w:rPr>
        <w:rFonts w:hint="default"/>
      </w:rPr>
    </w:lvl>
    <w:lvl w:ilvl="1" w:tplc="3D7663F0" w:tentative="1">
      <w:start w:val="1"/>
      <w:numFmt w:val="lowerLetter"/>
      <w:lvlText w:val="%2."/>
      <w:lvlJc w:val="left"/>
      <w:pPr>
        <w:tabs>
          <w:tab w:val="num" w:pos="1440"/>
        </w:tabs>
        <w:ind w:left="1440" w:hanging="360"/>
      </w:pPr>
    </w:lvl>
    <w:lvl w:ilvl="2" w:tplc="C9BCB580" w:tentative="1">
      <w:start w:val="1"/>
      <w:numFmt w:val="lowerRoman"/>
      <w:lvlText w:val="%3."/>
      <w:lvlJc w:val="right"/>
      <w:pPr>
        <w:tabs>
          <w:tab w:val="num" w:pos="2160"/>
        </w:tabs>
        <w:ind w:left="2160" w:hanging="180"/>
      </w:pPr>
    </w:lvl>
    <w:lvl w:ilvl="3" w:tplc="73B0C170"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1EBA05D9"/>
    <w:multiLevelType w:val="hybridMultilevel"/>
    <w:tmpl w:val="F8C8AF10"/>
    <w:lvl w:ilvl="0" w:tplc="C9BCB580">
      <w:start w:val="1"/>
      <w:numFmt w:val="decimal"/>
      <w:lvlText w:val="(%1)"/>
      <w:lvlJc w:val="left"/>
      <w:pPr>
        <w:tabs>
          <w:tab w:val="num" w:pos="360"/>
        </w:tabs>
        <w:ind w:left="36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EE15D58"/>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93" w15:restartNumberingAfterBreak="0">
    <w:nsid w:val="1F400CEF"/>
    <w:multiLevelType w:val="hybridMultilevel"/>
    <w:tmpl w:val="DDE0956A"/>
    <w:lvl w:ilvl="0" w:tplc="FFFFFFFF">
      <w:start w:val="1"/>
      <w:numFmt w:val="decimal"/>
      <w:lvlText w:val="(%1)"/>
      <w:lvlJc w:val="left"/>
      <w:pPr>
        <w:ind w:left="2160" w:hanging="720"/>
      </w:pPr>
      <w:rPr>
        <w:rFonts w:hint="default"/>
        <w:color w:val="auto"/>
        <w:sz w:val="24"/>
        <w:szCs w:val="24"/>
      </w:rPr>
    </w:lvl>
    <w:lvl w:ilvl="1" w:tplc="25823258">
      <w:start w:val="1"/>
      <w:numFmt w:val="lowerRoman"/>
      <w:lvlText w:val="(%2)"/>
      <w:lvlJc w:val="left"/>
      <w:pPr>
        <w:ind w:left="2520" w:hanging="360"/>
      </w:pPr>
      <w:rPr>
        <w:rFonts w:ascii="Times New Roman" w:eastAsiaTheme="minorHAnsi" w:hAnsi="Times New Roman" w:cstheme="minorBidi"/>
      </w:rPr>
    </w:lvl>
    <w:lvl w:ilvl="2" w:tplc="4BEAAA26">
      <w:start w:val="1"/>
      <w:numFmt w:val="lowerRoman"/>
      <w:lvlText w:val="%3."/>
      <w:lvlJc w:val="left"/>
      <w:pPr>
        <w:ind w:left="3780" w:hanging="720"/>
      </w:pPr>
      <w:rPr>
        <w:rFonts w:ascii="Times New Roman" w:hAnsi="Times New Roman" w:cs="Times New Roman" w:hint="default"/>
        <w:sz w:val="24"/>
        <w:szCs w:val="24"/>
      </w:rPr>
    </w:lvl>
    <w:lvl w:ilvl="3" w:tplc="997EE0DA">
      <w:start w:val="1"/>
      <w:numFmt w:val="lowerLetter"/>
      <w:lvlText w:val="(%4)"/>
      <w:lvlJc w:val="left"/>
      <w:pPr>
        <w:ind w:left="1080" w:hanging="360"/>
      </w:pPr>
      <w:rPr>
        <w:rFonts w:ascii="Times New Roman" w:eastAsia="Times New Roman" w:hAnsi="Times New Roman" w:cs="Times New Roman" w:hint="default"/>
        <w:sz w:val="24"/>
      </w:rPr>
    </w:lvl>
    <w:lvl w:ilvl="4" w:tplc="3D600F68">
      <w:start w:val="1"/>
      <w:numFmt w:val="decimal"/>
      <w:lvlText w:val="%5."/>
      <w:lvlJc w:val="left"/>
      <w:pPr>
        <w:ind w:left="3510" w:hanging="360"/>
      </w:pPr>
      <w:rPr>
        <w:b w:val="0"/>
        <w:bCs/>
      </w:r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4" w15:restartNumberingAfterBreak="0">
    <w:nsid w:val="1FD90600"/>
    <w:multiLevelType w:val="hybridMultilevel"/>
    <w:tmpl w:val="000631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200A67F9"/>
    <w:multiLevelType w:val="hybridMultilevel"/>
    <w:tmpl w:val="8BF24E40"/>
    <w:lvl w:ilvl="0" w:tplc="FFFFFFFF">
      <w:start w:val="1"/>
      <w:numFmt w:val="lowerLetter"/>
      <w:lvlText w:val="(%1)"/>
      <w:lvlJc w:val="left"/>
      <w:pPr>
        <w:tabs>
          <w:tab w:val="num" w:pos="1080"/>
        </w:tabs>
        <w:ind w:left="1080" w:hanging="360"/>
      </w:pPr>
      <w:rPr>
        <w:rFonts w:hint="default"/>
      </w:r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20360040"/>
    <w:multiLevelType w:val="multilevel"/>
    <w:tmpl w:val="900804C4"/>
    <w:lvl w:ilvl="0">
      <w:start w:val="1"/>
      <w:numFmt w:val="decimal"/>
      <w:lvlText w:val="4.1.%1"/>
      <w:lvlJc w:val="left"/>
      <w:pPr>
        <w:ind w:left="540" w:hanging="360"/>
      </w:pPr>
      <w:rPr>
        <w:rFonts w:hint="default"/>
        <w:b/>
        <w:bCs/>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97" w15:restartNumberingAfterBreak="0">
    <w:nsid w:val="20440415"/>
    <w:multiLevelType w:val="multilevel"/>
    <w:tmpl w:val="80105D56"/>
    <w:lvl w:ilvl="0">
      <w:start w:val="60"/>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98" w15:restartNumberingAfterBreak="0">
    <w:nsid w:val="213A5F9A"/>
    <w:multiLevelType w:val="multilevel"/>
    <w:tmpl w:val="3E906EC4"/>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99" w15:restartNumberingAfterBreak="0">
    <w:nsid w:val="214B79EE"/>
    <w:multiLevelType w:val="hybridMultilevel"/>
    <w:tmpl w:val="4C5E2D04"/>
    <w:lvl w:ilvl="0" w:tplc="1C7E781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1A57067"/>
    <w:multiLevelType w:val="hybridMultilevel"/>
    <w:tmpl w:val="FE84CE6E"/>
    <w:lvl w:ilvl="0" w:tplc="FFFFFFF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lowerLetter"/>
      <w:lvlText w:val="(%3)"/>
      <w:lvlJc w:val="left"/>
      <w:pPr>
        <w:tabs>
          <w:tab w:val="num" w:pos="2160"/>
        </w:tabs>
        <w:ind w:left="2160" w:hanging="360"/>
      </w:pPr>
      <w:rPr>
        <w:rFonts w:hint="default"/>
      </w:rPr>
    </w:lvl>
    <w:lvl w:ilvl="3" w:tplc="FFFFFFFF">
      <w:start w:val="1"/>
      <w:numFmt w:val="lowerRoman"/>
      <w:lvlText w:val="(%4)"/>
      <w:lvlJc w:val="right"/>
      <w:pPr>
        <w:tabs>
          <w:tab w:val="num" w:pos="2880"/>
        </w:tabs>
        <w:ind w:left="2880" w:hanging="360"/>
      </w:pPr>
      <w:rPr>
        <w:rFont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1F316AA"/>
    <w:multiLevelType w:val="hybridMultilevel"/>
    <w:tmpl w:val="6980EDA4"/>
    <w:lvl w:ilvl="0" w:tplc="9A9A815C">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2351113"/>
    <w:multiLevelType w:val="multilevel"/>
    <w:tmpl w:val="661225D8"/>
    <w:lvl w:ilvl="0">
      <w:start w:val="1"/>
      <w:numFmt w:val="decimal"/>
      <w:lvlText w:val="4.1.%1"/>
      <w:lvlJc w:val="left"/>
      <w:pPr>
        <w:ind w:left="540" w:hanging="360"/>
      </w:pPr>
      <w:rPr>
        <w:rFonts w:hint="default"/>
        <w:b/>
        <w:bCs/>
        <w:i w:val="0"/>
        <w:sz w:val="24"/>
      </w:rPr>
    </w:lvl>
    <w:lvl w:ilvl="1">
      <w:start w:val="2"/>
      <w:numFmt w:val="decimal"/>
      <w:lvlText w:val="(%2)"/>
      <w:lvlJc w:val="left"/>
      <w:pPr>
        <w:ind w:left="540" w:hanging="540"/>
      </w:pPr>
      <w:rPr>
        <w:rFonts w:ascii="Times New Roman" w:eastAsia="Times New Roman" w:hAnsi="Times New Roman" w:cs="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03" w15:restartNumberingAfterBreak="0">
    <w:nsid w:val="226416C8"/>
    <w:multiLevelType w:val="hybridMultilevel"/>
    <w:tmpl w:val="A4003F92"/>
    <w:lvl w:ilvl="0" w:tplc="7FE60B2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2A42766"/>
    <w:multiLevelType w:val="hybridMultilevel"/>
    <w:tmpl w:val="A27C03CC"/>
    <w:lvl w:ilvl="0" w:tplc="356E4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3633E7D"/>
    <w:multiLevelType w:val="hybridMultilevel"/>
    <w:tmpl w:val="1096865A"/>
    <w:lvl w:ilvl="0" w:tplc="4294AE84">
      <w:start w:val="1"/>
      <w:numFmt w:val="lowerLetter"/>
      <w:lvlText w:val="(%1)"/>
      <w:lvlJc w:val="left"/>
      <w:pPr>
        <w:tabs>
          <w:tab w:val="num" w:pos="1440"/>
        </w:tabs>
        <w:ind w:left="1440" w:hanging="360"/>
      </w:pPr>
      <w:rPr>
        <w:rFonts w:hint="default"/>
      </w:rPr>
    </w:lvl>
    <w:lvl w:ilvl="1" w:tplc="E4669E28"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AD7AC692"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15:restartNumberingAfterBreak="0">
    <w:nsid w:val="23BD5358"/>
    <w:multiLevelType w:val="hybridMultilevel"/>
    <w:tmpl w:val="86F26388"/>
    <w:lvl w:ilvl="0" w:tplc="552495CE">
      <w:start w:val="1"/>
      <w:numFmt w:val="bullet"/>
      <w:lvlText w:val="-"/>
      <w:lvlJc w:val="left"/>
      <w:pPr>
        <w:ind w:left="1710" w:hanging="360"/>
      </w:pPr>
      <w:rPr>
        <w:rFonts w:ascii="Times New Roman Bold" w:eastAsia="Times New Roman" w:hAnsi="Times New Roman Bold" w:cs="Times New Roman" w:hint="default"/>
        <w:b w:val="0"/>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7" w15:restartNumberingAfterBreak="0">
    <w:nsid w:val="243F3CC2"/>
    <w:multiLevelType w:val="hybridMultilevel"/>
    <w:tmpl w:val="26F607D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24DA736A"/>
    <w:multiLevelType w:val="multilevel"/>
    <w:tmpl w:val="50CE7CDA"/>
    <w:lvl w:ilvl="0">
      <w:start w:val="5"/>
      <w:numFmt w:val="decimal"/>
      <w:lvlText w:val="%1"/>
      <w:lvlJc w:val="left"/>
      <w:pPr>
        <w:ind w:left="530" w:hanging="530"/>
      </w:pPr>
    </w:lvl>
    <w:lvl w:ilvl="1">
      <w:start w:val="8"/>
      <w:numFmt w:val="decimal"/>
      <w:lvlText w:val="%1.%2"/>
      <w:lvlJc w:val="left"/>
      <w:pPr>
        <w:ind w:left="530" w:hanging="53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15:restartNumberingAfterBreak="0">
    <w:nsid w:val="25A55AD2"/>
    <w:multiLevelType w:val="hybridMultilevel"/>
    <w:tmpl w:val="F56009A6"/>
    <w:lvl w:ilvl="0" w:tplc="B156E142">
      <w:start w:val="4"/>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60D75F0"/>
    <w:multiLevelType w:val="hybridMultilevel"/>
    <w:tmpl w:val="9128313E"/>
    <w:lvl w:ilvl="0" w:tplc="C9BCB580">
      <w:start w:val="1"/>
      <w:numFmt w:val="decimal"/>
      <w:lvlText w:val="(%1)"/>
      <w:lvlJc w:val="left"/>
      <w:pPr>
        <w:tabs>
          <w:tab w:val="num" w:pos="360"/>
        </w:tabs>
        <w:ind w:left="36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lowerLetter"/>
      <w:lvlText w:val="(%3)"/>
      <w:lvlJc w:val="left"/>
      <w:pPr>
        <w:tabs>
          <w:tab w:val="num" w:pos="2160"/>
        </w:tabs>
        <w:ind w:left="2160" w:hanging="360"/>
      </w:pPr>
      <w:rPr>
        <w:rFonts w:hint="default"/>
      </w:rPr>
    </w:lvl>
    <w:lvl w:ilvl="3" w:tplc="0409000F">
      <w:start w:val="1"/>
      <w:numFmt w:val="lowerRoman"/>
      <w:lvlText w:val="(%4)"/>
      <w:lvlJc w:val="right"/>
      <w:pPr>
        <w:tabs>
          <w:tab w:val="num" w:pos="2880"/>
        </w:tabs>
        <w:ind w:left="2880" w:hanging="360"/>
      </w:pPr>
      <w:rPr>
        <w:rFonts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61373B5"/>
    <w:multiLevelType w:val="multilevel"/>
    <w:tmpl w:val="1F707A6C"/>
    <w:lvl w:ilvl="0">
      <w:start w:val="2"/>
      <w:numFmt w:val="lowerLetter"/>
      <w:lvlText w:val="(%1)"/>
      <w:lvlJc w:val="left"/>
      <w:pPr>
        <w:tabs>
          <w:tab w:val="num" w:pos="0"/>
        </w:tabs>
        <w:ind w:left="0" w:hanging="720"/>
      </w:pPr>
      <w:rPr>
        <w:rFonts w:hint="default"/>
      </w:rPr>
    </w:lvl>
    <w:lvl w:ilvl="1">
      <w:start w:val="2"/>
      <w:numFmt w:val="lowerLetter"/>
      <w:lvlText w:val="(%2)"/>
      <w:lvlJc w:val="left"/>
      <w:pPr>
        <w:tabs>
          <w:tab w:val="num" w:pos="720"/>
        </w:tabs>
        <w:ind w:left="720" w:hanging="720"/>
      </w:pPr>
      <w:rPr>
        <w:rFonts w:hint="default"/>
      </w:rPr>
    </w:lvl>
    <w:lvl w:ilvl="2">
      <w:start w:val="1"/>
      <w:numFmt w:val="decimal"/>
      <w:lvlText w:val="(%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right"/>
      <w:pPr>
        <w:tabs>
          <w:tab w:val="num" w:pos="2880"/>
        </w:tabs>
        <w:ind w:left="2880" w:hanging="720"/>
      </w:pPr>
      <w:rPr>
        <w:rFonts w:hint="default"/>
      </w:rPr>
    </w:lvl>
    <w:lvl w:ilvl="5">
      <w:start w:val="1"/>
      <w:numFmt w:val="lowerRoman"/>
      <w:lvlText w:val="(%6)"/>
      <w:lvlJc w:val="righ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112" w15:restartNumberingAfterBreak="0">
    <w:nsid w:val="26967AFC"/>
    <w:multiLevelType w:val="multilevel"/>
    <w:tmpl w:val="DB2602A4"/>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13" w15:restartNumberingAfterBreak="0">
    <w:nsid w:val="26A25B62"/>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14" w15:restartNumberingAfterBreak="0">
    <w:nsid w:val="26A84009"/>
    <w:multiLevelType w:val="multilevel"/>
    <w:tmpl w:val="61B6FA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15:restartNumberingAfterBreak="0">
    <w:nsid w:val="26D15AD7"/>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16" w15:restartNumberingAfterBreak="0">
    <w:nsid w:val="26E9616F"/>
    <w:multiLevelType w:val="hybridMultilevel"/>
    <w:tmpl w:val="6C3C91E6"/>
    <w:lvl w:ilvl="0" w:tplc="C4D83422">
      <w:start w:val="1"/>
      <w:numFmt w:val="lowerLetter"/>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74D6A09"/>
    <w:multiLevelType w:val="multilevel"/>
    <w:tmpl w:val="1D861D38"/>
    <w:lvl w:ilvl="0">
      <w:start w:val="2"/>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18" w15:restartNumberingAfterBreak="0">
    <w:nsid w:val="278A0A93"/>
    <w:multiLevelType w:val="hybridMultilevel"/>
    <w:tmpl w:val="DB64487C"/>
    <w:lvl w:ilvl="0" w:tplc="92F40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78D0270"/>
    <w:multiLevelType w:val="hybridMultilevel"/>
    <w:tmpl w:val="D3BED1C2"/>
    <w:lvl w:ilvl="0" w:tplc="6B868A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2792511A"/>
    <w:multiLevelType w:val="hybridMultilevel"/>
    <w:tmpl w:val="F176EEF4"/>
    <w:lvl w:ilvl="0" w:tplc="C9BCB58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1" w15:restartNumberingAfterBreak="0">
    <w:nsid w:val="27DC4E7B"/>
    <w:multiLevelType w:val="hybridMultilevel"/>
    <w:tmpl w:val="1C3A2DA4"/>
    <w:lvl w:ilvl="0" w:tplc="7FE60B22">
      <w:start w:val="1"/>
      <w:numFmt w:val="decimal"/>
      <w:pStyle w:val="TOCHeading2"/>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28306C8B"/>
    <w:multiLevelType w:val="multilevel"/>
    <w:tmpl w:val="14382080"/>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288A7D08"/>
    <w:multiLevelType w:val="hybridMultilevel"/>
    <w:tmpl w:val="B448DA4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8A74A4D"/>
    <w:multiLevelType w:val="hybridMultilevel"/>
    <w:tmpl w:val="599289D2"/>
    <w:lvl w:ilvl="0" w:tplc="C9BCB580">
      <w:start w:val="1"/>
      <w:numFmt w:val="decimal"/>
      <w:lvlText w:val="(%1)"/>
      <w:lvlJc w:val="left"/>
      <w:pPr>
        <w:tabs>
          <w:tab w:val="num" w:pos="1800"/>
        </w:tabs>
        <w:ind w:left="1800" w:hanging="360"/>
      </w:pPr>
      <w:rPr>
        <w:rFonts w:hint="default"/>
      </w:rPr>
    </w:lvl>
    <w:lvl w:ilvl="1" w:tplc="73B0C170">
      <w:start w:val="1"/>
      <w:numFmt w:val="lowerLetter"/>
      <w:lvlText w:val="%2."/>
      <w:lvlJc w:val="left"/>
      <w:pPr>
        <w:tabs>
          <w:tab w:val="num" w:pos="2880"/>
        </w:tabs>
        <w:ind w:left="2880" w:hanging="360"/>
      </w:pPr>
    </w:lvl>
    <w:lvl w:ilvl="2" w:tplc="04090005">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125" w15:restartNumberingAfterBreak="0">
    <w:nsid w:val="28B269E1"/>
    <w:multiLevelType w:val="hybridMultilevel"/>
    <w:tmpl w:val="6DE2E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28D2401B"/>
    <w:multiLevelType w:val="multilevel"/>
    <w:tmpl w:val="3E6633F0"/>
    <w:lvl w:ilvl="0">
      <w:start w:val="1"/>
      <w:numFmt w:val="decimal"/>
      <w:lvlText w:val="(%1)"/>
      <w:lvlJc w:val="left"/>
      <w:pPr>
        <w:tabs>
          <w:tab w:val="num" w:pos="720"/>
        </w:tabs>
        <w:ind w:left="720" w:hanging="540"/>
      </w:pPr>
      <w:rPr>
        <w:rFonts w:ascii="Times New Roman" w:hAnsi="Times New Roman" w:hint="default"/>
        <w:b w:val="0"/>
        <w:i w:val="0"/>
        <w:sz w:val="24"/>
      </w:rPr>
    </w:lvl>
    <w:lvl w:ilvl="1">
      <w:start w:val="1"/>
      <w:numFmt w:val="lowerLetter"/>
      <w:lvlText w:val="(%2)"/>
      <w:lvlJc w:val="left"/>
      <w:pPr>
        <w:tabs>
          <w:tab w:val="num" w:pos="1440"/>
        </w:tabs>
        <w:ind w:left="1440" w:hanging="540"/>
      </w:pPr>
      <w:rPr>
        <w:rFonts w:ascii="Times New Roman" w:hAnsi="Times New Roman" w:hint="default"/>
        <w:b w:val="0"/>
        <w:i w:val="0"/>
        <w:sz w:val="24"/>
      </w:rPr>
    </w:lvl>
    <w:lvl w:ilvl="2">
      <w:start w:val="1"/>
      <w:numFmt w:val="lowerRoman"/>
      <w:lvlText w:val="(%3)"/>
      <w:lvlJc w:val="right"/>
      <w:pPr>
        <w:tabs>
          <w:tab w:val="num" w:pos="2160"/>
        </w:tabs>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27" w15:restartNumberingAfterBreak="0">
    <w:nsid w:val="29404080"/>
    <w:multiLevelType w:val="multilevel"/>
    <w:tmpl w:val="900804C4"/>
    <w:lvl w:ilvl="0">
      <w:start w:val="1"/>
      <w:numFmt w:val="decimal"/>
      <w:lvlText w:val="4.1.%1"/>
      <w:lvlJc w:val="left"/>
      <w:pPr>
        <w:ind w:left="540" w:hanging="360"/>
      </w:pPr>
      <w:rPr>
        <w:rFonts w:hint="default"/>
        <w:b/>
        <w:bCs/>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28" w15:restartNumberingAfterBreak="0">
    <w:nsid w:val="2967003D"/>
    <w:multiLevelType w:val="hybridMultilevel"/>
    <w:tmpl w:val="658AFDE6"/>
    <w:lvl w:ilvl="0" w:tplc="BEA40F1C">
      <w:start w:val="1"/>
      <w:numFmt w:val="decimal"/>
      <w:lvlText w:val="(%1)"/>
      <w:lvlJc w:val="left"/>
      <w:pPr>
        <w:tabs>
          <w:tab w:val="num" w:pos="1440"/>
        </w:tabs>
        <w:ind w:left="1440" w:hanging="360"/>
      </w:pPr>
      <w:rPr>
        <w:rFonts w:hint="default"/>
      </w:rPr>
    </w:lvl>
    <w:lvl w:ilvl="1" w:tplc="04090019">
      <w:start w:val="1"/>
      <w:numFmt w:val="bullet"/>
      <w:lvlText w:val=""/>
      <w:lvlJc w:val="left"/>
      <w:pPr>
        <w:tabs>
          <w:tab w:val="num" w:pos="1500"/>
        </w:tabs>
        <w:ind w:left="1500" w:hanging="360"/>
      </w:pPr>
      <w:rPr>
        <w:rFonts w:ascii="Wingdings" w:hAnsi="Wingdings"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129" w15:restartNumberingAfterBreak="0">
    <w:nsid w:val="2A06686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30" w15:restartNumberingAfterBreak="0">
    <w:nsid w:val="2A8D30A0"/>
    <w:multiLevelType w:val="multilevel"/>
    <w:tmpl w:val="C7B296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2AA71488"/>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32" w15:restartNumberingAfterBreak="0">
    <w:nsid w:val="2AD030A5"/>
    <w:multiLevelType w:val="hybridMultilevel"/>
    <w:tmpl w:val="6966F906"/>
    <w:lvl w:ilvl="0" w:tplc="D2C45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AFD6EFD"/>
    <w:multiLevelType w:val="hybridMultilevel"/>
    <w:tmpl w:val="DE064870"/>
    <w:lvl w:ilvl="0" w:tplc="C9BCB580">
      <w:start w:val="1"/>
      <w:numFmt w:val="decimal"/>
      <w:lvlText w:val="(%1)"/>
      <w:lvlJc w:val="left"/>
      <w:pPr>
        <w:ind w:left="720" w:hanging="360"/>
      </w:pPr>
      <w:rPr>
        <w:rFonts w:hint="default"/>
      </w:rPr>
    </w:lvl>
    <w:lvl w:ilvl="1" w:tplc="FB0A62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B093335"/>
    <w:multiLevelType w:val="hybridMultilevel"/>
    <w:tmpl w:val="EBA222CC"/>
    <w:lvl w:ilvl="0" w:tplc="340E47CA">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2B133A73"/>
    <w:multiLevelType w:val="hybridMultilevel"/>
    <w:tmpl w:val="235610AC"/>
    <w:lvl w:ilvl="0" w:tplc="9ADEC790">
      <w:start w:val="1"/>
      <w:numFmt w:val="upperLetter"/>
      <w:lvlText w:val="(%1)"/>
      <w:lvlJc w:val="left"/>
      <w:pPr>
        <w:ind w:left="720" w:hanging="360"/>
      </w:pPr>
      <w:rPr>
        <w:rFonts w:hint="default"/>
      </w:rPr>
    </w:lvl>
    <w:lvl w:ilvl="1" w:tplc="C9BCB580">
      <w:start w:val="1"/>
      <w:numFmt w:val="decimal"/>
      <w:lvlText w:val="(%2)"/>
      <w:lvlJc w:val="left"/>
      <w:pPr>
        <w:ind w:left="1440" w:hanging="360"/>
      </w:pPr>
      <w:rPr>
        <w:rFonts w:hint="default"/>
      </w:rPr>
    </w:lvl>
    <w:lvl w:ilvl="2" w:tplc="892E2F8A">
      <w:start w:val="1"/>
      <w:numFmt w:val="lowerLetter"/>
      <w:lvlText w:val="(%3)"/>
      <w:lvlJc w:val="left"/>
      <w:pPr>
        <w:ind w:left="2160" w:hanging="180"/>
      </w:pPr>
      <w:rPr>
        <w:rFonts w:hint="default"/>
        <w:b w:val="0"/>
      </w:rPr>
    </w:lvl>
    <w:lvl w:ilvl="3" w:tplc="F68E5460">
      <w:start w:val="1"/>
      <w:numFmt w:val="lowerRoman"/>
      <w:lvlText w:val="(%4)"/>
      <w:lvlJc w:val="left"/>
      <w:pPr>
        <w:ind w:left="2880" w:hanging="360"/>
      </w:pPr>
      <w:rPr>
        <w:rFonts w:hint="default"/>
        <w:b w:val="0"/>
        <w:lang w:val="pt-BR"/>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B15717C"/>
    <w:multiLevelType w:val="hybridMultilevel"/>
    <w:tmpl w:val="DF8A5070"/>
    <w:lvl w:ilvl="0" w:tplc="F934C4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2B3604BE"/>
    <w:multiLevelType w:val="hybridMultilevel"/>
    <w:tmpl w:val="37E82002"/>
    <w:lvl w:ilvl="0" w:tplc="8000DE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B3D0F86"/>
    <w:multiLevelType w:val="hybridMultilevel"/>
    <w:tmpl w:val="507ADD10"/>
    <w:lvl w:ilvl="0" w:tplc="63809B7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2B441C72"/>
    <w:multiLevelType w:val="hybridMultilevel"/>
    <w:tmpl w:val="DC76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B6B5602"/>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41" w15:restartNumberingAfterBreak="0">
    <w:nsid w:val="2B9A720D"/>
    <w:multiLevelType w:val="hybridMultilevel"/>
    <w:tmpl w:val="55AAC11A"/>
    <w:lvl w:ilvl="0" w:tplc="04090019">
      <w:start w:val="1"/>
      <w:numFmt w:val="lowerLetter"/>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42" w15:restartNumberingAfterBreak="0">
    <w:nsid w:val="2BDC4A29"/>
    <w:multiLevelType w:val="hybridMultilevel"/>
    <w:tmpl w:val="83F60A80"/>
    <w:lvl w:ilvl="0" w:tplc="C9BCB580">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3" w15:restartNumberingAfterBreak="0">
    <w:nsid w:val="2BEB0BD4"/>
    <w:multiLevelType w:val="hybridMultilevel"/>
    <w:tmpl w:val="ED6CF6D2"/>
    <w:lvl w:ilvl="0" w:tplc="B46049C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4" w15:restartNumberingAfterBreak="0">
    <w:nsid w:val="2C1D16FA"/>
    <w:multiLevelType w:val="hybridMultilevel"/>
    <w:tmpl w:val="409048C4"/>
    <w:lvl w:ilvl="0" w:tplc="5BD69930">
      <w:start w:val="1"/>
      <w:numFmt w:val="decimal"/>
      <w:lvlText w:val="(%1)"/>
      <w:lvlJc w:val="left"/>
      <w:pPr>
        <w:tabs>
          <w:tab w:val="num" w:pos="360"/>
        </w:tabs>
        <w:ind w:left="360" w:hanging="360"/>
      </w:pPr>
      <w:rPr>
        <w:rFonts w:hint="default"/>
      </w:rPr>
    </w:lvl>
    <w:lvl w:ilvl="1" w:tplc="5AE22348" w:tentative="1">
      <w:start w:val="1"/>
      <w:numFmt w:val="lowerLetter"/>
      <w:lvlText w:val="%2."/>
      <w:lvlJc w:val="left"/>
      <w:pPr>
        <w:tabs>
          <w:tab w:val="num" w:pos="1440"/>
        </w:tabs>
        <w:ind w:left="1440" w:hanging="360"/>
      </w:pPr>
    </w:lvl>
    <w:lvl w:ilvl="2" w:tplc="D5E8AB2C" w:tentative="1">
      <w:start w:val="1"/>
      <w:numFmt w:val="lowerRoman"/>
      <w:lvlText w:val="%3."/>
      <w:lvlJc w:val="right"/>
      <w:pPr>
        <w:tabs>
          <w:tab w:val="num" w:pos="2160"/>
        </w:tabs>
        <w:ind w:left="2160" w:hanging="180"/>
      </w:pPr>
    </w:lvl>
    <w:lvl w:ilvl="3" w:tplc="5F42DCB2" w:tentative="1">
      <w:start w:val="1"/>
      <w:numFmt w:val="decimal"/>
      <w:lvlText w:val="%4."/>
      <w:lvlJc w:val="left"/>
      <w:pPr>
        <w:tabs>
          <w:tab w:val="num" w:pos="2880"/>
        </w:tabs>
        <w:ind w:left="2880" w:hanging="360"/>
      </w:pPr>
    </w:lvl>
    <w:lvl w:ilvl="4" w:tplc="1A6CEAF8" w:tentative="1">
      <w:start w:val="1"/>
      <w:numFmt w:val="lowerLetter"/>
      <w:lvlText w:val="%5."/>
      <w:lvlJc w:val="left"/>
      <w:pPr>
        <w:tabs>
          <w:tab w:val="num" w:pos="3600"/>
        </w:tabs>
        <w:ind w:left="3600" w:hanging="360"/>
      </w:pPr>
    </w:lvl>
    <w:lvl w:ilvl="5" w:tplc="F2A09BAE" w:tentative="1">
      <w:start w:val="1"/>
      <w:numFmt w:val="lowerRoman"/>
      <w:lvlText w:val="%6."/>
      <w:lvlJc w:val="right"/>
      <w:pPr>
        <w:tabs>
          <w:tab w:val="num" w:pos="4320"/>
        </w:tabs>
        <w:ind w:left="4320" w:hanging="180"/>
      </w:pPr>
    </w:lvl>
    <w:lvl w:ilvl="6" w:tplc="13144B16" w:tentative="1">
      <w:start w:val="1"/>
      <w:numFmt w:val="decimal"/>
      <w:lvlText w:val="%7."/>
      <w:lvlJc w:val="left"/>
      <w:pPr>
        <w:tabs>
          <w:tab w:val="num" w:pos="5040"/>
        </w:tabs>
        <w:ind w:left="5040" w:hanging="360"/>
      </w:pPr>
    </w:lvl>
    <w:lvl w:ilvl="7" w:tplc="22A20458" w:tentative="1">
      <w:start w:val="1"/>
      <w:numFmt w:val="lowerLetter"/>
      <w:lvlText w:val="%8."/>
      <w:lvlJc w:val="left"/>
      <w:pPr>
        <w:tabs>
          <w:tab w:val="num" w:pos="5760"/>
        </w:tabs>
        <w:ind w:left="5760" w:hanging="360"/>
      </w:pPr>
    </w:lvl>
    <w:lvl w:ilvl="8" w:tplc="F0546C2E" w:tentative="1">
      <w:start w:val="1"/>
      <w:numFmt w:val="lowerRoman"/>
      <w:lvlText w:val="%9."/>
      <w:lvlJc w:val="right"/>
      <w:pPr>
        <w:tabs>
          <w:tab w:val="num" w:pos="6480"/>
        </w:tabs>
        <w:ind w:left="6480" w:hanging="180"/>
      </w:pPr>
    </w:lvl>
  </w:abstractNum>
  <w:abstractNum w:abstractNumId="145" w15:restartNumberingAfterBreak="0">
    <w:nsid w:val="2C351753"/>
    <w:multiLevelType w:val="hybridMultilevel"/>
    <w:tmpl w:val="CC00C994"/>
    <w:lvl w:ilvl="0" w:tplc="AEE4DDE0">
      <w:start w:val="1"/>
      <w:numFmt w:val="bullet"/>
      <w:lvlText w:val=""/>
      <w:lvlJc w:val="left"/>
      <w:pPr>
        <w:ind w:left="1080" w:hanging="360"/>
      </w:pPr>
      <w:rPr>
        <w:rFonts w:ascii="Symbol" w:hAnsi="Symbol"/>
      </w:rPr>
    </w:lvl>
    <w:lvl w:ilvl="1" w:tplc="B128FBA0">
      <w:start w:val="1"/>
      <w:numFmt w:val="bullet"/>
      <w:lvlText w:val=""/>
      <w:lvlJc w:val="left"/>
      <w:pPr>
        <w:ind w:left="1440" w:hanging="360"/>
      </w:pPr>
      <w:rPr>
        <w:rFonts w:ascii="Symbol" w:hAnsi="Symbol"/>
      </w:rPr>
    </w:lvl>
    <w:lvl w:ilvl="2" w:tplc="7A1ABBAE">
      <w:start w:val="1"/>
      <w:numFmt w:val="bullet"/>
      <w:lvlText w:val=""/>
      <w:lvlJc w:val="left"/>
      <w:pPr>
        <w:ind w:left="1080" w:hanging="360"/>
      </w:pPr>
      <w:rPr>
        <w:rFonts w:ascii="Symbol" w:hAnsi="Symbol"/>
      </w:rPr>
    </w:lvl>
    <w:lvl w:ilvl="3" w:tplc="B6427952">
      <w:start w:val="1"/>
      <w:numFmt w:val="bullet"/>
      <w:lvlText w:val=""/>
      <w:lvlJc w:val="left"/>
      <w:pPr>
        <w:ind w:left="1080" w:hanging="360"/>
      </w:pPr>
      <w:rPr>
        <w:rFonts w:ascii="Symbol" w:hAnsi="Symbol"/>
      </w:rPr>
    </w:lvl>
    <w:lvl w:ilvl="4" w:tplc="AE660458">
      <w:start w:val="1"/>
      <w:numFmt w:val="bullet"/>
      <w:lvlText w:val=""/>
      <w:lvlJc w:val="left"/>
      <w:pPr>
        <w:ind w:left="1080" w:hanging="360"/>
      </w:pPr>
      <w:rPr>
        <w:rFonts w:ascii="Symbol" w:hAnsi="Symbol"/>
      </w:rPr>
    </w:lvl>
    <w:lvl w:ilvl="5" w:tplc="1F7E89DE">
      <w:start w:val="1"/>
      <w:numFmt w:val="bullet"/>
      <w:lvlText w:val=""/>
      <w:lvlJc w:val="left"/>
      <w:pPr>
        <w:ind w:left="1080" w:hanging="360"/>
      </w:pPr>
      <w:rPr>
        <w:rFonts w:ascii="Symbol" w:hAnsi="Symbol"/>
      </w:rPr>
    </w:lvl>
    <w:lvl w:ilvl="6" w:tplc="9E989994">
      <w:start w:val="1"/>
      <w:numFmt w:val="bullet"/>
      <w:lvlText w:val=""/>
      <w:lvlJc w:val="left"/>
      <w:pPr>
        <w:ind w:left="1080" w:hanging="360"/>
      </w:pPr>
      <w:rPr>
        <w:rFonts w:ascii="Symbol" w:hAnsi="Symbol"/>
      </w:rPr>
    </w:lvl>
    <w:lvl w:ilvl="7" w:tplc="4A1EC6C2">
      <w:start w:val="1"/>
      <w:numFmt w:val="bullet"/>
      <w:lvlText w:val=""/>
      <w:lvlJc w:val="left"/>
      <w:pPr>
        <w:ind w:left="1080" w:hanging="360"/>
      </w:pPr>
      <w:rPr>
        <w:rFonts w:ascii="Symbol" w:hAnsi="Symbol"/>
      </w:rPr>
    </w:lvl>
    <w:lvl w:ilvl="8" w:tplc="91A61DEA">
      <w:start w:val="1"/>
      <w:numFmt w:val="bullet"/>
      <w:lvlText w:val=""/>
      <w:lvlJc w:val="left"/>
      <w:pPr>
        <w:ind w:left="1080" w:hanging="360"/>
      </w:pPr>
      <w:rPr>
        <w:rFonts w:ascii="Symbol" w:hAnsi="Symbol"/>
      </w:rPr>
    </w:lvl>
  </w:abstractNum>
  <w:abstractNum w:abstractNumId="146" w15:restartNumberingAfterBreak="0">
    <w:nsid w:val="2CA91791"/>
    <w:multiLevelType w:val="hybridMultilevel"/>
    <w:tmpl w:val="77C43ADC"/>
    <w:lvl w:ilvl="0" w:tplc="5202A5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2DA83C6A"/>
    <w:multiLevelType w:val="hybridMultilevel"/>
    <w:tmpl w:val="CEAAE48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48" w15:restartNumberingAfterBreak="0">
    <w:nsid w:val="2DBA062E"/>
    <w:multiLevelType w:val="hybridMultilevel"/>
    <w:tmpl w:val="85AEC2BE"/>
    <w:lvl w:ilvl="0" w:tplc="0409001B">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2DF4265A"/>
    <w:multiLevelType w:val="multilevel"/>
    <w:tmpl w:val="E55215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0" w15:restartNumberingAfterBreak="0">
    <w:nsid w:val="2E0C3165"/>
    <w:multiLevelType w:val="multilevel"/>
    <w:tmpl w:val="788AD7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2E3E2D52"/>
    <w:multiLevelType w:val="hybridMultilevel"/>
    <w:tmpl w:val="ACAE0D56"/>
    <w:lvl w:ilvl="0" w:tplc="C9BCB58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2E5245D3"/>
    <w:multiLevelType w:val="hybridMultilevel"/>
    <w:tmpl w:val="F3FE0A9E"/>
    <w:lvl w:ilvl="0" w:tplc="C9BCB580">
      <w:start w:val="1"/>
      <w:numFmt w:val="decimal"/>
      <w:lvlText w:val="(%1)"/>
      <w:lvlJc w:val="left"/>
      <w:pPr>
        <w:tabs>
          <w:tab w:val="num" w:pos="720"/>
        </w:tabs>
        <w:ind w:left="720" w:hanging="360"/>
      </w:pPr>
      <w:rPr>
        <w:rFonts w:hint="default"/>
      </w:rPr>
    </w:lvl>
    <w:lvl w:ilvl="1" w:tplc="04090005"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2E6D5864"/>
    <w:multiLevelType w:val="multilevel"/>
    <w:tmpl w:val="9E0A5E7E"/>
    <w:lvl w:ilvl="0">
      <w:start w:val="1"/>
      <w:numFmt w:val="lowerLetter"/>
      <w:lvlText w:val="(%1)"/>
      <w:lvlJc w:val="left"/>
      <w:pPr>
        <w:ind w:left="720" w:hanging="540"/>
      </w:pPr>
      <w:rPr>
        <w:rFonts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Letter"/>
      <w:lvlText w:val="(%3)"/>
      <w:lvlJc w:val="left"/>
      <w:pPr>
        <w:ind w:left="2160" w:hanging="540"/>
      </w:pPr>
      <w:rPr>
        <w:rFonts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54" w15:restartNumberingAfterBreak="0">
    <w:nsid w:val="2EF655DB"/>
    <w:multiLevelType w:val="hybridMultilevel"/>
    <w:tmpl w:val="986AB118"/>
    <w:lvl w:ilvl="0" w:tplc="1FB6CBB4">
      <w:start w:val="1"/>
      <w:numFmt w:val="decimal"/>
      <w:lvlText w:val="(%1)"/>
      <w:lvlJc w:val="left"/>
      <w:pPr>
        <w:ind w:left="720" w:hanging="360"/>
      </w:pPr>
      <w:rPr>
        <w:rFonts w:hint="default"/>
      </w:rPr>
    </w:lvl>
    <w:lvl w:ilvl="1" w:tplc="A466839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EFB1310"/>
    <w:multiLevelType w:val="hybridMultilevel"/>
    <w:tmpl w:val="F342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F8962E2"/>
    <w:multiLevelType w:val="multilevel"/>
    <w:tmpl w:val="7BB66A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15:restartNumberingAfterBreak="0">
    <w:nsid w:val="30172EE1"/>
    <w:multiLevelType w:val="hybridMultilevel"/>
    <w:tmpl w:val="43FEE9F0"/>
    <w:lvl w:ilvl="0" w:tplc="C9BCB580">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8" w15:restartNumberingAfterBreak="0">
    <w:nsid w:val="302D6E81"/>
    <w:multiLevelType w:val="hybridMultilevel"/>
    <w:tmpl w:val="AF6A2C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30863003"/>
    <w:multiLevelType w:val="multilevel"/>
    <w:tmpl w:val="E48EA468"/>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righ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160" w15:restartNumberingAfterBreak="0">
    <w:nsid w:val="30B555CB"/>
    <w:multiLevelType w:val="hybridMultilevel"/>
    <w:tmpl w:val="3B6C1636"/>
    <w:lvl w:ilvl="0" w:tplc="ABE4E5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0BF3A3D"/>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62" w15:restartNumberingAfterBreak="0">
    <w:nsid w:val="319E42B0"/>
    <w:multiLevelType w:val="multilevel"/>
    <w:tmpl w:val="701428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3" w15:restartNumberingAfterBreak="0">
    <w:nsid w:val="31A013A5"/>
    <w:multiLevelType w:val="multilevel"/>
    <w:tmpl w:val="D46EF856"/>
    <w:lvl w:ilvl="0">
      <w:start w:val="1"/>
      <w:numFmt w:val="decimal"/>
      <w:lvlText w:val="(%1)"/>
      <w:lvlJc w:val="left"/>
      <w:pPr>
        <w:ind w:left="720" w:hanging="540"/>
      </w:pPr>
      <w:rPr>
        <w:rFonts w:ascii="Times New Roman" w:eastAsia="Times New Roman" w:hAnsi="Times New Roman" w:cs="Times New Roman"/>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8"/>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64" w15:restartNumberingAfterBreak="0">
    <w:nsid w:val="31A668AE"/>
    <w:multiLevelType w:val="multilevel"/>
    <w:tmpl w:val="AF003D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320B0D9A"/>
    <w:multiLevelType w:val="hybridMultilevel"/>
    <w:tmpl w:val="8B1C2F98"/>
    <w:lvl w:ilvl="0" w:tplc="218C4F76">
      <w:start w:val="1"/>
      <w:numFmt w:val="lowerLetter"/>
      <w:lvlText w:val="(%1)"/>
      <w:lvlJc w:val="left"/>
      <w:pPr>
        <w:tabs>
          <w:tab w:val="num" w:pos="1620"/>
        </w:tabs>
        <w:ind w:left="1620" w:hanging="360"/>
      </w:pPr>
      <w:rPr>
        <w:rFonts w:ascii="Times New Roman" w:hAnsi="Times New Roman" w:cs="Times New Roman" w:hint="default"/>
        <w:sz w:val="24"/>
        <w:szCs w:val="28"/>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66" w15:restartNumberingAfterBreak="0">
    <w:nsid w:val="326513CB"/>
    <w:multiLevelType w:val="hybridMultilevel"/>
    <w:tmpl w:val="FF2CC8EC"/>
    <w:lvl w:ilvl="0" w:tplc="B8BEE70E">
      <w:start w:val="4"/>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2995254"/>
    <w:multiLevelType w:val="multilevel"/>
    <w:tmpl w:val="5CC0CF7A"/>
    <w:lvl w:ilvl="0">
      <w:start w:val="4"/>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7"/>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32E123CE"/>
    <w:multiLevelType w:val="hybridMultilevel"/>
    <w:tmpl w:val="9608392C"/>
    <w:lvl w:ilvl="0" w:tplc="EDDE0798">
      <w:start w:val="5"/>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3161C9F"/>
    <w:multiLevelType w:val="hybridMultilevel"/>
    <w:tmpl w:val="722A375E"/>
    <w:lvl w:ilvl="0" w:tplc="51663850">
      <w:start w:val="1"/>
      <w:numFmt w:val="lowerLetter"/>
      <w:lvlText w:val="(%1)"/>
      <w:lvlJc w:val="left"/>
      <w:pPr>
        <w:tabs>
          <w:tab w:val="num" w:pos="720"/>
        </w:tabs>
        <w:ind w:left="720" w:hanging="360"/>
      </w:pPr>
      <w:rPr>
        <w:rFonts w:hint="default"/>
      </w:rPr>
    </w:lvl>
    <w:lvl w:ilvl="1" w:tplc="D8FA96D8">
      <w:start w:val="5"/>
      <w:numFmt w:val="decimal"/>
      <w:lvlText w:val="(%2)"/>
      <w:lvlJc w:val="left"/>
      <w:pPr>
        <w:tabs>
          <w:tab w:val="num" w:pos="720"/>
        </w:tabs>
        <w:ind w:left="720" w:hanging="360"/>
      </w:pPr>
      <w:rPr>
        <w:rFonts w:hint="default"/>
      </w:rPr>
    </w:lvl>
    <w:lvl w:ilvl="2" w:tplc="304A1048">
      <w:start w:val="1"/>
      <w:numFmt w:val="bullet"/>
      <w:lvlText w:val="-"/>
      <w:lvlJc w:val="left"/>
      <w:pPr>
        <w:ind w:left="2340" w:hanging="360"/>
      </w:pPr>
      <w:rPr>
        <w:rFonts w:ascii="Times New Roman" w:eastAsia="Times New Roman" w:hAnsi="Times New Roman" w:cs="Times New Roman" w:hint="default"/>
      </w:rPr>
    </w:lvl>
    <w:lvl w:ilvl="3" w:tplc="2E223E46">
      <w:start w:val="1"/>
      <w:numFmt w:val="decimal"/>
      <w:lvlText w:val="%4."/>
      <w:lvlJc w:val="left"/>
      <w:pPr>
        <w:tabs>
          <w:tab w:val="num" w:pos="2880"/>
        </w:tabs>
        <w:ind w:left="2880" w:hanging="360"/>
      </w:pPr>
    </w:lvl>
    <w:lvl w:ilvl="4" w:tplc="C9BCB580">
      <w:start w:val="1"/>
      <w:numFmt w:val="lowerLetter"/>
      <w:lvlText w:val="(%5)"/>
      <w:lvlJc w:val="left"/>
      <w:pPr>
        <w:tabs>
          <w:tab w:val="num" w:pos="3600"/>
        </w:tabs>
        <w:ind w:left="3600" w:hanging="360"/>
      </w:pPr>
      <w:rPr>
        <w:rFonts w:hint="default"/>
      </w:rPr>
    </w:lvl>
    <w:lvl w:ilvl="5" w:tplc="5D2E2CBC" w:tentative="1">
      <w:start w:val="1"/>
      <w:numFmt w:val="lowerRoman"/>
      <w:lvlText w:val="%6."/>
      <w:lvlJc w:val="right"/>
      <w:pPr>
        <w:tabs>
          <w:tab w:val="num" w:pos="4320"/>
        </w:tabs>
        <w:ind w:left="4320" w:hanging="180"/>
      </w:pPr>
    </w:lvl>
    <w:lvl w:ilvl="6" w:tplc="B4E43FD0" w:tentative="1">
      <w:start w:val="1"/>
      <w:numFmt w:val="decimal"/>
      <w:lvlText w:val="%7."/>
      <w:lvlJc w:val="left"/>
      <w:pPr>
        <w:tabs>
          <w:tab w:val="num" w:pos="5040"/>
        </w:tabs>
        <w:ind w:left="5040" w:hanging="360"/>
      </w:pPr>
    </w:lvl>
    <w:lvl w:ilvl="7" w:tplc="86340216" w:tentative="1">
      <w:start w:val="1"/>
      <w:numFmt w:val="lowerLetter"/>
      <w:lvlText w:val="%8."/>
      <w:lvlJc w:val="left"/>
      <w:pPr>
        <w:tabs>
          <w:tab w:val="num" w:pos="5760"/>
        </w:tabs>
        <w:ind w:left="5760" w:hanging="360"/>
      </w:pPr>
    </w:lvl>
    <w:lvl w:ilvl="8" w:tplc="6B922E6C" w:tentative="1">
      <w:start w:val="1"/>
      <w:numFmt w:val="lowerRoman"/>
      <w:lvlText w:val="%9."/>
      <w:lvlJc w:val="right"/>
      <w:pPr>
        <w:tabs>
          <w:tab w:val="num" w:pos="6480"/>
        </w:tabs>
        <w:ind w:left="6480" w:hanging="180"/>
      </w:pPr>
    </w:lvl>
  </w:abstractNum>
  <w:abstractNum w:abstractNumId="170" w15:restartNumberingAfterBreak="0">
    <w:nsid w:val="332136AA"/>
    <w:multiLevelType w:val="hybridMultilevel"/>
    <w:tmpl w:val="49C67F4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326056E"/>
    <w:multiLevelType w:val="multilevel"/>
    <w:tmpl w:val="0B10E78A"/>
    <w:lvl w:ilvl="0">
      <w:start w:val="3"/>
      <w:numFmt w:val="decimal"/>
      <w:lvlText w:val="(%1)"/>
      <w:lvlJc w:val="left"/>
      <w:pPr>
        <w:ind w:left="720" w:hanging="540"/>
      </w:pPr>
      <w:rPr>
        <w:rFonts w:ascii="Times New Roman" w:eastAsia="Times New Roman" w:hAnsi="Times New Roman" w:cs="Times New Roman" w:hint="default"/>
        <w:b w:val="0"/>
        <w:i w:val="0"/>
        <w:sz w:val="24"/>
      </w:rPr>
    </w:lvl>
    <w:lvl w:ilvl="1">
      <w:start w:val="4"/>
      <w:numFmt w:val="decimal"/>
      <w:lvlText w:val="(%2)"/>
      <w:lvlJc w:val="left"/>
      <w:pPr>
        <w:ind w:left="1260" w:hanging="360"/>
      </w:pPr>
      <w:rPr>
        <w:rFonts w:hint="default"/>
      </w:rPr>
    </w:lvl>
    <w:lvl w:ilvl="2">
      <w:start w:val="1"/>
      <w:numFmt w:val="lowerLetter"/>
      <w:lvlText w:val="(%3)"/>
      <w:lvlJc w:val="left"/>
      <w:pPr>
        <w:ind w:left="1980" w:hanging="360"/>
      </w:pPr>
      <w:rPr>
        <w:rFonts w:hint="default"/>
        <w:color w:val="auto"/>
      </w:rPr>
    </w:lvl>
    <w:lvl w:ilvl="3">
      <w:start w:val="1"/>
      <w:numFmt w:val="upperLetter"/>
      <w:lvlText w:val="%4."/>
      <w:lvlJc w:val="left"/>
      <w:pPr>
        <w:ind w:left="2700" w:hanging="360"/>
      </w:pPr>
      <w:rPr>
        <w:rFonts w:ascii="Times New Roman" w:hAnsi="Times New Roman" w:cs="Times New Roman" w:hint="default"/>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72" w15:restartNumberingAfterBreak="0">
    <w:nsid w:val="336A1954"/>
    <w:multiLevelType w:val="hybridMultilevel"/>
    <w:tmpl w:val="37E82002"/>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73" w15:restartNumberingAfterBreak="0">
    <w:nsid w:val="33AD420F"/>
    <w:multiLevelType w:val="hybridMultilevel"/>
    <w:tmpl w:val="05561E20"/>
    <w:lvl w:ilvl="0" w:tplc="084463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3E21732"/>
    <w:multiLevelType w:val="multilevel"/>
    <w:tmpl w:val="7AB6F82C"/>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75" w15:restartNumberingAfterBreak="0">
    <w:nsid w:val="34D63E77"/>
    <w:multiLevelType w:val="hybridMultilevel"/>
    <w:tmpl w:val="378090E6"/>
    <w:lvl w:ilvl="0" w:tplc="FFFFFFFF">
      <w:start w:val="1"/>
      <w:numFmt w:val="lowerLetter"/>
      <w:lvlText w:val="(%1)"/>
      <w:lvlJc w:val="left"/>
      <w:pPr>
        <w:tabs>
          <w:tab w:val="num" w:pos="1080"/>
        </w:tabs>
        <w:ind w:left="1080" w:hanging="360"/>
      </w:pPr>
      <w:rPr>
        <w:rFonts w:hint="default"/>
      </w:rPr>
    </w:lvl>
    <w:lvl w:ilvl="1" w:tplc="0409001B">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34F37E32"/>
    <w:multiLevelType w:val="hybridMultilevel"/>
    <w:tmpl w:val="373C5F18"/>
    <w:lvl w:ilvl="0" w:tplc="C9BCB580">
      <w:start w:val="1"/>
      <w:numFmt w:val="decimal"/>
      <w:lvlText w:val="(%1)"/>
      <w:lvlJc w:val="left"/>
      <w:pPr>
        <w:tabs>
          <w:tab w:val="num" w:pos="360"/>
        </w:tabs>
        <w:ind w:left="36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50B1960"/>
    <w:multiLevelType w:val="hybridMultilevel"/>
    <w:tmpl w:val="782E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56F16EA"/>
    <w:multiLevelType w:val="multilevel"/>
    <w:tmpl w:val="7C3A3E76"/>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1"/>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79" w15:restartNumberingAfterBreak="0">
    <w:nsid w:val="35AF42EE"/>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80" w15:restartNumberingAfterBreak="0">
    <w:nsid w:val="35DF63C4"/>
    <w:multiLevelType w:val="hybridMultilevel"/>
    <w:tmpl w:val="E9FAB2BE"/>
    <w:lvl w:ilvl="0" w:tplc="5202A51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35F93F84"/>
    <w:multiLevelType w:val="multilevel"/>
    <w:tmpl w:val="CFE4DBA0"/>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82" w15:restartNumberingAfterBreak="0">
    <w:nsid w:val="360D5D47"/>
    <w:multiLevelType w:val="multilevel"/>
    <w:tmpl w:val="B8D413F4"/>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183" w15:restartNumberingAfterBreak="0">
    <w:nsid w:val="360E077C"/>
    <w:multiLevelType w:val="hybridMultilevel"/>
    <w:tmpl w:val="03BA35B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15:restartNumberingAfterBreak="0">
    <w:nsid w:val="360E65A6"/>
    <w:multiLevelType w:val="hybridMultilevel"/>
    <w:tmpl w:val="AD029246"/>
    <w:lvl w:ilvl="0" w:tplc="492EB73A">
      <w:start w:val="1"/>
      <w:numFmt w:val="decimal"/>
      <w:lvlText w:val="(%1)"/>
      <w:lvlJc w:val="left"/>
      <w:pPr>
        <w:tabs>
          <w:tab w:val="num" w:pos="360"/>
        </w:tabs>
        <w:ind w:left="360" w:hanging="360"/>
      </w:pPr>
      <w:rPr>
        <w:rFonts w:hint="default"/>
      </w:rPr>
    </w:lvl>
    <w:lvl w:ilvl="1" w:tplc="C4E6571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360E7E7F"/>
    <w:multiLevelType w:val="hybridMultilevel"/>
    <w:tmpl w:val="5A76D7E2"/>
    <w:lvl w:ilvl="0" w:tplc="C9BCB580">
      <w:start w:val="1"/>
      <w:numFmt w:val="lowerLetter"/>
      <w:lvlText w:val="(%1)"/>
      <w:lvlJc w:val="left"/>
      <w:pPr>
        <w:tabs>
          <w:tab w:val="num" w:pos="1620"/>
        </w:tabs>
        <w:ind w:left="1620" w:hanging="360"/>
      </w:pPr>
      <w:rPr>
        <w:rFonts w:hint="default"/>
      </w:rPr>
    </w:lvl>
    <w:lvl w:ilvl="1" w:tplc="04090003">
      <w:start w:val="1"/>
      <w:numFmt w:val="decimal"/>
      <w:lvlText w:val="(%2)"/>
      <w:lvlJc w:val="left"/>
      <w:pPr>
        <w:tabs>
          <w:tab w:val="num" w:pos="2340"/>
        </w:tabs>
        <w:ind w:left="2340" w:hanging="360"/>
      </w:pPr>
      <w:rPr>
        <w:rFonts w:hint="default"/>
      </w:rPr>
    </w:lvl>
    <w:lvl w:ilvl="2" w:tplc="04090001">
      <w:start w:val="1"/>
      <w:numFmt w:val="lowerLetter"/>
      <w:lvlText w:val="(%3)"/>
      <w:lvlJc w:val="left"/>
      <w:pPr>
        <w:tabs>
          <w:tab w:val="num" w:pos="3060"/>
        </w:tabs>
        <w:ind w:left="3060" w:hanging="180"/>
      </w:pPr>
      <w:rPr>
        <w:rFonts w:hint="default"/>
      </w:r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186" w15:restartNumberingAfterBreak="0">
    <w:nsid w:val="364942B2"/>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87" w15:restartNumberingAfterBreak="0">
    <w:nsid w:val="365C2F99"/>
    <w:multiLevelType w:val="multilevel"/>
    <w:tmpl w:val="F2AC6B08"/>
    <w:lvl w:ilvl="0">
      <w:start w:val="3"/>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88" w15:restartNumberingAfterBreak="0">
    <w:nsid w:val="36E418BB"/>
    <w:multiLevelType w:val="hybridMultilevel"/>
    <w:tmpl w:val="088AD1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9" w15:restartNumberingAfterBreak="0">
    <w:nsid w:val="37090F52"/>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90" w15:restartNumberingAfterBreak="0">
    <w:nsid w:val="37601B3C"/>
    <w:multiLevelType w:val="hybridMultilevel"/>
    <w:tmpl w:val="E1D407C0"/>
    <w:lvl w:ilvl="0" w:tplc="C9BCB58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37783CDD"/>
    <w:multiLevelType w:val="hybridMultilevel"/>
    <w:tmpl w:val="399CA2A8"/>
    <w:lvl w:ilvl="0" w:tplc="FFFFFFFF">
      <w:start w:val="2"/>
      <w:numFmt w:val="decimal"/>
      <w:lvlText w:val="(%1)"/>
      <w:lvlJc w:val="left"/>
      <w:pPr>
        <w:ind w:left="2160" w:hanging="720"/>
      </w:pPr>
      <w:rPr>
        <w:rFonts w:hint="default"/>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37A91E3E"/>
    <w:multiLevelType w:val="hybridMultilevel"/>
    <w:tmpl w:val="13E492D6"/>
    <w:lvl w:ilvl="0" w:tplc="492EB73A">
      <w:start w:val="1"/>
      <w:numFmt w:val="decimal"/>
      <w:lvlText w:val="(%1)"/>
      <w:lvlJc w:val="left"/>
      <w:pPr>
        <w:tabs>
          <w:tab w:val="num" w:pos="360"/>
        </w:tabs>
        <w:ind w:left="360" w:hanging="360"/>
      </w:pPr>
      <w:rPr>
        <w:rFonts w:hint="default"/>
      </w:rPr>
    </w:lvl>
    <w:lvl w:ilvl="1" w:tplc="E63ACACE">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38512B78"/>
    <w:multiLevelType w:val="hybridMultilevel"/>
    <w:tmpl w:val="4DC26D3A"/>
    <w:lvl w:ilvl="0" w:tplc="6B868AAE">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360"/>
        </w:tabs>
        <w:ind w:left="360" w:hanging="360"/>
      </w:pPr>
      <w:rPr>
        <w:rFonts w:hint="default"/>
      </w:rPr>
    </w:lvl>
    <w:lvl w:ilvl="2" w:tplc="0409001B">
      <w:start w:val="1"/>
      <w:numFmt w:val="decimal"/>
      <w:lvlText w:val="(%3)"/>
      <w:lvlJc w:val="left"/>
      <w:pPr>
        <w:tabs>
          <w:tab w:val="num" w:pos="360"/>
        </w:tabs>
        <w:ind w:left="360" w:hanging="36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38FB25E2"/>
    <w:multiLevelType w:val="hybridMultilevel"/>
    <w:tmpl w:val="26F607DA"/>
    <w:lvl w:ilvl="0" w:tplc="94EA4CB6">
      <w:start w:val="1"/>
      <w:numFmt w:val="decimal"/>
      <w:lvlText w:val="(%1)"/>
      <w:lvlJc w:val="left"/>
      <w:pPr>
        <w:tabs>
          <w:tab w:val="num" w:pos="720"/>
        </w:tabs>
        <w:ind w:left="720" w:hanging="360"/>
      </w:pPr>
      <w:rPr>
        <w:rFonts w:hint="default"/>
      </w:rPr>
    </w:lvl>
    <w:lvl w:ilvl="1" w:tplc="63F2D8B4">
      <w:start w:val="1"/>
      <w:numFmt w:val="lowerLetter"/>
      <w:lvlText w:val="%2."/>
      <w:lvlJc w:val="left"/>
      <w:pPr>
        <w:tabs>
          <w:tab w:val="num" w:pos="1440"/>
        </w:tabs>
        <w:ind w:left="1440" w:hanging="360"/>
      </w:pPr>
    </w:lvl>
    <w:lvl w:ilvl="2" w:tplc="F0F48A72" w:tentative="1">
      <w:start w:val="1"/>
      <w:numFmt w:val="lowerRoman"/>
      <w:lvlText w:val="%3."/>
      <w:lvlJc w:val="right"/>
      <w:pPr>
        <w:tabs>
          <w:tab w:val="num" w:pos="2160"/>
        </w:tabs>
        <w:ind w:left="2160" w:hanging="180"/>
      </w:pPr>
    </w:lvl>
    <w:lvl w:ilvl="3" w:tplc="CDE6AF02" w:tentative="1">
      <w:start w:val="1"/>
      <w:numFmt w:val="decimal"/>
      <w:lvlText w:val="%4."/>
      <w:lvlJc w:val="left"/>
      <w:pPr>
        <w:tabs>
          <w:tab w:val="num" w:pos="2880"/>
        </w:tabs>
        <w:ind w:left="2880" w:hanging="360"/>
      </w:pPr>
    </w:lvl>
    <w:lvl w:ilvl="4" w:tplc="84649600" w:tentative="1">
      <w:start w:val="1"/>
      <w:numFmt w:val="lowerLetter"/>
      <w:lvlText w:val="%5."/>
      <w:lvlJc w:val="left"/>
      <w:pPr>
        <w:tabs>
          <w:tab w:val="num" w:pos="3600"/>
        </w:tabs>
        <w:ind w:left="3600" w:hanging="360"/>
      </w:pPr>
    </w:lvl>
    <w:lvl w:ilvl="5" w:tplc="05FAB426" w:tentative="1">
      <w:start w:val="1"/>
      <w:numFmt w:val="lowerRoman"/>
      <w:lvlText w:val="%6."/>
      <w:lvlJc w:val="right"/>
      <w:pPr>
        <w:tabs>
          <w:tab w:val="num" w:pos="4320"/>
        </w:tabs>
        <w:ind w:left="4320" w:hanging="180"/>
      </w:pPr>
    </w:lvl>
    <w:lvl w:ilvl="6" w:tplc="95B4BF48" w:tentative="1">
      <w:start w:val="1"/>
      <w:numFmt w:val="decimal"/>
      <w:lvlText w:val="%7."/>
      <w:lvlJc w:val="left"/>
      <w:pPr>
        <w:tabs>
          <w:tab w:val="num" w:pos="5040"/>
        </w:tabs>
        <w:ind w:left="5040" w:hanging="360"/>
      </w:pPr>
    </w:lvl>
    <w:lvl w:ilvl="7" w:tplc="BFFA6B04" w:tentative="1">
      <w:start w:val="1"/>
      <w:numFmt w:val="lowerLetter"/>
      <w:lvlText w:val="%8."/>
      <w:lvlJc w:val="left"/>
      <w:pPr>
        <w:tabs>
          <w:tab w:val="num" w:pos="5760"/>
        </w:tabs>
        <w:ind w:left="5760" w:hanging="360"/>
      </w:pPr>
    </w:lvl>
    <w:lvl w:ilvl="8" w:tplc="011E30B2" w:tentative="1">
      <w:start w:val="1"/>
      <w:numFmt w:val="lowerRoman"/>
      <w:lvlText w:val="%9."/>
      <w:lvlJc w:val="right"/>
      <w:pPr>
        <w:tabs>
          <w:tab w:val="num" w:pos="6480"/>
        </w:tabs>
        <w:ind w:left="6480" w:hanging="180"/>
      </w:pPr>
    </w:lvl>
  </w:abstractNum>
  <w:abstractNum w:abstractNumId="195" w15:restartNumberingAfterBreak="0">
    <w:nsid w:val="393D269D"/>
    <w:multiLevelType w:val="multilevel"/>
    <w:tmpl w:val="43966632"/>
    <w:lvl w:ilvl="0">
      <w:start w:val="2"/>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b/>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196" w15:restartNumberingAfterBreak="0">
    <w:nsid w:val="3969267C"/>
    <w:multiLevelType w:val="hybridMultilevel"/>
    <w:tmpl w:val="25B4DF6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7" w15:restartNumberingAfterBreak="0">
    <w:nsid w:val="396E6359"/>
    <w:multiLevelType w:val="hybridMultilevel"/>
    <w:tmpl w:val="5FF0F2CE"/>
    <w:lvl w:ilvl="0" w:tplc="86CE2E0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9733F15"/>
    <w:multiLevelType w:val="hybridMultilevel"/>
    <w:tmpl w:val="A222818A"/>
    <w:lvl w:ilvl="0" w:tplc="E63ACAC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39ED0507"/>
    <w:multiLevelType w:val="hybridMultilevel"/>
    <w:tmpl w:val="16F0589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A005028"/>
    <w:multiLevelType w:val="hybridMultilevel"/>
    <w:tmpl w:val="6B726248"/>
    <w:lvl w:ilvl="0" w:tplc="FFFFFFFF">
      <w:start w:val="1"/>
      <w:numFmt w:val="decimal"/>
      <w:lvlText w:val="(%1)"/>
      <w:lvlJc w:val="left"/>
      <w:pPr>
        <w:ind w:left="1440" w:hanging="360"/>
      </w:pPr>
      <w:rPr>
        <w:rFonts w:hint="default"/>
        <w:color w:val="auto"/>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201" w15:restartNumberingAfterBreak="0">
    <w:nsid w:val="3A093C1C"/>
    <w:multiLevelType w:val="multilevel"/>
    <w:tmpl w:val="E702D0EE"/>
    <w:lvl w:ilvl="0">
      <w:start w:val="2"/>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02" w15:restartNumberingAfterBreak="0">
    <w:nsid w:val="3A910807"/>
    <w:multiLevelType w:val="hybridMultilevel"/>
    <w:tmpl w:val="591601AE"/>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3" w15:restartNumberingAfterBreak="0">
    <w:nsid w:val="3BCA64FA"/>
    <w:multiLevelType w:val="multilevel"/>
    <w:tmpl w:val="02AE04B0"/>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04" w15:restartNumberingAfterBreak="0">
    <w:nsid w:val="3C041970"/>
    <w:multiLevelType w:val="hybridMultilevel"/>
    <w:tmpl w:val="4168C1FE"/>
    <w:lvl w:ilvl="0" w:tplc="E63ACACE">
      <w:start w:val="1"/>
      <w:numFmt w:val="decimal"/>
      <w:lvlText w:val="(%1)"/>
      <w:lvlJc w:val="left"/>
      <w:pPr>
        <w:tabs>
          <w:tab w:val="num" w:pos="360"/>
        </w:tabs>
        <w:ind w:left="36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3C443195"/>
    <w:multiLevelType w:val="multilevel"/>
    <w:tmpl w:val="4EDE07FC"/>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3"/>
      <w:numFmt w:val="decimal"/>
      <w:lvlText w:val="(%4)"/>
      <w:lvlJc w:val="left"/>
      <w:pPr>
        <w:ind w:left="720" w:hanging="540"/>
      </w:pPr>
      <w:rPr>
        <w:rFonts w:ascii="Times New Roman" w:hAnsi="Times New Roman" w:hint="default"/>
        <w:b w:val="0"/>
        <w:i w:val="0"/>
        <w:color w:val="auto"/>
        <w:sz w:val="24"/>
      </w:rPr>
    </w:lvl>
    <w:lvl w:ilvl="4">
      <w:start w:val="4"/>
      <w:numFmt w:val="decimal"/>
      <w:lvlText w:val="(%5)"/>
      <w:lvlJc w:val="left"/>
      <w:pPr>
        <w:ind w:left="81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06" w15:restartNumberingAfterBreak="0">
    <w:nsid w:val="3CD75031"/>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07" w15:restartNumberingAfterBreak="0">
    <w:nsid w:val="3CEE376C"/>
    <w:multiLevelType w:val="hybridMultilevel"/>
    <w:tmpl w:val="B50E797A"/>
    <w:lvl w:ilvl="0" w:tplc="C9BCB58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8" w15:restartNumberingAfterBreak="0">
    <w:nsid w:val="3CF41718"/>
    <w:multiLevelType w:val="hybridMultilevel"/>
    <w:tmpl w:val="68807EE0"/>
    <w:lvl w:ilvl="0" w:tplc="D2C45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D80185D"/>
    <w:multiLevelType w:val="hybridMultilevel"/>
    <w:tmpl w:val="D2EC3366"/>
    <w:lvl w:ilvl="0" w:tplc="C9BCB580">
      <w:start w:val="1"/>
      <w:numFmt w:val="decimal"/>
      <w:lvlText w:val="(%1)"/>
      <w:lvlJc w:val="left"/>
      <w:pPr>
        <w:tabs>
          <w:tab w:val="num" w:pos="360"/>
        </w:tabs>
        <w:ind w:left="360" w:hanging="360"/>
      </w:pPr>
      <w:rPr>
        <w:rFonts w:hint="default"/>
      </w:rPr>
    </w:lvl>
    <w:lvl w:ilvl="1" w:tplc="7C7886AA" w:tentative="1">
      <w:start w:val="1"/>
      <w:numFmt w:val="lowerLetter"/>
      <w:lvlText w:val="%2."/>
      <w:lvlJc w:val="left"/>
      <w:pPr>
        <w:tabs>
          <w:tab w:val="num" w:pos="1440"/>
        </w:tabs>
        <w:ind w:left="1440" w:hanging="360"/>
      </w:pPr>
    </w:lvl>
    <w:lvl w:ilvl="2" w:tplc="CEB47AB8" w:tentative="1">
      <w:start w:val="1"/>
      <w:numFmt w:val="lowerRoman"/>
      <w:lvlText w:val="%3."/>
      <w:lvlJc w:val="right"/>
      <w:pPr>
        <w:tabs>
          <w:tab w:val="num" w:pos="2160"/>
        </w:tabs>
        <w:ind w:left="2160" w:hanging="180"/>
      </w:pPr>
    </w:lvl>
    <w:lvl w:ilvl="3" w:tplc="47029F4A" w:tentative="1">
      <w:start w:val="1"/>
      <w:numFmt w:val="decimal"/>
      <w:lvlText w:val="%4."/>
      <w:lvlJc w:val="left"/>
      <w:pPr>
        <w:tabs>
          <w:tab w:val="num" w:pos="2880"/>
        </w:tabs>
        <w:ind w:left="2880" w:hanging="360"/>
      </w:pPr>
    </w:lvl>
    <w:lvl w:ilvl="4" w:tplc="4CB8B4FC" w:tentative="1">
      <w:start w:val="1"/>
      <w:numFmt w:val="lowerLetter"/>
      <w:lvlText w:val="%5."/>
      <w:lvlJc w:val="left"/>
      <w:pPr>
        <w:tabs>
          <w:tab w:val="num" w:pos="3600"/>
        </w:tabs>
        <w:ind w:left="3600" w:hanging="360"/>
      </w:pPr>
    </w:lvl>
    <w:lvl w:ilvl="5" w:tplc="C15A2030" w:tentative="1">
      <w:start w:val="1"/>
      <w:numFmt w:val="lowerRoman"/>
      <w:lvlText w:val="%6."/>
      <w:lvlJc w:val="right"/>
      <w:pPr>
        <w:tabs>
          <w:tab w:val="num" w:pos="4320"/>
        </w:tabs>
        <w:ind w:left="4320" w:hanging="180"/>
      </w:pPr>
    </w:lvl>
    <w:lvl w:ilvl="6" w:tplc="4328DAA2" w:tentative="1">
      <w:start w:val="1"/>
      <w:numFmt w:val="decimal"/>
      <w:lvlText w:val="%7."/>
      <w:lvlJc w:val="left"/>
      <w:pPr>
        <w:tabs>
          <w:tab w:val="num" w:pos="5040"/>
        </w:tabs>
        <w:ind w:left="5040" w:hanging="360"/>
      </w:pPr>
    </w:lvl>
    <w:lvl w:ilvl="7" w:tplc="2CCCEBE4" w:tentative="1">
      <w:start w:val="1"/>
      <w:numFmt w:val="lowerLetter"/>
      <w:lvlText w:val="%8."/>
      <w:lvlJc w:val="left"/>
      <w:pPr>
        <w:tabs>
          <w:tab w:val="num" w:pos="5760"/>
        </w:tabs>
        <w:ind w:left="5760" w:hanging="360"/>
      </w:pPr>
    </w:lvl>
    <w:lvl w:ilvl="8" w:tplc="0DA86B76" w:tentative="1">
      <w:start w:val="1"/>
      <w:numFmt w:val="lowerRoman"/>
      <w:lvlText w:val="%9."/>
      <w:lvlJc w:val="right"/>
      <w:pPr>
        <w:tabs>
          <w:tab w:val="num" w:pos="6480"/>
        </w:tabs>
        <w:ind w:left="6480" w:hanging="180"/>
      </w:pPr>
    </w:lvl>
  </w:abstractNum>
  <w:abstractNum w:abstractNumId="210" w15:restartNumberingAfterBreak="0">
    <w:nsid w:val="3DAA74EC"/>
    <w:multiLevelType w:val="multilevel"/>
    <w:tmpl w:val="C68447A8"/>
    <w:lvl w:ilvl="0">
      <w:start w:val="1"/>
      <w:numFmt w:val="decimal"/>
      <w:lvlText w:val="(%1)"/>
      <w:lvlJc w:val="left"/>
      <w:pPr>
        <w:ind w:left="1440" w:hanging="720"/>
      </w:pPr>
      <w:rPr>
        <w:rFonts w:hint="default"/>
      </w:rPr>
    </w:lvl>
    <w:lvl w:ilvl="1">
      <w:start w:val="1"/>
      <w:numFmt w:val="lowerLetter"/>
      <w:lvlText w:val="(%2)"/>
      <w:lvlJc w:val="left"/>
      <w:pPr>
        <w:ind w:left="1800" w:hanging="360"/>
      </w:pPr>
      <w:rPr>
        <w:rFonts w:hint="default"/>
        <w:b w:val="0"/>
      </w:rPr>
    </w:lvl>
    <w:lvl w:ilvl="2">
      <w:start w:val="1"/>
      <w:numFmt w:val="lowerRoman"/>
      <w:lvlText w:val="(%3)"/>
      <w:lvlJc w:val="righ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1" w15:restartNumberingAfterBreak="0">
    <w:nsid w:val="3DD841C6"/>
    <w:multiLevelType w:val="hybridMultilevel"/>
    <w:tmpl w:val="2EBE9AB2"/>
    <w:lvl w:ilvl="0" w:tplc="C9BCB5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3E0E720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13" w15:restartNumberingAfterBreak="0">
    <w:nsid w:val="3E26048B"/>
    <w:multiLevelType w:val="multilevel"/>
    <w:tmpl w:val="D46EF856"/>
    <w:lvl w:ilvl="0">
      <w:start w:val="1"/>
      <w:numFmt w:val="decimal"/>
      <w:lvlText w:val="(%1)"/>
      <w:lvlJc w:val="left"/>
      <w:pPr>
        <w:ind w:left="720" w:hanging="540"/>
      </w:pPr>
      <w:rPr>
        <w:rFonts w:ascii="Times New Roman" w:eastAsia="Times New Roman" w:hAnsi="Times New Roman" w:cs="Times New Roman"/>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8"/>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14" w15:restartNumberingAfterBreak="0">
    <w:nsid w:val="3E741609"/>
    <w:multiLevelType w:val="hybridMultilevel"/>
    <w:tmpl w:val="6E088840"/>
    <w:lvl w:ilvl="0" w:tplc="47C6F47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E810E47"/>
    <w:multiLevelType w:val="hybridMultilevel"/>
    <w:tmpl w:val="B34A8E08"/>
    <w:lvl w:ilvl="0" w:tplc="72E8899E">
      <w:start w:val="1"/>
      <w:numFmt w:val="decimal"/>
      <w:lvlText w:val="(%1)"/>
      <w:lvlJc w:val="left"/>
      <w:pPr>
        <w:tabs>
          <w:tab w:val="num" w:pos="720"/>
        </w:tabs>
        <w:ind w:left="720" w:hanging="360"/>
      </w:pPr>
      <w:rPr>
        <w:rFonts w:ascii="Times New Roman" w:hAnsi="Times New Roman" w:cs="Times New Roman" w:hint="default"/>
        <w:sz w:val="24"/>
        <w:szCs w:val="28"/>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6" w15:restartNumberingAfterBreak="0">
    <w:nsid w:val="3EC43121"/>
    <w:multiLevelType w:val="hybridMultilevel"/>
    <w:tmpl w:val="B37C51A0"/>
    <w:lvl w:ilvl="0" w:tplc="6B868AA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3F142A47"/>
    <w:multiLevelType w:val="multilevel"/>
    <w:tmpl w:val="683AD370"/>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4"/>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18" w15:restartNumberingAfterBreak="0">
    <w:nsid w:val="3F502583"/>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19" w15:restartNumberingAfterBreak="0">
    <w:nsid w:val="3F8C2C72"/>
    <w:multiLevelType w:val="multilevel"/>
    <w:tmpl w:val="4D92456A"/>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1"/>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20" w15:restartNumberingAfterBreak="0">
    <w:nsid w:val="3FAD1931"/>
    <w:multiLevelType w:val="hybridMultilevel"/>
    <w:tmpl w:val="608A12C8"/>
    <w:lvl w:ilvl="0" w:tplc="63809B7E">
      <w:start w:val="1"/>
      <w:numFmt w:val="decimal"/>
      <w:lvlText w:val="(%1)"/>
      <w:lvlJc w:val="left"/>
      <w:pPr>
        <w:tabs>
          <w:tab w:val="num" w:pos="4201"/>
        </w:tabs>
        <w:ind w:left="4201" w:hanging="180"/>
      </w:pPr>
      <w:rPr>
        <w:rFonts w:hint="default"/>
      </w:rPr>
    </w:lvl>
    <w:lvl w:ilvl="1" w:tplc="04090019">
      <w:start w:val="1"/>
      <w:numFmt w:val="lowerLetter"/>
      <w:lvlText w:val="%2."/>
      <w:lvlJc w:val="left"/>
      <w:pPr>
        <w:tabs>
          <w:tab w:val="num" w:pos="4381"/>
        </w:tabs>
        <w:ind w:left="4381" w:hanging="360"/>
      </w:pPr>
    </w:lvl>
    <w:lvl w:ilvl="2" w:tplc="0409001B" w:tentative="1">
      <w:start w:val="1"/>
      <w:numFmt w:val="lowerRoman"/>
      <w:lvlText w:val="%3."/>
      <w:lvlJc w:val="right"/>
      <w:pPr>
        <w:tabs>
          <w:tab w:val="num" w:pos="5101"/>
        </w:tabs>
        <w:ind w:left="5101" w:hanging="180"/>
      </w:pPr>
    </w:lvl>
    <w:lvl w:ilvl="3" w:tplc="0409000F" w:tentative="1">
      <w:start w:val="1"/>
      <w:numFmt w:val="decimal"/>
      <w:lvlText w:val="%4."/>
      <w:lvlJc w:val="left"/>
      <w:pPr>
        <w:tabs>
          <w:tab w:val="num" w:pos="5821"/>
        </w:tabs>
        <w:ind w:left="5821" w:hanging="360"/>
      </w:pPr>
    </w:lvl>
    <w:lvl w:ilvl="4" w:tplc="04090019" w:tentative="1">
      <w:start w:val="1"/>
      <w:numFmt w:val="lowerLetter"/>
      <w:lvlText w:val="%5."/>
      <w:lvlJc w:val="left"/>
      <w:pPr>
        <w:tabs>
          <w:tab w:val="num" w:pos="6541"/>
        </w:tabs>
        <w:ind w:left="6541" w:hanging="360"/>
      </w:pPr>
    </w:lvl>
    <w:lvl w:ilvl="5" w:tplc="0409001B" w:tentative="1">
      <w:start w:val="1"/>
      <w:numFmt w:val="lowerRoman"/>
      <w:lvlText w:val="%6."/>
      <w:lvlJc w:val="right"/>
      <w:pPr>
        <w:tabs>
          <w:tab w:val="num" w:pos="7261"/>
        </w:tabs>
        <w:ind w:left="7261" w:hanging="180"/>
      </w:pPr>
    </w:lvl>
    <w:lvl w:ilvl="6" w:tplc="0409000F" w:tentative="1">
      <w:start w:val="1"/>
      <w:numFmt w:val="decimal"/>
      <w:lvlText w:val="%7."/>
      <w:lvlJc w:val="left"/>
      <w:pPr>
        <w:tabs>
          <w:tab w:val="num" w:pos="7981"/>
        </w:tabs>
        <w:ind w:left="7981" w:hanging="360"/>
      </w:pPr>
    </w:lvl>
    <w:lvl w:ilvl="7" w:tplc="04090019" w:tentative="1">
      <w:start w:val="1"/>
      <w:numFmt w:val="lowerLetter"/>
      <w:lvlText w:val="%8."/>
      <w:lvlJc w:val="left"/>
      <w:pPr>
        <w:tabs>
          <w:tab w:val="num" w:pos="8701"/>
        </w:tabs>
        <w:ind w:left="8701" w:hanging="360"/>
      </w:pPr>
    </w:lvl>
    <w:lvl w:ilvl="8" w:tplc="0409001B" w:tentative="1">
      <w:start w:val="1"/>
      <w:numFmt w:val="lowerRoman"/>
      <w:lvlText w:val="%9."/>
      <w:lvlJc w:val="right"/>
      <w:pPr>
        <w:tabs>
          <w:tab w:val="num" w:pos="9421"/>
        </w:tabs>
        <w:ind w:left="9421" w:hanging="180"/>
      </w:pPr>
    </w:lvl>
  </w:abstractNum>
  <w:abstractNum w:abstractNumId="221" w15:restartNumberingAfterBreak="0">
    <w:nsid w:val="3FD0560A"/>
    <w:multiLevelType w:val="hybridMultilevel"/>
    <w:tmpl w:val="0E205BEC"/>
    <w:lvl w:ilvl="0" w:tplc="D2C450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3FD346F9"/>
    <w:multiLevelType w:val="multilevel"/>
    <w:tmpl w:val="E962D58A"/>
    <w:lvl w:ilvl="0">
      <w:start w:val="2"/>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23" w15:restartNumberingAfterBreak="0">
    <w:nsid w:val="400F4DF2"/>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24" w15:restartNumberingAfterBreak="0">
    <w:nsid w:val="40B94592"/>
    <w:multiLevelType w:val="multilevel"/>
    <w:tmpl w:val="FCB2E164"/>
    <w:lvl w:ilvl="0">
      <w:start w:val="59"/>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25" w15:restartNumberingAfterBreak="0">
    <w:nsid w:val="41A46B73"/>
    <w:multiLevelType w:val="hybridMultilevel"/>
    <w:tmpl w:val="D264EF72"/>
    <w:lvl w:ilvl="0" w:tplc="A1F24DF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4200465D"/>
    <w:multiLevelType w:val="hybridMultilevel"/>
    <w:tmpl w:val="414ED248"/>
    <w:lvl w:ilvl="0" w:tplc="FFFFFFFF">
      <w:start w:val="1"/>
      <w:numFmt w:val="lowerLetter"/>
      <w:lvlText w:val="(%1)"/>
      <w:lvlJc w:val="left"/>
      <w:pPr>
        <w:ind w:left="2070" w:hanging="360"/>
      </w:pPr>
      <w:rPr>
        <w:rFonts w:ascii="Times New Roman" w:eastAsia="Times New Roman" w:hAnsi="Times New Roman" w:cs="Times New Roman"/>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227" w15:restartNumberingAfterBreak="0">
    <w:nsid w:val="422003C7"/>
    <w:multiLevelType w:val="hybridMultilevel"/>
    <w:tmpl w:val="DC149DEC"/>
    <w:lvl w:ilvl="0" w:tplc="C9BCB58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decimal"/>
      <w:lvlText w:val="(%3)"/>
      <w:lvlJc w:val="left"/>
      <w:pPr>
        <w:ind w:left="2340" w:hanging="180"/>
      </w:pPr>
      <w:rPr>
        <w:rFonts w:hint="default"/>
      </w:rPr>
    </w:lvl>
    <w:lvl w:ilvl="3" w:tplc="0409000F">
      <w:start w:val="1"/>
      <w:numFmt w:val="decimal"/>
      <w:lvlText w:val="%4."/>
      <w:lvlJc w:val="left"/>
      <w:pPr>
        <w:ind w:left="3060" w:hanging="360"/>
      </w:pPr>
    </w:lvl>
    <w:lvl w:ilvl="4" w:tplc="092080EA">
      <w:start w:val="1"/>
      <w:numFmt w:val="upperLetter"/>
      <w:lvlText w:val="(%5)"/>
      <w:lvlJc w:val="left"/>
      <w:pPr>
        <w:ind w:left="3780" w:hanging="360"/>
      </w:pPr>
      <w:rPr>
        <w:rFonts w:hint="default"/>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8" w15:restartNumberingAfterBreak="0">
    <w:nsid w:val="43461745"/>
    <w:multiLevelType w:val="hybridMultilevel"/>
    <w:tmpl w:val="B072A4FC"/>
    <w:lvl w:ilvl="0" w:tplc="E2D6E8D6">
      <w:start w:val="1"/>
      <w:numFmt w:val="bullet"/>
      <w:lvlText w:val=""/>
      <w:lvlJc w:val="left"/>
      <w:pPr>
        <w:ind w:left="1020" w:hanging="360"/>
      </w:pPr>
      <w:rPr>
        <w:rFonts w:ascii="Symbol" w:hAnsi="Symbol"/>
      </w:rPr>
    </w:lvl>
    <w:lvl w:ilvl="1" w:tplc="D8943C0E">
      <w:start w:val="1"/>
      <w:numFmt w:val="bullet"/>
      <w:lvlText w:val=""/>
      <w:lvlJc w:val="left"/>
      <w:pPr>
        <w:ind w:left="1020" w:hanging="360"/>
      </w:pPr>
      <w:rPr>
        <w:rFonts w:ascii="Symbol" w:hAnsi="Symbol"/>
      </w:rPr>
    </w:lvl>
    <w:lvl w:ilvl="2" w:tplc="4F944EE2">
      <w:start w:val="1"/>
      <w:numFmt w:val="bullet"/>
      <w:lvlText w:val=""/>
      <w:lvlJc w:val="left"/>
      <w:pPr>
        <w:ind w:left="1020" w:hanging="360"/>
      </w:pPr>
      <w:rPr>
        <w:rFonts w:ascii="Symbol" w:hAnsi="Symbol"/>
      </w:rPr>
    </w:lvl>
    <w:lvl w:ilvl="3" w:tplc="BCE8A594">
      <w:start w:val="1"/>
      <w:numFmt w:val="bullet"/>
      <w:lvlText w:val=""/>
      <w:lvlJc w:val="left"/>
      <w:pPr>
        <w:ind w:left="1020" w:hanging="360"/>
      </w:pPr>
      <w:rPr>
        <w:rFonts w:ascii="Symbol" w:hAnsi="Symbol"/>
      </w:rPr>
    </w:lvl>
    <w:lvl w:ilvl="4" w:tplc="A8182C2E">
      <w:start w:val="1"/>
      <w:numFmt w:val="bullet"/>
      <w:lvlText w:val=""/>
      <w:lvlJc w:val="left"/>
      <w:pPr>
        <w:ind w:left="1020" w:hanging="360"/>
      </w:pPr>
      <w:rPr>
        <w:rFonts w:ascii="Symbol" w:hAnsi="Symbol"/>
      </w:rPr>
    </w:lvl>
    <w:lvl w:ilvl="5" w:tplc="369C8524">
      <w:start w:val="1"/>
      <w:numFmt w:val="bullet"/>
      <w:lvlText w:val=""/>
      <w:lvlJc w:val="left"/>
      <w:pPr>
        <w:ind w:left="1020" w:hanging="360"/>
      </w:pPr>
      <w:rPr>
        <w:rFonts w:ascii="Symbol" w:hAnsi="Symbol"/>
      </w:rPr>
    </w:lvl>
    <w:lvl w:ilvl="6" w:tplc="5F8E4040">
      <w:start w:val="1"/>
      <w:numFmt w:val="bullet"/>
      <w:lvlText w:val=""/>
      <w:lvlJc w:val="left"/>
      <w:pPr>
        <w:ind w:left="1020" w:hanging="360"/>
      </w:pPr>
      <w:rPr>
        <w:rFonts w:ascii="Symbol" w:hAnsi="Symbol"/>
      </w:rPr>
    </w:lvl>
    <w:lvl w:ilvl="7" w:tplc="5502BE32">
      <w:start w:val="1"/>
      <w:numFmt w:val="bullet"/>
      <w:lvlText w:val=""/>
      <w:lvlJc w:val="left"/>
      <w:pPr>
        <w:ind w:left="1020" w:hanging="360"/>
      </w:pPr>
      <w:rPr>
        <w:rFonts w:ascii="Symbol" w:hAnsi="Symbol"/>
      </w:rPr>
    </w:lvl>
    <w:lvl w:ilvl="8" w:tplc="F3DE29A4">
      <w:start w:val="1"/>
      <w:numFmt w:val="bullet"/>
      <w:lvlText w:val=""/>
      <w:lvlJc w:val="left"/>
      <w:pPr>
        <w:ind w:left="1020" w:hanging="360"/>
      </w:pPr>
      <w:rPr>
        <w:rFonts w:ascii="Symbol" w:hAnsi="Symbol"/>
      </w:rPr>
    </w:lvl>
  </w:abstractNum>
  <w:abstractNum w:abstractNumId="229" w15:restartNumberingAfterBreak="0">
    <w:nsid w:val="437C3B37"/>
    <w:multiLevelType w:val="hybridMultilevel"/>
    <w:tmpl w:val="D4E86BD8"/>
    <w:lvl w:ilvl="0" w:tplc="EC680E4C">
      <w:start w:val="1"/>
      <w:numFmt w:val="upperLetter"/>
      <w:lvlText w:val="(%1)"/>
      <w:lvlJc w:val="left"/>
      <w:pPr>
        <w:ind w:left="30" w:hanging="3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3CF2166"/>
    <w:multiLevelType w:val="hybridMultilevel"/>
    <w:tmpl w:val="DA06C812"/>
    <w:lvl w:ilvl="0" w:tplc="C9BCB580">
      <w:start w:val="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40E01DB"/>
    <w:multiLevelType w:val="multilevel"/>
    <w:tmpl w:val="CF488E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2" w15:restartNumberingAfterBreak="0">
    <w:nsid w:val="447E4A22"/>
    <w:multiLevelType w:val="multilevel"/>
    <w:tmpl w:val="57D01F28"/>
    <w:lvl w:ilvl="0">
      <w:start w:val="1"/>
      <w:numFmt w:val="decimal"/>
      <w:lvlText w:val="%1"/>
      <w:lvlJc w:val="left"/>
      <w:pPr>
        <w:ind w:left="432" w:hanging="432"/>
      </w:pPr>
      <w:rPr>
        <w:rFonts w:hint="default"/>
        <w:b/>
        <w:i w:val="0"/>
        <w:sz w:val="34"/>
      </w:rPr>
    </w:lvl>
    <w:lvl w:ilvl="1">
      <w:start w:val="1"/>
      <w:numFmt w:val="decimal"/>
      <w:lvlText w:val="%1.%2"/>
      <w:lvlJc w:val="left"/>
      <w:pPr>
        <w:ind w:left="576" w:hanging="576"/>
      </w:pPr>
      <w:rPr>
        <w:rFonts w:hint="default"/>
        <w:b/>
        <w:i w:val="0"/>
        <w:sz w:val="30"/>
      </w:rPr>
    </w:lvl>
    <w:lvl w:ilvl="2">
      <w:start w:val="1"/>
      <w:numFmt w:val="decimal"/>
      <w:lvlText w:val="%1.%2.%3"/>
      <w:lvlJc w:val="left"/>
      <w:pPr>
        <w:ind w:left="720" w:hanging="720"/>
      </w:pPr>
      <w:rPr>
        <w:rFonts w:hint="default"/>
        <w:b/>
        <w:i w:val="0"/>
        <w:sz w:val="26"/>
      </w:rPr>
    </w:lvl>
    <w:lvl w:ilvl="3">
      <w:start w:val="1"/>
      <w:numFmt w:val="decimal"/>
      <w:lvlText w:val="%1.%2.%3.%4"/>
      <w:lvlJc w:val="left"/>
      <w:pPr>
        <w:ind w:left="864" w:hanging="864"/>
      </w:pPr>
      <w:rPr>
        <w:rFonts w:hint="default"/>
        <w:b/>
        <w:i w:val="0"/>
        <w:sz w:val="24"/>
        <w:szCs w:val="24"/>
      </w:rPr>
    </w:lvl>
    <w:lvl w:ilvl="4">
      <w:start w:val="1"/>
      <w:numFmt w:val="decimal"/>
      <w:lvlText w:val="%1.%2.%3.%4.%5"/>
      <w:lvlJc w:val="left"/>
      <w:pPr>
        <w:ind w:left="1008" w:hanging="1008"/>
      </w:pPr>
      <w:rPr>
        <w:rFonts w:hint="default"/>
        <w:b/>
        <w:i w:val="0"/>
        <w:sz w:val="24"/>
        <w:szCs w:val="24"/>
      </w:rPr>
    </w:lvl>
    <w:lvl w:ilvl="5">
      <w:start w:val="1"/>
      <w:numFmt w:val="decimal"/>
      <w:lvlText w:val="%1.%2.%3.%4.%5.%6"/>
      <w:lvlJc w:val="left"/>
      <w:pPr>
        <w:ind w:left="1152" w:hanging="1152"/>
      </w:pPr>
      <w:rPr>
        <w:rFonts w:hint="default"/>
        <w:b/>
        <w:i w:val="0"/>
        <w:sz w:val="24"/>
      </w:rPr>
    </w:lvl>
    <w:lvl w:ilvl="6">
      <w:start w:val="1"/>
      <w:numFmt w:val="decimal"/>
      <w:lvlText w:val="%1.%2.%3.%4.%5.%6.%7"/>
      <w:lvlJc w:val="left"/>
      <w:pPr>
        <w:ind w:left="1296" w:hanging="1296"/>
      </w:pPr>
      <w:rPr>
        <w:rFonts w:hint="default"/>
        <w:b/>
        <w:i w:val="0"/>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3" w15:restartNumberingAfterBreak="0">
    <w:nsid w:val="44CB7065"/>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4" w15:restartNumberingAfterBreak="0">
    <w:nsid w:val="450041BD"/>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5" w15:restartNumberingAfterBreak="0">
    <w:nsid w:val="450B751E"/>
    <w:multiLevelType w:val="hybridMultilevel"/>
    <w:tmpl w:val="E1D407C0"/>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45633411"/>
    <w:multiLevelType w:val="multilevel"/>
    <w:tmpl w:val="3E44041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7" w15:restartNumberingAfterBreak="0">
    <w:nsid w:val="45D8357F"/>
    <w:multiLevelType w:val="hybridMultilevel"/>
    <w:tmpl w:val="B74A1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460B68B2"/>
    <w:multiLevelType w:val="multilevel"/>
    <w:tmpl w:val="A17EE74E"/>
    <w:lvl w:ilvl="0">
      <w:start w:val="1"/>
      <w:numFmt w:val="decimal"/>
      <w:lvlText w:val="(%1)"/>
      <w:lvlJc w:val="left"/>
      <w:pPr>
        <w:ind w:left="54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9" w15:restartNumberingAfterBreak="0">
    <w:nsid w:val="46590A6F"/>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40" w15:restartNumberingAfterBreak="0">
    <w:nsid w:val="46AC6565"/>
    <w:multiLevelType w:val="multilevel"/>
    <w:tmpl w:val="1E40CF0C"/>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46AF6D61"/>
    <w:multiLevelType w:val="hybridMultilevel"/>
    <w:tmpl w:val="9EFC92AE"/>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42" w15:restartNumberingAfterBreak="0">
    <w:nsid w:val="46C2465A"/>
    <w:multiLevelType w:val="hybridMultilevel"/>
    <w:tmpl w:val="597AFB66"/>
    <w:lvl w:ilvl="0" w:tplc="C9BCB5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7746FE1"/>
    <w:multiLevelType w:val="hybridMultilevel"/>
    <w:tmpl w:val="1ECA8DCC"/>
    <w:lvl w:ilvl="0" w:tplc="5FFA6FB6">
      <w:start w:val="1"/>
      <w:numFmt w:val="decimal"/>
      <w:lvlText w:val="(%1)"/>
      <w:lvlJc w:val="left"/>
      <w:pPr>
        <w:tabs>
          <w:tab w:val="num" w:pos="720"/>
        </w:tabs>
        <w:ind w:left="720" w:hanging="360"/>
      </w:pPr>
      <w:rPr>
        <w:rFonts w:hint="default"/>
      </w:rPr>
    </w:lvl>
    <w:lvl w:ilvl="1" w:tplc="0CD6AB82">
      <w:start w:val="1"/>
      <w:numFmt w:val="lowerLetter"/>
      <w:lvlText w:val="(%2)"/>
      <w:lvlJc w:val="left"/>
      <w:pPr>
        <w:tabs>
          <w:tab w:val="num" w:pos="1440"/>
        </w:tabs>
        <w:ind w:left="1440" w:hanging="360"/>
      </w:pPr>
      <w:rPr>
        <w:rFonts w:hint="default"/>
      </w:rPr>
    </w:lvl>
    <w:lvl w:ilvl="2" w:tplc="31667A66" w:tentative="1">
      <w:start w:val="1"/>
      <w:numFmt w:val="lowerRoman"/>
      <w:lvlText w:val="%3."/>
      <w:lvlJc w:val="right"/>
      <w:pPr>
        <w:tabs>
          <w:tab w:val="num" w:pos="2160"/>
        </w:tabs>
        <w:ind w:left="2160" w:hanging="180"/>
      </w:pPr>
    </w:lvl>
    <w:lvl w:ilvl="3" w:tplc="FDB490E2" w:tentative="1">
      <w:start w:val="1"/>
      <w:numFmt w:val="decimal"/>
      <w:lvlText w:val="%4."/>
      <w:lvlJc w:val="left"/>
      <w:pPr>
        <w:tabs>
          <w:tab w:val="num" w:pos="2880"/>
        </w:tabs>
        <w:ind w:left="2880" w:hanging="360"/>
      </w:pPr>
    </w:lvl>
    <w:lvl w:ilvl="4" w:tplc="D98433CA" w:tentative="1">
      <w:start w:val="1"/>
      <w:numFmt w:val="lowerLetter"/>
      <w:lvlText w:val="%5."/>
      <w:lvlJc w:val="left"/>
      <w:pPr>
        <w:tabs>
          <w:tab w:val="num" w:pos="3600"/>
        </w:tabs>
        <w:ind w:left="3600" w:hanging="360"/>
      </w:pPr>
    </w:lvl>
    <w:lvl w:ilvl="5" w:tplc="46D8234C" w:tentative="1">
      <w:start w:val="1"/>
      <w:numFmt w:val="lowerRoman"/>
      <w:lvlText w:val="%6."/>
      <w:lvlJc w:val="right"/>
      <w:pPr>
        <w:tabs>
          <w:tab w:val="num" w:pos="4320"/>
        </w:tabs>
        <w:ind w:left="4320" w:hanging="180"/>
      </w:pPr>
    </w:lvl>
    <w:lvl w:ilvl="6" w:tplc="971A4030" w:tentative="1">
      <w:start w:val="1"/>
      <w:numFmt w:val="decimal"/>
      <w:lvlText w:val="%7."/>
      <w:lvlJc w:val="left"/>
      <w:pPr>
        <w:tabs>
          <w:tab w:val="num" w:pos="5040"/>
        </w:tabs>
        <w:ind w:left="5040" w:hanging="360"/>
      </w:pPr>
    </w:lvl>
    <w:lvl w:ilvl="7" w:tplc="F35CBD74" w:tentative="1">
      <w:start w:val="1"/>
      <w:numFmt w:val="lowerLetter"/>
      <w:lvlText w:val="%8."/>
      <w:lvlJc w:val="left"/>
      <w:pPr>
        <w:tabs>
          <w:tab w:val="num" w:pos="5760"/>
        </w:tabs>
        <w:ind w:left="5760" w:hanging="360"/>
      </w:pPr>
    </w:lvl>
    <w:lvl w:ilvl="8" w:tplc="99AE4B6C" w:tentative="1">
      <w:start w:val="1"/>
      <w:numFmt w:val="lowerRoman"/>
      <w:lvlText w:val="%9."/>
      <w:lvlJc w:val="right"/>
      <w:pPr>
        <w:tabs>
          <w:tab w:val="num" w:pos="6480"/>
        </w:tabs>
        <w:ind w:left="6480" w:hanging="180"/>
      </w:pPr>
    </w:lvl>
  </w:abstractNum>
  <w:abstractNum w:abstractNumId="244" w15:restartNumberingAfterBreak="0">
    <w:nsid w:val="47764297"/>
    <w:multiLevelType w:val="hybridMultilevel"/>
    <w:tmpl w:val="AF6A2C5C"/>
    <w:lvl w:ilvl="0" w:tplc="DE1C6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479B4BF1"/>
    <w:multiLevelType w:val="hybridMultilevel"/>
    <w:tmpl w:val="5284F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8965FD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7" w15:restartNumberingAfterBreak="0">
    <w:nsid w:val="48E53C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8" w15:restartNumberingAfterBreak="0">
    <w:nsid w:val="490F013D"/>
    <w:multiLevelType w:val="hybridMultilevel"/>
    <w:tmpl w:val="5BE8577A"/>
    <w:lvl w:ilvl="0" w:tplc="C9BCB580">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49" w15:restartNumberingAfterBreak="0">
    <w:nsid w:val="49284334"/>
    <w:multiLevelType w:val="hybridMultilevel"/>
    <w:tmpl w:val="6B726248"/>
    <w:lvl w:ilvl="0" w:tplc="FFFFFFFF">
      <w:start w:val="1"/>
      <w:numFmt w:val="decimal"/>
      <w:lvlText w:val="(%1)"/>
      <w:lvlJc w:val="left"/>
      <w:pPr>
        <w:ind w:left="117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9EC1953"/>
    <w:multiLevelType w:val="hybridMultilevel"/>
    <w:tmpl w:val="35E4B92A"/>
    <w:lvl w:ilvl="0" w:tplc="04090019">
      <w:start w:val="1"/>
      <w:numFmt w:val="lowerLetter"/>
      <w:lvlText w:val="(%1)"/>
      <w:lvlJc w:val="left"/>
      <w:pPr>
        <w:tabs>
          <w:tab w:val="num" w:pos="360"/>
        </w:tabs>
        <w:ind w:left="360" w:hanging="360"/>
      </w:pPr>
      <w:rPr>
        <w:rFonts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A01400C"/>
    <w:multiLevelType w:val="hybridMultilevel"/>
    <w:tmpl w:val="AA7CDA40"/>
    <w:lvl w:ilvl="0" w:tplc="6AC6B84C">
      <w:start w:val="1"/>
      <w:numFmt w:val="upperLetter"/>
      <w:lvlText w:val="(%1)"/>
      <w:lvlJc w:val="left"/>
      <w:pPr>
        <w:ind w:left="1581" w:hanging="721"/>
      </w:pPr>
      <w:rPr>
        <w:rFonts w:ascii="Times New Roman" w:eastAsia="Times New Roman" w:hAnsi="Times New Roman" w:cs="Times New Roman" w:hint="default"/>
        <w:b w:val="0"/>
        <w:bCs w:val="0"/>
        <w:i w:val="0"/>
        <w:iCs w:val="0"/>
        <w:w w:val="99"/>
        <w:sz w:val="24"/>
        <w:szCs w:val="24"/>
        <w:lang w:val="en-US" w:eastAsia="en-US" w:bidi="ar-SA"/>
      </w:rPr>
    </w:lvl>
    <w:lvl w:ilvl="1" w:tplc="F0CA2B7E">
      <w:start w:val="1"/>
      <w:numFmt w:val="decimal"/>
      <w:lvlText w:val="(%2)"/>
      <w:lvlJc w:val="left"/>
      <w:pPr>
        <w:ind w:left="2301" w:hanging="720"/>
      </w:pPr>
      <w:rPr>
        <w:rFonts w:ascii="Times New Roman" w:eastAsia="Times New Roman" w:hAnsi="Times New Roman" w:cs="Times New Roman" w:hint="default"/>
        <w:b w:val="0"/>
        <w:bCs w:val="0"/>
        <w:i w:val="0"/>
        <w:iCs w:val="0"/>
        <w:w w:val="99"/>
        <w:sz w:val="24"/>
        <w:szCs w:val="24"/>
        <w:lang w:val="en-US" w:eastAsia="en-US" w:bidi="ar-SA"/>
      </w:rPr>
    </w:lvl>
    <w:lvl w:ilvl="2" w:tplc="F5A8B230">
      <w:numFmt w:val="bullet"/>
      <w:lvlText w:val="•"/>
      <w:lvlJc w:val="left"/>
      <w:pPr>
        <w:ind w:left="3311" w:hanging="720"/>
      </w:pPr>
      <w:rPr>
        <w:rFonts w:hint="default"/>
        <w:lang w:val="en-US" w:eastAsia="en-US" w:bidi="ar-SA"/>
      </w:rPr>
    </w:lvl>
    <w:lvl w:ilvl="3" w:tplc="854401DC">
      <w:numFmt w:val="bullet"/>
      <w:lvlText w:val="•"/>
      <w:lvlJc w:val="left"/>
      <w:pPr>
        <w:ind w:left="4322" w:hanging="720"/>
      </w:pPr>
      <w:rPr>
        <w:rFonts w:hint="default"/>
        <w:lang w:val="en-US" w:eastAsia="en-US" w:bidi="ar-SA"/>
      </w:rPr>
    </w:lvl>
    <w:lvl w:ilvl="4" w:tplc="A05EE300">
      <w:numFmt w:val="bullet"/>
      <w:lvlText w:val="•"/>
      <w:lvlJc w:val="left"/>
      <w:pPr>
        <w:ind w:left="5333" w:hanging="720"/>
      </w:pPr>
      <w:rPr>
        <w:rFonts w:hint="default"/>
        <w:lang w:val="en-US" w:eastAsia="en-US" w:bidi="ar-SA"/>
      </w:rPr>
    </w:lvl>
    <w:lvl w:ilvl="5" w:tplc="3510F766">
      <w:numFmt w:val="bullet"/>
      <w:lvlText w:val="•"/>
      <w:lvlJc w:val="left"/>
      <w:pPr>
        <w:ind w:left="6344" w:hanging="720"/>
      </w:pPr>
      <w:rPr>
        <w:rFonts w:hint="default"/>
        <w:lang w:val="en-US" w:eastAsia="en-US" w:bidi="ar-SA"/>
      </w:rPr>
    </w:lvl>
    <w:lvl w:ilvl="6" w:tplc="A536919A">
      <w:numFmt w:val="bullet"/>
      <w:lvlText w:val="•"/>
      <w:lvlJc w:val="left"/>
      <w:pPr>
        <w:ind w:left="7355" w:hanging="720"/>
      </w:pPr>
      <w:rPr>
        <w:rFonts w:hint="default"/>
        <w:lang w:val="en-US" w:eastAsia="en-US" w:bidi="ar-SA"/>
      </w:rPr>
    </w:lvl>
    <w:lvl w:ilvl="7" w:tplc="485ED03C">
      <w:numFmt w:val="bullet"/>
      <w:lvlText w:val="•"/>
      <w:lvlJc w:val="left"/>
      <w:pPr>
        <w:ind w:left="8366" w:hanging="720"/>
      </w:pPr>
      <w:rPr>
        <w:rFonts w:hint="default"/>
        <w:lang w:val="en-US" w:eastAsia="en-US" w:bidi="ar-SA"/>
      </w:rPr>
    </w:lvl>
    <w:lvl w:ilvl="8" w:tplc="4CB411CC">
      <w:numFmt w:val="bullet"/>
      <w:lvlText w:val="•"/>
      <w:lvlJc w:val="left"/>
      <w:pPr>
        <w:ind w:left="9377" w:hanging="720"/>
      </w:pPr>
      <w:rPr>
        <w:rFonts w:hint="default"/>
        <w:lang w:val="en-US" w:eastAsia="en-US" w:bidi="ar-SA"/>
      </w:rPr>
    </w:lvl>
  </w:abstractNum>
  <w:abstractNum w:abstractNumId="252" w15:restartNumberingAfterBreak="0">
    <w:nsid w:val="4A0146A8"/>
    <w:multiLevelType w:val="hybridMultilevel"/>
    <w:tmpl w:val="ECB2F274"/>
    <w:lvl w:ilvl="0" w:tplc="04090001">
      <w:start w:val="2"/>
      <w:numFmt w:val="decimal"/>
      <w:lvlText w:val="(%1)"/>
      <w:lvlJc w:val="left"/>
      <w:pPr>
        <w:tabs>
          <w:tab w:val="num" w:pos="360"/>
        </w:tabs>
        <w:ind w:left="360" w:hanging="360"/>
      </w:pPr>
      <w:rPr>
        <w:rFonts w:hint="default"/>
      </w:rPr>
    </w:lvl>
    <w:lvl w:ilvl="1" w:tplc="17C8DC4A">
      <w:start w:val="1"/>
      <w:numFmt w:val="lowerLetter"/>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rPr>
        <w:rFonts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3" w15:restartNumberingAfterBreak="0">
    <w:nsid w:val="4A5E4BD8"/>
    <w:multiLevelType w:val="multilevel"/>
    <w:tmpl w:val="BA96A13C"/>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3"/>
      <w:numFmt w:val="decimal"/>
      <w:lvlText w:val="(%4)"/>
      <w:lvlJc w:val="left"/>
      <w:pPr>
        <w:ind w:left="720" w:hanging="540"/>
      </w:pPr>
      <w:rPr>
        <w:rFonts w:ascii="Times New Roman" w:hAnsi="Times New Roman" w:hint="default"/>
        <w:b w:val="0"/>
        <w:i w:val="0"/>
        <w:color w:val="auto"/>
        <w:sz w:val="24"/>
      </w:rPr>
    </w:lvl>
    <w:lvl w:ilvl="4">
      <w:start w:val="4"/>
      <w:numFmt w:val="decimal"/>
      <w:lvlText w:val="(%5)"/>
      <w:lvlJc w:val="left"/>
      <w:pPr>
        <w:ind w:left="81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54" w15:restartNumberingAfterBreak="0">
    <w:nsid w:val="4A641DF8"/>
    <w:multiLevelType w:val="hybridMultilevel"/>
    <w:tmpl w:val="BE10E194"/>
    <w:lvl w:ilvl="0" w:tplc="7FE60B22">
      <w:start w:val="1"/>
      <w:numFmt w:val="decimal"/>
      <w:lvlText w:val="(%1)"/>
      <w:lvlJc w:val="left"/>
      <w:pPr>
        <w:tabs>
          <w:tab w:val="num" w:pos="360"/>
        </w:tabs>
        <w:ind w:left="360" w:hanging="360"/>
      </w:pPr>
      <w:rPr>
        <w:rFonts w:hint="default"/>
      </w:rPr>
    </w:lvl>
    <w:lvl w:ilvl="1" w:tplc="7FE60B2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4A68399D"/>
    <w:multiLevelType w:val="hybridMultilevel"/>
    <w:tmpl w:val="3A647292"/>
    <w:lvl w:ilvl="0" w:tplc="C9BCB580">
      <w:start w:val="1"/>
      <w:numFmt w:val="lowerLetter"/>
      <w:lvlText w:val="(%1)"/>
      <w:lvlJc w:val="left"/>
      <w:pPr>
        <w:tabs>
          <w:tab w:val="num" w:pos="720"/>
        </w:tabs>
        <w:ind w:left="720" w:hanging="360"/>
      </w:pPr>
      <w:rPr>
        <w:rFonts w:hint="default"/>
      </w:rPr>
    </w:lvl>
    <w:lvl w:ilvl="1" w:tplc="C006388E">
      <w:start w:val="1"/>
      <w:numFmt w:val="lowerLetter"/>
      <w:lvlText w:val="(%2)"/>
      <w:lvlJc w:val="left"/>
      <w:pPr>
        <w:tabs>
          <w:tab w:val="num" w:pos="1440"/>
        </w:tabs>
        <w:ind w:left="1440" w:hanging="360"/>
      </w:pPr>
      <w:rPr>
        <w:rFonts w:hint="default"/>
      </w:rPr>
    </w:lvl>
    <w:lvl w:ilvl="2" w:tplc="ECAC214E" w:tentative="1">
      <w:start w:val="1"/>
      <w:numFmt w:val="lowerRoman"/>
      <w:lvlText w:val="%3."/>
      <w:lvlJc w:val="right"/>
      <w:pPr>
        <w:tabs>
          <w:tab w:val="num" w:pos="2160"/>
        </w:tabs>
        <w:ind w:left="2160" w:hanging="180"/>
      </w:pPr>
    </w:lvl>
    <w:lvl w:ilvl="3" w:tplc="3074261E" w:tentative="1">
      <w:start w:val="1"/>
      <w:numFmt w:val="decimal"/>
      <w:lvlText w:val="%4."/>
      <w:lvlJc w:val="left"/>
      <w:pPr>
        <w:tabs>
          <w:tab w:val="num" w:pos="2880"/>
        </w:tabs>
        <w:ind w:left="2880" w:hanging="360"/>
      </w:pPr>
    </w:lvl>
    <w:lvl w:ilvl="4" w:tplc="9C3C16AE" w:tentative="1">
      <w:start w:val="1"/>
      <w:numFmt w:val="lowerLetter"/>
      <w:lvlText w:val="%5."/>
      <w:lvlJc w:val="left"/>
      <w:pPr>
        <w:tabs>
          <w:tab w:val="num" w:pos="3600"/>
        </w:tabs>
        <w:ind w:left="3600" w:hanging="360"/>
      </w:pPr>
    </w:lvl>
    <w:lvl w:ilvl="5" w:tplc="67325FD0" w:tentative="1">
      <w:start w:val="1"/>
      <w:numFmt w:val="lowerRoman"/>
      <w:lvlText w:val="%6."/>
      <w:lvlJc w:val="right"/>
      <w:pPr>
        <w:tabs>
          <w:tab w:val="num" w:pos="4320"/>
        </w:tabs>
        <w:ind w:left="4320" w:hanging="180"/>
      </w:pPr>
    </w:lvl>
    <w:lvl w:ilvl="6" w:tplc="3AE26954" w:tentative="1">
      <w:start w:val="1"/>
      <w:numFmt w:val="decimal"/>
      <w:lvlText w:val="%7."/>
      <w:lvlJc w:val="left"/>
      <w:pPr>
        <w:tabs>
          <w:tab w:val="num" w:pos="5040"/>
        </w:tabs>
        <w:ind w:left="5040" w:hanging="360"/>
      </w:pPr>
    </w:lvl>
    <w:lvl w:ilvl="7" w:tplc="19649B26" w:tentative="1">
      <w:start w:val="1"/>
      <w:numFmt w:val="lowerLetter"/>
      <w:lvlText w:val="%8."/>
      <w:lvlJc w:val="left"/>
      <w:pPr>
        <w:tabs>
          <w:tab w:val="num" w:pos="5760"/>
        </w:tabs>
        <w:ind w:left="5760" w:hanging="360"/>
      </w:pPr>
    </w:lvl>
    <w:lvl w:ilvl="8" w:tplc="7ED07C64" w:tentative="1">
      <w:start w:val="1"/>
      <w:numFmt w:val="lowerRoman"/>
      <w:lvlText w:val="%9."/>
      <w:lvlJc w:val="right"/>
      <w:pPr>
        <w:tabs>
          <w:tab w:val="num" w:pos="6480"/>
        </w:tabs>
        <w:ind w:left="6480" w:hanging="180"/>
      </w:pPr>
    </w:lvl>
  </w:abstractNum>
  <w:abstractNum w:abstractNumId="256" w15:restartNumberingAfterBreak="0">
    <w:nsid w:val="4A6C56DF"/>
    <w:multiLevelType w:val="hybridMultilevel"/>
    <w:tmpl w:val="06B48ECC"/>
    <w:lvl w:ilvl="0" w:tplc="04090001">
      <w:start w:val="1"/>
      <w:numFmt w:val="decimal"/>
      <w:lvlText w:val="(%1)"/>
      <w:lvlJc w:val="left"/>
      <w:pPr>
        <w:tabs>
          <w:tab w:val="num" w:pos="1800"/>
        </w:tabs>
        <w:ind w:left="1800" w:hanging="360"/>
      </w:pPr>
      <w:rPr>
        <w:rFonts w:hint="default"/>
      </w:rPr>
    </w:lvl>
    <w:lvl w:ilvl="1" w:tplc="04090003">
      <w:start w:val="1"/>
      <w:numFmt w:val="lowerLetter"/>
      <w:lvlText w:val="%2."/>
      <w:lvlJc w:val="left"/>
      <w:pPr>
        <w:tabs>
          <w:tab w:val="num" w:pos="2880"/>
        </w:tabs>
        <w:ind w:left="2880" w:hanging="360"/>
      </w:p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257" w15:restartNumberingAfterBreak="0">
    <w:nsid w:val="4B4A225B"/>
    <w:multiLevelType w:val="multilevel"/>
    <w:tmpl w:val="5BCE512A"/>
    <w:lvl w:ilvl="0">
      <w:start w:val="1"/>
      <w:numFmt w:val="decimal"/>
      <w:lvlText w:val="%1."/>
      <w:lvlJc w:val="left"/>
      <w:pPr>
        <w:ind w:left="1581" w:hanging="721"/>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581" w:hanging="721"/>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581" w:hanging="721"/>
      </w:pPr>
      <w:rPr>
        <w:rFonts w:hint="default"/>
        <w:w w:val="100"/>
        <w:lang w:val="en-US" w:eastAsia="en-US" w:bidi="ar-SA"/>
      </w:rPr>
    </w:lvl>
    <w:lvl w:ilvl="3">
      <w:start w:val="1"/>
      <w:numFmt w:val="decimal"/>
      <w:lvlText w:val="%1.%2.%3.%4"/>
      <w:lvlJc w:val="left"/>
      <w:pPr>
        <w:ind w:left="1580" w:hanging="721"/>
        <w:jc w:val="right"/>
      </w:pPr>
      <w:rPr>
        <w:rFonts w:ascii="Times New Roman" w:eastAsia="Times New Roman" w:hAnsi="Times New Roman" w:cs="Times New Roman" w:hint="default"/>
        <w:b/>
        <w:bCs/>
        <w:i w:val="0"/>
        <w:iCs w:val="0"/>
        <w:w w:val="100"/>
        <w:sz w:val="24"/>
        <w:szCs w:val="24"/>
        <w:lang w:val="en-US" w:eastAsia="en-US" w:bidi="ar-SA"/>
      </w:rPr>
    </w:lvl>
    <w:lvl w:ilvl="4">
      <w:start w:val="1"/>
      <w:numFmt w:val="decimal"/>
      <w:lvlText w:val="%1.%2.%3.%4.%5"/>
      <w:lvlJc w:val="left"/>
      <w:pPr>
        <w:ind w:left="2301" w:hanging="721"/>
      </w:pPr>
      <w:rPr>
        <w:rFonts w:ascii="Times New Roman" w:eastAsia="Times New Roman" w:hAnsi="Times New Roman" w:cs="Times New Roman" w:hint="default"/>
        <w:b/>
        <w:bCs/>
        <w:i w:val="0"/>
        <w:iCs w:val="0"/>
        <w:w w:val="100"/>
        <w:sz w:val="24"/>
        <w:szCs w:val="24"/>
        <w:lang w:val="en-US" w:eastAsia="en-US" w:bidi="ar-SA"/>
      </w:rPr>
    </w:lvl>
    <w:lvl w:ilvl="5">
      <w:numFmt w:val="bullet"/>
      <w:lvlText w:val="•"/>
      <w:lvlJc w:val="left"/>
      <w:pPr>
        <w:ind w:left="4900" w:hanging="721"/>
      </w:pPr>
      <w:rPr>
        <w:rFonts w:hint="default"/>
        <w:lang w:val="en-US" w:eastAsia="en-US" w:bidi="ar-SA"/>
      </w:rPr>
    </w:lvl>
    <w:lvl w:ilvl="6">
      <w:numFmt w:val="bullet"/>
      <w:lvlText w:val="•"/>
      <w:lvlJc w:val="left"/>
      <w:pPr>
        <w:ind w:left="6200" w:hanging="721"/>
      </w:pPr>
      <w:rPr>
        <w:rFonts w:hint="default"/>
        <w:lang w:val="en-US" w:eastAsia="en-US" w:bidi="ar-SA"/>
      </w:rPr>
    </w:lvl>
    <w:lvl w:ilvl="7">
      <w:numFmt w:val="bullet"/>
      <w:lvlText w:val="•"/>
      <w:lvlJc w:val="left"/>
      <w:pPr>
        <w:ind w:left="7500" w:hanging="721"/>
      </w:pPr>
      <w:rPr>
        <w:rFonts w:hint="default"/>
        <w:lang w:val="en-US" w:eastAsia="en-US" w:bidi="ar-SA"/>
      </w:rPr>
    </w:lvl>
    <w:lvl w:ilvl="8">
      <w:numFmt w:val="bullet"/>
      <w:lvlText w:val="•"/>
      <w:lvlJc w:val="left"/>
      <w:pPr>
        <w:ind w:left="8800" w:hanging="721"/>
      </w:pPr>
      <w:rPr>
        <w:rFonts w:hint="default"/>
        <w:lang w:val="en-US" w:eastAsia="en-US" w:bidi="ar-SA"/>
      </w:rPr>
    </w:lvl>
  </w:abstractNum>
  <w:abstractNum w:abstractNumId="258" w15:restartNumberingAfterBreak="0">
    <w:nsid w:val="4B610348"/>
    <w:multiLevelType w:val="hybridMultilevel"/>
    <w:tmpl w:val="164E0438"/>
    <w:lvl w:ilvl="0" w:tplc="D2C4501A">
      <w:start w:val="1"/>
      <w:numFmt w:val="decimal"/>
      <w:lvlText w:val="(%1)"/>
      <w:lvlJc w:val="left"/>
      <w:pPr>
        <w:ind w:left="900"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59" w15:restartNumberingAfterBreak="0">
    <w:nsid w:val="4B9D043C"/>
    <w:multiLevelType w:val="multilevel"/>
    <w:tmpl w:val="EB944A44"/>
    <w:lvl w:ilvl="0">
      <w:start w:val="8"/>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60" w15:restartNumberingAfterBreak="0">
    <w:nsid w:val="4BBB1687"/>
    <w:multiLevelType w:val="hybridMultilevel"/>
    <w:tmpl w:val="F2787E44"/>
    <w:lvl w:ilvl="0" w:tplc="D2C4501A">
      <w:start w:val="1"/>
      <w:numFmt w:val="decimal"/>
      <w:lvlText w:val="(%1)"/>
      <w:lvlJc w:val="left"/>
      <w:pPr>
        <w:ind w:left="900"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61" w15:restartNumberingAfterBreak="0">
    <w:nsid w:val="4C150148"/>
    <w:multiLevelType w:val="hybridMultilevel"/>
    <w:tmpl w:val="CD34F11E"/>
    <w:lvl w:ilvl="0" w:tplc="B22EFD66">
      <w:start w:val="1"/>
      <w:numFmt w:val="lowerLetter"/>
      <w:lvlText w:val="(%1)"/>
      <w:lvlJc w:val="left"/>
      <w:pPr>
        <w:tabs>
          <w:tab w:val="num" w:pos="720"/>
        </w:tabs>
        <w:ind w:left="720" w:hanging="360"/>
      </w:pPr>
      <w:rPr>
        <w:rFonts w:ascii="Times New Roman" w:hAnsi="Times New Roman" w:cs="Times New Roman" w:hint="default"/>
        <w:sz w:val="24"/>
        <w:szCs w:val="28"/>
      </w:rPr>
    </w:lvl>
    <w:lvl w:ilvl="1" w:tplc="6B868AAE">
      <w:start w:val="1"/>
      <w:numFmt w:val="lowerRoman"/>
      <w:lvlText w:val="(%2)"/>
      <w:lvlJc w:val="right"/>
      <w:pPr>
        <w:tabs>
          <w:tab w:val="num" w:pos="1440"/>
        </w:tabs>
        <w:ind w:left="1440" w:hanging="360"/>
      </w:pPr>
      <w:rPr>
        <w:rFonts w:hint="default"/>
      </w:rPr>
    </w:lvl>
    <w:lvl w:ilvl="2" w:tplc="ECA057D0"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2" w15:restartNumberingAfterBreak="0">
    <w:nsid w:val="4C360B3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63" w15:restartNumberingAfterBreak="0">
    <w:nsid w:val="4C8B488E"/>
    <w:multiLevelType w:val="multilevel"/>
    <w:tmpl w:val="A9906354"/>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4" w15:restartNumberingAfterBreak="0">
    <w:nsid w:val="4CAD4C5F"/>
    <w:multiLevelType w:val="hybridMultilevel"/>
    <w:tmpl w:val="18389CEE"/>
    <w:lvl w:ilvl="0" w:tplc="92E04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D2D7EFC"/>
    <w:multiLevelType w:val="hybridMultilevel"/>
    <w:tmpl w:val="342E2016"/>
    <w:lvl w:ilvl="0" w:tplc="FFFFFFFF">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rPr>
        <w:rFonts w:hint="default"/>
      </w:r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6" w15:restartNumberingAfterBreak="0">
    <w:nsid w:val="4D8E75F1"/>
    <w:multiLevelType w:val="hybridMultilevel"/>
    <w:tmpl w:val="C9AC7012"/>
    <w:lvl w:ilvl="0" w:tplc="17C8DC4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7" w15:restartNumberingAfterBreak="0">
    <w:nsid w:val="4DB556AA"/>
    <w:multiLevelType w:val="hybridMultilevel"/>
    <w:tmpl w:val="0382004A"/>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4DCA7E52"/>
    <w:multiLevelType w:val="hybridMultilevel"/>
    <w:tmpl w:val="0686B81E"/>
    <w:lvl w:ilvl="0" w:tplc="1B363EDC">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9" w15:restartNumberingAfterBreak="0">
    <w:nsid w:val="4E08519A"/>
    <w:multiLevelType w:val="hybridMultilevel"/>
    <w:tmpl w:val="89D42AE0"/>
    <w:lvl w:ilvl="0" w:tplc="1250D7CC">
      <w:start w:val="1"/>
      <w:numFmt w:val="decimal"/>
      <w:lvlText w:val="(%1)"/>
      <w:lvlJc w:val="left"/>
      <w:pPr>
        <w:tabs>
          <w:tab w:val="num" w:pos="893"/>
        </w:tabs>
        <w:ind w:left="893" w:hanging="360"/>
      </w:pPr>
      <w:rPr>
        <w:rFonts w:hint="default"/>
      </w:rPr>
    </w:lvl>
    <w:lvl w:ilvl="1" w:tplc="63809B7E">
      <w:start w:val="1"/>
      <w:numFmt w:val="decimal"/>
      <w:lvlText w:val="(%2)"/>
      <w:lvlJc w:val="left"/>
      <w:pPr>
        <w:tabs>
          <w:tab w:val="num" w:pos="1973"/>
        </w:tabs>
        <w:ind w:left="1973" w:hanging="360"/>
      </w:pPr>
      <w:rPr>
        <w:rFonts w:hint="default"/>
      </w:rPr>
    </w:lvl>
    <w:lvl w:ilvl="2" w:tplc="0409001B" w:tentative="1">
      <w:start w:val="1"/>
      <w:numFmt w:val="bullet"/>
      <w:lvlText w:val=""/>
      <w:lvlJc w:val="left"/>
      <w:pPr>
        <w:tabs>
          <w:tab w:val="num" w:pos="2693"/>
        </w:tabs>
        <w:ind w:left="2693" w:hanging="360"/>
      </w:pPr>
      <w:rPr>
        <w:rFonts w:ascii="Wingdings" w:hAnsi="Wingdings" w:hint="default"/>
      </w:rPr>
    </w:lvl>
    <w:lvl w:ilvl="3" w:tplc="0409000F" w:tentative="1">
      <w:start w:val="1"/>
      <w:numFmt w:val="bullet"/>
      <w:lvlText w:val=""/>
      <w:lvlJc w:val="left"/>
      <w:pPr>
        <w:tabs>
          <w:tab w:val="num" w:pos="3413"/>
        </w:tabs>
        <w:ind w:left="3413" w:hanging="360"/>
      </w:pPr>
      <w:rPr>
        <w:rFonts w:ascii="Symbol" w:hAnsi="Symbol" w:hint="default"/>
      </w:rPr>
    </w:lvl>
    <w:lvl w:ilvl="4" w:tplc="04090019" w:tentative="1">
      <w:start w:val="1"/>
      <w:numFmt w:val="bullet"/>
      <w:lvlText w:val="o"/>
      <w:lvlJc w:val="left"/>
      <w:pPr>
        <w:tabs>
          <w:tab w:val="num" w:pos="4133"/>
        </w:tabs>
        <w:ind w:left="4133" w:hanging="360"/>
      </w:pPr>
      <w:rPr>
        <w:rFonts w:ascii="Courier New" w:hAnsi="Courier New" w:cs="Courier New" w:hint="default"/>
      </w:rPr>
    </w:lvl>
    <w:lvl w:ilvl="5" w:tplc="0409001B" w:tentative="1">
      <w:start w:val="1"/>
      <w:numFmt w:val="bullet"/>
      <w:lvlText w:val=""/>
      <w:lvlJc w:val="left"/>
      <w:pPr>
        <w:tabs>
          <w:tab w:val="num" w:pos="4853"/>
        </w:tabs>
        <w:ind w:left="4853" w:hanging="360"/>
      </w:pPr>
      <w:rPr>
        <w:rFonts w:ascii="Wingdings" w:hAnsi="Wingdings" w:hint="default"/>
      </w:rPr>
    </w:lvl>
    <w:lvl w:ilvl="6" w:tplc="0409000F" w:tentative="1">
      <w:start w:val="1"/>
      <w:numFmt w:val="bullet"/>
      <w:lvlText w:val=""/>
      <w:lvlJc w:val="left"/>
      <w:pPr>
        <w:tabs>
          <w:tab w:val="num" w:pos="5573"/>
        </w:tabs>
        <w:ind w:left="5573" w:hanging="360"/>
      </w:pPr>
      <w:rPr>
        <w:rFonts w:ascii="Symbol" w:hAnsi="Symbol" w:hint="default"/>
      </w:rPr>
    </w:lvl>
    <w:lvl w:ilvl="7" w:tplc="04090019" w:tentative="1">
      <w:start w:val="1"/>
      <w:numFmt w:val="bullet"/>
      <w:lvlText w:val="o"/>
      <w:lvlJc w:val="left"/>
      <w:pPr>
        <w:tabs>
          <w:tab w:val="num" w:pos="6293"/>
        </w:tabs>
        <w:ind w:left="6293" w:hanging="360"/>
      </w:pPr>
      <w:rPr>
        <w:rFonts w:ascii="Courier New" w:hAnsi="Courier New" w:cs="Courier New" w:hint="default"/>
      </w:rPr>
    </w:lvl>
    <w:lvl w:ilvl="8" w:tplc="0409001B" w:tentative="1">
      <w:start w:val="1"/>
      <w:numFmt w:val="bullet"/>
      <w:lvlText w:val=""/>
      <w:lvlJc w:val="left"/>
      <w:pPr>
        <w:tabs>
          <w:tab w:val="num" w:pos="7013"/>
        </w:tabs>
        <w:ind w:left="7013" w:hanging="360"/>
      </w:pPr>
      <w:rPr>
        <w:rFonts w:ascii="Wingdings" w:hAnsi="Wingdings" w:hint="default"/>
      </w:rPr>
    </w:lvl>
  </w:abstractNum>
  <w:abstractNum w:abstractNumId="270" w15:restartNumberingAfterBreak="0">
    <w:nsid w:val="4EA55E23"/>
    <w:multiLevelType w:val="hybridMultilevel"/>
    <w:tmpl w:val="694618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C9BCB580">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1" w15:restartNumberingAfterBreak="0">
    <w:nsid w:val="4EC403AD"/>
    <w:multiLevelType w:val="hybridMultilevel"/>
    <w:tmpl w:val="43FEE9F0"/>
    <w:lvl w:ilvl="0" w:tplc="C9BCB580">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2" w15:restartNumberingAfterBreak="0">
    <w:nsid w:val="4F4A0A29"/>
    <w:multiLevelType w:val="hybridMultilevel"/>
    <w:tmpl w:val="49C67F40"/>
    <w:lvl w:ilvl="0" w:tplc="629A48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4FA41A00"/>
    <w:multiLevelType w:val="hybridMultilevel"/>
    <w:tmpl w:val="6E6A5148"/>
    <w:lvl w:ilvl="0" w:tplc="6376308E">
      <w:start w:val="1"/>
      <w:numFmt w:val="decimal"/>
      <w:lvlText w:val="(%1)"/>
      <w:lvlJc w:val="left"/>
      <w:pPr>
        <w:tabs>
          <w:tab w:val="num" w:pos="360"/>
        </w:tabs>
        <w:ind w:left="360" w:hanging="360"/>
      </w:pPr>
      <w:rPr>
        <w:rFonts w:ascii="Times New Roman" w:eastAsia="Times New Roman" w:hAnsi="Times New Roman" w:cs="Times New Roman"/>
      </w:rPr>
    </w:lvl>
    <w:lvl w:ilvl="1" w:tplc="C9BCB580">
      <w:start w:val="1"/>
      <w:numFmt w:val="decimal"/>
      <w:lvlText w:val="(%2)"/>
      <w:lvlJc w:val="left"/>
      <w:pPr>
        <w:tabs>
          <w:tab w:val="num" w:pos="360"/>
        </w:tabs>
        <w:ind w:left="360" w:hanging="360"/>
      </w:pPr>
      <w:rPr>
        <w:rFonts w:ascii="Times New Roman" w:eastAsia="Times New Roman" w:hAnsi="Times New Roman" w:cs="Times New Roman"/>
        <w:b w:val="0"/>
      </w:rPr>
    </w:lvl>
    <w:lvl w:ilvl="2" w:tplc="C9BCB580" w:tentative="1">
      <w:start w:val="1"/>
      <w:numFmt w:val="lowerRoman"/>
      <w:lvlText w:val="%3."/>
      <w:lvlJc w:val="right"/>
      <w:pPr>
        <w:tabs>
          <w:tab w:val="num" w:pos="1080"/>
        </w:tabs>
        <w:ind w:left="1080" w:hanging="180"/>
      </w:pPr>
    </w:lvl>
    <w:lvl w:ilvl="3" w:tplc="B98A5326" w:tentative="1">
      <w:start w:val="1"/>
      <w:numFmt w:val="decimal"/>
      <w:lvlText w:val="%4."/>
      <w:lvlJc w:val="left"/>
      <w:pPr>
        <w:tabs>
          <w:tab w:val="num" w:pos="1800"/>
        </w:tabs>
        <w:ind w:left="1800" w:hanging="360"/>
      </w:pPr>
    </w:lvl>
    <w:lvl w:ilvl="4" w:tplc="41A859BA" w:tentative="1">
      <w:start w:val="1"/>
      <w:numFmt w:val="lowerLetter"/>
      <w:lvlText w:val="%5."/>
      <w:lvlJc w:val="left"/>
      <w:pPr>
        <w:tabs>
          <w:tab w:val="num" w:pos="2520"/>
        </w:tabs>
        <w:ind w:left="2520" w:hanging="360"/>
      </w:pPr>
    </w:lvl>
    <w:lvl w:ilvl="5" w:tplc="9D0EA610" w:tentative="1">
      <w:start w:val="1"/>
      <w:numFmt w:val="lowerRoman"/>
      <w:lvlText w:val="%6."/>
      <w:lvlJc w:val="right"/>
      <w:pPr>
        <w:tabs>
          <w:tab w:val="num" w:pos="3240"/>
        </w:tabs>
        <w:ind w:left="3240" w:hanging="180"/>
      </w:pPr>
    </w:lvl>
    <w:lvl w:ilvl="6" w:tplc="26B08C44" w:tentative="1">
      <w:start w:val="1"/>
      <w:numFmt w:val="decimal"/>
      <w:lvlText w:val="%7."/>
      <w:lvlJc w:val="left"/>
      <w:pPr>
        <w:tabs>
          <w:tab w:val="num" w:pos="3960"/>
        </w:tabs>
        <w:ind w:left="3960" w:hanging="360"/>
      </w:pPr>
    </w:lvl>
    <w:lvl w:ilvl="7" w:tplc="815ACD9E" w:tentative="1">
      <w:start w:val="1"/>
      <w:numFmt w:val="lowerLetter"/>
      <w:lvlText w:val="%8."/>
      <w:lvlJc w:val="left"/>
      <w:pPr>
        <w:tabs>
          <w:tab w:val="num" w:pos="4680"/>
        </w:tabs>
        <w:ind w:left="4680" w:hanging="360"/>
      </w:pPr>
    </w:lvl>
    <w:lvl w:ilvl="8" w:tplc="BE960B64" w:tentative="1">
      <w:start w:val="1"/>
      <w:numFmt w:val="lowerRoman"/>
      <w:lvlText w:val="%9."/>
      <w:lvlJc w:val="right"/>
      <w:pPr>
        <w:tabs>
          <w:tab w:val="num" w:pos="5400"/>
        </w:tabs>
        <w:ind w:left="5400" w:hanging="180"/>
      </w:pPr>
    </w:lvl>
  </w:abstractNum>
  <w:abstractNum w:abstractNumId="274" w15:restartNumberingAfterBreak="0">
    <w:nsid w:val="500E00AF"/>
    <w:multiLevelType w:val="hybridMultilevel"/>
    <w:tmpl w:val="0DA6088C"/>
    <w:lvl w:ilvl="0" w:tplc="D2C4501A">
      <w:start w:val="1"/>
      <w:numFmt w:val="decimal"/>
      <w:lvlText w:val="(%1)"/>
      <w:lvlJc w:val="left"/>
      <w:pPr>
        <w:ind w:left="900"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75" w15:restartNumberingAfterBreak="0">
    <w:nsid w:val="50853C1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6" w15:restartNumberingAfterBreak="0">
    <w:nsid w:val="514B7C28"/>
    <w:multiLevelType w:val="multilevel"/>
    <w:tmpl w:val="8A347A70"/>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77" w15:restartNumberingAfterBreak="0">
    <w:nsid w:val="51910013"/>
    <w:multiLevelType w:val="hybridMultilevel"/>
    <w:tmpl w:val="F8486EAC"/>
    <w:lvl w:ilvl="0" w:tplc="5A06F8A0">
      <w:start w:val="1"/>
      <w:numFmt w:val="decimal"/>
      <w:lvlText w:val="(%1)"/>
      <w:lvlJc w:val="left"/>
      <w:pPr>
        <w:tabs>
          <w:tab w:val="num" w:pos="1440"/>
        </w:tabs>
        <w:ind w:left="144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519D3ED5"/>
    <w:multiLevelType w:val="hybridMultilevel"/>
    <w:tmpl w:val="6122D034"/>
    <w:lvl w:ilvl="0" w:tplc="7A92C42E">
      <w:start w:val="1"/>
      <w:numFmt w:val="lowerLetter"/>
      <w:lvlText w:val="(%1)"/>
      <w:lvlJc w:val="left"/>
      <w:pPr>
        <w:ind w:left="288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51ED369E"/>
    <w:multiLevelType w:val="multilevel"/>
    <w:tmpl w:val="7C3A3E76"/>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1"/>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80" w15:restartNumberingAfterBreak="0">
    <w:nsid w:val="52560234"/>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81" w15:restartNumberingAfterBreak="0">
    <w:nsid w:val="529A18BC"/>
    <w:multiLevelType w:val="hybridMultilevel"/>
    <w:tmpl w:val="580A0546"/>
    <w:lvl w:ilvl="0" w:tplc="7FE60B22">
      <w:start w:val="1"/>
      <w:numFmt w:val="decimal"/>
      <w:lvlText w:val="(%1)"/>
      <w:lvlJc w:val="left"/>
      <w:pPr>
        <w:tabs>
          <w:tab w:val="num" w:pos="1440"/>
        </w:tabs>
        <w:ind w:left="1440" w:hanging="360"/>
      </w:pPr>
      <w:rPr>
        <w:rFonts w:hint="default"/>
      </w:rPr>
    </w:lvl>
    <w:lvl w:ilvl="1" w:tplc="691E09B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54852DCB"/>
    <w:multiLevelType w:val="multilevel"/>
    <w:tmpl w:val="E48EA468"/>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hint="default"/>
        <w:b w:val="0"/>
      </w:rPr>
    </w:lvl>
    <w:lvl w:ilvl="3">
      <w:start w:val="1"/>
      <w:numFmt w:val="lowerRoman"/>
      <w:lvlText w:val="%4."/>
      <w:lvlJc w:val="righ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83" w15:restartNumberingAfterBreak="0">
    <w:nsid w:val="548D5F41"/>
    <w:multiLevelType w:val="multilevel"/>
    <w:tmpl w:val="6860A3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4" w15:restartNumberingAfterBreak="0">
    <w:nsid w:val="549B7476"/>
    <w:multiLevelType w:val="hybridMultilevel"/>
    <w:tmpl w:val="56F6A5CA"/>
    <w:lvl w:ilvl="0" w:tplc="D2C4501A">
      <w:start w:val="1"/>
      <w:numFmt w:val="decimal"/>
      <w:lvlText w:val="(%1)"/>
      <w:lvlJc w:val="left"/>
      <w:pPr>
        <w:ind w:left="900"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85" w15:restartNumberingAfterBreak="0">
    <w:nsid w:val="54B158F3"/>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86" w15:restartNumberingAfterBreak="0">
    <w:nsid w:val="54C601E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87" w15:restartNumberingAfterBreak="0">
    <w:nsid w:val="54D237F6"/>
    <w:multiLevelType w:val="hybridMultilevel"/>
    <w:tmpl w:val="858CD17C"/>
    <w:lvl w:ilvl="0" w:tplc="FFFFFFFF">
      <w:start w:val="1"/>
      <w:numFmt w:val="decimal"/>
      <w:lvlText w:val="(%1)"/>
      <w:lvlJc w:val="left"/>
      <w:pPr>
        <w:ind w:left="1260" w:hanging="360"/>
      </w:pPr>
      <w:rPr>
        <w:rFonts w:hint="default"/>
        <w:color w:val="auto"/>
      </w:r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8" w15:restartNumberingAfterBreak="0">
    <w:nsid w:val="54DC4D23"/>
    <w:multiLevelType w:val="hybridMultilevel"/>
    <w:tmpl w:val="06F4097A"/>
    <w:lvl w:ilvl="0" w:tplc="4AB465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4E815D1"/>
    <w:multiLevelType w:val="hybridMultilevel"/>
    <w:tmpl w:val="72886D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0" w15:restartNumberingAfterBreak="0">
    <w:nsid w:val="55D06534"/>
    <w:multiLevelType w:val="hybridMultilevel"/>
    <w:tmpl w:val="414ED248"/>
    <w:lvl w:ilvl="0" w:tplc="A35C78C8">
      <w:start w:val="1"/>
      <w:numFmt w:val="lowerLetter"/>
      <w:lvlText w:val="(%1)"/>
      <w:lvlJc w:val="left"/>
      <w:pPr>
        <w:ind w:left="2070" w:hanging="360"/>
      </w:pPr>
      <w:rPr>
        <w:rFonts w:ascii="Times New Roman" w:eastAsia="Times New Roman" w:hAnsi="Times New Roman" w:cs="Times New Roma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1" w15:restartNumberingAfterBreak="0">
    <w:nsid w:val="56036CF7"/>
    <w:multiLevelType w:val="hybridMultilevel"/>
    <w:tmpl w:val="C9A4172E"/>
    <w:lvl w:ilvl="0" w:tplc="D2C4501A">
      <w:start w:val="1"/>
      <w:numFmt w:val="decimal"/>
      <w:lvlText w:val="(%1)"/>
      <w:lvlJc w:val="left"/>
      <w:pPr>
        <w:ind w:left="990" w:hanging="360"/>
      </w:pPr>
      <w:rPr>
        <w:rFonts w:hint="default"/>
      </w:rPr>
    </w:lvl>
    <w:lvl w:ilvl="1" w:tplc="BEA40F1C">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2" w15:restartNumberingAfterBreak="0">
    <w:nsid w:val="561410EF"/>
    <w:multiLevelType w:val="multilevel"/>
    <w:tmpl w:val="C556FA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3" w15:restartNumberingAfterBreak="0">
    <w:nsid w:val="566947AF"/>
    <w:multiLevelType w:val="hybridMultilevel"/>
    <w:tmpl w:val="BD0E33FE"/>
    <w:lvl w:ilvl="0" w:tplc="D258F7B6">
      <w:start w:val="1"/>
      <w:numFmt w:val="lowerRoman"/>
      <w:lvlText w:val="(%1)"/>
      <w:lvlJc w:val="left"/>
      <w:pPr>
        <w:tabs>
          <w:tab w:val="num" w:pos="360"/>
        </w:tabs>
        <w:ind w:left="360" w:hanging="360"/>
      </w:pPr>
      <w:rPr>
        <w:rFonts w:hint="default"/>
        <w:lang w:val="pt-BR"/>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56E432A1"/>
    <w:multiLevelType w:val="hybridMultilevel"/>
    <w:tmpl w:val="F296FB68"/>
    <w:lvl w:ilvl="0" w:tplc="ED0EE43E">
      <w:start w:val="1"/>
      <w:numFmt w:val="decimal"/>
      <w:lvlText w:val="(%1)"/>
      <w:lvlJc w:val="left"/>
      <w:pPr>
        <w:tabs>
          <w:tab w:val="num" w:pos="720"/>
        </w:tabs>
        <w:ind w:left="720" w:hanging="360"/>
      </w:pPr>
      <w:rPr>
        <w:rFonts w:hint="default"/>
        <w:color w:val="auto"/>
      </w:rPr>
    </w:lvl>
    <w:lvl w:ilvl="1" w:tplc="04090019" w:tentative="1">
      <w:start w:val="1"/>
      <w:numFmt w:val="bullet"/>
      <w:lvlText w:val="o"/>
      <w:lvlJc w:val="left"/>
      <w:pPr>
        <w:tabs>
          <w:tab w:val="num" w:pos="3960"/>
        </w:tabs>
        <w:ind w:left="3960" w:hanging="360"/>
      </w:pPr>
      <w:rPr>
        <w:rFonts w:ascii="Courier New" w:hAnsi="Courier New" w:cs="Courier New" w:hint="default"/>
      </w:rPr>
    </w:lvl>
    <w:lvl w:ilvl="2" w:tplc="0409001B" w:tentative="1">
      <w:start w:val="1"/>
      <w:numFmt w:val="bullet"/>
      <w:lvlText w:val=""/>
      <w:lvlJc w:val="left"/>
      <w:pPr>
        <w:tabs>
          <w:tab w:val="num" w:pos="4680"/>
        </w:tabs>
        <w:ind w:left="4680" w:hanging="360"/>
      </w:pPr>
      <w:rPr>
        <w:rFonts w:ascii="Wingdings" w:hAnsi="Wingdings" w:hint="default"/>
      </w:rPr>
    </w:lvl>
    <w:lvl w:ilvl="3" w:tplc="0409000F" w:tentative="1">
      <w:start w:val="1"/>
      <w:numFmt w:val="bullet"/>
      <w:lvlText w:val=""/>
      <w:lvlJc w:val="left"/>
      <w:pPr>
        <w:tabs>
          <w:tab w:val="num" w:pos="5400"/>
        </w:tabs>
        <w:ind w:left="5400" w:hanging="360"/>
      </w:pPr>
      <w:rPr>
        <w:rFonts w:ascii="Symbol" w:hAnsi="Symbol" w:hint="default"/>
      </w:rPr>
    </w:lvl>
    <w:lvl w:ilvl="4" w:tplc="04090019" w:tentative="1">
      <w:start w:val="1"/>
      <w:numFmt w:val="bullet"/>
      <w:lvlText w:val="o"/>
      <w:lvlJc w:val="left"/>
      <w:pPr>
        <w:tabs>
          <w:tab w:val="num" w:pos="6120"/>
        </w:tabs>
        <w:ind w:left="6120" w:hanging="360"/>
      </w:pPr>
      <w:rPr>
        <w:rFonts w:ascii="Courier New" w:hAnsi="Courier New" w:cs="Courier New" w:hint="default"/>
      </w:rPr>
    </w:lvl>
    <w:lvl w:ilvl="5" w:tplc="0409001B" w:tentative="1">
      <w:start w:val="1"/>
      <w:numFmt w:val="bullet"/>
      <w:lvlText w:val=""/>
      <w:lvlJc w:val="left"/>
      <w:pPr>
        <w:tabs>
          <w:tab w:val="num" w:pos="6840"/>
        </w:tabs>
        <w:ind w:left="6840" w:hanging="360"/>
      </w:pPr>
      <w:rPr>
        <w:rFonts w:ascii="Wingdings" w:hAnsi="Wingdings" w:hint="default"/>
      </w:rPr>
    </w:lvl>
    <w:lvl w:ilvl="6" w:tplc="0409000F" w:tentative="1">
      <w:start w:val="1"/>
      <w:numFmt w:val="bullet"/>
      <w:lvlText w:val=""/>
      <w:lvlJc w:val="left"/>
      <w:pPr>
        <w:tabs>
          <w:tab w:val="num" w:pos="7560"/>
        </w:tabs>
        <w:ind w:left="7560" w:hanging="360"/>
      </w:pPr>
      <w:rPr>
        <w:rFonts w:ascii="Symbol" w:hAnsi="Symbol" w:hint="default"/>
      </w:rPr>
    </w:lvl>
    <w:lvl w:ilvl="7" w:tplc="04090019" w:tentative="1">
      <w:start w:val="1"/>
      <w:numFmt w:val="bullet"/>
      <w:lvlText w:val="o"/>
      <w:lvlJc w:val="left"/>
      <w:pPr>
        <w:tabs>
          <w:tab w:val="num" w:pos="8280"/>
        </w:tabs>
        <w:ind w:left="8280" w:hanging="360"/>
      </w:pPr>
      <w:rPr>
        <w:rFonts w:ascii="Courier New" w:hAnsi="Courier New" w:cs="Courier New" w:hint="default"/>
      </w:rPr>
    </w:lvl>
    <w:lvl w:ilvl="8" w:tplc="0409001B" w:tentative="1">
      <w:start w:val="1"/>
      <w:numFmt w:val="bullet"/>
      <w:lvlText w:val=""/>
      <w:lvlJc w:val="left"/>
      <w:pPr>
        <w:tabs>
          <w:tab w:val="num" w:pos="9000"/>
        </w:tabs>
        <w:ind w:left="9000" w:hanging="360"/>
      </w:pPr>
      <w:rPr>
        <w:rFonts w:ascii="Wingdings" w:hAnsi="Wingdings" w:hint="default"/>
      </w:rPr>
    </w:lvl>
  </w:abstractNum>
  <w:abstractNum w:abstractNumId="295" w15:restartNumberingAfterBreak="0">
    <w:nsid w:val="57146678"/>
    <w:multiLevelType w:val="multilevel"/>
    <w:tmpl w:val="4788B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6" w15:restartNumberingAfterBreak="0">
    <w:nsid w:val="579B15EE"/>
    <w:multiLevelType w:val="multilevel"/>
    <w:tmpl w:val="7C3A3E76"/>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1"/>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97" w15:restartNumberingAfterBreak="0">
    <w:nsid w:val="5820189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8" w15:restartNumberingAfterBreak="0">
    <w:nsid w:val="583479FE"/>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99" w15:restartNumberingAfterBreak="0">
    <w:nsid w:val="586D14AE"/>
    <w:multiLevelType w:val="hybridMultilevel"/>
    <w:tmpl w:val="C706C31A"/>
    <w:lvl w:ilvl="0" w:tplc="7FE60B22">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15:restartNumberingAfterBreak="0">
    <w:nsid w:val="589354CF"/>
    <w:multiLevelType w:val="multilevel"/>
    <w:tmpl w:val="EEC218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1" w15:restartNumberingAfterBreak="0">
    <w:nsid w:val="58CA05F3"/>
    <w:multiLevelType w:val="hybridMultilevel"/>
    <w:tmpl w:val="C134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8FF7A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3" w15:restartNumberingAfterBreak="0">
    <w:nsid w:val="594A2B04"/>
    <w:multiLevelType w:val="multilevel"/>
    <w:tmpl w:val="7AB6F82C"/>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04" w15:restartNumberingAfterBreak="0">
    <w:nsid w:val="59F43A3B"/>
    <w:multiLevelType w:val="hybridMultilevel"/>
    <w:tmpl w:val="F0F23D76"/>
    <w:lvl w:ilvl="0" w:tplc="20047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A4269E3"/>
    <w:multiLevelType w:val="hybridMultilevel"/>
    <w:tmpl w:val="2228AF58"/>
    <w:lvl w:ilvl="0" w:tplc="D2C4501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5A82095D"/>
    <w:multiLevelType w:val="hybridMultilevel"/>
    <w:tmpl w:val="DDC095F6"/>
    <w:lvl w:ilvl="0" w:tplc="D2C45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A8724F5"/>
    <w:multiLevelType w:val="multilevel"/>
    <w:tmpl w:val="37B8E7A6"/>
    <w:lvl w:ilvl="0">
      <w:start w:val="1"/>
      <w:numFmt w:val="bullet"/>
      <w:pStyle w:val="PJMBulletedOutline1"/>
      <w:lvlText w:val=""/>
      <w:lvlJc w:val="left"/>
      <w:pPr>
        <w:tabs>
          <w:tab w:val="num" w:pos="360"/>
        </w:tabs>
        <w:ind w:left="720" w:hanging="360"/>
      </w:pPr>
      <w:rPr>
        <w:rFonts w:ascii="Symbol" w:hAnsi="Symbol" w:hint="default"/>
        <w:color w:val="auto"/>
        <w:sz w:val="16"/>
      </w:rPr>
    </w:lvl>
    <w:lvl w:ilvl="1">
      <w:start w:val="1"/>
      <w:numFmt w:val="bullet"/>
      <w:lvlText w:val="o"/>
      <w:lvlJc w:val="left"/>
      <w:pPr>
        <w:tabs>
          <w:tab w:val="num" w:pos="727"/>
        </w:tabs>
        <w:ind w:left="1080" w:hanging="360"/>
      </w:pPr>
      <w:rPr>
        <w:rFonts w:ascii="Courier New" w:hAnsi="Courier New" w:hint="default"/>
        <w:sz w:val="16"/>
      </w:rPr>
    </w:lvl>
    <w:lvl w:ilvl="2">
      <w:start w:val="1"/>
      <w:numFmt w:val="bullet"/>
      <w:lvlText w:val=""/>
      <w:lvlJc w:val="left"/>
      <w:pPr>
        <w:tabs>
          <w:tab w:val="num" w:pos="1087"/>
        </w:tabs>
        <w:ind w:left="1440" w:hanging="360"/>
      </w:pPr>
      <w:rPr>
        <w:rFonts w:ascii="Wingdings" w:hAnsi="Wingdings" w:hint="default"/>
      </w:rPr>
    </w:lvl>
    <w:lvl w:ilvl="3">
      <w:start w:val="1"/>
      <w:numFmt w:val="bullet"/>
      <w:lvlText w:val=""/>
      <w:lvlJc w:val="left"/>
      <w:pPr>
        <w:tabs>
          <w:tab w:val="num" w:pos="2945"/>
        </w:tabs>
        <w:ind w:left="2945" w:hanging="360"/>
      </w:pPr>
      <w:rPr>
        <w:rFonts w:ascii="Wingdings" w:hAnsi="Wingdings" w:hint="default"/>
      </w:rPr>
    </w:lvl>
    <w:lvl w:ilvl="4">
      <w:start w:val="1"/>
      <w:numFmt w:val="bullet"/>
      <w:lvlText w:val="o"/>
      <w:lvlJc w:val="left"/>
      <w:pPr>
        <w:tabs>
          <w:tab w:val="num" w:pos="3665"/>
        </w:tabs>
        <w:ind w:left="3665" w:hanging="360"/>
      </w:pPr>
      <w:rPr>
        <w:rFonts w:ascii="Courier New" w:hAnsi="Courier New" w:cs="Courier New" w:hint="default"/>
      </w:rPr>
    </w:lvl>
    <w:lvl w:ilvl="5">
      <w:start w:val="1"/>
      <w:numFmt w:val="bullet"/>
      <w:lvlText w:val=""/>
      <w:lvlJc w:val="left"/>
      <w:pPr>
        <w:tabs>
          <w:tab w:val="num" w:pos="4385"/>
        </w:tabs>
        <w:ind w:left="4385" w:hanging="360"/>
      </w:pPr>
      <w:rPr>
        <w:rFonts w:ascii="Wingdings" w:hAnsi="Wingdings" w:hint="default"/>
      </w:rPr>
    </w:lvl>
    <w:lvl w:ilvl="6">
      <w:start w:val="1"/>
      <w:numFmt w:val="bullet"/>
      <w:lvlText w:val=""/>
      <w:lvlJc w:val="left"/>
      <w:pPr>
        <w:tabs>
          <w:tab w:val="num" w:pos="5105"/>
        </w:tabs>
        <w:ind w:left="5105" w:hanging="360"/>
      </w:pPr>
      <w:rPr>
        <w:rFonts w:ascii="Symbol" w:hAnsi="Symbol" w:hint="default"/>
      </w:rPr>
    </w:lvl>
    <w:lvl w:ilvl="7">
      <w:start w:val="1"/>
      <w:numFmt w:val="bullet"/>
      <w:lvlText w:val="o"/>
      <w:lvlJc w:val="left"/>
      <w:pPr>
        <w:tabs>
          <w:tab w:val="num" w:pos="5825"/>
        </w:tabs>
        <w:ind w:left="5825" w:hanging="360"/>
      </w:pPr>
      <w:rPr>
        <w:rFonts w:ascii="Courier New" w:hAnsi="Courier New" w:cs="Courier New" w:hint="default"/>
      </w:rPr>
    </w:lvl>
    <w:lvl w:ilvl="8">
      <w:start w:val="1"/>
      <w:numFmt w:val="bullet"/>
      <w:lvlText w:val=""/>
      <w:lvlJc w:val="left"/>
      <w:pPr>
        <w:tabs>
          <w:tab w:val="num" w:pos="6545"/>
        </w:tabs>
        <w:ind w:left="6545" w:hanging="360"/>
      </w:pPr>
      <w:rPr>
        <w:rFonts w:ascii="Wingdings" w:hAnsi="Wingdings" w:hint="default"/>
      </w:rPr>
    </w:lvl>
  </w:abstractNum>
  <w:abstractNum w:abstractNumId="308" w15:restartNumberingAfterBreak="0">
    <w:nsid w:val="5A9D105C"/>
    <w:multiLevelType w:val="hybridMultilevel"/>
    <w:tmpl w:val="A9BC0496"/>
    <w:lvl w:ilvl="0" w:tplc="D20231C2">
      <w:start w:val="1"/>
      <w:numFmt w:val="decimal"/>
      <w:lvlText w:val="(%1)"/>
      <w:lvlJc w:val="left"/>
      <w:pPr>
        <w:tabs>
          <w:tab w:val="num" w:pos="2087"/>
        </w:tabs>
        <w:ind w:left="2087" w:hanging="360"/>
      </w:pPr>
      <w:rPr>
        <w:rFonts w:hint="default"/>
      </w:rPr>
    </w:lvl>
    <w:lvl w:ilvl="1" w:tplc="04090003">
      <w:start w:val="1"/>
      <w:numFmt w:val="decimal"/>
      <w:lvlText w:val="(%2)"/>
      <w:lvlJc w:val="left"/>
      <w:pPr>
        <w:tabs>
          <w:tab w:val="num" w:pos="2807"/>
        </w:tabs>
        <w:ind w:left="2807" w:hanging="360"/>
      </w:pPr>
      <w:rPr>
        <w:rFonts w:hint="default"/>
      </w:rPr>
    </w:lvl>
    <w:lvl w:ilvl="2" w:tplc="04090005" w:tentative="1">
      <w:start w:val="1"/>
      <w:numFmt w:val="lowerRoman"/>
      <w:lvlText w:val="%3."/>
      <w:lvlJc w:val="right"/>
      <w:pPr>
        <w:tabs>
          <w:tab w:val="num" w:pos="3527"/>
        </w:tabs>
        <w:ind w:left="3527" w:hanging="180"/>
      </w:pPr>
    </w:lvl>
    <w:lvl w:ilvl="3" w:tplc="04090001" w:tentative="1">
      <w:start w:val="1"/>
      <w:numFmt w:val="decimal"/>
      <w:lvlText w:val="%4."/>
      <w:lvlJc w:val="left"/>
      <w:pPr>
        <w:tabs>
          <w:tab w:val="num" w:pos="4247"/>
        </w:tabs>
        <w:ind w:left="4247" w:hanging="360"/>
      </w:pPr>
    </w:lvl>
    <w:lvl w:ilvl="4" w:tplc="04090003" w:tentative="1">
      <w:start w:val="1"/>
      <w:numFmt w:val="lowerLetter"/>
      <w:lvlText w:val="%5."/>
      <w:lvlJc w:val="left"/>
      <w:pPr>
        <w:tabs>
          <w:tab w:val="num" w:pos="4967"/>
        </w:tabs>
        <w:ind w:left="4967" w:hanging="360"/>
      </w:pPr>
    </w:lvl>
    <w:lvl w:ilvl="5" w:tplc="04090005" w:tentative="1">
      <w:start w:val="1"/>
      <w:numFmt w:val="lowerRoman"/>
      <w:lvlText w:val="%6."/>
      <w:lvlJc w:val="right"/>
      <w:pPr>
        <w:tabs>
          <w:tab w:val="num" w:pos="5687"/>
        </w:tabs>
        <w:ind w:left="5687" w:hanging="180"/>
      </w:pPr>
    </w:lvl>
    <w:lvl w:ilvl="6" w:tplc="04090001" w:tentative="1">
      <w:start w:val="1"/>
      <w:numFmt w:val="decimal"/>
      <w:lvlText w:val="%7."/>
      <w:lvlJc w:val="left"/>
      <w:pPr>
        <w:tabs>
          <w:tab w:val="num" w:pos="6407"/>
        </w:tabs>
        <w:ind w:left="6407" w:hanging="360"/>
      </w:pPr>
    </w:lvl>
    <w:lvl w:ilvl="7" w:tplc="04090003" w:tentative="1">
      <w:start w:val="1"/>
      <w:numFmt w:val="lowerLetter"/>
      <w:lvlText w:val="%8."/>
      <w:lvlJc w:val="left"/>
      <w:pPr>
        <w:tabs>
          <w:tab w:val="num" w:pos="7127"/>
        </w:tabs>
        <w:ind w:left="7127" w:hanging="360"/>
      </w:pPr>
    </w:lvl>
    <w:lvl w:ilvl="8" w:tplc="04090005" w:tentative="1">
      <w:start w:val="1"/>
      <w:numFmt w:val="lowerRoman"/>
      <w:lvlText w:val="%9."/>
      <w:lvlJc w:val="right"/>
      <w:pPr>
        <w:tabs>
          <w:tab w:val="num" w:pos="7847"/>
        </w:tabs>
        <w:ind w:left="7847" w:hanging="180"/>
      </w:pPr>
    </w:lvl>
  </w:abstractNum>
  <w:abstractNum w:abstractNumId="309" w15:restartNumberingAfterBreak="0">
    <w:nsid w:val="5AD267D5"/>
    <w:multiLevelType w:val="hybridMultilevel"/>
    <w:tmpl w:val="EF96E4C8"/>
    <w:lvl w:ilvl="0" w:tplc="4472336A">
      <w:start w:val="1"/>
      <w:numFmt w:val="decimal"/>
      <w:lvlText w:val="(%1)"/>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rPr>
        <w:rFonts w:hint="default"/>
      </w:rPr>
    </w:lvl>
    <w:lvl w:ilvl="2" w:tplc="FFFFFFFF">
      <w:start w:val="1"/>
      <w:numFmt w:val="decimal"/>
      <w:lvlText w:val="(%3)"/>
      <w:lvlJc w:val="left"/>
      <w:pPr>
        <w:tabs>
          <w:tab w:val="num" w:pos="360"/>
        </w:tabs>
        <w:ind w:left="3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5BD54BBA"/>
    <w:multiLevelType w:val="hybridMultilevel"/>
    <w:tmpl w:val="6966F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BF47899"/>
    <w:multiLevelType w:val="hybridMultilevel"/>
    <w:tmpl w:val="CAC46FD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12" w15:restartNumberingAfterBreak="0">
    <w:nsid w:val="5C4D3C54"/>
    <w:multiLevelType w:val="hybridMultilevel"/>
    <w:tmpl w:val="84AC1F96"/>
    <w:lvl w:ilvl="0" w:tplc="453C8F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3" w15:restartNumberingAfterBreak="0">
    <w:nsid w:val="5C5E5B2A"/>
    <w:multiLevelType w:val="hybridMultilevel"/>
    <w:tmpl w:val="25B4DF64"/>
    <w:lvl w:ilvl="0" w:tplc="C9BCB580">
      <w:start w:val="1"/>
      <w:numFmt w:val="decimal"/>
      <w:lvlText w:val="(%1)"/>
      <w:lvlJc w:val="left"/>
      <w:pPr>
        <w:tabs>
          <w:tab w:val="num" w:pos="720"/>
        </w:tabs>
        <w:ind w:left="720" w:hanging="360"/>
      </w:pPr>
      <w:rPr>
        <w:rFonts w:hint="default"/>
      </w:rPr>
    </w:lvl>
    <w:lvl w:ilvl="1" w:tplc="DD26B916"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4" w15:restartNumberingAfterBreak="0">
    <w:nsid w:val="5CA27C21"/>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15" w15:restartNumberingAfterBreak="0">
    <w:nsid w:val="5CA911C2"/>
    <w:multiLevelType w:val="hybridMultilevel"/>
    <w:tmpl w:val="F19A5FC2"/>
    <w:lvl w:ilvl="0" w:tplc="DD26B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CAF79BF"/>
    <w:multiLevelType w:val="hybridMultilevel"/>
    <w:tmpl w:val="CB94754C"/>
    <w:lvl w:ilvl="0" w:tplc="FFFFFFFF">
      <w:start w:val="1"/>
      <w:numFmt w:val="lowerRoman"/>
      <w:lvlText w:val="(%1)"/>
      <w:lvlJc w:val="right"/>
      <w:pPr>
        <w:tabs>
          <w:tab w:val="num" w:pos="6390"/>
        </w:tabs>
        <w:ind w:left="6390" w:hanging="360"/>
      </w:pPr>
      <w:rPr>
        <w:rFonts w:hint="default"/>
      </w:rPr>
    </w:lvl>
    <w:lvl w:ilvl="1" w:tplc="FFFFFFFF" w:tentative="1">
      <w:start w:val="1"/>
      <w:numFmt w:val="lowerLetter"/>
      <w:lvlText w:val="%2."/>
      <w:lvlJc w:val="left"/>
      <w:pPr>
        <w:tabs>
          <w:tab w:val="num" w:pos="7470"/>
        </w:tabs>
        <w:ind w:left="7470" w:hanging="360"/>
      </w:pPr>
    </w:lvl>
    <w:lvl w:ilvl="2" w:tplc="FFFFFFFF" w:tentative="1">
      <w:start w:val="1"/>
      <w:numFmt w:val="lowerRoman"/>
      <w:lvlText w:val="%3."/>
      <w:lvlJc w:val="right"/>
      <w:pPr>
        <w:tabs>
          <w:tab w:val="num" w:pos="8190"/>
        </w:tabs>
        <w:ind w:left="8190" w:hanging="180"/>
      </w:pPr>
    </w:lvl>
    <w:lvl w:ilvl="3" w:tplc="FFFFFFFF" w:tentative="1">
      <w:start w:val="1"/>
      <w:numFmt w:val="decimal"/>
      <w:lvlText w:val="%4."/>
      <w:lvlJc w:val="left"/>
      <w:pPr>
        <w:tabs>
          <w:tab w:val="num" w:pos="8910"/>
        </w:tabs>
        <w:ind w:left="8910" w:hanging="360"/>
      </w:pPr>
    </w:lvl>
    <w:lvl w:ilvl="4" w:tplc="FFFFFFFF" w:tentative="1">
      <w:start w:val="1"/>
      <w:numFmt w:val="lowerLetter"/>
      <w:lvlText w:val="%5."/>
      <w:lvlJc w:val="left"/>
      <w:pPr>
        <w:tabs>
          <w:tab w:val="num" w:pos="9630"/>
        </w:tabs>
        <w:ind w:left="9630" w:hanging="360"/>
      </w:pPr>
    </w:lvl>
    <w:lvl w:ilvl="5" w:tplc="FFFFFFFF" w:tentative="1">
      <w:start w:val="1"/>
      <w:numFmt w:val="lowerRoman"/>
      <w:lvlText w:val="%6."/>
      <w:lvlJc w:val="right"/>
      <w:pPr>
        <w:tabs>
          <w:tab w:val="num" w:pos="10350"/>
        </w:tabs>
        <w:ind w:left="10350" w:hanging="180"/>
      </w:pPr>
    </w:lvl>
    <w:lvl w:ilvl="6" w:tplc="FFFFFFFF" w:tentative="1">
      <w:start w:val="1"/>
      <w:numFmt w:val="decimal"/>
      <w:lvlText w:val="%7."/>
      <w:lvlJc w:val="left"/>
      <w:pPr>
        <w:tabs>
          <w:tab w:val="num" w:pos="11070"/>
        </w:tabs>
        <w:ind w:left="11070" w:hanging="360"/>
      </w:pPr>
    </w:lvl>
    <w:lvl w:ilvl="7" w:tplc="FFFFFFFF" w:tentative="1">
      <w:start w:val="1"/>
      <w:numFmt w:val="lowerLetter"/>
      <w:lvlText w:val="%8."/>
      <w:lvlJc w:val="left"/>
      <w:pPr>
        <w:tabs>
          <w:tab w:val="num" w:pos="11790"/>
        </w:tabs>
        <w:ind w:left="11790" w:hanging="360"/>
      </w:pPr>
    </w:lvl>
    <w:lvl w:ilvl="8" w:tplc="FFFFFFFF" w:tentative="1">
      <w:start w:val="1"/>
      <w:numFmt w:val="lowerRoman"/>
      <w:lvlText w:val="%9."/>
      <w:lvlJc w:val="right"/>
      <w:pPr>
        <w:tabs>
          <w:tab w:val="num" w:pos="12510"/>
        </w:tabs>
        <w:ind w:left="12510" w:hanging="180"/>
      </w:pPr>
    </w:lvl>
  </w:abstractNum>
  <w:abstractNum w:abstractNumId="317" w15:restartNumberingAfterBreak="0">
    <w:nsid w:val="5D4E3BAC"/>
    <w:multiLevelType w:val="hybridMultilevel"/>
    <w:tmpl w:val="0CC42D96"/>
    <w:lvl w:ilvl="0" w:tplc="0E5A08E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5D973FDC"/>
    <w:multiLevelType w:val="multilevel"/>
    <w:tmpl w:val="9FDC61A6"/>
    <w:lvl w:ilvl="0">
      <w:start w:val="1"/>
      <w:numFmt w:val="decimal"/>
      <w:lvlText w:val="(%1)"/>
      <w:lvlJc w:val="left"/>
      <w:pPr>
        <w:ind w:left="54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val="0"/>
        <w:i w:val="0"/>
        <w:sz w:val="24"/>
      </w:rPr>
    </w:lvl>
    <w:lvl w:ilvl="2">
      <w:start w:val="1"/>
      <w:numFmt w:val="lowerRoman"/>
      <w:lvlText w:val="(%3)"/>
      <w:lvlJc w:val="right"/>
      <w:pPr>
        <w:ind w:left="1980" w:hanging="540"/>
      </w:pPr>
      <w:rPr>
        <w:rFonts w:ascii="Times New Roman" w:hAnsi="Times New Roman" w:hint="default"/>
        <w:b w:val="0"/>
        <w:i w:val="0"/>
        <w:sz w:val="24"/>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9" w15:restartNumberingAfterBreak="0">
    <w:nsid w:val="5D9F7119"/>
    <w:multiLevelType w:val="hybridMultilevel"/>
    <w:tmpl w:val="6248C26C"/>
    <w:lvl w:ilvl="0" w:tplc="D2C4501A">
      <w:start w:val="1"/>
      <w:numFmt w:val="decimal"/>
      <w:lvlText w:val="(%1)"/>
      <w:lvlJc w:val="left"/>
      <w:pPr>
        <w:ind w:left="900"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320" w15:restartNumberingAfterBreak="0">
    <w:nsid w:val="5DBC4E5C"/>
    <w:multiLevelType w:val="hybridMultilevel"/>
    <w:tmpl w:val="62329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DD91300"/>
    <w:multiLevelType w:val="hybridMultilevel"/>
    <w:tmpl w:val="78BE9BD0"/>
    <w:lvl w:ilvl="0" w:tplc="6D1AFBD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2" w15:restartNumberingAfterBreak="0">
    <w:nsid w:val="5DEF54A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23" w15:restartNumberingAfterBreak="0">
    <w:nsid w:val="5E064A9D"/>
    <w:multiLevelType w:val="hybridMultilevel"/>
    <w:tmpl w:val="81062F42"/>
    <w:lvl w:ilvl="0" w:tplc="73B0C170">
      <w:start w:val="1"/>
      <w:numFmt w:val="decimal"/>
      <w:lvlText w:val="(%1)"/>
      <w:lvlJc w:val="left"/>
      <w:pPr>
        <w:tabs>
          <w:tab w:val="num" w:pos="360"/>
        </w:tabs>
        <w:ind w:left="36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5E1D3621"/>
    <w:multiLevelType w:val="multilevel"/>
    <w:tmpl w:val="7AB6F82C"/>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25" w15:restartNumberingAfterBreak="0">
    <w:nsid w:val="5E275395"/>
    <w:multiLevelType w:val="hybridMultilevel"/>
    <w:tmpl w:val="08144B58"/>
    <w:lvl w:ilvl="0" w:tplc="FFFFFFFF">
      <w:start w:val="1"/>
      <w:numFmt w:val="decimal"/>
      <w:lvlText w:val="(%1)"/>
      <w:lvlJc w:val="left"/>
      <w:pPr>
        <w:tabs>
          <w:tab w:val="num" w:pos="2160"/>
        </w:tabs>
        <w:ind w:left="2160" w:hanging="180"/>
      </w:pPr>
      <w:rPr>
        <w:rFonts w:hint="default"/>
        <w:b w:val="0"/>
      </w:rPr>
    </w:lvl>
    <w:lvl w:ilvl="1" w:tplc="04090019">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15:restartNumberingAfterBreak="0">
    <w:nsid w:val="5E5D5513"/>
    <w:multiLevelType w:val="hybridMultilevel"/>
    <w:tmpl w:val="1620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F7551B3"/>
    <w:multiLevelType w:val="hybridMultilevel"/>
    <w:tmpl w:val="20AE3D90"/>
    <w:lvl w:ilvl="0" w:tplc="382ECD84">
      <w:start w:val="1"/>
      <w:numFmt w:val="upperLetter"/>
      <w:lvlText w:val="(%1)"/>
      <w:lvlJc w:val="left"/>
      <w:pPr>
        <w:ind w:left="1581" w:hanging="721"/>
      </w:pPr>
      <w:rPr>
        <w:rFonts w:ascii="Times New Roman" w:eastAsia="Times New Roman" w:hAnsi="Times New Roman" w:cs="Times New Roman" w:hint="default"/>
        <w:b w:val="0"/>
        <w:bCs w:val="0"/>
        <w:i w:val="0"/>
        <w:iCs w:val="0"/>
        <w:w w:val="99"/>
        <w:sz w:val="24"/>
        <w:szCs w:val="24"/>
        <w:lang w:val="en-US" w:eastAsia="en-US" w:bidi="ar-SA"/>
      </w:rPr>
    </w:lvl>
    <w:lvl w:ilvl="1" w:tplc="D5EA287A">
      <w:start w:val="1"/>
      <w:numFmt w:val="decimal"/>
      <w:lvlText w:val="(%2)"/>
      <w:lvlJc w:val="left"/>
      <w:pPr>
        <w:ind w:left="3021" w:hanging="721"/>
      </w:pPr>
      <w:rPr>
        <w:rFonts w:ascii="Times New Roman" w:eastAsia="Times New Roman" w:hAnsi="Times New Roman" w:cs="Times New Roman" w:hint="default"/>
        <w:b w:val="0"/>
        <w:bCs w:val="0"/>
        <w:i w:val="0"/>
        <w:iCs w:val="0"/>
        <w:w w:val="99"/>
        <w:sz w:val="24"/>
        <w:szCs w:val="24"/>
        <w:lang w:val="en-US" w:eastAsia="en-US" w:bidi="ar-SA"/>
      </w:rPr>
    </w:lvl>
    <w:lvl w:ilvl="2" w:tplc="1E96E292">
      <w:numFmt w:val="bullet"/>
      <w:lvlText w:val="•"/>
      <w:lvlJc w:val="left"/>
      <w:pPr>
        <w:ind w:left="3951" w:hanging="721"/>
      </w:pPr>
      <w:rPr>
        <w:rFonts w:hint="default"/>
        <w:lang w:val="en-US" w:eastAsia="en-US" w:bidi="ar-SA"/>
      </w:rPr>
    </w:lvl>
    <w:lvl w:ilvl="3" w:tplc="AFBA0F24">
      <w:numFmt w:val="bullet"/>
      <w:lvlText w:val="•"/>
      <w:lvlJc w:val="left"/>
      <w:pPr>
        <w:ind w:left="4882" w:hanging="721"/>
      </w:pPr>
      <w:rPr>
        <w:rFonts w:hint="default"/>
        <w:lang w:val="en-US" w:eastAsia="en-US" w:bidi="ar-SA"/>
      </w:rPr>
    </w:lvl>
    <w:lvl w:ilvl="4" w:tplc="5B58D2D8">
      <w:numFmt w:val="bullet"/>
      <w:lvlText w:val="•"/>
      <w:lvlJc w:val="left"/>
      <w:pPr>
        <w:ind w:left="5813" w:hanging="721"/>
      </w:pPr>
      <w:rPr>
        <w:rFonts w:hint="default"/>
        <w:lang w:val="en-US" w:eastAsia="en-US" w:bidi="ar-SA"/>
      </w:rPr>
    </w:lvl>
    <w:lvl w:ilvl="5" w:tplc="292E5156">
      <w:numFmt w:val="bullet"/>
      <w:lvlText w:val="•"/>
      <w:lvlJc w:val="left"/>
      <w:pPr>
        <w:ind w:left="6744" w:hanging="721"/>
      </w:pPr>
      <w:rPr>
        <w:rFonts w:hint="default"/>
        <w:lang w:val="en-US" w:eastAsia="en-US" w:bidi="ar-SA"/>
      </w:rPr>
    </w:lvl>
    <w:lvl w:ilvl="6" w:tplc="A4EC811E">
      <w:numFmt w:val="bullet"/>
      <w:lvlText w:val="•"/>
      <w:lvlJc w:val="left"/>
      <w:pPr>
        <w:ind w:left="7675" w:hanging="721"/>
      </w:pPr>
      <w:rPr>
        <w:rFonts w:hint="default"/>
        <w:lang w:val="en-US" w:eastAsia="en-US" w:bidi="ar-SA"/>
      </w:rPr>
    </w:lvl>
    <w:lvl w:ilvl="7" w:tplc="C672AD3E">
      <w:numFmt w:val="bullet"/>
      <w:lvlText w:val="•"/>
      <w:lvlJc w:val="left"/>
      <w:pPr>
        <w:ind w:left="8606" w:hanging="721"/>
      </w:pPr>
      <w:rPr>
        <w:rFonts w:hint="default"/>
        <w:lang w:val="en-US" w:eastAsia="en-US" w:bidi="ar-SA"/>
      </w:rPr>
    </w:lvl>
    <w:lvl w:ilvl="8" w:tplc="954E3598">
      <w:numFmt w:val="bullet"/>
      <w:lvlText w:val="•"/>
      <w:lvlJc w:val="left"/>
      <w:pPr>
        <w:ind w:left="9537" w:hanging="721"/>
      </w:pPr>
      <w:rPr>
        <w:rFonts w:hint="default"/>
        <w:lang w:val="en-US" w:eastAsia="en-US" w:bidi="ar-SA"/>
      </w:rPr>
    </w:lvl>
  </w:abstractNum>
  <w:abstractNum w:abstractNumId="328" w15:restartNumberingAfterBreak="0">
    <w:nsid w:val="5F852D17"/>
    <w:multiLevelType w:val="hybridMultilevel"/>
    <w:tmpl w:val="BED20CFC"/>
    <w:lvl w:ilvl="0" w:tplc="57EA110E">
      <w:start w:val="1"/>
      <w:numFmt w:val="lowerRoman"/>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000347C"/>
    <w:multiLevelType w:val="hybridMultilevel"/>
    <w:tmpl w:val="599C3DA2"/>
    <w:lvl w:ilvl="0" w:tplc="67768538">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601E3631"/>
    <w:multiLevelType w:val="multilevel"/>
    <w:tmpl w:val="028C3336"/>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4"/>
      <w:numFmt w:val="decimal"/>
      <w:lvlText w:val="(%4)"/>
      <w:lvlJc w:val="left"/>
      <w:pPr>
        <w:ind w:left="720" w:hanging="540"/>
      </w:pPr>
      <w:rPr>
        <w:rFonts w:ascii="Times New Roman" w:hAnsi="Times New Roman" w:hint="default"/>
        <w:b w:val="0"/>
        <w:i w:val="0"/>
        <w:color w:val="auto"/>
        <w:sz w:val="24"/>
      </w:rPr>
    </w:lvl>
    <w:lvl w:ilvl="4">
      <w:start w:val="3"/>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31" w15:restartNumberingAfterBreak="0">
    <w:nsid w:val="601F5644"/>
    <w:multiLevelType w:val="hybridMultilevel"/>
    <w:tmpl w:val="4F0C119C"/>
    <w:lvl w:ilvl="0" w:tplc="DD26B91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60BC5ED4"/>
    <w:multiLevelType w:val="hybridMultilevel"/>
    <w:tmpl w:val="59BCD644"/>
    <w:lvl w:ilvl="0" w:tplc="0C7A0B28">
      <w:start w:val="3"/>
      <w:numFmt w:val="decimal"/>
      <w:lvlText w:val="(%1)"/>
      <w:lvlJc w:val="left"/>
      <w:pPr>
        <w:ind w:left="2160" w:hanging="72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0FC08E6">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13D2A85"/>
    <w:multiLevelType w:val="hybridMultilevel"/>
    <w:tmpl w:val="9CDC4D36"/>
    <w:lvl w:ilvl="0" w:tplc="FFFFFFFF">
      <w:start w:val="1"/>
      <w:numFmt w:val="low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4" w15:restartNumberingAfterBreak="0">
    <w:nsid w:val="61AD038D"/>
    <w:multiLevelType w:val="hybridMultilevel"/>
    <w:tmpl w:val="49C67F4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61C210C3"/>
    <w:multiLevelType w:val="hybridMultilevel"/>
    <w:tmpl w:val="77CC4F32"/>
    <w:lvl w:ilvl="0" w:tplc="7FE60B22">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6" w15:restartNumberingAfterBreak="0">
    <w:nsid w:val="61DC7A24"/>
    <w:multiLevelType w:val="hybridMultilevel"/>
    <w:tmpl w:val="379CEC30"/>
    <w:lvl w:ilvl="0" w:tplc="10D88C2A">
      <w:start w:val="2"/>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1E443C1"/>
    <w:multiLevelType w:val="hybridMultilevel"/>
    <w:tmpl w:val="FA0E82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8" w15:restartNumberingAfterBreak="0">
    <w:nsid w:val="61EE2075"/>
    <w:multiLevelType w:val="hybridMultilevel"/>
    <w:tmpl w:val="DE5ACF54"/>
    <w:lvl w:ilvl="0" w:tplc="C9BCB5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15:restartNumberingAfterBreak="0">
    <w:nsid w:val="62325324"/>
    <w:multiLevelType w:val="hybridMultilevel"/>
    <w:tmpl w:val="57248EF4"/>
    <w:lvl w:ilvl="0" w:tplc="C9BCB580">
      <w:start w:val="1"/>
      <w:numFmt w:val="decimal"/>
      <w:lvlText w:val="(%1)"/>
      <w:lvlJc w:val="left"/>
      <w:pPr>
        <w:tabs>
          <w:tab w:val="num" w:pos="720"/>
        </w:tabs>
        <w:ind w:left="720" w:hanging="360"/>
      </w:pPr>
      <w:rPr>
        <w:rFonts w:hint="default"/>
      </w:rPr>
    </w:lvl>
    <w:lvl w:ilvl="1" w:tplc="23BC5ECA" w:tentative="1">
      <w:start w:val="1"/>
      <w:numFmt w:val="lowerLetter"/>
      <w:lvlText w:val="%2."/>
      <w:lvlJc w:val="left"/>
      <w:pPr>
        <w:tabs>
          <w:tab w:val="num" w:pos="1440"/>
        </w:tabs>
        <w:ind w:left="1440" w:hanging="360"/>
      </w:pPr>
    </w:lvl>
    <w:lvl w:ilvl="2" w:tplc="CABC38F6" w:tentative="1">
      <w:start w:val="1"/>
      <w:numFmt w:val="lowerRoman"/>
      <w:lvlText w:val="%3."/>
      <w:lvlJc w:val="right"/>
      <w:pPr>
        <w:tabs>
          <w:tab w:val="num" w:pos="2160"/>
        </w:tabs>
        <w:ind w:left="2160" w:hanging="180"/>
      </w:pPr>
    </w:lvl>
    <w:lvl w:ilvl="3" w:tplc="B7105ECE" w:tentative="1">
      <w:start w:val="1"/>
      <w:numFmt w:val="decimal"/>
      <w:lvlText w:val="%4."/>
      <w:lvlJc w:val="left"/>
      <w:pPr>
        <w:tabs>
          <w:tab w:val="num" w:pos="2880"/>
        </w:tabs>
        <w:ind w:left="2880" w:hanging="360"/>
      </w:pPr>
    </w:lvl>
    <w:lvl w:ilvl="4" w:tplc="9BF81E22" w:tentative="1">
      <w:start w:val="1"/>
      <w:numFmt w:val="lowerLetter"/>
      <w:lvlText w:val="%5."/>
      <w:lvlJc w:val="left"/>
      <w:pPr>
        <w:tabs>
          <w:tab w:val="num" w:pos="3600"/>
        </w:tabs>
        <w:ind w:left="3600" w:hanging="360"/>
      </w:pPr>
    </w:lvl>
    <w:lvl w:ilvl="5" w:tplc="819496BC" w:tentative="1">
      <w:start w:val="1"/>
      <w:numFmt w:val="lowerRoman"/>
      <w:lvlText w:val="%6."/>
      <w:lvlJc w:val="right"/>
      <w:pPr>
        <w:tabs>
          <w:tab w:val="num" w:pos="4320"/>
        </w:tabs>
        <w:ind w:left="4320" w:hanging="180"/>
      </w:pPr>
    </w:lvl>
    <w:lvl w:ilvl="6" w:tplc="390A83FE" w:tentative="1">
      <w:start w:val="1"/>
      <w:numFmt w:val="decimal"/>
      <w:lvlText w:val="%7."/>
      <w:lvlJc w:val="left"/>
      <w:pPr>
        <w:tabs>
          <w:tab w:val="num" w:pos="5040"/>
        </w:tabs>
        <w:ind w:left="5040" w:hanging="360"/>
      </w:pPr>
    </w:lvl>
    <w:lvl w:ilvl="7" w:tplc="35BCBECE" w:tentative="1">
      <w:start w:val="1"/>
      <w:numFmt w:val="lowerLetter"/>
      <w:lvlText w:val="%8."/>
      <w:lvlJc w:val="left"/>
      <w:pPr>
        <w:tabs>
          <w:tab w:val="num" w:pos="5760"/>
        </w:tabs>
        <w:ind w:left="5760" w:hanging="360"/>
      </w:pPr>
    </w:lvl>
    <w:lvl w:ilvl="8" w:tplc="66D441D0" w:tentative="1">
      <w:start w:val="1"/>
      <w:numFmt w:val="lowerRoman"/>
      <w:lvlText w:val="%9."/>
      <w:lvlJc w:val="right"/>
      <w:pPr>
        <w:tabs>
          <w:tab w:val="num" w:pos="6480"/>
        </w:tabs>
        <w:ind w:left="6480" w:hanging="180"/>
      </w:pPr>
    </w:lvl>
  </w:abstractNum>
  <w:abstractNum w:abstractNumId="340" w15:restartNumberingAfterBreak="0">
    <w:nsid w:val="623E274F"/>
    <w:multiLevelType w:val="multilevel"/>
    <w:tmpl w:val="55DE8A20"/>
    <w:lvl w:ilvl="0">
      <w:start w:val="1"/>
      <w:numFmt w:val="upperLetter"/>
      <w:lvlText w:val="Appendix %1"/>
      <w:lvlJc w:val="left"/>
      <w:pPr>
        <w:ind w:left="0" w:firstLine="0"/>
      </w:pPr>
      <w:rPr>
        <w:rFonts w:hint="default"/>
      </w:rPr>
    </w:lvl>
    <w:lvl w:ilvl="1">
      <w:start w:val="1"/>
      <w:numFmt w:val="decimal"/>
      <w:lvlText w:val="%1.%2"/>
      <w:lvlJc w:val="left"/>
      <w:pPr>
        <w:ind w:left="450" w:firstLine="0"/>
      </w:pPr>
      <w:rPr>
        <w:rFonts w:hint="default"/>
      </w:rPr>
    </w:lvl>
    <w:lvl w:ilvl="2">
      <w:start w:val="1"/>
      <w:numFmt w:val="decimal"/>
      <w:lvlText w:val="%1.%2.%3"/>
      <w:lvlJc w:val="left"/>
      <w:pPr>
        <w:ind w:left="0" w:firstLine="0"/>
      </w:pPr>
      <w:rPr>
        <w:rFonts w:hint="default"/>
        <w:i w:val="0"/>
      </w:rPr>
    </w:lvl>
    <w:lvl w:ilvl="3">
      <w:start w:val="1"/>
      <w:numFmt w:val="decimal"/>
      <w:lvlText w:val="%1.%2.%3.%4"/>
      <w:lvlJc w:val="left"/>
      <w:pPr>
        <w:ind w:left="0" w:firstLine="0"/>
      </w:pPr>
      <w:rPr>
        <w:rFonts w:hint="default"/>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1" w15:restartNumberingAfterBreak="0">
    <w:nsid w:val="630F0F2F"/>
    <w:multiLevelType w:val="hybridMultilevel"/>
    <w:tmpl w:val="5FAA77D6"/>
    <w:lvl w:ilvl="0" w:tplc="17C8DC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2" w15:restartNumberingAfterBreak="0">
    <w:nsid w:val="633C461D"/>
    <w:multiLevelType w:val="hybridMultilevel"/>
    <w:tmpl w:val="373EA25E"/>
    <w:lvl w:ilvl="0" w:tplc="FFFFFFFF">
      <w:start w:val="1"/>
      <w:numFmt w:val="lowerLetter"/>
      <w:lvlText w:val="(%1)"/>
      <w:lvlJc w:val="left"/>
      <w:pPr>
        <w:tabs>
          <w:tab w:val="num" w:pos="720"/>
        </w:tabs>
        <w:ind w:left="720" w:hanging="360"/>
      </w:pPr>
      <w:rPr>
        <w:rFonts w:hint="default"/>
      </w:rPr>
    </w:lvl>
    <w:lvl w:ilvl="1" w:tplc="FFFFFFFF">
      <w:start w:val="5"/>
      <w:numFmt w:val="decimal"/>
      <w:lvlText w:val="(%2)"/>
      <w:lvlJc w:val="left"/>
      <w:pPr>
        <w:tabs>
          <w:tab w:val="num" w:pos="720"/>
        </w:tabs>
        <w:ind w:left="720" w:hanging="360"/>
      </w:pPr>
      <w:rPr>
        <w:rFonts w:hint="default"/>
      </w:rPr>
    </w:lvl>
    <w:lvl w:ilvl="2" w:tplc="FFFFFFFF">
      <w:start w:val="1"/>
      <w:numFmt w:val="bullet"/>
      <w:lvlText w:val="-"/>
      <w:lvlJc w:val="left"/>
      <w:pPr>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3" w15:restartNumberingAfterBreak="0">
    <w:nsid w:val="63A8667B"/>
    <w:multiLevelType w:val="hybridMultilevel"/>
    <w:tmpl w:val="949E0D0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4" w15:restartNumberingAfterBreak="0">
    <w:nsid w:val="63C538B7"/>
    <w:multiLevelType w:val="hybridMultilevel"/>
    <w:tmpl w:val="D424223E"/>
    <w:lvl w:ilvl="0" w:tplc="73B0C170">
      <w:start w:val="1"/>
      <w:numFmt w:val="lowerRoman"/>
      <w:lvlText w:val="(%1)"/>
      <w:lvlJc w:val="left"/>
      <w:pPr>
        <w:tabs>
          <w:tab w:val="num" w:pos="720"/>
        </w:tabs>
        <w:ind w:left="720" w:hanging="360"/>
      </w:pPr>
      <w:rPr>
        <w:rFonts w:hint="default"/>
      </w:rPr>
    </w:lvl>
    <w:lvl w:ilvl="1" w:tplc="04090019">
      <w:start w:val="5"/>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63D700B7"/>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46" w15:restartNumberingAfterBreak="0">
    <w:nsid w:val="63F214B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7" w15:restartNumberingAfterBreak="0">
    <w:nsid w:val="64876355"/>
    <w:multiLevelType w:val="hybridMultilevel"/>
    <w:tmpl w:val="AACCEBD0"/>
    <w:lvl w:ilvl="0" w:tplc="889085C0">
      <w:start w:val="11"/>
      <w:numFmt w:val="lowerLetter"/>
      <w:lvlText w:val="(%1)"/>
      <w:lvlJc w:val="left"/>
      <w:pPr>
        <w:ind w:left="1260" w:hanging="360"/>
      </w:pPr>
      <w:rPr>
        <w:rFonts w:eastAsia="Times New Roman" w:hint="default"/>
        <w:i w:val="0"/>
        <w:sz w:val="24"/>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8" w15:restartNumberingAfterBreak="0">
    <w:nsid w:val="648A5230"/>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49" w15:restartNumberingAfterBreak="0">
    <w:nsid w:val="65356CB7"/>
    <w:multiLevelType w:val="hybridMultilevel"/>
    <w:tmpl w:val="5EC8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5A36D7B"/>
    <w:multiLevelType w:val="hybridMultilevel"/>
    <w:tmpl w:val="BD80510A"/>
    <w:lvl w:ilvl="0" w:tplc="8000F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5EA0D71"/>
    <w:multiLevelType w:val="multilevel"/>
    <w:tmpl w:val="AE00CD8A"/>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52" w15:restartNumberingAfterBreak="0">
    <w:nsid w:val="65ED7347"/>
    <w:multiLevelType w:val="hybridMultilevel"/>
    <w:tmpl w:val="70502484"/>
    <w:lvl w:ilvl="0" w:tplc="63809B7E">
      <w:start w:val="1"/>
      <w:numFmt w:val="decimal"/>
      <w:lvlText w:val="(%1)"/>
      <w:lvlJc w:val="left"/>
      <w:pPr>
        <w:tabs>
          <w:tab w:val="num" w:pos="720"/>
        </w:tabs>
        <w:ind w:left="720" w:hanging="360"/>
      </w:pPr>
      <w:rPr>
        <w:rFonts w:hint="default"/>
        <w:b w:val="0"/>
      </w:rPr>
    </w:lvl>
    <w:lvl w:ilvl="1" w:tplc="BF4E877C" w:tentative="1">
      <w:start w:val="1"/>
      <w:numFmt w:val="lowerLetter"/>
      <w:lvlText w:val="%2."/>
      <w:lvlJc w:val="left"/>
      <w:pPr>
        <w:tabs>
          <w:tab w:val="num" w:pos="1440"/>
        </w:tabs>
        <w:ind w:left="1440" w:hanging="360"/>
      </w:pPr>
    </w:lvl>
    <w:lvl w:ilvl="2" w:tplc="305EFDB8" w:tentative="1">
      <w:start w:val="1"/>
      <w:numFmt w:val="lowerRoman"/>
      <w:lvlText w:val="%3."/>
      <w:lvlJc w:val="right"/>
      <w:pPr>
        <w:tabs>
          <w:tab w:val="num" w:pos="2160"/>
        </w:tabs>
        <w:ind w:left="2160" w:hanging="180"/>
      </w:pPr>
    </w:lvl>
    <w:lvl w:ilvl="3" w:tplc="2C6472E8" w:tentative="1">
      <w:start w:val="1"/>
      <w:numFmt w:val="decimal"/>
      <w:lvlText w:val="%4."/>
      <w:lvlJc w:val="left"/>
      <w:pPr>
        <w:tabs>
          <w:tab w:val="num" w:pos="2880"/>
        </w:tabs>
        <w:ind w:left="2880" w:hanging="360"/>
      </w:pPr>
    </w:lvl>
    <w:lvl w:ilvl="4" w:tplc="8E6E86D0" w:tentative="1">
      <w:start w:val="1"/>
      <w:numFmt w:val="lowerLetter"/>
      <w:lvlText w:val="%5."/>
      <w:lvlJc w:val="left"/>
      <w:pPr>
        <w:tabs>
          <w:tab w:val="num" w:pos="3600"/>
        </w:tabs>
        <w:ind w:left="3600" w:hanging="360"/>
      </w:pPr>
    </w:lvl>
    <w:lvl w:ilvl="5" w:tplc="5DDE8980" w:tentative="1">
      <w:start w:val="1"/>
      <w:numFmt w:val="lowerRoman"/>
      <w:lvlText w:val="%6."/>
      <w:lvlJc w:val="right"/>
      <w:pPr>
        <w:tabs>
          <w:tab w:val="num" w:pos="4320"/>
        </w:tabs>
        <w:ind w:left="4320" w:hanging="180"/>
      </w:pPr>
    </w:lvl>
    <w:lvl w:ilvl="6" w:tplc="5FBC1BC8" w:tentative="1">
      <w:start w:val="1"/>
      <w:numFmt w:val="decimal"/>
      <w:lvlText w:val="%7."/>
      <w:lvlJc w:val="left"/>
      <w:pPr>
        <w:tabs>
          <w:tab w:val="num" w:pos="5040"/>
        </w:tabs>
        <w:ind w:left="5040" w:hanging="360"/>
      </w:pPr>
    </w:lvl>
    <w:lvl w:ilvl="7" w:tplc="2B3E5444" w:tentative="1">
      <w:start w:val="1"/>
      <w:numFmt w:val="lowerLetter"/>
      <w:lvlText w:val="%8."/>
      <w:lvlJc w:val="left"/>
      <w:pPr>
        <w:tabs>
          <w:tab w:val="num" w:pos="5760"/>
        </w:tabs>
        <w:ind w:left="5760" w:hanging="360"/>
      </w:pPr>
    </w:lvl>
    <w:lvl w:ilvl="8" w:tplc="3C0AAA50" w:tentative="1">
      <w:start w:val="1"/>
      <w:numFmt w:val="lowerRoman"/>
      <w:lvlText w:val="%9."/>
      <w:lvlJc w:val="right"/>
      <w:pPr>
        <w:tabs>
          <w:tab w:val="num" w:pos="6480"/>
        </w:tabs>
        <w:ind w:left="6480" w:hanging="180"/>
      </w:pPr>
    </w:lvl>
  </w:abstractNum>
  <w:abstractNum w:abstractNumId="353" w15:restartNumberingAfterBreak="0">
    <w:nsid w:val="66173A64"/>
    <w:multiLevelType w:val="multilevel"/>
    <w:tmpl w:val="B840E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4" w15:restartNumberingAfterBreak="0">
    <w:nsid w:val="666B6B2F"/>
    <w:multiLevelType w:val="hybridMultilevel"/>
    <w:tmpl w:val="BCACBCDE"/>
    <w:lvl w:ilvl="0" w:tplc="D20231C2">
      <w:start w:val="1"/>
      <w:numFmt w:val="lowerRoman"/>
      <w:lvlText w:val="(%1)"/>
      <w:lvlJc w:val="left"/>
      <w:pPr>
        <w:ind w:left="1620" w:hanging="360"/>
      </w:pPr>
    </w:lvl>
    <w:lvl w:ilvl="1" w:tplc="04090003">
      <w:numFmt w:val="decimal"/>
      <w:lvlText w:val="o"/>
      <w:lvlJc w:val="left"/>
      <w:pPr>
        <w:ind w:left="2340" w:hanging="360"/>
      </w:pPr>
      <w:rPr>
        <w:rFonts w:ascii="Courier New" w:hAnsi="Courier New" w:cs="Courier New" w:hint="default"/>
      </w:rPr>
    </w:lvl>
    <w:lvl w:ilvl="2" w:tplc="04090005">
      <w:numFmt w:val="decimal"/>
      <w:lvlText w:val=""/>
      <w:lvlJc w:val="left"/>
      <w:pPr>
        <w:ind w:left="3060" w:hanging="360"/>
      </w:pPr>
      <w:rPr>
        <w:rFonts w:ascii="Wingdings" w:hAnsi="Wingdings" w:hint="default"/>
      </w:rPr>
    </w:lvl>
    <w:lvl w:ilvl="3" w:tplc="04090001">
      <w:numFmt w:val="decimal"/>
      <w:lvlText w:val=""/>
      <w:lvlJc w:val="left"/>
      <w:pPr>
        <w:ind w:left="3780" w:hanging="360"/>
      </w:pPr>
      <w:rPr>
        <w:rFonts w:ascii="Symbol" w:hAnsi="Symbol" w:hint="default"/>
      </w:rPr>
    </w:lvl>
    <w:lvl w:ilvl="4" w:tplc="04090003">
      <w:numFmt w:val="decimal"/>
      <w:lvlText w:val="o"/>
      <w:lvlJc w:val="left"/>
      <w:pPr>
        <w:ind w:left="4500" w:hanging="360"/>
      </w:pPr>
      <w:rPr>
        <w:rFonts w:ascii="Courier New" w:hAnsi="Courier New" w:cs="Courier New" w:hint="default"/>
      </w:rPr>
    </w:lvl>
    <w:lvl w:ilvl="5" w:tplc="04090005">
      <w:numFmt w:val="decimal"/>
      <w:lvlText w:val=""/>
      <w:lvlJc w:val="left"/>
      <w:pPr>
        <w:ind w:left="5220" w:hanging="360"/>
      </w:pPr>
      <w:rPr>
        <w:rFonts w:ascii="Wingdings" w:hAnsi="Wingdings" w:hint="default"/>
      </w:rPr>
    </w:lvl>
    <w:lvl w:ilvl="6" w:tplc="04090001">
      <w:numFmt w:val="decimal"/>
      <w:lvlText w:val=""/>
      <w:lvlJc w:val="left"/>
      <w:pPr>
        <w:ind w:left="5940" w:hanging="360"/>
      </w:pPr>
      <w:rPr>
        <w:rFonts w:ascii="Symbol" w:hAnsi="Symbol" w:hint="default"/>
      </w:rPr>
    </w:lvl>
    <w:lvl w:ilvl="7" w:tplc="04090003">
      <w:numFmt w:val="decimal"/>
      <w:lvlText w:val="o"/>
      <w:lvlJc w:val="left"/>
      <w:pPr>
        <w:ind w:left="6660" w:hanging="360"/>
      </w:pPr>
      <w:rPr>
        <w:rFonts w:ascii="Courier New" w:hAnsi="Courier New" w:cs="Courier New" w:hint="default"/>
      </w:rPr>
    </w:lvl>
    <w:lvl w:ilvl="8" w:tplc="04090005">
      <w:numFmt w:val="decimal"/>
      <w:lvlText w:val=""/>
      <w:lvlJc w:val="left"/>
      <w:pPr>
        <w:ind w:left="7380" w:hanging="360"/>
      </w:pPr>
      <w:rPr>
        <w:rFonts w:ascii="Wingdings" w:hAnsi="Wingdings" w:hint="default"/>
      </w:rPr>
    </w:lvl>
  </w:abstractNum>
  <w:abstractNum w:abstractNumId="355" w15:restartNumberingAfterBreak="0">
    <w:nsid w:val="66A0623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6" w15:restartNumberingAfterBreak="0">
    <w:nsid w:val="66EE1849"/>
    <w:multiLevelType w:val="hybridMultilevel"/>
    <w:tmpl w:val="E1DA2A34"/>
    <w:lvl w:ilvl="0" w:tplc="FDDC9FF4">
      <w:start w:val="3"/>
      <w:numFmt w:val="lowerLetter"/>
      <w:lvlText w:val="(%1)"/>
      <w:lvlJc w:val="left"/>
      <w:pPr>
        <w:ind w:left="1800" w:hanging="360"/>
      </w:pPr>
      <w:rPr>
        <w:rFonts w:ascii="Times New Roman" w:eastAsia="Times New Roman" w:hAnsi="Times New Roman" w:cs="Times New Roman" w:hint="default"/>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57" w15:restartNumberingAfterBreak="0">
    <w:nsid w:val="66F351C0"/>
    <w:multiLevelType w:val="multilevel"/>
    <w:tmpl w:val="559A8FB0"/>
    <w:lvl w:ilvl="0">
      <w:start w:val="1"/>
      <w:numFmt w:val="upperLetter"/>
      <w:lvlText w:val="(%1)"/>
      <w:lvlJc w:val="left"/>
      <w:pPr>
        <w:ind w:left="720" w:hanging="540"/>
      </w:pPr>
      <w:rPr>
        <w:rFonts w:hint="default"/>
        <w:b w:val="0"/>
      </w:rPr>
    </w:lvl>
    <w:lvl w:ilvl="1">
      <w:start w:val="1"/>
      <w:numFmt w:val="decimal"/>
      <w:lvlText w:val="(%2)"/>
      <w:lvlJc w:val="left"/>
      <w:pPr>
        <w:ind w:left="1260" w:hanging="540"/>
      </w:pPr>
      <w:rPr>
        <w:rFonts w:hint="default"/>
        <w:b w:val="0"/>
      </w:rPr>
    </w:lvl>
    <w:lvl w:ilvl="2">
      <w:start w:val="1"/>
      <w:numFmt w:val="lowerLetter"/>
      <w:lvlText w:val="(%3)"/>
      <w:lvlJc w:val="left"/>
      <w:pPr>
        <w:ind w:left="1800" w:hanging="540"/>
      </w:pPr>
      <w:rPr>
        <w:rFonts w:ascii="Times New Roman" w:hAnsi="Times New Roman" w:cs="Times New Roman" w:hint="default"/>
        <w:b w:val="0"/>
        <w:sz w:val="24"/>
        <w:szCs w:val="28"/>
      </w:rPr>
    </w:lvl>
    <w:lvl w:ilvl="3">
      <w:start w:val="1"/>
      <w:numFmt w:val="lowerRoman"/>
      <w:lvlText w:val="(%4)"/>
      <w:lvlJc w:val="left"/>
      <w:pPr>
        <w:ind w:left="2700" w:hanging="540"/>
      </w:pPr>
      <w:rPr>
        <w:rFonts w:hint="default"/>
      </w:rPr>
    </w:lvl>
    <w:lvl w:ilvl="4">
      <w:start w:val="1"/>
      <w:numFmt w:val="lowerLetter"/>
      <w:lvlText w:val="(%5)"/>
      <w:lvlJc w:val="left"/>
      <w:pPr>
        <w:ind w:left="3420" w:hanging="54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358" w15:restartNumberingAfterBreak="0">
    <w:nsid w:val="66F510FA"/>
    <w:multiLevelType w:val="hybridMultilevel"/>
    <w:tmpl w:val="41E08622"/>
    <w:lvl w:ilvl="0" w:tplc="084463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72A10AB"/>
    <w:multiLevelType w:val="multilevel"/>
    <w:tmpl w:val="2BF23478"/>
    <w:lvl w:ilvl="0">
      <w:start w:val="1"/>
      <w:numFmt w:val="decimal"/>
      <w:lvlText w:val="%1"/>
      <w:lvlJc w:val="left"/>
      <w:pPr>
        <w:ind w:left="380" w:hanging="38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0" w15:restartNumberingAfterBreak="0">
    <w:nsid w:val="67340C2F"/>
    <w:multiLevelType w:val="multilevel"/>
    <w:tmpl w:val="261C4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1" w15:restartNumberingAfterBreak="0">
    <w:nsid w:val="677E20BF"/>
    <w:multiLevelType w:val="hybridMultilevel"/>
    <w:tmpl w:val="DA8E128A"/>
    <w:lvl w:ilvl="0" w:tplc="413E73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15:restartNumberingAfterBreak="0">
    <w:nsid w:val="678F1FA4"/>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63" w15:restartNumberingAfterBreak="0">
    <w:nsid w:val="67A75174"/>
    <w:multiLevelType w:val="hybridMultilevel"/>
    <w:tmpl w:val="055E302A"/>
    <w:lvl w:ilvl="0" w:tplc="C9BCB5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15:restartNumberingAfterBreak="0">
    <w:nsid w:val="67EB6B5C"/>
    <w:multiLevelType w:val="hybridMultilevel"/>
    <w:tmpl w:val="20664BD2"/>
    <w:lvl w:ilvl="0" w:tplc="42D2EF6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5" w15:restartNumberingAfterBreak="0">
    <w:nsid w:val="69203212"/>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66" w15:restartNumberingAfterBreak="0">
    <w:nsid w:val="6A440B0B"/>
    <w:multiLevelType w:val="hybridMultilevel"/>
    <w:tmpl w:val="99A00BF4"/>
    <w:lvl w:ilvl="0" w:tplc="DC5C3CB8">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67" w15:restartNumberingAfterBreak="0">
    <w:nsid w:val="6A547037"/>
    <w:multiLevelType w:val="multilevel"/>
    <w:tmpl w:val="F382816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1800" w:hanging="360"/>
      </w:pPr>
      <w:rPr>
        <w:color w:val="auto"/>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8" w15:restartNumberingAfterBreak="0">
    <w:nsid w:val="6A5F08C9"/>
    <w:multiLevelType w:val="hybridMultilevel"/>
    <w:tmpl w:val="7876B6C4"/>
    <w:lvl w:ilvl="0" w:tplc="0E5A08E4">
      <w:start w:val="1"/>
      <w:numFmt w:val="lowerLetter"/>
      <w:lvlText w:val="(%1)"/>
      <w:lvlJc w:val="left"/>
      <w:pPr>
        <w:tabs>
          <w:tab w:val="num" w:pos="720"/>
        </w:tabs>
        <w:ind w:left="720" w:hanging="360"/>
      </w:pPr>
      <w:rPr>
        <w:rFonts w:hint="default"/>
      </w:rPr>
    </w:lvl>
    <w:lvl w:ilvl="1" w:tplc="82F45EBE"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9" w15:restartNumberingAfterBreak="0">
    <w:nsid w:val="6A66212E"/>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70" w15:restartNumberingAfterBreak="0">
    <w:nsid w:val="6A807FA6"/>
    <w:multiLevelType w:val="multilevel"/>
    <w:tmpl w:val="40D6C8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1" w15:restartNumberingAfterBreak="0">
    <w:nsid w:val="6A8A7B68"/>
    <w:multiLevelType w:val="multilevel"/>
    <w:tmpl w:val="D60ACE14"/>
    <w:lvl w:ilvl="0">
      <w:start w:val="2"/>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72" w15:restartNumberingAfterBreak="0">
    <w:nsid w:val="6AB15440"/>
    <w:multiLevelType w:val="hybridMultilevel"/>
    <w:tmpl w:val="AB7082A8"/>
    <w:lvl w:ilvl="0" w:tplc="099046E2">
      <w:start w:val="1"/>
      <w:numFmt w:val="lowerLetter"/>
      <w:lvlText w:val="(%1)"/>
      <w:lvlJc w:val="left"/>
      <w:pPr>
        <w:ind w:left="1581" w:hanging="721"/>
      </w:pPr>
      <w:rPr>
        <w:rFonts w:ascii="Times New Roman" w:eastAsia="Times New Roman" w:hAnsi="Times New Roman" w:cs="Times New Roman" w:hint="default"/>
        <w:b w:val="0"/>
        <w:bCs w:val="0"/>
        <w:i w:val="0"/>
        <w:iCs w:val="0"/>
        <w:spacing w:val="-2"/>
        <w:w w:val="99"/>
        <w:sz w:val="24"/>
        <w:szCs w:val="24"/>
        <w:lang w:val="en-US" w:eastAsia="en-US" w:bidi="ar-SA"/>
      </w:rPr>
    </w:lvl>
    <w:lvl w:ilvl="1" w:tplc="E416C6CC">
      <w:numFmt w:val="bullet"/>
      <w:lvlText w:val="•"/>
      <w:lvlJc w:val="left"/>
      <w:pPr>
        <w:ind w:left="2562" w:hanging="721"/>
      </w:pPr>
      <w:rPr>
        <w:rFonts w:hint="default"/>
        <w:lang w:val="en-US" w:eastAsia="en-US" w:bidi="ar-SA"/>
      </w:rPr>
    </w:lvl>
    <w:lvl w:ilvl="2" w:tplc="F60CC782">
      <w:numFmt w:val="bullet"/>
      <w:lvlText w:val="•"/>
      <w:lvlJc w:val="left"/>
      <w:pPr>
        <w:ind w:left="3544" w:hanging="721"/>
      </w:pPr>
      <w:rPr>
        <w:rFonts w:hint="default"/>
        <w:lang w:val="en-US" w:eastAsia="en-US" w:bidi="ar-SA"/>
      </w:rPr>
    </w:lvl>
    <w:lvl w:ilvl="3" w:tplc="7DBE60EC">
      <w:numFmt w:val="bullet"/>
      <w:lvlText w:val="•"/>
      <w:lvlJc w:val="left"/>
      <w:pPr>
        <w:ind w:left="4526" w:hanging="721"/>
      </w:pPr>
      <w:rPr>
        <w:rFonts w:hint="default"/>
        <w:lang w:val="en-US" w:eastAsia="en-US" w:bidi="ar-SA"/>
      </w:rPr>
    </w:lvl>
    <w:lvl w:ilvl="4" w:tplc="B6068134">
      <w:numFmt w:val="bullet"/>
      <w:lvlText w:val="•"/>
      <w:lvlJc w:val="left"/>
      <w:pPr>
        <w:ind w:left="5508" w:hanging="721"/>
      </w:pPr>
      <w:rPr>
        <w:rFonts w:hint="default"/>
        <w:lang w:val="en-US" w:eastAsia="en-US" w:bidi="ar-SA"/>
      </w:rPr>
    </w:lvl>
    <w:lvl w:ilvl="5" w:tplc="35124BAA">
      <w:numFmt w:val="bullet"/>
      <w:lvlText w:val="•"/>
      <w:lvlJc w:val="left"/>
      <w:pPr>
        <w:ind w:left="6490" w:hanging="721"/>
      </w:pPr>
      <w:rPr>
        <w:rFonts w:hint="default"/>
        <w:lang w:val="en-US" w:eastAsia="en-US" w:bidi="ar-SA"/>
      </w:rPr>
    </w:lvl>
    <w:lvl w:ilvl="6" w:tplc="0DD4CD8C">
      <w:numFmt w:val="bullet"/>
      <w:lvlText w:val="•"/>
      <w:lvlJc w:val="left"/>
      <w:pPr>
        <w:ind w:left="7472" w:hanging="721"/>
      </w:pPr>
      <w:rPr>
        <w:rFonts w:hint="default"/>
        <w:lang w:val="en-US" w:eastAsia="en-US" w:bidi="ar-SA"/>
      </w:rPr>
    </w:lvl>
    <w:lvl w:ilvl="7" w:tplc="18D64344">
      <w:numFmt w:val="bullet"/>
      <w:lvlText w:val="•"/>
      <w:lvlJc w:val="left"/>
      <w:pPr>
        <w:ind w:left="8454" w:hanging="721"/>
      </w:pPr>
      <w:rPr>
        <w:rFonts w:hint="default"/>
        <w:lang w:val="en-US" w:eastAsia="en-US" w:bidi="ar-SA"/>
      </w:rPr>
    </w:lvl>
    <w:lvl w:ilvl="8" w:tplc="F8EAD76E">
      <w:numFmt w:val="bullet"/>
      <w:lvlText w:val="•"/>
      <w:lvlJc w:val="left"/>
      <w:pPr>
        <w:ind w:left="9436" w:hanging="721"/>
      </w:pPr>
      <w:rPr>
        <w:rFonts w:hint="default"/>
        <w:lang w:val="en-US" w:eastAsia="en-US" w:bidi="ar-SA"/>
      </w:rPr>
    </w:lvl>
  </w:abstractNum>
  <w:abstractNum w:abstractNumId="373" w15:restartNumberingAfterBreak="0">
    <w:nsid w:val="6ACD7A8A"/>
    <w:multiLevelType w:val="multilevel"/>
    <w:tmpl w:val="AE22FA3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4" w15:restartNumberingAfterBreak="0">
    <w:nsid w:val="6AE05D06"/>
    <w:multiLevelType w:val="hybridMultilevel"/>
    <w:tmpl w:val="A9E89C8C"/>
    <w:lvl w:ilvl="0" w:tplc="7FE60B2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15:restartNumberingAfterBreak="0">
    <w:nsid w:val="6B031FBD"/>
    <w:multiLevelType w:val="multilevel"/>
    <w:tmpl w:val="54607B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6" w15:restartNumberingAfterBreak="0">
    <w:nsid w:val="6B08713C"/>
    <w:multiLevelType w:val="multilevel"/>
    <w:tmpl w:val="54A82D1C"/>
    <w:lvl w:ilvl="0">
      <w:start w:val="1"/>
      <w:numFmt w:val="decimal"/>
      <w:lvlText w:val="(%1)"/>
      <w:lvlJc w:val="left"/>
      <w:pPr>
        <w:ind w:left="720" w:hanging="540"/>
      </w:pPr>
      <w:rPr>
        <w:rFonts w:ascii="Times New Roman" w:hAnsi="Times New Roman" w:hint="default"/>
        <w:b w:val="0"/>
        <w:i w:val="0"/>
        <w:sz w:val="24"/>
      </w:rPr>
    </w:lvl>
    <w:lvl w:ilvl="1">
      <w:start w:val="2"/>
      <w:numFmt w:val="decimal"/>
      <w:lvlText w:val="(%2)"/>
      <w:lvlJc w:val="left"/>
      <w:pPr>
        <w:ind w:left="1440" w:hanging="540"/>
      </w:pPr>
      <w:rPr>
        <w:rFonts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77" w15:restartNumberingAfterBreak="0">
    <w:nsid w:val="6B586257"/>
    <w:multiLevelType w:val="hybridMultilevel"/>
    <w:tmpl w:val="E58CAE24"/>
    <w:lvl w:ilvl="0" w:tplc="7FE60B22">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6BA200EF"/>
    <w:multiLevelType w:val="hybridMultilevel"/>
    <w:tmpl w:val="E2F0CB4E"/>
    <w:lvl w:ilvl="0" w:tplc="EC0C3B7A">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BE56CF8"/>
    <w:multiLevelType w:val="multilevel"/>
    <w:tmpl w:val="7AB6F82C"/>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80" w15:restartNumberingAfterBreak="0">
    <w:nsid w:val="6BF450ED"/>
    <w:multiLevelType w:val="hybridMultilevel"/>
    <w:tmpl w:val="03A08492"/>
    <w:lvl w:ilvl="0" w:tplc="F344350E">
      <w:start w:val="1"/>
      <w:numFmt w:val="lowerLetter"/>
      <w:lvlText w:val="(%1)"/>
      <w:lvlJc w:val="left"/>
      <w:pPr>
        <w:tabs>
          <w:tab w:val="num" w:pos="2340"/>
        </w:tabs>
        <w:ind w:left="2340" w:hanging="360"/>
      </w:pPr>
      <w:rPr>
        <w:rFonts w:ascii="Times New Roman" w:hAnsi="Times New Roman" w:cs="Times New Roman" w:hint="default"/>
        <w:sz w:val="24"/>
        <w:szCs w:val="20"/>
      </w:rPr>
    </w:lvl>
    <w:lvl w:ilvl="1" w:tplc="04090019" w:tentative="1">
      <w:start w:val="1"/>
      <w:numFmt w:val="lowerLetter"/>
      <w:lvlText w:val="%2."/>
      <w:lvlJc w:val="left"/>
      <w:pPr>
        <w:tabs>
          <w:tab w:val="num" w:pos="2340"/>
        </w:tabs>
        <w:ind w:left="2340" w:hanging="360"/>
      </w:pPr>
    </w:lvl>
    <w:lvl w:ilvl="2" w:tplc="0409001B">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81" w15:restartNumberingAfterBreak="0">
    <w:nsid w:val="6C0C4904"/>
    <w:multiLevelType w:val="hybridMultilevel"/>
    <w:tmpl w:val="E4866406"/>
    <w:lvl w:ilvl="0" w:tplc="17C8DC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2" w15:restartNumberingAfterBreak="0">
    <w:nsid w:val="6C3A4896"/>
    <w:multiLevelType w:val="hybridMultilevel"/>
    <w:tmpl w:val="A7FE5B00"/>
    <w:lvl w:ilvl="0" w:tplc="04090001">
      <w:start w:val="1"/>
      <w:numFmt w:val="decimal"/>
      <w:lvlText w:val="(%1)"/>
      <w:lvlJc w:val="left"/>
      <w:pPr>
        <w:tabs>
          <w:tab w:val="num" w:pos="1800"/>
        </w:tabs>
        <w:ind w:left="1800" w:hanging="360"/>
      </w:pPr>
      <w:rPr>
        <w:rFonts w:hint="default"/>
      </w:rPr>
    </w:lvl>
    <w:lvl w:ilvl="1" w:tplc="04090003">
      <w:start w:val="1"/>
      <w:numFmt w:val="lowerLetter"/>
      <w:lvlText w:val="%2."/>
      <w:lvlJc w:val="left"/>
      <w:pPr>
        <w:tabs>
          <w:tab w:val="num" w:pos="2880"/>
        </w:tabs>
        <w:ind w:left="2880" w:hanging="360"/>
      </w:p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383" w15:restartNumberingAfterBreak="0">
    <w:nsid w:val="6D1C112B"/>
    <w:multiLevelType w:val="multilevel"/>
    <w:tmpl w:val="1F78ABDA"/>
    <w:lvl w:ilvl="0">
      <w:start w:val="3"/>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7"/>
      <w:numFmt w:val="decimal"/>
      <w:lvlText w:val="(%4)"/>
      <w:lvlJc w:val="left"/>
      <w:pPr>
        <w:ind w:left="81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84" w15:restartNumberingAfterBreak="0">
    <w:nsid w:val="6D477E51"/>
    <w:multiLevelType w:val="hybridMultilevel"/>
    <w:tmpl w:val="B7EA2150"/>
    <w:lvl w:ilvl="0" w:tplc="C9BCB5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6D6A4FE5"/>
    <w:multiLevelType w:val="multilevel"/>
    <w:tmpl w:val="9E443C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6" w15:restartNumberingAfterBreak="0">
    <w:nsid w:val="6DD1482D"/>
    <w:multiLevelType w:val="hybridMultilevel"/>
    <w:tmpl w:val="3CA26EE8"/>
    <w:lvl w:ilvl="0" w:tplc="274AA758">
      <w:start w:val="1"/>
      <w:numFmt w:val="decimal"/>
      <w:lvlText w:val="%1)"/>
      <w:lvlJc w:val="left"/>
      <w:pPr>
        <w:ind w:left="720" w:hanging="360"/>
      </w:pPr>
    </w:lvl>
    <w:lvl w:ilvl="1" w:tplc="8452B9D2">
      <w:start w:val="1"/>
      <w:numFmt w:val="decimal"/>
      <w:lvlText w:val="%2)"/>
      <w:lvlJc w:val="left"/>
      <w:pPr>
        <w:ind w:left="720" w:hanging="360"/>
      </w:pPr>
    </w:lvl>
    <w:lvl w:ilvl="2" w:tplc="3C225C3A">
      <w:start w:val="1"/>
      <w:numFmt w:val="decimal"/>
      <w:lvlText w:val="%3)"/>
      <w:lvlJc w:val="left"/>
      <w:pPr>
        <w:ind w:left="720" w:hanging="360"/>
      </w:pPr>
    </w:lvl>
    <w:lvl w:ilvl="3" w:tplc="B7142A06">
      <w:start w:val="1"/>
      <w:numFmt w:val="decimal"/>
      <w:lvlText w:val="%4)"/>
      <w:lvlJc w:val="left"/>
      <w:pPr>
        <w:ind w:left="720" w:hanging="360"/>
      </w:pPr>
    </w:lvl>
    <w:lvl w:ilvl="4" w:tplc="78FA8CE4">
      <w:start w:val="1"/>
      <w:numFmt w:val="decimal"/>
      <w:lvlText w:val="%5)"/>
      <w:lvlJc w:val="left"/>
      <w:pPr>
        <w:ind w:left="720" w:hanging="360"/>
      </w:pPr>
    </w:lvl>
    <w:lvl w:ilvl="5" w:tplc="B15EE5EE">
      <w:start w:val="1"/>
      <w:numFmt w:val="decimal"/>
      <w:lvlText w:val="%6)"/>
      <w:lvlJc w:val="left"/>
      <w:pPr>
        <w:ind w:left="720" w:hanging="360"/>
      </w:pPr>
    </w:lvl>
    <w:lvl w:ilvl="6" w:tplc="906CEE1A">
      <w:start w:val="1"/>
      <w:numFmt w:val="decimal"/>
      <w:lvlText w:val="%7)"/>
      <w:lvlJc w:val="left"/>
      <w:pPr>
        <w:ind w:left="720" w:hanging="360"/>
      </w:pPr>
    </w:lvl>
    <w:lvl w:ilvl="7" w:tplc="FAF65198">
      <w:start w:val="1"/>
      <w:numFmt w:val="decimal"/>
      <w:lvlText w:val="%8)"/>
      <w:lvlJc w:val="left"/>
      <w:pPr>
        <w:ind w:left="720" w:hanging="360"/>
      </w:pPr>
    </w:lvl>
    <w:lvl w:ilvl="8" w:tplc="C66CDAD0">
      <w:start w:val="1"/>
      <w:numFmt w:val="decimal"/>
      <w:lvlText w:val="%9)"/>
      <w:lvlJc w:val="left"/>
      <w:pPr>
        <w:ind w:left="720" w:hanging="360"/>
      </w:pPr>
    </w:lvl>
  </w:abstractNum>
  <w:abstractNum w:abstractNumId="387" w15:restartNumberingAfterBreak="0">
    <w:nsid w:val="6E811078"/>
    <w:multiLevelType w:val="hybridMultilevel"/>
    <w:tmpl w:val="0040FFEE"/>
    <w:lvl w:ilvl="0" w:tplc="73700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E9D52B0"/>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89" w15:restartNumberingAfterBreak="0">
    <w:nsid w:val="6EB44B3E"/>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90" w15:restartNumberingAfterBreak="0">
    <w:nsid w:val="6EC261AC"/>
    <w:multiLevelType w:val="hybridMultilevel"/>
    <w:tmpl w:val="108AF0E2"/>
    <w:lvl w:ilvl="0" w:tplc="C9BCB580">
      <w:start w:val="1"/>
      <w:numFmt w:val="decimal"/>
      <w:lvlText w:val="(%1)"/>
      <w:lvlJc w:val="left"/>
      <w:pPr>
        <w:tabs>
          <w:tab w:val="num" w:pos="1440"/>
        </w:tabs>
        <w:ind w:left="1440" w:hanging="360"/>
      </w:pPr>
      <w:rPr>
        <w:rFonts w:hint="default"/>
      </w:rPr>
    </w:lvl>
    <w:lvl w:ilvl="1" w:tplc="1E9A7F62">
      <w:start w:val="1"/>
      <w:numFmt w:val="lowerLetter"/>
      <w:lvlText w:val="(%2)"/>
      <w:lvlJc w:val="left"/>
      <w:pPr>
        <w:tabs>
          <w:tab w:val="num" w:pos="1440"/>
        </w:tabs>
        <w:ind w:left="1440" w:hanging="360"/>
      </w:pPr>
      <w:rPr>
        <w:rFonts w:hint="default"/>
      </w:rPr>
    </w:lvl>
    <w:lvl w:ilvl="2" w:tplc="FB0A62DA">
      <w:start w:val="1"/>
      <w:numFmt w:val="lowerLetter"/>
      <w:lvlText w:val="(%3)"/>
      <w:lvlJc w:val="left"/>
      <w:pPr>
        <w:tabs>
          <w:tab w:val="num" w:pos="2340"/>
        </w:tabs>
        <w:ind w:left="2340" w:hanging="360"/>
      </w:pPr>
      <w:rPr>
        <w:rFonts w:hint="default"/>
      </w:rPr>
    </w:lvl>
    <w:lvl w:ilvl="3" w:tplc="D1D42730">
      <w:start w:val="1"/>
      <w:numFmt w:val="upperRoman"/>
      <w:lvlText w:val="(%4)"/>
      <w:lvlJc w:val="left"/>
      <w:pPr>
        <w:ind w:left="3240" w:hanging="720"/>
      </w:pPr>
      <w:rPr>
        <w:rFonts w:hint="default"/>
      </w:rPr>
    </w:lvl>
    <w:lvl w:ilvl="4" w:tplc="E474D0BA" w:tentative="1">
      <w:start w:val="1"/>
      <w:numFmt w:val="lowerLetter"/>
      <w:lvlText w:val="%5."/>
      <w:lvlJc w:val="left"/>
      <w:pPr>
        <w:tabs>
          <w:tab w:val="num" w:pos="3600"/>
        </w:tabs>
        <w:ind w:left="3600" w:hanging="360"/>
      </w:pPr>
    </w:lvl>
    <w:lvl w:ilvl="5" w:tplc="1256D680">
      <w:start w:val="1"/>
      <w:numFmt w:val="lowerRoman"/>
      <w:lvlText w:val="%6."/>
      <w:lvlJc w:val="right"/>
      <w:pPr>
        <w:tabs>
          <w:tab w:val="num" w:pos="4320"/>
        </w:tabs>
        <w:ind w:left="4320" w:hanging="180"/>
      </w:pPr>
    </w:lvl>
    <w:lvl w:ilvl="6" w:tplc="89A4D014" w:tentative="1">
      <w:start w:val="1"/>
      <w:numFmt w:val="decimal"/>
      <w:lvlText w:val="%7."/>
      <w:lvlJc w:val="left"/>
      <w:pPr>
        <w:tabs>
          <w:tab w:val="num" w:pos="5040"/>
        </w:tabs>
        <w:ind w:left="5040" w:hanging="360"/>
      </w:pPr>
    </w:lvl>
    <w:lvl w:ilvl="7" w:tplc="37A649CE" w:tentative="1">
      <w:start w:val="1"/>
      <w:numFmt w:val="lowerLetter"/>
      <w:lvlText w:val="%8."/>
      <w:lvlJc w:val="left"/>
      <w:pPr>
        <w:tabs>
          <w:tab w:val="num" w:pos="5760"/>
        </w:tabs>
        <w:ind w:left="5760" w:hanging="360"/>
      </w:pPr>
    </w:lvl>
    <w:lvl w:ilvl="8" w:tplc="EF0E9454" w:tentative="1">
      <w:start w:val="1"/>
      <w:numFmt w:val="lowerRoman"/>
      <w:lvlText w:val="%9."/>
      <w:lvlJc w:val="right"/>
      <w:pPr>
        <w:tabs>
          <w:tab w:val="num" w:pos="6480"/>
        </w:tabs>
        <w:ind w:left="6480" w:hanging="180"/>
      </w:pPr>
    </w:lvl>
  </w:abstractNum>
  <w:abstractNum w:abstractNumId="391" w15:restartNumberingAfterBreak="0">
    <w:nsid w:val="6EED3E3B"/>
    <w:multiLevelType w:val="hybridMultilevel"/>
    <w:tmpl w:val="5E42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6EF862AC"/>
    <w:multiLevelType w:val="hybridMultilevel"/>
    <w:tmpl w:val="19F65F3A"/>
    <w:lvl w:ilvl="0" w:tplc="D20231C2">
      <w:start w:val="1"/>
      <w:numFmt w:val="lowerRoman"/>
      <w:lvlText w:val="(%1)"/>
      <w:lvlJc w:val="left"/>
      <w:pPr>
        <w:tabs>
          <w:tab w:val="num" w:pos="1440"/>
        </w:tabs>
        <w:ind w:left="1440" w:hanging="360"/>
      </w:pPr>
      <w:rPr>
        <w:rFonts w:hint="default"/>
      </w:rPr>
    </w:lvl>
    <w:lvl w:ilvl="1" w:tplc="04090011">
      <w:start w:val="1"/>
      <w:numFmt w:val="decimal"/>
      <w:lvlText w:val="%2)"/>
      <w:lvlJc w:val="left"/>
      <w:pPr>
        <w:tabs>
          <w:tab w:val="num" w:pos="1440"/>
        </w:tabs>
        <w:ind w:left="1440" w:hanging="360"/>
      </w:pPr>
      <w:rPr>
        <w:rFonts w:hint="default"/>
        <w:color w:val="auto"/>
      </w:rPr>
    </w:lvl>
    <w:lvl w:ilvl="2" w:tplc="04090005">
      <w:start w:val="1"/>
      <w:numFmt w:val="decimal"/>
      <w:lvlText w:val="(%3)"/>
      <w:lvlJc w:val="left"/>
      <w:pPr>
        <w:tabs>
          <w:tab w:val="num" w:pos="2160"/>
        </w:tabs>
        <w:ind w:left="2160" w:hanging="18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3" w15:restartNumberingAfterBreak="0">
    <w:nsid w:val="6F3A4BDF"/>
    <w:multiLevelType w:val="multilevel"/>
    <w:tmpl w:val="EB78FD24"/>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81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94" w15:restartNumberingAfterBreak="0">
    <w:nsid w:val="6F666AD5"/>
    <w:multiLevelType w:val="hybridMultilevel"/>
    <w:tmpl w:val="DBC474B6"/>
    <w:lvl w:ilvl="0" w:tplc="0409000F">
      <w:start w:val="1"/>
      <w:numFmt w:val="decimal"/>
      <w:lvlText w:val="(%1)"/>
      <w:lvlJc w:val="left"/>
      <w:pPr>
        <w:tabs>
          <w:tab w:val="num" w:pos="360"/>
        </w:tabs>
        <w:ind w:left="36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6FB6686F"/>
    <w:multiLevelType w:val="hybridMultilevel"/>
    <w:tmpl w:val="93DE1850"/>
    <w:lvl w:ilvl="0" w:tplc="76E80D30">
      <w:start w:val="3"/>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0194AEA"/>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97" w15:restartNumberingAfterBreak="0">
    <w:nsid w:val="7069293E"/>
    <w:multiLevelType w:val="multilevel"/>
    <w:tmpl w:val="5DD41C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8" w15:restartNumberingAfterBreak="0">
    <w:nsid w:val="71010FD0"/>
    <w:multiLevelType w:val="multilevel"/>
    <w:tmpl w:val="2082983A"/>
    <w:lvl w:ilvl="0">
      <w:start w:val="1"/>
      <w:numFmt w:val="decimal"/>
      <w:lvlText w:val="(%1)"/>
      <w:lvlJc w:val="left"/>
      <w:pPr>
        <w:ind w:left="720" w:hanging="540"/>
      </w:pPr>
      <w:rPr>
        <w:rFonts w:ascii="Times New Roman" w:hAnsi="Times New Roman" w:hint="default"/>
        <w:b w:val="0"/>
        <w:i w:val="0"/>
        <w:sz w:val="24"/>
      </w:rPr>
    </w:lvl>
    <w:lvl w:ilvl="1">
      <w:start w:val="3"/>
      <w:numFmt w:val="lowerLetter"/>
      <w:lvlText w:val="(%2)"/>
      <w:lvlJc w:val="left"/>
      <w:pPr>
        <w:ind w:left="153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342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399" w15:restartNumberingAfterBreak="0">
    <w:nsid w:val="71050D06"/>
    <w:multiLevelType w:val="hybridMultilevel"/>
    <w:tmpl w:val="92FAFAC4"/>
    <w:lvl w:ilvl="0" w:tplc="BBFE9F4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0" w15:restartNumberingAfterBreak="0">
    <w:nsid w:val="71896EDB"/>
    <w:multiLevelType w:val="hybridMultilevel"/>
    <w:tmpl w:val="2B9E98C8"/>
    <w:lvl w:ilvl="0" w:tplc="2840A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1B1571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2" w15:restartNumberingAfterBreak="0">
    <w:nsid w:val="72114012"/>
    <w:multiLevelType w:val="multilevel"/>
    <w:tmpl w:val="4BFEC874"/>
    <w:lvl w:ilvl="0">
      <w:start w:val="1"/>
      <w:numFmt w:val="upperLetter"/>
      <w:pStyle w:val="3Appx3"/>
      <w:lvlText w:val="Appendix %1"/>
      <w:lvlJc w:val="left"/>
      <w:pPr>
        <w:ind w:left="0" w:firstLine="0"/>
      </w:pPr>
      <w:rPr>
        <w:rFonts w:hint="default"/>
      </w:rPr>
    </w:lvl>
    <w:lvl w:ilvl="1">
      <w:start w:val="1"/>
      <w:numFmt w:val="decimal"/>
      <w:lvlText w:val="%1.%2"/>
      <w:lvlJc w:val="left"/>
      <w:pPr>
        <w:ind w:left="450" w:firstLine="0"/>
      </w:pPr>
      <w:rPr>
        <w:rFonts w:hint="default"/>
      </w:rPr>
    </w:lvl>
    <w:lvl w:ilvl="2">
      <w:start w:val="1"/>
      <w:numFmt w:val="decimal"/>
      <w:pStyle w:val="3Appx3"/>
      <w:lvlText w:val="%1.%2.%3"/>
      <w:lvlJc w:val="left"/>
      <w:pPr>
        <w:ind w:left="0" w:firstLine="0"/>
      </w:pPr>
      <w:rPr>
        <w:rFonts w:hint="default"/>
        <w:i w:val="0"/>
      </w:rPr>
    </w:lvl>
    <w:lvl w:ilvl="3">
      <w:start w:val="1"/>
      <w:numFmt w:val="decimal"/>
      <w:lvlText w:val="%1.%2.%3.%4"/>
      <w:lvlJc w:val="left"/>
      <w:pPr>
        <w:ind w:left="0" w:firstLine="0"/>
      </w:pPr>
      <w:rPr>
        <w:rFonts w:hint="default"/>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3" w15:restartNumberingAfterBreak="0">
    <w:nsid w:val="72476F5E"/>
    <w:multiLevelType w:val="hybridMultilevel"/>
    <w:tmpl w:val="02A264D4"/>
    <w:lvl w:ilvl="0" w:tplc="FFFFFFFF">
      <w:start w:val="1"/>
      <w:numFmt w:val="decimal"/>
      <w:lvlText w:val="(%1)"/>
      <w:lvlJc w:val="left"/>
      <w:pPr>
        <w:ind w:left="720" w:hanging="360"/>
      </w:pPr>
      <w:rPr>
        <w:rFonts w:ascii="Times New Roman" w:hAnsi="Times New Roman" w:cs="Times New Roman" w:hint="default"/>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72602C29"/>
    <w:multiLevelType w:val="hybridMultilevel"/>
    <w:tmpl w:val="CCF2E3C4"/>
    <w:lvl w:ilvl="0" w:tplc="7BC00130">
      <w:start w:val="1"/>
      <w:numFmt w:val="decimal"/>
      <w:lvlText w:val="(%1)"/>
      <w:lvlJc w:val="left"/>
      <w:pPr>
        <w:ind w:left="1581" w:hanging="661"/>
      </w:pPr>
      <w:rPr>
        <w:rFonts w:ascii="Times New Roman" w:eastAsia="Times New Roman" w:hAnsi="Times New Roman" w:cs="Times New Roman" w:hint="default"/>
        <w:b w:val="0"/>
        <w:bCs w:val="0"/>
        <w:i w:val="0"/>
        <w:iCs w:val="0"/>
        <w:w w:val="99"/>
        <w:sz w:val="24"/>
        <w:szCs w:val="24"/>
        <w:lang w:val="en-US" w:eastAsia="en-US" w:bidi="ar-SA"/>
      </w:rPr>
    </w:lvl>
    <w:lvl w:ilvl="1" w:tplc="F264848A">
      <w:start w:val="1"/>
      <w:numFmt w:val="lowerLetter"/>
      <w:lvlText w:val="(%2)"/>
      <w:lvlJc w:val="left"/>
      <w:pPr>
        <w:ind w:left="2301" w:hanging="660"/>
      </w:pPr>
      <w:rPr>
        <w:rFonts w:ascii="Times New Roman" w:eastAsia="Times New Roman" w:hAnsi="Times New Roman" w:cs="Times New Roman" w:hint="default"/>
        <w:b w:val="0"/>
        <w:bCs w:val="0"/>
        <w:i w:val="0"/>
        <w:iCs w:val="0"/>
        <w:spacing w:val="-2"/>
        <w:w w:val="99"/>
        <w:sz w:val="24"/>
        <w:szCs w:val="24"/>
        <w:lang w:val="en-US" w:eastAsia="en-US" w:bidi="ar-SA"/>
      </w:rPr>
    </w:lvl>
    <w:lvl w:ilvl="2" w:tplc="14066F98">
      <w:start w:val="1"/>
      <w:numFmt w:val="lowerRoman"/>
      <w:lvlText w:val="(%3)"/>
      <w:lvlJc w:val="left"/>
      <w:pPr>
        <w:ind w:left="3021" w:hanging="721"/>
      </w:pPr>
      <w:rPr>
        <w:rFonts w:ascii="Times New Roman" w:eastAsia="Times New Roman" w:hAnsi="Times New Roman" w:cs="Times New Roman" w:hint="default"/>
        <w:b w:val="0"/>
        <w:bCs w:val="0"/>
        <w:i w:val="0"/>
        <w:iCs w:val="0"/>
        <w:spacing w:val="-2"/>
        <w:w w:val="99"/>
        <w:sz w:val="24"/>
        <w:szCs w:val="24"/>
        <w:lang w:val="en-US" w:eastAsia="en-US" w:bidi="ar-SA"/>
      </w:rPr>
    </w:lvl>
    <w:lvl w:ilvl="3" w:tplc="9B34B7BE">
      <w:start w:val="1"/>
      <w:numFmt w:val="decimal"/>
      <w:lvlText w:val="%4."/>
      <w:lvlJc w:val="left"/>
      <w:pPr>
        <w:ind w:left="3742" w:hanging="721"/>
      </w:pPr>
      <w:rPr>
        <w:rFonts w:ascii="Times New Roman" w:eastAsia="Times New Roman" w:hAnsi="Times New Roman" w:cs="Times New Roman" w:hint="default"/>
        <w:b w:val="0"/>
        <w:bCs w:val="0"/>
        <w:i w:val="0"/>
        <w:iCs w:val="0"/>
        <w:w w:val="100"/>
        <w:sz w:val="24"/>
        <w:szCs w:val="24"/>
        <w:lang w:val="en-US" w:eastAsia="en-US" w:bidi="ar-SA"/>
      </w:rPr>
    </w:lvl>
    <w:lvl w:ilvl="4" w:tplc="7F926802">
      <w:numFmt w:val="bullet"/>
      <w:lvlText w:val="•"/>
      <w:lvlJc w:val="left"/>
      <w:pPr>
        <w:ind w:left="3740" w:hanging="721"/>
      </w:pPr>
      <w:rPr>
        <w:rFonts w:hint="default"/>
        <w:lang w:val="en-US" w:eastAsia="en-US" w:bidi="ar-SA"/>
      </w:rPr>
    </w:lvl>
    <w:lvl w:ilvl="5" w:tplc="7A687230">
      <w:numFmt w:val="bullet"/>
      <w:lvlText w:val="•"/>
      <w:lvlJc w:val="left"/>
      <w:pPr>
        <w:ind w:left="5016" w:hanging="721"/>
      </w:pPr>
      <w:rPr>
        <w:rFonts w:hint="default"/>
        <w:lang w:val="en-US" w:eastAsia="en-US" w:bidi="ar-SA"/>
      </w:rPr>
    </w:lvl>
    <w:lvl w:ilvl="6" w:tplc="3D508A08">
      <w:numFmt w:val="bullet"/>
      <w:lvlText w:val="•"/>
      <w:lvlJc w:val="left"/>
      <w:pPr>
        <w:ind w:left="6293" w:hanging="721"/>
      </w:pPr>
      <w:rPr>
        <w:rFonts w:hint="default"/>
        <w:lang w:val="en-US" w:eastAsia="en-US" w:bidi="ar-SA"/>
      </w:rPr>
    </w:lvl>
    <w:lvl w:ilvl="7" w:tplc="E9063886">
      <w:numFmt w:val="bullet"/>
      <w:lvlText w:val="•"/>
      <w:lvlJc w:val="left"/>
      <w:pPr>
        <w:ind w:left="7570" w:hanging="721"/>
      </w:pPr>
      <w:rPr>
        <w:rFonts w:hint="default"/>
        <w:lang w:val="en-US" w:eastAsia="en-US" w:bidi="ar-SA"/>
      </w:rPr>
    </w:lvl>
    <w:lvl w:ilvl="8" w:tplc="E05CD190">
      <w:numFmt w:val="bullet"/>
      <w:lvlText w:val="•"/>
      <w:lvlJc w:val="left"/>
      <w:pPr>
        <w:ind w:left="8846" w:hanging="721"/>
      </w:pPr>
      <w:rPr>
        <w:rFonts w:hint="default"/>
        <w:lang w:val="en-US" w:eastAsia="en-US" w:bidi="ar-SA"/>
      </w:rPr>
    </w:lvl>
  </w:abstractNum>
  <w:abstractNum w:abstractNumId="405" w15:restartNumberingAfterBreak="0">
    <w:nsid w:val="72794D01"/>
    <w:multiLevelType w:val="multilevel"/>
    <w:tmpl w:val="FCB2E164"/>
    <w:lvl w:ilvl="0">
      <w:start w:val="59"/>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06" w15:restartNumberingAfterBreak="0">
    <w:nsid w:val="728D6B5C"/>
    <w:multiLevelType w:val="hybridMultilevel"/>
    <w:tmpl w:val="E41C8DE8"/>
    <w:lvl w:ilvl="0" w:tplc="FFFFFFFF">
      <w:start w:val="1"/>
      <w:numFmt w:val="decimal"/>
      <w:lvlText w:val="(%1)"/>
      <w:lvlJc w:val="left"/>
      <w:pPr>
        <w:tabs>
          <w:tab w:val="num" w:pos="1367"/>
        </w:tabs>
        <w:ind w:left="1367" w:hanging="360"/>
      </w:pPr>
      <w:rPr>
        <w:rFonts w:hint="default"/>
      </w:rPr>
    </w:lvl>
    <w:lvl w:ilvl="1" w:tplc="04090019">
      <w:start w:val="1"/>
      <w:numFmt w:val="lowerLetter"/>
      <w:lvlText w:val="(%2)"/>
      <w:lvlJc w:val="left"/>
      <w:pPr>
        <w:tabs>
          <w:tab w:val="num" w:pos="2087"/>
        </w:tabs>
        <w:ind w:left="2087" w:hanging="360"/>
      </w:pPr>
      <w:rPr>
        <w:rFonts w:hint="default"/>
      </w:rPr>
    </w:lvl>
    <w:lvl w:ilvl="2" w:tplc="0409001B">
      <w:start w:val="1"/>
      <w:numFmt w:val="lowerRoman"/>
      <w:lvlText w:val="(%3)"/>
      <w:lvlJc w:val="right"/>
      <w:pPr>
        <w:tabs>
          <w:tab w:val="num" w:pos="2807"/>
        </w:tabs>
        <w:ind w:left="2807" w:hanging="180"/>
      </w:pPr>
      <w:rPr>
        <w:rFonts w:hint="default"/>
      </w:rPr>
    </w:lvl>
    <w:lvl w:ilvl="3" w:tplc="0409000F" w:tentative="1">
      <w:start w:val="1"/>
      <w:numFmt w:val="decimal"/>
      <w:lvlText w:val="%4."/>
      <w:lvlJc w:val="left"/>
      <w:pPr>
        <w:tabs>
          <w:tab w:val="num" w:pos="3527"/>
        </w:tabs>
        <w:ind w:left="3527" w:hanging="360"/>
      </w:pPr>
    </w:lvl>
    <w:lvl w:ilvl="4" w:tplc="04090019" w:tentative="1">
      <w:start w:val="1"/>
      <w:numFmt w:val="lowerLetter"/>
      <w:lvlText w:val="%5."/>
      <w:lvlJc w:val="left"/>
      <w:pPr>
        <w:tabs>
          <w:tab w:val="num" w:pos="4247"/>
        </w:tabs>
        <w:ind w:left="4247" w:hanging="360"/>
      </w:pPr>
    </w:lvl>
    <w:lvl w:ilvl="5" w:tplc="0409001B" w:tentative="1">
      <w:start w:val="1"/>
      <w:numFmt w:val="lowerRoman"/>
      <w:lvlText w:val="%6."/>
      <w:lvlJc w:val="right"/>
      <w:pPr>
        <w:tabs>
          <w:tab w:val="num" w:pos="4967"/>
        </w:tabs>
        <w:ind w:left="4967" w:hanging="180"/>
      </w:pPr>
    </w:lvl>
    <w:lvl w:ilvl="6" w:tplc="0409000F" w:tentative="1">
      <w:start w:val="1"/>
      <w:numFmt w:val="decimal"/>
      <w:lvlText w:val="%7."/>
      <w:lvlJc w:val="left"/>
      <w:pPr>
        <w:tabs>
          <w:tab w:val="num" w:pos="5687"/>
        </w:tabs>
        <w:ind w:left="5687" w:hanging="360"/>
      </w:pPr>
    </w:lvl>
    <w:lvl w:ilvl="7" w:tplc="04090019" w:tentative="1">
      <w:start w:val="1"/>
      <w:numFmt w:val="lowerLetter"/>
      <w:lvlText w:val="%8."/>
      <w:lvlJc w:val="left"/>
      <w:pPr>
        <w:tabs>
          <w:tab w:val="num" w:pos="6407"/>
        </w:tabs>
        <w:ind w:left="6407" w:hanging="360"/>
      </w:pPr>
    </w:lvl>
    <w:lvl w:ilvl="8" w:tplc="0409001B" w:tentative="1">
      <w:start w:val="1"/>
      <w:numFmt w:val="lowerRoman"/>
      <w:lvlText w:val="%9."/>
      <w:lvlJc w:val="right"/>
      <w:pPr>
        <w:tabs>
          <w:tab w:val="num" w:pos="7127"/>
        </w:tabs>
        <w:ind w:left="7127" w:hanging="180"/>
      </w:pPr>
    </w:lvl>
  </w:abstractNum>
  <w:abstractNum w:abstractNumId="407" w15:restartNumberingAfterBreak="0">
    <w:nsid w:val="72974D6A"/>
    <w:multiLevelType w:val="hybridMultilevel"/>
    <w:tmpl w:val="A592811A"/>
    <w:lvl w:ilvl="0" w:tplc="796EE5C8">
      <w:start w:val="2"/>
      <w:numFmt w:val="decimal"/>
      <w:lvlText w:val="%1."/>
      <w:lvlJc w:val="left"/>
      <w:pPr>
        <w:ind w:left="720" w:hanging="360"/>
      </w:pPr>
      <w:rPr>
        <w:rFonts w:asciiTheme="majorHAnsi" w:hAnsiTheme="majorHAnsi" w:cstheme="maj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34A2602"/>
    <w:multiLevelType w:val="hybridMultilevel"/>
    <w:tmpl w:val="B810CAC2"/>
    <w:lvl w:ilvl="0" w:tplc="C9BCB580">
      <w:start w:val="1"/>
      <w:numFmt w:val="lowerLetter"/>
      <w:lvlText w:val="(%1)"/>
      <w:lvlJc w:val="left"/>
      <w:pPr>
        <w:tabs>
          <w:tab w:val="num" w:pos="720"/>
        </w:tabs>
        <w:ind w:left="720" w:hanging="360"/>
      </w:pPr>
      <w:rPr>
        <w:rFonts w:hint="default"/>
      </w:rPr>
    </w:lvl>
    <w:lvl w:ilvl="1" w:tplc="E8F48C70">
      <w:start w:val="1"/>
      <w:numFmt w:val="lowerLetter"/>
      <w:lvlText w:val="%2."/>
      <w:lvlJc w:val="left"/>
      <w:pPr>
        <w:tabs>
          <w:tab w:val="num" w:pos="1440"/>
        </w:tabs>
        <w:ind w:left="1440" w:hanging="360"/>
      </w:pPr>
    </w:lvl>
    <w:lvl w:ilvl="2" w:tplc="06CCFCB0" w:tentative="1">
      <w:start w:val="1"/>
      <w:numFmt w:val="lowerRoman"/>
      <w:lvlText w:val="%3."/>
      <w:lvlJc w:val="right"/>
      <w:pPr>
        <w:tabs>
          <w:tab w:val="num" w:pos="2160"/>
        </w:tabs>
        <w:ind w:left="2160" w:hanging="180"/>
      </w:pPr>
    </w:lvl>
    <w:lvl w:ilvl="3" w:tplc="9028F0D6" w:tentative="1">
      <w:start w:val="1"/>
      <w:numFmt w:val="decimal"/>
      <w:lvlText w:val="%4."/>
      <w:lvlJc w:val="left"/>
      <w:pPr>
        <w:tabs>
          <w:tab w:val="num" w:pos="2880"/>
        </w:tabs>
        <w:ind w:left="2880" w:hanging="360"/>
      </w:pPr>
    </w:lvl>
    <w:lvl w:ilvl="4" w:tplc="ECD4393A" w:tentative="1">
      <w:start w:val="1"/>
      <w:numFmt w:val="lowerLetter"/>
      <w:lvlText w:val="%5."/>
      <w:lvlJc w:val="left"/>
      <w:pPr>
        <w:tabs>
          <w:tab w:val="num" w:pos="3600"/>
        </w:tabs>
        <w:ind w:left="3600" w:hanging="360"/>
      </w:pPr>
    </w:lvl>
    <w:lvl w:ilvl="5" w:tplc="E96C88DC" w:tentative="1">
      <w:start w:val="1"/>
      <w:numFmt w:val="lowerRoman"/>
      <w:lvlText w:val="%6."/>
      <w:lvlJc w:val="right"/>
      <w:pPr>
        <w:tabs>
          <w:tab w:val="num" w:pos="4320"/>
        </w:tabs>
        <w:ind w:left="4320" w:hanging="180"/>
      </w:pPr>
    </w:lvl>
    <w:lvl w:ilvl="6" w:tplc="EC50797C" w:tentative="1">
      <w:start w:val="1"/>
      <w:numFmt w:val="decimal"/>
      <w:lvlText w:val="%7."/>
      <w:lvlJc w:val="left"/>
      <w:pPr>
        <w:tabs>
          <w:tab w:val="num" w:pos="5040"/>
        </w:tabs>
        <w:ind w:left="5040" w:hanging="360"/>
      </w:pPr>
    </w:lvl>
    <w:lvl w:ilvl="7" w:tplc="2A3EF102" w:tentative="1">
      <w:start w:val="1"/>
      <w:numFmt w:val="lowerLetter"/>
      <w:lvlText w:val="%8."/>
      <w:lvlJc w:val="left"/>
      <w:pPr>
        <w:tabs>
          <w:tab w:val="num" w:pos="5760"/>
        </w:tabs>
        <w:ind w:left="5760" w:hanging="360"/>
      </w:pPr>
    </w:lvl>
    <w:lvl w:ilvl="8" w:tplc="86F62704" w:tentative="1">
      <w:start w:val="1"/>
      <w:numFmt w:val="lowerRoman"/>
      <w:lvlText w:val="%9."/>
      <w:lvlJc w:val="right"/>
      <w:pPr>
        <w:tabs>
          <w:tab w:val="num" w:pos="6480"/>
        </w:tabs>
        <w:ind w:left="6480" w:hanging="180"/>
      </w:pPr>
    </w:lvl>
  </w:abstractNum>
  <w:abstractNum w:abstractNumId="409" w15:restartNumberingAfterBreak="0">
    <w:nsid w:val="736B0F85"/>
    <w:multiLevelType w:val="hybridMultilevel"/>
    <w:tmpl w:val="EF6A7328"/>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0" w15:restartNumberingAfterBreak="0">
    <w:nsid w:val="73862487"/>
    <w:multiLevelType w:val="hybridMultilevel"/>
    <w:tmpl w:val="C3C86AB4"/>
    <w:lvl w:ilvl="0" w:tplc="04090017">
      <w:start w:val="1"/>
      <w:numFmt w:val="lowerLetter"/>
      <w:lvlText w:val="%1)"/>
      <w:lvlJc w:val="left"/>
      <w:pPr>
        <w:ind w:left="360" w:hanging="360"/>
      </w:p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73A95901"/>
    <w:multiLevelType w:val="multilevel"/>
    <w:tmpl w:val="1EEC9102"/>
    <w:lvl w:ilvl="0">
      <w:start w:val="1"/>
      <w:numFmt w:val="decimal"/>
      <w:lvlText w:val="(%1)"/>
      <w:lvlJc w:val="left"/>
      <w:pPr>
        <w:ind w:left="720" w:hanging="540"/>
      </w:pPr>
      <w:rPr>
        <w:rFonts w:ascii="Times New Roman" w:eastAsia="Times New Roman" w:hAnsi="Times New Roman" w:cs="Times New Roman"/>
        <w:b w:val="0"/>
        <w:i w:val="0"/>
        <w:sz w:val="24"/>
      </w:rPr>
    </w:lvl>
    <w:lvl w:ilvl="1">
      <w:start w:val="1"/>
      <w:numFmt w:val="decimal"/>
      <w:lvlText w:val="(%2)"/>
      <w:lvlJc w:val="left"/>
      <w:pPr>
        <w:ind w:left="1260" w:hanging="360"/>
      </w:pPr>
      <w:rPr>
        <w:rFonts w:hint="default"/>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12" w15:restartNumberingAfterBreak="0">
    <w:nsid w:val="73AF3F30"/>
    <w:multiLevelType w:val="hybridMultilevel"/>
    <w:tmpl w:val="285EE534"/>
    <w:lvl w:ilvl="0" w:tplc="17C8DC4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3" w15:restartNumberingAfterBreak="0">
    <w:nsid w:val="73E02A3D"/>
    <w:multiLevelType w:val="hybridMultilevel"/>
    <w:tmpl w:val="09044196"/>
    <w:lvl w:ilvl="0" w:tplc="04090001">
      <w:numFmt w:val="decimal"/>
      <w:lvlText w:val=""/>
      <w:lvlJc w:val="left"/>
      <w:pPr>
        <w:ind w:left="720" w:hanging="360"/>
      </w:pPr>
      <w:rPr>
        <w:rFonts w:ascii="Symbol" w:hAnsi="Symbol" w:hint="default"/>
      </w:rPr>
    </w:lvl>
    <w:lvl w:ilvl="1" w:tplc="ADB48074">
      <w:start w:val="1"/>
      <w:numFmt w:val="decimal"/>
      <w:lvlText w:val="%2."/>
      <w:lvlJc w:val="left"/>
      <w:pPr>
        <w:ind w:left="1800" w:hanging="720"/>
      </w:pPr>
      <w:rPr>
        <w:color w:val="auto"/>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4" w15:restartNumberingAfterBreak="0">
    <w:nsid w:val="74077A4B"/>
    <w:multiLevelType w:val="hybridMultilevel"/>
    <w:tmpl w:val="B330AEB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5" w15:restartNumberingAfterBreak="0">
    <w:nsid w:val="74204EA9"/>
    <w:multiLevelType w:val="multilevel"/>
    <w:tmpl w:val="1F707A6C"/>
    <w:lvl w:ilvl="0">
      <w:start w:val="2"/>
      <w:numFmt w:val="lowerLetter"/>
      <w:lvlText w:val="(%1)"/>
      <w:lvlJc w:val="left"/>
      <w:pPr>
        <w:tabs>
          <w:tab w:val="num" w:pos="0"/>
        </w:tabs>
        <w:ind w:left="0" w:hanging="720"/>
      </w:pPr>
      <w:rPr>
        <w:rFonts w:hint="default"/>
      </w:rPr>
    </w:lvl>
    <w:lvl w:ilvl="1">
      <w:start w:val="2"/>
      <w:numFmt w:val="lowerLetter"/>
      <w:lvlText w:val="(%2)"/>
      <w:lvlJc w:val="left"/>
      <w:pPr>
        <w:tabs>
          <w:tab w:val="num" w:pos="720"/>
        </w:tabs>
        <w:ind w:left="720" w:hanging="720"/>
      </w:pPr>
      <w:rPr>
        <w:rFonts w:hint="default"/>
      </w:rPr>
    </w:lvl>
    <w:lvl w:ilvl="2">
      <w:start w:val="1"/>
      <w:numFmt w:val="decimal"/>
      <w:lvlText w:val="(%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right"/>
      <w:pPr>
        <w:tabs>
          <w:tab w:val="num" w:pos="2880"/>
        </w:tabs>
        <w:ind w:left="2880" w:hanging="720"/>
      </w:pPr>
      <w:rPr>
        <w:rFonts w:hint="default"/>
      </w:rPr>
    </w:lvl>
    <w:lvl w:ilvl="5">
      <w:start w:val="1"/>
      <w:numFmt w:val="lowerRoman"/>
      <w:lvlText w:val="(%6)"/>
      <w:lvlJc w:val="righ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416" w15:restartNumberingAfterBreak="0">
    <w:nsid w:val="74343304"/>
    <w:multiLevelType w:val="hybridMultilevel"/>
    <w:tmpl w:val="8F32FFDC"/>
    <w:lvl w:ilvl="0" w:tplc="C9BCB580">
      <w:start w:val="1"/>
      <w:numFmt w:val="decimal"/>
      <w:lvlText w:val="(%1)"/>
      <w:lvlJc w:val="left"/>
      <w:pPr>
        <w:ind w:left="720" w:hanging="360"/>
      </w:pPr>
      <w:rPr>
        <w:rFonts w:hint="default"/>
      </w:rPr>
    </w:lvl>
    <w:lvl w:ilvl="1" w:tplc="73B0C17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74A76D1F"/>
    <w:multiLevelType w:val="hybridMultilevel"/>
    <w:tmpl w:val="A462D1F4"/>
    <w:lvl w:ilvl="0" w:tplc="C9BCB580">
      <w:start w:val="1"/>
      <w:numFmt w:val="lowerLetter"/>
      <w:lvlText w:val="(%1)"/>
      <w:lvlJc w:val="left"/>
      <w:pPr>
        <w:ind w:left="1620" w:hanging="360"/>
      </w:pPr>
      <w:rPr>
        <w:rFonts w:hint="default"/>
      </w:rPr>
    </w:lvl>
    <w:lvl w:ilvl="1" w:tplc="04090019">
      <w:start w:val="1"/>
      <w:numFmt w:val="lowerLetter"/>
      <w:lvlText w:val="(%2)"/>
      <w:lvlJc w:val="left"/>
      <w:pPr>
        <w:ind w:left="2340" w:hanging="360"/>
      </w:pPr>
      <w:rPr>
        <w:rFonts w:hint="default"/>
      </w:r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8" w15:restartNumberingAfterBreak="0">
    <w:nsid w:val="7640492D"/>
    <w:multiLevelType w:val="hybridMultilevel"/>
    <w:tmpl w:val="7BF6326E"/>
    <w:lvl w:ilvl="0" w:tplc="17C8D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665648D"/>
    <w:multiLevelType w:val="hybridMultilevel"/>
    <w:tmpl w:val="6C3CD636"/>
    <w:lvl w:ilvl="0" w:tplc="88A6DAD2">
      <w:start w:val="12"/>
      <w:numFmt w:val="lowerLetter"/>
      <w:lvlText w:val="(%1)"/>
      <w:lvlJc w:val="left"/>
      <w:pPr>
        <w:ind w:left="1260" w:hanging="360"/>
      </w:pPr>
      <w:rPr>
        <w:rFonts w:eastAsia="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66F5288"/>
    <w:multiLevelType w:val="multilevel"/>
    <w:tmpl w:val="CBA407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1" w15:restartNumberingAfterBreak="0">
    <w:nsid w:val="76EE5001"/>
    <w:multiLevelType w:val="hybridMultilevel"/>
    <w:tmpl w:val="F2FC37E2"/>
    <w:lvl w:ilvl="0" w:tplc="C9BCB580">
      <w:start w:val="1"/>
      <w:numFmt w:val="decimal"/>
      <w:lvlText w:val="(%1)"/>
      <w:lvlJc w:val="left"/>
      <w:pPr>
        <w:tabs>
          <w:tab w:val="num" w:pos="360"/>
        </w:tabs>
        <w:ind w:left="360" w:hanging="360"/>
      </w:pPr>
      <w:rPr>
        <w:rFonts w:ascii="Times New Roman" w:eastAsia="Times New Roman" w:hAnsi="Times New Roman" w:cs="Times New Roman"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2" w15:restartNumberingAfterBreak="0">
    <w:nsid w:val="77247FB9"/>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23" w15:restartNumberingAfterBreak="0">
    <w:nsid w:val="772A5BC7"/>
    <w:multiLevelType w:val="hybridMultilevel"/>
    <w:tmpl w:val="5DCCD58A"/>
    <w:lvl w:ilvl="0" w:tplc="0409001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4" w15:restartNumberingAfterBreak="0">
    <w:nsid w:val="787E591E"/>
    <w:multiLevelType w:val="multilevel"/>
    <w:tmpl w:val="1068C17C"/>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25" w15:restartNumberingAfterBreak="0">
    <w:nsid w:val="78A11211"/>
    <w:multiLevelType w:val="hybridMultilevel"/>
    <w:tmpl w:val="57FA7AE4"/>
    <w:lvl w:ilvl="0" w:tplc="0DC8235A">
      <w:start w:val="1"/>
      <w:numFmt w:val="decimal"/>
      <w:lvlText w:val="(%1)"/>
      <w:lvlJc w:val="left"/>
      <w:pPr>
        <w:ind w:left="2160" w:hanging="720"/>
      </w:pPr>
      <w:rPr>
        <w:rFonts w:ascii="Times New Roman" w:eastAsia="Times New Roman" w:hAnsi="Times New Roman" w:cs="Times New Roman"/>
        <w:sz w:val="24"/>
        <w:szCs w:val="24"/>
      </w:rPr>
    </w:lvl>
    <w:lvl w:ilvl="1" w:tplc="E07EE426">
      <w:start w:val="1"/>
      <w:numFmt w:val="lowerLetter"/>
      <w:lvlText w:val="(%2)"/>
      <w:lvlJc w:val="left"/>
      <w:pPr>
        <w:ind w:left="2520" w:hanging="360"/>
      </w:pPr>
      <w:rPr>
        <w:rFonts w:ascii="Times New Roman" w:eastAsia="Times New Roman" w:hAnsi="Times New Roman" w:cs="Times New Roman"/>
      </w:rPr>
    </w:lvl>
    <w:lvl w:ilvl="2" w:tplc="FFFFFFFF">
      <w:start w:val="1"/>
      <w:numFmt w:val="lowerRoman"/>
      <w:lvlText w:val="%3."/>
      <w:lvlJc w:val="left"/>
      <w:pPr>
        <w:ind w:left="3780" w:hanging="720"/>
      </w:pPr>
      <w:rPr>
        <w:rFonts w:ascii="Times New Roman" w:hAnsi="Times New Roman" w:cs="Times New Roman" w:hint="default"/>
        <w:sz w:val="24"/>
        <w:szCs w:val="24"/>
      </w:rPr>
    </w:lvl>
    <w:lvl w:ilvl="3" w:tplc="E2F454E4">
      <w:start w:val="1"/>
      <w:numFmt w:val="lowerLetter"/>
      <w:lvlText w:val="(%4)"/>
      <w:lvlJc w:val="left"/>
      <w:pPr>
        <w:ind w:left="3960" w:hanging="360"/>
      </w:pPr>
      <w:rPr>
        <w:rFonts w:ascii="Times New Roman" w:eastAsia="Times New Roman" w:hAnsi="Times New Roman" w:cs="Times New Roman"/>
      </w:rPr>
    </w:lvl>
    <w:lvl w:ilvl="4" w:tplc="21CCFD7E">
      <w:start w:val="1"/>
      <w:numFmt w:val="decimal"/>
      <w:lvlText w:val="%5."/>
      <w:lvlJc w:val="left"/>
      <w:pPr>
        <w:ind w:left="1080" w:hanging="360"/>
      </w:pPr>
      <w:rPr>
        <w:b w:val="0"/>
        <w:bCs/>
        <w:sz w:val="24"/>
        <w:szCs w:val="24"/>
      </w:rPr>
    </w:lvl>
    <w:lvl w:ilvl="5" w:tplc="7A7C60B8">
      <w:start w:val="1"/>
      <w:numFmt w:val="upperLetter"/>
      <w:lvlText w:val="(%6)"/>
      <w:lvlJc w:val="left"/>
      <w:pPr>
        <w:ind w:left="5580" w:hanging="360"/>
      </w:pPr>
      <w:rPr>
        <w:rFonts w:ascii="Times New Roman" w:hAnsi="Times New Roman" w:cs="Times New Roman" w:hint="default"/>
        <w:sz w:val="24"/>
      </w:r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426" w15:restartNumberingAfterBreak="0">
    <w:nsid w:val="78C85599"/>
    <w:multiLevelType w:val="hybridMultilevel"/>
    <w:tmpl w:val="77D47534"/>
    <w:lvl w:ilvl="0" w:tplc="492EB73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7" w15:restartNumberingAfterBreak="0">
    <w:nsid w:val="79BE4372"/>
    <w:multiLevelType w:val="hybridMultilevel"/>
    <w:tmpl w:val="1F7AF9FC"/>
    <w:lvl w:ilvl="0" w:tplc="0406C074">
      <w:start w:val="2"/>
      <w:numFmt w:val="lowerLetter"/>
      <w:lvlText w:val="(%1)"/>
      <w:lvlJc w:val="left"/>
      <w:pPr>
        <w:ind w:left="21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9CB3606"/>
    <w:multiLevelType w:val="multilevel"/>
    <w:tmpl w:val="A17EE74E"/>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29" w15:restartNumberingAfterBreak="0">
    <w:nsid w:val="79E04C03"/>
    <w:multiLevelType w:val="multilevel"/>
    <w:tmpl w:val="7C3A3E76"/>
    <w:lvl w:ilvl="0">
      <w:start w:val="1"/>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color w:val="000000" w:themeColor="text1"/>
        <w:sz w:val="24"/>
      </w:rPr>
    </w:lvl>
    <w:lvl w:ilvl="3">
      <w:start w:val="1"/>
      <w:numFmt w:val="decimal"/>
      <w:lvlText w:val="(%4)"/>
      <w:lvlJc w:val="left"/>
      <w:pPr>
        <w:ind w:left="2880" w:hanging="54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30" w15:restartNumberingAfterBreak="0">
    <w:nsid w:val="79EC1B2C"/>
    <w:multiLevelType w:val="multilevel"/>
    <w:tmpl w:val="900804C4"/>
    <w:lvl w:ilvl="0">
      <w:start w:val="1"/>
      <w:numFmt w:val="decimal"/>
      <w:lvlText w:val="4.1.%1"/>
      <w:lvlJc w:val="left"/>
      <w:pPr>
        <w:ind w:left="540" w:hanging="360"/>
      </w:pPr>
      <w:rPr>
        <w:rFonts w:hint="default"/>
        <w:b/>
        <w:bCs/>
        <w:i w:val="0"/>
        <w:sz w:val="24"/>
      </w:rPr>
    </w:lvl>
    <w:lvl w:ilvl="1">
      <w:start w:val="1"/>
      <w:numFmt w:val="lowerLetter"/>
      <w:lvlText w:val="(%2)"/>
      <w:lvlJc w:val="left"/>
      <w:pPr>
        <w:ind w:left="1440" w:hanging="540"/>
      </w:pPr>
      <w:rPr>
        <w:rFonts w:ascii="Times New Roman" w:hAnsi="Times New Roman" w:hint="default"/>
        <w:b w:val="0"/>
        <w:i w:val="0"/>
        <w:sz w:val="24"/>
      </w:rPr>
    </w:lvl>
    <w:lvl w:ilvl="2">
      <w:start w:val="1"/>
      <w:numFmt w:val="lowerRoman"/>
      <w:lvlText w:val="(%3)"/>
      <w:lvlJc w:val="right"/>
      <w:pPr>
        <w:ind w:left="2160" w:hanging="540"/>
      </w:pPr>
      <w:rPr>
        <w:rFonts w:ascii="Times New Roman" w:hAnsi="Times New Roman" w:hint="default"/>
        <w:b w:val="0"/>
        <w:i w:val="0"/>
        <w:sz w:val="24"/>
      </w:rPr>
    </w:lvl>
    <w:lvl w:ilvl="3">
      <w:start w:val="1"/>
      <w:numFmt w:val="decimal"/>
      <w:lvlText w:val="(%4)"/>
      <w:lvlJc w:val="left"/>
      <w:pPr>
        <w:ind w:left="2880" w:hanging="540"/>
      </w:pPr>
      <w:rPr>
        <w:rFonts w:ascii="Times New Roman" w:hAnsi="Times New Roman" w:hint="default"/>
        <w:b w:val="0"/>
        <w:i w:val="0"/>
        <w:color w:val="auto"/>
        <w:sz w:val="24"/>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31" w15:restartNumberingAfterBreak="0">
    <w:nsid w:val="7A1D0A4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2" w15:restartNumberingAfterBreak="0">
    <w:nsid w:val="7A776EC2"/>
    <w:multiLevelType w:val="hybridMultilevel"/>
    <w:tmpl w:val="B74A1714"/>
    <w:lvl w:ilvl="0" w:tplc="D2C45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7AFD1139"/>
    <w:multiLevelType w:val="hybridMultilevel"/>
    <w:tmpl w:val="D576B4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4" w15:restartNumberingAfterBreak="0">
    <w:nsid w:val="7B26306D"/>
    <w:multiLevelType w:val="hybridMultilevel"/>
    <w:tmpl w:val="F33CE7CA"/>
    <w:lvl w:ilvl="0" w:tplc="7FE60B22">
      <w:start w:val="1"/>
      <w:numFmt w:val="decimal"/>
      <w:lvlText w:val="(%1)"/>
      <w:lvlJc w:val="left"/>
      <w:pPr>
        <w:tabs>
          <w:tab w:val="num" w:pos="1440"/>
        </w:tabs>
        <w:ind w:left="1440" w:hanging="360"/>
      </w:pPr>
      <w:rPr>
        <w:rFonts w:hint="default"/>
      </w:rPr>
    </w:lvl>
    <w:lvl w:ilvl="1" w:tplc="691E09BE">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5" w15:restartNumberingAfterBreak="0">
    <w:nsid w:val="7C145CFE"/>
    <w:multiLevelType w:val="hybridMultilevel"/>
    <w:tmpl w:val="B14EA9CA"/>
    <w:lvl w:ilvl="0" w:tplc="04090005">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6" w15:restartNumberingAfterBreak="0">
    <w:nsid w:val="7C6B5C41"/>
    <w:multiLevelType w:val="hybridMultilevel"/>
    <w:tmpl w:val="4532F4D8"/>
    <w:lvl w:ilvl="0" w:tplc="3EF46A6C">
      <w:start w:val="1"/>
      <w:numFmt w:val="lowerLetter"/>
      <w:lvlText w:val="(%1)"/>
      <w:lvlJc w:val="left"/>
      <w:pPr>
        <w:tabs>
          <w:tab w:val="num" w:pos="720"/>
        </w:tabs>
        <w:ind w:left="720" w:hanging="360"/>
      </w:pPr>
      <w:rPr>
        <w:rFonts w:hint="default"/>
      </w:rPr>
    </w:lvl>
    <w:lvl w:ilvl="1" w:tplc="16CE3870" w:tentative="1">
      <w:start w:val="1"/>
      <w:numFmt w:val="lowerLetter"/>
      <w:lvlText w:val="%2."/>
      <w:lvlJc w:val="left"/>
      <w:pPr>
        <w:tabs>
          <w:tab w:val="num" w:pos="1440"/>
        </w:tabs>
        <w:ind w:left="1440" w:hanging="360"/>
      </w:pPr>
    </w:lvl>
    <w:lvl w:ilvl="2" w:tplc="69B6FA2C" w:tentative="1">
      <w:start w:val="1"/>
      <w:numFmt w:val="lowerRoman"/>
      <w:lvlText w:val="%3."/>
      <w:lvlJc w:val="right"/>
      <w:pPr>
        <w:tabs>
          <w:tab w:val="num" w:pos="2160"/>
        </w:tabs>
        <w:ind w:left="2160" w:hanging="180"/>
      </w:pPr>
    </w:lvl>
    <w:lvl w:ilvl="3" w:tplc="1CD67D58" w:tentative="1">
      <w:start w:val="1"/>
      <w:numFmt w:val="decimal"/>
      <w:lvlText w:val="%4."/>
      <w:lvlJc w:val="left"/>
      <w:pPr>
        <w:tabs>
          <w:tab w:val="num" w:pos="2880"/>
        </w:tabs>
        <w:ind w:left="2880" w:hanging="360"/>
      </w:pPr>
    </w:lvl>
    <w:lvl w:ilvl="4" w:tplc="0EDC6038" w:tentative="1">
      <w:start w:val="1"/>
      <w:numFmt w:val="lowerLetter"/>
      <w:lvlText w:val="%5."/>
      <w:lvlJc w:val="left"/>
      <w:pPr>
        <w:tabs>
          <w:tab w:val="num" w:pos="3600"/>
        </w:tabs>
        <w:ind w:left="3600" w:hanging="360"/>
      </w:pPr>
    </w:lvl>
    <w:lvl w:ilvl="5" w:tplc="BBCAA5FE" w:tentative="1">
      <w:start w:val="1"/>
      <w:numFmt w:val="lowerRoman"/>
      <w:lvlText w:val="%6."/>
      <w:lvlJc w:val="right"/>
      <w:pPr>
        <w:tabs>
          <w:tab w:val="num" w:pos="4320"/>
        </w:tabs>
        <w:ind w:left="4320" w:hanging="180"/>
      </w:pPr>
    </w:lvl>
    <w:lvl w:ilvl="6" w:tplc="A4A4971A" w:tentative="1">
      <w:start w:val="1"/>
      <w:numFmt w:val="decimal"/>
      <w:lvlText w:val="%7."/>
      <w:lvlJc w:val="left"/>
      <w:pPr>
        <w:tabs>
          <w:tab w:val="num" w:pos="5040"/>
        </w:tabs>
        <w:ind w:left="5040" w:hanging="360"/>
      </w:pPr>
    </w:lvl>
    <w:lvl w:ilvl="7" w:tplc="2A600B6A" w:tentative="1">
      <w:start w:val="1"/>
      <w:numFmt w:val="lowerLetter"/>
      <w:lvlText w:val="%8."/>
      <w:lvlJc w:val="left"/>
      <w:pPr>
        <w:tabs>
          <w:tab w:val="num" w:pos="5760"/>
        </w:tabs>
        <w:ind w:left="5760" w:hanging="360"/>
      </w:pPr>
    </w:lvl>
    <w:lvl w:ilvl="8" w:tplc="22C2B13C" w:tentative="1">
      <w:start w:val="1"/>
      <w:numFmt w:val="lowerRoman"/>
      <w:lvlText w:val="%9."/>
      <w:lvlJc w:val="right"/>
      <w:pPr>
        <w:tabs>
          <w:tab w:val="num" w:pos="6480"/>
        </w:tabs>
        <w:ind w:left="6480" w:hanging="180"/>
      </w:pPr>
    </w:lvl>
  </w:abstractNum>
  <w:abstractNum w:abstractNumId="437" w15:restartNumberingAfterBreak="0">
    <w:nsid w:val="7CE00408"/>
    <w:multiLevelType w:val="hybridMultilevel"/>
    <w:tmpl w:val="6BECAAA6"/>
    <w:lvl w:ilvl="0" w:tplc="C9BCB5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8" w15:restartNumberingAfterBreak="0">
    <w:nsid w:val="7CF23691"/>
    <w:multiLevelType w:val="multilevel"/>
    <w:tmpl w:val="35266514"/>
    <w:lvl w:ilvl="0">
      <w:start w:val="4"/>
      <w:numFmt w:val="decimal"/>
      <w:lvlText w:val="(%1)"/>
      <w:lvlJc w:val="left"/>
      <w:pPr>
        <w:ind w:left="720" w:hanging="540"/>
      </w:pPr>
      <w:rPr>
        <w:rFonts w:ascii="Times New Roman" w:hAnsi="Times New Roman" w:hint="default"/>
        <w:b w:val="0"/>
        <w:i w:val="0"/>
        <w:sz w:val="24"/>
      </w:rPr>
    </w:lvl>
    <w:lvl w:ilvl="1">
      <w:start w:val="1"/>
      <w:numFmt w:val="lowerLetter"/>
      <w:lvlText w:val="(%2)"/>
      <w:lvlJc w:val="left"/>
      <w:pPr>
        <w:ind w:left="1260" w:hanging="540"/>
      </w:pPr>
      <w:rPr>
        <w:rFonts w:ascii="Times New Roman" w:hAnsi="Times New Roman" w:hint="default"/>
        <w:b/>
        <w:i w:val="0"/>
        <w:sz w:val="24"/>
        <w:szCs w:val="24"/>
        <w:vertAlign w:val="baseline"/>
      </w:rPr>
    </w:lvl>
    <w:lvl w:ilvl="2">
      <w:start w:val="1"/>
      <w:numFmt w:val="lowerRoman"/>
      <w:lvlText w:val="(%3)"/>
      <w:lvlJc w:val="right"/>
      <w:pPr>
        <w:ind w:left="2160" w:hanging="540"/>
      </w:pPr>
      <w:rPr>
        <w:rFonts w:ascii="Times New Roman" w:hAnsi="Times New Roman" w:hint="default"/>
        <w:b w:val="0"/>
        <w:i w:val="0"/>
        <w:sz w:val="24"/>
      </w:rPr>
    </w:lvl>
    <w:lvl w:ilvl="3">
      <w:start w:val="3"/>
      <w:numFmt w:val="decimal"/>
      <w:lvlText w:val="(%4)"/>
      <w:lvlJc w:val="left"/>
      <w:pPr>
        <w:ind w:left="720" w:hanging="540"/>
      </w:pPr>
      <w:rPr>
        <w:rFonts w:ascii="Times New Roman" w:hAnsi="Times New Roman" w:hint="default"/>
        <w:b w:val="0"/>
        <w:i w:val="0"/>
        <w:color w:val="auto"/>
        <w:sz w:val="24"/>
      </w:rPr>
    </w:lvl>
    <w:lvl w:ilvl="4">
      <w:start w:val="1"/>
      <w:numFmt w:val="decimal"/>
      <w:lvlText w:val="(%5)"/>
      <w:lvlJc w:val="left"/>
      <w:pPr>
        <w:ind w:left="810" w:hanging="360"/>
      </w:pPr>
      <w:rPr>
        <w:rFonts w:hint="default"/>
        <w:b w:val="0"/>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439" w15:restartNumberingAfterBreak="0">
    <w:nsid w:val="7D1D0BB9"/>
    <w:multiLevelType w:val="hybridMultilevel"/>
    <w:tmpl w:val="CD4C61B8"/>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D2124F1"/>
    <w:multiLevelType w:val="multilevel"/>
    <w:tmpl w:val="14382080"/>
    <w:styleLink w:val="Style1"/>
    <w:lvl w:ilvl="0">
      <w:start w:val="1"/>
      <w:numFmt w:val="decimal"/>
      <w:lvlText w:val="(%1)"/>
      <w:lvlJc w:val="left"/>
      <w:pPr>
        <w:ind w:left="36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1" w15:restartNumberingAfterBreak="0">
    <w:nsid w:val="7DB4325D"/>
    <w:multiLevelType w:val="multilevel"/>
    <w:tmpl w:val="8C7CD44E"/>
    <w:lvl w:ilvl="0">
      <w:start w:val="1"/>
      <w:numFmt w:val="decimal"/>
      <w:lvlText w:val="(%1)"/>
      <w:lvlJc w:val="left"/>
      <w:pPr>
        <w:ind w:left="1253" w:hanging="540"/>
      </w:pPr>
      <w:rPr>
        <w:rFonts w:ascii="Times New Roman" w:eastAsia="Times New Roman" w:hAnsi="Times New Roman" w:cs="Times New Roman" w:hint="default"/>
        <w:b w:val="0"/>
        <w:i w:val="0"/>
        <w:sz w:val="24"/>
      </w:rPr>
    </w:lvl>
    <w:lvl w:ilvl="1">
      <w:start w:val="1"/>
      <w:numFmt w:val="lowerLetter"/>
      <w:lvlText w:val="(%2)"/>
      <w:lvlJc w:val="left"/>
      <w:pPr>
        <w:ind w:left="1973" w:hanging="540"/>
      </w:pPr>
      <w:rPr>
        <w:rFonts w:ascii="Times New Roman" w:hAnsi="Times New Roman" w:hint="default"/>
        <w:b w:val="0"/>
        <w:i w:val="0"/>
        <w:sz w:val="24"/>
      </w:rPr>
    </w:lvl>
    <w:lvl w:ilvl="2">
      <w:start w:val="1"/>
      <w:numFmt w:val="lowerRoman"/>
      <w:lvlText w:val="(%3)"/>
      <w:lvlJc w:val="right"/>
      <w:pPr>
        <w:ind w:left="2693" w:hanging="540"/>
      </w:pPr>
      <w:rPr>
        <w:rFonts w:ascii="Times New Roman" w:hAnsi="Times New Roman" w:hint="default"/>
        <w:b w:val="0"/>
        <w:i w:val="0"/>
        <w:sz w:val="24"/>
      </w:rPr>
    </w:lvl>
    <w:lvl w:ilvl="3">
      <w:start w:val="1"/>
      <w:numFmt w:val="decimal"/>
      <w:lvlText w:val="%4."/>
      <w:lvlJc w:val="left"/>
      <w:pPr>
        <w:ind w:left="3233" w:hanging="360"/>
      </w:pPr>
      <w:rPr>
        <w:rFonts w:hint="default"/>
      </w:rPr>
    </w:lvl>
    <w:lvl w:ilvl="4">
      <w:start w:val="1"/>
      <w:numFmt w:val="lowerLetter"/>
      <w:lvlText w:val="%5."/>
      <w:lvlJc w:val="left"/>
      <w:pPr>
        <w:ind w:left="3953" w:hanging="360"/>
      </w:pPr>
      <w:rPr>
        <w:rFonts w:hint="default"/>
      </w:rPr>
    </w:lvl>
    <w:lvl w:ilvl="5">
      <w:start w:val="1"/>
      <w:numFmt w:val="lowerRoman"/>
      <w:lvlText w:val="%6."/>
      <w:lvlJc w:val="right"/>
      <w:pPr>
        <w:ind w:left="4673" w:hanging="180"/>
      </w:pPr>
      <w:rPr>
        <w:rFonts w:hint="default"/>
      </w:rPr>
    </w:lvl>
    <w:lvl w:ilvl="6">
      <w:start w:val="1"/>
      <w:numFmt w:val="decimal"/>
      <w:lvlText w:val="%7."/>
      <w:lvlJc w:val="left"/>
      <w:pPr>
        <w:ind w:left="5393" w:hanging="360"/>
      </w:pPr>
      <w:rPr>
        <w:rFonts w:hint="default"/>
      </w:rPr>
    </w:lvl>
    <w:lvl w:ilvl="7">
      <w:start w:val="1"/>
      <w:numFmt w:val="lowerLetter"/>
      <w:lvlText w:val="%8."/>
      <w:lvlJc w:val="left"/>
      <w:pPr>
        <w:ind w:left="6113" w:hanging="360"/>
      </w:pPr>
      <w:rPr>
        <w:rFonts w:hint="default"/>
      </w:rPr>
    </w:lvl>
    <w:lvl w:ilvl="8">
      <w:start w:val="1"/>
      <w:numFmt w:val="lowerRoman"/>
      <w:lvlText w:val="%9."/>
      <w:lvlJc w:val="right"/>
      <w:pPr>
        <w:ind w:left="6833" w:hanging="180"/>
      </w:pPr>
      <w:rPr>
        <w:rFonts w:hint="default"/>
      </w:rPr>
    </w:lvl>
  </w:abstractNum>
  <w:abstractNum w:abstractNumId="442" w15:restartNumberingAfterBreak="0">
    <w:nsid w:val="7DD9395B"/>
    <w:multiLevelType w:val="hybridMultilevel"/>
    <w:tmpl w:val="0E205BE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3" w15:restartNumberingAfterBreak="0">
    <w:nsid w:val="7FB47BC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4" w15:restartNumberingAfterBreak="0">
    <w:nsid w:val="7FF102BC"/>
    <w:multiLevelType w:val="multilevel"/>
    <w:tmpl w:val="896EE8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34690233">
    <w:abstractNumId w:val="232"/>
  </w:num>
  <w:num w:numId="2" w16cid:durableId="1210654262">
    <w:abstractNumId w:val="28"/>
  </w:num>
  <w:num w:numId="3" w16cid:durableId="1367028375">
    <w:abstractNumId w:val="399"/>
  </w:num>
  <w:num w:numId="4" w16cid:durableId="1682776573">
    <w:abstractNumId w:val="211"/>
  </w:num>
  <w:num w:numId="5" w16cid:durableId="1675764443">
    <w:abstractNumId w:val="142"/>
  </w:num>
  <w:num w:numId="6" w16cid:durableId="849106618">
    <w:abstractNumId w:val="270"/>
  </w:num>
  <w:num w:numId="7" w16cid:durableId="1347294402">
    <w:abstractNumId w:val="293"/>
  </w:num>
  <w:num w:numId="8" w16cid:durableId="441147462">
    <w:abstractNumId w:val="317"/>
  </w:num>
  <w:num w:numId="9" w16cid:durableId="988167925">
    <w:abstractNumId w:val="15"/>
  </w:num>
  <w:num w:numId="10" w16cid:durableId="609969340">
    <w:abstractNumId w:val="121"/>
  </w:num>
  <w:num w:numId="11" w16cid:durableId="127625719">
    <w:abstractNumId w:val="252"/>
  </w:num>
  <w:num w:numId="12" w16cid:durableId="519393219">
    <w:abstractNumId w:val="225"/>
  </w:num>
  <w:num w:numId="13" w16cid:durableId="1952200279">
    <w:abstractNumId w:val="243"/>
  </w:num>
  <w:num w:numId="14" w16cid:durableId="2087534362">
    <w:abstractNumId w:val="128"/>
  </w:num>
  <w:num w:numId="15" w16cid:durableId="435636137">
    <w:abstractNumId w:val="436"/>
  </w:num>
  <w:num w:numId="16" w16cid:durableId="1492986788">
    <w:abstractNumId w:val="90"/>
  </w:num>
  <w:num w:numId="17" w16cid:durableId="485980167">
    <w:abstractNumId w:val="344"/>
  </w:num>
  <w:num w:numId="18" w16cid:durableId="210728968">
    <w:abstractNumId w:val="331"/>
  </w:num>
  <w:num w:numId="19" w16cid:durableId="1255044409">
    <w:abstractNumId w:val="169"/>
  </w:num>
  <w:num w:numId="20" w16cid:durableId="2136943104">
    <w:abstractNumId w:val="281"/>
  </w:num>
  <w:num w:numId="21" w16cid:durableId="2022538147">
    <w:abstractNumId w:val="374"/>
  </w:num>
  <w:num w:numId="22" w16cid:durableId="479737847">
    <w:abstractNumId w:val="72"/>
  </w:num>
  <w:num w:numId="23" w16cid:durableId="414784049">
    <w:abstractNumId w:val="116"/>
  </w:num>
  <w:num w:numId="24" w16cid:durableId="1893534732">
    <w:abstractNumId w:val="207"/>
  </w:num>
  <w:num w:numId="25" w16cid:durableId="915360042">
    <w:abstractNumId w:val="198"/>
  </w:num>
  <w:num w:numId="26" w16cid:durableId="1255239787">
    <w:abstractNumId w:val="368"/>
  </w:num>
  <w:num w:numId="27" w16cid:durableId="1677073693">
    <w:abstractNumId w:val="291"/>
  </w:num>
  <w:num w:numId="28" w16cid:durableId="1268349838">
    <w:abstractNumId w:val="59"/>
  </w:num>
  <w:num w:numId="29" w16cid:durableId="275405694">
    <w:abstractNumId w:val="417"/>
  </w:num>
  <w:num w:numId="30" w16cid:durableId="220748168">
    <w:abstractNumId w:val="227"/>
  </w:num>
  <w:num w:numId="31" w16cid:durableId="1306008991">
    <w:abstractNumId w:val="366"/>
  </w:num>
  <w:num w:numId="32" w16cid:durableId="350571639">
    <w:abstractNumId w:val="384"/>
  </w:num>
  <w:num w:numId="33" w16cid:durableId="153957992">
    <w:abstractNumId w:val="9"/>
  </w:num>
  <w:num w:numId="34" w16cid:durableId="405423736">
    <w:abstractNumId w:val="416"/>
  </w:num>
  <w:num w:numId="35" w16cid:durableId="1400667387">
    <w:abstractNumId w:val="98"/>
  </w:num>
  <w:num w:numId="36" w16cid:durableId="1731030699">
    <w:abstractNumId w:val="389"/>
  </w:num>
  <w:num w:numId="37" w16cid:durableId="97677917">
    <w:abstractNumId w:val="298"/>
  </w:num>
  <w:num w:numId="38" w16cid:durableId="67310822">
    <w:abstractNumId w:val="20"/>
  </w:num>
  <w:num w:numId="39" w16cid:durableId="848981937">
    <w:abstractNumId w:val="159"/>
  </w:num>
  <w:num w:numId="40" w16cid:durableId="1047951419">
    <w:abstractNumId w:val="122"/>
  </w:num>
  <w:num w:numId="41" w16cid:durableId="1992902353">
    <w:abstractNumId w:val="307"/>
  </w:num>
  <w:num w:numId="42" w16cid:durableId="1082527184">
    <w:abstractNumId w:val="422"/>
  </w:num>
  <w:num w:numId="43" w16cid:durableId="2115981238">
    <w:abstractNumId w:val="223"/>
  </w:num>
  <w:num w:numId="44" w16cid:durableId="788935158">
    <w:abstractNumId w:val="348"/>
  </w:num>
  <w:num w:numId="45" w16cid:durableId="1590038261">
    <w:abstractNumId w:val="52"/>
  </w:num>
  <w:num w:numId="46" w16cid:durableId="1909729834">
    <w:abstractNumId w:val="203"/>
  </w:num>
  <w:num w:numId="47" w16cid:durableId="12847641">
    <w:abstractNumId w:val="7"/>
  </w:num>
  <w:num w:numId="48" w16cid:durableId="1380520191">
    <w:abstractNumId w:val="6"/>
  </w:num>
  <w:num w:numId="49" w16cid:durableId="469322260">
    <w:abstractNumId w:val="5"/>
  </w:num>
  <w:num w:numId="50" w16cid:durableId="876427934">
    <w:abstractNumId w:val="4"/>
  </w:num>
  <w:num w:numId="51" w16cid:durableId="2032753575">
    <w:abstractNumId w:val="8"/>
  </w:num>
  <w:num w:numId="52" w16cid:durableId="1094352616">
    <w:abstractNumId w:val="3"/>
  </w:num>
  <w:num w:numId="53" w16cid:durableId="1310135258">
    <w:abstractNumId w:val="2"/>
  </w:num>
  <w:num w:numId="54" w16cid:durableId="522591802">
    <w:abstractNumId w:val="1"/>
  </w:num>
  <w:num w:numId="55" w16cid:durableId="1594047392">
    <w:abstractNumId w:val="0"/>
  </w:num>
  <w:num w:numId="56" w16cid:durableId="82728922">
    <w:abstractNumId w:val="92"/>
  </w:num>
  <w:num w:numId="57" w16cid:durableId="1029986690">
    <w:abstractNumId w:val="96"/>
  </w:num>
  <w:num w:numId="58" w16cid:durableId="1091049665">
    <w:abstractNumId w:val="182"/>
  </w:num>
  <w:num w:numId="59" w16cid:durableId="1038503821">
    <w:abstractNumId w:val="113"/>
  </w:num>
  <w:num w:numId="60" w16cid:durableId="1715883268">
    <w:abstractNumId w:val="135"/>
  </w:num>
  <w:num w:numId="61" w16cid:durableId="1836844707">
    <w:abstractNumId w:val="328"/>
  </w:num>
  <w:num w:numId="62" w16cid:durableId="995298584">
    <w:abstractNumId w:val="161"/>
  </w:num>
  <w:num w:numId="63" w16cid:durableId="156894092">
    <w:abstractNumId w:val="81"/>
  </w:num>
  <w:num w:numId="64" w16cid:durableId="1235702531">
    <w:abstractNumId w:val="97"/>
  </w:num>
  <w:num w:numId="65" w16cid:durableId="2111273794">
    <w:abstractNumId w:val="315"/>
  </w:num>
  <w:num w:numId="66" w16cid:durableId="1456826981">
    <w:abstractNumId w:val="428"/>
  </w:num>
  <w:num w:numId="67" w16cid:durableId="884372375">
    <w:abstractNumId w:val="322"/>
  </w:num>
  <w:num w:numId="68" w16cid:durableId="1169711089">
    <w:abstractNumId w:val="306"/>
  </w:num>
  <w:num w:numId="69" w16cid:durableId="86390005">
    <w:abstractNumId w:val="19"/>
  </w:num>
  <w:num w:numId="70" w16cid:durableId="501509386">
    <w:abstractNumId w:val="381"/>
  </w:num>
  <w:num w:numId="71" w16cid:durableId="275909002">
    <w:abstractNumId w:val="335"/>
  </w:num>
  <w:num w:numId="72" w16cid:durableId="1030716306">
    <w:abstractNumId w:val="343"/>
  </w:num>
  <w:num w:numId="73" w16cid:durableId="162748662">
    <w:abstractNumId w:val="26"/>
  </w:num>
  <w:num w:numId="74" w16cid:durableId="59985111">
    <w:abstractNumId w:val="141"/>
  </w:num>
  <w:num w:numId="75" w16cid:durableId="1344430540">
    <w:abstractNumId w:val="337"/>
  </w:num>
  <w:num w:numId="76" w16cid:durableId="1688365192">
    <w:abstractNumId w:val="12"/>
  </w:num>
  <w:num w:numId="77" w16cid:durableId="559246670">
    <w:abstractNumId w:val="21"/>
  </w:num>
  <w:num w:numId="78" w16cid:durableId="774138292">
    <w:abstractNumId w:val="290"/>
  </w:num>
  <w:num w:numId="79" w16cid:durableId="233048555">
    <w:abstractNumId w:val="189"/>
  </w:num>
  <w:num w:numId="80" w16cid:durableId="1958247210">
    <w:abstractNumId w:val="440"/>
  </w:num>
  <w:num w:numId="81" w16cid:durableId="1960917994">
    <w:abstractNumId w:val="282"/>
  </w:num>
  <w:num w:numId="82" w16cid:durableId="1651404677">
    <w:abstractNumId w:val="45"/>
  </w:num>
  <w:num w:numId="83" w16cid:durableId="1716200382">
    <w:abstractNumId w:val="333"/>
  </w:num>
  <w:num w:numId="84" w16cid:durableId="1248729533">
    <w:abstractNumId w:val="404"/>
  </w:num>
  <w:num w:numId="85" w16cid:durableId="827552406">
    <w:abstractNumId w:val="132"/>
  </w:num>
  <w:num w:numId="86" w16cid:durableId="1030029429">
    <w:abstractNumId w:val="403"/>
  </w:num>
  <w:num w:numId="87" w16cid:durableId="1392658229">
    <w:abstractNumId w:val="175"/>
  </w:num>
  <w:num w:numId="88" w16cid:durableId="1876191860">
    <w:abstractNumId w:val="95"/>
  </w:num>
  <w:num w:numId="89" w16cid:durableId="1564414972">
    <w:abstractNumId w:val="249"/>
  </w:num>
  <w:num w:numId="90" w16cid:durableId="502625990">
    <w:abstractNumId w:val="58"/>
  </w:num>
  <w:num w:numId="91" w16cid:durableId="306783831">
    <w:abstractNumId w:val="287"/>
  </w:num>
  <w:num w:numId="92" w16cid:durableId="1406144968">
    <w:abstractNumId w:val="200"/>
  </w:num>
  <w:num w:numId="93" w16cid:durableId="1667367281">
    <w:abstractNumId w:val="41"/>
  </w:num>
  <w:num w:numId="94" w16cid:durableId="930771060">
    <w:abstractNumId w:val="395"/>
  </w:num>
  <w:num w:numId="95" w16cid:durableId="1219124133">
    <w:abstractNumId w:val="229"/>
  </w:num>
  <w:num w:numId="96" w16cid:durableId="493646393">
    <w:abstractNumId w:val="194"/>
  </w:num>
  <w:num w:numId="97" w16cid:durableId="2080859309">
    <w:abstractNumId w:val="272"/>
  </w:num>
  <w:num w:numId="98" w16cid:durableId="73868096">
    <w:abstractNumId w:val="423"/>
  </w:num>
  <w:num w:numId="99" w16cid:durableId="711617055">
    <w:abstractNumId w:val="146"/>
  </w:num>
  <w:num w:numId="100" w16cid:durableId="1506246641">
    <w:abstractNumId w:val="105"/>
  </w:num>
  <w:num w:numId="101" w16cid:durableId="102920063">
    <w:abstractNumId w:val="238"/>
  </w:num>
  <w:num w:numId="102" w16cid:durableId="674842322">
    <w:abstractNumId w:val="363"/>
  </w:num>
  <w:num w:numId="103" w16cid:durableId="1193768587">
    <w:abstractNumId w:val="380"/>
  </w:num>
  <w:num w:numId="104" w16cid:durableId="1113406970">
    <w:abstractNumId w:val="134"/>
  </w:num>
  <w:num w:numId="105" w16cid:durableId="1074594868">
    <w:abstractNumId w:val="261"/>
  </w:num>
  <w:num w:numId="106" w16cid:durableId="1464346661">
    <w:abstractNumId w:val="339"/>
  </w:num>
  <w:num w:numId="107" w16cid:durableId="5911400">
    <w:abstractNumId w:val="254"/>
  </w:num>
  <w:num w:numId="108" w16cid:durableId="1668508849">
    <w:abstractNumId w:val="42"/>
  </w:num>
  <w:num w:numId="109" w16cid:durableId="908467391">
    <w:abstractNumId w:val="255"/>
  </w:num>
  <w:num w:numId="110" w16cid:durableId="802428133">
    <w:abstractNumId w:val="69"/>
  </w:num>
  <w:num w:numId="111" w16cid:durableId="1393692677">
    <w:abstractNumId w:val="165"/>
  </w:num>
  <w:num w:numId="112" w16cid:durableId="1812868431">
    <w:abstractNumId w:val="185"/>
  </w:num>
  <w:num w:numId="113" w16cid:durableId="1324964756">
    <w:abstractNumId w:val="312"/>
  </w:num>
  <w:num w:numId="114" w16cid:durableId="212814297">
    <w:abstractNumId w:val="180"/>
  </w:num>
  <w:num w:numId="115" w16cid:durableId="487481877">
    <w:abstractNumId w:val="392"/>
  </w:num>
  <w:num w:numId="116" w16cid:durableId="57900817">
    <w:abstractNumId w:val="313"/>
  </w:num>
  <w:num w:numId="117" w16cid:durableId="1131822519">
    <w:abstractNumId w:val="190"/>
  </w:num>
  <w:num w:numId="118" w16cid:durableId="1735658624">
    <w:abstractNumId w:val="277"/>
  </w:num>
  <w:num w:numId="119" w16cid:durableId="1669675665">
    <w:abstractNumId w:val="39"/>
  </w:num>
  <w:num w:numId="120" w16cid:durableId="1785926567">
    <w:abstractNumId w:val="230"/>
  </w:num>
  <w:num w:numId="121" w16cid:durableId="1049644836">
    <w:abstractNumId w:val="215"/>
  </w:num>
  <w:num w:numId="122" w16cid:durableId="429930180">
    <w:abstractNumId w:val="140"/>
  </w:num>
  <w:num w:numId="123" w16cid:durableId="1229271069">
    <w:abstractNumId w:val="234"/>
  </w:num>
  <w:num w:numId="124" w16cid:durableId="1865514027">
    <w:abstractNumId w:val="233"/>
  </w:num>
  <w:num w:numId="125" w16cid:durableId="264120056">
    <w:abstractNumId w:val="30"/>
  </w:num>
  <w:num w:numId="126" w16cid:durableId="1179856515">
    <w:abstractNumId w:val="357"/>
  </w:num>
  <w:num w:numId="127" w16cid:durableId="1011418167">
    <w:abstractNumId w:val="210"/>
  </w:num>
  <w:num w:numId="128" w16cid:durableId="217907760">
    <w:abstractNumId w:val="35"/>
  </w:num>
  <w:num w:numId="129" w16cid:durableId="1814247994">
    <w:abstractNumId w:val="334"/>
  </w:num>
  <w:num w:numId="130" w16cid:durableId="1715763739">
    <w:abstractNumId w:val="94"/>
  </w:num>
  <w:num w:numId="131" w16cid:durableId="682438764">
    <w:abstractNumId w:val="154"/>
  </w:num>
  <w:num w:numId="132" w16cid:durableId="105927162">
    <w:abstractNumId w:val="325"/>
  </w:num>
  <w:num w:numId="133" w16cid:durableId="1566989117">
    <w:abstractNumId w:val="369"/>
  </w:num>
  <w:num w:numId="134" w16cid:durableId="309673473">
    <w:abstractNumId w:val="186"/>
  </w:num>
  <w:num w:numId="135" w16cid:durableId="2048288871">
    <w:abstractNumId w:val="25"/>
  </w:num>
  <w:num w:numId="136" w16cid:durableId="1111322551">
    <w:abstractNumId w:val="209"/>
  </w:num>
  <w:num w:numId="137" w16cid:durableId="1291519547">
    <w:abstractNumId w:val="137"/>
  </w:num>
  <w:num w:numId="138" w16cid:durableId="467206169">
    <w:abstractNumId w:val="144"/>
  </w:num>
  <w:num w:numId="139" w16cid:durableId="1610047120">
    <w:abstractNumId w:val="40"/>
  </w:num>
  <w:num w:numId="140" w16cid:durableId="1456367721">
    <w:abstractNumId w:val="172"/>
  </w:num>
  <w:num w:numId="141" w16cid:durableId="1565799649">
    <w:abstractNumId w:val="157"/>
  </w:num>
  <w:num w:numId="142" w16cid:durableId="1754741666">
    <w:abstractNumId w:val="271"/>
  </w:num>
  <w:num w:numId="143" w16cid:durableId="599483847">
    <w:abstractNumId w:val="120"/>
  </w:num>
  <w:num w:numId="144" w16cid:durableId="1858541517">
    <w:abstractNumId w:val="241"/>
  </w:num>
  <w:num w:numId="145" w16cid:durableId="842008479">
    <w:abstractNumId w:val="192"/>
  </w:num>
  <w:num w:numId="146" w16cid:durableId="542400948">
    <w:abstractNumId w:val="193"/>
  </w:num>
  <w:num w:numId="147" w16cid:durableId="2140877123">
    <w:abstractNumId w:val="13"/>
  </w:num>
  <w:num w:numId="148" w16cid:durableId="2055615468">
    <w:abstractNumId w:val="352"/>
  </w:num>
  <w:num w:numId="149" w16cid:durableId="1404570058">
    <w:abstractNumId w:val="17"/>
  </w:num>
  <w:num w:numId="150" w16cid:durableId="1303346212">
    <w:abstractNumId w:val="390"/>
  </w:num>
  <w:num w:numId="151" w16cid:durableId="1622570628">
    <w:abstractNumId w:val="426"/>
  </w:num>
  <w:num w:numId="152" w16cid:durableId="1205095497">
    <w:abstractNumId w:val="119"/>
  </w:num>
  <w:num w:numId="153" w16cid:durableId="1460490164">
    <w:abstractNumId w:val="286"/>
  </w:num>
  <w:num w:numId="154" w16cid:durableId="1167939122">
    <w:abstractNumId w:val="131"/>
  </w:num>
  <w:num w:numId="155" w16cid:durableId="1738938320">
    <w:abstractNumId w:val="371"/>
  </w:num>
  <w:num w:numId="156" w16cid:durableId="1116634551">
    <w:abstractNumId w:val="398"/>
  </w:num>
  <w:num w:numId="157" w16cid:durableId="7218510">
    <w:abstractNumId w:val="393"/>
  </w:num>
  <w:num w:numId="158" w16cid:durableId="102918887">
    <w:abstractNumId w:val="174"/>
  </w:num>
  <w:num w:numId="159" w16cid:durableId="1999840072">
    <w:abstractNumId w:val="319"/>
  </w:num>
  <w:num w:numId="160" w16cid:durableId="422530654">
    <w:abstractNumId w:val="212"/>
  </w:num>
  <w:num w:numId="161" w16cid:durableId="224335439">
    <w:abstractNumId w:val="274"/>
  </w:num>
  <w:num w:numId="162" w16cid:durableId="1290865117">
    <w:abstractNumId w:val="429"/>
  </w:num>
  <w:num w:numId="163" w16cid:durableId="1494493664">
    <w:abstractNumId w:val="260"/>
  </w:num>
  <w:num w:numId="164" w16cid:durableId="1695420173">
    <w:abstractNumId w:val="181"/>
  </w:num>
  <w:num w:numId="165" w16cid:durableId="740375381">
    <w:abstractNumId w:val="284"/>
  </w:num>
  <w:num w:numId="166" w16cid:durableId="1854495274">
    <w:abstractNumId w:val="276"/>
  </w:num>
  <w:num w:numId="167" w16cid:durableId="17388813">
    <w:abstractNumId w:val="242"/>
  </w:num>
  <w:num w:numId="168" w16cid:durableId="1737051304">
    <w:abstractNumId w:val="199"/>
  </w:num>
  <w:num w:numId="169" w16cid:durableId="1163550454">
    <w:abstractNumId w:val="258"/>
  </w:num>
  <w:num w:numId="170" w16cid:durableId="695929375">
    <w:abstractNumId w:val="266"/>
  </w:num>
  <w:num w:numId="171" w16cid:durableId="471288251">
    <w:abstractNumId w:val="259"/>
  </w:num>
  <w:num w:numId="172" w16cid:durableId="611589897">
    <w:abstractNumId w:val="411"/>
  </w:num>
  <w:num w:numId="173" w16cid:durableId="1832287183">
    <w:abstractNumId w:val="78"/>
  </w:num>
  <w:num w:numId="174" w16cid:durableId="1248661214">
    <w:abstractNumId w:val="32"/>
  </w:num>
  <w:num w:numId="175" w16cid:durableId="1608079955">
    <w:abstractNumId w:val="341"/>
  </w:num>
  <w:num w:numId="176" w16cid:durableId="1429304566">
    <w:abstractNumId w:val="288"/>
  </w:num>
  <w:num w:numId="177" w16cid:durableId="1594510671">
    <w:abstractNumId w:val="316"/>
  </w:num>
  <w:num w:numId="178" w16cid:durableId="790977761">
    <w:abstractNumId w:val="309"/>
  </w:num>
  <w:num w:numId="179" w16cid:durableId="955333139">
    <w:abstractNumId w:val="87"/>
  </w:num>
  <w:num w:numId="180" w16cid:durableId="1529683855">
    <w:abstractNumId w:val="336"/>
  </w:num>
  <w:num w:numId="181" w16cid:durableId="894705533">
    <w:abstractNumId w:val="160"/>
  </w:num>
  <w:num w:numId="182" w16cid:durableId="1505165883">
    <w:abstractNumId w:val="347"/>
  </w:num>
  <w:num w:numId="183" w16cid:durableId="120072986">
    <w:abstractNumId w:val="171"/>
  </w:num>
  <w:num w:numId="184" w16cid:durableId="1336765400">
    <w:abstractNumId w:val="427"/>
  </w:num>
  <w:num w:numId="185" w16cid:durableId="965232218">
    <w:abstractNumId w:val="103"/>
  </w:num>
  <w:num w:numId="186" w16cid:durableId="283005043">
    <w:abstractNumId w:val="77"/>
  </w:num>
  <w:num w:numId="187" w16cid:durableId="1938324908">
    <w:abstractNumId w:val="358"/>
  </w:num>
  <w:num w:numId="188" w16cid:durableId="1524319626">
    <w:abstractNumId w:val="304"/>
  </w:num>
  <w:num w:numId="189" w16cid:durableId="1934319858">
    <w:abstractNumId w:val="244"/>
  </w:num>
  <w:num w:numId="190" w16cid:durableId="1397587893">
    <w:abstractNumId w:val="61"/>
  </w:num>
  <w:num w:numId="191" w16cid:durableId="716393361">
    <w:abstractNumId w:val="394"/>
  </w:num>
  <w:num w:numId="192" w16cid:durableId="218174090">
    <w:abstractNumId w:val="63"/>
  </w:num>
  <w:num w:numId="193" w16cid:durableId="562327003">
    <w:abstractNumId w:val="110"/>
  </w:num>
  <w:num w:numId="194" w16cid:durableId="1443570888">
    <w:abstractNumId w:val="71"/>
  </w:num>
  <w:num w:numId="195" w16cid:durableId="281227833">
    <w:abstractNumId w:val="53"/>
  </w:num>
  <w:num w:numId="196" w16cid:durableId="1239292100">
    <w:abstractNumId w:val="361"/>
  </w:num>
  <w:num w:numId="197" w16cid:durableId="1647662211">
    <w:abstractNumId w:val="294"/>
  </w:num>
  <w:num w:numId="198" w16cid:durableId="735398262">
    <w:abstractNumId w:val="216"/>
  </w:num>
  <w:num w:numId="199" w16cid:durableId="1975405934">
    <w:abstractNumId w:val="152"/>
  </w:num>
  <w:num w:numId="200" w16cid:durableId="1384448022">
    <w:abstractNumId w:val="437"/>
  </w:num>
  <w:num w:numId="201" w16cid:durableId="2025014322">
    <w:abstractNumId w:val="256"/>
  </w:num>
  <w:num w:numId="202" w16cid:durableId="785544929">
    <w:abstractNumId w:val="124"/>
  </w:num>
  <w:num w:numId="203" w16cid:durableId="1347443107">
    <w:abstractNumId w:val="382"/>
  </w:num>
  <w:num w:numId="204" w16cid:durableId="1584024102">
    <w:abstractNumId w:val="143"/>
  </w:num>
  <w:num w:numId="205" w16cid:durableId="1773477023">
    <w:abstractNumId w:val="23"/>
  </w:num>
  <w:num w:numId="206" w16cid:durableId="2086950398">
    <w:abstractNumId w:val="101"/>
  </w:num>
  <w:num w:numId="207" w16cid:durableId="6829331">
    <w:abstractNumId w:val="273"/>
  </w:num>
  <w:num w:numId="208" w16cid:durableId="1324897976">
    <w:abstractNumId w:val="151"/>
  </w:num>
  <w:num w:numId="209" w16cid:durableId="1358921270">
    <w:abstractNumId w:val="338"/>
  </w:num>
  <w:num w:numId="210" w16cid:durableId="1684741123">
    <w:abstractNumId w:val="248"/>
  </w:num>
  <w:num w:numId="211" w16cid:durableId="1738282085">
    <w:abstractNumId w:val="377"/>
  </w:num>
  <w:num w:numId="212" w16cid:durableId="959339570">
    <w:abstractNumId w:val="86"/>
  </w:num>
  <w:num w:numId="213" w16cid:durableId="605308177">
    <w:abstractNumId w:val="434"/>
  </w:num>
  <w:num w:numId="214" w16cid:durableId="599140612">
    <w:abstractNumId w:val="82"/>
  </w:num>
  <w:num w:numId="215" w16cid:durableId="1477606387">
    <w:abstractNumId w:val="269"/>
  </w:num>
  <w:num w:numId="216" w16cid:durableId="379324980">
    <w:abstractNumId w:val="62"/>
  </w:num>
  <w:num w:numId="217" w16cid:durableId="1628438568">
    <w:abstractNumId w:val="435"/>
  </w:num>
  <w:num w:numId="218" w16cid:durableId="2131631187">
    <w:abstractNumId w:val="54"/>
  </w:num>
  <w:num w:numId="219" w16cid:durableId="592787891">
    <w:abstractNumId w:val="148"/>
  </w:num>
  <w:num w:numId="220" w16cid:durableId="873349904">
    <w:abstractNumId w:val="60"/>
  </w:num>
  <w:num w:numId="221" w16cid:durableId="2130733531">
    <w:abstractNumId w:val="406"/>
  </w:num>
  <w:num w:numId="222" w16cid:durableId="528841070">
    <w:abstractNumId w:val="74"/>
  </w:num>
  <w:num w:numId="223" w16cid:durableId="1089691994">
    <w:abstractNumId w:val="44"/>
  </w:num>
  <w:num w:numId="224" w16cid:durableId="2054883270">
    <w:abstractNumId w:val="79"/>
  </w:num>
  <w:num w:numId="225" w16cid:durableId="761418249">
    <w:abstractNumId w:val="308"/>
  </w:num>
  <w:num w:numId="226" w16cid:durableId="486287713">
    <w:abstractNumId w:val="184"/>
  </w:num>
  <w:num w:numId="227" w16cid:durableId="1398283338">
    <w:abstractNumId w:val="323"/>
  </w:num>
  <w:num w:numId="228" w16cid:durableId="98763384">
    <w:abstractNumId w:val="204"/>
  </w:num>
  <w:num w:numId="229" w16cid:durableId="1281184806">
    <w:abstractNumId w:val="421"/>
  </w:num>
  <w:num w:numId="230" w16cid:durableId="27949580">
    <w:abstractNumId w:val="138"/>
  </w:num>
  <w:num w:numId="231" w16cid:durableId="1037395974">
    <w:abstractNumId w:val="123"/>
  </w:num>
  <w:num w:numId="232" w16cid:durableId="1951549474">
    <w:abstractNumId w:val="396"/>
  </w:num>
  <w:num w:numId="233" w16cid:durableId="689457780">
    <w:abstractNumId w:val="133"/>
  </w:num>
  <w:num w:numId="234" w16cid:durableId="849879375">
    <w:abstractNumId w:val="285"/>
  </w:num>
  <w:num w:numId="235" w16cid:durableId="1890798019">
    <w:abstractNumId w:val="362"/>
  </w:num>
  <w:num w:numId="236" w16cid:durableId="711543219">
    <w:abstractNumId w:val="115"/>
  </w:num>
  <w:num w:numId="237" w16cid:durableId="1429109945">
    <w:abstractNumId w:val="126"/>
  </w:num>
  <w:num w:numId="238" w16cid:durableId="1300037846">
    <w:abstractNumId w:val="76"/>
  </w:num>
  <w:num w:numId="239" w16cid:durableId="2053144269">
    <w:abstractNumId w:val="155"/>
  </w:num>
  <w:num w:numId="240" w16cid:durableId="1954022263">
    <w:abstractNumId w:val="391"/>
  </w:num>
  <w:num w:numId="241" w16cid:durableId="1674263587">
    <w:abstractNumId w:val="177"/>
  </w:num>
  <w:num w:numId="242" w16cid:durableId="1405883172">
    <w:abstractNumId w:val="320"/>
  </w:num>
  <w:num w:numId="243" w16cid:durableId="1845167811">
    <w:abstractNumId w:val="37"/>
  </w:num>
  <w:num w:numId="244" w16cid:durableId="434986260">
    <w:abstractNumId w:val="326"/>
  </w:num>
  <w:num w:numId="245" w16cid:durableId="1502697820">
    <w:abstractNumId w:val="83"/>
  </w:num>
  <w:num w:numId="246" w16cid:durableId="142163194">
    <w:abstractNumId w:val="51"/>
  </w:num>
  <w:num w:numId="247" w16cid:durableId="1601179918">
    <w:abstractNumId w:val="147"/>
  </w:num>
  <w:num w:numId="248" w16cid:durableId="1614752096">
    <w:abstractNumId w:val="65"/>
  </w:num>
  <w:num w:numId="249" w16cid:durableId="858356034">
    <w:abstractNumId w:val="414"/>
  </w:num>
  <w:num w:numId="250" w16cid:durableId="449202796">
    <w:abstractNumId w:val="311"/>
  </w:num>
  <w:num w:numId="251" w16cid:durableId="1796367920">
    <w:abstractNumId w:val="433"/>
  </w:num>
  <w:num w:numId="252" w16cid:durableId="995769760">
    <w:abstractNumId w:val="188"/>
  </w:num>
  <w:num w:numId="253" w16cid:durableId="452410774">
    <w:abstractNumId w:val="218"/>
  </w:num>
  <w:num w:numId="254" w16cid:durableId="1738437691">
    <w:abstractNumId w:val="179"/>
  </w:num>
  <w:num w:numId="255" w16cid:durableId="1111315624">
    <w:abstractNumId w:val="239"/>
  </w:num>
  <w:num w:numId="256" w16cid:durableId="1414011439">
    <w:abstractNumId w:val="22"/>
  </w:num>
  <w:num w:numId="257" w16cid:durableId="16010581">
    <w:abstractNumId w:val="88"/>
  </w:num>
  <w:num w:numId="258" w16cid:durableId="2060396737">
    <w:abstractNumId w:val="345"/>
  </w:num>
  <w:num w:numId="259" w16cid:durableId="965696468">
    <w:abstractNumId w:val="424"/>
  </w:num>
  <w:num w:numId="260" w16cid:durableId="1253002867">
    <w:abstractNumId w:val="16"/>
  </w:num>
  <w:num w:numId="261" w16cid:durableId="38481729">
    <w:abstractNumId w:val="75"/>
  </w:num>
  <w:num w:numId="262" w16cid:durableId="2143962334">
    <w:abstractNumId w:val="351"/>
  </w:num>
  <w:num w:numId="263" w16cid:durableId="1900897928">
    <w:abstractNumId w:val="139"/>
  </w:num>
  <w:num w:numId="264" w16cid:durableId="2009748477">
    <w:abstractNumId w:val="264"/>
  </w:num>
  <w:num w:numId="265" w16cid:durableId="475876135">
    <w:abstractNumId w:val="11"/>
  </w:num>
  <w:num w:numId="266" w16cid:durableId="745806440">
    <w:abstractNumId w:val="91"/>
  </w:num>
  <w:num w:numId="267" w16cid:durableId="1998340451">
    <w:abstractNumId w:val="176"/>
  </w:num>
  <w:num w:numId="268" w16cid:durableId="961768206">
    <w:abstractNumId w:val="195"/>
  </w:num>
  <w:num w:numId="269" w16cid:durableId="971865155">
    <w:abstractNumId w:val="36"/>
  </w:num>
  <w:num w:numId="270" w16cid:durableId="1234050599">
    <w:abstractNumId w:val="349"/>
  </w:num>
  <w:num w:numId="271" w16cid:durableId="1215192204">
    <w:abstractNumId w:val="43"/>
  </w:num>
  <w:num w:numId="272" w16cid:durableId="1087730492">
    <w:abstractNumId w:val="410"/>
  </w:num>
  <w:num w:numId="273" w16cid:durableId="279459445">
    <w:abstractNumId w:val="250"/>
  </w:num>
  <w:num w:numId="274" w16cid:durableId="1675182837">
    <w:abstractNumId w:val="64"/>
  </w:num>
  <w:num w:numId="275" w16cid:durableId="998002106">
    <w:abstractNumId w:val="46"/>
  </w:num>
  <w:num w:numId="276" w16cid:durableId="10304259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41757885">
    <w:abstractNumId w:val="376"/>
  </w:num>
  <w:num w:numId="278" w16cid:durableId="1471092495">
    <w:abstractNumId w:val="415"/>
  </w:num>
  <w:num w:numId="279" w16cid:durableId="559243856">
    <w:abstractNumId w:val="299"/>
  </w:num>
  <w:num w:numId="280" w16cid:durableId="407580939">
    <w:abstractNumId w:val="153"/>
  </w:num>
  <w:num w:numId="281" w16cid:durableId="290789204">
    <w:abstractNumId w:val="73"/>
  </w:num>
  <w:num w:numId="282" w16cid:durableId="1596014460">
    <w:abstractNumId w:val="48"/>
  </w:num>
  <w:num w:numId="283" w16cid:durableId="1829057938">
    <w:abstractNumId w:val="129"/>
  </w:num>
  <w:num w:numId="284" w16cid:durableId="210980819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698696715">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410125709">
    <w:abstractNumId w:val="56"/>
  </w:num>
  <w:num w:numId="287" w16cid:durableId="128982138">
    <w:abstractNumId w:val="106"/>
  </w:num>
  <w:num w:numId="288" w16cid:durableId="64842553">
    <w:abstractNumId w:val="214"/>
  </w:num>
  <w:num w:numId="289" w16cid:durableId="1583677613">
    <w:abstractNumId w:val="104"/>
  </w:num>
  <w:num w:numId="290" w16cid:durableId="931468777">
    <w:abstractNumId w:val="173"/>
  </w:num>
  <w:num w:numId="291" w16cid:durableId="1164012105">
    <w:abstractNumId w:val="70"/>
  </w:num>
  <w:num w:numId="292" w16cid:durableId="1849708540">
    <w:abstractNumId w:val="100"/>
  </w:num>
  <w:num w:numId="293" w16cid:durableId="1537540833">
    <w:abstractNumId w:val="400"/>
  </w:num>
  <w:num w:numId="294" w16cid:durableId="920220183">
    <w:abstractNumId w:val="387"/>
  </w:num>
  <w:num w:numId="295" w16cid:durableId="643197779">
    <w:abstractNumId w:val="49"/>
  </w:num>
  <w:num w:numId="296" w16cid:durableId="164562495">
    <w:abstractNumId w:val="365"/>
  </w:num>
  <w:num w:numId="297" w16cid:durableId="692414981">
    <w:abstractNumId w:val="31"/>
  </w:num>
  <w:num w:numId="298" w16cid:durableId="547108245">
    <w:abstractNumId w:val="329"/>
  </w:num>
  <w:num w:numId="299" w16cid:durableId="1488935145">
    <w:abstractNumId w:val="168"/>
  </w:num>
  <w:num w:numId="300" w16cid:durableId="301815821">
    <w:abstractNumId w:val="197"/>
  </w:num>
  <w:num w:numId="301" w16cid:durableId="1933121486">
    <w:abstractNumId w:val="267"/>
  </w:num>
  <w:num w:numId="302" w16cid:durableId="140270957">
    <w:abstractNumId w:val="378"/>
  </w:num>
  <w:num w:numId="303" w16cid:durableId="192545725">
    <w:abstractNumId w:val="34"/>
  </w:num>
  <w:num w:numId="304" w16cid:durableId="307249200">
    <w:abstractNumId w:val="109"/>
  </w:num>
  <w:num w:numId="305" w16cid:durableId="345257074">
    <w:abstractNumId w:val="208"/>
  </w:num>
  <w:num w:numId="306" w16cid:durableId="351340780">
    <w:abstractNumId w:val="418"/>
  </w:num>
  <w:num w:numId="307" w16cid:durableId="520978003">
    <w:abstractNumId w:val="158"/>
  </w:num>
  <w:num w:numId="308" w16cid:durableId="1199732759">
    <w:abstractNumId w:val="118"/>
  </w:num>
  <w:num w:numId="309" w16cid:durableId="11940315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267420277">
    <w:abstractNumId w:val="18"/>
  </w:num>
  <w:num w:numId="311" w16cid:durableId="743259880">
    <w:abstractNumId w:val="23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874608250">
    <w:abstractNumId w:val="232"/>
    <w:lvlOverride w:ilvl="0">
      <w:startOverride w:val="6"/>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387072581">
    <w:abstractNumId w:val="268"/>
  </w:num>
  <w:num w:numId="314" w16cid:durableId="1767192287">
    <w:abstractNumId w:val="289"/>
  </w:num>
  <w:num w:numId="315" w16cid:durableId="1798530114">
    <w:abstractNumId w:val="432"/>
  </w:num>
  <w:num w:numId="316" w16cid:durableId="1931622780">
    <w:abstractNumId w:val="262"/>
  </w:num>
  <w:num w:numId="317" w16cid:durableId="294408555">
    <w:abstractNumId w:val="136"/>
  </w:num>
  <w:num w:numId="318" w16cid:durableId="1768622954">
    <w:abstractNumId w:val="112"/>
  </w:num>
  <w:num w:numId="319" w16cid:durableId="1634095368">
    <w:abstractNumId w:val="228"/>
  </w:num>
  <w:num w:numId="320" w16cid:durableId="785394360">
    <w:abstractNumId w:val="108"/>
    <w:lvlOverride w:ilvl="0">
      <w:startOverride w:val="5"/>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435398753">
    <w:abstractNumId w:val="93"/>
  </w:num>
  <w:num w:numId="322" w16cid:durableId="269120581">
    <w:abstractNumId w:val="3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237903520">
    <w:abstractNumId w:val="367"/>
  </w:num>
  <w:num w:numId="324" w16cid:durableId="755981650">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991209663">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29887618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34549647">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365670600">
    <w:abstractNumId w:val="265"/>
  </w:num>
  <w:num w:numId="329" w16cid:durableId="515925657">
    <w:abstractNumId w:val="221"/>
  </w:num>
  <w:num w:numId="330" w16cid:durableId="700666397">
    <w:abstractNumId w:val="412"/>
  </w:num>
  <w:num w:numId="331" w16cid:durableId="917447360">
    <w:abstractNumId w:val="232"/>
  </w:num>
  <w:num w:numId="332" w16cid:durableId="2004891729">
    <w:abstractNumId w:val="303"/>
  </w:num>
  <w:num w:numId="333" w16cid:durableId="1240601573">
    <w:abstractNumId w:val="324"/>
  </w:num>
  <w:num w:numId="334" w16cid:durableId="1057706673">
    <w:abstractNumId w:val="178"/>
  </w:num>
  <w:num w:numId="335" w16cid:durableId="740173486">
    <w:abstractNumId w:val="379"/>
  </w:num>
  <w:num w:numId="336" w16cid:durableId="1025206874">
    <w:abstractNumId w:val="236"/>
  </w:num>
  <w:num w:numId="337" w16cid:durableId="1245996063">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30948007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595749369">
    <w:abstractNumId w:val="4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2125997045">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03588675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824779188">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618173886">
    <w:abstractNumId w:val="47"/>
  </w:num>
  <w:num w:numId="344" w16cid:durableId="722486933">
    <w:abstractNumId w:val="206"/>
  </w:num>
  <w:num w:numId="345" w16cid:durableId="594939622">
    <w:abstractNumId w:val="402"/>
    <w:lvlOverride w:ilvl="0">
      <w:lvl w:ilvl="0">
        <w:start w:val="4"/>
        <w:numFmt w:val="decimal"/>
        <w:pStyle w:val="3Appx3"/>
        <w:lvlText w:val="Appendix %1"/>
        <w:lvlJc w:val="left"/>
        <w:pPr>
          <w:ind w:left="0" w:firstLine="0"/>
        </w:pPr>
      </w:lvl>
    </w:lvlOverride>
    <w:lvlOverride w:ilvl="1">
      <w:lvl w:ilvl="1">
        <w:start w:val="1"/>
        <w:numFmt w:val="decimal"/>
        <w:lvlText w:val="%1.%2"/>
        <w:lvlJc w:val="left"/>
        <w:pPr>
          <w:ind w:left="0" w:firstLine="0"/>
        </w:pPr>
      </w:lvl>
    </w:lvlOverride>
    <w:lvlOverride w:ilvl="2">
      <w:lvl w:ilvl="2">
        <w:start w:val="1"/>
        <w:numFmt w:val="decimal"/>
        <w:pStyle w:val="3Appx3"/>
        <w:lvlText w:val="%1.%2.%3"/>
        <w:lvlJc w:val="left"/>
        <w:pPr>
          <w:ind w:left="1080" w:firstLine="0"/>
        </w:pPr>
        <w:rPr>
          <w:i w:val="0"/>
        </w:rPr>
      </w:lvl>
    </w:lvlOverride>
    <w:lvlOverride w:ilvl="3">
      <w:lvl w:ilvl="3">
        <w:start w:val="1"/>
        <w:numFmt w:val="decimal"/>
        <w:lvlText w:val="%1.%2.%3.%4"/>
        <w:lvlJc w:val="left"/>
        <w:pPr>
          <w:ind w:left="1440" w:firstLine="0"/>
        </w:pPr>
        <w:rPr>
          <w:i w:val="0"/>
        </w:rPr>
      </w:lvl>
    </w:lvlOverride>
    <w:lvlOverride w:ilvl="4">
      <w:lvl w:ilvl="4">
        <w:start w:val="1"/>
        <w:numFmt w:val="decimal"/>
        <w:lvlText w:val="%1.%2.%3.%4.%5"/>
        <w:lvlJc w:val="left"/>
        <w:pPr>
          <w:ind w:left="0" w:firstLine="0"/>
        </w:pPr>
      </w:lvl>
    </w:lvlOverride>
    <w:lvlOverride w:ilvl="5">
      <w:lvl w:ilvl="5">
        <w:start w:val="1"/>
        <w:numFmt w:val="decimal"/>
        <w:lvlText w:val="%1.%2.%3.%4.%5.%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start w:val="1"/>
        <w:numFmt w:val="decimal"/>
        <w:lvlText w:val="%9."/>
        <w:lvlJc w:val="left"/>
        <w:pPr>
          <w:ind w:left="0" w:firstLine="0"/>
        </w:pPr>
      </w:lvl>
    </w:lvlOverride>
  </w:num>
  <w:num w:numId="346" w16cid:durableId="76762610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544215630">
    <w:abstractNumId w:val="4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676110172">
    <w:abstractNumId w:val="2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37704914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909771140">
    <w:abstractNumId w:val="40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344946340">
    <w:abstractNumId w:val="413"/>
  </w:num>
  <w:num w:numId="352" w16cid:durableId="153110738">
    <w:abstractNumId w:val="409"/>
  </w:num>
  <w:num w:numId="353" w16cid:durableId="1557664811">
    <w:abstractNumId w:val="354"/>
  </w:num>
  <w:num w:numId="354" w16cid:durableId="414128936">
    <w:abstractNumId w:val="27"/>
  </w:num>
  <w:num w:numId="355" w16cid:durableId="1730953104">
    <w:abstractNumId w:val="263"/>
  </w:num>
  <w:num w:numId="356" w16cid:durableId="382218264">
    <w:abstractNumId w:val="279"/>
  </w:num>
  <w:num w:numId="357" w16cid:durableId="1894925276">
    <w:abstractNumId w:val="388"/>
  </w:num>
  <w:num w:numId="358" w16cid:durableId="313335088">
    <w:abstractNumId w:val="330"/>
  </w:num>
  <w:num w:numId="359" w16cid:durableId="1969506291">
    <w:abstractNumId w:val="296"/>
  </w:num>
  <w:num w:numId="360" w16cid:durableId="721440571">
    <w:abstractNumId w:val="219"/>
  </w:num>
  <w:num w:numId="361" w16cid:durableId="1978952111">
    <w:abstractNumId w:val="217"/>
  </w:num>
  <w:num w:numId="362" w16cid:durableId="1077821378">
    <w:abstractNumId w:val="205"/>
  </w:num>
  <w:num w:numId="363" w16cid:durableId="1989284035">
    <w:abstractNumId w:val="253"/>
  </w:num>
  <w:num w:numId="364" w16cid:durableId="123079873">
    <w:abstractNumId w:val="438"/>
  </w:num>
  <w:num w:numId="365" w16cid:durableId="2079395303">
    <w:abstractNumId w:val="386"/>
  </w:num>
  <w:num w:numId="366" w16cid:durableId="749234219">
    <w:abstractNumId w:val="24"/>
  </w:num>
  <w:num w:numId="367" w16cid:durableId="655689913">
    <w:abstractNumId w:val="332"/>
  </w:num>
  <w:num w:numId="368" w16cid:durableId="323970629">
    <w:abstractNumId w:val="85"/>
  </w:num>
  <w:num w:numId="369" w16cid:durableId="698161684">
    <w:abstractNumId w:val="257"/>
  </w:num>
  <w:num w:numId="370" w16cid:durableId="1885292910">
    <w:abstractNumId w:val="251"/>
  </w:num>
  <w:num w:numId="371" w16cid:durableId="1254976527">
    <w:abstractNumId w:val="327"/>
  </w:num>
  <w:num w:numId="372" w16cid:durableId="343703261">
    <w:abstractNumId w:val="372"/>
  </w:num>
  <w:num w:numId="373" w16cid:durableId="1406414341">
    <w:abstractNumId w:val="240"/>
  </w:num>
  <w:num w:numId="374" w16cid:durableId="1903784231">
    <w:abstractNumId w:val="84"/>
  </w:num>
  <w:num w:numId="375" w16cid:durableId="425007745">
    <w:abstractNumId w:val="99"/>
  </w:num>
  <w:num w:numId="376" w16cid:durableId="1321153408">
    <w:abstractNumId w:val="340"/>
  </w:num>
  <w:num w:numId="377" w16cid:durableId="879710338">
    <w:abstractNumId w:val="353"/>
  </w:num>
  <w:num w:numId="378" w16cid:durableId="2095663593">
    <w:abstractNumId w:val="150"/>
  </w:num>
  <w:num w:numId="379" w16cid:durableId="332226753">
    <w:abstractNumId w:val="360"/>
  </w:num>
  <w:num w:numId="380" w16cid:durableId="262613095">
    <w:abstractNumId w:val="292"/>
  </w:num>
  <w:num w:numId="381" w16cid:durableId="17854266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1070344063">
    <w:abstractNumId w:val="183"/>
  </w:num>
  <w:num w:numId="383" w16cid:durableId="8580875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401634602">
    <w:abstractNumId w:val="66"/>
  </w:num>
  <w:num w:numId="385" w16cid:durableId="50465441">
    <w:abstractNumId w:val="444"/>
  </w:num>
  <w:num w:numId="386" w16cid:durableId="1806042131">
    <w:abstractNumId w:val="431"/>
  </w:num>
  <w:num w:numId="387" w16cid:durableId="2108849190">
    <w:abstractNumId w:val="89"/>
  </w:num>
  <w:num w:numId="388" w16cid:durableId="1778450437">
    <w:abstractNumId w:val="375"/>
  </w:num>
  <w:num w:numId="389" w16cid:durableId="573853971">
    <w:abstractNumId w:val="127"/>
  </w:num>
  <w:num w:numId="390" w16cid:durableId="1218857904">
    <w:abstractNumId w:val="397"/>
  </w:num>
  <w:num w:numId="391" w16cid:durableId="785467327">
    <w:abstractNumId w:val="156"/>
  </w:num>
  <w:num w:numId="392" w16cid:durableId="911354499">
    <w:abstractNumId w:val="55"/>
  </w:num>
  <w:num w:numId="393" w16cid:durableId="1553425534">
    <w:abstractNumId w:val="310"/>
  </w:num>
  <w:num w:numId="394" w16cid:durableId="218633557">
    <w:abstractNumId w:val="237"/>
  </w:num>
  <w:num w:numId="395" w16cid:durableId="327557911">
    <w:abstractNumId w:val="226"/>
  </w:num>
  <w:num w:numId="396" w16cid:durableId="563561989">
    <w:abstractNumId w:val="419"/>
  </w:num>
  <w:num w:numId="397" w16cid:durableId="2002735509">
    <w:abstractNumId w:val="145"/>
  </w:num>
  <w:num w:numId="398" w16cid:durableId="393432122">
    <w:abstractNumId w:val="167"/>
  </w:num>
  <w:num w:numId="399" w16cid:durableId="907569676">
    <w:abstractNumId w:val="111"/>
  </w:num>
  <w:num w:numId="400" w16cid:durableId="1946616378">
    <w:abstractNumId w:val="222"/>
  </w:num>
  <w:num w:numId="401" w16cid:durableId="3167622">
    <w:abstractNumId w:val="201"/>
  </w:num>
  <w:num w:numId="402" w16cid:durableId="1260212439">
    <w:abstractNumId w:val="50"/>
  </w:num>
  <w:num w:numId="403" w16cid:durableId="1225457996">
    <w:abstractNumId w:val="441"/>
  </w:num>
  <w:num w:numId="404" w16cid:durableId="688679731">
    <w:abstractNumId w:val="117"/>
  </w:num>
  <w:num w:numId="405" w16cid:durableId="1601833573">
    <w:abstractNumId w:val="405"/>
  </w:num>
  <w:num w:numId="406" w16cid:durableId="1075326072">
    <w:abstractNumId w:val="224"/>
  </w:num>
  <w:num w:numId="407" w16cid:durableId="295911337">
    <w:abstractNumId w:val="383"/>
  </w:num>
  <w:num w:numId="408" w16cid:durableId="1237745156">
    <w:abstractNumId w:val="213"/>
  </w:num>
  <w:num w:numId="409" w16cid:durableId="1546597672">
    <w:abstractNumId w:val="314"/>
  </w:num>
  <w:num w:numId="410" w16cid:durableId="467550333">
    <w:abstractNumId w:val="342"/>
  </w:num>
  <w:num w:numId="411" w16cid:durableId="579799618">
    <w:abstractNumId w:val="359"/>
  </w:num>
  <w:num w:numId="412" w16cid:durableId="1461800805">
    <w:abstractNumId w:val="425"/>
  </w:num>
  <w:num w:numId="413" w16cid:durableId="1519662858">
    <w:abstractNumId w:val="67"/>
  </w:num>
  <w:num w:numId="414" w16cid:durableId="1894148215">
    <w:abstractNumId w:val="356"/>
  </w:num>
  <w:num w:numId="415" w16cid:durableId="1060397323">
    <w:abstractNumId w:val="321"/>
  </w:num>
  <w:num w:numId="416" w16cid:durableId="906918835">
    <w:abstractNumId w:val="108"/>
  </w:num>
  <w:num w:numId="417" w16cid:durableId="1528986186">
    <w:abstractNumId w:val="163"/>
  </w:num>
  <w:num w:numId="418" w16cid:durableId="926036915">
    <w:abstractNumId w:val="33"/>
  </w:num>
  <w:num w:numId="419" w16cid:durableId="190458703">
    <w:abstractNumId w:val="202"/>
  </w:num>
  <w:num w:numId="420" w16cid:durableId="1152984648">
    <w:abstractNumId w:val="278"/>
  </w:num>
  <w:num w:numId="421" w16cid:durableId="1338465670">
    <w:abstractNumId w:val="187"/>
  </w:num>
  <w:num w:numId="422" w16cid:durableId="832335730">
    <w:abstractNumId w:val="130"/>
  </w:num>
  <w:num w:numId="423" w16cid:durableId="668599209">
    <w:abstractNumId w:val="1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368991459">
    <w:abstractNumId w:val="246"/>
  </w:num>
  <w:num w:numId="425" w16cid:durableId="1663193785">
    <w:abstractNumId w:val="24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1880360882">
    <w:abstractNumId w:val="373"/>
  </w:num>
  <w:num w:numId="427" w16cid:durableId="574558358">
    <w:abstractNumId w:val="373"/>
  </w:num>
  <w:num w:numId="428" w16cid:durableId="62721079">
    <w:abstractNumId w:val="283"/>
  </w:num>
  <w:num w:numId="429" w16cid:durableId="1816340090">
    <w:abstractNumId w:val="300"/>
  </w:num>
  <w:num w:numId="430" w16cid:durableId="2113354459">
    <w:abstractNumId w:val="162"/>
  </w:num>
  <w:num w:numId="431" w16cid:durableId="1829906415">
    <w:abstractNumId w:val="247"/>
  </w:num>
  <w:num w:numId="432" w16cid:durableId="1279413251">
    <w:abstractNumId w:val="275"/>
  </w:num>
  <w:num w:numId="433" w16cid:durableId="716204906">
    <w:abstractNumId w:val="29"/>
  </w:num>
  <w:num w:numId="434" w16cid:durableId="1500997904">
    <w:abstractNumId w:val="295"/>
  </w:num>
  <w:num w:numId="435" w16cid:durableId="212736094">
    <w:abstractNumId w:val="443"/>
  </w:num>
  <w:num w:numId="436" w16cid:durableId="1081756360">
    <w:abstractNumId w:val="114"/>
  </w:num>
  <w:num w:numId="437" w16cid:durableId="282615791">
    <w:abstractNumId w:val="11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507791350">
    <w:abstractNumId w:val="191"/>
  </w:num>
  <w:num w:numId="439" w16cid:durableId="1151943206">
    <w:abstractNumId w:val="318"/>
  </w:num>
  <w:num w:numId="440" w16cid:durableId="218563282">
    <w:abstractNumId w:val="355"/>
  </w:num>
  <w:num w:numId="441" w16cid:durableId="1252155306">
    <w:abstractNumId w:val="302"/>
  </w:num>
  <w:num w:numId="442" w16cid:durableId="2032757022">
    <w:abstractNumId w:val="401"/>
  </w:num>
  <w:num w:numId="443" w16cid:durableId="1704480897">
    <w:abstractNumId w:val="80"/>
  </w:num>
  <w:num w:numId="444" w16cid:durableId="1455056031">
    <w:abstractNumId w:val="346"/>
  </w:num>
  <w:num w:numId="445" w16cid:durableId="1511337214">
    <w:abstractNumId w:val="297"/>
  </w:num>
  <w:num w:numId="446" w16cid:durableId="670762026">
    <w:abstractNumId w:val="442"/>
  </w:num>
  <w:num w:numId="447" w16cid:durableId="2073196055">
    <w:abstractNumId w:val="164"/>
  </w:num>
  <w:num w:numId="448" w16cid:durableId="1589385637">
    <w:abstractNumId w:val="57"/>
  </w:num>
  <w:num w:numId="449" w16cid:durableId="1407725939">
    <w:abstractNumId w:val="166"/>
  </w:num>
  <w:num w:numId="450" w16cid:durableId="222064121">
    <w:abstractNumId w:val="196"/>
  </w:num>
  <w:num w:numId="451" w16cid:durableId="1345132713">
    <w:abstractNumId w:val="235"/>
  </w:num>
  <w:num w:numId="452" w16cid:durableId="677735309">
    <w:abstractNumId w:val="107"/>
  </w:num>
  <w:num w:numId="453" w16cid:durableId="1450927580">
    <w:abstractNumId w:val="170"/>
  </w:num>
  <w:num w:numId="454" w16cid:durableId="377781473">
    <w:abstractNumId w:val="430"/>
  </w:num>
  <w:num w:numId="455" w16cid:durableId="2071151106">
    <w:abstractNumId w:val="305"/>
  </w:num>
  <w:num w:numId="456" w16cid:durableId="479690604">
    <w:abstractNumId w:val="102"/>
  </w:num>
  <w:num w:numId="457" w16cid:durableId="1943561430">
    <w:abstractNumId w:val="149"/>
  </w:num>
  <w:num w:numId="458" w16cid:durableId="386490446">
    <w:abstractNumId w:val="10"/>
  </w:num>
  <w:num w:numId="459" w16cid:durableId="41250739">
    <w:abstractNumId w:val="385"/>
  </w:num>
  <w:num w:numId="460" w16cid:durableId="859129663">
    <w:abstractNumId w:val="38"/>
  </w:num>
  <w:num w:numId="461" w16cid:durableId="517305938">
    <w:abstractNumId w:val="370"/>
  </w:num>
  <w:num w:numId="462" w16cid:durableId="1587493334">
    <w:abstractNumId w:val="370"/>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noPunctuationKerning/>
  <w:characterSpacingControl w:val="doNotCompress"/>
  <w:hdrShapeDefaults>
    <o:shapedefaults v:ext="edit" spidmax="207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E2"/>
    <w:rsid w:val="000000A1"/>
    <w:rsid w:val="000000E0"/>
    <w:rsid w:val="000000F3"/>
    <w:rsid w:val="000002A7"/>
    <w:rsid w:val="000003C4"/>
    <w:rsid w:val="00000434"/>
    <w:rsid w:val="00000492"/>
    <w:rsid w:val="000004E4"/>
    <w:rsid w:val="000006C1"/>
    <w:rsid w:val="00000800"/>
    <w:rsid w:val="000008F4"/>
    <w:rsid w:val="00000A88"/>
    <w:rsid w:val="00000AEF"/>
    <w:rsid w:val="00000B04"/>
    <w:rsid w:val="00000B65"/>
    <w:rsid w:val="00000B8B"/>
    <w:rsid w:val="00000F4C"/>
    <w:rsid w:val="00001130"/>
    <w:rsid w:val="000011A7"/>
    <w:rsid w:val="000011AF"/>
    <w:rsid w:val="00001298"/>
    <w:rsid w:val="000012F4"/>
    <w:rsid w:val="000012F6"/>
    <w:rsid w:val="00001325"/>
    <w:rsid w:val="00001450"/>
    <w:rsid w:val="000014CC"/>
    <w:rsid w:val="0000163C"/>
    <w:rsid w:val="000016CF"/>
    <w:rsid w:val="0000189E"/>
    <w:rsid w:val="00001926"/>
    <w:rsid w:val="0000195F"/>
    <w:rsid w:val="00001984"/>
    <w:rsid w:val="00001A76"/>
    <w:rsid w:val="00001C08"/>
    <w:rsid w:val="00001F14"/>
    <w:rsid w:val="0000209C"/>
    <w:rsid w:val="000020B1"/>
    <w:rsid w:val="0000222E"/>
    <w:rsid w:val="000022DA"/>
    <w:rsid w:val="00002320"/>
    <w:rsid w:val="000023FF"/>
    <w:rsid w:val="00002433"/>
    <w:rsid w:val="000026ED"/>
    <w:rsid w:val="0000289F"/>
    <w:rsid w:val="00002A32"/>
    <w:rsid w:val="00002A52"/>
    <w:rsid w:val="00002AC2"/>
    <w:rsid w:val="00002D63"/>
    <w:rsid w:val="00002DC3"/>
    <w:rsid w:val="00002DF4"/>
    <w:rsid w:val="00002DFF"/>
    <w:rsid w:val="00002E8C"/>
    <w:rsid w:val="00002EF7"/>
    <w:rsid w:val="00003095"/>
    <w:rsid w:val="000030D6"/>
    <w:rsid w:val="0000313A"/>
    <w:rsid w:val="000031B0"/>
    <w:rsid w:val="000034DB"/>
    <w:rsid w:val="00003671"/>
    <w:rsid w:val="00003680"/>
    <w:rsid w:val="0000368B"/>
    <w:rsid w:val="000037F8"/>
    <w:rsid w:val="00003807"/>
    <w:rsid w:val="00003A8F"/>
    <w:rsid w:val="00003B17"/>
    <w:rsid w:val="00003B60"/>
    <w:rsid w:val="00003CB7"/>
    <w:rsid w:val="00003CFC"/>
    <w:rsid w:val="00003D12"/>
    <w:rsid w:val="00003DF2"/>
    <w:rsid w:val="00003EEB"/>
    <w:rsid w:val="00003FD0"/>
    <w:rsid w:val="00004110"/>
    <w:rsid w:val="00004151"/>
    <w:rsid w:val="00004161"/>
    <w:rsid w:val="000041F5"/>
    <w:rsid w:val="000042A9"/>
    <w:rsid w:val="00004346"/>
    <w:rsid w:val="000043EB"/>
    <w:rsid w:val="00004563"/>
    <w:rsid w:val="000045FE"/>
    <w:rsid w:val="000046F1"/>
    <w:rsid w:val="000047C3"/>
    <w:rsid w:val="00004889"/>
    <w:rsid w:val="000048BE"/>
    <w:rsid w:val="00004A0A"/>
    <w:rsid w:val="00004AF4"/>
    <w:rsid w:val="00004B3C"/>
    <w:rsid w:val="00004CA6"/>
    <w:rsid w:val="00004D9E"/>
    <w:rsid w:val="00004DEC"/>
    <w:rsid w:val="00004EA0"/>
    <w:rsid w:val="00004F11"/>
    <w:rsid w:val="00004FFA"/>
    <w:rsid w:val="0000506C"/>
    <w:rsid w:val="0000518B"/>
    <w:rsid w:val="000052DF"/>
    <w:rsid w:val="00005336"/>
    <w:rsid w:val="00005479"/>
    <w:rsid w:val="000055FF"/>
    <w:rsid w:val="00005691"/>
    <w:rsid w:val="000056D0"/>
    <w:rsid w:val="00005700"/>
    <w:rsid w:val="0000588F"/>
    <w:rsid w:val="000058D1"/>
    <w:rsid w:val="0000592B"/>
    <w:rsid w:val="00005952"/>
    <w:rsid w:val="000059AF"/>
    <w:rsid w:val="00005A7E"/>
    <w:rsid w:val="00005C15"/>
    <w:rsid w:val="00005DB2"/>
    <w:rsid w:val="00005DEE"/>
    <w:rsid w:val="00005E04"/>
    <w:rsid w:val="00005FB1"/>
    <w:rsid w:val="000060B2"/>
    <w:rsid w:val="000061FB"/>
    <w:rsid w:val="00006265"/>
    <w:rsid w:val="000063D1"/>
    <w:rsid w:val="000064DA"/>
    <w:rsid w:val="000065A7"/>
    <w:rsid w:val="00006613"/>
    <w:rsid w:val="0000663D"/>
    <w:rsid w:val="00006697"/>
    <w:rsid w:val="00006748"/>
    <w:rsid w:val="0000677D"/>
    <w:rsid w:val="000067B5"/>
    <w:rsid w:val="00006912"/>
    <w:rsid w:val="000069E1"/>
    <w:rsid w:val="00006A30"/>
    <w:rsid w:val="00006A44"/>
    <w:rsid w:val="00006B7A"/>
    <w:rsid w:val="00006B82"/>
    <w:rsid w:val="00006CCC"/>
    <w:rsid w:val="00006D07"/>
    <w:rsid w:val="00006D98"/>
    <w:rsid w:val="00006F0C"/>
    <w:rsid w:val="00006FC7"/>
    <w:rsid w:val="00007089"/>
    <w:rsid w:val="000070C9"/>
    <w:rsid w:val="000070FA"/>
    <w:rsid w:val="00007382"/>
    <w:rsid w:val="0000761B"/>
    <w:rsid w:val="00007654"/>
    <w:rsid w:val="000076BA"/>
    <w:rsid w:val="000076DC"/>
    <w:rsid w:val="00007736"/>
    <w:rsid w:val="0000788F"/>
    <w:rsid w:val="00007936"/>
    <w:rsid w:val="0000793E"/>
    <w:rsid w:val="000079A6"/>
    <w:rsid w:val="00007A58"/>
    <w:rsid w:val="00007BE2"/>
    <w:rsid w:val="00007C3D"/>
    <w:rsid w:val="00007C53"/>
    <w:rsid w:val="00007D75"/>
    <w:rsid w:val="00007DB3"/>
    <w:rsid w:val="00007FEF"/>
    <w:rsid w:val="000100FD"/>
    <w:rsid w:val="00010142"/>
    <w:rsid w:val="00010148"/>
    <w:rsid w:val="000101E8"/>
    <w:rsid w:val="00010285"/>
    <w:rsid w:val="000102CE"/>
    <w:rsid w:val="000102F5"/>
    <w:rsid w:val="0001038A"/>
    <w:rsid w:val="000103EE"/>
    <w:rsid w:val="000104D6"/>
    <w:rsid w:val="00010623"/>
    <w:rsid w:val="00010705"/>
    <w:rsid w:val="00010724"/>
    <w:rsid w:val="000107EF"/>
    <w:rsid w:val="000109CB"/>
    <w:rsid w:val="00010AE6"/>
    <w:rsid w:val="00010BCD"/>
    <w:rsid w:val="00010C21"/>
    <w:rsid w:val="00010D79"/>
    <w:rsid w:val="00010E49"/>
    <w:rsid w:val="00011021"/>
    <w:rsid w:val="00011032"/>
    <w:rsid w:val="000110BD"/>
    <w:rsid w:val="0001115E"/>
    <w:rsid w:val="00011364"/>
    <w:rsid w:val="000113B1"/>
    <w:rsid w:val="00011479"/>
    <w:rsid w:val="000114E8"/>
    <w:rsid w:val="000116E6"/>
    <w:rsid w:val="00011756"/>
    <w:rsid w:val="00011B70"/>
    <w:rsid w:val="00011B8E"/>
    <w:rsid w:val="00011C25"/>
    <w:rsid w:val="00011C73"/>
    <w:rsid w:val="00011E36"/>
    <w:rsid w:val="00011FAF"/>
    <w:rsid w:val="0001201D"/>
    <w:rsid w:val="0001203D"/>
    <w:rsid w:val="0001208D"/>
    <w:rsid w:val="000120B4"/>
    <w:rsid w:val="00012162"/>
    <w:rsid w:val="0001233F"/>
    <w:rsid w:val="000123E6"/>
    <w:rsid w:val="00012438"/>
    <w:rsid w:val="000125BB"/>
    <w:rsid w:val="00012628"/>
    <w:rsid w:val="000126A8"/>
    <w:rsid w:val="000126D5"/>
    <w:rsid w:val="000126FC"/>
    <w:rsid w:val="00012707"/>
    <w:rsid w:val="0001272D"/>
    <w:rsid w:val="000127DC"/>
    <w:rsid w:val="000128C6"/>
    <w:rsid w:val="000129DC"/>
    <w:rsid w:val="00012B1C"/>
    <w:rsid w:val="00012CC4"/>
    <w:rsid w:val="00012CE1"/>
    <w:rsid w:val="00012CF2"/>
    <w:rsid w:val="00012E8C"/>
    <w:rsid w:val="00012EBF"/>
    <w:rsid w:val="00012FDE"/>
    <w:rsid w:val="00013150"/>
    <w:rsid w:val="0001317E"/>
    <w:rsid w:val="000131D8"/>
    <w:rsid w:val="0001328D"/>
    <w:rsid w:val="000132C1"/>
    <w:rsid w:val="00013321"/>
    <w:rsid w:val="00013340"/>
    <w:rsid w:val="00013439"/>
    <w:rsid w:val="00013613"/>
    <w:rsid w:val="00013783"/>
    <w:rsid w:val="00013795"/>
    <w:rsid w:val="00013868"/>
    <w:rsid w:val="000138A4"/>
    <w:rsid w:val="000138EE"/>
    <w:rsid w:val="000138FC"/>
    <w:rsid w:val="00013918"/>
    <w:rsid w:val="00013A5A"/>
    <w:rsid w:val="00013C25"/>
    <w:rsid w:val="00013C69"/>
    <w:rsid w:val="00013CA0"/>
    <w:rsid w:val="00013CE0"/>
    <w:rsid w:val="00013E2F"/>
    <w:rsid w:val="00013EA6"/>
    <w:rsid w:val="00014050"/>
    <w:rsid w:val="000140A1"/>
    <w:rsid w:val="000140AD"/>
    <w:rsid w:val="000140CB"/>
    <w:rsid w:val="0001411E"/>
    <w:rsid w:val="000141DE"/>
    <w:rsid w:val="000142C2"/>
    <w:rsid w:val="000142D0"/>
    <w:rsid w:val="00014301"/>
    <w:rsid w:val="000143A2"/>
    <w:rsid w:val="000144D7"/>
    <w:rsid w:val="00014540"/>
    <w:rsid w:val="00014653"/>
    <w:rsid w:val="000146CB"/>
    <w:rsid w:val="0001479E"/>
    <w:rsid w:val="00014893"/>
    <w:rsid w:val="000148F2"/>
    <w:rsid w:val="00014985"/>
    <w:rsid w:val="0001498C"/>
    <w:rsid w:val="00014AD5"/>
    <w:rsid w:val="00014ADE"/>
    <w:rsid w:val="00014C15"/>
    <w:rsid w:val="00014E44"/>
    <w:rsid w:val="00014EC3"/>
    <w:rsid w:val="00014EDC"/>
    <w:rsid w:val="00014F17"/>
    <w:rsid w:val="00014F99"/>
    <w:rsid w:val="00014FB1"/>
    <w:rsid w:val="00015023"/>
    <w:rsid w:val="000150C0"/>
    <w:rsid w:val="0001515C"/>
    <w:rsid w:val="0001521E"/>
    <w:rsid w:val="00015516"/>
    <w:rsid w:val="00015709"/>
    <w:rsid w:val="0001583A"/>
    <w:rsid w:val="00015846"/>
    <w:rsid w:val="0001586D"/>
    <w:rsid w:val="00015921"/>
    <w:rsid w:val="00015A43"/>
    <w:rsid w:val="00015C21"/>
    <w:rsid w:val="00015C86"/>
    <w:rsid w:val="00015DFC"/>
    <w:rsid w:val="00015EDA"/>
    <w:rsid w:val="00015EDB"/>
    <w:rsid w:val="00016008"/>
    <w:rsid w:val="00016047"/>
    <w:rsid w:val="00016186"/>
    <w:rsid w:val="0001628D"/>
    <w:rsid w:val="00016341"/>
    <w:rsid w:val="0001634E"/>
    <w:rsid w:val="00016358"/>
    <w:rsid w:val="000163D4"/>
    <w:rsid w:val="00016443"/>
    <w:rsid w:val="000164A8"/>
    <w:rsid w:val="00016774"/>
    <w:rsid w:val="000169EB"/>
    <w:rsid w:val="00016B03"/>
    <w:rsid w:val="00016D65"/>
    <w:rsid w:val="00016DA7"/>
    <w:rsid w:val="00016DEA"/>
    <w:rsid w:val="00016E99"/>
    <w:rsid w:val="00016ECE"/>
    <w:rsid w:val="00016F7A"/>
    <w:rsid w:val="0001732C"/>
    <w:rsid w:val="0001752F"/>
    <w:rsid w:val="0001766F"/>
    <w:rsid w:val="0001768A"/>
    <w:rsid w:val="00017758"/>
    <w:rsid w:val="000177B9"/>
    <w:rsid w:val="0001791D"/>
    <w:rsid w:val="0001794B"/>
    <w:rsid w:val="00017CE7"/>
    <w:rsid w:val="00017D4A"/>
    <w:rsid w:val="00017D56"/>
    <w:rsid w:val="00017D5C"/>
    <w:rsid w:val="00017FFE"/>
    <w:rsid w:val="0002003F"/>
    <w:rsid w:val="00020074"/>
    <w:rsid w:val="00020212"/>
    <w:rsid w:val="00020303"/>
    <w:rsid w:val="00020529"/>
    <w:rsid w:val="0002053B"/>
    <w:rsid w:val="00020865"/>
    <w:rsid w:val="0002089E"/>
    <w:rsid w:val="0002098C"/>
    <w:rsid w:val="00020A95"/>
    <w:rsid w:val="00020B71"/>
    <w:rsid w:val="00020CC8"/>
    <w:rsid w:val="00020EFD"/>
    <w:rsid w:val="00020F04"/>
    <w:rsid w:val="00020FB1"/>
    <w:rsid w:val="00020FDB"/>
    <w:rsid w:val="00021009"/>
    <w:rsid w:val="000210F3"/>
    <w:rsid w:val="0002117B"/>
    <w:rsid w:val="0002124E"/>
    <w:rsid w:val="000212BE"/>
    <w:rsid w:val="000212DD"/>
    <w:rsid w:val="000212FC"/>
    <w:rsid w:val="00021325"/>
    <w:rsid w:val="000214EB"/>
    <w:rsid w:val="0002168D"/>
    <w:rsid w:val="0002195B"/>
    <w:rsid w:val="00021C67"/>
    <w:rsid w:val="00021D4C"/>
    <w:rsid w:val="00021DBF"/>
    <w:rsid w:val="00021DDE"/>
    <w:rsid w:val="00021F0D"/>
    <w:rsid w:val="000220DA"/>
    <w:rsid w:val="000220E4"/>
    <w:rsid w:val="0002227E"/>
    <w:rsid w:val="000224ED"/>
    <w:rsid w:val="000225DE"/>
    <w:rsid w:val="00022693"/>
    <w:rsid w:val="00022842"/>
    <w:rsid w:val="00022B04"/>
    <w:rsid w:val="00022C61"/>
    <w:rsid w:val="00022D02"/>
    <w:rsid w:val="00022D51"/>
    <w:rsid w:val="00022DA0"/>
    <w:rsid w:val="00022DDE"/>
    <w:rsid w:val="00022E3A"/>
    <w:rsid w:val="00022E8F"/>
    <w:rsid w:val="00022F25"/>
    <w:rsid w:val="00022F95"/>
    <w:rsid w:val="000230E2"/>
    <w:rsid w:val="00023129"/>
    <w:rsid w:val="000231F2"/>
    <w:rsid w:val="00023206"/>
    <w:rsid w:val="000232FA"/>
    <w:rsid w:val="00023327"/>
    <w:rsid w:val="00023441"/>
    <w:rsid w:val="0002350A"/>
    <w:rsid w:val="0002352B"/>
    <w:rsid w:val="00023662"/>
    <w:rsid w:val="00023679"/>
    <w:rsid w:val="000236A2"/>
    <w:rsid w:val="000237CF"/>
    <w:rsid w:val="000237F4"/>
    <w:rsid w:val="0002391F"/>
    <w:rsid w:val="00023C99"/>
    <w:rsid w:val="00023ECF"/>
    <w:rsid w:val="000240DE"/>
    <w:rsid w:val="00024182"/>
    <w:rsid w:val="00024193"/>
    <w:rsid w:val="000241B2"/>
    <w:rsid w:val="000241E4"/>
    <w:rsid w:val="00024367"/>
    <w:rsid w:val="000243AD"/>
    <w:rsid w:val="00024452"/>
    <w:rsid w:val="00024466"/>
    <w:rsid w:val="000245A8"/>
    <w:rsid w:val="00024797"/>
    <w:rsid w:val="000247CD"/>
    <w:rsid w:val="00024822"/>
    <w:rsid w:val="0002484A"/>
    <w:rsid w:val="00024901"/>
    <w:rsid w:val="000249D0"/>
    <w:rsid w:val="00024A0B"/>
    <w:rsid w:val="00024BD8"/>
    <w:rsid w:val="00024ED0"/>
    <w:rsid w:val="00025050"/>
    <w:rsid w:val="0002507C"/>
    <w:rsid w:val="0002512F"/>
    <w:rsid w:val="0002528B"/>
    <w:rsid w:val="000252CD"/>
    <w:rsid w:val="00025356"/>
    <w:rsid w:val="00025378"/>
    <w:rsid w:val="0002537E"/>
    <w:rsid w:val="000253AC"/>
    <w:rsid w:val="000253E9"/>
    <w:rsid w:val="00025449"/>
    <w:rsid w:val="00025503"/>
    <w:rsid w:val="00025664"/>
    <w:rsid w:val="00025666"/>
    <w:rsid w:val="0002577C"/>
    <w:rsid w:val="00025860"/>
    <w:rsid w:val="00025A14"/>
    <w:rsid w:val="00025A2B"/>
    <w:rsid w:val="00025C89"/>
    <w:rsid w:val="00025CEC"/>
    <w:rsid w:val="00025D99"/>
    <w:rsid w:val="00025DF0"/>
    <w:rsid w:val="000261BC"/>
    <w:rsid w:val="000261E3"/>
    <w:rsid w:val="00026430"/>
    <w:rsid w:val="00026445"/>
    <w:rsid w:val="00026447"/>
    <w:rsid w:val="00026450"/>
    <w:rsid w:val="0002654D"/>
    <w:rsid w:val="000266E1"/>
    <w:rsid w:val="0002676E"/>
    <w:rsid w:val="0002681A"/>
    <w:rsid w:val="000268BB"/>
    <w:rsid w:val="000268F4"/>
    <w:rsid w:val="000269E8"/>
    <w:rsid w:val="00026B5E"/>
    <w:rsid w:val="00026C91"/>
    <w:rsid w:val="00026D17"/>
    <w:rsid w:val="00026F00"/>
    <w:rsid w:val="00026F85"/>
    <w:rsid w:val="00026FD0"/>
    <w:rsid w:val="00026FD8"/>
    <w:rsid w:val="00026FEC"/>
    <w:rsid w:val="00027042"/>
    <w:rsid w:val="000270BA"/>
    <w:rsid w:val="000271C0"/>
    <w:rsid w:val="000272CA"/>
    <w:rsid w:val="0002754A"/>
    <w:rsid w:val="00027578"/>
    <w:rsid w:val="00027614"/>
    <w:rsid w:val="0002779E"/>
    <w:rsid w:val="00027869"/>
    <w:rsid w:val="00027899"/>
    <w:rsid w:val="000278EF"/>
    <w:rsid w:val="0002799D"/>
    <w:rsid w:val="00027AC5"/>
    <w:rsid w:val="00027B07"/>
    <w:rsid w:val="00027C6A"/>
    <w:rsid w:val="00027D12"/>
    <w:rsid w:val="00027DE4"/>
    <w:rsid w:val="00027F8C"/>
    <w:rsid w:val="00027FF8"/>
    <w:rsid w:val="00030050"/>
    <w:rsid w:val="0003006A"/>
    <w:rsid w:val="00030107"/>
    <w:rsid w:val="000301B1"/>
    <w:rsid w:val="000301FE"/>
    <w:rsid w:val="0003020E"/>
    <w:rsid w:val="00030320"/>
    <w:rsid w:val="00030348"/>
    <w:rsid w:val="0003044A"/>
    <w:rsid w:val="0003052C"/>
    <w:rsid w:val="0003056F"/>
    <w:rsid w:val="00030664"/>
    <w:rsid w:val="000306B6"/>
    <w:rsid w:val="0003072C"/>
    <w:rsid w:val="00030920"/>
    <w:rsid w:val="000309C0"/>
    <w:rsid w:val="00030A24"/>
    <w:rsid w:val="00030AEB"/>
    <w:rsid w:val="00030C66"/>
    <w:rsid w:val="00030CDB"/>
    <w:rsid w:val="00030D03"/>
    <w:rsid w:val="00030DCA"/>
    <w:rsid w:val="00030EED"/>
    <w:rsid w:val="00030FF1"/>
    <w:rsid w:val="000310A8"/>
    <w:rsid w:val="00031105"/>
    <w:rsid w:val="00031135"/>
    <w:rsid w:val="00031231"/>
    <w:rsid w:val="00031300"/>
    <w:rsid w:val="00031464"/>
    <w:rsid w:val="0003148B"/>
    <w:rsid w:val="000314CD"/>
    <w:rsid w:val="00031517"/>
    <w:rsid w:val="00031529"/>
    <w:rsid w:val="000315E3"/>
    <w:rsid w:val="000316FA"/>
    <w:rsid w:val="0003170A"/>
    <w:rsid w:val="00031721"/>
    <w:rsid w:val="00031784"/>
    <w:rsid w:val="0003178E"/>
    <w:rsid w:val="0003179A"/>
    <w:rsid w:val="000317C5"/>
    <w:rsid w:val="000319ED"/>
    <w:rsid w:val="00031A6E"/>
    <w:rsid w:val="00031B6E"/>
    <w:rsid w:val="00031BF0"/>
    <w:rsid w:val="00031ED6"/>
    <w:rsid w:val="00031F07"/>
    <w:rsid w:val="00031F40"/>
    <w:rsid w:val="00032012"/>
    <w:rsid w:val="0003209B"/>
    <w:rsid w:val="000322ED"/>
    <w:rsid w:val="000324D7"/>
    <w:rsid w:val="00032552"/>
    <w:rsid w:val="000327DD"/>
    <w:rsid w:val="00032857"/>
    <w:rsid w:val="00032885"/>
    <w:rsid w:val="0003289B"/>
    <w:rsid w:val="0003299E"/>
    <w:rsid w:val="000329F6"/>
    <w:rsid w:val="00032AAC"/>
    <w:rsid w:val="00032D13"/>
    <w:rsid w:val="00032D17"/>
    <w:rsid w:val="00032E66"/>
    <w:rsid w:val="00032E91"/>
    <w:rsid w:val="00032EF2"/>
    <w:rsid w:val="00032F2F"/>
    <w:rsid w:val="00032F5C"/>
    <w:rsid w:val="00032FBC"/>
    <w:rsid w:val="00032FD5"/>
    <w:rsid w:val="0003314A"/>
    <w:rsid w:val="00033208"/>
    <w:rsid w:val="000333AF"/>
    <w:rsid w:val="000333CD"/>
    <w:rsid w:val="000334C6"/>
    <w:rsid w:val="00033594"/>
    <w:rsid w:val="000336E0"/>
    <w:rsid w:val="000336F2"/>
    <w:rsid w:val="0003371D"/>
    <w:rsid w:val="00033758"/>
    <w:rsid w:val="000337C1"/>
    <w:rsid w:val="000337E0"/>
    <w:rsid w:val="000337F1"/>
    <w:rsid w:val="00033860"/>
    <w:rsid w:val="000338E0"/>
    <w:rsid w:val="000338F1"/>
    <w:rsid w:val="0003398B"/>
    <w:rsid w:val="0003398D"/>
    <w:rsid w:val="00033AF4"/>
    <w:rsid w:val="00033AF5"/>
    <w:rsid w:val="00033B32"/>
    <w:rsid w:val="00033B8C"/>
    <w:rsid w:val="00033BC0"/>
    <w:rsid w:val="00033C18"/>
    <w:rsid w:val="00033CB5"/>
    <w:rsid w:val="00033CD6"/>
    <w:rsid w:val="00033DAD"/>
    <w:rsid w:val="00033DDD"/>
    <w:rsid w:val="0003404F"/>
    <w:rsid w:val="00034267"/>
    <w:rsid w:val="00034296"/>
    <w:rsid w:val="000342A7"/>
    <w:rsid w:val="00034440"/>
    <w:rsid w:val="000345FE"/>
    <w:rsid w:val="00034693"/>
    <w:rsid w:val="000347BD"/>
    <w:rsid w:val="0003484A"/>
    <w:rsid w:val="00034876"/>
    <w:rsid w:val="00034A6C"/>
    <w:rsid w:val="00034B09"/>
    <w:rsid w:val="00034B61"/>
    <w:rsid w:val="00034C53"/>
    <w:rsid w:val="00034CB4"/>
    <w:rsid w:val="00034F61"/>
    <w:rsid w:val="00034FC1"/>
    <w:rsid w:val="000350FD"/>
    <w:rsid w:val="000352C6"/>
    <w:rsid w:val="000352E8"/>
    <w:rsid w:val="00035367"/>
    <w:rsid w:val="000353A1"/>
    <w:rsid w:val="000353B4"/>
    <w:rsid w:val="0003540B"/>
    <w:rsid w:val="00035460"/>
    <w:rsid w:val="00035682"/>
    <w:rsid w:val="00035765"/>
    <w:rsid w:val="000357F9"/>
    <w:rsid w:val="00035813"/>
    <w:rsid w:val="000358AF"/>
    <w:rsid w:val="0003592C"/>
    <w:rsid w:val="00035AA0"/>
    <w:rsid w:val="00035B01"/>
    <w:rsid w:val="00035BB9"/>
    <w:rsid w:val="00035D65"/>
    <w:rsid w:val="00035DC6"/>
    <w:rsid w:val="00035E85"/>
    <w:rsid w:val="00035F41"/>
    <w:rsid w:val="0003613C"/>
    <w:rsid w:val="00036182"/>
    <w:rsid w:val="0003620F"/>
    <w:rsid w:val="00036345"/>
    <w:rsid w:val="000363BC"/>
    <w:rsid w:val="0003647A"/>
    <w:rsid w:val="000364AB"/>
    <w:rsid w:val="000364F4"/>
    <w:rsid w:val="000365F3"/>
    <w:rsid w:val="0003662B"/>
    <w:rsid w:val="000366AC"/>
    <w:rsid w:val="00036768"/>
    <w:rsid w:val="00036830"/>
    <w:rsid w:val="00036913"/>
    <w:rsid w:val="00036978"/>
    <w:rsid w:val="00036A05"/>
    <w:rsid w:val="00036B29"/>
    <w:rsid w:val="00036C40"/>
    <w:rsid w:val="00036E01"/>
    <w:rsid w:val="00036E28"/>
    <w:rsid w:val="00036E9E"/>
    <w:rsid w:val="00036FFA"/>
    <w:rsid w:val="00037315"/>
    <w:rsid w:val="0003734A"/>
    <w:rsid w:val="0003763A"/>
    <w:rsid w:val="00037751"/>
    <w:rsid w:val="000377B8"/>
    <w:rsid w:val="000377E9"/>
    <w:rsid w:val="000378ED"/>
    <w:rsid w:val="000378FC"/>
    <w:rsid w:val="0003791C"/>
    <w:rsid w:val="00037924"/>
    <w:rsid w:val="00037A06"/>
    <w:rsid w:val="00037A6B"/>
    <w:rsid w:val="00037A9B"/>
    <w:rsid w:val="00037B61"/>
    <w:rsid w:val="00037D4F"/>
    <w:rsid w:val="00037F5E"/>
    <w:rsid w:val="00037FF0"/>
    <w:rsid w:val="00040093"/>
    <w:rsid w:val="000400AD"/>
    <w:rsid w:val="000401EB"/>
    <w:rsid w:val="00040368"/>
    <w:rsid w:val="000403E0"/>
    <w:rsid w:val="0004050F"/>
    <w:rsid w:val="000405CD"/>
    <w:rsid w:val="00040623"/>
    <w:rsid w:val="000406B9"/>
    <w:rsid w:val="000406F1"/>
    <w:rsid w:val="00040749"/>
    <w:rsid w:val="000407B6"/>
    <w:rsid w:val="00040804"/>
    <w:rsid w:val="00040823"/>
    <w:rsid w:val="00040B3C"/>
    <w:rsid w:val="00040CCA"/>
    <w:rsid w:val="00040D0F"/>
    <w:rsid w:val="00040D61"/>
    <w:rsid w:val="00040D80"/>
    <w:rsid w:val="00040EE8"/>
    <w:rsid w:val="00040F18"/>
    <w:rsid w:val="00040FBA"/>
    <w:rsid w:val="00041004"/>
    <w:rsid w:val="0004103D"/>
    <w:rsid w:val="000410F4"/>
    <w:rsid w:val="00041176"/>
    <w:rsid w:val="0004125E"/>
    <w:rsid w:val="000412E5"/>
    <w:rsid w:val="0004131E"/>
    <w:rsid w:val="00041497"/>
    <w:rsid w:val="000415AE"/>
    <w:rsid w:val="0004162E"/>
    <w:rsid w:val="0004173C"/>
    <w:rsid w:val="00041764"/>
    <w:rsid w:val="00041831"/>
    <w:rsid w:val="00041873"/>
    <w:rsid w:val="0004188C"/>
    <w:rsid w:val="00041991"/>
    <w:rsid w:val="00041A3C"/>
    <w:rsid w:val="00041AB3"/>
    <w:rsid w:val="00041AC8"/>
    <w:rsid w:val="00041AEA"/>
    <w:rsid w:val="00041AF1"/>
    <w:rsid w:val="00041B4E"/>
    <w:rsid w:val="00041B6C"/>
    <w:rsid w:val="00041C2F"/>
    <w:rsid w:val="00041C4D"/>
    <w:rsid w:val="00041C53"/>
    <w:rsid w:val="00041D07"/>
    <w:rsid w:val="00041D44"/>
    <w:rsid w:val="00041D9C"/>
    <w:rsid w:val="00041EC3"/>
    <w:rsid w:val="00041F01"/>
    <w:rsid w:val="00041F75"/>
    <w:rsid w:val="00041FC2"/>
    <w:rsid w:val="000420F5"/>
    <w:rsid w:val="000422C4"/>
    <w:rsid w:val="000423E6"/>
    <w:rsid w:val="000425CF"/>
    <w:rsid w:val="000427AC"/>
    <w:rsid w:val="0004295B"/>
    <w:rsid w:val="000429C3"/>
    <w:rsid w:val="000429CB"/>
    <w:rsid w:val="00042A02"/>
    <w:rsid w:val="00042AC0"/>
    <w:rsid w:val="00042B65"/>
    <w:rsid w:val="00042BED"/>
    <w:rsid w:val="00042C36"/>
    <w:rsid w:val="00042D3B"/>
    <w:rsid w:val="00042DE6"/>
    <w:rsid w:val="00042DEF"/>
    <w:rsid w:val="00042E0D"/>
    <w:rsid w:val="0004302B"/>
    <w:rsid w:val="0004304E"/>
    <w:rsid w:val="00043161"/>
    <w:rsid w:val="000431E2"/>
    <w:rsid w:val="00043236"/>
    <w:rsid w:val="000433B1"/>
    <w:rsid w:val="0004343E"/>
    <w:rsid w:val="00043492"/>
    <w:rsid w:val="000434B8"/>
    <w:rsid w:val="0004368F"/>
    <w:rsid w:val="000437B1"/>
    <w:rsid w:val="0004380B"/>
    <w:rsid w:val="00043896"/>
    <w:rsid w:val="00043935"/>
    <w:rsid w:val="00043A4B"/>
    <w:rsid w:val="00043CA9"/>
    <w:rsid w:val="00043CC5"/>
    <w:rsid w:val="00043E29"/>
    <w:rsid w:val="00043E89"/>
    <w:rsid w:val="00043F21"/>
    <w:rsid w:val="00044034"/>
    <w:rsid w:val="000440C6"/>
    <w:rsid w:val="00044230"/>
    <w:rsid w:val="00044263"/>
    <w:rsid w:val="00044272"/>
    <w:rsid w:val="00044290"/>
    <w:rsid w:val="0004432F"/>
    <w:rsid w:val="000444A4"/>
    <w:rsid w:val="000445B6"/>
    <w:rsid w:val="000446AD"/>
    <w:rsid w:val="00044719"/>
    <w:rsid w:val="00044744"/>
    <w:rsid w:val="00044771"/>
    <w:rsid w:val="000449F3"/>
    <w:rsid w:val="00044AE3"/>
    <w:rsid w:val="00044BCD"/>
    <w:rsid w:val="00044BD9"/>
    <w:rsid w:val="00044C56"/>
    <w:rsid w:val="00044C57"/>
    <w:rsid w:val="00044D7E"/>
    <w:rsid w:val="00044D91"/>
    <w:rsid w:val="00044E8B"/>
    <w:rsid w:val="00044E95"/>
    <w:rsid w:val="00044EC3"/>
    <w:rsid w:val="00044FE0"/>
    <w:rsid w:val="00045011"/>
    <w:rsid w:val="00045019"/>
    <w:rsid w:val="00045058"/>
    <w:rsid w:val="000450C8"/>
    <w:rsid w:val="00045102"/>
    <w:rsid w:val="00045171"/>
    <w:rsid w:val="000453E1"/>
    <w:rsid w:val="00045426"/>
    <w:rsid w:val="0004542F"/>
    <w:rsid w:val="000455B8"/>
    <w:rsid w:val="000456BA"/>
    <w:rsid w:val="00045788"/>
    <w:rsid w:val="00045854"/>
    <w:rsid w:val="00045B68"/>
    <w:rsid w:val="00045BA0"/>
    <w:rsid w:val="00045C95"/>
    <w:rsid w:val="00045CB4"/>
    <w:rsid w:val="00045CCB"/>
    <w:rsid w:val="00045CD5"/>
    <w:rsid w:val="0004601F"/>
    <w:rsid w:val="00046160"/>
    <w:rsid w:val="000462C9"/>
    <w:rsid w:val="000463F1"/>
    <w:rsid w:val="000464F3"/>
    <w:rsid w:val="00046517"/>
    <w:rsid w:val="00046652"/>
    <w:rsid w:val="0004667B"/>
    <w:rsid w:val="0004676F"/>
    <w:rsid w:val="00046799"/>
    <w:rsid w:val="00046827"/>
    <w:rsid w:val="000469D2"/>
    <w:rsid w:val="00046A12"/>
    <w:rsid w:val="00046BE1"/>
    <w:rsid w:val="00046C07"/>
    <w:rsid w:val="00046CFE"/>
    <w:rsid w:val="00046D7A"/>
    <w:rsid w:val="00046DA6"/>
    <w:rsid w:val="00046E4F"/>
    <w:rsid w:val="00047104"/>
    <w:rsid w:val="000471DC"/>
    <w:rsid w:val="000472CB"/>
    <w:rsid w:val="00047396"/>
    <w:rsid w:val="000473B6"/>
    <w:rsid w:val="00047542"/>
    <w:rsid w:val="0004764E"/>
    <w:rsid w:val="0004769D"/>
    <w:rsid w:val="000476A6"/>
    <w:rsid w:val="000477CE"/>
    <w:rsid w:val="000478AF"/>
    <w:rsid w:val="00047913"/>
    <w:rsid w:val="00047A6B"/>
    <w:rsid w:val="00047AD0"/>
    <w:rsid w:val="00047ADF"/>
    <w:rsid w:val="00047B43"/>
    <w:rsid w:val="00047E69"/>
    <w:rsid w:val="00047EF3"/>
    <w:rsid w:val="00047F9F"/>
    <w:rsid w:val="00047FA7"/>
    <w:rsid w:val="000500D9"/>
    <w:rsid w:val="000500E0"/>
    <w:rsid w:val="000502A7"/>
    <w:rsid w:val="0005034F"/>
    <w:rsid w:val="0005055E"/>
    <w:rsid w:val="00050579"/>
    <w:rsid w:val="000505B6"/>
    <w:rsid w:val="00050784"/>
    <w:rsid w:val="00050AC9"/>
    <w:rsid w:val="00050C18"/>
    <w:rsid w:val="00050C57"/>
    <w:rsid w:val="00050CDC"/>
    <w:rsid w:val="00050DA5"/>
    <w:rsid w:val="00050E4A"/>
    <w:rsid w:val="00050E87"/>
    <w:rsid w:val="00050FE0"/>
    <w:rsid w:val="00051088"/>
    <w:rsid w:val="00051146"/>
    <w:rsid w:val="000511BE"/>
    <w:rsid w:val="000511D0"/>
    <w:rsid w:val="00051273"/>
    <w:rsid w:val="0005136A"/>
    <w:rsid w:val="000513FE"/>
    <w:rsid w:val="00051674"/>
    <w:rsid w:val="00051830"/>
    <w:rsid w:val="00051862"/>
    <w:rsid w:val="000518E6"/>
    <w:rsid w:val="000519AF"/>
    <w:rsid w:val="000519CC"/>
    <w:rsid w:val="00051A54"/>
    <w:rsid w:val="00051B95"/>
    <w:rsid w:val="00051BAF"/>
    <w:rsid w:val="00052000"/>
    <w:rsid w:val="000520CD"/>
    <w:rsid w:val="000520F5"/>
    <w:rsid w:val="000521D7"/>
    <w:rsid w:val="000522E5"/>
    <w:rsid w:val="000523D8"/>
    <w:rsid w:val="00052539"/>
    <w:rsid w:val="000525F8"/>
    <w:rsid w:val="000528BB"/>
    <w:rsid w:val="00052975"/>
    <w:rsid w:val="000529EB"/>
    <w:rsid w:val="00052B60"/>
    <w:rsid w:val="00052C5D"/>
    <w:rsid w:val="00052D49"/>
    <w:rsid w:val="00052EBF"/>
    <w:rsid w:val="00052F1A"/>
    <w:rsid w:val="0005310B"/>
    <w:rsid w:val="000532F3"/>
    <w:rsid w:val="000535AA"/>
    <w:rsid w:val="000537E7"/>
    <w:rsid w:val="00053876"/>
    <w:rsid w:val="0005396A"/>
    <w:rsid w:val="0005399C"/>
    <w:rsid w:val="00053B52"/>
    <w:rsid w:val="00053CE5"/>
    <w:rsid w:val="00053D31"/>
    <w:rsid w:val="00053D6B"/>
    <w:rsid w:val="00053DB0"/>
    <w:rsid w:val="00053DE2"/>
    <w:rsid w:val="00053E9A"/>
    <w:rsid w:val="00053FD2"/>
    <w:rsid w:val="000540F6"/>
    <w:rsid w:val="00054122"/>
    <w:rsid w:val="00054128"/>
    <w:rsid w:val="0005423D"/>
    <w:rsid w:val="00054269"/>
    <w:rsid w:val="0005445B"/>
    <w:rsid w:val="00054929"/>
    <w:rsid w:val="00054932"/>
    <w:rsid w:val="000549C9"/>
    <w:rsid w:val="00054A25"/>
    <w:rsid w:val="00054A88"/>
    <w:rsid w:val="00054B36"/>
    <w:rsid w:val="00054B94"/>
    <w:rsid w:val="00054C77"/>
    <w:rsid w:val="00054E40"/>
    <w:rsid w:val="00054FFF"/>
    <w:rsid w:val="00055025"/>
    <w:rsid w:val="00055103"/>
    <w:rsid w:val="0005528A"/>
    <w:rsid w:val="00055462"/>
    <w:rsid w:val="0005548B"/>
    <w:rsid w:val="000556EB"/>
    <w:rsid w:val="0005574E"/>
    <w:rsid w:val="00055789"/>
    <w:rsid w:val="00055804"/>
    <w:rsid w:val="0005587A"/>
    <w:rsid w:val="00055A09"/>
    <w:rsid w:val="00055A63"/>
    <w:rsid w:val="00055AE8"/>
    <w:rsid w:val="00055B36"/>
    <w:rsid w:val="00055C42"/>
    <w:rsid w:val="00055DDA"/>
    <w:rsid w:val="00055E39"/>
    <w:rsid w:val="00056008"/>
    <w:rsid w:val="00056058"/>
    <w:rsid w:val="0005609D"/>
    <w:rsid w:val="000560EE"/>
    <w:rsid w:val="00056215"/>
    <w:rsid w:val="00056284"/>
    <w:rsid w:val="00056381"/>
    <w:rsid w:val="00056459"/>
    <w:rsid w:val="00056575"/>
    <w:rsid w:val="000565E2"/>
    <w:rsid w:val="0005667C"/>
    <w:rsid w:val="00056801"/>
    <w:rsid w:val="0005682F"/>
    <w:rsid w:val="00056875"/>
    <w:rsid w:val="000568A6"/>
    <w:rsid w:val="000568E2"/>
    <w:rsid w:val="0005692B"/>
    <w:rsid w:val="00056930"/>
    <w:rsid w:val="00056A54"/>
    <w:rsid w:val="00056A80"/>
    <w:rsid w:val="00056ADA"/>
    <w:rsid w:val="00056BC2"/>
    <w:rsid w:val="00056EBB"/>
    <w:rsid w:val="00056FFC"/>
    <w:rsid w:val="000570DB"/>
    <w:rsid w:val="00057199"/>
    <w:rsid w:val="0005721C"/>
    <w:rsid w:val="000574B1"/>
    <w:rsid w:val="0005782A"/>
    <w:rsid w:val="00057834"/>
    <w:rsid w:val="000578F9"/>
    <w:rsid w:val="000579DE"/>
    <w:rsid w:val="000579EC"/>
    <w:rsid w:val="00057D4B"/>
    <w:rsid w:val="00057E28"/>
    <w:rsid w:val="00057E8C"/>
    <w:rsid w:val="00057FD2"/>
    <w:rsid w:val="00057FF2"/>
    <w:rsid w:val="0006004A"/>
    <w:rsid w:val="0006018D"/>
    <w:rsid w:val="00060286"/>
    <w:rsid w:val="00060391"/>
    <w:rsid w:val="00060491"/>
    <w:rsid w:val="00060493"/>
    <w:rsid w:val="00060516"/>
    <w:rsid w:val="00060853"/>
    <w:rsid w:val="00060941"/>
    <w:rsid w:val="000609C8"/>
    <w:rsid w:val="000609F7"/>
    <w:rsid w:val="00060A03"/>
    <w:rsid w:val="00060AF1"/>
    <w:rsid w:val="00060AF2"/>
    <w:rsid w:val="00060B85"/>
    <w:rsid w:val="00060C01"/>
    <w:rsid w:val="00060CE6"/>
    <w:rsid w:val="00060D80"/>
    <w:rsid w:val="00060DA4"/>
    <w:rsid w:val="00060E9A"/>
    <w:rsid w:val="00060F4D"/>
    <w:rsid w:val="00061103"/>
    <w:rsid w:val="00061334"/>
    <w:rsid w:val="000614B1"/>
    <w:rsid w:val="000615BB"/>
    <w:rsid w:val="00061614"/>
    <w:rsid w:val="0006163F"/>
    <w:rsid w:val="0006167F"/>
    <w:rsid w:val="000617C1"/>
    <w:rsid w:val="0006181A"/>
    <w:rsid w:val="0006185D"/>
    <w:rsid w:val="0006187D"/>
    <w:rsid w:val="000618CF"/>
    <w:rsid w:val="00061989"/>
    <w:rsid w:val="000619EC"/>
    <w:rsid w:val="00061A3E"/>
    <w:rsid w:val="00061AE1"/>
    <w:rsid w:val="00061BEF"/>
    <w:rsid w:val="00061C03"/>
    <w:rsid w:val="00061C33"/>
    <w:rsid w:val="00061D74"/>
    <w:rsid w:val="00061DB0"/>
    <w:rsid w:val="0006202D"/>
    <w:rsid w:val="0006206D"/>
    <w:rsid w:val="00062339"/>
    <w:rsid w:val="00062398"/>
    <w:rsid w:val="000625B4"/>
    <w:rsid w:val="000626D6"/>
    <w:rsid w:val="0006270B"/>
    <w:rsid w:val="00062788"/>
    <w:rsid w:val="000627A5"/>
    <w:rsid w:val="000627BF"/>
    <w:rsid w:val="000627E3"/>
    <w:rsid w:val="000627F2"/>
    <w:rsid w:val="00062A82"/>
    <w:rsid w:val="00062A9B"/>
    <w:rsid w:val="00062C2F"/>
    <w:rsid w:val="00062DF2"/>
    <w:rsid w:val="00062E99"/>
    <w:rsid w:val="00062F81"/>
    <w:rsid w:val="00063074"/>
    <w:rsid w:val="000630F4"/>
    <w:rsid w:val="0006334A"/>
    <w:rsid w:val="0006338A"/>
    <w:rsid w:val="00063481"/>
    <w:rsid w:val="000634CF"/>
    <w:rsid w:val="000635C8"/>
    <w:rsid w:val="00063723"/>
    <w:rsid w:val="00063855"/>
    <w:rsid w:val="000638B2"/>
    <w:rsid w:val="0006392C"/>
    <w:rsid w:val="00063A00"/>
    <w:rsid w:val="00063ACE"/>
    <w:rsid w:val="00063B3B"/>
    <w:rsid w:val="00063BE9"/>
    <w:rsid w:val="00063DFD"/>
    <w:rsid w:val="0006405F"/>
    <w:rsid w:val="00064105"/>
    <w:rsid w:val="000641A6"/>
    <w:rsid w:val="0006428C"/>
    <w:rsid w:val="000643AC"/>
    <w:rsid w:val="000644FF"/>
    <w:rsid w:val="00064503"/>
    <w:rsid w:val="00064528"/>
    <w:rsid w:val="000645E1"/>
    <w:rsid w:val="00064629"/>
    <w:rsid w:val="00064809"/>
    <w:rsid w:val="00064854"/>
    <w:rsid w:val="000649AB"/>
    <w:rsid w:val="00064AEF"/>
    <w:rsid w:val="00064B9B"/>
    <w:rsid w:val="00064C04"/>
    <w:rsid w:val="00064CC3"/>
    <w:rsid w:val="00064DAD"/>
    <w:rsid w:val="00064E2D"/>
    <w:rsid w:val="0006512D"/>
    <w:rsid w:val="00065267"/>
    <w:rsid w:val="0006529F"/>
    <w:rsid w:val="000652D3"/>
    <w:rsid w:val="000657CD"/>
    <w:rsid w:val="00065825"/>
    <w:rsid w:val="00065986"/>
    <w:rsid w:val="00065990"/>
    <w:rsid w:val="000659A7"/>
    <w:rsid w:val="00065A16"/>
    <w:rsid w:val="00065B84"/>
    <w:rsid w:val="00065B88"/>
    <w:rsid w:val="00065BD6"/>
    <w:rsid w:val="00065C41"/>
    <w:rsid w:val="00065C74"/>
    <w:rsid w:val="00065C9A"/>
    <w:rsid w:val="00065E2E"/>
    <w:rsid w:val="00065EF7"/>
    <w:rsid w:val="00066066"/>
    <w:rsid w:val="000660AF"/>
    <w:rsid w:val="0006616E"/>
    <w:rsid w:val="0006622C"/>
    <w:rsid w:val="00066461"/>
    <w:rsid w:val="0006656E"/>
    <w:rsid w:val="000665A4"/>
    <w:rsid w:val="00066623"/>
    <w:rsid w:val="0006668E"/>
    <w:rsid w:val="00066773"/>
    <w:rsid w:val="00066815"/>
    <w:rsid w:val="00066850"/>
    <w:rsid w:val="00066968"/>
    <w:rsid w:val="00066AA7"/>
    <w:rsid w:val="00066B0C"/>
    <w:rsid w:val="00066B48"/>
    <w:rsid w:val="00066BC3"/>
    <w:rsid w:val="00066CDF"/>
    <w:rsid w:val="00066E91"/>
    <w:rsid w:val="00066F27"/>
    <w:rsid w:val="000671F8"/>
    <w:rsid w:val="000672F7"/>
    <w:rsid w:val="00067368"/>
    <w:rsid w:val="0006738A"/>
    <w:rsid w:val="0006746A"/>
    <w:rsid w:val="000674E3"/>
    <w:rsid w:val="000675CE"/>
    <w:rsid w:val="000675D7"/>
    <w:rsid w:val="00067697"/>
    <w:rsid w:val="000676D8"/>
    <w:rsid w:val="00067800"/>
    <w:rsid w:val="00067823"/>
    <w:rsid w:val="00067848"/>
    <w:rsid w:val="000678E8"/>
    <w:rsid w:val="00067927"/>
    <w:rsid w:val="000679BC"/>
    <w:rsid w:val="00067A69"/>
    <w:rsid w:val="00067AC7"/>
    <w:rsid w:val="00067AD3"/>
    <w:rsid w:val="00067AEF"/>
    <w:rsid w:val="00067C54"/>
    <w:rsid w:val="00067F29"/>
    <w:rsid w:val="00067F3E"/>
    <w:rsid w:val="00067F5D"/>
    <w:rsid w:val="00067F82"/>
    <w:rsid w:val="00070017"/>
    <w:rsid w:val="000700BE"/>
    <w:rsid w:val="0007013B"/>
    <w:rsid w:val="00070219"/>
    <w:rsid w:val="00070275"/>
    <w:rsid w:val="000704F5"/>
    <w:rsid w:val="0007053B"/>
    <w:rsid w:val="0007073C"/>
    <w:rsid w:val="000707FE"/>
    <w:rsid w:val="00070875"/>
    <w:rsid w:val="00070908"/>
    <w:rsid w:val="00070976"/>
    <w:rsid w:val="000709B1"/>
    <w:rsid w:val="00070A13"/>
    <w:rsid w:val="00070A33"/>
    <w:rsid w:val="00070B3B"/>
    <w:rsid w:val="00070B4C"/>
    <w:rsid w:val="00070C4F"/>
    <w:rsid w:val="00070C87"/>
    <w:rsid w:val="00070DD1"/>
    <w:rsid w:val="00070DD3"/>
    <w:rsid w:val="00070EDC"/>
    <w:rsid w:val="00070F8B"/>
    <w:rsid w:val="00070FEA"/>
    <w:rsid w:val="00071037"/>
    <w:rsid w:val="00071059"/>
    <w:rsid w:val="000710EF"/>
    <w:rsid w:val="000711F5"/>
    <w:rsid w:val="0007122A"/>
    <w:rsid w:val="00071289"/>
    <w:rsid w:val="000712DC"/>
    <w:rsid w:val="00071337"/>
    <w:rsid w:val="0007139E"/>
    <w:rsid w:val="0007162F"/>
    <w:rsid w:val="00071785"/>
    <w:rsid w:val="00071831"/>
    <w:rsid w:val="00071895"/>
    <w:rsid w:val="00071A62"/>
    <w:rsid w:val="00071A66"/>
    <w:rsid w:val="00071CE0"/>
    <w:rsid w:val="00071F62"/>
    <w:rsid w:val="00072024"/>
    <w:rsid w:val="000720C6"/>
    <w:rsid w:val="00072178"/>
    <w:rsid w:val="000722FC"/>
    <w:rsid w:val="0007239B"/>
    <w:rsid w:val="000723CE"/>
    <w:rsid w:val="00072469"/>
    <w:rsid w:val="00072496"/>
    <w:rsid w:val="000728F4"/>
    <w:rsid w:val="0007295C"/>
    <w:rsid w:val="0007297B"/>
    <w:rsid w:val="000729F6"/>
    <w:rsid w:val="00072B01"/>
    <w:rsid w:val="00072B11"/>
    <w:rsid w:val="00072D50"/>
    <w:rsid w:val="00072DD2"/>
    <w:rsid w:val="00072E02"/>
    <w:rsid w:val="0007305C"/>
    <w:rsid w:val="0007314F"/>
    <w:rsid w:val="00073220"/>
    <w:rsid w:val="0007323D"/>
    <w:rsid w:val="000732C3"/>
    <w:rsid w:val="00073474"/>
    <w:rsid w:val="0007352E"/>
    <w:rsid w:val="000735C0"/>
    <w:rsid w:val="00073633"/>
    <w:rsid w:val="000736E6"/>
    <w:rsid w:val="00073722"/>
    <w:rsid w:val="00073776"/>
    <w:rsid w:val="00073789"/>
    <w:rsid w:val="00073879"/>
    <w:rsid w:val="000738E3"/>
    <w:rsid w:val="00073B11"/>
    <w:rsid w:val="00073BF9"/>
    <w:rsid w:val="00073C1B"/>
    <w:rsid w:val="00073CC6"/>
    <w:rsid w:val="00073CCE"/>
    <w:rsid w:val="00073E73"/>
    <w:rsid w:val="00073FEC"/>
    <w:rsid w:val="00074079"/>
    <w:rsid w:val="000740A9"/>
    <w:rsid w:val="000742A5"/>
    <w:rsid w:val="0007432D"/>
    <w:rsid w:val="00074377"/>
    <w:rsid w:val="00074382"/>
    <w:rsid w:val="000744D4"/>
    <w:rsid w:val="000746A6"/>
    <w:rsid w:val="00074897"/>
    <w:rsid w:val="000748F1"/>
    <w:rsid w:val="00074AD1"/>
    <w:rsid w:val="00074B15"/>
    <w:rsid w:val="00074CEF"/>
    <w:rsid w:val="00074DB0"/>
    <w:rsid w:val="00074DB1"/>
    <w:rsid w:val="00074E5B"/>
    <w:rsid w:val="00074EB4"/>
    <w:rsid w:val="00074FDB"/>
    <w:rsid w:val="00074FDC"/>
    <w:rsid w:val="000750D4"/>
    <w:rsid w:val="000751F1"/>
    <w:rsid w:val="0007523B"/>
    <w:rsid w:val="0007527E"/>
    <w:rsid w:val="000752A0"/>
    <w:rsid w:val="00075705"/>
    <w:rsid w:val="00075745"/>
    <w:rsid w:val="000757DD"/>
    <w:rsid w:val="000758B0"/>
    <w:rsid w:val="000758D1"/>
    <w:rsid w:val="00075B09"/>
    <w:rsid w:val="00075EA7"/>
    <w:rsid w:val="00075FDA"/>
    <w:rsid w:val="000760BB"/>
    <w:rsid w:val="00076184"/>
    <w:rsid w:val="000762BD"/>
    <w:rsid w:val="000762E0"/>
    <w:rsid w:val="000763D6"/>
    <w:rsid w:val="00076521"/>
    <w:rsid w:val="00076AFC"/>
    <w:rsid w:val="00076B83"/>
    <w:rsid w:val="00076BA4"/>
    <w:rsid w:val="00076E62"/>
    <w:rsid w:val="00076EE6"/>
    <w:rsid w:val="00077027"/>
    <w:rsid w:val="0007703F"/>
    <w:rsid w:val="000770B5"/>
    <w:rsid w:val="0007746B"/>
    <w:rsid w:val="00077496"/>
    <w:rsid w:val="00077609"/>
    <w:rsid w:val="0007766E"/>
    <w:rsid w:val="000776E5"/>
    <w:rsid w:val="00077757"/>
    <w:rsid w:val="00077836"/>
    <w:rsid w:val="000779B6"/>
    <w:rsid w:val="00077A16"/>
    <w:rsid w:val="00077A79"/>
    <w:rsid w:val="00077C93"/>
    <w:rsid w:val="00077DC9"/>
    <w:rsid w:val="00077FB8"/>
    <w:rsid w:val="00077FE1"/>
    <w:rsid w:val="0008011E"/>
    <w:rsid w:val="0008015E"/>
    <w:rsid w:val="000801A7"/>
    <w:rsid w:val="00080218"/>
    <w:rsid w:val="00080222"/>
    <w:rsid w:val="0008023A"/>
    <w:rsid w:val="0008048A"/>
    <w:rsid w:val="000806FE"/>
    <w:rsid w:val="0008074D"/>
    <w:rsid w:val="00080809"/>
    <w:rsid w:val="00080851"/>
    <w:rsid w:val="0008099D"/>
    <w:rsid w:val="00080A06"/>
    <w:rsid w:val="00080B19"/>
    <w:rsid w:val="00080CC5"/>
    <w:rsid w:val="00080D02"/>
    <w:rsid w:val="00080D4E"/>
    <w:rsid w:val="000812DD"/>
    <w:rsid w:val="0008136C"/>
    <w:rsid w:val="000814AE"/>
    <w:rsid w:val="000816C6"/>
    <w:rsid w:val="000817CE"/>
    <w:rsid w:val="000818B8"/>
    <w:rsid w:val="000818EF"/>
    <w:rsid w:val="00081975"/>
    <w:rsid w:val="00081A0F"/>
    <w:rsid w:val="00081B2D"/>
    <w:rsid w:val="00081C4E"/>
    <w:rsid w:val="00081CE8"/>
    <w:rsid w:val="00081F13"/>
    <w:rsid w:val="00081FA6"/>
    <w:rsid w:val="0008218D"/>
    <w:rsid w:val="0008230A"/>
    <w:rsid w:val="000823AD"/>
    <w:rsid w:val="0008244F"/>
    <w:rsid w:val="000825F3"/>
    <w:rsid w:val="0008262A"/>
    <w:rsid w:val="0008277E"/>
    <w:rsid w:val="0008295F"/>
    <w:rsid w:val="000829A4"/>
    <w:rsid w:val="00082BA5"/>
    <w:rsid w:val="00082BC5"/>
    <w:rsid w:val="00082C1C"/>
    <w:rsid w:val="00082CFD"/>
    <w:rsid w:val="00082D68"/>
    <w:rsid w:val="00082E36"/>
    <w:rsid w:val="00082EE9"/>
    <w:rsid w:val="0008303A"/>
    <w:rsid w:val="00083057"/>
    <w:rsid w:val="000830EC"/>
    <w:rsid w:val="000831DA"/>
    <w:rsid w:val="00083209"/>
    <w:rsid w:val="0008340D"/>
    <w:rsid w:val="0008349B"/>
    <w:rsid w:val="000834C7"/>
    <w:rsid w:val="000834D4"/>
    <w:rsid w:val="000836E2"/>
    <w:rsid w:val="00083776"/>
    <w:rsid w:val="000837B1"/>
    <w:rsid w:val="0008385D"/>
    <w:rsid w:val="00083BA6"/>
    <w:rsid w:val="00083C37"/>
    <w:rsid w:val="00083CB6"/>
    <w:rsid w:val="00083CDB"/>
    <w:rsid w:val="00083DB6"/>
    <w:rsid w:val="00083DD7"/>
    <w:rsid w:val="00083F42"/>
    <w:rsid w:val="00083FEF"/>
    <w:rsid w:val="0008405B"/>
    <w:rsid w:val="000841EB"/>
    <w:rsid w:val="00084251"/>
    <w:rsid w:val="00084275"/>
    <w:rsid w:val="000842CC"/>
    <w:rsid w:val="000842EC"/>
    <w:rsid w:val="00084365"/>
    <w:rsid w:val="00084394"/>
    <w:rsid w:val="0008441F"/>
    <w:rsid w:val="000844EA"/>
    <w:rsid w:val="0008451C"/>
    <w:rsid w:val="0008452C"/>
    <w:rsid w:val="0008453A"/>
    <w:rsid w:val="000845AF"/>
    <w:rsid w:val="0008464B"/>
    <w:rsid w:val="000849A4"/>
    <w:rsid w:val="000849B2"/>
    <w:rsid w:val="00084A41"/>
    <w:rsid w:val="00084AFA"/>
    <w:rsid w:val="00084C68"/>
    <w:rsid w:val="00084D21"/>
    <w:rsid w:val="00084D71"/>
    <w:rsid w:val="00084EC8"/>
    <w:rsid w:val="00085206"/>
    <w:rsid w:val="0008522D"/>
    <w:rsid w:val="000852EE"/>
    <w:rsid w:val="00085355"/>
    <w:rsid w:val="000853E8"/>
    <w:rsid w:val="000853F9"/>
    <w:rsid w:val="00085531"/>
    <w:rsid w:val="000855DE"/>
    <w:rsid w:val="0008579F"/>
    <w:rsid w:val="000857A0"/>
    <w:rsid w:val="000857BC"/>
    <w:rsid w:val="00085990"/>
    <w:rsid w:val="000859A7"/>
    <w:rsid w:val="00085B37"/>
    <w:rsid w:val="00085B49"/>
    <w:rsid w:val="00085B4C"/>
    <w:rsid w:val="00085D23"/>
    <w:rsid w:val="00085E01"/>
    <w:rsid w:val="00085E9C"/>
    <w:rsid w:val="00086264"/>
    <w:rsid w:val="00086293"/>
    <w:rsid w:val="0008629C"/>
    <w:rsid w:val="000862C8"/>
    <w:rsid w:val="00086326"/>
    <w:rsid w:val="0008633C"/>
    <w:rsid w:val="00086537"/>
    <w:rsid w:val="0008653C"/>
    <w:rsid w:val="0008658A"/>
    <w:rsid w:val="000865C7"/>
    <w:rsid w:val="00086662"/>
    <w:rsid w:val="000868FB"/>
    <w:rsid w:val="00086A25"/>
    <w:rsid w:val="00086C72"/>
    <w:rsid w:val="00086DF2"/>
    <w:rsid w:val="00086E26"/>
    <w:rsid w:val="000870F8"/>
    <w:rsid w:val="00087211"/>
    <w:rsid w:val="00087292"/>
    <w:rsid w:val="000872D9"/>
    <w:rsid w:val="00087556"/>
    <w:rsid w:val="00087622"/>
    <w:rsid w:val="0008768B"/>
    <w:rsid w:val="000876ED"/>
    <w:rsid w:val="000877D5"/>
    <w:rsid w:val="0008788C"/>
    <w:rsid w:val="00087A93"/>
    <w:rsid w:val="00087B01"/>
    <w:rsid w:val="00087B5F"/>
    <w:rsid w:val="00087B75"/>
    <w:rsid w:val="00087DD1"/>
    <w:rsid w:val="00087E17"/>
    <w:rsid w:val="00087EF2"/>
    <w:rsid w:val="0009016B"/>
    <w:rsid w:val="000901AE"/>
    <w:rsid w:val="00090361"/>
    <w:rsid w:val="000904B4"/>
    <w:rsid w:val="000905BC"/>
    <w:rsid w:val="000906A6"/>
    <w:rsid w:val="0009078A"/>
    <w:rsid w:val="000907B7"/>
    <w:rsid w:val="0009081C"/>
    <w:rsid w:val="000908CD"/>
    <w:rsid w:val="00090B6D"/>
    <w:rsid w:val="00090B93"/>
    <w:rsid w:val="00090B99"/>
    <w:rsid w:val="00090D22"/>
    <w:rsid w:val="00090E4F"/>
    <w:rsid w:val="00090FE6"/>
    <w:rsid w:val="00091013"/>
    <w:rsid w:val="000911B9"/>
    <w:rsid w:val="00091207"/>
    <w:rsid w:val="00091210"/>
    <w:rsid w:val="0009138B"/>
    <w:rsid w:val="000913A4"/>
    <w:rsid w:val="0009143A"/>
    <w:rsid w:val="00091607"/>
    <w:rsid w:val="00091696"/>
    <w:rsid w:val="0009169C"/>
    <w:rsid w:val="000916C1"/>
    <w:rsid w:val="0009184E"/>
    <w:rsid w:val="00091A28"/>
    <w:rsid w:val="00091A84"/>
    <w:rsid w:val="00091ABF"/>
    <w:rsid w:val="00091B7A"/>
    <w:rsid w:val="00091BA7"/>
    <w:rsid w:val="00091BAE"/>
    <w:rsid w:val="00091C08"/>
    <w:rsid w:val="00091C1F"/>
    <w:rsid w:val="00091D20"/>
    <w:rsid w:val="00091D31"/>
    <w:rsid w:val="00091E6C"/>
    <w:rsid w:val="00091F15"/>
    <w:rsid w:val="00092145"/>
    <w:rsid w:val="000921AB"/>
    <w:rsid w:val="000922CA"/>
    <w:rsid w:val="000924F5"/>
    <w:rsid w:val="000926F3"/>
    <w:rsid w:val="00092792"/>
    <w:rsid w:val="00092801"/>
    <w:rsid w:val="0009285C"/>
    <w:rsid w:val="00092972"/>
    <w:rsid w:val="00092AE8"/>
    <w:rsid w:val="00092BEC"/>
    <w:rsid w:val="00092DD6"/>
    <w:rsid w:val="00092F6B"/>
    <w:rsid w:val="000930ED"/>
    <w:rsid w:val="00093199"/>
    <w:rsid w:val="0009323A"/>
    <w:rsid w:val="000933CF"/>
    <w:rsid w:val="0009354A"/>
    <w:rsid w:val="00093559"/>
    <w:rsid w:val="000935F3"/>
    <w:rsid w:val="0009370F"/>
    <w:rsid w:val="000937A9"/>
    <w:rsid w:val="000937BA"/>
    <w:rsid w:val="00093903"/>
    <w:rsid w:val="000939F5"/>
    <w:rsid w:val="00093B1A"/>
    <w:rsid w:val="00093C08"/>
    <w:rsid w:val="00093D3E"/>
    <w:rsid w:val="00093F1E"/>
    <w:rsid w:val="00093F30"/>
    <w:rsid w:val="000941D3"/>
    <w:rsid w:val="00094262"/>
    <w:rsid w:val="00094292"/>
    <w:rsid w:val="000942C8"/>
    <w:rsid w:val="00094567"/>
    <w:rsid w:val="000945EF"/>
    <w:rsid w:val="0009467E"/>
    <w:rsid w:val="0009472C"/>
    <w:rsid w:val="0009473C"/>
    <w:rsid w:val="000947FF"/>
    <w:rsid w:val="0009483D"/>
    <w:rsid w:val="00094844"/>
    <w:rsid w:val="000948EE"/>
    <w:rsid w:val="000948FD"/>
    <w:rsid w:val="00094959"/>
    <w:rsid w:val="00094BBC"/>
    <w:rsid w:val="00094C62"/>
    <w:rsid w:val="00094C68"/>
    <w:rsid w:val="00094D62"/>
    <w:rsid w:val="00094EFC"/>
    <w:rsid w:val="00094FE0"/>
    <w:rsid w:val="00095190"/>
    <w:rsid w:val="000951CD"/>
    <w:rsid w:val="00095276"/>
    <w:rsid w:val="00095389"/>
    <w:rsid w:val="000953CA"/>
    <w:rsid w:val="000953D6"/>
    <w:rsid w:val="0009544B"/>
    <w:rsid w:val="00095600"/>
    <w:rsid w:val="00095730"/>
    <w:rsid w:val="000957D4"/>
    <w:rsid w:val="00095834"/>
    <w:rsid w:val="000958FC"/>
    <w:rsid w:val="00095937"/>
    <w:rsid w:val="00095ADE"/>
    <w:rsid w:val="00095B61"/>
    <w:rsid w:val="00095BC9"/>
    <w:rsid w:val="00095C0B"/>
    <w:rsid w:val="00095E1E"/>
    <w:rsid w:val="00095E4E"/>
    <w:rsid w:val="00095FD7"/>
    <w:rsid w:val="000960E2"/>
    <w:rsid w:val="000961AD"/>
    <w:rsid w:val="000961E8"/>
    <w:rsid w:val="00096245"/>
    <w:rsid w:val="0009627D"/>
    <w:rsid w:val="000963C0"/>
    <w:rsid w:val="000963C7"/>
    <w:rsid w:val="00096457"/>
    <w:rsid w:val="00096529"/>
    <w:rsid w:val="000965BB"/>
    <w:rsid w:val="000965E9"/>
    <w:rsid w:val="00096740"/>
    <w:rsid w:val="0009678B"/>
    <w:rsid w:val="0009684E"/>
    <w:rsid w:val="0009693F"/>
    <w:rsid w:val="00096983"/>
    <w:rsid w:val="00096992"/>
    <w:rsid w:val="000969FA"/>
    <w:rsid w:val="00096B4B"/>
    <w:rsid w:val="00096B8D"/>
    <w:rsid w:val="00096B99"/>
    <w:rsid w:val="00096D4F"/>
    <w:rsid w:val="00096D7F"/>
    <w:rsid w:val="00096E2B"/>
    <w:rsid w:val="0009703B"/>
    <w:rsid w:val="00097209"/>
    <w:rsid w:val="00097213"/>
    <w:rsid w:val="000972AD"/>
    <w:rsid w:val="00097303"/>
    <w:rsid w:val="00097355"/>
    <w:rsid w:val="00097501"/>
    <w:rsid w:val="00097541"/>
    <w:rsid w:val="00097617"/>
    <w:rsid w:val="00097881"/>
    <w:rsid w:val="00097A0E"/>
    <w:rsid w:val="00097B53"/>
    <w:rsid w:val="00097C1B"/>
    <w:rsid w:val="00097D6B"/>
    <w:rsid w:val="00097D74"/>
    <w:rsid w:val="00097DFC"/>
    <w:rsid w:val="00097EAB"/>
    <w:rsid w:val="00097EC7"/>
    <w:rsid w:val="00097F14"/>
    <w:rsid w:val="00097F3C"/>
    <w:rsid w:val="00097F80"/>
    <w:rsid w:val="000A0008"/>
    <w:rsid w:val="000A001D"/>
    <w:rsid w:val="000A0179"/>
    <w:rsid w:val="000A01B6"/>
    <w:rsid w:val="000A027C"/>
    <w:rsid w:val="000A02C4"/>
    <w:rsid w:val="000A0379"/>
    <w:rsid w:val="000A03C0"/>
    <w:rsid w:val="000A06AE"/>
    <w:rsid w:val="000A079B"/>
    <w:rsid w:val="000A07D5"/>
    <w:rsid w:val="000A0843"/>
    <w:rsid w:val="000A0856"/>
    <w:rsid w:val="000A0894"/>
    <w:rsid w:val="000A0967"/>
    <w:rsid w:val="000A09A4"/>
    <w:rsid w:val="000A0D89"/>
    <w:rsid w:val="000A0DB9"/>
    <w:rsid w:val="000A0FA2"/>
    <w:rsid w:val="000A0FAB"/>
    <w:rsid w:val="000A0FB8"/>
    <w:rsid w:val="000A103F"/>
    <w:rsid w:val="000A1065"/>
    <w:rsid w:val="000A10E5"/>
    <w:rsid w:val="000A111E"/>
    <w:rsid w:val="000A11B1"/>
    <w:rsid w:val="000A1304"/>
    <w:rsid w:val="000A13BD"/>
    <w:rsid w:val="000A1408"/>
    <w:rsid w:val="000A144E"/>
    <w:rsid w:val="000A148A"/>
    <w:rsid w:val="000A1501"/>
    <w:rsid w:val="000A1509"/>
    <w:rsid w:val="000A1554"/>
    <w:rsid w:val="000A15CC"/>
    <w:rsid w:val="000A15FD"/>
    <w:rsid w:val="000A1632"/>
    <w:rsid w:val="000A179B"/>
    <w:rsid w:val="000A17CB"/>
    <w:rsid w:val="000A1883"/>
    <w:rsid w:val="000A193A"/>
    <w:rsid w:val="000A197D"/>
    <w:rsid w:val="000A1D0A"/>
    <w:rsid w:val="000A1E95"/>
    <w:rsid w:val="000A1F6C"/>
    <w:rsid w:val="000A2095"/>
    <w:rsid w:val="000A21E7"/>
    <w:rsid w:val="000A2225"/>
    <w:rsid w:val="000A22A8"/>
    <w:rsid w:val="000A25AB"/>
    <w:rsid w:val="000A26A8"/>
    <w:rsid w:val="000A2764"/>
    <w:rsid w:val="000A2797"/>
    <w:rsid w:val="000A2848"/>
    <w:rsid w:val="000A2876"/>
    <w:rsid w:val="000A2A3F"/>
    <w:rsid w:val="000A2AD5"/>
    <w:rsid w:val="000A2AF4"/>
    <w:rsid w:val="000A2B35"/>
    <w:rsid w:val="000A2B79"/>
    <w:rsid w:val="000A2BC9"/>
    <w:rsid w:val="000A2C96"/>
    <w:rsid w:val="000A2CB8"/>
    <w:rsid w:val="000A2CF6"/>
    <w:rsid w:val="000A2D11"/>
    <w:rsid w:val="000A2E47"/>
    <w:rsid w:val="000A2F0A"/>
    <w:rsid w:val="000A2F36"/>
    <w:rsid w:val="000A3077"/>
    <w:rsid w:val="000A30DA"/>
    <w:rsid w:val="000A30E4"/>
    <w:rsid w:val="000A3163"/>
    <w:rsid w:val="000A31FC"/>
    <w:rsid w:val="000A3361"/>
    <w:rsid w:val="000A3408"/>
    <w:rsid w:val="000A3413"/>
    <w:rsid w:val="000A343D"/>
    <w:rsid w:val="000A367B"/>
    <w:rsid w:val="000A3746"/>
    <w:rsid w:val="000A39DC"/>
    <w:rsid w:val="000A3A0D"/>
    <w:rsid w:val="000A3B61"/>
    <w:rsid w:val="000A3BE3"/>
    <w:rsid w:val="000A3C04"/>
    <w:rsid w:val="000A3CD0"/>
    <w:rsid w:val="000A3CE1"/>
    <w:rsid w:val="000A3CF6"/>
    <w:rsid w:val="000A3D0D"/>
    <w:rsid w:val="000A3D48"/>
    <w:rsid w:val="000A4000"/>
    <w:rsid w:val="000A4049"/>
    <w:rsid w:val="000A40E1"/>
    <w:rsid w:val="000A4256"/>
    <w:rsid w:val="000A4365"/>
    <w:rsid w:val="000A4401"/>
    <w:rsid w:val="000A446A"/>
    <w:rsid w:val="000A4581"/>
    <w:rsid w:val="000A4866"/>
    <w:rsid w:val="000A48DB"/>
    <w:rsid w:val="000A48F9"/>
    <w:rsid w:val="000A4936"/>
    <w:rsid w:val="000A49F4"/>
    <w:rsid w:val="000A4AA7"/>
    <w:rsid w:val="000A4C76"/>
    <w:rsid w:val="000A4D03"/>
    <w:rsid w:val="000A4ECB"/>
    <w:rsid w:val="000A4F31"/>
    <w:rsid w:val="000A4FD7"/>
    <w:rsid w:val="000A5041"/>
    <w:rsid w:val="000A510B"/>
    <w:rsid w:val="000A5182"/>
    <w:rsid w:val="000A51D6"/>
    <w:rsid w:val="000A51F6"/>
    <w:rsid w:val="000A5228"/>
    <w:rsid w:val="000A54EA"/>
    <w:rsid w:val="000A5517"/>
    <w:rsid w:val="000A554D"/>
    <w:rsid w:val="000A5856"/>
    <w:rsid w:val="000A5962"/>
    <w:rsid w:val="000A5A2E"/>
    <w:rsid w:val="000A5B2F"/>
    <w:rsid w:val="000A5DC5"/>
    <w:rsid w:val="000A5E44"/>
    <w:rsid w:val="000A5EBE"/>
    <w:rsid w:val="000A5F6A"/>
    <w:rsid w:val="000A5F73"/>
    <w:rsid w:val="000A5FB0"/>
    <w:rsid w:val="000A61DA"/>
    <w:rsid w:val="000A628C"/>
    <w:rsid w:val="000A66A5"/>
    <w:rsid w:val="000A68FB"/>
    <w:rsid w:val="000A6977"/>
    <w:rsid w:val="000A699B"/>
    <w:rsid w:val="000A6A64"/>
    <w:rsid w:val="000A6AF7"/>
    <w:rsid w:val="000A6B7D"/>
    <w:rsid w:val="000A6D08"/>
    <w:rsid w:val="000A6D31"/>
    <w:rsid w:val="000A6D8A"/>
    <w:rsid w:val="000A6DB5"/>
    <w:rsid w:val="000A6E31"/>
    <w:rsid w:val="000A6F54"/>
    <w:rsid w:val="000A6F7E"/>
    <w:rsid w:val="000A6FDA"/>
    <w:rsid w:val="000A7042"/>
    <w:rsid w:val="000A7125"/>
    <w:rsid w:val="000A7141"/>
    <w:rsid w:val="000A717D"/>
    <w:rsid w:val="000A730C"/>
    <w:rsid w:val="000A7361"/>
    <w:rsid w:val="000A76EE"/>
    <w:rsid w:val="000A76FE"/>
    <w:rsid w:val="000A7893"/>
    <w:rsid w:val="000A795C"/>
    <w:rsid w:val="000A797B"/>
    <w:rsid w:val="000A7996"/>
    <w:rsid w:val="000A7B40"/>
    <w:rsid w:val="000A7B64"/>
    <w:rsid w:val="000A7BA7"/>
    <w:rsid w:val="000A7BD2"/>
    <w:rsid w:val="000A7D7C"/>
    <w:rsid w:val="000A7DDC"/>
    <w:rsid w:val="000A7E82"/>
    <w:rsid w:val="000A7F6A"/>
    <w:rsid w:val="000A7FCF"/>
    <w:rsid w:val="000B017F"/>
    <w:rsid w:val="000B0206"/>
    <w:rsid w:val="000B0299"/>
    <w:rsid w:val="000B05A9"/>
    <w:rsid w:val="000B081E"/>
    <w:rsid w:val="000B081F"/>
    <w:rsid w:val="000B083A"/>
    <w:rsid w:val="000B0840"/>
    <w:rsid w:val="000B0905"/>
    <w:rsid w:val="000B09A0"/>
    <w:rsid w:val="000B0A20"/>
    <w:rsid w:val="000B0C11"/>
    <w:rsid w:val="000B0CED"/>
    <w:rsid w:val="000B0D26"/>
    <w:rsid w:val="000B0D31"/>
    <w:rsid w:val="000B0DC4"/>
    <w:rsid w:val="000B0E00"/>
    <w:rsid w:val="000B0E07"/>
    <w:rsid w:val="000B0E9B"/>
    <w:rsid w:val="000B0EE6"/>
    <w:rsid w:val="000B0FB7"/>
    <w:rsid w:val="000B1042"/>
    <w:rsid w:val="000B1139"/>
    <w:rsid w:val="000B122B"/>
    <w:rsid w:val="000B1231"/>
    <w:rsid w:val="000B1301"/>
    <w:rsid w:val="000B13F3"/>
    <w:rsid w:val="000B1482"/>
    <w:rsid w:val="000B14FF"/>
    <w:rsid w:val="000B15A9"/>
    <w:rsid w:val="000B1671"/>
    <w:rsid w:val="000B16BE"/>
    <w:rsid w:val="000B1737"/>
    <w:rsid w:val="000B175D"/>
    <w:rsid w:val="000B1810"/>
    <w:rsid w:val="000B1812"/>
    <w:rsid w:val="000B183F"/>
    <w:rsid w:val="000B1843"/>
    <w:rsid w:val="000B1854"/>
    <w:rsid w:val="000B1949"/>
    <w:rsid w:val="000B1AE2"/>
    <w:rsid w:val="000B1B44"/>
    <w:rsid w:val="000B1C67"/>
    <w:rsid w:val="000B1E1E"/>
    <w:rsid w:val="000B1EF4"/>
    <w:rsid w:val="000B1EFB"/>
    <w:rsid w:val="000B1F90"/>
    <w:rsid w:val="000B1FB5"/>
    <w:rsid w:val="000B2216"/>
    <w:rsid w:val="000B2247"/>
    <w:rsid w:val="000B22F0"/>
    <w:rsid w:val="000B2323"/>
    <w:rsid w:val="000B24E2"/>
    <w:rsid w:val="000B2510"/>
    <w:rsid w:val="000B252E"/>
    <w:rsid w:val="000B2600"/>
    <w:rsid w:val="000B2791"/>
    <w:rsid w:val="000B2822"/>
    <w:rsid w:val="000B28E3"/>
    <w:rsid w:val="000B2A9B"/>
    <w:rsid w:val="000B2B5C"/>
    <w:rsid w:val="000B2C18"/>
    <w:rsid w:val="000B2D9D"/>
    <w:rsid w:val="000B2DAB"/>
    <w:rsid w:val="000B2E77"/>
    <w:rsid w:val="000B2E90"/>
    <w:rsid w:val="000B2ED1"/>
    <w:rsid w:val="000B2F39"/>
    <w:rsid w:val="000B3027"/>
    <w:rsid w:val="000B30E2"/>
    <w:rsid w:val="000B3239"/>
    <w:rsid w:val="000B326B"/>
    <w:rsid w:val="000B3289"/>
    <w:rsid w:val="000B3488"/>
    <w:rsid w:val="000B36A1"/>
    <w:rsid w:val="000B3773"/>
    <w:rsid w:val="000B378F"/>
    <w:rsid w:val="000B3858"/>
    <w:rsid w:val="000B3984"/>
    <w:rsid w:val="000B3992"/>
    <w:rsid w:val="000B3A13"/>
    <w:rsid w:val="000B3A71"/>
    <w:rsid w:val="000B3A83"/>
    <w:rsid w:val="000B3C52"/>
    <w:rsid w:val="000B3CBE"/>
    <w:rsid w:val="000B3D0F"/>
    <w:rsid w:val="000B3DA3"/>
    <w:rsid w:val="000B3EAC"/>
    <w:rsid w:val="000B3EBA"/>
    <w:rsid w:val="000B3FA3"/>
    <w:rsid w:val="000B3FD6"/>
    <w:rsid w:val="000B4122"/>
    <w:rsid w:val="000B417C"/>
    <w:rsid w:val="000B4219"/>
    <w:rsid w:val="000B42EE"/>
    <w:rsid w:val="000B4367"/>
    <w:rsid w:val="000B442A"/>
    <w:rsid w:val="000B4620"/>
    <w:rsid w:val="000B4718"/>
    <w:rsid w:val="000B475B"/>
    <w:rsid w:val="000B4773"/>
    <w:rsid w:val="000B4848"/>
    <w:rsid w:val="000B48EB"/>
    <w:rsid w:val="000B493C"/>
    <w:rsid w:val="000B49DD"/>
    <w:rsid w:val="000B49EC"/>
    <w:rsid w:val="000B4A3F"/>
    <w:rsid w:val="000B4A5B"/>
    <w:rsid w:val="000B4A6C"/>
    <w:rsid w:val="000B4A70"/>
    <w:rsid w:val="000B4D78"/>
    <w:rsid w:val="000B4DCC"/>
    <w:rsid w:val="000B4E04"/>
    <w:rsid w:val="000B4E17"/>
    <w:rsid w:val="000B4E65"/>
    <w:rsid w:val="000B5009"/>
    <w:rsid w:val="000B51D1"/>
    <w:rsid w:val="000B524A"/>
    <w:rsid w:val="000B52C9"/>
    <w:rsid w:val="000B53B3"/>
    <w:rsid w:val="000B53D4"/>
    <w:rsid w:val="000B5435"/>
    <w:rsid w:val="000B5498"/>
    <w:rsid w:val="000B5502"/>
    <w:rsid w:val="000B556E"/>
    <w:rsid w:val="000B55DD"/>
    <w:rsid w:val="000B55FC"/>
    <w:rsid w:val="000B5675"/>
    <w:rsid w:val="000B5681"/>
    <w:rsid w:val="000B56FB"/>
    <w:rsid w:val="000B5865"/>
    <w:rsid w:val="000B590B"/>
    <w:rsid w:val="000B5967"/>
    <w:rsid w:val="000B598A"/>
    <w:rsid w:val="000B5A39"/>
    <w:rsid w:val="000B5ADF"/>
    <w:rsid w:val="000B5B63"/>
    <w:rsid w:val="000B5C7C"/>
    <w:rsid w:val="000B5D90"/>
    <w:rsid w:val="000B5DB0"/>
    <w:rsid w:val="000B5DF5"/>
    <w:rsid w:val="000B5F7F"/>
    <w:rsid w:val="000B622E"/>
    <w:rsid w:val="000B6244"/>
    <w:rsid w:val="000B6365"/>
    <w:rsid w:val="000B6477"/>
    <w:rsid w:val="000B64FB"/>
    <w:rsid w:val="000B6517"/>
    <w:rsid w:val="000B6587"/>
    <w:rsid w:val="000B6612"/>
    <w:rsid w:val="000B66C5"/>
    <w:rsid w:val="000B6723"/>
    <w:rsid w:val="000B672E"/>
    <w:rsid w:val="000B6780"/>
    <w:rsid w:val="000B67FA"/>
    <w:rsid w:val="000B6853"/>
    <w:rsid w:val="000B68EB"/>
    <w:rsid w:val="000B68FC"/>
    <w:rsid w:val="000B693F"/>
    <w:rsid w:val="000B696F"/>
    <w:rsid w:val="000B6A99"/>
    <w:rsid w:val="000B6ACA"/>
    <w:rsid w:val="000B6B00"/>
    <w:rsid w:val="000B6CFA"/>
    <w:rsid w:val="000B6DED"/>
    <w:rsid w:val="000B6ED0"/>
    <w:rsid w:val="000B6ED2"/>
    <w:rsid w:val="000B7040"/>
    <w:rsid w:val="000B7139"/>
    <w:rsid w:val="000B7212"/>
    <w:rsid w:val="000B7322"/>
    <w:rsid w:val="000B734E"/>
    <w:rsid w:val="000B7442"/>
    <w:rsid w:val="000B7562"/>
    <w:rsid w:val="000B7593"/>
    <w:rsid w:val="000B75BB"/>
    <w:rsid w:val="000B763B"/>
    <w:rsid w:val="000B781C"/>
    <w:rsid w:val="000B78AA"/>
    <w:rsid w:val="000B79AE"/>
    <w:rsid w:val="000B79DE"/>
    <w:rsid w:val="000B79F9"/>
    <w:rsid w:val="000B7A50"/>
    <w:rsid w:val="000B7C1E"/>
    <w:rsid w:val="000B7CBA"/>
    <w:rsid w:val="000B7CF3"/>
    <w:rsid w:val="000B7D3D"/>
    <w:rsid w:val="000B7DC2"/>
    <w:rsid w:val="000B7F37"/>
    <w:rsid w:val="000B7FE9"/>
    <w:rsid w:val="000C0005"/>
    <w:rsid w:val="000C0008"/>
    <w:rsid w:val="000C0128"/>
    <w:rsid w:val="000C0198"/>
    <w:rsid w:val="000C0203"/>
    <w:rsid w:val="000C0393"/>
    <w:rsid w:val="000C039C"/>
    <w:rsid w:val="000C043B"/>
    <w:rsid w:val="000C044C"/>
    <w:rsid w:val="000C04E1"/>
    <w:rsid w:val="000C0504"/>
    <w:rsid w:val="000C0561"/>
    <w:rsid w:val="000C059A"/>
    <w:rsid w:val="000C0632"/>
    <w:rsid w:val="000C0635"/>
    <w:rsid w:val="000C0681"/>
    <w:rsid w:val="000C068B"/>
    <w:rsid w:val="000C06C0"/>
    <w:rsid w:val="000C0772"/>
    <w:rsid w:val="000C07B3"/>
    <w:rsid w:val="000C094B"/>
    <w:rsid w:val="000C098A"/>
    <w:rsid w:val="000C0A49"/>
    <w:rsid w:val="000C0A70"/>
    <w:rsid w:val="000C0B10"/>
    <w:rsid w:val="000C0DF1"/>
    <w:rsid w:val="000C0F87"/>
    <w:rsid w:val="000C0FFC"/>
    <w:rsid w:val="000C1089"/>
    <w:rsid w:val="000C1121"/>
    <w:rsid w:val="000C112A"/>
    <w:rsid w:val="000C1181"/>
    <w:rsid w:val="000C11D0"/>
    <w:rsid w:val="000C11EC"/>
    <w:rsid w:val="000C12CD"/>
    <w:rsid w:val="000C1325"/>
    <w:rsid w:val="000C153F"/>
    <w:rsid w:val="000C1541"/>
    <w:rsid w:val="000C154F"/>
    <w:rsid w:val="000C155B"/>
    <w:rsid w:val="000C15A9"/>
    <w:rsid w:val="000C161F"/>
    <w:rsid w:val="000C167B"/>
    <w:rsid w:val="000C175A"/>
    <w:rsid w:val="000C18FF"/>
    <w:rsid w:val="000C1962"/>
    <w:rsid w:val="000C1A3E"/>
    <w:rsid w:val="000C1B65"/>
    <w:rsid w:val="000C1C4B"/>
    <w:rsid w:val="000C1C86"/>
    <w:rsid w:val="000C1CA0"/>
    <w:rsid w:val="000C1DCE"/>
    <w:rsid w:val="000C1E34"/>
    <w:rsid w:val="000C2012"/>
    <w:rsid w:val="000C2068"/>
    <w:rsid w:val="000C2272"/>
    <w:rsid w:val="000C2321"/>
    <w:rsid w:val="000C23A1"/>
    <w:rsid w:val="000C23B5"/>
    <w:rsid w:val="000C26DD"/>
    <w:rsid w:val="000C2720"/>
    <w:rsid w:val="000C27BA"/>
    <w:rsid w:val="000C2931"/>
    <w:rsid w:val="000C29D4"/>
    <w:rsid w:val="000C2CF7"/>
    <w:rsid w:val="000C2D6E"/>
    <w:rsid w:val="000C2EB3"/>
    <w:rsid w:val="000C2F29"/>
    <w:rsid w:val="000C3071"/>
    <w:rsid w:val="000C30BC"/>
    <w:rsid w:val="000C310F"/>
    <w:rsid w:val="000C319F"/>
    <w:rsid w:val="000C320D"/>
    <w:rsid w:val="000C332A"/>
    <w:rsid w:val="000C33A8"/>
    <w:rsid w:val="000C3408"/>
    <w:rsid w:val="000C3424"/>
    <w:rsid w:val="000C34C2"/>
    <w:rsid w:val="000C3543"/>
    <w:rsid w:val="000C35A9"/>
    <w:rsid w:val="000C3689"/>
    <w:rsid w:val="000C37D3"/>
    <w:rsid w:val="000C3861"/>
    <w:rsid w:val="000C3B67"/>
    <w:rsid w:val="000C3B98"/>
    <w:rsid w:val="000C3BFE"/>
    <w:rsid w:val="000C3DA8"/>
    <w:rsid w:val="000C3FF5"/>
    <w:rsid w:val="000C418F"/>
    <w:rsid w:val="000C41F9"/>
    <w:rsid w:val="000C440C"/>
    <w:rsid w:val="000C4428"/>
    <w:rsid w:val="000C442A"/>
    <w:rsid w:val="000C4459"/>
    <w:rsid w:val="000C44C1"/>
    <w:rsid w:val="000C44E1"/>
    <w:rsid w:val="000C4684"/>
    <w:rsid w:val="000C46D6"/>
    <w:rsid w:val="000C4763"/>
    <w:rsid w:val="000C482F"/>
    <w:rsid w:val="000C4994"/>
    <w:rsid w:val="000C4B26"/>
    <w:rsid w:val="000C4BF7"/>
    <w:rsid w:val="000C4C1A"/>
    <w:rsid w:val="000C4CB4"/>
    <w:rsid w:val="000C4E90"/>
    <w:rsid w:val="000C4FC8"/>
    <w:rsid w:val="000C5072"/>
    <w:rsid w:val="000C51C9"/>
    <w:rsid w:val="000C51ED"/>
    <w:rsid w:val="000C520C"/>
    <w:rsid w:val="000C5380"/>
    <w:rsid w:val="000C5481"/>
    <w:rsid w:val="000C54CC"/>
    <w:rsid w:val="000C54F2"/>
    <w:rsid w:val="000C55FE"/>
    <w:rsid w:val="000C577D"/>
    <w:rsid w:val="000C5A05"/>
    <w:rsid w:val="000C5B4F"/>
    <w:rsid w:val="000C5DA7"/>
    <w:rsid w:val="000C5E73"/>
    <w:rsid w:val="000C5EB7"/>
    <w:rsid w:val="000C5EEF"/>
    <w:rsid w:val="000C5F8A"/>
    <w:rsid w:val="000C5F94"/>
    <w:rsid w:val="000C6153"/>
    <w:rsid w:val="000C61A0"/>
    <w:rsid w:val="000C61DA"/>
    <w:rsid w:val="000C6252"/>
    <w:rsid w:val="000C6283"/>
    <w:rsid w:val="000C6379"/>
    <w:rsid w:val="000C638E"/>
    <w:rsid w:val="000C6416"/>
    <w:rsid w:val="000C6463"/>
    <w:rsid w:val="000C65B5"/>
    <w:rsid w:val="000C65B8"/>
    <w:rsid w:val="000C6663"/>
    <w:rsid w:val="000C6778"/>
    <w:rsid w:val="000C67CC"/>
    <w:rsid w:val="000C6820"/>
    <w:rsid w:val="000C687A"/>
    <w:rsid w:val="000C68C9"/>
    <w:rsid w:val="000C690E"/>
    <w:rsid w:val="000C691F"/>
    <w:rsid w:val="000C6A34"/>
    <w:rsid w:val="000C6BB4"/>
    <w:rsid w:val="000C6BCE"/>
    <w:rsid w:val="000C6EFA"/>
    <w:rsid w:val="000C6F00"/>
    <w:rsid w:val="000C7040"/>
    <w:rsid w:val="000C713D"/>
    <w:rsid w:val="000C717F"/>
    <w:rsid w:val="000C71B1"/>
    <w:rsid w:val="000C72ED"/>
    <w:rsid w:val="000C7367"/>
    <w:rsid w:val="000C747B"/>
    <w:rsid w:val="000C74AF"/>
    <w:rsid w:val="000C7673"/>
    <w:rsid w:val="000C7762"/>
    <w:rsid w:val="000C77EF"/>
    <w:rsid w:val="000C7890"/>
    <w:rsid w:val="000C78C2"/>
    <w:rsid w:val="000C7996"/>
    <w:rsid w:val="000C79DE"/>
    <w:rsid w:val="000C7B44"/>
    <w:rsid w:val="000C7BB0"/>
    <w:rsid w:val="000C7C86"/>
    <w:rsid w:val="000C7E62"/>
    <w:rsid w:val="000C7F5D"/>
    <w:rsid w:val="000C7F88"/>
    <w:rsid w:val="000D000C"/>
    <w:rsid w:val="000D0056"/>
    <w:rsid w:val="000D0092"/>
    <w:rsid w:val="000D0285"/>
    <w:rsid w:val="000D0340"/>
    <w:rsid w:val="000D0458"/>
    <w:rsid w:val="000D04B8"/>
    <w:rsid w:val="000D05DD"/>
    <w:rsid w:val="000D060F"/>
    <w:rsid w:val="000D06FA"/>
    <w:rsid w:val="000D07B8"/>
    <w:rsid w:val="000D07BA"/>
    <w:rsid w:val="000D07C6"/>
    <w:rsid w:val="000D09F1"/>
    <w:rsid w:val="000D0AAC"/>
    <w:rsid w:val="000D0C52"/>
    <w:rsid w:val="000D0C55"/>
    <w:rsid w:val="000D0D27"/>
    <w:rsid w:val="000D0D77"/>
    <w:rsid w:val="000D0F38"/>
    <w:rsid w:val="000D113B"/>
    <w:rsid w:val="000D13F8"/>
    <w:rsid w:val="000D144F"/>
    <w:rsid w:val="000D1472"/>
    <w:rsid w:val="000D1526"/>
    <w:rsid w:val="000D157C"/>
    <w:rsid w:val="000D177C"/>
    <w:rsid w:val="000D17B1"/>
    <w:rsid w:val="000D17DA"/>
    <w:rsid w:val="000D17EA"/>
    <w:rsid w:val="000D1936"/>
    <w:rsid w:val="000D1955"/>
    <w:rsid w:val="000D1AF4"/>
    <w:rsid w:val="000D1B00"/>
    <w:rsid w:val="000D1B2D"/>
    <w:rsid w:val="000D1CB7"/>
    <w:rsid w:val="000D1D0C"/>
    <w:rsid w:val="000D1DEE"/>
    <w:rsid w:val="000D1EAC"/>
    <w:rsid w:val="000D1EE2"/>
    <w:rsid w:val="000D204E"/>
    <w:rsid w:val="000D21CA"/>
    <w:rsid w:val="000D22E2"/>
    <w:rsid w:val="000D2303"/>
    <w:rsid w:val="000D2342"/>
    <w:rsid w:val="000D24D7"/>
    <w:rsid w:val="000D24F0"/>
    <w:rsid w:val="000D25B8"/>
    <w:rsid w:val="000D2630"/>
    <w:rsid w:val="000D2696"/>
    <w:rsid w:val="000D26D7"/>
    <w:rsid w:val="000D2708"/>
    <w:rsid w:val="000D283A"/>
    <w:rsid w:val="000D2A8C"/>
    <w:rsid w:val="000D2ACA"/>
    <w:rsid w:val="000D2B89"/>
    <w:rsid w:val="000D2BB6"/>
    <w:rsid w:val="000D2CF0"/>
    <w:rsid w:val="000D2D56"/>
    <w:rsid w:val="000D2FD6"/>
    <w:rsid w:val="000D3054"/>
    <w:rsid w:val="000D3148"/>
    <w:rsid w:val="000D3167"/>
    <w:rsid w:val="000D31CE"/>
    <w:rsid w:val="000D3214"/>
    <w:rsid w:val="000D3215"/>
    <w:rsid w:val="000D335E"/>
    <w:rsid w:val="000D33B9"/>
    <w:rsid w:val="000D3534"/>
    <w:rsid w:val="000D3769"/>
    <w:rsid w:val="000D3889"/>
    <w:rsid w:val="000D3B4A"/>
    <w:rsid w:val="000D3BC6"/>
    <w:rsid w:val="000D3C45"/>
    <w:rsid w:val="000D3C99"/>
    <w:rsid w:val="000D3D71"/>
    <w:rsid w:val="000D3DE2"/>
    <w:rsid w:val="000D3DE6"/>
    <w:rsid w:val="000D3E21"/>
    <w:rsid w:val="000D3E4A"/>
    <w:rsid w:val="000D3E6B"/>
    <w:rsid w:val="000D3EEF"/>
    <w:rsid w:val="000D4172"/>
    <w:rsid w:val="000D4173"/>
    <w:rsid w:val="000D425E"/>
    <w:rsid w:val="000D4340"/>
    <w:rsid w:val="000D436C"/>
    <w:rsid w:val="000D4419"/>
    <w:rsid w:val="000D457E"/>
    <w:rsid w:val="000D46AD"/>
    <w:rsid w:val="000D46E2"/>
    <w:rsid w:val="000D48BB"/>
    <w:rsid w:val="000D494E"/>
    <w:rsid w:val="000D496E"/>
    <w:rsid w:val="000D4BB1"/>
    <w:rsid w:val="000D4BF8"/>
    <w:rsid w:val="000D4C00"/>
    <w:rsid w:val="000D4CB7"/>
    <w:rsid w:val="000D4CDD"/>
    <w:rsid w:val="000D504C"/>
    <w:rsid w:val="000D50DA"/>
    <w:rsid w:val="000D5105"/>
    <w:rsid w:val="000D54B4"/>
    <w:rsid w:val="000D5561"/>
    <w:rsid w:val="000D5590"/>
    <w:rsid w:val="000D5626"/>
    <w:rsid w:val="000D56BA"/>
    <w:rsid w:val="000D56BF"/>
    <w:rsid w:val="000D56F8"/>
    <w:rsid w:val="000D588D"/>
    <w:rsid w:val="000D5941"/>
    <w:rsid w:val="000D5978"/>
    <w:rsid w:val="000D59CA"/>
    <w:rsid w:val="000D5A26"/>
    <w:rsid w:val="000D5B74"/>
    <w:rsid w:val="000D5C31"/>
    <w:rsid w:val="000D5CA4"/>
    <w:rsid w:val="000D5DF9"/>
    <w:rsid w:val="000D5E04"/>
    <w:rsid w:val="000D5E40"/>
    <w:rsid w:val="000D5F13"/>
    <w:rsid w:val="000D5F1C"/>
    <w:rsid w:val="000D5F3B"/>
    <w:rsid w:val="000D5F96"/>
    <w:rsid w:val="000D6057"/>
    <w:rsid w:val="000D60EB"/>
    <w:rsid w:val="000D6152"/>
    <w:rsid w:val="000D61D5"/>
    <w:rsid w:val="000D61DD"/>
    <w:rsid w:val="000D6661"/>
    <w:rsid w:val="000D6762"/>
    <w:rsid w:val="000D67D4"/>
    <w:rsid w:val="000D68E5"/>
    <w:rsid w:val="000D6904"/>
    <w:rsid w:val="000D6922"/>
    <w:rsid w:val="000D698F"/>
    <w:rsid w:val="000D6A1B"/>
    <w:rsid w:val="000D6A44"/>
    <w:rsid w:val="000D6A88"/>
    <w:rsid w:val="000D6AA0"/>
    <w:rsid w:val="000D6AF9"/>
    <w:rsid w:val="000D6B81"/>
    <w:rsid w:val="000D6C39"/>
    <w:rsid w:val="000D6C4E"/>
    <w:rsid w:val="000D6C7A"/>
    <w:rsid w:val="000D6C8A"/>
    <w:rsid w:val="000D6CB9"/>
    <w:rsid w:val="000D6E28"/>
    <w:rsid w:val="000D6E5A"/>
    <w:rsid w:val="000D6EA6"/>
    <w:rsid w:val="000D704A"/>
    <w:rsid w:val="000D711D"/>
    <w:rsid w:val="000D7132"/>
    <w:rsid w:val="000D7149"/>
    <w:rsid w:val="000D715A"/>
    <w:rsid w:val="000D73B8"/>
    <w:rsid w:val="000D745A"/>
    <w:rsid w:val="000D749C"/>
    <w:rsid w:val="000D7691"/>
    <w:rsid w:val="000D76CB"/>
    <w:rsid w:val="000D7722"/>
    <w:rsid w:val="000D777A"/>
    <w:rsid w:val="000D79CF"/>
    <w:rsid w:val="000D7A20"/>
    <w:rsid w:val="000D7A97"/>
    <w:rsid w:val="000D7CB4"/>
    <w:rsid w:val="000D7D64"/>
    <w:rsid w:val="000E0190"/>
    <w:rsid w:val="000E039F"/>
    <w:rsid w:val="000E051E"/>
    <w:rsid w:val="000E055C"/>
    <w:rsid w:val="000E05A6"/>
    <w:rsid w:val="000E05F5"/>
    <w:rsid w:val="000E0650"/>
    <w:rsid w:val="000E06F1"/>
    <w:rsid w:val="000E080E"/>
    <w:rsid w:val="000E08D4"/>
    <w:rsid w:val="000E0B03"/>
    <w:rsid w:val="000E0D10"/>
    <w:rsid w:val="000E0D6E"/>
    <w:rsid w:val="000E0D75"/>
    <w:rsid w:val="000E0E21"/>
    <w:rsid w:val="000E0E22"/>
    <w:rsid w:val="000E0E54"/>
    <w:rsid w:val="000E0F0B"/>
    <w:rsid w:val="000E0F52"/>
    <w:rsid w:val="000E0F6F"/>
    <w:rsid w:val="000E1099"/>
    <w:rsid w:val="000E1190"/>
    <w:rsid w:val="000E1224"/>
    <w:rsid w:val="000E1239"/>
    <w:rsid w:val="000E14E6"/>
    <w:rsid w:val="000E15AC"/>
    <w:rsid w:val="000E1678"/>
    <w:rsid w:val="000E16EF"/>
    <w:rsid w:val="000E176F"/>
    <w:rsid w:val="000E198E"/>
    <w:rsid w:val="000E1C8F"/>
    <w:rsid w:val="000E1CEC"/>
    <w:rsid w:val="000E1E65"/>
    <w:rsid w:val="000E1F79"/>
    <w:rsid w:val="000E1FCE"/>
    <w:rsid w:val="000E2004"/>
    <w:rsid w:val="000E20F0"/>
    <w:rsid w:val="000E2193"/>
    <w:rsid w:val="000E259E"/>
    <w:rsid w:val="000E25A0"/>
    <w:rsid w:val="000E2613"/>
    <w:rsid w:val="000E26AE"/>
    <w:rsid w:val="000E2872"/>
    <w:rsid w:val="000E28FD"/>
    <w:rsid w:val="000E2974"/>
    <w:rsid w:val="000E2A08"/>
    <w:rsid w:val="000E2A16"/>
    <w:rsid w:val="000E2A38"/>
    <w:rsid w:val="000E2A97"/>
    <w:rsid w:val="000E2B0F"/>
    <w:rsid w:val="000E2B4B"/>
    <w:rsid w:val="000E2B91"/>
    <w:rsid w:val="000E2EBF"/>
    <w:rsid w:val="000E2EF3"/>
    <w:rsid w:val="000E30F4"/>
    <w:rsid w:val="000E3134"/>
    <w:rsid w:val="000E318B"/>
    <w:rsid w:val="000E319D"/>
    <w:rsid w:val="000E31C5"/>
    <w:rsid w:val="000E32A8"/>
    <w:rsid w:val="000E32AD"/>
    <w:rsid w:val="000E3625"/>
    <w:rsid w:val="000E3630"/>
    <w:rsid w:val="000E3662"/>
    <w:rsid w:val="000E3670"/>
    <w:rsid w:val="000E3770"/>
    <w:rsid w:val="000E37E3"/>
    <w:rsid w:val="000E3809"/>
    <w:rsid w:val="000E398A"/>
    <w:rsid w:val="000E3A1D"/>
    <w:rsid w:val="000E3A55"/>
    <w:rsid w:val="000E3B32"/>
    <w:rsid w:val="000E3B7D"/>
    <w:rsid w:val="000E3BCC"/>
    <w:rsid w:val="000E3C06"/>
    <w:rsid w:val="000E3C2A"/>
    <w:rsid w:val="000E3C9A"/>
    <w:rsid w:val="000E3CDB"/>
    <w:rsid w:val="000E3DFA"/>
    <w:rsid w:val="000E3ECE"/>
    <w:rsid w:val="000E3F9A"/>
    <w:rsid w:val="000E407A"/>
    <w:rsid w:val="000E4600"/>
    <w:rsid w:val="000E4712"/>
    <w:rsid w:val="000E4730"/>
    <w:rsid w:val="000E473F"/>
    <w:rsid w:val="000E47A7"/>
    <w:rsid w:val="000E4820"/>
    <w:rsid w:val="000E49B5"/>
    <w:rsid w:val="000E4AF0"/>
    <w:rsid w:val="000E4C0C"/>
    <w:rsid w:val="000E4C71"/>
    <w:rsid w:val="000E4CB9"/>
    <w:rsid w:val="000E4D37"/>
    <w:rsid w:val="000E4EBB"/>
    <w:rsid w:val="000E4EC7"/>
    <w:rsid w:val="000E4F34"/>
    <w:rsid w:val="000E510F"/>
    <w:rsid w:val="000E5289"/>
    <w:rsid w:val="000E53DD"/>
    <w:rsid w:val="000E54BD"/>
    <w:rsid w:val="000E559B"/>
    <w:rsid w:val="000E5614"/>
    <w:rsid w:val="000E57A8"/>
    <w:rsid w:val="000E57BC"/>
    <w:rsid w:val="000E585B"/>
    <w:rsid w:val="000E58D9"/>
    <w:rsid w:val="000E5916"/>
    <w:rsid w:val="000E59B7"/>
    <w:rsid w:val="000E5A46"/>
    <w:rsid w:val="000E5A86"/>
    <w:rsid w:val="000E5B90"/>
    <w:rsid w:val="000E5BE7"/>
    <w:rsid w:val="000E5D05"/>
    <w:rsid w:val="000E5F58"/>
    <w:rsid w:val="000E5FA2"/>
    <w:rsid w:val="000E60E9"/>
    <w:rsid w:val="000E60F5"/>
    <w:rsid w:val="000E615C"/>
    <w:rsid w:val="000E62BD"/>
    <w:rsid w:val="000E63AC"/>
    <w:rsid w:val="000E6473"/>
    <w:rsid w:val="000E647A"/>
    <w:rsid w:val="000E649B"/>
    <w:rsid w:val="000E649C"/>
    <w:rsid w:val="000E6591"/>
    <w:rsid w:val="000E65D4"/>
    <w:rsid w:val="000E66FF"/>
    <w:rsid w:val="000E6752"/>
    <w:rsid w:val="000E6807"/>
    <w:rsid w:val="000E6877"/>
    <w:rsid w:val="000E6B0B"/>
    <w:rsid w:val="000E6B16"/>
    <w:rsid w:val="000E6BBC"/>
    <w:rsid w:val="000E6D34"/>
    <w:rsid w:val="000E6F1C"/>
    <w:rsid w:val="000E6F56"/>
    <w:rsid w:val="000E7007"/>
    <w:rsid w:val="000E7146"/>
    <w:rsid w:val="000E7187"/>
    <w:rsid w:val="000E72F3"/>
    <w:rsid w:val="000E735D"/>
    <w:rsid w:val="000E73A4"/>
    <w:rsid w:val="000E74A2"/>
    <w:rsid w:val="000E760C"/>
    <w:rsid w:val="000E76BC"/>
    <w:rsid w:val="000E76F3"/>
    <w:rsid w:val="000E77FE"/>
    <w:rsid w:val="000E7968"/>
    <w:rsid w:val="000E7A04"/>
    <w:rsid w:val="000E7A0F"/>
    <w:rsid w:val="000E7A8A"/>
    <w:rsid w:val="000E7BD3"/>
    <w:rsid w:val="000E7E0B"/>
    <w:rsid w:val="000E7F29"/>
    <w:rsid w:val="000E7FE2"/>
    <w:rsid w:val="000F0094"/>
    <w:rsid w:val="000F00A0"/>
    <w:rsid w:val="000F00A4"/>
    <w:rsid w:val="000F00D3"/>
    <w:rsid w:val="000F00D6"/>
    <w:rsid w:val="000F0120"/>
    <w:rsid w:val="000F01AD"/>
    <w:rsid w:val="000F01DC"/>
    <w:rsid w:val="000F020F"/>
    <w:rsid w:val="000F021D"/>
    <w:rsid w:val="000F0314"/>
    <w:rsid w:val="000F03B1"/>
    <w:rsid w:val="000F0530"/>
    <w:rsid w:val="000F062C"/>
    <w:rsid w:val="000F068F"/>
    <w:rsid w:val="000F0698"/>
    <w:rsid w:val="000F0807"/>
    <w:rsid w:val="000F0874"/>
    <w:rsid w:val="000F09FF"/>
    <w:rsid w:val="000F0A90"/>
    <w:rsid w:val="000F0B83"/>
    <w:rsid w:val="000F0BD4"/>
    <w:rsid w:val="000F0C43"/>
    <w:rsid w:val="000F0CC3"/>
    <w:rsid w:val="000F0D86"/>
    <w:rsid w:val="000F0EEA"/>
    <w:rsid w:val="000F0F2E"/>
    <w:rsid w:val="000F0F72"/>
    <w:rsid w:val="000F0FB6"/>
    <w:rsid w:val="000F0FDB"/>
    <w:rsid w:val="000F1001"/>
    <w:rsid w:val="000F10A3"/>
    <w:rsid w:val="000F10F1"/>
    <w:rsid w:val="000F11F8"/>
    <w:rsid w:val="000F1391"/>
    <w:rsid w:val="000F1491"/>
    <w:rsid w:val="000F15B3"/>
    <w:rsid w:val="000F1737"/>
    <w:rsid w:val="000F17D6"/>
    <w:rsid w:val="000F18C5"/>
    <w:rsid w:val="000F192B"/>
    <w:rsid w:val="000F19BE"/>
    <w:rsid w:val="000F19F4"/>
    <w:rsid w:val="000F1AD8"/>
    <w:rsid w:val="000F1BFA"/>
    <w:rsid w:val="000F1C02"/>
    <w:rsid w:val="000F1C4E"/>
    <w:rsid w:val="000F1C8D"/>
    <w:rsid w:val="000F1F75"/>
    <w:rsid w:val="000F1FA9"/>
    <w:rsid w:val="000F20C2"/>
    <w:rsid w:val="000F2196"/>
    <w:rsid w:val="000F2204"/>
    <w:rsid w:val="000F223B"/>
    <w:rsid w:val="000F223E"/>
    <w:rsid w:val="000F22A8"/>
    <w:rsid w:val="000F22E2"/>
    <w:rsid w:val="000F2308"/>
    <w:rsid w:val="000F2447"/>
    <w:rsid w:val="000F26D5"/>
    <w:rsid w:val="000F2B00"/>
    <w:rsid w:val="000F2B6A"/>
    <w:rsid w:val="000F2C63"/>
    <w:rsid w:val="000F2CEA"/>
    <w:rsid w:val="000F2F7A"/>
    <w:rsid w:val="000F2F83"/>
    <w:rsid w:val="000F30AE"/>
    <w:rsid w:val="000F31E5"/>
    <w:rsid w:val="000F32C4"/>
    <w:rsid w:val="000F3390"/>
    <w:rsid w:val="000F34ED"/>
    <w:rsid w:val="000F34F8"/>
    <w:rsid w:val="000F35F7"/>
    <w:rsid w:val="000F376E"/>
    <w:rsid w:val="000F37FA"/>
    <w:rsid w:val="000F384A"/>
    <w:rsid w:val="000F39B7"/>
    <w:rsid w:val="000F3A52"/>
    <w:rsid w:val="000F3B24"/>
    <w:rsid w:val="000F3B31"/>
    <w:rsid w:val="000F3C99"/>
    <w:rsid w:val="000F3C9B"/>
    <w:rsid w:val="000F3CD0"/>
    <w:rsid w:val="000F3F77"/>
    <w:rsid w:val="000F3F7F"/>
    <w:rsid w:val="000F4281"/>
    <w:rsid w:val="000F42D4"/>
    <w:rsid w:val="000F4444"/>
    <w:rsid w:val="000F448C"/>
    <w:rsid w:val="000F454C"/>
    <w:rsid w:val="000F46B1"/>
    <w:rsid w:val="000F47F1"/>
    <w:rsid w:val="000F4826"/>
    <w:rsid w:val="000F4A83"/>
    <w:rsid w:val="000F4B47"/>
    <w:rsid w:val="000F4B93"/>
    <w:rsid w:val="000F4BD2"/>
    <w:rsid w:val="000F4C09"/>
    <w:rsid w:val="000F4C35"/>
    <w:rsid w:val="000F4D4E"/>
    <w:rsid w:val="000F4DB8"/>
    <w:rsid w:val="000F4E30"/>
    <w:rsid w:val="000F4FA5"/>
    <w:rsid w:val="000F500A"/>
    <w:rsid w:val="000F503D"/>
    <w:rsid w:val="000F5091"/>
    <w:rsid w:val="000F50AB"/>
    <w:rsid w:val="000F5147"/>
    <w:rsid w:val="000F526E"/>
    <w:rsid w:val="000F52D7"/>
    <w:rsid w:val="000F5370"/>
    <w:rsid w:val="000F5486"/>
    <w:rsid w:val="000F54B2"/>
    <w:rsid w:val="000F57E2"/>
    <w:rsid w:val="000F5822"/>
    <w:rsid w:val="000F58FE"/>
    <w:rsid w:val="000F5A31"/>
    <w:rsid w:val="000F5A78"/>
    <w:rsid w:val="000F5AA4"/>
    <w:rsid w:val="000F5AB5"/>
    <w:rsid w:val="000F5AB6"/>
    <w:rsid w:val="000F5AC5"/>
    <w:rsid w:val="000F5AE4"/>
    <w:rsid w:val="000F5CBF"/>
    <w:rsid w:val="000F5DBF"/>
    <w:rsid w:val="000F5E2E"/>
    <w:rsid w:val="000F60F7"/>
    <w:rsid w:val="000F610A"/>
    <w:rsid w:val="000F6130"/>
    <w:rsid w:val="000F6311"/>
    <w:rsid w:val="000F639B"/>
    <w:rsid w:val="000F6481"/>
    <w:rsid w:val="000F64BD"/>
    <w:rsid w:val="000F6671"/>
    <w:rsid w:val="000F6693"/>
    <w:rsid w:val="000F66FC"/>
    <w:rsid w:val="000F6813"/>
    <w:rsid w:val="000F6905"/>
    <w:rsid w:val="000F6959"/>
    <w:rsid w:val="000F6988"/>
    <w:rsid w:val="000F6A33"/>
    <w:rsid w:val="000F6B19"/>
    <w:rsid w:val="000F6B88"/>
    <w:rsid w:val="000F6BDD"/>
    <w:rsid w:val="000F6BE6"/>
    <w:rsid w:val="000F6D46"/>
    <w:rsid w:val="000F6ED9"/>
    <w:rsid w:val="000F6F0D"/>
    <w:rsid w:val="000F6FAA"/>
    <w:rsid w:val="000F6FBC"/>
    <w:rsid w:val="000F7075"/>
    <w:rsid w:val="000F72F7"/>
    <w:rsid w:val="000F7373"/>
    <w:rsid w:val="000F7475"/>
    <w:rsid w:val="000F766C"/>
    <w:rsid w:val="000F76C0"/>
    <w:rsid w:val="000F7799"/>
    <w:rsid w:val="000F7946"/>
    <w:rsid w:val="000F79CA"/>
    <w:rsid w:val="000F7A4B"/>
    <w:rsid w:val="000F7AF3"/>
    <w:rsid w:val="000F7BA3"/>
    <w:rsid w:val="000F7C90"/>
    <w:rsid w:val="000F7CF1"/>
    <w:rsid w:val="000F7D99"/>
    <w:rsid w:val="000F7DC3"/>
    <w:rsid w:val="000F7E98"/>
    <w:rsid w:val="000F7EE0"/>
    <w:rsid w:val="00100001"/>
    <w:rsid w:val="00100029"/>
    <w:rsid w:val="0010010B"/>
    <w:rsid w:val="001001C4"/>
    <w:rsid w:val="001001E0"/>
    <w:rsid w:val="001002DE"/>
    <w:rsid w:val="001003C3"/>
    <w:rsid w:val="001003F6"/>
    <w:rsid w:val="0010040E"/>
    <w:rsid w:val="00100471"/>
    <w:rsid w:val="00100490"/>
    <w:rsid w:val="00100620"/>
    <w:rsid w:val="00100649"/>
    <w:rsid w:val="00100898"/>
    <w:rsid w:val="00100ACE"/>
    <w:rsid w:val="00100BC6"/>
    <w:rsid w:val="00100C29"/>
    <w:rsid w:val="00100D8C"/>
    <w:rsid w:val="00100E38"/>
    <w:rsid w:val="00100EE6"/>
    <w:rsid w:val="00100F4B"/>
    <w:rsid w:val="00100FF1"/>
    <w:rsid w:val="001010D8"/>
    <w:rsid w:val="0010118C"/>
    <w:rsid w:val="0010124C"/>
    <w:rsid w:val="0010125A"/>
    <w:rsid w:val="001012A3"/>
    <w:rsid w:val="0010135F"/>
    <w:rsid w:val="00101654"/>
    <w:rsid w:val="001016F9"/>
    <w:rsid w:val="001017F1"/>
    <w:rsid w:val="00101800"/>
    <w:rsid w:val="00101865"/>
    <w:rsid w:val="00101887"/>
    <w:rsid w:val="00101C21"/>
    <w:rsid w:val="00101C8D"/>
    <w:rsid w:val="00101CFD"/>
    <w:rsid w:val="00101E4A"/>
    <w:rsid w:val="00101E9E"/>
    <w:rsid w:val="00101EA5"/>
    <w:rsid w:val="00101EF0"/>
    <w:rsid w:val="00101F2F"/>
    <w:rsid w:val="00101F4D"/>
    <w:rsid w:val="00101F85"/>
    <w:rsid w:val="001022A9"/>
    <w:rsid w:val="00102460"/>
    <w:rsid w:val="00102488"/>
    <w:rsid w:val="001024B9"/>
    <w:rsid w:val="001024E7"/>
    <w:rsid w:val="001025EC"/>
    <w:rsid w:val="00102693"/>
    <w:rsid w:val="001028BA"/>
    <w:rsid w:val="001028FD"/>
    <w:rsid w:val="0010291D"/>
    <w:rsid w:val="00102A14"/>
    <w:rsid w:val="00102C17"/>
    <w:rsid w:val="00102C27"/>
    <w:rsid w:val="00102D14"/>
    <w:rsid w:val="00102D8F"/>
    <w:rsid w:val="00102DCA"/>
    <w:rsid w:val="00102DDA"/>
    <w:rsid w:val="00103037"/>
    <w:rsid w:val="00103122"/>
    <w:rsid w:val="00103224"/>
    <w:rsid w:val="00103421"/>
    <w:rsid w:val="001034A4"/>
    <w:rsid w:val="001034DA"/>
    <w:rsid w:val="00103560"/>
    <w:rsid w:val="0010357B"/>
    <w:rsid w:val="001035F5"/>
    <w:rsid w:val="00103624"/>
    <w:rsid w:val="00103688"/>
    <w:rsid w:val="00103A0D"/>
    <w:rsid w:val="00103B36"/>
    <w:rsid w:val="00103D59"/>
    <w:rsid w:val="00103DFB"/>
    <w:rsid w:val="00103E04"/>
    <w:rsid w:val="00103E6B"/>
    <w:rsid w:val="00103E86"/>
    <w:rsid w:val="00103EC3"/>
    <w:rsid w:val="00103F38"/>
    <w:rsid w:val="00104071"/>
    <w:rsid w:val="001040B3"/>
    <w:rsid w:val="00104353"/>
    <w:rsid w:val="0010435C"/>
    <w:rsid w:val="00104373"/>
    <w:rsid w:val="001043E3"/>
    <w:rsid w:val="001044C1"/>
    <w:rsid w:val="001045D9"/>
    <w:rsid w:val="001046E5"/>
    <w:rsid w:val="001047D6"/>
    <w:rsid w:val="001049E7"/>
    <w:rsid w:val="00104A10"/>
    <w:rsid w:val="00104AD0"/>
    <w:rsid w:val="00104B99"/>
    <w:rsid w:val="00104BDC"/>
    <w:rsid w:val="00104CCF"/>
    <w:rsid w:val="00104D84"/>
    <w:rsid w:val="00104E81"/>
    <w:rsid w:val="0010500E"/>
    <w:rsid w:val="00105143"/>
    <w:rsid w:val="00105307"/>
    <w:rsid w:val="00105440"/>
    <w:rsid w:val="001054F4"/>
    <w:rsid w:val="0010579B"/>
    <w:rsid w:val="001057B9"/>
    <w:rsid w:val="001057BE"/>
    <w:rsid w:val="0010584D"/>
    <w:rsid w:val="001059DB"/>
    <w:rsid w:val="00105CFB"/>
    <w:rsid w:val="00105D5F"/>
    <w:rsid w:val="00105D91"/>
    <w:rsid w:val="00105E11"/>
    <w:rsid w:val="00106198"/>
    <w:rsid w:val="001061E8"/>
    <w:rsid w:val="001062B1"/>
    <w:rsid w:val="00106311"/>
    <w:rsid w:val="00106398"/>
    <w:rsid w:val="0010639F"/>
    <w:rsid w:val="001063FA"/>
    <w:rsid w:val="00106406"/>
    <w:rsid w:val="00106435"/>
    <w:rsid w:val="00106711"/>
    <w:rsid w:val="00106817"/>
    <w:rsid w:val="0010682A"/>
    <w:rsid w:val="001069B8"/>
    <w:rsid w:val="00106AFF"/>
    <w:rsid w:val="00106B5F"/>
    <w:rsid w:val="00106B7E"/>
    <w:rsid w:val="00106BF8"/>
    <w:rsid w:val="00106C6D"/>
    <w:rsid w:val="00106D07"/>
    <w:rsid w:val="00106D50"/>
    <w:rsid w:val="00106D51"/>
    <w:rsid w:val="00106E15"/>
    <w:rsid w:val="00106EE4"/>
    <w:rsid w:val="00106F02"/>
    <w:rsid w:val="00106FE6"/>
    <w:rsid w:val="00107039"/>
    <w:rsid w:val="001071E3"/>
    <w:rsid w:val="00107301"/>
    <w:rsid w:val="00107312"/>
    <w:rsid w:val="00107363"/>
    <w:rsid w:val="0010746A"/>
    <w:rsid w:val="001074E3"/>
    <w:rsid w:val="001076B0"/>
    <w:rsid w:val="00107783"/>
    <w:rsid w:val="001078F3"/>
    <w:rsid w:val="00107924"/>
    <w:rsid w:val="0010796E"/>
    <w:rsid w:val="0010798B"/>
    <w:rsid w:val="00107AC8"/>
    <w:rsid w:val="00107B6A"/>
    <w:rsid w:val="00107BCE"/>
    <w:rsid w:val="00107C2D"/>
    <w:rsid w:val="00107C4D"/>
    <w:rsid w:val="00107D37"/>
    <w:rsid w:val="00107F1F"/>
    <w:rsid w:val="00107FB0"/>
    <w:rsid w:val="00110152"/>
    <w:rsid w:val="00110261"/>
    <w:rsid w:val="00110333"/>
    <w:rsid w:val="00110570"/>
    <w:rsid w:val="001105A6"/>
    <w:rsid w:val="001105F0"/>
    <w:rsid w:val="00110636"/>
    <w:rsid w:val="001106F2"/>
    <w:rsid w:val="0011073E"/>
    <w:rsid w:val="001107C6"/>
    <w:rsid w:val="001108C3"/>
    <w:rsid w:val="00110939"/>
    <w:rsid w:val="0011095F"/>
    <w:rsid w:val="001109D0"/>
    <w:rsid w:val="00110A79"/>
    <w:rsid w:val="00110A9B"/>
    <w:rsid w:val="00110B67"/>
    <w:rsid w:val="00110BA5"/>
    <w:rsid w:val="00110C02"/>
    <w:rsid w:val="00110C33"/>
    <w:rsid w:val="00110C5F"/>
    <w:rsid w:val="00110D5B"/>
    <w:rsid w:val="00110DE4"/>
    <w:rsid w:val="00110E07"/>
    <w:rsid w:val="00110E0C"/>
    <w:rsid w:val="00110EA3"/>
    <w:rsid w:val="00110F03"/>
    <w:rsid w:val="00110F0D"/>
    <w:rsid w:val="001110A4"/>
    <w:rsid w:val="00111195"/>
    <w:rsid w:val="001112A6"/>
    <w:rsid w:val="001112B3"/>
    <w:rsid w:val="00111357"/>
    <w:rsid w:val="0011137C"/>
    <w:rsid w:val="001113AB"/>
    <w:rsid w:val="00111794"/>
    <w:rsid w:val="001119AC"/>
    <w:rsid w:val="00111A2D"/>
    <w:rsid w:val="00111DB3"/>
    <w:rsid w:val="00111E11"/>
    <w:rsid w:val="00111E6E"/>
    <w:rsid w:val="00111EB7"/>
    <w:rsid w:val="00111FD6"/>
    <w:rsid w:val="001120EA"/>
    <w:rsid w:val="001120FE"/>
    <w:rsid w:val="0011231D"/>
    <w:rsid w:val="00112412"/>
    <w:rsid w:val="001124E8"/>
    <w:rsid w:val="00112606"/>
    <w:rsid w:val="00112779"/>
    <w:rsid w:val="001129F2"/>
    <w:rsid w:val="00112AB5"/>
    <w:rsid w:val="00112DBD"/>
    <w:rsid w:val="00112DE9"/>
    <w:rsid w:val="00112E00"/>
    <w:rsid w:val="00112E11"/>
    <w:rsid w:val="00112F36"/>
    <w:rsid w:val="00112F43"/>
    <w:rsid w:val="00113038"/>
    <w:rsid w:val="00113082"/>
    <w:rsid w:val="001130C4"/>
    <w:rsid w:val="001131B9"/>
    <w:rsid w:val="001131DF"/>
    <w:rsid w:val="00113258"/>
    <w:rsid w:val="00113271"/>
    <w:rsid w:val="001132F3"/>
    <w:rsid w:val="0011338B"/>
    <w:rsid w:val="00113591"/>
    <w:rsid w:val="001135F9"/>
    <w:rsid w:val="00113670"/>
    <w:rsid w:val="0011368A"/>
    <w:rsid w:val="0011372D"/>
    <w:rsid w:val="00113743"/>
    <w:rsid w:val="001137DB"/>
    <w:rsid w:val="001138C9"/>
    <w:rsid w:val="00113996"/>
    <w:rsid w:val="00113B4B"/>
    <w:rsid w:val="00113B9D"/>
    <w:rsid w:val="00113BD6"/>
    <w:rsid w:val="00113C66"/>
    <w:rsid w:val="00113C79"/>
    <w:rsid w:val="00113E5F"/>
    <w:rsid w:val="00113F35"/>
    <w:rsid w:val="00113F46"/>
    <w:rsid w:val="00113F5F"/>
    <w:rsid w:val="0011409C"/>
    <w:rsid w:val="00114113"/>
    <w:rsid w:val="0011414A"/>
    <w:rsid w:val="001142ED"/>
    <w:rsid w:val="00114311"/>
    <w:rsid w:val="00114333"/>
    <w:rsid w:val="00114343"/>
    <w:rsid w:val="00114389"/>
    <w:rsid w:val="00114495"/>
    <w:rsid w:val="00114525"/>
    <w:rsid w:val="0011468C"/>
    <w:rsid w:val="001146B7"/>
    <w:rsid w:val="00114779"/>
    <w:rsid w:val="0011483F"/>
    <w:rsid w:val="001148DB"/>
    <w:rsid w:val="00114939"/>
    <w:rsid w:val="00114B8B"/>
    <w:rsid w:val="00114C20"/>
    <w:rsid w:val="00114CB7"/>
    <w:rsid w:val="00114E26"/>
    <w:rsid w:val="00114E9C"/>
    <w:rsid w:val="00114FED"/>
    <w:rsid w:val="001150D5"/>
    <w:rsid w:val="00115118"/>
    <w:rsid w:val="00115138"/>
    <w:rsid w:val="00115253"/>
    <w:rsid w:val="001154F0"/>
    <w:rsid w:val="001155EA"/>
    <w:rsid w:val="00115780"/>
    <w:rsid w:val="001158F0"/>
    <w:rsid w:val="00115902"/>
    <w:rsid w:val="001159C5"/>
    <w:rsid w:val="00115AE4"/>
    <w:rsid w:val="00115B66"/>
    <w:rsid w:val="00115D54"/>
    <w:rsid w:val="00115EA6"/>
    <w:rsid w:val="00115EEA"/>
    <w:rsid w:val="001160D0"/>
    <w:rsid w:val="0011629B"/>
    <w:rsid w:val="001162D1"/>
    <w:rsid w:val="001162DD"/>
    <w:rsid w:val="00116306"/>
    <w:rsid w:val="00116355"/>
    <w:rsid w:val="0011639E"/>
    <w:rsid w:val="00116425"/>
    <w:rsid w:val="0011653B"/>
    <w:rsid w:val="0011661B"/>
    <w:rsid w:val="001168E3"/>
    <w:rsid w:val="0011697A"/>
    <w:rsid w:val="001169D3"/>
    <w:rsid w:val="00116B54"/>
    <w:rsid w:val="00116B89"/>
    <w:rsid w:val="00116CF9"/>
    <w:rsid w:val="00116FAF"/>
    <w:rsid w:val="00116FDA"/>
    <w:rsid w:val="00117054"/>
    <w:rsid w:val="0011708D"/>
    <w:rsid w:val="00117197"/>
    <w:rsid w:val="001173F5"/>
    <w:rsid w:val="001175E8"/>
    <w:rsid w:val="001176A9"/>
    <w:rsid w:val="001176B1"/>
    <w:rsid w:val="00117747"/>
    <w:rsid w:val="00117947"/>
    <w:rsid w:val="001179FC"/>
    <w:rsid w:val="00117A1F"/>
    <w:rsid w:val="00117B11"/>
    <w:rsid w:val="00117B1B"/>
    <w:rsid w:val="00117BEB"/>
    <w:rsid w:val="00117C0F"/>
    <w:rsid w:val="00117CC1"/>
    <w:rsid w:val="0012009F"/>
    <w:rsid w:val="00120117"/>
    <w:rsid w:val="0012024C"/>
    <w:rsid w:val="001204F3"/>
    <w:rsid w:val="0012058C"/>
    <w:rsid w:val="001205A9"/>
    <w:rsid w:val="001205B7"/>
    <w:rsid w:val="001207DC"/>
    <w:rsid w:val="00120840"/>
    <w:rsid w:val="001209BE"/>
    <w:rsid w:val="001209DD"/>
    <w:rsid w:val="00120AED"/>
    <w:rsid w:val="00120C64"/>
    <w:rsid w:val="00120E79"/>
    <w:rsid w:val="00120ECA"/>
    <w:rsid w:val="0012108F"/>
    <w:rsid w:val="001210E4"/>
    <w:rsid w:val="00121116"/>
    <w:rsid w:val="00121547"/>
    <w:rsid w:val="0012157B"/>
    <w:rsid w:val="0012161B"/>
    <w:rsid w:val="00121688"/>
    <w:rsid w:val="00121787"/>
    <w:rsid w:val="00121910"/>
    <w:rsid w:val="0012196A"/>
    <w:rsid w:val="001219D8"/>
    <w:rsid w:val="00121ADE"/>
    <w:rsid w:val="00121BEF"/>
    <w:rsid w:val="00121D46"/>
    <w:rsid w:val="00121E88"/>
    <w:rsid w:val="00121EAE"/>
    <w:rsid w:val="0012212F"/>
    <w:rsid w:val="0012213B"/>
    <w:rsid w:val="00122239"/>
    <w:rsid w:val="00122282"/>
    <w:rsid w:val="001222D7"/>
    <w:rsid w:val="00122363"/>
    <w:rsid w:val="0012236C"/>
    <w:rsid w:val="00122572"/>
    <w:rsid w:val="00122647"/>
    <w:rsid w:val="0012265E"/>
    <w:rsid w:val="001228C9"/>
    <w:rsid w:val="001229AC"/>
    <w:rsid w:val="001229EA"/>
    <w:rsid w:val="00122B4F"/>
    <w:rsid w:val="00122B8E"/>
    <w:rsid w:val="00122BB4"/>
    <w:rsid w:val="00122CC1"/>
    <w:rsid w:val="00122D17"/>
    <w:rsid w:val="00122F6E"/>
    <w:rsid w:val="00122FC9"/>
    <w:rsid w:val="0012308A"/>
    <w:rsid w:val="0012320A"/>
    <w:rsid w:val="001232B0"/>
    <w:rsid w:val="001232F1"/>
    <w:rsid w:val="0012349D"/>
    <w:rsid w:val="001235E4"/>
    <w:rsid w:val="001235EE"/>
    <w:rsid w:val="001236B2"/>
    <w:rsid w:val="00123703"/>
    <w:rsid w:val="0012371A"/>
    <w:rsid w:val="00123920"/>
    <w:rsid w:val="00123A73"/>
    <w:rsid w:val="00123A77"/>
    <w:rsid w:val="00123B67"/>
    <w:rsid w:val="00123B8A"/>
    <w:rsid w:val="00123BA4"/>
    <w:rsid w:val="00123BE8"/>
    <w:rsid w:val="00123D98"/>
    <w:rsid w:val="00124192"/>
    <w:rsid w:val="00124624"/>
    <w:rsid w:val="00124647"/>
    <w:rsid w:val="0012470A"/>
    <w:rsid w:val="0012474D"/>
    <w:rsid w:val="001248A5"/>
    <w:rsid w:val="001248F5"/>
    <w:rsid w:val="00124913"/>
    <w:rsid w:val="0012494F"/>
    <w:rsid w:val="0012497D"/>
    <w:rsid w:val="001249F7"/>
    <w:rsid w:val="00124A69"/>
    <w:rsid w:val="00124BAB"/>
    <w:rsid w:val="00124BBE"/>
    <w:rsid w:val="00124BC5"/>
    <w:rsid w:val="00124C00"/>
    <w:rsid w:val="00124C91"/>
    <w:rsid w:val="00124C9B"/>
    <w:rsid w:val="00124CE0"/>
    <w:rsid w:val="00124D2D"/>
    <w:rsid w:val="00124DB2"/>
    <w:rsid w:val="00124F2D"/>
    <w:rsid w:val="00124F2F"/>
    <w:rsid w:val="001250B1"/>
    <w:rsid w:val="001252DB"/>
    <w:rsid w:val="0012535D"/>
    <w:rsid w:val="00125577"/>
    <w:rsid w:val="0012571B"/>
    <w:rsid w:val="00125926"/>
    <w:rsid w:val="00125BEA"/>
    <w:rsid w:val="00125BEE"/>
    <w:rsid w:val="00125C48"/>
    <w:rsid w:val="00125D86"/>
    <w:rsid w:val="00125E1C"/>
    <w:rsid w:val="00125ED4"/>
    <w:rsid w:val="0012609C"/>
    <w:rsid w:val="001263EE"/>
    <w:rsid w:val="00126539"/>
    <w:rsid w:val="00126548"/>
    <w:rsid w:val="001265E3"/>
    <w:rsid w:val="00126754"/>
    <w:rsid w:val="00126858"/>
    <w:rsid w:val="001268CD"/>
    <w:rsid w:val="00126971"/>
    <w:rsid w:val="00126A29"/>
    <w:rsid w:val="00126A7A"/>
    <w:rsid w:val="00126A7C"/>
    <w:rsid w:val="00126B74"/>
    <w:rsid w:val="00126CA9"/>
    <w:rsid w:val="00126D0F"/>
    <w:rsid w:val="00126D21"/>
    <w:rsid w:val="00126EF2"/>
    <w:rsid w:val="00126F53"/>
    <w:rsid w:val="0012701A"/>
    <w:rsid w:val="00127097"/>
    <w:rsid w:val="001271BC"/>
    <w:rsid w:val="001271CC"/>
    <w:rsid w:val="00127396"/>
    <w:rsid w:val="00127473"/>
    <w:rsid w:val="00127496"/>
    <w:rsid w:val="00127811"/>
    <w:rsid w:val="001279E6"/>
    <w:rsid w:val="00127A44"/>
    <w:rsid w:val="00127BDF"/>
    <w:rsid w:val="00127CBF"/>
    <w:rsid w:val="00127DFE"/>
    <w:rsid w:val="00130037"/>
    <w:rsid w:val="00130040"/>
    <w:rsid w:val="001302E9"/>
    <w:rsid w:val="0013045B"/>
    <w:rsid w:val="0013053B"/>
    <w:rsid w:val="00130555"/>
    <w:rsid w:val="00130688"/>
    <w:rsid w:val="001306B3"/>
    <w:rsid w:val="001306F6"/>
    <w:rsid w:val="00130718"/>
    <w:rsid w:val="00130791"/>
    <w:rsid w:val="00130952"/>
    <w:rsid w:val="00130A83"/>
    <w:rsid w:val="00130BA4"/>
    <w:rsid w:val="00130BB5"/>
    <w:rsid w:val="00130BC5"/>
    <w:rsid w:val="00130D03"/>
    <w:rsid w:val="00130D98"/>
    <w:rsid w:val="00130DC8"/>
    <w:rsid w:val="00130E30"/>
    <w:rsid w:val="00130F1B"/>
    <w:rsid w:val="00130F44"/>
    <w:rsid w:val="0013107D"/>
    <w:rsid w:val="001310A1"/>
    <w:rsid w:val="0013117F"/>
    <w:rsid w:val="001312DB"/>
    <w:rsid w:val="001313F2"/>
    <w:rsid w:val="001314EC"/>
    <w:rsid w:val="0013163B"/>
    <w:rsid w:val="00131640"/>
    <w:rsid w:val="001316F8"/>
    <w:rsid w:val="001318E3"/>
    <w:rsid w:val="00131913"/>
    <w:rsid w:val="00131993"/>
    <w:rsid w:val="00131A5A"/>
    <w:rsid w:val="00131A8F"/>
    <w:rsid w:val="00131CC5"/>
    <w:rsid w:val="00131DFF"/>
    <w:rsid w:val="00131FDF"/>
    <w:rsid w:val="001322FB"/>
    <w:rsid w:val="001324AA"/>
    <w:rsid w:val="0013254E"/>
    <w:rsid w:val="001325F5"/>
    <w:rsid w:val="00132602"/>
    <w:rsid w:val="00132639"/>
    <w:rsid w:val="001326B0"/>
    <w:rsid w:val="001327FA"/>
    <w:rsid w:val="00132810"/>
    <w:rsid w:val="001328D9"/>
    <w:rsid w:val="0013294E"/>
    <w:rsid w:val="001329BD"/>
    <w:rsid w:val="00132A0B"/>
    <w:rsid w:val="00132A23"/>
    <w:rsid w:val="00132A67"/>
    <w:rsid w:val="00132C55"/>
    <w:rsid w:val="00132EEA"/>
    <w:rsid w:val="00132F4F"/>
    <w:rsid w:val="00133057"/>
    <w:rsid w:val="001332F0"/>
    <w:rsid w:val="001333AF"/>
    <w:rsid w:val="00133419"/>
    <w:rsid w:val="001335DD"/>
    <w:rsid w:val="00133635"/>
    <w:rsid w:val="00133679"/>
    <w:rsid w:val="00133683"/>
    <w:rsid w:val="001337F5"/>
    <w:rsid w:val="00133AF2"/>
    <w:rsid w:val="00133D3D"/>
    <w:rsid w:val="00133D52"/>
    <w:rsid w:val="00133DAE"/>
    <w:rsid w:val="00133DC6"/>
    <w:rsid w:val="00133EAB"/>
    <w:rsid w:val="00133EE8"/>
    <w:rsid w:val="001341FC"/>
    <w:rsid w:val="00134207"/>
    <w:rsid w:val="001342E5"/>
    <w:rsid w:val="0013435C"/>
    <w:rsid w:val="00134386"/>
    <w:rsid w:val="001343CA"/>
    <w:rsid w:val="00134481"/>
    <w:rsid w:val="00134549"/>
    <w:rsid w:val="001345A9"/>
    <w:rsid w:val="00134613"/>
    <w:rsid w:val="0013464F"/>
    <w:rsid w:val="0013479C"/>
    <w:rsid w:val="00134862"/>
    <w:rsid w:val="00134B82"/>
    <w:rsid w:val="00134BE1"/>
    <w:rsid w:val="00134BF9"/>
    <w:rsid w:val="00134C00"/>
    <w:rsid w:val="00134E15"/>
    <w:rsid w:val="00134F7E"/>
    <w:rsid w:val="00135015"/>
    <w:rsid w:val="0013514D"/>
    <w:rsid w:val="00135247"/>
    <w:rsid w:val="001352F4"/>
    <w:rsid w:val="001353A2"/>
    <w:rsid w:val="001353D5"/>
    <w:rsid w:val="0013542B"/>
    <w:rsid w:val="00135686"/>
    <w:rsid w:val="0013572D"/>
    <w:rsid w:val="001359A6"/>
    <w:rsid w:val="00135A21"/>
    <w:rsid w:val="00135B32"/>
    <w:rsid w:val="00135B8A"/>
    <w:rsid w:val="00135C84"/>
    <w:rsid w:val="00135CC1"/>
    <w:rsid w:val="00135D5A"/>
    <w:rsid w:val="00135E34"/>
    <w:rsid w:val="00135E56"/>
    <w:rsid w:val="00135F8B"/>
    <w:rsid w:val="00136005"/>
    <w:rsid w:val="00136076"/>
    <w:rsid w:val="001360C7"/>
    <w:rsid w:val="00136204"/>
    <w:rsid w:val="0013632E"/>
    <w:rsid w:val="001364AF"/>
    <w:rsid w:val="00136679"/>
    <w:rsid w:val="001366C7"/>
    <w:rsid w:val="001366E8"/>
    <w:rsid w:val="0013696A"/>
    <w:rsid w:val="00136A2A"/>
    <w:rsid w:val="00136A81"/>
    <w:rsid w:val="00136A98"/>
    <w:rsid w:val="00136AF6"/>
    <w:rsid w:val="00136B51"/>
    <w:rsid w:val="00136C2A"/>
    <w:rsid w:val="00136D36"/>
    <w:rsid w:val="00136D54"/>
    <w:rsid w:val="00136DAA"/>
    <w:rsid w:val="00136EEA"/>
    <w:rsid w:val="00136F8A"/>
    <w:rsid w:val="00137070"/>
    <w:rsid w:val="001370AC"/>
    <w:rsid w:val="0013710B"/>
    <w:rsid w:val="001371AA"/>
    <w:rsid w:val="001371E6"/>
    <w:rsid w:val="00137367"/>
    <w:rsid w:val="0013740E"/>
    <w:rsid w:val="00137479"/>
    <w:rsid w:val="0013754E"/>
    <w:rsid w:val="00137687"/>
    <w:rsid w:val="00137695"/>
    <w:rsid w:val="001376E6"/>
    <w:rsid w:val="0013772E"/>
    <w:rsid w:val="00137827"/>
    <w:rsid w:val="0013786F"/>
    <w:rsid w:val="001378B8"/>
    <w:rsid w:val="0013797E"/>
    <w:rsid w:val="00137A15"/>
    <w:rsid w:val="00137A55"/>
    <w:rsid w:val="00137A63"/>
    <w:rsid w:val="00137AB1"/>
    <w:rsid w:val="00137AEA"/>
    <w:rsid w:val="00137C50"/>
    <w:rsid w:val="00137EAC"/>
    <w:rsid w:val="00137F08"/>
    <w:rsid w:val="001400B1"/>
    <w:rsid w:val="001400E2"/>
    <w:rsid w:val="001402E9"/>
    <w:rsid w:val="0014038B"/>
    <w:rsid w:val="001403A1"/>
    <w:rsid w:val="0014056D"/>
    <w:rsid w:val="001405FD"/>
    <w:rsid w:val="0014060F"/>
    <w:rsid w:val="0014063A"/>
    <w:rsid w:val="0014073A"/>
    <w:rsid w:val="001407C6"/>
    <w:rsid w:val="0014081A"/>
    <w:rsid w:val="0014092C"/>
    <w:rsid w:val="00140AA5"/>
    <w:rsid w:val="00140B14"/>
    <w:rsid w:val="00140C77"/>
    <w:rsid w:val="00140E8B"/>
    <w:rsid w:val="00140EA2"/>
    <w:rsid w:val="0014102C"/>
    <w:rsid w:val="001410C3"/>
    <w:rsid w:val="00141110"/>
    <w:rsid w:val="0014113A"/>
    <w:rsid w:val="001412DD"/>
    <w:rsid w:val="0014148C"/>
    <w:rsid w:val="001415A8"/>
    <w:rsid w:val="00141621"/>
    <w:rsid w:val="00141690"/>
    <w:rsid w:val="0014170B"/>
    <w:rsid w:val="00141752"/>
    <w:rsid w:val="0014176C"/>
    <w:rsid w:val="00141776"/>
    <w:rsid w:val="00141816"/>
    <w:rsid w:val="00141883"/>
    <w:rsid w:val="00141A23"/>
    <w:rsid w:val="00141A3E"/>
    <w:rsid w:val="00141B4A"/>
    <w:rsid w:val="00141B5D"/>
    <w:rsid w:val="00141B89"/>
    <w:rsid w:val="00141B9B"/>
    <w:rsid w:val="00141D21"/>
    <w:rsid w:val="00141D26"/>
    <w:rsid w:val="00141E6C"/>
    <w:rsid w:val="00141E8D"/>
    <w:rsid w:val="001420B2"/>
    <w:rsid w:val="001420DE"/>
    <w:rsid w:val="00142131"/>
    <w:rsid w:val="00142179"/>
    <w:rsid w:val="00142229"/>
    <w:rsid w:val="001422A0"/>
    <w:rsid w:val="001424AF"/>
    <w:rsid w:val="00142530"/>
    <w:rsid w:val="00142565"/>
    <w:rsid w:val="00142639"/>
    <w:rsid w:val="00142697"/>
    <w:rsid w:val="001426C7"/>
    <w:rsid w:val="001429E2"/>
    <w:rsid w:val="001429E3"/>
    <w:rsid w:val="001429EE"/>
    <w:rsid w:val="00142AE1"/>
    <w:rsid w:val="00142B1F"/>
    <w:rsid w:val="00142B39"/>
    <w:rsid w:val="00142B88"/>
    <w:rsid w:val="00142C00"/>
    <w:rsid w:val="00142E83"/>
    <w:rsid w:val="00142E9E"/>
    <w:rsid w:val="00143156"/>
    <w:rsid w:val="00143169"/>
    <w:rsid w:val="00143175"/>
    <w:rsid w:val="001431B2"/>
    <w:rsid w:val="00143237"/>
    <w:rsid w:val="00143241"/>
    <w:rsid w:val="001433E0"/>
    <w:rsid w:val="00143604"/>
    <w:rsid w:val="001437AF"/>
    <w:rsid w:val="001437DE"/>
    <w:rsid w:val="001437F4"/>
    <w:rsid w:val="001437F7"/>
    <w:rsid w:val="00143804"/>
    <w:rsid w:val="001438BE"/>
    <w:rsid w:val="00143A2A"/>
    <w:rsid w:val="00143A7F"/>
    <w:rsid w:val="00143AC7"/>
    <w:rsid w:val="00143C46"/>
    <w:rsid w:val="00143D6B"/>
    <w:rsid w:val="00143DBF"/>
    <w:rsid w:val="00143ED5"/>
    <w:rsid w:val="00143FF1"/>
    <w:rsid w:val="0014404F"/>
    <w:rsid w:val="00144083"/>
    <w:rsid w:val="0014411F"/>
    <w:rsid w:val="001441A2"/>
    <w:rsid w:val="001441AC"/>
    <w:rsid w:val="001442BA"/>
    <w:rsid w:val="0014452A"/>
    <w:rsid w:val="00144553"/>
    <w:rsid w:val="00144557"/>
    <w:rsid w:val="0014458C"/>
    <w:rsid w:val="00144732"/>
    <w:rsid w:val="001449E4"/>
    <w:rsid w:val="00144A5D"/>
    <w:rsid w:val="00144B86"/>
    <w:rsid w:val="00144DC5"/>
    <w:rsid w:val="00144DD0"/>
    <w:rsid w:val="00144E2B"/>
    <w:rsid w:val="00144E8E"/>
    <w:rsid w:val="00144ED8"/>
    <w:rsid w:val="001451B4"/>
    <w:rsid w:val="0014520A"/>
    <w:rsid w:val="0014526F"/>
    <w:rsid w:val="0014538B"/>
    <w:rsid w:val="00145394"/>
    <w:rsid w:val="001453BC"/>
    <w:rsid w:val="001453E8"/>
    <w:rsid w:val="00145441"/>
    <w:rsid w:val="00145476"/>
    <w:rsid w:val="00145497"/>
    <w:rsid w:val="001454B1"/>
    <w:rsid w:val="00145564"/>
    <w:rsid w:val="001456D2"/>
    <w:rsid w:val="001456E5"/>
    <w:rsid w:val="001457A4"/>
    <w:rsid w:val="00145951"/>
    <w:rsid w:val="00145A16"/>
    <w:rsid w:val="00145AB2"/>
    <w:rsid w:val="00145B7E"/>
    <w:rsid w:val="00145B86"/>
    <w:rsid w:val="00145BED"/>
    <w:rsid w:val="00145C0C"/>
    <w:rsid w:val="00145CBB"/>
    <w:rsid w:val="00145DC8"/>
    <w:rsid w:val="00145F08"/>
    <w:rsid w:val="00145FC8"/>
    <w:rsid w:val="00145FE6"/>
    <w:rsid w:val="00146095"/>
    <w:rsid w:val="00146131"/>
    <w:rsid w:val="00146185"/>
    <w:rsid w:val="001461D9"/>
    <w:rsid w:val="00146200"/>
    <w:rsid w:val="00146229"/>
    <w:rsid w:val="0014625F"/>
    <w:rsid w:val="001464C2"/>
    <w:rsid w:val="001464F3"/>
    <w:rsid w:val="00146502"/>
    <w:rsid w:val="00146561"/>
    <w:rsid w:val="00146590"/>
    <w:rsid w:val="0014675F"/>
    <w:rsid w:val="00146885"/>
    <w:rsid w:val="0014696A"/>
    <w:rsid w:val="0014697A"/>
    <w:rsid w:val="001469DD"/>
    <w:rsid w:val="00146A38"/>
    <w:rsid w:val="00146AED"/>
    <w:rsid w:val="00146DB1"/>
    <w:rsid w:val="00146F6C"/>
    <w:rsid w:val="00146F76"/>
    <w:rsid w:val="00147036"/>
    <w:rsid w:val="001470D6"/>
    <w:rsid w:val="00147129"/>
    <w:rsid w:val="00147429"/>
    <w:rsid w:val="0014753D"/>
    <w:rsid w:val="00147565"/>
    <w:rsid w:val="00147576"/>
    <w:rsid w:val="001475B6"/>
    <w:rsid w:val="001475D8"/>
    <w:rsid w:val="001476B0"/>
    <w:rsid w:val="00147707"/>
    <w:rsid w:val="00147710"/>
    <w:rsid w:val="0014777C"/>
    <w:rsid w:val="00147A47"/>
    <w:rsid w:val="00147A76"/>
    <w:rsid w:val="00147C7A"/>
    <w:rsid w:val="00147CF0"/>
    <w:rsid w:val="00147E64"/>
    <w:rsid w:val="00147E81"/>
    <w:rsid w:val="00147F2E"/>
    <w:rsid w:val="0015002F"/>
    <w:rsid w:val="0015003D"/>
    <w:rsid w:val="00150068"/>
    <w:rsid w:val="00150098"/>
    <w:rsid w:val="0015024C"/>
    <w:rsid w:val="001503BF"/>
    <w:rsid w:val="0015046D"/>
    <w:rsid w:val="00150473"/>
    <w:rsid w:val="0015064C"/>
    <w:rsid w:val="001506F0"/>
    <w:rsid w:val="0015077A"/>
    <w:rsid w:val="00150854"/>
    <w:rsid w:val="00150963"/>
    <w:rsid w:val="00150966"/>
    <w:rsid w:val="001509BE"/>
    <w:rsid w:val="00150A4A"/>
    <w:rsid w:val="00150A9E"/>
    <w:rsid w:val="00150BF9"/>
    <w:rsid w:val="00150CA8"/>
    <w:rsid w:val="00150CCF"/>
    <w:rsid w:val="00150D69"/>
    <w:rsid w:val="00150E01"/>
    <w:rsid w:val="00150E21"/>
    <w:rsid w:val="00150E60"/>
    <w:rsid w:val="00150EA8"/>
    <w:rsid w:val="00150F20"/>
    <w:rsid w:val="00150F49"/>
    <w:rsid w:val="00151041"/>
    <w:rsid w:val="0015115E"/>
    <w:rsid w:val="0015116B"/>
    <w:rsid w:val="001512E4"/>
    <w:rsid w:val="001513B9"/>
    <w:rsid w:val="001513C0"/>
    <w:rsid w:val="001513D3"/>
    <w:rsid w:val="00151414"/>
    <w:rsid w:val="0015154E"/>
    <w:rsid w:val="0015171C"/>
    <w:rsid w:val="0015173C"/>
    <w:rsid w:val="00151861"/>
    <w:rsid w:val="00151A54"/>
    <w:rsid w:val="00151BC6"/>
    <w:rsid w:val="00151D03"/>
    <w:rsid w:val="00151D56"/>
    <w:rsid w:val="00151F19"/>
    <w:rsid w:val="00151FF3"/>
    <w:rsid w:val="00151FF8"/>
    <w:rsid w:val="001520D1"/>
    <w:rsid w:val="00152132"/>
    <w:rsid w:val="00152152"/>
    <w:rsid w:val="00152164"/>
    <w:rsid w:val="00152174"/>
    <w:rsid w:val="00152193"/>
    <w:rsid w:val="0015220C"/>
    <w:rsid w:val="0015241F"/>
    <w:rsid w:val="00152484"/>
    <w:rsid w:val="0015252E"/>
    <w:rsid w:val="001526CF"/>
    <w:rsid w:val="001526E8"/>
    <w:rsid w:val="00152872"/>
    <w:rsid w:val="001529E7"/>
    <w:rsid w:val="00152A19"/>
    <w:rsid w:val="00152B9A"/>
    <w:rsid w:val="00152C51"/>
    <w:rsid w:val="00152C70"/>
    <w:rsid w:val="00152D27"/>
    <w:rsid w:val="00152F28"/>
    <w:rsid w:val="00153062"/>
    <w:rsid w:val="00153071"/>
    <w:rsid w:val="001530B7"/>
    <w:rsid w:val="001533CE"/>
    <w:rsid w:val="0015348C"/>
    <w:rsid w:val="001534B1"/>
    <w:rsid w:val="001534DF"/>
    <w:rsid w:val="00153573"/>
    <w:rsid w:val="001535D6"/>
    <w:rsid w:val="00153794"/>
    <w:rsid w:val="001539A2"/>
    <w:rsid w:val="001539F2"/>
    <w:rsid w:val="00153A37"/>
    <w:rsid w:val="00153A7A"/>
    <w:rsid w:val="00153AE6"/>
    <w:rsid w:val="00153AF4"/>
    <w:rsid w:val="00153BED"/>
    <w:rsid w:val="00153C55"/>
    <w:rsid w:val="00153C8F"/>
    <w:rsid w:val="00153E3B"/>
    <w:rsid w:val="00153EAA"/>
    <w:rsid w:val="00153F0B"/>
    <w:rsid w:val="00154049"/>
    <w:rsid w:val="00154201"/>
    <w:rsid w:val="00154271"/>
    <w:rsid w:val="001542B4"/>
    <w:rsid w:val="0015438B"/>
    <w:rsid w:val="001543C0"/>
    <w:rsid w:val="0015446F"/>
    <w:rsid w:val="00154596"/>
    <w:rsid w:val="0015460F"/>
    <w:rsid w:val="001546B0"/>
    <w:rsid w:val="00154746"/>
    <w:rsid w:val="0015486E"/>
    <w:rsid w:val="001549B2"/>
    <w:rsid w:val="00154AA1"/>
    <w:rsid w:val="00154B04"/>
    <w:rsid w:val="00154B3F"/>
    <w:rsid w:val="00154B4F"/>
    <w:rsid w:val="00154BC6"/>
    <w:rsid w:val="00154BE3"/>
    <w:rsid w:val="00154CED"/>
    <w:rsid w:val="00154DBB"/>
    <w:rsid w:val="00154DD1"/>
    <w:rsid w:val="00154DF8"/>
    <w:rsid w:val="00154E80"/>
    <w:rsid w:val="00154EF3"/>
    <w:rsid w:val="00154F84"/>
    <w:rsid w:val="00155147"/>
    <w:rsid w:val="00155456"/>
    <w:rsid w:val="00155483"/>
    <w:rsid w:val="0015551D"/>
    <w:rsid w:val="001555BE"/>
    <w:rsid w:val="0015569F"/>
    <w:rsid w:val="00155B7C"/>
    <w:rsid w:val="00155BF5"/>
    <w:rsid w:val="00155C72"/>
    <w:rsid w:val="00155CCB"/>
    <w:rsid w:val="00155CE0"/>
    <w:rsid w:val="00155D09"/>
    <w:rsid w:val="00155D1A"/>
    <w:rsid w:val="00155D63"/>
    <w:rsid w:val="00155D8F"/>
    <w:rsid w:val="00155EEF"/>
    <w:rsid w:val="00155FE5"/>
    <w:rsid w:val="0015616F"/>
    <w:rsid w:val="00156267"/>
    <w:rsid w:val="0015630C"/>
    <w:rsid w:val="0015645F"/>
    <w:rsid w:val="00156515"/>
    <w:rsid w:val="001565FE"/>
    <w:rsid w:val="00156670"/>
    <w:rsid w:val="0015675A"/>
    <w:rsid w:val="001567ED"/>
    <w:rsid w:val="001568E6"/>
    <w:rsid w:val="001568E9"/>
    <w:rsid w:val="00156A59"/>
    <w:rsid w:val="00156AE0"/>
    <w:rsid w:val="00156BDD"/>
    <w:rsid w:val="00156C25"/>
    <w:rsid w:val="00156CFF"/>
    <w:rsid w:val="00156D3A"/>
    <w:rsid w:val="00156D62"/>
    <w:rsid w:val="00156D79"/>
    <w:rsid w:val="00156EB7"/>
    <w:rsid w:val="00156F7B"/>
    <w:rsid w:val="00157079"/>
    <w:rsid w:val="001570C7"/>
    <w:rsid w:val="001570DF"/>
    <w:rsid w:val="00157178"/>
    <w:rsid w:val="00157180"/>
    <w:rsid w:val="0015728E"/>
    <w:rsid w:val="001572B8"/>
    <w:rsid w:val="0015731D"/>
    <w:rsid w:val="0015758E"/>
    <w:rsid w:val="001575A0"/>
    <w:rsid w:val="0015761A"/>
    <w:rsid w:val="0015761B"/>
    <w:rsid w:val="001576B3"/>
    <w:rsid w:val="00157853"/>
    <w:rsid w:val="00157A9C"/>
    <w:rsid w:val="00157B93"/>
    <w:rsid w:val="00157C27"/>
    <w:rsid w:val="00157C7F"/>
    <w:rsid w:val="00157C94"/>
    <w:rsid w:val="00157CBB"/>
    <w:rsid w:val="00157D7D"/>
    <w:rsid w:val="00157E21"/>
    <w:rsid w:val="00157ED0"/>
    <w:rsid w:val="00157F06"/>
    <w:rsid w:val="00157F58"/>
    <w:rsid w:val="00157F65"/>
    <w:rsid w:val="00157FD9"/>
    <w:rsid w:val="0016011B"/>
    <w:rsid w:val="0016025E"/>
    <w:rsid w:val="001602C3"/>
    <w:rsid w:val="0016049E"/>
    <w:rsid w:val="00160502"/>
    <w:rsid w:val="0016058A"/>
    <w:rsid w:val="0016067B"/>
    <w:rsid w:val="001606CA"/>
    <w:rsid w:val="00160749"/>
    <w:rsid w:val="0016094E"/>
    <w:rsid w:val="00160955"/>
    <w:rsid w:val="00160A3B"/>
    <w:rsid w:val="00160A95"/>
    <w:rsid w:val="00160B1C"/>
    <w:rsid w:val="00160B8E"/>
    <w:rsid w:val="00160C1D"/>
    <w:rsid w:val="00160C25"/>
    <w:rsid w:val="00160CEC"/>
    <w:rsid w:val="00160DD3"/>
    <w:rsid w:val="00160EEA"/>
    <w:rsid w:val="00160FFF"/>
    <w:rsid w:val="00161144"/>
    <w:rsid w:val="001612FE"/>
    <w:rsid w:val="00161699"/>
    <w:rsid w:val="00161717"/>
    <w:rsid w:val="0016172A"/>
    <w:rsid w:val="001617AE"/>
    <w:rsid w:val="0016188E"/>
    <w:rsid w:val="001618F7"/>
    <w:rsid w:val="001618FF"/>
    <w:rsid w:val="00161A0C"/>
    <w:rsid w:val="00161AFA"/>
    <w:rsid w:val="00161B0B"/>
    <w:rsid w:val="00161E28"/>
    <w:rsid w:val="00161EFF"/>
    <w:rsid w:val="00161F0C"/>
    <w:rsid w:val="00161F81"/>
    <w:rsid w:val="00162031"/>
    <w:rsid w:val="00162176"/>
    <w:rsid w:val="00162253"/>
    <w:rsid w:val="0016243F"/>
    <w:rsid w:val="001624E6"/>
    <w:rsid w:val="0016253E"/>
    <w:rsid w:val="00162589"/>
    <w:rsid w:val="0016278C"/>
    <w:rsid w:val="001627C2"/>
    <w:rsid w:val="0016285B"/>
    <w:rsid w:val="00162875"/>
    <w:rsid w:val="00162877"/>
    <w:rsid w:val="0016288D"/>
    <w:rsid w:val="001629D3"/>
    <w:rsid w:val="001629EB"/>
    <w:rsid w:val="00162AEC"/>
    <w:rsid w:val="00162BF3"/>
    <w:rsid w:val="00162C1B"/>
    <w:rsid w:val="00162CA6"/>
    <w:rsid w:val="00162CE5"/>
    <w:rsid w:val="00162D75"/>
    <w:rsid w:val="00162DE5"/>
    <w:rsid w:val="0016302E"/>
    <w:rsid w:val="001630FD"/>
    <w:rsid w:val="0016313D"/>
    <w:rsid w:val="001631C9"/>
    <w:rsid w:val="001631E1"/>
    <w:rsid w:val="001632B8"/>
    <w:rsid w:val="00163390"/>
    <w:rsid w:val="0016340A"/>
    <w:rsid w:val="0016348C"/>
    <w:rsid w:val="001634F6"/>
    <w:rsid w:val="0016355A"/>
    <w:rsid w:val="0016365A"/>
    <w:rsid w:val="00163733"/>
    <w:rsid w:val="001637D7"/>
    <w:rsid w:val="00163868"/>
    <w:rsid w:val="0016394B"/>
    <w:rsid w:val="00163996"/>
    <w:rsid w:val="00163C76"/>
    <w:rsid w:val="00163CFA"/>
    <w:rsid w:val="00163D6C"/>
    <w:rsid w:val="00163EDC"/>
    <w:rsid w:val="00163FC5"/>
    <w:rsid w:val="001640AB"/>
    <w:rsid w:val="00164259"/>
    <w:rsid w:val="00164312"/>
    <w:rsid w:val="0016438A"/>
    <w:rsid w:val="001643C6"/>
    <w:rsid w:val="0016443D"/>
    <w:rsid w:val="00164442"/>
    <w:rsid w:val="00164561"/>
    <w:rsid w:val="0016458C"/>
    <w:rsid w:val="00164655"/>
    <w:rsid w:val="0016467F"/>
    <w:rsid w:val="001646A4"/>
    <w:rsid w:val="001646F2"/>
    <w:rsid w:val="00164728"/>
    <w:rsid w:val="001647E1"/>
    <w:rsid w:val="00164952"/>
    <w:rsid w:val="001649C1"/>
    <w:rsid w:val="00164A08"/>
    <w:rsid w:val="00164BAB"/>
    <w:rsid w:val="00164E03"/>
    <w:rsid w:val="00164E48"/>
    <w:rsid w:val="00164F34"/>
    <w:rsid w:val="00164F56"/>
    <w:rsid w:val="00165019"/>
    <w:rsid w:val="00165072"/>
    <w:rsid w:val="00165083"/>
    <w:rsid w:val="00165138"/>
    <w:rsid w:val="0016514C"/>
    <w:rsid w:val="001651B4"/>
    <w:rsid w:val="00165223"/>
    <w:rsid w:val="0016524B"/>
    <w:rsid w:val="00165345"/>
    <w:rsid w:val="00165346"/>
    <w:rsid w:val="00165458"/>
    <w:rsid w:val="001654AD"/>
    <w:rsid w:val="001654D2"/>
    <w:rsid w:val="0016557A"/>
    <w:rsid w:val="0016560C"/>
    <w:rsid w:val="001657B4"/>
    <w:rsid w:val="001657E7"/>
    <w:rsid w:val="001657FB"/>
    <w:rsid w:val="001658B6"/>
    <w:rsid w:val="001659DF"/>
    <w:rsid w:val="00165A2E"/>
    <w:rsid w:val="00165BFE"/>
    <w:rsid w:val="00165C9E"/>
    <w:rsid w:val="00165CF4"/>
    <w:rsid w:val="00165D61"/>
    <w:rsid w:val="00165D64"/>
    <w:rsid w:val="00165DD7"/>
    <w:rsid w:val="00165FC1"/>
    <w:rsid w:val="00166043"/>
    <w:rsid w:val="001660B2"/>
    <w:rsid w:val="001660BF"/>
    <w:rsid w:val="001663DA"/>
    <w:rsid w:val="0016647C"/>
    <w:rsid w:val="001665AB"/>
    <w:rsid w:val="001665E2"/>
    <w:rsid w:val="00166669"/>
    <w:rsid w:val="001666EF"/>
    <w:rsid w:val="00166776"/>
    <w:rsid w:val="001667C2"/>
    <w:rsid w:val="00166811"/>
    <w:rsid w:val="001668C6"/>
    <w:rsid w:val="00166A21"/>
    <w:rsid w:val="00166A5C"/>
    <w:rsid w:val="00166AB6"/>
    <w:rsid w:val="00166C35"/>
    <w:rsid w:val="00166C76"/>
    <w:rsid w:val="00166C9E"/>
    <w:rsid w:val="00166EDC"/>
    <w:rsid w:val="00167040"/>
    <w:rsid w:val="001671F9"/>
    <w:rsid w:val="001672CF"/>
    <w:rsid w:val="0016740C"/>
    <w:rsid w:val="001674DB"/>
    <w:rsid w:val="0016756F"/>
    <w:rsid w:val="001675CA"/>
    <w:rsid w:val="0016763A"/>
    <w:rsid w:val="001677A1"/>
    <w:rsid w:val="00167928"/>
    <w:rsid w:val="00167A9A"/>
    <w:rsid w:val="00167AD9"/>
    <w:rsid w:val="00167BD0"/>
    <w:rsid w:val="00167D02"/>
    <w:rsid w:val="00167E3A"/>
    <w:rsid w:val="00167F76"/>
    <w:rsid w:val="001706C2"/>
    <w:rsid w:val="001707CF"/>
    <w:rsid w:val="0017088B"/>
    <w:rsid w:val="001708A7"/>
    <w:rsid w:val="00170903"/>
    <w:rsid w:val="00170930"/>
    <w:rsid w:val="0017096C"/>
    <w:rsid w:val="00170A1F"/>
    <w:rsid w:val="00170BAD"/>
    <w:rsid w:val="00170BBB"/>
    <w:rsid w:val="00170C9C"/>
    <w:rsid w:val="00170CAE"/>
    <w:rsid w:val="00170D2F"/>
    <w:rsid w:val="00170DC3"/>
    <w:rsid w:val="00170E2B"/>
    <w:rsid w:val="00170E6F"/>
    <w:rsid w:val="00170E73"/>
    <w:rsid w:val="00170EA4"/>
    <w:rsid w:val="00170F4F"/>
    <w:rsid w:val="001710A9"/>
    <w:rsid w:val="001710DE"/>
    <w:rsid w:val="00171119"/>
    <w:rsid w:val="00171176"/>
    <w:rsid w:val="0017118C"/>
    <w:rsid w:val="001711B2"/>
    <w:rsid w:val="00171221"/>
    <w:rsid w:val="001712BD"/>
    <w:rsid w:val="0017148D"/>
    <w:rsid w:val="001714D5"/>
    <w:rsid w:val="001714E6"/>
    <w:rsid w:val="001714EC"/>
    <w:rsid w:val="0017155E"/>
    <w:rsid w:val="00171565"/>
    <w:rsid w:val="001715BE"/>
    <w:rsid w:val="0017160A"/>
    <w:rsid w:val="0017177A"/>
    <w:rsid w:val="001717CD"/>
    <w:rsid w:val="001718AA"/>
    <w:rsid w:val="0017193B"/>
    <w:rsid w:val="00171942"/>
    <w:rsid w:val="0017194D"/>
    <w:rsid w:val="0017198C"/>
    <w:rsid w:val="00171A56"/>
    <w:rsid w:val="00171A92"/>
    <w:rsid w:val="00171AF8"/>
    <w:rsid w:val="00171B7E"/>
    <w:rsid w:val="00171BD9"/>
    <w:rsid w:val="00171C27"/>
    <w:rsid w:val="00171C49"/>
    <w:rsid w:val="00171D58"/>
    <w:rsid w:val="00171DAE"/>
    <w:rsid w:val="00171E07"/>
    <w:rsid w:val="00171E0E"/>
    <w:rsid w:val="00171E11"/>
    <w:rsid w:val="00171EAB"/>
    <w:rsid w:val="00171FFE"/>
    <w:rsid w:val="0017203F"/>
    <w:rsid w:val="001720AA"/>
    <w:rsid w:val="0017214A"/>
    <w:rsid w:val="00172168"/>
    <w:rsid w:val="001721A1"/>
    <w:rsid w:val="00172444"/>
    <w:rsid w:val="001725F7"/>
    <w:rsid w:val="00172672"/>
    <w:rsid w:val="0017272C"/>
    <w:rsid w:val="00172809"/>
    <w:rsid w:val="00172996"/>
    <w:rsid w:val="00172A23"/>
    <w:rsid w:val="00172A92"/>
    <w:rsid w:val="00172A95"/>
    <w:rsid w:val="00172B06"/>
    <w:rsid w:val="00172B5B"/>
    <w:rsid w:val="00172C68"/>
    <w:rsid w:val="00172DD0"/>
    <w:rsid w:val="00172EF6"/>
    <w:rsid w:val="00172F8E"/>
    <w:rsid w:val="00172FFE"/>
    <w:rsid w:val="001730A8"/>
    <w:rsid w:val="00173115"/>
    <w:rsid w:val="0017311C"/>
    <w:rsid w:val="0017319E"/>
    <w:rsid w:val="001732F5"/>
    <w:rsid w:val="001733A3"/>
    <w:rsid w:val="00173466"/>
    <w:rsid w:val="0017348B"/>
    <w:rsid w:val="00173528"/>
    <w:rsid w:val="001735FF"/>
    <w:rsid w:val="00173681"/>
    <w:rsid w:val="001736C1"/>
    <w:rsid w:val="0017374A"/>
    <w:rsid w:val="00173944"/>
    <w:rsid w:val="00173A56"/>
    <w:rsid w:val="00173A60"/>
    <w:rsid w:val="00173B9D"/>
    <w:rsid w:val="00173D15"/>
    <w:rsid w:val="00173D8F"/>
    <w:rsid w:val="00173DFF"/>
    <w:rsid w:val="00174003"/>
    <w:rsid w:val="00174022"/>
    <w:rsid w:val="00174063"/>
    <w:rsid w:val="001742A8"/>
    <w:rsid w:val="001743CC"/>
    <w:rsid w:val="001744C6"/>
    <w:rsid w:val="001745AE"/>
    <w:rsid w:val="001746A8"/>
    <w:rsid w:val="001747E5"/>
    <w:rsid w:val="001748B5"/>
    <w:rsid w:val="00174976"/>
    <w:rsid w:val="00174A72"/>
    <w:rsid w:val="00174D3C"/>
    <w:rsid w:val="00174F98"/>
    <w:rsid w:val="00174F9A"/>
    <w:rsid w:val="0017504C"/>
    <w:rsid w:val="00175092"/>
    <w:rsid w:val="00175094"/>
    <w:rsid w:val="0017527F"/>
    <w:rsid w:val="001752D5"/>
    <w:rsid w:val="001752FC"/>
    <w:rsid w:val="00175304"/>
    <w:rsid w:val="00175328"/>
    <w:rsid w:val="00175354"/>
    <w:rsid w:val="00175391"/>
    <w:rsid w:val="001753C6"/>
    <w:rsid w:val="0017546C"/>
    <w:rsid w:val="0017547A"/>
    <w:rsid w:val="00175502"/>
    <w:rsid w:val="001755EA"/>
    <w:rsid w:val="001756C9"/>
    <w:rsid w:val="001757C8"/>
    <w:rsid w:val="00175A90"/>
    <w:rsid w:val="00175CDE"/>
    <w:rsid w:val="00176223"/>
    <w:rsid w:val="00176334"/>
    <w:rsid w:val="00176402"/>
    <w:rsid w:val="0017642A"/>
    <w:rsid w:val="0017644F"/>
    <w:rsid w:val="001764AF"/>
    <w:rsid w:val="00176514"/>
    <w:rsid w:val="00176601"/>
    <w:rsid w:val="00176643"/>
    <w:rsid w:val="001766D4"/>
    <w:rsid w:val="00176774"/>
    <w:rsid w:val="0017681A"/>
    <w:rsid w:val="0017683B"/>
    <w:rsid w:val="001768DD"/>
    <w:rsid w:val="001768F5"/>
    <w:rsid w:val="00176A24"/>
    <w:rsid w:val="00176A48"/>
    <w:rsid w:val="00176F0E"/>
    <w:rsid w:val="00176F10"/>
    <w:rsid w:val="00176FC9"/>
    <w:rsid w:val="001770AD"/>
    <w:rsid w:val="00177363"/>
    <w:rsid w:val="00177449"/>
    <w:rsid w:val="00177586"/>
    <w:rsid w:val="001775D1"/>
    <w:rsid w:val="0017770C"/>
    <w:rsid w:val="00177718"/>
    <w:rsid w:val="001777F5"/>
    <w:rsid w:val="0017789C"/>
    <w:rsid w:val="001779E9"/>
    <w:rsid w:val="00177A27"/>
    <w:rsid w:val="00177CC2"/>
    <w:rsid w:val="00177D53"/>
    <w:rsid w:val="00177DCD"/>
    <w:rsid w:val="00177F04"/>
    <w:rsid w:val="00180128"/>
    <w:rsid w:val="001801CB"/>
    <w:rsid w:val="001803BE"/>
    <w:rsid w:val="001805A4"/>
    <w:rsid w:val="0018071C"/>
    <w:rsid w:val="0018075B"/>
    <w:rsid w:val="001807D8"/>
    <w:rsid w:val="00180824"/>
    <w:rsid w:val="00180844"/>
    <w:rsid w:val="00180873"/>
    <w:rsid w:val="00180B8A"/>
    <w:rsid w:val="00180C22"/>
    <w:rsid w:val="00180CBB"/>
    <w:rsid w:val="00180D0F"/>
    <w:rsid w:val="00180DDC"/>
    <w:rsid w:val="00180DE2"/>
    <w:rsid w:val="00180E5A"/>
    <w:rsid w:val="00180EA4"/>
    <w:rsid w:val="00180FEB"/>
    <w:rsid w:val="00181087"/>
    <w:rsid w:val="001810B1"/>
    <w:rsid w:val="0018118E"/>
    <w:rsid w:val="00181200"/>
    <w:rsid w:val="00181259"/>
    <w:rsid w:val="001813A0"/>
    <w:rsid w:val="0018140C"/>
    <w:rsid w:val="00181463"/>
    <w:rsid w:val="00181468"/>
    <w:rsid w:val="00181487"/>
    <w:rsid w:val="0018171A"/>
    <w:rsid w:val="0018177F"/>
    <w:rsid w:val="001818DE"/>
    <w:rsid w:val="001819F1"/>
    <w:rsid w:val="00181A1C"/>
    <w:rsid w:val="00181B37"/>
    <w:rsid w:val="00181B7B"/>
    <w:rsid w:val="00181C63"/>
    <w:rsid w:val="00181CD2"/>
    <w:rsid w:val="00181D3C"/>
    <w:rsid w:val="00181D85"/>
    <w:rsid w:val="00181D94"/>
    <w:rsid w:val="00181E11"/>
    <w:rsid w:val="00181E78"/>
    <w:rsid w:val="00181F44"/>
    <w:rsid w:val="00181F81"/>
    <w:rsid w:val="00182013"/>
    <w:rsid w:val="00182015"/>
    <w:rsid w:val="00182036"/>
    <w:rsid w:val="0018209F"/>
    <w:rsid w:val="001820C0"/>
    <w:rsid w:val="00182108"/>
    <w:rsid w:val="0018218C"/>
    <w:rsid w:val="001821DA"/>
    <w:rsid w:val="00182201"/>
    <w:rsid w:val="00182393"/>
    <w:rsid w:val="0018241A"/>
    <w:rsid w:val="0018245A"/>
    <w:rsid w:val="00182465"/>
    <w:rsid w:val="00182600"/>
    <w:rsid w:val="001827D4"/>
    <w:rsid w:val="001827E5"/>
    <w:rsid w:val="00182A5F"/>
    <w:rsid w:val="00182B49"/>
    <w:rsid w:val="00182BDB"/>
    <w:rsid w:val="00182C44"/>
    <w:rsid w:val="00182CC4"/>
    <w:rsid w:val="00182D3E"/>
    <w:rsid w:val="00182DEC"/>
    <w:rsid w:val="00182E13"/>
    <w:rsid w:val="00182E18"/>
    <w:rsid w:val="00182E4A"/>
    <w:rsid w:val="001830A3"/>
    <w:rsid w:val="0018312D"/>
    <w:rsid w:val="00183161"/>
    <w:rsid w:val="00183224"/>
    <w:rsid w:val="0018332E"/>
    <w:rsid w:val="00183330"/>
    <w:rsid w:val="00183351"/>
    <w:rsid w:val="001833AF"/>
    <w:rsid w:val="001833E9"/>
    <w:rsid w:val="0018345E"/>
    <w:rsid w:val="0018378D"/>
    <w:rsid w:val="00183824"/>
    <w:rsid w:val="0018390C"/>
    <w:rsid w:val="0018396E"/>
    <w:rsid w:val="001839C5"/>
    <w:rsid w:val="00183A34"/>
    <w:rsid w:val="00183AEA"/>
    <w:rsid w:val="00183D64"/>
    <w:rsid w:val="00183DCE"/>
    <w:rsid w:val="00183E1C"/>
    <w:rsid w:val="00183F67"/>
    <w:rsid w:val="00183F81"/>
    <w:rsid w:val="00183FC2"/>
    <w:rsid w:val="00184069"/>
    <w:rsid w:val="0018415B"/>
    <w:rsid w:val="00184206"/>
    <w:rsid w:val="00184248"/>
    <w:rsid w:val="0018433A"/>
    <w:rsid w:val="001843BB"/>
    <w:rsid w:val="001845E0"/>
    <w:rsid w:val="001845ED"/>
    <w:rsid w:val="001848C3"/>
    <w:rsid w:val="00184ADB"/>
    <w:rsid w:val="00184B4A"/>
    <w:rsid w:val="00184B69"/>
    <w:rsid w:val="00184C15"/>
    <w:rsid w:val="00184C2D"/>
    <w:rsid w:val="00184EFE"/>
    <w:rsid w:val="00184F81"/>
    <w:rsid w:val="00184FDC"/>
    <w:rsid w:val="00185031"/>
    <w:rsid w:val="0018508F"/>
    <w:rsid w:val="00185175"/>
    <w:rsid w:val="00185361"/>
    <w:rsid w:val="00185502"/>
    <w:rsid w:val="001856D0"/>
    <w:rsid w:val="001859CC"/>
    <w:rsid w:val="00185A92"/>
    <w:rsid w:val="00185ADB"/>
    <w:rsid w:val="00185B39"/>
    <w:rsid w:val="00185BD6"/>
    <w:rsid w:val="00185C8A"/>
    <w:rsid w:val="00185CF9"/>
    <w:rsid w:val="00185D59"/>
    <w:rsid w:val="00185D75"/>
    <w:rsid w:val="00185DF5"/>
    <w:rsid w:val="00185F9B"/>
    <w:rsid w:val="00185FD8"/>
    <w:rsid w:val="00186143"/>
    <w:rsid w:val="00186165"/>
    <w:rsid w:val="001861AF"/>
    <w:rsid w:val="001862D4"/>
    <w:rsid w:val="001862EA"/>
    <w:rsid w:val="0018634D"/>
    <w:rsid w:val="0018637B"/>
    <w:rsid w:val="001864FE"/>
    <w:rsid w:val="00186515"/>
    <w:rsid w:val="00186543"/>
    <w:rsid w:val="00186630"/>
    <w:rsid w:val="001866AC"/>
    <w:rsid w:val="001869EE"/>
    <w:rsid w:val="00186A43"/>
    <w:rsid w:val="00186D6F"/>
    <w:rsid w:val="00186F65"/>
    <w:rsid w:val="00186F92"/>
    <w:rsid w:val="00187072"/>
    <w:rsid w:val="00187074"/>
    <w:rsid w:val="0018726D"/>
    <w:rsid w:val="001875D0"/>
    <w:rsid w:val="00187608"/>
    <w:rsid w:val="00187782"/>
    <w:rsid w:val="001877E2"/>
    <w:rsid w:val="00187866"/>
    <w:rsid w:val="001878BC"/>
    <w:rsid w:val="001878D4"/>
    <w:rsid w:val="001878E8"/>
    <w:rsid w:val="001879D7"/>
    <w:rsid w:val="001879ED"/>
    <w:rsid w:val="00187A14"/>
    <w:rsid w:val="00187D6F"/>
    <w:rsid w:val="0019025B"/>
    <w:rsid w:val="0019045C"/>
    <w:rsid w:val="001904A1"/>
    <w:rsid w:val="00190692"/>
    <w:rsid w:val="00190AD5"/>
    <w:rsid w:val="00190B04"/>
    <w:rsid w:val="00190B1C"/>
    <w:rsid w:val="00190B5C"/>
    <w:rsid w:val="00190B7B"/>
    <w:rsid w:val="00190D1D"/>
    <w:rsid w:val="00190DC9"/>
    <w:rsid w:val="00190EB8"/>
    <w:rsid w:val="00190F0A"/>
    <w:rsid w:val="00190F35"/>
    <w:rsid w:val="00191169"/>
    <w:rsid w:val="00191220"/>
    <w:rsid w:val="001912FA"/>
    <w:rsid w:val="00191310"/>
    <w:rsid w:val="0019131B"/>
    <w:rsid w:val="00191597"/>
    <w:rsid w:val="00191686"/>
    <w:rsid w:val="001917A5"/>
    <w:rsid w:val="001917E9"/>
    <w:rsid w:val="00191830"/>
    <w:rsid w:val="00191856"/>
    <w:rsid w:val="001918A6"/>
    <w:rsid w:val="001918FF"/>
    <w:rsid w:val="001919BC"/>
    <w:rsid w:val="001919EC"/>
    <w:rsid w:val="00191CC8"/>
    <w:rsid w:val="00191D93"/>
    <w:rsid w:val="00191DBB"/>
    <w:rsid w:val="00192263"/>
    <w:rsid w:val="00192284"/>
    <w:rsid w:val="0019228F"/>
    <w:rsid w:val="0019246B"/>
    <w:rsid w:val="00192572"/>
    <w:rsid w:val="00192590"/>
    <w:rsid w:val="0019263B"/>
    <w:rsid w:val="0019287D"/>
    <w:rsid w:val="00192922"/>
    <w:rsid w:val="001929F6"/>
    <w:rsid w:val="00192A3D"/>
    <w:rsid w:val="00192A48"/>
    <w:rsid w:val="00192ADC"/>
    <w:rsid w:val="00192B7F"/>
    <w:rsid w:val="00192C7D"/>
    <w:rsid w:val="00192CFE"/>
    <w:rsid w:val="00192D78"/>
    <w:rsid w:val="00192DB8"/>
    <w:rsid w:val="00192E3A"/>
    <w:rsid w:val="00192EC0"/>
    <w:rsid w:val="00192EC9"/>
    <w:rsid w:val="00192EFB"/>
    <w:rsid w:val="001930DE"/>
    <w:rsid w:val="00193180"/>
    <w:rsid w:val="00193231"/>
    <w:rsid w:val="0019332E"/>
    <w:rsid w:val="0019347D"/>
    <w:rsid w:val="0019357E"/>
    <w:rsid w:val="00193922"/>
    <w:rsid w:val="001939F9"/>
    <w:rsid w:val="00193A2B"/>
    <w:rsid w:val="00193B0C"/>
    <w:rsid w:val="00193CB2"/>
    <w:rsid w:val="00193EAD"/>
    <w:rsid w:val="00193EC5"/>
    <w:rsid w:val="00193F26"/>
    <w:rsid w:val="00194001"/>
    <w:rsid w:val="001940B5"/>
    <w:rsid w:val="00194123"/>
    <w:rsid w:val="001941F5"/>
    <w:rsid w:val="00194203"/>
    <w:rsid w:val="00194299"/>
    <w:rsid w:val="001942AF"/>
    <w:rsid w:val="001942FB"/>
    <w:rsid w:val="00194370"/>
    <w:rsid w:val="00194546"/>
    <w:rsid w:val="001945A8"/>
    <w:rsid w:val="001945D4"/>
    <w:rsid w:val="00194651"/>
    <w:rsid w:val="001946C5"/>
    <w:rsid w:val="00194798"/>
    <w:rsid w:val="001947EF"/>
    <w:rsid w:val="00194843"/>
    <w:rsid w:val="0019490E"/>
    <w:rsid w:val="0019493F"/>
    <w:rsid w:val="001949CE"/>
    <w:rsid w:val="00194B1E"/>
    <w:rsid w:val="00194EF4"/>
    <w:rsid w:val="00194F36"/>
    <w:rsid w:val="001950D5"/>
    <w:rsid w:val="00195181"/>
    <w:rsid w:val="001952A9"/>
    <w:rsid w:val="00195632"/>
    <w:rsid w:val="00195790"/>
    <w:rsid w:val="00195A86"/>
    <w:rsid w:val="00195D74"/>
    <w:rsid w:val="00195DA4"/>
    <w:rsid w:val="00195DCF"/>
    <w:rsid w:val="00195E51"/>
    <w:rsid w:val="00195F24"/>
    <w:rsid w:val="00195F42"/>
    <w:rsid w:val="00195FCF"/>
    <w:rsid w:val="00196092"/>
    <w:rsid w:val="001960CD"/>
    <w:rsid w:val="001961A2"/>
    <w:rsid w:val="001961A3"/>
    <w:rsid w:val="001962EB"/>
    <w:rsid w:val="0019638A"/>
    <w:rsid w:val="001963E9"/>
    <w:rsid w:val="001963F8"/>
    <w:rsid w:val="001963FF"/>
    <w:rsid w:val="0019646C"/>
    <w:rsid w:val="001964D5"/>
    <w:rsid w:val="00196658"/>
    <w:rsid w:val="001966A1"/>
    <w:rsid w:val="00196755"/>
    <w:rsid w:val="00196764"/>
    <w:rsid w:val="001968AE"/>
    <w:rsid w:val="0019692A"/>
    <w:rsid w:val="0019695C"/>
    <w:rsid w:val="00196A78"/>
    <w:rsid w:val="00196ADA"/>
    <w:rsid w:val="00196C4A"/>
    <w:rsid w:val="00196DA6"/>
    <w:rsid w:val="00196EB7"/>
    <w:rsid w:val="00196EF0"/>
    <w:rsid w:val="00196F05"/>
    <w:rsid w:val="00196F4D"/>
    <w:rsid w:val="00196FA4"/>
    <w:rsid w:val="00197198"/>
    <w:rsid w:val="0019731C"/>
    <w:rsid w:val="00197394"/>
    <w:rsid w:val="0019745A"/>
    <w:rsid w:val="00197539"/>
    <w:rsid w:val="0019760F"/>
    <w:rsid w:val="00197682"/>
    <w:rsid w:val="001976DF"/>
    <w:rsid w:val="001978E6"/>
    <w:rsid w:val="0019799F"/>
    <w:rsid w:val="001979BD"/>
    <w:rsid w:val="00197A24"/>
    <w:rsid w:val="00197A93"/>
    <w:rsid w:val="00197B3D"/>
    <w:rsid w:val="00197B93"/>
    <w:rsid w:val="00197CDF"/>
    <w:rsid w:val="00197D32"/>
    <w:rsid w:val="00197EFB"/>
    <w:rsid w:val="00197F22"/>
    <w:rsid w:val="001A003E"/>
    <w:rsid w:val="001A0077"/>
    <w:rsid w:val="001A0153"/>
    <w:rsid w:val="001A032C"/>
    <w:rsid w:val="001A0372"/>
    <w:rsid w:val="001A04E5"/>
    <w:rsid w:val="001A0572"/>
    <w:rsid w:val="001A0621"/>
    <w:rsid w:val="001A067F"/>
    <w:rsid w:val="001A06D6"/>
    <w:rsid w:val="001A0823"/>
    <w:rsid w:val="001A0829"/>
    <w:rsid w:val="001A0866"/>
    <w:rsid w:val="001A08FF"/>
    <w:rsid w:val="001A0937"/>
    <w:rsid w:val="001A0A16"/>
    <w:rsid w:val="001A0AB1"/>
    <w:rsid w:val="001A0B3C"/>
    <w:rsid w:val="001A0B9C"/>
    <w:rsid w:val="001A0BF5"/>
    <w:rsid w:val="001A0CDC"/>
    <w:rsid w:val="001A0E1A"/>
    <w:rsid w:val="001A0E75"/>
    <w:rsid w:val="001A0EE9"/>
    <w:rsid w:val="001A11EC"/>
    <w:rsid w:val="001A12D0"/>
    <w:rsid w:val="001A12F6"/>
    <w:rsid w:val="001A13A6"/>
    <w:rsid w:val="001A13A7"/>
    <w:rsid w:val="001A14B1"/>
    <w:rsid w:val="001A1564"/>
    <w:rsid w:val="001A159B"/>
    <w:rsid w:val="001A1611"/>
    <w:rsid w:val="001A1661"/>
    <w:rsid w:val="001A175D"/>
    <w:rsid w:val="001A187C"/>
    <w:rsid w:val="001A1970"/>
    <w:rsid w:val="001A1A20"/>
    <w:rsid w:val="001A1AD2"/>
    <w:rsid w:val="001A1CB1"/>
    <w:rsid w:val="001A1CD8"/>
    <w:rsid w:val="001A1D0A"/>
    <w:rsid w:val="001A1EB8"/>
    <w:rsid w:val="001A1F40"/>
    <w:rsid w:val="001A1F93"/>
    <w:rsid w:val="001A201D"/>
    <w:rsid w:val="001A2090"/>
    <w:rsid w:val="001A210C"/>
    <w:rsid w:val="001A22CC"/>
    <w:rsid w:val="001A22D3"/>
    <w:rsid w:val="001A2364"/>
    <w:rsid w:val="001A268E"/>
    <w:rsid w:val="001A26D7"/>
    <w:rsid w:val="001A273E"/>
    <w:rsid w:val="001A28CD"/>
    <w:rsid w:val="001A2A8F"/>
    <w:rsid w:val="001A2ACD"/>
    <w:rsid w:val="001A2C65"/>
    <w:rsid w:val="001A2C6C"/>
    <w:rsid w:val="001A2CCF"/>
    <w:rsid w:val="001A2D03"/>
    <w:rsid w:val="001A2D34"/>
    <w:rsid w:val="001A2D92"/>
    <w:rsid w:val="001A2DD6"/>
    <w:rsid w:val="001A2FE9"/>
    <w:rsid w:val="001A3066"/>
    <w:rsid w:val="001A311A"/>
    <w:rsid w:val="001A32FC"/>
    <w:rsid w:val="001A33B5"/>
    <w:rsid w:val="001A3407"/>
    <w:rsid w:val="001A346D"/>
    <w:rsid w:val="001A37ED"/>
    <w:rsid w:val="001A39B2"/>
    <w:rsid w:val="001A3A6A"/>
    <w:rsid w:val="001A3BC4"/>
    <w:rsid w:val="001A3C4D"/>
    <w:rsid w:val="001A3C9D"/>
    <w:rsid w:val="001A3DB0"/>
    <w:rsid w:val="001A3DDB"/>
    <w:rsid w:val="001A3E73"/>
    <w:rsid w:val="001A3EB0"/>
    <w:rsid w:val="001A3FF5"/>
    <w:rsid w:val="001A3FFC"/>
    <w:rsid w:val="001A403F"/>
    <w:rsid w:val="001A40E0"/>
    <w:rsid w:val="001A4201"/>
    <w:rsid w:val="001A4515"/>
    <w:rsid w:val="001A4539"/>
    <w:rsid w:val="001A45FF"/>
    <w:rsid w:val="001A462E"/>
    <w:rsid w:val="001A4638"/>
    <w:rsid w:val="001A4644"/>
    <w:rsid w:val="001A465B"/>
    <w:rsid w:val="001A46C4"/>
    <w:rsid w:val="001A471A"/>
    <w:rsid w:val="001A475F"/>
    <w:rsid w:val="001A4761"/>
    <w:rsid w:val="001A479D"/>
    <w:rsid w:val="001A4806"/>
    <w:rsid w:val="001A4847"/>
    <w:rsid w:val="001A49FC"/>
    <w:rsid w:val="001A4AC8"/>
    <w:rsid w:val="001A4B24"/>
    <w:rsid w:val="001A4B39"/>
    <w:rsid w:val="001A4C37"/>
    <w:rsid w:val="001A4C59"/>
    <w:rsid w:val="001A504E"/>
    <w:rsid w:val="001A51EE"/>
    <w:rsid w:val="001A5306"/>
    <w:rsid w:val="001A5319"/>
    <w:rsid w:val="001A542E"/>
    <w:rsid w:val="001A5493"/>
    <w:rsid w:val="001A54C3"/>
    <w:rsid w:val="001A54DF"/>
    <w:rsid w:val="001A5537"/>
    <w:rsid w:val="001A5571"/>
    <w:rsid w:val="001A5604"/>
    <w:rsid w:val="001A560C"/>
    <w:rsid w:val="001A5617"/>
    <w:rsid w:val="001A577E"/>
    <w:rsid w:val="001A57BC"/>
    <w:rsid w:val="001A581B"/>
    <w:rsid w:val="001A5856"/>
    <w:rsid w:val="001A5919"/>
    <w:rsid w:val="001A5B65"/>
    <w:rsid w:val="001A5BA1"/>
    <w:rsid w:val="001A5CD0"/>
    <w:rsid w:val="001A5D4B"/>
    <w:rsid w:val="001A5E81"/>
    <w:rsid w:val="001A5E9D"/>
    <w:rsid w:val="001A5EE7"/>
    <w:rsid w:val="001A5EFF"/>
    <w:rsid w:val="001A5F24"/>
    <w:rsid w:val="001A5FC5"/>
    <w:rsid w:val="001A60A5"/>
    <w:rsid w:val="001A630E"/>
    <w:rsid w:val="001A637C"/>
    <w:rsid w:val="001A6519"/>
    <w:rsid w:val="001A65B7"/>
    <w:rsid w:val="001A6617"/>
    <w:rsid w:val="001A6750"/>
    <w:rsid w:val="001A6755"/>
    <w:rsid w:val="001A6767"/>
    <w:rsid w:val="001A685D"/>
    <w:rsid w:val="001A6937"/>
    <w:rsid w:val="001A6B43"/>
    <w:rsid w:val="001A6B57"/>
    <w:rsid w:val="001A6C0F"/>
    <w:rsid w:val="001A6C47"/>
    <w:rsid w:val="001A6C88"/>
    <w:rsid w:val="001A6D24"/>
    <w:rsid w:val="001A6DC1"/>
    <w:rsid w:val="001A6E26"/>
    <w:rsid w:val="001A7065"/>
    <w:rsid w:val="001A70D0"/>
    <w:rsid w:val="001A70D6"/>
    <w:rsid w:val="001A70FF"/>
    <w:rsid w:val="001A763D"/>
    <w:rsid w:val="001A7779"/>
    <w:rsid w:val="001A7780"/>
    <w:rsid w:val="001A7829"/>
    <w:rsid w:val="001A789B"/>
    <w:rsid w:val="001A78AA"/>
    <w:rsid w:val="001A7B04"/>
    <w:rsid w:val="001A7B1A"/>
    <w:rsid w:val="001A7C78"/>
    <w:rsid w:val="001A7D4F"/>
    <w:rsid w:val="001A7DA5"/>
    <w:rsid w:val="001A7EB2"/>
    <w:rsid w:val="001A7EE8"/>
    <w:rsid w:val="001B0083"/>
    <w:rsid w:val="001B02BF"/>
    <w:rsid w:val="001B048B"/>
    <w:rsid w:val="001B051B"/>
    <w:rsid w:val="001B06EC"/>
    <w:rsid w:val="001B0730"/>
    <w:rsid w:val="001B0962"/>
    <w:rsid w:val="001B0A16"/>
    <w:rsid w:val="001B0A94"/>
    <w:rsid w:val="001B0AEA"/>
    <w:rsid w:val="001B0E2F"/>
    <w:rsid w:val="001B0E69"/>
    <w:rsid w:val="001B0FD8"/>
    <w:rsid w:val="001B10F7"/>
    <w:rsid w:val="001B10FE"/>
    <w:rsid w:val="001B1168"/>
    <w:rsid w:val="001B1253"/>
    <w:rsid w:val="001B1315"/>
    <w:rsid w:val="001B13BF"/>
    <w:rsid w:val="001B14F9"/>
    <w:rsid w:val="001B160B"/>
    <w:rsid w:val="001B16E4"/>
    <w:rsid w:val="001B1730"/>
    <w:rsid w:val="001B1734"/>
    <w:rsid w:val="001B1814"/>
    <w:rsid w:val="001B19FD"/>
    <w:rsid w:val="001B1AB1"/>
    <w:rsid w:val="001B1C08"/>
    <w:rsid w:val="001B1EA6"/>
    <w:rsid w:val="001B1F0F"/>
    <w:rsid w:val="001B1F58"/>
    <w:rsid w:val="001B20C9"/>
    <w:rsid w:val="001B20CF"/>
    <w:rsid w:val="001B2115"/>
    <w:rsid w:val="001B2163"/>
    <w:rsid w:val="001B21D7"/>
    <w:rsid w:val="001B23A3"/>
    <w:rsid w:val="001B23E6"/>
    <w:rsid w:val="001B25E7"/>
    <w:rsid w:val="001B27B8"/>
    <w:rsid w:val="001B2858"/>
    <w:rsid w:val="001B28DB"/>
    <w:rsid w:val="001B29F6"/>
    <w:rsid w:val="001B2B40"/>
    <w:rsid w:val="001B2BF9"/>
    <w:rsid w:val="001B2CA0"/>
    <w:rsid w:val="001B2D1B"/>
    <w:rsid w:val="001B2D38"/>
    <w:rsid w:val="001B2D66"/>
    <w:rsid w:val="001B2D8F"/>
    <w:rsid w:val="001B2E2B"/>
    <w:rsid w:val="001B2E3A"/>
    <w:rsid w:val="001B2EC1"/>
    <w:rsid w:val="001B2F53"/>
    <w:rsid w:val="001B316A"/>
    <w:rsid w:val="001B3386"/>
    <w:rsid w:val="001B33CC"/>
    <w:rsid w:val="001B341B"/>
    <w:rsid w:val="001B3665"/>
    <w:rsid w:val="001B371A"/>
    <w:rsid w:val="001B3793"/>
    <w:rsid w:val="001B3AD5"/>
    <w:rsid w:val="001B3C2B"/>
    <w:rsid w:val="001B3C80"/>
    <w:rsid w:val="001B3CC5"/>
    <w:rsid w:val="001B3D28"/>
    <w:rsid w:val="001B3D4B"/>
    <w:rsid w:val="001B3E10"/>
    <w:rsid w:val="001B3E44"/>
    <w:rsid w:val="001B3E88"/>
    <w:rsid w:val="001B3F09"/>
    <w:rsid w:val="001B411E"/>
    <w:rsid w:val="001B427C"/>
    <w:rsid w:val="001B42C7"/>
    <w:rsid w:val="001B43F4"/>
    <w:rsid w:val="001B446B"/>
    <w:rsid w:val="001B4470"/>
    <w:rsid w:val="001B44AA"/>
    <w:rsid w:val="001B453F"/>
    <w:rsid w:val="001B45A6"/>
    <w:rsid w:val="001B46E7"/>
    <w:rsid w:val="001B4702"/>
    <w:rsid w:val="001B4900"/>
    <w:rsid w:val="001B4A3D"/>
    <w:rsid w:val="001B4BB6"/>
    <w:rsid w:val="001B4BEF"/>
    <w:rsid w:val="001B4C21"/>
    <w:rsid w:val="001B4C41"/>
    <w:rsid w:val="001B4C79"/>
    <w:rsid w:val="001B4F4A"/>
    <w:rsid w:val="001B503E"/>
    <w:rsid w:val="001B505A"/>
    <w:rsid w:val="001B5156"/>
    <w:rsid w:val="001B520E"/>
    <w:rsid w:val="001B5331"/>
    <w:rsid w:val="001B5435"/>
    <w:rsid w:val="001B54D2"/>
    <w:rsid w:val="001B559D"/>
    <w:rsid w:val="001B5684"/>
    <w:rsid w:val="001B56E0"/>
    <w:rsid w:val="001B5721"/>
    <w:rsid w:val="001B57F1"/>
    <w:rsid w:val="001B5804"/>
    <w:rsid w:val="001B5819"/>
    <w:rsid w:val="001B588F"/>
    <w:rsid w:val="001B5915"/>
    <w:rsid w:val="001B596E"/>
    <w:rsid w:val="001B59DF"/>
    <w:rsid w:val="001B5B08"/>
    <w:rsid w:val="001B5BF5"/>
    <w:rsid w:val="001B5D0C"/>
    <w:rsid w:val="001B5D1A"/>
    <w:rsid w:val="001B5E4A"/>
    <w:rsid w:val="001B60D0"/>
    <w:rsid w:val="001B61BE"/>
    <w:rsid w:val="001B62DE"/>
    <w:rsid w:val="001B632F"/>
    <w:rsid w:val="001B635E"/>
    <w:rsid w:val="001B6362"/>
    <w:rsid w:val="001B639E"/>
    <w:rsid w:val="001B6555"/>
    <w:rsid w:val="001B65FB"/>
    <w:rsid w:val="001B6646"/>
    <w:rsid w:val="001B674D"/>
    <w:rsid w:val="001B6859"/>
    <w:rsid w:val="001B6864"/>
    <w:rsid w:val="001B696C"/>
    <w:rsid w:val="001B6A10"/>
    <w:rsid w:val="001B6A96"/>
    <w:rsid w:val="001B6C4C"/>
    <w:rsid w:val="001B6C7D"/>
    <w:rsid w:val="001B6D4C"/>
    <w:rsid w:val="001B6F4D"/>
    <w:rsid w:val="001B6FA6"/>
    <w:rsid w:val="001B6FD2"/>
    <w:rsid w:val="001B710B"/>
    <w:rsid w:val="001B710C"/>
    <w:rsid w:val="001B7198"/>
    <w:rsid w:val="001B73B2"/>
    <w:rsid w:val="001B74E8"/>
    <w:rsid w:val="001B7621"/>
    <w:rsid w:val="001B7624"/>
    <w:rsid w:val="001B7688"/>
    <w:rsid w:val="001B76B7"/>
    <w:rsid w:val="001B76C5"/>
    <w:rsid w:val="001B7726"/>
    <w:rsid w:val="001B78FB"/>
    <w:rsid w:val="001B791A"/>
    <w:rsid w:val="001B7BEB"/>
    <w:rsid w:val="001B7D05"/>
    <w:rsid w:val="001B7E69"/>
    <w:rsid w:val="001B7EC6"/>
    <w:rsid w:val="001B7F21"/>
    <w:rsid w:val="001C000B"/>
    <w:rsid w:val="001C00A3"/>
    <w:rsid w:val="001C01D4"/>
    <w:rsid w:val="001C0270"/>
    <w:rsid w:val="001C02A6"/>
    <w:rsid w:val="001C03A6"/>
    <w:rsid w:val="001C047C"/>
    <w:rsid w:val="001C05AE"/>
    <w:rsid w:val="001C080C"/>
    <w:rsid w:val="001C0AD7"/>
    <w:rsid w:val="001C0B3F"/>
    <w:rsid w:val="001C0BEF"/>
    <w:rsid w:val="001C0C07"/>
    <w:rsid w:val="001C0C76"/>
    <w:rsid w:val="001C0CC8"/>
    <w:rsid w:val="001C0D3A"/>
    <w:rsid w:val="001C0F27"/>
    <w:rsid w:val="001C0F4C"/>
    <w:rsid w:val="001C10EA"/>
    <w:rsid w:val="001C114D"/>
    <w:rsid w:val="001C11AE"/>
    <w:rsid w:val="001C120E"/>
    <w:rsid w:val="001C1273"/>
    <w:rsid w:val="001C12A6"/>
    <w:rsid w:val="001C1390"/>
    <w:rsid w:val="001C14B3"/>
    <w:rsid w:val="001C1507"/>
    <w:rsid w:val="001C15DC"/>
    <w:rsid w:val="001C165F"/>
    <w:rsid w:val="001C16B3"/>
    <w:rsid w:val="001C1743"/>
    <w:rsid w:val="001C19AC"/>
    <w:rsid w:val="001C1A8F"/>
    <w:rsid w:val="001C1CE1"/>
    <w:rsid w:val="001C1D12"/>
    <w:rsid w:val="001C1DAC"/>
    <w:rsid w:val="001C1F0E"/>
    <w:rsid w:val="001C1F4F"/>
    <w:rsid w:val="001C2139"/>
    <w:rsid w:val="001C2305"/>
    <w:rsid w:val="001C2385"/>
    <w:rsid w:val="001C23CC"/>
    <w:rsid w:val="001C24AD"/>
    <w:rsid w:val="001C24B0"/>
    <w:rsid w:val="001C24B4"/>
    <w:rsid w:val="001C2511"/>
    <w:rsid w:val="001C25C6"/>
    <w:rsid w:val="001C268E"/>
    <w:rsid w:val="001C26F1"/>
    <w:rsid w:val="001C274B"/>
    <w:rsid w:val="001C2873"/>
    <w:rsid w:val="001C287E"/>
    <w:rsid w:val="001C2A2A"/>
    <w:rsid w:val="001C2A4A"/>
    <w:rsid w:val="001C2A6E"/>
    <w:rsid w:val="001C2C79"/>
    <w:rsid w:val="001C2CF1"/>
    <w:rsid w:val="001C2CF2"/>
    <w:rsid w:val="001C2D43"/>
    <w:rsid w:val="001C2E0B"/>
    <w:rsid w:val="001C2E57"/>
    <w:rsid w:val="001C2EA6"/>
    <w:rsid w:val="001C2EC2"/>
    <w:rsid w:val="001C30F5"/>
    <w:rsid w:val="001C30FE"/>
    <w:rsid w:val="001C3309"/>
    <w:rsid w:val="001C33FF"/>
    <w:rsid w:val="001C3423"/>
    <w:rsid w:val="001C342A"/>
    <w:rsid w:val="001C3586"/>
    <w:rsid w:val="001C3866"/>
    <w:rsid w:val="001C39D9"/>
    <w:rsid w:val="001C39EC"/>
    <w:rsid w:val="001C3A75"/>
    <w:rsid w:val="001C3AE4"/>
    <w:rsid w:val="001C3B2D"/>
    <w:rsid w:val="001C3B75"/>
    <w:rsid w:val="001C3BE5"/>
    <w:rsid w:val="001C3D6B"/>
    <w:rsid w:val="001C3D6C"/>
    <w:rsid w:val="001C3DED"/>
    <w:rsid w:val="001C3E0C"/>
    <w:rsid w:val="001C3F92"/>
    <w:rsid w:val="001C4131"/>
    <w:rsid w:val="001C41D8"/>
    <w:rsid w:val="001C4253"/>
    <w:rsid w:val="001C4259"/>
    <w:rsid w:val="001C4308"/>
    <w:rsid w:val="001C4425"/>
    <w:rsid w:val="001C4955"/>
    <w:rsid w:val="001C4A11"/>
    <w:rsid w:val="001C4A51"/>
    <w:rsid w:val="001C4B0F"/>
    <w:rsid w:val="001C4B16"/>
    <w:rsid w:val="001C4C0C"/>
    <w:rsid w:val="001C4C2A"/>
    <w:rsid w:val="001C4C86"/>
    <w:rsid w:val="001C4C8C"/>
    <w:rsid w:val="001C4D1E"/>
    <w:rsid w:val="001C4EFD"/>
    <w:rsid w:val="001C5096"/>
    <w:rsid w:val="001C516C"/>
    <w:rsid w:val="001C531D"/>
    <w:rsid w:val="001C553B"/>
    <w:rsid w:val="001C5644"/>
    <w:rsid w:val="001C5965"/>
    <w:rsid w:val="001C59ED"/>
    <w:rsid w:val="001C5CF4"/>
    <w:rsid w:val="001C5DDC"/>
    <w:rsid w:val="001C5E0F"/>
    <w:rsid w:val="001C5EF5"/>
    <w:rsid w:val="001C5F96"/>
    <w:rsid w:val="001C60C7"/>
    <w:rsid w:val="001C6132"/>
    <w:rsid w:val="001C61D9"/>
    <w:rsid w:val="001C61E7"/>
    <w:rsid w:val="001C62AB"/>
    <w:rsid w:val="001C6327"/>
    <w:rsid w:val="001C638E"/>
    <w:rsid w:val="001C63BE"/>
    <w:rsid w:val="001C6426"/>
    <w:rsid w:val="001C6453"/>
    <w:rsid w:val="001C6456"/>
    <w:rsid w:val="001C672B"/>
    <w:rsid w:val="001C6928"/>
    <w:rsid w:val="001C6A97"/>
    <w:rsid w:val="001C6BEA"/>
    <w:rsid w:val="001C6C51"/>
    <w:rsid w:val="001C6D9D"/>
    <w:rsid w:val="001C6EBC"/>
    <w:rsid w:val="001C7098"/>
    <w:rsid w:val="001C70AC"/>
    <w:rsid w:val="001C70F1"/>
    <w:rsid w:val="001C71C4"/>
    <w:rsid w:val="001C74CA"/>
    <w:rsid w:val="001C754F"/>
    <w:rsid w:val="001C7768"/>
    <w:rsid w:val="001C77C0"/>
    <w:rsid w:val="001C77FB"/>
    <w:rsid w:val="001C7988"/>
    <w:rsid w:val="001C7AFC"/>
    <w:rsid w:val="001C7B43"/>
    <w:rsid w:val="001C7B8B"/>
    <w:rsid w:val="001C7B9D"/>
    <w:rsid w:val="001C7C80"/>
    <w:rsid w:val="001C7CE1"/>
    <w:rsid w:val="001D01D2"/>
    <w:rsid w:val="001D02D0"/>
    <w:rsid w:val="001D03D3"/>
    <w:rsid w:val="001D057C"/>
    <w:rsid w:val="001D06DE"/>
    <w:rsid w:val="001D07D9"/>
    <w:rsid w:val="001D087B"/>
    <w:rsid w:val="001D0928"/>
    <w:rsid w:val="001D09FE"/>
    <w:rsid w:val="001D0A12"/>
    <w:rsid w:val="001D0B4F"/>
    <w:rsid w:val="001D0BD9"/>
    <w:rsid w:val="001D0F77"/>
    <w:rsid w:val="001D0FAC"/>
    <w:rsid w:val="001D0FED"/>
    <w:rsid w:val="001D1088"/>
    <w:rsid w:val="001D10DA"/>
    <w:rsid w:val="001D113B"/>
    <w:rsid w:val="001D118F"/>
    <w:rsid w:val="001D11EC"/>
    <w:rsid w:val="001D1359"/>
    <w:rsid w:val="001D13D5"/>
    <w:rsid w:val="001D1407"/>
    <w:rsid w:val="001D14A8"/>
    <w:rsid w:val="001D1654"/>
    <w:rsid w:val="001D169A"/>
    <w:rsid w:val="001D1728"/>
    <w:rsid w:val="001D17BB"/>
    <w:rsid w:val="001D1801"/>
    <w:rsid w:val="001D18E0"/>
    <w:rsid w:val="001D1909"/>
    <w:rsid w:val="001D1921"/>
    <w:rsid w:val="001D1A67"/>
    <w:rsid w:val="001D1B18"/>
    <w:rsid w:val="001D1B2A"/>
    <w:rsid w:val="001D1BDB"/>
    <w:rsid w:val="001D1D36"/>
    <w:rsid w:val="001D1F2F"/>
    <w:rsid w:val="001D1F8C"/>
    <w:rsid w:val="001D1FBC"/>
    <w:rsid w:val="001D1FC9"/>
    <w:rsid w:val="001D1FFA"/>
    <w:rsid w:val="001D20D5"/>
    <w:rsid w:val="001D21E5"/>
    <w:rsid w:val="001D229E"/>
    <w:rsid w:val="001D242F"/>
    <w:rsid w:val="001D2486"/>
    <w:rsid w:val="001D25DB"/>
    <w:rsid w:val="001D2693"/>
    <w:rsid w:val="001D2708"/>
    <w:rsid w:val="001D274A"/>
    <w:rsid w:val="001D2765"/>
    <w:rsid w:val="001D287B"/>
    <w:rsid w:val="001D28E8"/>
    <w:rsid w:val="001D298A"/>
    <w:rsid w:val="001D29A7"/>
    <w:rsid w:val="001D2A17"/>
    <w:rsid w:val="001D2AA9"/>
    <w:rsid w:val="001D2C87"/>
    <w:rsid w:val="001D2CC1"/>
    <w:rsid w:val="001D2D94"/>
    <w:rsid w:val="001D2E81"/>
    <w:rsid w:val="001D2F4A"/>
    <w:rsid w:val="001D2FEC"/>
    <w:rsid w:val="001D302E"/>
    <w:rsid w:val="001D308F"/>
    <w:rsid w:val="001D30A7"/>
    <w:rsid w:val="001D30F8"/>
    <w:rsid w:val="001D3211"/>
    <w:rsid w:val="001D3213"/>
    <w:rsid w:val="001D33B6"/>
    <w:rsid w:val="001D35A4"/>
    <w:rsid w:val="001D36FB"/>
    <w:rsid w:val="001D3993"/>
    <w:rsid w:val="001D39C4"/>
    <w:rsid w:val="001D39D6"/>
    <w:rsid w:val="001D3AE3"/>
    <w:rsid w:val="001D3B5F"/>
    <w:rsid w:val="001D3B69"/>
    <w:rsid w:val="001D3B7A"/>
    <w:rsid w:val="001D3C13"/>
    <w:rsid w:val="001D3CAA"/>
    <w:rsid w:val="001D3D26"/>
    <w:rsid w:val="001D3D77"/>
    <w:rsid w:val="001D3DB5"/>
    <w:rsid w:val="001D3E02"/>
    <w:rsid w:val="001D3EEE"/>
    <w:rsid w:val="001D409E"/>
    <w:rsid w:val="001D40EC"/>
    <w:rsid w:val="001D411F"/>
    <w:rsid w:val="001D422C"/>
    <w:rsid w:val="001D4365"/>
    <w:rsid w:val="001D436D"/>
    <w:rsid w:val="001D43A5"/>
    <w:rsid w:val="001D4408"/>
    <w:rsid w:val="001D441D"/>
    <w:rsid w:val="001D4428"/>
    <w:rsid w:val="001D4470"/>
    <w:rsid w:val="001D44CA"/>
    <w:rsid w:val="001D45C5"/>
    <w:rsid w:val="001D4678"/>
    <w:rsid w:val="001D46BD"/>
    <w:rsid w:val="001D4807"/>
    <w:rsid w:val="001D4832"/>
    <w:rsid w:val="001D4A1B"/>
    <w:rsid w:val="001D4A77"/>
    <w:rsid w:val="001D4A8E"/>
    <w:rsid w:val="001D4B2D"/>
    <w:rsid w:val="001D4C25"/>
    <w:rsid w:val="001D4C86"/>
    <w:rsid w:val="001D4DD4"/>
    <w:rsid w:val="001D4E1A"/>
    <w:rsid w:val="001D4E31"/>
    <w:rsid w:val="001D4EC3"/>
    <w:rsid w:val="001D5131"/>
    <w:rsid w:val="001D52D4"/>
    <w:rsid w:val="001D5511"/>
    <w:rsid w:val="001D5540"/>
    <w:rsid w:val="001D56B2"/>
    <w:rsid w:val="001D5852"/>
    <w:rsid w:val="001D5870"/>
    <w:rsid w:val="001D58D5"/>
    <w:rsid w:val="001D59BB"/>
    <w:rsid w:val="001D59DC"/>
    <w:rsid w:val="001D59FF"/>
    <w:rsid w:val="001D5A4D"/>
    <w:rsid w:val="001D5B40"/>
    <w:rsid w:val="001D5B42"/>
    <w:rsid w:val="001D5B80"/>
    <w:rsid w:val="001D5BFB"/>
    <w:rsid w:val="001D5CC0"/>
    <w:rsid w:val="001D5F32"/>
    <w:rsid w:val="001D5F7F"/>
    <w:rsid w:val="001D609C"/>
    <w:rsid w:val="001D60DD"/>
    <w:rsid w:val="001D61A0"/>
    <w:rsid w:val="001D6322"/>
    <w:rsid w:val="001D6362"/>
    <w:rsid w:val="001D63B2"/>
    <w:rsid w:val="001D6544"/>
    <w:rsid w:val="001D66D2"/>
    <w:rsid w:val="001D6768"/>
    <w:rsid w:val="001D67BB"/>
    <w:rsid w:val="001D67CA"/>
    <w:rsid w:val="001D6847"/>
    <w:rsid w:val="001D68BB"/>
    <w:rsid w:val="001D6C0D"/>
    <w:rsid w:val="001D6C4B"/>
    <w:rsid w:val="001D6CBC"/>
    <w:rsid w:val="001D6D4F"/>
    <w:rsid w:val="001D6D72"/>
    <w:rsid w:val="001D6DBF"/>
    <w:rsid w:val="001D6DD6"/>
    <w:rsid w:val="001D6EAF"/>
    <w:rsid w:val="001D6F01"/>
    <w:rsid w:val="001D7025"/>
    <w:rsid w:val="001D7158"/>
    <w:rsid w:val="001D7192"/>
    <w:rsid w:val="001D7198"/>
    <w:rsid w:val="001D71C7"/>
    <w:rsid w:val="001D739D"/>
    <w:rsid w:val="001D7471"/>
    <w:rsid w:val="001D74D3"/>
    <w:rsid w:val="001D74DA"/>
    <w:rsid w:val="001D7512"/>
    <w:rsid w:val="001D753A"/>
    <w:rsid w:val="001D75CE"/>
    <w:rsid w:val="001D766E"/>
    <w:rsid w:val="001D7990"/>
    <w:rsid w:val="001D7C06"/>
    <w:rsid w:val="001D7C4F"/>
    <w:rsid w:val="001D7CBD"/>
    <w:rsid w:val="001D7D5E"/>
    <w:rsid w:val="001D7D6F"/>
    <w:rsid w:val="001D7D85"/>
    <w:rsid w:val="001D7E58"/>
    <w:rsid w:val="001D7F60"/>
    <w:rsid w:val="001E020B"/>
    <w:rsid w:val="001E021D"/>
    <w:rsid w:val="001E0388"/>
    <w:rsid w:val="001E059F"/>
    <w:rsid w:val="001E0646"/>
    <w:rsid w:val="001E08A6"/>
    <w:rsid w:val="001E093B"/>
    <w:rsid w:val="001E0A42"/>
    <w:rsid w:val="001E0B00"/>
    <w:rsid w:val="001E0B6B"/>
    <w:rsid w:val="001E0BFB"/>
    <w:rsid w:val="001E0C1D"/>
    <w:rsid w:val="001E0C99"/>
    <w:rsid w:val="001E0E4D"/>
    <w:rsid w:val="001E0EA2"/>
    <w:rsid w:val="001E0F37"/>
    <w:rsid w:val="001E122E"/>
    <w:rsid w:val="001E1303"/>
    <w:rsid w:val="001E153E"/>
    <w:rsid w:val="001E157D"/>
    <w:rsid w:val="001E1753"/>
    <w:rsid w:val="001E17DE"/>
    <w:rsid w:val="001E18BB"/>
    <w:rsid w:val="001E193B"/>
    <w:rsid w:val="001E19C6"/>
    <w:rsid w:val="001E1A8D"/>
    <w:rsid w:val="001E1AC7"/>
    <w:rsid w:val="001E1B43"/>
    <w:rsid w:val="001E1CC4"/>
    <w:rsid w:val="001E1D3B"/>
    <w:rsid w:val="001E1F05"/>
    <w:rsid w:val="001E1FB4"/>
    <w:rsid w:val="001E1FC3"/>
    <w:rsid w:val="001E1FD9"/>
    <w:rsid w:val="001E20C7"/>
    <w:rsid w:val="001E2119"/>
    <w:rsid w:val="001E2165"/>
    <w:rsid w:val="001E222F"/>
    <w:rsid w:val="001E23DD"/>
    <w:rsid w:val="001E241D"/>
    <w:rsid w:val="001E258F"/>
    <w:rsid w:val="001E262C"/>
    <w:rsid w:val="001E27C0"/>
    <w:rsid w:val="001E2886"/>
    <w:rsid w:val="001E299A"/>
    <w:rsid w:val="001E2A0B"/>
    <w:rsid w:val="001E2A3C"/>
    <w:rsid w:val="001E2B0E"/>
    <w:rsid w:val="001E2B7F"/>
    <w:rsid w:val="001E2BD4"/>
    <w:rsid w:val="001E2C06"/>
    <w:rsid w:val="001E2C34"/>
    <w:rsid w:val="001E2D38"/>
    <w:rsid w:val="001E2DDE"/>
    <w:rsid w:val="001E2DF4"/>
    <w:rsid w:val="001E2E88"/>
    <w:rsid w:val="001E2EF8"/>
    <w:rsid w:val="001E2F52"/>
    <w:rsid w:val="001E30EA"/>
    <w:rsid w:val="001E3239"/>
    <w:rsid w:val="001E328A"/>
    <w:rsid w:val="001E3303"/>
    <w:rsid w:val="001E3479"/>
    <w:rsid w:val="001E3545"/>
    <w:rsid w:val="001E35A9"/>
    <w:rsid w:val="001E35F6"/>
    <w:rsid w:val="001E361D"/>
    <w:rsid w:val="001E3628"/>
    <w:rsid w:val="001E36CA"/>
    <w:rsid w:val="001E3748"/>
    <w:rsid w:val="001E3751"/>
    <w:rsid w:val="001E389C"/>
    <w:rsid w:val="001E393F"/>
    <w:rsid w:val="001E397C"/>
    <w:rsid w:val="001E39AD"/>
    <w:rsid w:val="001E3A35"/>
    <w:rsid w:val="001E3BE3"/>
    <w:rsid w:val="001E3C55"/>
    <w:rsid w:val="001E3DCF"/>
    <w:rsid w:val="001E3E17"/>
    <w:rsid w:val="001E3EDE"/>
    <w:rsid w:val="001E3EFF"/>
    <w:rsid w:val="001E3FE9"/>
    <w:rsid w:val="001E40B9"/>
    <w:rsid w:val="001E40DC"/>
    <w:rsid w:val="001E40F3"/>
    <w:rsid w:val="001E4173"/>
    <w:rsid w:val="001E41FF"/>
    <w:rsid w:val="001E421D"/>
    <w:rsid w:val="001E4225"/>
    <w:rsid w:val="001E43C5"/>
    <w:rsid w:val="001E462F"/>
    <w:rsid w:val="001E4725"/>
    <w:rsid w:val="001E483C"/>
    <w:rsid w:val="001E495D"/>
    <w:rsid w:val="001E4A60"/>
    <w:rsid w:val="001E4ABB"/>
    <w:rsid w:val="001E4BD8"/>
    <w:rsid w:val="001E4CCA"/>
    <w:rsid w:val="001E4D0A"/>
    <w:rsid w:val="001E4D57"/>
    <w:rsid w:val="001E4D66"/>
    <w:rsid w:val="001E4DE5"/>
    <w:rsid w:val="001E4F3F"/>
    <w:rsid w:val="001E4FC6"/>
    <w:rsid w:val="001E50B6"/>
    <w:rsid w:val="001E514F"/>
    <w:rsid w:val="001E5277"/>
    <w:rsid w:val="001E5439"/>
    <w:rsid w:val="001E547D"/>
    <w:rsid w:val="001E5556"/>
    <w:rsid w:val="001E5844"/>
    <w:rsid w:val="001E58C9"/>
    <w:rsid w:val="001E5982"/>
    <w:rsid w:val="001E5A10"/>
    <w:rsid w:val="001E5A7C"/>
    <w:rsid w:val="001E5B30"/>
    <w:rsid w:val="001E5B6C"/>
    <w:rsid w:val="001E5BAE"/>
    <w:rsid w:val="001E5E23"/>
    <w:rsid w:val="001E5F83"/>
    <w:rsid w:val="001E609A"/>
    <w:rsid w:val="001E6238"/>
    <w:rsid w:val="001E62B8"/>
    <w:rsid w:val="001E636B"/>
    <w:rsid w:val="001E647F"/>
    <w:rsid w:val="001E653C"/>
    <w:rsid w:val="001E65AE"/>
    <w:rsid w:val="001E6655"/>
    <w:rsid w:val="001E673F"/>
    <w:rsid w:val="001E679D"/>
    <w:rsid w:val="001E67E3"/>
    <w:rsid w:val="001E6957"/>
    <w:rsid w:val="001E6C23"/>
    <w:rsid w:val="001E6C61"/>
    <w:rsid w:val="001E6C9D"/>
    <w:rsid w:val="001E6D15"/>
    <w:rsid w:val="001E6D53"/>
    <w:rsid w:val="001E6DB9"/>
    <w:rsid w:val="001E6DD2"/>
    <w:rsid w:val="001E6F14"/>
    <w:rsid w:val="001E6F4B"/>
    <w:rsid w:val="001E701F"/>
    <w:rsid w:val="001E71C4"/>
    <w:rsid w:val="001E71E6"/>
    <w:rsid w:val="001E734E"/>
    <w:rsid w:val="001E7425"/>
    <w:rsid w:val="001E746C"/>
    <w:rsid w:val="001E74B9"/>
    <w:rsid w:val="001E757B"/>
    <w:rsid w:val="001E76A5"/>
    <w:rsid w:val="001E773F"/>
    <w:rsid w:val="001E7822"/>
    <w:rsid w:val="001E78D1"/>
    <w:rsid w:val="001E7969"/>
    <w:rsid w:val="001E7972"/>
    <w:rsid w:val="001E79E7"/>
    <w:rsid w:val="001E7A97"/>
    <w:rsid w:val="001E7BE7"/>
    <w:rsid w:val="001E7C41"/>
    <w:rsid w:val="001E7ECD"/>
    <w:rsid w:val="001F00A4"/>
    <w:rsid w:val="001F0119"/>
    <w:rsid w:val="001F03C2"/>
    <w:rsid w:val="001F03C5"/>
    <w:rsid w:val="001F04CE"/>
    <w:rsid w:val="001F057B"/>
    <w:rsid w:val="001F05D0"/>
    <w:rsid w:val="001F0644"/>
    <w:rsid w:val="001F06C1"/>
    <w:rsid w:val="001F07D0"/>
    <w:rsid w:val="001F0C43"/>
    <w:rsid w:val="001F0C65"/>
    <w:rsid w:val="001F0D58"/>
    <w:rsid w:val="001F0EC2"/>
    <w:rsid w:val="001F115D"/>
    <w:rsid w:val="001F116E"/>
    <w:rsid w:val="001F122E"/>
    <w:rsid w:val="001F141A"/>
    <w:rsid w:val="001F15B8"/>
    <w:rsid w:val="001F17C0"/>
    <w:rsid w:val="001F193A"/>
    <w:rsid w:val="001F1A24"/>
    <w:rsid w:val="001F1AA3"/>
    <w:rsid w:val="001F1B0F"/>
    <w:rsid w:val="001F1B1E"/>
    <w:rsid w:val="001F1C78"/>
    <w:rsid w:val="001F1C87"/>
    <w:rsid w:val="001F1DCC"/>
    <w:rsid w:val="001F1FEF"/>
    <w:rsid w:val="001F2055"/>
    <w:rsid w:val="001F2108"/>
    <w:rsid w:val="001F2146"/>
    <w:rsid w:val="001F21D7"/>
    <w:rsid w:val="001F237A"/>
    <w:rsid w:val="001F244D"/>
    <w:rsid w:val="001F256E"/>
    <w:rsid w:val="001F2645"/>
    <w:rsid w:val="001F270D"/>
    <w:rsid w:val="001F2717"/>
    <w:rsid w:val="001F275B"/>
    <w:rsid w:val="001F2786"/>
    <w:rsid w:val="001F2918"/>
    <w:rsid w:val="001F2A87"/>
    <w:rsid w:val="001F2BE3"/>
    <w:rsid w:val="001F2C9A"/>
    <w:rsid w:val="001F2D50"/>
    <w:rsid w:val="001F2D97"/>
    <w:rsid w:val="001F2EA8"/>
    <w:rsid w:val="001F308E"/>
    <w:rsid w:val="001F320B"/>
    <w:rsid w:val="001F3321"/>
    <w:rsid w:val="001F33BA"/>
    <w:rsid w:val="001F35FB"/>
    <w:rsid w:val="001F3662"/>
    <w:rsid w:val="001F38D9"/>
    <w:rsid w:val="001F3A09"/>
    <w:rsid w:val="001F3CAC"/>
    <w:rsid w:val="001F3D6F"/>
    <w:rsid w:val="001F3D7F"/>
    <w:rsid w:val="001F3F92"/>
    <w:rsid w:val="001F3FE6"/>
    <w:rsid w:val="001F408D"/>
    <w:rsid w:val="001F421E"/>
    <w:rsid w:val="001F429B"/>
    <w:rsid w:val="001F439B"/>
    <w:rsid w:val="001F43F3"/>
    <w:rsid w:val="001F4407"/>
    <w:rsid w:val="001F445F"/>
    <w:rsid w:val="001F44C5"/>
    <w:rsid w:val="001F4555"/>
    <w:rsid w:val="001F4580"/>
    <w:rsid w:val="001F461F"/>
    <w:rsid w:val="001F469B"/>
    <w:rsid w:val="001F472C"/>
    <w:rsid w:val="001F485D"/>
    <w:rsid w:val="001F4881"/>
    <w:rsid w:val="001F48BD"/>
    <w:rsid w:val="001F48EE"/>
    <w:rsid w:val="001F4962"/>
    <w:rsid w:val="001F4C0D"/>
    <w:rsid w:val="001F4C2D"/>
    <w:rsid w:val="001F4C39"/>
    <w:rsid w:val="001F4C3D"/>
    <w:rsid w:val="001F4E02"/>
    <w:rsid w:val="001F4ECA"/>
    <w:rsid w:val="001F4F65"/>
    <w:rsid w:val="001F4FEC"/>
    <w:rsid w:val="001F51B3"/>
    <w:rsid w:val="001F521F"/>
    <w:rsid w:val="001F5843"/>
    <w:rsid w:val="001F5867"/>
    <w:rsid w:val="001F59C4"/>
    <w:rsid w:val="001F5A46"/>
    <w:rsid w:val="001F5A95"/>
    <w:rsid w:val="001F5B87"/>
    <w:rsid w:val="001F5CCE"/>
    <w:rsid w:val="001F5D55"/>
    <w:rsid w:val="001F5DF2"/>
    <w:rsid w:val="001F5F74"/>
    <w:rsid w:val="001F6017"/>
    <w:rsid w:val="001F605D"/>
    <w:rsid w:val="001F62DC"/>
    <w:rsid w:val="001F6338"/>
    <w:rsid w:val="001F639F"/>
    <w:rsid w:val="001F63D1"/>
    <w:rsid w:val="001F63FA"/>
    <w:rsid w:val="001F6437"/>
    <w:rsid w:val="001F646D"/>
    <w:rsid w:val="001F6476"/>
    <w:rsid w:val="001F6512"/>
    <w:rsid w:val="001F65E7"/>
    <w:rsid w:val="001F65F0"/>
    <w:rsid w:val="001F663C"/>
    <w:rsid w:val="001F67EB"/>
    <w:rsid w:val="001F6849"/>
    <w:rsid w:val="001F6936"/>
    <w:rsid w:val="001F6A58"/>
    <w:rsid w:val="001F6ADE"/>
    <w:rsid w:val="001F6BAC"/>
    <w:rsid w:val="001F6C04"/>
    <w:rsid w:val="001F6C4E"/>
    <w:rsid w:val="001F6C85"/>
    <w:rsid w:val="001F6CA6"/>
    <w:rsid w:val="001F6D1A"/>
    <w:rsid w:val="001F6E2E"/>
    <w:rsid w:val="001F6EA5"/>
    <w:rsid w:val="001F6F18"/>
    <w:rsid w:val="001F6F9B"/>
    <w:rsid w:val="001F6FE7"/>
    <w:rsid w:val="001F7215"/>
    <w:rsid w:val="001F7267"/>
    <w:rsid w:val="001F7348"/>
    <w:rsid w:val="001F7370"/>
    <w:rsid w:val="001F73F9"/>
    <w:rsid w:val="001F74ED"/>
    <w:rsid w:val="001F7562"/>
    <w:rsid w:val="001F75C4"/>
    <w:rsid w:val="001F7698"/>
    <w:rsid w:val="001F76DF"/>
    <w:rsid w:val="001F7775"/>
    <w:rsid w:val="001F788B"/>
    <w:rsid w:val="001F7AFB"/>
    <w:rsid w:val="001F7B58"/>
    <w:rsid w:val="001F7C05"/>
    <w:rsid w:val="001F7C33"/>
    <w:rsid w:val="001F7D31"/>
    <w:rsid w:val="001F7D72"/>
    <w:rsid w:val="001F7E16"/>
    <w:rsid w:val="001F7E92"/>
    <w:rsid w:val="001F7EE9"/>
    <w:rsid w:val="001F7EFD"/>
    <w:rsid w:val="001F7FB2"/>
    <w:rsid w:val="001F7FBD"/>
    <w:rsid w:val="0020002B"/>
    <w:rsid w:val="002000B7"/>
    <w:rsid w:val="00200222"/>
    <w:rsid w:val="00200239"/>
    <w:rsid w:val="00200331"/>
    <w:rsid w:val="0020039D"/>
    <w:rsid w:val="002005C4"/>
    <w:rsid w:val="0020064C"/>
    <w:rsid w:val="00200687"/>
    <w:rsid w:val="0020072D"/>
    <w:rsid w:val="002008F7"/>
    <w:rsid w:val="0020094E"/>
    <w:rsid w:val="00200C8F"/>
    <w:rsid w:val="00200D3C"/>
    <w:rsid w:val="00200DC2"/>
    <w:rsid w:val="00200DD7"/>
    <w:rsid w:val="00200DFA"/>
    <w:rsid w:val="00200E82"/>
    <w:rsid w:val="00200F42"/>
    <w:rsid w:val="00200F5A"/>
    <w:rsid w:val="00200F65"/>
    <w:rsid w:val="00200F78"/>
    <w:rsid w:val="0020104E"/>
    <w:rsid w:val="002012A3"/>
    <w:rsid w:val="0020130E"/>
    <w:rsid w:val="0020151E"/>
    <w:rsid w:val="002016A3"/>
    <w:rsid w:val="002016BC"/>
    <w:rsid w:val="0020187C"/>
    <w:rsid w:val="0020193D"/>
    <w:rsid w:val="00201C94"/>
    <w:rsid w:val="00201D47"/>
    <w:rsid w:val="00201D92"/>
    <w:rsid w:val="00201F13"/>
    <w:rsid w:val="0020213D"/>
    <w:rsid w:val="002021FB"/>
    <w:rsid w:val="0020229F"/>
    <w:rsid w:val="002022E1"/>
    <w:rsid w:val="0020237A"/>
    <w:rsid w:val="002025E6"/>
    <w:rsid w:val="002027C5"/>
    <w:rsid w:val="002027DE"/>
    <w:rsid w:val="00202927"/>
    <w:rsid w:val="0020293F"/>
    <w:rsid w:val="0020298F"/>
    <w:rsid w:val="00202D77"/>
    <w:rsid w:val="00202F7F"/>
    <w:rsid w:val="00202FF0"/>
    <w:rsid w:val="00203101"/>
    <w:rsid w:val="00203139"/>
    <w:rsid w:val="00203188"/>
    <w:rsid w:val="002031C7"/>
    <w:rsid w:val="00203243"/>
    <w:rsid w:val="00203281"/>
    <w:rsid w:val="002033F2"/>
    <w:rsid w:val="002034B2"/>
    <w:rsid w:val="00203503"/>
    <w:rsid w:val="002035F6"/>
    <w:rsid w:val="0020371B"/>
    <w:rsid w:val="0020397D"/>
    <w:rsid w:val="002039CA"/>
    <w:rsid w:val="00203A73"/>
    <w:rsid w:val="00203C8B"/>
    <w:rsid w:val="00203D2A"/>
    <w:rsid w:val="00203DA3"/>
    <w:rsid w:val="00203DC4"/>
    <w:rsid w:val="00203E23"/>
    <w:rsid w:val="00203EEB"/>
    <w:rsid w:val="00203F1E"/>
    <w:rsid w:val="00203F3B"/>
    <w:rsid w:val="00203F87"/>
    <w:rsid w:val="00203FB5"/>
    <w:rsid w:val="0020402A"/>
    <w:rsid w:val="0020408B"/>
    <w:rsid w:val="002042E9"/>
    <w:rsid w:val="0020452F"/>
    <w:rsid w:val="00204607"/>
    <w:rsid w:val="00204784"/>
    <w:rsid w:val="002047F0"/>
    <w:rsid w:val="00204AAB"/>
    <w:rsid w:val="00204E81"/>
    <w:rsid w:val="00204F65"/>
    <w:rsid w:val="00204FEA"/>
    <w:rsid w:val="0020509B"/>
    <w:rsid w:val="0020509F"/>
    <w:rsid w:val="002050CF"/>
    <w:rsid w:val="00205118"/>
    <w:rsid w:val="0020514A"/>
    <w:rsid w:val="0020516F"/>
    <w:rsid w:val="0020526A"/>
    <w:rsid w:val="0020541E"/>
    <w:rsid w:val="00205620"/>
    <w:rsid w:val="002059F2"/>
    <w:rsid w:val="00205B49"/>
    <w:rsid w:val="00205B79"/>
    <w:rsid w:val="00205BDC"/>
    <w:rsid w:val="00205D95"/>
    <w:rsid w:val="00205E1B"/>
    <w:rsid w:val="00205EAB"/>
    <w:rsid w:val="00205F53"/>
    <w:rsid w:val="00205FFA"/>
    <w:rsid w:val="00206071"/>
    <w:rsid w:val="002060DC"/>
    <w:rsid w:val="0020621F"/>
    <w:rsid w:val="002062A2"/>
    <w:rsid w:val="002062D7"/>
    <w:rsid w:val="0020632A"/>
    <w:rsid w:val="00206375"/>
    <w:rsid w:val="002064AC"/>
    <w:rsid w:val="002064BB"/>
    <w:rsid w:val="00206509"/>
    <w:rsid w:val="0020653B"/>
    <w:rsid w:val="00206597"/>
    <w:rsid w:val="00206609"/>
    <w:rsid w:val="00206683"/>
    <w:rsid w:val="0020669A"/>
    <w:rsid w:val="00206796"/>
    <w:rsid w:val="002068B7"/>
    <w:rsid w:val="002068E9"/>
    <w:rsid w:val="00206904"/>
    <w:rsid w:val="00206A74"/>
    <w:rsid w:val="00206AD5"/>
    <w:rsid w:val="00206AEA"/>
    <w:rsid w:val="00206C0C"/>
    <w:rsid w:val="00206CBD"/>
    <w:rsid w:val="00206E23"/>
    <w:rsid w:val="00206E86"/>
    <w:rsid w:val="00206F52"/>
    <w:rsid w:val="00206F73"/>
    <w:rsid w:val="00207178"/>
    <w:rsid w:val="00207244"/>
    <w:rsid w:val="00207258"/>
    <w:rsid w:val="002074CF"/>
    <w:rsid w:val="0020755F"/>
    <w:rsid w:val="00207573"/>
    <w:rsid w:val="0020758D"/>
    <w:rsid w:val="002075C2"/>
    <w:rsid w:val="00207659"/>
    <w:rsid w:val="00207783"/>
    <w:rsid w:val="002078F5"/>
    <w:rsid w:val="00207A14"/>
    <w:rsid w:val="00207B80"/>
    <w:rsid w:val="00207C12"/>
    <w:rsid w:val="00207C30"/>
    <w:rsid w:val="00207D61"/>
    <w:rsid w:val="00207DBB"/>
    <w:rsid w:val="00207EBC"/>
    <w:rsid w:val="00210050"/>
    <w:rsid w:val="002100F1"/>
    <w:rsid w:val="0021012E"/>
    <w:rsid w:val="00210172"/>
    <w:rsid w:val="00210177"/>
    <w:rsid w:val="00210264"/>
    <w:rsid w:val="002103AE"/>
    <w:rsid w:val="0021052C"/>
    <w:rsid w:val="00210574"/>
    <w:rsid w:val="002105E7"/>
    <w:rsid w:val="0021061B"/>
    <w:rsid w:val="00210667"/>
    <w:rsid w:val="00210731"/>
    <w:rsid w:val="002107CB"/>
    <w:rsid w:val="00210807"/>
    <w:rsid w:val="00210825"/>
    <w:rsid w:val="00210898"/>
    <w:rsid w:val="00210975"/>
    <w:rsid w:val="0021097A"/>
    <w:rsid w:val="002109DB"/>
    <w:rsid w:val="00210AE4"/>
    <w:rsid w:val="00210B3D"/>
    <w:rsid w:val="00210BAA"/>
    <w:rsid w:val="00210CA8"/>
    <w:rsid w:val="00210CC3"/>
    <w:rsid w:val="00210F4B"/>
    <w:rsid w:val="00210FDB"/>
    <w:rsid w:val="0021106F"/>
    <w:rsid w:val="002110D1"/>
    <w:rsid w:val="00211236"/>
    <w:rsid w:val="00211463"/>
    <w:rsid w:val="00211480"/>
    <w:rsid w:val="002114CC"/>
    <w:rsid w:val="002115AE"/>
    <w:rsid w:val="0021188A"/>
    <w:rsid w:val="00211A2E"/>
    <w:rsid w:val="00211A39"/>
    <w:rsid w:val="00211B51"/>
    <w:rsid w:val="00211C83"/>
    <w:rsid w:val="00211D76"/>
    <w:rsid w:val="00211E5B"/>
    <w:rsid w:val="00211EAF"/>
    <w:rsid w:val="00211EF9"/>
    <w:rsid w:val="00211F86"/>
    <w:rsid w:val="00211F96"/>
    <w:rsid w:val="0021200E"/>
    <w:rsid w:val="00212033"/>
    <w:rsid w:val="00212072"/>
    <w:rsid w:val="0021222E"/>
    <w:rsid w:val="00212255"/>
    <w:rsid w:val="00212421"/>
    <w:rsid w:val="00212623"/>
    <w:rsid w:val="00212654"/>
    <w:rsid w:val="002126C0"/>
    <w:rsid w:val="00212772"/>
    <w:rsid w:val="00212A39"/>
    <w:rsid w:val="00212A62"/>
    <w:rsid w:val="00212A95"/>
    <w:rsid w:val="00212C95"/>
    <w:rsid w:val="00212CB0"/>
    <w:rsid w:val="00212CBE"/>
    <w:rsid w:val="00212E12"/>
    <w:rsid w:val="00212E13"/>
    <w:rsid w:val="00212E8D"/>
    <w:rsid w:val="00212EB2"/>
    <w:rsid w:val="00212F19"/>
    <w:rsid w:val="00212FD0"/>
    <w:rsid w:val="0021307D"/>
    <w:rsid w:val="002132A7"/>
    <w:rsid w:val="00213420"/>
    <w:rsid w:val="0021350E"/>
    <w:rsid w:val="0021384E"/>
    <w:rsid w:val="00213C0C"/>
    <w:rsid w:val="00213C25"/>
    <w:rsid w:val="00213C60"/>
    <w:rsid w:val="00213D55"/>
    <w:rsid w:val="00213DD9"/>
    <w:rsid w:val="00213E6B"/>
    <w:rsid w:val="0021401F"/>
    <w:rsid w:val="00214060"/>
    <w:rsid w:val="0021408D"/>
    <w:rsid w:val="0021431A"/>
    <w:rsid w:val="0021436D"/>
    <w:rsid w:val="00214428"/>
    <w:rsid w:val="002144AA"/>
    <w:rsid w:val="002144FB"/>
    <w:rsid w:val="0021456F"/>
    <w:rsid w:val="002146AC"/>
    <w:rsid w:val="002146B2"/>
    <w:rsid w:val="00214843"/>
    <w:rsid w:val="0021495C"/>
    <w:rsid w:val="00214980"/>
    <w:rsid w:val="00214A14"/>
    <w:rsid w:val="00214A7F"/>
    <w:rsid w:val="00214CD1"/>
    <w:rsid w:val="00214D56"/>
    <w:rsid w:val="00214D59"/>
    <w:rsid w:val="00214DF9"/>
    <w:rsid w:val="00214F35"/>
    <w:rsid w:val="00215219"/>
    <w:rsid w:val="0021525F"/>
    <w:rsid w:val="00215295"/>
    <w:rsid w:val="00215345"/>
    <w:rsid w:val="00215386"/>
    <w:rsid w:val="002153A3"/>
    <w:rsid w:val="00215523"/>
    <w:rsid w:val="00215611"/>
    <w:rsid w:val="00215756"/>
    <w:rsid w:val="00215898"/>
    <w:rsid w:val="00215907"/>
    <w:rsid w:val="00215917"/>
    <w:rsid w:val="00215AAD"/>
    <w:rsid w:val="002161E6"/>
    <w:rsid w:val="00216474"/>
    <w:rsid w:val="002164CA"/>
    <w:rsid w:val="00216644"/>
    <w:rsid w:val="00216663"/>
    <w:rsid w:val="0021666F"/>
    <w:rsid w:val="0021695F"/>
    <w:rsid w:val="0021697F"/>
    <w:rsid w:val="00216A99"/>
    <w:rsid w:val="00216C97"/>
    <w:rsid w:val="00216CBE"/>
    <w:rsid w:val="00216D6C"/>
    <w:rsid w:val="00216D71"/>
    <w:rsid w:val="00216DEE"/>
    <w:rsid w:val="00216EDB"/>
    <w:rsid w:val="00216F55"/>
    <w:rsid w:val="00216FD6"/>
    <w:rsid w:val="00216FE5"/>
    <w:rsid w:val="00217027"/>
    <w:rsid w:val="00217178"/>
    <w:rsid w:val="00217227"/>
    <w:rsid w:val="0021726C"/>
    <w:rsid w:val="002173C3"/>
    <w:rsid w:val="0021741F"/>
    <w:rsid w:val="002174E1"/>
    <w:rsid w:val="00217660"/>
    <w:rsid w:val="002176E4"/>
    <w:rsid w:val="00217767"/>
    <w:rsid w:val="002177B6"/>
    <w:rsid w:val="00217862"/>
    <w:rsid w:val="00217863"/>
    <w:rsid w:val="0021787A"/>
    <w:rsid w:val="002178DA"/>
    <w:rsid w:val="002178E8"/>
    <w:rsid w:val="002179BF"/>
    <w:rsid w:val="002179E3"/>
    <w:rsid w:val="00217A38"/>
    <w:rsid w:val="00217B22"/>
    <w:rsid w:val="00217BD4"/>
    <w:rsid w:val="00217DD6"/>
    <w:rsid w:val="00217F09"/>
    <w:rsid w:val="00217F87"/>
    <w:rsid w:val="00217F98"/>
    <w:rsid w:val="00217FFD"/>
    <w:rsid w:val="00220049"/>
    <w:rsid w:val="00220226"/>
    <w:rsid w:val="002202B7"/>
    <w:rsid w:val="00220617"/>
    <w:rsid w:val="00220760"/>
    <w:rsid w:val="002208F3"/>
    <w:rsid w:val="00220B14"/>
    <w:rsid w:val="00220B5B"/>
    <w:rsid w:val="00220B91"/>
    <w:rsid w:val="00220CB9"/>
    <w:rsid w:val="00220D60"/>
    <w:rsid w:val="00220FB9"/>
    <w:rsid w:val="00220FE5"/>
    <w:rsid w:val="00221045"/>
    <w:rsid w:val="0022119A"/>
    <w:rsid w:val="002213A6"/>
    <w:rsid w:val="00221533"/>
    <w:rsid w:val="002217BE"/>
    <w:rsid w:val="0022186D"/>
    <w:rsid w:val="002218EC"/>
    <w:rsid w:val="00221A67"/>
    <w:rsid w:val="00221AFB"/>
    <w:rsid w:val="00221BC0"/>
    <w:rsid w:val="00221BEC"/>
    <w:rsid w:val="00221CD6"/>
    <w:rsid w:val="00221D3F"/>
    <w:rsid w:val="00221D57"/>
    <w:rsid w:val="00221DAA"/>
    <w:rsid w:val="00221E32"/>
    <w:rsid w:val="00221F28"/>
    <w:rsid w:val="00221F39"/>
    <w:rsid w:val="00221FB9"/>
    <w:rsid w:val="0022200F"/>
    <w:rsid w:val="00222036"/>
    <w:rsid w:val="0022208B"/>
    <w:rsid w:val="002220A1"/>
    <w:rsid w:val="002220A7"/>
    <w:rsid w:val="002220E0"/>
    <w:rsid w:val="00222139"/>
    <w:rsid w:val="0022219F"/>
    <w:rsid w:val="002222CB"/>
    <w:rsid w:val="00222336"/>
    <w:rsid w:val="00222390"/>
    <w:rsid w:val="002225DF"/>
    <w:rsid w:val="00222716"/>
    <w:rsid w:val="0022272E"/>
    <w:rsid w:val="002227E7"/>
    <w:rsid w:val="00222809"/>
    <w:rsid w:val="00222824"/>
    <w:rsid w:val="0022289D"/>
    <w:rsid w:val="002228CB"/>
    <w:rsid w:val="00222A8A"/>
    <w:rsid w:val="00222C22"/>
    <w:rsid w:val="00222C68"/>
    <w:rsid w:val="00222D18"/>
    <w:rsid w:val="00222D7E"/>
    <w:rsid w:val="00222D81"/>
    <w:rsid w:val="00222DA9"/>
    <w:rsid w:val="00222F45"/>
    <w:rsid w:val="0022301F"/>
    <w:rsid w:val="00223182"/>
    <w:rsid w:val="00223208"/>
    <w:rsid w:val="00223294"/>
    <w:rsid w:val="002232C9"/>
    <w:rsid w:val="00223325"/>
    <w:rsid w:val="00223378"/>
    <w:rsid w:val="00223486"/>
    <w:rsid w:val="002234DB"/>
    <w:rsid w:val="00223600"/>
    <w:rsid w:val="00223743"/>
    <w:rsid w:val="002238D4"/>
    <w:rsid w:val="00223BC1"/>
    <w:rsid w:val="00223CA6"/>
    <w:rsid w:val="00223E40"/>
    <w:rsid w:val="0022401A"/>
    <w:rsid w:val="00224060"/>
    <w:rsid w:val="002240A2"/>
    <w:rsid w:val="00224327"/>
    <w:rsid w:val="0022435B"/>
    <w:rsid w:val="00224450"/>
    <w:rsid w:val="00224740"/>
    <w:rsid w:val="0022474B"/>
    <w:rsid w:val="0022489D"/>
    <w:rsid w:val="00224A04"/>
    <w:rsid w:val="00224ABD"/>
    <w:rsid w:val="00224AFA"/>
    <w:rsid w:val="00224AFE"/>
    <w:rsid w:val="00224B3D"/>
    <w:rsid w:val="00224C73"/>
    <w:rsid w:val="00224D43"/>
    <w:rsid w:val="00224D68"/>
    <w:rsid w:val="00224DBC"/>
    <w:rsid w:val="00224F1C"/>
    <w:rsid w:val="00224F26"/>
    <w:rsid w:val="00224F2F"/>
    <w:rsid w:val="00224F89"/>
    <w:rsid w:val="00224F9E"/>
    <w:rsid w:val="00224FF3"/>
    <w:rsid w:val="0022502F"/>
    <w:rsid w:val="00225053"/>
    <w:rsid w:val="002250A4"/>
    <w:rsid w:val="00225164"/>
    <w:rsid w:val="00225245"/>
    <w:rsid w:val="002252AD"/>
    <w:rsid w:val="00225383"/>
    <w:rsid w:val="00225736"/>
    <w:rsid w:val="00225856"/>
    <w:rsid w:val="002258A7"/>
    <w:rsid w:val="00225AD5"/>
    <w:rsid w:val="00225C49"/>
    <w:rsid w:val="00225D03"/>
    <w:rsid w:val="00225D11"/>
    <w:rsid w:val="00225D4F"/>
    <w:rsid w:val="00225D9A"/>
    <w:rsid w:val="00225DB2"/>
    <w:rsid w:val="00225DC3"/>
    <w:rsid w:val="00225DCC"/>
    <w:rsid w:val="00225FDC"/>
    <w:rsid w:val="00226115"/>
    <w:rsid w:val="002262A0"/>
    <w:rsid w:val="0022657D"/>
    <w:rsid w:val="002265B8"/>
    <w:rsid w:val="0022667D"/>
    <w:rsid w:val="0022676E"/>
    <w:rsid w:val="002267B4"/>
    <w:rsid w:val="00226844"/>
    <w:rsid w:val="002268BD"/>
    <w:rsid w:val="00226A57"/>
    <w:rsid w:val="00226AA6"/>
    <w:rsid w:val="00226AFA"/>
    <w:rsid w:val="00226CA2"/>
    <w:rsid w:val="00226CA6"/>
    <w:rsid w:val="00226D61"/>
    <w:rsid w:val="00226D67"/>
    <w:rsid w:val="00226E55"/>
    <w:rsid w:val="00226E59"/>
    <w:rsid w:val="00226E70"/>
    <w:rsid w:val="00227079"/>
    <w:rsid w:val="002270CC"/>
    <w:rsid w:val="002271D3"/>
    <w:rsid w:val="0022725C"/>
    <w:rsid w:val="0022738C"/>
    <w:rsid w:val="002273BF"/>
    <w:rsid w:val="0022740C"/>
    <w:rsid w:val="00227524"/>
    <w:rsid w:val="002275F2"/>
    <w:rsid w:val="002275FC"/>
    <w:rsid w:val="0022764E"/>
    <w:rsid w:val="002276EE"/>
    <w:rsid w:val="00227742"/>
    <w:rsid w:val="0022776C"/>
    <w:rsid w:val="00227792"/>
    <w:rsid w:val="002277B0"/>
    <w:rsid w:val="002277FF"/>
    <w:rsid w:val="00227880"/>
    <w:rsid w:val="00227973"/>
    <w:rsid w:val="00227AD5"/>
    <w:rsid w:val="00227B44"/>
    <w:rsid w:val="00227BA9"/>
    <w:rsid w:val="00227CC8"/>
    <w:rsid w:val="00227D07"/>
    <w:rsid w:val="00227E07"/>
    <w:rsid w:val="00227E3D"/>
    <w:rsid w:val="00227E67"/>
    <w:rsid w:val="00227F09"/>
    <w:rsid w:val="00227F80"/>
    <w:rsid w:val="0023010A"/>
    <w:rsid w:val="00230254"/>
    <w:rsid w:val="002304A3"/>
    <w:rsid w:val="002304CD"/>
    <w:rsid w:val="00230AC2"/>
    <w:rsid w:val="00230AF3"/>
    <w:rsid w:val="00230B38"/>
    <w:rsid w:val="00230B51"/>
    <w:rsid w:val="00230BAE"/>
    <w:rsid w:val="00230D2A"/>
    <w:rsid w:val="00230E6A"/>
    <w:rsid w:val="00230EC9"/>
    <w:rsid w:val="00230F02"/>
    <w:rsid w:val="00230F70"/>
    <w:rsid w:val="00230FCA"/>
    <w:rsid w:val="00230FF8"/>
    <w:rsid w:val="00230FFB"/>
    <w:rsid w:val="0023101C"/>
    <w:rsid w:val="0023102D"/>
    <w:rsid w:val="00231064"/>
    <w:rsid w:val="002310E2"/>
    <w:rsid w:val="00231106"/>
    <w:rsid w:val="0023115A"/>
    <w:rsid w:val="0023139E"/>
    <w:rsid w:val="002313CE"/>
    <w:rsid w:val="002314BA"/>
    <w:rsid w:val="002314DC"/>
    <w:rsid w:val="00231567"/>
    <w:rsid w:val="0023157B"/>
    <w:rsid w:val="002315E9"/>
    <w:rsid w:val="002316F3"/>
    <w:rsid w:val="00231708"/>
    <w:rsid w:val="002317D5"/>
    <w:rsid w:val="00231973"/>
    <w:rsid w:val="00231987"/>
    <w:rsid w:val="00231A08"/>
    <w:rsid w:val="00231C15"/>
    <w:rsid w:val="00231C75"/>
    <w:rsid w:val="00231D80"/>
    <w:rsid w:val="00231D87"/>
    <w:rsid w:val="00231EA5"/>
    <w:rsid w:val="00231F2F"/>
    <w:rsid w:val="0023207B"/>
    <w:rsid w:val="002320E2"/>
    <w:rsid w:val="00232219"/>
    <w:rsid w:val="00232326"/>
    <w:rsid w:val="002323C6"/>
    <w:rsid w:val="00232436"/>
    <w:rsid w:val="00232471"/>
    <w:rsid w:val="002326C8"/>
    <w:rsid w:val="00232741"/>
    <w:rsid w:val="0023277C"/>
    <w:rsid w:val="002327B6"/>
    <w:rsid w:val="0023281B"/>
    <w:rsid w:val="00232939"/>
    <w:rsid w:val="00232954"/>
    <w:rsid w:val="00232A1E"/>
    <w:rsid w:val="00232B1E"/>
    <w:rsid w:val="00232B38"/>
    <w:rsid w:val="00232C23"/>
    <w:rsid w:val="00232CC9"/>
    <w:rsid w:val="00232CED"/>
    <w:rsid w:val="00232DF6"/>
    <w:rsid w:val="00232E04"/>
    <w:rsid w:val="00232FC0"/>
    <w:rsid w:val="002330A4"/>
    <w:rsid w:val="002331BA"/>
    <w:rsid w:val="00233206"/>
    <w:rsid w:val="00233321"/>
    <w:rsid w:val="00233552"/>
    <w:rsid w:val="002335C3"/>
    <w:rsid w:val="00233605"/>
    <w:rsid w:val="0023361A"/>
    <w:rsid w:val="002336A4"/>
    <w:rsid w:val="00233754"/>
    <w:rsid w:val="002338A7"/>
    <w:rsid w:val="00233996"/>
    <w:rsid w:val="00233A51"/>
    <w:rsid w:val="00233BA1"/>
    <w:rsid w:val="00233C85"/>
    <w:rsid w:val="00233C99"/>
    <w:rsid w:val="00233D42"/>
    <w:rsid w:val="00233D6E"/>
    <w:rsid w:val="00233E9E"/>
    <w:rsid w:val="00233EB1"/>
    <w:rsid w:val="00233F3C"/>
    <w:rsid w:val="00234036"/>
    <w:rsid w:val="0023413E"/>
    <w:rsid w:val="002341C5"/>
    <w:rsid w:val="0023429A"/>
    <w:rsid w:val="002342EF"/>
    <w:rsid w:val="0023440F"/>
    <w:rsid w:val="0023445F"/>
    <w:rsid w:val="0023454D"/>
    <w:rsid w:val="00234666"/>
    <w:rsid w:val="00234688"/>
    <w:rsid w:val="0023474C"/>
    <w:rsid w:val="002347FD"/>
    <w:rsid w:val="00234884"/>
    <w:rsid w:val="0023488C"/>
    <w:rsid w:val="00234958"/>
    <w:rsid w:val="00234B48"/>
    <w:rsid w:val="00234C88"/>
    <w:rsid w:val="00234D54"/>
    <w:rsid w:val="00234DF2"/>
    <w:rsid w:val="00234F79"/>
    <w:rsid w:val="00234F91"/>
    <w:rsid w:val="00235044"/>
    <w:rsid w:val="002350EA"/>
    <w:rsid w:val="002351E8"/>
    <w:rsid w:val="00235386"/>
    <w:rsid w:val="002355D9"/>
    <w:rsid w:val="00235752"/>
    <w:rsid w:val="0023575E"/>
    <w:rsid w:val="002357FF"/>
    <w:rsid w:val="00235813"/>
    <w:rsid w:val="00235916"/>
    <w:rsid w:val="00235A10"/>
    <w:rsid w:val="00235A74"/>
    <w:rsid w:val="00235ABB"/>
    <w:rsid w:val="00235B05"/>
    <w:rsid w:val="00235BBC"/>
    <w:rsid w:val="00236001"/>
    <w:rsid w:val="0023603D"/>
    <w:rsid w:val="00236103"/>
    <w:rsid w:val="002361E0"/>
    <w:rsid w:val="002363C1"/>
    <w:rsid w:val="00236426"/>
    <w:rsid w:val="00236649"/>
    <w:rsid w:val="0023670F"/>
    <w:rsid w:val="00236929"/>
    <w:rsid w:val="002369EC"/>
    <w:rsid w:val="00236A35"/>
    <w:rsid w:val="00236A82"/>
    <w:rsid w:val="00236BF0"/>
    <w:rsid w:val="00236CCF"/>
    <w:rsid w:val="00236F64"/>
    <w:rsid w:val="00237011"/>
    <w:rsid w:val="002370A3"/>
    <w:rsid w:val="00237358"/>
    <w:rsid w:val="002374F2"/>
    <w:rsid w:val="0023750A"/>
    <w:rsid w:val="002375EE"/>
    <w:rsid w:val="0023762E"/>
    <w:rsid w:val="002377A6"/>
    <w:rsid w:val="00237810"/>
    <w:rsid w:val="00237883"/>
    <w:rsid w:val="00237888"/>
    <w:rsid w:val="002379FA"/>
    <w:rsid w:val="00237A16"/>
    <w:rsid w:val="00237A38"/>
    <w:rsid w:val="00237C2D"/>
    <w:rsid w:val="00237C37"/>
    <w:rsid w:val="00237D4F"/>
    <w:rsid w:val="00237D7F"/>
    <w:rsid w:val="00237DA1"/>
    <w:rsid w:val="00237DFE"/>
    <w:rsid w:val="00237E30"/>
    <w:rsid w:val="00237E5A"/>
    <w:rsid w:val="00240041"/>
    <w:rsid w:val="00240099"/>
    <w:rsid w:val="002401DD"/>
    <w:rsid w:val="00240418"/>
    <w:rsid w:val="002405C1"/>
    <w:rsid w:val="00240607"/>
    <w:rsid w:val="00240617"/>
    <w:rsid w:val="00240858"/>
    <w:rsid w:val="00240990"/>
    <w:rsid w:val="00240A42"/>
    <w:rsid w:val="00240AAF"/>
    <w:rsid w:val="00240B54"/>
    <w:rsid w:val="00240CB1"/>
    <w:rsid w:val="00240E3A"/>
    <w:rsid w:val="00240E9E"/>
    <w:rsid w:val="00240EAF"/>
    <w:rsid w:val="00240F38"/>
    <w:rsid w:val="00240FA2"/>
    <w:rsid w:val="002411BF"/>
    <w:rsid w:val="0024120D"/>
    <w:rsid w:val="00241293"/>
    <w:rsid w:val="002412AD"/>
    <w:rsid w:val="002412FC"/>
    <w:rsid w:val="0024137A"/>
    <w:rsid w:val="00241522"/>
    <w:rsid w:val="002416D4"/>
    <w:rsid w:val="00241750"/>
    <w:rsid w:val="002417D9"/>
    <w:rsid w:val="00241875"/>
    <w:rsid w:val="00241908"/>
    <w:rsid w:val="00241B61"/>
    <w:rsid w:val="00241B75"/>
    <w:rsid w:val="00241B78"/>
    <w:rsid w:val="00241BCC"/>
    <w:rsid w:val="00241D28"/>
    <w:rsid w:val="00241DE2"/>
    <w:rsid w:val="00241E9E"/>
    <w:rsid w:val="002420E8"/>
    <w:rsid w:val="002421B1"/>
    <w:rsid w:val="00242284"/>
    <w:rsid w:val="002423A3"/>
    <w:rsid w:val="0024245D"/>
    <w:rsid w:val="002424AB"/>
    <w:rsid w:val="002425D5"/>
    <w:rsid w:val="002426E2"/>
    <w:rsid w:val="002428F2"/>
    <w:rsid w:val="00242AE7"/>
    <w:rsid w:val="00242BD5"/>
    <w:rsid w:val="00242C1E"/>
    <w:rsid w:val="00242C81"/>
    <w:rsid w:val="00242DD6"/>
    <w:rsid w:val="00242DD9"/>
    <w:rsid w:val="00242E15"/>
    <w:rsid w:val="00242E80"/>
    <w:rsid w:val="002430DA"/>
    <w:rsid w:val="0024324B"/>
    <w:rsid w:val="0024357E"/>
    <w:rsid w:val="002435A2"/>
    <w:rsid w:val="00243640"/>
    <w:rsid w:val="0024364B"/>
    <w:rsid w:val="00243714"/>
    <w:rsid w:val="00243768"/>
    <w:rsid w:val="00243834"/>
    <w:rsid w:val="00243B33"/>
    <w:rsid w:val="00243BE5"/>
    <w:rsid w:val="00243D53"/>
    <w:rsid w:val="00243D5F"/>
    <w:rsid w:val="00243E11"/>
    <w:rsid w:val="00243E4A"/>
    <w:rsid w:val="00243F81"/>
    <w:rsid w:val="002440A8"/>
    <w:rsid w:val="0024425E"/>
    <w:rsid w:val="002442A5"/>
    <w:rsid w:val="00244384"/>
    <w:rsid w:val="002443F5"/>
    <w:rsid w:val="0024455C"/>
    <w:rsid w:val="002446D6"/>
    <w:rsid w:val="002447DE"/>
    <w:rsid w:val="00244815"/>
    <w:rsid w:val="00244818"/>
    <w:rsid w:val="00244821"/>
    <w:rsid w:val="0024484C"/>
    <w:rsid w:val="00244875"/>
    <w:rsid w:val="002448F7"/>
    <w:rsid w:val="0024494B"/>
    <w:rsid w:val="00244D6C"/>
    <w:rsid w:val="00244D93"/>
    <w:rsid w:val="00244E86"/>
    <w:rsid w:val="00245084"/>
    <w:rsid w:val="002450C6"/>
    <w:rsid w:val="00245309"/>
    <w:rsid w:val="00245541"/>
    <w:rsid w:val="00245579"/>
    <w:rsid w:val="002456B6"/>
    <w:rsid w:val="00245751"/>
    <w:rsid w:val="00245783"/>
    <w:rsid w:val="0024579B"/>
    <w:rsid w:val="002457AB"/>
    <w:rsid w:val="00245841"/>
    <w:rsid w:val="0024586F"/>
    <w:rsid w:val="00245A5E"/>
    <w:rsid w:val="00245AAD"/>
    <w:rsid w:val="00245AC8"/>
    <w:rsid w:val="00245E4D"/>
    <w:rsid w:val="00245F8D"/>
    <w:rsid w:val="00246060"/>
    <w:rsid w:val="00246101"/>
    <w:rsid w:val="0024617C"/>
    <w:rsid w:val="0024618D"/>
    <w:rsid w:val="00246244"/>
    <w:rsid w:val="002462A0"/>
    <w:rsid w:val="0024633A"/>
    <w:rsid w:val="0024645F"/>
    <w:rsid w:val="002464E7"/>
    <w:rsid w:val="00246762"/>
    <w:rsid w:val="002468E1"/>
    <w:rsid w:val="0024693C"/>
    <w:rsid w:val="002469DF"/>
    <w:rsid w:val="00246A03"/>
    <w:rsid w:val="00246B4A"/>
    <w:rsid w:val="00246BF9"/>
    <w:rsid w:val="00246C59"/>
    <w:rsid w:val="00246DE3"/>
    <w:rsid w:val="00246F35"/>
    <w:rsid w:val="00246F3C"/>
    <w:rsid w:val="00246F44"/>
    <w:rsid w:val="00246FAF"/>
    <w:rsid w:val="00247002"/>
    <w:rsid w:val="0024702B"/>
    <w:rsid w:val="002471A4"/>
    <w:rsid w:val="00247209"/>
    <w:rsid w:val="00247464"/>
    <w:rsid w:val="00247678"/>
    <w:rsid w:val="002477BE"/>
    <w:rsid w:val="00247812"/>
    <w:rsid w:val="00247941"/>
    <w:rsid w:val="002479C4"/>
    <w:rsid w:val="00247AD1"/>
    <w:rsid w:val="00247BD6"/>
    <w:rsid w:val="00247C7E"/>
    <w:rsid w:val="00247E06"/>
    <w:rsid w:val="00247E10"/>
    <w:rsid w:val="00250090"/>
    <w:rsid w:val="002500A6"/>
    <w:rsid w:val="002500C4"/>
    <w:rsid w:val="002501B6"/>
    <w:rsid w:val="0025026F"/>
    <w:rsid w:val="00250379"/>
    <w:rsid w:val="002503F7"/>
    <w:rsid w:val="00250529"/>
    <w:rsid w:val="0025055C"/>
    <w:rsid w:val="002505D6"/>
    <w:rsid w:val="00250726"/>
    <w:rsid w:val="0025090D"/>
    <w:rsid w:val="00250942"/>
    <w:rsid w:val="002509CD"/>
    <w:rsid w:val="00250A41"/>
    <w:rsid w:val="00250B1F"/>
    <w:rsid w:val="00250C17"/>
    <w:rsid w:val="00250E02"/>
    <w:rsid w:val="00250EE5"/>
    <w:rsid w:val="00250F64"/>
    <w:rsid w:val="00250FFF"/>
    <w:rsid w:val="0025104A"/>
    <w:rsid w:val="002510BE"/>
    <w:rsid w:val="00251127"/>
    <w:rsid w:val="002512A1"/>
    <w:rsid w:val="0025133A"/>
    <w:rsid w:val="00251371"/>
    <w:rsid w:val="00251388"/>
    <w:rsid w:val="002513B2"/>
    <w:rsid w:val="002513CF"/>
    <w:rsid w:val="00251432"/>
    <w:rsid w:val="00251493"/>
    <w:rsid w:val="0025150E"/>
    <w:rsid w:val="00251553"/>
    <w:rsid w:val="0025166E"/>
    <w:rsid w:val="00251685"/>
    <w:rsid w:val="00251732"/>
    <w:rsid w:val="002519B3"/>
    <w:rsid w:val="00251A4F"/>
    <w:rsid w:val="00251BB1"/>
    <w:rsid w:val="00251CE4"/>
    <w:rsid w:val="00251CFA"/>
    <w:rsid w:val="00252148"/>
    <w:rsid w:val="002521DC"/>
    <w:rsid w:val="0025220E"/>
    <w:rsid w:val="00252296"/>
    <w:rsid w:val="002524BB"/>
    <w:rsid w:val="0025251B"/>
    <w:rsid w:val="0025281F"/>
    <w:rsid w:val="002529EC"/>
    <w:rsid w:val="00252A4E"/>
    <w:rsid w:val="00252D66"/>
    <w:rsid w:val="00252EAD"/>
    <w:rsid w:val="00252F05"/>
    <w:rsid w:val="00252F7D"/>
    <w:rsid w:val="00252FC5"/>
    <w:rsid w:val="00253025"/>
    <w:rsid w:val="002530B4"/>
    <w:rsid w:val="0025313C"/>
    <w:rsid w:val="00253161"/>
    <w:rsid w:val="00253194"/>
    <w:rsid w:val="00253343"/>
    <w:rsid w:val="002533F0"/>
    <w:rsid w:val="002534C2"/>
    <w:rsid w:val="0025355B"/>
    <w:rsid w:val="00253874"/>
    <w:rsid w:val="002539B4"/>
    <w:rsid w:val="00253A3E"/>
    <w:rsid w:val="00253A4B"/>
    <w:rsid w:val="00253B0F"/>
    <w:rsid w:val="00253BDA"/>
    <w:rsid w:val="00253C63"/>
    <w:rsid w:val="00253C99"/>
    <w:rsid w:val="00253EA3"/>
    <w:rsid w:val="00253EA5"/>
    <w:rsid w:val="00253EF1"/>
    <w:rsid w:val="0025420F"/>
    <w:rsid w:val="0025428B"/>
    <w:rsid w:val="00254367"/>
    <w:rsid w:val="00254378"/>
    <w:rsid w:val="00254416"/>
    <w:rsid w:val="0025449D"/>
    <w:rsid w:val="002544DF"/>
    <w:rsid w:val="0025456F"/>
    <w:rsid w:val="002546A4"/>
    <w:rsid w:val="00254790"/>
    <w:rsid w:val="002547D5"/>
    <w:rsid w:val="002548D3"/>
    <w:rsid w:val="002549F8"/>
    <w:rsid w:val="00254A81"/>
    <w:rsid w:val="00254B7A"/>
    <w:rsid w:val="00254B7F"/>
    <w:rsid w:val="00254C21"/>
    <w:rsid w:val="00254CFE"/>
    <w:rsid w:val="00254D5A"/>
    <w:rsid w:val="00254F76"/>
    <w:rsid w:val="0025515C"/>
    <w:rsid w:val="0025524A"/>
    <w:rsid w:val="00255713"/>
    <w:rsid w:val="002558E4"/>
    <w:rsid w:val="00255ADC"/>
    <w:rsid w:val="00255AF8"/>
    <w:rsid w:val="00255B02"/>
    <w:rsid w:val="00255B34"/>
    <w:rsid w:val="00255BF4"/>
    <w:rsid w:val="00255DC7"/>
    <w:rsid w:val="00255EDF"/>
    <w:rsid w:val="00255F3E"/>
    <w:rsid w:val="00255FCF"/>
    <w:rsid w:val="00256001"/>
    <w:rsid w:val="002560C0"/>
    <w:rsid w:val="002561DE"/>
    <w:rsid w:val="002561E0"/>
    <w:rsid w:val="00256332"/>
    <w:rsid w:val="00256384"/>
    <w:rsid w:val="00256537"/>
    <w:rsid w:val="0025654A"/>
    <w:rsid w:val="0025666F"/>
    <w:rsid w:val="00256704"/>
    <w:rsid w:val="0025670C"/>
    <w:rsid w:val="002567B6"/>
    <w:rsid w:val="00256D0C"/>
    <w:rsid w:val="00256D9A"/>
    <w:rsid w:val="00256DFB"/>
    <w:rsid w:val="00256FAB"/>
    <w:rsid w:val="0025703F"/>
    <w:rsid w:val="00257094"/>
    <w:rsid w:val="0025720C"/>
    <w:rsid w:val="00257225"/>
    <w:rsid w:val="00257279"/>
    <w:rsid w:val="0025742D"/>
    <w:rsid w:val="002574B5"/>
    <w:rsid w:val="0025750F"/>
    <w:rsid w:val="00257511"/>
    <w:rsid w:val="0025756E"/>
    <w:rsid w:val="00257572"/>
    <w:rsid w:val="002575AE"/>
    <w:rsid w:val="00257671"/>
    <w:rsid w:val="0025773C"/>
    <w:rsid w:val="0025776B"/>
    <w:rsid w:val="00257867"/>
    <w:rsid w:val="00257B38"/>
    <w:rsid w:val="00257BBF"/>
    <w:rsid w:val="00257E18"/>
    <w:rsid w:val="00257E27"/>
    <w:rsid w:val="00257E35"/>
    <w:rsid w:val="00260099"/>
    <w:rsid w:val="00260664"/>
    <w:rsid w:val="00260684"/>
    <w:rsid w:val="002606E0"/>
    <w:rsid w:val="0026082A"/>
    <w:rsid w:val="002608AB"/>
    <w:rsid w:val="00260946"/>
    <w:rsid w:val="00260A2D"/>
    <w:rsid w:val="00260A9D"/>
    <w:rsid w:val="00260D4F"/>
    <w:rsid w:val="00260D6B"/>
    <w:rsid w:val="00260EC6"/>
    <w:rsid w:val="00260F16"/>
    <w:rsid w:val="00260F48"/>
    <w:rsid w:val="002610E6"/>
    <w:rsid w:val="00261108"/>
    <w:rsid w:val="0026117B"/>
    <w:rsid w:val="00261233"/>
    <w:rsid w:val="00261248"/>
    <w:rsid w:val="0026130B"/>
    <w:rsid w:val="0026130D"/>
    <w:rsid w:val="00261383"/>
    <w:rsid w:val="002614A9"/>
    <w:rsid w:val="0026155F"/>
    <w:rsid w:val="00261611"/>
    <w:rsid w:val="002616B6"/>
    <w:rsid w:val="0026181A"/>
    <w:rsid w:val="00261882"/>
    <w:rsid w:val="0026189B"/>
    <w:rsid w:val="002619D6"/>
    <w:rsid w:val="002619FB"/>
    <w:rsid w:val="00261B44"/>
    <w:rsid w:val="00261BDC"/>
    <w:rsid w:val="00261CC4"/>
    <w:rsid w:val="00261D6E"/>
    <w:rsid w:val="00261E2C"/>
    <w:rsid w:val="00261F54"/>
    <w:rsid w:val="00261FC1"/>
    <w:rsid w:val="00261FF6"/>
    <w:rsid w:val="00262022"/>
    <w:rsid w:val="0026222D"/>
    <w:rsid w:val="00262250"/>
    <w:rsid w:val="00262274"/>
    <w:rsid w:val="00262295"/>
    <w:rsid w:val="00262347"/>
    <w:rsid w:val="0026237C"/>
    <w:rsid w:val="00262438"/>
    <w:rsid w:val="00262552"/>
    <w:rsid w:val="002625DC"/>
    <w:rsid w:val="00262635"/>
    <w:rsid w:val="00262733"/>
    <w:rsid w:val="002627EE"/>
    <w:rsid w:val="00262864"/>
    <w:rsid w:val="00262957"/>
    <w:rsid w:val="00262A72"/>
    <w:rsid w:val="00262B23"/>
    <w:rsid w:val="00262BB5"/>
    <w:rsid w:val="00262D1B"/>
    <w:rsid w:val="00262D30"/>
    <w:rsid w:val="00262F36"/>
    <w:rsid w:val="00262F76"/>
    <w:rsid w:val="002632DB"/>
    <w:rsid w:val="0026345C"/>
    <w:rsid w:val="0026351E"/>
    <w:rsid w:val="002635AF"/>
    <w:rsid w:val="00263793"/>
    <w:rsid w:val="002637B9"/>
    <w:rsid w:val="002637C2"/>
    <w:rsid w:val="0026380F"/>
    <w:rsid w:val="00263816"/>
    <w:rsid w:val="00263916"/>
    <w:rsid w:val="002639D3"/>
    <w:rsid w:val="00263AB8"/>
    <w:rsid w:val="00263C68"/>
    <w:rsid w:val="00263C87"/>
    <w:rsid w:val="00263D2A"/>
    <w:rsid w:val="00263D8C"/>
    <w:rsid w:val="00263EE7"/>
    <w:rsid w:val="00263F5B"/>
    <w:rsid w:val="00264189"/>
    <w:rsid w:val="002642A8"/>
    <w:rsid w:val="00264311"/>
    <w:rsid w:val="0026436C"/>
    <w:rsid w:val="00264387"/>
    <w:rsid w:val="0026442B"/>
    <w:rsid w:val="00264482"/>
    <w:rsid w:val="002644E7"/>
    <w:rsid w:val="0026452A"/>
    <w:rsid w:val="002645D7"/>
    <w:rsid w:val="00264697"/>
    <w:rsid w:val="00264700"/>
    <w:rsid w:val="002649AD"/>
    <w:rsid w:val="00264A05"/>
    <w:rsid w:val="00264A74"/>
    <w:rsid w:val="00264B8E"/>
    <w:rsid w:val="00264CA2"/>
    <w:rsid w:val="00264CCE"/>
    <w:rsid w:val="00264CF9"/>
    <w:rsid w:val="00264D87"/>
    <w:rsid w:val="00264DD1"/>
    <w:rsid w:val="00264DE6"/>
    <w:rsid w:val="00264DEC"/>
    <w:rsid w:val="00264E82"/>
    <w:rsid w:val="00265145"/>
    <w:rsid w:val="0026514C"/>
    <w:rsid w:val="0026521E"/>
    <w:rsid w:val="00265408"/>
    <w:rsid w:val="0026546C"/>
    <w:rsid w:val="002656DC"/>
    <w:rsid w:val="00265724"/>
    <w:rsid w:val="0026575F"/>
    <w:rsid w:val="00265A21"/>
    <w:rsid w:val="00265B06"/>
    <w:rsid w:val="00265C69"/>
    <w:rsid w:val="00265C6C"/>
    <w:rsid w:val="00265CD5"/>
    <w:rsid w:val="00265E00"/>
    <w:rsid w:val="00265E05"/>
    <w:rsid w:val="00265ED0"/>
    <w:rsid w:val="00265F82"/>
    <w:rsid w:val="00265F9E"/>
    <w:rsid w:val="0026609D"/>
    <w:rsid w:val="002663B6"/>
    <w:rsid w:val="002663EE"/>
    <w:rsid w:val="002663F4"/>
    <w:rsid w:val="0026643D"/>
    <w:rsid w:val="00266529"/>
    <w:rsid w:val="00266706"/>
    <w:rsid w:val="00266773"/>
    <w:rsid w:val="002667FC"/>
    <w:rsid w:val="0026690A"/>
    <w:rsid w:val="00266A57"/>
    <w:rsid w:val="00266A62"/>
    <w:rsid w:val="00266A8D"/>
    <w:rsid w:val="00266CA7"/>
    <w:rsid w:val="00266FD8"/>
    <w:rsid w:val="0026704A"/>
    <w:rsid w:val="00267156"/>
    <w:rsid w:val="00267204"/>
    <w:rsid w:val="00267259"/>
    <w:rsid w:val="00267266"/>
    <w:rsid w:val="00267488"/>
    <w:rsid w:val="002674B1"/>
    <w:rsid w:val="002675E6"/>
    <w:rsid w:val="0026788A"/>
    <w:rsid w:val="00267A54"/>
    <w:rsid w:val="00267A93"/>
    <w:rsid w:val="00267DF8"/>
    <w:rsid w:val="00267E81"/>
    <w:rsid w:val="00267EA1"/>
    <w:rsid w:val="00267F0F"/>
    <w:rsid w:val="00267F26"/>
    <w:rsid w:val="00267F32"/>
    <w:rsid w:val="00267F61"/>
    <w:rsid w:val="00267F70"/>
    <w:rsid w:val="00270059"/>
    <w:rsid w:val="002701AE"/>
    <w:rsid w:val="00270355"/>
    <w:rsid w:val="0027035B"/>
    <w:rsid w:val="002703C4"/>
    <w:rsid w:val="0027041D"/>
    <w:rsid w:val="0027041E"/>
    <w:rsid w:val="00270429"/>
    <w:rsid w:val="002704BA"/>
    <w:rsid w:val="00270529"/>
    <w:rsid w:val="0027052C"/>
    <w:rsid w:val="002705D5"/>
    <w:rsid w:val="00270667"/>
    <w:rsid w:val="002706FF"/>
    <w:rsid w:val="00270700"/>
    <w:rsid w:val="002708C0"/>
    <w:rsid w:val="00270909"/>
    <w:rsid w:val="00270912"/>
    <w:rsid w:val="0027095E"/>
    <w:rsid w:val="00270A1A"/>
    <w:rsid w:val="00270B05"/>
    <w:rsid w:val="00270B98"/>
    <w:rsid w:val="00270C16"/>
    <w:rsid w:val="00270EE8"/>
    <w:rsid w:val="002710B1"/>
    <w:rsid w:val="002710F9"/>
    <w:rsid w:val="0027116A"/>
    <w:rsid w:val="002712C7"/>
    <w:rsid w:val="0027140B"/>
    <w:rsid w:val="0027148C"/>
    <w:rsid w:val="00271681"/>
    <w:rsid w:val="002716BD"/>
    <w:rsid w:val="002716DE"/>
    <w:rsid w:val="0027171A"/>
    <w:rsid w:val="00271804"/>
    <w:rsid w:val="002718D0"/>
    <w:rsid w:val="00271929"/>
    <w:rsid w:val="002719EC"/>
    <w:rsid w:val="00271B9A"/>
    <w:rsid w:val="00271BC2"/>
    <w:rsid w:val="00271C22"/>
    <w:rsid w:val="00271D5A"/>
    <w:rsid w:val="00271F6D"/>
    <w:rsid w:val="00272125"/>
    <w:rsid w:val="00272190"/>
    <w:rsid w:val="002721CC"/>
    <w:rsid w:val="002721CD"/>
    <w:rsid w:val="002721F4"/>
    <w:rsid w:val="0027239E"/>
    <w:rsid w:val="002724ED"/>
    <w:rsid w:val="002725E5"/>
    <w:rsid w:val="0027260F"/>
    <w:rsid w:val="00272644"/>
    <w:rsid w:val="0027267A"/>
    <w:rsid w:val="00272714"/>
    <w:rsid w:val="0027274B"/>
    <w:rsid w:val="00272753"/>
    <w:rsid w:val="002727D8"/>
    <w:rsid w:val="002728D5"/>
    <w:rsid w:val="00272964"/>
    <w:rsid w:val="00272978"/>
    <w:rsid w:val="002729F4"/>
    <w:rsid w:val="00272A99"/>
    <w:rsid w:val="00272AE1"/>
    <w:rsid w:val="00272B5A"/>
    <w:rsid w:val="00272BB7"/>
    <w:rsid w:val="00272D2A"/>
    <w:rsid w:val="00272D82"/>
    <w:rsid w:val="00272D89"/>
    <w:rsid w:val="00272E05"/>
    <w:rsid w:val="00272F12"/>
    <w:rsid w:val="00272FF1"/>
    <w:rsid w:val="00272FFC"/>
    <w:rsid w:val="00273006"/>
    <w:rsid w:val="00273079"/>
    <w:rsid w:val="00273108"/>
    <w:rsid w:val="0027324C"/>
    <w:rsid w:val="00273298"/>
    <w:rsid w:val="002734E6"/>
    <w:rsid w:val="002735E5"/>
    <w:rsid w:val="0027365E"/>
    <w:rsid w:val="002736A0"/>
    <w:rsid w:val="00273795"/>
    <w:rsid w:val="00273854"/>
    <w:rsid w:val="00273992"/>
    <w:rsid w:val="00273AC6"/>
    <w:rsid w:val="00273B59"/>
    <w:rsid w:val="00273BF0"/>
    <w:rsid w:val="00273BF1"/>
    <w:rsid w:val="00273C01"/>
    <w:rsid w:val="00273C3D"/>
    <w:rsid w:val="00273DCE"/>
    <w:rsid w:val="00273E3E"/>
    <w:rsid w:val="00273E46"/>
    <w:rsid w:val="00273EC3"/>
    <w:rsid w:val="00273F2E"/>
    <w:rsid w:val="0027405F"/>
    <w:rsid w:val="00274144"/>
    <w:rsid w:val="0027417A"/>
    <w:rsid w:val="00274285"/>
    <w:rsid w:val="0027429B"/>
    <w:rsid w:val="0027433D"/>
    <w:rsid w:val="00274349"/>
    <w:rsid w:val="00274372"/>
    <w:rsid w:val="002743DF"/>
    <w:rsid w:val="002743EB"/>
    <w:rsid w:val="00274565"/>
    <w:rsid w:val="002746D8"/>
    <w:rsid w:val="00274778"/>
    <w:rsid w:val="002747BD"/>
    <w:rsid w:val="002748DD"/>
    <w:rsid w:val="0027490B"/>
    <w:rsid w:val="002749E2"/>
    <w:rsid w:val="00274C46"/>
    <w:rsid w:val="00274D58"/>
    <w:rsid w:val="00274D82"/>
    <w:rsid w:val="00274EC5"/>
    <w:rsid w:val="00274F70"/>
    <w:rsid w:val="00274FD3"/>
    <w:rsid w:val="00275235"/>
    <w:rsid w:val="002752BE"/>
    <w:rsid w:val="00275380"/>
    <w:rsid w:val="002753EA"/>
    <w:rsid w:val="00275415"/>
    <w:rsid w:val="00275546"/>
    <w:rsid w:val="002755D2"/>
    <w:rsid w:val="002756F3"/>
    <w:rsid w:val="00275777"/>
    <w:rsid w:val="002757EC"/>
    <w:rsid w:val="0027583E"/>
    <w:rsid w:val="002758BC"/>
    <w:rsid w:val="0027598C"/>
    <w:rsid w:val="002759B0"/>
    <w:rsid w:val="002759B4"/>
    <w:rsid w:val="00275BC2"/>
    <w:rsid w:val="00275C0E"/>
    <w:rsid w:val="00275E2F"/>
    <w:rsid w:val="00275FF6"/>
    <w:rsid w:val="00276086"/>
    <w:rsid w:val="00276112"/>
    <w:rsid w:val="00276185"/>
    <w:rsid w:val="00276222"/>
    <w:rsid w:val="002763E7"/>
    <w:rsid w:val="0027649C"/>
    <w:rsid w:val="002766C6"/>
    <w:rsid w:val="00276765"/>
    <w:rsid w:val="0027685B"/>
    <w:rsid w:val="00276921"/>
    <w:rsid w:val="0027693D"/>
    <w:rsid w:val="00276952"/>
    <w:rsid w:val="00276A76"/>
    <w:rsid w:val="00276AA5"/>
    <w:rsid w:val="00276B15"/>
    <w:rsid w:val="00276BB4"/>
    <w:rsid w:val="00276BB5"/>
    <w:rsid w:val="00276BCB"/>
    <w:rsid w:val="00276C11"/>
    <w:rsid w:val="00276C59"/>
    <w:rsid w:val="00276CA8"/>
    <w:rsid w:val="00276CC8"/>
    <w:rsid w:val="00276CF9"/>
    <w:rsid w:val="00276D34"/>
    <w:rsid w:val="00276D3C"/>
    <w:rsid w:val="00276E86"/>
    <w:rsid w:val="00276F53"/>
    <w:rsid w:val="00276F7D"/>
    <w:rsid w:val="00276F9D"/>
    <w:rsid w:val="0027727E"/>
    <w:rsid w:val="0027735A"/>
    <w:rsid w:val="0027739E"/>
    <w:rsid w:val="00277468"/>
    <w:rsid w:val="0027760E"/>
    <w:rsid w:val="00277661"/>
    <w:rsid w:val="0027789F"/>
    <w:rsid w:val="00277A75"/>
    <w:rsid w:val="00277BA3"/>
    <w:rsid w:val="00277BEA"/>
    <w:rsid w:val="00277CDC"/>
    <w:rsid w:val="00277D75"/>
    <w:rsid w:val="00277D7F"/>
    <w:rsid w:val="00277D94"/>
    <w:rsid w:val="00277DC1"/>
    <w:rsid w:val="00277E5D"/>
    <w:rsid w:val="00277F65"/>
    <w:rsid w:val="002800DD"/>
    <w:rsid w:val="00280157"/>
    <w:rsid w:val="002801FD"/>
    <w:rsid w:val="002802A5"/>
    <w:rsid w:val="002803E2"/>
    <w:rsid w:val="002803F2"/>
    <w:rsid w:val="00280414"/>
    <w:rsid w:val="0028055B"/>
    <w:rsid w:val="002805AA"/>
    <w:rsid w:val="0028067A"/>
    <w:rsid w:val="0028090D"/>
    <w:rsid w:val="00280962"/>
    <w:rsid w:val="00280971"/>
    <w:rsid w:val="00280A3B"/>
    <w:rsid w:val="00280A6D"/>
    <w:rsid w:val="00280AC0"/>
    <w:rsid w:val="00280AD6"/>
    <w:rsid w:val="00280B86"/>
    <w:rsid w:val="00280CED"/>
    <w:rsid w:val="00280D07"/>
    <w:rsid w:val="00280D61"/>
    <w:rsid w:val="00280DEC"/>
    <w:rsid w:val="00280EDF"/>
    <w:rsid w:val="0028117C"/>
    <w:rsid w:val="002812E3"/>
    <w:rsid w:val="002812E5"/>
    <w:rsid w:val="00281329"/>
    <w:rsid w:val="00281351"/>
    <w:rsid w:val="0028138E"/>
    <w:rsid w:val="00281394"/>
    <w:rsid w:val="00281416"/>
    <w:rsid w:val="002814FC"/>
    <w:rsid w:val="00281516"/>
    <w:rsid w:val="00281567"/>
    <w:rsid w:val="00281588"/>
    <w:rsid w:val="00281602"/>
    <w:rsid w:val="00281653"/>
    <w:rsid w:val="00281766"/>
    <w:rsid w:val="0028176B"/>
    <w:rsid w:val="0028199F"/>
    <w:rsid w:val="002819E2"/>
    <w:rsid w:val="00281C7B"/>
    <w:rsid w:val="00281D5A"/>
    <w:rsid w:val="00281E57"/>
    <w:rsid w:val="00281EB7"/>
    <w:rsid w:val="00281EB9"/>
    <w:rsid w:val="00281F6F"/>
    <w:rsid w:val="0028201C"/>
    <w:rsid w:val="002820C8"/>
    <w:rsid w:val="002820EE"/>
    <w:rsid w:val="002821AC"/>
    <w:rsid w:val="002821B5"/>
    <w:rsid w:val="0028224D"/>
    <w:rsid w:val="002823ED"/>
    <w:rsid w:val="00282542"/>
    <w:rsid w:val="0028259D"/>
    <w:rsid w:val="00282648"/>
    <w:rsid w:val="00282691"/>
    <w:rsid w:val="002826A8"/>
    <w:rsid w:val="002826F5"/>
    <w:rsid w:val="00282711"/>
    <w:rsid w:val="002827DA"/>
    <w:rsid w:val="0028280E"/>
    <w:rsid w:val="002829CA"/>
    <w:rsid w:val="00282BB9"/>
    <w:rsid w:val="00282C18"/>
    <w:rsid w:val="00282C91"/>
    <w:rsid w:val="00282CD4"/>
    <w:rsid w:val="00282D04"/>
    <w:rsid w:val="00282DA5"/>
    <w:rsid w:val="00282DC1"/>
    <w:rsid w:val="00282DF4"/>
    <w:rsid w:val="00282F77"/>
    <w:rsid w:val="00282FF6"/>
    <w:rsid w:val="0028309C"/>
    <w:rsid w:val="00283187"/>
    <w:rsid w:val="00283274"/>
    <w:rsid w:val="002832DE"/>
    <w:rsid w:val="00283511"/>
    <w:rsid w:val="0028354D"/>
    <w:rsid w:val="00283579"/>
    <w:rsid w:val="002835C1"/>
    <w:rsid w:val="002835E6"/>
    <w:rsid w:val="002838A1"/>
    <w:rsid w:val="002838CA"/>
    <w:rsid w:val="00283A05"/>
    <w:rsid w:val="00283A13"/>
    <w:rsid w:val="00283A5F"/>
    <w:rsid w:val="00283B6A"/>
    <w:rsid w:val="00283CCE"/>
    <w:rsid w:val="00283CE2"/>
    <w:rsid w:val="00283D33"/>
    <w:rsid w:val="00283D7A"/>
    <w:rsid w:val="00283EC8"/>
    <w:rsid w:val="00283F25"/>
    <w:rsid w:val="00283F2B"/>
    <w:rsid w:val="00284070"/>
    <w:rsid w:val="002840E5"/>
    <w:rsid w:val="00284139"/>
    <w:rsid w:val="002841C3"/>
    <w:rsid w:val="00284282"/>
    <w:rsid w:val="0028444D"/>
    <w:rsid w:val="00284451"/>
    <w:rsid w:val="0028473D"/>
    <w:rsid w:val="00284865"/>
    <w:rsid w:val="002848FE"/>
    <w:rsid w:val="00284B3D"/>
    <w:rsid w:val="00284CDF"/>
    <w:rsid w:val="00284F34"/>
    <w:rsid w:val="00285186"/>
    <w:rsid w:val="00285190"/>
    <w:rsid w:val="00285326"/>
    <w:rsid w:val="0028538E"/>
    <w:rsid w:val="00285498"/>
    <w:rsid w:val="002855D3"/>
    <w:rsid w:val="00285840"/>
    <w:rsid w:val="00285873"/>
    <w:rsid w:val="0028589E"/>
    <w:rsid w:val="00285957"/>
    <w:rsid w:val="00285CA9"/>
    <w:rsid w:val="00285D67"/>
    <w:rsid w:val="00285DB2"/>
    <w:rsid w:val="00285F7D"/>
    <w:rsid w:val="00285FA3"/>
    <w:rsid w:val="0028601C"/>
    <w:rsid w:val="0028618D"/>
    <w:rsid w:val="00286193"/>
    <w:rsid w:val="0028620B"/>
    <w:rsid w:val="00286275"/>
    <w:rsid w:val="002862EA"/>
    <w:rsid w:val="002863C7"/>
    <w:rsid w:val="002863F7"/>
    <w:rsid w:val="00286499"/>
    <w:rsid w:val="002864F6"/>
    <w:rsid w:val="00286708"/>
    <w:rsid w:val="00286767"/>
    <w:rsid w:val="0028680F"/>
    <w:rsid w:val="0028691C"/>
    <w:rsid w:val="00286B28"/>
    <w:rsid w:val="00286BF1"/>
    <w:rsid w:val="00286D34"/>
    <w:rsid w:val="00286F4F"/>
    <w:rsid w:val="00286FCD"/>
    <w:rsid w:val="00286FED"/>
    <w:rsid w:val="00286FF6"/>
    <w:rsid w:val="002870D8"/>
    <w:rsid w:val="002871DD"/>
    <w:rsid w:val="002871E5"/>
    <w:rsid w:val="00287252"/>
    <w:rsid w:val="00287298"/>
    <w:rsid w:val="00287341"/>
    <w:rsid w:val="002874C3"/>
    <w:rsid w:val="00287568"/>
    <w:rsid w:val="00287577"/>
    <w:rsid w:val="002876F2"/>
    <w:rsid w:val="002877AC"/>
    <w:rsid w:val="00287B30"/>
    <w:rsid w:val="00287B86"/>
    <w:rsid w:val="00287C06"/>
    <w:rsid w:val="00287C7D"/>
    <w:rsid w:val="00287D32"/>
    <w:rsid w:val="00287EA8"/>
    <w:rsid w:val="00287ECB"/>
    <w:rsid w:val="00287EEF"/>
    <w:rsid w:val="0029009D"/>
    <w:rsid w:val="002902D0"/>
    <w:rsid w:val="00290433"/>
    <w:rsid w:val="0029060E"/>
    <w:rsid w:val="00290627"/>
    <w:rsid w:val="0029070F"/>
    <w:rsid w:val="002907A6"/>
    <w:rsid w:val="00290859"/>
    <w:rsid w:val="002908F1"/>
    <w:rsid w:val="002909AE"/>
    <w:rsid w:val="00290A52"/>
    <w:rsid w:val="00290A6F"/>
    <w:rsid w:val="00290C29"/>
    <w:rsid w:val="00290C7F"/>
    <w:rsid w:val="00290D82"/>
    <w:rsid w:val="00291030"/>
    <w:rsid w:val="0029117C"/>
    <w:rsid w:val="00291212"/>
    <w:rsid w:val="002912B3"/>
    <w:rsid w:val="0029132E"/>
    <w:rsid w:val="0029132F"/>
    <w:rsid w:val="002913BB"/>
    <w:rsid w:val="00291400"/>
    <w:rsid w:val="0029150F"/>
    <w:rsid w:val="0029159A"/>
    <w:rsid w:val="0029177E"/>
    <w:rsid w:val="002917D9"/>
    <w:rsid w:val="002917DD"/>
    <w:rsid w:val="00291814"/>
    <w:rsid w:val="00291A3E"/>
    <w:rsid w:val="00291D8C"/>
    <w:rsid w:val="00291F8D"/>
    <w:rsid w:val="002920DC"/>
    <w:rsid w:val="0029211F"/>
    <w:rsid w:val="00292187"/>
    <w:rsid w:val="002921A9"/>
    <w:rsid w:val="0029221C"/>
    <w:rsid w:val="002922AC"/>
    <w:rsid w:val="002922D1"/>
    <w:rsid w:val="002922FA"/>
    <w:rsid w:val="00292368"/>
    <w:rsid w:val="00292409"/>
    <w:rsid w:val="00292501"/>
    <w:rsid w:val="0029255E"/>
    <w:rsid w:val="0029264F"/>
    <w:rsid w:val="00292679"/>
    <w:rsid w:val="0029275C"/>
    <w:rsid w:val="002927D2"/>
    <w:rsid w:val="002929B2"/>
    <w:rsid w:val="00292A80"/>
    <w:rsid w:val="00292AE8"/>
    <w:rsid w:val="00292B10"/>
    <w:rsid w:val="00292B30"/>
    <w:rsid w:val="00292CAE"/>
    <w:rsid w:val="00292D96"/>
    <w:rsid w:val="00292DD9"/>
    <w:rsid w:val="00292E07"/>
    <w:rsid w:val="00292E1B"/>
    <w:rsid w:val="00292EC6"/>
    <w:rsid w:val="00292FC8"/>
    <w:rsid w:val="00292FF6"/>
    <w:rsid w:val="0029300D"/>
    <w:rsid w:val="00293015"/>
    <w:rsid w:val="002930BB"/>
    <w:rsid w:val="0029313E"/>
    <w:rsid w:val="00293342"/>
    <w:rsid w:val="00293426"/>
    <w:rsid w:val="0029358E"/>
    <w:rsid w:val="002935D6"/>
    <w:rsid w:val="002936C9"/>
    <w:rsid w:val="002936EF"/>
    <w:rsid w:val="00293719"/>
    <w:rsid w:val="0029373D"/>
    <w:rsid w:val="00293773"/>
    <w:rsid w:val="002938B1"/>
    <w:rsid w:val="00293917"/>
    <w:rsid w:val="002939F7"/>
    <w:rsid w:val="00293AD8"/>
    <w:rsid w:val="00293CCE"/>
    <w:rsid w:val="00293E50"/>
    <w:rsid w:val="00293EF4"/>
    <w:rsid w:val="00293F63"/>
    <w:rsid w:val="0029428D"/>
    <w:rsid w:val="002943DB"/>
    <w:rsid w:val="0029445A"/>
    <w:rsid w:val="002944D9"/>
    <w:rsid w:val="002945F5"/>
    <w:rsid w:val="002946BB"/>
    <w:rsid w:val="002949C2"/>
    <w:rsid w:val="00294BEE"/>
    <w:rsid w:val="00294D17"/>
    <w:rsid w:val="00294D2A"/>
    <w:rsid w:val="00294DD6"/>
    <w:rsid w:val="00294DE3"/>
    <w:rsid w:val="00294E04"/>
    <w:rsid w:val="00294E1E"/>
    <w:rsid w:val="00294E36"/>
    <w:rsid w:val="00294ED3"/>
    <w:rsid w:val="0029537A"/>
    <w:rsid w:val="0029545B"/>
    <w:rsid w:val="00295553"/>
    <w:rsid w:val="00295661"/>
    <w:rsid w:val="00295666"/>
    <w:rsid w:val="002956E5"/>
    <w:rsid w:val="002956F0"/>
    <w:rsid w:val="00295708"/>
    <w:rsid w:val="00295757"/>
    <w:rsid w:val="00295926"/>
    <w:rsid w:val="00295A60"/>
    <w:rsid w:val="00295AFD"/>
    <w:rsid w:val="00295B0B"/>
    <w:rsid w:val="00295B43"/>
    <w:rsid w:val="00295F08"/>
    <w:rsid w:val="00295F21"/>
    <w:rsid w:val="00295F4E"/>
    <w:rsid w:val="00296036"/>
    <w:rsid w:val="002961C4"/>
    <w:rsid w:val="0029632D"/>
    <w:rsid w:val="002964DD"/>
    <w:rsid w:val="0029650D"/>
    <w:rsid w:val="0029655E"/>
    <w:rsid w:val="002965F8"/>
    <w:rsid w:val="002965FF"/>
    <w:rsid w:val="0029678B"/>
    <w:rsid w:val="002967CB"/>
    <w:rsid w:val="0029681A"/>
    <w:rsid w:val="00296864"/>
    <w:rsid w:val="0029688A"/>
    <w:rsid w:val="00296901"/>
    <w:rsid w:val="0029697E"/>
    <w:rsid w:val="002969F9"/>
    <w:rsid w:val="002969FD"/>
    <w:rsid w:val="00296A1C"/>
    <w:rsid w:val="00296AAC"/>
    <w:rsid w:val="00296E94"/>
    <w:rsid w:val="00297017"/>
    <w:rsid w:val="0029702B"/>
    <w:rsid w:val="002971C1"/>
    <w:rsid w:val="002972E5"/>
    <w:rsid w:val="002972F7"/>
    <w:rsid w:val="00297399"/>
    <w:rsid w:val="0029744C"/>
    <w:rsid w:val="002975B2"/>
    <w:rsid w:val="00297728"/>
    <w:rsid w:val="00297801"/>
    <w:rsid w:val="002979EA"/>
    <w:rsid w:val="00297AB0"/>
    <w:rsid w:val="00297B1C"/>
    <w:rsid w:val="00297BB7"/>
    <w:rsid w:val="00297C72"/>
    <w:rsid w:val="00297D94"/>
    <w:rsid w:val="00297F0C"/>
    <w:rsid w:val="00297F15"/>
    <w:rsid w:val="00297FA2"/>
    <w:rsid w:val="002A00CE"/>
    <w:rsid w:val="002A01FB"/>
    <w:rsid w:val="002A02EB"/>
    <w:rsid w:val="002A03C8"/>
    <w:rsid w:val="002A0517"/>
    <w:rsid w:val="002A0523"/>
    <w:rsid w:val="002A068D"/>
    <w:rsid w:val="002A06A6"/>
    <w:rsid w:val="002A06AC"/>
    <w:rsid w:val="002A0744"/>
    <w:rsid w:val="002A07E4"/>
    <w:rsid w:val="002A0C85"/>
    <w:rsid w:val="002A0CB8"/>
    <w:rsid w:val="002A0CFB"/>
    <w:rsid w:val="002A0EB7"/>
    <w:rsid w:val="002A1150"/>
    <w:rsid w:val="002A1299"/>
    <w:rsid w:val="002A12CA"/>
    <w:rsid w:val="002A13FD"/>
    <w:rsid w:val="002A158A"/>
    <w:rsid w:val="002A1600"/>
    <w:rsid w:val="002A16C7"/>
    <w:rsid w:val="002A17D1"/>
    <w:rsid w:val="002A1940"/>
    <w:rsid w:val="002A1A09"/>
    <w:rsid w:val="002A1ABD"/>
    <w:rsid w:val="002A1B90"/>
    <w:rsid w:val="002A1BD3"/>
    <w:rsid w:val="002A1C34"/>
    <w:rsid w:val="002A1C6E"/>
    <w:rsid w:val="002A1D09"/>
    <w:rsid w:val="002A1F24"/>
    <w:rsid w:val="002A1F97"/>
    <w:rsid w:val="002A2062"/>
    <w:rsid w:val="002A211D"/>
    <w:rsid w:val="002A21D9"/>
    <w:rsid w:val="002A21FB"/>
    <w:rsid w:val="002A2224"/>
    <w:rsid w:val="002A229F"/>
    <w:rsid w:val="002A2308"/>
    <w:rsid w:val="002A232B"/>
    <w:rsid w:val="002A23E4"/>
    <w:rsid w:val="002A25C3"/>
    <w:rsid w:val="002A261C"/>
    <w:rsid w:val="002A268C"/>
    <w:rsid w:val="002A273D"/>
    <w:rsid w:val="002A27CB"/>
    <w:rsid w:val="002A299A"/>
    <w:rsid w:val="002A29DB"/>
    <w:rsid w:val="002A2AA5"/>
    <w:rsid w:val="002A2AEA"/>
    <w:rsid w:val="002A2BDB"/>
    <w:rsid w:val="002A2C84"/>
    <w:rsid w:val="002A2CCE"/>
    <w:rsid w:val="002A2D4E"/>
    <w:rsid w:val="002A2DA3"/>
    <w:rsid w:val="002A2DA7"/>
    <w:rsid w:val="002A2E63"/>
    <w:rsid w:val="002A2FDC"/>
    <w:rsid w:val="002A30D9"/>
    <w:rsid w:val="002A3263"/>
    <w:rsid w:val="002A3298"/>
    <w:rsid w:val="002A32BA"/>
    <w:rsid w:val="002A32E7"/>
    <w:rsid w:val="002A340C"/>
    <w:rsid w:val="002A3494"/>
    <w:rsid w:val="002A3732"/>
    <w:rsid w:val="002A37C0"/>
    <w:rsid w:val="002A38B4"/>
    <w:rsid w:val="002A396B"/>
    <w:rsid w:val="002A39CA"/>
    <w:rsid w:val="002A3B5B"/>
    <w:rsid w:val="002A3B99"/>
    <w:rsid w:val="002A3BA7"/>
    <w:rsid w:val="002A3E5A"/>
    <w:rsid w:val="002A40CF"/>
    <w:rsid w:val="002A412D"/>
    <w:rsid w:val="002A4158"/>
    <w:rsid w:val="002A4177"/>
    <w:rsid w:val="002A41A6"/>
    <w:rsid w:val="002A4298"/>
    <w:rsid w:val="002A451D"/>
    <w:rsid w:val="002A454E"/>
    <w:rsid w:val="002A46A6"/>
    <w:rsid w:val="002A4735"/>
    <w:rsid w:val="002A481F"/>
    <w:rsid w:val="002A4821"/>
    <w:rsid w:val="002A4908"/>
    <w:rsid w:val="002A49AF"/>
    <w:rsid w:val="002A4B70"/>
    <w:rsid w:val="002A4BB8"/>
    <w:rsid w:val="002A4BF4"/>
    <w:rsid w:val="002A4C57"/>
    <w:rsid w:val="002A4D49"/>
    <w:rsid w:val="002A4E0A"/>
    <w:rsid w:val="002A4F1A"/>
    <w:rsid w:val="002A5029"/>
    <w:rsid w:val="002A5063"/>
    <w:rsid w:val="002A5238"/>
    <w:rsid w:val="002A52C3"/>
    <w:rsid w:val="002A5323"/>
    <w:rsid w:val="002A53C2"/>
    <w:rsid w:val="002A549B"/>
    <w:rsid w:val="002A54A5"/>
    <w:rsid w:val="002A5518"/>
    <w:rsid w:val="002A551F"/>
    <w:rsid w:val="002A552A"/>
    <w:rsid w:val="002A56B3"/>
    <w:rsid w:val="002A5707"/>
    <w:rsid w:val="002A57B9"/>
    <w:rsid w:val="002A593C"/>
    <w:rsid w:val="002A5A0A"/>
    <w:rsid w:val="002A5A4F"/>
    <w:rsid w:val="002A5A7A"/>
    <w:rsid w:val="002A5B0C"/>
    <w:rsid w:val="002A5EE4"/>
    <w:rsid w:val="002A5F1E"/>
    <w:rsid w:val="002A606D"/>
    <w:rsid w:val="002A60BF"/>
    <w:rsid w:val="002A6135"/>
    <w:rsid w:val="002A613D"/>
    <w:rsid w:val="002A6147"/>
    <w:rsid w:val="002A61A7"/>
    <w:rsid w:val="002A6246"/>
    <w:rsid w:val="002A62F7"/>
    <w:rsid w:val="002A6524"/>
    <w:rsid w:val="002A6563"/>
    <w:rsid w:val="002A6661"/>
    <w:rsid w:val="002A66C9"/>
    <w:rsid w:val="002A6713"/>
    <w:rsid w:val="002A6814"/>
    <w:rsid w:val="002A68AE"/>
    <w:rsid w:val="002A6912"/>
    <w:rsid w:val="002A6AB6"/>
    <w:rsid w:val="002A6D74"/>
    <w:rsid w:val="002A6F47"/>
    <w:rsid w:val="002A6F6D"/>
    <w:rsid w:val="002A6F71"/>
    <w:rsid w:val="002A6F95"/>
    <w:rsid w:val="002A7144"/>
    <w:rsid w:val="002A7298"/>
    <w:rsid w:val="002A72F4"/>
    <w:rsid w:val="002A73E3"/>
    <w:rsid w:val="002A7461"/>
    <w:rsid w:val="002A7585"/>
    <w:rsid w:val="002A7586"/>
    <w:rsid w:val="002A7602"/>
    <w:rsid w:val="002A77AB"/>
    <w:rsid w:val="002A780B"/>
    <w:rsid w:val="002A78C7"/>
    <w:rsid w:val="002A78FD"/>
    <w:rsid w:val="002A799D"/>
    <w:rsid w:val="002A7B25"/>
    <w:rsid w:val="002A7BA3"/>
    <w:rsid w:val="002A7BAE"/>
    <w:rsid w:val="002A7BBE"/>
    <w:rsid w:val="002A7C40"/>
    <w:rsid w:val="002A7C98"/>
    <w:rsid w:val="002A7CC4"/>
    <w:rsid w:val="002A7E7D"/>
    <w:rsid w:val="002A7E96"/>
    <w:rsid w:val="002B0040"/>
    <w:rsid w:val="002B008D"/>
    <w:rsid w:val="002B025F"/>
    <w:rsid w:val="002B029A"/>
    <w:rsid w:val="002B0418"/>
    <w:rsid w:val="002B044D"/>
    <w:rsid w:val="002B08F3"/>
    <w:rsid w:val="002B0915"/>
    <w:rsid w:val="002B0A09"/>
    <w:rsid w:val="002B0B18"/>
    <w:rsid w:val="002B0C3B"/>
    <w:rsid w:val="002B0C5A"/>
    <w:rsid w:val="002B0D57"/>
    <w:rsid w:val="002B0EBA"/>
    <w:rsid w:val="002B0EF5"/>
    <w:rsid w:val="002B0F95"/>
    <w:rsid w:val="002B101F"/>
    <w:rsid w:val="002B1044"/>
    <w:rsid w:val="002B104F"/>
    <w:rsid w:val="002B10FE"/>
    <w:rsid w:val="002B112D"/>
    <w:rsid w:val="002B1368"/>
    <w:rsid w:val="002B1414"/>
    <w:rsid w:val="002B15BC"/>
    <w:rsid w:val="002B167B"/>
    <w:rsid w:val="002B16C1"/>
    <w:rsid w:val="002B17AB"/>
    <w:rsid w:val="002B17CF"/>
    <w:rsid w:val="002B1843"/>
    <w:rsid w:val="002B189C"/>
    <w:rsid w:val="002B18B8"/>
    <w:rsid w:val="002B1CC7"/>
    <w:rsid w:val="002B1CD5"/>
    <w:rsid w:val="002B1D80"/>
    <w:rsid w:val="002B1DAC"/>
    <w:rsid w:val="002B1DC4"/>
    <w:rsid w:val="002B1E38"/>
    <w:rsid w:val="002B1E5E"/>
    <w:rsid w:val="002B1F3C"/>
    <w:rsid w:val="002B21CE"/>
    <w:rsid w:val="002B22FD"/>
    <w:rsid w:val="002B2479"/>
    <w:rsid w:val="002B24A2"/>
    <w:rsid w:val="002B24E3"/>
    <w:rsid w:val="002B2626"/>
    <w:rsid w:val="002B27B3"/>
    <w:rsid w:val="002B2882"/>
    <w:rsid w:val="002B2907"/>
    <w:rsid w:val="002B2A16"/>
    <w:rsid w:val="002B2A58"/>
    <w:rsid w:val="002B2AE5"/>
    <w:rsid w:val="002B2B42"/>
    <w:rsid w:val="002B2EFB"/>
    <w:rsid w:val="002B2F5C"/>
    <w:rsid w:val="002B3016"/>
    <w:rsid w:val="002B305F"/>
    <w:rsid w:val="002B309A"/>
    <w:rsid w:val="002B3135"/>
    <w:rsid w:val="002B3334"/>
    <w:rsid w:val="002B33D1"/>
    <w:rsid w:val="002B344A"/>
    <w:rsid w:val="002B35EC"/>
    <w:rsid w:val="002B35F0"/>
    <w:rsid w:val="002B36D5"/>
    <w:rsid w:val="002B36FC"/>
    <w:rsid w:val="002B381F"/>
    <w:rsid w:val="002B3834"/>
    <w:rsid w:val="002B3A20"/>
    <w:rsid w:val="002B3C1C"/>
    <w:rsid w:val="002B3C51"/>
    <w:rsid w:val="002B3DC3"/>
    <w:rsid w:val="002B3DF6"/>
    <w:rsid w:val="002B3E9D"/>
    <w:rsid w:val="002B3EA5"/>
    <w:rsid w:val="002B3EB2"/>
    <w:rsid w:val="002B3F78"/>
    <w:rsid w:val="002B3FBA"/>
    <w:rsid w:val="002B4062"/>
    <w:rsid w:val="002B4066"/>
    <w:rsid w:val="002B41D3"/>
    <w:rsid w:val="002B41E5"/>
    <w:rsid w:val="002B4341"/>
    <w:rsid w:val="002B43B2"/>
    <w:rsid w:val="002B4407"/>
    <w:rsid w:val="002B441E"/>
    <w:rsid w:val="002B441F"/>
    <w:rsid w:val="002B4441"/>
    <w:rsid w:val="002B451D"/>
    <w:rsid w:val="002B462B"/>
    <w:rsid w:val="002B4648"/>
    <w:rsid w:val="002B4674"/>
    <w:rsid w:val="002B476A"/>
    <w:rsid w:val="002B48C8"/>
    <w:rsid w:val="002B496C"/>
    <w:rsid w:val="002B4B37"/>
    <w:rsid w:val="002B4B61"/>
    <w:rsid w:val="002B4D06"/>
    <w:rsid w:val="002B4D80"/>
    <w:rsid w:val="002B4F8E"/>
    <w:rsid w:val="002B50D9"/>
    <w:rsid w:val="002B50FE"/>
    <w:rsid w:val="002B5174"/>
    <w:rsid w:val="002B51BC"/>
    <w:rsid w:val="002B51F3"/>
    <w:rsid w:val="002B521A"/>
    <w:rsid w:val="002B5290"/>
    <w:rsid w:val="002B537D"/>
    <w:rsid w:val="002B53C2"/>
    <w:rsid w:val="002B5410"/>
    <w:rsid w:val="002B54DF"/>
    <w:rsid w:val="002B554B"/>
    <w:rsid w:val="002B55ED"/>
    <w:rsid w:val="002B5737"/>
    <w:rsid w:val="002B587B"/>
    <w:rsid w:val="002B590C"/>
    <w:rsid w:val="002B5AF6"/>
    <w:rsid w:val="002B5B85"/>
    <w:rsid w:val="002B5C18"/>
    <w:rsid w:val="002B5CD4"/>
    <w:rsid w:val="002B5E09"/>
    <w:rsid w:val="002B5E3E"/>
    <w:rsid w:val="002B5EFE"/>
    <w:rsid w:val="002B5F09"/>
    <w:rsid w:val="002B5F4B"/>
    <w:rsid w:val="002B6007"/>
    <w:rsid w:val="002B6178"/>
    <w:rsid w:val="002B622A"/>
    <w:rsid w:val="002B62F8"/>
    <w:rsid w:val="002B6331"/>
    <w:rsid w:val="002B6363"/>
    <w:rsid w:val="002B6382"/>
    <w:rsid w:val="002B6495"/>
    <w:rsid w:val="002B67BF"/>
    <w:rsid w:val="002B67C6"/>
    <w:rsid w:val="002B67DF"/>
    <w:rsid w:val="002B69E2"/>
    <w:rsid w:val="002B6A34"/>
    <w:rsid w:val="002B6AB0"/>
    <w:rsid w:val="002B6AE6"/>
    <w:rsid w:val="002B6C7C"/>
    <w:rsid w:val="002B6ECE"/>
    <w:rsid w:val="002B6EE2"/>
    <w:rsid w:val="002B6FA9"/>
    <w:rsid w:val="002B712D"/>
    <w:rsid w:val="002B7195"/>
    <w:rsid w:val="002B7247"/>
    <w:rsid w:val="002B734B"/>
    <w:rsid w:val="002B7358"/>
    <w:rsid w:val="002B76E6"/>
    <w:rsid w:val="002B7745"/>
    <w:rsid w:val="002B7792"/>
    <w:rsid w:val="002B795F"/>
    <w:rsid w:val="002B79AB"/>
    <w:rsid w:val="002B79B8"/>
    <w:rsid w:val="002B7A43"/>
    <w:rsid w:val="002B7ADA"/>
    <w:rsid w:val="002B7CA8"/>
    <w:rsid w:val="002B7D0A"/>
    <w:rsid w:val="002B7D13"/>
    <w:rsid w:val="002B7D14"/>
    <w:rsid w:val="002B7EEE"/>
    <w:rsid w:val="002B7F7D"/>
    <w:rsid w:val="002C0001"/>
    <w:rsid w:val="002C0057"/>
    <w:rsid w:val="002C0154"/>
    <w:rsid w:val="002C01B6"/>
    <w:rsid w:val="002C022E"/>
    <w:rsid w:val="002C02AE"/>
    <w:rsid w:val="002C02BD"/>
    <w:rsid w:val="002C0664"/>
    <w:rsid w:val="002C06A4"/>
    <w:rsid w:val="002C0872"/>
    <w:rsid w:val="002C088B"/>
    <w:rsid w:val="002C0903"/>
    <w:rsid w:val="002C0993"/>
    <w:rsid w:val="002C0A1C"/>
    <w:rsid w:val="002C0A1D"/>
    <w:rsid w:val="002C0AE8"/>
    <w:rsid w:val="002C0AFB"/>
    <w:rsid w:val="002C0B07"/>
    <w:rsid w:val="002C0C7B"/>
    <w:rsid w:val="002C0D18"/>
    <w:rsid w:val="002C0D7E"/>
    <w:rsid w:val="002C1163"/>
    <w:rsid w:val="002C1174"/>
    <w:rsid w:val="002C117F"/>
    <w:rsid w:val="002C120F"/>
    <w:rsid w:val="002C12EF"/>
    <w:rsid w:val="002C16AC"/>
    <w:rsid w:val="002C1753"/>
    <w:rsid w:val="002C1792"/>
    <w:rsid w:val="002C184E"/>
    <w:rsid w:val="002C19F3"/>
    <w:rsid w:val="002C1A75"/>
    <w:rsid w:val="002C1A80"/>
    <w:rsid w:val="002C1D10"/>
    <w:rsid w:val="002C1E48"/>
    <w:rsid w:val="002C1EB3"/>
    <w:rsid w:val="002C1FCD"/>
    <w:rsid w:val="002C2100"/>
    <w:rsid w:val="002C2226"/>
    <w:rsid w:val="002C2269"/>
    <w:rsid w:val="002C22CC"/>
    <w:rsid w:val="002C2364"/>
    <w:rsid w:val="002C2367"/>
    <w:rsid w:val="002C23EA"/>
    <w:rsid w:val="002C24AB"/>
    <w:rsid w:val="002C2518"/>
    <w:rsid w:val="002C2539"/>
    <w:rsid w:val="002C2727"/>
    <w:rsid w:val="002C27DA"/>
    <w:rsid w:val="002C283E"/>
    <w:rsid w:val="002C29BD"/>
    <w:rsid w:val="002C2B6C"/>
    <w:rsid w:val="002C2C8D"/>
    <w:rsid w:val="002C2CCB"/>
    <w:rsid w:val="002C2DA1"/>
    <w:rsid w:val="002C2DBE"/>
    <w:rsid w:val="002C2FB5"/>
    <w:rsid w:val="002C3048"/>
    <w:rsid w:val="002C30B2"/>
    <w:rsid w:val="002C3183"/>
    <w:rsid w:val="002C31C7"/>
    <w:rsid w:val="002C3214"/>
    <w:rsid w:val="002C34D7"/>
    <w:rsid w:val="002C351A"/>
    <w:rsid w:val="002C3534"/>
    <w:rsid w:val="002C3593"/>
    <w:rsid w:val="002C3646"/>
    <w:rsid w:val="002C3648"/>
    <w:rsid w:val="002C36DB"/>
    <w:rsid w:val="002C3723"/>
    <w:rsid w:val="002C372A"/>
    <w:rsid w:val="002C376A"/>
    <w:rsid w:val="002C37AC"/>
    <w:rsid w:val="002C38B9"/>
    <w:rsid w:val="002C39A5"/>
    <w:rsid w:val="002C3B4B"/>
    <w:rsid w:val="002C3B8D"/>
    <w:rsid w:val="002C3BFC"/>
    <w:rsid w:val="002C3E7D"/>
    <w:rsid w:val="002C3F1E"/>
    <w:rsid w:val="002C3F3A"/>
    <w:rsid w:val="002C3FAB"/>
    <w:rsid w:val="002C3FB5"/>
    <w:rsid w:val="002C4099"/>
    <w:rsid w:val="002C4107"/>
    <w:rsid w:val="002C4135"/>
    <w:rsid w:val="002C4173"/>
    <w:rsid w:val="002C421B"/>
    <w:rsid w:val="002C4369"/>
    <w:rsid w:val="002C43D9"/>
    <w:rsid w:val="002C43E5"/>
    <w:rsid w:val="002C4415"/>
    <w:rsid w:val="002C4684"/>
    <w:rsid w:val="002C4698"/>
    <w:rsid w:val="002C4712"/>
    <w:rsid w:val="002C47C4"/>
    <w:rsid w:val="002C487C"/>
    <w:rsid w:val="002C49ED"/>
    <w:rsid w:val="002C4DFF"/>
    <w:rsid w:val="002C4E0E"/>
    <w:rsid w:val="002C4E7A"/>
    <w:rsid w:val="002C4F99"/>
    <w:rsid w:val="002C5060"/>
    <w:rsid w:val="002C51BB"/>
    <w:rsid w:val="002C5550"/>
    <w:rsid w:val="002C566B"/>
    <w:rsid w:val="002C576A"/>
    <w:rsid w:val="002C57D3"/>
    <w:rsid w:val="002C591B"/>
    <w:rsid w:val="002C5A02"/>
    <w:rsid w:val="002C5A0A"/>
    <w:rsid w:val="002C5A78"/>
    <w:rsid w:val="002C5AF9"/>
    <w:rsid w:val="002C5D29"/>
    <w:rsid w:val="002C5E22"/>
    <w:rsid w:val="002C5E2E"/>
    <w:rsid w:val="002C5FBC"/>
    <w:rsid w:val="002C6050"/>
    <w:rsid w:val="002C60A1"/>
    <w:rsid w:val="002C60D3"/>
    <w:rsid w:val="002C61A4"/>
    <w:rsid w:val="002C62DC"/>
    <w:rsid w:val="002C62E4"/>
    <w:rsid w:val="002C639A"/>
    <w:rsid w:val="002C647D"/>
    <w:rsid w:val="002C650D"/>
    <w:rsid w:val="002C65D1"/>
    <w:rsid w:val="002C65E6"/>
    <w:rsid w:val="002C682A"/>
    <w:rsid w:val="002C6A08"/>
    <w:rsid w:val="002C6A61"/>
    <w:rsid w:val="002C6B48"/>
    <w:rsid w:val="002C6B9D"/>
    <w:rsid w:val="002C6C1D"/>
    <w:rsid w:val="002C6C62"/>
    <w:rsid w:val="002C6D01"/>
    <w:rsid w:val="002C6F78"/>
    <w:rsid w:val="002C6FF0"/>
    <w:rsid w:val="002C70E0"/>
    <w:rsid w:val="002C7154"/>
    <w:rsid w:val="002C7184"/>
    <w:rsid w:val="002C741E"/>
    <w:rsid w:val="002C7477"/>
    <w:rsid w:val="002C7494"/>
    <w:rsid w:val="002C74B4"/>
    <w:rsid w:val="002C74CC"/>
    <w:rsid w:val="002C7649"/>
    <w:rsid w:val="002C78A1"/>
    <w:rsid w:val="002C79A9"/>
    <w:rsid w:val="002C79D9"/>
    <w:rsid w:val="002C79FC"/>
    <w:rsid w:val="002C7A25"/>
    <w:rsid w:val="002C7AEA"/>
    <w:rsid w:val="002C7C20"/>
    <w:rsid w:val="002C7C64"/>
    <w:rsid w:val="002C7DB0"/>
    <w:rsid w:val="002C7E6B"/>
    <w:rsid w:val="002C7EE4"/>
    <w:rsid w:val="002D0060"/>
    <w:rsid w:val="002D00E6"/>
    <w:rsid w:val="002D0206"/>
    <w:rsid w:val="002D0260"/>
    <w:rsid w:val="002D0282"/>
    <w:rsid w:val="002D035E"/>
    <w:rsid w:val="002D04DF"/>
    <w:rsid w:val="002D0544"/>
    <w:rsid w:val="002D059E"/>
    <w:rsid w:val="002D059F"/>
    <w:rsid w:val="002D05FB"/>
    <w:rsid w:val="002D0650"/>
    <w:rsid w:val="002D0753"/>
    <w:rsid w:val="002D0770"/>
    <w:rsid w:val="002D07BF"/>
    <w:rsid w:val="002D0803"/>
    <w:rsid w:val="002D0889"/>
    <w:rsid w:val="002D0A22"/>
    <w:rsid w:val="002D0A32"/>
    <w:rsid w:val="002D0A35"/>
    <w:rsid w:val="002D0A40"/>
    <w:rsid w:val="002D0B21"/>
    <w:rsid w:val="002D0C6C"/>
    <w:rsid w:val="002D0C95"/>
    <w:rsid w:val="002D0CBE"/>
    <w:rsid w:val="002D0CD5"/>
    <w:rsid w:val="002D0CEA"/>
    <w:rsid w:val="002D0D6C"/>
    <w:rsid w:val="002D0E89"/>
    <w:rsid w:val="002D0F13"/>
    <w:rsid w:val="002D10EE"/>
    <w:rsid w:val="002D113B"/>
    <w:rsid w:val="002D11F1"/>
    <w:rsid w:val="002D12B2"/>
    <w:rsid w:val="002D15B6"/>
    <w:rsid w:val="002D168C"/>
    <w:rsid w:val="002D1765"/>
    <w:rsid w:val="002D1924"/>
    <w:rsid w:val="002D1A0E"/>
    <w:rsid w:val="002D1B0B"/>
    <w:rsid w:val="002D1B87"/>
    <w:rsid w:val="002D1C2F"/>
    <w:rsid w:val="002D1CE0"/>
    <w:rsid w:val="002D1CEA"/>
    <w:rsid w:val="002D1D29"/>
    <w:rsid w:val="002D1D73"/>
    <w:rsid w:val="002D1E33"/>
    <w:rsid w:val="002D1E73"/>
    <w:rsid w:val="002D1E7A"/>
    <w:rsid w:val="002D1F17"/>
    <w:rsid w:val="002D1F52"/>
    <w:rsid w:val="002D2180"/>
    <w:rsid w:val="002D226F"/>
    <w:rsid w:val="002D2295"/>
    <w:rsid w:val="002D2349"/>
    <w:rsid w:val="002D23AE"/>
    <w:rsid w:val="002D2411"/>
    <w:rsid w:val="002D241F"/>
    <w:rsid w:val="002D244A"/>
    <w:rsid w:val="002D245A"/>
    <w:rsid w:val="002D24A2"/>
    <w:rsid w:val="002D24D3"/>
    <w:rsid w:val="002D2531"/>
    <w:rsid w:val="002D2747"/>
    <w:rsid w:val="002D2758"/>
    <w:rsid w:val="002D2880"/>
    <w:rsid w:val="002D28E9"/>
    <w:rsid w:val="002D2CB4"/>
    <w:rsid w:val="002D2D7F"/>
    <w:rsid w:val="002D2DF7"/>
    <w:rsid w:val="002D2E4C"/>
    <w:rsid w:val="002D2E5F"/>
    <w:rsid w:val="002D2F26"/>
    <w:rsid w:val="002D2F92"/>
    <w:rsid w:val="002D2FA2"/>
    <w:rsid w:val="002D3067"/>
    <w:rsid w:val="002D3217"/>
    <w:rsid w:val="002D336C"/>
    <w:rsid w:val="002D33FB"/>
    <w:rsid w:val="002D340A"/>
    <w:rsid w:val="002D3448"/>
    <w:rsid w:val="002D3480"/>
    <w:rsid w:val="002D34A7"/>
    <w:rsid w:val="002D34CE"/>
    <w:rsid w:val="002D3536"/>
    <w:rsid w:val="002D39FC"/>
    <w:rsid w:val="002D3B42"/>
    <w:rsid w:val="002D3B59"/>
    <w:rsid w:val="002D3B77"/>
    <w:rsid w:val="002D3B89"/>
    <w:rsid w:val="002D3BC4"/>
    <w:rsid w:val="002D3BDB"/>
    <w:rsid w:val="002D3C51"/>
    <w:rsid w:val="002D3C5A"/>
    <w:rsid w:val="002D3D54"/>
    <w:rsid w:val="002D3E5E"/>
    <w:rsid w:val="002D3E89"/>
    <w:rsid w:val="002D40E3"/>
    <w:rsid w:val="002D40F8"/>
    <w:rsid w:val="002D419B"/>
    <w:rsid w:val="002D41ED"/>
    <w:rsid w:val="002D4213"/>
    <w:rsid w:val="002D4357"/>
    <w:rsid w:val="002D44A9"/>
    <w:rsid w:val="002D4557"/>
    <w:rsid w:val="002D4625"/>
    <w:rsid w:val="002D469B"/>
    <w:rsid w:val="002D46AC"/>
    <w:rsid w:val="002D4731"/>
    <w:rsid w:val="002D47C0"/>
    <w:rsid w:val="002D48A8"/>
    <w:rsid w:val="002D4A16"/>
    <w:rsid w:val="002D4A91"/>
    <w:rsid w:val="002D4B6D"/>
    <w:rsid w:val="002D4BA2"/>
    <w:rsid w:val="002D4BEE"/>
    <w:rsid w:val="002D4C12"/>
    <w:rsid w:val="002D4C42"/>
    <w:rsid w:val="002D4C97"/>
    <w:rsid w:val="002D4CB2"/>
    <w:rsid w:val="002D4D2D"/>
    <w:rsid w:val="002D4D50"/>
    <w:rsid w:val="002D4DA1"/>
    <w:rsid w:val="002D4ED7"/>
    <w:rsid w:val="002D4EE5"/>
    <w:rsid w:val="002D4FE6"/>
    <w:rsid w:val="002D5030"/>
    <w:rsid w:val="002D514B"/>
    <w:rsid w:val="002D52BC"/>
    <w:rsid w:val="002D52E4"/>
    <w:rsid w:val="002D5339"/>
    <w:rsid w:val="002D5348"/>
    <w:rsid w:val="002D53FE"/>
    <w:rsid w:val="002D55E2"/>
    <w:rsid w:val="002D5806"/>
    <w:rsid w:val="002D5A01"/>
    <w:rsid w:val="002D5B38"/>
    <w:rsid w:val="002D5B66"/>
    <w:rsid w:val="002D5C66"/>
    <w:rsid w:val="002D5CA5"/>
    <w:rsid w:val="002D5CD3"/>
    <w:rsid w:val="002D5E45"/>
    <w:rsid w:val="002D5FFA"/>
    <w:rsid w:val="002D6001"/>
    <w:rsid w:val="002D6017"/>
    <w:rsid w:val="002D6147"/>
    <w:rsid w:val="002D6178"/>
    <w:rsid w:val="002D61DB"/>
    <w:rsid w:val="002D623C"/>
    <w:rsid w:val="002D625A"/>
    <w:rsid w:val="002D62AC"/>
    <w:rsid w:val="002D62CE"/>
    <w:rsid w:val="002D6423"/>
    <w:rsid w:val="002D64BD"/>
    <w:rsid w:val="002D668E"/>
    <w:rsid w:val="002D6792"/>
    <w:rsid w:val="002D692F"/>
    <w:rsid w:val="002D696D"/>
    <w:rsid w:val="002D69C3"/>
    <w:rsid w:val="002D69E4"/>
    <w:rsid w:val="002D6B1C"/>
    <w:rsid w:val="002D6B7C"/>
    <w:rsid w:val="002D6D01"/>
    <w:rsid w:val="002D6DAC"/>
    <w:rsid w:val="002D6E23"/>
    <w:rsid w:val="002D6F02"/>
    <w:rsid w:val="002D6FEF"/>
    <w:rsid w:val="002D7275"/>
    <w:rsid w:val="002D72A3"/>
    <w:rsid w:val="002D72F6"/>
    <w:rsid w:val="002D7344"/>
    <w:rsid w:val="002D7407"/>
    <w:rsid w:val="002D7489"/>
    <w:rsid w:val="002D7603"/>
    <w:rsid w:val="002D7627"/>
    <w:rsid w:val="002D76D9"/>
    <w:rsid w:val="002D7788"/>
    <w:rsid w:val="002D7871"/>
    <w:rsid w:val="002D79AC"/>
    <w:rsid w:val="002D7A50"/>
    <w:rsid w:val="002D7A52"/>
    <w:rsid w:val="002D7A5C"/>
    <w:rsid w:val="002D7B47"/>
    <w:rsid w:val="002D7BDE"/>
    <w:rsid w:val="002D7BE4"/>
    <w:rsid w:val="002D7C3E"/>
    <w:rsid w:val="002D7C44"/>
    <w:rsid w:val="002D7C6E"/>
    <w:rsid w:val="002D7C88"/>
    <w:rsid w:val="002D7DC7"/>
    <w:rsid w:val="002D7E6F"/>
    <w:rsid w:val="002D7E85"/>
    <w:rsid w:val="002D7E9A"/>
    <w:rsid w:val="002E009C"/>
    <w:rsid w:val="002E0184"/>
    <w:rsid w:val="002E01F1"/>
    <w:rsid w:val="002E02F9"/>
    <w:rsid w:val="002E037C"/>
    <w:rsid w:val="002E040B"/>
    <w:rsid w:val="002E0443"/>
    <w:rsid w:val="002E04AF"/>
    <w:rsid w:val="002E052E"/>
    <w:rsid w:val="002E0547"/>
    <w:rsid w:val="002E0595"/>
    <w:rsid w:val="002E0737"/>
    <w:rsid w:val="002E0832"/>
    <w:rsid w:val="002E0991"/>
    <w:rsid w:val="002E0A13"/>
    <w:rsid w:val="002E0AF8"/>
    <w:rsid w:val="002E0B65"/>
    <w:rsid w:val="002E0BEF"/>
    <w:rsid w:val="002E0C60"/>
    <w:rsid w:val="002E0C96"/>
    <w:rsid w:val="002E0D06"/>
    <w:rsid w:val="002E0DAB"/>
    <w:rsid w:val="002E0E0E"/>
    <w:rsid w:val="002E0EA2"/>
    <w:rsid w:val="002E0EB0"/>
    <w:rsid w:val="002E0ECA"/>
    <w:rsid w:val="002E102D"/>
    <w:rsid w:val="002E10F6"/>
    <w:rsid w:val="002E1118"/>
    <w:rsid w:val="002E113F"/>
    <w:rsid w:val="002E121C"/>
    <w:rsid w:val="002E1535"/>
    <w:rsid w:val="002E1555"/>
    <w:rsid w:val="002E156E"/>
    <w:rsid w:val="002E15E3"/>
    <w:rsid w:val="002E16DF"/>
    <w:rsid w:val="002E17BD"/>
    <w:rsid w:val="002E197B"/>
    <w:rsid w:val="002E1A15"/>
    <w:rsid w:val="002E1A9A"/>
    <w:rsid w:val="002E1C00"/>
    <w:rsid w:val="002E1C40"/>
    <w:rsid w:val="002E1CB5"/>
    <w:rsid w:val="002E1DC3"/>
    <w:rsid w:val="002E1ECC"/>
    <w:rsid w:val="002E1F4A"/>
    <w:rsid w:val="002E204F"/>
    <w:rsid w:val="002E2157"/>
    <w:rsid w:val="002E220B"/>
    <w:rsid w:val="002E227C"/>
    <w:rsid w:val="002E234E"/>
    <w:rsid w:val="002E24B1"/>
    <w:rsid w:val="002E2583"/>
    <w:rsid w:val="002E25B3"/>
    <w:rsid w:val="002E25FE"/>
    <w:rsid w:val="002E2634"/>
    <w:rsid w:val="002E274A"/>
    <w:rsid w:val="002E27CF"/>
    <w:rsid w:val="002E28EF"/>
    <w:rsid w:val="002E28FC"/>
    <w:rsid w:val="002E2A00"/>
    <w:rsid w:val="002E2A0F"/>
    <w:rsid w:val="002E2AF9"/>
    <w:rsid w:val="002E2BCC"/>
    <w:rsid w:val="002E2C6B"/>
    <w:rsid w:val="002E2D5F"/>
    <w:rsid w:val="002E2DC5"/>
    <w:rsid w:val="002E2FDF"/>
    <w:rsid w:val="002E2FE9"/>
    <w:rsid w:val="002E304E"/>
    <w:rsid w:val="002E30A8"/>
    <w:rsid w:val="002E3109"/>
    <w:rsid w:val="002E335D"/>
    <w:rsid w:val="002E33FB"/>
    <w:rsid w:val="002E3465"/>
    <w:rsid w:val="002E3584"/>
    <w:rsid w:val="002E3635"/>
    <w:rsid w:val="002E3667"/>
    <w:rsid w:val="002E373C"/>
    <w:rsid w:val="002E3A49"/>
    <w:rsid w:val="002E3A4B"/>
    <w:rsid w:val="002E3B8D"/>
    <w:rsid w:val="002E3CFF"/>
    <w:rsid w:val="002E3D40"/>
    <w:rsid w:val="002E3DBB"/>
    <w:rsid w:val="002E3E57"/>
    <w:rsid w:val="002E3E84"/>
    <w:rsid w:val="002E3EB6"/>
    <w:rsid w:val="002E3F39"/>
    <w:rsid w:val="002E4034"/>
    <w:rsid w:val="002E40E1"/>
    <w:rsid w:val="002E40FB"/>
    <w:rsid w:val="002E4113"/>
    <w:rsid w:val="002E41D2"/>
    <w:rsid w:val="002E438C"/>
    <w:rsid w:val="002E43B9"/>
    <w:rsid w:val="002E4599"/>
    <w:rsid w:val="002E460A"/>
    <w:rsid w:val="002E471E"/>
    <w:rsid w:val="002E47C7"/>
    <w:rsid w:val="002E484F"/>
    <w:rsid w:val="002E4874"/>
    <w:rsid w:val="002E49A3"/>
    <w:rsid w:val="002E49CC"/>
    <w:rsid w:val="002E49DF"/>
    <w:rsid w:val="002E4A7C"/>
    <w:rsid w:val="002E4B11"/>
    <w:rsid w:val="002E4BE3"/>
    <w:rsid w:val="002E4C7B"/>
    <w:rsid w:val="002E4EED"/>
    <w:rsid w:val="002E4F07"/>
    <w:rsid w:val="002E4F23"/>
    <w:rsid w:val="002E4F59"/>
    <w:rsid w:val="002E4FDE"/>
    <w:rsid w:val="002E5051"/>
    <w:rsid w:val="002E5072"/>
    <w:rsid w:val="002E507F"/>
    <w:rsid w:val="002E5097"/>
    <w:rsid w:val="002E50E9"/>
    <w:rsid w:val="002E50F4"/>
    <w:rsid w:val="002E51FE"/>
    <w:rsid w:val="002E522D"/>
    <w:rsid w:val="002E52FA"/>
    <w:rsid w:val="002E5393"/>
    <w:rsid w:val="002E53F4"/>
    <w:rsid w:val="002E5526"/>
    <w:rsid w:val="002E55D7"/>
    <w:rsid w:val="002E55F3"/>
    <w:rsid w:val="002E583A"/>
    <w:rsid w:val="002E5868"/>
    <w:rsid w:val="002E591F"/>
    <w:rsid w:val="002E5A66"/>
    <w:rsid w:val="002E5B11"/>
    <w:rsid w:val="002E5B74"/>
    <w:rsid w:val="002E5C23"/>
    <w:rsid w:val="002E5C2E"/>
    <w:rsid w:val="002E5C8A"/>
    <w:rsid w:val="002E5CD0"/>
    <w:rsid w:val="002E5D06"/>
    <w:rsid w:val="002E5D54"/>
    <w:rsid w:val="002E5D56"/>
    <w:rsid w:val="002E5F0F"/>
    <w:rsid w:val="002E5F85"/>
    <w:rsid w:val="002E60C1"/>
    <w:rsid w:val="002E6104"/>
    <w:rsid w:val="002E6155"/>
    <w:rsid w:val="002E61DF"/>
    <w:rsid w:val="002E63EA"/>
    <w:rsid w:val="002E66FC"/>
    <w:rsid w:val="002E670A"/>
    <w:rsid w:val="002E670E"/>
    <w:rsid w:val="002E67E1"/>
    <w:rsid w:val="002E689D"/>
    <w:rsid w:val="002E6A1C"/>
    <w:rsid w:val="002E6A93"/>
    <w:rsid w:val="002E6B64"/>
    <w:rsid w:val="002E6CA4"/>
    <w:rsid w:val="002E6CCF"/>
    <w:rsid w:val="002E6DA1"/>
    <w:rsid w:val="002E6E7F"/>
    <w:rsid w:val="002E6F80"/>
    <w:rsid w:val="002E6FE6"/>
    <w:rsid w:val="002E7028"/>
    <w:rsid w:val="002E704E"/>
    <w:rsid w:val="002E71BD"/>
    <w:rsid w:val="002E7356"/>
    <w:rsid w:val="002E73D0"/>
    <w:rsid w:val="002E752C"/>
    <w:rsid w:val="002E7575"/>
    <w:rsid w:val="002E75C5"/>
    <w:rsid w:val="002E764F"/>
    <w:rsid w:val="002E7691"/>
    <w:rsid w:val="002E79EF"/>
    <w:rsid w:val="002E7A17"/>
    <w:rsid w:val="002E7A6C"/>
    <w:rsid w:val="002E7A85"/>
    <w:rsid w:val="002E7B87"/>
    <w:rsid w:val="002E7BA4"/>
    <w:rsid w:val="002E7C49"/>
    <w:rsid w:val="002E7D2F"/>
    <w:rsid w:val="002E7DE5"/>
    <w:rsid w:val="002E7F21"/>
    <w:rsid w:val="002E7F32"/>
    <w:rsid w:val="002E7F46"/>
    <w:rsid w:val="002F010D"/>
    <w:rsid w:val="002F01F0"/>
    <w:rsid w:val="002F0297"/>
    <w:rsid w:val="002F0309"/>
    <w:rsid w:val="002F030F"/>
    <w:rsid w:val="002F0449"/>
    <w:rsid w:val="002F04A6"/>
    <w:rsid w:val="002F0569"/>
    <w:rsid w:val="002F05DF"/>
    <w:rsid w:val="002F06DF"/>
    <w:rsid w:val="002F0816"/>
    <w:rsid w:val="002F086F"/>
    <w:rsid w:val="002F095D"/>
    <w:rsid w:val="002F0A1F"/>
    <w:rsid w:val="002F0AF9"/>
    <w:rsid w:val="002F0C38"/>
    <w:rsid w:val="002F0D75"/>
    <w:rsid w:val="002F0DA4"/>
    <w:rsid w:val="002F0E0A"/>
    <w:rsid w:val="002F0E3C"/>
    <w:rsid w:val="002F0E55"/>
    <w:rsid w:val="002F0F5A"/>
    <w:rsid w:val="002F0F89"/>
    <w:rsid w:val="002F0F8C"/>
    <w:rsid w:val="002F1218"/>
    <w:rsid w:val="002F1236"/>
    <w:rsid w:val="002F12A4"/>
    <w:rsid w:val="002F149B"/>
    <w:rsid w:val="002F15E2"/>
    <w:rsid w:val="002F175C"/>
    <w:rsid w:val="002F1840"/>
    <w:rsid w:val="002F1841"/>
    <w:rsid w:val="002F1897"/>
    <w:rsid w:val="002F18C1"/>
    <w:rsid w:val="002F18C5"/>
    <w:rsid w:val="002F197B"/>
    <w:rsid w:val="002F1A11"/>
    <w:rsid w:val="002F1A75"/>
    <w:rsid w:val="002F1CE0"/>
    <w:rsid w:val="002F1CE3"/>
    <w:rsid w:val="002F1ED9"/>
    <w:rsid w:val="002F20A4"/>
    <w:rsid w:val="002F20A8"/>
    <w:rsid w:val="002F20D5"/>
    <w:rsid w:val="002F222D"/>
    <w:rsid w:val="002F225F"/>
    <w:rsid w:val="002F2352"/>
    <w:rsid w:val="002F246C"/>
    <w:rsid w:val="002F2486"/>
    <w:rsid w:val="002F24DD"/>
    <w:rsid w:val="002F2785"/>
    <w:rsid w:val="002F2803"/>
    <w:rsid w:val="002F2869"/>
    <w:rsid w:val="002F2AD5"/>
    <w:rsid w:val="002F2BF7"/>
    <w:rsid w:val="002F2F33"/>
    <w:rsid w:val="002F2FA3"/>
    <w:rsid w:val="002F2FAE"/>
    <w:rsid w:val="002F2FB3"/>
    <w:rsid w:val="002F3214"/>
    <w:rsid w:val="002F32BF"/>
    <w:rsid w:val="002F33F5"/>
    <w:rsid w:val="002F342C"/>
    <w:rsid w:val="002F35C5"/>
    <w:rsid w:val="002F386F"/>
    <w:rsid w:val="002F3871"/>
    <w:rsid w:val="002F3897"/>
    <w:rsid w:val="002F38A4"/>
    <w:rsid w:val="002F39D9"/>
    <w:rsid w:val="002F3C49"/>
    <w:rsid w:val="002F3C94"/>
    <w:rsid w:val="002F3F8A"/>
    <w:rsid w:val="002F4045"/>
    <w:rsid w:val="002F4131"/>
    <w:rsid w:val="002F42C2"/>
    <w:rsid w:val="002F4388"/>
    <w:rsid w:val="002F4403"/>
    <w:rsid w:val="002F44A1"/>
    <w:rsid w:val="002F459E"/>
    <w:rsid w:val="002F4740"/>
    <w:rsid w:val="002F4818"/>
    <w:rsid w:val="002F4935"/>
    <w:rsid w:val="002F49F7"/>
    <w:rsid w:val="002F4A60"/>
    <w:rsid w:val="002F4B53"/>
    <w:rsid w:val="002F4C7C"/>
    <w:rsid w:val="002F4DB3"/>
    <w:rsid w:val="002F4DD0"/>
    <w:rsid w:val="002F4E20"/>
    <w:rsid w:val="002F4FFB"/>
    <w:rsid w:val="002F5014"/>
    <w:rsid w:val="002F514E"/>
    <w:rsid w:val="002F517F"/>
    <w:rsid w:val="002F546E"/>
    <w:rsid w:val="002F5477"/>
    <w:rsid w:val="002F5870"/>
    <w:rsid w:val="002F5960"/>
    <w:rsid w:val="002F5AF0"/>
    <w:rsid w:val="002F5B24"/>
    <w:rsid w:val="002F5CFB"/>
    <w:rsid w:val="002F5E29"/>
    <w:rsid w:val="002F603B"/>
    <w:rsid w:val="002F6291"/>
    <w:rsid w:val="002F62CA"/>
    <w:rsid w:val="002F62F8"/>
    <w:rsid w:val="002F6341"/>
    <w:rsid w:val="002F6410"/>
    <w:rsid w:val="002F655A"/>
    <w:rsid w:val="002F656B"/>
    <w:rsid w:val="002F65E9"/>
    <w:rsid w:val="002F6608"/>
    <w:rsid w:val="002F6630"/>
    <w:rsid w:val="002F666E"/>
    <w:rsid w:val="002F6723"/>
    <w:rsid w:val="002F672E"/>
    <w:rsid w:val="002F676C"/>
    <w:rsid w:val="002F68D2"/>
    <w:rsid w:val="002F6B7E"/>
    <w:rsid w:val="002F6BB3"/>
    <w:rsid w:val="002F6C1A"/>
    <w:rsid w:val="002F6CD5"/>
    <w:rsid w:val="002F6D9C"/>
    <w:rsid w:val="002F6DD1"/>
    <w:rsid w:val="002F6DDA"/>
    <w:rsid w:val="002F6E06"/>
    <w:rsid w:val="002F6EB0"/>
    <w:rsid w:val="002F6F3C"/>
    <w:rsid w:val="002F70BE"/>
    <w:rsid w:val="002F70F0"/>
    <w:rsid w:val="002F710B"/>
    <w:rsid w:val="002F7188"/>
    <w:rsid w:val="002F73EC"/>
    <w:rsid w:val="002F7711"/>
    <w:rsid w:val="002F776E"/>
    <w:rsid w:val="002F781E"/>
    <w:rsid w:val="002F79AC"/>
    <w:rsid w:val="002F79CD"/>
    <w:rsid w:val="002F7C4D"/>
    <w:rsid w:val="002F7D53"/>
    <w:rsid w:val="002F7DCC"/>
    <w:rsid w:val="002F7EB4"/>
    <w:rsid w:val="002F7EB7"/>
    <w:rsid w:val="00300129"/>
    <w:rsid w:val="003001A9"/>
    <w:rsid w:val="00300341"/>
    <w:rsid w:val="003004E0"/>
    <w:rsid w:val="003004F4"/>
    <w:rsid w:val="003005F6"/>
    <w:rsid w:val="0030070F"/>
    <w:rsid w:val="0030078E"/>
    <w:rsid w:val="003008E5"/>
    <w:rsid w:val="00300900"/>
    <w:rsid w:val="00300AD5"/>
    <w:rsid w:val="00300B11"/>
    <w:rsid w:val="00300CE1"/>
    <w:rsid w:val="00300D88"/>
    <w:rsid w:val="00300DB9"/>
    <w:rsid w:val="00300F21"/>
    <w:rsid w:val="00300F5D"/>
    <w:rsid w:val="00301031"/>
    <w:rsid w:val="0030112B"/>
    <w:rsid w:val="0030113C"/>
    <w:rsid w:val="00301353"/>
    <w:rsid w:val="0030179B"/>
    <w:rsid w:val="003017DD"/>
    <w:rsid w:val="003017F4"/>
    <w:rsid w:val="003018C3"/>
    <w:rsid w:val="003019BD"/>
    <w:rsid w:val="00301A9A"/>
    <w:rsid w:val="00301BE0"/>
    <w:rsid w:val="00301C32"/>
    <w:rsid w:val="00301C64"/>
    <w:rsid w:val="00301C8C"/>
    <w:rsid w:val="00301CD3"/>
    <w:rsid w:val="00301D66"/>
    <w:rsid w:val="00301F23"/>
    <w:rsid w:val="003021D6"/>
    <w:rsid w:val="00302268"/>
    <w:rsid w:val="00302376"/>
    <w:rsid w:val="003024C2"/>
    <w:rsid w:val="00302584"/>
    <w:rsid w:val="00302677"/>
    <w:rsid w:val="003026A2"/>
    <w:rsid w:val="00302794"/>
    <w:rsid w:val="003027DC"/>
    <w:rsid w:val="00302861"/>
    <w:rsid w:val="003028E0"/>
    <w:rsid w:val="00302C08"/>
    <w:rsid w:val="00302C64"/>
    <w:rsid w:val="00302CA0"/>
    <w:rsid w:val="00302D09"/>
    <w:rsid w:val="00302D68"/>
    <w:rsid w:val="00302DBC"/>
    <w:rsid w:val="00302E8A"/>
    <w:rsid w:val="00302F31"/>
    <w:rsid w:val="00303312"/>
    <w:rsid w:val="0030354C"/>
    <w:rsid w:val="00303650"/>
    <w:rsid w:val="00303668"/>
    <w:rsid w:val="0030370D"/>
    <w:rsid w:val="0030372B"/>
    <w:rsid w:val="003038F4"/>
    <w:rsid w:val="00303911"/>
    <w:rsid w:val="00303977"/>
    <w:rsid w:val="00303992"/>
    <w:rsid w:val="003039FD"/>
    <w:rsid w:val="00303A09"/>
    <w:rsid w:val="00303B50"/>
    <w:rsid w:val="00303BD4"/>
    <w:rsid w:val="00303D9F"/>
    <w:rsid w:val="00303DA8"/>
    <w:rsid w:val="00303E51"/>
    <w:rsid w:val="00303E6E"/>
    <w:rsid w:val="00303EFB"/>
    <w:rsid w:val="00303F95"/>
    <w:rsid w:val="00304130"/>
    <w:rsid w:val="003041A2"/>
    <w:rsid w:val="003041EB"/>
    <w:rsid w:val="00304304"/>
    <w:rsid w:val="00304326"/>
    <w:rsid w:val="003043C6"/>
    <w:rsid w:val="00304456"/>
    <w:rsid w:val="00304531"/>
    <w:rsid w:val="00304604"/>
    <w:rsid w:val="00304735"/>
    <w:rsid w:val="00304832"/>
    <w:rsid w:val="00304A11"/>
    <w:rsid w:val="00304A35"/>
    <w:rsid w:val="00304AB9"/>
    <w:rsid w:val="00304B41"/>
    <w:rsid w:val="00304C43"/>
    <w:rsid w:val="00304C9C"/>
    <w:rsid w:val="00304E28"/>
    <w:rsid w:val="00304E52"/>
    <w:rsid w:val="00305025"/>
    <w:rsid w:val="003050F8"/>
    <w:rsid w:val="003053BE"/>
    <w:rsid w:val="003054A4"/>
    <w:rsid w:val="0030558F"/>
    <w:rsid w:val="0030559A"/>
    <w:rsid w:val="0030576E"/>
    <w:rsid w:val="003058AB"/>
    <w:rsid w:val="00305A51"/>
    <w:rsid w:val="00305ABA"/>
    <w:rsid w:val="00305C87"/>
    <w:rsid w:val="00305ED3"/>
    <w:rsid w:val="00306013"/>
    <w:rsid w:val="00306183"/>
    <w:rsid w:val="00306332"/>
    <w:rsid w:val="00306345"/>
    <w:rsid w:val="003063C5"/>
    <w:rsid w:val="00306635"/>
    <w:rsid w:val="0030669F"/>
    <w:rsid w:val="0030682E"/>
    <w:rsid w:val="00306881"/>
    <w:rsid w:val="00306946"/>
    <w:rsid w:val="00306AA4"/>
    <w:rsid w:val="00306ADF"/>
    <w:rsid w:val="00306C63"/>
    <w:rsid w:val="00306D32"/>
    <w:rsid w:val="00306D73"/>
    <w:rsid w:val="00306E6A"/>
    <w:rsid w:val="00306F46"/>
    <w:rsid w:val="00307153"/>
    <w:rsid w:val="0030716D"/>
    <w:rsid w:val="00307179"/>
    <w:rsid w:val="003071CA"/>
    <w:rsid w:val="003071E7"/>
    <w:rsid w:val="003072E6"/>
    <w:rsid w:val="00307397"/>
    <w:rsid w:val="0030759D"/>
    <w:rsid w:val="00307621"/>
    <w:rsid w:val="00307636"/>
    <w:rsid w:val="003077A8"/>
    <w:rsid w:val="00307960"/>
    <w:rsid w:val="00307AE1"/>
    <w:rsid w:val="00307B3A"/>
    <w:rsid w:val="00307BFF"/>
    <w:rsid w:val="00307C3B"/>
    <w:rsid w:val="00307D42"/>
    <w:rsid w:val="00307D4C"/>
    <w:rsid w:val="00307D6D"/>
    <w:rsid w:val="00307E92"/>
    <w:rsid w:val="00307F11"/>
    <w:rsid w:val="00307F13"/>
    <w:rsid w:val="003100EA"/>
    <w:rsid w:val="0031014F"/>
    <w:rsid w:val="00310199"/>
    <w:rsid w:val="003101E1"/>
    <w:rsid w:val="0031023D"/>
    <w:rsid w:val="00310272"/>
    <w:rsid w:val="00310401"/>
    <w:rsid w:val="003104D2"/>
    <w:rsid w:val="003108B2"/>
    <w:rsid w:val="00310908"/>
    <w:rsid w:val="00310B67"/>
    <w:rsid w:val="00310C6C"/>
    <w:rsid w:val="00310E0A"/>
    <w:rsid w:val="00310E57"/>
    <w:rsid w:val="00310E6A"/>
    <w:rsid w:val="00310F1B"/>
    <w:rsid w:val="003110DB"/>
    <w:rsid w:val="003112A1"/>
    <w:rsid w:val="0031135F"/>
    <w:rsid w:val="003114B5"/>
    <w:rsid w:val="00311570"/>
    <w:rsid w:val="00311624"/>
    <w:rsid w:val="00311681"/>
    <w:rsid w:val="003116EE"/>
    <w:rsid w:val="00311780"/>
    <w:rsid w:val="003117C0"/>
    <w:rsid w:val="00311843"/>
    <w:rsid w:val="003118F9"/>
    <w:rsid w:val="00311D0E"/>
    <w:rsid w:val="00311D62"/>
    <w:rsid w:val="00311DBB"/>
    <w:rsid w:val="00311DF5"/>
    <w:rsid w:val="00311F04"/>
    <w:rsid w:val="00311F28"/>
    <w:rsid w:val="00312219"/>
    <w:rsid w:val="0031221A"/>
    <w:rsid w:val="00312372"/>
    <w:rsid w:val="0031238E"/>
    <w:rsid w:val="003123C6"/>
    <w:rsid w:val="00312665"/>
    <w:rsid w:val="00312682"/>
    <w:rsid w:val="00312783"/>
    <w:rsid w:val="00312861"/>
    <w:rsid w:val="00312879"/>
    <w:rsid w:val="0031295B"/>
    <w:rsid w:val="003129AB"/>
    <w:rsid w:val="003129BC"/>
    <w:rsid w:val="00312AAA"/>
    <w:rsid w:val="00312ADC"/>
    <w:rsid w:val="00312B67"/>
    <w:rsid w:val="00312D00"/>
    <w:rsid w:val="00312E26"/>
    <w:rsid w:val="00312E44"/>
    <w:rsid w:val="00312EFC"/>
    <w:rsid w:val="00312F96"/>
    <w:rsid w:val="00312FDC"/>
    <w:rsid w:val="00313042"/>
    <w:rsid w:val="00313053"/>
    <w:rsid w:val="00313139"/>
    <w:rsid w:val="0031322B"/>
    <w:rsid w:val="0031325F"/>
    <w:rsid w:val="0031326A"/>
    <w:rsid w:val="003132C0"/>
    <w:rsid w:val="00313379"/>
    <w:rsid w:val="003133C5"/>
    <w:rsid w:val="003135D1"/>
    <w:rsid w:val="00313634"/>
    <w:rsid w:val="0031377F"/>
    <w:rsid w:val="003137D1"/>
    <w:rsid w:val="003138F6"/>
    <w:rsid w:val="0031396D"/>
    <w:rsid w:val="00313974"/>
    <w:rsid w:val="003139DD"/>
    <w:rsid w:val="003139EA"/>
    <w:rsid w:val="00313B4C"/>
    <w:rsid w:val="00313CB6"/>
    <w:rsid w:val="00313E61"/>
    <w:rsid w:val="00313EE7"/>
    <w:rsid w:val="00313FFC"/>
    <w:rsid w:val="00314194"/>
    <w:rsid w:val="00314202"/>
    <w:rsid w:val="0031442A"/>
    <w:rsid w:val="0031447A"/>
    <w:rsid w:val="003145D5"/>
    <w:rsid w:val="003147BB"/>
    <w:rsid w:val="0031492B"/>
    <w:rsid w:val="0031495F"/>
    <w:rsid w:val="00314969"/>
    <w:rsid w:val="00314A72"/>
    <w:rsid w:val="00314A76"/>
    <w:rsid w:val="00314D22"/>
    <w:rsid w:val="00314D85"/>
    <w:rsid w:val="00314DEB"/>
    <w:rsid w:val="00314EB8"/>
    <w:rsid w:val="003150B2"/>
    <w:rsid w:val="00315101"/>
    <w:rsid w:val="0031525B"/>
    <w:rsid w:val="00315369"/>
    <w:rsid w:val="00315377"/>
    <w:rsid w:val="003155B3"/>
    <w:rsid w:val="00315791"/>
    <w:rsid w:val="0031580A"/>
    <w:rsid w:val="00315D4E"/>
    <w:rsid w:val="00315EE4"/>
    <w:rsid w:val="00315FD6"/>
    <w:rsid w:val="00316179"/>
    <w:rsid w:val="0031628E"/>
    <w:rsid w:val="00316303"/>
    <w:rsid w:val="00316321"/>
    <w:rsid w:val="00316327"/>
    <w:rsid w:val="003163E8"/>
    <w:rsid w:val="0031650D"/>
    <w:rsid w:val="0031654E"/>
    <w:rsid w:val="0031668F"/>
    <w:rsid w:val="00316719"/>
    <w:rsid w:val="003167C6"/>
    <w:rsid w:val="0031686B"/>
    <w:rsid w:val="00316988"/>
    <w:rsid w:val="00316997"/>
    <w:rsid w:val="003169F6"/>
    <w:rsid w:val="00316C96"/>
    <w:rsid w:val="00316CDE"/>
    <w:rsid w:val="00316D0C"/>
    <w:rsid w:val="00316E67"/>
    <w:rsid w:val="00316EAB"/>
    <w:rsid w:val="00316F15"/>
    <w:rsid w:val="00317018"/>
    <w:rsid w:val="00317188"/>
    <w:rsid w:val="003171BF"/>
    <w:rsid w:val="0031741B"/>
    <w:rsid w:val="00317472"/>
    <w:rsid w:val="00317504"/>
    <w:rsid w:val="00317551"/>
    <w:rsid w:val="00317727"/>
    <w:rsid w:val="00317730"/>
    <w:rsid w:val="0031788B"/>
    <w:rsid w:val="0031788D"/>
    <w:rsid w:val="00317951"/>
    <w:rsid w:val="00317986"/>
    <w:rsid w:val="00317A06"/>
    <w:rsid w:val="00317A1E"/>
    <w:rsid w:val="00317A35"/>
    <w:rsid w:val="00317A5B"/>
    <w:rsid w:val="00317AE0"/>
    <w:rsid w:val="00317BBD"/>
    <w:rsid w:val="00317BD2"/>
    <w:rsid w:val="00317DA0"/>
    <w:rsid w:val="00317DD6"/>
    <w:rsid w:val="00317E40"/>
    <w:rsid w:val="00317E4A"/>
    <w:rsid w:val="00317E6F"/>
    <w:rsid w:val="00317F02"/>
    <w:rsid w:val="00317F30"/>
    <w:rsid w:val="00317F54"/>
    <w:rsid w:val="00317F8D"/>
    <w:rsid w:val="00317FC9"/>
    <w:rsid w:val="00320029"/>
    <w:rsid w:val="003200A5"/>
    <w:rsid w:val="00320189"/>
    <w:rsid w:val="003201D2"/>
    <w:rsid w:val="0032020D"/>
    <w:rsid w:val="0032024C"/>
    <w:rsid w:val="003203FD"/>
    <w:rsid w:val="00320449"/>
    <w:rsid w:val="0032048C"/>
    <w:rsid w:val="00320490"/>
    <w:rsid w:val="003204E0"/>
    <w:rsid w:val="00320538"/>
    <w:rsid w:val="003207DE"/>
    <w:rsid w:val="00320972"/>
    <w:rsid w:val="00320A0B"/>
    <w:rsid w:val="00320A21"/>
    <w:rsid w:val="00320A3F"/>
    <w:rsid w:val="00320C22"/>
    <w:rsid w:val="00320C78"/>
    <w:rsid w:val="00320C93"/>
    <w:rsid w:val="00320D41"/>
    <w:rsid w:val="00320FCB"/>
    <w:rsid w:val="00321014"/>
    <w:rsid w:val="00321128"/>
    <w:rsid w:val="0032115C"/>
    <w:rsid w:val="00321231"/>
    <w:rsid w:val="0032123E"/>
    <w:rsid w:val="00321304"/>
    <w:rsid w:val="003214F2"/>
    <w:rsid w:val="00321595"/>
    <w:rsid w:val="003215C1"/>
    <w:rsid w:val="00321616"/>
    <w:rsid w:val="0032165D"/>
    <w:rsid w:val="00321689"/>
    <w:rsid w:val="0032169B"/>
    <w:rsid w:val="003216B1"/>
    <w:rsid w:val="0032171B"/>
    <w:rsid w:val="00321747"/>
    <w:rsid w:val="003217FF"/>
    <w:rsid w:val="00321816"/>
    <w:rsid w:val="0032181F"/>
    <w:rsid w:val="00321841"/>
    <w:rsid w:val="00321945"/>
    <w:rsid w:val="00321AF2"/>
    <w:rsid w:val="00321EFC"/>
    <w:rsid w:val="00321F15"/>
    <w:rsid w:val="00322016"/>
    <w:rsid w:val="003221CA"/>
    <w:rsid w:val="0032230A"/>
    <w:rsid w:val="003223B4"/>
    <w:rsid w:val="003223D9"/>
    <w:rsid w:val="003224E0"/>
    <w:rsid w:val="00322541"/>
    <w:rsid w:val="003226F3"/>
    <w:rsid w:val="00322711"/>
    <w:rsid w:val="00322794"/>
    <w:rsid w:val="003227F0"/>
    <w:rsid w:val="0032290F"/>
    <w:rsid w:val="0032295C"/>
    <w:rsid w:val="00322AFD"/>
    <w:rsid w:val="00322B16"/>
    <w:rsid w:val="00322B40"/>
    <w:rsid w:val="00322B53"/>
    <w:rsid w:val="00322BF6"/>
    <w:rsid w:val="00322CB7"/>
    <w:rsid w:val="00322D60"/>
    <w:rsid w:val="00322D79"/>
    <w:rsid w:val="00322F12"/>
    <w:rsid w:val="00323141"/>
    <w:rsid w:val="00323240"/>
    <w:rsid w:val="00323375"/>
    <w:rsid w:val="00323388"/>
    <w:rsid w:val="003233CB"/>
    <w:rsid w:val="0032344B"/>
    <w:rsid w:val="0032345A"/>
    <w:rsid w:val="0032359D"/>
    <w:rsid w:val="003235FD"/>
    <w:rsid w:val="003236BA"/>
    <w:rsid w:val="003236EE"/>
    <w:rsid w:val="003237EF"/>
    <w:rsid w:val="00323899"/>
    <w:rsid w:val="003238E7"/>
    <w:rsid w:val="00323969"/>
    <w:rsid w:val="00323B5B"/>
    <w:rsid w:val="00323B88"/>
    <w:rsid w:val="00323CEE"/>
    <w:rsid w:val="00323D4D"/>
    <w:rsid w:val="00323DB6"/>
    <w:rsid w:val="00323F5C"/>
    <w:rsid w:val="00324023"/>
    <w:rsid w:val="00324082"/>
    <w:rsid w:val="00324187"/>
    <w:rsid w:val="0032436E"/>
    <w:rsid w:val="003243EB"/>
    <w:rsid w:val="00324434"/>
    <w:rsid w:val="003244FF"/>
    <w:rsid w:val="003246E1"/>
    <w:rsid w:val="003246E2"/>
    <w:rsid w:val="00324838"/>
    <w:rsid w:val="00324854"/>
    <w:rsid w:val="00324A92"/>
    <w:rsid w:val="00324B0C"/>
    <w:rsid w:val="00324B42"/>
    <w:rsid w:val="00324B61"/>
    <w:rsid w:val="00324C0E"/>
    <w:rsid w:val="00324C67"/>
    <w:rsid w:val="00324CE1"/>
    <w:rsid w:val="00324D16"/>
    <w:rsid w:val="00324D38"/>
    <w:rsid w:val="00324D42"/>
    <w:rsid w:val="00324DBB"/>
    <w:rsid w:val="00324DD9"/>
    <w:rsid w:val="00324EA0"/>
    <w:rsid w:val="00324FD6"/>
    <w:rsid w:val="003250AB"/>
    <w:rsid w:val="00325185"/>
    <w:rsid w:val="003251B6"/>
    <w:rsid w:val="00325219"/>
    <w:rsid w:val="00325260"/>
    <w:rsid w:val="00325376"/>
    <w:rsid w:val="00325379"/>
    <w:rsid w:val="00325385"/>
    <w:rsid w:val="00325652"/>
    <w:rsid w:val="00325795"/>
    <w:rsid w:val="003257C1"/>
    <w:rsid w:val="003257D6"/>
    <w:rsid w:val="00325807"/>
    <w:rsid w:val="003258D3"/>
    <w:rsid w:val="003258EE"/>
    <w:rsid w:val="00325A30"/>
    <w:rsid w:val="00325A76"/>
    <w:rsid w:val="00325AD7"/>
    <w:rsid w:val="00325B25"/>
    <w:rsid w:val="00325B4A"/>
    <w:rsid w:val="00325B88"/>
    <w:rsid w:val="00325C5C"/>
    <w:rsid w:val="00325CD0"/>
    <w:rsid w:val="00325CD5"/>
    <w:rsid w:val="00325DCC"/>
    <w:rsid w:val="0032602D"/>
    <w:rsid w:val="00326039"/>
    <w:rsid w:val="003262A3"/>
    <w:rsid w:val="003263BD"/>
    <w:rsid w:val="003263CE"/>
    <w:rsid w:val="00326454"/>
    <w:rsid w:val="00326535"/>
    <w:rsid w:val="00326576"/>
    <w:rsid w:val="003265E6"/>
    <w:rsid w:val="003268D5"/>
    <w:rsid w:val="003269BF"/>
    <w:rsid w:val="003269CE"/>
    <w:rsid w:val="00326A69"/>
    <w:rsid w:val="00326B0B"/>
    <w:rsid w:val="00326B4A"/>
    <w:rsid w:val="00326B64"/>
    <w:rsid w:val="00326C21"/>
    <w:rsid w:val="00326C64"/>
    <w:rsid w:val="00326C95"/>
    <w:rsid w:val="00326D0D"/>
    <w:rsid w:val="00326D43"/>
    <w:rsid w:val="00326D52"/>
    <w:rsid w:val="00326DFB"/>
    <w:rsid w:val="00326E95"/>
    <w:rsid w:val="00326F24"/>
    <w:rsid w:val="00327106"/>
    <w:rsid w:val="003272BC"/>
    <w:rsid w:val="00327449"/>
    <w:rsid w:val="00327477"/>
    <w:rsid w:val="00327543"/>
    <w:rsid w:val="003275E8"/>
    <w:rsid w:val="00327646"/>
    <w:rsid w:val="0032785F"/>
    <w:rsid w:val="00327913"/>
    <w:rsid w:val="0032791F"/>
    <w:rsid w:val="00327958"/>
    <w:rsid w:val="003279EA"/>
    <w:rsid w:val="00327CDD"/>
    <w:rsid w:val="00327E37"/>
    <w:rsid w:val="00327EBF"/>
    <w:rsid w:val="00327F66"/>
    <w:rsid w:val="00330240"/>
    <w:rsid w:val="0033024F"/>
    <w:rsid w:val="003302D0"/>
    <w:rsid w:val="003304E5"/>
    <w:rsid w:val="00330564"/>
    <w:rsid w:val="003305B6"/>
    <w:rsid w:val="0033069D"/>
    <w:rsid w:val="0033080E"/>
    <w:rsid w:val="003308EB"/>
    <w:rsid w:val="00330992"/>
    <w:rsid w:val="0033099B"/>
    <w:rsid w:val="00330B00"/>
    <w:rsid w:val="00330B87"/>
    <w:rsid w:val="00330CDD"/>
    <w:rsid w:val="00330EAC"/>
    <w:rsid w:val="00330F87"/>
    <w:rsid w:val="0033102D"/>
    <w:rsid w:val="00331059"/>
    <w:rsid w:val="00331121"/>
    <w:rsid w:val="00331172"/>
    <w:rsid w:val="003311C3"/>
    <w:rsid w:val="00331208"/>
    <w:rsid w:val="003312F4"/>
    <w:rsid w:val="00331439"/>
    <w:rsid w:val="00331537"/>
    <w:rsid w:val="00331623"/>
    <w:rsid w:val="00331841"/>
    <w:rsid w:val="00331900"/>
    <w:rsid w:val="00331AB7"/>
    <w:rsid w:val="00331BE0"/>
    <w:rsid w:val="00331BE4"/>
    <w:rsid w:val="00331C81"/>
    <w:rsid w:val="00331CD9"/>
    <w:rsid w:val="00331EB7"/>
    <w:rsid w:val="00331F01"/>
    <w:rsid w:val="00331F74"/>
    <w:rsid w:val="00332053"/>
    <w:rsid w:val="0033213E"/>
    <w:rsid w:val="0033214F"/>
    <w:rsid w:val="003321A3"/>
    <w:rsid w:val="003321FB"/>
    <w:rsid w:val="00332217"/>
    <w:rsid w:val="0033225E"/>
    <w:rsid w:val="00332270"/>
    <w:rsid w:val="00332298"/>
    <w:rsid w:val="00332328"/>
    <w:rsid w:val="0033233E"/>
    <w:rsid w:val="00332399"/>
    <w:rsid w:val="0033252E"/>
    <w:rsid w:val="0033274E"/>
    <w:rsid w:val="003327DB"/>
    <w:rsid w:val="00332860"/>
    <w:rsid w:val="003328DC"/>
    <w:rsid w:val="003328E6"/>
    <w:rsid w:val="00332981"/>
    <w:rsid w:val="00332BBE"/>
    <w:rsid w:val="00332C62"/>
    <w:rsid w:val="00332E29"/>
    <w:rsid w:val="00332E9A"/>
    <w:rsid w:val="00332FA5"/>
    <w:rsid w:val="0033303A"/>
    <w:rsid w:val="00333111"/>
    <w:rsid w:val="0033311E"/>
    <w:rsid w:val="003331B2"/>
    <w:rsid w:val="003331F9"/>
    <w:rsid w:val="0033339C"/>
    <w:rsid w:val="003333EA"/>
    <w:rsid w:val="003336CB"/>
    <w:rsid w:val="00333702"/>
    <w:rsid w:val="0033374D"/>
    <w:rsid w:val="0033376E"/>
    <w:rsid w:val="00333990"/>
    <w:rsid w:val="003339CA"/>
    <w:rsid w:val="00333ADC"/>
    <w:rsid w:val="00333C37"/>
    <w:rsid w:val="00333CE2"/>
    <w:rsid w:val="00333D73"/>
    <w:rsid w:val="00333ECB"/>
    <w:rsid w:val="00333F9A"/>
    <w:rsid w:val="00333FB7"/>
    <w:rsid w:val="003342B3"/>
    <w:rsid w:val="003342C1"/>
    <w:rsid w:val="003342FC"/>
    <w:rsid w:val="00334532"/>
    <w:rsid w:val="00334705"/>
    <w:rsid w:val="00334A57"/>
    <w:rsid w:val="00334B89"/>
    <w:rsid w:val="00334C91"/>
    <w:rsid w:val="00334D52"/>
    <w:rsid w:val="00334FBF"/>
    <w:rsid w:val="003351F2"/>
    <w:rsid w:val="003353E1"/>
    <w:rsid w:val="003354ED"/>
    <w:rsid w:val="00335533"/>
    <w:rsid w:val="00335714"/>
    <w:rsid w:val="00335788"/>
    <w:rsid w:val="003358EF"/>
    <w:rsid w:val="0033591E"/>
    <w:rsid w:val="00335985"/>
    <w:rsid w:val="00335A33"/>
    <w:rsid w:val="00335AB8"/>
    <w:rsid w:val="00335B67"/>
    <w:rsid w:val="00335D19"/>
    <w:rsid w:val="00335DE4"/>
    <w:rsid w:val="00335F30"/>
    <w:rsid w:val="00335FBF"/>
    <w:rsid w:val="00336190"/>
    <w:rsid w:val="00336255"/>
    <w:rsid w:val="0033626E"/>
    <w:rsid w:val="00336354"/>
    <w:rsid w:val="00336627"/>
    <w:rsid w:val="00336755"/>
    <w:rsid w:val="00336761"/>
    <w:rsid w:val="00336867"/>
    <w:rsid w:val="00336ACD"/>
    <w:rsid w:val="00336D12"/>
    <w:rsid w:val="00336D26"/>
    <w:rsid w:val="00336D31"/>
    <w:rsid w:val="0033709B"/>
    <w:rsid w:val="00337279"/>
    <w:rsid w:val="0033731C"/>
    <w:rsid w:val="00337637"/>
    <w:rsid w:val="00337681"/>
    <w:rsid w:val="00337839"/>
    <w:rsid w:val="00337889"/>
    <w:rsid w:val="003378D0"/>
    <w:rsid w:val="0033790E"/>
    <w:rsid w:val="003379A9"/>
    <w:rsid w:val="003379CC"/>
    <w:rsid w:val="00337A6F"/>
    <w:rsid w:val="00337B69"/>
    <w:rsid w:val="00337CE9"/>
    <w:rsid w:val="00337D81"/>
    <w:rsid w:val="00337E35"/>
    <w:rsid w:val="00337F45"/>
    <w:rsid w:val="00337F60"/>
    <w:rsid w:val="00337F81"/>
    <w:rsid w:val="00337FCC"/>
    <w:rsid w:val="00340031"/>
    <w:rsid w:val="00340090"/>
    <w:rsid w:val="003400C3"/>
    <w:rsid w:val="0034011F"/>
    <w:rsid w:val="0034016D"/>
    <w:rsid w:val="003403CF"/>
    <w:rsid w:val="003406F3"/>
    <w:rsid w:val="00340742"/>
    <w:rsid w:val="0034081E"/>
    <w:rsid w:val="0034082D"/>
    <w:rsid w:val="00340969"/>
    <w:rsid w:val="0034098A"/>
    <w:rsid w:val="003409D2"/>
    <w:rsid w:val="00340A58"/>
    <w:rsid w:val="00340B26"/>
    <w:rsid w:val="00340B80"/>
    <w:rsid w:val="00340C2B"/>
    <w:rsid w:val="00340CFF"/>
    <w:rsid w:val="0034103D"/>
    <w:rsid w:val="0034104A"/>
    <w:rsid w:val="00341091"/>
    <w:rsid w:val="003410B5"/>
    <w:rsid w:val="003410C7"/>
    <w:rsid w:val="003410D4"/>
    <w:rsid w:val="003410F5"/>
    <w:rsid w:val="00341200"/>
    <w:rsid w:val="00341267"/>
    <w:rsid w:val="0034128F"/>
    <w:rsid w:val="0034133E"/>
    <w:rsid w:val="0034138B"/>
    <w:rsid w:val="003414F0"/>
    <w:rsid w:val="003415EB"/>
    <w:rsid w:val="003415F0"/>
    <w:rsid w:val="00341637"/>
    <w:rsid w:val="00341660"/>
    <w:rsid w:val="003416DC"/>
    <w:rsid w:val="00341832"/>
    <w:rsid w:val="0034196D"/>
    <w:rsid w:val="00341AF8"/>
    <w:rsid w:val="00341B24"/>
    <w:rsid w:val="00341BDE"/>
    <w:rsid w:val="00341D33"/>
    <w:rsid w:val="00341D56"/>
    <w:rsid w:val="00341D96"/>
    <w:rsid w:val="00341EE4"/>
    <w:rsid w:val="00342049"/>
    <w:rsid w:val="003420BB"/>
    <w:rsid w:val="00342119"/>
    <w:rsid w:val="0034215E"/>
    <w:rsid w:val="00342365"/>
    <w:rsid w:val="00342595"/>
    <w:rsid w:val="00342637"/>
    <w:rsid w:val="00342660"/>
    <w:rsid w:val="003426A3"/>
    <w:rsid w:val="00342707"/>
    <w:rsid w:val="003428E0"/>
    <w:rsid w:val="003428F2"/>
    <w:rsid w:val="00342959"/>
    <w:rsid w:val="0034296E"/>
    <w:rsid w:val="00342A6C"/>
    <w:rsid w:val="00342C8B"/>
    <w:rsid w:val="00342CC6"/>
    <w:rsid w:val="00342CE8"/>
    <w:rsid w:val="00342D70"/>
    <w:rsid w:val="00342D7E"/>
    <w:rsid w:val="00342D88"/>
    <w:rsid w:val="00342DED"/>
    <w:rsid w:val="00342FEA"/>
    <w:rsid w:val="00343003"/>
    <w:rsid w:val="003431B2"/>
    <w:rsid w:val="003431F3"/>
    <w:rsid w:val="003432C7"/>
    <w:rsid w:val="0034338E"/>
    <w:rsid w:val="003433D4"/>
    <w:rsid w:val="00343400"/>
    <w:rsid w:val="00343425"/>
    <w:rsid w:val="0034359A"/>
    <w:rsid w:val="003435F8"/>
    <w:rsid w:val="0034368A"/>
    <w:rsid w:val="003436E2"/>
    <w:rsid w:val="00343762"/>
    <w:rsid w:val="00343763"/>
    <w:rsid w:val="00343787"/>
    <w:rsid w:val="00343877"/>
    <w:rsid w:val="00343B04"/>
    <w:rsid w:val="00343B44"/>
    <w:rsid w:val="00343C18"/>
    <w:rsid w:val="00343CC8"/>
    <w:rsid w:val="00343E1D"/>
    <w:rsid w:val="00343E95"/>
    <w:rsid w:val="00343EAB"/>
    <w:rsid w:val="0034406C"/>
    <w:rsid w:val="003440B8"/>
    <w:rsid w:val="00344184"/>
    <w:rsid w:val="00344224"/>
    <w:rsid w:val="00344235"/>
    <w:rsid w:val="003442E2"/>
    <w:rsid w:val="0034431E"/>
    <w:rsid w:val="00344477"/>
    <w:rsid w:val="003444D3"/>
    <w:rsid w:val="0034468B"/>
    <w:rsid w:val="00344716"/>
    <w:rsid w:val="0034471D"/>
    <w:rsid w:val="00344932"/>
    <w:rsid w:val="00344A5E"/>
    <w:rsid w:val="00344DF7"/>
    <w:rsid w:val="00344F45"/>
    <w:rsid w:val="00344F65"/>
    <w:rsid w:val="00345084"/>
    <w:rsid w:val="003451A4"/>
    <w:rsid w:val="0034528F"/>
    <w:rsid w:val="00345336"/>
    <w:rsid w:val="00345361"/>
    <w:rsid w:val="00345534"/>
    <w:rsid w:val="00345614"/>
    <w:rsid w:val="003457F9"/>
    <w:rsid w:val="003458F4"/>
    <w:rsid w:val="00345A2C"/>
    <w:rsid w:val="00345A85"/>
    <w:rsid w:val="00345AB6"/>
    <w:rsid w:val="00345B03"/>
    <w:rsid w:val="00345B7D"/>
    <w:rsid w:val="00345BEC"/>
    <w:rsid w:val="00345C61"/>
    <w:rsid w:val="00345EAD"/>
    <w:rsid w:val="00346086"/>
    <w:rsid w:val="003460C6"/>
    <w:rsid w:val="003462A3"/>
    <w:rsid w:val="003464DA"/>
    <w:rsid w:val="00346632"/>
    <w:rsid w:val="0034688D"/>
    <w:rsid w:val="00346938"/>
    <w:rsid w:val="0034693D"/>
    <w:rsid w:val="00346960"/>
    <w:rsid w:val="003469CB"/>
    <w:rsid w:val="003469E4"/>
    <w:rsid w:val="00346A93"/>
    <w:rsid w:val="00346CB2"/>
    <w:rsid w:val="00346DF3"/>
    <w:rsid w:val="00346E00"/>
    <w:rsid w:val="00346F67"/>
    <w:rsid w:val="0034700F"/>
    <w:rsid w:val="0034702F"/>
    <w:rsid w:val="00347126"/>
    <w:rsid w:val="003471C7"/>
    <w:rsid w:val="003472E9"/>
    <w:rsid w:val="0034730F"/>
    <w:rsid w:val="00347317"/>
    <w:rsid w:val="00347385"/>
    <w:rsid w:val="00347432"/>
    <w:rsid w:val="003474A4"/>
    <w:rsid w:val="003474B4"/>
    <w:rsid w:val="003474B5"/>
    <w:rsid w:val="0034793C"/>
    <w:rsid w:val="0034794C"/>
    <w:rsid w:val="00347A2D"/>
    <w:rsid w:val="00347AAD"/>
    <w:rsid w:val="00347CA1"/>
    <w:rsid w:val="00347D06"/>
    <w:rsid w:val="00347D3B"/>
    <w:rsid w:val="00347E9A"/>
    <w:rsid w:val="00347F59"/>
    <w:rsid w:val="00347F85"/>
    <w:rsid w:val="00350229"/>
    <w:rsid w:val="0035028B"/>
    <w:rsid w:val="003502AF"/>
    <w:rsid w:val="00350620"/>
    <w:rsid w:val="0035074A"/>
    <w:rsid w:val="00350866"/>
    <w:rsid w:val="00350A2B"/>
    <w:rsid w:val="00350AB8"/>
    <w:rsid w:val="00350B01"/>
    <w:rsid w:val="00350B0E"/>
    <w:rsid w:val="00350DA3"/>
    <w:rsid w:val="00350F28"/>
    <w:rsid w:val="00351099"/>
    <w:rsid w:val="0035117D"/>
    <w:rsid w:val="003512FC"/>
    <w:rsid w:val="00351512"/>
    <w:rsid w:val="0035152A"/>
    <w:rsid w:val="003515A6"/>
    <w:rsid w:val="00351677"/>
    <w:rsid w:val="003516B6"/>
    <w:rsid w:val="00351776"/>
    <w:rsid w:val="0035177C"/>
    <w:rsid w:val="00351893"/>
    <w:rsid w:val="0035192E"/>
    <w:rsid w:val="003519A7"/>
    <w:rsid w:val="00351C06"/>
    <w:rsid w:val="00351CAF"/>
    <w:rsid w:val="00351D63"/>
    <w:rsid w:val="00351E03"/>
    <w:rsid w:val="00351E74"/>
    <w:rsid w:val="00351E97"/>
    <w:rsid w:val="00351F8E"/>
    <w:rsid w:val="0035203E"/>
    <w:rsid w:val="00352153"/>
    <w:rsid w:val="003522B8"/>
    <w:rsid w:val="00352383"/>
    <w:rsid w:val="00352392"/>
    <w:rsid w:val="003523E8"/>
    <w:rsid w:val="003524DF"/>
    <w:rsid w:val="0035259E"/>
    <w:rsid w:val="003525AE"/>
    <w:rsid w:val="0035263F"/>
    <w:rsid w:val="00352658"/>
    <w:rsid w:val="003528F1"/>
    <w:rsid w:val="00352AD8"/>
    <w:rsid w:val="00352AF2"/>
    <w:rsid w:val="00352D67"/>
    <w:rsid w:val="00352D72"/>
    <w:rsid w:val="00352E9E"/>
    <w:rsid w:val="00352EE8"/>
    <w:rsid w:val="003533A3"/>
    <w:rsid w:val="003533FD"/>
    <w:rsid w:val="003535BB"/>
    <w:rsid w:val="00353674"/>
    <w:rsid w:val="0035372A"/>
    <w:rsid w:val="0035376B"/>
    <w:rsid w:val="003538C8"/>
    <w:rsid w:val="003538DF"/>
    <w:rsid w:val="00353AD6"/>
    <w:rsid w:val="00353B59"/>
    <w:rsid w:val="00353BE4"/>
    <w:rsid w:val="00353BED"/>
    <w:rsid w:val="00353C6B"/>
    <w:rsid w:val="00353E5F"/>
    <w:rsid w:val="00353F6A"/>
    <w:rsid w:val="00353F9F"/>
    <w:rsid w:val="00353FE2"/>
    <w:rsid w:val="003541AC"/>
    <w:rsid w:val="00354239"/>
    <w:rsid w:val="003543D1"/>
    <w:rsid w:val="0035440C"/>
    <w:rsid w:val="003546B2"/>
    <w:rsid w:val="00354720"/>
    <w:rsid w:val="00354862"/>
    <w:rsid w:val="0035490B"/>
    <w:rsid w:val="0035493B"/>
    <w:rsid w:val="00354966"/>
    <w:rsid w:val="00354C75"/>
    <w:rsid w:val="00354D6A"/>
    <w:rsid w:val="00355026"/>
    <w:rsid w:val="00355141"/>
    <w:rsid w:val="003551B1"/>
    <w:rsid w:val="00355232"/>
    <w:rsid w:val="0035525C"/>
    <w:rsid w:val="0035527D"/>
    <w:rsid w:val="00355388"/>
    <w:rsid w:val="00355470"/>
    <w:rsid w:val="0035547F"/>
    <w:rsid w:val="00355484"/>
    <w:rsid w:val="0035566A"/>
    <w:rsid w:val="003556BF"/>
    <w:rsid w:val="00355728"/>
    <w:rsid w:val="00355ADE"/>
    <w:rsid w:val="00355B62"/>
    <w:rsid w:val="00355BA4"/>
    <w:rsid w:val="00355C46"/>
    <w:rsid w:val="00355D20"/>
    <w:rsid w:val="00355D3C"/>
    <w:rsid w:val="00355D6B"/>
    <w:rsid w:val="00355D83"/>
    <w:rsid w:val="00355DC6"/>
    <w:rsid w:val="00355E84"/>
    <w:rsid w:val="00355F3D"/>
    <w:rsid w:val="00355FA7"/>
    <w:rsid w:val="003560B3"/>
    <w:rsid w:val="003560EC"/>
    <w:rsid w:val="003562B6"/>
    <w:rsid w:val="00356430"/>
    <w:rsid w:val="00356492"/>
    <w:rsid w:val="003564A6"/>
    <w:rsid w:val="003564F7"/>
    <w:rsid w:val="0035650B"/>
    <w:rsid w:val="0035651F"/>
    <w:rsid w:val="00356524"/>
    <w:rsid w:val="003565B1"/>
    <w:rsid w:val="003565B7"/>
    <w:rsid w:val="003566CE"/>
    <w:rsid w:val="003568B1"/>
    <w:rsid w:val="003569F0"/>
    <w:rsid w:val="00356B2B"/>
    <w:rsid w:val="00356C30"/>
    <w:rsid w:val="00356CA0"/>
    <w:rsid w:val="00356D3B"/>
    <w:rsid w:val="00356D43"/>
    <w:rsid w:val="00356E3A"/>
    <w:rsid w:val="00356EE6"/>
    <w:rsid w:val="003571F6"/>
    <w:rsid w:val="00357336"/>
    <w:rsid w:val="003574A9"/>
    <w:rsid w:val="0035750D"/>
    <w:rsid w:val="003575FD"/>
    <w:rsid w:val="00357724"/>
    <w:rsid w:val="003577EE"/>
    <w:rsid w:val="0035781B"/>
    <w:rsid w:val="0035783E"/>
    <w:rsid w:val="0035788E"/>
    <w:rsid w:val="003579C5"/>
    <w:rsid w:val="00357A36"/>
    <w:rsid w:val="00357A6A"/>
    <w:rsid w:val="00357ACA"/>
    <w:rsid w:val="00357B73"/>
    <w:rsid w:val="00357CDA"/>
    <w:rsid w:val="00357D22"/>
    <w:rsid w:val="00357D52"/>
    <w:rsid w:val="00357DBF"/>
    <w:rsid w:val="00357DC7"/>
    <w:rsid w:val="00357DF8"/>
    <w:rsid w:val="00357E0F"/>
    <w:rsid w:val="0036000B"/>
    <w:rsid w:val="00360020"/>
    <w:rsid w:val="00360037"/>
    <w:rsid w:val="00360088"/>
    <w:rsid w:val="003602FA"/>
    <w:rsid w:val="003604A6"/>
    <w:rsid w:val="00360588"/>
    <w:rsid w:val="00360598"/>
    <w:rsid w:val="00360738"/>
    <w:rsid w:val="0036077B"/>
    <w:rsid w:val="003608A1"/>
    <w:rsid w:val="003608B7"/>
    <w:rsid w:val="003608EC"/>
    <w:rsid w:val="0036098A"/>
    <w:rsid w:val="00360A5F"/>
    <w:rsid w:val="00360A9E"/>
    <w:rsid w:val="00360ABA"/>
    <w:rsid w:val="00360B0E"/>
    <w:rsid w:val="00360B61"/>
    <w:rsid w:val="00360C5E"/>
    <w:rsid w:val="00360C67"/>
    <w:rsid w:val="00360E12"/>
    <w:rsid w:val="00360E5C"/>
    <w:rsid w:val="00360E84"/>
    <w:rsid w:val="00361017"/>
    <w:rsid w:val="00361288"/>
    <w:rsid w:val="003612E7"/>
    <w:rsid w:val="00361438"/>
    <w:rsid w:val="00361501"/>
    <w:rsid w:val="00361516"/>
    <w:rsid w:val="00361733"/>
    <w:rsid w:val="00361754"/>
    <w:rsid w:val="003617A2"/>
    <w:rsid w:val="00361801"/>
    <w:rsid w:val="003618BE"/>
    <w:rsid w:val="00361974"/>
    <w:rsid w:val="00361A8F"/>
    <w:rsid w:val="00361B30"/>
    <w:rsid w:val="00361BF7"/>
    <w:rsid w:val="00361C35"/>
    <w:rsid w:val="00361C92"/>
    <w:rsid w:val="00361CA0"/>
    <w:rsid w:val="00361D04"/>
    <w:rsid w:val="00361D34"/>
    <w:rsid w:val="00361DE0"/>
    <w:rsid w:val="00361E10"/>
    <w:rsid w:val="00361F73"/>
    <w:rsid w:val="003620CD"/>
    <w:rsid w:val="003620D9"/>
    <w:rsid w:val="00362110"/>
    <w:rsid w:val="0036211C"/>
    <w:rsid w:val="0036223B"/>
    <w:rsid w:val="00362246"/>
    <w:rsid w:val="003622A9"/>
    <w:rsid w:val="003622E7"/>
    <w:rsid w:val="003622F3"/>
    <w:rsid w:val="00362481"/>
    <w:rsid w:val="003625CC"/>
    <w:rsid w:val="00362686"/>
    <w:rsid w:val="003628BC"/>
    <w:rsid w:val="003629A0"/>
    <w:rsid w:val="003629B9"/>
    <w:rsid w:val="00362A78"/>
    <w:rsid w:val="00362B21"/>
    <w:rsid w:val="00362BB2"/>
    <w:rsid w:val="00362CED"/>
    <w:rsid w:val="00362D5A"/>
    <w:rsid w:val="00362DDA"/>
    <w:rsid w:val="00362EE2"/>
    <w:rsid w:val="00362F06"/>
    <w:rsid w:val="00362F20"/>
    <w:rsid w:val="00362FFE"/>
    <w:rsid w:val="0036316A"/>
    <w:rsid w:val="00363278"/>
    <w:rsid w:val="00363290"/>
    <w:rsid w:val="003632BE"/>
    <w:rsid w:val="00363375"/>
    <w:rsid w:val="003633E7"/>
    <w:rsid w:val="00363419"/>
    <w:rsid w:val="00363590"/>
    <w:rsid w:val="00363641"/>
    <w:rsid w:val="00363666"/>
    <w:rsid w:val="0036369C"/>
    <w:rsid w:val="0036382F"/>
    <w:rsid w:val="0036383D"/>
    <w:rsid w:val="003638A8"/>
    <w:rsid w:val="003638C2"/>
    <w:rsid w:val="0036398C"/>
    <w:rsid w:val="00363C6F"/>
    <w:rsid w:val="00363CEE"/>
    <w:rsid w:val="00363FD1"/>
    <w:rsid w:val="00363FFD"/>
    <w:rsid w:val="003640C2"/>
    <w:rsid w:val="003641F2"/>
    <w:rsid w:val="00364464"/>
    <w:rsid w:val="00364498"/>
    <w:rsid w:val="003644B3"/>
    <w:rsid w:val="00364559"/>
    <w:rsid w:val="00364646"/>
    <w:rsid w:val="00364745"/>
    <w:rsid w:val="00364823"/>
    <w:rsid w:val="00364889"/>
    <w:rsid w:val="003648D7"/>
    <w:rsid w:val="00364997"/>
    <w:rsid w:val="00364AA4"/>
    <w:rsid w:val="00364C62"/>
    <w:rsid w:val="00364D38"/>
    <w:rsid w:val="00364D3C"/>
    <w:rsid w:val="00364D4B"/>
    <w:rsid w:val="00364D55"/>
    <w:rsid w:val="00364DC1"/>
    <w:rsid w:val="00364EA3"/>
    <w:rsid w:val="00364EF0"/>
    <w:rsid w:val="00364FCF"/>
    <w:rsid w:val="00364FD5"/>
    <w:rsid w:val="00365186"/>
    <w:rsid w:val="0036519E"/>
    <w:rsid w:val="003651E4"/>
    <w:rsid w:val="0036533A"/>
    <w:rsid w:val="00365435"/>
    <w:rsid w:val="00365738"/>
    <w:rsid w:val="003657EB"/>
    <w:rsid w:val="00365874"/>
    <w:rsid w:val="0036588E"/>
    <w:rsid w:val="003659A9"/>
    <w:rsid w:val="003659B7"/>
    <w:rsid w:val="00365AD2"/>
    <w:rsid w:val="00365BE4"/>
    <w:rsid w:val="00365C20"/>
    <w:rsid w:val="00365D7D"/>
    <w:rsid w:val="00365EB8"/>
    <w:rsid w:val="00365F49"/>
    <w:rsid w:val="00366085"/>
    <w:rsid w:val="003660CA"/>
    <w:rsid w:val="003660DF"/>
    <w:rsid w:val="00366147"/>
    <w:rsid w:val="00366176"/>
    <w:rsid w:val="00366177"/>
    <w:rsid w:val="003661F1"/>
    <w:rsid w:val="0036625D"/>
    <w:rsid w:val="003662E3"/>
    <w:rsid w:val="003663D1"/>
    <w:rsid w:val="00366574"/>
    <w:rsid w:val="0036665F"/>
    <w:rsid w:val="003666CD"/>
    <w:rsid w:val="003666E2"/>
    <w:rsid w:val="0036675E"/>
    <w:rsid w:val="00366782"/>
    <w:rsid w:val="00366907"/>
    <w:rsid w:val="00366A54"/>
    <w:rsid w:val="00366AAF"/>
    <w:rsid w:val="00366EAA"/>
    <w:rsid w:val="003670ED"/>
    <w:rsid w:val="0036710D"/>
    <w:rsid w:val="003672A3"/>
    <w:rsid w:val="00367307"/>
    <w:rsid w:val="00367351"/>
    <w:rsid w:val="0036737E"/>
    <w:rsid w:val="00367489"/>
    <w:rsid w:val="003676DB"/>
    <w:rsid w:val="0036780D"/>
    <w:rsid w:val="0036792B"/>
    <w:rsid w:val="0036796C"/>
    <w:rsid w:val="00367B85"/>
    <w:rsid w:val="00367C41"/>
    <w:rsid w:val="00367D4E"/>
    <w:rsid w:val="00367D94"/>
    <w:rsid w:val="00367DE2"/>
    <w:rsid w:val="00367EED"/>
    <w:rsid w:val="00367EF0"/>
    <w:rsid w:val="0037015D"/>
    <w:rsid w:val="00370169"/>
    <w:rsid w:val="003701B4"/>
    <w:rsid w:val="0037023E"/>
    <w:rsid w:val="00370392"/>
    <w:rsid w:val="003703D3"/>
    <w:rsid w:val="003704D4"/>
    <w:rsid w:val="00370585"/>
    <w:rsid w:val="00370694"/>
    <w:rsid w:val="003708AF"/>
    <w:rsid w:val="003708BA"/>
    <w:rsid w:val="003708F9"/>
    <w:rsid w:val="00370A67"/>
    <w:rsid w:val="00370A83"/>
    <w:rsid w:val="00370ADD"/>
    <w:rsid w:val="00370AF4"/>
    <w:rsid w:val="00370B32"/>
    <w:rsid w:val="00370B3E"/>
    <w:rsid w:val="00370C79"/>
    <w:rsid w:val="00370D85"/>
    <w:rsid w:val="00370DE9"/>
    <w:rsid w:val="00370ECF"/>
    <w:rsid w:val="00370F9E"/>
    <w:rsid w:val="0037124D"/>
    <w:rsid w:val="00371372"/>
    <w:rsid w:val="00371379"/>
    <w:rsid w:val="00371464"/>
    <w:rsid w:val="00371492"/>
    <w:rsid w:val="003715F9"/>
    <w:rsid w:val="00371690"/>
    <w:rsid w:val="003716E2"/>
    <w:rsid w:val="00371840"/>
    <w:rsid w:val="0037188E"/>
    <w:rsid w:val="003718BC"/>
    <w:rsid w:val="00371A14"/>
    <w:rsid w:val="00371A78"/>
    <w:rsid w:val="00371AA6"/>
    <w:rsid w:val="00371B30"/>
    <w:rsid w:val="00371B8E"/>
    <w:rsid w:val="00371D58"/>
    <w:rsid w:val="00371D97"/>
    <w:rsid w:val="00371DAB"/>
    <w:rsid w:val="00371DEC"/>
    <w:rsid w:val="00371F8B"/>
    <w:rsid w:val="00371FDD"/>
    <w:rsid w:val="00372034"/>
    <w:rsid w:val="003720E3"/>
    <w:rsid w:val="0037224D"/>
    <w:rsid w:val="0037224E"/>
    <w:rsid w:val="003722FB"/>
    <w:rsid w:val="003723B0"/>
    <w:rsid w:val="00372439"/>
    <w:rsid w:val="0037243E"/>
    <w:rsid w:val="00372549"/>
    <w:rsid w:val="0037262D"/>
    <w:rsid w:val="00372B55"/>
    <w:rsid w:val="00372B73"/>
    <w:rsid w:val="00372B8C"/>
    <w:rsid w:val="00372C81"/>
    <w:rsid w:val="00372CFE"/>
    <w:rsid w:val="00372D25"/>
    <w:rsid w:val="00372E1A"/>
    <w:rsid w:val="00372E2D"/>
    <w:rsid w:val="00372E50"/>
    <w:rsid w:val="00372F26"/>
    <w:rsid w:val="003731A8"/>
    <w:rsid w:val="003731D1"/>
    <w:rsid w:val="003731E3"/>
    <w:rsid w:val="00373481"/>
    <w:rsid w:val="0037349E"/>
    <w:rsid w:val="00373680"/>
    <w:rsid w:val="00373697"/>
    <w:rsid w:val="00373866"/>
    <w:rsid w:val="00373931"/>
    <w:rsid w:val="00373A94"/>
    <w:rsid w:val="00373A9E"/>
    <w:rsid w:val="00373AA3"/>
    <w:rsid w:val="00373BEF"/>
    <w:rsid w:val="00373C53"/>
    <w:rsid w:val="00373CC7"/>
    <w:rsid w:val="00373E21"/>
    <w:rsid w:val="00373E92"/>
    <w:rsid w:val="00373F9F"/>
    <w:rsid w:val="0037407F"/>
    <w:rsid w:val="003741B9"/>
    <w:rsid w:val="003741FC"/>
    <w:rsid w:val="0037426E"/>
    <w:rsid w:val="003742DD"/>
    <w:rsid w:val="0037434A"/>
    <w:rsid w:val="0037444E"/>
    <w:rsid w:val="00374464"/>
    <w:rsid w:val="003746D4"/>
    <w:rsid w:val="003747F0"/>
    <w:rsid w:val="003749D1"/>
    <w:rsid w:val="00374A7E"/>
    <w:rsid w:val="00374B2F"/>
    <w:rsid w:val="00374B36"/>
    <w:rsid w:val="00374B5A"/>
    <w:rsid w:val="00374DD0"/>
    <w:rsid w:val="00374DE6"/>
    <w:rsid w:val="00374EC9"/>
    <w:rsid w:val="00374F09"/>
    <w:rsid w:val="00374FEF"/>
    <w:rsid w:val="00375027"/>
    <w:rsid w:val="0037502B"/>
    <w:rsid w:val="003750C6"/>
    <w:rsid w:val="0037523B"/>
    <w:rsid w:val="0037523F"/>
    <w:rsid w:val="0037543A"/>
    <w:rsid w:val="0037561E"/>
    <w:rsid w:val="0037563E"/>
    <w:rsid w:val="00375897"/>
    <w:rsid w:val="0037590A"/>
    <w:rsid w:val="00375957"/>
    <w:rsid w:val="0037595D"/>
    <w:rsid w:val="0037596B"/>
    <w:rsid w:val="003759AA"/>
    <w:rsid w:val="00375A75"/>
    <w:rsid w:val="00375B55"/>
    <w:rsid w:val="00375C82"/>
    <w:rsid w:val="00375D7D"/>
    <w:rsid w:val="00375EC5"/>
    <w:rsid w:val="0037603C"/>
    <w:rsid w:val="003760DD"/>
    <w:rsid w:val="003761B9"/>
    <w:rsid w:val="003761E8"/>
    <w:rsid w:val="003761FD"/>
    <w:rsid w:val="003762AE"/>
    <w:rsid w:val="0037638D"/>
    <w:rsid w:val="0037643B"/>
    <w:rsid w:val="0037648C"/>
    <w:rsid w:val="003764E3"/>
    <w:rsid w:val="0037651F"/>
    <w:rsid w:val="0037652E"/>
    <w:rsid w:val="003765D2"/>
    <w:rsid w:val="00376699"/>
    <w:rsid w:val="0037670C"/>
    <w:rsid w:val="00376938"/>
    <w:rsid w:val="00376A2D"/>
    <w:rsid w:val="00376BC0"/>
    <w:rsid w:val="00376CE8"/>
    <w:rsid w:val="00376CEC"/>
    <w:rsid w:val="00376D90"/>
    <w:rsid w:val="00376E4F"/>
    <w:rsid w:val="00376EB8"/>
    <w:rsid w:val="00376F2A"/>
    <w:rsid w:val="00376F66"/>
    <w:rsid w:val="00376FB3"/>
    <w:rsid w:val="00377074"/>
    <w:rsid w:val="00377277"/>
    <w:rsid w:val="003772B3"/>
    <w:rsid w:val="0037754E"/>
    <w:rsid w:val="0037756F"/>
    <w:rsid w:val="00377589"/>
    <w:rsid w:val="0037762D"/>
    <w:rsid w:val="00377722"/>
    <w:rsid w:val="003777A8"/>
    <w:rsid w:val="0037788C"/>
    <w:rsid w:val="00377A8C"/>
    <w:rsid w:val="00377AC8"/>
    <w:rsid w:val="00377AD5"/>
    <w:rsid w:val="00377B12"/>
    <w:rsid w:val="00377C09"/>
    <w:rsid w:val="00377D30"/>
    <w:rsid w:val="00377DEB"/>
    <w:rsid w:val="00377E65"/>
    <w:rsid w:val="00377ED1"/>
    <w:rsid w:val="00377EEB"/>
    <w:rsid w:val="00377FA1"/>
    <w:rsid w:val="00377FDE"/>
    <w:rsid w:val="00380038"/>
    <w:rsid w:val="003800B8"/>
    <w:rsid w:val="00380137"/>
    <w:rsid w:val="00380248"/>
    <w:rsid w:val="003803A3"/>
    <w:rsid w:val="003804CD"/>
    <w:rsid w:val="00380516"/>
    <w:rsid w:val="0038052D"/>
    <w:rsid w:val="003805F8"/>
    <w:rsid w:val="0038065B"/>
    <w:rsid w:val="00380725"/>
    <w:rsid w:val="00380737"/>
    <w:rsid w:val="0038075D"/>
    <w:rsid w:val="00380780"/>
    <w:rsid w:val="003807B3"/>
    <w:rsid w:val="0038081B"/>
    <w:rsid w:val="0038089D"/>
    <w:rsid w:val="00380972"/>
    <w:rsid w:val="003809FC"/>
    <w:rsid w:val="00380A30"/>
    <w:rsid w:val="00380A6C"/>
    <w:rsid w:val="00380AA5"/>
    <w:rsid w:val="00380B65"/>
    <w:rsid w:val="00380BCA"/>
    <w:rsid w:val="00380C08"/>
    <w:rsid w:val="00380C29"/>
    <w:rsid w:val="00380E12"/>
    <w:rsid w:val="00380E5B"/>
    <w:rsid w:val="00380EC9"/>
    <w:rsid w:val="00380EDA"/>
    <w:rsid w:val="00380F29"/>
    <w:rsid w:val="003810D9"/>
    <w:rsid w:val="003811AF"/>
    <w:rsid w:val="00381210"/>
    <w:rsid w:val="00381424"/>
    <w:rsid w:val="00381476"/>
    <w:rsid w:val="00381596"/>
    <w:rsid w:val="003817DD"/>
    <w:rsid w:val="003817FB"/>
    <w:rsid w:val="0038181E"/>
    <w:rsid w:val="0038183A"/>
    <w:rsid w:val="00381A78"/>
    <w:rsid w:val="00381B05"/>
    <w:rsid w:val="00381BD5"/>
    <w:rsid w:val="00381C48"/>
    <w:rsid w:val="00381C9D"/>
    <w:rsid w:val="00381D41"/>
    <w:rsid w:val="00381EBE"/>
    <w:rsid w:val="00381FE8"/>
    <w:rsid w:val="0038219A"/>
    <w:rsid w:val="00382252"/>
    <w:rsid w:val="00382424"/>
    <w:rsid w:val="003824B3"/>
    <w:rsid w:val="00382591"/>
    <w:rsid w:val="00382650"/>
    <w:rsid w:val="003828C7"/>
    <w:rsid w:val="003828E3"/>
    <w:rsid w:val="00382983"/>
    <w:rsid w:val="00382AB4"/>
    <w:rsid w:val="00382D5A"/>
    <w:rsid w:val="00382E2C"/>
    <w:rsid w:val="00382E3B"/>
    <w:rsid w:val="00382E78"/>
    <w:rsid w:val="00382FAD"/>
    <w:rsid w:val="00383016"/>
    <w:rsid w:val="00383132"/>
    <w:rsid w:val="003831C4"/>
    <w:rsid w:val="0038320D"/>
    <w:rsid w:val="003832DA"/>
    <w:rsid w:val="00383342"/>
    <w:rsid w:val="00383352"/>
    <w:rsid w:val="003833AD"/>
    <w:rsid w:val="0038348E"/>
    <w:rsid w:val="003834D7"/>
    <w:rsid w:val="00383529"/>
    <w:rsid w:val="003835CE"/>
    <w:rsid w:val="00383611"/>
    <w:rsid w:val="0038367D"/>
    <w:rsid w:val="00383683"/>
    <w:rsid w:val="00383780"/>
    <w:rsid w:val="003837F1"/>
    <w:rsid w:val="00383807"/>
    <w:rsid w:val="00383891"/>
    <w:rsid w:val="003838FF"/>
    <w:rsid w:val="00383915"/>
    <w:rsid w:val="00383A73"/>
    <w:rsid w:val="00383B18"/>
    <w:rsid w:val="00383CB1"/>
    <w:rsid w:val="00383DC3"/>
    <w:rsid w:val="00383E0C"/>
    <w:rsid w:val="00383F17"/>
    <w:rsid w:val="00384089"/>
    <w:rsid w:val="00384157"/>
    <w:rsid w:val="003841C5"/>
    <w:rsid w:val="00384570"/>
    <w:rsid w:val="003845BA"/>
    <w:rsid w:val="00384650"/>
    <w:rsid w:val="00384670"/>
    <w:rsid w:val="003849BD"/>
    <w:rsid w:val="003849E0"/>
    <w:rsid w:val="00384AD3"/>
    <w:rsid w:val="00384AF5"/>
    <w:rsid w:val="00384CB7"/>
    <w:rsid w:val="00384EE8"/>
    <w:rsid w:val="00384F88"/>
    <w:rsid w:val="003850B7"/>
    <w:rsid w:val="003851C3"/>
    <w:rsid w:val="00385239"/>
    <w:rsid w:val="00385248"/>
    <w:rsid w:val="0038547A"/>
    <w:rsid w:val="003856A9"/>
    <w:rsid w:val="0038575C"/>
    <w:rsid w:val="0038583C"/>
    <w:rsid w:val="0038592C"/>
    <w:rsid w:val="00385946"/>
    <w:rsid w:val="0038597B"/>
    <w:rsid w:val="003859DE"/>
    <w:rsid w:val="00385AF5"/>
    <w:rsid w:val="00385B0E"/>
    <w:rsid w:val="00385BEC"/>
    <w:rsid w:val="00385CD3"/>
    <w:rsid w:val="00385D56"/>
    <w:rsid w:val="00385DF9"/>
    <w:rsid w:val="00385E3D"/>
    <w:rsid w:val="00385F5D"/>
    <w:rsid w:val="00386023"/>
    <w:rsid w:val="003865CA"/>
    <w:rsid w:val="00386676"/>
    <w:rsid w:val="003866B7"/>
    <w:rsid w:val="003866D0"/>
    <w:rsid w:val="003866FA"/>
    <w:rsid w:val="0038674B"/>
    <w:rsid w:val="00386ADA"/>
    <w:rsid w:val="00386ADE"/>
    <w:rsid w:val="00386B0C"/>
    <w:rsid w:val="00386CC5"/>
    <w:rsid w:val="00386E42"/>
    <w:rsid w:val="003871D4"/>
    <w:rsid w:val="003873EC"/>
    <w:rsid w:val="003874D3"/>
    <w:rsid w:val="003875FD"/>
    <w:rsid w:val="003876A5"/>
    <w:rsid w:val="00387765"/>
    <w:rsid w:val="003877DC"/>
    <w:rsid w:val="003879C4"/>
    <w:rsid w:val="003879D9"/>
    <w:rsid w:val="00387BA9"/>
    <w:rsid w:val="00387BED"/>
    <w:rsid w:val="00387C38"/>
    <w:rsid w:val="00387D2E"/>
    <w:rsid w:val="00387EB0"/>
    <w:rsid w:val="00387F07"/>
    <w:rsid w:val="00387F7B"/>
    <w:rsid w:val="00387F9E"/>
    <w:rsid w:val="00390092"/>
    <w:rsid w:val="0039009B"/>
    <w:rsid w:val="00390243"/>
    <w:rsid w:val="003902A4"/>
    <w:rsid w:val="00390530"/>
    <w:rsid w:val="003906B8"/>
    <w:rsid w:val="00390701"/>
    <w:rsid w:val="0039084D"/>
    <w:rsid w:val="003908EC"/>
    <w:rsid w:val="00390980"/>
    <w:rsid w:val="00390ACD"/>
    <w:rsid w:val="00390CA1"/>
    <w:rsid w:val="00390CBA"/>
    <w:rsid w:val="00390DCE"/>
    <w:rsid w:val="00390E2E"/>
    <w:rsid w:val="00390F01"/>
    <w:rsid w:val="00390FED"/>
    <w:rsid w:val="00391038"/>
    <w:rsid w:val="00391040"/>
    <w:rsid w:val="0039104B"/>
    <w:rsid w:val="003910B3"/>
    <w:rsid w:val="003910F1"/>
    <w:rsid w:val="003911D8"/>
    <w:rsid w:val="0039131C"/>
    <w:rsid w:val="003913BA"/>
    <w:rsid w:val="0039158B"/>
    <w:rsid w:val="00391689"/>
    <w:rsid w:val="00391828"/>
    <w:rsid w:val="00391866"/>
    <w:rsid w:val="00391959"/>
    <w:rsid w:val="00391977"/>
    <w:rsid w:val="00391AFB"/>
    <w:rsid w:val="00391BD6"/>
    <w:rsid w:val="00391C49"/>
    <w:rsid w:val="00391D01"/>
    <w:rsid w:val="00391D9B"/>
    <w:rsid w:val="00391E3C"/>
    <w:rsid w:val="00391E5B"/>
    <w:rsid w:val="00391E6A"/>
    <w:rsid w:val="00391FCC"/>
    <w:rsid w:val="0039202D"/>
    <w:rsid w:val="00392087"/>
    <w:rsid w:val="00392214"/>
    <w:rsid w:val="003922E4"/>
    <w:rsid w:val="00392379"/>
    <w:rsid w:val="003923E1"/>
    <w:rsid w:val="0039254E"/>
    <w:rsid w:val="003925AB"/>
    <w:rsid w:val="00392688"/>
    <w:rsid w:val="0039271C"/>
    <w:rsid w:val="0039278D"/>
    <w:rsid w:val="00392840"/>
    <w:rsid w:val="003928CF"/>
    <w:rsid w:val="00392931"/>
    <w:rsid w:val="003929C1"/>
    <w:rsid w:val="003929C2"/>
    <w:rsid w:val="003929EE"/>
    <w:rsid w:val="00392A9A"/>
    <w:rsid w:val="00392B6D"/>
    <w:rsid w:val="00392C1B"/>
    <w:rsid w:val="00392C1F"/>
    <w:rsid w:val="00392C8F"/>
    <w:rsid w:val="00392CEC"/>
    <w:rsid w:val="00392D55"/>
    <w:rsid w:val="00392E16"/>
    <w:rsid w:val="00392E27"/>
    <w:rsid w:val="00392F47"/>
    <w:rsid w:val="00392F7D"/>
    <w:rsid w:val="00392FF6"/>
    <w:rsid w:val="00393146"/>
    <w:rsid w:val="00393217"/>
    <w:rsid w:val="0039323D"/>
    <w:rsid w:val="003933CF"/>
    <w:rsid w:val="003934B6"/>
    <w:rsid w:val="003936A6"/>
    <w:rsid w:val="003936C9"/>
    <w:rsid w:val="00393715"/>
    <w:rsid w:val="003937F0"/>
    <w:rsid w:val="00393943"/>
    <w:rsid w:val="00393C5C"/>
    <w:rsid w:val="00393C7B"/>
    <w:rsid w:val="00393CA4"/>
    <w:rsid w:val="00393D53"/>
    <w:rsid w:val="00393D5F"/>
    <w:rsid w:val="00393DFD"/>
    <w:rsid w:val="00393E8E"/>
    <w:rsid w:val="00393F65"/>
    <w:rsid w:val="003941BC"/>
    <w:rsid w:val="00394338"/>
    <w:rsid w:val="003943E1"/>
    <w:rsid w:val="0039446B"/>
    <w:rsid w:val="003948BA"/>
    <w:rsid w:val="003949B1"/>
    <w:rsid w:val="00394C07"/>
    <w:rsid w:val="00394C49"/>
    <w:rsid w:val="00394CBE"/>
    <w:rsid w:val="00394DA8"/>
    <w:rsid w:val="00394F3F"/>
    <w:rsid w:val="00394FA5"/>
    <w:rsid w:val="00395064"/>
    <w:rsid w:val="00395150"/>
    <w:rsid w:val="00395272"/>
    <w:rsid w:val="003952D5"/>
    <w:rsid w:val="0039533B"/>
    <w:rsid w:val="00395483"/>
    <w:rsid w:val="00395484"/>
    <w:rsid w:val="0039548D"/>
    <w:rsid w:val="003954CD"/>
    <w:rsid w:val="003954E2"/>
    <w:rsid w:val="00395594"/>
    <w:rsid w:val="003955CD"/>
    <w:rsid w:val="00395674"/>
    <w:rsid w:val="0039567A"/>
    <w:rsid w:val="00395855"/>
    <w:rsid w:val="00395922"/>
    <w:rsid w:val="00395927"/>
    <w:rsid w:val="00395AF6"/>
    <w:rsid w:val="00395BD1"/>
    <w:rsid w:val="00395C8F"/>
    <w:rsid w:val="00395CD4"/>
    <w:rsid w:val="00395CD9"/>
    <w:rsid w:val="00395D21"/>
    <w:rsid w:val="00395D29"/>
    <w:rsid w:val="00395D97"/>
    <w:rsid w:val="00395F8F"/>
    <w:rsid w:val="00396039"/>
    <w:rsid w:val="0039620A"/>
    <w:rsid w:val="0039621E"/>
    <w:rsid w:val="0039626C"/>
    <w:rsid w:val="003962EE"/>
    <w:rsid w:val="00396375"/>
    <w:rsid w:val="003963AE"/>
    <w:rsid w:val="0039641A"/>
    <w:rsid w:val="003964BA"/>
    <w:rsid w:val="0039653E"/>
    <w:rsid w:val="003966B4"/>
    <w:rsid w:val="0039677D"/>
    <w:rsid w:val="00396BFC"/>
    <w:rsid w:val="00396EC6"/>
    <w:rsid w:val="00396F8D"/>
    <w:rsid w:val="00396F99"/>
    <w:rsid w:val="00397034"/>
    <w:rsid w:val="0039725B"/>
    <w:rsid w:val="0039750E"/>
    <w:rsid w:val="00397725"/>
    <w:rsid w:val="003977DC"/>
    <w:rsid w:val="003978DC"/>
    <w:rsid w:val="00397937"/>
    <w:rsid w:val="00397A52"/>
    <w:rsid w:val="00397AB3"/>
    <w:rsid w:val="00397AC1"/>
    <w:rsid w:val="00397B4F"/>
    <w:rsid w:val="00397C2A"/>
    <w:rsid w:val="00397D57"/>
    <w:rsid w:val="00397E6A"/>
    <w:rsid w:val="00397E6B"/>
    <w:rsid w:val="00397EDB"/>
    <w:rsid w:val="00397FE8"/>
    <w:rsid w:val="003A00F5"/>
    <w:rsid w:val="003A013D"/>
    <w:rsid w:val="003A01A7"/>
    <w:rsid w:val="003A01E1"/>
    <w:rsid w:val="003A01F1"/>
    <w:rsid w:val="003A02CF"/>
    <w:rsid w:val="003A03F8"/>
    <w:rsid w:val="003A04AF"/>
    <w:rsid w:val="003A04C2"/>
    <w:rsid w:val="003A05AA"/>
    <w:rsid w:val="003A068F"/>
    <w:rsid w:val="003A078A"/>
    <w:rsid w:val="003A0812"/>
    <w:rsid w:val="003A09A2"/>
    <w:rsid w:val="003A0BCC"/>
    <w:rsid w:val="003A0C25"/>
    <w:rsid w:val="003A0D47"/>
    <w:rsid w:val="003A0D59"/>
    <w:rsid w:val="003A0DB5"/>
    <w:rsid w:val="003A0E30"/>
    <w:rsid w:val="003A0EF9"/>
    <w:rsid w:val="003A0F78"/>
    <w:rsid w:val="003A1041"/>
    <w:rsid w:val="003A12C8"/>
    <w:rsid w:val="003A13D1"/>
    <w:rsid w:val="003A13E8"/>
    <w:rsid w:val="003A145A"/>
    <w:rsid w:val="003A1467"/>
    <w:rsid w:val="003A1569"/>
    <w:rsid w:val="003A167B"/>
    <w:rsid w:val="003A1687"/>
    <w:rsid w:val="003A1757"/>
    <w:rsid w:val="003A1851"/>
    <w:rsid w:val="003A1969"/>
    <w:rsid w:val="003A1A45"/>
    <w:rsid w:val="003A1A9C"/>
    <w:rsid w:val="003A1AAF"/>
    <w:rsid w:val="003A1B25"/>
    <w:rsid w:val="003A1B58"/>
    <w:rsid w:val="003A1B7B"/>
    <w:rsid w:val="003A1C36"/>
    <w:rsid w:val="003A1C71"/>
    <w:rsid w:val="003A1D9C"/>
    <w:rsid w:val="003A1E05"/>
    <w:rsid w:val="003A1EA8"/>
    <w:rsid w:val="003A1EF5"/>
    <w:rsid w:val="003A214D"/>
    <w:rsid w:val="003A21B0"/>
    <w:rsid w:val="003A21BB"/>
    <w:rsid w:val="003A22D7"/>
    <w:rsid w:val="003A22EE"/>
    <w:rsid w:val="003A2703"/>
    <w:rsid w:val="003A2779"/>
    <w:rsid w:val="003A2A96"/>
    <w:rsid w:val="003A2AF1"/>
    <w:rsid w:val="003A2C23"/>
    <w:rsid w:val="003A2CF9"/>
    <w:rsid w:val="003A2D13"/>
    <w:rsid w:val="003A2E38"/>
    <w:rsid w:val="003A2F44"/>
    <w:rsid w:val="003A2FD0"/>
    <w:rsid w:val="003A302B"/>
    <w:rsid w:val="003A3051"/>
    <w:rsid w:val="003A3136"/>
    <w:rsid w:val="003A31D9"/>
    <w:rsid w:val="003A3209"/>
    <w:rsid w:val="003A3338"/>
    <w:rsid w:val="003A335A"/>
    <w:rsid w:val="003A3420"/>
    <w:rsid w:val="003A35D5"/>
    <w:rsid w:val="003A366A"/>
    <w:rsid w:val="003A3833"/>
    <w:rsid w:val="003A388F"/>
    <w:rsid w:val="003A3900"/>
    <w:rsid w:val="003A3BED"/>
    <w:rsid w:val="003A3CF4"/>
    <w:rsid w:val="003A3D3D"/>
    <w:rsid w:val="003A3E85"/>
    <w:rsid w:val="003A3E88"/>
    <w:rsid w:val="003A3F90"/>
    <w:rsid w:val="003A41E8"/>
    <w:rsid w:val="003A42E5"/>
    <w:rsid w:val="003A42F7"/>
    <w:rsid w:val="003A431E"/>
    <w:rsid w:val="003A44DE"/>
    <w:rsid w:val="003A450F"/>
    <w:rsid w:val="003A452E"/>
    <w:rsid w:val="003A4687"/>
    <w:rsid w:val="003A47D7"/>
    <w:rsid w:val="003A4832"/>
    <w:rsid w:val="003A48FE"/>
    <w:rsid w:val="003A4A54"/>
    <w:rsid w:val="003A4A6B"/>
    <w:rsid w:val="003A4B2C"/>
    <w:rsid w:val="003A4B52"/>
    <w:rsid w:val="003A4BEF"/>
    <w:rsid w:val="003A4D67"/>
    <w:rsid w:val="003A4DDB"/>
    <w:rsid w:val="003A4E37"/>
    <w:rsid w:val="003A4FAF"/>
    <w:rsid w:val="003A50F9"/>
    <w:rsid w:val="003A5141"/>
    <w:rsid w:val="003A5161"/>
    <w:rsid w:val="003A5194"/>
    <w:rsid w:val="003A52D0"/>
    <w:rsid w:val="003A5457"/>
    <w:rsid w:val="003A57B6"/>
    <w:rsid w:val="003A5893"/>
    <w:rsid w:val="003A58C7"/>
    <w:rsid w:val="003A5AD5"/>
    <w:rsid w:val="003A5C87"/>
    <w:rsid w:val="003A5D1B"/>
    <w:rsid w:val="003A5D2C"/>
    <w:rsid w:val="003A5DE8"/>
    <w:rsid w:val="003A5E7E"/>
    <w:rsid w:val="003A5F7A"/>
    <w:rsid w:val="003A5F95"/>
    <w:rsid w:val="003A5FB0"/>
    <w:rsid w:val="003A6001"/>
    <w:rsid w:val="003A60B3"/>
    <w:rsid w:val="003A61B4"/>
    <w:rsid w:val="003A6413"/>
    <w:rsid w:val="003A6538"/>
    <w:rsid w:val="003A664B"/>
    <w:rsid w:val="003A6721"/>
    <w:rsid w:val="003A678D"/>
    <w:rsid w:val="003A679C"/>
    <w:rsid w:val="003A67CD"/>
    <w:rsid w:val="003A6974"/>
    <w:rsid w:val="003A69F5"/>
    <w:rsid w:val="003A6AA1"/>
    <w:rsid w:val="003A6B43"/>
    <w:rsid w:val="003A6C17"/>
    <w:rsid w:val="003A6C1A"/>
    <w:rsid w:val="003A6C8A"/>
    <w:rsid w:val="003A6D3B"/>
    <w:rsid w:val="003A6DCC"/>
    <w:rsid w:val="003A70EB"/>
    <w:rsid w:val="003A70F5"/>
    <w:rsid w:val="003A710E"/>
    <w:rsid w:val="003A7283"/>
    <w:rsid w:val="003A7284"/>
    <w:rsid w:val="003A73B0"/>
    <w:rsid w:val="003A7540"/>
    <w:rsid w:val="003A76C0"/>
    <w:rsid w:val="003A76D0"/>
    <w:rsid w:val="003A7701"/>
    <w:rsid w:val="003A7915"/>
    <w:rsid w:val="003A79A1"/>
    <w:rsid w:val="003A79B1"/>
    <w:rsid w:val="003A79B4"/>
    <w:rsid w:val="003A79D4"/>
    <w:rsid w:val="003A79E9"/>
    <w:rsid w:val="003A7A67"/>
    <w:rsid w:val="003A7B5B"/>
    <w:rsid w:val="003A7C2A"/>
    <w:rsid w:val="003A7C6C"/>
    <w:rsid w:val="003A7D30"/>
    <w:rsid w:val="003A7D82"/>
    <w:rsid w:val="003A7E51"/>
    <w:rsid w:val="003A7EC0"/>
    <w:rsid w:val="003A7F57"/>
    <w:rsid w:val="003A7F6B"/>
    <w:rsid w:val="003A7F85"/>
    <w:rsid w:val="003A7FB4"/>
    <w:rsid w:val="003B004B"/>
    <w:rsid w:val="003B00BC"/>
    <w:rsid w:val="003B00D3"/>
    <w:rsid w:val="003B011F"/>
    <w:rsid w:val="003B012C"/>
    <w:rsid w:val="003B0166"/>
    <w:rsid w:val="003B01AC"/>
    <w:rsid w:val="003B01E6"/>
    <w:rsid w:val="003B0229"/>
    <w:rsid w:val="003B0268"/>
    <w:rsid w:val="003B02BE"/>
    <w:rsid w:val="003B034C"/>
    <w:rsid w:val="003B035F"/>
    <w:rsid w:val="003B0361"/>
    <w:rsid w:val="003B04D4"/>
    <w:rsid w:val="003B0617"/>
    <w:rsid w:val="003B066D"/>
    <w:rsid w:val="003B069A"/>
    <w:rsid w:val="003B07AD"/>
    <w:rsid w:val="003B0986"/>
    <w:rsid w:val="003B099C"/>
    <w:rsid w:val="003B09B7"/>
    <w:rsid w:val="003B0A4E"/>
    <w:rsid w:val="003B0B92"/>
    <w:rsid w:val="003B0C37"/>
    <w:rsid w:val="003B0C44"/>
    <w:rsid w:val="003B0D94"/>
    <w:rsid w:val="003B0E39"/>
    <w:rsid w:val="003B0EDD"/>
    <w:rsid w:val="003B1107"/>
    <w:rsid w:val="003B11D4"/>
    <w:rsid w:val="003B1247"/>
    <w:rsid w:val="003B1337"/>
    <w:rsid w:val="003B135F"/>
    <w:rsid w:val="003B141B"/>
    <w:rsid w:val="003B156E"/>
    <w:rsid w:val="003B171A"/>
    <w:rsid w:val="003B17D5"/>
    <w:rsid w:val="003B1959"/>
    <w:rsid w:val="003B1A46"/>
    <w:rsid w:val="003B1B70"/>
    <w:rsid w:val="003B1B86"/>
    <w:rsid w:val="003B1C00"/>
    <w:rsid w:val="003B1D8F"/>
    <w:rsid w:val="003B1DAF"/>
    <w:rsid w:val="003B1E25"/>
    <w:rsid w:val="003B1F41"/>
    <w:rsid w:val="003B1F6E"/>
    <w:rsid w:val="003B2052"/>
    <w:rsid w:val="003B20C8"/>
    <w:rsid w:val="003B215A"/>
    <w:rsid w:val="003B2367"/>
    <w:rsid w:val="003B2562"/>
    <w:rsid w:val="003B256C"/>
    <w:rsid w:val="003B2577"/>
    <w:rsid w:val="003B2623"/>
    <w:rsid w:val="003B2681"/>
    <w:rsid w:val="003B26FD"/>
    <w:rsid w:val="003B27B2"/>
    <w:rsid w:val="003B27F3"/>
    <w:rsid w:val="003B280B"/>
    <w:rsid w:val="003B2823"/>
    <w:rsid w:val="003B285E"/>
    <w:rsid w:val="003B293B"/>
    <w:rsid w:val="003B2ACA"/>
    <w:rsid w:val="003B2B25"/>
    <w:rsid w:val="003B2BEF"/>
    <w:rsid w:val="003B2BFC"/>
    <w:rsid w:val="003B2C52"/>
    <w:rsid w:val="003B2C8C"/>
    <w:rsid w:val="003B2C9E"/>
    <w:rsid w:val="003B2CCB"/>
    <w:rsid w:val="003B2E87"/>
    <w:rsid w:val="003B3144"/>
    <w:rsid w:val="003B3385"/>
    <w:rsid w:val="003B3532"/>
    <w:rsid w:val="003B363E"/>
    <w:rsid w:val="003B3646"/>
    <w:rsid w:val="003B37EF"/>
    <w:rsid w:val="003B38C4"/>
    <w:rsid w:val="003B3A13"/>
    <w:rsid w:val="003B3A55"/>
    <w:rsid w:val="003B3AC0"/>
    <w:rsid w:val="003B3B68"/>
    <w:rsid w:val="003B3C44"/>
    <w:rsid w:val="003B3C7C"/>
    <w:rsid w:val="003B3CAE"/>
    <w:rsid w:val="003B3D33"/>
    <w:rsid w:val="003B3D6F"/>
    <w:rsid w:val="003B3D8C"/>
    <w:rsid w:val="003B3DDC"/>
    <w:rsid w:val="003B3DE6"/>
    <w:rsid w:val="003B3E02"/>
    <w:rsid w:val="003B3FB5"/>
    <w:rsid w:val="003B4130"/>
    <w:rsid w:val="003B4236"/>
    <w:rsid w:val="003B426D"/>
    <w:rsid w:val="003B440A"/>
    <w:rsid w:val="003B4414"/>
    <w:rsid w:val="003B442C"/>
    <w:rsid w:val="003B447F"/>
    <w:rsid w:val="003B4567"/>
    <w:rsid w:val="003B459C"/>
    <w:rsid w:val="003B45CD"/>
    <w:rsid w:val="003B4686"/>
    <w:rsid w:val="003B477F"/>
    <w:rsid w:val="003B478D"/>
    <w:rsid w:val="003B47E4"/>
    <w:rsid w:val="003B493C"/>
    <w:rsid w:val="003B49BA"/>
    <w:rsid w:val="003B4A17"/>
    <w:rsid w:val="003B4AC8"/>
    <w:rsid w:val="003B4AF1"/>
    <w:rsid w:val="003B4B24"/>
    <w:rsid w:val="003B4B8E"/>
    <w:rsid w:val="003B4BB1"/>
    <w:rsid w:val="003B4C5E"/>
    <w:rsid w:val="003B4D4C"/>
    <w:rsid w:val="003B4F18"/>
    <w:rsid w:val="003B4F1C"/>
    <w:rsid w:val="003B4F24"/>
    <w:rsid w:val="003B4F89"/>
    <w:rsid w:val="003B5045"/>
    <w:rsid w:val="003B50FF"/>
    <w:rsid w:val="003B5127"/>
    <w:rsid w:val="003B512C"/>
    <w:rsid w:val="003B5243"/>
    <w:rsid w:val="003B53CC"/>
    <w:rsid w:val="003B5472"/>
    <w:rsid w:val="003B54BA"/>
    <w:rsid w:val="003B550D"/>
    <w:rsid w:val="003B5647"/>
    <w:rsid w:val="003B577B"/>
    <w:rsid w:val="003B5842"/>
    <w:rsid w:val="003B58FD"/>
    <w:rsid w:val="003B59CA"/>
    <w:rsid w:val="003B5ABD"/>
    <w:rsid w:val="003B5C4B"/>
    <w:rsid w:val="003B5C65"/>
    <w:rsid w:val="003B5C82"/>
    <w:rsid w:val="003B5CF1"/>
    <w:rsid w:val="003B5DAA"/>
    <w:rsid w:val="003B5F56"/>
    <w:rsid w:val="003B5F97"/>
    <w:rsid w:val="003B601E"/>
    <w:rsid w:val="003B61A7"/>
    <w:rsid w:val="003B6202"/>
    <w:rsid w:val="003B6316"/>
    <w:rsid w:val="003B631A"/>
    <w:rsid w:val="003B631F"/>
    <w:rsid w:val="003B638E"/>
    <w:rsid w:val="003B6437"/>
    <w:rsid w:val="003B6569"/>
    <w:rsid w:val="003B68E7"/>
    <w:rsid w:val="003B6981"/>
    <w:rsid w:val="003B698B"/>
    <w:rsid w:val="003B6B76"/>
    <w:rsid w:val="003B6B94"/>
    <w:rsid w:val="003B6B9E"/>
    <w:rsid w:val="003B6CDF"/>
    <w:rsid w:val="003B6D43"/>
    <w:rsid w:val="003B6DB9"/>
    <w:rsid w:val="003B6E2F"/>
    <w:rsid w:val="003B6E45"/>
    <w:rsid w:val="003B6ED6"/>
    <w:rsid w:val="003B7023"/>
    <w:rsid w:val="003B7071"/>
    <w:rsid w:val="003B7204"/>
    <w:rsid w:val="003B721C"/>
    <w:rsid w:val="003B726C"/>
    <w:rsid w:val="003B72FD"/>
    <w:rsid w:val="003B7338"/>
    <w:rsid w:val="003B75A3"/>
    <w:rsid w:val="003B765C"/>
    <w:rsid w:val="003B76B1"/>
    <w:rsid w:val="003B77D0"/>
    <w:rsid w:val="003B77D5"/>
    <w:rsid w:val="003B7853"/>
    <w:rsid w:val="003B7913"/>
    <w:rsid w:val="003B794A"/>
    <w:rsid w:val="003B7A1C"/>
    <w:rsid w:val="003B7A71"/>
    <w:rsid w:val="003B7B15"/>
    <w:rsid w:val="003B7B25"/>
    <w:rsid w:val="003B7B7F"/>
    <w:rsid w:val="003B7B8E"/>
    <w:rsid w:val="003B7D6B"/>
    <w:rsid w:val="003B7E5C"/>
    <w:rsid w:val="003B7EBC"/>
    <w:rsid w:val="003B7F17"/>
    <w:rsid w:val="003C002C"/>
    <w:rsid w:val="003C0038"/>
    <w:rsid w:val="003C012A"/>
    <w:rsid w:val="003C015C"/>
    <w:rsid w:val="003C0259"/>
    <w:rsid w:val="003C027A"/>
    <w:rsid w:val="003C029A"/>
    <w:rsid w:val="003C043F"/>
    <w:rsid w:val="003C05AD"/>
    <w:rsid w:val="003C05AE"/>
    <w:rsid w:val="003C066F"/>
    <w:rsid w:val="003C074D"/>
    <w:rsid w:val="003C09AB"/>
    <w:rsid w:val="003C0A87"/>
    <w:rsid w:val="003C0AC1"/>
    <w:rsid w:val="003C0AC2"/>
    <w:rsid w:val="003C0B83"/>
    <w:rsid w:val="003C0BDB"/>
    <w:rsid w:val="003C0C13"/>
    <w:rsid w:val="003C0C91"/>
    <w:rsid w:val="003C0E17"/>
    <w:rsid w:val="003C0EA3"/>
    <w:rsid w:val="003C0EB8"/>
    <w:rsid w:val="003C0FA9"/>
    <w:rsid w:val="003C1295"/>
    <w:rsid w:val="003C1392"/>
    <w:rsid w:val="003C1480"/>
    <w:rsid w:val="003C15C7"/>
    <w:rsid w:val="003C1657"/>
    <w:rsid w:val="003C1698"/>
    <w:rsid w:val="003C178D"/>
    <w:rsid w:val="003C1816"/>
    <w:rsid w:val="003C1855"/>
    <w:rsid w:val="003C1BA1"/>
    <w:rsid w:val="003C1C9D"/>
    <w:rsid w:val="003C1D07"/>
    <w:rsid w:val="003C1DE0"/>
    <w:rsid w:val="003C2035"/>
    <w:rsid w:val="003C20CA"/>
    <w:rsid w:val="003C21F1"/>
    <w:rsid w:val="003C21F4"/>
    <w:rsid w:val="003C222B"/>
    <w:rsid w:val="003C2252"/>
    <w:rsid w:val="003C22B9"/>
    <w:rsid w:val="003C2414"/>
    <w:rsid w:val="003C24C7"/>
    <w:rsid w:val="003C254A"/>
    <w:rsid w:val="003C2566"/>
    <w:rsid w:val="003C258D"/>
    <w:rsid w:val="003C260F"/>
    <w:rsid w:val="003C266B"/>
    <w:rsid w:val="003C2699"/>
    <w:rsid w:val="003C2775"/>
    <w:rsid w:val="003C27AF"/>
    <w:rsid w:val="003C27F3"/>
    <w:rsid w:val="003C2813"/>
    <w:rsid w:val="003C298B"/>
    <w:rsid w:val="003C29A6"/>
    <w:rsid w:val="003C29A9"/>
    <w:rsid w:val="003C2C06"/>
    <w:rsid w:val="003C2DA0"/>
    <w:rsid w:val="003C2F32"/>
    <w:rsid w:val="003C2FDC"/>
    <w:rsid w:val="003C304E"/>
    <w:rsid w:val="003C307D"/>
    <w:rsid w:val="003C307E"/>
    <w:rsid w:val="003C3154"/>
    <w:rsid w:val="003C3406"/>
    <w:rsid w:val="003C342C"/>
    <w:rsid w:val="003C343F"/>
    <w:rsid w:val="003C3445"/>
    <w:rsid w:val="003C34F2"/>
    <w:rsid w:val="003C35AD"/>
    <w:rsid w:val="003C362A"/>
    <w:rsid w:val="003C36E3"/>
    <w:rsid w:val="003C38B6"/>
    <w:rsid w:val="003C3908"/>
    <w:rsid w:val="003C39AD"/>
    <w:rsid w:val="003C3AE7"/>
    <w:rsid w:val="003C3B66"/>
    <w:rsid w:val="003C3B75"/>
    <w:rsid w:val="003C3BA1"/>
    <w:rsid w:val="003C3C26"/>
    <w:rsid w:val="003C3C27"/>
    <w:rsid w:val="003C3C4E"/>
    <w:rsid w:val="003C3C67"/>
    <w:rsid w:val="003C3D32"/>
    <w:rsid w:val="003C3D35"/>
    <w:rsid w:val="003C3DC1"/>
    <w:rsid w:val="003C3E27"/>
    <w:rsid w:val="003C3F19"/>
    <w:rsid w:val="003C3FF2"/>
    <w:rsid w:val="003C4075"/>
    <w:rsid w:val="003C412D"/>
    <w:rsid w:val="003C42FC"/>
    <w:rsid w:val="003C43B6"/>
    <w:rsid w:val="003C4445"/>
    <w:rsid w:val="003C4451"/>
    <w:rsid w:val="003C44D7"/>
    <w:rsid w:val="003C471C"/>
    <w:rsid w:val="003C48FB"/>
    <w:rsid w:val="003C4964"/>
    <w:rsid w:val="003C4A5C"/>
    <w:rsid w:val="003C4B5C"/>
    <w:rsid w:val="003C4C8B"/>
    <w:rsid w:val="003C4C8F"/>
    <w:rsid w:val="003C4FB7"/>
    <w:rsid w:val="003C50DA"/>
    <w:rsid w:val="003C50E8"/>
    <w:rsid w:val="003C5138"/>
    <w:rsid w:val="003C5165"/>
    <w:rsid w:val="003C5175"/>
    <w:rsid w:val="003C51C3"/>
    <w:rsid w:val="003C520E"/>
    <w:rsid w:val="003C5217"/>
    <w:rsid w:val="003C521E"/>
    <w:rsid w:val="003C52B2"/>
    <w:rsid w:val="003C52FA"/>
    <w:rsid w:val="003C539D"/>
    <w:rsid w:val="003C5891"/>
    <w:rsid w:val="003C58CB"/>
    <w:rsid w:val="003C59EA"/>
    <w:rsid w:val="003C5A64"/>
    <w:rsid w:val="003C5A6F"/>
    <w:rsid w:val="003C5CF3"/>
    <w:rsid w:val="003C5DBF"/>
    <w:rsid w:val="003C5F38"/>
    <w:rsid w:val="003C6081"/>
    <w:rsid w:val="003C6183"/>
    <w:rsid w:val="003C61E7"/>
    <w:rsid w:val="003C644F"/>
    <w:rsid w:val="003C6769"/>
    <w:rsid w:val="003C67EA"/>
    <w:rsid w:val="003C6840"/>
    <w:rsid w:val="003C6909"/>
    <w:rsid w:val="003C6E88"/>
    <w:rsid w:val="003C6F0E"/>
    <w:rsid w:val="003C6F9D"/>
    <w:rsid w:val="003C702B"/>
    <w:rsid w:val="003C713B"/>
    <w:rsid w:val="003C7151"/>
    <w:rsid w:val="003C71C6"/>
    <w:rsid w:val="003C75EC"/>
    <w:rsid w:val="003C7670"/>
    <w:rsid w:val="003C7682"/>
    <w:rsid w:val="003C76AD"/>
    <w:rsid w:val="003C76CB"/>
    <w:rsid w:val="003C777A"/>
    <w:rsid w:val="003C7909"/>
    <w:rsid w:val="003C7B31"/>
    <w:rsid w:val="003C7BCC"/>
    <w:rsid w:val="003C7C64"/>
    <w:rsid w:val="003C7D21"/>
    <w:rsid w:val="003C7D97"/>
    <w:rsid w:val="003C7E69"/>
    <w:rsid w:val="003D0090"/>
    <w:rsid w:val="003D01DB"/>
    <w:rsid w:val="003D0206"/>
    <w:rsid w:val="003D0476"/>
    <w:rsid w:val="003D04DB"/>
    <w:rsid w:val="003D0554"/>
    <w:rsid w:val="003D0556"/>
    <w:rsid w:val="003D05D7"/>
    <w:rsid w:val="003D0738"/>
    <w:rsid w:val="003D0746"/>
    <w:rsid w:val="003D07C5"/>
    <w:rsid w:val="003D07CF"/>
    <w:rsid w:val="003D0834"/>
    <w:rsid w:val="003D08ED"/>
    <w:rsid w:val="003D0A8A"/>
    <w:rsid w:val="003D0CA4"/>
    <w:rsid w:val="003D0D63"/>
    <w:rsid w:val="003D0DB1"/>
    <w:rsid w:val="003D0FCD"/>
    <w:rsid w:val="003D111A"/>
    <w:rsid w:val="003D116E"/>
    <w:rsid w:val="003D13CE"/>
    <w:rsid w:val="003D172C"/>
    <w:rsid w:val="003D179D"/>
    <w:rsid w:val="003D18CD"/>
    <w:rsid w:val="003D1963"/>
    <w:rsid w:val="003D1A65"/>
    <w:rsid w:val="003D1B38"/>
    <w:rsid w:val="003D1B7E"/>
    <w:rsid w:val="003D1B95"/>
    <w:rsid w:val="003D1CAA"/>
    <w:rsid w:val="003D1D30"/>
    <w:rsid w:val="003D1EEE"/>
    <w:rsid w:val="003D1F16"/>
    <w:rsid w:val="003D1F3A"/>
    <w:rsid w:val="003D1FA1"/>
    <w:rsid w:val="003D1FF4"/>
    <w:rsid w:val="003D210C"/>
    <w:rsid w:val="003D231E"/>
    <w:rsid w:val="003D2447"/>
    <w:rsid w:val="003D247F"/>
    <w:rsid w:val="003D261B"/>
    <w:rsid w:val="003D2746"/>
    <w:rsid w:val="003D27C0"/>
    <w:rsid w:val="003D293D"/>
    <w:rsid w:val="003D29F0"/>
    <w:rsid w:val="003D2A45"/>
    <w:rsid w:val="003D2AD2"/>
    <w:rsid w:val="003D2BFB"/>
    <w:rsid w:val="003D2CEE"/>
    <w:rsid w:val="003D2E37"/>
    <w:rsid w:val="003D2E8D"/>
    <w:rsid w:val="003D2F98"/>
    <w:rsid w:val="003D3083"/>
    <w:rsid w:val="003D32F0"/>
    <w:rsid w:val="003D337D"/>
    <w:rsid w:val="003D33E6"/>
    <w:rsid w:val="003D3491"/>
    <w:rsid w:val="003D35E0"/>
    <w:rsid w:val="003D362A"/>
    <w:rsid w:val="003D3637"/>
    <w:rsid w:val="003D382C"/>
    <w:rsid w:val="003D3855"/>
    <w:rsid w:val="003D39EB"/>
    <w:rsid w:val="003D3A1F"/>
    <w:rsid w:val="003D3AA9"/>
    <w:rsid w:val="003D3AB5"/>
    <w:rsid w:val="003D3B77"/>
    <w:rsid w:val="003D3DE1"/>
    <w:rsid w:val="003D3F3F"/>
    <w:rsid w:val="003D3F66"/>
    <w:rsid w:val="003D4092"/>
    <w:rsid w:val="003D40BE"/>
    <w:rsid w:val="003D4147"/>
    <w:rsid w:val="003D416D"/>
    <w:rsid w:val="003D41D1"/>
    <w:rsid w:val="003D4311"/>
    <w:rsid w:val="003D432B"/>
    <w:rsid w:val="003D46C9"/>
    <w:rsid w:val="003D4858"/>
    <w:rsid w:val="003D4892"/>
    <w:rsid w:val="003D4B0A"/>
    <w:rsid w:val="003D4B24"/>
    <w:rsid w:val="003D4B60"/>
    <w:rsid w:val="003D4BBC"/>
    <w:rsid w:val="003D4D17"/>
    <w:rsid w:val="003D4D2F"/>
    <w:rsid w:val="003D4D31"/>
    <w:rsid w:val="003D4D9C"/>
    <w:rsid w:val="003D4E36"/>
    <w:rsid w:val="003D4EEF"/>
    <w:rsid w:val="003D4F06"/>
    <w:rsid w:val="003D507B"/>
    <w:rsid w:val="003D5114"/>
    <w:rsid w:val="003D5132"/>
    <w:rsid w:val="003D51CE"/>
    <w:rsid w:val="003D5238"/>
    <w:rsid w:val="003D527B"/>
    <w:rsid w:val="003D52F9"/>
    <w:rsid w:val="003D5340"/>
    <w:rsid w:val="003D5344"/>
    <w:rsid w:val="003D5367"/>
    <w:rsid w:val="003D552E"/>
    <w:rsid w:val="003D5575"/>
    <w:rsid w:val="003D557D"/>
    <w:rsid w:val="003D5599"/>
    <w:rsid w:val="003D5644"/>
    <w:rsid w:val="003D56A4"/>
    <w:rsid w:val="003D5766"/>
    <w:rsid w:val="003D588A"/>
    <w:rsid w:val="003D589A"/>
    <w:rsid w:val="003D59C0"/>
    <w:rsid w:val="003D5A22"/>
    <w:rsid w:val="003D5A7E"/>
    <w:rsid w:val="003D5BA1"/>
    <w:rsid w:val="003D5BF8"/>
    <w:rsid w:val="003D5C68"/>
    <w:rsid w:val="003D5CD9"/>
    <w:rsid w:val="003D5FED"/>
    <w:rsid w:val="003D6064"/>
    <w:rsid w:val="003D60FF"/>
    <w:rsid w:val="003D612A"/>
    <w:rsid w:val="003D61BD"/>
    <w:rsid w:val="003D61E6"/>
    <w:rsid w:val="003D62EE"/>
    <w:rsid w:val="003D6540"/>
    <w:rsid w:val="003D65D3"/>
    <w:rsid w:val="003D67E4"/>
    <w:rsid w:val="003D68C6"/>
    <w:rsid w:val="003D694D"/>
    <w:rsid w:val="003D6B38"/>
    <w:rsid w:val="003D6BF4"/>
    <w:rsid w:val="003D6D0C"/>
    <w:rsid w:val="003D6DEB"/>
    <w:rsid w:val="003D6DFE"/>
    <w:rsid w:val="003D6EB6"/>
    <w:rsid w:val="003D710E"/>
    <w:rsid w:val="003D727C"/>
    <w:rsid w:val="003D72D9"/>
    <w:rsid w:val="003D7462"/>
    <w:rsid w:val="003D750E"/>
    <w:rsid w:val="003D760B"/>
    <w:rsid w:val="003D7612"/>
    <w:rsid w:val="003D774C"/>
    <w:rsid w:val="003D7979"/>
    <w:rsid w:val="003D79EB"/>
    <w:rsid w:val="003D7AF9"/>
    <w:rsid w:val="003D7B19"/>
    <w:rsid w:val="003D7DBE"/>
    <w:rsid w:val="003D7ED0"/>
    <w:rsid w:val="003D7EDB"/>
    <w:rsid w:val="003E0027"/>
    <w:rsid w:val="003E0123"/>
    <w:rsid w:val="003E0151"/>
    <w:rsid w:val="003E017B"/>
    <w:rsid w:val="003E0232"/>
    <w:rsid w:val="003E0276"/>
    <w:rsid w:val="003E02D6"/>
    <w:rsid w:val="003E0308"/>
    <w:rsid w:val="003E0393"/>
    <w:rsid w:val="003E0402"/>
    <w:rsid w:val="003E0465"/>
    <w:rsid w:val="003E051E"/>
    <w:rsid w:val="003E0680"/>
    <w:rsid w:val="003E0B61"/>
    <w:rsid w:val="003E0B71"/>
    <w:rsid w:val="003E0D43"/>
    <w:rsid w:val="003E0D63"/>
    <w:rsid w:val="003E0D74"/>
    <w:rsid w:val="003E0E47"/>
    <w:rsid w:val="003E0F78"/>
    <w:rsid w:val="003E0F79"/>
    <w:rsid w:val="003E1063"/>
    <w:rsid w:val="003E107A"/>
    <w:rsid w:val="003E10C4"/>
    <w:rsid w:val="003E1394"/>
    <w:rsid w:val="003E1412"/>
    <w:rsid w:val="003E144E"/>
    <w:rsid w:val="003E1678"/>
    <w:rsid w:val="003E170F"/>
    <w:rsid w:val="003E1752"/>
    <w:rsid w:val="003E177B"/>
    <w:rsid w:val="003E1833"/>
    <w:rsid w:val="003E18A7"/>
    <w:rsid w:val="003E1993"/>
    <w:rsid w:val="003E1A51"/>
    <w:rsid w:val="003E1D08"/>
    <w:rsid w:val="003E1F2B"/>
    <w:rsid w:val="003E2032"/>
    <w:rsid w:val="003E20C4"/>
    <w:rsid w:val="003E20F9"/>
    <w:rsid w:val="003E20FD"/>
    <w:rsid w:val="003E230E"/>
    <w:rsid w:val="003E23A9"/>
    <w:rsid w:val="003E25AE"/>
    <w:rsid w:val="003E27EA"/>
    <w:rsid w:val="003E2A03"/>
    <w:rsid w:val="003E2A69"/>
    <w:rsid w:val="003E2B5E"/>
    <w:rsid w:val="003E2BC2"/>
    <w:rsid w:val="003E2C73"/>
    <w:rsid w:val="003E2DEC"/>
    <w:rsid w:val="003E2ED0"/>
    <w:rsid w:val="003E2F0F"/>
    <w:rsid w:val="003E2FA1"/>
    <w:rsid w:val="003E30E3"/>
    <w:rsid w:val="003E3238"/>
    <w:rsid w:val="003E325B"/>
    <w:rsid w:val="003E3314"/>
    <w:rsid w:val="003E3440"/>
    <w:rsid w:val="003E34DE"/>
    <w:rsid w:val="003E34FE"/>
    <w:rsid w:val="003E365E"/>
    <w:rsid w:val="003E377C"/>
    <w:rsid w:val="003E38FD"/>
    <w:rsid w:val="003E392F"/>
    <w:rsid w:val="003E399E"/>
    <w:rsid w:val="003E3A22"/>
    <w:rsid w:val="003E3ADF"/>
    <w:rsid w:val="003E3BD1"/>
    <w:rsid w:val="003E3BD6"/>
    <w:rsid w:val="003E3BDB"/>
    <w:rsid w:val="003E3BF5"/>
    <w:rsid w:val="003E3C0B"/>
    <w:rsid w:val="003E3D54"/>
    <w:rsid w:val="003E3D8D"/>
    <w:rsid w:val="003E3DAE"/>
    <w:rsid w:val="003E3DC2"/>
    <w:rsid w:val="003E3DD2"/>
    <w:rsid w:val="003E3DEB"/>
    <w:rsid w:val="003E3E52"/>
    <w:rsid w:val="003E402F"/>
    <w:rsid w:val="003E4137"/>
    <w:rsid w:val="003E41B8"/>
    <w:rsid w:val="003E4225"/>
    <w:rsid w:val="003E4229"/>
    <w:rsid w:val="003E455A"/>
    <w:rsid w:val="003E45CD"/>
    <w:rsid w:val="003E476E"/>
    <w:rsid w:val="003E47E3"/>
    <w:rsid w:val="003E487F"/>
    <w:rsid w:val="003E4922"/>
    <w:rsid w:val="003E4992"/>
    <w:rsid w:val="003E49E8"/>
    <w:rsid w:val="003E4A31"/>
    <w:rsid w:val="003E4A75"/>
    <w:rsid w:val="003E4BCF"/>
    <w:rsid w:val="003E4D45"/>
    <w:rsid w:val="003E4D7C"/>
    <w:rsid w:val="003E4E11"/>
    <w:rsid w:val="003E4E82"/>
    <w:rsid w:val="003E5026"/>
    <w:rsid w:val="003E50B7"/>
    <w:rsid w:val="003E5113"/>
    <w:rsid w:val="003E51D5"/>
    <w:rsid w:val="003E547A"/>
    <w:rsid w:val="003E54E8"/>
    <w:rsid w:val="003E5655"/>
    <w:rsid w:val="003E5675"/>
    <w:rsid w:val="003E56A9"/>
    <w:rsid w:val="003E56B0"/>
    <w:rsid w:val="003E5722"/>
    <w:rsid w:val="003E57D1"/>
    <w:rsid w:val="003E5CFB"/>
    <w:rsid w:val="003E5E6E"/>
    <w:rsid w:val="003E63C5"/>
    <w:rsid w:val="003E65ED"/>
    <w:rsid w:val="003E6654"/>
    <w:rsid w:val="003E669F"/>
    <w:rsid w:val="003E66A1"/>
    <w:rsid w:val="003E66A4"/>
    <w:rsid w:val="003E681C"/>
    <w:rsid w:val="003E6906"/>
    <w:rsid w:val="003E69A3"/>
    <w:rsid w:val="003E6A15"/>
    <w:rsid w:val="003E6AC2"/>
    <w:rsid w:val="003E6E79"/>
    <w:rsid w:val="003E6EAF"/>
    <w:rsid w:val="003E6ECA"/>
    <w:rsid w:val="003E6F15"/>
    <w:rsid w:val="003E70A5"/>
    <w:rsid w:val="003E7230"/>
    <w:rsid w:val="003E72EC"/>
    <w:rsid w:val="003E7509"/>
    <w:rsid w:val="003E75C6"/>
    <w:rsid w:val="003E75D8"/>
    <w:rsid w:val="003E7874"/>
    <w:rsid w:val="003E791E"/>
    <w:rsid w:val="003E7971"/>
    <w:rsid w:val="003E7984"/>
    <w:rsid w:val="003E7A5D"/>
    <w:rsid w:val="003E7ADE"/>
    <w:rsid w:val="003E7AFC"/>
    <w:rsid w:val="003E7B30"/>
    <w:rsid w:val="003E7BCC"/>
    <w:rsid w:val="003E7C7A"/>
    <w:rsid w:val="003E7E52"/>
    <w:rsid w:val="003E7EB7"/>
    <w:rsid w:val="003E7EE4"/>
    <w:rsid w:val="003E7FCE"/>
    <w:rsid w:val="003F01BD"/>
    <w:rsid w:val="003F0246"/>
    <w:rsid w:val="003F0374"/>
    <w:rsid w:val="003F0515"/>
    <w:rsid w:val="003F05EF"/>
    <w:rsid w:val="003F0799"/>
    <w:rsid w:val="003F08C7"/>
    <w:rsid w:val="003F091C"/>
    <w:rsid w:val="003F09B8"/>
    <w:rsid w:val="003F09CB"/>
    <w:rsid w:val="003F09FF"/>
    <w:rsid w:val="003F0A13"/>
    <w:rsid w:val="003F0B0A"/>
    <w:rsid w:val="003F0BD2"/>
    <w:rsid w:val="003F0E9E"/>
    <w:rsid w:val="003F0FD6"/>
    <w:rsid w:val="003F105D"/>
    <w:rsid w:val="003F10AA"/>
    <w:rsid w:val="003F136A"/>
    <w:rsid w:val="003F155E"/>
    <w:rsid w:val="003F1849"/>
    <w:rsid w:val="003F1A37"/>
    <w:rsid w:val="003F1BBC"/>
    <w:rsid w:val="003F1C49"/>
    <w:rsid w:val="003F1CE2"/>
    <w:rsid w:val="003F1CEA"/>
    <w:rsid w:val="003F1CEF"/>
    <w:rsid w:val="003F1D74"/>
    <w:rsid w:val="003F1E3F"/>
    <w:rsid w:val="003F20A3"/>
    <w:rsid w:val="003F2126"/>
    <w:rsid w:val="003F21CD"/>
    <w:rsid w:val="003F21D3"/>
    <w:rsid w:val="003F22CB"/>
    <w:rsid w:val="003F25F5"/>
    <w:rsid w:val="003F2707"/>
    <w:rsid w:val="003F27F8"/>
    <w:rsid w:val="003F2833"/>
    <w:rsid w:val="003F28C3"/>
    <w:rsid w:val="003F28F6"/>
    <w:rsid w:val="003F292D"/>
    <w:rsid w:val="003F29D5"/>
    <w:rsid w:val="003F2AB0"/>
    <w:rsid w:val="003F2B03"/>
    <w:rsid w:val="003F2C09"/>
    <w:rsid w:val="003F2C1F"/>
    <w:rsid w:val="003F2C28"/>
    <w:rsid w:val="003F2E50"/>
    <w:rsid w:val="003F2F01"/>
    <w:rsid w:val="003F2F92"/>
    <w:rsid w:val="003F3139"/>
    <w:rsid w:val="003F316D"/>
    <w:rsid w:val="003F33EA"/>
    <w:rsid w:val="003F3451"/>
    <w:rsid w:val="003F3461"/>
    <w:rsid w:val="003F34E7"/>
    <w:rsid w:val="003F3501"/>
    <w:rsid w:val="003F3521"/>
    <w:rsid w:val="003F356D"/>
    <w:rsid w:val="003F35A1"/>
    <w:rsid w:val="003F3795"/>
    <w:rsid w:val="003F388A"/>
    <w:rsid w:val="003F3A7C"/>
    <w:rsid w:val="003F3A87"/>
    <w:rsid w:val="003F3BDB"/>
    <w:rsid w:val="003F3C88"/>
    <w:rsid w:val="003F3EAE"/>
    <w:rsid w:val="003F3EC3"/>
    <w:rsid w:val="003F3F4E"/>
    <w:rsid w:val="003F3F67"/>
    <w:rsid w:val="003F3FA4"/>
    <w:rsid w:val="003F40F6"/>
    <w:rsid w:val="003F4171"/>
    <w:rsid w:val="003F4322"/>
    <w:rsid w:val="003F43D0"/>
    <w:rsid w:val="003F43F0"/>
    <w:rsid w:val="003F4436"/>
    <w:rsid w:val="003F448C"/>
    <w:rsid w:val="003F4501"/>
    <w:rsid w:val="003F469E"/>
    <w:rsid w:val="003F473E"/>
    <w:rsid w:val="003F4916"/>
    <w:rsid w:val="003F4950"/>
    <w:rsid w:val="003F496D"/>
    <w:rsid w:val="003F49EB"/>
    <w:rsid w:val="003F4A48"/>
    <w:rsid w:val="003F4A7F"/>
    <w:rsid w:val="003F4CE2"/>
    <w:rsid w:val="003F4D29"/>
    <w:rsid w:val="003F4F12"/>
    <w:rsid w:val="003F5049"/>
    <w:rsid w:val="003F506E"/>
    <w:rsid w:val="003F51DB"/>
    <w:rsid w:val="003F5256"/>
    <w:rsid w:val="003F5397"/>
    <w:rsid w:val="003F5451"/>
    <w:rsid w:val="003F54B3"/>
    <w:rsid w:val="003F557F"/>
    <w:rsid w:val="003F574D"/>
    <w:rsid w:val="003F5760"/>
    <w:rsid w:val="003F57DE"/>
    <w:rsid w:val="003F59EF"/>
    <w:rsid w:val="003F5A39"/>
    <w:rsid w:val="003F5A87"/>
    <w:rsid w:val="003F5B54"/>
    <w:rsid w:val="003F5C96"/>
    <w:rsid w:val="003F5CD2"/>
    <w:rsid w:val="003F5F48"/>
    <w:rsid w:val="003F5FB2"/>
    <w:rsid w:val="003F6040"/>
    <w:rsid w:val="003F60EA"/>
    <w:rsid w:val="003F6153"/>
    <w:rsid w:val="003F61B1"/>
    <w:rsid w:val="003F6271"/>
    <w:rsid w:val="003F6323"/>
    <w:rsid w:val="003F6336"/>
    <w:rsid w:val="003F6339"/>
    <w:rsid w:val="003F63A2"/>
    <w:rsid w:val="003F64C4"/>
    <w:rsid w:val="003F64FB"/>
    <w:rsid w:val="003F6559"/>
    <w:rsid w:val="003F65B7"/>
    <w:rsid w:val="003F6761"/>
    <w:rsid w:val="003F677D"/>
    <w:rsid w:val="003F688C"/>
    <w:rsid w:val="003F68D0"/>
    <w:rsid w:val="003F68FB"/>
    <w:rsid w:val="003F68FD"/>
    <w:rsid w:val="003F6B61"/>
    <w:rsid w:val="003F6BB2"/>
    <w:rsid w:val="003F6C0D"/>
    <w:rsid w:val="003F6C52"/>
    <w:rsid w:val="003F6CA3"/>
    <w:rsid w:val="003F6CE0"/>
    <w:rsid w:val="003F6D31"/>
    <w:rsid w:val="003F6DB0"/>
    <w:rsid w:val="003F7029"/>
    <w:rsid w:val="003F711F"/>
    <w:rsid w:val="003F7175"/>
    <w:rsid w:val="003F71BA"/>
    <w:rsid w:val="003F7223"/>
    <w:rsid w:val="003F73BB"/>
    <w:rsid w:val="003F7466"/>
    <w:rsid w:val="003F74CB"/>
    <w:rsid w:val="003F750C"/>
    <w:rsid w:val="003F75FB"/>
    <w:rsid w:val="003F76AF"/>
    <w:rsid w:val="003F76EF"/>
    <w:rsid w:val="003F77AC"/>
    <w:rsid w:val="003F77C9"/>
    <w:rsid w:val="003F780E"/>
    <w:rsid w:val="003F78E5"/>
    <w:rsid w:val="003F7916"/>
    <w:rsid w:val="003F797B"/>
    <w:rsid w:val="003F7A66"/>
    <w:rsid w:val="003F7AD7"/>
    <w:rsid w:val="003F7B33"/>
    <w:rsid w:val="003F7B43"/>
    <w:rsid w:val="003F7B59"/>
    <w:rsid w:val="003F7C03"/>
    <w:rsid w:val="003F7C6B"/>
    <w:rsid w:val="003F7DB9"/>
    <w:rsid w:val="003F7F09"/>
    <w:rsid w:val="003F7FD2"/>
    <w:rsid w:val="00400070"/>
    <w:rsid w:val="004000AD"/>
    <w:rsid w:val="0040018C"/>
    <w:rsid w:val="004001EC"/>
    <w:rsid w:val="0040031B"/>
    <w:rsid w:val="004003BB"/>
    <w:rsid w:val="00400418"/>
    <w:rsid w:val="0040050E"/>
    <w:rsid w:val="0040075D"/>
    <w:rsid w:val="00400788"/>
    <w:rsid w:val="004007DF"/>
    <w:rsid w:val="00400A29"/>
    <w:rsid w:val="00400BAA"/>
    <w:rsid w:val="00400C15"/>
    <w:rsid w:val="00400E30"/>
    <w:rsid w:val="00400EE9"/>
    <w:rsid w:val="0040101F"/>
    <w:rsid w:val="0040103D"/>
    <w:rsid w:val="004011C5"/>
    <w:rsid w:val="004011F4"/>
    <w:rsid w:val="004014C4"/>
    <w:rsid w:val="00401551"/>
    <w:rsid w:val="00401809"/>
    <w:rsid w:val="0040195C"/>
    <w:rsid w:val="00401C4F"/>
    <w:rsid w:val="00401D0F"/>
    <w:rsid w:val="00401D42"/>
    <w:rsid w:val="00401F4F"/>
    <w:rsid w:val="00401F58"/>
    <w:rsid w:val="00401FCC"/>
    <w:rsid w:val="00401FFE"/>
    <w:rsid w:val="00402039"/>
    <w:rsid w:val="00402093"/>
    <w:rsid w:val="004020A9"/>
    <w:rsid w:val="004020C1"/>
    <w:rsid w:val="004020F2"/>
    <w:rsid w:val="00402192"/>
    <w:rsid w:val="0040219B"/>
    <w:rsid w:val="00402323"/>
    <w:rsid w:val="0040237E"/>
    <w:rsid w:val="004024C4"/>
    <w:rsid w:val="00402505"/>
    <w:rsid w:val="00402690"/>
    <w:rsid w:val="004026CE"/>
    <w:rsid w:val="004028EE"/>
    <w:rsid w:val="0040299B"/>
    <w:rsid w:val="00402A0E"/>
    <w:rsid w:val="00402AF7"/>
    <w:rsid w:val="00402B2A"/>
    <w:rsid w:val="00402B3C"/>
    <w:rsid w:val="00402B8C"/>
    <w:rsid w:val="00402C5A"/>
    <w:rsid w:val="00402D3E"/>
    <w:rsid w:val="00402D6A"/>
    <w:rsid w:val="00402F19"/>
    <w:rsid w:val="00402F2A"/>
    <w:rsid w:val="00402F6A"/>
    <w:rsid w:val="00402F91"/>
    <w:rsid w:val="00402FCE"/>
    <w:rsid w:val="00403048"/>
    <w:rsid w:val="004030BD"/>
    <w:rsid w:val="00403192"/>
    <w:rsid w:val="0040335E"/>
    <w:rsid w:val="00403404"/>
    <w:rsid w:val="00403431"/>
    <w:rsid w:val="0040354E"/>
    <w:rsid w:val="004035ED"/>
    <w:rsid w:val="00403647"/>
    <w:rsid w:val="004037B1"/>
    <w:rsid w:val="00403952"/>
    <w:rsid w:val="00403BE3"/>
    <w:rsid w:val="00403CCF"/>
    <w:rsid w:val="00403CDB"/>
    <w:rsid w:val="00403CEC"/>
    <w:rsid w:val="00403D0E"/>
    <w:rsid w:val="00403E8E"/>
    <w:rsid w:val="00403ED6"/>
    <w:rsid w:val="00403F28"/>
    <w:rsid w:val="004040E5"/>
    <w:rsid w:val="004040E7"/>
    <w:rsid w:val="004040F1"/>
    <w:rsid w:val="004040FD"/>
    <w:rsid w:val="0040423F"/>
    <w:rsid w:val="00404256"/>
    <w:rsid w:val="00404327"/>
    <w:rsid w:val="00404532"/>
    <w:rsid w:val="00404620"/>
    <w:rsid w:val="0040466C"/>
    <w:rsid w:val="0040467C"/>
    <w:rsid w:val="004046DB"/>
    <w:rsid w:val="00404822"/>
    <w:rsid w:val="004049EB"/>
    <w:rsid w:val="00404A24"/>
    <w:rsid w:val="00404A45"/>
    <w:rsid w:val="00404B19"/>
    <w:rsid w:val="00404D79"/>
    <w:rsid w:val="00404E0E"/>
    <w:rsid w:val="00404E0F"/>
    <w:rsid w:val="00404ED6"/>
    <w:rsid w:val="00404F4E"/>
    <w:rsid w:val="00404F8A"/>
    <w:rsid w:val="00404FEF"/>
    <w:rsid w:val="004055B5"/>
    <w:rsid w:val="00405771"/>
    <w:rsid w:val="004057E5"/>
    <w:rsid w:val="00405859"/>
    <w:rsid w:val="00405892"/>
    <w:rsid w:val="004058D4"/>
    <w:rsid w:val="004058F7"/>
    <w:rsid w:val="00405962"/>
    <w:rsid w:val="00405988"/>
    <w:rsid w:val="004059F8"/>
    <w:rsid w:val="00405AC4"/>
    <w:rsid w:val="00405BEC"/>
    <w:rsid w:val="00405C40"/>
    <w:rsid w:val="00405C5D"/>
    <w:rsid w:val="00405C94"/>
    <w:rsid w:val="00405CC7"/>
    <w:rsid w:val="00405F5E"/>
    <w:rsid w:val="004060F1"/>
    <w:rsid w:val="00406292"/>
    <w:rsid w:val="004062B4"/>
    <w:rsid w:val="00406571"/>
    <w:rsid w:val="00406616"/>
    <w:rsid w:val="00406620"/>
    <w:rsid w:val="00406670"/>
    <w:rsid w:val="00406718"/>
    <w:rsid w:val="00406818"/>
    <w:rsid w:val="0040684F"/>
    <w:rsid w:val="004068E0"/>
    <w:rsid w:val="00406938"/>
    <w:rsid w:val="00406987"/>
    <w:rsid w:val="00406AF2"/>
    <w:rsid w:val="00406C19"/>
    <w:rsid w:val="00406C9C"/>
    <w:rsid w:val="00406D53"/>
    <w:rsid w:val="00406E71"/>
    <w:rsid w:val="0040748C"/>
    <w:rsid w:val="004075E9"/>
    <w:rsid w:val="004076A6"/>
    <w:rsid w:val="004077C7"/>
    <w:rsid w:val="00407815"/>
    <w:rsid w:val="00407823"/>
    <w:rsid w:val="00407913"/>
    <w:rsid w:val="0040791C"/>
    <w:rsid w:val="00407A56"/>
    <w:rsid w:val="00407B90"/>
    <w:rsid w:val="00407C22"/>
    <w:rsid w:val="00407E2E"/>
    <w:rsid w:val="00407EBF"/>
    <w:rsid w:val="00407EF2"/>
    <w:rsid w:val="00407F11"/>
    <w:rsid w:val="00407FD2"/>
    <w:rsid w:val="0041000B"/>
    <w:rsid w:val="00410175"/>
    <w:rsid w:val="0041017F"/>
    <w:rsid w:val="0041023C"/>
    <w:rsid w:val="0041024B"/>
    <w:rsid w:val="00410270"/>
    <w:rsid w:val="0041028A"/>
    <w:rsid w:val="004102B9"/>
    <w:rsid w:val="00410446"/>
    <w:rsid w:val="0041060B"/>
    <w:rsid w:val="00410691"/>
    <w:rsid w:val="004107A9"/>
    <w:rsid w:val="00410807"/>
    <w:rsid w:val="0041093A"/>
    <w:rsid w:val="00410AB8"/>
    <w:rsid w:val="00410BF2"/>
    <w:rsid w:val="00410C2A"/>
    <w:rsid w:val="00410D07"/>
    <w:rsid w:val="00410E8B"/>
    <w:rsid w:val="00410EA1"/>
    <w:rsid w:val="00410F29"/>
    <w:rsid w:val="0041110D"/>
    <w:rsid w:val="0041116E"/>
    <w:rsid w:val="004112DD"/>
    <w:rsid w:val="00411492"/>
    <w:rsid w:val="00411563"/>
    <w:rsid w:val="004115F7"/>
    <w:rsid w:val="004116B7"/>
    <w:rsid w:val="0041174E"/>
    <w:rsid w:val="004118B9"/>
    <w:rsid w:val="00411928"/>
    <w:rsid w:val="00411A5A"/>
    <w:rsid w:val="00411B9D"/>
    <w:rsid w:val="00411BF8"/>
    <w:rsid w:val="00411C6C"/>
    <w:rsid w:val="00411D32"/>
    <w:rsid w:val="00411E08"/>
    <w:rsid w:val="00411F19"/>
    <w:rsid w:val="00411F94"/>
    <w:rsid w:val="00411FC3"/>
    <w:rsid w:val="004123E1"/>
    <w:rsid w:val="0041241C"/>
    <w:rsid w:val="004124A2"/>
    <w:rsid w:val="00412632"/>
    <w:rsid w:val="004127C6"/>
    <w:rsid w:val="004127DB"/>
    <w:rsid w:val="00412883"/>
    <w:rsid w:val="00412906"/>
    <w:rsid w:val="00412A7D"/>
    <w:rsid w:val="00412AA8"/>
    <w:rsid w:val="00412BE2"/>
    <w:rsid w:val="00412C93"/>
    <w:rsid w:val="00412CBE"/>
    <w:rsid w:val="00412E73"/>
    <w:rsid w:val="00412F27"/>
    <w:rsid w:val="00412F54"/>
    <w:rsid w:val="00412FCD"/>
    <w:rsid w:val="00413037"/>
    <w:rsid w:val="0041308F"/>
    <w:rsid w:val="004130BB"/>
    <w:rsid w:val="00413148"/>
    <w:rsid w:val="00413171"/>
    <w:rsid w:val="0041317B"/>
    <w:rsid w:val="00413181"/>
    <w:rsid w:val="00413237"/>
    <w:rsid w:val="00413352"/>
    <w:rsid w:val="0041343F"/>
    <w:rsid w:val="0041359C"/>
    <w:rsid w:val="00413731"/>
    <w:rsid w:val="004137BA"/>
    <w:rsid w:val="004137BD"/>
    <w:rsid w:val="00413971"/>
    <w:rsid w:val="0041398E"/>
    <w:rsid w:val="00413991"/>
    <w:rsid w:val="004139C7"/>
    <w:rsid w:val="00413A2E"/>
    <w:rsid w:val="00413ACA"/>
    <w:rsid w:val="00413B62"/>
    <w:rsid w:val="00413C06"/>
    <w:rsid w:val="00413C3D"/>
    <w:rsid w:val="00413D1E"/>
    <w:rsid w:val="00413E64"/>
    <w:rsid w:val="00413EB7"/>
    <w:rsid w:val="00414020"/>
    <w:rsid w:val="004140CC"/>
    <w:rsid w:val="004142E2"/>
    <w:rsid w:val="00414456"/>
    <w:rsid w:val="00414468"/>
    <w:rsid w:val="004145FD"/>
    <w:rsid w:val="004146B8"/>
    <w:rsid w:val="0041471F"/>
    <w:rsid w:val="0041472B"/>
    <w:rsid w:val="004149A4"/>
    <w:rsid w:val="004149BA"/>
    <w:rsid w:val="004149F6"/>
    <w:rsid w:val="00414A83"/>
    <w:rsid w:val="00414AA8"/>
    <w:rsid w:val="00414B5D"/>
    <w:rsid w:val="00414BE5"/>
    <w:rsid w:val="00414CAA"/>
    <w:rsid w:val="00414FF9"/>
    <w:rsid w:val="004150CD"/>
    <w:rsid w:val="0041522D"/>
    <w:rsid w:val="004152BE"/>
    <w:rsid w:val="00415307"/>
    <w:rsid w:val="00415477"/>
    <w:rsid w:val="004155AC"/>
    <w:rsid w:val="004155AF"/>
    <w:rsid w:val="004155FA"/>
    <w:rsid w:val="004156BE"/>
    <w:rsid w:val="004158F8"/>
    <w:rsid w:val="00415B55"/>
    <w:rsid w:val="00415C1B"/>
    <w:rsid w:val="00415D3B"/>
    <w:rsid w:val="00415DDA"/>
    <w:rsid w:val="00415E63"/>
    <w:rsid w:val="00415E9E"/>
    <w:rsid w:val="00415EBE"/>
    <w:rsid w:val="00415ED0"/>
    <w:rsid w:val="00415F99"/>
    <w:rsid w:val="004160CD"/>
    <w:rsid w:val="00416139"/>
    <w:rsid w:val="00416162"/>
    <w:rsid w:val="004162B4"/>
    <w:rsid w:val="0041639D"/>
    <w:rsid w:val="004163BC"/>
    <w:rsid w:val="004163BD"/>
    <w:rsid w:val="004163E3"/>
    <w:rsid w:val="00416698"/>
    <w:rsid w:val="004166B7"/>
    <w:rsid w:val="0041677B"/>
    <w:rsid w:val="00416832"/>
    <w:rsid w:val="004168B5"/>
    <w:rsid w:val="00416975"/>
    <w:rsid w:val="0041699A"/>
    <w:rsid w:val="004169FB"/>
    <w:rsid w:val="00416A99"/>
    <w:rsid w:val="00416B8A"/>
    <w:rsid w:val="00416BC8"/>
    <w:rsid w:val="00416CC9"/>
    <w:rsid w:val="00416E5D"/>
    <w:rsid w:val="00416E9F"/>
    <w:rsid w:val="00416EF1"/>
    <w:rsid w:val="00417044"/>
    <w:rsid w:val="004171C3"/>
    <w:rsid w:val="0041732D"/>
    <w:rsid w:val="0041733C"/>
    <w:rsid w:val="004173EF"/>
    <w:rsid w:val="00417437"/>
    <w:rsid w:val="00417471"/>
    <w:rsid w:val="004174FA"/>
    <w:rsid w:val="0041762F"/>
    <w:rsid w:val="00417706"/>
    <w:rsid w:val="0041772E"/>
    <w:rsid w:val="00417771"/>
    <w:rsid w:val="00417791"/>
    <w:rsid w:val="0041788E"/>
    <w:rsid w:val="004179F9"/>
    <w:rsid w:val="00417AA0"/>
    <w:rsid w:val="00417C55"/>
    <w:rsid w:val="00417DAF"/>
    <w:rsid w:val="00417E89"/>
    <w:rsid w:val="00417F50"/>
    <w:rsid w:val="00417F96"/>
    <w:rsid w:val="00420071"/>
    <w:rsid w:val="004200F0"/>
    <w:rsid w:val="0042021B"/>
    <w:rsid w:val="00420416"/>
    <w:rsid w:val="00420443"/>
    <w:rsid w:val="0042057F"/>
    <w:rsid w:val="0042062D"/>
    <w:rsid w:val="00420641"/>
    <w:rsid w:val="004207A5"/>
    <w:rsid w:val="00420884"/>
    <w:rsid w:val="00420A7A"/>
    <w:rsid w:val="00420ABD"/>
    <w:rsid w:val="00420AF1"/>
    <w:rsid w:val="00420C60"/>
    <w:rsid w:val="00420C6D"/>
    <w:rsid w:val="00420EAA"/>
    <w:rsid w:val="00421134"/>
    <w:rsid w:val="0042116C"/>
    <w:rsid w:val="004211B3"/>
    <w:rsid w:val="0042135D"/>
    <w:rsid w:val="004217C0"/>
    <w:rsid w:val="004217C4"/>
    <w:rsid w:val="0042188F"/>
    <w:rsid w:val="00421A6B"/>
    <w:rsid w:val="00421B08"/>
    <w:rsid w:val="00421DC5"/>
    <w:rsid w:val="00421FC3"/>
    <w:rsid w:val="00422056"/>
    <w:rsid w:val="004223AC"/>
    <w:rsid w:val="004223FD"/>
    <w:rsid w:val="0042265A"/>
    <w:rsid w:val="004228DB"/>
    <w:rsid w:val="00422922"/>
    <w:rsid w:val="0042292A"/>
    <w:rsid w:val="004229C3"/>
    <w:rsid w:val="00422AA8"/>
    <w:rsid w:val="00422B16"/>
    <w:rsid w:val="00422B30"/>
    <w:rsid w:val="00422B88"/>
    <w:rsid w:val="00422C47"/>
    <w:rsid w:val="00422CC8"/>
    <w:rsid w:val="00422DBD"/>
    <w:rsid w:val="00422E1C"/>
    <w:rsid w:val="00422EB8"/>
    <w:rsid w:val="00422ED2"/>
    <w:rsid w:val="00423113"/>
    <w:rsid w:val="0042313E"/>
    <w:rsid w:val="00423151"/>
    <w:rsid w:val="0042317E"/>
    <w:rsid w:val="00423286"/>
    <w:rsid w:val="0042331E"/>
    <w:rsid w:val="00423339"/>
    <w:rsid w:val="004235C7"/>
    <w:rsid w:val="00423721"/>
    <w:rsid w:val="00423735"/>
    <w:rsid w:val="00423743"/>
    <w:rsid w:val="004237DA"/>
    <w:rsid w:val="004237F5"/>
    <w:rsid w:val="00423823"/>
    <w:rsid w:val="004239A2"/>
    <w:rsid w:val="00423AD3"/>
    <w:rsid w:val="00423B8D"/>
    <w:rsid w:val="00423B94"/>
    <w:rsid w:val="00423BEE"/>
    <w:rsid w:val="00423D63"/>
    <w:rsid w:val="00423D64"/>
    <w:rsid w:val="00423E35"/>
    <w:rsid w:val="00423E65"/>
    <w:rsid w:val="00423EF2"/>
    <w:rsid w:val="00423F3B"/>
    <w:rsid w:val="0042405C"/>
    <w:rsid w:val="00424251"/>
    <w:rsid w:val="004242C9"/>
    <w:rsid w:val="00424305"/>
    <w:rsid w:val="00424529"/>
    <w:rsid w:val="0042457B"/>
    <w:rsid w:val="004245FC"/>
    <w:rsid w:val="00424616"/>
    <w:rsid w:val="004246AF"/>
    <w:rsid w:val="00424733"/>
    <w:rsid w:val="0042477D"/>
    <w:rsid w:val="004247BF"/>
    <w:rsid w:val="00424928"/>
    <w:rsid w:val="00424955"/>
    <w:rsid w:val="004249AB"/>
    <w:rsid w:val="004249D7"/>
    <w:rsid w:val="00424A8F"/>
    <w:rsid w:val="00424BA4"/>
    <w:rsid w:val="00424C21"/>
    <w:rsid w:val="00424DE0"/>
    <w:rsid w:val="00424E0A"/>
    <w:rsid w:val="00424E5C"/>
    <w:rsid w:val="00424F13"/>
    <w:rsid w:val="00424F17"/>
    <w:rsid w:val="004251DC"/>
    <w:rsid w:val="0042523D"/>
    <w:rsid w:val="004252CA"/>
    <w:rsid w:val="004253F8"/>
    <w:rsid w:val="0042547F"/>
    <w:rsid w:val="00425504"/>
    <w:rsid w:val="00425701"/>
    <w:rsid w:val="004257A5"/>
    <w:rsid w:val="00425A8D"/>
    <w:rsid w:val="00425B26"/>
    <w:rsid w:val="00425B72"/>
    <w:rsid w:val="00425CA1"/>
    <w:rsid w:val="00425D5A"/>
    <w:rsid w:val="00425E57"/>
    <w:rsid w:val="00425F2B"/>
    <w:rsid w:val="00425F99"/>
    <w:rsid w:val="0042602C"/>
    <w:rsid w:val="004260B1"/>
    <w:rsid w:val="004260CF"/>
    <w:rsid w:val="004260F6"/>
    <w:rsid w:val="00426111"/>
    <w:rsid w:val="0042618E"/>
    <w:rsid w:val="00426266"/>
    <w:rsid w:val="00426278"/>
    <w:rsid w:val="004264AE"/>
    <w:rsid w:val="00426574"/>
    <w:rsid w:val="004265BA"/>
    <w:rsid w:val="0042660A"/>
    <w:rsid w:val="0042667F"/>
    <w:rsid w:val="00426A5E"/>
    <w:rsid w:val="00426AD5"/>
    <w:rsid w:val="00426B88"/>
    <w:rsid w:val="00426C10"/>
    <w:rsid w:val="00426C29"/>
    <w:rsid w:val="00426C3A"/>
    <w:rsid w:val="00426C85"/>
    <w:rsid w:val="00426D2F"/>
    <w:rsid w:val="00426D98"/>
    <w:rsid w:val="00426E6D"/>
    <w:rsid w:val="00426EE4"/>
    <w:rsid w:val="00426F28"/>
    <w:rsid w:val="00426FE7"/>
    <w:rsid w:val="004270F0"/>
    <w:rsid w:val="0042710E"/>
    <w:rsid w:val="00427116"/>
    <w:rsid w:val="004272E7"/>
    <w:rsid w:val="0042759D"/>
    <w:rsid w:val="00427848"/>
    <w:rsid w:val="00427AB7"/>
    <w:rsid w:val="00427AC9"/>
    <w:rsid w:val="00427BBA"/>
    <w:rsid w:val="00427BC1"/>
    <w:rsid w:val="00427C7E"/>
    <w:rsid w:val="00427CC0"/>
    <w:rsid w:val="00427D41"/>
    <w:rsid w:val="00427D6C"/>
    <w:rsid w:val="00427EC2"/>
    <w:rsid w:val="004300AE"/>
    <w:rsid w:val="0043014C"/>
    <w:rsid w:val="00430327"/>
    <w:rsid w:val="00430405"/>
    <w:rsid w:val="00430454"/>
    <w:rsid w:val="00430501"/>
    <w:rsid w:val="004306E0"/>
    <w:rsid w:val="00430778"/>
    <w:rsid w:val="00430781"/>
    <w:rsid w:val="004307A4"/>
    <w:rsid w:val="004307C6"/>
    <w:rsid w:val="00430866"/>
    <w:rsid w:val="00430B38"/>
    <w:rsid w:val="00430B5D"/>
    <w:rsid w:val="00430CEE"/>
    <w:rsid w:val="00430EBB"/>
    <w:rsid w:val="00430FF9"/>
    <w:rsid w:val="00431036"/>
    <w:rsid w:val="00431042"/>
    <w:rsid w:val="004310EC"/>
    <w:rsid w:val="00431265"/>
    <w:rsid w:val="004312B7"/>
    <w:rsid w:val="00431401"/>
    <w:rsid w:val="00431448"/>
    <w:rsid w:val="0043157A"/>
    <w:rsid w:val="0043163A"/>
    <w:rsid w:val="004316C9"/>
    <w:rsid w:val="00431768"/>
    <w:rsid w:val="004318BF"/>
    <w:rsid w:val="00431992"/>
    <w:rsid w:val="004319D9"/>
    <w:rsid w:val="00431A37"/>
    <w:rsid w:val="00431AF7"/>
    <w:rsid w:val="00431B99"/>
    <w:rsid w:val="00431C02"/>
    <w:rsid w:val="00431C6E"/>
    <w:rsid w:val="00431C8C"/>
    <w:rsid w:val="00431CE4"/>
    <w:rsid w:val="00431D16"/>
    <w:rsid w:val="00431D4F"/>
    <w:rsid w:val="00431DDF"/>
    <w:rsid w:val="00431DE1"/>
    <w:rsid w:val="00431EED"/>
    <w:rsid w:val="00431FDE"/>
    <w:rsid w:val="00432009"/>
    <w:rsid w:val="0043208F"/>
    <w:rsid w:val="004320A1"/>
    <w:rsid w:val="004320B4"/>
    <w:rsid w:val="00432125"/>
    <w:rsid w:val="00432378"/>
    <w:rsid w:val="004324D7"/>
    <w:rsid w:val="0043263E"/>
    <w:rsid w:val="0043266D"/>
    <w:rsid w:val="004326D9"/>
    <w:rsid w:val="004326F5"/>
    <w:rsid w:val="004327A8"/>
    <w:rsid w:val="00432809"/>
    <w:rsid w:val="00432970"/>
    <w:rsid w:val="00432B2C"/>
    <w:rsid w:val="00432B84"/>
    <w:rsid w:val="00432C87"/>
    <w:rsid w:val="00432CDD"/>
    <w:rsid w:val="00432D66"/>
    <w:rsid w:val="00432FE4"/>
    <w:rsid w:val="004330A3"/>
    <w:rsid w:val="0043310A"/>
    <w:rsid w:val="004331B7"/>
    <w:rsid w:val="00433245"/>
    <w:rsid w:val="0043329C"/>
    <w:rsid w:val="004332AB"/>
    <w:rsid w:val="0043336E"/>
    <w:rsid w:val="00433579"/>
    <w:rsid w:val="00433676"/>
    <w:rsid w:val="004336FB"/>
    <w:rsid w:val="0043385B"/>
    <w:rsid w:val="004338C8"/>
    <w:rsid w:val="0043396C"/>
    <w:rsid w:val="004339E0"/>
    <w:rsid w:val="00433A07"/>
    <w:rsid w:val="00433AAF"/>
    <w:rsid w:val="00433B4E"/>
    <w:rsid w:val="00433B7F"/>
    <w:rsid w:val="00433B86"/>
    <w:rsid w:val="00433C39"/>
    <w:rsid w:val="00433C84"/>
    <w:rsid w:val="00433CFE"/>
    <w:rsid w:val="00433E63"/>
    <w:rsid w:val="00433E90"/>
    <w:rsid w:val="00433F8B"/>
    <w:rsid w:val="00434031"/>
    <w:rsid w:val="00434173"/>
    <w:rsid w:val="00434379"/>
    <w:rsid w:val="00434409"/>
    <w:rsid w:val="0043444F"/>
    <w:rsid w:val="0043449B"/>
    <w:rsid w:val="004344E2"/>
    <w:rsid w:val="00434547"/>
    <w:rsid w:val="00434566"/>
    <w:rsid w:val="004347F1"/>
    <w:rsid w:val="00434961"/>
    <w:rsid w:val="004349AD"/>
    <w:rsid w:val="00434A28"/>
    <w:rsid w:val="00434B93"/>
    <w:rsid w:val="00434C90"/>
    <w:rsid w:val="00434C9A"/>
    <w:rsid w:val="00434CA3"/>
    <w:rsid w:val="00434CC8"/>
    <w:rsid w:val="00434F3E"/>
    <w:rsid w:val="00434F7A"/>
    <w:rsid w:val="00435004"/>
    <w:rsid w:val="004350AD"/>
    <w:rsid w:val="00435182"/>
    <w:rsid w:val="004351A1"/>
    <w:rsid w:val="00435288"/>
    <w:rsid w:val="004352AE"/>
    <w:rsid w:val="004352B0"/>
    <w:rsid w:val="00435332"/>
    <w:rsid w:val="0043535F"/>
    <w:rsid w:val="004353DA"/>
    <w:rsid w:val="0043556A"/>
    <w:rsid w:val="004355EB"/>
    <w:rsid w:val="0043574C"/>
    <w:rsid w:val="004357A3"/>
    <w:rsid w:val="004357CD"/>
    <w:rsid w:val="004357F0"/>
    <w:rsid w:val="00435805"/>
    <w:rsid w:val="00435934"/>
    <w:rsid w:val="00435B13"/>
    <w:rsid w:val="00435BA1"/>
    <w:rsid w:val="00435D5E"/>
    <w:rsid w:val="00435E34"/>
    <w:rsid w:val="00435E9D"/>
    <w:rsid w:val="00435FDF"/>
    <w:rsid w:val="004360F2"/>
    <w:rsid w:val="0043612B"/>
    <w:rsid w:val="0043618A"/>
    <w:rsid w:val="0043618F"/>
    <w:rsid w:val="004361BD"/>
    <w:rsid w:val="00436202"/>
    <w:rsid w:val="0043626F"/>
    <w:rsid w:val="0043641A"/>
    <w:rsid w:val="004364DF"/>
    <w:rsid w:val="00436518"/>
    <w:rsid w:val="00436828"/>
    <w:rsid w:val="00436939"/>
    <w:rsid w:val="00436954"/>
    <w:rsid w:val="00436BDD"/>
    <w:rsid w:val="00436BE7"/>
    <w:rsid w:val="00436F13"/>
    <w:rsid w:val="00436F71"/>
    <w:rsid w:val="004370B3"/>
    <w:rsid w:val="004370C2"/>
    <w:rsid w:val="004370D4"/>
    <w:rsid w:val="0043716D"/>
    <w:rsid w:val="00437173"/>
    <w:rsid w:val="004373BC"/>
    <w:rsid w:val="004374BD"/>
    <w:rsid w:val="00437642"/>
    <w:rsid w:val="004376FB"/>
    <w:rsid w:val="0043772E"/>
    <w:rsid w:val="00437852"/>
    <w:rsid w:val="004378B1"/>
    <w:rsid w:val="00437A1C"/>
    <w:rsid w:val="00437A33"/>
    <w:rsid w:val="00437A88"/>
    <w:rsid w:val="00437ABD"/>
    <w:rsid w:val="00437AD5"/>
    <w:rsid w:val="00437C6B"/>
    <w:rsid w:val="00437CE0"/>
    <w:rsid w:val="00437D89"/>
    <w:rsid w:val="00437DC8"/>
    <w:rsid w:val="00437E0B"/>
    <w:rsid w:val="00437EB1"/>
    <w:rsid w:val="00437FDE"/>
    <w:rsid w:val="004400A4"/>
    <w:rsid w:val="004400EE"/>
    <w:rsid w:val="004402F2"/>
    <w:rsid w:val="00440632"/>
    <w:rsid w:val="00440944"/>
    <w:rsid w:val="00440991"/>
    <w:rsid w:val="00440AB2"/>
    <w:rsid w:val="00440ACB"/>
    <w:rsid w:val="00440B9D"/>
    <w:rsid w:val="00440BEF"/>
    <w:rsid w:val="00440C98"/>
    <w:rsid w:val="00440CA0"/>
    <w:rsid w:val="00440CD8"/>
    <w:rsid w:val="00440CFF"/>
    <w:rsid w:val="00440E0A"/>
    <w:rsid w:val="004410DA"/>
    <w:rsid w:val="00441139"/>
    <w:rsid w:val="004411A9"/>
    <w:rsid w:val="004411B2"/>
    <w:rsid w:val="00441423"/>
    <w:rsid w:val="0044142D"/>
    <w:rsid w:val="004414F1"/>
    <w:rsid w:val="00441565"/>
    <w:rsid w:val="00441761"/>
    <w:rsid w:val="004417C3"/>
    <w:rsid w:val="004417DD"/>
    <w:rsid w:val="00441930"/>
    <w:rsid w:val="0044197B"/>
    <w:rsid w:val="004419B0"/>
    <w:rsid w:val="00441A48"/>
    <w:rsid w:val="00441A65"/>
    <w:rsid w:val="00441AC3"/>
    <w:rsid w:val="00441C97"/>
    <w:rsid w:val="00441CA6"/>
    <w:rsid w:val="00441D94"/>
    <w:rsid w:val="00441E0E"/>
    <w:rsid w:val="00441E2F"/>
    <w:rsid w:val="00441E95"/>
    <w:rsid w:val="00441EB0"/>
    <w:rsid w:val="00441EB8"/>
    <w:rsid w:val="00441F6F"/>
    <w:rsid w:val="00441FB6"/>
    <w:rsid w:val="00441FC1"/>
    <w:rsid w:val="004420F8"/>
    <w:rsid w:val="004421B1"/>
    <w:rsid w:val="004421EB"/>
    <w:rsid w:val="0044244E"/>
    <w:rsid w:val="004424C0"/>
    <w:rsid w:val="004424C2"/>
    <w:rsid w:val="00442674"/>
    <w:rsid w:val="004426F3"/>
    <w:rsid w:val="00442800"/>
    <w:rsid w:val="004428A0"/>
    <w:rsid w:val="00442A7B"/>
    <w:rsid w:val="00442ADB"/>
    <w:rsid w:val="00442B36"/>
    <w:rsid w:val="00442C6E"/>
    <w:rsid w:val="00442D09"/>
    <w:rsid w:val="00442D4A"/>
    <w:rsid w:val="00442E1D"/>
    <w:rsid w:val="00442F9A"/>
    <w:rsid w:val="00443288"/>
    <w:rsid w:val="00443352"/>
    <w:rsid w:val="0044343B"/>
    <w:rsid w:val="004434E5"/>
    <w:rsid w:val="0044351D"/>
    <w:rsid w:val="0044363C"/>
    <w:rsid w:val="00443701"/>
    <w:rsid w:val="0044374C"/>
    <w:rsid w:val="004437A0"/>
    <w:rsid w:val="0044395C"/>
    <w:rsid w:val="00443B7D"/>
    <w:rsid w:val="00443CD6"/>
    <w:rsid w:val="00443DB4"/>
    <w:rsid w:val="00443E1A"/>
    <w:rsid w:val="00443E44"/>
    <w:rsid w:val="00444050"/>
    <w:rsid w:val="0044418A"/>
    <w:rsid w:val="00444293"/>
    <w:rsid w:val="00444295"/>
    <w:rsid w:val="0044430A"/>
    <w:rsid w:val="0044443E"/>
    <w:rsid w:val="0044445E"/>
    <w:rsid w:val="00444488"/>
    <w:rsid w:val="0044456B"/>
    <w:rsid w:val="00444619"/>
    <w:rsid w:val="0044465E"/>
    <w:rsid w:val="00444669"/>
    <w:rsid w:val="004446C0"/>
    <w:rsid w:val="00444786"/>
    <w:rsid w:val="00444869"/>
    <w:rsid w:val="00444890"/>
    <w:rsid w:val="004449F7"/>
    <w:rsid w:val="00444A41"/>
    <w:rsid w:val="00444B93"/>
    <w:rsid w:val="00444B96"/>
    <w:rsid w:val="00444BAA"/>
    <w:rsid w:val="00444C19"/>
    <w:rsid w:val="00444D63"/>
    <w:rsid w:val="00444DAA"/>
    <w:rsid w:val="00444DE7"/>
    <w:rsid w:val="00444EE8"/>
    <w:rsid w:val="00444F1C"/>
    <w:rsid w:val="00445096"/>
    <w:rsid w:val="0044515D"/>
    <w:rsid w:val="00445255"/>
    <w:rsid w:val="004455B8"/>
    <w:rsid w:val="00445747"/>
    <w:rsid w:val="00445752"/>
    <w:rsid w:val="004457C0"/>
    <w:rsid w:val="004458F3"/>
    <w:rsid w:val="0044596F"/>
    <w:rsid w:val="00445975"/>
    <w:rsid w:val="00445993"/>
    <w:rsid w:val="004459CE"/>
    <w:rsid w:val="00445A0A"/>
    <w:rsid w:val="00445AE1"/>
    <w:rsid w:val="00445C26"/>
    <w:rsid w:val="00445D26"/>
    <w:rsid w:val="00445D33"/>
    <w:rsid w:val="00445DF7"/>
    <w:rsid w:val="00445E1F"/>
    <w:rsid w:val="00445F93"/>
    <w:rsid w:val="004460C1"/>
    <w:rsid w:val="0044611A"/>
    <w:rsid w:val="004461E0"/>
    <w:rsid w:val="004462E9"/>
    <w:rsid w:val="00446416"/>
    <w:rsid w:val="00446421"/>
    <w:rsid w:val="004465B1"/>
    <w:rsid w:val="00446629"/>
    <w:rsid w:val="004467CC"/>
    <w:rsid w:val="00446876"/>
    <w:rsid w:val="004468CA"/>
    <w:rsid w:val="0044691C"/>
    <w:rsid w:val="00446AD4"/>
    <w:rsid w:val="00446B0F"/>
    <w:rsid w:val="00446B8C"/>
    <w:rsid w:val="00446C86"/>
    <w:rsid w:val="00446D1A"/>
    <w:rsid w:val="00446D1E"/>
    <w:rsid w:val="00446D71"/>
    <w:rsid w:val="00446E55"/>
    <w:rsid w:val="00446ED5"/>
    <w:rsid w:val="00446F16"/>
    <w:rsid w:val="004470EC"/>
    <w:rsid w:val="0044711F"/>
    <w:rsid w:val="00447132"/>
    <w:rsid w:val="0044719E"/>
    <w:rsid w:val="004471C2"/>
    <w:rsid w:val="004472B9"/>
    <w:rsid w:val="0044739F"/>
    <w:rsid w:val="004473BE"/>
    <w:rsid w:val="0044745D"/>
    <w:rsid w:val="004475BA"/>
    <w:rsid w:val="0044763F"/>
    <w:rsid w:val="00447725"/>
    <w:rsid w:val="00447786"/>
    <w:rsid w:val="0044781E"/>
    <w:rsid w:val="0044782B"/>
    <w:rsid w:val="00447933"/>
    <w:rsid w:val="00447BAC"/>
    <w:rsid w:val="00447BCF"/>
    <w:rsid w:val="00447C2F"/>
    <w:rsid w:val="00447DFA"/>
    <w:rsid w:val="00447EC4"/>
    <w:rsid w:val="00447FDA"/>
    <w:rsid w:val="00447FF4"/>
    <w:rsid w:val="004500B6"/>
    <w:rsid w:val="004500D8"/>
    <w:rsid w:val="004501DA"/>
    <w:rsid w:val="00450434"/>
    <w:rsid w:val="00450641"/>
    <w:rsid w:val="00450677"/>
    <w:rsid w:val="004506F1"/>
    <w:rsid w:val="004508D6"/>
    <w:rsid w:val="00450928"/>
    <w:rsid w:val="004509A2"/>
    <w:rsid w:val="00450A33"/>
    <w:rsid w:val="00450ACE"/>
    <w:rsid w:val="00450CA6"/>
    <w:rsid w:val="00450CDD"/>
    <w:rsid w:val="00450CE7"/>
    <w:rsid w:val="00450D8F"/>
    <w:rsid w:val="00450DEC"/>
    <w:rsid w:val="00450E97"/>
    <w:rsid w:val="00450EAF"/>
    <w:rsid w:val="00450F5D"/>
    <w:rsid w:val="004510C7"/>
    <w:rsid w:val="00451164"/>
    <w:rsid w:val="004511A5"/>
    <w:rsid w:val="00451337"/>
    <w:rsid w:val="0045142D"/>
    <w:rsid w:val="004514C7"/>
    <w:rsid w:val="00451526"/>
    <w:rsid w:val="004516D0"/>
    <w:rsid w:val="004516F1"/>
    <w:rsid w:val="00451720"/>
    <w:rsid w:val="00451783"/>
    <w:rsid w:val="004517C7"/>
    <w:rsid w:val="004519BC"/>
    <w:rsid w:val="004519CA"/>
    <w:rsid w:val="004519D0"/>
    <w:rsid w:val="00451A78"/>
    <w:rsid w:val="00451AAA"/>
    <w:rsid w:val="00451B12"/>
    <w:rsid w:val="00451BC4"/>
    <w:rsid w:val="00451E3E"/>
    <w:rsid w:val="00451F04"/>
    <w:rsid w:val="00451F82"/>
    <w:rsid w:val="00451F91"/>
    <w:rsid w:val="00452046"/>
    <w:rsid w:val="0045212E"/>
    <w:rsid w:val="004521CA"/>
    <w:rsid w:val="00452216"/>
    <w:rsid w:val="0045238D"/>
    <w:rsid w:val="00452446"/>
    <w:rsid w:val="004524E0"/>
    <w:rsid w:val="004524F9"/>
    <w:rsid w:val="004526A8"/>
    <w:rsid w:val="0045276C"/>
    <w:rsid w:val="004527B0"/>
    <w:rsid w:val="00452930"/>
    <w:rsid w:val="00452A0C"/>
    <w:rsid w:val="00452B2F"/>
    <w:rsid w:val="00452CA8"/>
    <w:rsid w:val="00452CD8"/>
    <w:rsid w:val="00452D14"/>
    <w:rsid w:val="00452FE0"/>
    <w:rsid w:val="00453087"/>
    <w:rsid w:val="0045308A"/>
    <w:rsid w:val="004531C6"/>
    <w:rsid w:val="004532F4"/>
    <w:rsid w:val="004534AA"/>
    <w:rsid w:val="004534C8"/>
    <w:rsid w:val="004534E6"/>
    <w:rsid w:val="0045358F"/>
    <w:rsid w:val="004536D3"/>
    <w:rsid w:val="00453A43"/>
    <w:rsid w:val="00453A56"/>
    <w:rsid w:val="00453C03"/>
    <w:rsid w:val="00453C2A"/>
    <w:rsid w:val="00453C50"/>
    <w:rsid w:val="00453C5D"/>
    <w:rsid w:val="00453C85"/>
    <w:rsid w:val="00453D97"/>
    <w:rsid w:val="0045406E"/>
    <w:rsid w:val="00454105"/>
    <w:rsid w:val="0045413D"/>
    <w:rsid w:val="00454514"/>
    <w:rsid w:val="00454569"/>
    <w:rsid w:val="004545B9"/>
    <w:rsid w:val="0045470D"/>
    <w:rsid w:val="00454730"/>
    <w:rsid w:val="004547B8"/>
    <w:rsid w:val="004547BC"/>
    <w:rsid w:val="00454849"/>
    <w:rsid w:val="004548E3"/>
    <w:rsid w:val="00454929"/>
    <w:rsid w:val="004549CB"/>
    <w:rsid w:val="004549F6"/>
    <w:rsid w:val="00454A97"/>
    <w:rsid w:val="00454B75"/>
    <w:rsid w:val="00454BE2"/>
    <w:rsid w:val="00454C1C"/>
    <w:rsid w:val="00454E09"/>
    <w:rsid w:val="00454E7E"/>
    <w:rsid w:val="0045502E"/>
    <w:rsid w:val="00455124"/>
    <w:rsid w:val="00455150"/>
    <w:rsid w:val="004551D4"/>
    <w:rsid w:val="0045538C"/>
    <w:rsid w:val="00455412"/>
    <w:rsid w:val="00455684"/>
    <w:rsid w:val="00455745"/>
    <w:rsid w:val="0045574C"/>
    <w:rsid w:val="00455785"/>
    <w:rsid w:val="004557CF"/>
    <w:rsid w:val="00455A59"/>
    <w:rsid w:val="00455BE8"/>
    <w:rsid w:val="00455C5A"/>
    <w:rsid w:val="00455C64"/>
    <w:rsid w:val="00455C7F"/>
    <w:rsid w:val="00455D5D"/>
    <w:rsid w:val="00455DD3"/>
    <w:rsid w:val="00455E67"/>
    <w:rsid w:val="004560F3"/>
    <w:rsid w:val="00456276"/>
    <w:rsid w:val="004562A3"/>
    <w:rsid w:val="0045630A"/>
    <w:rsid w:val="0045639C"/>
    <w:rsid w:val="00456402"/>
    <w:rsid w:val="00456405"/>
    <w:rsid w:val="0045643E"/>
    <w:rsid w:val="004564B9"/>
    <w:rsid w:val="00456541"/>
    <w:rsid w:val="004565DE"/>
    <w:rsid w:val="0045661C"/>
    <w:rsid w:val="00456780"/>
    <w:rsid w:val="00456797"/>
    <w:rsid w:val="004567D3"/>
    <w:rsid w:val="004567EE"/>
    <w:rsid w:val="00456874"/>
    <w:rsid w:val="004569D7"/>
    <w:rsid w:val="00456AB5"/>
    <w:rsid w:val="00456AD0"/>
    <w:rsid w:val="00456C7C"/>
    <w:rsid w:val="00456CD0"/>
    <w:rsid w:val="00456EA5"/>
    <w:rsid w:val="00456EB6"/>
    <w:rsid w:val="00456F6B"/>
    <w:rsid w:val="00456FC8"/>
    <w:rsid w:val="00456FEA"/>
    <w:rsid w:val="0045735B"/>
    <w:rsid w:val="004573A4"/>
    <w:rsid w:val="004574A6"/>
    <w:rsid w:val="004574F7"/>
    <w:rsid w:val="00457584"/>
    <w:rsid w:val="004575FA"/>
    <w:rsid w:val="0045765A"/>
    <w:rsid w:val="004577AC"/>
    <w:rsid w:val="0045786E"/>
    <w:rsid w:val="0045787F"/>
    <w:rsid w:val="004578D0"/>
    <w:rsid w:val="00457953"/>
    <w:rsid w:val="00457A1D"/>
    <w:rsid w:val="00457A52"/>
    <w:rsid w:val="00457CAF"/>
    <w:rsid w:val="00457CDB"/>
    <w:rsid w:val="00457CF8"/>
    <w:rsid w:val="00457D11"/>
    <w:rsid w:val="00457E78"/>
    <w:rsid w:val="00457EAF"/>
    <w:rsid w:val="00457EC8"/>
    <w:rsid w:val="00457ED9"/>
    <w:rsid w:val="00457EDA"/>
    <w:rsid w:val="00457F01"/>
    <w:rsid w:val="004602E6"/>
    <w:rsid w:val="004603AF"/>
    <w:rsid w:val="00460539"/>
    <w:rsid w:val="004608B7"/>
    <w:rsid w:val="004609F3"/>
    <w:rsid w:val="00460A02"/>
    <w:rsid w:val="00460A1A"/>
    <w:rsid w:val="00460CE2"/>
    <w:rsid w:val="00460D3E"/>
    <w:rsid w:val="00460DF4"/>
    <w:rsid w:val="0046101D"/>
    <w:rsid w:val="0046103F"/>
    <w:rsid w:val="00461136"/>
    <w:rsid w:val="0046120D"/>
    <w:rsid w:val="00461326"/>
    <w:rsid w:val="0046151A"/>
    <w:rsid w:val="004615A8"/>
    <w:rsid w:val="0046163F"/>
    <w:rsid w:val="0046164E"/>
    <w:rsid w:val="004616B0"/>
    <w:rsid w:val="00461820"/>
    <w:rsid w:val="004618A1"/>
    <w:rsid w:val="0046193B"/>
    <w:rsid w:val="004619DA"/>
    <w:rsid w:val="00461A2F"/>
    <w:rsid w:val="00461BC5"/>
    <w:rsid w:val="00461CDE"/>
    <w:rsid w:val="00461CE9"/>
    <w:rsid w:val="00461DD1"/>
    <w:rsid w:val="00461F68"/>
    <w:rsid w:val="00461F95"/>
    <w:rsid w:val="00461FE9"/>
    <w:rsid w:val="00462006"/>
    <w:rsid w:val="004620E2"/>
    <w:rsid w:val="00462124"/>
    <w:rsid w:val="004622F0"/>
    <w:rsid w:val="0046234F"/>
    <w:rsid w:val="00462350"/>
    <w:rsid w:val="00462827"/>
    <w:rsid w:val="0046282C"/>
    <w:rsid w:val="004628B1"/>
    <w:rsid w:val="00462948"/>
    <w:rsid w:val="00462B80"/>
    <w:rsid w:val="00462BBF"/>
    <w:rsid w:val="00462C59"/>
    <w:rsid w:val="00462F28"/>
    <w:rsid w:val="00463127"/>
    <w:rsid w:val="004632AE"/>
    <w:rsid w:val="00463314"/>
    <w:rsid w:val="0046336B"/>
    <w:rsid w:val="004633A6"/>
    <w:rsid w:val="004633D2"/>
    <w:rsid w:val="0046340B"/>
    <w:rsid w:val="00463454"/>
    <w:rsid w:val="004634E0"/>
    <w:rsid w:val="00463521"/>
    <w:rsid w:val="0046365C"/>
    <w:rsid w:val="00463705"/>
    <w:rsid w:val="004637A2"/>
    <w:rsid w:val="004637C2"/>
    <w:rsid w:val="004638E3"/>
    <w:rsid w:val="00463AA0"/>
    <w:rsid w:val="00463ADC"/>
    <w:rsid w:val="00463B45"/>
    <w:rsid w:val="00463B67"/>
    <w:rsid w:val="00463D62"/>
    <w:rsid w:val="004640AA"/>
    <w:rsid w:val="0046424D"/>
    <w:rsid w:val="0046424F"/>
    <w:rsid w:val="0046426C"/>
    <w:rsid w:val="004642F1"/>
    <w:rsid w:val="00464437"/>
    <w:rsid w:val="004644E8"/>
    <w:rsid w:val="004645E8"/>
    <w:rsid w:val="0046469E"/>
    <w:rsid w:val="004647E4"/>
    <w:rsid w:val="00464823"/>
    <w:rsid w:val="0046483F"/>
    <w:rsid w:val="00464983"/>
    <w:rsid w:val="004649A1"/>
    <w:rsid w:val="00464AF5"/>
    <w:rsid w:val="00464B14"/>
    <w:rsid w:val="00464B50"/>
    <w:rsid w:val="00464C49"/>
    <w:rsid w:val="00464C89"/>
    <w:rsid w:val="00464C9F"/>
    <w:rsid w:val="00464CA9"/>
    <w:rsid w:val="00464E95"/>
    <w:rsid w:val="00464EA4"/>
    <w:rsid w:val="00464EB2"/>
    <w:rsid w:val="00464F37"/>
    <w:rsid w:val="00464F38"/>
    <w:rsid w:val="00464F7B"/>
    <w:rsid w:val="00464FC8"/>
    <w:rsid w:val="0046507D"/>
    <w:rsid w:val="004650FD"/>
    <w:rsid w:val="004654DC"/>
    <w:rsid w:val="00465515"/>
    <w:rsid w:val="00465574"/>
    <w:rsid w:val="0046558C"/>
    <w:rsid w:val="004656E0"/>
    <w:rsid w:val="0046570A"/>
    <w:rsid w:val="0046572C"/>
    <w:rsid w:val="004658CD"/>
    <w:rsid w:val="004659A6"/>
    <w:rsid w:val="004659D8"/>
    <w:rsid w:val="00465B1D"/>
    <w:rsid w:val="00465B79"/>
    <w:rsid w:val="00465BC1"/>
    <w:rsid w:val="00465CBB"/>
    <w:rsid w:val="00465CE3"/>
    <w:rsid w:val="00466020"/>
    <w:rsid w:val="00466049"/>
    <w:rsid w:val="004660DB"/>
    <w:rsid w:val="00466114"/>
    <w:rsid w:val="004661B3"/>
    <w:rsid w:val="004662D8"/>
    <w:rsid w:val="00466356"/>
    <w:rsid w:val="00466471"/>
    <w:rsid w:val="004664F0"/>
    <w:rsid w:val="004665B1"/>
    <w:rsid w:val="004665C7"/>
    <w:rsid w:val="004665EC"/>
    <w:rsid w:val="0046665C"/>
    <w:rsid w:val="004666E8"/>
    <w:rsid w:val="00466731"/>
    <w:rsid w:val="004667C0"/>
    <w:rsid w:val="0046689B"/>
    <w:rsid w:val="00466907"/>
    <w:rsid w:val="00466A59"/>
    <w:rsid w:val="00466B06"/>
    <w:rsid w:val="00466B3B"/>
    <w:rsid w:val="00466C07"/>
    <w:rsid w:val="00466C0A"/>
    <w:rsid w:val="00466C35"/>
    <w:rsid w:val="00466CC0"/>
    <w:rsid w:val="00466E2F"/>
    <w:rsid w:val="00466EA2"/>
    <w:rsid w:val="00466F12"/>
    <w:rsid w:val="00466F4F"/>
    <w:rsid w:val="00466FC9"/>
    <w:rsid w:val="00467077"/>
    <w:rsid w:val="0046709D"/>
    <w:rsid w:val="00467140"/>
    <w:rsid w:val="0046722C"/>
    <w:rsid w:val="00467370"/>
    <w:rsid w:val="004674C9"/>
    <w:rsid w:val="004675F2"/>
    <w:rsid w:val="00467678"/>
    <w:rsid w:val="00467A7E"/>
    <w:rsid w:val="00467BAB"/>
    <w:rsid w:val="00467C17"/>
    <w:rsid w:val="00467C1C"/>
    <w:rsid w:val="00467C49"/>
    <w:rsid w:val="00467D16"/>
    <w:rsid w:val="00467D18"/>
    <w:rsid w:val="00467DCB"/>
    <w:rsid w:val="00467DCE"/>
    <w:rsid w:val="00467E05"/>
    <w:rsid w:val="00467EC2"/>
    <w:rsid w:val="0047017B"/>
    <w:rsid w:val="00470202"/>
    <w:rsid w:val="00470269"/>
    <w:rsid w:val="004702A3"/>
    <w:rsid w:val="00470477"/>
    <w:rsid w:val="00470488"/>
    <w:rsid w:val="004705E6"/>
    <w:rsid w:val="0047061B"/>
    <w:rsid w:val="004706BB"/>
    <w:rsid w:val="00470798"/>
    <w:rsid w:val="004707D1"/>
    <w:rsid w:val="00470824"/>
    <w:rsid w:val="00470861"/>
    <w:rsid w:val="00470938"/>
    <w:rsid w:val="00470A14"/>
    <w:rsid w:val="00470A35"/>
    <w:rsid w:val="00470B03"/>
    <w:rsid w:val="00470B1C"/>
    <w:rsid w:val="00470B8E"/>
    <w:rsid w:val="00470C8A"/>
    <w:rsid w:val="00470C97"/>
    <w:rsid w:val="00470CA0"/>
    <w:rsid w:val="00470FE9"/>
    <w:rsid w:val="00471004"/>
    <w:rsid w:val="004712EE"/>
    <w:rsid w:val="00471391"/>
    <w:rsid w:val="004713A0"/>
    <w:rsid w:val="00471503"/>
    <w:rsid w:val="004715B5"/>
    <w:rsid w:val="00471624"/>
    <w:rsid w:val="00471678"/>
    <w:rsid w:val="00471742"/>
    <w:rsid w:val="00471802"/>
    <w:rsid w:val="004718B2"/>
    <w:rsid w:val="004718C8"/>
    <w:rsid w:val="004719F1"/>
    <w:rsid w:val="00471A75"/>
    <w:rsid w:val="00471AE4"/>
    <w:rsid w:val="00471B35"/>
    <w:rsid w:val="00471C23"/>
    <w:rsid w:val="00471C49"/>
    <w:rsid w:val="00471E0A"/>
    <w:rsid w:val="00471F31"/>
    <w:rsid w:val="00471F36"/>
    <w:rsid w:val="00471F57"/>
    <w:rsid w:val="00471F7C"/>
    <w:rsid w:val="0047209D"/>
    <w:rsid w:val="004721A5"/>
    <w:rsid w:val="004721F9"/>
    <w:rsid w:val="0047233E"/>
    <w:rsid w:val="0047253C"/>
    <w:rsid w:val="004725B5"/>
    <w:rsid w:val="004725F7"/>
    <w:rsid w:val="00472600"/>
    <w:rsid w:val="00472682"/>
    <w:rsid w:val="004726C7"/>
    <w:rsid w:val="0047274A"/>
    <w:rsid w:val="004727AD"/>
    <w:rsid w:val="004728E7"/>
    <w:rsid w:val="00472A40"/>
    <w:rsid w:val="00472C62"/>
    <w:rsid w:val="00472DCF"/>
    <w:rsid w:val="00472E4B"/>
    <w:rsid w:val="00472F40"/>
    <w:rsid w:val="004730E0"/>
    <w:rsid w:val="0047324B"/>
    <w:rsid w:val="004732AC"/>
    <w:rsid w:val="004732F4"/>
    <w:rsid w:val="0047334B"/>
    <w:rsid w:val="0047343E"/>
    <w:rsid w:val="004734C9"/>
    <w:rsid w:val="004734EB"/>
    <w:rsid w:val="004735BC"/>
    <w:rsid w:val="004735CC"/>
    <w:rsid w:val="004736C9"/>
    <w:rsid w:val="004736EC"/>
    <w:rsid w:val="004736ED"/>
    <w:rsid w:val="00473773"/>
    <w:rsid w:val="00473791"/>
    <w:rsid w:val="00473923"/>
    <w:rsid w:val="0047394B"/>
    <w:rsid w:val="004739D0"/>
    <w:rsid w:val="00473A93"/>
    <w:rsid w:val="00473B7E"/>
    <w:rsid w:val="00473BA4"/>
    <w:rsid w:val="00473C35"/>
    <w:rsid w:val="00473C90"/>
    <w:rsid w:val="00473CDD"/>
    <w:rsid w:val="00473E89"/>
    <w:rsid w:val="00474051"/>
    <w:rsid w:val="004740F4"/>
    <w:rsid w:val="0047414C"/>
    <w:rsid w:val="00474169"/>
    <w:rsid w:val="0047418C"/>
    <w:rsid w:val="00474204"/>
    <w:rsid w:val="00474251"/>
    <w:rsid w:val="00474303"/>
    <w:rsid w:val="0047437B"/>
    <w:rsid w:val="00474382"/>
    <w:rsid w:val="004744E9"/>
    <w:rsid w:val="00474509"/>
    <w:rsid w:val="00474572"/>
    <w:rsid w:val="004745CC"/>
    <w:rsid w:val="004745F3"/>
    <w:rsid w:val="00474681"/>
    <w:rsid w:val="004746E3"/>
    <w:rsid w:val="0047482A"/>
    <w:rsid w:val="00474A0E"/>
    <w:rsid w:val="00474AC4"/>
    <w:rsid w:val="00474B58"/>
    <w:rsid w:val="00474DDD"/>
    <w:rsid w:val="00474FA3"/>
    <w:rsid w:val="00474FF0"/>
    <w:rsid w:val="004750F4"/>
    <w:rsid w:val="00475134"/>
    <w:rsid w:val="0047519B"/>
    <w:rsid w:val="004751D5"/>
    <w:rsid w:val="004752FD"/>
    <w:rsid w:val="00475321"/>
    <w:rsid w:val="00475354"/>
    <w:rsid w:val="0047539B"/>
    <w:rsid w:val="00475417"/>
    <w:rsid w:val="0047542A"/>
    <w:rsid w:val="00475478"/>
    <w:rsid w:val="004754DD"/>
    <w:rsid w:val="00475504"/>
    <w:rsid w:val="004755B1"/>
    <w:rsid w:val="004756DD"/>
    <w:rsid w:val="00475749"/>
    <w:rsid w:val="00475789"/>
    <w:rsid w:val="0047584C"/>
    <w:rsid w:val="004758DC"/>
    <w:rsid w:val="004758E4"/>
    <w:rsid w:val="00475A23"/>
    <w:rsid w:val="00475A4F"/>
    <w:rsid w:val="00475B36"/>
    <w:rsid w:val="00475B6C"/>
    <w:rsid w:val="00475BF5"/>
    <w:rsid w:val="00475CC4"/>
    <w:rsid w:val="00475D38"/>
    <w:rsid w:val="00475D43"/>
    <w:rsid w:val="00475F3D"/>
    <w:rsid w:val="00475FC2"/>
    <w:rsid w:val="00476175"/>
    <w:rsid w:val="004761FE"/>
    <w:rsid w:val="0047623B"/>
    <w:rsid w:val="00476593"/>
    <w:rsid w:val="0047669B"/>
    <w:rsid w:val="004766C4"/>
    <w:rsid w:val="0047678F"/>
    <w:rsid w:val="00476797"/>
    <w:rsid w:val="004767D8"/>
    <w:rsid w:val="00476875"/>
    <w:rsid w:val="0047687D"/>
    <w:rsid w:val="004768E9"/>
    <w:rsid w:val="00476928"/>
    <w:rsid w:val="004769B7"/>
    <w:rsid w:val="00476A41"/>
    <w:rsid w:val="00476AC3"/>
    <w:rsid w:val="00476BB6"/>
    <w:rsid w:val="00476BE0"/>
    <w:rsid w:val="00476C11"/>
    <w:rsid w:val="00476D0D"/>
    <w:rsid w:val="00476E7C"/>
    <w:rsid w:val="00476EB7"/>
    <w:rsid w:val="0047713B"/>
    <w:rsid w:val="00477189"/>
    <w:rsid w:val="004771CA"/>
    <w:rsid w:val="00477200"/>
    <w:rsid w:val="004773EC"/>
    <w:rsid w:val="0047747C"/>
    <w:rsid w:val="004775A0"/>
    <w:rsid w:val="004779BC"/>
    <w:rsid w:val="00477AB3"/>
    <w:rsid w:val="00477BCE"/>
    <w:rsid w:val="00477E59"/>
    <w:rsid w:val="00477E5E"/>
    <w:rsid w:val="00477ED2"/>
    <w:rsid w:val="00480045"/>
    <w:rsid w:val="00480076"/>
    <w:rsid w:val="004800AB"/>
    <w:rsid w:val="004800C3"/>
    <w:rsid w:val="00480176"/>
    <w:rsid w:val="0048017C"/>
    <w:rsid w:val="00480310"/>
    <w:rsid w:val="00480431"/>
    <w:rsid w:val="004804C4"/>
    <w:rsid w:val="00480581"/>
    <w:rsid w:val="004805B9"/>
    <w:rsid w:val="0048061D"/>
    <w:rsid w:val="00480658"/>
    <w:rsid w:val="004806E4"/>
    <w:rsid w:val="004807D2"/>
    <w:rsid w:val="00480B4F"/>
    <w:rsid w:val="00480B58"/>
    <w:rsid w:val="00480BFF"/>
    <w:rsid w:val="00480C05"/>
    <w:rsid w:val="00480DC9"/>
    <w:rsid w:val="00480E28"/>
    <w:rsid w:val="00480EB4"/>
    <w:rsid w:val="00480ECF"/>
    <w:rsid w:val="00480F59"/>
    <w:rsid w:val="00480F76"/>
    <w:rsid w:val="004810C2"/>
    <w:rsid w:val="0048113A"/>
    <w:rsid w:val="0048117F"/>
    <w:rsid w:val="004811E0"/>
    <w:rsid w:val="0048124A"/>
    <w:rsid w:val="0048145C"/>
    <w:rsid w:val="004814EB"/>
    <w:rsid w:val="0048154F"/>
    <w:rsid w:val="0048156A"/>
    <w:rsid w:val="00481601"/>
    <w:rsid w:val="0048168F"/>
    <w:rsid w:val="004816F4"/>
    <w:rsid w:val="0048172D"/>
    <w:rsid w:val="00481799"/>
    <w:rsid w:val="00481840"/>
    <w:rsid w:val="004819D7"/>
    <w:rsid w:val="00481A65"/>
    <w:rsid w:val="00481B55"/>
    <w:rsid w:val="00481D1E"/>
    <w:rsid w:val="00481D5A"/>
    <w:rsid w:val="00481DA6"/>
    <w:rsid w:val="00481FA0"/>
    <w:rsid w:val="00482146"/>
    <w:rsid w:val="004821AE"/>
    <w:rsid w:val="00482202"/>
    <w:rsid w:val="004823BB"/>
    <w:rsid w:val="004826D0"/>
    <w:rsid w:val="004827BA"/>
    <w:rsid w:val="00482C17"/>
    <w:rsid w:val="00482CB1"/>
    <w:rsid w:val="00482E23"/>
    <w:rsid w:val="00482E69"/>
    <w:rsid w:val="00482FD2"/>
    <w:rsid w:val="0048304A"/>
    <w:rsid w:val="00483085"/>
    <w:rsid w:val="0048314C"/>
    <w:rsid w:val="004831BB"/>
    <w:rsid w:val="00483345"/>
    <w:rsid w:val="00483384"/>
    <w:rsid w:val="00483486"/>
    <w:rsid w:val="0048361F"/>
    <w:rsid w:val="00483684"/>
    <w:rsid w:val="004836E7"/>
    <w:rsid w:val="00483723"/>
    <w:rsid w:val="00483752"/>
    <w:rsid w:val="0048375D"/>
    <w:rsid w:val="00483783"/>
    <w:rsid w:val="00483873"/>
    <w:rsid w:val="00483941"/>
    <w:rsid w:val="0048394A"/>
    <w:rsid w:val="0048395F"/>
    <w:rsid w:val="004839CB"/>
    <w:rsid w:val="00483A55"/>
    <w:rsid w:val="00483AB9"/>
    <w:rsid w:val="00483AC6"/>
    <w:rsid w:val="00483B32"/>
    <w:rsid w:val="00483D97"/>
    <w:rsid w:val="00483F0D"/>
    <w:rsid w:val="00483F21"/>
    <w:rsid w:val="00484165"/>
    <w:rsid w:val="004842CD"/>
    <w:rsid w:val="004842D3"/>
    <w:rsid w:val="004842DF"/>
    <w:rsid w:val="004843C5"/>
    <w:rsid w:val="00484428"/>
    <w:rsid w:val="0048444A"/>
    <w:rsid w:val="004844B6"/>
    <w:rsid w:val="004844BD"/>
    <w:rsid w:val="00484530"/>
    <w:rsid w:val="00484671"/>
    <w:rsid w:val="0048483E"/>
    <w:rsid w:val="00484866"/>
    <w:rsid w:val="00484878"/>
    <w:rsid w:val="0048488B"/>
    <w:rsid w:val="004848B5"/>
    <w:rsid w:val="004848D3"/>
    <w:rsid w:val="00484941"/>
    <w:rsid w:val="0048497A"/>
    <w:rsid w:val="004849B2"/>
    <w:rsid w:val="00484A36"/>
    <w:rsid w:val="00484A92"/>
    <w:rsid w:val="00484B4A"/>
    <w:rsid w:val="00484C1C"/>
    <w:rsid w:val="00484D73"/>
    <w:rsid w:val="00484E8E"/>
    <w:rsid w:val="00484EBD"/>
    <w:rsid w:val="00484F06"/>
    <w:rsid w:val="00484FF5"/>
    <w:rsid w:val="00485047"/>
    <w:rsid w:val="0048506D"/>
    <w:rsid w:val="004850FC"/>
    <w:rsid w:val="0048510C"/>
    <w:rsid w:val="00485320"/>
    <w:rsid w:val="00485371"/>
    <w:rsid w:val="004853B4"/>
    <w:rsid w:val="004853F2"/>
    <w:rsid w:val="004854D8"/>
    <w:rsid w:val="004854EA"/>
    <w:rsid w:val="00485527"/>
    <w:rsid w:val="00485573"/>
    <w:rsid w:val="004855A2"/>
    <w:rsid w:val="00485634"/>
    <w:rsid w:val="00485735"/>
    <w:rsid w:val="00485776"/>
    <w:rsid w:val="004857FD"/>
    <w:rsid w:val="00485800"/>
    <w:rsid w:val="00485816"/>
    <w:rsid w:val="00485857"/>
    <w:rsid w:val="00485A05"/>
    <w:rsid w:val="00485A12"/>
    <w:rsid w:val="00485CC2"/>
    <w:rsid w:val="00485D51"/>
    <w:rsid w:val="00485D7A"/>
    <w:rsid w:val="00485DC7"/>
    <w:rsid w:val="00485DE6"/>
    <w:rsid w:val="00485E1F"/>
    <w:rsid w:val="00485E62"/>
    <w:rsid w:val="00485F2D"/>
    <w:rsid w:val="00486139"/>
    <w:rsid w:val="0048616E"/>
    <w:rsid w:val="00486181"/>
    <w:rsid w:val="0048629D"/>
    <w:rsid w:val="004863F2"/>
    <w:rsid w:val="00486447"/>
    <w:rsid w:val="0048647A"/>
    <w:rsid w:val="004865EE"/>
    <w:rsid w:val="004866F1"/>
    <w:rsid w:val="00486779"/>
    <w:rsid w:val="00486915"/>
    <w:rsid w:val="00486973"/>
    <w:rsid w:val="00486AB4"/>
    <w:rsid w:val="00486AE4"/>
    <w:rsid w:val="00486AEC"/>
    <w:rsid w:val="00486D3B"/>
    <w:rsid w:val="00486F35"/>
    <w:rsid w:val="00487078"/>
    <w:rsid w:val="0048709D"/>
    <w:rsid w:val="0048716B"/>
    <w:rsid w:val="0048722A"/>
    <w:rsid w:val="00487408"/>
    <w:rsid w:val="00487525"/>
    <w:rsid w:val="0048766A"/>
    <w:rsid w:val="00487730"/>
    <w:rsid w:val="00487766"/>
    <w:rsid w:val="004877B0"/>
    <w:rsid w:val="0048782D"/>
    <w:rsid w:val="0048785B"/>
    <w:rsid w:val="00487981"/>
    <w:rsid w:val="00487A1C"/>
    <w:rsid w:val="00487B24"/>
    <w:rsid w:val="00487CFC"/>
    <w:rsid w:val="00487D59"/>
    <w:rsid w:val="00487D87"/>
    <w:rsid w:val="00487F35"/>
    <w:rsid w:val="0049003B"/>
    <w:rsid w:val="004902F4"/>
    <w:rsid w:val="00490360"/>
    <w:rsid w:val="004903FF"/>
    <w:rsid w:val="0049073D"/>
    <w:rsid w:val="00490740"/>
    <w:rsid w:val="004907D7"/>
    <w:rsid w:val="00490991"/>
    <w:rsid w:val="004909EC"/>
    <w:rsid w:val="00490A7B"/>
    <w:rsid w:val="00490B6A"/>
    <w:rsid w:val="00490C2E"/>
    <w:rsid w:val="00490E60"/>
    <w:rsid w:val="00491390"/>
    <w:rsid w:val="00491491"/>
    <w:rsid w:val="004914C5"/>
    <w:rsid w:val="0049153E"/>
    <w:rsid w:val="004916C2"/>
    <w:rsid w:val="00491726"/>
    <w:rsid w:val="00491794"/>
    <w:rsid w:val="00491840"/>
    <w:rsid w:val="00491A78"/>
    <w:rsid w:val="00491A9B"/>
    <w:rsid w:val="00491B0B"/>
    <w:rsid w:val="00491D6E"/>
    <w:rsid w:val="00491D8E"/>
    <w:rsid w:val="00491D9C"/>
    <w:rsid w:val="00491DDC"/>
    <w:rsid w:val="00491E0E"/>
    <w:rsid w:val="00491F07"/>
    <w:rsid w:val="00491FC9"/>
    <w:rsid w:val="0049216B"/>
    <w:rsid w:val="004921DE"/>
    <w:rsid w:val="004921E2"/>
    <w:rsid w:val="00492221"/>
    <w:rsid w:val="004922AE"/>
    <w:rsid w:val="004924B1"/>
    <w:rsid w:val="0049270C"/>
    <w:rsid w:val="0049278A"/>
    <w:rsid w:val="0049280D"/>
    <w:rsid w:val="0049288D"/>
    <w:rsid w:val="004928CF"/>
    <w:rsid w:val="00492908"/>
    <w:rsid w:val="00492958"/>
    <w:rsid w:val="004929FA"/>
    <w:rsid w:val="00492AC5"/>
    <w:rsid w:val="00492ADD"/>
    <w:rsid w:val="00492B55"/>
    <w:rsid w:val="00492B8F"/>
    <w:rsid w:val="00492C87"/>
    <w:rsid w:val="00492CA9"/>
    <w:rsid w:val="00492CAD"/>
    <w:rsid w:val="00492E1D"/>
    <w:rsid w:val="00492F82"/>
    <w:rsid w:val="0049313F"/>
    <w:rsid w:val="00493149"/>
    <w:rsid w:val="00493193"/>
    <w:rsid w:val="00493240"/>
    <w:rsid w:val="004932CF"/>
    <w:rsid w:val="00493432"/>
    <w:rsid w:val="004934AD"/>
    <w:rsid w:val="004934C2"/>
    <w:rsid w:val="004934E4"/>
    <w:rsid w:val="0049350D"/>
    <w:rsid w:val="00493836"/>
    <w:rsid w:val="004938C3"/>
    <w:rsid w:val="00493926"/>
    <w:rsid w:val="004939C3"/>
    <w:rsid w:val="00493A4F"/>
    <w:rsid w:val="00493AB6"/>
    <w:rsid w:val="00493B0D"/>
    <w:rsid w:val="00493B33"/>
    <w:rsid w:val="00493BFE"/>
    <w:rsid w:val="00493D12"/>
    <w:rsid w:val="00493D7F"/>
    <w:rsid w:val="00493DDE"/>
    <w:rsid w:val="00493E39"/>
    <w:rsid w:val="00493EA4"/>
    <w:rsid w:val="00493EB7"/>
    <w:rsid w:val="0049416D"/>
    <w:rsid w:val="00494319"/>
    <w:rsid w:val="00494386"/>
    <w:rsid w:val="0049444D"/>
    <w:rsid w:val="00494456"/>
    <w:rsid w:val="0049448F"/>
    <w:rsid w:val="00494509"/>
    <w:rsid w:val="004945B8"/>
    <w:rsid w:val="0049479D"/>
    <w:rsid w:val="00494809"/>
    <w:rsid w:val="0049480D"/>
    <w:rsid w:val="00494815"/>
    <w:rsid w:val="00494892"/>
    <w:rsid w:val="00494896"/>
    <w:rsid w:val="00494A18"/>
    <w:rsid w:val="00494A33"/>
    <w:rsid w:val="00494BC0"/>
    <w:rsid w:val="00494BCE"/>
    <w:rsid w:val="00494C7A"/>
    <w:rsid w:val="00494D0A"/>
    <w:rsid w:val="00494D9B"/>
    <w:rsid w:val="00494FF0"/>
    <w:rsid w:val="00495170"/>
    <w:rsid w:val="004951FF"/>
    <w:rsid w:val="0049532E"/>
    <w:rsid w:val="004955AF"/>
    <w:rsid w:val="004955C6"/>
    <w:rsid w:val="0049570D"/>
    <w:rsid w:val="00495736"/>
    <w:rsid w:val="00495751"/>
    <w:rsid w:val="004957FF"/>
    <w:rsid w:val="00495847"/>
    <w:rsid w:val="004959C6"/>
    <w:rsid w:val="00495A28"/>
    <w:rsid w:val="00495A91"/>
    <w:rsid w:val="0049604B"/>
    <w:rsid w:val="004963A7"/>
    <w:rsid w:val="004963EB"/>
    <w:rsid w:val="00496465"/>
    <w:rsid w:val="004964C0"/>
    <w:rsid w:val="0049668A"/>
    <w:rsid w:val="004967E8"/>
    <w:rsid w:val="0049680E"/>
    <w:rsid w:val="004968D1"/>
    <w:rsid w:val="00496906"/>
    <w:rsid w:val="0049690F"/>
    <w:rsid w:val="00496920"/>
    <w:rsid w:val="00496AB7"/>
    <w:rsid w:val="00496AC6"/>
    <w:rsid w:val="00496AEE"/>
    <w:rsid w:val="00496BFE"/>
    <w:rsid w:val="00496D34"/>
    <w:rsid w:val="00496D4D"/>
    <w:rsid w:val="00496DB5"/>
    <w:rsid w:val="00496F45"/>
    <w:rsid w:val="00496F57"/>
    <w:rsid w:val="0049703A"/>
    <w:rsid w:val="004970DC"/>
    <w:rsid w:val="00497320"/>
    <w:rsid w:val="00497329"/>
    <w:rsid w:val="004973DE"/>
    <w:rsid w:val="00497532"/>
    <w:rsid w:val="00497581"/>
    <w:rsid w:val="0049769B"/>
    <w:rsid w:val="00497858"/>
    <w:rsid w:val="00497865"/>
    <w:rsid w:val="004978EC"/>
    <w:rsid w:val="004978F7"/>
    <w:rsid w:val="00497998"/>
    <w:rsid w:val="00497A07"/>
    <w:rsid w:val="00497AB6"/>
    <w:rsid w:val="00497B34"/>
    <w:rsid w:val="00497BEC"/>
    <w:rsid w:val="00497D96"/>
    <w:rsid w:val="00497E62"/>
    <w:rsid w:val="00497EA4"/>
    <w:rsid w:val="004A021B"/>
    <w:rsid w:val="004A02FC"/>
    <w:rsid w:val="004A0333"/>
    <w:rsid w:val="004A0357"/>
    <w:rsid w:val="004A0419"/>
    <w:rsid w:val="004A04DE"/>
    <w:rsid w:val="004A05E4"/>
    <w:rsid w:val="004A08FF"/>
    <w:rsid w:val="004A0952"/>
    <w:rsid w:val="004A0A67"/>
    <w:rsid w:val="004A0C3F"/>
    <w:rsid w:val="004A0C5D"/>
    <w:rsid w:val="004A0D23"/>
    <w:rsid w:val="004A0F8F"/>
    <w:rsid w:val="004A1002"/>
    <w:rsid w:val="004A10BD"/>
    <w:rsid w:val="004A115B"/>
    <w:rsid w:val="004A11A9"/>
    <w:rsid w:val="004A12D5"/>
    <w:rsid w:val="004A1412"/>
    <w:rsid w:val="004A1497"/>
    <w:rsid w:val="004A1511"/>
    <w:rsid w:val="004A1540"/>
    <w:rsid w:val="004A1554"/>
    <w:rsid w:val="004A15D1"/>
    <w:rsid w:val="004A169A"/>
    <w:rsid w:val="004A16A8"/>
    <w:rsid w:val="004A17BC"/>
    <w:rsid w:val="004A18A7"/>
    <w:rsid w:val="004A18B1"/>
    <w:rsid w:val="004A1AD0"/>
    <w:rsid w:val="004A1B14"/>
    <w:rsid w:val="004A1B52"/>
    <w:rsid w:val="004A1BE3"/>
    <w:rsid w:val="004A1D1F"/>
    <w:rsid w:val="004A1E65"/>
    <w:rsid w:val="004A1E66"/>
    <w:rsid w:val="004A1F27"/>
    <w:rsid w:val="004A1FC4"/>
    <w:rsid w:val="004A2206"/>
    <w:rsid w:val="004A24EE"/>
    <w:rsid w:val="004A263C"/>
    <w:rsid w:val="004A26CF"/>
    <w:rsid w:val="004A27B4"/>
    <w:rsid w:val="004A280C"/>
    <w:rsid w:val="004A2A43"/>
    <w:rsid w:val="004A2A47"/>
    <w:rsid w:val="004A2A88"/>
    <w:rsid w:val="004A2B40"/>
    <w:rsid w:val="004A2B6B"/>
    <w:rsid w:val="004A2B75"/>
    <w:rsid w:val="004A2BF3"/>
    <w:rsid w:val="004A2CE5"/>
    <w:rsid w:val="004A2D06"/>
    <w:rsid w:val="004A31A7"/>
    <w:rsid w:val="004A31AE"/>
    <w:rsid w:val="004A31CB"/>
    <w:rsid w:val="004A322C"/>
    <w:rsid w:val="004A33E2"/>
    <w:rsid w:val="004A33F5"/>
    <w:rsid w:val="004A343A"/>
    <w:rsid w:val="004A34BD"/>
    <w:rsid w:val="004A34D8"/>
    <w:rsid w:val="004A353D"/>
    <w:rsid w:val="004A359E"/>
    <w:rsid w:val="004A35DF"/>
    <w:rsid w:val="004A3625"/>
    <w:rsid w:val="004A370D"/>
    <w:rsid w:val="004A377B"/>
    <w:rsid w:val="004A377E"/>
    <w:rsid w:val="004A393F"/>
    <w:rsid w:val="004A395D"/>
    <w:rsid w:val="004A3A03"/>
    <w:rsid w:val="004A3A8C"/>
    <w:rsid w:val="004A3AA0"/>
    <w:rsid w:val="004A3AF6"/>
    <w:rsid w:val="004A3B31"/>
    <w:rsid w:val="004A3B36"/>
    <w:rsid w:val="004A3B6F"/>
    <w:rsid w:val="004A3BB4"/>
    <w:rsid w:val="004A3D6D"/>
    <w:rsid w:val="004A3E19"/>
    <w:rsid w:val="004A3FDD"/>
    <w:rsid w:val="004A4098"/>
    <w:rsid w:val="004A4258"/>
    <w:rsid w:val="004A43C7"/>
    <w:rsid w:val="004A443B"/>
    <w:rsid w:val="004A446B"/>
    <w:rsid w:val="004A447E"/>
    <w:rsid w:val="004A4531"/>
    <w:rsid w:val="004A455B"/>
    <w:rsid w:val="004A4564"/>
    <w:rsid w:val="004A459D"/>
    <w:rsid w:val="004A45AC"/>
    <w:rsid w:val="004A45E5"/>
    <w:rsid w:val="004A463A"/>
    <w:rsid w:val="004A463F"/>
    <w:rsid w:val="004A4670"/>
    <w:rsid w:val="004A46DB"/>
    <w:rsid w:val="004A46DE"/>
    <w:rsid w:val="004A4794"/>
    <w:rsid w:val="004A47CB"/>
    <w:rsid w:val="004A484C"/>
    <w:rsid w:val="004A4AEE"/>
    <w:rsid w:val="004A4BA3"/>
    <w:rsid w:val="004A4CCA"/>
    <w:rsid w:val="004A4CFD"/>
    <w:rsid w:val="004A4F7F"/>
    <w:rsid w:val="004A4FF1"/>
    <w:rsid w:val="004A500B"/>
    <w:rsid w:val="004A512A"/>
    <w:rsid w:val="004A51AA"/>
    <w:rsid w:val="004A51AE"/>
    <w:rsid w:val="004A5519"/>
    <w:rsid w:val="004A56EC"/>
    <w:rsid w:val="004A593D"/>
    <w:rsid w:val="004A5955"/>
    <w:rsid w:val="004A5A0C"/>
    <w:rsid w:val="004A5B5C"/>
    <w:rsid w:val="004A5BC3"/>
    <w:rsid w:val="004A5F2F"/>
    <w:rsid w:val="004A5FEE"/>
    <w:rsid w:val="004A613F"/>
    <w:rsid w:val="004A6222"/>
    <w:rsid w:val="004A62C7"/>
    <w:rsid w:val="004A63B3"/>
    <w:rsid w:val="004A6453"/>
    <w:rsid w:val="004A64AD"/>
    <w:rsid w:val="004A64D5"/>
    <w:rsid w:val="004A654A"/>
    <w:rsid w:val="004A6550"/>
    <w:rsid w:val="004A65CF"/>
    <w:rsid w:val="004A65F5"/>
    <w:rsid w:val="004A6611"/>
    <w:rsid w:val="004A67D0"/>
    <w:rsid w:val="004A682F"/>
    <w:rsid w:val="004A69F7"/>
    <w:rsid w:val="004A6B55"/>
    <w:rsid w:val="004A6CF3"/>
    <w:rsid w:val="004A6E3D"/>
    <w:rsid w:val="004A6F54"/>
    <w:rsid w:val="004A7134"/>
    <w:rsid w:val="004A716E"/>
    <w:rsid w:val="004A71B9"/>
    <w:rsid w:val="004A730A"/>
    <w:rsid w:val="004A7350"/>
    <w:rsid w:val="004A75BA"/>
    <w:rsid w:val="004A76D9"/>
    <w:rsid w:val="004A7744"/>
    <w:rsid w:val="004A7799"/>
    <w:rsid w:val="004A794E"/>
    <w:rsid w:val="004A797D"/>
    <w:rsid w:val="004A7B87"/>
    <w:rsid w:val="004A7CB8"/>
    <w:rsid w:val="004A7D11"/>
    <w:rsid w:val="004A7D74"/>
    <w:rsid w:val="004A7E18"/>
    <w:rsid w:val="004A7F05"/>
    <w:rsid w:val="004A7F41"/>
    <w:rsid w:val="004A7F78"/>
    <w:rsid w:val="004A7FB0"/>
    <w:rsid w:val="004A7FD3"/>
    <w:rsid w:val="004B002F"/>
    <w:rsid w:val="004B00DC"/>
    <w:rsid w:val="004B01A9"/>
    <w:rsid w:val="004B029D"/>
    <w:rsid w:val="004B0337"/>
    <w:rsid w:val="004B0362"/>
    <w:rsid w:val="004B0398"/>
    <w:rsid w:val="004B03B9"/>
    <w:rsid w:val="004B0423"/>
    <w:rsid w:val="004B0469"/>
    <w:rsid w:val="004B049C"/>
    <w:rsid w:val="004B0503"/>
    <w:rsid w:val="004B053B"/>
    <w:rsid w:val="004B05A8"/>
    <w:rsid w:val="004B0628"/>
    <w:rsid w:val="004B063C"/>
    <w:rsid w:val="004B0650"/>
    <w:rsid w:val="004B06BD"/>
    <w:rsid w:val="004B07C1"/>
    <w:rsid w:val="004B0991"/>
    <w:rsid w:val="004B0A9F"/>
    <w:rsid w:val="004B1497"/>
    <w:rsid w:val="004B16F4"/>
    <w:rsid w:val="004B19F5"/>
    <w:rsid w:val="004B1A02"/>
    <w:rsid w:val="004B1A36"/>
    <w:rsid w:val="004B1A5B"/>
    <w:rsid w:val="004B1C09"/>
    <w:rsid w:val="004B1EC5"/>
    <w:rsid w:val="004B2095"/>
    <w:rsid w:val="004B2121"/>
    <w:rsid w:val="004B234C"/>
    <w:rsid w:val="004B23C0"/>
    <w:rsid w:val="004B24B9"/>
    <w:rsid w:val="004B24FF"/>
    <w:rsid w:val="004B27A6"/>
    <w:rsid w:val="004B299B"/>
    <w:rsid w:val="004B2B18"/>
    <w:rsid w:val="004B2B49"/>
    <w:rsid w:val="004B2BD6"/>
    <w:rsid w:val="004B2D14"/>
    <w:rsid w:val="004B2DAF"/>
    <w:rsid w:val="004B2F60"/>
    <w:rsid w:val="004B2F66"/>
    <w:rsid w:val="004B2F82"/>
    <w:rsid w:val="004B2FA6"/>
    <w:rsid w:val="004B2FC1"/>
    <w:rsid w:val="004B2FF2"/>
    <w:rsid w:val="004B3066"/>
    <w:rsid w:val="004B30EB"/>
    <w:rsid w:val="004B314F"/>
    <w:rsid w:val="004B3154"/>
    <w:rsid w:val="004B31A9"/>
    <w:rsid w:val="004B330F"/>
    <w:rsid w:val="004B3546"/>
    <w:rsid w:val="004B35E4"/>
    <w:rsid w:val="004B362C"/>
    <w:rsid w:val="004B391F"/>
    <w:rsid w:val="004B3950"/>
    <w:rsid w:val="004B39BA"/>
    <w:rsid w:val="004B3BBB"/>
    <w:rsid w:val="004B3C48"/>
    <w:rsid w:val="004B3D0D"/>
    <w:rsid w:val="004B3DD0"/>
    <w:rsid w:val="004B3F8C"/>
    <w:rsid w:val="004B4075"/>
    <w:rsid w:val="004B4078"/>
    <w:rsid w:val="004B41BB"/>
    <w:rsid w:val="004B4238"/>
    <w:rsid w:val="004B4515"/>
    <w:rsid w:val="004B4564"/>
    <w:rsid w:val="004B4591"/>
    <w:rsid w:val="004B45B4"/>
    <w:rsid w:val="004B45DF"/>
    <w:rsid w:val="004B46BE"/>
    <w:rsid w:val="004B4764"/>
    <w:rsid w:val="004B49CB"/>
    <w:rsid w:val="004B4A34"/>
    <w:rsid w:val="004B4AD9"/>
    <w:rsid w:val="004B4ADA"/>
    <w:rsid w:val="004B4BEA"/>
    <w:rsid w:val="004B4E05"/>
    <w:rsid w:val="004B4E31"/>
    <w:rsid w:val="004B4E77"/>
    <w:rsid w:val="004B4F1F"/>
    <w:rsid w:val="004B4FB9"/>
    <w:rsid w:val="004B4FE7"/>
    <w:rsid w:val="004B5118"/>
    <w:rsid w:val="004B5132"/>
    <w:rsid w:val="004B521D"/>
    <w:rsid w:val="004B526F"/>
    <w:rsid w:val="004B5335"/>
    <w:rsid w:val="004B54E6"/>
    <w:rsid w:val="004B55EF"/>
    <w:rsid w:val="004B563A"/>
    <w:rsid w:val="004B5704"/>
    <w:rsid w:val="004B5723"/>
    <w:rsid w:val="004B57B9"/>
    <w:rsid w:val="004B5907"/>
    <w:rsid w:val="004B599C"/>
    <w:rsid w:val="004B5C21"/>
    <w:rsid w:val="004B5DEC"/>
    <w:rsid w:val="004B5ECB"/>
    <w:rsid w:val="004B5F54"/>
    <w:rsid w:val="004B617A"/>
    <w:rsid w:val="004B61C3"/>
    <w:rsid w:val="004B62FB"/>
    <w:rsid w:val="004B63ED"/>
    <w:rsid w:val="004B64DD"/>
    <w:rsid w:val="004B657B"/>
    <w:rsid w:val="004B668C"/>
    <w:rsid w:val="004B66C2"/>
    <w:rsid w:val="004B66CD"/>
    <w:rsid w:val="004B6789"/>
    <w:rsid w:val="004B685F"/>
    <w:rsid w:val="004B6AF6"/>
    <w:rsid w:val="004B6F06"/>
    <w:rsid w:val="004B710A"/>
    <w:rsid w:val="004B710B"/>
    <w:rsid w:val="004B7464"/>
    <w:rsid w:val="004B74CF"/>
    <w:rsid w:val="004B753E"/>
    <w:rsid w:val="004B7819"/>
    <w:rsid w:val="004B7950"/>
    <w:rsid w:val="004B7A2F"/>
    <w:rsid w:val="004B7A7B"/>
    <w:rsid w:val="004B7A8C"/>
    <w:rsid w:val="004B7AA4"/>
    <w:rsid w:val="004B7B24"/>
    <w:rsid w:val="004B7BAC"/>
    <w:rsid w:val="004B7BAF"/>
    <w:rsid w:val="004C002E"/>
    <w:rsid w:val="004C00C5"/>
    <w:rsid w:val="004C00D3"/>
    <w:rsid w:val="004C00DC"/>
    <w:rsid w:val="004C013D"/>
    <w:rsid w:val="004C0313"/>
    <w:rsid w:val="004C03A1"/>
    <w:rsid w:val="004C063B"/>
    <w:rsid w:val="004C075F"/>
    <w:rsid w:val="004C0A2C"/>
    <w:rsid w:val="004C0A9B"/>
    <w:rsid w:val="004C0B30"/>
    <w:rsid w:val="004C0B86"/>
    <w:rsid w:val="004C0DEA"/>
    <w:rsid w:val="004C0F8E"/>
    <w:rsid w:val="004C102C"/>
    <w:rsid w:val="004C112B"/>
    <w:rsid w:val="004C1171"/>
    <w:rsid w:val="004C1293"/>
    <w:rsid w:val="004C130F"/>
    <w:rsid w:val="004C131F"/>
    <w:rsid w:val="004C1353"/>
    <w:rsid w:val="004C14E4"/>
    <w:rsid w:val="004C15AB"/>
    <w:rsid w:val="004C1608"/>
    <w:rsid w:val="004C16DD"/>
    <w:rsid w:val="004C1738"/>
    <w:rsid w:val="004C183D"/>
    <w:rsid w:val="004C1853"/>
    <w:rsid w:val="004C18F7"/>
    <w:rsid w:val="004C19CF"/>
    <w:rsid w:val="004C19F0"/>
    <w:rsid w:val="004C19FC"/>
    <w:rsid w:val="004C1A72"/>
    <w:rsid w:val="004C1AB7"/>
    <w:rsid w:val="004C1B07"/>
    <w:rsid w:val="004C1B4C"/>
    <w:rsid w:val="004C1B8B"/>
    <w:rsid w:val="004C1C11"/>
    <w:rsid w:val="004C1D43"/>
    <w:rsid w:val="004C1EF1"/>
    <w:rsid w:val="004C1FEC"/>
    <w:rsid w:val="004C2211"/>
    <w:rsid w:val="004C22EC"/>
    <w:rsid w:val="004C236A"/>
    <w:rsid w:val="004C24CF"/>
    <w:rsid w:val="004C2551"/>
    <w:rsid w:val="004C2605"/>
    <w:rsid w:val="004C262F"/>
    <w:rsid w:val="004C26E0"/>
    <w:rsid w:val="004C2720"/>
    <w:rsid w:val="004C2891"/>
    <w:rsid w:val="004C28A9"/>
    <w:rsid w:val="004C2948"/>
    <w:rsid w:val="004C2AAF"/>
    <w:rsid w:val="004C2AC9"/>
    <w:rsid w:val="004C2B2B"/>
    <w:rsid w:val="004C2B68"/>
    <w:rsid w:val="004C2C72"/>
    <w:rsid w:val="004C2CA1"/>
    <w:rsid w:val="004C2E6B"/>
    <w:rsid w:val="004C31FC"/>
    <w:rsid w:val="004C327B"/>
    <w:rsid w:val="004C3336"/>
    <w:rsid w:val="004C3364"/>
    <w:rsid w:val="004C336E"/>
    <w:rsid w:val="004C33C5"/>
    <w:rsid w:val="004C34A9"/>
    <w:rsid w:val="004C34D7"/>
    <w:rsid w:val="004C379C"/>
    <w:rsid w:val="004C3886"/>
    <w:rsid w:val="004C3899"/>
    <w:rsid w:val="004C3A1B"/>
    <w:rsid w:val="004C3A35"/>
    <w:rsid w:val="004C3E09"/>
    <w:rsid w:val="004C3E5F"/>
    <w:rsid w:val="004C3EAA"/>
    <w:rsid w:val="004C3F1F"/>
    <w:rsid w:val="004C3F38"/>
    <w:rsid w:val="004C4052"/>
    <w:rsid w:val="004C41AD"/>
    <w:rsid w:val="004C42DF"/>
    <w:rsid w:val="004C4604"/>
    <w:rsid w:val="004C4609"/>
    <w:rsid w:val="004C4616"/>
    <w:rsid w:val="004C4748"/>
    <w:rsid w:val="004C4918"/>
    <w:rsid w:val="004C4AD2"/>
    <w:rsid w:val="004C4C50"/>
    <w:rsid w:val="004C4CAF"/>
    <w:rsid w:val="004C4EE2"/>
    <w:rsid w:val="004C5222"/>
    <w:rsid w:val="004C522C"/>
    <w:rsid w:val="004C5238"/>
    <w:rsid w:val="004C52B2"/>
    <w:rsid w:val="004C52CA"/>
    <w:rsid w:val="004C52DF"/>
    <w:rsid w:val="004C530F"/>
    <w:rsid w:val="004C5360"/>
    <w:rsid w:val="004C54B8"/>
    <w:rsid w:val="004C5759"/>
    <w:rsid w:val="004C5784"/>
    <w:rsid w:val="004C57EC"/>
    <w:rsid w:val="004C582E"/>
    <w:rsid w:val="004C5898"/>
    <w:rsid w:val="004C59A9"/>
    <w:rsid w:val="004C5A50"/>
    <w:rsid w:val="004C5C48"/>
    <w:rsid w:val="004C5C8F"/>
    <w:rsid w:val="004C5DCE"/>
    <w:rsid w:val="004C5ECA"/>
    <w:rsid w:val="004C5F2E"/>
    <w:rsid w:val="004C5FB8"/>
    <w:rsid w:val="004C5FF6"/>
    <w:rsid w:val="004C60AF"/>
    <w:rsid w:val="004C63CF"/>
    <w:rsid w:val="004C6478"/>
    <w:rsid w:val="004C64A1"/>
    <w:rsid w:val="004C64F0"/>
    <w:rsid w:val="004C6637"/>
    <w:rsid w:val="004C68A8"/>
    <w:rsid w:val="004C6A8D"/>
    <w:rsid w:val="004C6D47"/>
    <w:rsid w:val="004C6D64"/>
    <w:rsid w:val="004C6D72"/>
    <w:rsid w:val="004C6E6C"/>
    <w:rsid w:val="004C6EA2"/>
    <w:rsid w:val="004C7065"/>
    <w:rsid w:val="004C728B"/>
    <w:rsid w:val="004C73B9"/>
    <w:rsid w:val="004C7446"/>
    <w:rsid w:val="004C7463"/>
    <w:rsid w:val="004C75F8"/>
    <w:rsid w:val="004C762B"/>
    <w:rsid w:val="004C766C"/>
    <w:rsid w:val="004C7673"/>
    <w:rsid w:val="004C76F8"/>
    <w:rsid w:val="004C779D"/>
    <w:rsid w:val="004C7984"/>
    <w:rsid w:val="004C79BB"/>
    <w:rsid w:val="004C7A74"/>
    <w:rsid w:val="004C7A7F"/>
    <w:rsid w:val="004C7CD6"/>
    <w:rsid w:val="004C7F2A"/>
    <w:rsid w:val="004D0011"/>
    <w:rsid w:val="004D0239"/>
    <w:rsid w:val="004D0523"/>
    <w:rsid w:val="004D056A"/>
    <w:rsid w:val="004D0695"/>
    <w:rsid w:val="004D0711"/>
    <w:rsid w:val="004D0749"/>
    <w:rsid w:val="004D0760"/>
    <w:rsid w:val="004D08CD"/>
    <w:rsid w:val="004D0A60"/>
    <w:rsid w:val="004D0C63"/>
    <w:rsid w:val="004D0C72"/>
    <w:rsid w:val="004D0DF5"/>
    <w:rsid w:val="004D0FB9"/>
    <w:rsid w:val="004D11E1"/>
    <w:rsid w:val="004D1362"/>
    <w:rsid w:val="004D1364"/>
    <w:rsid w:val="004D145B"/>
    <w:rsid w:val="004D149D"/>
    <w:rsid w:val="004D14D8"/>
    <w:rsid w:val="004D16B9"/>
    <w:rsid w:val="004D17D5"/>
    <w:rsid w:val="004D1863"/>
    <w:rsid w:val="004D188A"/>
    <w:rsid w:val="004D1959"/>
    <w:rsid w:val="004D19C6"/>
    <w:rsid w:val="004D1AAD"/>
    <w:rsid w:val="004D1D0C"/>
    <w:rsid w:val="004D1D8E"/>
    <w:rsid w:val="004D1E4E"/>
    <w:rsid w:val="004D1EAE"/>
    <w:rsid w:val="004D1EB1"/>
    <w:rsid w:val="004D1F08"/>
    <w:rsid w:val="004D2302"/>
    <w:rsid w:val="004D235C"/>
    <w:rsid w:val="004D2363"/>
    <w:rsid w:val="004D249F"/>
    <w:rsid w:val="004D25CC"/>
    <w:rsid w:val="004D25E5"/>
    <w:rsid w:val="004D26BA"/>
    <w:rsid w:val="004D26E6"/>
    <w:rsid w:val="004D28BC"/>
    <w:rsid w:val="004D2B58"/>
    <w:rsid w:val="004D2C81"/>
    <w:rsid w:val="004D2DBB"/>
    <w:rsid w:val="004D334E"/>
    <w:rsid w:val="004D3472"/>
    <w:rsid w:val="004D3553"/>
    <w:rsid w:val="004D35A5"/>
    <w:rsid w:val="004D36F9"/>
    <w:rsid w:val="004D3747"/>
    <w:rsid w:val="004D376D"/>
    <w:rsid w:val="004D380A"/>
    <w:rsid w:val="004D3C82"/>
    <w:rsid w:val="004D3CDF"/>
    <w:rsid w:val="004D3D63"/>
    <w:rsid w:val="004D3D95"/>
    <w:rsid w:val="004D3E20"/>
    <w:rsid w:val="004D3E71"/>
    <w:rsid w:val="004D3F22"/>
    <w:rsid w:val="004D3F3A"/>
    <w:rsid w:val="004D4013"/>
    <w:rsid w:val="004D40D1"/>
    <w:rsid w:val="004D4124"/>
    <w:rsid w:val="004D436E"/>
    <w:rsid w:val="004D44D0"/>
    <w:rsid w:val="004D4557"/>
    <w:rsid w:val="004D4568"/>
    <w:rsid w:val="004D469C"/>
    <w:rsid w:val="004D46AB"/>
    <w:rsid w:val="004D4812"/>
    <w:rsid w:val="004D48D5"/>
    <w:rsid w:val="004D4943"/>
    <w:rsid w:val="004D4BAB"/>
    <w:rsid w:val="004D4BB8"/>
    <w:rsid w:val="004D4C61"/>
    <w:rsid w:val="004D4C8E"/>
    <w:rsid w:val="004D4CCF"/>
    <w:rsid w:val="004D4CE8"/>
    <w:rsid w:val="004D4D5F"/>
    <w:rsid w:val="004D4D98"/>
    <w:rsid w:val="004D4E20"/>
    <w:rsid w:val="004D4EDA"/>
    <w:rsid w:val="004D4FD1"/>
    <w:rsid w:val="004D5014"/>
    <w:rsid w:val="004D5124"/>
    <w:rsid w:val="004D518C"/>
    <w:rsid w:val="004D51E5"/>
    <w:rsid w:val="004D5226"/>
    <w:rsid w:val="004D52C8"/>
    <w:rsid w:val="004D53AF"/>
    <w:rsid w:val="004D559B"/>
    <w:rsid w:val="004D55E0"/>
    <w:rsid w:val="004D56AD"/>
    <w:rsid w:val="004D57AA"/>
    <w:rsid w:val="004D57D1"/>
    <w:rsid w:val="004D5875"/>
    <w:rsid w:val="004D595C"/>
    <w:rsid w:val="004D5A93"/>
    <w:rsid w:val="004D5D28"/>
    <w:rsid w:val="004D5E0A"/>
    <w:rsid w:val="004D5E58"/>
    <w:rsid w:val="004D6061"/>
    <w:rsid w:val="004D60A8"/>
    <w:rsid w:val="004D61E3"/>
    <w:rsid w:val="004D6251"/>
    <w:rsid w:val="004D64B9"/>
    <w:rsid w:val="004D65B0"/>
    <w:rsid w:val="004D65CB"/>
    <w:rsid w:val="004D65F1"/>
    <w:rsid w:val="004D672C"/>
    <w:rsid w:val="004D6880"/>
    <w:rsid w:val="004D690C"/>
    <w:rsid w:val="004D69EB"/>
    <w:rsid w:val="004D6A66"/>
    <w:rsid w:val="004D6ABE"/>
    <w:rsid w:val="004D6C4D"/>
    <w:rsid w:val="004D6CF3"/>
    <w:rsid w:val="004D6EF5"/>
    <w:rsid w:val="004D6EFA"/>
    <w:rsid w:val="004D6F11"/>
    <w:rsid w:val="004D6F58"/>
    <w:rsid w:val="004D6F60"/>
    <w:rsid w:val="004D6F67"/>
    <w:rsid w:val="004D714A"/>
    <w:rsid w:val="004D7172"/>
    <w:rsid w:val="004D7205"/>
    <w:rsid w:val="004D72B2"/>
    <w:rsid w:val="004D7317"/>
    <w:rsid w:val="004D731B"/>
    <w:rsid w:val="004D739A"/>
    <w:rsid w:val="004D7415"/>
    <w:rsid w:val="004D7695"/>
    <w:rsid w:val="004D783D"/>
    <w:rsid w:val="004D79A8"/>
    <w:rsid w:val="004D79AD"/>
    <w:rsid w:val="004D79CE"/>
    <w:rsid w:val="004D7B78"/>
    <w:rsid w:val="004D7CB2"/>
    <w:rsid w:val="004D7F65"/>
    <w:rsid w:val="004E0312"/>
    <w:rsid w:val="004E033F"/>
    <w:rsid w:val="004E03C1"/>
    <w:rsid w:val="004E03F0"/>
    <w:rsid w:val="004E065A"/>
    <w:rsid w:val="004E06EA"/>
    <w:rsid w:val="004E07CD"/>
    <w:rsid w:val="004E07F7"/>
    <w:rsid w:val="004E0844"/>
    <w:rsid w:val="004E08E4"/>
    <w:rsid w:val="004E0927"/>
    <w:rsid w:val="004E094C"/>
    <w:rsid w:val="004E096E"/>
    <w:rsid w:val="004E0B67"/>
    <w:rsid w:val="004E0CAB"/>
    <w:rsid w:val="004E0CEC"/>
    <w:rsid w:val="004E0F03"/>
    <w:rsid w:val="004E107D"/>
    <w:rsid w:val="004E114C"/>
    <w:rsid w:val="004E115F"/>
    <w:rsid w:val="004E117A"/>
    <w:rsid w:val="004E134E"/>
    <w:rsid w:val="004E1422"/>
    <w:rsid w:val="004E1483"/>
    <w:rsid w:val="004E14BD"/>
    <w:rsid w:val="004E15CD"/>
    <w:rsid w:val="004E15EC"/>
    <w:rsid w:val="004E1610"/>
    <w:rsid w:val="004E16DF"/>
    <w:rsid w:val="004E1711"/>
    <w:rsid w:val="004E180B"/>
    <w:rsid w:val="004E18CA"/>
    <w:rsid w:val="004E18D3"/>
    <w:rsid w:val="004E19E0"/>
    <w:rsid w:val="004E1A15"/>
    <w:rsid w:val="004E1A43"/>
    <w:rsid w:val="004E1ABC"/>
    <w:rsid w:val="004E1D01"/>
    <w:rsid w:val="004E1DC4"/>
    <w:rsid w:val="004E1DE8"/>
    <w:rsid w:val="004E1DED"/>
    <w:rsid w:val="004E1E00"/>
    <w:rsid w:val="004E1E03"/>
    <w:rsid w:val="004E1FFE"/>
    <w:rsid w:val="004E2039"/>
    <w:rsid w:val="004E2292"/>
    <w:rsid w:val="004E232E"/>
    <w:rsid w:val="004E23E2"/>
    <w:rsid w:val="004E25DB"/>
    <w:rsid w:val="004E2658"/>
    <w:rsid w:val="004E2662"/>
    <w:rsid w:val="004E27AE"/>
    <w:rsid w:val="004E27EB"/>
    <w:rsid w:val="004E2802"/>
    <w:rsid w:val="004E2B46"/>
    <w:rsid w:val="004E2B5C"/>
    <w:rsid w:val="004E2BE6"/>
    <w:rsid w:val="004E2C00"/>
    <w:rsid w:val="004E2D60"/>
    <w:rsid w:val="004E2DA3"/>
    <w:rsid w:val="004E2EA8"/>
    <w:rsid w:val="004E2F72"/>
    <w:rsid w:val="004E2FFD"/>
    <w:rsid w:val="004E302F"/>
    <w:rsid w:val="004E3184"/>
    <w:rsid w:val="004E31D9"/>
    <w:rsid w:val="004E32A2"/>
    <w:rsid w:val="004E339F"/>
    <w:rsid w:val="004E35E3"/>
    <w:rsid w:val="004E36B9"/>
    <w:rsid w:val="004E386F"/>
    <w:rsid w:val="004E3AA1"/>
    <w:rsid w:val="004E3ADE"/>
    <w:rsid w:val="004E3C81"/>
    <w:rsid w:val="004E3CE5"/>
    <w:rsid w:val="004E3EA6"/>
    <w:rsid w:val="004E3FE3"/>
    <w:rsid w:val="004E4073"/>
    <w:rsid w:val="004E40CC"/>
    <w:rsid w:val="004E40D0"/>
    <w:rsid w:val="004E414C"/>
    <w:rsid w:val="004E4163"/>
    <w:rsid w:val="004E4193"/>
    <w:rsid w:val="004E422F"/>
    <w:rsid w:val="004E432C"/>
    <w:rsid w:val="004E4446"/>
    <w:rsid w:val="004E4476"/>
    <w:rsid w:val="004E45D3"/>
    <w:rsid w:val="004E464D"/>
    <w:rsid w:val="004E4654"/>
    <w:rsid w:val="004E4746"/>
    <w:rsid w:val="004E4830"/>
    <w:rsid w:val="004E4A28"/>
    <w:rsid w:val="004E4B03"/>
    <w:rsid w:val="004E4C4D"/>
    <w:rsid w:val="004E4CA0"/>
    <w:rsid w:val="004E4D0A"/>
    <w:rsid w:val="004E4D66"/>
    <w:rsid w:val="004E4DC2"/>
    <w:rsid w:val="004E4DC3"/>
    <w:rsid w:val="004E4DE1"/>
    <w:rsid w:val="004E4EB2"/>
    <w:rsid w:val="004E50AD"/>
    <w:rsid w:val="004E50AE"/>
    <w:rsid w:val="004E5100"/>
    <w:rsid w:val="004E5101"/>
    <w:rsid w:val="004E511C"/>
    <w:rsid w:val="004E5189"/>
    <w:rsid w:val="004E51E8"/>
    <w:rsid w:val="004E553E"/>
    <w:rsid w:val="004E567D"/>
    <w:rsid w:val="004E5781"/>
    <w:rsid w:val="004E57F2"/>
    <w:rsid w:val="004E5925"/>
    <w:rsid w:val="004E5930"/>
    <w:rsid w:val="004E5987"/>
    <w:rsid w:val="004E5A24"/>
    <w:rsid w:val="004E60E6"/>
    <w:rsid w:val="004E617E"/>
    <w:rsid w:val="004E622E"/>
    <w:rsid w:val="004E6242"/>
    <w:rsid w:val="004E6380"/>
    <w:rsid w:val="004E6458"/>
    <w:rsid w:val="004E6472"/>
    <w:rsid w:val="004E6528"/>
    <w:rsid w:val="004E66CC"/>
    <w:rsid w:val="004E68FA"/>
    <w:rsid w:val="004E6937"/>
    <w:rsid w:val="004E69AB"/>
    <w:rsid w:val="004E69CB"/>
    <w:rsid w:val="004E69FB"/>
    <w:rsid w:val="004E6A08"/>
    <w:rsid w:val="004E6C71"/>
    <w:rsid w:val="004E6CFC"/>
    <w:rsid w:val="004E6D71"/>
    <w:rsid w:val="004E6D73"/>
    <w:rsid w:val="004E6DD1"/>
    <w:rsid w:val="004E70BC"/>
    <w:rsid w:val="004E70CC"/>
    <w:rsid w:val="004E70DB"/>
    <w:rsid w:val="004E70F1"/>
    <w:rsid w:val="004E7229"/>
    <w:rsid w:val="004E73E0"/>
    <w:rsid w:val="004E74D7"/>
    <w:rsid w:val="004E7531"/>
    <w:rsid w:val="004E7726"/>
    <w:rsid w:val="004E772C"/>
    <w:rsid w:val="004E77A7"/>
    <w:rsid w:val="004E780E"/>
    <w:rsid w:val="004E7824"/>
    <w:rsid w:val="004E7841"/>
    <w:rsid w:val="004E78EC"/>
    <w:rsid w:val="004E79A1"/>
    <w:rsid w:val="004E79F4"/>
    <w:rsid w:val="004E7A08"/>
    <w:rsid w:val="004E7A3A"/>
    <w:rsid w:val="004E7BE5"/>
    <w:rsid w:val="004E7C3E"/>
    <w:rsid w:val="004E7D76"/>
    <w:rsid w:val="004E7DBD"/>
    <w:rsid w:val="004E7DE3"/>
    <w:rsid w:val="004E7E76"/>
    <w:rsid w:val="004E7F49"/>
    <w:rsid w:val="004E7F99"/>
    <w:rsid w:val="004E7FF2"/>
    <w:rsid w:val="004F0020"/>
    <w:rsid w:val="004F00AB"/>
    <w:rsid w:val="004F0105"/>
    <w:rsid w:val="004F015C"/>
    <w:rsid w:val="004F01B4"/>
    <w:rsid w:val="004F01BA"/>
    <w:rsid w:val="004F02F6"/>
    <w:rsid w:val="004F033A"/>
    <w:rsid w:val="004F04F5"/>
    <w:rsid w:val="004F050C"/>
    <w:rsid w:val="004F051B"/>
    <w:rsid w:val="004F066E"/>
    <w:rsid w:val="004F08C4"/>
    <w:rsid w:val="004F0910"/>
    <w:rsid w:val="004F094E"/>
    <w:rsid w:val="004F0986"/>
    <w:rsid w:val="004F098C"/>
    <w:rsid w:val="004F0B6E"/>
    <w:rsid w:val="004F0BB0"/>
    <w:rsid w:val="004F0CB0"/>
    <w:rsid w:val="004F0D9B"/>
    <w:rsid w:val="004F0E16"/>
    <w:rsid w:val="004F0EBC"/>
    <w:rsid w:val="004F0F58"/>
    <w:rsid w:val="004F0FA0"/>
    <w:rsid w:val="004F108C"/>
    <w:rsid w:val="004F10CE"/>
    <w:rsid w:val="004F113C"/>
    <w:rsid w:val="004F1197"/>
    <w:rsid w:val="004F1203"/>
    <w:rsid w:val="004F1296"/>
    <w:rsid w:val="004F12B8"/>
    <w:rsid w:val="004F134E"/>
    <w:rsid w:val="004F13B6"/>
    <w:rsid w:val="004F149F"/>
    <w:rsid w:val="004F1558"/>
    <w:rsid w:val="004F1576"/>
    <w:rsid w:val="004F17D4"/>
    <w:rsid w:val="004F1809"/>
    <w:rsid w:val="004F182F"/>
    <w:rsid w:val="004F1839"/>
    <w:rsid w:val="004F19D6"/>
    <w:rsid w:val="004F1A87"/>
    <w:rsid w:val="004F1ACD"/>
    <w:rsid w:val="004F1BA6"/>
    <w:rsid w:val="004F1D93"/>
    <w:rsid w:val="004F20EB"/>
    <w:rsid w:val="004F211B"/>
    <w:rsid w:val="004F22CF"/>
    <w:rsid w:val="004F22D7"/>
    <w:rsid w:val="004F25E8"/>
    <w:rsid w:val="004F2776"/>
    <w:rsid w:val="004F27BD"/>
    <w:rsid w:val="004F27C5"/>
    <w:rsid w:val="004F286D"/>
    <w:rsid w:val="004F2AC8"/>
    <w:rsid w:val="004F2B16"/>
    <w:rsid w:val="004F2B47"/>
    <w:rsid w:val="004F2B4E"/>
    <w:rsid w:val="004F2BA7"/>
    <w:rsid w:val="004F2C50"/>
    <w:rsid w:val="004F2CC3"/>
    <w:rsid w:val="004F2CC6"/>
    <w:rsid w:val="004F3058"/>
    <w:rsid w:val="004F30E0"/>
    <w:rsid w:val="004F3247"/>
    <w:rsid w:val="004F32B2"/>
    <w:rsid w:val="004F3450"/>
    <w:rsid w:val="004F3651"/>
    <w:rsid w:val="004F3705"/>
    <w:rsid w:val="004F37E3"/>
    <w:rsid w:val="004F382A"/>
    <w:rsid w:val="004F3859"/>
    <w:rsid w:val="004F38B9"/>
    <w:rsid w:val="004F38F1"/>
    <w:rsid w:val="004F398D"/>
    <w:rsid w:val="004F39BB"/>
    <w:rsid w:val="004F3BB3"/>
    <w:rsid w:val="004F3CD3"/>
    <w:rsid w:val="004F3D11"/>
    <w:rsid w:val="004F3D1F"/>
    <w:rsid w:val="004F3D6D"/>
    <w:rsid w:val="004F3F5C"/>
    <w:rsid w:val="004F3FE7"/>
    <w:rsid w:val="004F3FFD"/>
    <w:rsid w:val="004F4133"/>
    <w:rsid w:val="004F41AC"/>
    <w:rsid w:val="004F442D"/>
    <w:rsid w:val="004F443A"/>
    <w:rsid w:val="004F44CF"/>
    <w:rsid w:val="004F4502"/>
    <w:rsid w:val="004F463B"/>
    <w:rsid w:val="004F46CA"/>
    <w:rsid w:val="004F4752"/>
    <w:rsid w:val="004F48A5"/>
    <w:rsid w:val="004F48C3"/>
    <w:rsid w:val="004F4CBF"/>
    <w:rsid w:val="004F4CC5"/>
    <w:rsid w:val="004F4CF5"/>
    <w:rsid w:val="004F4D0A"/>
    <w:rsid w:val="004F4D57"/>
    <w:rsid w:val="004F4DD6"/>
    <w:rsid w:val="004F4E91"/>
    <w:rsid w:val="004F4F69"/>
    <w:rsid w:val="004F5040"/>
    <w:rsid w:val="004F5095"/>
    <w:rsid w:val="004F5187"/>
    <w:rsid w:val="004F5443"/>
    <w:rsid w:val="004F5597"/>
    <w:rsid w:val="004F55C5"/>
    <w:rsid w:val="004F55F8"/>
    <w:rsid w:val="004F56BA"/>
    <w:rsid w:val="004F5766"/>
    <w:rsid w:val="004F5788"/>
    <w:rsid w:val="004F5798"/>
    <w:rsid w:val="004F5917"/>
    <w:rsid w:val="004F5954"/>
    <w:rsid w:val="004F5CBD"/>
    <w:rsid w:val="004F5CE0"/>
    <w:rsid w:val="004F5D5C"/>
    <w:rsid w:val="004F5DDE"/>
    <w:rsid w:val="004F5EB3"/>
    <w:rsid w:val="004F5FCF"/>
    <w:rsid w:val="004F6184"/>
    <w:rsid w:val="004F6337"/>
    <w:rsid w:val="004F63B5"/>
    <w:rsid w:val="004F641A"/>
    <w:rsid w:val="004F64A4"/>
    <w:rsid w:val="004F686D"/>
    <w:rsid w:val="004F693F"/>
    <w:rsid w:val="004F6A4B"/>
    <w:rsid w:val="004F6B51"/>
    <w:rsid w:val="004F6B71"/>
    <w:rsid w:val="004F6BEA"/>
    <w:rsid w:val="004F6C9B"/>
    <w:rsid w:val="004F6D45"/>
    <w:rsid w:val="004F6F75"/>
    <w:rsid w:val="004F70C6"/>
    <w:rsid w:val="004F7183"/>
    <w:rsid w:val="004F7302"/>
    <w:rsid w:val="004F775F"/>
    <w:rsid w:val="004F779C"/>
    <w:rsid w:val="004F7826"/>
    <w:rsid w:val="004F7828"/>
    <w:rsid w:val="004F78C5"/>
    <w:rsid w:val="004F7BF4"/>
    <w:rsid w:val="004F7BFC"/>
    <w:rsid w:val="004F7CD2"/>
    <w:rsid w:val="004F7E15"/>
    <w:rsid w:val="004F7E3D"/>
    <w:rsid w:val="004F7E42"/>
    <w:rsid w:val="004F7E99"/>
    <w:rsid w:val="004F7FD6"/>
    <w:rsid w:val="005000DF"/>
    <w:rsid w:val="005001A2"/>
    <w:rsid w:val="005001E7"/>
    <w:rsid w:val="005002EE"/>
    <w:rsid w:val="00500355"/>
    <w:rsid w:val="00500358"/>
    <w:rsid w:val="0050037C"/>
    <w:rsid w:val="0050042A"/>
    <w:rsid w:val="00500486"/>
    <w:rsid w:val="00500491"/>
    <w:rsid w:val="005005E8"/>
    <w:rsid w:val="0050062A"/>
    <w:rsid w:val="005006E2"/>
    <w:rsid w:val="00500744"/>
    <w:rsid w:val="00500950"/>
    <w:rsid w:val="00500BAC"/>
    <w:rsid w:val="00500C08"/>
    <w:rsid w:val="00500C17"/>
    <w:rsid w:val="00500C6A"/>
    <w:rsid w:val="00500C92"/>
    <w:rsid w:val="00500CFD"/>
    <w:rsid w:val="00500D26"/>
    <w:rsid w:val="00500E06"/>
    <w:rsid w:val="00500E2D"/>
    <w:rsid w:val="00500E58"/>
    <w:rsid w:val="00500F68"/>
    <w:rsid w:val="00500F84"/>
    <w:rsid w:val="00500F8F"/>
    <w:rsid w:val="00500F9B"/>
    <w:rsid w:val="00500FA9"/>
    <w:rsid w:val="00501098"/>
    <w:rsid w:val="005010E9"/>
    <w:rsid w:val="0050139B"/>
    <w:rsid w:val="0050171F"/>
    <w:rsid w:val="0050179B"/>
    <w:rsid w:val="00501868"/>
    <w:rsid w:val="005018C6"/>
    <w:rsid w:val="00501A00"/>
    <w:rsid w:val="00501A15"/>
    <w:rsid w:val="00501B17"/>
    <w:rsid w:val="00501CDB"/>
    <w:rsid w:val="00501F2B"/>
    <w:rsid w:val="00501F6C"/>
    <w:rsid w:val="00501F84"/>
    <w:rsid w:val="00501FF1"/>
    <w:rsid w:val="00502025"/>
    <w:rsid w:val="005020D3"/>
    <w:rsid w:val="005023E1"/>
    <w:rsid w:val="00502588"/>
    <w:rsid w:val="00502693"/>
    <w:rsid w:val="005026CA"/>
    <w:rsid w:val="005028F7"/>
    <w:rsid w:val="0050299F"/>
    <w:rsid w:val="00502A45"/>
    <w:rsid w:val="00502A4B"/>
    <w:rsid w:val="00502B4F"/>
    <w:rsid w:val="00502BF0"/>
    <w:rsid w:val="00502C47"/>
    <w:rsid w:val="00502C8A"/>
    <w:rsid w:val="00502CA4"/>
    <w:rsid w:val="0050309C"/>
    <w:rsid w:val="005030C6"/>
    <w:rsid w:val="00503119"/>
    <w:rsid w:val="00503290"/>
    <w:rsid w:val="005032E9"/>
    <w:rsid w:val="0050332C"/>
    <w:rsid w:val="00503334"/>
    <w:rsid w:val="005033A5"/>
    <w:rsid w:val="0050341C"/>
    <w:rsid w:val="00503454"/>
    <w:rsid w:val="005034AE"/>
    <w:rsid w:val="0050350C"/>
    <w:rsid w:val="00503577"/>
    <w:rsid w:val="005035B7"/>
    <w:rsid w:val="005035E6"/>
    <w:rsid w:val="005035FD"/>
    <w:rsid w:val="00503BB1"/>
    <w:rsid w:val="00503DA8"/>
    <w:rsid w:val="00503EE1"/>
    <w:rsid w:val="00503F2D"/>
    <w:rsid w:val="0050406B"/>
    <w:rsid w:val="00504087"/>
    <w:rsid w:val="0050411F"/>
    <w:rsid w:val="005041D8"/>
    <w:rsid w:val="00504318"/>
    <w:rsid w:val="005043A1"/>
    <w:rsid w:val="005044F3"/>
    <w:rsid w:val="0050454B"/>
    <w:rsid w:val="005045C8"/>
    <w:rsid w:val="0050461C"/>
    <w:rsid w:val="0050481A"/>
    <w:rsid w:val="005049FC"/>
    <w:rsid w:val="00504A63"/>
    <w:rsid w:val="00504C8A"/>
    <w:rsid w:val="00504DE8"/>
    <w:rsid w:val="00504F07"/>
    <w:rsid w:val="005050C1"/>
    <w:rsid w:val="00505108"/>
    <w:rsid w:val="00505285"/>
    <w:rsid w:val="005052C5"/>
    <w:rsid w:val="005052D4"/>
    <w:rsid w:val="00505487"/>
    <w:rsid w:val="00505576"/>
    <w:rsid w:val="005056BD"/>
    <w:rsid w:val="00505941"/>
    <w:rsid w:val="00505C2E"/>
    <w:rsid w:val="00505CA6"/>
    <w:rsid w:val="00505D2B"/>
    <w:rsid w:val="00505D78"/>
    <w:rsid w:val="00505DDF"/>
    <w:rsid w:val="00506078"/>
    <w:rsid w:val="005060AA"/>
    <w:rsid w:val="005060C6"/>
    <w:rsid w:val="005060E6"/>
    <w:rsid w:val="005061F9"/>
    <w:rsid w:val="0050644E"/>
    <w:rsid w:val="00506453"/>
    <w:rsid w:val="00506581"/>
    <w:rsid w:val="005066F6"/>
    <w:rsid w:val="0050685F"/>
    <w:rsid w:val="005068A4"/>
    <w:rsid w:val="005068E4"/>
    <w:rsid w:val="00506999"/>
    <w:rsid w:val="00506BBF"/>
    <w:rsid w:val="00506C0A"/>
    <w:rsid w:val="00506C7F"/>
    <w:rsid w:val="00506D5B"/>
    <w:rsid w:val="00506D5E"/>
    <w:rsid w:val="00506D80"/>
    <w:rsid w:val="00506ED1"/>
    <w:rsid w:val="00506EF6"/>
    <w:rsid w:val="00506F0C"/>
    <w:rsid w:val="00506F3C"/>
    <w:rsid w:val="00506FD2"/>
    <w:rsid w:val="00506FE6"/>
    <w:rsid w:val="005071BB"/>
    <w:rsid w:val="005072A6"/>
    <w:rsid w:val="00507387"/>
    <w:rsid w:val="0050747A"/>
    <w:rsid w:val="00507496"/>
    <w:rsid w:val="005074D3"/>
    <w:rsid w:val="005075B5"/>
    <w:rsid w:val="005075BC"/>
    <w:rsid w:val="005078DE"/>
    <w:rsid w:val="00507991"/>
    <w:rsid w:val="00507ABB"/>
    <w:rsid w:val="00507B4D"/>
    <w:rsid w:val="00507DBC"/>
    <w:rsid w:val="00507E46"/>
    <w:rsid w:val="00510027"/>
    <w:rsid w:val="005100BC"/>
    <w:rsid w:val="0051011B"/>
    <w:rsid w:val="0051018D"/>
    <w:rsid w:val="005102E7"/>
    <w:rsid w:val="0051040F"/>
    <w:rsid w:val="005104EA"/>
    <w:rsid w:val="00510596"/>
    <w:rsid w:val="005105F3"/>
    <w:rsid w:val="00510617"/>
    <w:rsid w:val="005106F1"/>
    <w:rsid w:val="005107D6"/>
    <w:rsid w:val="00510A38"/>
    <w:rsid w:val="00510B9A"/>
    <w:rsid w:val="00510CD8"/>
    <w:rsid w:val="00510CEC"/>
    <w:rsid w:val="00510D7E"/>
    <w:rsid w:val="00510E8F"/>
    <w:rsid w:val="00510E96"/>
    <w:rsid w:val="00510F6D"/>
    <w:rsid w:val="00511038"/>
    <w:rsid w:val="005110F0"/>
    <w:rsid w:val="00511110"/>
    <w:rsid w:val="0051111D"/>
    <w:rsid w:val="0051139E"/>
    <w:rsid w:val="00511471"/>
    <w:rsid w:val="005114D1"/>
    <w:rsid w:val="00511693"/>
    <w:rsid w:val="00511831"/>
    <w:rsid w:val="005118C4"/>
    <w:rsid w:val="00511911"/>
    <w:rsid w:val="00511916"/>
    <w:rsid w:val="00511B32"/>
    <w:rsid w:val="00511B81"/>
    <w:rsid w:val="00511BCE"/>
    <w:rsid w:val="00511C62"/>
    <w:rsid w:val="00511DC6"/>
    <w:rsid w:val="00511ED2"/>
    <w:rsid w:val="00511F48"/>
    <w:rsid w:val="0051223A"/>
    <w:rsid w:val="00512318"/>
    <w:rsid w:val="00512361"/>
    <w:rsid w:val="00512540"/>
    <w:rsid w:val="005125A8"/>
    <w:rsid w:val="005125F8"/>
    <w:rsid w:val="0051265B"/>
    <w:rsid w:val="00512803"/>
    <w:rsid w:val="00512855"/>
    <w:rsid w:val="005128FD"/>
    <w:rsid w:val="00512977"/>
    <w:rsid w:val="005129E0"/>
    <w:rsid w:val="00512AD9"/>
    <w:rsid w:val="00512CDC"/>
    <w:rsid w:val="00512CFB"/>
    <w:rsid w:val="00512EB0"/>
    <w:rsid w:val="00512EFC"/>
    <w:rsid w:val="00512F65"/>
    <w:rsid w:val="005133D3"/>
    <w:rsid w:val="00513458"/>
    <w:rsid w:val="0051353E"/>
    <w:rsid w:val="00513579"/>
    <w:rsid w:val="005135BA"/>
    <w:rsid w:val="005137DF"/>
    <w:rsid w:val="005138CB"/>
    <w:rsid w:val="005139C5"/>
    <w:rsid w:val="00513B4B"/>
    <w:rsid w:val="00513B64"/>
    <w:rsid w:val="00513CE9"/>
    <w:rsid w:val="00513E3E"/>
    <w:rsid w:val="00513F1D"/>
    <w:rsid w:val="00514039"/>
    <w:rsid w:val="0051411A"/>
    <w:rsid w:val="005141D2"/>
    <w:rsid w:val="00514270"/>
    <w:rsid w:val="00514336"/>
    <w:rsid w:val="005143C0"/>
    <w:rsid w:val="00514597"/>
    <w:rsid w:val="00514612"/>
    <w:rsid w:val="0051486E"/>
    <w:rsid w:val="005148A9"/>
    <w:rsid w:val="005148B0"/>
    <w:rsid w:val="00514A43"/>
    <w:rsid w:val="00514B13"/>
    <w:rsid w:val="00514B2F"/>
    <w:rsid w:val="00514D47"/>
    <w:rsid w:val="00514D50"/>
    <w:rsid w:val="00514D6D"/>
    <w:rsid w:val="00514F06"/>
    <w:rsid w:val="00515087"/>
    <w:rsid w:val="00515094"/>
    <w:rsid w:val="005151A1"/>
    <w:rsid w:val="005152B7"/>
    <w:rsid w:val="005152D5"/>
    <w:rsid w:val="005153D9"/>
    <w:rsid w:val="0051558D"/>
    <w:rsid w:val="00515627"/>
    <w:rsid w:val="00515655"/>
    <w:rsid w:val="0051566D"/>
    <w:rsid w:val="005156EB"/>
    <w:rsid w:val="00515878"/>
    <w:rsid w:val="005158DA"/>
    <w:rsid w:val="00515942"/>
    <w:rsid w:val="00515A1E"/>
    <w:rsid w:val="00515C9B"/>
    <w:rsid w:val="00515CB6"/>
    <w:rsid w:val="00515CCF"/>
    <w:rsid w:val="00515D27"/>
    <w:rsid w:val="00515D58"/>
    <w:rsid w:val="00515DB6"/>
    <w:rsid w:val="00515DCD"/>
    <w:rsid w:val="00515DD1"/>
    <w:rsid w:val="00515FDF"/>
    <w:rsid w:val="00516144"/>
    <w:rsid w:val="00516450"/>
    <w:rsid w:val="00516465"/>
    <w:rsid w:val="00516478"/>
    <w:rsid w:val="00516541"/>
    <w:rsid w:val="0051664E"/>
    <w:rsid w:val="00516A77"/>
    <w:rsid w:val="00516AF3"/>
    <w:rsid w:val="00516B08"/>
    <w:rsid w:val="00516BBE"/>
    <w:rsid w:val="00516BE7"/>
    <w:rsid w:val="00516C20"/>
    <w:rsid w:val="00516E8B"/>
    <w:rsid w:val="00516EAC"/>
    <w:rsid w:val="0051705E"/>
    <w:rsid w:val="0051709A"/>
    <w:rsid w:val="005170CB"/>
    <w:rsid w:val="0051717B"/>
    <w:rsid w:val="0051719F"/>
    <w:rsid w:val="005171D6"/>
    <w:rsid w:val="00517382"/>
    <w:rsid w:val="0051754C"/>
    <w:rsid w:val="005175AB"/>
    <w:rsid w:val="005175CE"/>
    <w:rsid w:val="0051764A"/>
    <w:rsid w:val="005179ED"/>
    <w:rsid w:val="00517A6F"/>
    <w:rsid w:val="00517B02"/>
    <w:rsid w:val="00517B22"/>
    <w:rsid w:val="00517B41"/>
    <w:rsid w:val="00517B85"/>
    <w:rsid w:val="00517BCB"/>
    <w:rsid w:val="00517C77"/>
    <w:rsid w:val="00517C81"/>
    <w:rsid w:val="00517D4A"/>
    <w:rsid w:val="00517E61"/>
    <w:rsid w:val="00517EA9"/>
    <w:rsid w:val="00517EEB"/>
    <w:rsid w:val="00517F61"/>
    <w:rsid w:val="00520027"/>
    <w:rsid w:val="0052026E"/>
    <w:rsid w:val="005202B5"/>
    <w:rsid w:val="00520355"/>
    <w:rsid w:val="00520363"/>
    <w:rsid w:val="005203A1"/>
    <w:rsid w:val="00520528"/>
    <w:rsid w:val="005205A3"/>
    <w:rsid w:val="0052069B"/>
    <w:rsid w:val="00520834"/>
    <w:rsid w:val="0052090C"/>
    <w:rsid w:val="0052094B"/>
    <w:rsid w:val="00520953"/>
    <w:rsid w:val="00520B83"/>
    <w:rsid w:val="00520C5B"/>
    <w:rsid w:val="00520C9A"/>
    <w:rsid w:val="00520CFD"/>
    <w:rsid w:val="00520D23"/>
    <w:rsid w:val="005210B2"/>
    <w:rsid w:val="00521293"/>
    <w:rsid w:val="00521379"/>
    <w:rsid w:val="00521510"/>
    <w:rsid w:val="005215B4"/>
    <w:rsid w:val="005215B9"/>
    <w:rsid w:val="0052161C"/>
    <w:rsid w:val="00521863"/>
    <w:rsid w:val="005218BB"/>
    <w:rsid w:val="005218DC"/>
    <w:rsid w:val="005219EF"/>
    <w:rsid w:val="00521A36"/>
    <w:rsid w:val="00521B1D"/>
    <w:rsid w:val="00521CF2"/>
    <w:rsid w:val="00521D64"/>
    <w:rsid w:val="00521DC7"/>
    <w:rsid w:val="00521E1A"/>
    <w:rsid w:val="00521FB6"/>
    <w:rsid w:val="00521FC9"/>
    <w:rsid w:val="0052210D"/>
    <w:rsid w:val="005222B0"/>
    <w:rsid w:val="00522490"/>
    <w:rsid w:val="00522577"/>
    <w:rsid w:val="005225DF"/>
    <w:rsid w:val="005226BF"/>
    <w:rsid w:val="005226C6"/>
    <w:rsid w:val="00522902"/>
    <w:rsid w:val="00522982"/>
    <w:rsid w:val="005229B6"/>
    <w:rsid w:val="00522A99"/>
    <w:rsid w:val="00522ADE"/>
    <w:rsid w:val="00522CD0"/>
    <w:rsid w:val="00522E3E"/>
    <w:rsid w:val="00522E63"/>
    <w:rsid w:val="00522F90"/>
    <w:rsid w:val="00523060"/>
    <w:rsid w:val="005230E6"/>
    <w:rsid w:val="005230F4"/>
    <w:rsid w:val="0052337F"/>
    <w:rsid w:val="00523588"/>
    <w:rsid w:val="005236C2"/>
    <w:rsid w:val="00523714"/>
    <w:rsid w:val="00523762"/>
    <w:rsid w:val="0052393F"/>
    <w:rsid w:val="00523AEC"/>
    <w:rsid w:val="00523BAD"/>
    <w:rsid w:val="00523C6A"/>
    <w:rsid w:val="00523CA6"/>
    <w:rsid w:val="00523E4A"/>
    <w:rsid w:val="00523EFA"/>
    <w:rsid w:val="00523FEE"/>
    <w:rsid w:val="0052400F"/>
    <w:rsid w:val="00524151"/>
    <w:rsid w:val="00524153"/>
    <w:rsid w:val="0052421B"/>
    <w:rsid w:val="0052422A"/>
    <w:rsid w:val="005242F1"/>
    <w:rsid w:val="00524574"/>
    <w:rsid w:val="00524578"/>
    <w:rsid w:val="00524579"/>
    <w:rsid w:val="005245A4"/>
    <w:rsid w:val="00524612"/>
    <w:rsid w:val="005246E9"/>
    <w:rsid w:val="0052487D"/>
    <w:rsid w:val="005248BD"/>
    <w:rsid w:val="0052491A"/>
    <w:rsid w:val="00524B1A"/>
    <w:rsid w:val="00524B57"/>
    <w:rsid w:val="00524B67"/>
    <w:rsid w:val="00524BAB"/>
    <w:rsid w:val="00524BC4"/>
    <w:rsid w:val="00524C63"/>
    <w:rsid w:val="00524CC0"/>
    <w:rsid w:val="005250CE"/>
    <w:rsid w:val="005250EE"/>
    <w:rsid w:val="00525111"/>
    <w:rsid w:val="005253C2"/>
    <w:rsid w:val="005254B3"/>
    <w:rsid w:val="00525519"/>
    <w:rsid w:val="00525544"/>
    <w:rsid w:val="0052562C"/>
    <w:rsid w:val="005256DD"/>
    <w:rsid w:val="005256FA"/>
    <w:rsid w:val="005257A4"/>
    <w:rsid w:val="005257C0"/>
    <w:rsid w:val="005259BF"/>
    <w:rsid w:val="00525AA6"/>
    <w:rsid w:val="00525C36"/>
    <w:rsid w:val="00525FA2"/>
    <w:rsid w:val="00525FB7"/>
    <w:rsid w:val="00525FFF"/>
    <w:rsid w:val="00526058"/>
    <w:rsid w:val="00526207"/>
    <w:rsid w:val="0052620C"/>
    <w:rsid w:val="005264F8"/>
    <w:rsid w:val="00526519"/>
    <w:rsid w:val="0052679D"/>
    <w:rsid w:val="005267B9"/>
    <w:rsid w:val="0052694F"/>
    <w:rsid w:val="0052696F"/>
    <w:rsid w:val="005269F9"/>
    <w:rsid w:val="00526A59"/>
    <w:rsid w:val="00526A9B"/>
    <w:rsid w:val="00526B43"/>
    <w:rsid w:val="00526CC1"/>
    <w:rsid w:val="00526D1C"/>
    <w:rsid w:val="00526DBD"/>
    <w:rsid w:val="00526E36"/>
    <w:rsid w:val="00526F40"/>
    <w:rsid w:val="00526FF1"/>
    <w:rsid w:val="00527177"/>
    <w:rsid w:val="00527398"/>
    <w:rsid w:val="00527488"/>
    <w:rsid w:val="005274B2"/>
    <w:rsid w:val="00527713"/>
    <w:rsid w:val="0052775E"/>
    <w:rsid w:val="005278B7"/>
    <w:rsid w:val="005278F8"/>
    <w:rsid w:val="005279D5"/>
    <w:rsid w:val="00527B06"/>
    <w:rsid w:val="00527B48"/>
    <w:rsid w:val="00527EA3"/>
    <w:rsid w:val="00527F33"/>
    <w:rsid w:val="0053007E"/>
    <w:rsid w:val="0053008C"/>
    <w:rsid w:val="0053013A"/>
    <w:rsid w:val="005301C6"/>
    <w:rsid w:val="0053032C"/>
    <w:rsid w:val="005304DF"/>
    <w:rsid w:val="00530535"/>
    <w:rsid w:val="0053069F"/>
    <w:rsid w:val="0053071B"/>
    <w:rsid w:val="005307A8"/>
    <w:rsid w:val="00530837"/>
    <w:rsid w:val="00530924"/>
    <w:rsid w:val="00530931"/>
    <w:rsid w:val="00530C58"/>
    <w:rsid w:val="00530CB5"/>
    <w:rsid w:val="00530DF5"/>
    <w:rsid w:val="00530E03"/>
    <w:rsid w:val="00530E7F"/>
    <w:rsid w:val="00530F00"/>
    <w:rsid w:val="00530F09"/>
    <w:rsid w:val="00530F24"/>
    <w:rsid w:val="00530F80"/>
    <w:rsid w:val="0053100B"/>
    <w:rsid w:val="005311EA"/>
    <w:rsid w:val="0053123E"/>
    <w:rsid w:val="005312A8"/>
    <w:rsid w:val="0053134F"/>
    <w:rsid w:val="00531530"/>
    <w:rsid w:val="00531535"/>
    <w:rsid w:val="00531567"/>
    <w:rsid w:val="00531631"/>
    <w:rsid w:val="005316AD"/>
    <w:rsid w:val="005316DE"/>
    <w:rsid w:val="0053191D"/>
    <w:rsid w:val="00531975"/>
    <w:rsid w:val="00531C23"/>
    <w:rsid w:val="00531C43"/>
    <w:rsid w:val="00531D22"/>
    <w:rsid w:val="00531DB0"/>
    <w:rsid w:val="0053224F"/>
    <w:rsid w:val="00532306"/>
    <w:rsid w:val="0053234B"/>
    <w:rsid w:val="005323FE"/>
    <w:rsid w:val="00532408"/>
    <w:rsid w:val="00532493"/>
    <w:rsid w:val="005324AE"/>
    <w:rsid w:val="00532506"/>
    <w:rsid w:val="005325E5"/>
    <w:rsid w:val="00532672"/>
    <w:rsid w:val="0053268A"/>
    <w:rsid w:val="005326B7"/>
    <w:rsid w:val="00532707"/>
    <w:rsid w:val="005327C9"/>
    <w:rsid w:val="00532869"/>
    <w:rsid w:val="005329FC"/>
    <w:rsid w:val="00532A48"/>
    <w:rsid w:val="00532AE5"/>
    <w:rsid w:val="00532BB8"/>
    <w:rsid w:val="00532C38"/>
    <w:rsid w:val="00532D47"/>
    <w:rsid w:val="00532D70"/>
    <w:rsid w:val="00532E9B"/>
    <w:rsid w:val="00532F89"/>
    <w:rsid w:val="00532FBD"/>
    <w:rsid w:val="00533121"/>
    <w:rsid w:val="005331CB"/>
    <w:rsid w:val="00533250"/>
    <w:rsid w:val="005332FC"/>
    <w:rsid w:val="0053338E"/>
    <w:rsid w:val="00533394"/>
    <w:rsid w:val="00533448"/>
    <w:rsid w:val="00533587"/>
    <w:rsid w:val="00533605"/>
    <w:rsid w:val="00533617"/>
    <w:rsid w:val="005336FB"/>
    <w:rsid w:val="00533957"/>
    <w:rsid w:val="00533983"/>
    <w:rsid w:val="00533985"/>
    <w:rsid w:val="00533B0E"/>
    <w:rsid w:val="00533B42"/>
    <w:rsid w:val="00533B60"/>
    <w:rsid w:val="00533C45"/>
    <w:rsid w:val="00533D4F"/>
    <w:rsid w:val="00533D61"/>
    <w:rsid w:val="00534035"/>
    <w:rsid w:val="00534196"/>
    <w:rsid w:val="005343D4"/>
    <w:rsid w:val="00534530"/>
    <w:rsid w:val="005345A7"/>
    <w:rsid w:val="005348A0"/>
    <w:rsid w:val="00534A44"/>
    <w:rsid w:val="00534B57"/>
    <w:rsid w:val="00534BC4"/>
    <w:rsid w:val="00534C18"/>
    <w:rsid w:val="00534C83"/>
    <w:rsid w:val="00534D96"/>
    <w:rsid w:val="00534E8A"/>
    <w:rsid w:val="00534E98"/>
    <w:rsid w:val="00534F1F"/>
    <w:rsid w:val="005350AD"/>
    <w:rsid w:val="00535103"/>
    <w:rsid w:val="005351A7"/>
    <w:rsid w:val="005351E5"/>
    <w:rsid w:val="00535259"/>
    <w:rsid w:val="00535271"/>
    <w:rsid w:val="00535425"/>
    <w:rsid w:val="00535723"/>
    <w:rsid w:val="005357AB"/>
    <w:rsid w:val="00535825"/>
    <w:rsid w:val="00535842"/>
    <w:rsid w:val="005358D9"/>
    <w:rsid w:val="0053596B"/>
    <w:rsid w:val="00535A72"/>
    <w:rsid w:val="00535ADE"/>
    <w:rsid w:val="00535B69"/>
    <w:rsid w:val="00535BA8"/>
    <w:rsid w:val="00535C4E"/>
    <w:rsid w:val="00535E77"/>
    <w:rsid w:val="00535FAC"/>
    <w:rsid w:val="0053605D"/>
    <w:rsid w:val="0053615D"/>
    <w:rsid w:val="0053615F"/>
    <w:rsid w:val="0053622D"/>
    <w:rsid w:val="005362C5"/>
    <w:rsid w:val="005363F8"/>
    <w:rsid w:val="00536477"/>
    <w:rsid w:val="00536538"/>
    <w:rsid w:val="005365F1"/>
    <w:rsid w:val="00536706"/>
    <w:rsid w:val="00536788"/>
    <w:rsid w:val="00536806"/>
    <w:rsid w:val="0053682F"/>
    <w:rsid w:val="00536853"/>
    <w:rsid w:val="00536932"/>
    <w:rsid w:val="005369E3"/>
    <w:rsid w:val="00536A41"/>
    <w:rsid w:val="00536AD8"/>
    <w:rsid w:val="00536B7C"/>
    <w:rsid w:val="00536CD5"/>
    <w:rsid w:val="00536D4A"/>
    <w:rsid w:val="00536F87"/>
    <w:rsid w:val="00537001"/>
    <w:rsid w:val="00537018"/>
    <w:rsid w:val="0053701E"/>
    <w:rsid w:val="0053717E"/>
    <w:rsid w:val="00537180"/>
    <w:rsid w:val="005372D3"/>
    <w:rsid w:val="0053749F"/>
    <w:rsid w:val="00537541"/>
    <w:rsid w:val="00537634"/>
    <w:rsid w:val="00537706"/>
    <w:rsid w:val="005377B3"/>
    <w:rsid w:val="005377B5"/>
    <w:rsid w:val="005377E6"/>
    <w:rsid w:val="00537C34"/>
    <w:rsid w:val="00537C89"/>
    <w:rsid w:val="00537D90"/>
    <w:rsid w:val="00537DD6"/>
    <w:rsid w:val="00537FD7"/>
    <w:rsid w:val="00540138"/>
    <w:rsid w:val="0054022A"/>
    <w:rsid w:val="00540251"/>
    <w:rsid w:val="00540444"/>
    <w:rsid w:val="005405A4"/>
    <w:rsid w:val="005405BE"/>
    <w:rsid w:val="005405E5"/>
    <w:rsid w:val="0054060C"/>
    <w:rsid w:val="005406D9"/>
    <w:rsid w:val="00540844"/>
    <w:rsid w:val="00540B0A"/>
    <w:rsid w:val="00540B6E"/>
    <w:rsid w:val="00540BEE"/>
    <w:rsid w:val="00540CB1"/>
    <w:rsid w:val="00540CB5"/>
    <w:rsid w:val="00540CDA"/>
    <w:rsid w:val="00540D7F"/>
    <w:rsid w:val="00540E48"/>
    <w:rsid w:val="00540EDA"/>
    <w:rsid w:val="00540FC8"/>
    <w:rsid w:val="00540FE7"/>
    <w:rsid w:val="00541021"/>
    <w:rsid w:val="0054105B"/>
    <w:rsid w:val="00541105"/>
    <w:rsid w:val="00541134"/>
    <w:rsid w:val="00541198"/>
    <w:rsid w:val="00541369"/>
    <w:rsid w:val="0054149A"/>
    <w:rsid w:val="005414AF"/>
    <w:rsid w:val="005415CA"/>
    <w:rsid w:val="005416CC"/>
    <w:rsid w:val="005416D8"/>
    <w:rsid w:val="005417A5"/>
    <w:rsid w:val="005417B0"/>
    <w:rsid w:val="00541826"/>
    <w:rsid w:val="005418F2"/>
    <w:rsid w:val="005418F5"/>
    <w:rsid w:val="00541AEF"/>
    <w:rsid w:val="00541BEA"/>
    <w:rsid w:val="00541E8F"/>
    <w:rsid w:val="00541EC2"/>
    <w:rsid w:val="005420C8"/>
    <w:rsid w:val="00542125"/>
    <w:rsid w:val="00542196"/>
    <w:rsid w:val="005421A3"/>
    <w:rsid w:val="00542397"/>
    <w:rsid w:val="005424BC"/>
    <w:rsid w:val="0054250E"/>
    <w:rsid w:val="005425AD"/>
    <w:rsid w:val="005425D6"/>
    <w:rsid w:val="0054271F"/>
    <w:rsid w:val="00542771"/>
    <w:rsid w:val="00542785"/>
    <w:rsid w:val="005427E1"/>
    <w:rsid w:val="00542879"/>
    <w:rsid w:val="0054295B"/>
    <w:rsid w:val="0054295E"/>
    <w:rsid w:val="0054296F"/>
    <w:rsid w:val="00542A7C"/>
    <w:rsid w:val="00542B61"/>
    <w:rsid w:val="00542B91"/>
    <w:rsid w:val="00542CF3"/>
    <w:rsid w:val="00542D80"/>
    <w:rsid w:val="00542EE4"/>
    <w:rsid w:val="00542F58"/>
    <w:rsid w:val="005430BB"/>
    <w:rsid w:val="00543341"/>
    <w:rsid w:val="005433A8"/>
    <w:rsid w:val="005434DA"/>
    <w:rsid w:val="0054359A"/>
    <w:rsid w:val="005435DE"/>
    <w:rsid w:val="0054368B"/>
    <w:rsid w:val="005436FF"/>
    <w:rsid w:val="005438B7"/>
    <w:rsid w:val="005438D3"/>
    <w:rsid w:val="00543960"/>
    <w:rsid w:val="00543A22"/>
    <w:rsid w:val="00543A33"/>
    <w:rsid w:val="00543A48"/>
    <w:rsid w:val="00543BFC"/>
    <w:rsid w:val="00543C11"/>
    <w:rsid w:val="00543E05"/>
    <w:rsid w:val="00543E5E"/>
    <w:rsid w:val="00543F9F"/>
    <w:rsid w:val="00544031"/>
    <w:rsid w:val="00544046"/>
    <w:rsid w:val="00544258"/>
    <w:rsid w:val="0054428F"/>
    <w:rsid w:val="0054434E"/>
    <w:rsid w:val="00544365"/>
    <w:rsid w:val="00544478"/>
    <w:rsid w:val="00544485"/>
    <w:rsid w:val="00544537"/>
    <w:rsid w:val="005447B8"/>
    <w:rsid w:val="0054482C"/>
    <w:rsid w:val="0054486A"/>
    <w:rsid w:val="00544896"/>
    <w:rsid w:val="00544950"/>
    <w:rsid w:val="00544A5D"/>
    <w:rsid w:val="00544A72"/>
    <w:rsid w:val="00544A9C"/>
    <w:rsid w:val="00544B65"/>
    <w:rsid w:val="00544BED"/>
    <w:rsid w:val="00544CB0"/>
    <w:rsid w:val="00544E00"/>
    <w:rsid w:val="00544E42"/>
    <w:rsid w:val="00544F6E"/>
    <w:rsid w:val="00545045"/>
    <w:rsid w:val="00545071"/>
    <w:rsid w:val="0054529E"/>
    <w:rsid w:val="0054553B"/>
    <w:rsid w:val="00545597"/>
    <w:rsid w:val="005455AE"/>
    <w:rsid w:val="00545690"/>
    <w:rsid w:val="005456EA"/>
    <w:rsid w:val="005457BE"/>
    <w:rsid w:val="005459D1"/>
    <w:rsid w:val="00545B0F"/>
    <w:rsid w:val="00545B4B"/>
    <w:rsid w:val="00545B74"/>
    <w:rsid w:val="00545BEF"/>
    <w:rsid w:val="00545C16"/>
    <w:rsid w:val="00545CDC"/>
    <w:rsid w:val="00545CEB"/>
    <w:rsid w:val="00545EDA"/>
    <w:rsid w:val="00545F06"/>
    <w:rsid w:val="00545FE3"/>
    <w:rsid w:val="00546171"/>
    <w:rsid w:val="005461B1"/>
    <w:rsid w:val="005461D5"/>
    <w:rsid w:val="00546215"/>
    <w:rsid w:val="005462BD"/>
    <w:rsid w:val="0054637A"/>
    <w:rsid w:val="0054637D"/>
    <w:rsid w:val="005463D2"/>
    <w:rsid w:val="0054646D"/>
    <w:rsid w:val="00546517"/>
    <w:rsid w:val="0054651E"/>
    <w:rsid w:val="00546559"/>
    <w:rsid w:val="0054662C"/>
    <w:rsid w:val="00546705"/>
    <w:rsid w:val="005467E1"/>
    <w:rsid w:val="005467F3"/>
    <w:rsid w:val="0054687E"/>
    <w:rsid w:val="00546882"/>
    <w:rsid w:val="005468CB"/>
    <w:rsid w:val="00546969"/>
    <w:rsid w:val="0054698C"/>
    <w:rsid w:val="00546A0F"/>
    <w:rsid w:val="00546A66"/>
    <w:rsid w:val="00546B5D"/>
    <w:rsid w:val="00546BB8"/>
    <w:rsid w:val="00546CE8"/>
    <w:rsid w:val="00546DA1"/>
    <w:rsid w:val="00546DAD"/>
    <w:rsid w:val="00546F09"/>
    <w:rsid w:val="005470F3"/>
    <w:rsid w:val="00547184"/>
    <w:rsid w:val="005472CA"/>
    <w:rsid w:val="0054733F"/>
    <w:rsid w:val="00547476"/>
    <w:rsid w:val="005474C7"/>
    <w:rsid w:val="005474FB"/>
    <w:rsid w:val="00547567"/>
    <w:rsid w:val="0054767E"/>
    <w:rsid w:val="0054767F"/>
    <w:rsid w:val="00547728"/>
    <w:rsid w:val="00547776"/>
    <w:rsid w:val="00547888"/>
    <w:rsid w:val="005479C6"/>
    <w:rsid w:val="005479CA"/>
    <w:rsid w:val="00547CB2"/>
    <w:rsid w:val="00547DD7"/>
    <w:rsid w:val="00547E0B"/>
    <w:rsid w:val="00547E66"/>
    <w:rsid w:val="00547EB1"/>
    <w:rsid w:val="00547F0B"/>
    <w:rsid w:val="00547F71"/>
    <w:rsid w:val="00547FD1"/>
    <w:rsid w:val="005501FD"/>
    <w:rsid w:val="005502ED"/>
    <w:rsid w:val="0055050E"/>
    <w:rsid w:val="005506AB"/>
    <w:rsid w:val="0055086C"/>
    <w:rsid w:val="005508CC"/>
    <w:rsid w:val="005509BB"/>
    <w:rsid w:val="005509CE"/>
    <w:rsid w:val="005509FA"/>
    <w:rsid w:val="00550A5B"/>
    <w:rsid w:val="00550D6D"/>
    <w:rsid w:val="00550E9D"/>
    <w:rsid w:val="00550EC3"/>
    <w:rsid w:val="00550F24"/>
    <w:rsid w:val="00550F9F"/>
    <w:rsid w:val="00550FD6"/>
    <w:rsid w:val="005510CD"/>
    <w:rsid w:val="00551115"/>
    <w:rsid w:val="0055121D"/>
    <w:rsid w:val="0055126C"/>
    <w:rsid w:val="00551384"/>
    <w:rsid w:val="00551439"/>
    <w:rsid w:val="0055144F"/>
    <w:rsid w:val="005514F9"/>
    <w:rsid w:val="0055150B"/>
    <w:rsid w:val="00551601"/>
    <w:rsid w:val="00551645"/>
    <w:rsid w:val="00551649"/>
    <w:rsid w:val="00551700"/>
    <w:rsid w:val="00551784"/>
    <w:rsid w:val="0055180F"/>
    <w:rsid w:val="0055188F"/>
    <w:rsid w:val="00551922"/>
    <w:rsid w:val="005519B0"/>
    <w:rsid w:val="00551A65"/>
    <w:rsid w:val="00551A7C"/>
    <w:rsid w:val="00551AAE"/>
    <w:rsid w:val="00551B54"/>
    <w:rsid w:val="00551B61"/>
    <w:rsid w:val="00551BE9"/>
    <w:rsid w:val="00551DF5"/>
    <w:rsid w:val="00551E5E"/>
    <w:rsid w:val="00551F1C"/>
    <w:rsid w:val="00551FAD"/>
    <w:rsid w:val="005520AE"/>
    <w:rsid w:val="00552444"/>
    <w:rsid w:val="00552510"/>
    <w:rsid w:val="005525D5"/>
    <w:rsid w:val="00552676"/>
    <w:rsid w:val="005526AF"/>
    <w:rsid w:val="00552947"/>
    <w:rsid w:val="005529DA"/>
    <w:rsid w:val="005529E9"/>
    <w:rsid w:val="00552A64"/>
    <w:rsid w:val="00552AB3"/>
    <w:rsid w:val="00552BBA"/>
    <w:rsid w:val="00552BC7"/>
    <w:rsid w:val="00552CF8"/>
    <w:rsid w:val="00552DE3"/>
    <w:rsid w:val="00552E09"/>
    <w:rsid w:val="00552E14"/>
    <w:rsid w:val="00552E7E"/>
    <w:rsid w:val="00552FAC"/>
    <w:rsid w:val="00553014"/>
    <w:rsid w:val="005530B6"/>
    <w:rsid w:val="00553100"/>
    <w:rsid w:val="00553281"/>
    <w:rsid w:val="0055330B"/>
    <w:rsid w:val="00553310"/>
    <w:rsid w:val="005533F5"/>
    <w:rsid w:val="00553444"/>
    <w:rsid w:val="0055346C"/>
    <w:rsid w:val="0055361B"/>
    <w:rsid w:val="0055369F"/>
    <w:rsid w:val="005536EC"/>
    <w:rsid w:val="005538B1"/>
    <w:rsid w:val="005538DF"/>
    <w:rsid w:val="0055397E"/>
    <w:rsid w:val="00553A26"/>
    <w:rsid w:val="00553ADE"/>
    <w:rsid w:val="00553AEC"/>
    <w:rsid w:val="00553DCD"/>
    <w:rsid w:val="00553E5A"/>
    <w:rsid w:val="00553F1D"/>
    <w:rsid w:val="005541CC"/>
    <w:rsid w:val="005541F8"/>
    <w:rsid w:val="00554295"/>
    <w:rsid w:val="005542C9"/>
    <w:rsid w:val="00554336"/>
    <w:rsid w:val="0055438D"/>
    <w:rsid w:val="00554402"/>
    <w:rsid w:val="00554422"/>
    <w:rsid w:val="0055448C"/>
    <w:rsid w:val="005544BE"/>
    <w:rsid w:val="005546BF"/>
    <w:rsid w:val="005547AB"/>
    <w:rsid w:val="00554847"/>
    <w:rsid w:val="0055485C"/>
    <w:rsid w:val="00554880"/>
    <w:rsid w:val="005549AA"/>
    <w:rsid w:val="005549C2"/>
    <w:rsid w:val="00554A10"/>
    <w:rsid w:val="00554A30"/>
    <w:rsid w:val="00554B41"/>
    <w:rsid w:val="00554BF3"/>
    <w:rsid w:val="00554CF5"/>
    <w:rsid w:val="00554FB9"/>
    <w:rsid w:val="005553FC"/>
    <w:rsid w:val="00555495"/>
    <w:rsid w:val="00555545"/>
    <w:rsid w:val="0055556E"/>
    <w:rsid w:val="00555627"/>
    <w:rsid w:val="00555758"/>
    <w:rsid w:val="005559DC"/>
    <w:rsid w:val="00555A30"/>
    <w:rsid w:val="00555B9F"/>
    <w:rsid w:val="00555D1D"/>
    <w:rsid w:val="00555E1F"/>
    <w:rsid w:val="00555FF1"/>
    <w:rsid w:val="00556063"/>
    <w:rsid w:val="0055614B"/>
    <w:rsid w:val="0055624A"/>
    <w:rsid w:val="00556325"/>
    <w:rsid w:val="005563A4"/>
    <w:rsid w:val="00556444"/>
    <w:rsid w:val="00556489"/>
    <w:rsid w:val="005565FD"/>
    <w:rsid w:val="005567C6"/>
    <w:rsid w:val="0055688B"/>
    <w:rsid w:val="0055691A"/>
    <w:rsid w:val="0055694C"/>
    <w:rsid w:val="005569B1"/>
    <w:rsid w:val="005569D3"/>
    <w:rsid w:val="005569E7"/>
    <w:rsid w:val="00556ADF"/>
    <w:rsid w:val="00556B05"/>
    <w:rsid w:val="00556C35"/>
    <w:rsid w:val="00556E3B"/>
    <w:rsid w:val="00556EF9"/>
    <w:rsid w:val="00556F5B"/>
    <w:rsid w:val="00556F5C"/>
    <w:rsid w:val="00557021"/>
    <w:rsid w:val="00557029"/>
    <w:rsid w:val="00557093"/>
    <w:rsid w:val="005575B9"/>
    <w:rsid w:val="005575DE"/>
    <w:rsid w:val="00557611"/>
    <w:rsid w:val="0055772E"/>
    <w:rsid w:val="0055776A"/>
    <w:rsid w:val="005577DD"/>
    <w:rsid w:val="00557C6F"/>
    <w:rsid w:val="00557C73"/>
    <w:rsid w:val="00557D1B"/>
    <w:rsid w:val="00557E7C"/>
    <w:rsid w:val="00557EFA"/>
    <w:rsid w:val="00557F0B"/>
    <w:rsid w:val="00557F92"/>
    <w:rsid w:val="005600CD"/>
    <w:rsid w:val="0056010D"/>
    <w:rsid w:val="00560273"/>
    <w:rsid w:val="005604C8"/>
    <w:rsid w:val="00560502"/>
    <w:rsid w:val="00560590"/>
    <w:rsid w:val="00560648"/>
    <w:rsid w:val="0056066C"/>
    <w:rsid w:val="00560786"/>
    <w:rsid w:val="005609E7"/>
    <w:rsid w:val="005609F7"/>
    <w:rsid w:val="00560ADE"/>
    <w:rsid w:val="00560BBA"/>
    <w:rsid w:val="00560BF1"/>
    <w:rsid w:val="00560C27"/>
    <w:rsid w:val="00560C2B"/>
    <w:rsid w:val="00560D50"/>
    <w:rsid w:val="00560D98"/>
    <w:rsid w:val="00560DC6"/>
    <w:rsid w:val="00560DD3"/>
    <w:rsid w:val="00560E68"/>
    <w:rsid w:val="00560E6C"/>
    <w:rsid w:val="0056113E"/>
    <w:rsid w:val="0056119D"/>
    <w:rsid w:val="00561217"/>
    <w:rsid w:val="00561257"/>
    <w:rsid w:val="00561262"/>
    <w:rsid w:val="0056129C"/>
    <w:rsid w:val="0056167A"/>
    <w:rsid w:val="00561700"/>
    <w:rsid w:val="00561930"/>
    <w:rsid w:val="005619A4"/>
    <w:rsid w:val="00561A90"/>
    <w:rsid w:val="00561B23"/>
    <w:rsid w:val="00561C9D"/>
    <w:rsid w:val="00562052"/>
    <w:rsid w:val="005620A2"/>
    <w:rsid w:val="0056232B"/>
    <w:rsid w:val="0056238E"/>
    <w:rsid w:val="005623B1"/>
    <w:rsid w:val="005626F9"/>
    <w:rsid w:val="00562734"/>
    <w:rsid w:val="00562741"/>
    <w:rsid w:val="00562744"/>
    <w:rsid w:val="00562759"/>
    <w:rsid w:val="00562876"/>
    <w:rsid w:val="00562B2A"/>
    <w:rsid w:val="00562B52"/>
    <w:rsid w:val="00562CC5"/>
    <w:rsid w:val="00562F6A"/>
    <w:rsid w:val="0056302C"/>
    <w:rsid w:val="0056315F"/>
    <w:rsid w:val="005632E8"/>
    <w:rsid w:val="00563338"/>
    <w:rsid w:val="005634A8"/>
    <w:rsid w:val="005634D1"/>
    <w:rsid w:val="005635F1"/>
    <w:rsid w:val="005635F2"/>
    <w:rsid w:val="00563641"/>
    <w:rsid w:val="00563658"/>
    <w:rsid w:val="0056370E"/>
    <w:rsid w:val="0056392D"/>
    <w:rsid w:val="005639AE"/>
    <w:rsid w:val="00563B10"/>
    <w:rsid w:val="00563CD1"/>
    <w:rsid w:val="00563DE6"/>
    <w:rsid w:val="00564072"/>
    <w:rsid w:val="005640BD"/>
    <w:rsid w:val="0056414B"/>
    <w:rsid w:val="005642E2"/>
    <w:rsid w:val="00564367"/>
    <w:rsid w:val="005643DB"/>
    <w:rsid w:val="00564622"/>
    <w:rsid w:val="0056499B"/>
    <w:rsid w:val="005649D4"/>
    <w:rsid w:val="00564A74"/>
    <w:rsid w:val="00564AA7"/>
    <w:rsid w:val="00564AEE"/>
    <w:rsid w:val="00564B27"/>
    <w:rsid w:val="00564B85"/>
    <w:rsid w:val="00564C10"/>
    <w:rsid w:val="00564CF2"/>
    <w:rsid w:val="00564D8C"/>
    <w:rsid w:val="00564DD8"/>
    <w:rsid w:val="005650A0"/>
    <w:rsid w:val="00565111"/>
    <w:rsid w:val="00565129"/>
    <w:rsid w:val="00565160"/>
    <w:rsid w:val="00565221"/>
    <w:rsid w:val="00565235"/>
    <w:rsid w:val="00565490"/>
    <w:rsid w:val="00565537"/>
    <w:rsid w:val="00565564"/>
    <w:rsid w:val="005655B2"/>
    <w:rsid w:val="005656B6"/>
    <w:rsid w:val="00565717"/>
    <w:rsid w:val="00565786"/>
    <w:rsid w:val="00565829"/>
    <w:rsid w:val="005659BC"/>
    <w:rsid w:val="00565B16"/>
    <w:rsid w:val="00565B86"/>
    <w:rsid w:val="00565E66"/>
    <w:rsid w:val="00565EFA"/>
    <w:rsid w:val="00566094"/>
    <w:rsid w:val="005660B4"/>
    <w:rsid w:val="00566168"/>
    <w:rsid w:val="005663AD"/>
    <w:rsid w:val="005663BE"/>
    <w:rsid w:val="00566478"/>
    <w:rsid w:val="00566752"/>
    <w:rsid w:val="005667BD"/>
    <w:rsid w:val="00566844"/>
    <w:rsid w:val="005668A7"/>
    <w:rsid w:val="005668B7"/>
    <w:rsid w:val="00566965"/>
    <w:rsid w:val="005669B3"/>
    <w:rsid w:val="00566B02"/>
    <w:rsid w:val="00566B04"/>
    <w:rsid w:val="00566CE6"/>
    <w:rsid w:val="00566D15"/>
    <w:rsid w:val="00566D56"/>
    <w:rsid w:val="00566EB8"/>
    <w:rsid w:val="00567019"/>
    <w:rsid w:val="005671E2"/>
    <w:rsid w:val="0056726C"/>
    <w:rsid w:val="00567314"/>
    <w:rsid w:val="00567320"/>
    <w:rsid w:val="005673E2"/>
    <w:rsid w:val="0056748F"/>
    <w:rsid w:val="00567495"/>
    <w:rsid w:val="005674D6"/>
    <w:rsid w:val="00567775"/>
    <w:rsid w:val="0056789B"/>
    <w:rsid w:val="00567908"/>
    <w:rsid w:val="00567929"/>
    <w:rsid w:val="00567A14"/>
    <w:rsid w:val="00567B5B"/>
    <w:rsid w:val="00567C89"/>
    <w:rsid w:val="00567D48"/>
    <w:rsid w:val="00567D88"/>
    <w:rsid w:val="0057006C"/>
    <w:rsid w:val="00570088"/>
    <w:rsid w:val="00570100"/>
    <w:rsid w:val="00570133"/>
    <w:rsid w:val="00570153"/>
    <w:rsid w:val="005702E4"/>
    <w:rsid w:val="0057031F"/>
    <w:rsid w:val="00570402"/>
    <w:rsid w:val="00570496"/>
    <w:rsid w:val="005704CF"/>
    <w:rsid w:val="005704ED"/>
    <w:rsid w:val="00570542"/>
    <w:rsid w:val="0057064A"/>
    <w:rsid w:val="00570687"/>
    <w:rsid w:val="00570705"/>
    <w:rsid w:val="00570950"/>
    <w:rsid w:val="00570B51"/>
    <w:rsid w:val="00570BF2"/>
    <w:rsid w:val="00570CA6"/>
    <w:rsid w:val="00570D74"/>
    <w:rsid w:val="00570EB8"/>
    <w:rsid w:val="00570FBA"/>
    <w:rsid w:val="00570FFA"/>
    <w:rsid w:val="005710C2"/>
    <w:rsid w:val="00571112"/>
    <w:rsid w:val="00571167"/>
    <w:rsid w:val="0057118A"/>
    <w:rsid w:val="00571258"/>
    <w:rsid w:val="0057126A"/>
    <w:rsid w:val="005712E8"/>
    <w:rsid w:val="0057155A"/>
    <w:rsid w:val="00571628"/>
    <w:rsid w:val="00571679"/>
    <w:rsid w:val="00571769"/>
    <w:rsid w:val="0057177B"/>
    <w:rsid w:val="00571853"/>
    <w:rsid w:val="00571985"/>
    <w:rsid w:val="00571B0C"/>
    <w:rsid w:val="00571C53"/>
    <w:rsid w:val="00571C69"/>
    <w:rsid w:val="00571C8C"/>
    <w:rsid w:val="00571CF1"/>
    <w:rsid w:val="00571E10"/>
    <w:rsid w:val="00571E2D"/>
    <w:rsid w:val="00571E5F"/>
    <w:rsid w:val="00571EC0"/>
    <w:rsid w:val="00571EED"/>
    <w:rsid w:val="00571F55"/>
    <w:rsid w:val="00571FE3"/>
    <w:rsid w:val="00571FFB"/>
    <w:rsid w:val="00572132"/>
    <w:rsid w:val="0057224C"/>
    <w:rsid w:val="00572273"/>
    <w:rsid w:val="00572310"/>
    <w:rsid w:val="0057236B"/>
    <w:rsid w:val="00572544"/>
    <w:rsid w:val="00572557"/>
    <w:rsid w:val="005725B2"/>
    <w:rsid w:val="005725E3"/>
    <w:rsid w:val="00572644"/>
    <w:rsid w:val="00572653"/>
    <w:rsid w:val="005726EF"/>
    <w:rsid w:val="005727C8"/>
    <w:rsid w:val="005727F4"/>
    <w:rsid w:val="00572861"/>
    <w:rsid w:val="0057291D"/>
    <w:rsid w:val="00572A26"/>
    <w:rsid w:val="00572BA8"/>
    <w:rsid w:val="00572BF1"/>
    <w:rsid w:val="00572C8A"/>
    <w:rsid w:val="00572D0D"/>
    <w:rsid w:val="00572E0A"/>
    <w:rsid w:val="00572F0A"/>
    <w:rsid w:val="00572FAA"/>
    <w:rsid w:val="00573119"/>
    <w:rsid w:val="00573270"/>
    <w:rsid w:val="005732EA"/>
    <w:rsid w:val="00573339"/>
    <w:rsid w:val="0057343B"/>
    <w:rsid w:val="0057344C"/>
    <w:rsid w:val="00573543"/>
    <w:rsid w:val="005735B0"/>
    <w:rsid w:val="005735D5"/>
    <w:rsid w:val="00573650"/>
    <w:rsid w:val="00573672"/>
    <w:rsid w:val="00573983"/>
    <w:rsid w:val="005739C6"/>
    <w:rsid w:val="005739ED"/>
    <w:rsid w:val="00573A5A"/>
    <w:rsid w:val="00573ACB"/>
    <w:rsid w:val="00573C4A"/>
    <w:rsid w:val="00573C5A"/>
    <w:rsid w:val="00573C82"/>
    <w:rsid w:val="00573CA0"/>
    <w:rsid w:val="00573D1C"/>
    <w:rsid w:val="00573D72"/>
    <w:rsid w:val="00573DE6"/>
    <w:rsid w:val="00573DEE"/>
    <w:rsid w:val="00573E16"/>
    <w:rsid w:val="00573EA9"/>
    <w:rsid w:val="00573F43"/>
    <w:rsid w:val="00573FB9"/>
    <w:rsid w:val="00573FD0"/>
    <w:rsid w:val="00574294"/>
    <w:rsid w:val="005742D3"/>
    <w:rsid w:val="005742F1"/>
    <w:rsid w:val="00574343"/>
    <w:rsid w:val="00574467"/>
    <w:rsid w:val="005744B8"/>
    <w:rsid w:val="005744C1"/>
    <w:rsid w:val="00574627"/>
    <w:rsid w:val="00574654"/>
    <w:rsid w:val="00574787"/>
    <w:rsid w:val="00574793"/>
    <w:rsid w:val="005748BD"/>
    <w:rsid w:val="005748CC"/>
    <w:rsid w:val="00574990"/>
    <w:rsid w:val="00574B2D"/>
    <w:rsid w:val="00574D64"/>
    <w:rsid w:val="00574E4D"/>
    <w:rsid w:val="00574E74"/>
    <w:rsid w:val="00574EDE"/>
    <w:rsid w:val="005751C1"/>
    <w:rsid w:val="0057530B"/>
    <w:rsid w:val="00575336"/>
    <w:rsid w:val="005753B0"/>
    <w:rsid w:val="005753CF"/>
    <w:rsid w:val="005753F4"/>
    <w:rsid w:val="00575429"/>
    <w:rsid w:val="005754F2"/>
    <w:rsid w:val="00575655"/>
    <w:rsid w:val="00575862"/>
    <w:rsid w:val="0057586D"/>
    <w:rsid w:val="0057590E"/>
    <w:rsid w:val="00575975"/>
    <w:rsid w:val="00575990"/>
    <w:rsid w:val="005759B3"/>
    <w:rsid w:val="00575B8A"/>
    <w:rsid w:val="00575BB0"/>
    <w:rsid w:val="00575D4E"/>
    <w:rsid w:val="00575D75"/>
    <w:rsid w:val="00575D8B"/>
    <w:rsid w:val="00575F07"/>
    <w:rsid w:val="0057608E"/>
    <w:rsid w:val="00576108"/>
    <w:rsid w:val="00576109"/>
    <w:rsid w:val="00576131"/>
    <w:rsid w:val="00576186"/>
    <w:rsid w:val="005762F2"/>
    <w:rsid w:val="005763BE"/>
    <w:rsid w:val="005763C7"/>
    <w:rsid w:val="005763DC"/>
    <w:rsid w:val="0057645B"/>
    <w:rsid w:val="005764B3"/>
    <w:rsid w:val="0057653F"/>
    <w:rsid w:val="0057676C"/>
    <w:rsid w:val="0057681C"/>
    <w:rsid w:val="00576838"/>
    <w:rsid w:val="005768CC"/>
    <w:rsid w:val="00576999"/>
    <w:rsid w:val="0057699B"/>
    <w:rsid w:val="005769DE"/>
    <w:rsid w:val="00576BEF"/>
    <w:rsid w:val="00576CE1"/>
    <w:rsid w:val="00576CE4"/>
    <w:rsid w:val="00576D46"/>
    <w:rsid w:val="00576D72"/>
    <w:rsid w:val="00576D9A"/>
    <w:rsid w:val="00576E54"/>
    <w:rsid w:val="00576EAF"/>
    <w:rsid w:val="00576EC2"/>
    <w:rsid w:val="00576F76"/>
    <w:rsid w:val="00576FA5"/>
    <w:rsid w:val="00577027"/>
    <w:rsid w:val="005770C9"/>
    <w:rsid w:val="0057713B"/>
    <w:rsid w:val="00577168"/>
    <w:rsid w:val="0057716B"/>
    <w:rsid w:val="0057718C"/>
    <w:rsid w:val="00577269"/>
    <w:rsid w:val="00577287"/>
    <w:rsid w:val="005772D4"/>
    <w:rsid w:val="00577592"/>
    <w:rsid w:val="0057762D"/>
    <w:rsid w:val="005776F9"/>
    <w:rsid w:val="00577766"/>
    <w:rsid w:val="00577915"/>
    <w:rsid w:val="00577973"/>
    <w:rsid w:val="00577A02"/>
    <w:rsid w:val="00577C0C"/>
    <w:rsid w:val="00577CAA"/>
    <w:rsid w:val="00577CD7"/>
    <w:rsid w:val="00577D35"/>
    <w:rsid w:val="00577ED4"/>
    <w:rsid w:val="0058006C"/>
    <w:rsid w:val="00580145"/>
    <w:rsid w:val="0058020B"/>
    <w:rsid w:val="00580250"/>
    <w:rsid w:val="005803EE"/>
    <w:rsid w:val="0058042B"/>
    <w:rsid w:val="0058060D"/>
    <w:rsid w:val="0058086C"/>
    <w:rsid w:val="00580A82"/>
    <w:rsid w:val="00580ACA"/>
    <w:rsid w:val="00580B25"/>
    <w:rsid w:val="00580B49"/>
    <w:rsid w:val="00580C9E"/>
    <w:rsid w:val="00580D11"/>
    <w:rsid w:val="00580DFA"/>
    <w:rsid w:val="00580EF1"/>
    <w:rsid w:val="00580F4F"/>
    <w:rsid w:val="00581033"/>
    <w:rsid w:val="005810BC"/>
    <w:rsid w:val="0058112D"/>
    <w:rsid w:val="0058126A"/>
    <w:rsid w:val="00581272"/>
    <w:rsid w:val="00581510"/>
    <w:rsid w:val="00581525"/>
    <w:rsid w:val="005815B2"/>
    <w:rsid w:val="00581626"/>
    <w:rsid w:val="00581722"/>
    <w:rsid w:val="0058177F"/>
    <w:rsid w:val="005818B3"/>
    <w:rsid w:val="0058193D"/>
    <w:rsid w:val="00581963"/>
    <w:rsid w:val="00581966"/>
    <w:rsid w:val="00581B21"/>
    <w:rsid w:val="00581C24"/>
    <w:rsid w:val="00581C7D"/>
    <w:rsid w:val="00581D8A"/>
    <w:rsid w:val="00581E8D"/>
    <w:rsid w:val="00581F0A"/>
    <w:rsid w:val="00581FBA"/>
    <w:rsid w:val="00581FEB"/>
    <w:rsid w:val="00582010"/>
    <w:rsid w:val="0058205D"/>
    <w:rsid w:val="005820C6"/>
    <w:rsid w:val="0058214D"/>
    <w:rsid w:val="0058250B"/>
    <w:rsid w:val="00582583"/>
    <w:rsid w:val="005825D1"/>
    <w:rsid w:val="005828BD"/>
    <w:rsid w:val="00582B2A"/>
    <w:rsid w:val="00582B92"/>
    <w:rsid w:val="00582C5C"/>
    <w:rsid w:val="00582C86"/>
    <w:rsid w:val="00582CE7"/>
    <w:rsid w:val="00582D0F"/>
    <w:rsid w:val="00582D17"/>
    <w:rsid w:val="00582D8D"/>
    <w:rsid w:val="00582E18"/>
    <w:rsid w:val="005830D0"/>
    <w:rsid w:val="0058338A"/>
    <w:rsid w:val="0058364E"/>
    <w:rsid w:val="0058368E"/>
    <w:rsid w:val="005836E6"/>
    <w:rsid w:val="005837B5"/>
    <w:rsid w:val="005838CC"/>
    <w:rsid w:val="00583BCB"/>
    <w:rsid w:val="00583D05"/>
    <w:rsid w:val="00583D5E"/>
    <w:rsid w:val="00583E2E"/>
    <w:rsid w:val="00583F21"/>
    <w:rsid w:val="00583F38"/>
    <w:rsid w:val="00584023"/>
    <w:rsid w:val="00584062"/>
    <w:rsid w:val="005840FE"/>
    <w:rsid w:val="00584138"/>
    <w:rsid w:val="0058417A"/>
    <w:rsid w:val="0058427A"/>
    <w:rsid w:val="005843AC"/>
    <w:rsid w:val="005843EF"/>
    <w:rsid w:val="00584607"/>
    <w:rsid w:val="005846B5"/>
    <w:rsid w:val="00584832"/>
    <w:rsid w:val="00584886"/>
    <w:rsid w:val="005848E2"/>
    <w:rsid w:val="005849CA"/>
    <w:rsid w:val="00584A6B"/>
    <w:rsid w:val="00584BAB"/>
    <w:rsid w:val="00584CC8"/>
    <w:rsid w:val="00584D06"/>
    <w:rsid w:val="00584D14"/>
    <w:rsid w:val="00584D2B"/>
    <w:rsid w:val="00584D77"/>
    <w:rsid w:val="00584DD9"/>
    <w:rsid w:val="00584E16"/>
    <w:rsid w:val="00584E8C"/>
    <w:rsid w:val="00584ED7"/>
    <w:rsid w:val="00584FC5"/>
    <w:rsid w:val="00584FF5"/>
    <w:rsid w:val="005850FB"/>
    <w:rsid w:val="005852B0"/>
    <w:rsid w:val="00585540"/>
    <w:rsid w:val="00585569"/>
    <w:rsid w:val="005855E1"/>
    <w:rsid w:val="005856D0"/>
    <w:rsid w:val="00585718"/>
    <w:rsid w:val="005858F7"/>
    <w:rsid w:val="00585950"/>
    <w:rsid w:val="00585BA2"/>
    <w:rsid w:val="00585BD7"/>
    <w:rsid w:val="00585C6D"/>
    <w:rsid w:val="00585E10"/>
    <w:rsid w:val="00585EA2"/>
    <w:rsid w:val="00586014"/>
    <w:rsid w:val="00586046"/>
    <w:rsid w:val="00586078"/>
    <w:rsid w:val="0058608E"/>
    <w:rsid w:val="005860D6"/>
    <w:rsid w:val="00586157"/>
    <w:rsid w:val="005861DE"/>
    <w:rsid w:val="0058623F"/>
    <w:rsid w:val="0058663B"/>
    <w:rsid w:val="00586681"/>
    <w:rsid w:val="00586790"/>
    <w:rsid w:val="005867A2"/>
    <w:rsid w:val="005867FA"/>
    <w:rsid w:val="0058688A"/>
    <w:rsid w:val="005869B4"/>
    <w:rsid w:val="005869BE"/>
    <w:rsid w:val="005869ED"/>
    <w:rsid w:val="00586B5B"/>
    <w:rsid w:val="00586BDD"/>
    <w:rsid w:val="00586C9A"/>
    <w:rsid w:val="00586CEF"/>
    <w:rsid w:val="00586D83"/>
    <w:rsid w:val="00586D86"/>
    <w:rsid w:val="00586E92"/>
    <w:rsid w:val="00586EE9"/>
    <w:rsid w:val="00586F7B"/>
    <w:rsid w:val="0058711F"/>
    <w:rsid w:val="005871EC"/>
    <w:rsid w:val="005873A8"/>
    <w:rsid w:val="0058754C"/>
    <w:rsid w:val="00587597"/>
    <w:rsid w:val="005875DF"/>
    <w:rsid w:val="005875EA"/>
    <w:rsid w:val="00587779"/>
    <w:rsid w:val="005877CC"/>
    <w:rsid w:val="005877CE"/>
    <w:rsid w:val="00587874"/>
    <w:rsid w:val="00587B21"/>
    <w:rsid w:val="00587B94"/>
    <w:rsid w:val="00587BDD"/>
    <w:rsid w:val="00587C0A"/>
    <w:rsid w:val="00587E5C"/>
    <w:rsid w:val="00587F29"/>
    <w:rsid w:val="00587FAA"/>
    <w:rsid w:val="00590063"/>
    <w:rsid w:val="005900EE"/>
    <w:rsid w:val="005901B3"/>
    <w:rsid w:val="0059024A"/>
    <w:rsid w:val="005903E9"/>
    <w:rsid w:val="00590454"/>
    <w:rsid w:val="00590550"/>
    <w:rsid w:val="005905EA"/>
    <w:rsid w:val="005905F7"/>
    <w:rsid w:val="005906D4"/>
    <w:rsid w:val="0059075A"/>
    <w:rsid w:val="00590890"/>
    <w:rsid w:val="005909BC"/>
    <w:rsid w:val="005909C7"/>
    <w:rsid w:val="005909D1"/>
    <w:rsid w:val="00590B58"/>
    <w:rsid w:val="00590BDE"/>
    <w:rsid w:val="00590C89"/>
    <w:rsid w:val="00590CD0"/>
    <w:rsid w:val="00590E5E"/>
    <w:rsid w:val="00590F15"/>
    <w:rsid w:val="00590FB8"/>
    <w:rsid w:val="00591100"/>
    <w:rsid w:val="0059125B"/>
    <w:rsid w:val="00591398"/>
    <w:rsid w:val="0059148D"/>
    <w:rsid w:val="00591577"/>
    <w:rsid w:val="005915BA"/>
    <w:rsid w:val="005915EF"/>
    <w:rsid w:val="0059169F"/>
    <w:rsid w:val="005916B1"/>
    <w:rsid w:val="005917B8"/>
    <w:rsid w:val="00591816"/>
    <w:rsid w:val="005918D2"/>
    <w:rsid w:val="0059196F"/>
    <w:rsid w:val="005919B0"/>
    <w:rsid w:val="005919C7"/>
    <w:rsid w:val="00591B7F"/>
    <w:rsid w:val="00591BB4"/>
    <w:rsid w:val="00591E16"/>
    <w:rsid w:val="00591FBE"/>
    <w:rsid w:val="00591FD0"/>
    <w:rsid w:val="00591FD9"/>
    <w:rsid w:val="00592009"/>
    <w:rsid w:val="00592082"/>
    <w:rsid w:val="005920A7"/>
    <w:rsid w:val="00592191"/>
    <w:rsid w:val="005922A8"/>
    <w:rsid w:val="0059234D"/>
    <w:rsid w:val="00592420"/>
    <w:rsid w:val="00592422"/>
    <w:rsid w:val="005924E9"/>
    <w:rsid w:val="00592564"/>
    <w:rsid w:val="005925F1"/>
    <w:rsid w:val="00592647"/>
    <w:rsid w:val="00592961"/>
    <w:rsid w:val="00592993"/>
    <w:rsid w:val="005929EC"/>
    <w:rsid w:val="00592A62"/>
    <w:rsid w:val="00592B34"/>
    <w:rsid w:val="00592BE3"/>
    <w:rsid w:val="00592CB9"/>
    <w:rsid w:val="00592D57"/>
    <w:rsid w:val="00592DB6"/>
    <w:rsid w:val="00592DE0"/>
    <w:rsid w:val="00592E54"/>
    <w:rsid w:val="00592E57"/>
    <w:rsid w:val="00592EFE"/>
    <w:rsid w:val="00592F2D"/>
    <w:rsid w:val="00592F90"/>
    <w:rsid w:val="00593125"/>
    <w:rsid w:val="0059319B"/>
    <w:rsid w:val="00593254"/>
    <w:rsid w:val="005932A8"/>
    <w:rsid w:val="005933C4"/>
    <w:rsid w:val="005933DE"/>
    <w:rsid w:val="00593447"/>
    <w:rsid w:val="00593479"/>
    <w:rsid w:val="005934A8"/>
    <w:rsid w:val="00593548"/>
    <w:rsid w:val="00593693"/>
    <w:rsid w:val="00593725"/>
    <w:rsid w:val="0059388D"/>
    <w:rsid w:val="005938E0"/>
    <w:rsid w:val="005939AA"/>
    <w:rsid w:val="005939EE"/>
    <w:rsid w:val="00593C54"/>
    <w:rsid w:val="00593CF2"/>
    <w:rsid w:val="00593D5A"/>
    <w:rsid w:val="00593E29"/>
    <w:rsid w:val="0059401D"/>
    <w:rsid w:val="0059412B"/>
    <w:rsid w:val="00594362"/>
    <w:rsid w:val="00594420"/>
    <w:rsid w:val="005944D5"/>
    <w:rsid w:val="00594658"/>
    <w:rsid w:val="00594756"/>
    <w:rsid w:val="00594758"/>
    <w:rsid w:val="0059477B"/>
    <w:rsid w:val="005947FB"/>
    <w:rsid w:val="00594992"/>
    <w:rsid w:val="005949D0"/>
    <w:rsid w:val="00594C42"/>
    <w:rsid w:val="00594C6D"/>
    <w:rsid w:val="00594DF4"/>
    <w:rsid w:val="00594FBF"/>
    <w:rsid w:val="005950EA"/>
    <w:rsid w:val="005951A5"/>
    <w:rsid w:val="005951CB"/>
    <w:rsid w:val="0059526E"/>
    <w:rsid w:val="005952FE"/>
    <w:rsid w:val="0059558D"/>
    <w:rsid w:val="005955B9"/>
    <w:rsid w:val="005956A1"/>
    <w:rsid w:val="005958F2"/>
    <w:rsid w:val="005959B3"/>
    <w:rsid w:val="00595BA3"/>
    <w:rsid w:val="00595CA0"/>
    <w:rsid w:val="00595DE6"/>
    <w:rsid w:val="00595FB3"/>
    <w:rsid w:val="005960BC"/>
    <w:rsid w:val="00596245"/>
    <w:rsid w:val="0059627A"/>
    <w:rsid w:val="00596287"/>
    <w:rsid w:val="005962B1"/>
    <w:rsid w:val="005963F1"/>
    <w:rsid w:val="005964AC"/>
    <w:rsid w:val="005965CC"/>
    <w:rsid w:val="00596602"/>
    <w:rsid w:val="0059667C"/>
    <w:rsid w:val="005966BE"/>
    <w:rsid w:val="005966E8"/>
    <w:rsid w:val="005967B6"/>
    <w:rsid w:val="005967CF"/>
    <w:rsid w:val="0059687C"/>
    <w:rsid w:val="00596A6E"/>
    <w:rsid w:val="00596AD5"/>
    <w:rsid w:val="00596AE7"/>
    <w:rsid w:val="00596BD1"/>
    <w:rsid w:val="00596CE7"/>
    <w:rsid w:val="00596D74"/>
    <w:rsid w:val="00596EBD"/>
    <w:rsid w:val="00596FE9"/>
    <w:rsid w:val="005972AF"/>
    <w:rsid w:val="0059734A"/>
    <w:rsid w:val="0059754E"/>
    <w:rsid w:val="005975DD"/>
    <w:rsid w:val="005976EB"/>
    <w:rsid w:val="005977A0"/>
    <w:rsid w:val="00597832"/>
    <w:rsid w:val="00597877"/>
    <w:rsid w:val="005978DE"/>
    <w:rsid w:val="00597A10"/>
    <w:rsid w:val="00597A37"/>
    <w:rsid w:val="00597AED"/>
    <w:rsid w:val="00597BB1"/>
    <w:rsid w:val="00597BD0"/>
    <w:rsid w:val="00597C30"/>
    <w:rsid w:val="00597C76"/>
    <w:rsid w:val="00597E18"/>
    <w:rsid w:val="00597E98"/>
    <w:rsid w:val="00597FFC"/>
    <w:rsid w:val="005A008D"/>
    <w:rsid w:val="005A012A"/>
    <w:rsid w:val="005A015D"/>
    <w:rsid w:val="005A02EC"/>
    <w:rsid w:val="005A03B9"/>
    <w:rsid w:val="005A04D9"/>
    <w:rsid w:val="005A04FD"/>
    <w:rsid w:val="005A0511"/>
    <w:rsid w:val="005A05BA"/>
    <w:rsid w:val="005A0642"/>
    <w:rsid w:val="005A06AF"/>
    <w:rsid w:val="005A074D"/>
    <w:rsid w:val="005A07D1"/>
    <w:rsid w:val="005A07DB"/>
    <w:rsid w:val="005A0858"/>
    <w:rsid w:val="005A0871"/>
    <w:rsid w:val="005A08C3"/>
    <w:rsid w:val="005A095A"/>
    <w:rsid w:val="005A09BA"/>
    <w:rsid w:val="005A0A8B"/>
    <w:rsid w:val="005A0ABA"/>
    <w:rsid w:val="005A0B87"/>
    <w:rsid w:val="005A1355"/>
    <w:rsid w:val="005A15A3"/>
    <w:rsid w:val="005A15C7"/>
    <w:rsid w:val="005A16DB"/>
    <w:rsid w:val="005A16DC"/>
    <w:rsid w:val="005A16EA"/>
    <w:rsid w:val="005A1A53"/>
    <w:rsid w:val="005A1BB9"/>
    <w:rsid w:val="005A1BC2"/>
    <w:rsid w:val="005A1C36"/>
    <w:rsid w:val="005A1CE9"/>
    <w:rsid w:val="005A1D34"/>
    <w:rsid w:val="005A1D45"/>
    <w:rsid w:val="005A1F0B"/>
    <w:rsid w:val="005A2036"/>
    <w:rsid w:val="005A206F"/>
    <w:rsid w:val="005A20B6"/>
    <w:rsid w:val="005A20E1"/>
    <w:rsid w:val="005A215D"/>
    <w:rsid w:val="005A2167"/>
    <w:rsid w:val="005A2227"/>
    <w:rsid w:val="005A2286"/>
    <w:rsid w:val="005A22E6"/>
    <w:rsid w:val="005A22F7"/>
    <w:rsid w:val="005A2342"/>
    <w:rsid w:val="005A2481"/>
    <w:rsid w:val="005A24CD"/>
    <w:rsid w:val="005A25CD"/>
    <w:rsid w:val="005A2655"/>
    <w:rsid w:val="005A269A"/>
    <w:rsid w:val="005A26CE"/>
    <w:rsid w:val="005A271C"/>
    <w:rsid w:val="005A2748"/>
    <w:rsid w:val="005A27C9"/>
    <w:rsid w:val="005A2950"/>
    <w:rsid w:val="005A2AA9"/>
    <w:rsid w:val="005A2C57"/>
    <w:rsid w:val="005A2D33"/>
    <w:rsid w:val="005A2ED4"/>
    <w:rsid w:val="005A3089"/>
    <w:rsid w:val="005A309B"/>
    <w:rsid w:val="005A30D2"/>
    <w:rsid w:val="005A311D"/>
    <w:rsid w:val="005A31DB"/>
    <w:rsid w:val="005A3274"/>
    <w:rsid w:val="005A33A6"/>
    <w:rsid w:val="005A347C"/>
    <w:rsid w:val="005A3514"/>
    <w:rsid w:val="005A3537"/>
    <w:rsid w:val="005A3545"/>
    <w:rsid w:val="005A35C3"/>
    <w:rsid w:val="005A37B1"/>
    <w:rsid w:val="005A37B2"/>
    <w:rsid w:val="005A3921"/>
    <w:rsid w:val="005A3957"/>
    <w:rsid w:val="005A3B1C"/>
    <w:rsid w:val="005A3B3D"/>
    <w:rsid w:val="005A3C1A"/>
    <w:rsid w:val="005A3C4B"/>
    <w:rsid w:val="005A3D24"/>
    <w:rsid w:val="005A3D34"/>
    <w:rsid w:val="005A3E69"/>
    <w:rsid w:val="005A3EF5"/>
    <w:rsid w:val="005A3F60"/>
    <w:rsid w:val="005A423B"/>
    <w:rsid w:val="005A4241"/>
    <w:rsid w:val="005A424A"/>
    <w:rsid w:val="005A42E5"/>
    <w:rsid w:val="005A43CA"/>
    <w:rsid w:val="005A449F"/>
    <w:rsid w:val="005A451D"/>
    <w:rsid w:val="005A45F1"/>
    <w:rsid w:val="005A4646"/>
    <w:rsid w:val="005A46D7"/>
    <w:rsid w:val="005A483A"/>
    <w:rsid w:val="005A48AA"/>
    <w:rsid w:val="005A4A18"/>
    <w:rsid w:val="005A4A29"/>
    <w:rsid w:val="005A4A59"/>
    <w:rsid w:val="005A4A61"/>
    <w:rsid w:val="005A4AA4"/>
    <w:rsid w:val="005A4B72"/>
    <w:rsid w:val="005A4C29"/>
    <w:rsid w:val="005A4D05"/>
    <w:rsid w:val="005A4E4B"/>
    <w:rsid w:val="005A4EE7"/>
    <w:rsid w:val="005A4F1B"/>
    <w:rsid w:val="005A4F48"/>
    <w:rsid w:val="005A4F9B"/>
    <w:rsid w:val="005A52DA"/>
    <w:rsid w:val="005A532F"/>
    <w:rsid w:val="005A5692"/>
    <w:rsid w:val="005A583E"/>
    <w:rsid w:val="005A58EF"/>
    <w:rsid w:val="005A5945"/>
    <w:rsid w:val="005A5A95"/>
    <w:rsid w:val="005A5AAD"/>
    <w:rsid w:val="005A5B39"/>
    <w:rsid w:val="005A5F5C"/>
    <w:rsid w:val="005A5FF1"/>
    <w:rsid w:val="005A606F"/>
    <w:rsid w:val="005A607C"/>
    <w:rsid w:val="005A60FE"/>
    <w:rsid w:val="005A626F"/>
    <w:rsid w:val="005A6313"/>
    <w:rsid w:val="005A649D"/>
    <w:rsid w:val="005A655E"/>
    <w:rsid w:val="005A657E"/>
    <w:rsid w:val="005A6594"/>
    <w:rsid w:val="005A68D6"/>
    <w:rsid w:val="005A68EC"/>
    <w:rsid w:val="005A6939"/>
    <w:rsid w:val="005A6A5A"/>
    <w:rsid w:val="005A6B24"/>
    <w:rsid w:val="005A6D41"/>
    <w:rsid w:val="005A6D66"/>
    <w:rsid w:val="005A6D8D"/>
    <w:rsid w:val="005A6D9C"/>
    <w:rsid w:val="005A6E05"/>
    <w:rsid w:val="005A6F1F"/>
    <w:rsid w:val="005A6F42"/>
    <w:rsid w:val="005A7082"/>
    <w:rsid w:val="005A7108"/>
    <w:rsid w:val="005A748F"/>
    <w:rsid w:val="005A74B3"/>
    <w:rsid w:val="005A7553"/>
    <w:rsid w:val="005A7623"/>
    <w:rsid w:val="005A764E"/>
    <w:rsid w:val="005A76B1"/>
    <w:rsid w:val="005A77C6"/>
    <w:rsid w:val="005A77ED"/>
    <w:rsid w:val="005A782D"/>
    <w:rsid w:val="005A783D"/>
    <w:rsid w:val="005A78BC"/>
    <w:rsid w:val="005A79DC"/>
    <w:rsid w:val="005A7C76"/>
    <w:rsid w:val="005A7E63"/>
    <w:rsid w:val="005A7E7F"/>
    <w:rsid w:val="005A7FB2"/>
    <w:rsid w:val="005A7FDE"/>
    <w:rsid w:val="005B00FE"/>
    <w:rsid w:val="005B014A"/>
    <w:rsid w:val="005B0272"/>
    <w:rsid w:val="005B02CD"/>
    <w:rsid w:val="005B0479"/>
    <w:rsid w:val="005B0547"/>
    <w:rsid w:val="005B054E"/>
    <w:rsid w:val="005B069A"/>
    <w:rsid w:val="005B0760"/>
    <w:rsid w:val="005B0AC5"/>
    <w:rsid w:val="005B0B76"/>
    <w:rsid w:val="005B0BCC"/>
    <w:rsid w:val="005B0D7A"/>
    <w:rsid w:val="005B0EA0"/>
    <w:rsid w:val="005B0F33"/>
    <w:rsid w:val="005B112B"/>
    <w:rsid w:val="005B11B7"/>
    <w:rsid w:val="005B1275"/>
    <w:rsid w:val="005B1424"/>
    <w:rsid w:val="005B156B"/>
    <w:rsid w:val="005B1598"/>
    <w:rsid w:val="005B15AC"/>
    <w:rsid w:val="005B161B"/>
    <w:rsid w:val="005B172A"/>
    <w:rsid w:val="005B17C8"/>
    <w:rsid w:val="005B18A8"/>
    <w:rsid w:val="005B18E7"/>
    <w:rsid w:val="005B1A50"/>
    <w:rsid w:val="005B1A67"/>
    <w:rsid w:val="005B1A9A"/>
    <w:rsid w:val="005B1B9B"/>
    <w:rsid w:val="005B1CAB"/>
    <w:rsid w:val="005B1CF9"/>
    <w:rsid w:val="005B1D8A"/>
    <w:rsid w:val="005B1F45"/>
    <w:rsid w:val="005B1F52"/>
    <w:rsid w:val="005B1FEC"/>
    <w:rsid w:val="005B2032"/>
    <w:rsid w:val="005B2110"/>
    <w:rsid w:val="005B2281"/>
    <w:rsid w:val="005B240B"/>
    <w:rsid w:val="005B261F"/>
    <w:rsid w:val="005B2671"/>
    <w:rsid w:val="005B27BA"/>
    <w:rsid w:val="005B29E1"/>
    <w:rsid w:val="005B2A31"/>
    <w:rsid w:val="005B2B32"/>
    <w:rsid w:val="005B2BA9"/>
    <w:rsid w:val="005B2C62"/>
    <w:rsid w:val="005B2D37"/>
    <w:rsid w:val="005B2E66"/>
    <w:rsid w:val="005B2E85"/>
    <w:rsid w:val="005B2EAE"/>
    <w:rsid w:val="005B2F0E"/>
    <w:rsid w:val="005B3028"/>
    <w:rsid w:val="005B3208"/>
    <w:rsid w:val="005B3484"/>
    <w:rsid w:val="005B36A8"/>
    <w:rsid w:val="005B3792"/>
    <w:rsid w:val="005B380E"/>
    <w:rsid w:val="005B3871"/>
    <w:rsid w:val="005B38F9"/>
    <w:rsid w:val="005B3C86"/>
    <w:rsid w:val="005B3DB6"/>
    <w:rsid w:val="005B3E0F"/>
    <w:rsid w:val="005B3E10"/>
    <w:rsid w:val="005B3E45"/>
    <w:rsid w:val="005B3E61"/>
    <w:rsid w:val="005B3E6A"/>
    <w:rsid w:val="005B3EBB"/>
    <w:rsid w:val="005B4015"/>
    <w:rsid w:val="005B4019"/>
    <w:rsid w:val="005B410E"/>
    <w:rsid w:val="005B4239"/>
    <w:rsid w:val="005B448B"/>
    <w:rsid w:val="005B44B7"/>
    <w:rsid w:val="005B44CE"/>
    <w:rsid w:val="005B458A"/>
    <w:rsid w:val="005B4622"/>
    <w:rsid w:val="005B4676"/>
    <w:rsid w:val="005B4983"/>
    <w:rsid w:val="005B49C4"/>
    <w:rsid w:val="005B49FC"/>
    <w:rsid w:val="005B4A15"/>
    <w:rsid w:val="005B4AAE"/>
    <w:rsid w:val="005B4B95"/>
    <w:rsid w:val="005B4CF7"/>
    <w:rsid w:val="005B4D2B"/>
    <w:rsid w:val="005B4D6B"/>
    <w:rsid w:val="005B4DA9"/>
    <w:rsid w:val="005B4E01"/>
    <w:rsid w:val="005B4E8C"/>
    <w:rsid w:val="005B4E92"/>
    <w:rsid w:val="005B4E96"/>
    <w:rsid w:val="005B50B7"/>
    <w:rsid w:val="005B50CD"/>
    <w:rsid w:val="005B513F"/>
    <w:rsid w:val="005B5165"/>
    <w:rsid w:val="005B5294"/>
    <w:rsid w:val="005B5299"/>
    <w:rsid w:val="005B5437"/>
    <w:rsid w:val="005B5717"/>
    <w:rsid w:val="005B5718"/>
    <w:rsid w:val="005B5860"/>
    <w:rsid w:val="005B5893"/>
    <w:rsid w:val="005B58E0"/>
    <w:rsid w:val="005B58E2"/>
    <w:rsid w:val="005B5980"/>
    <w:rsid w:val="005B59AB"/>
    <w:rsid w:val="005B59C1"/>
    <w:rsid w:val="005B59C3"/>
    <w:rsid w:val="005B5AB2"/>
    <w:rsid w:val="005B5C9C"/>
    <w:rsid w:val="005B5D37"/>
    <w:rsid w:val="005B5E7F"/>
    <w:rsid w:val="005B5F33"/>
    <w:rsid w:val="005B5F9B"/>
    <w:rsid w:val="005B6010"/>
    <w:rsid w:val="005B605B"/>
    <w:rsid w:val="005B608E"/>
    <w:rsid w:val="005B60FE"/>
    <w:rsid w:val="005B619C"/>
    <w:rsid w:val="005B61B4"/>
    <w:rsid w:val="005B61B7"/>
    <w:rsid w:val="005B6271"/>
    <w:rsid w:val="005B6394"/>
    <w:rsid w:val="005B63E9"/>
    <w:rsid w:val="005B6416"/>
    <w:rsid w:val="005B6450"/>
    <w:rsid w:val="005B6481"/>
    <w:rsid w:val="005B663A"/>
    <w:rsid w:val="005B66DE"/>
    <w:rsid w:val="005B687F"/>
    <w:rsid w:val="005B6A88"/>
    <w:rsid w:val="005B6A91"/>
    <w:rsid w:val="005B6AED"/>
    <w:rsid w:val="005B6B16"/>
    <w:rsid w:val="005B6B6E"/>
    <w:rsid w:val="005B6D4D"/>
    <w:rsid w:val="005B6D7E"/>
    <w:rsid w:val="005B6FC7"/>
    <w:rsid w:val="005B7054"/>
    <w:rsid w:val="005B71DF"/>
    <w:rsid w:val="005B71E3"/>
    <w:rsid w:val="005B7216"/>
    <w:rsid w:val="005B7245"/>
    <w:rsid w:val="005B732B"/>
    <w:rsid w:val="005B74C6"/>
    <w:rsid w:val="005B75DE"/>
    <w:rsid w:val="005B7691"/>
    <w:rsid w:val="005B76B6"/>
    <w:rsid w:val="005B771E"/>
    <w:rsid w:val="005B7720"/>
    <w:rsid w:val="005B77F4"/>
    <w:rsid w:val="005B78B8"/>
    <w:rsid w:val="005B78EB"/>
    <w:rsid w:val="005B7E81"/>
    <w:rsid w:val="005B7FE1"/>
    <w:rsid w:val="005C0045"/>
    <w:rsid w:val="005C00CA"/>
    <w:rsid w:val="005C00D2"/>
    <w:rsid w:val="005C00FC"/>
    <w:rsid w:val="005C0126"/>
    <w:rsid w:val="005C0201"/>
    <w:rsid w:val="005C04A1"/>
    <w:rsid w:val="005C051A"/>
    <w:rsid w:val="005C055B"/>
    <w:rsid w:val="005C065D"/>
    <w:rsid w:val="005C0770"/>
    <w:rsid w:val="005C08A4"/>
    <w:rsid w:val="005C0923"/>
    <w:rsid w:val="005C0930"/>
    <w:rsid w:val="005C09C8"/>
    <w:rsid w:val="005C0A15"/>
    <w:rsid w:val="005C0A95"/>
    <w:rsid w:val="005C0AA8"/>
    <w:rsid w:val="005C0C05"/>
    <w:rsid w:val="005C0D00"/>
    <w:rsid w:val="005C0D30"/>
    <w:rsid w:val="005C0D41"/>
    <w:rsid w:val="005C0DAC"/>
    <w:rsid w:val="005C0E46"/>
    <w:rsid w:val="005C0E93"/>
    <w:rsid w:val="005C0FAE"/>
    <w:rsid w:val="005C11A9"/>
    <w:rsid w:val="005C11EA"/>
    <w:rsid w:val="005C12B0"/>
    <w:rsid w:val="005C1399"/>
    <w:rsid w:val="005C158E"/>
    <w:rsid w:val="005C16B7"/>
    <w:rsid w:val="005C16CB"/>
    <w:rsid w:val="005C1774"/>
    <w:rsid w:val="005C1804"/>
    <w:rsid w:val="005C18F4"/>
    <w:rsid w:val="005C194F"/>
    <w:rsid w:val="005C1A4B"/>
    <w:rsid w:val="005C1A4F"/>
    <w:rsid w:val="005C1AD7"/>
    <w:rsid w:val="005C1AE0"/>
    <w:rsid w:val="005C1C0A"/>
    <w:rsid w:val="005C1C71"/>
    <w:rsid w:val="005C1D2F"/>
    <w:rsid w:val="005C1D30"/>
    <w:rsid w:val="005C1D64"/>
    <w:rsid w:val="005C1DE3"/>
    <w:rsid w:val="005C1DEF"/>
    <w:rsid w:val="005C1F08"/>
    <w:rsid w:val="005C2028"/>
    <w:rsid w:val="005C21E9"/>
    <w:rsid w:val="005C2259"/>
    <w:rsid w:val="005C225F"/>
    <w:rsid w:val="005C22C8"/>
    <w:rsid w:val="005C24B4"/>
    <w:rsid w:val="005C2558"/>
    <w:rsid w:val="005C26EC"/>
    <w:rsid w:val="005C273A"/>
    <w:rsid w:val="005C2777"/>
    <w:rsid w:val="005C27CF"/>
    <w:rsid w:val="005C27FB"/>
    <w:rsid w:val="005C286E"/>
    <w:rsid w:val="005C28F9"/>
    <w:rsid w:val="005C2916"/>
    <w:rsid w:val="005C2B5C"/>
    <w:rsid w:val="005C2B6A"/>
    <w:rsid w:val="005C2B84"/>
    <w:rsid w:val="005C2BD3"/>
    <w:rsid w:val="005C2DD5"/>
    <w:rsid w:val="005C2F94"/>
    <w:rsid w:val="005C30C1"/>
    <w:rsid w:val="005C3101"/>
    <w:rsid w:val="005C318C"/>
    <w:rsid w:val="005C34E1"/>
    <w:rsid w:val="005C3644"/>
    <w:rsid w:val="005C3720"/>
    <w:rsid w:val="005C38A5"/>
    <w:rsid w:val="005C3950"/>
    <w:rsid w:val="005C3B38"/>
    <w:rsid w:val="005C3D42"/>
    <w:rsid w:val="005C3DBD"/>
    <w:rsid w:val="005C3E2A"/>
    <w:rsid w:val="005C3E41"/>
    <w:rsid w:val="005C3E98"/>
    <w:rsid w:val="005C3EB3"/>
    <w:rsid w:val="005C3EE3"/>
    <w:rsid w:val="005C40D8"/>
    <w:rsid w:val="005C40E2"/>
    <w:rsid w:val="005C40ED"/>
    <w:rsid w:val="005C4104"/>
    <w:rsid w:val="005C418B"/>
    <w:rsid w:val="005C41F3"/>
    <w:rsid w:val="005C4270"/>
    <w:rsid w:val="005C42F8"/>
    <w:rsid w:val="005C434E"/>
    <w:rsid w:val="005C43E9"/>
    <w:rsid w:val="005C4461"/>
    <w:rsid w:val="005C4580"/>
    <w:rsid w:val="005C45BC"/>
    <w:rsid w:val="005C45CE"/>
    <w:rsid w:val="005C46EA"/>
    <w:rsid w:val="005C4788"/>
    <w:rsid w:val="005C4B87"/>
    <w:rsid w:val="005C4BB2"/>
    <w:rsid w:val="005C4BC0"/>
    <w:rsid w:val="005C4BCA"/>
    <w:rsid w:val="005C4CA5"/>
    <w:rsid w:val="005C4CFC"/>
    <w:rsid w:val="005C4D89"/>
    <w:rsid w:val="005C4E30"/>
    <w:rsid w:val="005C4E76"/>
    <w:rsid w:val="005C4FD1"/>
    <w:rsid w:val="005C50E4"/>
    <w:rsid w:val="005C5170"/>
    <w:rsid w:val="005C539A"/>
    <w:rsid w:val="005C53BD"/>
    <w:rsid w:val="005C541D"/>
    <w:rsid w:val="005C5444"/>
    <w:rsid w:val="005C55B5"/>
    <w:rsid w:val="005C5633"/>
    <w:rsid w:val="005C564A"/>
    <w:rsid w:val="005C5667"/>
    <w:rsid w:val="005C58AA"/>
    <w:rsid w:val="005C59BB"/>
    <w:rsid w:val="005C5A29"/>
    <w:rsid w:val="005C5AC5"/>
    <w:rsid w:val="005C5C44"/>
    <w:rsid w:val="005C5C93"/>
    <w:rsid w:val="005C5E91"/>
    <w:rsid w:val="005C5F37"/>
    <w:rsid w:val="005C5FCB"/>
    <w:rsid w:val="005C6102"/>
    <w:rsid w:val="005C645F"/>
    <w:rsid w:val="005C65BE"/>
    <w:rsid w:val="005C6623"/>
    <w:rsid w:val="005C662E"/>
    <w:rsid w:val="005C6748"/>
    <w:rsid w:val="005C6981"/>
    <w:rsid w:val="005C6A9F"/>
    <w:rsid w:val="005C6ABB"/>
    <w:rsid w:val="005C6AE9"/>
    <w:rsid w:val="005C6C00"/>
    <w:rsid w:val="005C6D98"/>
    <w:rsid w:val="005C6DD5"/>
    <w:rsid w:val="005C6F3F"/>
    <w:rsid w:val="005C6F9D"/>
    <w:rsid w:val="005C7011"/>
    <w:rsid w:val="005C71FD"/>
    <w:rsid w:val="005C735C"/>
    <w:rsid w:val="005C7495"/>
    <w:rsid w:val="005C765D"/>
    <w:rsid w:val="005C76C1"/>
    <w:rsid w:val="005C7718"/>
    <w:rsid w:val="005C78FB"/>
    <w:rsid w:val="005C7920"/>
    <w:rsid w:val="005C79D5"/>
    <w:rsid w:val="005C7A0A"/>
    <w:rsid w:val="005C7A97"/>
    <w:rsid w:val="005C7ACC"/>
    <w:rsid w:val="005C7C89"/>
    <w:rsid w:val="005C7D34"/>
    <w:rsid w:val="005C7E46"/>
    <w:rsid w:val="005C7F05"/>
    <w:rsid w:val="005C7F40"/>
    <w:rsid w:val="005D00B8"/>
    <w:rsid w:val="005D0208"/>
    <w:rsid w:val="005D0209"/>
    <w:rsid w:val="005D02EB"/>
    <w:rsid w:val="005D035C"/>
    <w:rsid w:val="005D03DA"/>
    <w:rsid w:val="005D0433"/>
    <w:rsid w:val="005D04F0"/>
    <w:rsid w:val="005D05B5"/>
    <w:rsid w:val="005D0704"/>
    <w:rsid w:val="005D0733"/>
    <w:rsid w:val="005D07FD"/>
    <w:rsid w:val="005D0858"/>
    <w:rsid w:val="005D08E0"/>
    <w:rsid w:val="005D0904"/>
    <w:rsid w:val="005D094C"/>
    <w:rsid w:val="005D0A15"/>
    <w:rsid w:val="005D0A79"/>
    <w:rsid w:val="005D0AAD"/>
    <w:rsid w:val="005D0B94"/>
    <w:rsid w:val="005D0BAD"/>
    <w:rsid w:val="005D0BD8"/>
    <w:rsid w:val="005D0C0F"/>
    <w:rsid w:val="005D0C26"/>
    <w:rsid w:val="005D0C92"/>
    <w:rsid w:val="005D0CEB"/>
    <w:rsid w:val="005D0DD9"/>
    <w:rsid w:val="005D0E14"/>
    <w:rsid w:val="005D0ED7"/>
    <w:rsid w:val="005D0EFC"/>
    <w:rsid w:val="005D0F11"/>
    <w:rsid w:val="005D0FE9"/>
    <w:rsid w:val="005D101E"/>
    <w:rsid w:val="005D102A"/>
    <w:rsid w:val="005D1047"/>
    <w:rsid w:val="005D1086"/>
    <w:rsid w:val="005D1320"/>
    <w:rsid w:val="005D13AD"/>
    <w:rsid w:val="005D144F"/>
    <w:rsid w:val="005D15C7"/>
    <w:rsid w:val="005D15DE"/>
    <w:rsid w:val="005D1708"/>
    <w:rsid w:val="005D18FA"/>
    <w:rsid w:val="005D1967"/>
    <w:rsid w:val="005D1BDB"/>
    <w:rsid w:val="005D1CE0"/>
    <w:rsid w:val="005D1E88"/>
    <w:rsid w:val="005D1EDC"/>
    <w:rsid w:val="005D207B"/>
    <w:rsid w:val="005D22C1"/>
    <w:rsid w:val="005D2340"/>
    <w:rsid w:val="005D2390"/>
    <w:rsid w:val="005D23E5"/>
    <w:rsid w:val="005D25BC"/>
    <w:rsid w:val="005D2613"/>
    <w:rsid w:val="005D26FE"/>
    <w:rsid w:val="005D26FF"/>
    <w:rsid w:val="005D2722"/>
    <w:rsid w:val="005D2748"/>
    <w:rsid w:val="005D29B5"/>
    <w:rsid w:val="005D2A19"/>
    <w:rsid w:val="005D2B12"/>
    <w:rsid w:val="005D2C2B"/>
    <w:rsid w:val="005D2C33"/>
    <w:rsid w:val="005D2D55"/>
    <w:rsid w:val="005D2D81"/>
    <w:rsid w:val="005D2E6A"/>
    <w:rsid w:val="005D3064"/>
    <w:rsid w:val="005D30B1"/>
    <w:rsid w:val="005D3106"/>
    <w:rsid w:val="005D3120"/>
    <w:rsid w:val="005D3174"/>
    <w:rsid w:val="005D32AD"/>
    <w:rsid w:val="005D3361"/>
    <w:rsid w:val="005D3504"/>
    <w:rsid w:val="005D3551"/>
    <w:rsid w:val="005D359F"/>
    <w:rsid w:val="005D365C"/>
    <w:rsid w:val="005D36A6"/>
    <w:rsid w:val="005D3835"/>
    <w:rsid w:val="005D3867"/>
    <w:rsid w:val="005D38A0"/>
    <w:rsid w:val="005D38C2"/>
    <w:rsid w:val="005D3973"/>
    <w:rsid w:val="005D39B6"/>
    <w:rsid w:val="005D3A14"/>
    <w:rsid w:val="005D3AC9"/>
    <w:rsid w:val="005D3B81"/>
    <w:rsid w:val="005D3BC5"/>
    <w:rsid w:val="005D3E7E"/>
    <w:rsid w:val="005D3EBB"/>
    <w:rsid w:val="005D3F5F"/>
    <w:rsid w:val="005D420F"/>
    <w:rsid w:val="005D4295"/>
    <w:rsid w:val="005D436C"/>
    <w:rsid w:val="005D43F9"/>
    <w:rsid w:val="005D4407"/>
    <w:rsid w:val="005D4418"/>
    <w:rsid w:val="005D457C"/>
    <w:rsid w:val="005D4619"/>
    <w:rsid w:val="005D47FE"/>
    <w:rsid w:val="005D491C"/>
    <w:rsid w:val="005D49F4"/>
    <w:rsid w:val="005D4A9E"/>
    <w:rsid w:val="005D4B73"/>
    <w:rsid w:val="005D4C0A"/>
    <w:rsid w:val="005D4C6D"/>
    <w:rsid w:val="005D4C89"/>
    <w:rsid w:val="005D4D5A"/>
    <w:rsid w:val="005D4D6F"/>
    <w:rsid w:val="005D4DA3"/>
    <w:rsid w:val="005D4DC0"/>
    <w:rsid w:val="005D505C"/>
    <w:rsid w:val="005D50EF"/>
    <w:rsid w:val="005D5124"/>
    <w:rsid w:val="005D5224"/>
    <w:rsid w:val="005D523E"/>
    <w:rsid w:val="005D52E5"/>
    <w:rsid w:val="005D55CC"/>
    <w:rsid w:val="005D57F6"/>
    <w:rsid w:val="005D5913"/>
    <w:rsid w:val="005D5C8D"/>
    <w:rsid w:val="005D5CFA"/>
    <w:rsid w:val="005D5D12"/>
    <w:rsid w:val="005D5DA7"/>
    <w:rsid w:val="005D5F54"/>
    <w:rsid w:val="005D602A"/>
    <w:rsid w:val="005D60E7"/>
    <w:rsid w:val="005D6245"/>
    <w:rsid w:val="005D6295"/>
    <w:rsid w:val="005D63C2"/>
    <w:rsid w:val="005D65CB"/>
    <w:rsid w:val="005D663A"/>
    <w:rsid w:val="005D698E"/>
    <w:rsid w:val="005D6AD7"/>
    <w:rsid w:val="005D6BE0"/>
    <w:rsid w:val="005D6C49"/>
    <w:rsid w:val="005D6DB1"/>
    <w:rsid w:val="005D6E27"/>
    <w:rsid w:val="005D6E60"/>
    <w:rsid w:val="005D6F2A"/>
    <w:rsid w:val="005D6F4C"/>
    <w:rsid w:val="005D6FAE"/>
    <w:rsid w:val="005D7118"/>
    <w:rsid w:val="005D72F4"/>
    <w:rsid w:val="005D7451"/>
    <w:rsid w:val="005D74F2"/>
    <w:rsid w:val="005D7556"/>
    <w:rsid w:val="005D75A0"/>
    <w:rsid w:val="005D7696"/>
    <w:rsid w:val="005D77E9"/>
    <w:rsid w:val="005D78DD"/>
    <w:rsid w:val="005D79B1"/>
    <w:rsid w:val="005D7C45"/>
    <w:rsid w:val="005D7FB3"/>
    <w:rsid w:val="005E0043"/>
    <w:rsid w:val="005E0088"/>
    <w:rsid w:val="005E0095"/>
    <w:rsid w:val="005E0157"/>
    <w:rsid w:val="005E0216"/>
    <w:rsid w:val="005E025E"/>
    <w:rsid w:val="005E0293"/>
    <w:rsid w:val="005E0341"/>
    <w:rsid w:val="005E039B"/>
    <w:rsid w:val="005E040F"/>
    <w:rsid w:val="005E042A"/>
    <w:rsid w:val="005E06A9"/>
    <w:rsid w:val="005E06FC"/>
    <w:rsid w:val="005E0746"/>
    <w:rsid w:val="005E0828"/>
    <w:rsid w:val="005E0B12"/>
    <w:rsid w:val="005E0B64"/>
    <w:rsid w:val="005E0BC7"/>
    <w:rsid w:val="005E0D1C"/>
    <w:rsid w:val="005E0DF9"/>
    <w:rsid w:val="005E0E5E"/>
    <w:rsid w:val="005E0E7A"/>
    <w:rsid w:val="005E0F96"/>
    <w:rsid w:val="005E1069"/>
    <w:rsid w:val="005E10D0"/>
    <w:rsid w:val="005E11E6"/>
    <w:rsid w:val="005E124D"/>
    <w:rsid w:val="005E124E"/>
    <w:rsid w:val="005E1279"/>
    <w:rsid w:val="005E12F7"/>
    <w:rsid w:val="005E13A5"/>
    <w:rsid w:val="005E13AD"/>
    <w:rsid w:val="005E1428"/>
    <w:rsid w:val="005E14D4"/>
    <w:rsid w:val="005E1635"/>
    <w:rsid w:val="005E17F6"/>
    <w:rsid w:val="005E17FD"/>
    <w:rsid w:val="005E185C"/>
    <w:rsid w:val="005E185D"/>
    <w:rsid w:val="005E1BC6"/>
    <w:rsid w:val="005E1C9D"/>
    <w:rsid w:val="005E1E14"/>
    <w:rsid w:val="005E1F7E"/>
    <w:rsid w:val="005E1F96"/>
    <w:rsid w:val="005E2070"/>
    <w:rsid w:val="005E2370"/>
    <w:rsid w:val="005E24F1"/>
    <w:rsid w:val="005E268F"/>
    <w:rsid w:val="005E27FC"/>
    <w:rsid w:val="005E29AF"/>
    <w:rsid w:val="005E2B1D"/>
    <w:rsid w:val="005E2BC6"/>
    <w:rsid w:val="005E2E02"/>
    <w:rsid w:val="005E2E96"/>
    <w:rsid w:val="005E2EF6"/>
    <w:rsid w:val="005E2F3F"/>
    <w:rsid w:val="005E2F41"/>
    <w:rsid w:val="005E302C"/>
    <w:rsid w:val="005E305A"/>
    <w:rsid w:val="005E307E"/>
    <w:rsid w:val="005E31BB"/>
    <w:rsid w:val="005E3261"/>
    <w:rsid w:val="005E3270"/>
    <w:rsid w:val="005E328D"/>
    <w:rsid w:val="005E32B9"/>
    <w:rsid w:val="005E3340"/>
    <w:rsid w:val="005E3398"/>
    <w:rsid w:val="005E33AD"/>
    <w:rsid w:val="005E3425"/>
    <w:rsid w:val="005E34FB"/>
    <w:rsid w:val="005E35DD"/>
    <w:rsid w:val="005E35E7"/>
    <w:rsid w:val="005E370E"/>
    <w:rsid w:val="005E3749"/>
    <w:rsid w:val="005E395E"/>
    <w:rsid w:val="005E3A11"/>
    <w:rsid w:val="005E3A65"/>
    <w:rsid w:val="005E3C32"/>
    <w:rsid w:val="005E3C65"/>
    <w:rsid w:val="005E3DF5"/>
    <w:rsid w:val="005E3E17"/>
    <w:rsid w:val="005E3E44"/>
    <w:rsid w:val="005E3F02"/>
    <w:rsid w:val="005E3F62"/>
    <w:rsid w:val="005E4057"/>
    <w:rsid w:val="005E408B"/>
    <w:rsid w:val="005E40C7"/>
    <w:rsid w:val="005E40FA"/>
    <w:rsid w:val="005E413D"/>
    <w:rsid w:val="005E41D2"/>
    <w:rsid w:val="005E4209"/>
    <w:rsid w:val="005E4286"/>
    <w:rsid w:val="005E4470"/>
    <w:rsid w:val="005E46F8"/>
    <w:rsid w:val="005E4711"/>
    <w:rsid w:val="005E476F"/>
    <w:rsid w:val="005E4808"/>
    <w:rsid w:val="005E4919"/>
    <w:rsid w:val="005E492A"/>
    <w:rsid w:val="005E4B73"/>
    <w:rsid w:val="005E4BD5"/>
    <w:rsid w:val="005E4C00"/>
    <w:rsid w:val="005E4D29"/>
    <w:rsid w:val="005E4D57"/>
    <w:rsid w:val="005E4E7F"/>
    <w:rsid w:val="005E520A"/>
    <w:rsid w:val="005E5299"/>
    <w:rsid w:val="005E52A9"/>
    <w:rsid w:val="005E545E"/>
    <w:rsid w:val="005E5552"/>
    <w:rsid w:val="005E5578"/>
    <w:rsid w:val="005E56EF"/>
    <w:rsid w:val="005E57A6"/>
    <w:rsid w:val="005E57D6"/>
    <w:rsid w:val="005E57F9"/>
    <w:rsid w:val="005E5822"/>
    <w:rsid w:val="005E599B"/>
    <w:rsid w:val="005E5A02"/>
    <w:rsid w:val="005E5B60"/>
    <w:rsid w:val="005E5BC1"/>
    <w:rsid w:val="005E5C20"/>
    <w:rsid w:val="005E5D28"/>
    <w:rsid w:val="005E5D6F"/>
    <w:rsid w:val="005E5E14"/>
    <w:rsid w:val="005E5E5C"/>
    <w:rsid w:val="005E6051"/>
    <w:rsid w:val="005E608C"/>
    <w:rsid w:val="005E60A5"/>
    <w:rsid w:val="005E61B2"/>
    <w:rsid w:val="005E62AE"/>
    <w:rsid w:val="005E62C7"/>
    <w:rsid w:val="005E62CB"/>
    <w:rsid w:val="005E6303"/>
    <w:rsid w:val="005E6337"/>
    <w:rsid w:val="005E6421"/>
    <w:rsid w:val="005E6484"/>
    <w:rsid w:val="005E648A"/>
    <w:rsid w:val="005E64CB"/>
    <w:rsid w:val="005E64E3"/>
    <w:rsid w:val="005E6593"/>
    <w:rsid w:val="005E66A3"/>
    <w:rsid w:val="005E6709"/>
    <w:rsid w:val="005E67C7"/>
    <w:rsid w:val="005E6939"/>
    <w:rsid w:val="005E696A"/>
    <w:rsid w:val="005E69A2"/>
    <w:rsid w:val="005E6A20"/>
    <w:rsid w:val="005E6C52"/>
    <w:rsid w:val="005E6C5E"/>
    <w:rsid w:val="005E6E88"/>
    <w:rsid w:val="005E6EAE"/>
    <w:rsid w:val="005E6F3D"/>
    <w:rsid w:val="005E6FF9"/>
    <w:rsid w:val="005E72FB"/>
    <w:rsid w:val="005E74B8"/>
    <w:rsid w:val="005E74DF"/>
    <w:rsid w:val="005E750D"/>
    <w:rsid w:val="005E7744"/>
    <w:rsid w:val="005E77C4"/>
    <w:rsid w:val="005E79EB"/>
    <w:rsid w:val="005E7B0F"/>
    <w:rsid w:val="005E7BD5"/>
    <w:rsid w:val="005E7CBE"/>
    <w:rsid w:val="005E7E14"/>
    <w:rsid w:val="005E7E19"/>
    <w:rsid w:val="005E7FF5"/>
    <w:rsid w:val="005F01E9"/>
    <w:rsid w:val="005F023C"/>
    <w:rsid w:val="005F0249"/>
    <w:rsid w:val="005F0348"/>
    <w:rsid w:val="005F050B"/>
    <w:rsid w:val="005F0524"/>
    <w:rsid w:val="005F05AB"/>
    <w:rsid w:val="005F05BB"/>
    <w:rsid w:val="005F066B"/>
    <w:rsid w:val="005F06C5"/>
    <w:rsid w:val="005F0753"/>
    <w:rsid w:val="005F07C3"/>
    <w:rsid w:val="005F0A62"/>
    <w:rsid w:val="005F0D63"/>
    <w:rsid w:val="005F0F0D"/>
    <w:rsid w:val="005F125B"/>
    <w:rsid w:val="005F127B"/>
    <w:rsid w:val="005F1373"/>
    <w:rsid w:val="005F1413"/>
    <w:rsid w:val="005F162E"/>
    <w:rsid w:val="005F1804"/>
    <w:rsid w:val="005F1833"/>
    <w:rsid w:val="005F1860"/>
    <w:rsid w:val="005F18FB"/>
    <w:rsid w:val="005F1AB7"/>
    <w:rsid w:val="005F1BFC"/>
    <w:rsid w:val="005F1C30"/>
    <w:rsid w:val="005F1C67"/>
    <w:rsid w:val="005F1C8E"/>
    <w:rsid w:val="005F1D32"/>
    <w:rsid w:val="005F1D51"/>
    <w:rsid w:val="005F1E8A"/>
    <w:rsid w:val="005F1EC7"/>
    <w:rsid w:val="005F202A"/>
    <w:rsid w:val="005F211B"/>
    <w:rsid w:val="005F218F"/>
    <w:rsid w:val="005F2265"/>
    <w:rsid w:val="005F228D"/>
    <w:rsid w:val="005F2445"/>
    <w:rsid w:val="005F24F1"/>
    <w:rsid w:val="005F2527"/>
    <w:rsid w:val="005F2591"/>
    <w:rsid w:val="005F261C"/>
    <w:rsid w:val="005F276B"/>
    <w:rsid w:val="005F27B2"/>
    <w:rsid w:val="005F27DF"/>
    <w:rsid w:val="005F2819"/>
    <w:rsid w:val="005F2903"/>
    <w:rsid w:val="005F29CD"/>
    <w:rsid w:val="005F2A13"/>
    <w:rsid w:val="005F2B5A"/>
    <w:rsid w:val="005F2C83"/>
    <w:rsid w:val="005F2DFF"/>
    <w:rsid w:val="005F2E0A"/>
    <w:rsid w:val="005F30C5"/>
    <w:rsid w:val="005F323F"/>
    <w:rsid w:val="005F3359"/>
    <w:rsid w:val="005F33BA"/>
    <w:rsid w:val="005F3735"/>
    <w:rsid w:val="005F37BB"/>
    <w:rsid w:val="005F380A"/>
    <w:rsid w:val="005F3817"/>
    <w:rsid w:val="005F3855"/>
    <w:rsid w:val="005F38E1"/>
    <w:rsid w:val="005F3906"/>
    <w:rsid w:val="005F391D"/>
    <w:rsid w:val="005F3984"/>
    <w:rsid w:val="005F3D82"/>
    <w:rsid w:val="005F3E90"/>
    <w:rsid w:val="005F3EE2"/>
    <w:rsid w:val="005F3EE4"/>
    <w:rsid w:val="005F3FBC"/>
    <w:rsid w:val="005F40DA"/>
    <w:rsid w:val="005F4133"/>
    <w:rsid w:val="005F4192"/>
    <w:rsid w:val="005F41A5"/>
    <w:rsid w:val="005F4284"/>
    <w:rsid w:val="005F44A1"/>
    <w:rsid w:val="005F4500"/>
    <w:rsid w:val="005F4510"/>
    <w:rsid w:val="005F458C"/>
    <w:rsid w:val="005F461C"/>
    <w:rsid w:val="005F464A"/>
    <w:rsid w:val="005F474A"/>
    <w:rsid w:val="005F475E"/>
    <w:rsid w:val="005F4789"/>
    <w:rsid w:val="005F4933"/>
    <w:rsid w:val="005F4A28"/>
    <w:rsid w:val="005F4C63"/>
    <w:rsid w:val="005F4CCF"/>
    <w:rsid w:val="005F4DC8"/>
    <w:rsid w:val="005F4E7C"/>
    <w:rsid w:val="005F4EDD"/>
    <w:rsid w:val="005F4EEC"/>
    <w:rsid w:val="005F4F48"/>
    <w:rsid w:val="005F5032"/>
    <w:rsid w:val="005F51D6"/>
    <w:rsid w:val="005F51F0"/>
    <w:rsid w:val="005F521C"/>
    <w:rsid w:val="005F5434"/>
    <w:rsid w:val="005F55B0"/>
    <w:rsid w:val="005F56D0"/>
    <w:rsid w:val="005F56DD"/>
    <w:rsid w:val="005F5799"/>
    <w:rsid w:val="005F57A0"/>
    <w:rsid w:val="005F58E2"/>
    <w:rsid w:val="005F58FA"/>
    <w:rsid w:val="005F5906"/>
    <w:rsid w:val="005F593E"/>
    <w:rsid w:val="005F5A80"/>
    <w:rsid w:val="005F5AAA"/>
    <w:rsid w:val="005F5C11"/>
    <w:rsid w:val="005F5CE9"/>
    <w:rsid w:val="005F5F82"/>
    <w:rsid w:val="005F5F96"/>
    <w:rsid w:val="005F6106"/>
    <w:rsid w:val="005F6160"/>
    <w:rsid w:val="005F61C8"/>
    <w:rsid w:val="005F63B1"/>
    <w:rsid w:val="005F63B3"/>
    <w:rsid w:val="005F6408"/>
    <w:rsid w:val="005F652F"/>
    <w:rsid w:val="005F656B"/>
    <w:rsid w:val="005F65B0"/>
    <w:rsid w:val="005F66F9"/>
    <w:rsid w:val="005F6749"/>
    <w:rsid w:val="005F679B"/>
    <w:rsid w:val="005F6AD2"/>
    <w:rsid w:val="005F6BB4"/>
    <w:rsid w:val="005F6C17"/>
    <w:rsid w:val="005F6DA6"/>
    <w:rsid w:val="005F6EA4"/>
    <w:rsid w:val="005F6F43"/>
    <w:rsid w:val="005F6F63"/>
    <w:rsid w:val="005F700B"/>
    <w:rsid w:val="005F703C"/>
    <w:rsid w:val="005F70E0"/>
    <w:rsid w:val="005F71C0"/>
    <w:rsid w:val="005F7285"/>
    <w:rsid w:val="005F73DD"/>
    <w:rsid w:val="005F745C"/>
    <w:rsid w:val="005F7545"/>
    <w:rsid w:val="005F7650"/>
    <w:rsid w:val="005F7842"/>
    <w:rsid w:val="005F78ED"/>
    <w:rsid w:val="005F7C9B"/>
    <w:rsid w:val="005F7D61"/>
    <w:rsid w:val="005F7D72"/>
    <w:rsid w:val="0060010A"/>
    <w:rsid w:val="0060011A"/>
    <w:rsid w:val="0060014D"/>
    <w:rsid w:val="0060019D"/>
    <w:rsid w:val="006001D3"/>
    <w:rsid w:val="006002BA"/>
    <w:rsid w:val="00600342"/>
    <w:rsid w:val="00600581"/>
    <w:rsid w:val="006006AD"/>
    <w:rsid w:val="0060089E"/>
    <w:rsid w:val="006009F3"/>
    <w:rsid w:val="00600B7B"/>
    <w:rsid w:val="00600BF0"/>
    <w:rsid w:val="00600C1B"/>
    <w:rsid w:val="00600CF4"/>
    <w:rsid w:val="00600DF1"/>
    <w:rsid w:val="00600E51"/>
    <w:rsid w:val="00600E75"/>
    <w:rsid w:val="00600E94"/>
    <w:rsid w:val="00601151"/>
    <w:rsid w:val="00601156"/>
    <w:rsid w:val="0060116E"/>
    <w:rsid w:val="006011C7"/>
    <w:rsid w:val="006011CB"/>
    <w:rsid w:val="00601240"/>
    <w:rsid w:val="006012DF"/>
    <w:rsid w:val="00601361"/>
    <w:rsid w:val="00601382"/>
    <w:rsid w:val="0060149C"/>
    <w:rsid w:val="00601611"/>
    <w:rsid w:val="0060169F"/>
    <w:rsid w:val="0060172E"/>
    <w:rsid w:val="006017B5"/>
    <w:rsid w:val="006017D9"/>
    <w:rsid w:val="006017E7"/>
    <w:rsid w:val="00601954"/>
    <w:rsid w:val="00601997"/>
    <w:rsid w:val="006019DC"/>
    <w:rsid w:val="00601A19"/>
    <w:rsid w:val="00601AC6"/>
    <w:rsid w:val="00601ADF"/>
    <w:rsid w:val="00601B0A"/>
    <w:rsid w:val="00601C00"/>
    <w:rsid w:val="00601ECB"/>
    <w:rsid w:val="00601F96"/>
    <w:rsid w:val="00602109"/>
    <w:rsid w:val="00602177"/>
    <w:rsid w:val="006021DD"/>
    <w:rsid w:val="00602247"/>
    <w:rsid w:val="00602274"/>
    <w:rsid w:val="006023BF"/>
    <w:rsid w:val="00602515"/>
    <w:rsid w:val="00602587"/>
    <w:rsid w:val="006025AB"/>
    <w:rsid w:val="00602646"/>
    <w:rsid w:val="0060272A"/>
    <w:rsid w:val="0060278E"/>
    <w:rsid w:val="006027F4"/>
    <w:rsid w:val="0060283B"/>
    <w:rsid w:val="00602943"/>
    <w:rsid w:val="0060299F"/>
    <w:rsid w:val="00602B0D"/>
    <w:rsid w:val="00602B50"/>
    <w:rsid w:val="00602BA4"/>
    <w:rsid w:val="00602DB0"/>
    <w:rsid w:val="00602DF7"/>
    <w:rsid w:val="00602E5D"/>
    <w:rsid w:val="00602EE4"/>
    <w:rsid w:val="00602F24"/>
    <w:rsid w:val="00602F4A"/>
    <w:rsid w:val="00602F56"/>
    <w:rsid w:val="00602FB9"/>
    <w:rsid w:val="00602FF7"/>
    <w:rsid w:val="0060304E"/>
    <w:rsid w:val="0060313E"/>
    <w:rsid w:val="00603238"/>
    <w:rsid w:val="006032C0"/>
    <w:rsid w:val="006033A0"/>
    <w:rsid w:val="0060346A"/>
    <w:rsid w:val="006034D4"/>
    <w:rsid w:val="006036E5"/>
    <w:rsid w:val="00603867"/>
    <w:rsid w:val="006039A9"/>
    <w:rsid w:val="00603B20"/>
    <w:rsid w:val="00603B3E"/>
    <w:rsid w:val="00603BD4"/>
    <w:rsid w:val="00603C17"/>
    <w:rsid w:val="00603D67"/>
    <w:rsid w:val="00603D80"/>
    <w:rsid w:val="00603DB9"/>
    <w:rsid w:val="00603F32"/>
    <w:rsid w:val="0060407A"/>
    <w:rsid w:val="006040A8"/>
    <w:rsid w:val="006040B8"/>
    <w:rsid w:val="006041DF"/>
    <w:rsid w:val="0060421D"/>
    <w:rsid w:val="00604370"/>
    <w:rsid w:val="0060437F"/>
    <w:rsid w:val="00604503"/>
    <w:rsid w:val="0060458D"/>
    <w:rsid w:val="006046CC"/>
    <w:rsid w:val="006046EC"/>
    <w:rsid w:val="0060482A"/>
    <w:rsid w:val="00604874"/>
    <w:rsid w:val="006048E8"/>
    <w:rsid w:val="006048FC"/>
    <w:rsid w:val="006049E1"/>
    <w:rsid w:val="00604AE0"/>
    <w:rsid w:val="00604B7E"/>
    <w:rsid w:val="00604DC5"/>
    <w:rsid w:val="00604E44"/>
    <w:rsid w:val="00604E4A"/>
    <w:rsid w:val="00604ED8"/>
    <w:rsid w:val="0060508C"/>
    <w:rsid w:val="0060516A"/>
    <w:rsid w:val="006051A6"/>
    <w:rsid w:val="006054EC"/>
    <w:rsid w:val="00605535"/>
    <w:rsid w:val="00605589"/>
    <w:rsid w:val="00605598"/>
    <w:rsid w:val="00605640"/>
    <w:rsid w:val="006056A5"/>
    <w:rsid w:val="00605756"/>
    <w:rsid w:val="006058BD"/>
    <w:rsid w:val="00605926"/>
    <w:rsid w:val="00605973"/>
    <w:rsid w:val="0060597F"/>
    <w:rsid w:val="006059AB"/>
    <w:rsid w:val="00605A73"/>
    <w:rsid w:val="00605AE2"/>
    <w:rsid w:val="00605D32"/>
    <w:rsid w:val="00605D6C"/>
    <w:rsid w:val="00605E22"/>
    <w:rsid w:val="00605F62"/>
    <w:rsid w:val="00606023"/>
    <w:rsid w:val="006060A9"/>
    <w:rsid w:val="00606222"/>
    <w:rsid w:val="00606270"/>
    <w:rsid w:val="006063BD"/>
    <w:rsid w:val="00606453"/>
    <w:rsid w:val="006064B2"/>
    <w:rsid w:val="0060653B"/>
    <w:rsid w:val="00606563"/>
    <w:rsid w:val="0060661C"/>
    <w:rsid w:val="006066EF"/>
    <w:rsid w:val="00606784"/>
    <w:rsid w:val="0060688B"/>
    <w:rsid w:val="006068A1"/>
    <w:rsid w:val="00606941"/>
    <w:rsid w:val="0060698E"/>
    <w:rsid w:val="006069B3"/>
    <w:rsid w:val="00606B7A"/>
    <w:rsid w:val="00606B7E"/>
    <w:rsid w:val="00606B88"/>
    <w:rsid w:val="00606C25"/>
    <w:rsid w:val="00606E61"/>
    <w:rsid w:val="00606E97"/>
    <w:rsid w:val="00606F57"/>
    <w:rsid w:val="0060700A"/>
    <w:rsid w:val="00607191"/>
    <w:rsid w:val="00607237"/>
    <w:rsid w:val="006072C3"/>
    <w:rsid w:val="0060730D"/>
    <w:rsid w:val="00607330"/>
    <w:rsid w:val="0060740B"/>
    <w:rsid w:val="006076A6"/>
    <w:rsid w:val="006077B4"/>
    <w:rsid w:val="006077CC"/>
    <w:rsid w:val="00607BC6"/>
    <w:rsid w:val="00607D14"/>
    <w:rsid w:val="00607D76"/>
    <w:rsid w:val="00607EBC"/>
    <w:rsid w:val="00607EDD"/>
    <w:rsid w:val="00607F84"/>
    <w:rsid w:val="0061018F"/>
    <w:rsid w:val="00610222"/>
    <w:rsid w:val="00610320"/>
    <w:rsid w:val="006105BE"/>
    <w:rsid w:val="00610648"/>
    <w:rsid w:val="00610673"/>
    <w:rsid w:val="006106E5"/>
    <w:rsid w:val="00610719"/>
    <w:rsid w:val="00610848"/>
    <w:rsid w:val="0061086C"/>
    <w:rsid w:val="006109DE"/>
    <w:rsid w:val="006109EB"/>
    <w:rsid w:val="00610A1D"/>
    <w:rsid w:val="00610A3B"/>
    <w:rsid w:val="00610AF6"/>
    <w:rsid w:val="00610B7C"/>
    <w:rsid w:val="00610C29"/>
    <w:rsid w:val="00610E15"/>
    <w:rsid w:val="00610E36"/>
    <w:rsid w:val="00610F04"/>
    <w:rsid w:val="00610F44"/>
    <w:rsid w:val="00610F9A"/>
    <w:rsid w:val="00610FAE"/>
    <w:rsid w:val="006110E0"/>
    <w:rsid w:val="00611127"/>
    <w:rsid w:val="006111F5"/>
    <w:rsid w:val="006111F6"/>
    <w:rsid w:val="006112B2"/>
    <w:rsid w:val="006112BD"/>
    <w:rsid w:val="006113CA"/>
    <w:rsid w:val="006113DC"/>
    <w:rsid w:val="00611528"/>
    <w:rsid w:val="00611541"/>
    <w:rsid w:val="0061154A"/>
    <w:rsid w:val="0061162E"/>
    <w:rsid w:val="00611715"/>
    <w:rsid w:val="006118C6"/>
    <w:rsid w:val="00611915"/>
    <w:rsid w:val="00611948"/>
    <w:rsid w:val="006119DE"/>
    <w:rsid w:val="00611B70"/>
    <w:rsid w:val="00611BC8"/>
    <w:rsid w:val="00611BF6"/>
    <w:rsid w:val="00611C8F"/>
    <w:rsid w:val="00611CB3"/>
    <w:rsid w:val="00611CE8"/>
    <w:rsid w:val="00611D03"/>
    <w:rsid w:val="00611DB9"/>
    <w:rsid w:val="00611E1E"/>
    <w:rsid w:val="00611E4B"/>
    <w:rsid w:val="00611ECF"/>
    <w:rsid w:val="00611F8E"/>
    <w:rsid w:val="00612024"/>
    <w:rsid w:val="006120A3"/>
    <w:rsid w:val="00612112"/>
    <w:rsid w:val="0061225F"/>
    <w:rsid w:val="006122BE"/>
    <w:rsid w:val="00612313"/>
    <w:rsid w:val="00612319"/>
    <w:rsid w:val="00612329"/>
    <w:rsid w:val="0061246B"/>
    <w:rsid w:val="0061252E"/>
    <w:rsid w:val="00612543"/>
    <w:rsid w:val="00612591"/>
    <w:rsid w:val="00612628"/>
    <w:rsid w:val="00612637"/>
    <w:rsid w:val="00612928"/>
    <w:rsid w:val="00612961"/>
    <w:rsid w:val="00612A52"/>
    <w:rsid w:val="00612A6D"/>
    <w:rsid w:val="00612C6D"/>
    <w:rsid w:val="00612D3B"/>
    <w:rsid w:val="00612E8A"/>
    <w:rsid w:val="00613053"/>
    <w:rsid w:val="0061307E"/>
    <w:rsid w:val="006130A8"/>
    <w:rsid w:val="00613174"/>
    <w:rsid w:val="006132D0"/>
    <w:rsid w:val="0061343D"/>
    <w:rsid w:val="00613460"/>
    <w:rsid w:val="006135F2"/>
    <w:rsid w:val="006136D5"/>
    <w:rsid w:val="006138B1"/>
    <w:rsid w:val="00613926"/>
    <w:rsid w:val="0061395C"/>
    <w:rsid w:val="00613AC1"/>
    <w:rsid w:val="00613E3F"/>
    <w:rsid w:val="00613E51"/>
    <w:rsid w:val="00613F6C"/>
    <w:rsid w:val="00613F8D"/>
    <w:rsid w:val="00613F90"/>
    <w:rsid w:val="00613FBD"/>
    <w:rsid w:val="006141B7"/>
    <w:rsid w:val="00614217"/>
    <w:rsid w:val="006142B5"/>
    <w:rsid w:val="006143B6"/>
    <w:rsid w:val="0061445C"/>
    <w:rsid w:val="0061452C"/>
    <w:rsid w:val="0061456B"/>
    <w:rsid w:val="006146D8"/>
    <w:rsid w:val="006147F3"/>
    <w:rsid w:val="0061487A"/>
    <w:rsid w:val="0061489D"/>
    <w:rsid w:val="006148AF"/>
    <w:rsid w:val="00614931"/>
    <w:rsid w:val="006149D7"/>
    <w:rsid w:val="00614A4A"/>
    <w:rsid w:val="00614D12"/>
    <w:rsid w:val="00614E65"/>
    <w:rsid w:val="00615147"/>
    <w:rsid w:val="006151B6"/>
    <w:rsid w:val="006153A0"/>
    <w:rsid w:val="006153D4"/>
    <w:rsid w:val="00615570"/>
    <w:rsid w:val="0061567C"/>
    <w:rsid w:val="006156BC"/>
    <w:rsid w:val="00615786"/>
    <w:rsid w:val="00615791"/>
    <w:rsid w:val="00615926"/>
    <w:rsid w:val="00615BB9"/>
    <w:rsid w:val="00615C01"/>
    <w:rsid w:val="00615D26"/>
    <w:rsid w:val="00615DB3"/>
    <w:rsid w:val="00615E79"/>
    <w:rsid w:val="00615F73"/>
    <w:rsid w:val="00616012"/>
    <w:rsid w:val="006160C0"/>
    <w:rsid w:val="006160EB"/>
    <w:rsid w:val="0061611F"/>
    <w:rsid w:val="00616120"/>
    <w:rsid w:val="006162D9"/>
    <w:rsid w:val="006162EB"/>
    <w:rsid w:val="0061653E"/>
    <w:rsid w:val="0061667A"/>
    <w:rsid w:val="0061676E"/>
    <w:rsid w:val="00616A17"/>
    <w:rsid w:val="00616DE5"/>
    <w:rsid w:val="00616E7B"/>
    <w:rsid w:val="00616F09"/>
    <w:rsid w:val="00616FCC"/>
    <w:rsid w:val="006171A1"/>
    <w:rsid w:val="0061728D"/>
    <w:rsid w:val="0061728E"/>
    <w:rsid w:val="006173FA"/>
    <w:rsid w:val="006174B5"/>
    <w:rsid w:val="0061767A"/>
    <w:rsid w:val="006176FF"/>
    <w:rsid w:val="00617886"/>
    <w:rsid w:val="00617A50"/>
    <w:rsid w:val="00617BC5"/>
    <w:rsid w:val="00617BCC"/>
    <w:rsid w:val="00617C96"/>
    <w:rsid w:val="00617FAA"/>
    <w:rsid w:val="00617FD4"/>
    <w:rsid w:val="006200CF"/>
    <w:rsid w:val="00620124"/>
    <w:rsid w:val="0062013E"/>
    <w:rsid w:val="00620205"/>
    <w:rsid w:val="00620257"/>
    <w:rsid w:val="006203A7"/>
    <w:rsid w:val="006203BF"/>
    <w:rsid w:val="0062042F"/>
    <w:rsid w:val="006205AA"/>
    <w:rsid w:val="00620689"/>
    <w:rsid w:val="006207D5"/>
    <w:rsid w:val="006207DA"/>
    <w:rsid w:val="0062081B"/>
    <w:rsid w:val="0062090B"/>
    <w:rsid w:val="00620AAB"/>
    <w:rsid w:val="00620B97"/>
    <w:rsid w:val="00620C0E"/>
    <w:rsid w:val="00620E1A"/>
    <w:rsid w:val="00620EEF"/>
    <w:rsid w:val="00621016"/>
    <w:rsid w:val="00621097"/>
    <w:rsid w:val="006210FB"/>
    <w:rsid w:val="006211CF"/>
    <w:rsid w:val="00621239"/>
    <w:rsid w:val="00621453"/>
    <w:rsid w:val="0062147A"/>
    <w:rsid w:val="006214EC"/>
    <w:rsid w:val="00621562"/>
    <w:rsid w:val="00621695"/>
    <w:rsid w:val="006216FD"/>
    <w:rsid w:val="00621B9F"/>
    <w:rsid w:val="00621BB2"/>
    <w:rsid w:val="00621BC0"/>
    <w:rsid w:val="00621BCF"/>
    <w:rsid w:val="00621E4F"/>
    <w:rsid w:val="00621E90"/>
    <w:rsid w:val="00621EC6"/>
    <w:rsid w:val="00621F00"/>
    <w:rsid w:val="00622067"/>
    <w:rsid w:val="006221C0"/>
    <w:rsid w:val="00622358"/>
    <w:rsid w:val="00622372"/>
    <w:rsid w:val="006223AE"/>
    <w:rsid w:val="00622563"/>
    <w:rsid w:val="0062257B"/>
    <w:rsid w:val="00622584"/>
    <w:rsid w:val="006225E3"/>
    <w:rsid w:val="0062280E"/>
    <w:rsid w:val="00622978"/>
    <w:rsid w:val="006229D5"/>
    <w:rsid w:val="00622B09"/>
    <w:rsid w:val="00622C90"/>
    <w:rsid w:val="00622F96"/>
    <w:rsid w:val="00622F9F"/>
    <w:rsid w:val="00623172"/>
    <w:rsid w:val="00623190"/>
    <w:rsid w:val="0062322C"/>
    <w:rsid w:val="006232B4"/>
    <w:rsid w:val="006234DF"/>
    <w:rsid w:val="006235A0"/>
    <w:rsid w:val="00623664"/>
    <w:rsid w:val="006236D4"/>
    <w:rsid w:val="006236E0"/>
    <w:rsid w:val="006238A8"/>
    <w:rsid w:val="00623931"/>
    <w:rsid w:val="0062397C"/>
    <w:rsid w:val="006239A4"/>
    <w:rsid w:val="00623A2D"/>
    <w:rsid w:val="00623A7C"/>
    <w:rsid w:val="00623AB1"/>
    <w:rsid w:val="00623B54"/>
    <w:rsid w:val="00623B86"/>
    <w:rsid w:val="00623BFB"/>
    <w:rsid w:val="00623C06"/>
    <w:rsid w:val="00623C31"/>
    <w:rsid w:val="00623D08"/>
    <w:rsid w:val="00623D8E"/>
    <w:rsid w:val="00623E3F"/>
    <w:rsid w:val="00623EF0"/>
    <w:rsid w:val="00623F4D"/>
    <w:rsid w:val="0062411C"/>
    <w:rsid w:val="006241F1"/>
    <w:rsid w:val="00624208"/>
    <w:rsid w:val="00624243"/>
    <w:rsid w:val="00624294"/>
    <w:rsid w:val="00624309"/>
    <w:rsid w:val="0062434E"/>
    <w:rsid w:val="006245F7"/>
    <w:rsid w:val="00624613"/>
    <w:rsid w:val="00624702"/>
    <w:rsid w:val="006247CE"/>
    <w:rsid w:val="006248B5"/>
    <w:rsid w:val="00624912"/>
    <w:rsid w:val="0062493F"/>
    <w:rsid w:val="00624A63"/>
    <w:rsid w:val="00624B52"/>
    <w:rsid w:val="00624B54"/>
    <w:rsid w:val="00624B96"/>
    <w:rsid w:val="00624C13"/>
    <w:rsid w:val="00624CB9"/>
    <w:rsid w:val="00624D28"/>
    <w:rsid w:val="00624E0A"/>
    <w:rsid w:val="00624E3E"/>
    <w:rsid w:val="00624E9C"/>
    <w:rsid w:val="00624ED8"/>
    <w:rsid w:val="00624EEC"/>
    <w:rsid w:val="00624F78"/>
    <w:rsid w:val="00624F7F"/>
    <w:rsid w:val="00624F94"/>
    <w:rsid w:val="00624FF4"/>
    <w:rsid w:val="00625037"/>
    <w:rsid w:val="00625056"/>
    <w:rsid w:val="006250F7"/>
    <w:rsid w:val="00625115"/>
    <w:rsid w:val="0062527D"/>
    <w:rsid w:val="006252A2"/>
    <w:rsid w:val="006253D7"/>
    <w:rsid w:val="006254F7"/>
    <w:rsid w:val="006255D5"/>
    <w:rsid w:val="0062563C"/>
    <w:rsid w:val="0062573E"/>
    <w:rsid w:val="006257B5"/>
    <w:rsid w:val="006257EC"/>
    <w:rsid w:val="0062585A"/>
    <w:rsid w:val="00625954"/>
    <w:rsid w:val="00625990"/>
    <w:rsid w:val="00625A25"/>
    <w:rsid w:val="00625A82"/>
    <w:rsid w:val="00625BEB"/>
    <w:rsid w:val="00625C2A"/>
    <w:rsid w:val="00625D83"/>
    <w:rsid w:val="00625DDE"/>
    <w:rsid w:val="00625E33"/>
    <w:rsid w:val="00626144"/>
    <w:rsid w:val="006266EE"/>
    <w:rsid w:val="00626777"/>
    <w:rsid w:val="0062692E"/>
    <w:rsid w:val="00626AEC"/>
    <w:rsid w:val="00626CEB"/>
    <w:rsid w:val="00626E5C"/>
    <w:rsid w:val="00626E9F"/>
    <w:rsid w:val="00626ECB"/>
    <w:rsid w:val="00626F72"/>
    <w:rsid w:val="006270FB"/>
    <w:rsid w:val="0062724B"/>
    <w:rsid w:val="00627316"/>
    <w:rsid w:val="0062757D"/>
    <w:rsid w:val="006275A4"/>
    <w:rsid w:val="00627740"/>
    <w:rsid w:val="0062778F"/>
    <w:rsid w:val="006278FD"/>
    <w:rsid w:val="00627B5C"/>
    <w:rsid w:val="00627BA8"/>
    <w:rsid w:val="00627BF5"/>
    <w:rsid w:val="00627DBA"/>
    <w:rsid w:val="00627E5C"/>
    <w:rsid w:val="00627E95"/>
    <w:rsid w:val="00627EB3"/>
    <w:rsid w:val="00627F9B"/>
    <w:rsid w:val="00627FC7"/>
    <w:rsid w:val="00627FD3"/>
    <w:rsid w:val="00630009"/>
    <w:rsid w:val="0063028D"/>
    <w:rsid w:val="006305CC"/>
    <w:rsid w:val="006307F0"/>
    <w:rsid w:val="00630857"/>
    <w:rsid w:val="00630A1C"/>
    <w:rsid w:val="00630CC9"/>
    <w:rsid w:val="00630D8D"/>
    <w:rsid w:val="00630E23"/>
    <w:rsid w:val="00630E25"/>
    <w:rsid w:val="00630E31"/>
    <w:rsid w:val="00630E63"/>
    <w:rsid w:val="00630FAB"/>
    <w:rsid w:val="006312EC"/>
    <w:rsid w:val="00631304"/>
    <w:rsid w:val="00631360"/>
    <w:rsid w:val="0063139B"/>
    <w:rsid w:val="0063148A"/>
    <w:rsid w:val="00631507"/>
    <w:rsid w:val="006315A2"/>
    <w:rsid w:val="0063168B"/>
    <w:rsid w:val="00631806"/>
    <w:rsid w:val="00631A56"/>
    <w:rsid w:val="00631B3F"/>
    <w:rsid w:val="00631B76"/>
    <w:rsid w:val="00631C0E"/>
    <w:rsid w:val="00631CA8"/>
    <w:rsid w:val="00631D36"/>
    <w:rsid w:val="00631D38"/>
    <w:rsid w:val="00631F9F"/>
    <w:rsid w:val="00631FDB"/>
    <w:rsid w:val="0063200E"/>
    <w:rsid w:val="00632015"/>
    <w:rsid w:val="006320F2"/>
    <w:rsid w:val="006321D8"/>
    <w:rsid w:val="00632281"/>
    <w:rsid w:val="00632342"/>
    <w:rsid w:val="006323F3"/>
    <w:rsid w:val="00632462"/>
    <w:rsid w:val="006324A2"/>
    <w:rsid w:val="0063251B"/>
    <w:rsid w:val="006325C4"/>
    <w:rsid w:val="00632611"/>
    <w:rsid w:val="00632680"/>
    <w:rsid w:val="0063273F"/>
    <w:rsid w:val="0063274F"/>
    <w:rsid w:val="00632755"/>
    <w:rsid w:val="0063294E"/>
    <w:rsid w:val="00632A5F"/>
    <w:rsid w:val="00632B64"/>
    <w:rsid w:val="00632CBD"/>
    <w:rsid w:val="00632D32"/>
    <w:rsid w:val="00632D7B"/>
    <w:rsid w:val="006330E4"/>
    <w:rsid w:val="006332A8"/>
    <w:rsid w:val="00633425"/>
    <w:rsid w:val="00633477"/>
    <w:rsid w:val="00633632"/>
    <w:rsid w:val="006336DF"/>
    <w:rsid w:val="00633828"/>
    <w:rsid w:val="006338FC"/>
    <w:rsid w:val="00633A17"/>
    <w:rsid w:val="00633A75"/>
    <w:rsid w:val="00633B94"/>
    <w:rsid w:val="00633C22"/>
    <w:rsid w:val="00633CA9"/>
    <w:rsid w:val="00633E3A"/>
    <w:rsid w:val="00633EC7"/>
    <w:rsid w:val="00633EFB"/>
    <w:rsid w:val="00633F59"/>
    <w:rsid w:val="0063406F"/>
    <w:rsid w:val="006340AF"/>
    <w:rsid w:val="006340B0"/>
    <w:rsid w:val="006340B8"/>
    <w:rsid w:val="006340DE"/>
    <w:rsid w:val="006341AB"/>
    <w:rsid w:val="00634219"/>
    <w:rsid w:val="006342D7"/>
    <w:rsid w:val="00634378"/>
    <w:rsid w:val="00634391"/>
    <w:rsid w:val="0063454F"/>
    <w:rsid w:val="00634588"/>
    <w:rsid w:val="006346A4"/>
    <w:rsid w:val="006347E9"/>
    <w:rsid w:val="00634810"/>
    <w:rsid w:val="006348C3"/>
    <w:rsid w:val="006349D6"/>
    <w:rsid w:val="00634A52"/>
    <w:rsid w:val="00634B53"/>
    <w:rsid w:val="00634C01"/>
    <w:rsid w:val="00634C51"/>
    <w:rsid w:val="00634E2B"/>
    <w:rsid w:val="00634F3E"/>
    <w:rsid w:val="00634FE9"/>
    <w:rsid w:val="00635082"/>
    <w:rsid w:val="0063513D"/>
    <w:rsid w:val="0063536A"/>
    <w:rsid w:val="00635395"/>
    <w:rsid w:val="006354ED"/>
    <w:rsid w:val="0063576D"/>
    <w:rsid w:val="00635785"/>
    <w:rsid w:val="00635839"/>
    <w:rsid w:val="0063590F"/>
    <w:rsid w:val="0063594F"/>
    <w:rsid w:val="00635BEF"/>
    <w:rsid w:val="00635C4E"/>
    <w:rsid w:val="00635C71"/>
    <w:rsid w:val="00635CBE"/>
    <w:rsid w:val="00635CF7"/>
    <w:rsid w:val="00635CF8"/>
    <w:rsid w:val="00635D9A"/>
    <w:rsid w:val="00635DF1"/>
    <w:rsid w:val="00635F39"/>
    <w:rsid w:val="00635F89"/>
    <w:rsid w:val="00635FA9"/>
    <w:rsid w:val="00636195"/>
    <w:rsid w:val="006361BE"/>
    <w:rsid w:val="00636375"/>
    <w:rsid w:val="00636397"/>
    <w:rsid w:val="00636401"/>
    <w:rsid w:val="00636411"/>
    <w:rsid w:val="00636614"/>
    <w:rsid w:val="0063661E"/>
    <w:rsid w:val="00636691"/>
    <w:rsid w:val="006366D8"/>
    <w:rsid w:val="006367BD"/>
    <w:rsid w:val="00636814"/>
    <w:rsid w:val="00636820"/>
    <w:rsid w:val="00636AFF"/>
    <w:rsid w:val="00636CE3"/>
    <w:rsid w:val="00636DB1"/>
    <w:rsid w:val="00636E64"/>
    <w:rsid w:val="00636EF5"/>
    <w:rsid w:val="00636F23"/>
    <w:rsid w:val="00636F45"/>
    <w:rsid w:val="00637084"/>
    <w:rsid w:val="006370CF"/>
    <w:rsid w:val="006371C8"/>
    <w:rsid w:val="006371E9"/>
    <w:rsid w:val="0063722F"/>
    <w:rsid w:val="00637257"/>
    <w:rsid w:val="006372D3"/>
    <w:rsid w:val="006373A9"/>
    <w:rsid w:val="00637435"/>
    <w:rsid w:val="0063744A"/>
    <w:rsid w:val="00637487"/>
    <w:rsid w:val="006374FA"/>
    <w:rsid w:val="0063768B"/>
    <w:rsid w:val="00637695"/>
    <w:rsid w:val="00637778"/>
    <w:rsid w:val="0063784E"/>
    <w:rsid w:val="0063785D"/>
    <w:rsid w:val="0063790C"/>
    <w:rsid w:val="006379AE"/>
    <w:rsid w:val="00637A6A"/>
    <w:rsid w:val="00637A98"/>
    <w:rsid w:val="00637AE3"/>
    <w:rsid w:val="00637B15"/>
    <w:rsid w:val="00637BB9"/>
    <w:rsid w:val="00637C8B"/>
    <w:rsid w:val="00637CCC"/>
    <w:rsid w:val="00637E59"/>
    <w:rsid w:val="00637ED1"/>
    <w:rsid w:val="00637F2B"/>
    <w:rsid w:val="00640033"/>
    <w:rsid w:val="0064018D"/>
    <w:rsid w:val="006403C1"/>
    <w:rsid w:val="006403F1"/>
    <w:rsid w:val="0064042E"/>
    <w:rsid w:val="00640593"/>
    <w:rsid w:val="0064061B"/>
    <w:rsid w:val="006406BB"/>
    <w:rsid w:val="00640AE1"/>
    <w:rsid w:val="00640BDD"/>
    <w:rsid w:val="00640C5C"/>
    <w:rsid w:val="00640C96"/>
    <w:rsid w:val="00640D9D"/>
    <w:rsid w:val="00640E0A"/>
    <w:rsid w:val="00640E30"/>
    <w:rsid w:val="00640E7B"/>
    <w:rsid w:val="00640E84"/>
    <w:rsid w:val="00640EA8"/>
    <w:rsid w:val="00640F65"/>
    <w:rsid w:val="00641004"/>
    <w:rsid w:val="0064112B"/>
    <w:rsid w:val="00641166"/>
    <w:rsid w:val="00641263"/>
    <w:rsid w:val="006412AB"/>
    <w:rsid w:val="006413F3"/>
    <w:rsid w:val="006414FA"/>
    <w:rsid w:val="0064165F"/>
    <w:rsid w:val="00641660"/>
    <w:rsid w:val="006417AA"/>
    <w:rsid w:val="00641856"/>
    <w:rsid w:val="00641897"/>
    <w:rsid w:val="00641898"/>
    <w:rsid w:val="0064190E"/>
    <w:rsid w:val="006419B0"/>
    <w:rsid w:val="006419B8"/>
    <w:rsid w:val="00641A4D"/>
    <w:rsid w:val="00641AF4"/>
    <w:rsid w:val="00641B02"/>
    <w:rsid w:val="00641C75"/>
    <w:rsid w:val="00641C8F"/>
    <w:rsid w:val="00641CC7"/>
    <w:rsid w:val="00641E28"/>
    <w:rsid w:val="00641F9F"/>
    <w:rsid w:val="00642004"/>
    <w:rsid w:val="006420DA"/>
    <w:rsid w:val="00642102"/>
    <w:rsid w:val="006421E4"/>
    <w:rsid w:val="006421FE"/>
    <w:rsid w:val="006422FE"/>
    <w:rsid w:val="00642505"/>
    <w:rsid w:val="00642574"/>
    <w:rsid w:val="006425A9"/>
    <w:rsid w:val="006425F1"/>
    <w:rsid w:val="006427C6"/>
    <w:rsid w:val="006428C1"/>
    <w:rsid w:val="006429D2"/>
    <w:rsid w:val="00642D14"/>
    <w:rsid w:val="00642F5B"/>
    <w:rsid w:val="00643136"/>
    <w:rsid w:val="00643205"/>
    <w:rsid w:val="0064320A"/>
    <w:rsid w:val="006433FF"/>
    <w:rsid w:val="0064359C"/>
    <w:rsid w:val="00643716"/>
    <w:rsid w:val="00643788"/>
    <w:rsid w:val="0064386B"/>
    <w:rsid w:val="00643898"/>
    <w:rsid w:val="00643A9C"/>
    <w:rsid w:val="00643B3C"/>
    <w:rsid w:val="00643CEF"/>
    <w:rsid w:val="00643FB0"/>
    <w:rsid w:val="00644013"/>
    <w:rsid w:val="0064405B"/>
    <w:rsid w:val="00644293"/>
    <w:rsid w:val="0064431A"/>
    <w:rsid w:val="006445F5"/>
    <w:rsid w:val="0064461E"/>
    <w:rsid w:val="0064472E"/>
    <w:rsid w:val="006447F8"/>
    <w:rsid w:val="00644927"/>
    <w:rsid w:val="00644967"/>
    <w:rsid w:val="006449EC"/>
    <w:rsid w:val="00644A3A"/>
    <w:rsid w:val="00644A71"/>
    <w:rsid w:val="00644CDE"/>
    <w:rsid w:val="00644D14"/>
    <w:rsid w:val="00644D1E"/>
    <w:rsid w:val="00644E6A"/>
    <w:rsid w:val="00644F6E"/>
    <w:rsid w:val="00644FB0"/>
    <w:rsid w:val="00645059"/>
    <w:rsid w:val="00645139"/>
    <w:rsid w:val="00645165"/>
    <w:rsid w:val="0064516F"/>
    <w:rsid w:val="006452D8"/>
    <w:rsid w:val="0064534D"/>
    <w:rsid w:val="0064537E"/>
    <w:rsid w:val="006453D7"/>
    <w:rsid w:val="0064547A"/>
    <w:rsid w:val="006454B4"/>
    <w:rsid w:val="00645601"/>
    <w:rsid w:val="0064569A"/>
    <w:rsid w:val="006456E8"/>
    <w:rsid w:val="0064573E"/>
    <w:rsid w:val="006457D0"/>
    <w:rsid w:val="00645B37"/>
    <w:rsid w:val="00645BE2"/>
    <w:rsid w:val="00645DBA"/>
    <w:rsid w:val="00645E69"/>
    <w:rsid w:val="00645E9C"/>
    <w:rsid w:val="00645F0B"/>
    <w:rsid w:val="00645F74"/>
    <w:rsid w:val="00645F9D"/>
    <w:rsid w:val="0064605F"/>
    <w:rsid w:val="00646107"/>
    <w:rsid w:val="00646144"/>
    <w:rsid w:val="0064619E"/>
    <w:rsid w:val="00646274"/>
    <w:rsid w:val="0064629B"/>
    <w:rsid w:val="006464DA"/>
    <w:rsid w:val="006464E2"/>
    <w:rsid w:val="0064656A"/>
    <w:rsid w:val="00646593"/>
    <w:rsid w:val="006465D6"/>
    <w:rsid w:val="0064679C"/>
    <w:rsid w:val="006467ED"/>
    <w:rsid w:val="006468DD"/>
    <w:rsid w:val="006468F5"/>
    <w:rsid w:val="00646904"/>
    <w:rsid w:val="006469AB"/>
    <w:rsid w:val="006469FA"/>
    <w:rsid w:val="00646A76"/>
    <w:rsid w:val="00646BEB"/>
    <w:rsid w:val="00646C05"/>
    <w:rsid w:val="00646C06"/>
    <w:rsid w:val="00646CD3"/>
    <w:rsid w:val="00646E9C"/>
    <w:rsid w:val="0064706D"/>
    <w:rsid w:val="0064728B"/>
    <w:rsid w:val="00647359"/>
    <w:rsid w:val="006473D3"/>
    <w:rsid w:val="0064750B"/>
    <w:rsid w:val="006476C2"/>
    <w:rsid w:val="00647829"/>
    <w:rsid w:val="00647C2A"/>
    <w:rsid w:val="00647C80"/>
    <w:rsid w:val="00647C86"/>
    <w:rsid w:val="00647DAE"/>
    <w:rsid w:val="00647DCC"/>
    <w:rsid w:val="00647EBE"/>
    <w:rsid w:val="00647ED0"/>
    <w:rsid w:val="00647ED8"/>
    <w:rsid w:val="00647EF1"/>
    <w:rsid w:val="00647F28"/>
    <w:rsid w:val="00647F69"/>
    <w:rsid w:val="00647F80"/>
    <w:rsid w:val="00650087"/>
    <w:rsid w:val="00650132"/>
    <w:rsid w:val="00650157"/>
    <w:rsid w:val="0065021C"/>
    <w:rsid w:val="00650239"/>
    <w:rsid w:val="0065025E"/>
    <w:rsid w:val="006502B7"/>
    <w:rsid w:val="00650439"/>
    <w:rsid w:val="0065056C"/>
    <w:rsid w:val="00650580"/>
    <w:rsid w:val="006505AA"/>
    <w:rsid w:val="006505D0"/>
    <w:rsid w:val="0065061B"/>
    <w:rsid w:val="00650772"/>
    <w:rsid w:val="00650A38"/>
    <w:rsid w:val="00650A7A"/>
    <w:rsid w:val="00650CD5"/>
    <w:rsid w:val="00650D4F"/>
    <w:rsid w:val="00650E25"/>
    <w:rsid w:val="0065119B"/>
    <w:rsid w:val="0065131D"/>
    <w:rsid w:val="00651359"/>
    <w:rsid w:val="0065139C"/>
    <w:rsid w:val="00651462"/>
    <w:rsid w:val="0065149B"/>
    <w:rsid w:val="006514E0"/>
    <w:rsid w:val="0065153B"/>
    <w:rsid w:val="0065171A"/>
    <w:rsid w:val="0065185C"/>
    <w:rsid w:val="0065187D"/>
    <w:rsid w:val="006518E0"/>
    <w:rsid w:val="00651BD0"/>
    <w:rsid w:val="00651C08"/>
    <w:rsid w:val="00651E6A"/>
    <w:rsid w:val="00651EB5"/>
    <w:rsid w:val="00651F30"/>
    <w:rsid w:val="00651F4F"/>
    <w:rsid w:val="00651F87"/>
    <w:rsid w:val="0065204B"/>
    <w:rsid w:val="0065204D"/>
    <w:rsid w:val="006520C8"/>
    <w:rsid w:val="0065230D"/>
    <w:rsid w:val="006523F7"/>
    <w:rsid w:val="006524B5"/>
    <w:rsid w:val="006526C8"/>
    <w:rsid w:val="0065285A"/>
    <w:rsid w:val="00652879"/>
    <w:rsid w:val="0065287C"/>
    <w:rsid w:val="00652921"/>
    <w:rsid w:val="00652948"/>
    <w:rsid w:val="006529F5"/>
    <w:rsid w:val="00652B29"/>
    <w:rsid w:val="00652C1C"/>
    <w:rsid w:val="00652DAC"/>
    <w:rsid w:val="00652DE2"/>
    <w:rsid w:val="00652E6F"/>
    <w:rsid w:val="00652F7F"/>
    <w:rsid w:val="00652FF0"/>
    <w:rsid w:val="00653229"/>
    <w:rsid w:val="00653354"/>
    <w:rsid w:val="00653408"/>
    <w:rsid w:val="00653871"/>
    <w:rsid w:val="0065398A"/>
    <w:rsid w:val="006539F4"/>
    <w:rsid w:val="00653B6C"/>
    <w:rsid w:val="00653F5B"/>
    <w:rsid w:val="00653F88"/>
    <w:rsid w:val="00653FE3"/>
    <w:rsid w:val="0065401E"/>
    <w:rsid w:val="006540DE"/>
    <w:rsid w:val="0065411C"/>
    <w:rsid w:val="0065420D"/>
    <w:rsid w:val="00654301"/>
    <w:rsid w:val="00654431"/>
    <w:rsid w:val="00654468"/>
    <w:rsid w:val="0065448D"/>
    <w:rsid w:val="006544B4"/>
    <w:rsid w:val="006544B7"/>
    <w:rsid w:val="006544E3"/>
    <w:rsid w:val="0065465C"/>
    <w:rsid w:val="006546EA"/>
    <w:rsid w:val="006547BE"/>
    <w:rsid w:val="0065491C"/>
    <w:rsid w:val="00654A77"/>
    <w:rsid w:val="00654A97"/>
    <w:rsid w:val="00654BAB"/>
    <w:rsid w:val="00654C0F"/>
    <w:rsid w:val="00654E6F"/>
    <w:rsid w:val="00654EAC"/>
    <w:rsid w:val="00655090"/>
    <w:rsid w:val="00655188"/>
    <w:rsid w:val="00655242"/>
    <w:rsid w:val="006554F4"/>
    <w:rsid w:val="006556AE"/>
    <w:rsid w:val="0065574D"/>
    <w:rsid w:val="00655770"/>
    <w:rsid w:val="00655778"/>
    <w:rsid w:val="006557A5"/>
    <w:rsid w:val="006557B1"/>
    <w:rsid w:val="00655885"/>
    <w:rsid w:val="006558D1"/>
    <w:rsid w:val="006559DD"/>
    <w:rsid w:val="00655BF6"/>
    <w:rsid w:val="00655CD3"/>
    <w:rsid w:val="00655E2C"/>
    <w:rsid w:val="00655F31"/>
    <w:rsid w:val="00655F64"/>
    <w:rsid w:val="00656143"/>
    <w:rsid w:val="006561E1"/>
    <w:rsid w:val="00656247"/>
    <w:rsid w:val="006562EE"/>
    <w:rsid w:val="0065630E"/>
    <w:rsid w:val="006563C2"/>
    <w:rsid w:val="00656437"/>
    <w:rsid w:val="00656559"/>
    <w:rsid w:val="006565C8"/>
    <w:rsid w:val="0065660F"/>
    <w:rsid w:val="0065667D"/>
    <w:rsid w:val="00656680"/>
    <w:rsid w:val="00656681"/>
    <w:rsid w:val="006566A2"/>
    <w:rsid w:val="006566A3"/>
    <w:rsid w:val="006566B4"/>
    <w:rsid w:val="006566F1"/>
    <w:rsid w:val="00656767"/>
    <w:rsid w:val="006567B1"/>
    <w:rsid w:val="006569A3"/>
    <w:rsid w:val="00656A14"/>
    <w:rsid w:val="00656AF4"/>
    <w:rsid w:val="00656BEA"/>
    <w:rsid w:val="00656C9D"/>
    <w:rsid w:val="00656D02"/>
    <w:rsid w:val="00656E93"/>
    <w:rsid w:val="00656F22"/>
    <w:rsid w:val="006570B7"/>
    <w:rsid w:val="0065716E"/>
    <w:rsid w:val="0065729C"/>
    <w:rsid w:val="006572D1"/>
    <w:rsid w:val="006572D6"/>
    <w:rsid w:val="0065735F"/>
    <w:rsid w:val="006573F7"/>
    <w:rsid w:val="00657447"/>
    <w:rsid w:val="0065745D"/>
    <w:rsid w:val="0065746F"/>
    <w:rsid w:val="00657498"/>
    <w:rsid w:val="006575DD"/>
    <w:rsid w:val="00657620"/>
    <w:rsid w:val="0065764F"/>
    <w:rsid w:val="0065766F"/>
    <w:rsid w:val="00657729"/>
    <w:rsid w:val="00657752"/>
    <w:rsid w:val="0065777E"/>
    <w:rsid w:val="00657835"/>
    <w:rsid w:val="00657A10"/>
    <w:rsid w:val="00657A37"/>
    <w:rsid w:val="00657AD4"/>
    <w:rsid w:val="00657BC7"/>
    <w:rsid w:val="00657C19"/>
    <w:rsid w:val="00657C98"/>
    <w:rsid w:val="00657F77"/>
    <w:rsid w:val="006601D0"/>
    <w:rsid w:val="00660275"/>
    <w:rsid w:val="0066038C"/>
    <w:rsid w:val="00660475"/>
    <w:rsid w:val="006606CA"/>
    <w:rsid w:val="006608AA"/>
    <w:rsid w:val="00660A08"/>
    <w:rsid w:val="00660AB6"/>
    <w:rsid w:val="00660ABD"/>
    <w:rsid w:val="00660B23"/>
    <w:rsid w:val="00660C90"/>
    <w:rsid w:val="00660E15"/>
    <w:rsid w:val="0066107F"/>
    <w:rsid w:val="006612A5"/>
    <w:rsid w:val="00661523"/>
    <w:rsid w:val="00661584"/>
    <w:rsid w:val="00661640"/>
    <w:rsid w:val="00661687"/>
    <w:rsid w:val="00661726"/>
    <w:rsid w:val="00661739"/>
    <w:rsid w:val="0066173B"/>
    <w:rsid w:val="0066178B"/>
    <w:rsid w:val="006617B5"/>
    <w:rsid w:val="00661889"/>
    <w:rsid w:val="00661A0A"/>
    <w:rsid w:val="00661AE5"/>
    <w:rsid w:val="00661E0A"/>
    <w:rsid w:val="00661E68"/>
    <w:rsid w:val="00661F00"/>
    <w:rsid w:val="00661FF6"/>
    <w:rsid w:val="0066208A"/>
    <w:rsid w:val="0066213E"/>
    <w:rsid w:val="00662158"/>
    <w:rsid w:val="0066217C"/>
    <w:rsid w:val="00662223"/>
    <w:rsid w:val="00662280"/>
    <w:rsid w:val="0066229B"/>
    <w:rsid w:val="006623AA"/>
    <w:rsid w:val="006624EA"/>
    <w:rsid w:val="00662579"/>
    <w:rsid w:val="0066265B"/>
    <w:rsid w:val="00662721"/>
    <w:rsid w:val="00662799"/>
    <w:rsid w:val="00662817"/>
    <w:rsid w:val="006628F3"/>
    <w:rsid w:val="00662991"/>
    <w:rsid w:val="00662B66"/>
    <w:rsid w:val="00662BDE"/>
    <w:rsid w:val="00662C9E"/>
    <w:rsid w:val="00662DA5"/>
    <w:rsid w:val="00662EF2"/>
    <w:rsid w:val="00663083"/>
    <w:rsid w:val="00663273"/>
    <w:rsid w:val="0066328B"/>
    <w:rsid w:val="00663303"/>
    <w:rsid w:val="0066335F"/>
    <w:rsid w:val="0066336D"/>
    <w:rsid w:val="00663375"/>
    <w:rsid w:val="00663402"/>
    <w:rsid w:val="00663404"/>
    <w:rsid w:val="006635A8"/>
    <w:rsid w:val="00663631"/>
    <w:rsid w:val="0066365A"/>
    <w:rsid w:val="00663732"/>
    <w:rsid w:val="00663769"/>
    <w:rsid w:val="006637A6"/>
    <w:rsid w:val="006637E7"/>
    <w:rsid w:val="00663871"/>
    <w:rsid w:val="006639B2"/>
    <w:rsid w:val="00663A13"/>
    <w:rsid w:val="00663A52"/>
    <w:rsid w:val="00663ACE"/>
    <w:rsid w:val="00663B19"/>
    <w:rsid w:val="00663BCA"/>
    <w:rsid w:val="00663CF6"/>
    <w:rsid w:val="00663DC2"/>
    <w:rsid w:val="00663DED"/>
    <w:rsid w:val="00663E23"/>
    <w:rsid w:val="00663F03"/>
    <w:rsid w:val="00664003"/>
    <w:rsid w:val="00664150"/>
    <w:rsid w:val="006642F6"/>
    <w:rsid w:val="0066434F"/>
    <w:rsid w:val="006643A1"/>
    <w:rsid w:val="0066477B"/>
    <w:rsid w:val="00664976"/>
    <w:rsid w:val="006649D2"/>
    <w:rsid w:val="006649F2"/>
    <w:rsid w:val="00664AA0"/>
    <w:rsid w:val="00664BFB"/>
    <w:rsid w:val="00664C6A"/>
    <w:rsid w:val="00664CE5"/>
    <w:rsid w:val="00664D0A"/>
    <w:rsid w:val="00664DDF"/>
    <w:rsid w:val="00665083"/>
    <w:rsid w:val="006650D6"/>
    <w:rsid w:val="006651D0"/>
    <w:rsid w:val="0066520D"/>
    <w:rsid w:val="006653FE"/>
    <w:rsid w:val="00665568"/>
    <w:rsid w:val="006655E5"/>
    <w:rsid w:val="00665723"/>
    <w:rsid w:val="00665815"/>
    <w:rsid w:val="0066586E"/>
    <w:rsid w:val="006658F0"/>
    <w:rsid w:val="00665934"/>
    <w:rsid w:val="00665962"/>
    <w:rsid w:val="0066598D"/>
    <w:rsid w:val="00665B79"/>
    <w:rsid w:val="00665D39"/>
    <w:rsid w:val="00665E17"/>
    <w:rsid w:val="00665E34"/>
    <w:rsid w:val="00665EF0"/>
    <w:rsid w:val="00665F33"/>
    <w:rsid w:val="00666093"/>
    <w:rsid w:val="006660AF"/>
    <w:rsid w:val="006660F7"/>
    <w:rsid w:val="00666181"/>
    <w:rsid w:val="006661E7"/>
    <w:rsid w:val="00666383"/>
    <w:rsid w:val="006663DE"/>
    <w:rsid w:val="00666856"/>
    <w:rsid w:val="00666924"/>
    <w:rsid w:val="0066698B"/>
    <w:rsid w:val="00666D6B"/>
    <w:rsid w:val="00666D7B"/>
    <w:rsid w:val="00666D82"/>
    <w:rsid w:val="00666F7C"/>
    <w:rsid w:val="00666FB5"/>
    <w:rsid w:val="006670D6"/>
    <w:rsid w:val="0066718B"/>
    <w:rsid w:val="006671BC"/>
    <w:rsid w:val="0066732D"/>
    <w:rsid w:val="00667333"/>
    <w:rsid w:val="00667405"/>
    <w:rsid w:val="006674B6"/>
    <w:rsid w:val="006677A7"/>
    <w:rsid w:val="00667915"/>
    <w:rsid w:val="006679C2"/>
    <w:rsid w:val="00667B01"/>
    <w:rsid w:val="00667B05"/>
    <w:rsid w:val="00667B47"/>
    <w:rsid w:val="00667B8E"/>
    <w:rsid w:val="00667CC5"/>
    <w:rsid w:val="00667CD1"/>
    <w:rsid w:val="00667CFA"/>
    <w:rsid w:val="00667D72"/>
    <w:rsid w:val="00667DFD"/>
    <w:rsid w:val="00667E84"/>
    <w:rsid w:val="00667E96"/>
    <w:rsid w:val="00667F66"/>
    <w:rsid w:val="006702A8"/>
    <w:rsid w:val="00670366"/>
    <w:rsid w:val="0067047D"/>
    <w:rsid w:val="0067048A"/>
    <w:rsid w:val="00670556"/>
    <w:rsid w:val="006706B2"/>
    <w:rsid w:val="006707CA"/>
    <w:rsid w:val="00670842"/>
    <w:rsid w:val="00670BA9"/>
    <w:rsid w:val="00670DC2"/>
    <w:rsid w:val="00670E8C"/>
    <w:rsid w:val="00670F02"/>
    <w:rsid w:val="00670F75"/>
    <w:rsid w:val="00670F8E"/>
    <w:rsid w:val="00671048"/>
    <w:rsid w:val="00671087"/>
    <w:rsid w:val="00671128"/>
    <w:rsid w:val="00671390"/>
    <w:rsid w:val="006713F5"/>
    <w:rsid w:val="006714B2"/>
    <w:rsid w:val="00671561"/>
    <w:rsid w:val="00671768"/>
    <w:rsid w:val="00671799"/>
    <w:rsid w:val="00671802"/>
    <w:rsid w:val="00671832"/>
    <w:rsid w:val="0067193D"/>
    <w:rsid w:val="006719BF"/>
    <w:rsid w:val="006719F8"/>
    <w:rsid w:val="00671B67"/>
    <w:rsid w:val="00671D5F"/>
    <w:rsid w:val="00671EC4"/>
    <w:rsid w:val="00671EF1"/>
    <w:rsid w:val="00671F04"/>
    <w:rsid w:val="00671F68"/>
    <w:rsid w:val="00672022"/>
    <w:rsid w:val="006722BF"/>
    <w:rsid w:val="00672362"/>
    <w:rsid w:val="006723E3"/>
    <w:rsid w:val="006723EF"/>
    <w:rsid w:val="00672492"/>
    <w:rsid w:val="00672581"/>
    <w:rsid w:val="006726B2"/>
    <w:rsid w:val="006728BC"/>
    <w:rsid w:val="006728F4"/>
    <w:rsid w:val="0067291C"/>
    <w:rsid w:val="00672979"/>
    <w:rsid w:val="00672A15"/>
    <w:rsid w:val="00672A51"/>
    <w:rsid w:val="00672B15"/>
    <w:rsid w:val="00672C3F"/>
    <w:rsid w:val="00672D58"/>
    <w:rsid w:val="00672D65"/>
    <w:rsid w:val="00673058"/>
    <w:rsid w:val="006730E4"/>
    <w:rsid w:val="00673141"/>
    <w:rsid w:val="006731C0"/>
    <w:rsid w:val="006731E2"/>
    <w:rsid w:val="006731E9"/>
    <w:rsid w:val="00673228"/>
    <w:rsid w:val="0067340C"/>
    <w:rsid w:val="006734B7"/>
    <w:rsid w:val="006734CE"/>
    <w:rsid w:val="0067354A"/>
    <w:rsid w:val="006736B5"/>
    <w:rsid w:val="00673791"/>
    <w:rsid w:val="00673839"/>
    <w:rsid w:val="00673843"/>
    <w:rsid w:val="00673A10"/>
    <w:rsid w:val="00673A3D"/>
    <w:rsid w:val="00673A57"/>
    <w:rsid w:val="00673ACE"/>
    <w:rsid w:val="00673C3B"/>
    <w:rsid w:val="00673C6C"/>
    <w:rsid w:val="00673CEF"/>
    <w:rsid w:val="00673D5A"/>
    <w:rsid w:val="006740DE"/>
    <w:rsid w:val="00674112"/>
    <w:rsid w:val="00674149"/>
    <w:rsid w:val="00674366"/>
    <w:rsid w:val="006745B2"/>
    <w:rsid w:val="006746F5"/>
    <w:rsid w:val="0067470D"/>
    <w:rsid w:val="006747B7"/>
    <w:rsid w:val="006747DC"/>
    <w:rsid w:val="0067484A"/>
    <w:rsid w:val="006749C3"/>
    <w:rsid w:val="00674A28"/>
    <w:rsid w:val="00674A31"/>
    <w:rsid w:val="00674B13"/>
    <w:rsid w:val="00674B19"/>
    <w:rsid w:val="00674B6F"/>
    <w:rsid w:val="00674C7D"/>
    <w:rsid w:val="00674D10"/>
    <w:rsid w:val="00674EDA"/>
    <w:rsid w:val="006751E9"/>
    <w:rsid w:val="0067529C"/>
    <w:rsid w:val="006752A6"/>
    <w:rsid w:val="006752BC"/>
    <w:rsid w:val="00675347"/>
    <w:rsid w:val="00675505"/>
    <w:rsid w:val="006757DD"/>
    <w:rsid w:val="006758D7"/>
    <w:rsid w:val="0067596E"/>
    <w:rsid w:val="00675A4C"/>
    <w:rsid w:val="00675AB9"/>
    <w:rsid w:val="00675B04"/>
    <w:rsid w:val="00675C65"/>
    <w:rsid w:val="00675D55"/>
    <w:rsid w:val="00675EAB"/>
    <w:rsid w:val="006761CF"/>
    <w:rsid w:val="00676358"/>
    <w:rsid w:val="0067643E"/>
    <w:rsid w:val="006764B1"/>
    <w:rsid w:val="00676501"/>
    <w:rsid w:val="0067652D"/>
    <w:rsid w:val="00676559"/>
    <w:rsid w:val="00676613"/>
    <w:rsid w:val="00676695"/>
    <w:rsid w:val="0067673E"/>
    <w:rsid w:val="00676836"/>
    <w:rsid w:val="00676844"/>
    <w:rsid w:val="006769F3"/>
    <w:rsid w:val="00676B61"/>
    <w:rsid w:val="00676B78"/>
    <w:rsid w:val="00676BC2"/>
    <w:rsid w:val="00676CF2"/>
    <w:rsid w:val="00676F0C"/>
    <w:rsid w:val="00676FF7"/>
    <w:rsid w:val="0067709B"/>
    <w:rsid w:val="006770F8"/>
    <w:rsid w:val="00677104"/>
    <w:rsid w:val="00677167"/>
    <w:rsid w:val="006771A4"/>
    <w:rsid w:val="00677278"/>
    <w:rsid w:val="006772E9"/>
    <w:rsid w:val="006773A0"/>
    <w:rsid w:val="006773D3"/>
    <w:rsid w:val="006773F9"/>
    <w:rsid w:val="006774E6"/>
    <w:rsid w:val="0067759A"/>
    <w:rsid w:val="006777A9"/>
    <w:rsid w:val="006777B7"/>
    <w:rsid w:val="0067782F"/>
    <w:rsid w:val="00677B11"/>
    <w:rsid w:val="00677C33"/>
    <w:rsid w:val="00677C41"/>
    <w:rsid w:val="00677E7E"/>
    <w:rsid w:val="00677EBB"/>
    <w:rsid w:val="00677FDB"/>
    <w:rsid w:val="00680221"/>
    <w:rsid w:val="00680296"/>
    <w:rsid w:val="006802FF"/>
    <w:rsid w:val="006803BA"/>
    <w:rsid w:val="006804AA"/>
    <w:rsid w:val="00680752"/>
    <w:rsid w:val="006807BC"/>
    <w:rsid w:val="006808AE"/>
    <w:rsid w:val="006809E2"/>
    <w:rsid w:val="00680C9C"/>
    <w:rsid w:val="00680CC1"/>
    <w:rsid w:val="00680D3D"/>
    <w:rsid w:val="00680E8B"/>
    <w:rsid w:val="00680F5F"/>
    <w:rsid w:val="006810C3"/>
    <w:rsid w:val="00681114"/>
    <w:rsid w:val="00681270"/>
    <w:rsid w:val="0068128E"/>
    <w:rsid w:val="006812EE"/>
    <w:rsid w:val="0068133D"/>
    <w:rsid w:val="00681450"/>
    <w:rsid w:val="00681474"/>
    <w:rsid w:val="006818F4"/>
    <w:rsid w:val="00681B8A"/>
    <w:rsid w:val="00681CB4"/>
    <w:rsid w:val="00681CCC"/>
    <w:rsid w:val="00681D0A"/>
    <w:rsid w:val="00681DD9"/>
    <w:rsid w:val="00681E26"/>
    <w:rsid w:val="00681F5C"/>
    <w:rsid w:val="00682095"/>
    <w:rsid w:val="0068219B"/>
    <w:rsid w:val="00682219"/>
    <w:rsid w:val="0068221E"/>
    <w:rsid w:val="006822D9"/>
    <w:rsid w:val="00682360"/>
    <w:rsid w:val="0068239E"/>
    <w:rsid w:val="00682438"/>
    <w:rsid w:val="00682586"/>
    <w:rsid w:val="00682719"/>
    <w:rsid w:val="0068273B"/>
    <w:rsid w:val="006827BE"/>
    <w:rsid w:val="006827EB"/>
    <w:rsid w:val="00682830"/>
    <w:rsid w:val="00682852"/>
    <w:rsid w:val="00682972"/>
    <w:rsid w:val="006829D4"/>
    <w:rsid w:val="00682A54"/>
    <w:rsid w:val="00682C5C"/>
    <w:rsid w:val="00682D91"/>
    <w:rsid w:val="00682DAC"/>
    <w:rsid w:val="00682FCE"/>
    <w:rsid w:val="00683006"/>
    <w:rsid w:val="006830CD"/>
    <w:rsid w:val="00683279"/>
    <w:rsid w:val="00683312"/>
    <w:rsid w:val="0068346D"/>
    <w:rsid w:val="006834C6"/>
    <w:rsid w:val="0068359F"/>
    <w:rsid w:val="006835C1"/>
    <w:rsid w:val="006835E6"/>
    <w:rsid w:val="00683673"/>
    <w:rsid w:val="00683687"/>
    <w:rsid w:val="006837A8"/>
    <w:rsid w:val="006839EF"/>
    <w:rsid w:val="00683A51"/>
    <w:rsid w:val="00683A9C"/>
    <w:rsid w:val="00683B03"/>
    <w:rsid w:val="00683D15"/>
    <w:rsid w:val="00683ECC"/>
    <w:rsid w:val="0068405F"/>
    <w:rsid w:val="00684150"/>
    <w:rsid w:val="0068417D"/>
    <w:rsid w:val="0068419A"/>
    <w:rsid w:val="00684268"/>
    <w:rsid w:val="006842A4"/>
    <w:rsid w:val="00684336"/>
    <w:rsid w:val="006844F5"/>
    <w:rsid w:val="0068453A"/>
    <w:rsid w:val="0068464A"/>
    <w:rsid w:val="00684689"/>
    <w:rsid w:val="0068468A"/>
    <w:rsid w:val="00684AE4"/>
    <w:rsid w:val="00684AF0"/>
    <w:rsid w:val="00684B82"/>
    <w:rsid w:val="00684BA0"/>
    <w:rsid w:val="00684C1A"/>
    <w:rsid w:val="00684C50"/>
    <w:rsid w:val="00684CA5"/>
    <w:rsid w:val="00684D26"/>
    <w:rsid w:val="00684EA1"/>
    <w:rsid w:val="0068526E"/>
    <w:rsid w:val="00685362"/>
    <w:rsid w:val="006853BB"/>
    <w:rsid w:val="006853E4"/>
    <w:rsid w:val="00685480"/>
    <w:rsid w:val="006854B8"/>
    <w:rsid w:val="00685534"/>
    <w:rsid w:val="00685601"/>
    <w:rsid w:val="006856AF"/>
    <w:rsid w:val="00685713"/>
    <w:rsid w:val="00685795"/>
    <w:rsid w:val="00685807"/>
    <w:rsid w:val="00685870"/>
    <w:rsid w:val="00685950"/>
    <w:rsid w:val="00685A1A"/>
    <w:rsid w:val="00685A8B"/>
    <w:rsid w:val="00685B19"/>
    <w:rsid w:val="00685B75"/>
    <w:rsid w:val="00685BE1"/>
    <w:rsid w:val="00685D11"/>
    <w:rsid w:val="00685D7A"/>
    <w:rsid w:val="00685E2D"/>
    <w:rsid w:val="00685F58"/>
    <w:rsid w:val="00686096"/>
    <w:rsid w:val="00686196"/>
    <w:rsid w:val="006861F1"/>
    <w:rsid w:val="00686219"/>
    <w:rsid w:val="0068621F"/>
    <w:rsid w:val="00686281"/>
    <w:rsid w:val="00686312"/>
    <w:rsid w:val="00686426"/>
    <w:rsid w:val="0068663E"/>
    <w:rsid w:val="006866E4"/>
    <w:rsid w:val="006866EA"/>
    <w:rsid w:val="00686841"/>
    <w:rsid w:val="00686A6E"/>
    <w:rsid w:val="00686AD6"/>
    <w:rsid w:val="00686D62"/>
    <w:rsid w:val="00686EB9"/>
    <w:rsid w:val="00686F2D"/>
    <w:rsid w:val="0068723D"/>
    <w:rsid w:val="006873E3"/>
    <w:rsid w:val="00687499"/>
    <w:rsid w:val="00687579"/>
    <w:rsid w:val="0068765F"/>
    <w:rsid w:val="0068779C"/>
    <w:rsid w:val="006877CC"/>
    <w:rsid w:val="00687966"/>
    <w:rsid w:val="0068797C"/>
    <w:rsid w:val="00687A64"/>
    <w:rsid w:val="00687B1F"/>
    <w:rsid w:val="00687CA8"/>
    <w:rsid w:val="00687CC8"/>
    <w:rsid w:val="00687D06"/>
    <w:rsid w:val="00687DEB"/>
    <w:rsid w:val="00687E7E"/>
    <w:rsid w:val="00687E94"/>
    <w:rsid w:val="00687FFC"/>
    <w:rsid w:val="0069002D"/>
    <w:rsid w:val="00690068"/>
    <w:rsid w:val="0069016C"/>
    <w:rsid w:val="00690221"/>
    <w:rsid w:val="00690294"/>
    <w:rsid w:val="006902C8"/>
    <w:rsid w:val="00690313"/>
    <w:rsid w:val="006904C5"/>
    <w:rsid w:val="006906B4"/>
    <w:rsid w:val="0069071A"/>
    <w:rsid w:val="00690792"/>
    <w:rsid w:val="006909D7"/>
    <w:rsid w:val="00690A16"/>
    <w:rsid w:val="00690A3D"/>
    <w:rsid w:val="00690AB2"/>
    <w:rsid w:val="00690B44"/>
    <w:rsid w:val="00690D19"/>
    <w:rsid w:val="00690D90"/>
    <w:rsid w:val="00690DD2"/>
    <w:rsid w:val="00690F75"/>
    <w:rsid w:val="00690F95"/>
    <w:rsid w:val="00690FE2"/>
    <w:rsid w:val="00691305"/>
    <w:rsid w:val="006914DE"/>
    <w:rsid w:val="006914F9"/>
    <w:rsid w:val="00691622"/>
    <w:rsid w:val="00691659"/>
    <w:rsid w:val="006916E9"/>
    <w:rsid w:val="006916EB"/>
    <w:rsid w:val="0069176C"/>
    <w:rsid w:val="00691994"/>
    <w:rsid w:val="006919B2"/>
    <w:rsid w:val="00691BD0"/>
    <w:rsid w:val="00691C02"/>
    <w:rsid w:val="00691C9B"/>
    <w:rsid w:val="00691E20"/>
    <w:rsid w:val="00691E93"/>
    <w:rsid w:val="00691EAE"/>
    <w:rsid w:val="00691F30"/>
    <w:rsid w:val="00691F82"/>
    <w:rsid w:val="00691FCE"/>
    <w:rsid w:val="00691FDF"/>
    <w:rsid w:val="0069219E"/>
    <w:rsid w:val="006922BC"/>
    <w:rsid w:val="006923E2"/>
    <w:rsid w:val="00692411"/>
    <w:rsid w:val="0069246C"/>
    <w:rsid w:val="00692472"/>
    <w:rsid w:val="00692523"/>
    <w:rsid w:val="00692744"/>
    <w:rsid w:val="00692853"/>
    <w:rsid w:val="00692888"/>
    <w:rsid w:val="00692978"/>
    <w:rsid w:val="006929AF"/>
    <w:rsid w:val="00692A61"/>
    <w:rsid w:val="00692A91"/>
    <w:rsid w:val="00692CD4"/>
    <w:rsid w:val="00692EB6"/>
    <w:rsid w:val="0069317F"/>
    <w:rsid w:val="006931DE"/>
    <w:rsid w:val="006931F1"/>
    <w:rsid w:val="0069321B"/>
    <w:rsid w:val="00693227"/>
    <w:rsid w:val="00693284"/>
    <w:rsid w:val="006932F1"/>
    <w:rsid w:val="00693389"/>
    <w:rsid w:val="00693427"/>
    <w:rsid w:val="00693487"/>
    <w:rsid w:val="00693497"/>
    <w:rsid w:val="00693503"/>
    <w:rsid w:val="006935A0"/>
    <w:rsid w:val="006935BB"/>
    <w:rsid w:val="0069360C"/>
    <w:rsid w:val="006936ED"/>
    <w:rsid w:val="0069375D"/>
    <w:rsid w:val="00693799"/>
    <w:rsid w:val="006937F8"/>
    <w:rsid w:val="0069390D"/>
    <w:rsid w:val="00693A7F"/>
    <w:rsid w:val="00693AA7"/>
    <w:rsid w:val="00693B03"/>
    <w:rsid w:val="00693D0C"/>
    <w:rsid w:val="00693E4E"/>
    <w:rsid w:val="00693E58"/>
    <w:rsid w:val="00693E6C"/>
    <w:rsid w:val="00693F8F"/>
    <w:rsid w:val="00693F9E"/>
    <w:rsid w:val="00693FBB"/>
    <w:rsid w:val="0069420B"/>
    <w:rsid w:val="0069450B"/>
    <w:rsid w:val="00694551"/>
    <w:rsid w:val="0069463F"/>
    <w:rsid w:val="0069467A"/>
    <w:rsid w:val="006946AA"/>
    <w:rsid w:val="006947AF"/>
    <w:rsid w:val="006947BE"/>
    <w:rsid w:val="00694815"/>
    <w:rsid w:val="00694941"/>
    <w:rsid w:val="00694B5E"/>
    <w:rsid w:val="00694E1D"/>
    <w:rsid w:val="00694E52"/>
    <w:rsid w:val="00694E98"/>
    <w:rsid w:val="00694ED3"/>
    <w:rsid w:val="00694F31"/>
    <w:rsid w:val="00695068"/>
    <w:rsid w:val="00695094"/>
    <w:rsid w:val="006950D9"/>
    <w:rsid w:val="006950EE"/>
    <w:rsid w:val="0069510E"/>
    <w:rsid w:val="00695113"/>
    <w:rsid w:val="00695196"/>
    <w:rsid w:val="006951A1"/>
    <w:rsid w:val="006951EF"/>
    <w:rsid w:val="006953DE"/>
    <w:rsid w:val="0069563E"/>
    <w:rsid w:val="0069586C"/>
    <w:rsid w:val="006958AE"/>
    <w:rsid w:val="006959F3"/>
    <w:rsid w:val="00695A8D"/>
    <w:rsid w:val="00695C05"/>
    <w:rsid w:val="00695C23"/>
    <w:rsid w:val="00695DBA"/>
    <w:rsid w:val="00695E60"/>
    <w:rsid w:val="00695EC5"/>
    <w:rsid w:val="006960D0"/>
    <w:rsid w:val="0069625E"/>
    <w:rsid w:val="006962D1"/>
    <w:rsid w:val="006962E9"/>
    <w:rsid w:val="006962F0"/>
    <w:rsid w:val="0069645B"/>
    <w:rsid w:val="00696509"/>
    <w:rsid w:val="0069657D"/>
    <w:rsid w:val="00696924"/>
    <w:rsid w:val="006969D7"/>
    <w:rsid w:val="006969E9"/>
    <w:rsid w:val="00696A4F"/>
    <w:rsid w:val="00696C26"/>
    <w:rsid w:val="00696C70"/>
    <w:rsid w:val="00696C7F"/>
    <w:rsid w:val="00696D58"/>
    <w:rsid w:val="00696E60"/>
    <w:rsid w:val="006971DB"/>
    <w:rsid w:val="00697293"/>
    <w:rsid w:val="006972E1"/>
    <w:rsid w:val="00697349"/>
    <w:rsid w:val="006973C1"/>
    <w:rsid w:val="0069766F"/>
    <w:rsid w:val="00697808"/>
    <w:rsid w:val="00697809"/>
    <w:rsid w:val="00697896"/>
    <w:rsid w:val="006978FB"/>
    <w:rsid w:val="00697D29"/>
    <w:rsid w:val="00697EAD"/>
    <w:rsid w:val="00697FF3"/>
    <w:rsid w:val="006A0038"/>
    <w:rsid w:val="006A008F"/>
    <w:rsid w:val="006A010C"/>
    <w:rsid w:val="006A01CE"/>
    <w:rsid w:val="006A040A"/>
    <w:rsid w:val="006A046A"/>
    <w:rsid w:val="006A0650"/>
    <w:rsid w:val="006A076F"/>
    <w:rsid w:val="006A0C7E"/>
    <w:rsid w:val="006A0D4E"/>
    <w:rsid w:val="006A0FD1"/>
    <w:rsid w:val="006A0FF1"/>
    <w:rsid w:val="006A100C"/>
    <w:rsid w:val="006A104F"/>
    <w:rsid w:val="006A11F9"/>
    <w:rsid w:val="006A1211"/>
    <w:rsid w:val="006A12AD"/>
    <w:rsid w:val="006A133D"/>
    <w:rsid w:val="006A13B2"/>
    <w:rsid w:val="006A1434"/>
    <w:rsid w:val="006A14D9"/>
    <w:rsid w:val="006A1533"/>
    <w:rsid w:val="006A1534"/>
    <w:rsid w:val="006A16C6"/>
    <w:rsid w:val="006A17B1"/>
    <w:rsid w:val="006A17F3"/>
    <w:rsid w:val="006A1898"/>
    <w:rsid w:val="006A1AA4"/>
    <w:rsid w:val="006A1D4F"/>
    <w:rsid w:val="006A1E0B"/>
    <w:rsid w:val="006A1FC3"/>
    <w:rsid w:val="006A21A7"/>
    <w:rsid w:val="006A21D7"/>
    <w:rsid w:val="006A21E6"/>
    <w:rsid w:val="006A231D"/>
    <w:rsid w:val="006A24C6"/>
    <w:rsid w:val="006A25F0"/>
    <w:rsid w:val="006A2667"/>
    <w:rsid w:val="006A2786"/>
    <w:rsid w:val="006A2868"/>
    <w:rsid w:val="006A286E"/>
    <w:rsid w:val="006A292C"/>
    <w:rsid w:val="006A2A25"/>
    <w:rsid w:val="006A2A3B"/>
    <w:rsid w:val="006A2AF3"/>
    <w:rsid w:val="006A2B22"/>
    <w:rsid w:val="006A2B3E"/>
    <w:rsid w:val="006A2BF0"/>
    <w:rsid w:val="006A2DBC"/>
    <w:rsid w:val="006A2F29"/>
    <w:rsid w:val="006A2F54"/>
    <w:rsid w:val="006A30F9"/>
    <w:rsid w:val="006A31A1"/>
    <w:rsid w:val="006A32C6"/>
    <w:rsid w:val="006A32D5"/>
    <w:rsid w:val="006A335A"/>
    <w:rsid w:val="006A33AA"/>
    <w:rsid w:val="006A3407"/>
    <w:rsid w:val="006A3497"/>
    <w:rsid w:val="006A3543"/>
    <w:rsid w:val="006A35DC"/>
    <w:rsid w:val="006A36F0"/>
    <w:rsid w:val="006A389C"/>
    <w:rsid w:val="006A397E"/>
    <w:rsid w:val="006A3B5E"/>
    <w:rsid w:val="006A3F17"/>
    <w:rsid w:val="006A4048"/>
    <w:rsid w:val="006A40EC"/>
    <w:rsid w:val="006A4267"/>
    <w:rsid w:val="006A4272"/>
    <w:rsid w:val="006A43A9"/>
    <w:rsid w:val="006A43D2"/>
    <w:rsid w:val="006A4451"/>
    <w:rsid w:val="006A4471"/>
    <w:rsid w:val="006A4478"/>
    <w:rsid w:val="006A44B9"/>
    <w:rsid w:val="006A45C1"/>
    <w:rsid w:val="006A4612"/>
    <w:rsid w:val="006A4838"/>
    <w:rsid w:val="006A485E"/>
    <w:rsid w:val="006A4A3E"/>
    <w:rsid w:val="006A4A56"/>
    <w:rsid w:val="006A4ACB"/>
    <w:rsid w:val="006A4AD6"/>
    <w:rsid w:val="006A4AFE"/>
    <w:rsid w:val="006A4C60"/>
    <w:rsid w:val="006A4E71"/>
    <w:rsid w:val="006A4EE8"/>
    <w:rsid w:val="006A4EE9"/>
    <w:rsid w:val="006A4F05"/>
    <w:rsid w:val="006A4F09"/>
    <w:rsid w:val="006A4F32"/>
    <w:rsid w:val="006A4F76"/>
    <w:rsid w:val="006A4FF9"/>
    <w:rsid w:val="006A5074"/>
    <w:rsid w:val="006A5250"/>
    <w:rsid w:val="006A5267"/>
    <w:rsid w:val="006A5523"/>
    <w:rsid w:val="006A557E"/>
    <w:rsid w:val="006A56DA"/>
    <w:rsid w:val="006A5766"/>
    <w:rsid w:val="006A5777"/>
    <w:rsid w:val="006A5787"/>
    <w:rsid w:val="006A578A"/>
    <w:rsid w:val="006A58EA"/>
    <w:rsid w:val="006A5911"/>
    <w:rsid w:val="006A5929"/>
    <w:rsid w:val="006A5A05"/>
    <w:rsid w:val="006A5AE1"/>
    <w:rsid w:val="006A5CFA"/>
    <w:rsid w:val="006A5D76"/>
    <w:rsid w:val="006A5DB3"/>
    <w:rsid w:val="006A5DDA"/>
    <w:rsid w:val="006A5E6A"/>
    <w:rsid w:val="006A5F5B"/>
    <w:rsid w:val="006A60E7"/>
    <w:rsid w:val="006A6243"/>
    <w:rsid w:val="006A625E"/>
    <w:rsid w:val="006A630A"/>
    <w:rsid w:val="006A63A9"/>
    <w:rsid w:val="006A6417"/>
    <w:rsid w:val="006A6691"/>
    <w:rsid w:val="006A67C6"/>
    <w:rsid w:val="006A6812"/>
    <w:rsid w:val="006A6EC3"/>
    <w:rsid w:val="006A6F4A"/>
    <w:rsid w:val="006A706F"/>
    <w:rsid w:val="006A7139"/>
    <w:rsid w:val="006A717B"/>
    <w:rsid w:val="006A7252"/>
    <w:rsid w:val="006A7297"/>
    <w:rsid w:val="006A72B9"/>
    <w:rsid w:val="006A72D3"/>
    <w:rsid w:val="006A7311"/>
    <w:rsid w:val="006A7331"/>
    <w:rsid w:val="006A733E"/>
    <w:rsid w:val="006A741C"/>
    <w:rsid w:val="006A74D4"/>
    <w:rsid w:val="006A757B"/>
    <w:rsid w:val="006A75BA"/>
    <w:rsid w:val="006A75D6"/>
    <w:rsid w:val="006A762F"/>
    <w:rsid w:val="006A773D"/>
    <w:rsid w:val="006A778A"/>
    <w:rsid w:val="006A783A"/>
    <w:rsid w:val="006A78DC"/>
    <w:rsid w:val="006A7930"/>
    <w:rsid w:val="006A799B"/>
    <w:rsid w:val="006A7AC0"/>
    <w:rsid w:val="006A7B07"/>
    <w:rsid w:val="006A7BA5"/>
    <w:rsid w:val="006A7CE9"/>
    <w:rsid w:val="006A7D2D"/>
    <w:rsid w:val="006A7E53"/>
    <w:rsid w:val="006A7F68"/>
    <w:rsid w:val="006A7F7B"/>
    <w:rsid w:val="006B00A7"/>
    <w:rsid w:val="006B00D1"/>
    <w:rsid w:val="006B01FC"/>
    <w:rsid w:val="006B0331"/>
    <w:rsid w:val="006B03B1"/>
    <w:rsid w:val="006B0460"/>
    <w:rsid w:val="006B0463"/>
    <w:rsid w:val="006B0534"/>
    <w:rsid w:val="006B079A"/>
    <w:rsid w:val="006B08A9"/>
    <w:rsid w:val="006B08CF"/>
    <w:rsid w:val="006B0A73"/>
    <w:rsid w:val="006B0AEA"/>
    <w:rsid w:val="006B0BF1"/>
    <w:rsid w:val="006B0BF5"/>
    <w:rsid w:val="006B0CD9"/>
    <w:rsid w:val="006B0E51"/>
    <w:rsid w:val="006B0F46"/>
    <w:rsid w:val="006B0FB3"/>
    <w:rsid w:val="006B100C"/>
    <w:rsid w:val="006B1017"/>
    <w:rsid w:val="006B1034"/>
    <w:rsid w:val="006B10FF"/>
    <w:rsid w:val="006B12E6"/>
    <w:rsid w:val="006B13B8"/>
    <w:rsid w:val="006B140C"/>
    <w:rsid w:val="006B14AC"/>
    <w:rsid w:val="006B1594"/>
    <w:rsid w:val="006B15DA"/>
    <w:rsid w:val="006B1941"/>
    <w:rsid w:val="006B19C9"/>
    <w:rsid w:val="006B19F9"/>
    <w:rsid w:val="006B1A03"/>
    <w:rsid w:val="006B1A90"/>
    <w:rsid w:val="006B1AC0"/>
    <w:rsid w:val="006B1D20"/>
    <w:rsid w:val="006B1D24"/>
    <w:rsid w:val="006B1DD2"/>
    <w:rsid w:val="006B1EE0"/>
    <w:rsid w:val="006B1F89"/>
    <w:rsid w:val="006B1FB7"/>
    <w:rsid w:val="006B20CF"/>
    <w:rsid w:val="006B2138"/>
    <w:rsid w:val="006B21BC"/>
    <w:rsid w:val="006B243D"/>
    <w:rsid w:val="006B2554"/>
    <w:rsid w:val="006B256C"/>
    <w:rsid w:val="006B25F2"/>
    <w:rsid w:val="006B26E3"/>
    <w:rsid w:val="006B2748"/>
    <w:rsid w:val="006B2798"/>
    <w:rsid w:val="006B2815"/>
    <w:rsid w:val="006B2848"/>
    <w:rsid w:val="006B2892"/>
    <w:rsid w:val="006B28F7"/>
    <w:rsid w:val="006B296C"/>
    <w:rsid w:val="006B2BF1"/>
    <w:rsid w:val="006B2BFA"/>
    <w:rsid w:val="006B2C60"/>
    <w:rsid w:val="006B318C"/>
    <w:rsid w:val="006B31C2"/>
    <w:rsid w:val="006B331A"/>
    <w:rsid w:val="006B333C"/>
    <w:rsid w:val="006B33B1"/>
    <w:rsid w:val="006B343D"/>
    <w:rsid w:val="006B356C"/>
    <w:rsid w:val="006B3615"/>
    <w:rsid w:val="006B36EE"/>
    <w:rsid w:val="006B37A8"/>
    <w:rsid w:val="006B39D9"/>
    <w:rsid w:val="006B3A4F"/>
    <w:rsid w:val="006B3B6D"/>
    <w:rsid w:val="006B3C8C"/>
    <w:rsid w:val="006B3D26"/>
    <w:rsid w:val="006B3D4A"/>
    <w:rsid w:val="006B3EAF"/>
    <w:rsid w:val="006B4018"/>
    <w:rsid w:val="006B40C8"/>
    <w:rsid w:val="006B41D1"/>
    <w:rsid w:val="006B4200"/>
    <w:rsid w:val="006B4257"/>
    <w:rsid w:val="006B433A"/>
    <w:rsid w:val="006B44E0"/>
    <w:rsid w:val="006B461D"/>
    <w:rsid w:val="006B47E6"/>
    <w:rsid w:val="006B4920"/>
    <w:rsid w:val="006B4925"/>
    <w:rsid w:val="006B49B0"/>
    <w:rsid w:val="006B4A1A"/>
    <w:rsid w:val="006B4A28"/>
    <w:rsid w:val="006B4A9A"/>
    <w:rsid w:val="006B4CD3"/>
    <w:rsid w:val="006B4D4F"/>
    <w:rsid w:val="006B4DD5"/>
    <w:rsid w:val="006B4DD9"/>
    <w:rsid w:val="006B4E29"/>
    <w:rsid w:val="006B4EB0"/>
    <w:rsid w:val="006B4FAD"/>
    <w:rsid w:val="006B4FE4"/>
    <w:rsid w:val="006B5052"/>
    <w:rsid w:val="006B506E"/>
    <w:rsid w:val="006B5271"/>
    <w:rsid w:val="006B53FD"/>
    <w:rsid w:val="006B5482"/>
    <w:rsid w:val="006B55F5"/>
    <w:rsid w:val="006B570D"/>
    <w:rsid w:val="006B57B9"/>
    <w:rsid w:val="006B5984"/>
    <w:rsid w:val="006B5A79"/>
    <w:rsid w:val="006B5B48"/>
    <w:rsid w:val="006B5B7D"/>
    <w:rsid w:val="006B5B8A"/>
    <w:rsid w:val="006B5C12"/>
    <w:rsid w:val="006B5DC5"/>
    <w:rsid w:val="006B5DE2"/>
    <w:rsid w:val="006B5E3C"/>
    <w:rsid w:val="006B5EC0"/>
    <w:rsid w:val="006B5F29"/>
    <w:rsid w:val="006B5FA1"/>
    <w:rsid w:val="006B6261"/>
    <w:rsid w:val="006B644D"/>
    <w:rsid w:val="006B656C"/>
    <w:rsid w:val="006B6576"/>
    <w:rsid w:val="006B6668"/>
    <w:rsid w:val="006B6695"/>
    <w:rsid w:val="006B66AA"/>
    <w:rsid w:val="006B692B"/>
    <w:rsid w:val="006B69E6"/>
    <w:rsid w:val="006B6A12"/>
    <w:rsid w:val="006B6B48"/>
    <w:rsid w:val="006B6BC3"/>
    <w:rsid w:val="006B6DB0"/>
    <w:rsid w:val="006B6EB8"/>
    <w:rsid w:val="006B6EC7"/>
    <w:rsid w:val="006B702D"/>
    <w:rsid w:val="006B7056"/>
    <w:rsid w:val="006B7089"/>
    <w:rsid w:val="006B7144"/>
    <w:rsid w:val="006B7214"/>
    <w:rsid w:val="006B747D"/>
    <w:rsid w:val="006B749F"/>
    <w:rsid w:val="006B754E"/>
    <w:rsid w:val="006B75A4"/>
    <w:rsid w:val="006B764D"/>
    <w:rsid w:val="006B7690"/>
    <w:rsid w:val="006B76AD"/>
    <w:rsid w:val="006B787B"/>
    <w:rsid w:val="006B7964"/>
    <w:rsid w:val="006B7A8C"/>
    <w:rsid w:val="006B7A9D"/>
    <w:rsid w:val="006B7AE5"/>
    <w:rsid w:val="006B7AED"/>
    <w:rsid w:val="006B7B2D"/>
    <w:rsid w:val="006B7C74"/>
    <w:rsid w:val="006B7E3E"/>
    <w:rsid w:val="006B7EB9"/>
    <w:rsid w:val="006B7FDA"/>
    <w:rsid w:val="006C0058"/>
    <w:rsid w:val="006C0093"/>
    <w:rsid w:val="006C0096"/>
    <w:rsid w:val="006C00FB"/>
    <w:rsid w:val="006C0142"/>
    <w:rsid w:val="006C0177"/>
    <w:rsid w:val="006C01FC"/>
    <w:rsid w:val="006C02B2"/>
    <w:rsid w:val="006C0334"/>
    <w:rsid w:val="006C0400"/>
    <w:rsid w:val="006C041E"/>
    <w:rsid w:val="006C042B"/>
    <w:rsid w:val="006C05E5"/>
    <w:rsid w:val="006C06DD"/>
    <w:rsid w:val="006C0746"/>
    <w:rsid w:val="006C0780"/>
    <w:rsid w:val="006C083E"/>
    <w:rsid w:val="006C0B6F"/>
    <w:rsid w:val="006C0B7B"/>
    <w:rsid w:val="006C0C3B"/>
    <w:rsid w:val="006C0D9D"/>
    <w:rsid w:val="006C0E78"/>
    <w:rsid w:val="006C0F9B"/>
    <w:rsid w:val="006C1399"/>
    <w:rsid w:val="006C15A5"/>
    <w:rsid w:val="006C1714"/>
    <w:rsid w:val="006C18C5"/>
    <w:rsid w:val="006C198C"/>
    <w:rsid w:val="006C1A29"/>
    <w:rsid w:val="006C1C13"/>
    <w:rsid w:val="006C1CE9"/>
    <w:rsid w:val="006C1CEE"/>
    <w:rsid w:val="006C1D09"/>
    <w:rsid w:val="006C1DCB"/>
    <w:rsid w:val="006C1EEC"/>
    <w:rsid w:val="006C1F5C"/>
    <w:rsid w:val="006C20D0"/>
    <w:rsid w:val="006C21DC"/>
    <w:rsid w:val="006C2200"/>
    <w:rsid w:val="006C221F"/>
    <w:rsid w:val="006C241C"/>
    <w:rsid w:val="006C2423"/>
    <w:rsid w:val="006C2533"/>
    <w:rsid w:val="006C25B7"/>
    <w:rsid w:val="006C26BA"/>
    <w:rsid w:val="006C26C6"/>
    <w:rsid w:val="006C26CC"/>
    <w:rsid w:val="006C2728"/>
    <w:rsid w:val="006C2738"/>
    <w:rsid w:val="006C27A4"/>
    <w:rsid w:val="006C27DB"/>
    <w:rsid w:val="006C28DA"/>
    <w:rsid w:val="006C28F4"/>
    <w:rsid w:val="006C2945"/>
    <w:rsid w:val="006C29C1"/>
    <w:rsid w:val="006C2A5D"/>
    <w:rsid w:val="006C2AA3"/>
    <w:rsid w:val="006C2AC3"/>
    <w:rsid w:val="006C2BBC"/>
    <w:rsid w:val="006C2C59"/>
    <w:rsid w:val="006C2E88"/>
    <w:rsid w:val="006C3002"/>
    <w:rsid w:val="006C3130"/>
    <w:rsid w:val="006C31E6"/>
    <w:rsid w:val="006C320F"/>
    <w:rsid w:val="006C323B"/>
    <w:rsid w:val="006C32CB"/>
    <w:rsid w:val="006C3314"/>
    <w:rsid w:val="006C3366"/>
    <w:rsid w:val="006C347B"/>
    <w:rsid w:val="006C34DA"/>
    <w:rsid w:val="006C367F"/>
    <w:rsid w:val="006C36F4"/>
    <w:rsid w:val="006C36F7"/>
    <w:rsid w:val="006C3725"/>
    <w:rsid w:val="006C3744"/>
    <w:rsid w:val="006C387D"/>
    <w:rsid w:val="006C38D1"/>
    <w:rsid w:val="006C3AE5"/>
    <w:rsid w:val="006C3C2F"/>
    <w:rsid w:val="006C3D10"/>
    <w:rsid w:val="006C3DE4"/>
    <w:rsid w:val="006C3EBF"/>
    <w:rsid w:val="006C3F90"/>
    <w:rsid w:val="006C3F9F"/>
    <w:rsid w:val="006C4140"/>
    <w:rsid w:val="006C414B"/>
    <w:rsid w:val="006C4170"/>
    <w:rsid w:val="006C41CA"/>
    <w:rsid w:val="006C4342"/>
    <w:rsid w:val="006C43F2"/>
    <w:rsid w:val="006C456D"/>
    <w:rsid w:val="006C45BF"/>
    <w:rsid w:val="006C470F"/>
    <w:rsid w:val="006C4796"/>
    <w:rsid w:val="006C48B7"/>
    <w:rsid w:val="006C48EF"/>
    <w:rsid w:val="006C4955"/>
    <w:rsid w:val="006C4B1A"/>
    <w:rsid w:val="006C4BA5"/>
    <w:rsid w:val="006C4BD1"/>
    <w:rsid w:val="006C4C8A"/>
    <w:rsid w:val="006C4C9F"/>
    <w:rsid w:val="006C4CDE"/>
    <w:rsid w:val="006C4D24"/>
    <w:rsid w:val="006C4D65"/>
    <w:rsid w:val="006C4E03"/>
    <w:rsid w:val="006C5024"/>
    <w:rsid w:val="006C5104"/>
    <w:rsid w:val="006C511D"/>
    <w:rsid w:val="006C5148"/>
    <w:rsid w:val="006C525A"/>
    <w:rsid w:val="006C525B"/>
    <w:rsid w:val="006C53BE"/>
    <w:rsid w:val="006C55C2"/>
    <w:rsid w:val="006C55E6"/>
    <w:rsid w:val="006C57F6"/>
    <w:rsid w:val="006C5837"/>
    <w:rsid w:val="006C5840"/>
    <w:rsid w:val="006C5A1D"/>
    <w:rsid w:val="006C5A60"/>
    <w:rsid w:val="006C5AED"/>
    <w:rsid w:val="006C5C48"/>
    <w:rsid w:val="006C5CB4"/>
    <w:rsid w:val="006C5CDE"/>
    <w:rsid w:val="006C5D33"/>
    <w:rsid w:val="006C5DB1"/>
    <w:rsid w:val="006C5E2E"/>
    <w:rsid w:val="006C5F00"/>
    <w:rsid w:val="006C5FA2"/>
    <w:rsid w:val="006C604E"/>
    <w:rsid w:val="006C613A"/>
    <w:rsid w:val="006C613E"/>
    <w:rsid w:val="006C6251"/>
    <w:rsid w:val="006C626B"/>
    <w:rsid w:val="006C650A"/>
    <w:rsid w:val="006C6587"/>
    <w:rsid w:val="006C6681"/>
    <w:rsid w:val="006C678B"/>
    <w:rsid w:val="006C67E3"/>
    <w:rsid w:val="006C6854"/>
    <w:rsid w:val="006C6963"/>
    <w:rsid w:val="006C69A8"/>
    <w:rsid w:val="006C6AD7"/>
    <w:rsid w:val="006C6BB2"/>
    <w:rsid w:val="006C6BB5"/>
    <w:rsid w:val="006C6BBB"/>
    <w:rsid w:val="006C6D4E"/>
    <w:rsid w:val="006C6D91"/>
    <w:rsid w:val="006C6DCF"/>
    <w:rsid w:val="006C6DDA"/>
    <w:rsid w:val="006C6DEA"/>
    <w:rsid w:val="006C6E03"/>
    <w:rsid w:val="006C6E8F"/>
    <w:rsid w:val="006C6EE5"/>
    <w:rsid w:val="006C702D"/>
    <w:rsid w:val="006C7075"/>
    <w:rsid w:val="006C71C0"/>
    <w:rsid w:val="006C72EF"/>
    <w:rsid w:val="006C735D"/>
    <w:rsid w:val="006C740F"/>
    <w:rsid w:val="006C7458"/>
    <w:rsid w:val="006C7464"/>
    <w:rsid w:val="006C74CD"/>
    <w:rsid w:val="006C762C"/>
    <w:rsid w:val="006C76F4"/>
    <w:rsid w:val="006C7741"/>
    <w:rsid w:val="006C7820"/>
    <w:rsid w:val="006C78F1"/>
    <w:rsid w:val="006C797E"/>
    <w:rsid w:val="006C7999"/>
    <w:rsid w:val="006C7A37"/>
    <w:rsid w:val="006C7A58"/>
    <w:rsid w:val="006C7A64"/>
    <w:rsid w:val="006C7CFD"/>
    <w:rsid w:val="006C7D15"/>
    <w:rsid w:val="006C7D69"/>
    <w:rsid w:val="006C7E54"/>
    <w:rsid w:val="006C7F26"/>
    <w:rsid w:val="006D006D"/>
    <w:rsid w:val="006D0098"/>
    <w:rsid w:val="006D01AA"/>
    <w:rsid w:val="006D01B8"/>
    <w:rsid w:val="006D02EB"/>
    <w:rsid w:val="006D0679"/>
    <w:rsid w:val="006D06FF"/>
    <w:rsid w:val="006D0709"/>
    <w:rsid w:val="006D070C"/>
    <w:rsid w:val="006D0741"/>
    <w:rsid w:val="006D07C2"/>
    <w:rsid w:val="006D083A"/>
    <w:rsid w:val="006D08BF"/>
    <w:rsid w:val="006D098A"/>
    <w:rsid w:val="006D0A16"/>
    <w:rsid w:val="006D0AD8"/>
    <w:rsid w:val="006D0B03"/>
    <w:rsid w:val="006D0EAB"/>
    <w:rsid w:val="006D0EBF"/>
    <w:rsid w:val="006D0F58"/>
    <w:rsid w:val="006D0F78"/>
    <w:rsid w:val="006D1068"/>
    <w:rsid w:val="006D10A2"/>
    <w:rsid w:val="006D1193"/>
    <w:rsid w:val="006D1195"/>
    <w:rsid w:val="006D11EE"/>
    <w:rsid w:val="006D13A6"/>
    <w:rsid w:val="006D148A"/>
    <w:rsid w:val="006D14AE"/>
    <w:rsid w:val="006D157C"/>
    <w:rsid w:val="006D1820"/>
    <w:rsid w:val="006D183F"/>
    <w:rsid w:val="006D1963"/>
    <w:rsid w:val="006D1A7C"/>
    <w:rsid w:val="006D1C54"/>
    <w:rsid w:val="006D1CAC"/>
    <w:rsid w:val="006D1D0B"/>
    <w:rsid w:val="006D1DBE"/>
    <w:rsid w:val="006D1DE4"/>
    <w:rsid w:val="006D1E03"/>
    <w:rsid w:val="006D1EED"/>
    <w:rsid w:val="006D1F97"/>
    <w:rsid w:val="006D20B9"/>
    <w:rsid w:val="006D214D"/>
    <w:rsid w:val="006D2231"/>
    <w:rsid w:val="006D229F"/>
    <w:rsid w:val="006D2735"/>
    <w:rsid w:val="006D2760"/>
    <w:rsid w:val="006D27B1"/>
    <w:rsid w:val="006D2924"/>
    <w:rsid w:val="006D2C4E"/>
    <w:rsid w:val="006D2C6A"/>
    <w:rsid w:val="006D2CFF"/>
    <w:rsid w:val="006D2D5C"/>
    <w:rsid w:val="006D2D7F"/>
    <w:rsid w:val="006D2E03"/>
    <w:rsid w:val="006D2EA0"/>
    <w:rsid w:val="006D2ECB"/>
    <w:rsid w:val="006D2F1F"/>
    <w:rsid w:val="006D2F78"/>
    <w:rsid w:val="006D30E7"/>
    <w:rsid w:val="006D3208"/>
    <w:rsid w:val="006D3363"/>
    <w:rsid w:val="006D3466"/>
    <w:rsid w:val="006D3467"/>
    <w:rsid w:val="006D34CA"/>
    <w:rsid w:val="006D34F1"/>
    <w:rsid w:val="006D3517"/>
    <w:rsid w:val="006D3530"/>
    <w:rsid w:val="006D3768"/>
    <w:rsid w:val="006D37DD"/>
    <w:rsid w:val="006D3852"/>
    <w:rsid w:val="006D3967"/>
    <w:rsid w:val="006D3B02"/>
    <w:rsid w:val="006D3C9D"/>
    <w:rsid w:val="006D3D5D"/>
    <w:rsid w:val="006D3D8F"/>
    <w:rsid w:val="006D3DDB"/>
    <w:rsid w:val="006D3E38"/>
    <w:rsid w:val="006D3E97"/>
    <w:rsid w:val="006D3EDD"/>
    <w:rsid w:val="006D3EF7"/>
    <w:rsid w:val="006D3F0A"/>
    <w:rsid w:val="006D4006"/>
    <w:rsid w:val="006D4055"/>
    <w:rsid w:val="006D4186"/>
    <w:rsid w:val="006D4421"/>
    <w:rsid w:val="006D4511"/>
    <w:rsid w:val="006D45FC"/>
    <w:rsid w:val="006D468F"/>
    <w:rsid w:val="006D4753"/>
    <w:rsid w:val="006D47EA"/>
    <w:rsid w:val="006D484E"/>
    <w:rsid w:val="006D48EE"/>
    <w:rsid w:val="006D4982"/>
    <w:rsid w:val="006D4A00"/>
    <w:rsid w:val="006D4AB8"/>
    <w:rsid w:val="006D4B1D"/>
    <w:rsid w:val="006D4BBE"/>
    <w:rsid w:val="006D4C3C"/>
    <w:rsid w:val="006D4DA3"/>
    <w:rsid w:val="006D4F6A"/>
    <w:rsid w:val="006D5049"/>
    <w:rsid w:val="006D50C6"/>
    <w:rsid w:val="006D5110"/>
    <w:rsid w:val="006D516E"/>
    <w:rsid w:val="006D5209"/>
    <w:rsid w:val="006D5389"/>
    <w:rsid w:val="006D53A1"/>
    <w:rsid w:val="006D53DF"/>
    <w:rsid w:val="006D550D"/>
    <w:rsid w:val="006D550F"/>
    <w:rsid w:val="006D5526"/>
    <w:rsid w:val="006D55E1"/>
    <w:rsid w:val="006D56AD"/>
    <w:rsid w:val="006D5884"/>
    <w:rsid w:val="006D5937"/>
    <w:rsid w:val="006D5AA3"/>
    <w:rsid w:val="006D5B3B"/>
    <w:rsid w:val="006D5BE2"/>
    <w:rsid w:val="006D5C9F"/>
    <w:rsid w:val="006D5E3D"/>
    <w:rsid w:val="006D5F0C"/>
    <w:rsid w:val="006D5F2F"/>
    <w:rsid w:val="006D5F56"/>
    <w:rsid w:val="006D5FA5"/>
    <w:rsid w:val="006D61CF"/>
    <w:rsid w:val="006D6324"/>
    <w:rsid w:val="006D638B"/>
    <w:rsid w:val="006D65D7"/>
    <w:rsid w:val="006D65DD"/>
    <w:rsid w:val="006D6615"/>
    <w:rsid w:val="006D6666"/>
    <w:rsid w:val="006D680C"/>
    <w:rsid w:val="006D69EE"/>
    <w:rsid w:val="006D6A3F"/>
    <w:rsid w:val="006D6AC2"/>
    <w:rsid w:val="006D6BB7"/>
    <w:rsid w:val="006D6CB5"/>
    <w:rsid w:val="006D6CD0"/>
    <w:rsid w:val="006D6DA5"/>
    <w:rsid w:val="006D6DF9"/>
    <w:rsid w:val="006D6E4A"/>
    <w:rsid w:val="006D6E91"/>
    <w:rsid w:val="006D6F32"/>
    <w:rsid w:val="006D6F76"/>
    <w:rsid w:val="006D6FE0"/>
    <w:rsid w:val="006D7139"/>
    <w:rsid w:val="006D7193"/>
    <w:rsid w:val="006D738D"/>
    <w:rsid w:val="006D73D1"/>
    <w:rsid w:val="006D73E1"/>
    <w:rsid w:val="006D746F"/>
    <w:rsid w:val="006D7480"/>
    <w:rsid w:val="006D74BC"/>
    <w:rsid w:val="006D7581"/>
    <w:rsid w:val="006D75DB"/>
    <w:rsid w:val="006D7695"/>
    <w:rsid w:val="006D78C2"/>
    <w:rsid w:val="006D78D0"/>
    <w:rsid w:val="006D78FA"/>
    <w:rsid w:val="006D798F"/>
    <w:rsid w:val="006D79C7"/>
    <w:rsid w:val="006D7A1B"/>
    <w:rsid w:val="006D7AA5"/>
    <w:rsid w:val="006D7AAD"/>
    <w:rsid w:val="006D7B00"/>
    <w:rsid w:val="006D7BEF"/>
    <w:rsid w:val="006D7C0D"/>
    <w:rsid w:val="006D7C16"/>
    <w:rsid w:val="006D7D10"/>
    <w:rsid w:val="006D7E28"/>
    <w:rsid w:val="006D7F90"/>
    <w:rsid w:val="006E0038"/>
    <w:rsid w:val="006E0128"/>
    <w:rsid w:val="006E01BB"/>
    <w:rsid w:val="006E033D"/>
    <w:rsid w:val="006E03AF"/>
    <w:rsid w:val="006E04DE"/>
    <w:rsid w:val="006E0596"/>
    <w:rsid w:val="006E064F"/>
    <w:rsid w:val="006E0662"/>
    <w:rsid w:val="006E0803"/>
    <w:rsid w:val="006E081D"/>
    <w:rsid w:val="006E08EA"/>
    <w:rsid w:val="006E093E"/>
    <w:rsid w:val="006E0AAE"/>
    <w:rsid w:val="006E0B59"/>
    <w:rsid w:val="006E0B84"/>
    <w:rsid w:val="006E0E46"/>
    <w:rsid w:val="006E110F"/>
    <w:rsid w:val="006E121C"/>
    <w:rsid w:val="006E1457"/>
    <w:rsid w:val="006E1461"/>
    <w:rsid w:val="006E150D"/>
    <w:rsid w:val="006E1510"/>
    <w:rsid w:val="006E15B3"/>
    <w:rsid w:val="006E15F0"/>
    <w:rsid w:val="006E1626"/>
    <w:rsid w:val="006E1840"/>
    <w:rsid w:val="006E194A"/>
    <w:rsid w:val="006E1958"/>
    <w:rsid w:val="006E1ABF"/>
    <w:rsid w:val="006E1AE2"/>
    <w:rsid w:val="006E1D9E"/>
    <w:rsid w:val="006E1E00"/>
    <w:rsid w:val="006E1E4A"/>
    <w:rsid w:val="006E1F48"/>
    <w:rsid w:val="006E2230"/>
    <w:rsid w:val="006E224A"/>
    <w:rsid w:val="006E229F"/>
    <w:rsid w:val="006E22DD"/>
    <w:rsid w:val="006E23A3"/>
    <w:rsid w:val="006E24E4"/>
    <w:rsid w:val="006E2535"/>
    <w:rsid w:val="006E25C2"/>
    <w:rsid w:val="006E27BC"/>
    <w:rsid w:val="006E27F1"/>
    <w:rsid w:val="006E296D"/>
    <w:rsid w:val="006E2A52"/>
    <w:rsid w:val="006E2BBF"/>
    <w:rsid w:val="006E2BC9"/>
    <w:rsid w:val="006E2C70"/>
    <w:rsid w:val="006E2D26"/>
    <w:rsid w:val="006E2DBB"/>
    <w:rsid w:val="006E2DFA"/>
    <w:rsid w:val="006E2E1E"/>
    <w:rsid w:val="006E2F40"/>
    <w:rsid w:val="006E2F45"/>
    <w:rsid w:val="006E30AE"/>
    <w:rsid w:val="006E3223"/>
    <w:rsid w:val="006E3285"/>
    <w:rsid w:val="006E32CD"/>
    <w:rsid w:val="006E33FD"/>
    <w:rsid w:val="006E3493"/>
    <w:rsid w:val="006E34AC"/>
    <w:rsid w:val="006E352D"/>
    <w:rsid w:val="006E356C"/>
    <w:rsid w:val="006E357C"/>
    <w:rsid w:val="006E366C"/>
    <w:rsid w:val="006E3730"/>
    <w:rsid w:val="006E3754"/>
    <w:rsid w:val="006E3910"/>
    <w:rsid w:val="006E39F6"/>
    <w:rsid w:val="006E3A02"/>
    <w:rsid w:val="006E3AF6"/>
    <w:rsid w:val="006E3B25"/>
    <w:rsid w:val="006E3BC5"/>
    <w:rsid w:val="006E3CC9"/>
    <w:rsid w:val="006E3D36"/>
    <w:rsid w:val="006E3FFA"/>
    <w:rsid w:val="006E3FFB"/>
    <w:rsid w:val="006E4977"/>
    <w:rsid w:val="006E4984"/>
    <w:rsid w:val="006E4E2A"/>
    <w:rsid w:val="006E4EA2"/>
    <w:rsid w:val="006E5012"/>
    <w:rsid w:val="006E5096"/>
    <w:rsid w:val="006E511B"/>
    <w:rsid w:val="006E5122"/>
    <w:rsid w:val="006E519B"/>
    <w:rsid w:val="006E53CD"/>
    <w:rsid w:val="006E5456"/>
    <w:rsid w:val="006E567C"/>
    <w:rsid w:val="006E57A5"/>
    <w:rsid w:val="006E57FD"/>
    <w:rsid w:val="006E586E"/>
    <w:rsid w:val="006E5945"/>
    <w:rsid w:val="006E5AAD"/>
    <w:rsid w:val="006E5AC6"/>
    <w:rsid w:val="006E5ACF"/>
    <w:rsid w:val="006E5B32"/>
    <w:rsid w:val="006E5B39"/>
    <w:rsid w:val="006E5B6C"/>
    <w:rsid w:val="006E5B85"/>
    <w:rsid w:val="006E5DB2"/>
    <w:rsid w:val="006E5FA6"/>
    <w:rsid w:val="006E5FBA"/>
    <w:rsid w:val="006E6094"/>
    <w:rsid w:val="006E621B"/>
    <w:rsid w:val="006E64A4"/>
    <w:rsid w:val="006E673B"/>
    <w:rsid w:val="006E6747"/>
    <w:rsid w:val="006E68A2"/>
    <w:rsid w:val="006E68D0"/>
    <w:rsid w:val="006E6A80"/>
    <w:rsid w:val="006E6B32"/>
    <w:rsid w:val="006E6BF0"/>
    <w:rsid w:val="006E6D1C"/>
    <w:rsid w:val="006E6DCC"/>
    <w:rsid w:val="006E6DD3"/>
    <w:rsid w:val="006E6E08"/>
    <w:rsid w:val="006E711E"/>
    <w:rsid w:val="006E715A"/>
    <w:rsid w:val="006E722F"/>
    <w:rsid w:val="006E7317"/>
    <w:rsid w:val="006E736A"/>
    <w:rsid w:val="006E740B"/>
    <w:rsid w:val="006E744E"/>
    <w:rsid w:val="006E74D7"/>
    <w:rsid w:val="006E74FC"/>
    <w:rsid w:val="006E7596"/>
    <w:rsid w:val="006E7658"/>
    <w:rsid w:val="006E7832"/>
    <w:rsid w:val="006E7992"/>
    <w:rsid w:val="006E7A97"/>
    <w:rsid w:val="006E7C0A"/>
    <w:rsid w:val="006E7C2B"/>
    <w:rsid w:val="006E7D7E"/>
    <w:rsid w:val="006E7E48"/>
    <w:rsid w:val="006E7EC1"/>
    <w:rsid w:val="006E7ED4"/>
    <w:rsid w:val="006E7FA9"/>
    <w:rsid w:val="006F00E6"/>
    <w:rsid w:val="006F00FE"/>
    <w:rsid w:val="006F012B"/>
    <w:rsid w:val="006F021C"/>
    <w:rsid w:val="006F0234"/>
    <w:rsid w:val="006F033D"/>
    <w:rsid w:val="006F0371"/>
    <w:rsid w:val="006F053A"/>
    <w:rsid w:val="006F060B"/>
    <w:rsid w:val="006F06D9"/>
    <w:rsid w:val="006F06DC"/>
    <w:rsid w:val="006F0763"/>
    <w:rsid w:val="006F078A"/>
    <w:rsid w:val="006F0921"/>
    <w:rsid w:val="006F0A6D"/>
    <w:rsid w:val="006F0BB1"/>
    <w:rsid w:val="006F0CAD"/>
    <w:rsid w:val="006F0CB0"/>
    <w:rsid w:val="006F0DB7"/>
    <w:rsid w:val="006F0ED8"/>
    <w:rsid w:val="006F0F08"/>
    <w:rsid w:val="006F0F10"/>
    <w:rsid w:val="006F0F18"/>
    <w:rsid w:val="006F0F5E"/>
    <w:rsid w:val="006F0FF3"/>
    <w:rsid w:val="006F101E"/>
    <w:rsid w:val="006F1073"/>
    <w:rsid w:val="006F10B1"/>
    <w:rsid w:val="006F1104"/>
    <w:rsid w:val="006F119D"/>
    <w:rsid w:val="006F126F"/>
    <w:rsid w:val="006F1289"/>
    <w:rsid w:val="006F1459"/>
    <w:rsid w:val="006F1513"/>
    <w:rsid w:val="006F1574"/>
    <w:rsid w:val="006F161C"/>
    <w:rsid w:val="006F167E"/>
    <w:rsid w:val="006F1887"/>
    <w:rsid w:val="006F1923"/>
    <w:rsid w:val="006F1CAA"/>
    <w:rsid w:val="006F1D1F"/>
    <w:rsid w:val="006F1D3E"/>
    <w:rsid w:val="006F1E9D"/>
    <w:rsid w:val="006F1FFE"/>
    <w:rsid w:val="006F203A"/>
    <w:rsid w:val="006F2057"/>
    <w:rsid w:val="006F20AF"/>
    <w:rsid w:val="006F20B8"/>
    <w:rsid w:val="006F20FB"/>
    <w:rsid w:val="006F2101"/>
    <w:rsid w:val="006F218C"/>
    <w:rsid w:val="006F23FC"/>
    <w:rsid w:val="006F2401"/>
    <w:rsid w:val="006F257F"/>
    <w:rsid w:val="006F25C5"/>
    <w:rsid w:val="006F261E"/>
    <w:rsid w:val="006F2707"/>
    <w:rsid w:val="006F286F"/>
    <w:rsid w:val="006F2A90"/>
    <w:rsid w:val="006F2AD0"/>
    <w:rsid w:val="006F2AEB"/>
    <w:rsid w:val="006F2B49"/>
    <w:rsid w:val="006F2C26"/>
    <w:rsid w:val="006F2D9E"/>
    <w:rsid w:val="006F3010"/>
    <w:rsid w:val="006F31BB"/>
    <w:rsid w:val="006F31F2"/>
    <w:rsid w:val="006F320C"/>
    <w:rsid w:val="006F327D"/>
    <w:rsid w:val="006F332A"/>
    <w:rsid w:val="006F339B"/>
    <w:rsid w:val="006F3437"/>
    <w:rsid w:val="006F344C"/>
    <w:rsid w:val="006F349B"/>
    <w:rsid w:val="006F34B2"/>
    <w:rsid w:val="006F36B6"/>
    <w:rsid w:val="006F3758"/>
    <w:rsid w:val="006F379D"/>
    <w:rsid w:val="006F3915"/>
    <w:rsid w:val="006F394D"/>
    <w:rsid w:val="006F3A8E"/>
    <w:rsid w:val="006F3B1F"/>
    <w:rsid w:val="006F3B7B"/>
    <w:rsid w:val="006F3B83"/>
    <w:rsid w:val="006F3BC8"/>
    <w:rsid w:val="006F3C21"/>
    <w:rsid w:val="006F3C30"/>
    <w:rsid w:val="006F3D6D"/>
    <w:rsid w:val="006F3FC8"/>
    <w:rsid w:val="006F4011"/>
    <w:rsid w:val="006F4018"/>
    <w:rsid w:val="006F4042"/>
    <w:rsid w:val="006F40A3"/>
    <w:rsid w:val="006F40F2"/>
    <w:rsid w:val="006F416E"/>
    <w:rsid w:val="006F4182"/>
    <w:rsid w:val="006F4184"/>
    <w:rsid w:val="006F41C9"/>
    <w:rsid w:val="006F430C"/>
    <w:rsid w:val="006F438F"/>
    <w:rsid w:val="006F43BE"/>
    <w:rsid w:val="006F43E3"/>
    <w:rsid w:val="006F446F"/>
    <w:rsid w:val="006F4540"/>
    <w:rsid w:val="006F4809"/>
    <w:rsid w:val="006F48A6"/>
    <w:rsid w:val="006F4A28"/>
    <w:rsid w:val="006F4A9C"/>
    <w:rsid w:val="006F4AFD"/>
    <w:rsid w:val="006F4B40"/>
    <w:rsid w:val="006F4B42"/>
    <w:rsid w:val="006F4B94"/>
    <w:rsid w:val="006F4BA6"/>
    <w:rsid w:val="006F4CB8"/>
    <w:rsid w:val="006F4CDF"/>
    <w:rsid w:val="006F4D79"/>
    <w:rsid w:val="006F4E2A"/>
    <w:rsid w:val="006F4EB5"/>
    <w:rsid w:val="006F4EBA"/>
    <w:rsid w:val="006F4F18"/>
    <w:rsid w:val="006F50F2"/>
    <w:rsid w:val="006F5156"/>
    <w:rsid w:val="006F5165"/>
    <w:rsid w:val="006F51FD"/>
    <w:rsid w:val="006F523A"/>
    <w:rsid w:val="006F5246"/>
    <w:rsid w:val="006F52AF"/>
    <w:rsid w:val="006F53B5"/>
    <w:rsid w:val="006F547A"/>
    <w:rsid w:val="006F55D0"/>
    <w:rsid w:val="006F5655"/>
    <w:rsid w:val="006F567F"/>
    <w:rsid w:val="006F5870"/>
    <w:rsid w:val="006F591A"/>
    <w:rsid w:val="006F5968"/>
    <w:rsid w:val="006F5ACA"/>
    <w:rsid w:val="006F5B6A"/>
    <w:rsid w:val="006F5BC6"/>
    <w:rsid w:val="006F5C11"/>
    <w:rsid w:val="006F5C3E"/>
    <w:rsid w:val="006F5CE2"/>
    <w:rsid w:val="006F5CE7"/>
    <w:rsid w:val="006F5D53"/>
    <w:rsid w:val="006F5EC8"/>
    <w:rsid w:val="006F5F46"/>
    <w:rsid w:val="006F5FB2"/>
    <w:rsid w:val="006F5FC4"/>
    <w:rsid w:val="006F5FD0"/>
    <w:rsid w:val="006F6075"/>
    <w:rsid w:val="006F60B8"/>
    <w:rsid w:val="006F6145"/>
    <w:rsid w:val="006F6178"/>
    <w:rsid w:val="006F6278"/>
    <w:rsid w:val="006F6375"/>
    <w:rsid w:val="006F63A7"/>
    <w:rsid w:val="006F64D2"/>
    <w:rsid w:val="006F65E4"/>
    <w:rsid w:val="006F66AA"/>
    <w:rsid w:val="006F66E1"/>
    <w:rsid w:val="006F6719"/>
    <w:rsid w:val="006F6723"/>
    <w:rsid w:val="006F67BA"/>
    <w:rsid w:val="006F68C2"/>
    <w:rsid w:val="006F68F7"/>
    <w:rsid w:val="006F6A74"/>
    <w:rsid w:val="006F6AAA"/>
    <w:rsid w:val="006F6AE5"/>
    <w:rsid w:val="006F6B0A"/>
    <w:rsid w:val="006F6BBB"/>
    <w:rsid w:val="006F6CF1"/>
    <w:rsid w:val="006F6DE1"/>
    <w:rsid w:val="006F6EAF"/>
    <w:rsid w:val="006F6ED5"/>
    <w:rsid w:val="006F6FAF"/>
    <w:rsid w:val="006F7052"/>
    <w:rsid w:val="006F71D4"/>
    <w:rsid w:val="006F71F3"/>
    <w:rsid w:val="006F7244"/>
    <w:rsid w:val="006F72DF"/>
    <w:rsid w:val="006F7309"/>
    <w:rsid w:val="006F730E"/>
    <w:rsid w:val="006F7341"/>
    <w:rsid w:val="006F735C"/>
    <w:rsid w:val="006F736E"/>
    <w:rsid w:val="006F73DC"/>
    <w:rsid w:val="006F7660"/>
    <w:rsid w:val="006F76AE"/>
    <w:rsid w:val="006F76C3"/>
    <w:rsid w:val="006F77B8"/>
    <w:rsid w:val="006F78B1"/>
    <w:rsid w:val="006F7923"/>
    <w:rsid w:val="006F798B"/>
    <w:rsid w:val="006F7A3D"/>
    <w:rsid w:val="006F7A53"/>
    <w:rsid w:val="006F7BBA"/>
    <w:rsid w:val="006F7D58"/>
    <w:rsid w:val="00700184"/>
    <w:rsid w:val="007001BF"/>
    <w:rsid w:val="00700203"/>
    <w:rsid w:val="00700502"/>
    <w:rsid w:val="0070056B"/>
    <w:rsid w:val="007005D1"/>
    <w:rsid w:val="00700600"/>
    <w:rsid w:val="0070067A"/>
    <w:rsid w:val="00700A18"/>
    <w:rsid w:val="00700C04"/>
    <w:rsid w:val="00700C94"/>
    <w:rsid w:val="00700D4F"/>
    <w:rsid w:val="00700EBF"/>
    <w:rsid w:val="00700F9C"/>
    <w:rsid w:val="00700FCE"/>
    <w:rsid w:val="00701014"/>
    <w:rsid w:val="00701038"/>
    <w:rsid w:val="00701090"/>
    <w:rsid w:val="007011C3"/>
    <w:rsid w:val="00701306"/>
    <w:rsid w:val="0070130F"/>
    <w:rsid w:val="0070136F"/>
    <w:rsid w:val="00701387"/>
    <w:rsid w:val="0070142C"/>
    <w:rsid w:val="00701543"/>
    <w:rsid w:val="0070156C"/>
    <w:rsid w:val="007015FE"/>
    <w:rsid w:val="00701603"/>
    <w:rsid w:val="00701661"/>
    <w:rsid w:val="007016AF"/>
    <w:rsid w:val="00701779"/>
    <w:rsid w:val="00701846"/>
    <w:rsid w:val="00701A38"/>
    <w:rsid w:val="00701B12"/>
    <w:rsid w:val="00701B56"/>
    <w:rsid w:val="00701BD3"/>
    <w:rsid w:val="00701C08"/>
    <w:rsid w:val="00701C14"/>
    <w:rsid w:val="00701CA6"/>
    <w:rsid w:val="00701DE1"/>
    <w:rsid w:val="00702130"/>
    <w:rsid w:val="0070224C"/>
    <w:rsid w:val="007022DE"/>
    <w:rsid w:val="00702414"/>
    <w:rsid w:val="007024DC"/>
    <w:rsid w:val="00702564"/>
    <w:rsid w:val="00702734"/>
    <w:rsid w:val="00702872"/>
    <w:rsid w:val="007028FF"/>
    <w:rsid w:val="007029FA"/>
    <w:rsid w:val="00702A3C"/>
    <w:rsid w:val="00702A8B"/>
    <w:rsid w:val="00702AE8"/>
    <w:rsid w:val="00702AEE"/>
    <w:rsid w:val="00702B24"/>
    <w:rsid w:val="00702BED"/>
    <w:rsid w:val="00702CDD"/>
    <w:rsid w:val="00702D7F"/>
    <w:rsid w:val="00702DB6"/>
    <w:rsid w:val="00702E9D"/>
    <w:rsid w:val="00702F6E"/>
    <w:rsid w:val="00702F77"/>
    <w:rsid w:val="0070302C"/>
    <w:rsid w:val="007031E6"/>
    <w:rsid w:val="00703242"/>
    <w:rsid w:val="007032F7"/>
    <w:rsid w:val="007033E3"/>
    <w:rsid w:val="0070348D"/>
    <w:rsid w:val="00703567"/>
    <w:rsid w:val="00703707"/>
    <w:rsid w:val="007038A7"/>
    <w:rsid w:val="007038FF"/>
    <w:rsid w:val="007039FB"/>
    <w:rsid w:val="00703AA5"/>
    <w:rsid w:val="00703B49"/>
    <w:rsid w:val="00703BEC"/>
    <w:rsid w:val="00703CC9"/>
    <w:rsid w:val="00703D3C"/>
    <w:rsid w:val="00703DF1"/>
    <w:rsid w:val="007041A1"/>
    <w:rsid w:val="00704246"/>
    <w:rsid w:val="007042B5"/>
    <w:rsid w:val="007042D3"/>
    <w:rsid w:val="00704472"/>
    <w:rsid w:val="00704487"/>
    <w:rsid w:val="007044CB"/>
    <w:rsid w:val="0070472B"/>
    <w:rsid w:val="00704828"/>
    <w:rsid w:val="00704936"/>
    <w:rsid w:val="00704953"/>
    <w:rsid w:val="007049B2"/>
    <w:rsid w:val="00704A7E"/>
    <w:rsid w:val="00704A81"/>
    <w:rsid w:val="00704B66"/>
    <w:rsid w:val="00704C0E"/>
    <w:rsid w:val="00704DBA"/>
    <w:rsid w:val="00704E8C"/>
    <w:rsid w:val="00704EF7"/>
    <w:rsid w:val="007050FA"/>
    <w:rsid w:val="0070514D"/>
    <w:rsid w:val="00705210"/>
    <w:rsid w:val="0070526F"/>
    <w:rsid w:val="00705406"/>
    <w:rsid w:val="0070542E"/>
    <w:rsid w:val="00705436"/>
    <w:rsid w:val="007054AA"/>
    <w:rsid w:val="00705600"/>
    <w:rsid w:val="007056C4"/>
    <w:rsid w:val="00705732"/>
    <w:rsid w:val="007057EE"/>
    <w:rsid w:val="007058F7"/>
    <w:rsid w:val="00705A35"/>
    <w:rsid w:val="00705A48"/>
    <w:rsid w:val="00705DF2"/>
    <w:rsid w:val="00705E0F"/>
    <w:rsid w:val="00705EDC"/>
    <w:rsid w:val="00705F19"/>
    <w:rsid w:val="007060F3"/>
    <w:rsid w:val="0070625F"/>
    <w:rsid w:val="007062D9"/>
    <w:rsid w:val="0070639B"/>
    <w:rsid w:val="0070639F"/>
    <w:rsid w:val="0070660F"/>
    <w:rsid w:val="0070666E"/>
    <w:rsid w:val="00706766"/>
    <w:rsid w:val="00706863"/>
    <w:rsid w:val="00706AB5"/>
    <w:rsid w:val="00706EEF"/>
    <w:rsid w:val="00706FC2"/>
    <w:rsid w:val="00707041"/>
    <w:rsid w:val="007070F3"/>
    <w:rsid w:val="00707114"/>
    <w:rsid w:val="007071B1"/>
    <w:rsid w:val="00707242"/>
    <w:rsid w:val="007072CF"/>
    <w:rsid w:val="0070734B"/>
    <w:rsid w:val="0070738D"/>
    <w:rsid w:val="00707564"/>
    <w:rsid w:val="007077DA"/>
    <w:rsid w:val="0070782D"/>
    <w:rsid w:val="00707A5D"/>
    <w:rsid w:val="00707A6D"/>
    <w:rsid w:val="00707ACC"/>
    <w:rsid w:val="00707AF6"/>
    <w:rsid w:val="00707BF4"/>
    <w:rsid w:val="00707CB5"/>
    <w:rsid w:val="00707D97"/>
    <w:rsid w:val="00707E63"/>
    <w:rsid w:val="00707E92"/>
    <w:rsid w:val="00707E9D"/>
    <w:rsid w:val="0071006E"/>
    <w:rsid w:val="00710121"/>
    <w:rsid w:val="00710132"/>
    <w:rsid w:val="0071017B"/>
    <w:rsid w:val="00710205"/>
    <w:rsid w:val="00710271"/>
    <w:rsid w:val="00710299"/>
    <w:rsid w:val="0071029A"/>
    <w:rsid w:val="007102AD"/>
    <w:rsid w:val="007103E0"/>
    <w:rsid w:val="007104EC"/>
    <w:rsid w:val="00710501"/>
    <w:rsid w:val="00710590"/>
    <w:rsid w:val="0071062A"/>
    <w:rsid w:val="007106E7"/>
    <w:rsid w:val="0071076A"/>
    <w:rsid w:val="0071080C"/>
    <w:rsid w:val="007108BC"/>
    <w:rsid w:val="0071093A"/>
    <w:rsid w:val="00710959"/>
    <w:rsid w:val="00710BA5"/>
    <w:rsid w:val="00710C88"/>
    <w:rsid w:val="00710D19"/>
    <w:rsid w:val="00710D62"/>
    <w:rsid w:val="00710DC2"/>
    <w:rsid w:val="00710DF0"/>
    <w:rsid w:val="00710E7B"/>
    <w:rsid w:val="00710E8A"/>
    <w:rsid w:val="00711061"/>
    <w:rsid w:val="0071138E"/>
    <w:rsid w:val="0071164A"/>
    <w:rsid w:val="007117E8"/>
    <w:rsid w:val="0071183C"/>
    <w:rsid w:val="0071198E"/>
    <w:rsid w:val="00711A74"/>
    <w:rsid w:val="00711AEC"/>
    <w:rsid w:val="00711AF3"/>
    <w:rsid w:val="00711B7D"/>
    <w:rsid w:val="00711C49"/>
    <w:rsid w:val="00711D1B"/>
    <w:rsid w:val="00711D6B"/>
    <w:rsid w:val="00711E0C"/>
    <w:rsid w:val="00712066"/>
    <w:rsid w:val="00712067"/>
    <w:rsid w:val="007120EA"/>
    <w:rsid w:val="00712116"/>
    <w:rsid w:val="00712182"/>
    <w:rsid w:val="0071226C"/>
    <w:rsid w:val="007123FA"/>
    <w:rsid w:val="00712495"/>
    <w:rsid w:val="007124A4"/>
    <w:rsid w:val="00712574"/>
    <w:rsid w:val="0071274D"/>
    <w:rsid w:val="00712773"/>
    <w:rsid w:val="007128EB"/>
    <w:rsid w:val="007128FA"/>
    <w:rsid w:val="00712900"/>
    <w:rsid w:val="007129C8"/>
    <w:rsid w:val="007129F4"/>
    <w:rsid w:val="00712A1A"/>
    <w:rsid w:val="00712A76"/>
    <w:rsid w:val="00712B0B"/>
    <w:rsid w:val="00712C42"/>
    <w:rsid w:val="00712C6B"/>
    <w:rsid w:val="00712CEA"/>
    <w:rsid w:val="00712D6B"/>
    <w:rsid w:val="00712EBD"/>
    <w:rsid w:val="00713057"/>
    <w:rsid w:val="0071309C"/>
    <w:rsid w:val="007130F3"/>
    <w:rsid w:val="007130FC"/>
    <w:rsid w:val="0071320D"/>
    <w:rsid w:val="00713274"/>
    <w:rsid w:val="00713299"/>
    <w:rsid w:val="0071329E"/>
    <w:rsid w:val="00713383"/>
    <w:rsid w:val="00713404"/>
    <w:rsid w:val="007134C8"/>
    <w:rsid w:val="0071355C"/>
    <w:rsid w:val="00713705"/>
    <w:rsid w:val="0071390C"/>
    <w:rsid w:val="00713934"/>
    <w:rsid w:val="00713941"/>
    <w:rsid w:val="007139B8"/>
    <w:rsid w:val="00713AD3"/>
    <w:rsid w:val="00713BD8"/>
    <w:rsid w:val="00713EE8"/>
    <w:rsid w:val="00713F08"/>
    <w:rsid w:val="007141C2"/>
    <w:rsid w:val="00714212"/>
    <w:rsid w:val="007142FE"/>
    <w:rsid w:val="00714322"/>
    <w:rsid w:val="00714371"/>
    <w:rsid w:val="007143D7"/>
    <w:rsid w:val="0071446C"/>
    <w:rsid w:val="007144BD"/>
    <w:rsid w:val="00714542"/>
    <w:rsid w:val="007146EF"/>
    <w:rsid w:val="00714756"/>
    <w:rsid w:val="00714838"/>
    <w:rsid w:val="007149AD"/>
    <w:rsid w:val="00714A17"/>
    <w:rsid w:val="00714A95"/>
    <w:rsid w:val="00714B29"/>
    <w:rsid w:val="00714BB1"/>
    <w:rsid w:val="00714D93"/>
    <w:rsid w:val="00714E1C"/>
    <w:rsid w:val="00714E47"/>
    <w:rsid w:val="00714ED6"/>
    <w:rsid w:val="00714F6B"/>
    <w:rsid w:val="00714FA8"/>
    <w:rsid w:val="0071505B"/>
    <w:rsid w:val="00715062"/>
    <w:rsid w:val="00715145"/>
    <w:rsid w:val="007151E2"/>
    <w:rsid w:val="00715201"/>
    <w:rsid w:val="0071525C"/>
    <w:rsid w:val="007152E1"/>
    <w:rsid w:val="00715451"/>
    <w:rsid w:val="007154AC"/>
    <w:rsid w:val="00715560"/>
    <w:rsid w:val="00715773"/>
    <w:rsid w:val="00715843"/>
    <w:rsid w:val="0071587F"/>
    <w:rsid w:val="007158E2"/>
    <w:rsid w:val="007158E4"/>
    <w:rsid w:val="00715946"/>
    <w:rsid w:val="00715A93"/>
    <w:rsid w:val="00715B62"/>
    <w:rsid w:val="00715B9E"/>
    <w:rsid w:val="00715C08"/>
    <w:rsid w:val="00715C36"/>
    <w:rsid w:val="00715DDF"/>
    <w:rsid w:val="00715F94"/>
    <w:rsid w:val="00716039"/>
    <w:rsid w:val="00716084"/>
    <w:rsid w:val="007160BE"/>
    <w:rsid w:val="007160F9"/>
    <w:rsid w:val="007163A5"/>
    <w:rsid w:val="007163EE"/>
    <w:rsid w:val="007163FA"/>
    <w:rsid w:val="00716400"/>
    <w:rsid w:val="007164D9"/>
    <w:rsid w:val="00716566"/>
    <w:rsid w:val="007165E5"/>
    <w:rsid w:val="007165F9"/>
    <w:rsid w:val="00716641"/>
    <w:rsid w:val="007166AD"/>
    <w:rsid w:val="00716A91"/>
    <w:rsid w:val="00716BFF"/>
    <w:rsid w:val="00716CAE"/>
    <w:rsid w:val="00716CCE"/>
    <w:rsid w:val="00716DA1"/>
    <w:rsid w:val="00716DC2"/>
    <w:rsid w:val="00716FCB"/>
    <w:rsid w:val="007171D1"/>
    <w:rsid w:val="007171F9"/>
    <w:rsid w:val="0071720C"/>
    <w:rsid w:val="0071729E"/>
    <w:rsid w:val="007172DA"/>
    <w:rsid w:val="007172FE"/>
    <w:rsid w:val="00717333"/>
    <w:rsid w:val="0071742B"/>
    <w:rsid w:val="007176F0"/>
    <w:rsid w:val="00717717"/>
    <w:rsid w:val="00717751"/>
    <w:rsid w:val="00717823"/>
    <w:rsid w:val="007178AC"/>
    <w:rsid w:val="00717CBA"/>
    <w:rsid w:val="00717DDF"/>
    <w:rsid w:val="00717EA0"/>
    <w:rsid w:val="00717EB6"/>
    <w:rsid w:val="00717EDF"/>
    <w:rsid w:val="0072009B"/>
    <w:rsid w:val="007201DD"/>
    <w:rsid w:val="0072051E"/>
    <w:rsid w:val="00720555"/>
    <w:rsid w:val="007205BA"/>
    <w:rsid w:val="007206A1"/>
    <w:rsid w:val="007206B7"/>
    <w:rsid w:val="00720782"/>
    <w:rsid w:val="007207A2"/>
    <w:rsid w:val="007207CD"/>
    <w:rsid w:val="00720A0C"/>
    <w:rsid w:val="00720A27"/>
    <w:rsid w:val="00720A36"/>
    <w:rsid w:val="00720A57"/>
    <w:rsid w:val="00720AD4"/>
    <w:rsid w:val="00720C01"/>
    <w:rsid w:val="00720C78"/>
    <w:rsid w:val="00720E00"/>
    <w:rsid w:val="00721039"/>
    <w:rsid w:val="00721061"/>
    <w:rsid w:val="007210EF"/>
    <w:rsid w:val="007210FB"/>
    <w:rsid w:val="00721165"/>
    <w:rsid w:val="0072119A"/>
    <w:rsid w:val="00721308"/>
    <w:rsid w:val="0072130C"/>
    <w:rsid w:val="00721333"/>
    <w:rsid w:val="0072137C"/>
    <w:rsid w:val="00721449"/>
    <w:rsid w:val="00721835"/>
    <w:rsid w:val="007218DD"/>
    <w:rsid w:val="007218F8"/>
    <w:rsid w:val="0072190B"/>
    <w:rsid w:val="00721914"/>
    <w:rsid w:val="00721936"/>
    <w:rsid w:val="00721978"/>
    <w:rsid w:val="00721990"/>
    <w:rsid w:val="007219E0"/>
    <w:rsid w:val="00721AE2"/>
    <w:rsid w:val="00721B20"/>
    <w:rsid w:val="00721B2F"/>
    <w:rsid w:val="00721B63"/>
    <w:rsid w:val="00721B8F"/>
    <w:rsid w:val="00721C54"/>
    <w:rsid w:val="00721DAF"/>
    <w:rsid w:val="00721E25"/>
    <w:rsid w:val="00721F40"/>
    <w:rsid w:val="00721FAB"/>
    <w:rsid w:val="00722174"/>
    <w:rsid w:val="00722177"/>
    <w:rsid w:val="007222B2"/>
    <w:rsid w:val="007222F0"/>
    <w:rsid w:val="0072250C"/>
    <w:rsid w:val="007225D4"/>
    <w:rsid w:val="007225D5"/>
    <w:rsid w:val="00722653"/>
    <w:rsid w:val="00722658"/>
    <w:rsid w:val="0072266B"/>
    <w:rsid w:val="007229AC"/>
    <w:rsid w:val="00722B02"/>
    <w:rsid w:val="00722B0E"/>
    <w:rsid w:val="00722BE5"/>
    <w:rsid w:val="00722D6B"/>
    <w:rsid w:val="00722D6E"/>
    <w:rsid w:val="00722DA4"/>
    <w:rsid w:val="00722EF6"/>
    <w:rsid w:val="00723025"/>
    <w:rsid w:val="007230A4"/>
    <w:rsid w:val="0072341C"/>
    <w:rsid w:val="0072343F"/>
    <w:rsid w:val="007234B0"/>
    <w:rsid w:val="007235AB"/>
    <w:rsid w:val="007235E0"/>
    <w:rsid w:val="007235E8"/>
    <w:rsid w:val="00723723"/>
    <w:rsid w:val="00723807"/>
    <w:rsid w:val="0072392C"/>
    <w:rsid w:val="00723A6B"/>
    <w:rsid w:val="00723AA6"/>
    <w:rsid w:val="00723AF1"/>
    <w:rsid w:val="00723B30"/>
    <w:rsid w:val="00723BE6"/>
    <w:rsid w:val="00723C1C"/>
    <w:rsid w:val="00723C6B"/>
    <w:rsid w:val="00723CCE"/>
    <w:rsid w:val="00723D44"/>
    <w:rsid w:val="00723D47"/>
    <w:rsid w:val="00723D55"/>
    <w:rsid w:val="00723E04"/>
    <w:rsid w:val="00723EB4"/>
    <w:rsid w:val="00723FB5"/>
    <w:rsid w:val="007240FA"/>
    <w:rsid w:val="0072412A"/>
    <w:rsid w:val="00724190"/>
    <w:rsid w:val="00724286"/>
    <w:rsid w:val="007242A4"/>
    <w:rsid w:val="007248DB"/>
    <w:rsid w:val="007249C0"/>
    <w:rsid w:val="007249CC"/>
    <w:rsid w:val="00724AF0"/>
    <w:rsid w:val="00724B17"/>
    <w:rsid w:val="00724E81"/>
    <w:rsid w:val="00725163"/>
    <w:rsid w:val="00725196"/>
    <w:rsid w:val="0072535B"/>
    <w:rsid w:val="00725432"/>
    <w:rsid w:val="007254C8"/>
    <w:rsid w:val="00725843"/>
    <w:rsid w:val="00725967"/>
    <w:rsid w:val="00725991"/>
    <w:rsid w:val="007259A2"/>
    <w:rsid w:val="00725A59"/>
    <w:rsid w:val="00725BA7"/>
    <w:rsid w:val="00725D30"/>
    <w:rsid w:val="00725D99"/>
    <w:rsid w:val="00725F1B"/>
    <w:rsid w:val="00726062"/>
    <w:rsid w:val="007261F8"/>
    <w:rsid w:val="0072634C"/>
    <w:rsid w:val="00726434"/>
    <w:rsid w:val="007264B6"/>
    <w:rsid w:val="00726614"/>
    <w:rsid w:val="0072677D"/>
    <w:rsid w:val="007267CE"/>
    <w:rsid w:val="00726A34"/>
    <w:rsid w:val="00726A83"/>
    <w:rsid w:val="00726BAC"/>
    <w:rsid w:val="00726D8E"/>
    <w:rsid w:val="00726ED4"/>
    <w:rsid w:val="00726F90"/>
    <w:rsid w:val="0072700D"/>
    <w:rsid w:val="00727016"/>
    <w:rsid w:val="0072720A"/>
    <w:rsid w:val="007272B3"/>
    <w:rsid w:val="007273DA"/>
    <w:rsid w:val="00727415"/>
    <w:rsid w:val="007275D4"/>
    <w:rsid w:val="0072768D"/>
    <w:rsid w:val="00727704"/>
    <w:rsid w:val="007277B3"/>
    <w:rsid w:val="00727B14"/>
    <w:rsid w:val="00727B5E"/>
    <w:rsid w:val="00727B79"/>
    <w:rsid w:val="00727C49"/>
    <w:rsid w:val="00727C7E"/>
    <w:rsid w:val="00727D94"/>
    <w:rsid w:val="00727FD2"/>
    <w:rsid w:val="00727FE5"/>
    <w:rsid w:val="007300C0"/>
    <w:rsid w:val="00730189"/>
    <w:rsid w:val="00730214"/>
    <w:rsid w:val="007303F0"/>
    <w:rsid w:val="007304D3"/>
    <w:rsid w:val="00730567"/>
    <w:rsid w:val="00730584"/>
    <w:rsid w:val="00730592"/>
    <w:rsid w:val="007305BF"/>
    <w:rsid w:val="007305CD"/>
    <w:rsid w:val="007305D6"/>
    <w:rsid w:val="00730853"/>
    <w:rsid w:val="00730878"/>
    <w:rsid w:val="007309D4"/>
    <w:rsid w:val="00730B95"/>
    <w:rsid w:val="00730C3B"/>
    <w:rsid w:val="00730C92"/>
    <w:rsid w:val="00730CFF"/>
    <w:rsid w:val="00730DE4"/>
    <w:rsid w:val="00730FB1"/>
    <w:rsid w:val="00730FC6"/>
    <w:rsid w:val="00730FC7"/>
    <w:rsid w:val="00731053"/>
    <w:rsid w:val="007312AC"/>
    <w:rsid w:val="00731453"/>
    <w:rsid w:val="0073156B"/>
    <w:rsid w:val="007315AE"/>
    <w:rsid w:val="00731639"/>
    <w:rsid w:val="007318A0"/>
    <w:rsid w:val="00731A6F"/>
    <w:rsid w:val="00731B17"/>
    <w:rsid w:val="00731D09"/>
    <w:rsid w:val="00731EA3"/>
    <w:rsid w:val="0073200D"/>
    <w:rsid w:val="00732030"/>
    <w:rsid w:val="00732054"/>
    <w:rsid w:val="00732123"/>
    <w:rsid w:val="0073217C"/>
    <w:rsid w:val="007321A0"/>
    <w:rsid w:val="0073226A"/>
    <w:rsid w:val="0073232B"/>
    <w:rsid w:val="00732341"/>
    <w:rsid w:val="0073234B"/>
    <w:rsid w:val="00732442"/>
    <w:rsid w:val="007324D8"/>
    <w:rsid w:val="00732634"/>
    <w:rsid w:val="0073269E"/>
    <w:rsid w:val="00732805"/>
    <w:rsid w:val="007328F8"/>
    <w:rsid w:val="0073290D"/>
    <w:rsid w:val="00732AFD"/>
    <w:rsid w:val="00732B8B"/>
    <w:rsid w:val="00732CC8"/>
    <w:rsid w:val="00732CCF"/>
    <w:rsid w:val="00732D99"/>
    <w:rsid w:val="00732DBD"/>
    <w:rsid w:val="0073300C"/>
    <w:rsid w:val="007330A9"/>
    <w:rsid w:val="007331D7"/>
    <w:rsid w:val="00733308"/>
    <w:rsid w:val="00733338"/>
    <w:rsid w:val="007334FB"/>
    <w:rsid w:val="00733794"/>
    <w:rsid w:val="007337E5"/>
    <w:rsid w:val="007338A1"/>
    <w:rsid w:val="00733A6D"/>
    <w:rsid w:val="00733B36"/>
    <w:rsid w:val="00733BE6"/>
    <w:rsid w:val="00733C57"/>
    <w:rsid w:val="00733C6C"/>
    <w:rsid w:val="00733DFB"/>
    <w:rsid w:val="00733E2C"/>
    <w:rsid w:val="00733EA5"/>
    <w:rsid w:val="0073407F"/>
    <w:rsid w:val="0073409E"/>
    <w:rsid w:val="0073423F"/>
    <w:rsid w:val="007342FA"/>
    <w:rsid w:val="00734306"/>
    <w:rsid w:val="00734345"/>
    <w:rsid w:val="007344D9"/>
    <w:rsid w:val="007345B2"/>
    <w:rsid w:val="00734650"/>
    <w:rsid w:val="0073482C"/>
    <w:rsid w:val="00734831"/>
    <w:rsid w:val="0073484B"/>
    <w:rsid w:val="00734A18"/>
    <w:rsid w:val="00734BAC"/>
    <w:rsid w:val="00734BF9"/>
    <w:rsid w:val="00734C1A"/>
    <w:rsid w:val="00734CBE"/>
    <w:rsid w:val="00734D28"/>
    <w:rsid w:val="00734D9B"/>
    <w:rsid w:val="00734DB5"/>
    <w:rsid w:val="00734E0A"/>
    <w:rsid w:val="00734F32"/>
    <w:rsid w:val="00734F8B"/>
    <w:rsid w:val="00735193"/>
    <w:rsid w:val="00735555"/>
    <w:rsid w:val="00735607"/>
    <w:rsid w:val="00735776"/>
    <w:rsid w:val="0073585C"/>
    <w:rsid w:val="007358AB"/>
    <w:rsid w:val="00735A33"/>
    <w:rsid w:val="00735AFF"/>
    <w:rsid w:val="00735B28"/>
    <w:rsid w:val="00735B32"/>
    <w:rsid w:val="00735CF1"/>
    <w:rsid w:val="00736174"/>
    <w:rsid w:val="007361CE"/>
    <w:rsid w:val="0073621A"/>
    <w:rsid w:val="00736237"/>
    <w:rsid w:val="007364B9"/>
    <w:rsid w:val="0073652E"/>
    <w:rsid w:val="00736539"/>
    <w:rsid w:val="00736680"/>
    <w:rsid w:val="00736695"/>
    <w:rsid w:val="0073669B"/>
    <w:rsid w:val="007366F9"/>
    <w:rsid w:val="0073675C"/>
    <w:rsid w:val="00736915"/>
    <w:rsid w:val="007369C2"/>
    <w:rsid w:val="007369FE"/>
    <w:rsid w:val="00736BB1"/>
    <w:rsid w:val="00736C61"/>
    <w:rsid w:val="00736CBA"/>
    <w:rsid w:val="00736D10"/>
    <w:rsid w:val="00736EDE"/>
    <w:rsid w:val="00736FCC"/>
    <w:rsid w:val="00737149"/>
    <w:rsid w:val="00737271"/>
    <w:rsid w:val="007372C2"/>
    <w:rsid w:val="00737408"/>
    <w:rsid w:val="007374DE"/>
    <w:rsid w:val="00737512"/>
    <w:rsid w:val="0073755B"/>
    <w:rsid w:val="00737648"/>
    <w:rsid w:val="0073764C"/>
    <w:rsid w:val="007376A1"/>
    <w:rsid w:val="007378F3"/>
    <w:rsid w:val="00737B4C"/>
    <w:rsid w:val="00737C56"/>
    <w:rsid w:val="00737C8A"/>
    <w:rsid w:val="00737D21"/>
    <w:rsid w:val="00737D4C"/>
    <w:rsid w:val="00737D4E"/>
    <w:rsid w:val="007400AF"/>
    <w:rsid w:val="007400E7"/>
    <w:rsid w:val="007401D4"/>
    <w:rsid w:val="007403A6"/>
    <w:rsid w:val="0074049E"/>
    <w:rsid w:val="00740527"/>
    <w:rsid w:val="00740570"/>
    <w:rsid w:val="007405DC"/>
    <w:rsid w:val="00740616"/>
    <w:rsid w:val="007407B0"/>
    <w:rsid w:val="00740836"/>
    <w:rsid w:val="00740A45"/>
    <w:rsid w:val="00740C59"/>
    <w:rsid w:val="007410C1"/>
    <w:rsid w:val="007411A0"/>
    <w:rsid w:val="007411D9"/>
    <w:rsid w:val="007412A4"/>
    <w:rsid w:val="007412B6"/>
    <w:rsid w:val="0074151D"/>
    <w:rsid w:val="00741528"/>
    <w:rsid w:val="0074155A"/>
    <w:rsid w:val="0074160A"/>
    <w:rsid w:val="00741666"/>
    <w:rsid w:val="007419A0"/>
    <w:rsid w:val="007419C9"/>
    <w:rsid w:val="007419D6"/>
    <w:rsid w:val="00741AD8"/>
    <w:rsid w:val="00741B93"/>
    <w:rsid w:val="00741C5B"/>
    <w:rsid w:val="00741C65"/>
    <w:rsid w:val="00741CC3"/>
    <w:rsid w:val="00741D13"/>
    <w:rsid w:val="00741D8F"/>
    <w:rsid w:val="00741EBC"/>
    <w:rsid w:val="00741F71"/>
    <w:rsid w:val="00742037"/>
    <w:rsid w:val="007420EF"/>
    <w:rsid w:val="00742110"/>
    <w:rsid w:val="00742474"/>
    <w:rsid w:val="007424E2"/>
    <w:rsid w:val="0074253B"/>
    <w:rsid w:val="0074254E"/>
    <w:rsid w:val="007426CB"/>
    <w:rsid w:val="007426FA"/>
    <w:rsid w:val="00742716"/>
    <w:rsid w:val="00742772"/>
    <w:rsid w:val="0074296D"/>
    <w:rsid w:val="00742B65"/>
    <w:rsid w:val="00742C8F"/>
    <w:rsid w:val="00742DF8"/>
    <w:rsid w:val="00742EC1"/>
    <w:rsid w:val="00742ED5"/>
    <w:rsid w:val="00742F3F"/>
    <w:rsid w:val="0074326B"/>
    <w:rsid w:val="007432E1"/>
    <w:rsid w:val="00743422"/>
    <w:rsid w:val="00743477"/>
    <w:rsid w:val="007434C0"/>
    <w:rsid w:val="007434F9"/>
    <w:rsid w:val="0074356F"/>
    <w:rsid w:val="007436C2"/>
    <w:rsid w:val="0074386F"/>
    <w:rsid w:val="00743875"/>
    <w:rsid w:val="0074391E"/>
    <w:rsid w:val="00743ABE"/>
    <w:rsid w:val="00743BAA"/>
    <w:rsid w:val="00743C42"/>
    <w:rsid w:val="00743CBA"/>
    <w:rsid w:val="00743CCC"/>
    <w:rsid w:val="00743D7D"/>
    <w:rsid w:val="00743ED1"/>
    <w:rsid w:val="00743FD4"/>
    <w:rsid w:val="007441D2"/>
    <w:rsid w:val="0074422D"/>
    <w:rsid w:val="0074427A"/>
    <w:rsid w:val="007443C5"/>
    <w:rsid w:val="007443EC"/>
    <w:rsid w:val="00744520"/>
    <w:rsid w:val="007445B1"/>
    <w:rsid w:val="00744612"/>
    <w:rsid w:val="00744879"/>
    <w:rsid w:val="007448F6"/>
    <w:rsid w:val="00744AE0"/>
    <w:rsid w:val="00744B5C"/>
    <w:rsid w:val="00744B93"/>
    <w:rsid w:val="00744BC4"/>
    <w:rsid w:val="00744C56"/>
    <w:rsid w:val="00744F50"/>
    <w:rsid w:val="00744F7C"/>
    <w:rsid w:val="00745014"/>
    <w:rsid w:val="007450E7"/>
    <w:rsid w:val="00745157"/>
    <w:rsid w:val="007451D9"/>
    <w:rsid w:val="007452F6"/>
    <w:rsid w:val="007453C0"/>
    <w:rsid w:val="007453E8"/>
    <w:rsid w:val="007455AE"/>
    <w:rsid w:val="007456D6"/>
    <w:rsid w:val="007458AD"/>
    <w:rsid w:val="0074590F"/>
    <w:rsid w:val="00745ABE"/>
    <w:rsid w:val="00745B07"/>
    <w:rsid w:val="00745CF2"/>
    <w:rsid w:val="00745E2D"/>
    <w:rsid w:val="00745E83"/>
    <w:rsid w:val="00746024"/>
    <w:rsid w:val="007460C9"/>
    <w:rsid w:val="007461C5"/>
    <w:rsid w:val="007462C9"/>
    <w:rsid w:val="007462DB"/>
    <w:rsid w:val="0074630C"/>
    <w:rsid w:val="00746326"/>
    <w:rsid w:val="00746495"/>
    <w:rsid w:val="007464BC"/>
    <w:rsid w:val="0074652F"/>
    <w:rsid w:val="00746537"/>
    <w:rsid w:val="007465B5"/>
    <w:rsid w:val="00746852"/>
    <w:rsid w:val="00746AEE"/>
    <w:rsid w:val="00746BD9"/>
    <w:rsid w:val="00746BDE"/>
    <w:rsid w:val="00746C9B"/>
    <w:rsid w:val="00746CD8"/>
    <w:rsid w:val="00746D94"/>
    <w:rsid w:val="00746DC1"/>
    <w:rsid w:val="00746EC1"/>
    <w:rsid w:val="00746EF2"/>
    <w:rsid w:val="00746F5D"/>
    <w:rsid w:val="00746F7A"/>
    <w:rsid w:val="00747014"/>
    <w:rsid w:val="00747199"/>
    <w:rsid w:val="007471D5"/>
    <w:rsid w:val="007471EB"/>
    <w:rsid w:val="007472A5"/>
    <w:rsid w:val="007473A5"/>
    <w:rsid w:val="0074741F"/>
    <w:rsid w:val="00747648"/>
    <w:rsid w:val="007476BA"/>
    <w:rsid w:val="007476EB"/>
    <w:rsid w:val="0074776F"/>
    <w:rsid w:val="00747789"/>
    <w:rsid w:val="00747966"/>
    <w:rsid w:val="00747A45"/>
    <w:rsid w:val="00747A6C"/>
    <w:rsid w:val="00747C04"/>
    <w:rsid w:val="00747D34"/>
    <w:rsid w:val="00747DAC"/>
    <w:rsid w:val="00747E33"/>
    <w:rsid w:val="00747EA6"/>
    <w:rsid w:val="00750275"/>
    <w:rsid w:val="0075036C"/>
    <w:rsid w:val="007504B5"/>
    <w:rsid w:val="007504E0"/>
    <w:rsid w:val="007506FF"/>
    <w:rsid w:val="0075074C"/>
    <w:rsid w:val="00750796"/>
    <w:rsid w:val="00750856"/>
    <w:rsid w:val="00750959"/>
    <w:rsid w:val="00750A1E"/>
    <w:rsid w:val="00750ACA"/>
    <w:rsid w:val="00750AE8"/>
    <w:rsid w:val="00750B33"/>
    <w:rsid w:val="00750B56"/>
    <w:rsid w:val="00750B76"/>
    <w:rsid w:val="00750BA9"/>
    <w:rsid w:val="00750DF3"/>
    <w:rsid w:val="00750EB9"/>
    <w:rsid w:val="007510DF"/>
    <w:rsid w:val="007511C9"/>
    <w:rsid w:val="007514B9"/>
    <w:rsid w:val="007514CB"/>
    <w:rsid w:val="0075174F"/>
    <w:rsid w:val="0075175B"/>
    <w:rsid w:val="00751786"/>
    <w:rsid w:val="00751928"/>
    <w:rsid w:val="00751A32"/>
    <w:rsid w:val="00751B94"/>
    <w:rsid w:val="00751C65"/>
    <w:rsid w:val="00751C90"/>
    <w:rsid w:val="00751DCB"/>
    <w:rsid w:val="00751E9A"/>
    <w:rsid w:val="00751F19"/>
    <w:rsid w:val="00752083"/>
    <w:rsid w:val="0075228A"/>
    <w:rsid w:val="00752306"/>
    <w:rsid w:val="00752439"/>
    <w:rsid w:val="007524DB"/>
    <w:rsid w:val="00752553"/>
    <w:rsid w:val="00752555"/>
    <w:rsid w:val="00752558"/>
    <w:rsid w:val="007527E5"/>
    <w:rsid w:val="0075296E"/>
    <w:rsid w:val="00752A03"/>
    <w:rsid w:val="00752AA2"/>
    <w:rsid w:val="00752ABB"/>
    <w:rsid w:val="00752ACF"/>
    <w:rsid w:val="00752B9B"/>
    <w:rsid w:val="00752CB9"/>
    <w:rsid w:val="00752CE9"/>
    <w:rsid w:val="00752FA0"/>
    <w:rsid w:val="00752FED"/>
    <w:rsid w:val="007531E4"/>
    <w:rsid w:val="007531EA"/>
    <w:rsid w:val="00753249"/>
    <w:rsid w:val="007532EF"/>
    <w:rsid w:val="007534E0"/>
    <w:rsid w:val="00753542"/>
    <w:rsid w:val="007535AF"/>
    <w:rsid w:val="00753615"/>
    <w:rsid w:val="007536E3"/>
    <w:rsid w:val="00753708"/>
    <w:rsid w:val="00753868"/>
    <w:rsid w:val="007538CB"/>
    <w:rsid w:val="00753BFA"/>
    <w:rsid w:val="00753CAF"/>
    <w:rsid w:val="00753E53"/>
    <w:rsid w:val="00753EB5"/>
    <w:rsid w:val="00753F6E"/>
    <w:rsid w:val="00754075"/>
    <w:rsid w:val="007540CF"/>
    <w:rsid w:val="007540E7"/>
    <w:rsid w:val="00754179"/>
    <w:rsid w:val="00754229"/>
    <w:rsid w:val="00754323"/>
    <w:rsid w:val="0075432B"/>
    <w:rsid w:val="00754385"/>
    <w:rsid w:val="007543E3"/>
    <w:rsid w:val="00754917"/>
    <w:rsid w:val="00754998"/>
    <w:rsid w:val="007549AF"/>
    <w:rsid w:val="00754B02"/>
    <w:rsid w:val="00754CB5"/>
    <w:rsid w:val="00754D72"/>
    <w:rsid w:val="00754D7A"/>
    <w:rsid w:val="00754E71"/>
    <w:rsid w:val="00754F3A"/>
    <w:rsid w:val="00754F40"/>
    <w:rsid w:val="00754F75"/>
    <w:rsid w:val="00754F92"/>
    <w:rsid w:val="00755030"/>
    <w:rsid w:val="007550C6"/>
    <w:rsid w:val="00755206"/>
    <w:rsid w:val="00755366"/>
    <w:rsid w:val="007554AA"/>
    <w:rsid w:val="007554D9"/>
    <w:rsid w:val="00755571"/>
    <w:rsid w:val="007556BC"/>
    <w:rsid w:val="00755745"/>
    <w:rsid w:val="00755785"/>
    <w:rsid w:val="007557A3"/>
    <w:rsid w:val="00755904"/>
    <w:rsid w:val="007559D4"/>
    <w:rsid w:val="007559DC"/>
    <w:rsid w:val="00755A85"/>
    <w:rsid w:val="00755B64"/>
    <w:rsid w:val="00755B68"/>
    <w:rsid w:val="00755BA3"/>
    <w:rsid w:val="00755BC5"/>
    <w:rsid w:val="00755C2C"/>
    <w:rsid w:val="00755C55"/>
    <w:rsid w:val="00755CB6"/>
    <w:rsid w:val="00755E81"/>
    <w:rsid w:val="00755E9C"/>
    <w:rsid w:val="00755F79"/>
    <w:rsid w:val="007560A2"/>
    <w:rsid w:val="007560EC"/>
    <w:rsid w:val="0075616E"/>
    <w:rsid w:val="00756174"/>
    <w:rsid w:val="007561ED"/>
    <w:rsid w:val="00756304"/>
    <w:rsid w:val="0075631E"/>
    <w:rsid w:val="00756394"/>
    <w:rsid w:val="007563A9"/>
    <w:rsid w:val="007564EA"/>
    <w:rsid w:val="007564FF"/>
    <w:rsid w:val="00756596"/>
    <w:rsid w:val="007565BA"/>
    <w:rsid w:val="0075662E"/>
    <w:rsid w:val="00756669"/>
    <w:rsid w:val="00756722"/>
    <w:rsid w:val="0075673D"/>
    <w:rsid w:val="007567A0"/>
    <w:rsid w:val="007567A3"/>
    <w:rsid w:val="0075685A"/>
    <w:rsid w:val="00756933"/>
    <w:rsid w:val="00756A20"/>
    <w:rsid w:val="00756A92"/>
    <w:rsid w:val="00756D2B"/>
    <w:rsid w:val="00756DA1"/>
    <w:rsid w:val="0075701E"/>
    <w:rsid w:val="00757077"/>
    <w:rsid w:val="007570DA"/>
    <w:rsid w:val="007571A1"/>
    <w:rsid w:val="00757269"/>
    <w:rsid w:val="00757270"/>
    <w:rsid w:val="007573E1"/>
    <w:rsid w:val="00757429"/>
    <w:rsid w:val="00757562"/>
    <w:rsid w:val="00757662"/>
    <w:rsid w:val="00757675"/>
    <w:rsid w:val="00757678"/>
    <w:rsid w:val="00757718"/>
    <w:rsid w:val="007577AA"/>
    <w:rsid w:val="00757937"/>
    <w:rsid w:val="00757B01"/>
    <w:rsid w:val="00757BC4"/>
    <w:rsid w:val="00757CF8"/>
    <w:rsid w:val="00757D0E"/>
    <w:rsid w:val="00757EB4"/>
    <w:rsid w:val="00757F2B"/>
    <w:rsid w:val="007600BC"/>
    <w:rsid w:val="007600D2"/>
    <w:rsid w:val="0076017B"/>
    <w:rsid w:val="007601C0"/>
    <w:rsid w:val="0076036E"/>
    <w:rsid w:val="00760389"/>
    <w:rsid w:val="007603A2"/>
    <w:rsid w:val="0076060B"/>
    <w:rsid w:val="0076070C"/>
    <w:rsid w:val="00760735"/>
    <w:rsid w:val="0076073C"/>
    <w:rsid w:val="00760971"/>
    <w:rsid w:val="00760A46"/>
    <w:rsid w:val="00760E6F"/>
    <w:rsid w:val="00760E7B"/>
    <w:rsid w:val="00760F34"/>
    <w:rsid w:val="00760FFE"/>
    <w:rsid w:val="0076108B"/>
    <w:rsid w:val="0076114E"/>
    <w:rsid w:val="0076119F"/>
    <w:rsid w:val="007611CC"/>
    <w:rsid w:val="0076123A"/>
    <w:rsid w:val="0076126E"/>
    <w:rsid w:val="00761349"/>
    <w:rsid w:val="007613C6"/>
    <w:rsid w:val="0076156C"/>
    <w:rsid w:val="007616E0"/>
    <w:rsid w:val="007617A2"/>
    <w:rsid w:val="007618C7"/>
    <w:rsid w:val="0076191E"/>
    <w:rsid w:val="00761AA8"/>
    <w:rsid w:val="00761B2F"/>
    <w:rsid w:val="00761D2D"/>
    <w:rsid w:val="00761D40"/>
    <w:rsid w:val="00761D52"/>
    <w:rsid w:val="00761DB8"/>
    <w:rsid w:val="00761E5C"/>
    <w:rsid w:val="00761F0F"/>
    <w:rsid w:val="00761FCA"/>
    <w:rsid w:val="007620F2"/>
    <w:rsid w:val="00762135"/>
    <w:rsid w:val="0076217F"/>
    <w:rsid w:val="007621C6"/>
    <w:rsid w:val="00762457"/>
    <w:rsid w:val="00762561"/>
    <w:rsid w:val="007628CE"/>
    <w:rsid w:val="007629C4"/>
    <w:rsid w:val="00762A0B"/>
    <w:rsid w:val="00762A90"/>
    <w:rsid w:val="00762B10"/>
    <w:rsid w:val="00762B1F"/>
    <w:rsid w:val="00762CDA"/>
    <w:rsid w:val="00762D54"/>
    <w:rsid w:val="00762F5B"/>
    <w:rsid w:val="00763377"/>
    <w:rsid w:val="00763499"/>
    <w:rsid w:val="007634E5"/>
    <w:rsid w:val="0076355D"/>
    <w:rsid w:val="00763604"/>
    <w:rsid w:val="00763673"/>
    <w:rsid w:val="007636D1"/>
    <w:rsid w:val="0076378E"/>
    <w:rsid w:val="007637FF"/>
    <w:rsid w:val="00763834"/>
    <w:rsid w:val="00763861"/>
    <w:rsid w:val="00763E6D"/>
    <w:rsid w:val="00763F7F"/>
    <w:rsid w:val="00763F8D"/>
    <w:rsid w:val="00763FBD"/>
    <w:rsid w:val="0076412D"/>
    <w:rsid w:val="00764174"/>
    <w:rsid w:val="00764175"/>
    <w:rsid w:val="0076419A"/>
    <w:rsid w:val="0076426E"/>
    <w:rsid w:val="00764622"/>
    <w:rsid w:val="0076463F"/>
    <w:rsid w:val="007647B4"/>
    <w:rsid w:val="00764839"/>
    <w:rsid w:val="00764879"/>
    <w:rsid w:val="0076497F"/>
    <w:rsid w:val="007649C7"/>
    <w:rsid w:val="007649F4"/>
    <w:rsid w:val="00764A6A"/>
    <w:rsid w:val="00764E65"/>
    <w:rsid w:val="00764F31"/>
    <w:rsid w:val="00764FE4"/>
    <w:rsid w:val="0076501F"/>
    <w:rsid w:val="00765030"/>
    <w:rsid w:val="0076506F"/>
    <w:rsid w:val="0076508B"/>
    <w:rsid w:val="007650A3"/>
    <w:rsid w:val="0076513D"/>
    <w:rsid w:val="00765360"/>
    <w:rsid w:val="0076539E"/>
    <w:rsid w:val="00765512"/>
    <w:rsid w:val="0076574A"/>
    <w:rsid w:val="00765790"/>
    <w:rsid w:val="00765896"/>
    <w:rsid w:val="00765915"/>
    <w:rsid w:val="00765B17"/>
    <w:rsid w:val="00765B7B"/>
    <w:rsid w:val="00765B7C"/>
    <w:rsid w:val="00765CA3"/>
    <w:rsid w:val="00765CC7"/>
    <w:rsid w:val="00765CE1"/>
    <w:rsid w:val="00765DD1"/>
    <w:rsid w:val="00765DE5"/>
    <w:rsid w:val="00765E57"/>
    <w:rsid w:val="00765F66"/>
    <w:rsid w:val="0076606D"/>
    <w:rsid w:val="0076609E"/>
    <w:rsid w:val="007660F5"/>
    <w:rsid w:val="007663E2"/>
    <w:rsid w:val="00766434"/>
    <w:rsid w:val="007664ED"/>
    <w:rsid w:val="00766630"/>
    <w:rsid w:val="00766710"/>
    <w:rsid w:val="00766802"/>
    <w:rsid w:val="00766899"/>
    <w:rsid w:val="00766996"/>
    <w:rsid w:val="007669DA"/>
    <w:rsid w:val="00766A3B"/>
    <w:rsid w:val="00766B10"/>
    <w:rsid w:val="00766B47"/>
    <w:rsid w:val="00766CE4"/>
    <w:rsid w:val="00766D22"/>
    <w:rsid w:val="00766D9D"/>
    <w:rsid w:val="00766E6B"/>
    <w:rsid w:val="00766F14"/>
    <w:rsid w:val="00767011"/>
    <w:rsid w:val="00767039"/>
    <w:rsid w:val="00767057"/>
    <w:rsid w:val="0076709E"/>
    <w:rsid w:val="007670F6"/>
    <w:rsid w:val="007671DC"/>
    <w:rsid w:val="007672B9"/>
    <w:rsid w:val="007672CD"/>
    <w:rsid w:val="00767355"/>
    <w:rsid w:val="007674B3"/>
    <w:rsid w:val="0076756B"/>
    <w:rsid w:val="0076768A"/>
    <w:rsid w:val="007676A0"/>
    <w:rsid w:val="007676B0"/>
    <w:rsid w:val="007678C9"/>
    <w:rsid w:val="007678DC"/>
    <w:rsid w:val="007678EA"/>
    <w:rsid w:val="007679A7"/>
    <w:rsid w:val="007679B8"/>
    <w:rsid w:val="007679CB"/>
    <w:rsid w:val="007679D4"/>
    <w:rsid w:val="00767A06"/>
    <w:rsid w:val="00767A40"/>
    <w:rsid w:val="00767A61"/>
    <w:rsid w:val="00767B6B"/>
    <w:rsid w:val="00767D13"/>
    <w:rsid w:val="00767D4E"/>
    <w:rsid w:val="00767DF3"/>
    <w:rsid w:val="00767DF5"/>
    <w:rsid w:val="00767E4A"/>
    <w:rsid w:val="00767FDD"/>
    <w:rsid w:val="00770151"/>
    <w:rsid w:val="0077024C"/>
    <w:rsid w:val="00770328"/>
    <w:rsid w:val="00770562"/>
    <w:rsid w:val="0077057E"/>
    <w:rsid w:val="00770591"/>
    <w:rsid w:val="00770601"/>
    <w:rsid w:val="0077062B"/>
    <w:rsid w:val="007706AE"/>
    <w:rsid w:val="007706B6"/>
    <w:rsid w:val="007706D3"/>
    <w:rsid w:val="00770730"/>
    <w:rsid w:val="00770821"/>
    <w:rsid w:val="00770864"/>
    <w:rsid w:val="007708C1"/>
    <w:rsid w:val="00770933"/>
    <w:rsid w:val="00770A55"/>
    <w:rsid w:val="00770A9B"/>
    <w:rsid w:val="00770ABF"/>
    <w:rsid w:val="00770D0A"/>
    <w:rsid w:val="00770D29"/>
    <w:rsid w:val="00770F07"/>
    <w:rsid w:val="00770F75"/>
    <w:rsid w:val="00770FD1"/>
    <w:rsid w:val="00770FD8"/>
    <w:rsid w:val="007710D1"/>
    <w:rsid w:val="0077121C"/>
    <w:rsid w:val="00771383"/>
    <w:rsid w:val="00771466"/>
    <w:rsid w:val="00771686"/>
    <w:rsid w:val="007716A8"/>
    <w:rsid w:val="007717B6"/>
    <w:rsid w:val="00771F6E"/>
    <w:rsid w:val="007720C5"/>
    <w:rsid w:val="007720DE"/>
    <w:rsid w:val="007720F3"/>
    <w:rsid w:val="0077216B"/>
    <w:rsid w:val="007721CA"/>
    <w:rsid w:val="00772227"/>
    <w:rsid w:val="007722F9"/>
    <w:rsid w:val="00772357"/>
    <w:rsid w:val="00772391"/>
    <w:rsid w:val="007723EC"/>
    <w:rsid w:val="00772435"/>
    <w:rsid w:val="00772503"/>
    <w:rsid w:val="00772640"/>
    <w:rsid w:val="007726F5"/>
    <w:rsid w:val="00772853"/>
    <w:rsid w:val="0077289B"/>
    <w:rsid w:val="007728E9"/>
    <w:rsid w:val="00772997"/>
    <w:rsid w:val="00772D92"/>
    <w:rsid w:val="00772E67"/>
    <w:rsid w:val="00772ED8"/>
    <w:rsid w:val="00772F8C"/>
    <w:rsid w:val="0077330C"/>
    <w:rsid w:val="00773371"/>
    <w:rsid w:val="00773424"/>
    <w:rsid w:val="00773479"/>
    <w:rsid w:val="00773511"/>
    <w:rsid w:val="007736A7"/>
    <w:rsid w:val="007736AF"/>
    <w:rsid w:val="007738D3"/>
    <w:rsid w:val="00773A51"/>
    <w:rsid w:val="00773BFB"/>
    <w:rsid w:val="00773CA6"/>
    <w:rsid w:val="00773DF4"/>
    <w:rsid w:val="00773E14"/>
    <w:rsid w:val="00773E8C"/>
    <w:rsid w:val="00773FD2"/>
    <w:rsid w:val="007741AE"/>
    <w:rsid w:val="007743D6"/>
    <w:rsid w:val="0077440A"/>
    <w:rsid w:val="007745E4"/>
    <w:rsid w:val="0077467C"/>
    <w:rsid w:val="007746CE"/>
    <w:rsid w:val="00774730"/>
    <w:rsid w:val="0077497A"/>
    <w:rsid w:val="00774A3C"/>
    <w:rsid w:val="00774B88"/>
    <w:rsid w:val="00774C0C"/>
    <w:rsid w:val="00774C5B"/>
    <w:rsid w:val="00774CA2"/>
    <w:rsid w:val="00774D1C"/>
    <w:rsid w:val="00774E3A"/>
    <w:rsid w:val="00774FCD"/>
    <w:rsid w:val="00775050"/>
    <w:rsid w:val="0077524F"/>
    <w:rsid w:val="00775252"/>
    <w:rsid w:val="0077532D"/>
    <w:rsid w:val="007754CA"/>
    <w:rsid w:val="00775600"/>
    <w:rsid w:val="00775676"/>
    <w:rsid w:val="007756EB"/>
    <w:rsid w:val="00775928"/>
    <w:rsid w:val="00775A5D"/>
    <w:rsid w:val="00775BB3"/>
    <w:rsid w:val="00775C38"/>
    <w:rsid w:val="00775E58"/>
    <w:rsid w:val="00775F00"/>
    <w:rsid w:val="00775F0B"/>
    <w:rsid w:val="00775F38"/>
    <w:rsid w:val="00776074"/>
    <w:rsid w:val="00776151"/>
    <w:rsid w:val="007761C6"/>
    <w:rsid w:val="00776284"/>
    <w:rsid w:val="00776317"/>
    <w:rsid w:val="0077641B"/>
    <w:rsid w:val="00776543"/>
    <w:rsid w:val="00776757"/>
    <w:rsid w:val="007767C2"/>
    <w:rsid w:val="00776884"/>
    <w:rsid w:val="007769F2"/>
    <w:rsid w:val="00776A2E"/>
    <w:rsid w:val="00776A3E"/>
    <w:rsid w:val="00776C0D"/>
    <w:rsid w:val="00777053"/>
    <w:rsid w:val="0077707C"/>
    <w:rsid w:val="007770C1"/>
    <w:rsid w:val="00777175"/>
    <w:rsid w:val="00777197"/>
    <w:rsid w:val="007771F5"/>
    <w:rsid w:val="00777275"/>
    <w:rsid w:val="00777333"/>
    <w:rsid w:val="007773CB"/>
    <w:rsid w:val="00777425"/>
    <w:rsid w:val="00777458"/>
    <w:rsid w:val="00777475"/>
    <w:rsid w:val="0077756E"/>
    <w:rsid w:val="007776BE"/>
    <w:rsid w:val="007776E5"/>
    <w:rsid w:val="007777B5"/>
    <w:rsid w:val="007777C2"/>
    <w:rsid w:val="00777856"/>
    <w:rsid w:val="007779C0"/>
    <w:rsid w:val="00777BF8"/>
    <w:rsid w:val="00777DC8"/>
    <w:rsid w:val="00777DDF"/>
    <w:rsid w:val="00777DFC"/>
    <w:rsid w:val="00777E51"/>
    <w:rsid w:val="00777E82"/>
    <w:rsid w:val="00777F96"/>
    <w:rsid w:val="00777FC1"/>
    <w:rsid w:val="0078012E"/>
    <w:rsid w:val="0078017A"/>
    <w:rsid w:val="0078017C"/>
    <w:rsid w:val="0078019B"/>
    <w:rsid w:val="0078019F"/>
    <w:rsid w:val="00780201"/>
    <w:rsid w:val="00780245"/>
    <w:rsid w:val="00780274"/>
    <w:rsid w:val="007802B1"/>
    <w:rsid w:val="007802DD"/>
    <w:rsid w:val="0078036B"/>
    <w:rsid w:val="00780504"/>
    <w:rsid w:val="00780849"/>
    <w:rsid w:val="007808B1"/>
    <w:rsid w:val="00780ACF"/>
    <w:rsid w:val="00780AE4"/>
    <w:rsid w:val="00780AEF"/>
    <w:rsid w:val="00780B78"/>
    <w:rsid w:val="00780BAC"/>
    <w:rsid w:val="00780C91"/>
    <w:rsid w:val="00780D11"/>
    <w:rsid w:val="00780DCC"/>
    <w:rsid w:val="00780E6D"/>
    <w:rsid w:val="00780EEA"/>
    <w:rsid w:val="00780FF8"/>
    <w:rsid w:val="00781030"/>
    <w:rsid w:val="00781173"/>
    <w:rsid w:val="00781201"/>
    <w:rsid w:val="0078131B"/>
    <w:rsid w:val="0078131E"/>
    <w:rsid w:val="0078135F"/>
    <w:rsid w:val="0078142E"/>
    <w:rsid w:val="00781467"/>
    <w:rsid w:val="0078159A"/>
    <w:rsid w:val="00781688"/>
    <w:rsid w:val="007816D6"/>
    <w:rsid w:val="0078180A"/>
    <w:rsid w:val="0078181A"/>
    <w:rsid w:val="007819A0"/>
    <w:rsid w:val="007819D7"/>
    <w:rsid w:val="00781A04"/>
    <w:rsid w:val="00781A8A"/>
    <w:rsid w:val="00781B72"/>
    <w:rsid w:val="00781C4F"/>
    <w:rsid w:val="00781C61"/>
    <w:rsid w:val="00781E93"/>
    <w:rsid w:val="00781EB6"/>
    <w:rsid w:val="00781F78"/>
    <w:rsid w:val="00782006"/>
    <w:rsid w:val="0078229B"/>
    <w:rsid w:val="007824C2"/>
    <w:rsid w:val="0078256A"/>
    <w:rsid w:val="007825EF"/>
    <w:rsid w:val="0078284E"/>
    <w:rsid w:val="00782964"/>
    <w:rsid w:val="00782ACC"/>
    <w:rsid w:val="00782AD7"/>
    <w:rsid w:val="00782B16"/>
    <w:rsid w:val="00782BE7"/>
    <w:rsid w:val="00782CEA"/>
    <w:rsid w:val="00782F30"/>
    <w:rsid w:val="00782F4F"/>
    <w:rsid w:val="00782FCA"/>
    <w:rsid w:val="007830A3"/>
    <w:rsid w:val="007830AB"/>
    <w:rsid w:val="0078312D"/>
    <w:rsid w:val="0078328B"/>
    <w:rsid w:val="007832CA"/>
    <w:rsid w:val="007832D6"/>
    <w:rsid w:val="0078336F"/>
    <w:rsid w:val="007834AA"/>
    <w:rsid w:val="007836C3"/>
    <w:rsid w:val="007836D5"/>
    <w:rsid w:val="00783726"/>
    <w:rsid w:val="00783828"/>
    <w:rsid w:val="007838BD"/>
    <w:rsid w:val="007839C6"/>
    <w:rsid w:val="00783ADC"/>
    <w:rsid w:val="00783B7D"/>
    <w:rsid w:val="00783BD1"/>
    <w:rsid w:val="00783C25"/>
    <w:rsid w:val="00783D58"/>
    <w:rsid w:val="00783E40"/>
    <w:rsid w:val="00783EC8"/>
    <w:rsid w:val="00783FDB"/>
    <w:rsid w:val="007841D9"/>
    <w:rsid w:val="0078427F"/>
    <w:rsid w:val="00784392"/>
    <w:rsid w:val="007843BD"/>
    <w:rsid w:val="00784469"/>
    <w:rsid w:val="00784544"/>
    <w:rsid w:val="00784572"/>
    <w:rsid w:val="007846A2"/>
    <w:rsid w:val="007846D0"/>
    <w:rsid w:val="0078482B"/>
    <w:rsid w:val="007848BD"/>
    <w:rsid w:val="007849A0"/>
    <w:rsid w:val="007849C4"/>
    <w:rsid w:val="00784B1C"/>
    <w:rsid w:val="00784C61"/>
    <w:rsid w:val="00784C91"/>
    <w:rsid w:val="00784CBF"/>
    <w:rsid w:val="00784CCA"/>
    <w:rsid w:val="00784CF2"/>
    <w:rsid w:val="00784CF3"/>
    <w:rsid w:val="00784E20"/>
    <w:rsid w:val="00784ECC"/>
    <w:rsid w:val="00784FE9"/>
    <w:rsid w:val="0078509C"/>
    <w:rsid w:val="007851C4"/>
    <w:rsid w:val="007852BF"/>
    <w:rsid w:val="00785350"/>
    <w:rsid w:val="00785482"/>
    <w:rsid w:val="0078549F"/>
    <w:rsid w:val="007854BD"/>
    <w:rsid w:val="00785573"/>
    <w:rsid w:val="007855BB"/>
    <w:rsid w:val="00785713"/>
    <w:rsid w:val="0078576F"/>
    <w:rsid w:val="0078583D"/>
    <w:rsid w:val="007858C3"/>
    <w:rsid w:val="00785914"/>
    <w:rsid w:val="00785A10"/>
    <w:rsid w:val="00785BBC"/>
    <w:rsid w:val="00785C0D"/>
    <w:rsid w:val="00785C21"/>
    <w:rsid w:val="00785D91"/>
    <w:rsid w:val="00785F22"/>
    <w:rsid w:val="0078607F"/>
    <w:rsid w:val="0078622A"/>
    <w:rsid w:val="0078622D"/>
    <w:rsid w:val="0078624F"/>
    <w:rsid w:val="007862A5"/>
    <w:rsid w:val="007864E6"/>
    <w:rsid w:val="00786532"/>
    <w:rsid w:val="007865CB"/>
    <w:rsid w:val="00786616"/>
    <w:rsid w:val="007867BF"/>
    <w:rsid w:val="0078682B"/>
    <w:rsid w:val="007868CB"/>
    <w:rsid w:val="007868E1"/>
    <w:rsid w:val="007869AA"/>
    <w:rsid w:val="00786A59"/>
    <w:rsid w:val="00786B86"/>
    <w:rsid w:val="00786D99"/>
    <w:rsid w:val="00786E3C"/>
    <w:rsid w:val="00786E5C"/>
    <w:rsid w:val="00786E70"/>
    <w:rsid w:val="00786F0D"/>
    <w:rsid w:val="00786F53"/>
    <w:rsid w:val="00786FA9"/>
    <w:rsid w:val="00787166"/>
    <w:rsid w:val="00787257"/>
    <w:rsid w:val="00787310"/>
    <w:rsid w:val="0078739C"/>
    <w:rsid w:val="007874FB"/>
    <w:rsid w:val="0078756D"/>
    <w:rsid w:val="00787709"/>
    <w:rsid w:val="007877D4"/>
    <w:rsid w:val="00787862"/>
    <w:rsid w:val="00787907"/>
    <w:rsid w:val="0078792D"/>
    <w:rsid w:val="00787A31"/>
    <w:rsid w:val="00787A9C"/>
    <w:rsid w:val="00787CC7"/>
    <w:rsid w:val="00787D07"/>
    <w:rsid w:val="00787D21"/>
    <w:rsid w:val="00787DA3"/>
    <w:rsid w:val="00787DF5"/>
    <w:rsid w:val="00787DFB"/>
    <w:rsid w:val="00787F84"/>
    <w:rsid w:val="00787F94"/>
    <w:rsid w:val="00787FE4"/>
    <w:rsid w:val="00790085"/>
    <w:rsid w:val="00790305"/>
    <w:rsid w:val="007904BF"/>
    <w:rsid w:val="00790637"/>
    <w:rsid w:val="0079078F"/>
    <w:rsid w:val="00790825"/>
    <w:rsid w:val="00790908"/>
    <w:rsid w:val="0079091A"/>
    <w:rsid w:val="007909EA"/>
    <w:rsid w:val="00790A01"/>
    <w:rsid w:val="00790A5D"/>
    <w:rsid w:val="00790B1B"/>
    <w:rsid w:val="00790B9B"/>
    <w:rsid w:val="00790C65"/>
    <w:rsid w:val="00790DCD"/>
    <w:rsid w:val="00790DE3"/>
    <w:rsid w:val="00790E20"/>
    <w:rsid w:val="007910CA"/>
    <w:rsid w:val="00791128"/>
    <w:rsid w:val="0079130A"/>
    <w:rsid w:val="00791347"/>
    <w:rsid w:val="00791413"/>
    <w:rsid w:val="00791452"/>
    <w:rsid w:val="007914A9"/>
    <w:rsid w:val="0079155F"/>
    <w:rsid w:val="00791583"/>
    <w:rsid w:val="0079158A"/>
    <w:rsid w:val="00791707"/>
    <w:rsid w:val="00791767"/>
    <w:rsid w:val="00791809"/>
    <w:rsid w:val="00791992"/>
    <w:rsid w:val="00791CDA"/>
    <w:rsid w:val="00791D94"/>
    <w:rsid w:val="00791DDA"/>
    <w:rsid w:val="00791DE2"/>
    <w:rsid w:val="00791DFF"/>
    <w:rsid w:val="00791E13"/>
    <w:rsid w:val="00792305"/>
    <w:rsid w:val="0079244B"/>
    <w:rsid w:val="00792496"/>
    <w:rsid w:val="007924A5"/>
    <w:rsid w:val="00792780"/>
    <w:rsid w:val="00792813"/>
    <w:rsid w:val="00792815"/>
    <w:rsid w:val="0079284C"/>
    <w:rsid w:val="0079286E"/>
    <w:rsid w:val="00792A07"/>
    <w:rsid w:val="00792A28"/>
    <w:rsid w:val="00792AC9"/>
    <w:rsid w:val="00792B02"/>
    <w:rsid w:val="00792C0B"/>
    <w:rsid w:val="00792FAF"/>
    <w:rsid w:val="00793062"/>
    <w:rsid w:val="00793090"/>
    <w:rsid w:val="007930A2"/>
    <w:rsid w:val="007930E4"/>
    <w:rsid w:val="00793102"/>
    <w:rsid w:val="00793121"/>
    <w:rsid w:val="00793162"/>
    <w:rsid w:val="007932F4"/>
    <w:rsid w:val="007932F6"/>
    <w:rsid w:val="0079332C"/>
    <w:rsid w:val="0079333A"/>
    <w:rsid w:val="00793453"/>
    <w:rsid w:val="00793615"/>
    <w:rsid w:val="00793639"/>
    <w:rsid w:val="0079364A"/>
    <w:rsid w:val="007936E3"/>
    <w:rsid w:val="007937A5"/>
    <w:rsid w:val="007937E7"/>
    <w:rsid w:val="00793804"/>
    <w:rsid w:val="007939AD"/>
    <w:rsid w:val="00793BBE"/>
    <w:rsid w:val="00793CE4"/>
    <w:rsid w:val="00793DC3"/>
    <w:rsid w:val="0079404A"/>
    <w:rsid w:val="00794119"/>
    <w:rsid w:val="0079417C"/>
    <w:rsid w:val="007941BB"/>
    <w:rsid w:val="00794251"/>
    <w:rsid w:val="00794307"/>
    <w:rsid w:val="0079449D"/>
    <w:rsid w:val="00794619"/>
    <w:rsid w:val="007946FA"/>
    <w:rsid w:val="007947B7"/>
    <w:rsid w:val="0079489E"/>
    <w:rsid w:val="007948DA"/>
    <w:rsid w:val="00794BED"/>
    <w:rsid w:val="00794C0E"/>
    <w:rsid w:val="00794DF9"/>
    <w:rsid w:val="00794F65"/>
    <w:rsid w:val="00794FAB"/>
    <w:rsid w:val="00794FBC"/>
    <w:rsid w:val="007950A2"/>
    <w:rsid w:val="007950E3"/>
    <w:rsid w:val="00795122"/>
    <w:rsid w:val="00795277"/>
    <w:rsid w:val="007952D1"/>
    <w:rsid w:val="007952D7"/>
    <w:rsid w:val="00795391"/>
    <w:rsid w:val="007954EC"/>
    <w:rsid w:val="00795583"/>
    <w:rsid w:val="007955BE"/>
    <w:rsid w:val="00795C04"/>
    <w:rsid w:val="00795C14"/>
    <w:rsid w:val="00795C36"/>
    <w:rsid w:val="00795CB1"/>
    <w:rsid w:val="00795CB7"/>
    <w:rsid w:val="00795CCF"/>
    <w:rsid w:val="00795CF8"/>
    <w:rsid w:val="00795D0E"/>
    <w:rsid w:val="00795D22"/>
    <w:rsid w:val="00795EAC"/>
    <w:rsid w:val="00795FB1"/>
    <w:rsid w:val="00796193"/>
    <w:rsid w:val="0079628D"/>
    <w:rsid w:val="007962FE"/>
    <w:rsid w:val="007963E3"/>
    <w:rsid w:val="0079648D"/>
    <w:rsid w:val="00796497"/>
    <w:rsid w:val="00796698"/>
    <w:rsid w:val="00796732"/>
    <w:rsid w:val="007967F8"/>
    <w:rsid w:val="007968A7"/>
    <w:rsid w:val="007968BA"/>
    <w:rsid w:val="007968E7"/>
    <w:rsid w:val="00796926"/>
    <w:rsid w:val="00796B67"/>
    <w:rsid w:val="00796BB5"/>
    <w:rsid w:val="00796C66"/>
    <w:rsid w:val="00796C9A"/>
    <w:rsid w:val="00796CEA"/>
    <w:rsid w:val="00796DEF"/>
    <w:rsid w:val="00796E8C"/>
    <w:rsid w:val="00796ECA"/>
    <w:rsid w:val="00796F20"/>
    <w:rsid w:val="00797349"/>
    <w:rsid w:val="00797417"/>
    <w:rsid w:val="00797468"/>
    <w:rsid w:val="00797491"/>
    <w:rsid w:val="0079761B"/>
    <w:rsid w:val="0079773B"/>
    <w:rsid w:val="0079793C"/>
    <w:rsid w:val="00797A1C"/>
    <w:rsid w:val="00797AA3"/>
    <w:rsid w:val="00797B4E"/>
    <w:rsid w:val="00797BAF"/>
    <w:rsid w:val="00797BEF"/>
    <w:rsid w:val="00797BF0"/>
    <w:rsid w:val="00797C7B"/>
    <w:rsid w:val="00797EB6"/>
    <w:rsid w:val="00797F17"/>
    <w:rsid w:val="007A009C"/>
    <w:rsid w:val="007A00C3"/>
    <w:rsid w:val="007A00F8"/>
    <w:rsid w:val="007A0110"/>
    <w:rsid w:val="007A025B"/>
    <w:rsid w:val="007A0260"/>
    <w:rsid w:val="007A02D9"/>
    <w:rsid w:val="007A034F"/>
    <w:rsid w:val="007A0532"/>
    <w:rsid w:val="007A0541"/>
    <w:rsid w:val="007A05B2"/>
    <w:rsid w:val="007A05C2"/>
    <w:rsid w:val="007A0889"/>
    <w:rsid w:val="007A08BB"/>
    <w:rsid w:val="007A08E4"/>
    <w:rsid w:val="007A09EC"/>
    <w:rsid w:val="007A0A28"/>
    <w:rsid w:val="007A0A70"/>
    <w:rsid w:val="007A0C55"/>
    <w:rsid w:val="007A0C8C"/>
    <w:rsid w:val="007A0D9D"/>
    <w:rsid w:val="007A0DDA"/>
    <w:rsid w:val="007A0E8F"/>
    <w:rsid w:val="007A0EAD"/>
    <w:rsid w:val="007A10D2"/>
    <w:rsid w:val="007A112C"/>
    <w:rsid w:val="007A11CF"/>
    <w:rsid w:val="007A1226"/>
    <w:rsid w:val="007A133D"/>
    <w:rsid w:val="007A1428"/>
    <w:rsid w:val="007A14FC"/>
    <w:rsid w:val="007A1518"/>
    <w:rsid w:val="007A18D0"/>
    <w:rsid w:val="007A197D"/>
    <w:rsid w:val="007A19D0"/>
    <w:rsid w:val="007A19D9"/>
    <w:rsid w:val="007A1A13"/>
    <w:rsid w:val="007A1DB2"/>
    <w:rsid w:val="007A1F67"/>
    <w:rsid w:val="007A1F88"/>
    <w:rsid w:val="007A1FA2"/>
    <w:rsid w:val="007A1FBA"/>
    <w:rsid w:val="007A203A"/>
    <w:rsid w:val="007A2063"/>
    <w:rsid w:val="007A2135"/>
    <w:rsid w:val="007A21D6"/>
    <w:rsid w:val="007A21EE"/>
    <w:rsid w:val="007A21FC"/>
    <w:rsid w:val="007A2205"/>
    <w:rsid w:val="007A221B"/>
    <w:rsid w:val="007A23B9"/>
    <w:rsid w:val="007A2464"/>
    <w:rsid w:val="007A25ED"/>
    <w:rsid w:val="007A2656"/>
    <w:rsid w:val="007A26B2"/>
    <w:rsid w:val="007A2916"/>
    <w:rsid w:val="007A2A34"/>
    <w:rsid w:val="007A2E1F"/>
    <w:rsid w:val="007A2F4B"/>
    <w:rsid w:val="007A2F82"/>
    <w:rsid w:val="007A3007"/>
    <w:rsid w:val="007A325C"/>
    <w:rsid w:val="007A3325"/>
    <w:rsid w:val="007A33DD"/>
    <w:rsid w:val="007A3415"/>
    <w:rsid w:val="007A346D"/>
    <w:rsid w:val="007A3485"/>
    <w:rsid w:val="007A348F"/>
    <w:rsid w:val="007A36A4"/>
    <w:rsid w:val="007A36C3"/>
    <w:rsid w:val="007A370B"/>
    <w:rsid w:val="007A37BF"/>
    <w:rsid w:val="007A3936"/>
    <w:rsid w:val="007A39F2"/>
    <w:rsid w:val="007A3A26"/>
    <w:rsid w:val="007A3A36"/>
    <w:rsid w:val="007A3C88"/>
    <w:rsid w:val="007A3D37"/>
    <w:rsid w:val="007A3E9D"/>
    <w:rsid w:val="007A3EBB"/>
    <w:rsid w:val="007A3FF2"/>
    <w:rsid w:val="007A4143"/>
    <w:rsid w:val="007A416B"/>
    <w:rsid w:val="007A41D5"/>
    <w:rsid w:val="007A42CD"/>
    <w:rsid w:val="007A4383"/>
    <w:rsid w:val="007A4471"/>
    <w:rsid w:val="007A45AC"/>
    <w:rsid w:val="007A479A"/>
    <w:rsid w:val="007A48E4"/>
    <w:rsid w:val="007A4918"/>
    <w:rsid w:val="007A495B"/>
    <w:rsid w:val="007A498E"/>
    <w:rsid w:val="007A499E"/>
    <w:rsid w:val="007A4B31"/>
    <w:rsid w:val="007A4C23"/>
    <w:rsid w:val="007A4DD9"/>
    <w:rsid w:val="007A4E2F"/>
    <w:rsid w:val="007A5079"/>
    <w:rsid w:val="007A5179"/>
    <w:rsid w:val="007A519A"/>
    <w:rsid w:val="007A520F"/>
    <w:rsid w:val="007A52E7"/>
    <w:rsid w:val="007A5332"/>
    <w:rsid w:val="007A540B"/>
    <w:rsid w:val="007A54BB"/>
    <w:rsid w:val="007A572A"/>
    <w:rsid w:val="007A57AD"/>
    <w:rsid w:val="007A593F"/>
    <w:rsid w:val="007A599F"/>
    <w:rsid w:val="007A5BA8"/>
    <w:rsid w:val="007A5C2E"/>
    <w:rsid w:val="007A5C46"/>
    <w:rsid w:val="007A5CCE"/>
    <w:rsid w:val="007A5E55"/>
    <w:rsid w:val="007A5EFC"/>
    <w:rsid w:val="007A60C4"/>
    <w:rsid w:val="007A60FF"/>
    <w:rsid w:val="007A612E"/>
    <w:rsid w:val="007A6328"/>
    <w:rsid w:val="007A637C"/>
    <w:rsid w:val="007A63A0"/>
    <w:rsid w:val="007A63A4"/>
    <w:rsid w:val="007A6513"/>
    <w:rsid w:val="007A6617"/>
    <w:rsid w:val="007A67A2"/>
    <w:rsid w:val="007A68B2"/>
    <w:rsid w:val="007A6927"/>
    <w:rsid w:val="007A6933"/>
    <w:rsid w:val="007A6C06"/>
    <w:rsid w:val="007A6C22"/>
    <w:rsid w:val="007A6D93"/>
    <w:rsid w:val="007A6DDD"/>
    <w:rsid w:val="007A6E37"/>
    <w:rsid w:val="007A6E5D"/>
    <w:rsid w:val="007A6EDE"/>
    <w:rsid w:val="007A6F90"/>
    <w:rsid w:val="007A718B"/>
    <w:rsid w:val="007A724A"/>
    <w:rsid w:val="007A7258"/>
    <w:rsid w:val="007A726E"/>
    <w:rsid w:val="007A72F5"/>
    <w:rsid w:val="007A733C"/>
    <w:rsid w:val="007A7416"/>
    <w:rsid w:val="007A743B"/>
    <w:rsid w:val="007A7479"/>
    <w:rsid w:val="007A74AE"/>
    <w:rsid w:val="007A7947"/>
    <w:rsid w:val="007A794A"/>
    <w:rsid w:val="007A7958"/>
    <w:rsid w:val="007A7A41"/>
    <w:rsid w:val="007A7C0B"/>
    <w:rsid w:val="007A7EE2"/>
    <w:rsid w:val="007A7F40"/>
    <w:rsid w:val="007A7F42"/>
    <w:rsid w:val="007A7FD7"/>
    <w:rsid w:val="007B0191"/>
    <w:rsid w:val="007B02E7"/>
    <w:rsid w:val="007B0494"/>
    <w:rsid w:val="007B07EC"/>
    <w:rsid w:val="007B0860"/>
    <w:rsid w:val="007B0986"/>
    <w:rsid w:val="007B0A0F"/>
    <w:rsid w:val="007B0AFA"/>
    <w:rsid w:val="007B0B3A"/>
    <w:rsid w:val="007B0C30"/>
    <w:rsid w:val="007B0CDC"/>
    <w:rsid w:val="007B0D1C"/>
    <w:rsid w:val="007B0D41"/>
    <w:rsid w:val="007B0DFC"/>
    <w:rsid w:val="007B0E2C"/>
    <w:rsid w:val="007B0F57"/>
    <w:rsid w:val="007B0F7A"/>
    <w:rsid w:val="007B0FF3"/>
    <w:rsid w:val="007B10D4"/>
    <w:rsid w:val="007B1199"/>
    <w:rsid w:val="007B1562"/>
    <w:rsid w:val="007B1611"/>
    <w:rsid w:val="007B18DC"/>
    <w:rsid w:val="007B1965"/>
    <w:rsid w:val="007B1996"/>
    <w:rsid w:val="007B19C0"/>
    <w:rsid w:val="007B19FA"/>
    <w:rsid w:val="007B1A0E"/>
    <w:rsid w:val="007B1BE5"/>
    <w:rsid w:val="007B1E58"/>
    <w:rsid w:val="007B1E73"/>
    <w:rsid w:val="007B1E7C"/>
    <w:rsid w:val="007B1EF2"/>
    <w:rsid w:val="007B20E0"/>
    <w:rsid w:val="007B2200"/>
    <w:rsid w:val="007B2295"/>
    <w:rsid w:val="007B2297"/>
    <w:rsid w:val="007B22EE"/>
    <w:rsid w:val="007B2302"/>
    <w:rsid w:val="007B2348"/>
    <w:rsid w:val="007B23CB"/>
    <w:rsid w:val="007B247A"/>
    <w:rsid w:val="007B2658"/>
    <w:rsid w:val="007B2826"/>
    <w:rsid w:val="007B283C"/>
    <w:rsid w:val="007B28A5"/>
    <w:rsid w:val="007B2948"/>
    <w:rsid w:val="007B2A36"/>
    <w:rsid w:val="007B2A8D"/>
    <w:rsid w:val="007B2A9E"/>
    <w:rsid w:val="007B2BA4"/>
    <w:rsid w:val="007B2BE3"/>
    <w:rsid w:val="007B2CC2"/>
    <w:rsid w:val="007B2D56"/>
    <w:rsid w:val="007B306A"/>
    <w:rsid w:val="007B3079"/>
    <w:rsid w:val="007B3108"/>
    <w:rsid w:val="007B3284"/>
    <w:rsid w:val="007B3306"/>
    <w:rsid w:val="007B331B"/>
    <w:rsid w:val="007B34B9"/>
    <w:rsid w:val="007B34CF"/>
    <w:rsid w:val="007B35C1"/>
    <w:rsid w:val="007B35E5"/>
    <w:rsid w:val="007B39FD"/>
    <w:rsid w:val="007B3A1B"/>
    <w:rsid w:val="007B3BBE"/>
    <w:rsid w:val="007B3BFC"/>
    <w:rsid w:val="007B3E5A"/>
    <w:rsid w:val="007B3F24"/>
    <w:rsid w:val="007B3F89"/>
    <w:rsid w:val="007B40C7"/>
    <w:rsid w:val="007B41C5"/>
    <w:rsid w:val="007B4224"/>
    <w:rsid w:val="007B42BF"/>
    <w:rsid w:val="007B4312"/>
    <w:rsid w:val="007B4323"/>
    <w:rsid w:val="007B4346"/>
    <w:rsid w:val="007B4433"/>
    <w:rsid w:val="007B45E4"/>
    <w:rsid w:val="007B4646"/>
    <w:rsid w:val="007B4751"/>
    <w:rsid w:val="007B4A4E"/>
    <w:rsid w:val="007B4B89"/>
    <w:rsid w:val="007B4C08"/>
    <w:rsid w:val="007B4D2E"/>
    <w:rsid w:val="007B4DDA"/>
    <w:rsid w:val="007B4FA5"/>
    <w:rsid w:val="007B5016"/>
    <w:rsid w:val="007B5043"/>
    <w:rsid w:val="007B526E"/>
    <w:rsid w:val="007B544F"/>
    <w:rsid w:val="007B55C5"/>
    <w:rsid w:val="007B5607"/>
    <w:rsid w:val="007B5613"/>
    <w:rsid w:val="007B57AA"/>
    <w:rsid w:val="007B58BD"/>
    <w:rsid w:val="007B58F4"/>
    <w:rsid w:val="007B594B"/>
    <w:rsid w:val="007B59AE"/>
    <w:rsid w:val="007B5A4A"/>
    <w:rsid w:val="007B5A76"/>
    <w:rsid w:val="007B5A8E"/>
    <w:rsid w:val="007B5ADA"/>
    <w:rsid w:val="007B5AE5"/>
    <w:rsid w:val="007B5B7C"/>
    <w:rsid w:val="007B5C22"/>
    <w:rsid w:val="007B5C82"/>
    <w:rsid w:val="007B5D83"/>
    <w:rsid w:val="007B5FEF"/>
    <w:rsid w:val="007B6251"/>
    <w:rsid w:val="007B6312"/>
    <w:rsid w:val="007B63B4"/>
    <w:rsid w:val="007B63EE"/>
    <w:rsid w:val="007B668F"/>
    <w:rsid w:val="007B67F0"/>
    <w:rsid w:val="007B6A07"/>
    <w:rsid w:val="007B6A0B"/>
    <w:rsid w:val="007B6A55"/>
    <w:rsid w:val="007B6AED"/>
    <w:rsid w:val="007B6B4B"/>
    <w:rsid w:val="007B6B8A"/>
    <w:rsid w:val="007B6C9B"/>
    <w:rsid w:val="007B6D91"/>
    <w:rsid w:val="007B6DAF"/>
    <w:rsid w:val="007B6DD1"/>
    <w:rsid w:val="007B6E9D"/>
    <w:rsid w:val="007B6EE3"/>
    <w:rsid w:val="007B6EF1"/>
    <w:rsid w:val="007B6F77"/>
    <w:rsid w:val="007B70B3"/>
    <w:rsid w:val="007B7181"/>
    <w:rsid w:val="007B7524"/>
    <w:rsid w:val="007B75F9"/>
    <w:rsid w:val="007B75FE"/>
    <w:rsid w:val="007B762D"/>
    <w:rsid w:val="007B77F0"/>
    <w:rsid w:val="007B780F"/>
    <w:rsid w:val="007B7836"/>
    <w:rsid w:val="007B79B0"/>
    <w:rsid w:val="007B7BDC"/>
    <w:rsid w:val="007B7C42"/>
    <w:rsid w:val="007B7C7E"/>
    <w:rsid w:val="007B7C9A"/>
    <w:rsid w:val="007B7C9C"/>
    <w:rsid w:val="007B7E8A"/>
    <w:rsid w:val="007C00E9"/>
    <w:rsid w:val="007C012D"/>
    <w:rsid w:val="007C0191"/>
    <w:rsid w:val="007C020A"/>
    <w:rsid w:val="007C021D"/>
    <w:rsid w:val="007C0268"/>
    <w:rsid w:val="007C02D1"/>
    <w:rsid w:val="007C02DB"/>
    <w:rsid w:val="007C03F3"/>
    <w:rsid w:val="007C045E"/>
    <w:rsid w:val="007C046A"/>
    <w:rsid w:val="007C060E"/>
    <w:rsid w:val="007C0660"/>
    <w:rsid w:val="007C06CB"/>
    <w:rsid w:val="007C08B4"/>
    <w:rsid w:val="007C08D2"/>
    <w:rsid w:val="007C09CB"/>
    <w:rsid w:val="007C0B0F"/>
    <w:rsid w:val="007C0B79"/>
    <w:rsid w:val="007C0C5F"/>
    <w:rsid w:val="007C0D4D"/>
    <w:rsid w:val="007C0D51"/>
    <w:rsid w:val="007C0D83"/>
    <w:rsid w:val="007C0D89"/>
    <w:rsid w:val="007C0DA5"/>
    <w:rsid w:val="007C0F31"/>
    <w:rsid w:val="007C0F34"/>
    <w:rsid w:val="007C0FDF"/>
    <w:rsid w:val="007C1052"/>
    <w:rsid w:val="007C1063"/>
    <w:rsid w:val="007C1065"/>
    <w:rsid w:val="007C1191"/>
    <w:rsid w:val="007C1208"/>
    <w:rsid w:val="007C1255"/>
    <w:rsid w:val="007C14A6"/>
    <w:rsid w:val="007C155A"/>
    <w:rsid w:val="007C1615"/>
    <w:rsid w:val="007C1617"/>
    <w:rsid w:val="007C173A"/>
    <w:rsid w:val="007C1793"/>
    <w:rsid w:val="007C17A2"/>
    <w:rsid w:val="007C189F"/>
    <w:rsid w:val="007C18E3"/>
    <w:rsid w:val="007C1961"/>
    <w:rsid w:val="007C1997"/>
    <w:rsid w:val="007C1A08"/>
    <w:rsid w:val="007C1A15"/>
    <w:rsid w:val="007C1AAE"/>
    <w:rsid w:val="007C1AEF"/>
    <w:rsid w:val="007C1C2B"/>
    <w:rsid w:val="007C1CA2"/>
    <w:rsid w:val="007C1FE3"/>
    <w:rsid w:val="007C20FF"/>
    <w:rsid w:val="007C2234"/>
    <w:rsid w:val="007C24F9"/>
    <w:rsid w:val="007C2552"/>
    <w:rsid w:val="007C264D"/>
    <w:rsid w:val="007C268C"/>
    <w:rsid w:val="007C27F1"/>
    <w:rsid w:val="007C28B2"/>
    <w:rsid w:val="007C2A16"/>
    <w:rsid w:val="007C2A4C"/>
    <w:rsid w:val="007C2C65"/>
    <w:rsid w:val="007C2C74"/>
    <w:rsid w:val="007C2C77"/>
    <w:rsid w:val="007C2D07"/>
    <w:rsid w:val="007C2D97"/>
    <w:rsid w:val="007C2E71"/>
    <w:rsid w:val="007C2F8E"/>
    <w:rsid w:val="007C30F7"/>
    <w:rsid w:val="007C3141"/>
    <w:rsid w:val="007C31DA"/>
    <w:rsid w:val="007C31E3"/>
    <w:rsid w:val="007C31F9"/>
    <w:rsid w:val="007C325C"/>
    <w:rsid w:val="007C3332"/>
    <w:rsid w:val="007C334B"/>
    <w:rsid w:val="007C3443"/>
    <w:rsid w:val="007C3484"/>
    <w:rsid w:val="007C34A3"/>
    <w:rsid w:val="007C3610"/>
    <w:rsid w:val="007C372C"/>
    <w:rsid w:val="007C3748"/>
    <w:rsid w:val="007C37DE"/>
    <w:rsid w:val="007C3862"/>
    <w:rsid w:val="007C3885"/>
    <w:rsid w:val="007C3AB1"/>
    <w:rsid w:val="007C3B03"/>
    <w:rsid w:val="007C3BD7"/>
    <w:rsid w:val="007C3C59"/>
    <w:rsid w:val="007C3F7B"/>
    <w:rsid w:val="007C3F99"/>
    <w:rsid w:val="007C4030"/>
    <w:rsid w:val="007C4343"/>
    <w:rsid w:val="007C4426"/>
    <w:rsid w:val="007C445D"/>
    <w:rsid w:val="007C44C9"/>
    <w:rsid w:val="007C44E8"/>
    <w:rsid w:val="007C455A"/>
    <w:rsid w:val="007C45DD"/>
    <w:rsid w:val="007C45E0"/>
    <w:rsid w:val="007C4614"/>
    <w:rsid w:val="007C471E"/>
    <w:rsid w:val="007C476F"/>
    <w:rsid w:val="007C4798"/>
    <w:rsid w:val="007C47B2"/>
    <w:rsid w:val="007C47E2"/>
    <w:rsid w:val="007C4902"/>
    <w:rsid w:val="007C492D"/>
    <w:rsid w:val="007C4958"/>
    <w:rsid w:val="007C4991"/>
    <w:rsid w:val="007C49E4"/>
    <w:rsid w:val="007C4A88"/>
    <w:rsid w:val="007C4AAE"/>
    <w:rsid w:val="007C4C56"/>
    <w:rsid w:val="007C4CDE"/>
    <w:rsid w:val="007C4E82"/>
    <w:rsid w:val="007C4F49"/>
    <w:rsid w:val="007C4FFB"/>
    <w:rsid w:val="007C5063"/>
    <w:rsid w:val="007C518A"/>
    <w:rsid w:val="007C52C8"/>
    <w:rsid w:val="007C5461"/>
    <w:rsid w:val="007C546B"/>
    <w:rsid w:val="007C5553"/>
    <w:rsid w:val="007C55C0"/>
    <w:rsid w:val="007C55F3"/>
    <w:rsid w:val="007C570E"/>
    <w:rsid w:val="007C578A"/>
    <w:rsid w:val="007C589A"/>
    <w:rsid w:val="007C5A70"/>
    <w:rsid w:val="007C5B1A"/>
    <w:rsid w:val="007C5B8E"/>
    <w:rsid w:val="007C5BF9"/>
    <w:rsid w:val="007C5D64"/>
    <w:rsid w:val="007C5D72"/>
    <w:rsid w:val="007C5E38"/>
    <w:rsid w:val="007C5F36"/>
    <w:rsid w:val="007C5F5B"/>
    <w:rsid w:val="007C605C"/>
    <w:rsid w:val="007C6071"/>
    <w:rsid w:val="007C628B"/>
    <w:rsid w:val="007C6290"/>
    <w:rsid w:val="007C63B6"/>
    <w:rsid w:val="007C644D"/>
    <w:rsid w:val="007C64EA"/>
    <w:rsid w:val="007C652A"/>
    <w:rsid w:val="007C652E"/>
    <w:rsid w:val="007C655A"/>
    <w:rsid w:val="007C6579"/>
    <w:rsid w:val="007C657D"/>
    <w:rsid w:val="007C66FB"/>
    <w:rsid w:val="007C6716"/>
    <w:rsid w:val="007C675E"/>
    <w:rsid w:val="007C6816"/>
    <w:rsid w:val="007C688B"/>
    <w:rsid w:val="007C6A7C"/>
    <w:rsid w:val="007C6AA0"/>
    <w:rsid w:val="007C6B74"/>
    <w:rsid w:val="007C6B85"/>
    <w:rsid w:val="007C6B96"/>
    <w:rsid w:val="007C6D4E"/>
    <w:rsid w:val="007C6E98"/>
    <w:rsid w:val="007C6ECE"/>
    <w:rsid w:val="007C6F80"/>
    <w:rsid w:val="007C7003"/>
    <w:rsid w:val="007C706A"/>
    <w:rsid w:val="007C707F"/>
    <w:rsid w:val="007C70ED"/>
    <w:rsid w:val="007C715A"/>
    <w:rsid w:val="007C71AB"/>
    <w:rsid w:val="007C74DE"/>
    <w:rsid w:val="007C75DA"/>
    <w:rsid w:val="007C75E8"/>
    <w:rsid w:val="007C75F3"/>
    <w:rsid w:val="007C76E4"/>
    <w:rsid w:val="007C7742"/>
    <w:rsid w:val="007C7992"/>
    <w:rsid w:val="007C7A4E"/>
    <w:rsid w:val="007C7B8A"/>
    <w:rsid w:val="007C7BB2"/>
    <w:rsid w:val="007C7BED"/>
    <w:rsid w:val="007C7E11"/>
    <w:rsid w:val="007C7EAD"/>
    <w:rsid w:val="007D001A"/>
    <w:rsid w:val="007D01D2"/>
    <w:rsid w:val="007D01E6"/>
    <w:rsid w:val="007D025D"/>
    <w:rsid w:val="007D0261"/>
    <w:rsid w:val="007D02B4"/>
    <w:rsid w:val="007D03C2"/>
    <w:rsid w:val="007D03E6"/>
    <w:rsid w:val="007D087E"/>
    <w:rsid w:val="007D095E"/>
    <w:rsid w:val="007D0989"/>
    <w:rsid w:val="007D0990"/>
    <w:rsid w:val="007D09A5"/>
    <w:rsid w:val="007D0BF9"/>
    <w:rsid w:val="007D0CC3"/>
    <w:rsid w:val="007D0CCB"/>
    <w:rsid w:val="007D0CD6"/>
    <w:rsid w:val="007D0CE8"/>
    <w:rsid w:val="007D0D39"/>
    <w:rsid w:val="007D0D9D"/>
    <w:rsid w:val="007D0DBB"/>
    <w:rsid w:val="007D0E0B"/>
    <w:rsid w:val="007D0F15"/>
    <w:rsid w:val="007D0F9F"/>
    <w:rsid w:val="007D106E"/>
    <w:rsid w:val="007D10C4"/>
    <w:rsid w:val="007D1280"/>
    <w:rsid w:val="007D1334"/>
    <w:rsid w:val="007D1391"/>
    <w:rsid w:val="007D13D4"/>
    <w:rsid w:val="007D13E3"/>
    <w:rsid w:val="007D1601"/>
    <w:rsid w:val="007D16A7"/>
    <w:rsid w:val="007D1889"/>
    <w:rsid w:val="007D18D5"/>
    <w:rsid w:val="007D1932"/>
    <w:rsid w:val="007D1961"/>
    <w:rsid w:val="007D19A4"/>
    <w:rsid w:val="007D1A3C"/>
    <w:rsid w:val="007D1C19"/>
    <w:rsid w:val="007D1D1B"/>
    <w:rsid w:val="007D1D67"/>
    <w:rsid w:val="007D1E4E"/>
    <w:rsid w:val="007D1E66"/>
    <w:rsid w:val="007D1E72"/>
    <w:rsid w:val="007D1F80"/>
    <w:rsid w:val="007D2034"/>
    <w:rsid w:val="007D2073"/>
    <w:rsid w:val="007D210B"/>
    <w:rsid w:val="007D2115"/>
    <w:rsid w:val="007D2134"/>
    <w:rsid w:val="007D216A"/>
    <w:rsid w:val="007D21C9"/>
    <w:rsid w:val="007D226D"/>
    <w:rsid w:val="007D22B2"/>
    <w:rsid w:val="007D231D"/>
    <w:rsid w:val="007D235F"/>
    <w:rsid w:val="007D2556"/>
    <w:rsid w:val="007D2618"/>
    <w:rsid w:val="007D2640"/>
    <w:rsid w:val="007D269B"/>
    <w:rsid w:val="007D26C8"/>
    <w:rsid w:val="007D26EB"/>
    <w:rsid w:val="007D2700"/>
    <w:rsid w:val="007D291D"/>
    <w:rsid w:val="007D29AB"/>
    <w:rsid w:val="007D2A77"/>
    <w:rsid w:val="007D2D15"/>
    <w:rsid w:val="007D2D18"/>
    <w:rsid w:val="007D2D54"/>
    <w:rsid w:val="007D302A"/>
    <w:rsid w:val="007D3110"/>
    <w:rsid w:val="007D331F"/>
    <w:rsid w:val="007D3639"/>
    <w:rsid w:val="007D36A2"/>
    <w:rsid w:val="007D373B"/>
    <w:rsid w:val="007D37D6"/>
    <w:rsid w:val="007D3801"/>
    <w:rsid w:val="007D3865"/>
    <w:rsid w:val="007D38F1"/>
    <w:rsid w:val="007D3904"/>
    <w:rsid w:val="007D3976"/>
    <w:rsid w:val="007D3A7E"/>
    <w:rsid w:val="007D3B84"/>
    <w:rsid w:val="007D3C67"/>
    <w:rsid w:val="007D3D0B"/>
    <w:rsid w:val="007D3D17"/>
    <w:rsid w:val="007D3E30"/>
    <w:rsid w:val="007D3ED4"/>
    <w:rsid w:val="007D3F57"/>
    <w:rsid w:val="007D3FEE"/>
    <w:rsid w:val="007D4035"/>
    <w:rsid w:val="007D43D0"/>
    <w:rsid w:val="007D4475"/>
    <w:rsid w:val="007D44D7"/>
    <w:rsid w:val="007D4689"/>
    <w:rsid w:val="007D4704"/>
    <w:rsid w:val="007D47BA"/>
    <w:rsid w:val="007D483B"/>
    <w:rsid w:val="007D483D"/>
    <w:rsid w:val="007D48A4"/>
    <w:rsid w:val="007D498E"/>
    <w:rsid w:val="007D4A6A"/>
    <w:rsid w:val="007D4AA3"/>
    <w:rsid w:val="007D4B0B"/>
    <w:rsid w:val="007D4D31"/>
    <w:rsid w:val="007D4EB5"/>
    <w:rsid w:val="007D5080"/>
    <w:rsid w:val="007D51B4"/>
    <w:rsid w:val="007D51FB"/>
    <w:rsid w:val="007D5311"/>
    <w:rsid w:val="007D5353"/>
    <w:rsid w:val="007D5356"/>
    <w:rsid w:val="007D54DA"/>
    <w:rsid w:val="007D55AB"/>
    <w:rsid w:val="007D561D"/>
    <w:rsid w:val="007D571D"/>
    <w:rsid w:val="007D5910"/>
    <w:rsid w:val="007D5996"/>
    <w:rsid w:val="007D5E2F"/>
    <w:rsid w:val="007D5ECC"/>
    <w:rsid w:val="007D5F42"/>
    <w:rsid w:val="007D5FA8"/>
    <w:rsid w:val="007D603D"/>
    <w:rsid w:val="007D607B"/>
    <w:rsid w:val="007D60E3"/>
    <w:rsid w:val="007D6145"/>
    <w:rsid w:val="007D6165"/>
    <w:rsid w:val="007D618E"/>
    <w:rsid w:val="007D627D"/>
    <w:rsid w:val="007D640D"/>
    <w:rsid w:val="007D64BF"/>
    <w:rsid w:val="007D650F"/>
    <w:rsid w:val="007D657C"/>
    <w:rsid w:val="007D6664"/>
    <w:rsid w:val="007D66EB"/>
    <w:rsid w:val="007D6702"/>
    <w:rsid w:val="007D6839"/>
    <w:rsid w:val="007D6866"/>
    <w:rsid w:val="007D69C6"/>
    <w:rsid w:val="007D69DA"/>
    <w:rsid w:val="007D6AB5"/>
    <w:rsid w:val="007D6B71"/>
    <w:rsid w:val="007D6BFF"/>
    <w:rsid w:val="007D6CFE"/>
    <w:rsid w:val="007D6DC9"/>
    <w:rsid w:val="007D6E4C"/>
    <w:rsid w:val="007D6F88"/>
    <w:rsid w:val="007D70BA"/>
    <w:rsid w:val="007D70C3"/>
    <w:rsid w:val="007D7218"/>
    <w:rsid w:val="007D73D0"/>
    <w:rsid w:val="007D73D8"/>
    <w:rsid w:val="007D7455"/>
    <w:rsid w:val="007D749C"/>
    <w:rsid w:val="007D74B7"/>
    <w:rsid w:val="007D7531"/>
    <w:rsid w:val="007D7748"/>
    <w:rsid w:val="007D776A"/>
    <w:rsid w:val="007D7810"/>
    <w:rsid w:val="007D7892"/>
    <w:rsid w:val="007D78D5"/>
    <w:rsid w:val="007D7A55"/>
    <w:rsid w:val="007D7AB5"/>
    <w:rsid w:val="007D7AFA"/>
    <w:rsid w:val="007D7C61"/>
    <w:rsid w:val="007D7D60"/>
    <w:rsid w:val="007D7DAD"/>
    <w:rsid w:val="007D7F3C"/>
    <w:rsid w:val="007D7F49"/>
    <w:rsid w:val="007E0022"/>
    <w:rsid w:val="007E00B4"/>
    <w:rsid w:val="007E0152"/>
    <w:rsid w:val="007E015E"/>
    <w:rsid w:val="007E0241"/>
    <w:rsid w:val="007E027E"/>
    <w:rsid w:val="007E032C"/>
    <w:rsid w:val="007E0400"/>
    <w:rsid w:val="007E0458"/>
    <w:rsid w:val="007E04EB"/>
    <w:rsid w:val="007E04FC"/>
    <w:rsid w:val="007E04FF"/>
    <w:rsid w:val="007E06BE"/>
    <w:rsid w:val="007E0720"/>
    <w:rsid w:val="007E0790"/>
    <w:rsid w:val="007E0D57"/>
    <w:rsid w:val="007E0E22"/>
    <w:rsid w:val="007E0E60"/>
    <w:rsid w:val="007E0E84"/>
    <w:rsid w:val="007E0F1C"/>
    <w:rsid w:val="007E0F4D"/>
    <w:rsid w:val="007E0F5D"/>
    <w:rsid w:val="007E0FD1"/>
    <w:rsid w:val="007E1109"/>
    <w:rsid w:val="007E1299"/>
    <w:rsid w:val="007E148C"/>
    <w:rsid w:val="007E14F8"/>
    <w:rsid w:val="007E1636"/>
    <w:rsid w:val="007E16C1"/>
    <w:rsid w:val="007E16FB"/>
    <w:rsid w:val="007E18E6"/>
    <w:rsid w:val="007E192D"/>
    <w:rsid w:val="007E1AAD"/>
    <w:rsid w:val="007E1CA3"/>
    <w:rsid w:val="007E1E6F"/>
    <w:rsid w:val="007E203E"/>
    <w:rsid w:val="007E2092"/>
    <w:rsid w:val="007E2170"/>
    <w:rsid w:val="007E2172"/>
    <w:rsid w:val="007E2193"/>
    <w:rsid w:val="007E2234"/>
    <w:rsid w:val="007E2245"/>
    <w:rsid w:val="007E225B"/>
    <w:rsid w:val="007E24A6"/>
    <w:rsid w:val="007E24F3"/>
    <w:rsid w:val="007E25B8"/>
    <w:rsid w:val="007E2762"/>
    <w:rsid w:val="007E2A4D"/>
    <w:rsid w:val="007E2BC9"/>
    <w:rsid w:val="007E2F0A"/>
    <w:rsid w:val="007E2F54"/>
    <w:rsid w:val="007E2F73"/>
    <w:rsid w:val="007E2F78"/>
    <w:rsid w:val="007E2FB1"/>
    <w:rsid w:val="007E2FC4"/>
    <w:rsid w:val="007E2FD0"/>
    <w:rsid w:val="007E300E"/>
    <w:rsid w:val="007E3011"/>
    <w:rsid w:val="007E3014"/>
    <w:rsid w:val="007E3142"/>
    <w:rsid w:val="007E3391"/>
    <w:rsid w:val="007E33A6"/>
    <w:rsid w:val="007E37B5"/>
    <w:rsid w:val="007E38FA"/>
    <w:rsid w:val="007E3986"/>
    <w:rsid w:val="007E3989"/>
    <w:rsid w:val="007E3A62"/>
    <w:rsid w:val="007E3AEC"/>
    <w:rsid w:val="007E3B22"/>
    <w:rsid w:val="007E3BF4"/>
    <w:rsid w:val="007E3C12"/>
    <w:rsid w:val="007E3D6F"/>
    <w:rsid w:val="007E3E39"/>
    <w:rsid w:val="007E3EE8"/>
    <w:rsid w:val="007E3F92"/>
    <w:rsid w:val="007E41A6"/>
    <w:rsid w:val="007E434C"/>
    <w:rsid w:val="007E4401"/>
    <w:rsid w:val="007E443D"/>
    <w:rsid w:val="007E44D4"/>
    <w:rsid w:val="007E4A86"/>
    <w:rsid w:val="007E4AC0"/>
    <w:rsid w:val="007E4ACA"/>
    <w:rsid w:val="007E4B23"/>
    <w:rsid w:val="007E4B99"/>
    <w:rsid w:val="007E4BDC"/>
    <w:rsid w:val="007E4C6B"/>
    <w:rsid w:val="007E4D73"/>
    <w:rsid w:val="007E4E37"/>
    <w:rsid w:val="007E4F3E"/>
    <w:rsid w:val="007E503D"/>
    <w:rsid w:val="007E50C2"/>
    <w:rsid w:val="007E5202"/>
    <w:rsid w:val="007E534D"/>
    <w:rsid w:val="007E562E"/>
    <w:rsid w:val="007E5659"/>
    <w:rsid w:val="007E5863"/>
    <w:rsid w:val="007E5948"/>
    <w:rsid w:val="007E5A97"/>
    <w:rsid w:val="007E5AC3"/>
    <w:rsid w:val="007E5C60"/>
    <w:rsid w:val="007E5E17"/>
    <w:rsid w:val="007E5EFC"/>
    <w:rsid w:val="007E601A"/>
    <w:rsid w:val="007E6022"/>
    <w:rsid w:val="007E6165"/>
    <w:rsid w:val="007E61AF"/>
    <w:rsid w:val="007E61BA"/>
    <w:rsid w:val="007E6265"/>
    <w:rsid w:val="007E6293"/>
    <w:rsid w:val="007E6315"/>
    <w:rsid w:val="007E63D8"/>
    <w:rsid w:val="007E6747"/>
    <w:rsid w:val="007E67CF"/>
    <w:rsid w:val="007E6809"/>
    <w:rsid w:val="007E680D"/>
    <w:rsid w:val="007E681F"/>
    <w:rsid w:val="007E6958"/>
    <w:rsid w:val="007E69B7"/>
    <w:rsid w:val="007E6BFB"/>
    <w:rsid w:val="007E6C42"/>
    <w:rsid w:val="007E6DB4"/>
    <w:rsid w:val="007E70E9"/>
    <w:rsid w:val="007E72A9"/>
    <w:rsid w:val="007E72E6"/>
    <w:rsid w:val="007E73D8"/>
    <w:rsid w:val="007E7426"/>
    <w:rsid w:val="007E7521"/>
    <w:rsid w:val="007E7605"/>
    <w:rsid w:val="007E760F"/>
    <w:rsid w:val="007E76FB"/>
    <w:rsid w:val="007E77D4"/>
    <w:rsid w:val="007E7895"/>
    <w:rsid w:val="007E78E4"/>
    <w:rsid w:val="007E7950"/>
    <w:rsid w:val="007E79DC"/>
    <w:rsid w:val="007E7A50"/>
    <w:rsid w:val="007E7B17"/>
    <w:rsid w:val="007E7C88"/>
    <w:rsid w:val="007E7CF6"/>
    <w:rsid w:val="007E7D35"/>
    <w:rsid w:val="007E7E12"/>
    <w:rsid w:val="007E7E94"/>
    <w:rsid w:val="007E7F14"/>
    <w:rsid w:val="007E7F5F"/>
    <w:rsid w:val="007E7F95"/>
    <w:rsid w:val="007F005A"/>
    <w:rsid w:val="007F00B0"/>
    <w:rsid w:val="007F00C3"/>
    <w:rsid w:val="007F017F"/>
    <w:rsid w:val="007F0202"/>
    <w:rsid w:val="007F026B"/>
    <w:rsid w:val="007F02A2"/>
    <w:rsid w:val="007F033A"/>
    <w:rsid w:val="007F036B"/>
    <w:rsid w:val="007F0564"/>
    <w:rsid w:val="007F05E0"/>
    <w:rsid w:val="007F0626"/>
    <w:rsid w:val="007F0808"/>
    <w:rsid w:val="007F0869"/>
    <w:rsid w:val="007F0972"/>
    <w:rsid w:val="007F0A2A"/>
    <w:rsid w:val="007F0A7A"/>
    <w:rsid w:val="007F0AA2"/>
    <w:rsid w:val="007F0BA1"/>
    <w:rsid w:val="007F0BFE"/>
    <w:rsid w:val="007F0C4E"/>
    <w:rsid w:val="007F0C82"/>
    <w:rsid w:val="007F0D0D"/>
    <w:rsid w:val="007F0D9C"/>
    <w:rsid w:val="007F0F37"/>
    <w:rsid w:val="007F1034"/>
    <w:rsid w:val="007F1124"/>
    <w:rsid w:val="007F1138"/>
    <w:rsid w:val="007F13BF"/>
    <w:rsid w:val="007F1489"/>
    <w:rsid w:val="007F160C"/>
    <w:rsid w:val="007F175C"/>
    <w:rsid w:val="007F1791"/>
    <w:rsid w:val="007F184D"/>
    <w:rsid w:val="007F1952"/>
    <w:rsid w:val="007F19C1"/>
    <w:rsid w:val="007F1A05"/>
    <w:rsid w:val="007F1B58"/>
    <w:rsid w:val="007F1D78"/>
    <w:rsid w:val="007F1DA6"/>
    <w:rsid w:val="007F1E8A"/>
    <w:rsid w:val="007F1ED6"/>
    <w:rsid w:val="007F1F0E"/>
    <w:rsid w:val="007F2397"/>
    <w:rsid w:val="007F23C0"/>
    <w:rsid w:val="007F23EE"/>
    <w:rsid w:val="007F247C"/>
    <w:rsid w:val="007F2491"/>
    <w:rsid w:val="007F27FE"/>
    <w:rsid w:val="007F2976"/>
    <w:rsid w:val="007F29FB"/>
    <w:rsid w:val="007F2A1F"/>
    <w:rsid w:val="007F2AF4"/>
    <w:rsid w:val="007F2E56"/>
    <w:rsid w:val="007F2E69"/>
    <w:rsid w:val="007F311F"/>
    <w:rsid w:val="007F347B"/>
    <w:rsid w:val="007F3603"/>
    <w:rsid w:val="007F364F"/>
    <w:rsid w:val="007F36A0"/>
    <w:rsid w:val="007F3816"/>
    <w:rsid w:val="007F3A0D"/>
    <w:rsid w:val="007F3BAA"/>
    <w:rsid w:val="007F3C87"/>
    <w:rsid w:val="007F3CCE"/>
    <w:rsid w:val="007F3E6B"/>
    <w:rsid w:val="007F3E95"/>
    <w:rsid w:val="007F3F23"/>
    <w:rsid w:val="007F3F66"/>
    <w:rsid w:val="007F411F"/>
    <w:rsid w:val="007F4126"/>
    <w:rsid w:val="007F4172"/>
    <w:rsid w:val="007F4285"/>
    <w:rsid w:val="007F432B"/>
    <w:rsid w:val="007F4386"/>
    <w:rsid w:val="007F440E"/>
    <w:rsid w:val="007F44CD"/>
    <w:rsid w:val="007F45D0"/>
    <w:rsid w:val="007F4811"/>
    <w:rsid w:val="007F49EC"/>
    <w:rsid w:val="007F4A41"/>
    <w:rsid w:val="007F4A4E"/>
    <w:rsid w:val="007F4C01"/>
    <w:rsid w:val="007F4C07"/>
    <w:rsid w:val="007F4D41"/>
    <w:rsid w:val="007F4D50"/>
    <w:rsid w:val="007F4F10"/>
    <w:rsid w:val="007F4FA3"/>
    <w:rsid w:val="007F4FCD"/>
    <w:rsid w:val="007F50F6"/>
    <w:rsid w:val="007F52ED"/>
    <w:rsid w:val="007F5354"/>
    <w:rsid w:val="007F5376"/>
    <w:rsid w:val="007F5389"/>
    <w:rsid w:val="007F53C7"/>
    <w:rsid w:val="007F550C"/>
    <w:rsid w:val="007F551B"/>
    <w:rsid w:val="007F56B6"/>
    <w:rsid w:val="007F56C5"/>
    <w:rsid w:val="007F573B"/>
    <w:rsid w:val="007F57E6"/>
    <w:rsid w:val="007F57F2"/>
    <w:rsid w:val="007F580A"/>
    <w:rsid w:val="007F5833"/>
    <w:rsid w:val="007F5975"/>
    <w:rsid w:val="007F5997"/>
    <w:rsid w:val="007F59E8"/>
    <w:rsid w:val="007F5A78"/>
    <w:rsid w:val="007F5A91"/>
    <w:rsid w:val="007F5AF1"/>
    <w:rsid w:val="007F5B5A"/>
    <w:rsid w:val="007F5B76"/>
    <w:rsid w:val="007F5C2B"/>
    <w:rsid w:val="007F5CDE"/>
    <w:rsid w:val="007F5D0E"/>
    <w:rsid w:val="007F5E0D"/>
    <w:rsid w:val="007F5E25"/>
    <w:rsid w:val="007F5ED9"/>
    <w:rsid w:val="007F60C8"/>
    <w:rsid w:val="007F615E"/>
    <w:rsid w:val="007F617F"/>
    <w:rsid w:val="007F625B"/>
    <w:rsid w:val="007F6395"/>
    <w:rsid w:val="007F6437"/>
    <w:rsid w:val="007F64BB"/>
    <w:rsid w:val="007F660B"/>
    <w:rsid w:val="007F66DD"/>
    <w:rsid w:val="007F66F5"/>
    <w:rsid w:val="007F66FB"/>
    <w:rsid w:val="007F6728"/>
    <w:rsid w:val="007F6735"/>
    <w:rsid w:val="007F6872"/>
    <w:rsid w:val="007F68AB"/>
    <w:rsid w:val="007F696B"/>
    <w:rsid w:val="007F6995"/>
    <w:rsid w:val="007F6C4D"/>
    <w:rsid w:val="007F6CBD"/>
    <w:rsid w:val="007F6DE2"/>
    <w:rsid w:val="007F6EFA"/>
    <w:rsid w:val="007F6F15"/>
    <w:rsid w:val="007F6F21"/>
    <w:rsid w:val="007F6F4C"/>
    <w:rsid w:val="007F709B"/>
    <w:rsid w:val="007F72BC"/>
    <w:rsid w:val="007F7352"/>
    <w:rsid w:val="007F7380"/>
    <w:rsid w:val="007F73BA"/>
    <w:rsid w:val="007F7562"/>
    <w:rsid w:val="007F7685"/>
    <w:rsid w:val="007F7825"/>
    <w:rsid w:val="007F78D6"/>
    <w:rsid w:val="007F79F2"/>
    <w:rsid w:val="007F7A40"/>
    <w:rsid w:val="007F7B74"/>
    <w:rsid w:val="007F7BE9"/>
    <w:rsid w:val="007F7C58"/>
    <w:rsid w:val="007F7CE0"/>
    <w:rsid w:val="007F7E7F"/>
    <w:rsid w:val="007F7F4F"/>
    <w:rsid w:val="007F7FAE"/>
    <w:rsid w:val="00800252"/>
    <w:rsid w:val="00800294"/>
    <w:rsid w:val="008003E4"/>
    <w:rsid w:val="008004DA"/>
    <w:rsid w:val="00800561"/>
    <w:rsid w:val="008005E0"/>
    <w:rsid w:val="0080079F"/>
    <w:rsid w:val="008007D5"/>
    <w:rsid w:val="0080080C"/>
    <w:rsid w:val="00800864"/>
    <w:rsid w:val="0080094D"/>
    <w:rsid w:val="0080097E"/>
    <w:rsid w:val="00800A6F"/>
    <w:rsid w:val="00800A7D"/>
    <w:rsid w:val="00800BA0"/>
    <w:rsid w:val="00800BAB"/>
    <w:rsid w:val="00800C61"/>
    <w:rsid w:val="00800EA5"/>
    <w:rsid w:val="00800EDE"/>
    <w:rsid w:val="00800EE1"/>
    <w:rsid w:val="0080110B"/>
    <w:rsid w:val="0080111C"/>
    <w:rsid w:val="0080118E"/>
    <w:rsid w:val="0080125F"/>
    <w:rsid w:val="00801339"/>
    <w:rsid w:val="008013A9"/>
    <w:rsid w:val="008013EB"/>
    <w:rsid w:val="00801435"/>
    <w:rsid w:val="008016AD"/>
    <w:rsid w:val="0080173C"/>
    <w:rsid w:val="0080180A"/>
    <w:rsid w:val="00801862"/>
    <w:rsid w:val="00801875"/>
    <w:rsid w:val="0080195C"/>
    <w:rsid w:val="00801A5B"/>
    <w:rsid w:val="00801A83"/>
    <w:rsid w:val="00801B95"/>
    <w:rsid w:val="00801BD6"/>
    <w:rsid w:val="00801D66"/>
    <w:rsid w:val="00801D76"/>
    <w:rsid w:val="00801FF5"/>
    <w:rsid w:val="00802013"/>
    <w:rsid w:val="00802046"/>
    <w:rsid w:val="008020B3"/>
    <w:rsid w:val="008021B1"/>
    <w:rsid w:val="008021CE"/>
    <w:rsid w:val="00802211"/>
    <w:rsid w:val="0080226F"/>
    <w:rsid w:val="0080232B"/>
    <w:rsid w:val="008023AE"/>
    <w:rsid w:val="00802567"/>
    <w:rsid w:val="00802681"/>
    <w:rsid w:val="008026FB"/>
    <w:rsid w:val="008027CC"/>
    <w:rsid w:val="00802947"/>
    <w:rsid w:val="00802B35"/>
    <w:rsid w:val="00802B45"/>
    <w:rsid w:val="00802C1B"/>
    <w:rsid w:val="00802D2D"/>
    <w:rsid w:val="00802F93"/>
    <w:rsid w:val="00802FB6"/>
    <w:rsid w:val="008030E5"/>
    <w:rsid w:val="008031F7"/>
    <w:rsid w:val="0080348D"/>
    <w:rsid w:val="008035C1"/>
    <w:rsid w:val="008035EB"/>
    <w:rsid w:val="00803744"/>
    <w:rsid w:val="00803907"/>
    <w:rsid w:val="00803966"/>
    <w:rsid w:val="008039D3"/>
    <w:rsid w:val="00803AB7"/>
    <w:rsid w:val="00803B4D"/>
    <w:rsid w:val="00803C08"/>
    <w:rsid w:val="00803CF5"/>
    <w:rsid w:val="00803DA4"/>
    <w:rsid w:val="00803DF0"/>
    <w:rsid w:val="00803F87"/>
    <w:rsid w:val="00804016"/>
    <w:rsid w:val="00804185"/>
    <w:rsid w:val="00804235"/>
    <w:rsid w:val="0080432B"/>
    <w:rsid w:val="00804566"/>
    <w:rsid w:val="008046A8"/>
    <w:rsid w:val="008046EC"/>
    <w:rsid w:val="00804706"/>
    <w:rsid w:val="00804780"/>
    <w:rsid w:val="00804807"/>
    <w:rsid w:val="0080489C"/>
    <w:rsid w:val="00804A47"/>
    <w:rsid w:val="00804ABE"/>
    <w:rsid w:val="00804B2A"/>
    <w:rsid w:val="00804B6B"/>
    <w:rsid w:val="00804D08"/>
    <w:rsid w:val="00804E95"/>
    <w:rsid w:val="00804ECF"/>
    <w:rsid w:val="00804F9B"/>
    <w:rsid w:val="0080509E"/>
    <w:rsid w:val="00805159"/>
    <w:rsid w:val="0080518F"/>
    <w:rsid w:val="00805325"/>
    <w:rsid w:val="00805339"/>
    <w:rsid w:val="0080553B"/>
    <w:rsid w:val="00805601"/>
    <w:rsid w:val="0080566B"/>
    <w:rsid w:val="0080566F"/>
    <w:rsid w:val="008056A5"/>
    <w:rsid w:val="008057A3"/>
    <w:rsid w:val="008057CF"/>
    <w:rsid w:val="00805835"/>
    <w:rsid w:val="008058E2"/>
    <w:rsid w:val="0080598F"/>
    <w:rsid w:val="00805A6E"/>
    <w:rsid w:val="00805BA6"/>
    <w:rsid w:val="00805BB9"/>
    <w:rsid w:val="00805C5F"/>
    <w:rsid w:val="00805CC9"/>
    <w:rsid w:val="00805DB7"/>
    <w:rsid w:val="00805E30"/>
    <w:rsid w:val="00806321"/>
    <w:rsid w:val="0080633C"/>
    <w:rsid w:val="00806398"/>
    <w:rsid w:val="00806404"/>
    <w:rsid w:val="0080645B"/>
    <w:rsid w:val="00806475"/>
    <w:rsid w:val="008064EF"/>
    <w:rsid w:val="00806687"/>
    <w:rsid w:val="008066C6"/>
    <w:rsid w:val="008069F4"/>
    <w:rsid w:val="00806E57"/>
    <w:rsid w:val="00806EC6"/>
    <w:rsid w:val="00806FE3"/>
    <w:rsid w:val="00807002"/>
    <w:rsid w:val="008070AE"/>
    <w:rsid w:val="008073EC"/>
    <w:rsid w:val="00807571"/>
    <w:rsid w:val="00807624"/>
    <w:rsid w:val="00807660"/>
    <w:rsid w:val="008076BB"/>
    <w:rsid w:val="0080786B"/>
    <w:rsid w:val="008078C2"/>
    <w:rsid w:val="00807916"/>
    <w:rsid w:val="00807A7C"/>
    <w:rsid w:val="00807A95"/>
    <w:rsid w:val="00807AEB"/>
    <w:rsid w:val="00807CF2"/>
    <w:rsid w:val="00807D65"/>
    <w:rsid w:val="00807E36"/>
    <w:rsid w:val="00810094"/>
    <w:rsid w:val="008100DC"/>
    <w:rsid w:val="00810275"/>
    <w:rsid w:val="0081028A"/>
    <w:rsid w:val="00810319"/>
    <w:rsid w:val="00810347"/>
    <w:rsid w:val="00810396"/>
    <w:rsid w:val="008103CC"/>
    <w:rsid w:val="00810574"/>
    <w:rsid w:val="00810594"/>
    <w:rsid w:val="0081064E"/>
    <w:rsid w:val="008107B4"/>
    <w:rsid w:val="008107BB"/>
    <w:rsid w:val="008107D9"/>
    <w:rsid w:val="0081093D"/>
    <w:rsid w:val="008109FD"/>
    <w:rsid w:val="00810B1C"/>
    <w:rsid w:val="00810CE7"/>
    <w:rsid w:val="00810D80"/>
    <w:rsid w:val="008110A4"/>
    <w:rsid w:val="00811151"/>
    <w:rsid w:val="00811231"/>
    <w:rsid w:val="0081123F"/>
    <w:rsid w:val="008112A0"/>
    <w:rsid w:val="00811346"/>
    <w:rsid w:val="0081134E"/>
    <w:rsid w:val="00811360"/>
    <w:rsid w:val="008113D3"/>
    <w:rsid w:val="008113DC"/>
    <w:rsid w:val="008114BA"/>
    <w:rsid w:val="008114F4"/>
    <w:rsid w:val="008115C6"/>
    <w:rsid w:val="0081189C"/>
    <w:rsid w:val="008118BE"/>
    <w:rsid w:val="008119DE"/>
    <w:rsid w:val="00811A65"/>
    <w:rsid w:val="00811ADA"/>
    <w:rsid w:val="00811B57"/>
    <w:rsid w:val="00811C02"/>
    <w:rsid w:val="00811C30"/>
    <w:rsid w:val="00811CE8"/>
    <w:rsid w:val="00811CF2"/>
    <w:rsid w:val="00811DA0"/>
    <w:rsid w:val="00811DAE"/>
    <w:rsid w:val="00811DB6"/>
    <w:rsid w:val="00811E03"/>
    <w:rsid w:val="00812098"/>
    <w:rsid w:val="00812387"/>
    <w:rsid w:val="008123FE"/>
    <w:rsid w:val="00812709"/>
    <w:rsid w:val="0081273B"/>
    <w:rsid w:val="0081283F"/>
    <w:rsid w:val="008128A4"/>
    <w:rsid w:val="0081298C"/>
    <w:rsid w:val="008129D3"/>
    <w:rsid w:val="008129D9"/>
    <w:rsid w:val="00812ADA"/>
    <w:rsid w:val="00812B02"/>
    <w:rsid w:val="00812B40"/>
    <w:rsid w:val="00812BC8"/>
    <w:rsid w:val="00812C93"/>
    <w:rsid w:val="00812E36"/>
    <w:rsid w:val="00812EF5"/>
    <w:rsid w:val="00812F0A"/>
    <w:rsid w:val="00812F23"/>
    <w:rsid w:val="00812FB7"/>
    <w:rsid w:val="00812FEA"/>
    <w:rsid w:val="00813022"/>
    <w:rsid w:val="008131B2"/>
    <w:rsid w:val="008131E9"/>
    <w:rsid w:val="0081326E"/>
    <w:rsid w:val="00813307"/>
    <w:rsid w:val="00813354"/>
    <w:rsid w:val="00813411"/>
    <w:rsid w:val="00813453"/>
    <w:rsid w:val="00813743"/>
    <w:rsid w:val="008137FA"/>
    <w:rsid w:val="00813943"/>
    <w:rsid w:val="00813989"/>
    <w:rsid w:val="00813A3D"/>
    <w:rsid w:val="00813A8D"/>
    <w:rsid w:val="00813B54"/>
    <w:rsid w:val="00813BC5"/>
    <w:rsid w:val="00813C36"/>
    <w:rsid w:val="00813C65"/>
    <w:rsid w:val="00813CAC"/>
    <w:rsid w:val="00813CBD"/>
    <w:rsid w:val="00813FB3"/>
    <w:rsid w:val="00813FC9"/>
    <w:rsid w:val="00813FD1"/>
    <w:rsid w:val="0081401B"/>
    <w:rsid w:val="008141A9"/>
    <w:rsid w:val="00814292"/>
    <w:rsid w:val="008142BC"/>
    <w:rsid w:val="00814327"/>
    <w:rsid w:val="0081438B"/>
    <w:rsid w:val="00814446"/>
    <w:rsid w:val="00814468"/>
    <w:rsid w:val="0081452A"/>
    <w:rsid w:val="0081452F"/>
    <w:rsid w:val="00814531"/>
    <w:rsid w:val="008145A1"/>
    <w:rsid w:val="0081487A"/>
    <w:rsid w:val="0081492F"/>
    <w:rsid w:val="00814B78"/>
    <w:rsid w:val="00814D5C"/>
    <w:rsid w:val="00814D63"/>
    <w:rsid w:val="00814D90"/>
    <w:rsid w:val="00814E6D"/>
    <w:rsid w:val="00814EFF"/>
    <w:rsid w:val="00815090"/>
    <w:rsid w:val="008150E7"/>
    <w:rsid w:val="00815149"/>
    <w:rsid w:val="0081516F"/>
    <w:rsid w:val="00815176"/>
    <w:rsid w:val="0081519B"/>
    <w:rsid w:val="0081521D"/>
    <w:rsid w:val="0081526D"/>
    <w:rsid w:val="00815280"/>
    <w:rsid w:val="008152C4"/>
    <w:rsid w:val="00815315"/>
    <w:rsid w:val="0081538D"/>
    <w:rsid w:val="0081565B"/>
    <w:rsid w:val="00815701"/>
    <w:rsid w:val="0081575D"/>
    <w:rsid w:val="00815826"/>
    <w:rsid w:val="008158FD"/>
    <w:rsid w:val="00815909"/>
    <w:rsid w:val="0081591F"/>
    <w:rsid w:val="008159B7"/>
    <w:rsid w:val="00815A23"/>
    <w:rsid w:val="00815B20"/>
    <w:rsid w:val="00815BB8"/>
    <w:rsid w:val="00815D34"/>
    <w:rsid w:val="00815D6E"/>
    <w:rsid w:val="00815F34"/>
    <w:rsid w:val="00816003"/>
    <w:rsid w:val="00816020"/>
    <w:rsid w:val="0081634C"/>
    <w:rsid w:val="00816386"/>
    <w:rsid w:val="0081649C"/>
    <w:rsid w:val="00816602"/>
    <w:rsid w:val="008167C0"/>
    <w:rsid w:val="008167CF"/>
    <w:rsid w:val="00816835"/>
    <w:rsid w:val="008168CC"/>
    <w:rsid w:val="00816AF0"/>
    <w:rsid w:val="00816B22"/>
    <w:rsid w:val="00816C08"/>
    <w:rsid w:val="00816DFC"/>
    <w:rsid w:val="00816E23"/>
    <w:rsid w:val="00816E47"/>
    <w:rsid w:val="00816F3C"/>
    <w:rsid w:val="00817026"/>
    <w:rsid w:val="008170D7"/>
    <w:rsid w:val="008171BB"/>
    <w:rsid w:val="008171FB"/>
    <w:rsid w:val="00817229"/>
    <w:rsid w:val="008172D2"/>
    <w:rsid w:val="008172D3"/>
    <w:rsid w:val="008172DA"/>
    <w:rsid w:val="00817455"/>
    <w:rsid w:val="008174F6"/>
    <w:rsid w:val="00817736"/>
    <w:rsid w:val="00817898"/>
    <w:rsid w:val="0081792C"/>
    <w:rsid w:val="00817941"/>
    <w:rsid w:val="00817958"/>
    <w:rsid w:val="00817B7C"/>
    <w:rsid w:val="00817C1D"/>
    <w:rsid w:val="00817D1A"/>
    <w:rsid w:val="00817DDC"/>
    <w:rsid w:val="00817E68"/>
    <w:rsid w:val="00817E8D"/>
    <w:rsid w:val="00817FFE"/>
    <w:rsid w:val="0082009D"/>
    <w:rsid w:val="0082010E"/>
    <w:rsid w:val="0082014A"/>
    <w:rsid w:val="008201AE"/>
    <w:rsid w:val="00820273"/>
    <w:rsid w:val="00820342"/>
    <w:rsid w:val="00820408"/>
    <w:rsid w:val="0082045D"/>
    <w:rsid w:val="008205C2"/>
    <w:rsid w:val="00820609"/>
    <w:rsid w:val="00820746"/>
    <w:rsid w:val="00820913"/>
    <w:rsid w:val="008209C7"/>
    <w:rsid w:val="00820A3A"/>
    <w:rsid w:val="00820AB6"/>
    <w:rsid w:val="00820B7A"/>
    <w:rsid w:val="00820B9E"/>
    <w:rsid w:val="00820BBF"/>
    <w:rsid w:val="00820BF2"/>
    <w:rsid w:val="00820C8F"/>
    <w:rsid w:val="00820CF8"/>
    <w:rsid w:val="00820E1B"/>
    <w:rsid w:val="00820E27"/>
    <w:rsid w:val="00820EC8"/>
    <w:rsid w:val="00820FBC"/>
    <w:rsid w:val="00821003"/>
    <w:rsid w:val="00821036"/>
    <w:rsid w:val="0082111C"/>
    <w:rsid w:val="0082112D"/>
    <w:rsid w:val="008211C2"/>
    <w:rsid w:val="008211CC"/>
    <w:rsid w:val="008211FB"/>
    <w:rsid w:val="008213B4"/>
    <w:rsid w:val="008214CC"/>
    <w:rsid w:val="00821683"/>
    <w:rsid w:val="00821856"/>
    <w:rsid w:val="00821870"/>
    <w:rsid w:val="00821889"/>
    <w:rsid w:val="00821937"/>
    <w:rsid w:val="00821A18"/>
    <w:rsid w:val="00821A76"/>
    <w:rsid w:val="00821BF4"/>
    <w:rsid w:val="00821C36"/>
    <w:rsid w:val="00821CA0"/>
    <w:rsid w:val="00821D95"/>
    <w:rsid w:val="00821FCC"/>
    <w:rsid w:val="00822082"/>
    <w:rsid w:val="008220D2"/>
    <w:rsid w:val="00822139"/>
    <w:rsid w:val="0082216E"/>
    <w:rsid w:val="0082222E"/>
    <w:rsid w:val="00822422"/>
    <w:rsid w:val="00822453"/>
    <w:rsid w:val="008224A1"/>
    <w:rsid w:val="008224F4"/>
    <w:rsid w:val="00822515"/>
    <w:rsid w:val="008226CB"/>
    <w:rsid w:val="0082272B"/>
    <w:rsid w:val="0082276F"/>
    <w:rsid w:val="008227A2"/>
    <w:rsid w:val="008227A5"/>
    <w:rsid w:val="008227D0"/>
    <w:rsid w:val="008228CB"/>
    <w:rsid w:val="008228E5"/>
    <w:rsid w:val="0082292E"/>
    <w:rsid w:val="00822A03"/>
    <w:rsid w:val="00822A5E"/>
    <w:rsid w:val="00822B1E"/>
    <w:rsid w:val="00822CEF"/>
    <w:rsid w:val="00822D83"/>
    <w:rsid w:val="00822DCE"/>
    <w:rsid w:val="00822FBF"/>
    <w:rsid w:val="008230AE"/>
    <w:rsid w:val="008230BC"/>
    <w:rsid w:val="0082312F"/>
    <w:rsid w:val="008231EF"/>
    <w:rsid w:val="00823231"/>
    <w:rsid w:val="00823282"/>
    <w:rsid w:val="008234AD"/>
    <w:rsid w:val="008234F8"/>
    <w:rsid w:val="00823526"/>
    <w:rsid w:val="00823564"/>
    <w:rsid w:val="0082385B"/>
    <w:rsid w:val="008238C4"/>
    <w:rsid w:val="00823999"/>
    <w:rsid w:val="00823A4A"/>
    <w:rsid w:val="00823B3B"/>
    <w:rsid w:val="00823B4A"/>
    <w:rsid w:val="00823D34"/>
    <w:rsid w:val="00823FEE"/>
    <w:rsid w:val="008241BC"/>
    <w:rsid w:val="008244DE"/>
    <w:rsid w:val="0082451F"/>
    <w:rsid w:val="00824573"/>
    <w:rsid w:val="008245CB"/>
    <w:rsid w:val="00824736"/>
    <w:rsid w:val="008247BC"/>
    <w:rsid w:val="008248CD"/>
    <w:rsid w:val="00824A67"/>
    <w:rsid w:val="00824B78"/>
    <w:rsid w:val="00824C22"/>
    <w:rsid w:val="00824D78"/>
    <w:rsid w:val="00824D7C"/>
    <w:rsid w:val="00824DA0"/>
    <w:rsid w:val="00824E26"/>
    <w:rsid w:val="00824F0E"/>
    <w:rsid w:val="00824FAB"/>
    <w:rsid w:val="00824FBD"/>
    <w:rsid w:val="00825024"/>
    <w:rsid w:val="0082523E"/>
    <w:rsid w:val="0082527A"/>
    <w:rsid w:val="008252B6"/>
    <w:rsid w:val="008253D9"/>
    <w:rsid w:val="0082545B"/>
    <w:rsid w:val="00825568"/>
    <w:rsid w:val="00825611"/>
    <w:rsid w:val="00825664"/>
    <w:rsid w:val="008256EB"/>
    <w:rsid w:val="0082589D"/>
    <w:rsid w:val="00825AFD"/>
    <w:rsid w:val="00825BAC"/>
    <w:rsid w:val="00825C10"/>
    <w:rsid w:val="00825C2C"/>
    <w:rsid w:val="00825D05"/>
    <w:rsid w:val="00825D68"/>
    <w:rsid w:val="00825E73"/>
    <w:rsid w:val="00825F5D"/>
    <w:rsid w:val="00825FD4"/>
    <w:rsid w:val="008260FB"/>
    <w:rsid w:val="00826200"/>
    <w:rsid w:val="008262E4"/>
    <w:rsid w:val="008262E7"/>
    <w:rsid w:val="008263C0"/>
    <w:rsid w:val="00826452"/>
    <w:rsid w:val="008264E3"/>
    <w:rsid w:val="0082658A"/>
    <w:rsid w:val="0082678D"/>
    <w:rsid w:val="0082679A"/>
    <w:rsid w:val="008267EB"/>
    <w:rsid w:val="0082680B"/>
    <w:rsid w:val="00826852"/>
    <w:rsid w:val="0082686B"/>
    <w:rsid w:val="00826898"/>
    <w:rsid w:val="0082698A"/>
    <w:rsid w:val="00826A33"/>
    <w:rsid w:val="00826A86"/>
    <w:rsid w:val="00826C1D"/>
    <w:rsid w:val="00826FAC"/>
    <w:rsid w:val="00827146"/>
    <w:rsid w:val="008271DD"/>
    <w:rsid w:val="0082735B"/>
    <w:rsid w:val="0082748A"/>
    <w:rsid w:val="0082749A"/>
    <w:rsid w:val="0082751F"/>
    <w:rsid w:val="00827638"/>
    <w:rsid w:val="008276CB"/>
    <w:rsid w:val="0082785A"/>
    <w:rsid w:val="00827964"/>
    <w:rsid w:val="00827A1B"/>
    <w:rsid w:val="00827A34"/>
    <w:rsid w:val="00827A38"/>
    <w:rsid w:val="00827A4D"/>
    <w:rsid w:val="00827A70"/>
    <w:rsid w:val="00827AFA"/>
    <w:rsid w:val="00827C06"/>
    <w:rsid w:val="00827C94"/>
    <w:rsid w:val="008300A5"/>
    <w:rsid w:val="008301A0"/>
    <w:rsid w:val="008301E7"/>
    <w:rsid w:val="00830289"/>
    <w:rsid w:val="008302E7"/>
    <w:rsid w:val="00830508"/>
    <w:rsid w:val="008305F5"/>
    <w:rsid w:val="0083063A"/>
    <w:rsid w:val="008306F6"/>
    <w:rsid w:val="00830987"/>
    <w:rsid w:val="00830A61"/>
    <w:rsid w:val="00830A9C"/>
    <w:rsid w:val="00830BAC"/>
    <w:rsid w:val="00830BB0"/>
    <w:rsid w:val="00830D1A"/>
    <w:rsid w:val="00830E78"/>
    <w:rsid w:val="00830E87"/>
    <w:rsid w:val="00830E9A"/>
    <w:rsid w:val="00830F8D"/>
    <w:rsid w:val="00831105"/>
    <w:rsid w:val="00831249"/>
    <w:rsid w:val="00831284"/>
    <w:rsid w:val="008312F6"/>
    <w:rsid w:val="00831351"/>
    <w:rsid w:val="008313B5"/>
    <w:rsid w:val="0083146A"/>
    <w:rsid w:val="00831587"/>
    <w:rsid w:val="00831774"/>
    <w:rsid w:val="008317A4"/>
    <w:rsid w:val="00831814"/>
    <w:rsid w:val="00831828"/>
    <w:rsid w:val="00831C1C"/>
    <w:rsid w:val="00831C52"/>
    <w:rsid w:val="00831C75"/>
    <w:rsid w:val="00831CCC"/>
    <w:rsid w:val="00831D05"/>
    <w:rsid w:val="00831D4D"/>
    <w:rsid w:val="00831ECC"/>
    <w:rsid w:val="008320F3"/>
    <w:rsid w:val="00832202"/>
    <w:rsid w:val="0083221B"/>
    <w:rsid w:val="00832272"/>
    <w:rsid w:val="008322DC"/>
    <w:rsid w:val="00832546"/>
    <w:rsid w:val="008329B1"/>
    <w:rsid w:val="00832AC0"/>
    <w:rsid w:val="00832AD8"/>
    <w:rsid w:val="00832B70"/>
    <w:rsid w:val="00832C1B"/>
    <w:rsid w:val="00832D06"/>
    <w:rsid w:val="00832D23"/>
    <w:rsid w:val="00832D74"/>
    <w:rsid w:val="00832D8C"/>
    <w:rsid w:val="00832E8E"/>
    <w:rsid w:val="00832EEB"/>
    <w:rsid w:val="0083300B"/>
    <w:rsid w:val="0083318E"/>
    <w:rsid w:val="008332E5"/>
    <w:rsid w:val="008333BD"/>
    <w:rsid w:val="00833418"/>
    <w:rsid w:val="0083359D"/>
    <w:rsid w:val="008335DA"/>
    <w:rsid w:val="008336F5"/>
    <w:rsid w:val="0083372B"/>
    <w:rsid w:val="0083380D"/>
    <w:rsid w:val="00833A48"/>
    <w:rsid w:val="00833AFF"/>
    <w:rsid w:val="00833B83"/>
    <w:rsid w:val="00833BC0"/>
    <w:rsid w:val="00833D41"/>
    <w:rsid w:val="00833EE3"/>
    <w:rsid w:val="00833F8C"/>
    <w:rsid w:val="00834098"/>
    <w:rsid w:val="008341B6"/>
    <w:rsid w:val="0083425A"/>
    <w:rsid w:val="00834384"/>
    <w:rsid w:val="008343B4"/>
    <w:rsid w:val="0083449C"/>
    <w:rsid w:val="00834768"/>
    <w:rsid w:val="008347A3"/>
    <w:rsid w:val="00834984"/>
    <w:rsid w:val="0083498C"/>
    <w:rsid w:val="008349EC"/>
    <w:rsid w:val="00834A57"/>
    <w:rsid w:val="00834A8E"/>
    <w:rsid w:val="00834A95"/>
    <w:rsid w:val="00834A99"/>
    <w:rsid w:val="00834BFB"/>
    <w:rsid w:val="00834DCE"/>
    <w:rsid w:val="00834DE8"/>
    <w:rsid w:val="00834E64"/>
    <w:rsid w:val="00834E69"/>
    <w:rsid w:val="00834FA2"/>
    <w:rsid w:val="0083502D"/>
    <w:rsid w:val="008350AE"/>
    <w:rsid w:val="00835241"/>
    <w:rsid w:val="00835342"/>
    <w:rsid w:val="008353ED"/>
    <w:rsid w:val="0083547D"/>
    <w:rsid w:val="0083548E"/>
    <w:rsid w:val="00835744"/>
    <w:rsid w:val="0083575E"/>
    <w:rsid w:val="0083588E"/>
    <w:rsid w:val="008359B7"/>
    <w:rsid w:val="00835A57"/>
    <w:rsid w:val="00835A7F"/>
    <w:rsid w:val="00835A9D"/>
    <w:rsid w:val="00835B07"/>
    <w:rsid w:val="00835B50"/>
    <w:rsid w:val="00835B58"/>
    <w:rsid w:val="00835BCD"/>
    <w:rsid w:val="00835CC1"/>
    <w:rsid w:val="00835D5A"/>
    <w:rsid w:val="00835DF9"/>
    <w:rsid w:val="00835E1B"/>
    <w:rsid w:val="00835F50"/>
    <w:rsid w:val="00836032"/>
    <w:rsid w:val="00836052"/>
    <w:rsid w:val="008360BF"/>
    <w:rsid w:val="0083610B"/>
    <w:rsid w:val="00836151"/>
    <w:rsid w:val="00836212"/>
    <w:rsid w:val="00836256"/>
    <w:rsid w:val="0083628B"/>
    <w:rsid w:val="008363F6"/>
    <w:rsid w:val="00836441"/>
    <w:rsid w:val="0083648A"/>
    <w:rsid w:val="008364B4"/>
    <w:rsid w:val="008365CE"/>
    <w:rsid w:val="00836800"/>
    <w:rsid w:val="0083682D"/>
    <w:rsid w:val="00836AB9"/>
    <w:rsid w:val="00836AF6"/>
    <w:rsid w:val="00836AFE"/>
    <w:rsid w:val="00836B19"/>
    <w:rsid w:val="00836B99"/>
    <w:rsid w:val="00836CEF"/>
    <w:rsid w:val="00836E4B"/>
    <w:rsid w:val="00836EA8"/>
    <w:rsid w:val="00836F41"/>
    <w:rsid w:val="00836F86"/>
    <w:rsid w:val="008370AB"/>
    <w:rsid w:val="008370E0"/>
    <w:rsid w:val="00837147"/>
    <w:rsid w:val="0083739A"/>
    <w:rsid w:val="008373D8"/>
    <w:rsid w:val="0083743F"/>
    <w:rsid w:val="0083744E"/>
    <w:rsid w:val="0083750F"/>
    <w:rsid w:val="0083752D"/>
    <w:rsid w:val="00837584"/>
    <w:rsid w:val="008376DD"/>
    <w:rsid w:val="008376E6"/>
    <w:rsid w:val="00837851"/>
    <w:rsid w:val="0083786E"/>
    <w:rsid w:val="008378B2"/>
    <w:rsid w:val="00837952"/>
    <w:rsid w:val="00837983"/>
    <w:rsid w:val="008379A2"/>
    <w:rsid w:val="008379B8"/>
    <w:rsid w:val="00837A01"/>
    <w:rsid w:val="00837A93"/>
    <w:rsid w:val="00837AE3"/>
    <w:rsid w:val="00837B4E"/>
    <w:rsid w:val="00837D6A"/>
    <w:rsid w:val="00837DA9"/>
    <w:rsid w:val="00837E6B"/>
    <w:rsid w:val="00837F23"/>
    <w:rsid w:val="00840166"/>
    <w:rsid w:val="00840193"/>
    <w:rsid w:val="0084024D"/>
    <w:rsid w:val="00840297"/>
    <w:rsid w:val="00840350"/>
    <w:rsid w:val="0084039C"/>
    <w:rsid w:val="008403FF"/>
    <w:rsid w:val="0084064D"/>
    <w:rsid w:val="00840663"/>
    <w:rsid w:val="008408BA"/>
    <w:rsid w:val="008409E1"/>
    <w:rsid w:val="00840A65"/>
    <w:rsid w:val="00840B58"/>
    <w:rsid w:val="00840C25"/>
    <w:rsid w:val="00840DC0"/>
    <w:rsid w:val="00840DFC"/>
    <w:rsid w:val="00840E02"/>
    <w:rsid w:val="00840E9C"/>
    <w:rsid w:val="00840EC9"/>
    <w:rsid w:val="00840FD8"/>
    <w:rsid w:val="0084130D"/>
    <w:rsid w:val="008413B0"/>
    <w:rsid w:val="008413F0"/>
    <w:rsid w:val="0084144F"/>
    <w:rsid w:val="00841592"/>
    <w:rsid w:val="008415D7"/>
    <w:rsid w:val="008416D1"/>
    <w:rsid w:val="00841731"/>
    <w:rsid w:val="00841847"/>
    <w:rsid w:val="00841A1C"/>
    <w:rsid w:val="00841A81"/>
    <w:rsid w:val="00841BB7"/>
    <w:rsid w:val="00841CB3"/>
    <w:rsid w:val="00841E12"/>
    <w:rsid w:val="00841E82"/>
    <w:rsid w:val="00841FCA"/>
    <w:rsid w:val="0084204D"/>
    <w:rsid w:val="008421D4"/>
    <w:rsid w:val="008422CA"/>
    <w:rsid w:val="008422E3"/>
    <w:rsid w:val="0084231D"/>
    <w:rsid w:val="00842329"/>
    <w:rsid w:val="00842428"/>
    <w:rsid w:val="00842447"/>
    <w:rsid w:val="0084257C"/>
    <w:rsid w:val="00842587"/>
    <w:rsid w:val="00842611"/>
    <w:rsid w:val="00842654"/>
    <w:rsid w:val="0084268C"/>
    <w:rsid w:val="008428AE"/>
    <w:rsid w:val="00842A76"/>
    <w:rsid w:val="00842C03"/>
    <w:rsid w:val="00842C71"/>
    <w:rsid w:val="00842D3B"/>
    <w:rsid w:val="00842E21"/>
    <w:rsid w:val="00842F9D"/>
    <w:rsid w:val="00842FF1"/>
    <w:rsid w:val="008432E1"/>
    <w:rsid w:val="00843318"/>
    <w:rsid w:val="0084333D"/>
    <w:rsid w:val="008433DB"/>
    <w:rsid w:val="0084340C"/>
    <w:rsid w:val="008435C4"/>
    <w:rsid w:val="00843663"/>
    <w:rsid w:val="00843682"/>
    <w:rsid w:val="00843821"/>
    <w:rsid w:val="00843878"/>
    <w:rsid w:val="008438B6"/>
    <w:rsid w:val="00843954"/>
    <w:rsid w:val="0084396B"/>
    <w:rsid w:val="00843ACB"/>
    <w:rsid w:val="00843C3D"/>
    <w:rsid w:val="00843CBF"/>
    <w:rsid w:val="00843DB6"/>
    <w:rsid w:val="00843E16"/>
    <w:rsid w:val="00843F95"/>
    <w:rsid w:val="008441D1"/>
    <w:rsid w:val="00844274"/>
    <w:rsid w:val="00844277"/>
    <w:rsid w:val="0084434F"/>
    <w:rsid w:val="00844381"/>
    <w:rsid w:val="00844439"/>
    <w:rsid w:val="008444EA"/>
    <w:rsid w:val="00844738"/>
    <w:rsid w:val="008447DA"/>
    <w:rsid w:val="00844804"/>
    <w:rsid w:val="008448D9"/>
    <w:rsid w:val="0084494E"/>
    <w:rsid w:val="00844989"/>
    <w:rsid w:val="008449AA"/>
    <w:rsid w:val="00844BDE"/>
    <w:rsid w:val="00844BF7"/>
    <w:rsid w:val="00844C22"/>
    <w:rsid w:val="00844CFC"/>
    <w:rsid w:val="00844D40"/>
    <w:rsid w:val="00844DAE"/>
    <w:rsid w:val="00844DC8"/>
    <w:rsid w:val="00844E99"/>
    <w:rsid w:val="0084515E"/>
    <w:rsid w:val="0084518D"/>
    <w:rsid w:val="008451D5"/>
    <w:rsid w:val="008451F7"/>
    <w:rsid w:val="0084549B"/>
    <w:rsid w:val="0084556C"/>
    <w:rsid w:val="0084559B"/>
    <w:rsid w:val="0084564C"/>
    <w:rsid w:val="00845677"/>
    <w:rsid w:val="0084575D"/>
    <w:rsid w:val="008458BC"/>
    <w:rsid w:val="00845A06"/>
    <w:rsid w:val="00845A13"/>
    <w:rsid w:val="00845A25"/>
    <w:rsid w:val="00845B00"/>
    <w:rsid w:val="00845DC4"/>
    <w:rsid w:val="00845E42"/>
    <w:rsid w:val="00845E69"/>
    <w:rsid w:val="00845E7D"/>
    <w:rsid w:val="00845F30"/>
    <w:rsid w:val="00845F49"/>
    <w:rsid w:val="00845FD6"/>
    <w:rsid w:val="00846086"/>
    <w:rsid w:val="00846207"/>
    <w:rsid w:val="0084626D"/>
    <w:rsid w:val="008462D2"/>
    <w:rsid w:val="008462F6"/>
    <w:rsid w:val="008464D4"/>
    <w:rsid w:val="008465A0"/>
    <w:rsid w:val="008465C1"/>
    <w:rsid w:val="00846772"/>
    <w:rsid w:val="0084679A"/>
    <w:rsid w:val="00846847"/>
    <w:rsid w:val="00846BA3"/>
    <w:rsid w:val="00846CF4"/>
    <w:rsid w:val="00846D1D"/>
    <w:rsid w:val="00846D2D"/>
    <w:rsid w:val="00846DC9"/>
    <w:rsid w:val="00846DE6"/>
    <w:rsid w:val="00846E36"/>
    <w:rsid w:val="00846E85"/>
    <w:rsid w:val="00846F04"/>
    <w:rsid w:val="00846FC0"/>
    <w:rsid w:val="008472D7"/>
    <w:rsid w:val="0084732B"/>
    <w:rsid w:val="0084769D"/>
    <w:rsid w:val="008477CC"/>
    <w:rsid w:val="00847848"/>
    <w:rsid w:val="00847950"/>
    <w:rsid w:val="008479E5"/>
    <w:rsid w:val="00847A24"/>
    <w:rsid w:val="00847A43"/>
    <w:rsid w:val="00847A4C"/>
    <w:rsid w:val="00847B63"/>
    <w:rsid w:val="00847B79"/>
    <w:rsid w:val="00847BAE"/>
    <w:rsid w:val="00847C39"/>
    <w:rsid w:val="00847C45"/>
    <w:rsid w:val="00847D38"/>
    <w:rsid w:val="00847EE7"/>
    <w:rsid w:val="00847EEA"/>
    <w:rsid w:val="00847F6D"/>
    <w:rsid w:val="00847FEF"/>
    <w:rsid w:val="0085003B"/>
    <w:rsid w:val="00850047"/>
    <w:rsid w:val="00850120"/>
    <w:rsid w:val="00850179"/>
    <w:rsid w:val="00850262"/>
    <w:rsid w:val="0085032B"/>
    <w:rsid w:val="008504B3"/>
    <w:rsid w:val="008504E0"/>
    <w:rsid w:val="0085053E"/>
    <w:rsid w:val="0085062A"/>
    <w:rsid w:val="00850661"/>
    <w:rsid w:val="008507F6"/>
    <w:rsid w:val="00850819"/>
    <w:rsid w:val="00850853"/>
    <w:rsid w:val="008508A2"/>
    <w:rsid w:val="00850A1D"/>
    <w:rsid w:val="00850C79"/>
    <w:rsid w:val="00850D05"/>
    <w:rsid w:val="00850DBF"/>
    <w:rsid w:val="00850DC5"/>
    <w:rsid w:val="00850E1E"/>
    <w:rsid w:val="00850E7A"/>
    <w:rsid w:val="00850FC3"/>
    <w:rsid w:val="0085112D"/>
    <w:rsid w:val="00851148"/>
    <w:rsid w:val="00851167"/>
    <w:rsid w:val="0085122C"/>
    <w:rsid w:val="00851248"/>
    <w:rsid w:val="00851467"/>
    <w:rsid w:val="0085153E"/>
    <w:rsid w:val="00851555"/>
    <w:rsid w:val="008517E2"/>
    <w:rsid w:val="008518A2"/>
    <w:rsid w:val="00851A8B"/>
    <w:rsid w:val="00851ADB"/>
    <w:rsid w:val="00851BB4"/>
    <w:rsid w:val="00851C30"/>
    <w:rsid w:val="00851D9F"/>
    <w:rsid w:val="00851DB3"/>
    <w:rsid w:val="00851E5C"/>
    <w:rsid w:val="00851F6B"/>
    <w:rsid w:val="008520E8"/>
    <w:rsid w:val="00852380"/>
    <w:rsid w:val="008523D2"/>
    <w:rsid w:val="0085251F"/>
    <w:rsid w:val="00852581"/>
    <w:rsid w:val="00852620"/>
    <w:rsid w:val="0085263F"/>
    <w:rsid w:val="00852691"/>
    <w:rsid w:val="008526BC"/>
    <w:rsid w:val="00852705"/>
    <w:rsid w:val="008528B9"/>
    <w:rsid w:val="008528F8"/>
    <w:rsid w:val="008529CD"/>
    <w:rsid w:val="00852A8E"/>
    <w:rsid w:val="00852AC3"/>
    <w:rsid w:val="00852BFA"/>
    <w:rsid w:val="00852C9F"/>
    <w:rsid w:val="00852CCB"/>
    <w:rsid w:val="00852CD4"/>
    <w:rsid w:val="00852D14"/>
    <w:rsid w:val="00852D44"/>
    <w:rsid w:val="00852EA2"/>
    <w:rsid w:val="00852F66"/>
    <w:rsid w:val="00852F8D"/>
    <w:rsid w:val="008530BA"/>
    <w:rsid w:val="008531BD"/>
    <w:rsid w:val="008531D8"/>
    <w:rsid w:val="0085325D"/>
    <w:rsid w:val="008532D5"/>
    <w:rsid w:val="00853333"/>
    <w:rsid w:val="008533C5"/>
    <w:rsid w:val="0085350F"/>
    <w:rsid w:val="0085367F"/>
    <w:rsid w:val="008537A6"/>
    <w:rsid w:val="00853897"/>
    <w:rsid w:val="0085396F"/>
    <w:rsid w:val="00853A24"/>
    <w:rsid w:val="00853B59"/>
    <w:rsid w:val="00853BAA"/>
    <w:rsid w:val="00853C98"/>
    <w:rsid w:val="00853CC4"/>
    <w:rsid w:val="00853D0A"/>
    <w:rsid w:val="00853D26"/>
    <w:rsid w:val="00853E6E"/>
    <w:rsid w:val="00853F2F"/>
    <w:rsid w:val="0085403D"/>
    <w:rsid w:val="008540BF"/>
    <w:rsid w:val="00854180"/>
    <w:rsid w:val="008542C4"/>
    <w:rsid w:val="00854428"/>
    <w:rsid w:val="008544D5"/>
    <w:rsid w:val="0085452E"/>
    <w:rsid w:val="0085458F"/>
    <w:rsid w:val="0085479C"/>
    <w:rsid w:val="0085497F"/>
    <w:rsid w:val="00854999"/>
    <w:rsid w:val="00854ABF"/>
    <w:rsid w:val="00854BAB"/>
    <w:rsid w:val="00854BB8"/>
    <w:rsid w:val="00854CAF"/>
    <w:rsid w:val="00854CE0"/>
    <w:rsid w:val="00854CF9"/>
    <w:rsid w:val="00854D84"/>
    <w:rsid w:val="00854DDD"/>
    <w:rsid w:val="00854E13"/>
    <w:rsid w:val="00854E20"/>
    <w:rsid w:val="00854E26"/>
    <w:rsid w:val="00854E41"/>
    <w:rsid w:val="00854F72"/>
    <w:rsid w:val="0085517B"/>
    <w:rsid w:val="008551DE"/>
    <w:rsid w:val="0085521E"/>
    <w:rsid w:val="008553A7"/>
    <w:rsid w:val="00855508"/>
    <w:rsid w:val="00855597"/>
    <w:rsid w:val="00855616"/>
    <w:rsid w:val="00855631"/>
    <w:rsid w:val="00855799"/>
    <w:rsid w:val="008557B2"/>
    <w:rsid w:val="00855857"/>
    <w:rsid w:val="00855869"/>
    <w:rsid w:val="00855890"/>
    <w:rsid w:val="008559CA"/>
    <w:rsid w:val="00855B04"/>
    <w:rsid w:val="00855B13"/>
    <w:rsid w:val="00855B78"/>
    <w:rsid w:val="00855B79"/>
    <w:rsid w:val="00855BCC"/>
    <w:rsid w:val="00855D1B"/>
    <w:rsid w:val="00855EC7"/>
    <w:rsid w:val="00855F6F"/>
    <w:rsid w:val="008560E9"/>
    <w:rsid w:val="00856140"/>
    <w:rsid w:val="0085615E"/>
    <w:rsid w:val="0085617B"/>
    <w:rsid w:val="008561BC"/>
    <w:rsid w:val="008561BE"/>
    <w:rsid w:val="008561CE"/>
    <w:rsid w:val="00856270"/>
    <w:rsid w:val="00856276"/>
    <w:rsid w:val="008562F1"/>
    <w:rsid w:val="00856438"/>
    <w:rsid w:val="008564C5"/>
    <w:rsid w:val="008564DD"/>
    <w:rsid w:val="00856527"/>
    <w:rsid w:val="0085681F"/>
    <w:rsid w:val="008569DC"/>
    <w:rsid w:val="00856A96"/>
    <w:rsid w:val="00856B51"/>
    <w:rsid w:val="00856B7F"/>
    <w:rsid w:val="00856BBE"/>
    <w:rsid w:val="00856C0B"/>
    <w:rsid w:val="00856C7A"/>
    <w:rsid w:val="00856FB7"/>
    <w:rsid w:val="00857249"/>
    <w:rsid w:val="0085728B"/>
    <w:rsid w:val="0085729E"/>
    <w:rsid w:val="00857526"/>
    <w:rsid w:val="0085756F"/>
    <w:rsid w:val="00857B01"/>
    <w:rsid w:val="00857BDD"/>
    <w:rsid w:val="00857CAF"/>
    <w:rsid w:val="00857CF2"/>
    <w:rsid w:val="00857E07"/>
    <w:rsid w:val="00857E0E"/>
    <w:rsid w:val="00857E99"/>
    <w:rsid w:val="00857F3C"/>
    <w:rsid w:val="00857FEC"/>
    <w:rsid w:val="0086006F"/>
    <w:rsid w:val="0086012D"/>
    <w:rsid w:val="008601E9"/>
    <w:rsid w:val="008601EE"/>
    <w:rsid w:val="008602CB"/>
    <w:rsid w:val="00860324"/>
    <w:rsid w:val="00860355"/>
    <w:rsid w:val="0086047D"/>
    <w:rsid w:val="008604CE"/>
    <w:rsid w:val="00860617"/>
    <w:rsid w:val="008606FC"/>
    <w:rsid w:val="0086075B"/>
    <w:rsid w:val="00860826"/>
    <w:rsid w:val="00860897"/>
    <w:rsid w:val="008608CC"/>
    <w:rsid w:val="00860A71"/>
    <w:rsid w:val="00860A84"/>
    <w:rsid w:val="00860BB6"/>
    <w:rsid w:val="00860BBC"/>
    <w:rsid w:val="00860C2D"/>
    <w:rsid w:val="00860CDC"/>
    <w:rsid w:val="00860CE2"/>
    <w:rsid w:val="00861002"/>
    <w:rsid w:val="008610D1"/>
    <w:rsid w:val="008613DC"/>
    <w:rsid w:val="00861409"/>
    <w:rsid w:val="00861524"/>
    <w:rsid w:val="0086158B"/>
    <w:rsid w:val="008615E0"/>
    <w:rsid w:val="00861603"/>
    <w:rsid w:val="0086164E"/>
    <w:rsid w:val="008616B5"/>
    <w:rsid w:val="008616DE"/>
    <w:rsid w:val="00861798"/>
    <w:rsid w:val="008617BF"/>
    <w:rsid w:val="008617C6"/>
    <w:rsid w:val="008617E5"/>
    <w:rsid w:val="00861845"/>
    <w:rsid w:val="008619D6"/>
    <w:rsid w:val="00861A2C"/>
    <w:rsid w:val="00861AC6"/>
    <w:rsid w:val="00861BDC"/>
    <w:rsid w:val="00861C53"/>
    <w:rsid w:val="00861C70"/>
    <w:rsid w:val="00861CCD"/>
    <w:rsid w:val="00861D3B"/>
    <w:rsid w:val="00861E17"/>
    <w:rsid w:val="00861E46"/>
    <w:rsid w:val="00861F74"/>
    <w:rsid w:val="008620AD"/>
    <w:rsid w:val="008620C9"/>
    <w:rsid w:val="008621CC"/>
    <w:rsid w:val="0086224B"/>
    <w:rsid w:val="008623A2"/>
    <w:rsid w:val="008623D8"/>
    <w:rsid w:val="0086244F"/>
    <w:rsid w:val="00862625"/>
    <w:rsid w:val="008626BC"/>
    <w:rsid w:val="008626F0"/>
    <w:rsid w:val="0086277F"/>
    <w:rsid w:val="00862928"/>
    <w:rsid w:val="008629F7"/>
    <w:rsid w:val="00862B4D"/>
    <w:rsid w:val="00862BB6"/>
    <w:rsid w:val="00862D20"/>
    <w:rsid w:val="00862EF1"/>
    <w:rsid w:val="00862F1D"/>
    <w:rsid w:val="00862F62"/>
    <w:rsid w:val="008630A4"/>
    <w:rsid w:val="008632BC"/>
    <w:rsid w:val="00863386"/>
    <w:rsid w:val="00863471"/>
    <w:rsid w:val="00863655"/>
    <w:rsid w:val="008636D1"/>
    <w:rsid w:val="00863730"/>
    <w:rsid w:val="00863785"/>
    <w:rsid w:val="008637C8"/>
    <w:rsid w:val="008637CE"/>
    <w:rsid w:val="00863947"/>
    <w:rsid w:val="00863CA2"/>
    <w:rsid w:val="00863D4F"/>
    <w:rsid w:val="00863D97"/>
    <w:rsid w:val="00863E48"/>
    <w:rsid w:val="00863EBB"/>
    <w:rsid w:val="00864040"/>
    <w:rsid w:val="00864212"/>
    <w:rsid w:val="008643BB"/>
    <w:rsid w:val="0086442C"/>
    <w:rsid w:val="00864499"/>
    <w:rsid w:val="008645AB"/>
    <w:rsid w:val="008645E3"/>
    <w:rsid w:val="00864639"/>
    <w:rsid w:val="00864645"/>
    <w:rsid w:val="008646DA"/>
    <w:rsid w:val="00864708"/>
    <w:rsid w:val="0086477B"/>
    <w:rsid w:val="008647BF"/>
    <w:rsid w:val="008647D5"/>
    <w:rsid w:val="00864888"/>
    <w:rsid w:val="00864B6C"/>
    <w:rsid w:val="00864D6D"/>
    <w:rsid w:val="00864E94"/>
    <w:rsid w:val="00864FC7"/>
    <w:rsid w:val="00865056"/>
    <w:rsid w:val="0086512F"/>
    <w:rsid w:val="00865162"/>
    <w:rsid w:val="008651AC"/>
    <w:rsid w:val="0086551E"/>
    <w:rsid w:val="0086561E"/>
    <w:rsid w:val="0086575C"/>
    <w:rsid w:val="008657C2"/>
    <w:rsid w:val="008657F0"/>
    <w:rsid w:val="008659CB"/>
    <w:rsid w:val="00865A7D"/>
    <w:rsid w:val="00865E18"/>
    <w:rsid w:val="00865E23"/>
    <w:rsid w:val="00865E48"/>
    <w:rsid w:val="00865F85"/>
    <w:rsid w:val="0086609F"/>
    <w:rsid w:val="0086622D"/>
    <w:rsid w:val="0086630F"/>
    <w:rsid w:val="00866359"/>
    <w:rsid w:val="008663FF"/>
    <w:rsid w:val="0086648D"/>
    <w:rsid w:val="0086653F"/>
    <w:rsid w:val="0086661B"/>
    <w:rsid w:val="0086664A"/>
    <w:rsid w:val="008669A7"/>
    <w:rsid w:val="00866C71"/>
    <w:rsid w:val="00866E29"/>
    <w:rsid w:val="00866EB6"/>
    <w:rsid w:val="00866F39"/>
    <w:rsid w:val="00866F88"/>
    <w:rsid w:val="0086701A"/>
    <w:rsid w:val="00867143"/>
    <w:rsid w:val="00867271"/>
    <w:rsid w:val="008672E5"/>
    <w:rsid w:val="008672FE"/>
    <w:rsid w:val="0086733B"/>
    <w:rsid w:val="008673ED"/>
    <w:rsid w:val="00867410"/>
    <w:rsid w:val="008674A0"/>
    <w:rsid w:val="008675A3"/>
    <w:rsid w:val="0086761F"/>
    <w:rsid w:val="00867739"/>
    <w:rsid w:val="00867756"/>
    <w:rsid w:val="0086776A"/>
    <w:rsid w:val="00867792"/>
    <w:rsid w:val="008677C5"/>
    <w:rsid w:val="008677CB"/>
    <w:rsid w:val="00867840"/>
    <w:rsid w:val="00867886"/>
    <w:rsid w:val="00867952"/>
    <w:rsid w:val="00867B55"/>
    <w:rsid w:val="00867B74"/>
    <w:rsid w:val="00867C66"/>
    <w:rsid w:val="00867E22"/>
    <w:rsid w:val="00867E27"/>
    <w:rsid w:val="00867FD4"/>
    <w:rsid w:val="00867FFD"/>
    <w:rsid w:val="008700E5"/>
    <w:rsid w:val="00870229"/>
    <w:rsid w:val="00870244"/>
    <w:rsid w:val="008702B9"/>
    <w:rsid w:val="008702D8"/>
    <w:rsid w:val="00870753"/>
    <w:rsid w:val="00870969"/>
    <w:rsid w:val="00870A0E"/>
    <w:rsid w:val="00870B46"/>
    <w:rsid w:val="00870CF3"/>
    <w:rsid w:val="00870D71"/>
    <w:rsid w:val="00870D8A"/>
    <w:rsid w:val="00871054"/>
    <w:rsid w:val="008711D3"/>
    <w:rsid w:val="00871357"/>
    <w:rsid w:val="00871461"/>
    <w:rsid w:val="008715A3"/>
    <w:rsid w:val="00871799"/>
    <w:rsid w:val="00871979"/>
    <w:rsid w:val="008719CE"/>
    <w:rsid w:val="00871A66"/>
    <w:rsid w:val="00871BDE"/>
    <w:rsid w:val="00871C06"/>
    <w:rsid w:val="00871C61"/>
    <w:rsid w:val="00871C85"/>
    <w:rsid w:val="00871ECC"/>
    <w:rsid w:val="00871EFF"/>
    <w:rsid w:val="00871F5C"/>
    <w:rsid w:val="00871FED"/>
    <w:rsid w:val="008721C4"/>
    <w:rsid w:val="00872497"/>
    <w:rsid w:val="0087250C"/>
    <w:rsid w:val="008725AD"/>
    <w:rsid w:val="00872619"/>
    <w:rsid w:val="008726F4"/>
    <w:rsid w:val="00872726"/>
    <w:rsid w:val="00872830"/>
    <w:rsid w:val="00872876"/>
    <w:rsid w:val="0087287D"/>
    <w:rsid w:val="0087295E"/>
    <w:rsid w:val="00872981"/>
    <w:rsid w:val="008729AD"/>
    <w:rsid w:val="008729F2"/>
    <w:rsid w:val="00872A3E"/>
    <w:rsid w:val="00872A76"/>
    <w:rsid w:val="00872AE4"/>
    <w:rsid w:val="00872B6D"/>
    <w:rsid w:val="00872BC0"/>
    <w:rsid w:val="00872C1C"/>
    <w:rsid w:val="00872C35"/>
    <w:rsid w:val="00872CCA"/>
    <w:rsid w:val="00872D9A"/>
    <w:rsid w:val="00872E30"/>
    <w:rsid w:val="00872F0A"/>
    <w:rsid w:val="00872FFF"/>
    <w:rsid w:val="00873020"/>
    <w:rsid w:val="00873216"/>
    <w:rsid w:val="00873241"/>
    <w:rsid w:val="00873422"/>
    <w:rsid w:val="0087347F"/>
    <w:rsid w:val="00873484"/>
    <w:rsid w:val="008734D2"/>
    <w:rsid w:val="008734EA"/>
    <w:rsid w:val="0087354A"/>
    <w:rsid w:val="00873575"/>
    <w:rsid w:val="008735A4"/>
    <w:rsid w:val="0087382D"/>
    <w:rsid w:val="00873853"/>
    <w:rsid w:val="00873951"/>
    <w:rsid w:val="00873AF8"/>
    <w:rsid w:val="00873C94"/>
    <w:rsid w:val="00873C98"/>
    <w:rsid w:val="00873D78"/>
    <w:rsid w:val="00873D79"/>
    <w:rsid w:val="008740FA"/>
    <w:rsid w:val="00874154"/>
    <w:rsid w:val="00874194"/>
    <w:rsid w:val="008743AB"/>
    <w:rsid w:val="008743BD"/>
    <w:rsid w:val="00874421"/>
    <w:rsid w:val="00874441"/>
    <w:rsid w:val="008744A9"/>
    <w:rsid w:val="00874510"/>
    <w:rsid w:val="00874529"/>
    <w:rsid w:val="00874947"/>
    <w:rsid w:val="00874A25"/>
    <w:rsid w:val="00874B18"/>
    <w:rsid w:val="00874B49"/>
    <w:rsid w:val="00874C29"/>
    <w:rsid w:val="00874CC3"/>
    <w:rsid w:val="00874DF2"/>
    <w:rsid w:val="00874FAE"/>
    <w:rsid w:val="0087506A"/>
    <w:rsid w:val="0087508F"/>
    <w:rsid w:val="0087518F"/>
    <w:rsid w:val="008751A3"/>
    <w:rsid w:val="008751E9"/>
    <w:rsid w:val="008752E8"/>
    <w:rsid w:val="00875313"/>
    <w:rsid w:val="00875317"/>
    <w:rsid w:val="0087542F"/>
    <w:rsid w:val="0087558C"/>
    <w:rsid w:val="008755F2"/>
    <w:rsid w:val="0087562C"/>
    <w:rsid w:val="00875B3A"/>
    <w:rsid w:val="00875C81"/>
    <w:rsid w:val="00875E63"/>
    <w:rsid w:val="00875EC7"/>
    <w:rsid w:val="00875F80"/>
    <w:rsid w:val="00875FFA"/>
    <w:rsid w:val="00876051"/>
    <w:rsid w:val="0087609B"/>
    <w:rsid w:val="00876173"/>
    <w:rsid w:val="00876218"/>
    <w:rsid w:val="0087621F"/>
    <w:rsid w:val="008762F5"/>
    <w:rsid w:val="00876309"/>
    <w:rsid w:val="008764EA"/>
    <w:rsid w:val="00876583"/>
    <w:rsid w:val="0087659F"/>
    <w:rsid w:val="00876642"/>
    <w:rsid w:val="00876662"/>
    <w:rsid w:val="00876680"/>
    <w:rsid w:val="00876687"/>
    <w:rsid w:val="0087680D"/>
    <w:rsid w:val="0087686B"/>
    <w:rsid w:val="008769B9"/>
    <w:rsid w:val="00876B9F"/>
    <w:rsid w:val="00876CC3"/>
    <w:rsid w:val="00876D53"/>
    <w:rsid w:val="008771EC"/>
    <w:rsid w:val="008772B4"/>
    <w:rsid w:val="008772FE"/>
    <w:rsid w:val="008773F7"/>
    <w:rsid w:val="0087772E"/>
    <w:rsid w:val="00877990"/>
    <w:rsid w:val="008779A6"/>
    <w:rsid w:val="008779D3"/>
    <w:rsid w:val="00877B46"/>
    <w:rsid w:val="00877D63"/>
    <w:rsid w:val="00877D7F"/>
    <w:rsid w:val="00877DBD"/>
    <w:rsid w:val="00877DC6"/>
    <w:rsid w:val="00877E75"/>
    <w:rsid w:val="00877F23"/>
    <w:rsid w:val="00880083"/>
    <w:rsid w:val="00880095"/>
    <w:rsid w:val="008800C2"/>
    <w:rsid w:val="0088015C"/>
    <w:rsid w:val="00880205"/>
    <w:rsid w:val="00880241"/>
    <w:rsid w:val="00880373"/>
    <w:rsid w:val="008803D3"/>
    <w:rsid w:val="00880588"/>
    <w:rsid w:val="008805C3"/>
    <w:rsid w:val="008805DC"/>
    <w:rsid w:val="0088061D"/>
    <w:rsid w:val="00880654"/>
    <w:rsid w:val="00880691"/>
    <w:rsid w:val="0088072D"/>
    <w:rsid w:val="00880749"/>
    <w:rsid w:val="00880793"/>
    <w:rsid w:val="00880939"/>
    <w:rsid w:val="0088096D"/>
    <w:rsid w:val="00880988"/>
    <w:rsid w:val="00880AF5"/>
    <w:rsid w:val="00880BB7"/>
    <w:rsid w:val="00880C00"/>
    <w:rsid w:val="00880D0B"/>
    <w:rsid w:val="00880E92"/>
    <w:rsid w:val="00880EFE"/>
    <w:rsid w:val="008813E9"/>
    <w:rsid w:val="008815C4"/>
    <w:rsid w:val="0088161F"/>
    <w:rsid w:val="00881717"/>
    <w:rsid w:val="0088177A"/>
    <w:rsid w:val="008818FA"/>
    <w:rsid w:val="00881902"/>
    <w:rsid w:val="0088193A"/>
    <w:rsid w:val="00881A31"/>
    <w:rsid w:val="00881A61"/>
    <w:rsid w:val="00881B3A"/>
    <w:rsid w:val="00881C22"/>
    <w:rsid w:val="00881C56"/>
    <w:rsid w:val="00881C8F"/>
    <w:rsid w:val="00881CE8"/>
    <w:rsid w:val="00881E25"/>
    <w:rsid w:val="00881EE6"/>
    <w:rsid w:val="00882105"/>
    <w:rsid w:val="008822CF"/>
    <w:rsid w:val="008822D4"/>
    <w:rsid w:val="00882327"/>
    <w:rsid w:val="008823C5"/>
    <w:rsid w:val="008823F4"/>
    <w:rsid w:val="008824FA"/>
    <w:rsid w:val="008826E4"/>
    <w:rsid w:val="00882748"/>
    <w:rsid w:val="00882794"/>
    <w:rsid w:val="008828A2"/>
    <w:rsid w:val="008828E5"/>
    <w:rsid w:val="00882B1B"/>
    <w:rsid w:val="00882C1F"/>
    <w:rsid w:val="00882C3C"/>
    <w:rsid w:val="00882DB9"/>
    <w:rsid w:val="00882E56"/>
    <w:rsid w:val="00882F0C"/>
    <w:rsid w:val="00882F1B"/>
    <w:rsid w:val="0088306E"/>
    <w:rsid w:val="008831BA"/>
    <w:rsid w:val="008831D0"/>
    <w:rsid w:val="008832A8"/>
    <w:rsid w:val="008832AB"/>
    <w:rsid w:val="00883407"/>
    <w:rsid w:val="00883426"/>
    <w:rsid w:val="008835E7"/>
    <w:rsid w:val="00883765"/>
    <w:rsid w:val="00883786"/>
    <w:rsid w:val="0088393A"/>
    <w:rsid w:val="00883A5C"/>
    <w:rsid w:val="00883B16"/>
    <w:rsid w:val="00883B8F"/>
    <w:rsid w:val="00883B95"/>
    <w:rsid w:val="00883D63"/>
    <w:rsid w:val="00883E95"/>
    <w:rsid w:val="00883FD3"/>
    <w:rsid w:val="00884080"/>
    <w:rsid w:val="0088409D"/>
    <w:rsid w:val="008841F3"/>
    <w:rsid w:val="0088422A"/>
    <w:rsid w:val="008844B3"/>
    <w:rsid w:val="00884503"/>
    <w:rsid w:val="00884516"/>
    <w:rsid w:val="0088451B"/>
    <w:rsid w:val="0088453A"/>
    <w:rsid w:val="00884935"/>
    <w:rsid w:val="008849CF"/>
    <w:rsid w:val="00884AB1"/>
    <w:rsid w:val="00884BB1"/>
    <w:rsid w:val="00884BD4"/>
    <w:rsid w:val="00884EAF"/>
    <w:rsid w:val="00885061"/>
    <w:rsid w:val="008850D0"/>
    <w:rsid w:val="0088511D"/>
    <w:rsid w:val="008851A6"/>
    <w:rsid w:val="008851BB"/>
    <w:rsid w:val="008851C9"/>
    <w:rsid w:val="008852E8"/>
    <w:rsid w:val="00885342"/>
    <w:rsid w:val="00885345"/>
    <w:rsid w:val="0088536A"/>
    <w:rsid w:val="00885387"/>
    <w:rsid w:val="008853E8"/>
    <w:rsid w:val="008853F5"/>
    <w:rsid w:val="00885454"/>
    <w:rsid w:val="00885647"/>
    <w:rsid w:val="0088571F"/>
    <w:rsid w:val="00885778"/>
    <w:rsid w:val="00885787"/>
    <w:rsid w:val="008857AF"/>
    <w:rsid w:val="00885802"/>
    <w:rsid w:val="008858BC"/>
    <w:rsid w:val="008859CB"/>
    <w:rsid w:val="008859E6"/>
    <w:rsid w:val="00885A0C"/>
    <w:rsid w:val="00885BAF"/>
    <w:rsid w:val="00885CE9"/>
    <w:rsid w:val="00885CEE"/>
    <w:rsid w:val="00885D80"/>
    <w:rsid w:val="00885E20"/>
    <w:rsid w:val="00885F33"/>
    <w:rsid w:val="0088607B"/>
    <w:rsid w:val="0088611E"/>
    <w:rsid w:val="00886181"/>
    <w:rsid w:val="0088630B"/>
    <w:rsid w:val="0088643D"/>
    <w:rsid w:val="008864A3"/>
    <w:rsid w:val="00886590"/>
    <w:rsid w:val="00886597"/>
    <w:rsid w:val="008865F6"/>
    <w:rsid w:val="0088677E"/>
    <w:rsid w:val="008867C7"/>
    <w:rsid w:val="008868E5"/>
    <w:rsid w:val="008868FF"/>
    <w:rsid w:val="00886953"/>
    <w:rsid w:val="008869D2"/>
    <w:rsid w:val="00886A31"/>
    <w:rsid w:val="00886A5F"/>
    <w:rsid w:val="00886B12"/>
    <w:rsid w:val="00886CFA"/>
    <w:rsid w:val="00886DF7"/>
    <w:rsid w:val="00886DF9"/>
    <w:rsid w:val="00886E13"/>
    <w:rsid w:val="00886EEF"/>
    <w:rsid w:val="00886F0B"/>
    <w:rsid w:val="00886FB1"/>
    <w:rsid w:val="00886FDB"/>
    <w:rsid w:val="00887292"/>
    <w:rsid w:val="0088741D"/>
    <w:rsid w:val="00887522"/>
    <w:rsid w:val="00887589"/>
    <w:rsid w:val="008877B8"/>
    <w:rsid w:val="00887862"/>
    <w:rsid w:val="008878DE"/>
    <w:rsid w:val="00887B46"/>
    <w:rsid w:val="00887BAC"/>
    <w:rsid w:val="00887CE5"/>
    <w:rsid w:val="00887D3B"/>
    <w:rsid w:val="00887D96"/>
    <w:rsid w:val="00887DC1"/>
    <w:rsid w:val="00887DCD"/>
    <w:rsid w:val="00887E6B"/>
    <w:rsid w:val="008900E0"/>
    <w:rsid w:val="0089019D"/>
    <w:rsid w:val="00890276"/>
    <w:rsid w:val="008902C1"/>
    <w:rsid w:val="008902CB"/>
    <w:rsid w:val="008902EE"/>
    <w:rsid w:val="008903BE"/>
    <w:rsid w:val="008903F9"/>
    <w:rsid w:val="008905F6"/>
    <w:rsid w:val="00890646"/>
    <w:rsid w:val="00890650"/>
    <w:rsid w:val="008909C6"/>
    <w:rsid w:val="00890A45"/>
    <w:rsid w:val="00890AC5"/>
    <w:rsid w:val="00890B19"/>
    <w:rsid w:val="00890BC1"/>
    <w:rsid w:val="00890C22"/>
    <w:rsid w:val="00890CB6"/>
    <w:rsid w:val="00890E8E"/>
    <w:rsid w:val="00890F91"/>
    <w:rsid w:val="00891149"/>
    <w:rsid w:val="0089122F"/>
    <w:rsid w:val="00891400"/>
    <w:rsid w:val="00891433"/>
    <w:rsid w:val="00891447"/>
    <w:rsid w:val="0089163A"/>
    <w:rsid w:val="00891691"/>
    <w:rsid w:val="00891905"/>
    <w:rsid w:val="00891C3C"/>
    <w:rsid w:val="00891C4A"/>
    <w:rsid w:val="00891C8E"/>
    <w:rsid w:val="00891D2D"/>
    <w:rsid w:val="00891D8B"/>
    <w:rsid w:val="00891DF8"/>
    <w:rsid w:val="00891E22"/>
    <w:rsid w:val="00891EB7"/>
    <w:rsid w:val="00891FDD"/>
    <w:rsid w:val="00892043"/>
    <w:rsid w:val="0089207C"/>
    <w:rsid w:val="0089211B"/>
    <w:rsid w:val="008921A0"/>
    <w:rsid w:val="008923F8"/>
    <w:rsid w:val="00892441"/>
    <w:rsid w:val="00892489"/>
    <w:rsid w:val="00892569"/>
    <w:rsid w:val="0089273B"/>
    <w:rsid w:val="008928C8"/>
    <w:rsid w:val="0089295D"/>
    <w:rsid w:val="00892C57"/>
    <w:rsid w:val="00892CF6"/>
    <w:rsid w:val="00892CF9"/>
    <w:rsid w:val="00892D00"/>
    <w:rsid w:val="00892D65"/>
    <w:rsid w:val="00892D7E"/>
    <w:rsid w:val="00892EA3"/>
    <w:rsid w:val="00892FBB"/>
    <w:rsid w:val="00893047"/>
    <w:rsid w:val="0089323E"/>
    <w:rsid w:val="008932AE"/>
    <w:rsid w:val="00893366"/>
    <w:rsid w:val="008934BB"/>
    <w:rsid w:val="008934DB"/>
    <w:rsid w:val="008934F8"/>
    <w:rsid w:val="008935E7"/>
    <w:rsid w:val="008935F0"/>
    <w:rsid w:val="0089378D"/>
    <w:rsid w:val="008937D9"/>
    <w:rsid w:val="00893973"/>
    <w:rsid w:val="0089397B"/>
    <w:rsid w:val="00893A08"/>
    <w:rsid w:val="00893A12"/>
    <w:rsid w:val="00893ACD"/>
    <w:rsid w:val="00893B2B"/>
    <w:rsid w:val="00893BE1"/>
    <w:rsid w:val="00893CAA"/>
    <w:rsid w:val="00893CB7"/>
    <w:rsid w:val="00893CBF"/>
    <w:rsid w:val="00893DBA"/>
    <w:rsid w:val="00893F24"/>
    <w:rsid w:val="0089401F"/>
    <w:rsid w:val="00894053"/>
    <w:rsid w:val="008940CD"/>
    <w:rsid w:val="008941DE"/>
    <w:rsid w:val="008941F7"/>
    <w:rsid w:val="00894229"/>
    <w:rsid w:val="00894351"/>
    <w:rsid w:val="0089461A"/>
    <w:rsid w:val="00894662"/>
    <w:rsid w:val="008947D0"/>
    <w:rsid w:val="0089483D"/>
    <w:rsid w:val="00894A48"/>
    <w:rsid w:val="00894A5C"/>
    <w:rsid w:val="00894AD1"/>
    <w:rsid w:val="00894C52"/>
    <w:rsid w:val="00894C6F"/>
    <w:rsid w:val="00894CC5"/>
    <w:rsid w:val="00894D38"/>
    <w:rsid w:val="00894F12"/>
    <w:rsid w:val="00894F7E"/>
    <w:rsid w:val="00894FAC"/>
    <w:rsid w:val="00894FB1"/>
    <w:rsid w:val="00895036"/>
    <w:rsid w:val="008950FC"/>
    <w:rsid w:val="00895246"/>
    <w:rsid w:val="00895252"/>
    <w:rsid w:val="0089533F"/>
    <w:rsid w:val="0089535D"/>
    <w:rsid w:val="008953AF"/>
    <w:rsid w:val="00895583"/>
    <w:rsid w:val="008955C7"/>
    <w:rsid w:val="008956F8"/>
    <w:rsid w:val="008957A1"/>
    <w:rsid w:val="00895877"/>
    <w:rsid w:val="00895919"/>
    <w:rsid w:val="008959DD"/>
    <w:rsid w:val="00895A24"/>
    <w:rsid w:val="00895A80"/>
    <w:rsid w:val="00895A82"/>
    <w:rsid w:val="00895B54"/>
    <w:rsid w:val="00895B71"/>
    <w:rsid w:val="00895BF7"/>
    <w:rsid w:val="00895C10"/>
    <w:rsid w:val="00895C49"/>
    <w:rsid w:val="00895DFA"/>
    <w:rsid w:val="00895E3D"/>
    <w:rsid w:val="00896039"/>
    <w:rsid w:val="0089608B"/>
    <w:rsid w:val="008960FD"/>
    <w:rsid w:val="00896149"/>
    <w:rsid w:val="0089614F"/>
    <w:rsid w:val="00896228"/>
    <w:rsid w:val="008962EE"/>
    <w:rsid w:val="008963E4"/>
    <w:rsid w:val="008963F5"/>
    <w:rsid w:val="008964F3"/>
    <w:rsid w:val="008965C6"/>
    <w:rsid w:val="008965F8"/>
    <w:rsid w:val="008966C5"/>
    <w:rsid w:val="0089672B"/>
    <w:rsid w:val="00896866"/>
    <w:rsid w:val="00896B23"/>
    <w:rsid w:val="00896B6E"/>
    <w:rsid w:val="00896BBA"/>
    <w:rsid w:val="00896DA2"/>
    <w:rsid w:val="00896E5E"/>
    <w:rsid w:val="00896F01"/>
    <w:rsid w:val="00896FC7"/>
    <w:rsid w:val="00897186"/>
    <w:rsid w:val="008973AF"/>
    <w:rsid w:val="008973B1"/>
    <w:rsid w:val="008973DB"/>
    <w:rsid w:val="008974C6"/>
    <w:rsid w:val="00897512"/>
    <w:rsid w:val="0089755A"/>
    <w:rsid w:val="0089760E"/>
    <w:rsid w:val="00897666"/>
    <w:rsid w:val="0089773D"/>
    <w:rsid w:val="008978D6"/>
    <w:rsid w:val="008978F4"/>
    <w:rsid w:val="00897992"/>
    <w:rsid w:val="00897A52"/>
    <w:rsid w:val="00897AF8"/>
    <w:rsid w:val="00897B95"/>
    <w:rsid w:val="00897BEB"/>
    <w:rsid w:val="00897D0C"/>
    <w:rsid w:val="00897DE2"/>
    <w:rsid w:val="00897F5A"/>
    <w:rsid w:val="00897F72"/>
    <w:rsid w:val="00897FE1"/>
    <w:rsid w:val="008A0004"/>
    <w:rsid w:val="008A0077"/>
    <w:rsid w:val="008A00F4"/>
    <w:rsid w:val="008A0114"/>
    <w:rsid w:val="008A017D"/>
    <w:rsid w:val="008A01C8"/>
    <w:rsid w:val="008A01DC"/>
    <w:rsid w:val="008A0271"/>
    <w:rsid w:val="008A03B4"/>
    <w:rsid w:val="008A0434"/>
    <w:rsid w:val="008A04B3"/>
    <w:rsid w:val="008A0648"/>
    <w:rsid w:val="008A09E3"/>
    <w:rsid w:val="008A0A8B"/>
    <w:rsid w:val="008A0AD1"/>
    <w:rsid w:val="008A0BAF"/>
    <w:rsid w:val="008A0BBD"/>
    <w:rsid w:val="008A0C86"/>
    <w:rsid w:val="008A0CB7"/>
    <w:rsid w:val="008A0D4D"/>
    <w:rsid w:val="008A0EDA"/>
    <w:rsid w:val="008A0F0D"/>
    <w:rsid w:val="008A0FD2"/>
    <w:rsid w:val="008A101B"/>
    <w:rsid w:val="008A122E"/>
    <w:rsid w:val="008A12FE"/>
    <w:rsid w:val="008A13EA"/>
    <w:rsid w:val="008A151A"/>
    <w:rsid w:val="008A1717"/>
    <w:rsid w:val="008A17D0"/>
    <w:rsid w:val="008A183B"/>
    <w:rsid w:val="008A187D"/>
    <w:rsid w:val="008A1A3A"/>
    <w:rsid w:val="008A1A80"/>
    <w:rsid w:val="008A1AB6"/>
    <w:rsid w:val="008A1BED"/>
    <w:rsid w:val="008A1C45"/>
    <w:rsid w:val="008A1C5F"/>
    <w:rsid w:val="008A1CB1"/>
    <w:rsid w:val="008A1CCF"/>
    <w:rsid w:val="008A1DB9"/>
    <w:rsid w:val="008A1E5D"/>
    <w:rsid w:val="008A1EE9"/>
    <w:rsid w:val="008A2061"/>
    <w:rsid w:val="008A2073"/>
    <w:rsid w:val="008A22C8"/>
    <w:rsid w:val="008A22C9"/>
    <w:rsid w:val="008A233D"/>
    <w:rsid w:val="008A23E7"/>
    <w:rsid w:val="008A23FF"/>
    <w:rsid w:val="008A2579"/>
    <w:rsid w:val="008A2605"/>
    <w:rsid w:val="008A275F"/>
    <w:rsid w:val="008A279D"/>
    <w:rsid w:val="008A287B"/>
    <w:rsid w:val="008A2888"/>
    <w:rsid w:val="008A2920"/>
    <w:rsid w:val="008A292E"/>
    <w:rsid w:val="008A2C0B"/>
    <w:rsid w:val="008A2CCD"/>
    <w:rsid w:val="008A2DAB"/>
    <w:rsid w:val="008A2E12"/>
    <w:rsid w:val="008A2E8A"/>
    <w:rsid w:val="008A2EB5"/>
    <w:rsid w:val="008A3124"/>
    <w:rsid w:val="008A3165"/>
    <w:rsid w:val="008A319E"/>
    <w:rsid w:val="008A31C2"/>
    <w:rsid w:val="008A32EB"/>
    <w:rsid w:val="008A3362"/>
    <w:rsid w:val="008A3476"/>
    <w:rsid w:val="008A359C"/>
    <w:rsid w:val="008A35ED"/>
    <w:rsid w:val="008A398E"/>
    <w:rsid w:val="008A3A78"/>
    <w:rsid w:val="008A3AC3"/>
    <w:rsid w:val="008A3B0F"/>
    <w:rsid w:val="008A3CE3"/>
    <w:rsid w:val="008A3CF7"/>
    <w:rsid w:val="008A3E87"/>
    <w:rsid w:val="008A406E"/>
    <w:rsid w:val="008A4136"/>
    <w:rsid w:val="008A41B3"/>
    <w:rsid w:val="008A4264"/>
    <w:rsid w:val="008A4293"/>
    <w:rsid w:val="008A42C3"/>
    <w:rsid w:val="008A42CC"/>
    <w:rsid w:val="008A431D"/>
    <w:rsid w:val="008A435C"/>
    <w:rsid w:val="008A449E"/>
    <w:rsid w:val="008A451D"/>
    <w:rsid w:val="008A45F6"/>
    <w:rsid w:val="008A4664"/>
    <w:rsid w:val="008A46B5"/>
    <w:rsid w:val="008A4737"/>
    <w:rsid w:val="008A476E"/>
    <w:rsid w:val="008A489B"/>
    <w:rsid w:val="008A48D8"/>
    <w:rsid w:val="008A494C"/>
    <w:rsid w:val="008A4AD4"/>
    <w:rsid w:val="008A4B36"/>
    <w:rsid w:val="008A4C6A"/>
    <w:rsid w:val="008A4C91"/>
    <w:rsid w:val="008A4DCA"/>
    <w:rsid w:val="008A4EA7"/>
    <w:rsid w:val="008A4EC1"/>
    <w:rsid w:val="008A4ECE"/>
    <w:rsid w:val="008A4F7C"/>
    <w:rsid w:val="008A505C"/>
    <w:rsid w:val="008A50C7"/>
    <w:rsid w:val="008A5101"/>
    <w:rsid w:val="008A514E"/>
    <w:rsid w:val="008A5212"/>
    <w:rsid w:val="008A52BC"/>
    <w:rsid w:val="008A5325"/>
    <w:rsid w:val="008A5473"/>
    <w:rsid w:val="008A5543"/>
    <w:rsid w:val="008A57E3"/>
    <w:rsid w:val="008A582F"/>
    <w:rsid w:val="008A58D8"/>
    <w:rsid w:val="008A596C"/>
    <w:rsid w:val="008A5A46"/>
    <w:rsid w:val="008A5A7B"/>
    <w:rsid w:val="008A5C4B"/>
    <w:rsid w:val="008A5D6B"/>
    <w:rsid w:val="008A5F77"/>
    <w:rsid w:val="008A6040"/>
    <w:rsid w:val="008A6046"/>
    <w:rsid w:val="008A616D"/>
    <w:rsid w:val="008A6319"/>
    <w:rsid w:val="008A63F5"/>
    <w:rsid w:val="008A645E"/>
    <w:rsid w:val="008A6460"/>
    <w:rsid w:val="008A64AF"/>
    <w:rsid w:val="008A678A"/>
    <w:rsid w:val="008A6AB8"/>
    <w:rsid w:val="008A6CB4"/>
    <w:rsid w:val="008A6EC6"/>
    <w:rsid w:val="008A6F8C"/>
    <w:rsid w:val="008A7028"/>
    <w:rsid w:val="008A7078"/>
    <w:rsid w:val="008A71C4"/>
    <w:rsid w:val="008A71D3"/>
    <w:rsid w:val="008A72C4"/>
    <w:rsid w:val="008A7344"/>
    <w:rsid w:val="008A7378"/>
    <w:rsid w:val="008A74F4"/>
    <w:rsid w:val="008A755C"/>
    <w:rsid w:val="008A77F1"/>
    <w:rsid w:val="008A782C"/>
    <w:rsid w:val="008A78AC"/>
    <w:rsid w:val="008A78E4"/>
    <w:rsid w:val="008A796B"/>
    <w:rsid w:val="008A7981"/>
    <w:rsid w:val="008A7A1D"/>
    <w:rsid w:val="008A7AE1"/>
    <w:rsid w:val="008A7E99"/>
    <w:rsid w:val="008A7F51"/>
    <w:rsid w:val="008A7F74"/>
    <w:rsid w:val="008B005A"/>
    <w:rsid w:val="008B0123"/>
    <w:rsid w:val="008B012A"/>
    <w:rsid w:val="008B01A8"/>
    <w:rsid w:val="008B01C9"/>
    <w:rsid w:val="008B027E"/>
    <w:rsid w:val="008B04BA"/>
    <w:rsid w:val="008B04DF"/>
    <w:rsid w:val="008B04F1"/>
    <w:rsid w:val="008B051F"/>
    <w:rsid w:val="008B057D"/>
    <w:rsid w:val="008B076A"/>
    <w:rsid w:val="008B0910"/>
    <w:rsid w:val="008B096E"/>
    <w:rsid w:val="008B0A17"/>
    <w:rsid w:val="008B0B08"/>
    <w:rsid w:val="008B0BB2"/>
    <w:rsid w:val="008B0BC2"/>
    <w:rsid w:val="008B0CAA"/>
    <w:rsid w:val="008B0E05"/>
    <w:rsid w:val="008B0F21"/>
    <w:rsid w:val="008B0F48"/>
    <w:rsid w:val="008B0FEC"/>
    <w:rsid w:val="008B1019"/>
    <w:rsid w:val="008B10F0"/>
    <w:rsid w:val="008B1277"/>
    <w:rsid w:val="008B12A2"/>
    <w:rsid w:val="008B137F"/>
    <w:rsid w:val="008B14E7"/>
    <w:rsid w:val="008B15C3"/>
    <w:rsid w:val="008B15CC"/>
    <w:rsid w:val="008B1699"/>
    <w:rsid w:val="008B16B8"/>
    <w:rsid w:val="008B178F"/>
    <w:rsid w:val="008B1837"/>
    <w:rsid w:val="008B184A"/>
    <w:rsid w:val="008B192D"/>
    <w:rsid w:val="008B1940"/>
    <w:rsid w:val="008B1C8E"/>
    <w:rsid w:val="008B1DC7"/>
    <w:rsid w:val="008B1EDF"/>
    <w:rsid w:val="008B1F23"/>
    <w:rsid w:val="008B201D"/>
    <w:rsid w:val="008B20A5"/>
    <w:rsid w:val="008B21BD"/>
    <w:rsid w:val="008B21C1"/>
    <w:rsid w:val="008B21F0"/>
    <w:rsid w:val="008B22E7"/>
    <w:rsid w:val="008B2322"/>
    <w:rsid w:val="008B2334"/>
    <w:rsid w:val="008B2394"/>
    <w:rsid w:val="008B23E9"/>
    <w:rsid w:val="008B25D7"/>
    <w:rsid w:val="008B260C"/>
    <w:rsid w:val="008B2617"/>
    <w:rsid w:val="008B2817"/>
    <w:rsid w:val="008B286A"/>
    <w:rsid w:val="008B2881"/>
    <w:rsid w:val="008B2A6F"/>
    <w:rsid w:val="008B2C30"/>
    <w:rsid w:val="008B2CEA"/>
    <w:rsid w:val="008B2D05"/>
    <w:rsid w:val="008B2D0A"/>
    <w:rsid w:val="008B2E56"/>
    <w:rsid w:val="008B337E"/>
    <w:rsid w:val="008B34BF"/>
    <w:rsid w:val="008B34C9"/>
    <w:rsid w:val="008B3609"/>
    <w:rsid w:val="008B3749"/>
    <w:rsid w:val="008B381B"/>
    <w:rsid w:val="008B384D"/>
    <w:rsid w:val="008B3903"/>
    <w:rsid w:val="008B3965"/>
    <w:rsid w:val="008B3AA5"/>
    <w:rsid w:val="008B3AF9"/>
    <w:rsid w:val="008B3E03"/>
    <w:rsid w:val="008B3FC7"/>
    <w:rsid w:val="008B4014"/>
    <w:rsid w:val="008B4225"/>
    <w:rsid w:val="008B428A"/>
    <w:rsid w:val="008B4321"/>
    <w:rsid w:val="008B432A"/>
    <w:rsid w:val="008B4377"/>
    <w:rsid w:val="008B4571"/>
    <w:rsid w:val="008B4822"/>
    <w:rsid w:val="008B4851"/>
    <w:rsid w:val="008B48CF"/>
    <w:rsid w:val="008B494D"/>
    <w:rsid w:val="008B49D1"/>
    <w:rsid w:val="008B4B42"/>
    <w:rsid w:val="008B4C31"/>
    <w:rsid w:val="008B4CBC"/>
    <w:rsid w:val="008B4D94"/>
    <w:rsid w:val="008B4F88"/>
    <w:rsid w:val="008B4F8E"/>
    <w:rsid w:val="008B4FD1"/>
    <w:rsid w:val="008B5009"/>
    <w:rsid w:val="008B5039"/>
    <w:rsid w:val="008B536C"/>
    <w:rsid w:val="008B53BF"/>
    <w:rsid w:val="008B53FE"/>
    <w:rsid w:val="008B54A6"/>
    <w:rsid w:val="008B555B"/>
    <w:rsid w:val="008B562E"/>
    <w:rsid w:val="008B56C6"/>
    <w:rsid w:val="008B5761"/>
    <w:rsid w:val="008B576D"/>
    <w:rsid w:val="008B57CB"/>
    <w:rsid w:val="008B5877"/>
    <w:rsid w:val="008B58F5"/>
    <w:rsid w:val="008B591B"/>
    <w:rsid w:val="008B596D"/>
    <w:rsid w:val="008B597D"/>
    <w:rsid w:val="008B59C0"/>
    <w:rsid w:val="008B5CB1"/>
    <w:rsid w:val="008B5D73"/>
    <w:rsid w:val="008B5E15"/>
    <w:rsid w:val="008B5E80"/>
    <w:rsid w:val="008B5F55"/>
    <w:rsid w:val="008B5F62"/>
    <w:rsid w:val="008B61F9"/>
    <w:rsid w:val="008B639D"/>
    <w:rsid w:val="008B6436"/>
    <w:rsid w:val="008B653F"/>
    <w:rsid w:val="008B65AD"/>
    <w:rsid w:val="008B65E2"/>
    <w:rsid w:val="008B66D1"/>
    <w:rsid w:val="008B66E5"/>
    <w:rsid w:val="008B6905"/>
    <w:rsid w:val="008B69A0"/>
    <w:rsid w:val="008B6A13"/>
    <w:rsid w:val="008B6A9B"/>
    <w:rsid w:val="008B6AE4"/>
    <w:rsid w:val="008B6B1F"/>
    <w:rsid w:val="008B6B5D"/>
    <w:rsid w:val="008B6BDA"/>
    <w:rsid w:val="008B6C30"/>
    <w:rsid w:val="008B6D1A"/>
    <w:rsid w:val="008B6DDE"/>
    <w:rsid w:val="008B6EA8"/>
    <w:rsid w:val="008B6EB5"/>
    <w:rsid w:val="008B6EF1"/>
    <w:rsid w:val="008B7025"/>
    <w:rsid w:val="008B7134"/>
    <w:rsid w:val="008B7179"/>
    <w:rsid w:val="008B71CD"/>
    <w:rsid w:val="008B7258"/>
    <w:rsid w:val="008B72F9"/>
    <w:rsid w:val="008B73D4"/>
    <w:rsid w:val="008B74E0"/>
    <w:rsid w:val="008B767E"/>
    <w:rsid w:val="008B76DE"/>
    <w:rsid w:val="008B76EC"/>
    <w:rsid w:val="008B77BD"/>
    <w:rsid w:val="008B78EA"/>
    <w:rsid w:val="008B79DE"/>
    <w:rsid w:val="008B7A92"/>
    <w:rsid w:val="008B7B1E"/>
    <w:rsid w:val="008B7B44"/>
    <w:rsid w:val="008B7CF3"/>
    <w:rsid w:val="008B7DF7"/>
    <w:rsid w:val="008B7E41"/>
    <w:rsid w:val="008B7EB6"/>
    <w:rsid w:val="008B7EC8"/>
    <w:rsid w:val="008B7F39"/>
    <w:rsid w:val="008C0080"/>
    <w:rsid w:val="008C012C"/>
    <w:rsid w:val="008C037B"/>
    <w:rsid w:val="008C0383"/>
    <w:rsid w:val="008C03DC"/>
    <w:rsid w:val="008C0401"/>
    <w:rsid w:val="008C04E9"/>
    <w:rsid w:val="008C05B0"/>
    <w:rsid w:val="008C0625"/>
    <w:rsid w:val="008C0A60"/>
    <w:rsid w:val="008C0A7A"/>
    <w:rsid w:val="008C0AAA"/>
    <w:rsid w:val="008C0AE6"/>
    <w:rsid w:val="008C0AF3"/>
    <w:rsid w:val="008C0BEF"/>
    <w:rsid w:val="008C0C6A"/>
    <w:rsid w:val="008C0D7A"/>
    <w:rsid w:val="008C0F66"/>
    <w:rsid w:val="008C0F9F"/>
    <w:rsid w:val="008C0FB8"/>
    <w:rsid w:val="008C0FD4"/>
    <w:rsid w:val="008C1048"/>
    <w:rsid w:val="008C11D5"/>
    <w:rsid w:val="008C12E3"/>
    <w:rsid w:val="008C15BA"/>
    <w:rsid w:val="008C15BC"/>
    <w:rsid w:val="008C163A"/>
    <w:rsid w:val="008C16B7"/>
    <w:rsid w:val="008C16C7"/>
    <w:rsid w:val="008C16CC"/>
    <w:rsid w:val="008C1719"/>
    <w:rsid w:val="008C189D"/>
    <w:rsid w:val="008C19EE"/>
    <w:rsid w:val="008C1A72"/>
    <w:rsid w:val="008C1D3D"/>
    <w:rsid w:val="008C1D5A"/>
    <w:rsid w:val="008C1D7C"/>
    <w:rsid w:val="008C1E0E"/>
    <w:rsid w:val="008C1E88"/>
    <w:rsid w:val="008C1F0B"/>
    <w:rsid w:val="008C1F1A"/>
    <w:rsid w:val="008C2045"/>
    <w:rsid w:val="008C215A"/>
    <w:rsid w:val="008C216F"/>
    <w:rsid w:val="008C24BF"/>
    <w:rsid w:val="008C262D"/>
    <w:rsid w:val="008C2637"/>
    <w:rsid w:val="008C27E8"/>
    <w:rsid w:val="008C27F3"/>
    <w:rsid w:val="008C27FE"/>
    <w:rsid w:val="008C2801"/>
    <w:rsid w:val="008C2A08"/>
    <w:rsid w:val="008C2A4D"/>
    <w:rsid w:val="008C2CB3"/>
    <w:rsid w:val="008C2D63"/>
    <w:rsid w:val="008C2F5A"/>
    <w:rsid w:val="008C2FDA"/>
    <w:rsid w:val="008C3084"/>
    <w:rsid w:val="008C321A"/>
    <w:rsid w:val="008C3341"/>
    <w:rsid w:val="008C3579"/>
    <w:rsid w:val="008C3727"/>
    <w:rsid w:val="008C388A"/>
    <w:rsid w:val="008C38A4"/>
    <w:rsid w:val="008C3E23"/>
    <w:rsid w:val="008C3E35"/>
    <w:rsid w:val="008C3EC1"/>
    <w:rsid w:val="008C3EF0"/>
    <w:rsid w:val="008C4128"/>
    <w:rsid w:val="008C42A2"/>
    <w:rsid w:val="008C444B"/>
    <w:rsid w:val="008C448C"/>
    <w:rsid w:val="008C455B"/>
    <w:rsid w:val="008C46A5"/>
    <w:rsid w:val="008C46AE"/>
    <w:rsid w:val="008C46D0"/>
    <w:rsid w:val="008C47D0"/>
    <w:rsid w:val="008C47D6"/>
    <w:rsid w:val="008C491B"/>
    <w:rsid w:val="008C4948"/>
    <w:rsid w:val="008C49C0"/>
    <w:rsid w:val="008C49E8"/>
    <w:rsid w:val="008C4A3F"/>
    <w:rsid w:val="008C4C45"/>
    <w:rsid w:val="008C4DDF"/>
    <w:rsid w:val="008C4E1F"/>
    <w:rsid w:val="008C4E72"/>
    <w:rsid w:val="008C4F5B"/>
    <w:rsid w:val="008C4FB5"/>
    <w:rsid w:val="008C50B6"/>
    <w:rsid w:val="008C521B"/>
    <w:rsid w:val="008C529B"/>
    <w:rsid w:val="008C52CB"/>
    <w:rsid w:val="008C52D4"/>
    <w:rsid w:val="008C531C"/>
    <w:rsid w:val="008C534B"/>
    <w:rsid w:val="008C54A8"/>
    <w:rsid w:val="008C5517"/>
    <w:rsid w:val="008C56CC"/>
    <w:rsid w:val="008C56DA"/>
    <w:rsid w:val="008C574B"/>
    <w:rsid w:val="008C5A54"/>
    <w:rsid w:val="008C5AFA"/>
    <w:rsid w:val="008C5BFC"/>
    <w:rsid w:val="008C5C89"/>
    <w:rsid w:val="008C5D86"/>
    <w:rsid w:val="008C5E25"/>
    <w:rsid w:val="008C600D"/>
    <w:rsid w:val="008C61A8"/>
    <w:rsid w:val="008C62B3"/>
    <w:rsid w:val="008C62B4"/>
    <w:rsid w:val="008C6526"/>
    <w:rsid w:val="008C6566"/>
    <w:rsid w:val="008C65ED"/>
    <w:rsid w:val="008C6728"/>
    <w:rsid w:val="008C683E"/>
    <w:rsid w:val="008C68F6"/>
    <w:rsid w:val="008C6917"/>
    <w:rsid w:val="008C6930"/>
    <w:rsid w:val="008C6964"/>
    <w:rsid w:val="008C69AA"/>
    <w:rsid w:val="008C6BA5"/>
    <w:rsid w:val="008C6E9C"/>
    <w:rsid w:val="008C6EAD"/>
    <w:rsid w:val="008C6EAF"/>
    <w:rsid w:val="008C6EBC"/>
    <w:rsid w:val="008C6FD4"/>
    <w:rsid w:val="008C7043"/>
    <w:rsid w:val="008C7197"/>
    <w:rsid w:val="008C7217"/>
    <w:rsid w:val="008C73E6"/>
    <w:rsid w:val="008C7404"/>
    <w:rsid w:val="008C763D"/>
    <w:rsid w:val="008C7658"/>
    <w:rsid w:val="008C7754"/>
    <w:rsid w:val="008C7760"/>
    <w:rsid w:val="008C7806"/>
    <w:rsid w:val="008C78CF"/>
    <w:rsid w:val="008C792E"/>
    <w:rsid w:val="008C7A96"/>
    <w:rsid w:val="008C7AC9"/>
    <w:rsid w:val="008C7D94"/>
    <w:rsid w:val="008C7E2B"/>
    <w:rsid w:val="008C7E2F"/>
    <w:rsid w:val="008C7E5C"/>
    <w:rsid w:val="008C7E8B"/>
    <w:rsid w:val="008C7F23"/>
    <w:rsid w:val="008C7F34"/>
    <w:rsid w:val="008D0058"/>
    <w:rsid w:val="008D0223"/>
    <w:rsid w:val="008D022A"/>
    <w:rsid w:val="008D0240"/>
    <w:rsid w:val="008D026F"/>
    <w:rsid w:val="008D02A6"/>
    <w:rsid w:val="008D02F3"/>
    <w:rsid w:val="008D03BE"/>
    <w:rsid w:val="008D044D"/>
    <w:rsid w:val="008D04B7"/>
    <w:rsid w:val="008D04BF"/>
    <w:rsid w:val="008D051B"/>
    <w:rsid w:val="008D054C"/>
    <w:rsid w:val="008D062E"/>
    <w:rsid w:val="008D0694"/>
    <w:rsid w:val="008D071D"/>
    <w:rsid w:val="008D07AC"/>
    <w:rsid w:val="008D0804"/>
    <w:rsid w:val="008D08B1"/>
    <w:rsid w:val="008D0952"/>
    <w:rsid w:val="008D0AE1"/>
    <w:rsid w:val="008D0B54"/>
    <w:rsid w:val="008D0B6A"/>
    <w:rsid w:val="008D0BF6"/>
    <w:rsid w:val="008D0CD3"/>
    <w:rsid w:val="008D0D58"/>
    <w:rsid w:val="008D0DF0"/>
    <w:rsid w:val="008D116E"/>
    <w:rsid w:val="008D116F"/>
    <w:rsid w:val="008D118B"/>
    <w:rsid w:val="008D11BB"/>
    <w:rsid w:val="008D11E0"/>
    <w:rsid w:val="008D1236"/>
    <w:rsid w:val="008D1250"/>
    <w:rsid w:val="008D128D"/>
    <w:rsid w:val="008D12E0"/>
    <w:rsid w:val="008D1439"/>
    <w:rsid w:val="008D1581"/>
    <w:rsid w:val="008D162C"/>
    <w:rsid w:val="008D17E1"/>
    <w:rsid w:val="008D17E5"/>
    <w:rsid w:val="008D1862"/>
    <w:rsid w:val="008D1983"/>
    <w:rsid w:val="008D1C10"/>
    <w:rsid w:val="008D1D5C"/>
    <w:rsid w:val="008D1D91"/>
    <w:rsid w:val="008D1E35"/>
    <w:rsid w:val="008D1F2A"/>
    <w:rsid w:val="008D1F44"/>
    <w:rsid w:val="008D1FA9"/>
    <w:rsid w:val="008D1FF2"/>
    <w:rsid w:val="008D21A5"/>
    <w:rsid w:val="008D2396"/>
    <w:rsid w:val="008D2398"/>
    <w:rsid w:val="008D23FB"/>
    <w:rsid w:val="008D2426"/>
    <w:rsid w:val="008D2519"/>
    <w:rsid w:val="008D25AD"/>
    <w:rsid w:val="008D25D7"/>
    <w:rsid w:val="008D2614"/>
    <w:rsid w:val="008D27CB"/>
    <w:rsid w:val="008D2829"/>
    <w:rsid w:val="008D2899"/>
    <w:rsid w:val="008D28D1"/>
    <w:rsid w:val="008D2BCA"/>
    <w:rsid w:val="008D2C59"/>
    <w:rsid w:val="008D2E31"/>
    <w:rsid w:val="008D2E96"/>
    <w:rsid w:val="008D3036"/>
    <w:rsid w:val="008D307E"/>
    <w:rsid w:val="008D3159"/>
    <w:rsid w:val="008D32C1"/>
    <w:rsid w:val="008D333F"/>
    <w:rsid w:val="008D3372"/>
    <w:rsid w:val="008D3381"/>
    <w:rsid w:val="008D34EA"/>
    <w:rsid w:val="008D34EB"/>
    <w:rsid w:val="008D377F"/>
    <w:rsid w:val="008D3837"/>
    <w:rsid w:val="008D3982"/>
    <w:rsid w:val="008D39B2"/>
    <w:rsid w:val="008D3AE0"/>
    <w:rsid w:val="008D3B5F"/>
    <w:rsid w:val="008D3ECC"/>
    <w:rsid w:val="008D40EE"/>
    <w:rsid w:val="008D40F5"/>
    <w:rsid w:val="008D423C"/>
    <w:rsid w:val="008D433D"/>
    <w:rsid w:val="008D4659"/>
    <w:rsid w:val="008D4857"/>
    <w:rsid w:val="008D48FC"/>
    <w:rsid w:val="008D4938"/>
    <w:rsid w:val="008D49FF"/>
    <w:rsid w:val="008D4AAF"/>
    <w:rsid w:val="008D4D0F"/>
    <w:rsid w:val="008D4D84"/>
    <w:rsid w:val="008D4E64"/>
    <w:rsid w:val="008D4EE4"/>
    <w:rsid w:val="008D4F03"/>
    <w:rsid w:val="008D51F3"/>
    <w:rsid w:val="008D530B"/>
    <w:rsid w:val="008D53FA"/>
    <w:rsid w:val="008D54B9"/>
    <w:rsid w:val="008D54DB"/>
    <w:rsid w:val="008D5575"/>
    <w:rsid w:val="008D55C2"/>
    <w:rsid w:val="008D567B"/>
    <w:rsid w:val="008D578C"/>
    <w:rsid w:val="008D582D"/>
    <w:rsid w:val="008D58E7"/>
    <w:rsid w:val="008D591C"/>
    <w:rsid w:val="008D59BC"/>
    <w:rsid w:val="008D5A00"/>
    <w:rsid w:val="008D5A08"/>
    <w:rsid w:val="008D5A16"/>
    <w:rsid w:val="008D5BEB"/>
    <w:rsid w:val="008D5CC7"/>
    <w:rsid w:val="008D5DB9"/>
    <w:rsid w:val="008D5E73"/>
    <w:rsid w:val="008D5EB0"/>
    <w:rsid w:val="008D5F35"/>
    <w:rsid w:val="008D5F6E"/>
    <w:rsid w:val="008D5FAF"/>
    <w:rsid w:val="008D5FCE"/>
    <w:rsid w:val="008D60C2"/>
    <w:rsid w:val="008D61A8"/>
    <w:rsid w:val="008D6219"/>
    <w:rsid w:val="008D62A4"/>
    <w:rsid w:val="008D634B"/>
    <w:rsid w:val="008D65B5"/>
    <w:rsid w:val="008D661B"/>
    <w:rsid w:val="008D663B"/>
    <w:rsid w:val="008D666C"/>
    <w:rsid w:val="008D66BE"/>
    <w:rsid w:val="008D66F8"/>
    <w:rsid w:val="008D6746"/>
    <w:rsid w:val="008D6795"/>
    <w:rsid w:val="008D6AA8"/>
    <w:rsid w:val="008D6B24"/>
    <w:rsid w:val="008D6C62"/>
    <w:rsid w:val="008D6CE5"/>
    <w:rsid w:val="008D6ECE"/>
    <w:rsid w:val="008D6F69"/>
    <w:rsid w:val="008D70F8"/>
    <w:rsid w:val="008D7134"/>
    <w:rsid w:val="008D716E"/>
    <w:rsid w:val="008D71D8"/>
    <w:rsid w:val="008D726E"/>
    <w:rsid w:val="008D7344"/>
    <w:rsid w:val="008D7382"/>
    <w:rsid w:val="008D73ED"/>
    <w:rsid w:val="008D7467"/>
    <w:rsid w:val="008D74C3"/>
    <w:rsid w:val="008D75ED"/>
    <w:rsid w:val="008D768C"/>
    <w:rsid w:val="008D76AE"/>
    <w:rsid w:val="008D77D8"/>
    <w:rsid w:val="008D7885"/>
    <w:rsid w:val="008D7979"/>
    <w:rsid w:val="008D7AB6"/>
    <w:rsid w:val="008D7C8F"/>
    <w:rsid w:val="008D7CA6"/>
    <w:rsid w:val="008D7D0A"/>
    <w:rsid w:val="008D7DBD"/>
    <w:rsid w:val="008D7DE9"/>
    <w:rsid w:val="008D7F4B"/>
    <w:rsid w:val="008D7F7D"/>
    <w:rsid w:val="008D7FF6"/>
    <w:rsid w:val="008E0017"/>
    <w:rsid w:val="008E0033"/>
    <w:rsid w:val="008E004B"/>
    <w:rsid w:val="008E006C"/>
    <w:rsid w:val="008E0091"/>
    <w:rsid w:val="008E00E9"/>
    <w:rsid w:val="008E0118"/>
    <w:rsid w:val="008E01EC"/>
    <w:rsid w:val="008E0271"/>
    <w:rsid w:val="008E0344"/>
    <w:rsid w:val="008E03FC"/>
    <w:rsid w:val="008E05A5"/>
    <w:rsid w:val="008E066A"/>
    <w:rsid w:val="008E080D"/>
    <w:rsid w:val="008E0A44"/>
    <w:rsid w:val="008E0B15"/>
    <w:rsid w:val="008E0B6F"/>
    <w:rsid w:val="008E0B7A"/>
    <w:rsid w:val="008E0D3D"/>
    <w:rsid w:val="008E0D6E"/>
    <w:rsid w:val="008E0D94"/>
    <w:rsid w:val="008E0EC5"/>
    <w:rsid w:val="008E10C6"/>
    <w:rsid w:val="008E10DA"/>
    <w:rsid w:val="008E10F9"/>
    <w:rsid w:val="008E1116"/>
    <w:rsid w:val="008E1164"/>
    <w:rsid w:val="008E12B0"/>
    <w:rsid w:val="008E12C9"/>
    <w:rsid w:val="008E13C0"/>
    <w:rsid w:val="008E149E"/>
    <w:rsid w:val="008E14BD"/>
    <w:rsid w:val="008E14D8"/>
    <w:rsid w:val="008E150F"/>
    <w:rsid w:val="008E1529"/>
    <w:rsid w:val="008E174D"/>
    <w:rsid w:val="008E18EC"/>
    <w:rsid w:val="008E1A90"/>
    <w:rsid w:val="008E1C75"/>
    <w:rsid w:val="008E1CCA"/>
    <w:rsid w:val="008E1D05"/>
    <w:rsid w:val="008E1DD1"/>
    <w:rsid w:val="008E1E3B"/>
    <w:rsid w:val="008E1E75"/>
    <w:rsid w:val="008E1EE7"/>
    <w:rsid w:val="008E1F0B"/>
    <w:rsid w:val="008E1F32"/>
    <w:rsid w:val="008E1F6E"/>
    <w:rsid w:val="008E1F79"/>
    <w:rsid w:val="008E1F8B"/>
    <w:rsid w:val="008E1F9B"/>
    <w:rsid w:val="008E2004"/>
    <w:rsid w:val="008E2135"/>
    <w:rsid w:val="008E2219"/>
    <w:rsid w:val="008E229A"/>
    <w:rsid w:val="008E22A3"/>
    <w:rsid w:val="008E2670"/>
    <w:rsid w:val="008E2695"/>
    <w:rsid w:val="008E26FD"/>
    <w:rsid w:val="008E2814"/>
    <w:rsid w:val="008E283D"/>
    <w:rsid w:val="008E28AA"/>
    <w:rsid w:val="008E2943"/>
    <w:rsid w:val="008E2977"/>
    <w:rsid w:val="008E29C3"/>
    <w:rsid w:val="008E2A6A"/>
    <w:rsid w:val="008E2C0E"/>
    <w:rsid w:val="008E2C7D"/>
    <w:rsid w:val="008E2C9B"/>
    <w:rsid w:val="008E2D59"/>
    <w:rsid w:val="008E2D69"/>
    <w:rsid w:val="008E2DA2"/>
    <w:rsid w:val="008E2DAF"/>
    <w:rsid w:val="008E2EB6"/>
    <w:rsid w:val="008E30AF"/>
    <w:rsid w:val="008E30D3"/>
    <w:rsid w:val="008E32A9"/>
    <w:rsid w:val="008E340D"/>
    <w:rsid w:val="008E3502"/>
    <w:rsid w:val="008E3540"/>
    <w:rsid w:val="008E365B"/>
    <w:rsid w:val="008E3677"/>
    <w:rsid w:val="008E3693"/>
    <w:rsid w:val="008E37BD"/>
    <w:rsid w:val="008E39CC"/>
    <w:rsid w:val="008E3ACC"/>
    <w:rsid w:val="008E3AD1"/>
    <w:rsid w:val="008E3ADC"/>
    <w:rsid w:val="008E3AEB"/>
    <w:rsid w:val="008E3BF4"/>
    <w:rsid w:val="008E3FE0"/>
    <w:rsid w:val="008E3FFF"/>
    <w:rsid w:val="008E4116"/>
    <w:rsid w:val="008E41B5"/>
    <w:rsid w:val="008E41BB"/>
    <w:rsid w:val="008E4273"/>
    <w:rsid w:val="008E4339"/>
    <w:rsid w:val="008E4353"/>
    <w:rsid w:val="008E442A"/>
    <w:rsid w:val="008E4482"/>
    <w:rsid w:val="008E44B8"/>
    <w:rsid w:val="008E44EF"/>
    <w:rsid w:val="008E4715"/>
    <w:rsid w:val="008E48AA"/>
    <w:rsid w:val="008E4998"/>
    <w:rsid w:val="008E49B2"/>
    <w:rsid w:val="008E4B8E"/>
    <w:rsid w:val="008E4C3D"/>
    <w:rsid w:val="008E4C7F"/>
    <w:rsid w:val="008E4EE4"/>
    <w:rsid w:val="008E4F09"/>
    <w:rsid w:val="008E51FA"/>
    <w:rsid w:val="008E52D0"/>
    <w:rsid w:val="008E52EC"/>
    <w:rsid w:val="008E5395"/>
    <w:rsid w:val="008E5691"/>
    <w:rsid w:val="008E575C"/>
    <w:rsid w:val="008E5868"/>
    <w:rsid w:val="008E5908"/>
    <w:rsid w:val="008E5972"/>
    <w:rsid w:val="008E5A37"/>
    <w:rsid w:val="008E5A60"/>
    <w:rsid w:val="008E5AA3"/>
    <w:rsid w:val="008E5D0F"/>
    <w:rsid w:val="008E5DEF"/>
    <w:rsid w:val="008E5E86"/>
    <w:rsid w:val="008E5F3D"/>
    <w:rsid w:val="008E61DF"/>
    <w:rsid w:val="008E6323"/>
    <w:rsid w:val="008E638D"/>
    <w:rsid w:val="008E660D"/>
    <w:rsid w:val="008E66A3"/>
    <w:rsid w:val="008E66FC"/>
    <w:rsid w:val="008E67B9"/>
    <w:rsid w:val="008E68BE"/>
    <w:rsid w:val="008E695A"/>
    <w:rsid w:val="008E69C4"/>
    <w:rsid w:val="008E6BE0"/>
    <w:rsid w:val="008E6C9D"/>
    <w:rsid w:val="008E6CEF"/>
    <w:rsid w:val="008E6E03"/>
    <w:rsid w:val="008E6E6A"/>
    <w:rsid w:val="008E6F1B"/>
    <w:rsid w:val="008E6FCA"/>
    <w:rsid w:val="008E6FE3"/>
    <w:rsid w:val="008E7118"/>
    <w:rsid w:val="008E712A"/>
    <w:rsid w:val="008E71A2"/>
    <w:rsid w:val="008E71E7"/>
    <w:rsid w:val="008E726B"/>
    <w:rsid w:val="008E7286"/>
    <w:rsid w:val="008E72EC"/>
    <w:rsid w:val="008E748E"/>
    <w:rsid w:val="008E74BD"/>
    <w:rsid w:val="008E74D0"/>
    <w:rsid w:val="008E7508"/>
    <w:rsid w:val="008E7595"/>
    <w:rsid w:val="008E75E8"/>
    <w:rsid w:val="008E7641"/>
    <w:rsid w:val="008E7648"/>
    <w:rsid w:val="008E766B"/>
    <w:rsid w:val="008E76FB"/>
    <w:rsid w:val="008E7764"/>
    <w:rsid w:val="008E77DD"/>
    <w:rsid w:val="008E7815"/>
    <w:rsid w:val="008E7882"/>
    <w:rsid w:val="008E790A"/>
    <w:rsid w:val="008E7922"/>
    <w:rsid w:val="008E7953"/>
    <w:rsid w:val="008E795D"/>
    <w:rsid w:val="008E7B53"/>
    <w:rsid w:val="008E7BB2"/>
    <w:rsid w:val="008E7C8D"/>
    <w:rsid w:val="008E7D65"/>
    <w:rsid w:val="008E7F73"/>
    <w:rsid w:val="008F0012"/>
    <w:rsid w:val="008F0019"/>
    <w:rsid w:val="008F0102"/>
    <w:rsid w:val="008F01EC"/>
    <w:rsid w:val="008F0251"/>
    <w:rsid w:val="008F025D"/>
    <w:rsid w:val="008F0261"/>
    <w:rsid w:val="008F02E4"/>
    <w:rsid w:val="008F02E7"/>
    <w:rsid w:val="008F02FB"/>
    <w:rsid w:val="008F0394"/>
    <w:rsid w:val="008F03FC"/>
    <w:rsid w:val="008F0403"/>
    <w:rsid w:val="008F04BD"/>
    <w:rsid w:val="008F0560"/>
    <w:rsid w:val="008F06EF"/>
    <w:rsid w:val="008F07BA"/>
    <w:rsid w:val="008F08BF"/>
    <w:rsid w:val="008F08D4"/>
    <w:rsid w:val="008F0A7E"/>
    <w:rsid w:val="008F0B86"/>
    <w:rsid w:val="008F0BB4"/>
    <w:rsid w:val="008F0E61"/>
    <w:rsid w:val="008F1064"/>
    <w:rsid w:val="008F10A8"/>
    <w:rsid w:val="008F10F4"/>
    <w:rsid w:val="008F117B"/>
    <w:rsid w:val="008F1191"/>
    <w:rsid w:val="008F11E8"/>
    <w:rsid w:val="008F1307"/>
    <w:rsid w:val="008F134C"/>
    <w:rsid w:val="008F149C"/>
    <w:rsid w:val="008F1588"/>
    <w:rsid w:val="008F1589"/>
    <w:rsid w:val="008F16F4"/>
    <w:rsid w:val="008F1939"/>
    <w:rsid w:val="008F1AC2"/>
    <w:rsid w:val="008F1ADB"/>
    <w:rsid w:val="008F1DD4"/>
    <w:rsid w:val="008F1EB0"/>
    <w:rsid w:val="008F1F5F"/>
    <w:rsid w:val="008F1F8C"/>
    <w:rsid w:val="008F20E3"/>
    <w:rsid w:val="008F20EF"/>
    <w:rsid w:val="008F21E2"/>
    <w:rsid w:val="008F21F5"/>
    <w:rsid w:val="008F2200"/>
    <w:rsid w:val="008F22D5"/>
    <w:rsid w:val="008F234A"/>
    <w:rsid w:val="008F237F"/>
    <w:rsid w:val="008F2443"/>
    <w:rsid w:val="008F24D3"/>
    <w:rsid w:val="008F2520"/>
    <w:rsid w:val="008F2583"/>
    <w:rsid w:val="008F266A"/>
    <w:rsid w:val="008F2683"/>
    <w:rsid w:val="008F26B3"/>
    <w:rsid w:val="008F2731"/>
    <w:rsid w:val="008F277D"/>
    <w:rsid w:val="008F2782"/>
    <w:rsid w:val="008F28DE"/>
    <w:rsid w:val="008F2975"/>
    <w:rsid w:val="008F2A17"/>
    <w:rsid w:val="008F2A79"/>
    <w:rsid w:val="008F2C0E"/>
    <w:rsid w:val="008F2D81"/>
    <w:rsid w:val="008F2DA3"/>
    <w:rsid w:val="008F2E4C"/>
    <w:rsid w:val="008F2ED9"/>
    <w:rsid w:val="008F3031"/>
    <w:rsid w:val="008F31A5"/>
    <w:rsid w:val="008F324B"/>
    <w:rsid w:val="008F328A"/>
    <w:rsid w:val="008F3386"/>
    <w:rsid w:val="008F359F"/>
    <w:rsid w:val="008F38D3"/>
    <w:rsid w:val="008F397E"/>
    <w:rsid w:val="008F3AB2"/>
    <w:rsid w:val="008F3B72"/>
    <w:rsid w:val="008F3C17"/>
    <w:rsid w:val="008F3C5A"/>
    <w:rsid w:val="008F3CBA"/>
    <w:rsid w:val="008F3CDD"/>
    <w:rsid w:val="008F3EE7"/>
    <w:rsid w:val="008F3F1D"/>
    <w:rsid w:val="008F3F2E"/>
    <w:rsid w:val="008F4064"/>
    <w:rsid w:val="008F43B5"/>
    <w:rsid w:val="008F4602"/>
    <w:rsid w:val="008F4646"/>
    <w:rsid w:val="008F4834"/>
    <w:rsid w:val="008F496E"/>
    <w:rsid w:val="008F49F5"/>
    <w:rsid w:val="008F4A3A"/>
    <w:rsid w:val="008F4A9E"/>
    <w:rsid w:val="008F4AC3"/>
    <w:rsid w:val="008F4B44"/>
    <w:rsid w:val="008F4C77"/>
    <w:rsid w:val="008F4E45"/>
    <w:rsid w:val="008F4F41"/>
    <w:rsid w:val="008F4F69"/>
    <w:rsid w:val="008F4FB8"/>
    <w:rsid w:val="008F4FF0"/>
    <w:rsid w:val="008F518F"/>
    <w:rsid w:val="008F51FF"/>
    <w:rsid w:val="008F5223"/>
    <w:rsid w:val="008F543B"/>
    <w:rsid w:val="008F552D"/>
    <w:rsid w:val="008F5640"/>
    <w:rsid w:val="008F5647"/>
    <w:rsid w:val="008F5658"/>
    <w:rsid w:val="008F5771"/>
    <w:rsid w:val="008F577F"/>
    <w:rsid w:val="008F57E2"/>
    <w:rsid w:val="008F5877"/>
    <w:rsid w:val="008F5AE0"/>
    <w:rsid w:val="008F5EFE"/>
    <w:rsid w:val="008F5FFD"/>
    <w:rsid w:val="008F6014"/>
    <w:rsid w:val="008F606F"/>
    <w:rsid w:val="008F60B8"/>
    <w:rsid w:val="008F60C7"/>
    <w:rsid w:val="008F60F3"/>
    <w:rsid w:val="008F625E"/>
    <w:rsid w:val="008F638A"/>
    <w:rsid w:val="008F6568"/>
    <w:rsid w:val="008F659C"/>
    <w:rsid w:val="008F674F"/>
    <w:rsid w:val="008F6854"/>
    <w:rsid w:val="008F685B"/>
    <w:rsid w:val="008F6BD7"/>
    <w:rsid w:val="008F6C0E"/>
    <w:rsid w:val="008F6C88"/>
    <w:rsid w:val="008F6CA2"/>
    <w:rsid w:val="008F6CB7"/>
    <w:rsid w:val="008F6E01"/>
    <w:rsid w:val="008F6F23"/>
    <w:rsid w:val="008F7052"/>
    <w:rsid w:val="008F7204"/>
    <w:rsid w:val="008F72C1"/>
    <w:rsid w:val="008F72C6"/>
    <w:rsid w:val="008F7330"/>
    <w:rsid w:val="008F7342"/>
    <w:rsid w:val="008F7570"/>
    <w:rsid w:val="008F75AA"/>
    <w:rsid w:val="008F75BA"/>
    <w:rsid w:val="008F7683"/>
    <w:rsid w:val="008F768B"/>
    <w:rsid w:val="008F7735"/>
    <w:rsid w:val="008F7760"/>
    <w:rsid w:val="008F7931"/>
    <w:rsid w:val="008F7A40"/>
    <w:rsid w:val="008F7AC2"/>
    <w:rsid w:val="008F7B00"/>
    <w:rsid w:val="008F7BB3"/>
    <w:rsid w:val="00900156"/>
    <w:rsid w:val="009001C8"/>
    <w:rsid w:val="009002AC"/>
    <w:rsid w:val="009002E5"/>
    <w:rsid w:val="0090041E"/>
    <w:rsid w:val="0090067F"/>
    <w:rsid w:val="00900687"/>
    <w:rsid w:val="00900693"/>
    <w:rsid w:val="00900711"/>
    <w:rsid w:val="00900775"/>
    <w:rsid w:val="009007D9"/>
    <w:rsid w:val="0090080B"/>
    <w:rsid w:val="00900B5B"/>
    <w:rsid w:val="00900E82"/>
    <w:rsid w:val="00900FFD"/>
    <w:rsid w:val="0090119F"/>
    <w:rsid w:val="00901215"/>
    <w:rsid w:val="00901253"/>
    <w:rsid w:val="0090125D"/>
    <w:rsid w:val="0090128D"/>
    <w:rsid w:val="0090132F"/>
    <w:rsid w:val="00901405"/>
    <w:rsid w:val="009015EF"/>
    <w:rsid w:val="00901734"/>
    <w:rsid w:val="00901909"/>
    <w:rsid w:val="00901955"/>
    <w:rsid w:val="00901968"/>
    <w:rsid w:val="00901973"/>
    <w:rsid w:val="00901A2E"/>
    <w:rsid w:val="00901AC7"/>
    <w:rsid w:val="00901B93"/>
    <w:rsid w:val="00901D51"/>
    <w:rsid w:val="00901D88"/>
    <w:rsid w:val="00901D94"/>
    <w:rsid w:val="00901DEC"/>
    <w:rsid w:val="00901E39"/>
    <w:rsid w:val="00901F8D"/>
    <w:rsid w:val="00901FC3"/>
    <w:rsid w:val="00902000"/>
    <w:rsid w:val="0090238B"/>
    <w:rsid w:val="009023B8"/>
    <w:rsid w:val="009024CB"/>
    <w:rsid w:val="009024D8"/>
    <w:rsid w:val="009024ED"/>
    <w:rsid w:val="0090252C"/>
    <w:rsid w:val="0090260E"/>
    <w:rsid w:val="009026A0"/>
    <w:rsid w:val="009028F1"/>
    <w:rsid w:val="00902925"/>
    <w:rsid w:val="00902927"/>
    <w:rsid w:val="0090292C"/>
    <w:rsid w:val="00902974"/>
    <w:rsid w:val="00902BB4"/>
    <w:rsid w:val="00902C20"/>
    <w:rsid w:val="00902D20"/>
    <w:rsid w:val="00902D5D"/>
    <w:rsid w:val="00902E0F"/>
    <w:rsid w:val="00902E18"/>
    <w:rsid w:val="00902E45"/>
    <w:rsid w:val="00902FD4"/>
    <w:rsid w:val="0090300B"/>
    <w:rsid w:val="00903062"/>
    <w:rsid w:val="00903073"/>
    <w:rsid w:val="009030B7"/>
    <w:rsid w:val="00903277"/>
    <w:rsid w:val="00903428"/>
    <w:rsid w:val="009036EE"/>
    <w:rsid w:val="00903716"/>
    <w:rsid w:val="009037A1"/>
    <w:rsid w:val="00903913"/>
    <w:rsid w:val="00903936"/>
    <w:rsid w:val="00903990"/>
    <w:rsid w:val="009039FC"/>
    <w:rsid w:val="009039FE"/>
    <w:rsid w:val="00903AD3"/>
    <w:rsid w:val="00903CB0"/>
    <w:rsid w:val="00903D2E"/>
    <w:rsid w:val="00903E0D"/>
    <w:rsid w:val="00903E99"/>
    <w:rsid w:val="00903ED1"/>
    <w:rsid w:val="00903F5C"/>
    <w:rsid w:val="0090402C"/>
    <w:rsid w:val="00904224"/>
    <w:rsid w:val="009042A2"/>
    <w:rsid w:val="0090435F"/>
    <w:rsid w:val="0090437B"/>
    <w:rsid w:val="00904402"/>
    <w:rsid w:val="0090442C"/>
    <w:rsid w:val="00904472"/>
    <w:rsid w:val="009045D7"/>
    <w:rsid w:val="00904686"/>
    <w:rsid w:val="00904692"/>
    <w:rsid w:val="00904708"/>
    <w:rsid w:val="00904813"/>
    <w:rsid w:val="00904967"/>
    <w:rsid w:val="0090496F"/>
    <w:rsid w:val="00904980"/>
    <w:rsid w:val="009049D8"/>
    <w:rsid w:val="00904A68"/>
    <w:rsid w:val="00904A9A"/>
    <w:rsid w:val="00904A9F"/>
    <w:rsid w:val="00904BB5"/>
    <w:rsid w:val="00904BF3"/>
    <w:rsid w:val="00904C00"/>
    <w:rsid w:val="00904C0C"/>
    <w:rsid w:val="00904DA0"/>
    <w:rsid w:val="00904DDA"/>
    <w:rsid w:val="00904EE9"/>
    <w:rsid w:val="00904F36"/>
    <w:rsid w:val="00904FB3"/>
    <w:rsid w:val="00904FF1"/>
    <w:rsid w:val="009051A9"/>
    <w:rsid w:val="009051F7"/>
    <w:rsid w:val="0090520A"/>
    <w:rsid w:val="00905303"/>
    <w:rsid w:val="009053A2"/>
    <w:rsid w:val="009053EC"/>
    <w:rsid w:val="0090544B"/>
    <w:rsid w:val="00905547"/>
    <w:rsid w:val="00905548"/>
    <w:rsid w:val="00905556"/>
    <w:rsid w:val="009057F4"/>
    <w:rsid w:val="00905804"/>
    <w:rsid w:val="009058DA"/>
    <w:rsid w:val="00905985"/>
    <w:rsid w:val="00905987"/>
    <w:rsid w:val="00905BDC"/>
    <w:rsid w:val="00905BE0"/>
    <w:rsid w:val="00905D1D"/>
    <w:rsid w:val="00905DEE"/>
    <w:rsid w:val="00905E10"/>
    <w:rsid w:val="00905E4B"/>
    <w:rsid w:val="00905EDF"/>
    <w:rsid w:val="00905F76"/>
    <w:rsid w:val="00906088"/>
    <w:rsid w:val="009060EA"/>
    <w:rsid w:val="009061E2"/>
    <w:rsid w:val="009063BB"/>
    <w:rsid w:val="00906479"/>
    <w:rsid w:val="009064F2"/>
    <w:rsid w:val="009065A9"/>
    <w:rsid w:val="009065F6"/>
    <w:rsid w:val="0090660F"/>
    <w:rsid w:val="0090669A"/>
    <w:rsid w:val="0090675A"/>
    <w:rsid w:val="009068D6"/>
    <w:rsid w:val="0090690F"/>
    <w:rsid w:val="00906C28"/>
    <w:rsid w:val="00906C7F"/>
    <w:rsid w:val="00906CED"/>
    <w:rsid w:val="00906E0E"/>
    <w:rsid w:val="00907167"/>
    <w:rsid w:val="00907344"/>
    <w:rsid w:val="009073B6"/>
    <w:rsid w:val="009073C9"/>
    <w:rsid w:val="009073FC"/>
    <w:rsid w:val="00907403"/>
    <w:rsid w:val="009075D9"/>
    <w:rsid w:val="009075F7"/>
    <w:rsid w:val="00907790"/>
    <w:rsid w:val="009078CF"/>
    <w:rsid w:val="009078FE"/>
    <w:rsid w:val="00907A63"/>
    <w:rsid w:val="00907DCA"/>
    <w:rsid w:val="00907E2D"/>
    <w:rsid w:val="00907F00"/>
    <w:rsid w:val="00907FA6"/>
    <w:rsid w:val="00907FCB"/>
    <w:rsid w:val="0091007C"/>
    <w:rsid w:val="009100F2"/>
    <w:rsid w:val="00910154"/>
    <w:rsid w:val="00910204"/>
    <w:rsid w:val="00910215"/>
    <w:rsid w:val="0091022A"/>
    <w:rsid w:val="009102F9"/>
    <w:rsid w:val="009103B4"/>
    <w:rsid w:val="0091041D"/>
    <w:rsid w:val="0091055A"/>
    <w:rsid w:val="00910577"/>
    <w:rsid w:val="009105E7"/>
    <w:rsid w:val="0091076F"/>
    <w:rsid w:val="00910993"/>
    <w:rsid w:val="00910A21"/>
    <w:rsid w:val="00910B3C"/>
    <w:rsid w:val="00910BC7"/>
    <w:rsid w:val="00910D9A"/>
    <w:rsid w:val="00910E23"/>
    <w:rsid w:val="00910EE1"/>
    <w:rsid w:val="00910F1D"/>
    <w:rsid w:val="00910F7D"/>
    <w:rsid w:val="00911106"/>
    <w:rsid w:val="00911149"/>
    <w:rsid w:val="009111C8"/>
    <w:rsid w:val="00911212"/>
    <w:rsid w:val="009112AB"/>
    <w:rsid w:val="0091131B"/>
    <w:rsid w:val="00911348"/>
    <w:rsid w:val="009114C7"/>
    <w:rsid w:val="009114D4"/>
    <w:rsid w:val="00911501"/>
    <w:rsid w:val="0091162A"/>
    <w:rsid w:val="00911673"/>
    <w:rsid w:val="00911713"/>
    <w:rsid w:val="00911777"/>
    <w:rsid w:val="0091194C"/>
    <w:rsid w:val="00911A19"/>
    <w:rsid w:val="00911A95"/>
    <w:rsid w:val="00911B0A"/>
    <w:rsid w:val="00911B52"/>
    <w:rsid w:val="00911C7D"/>
    <w:rsid w:val="00911DA4"/>
    <w:rsid w:val="00911E65"/>
    <w:rsid w:val="00912026"/>
    <w:rsid w:val="009121D1"/>
    <w:rsid w:val="009122DB"/>
    <w:rsid w:val="0091234F"/>
    <w:rsid w:val="009124DB"/>
    <w:rsid w:val="009124F5"/>
    <w:rsid w:val="009125BB"/>
    <w:rsid w:val="00912723"/>
    <w:rsid w:val="0091299F"/>
    <w:rsid w:val="00912AE0"/>
    <w:rsid w:val="00912B20"/>
    <w:rsid w:val="00912BCC"/>
    <w:rsid w:val="00912BE7"/>
    <w:rsid w:val="00912E06"/>
    <w:rsid w:val="00912F47"/>
    <w:rsid w:val="00912F9D"/>
    <w:rsid w:val="009131A5"/>
    <w:rsid w:val="00913208"/>
    <w:rsid w:val="0091352A"/>
    <w:rsid w:val="0091359C"/>
    <w:rsid w:val="00913662"/>
    <w:rsid w:val="00913697"/>
    <w:rsid w:val="00913816"/>
    <w:rsid w:val="0091388B"/>
    <w:rsid w:val="009138BC"/>
    <w:rsid w:val="00913985"/>
    <w:rsid w:val="00913ADA"/>
    <w:rsid w:val="00913D13"/>
    <w:rsid w:val="00913D3B"/>
    <w:rsid w:val="00913D49"/>
    <w:rsid w:val="00913F07"/>
    <w:rsid w:val="00914238"/>
    <w:rsid w:val="009143A1"/>
    <w:rsid w:val="00914598"/>
    <w:rsid w:val="009145BB"/>
    <w:rsid w:val="009145E3"/>
    <w:rsid w:val="0091473D"/>
    <w:rsid w:val="0091487C"/>
    <w:rsid w:val="00914984"/>
    <w:rsid w:val="00914987"/>
    <w:rsid w:val="00914A52"/>
    <w:rsid w:val="00914DC9"/>
    <w:rsid w:val="00914F5D"/>
    <w:rsid w:val="0091507A"/>
    <w:rsid w:val="009152BA"/>
    <w:rsid w:val="0091534E"/>
    <w:rsid w:val="0091536C"/>
    <w:rsid w:val="00915410"/>
    <w:rsid w:val="00915458"/>
    <w:rsid w:val="00915585"/>
    <w:rsid w:val="00915684"/>
    <w:rsid w:val="009156FF"/>
    <w:rsid w:val="00915791"/>
    <w:rsid w:val="00915819"/>
    <w:rsid w:val="00915951"/>
    <w:rsid w:val="00915A05"/>
    <w:rsid w:val="00915A1E"/>
    <w:rsid w:val="00915AB6"/>
    <w:rsid w:val="00915CC5"/>
    <w:rsid w:val="00915CCE"/>
    <w:rsid w:val="00915D29"/>
    <w:rsid w:val="00915D44"/>
    <w:rsid w:val="00915D86"/>
    <w:rsid w:val="00915F08"/>
    <w:rsid w:val="00915F79"/>
    <w:rsid w:val="009160D6"/>
    <w:rsid w:val="0091621C"/>
    <w:rsid w:val="00916296"/>
    <w:rsid w:val="0091634B"/>
    <w:rsid w:val="009164E3"/>
    <w:rsid w:val="00916535"/>
    <w:rsid w:val="0091653C"/>
    <w:rsid w:val="009166E4"/>
    <w:rsid w:val="0091678D"/>
    <w:rsid w:val="0091685C"/>
    <w:rsid w:val="009168DF"/>
    <w:rsid w:val="00916A6E"/>
    <w:rsid w:val="00916A9C"/>
    <w:rsid w:val="00916B7E"/>
    <w:rsid w:val="00916B87"/>
    <w:rsid w:val="00916C29"/>
    <w:rsid w:val="00916CC5"/>
    <w:rsid w:val="00916D96"/>
    <w:rsid w:val="00916E35"/>
    <w:rsid w:val="00916E74"/>
    <w:rsid w:val="00917091"/>
    <w:rsid w:val="0091717B"/>
    <w:rsid w:val="00917385"/>
    <w:rsid w:val="00917472"/>
    <w:rsid w:val="009174A7"/>
    <w:rsid w:val="009174DD"/>
    <w:rsid w:val="0091759D"/>
    <w:rsid w:val="00917775"/>
    <w:rsid w:val="009177FC"/>
    <w:rsid w:val="0091784F"/>
    <w:rsid w:val="0091791F"/>
    <w:rsid w:val="0091796B"/>
    <w:rsid w:val="009179A2"/>
    <w:rsid w:val="00917C67"/>
    <w:rsid w:val="00917D29"/>
    <w:rsid w:val="00917D92"/>
    <w:rsid w:val="00917F8C"/>
    <w:rsid w:val="009200DD"/>
    <w:rsid w:val="00920442"/>
    <w:rsid w:val="00920461"/>
    <w:rsid w:val="00920579"/>
    <w:rsid w:val="009206DE"/>
    <w:rsid w:val="0092081A"/>
    <w:rsid w:val="0092095C"/>
    <w:rsid w:val="00920996"/>
    <w:rsid w:val="00920A0F"/>
    <w:rsid w:val="00920C4B"/>
    <w:rsid w:val="00920CD6"/>
    <w:rsid w:val="00920CF3"/>
    <w:rsid w:val="00920E34"/>
    <w:rsid w:val="00920E56"/>
    <w:rsid w:val="00920EBD"/>
    <w:rsid w:val="00920F65"/>
    <w:rsid w:val="00920F6C"/>
    <w:rsid w:val="00920FCE"/>
    <w:rsid w:val="0092104A"/>
    <w:rsid w:val="00921055"/>
    <w:rsid w:val="00921123"/>
    <w:rsid w:val="00921129"/>
    <w:rsid w:val="00921194"/>
    <w:rsid w:val="009211E1"/>
    <w:rsid w:val="009213B0"/>
    <w:rsid w:val="009213C7"/>
    <w:rsid w:val="00921490"/>
    <w:rsid w:val="00921511"/>
    <w:rsid w:val="0092156D"/>
    <w:rsid w:val="00921581"/>
    <w:rsid w:val="009217A5"/>
    <w:rsid w:val="009217B5"/>
    <w:rsid w:val="00921817"/>
    <w:rsid w:val="009218F0"/>
    <w:rsid w:val="00921A9F"/>
    <w:rsid w:val="00921D08"/>
    <w:rsid w:val="00921D28"/>
    <w:rsid w:val="00921E5B"/>
    <w:rsid w:val="00921FBB"/>
    <w:rsid w:val="0092220F"/>
    <w:rsid w:val="009222CC"/>
    <w:rsid w:val="00922777"/>
    <w:rsid w:val="009227BA"/>
    <w:rsid w:val="009227C0"/>
    <w:rsid w:val="00922846"/>
    <w:rsid w:val="009228DF"/>
    <w:rsid w:val="00922B46"/>
    <w:rsid w:val="00922C00"/>
    <w:rsid w:val="00922C0B"/>
    <w:rsid w:val="00922CAF"/>
    <w:rsid w:val="00922CBD"/>
    <w:rsid w:val="00922D87"/>
    <w:rsid w:val="00922E2E"/>
    <w:rsid w:val="00922E9E"/>
    <w:rsid w:val="0092302B"/>
    <w:rsid w:val="009232A5"/>
    <w:rsid w:val="0092338A"/>
    <w:rsid w:val="009234D4"/>
    <w:rsid w:val="00923533"/>
    <w:rsid w:val="00923668"/>
    <w:rsid w:val="009236E4"/>
    <w:rsid w:val="00923897"/>
    <w:rsid w:val="00923972"/>
    <w:rsid w:val="00923A07"/>
    <w:rsid w:val="00923A2D"/>
    <w:rsid w:val="00923A60"/>
    <w:rsid w:val="00923A99"/>
    <w:rsid w:val="00923AB7"/>
    <w:rsid w:val="00923AFC"/>
    <w:rsid w:val="00923B48"/>
    <w:rsid w:val="00923B8B"/>
    <w:rsid w:val="00923BA5"/>
    <w:rsid w:val="00923BA9"/>
    <w:rsid w:val="00923C8C"/>
    <w:rsid w:val="00923D6C"/>
    <w:rsid w:val="00923FD5"/>
    <w:rsid w:val="00924027"/>
    <w:rsid w:val="009240B4"/>
    <w:rsid w:val="009240E5"/>
    <w:rsid w:val="00924176"/>
    <w:rsid w:val="00924363"/>
    <w:rsid w:val="00924487"/>
    <w:rsid w:val="0092450F"/>
    <w:rsid w:val="0092459C"/>
    <w:rsid w:val="00924622"/>
    <w:rsid w:val="00924717"/>
    <w:rsid w:val="009247B1"/>
    <w:rsid w:val="009247CE"/>
    <w:rsid w:val="009249BC"/>
    <w:rsid w:val="00924A9A"/>
    <w:rsid w:val="00924B47"/>
    <w:rsid w:val="00924BE1"/>
    <w:rsid w:val="00924D41"/>
    <w:rsid w:val="00924F7E"/>
    <w:rsid w:val="0092528E"/>
    <w:rsid w:val="009252A7"/>
    <w:rsid w:val="00925314"/>
    <w:rsid w:val="00925379"/>
    <w:rsid w:val="009253D0"/>
    <w:rsid w:val="0092542C"/>
    <w:rsid w:val="009254BA"/>
    <w:rsid w:val="00925642"/>
    <w:rsid w:val="0092574B"/>
    <w:rsid w:val="00925752"/>
    <w:rsid w:val="009259A2"/>
    <w:rsid w:val="009259A5"/>
    <w:rsid w:val="009259B8"/>
    <w:rsid w:val="00925AE9"/>
    <w:rsid w:val="00925BE2"/>
    <w:rsid w:val="00925C35"/>
    <w:rsid w:val="00925CAD"/>
    <w:rsid w:val="00925F7C"/>
    <w:rsid w:val="00926089"/>
    <w:rsid w:val="009260BA"/>
    <w:rsid w:val="009262D1"/>
    <w:rsid w:val="009262EF"/>
    <w:rsid w:val="00926358"/>
    <w:rsid w:val="00926365"/>
    <w:rsid w:val="009263A5"/>
    <w:rsid w:val="00926491"/>
    <w:rsid w:val="00926542"/>
    <w:rsid w:val="0092663F"/>
    <w:rsid w:val="009266E4"/>
    <w:rsid w:val="00926929"/>
    <w:rsid w:val="009269A9"/>
    <w:rsid w:val="00926C91"/>
    <w:rsid w:val="00926CAE"/>
    <w:rsid w:val="00926D1D"/>
    <w:rsid w:val="00926D96"/>
    <w:rsid w:val="00926E2C"/>
    <w:rsid w:val="00926EAA"/>
    <w:rsid w:val="00927033"/>
    <w:rsid w:val="009270A1"/>
    <w:rsid w:val="009270B6"/>
    <w:rsid w:val="00927259"/>
    <w:rsid w:val="009272E4"/>
    <w:rsid w:val="0092749A"/>
    <w:rsid w:val="0092759B"/>
    <w:rsid w:val="009275CC"/>
    <w:rsid w:val="00927636"/>
    <w:rsid w:val="00927642"/>
    <w:rsid w:val="00927825"/>
    <w:rsid w:val="00927847"/>
    <w:rsid w:val="00927A30"/>
    <w:rsid w:val="00927B1A"/>
    <w:rsid w:val="00927B80"/>
    <w:rsid w:val="00927C32"/>
    <w:rsid w:val="00927C53"/>
    <w:rsid w:val="00927DAB"/>
    <w:rsid w:val="00927E47"/>
    <w:rsid w:val="00930011"/>
    <w:rsid w:val="0093005A"/>
    <w:rsid w:val="009300B3"/>
    <w:rsid w:val="009301C8"/>
    <w:rsid w:val="009303B8"/>
    <w:rsid w:val="00930428"/>
    <w:rsid w:val="009304AF"/>
    <w:rsid w:val="009306D1"/>
    <w:rsid w:val="009307B1"/>
    <w:rsid w:val="00930870"/>
    <w:rsid w:val="00930932"/>
    <w:rsid w:val="00930937"/>
    <w:rsid w:val="00930B30"/>
    <w:rsid w:val="00930B3A"/>
    <w:rsid w:val="00930B75"/>
    <w:rsid w:val="00930C63"/>
    <w:rsid w:val="00930C91"/>
    <w:rsid w:val="00930CC5"/>
    <w:rsid w:val="00930D0B"/>
    <w:rsid w:val="00930DF8"/>
    <w:rsid w:val="00930E60"/>
    <w:rsid w:val="00930ED3"/>
    <w:rsid w:val="00930F77"/>
    <w:rsid w:val="009310FE"/>
    <w:rsid w:val="00931150"/>
    <w:rsid w:val="009313AB"/>
    <w:rsid w:val="0093149B"/>
    <w:rsid w:val="009314A8"/>
    <w:rsid w:val="009315DA"/>
    <w:rsid w:val="009315EC"/>
    <w:rsid w:val="009317C4"/>
    <w:rsid w:val="009317D1"/>
    <w:rsid w:val="009317E6"/>
    <w:rsid w:val="0093194D"/>
    <w:rsid w:val="0093197A"/>
    <w:rsid w:val="00931998"/>
    <w:rsid w:val="00931A00"/>
    <w:rsid w:val="00931AF2"/>
    <w:rsid w:val="00931C75"/>
    <w:rsid w:val="00931CE0"/>
    <w:rsid w:val="00931D1B"/>
    <w:rsid w:val="00931F8B"/>
    <w:rsid w:val="00932159"/>
    <w:rsid w:val="00932178"/>
    <w:rsid w:val="00932364"/>
    <w:rsid w:val="009324E8"/>
    <w:rsid w:val="00932788"/>
    <w:rsid w:val="00932826"/>
    <w:rsid w:val="009328CE"/>
    <w:rsid w:val="00932AB6"/>
    <w:rsid w:val="00932BD4"/>
    <w:rsid w:val="00932C72"/>
    <w:rsid w:val="00932D6C"/>
    <w:rsid w:val="00932EA3"/>
    <w:rsid w:val="00932EBF"/>
    <w:rsid w:val="00932FBF"/>
    <w:rsid w:val="00933022"/>
    <w:rsid w:val="00933163"/>
    <w:rsid w:val="009331A7"/>
    <w:rsid w:val="009331E6"/>
    <w:rsid w:val="00933277"/>
    <w:rsid w:val="009332C5"/>
    <w:rsid w:val="009332CA"/>
    <w:rsid w:val="0093330A"/>
    <w:rsid w:val="0093342D"/>
    <w:rsid w:val="00933659"/>
    <w:rsid w:val="00933701"/>
    <w:rsid w:val="009337C6"/>
    <w:rsid w:val="009337E3"/>
    <w:rsid w:val="00933912"/>
    <w:rsid w:val="00933937"/>
    <w:rsid w:val="00933949"/>
    <w:rsid w:val="00933AD1"/>
    <w:rsid w:val="00933C4B"/>
    <w:rsid w:val="00933DAE"/>
    <w:rsid w:val="00933E9D"/>
    <w:rsid w:val="00933ECA"/>
    <w:rsid w:val="00933EDA"/>
    <w:rsid w:val="00933F86"/>
    <w:rsid w:val="0093400D"/>
    <w:rsid w:val="00934124"/>
    <w:rsid w:val="00934204"/>
    <w:rsid w:val="00934236"/>
    <w:rsid w:val="0093427E"/>
    <w:rsid w:val="0093428D"/>
    <w:rsid w:val="009342CB"/>
    <w:rsid w:val="0093432B"/>
    <w:rsid w:val="00934336"/>
    <w:rsid w:val="0093434C"/>
    <w:rsid w:val="009344B7"/>
    <w:rsid w:val="00934538"/>
    <w:rsid w:val="00934570"/>
    <w:rsid w:val="009348BB"/>
    <w:rsid w:val="009348C7"/>
    <w:rsid w:val="00934B6F"/>
    <w:rsid w:val="00934C0F"/>
    <w:rsid w:val="00934CAD"/>
    <w:rsid w:val="00934CF5"/>
    <w:rsid w:val="00934E4C"/>
    <w:rsid w:val="00934E92"/>
    <w:rsid w:val="00934ED7"/>
    <w:rsid w:val="00934EEB"/>
    <w:rsid w:val="00935059"/>
    <w:rsid w:val="009350E6"/>
    <w:rsid w:val="0093517F"/>
    <w:rsid w:val="009356DC"/>
    <w:rsid w:val="00935799"/>
    <w:rsid w:val="0093595F"/>
    <w:rsid w:val="00935983"/>
    <w:rsid w:val="00935992"/>
    <w:rsid w:val="00935A15"/>
    <w:rsid w:val="00935BE4"/>
    <w:rsid w:val="00935C18"/>
    <w:rsid w:val="00935CD5"/>
    <w:rsid w:val="00935DDF"/>
    <w:rsid w:val="00936154"/>
    <w:rsid w:val="00936473"/>
    <w:rsid w:val="0093654A"/>
    <w:rsid w:val="0093659C"/>
    <w:rsid w:val="009366A6"/>
    <w:rsid w:val="009366EC"/>
    <w:rsid w:val="00936820"/>
    <w:rsid w:val="009368AA"/>
    <w:rsid w:val="00936941"/>
    <w:rsid w:val="00936A27"/>
    <w:rsid w:val="00936A39"/>
    <w:rsid w:val="00936C7C"/>
    <w:rsid w:val="00936CAA"/>
    <w:rsid w:val="00936D99"/>
    <w:rsid w:val="00936DBC"/>
    <w:rsid w:val="00936F87"/>
    <w:rsid w:val="00936F92"/>
    <w:rsid w:val="0093700B"/>
    <w:rsid w:val="009371B8"/>
    <w:rsid w:val="00937329"/>
    <w:rsid w:val="009373DB"/>
    <w:rsid w:val="0093745B"/>
    <w:rsid w:val="00937525"/>
    <w:rsid w:val="009375AC"/>
    <w:rsid w:val="00937649"/>
    <w:rsid w:val="00937655"/>
    <w:rsid w:val="009376D6"/>
    <w:rsid w:val="009378DB"/>
    <w:rsid w:val="009379B2"/>
    <w:rsid w:val="009379B6"/>
    <w:rsid w:val="009379DF"/>
    <w:rsid w:val="00937A2E"/>
    <w:rsid w:val="00937A44"/>
    <w:rsid w:val="00937A5C"/>
    <w:rsid w:val="00937BA3"/>
    <w:rsid w:val="00937BD2"/>
    <w:rsid w:val="00937D32"/>
    <w:rsid w:val="00937D99"/>
    <w:rsid w:val="00937E74"/>
    <w:rsid w:val="00937E80"/>
    <w:rsid w:val="00937E94"/>
    <w:rsid w:val="00940109"/>
    <w:rsid w:val="009401D6"/>
    <w:rsid w:val="009403A6"/>
    <w:rsid w:val="009403AB"/>
    <w:rsid w:val="00940501"/>
    <w:rsid w:val="00940560"/>
    <w:rsid w:val="009405C3"/>
    <w:rsid w:val="00940633"/>
    <w:rsid w:val="00940762"/>
    <w:rsid w:val="009407E7"/>
    <w:rsid w:val="00940812"/>
    <w:rsid w:val="00940894"/>
    <w:rsid w:val="00940932"/>
    <w:rsid w:val="009409E7"/>
    <w:rsid w:val="00940A08"/>
    <w:rsid w:val="00940DBE"/>
    <w:rsid w:val="00940DD4"/>
    <w:rsid w:val="00940EC9"/>
    <w:rsid w:val="00940F5D"/>
    <w:rsid w:val="00941010"/>
    <w:rsid w:val="00941061"/>
    <w:rsid w:val="0094106B"/>
    <w:rsid w:val="009410A2"/>
    <w:rsid w:val="009411A7"/>
    <w:rsid w:val="009411B2"/>
    <w:rsid w:val="009412E0"/>
    <w:rsid w:val="00941415"/>
    <w:rsid w:val="009414E0"/>
    <w:rsid w:val="009414F7"/>
    <w:rsid w:val="00941540"/>
    <w:rsid w:val="0094162D"/>
    <w:rsid w:val="00941633"/>
    <w:rsid w:val="00941669"/>
    <w:rsid w:val="009416AA"/>
    <w:rsid w:val="00941711"/>
    <w:rsid w:val="009417E0"/>
    <w:rsid w:val="009417FE"/>
    <w:rsid w:val="00941834"/>
    <w:rsid w:val="00941864"/>
    <w:rsid w:val="0094192F"/>
    <w:rsid w:val="009419FA"/>
    <w:rsid w:val="00941AF0"/>
    <w:rsid w:val="00941CB1"/>
    <w:rsid w:val="00941D6B"/>
    <w:rsid w:val="00941DAC"/>
    <w:rsid w:val="00941E0D"/>
    <w:rsid w:val="00941FD6"/>
    <w:rsid w:val="00942095"/>
    <w:rsid w:val="009423BE"/>
    <w:rsid w:val="0094251A"/>
    <w:rsid w:val="00942548"/>
    <w:rsid w:val="00942659"/>
    <w:rsid w:val="00942755"/>
    <w:rsid w:val="0094290E"/>
    <w:rsid w:val="00942943"/>
    <w:rsid w:val="00942B67"/>
    <w:rsid w:val="00942BD1"/>
    <w:rsid w:val="00942CFD"/>
    <w:rsid w:val="00942D84"/>
    <w:rsid w:val="00942EAB"/>
    <w:rsid w:val="00943083"/>
    <w:rsid w:val="00943221"/>
    <w:rsid w:val="00943380"/>
    <w:rsid w:val="0094342F"/>
    <w:rsid w:val="00943525"/>
    <w:rsid w:val="00943639"/>
    <w:rsid w:val="009436D5"/>
    <w:rsid w:val="00943885"/>
    <w:rsid w:val="009438B3"/>
    <w:rsid w:val="009438E2"/>
    <w:rsid w:val="00943A0C"/>
    <w:rsid w:val="00943A54"/>
    <w:rsid w:val="00943B38"/>
    <w:rsid w:val="00943E6D"/>
    <w:rsid w:val="00943FE7"/>
    <w:rsid w:val="0094413B"/>
    <w:rsid w:val="009441E1"/>
    <w:rsid w:val="0094422C"/>
    <w:rsid w:val="0094428C"/>
    <w:rsid w:val="009446DF"/>
    <w:rsid w:val="0094483A"/>
    <w:rsid w:val="0094493E"/>
    <w:rsid w:val="009449A6"/>
    <w:rsid w:val="00944A04"/>
    <w:rsid w:val="00944A2D"/>
    <w:rsid w:val="00944A9B"/>
    <w:rsid w:val="00944AB4"/>
    <w:rsid w:val="00944C36"/>
    <w:rsid w:val="00944CDA"/>
    <w:rsid w:val="00944DCC"/>
    <w:rsid w:val="009450A0"/>
    <w:rsid w:val="00945126"/>
    <w:rsid w:val="00945199"/>
    <w:rsid w:val="00945219"/>
    <w:rsid w:val="0094528E"/>
    <w:rsid w:val="00945324"/>
    <w:rsid w:val="00945488"/>
    <w:rsid w:val="009454BF"/>
    <w:rsid w:val="00945707"/>
    <w:rsid w:val="00945821"/>
    <w:rsid w:val="0094592D"/>
    <w:rsid w:val="00945ABE"/>
    <w:rsid w:val="00945B26"/>
    <w:rsid w:val="00945B3E"/>
    <w:rsid w:val="00945B5D"/>
    <w:rsid w:val="00945BA5"/>
    <w:rsid w:val="00945BCA"/>
    <w:rsid w:val="00945C06"/>
    <w:rsid w:val="00945CCA"/>
    <w:rsid w:val="00945CD1"/>
    <w:rsid w:val="00945D7A"/>
    <w:rsid w:val="00945DBC"/>
    <w:rsid w:val="00945DF6"/>
    <w:rsid w:val="00945E04"/>
    <w:rsid w:val="00945E65"/>
    <w:rsid w:val="00945E78"/>
    <w:rsid w:val="00945F26"/>
    <w:rsid w:val="0094600E"/>
    <w:rsid w:val="00946095"/>
    <w:rsid w:val="0094624A"/>
    <w:rsid w:val="009462E1"/>
    <w:rsid w:val="00946413"/>
    <w:rsid w:val="00946454"/>
    <w:rsid w:val="0094645D"/>
    <w:rsid w:val="0094649F"/>
    <w:rsid w:val="00946557"/>
    <w:rsid w:val="00946569"/>
    <w:rsid w:val="009466B1"/>
    <w:rsid w:val="009466CE"/>
    <w:rsid w:val="00946848"/>
    <w:rsid w:val="00946861"/>
    <w:rsid w:val="00946985"/>
    <w:rsid w:val="00946A84"/>
    <w:rsid w:val="00946B70"/>
    <w:rsid w:val="00946D2A"/>
    <w:rsid w:val="00946D8E"/>
    <w:rsid w:val="00946E0C"/>
    <w:rsid w:val="00946E8C"/>
    <w:rsid w:val="0094706B"/>
    <w:rsid w:val="00947087"/>
    <w:rsid w:val="00947249"/>
    <w:rsid w:val="0094727C"/>
    <w:rsid w:val="009472AB"/>
    <w:rsid w:val="00947470"/>
    <w:rsid w:val="0094750F"/>
    <w:rsid w:val="009475A6"/>
    <w:rsid w:val="009475E8"/>
    <w:rsid w:val="0094767A"/>
    <w:rsid w:val="0094774C"/>
    <w:rsid w:val="00947814"/>
    <w:rsid w:val="0094786E"/>
    <w:rsid w:val="009478AF"/>
    <w:rsid w:val="00947AA0"/>
    <w:rsid w:val="00947D0E"/>
    <w:rsid w:val="00947D69"/>
    <w:rsid w:val="00947DE8"/>
    <w:rsid w:val="00947E55"/>
    <w:rsid w:val="0095004F"/>
    <w:rsid w:val="00950093"/>
    <w:rsid w:val="00950259"/>
    <w:rsid w:val="00950271"/>
    <w:rsid w:val="009502DA"/>
    <w:rsid w:val="00950348"/>
    <w:rsid w:val="00950400"/>
    <w:rsid w:val="00950B6E"/>
    <w:rsid w:val="00950BD0"/>
    <w:rsid w:val="00950C0C"/>
    <w:rsid w:val="00950D75"/>
    <w:rsid w:val="00950F0E"/>
    <w:rsid w:val="00950F23"/>
    <w:rsid w:val="00950F73"/>
    <w:rsid w:val="00950F8E"/>
    <w:rsid w:val="00951101"/>
    <w:rsid w:val="00951160"/>
    <w:rsid w:val="00951193"/>
    <w:rsid w:val="009511A4"/>
    <w:rsid w:val="009511AC"/>
    <w:rsid w:val="00951286"/>
    <w:rsid w:val="009512C2"/>
    <w:rsid w:val="009513E5"/>
    <w:rsid w:val="009513F9"/>
    <w:rsid w:val="009513FC"/>
    <w:rsid w:val="00951431"/>
    <w:rsid w:val="009515D1"/>
    <w:rsid w:val="009515D5"/>
    <w:rsid w:val="00951733"/>
    <w:rsid w:val="00951750"/>
    <w:rsid w:val="0095187E"/>
    <w:rsid w:val="009519AA"/>
    <w:rsid w:val="009519B8"/>
    <w:rsid w:val="00951A45"/>
    <w:rsid w:val="00951B51"/>
    <w:rsid w:val="00951C54"/>
    <w:rsid w:val="00951D8B"/>
    <w:rsid w:val="00951DFA"/>
    <w:rsid w:val="00951EEA"/>
    <w:rsid w:val="00952079"/>
    <w:rsid w:val="00952102"/>
    <w:rsid w:val="00952134"/>
    <w:rsid w:val="00952381"/>
    <w:rsid w:val="00952413"/>
    <w:rsid w:val="009526C0"/>
    <w:rsid w:val="0095279B"/>
    <w:rsid w:val="009527BA"/>
    <w:rsid w:val="009529AB"/>
    <w:rsid w:val="00952A0D"/>
    <w:rsid w:val="00952A76"/>
    <w:rsid w:val="00952C86"/>
    <w:rsid w:val="00952CA5"/>
    <w:rsid w:val="00952CD9"/>
    <w:rsid w:val="00952DBA"/>
    <w:rsid w:val="0095311E"/>
    <w:rsid w:val="00953191"/>
    <w:rsid w:val="0095319B"/>
    <w:rsid w:val="009531C5"/>
    <w:rsid w:val="009532B4"/>
    <w:rsid w:val="009534C3"/>
    <w:rsid w:val="00953530"/>
    <w:rsid w:val="0095375E"/>
    <w:rsid w:val="009537E0"/>
    <w:rsid w:val="00953A9D"/>
    <w:rsid w:val="00953AA9"/>
    <w:rsid w:val="00953B5B"/>
    <w:rsid w:val="00953B63"/>
    <w:rsid w:val="00953B7B"/>
    <w:rsid w:val="00953B9E"/>
    <w:rsid w:val="00953CDE"/>
    <w:rsid w:val="00953D59"/>
    <w:rsid w:val="00953EF7"/>
    <w:rsid w:val="00953FA4"/>
    <w:rsid w:val="00953FD6"/>
    <w:rsid w:val="00953FD8"/>
    <w:rsid w:val="00954131"/>
    <w:rsid w:val="00954177"/>
    <w:rsid w:val="009542BD"/>
    <w:rsid w:val="00954428"/>
    <w:rsid w:val="0095444B"/>
    <w:rsid w:val="009544E1"/>
    <w:rsid w:val="0095452D"/>
    <w:rsid w:val="00954626"/>
    <w:rsid w:val="009546DF"/>
    <w:rsid w:val="009547D1"/>
    <w:rsid w:val="00954979"/>
    <w:rsid w:val="009549B5"/>
    <w:rsid w:val="00954A0A"/>
    <w:rsid w:val="00954BF5"/>
    <w:rsid w:val="00954C1F"/>
    <w:rsid w:val="00954C5C"/>
    <w:rsid w:val="00954CB3"/>
    <w:rsid w:val="00954D0B"/>
    <w:rsid w:val="00954E9C"/>
    <w:rsid w:val="00954F10"/>
    <w:rsid w:val="00954F50"/>
    <w:rsid w:val="00954F64"/>
    <w:rsid w:val="00954FA3"/>
    <w:rsid w:val="009551DE"/>
    <w:rsid w:val="009551F7"/>
    <w:rsid w:val="0095523E"/>
    <w:rsid w:val="0095525A"/>
    <w:rsid w:val="009552E3"/>
    <w:rsid w:val="009554BE"/>
    <w:rsid w:val="009554F4"/>
    <w:rsid w:val="0095561B"/>
    <w:rsid w:val="00955659"/>
    <w:rsid w:val="0095566C"/>
    <w:rsid w:val="00955676"/>
    <w:rsid w:val="00955B6F"/>
    <w:rsid w:val="00955BAD"/>
    <w:rsid w:val="00955BD5"/>
    <w:rsid w:val="00955C0C"/>
    <w:rsid w:val="00955C37"/>
    <w:rsid w:val="00955C6E"/>
    <w:rsid w:val="00955D2D"/>
    <w:rsid w:val="00955D53"/>
    <w:rsid w:val="00955E03"/>
    <w:rsid w:val="009561D5"/>
    <w:rsid w:val="00956338"/>
    <w:rsid w:val="00956375"/>
    <w:rsid w:val="00956515"/>
    <w:rsid w:val="009565D3"/>
    <w:rsid w:val="009566CD"/>
    <w:rsid w:val="00956748"/>
    <w:rsid w:val="009567EC"/>
    <w:rsid w:val="00956906"/>
    <w:rsid w:val="009569B0"/>
    <w:rsid w:val="009569B5"/>
    <w:rsid w:val="00956A89"/>
    <w:rsid w:val="00956BD9"/>
    <w:rsid w:val="00956BDE"/>
    <w:rsid w:val="00956C8C"/>
    <w:rsid w:val="00956FD9"/>
    <w:rsid w:val="00957153"/>
    <w:rsid w:val="009571C8"/>
    <w:rsid w:val="009572D4"/>
    <w:rsid w:val="0095746D"/>
    <w:rsid w:val="0095754B"/>
    <w:rsid w:val="009575AD"/>
    <w:rsid w:val="009575E7"/>
    <w:rsid w:val="00957897"/>
    <w:rsid w:val="00957953"/>
    <w:rsid w:val="009579ED"/>
    <w:rsid w:val="00957B1C"/>
    <w:rsid w:val="00957D23"/>
    <w:rsid w:val="00957D28"/>
    <w:rsid w:val="00957D40"/>
    <w:rsid w:val="00957E10"/>
    <w:rsid w:val="00957ECC"/>
    <w:rsid w:val="00957FEF"/>
    <w:rsid w:val="0096005A"/>
    <w:rsid w:val="00960198"/>
    <w:rsid w:val="00960245"/>
    <w:rsid w:val="00960278"/>
    <w:rsid w:val="0096028C"/>
    <w:rsid w:val="00960292"/>
    <w:rsid w:val="00960331"/>
    <w:rsid w:val="0096041F"/>
    <w:rsid w:val="009604C6"/>
    <w:rsid w:val="00960535"/>
    <w:rsid w:val="009605F6"/>
    <w:rsid w:val="009606B3"/>
    <w:rsid w:val="009606C2"/>
    <w:rsid w:val="0096075D"/>
    <w:rsid w:val="009607CB"/>
    <w:rsid w:val="00960811"/>
    <w:rsid w:val="00960C5C"/>
    <w:rsid w:val="00960CBB"/>
    <w:rsid w:val="00960D91"/>
    <w:rsid w:val="00960D95"/>
    <w:rsid w:val="00960E55"/>
    <w:rsid w:val="00960E87"/>
    <w:rsid w:val="00960FF1"/>
    <w:rsid w:val="0096119D"/>
    <w:rsid w:val="009611C6"/>
    <w:rsid w:val="009612EB"/>
    <w:rsid w:val="00961501"/>
    <w:rsid w:val="00961549"/>
    <w:rsid w:val="00961683"/>
    <w:rsid w:val="00961695"/>
    <w:rsid w:val="009617CD"/>
    <w:rsid w:val="009618D1"/>
    <w:rsid w:val="00961969"/>
    <w:rsid w:val="00961A05"/>
    <w:rsid w:val="00961A52"/>
    <w:rsid w:val="00961B3E"/>
    <w:rsid w:val="00961DB9"/>
    <w:rsid w:val="00961F58"/>
    <w:rsid w:val="0096214A"/>
    <w:rsid w:val="00962189"/>
    <w:rsid w:val="0096224E"/>
    <w:rsid w:val="0096225B"/>
    <w:rsid w:val="009622D9"/>
    <w:rsid w:val="009623C2"/>
    <w:rsid w:val="0096255A"/>
    <w:rsid w:val="0096261F"/>
    <w:rsid w:val="00962668"/>
    <w:rsid w:val="009626B8"/>
    <w:rsid w:val="00962866"/>
    <w:rsid w:val="00962884"/>
    <w:rsid w:val="009629F1"/>
    <w:rsid w:val="00962A95"/>
    <w:rsid w:val="00962AC7"/>
    <w:rsid w:val="00962B23"/>
    <w:rsid w:val="00962B36"/>
    <w:rsid w:val="00962BAA"/>
    <w:rsid w:val="00962C23"/>
    <w:rsid w:val="00962D31"/>
    <w:rsid w:val="00962D38"/>
    <w:rsid w:val="00962D51"/>
    <w:rsid w:val="00962DD5"/>
    <w:rsid w:val="00962EA0"/>
    <w:rsid w:val="00962F49"/>
    <w:rsid w:val="00962F56"/>
    <w:rsid w:val="00963069"/>
    <w:rsid w:val="0096314F"/>
    <w:rsid w:val="009631A4"/>
    <w:rsid w:val="00963247"/>
    <w:rsid w:val="00963279"/>
    <w:rsid w:val="009632DD"/>
    <w:rsid w:val="009632FB"/>
    <w:rsid w:val="00963332"/>
    <w:rsid w:val="0096346C"/>
    <w:rsid w:val="009634F6"/>
    <w:rsid w:val="009635D5"/>
    <w:rsid w:val="009635EA"/>
    <w:rsid w:val="0096379C"/>
    <w:rsid w:val="0096381F"/>
    <w:rsid w:val="00963834"/>
    <w:rsid w:val="0096387D"/>
    <w:rsid w:val="009639D4"/>
    <w:rsid w:val="00963B4C"/>
    <w:rsid w:val="00963BDE"/>
    <w:rsid w:val="00963CAA"/>
    <w:rsid w:val="00963CDE"/>
    <w:rsid w:val="00963E4B"/>
    <w:rsid w:val="00963F77"/>
    <w:rsid w:val="009640E1"/>
    <w:rsid w:val="009640EC"/>
    <w:rsid w:val="00964177"/>
    <w:rsid w:val="0096424D"/>
    <w:rsid w:val="009642BB"/>
    <w:rsid w:val="00964369"/>
    <w:rsid w:val="009643D6"/>
    <w:rsid w:val="00964410"/>
    <w:rsid w:val="0096450B"/>
    <w:rsid w:val="0096466A"/>
    <w:rsid w:val="00964680"/>
    <w:rsid w:val="0096481F"/>
    <w:rsid w:val="00964889"/>
    <w:rsid w:val="009648E9"/>
    <w:rsid w:val="009649BB"/>
    <w:rsid w:val="00964A9E"/>
    <w:rsid w:val="00964ACB"/>
    <w:rsid w:val="00964BA8"/>
    <w:rsid w:val="00964C45"/>
    <w:rsid w:val="00964C48"/>
    <w:rsid w:val="00964CAC"/>
    <w:rsid w:val="00964ED0"/>
    <w:rsid w:val="00964F10"/>
    <w:rsid w:val="00964F13"/>
    <w:rsid w:val="00964F43"/>
    <w:rsid w:val="00964F7F"/>
    <w:rsid w:val="00964FB0"/>
    <w:rsid w:val="009652A1"/>
    <w:rsid w:val="00965494"/>
    <w:rsid w:val="00965557"/>
    <w:rsid w:val="009655AC"/>
    <w:rsid w:val="009655EB"/>
    <w:rsid w:val="009655FC"/>
    <w:rsid w:val="0096576C"/>
    <w:rsid w:val="009657FB"/>
    <w:rsid w:val="00965886"/>
    <w:rsid w:val="009658F3"/>
    <w:rsid w:val="0096593E"/>
    <w:rsid w:val="00965941"/>
    <w:rsid w:val="009659BD"/>
    <w:rsid w:val="00965E47"/>
    <w:rsid w:val="00965E9E"/>
    <w:rsid w:val="00965EB5"/>
    <w:rsid w:val="00965F29"/>
    <w:rsid w:val="00965F7A"/>
    <w:rsid w:val="00965FA8"/>
    <w:rsid w:val="00966033"/>
    <w:rsid w:val="009661B2"/>
    <w:rsid w:val="00966222"/>
    <w:rsid w:val="009662D2"/>
    <w:rsid w:val="009662ED"/>
    <w:rsid w:val="0096630D"/>
    <w:rsid w:val="009663C5"/>
    <w:rsid w:val="00966456"/>
    <w:rsid w:val="00966476"/>
    <w:rsid w:val="0096649C"/>
    <w:rsid w:val="0096662C"/>
    <w:rsid w:val="009666D3"/>
    <w:rsid w:val="0096672C"/>
    <w:rsid w:val="0096675F"/>
    <w:rsid w:val="00966778"/>
    <w:rsid w:val="0096682B"/>
    <w:rsid w:val="009669AF"/>
    <w:rsid w:val="00966A5F"/>
    <w:rsid w:val="00966B55"/>
    <w:rsid w:val="00966F8D"/>
    <w:rsid w:val="00966FD8"/>
    <w:rsid w:val="0096703D"/>
    <w:rsid w:val="00967045"/>
    <w:rsid w:val="00967123"/>
    <w:rsid w:val="0096713E"/>
    <w:rsid w:val="009671B6"/>
    <w:rsid w:val="00967259"/>
    <w:rsid w:val="0096726E"/>
    <w:rsid w:val="009673F9"/>
    <w:rsid w:val="0096744E"/>
    <w:rsid w:val="009675B8"/>
    <w:rsid w:val="009675C0"/>
    <w:rsid w:val="00967816"/>
    <w:rsid w:val="00967865"/>
    <w:rsid w:val="009679DB"/>
    <w:rsid w:val="00967A79"/>
    <w:rsid w:val="00967B04"/>
    <w:rsid w:val="00967C06"/>
    <w:rsid w:val="00967C97"/>
    <w:rsid w:val="00967D5E"/>
    <w:rsid w:val="00967D94"/>
    <w:rsid w:val="00967F2B"/>
    <w:rsid w:val="00967F4A"/>
    <w:rsid w:val="00967FB0"/>
    <w:rsid w:val="00967FBA"/>
    <w:rsid w:val="0097010A"/>
    <w:rsid w:val="0097010D"/>
    <w:rsid w:val="00970172"/>
    <w:rsid w:val="0097025A"/>
    <w:rsid w:val="00970376"/>
    <w:rsid w:val="0097042D"/>
    <w:rsid w:val="00970698"/>
    <w:rsid w:val="0097071B"/>
    <w:rsid w:val="0097072E"/>
    <w:rsid w:val="009707D8"/>
    <w:rsid w:val="00970810"/>
    <w:rsid w:val="00970901"/>
    <w:rsid w:val="0097094D"/>
    <w:rsid w:val="00970AED"/>
    <w:rsid w:val="00970B20"/>
    <w:rsid w:val="00970EEF"/>
    <w:rsid w:val="00970F3A"/>
    <w:rsid w:val="00971021"/>
    <w:rsid w:val="0097109E"/>
    <w:rsid w:val="009710C4"/>
    <w:rsid w:val="00971170"/>
    <w:rsid w:val="009711C0"/>
    <w:rsid w:val="00971253"/>
    <w:rsid w:val="00971266"/>
    <w:rsid w:val="00971305"/>
    <w:rsid w:val="009713F2"/>
    <w:rsid w:val="0097151F"/>
    <w:rsid w:val="00971522"/>
    <w:rsid w:val="009715A3"/>
    <w:rsid w:val="009716D4"/>
    <w:rsid w:val="009717CB"/>
    <w:rsid w:val="009717E7"/>
    <w:rsid w:val="009719E2"/>
    <w:rsid w:val="00971D4B"/>
    <w:rsid w:val="00971DD6"/>
    <w:rsid w:val="00971FBF"/>
    <w:rsid w:val="009720E3"/>
    <w:rsid w:val="0097219A"/>
    <w:rsid w:val="0097243C"/>
    <w:rsid w:val="009724DA"/>
    <w:rsid w:val="009726EA"/>
    <w:rsid w:val="0097273D"/>
    <w:rsid w:val="009729C6"/>
    <w:rsid w:val="00972A12"/>
    <w:rsid w:val="00972B1A"/>
    <w:rsid w:val="00972B3D"/>
    <w:rsid w:val="00972B43"/>
    <w:rsid w:val="00972B4E"/>
    <w:rsid w:val="00972C9D"/>
    <w:rsid w:val="00972D3C"/>
    <w:rsid w:val="00972E90"/>
    <w:rsid w:val="00972F34"/>
    <w:rsid w:val="00973093"/>
    <w:rsid w:val="00973134"/>
    <w:rsid w:val="00973153"/>
    <w:rsid w:val="00973204"/>
    <w:rsid w:val="0097330B"/>
    <w:rsid w:val="00973346"/>
    <w:rsid w:val="0097334A"/>
    <w:rsid w:val="00973378"/>
    <w:rsid w:val="00973491"/>
    <w:rsid w:val="009734C2"/>
    <w:rsid w:val="009735AF"/>
    <w:rsid w:val="00973664"/>
    <w:rsid w:val="009736EC"/>
    <w:rsid w:val="0097370B"/>
    <w:rsid w:val="00973C0C"/>
    <w:rsid w:val="00973DAA"/>
    <w:rsid w:val="00973DB1"/>
    <w:rsid w:val="00973DEA"/>
    <w:rsid w:val="00973F31"/>
    <w:rsid w:val="00973F4E"/>
    <w:rsid w:val="00974025"/>
    <w:rsid w:val="009740A9"/>
    <w:rsid w:val="009740BD"/>
    <w:rsid w:val="009740D8"/>
    <w:rsid w:val="00974121"/>
    <w:rsid w:val="00974169"/>
    <w:rsid w:val="009741B5"/>
    <w:rsid w:val="00974258"/>
    <w:rsid w:val="00974298"/>
    <w:rsid w:val="0097440B"/>
    <w:rsid w:val="0097449D"/>
    <w:rsid w:val="00974556"/>
    <w:rsid w:val="0097458B"/>
    <w:rsid w:val="00974668"/>
    <w:rsid w:val="0097488B"/>
    <w:rsid w:val="0097490F"/>
    <w:rsid w:val="00974C2F"/>
    <w:rsid w:val="00974E31"/>
    <w:rsid w:val="00974E94"/>
    <w:rsid w:val="00974EA2"/>
    <w:rsid w:val="00974EEB"/>
    <w:rsid w:val="00974FB1"/>
    <w:rsid w:val="009750F0"/>
    <w:rsid w:val="009753AA"/>
    <w:rsid w:val="009756D3"/>
    <w:rsid w:val="0097572C"/>
    <w:rsid w:val="0097572E"/>
    <w:rsid w:val="009757AF"/>
    <w:rsid w:val="009757CF"/>
    <w:rsid w:val="0097584E"/>
    <w:rsid w:val="00975862"/>
    <w:rsid w:val="009758CC"/>
    <w:rsid w:val="00975927"/>
    <w:rsid w:val="00975C17"/>
    <w:rsid w:val="00975E28"/>
    <w:rsid w:val="00975E4F"/>
    <w:rsid w:val="00975FA6"/>
    <w:rsid w:val="00975FB3"/>
    <w:rsid w:val="00975FF1"/>
    <w:rsid w:val="00976036"/>
    <w:rsid w:val="009760D4"/>
    <w:rsid w:val="00976275"/>
    <w:rsid w:val="00976674"/>
    <w:rsid w:val="0097676C"/>
    <w:rsid w:val="00976782"/>
    <w:rsid w:val="0097682A"/>
    <w:rsid w:val="0097688C"/>
    <w:rsid w:val="00976A11"/>
    <w:rsid w:val="00976A48"/>
    <w:rsid w:val="00976ACA"/>
    <w:rsid w:val="00976B7C"/>
    <w:rsid w:val="00976B80"/>
    <w:rsid w:val="00976D13"/>
    <w:rsid w:val="00976D48"/>
    <w:rsid w:val="00976D69"/>
    <w:rsid w:val="00976D86"/>
    <w:rsid w:val="00976DA4"/>
    <w:rsid w:val="00976F08"/>
    <w:rsid w:val="00976F0D"/>
    <w:rsid w:val="00976F89"/>
    <w:rsid w:val="00976FC4"/>
    <w:rsid w:val="009770BA"/>
    <w:rsid w:val="009771D7"/>
    <w:rsid w:val="009771EB"/>
    <w:rsid w:val="0097731C"/>
    <w:rsid w:val="00977324"/>
    <w:rsid w:val="00977359"/>
    <w:rsid w:val="00977387"/>
    <w:rsid w:val="0097742B"/>
    <w:rsid w:val="009774AA"/>
    <w:rsid w:val="0097760B"/>
    <w:rsid w:val="0097760C"/>
    <w:rsid w:val="00977759"/>
    <w:rsid w:val="009777B6"/>
    <w:rsid w:val="0097799A"/>
    <w:rsid w:val="009779EE"/>
    <w:rsid w:val="00977B8A"/>
    <w:rsid w:val="00977C28"/>
    <w:rsid w:val="00977C5A"/>
    <w:rsid w:val="00977CEA"/>
    <w:rsid w:val="00977D4C"/>
    <w:rsid w:val="00977DA0"/>
    <w:rsid w:val="00977E2D"/>
    <w:rsid w:val="00977EA7"/>
    <w:rsid w:val="00977F4D"/>
    <w:rsid w:val="00980071"/>
    <w:rsid w:val="00980089"/>
    <w:rsid w:val="009800CD"/>
    <w:rsid w:val="00980182"/>
    <w:rsid w:val="00980193"/>
    <w:rsid w:val="009801BF"/>
    <w:rsid w:val="0098027F"/>
    <w:rsid w:val="009802BC"/>
    <w:rsid w:val="00980374"/>
    <w:rsid w:val="009809AB"/>
    <w:rsid w:val="00980B03"/>
    <w:rsid w:val="00980BAD"/>
    <w:rsid w:val="00980CA8"/>
    <w:rsid w:val="00980E04"/>
    <w:rsid w:val="00980EE6"/>
    <w:rsid w:val="00980F5C"/>
    <w:rsid w:val="00980FB1"/>
    <w:rsid w:val="00981019"/>
    <w:rsid w:val="00981043"/>
    <w:rsid w:val="0098113C"/>
    <w:rsid w:val="009811F1"/>
    <w:rsid w:val="00981294"/>
    <w:rsid w:val="00981369"/>
    <w:rsid w:val="00981386"/>
    <w:rsid w:val="00981493"/>
    <w:rsid w:val="0098153D"/>
    <w:rsid w:val="0098160B"/>
    <w:rsid w:val="00981619"/>
    <w:rsid w:val="0098167E"/>
    <w:rsid w:val="009816FF"/>
    <w:rsid w:val="00981734"/>
    <w:rsid w:val="0098177B"/>
    <w:rsid w:val="0098180A"/>
    <w:rsid w:val="0098190A"/>
    <w:rsid w:val="00981AC3"/>
    <w:rsid w:val="00981B8F"/>
    <w:rsid w:val="00981B93"/>
    <w:rsid w:val="00981D2E"/>
    <w:rsid w:val="00981D6D"/>
    <w:rsid w:val="00981EBA"/>
    <w:rsid w:val="00981EC3"/>
    <w:rsid w:val="00981EF3"/>
    <w:rsid w:val="00981F7B"/>
    <w:rsid w:val="00981F84"/>
    <w:rsid w:val="00982100"/>
    <w:rsid w:val="0098222F"/>
    <w:rsid w:val="009822DA"/>
    <w:rsid w:val="009823E6"/>
    <w:rsid w:val="009823FF"/>
    <w:rsid w:val="009824C2"/>
    <w:rsid w:val="00982527"/>
    <w:rsid w:val="00982557"/>
    <w:rsid w:val="0098264C"/>
    <w:rsid w:val="00982700"/>
    <w:rsid w:val="00982882"/>
    <w:rsid w:val="00982A3F"/>
    <w:rsid w:val="00982A69"/>
    <w:rsid w:val="009830A5"/>
    <w:rsid w:val="00983166"/>
    <w:rsid w:val="0098333E"/>
    <w:rsid w:val="009834AE"/>
    <w:rsid w:val="009834B9"/>
    <w:rsid w:val="009834EE"/>
    <w:rsid w:val="009835C0"/>
    <w:rsid w:val="0098376A"/>
    <w:rsid w:val="0098387D"/>
    <w:rsid w:val="009839DD"/>
    <w:rsid w:val="00983C32"/>
    <w:rsid w:val="00983C40"/>
    <w:rsid w:val="00983C88"/>
    <w:rsid w:val="00983D42"/>
    <w:rsid w:val="00983D4A"/>
    <w:rsid w:val="00983E56"/>
    <w:rsid w:val="00984058"/>
    <w:rsid w:val="009840CE"/>
    <w:rsid w:val="0098440B"/>
    <w:rsid w:val="0098447E"/>
    <w:rsid w:val="009845D1"/>
    <w:rsid w:val="00984733"/>
    <w:rsid w:val="009847B3"/>
    <w:rsid w:val="0098499C"/>
    <w:rsid w:val="00984B5E"/>
    <w:rsid w:val="00984B7C"/>
    <w:rsid w:val="00984D35"/>
    <w:rsid w:val="00984D78"/>
    <w:rsid w:val="00984E1F"/>
    <w:rsid w:val="00984F2A"/>
    <w:rsid w:val="00984F4F"/>
    <w:rsid w:val="00984FDD"/>
    <w:rsid w:val="00985018"/>
    <w:rsid w:val="00985142"/>
    <w:rsid w:val="009851FD"/>
    <w:rsid w:val="009852BC"/>
    <w:rsid w:val="009853E8"/>
    <w:rsid w:val="00985659"/>
    <w:rsid w:val="009857F2"/>
    <w:rsid w:val="00985866"/>
    <w:rsid w:val="009858E2"/>
    <w:rsid w:val="00985967"/>
    <w:rsid w:val="009859A2"/>
    <w:rsid w:val="009859AA"/>
    <w:rsid w:val="009859AE"/>
    <w:rsid w:val="00985BA1"/>
    <w:rsid w:val="00985C0C"/>
    <w:rsid w:val="00985C38"/>
    <w:rsid w:val="00985CC5"/>
    <w:rsid w:val="00985D99"/>
    <w:rsid w:val="00985DB7"/>
    <w:rsid w:val="00985FC1"/>
    <w:rsid w:val="00986158"/>
    <w:rsid w:val="0098616C"/>
    <w:rsid w:val="009861BB"/>
    <w:rsid w:val="0098620E"/>
    <w:rsid w:val="009862A6"/>
    <w:rsid w:val="00986306"/>
    <w:rsid w:val="0098636B"/>
    <w:rsid w:val="009863D8"/>
    <w:rsid w:val="00986449"/>
    <w:rsid w:val="0098651F"/>
    <w:rsid w:val="00986637"/>
    <w:rsid w:val="0098672F"/>
    <w:rsid w:val="0098678D"/>
    <w:rsid w:val="009867E7"/>
    <w:rsid w:val="009867E8"/>
    <w:rsid w:val="00986803"/>
    <w:rsid w:val="0098684F"/>
    <w:rsid w:val="00986930"/>
    <w:rsid w:val="0098694D"/>
    <w:rsid w:val="0098696A"/>
    <w:rsid w:val="0098696E"/>
    <w:rsid w:val="0098697A"/>
    <w:rsid w:val="009869C2"/>
    <w:rsid w:val="009869F0"/>
    <w:rsid w:val="00986A94"/>
    <w:rsid w:val="00986AF0"/>
    <w:rsid w:val="00986CC0"/>
    <w:rsid w:val="00986E9F"/>
    <w:rsid w:val="00986FF1"/>
    <w:rsid w:val="0098707A"/>
    <w:rsid w:val="009870DB"/>
    <w:rsid w:val="0098712A"/>
    <w:rsid w:val="00987198"/>
    <w:rsid w:val="009871C8"/>
    <w:rsid w:val="009874B7"/>
    <w:rsid w:val="009875A4"/>
    <w:rsid w:val="00987600"/>
    <w:rsid w:val="00987846"/>
    <w:rsid w:val="009878C6"/>
    <w:rsid w:val="009878D0"/>
    <w:rsid w:val="00987A50"/>
    <w:rsid w:val="00987A68"/>
    <w:rsid w:val="00987ABF"/>
    <w:rsid w:val="00987B01"/>
    <w:rsid w:val="00987BE9"/>
    <w:rsid w:val="00987C93"/>
    <w:rsid w:val="00987CD5"/>
    <w:rsid w:val="00987D1F"/>
    <w:rsid w:val="00987DA4"/>
    <w:rsid w:val="009900A3"/>
    <w:rsid w:val="009900B8"/>
    <w:rsid w:val="009900EB"/>
    <w:rsid w:val="0099014E"/>
    <w:rsid w:val="0099025E"/>
    <w:rsid w:val="00990276"/>
    <w:rsid w:val="00990436"/>
    <w:rsid w:val="00990492"/>
    <w:rsid w:val="009904A7"/>
    <w:rsid w:val="009904D2"/>
    <w:rsid w:val="00990509"/>
    <w:rsid w:val="00990535"/>
    <w:rsid w:val="009905C8"/>
    <w:rsid w:val="009905FB"/>
    <w:rsid w:val="00990614"/>
    <w:rsid w:val="00990684"/>
    <w:rsid w:val="009906E5"/>
    <w:rsid w:val="0099076F"/>
    <w:rsid w:val="00990791"/>
    <w:rsid w:val="009908C7"/>
    <w:rsid w:val="00990A82"/>
    <w:rsid w:val="00990BF6"/>
    <w:rsid w:val="00990BF8"/>
    <w:rsid w:val="00990D2D"/>
    <w:rsid w:val="00990E4B"/>
    <w:rsid w:val="00990EA5"/>
    <w:rsid w:val="0099103F"/>
    <w:rsid w:val="00991079"/>
    <w:rsid w:val="0099109F"/>
    <w:rsid w:val="00991258"/>
    <w:rsid w:val="00991290"/>
    <w:rsid w:val="009912EF"/>
    <w:rsid w:val="00991342"/>
    <w:rsid w:val="0099135D"/>
    <w:rsid w:val="00991486"/>
    <w:rsid w:val="0099178C"/>
    <w:rsid w:val="009917F6"/>
    <w:rsid w:val="0099180B"/>
    <w:rsid w:val="0099186B"/>
    <w:rsid w:val="00991979"/>
    <w:rsid w:val="00991B05"/>
    <w:rsid w:val="00991BB8"/>
    <w:rsid w:val="00991BCF"/>
    <w:rsid w:val="00991D23"/>
    <w:rsid w:val="00991D76"/>
    <w:rsid w:val="00991D81"/>
    <w:rsid w:val="00991EF5"/>
    <w:rsid w:val="00991F32"/>
    <w:rsid w:val="00991FE1"/>
    <w:rsid w:val="0099200F"/>
    <w:rsid w:val="009920C7"/>
    <w:rsid w:val="009921CB"/>
    <w:rsid w:val="009922B2"/>
    <w:rsid w:val="0099236A"/>
    <w:rsid w:val="009925BA"/>
    <w:rsid w:val="009925BC"/>
    <w:rsid w:val="0099260F"/>
    <w:rsid w:val="0099268E"/>
    <w:rsid w:val="0099273D"/>
    <w:rsid w:val="0099274B"/>
    <w:rsid w:val="0099275C"/>
    <w:rsid w:val="00992775"/>
    <w:rsid w:val="009927B8"/>
    <w:rsid w:val="00992806"/>
    <w:rsid w:val="0099282C"/>
    <w:rsid w:val="009928D0"/>
    <w:rsid w:val="00992AA6"/>
    <w:rsid w:val="00992C4E"/>
    <w:rsid w:val="00992CE7"/>
    <w:rsid w:val="00992D3D"/>
    <w:rsid w:val="00992D7D"/>
    <w:rsid w:val="00992D8E"/>
    <w:rsid w:val="00992E1D"/>
    <w:rsid w:val="00992EE7"/>
    <w:rsid w:val="00992EFA"/>
    <w:rsid w:val="00992FA1"/>
    <w:rsid w:val="009930D1"/>
    <w:rsid w:val="00993181"/>
    <w:rsid w:val="009931BF"/>
    <w:rsid w:val="009931F8"/>
    <w:rsid w:val="00993219"/>
    <w:rsid w:val="00993260"/>
    <w:rsid w:val="00993340"/>
    <w:rsid w:val="00993402"/>
    <w:rsid w:val="009934BE"/>
    <w:rsid w:val="0099359E"/>
    <w:rsid w:val="009935D5"/>
    <w:rsid w:val="00993703"/>
    <w:rsid w:val="009938B7"/>
    <w:rsid w:val="009939B4"/>
    <w:rsid w:val="00993A23"/>
    <w:rsid w:val="00993A92"/>
    <w:rsid w:val="00993B86"/>
    <w:rsid w:val="00993BAA"/>
    <w:rsid w:val="00993BE7"/>
    <w:rsid w:val="00993BEC"/>
    <w:rsid w:val="00993C0F"/>
    <w:rsid w:val="00993C55"/>
    <w:rsid w:val="00993D08"/>
    <w:rsid w:val="00993DE4"/>
    <w:rsid w:val="00993E39"/>
    <w:rsid w:val="00993EE0"/>
    <w:rsid w:val="00993F47"/>
    <w:rsid w:val="00993F4A"/>
    <w:rsid w:val="0099405D"/>
    <w:rsid w:val="00994094"/>
    <w:rsid w:val="00994232"/>
    <w:rsid w:val="0099427E"/>
    <w:rsid w:val="0099428B"/>
    <w:rsid w:val="009942BD"/>
    <w:rsid w:val="009942E9"/>
    <w:rsid w:val="0099441B"/>
    <w:rsid w:val="00994523"/>
    <w:rsid w:val="009946CB"/>
    <w:rsid w:val="0099472C"/>
    <w:rsid w:val="00994750"/>
    <w:rsid w:val="009947CA"/>
    <w:rsid w:val="00994843"/>
    <w:rsid w:val="009948DC"/>
    <w:rsid w:val="0099492D"/>
    <w:rsid w:val="00994A42"/>
    <w:rsid w:val="00994BC8"/>
    <w:rsid w:val="00994BE1"/>
    <w:rsid w:val="00994C73"/>
    <w:rsid w:val="00994DED"/>
    <w:rsid w:val="00994E10"/>
    <w:rsid w:val="00994E9F"/>
    <w:rsid w:val="00994EEE"/>
    <w:rsid w:val="00994EF6"/>
    <w:rsid w:val="00994F59"/>
    <w:rsid w:val="00994F6D"/>
    <w:rsid w:val="00995010"/>
    <w:rsid w:val="00995021"/>
    <w:rsid w:val="00995102"/>
    <w:rsid w:val="00995179"/>
    <w:rsid w:val="0099543B"/>
    <w:rsid w:val="00995632"/>
    <w:rsid w:val="00995641"/>
    <w:rsid w:val="00995685"/>
    <w:rsid w:val="009956F7"/>
    <w:rsid w:val="00995703"/>
    <w:rsid w:val="009957AB"/>
    <w:rsid w:val="00995837"/>
    <w:rsid w:val="009958CA"/>
    <w:rsid w:val="00995939"/>
    <w:rsid w:val="00995985"/>
    <w:rsid w:val="009959E3"/>
    <w:rsid w:val="00995A6D"/>
    <w:rsid w:val="00995B00"/>
    <w:rsid w:val="00995D08"/>
    <w:rsid w:val="00995D27"/>
    <w:rsid w:val="00995E2B"/>
    <w:rsid w:val="00995E6C"/>
    <w:rsid w:val="00995FB4"/>
    <w:rsid w:val="00996018"/>
    <w:rsid w:val="009962CA"/>
    <w:rsid w:val="00996375"/>
    <w:rsid w:val="00996499"/>
    <w:rsid w:val="009965B2"/>
    <w:rsid w:val="009965B7"/>
    <w:rsid w:val="00996664"/>
    <w:rsid w:val="00996717"/>
    <w:rsid w:val="0099671F"/>
    <w:rsid w:val="00996772"/>
    <w:rsid w:val="009967E5"/>
    <w:rsid w:val="009968E8"/>
    <w:rsid w:val="0099692D"/>
    <w:rsid w:val="00996C2F"/>
    <w:rsid w:val="00996DD2"/>
    <w:rsid w:val="00996E49"/>
    <w:rsid w:val="00996EC1"/>
    <w:rsid w:val="00996EEC"/>
    <w:rsid w:val="00997059"/>
    <w:rsid w:val="009970D9"/>
    <w:rsid w:val="00997186"/>
    <w:rsid w:val="009971C6"/>
    <w:rsid w:val="00997264"/>
    <w:rsid w:val="009972E8"/>
    <w:rsid w:val="009973A7"/>
    <w:rsid w:val="009973FB"/>
    <w:rsid w:val="00997458"/>
    <w:rsid w:val="009974E7"/>
    <w:rsid w:val="009975D5"/>
    <w:rsid w:val="009975E5"/>
    <w:rsid w:val="009975FD"/>
    <w:rsid w:val="009977F2"/>
    <w:rsid w:val="009977F5"/>
    <w:rsid w:val="00997833"/>
    <w:rsid w:val="00997861"/>
    <w:rsid w:val="009978CD"/>
    <w:rsid w:val="00997971"/>
    <w:rsid w:val="00997A24"/>
    <w:rsid w:val="00997B05"/>
    <w:rsid w:val="00997BD9"/>
    <w:rsid w:val="00997CCB"/>
    <w:rsid w:val="00997CE1"/>
    <w:rsid w:val="00997D89"/>
    <w:rsid w:val="00997E6E"/>
    <w:rsid w:val="00997E87"/>
    <w:rsid w:val="00997FC2"/>
    <w:rsid w:val="009A0099"/>
    <w:rsid w:val="009A0138"/>
    <w:rsid w:val="009A0217"/>
    <w:rsid w:val="009A02A9"/>
    <w:rsid w:val="009A02AB"/>
    <w:rsid w:val="009A02BE"/>
    <w:rsid w:val="009A032E"/>
    <w:rsid w:val="009A0334"/>
    <w:rsid w:val="009A0349"/>
    <w:rsid w:val="009A049C"/>
    <w:rsid w:val="009A0528"/>
    <w:rsid w:val="009A0534"/>
    <w:rsid w:val="009A0611"/>
    <w:rsid w:val="009A06D4"/>
    <w:rsid w:val="009A06F3"/>
    <w:rsid w:val="009A0708"/>
    <w:rsid w:val="009A07EA"/>
    <w:rsid w:val="009A08D8"/>
    <w:rsid w:val="009A0A48"/>
    <w:rsid w:val="009A0B9F"/>
    <w:rsid w:val="009A0BF8"/>
    <w:rsid w:val="009A0C64"/>
    <w:rsid w:val="009A0E82"/>
    <w:rsid w:val="009A0F0B"/>
    <w:rsid w:val="009A0F17"/>
    <w:rsid w:val="009A0F91"/>
    <w:rsid w:val="009A100A"/>
    <w:rsid w:val="009A10FA"/>
    <w:rsid w:val="009A124E"/>
    <w:rsid w:val="009A12B0"/>
    <w:rsid w:val="009A12CB"/>
    <w:rsid w:val="009A12E8"/>
    <w:rsid w:val="009A13E8"/>
    <w:rsid w:val="009A1402"/>
    <w:rsid w:val="009A14E4"/>
    <w:rsid w:val="009A152A"/>
    <w:rsid w:val="009A15CC"/>
    <w:rsid w:val="009A15F9"/>
    <w:rsid w:val="009A1615"/>
    <w:rsid w:val="009A1922"/>
    <w:rsid w:val="009A1AF2"/>
    <w:rsid w:val="009A1B0D"/>
    <w:rsid w:val="009A1B45"/>
    <w:rsid w:val="009A1DFE"/>
    <w:rsid w:val="009A1E9C"/>
    <w:rsid w:val="009A1EB8"/>
    <w:rsid w:val="009A1EDD"/>
    <w:rsid w:val="009A233B"/>
    <w:rsid w:val="009A23D9"/>
    <w:rsid w:val="009A23F5"/>
    <w:rsid w:val="009A2458"/>
    <w:rsid w:val="009A25FB"/>
    <w:rsid w:val="009A260E"/>
    <w:rsid w:val="009A270C"/>
    <w:rsid w:val="009A2C53"/>
    <w:rsid w:val="009A2C95"/>
    <w:rsid w:val="009A2E39"/>
    <w:rsid w:val="009A2EF0"/>
    <w:rsid w:val="009A3010"/>
    <w:rsid w:val="009A32B8"/>
    <w:rsid w:val="009A32BA"/>
    <w:rsid w:val="009A32BE"/>
    <w:rsid w:val="009A3334"/>
    <w:rsid w:val="009A34FA"/>
    <w:rsid w:val="009A3540"/>
    <w:rsid w:val="009A35FA"/>
    <w:rsid w:val="009A3640"/>
    <w:rsid w:val="009A367D"/>
    <w:rsid w:val="009A36CE"/>
    <w:rsid w:val="009A372C"/>
    <w:rsid w:val="009A3816"/>
    <w:rsid w:val="009A3940"/>
    <w:rsid w:val="009A3AC2"/>
    <w:rsid w:val="009A3B21"/>
    <w:rsid w:val="009A3B33"/>
    <w:rsid w:val="009A3BF8"/>
    <w:rsid w:val="009A3C13"/>
    <w:rsid w:val="009A3DB7"/>
    <w:rsid w:val="009A3DE4"/>
    <w:rsid w:val="009A3EE1"/>
    <w:rsid w:val="009A3F60"/>
    <w:rsid w:val="009A40DA"/>
    <w:rsid w:val="009A411D"/>
    <w:rsid w:val="009A41E5"/>
    <w:rsid w:val="009A435F"/>
    <w:rsid w:val="009A4564"/>
    <w:rsid w:val="009A458E"/>
    <w:rsid w:val="009A459E"/>
    <w:rsid w:val="009A465C"/>
    <w:rsid w:val="009A47F5"/>
    <w:rsid w:val="009A48EC"/>
    <w:rsid w:val="009A4A9B"/>
    <w:rsid w:val="009A4C2A"/>
    <w:rsid w:val="009A4C30"/>
    <w:rsid w:val="009A4C37"/>
    <w:rsid w:val="009A4CA2"/>
    <w:rsid w:val="009A4D00"/>
    <w:rsid w:val="009A4E1B"/>
    <w:rsid w:val="009A4E2A"/>
    <w:rsid w:val="009A4E2D"/>
    <w:rsid w:val="009A4EA7"/>
    <w:rsid w:val="009A5068"/>
    <w:rsid w:val="009A5078"/>
    <w:rsid w:val="009A50CE"/>
    <w:rsid w:val="009A5208"/>
    <w:rsid w:val="009A524F"/>
    <w:rsid w:val="009A52A5"/>
    <w:rsid w:val="009A5491"/>
    <w:rsid w:val="009A5534"/>
    <w:rsid w:val="009A5576"/>
    <w:rsid w:val="009A55BC"/>
    <w:rsid w:val="009A55DB"/>
    <w:rsid w:val="009A56DB"/>
    <w:rsid w:val="009A56DF"/>
    <w:rsid w:val="009A584B"/>
    <w:rsid w:val="009A5A85"/>
    <w:rsid w:val="009A5AB2"/>
    <w:rsid w:val="009A5B46"/>
    <w:rsid w:val="009A5BEA"/>
    <w:rsid w:val="009A5C3D"/>
    <w:rsid w:val="009A5D61"/>
    <w:rsid w:val="009A5E35"/>
    <w:rsid w:val="009A5EE7"/>
    <w:rsid w:val="009A5F19"/>
    <w:rsid w:val="009A5FB7"/>
    <w:rsid w:val="009A5FD1"/>
    <w:rsid w:val="009A60F0"/>
    <w:rsid w:val="009A615D"/>
    <w:rsid w:val="009A617F"/>
    <w:rsid w:val="009A6191"/>
    <w:rsid w:val="009A61BE"/>
    <w:rsid w:val="009A61C9"/>
    <w:rsid w:val="009A61D7"/>
    <w:rsid w:val="009A638B"/>
    <w:rsid w:val="009A640E"/>
    <w:rsid w:val="009A6519"/>
    <w:rsid w:val="009A6563"/>
    <w:rsid w:val="009A6604"/>
    <w:rsid w:val="009A674D"/>
    <w:rsid w:val="009A6939"/>
    <w:rsid w:val="009A6A40"/>
    <w:rsid w:val="009A6A8B"/>
    <w:rsid w:val="009A6B66"/>
    <w:rsid w:val="009A6BD2"/>
    <w:rsid w:val="009A6BDF"/>
    <w:rsid w:val="009A6C36"/>
    <w:rsid w:val="009A6CC4"/>
    <w:rsid w:val="009A6D3B"/>
    <w:rsid w:val="009A6D98"/>
    <w:rsid w:val="009A6F59"/>
    <w:rsid w:val="009A6F61"/>
    <w:rsid w:val="009A7006"/>
    <w:rsid w:val="009A7033"/>
    <w:rsid w:val="009A7120"/>
    <w:rsid w:val="009A716A"/>
    <w:rsid w:val="009A7543"/>
    <w:rsid w:val="009A758E"/>
    <w:rsid w:val="009A75BA"/>
    <w:rsid w:val="009A7683"/>
    <w:rsid w:val="009A76CA"/>
    <w:rsid w:val="009A7713"/>
    <w:rsid w:val="009A7819"/>
    <w:rsid w:val="009A786B"/>
    <w:rsid w:val="009A797F"/>
    <w:rsid w:val="009A7BB9"/>
    <w:rsid w:val="009A7C6C"/>
    <w:rsid w:val="009A7C6E"/>
    <w:rsid w:val="009A7C88"/>
    <w:rsid w:val="009A7DCD"/>
    <w:rsid w:val="009A7E19"/>
    <w:rsid w:val="009A7E72"/>
    <w:rsid w:val="009A7FAA"/>
    <w:rsid w:val="009B001C"/>
    <w:rsid w:val="009B00FC"/>
    <w:rsid w:val="009B015E"/>
    <w:rsid w:val="009B01FB"/>
    <w:rsid w:val="009B0483"/>
    <w:rsid w:val="009B04DE"/>
    <w:rsid w:val="009B0531"/>
    <w:rsid w:val="009B0559"/>
    <w:rsid w:val="009B06E6"/>
    <w:rsid w:val="009B0722"/>
    <w:rsid w:val="009B0727"/>
    <w:rsid w:val="009B079C"/>
    <w:rsid w:val="009B07F1"/>
    <w:rsid w:val="009B0801"/>
    <w:rsid w:val="009B08A6"/>
    <w:rsid w:val="009B0A18"/>
    <w:rsid w:val="009B0A51"/>
    <w:rsid w:val="009B0B7B"/>
    <w:rsid w:val="009B0BBA"/>
    <w:rsid w:val="009B0BD7"/>
    <w:rsid w:val="009B0BFA"/>
    <w:rsid w:val="009B0CD3"/>
    <w:rsid w:val="009B0CF5"/>
    <w:rsid w:val="009B0DA7"/>
    <w:rsid w:val="009B0DB0"/>
    <w:rsid w:val="009B0E03"/>
    <w:rsid w:val="009B0E04"/>
    <w:rsid w:val="009B0E72"/>
    <w:rsid w:val="009B0FD3"/>
    <w:rsid w:val="009B1034"/>
    <w:rsid w:val="009B1044"/>
    <w:rsid w:val="009B10AE"/>
    <w:rsid w:val="009B11F8"/>
    <w:rsid w:val="009B125B"/>
    <w:rsid w:val="009B147A"/>
    <w:rsid w:val="009B147D"/>
    <w:rsid w:val="009B1514"/>
    <w:rsid w:val="009B15BD"/>
    <w:rsid w:val="009B15D2"/>
    <w:rsid w:val="009B15DF"/>
    <w:rsid w:val="009B162C"/>
    <w:rsid w:val="009B1679"/>
    <w:rsid w:val="009B16CA"/>
    <w:rsid w:val="009B1746"/>
    <w:rsid w:val="009B1B5E"/>
    <w:rsid w:val="009B1BCB"/>
    <w:rsid w:val="009B1C1D"/>
    <w:rsid w:val="009B1C2F"/>
    <w:rsid w:val="009B1C4A"/>
    <w:rsid w:val="009B1CC1"/>
    <w:rsid w:val="009B1D52"/>
    <w:rsid w:val="009B1DDC"/>
    <w:rsid w:val="009B1E4B"/>
    <w:rsid w:val="009B2087"/>
    <w:rsid w:val="009B20A2"/>
    <w:rsid w:val="009B20AE"/>
    <w:rsid w:val="009B20C4"/>
    <w:rsid w:val="009B212C"/>
    <w:rsid w:val="009B22E9"/>
    <w:rsid w:val="009B2376"/>
    <w:rsid w:val="009B23DC"/>
    <w:rsid w:val="009B241D"/>
    <w:rsid w:val="009B24D2"/>
    <w:rsid w:val="009B24D3"/>
    <w:rsid w:val="009B24D9"/>
    <w:rsid w:val="009B258D"/>
    <w:rsid w:val="009B28EA"/>
    <w:rsid w:val="009B2A11"/>
    <w:rsid w:val="009B2B29"/>
    <w:rsid w:val="009B2CEB"/>
    <w:rsid w:val="009B2CF6"/>
    <w:rsid w:val="009B2DCE"/>
    <w:rsid w:val="009B2E9B"/>
    <w:rsid w:val="009B2EBA"/>
    <w:rsid w:val="009B2F32"/>
    <w:rsid w:val="009B2F6F"/>
    <w:rsid w:val="009B2FCE"/>
    <w:rsid w:val="009B3051"/>
    <w:rsid w:val="009B3099"/>
    <w:rsid w:val="009B3163"/>
    <w:rsid w:val="009B3166"/>
    <w:rsid w:val="009B31C0"/>
    <w:rsid w:val="009B3264"/>
    <w:rsid w:val="009B32FD"/>
    <w:rsid w:val="009B335D"/>
    <w:rsid w:val="009B337C"/>
    <w:rsid w:val="009B34E5"/>
    <w:rsid w:val="009B359C"/>
    <w:rsid w:val="009B3638"/>
    <w:rsid w:val="009B37D6"/>
    <w:rsid w:val="009B3800"/>
    <w:rsid w:val="009B3817"/>
    <w:rsid w:val="009B397A"/>
    <w:rsid w:val="009B3BE7"/>
    <w:rsid w:val="009B3CA2"/>
    <w:rsid w:val="009B3DA0"/>
    <w:rsid w:val="009B3DF7"/>
    <w:rsid w:val="009B3EAC"/>
    <w:rsid w:val="009B40A7"/>
    <w:rsid w:val="009B40EB"/>
    <w:rsid w:val="009B422C"/>
    <w:rsid w:val="009B42E4"/>
    <w:rsid w:val="009B43EC"/>
    <w:rsid w:val="009B4403"/>
    <w:rsid w:val="009B441E"/>
    <w:rsid w:val="009B44CD"/>
    <w:rsid w:val="009B4517"/>
    <w:rsid w:val="009B4538"/>
    <w:rsid w:val="009B4787"/>
    <w:rsid w:val="009B48A5"/>
    <w:rsid w:val="009B4A92"/>
    <w:rsid w:val="009B4ADC"/>
    <w:rsid w:val="009B4BE6"/>
    <w:rsid w:val="009B4C01"/>
    <w:rsid w:val="009B4C11"/>
    <w:rsid w:val="009B4F7B"/>
    <w:rsid w:val="009B4FD6"/>
    <w:rsid w:val="009B5049"/>
    <w:rsid w:val="009B50D4"/>
    <w:rsid w:val="009B5112"/>
    <w:rsid w:val="009B5193"/>
    <w:rsid w:val="009B5227"/>
    <w:rsid w:val="009B52E8"/>
    <w:rsid w:val="009B545B"/>
    <w:rsid w:val="009B55C8"/>
    <w:rsid w:val="009B57FF"/>
    <w:rsid w:val="009B582E"/>
    <w:rsid w:val="009B58DD"/>
    <w:rsid w:val="009B5C55"/>
    <w:rsid w:val="009B5D98"/>
    <w:rsid w:val="009B60A5"/>
    <w:rsid w:val="009B610C"/>
    <w:rsid w:val="009B61A4"/>
    <w:rsid w:val="009B624C"/>
    <w:rsid w:val="009B6272"/>
    <w:rsid w:val="009B637A"/>
    <w:rsid w:val="009B637D"/>
    <w:rsid w:val="009B65B3"/>
    <w:rsid w:val="009B674B"/>
    <w:rsid w:val="009B67A0"/>
    <w:rsid w:val="009B6868"/>
    <w:rsid w:val="009B6933"/>
    <w:rsid w:val="009B69A3"/>
    <w:rsid w:val="009B6A94"/>
    <w:rsid w:val="009B6AC9"/>
    <w:rsid w:val="009B6C8F"/>
    <w:rsid w:val="009B6C99"/>
    <w:rsid w:val="009B6CB8"/>
    <w:rsid w:val="009B6E0D"/>
    <w:rsid w:val="009B6E5D"/>
    <w:rsid w:val="009B700F"/>
    <w:rsid w:val="009B7118"/>
    <w:rsid w:val="009B737E"/>
    <w:rsid w:val="009B7451"/>
    <w:rsid w:val="009B7487"/>
    <w:rsid w:val="009B7547"/>
    <w:rsid w:val="009B755F"/>
    <w:rsid w:val="009B764A"/>
    <w:rsid w:val="009B7658"/>
    <w:rsid w:val="009B7765"/>
    <w:rsid w:val="009B7969"/>
    <w:rsid w:val="009B799C"/>
    <w:rsid w:val="009B7A1F"/>
    <w:rsid w:val="009B7A27"/>
    <w:rsid w:val="009B7A94"/>
    <w:rsid w:val="009B7AE9"/>
    <w:rsid w:val="009B7BE2"/>
    <w:rsid w:val="009B7C24"/>
    <w:rsid w:val="009B7D52"/>
    <w:rsid w:val="009B7E4E"/>
    <w:rsid w:val="009B7F5F"/>
    <w:rsid w:val="009B7F6A"/>
    <w:rsid w:val="009B7F74"/>
    <w:rsid w:val="009B7F7B"/>
    <w:rsid w:val="009B7F88"/>
    <w:rsid w:val="009B7F90"/>
    <w:rsid w:val="009C004B"/>
    <w:rsid w:val="009C0224"/>
    <w:rsid w:val="009C02CB"/>
    <w:rsid w:val="009C0315"/>
    <w:rsid w:val="009C038F"/>
    <w:rsid w:val="009C04EB"/>
    <w:rsid w:val="009C07F0"/>
    <w:rsid w:val="009C0818"/>
    <w:rsid w:val="009C0943"/>
    <w:rsid w:val="009C0AD7"/>
    <w:rsid w:val="009C0AEB"/>
    <w:rsid w:val="009C0B06"/>
    <w:rsid w:val="009C0B1D"/>
    <w:rsid w:val="009C0B86"/>
    <w:rsid w:val="009C0C1C"/>
    <w:rsid w:val="009C0C9E"/>
    <w:rsid w:val="009C0CD0"/>
    <w:rsid w:val="009C0E48"/>
    <w:rsid w:val="009C0F7A"/>
    <w:rsid w:val="009C1008"/>
    <w:rsid w:val="009C100D"/>
    <w:rsid w:val="009C107E"/>
    <w:rsid w:val="009C1168"/>
    <w:rsid w:val="009C122F"/>
    <w:rsid w:val="009C130E"/>
    <w:rsid w:val="009C1320"/>
    <w:rsid w:val="009C13B2"/>
    <w:rsid w:val="009C13BA"/>
    <w:rsid w:val="009C1581"/>
    <w:rsid w:val="009C1687"/>
    <w:rsid w:val="009C17A5"/>
    <w:rsid w:val="009C18C6"/>
    <w:rsid w:val="009C19C4"/>
    <w:rsid w:val="009C1C1F"/>
    <w:rsid w:val="009C1C36"/>
    <w:rsid w:val="009C1C46"/>
    <w:rsid w:val="009C1D07"/>
    <w:rsid w:val="009C1E28"/>
    <w:rsid w:val="009C1E3A"/>
    <w:rsid w:val="009C213C"/>
    <w:rsid w:val="009C216E"/>
    <w:rsid w:val="009C2329"/>
    <w:rsid w:val="009C2506"/>
    <w:rsid w:val="009C253C"/>
    <w:rsid w:val="009C267D"/>
    <w:rsid w:val="009C2744"/>
    <w:rsid w:val="009C2B16"/>
    <w:rsid w:val="009C2C01"/>
    <w:rsid w:val="009C2D5C"/>
    <w:rsid w:val="009C2DBB"/>
    <w:rsid w:val="009C2F53"/>
    <w:rsid w:val="009C3114"/>
    <w:rsid w:val="009C31DB"/>
    <w:rsid w:val="009C3430"/>
    <w:rsid w:val="009C377A"/>
    <w:rsid w:val="009C37A1"/>
    <w:rsid w:val="009C3843"/>
    <w:rsid w:val="009C38AF"/>
    <w:rsid w:val="009C38D8"/>
    <w:rsid w:val="009C3905"/>
    <w:rsid w:val="009C39FB"/>
    <w:rsid w:val="009C3A34"/>
    <w:rsid w:val="009C3A45"/>
    <w:rsid w:val="009C3AC9"/>
    <w:rsid w:val="009C3AF7"/>
    <w:rsid w:val="009C3B01"/>
    <w:rsid w:val="009C3B13"/>
    <w:rsid w:val="009C3B4F"/>
    <w:rsid w:val="009C3BED"/>
    <w:rsid w:val="009C3C35"/>
    <w:rsid w:val="009C3CD8"/>
    <w:rsid w:val="009C3D94"/>
    <w:rsid w:val="009C3E29"/>
    <w:rsid w:val="009C3F06"/>
    <w:rsid w:val="009C44D5"/>
    <w:rsid w:val="009C45D0"/>
    <w:rsid w:val="009C471D"/>
    <w:rsid w:val="009C48A1"/>
    <w:rsid w:val="009C4AC9"/>
    <w:rsid w:val="009C4AEA"/>
    <w:rsid w:val="009C4C04"/>
    <w:rsid w:val="009C4D54"/>
    <w:rsid w:val="009C4D60"/>
    <w:rsid w:val="009C4E74"/>
    <w:rsid w:val="009C4F14"/>
    <w:rsid w:val="009C4F1A"/>
    <w:rsid w:val="009C4FA1"/>
    <w:rsid w:val="009C50B8"/>
    <w:rsid w:val="009C50EE"/>
    <w:rsid w:val="009C5132"/>
    <w:rsid w:val="009C5157"/>
    <w:rsid w:val="009C5159"/>
    <w:rsid w:val="009C517E"/>
    <w:rsid w:val="009C5206"/>
    <w:rsid w:val="009C5237"/>
    <w:rsid w:val="009C5374"/>
    <w:rsid w:val="009C53DC"/>
    <w:rsid w:val="009C542B"/>
    <w:rsid w:val="009C54EB"/>
    <w:rsid w:val="009C5515"/>
    <w:rsid w:val="009C5707"/>
    <w:rsid w:val="009C57ED"/>
    <w:rsid w:val="009C5829"/>
    <w:rsid w:val="009C58D5"/>
    <w:rsid w:val="009C5A0A"/>
    <w:rsid w:val="009C5A18"/>
    <w:rsid w:val="009C5B8E"/>
    <w:rsid w:val="009C5B93"/>
    <w:rsid w:val="009C5BD9"/>
    <w:rsid w:val="009C5DE5"/>
    <w:rsid w:val="009C5F97"/>
    <w:rsid w:val="009C5FAF"/>
    <w:rsid w:val="009C5FB5"/>
    <w:rsid w:val="009C5FCE"/>
    <w:rsid w:val="009C6124"/>
    <w:rsid w:val="009C62FB"/>
    <w:rsid w:val="009C6302"/>
    <w:rsid w:val="009C6346"/>
    <w:rsid w:val="009C6538"/>
    <w:rsid w:val="009C66BC"/>
    <w:rsid w:val="009C66BE"/>
    <w:rsid w:val="009C681F"/>
    <w:rsid w:val="009C68BC"/>
    <w:rsid w:val="009C6A8F"/>
    <w:rsid w:val="009C6B1F"/>
    <w:rsid w:val="009C6BB2"/>
    <w:rsid w:val="009C6BF5"/>
    <w:rsid w:val="009C6C2A"/>
    <w:rsid w:val="009C6CB4"/>
    <w:rsid w:val="009C6CBA"/>
    <w:rsid w:val="009C6DCA"/>
    <w:rsid w:val="009C6DCB"/>
    <w:rsid w:val="009C6DE8"/>
    <w:rsid w:val="009C6DEB"/>
    <w:rsid w:val="009C6DEF"/>
    <w:rsid w:val="009C6F1B"/>
    <w:rsid w:val="009C6F9F"/>
    <w:rsid w:val="009C6FC0"/>
    <w:rsid w:val="009C70BD"/>
    <w:rsid w:val="009C70EC"/>
    <w:rsid w:val="009C72B7"/>
    <w:rsid w:val="009C7625"/>
    <w:rsid w:val="009C76CC"/>
    <w:rsid w:val="009C7741"/>
    <w:rsid w:val="009C77B0"/>
    <w:rsid w:val="009C77EA"/>
    <w:rsid w:val="009C78C1"/>
    <w:rsid w:val="009C7A48"/>
    <w:rsid w:val="009C7A8A"/>
    <w:rsid w:val="009C7B71"/>
    <w:rsid w:val="009C7F86"/>
    <w:rsid w:val="009D016B"/>
    <w:rsid w:val="009D0183"/>
    <w:rsid w:val="009D0246"/>
    <w:rsid w:val="009D027B"/>
    <w:rsid w:val="009D0406"/>
    <w:rsid w:val="009D055E"/>
    <w:rsid w:val="009D0587"/>
    <w:rsid w:val="009D05C3"/>
    <w:rsid w:val="009D05D2"/>
    <w:rsid w:val="009D070F"/>
    <w:rsid w:val="009D074A"/>
    <w:rsid w:val="009D078E"/>
    <w:rsid w:val="009D080E"/>
    <w:rsid w:val="009D086D"/>
    <w:rsid w:val="009D0967"/>
    <w:rsid w:val="009D09CD"/>
    <w:rsid w:val="009D0AF1"/>
    <w:rsid w:val="009D0C5C"/>
    <w:rsid w:val="009D0EB7"/>
    <w:rsid w:val="009D0F4E"/>
    <w:rsid w:val="009D0FFB"/>
    <w:rsid w:val="009D112E"/>
    <w:rsid w:val="009D11F0"/>
    <w:rsid w:val="009D1245"/>
    <w:rsid w:val="009D1403"/>
    <w:rsid w:val="009D1502"/>
    <w:rsid w:val="009D1629"/>
    <w:rsid w:val="009D1654"/>
    <w:rsid w:val="009D16A1"/>
    <w:rsid w:val="009D16AF"/>
    <w:rsid w:val="009D1B5F"/>
    <w:rsid w:val="009D1B72"/>
    <w:rsid w:val="009D1D1E"/>
    <w:rsid w:val="009D1DE4"/>
    <w:rsid w:val="009D1EA2"/>
    <w:rsid w:val="009D1EB5"/>
    <w:rsid w:val="009D1EFD"/>
    <w:rsid w:val="009D1F95"/>
    <w:rsid w:val="009D1FC4"/>
    <w:rsid w:val="009D21C0"/>
    <w:rsid w:val="009D2202"/>
    <w:rsid w:val="009D2364"/>
    <w:rsid w:val="009D248E"/>
    <w:rsid w:val="009D24D6"/>
    <w:rsid w:val="009D2533"/>
    <w:rsid w:val="009D2663"/>
    <w:rsid w:val="009D267F"/>
    <w:rsid w:val="009D26A7"/>
    <w:rsid w:val="009D26CE"/>
    <w:rsid w:val="009D280E"/>
    <w:rsid w:val="009D2883"/>
    <w:rsid w:val="009D296F"/>
    <w:rsid w:val="009D2A51"/>
    <w:rsid w:val="009D2AF0"/>
    <w:rsid w:val="009D2B93"/>
    <w:rsid w:val="009D2B97"/>
    <w:rsid w:val="009D2C12"/>
    <w:rsid w:val="009D2C8A"/>
    <w:rsid w:val="009D2D6C"/>
    <w:rsid w:val="009D2E8F"/>
    <w:rsid w:val="009D2F00"/>
    <w:rsid w:val="009D2F93"/>
    <w:rsid w:val="009D2FE5"/>
    <w:rsid w:val="009D30A7"/>
    <w:rsid w:val="009D30CA"/>
    <w:rsid w:val="009D3154"/>
    <w:rsid w:val="009D31C7"/>
    <w:rsid w:val="009D334D"/>
    <w:rsid w:val="009D372F"/>
    <w:rsid w:val="009D39E0"/>
    <w:rsid w:val="009D3AE2"/>
    <w:rsid w:val="009D3CDB"/>
    <w:rsid w:val="009D3D03"/>
    <w:rsid w:val="009D3E09"/>
    <w:rsid w:val="009D3FAF"/>
    <w:rsid w:val="009D4057"/>
    <w:rsid w:val="009D4228"/>
    <w:rsid w:val="009D4238"/>
    <w:rsid w:val="009D4391"/>
    <w:rsid w:val="009D43E5"/>
    <w:rsid w:val="009D43FC"/>
    <w:rsid w:val="009D445E"/>
    <w:rsid w:val="009D445F"/>
    <w:rsid w:val="009D44AF"/>
    <w:rsid w:val="009D44B4"/>
    <w:rsid w:val="009D455C"/>
    <w:rsid w:val="009D478D"/>
    <w:rsid w:val="009D47A9"/>
    <w:rsid w:val="009D47D0"/>
    <w:rsid w:val="009D4884"/>
    <w:rsid w:val="009D4A32"/>
    <w:rsid w:val="009D4A8E"/>
    <w:rsid w:val="009D4E19"/>
    <w:rsid w:val="009D4FF6"/>
    <w:rsid w:val="009D4FFB"/>
    <w:rsid w:val="009D50E8"/>
    <w:rsid w:val="009D520C"/>
    <w:rsid w:val="009D5232"/>
    <w:rsid w:val="009D5337"/>
    <w:rsid w:val="009D537D"/>
    <w:rsid w:val="009D53EC"/>
    <w:rsid w:val="009D54D3"/>
    <w:rsid w:val="009D553D"/>
    <w:rsid w:val="009D55AE"/>
    <w:rsid w:val="009D5619"/>
    <w:rsid w:val="009D58C2"/>
    <w:rsid w:val="009D58C5"/>
    <w:rsid w:val="009D5994"/>
    <w:rsid w:val="009D5B24"/>
    <w:rsid w:val="009D6097"/>
    <w:rsid w:val="009D6140"/>
    <w:rsid w:val="009D61FB"/>
    <w:rsid w:val="009D6229"/>
    <w:rsid w:val="009D6328"/>
    <w:rsid w:val="009D64A0"/>
    <w:rsid w:val="009D64B5"/>
    <w:rsid w:val="009D665E"/>
    <w:rsid w:val="009D681D"/>
    <w:rsid w:val="009D686C"/>
    <w:rsid w:val="009D688A"/>
    <w:rsid w:val="009D6902"/>
    <w:rsid w:val="009D69D5"/>
    <w:rsid w:val="009D6A01"/>
    <w:rsid w:val="009D6AF5"/>
    <w:rsid w:val="009D6BCE"/>
    <w:rsid w:val="009D6E56"/>
    <w:rsid w:val="009D6F99"/>
    <w:rsid w:val="009D6FB4"/>
    <w:rsid w:val="009D7107"/>
    <w:rsid w:val="009D710B"/>
    <w:rsid w:val="009D7112"/>
    <w:rsid w:val="009D7294"/>
    <w:rsid w:val="009D774E"/>
    <w:rsid w:val="009D796B"/>
    <w:rsid w:val="009D79BE"/>
    <w:rsid w:val="009D7A93"/>
    <w:rsid w:val="009D7C79"/>
    <w:rsid w:val="009D7CA1"/>
    <w:rsid w:val="009D7CB1"/>
    <w:rsid w:val="009D7CF3"/>
    <w:rsid w:val="009D7DA9"/>
    <w:rsid w:val="009D7E5A"/>
    <w:rsid w:val="009D7E91"/>
    <w:rsid w:val="009D7F99"/>
    <w:rsid w:val="009D7FB0"/>
    <w:rsid w:val="009E00E3"/>
    <w:rsid w:val="009E021B"/>
    <w:rsid w:val="009E02FC"/>
    <w:rsid w:val="009E0382"/>
    <w:rsid w:val="009E041E"/>
    <w:rsid w:val="009E0466"/>
    <w:rsid w:val="009E047F"/>
    <w:rsid w:val="009E04FF"/>
    <w:rsid w:val="009E068D"/>
    <w:rsid w:val="009E08C0"/>
    <w:rsid w:val="009E0986"/>
    <w:rsid w:val="009E0B70"/>
    <w:rsid w:val="009E0B94"/>
    <w:rsid w:val="009E0C8F"/>
    <w:rsid w:val="009E0CC9"/>
    <w:rsid w:val="009E0E4A"/>
    <w:rsid w:val="009E0F24"/>
    <w:rsid w:val="009E10FE"/>
    <w:rsid w:val="009E137B"/>
    <w:rsid w:val="009E13ED"/>
    <w:rsid w:val="009E1422"/>
    <w:rsid w:val="009E14F2"/>
    <w:rsid w:val="009E16E8"/>
    <w:rsid w:val="009E1705"/>
    <w:rsid w:val="009E1767"/>
    <w:rsid w:val="009E17C7"/>
    <w:rsid w:val="009E1824"/>
    <w:rsid w:val="009E186E"/>
    <w:rsid w:val="009E19BC"/>
    <w:rsid w:val="009E1B01"/>
    <w:rsid w:val="009E1BDA"/>
    <w:rsid w:val="009E1C9E"/>
    <w:rsid w:val="009E1DBA"/>
    <w:rsid w:val="009E1DC1"/>
    <w:rsid w:val="009E1FE7"/>
    <w:rsid w:val="009E20C8"/>
    <w:rsid w:val="009E21FE"/>
    <w:rsid w:val="009E2235"/>
    <w:rsid w:val="009E2237"/>
    <w:rsid w:val="009E22A4"/>
    <w:rsid w:val="009E24A2"/>
    <w:rsid w:val="009E24AB"/>
    <w:rsid w:val="009E2567"/>
    <w:rsid w:val="009E260B"/>
    <w:rsid w:val="009E2627"/>
    <w:rsid w:val="009E26E2"/>
    <w:rsid w:val="009E279D"/>
    <w:rsid w:val="009E28FC"/>
    <w:rsid w:val="009E2A45"/>
    <w:rsid w:val="009E2B1A"/>
    <w:rsid w:val="009E2BFB"/>
    <w:rsid w:val="009E2C7E"/>
    <w:rsid w:val="009E2CF8"/>
    <w:rsid w:val="009E2D28"/>
    <w:rsid w:val="009E2D7F"/>
    <w:rsid w:val="009E2DB2"/>
    <w:rsid w:val="009E2DD9"/>
    <w:rsid w:val="009E2E0C"/>
    <w:rsid w:val="009E2EDB"/>
    <w:rsid w:val="009E3158"/>
    <w:rsid w:val="009E3384"/>
    <w:rsid w:val="009E33D4"/>
    <w:rsid w:val="009E3421"/>
    <w:rsid w:val="009E3524"/>
    <w:rsid w:val="009E3543"/>
    <w:rsid w:val="009E354A"/>
    <w:rsid w:val="009E3550"/>
    <w:rsid w:val="009E364D"/>
    <w:rsid w:val="009E37AC"/>
    <w:rsid w:val="009E37D8"/>
    <w:rsid w:val="009E3801"/>
    <w:rsid w:val="009E3822"/>
    <w:rsid w:val="009E3852"/>
    <w:rsid w:val="009E38B5"/>
    <w:rsid w:val="009E38F9"/>
    <w:rsid w:val="009E3A0F"/>
    <w:rsid w:val="009E3A1F"/>
    <w:rsid w:val="009E3B41"/>
    <w:rsid w:val="009E3B46"/>
    <w:rsid w:val="009E3B67"/>
    <w:rsid w:val="009E3B88"/>
    <w:rsid w:val="009E3C86"/>
    <w:rsid w:val="009E3CFE"/>
    <w:rsid w:val="009E3E18"/>
    <w:rsid w:val="009E3EE5"/>
    <w:rsid w:val="009E4025"/>
    <w:rsid w:val="009E4115"/>
    <w:rsid w:val="009E41CC"/>
    <w:rsid w:val="009E4279"/>
    <w:rsid w:val="009E4293"/>
    <w:rsid w:val="009E4651"/>
    <w:rsid w:val="009E467B"/>
    <w:rsid w:val="009E483B"/>
    <w:rsid w:val="009E4893"/>
    <w:rsid w:val="009E48B9"/>
    <w:rsid w:val="009E48F3"/>
    <w:rsid w:val="009E49E2"/>
    <w:rsid w:val="009E49E4"/>
    <w:rsid w:val="009E4A32"/>
    <w:rsid w:val="009E4A42"/>
    <w:rsid w:val="009E4A74"/>
    <w:rsid w:val="009E4AB6"/>
    <w:rsid w:val="009E4B49"/>
    <w:rsid w:val="009E4BA5"/>
    <w:rsid w:val="009E4CCE"/>
    <w:rsid w:val="009E4D2B"/>
    <w:rsid w:val="009E4E8E"/>
    <w:rsid w:val="009E4E90"/>
    <w:rsid w:val="009E4EBB"/>
    <w:rsid w:val="009E4FF9"/>
    <w:rsid w:val="009E5087"/>
    <w:rsid w:val="009E50B2"/>
    <w:rsid w:val="009E5109"/>
    <w:rsid w:val="009E5246"/>
    <w:rsid w:val="009E5404"/>
    <w:rsid w:val="009E5451"/>
    <w:rsid w:val="009E5485"/>
    <w:rsid w:val="009E57EC"/>
    <w:rsid w:val="009E5951"/>
    <w:rsid w:val="009E5B0D"/>
    <w:rsid w:val="009E5B17"/>
    <w:rsid w:val="009E5BAF"/>
    <w:rsid w:val="009E5BED"/>
    <w:rsid w:val="009E5C4A"/>
    <w:rsid w:val="009E5D0A"/>
    <w:rsid w:val="009E5D18"/>
    <w:rsid w:val="009E60DA"/>
    <w:rsid w:val="009E62CA"/>
    <w:rsid w:val="009E635D"/>
    <w:rsid w:val="009E638D"/>
    <w:rsid w:val="009E650F"/>
    <w:rsid w:val="009E6544"/>
    <w:rsid w:val="009E6866"/>
    <w:rsid w:val="009E6871"/>
    <w:rsid w:val="009E698B"/>
    <w:rsid w:val="009E6A6D"/>
    <w:rsid w:val="009E6ACE"/>
    <w:rsid w:val="009E6B85"/>
    <w:rsid w:val="009E6C2E"/>
    <w:rsid w:val="009E6C83"/>
    <w:rsid w:val="009E6D33"/>
    <w:rsid w:val="009E6E1B"/>
    <w:rsid w:val="009E6EAA"/>
    <w:rsid w:val="009E7041"/>
    <w:rsid w:val="009E7139"/>
    <w:rsid w:val="009E714A"/>
    <w:rsid w:val="009E7205"/>
    <w:rsid w:val="009E72D1"/>
    <w:rsid w:val="009E7334"/>
    <w:rsid w:val="009E7342"/>
    <w:rsid w:val="009E7384"/>
    <w:rsid w:val="009E74A4"/>
    <w:rsid w:val="009E7560"/>
    <w:rsid w:val="009E75DC"/>
    <w:rsid w:val="009E76A9"/>
    <w:rsid w:val="009E7843"/>
    <w:rsid w:val="009E7919"/>
    <w:rsid w:val="009E79C0"/>
    <w:rsid w:val="009E79CA"/>
    <w:rsid w:val="009E7A68"/>
    <w:rsid w:val="009E7B42"/>
    <w:rsid w:val="009E7B82"/>
    <w:rsid w:val="009E7C5D"/>
    <w:rsid w:val="009E7E07"/>
    <w:rsid w:val="009E7E12"/>
    <w:rsid w:val="009F00BB"/>
    <w:rsid w:val="009F01F3"/>
    <w:rsid w:val="009F0241"/>
    <w:rsid w:val="009F02E5"/>
    <w:rsid w:val="009F04D7"/>
    <w:rsid w:val="009F0536"/>
    <w:rsid w:val="009F0704"/>
    <w:rsid w:val="009F0798"/>
    <w:rsid w:val="009F0861"/>
    <w:rsid w:val="009F0941"/>
    <w:rsid w:val="009F0978"/>
    <w:rsid w:val="009F0B40"/>
    <w:rsid w:val="009F0DB4"/>
    <w:rsid w:val="009F0DEA"/>
    <w:rsid w:val="009F0E05"/>
    <w:rsid w:val="009F0E18"/>
    <w:rsid w:val="009F0E22"/>
    <w:rsid w:val="009F0E8E"/>
    <w:rsid w:val="009F0FB8"/>
    <w:rsid w:val="009F102E"/>
    <w:rsid w:val="009F10B2"/>
    <w:rsid w:val="009F11CB"/>
    <w:rsid w:val="009F1207"/>
    <w:rsid w:val="009F121D"/>
    <w:rsid w:val="009F133F"/>
    <w:rsid w:val="009F13AF"/>
    <w:rsid w:val="009F14E9"/>
    <w:rsid w:val="009F15F3"/>
    <w:rsid w:val="009F1719"/>
    <w:rsid w:val="009F17EB"/>
    <w:rsid w:val="009F187C"/>
    <w:rsid w:val="009F187F"/>
    <w:rsid w:val="009F1908"/>
    <w:rsid w:val="009F1973"/>
    <w:rsid w:val="009F1A09"/>
    <w:rsid w:val="009F1A4C"/>
    <w:rsid w:val="009F1DC6"/>
    <w:rsid w:val="009F1DFD"/>
    <w:rsid w:val="009F2048"/>
    <w:rsid w:val="009F214A"/>
    <w:rsid w:val="009F2190"/>
    <w:rsid w:val="009F21F6"/>
    <w:rsid w:val="009F23EA"/>
    <w:rsid w:val="009F242C"/>
    <w:rsid w:val="009F2536"/>
    <w:rsid w:val="009F26D2"/>
    <w:rsid w:val="009F276B"/>
    <w:rsid w:val="009F2945"/>
    <w:rsid w:val="009F2A05"/>
    <w:rsid w:val="009F2A38"/>
    <w:rsid w:val="009F2B25"/>
    <w:rsid w:val="009F2B5F"/>
    <w:rsid w:val="009F2C99"/>
    <w:rsid w:val="009F2D1E"/>
    <w:rsid w:val="009F2EBD"/>
    <w:rsid w:val="009F3082"/>
    <w:rsid w:val="009F30E4"/>
    <w:rsid w:val="009F3126"/>
    <w:rsid w:val="009F3267"/>
    <w:rsid w:val="009F32C3"/>
    <w:rsid w:val="009F3349"/>
    <w:rsid w:val="009F34AB"/>
    <w:rsid w:val="009F358C"/>
    <w:rsid w:val="009F3654"/>
    <w:rsid w:val="009F3830"/>
    <w:rsid w:val="009F3883"/>
    <w:rsid w:val="009F3C87"/>
    <w:rsid w:val="009F3D42"/>
    <w:rsid w:val="009F3D9D"/>
    <w:rsid w:val="009F40B6"/>
    <w:rsid w:val="009F4129"/>
    <w:rsid w:val="009F432A"/>
    <w:rsid w:val="009F4347"/>
    <w:rsid w:val="009F463F"/>
    <w:rsid w:val="009F469F"/>
    <w:rsid w:val="009F470A"/>
    <w:rsid w:val="009F4740"/>
    <w:rsid w:val="009F479E"/>
    <w:rsid w:val="009F489D"/>
    <w:rsid w:val="009F4A7D"/>
    <w:rsid w:val="009F4B9F"/>
    <w:rsid w:val="009F4CE0"/>
    <w:rsid w:val="009F4E04"/>
    <w:rsid w:val="009F4E9A"/>
    <w:rsid w:val="009F4F23"/>
    <w:rsid w:val="009F500F"/>
    <w:rsid w:val="009F521A"/>
    <w:rsid w:val="009F531F"/>
    <w:rsid w:val="009F5772"/>
    <w:rsid w:val="009F57EB"/>
    <w:rsid w:val="009F5807"/>
    <w:rsid w:val="009F5817"/>
    <w:rsid w:val="009F58BA"/>
    <w:rsid w:val="009F58DE"/>
    <w:rsid w:val="009F594D"/>
    <w:rsid w:val="009F5A9B"/>
    <w:rsid w:val="009F5B1A"/>
    <w:rsid w:val="009F5C05"/>
    <w:rsid w:val="009F5C39"/>
    <w:rsid w:val="009F5C77"/>
    <w:rsid w:val="009F5C9A"/>
    <w:rsid w:val="009F5CB9"/>
    <w:rsid w:val="009F5CC2"/>
    <w:rsid w:val="009F5CD4"/>
    <w:rsid w:val="009F5D2B"/>
    <w:rsid w:val="009F5DD0"/>
    <w:rsid w:val="009F5E2E"/>
    <w:rsid w:val="009F5EF8"/>
    <w:rsid w:val="009F6159"/>
    <w:rsid w:val="009F6171"/>
    <w:rsid w:val="009F621E"/>
    <w:rsid w:val="009F6251"/>
    <w:rsid w:val="009F6288"/>
    <w:rsid w:val="009F62D2"/>
    <w:rsid w:val="009F63CE"/>
    <w:rsid w:val="009F643C"/>
    <w:rsid w:val="009F64E9"/>
    <w:rsid w:val="009F650B"/>
    <w:rsid w:val="009F661B"/>
    <w:rsid w:val="009F6732"/>
    <w:rsid w:val="009F6733"/>
    <w:rsid w:val="009F6901"/>
    <w:rsid w:val="009F695F"/>
    <w:rsid w:val="009F6AA1"/>
    <w:rsid w:val="009F6ACD"/>
    <w:rsid w:val="009F6B5A"/>
    <w:rsid w:val="009F6B5C"/>
    <w:rsid w:val="009F6DA4"/>
    <w:rsid w:val="009F6E3E"/>
    <w:rsid w:val="009F6EA0"/>
    <w:rsid w:val="009F6F40"/>
    <w:rsid w:val="009F6FCE"/>
    <w:rsid w:val="009F70BE"/>
    <w:rsid w:val="009F72E4"/>
    <w:rsid w:val="009F73E1"/>
    <w:rsid w:val="009F7503"/>
    <w:rsid w:val="009F757F"/>
    <w:rsid w:val="009F76F5"/>
    <w:rsid w:val="009F7749"/>
    <w:rsid w:val="009F7759"/>
    <w:rsid w:val="009F792E"/>
    <w:rsid w:val="009F79CB"/>
    <w:rsid w:val="009F79CE"/>
    <w:rsid w:val="009F7BC8"/>
    <w:rsid w:val="009F7E7E"/>
    <w:rsid w:val="00A00068"/>
    <w:rsid w:val="00A00368"/>
    <w:rsid w:val="00A0039D"/>
    <w:rsid w:val="00A00452"/>
    <w:rsid w:val="00A004EB"/>
    <w:rsid w:val="00A00509"/>
    <w:rsid w:val="00A005ED"/>
    <w:rsid w:val="00A00760"/>
    <w:rsid w:val="00A007F9"/>
    <w:rsid w:val="00A007FD"/>
    <w:rsid w:val="00A00803"/>
    <w:rsid w:val="00A008A4"/>
    <w:rsid w:val="00A00B6D"/>
    <w:rsid w:val="00A00B81"/>
    <w:rsid w:val="00A00C76"/>
    <w:rsid w:val="00A00CDA"/>
    <w:rsid w:val="00A00D5A"/>
    <w:rsid w:val="00A00F43"/>
    <w:rsid w:val="00A01036"/>
    <w:rsid w:val="00A0137F"/>
    <w:rsid w:val="00A013FA"/>
    <w:rsid w:val="00A014E5"/>
    <w:rsid w:val="00A01545"/>
    <w:rsid w:val="00A015A2"/>
    <w:rsid w:val="00A015D2"/>
    <w:rsid w:val="00A01674"/>
    <w:rsid w:val="00A0172C"/>
    <w:rsid w:val="00A017DD"/>
    <w:rsid w:val="00A01858"/>
    <w:rsid w:val="00A0185E"/>
    <w:rsid w:val="00A018E6"/>
    <w:rsid w:val="00A01968"/>
    <w:rsid w:val="00A01A02"/>
    <w:rsid w:val="00A01D78"/>
    <w:rsid w:val="00A01DB4"/>
    <w:rsid w:val="00A01EBF"/>
    <w:rsid w:val="00A02137"/>
    <w:rsid w:val="00A021AA"/>
    <w:rsid w:val="00A021E3"/>
    <w:rsid w:val="00A0232F"/>
    <w:rsid w:val="00A02364"/>
    <w:rsid w:val="00A023A0"/>
    <w:rsid w:val="00A02449"/>
    <w:rsid w:val="00A026B9"/>
    <w:rsid w:val="00A029FC"/>
    <w:rsid w:val="00A02ABB"/>
    <w:rsid w:val="00A02B82"/>
    <w:rsid w:val="00A02C07"/>
    <w:rsid w:val="00A02C52"/>
    <w:rsid w:val="00A02CC7"/>
    <w:rsid w:val="00A02CDD"/>
    <w:rsid w:val="00A02D4F"/>
    <w:rsid w:val="00A02DE5"/>
    <w:rsid w:val="00A030FC"/>
    <w:rsid w:val="00A03161"/>
    <w:rsid w:val="00A03301"/>
    <w:rsid w:val="00A03485"/>
    <w:rsid w:val="00A0367A"/>
    <w:rsid w:val="00A0371E"/>
    <w:rsid w:val="00A03780"/>
    <w:rsid w:val="00A03821"/>
    <w:rsid w:val="00A0385A"/>
    <w:rsid w:val="00A0391B"/>
    <w:rsid w:val="00A03AEF"/>
    <w:rsid w:val="00A03B58"/>
    <w:rsid w:val="00A03CF7"/>
    <w:rsid w:val="00A03D1E"/>
    <w:rsid w:val="00A03D52"/>
    <w:rsid w:val="00A03DA1"/>
    <w:rsid w:val="00A03DB0"/>
    <w:rsid w:val="00A03EB3"/>
    <w:rsid w:val="00A03F65"/>
    <w:rsid w:val="00A03F6A"/>
    <w:rsid w:val="00A041C1"/>
    <w:rsid w:val="00A04457"/>
    <w:rsid w:val="00A04482"/>
    <w:rsid w:val="00A0459C"/>
    <w:rsid w:val="00A0468D"/>
    <w:rsid w:val="00A048DB"/>
    <w:rsid w:val="00A04931"/>
    <w:rsid w:val="00A04C12"/>
    <w:rsid w:val="00A04C59"/>
    <w:rsid w:val="00A04C72"/>
    <w:rsid w:val="00A04D26"/>
    <w:rsid w:val="00A04D3A"/>
    <w:rsid w:val="00A04E5D"/>
    <w:rsid w:val="00A04E72"/>
    <w:rsid w:val="00A04EB4"/>
    <w:rsid w:val="00A04ECA"/>
    <w:rsid w:val="00A04F84"/>
    <w:rsid w:val="00A0505F"/>
    <w:rsid w:val="00A05277"/>
    <w:rsid w:val="00A05321"/>
    <w:rsid w:val="00A05437"/>
    <w:rsid w:val="00A05477"/>
    <w:rsid w:val="00A054B1"/>
    <w:rsid w:val="00A056A6"/>
    <w:rsid w:val="00A056F6"/>
    <w:rsid w:val="00A05712"/>
    <w:rsid w:val="00A057DF"/>
    <w:rsid w:val="00A05C0C"/>
    <w:rsid w:val="00A05DA9"/>
    <w:rsid w:val="00A05E18"/>
    <w:rsid w:val="00A06069"/>
    <w:rsid w:val="00A06100"/>
    <w:rsid w:val="00A06112"/>
    <w:rsid w:val="00A0617E"/>
    <w:rsid w:val="00A06259"/>
    <w:rsid w:val="00A062CA"/>
    <w:rsid w:val="00A062D6"/>
    <w:rsid w:val="00A0632E"/>
    <w:rsid w:val="00A06337"/>
    <w:rsid w:val="00A06388"/>
    <w:rsid w:val="00A063D6"/>
    <w:rsid w:val="00A0641C"/>
    <w:rsid w:val="00A0658A"/>
    <w:rsid w:val="00A06828"/>
    <w:rsid w:val="00A06870"/>
    <w:rsid w:val="00A068D4"/>
    <w:rsid w:val="00A06A4B"/>
    <w:rsid w:val="00A06B2C"/>
    <w:rsid w:val="00A06B35"/>
    <w:rsid w:val="00A06CC1"/>
    <w:rsid w:val="00A06EB4"/>
    <w:rsid w:val="00A06FFB"/>
    <w:rsid w:val="00A07059"/>
    <w:rsid w:val="00A0707D"/>
    <w:rsid w:val="00A070C3"/>
    <w:rsid w:val="00A071E8"/>
    <w:rsid w:val="00A072B4"/>
    <w:rsid w:val="00A073D1"/>
    <w:rsid w:val="00A0742F"/>
    <w:rsid w:val="00A07456"/>
    <w:rsid w:val="00A0755E"/>
    <w:rsid w:val="00A0768C"/>
    <w:rsid w:val="00A077F4"/>
    <w:rsid w:val="00A078E3"/>
    <w:rsid w:val="00A078EA"/>
    <w:rsid w:val="00A0792F"/>
    <w:rsid w:val="00A07957"/>
    <w:rsid w:val="00A07967"/>
    <w:rsid w:val="00A07C44"/>
    <w:rsid w:val="00A10103"/>
    <w:rsid w:val="00A1017C"/>
    <w:rsid w:val="00A101A8"/>
    <w:rsid w:val="00A101B9"/>
    <w:rsid w:val="00A104ED"/>
    <w:rsid w:val="00A105CA"/>
    <w:rsid w:val="00A10602"/>
    <w:rsid w:val="00A10603"/>
    <w:rsid w:val="00A10618"/>
    <w:rsid w:val="00A106A1"/>
    <w:rsid w:val="00A106B7"/>
    <w:rsid w:val="00A10829"/>
    <w:rsid w:val="00A10867"/>
    <w:rsid w:val="00A108DC"/>
    <w:rsid w:val="00A10927"/>
    <w:rsid w:val="00A10A30"/>
    <w:rsid w:val="00A10A59"/>
    <w:rsid w:val="00A10B42"/>
    <w:rsid w:val="00A10C1D"/>
    <w:rsid w:val="00A10D74"/>
    <w:rsid w:val="00A10DCC"/>
    <w:rsid w:val="00A10EF1"/>
    <w:rsid w:val="00A110FC"/>
    <w:rsid w:val="00A112A0"/>
    <w:rsid w:val="00A11372"/>
    <w:rsid w:val="00A1148B"/>
    <w:rsid w:val="00A1151A"/>
    <w:rsid w:val="00A1157E"/>
    <w:rsid w:val="00A115D2"/>
    <w:rsid w:val="00A11797"/>
    <w:rsid w:val="00A11A45"/>
    <w:rsid w:val="00A11A67"/>
    <w:rsid w:val="00A11AE5"/>
    <w:rsid w:val="00A11B1D"/>
    <w:rsid w:val="00A11B41"/>
    <w:rsid w:val="00A11BBB"/>
    <w:rsid w:val="00A11D20"/>
    <w:rsid w:val="00A11E04"/>
    <w:rsid w:val="00A11E4B"/>
    <w:rsid w:val="00A11E60"/>
    <w:rsid w:val="00A11EDB"/>
    <w:rsid w:val="00A11FA9"/>
    <w:rsid w:val="00A120BA"/>
    <w:rsid w:val="00A1211E"/>
    <w:rsid w:val="00A12158"/>
    <w:rsid w:val="00A12197"/>
    <w:rsid w:val="00A12241"/>
    <w:rsid w:val="00A1224E"/>
    <w:rsid w:val="00A122F9"/>
    <w:rsid w:val="00A12406"/>
    <w:rsid w:val="00A1242A"/>
    <w:rsid w:val="00A12624"/>
    <w:rsid w:val="00A1272B"/>
    <w:rsid w:val="00A12734"/>
    <w:rsid w:val="00A12735"/>
    <w:rsid w:val="00A127FD"/>
    <w:rsid w:val="00A12831"/>
    <w:rsid w:val="00A128C4"/>
    <w:rsid w:val="00A1290F"/>
    <w:rsid w:val="00A12A52"/>
    <w:rsid w:val="00A12BB6"/>
    <w:rsid w:val="00A12BDA"/>
    <w:rsid w:val="00A12BF9"/>
    <w:rsid w:val="00A12CDC"/>
    <w:rsid w:val="00A12CE0"/>
    <w:rsid w:val="00A12D34"/>
    <w:rsid w:val="00A1300B"/>
    <w:rsid w:val="00A13128"/>
    <w:rsid w:val="00A13187"/>
    <w:rsid w:val="00A131E5"/>
    <w:rsid w:val="00A13243"/>
    <w:rsid w:val="00A132A0"/>
    <w:rsid w:val="00A13373"/>
    <w:rsid w:val="00A13380"/>
    <w:rsid w:val="00A134E1"/>
    <w:rsid w:val="00A1373E"/>
    <w:rsid w:val="00A13780"/>
    <w:rsid w:val="00A137CE"/>
    <w:rsid w:val="00A13803"/>
    <w:rsid w:val="00A1382D"/>
    <w:rsid w:val="00A13A05"/>
    <w:rsid w:val="00A13A51"/>
    <w:rsid w:val="00A13A5F"/>
    <w:rsid w:val="00A13A93"/>
    <w:rsid w:val="00A13B5C"/>
    <w:rsid w:val="00A13BC9"/>
    <w:rsid w:val="00A13C39"/>
    <w:rsid w:val="00A13C41"/>
    <w:rsid w:val="00A13CAA"/>
    <w:rsid w:val="00A13E85"/>
    <w:rsid w:val="00A13EAD"/>
    <w:rsid w:val="00A13F66"/>
    <w:rsid w:val="00A13FC0"/>
    <w:rsid w:val="00A1416A"/>
    <w:rsid w:val="00A14246"/>
    <w:rsid w:val="00A1429F"/>
    <w:rsid w:val="00A143D7"/>
    <w:rsid w:val="00A14418"/>
    <w:rsid w:val="00A14983"/>
    <w:rsid w:val="00A149F3"/>
    <w:rsid w:val="00A14A13"/>
    <w:rsid w:val="00A14A85"/>
    <w:rsid w:val="00A14CFB"/>
    <w:rsid w:val="00A14E48"/>
    <w:rsid w:val="00A14E4F"/>
    <w:rsid w:val="00A14F88"/>
    <w:rsid w:val="00A150D4"/>
    <w:rsid w:val="00A15154"/>
    <w:rsid w:val="00A15397"/>
    <w:rsid w:val="00A155F4"/>
    <w:rsid w:val="00A1568E"/>
    <w:rsid w:val="00A157BA"/>
    <w:rsid w:val="00A15848"/>
    <w:rsid w:val="00A15887"/>
    <w:rsid w:val="00A158B6"/>
    <w:rsid w:val="00A158F5"/>
    <w:rsid w:val="00A15975"/>
    <w:rsid w:val="00A159CE"/>
    <w:rsid w:val="00A159FD"/>
    <w:rsid w:val="00A15AF4"/>
    <w:rsid w:val="00A15B61"/>
    <w:rsid w:val="00A15BDC"/>
    <w:rsid w:val="00A15C03"/>
    <w:rsid w:val="00A15CF5"/>
    <w:rsid w:val="00A15D0C"/>
    <w:rsid w:val="00A15D57"/>
    <w:rsid w:val="00A15DDA"/>
    <w:rsid w:val="00A15F04"/>
    <w:rsid w:val="00A1602C"/>
    <w:rsid w:val="00A1605E"/>
    <w:rsid w:val="00A161A6"/>
    <w:rsid w:val="00A162B4"/>
    <w:rsid w:val="00A16353"/>
    <w:rsid w:val="00A1646E"/>
    <w:rsid w:val="00A1651A"/>
    <w:rsid w:val="00A16607"/>
    <w:rsid w:val="00A1668E"/>
    <w:rsid w:val="00A166FE"/>
    <w:rsid w:val="00A167B5"/>
    <w:rsid w:val="00A16823"/>
    <w:rsid w:val="00A168ED"/>
    <w:rsid w:val="00A169A8"/>
    <w:rsid w:val="00A16B44"/>
    <w:rsid w:val="00A16BE6"/>
    <w:rsid w:val="00A16E31"/>
    <w:rsid w:val="00A16E84"/>
    <w:rsid w:val="00A16EBE"/>
    <w:rsid w:val="00A17065"/>
    <w:rsid w:val="00A173DA"/>
    <w:rsid w:val="00A175ED"/>
    <w:rsid w:val="00A17657"/>
    <w:rsid w:val="00A17664"/>
    <w:rsid w:val="00A176EB"/>
    <w:rsid w:val="00A1773B"/>
    <w:rsid w:val="00A178F0"/>
    <w:rsid w:val="00A1793A"/>
    <w:rsid w:val="00A179C9"/>
    <w:rsid w:val="00A17DA2"/>
    <w:rsid w:val="00A200F3"/>
    <w:rsid w:val="00A201D3"/>
    <w:rsid w:val="00A2027A"/>
    <w:rsid w:val="00A202D8"/>
    <w:rsid w:val="00A203C6"/>
    <w:rsid w:val="00A2043A"/>
    <w:rsid w:val="00A20587"/>
    <w:rsid w:val="00A2068F"/>
    <w:rsid w:val="00A20772"/>
    <w:rsid w:val="00A207A5"/>
    <w:rsid w:val="00A208AC"/>
    <w:rsid w:val="00A2092D"/>
    <w:rsid w:val="00A20A63"/>
    <w:rsid w:val="00A20B2B"/>
    <w:rsid w:val="00A20B76"/>
    <w:rsid w:val="00A20B8C"/>
    <w:rsid w:val="00A20B94"/>
    <w:rsid w:val="00A20B99"/>
    <w:rsid w:val="00A20C69"/>
    <w:rsid w:val="00A20DE7"/>
    <w:rsid w:val="00A20DF6"/>
    <w:rsid w:val="00A20E1F"/>
    <w:rsid w:val="00A2103D"/>
    <w:rsid w:val="00A2107A"/>
    <w:rsid w:val="00A2112D"/>
    <w:rsid w:val="00A2113B"/>
    <w:rsid w:val="00A211AA"/>
    <w:rsid w:val="00A211D6"/>
    <w:rsid w:val="00A21263"/>
    <w:rsid w:val="00A212C7"/>
    <w:rsid w:val="00A212CD"/>
    <w:rsid w:val="00A21386"/>
    <w:rsid w:val="00A21439"/>
    <w:rsid w:val="00A216BC"/>
    <w:rsid w:val="00A2178F"/>
    <w:rsid w:val="00A217B9"/>
    <w:rsid w:val="00A218E9"/>
    <w:rsid w:val="00A2192F"/>
    <w:rsid w:val="00A21951"/>
    <w:rsid w:val="00A21A46"/>
    <w:rsid w:val="00A21AC9"/>
    <w:rsid w:val="00A21B98"/>
    <w:rsid w:val="00A21D7F"/>
    <w:rsid w:val="00A21E4D"/>
    <w:rsid w:val="00A21E5D"/>
    <w:rsid w:val="00A21EF0"/>
    <w:rsid w:val="00A21FD7"/>
    <w:rsid w:val="00A22063"/>
    <w:rsid w:val="00A2207D"/>
    <w:rsid w:val="00A220C7"/>
    <w:rsid w:val="00A220E7"/>
    <w:rsid w:val="00A222B0"/>
    <w:rsid w:val="00A22315"/>
    <w:rsid w:val="00A22326"/>
    <w:rsid w:val="00A223ED"/>
    <w:rsid w:val="00A22467"/>
    <w:rsid w:val="00A2255C"/>
    <w:rsid w:val="00A2258C"/>
    <w:rsid w:val="00A22627"/>
    <w:rsid w:val="00A2273B"/>
    <w:rsid w:val="00A228D8"/>
    <w:rsid w:val="00A22BE1"/>
    <w:rsid w:val="00A22CB1"/>
    <w:rsid w:val="00A22E54"/>
    <w:rsid w:val="00A22E98"/>
    <w:rsid w:val="00A22F2F"/>
    <w:rsid w:val="00A22F63"/>
    <w:rsid w:val="00A22F7A"/>
    <w:rsid w:val="00A23097"/>
    <w:rsid w:val="00A2312F"/>
    <w:rsid w:val="00A23168"/>
    <w:rsid w:val="00A231CB"/>
    <w:rsid w:val="00A2339D"/>
    <w:rsid w:val="00A233C0"/>
    <w:rsid w:val="00A2343A"/>
    <w:rsid w:val="00A234E6"/>
    <w:rsid w:val="00A235F4"/>
    <w:rsid w:val="00A2365F"/>
    <w:rsid w:val="00A236EE"/>
    <w:rsid w:val="00A2375F"/>
    <w:rsid w:val="00A23805"/>
    <w:rsid w:val="00A23840"/>
    <w:rsid w:val="00A23B6C"/>
    <w:rsid w:val="00A23BA5"/>
    <w:rsid w:val="00A23C23"/>
    <w:rsid w:val="00A23D50"/>
    <w:rsid w:val="00A23DD0"/>
    <w:rsid w:val="00A23E3A"/>
    <w:rsid w:val="00A23ECF"/>
    <w:rsid w:val="00A23F13"/>
    <w:rsid w:val="00A23F23"/>
    <w:rsid w:val="00A240B7"/>
    <w:rsid w:val="00A240F5"/>
    <w:rsid w:val="00A2427B"/>
    <w:rsid w:val="00A24472"/>
    <w:rsid w:val="00A244E5"/>
    <w:rsid w:val="00A246E8"/>
    <w:rsid w:val="00A2472F"/>
    <w:rsid w:val="00A2473D"/>
    <w:rsid w:val="00A2474A"/>
    <w:rsid w:val="00A2474C"/>
    <w:rsid w:val="00A24827"/>
    <w:rsid w:val="00A24955"/>
    <w:rsid w:val="00A24A75"/>
    <w:rsid w:val="00A24ADE"/>
    <w:rsid w:val="00A24B11"/>
    <w:rsid w:val="00A24B83"/>
    <w:rsid w:val="00A24B91"/>
    <w:rsid w:val="00A24BF5"/>
    <w:rsid w:val="00A24C20"/>
    <w:rsid w:val="00A24CED"/>
    <w:rsid w:val="00A24D0D"/>
    <w:rsid w:val="00A24F86"/>
    <w:rsid w:val="00A250DE"/>
    <w:rsid w:val="00A250FE"/>
    <w:rsid w:val="00A25139"/>
    <w:rsid w:val="00A252AC"/>
    <w:rsid w:val="00A25438"/>
    <w:rsid w:val="00A25446"/>
    <w:rsid w:val="00A25455"/>
    <w:rsid w:val="00A25500"/>
    <w:rsid w:val="00A2555C"/>
    <w:rsid w:val="00A25588"/>
    <w:rsid w:val="00A25705"/>
    <w:rsid w:val="00A2572E"/>
    <w:rsid w:val="00A25738"/>
    <w:rsid w:val="00A25807"/>
    <w:rsid w:val="00A258F1"/>
    <w:rsid w:val="00A259A8"/>
    <w:rsid w:val="00A259C0"/>
    <w:rsid w:val="00A259E6"/>
    <w:rsid w:val="00A25A5B"/>
    <w:rsid w:val="00A25AA5"/>
    <w:rsid w:val="00A25B7A"/>
    <w:rsid w:val="00A25BF4"/>
    <w:rsid w:val="00A25C8C"/>
    <w:rsid w:val="00A25C9F"/>
    <w:rsid w:val="00A25DF5"/>
    <w:rsid w:val="00A25E36"/>
    <w:rsid w:val="00A26099"/>
    <w:rsid w:val="00A26341"/>
    <w:rsid w:val="00A2647F"/>
    <w:rsid w:val="00A264F1"/>
    <w:rsid w:val="00A26596"/>
    <w:rsid w:val="00A265C2"/>
    <w:rsid w:val="00A265CF"/>
    <w:rsid w:val="00A26689"/>
    <w:rsid w:val="00A2683E"/>
    <w:rsid w:val="00A2684C"/>
    <w:rsid w:val="00A268C0"/>
    <w:rsid w:val="00A268E6"/>
    <w:rsid w:val="00A269D6"/>
    <w:rsid w:val="00A269E9"/>
    <w:rsid w:val="00A269F8"/>
    <w:rsid w:val="00A26A3E"/>
    <w:rsid w:val="00A26B3C"/>
    <w:rsid w:val="00A26B5C"/>
    <w:rsid w:val="00A26B6E"/>
    <w:rsid w:val="00A26D65"/>
    <w:rsid w:val="00A26E0A"/>
    <w:rsid w:val="00A26F96"/>
    <w:rsid w:val="00A26FD6"/>
    <w:rsid w:val="00A270EB"/>
    <w:rsid w:val="00A27142"/>
    <w:rsid w:val="00A272A3"/>
    <w:rsid w:val="00A272EA"/>
    <w:rsid w:val="00A27305"/>
    <w:rsid w:val="00A27417"/>
    <w:rsid w:val="00A274D7"/>
    <w:rsid w:val="00A27503"/>
    <w:rsid w:val="00A275DE"/>
    <w:rsid w:val="00A275F0"/>
    <w:rsid w:val="00A2761F"/>
    <w:rsid w:val="00A2762B"/>
    <w:rsid w:val="00A27659"/>
    <w:rsid w:val="00A277DE"/>
    <w:rsid w:val="00A2784E"/>
    <w:rsid w:val="00A279A5"/>
    <w:rsid w:val="00A27A74"/>
    <w:rsid w:val="00A27B10"/>
    <w:rsid w:val="00A27B16"/>
    <w:rsid w:val="00A27BA9"/>
    <w:rsid w:val="00A27BE2"/>
    <w:rsid w:val="00A27F48"/>
    <w:rsid w:val="00A27F71"/>
    <w:rsid w:val="00A27FC3"/>
    <w:rsid w:val="00A3028A"/>
    <w:rsid w:val="00A30352"/>
    <w:rsid w:val="00A303D7"/>
    <w:rsid w:val="00A30523"/>
    <w:rsid w:val="00A308C0"/>
    <w:rsid w:val="00A30B78"/>
    <w:rsid w:val="00A30BF2"/>
    <w:rsid w:val="00A30FF8"/>
    <w:rsid w:val="00A310BF"/>
    <w:rsid w:val="00A310ED"/>
    <w:rsid w:val="00A3117C"/>
    <w:rsid w:val="00A3123F"/>
    <w:rsid w:val="00A31283"/>
    <w:rsid w:val="00A312E0"/>
    <w:rsid w:val="00A31336"/>
    <w:rsid w:val="00A31424"/>
    <w:rsid w:val="00A314B6"/>
    <w:rsid w:val="00A3156F"/>
    <w:rsid w:val="00A31767"/>
    <w:rsid w:val="00A3187B"/>
    <w:rsid w:val="00A31ACD"/>
    <w:rsid w:val="00A31D0A"/>
    <w:rsid w:val="00A31D0C"/>
    <w:rsid w:val="00A31D4D"/>
    <w:rsid w:val="00A31D84"/>
    <w:rsid w:val="00A31E1F"/>
    <w:rsid w:val="00A31EE0"/>
    <w:rsid w:val="00A321A0"/>
    <w:rsid w:val="00A3225F"/>
    <w:rsid w:val="00A322F6"/>
    <w:rsid w:val="00A32472"/>
    <w:rsid w:val="00A324E5"/>
    <w:rsid w:val="00A32519"/>
    <w:rsid w:val="00A326C0"/>
    <w:rsid w:val="00A326FB"/>
    <w:rsid w:val="00A32823"/>
    <w:rsid w:val="00A32BF6"/>
    <w:rsid w:val="00A32BF8"/>
    <w:rsid w:val="00A32BFE"/>
    <w:rsid w:val="00A32C22"/>
    <w:rsid w:val="00A32C54"/>
    <w:rsid w:val="00A32CA3"/>
    <w:rsid w:val="00A32CCE"/>
    <w:rsid w:val="00A32D43"/>
    <w:rsid w:val="00A32D61"/>
    <w:rsid w:val="00A32E46"/>
    <w:rsid w:val="00A32E61"/>
    <w:rsid w:val="00A33095"/>
    <w:rsid w:val="00A33178"/>
    <w:rsid w:val="00A3318D"/>
    <w:rsid w:val="00A331BB"/>
    <w:rsid w:val="00A33283"/>
    <w:rsid w:val="00A3335C"/>
    <w:rsid w:val="00A333F7"/>
    <w:rsid w:val="00A33457"/>
    <w:rsid w:val="00A3345B"/>
    <w:rsid w:val="00A3353B"/>
    <w:rsid w:val="00A3354A"/>
    <w:rsid w:val="00A3364E"/>
    <w:rsid w:val="00A3376A"/>
    <w:rsid w:val="00A3388B"/>
    <w:rsid w:val="00A338B0"/>
    <w:rsid w:val="00A33906"/>
    <w:rsid w:val="00A33930"/>
    <w:rsid w:val="00A33A93"/>
    <w:rsid w:val="00A33B0D"/>
    <w:rsid w:val="00A33E1B"/>
    <w:rsid w:val="00A33ED0"/>
    <w:rsid w:val="00A34076"/>
    <w:rsid w:val="00A34094"/>
    <w:rsid w:val="00A34372"/>
    <w:rsid w:val="00A3458E"/>
    <w:rsid w:val="00A34743"/>
    <w:rsid w:val="00A34786"/>
    <w:rsid w:val="00A3494F"/>
    <w:rsid w:val="00A34BAD"/>
    <w:rsid w:val="00A34C1B"/>
    <w:rsid w:val="00A34C88"/>
    <w:rsid w:val="00A34DE6"/>
    <w:rsid w:val="00A34EBE"/>
    <w:rsid w:val="00A34EF9"/>
    <w:rsid w:val="00A34F74"/>
    <w:rsid w:val="00A350E2"/>
    <w:rsid w:val="00A3516E"/>
    <w:rsid w:val="00A3519C"/>
    <w:rsid w:val="00A3519E"/>
    <w:rsid w:val="00A35224"/>
    <w:rsid w:val="00A35273"/>
    <w:rsid w:val="00A35392"/>
    <w:rsid w:val="00A353CD"/>
    <w:rsid w:val="00A35469"/>
    <w:rsid w:val="00A356DA"/>
    <w:rsid w:val="00A3572D"/>
    <w:rsid w:val="00A35961"/>
    <w:rsid w:val="00A35A15"/>
    <w:rsid w:val="00A35B8A"/>
    <w:rsid w:val="00A35C8C"/>
    <w:rsid w:val="00A35E68"/>
    <w:rsid w:val="00A360C0"/>
    <w:rsid w:val="00A3613B"/>
    <w:rsid w:val="00A3620F"/>
    <w:rsid w:val="00A364D8"/>
    <w:rsid w:val="00A3658B"/>
    <w:rsid w:val="00A365B2"/>
    <w:rsid w:val="00A365CA"/>
    <w:rsid w:val="00A366A5"/>
    <w:rsid w:val="00A36829"/>
    <w:rsid w:val="00A3683E"/>
    <w:rsid w:val="00A36864"/>
    <w:rsid w:val="00A3691C"/>
    <w:rsid w:val="00A3695C"/>
    <w:rsid w:val="00A3696D"/>
    <w:rsid w:val="00A3697A"/>
    <w:rsid w:val="00A369AE"/>
    <w:rsid w:val="00A369C8"/>
    <w:rsid w:val="00A36B06"/>
    <w:rsid w:val="00A36BFE"/>
    <w:rsid w:val="00A36D48"/>
    <w:rsid w:val="00A37008"/>
    <w:rsid w:val="00A37127"/>
    <w:rsid w:val="00A37154"/>
    <w:rsid w:val="00A37297"/>
    <w:rsid w:val="00A37323"/>
    <w:rsid w:val="00A3736F"/>
    <w:rsid w:val="00A373CE"/>
    <w:rsid w:val="00A373E5"/>
    <w:rsid w:val="00A3747C"/>
    <w:rsid w:val="00A37491"/>
    <w:rsid w:val="00A37517"/>
    <w:rsid w:val="00A375AF"/>
    <w:rsid w:val="00A3778B"/>
    <w:rsid w:val="00A377B4"/>
    <w:rsid w:val="00A37860"/>
    <w:rsid w:val="00A378C6"/>
    <w:rsid w:val="00A379E7"/>
    <w:rsid w:val="00A37A8A"/>
    <w:rsid w:val="00A37B18"/>
    <w:rsid w:val="00A37F92"/>
    <w:rsid w:val="00A37FAF"/>
    <w:rsid w:val="00A37FBC"/>
    <w:rsid w:val="00A37FF6"/>
    <w:rsid w:val="00A4005E"/>
    <w:rsid w:val="00A40063"/>
    <w:rsid w:val="00A40111"/>
    <w:rsid w:val="00A403CF"/>
    <w:rsid w:val="00A403F3"/>
    <w:rsid w:val="00A404EC"/>
    <w:rsid w:val="00A4053F"/>
    <w:rsid w:val="00A40638"/>
    <w:rsid w:val="00A4067E"/>
    <w:rsid w:val="00A4070B"/>
    <w:rsid w:val="00A408FB"/>
    <w:rsid w:val="00A409D6"/>
    <w:rsid w:val="00A40D13"/>
    <w:rsid w:val="00A40EC2"/>
    <w:rsid w:val="00A41134"/>
    <w:rsid w:val="00A4114F"/>
    <w:rsid w:val="00A41159"/>
    <w:rsid w:val="00A41169"/>
    <w:rsid w:val="00A4119D"/>
    <w:rsid w:val="00A41480"/>
    <w:rsid w:val="00A416FF"/>
    <w:rsid w:val="00A417AD"/>
    <w:rsid w:val="00A4189E"/>
    <w:rsid w:val="00A418C1"/>
    <w:rsid w:val="00A418D9"/>
    <w:rsid w:val="00A41977"/>
    <w:rsid w:val="00A419B6"/>
    <w:rsid w:val="00A41A5D"/>
    <w:rsid w:val="00A41A7C"/>
    <w:rsid w:val="00A41B0D"/>
    <w:rsid w:val="00A41B8D"/>
    <w:rsid w:val="00A41D3B"/>
    <w:rsid w:val="00A41E46"/>
    <w:rsid w:val="00A41EB3"/>
    <w:rsid w:val="00A41F3B"/>
    <w:rsid w:val="00A41FB7"/>
    <w:rsid w:val="00A421D4"/>
    <w:rsid w:val="00A421E8"/>
    <w:rsid w:val="00A421F1"/>
    <w:rsid w:val="00A42278"/>
    <w:rsid w:val="00A422B8"/>
    <w:rsid w:val="00A42307"/>
    <w:rsid w:val="00A423BA"/>
    <w:rsid w:val="00A423F3"/>
    <w:rsid w:val="00A42554"/>
    <w:rsid w:val="00A425E9"/>
    <w:rsid w:val="00A426E5"/>
    <w:rsid w:val="00A42748"/>
    <w:rsid w:val="00A429D1"/>
    <w:rsid w:val="00A42A1F"/>
    <w:rsid w:val="00A42A31"/>
    <w:rsid w:val="00A42A9A"/>
    <w:rsid w:val="00A42AEF"/>
    <w:rsid w:val="00A42B39"/>
    <w:rsid w:val="00A43149"/>
    <w:rsid w:val="00A432F4"/>
    <w:rsid w:val="00A433B9"/>
    <w:rsid w:val="00A43406"/>
    <w:rsid w:val="00A4344A"/>
    <w:rsid w:val="00A43472"/>
    <w:rsid w:val="00A4349E"/>
    <w:rsid w:val="00A4353B"/>
    <w:rsid w:val="00A43715"/>
    <w:rsid w:val="00A43785"/>
    <w:rsid w:val="00A437B3"/>
    <w:rsid w:val="00A438AD"/>
    <w:rsid w:val="00A43915"/>
    <w:rsid w:val="00A4397F"/>
    <w:rsid w:val="00A43981"/>
    <w:rsid w:val="00A439DB"/>
    <w:rsid w:val="00A43C2F"/>
    <w:rsid w:val="00A43CB6"/>
    <w:rsid w:val="00A43D44"/>
    <w:rsid w:val="00A43D75"/>
    <w:rsid w:val="00A43F91"/>
    <w:rsid w:val="00A44084"/>
    <w:rsid w:val="00A440E6"/>
    <w:rsid w:val="00A441C7"/>
    <w:rsid w:val="00A4426D"/>
    <w:rsid w:val="00A44470"/>
    <w:rsid w:val="00A4457B"/>
    <w:rsid w:val="00A445A6"/>
    <w:rsid w:val="00A445AB"/>
    <w:rsid w:val="00A4461F"/>
    <w:rsid w:val="00A4479C"/>
    <w:rsid w:val="00A447DB"/>
    <w:rsid w:val="00A44928"/>
    <w:rsid w:val="00A449D0"/>
    <w:rsid w:val="00A44A1E"/>
    <w:rsid w:val="00A44A5E"/>
    <w:rsid w:val="00A44A86"/>
    <w:rsid w:val="00A44C20"/>
    <w:rsid w:val="00A44F62"/>
    <w:rsid w:val="00A45095"/>
    <w:rsid w:val="00A450D8"/>
    <w:rsid w:val="00A450DB"/>
    <w:rsid w:val="00A45146"/>
    <w:rsid w:val="00A451D9"/>
    <w:rsid w:val="00A453E7"/>
    <w:rsid w:val="00A455BD"/>
    <w:rsid w:val="00A4572D"/>
    <w:rsid w:val="00A4583F"/>
    <w:rsid w:val="00A45850"/>
    <w:rsid w:val="00A4590A"/>
    <w:rsid w:val="00A45962"/>
    <w:rsid w:val="00A459EE"/>
    <w:rsid w:val="00A45A81"/>
    <w:rsid w:val="00A45AA4"/>
    <w:rsid w:val="00A45AF4"/>
    <w:rsid w:val="00A45BB6"/>
    <w:rsid w:val="00A45E37"/>
    <w:rsid w:val="00A45E7A"/>
    <w:rsid w:val="00A4602F"/>
    <w:rsid w:val="00A4609C"/>
    <w:rsid w:val="00A4613A"/>
    <w:rsid w:val="00A46153"/>
    <w:rsid w:val="00A4622C"/>
    <w:rsid w:val="00A46709"/>
    <w:rsid w:val="00A4671C"/>
    <w:rsid w:val="00A467EA"/>
    <w:rsid w:val="00A4688D"/>
    <w:rsid w:val="00A468FD"/>
    <w:rsid w:val="00A469ED"/>
    <w:rsid w:val="00A46A01"/>
    <w:rsid w:val="00A46B3C"/>
    <w:rsid w:val="00A46BD4"/>
    <w:rsid w:val="00A46C0A"/>
    <w:rsid w:val="00A46E7B"/>
    <w:rsid w:val="00A46EED"/>
    <w:rsid w:val="00A46F17"/>
    <w:rsid w:val="00A46F1A"/>
    <w:rsid w:val="00A46F68"/>
    <w:rsid w:val="00A47083"/>
    <w:rsid w:val="00A470DD"/>
    <w:rsid w:val="00A470E3"/>
    <w:rsid w:val="00A4711C"/>
    <w:rsid w:val="00A47189"/>
    <w:rsid w:val="00A4735F"/>
    <w:rsid w:val="00A47400"/>
    <w:rsid w:val="00A474A6"/>
    <w:rsid w:val="00A4758B"/>
    <w:rsid w:val="00A47636"/>
    <w:rsid w:val="00A4768D"/>
    <w:rsid w:val="00A47697"/>
    <w:rsid w:val="00A477EA"/>
    <w:rsid w:val="00A47924"/>
    <w:rsid w:val="00A47987"/>
    <w:rsid w:val="00A479BC"/>
    <w:rsid w:val="00A47B9C"/>
    <w:rsid w:val="00A47CCB"/>
    <w:rsid w:val="00A47CEC"/>
    <w:rsid w:val="00A47EF8"/>
    <w:rsid w:val="00A47F58"/>
    <w:rsid w:val="00A5011E"/>
    <w:rsid w:val="00A50643"/>
    <w:rsid w:val="00A5079B"/>
    <w:rsid w:val="00A5093B"/>
    <w:rsid w:val="00A5094A"/>
    <w:rsid w:val="00A50C23"/>
    <w:rsid w:val="00A50D77"/>
    <w:rsid w:val="00A50E6A"/>
    <w:rsid w:val="00A50F3E"/>
    <w:rsid w:val="00A51010"/>
    <w:rsid w:val="00A51118"/>
    <w:rsid w:val="00A511FA"/>
    <w:rsid w:val="00A51267"/>
    <w:rsid w:val="00A51312"/>
    <w:rsid w:val="00A5136D"/>
    <w:rsid w:val="00A51410"/>
    <w:rsid w:val="00A5150B"/>
    <w:rsid w:val="00A5156A"/>
    <w:rsid w:val="00A51650"/>
    <w:rsid w:val="00A517A4"/>
    <w:rsid w:val="00A51897"/>
    <w:rsid w:val="00A518FE"/>
    <w:rsid w:val="00A51A43"/>
    <w:rsid w:val="00A51B9B"/>
    <w:rsid w:val="00A51E02"/>
    <w:rsid w:val="00A51E3F"/>
    <w:rsid w:val="00A51E85"/>
    <w:rsid w:val="00A51EC0"/>
    <w:rsid w:val="00A51F09"/>
    <w:rsid w:val="00A51F5F"/>
    <w:rsid w:val="00A51F9F"/>
    <w:rsid w:val="00A520C7"/>
    <w:rsid w:val="00A52151"/>
    <w:rsid w:val="00A521AE"/>
    <w:rsid w:val="00A521E9"/>
    <w:rsid w:val="00A5224C"/>
    <w:rsid w:val="00A522B6"/>
    <w:rsid w:val="00A5231E"/>
    <w:rsid w:val="00A5234F"/>
    <w:rsid w:val="00A523C6"/>
    <w:rsid w:val="00A523DC"/>
    <w:rsid w:val="00A52402"/>
    <w:rsid w:val="00A524F9"/>
    <w:rsid w:val="00A52548"/>
    <w:rsid w:val="00A525B0"/>
    <w:rsid w:val="00A528CD"/>
    <w:rsid w:val="00A5294A"/>
    <w:rsid w:val="00A529C7"/>
    <w:rsid w:val="00A52B27"/>
    <w:rsid w:val="00A52B50"/>
    <w:rsid w:val="00A52C70"/>
    <w:rsid w:val="00A52E5F"/>
    <w:rsid w:val="00A52E82"/>
    <w:rsid w:val="00A52F24"/>
    <w:rsid w:val="00A52FED"/>
    <w:rsid w:val="00A5303D"/>
    <w:rsid w:val="00A5304E"/>
    <w:rsid w:val="00A5336E"/>
    <w:rsid w:val="00A53510"/>
    <w:rsid w:val="00A53565"/>
    <w:rsid w:val="00A53618"/>
    <w:rsid w:val="00A53B05"/>
    <w:rsid w:val="00A53B9A"/>
    <w:rsid w:val="00A53C83"/>
    <w:rsid w:val="00A53CA4"/>
    <w:rsid w:val="00A53E38"/>
    <w:rsid w:val="00A53E84"/>
    <w:rsid w:val="00A53EF5"/>
    <w:rsid w:val="00A53F56"/>
    <w:rsid w:val="00A5411C"/>
    <w:rsid w:val="00A54225"/>
    <w:rsid w:val="00A543BB"/>
    <w:rsid w:val="00A5457B"/>
    <w:rsid w:val="00A546E5"/>
    <w:rsid w:val="00A54747"/>
    <w:rsid w:val="00A54954"/>
    <w:rsid w:val="00A5495C"/>
    <w:rsid w:val="00A54AB8"/>
    <w:rsid w:val="00A54C1D"/>
    <w:rsid w:val="00A54D0C"/>
    <w:rsid w:val="00A54D7D"/>
    <w:rsid w:val="00A54E5F"/>
    <w:rsid w:val="00A54E61"/>
    <w:rsid w:val="00A54ED3"/>
    <w:rsid w:val="00A55025"/>
    <w:rsid w:val="00A55175"/>
    <w:rsid w:val="00A55244"/>
    <w:rsid w:val="00A55447"/>
    <w:rsid w:val="00A554CD"/>
    <w:rsid w:val="00A55530"/>
    <w:rsid w:val="00A55584"/>
    <w:rsid w:val="00A555D1"/>
    <w:rsid w:val="00A55630"/>
    <w:rsid w:val="00A5596B"/>
    <w:rsid w:val="00A55AF4"/>
    <w:rsid w:val="00A55BC9"/>
    <w:rsid w:val="00A55DAF"/>
    <w:rsid w:val="00A55F08"/>
    <w:rsid w:val="00A55FA8"/>
    <w:rsid w:val="00A56197"/>
    <w:rsid w:val="00A5642D"/>
    <w:rsid w:val="00A565B0"/>
    <w:rsid w:val="00A56639"/>
    <w:rsid w:val="00A56650"/>
    <w:rsid w:val="00A56686"/>
    <w:rsid w:val="00A566E7"/>
    <w:rsid w:val="00A56709"/>
    <w:rsid w:val="00A56893"/>
    <w:rsid w:val="00A56920"/>
    <w:rsid w:val="00A5693C"/>
    <w:rsid w:val="00A56AB8"/>
    <w:rsid w:val="00A56AD9"/>
    <w:rsid w:val="00A56BAD"/>
    <w:rsid w:val="00A56C1A"/>
    <w:rsid w:val="00A56C2E"/>
    <w:rsid w:val="00A56CCB"/>
    <w:rsid w:val="00A56E0E"/>
    <w:rsid w:val="00A56E20"/>
    <w:rsid w:val="00A56EA0"/>
    <w:rsid w:val="00A56EE0"/>
    <w:rsid w:val="00A56F43"/>
    <w:rsid w:val="00A57134"/>
    <w:rsid w:val="00A57213"/>
    <w:rsid w:val="00A57266"/>
    <w:rsid w:val="00A573B0"/>
    <w:rsid w:val="00A57475"/>
    <w:rsid w:val="00A574FF"/>
    <w:rsid w:val="00A57517"/>
    <w:rsid w:val="00A5757C"/>
    <w:rsid w:val="00A5764A"/>
    <w:rsid w:val="00A5767C"/>
    <w:rsid w:val="00A57990"/>
    <w:rsid w:val="00A579AC"/>
    <w:rsid w:val="00A57B15"/>
    <w:rsid w:val="00A57C21"/>
    <w:rsid w:val="00A57C86"/>
    <w:rsid w:val="00A57D52"/>
    <w:rsid w:val="00A57EB1"/>
    <w:rsid w:val="00A6000D"/>
    <w:rsid w:val="00A60292"/>
    <w:rsid w:val="00A602FB"/>
    <w:rsid w:val="00A603A5"/>
    <w:rsid w:val="00A604E3"/>
    <w:rsid w:val="00A605F2"/>
    <w:rsid w:val="00A6069E"/>
    <w:rsid w:val="00A606F3"/>
    <w:rsid w:val="00A60766"/>
    <w:rsid w:val="00A607FE"/>
    <w:rsid w:val="00A6088B"/>
    <w:rsid w:val="00A608DD"/>
    <w:rsid w:val="00A60962"/>
    <w:rsid w:val="00A60AD9"/>
    <w:rsid w:val="00A60ADE"/>
    <w:rsid w:val="00A60BE0"/>
    <w:rsid w:val="00A60C81"/>
    <w:rsid w:val="00A60D3E"/>
    <w:rsid w:val="00A60FA0"/>
    <w:rsid w:val="00A60FBA"/>
    <w:rsid w:val="00A60FC4"/>
    <w:rsid w:val="00A611A1"/>
    <w:rsid w:val="00A6124C"/>
    <w:rsid w:val="00A613CA"/>
    <w:rsid w:val="00A61446"/>
    <w:rsid w:val="00A61735"/>
    <w:rsid w:val="00A6174C"/>
    <w:rsid w:val="00A61782"/>
    <w:rsid w:val="00A61969"/>
    <w:rsid w:val="00A6198F"/>
    <w:rsid w:val="00A619B1"/>
    <w:rsid w:val="00A61B8A"/>
    <w:rsid w:val="00A61D5C"/>
    <w:rsid w:val="00A61D73"/>
    <w:rsid w:val="00A61D74"/>
    <w:rsid w:val="00A61E24"/>
    <w:rsid w:val="00A61EA2"/>
    <w:rsid w:val="00A61EF1"/>
    <w:rsid w:val="00A61F13"/>
    <w:rsid w:val="00A6209E"/>
    <w:rsid w:val="00A620EB"/>
    <w:rsid w:val="00A620F7"/>
    <w:rsid w:val="00A6217E"/>
    <w:rsid w:val="00A622A3"/>
    <w:rsid w:val="00A62352"/>
    <w:rsid w:val="00A62414"/>
    <w:rsid w:val="00A62461"/>
    <w:rsid w:val="00A6265F"/>
    <w:rsid w:val="00A62672"/>
    <w:rsid w:val="00A62745"/>
    <w:rsid w:val="00A62755"/>
    <w:rsid w:val="00A62805"/>
    <w:rsid w:val="00A6288C"/>
    <w:rsid w:val="00A628A0"/>
    <w:rsid w:val="00A62900"/>
    <w:rsid w:val="00A62945"/>
    <w:rsid w:val="00A62B2F"/>
    <w:rsid w:val="00A62BEC"/>
    <w:rsid w:val="00A62C92"/>
    <w:rsid w:val="00A62CC2"/>
    <w:rsid w:val="00A62F95"/>
    <w:rsid w:val="00A63008"/>
    <w:rsid w:val="00A63078"/>
    <w:rsid w:val="00A6357C"/>
    <w:rsid w:val="00A63674"/>
    <w:rsid w:val="00A636DC"/>
    <w:rsid w:val="00A6375D"/>
    <w:rsid w:val="00A63799"/>
    <w:rsid w:val="00A63AA4"/>
    <w:rsid w:val="00A63B33"/>
    <w:rsid w:val="00A63CE6"/>
    <w:rsid w:val="00A63D35"/>
    <w:rsid w:val="00A63DCE"/>
    <w:rsid w:val="00A63EF1"/>
    <w:rsid w:val="00A63F20"/>
    <w:rsid w:val="00A642B6"/>
    <w:rsid w:val="00A64385"/>
    <w:rsid w:val="00A6448E"/>
    <w:rsid w:val="00A6473E"/>
    <w:rsid w:val="00A647F5"/>
    <w:rsid w:val="00A64814"/>
    <w:rsid w:val="00A649C9"/>
    <w:rsid w:val="00A64A62"/>
    <w:rsid w:val="00A64A76"/>
    <w:rsid w:val="00A64A84"/>
    <w:rsid w:val="00A64B1B"/>
    <w:rsid w:val="00A64B58"/>
    <w:rsid w:val="00A64BDE"/>
    <w:rsid w:val="00A64CF3"/>
    <w:rsid w:val="00A64FA3"/>
    <w:rsid w:val="00A6501E"/>
    <w:rsid w:val="00A6509D"/>
    <w:rsid w:val="00A650AC"/>
    <w:rsid w:val="00A650C9"/>
    <w:rsid w:val="00A65103"/>
    <w:rsid w:val="00A6517B"/>
    <w:rsid w:val="00A651EB"/>
    <w:rsid w:val="00A65219"/>
    <w:rsid w:val="00A65250"/>
    <w:rsid w:val="00A6551B"/>
    <w:rsid w:val="00A65554"/>
    <w:rsid w:val="00A656A7"/>
    <w:rsid w:val="00A657CE"/>
    <w:rsid w:val="00A6587E"/>
    <w:rsid w:val="00A65A2F"/>
    <w:rsid w:val="00A65AD5"/>
    <w:rsid w:val="00A65AD9"/>
    <w:rsid w:val="00A65E3B"/>
    <w:rsid w:val="00A65F91"/>
    <w:rsid w:val="00A65FBB"/>
    <w:rsid w:val="00A65FD6"/>
    <w:rsid w:val="00A65FF1"/>
    <w:rsid w:val="00A66052"/>
    <w:rsid w:val="00A6605E"/>
    <w:rsid w:val="00A660BA"/>
    <w:rsid w:val="00A663AE"/>
    <w:rsid w:val="00A66403"/>
    <w:rsid w:val="00A664B0"/>
    <w:rsid w:val="00A664E3"/>
    <w:rsid w:val="00A66584"/>
    <w:rsid w:val="00A66586"/>
    <w:rsid w:val="00A6669D"/>
    <w:rsid w:val="00A666F5"/>
    <w:rsid w:val="00A666FF"/>
    <w:rsid w:val="00A667FD"/>
    <w:rsid w:val="00A6684B"/>
    <w:rsid w:val="00A66962"/>
    <w:rsid w:val="00A66A2B"/>
    <w:rsid w:val="00A66B09"/>
    <w:rsid w:val="00A66B1E"/>
    <w:rsid w:val="00A66BB6"/>
    <w:rsid w:val="00A66EA0"/>
    <w:rsid w:val="00A66F35"/>
    <w:rsid w:val="00A66F93"/>
    <w:rsid w:val="00A670A9"/>
    <w:rsid w:val="00A670B8"/>
    <w:rsid w:val="00A670C7"/>
    <w:rsid w:val="00A67129"/>
    <w:rsid w:val="00A671A7"/>
    <w:rsid w:val="00A671B5"/>
    <w:rsid w:val="00A671D3"/>
    <w:rsid w:val="00A671F5"/>
    <w:rsid w:val="00A6747E"/>
    <w:rsid w:val="00A67511"/>
    <w:rsid w:val="00A67527"/>
    <w:rsid w:val="00A67669"/>
    <w:rsid w:val="00A677D0"/>
    <w:rsid w:val="00A67AC2"/>
    <w:rsid w:val="00A67BA9"/>
    <w:rsid w:val="00A67C1F"/>
    <w:rsid w:val="00A67D8A"/>
    <w:rsid w:val="00A67F68"/>
    <w:rsid w:val="00A67FE8"/>
    <w:rsid w:val="00A67FE9"/>
    <w:rsid w:val="00A70056"/>
    <w:rsid w:val="00A70080"/>
    <w:rsid w:val="00A70108"/>
    <w:rsid w:val="00A70220"/>
    <w:rsid w:val="00A702C6"/>
    <w:rsid w:val="00A702CF"/>
    <w:rsid w:val="00A703CB"/>
    <w:rsid w:val="00A703DF"/>
    <w:rsid w:val="00A703E5"/>
    <w:rsid w:val="00A703FC"/>
    <w:rsid w:val="00A7049E"/>
    <w:rsid w:val="00A706B5"/>
    <w:rsid w:val="00A70878"/>
    <w:rsid w:val="00A708A7"/>
    <w:rsid w:val="00A70AB3"/>
    <w:rsid w:val="00A70BAD"/>
    <w:rsid w:val="00A70BF7"/>
    <w:rsid w:val="00A70C4F"/>
    <w:rsid w:val="00A70EE8"/>
    <w:rsid w:val="00A71004"/>
    <w:rsid w:val="00A71296"/>
    <w:rsid w:val="00A71324"/>
    <w:rsid w:val="00A713B8"/>
    <w:rsid w:val="00A713EC"/>
    <w:rsid w:val="00A71625"/>
    <w:rsid w:val="00A71631"/>
    <w:rsid w:val="00A716A7"/>
    <w:rsid w:val="00A71791"/>
    <w:rsid w:val="00A717CC"/>
    <w:rsid w:val="00A717F4"/>
    <w:rsid w:val="00A71835"/>
    <w:rsid w:val="00A71853"/>
    <w:rsid w:val="00A7193A"/>
    <w:rsid w:val="00A719FE"/>
    <w:rsid w:val="00A71B21"/>
    <w:rsid w:val="00A71BB7"/>
    <w:rsid w:val="00A71C53"/>
    <w:rsid w:val="00A71C62"/>
    <w:rsid w:val="00A71CA0"/>
    <w:rsid w:val="00A71CE0"/>
    <w:rsid w:val="00A71DD0"/>
    <w:rsid w:val="00A71DEB"/>
    <w:rsid w:val="00A71E15"/>
    <w:rsid w:val="00A71E5D"/>
    <w:rsid w:val="00A71E7F"/>
    <w:rsid w:val="00A71EAB"/>
    <w:rsid w:val="00A71FAA"/>
    <w:rsid w:val="00A72158"/>
    <w:rsid w:val="00A7243B"/>
    <w:rsid w:val="00A7243C"/>
    <w:rsid w:val="00A724BF"/>
    <w:rsid w:val="00A725C9"/>
    <w:rsid w:val="00A72732"/>
    <w:rsid w:val="00A72943"/>
    <w:rsid w:val="00A72AEB"/>
    <w:rsid w:val="00A72AF4"/>
    <w:rsid w:val="00A72B3A"/>
    <w:rsid w:val="00A72B50"/>
    <w:rsid w:val="00A72BE1"/>
    <w:rsid w:val="00A72C3D"/>
    <w:rsid w:val="00A72C40"/>
    <w:rsid w:val="00A72CA4"/>
    <w:rsid w:val="00A72CE1"/>
    <w:rsid w:val="00A72E01"/>
    <w:rsid w:val="00A72E38"/>
    <w:rsid w:val="00A72EB3"/>
    <w:rsid w:val="00A72F47"/>
    <w:rsid w:val="00A73156"/>
    <w:rsid w:val="00A73230"/>
    <w:rsid w:val="00A73237"/>
    <w:rsid w:val="00A73302"/>
    <w:rsid w:val="00A73391"/>
    <w:rsid w:val="00A733A6"/>
    <w:rsid w:val="00A733AC"/>
    <w:rsid w:val="00A733E4"/>
    <w:rsid w:val="00A73450"/>
    <w:rsid w:val="00A7346D"/>
    <w:rsid w:val="00A7349A"/>
    <w:rsid w:val="00A734BE"/>
    <w:rsid w:val="00A7350B"/>
    <w:rsid w:val="00A736D7"/>
    <w:rsid w:val="00A736E8"/>
    <w:rsid w:val="00A73789"/>
    <w:rsid w:val="00A737A9"/>
    <w:rsid w:val="00A7389F"/>
    <w:rsid w:val="00A738F6"/>
    <w:rsid w:val="00A73AF9"/>
    <w:rsid w:val="00A73BBE"/>
    <w:rsid w:val="00A73C52"/>
    <w:rsid w:val="00A73CE0"/>
    <w:rsid w:val="00A73D30"/>
    <w:rsid w:val="00A73D81"/>
    <w:rsid w:val="00A73D88"/>
    <w:rsid w:val="00A73DC8"/>
    <w:rsid w:val="00A7423B"/>
    <w:rsid w:val="00A742AF"/>
    <w:rsid w:val="00A742DF"/>
    <w:rsid w:val="00A74581"/>
    <w:rsid w:val="00A745A6"/>
    <w:rsid w:val="00A74624"/>
    <w:rsid w:val="00A74733"/>
    <w:rsid w:val="00A747E2"/>
    <w:rsid w:val="00A748C8"/>
    <w:rsid w:val="00A74A0A"/>
    <w:rsid w:val="00A74A2A"/>
    <w:rsid w:val="00A74ACB"/>
    <w:rsid w:val="00A74EC2"/>
    <w:rsid w:val="00A74F35"/>
    <w:rsid w:val="00A74F9C"/>
    <w:rsid w:val="00A7508D"/>
    <w:rsid w:val="00A7512A"/>
    <w:rsid w:val="00A7519E"/>
    <w:rsid w:val="00A7519F"/>
    <w:rsid w:val="00A7542F"/>
    <w:rsid w:val="00A75669"/>
    <w:rsid w:val="00A756A5"/>
    <w:rsid w:val="00A756AD"/>
    <w:rsid w:val="00A757AF"/>
    <w:rsid w:val="00A758F7"/>
    <w:rsid w:val="00A75975"/>
    <w:rsid w:val="00A75A68"/>
    <w:rsid w:val="00A75D07"/>
    <w:rsid w:val="00A75FC4"/>
    <w:rsid w:val="00A75FD6"/>
    <w:rsid w:val="00A760DE"/>
    <w:rsid w:val="00A76182"/>
    <w:rsid w:val="00A76315"/>
    <w:rsid w:val="00A765DE"/>
    <w:rsid w:val="00A76608"/>
    <w:rsid w:val="00A7672B"/>
    <w:rsid w:val="00A7672E"/>
    <w:rsid w:val="00A767DB"/>
    <w:rsid w:val="00A76933"/>
    <w:rsid w:val="00A769BA"/>
    <w:rsid w:val="00A769D8"/>
    <w:rsid w:val="00A76AF1"/>
    <w:rsid w:val="00A76C4C"/>
    <w:rsid w:val="00A76C99"/>
    <w:rsid w:val="00A76CDB"/>
    <w:rsid w:val="00A76CF4"/>
    <w:rsid w:val="00A76ECD"/>
    <w:rsid w:val="00A76F23"/>
    <w:rsid w:val="00A76F5C"/>
    <w:rsid w:val="00A770D2"/>
    <w:rsid w:val="00A7717E"/>
    <w:rsid w:val="00A7718B"/>
    <w:rsid w:val="00A7727A"/>
    <w:rsid w:val="00A77339"/>
    <w:rsid w:val="00A77465"/>
    <w:rsid w:val="00A77573"/>
    <w:rsid w:val="00A777C0"/>
    <w:rsid w:val="00A779D7"/>
    <w:rsid w:val="00A77A39"/>
    <w:rsid w:val="00A77A45"/>
    <w:rsid w:val="00A77A5C"/>
    <w:rsid w:val="00A77B58"/>
    <w:rsid w:val="00A77D63"/>
    <w:rsid w:val="00A77DD4"/>
    <w:rsid w:val="00A77DF5"/>
    <w:rsid w:val="00A77E3D"/>
    <w:rsid w:val="00A77E51"/>
    <w:rsid w:val="00A77E58"/>
    <w:rsid w:val="00A77FA2"/>
    <w:rsid w:val="00A77FA7"/>
    <w:rsid w:val="00A77FC4"/>
    <w:rsid w:val="00A80039"/>
    <w:rsid w:val="00A80084"/>
    <w:rsid w:val="00A801E8"/>
    <w:rsid w:val="00A801FB"/>
    <w:rsid w:val="00A8027F"/>
    <w:rsid w:val="00A80456"/>
    <w:rsid w:val="00A805B6"/>
    <w:rsid w:val="00A80674"/>
    <w:rsid w:val="00A80711"/>
    <w:rsid w:val="00A80792"/>
    <w:rsid w:val="00A808C8"/>
    <w:rsid w:val="00A808D5"/>
    <w:rsid w:val="00A80A9B"/>
    <w:rsid w:val="00A80B1B"/>
    <w:rsid w:val="00A80C11"/>
    <w:rsid w:val="00A80D4B"/>
    <w:rsid w:val="00A80DE5"/>
    <w:rsid w:val="00A80F0B"/>
    <w:rsid w:val="00A80F70"/>
    <w:rsid w:val="00A8107B"/>
    <w:rsid w:val="00A810F9"/>
    <w:rsid w:val="00A81101"/>
    <w:rsid w:val="00A8133F"/>
    <w:rsid w:val="00A813FA"/>
    <w:rsid w:val="00A81408"/>
    <w:rsid w:val="00A814AE"/>
    <w:rsid w:val="00A81593"/>
    <w:rsid w:val="00A81731"/>
    <w:rsid w:val="00A81794"/>
    <w:rsid w:val="00A817DB"/>
    <w:rsid w:val="00A8192C"/>
    <w:rsid w:val="00A81A40"/>
    <w:rsid w:val="00A81A6B"/>
    <w:rsid w:val="00A81AFD"/>
    <w:rsid w:val="00A81B7A"/>
    <w:rsid w:val="00A81D48"/>
    <w:rsid w:val="00A81D7B"/>
    <w:rsid w:val="00A820ED"/>
    <w:rsid w:val="00A82261"/>
    <w:rsid w:val="00A82272"/>
    <w:rsid w:val="00A822AF"/>
    <w:rsid w:val="00A822CE"/>
    <w:rsid w:val="00A82371"/>
    <w:rsid w:val="00A824E6"/>
    <w:rsid w:val="00A824F2"/>
    <w:rsid w:val="00A82545"/>
    <w:rsid w:val="00A82654"/>
    <w:rsid w:val="00A826EF"/>
    <w:rsid w:val="00A8277A"/>
    <w:rsid w:val="00A829BF"/>
    <w:rsid w:val="00A829E2"/>
    <w:rsid w:val="00A82B86"/>
    <w:rsid w:val="00A82C7F"/>
    <w:rsid w:val="00A82D64"/>
    <w:rsid w:val="00A82D83"/>
    <w:rsid w:val="00A83049"/>
    <w:rsid w:val="00A830F2"/>
    <w:rsid w:val="00A8324E"/>
    <w:rsid w:val="00A832C8"/>
    <w:rsid w:val="00A83317"/>
    <w:rsid w:val="00A83374"/>
    <w:rsid w:val="00A83404"/>
    <w:rsid w:val="00A834C3"/>
    <w:rsid w:val="00A83547"/>
    <w:rsid w:val="00A83707"/>
    <w:rsid w:val="00A83843"/>
    <w:rsid w:val="00A8389B"/>
    <w:rsid w:val="00A8394E"/>
    <w:rsid w:val="00A83B91"/>
    <w:rsid w:val="00A83C22"/>
    <w:rsid w:val="00A83DAE"/>
    <w:rsid w:val="00A83E35"/>
    <w:rsid w:val="00A83EB4"/>
    <w:rsid w:val="00A83F58"/>
    <w:rsid w:val="00A83F67"/>
    <w:rsid w:val="00A84122"/>
    <w:rsid w:val="00A841BA"/>
    <w:rsid w:val="00A84255"/>
    <w:rsid w:val="00A842CA"/>
    <w:rsid w:val="00A84338"/>
    <w:rsid w:val="00A84373"/>
    <w:rsid w:val="00A843A1"/>
    <w:rsid w:val="00A844F9"/>
    <w:rsid w:val="00A844FE"/>
    <w:rsid w:val="00A845AC"/>
    <w:rsid w:val="00A846FB"/>
    <w:rsid w:val="00A8475A"/>
    <w:rsid w:val="00A8487D"/>
    <w:rsid w:val="00A84890"/>
    <w:rsid w:val="00A8498D"/>
    <w:rsid w:val="00A84B12"/>
    <w:rsid w:val="00A84B83"/>
    <w:rsid w:val="00A84CAF"/>
    <w:rsid w:val="00A8502B"/>
    <w:rsid w:val="00A850B1"/>
    <w:rsid w:val="00A851C3"/>
    <w:rsid w:val="00A853BB"/>
    <w:rsid w:val="00A85509"/>
    <w:rsid w:val="00A8551A"/>
    <w:rsid w:val="00A856BE"/>
    <w:rsid w:val="00A856D5"/>
    <w:rsid w:val="00A8590B"/>
    <w:rsid w:val="00A85A57"/>
    <w:rsid w:val="00A85B31"/>
    <w:rsid w:val="00A85CAE"/>
    <w:rsid w:val="00A85DBF"/>
    <w:rsid w:val="00A85E85"/>
    <w:rsid w:val="00A85FD5"/>
    <w:rsid w:val="00A86004"/>
    <w:rsid w:val="00A8606B"/>
    <w:rsid w:val="00A860AD"/>
    <w:rsid w:val="00A862AE"/>
    <w:rsid w:val="00A8636B"/>
    <w:rsid w:val="00A863E5"/>
    <w:rsid w:val="00A86413"/>
    <w:rsid w:val="00A8643A"/>
    <w:rsid w:val="00A865A7"/>
    <w:rsid w:val="00A86723"/>
    <w:rsid w:val="00A8679E"/>
    <w:rsid w:val="00A86852"/>
    <w:rsid w:val="00A86891"/>
    <w:rsid w:val="00A8696D"/>
    <w:rsid w:val="00A869BC"/>
    <w:rsid w:val="00A869EC"/>
    <w:rsid w:val="00A869F3"/>
    <w:rsid w:val="00A86B0F"/>
    <w:rsid w:val="00A86B1D"/>
    <w:rsid w:val="00A86B2B"/>
    <w:rsid w:val="00A86B5E"/>
    <w:rsid w:val="00A86BC6"/>
    <w:rsid w:val="00A86C23"/>
    <w:rsid w:val="00A86C4F"/>
    <w:rsid w:val="00A86ED0"/>
    <w:rsid w:val="00A86EFE"/>
    <w:rsid w:val="00A86FD1"/>
    <w:rsid w:val="00A87027"/>
    <w:rsid w:val="00A870BC"/>
    <w:rsid w:val="00A872BB"/>
    <w:rsid w:val="00A87396"/>
    <w:rsid w:val="00A873EF"/>
    <w:rsid w:val="00A8743D"/>
    <w:rsid w:val="00A87449"/>
    <w:rsid w:val="00A874AE"/>
    <w:rsid w:val="00A8753F"/>
    <w:rsid w:val="00A875C1"/>
    <w:rsid w:val="00A87787"/>
    <w:rsid w:val="00A87923"/>
    <w:rsid w:val="00A87973"/>
    <w:rsid w:val="00A8798E"/>
    <w:rsid w:val="00A87A07"/>
    <w:rsid w:val="00A87AC6"/>
    <w:rsid w:val="00A87B34"/>
    <w:rsid w:val="00A87C33"/>
    <w:rsid w:val="00A87C80"/>
    <w:rsid w:val="00A87E05"/>
    <w:rsid w:val="00A87E2F"/>
    <w:rsid w:val="00A87F12"/>
    <w:rsid w:val="00A87F15"/>
    <w:rsid w:val="00A87F99"/>
    <w:rsid w:val="00A87FC2"/>
    <w:rsid w:val="00A90008"/>
    <w:rsid w:val="00A9001B"/>
    <w:rsid w:val="00A9006E"/>
    <w:rsid w:val="00A90083"/>
    <w:rsid w:val="00A900D4"/>
    <w:rsid w:val="00A90189"/>
    <w:rsid w:val="00A9018E"/>
    <w:rsid w:val="00A9019D"/>
    <w:rsid w:val="00A901C3"/>
    <w:rsid w:val="00A90341"/>
    <w:rsid w:val="00A90355"/>
    <w:rsid w:val="00A90523"/>
    <w:rsid w:val="00A90559"/>
    <w:rsid w:val="00A90825"/>
    <w:rsid w:val="00A908C5"/>
    <w:rsid w:val="00A908CF"/>
    <w:rsid w:val="00A909E0"/>
    <w:rsid w:val="00A90AC6"/>
    <w:rsid w:val="00A90B77"/>
    <w:rsid w:val="00A90B95"/>
    <w:rsid w:val="00A90EA0"/>
    <w:rsid w:val="00A90EC8"/>
    <w:rsid w:val="00A90EE9"/>
    <w:rsid w:val="00A90F9C"/>
    <w:rsid w:val="00A90FC8"/>
    <w:rsid w:val="00A90FF6"/>
    <w:rsid w:val="00A9107B"/>
    <w:rsid w:val="00A910D8"/>
    <w:rsid w:val="00A91288"/>
    <w:rsid w:val="00A91541"/>
    <w:rsid w:val="00A918E1"/>
    <w:rsid w:val="00A91A43"/>
    <w:rsid w:val="00A91B6B"/>
    <w:rsid w:val="00A91CBD"/>
    <w:rsid w:val="00A91D5B"/>
    <w:rsid w:val="00A91E81"/>
    <w:rsid w:val="00A91FB2"/>
    <w:rsid w:val="00A9212A"/>
    <w:rsid w:val="00A921ED"/>
    <w:rsid w:val="00A9226A"/>
    <w:rsid w:val="00A92401"/>
    <w:rsid w:val="00A92602"/>
    <w:rsid w:val="00A92707"/>
    <w:rsid w:val="00A9278D"/>
    <w:rsid w:val="00A927A8"/>
    <w:rsid w:val="00A928AB"/>
    <w:rsid w:val="00A928B5"/>
    <w:rsid w:val="00A92A14"/>
    <w:rsid w:val="00A92AA6"/>
    <w:rsid w:val="00A92ADA"/>
    <w:rsid w:val="00A92AEC"/>
    <w:rsid w:val="00A92BB3"/>
    <w:rsid w:val="00A92C94"/>
    <w:rsid w:val="00A92CCE"/>
    <w:rsid w:val="00A92D76"/>
    <w:rsid w:val="00A92E5D"/>
    <w:rsid w:val="00A92F2E"/>
    <w:rsid w:val="00A9314A"/>
    <w:rsid w:val="00A931B7"/>
    <w:rsid w:val="00A93205"/>
    <w:rsid w:val="00A93263"/>
    <w:rsid w:val="00A9327E"/>
    <w:rsid w:val="00A93351"/>
    <w:rsid w:val="00A933B1"/>
    <w:rsid w:val="00A93400"/>
    <w:rsid w:val="00A93412"/>
    <w:rsid w:val="00A9364A"/>
    <w:rsid w:val="00A9366E"/>
    <w:rsid w:val="00A93743"/>
    <w:rsid w:val="00A93783"/>
    <w:rsid w:val="00A937E2"/>
    <w:rsid w:val="00A93896"/>
    <w:rsid w:val="00A939E1"/>
    <w:rsid w:val="00A93A24"/>
    <w:rsid w:val="00A93A3F"/>
    <w:rsid w:val="00A93B3A"/>
    <w:rsid w:val="00A93D2C"/>
    <w:rsid w:val="00A93D80"/>
    <w:rsid w:val="00A93D91"/>
    <w:rsid w:val="00A93DB2"/>
    <w:rsid w:val="00A93E97"/>
    <w:rsid w:val="00A93F38"/>
    <w:rsid w:val="00A93FBB"/>
    <w:rsid w:val="00A93FC5"/>
    <w:rsid w:val="00A9408A"/>
    <w:rsid w:val="00A94175"/>
    <w:rsid w:val="00A942AC"/>
    <w:rsid w:val="00A94623"/>
    <w:rsid w:val="00A9462D"/>
    <w:rsid w:val="00A94864"/>
    <w:rsid w:val="00A948B8"/>
    <w:rsid w:val="00A949A9"/>
    <w:rsid w:val="00A94A58"/>
    <w:rsid w:val="00A94DE8"/>
    <w:rsid w:val="00A94EDD"/>
    <w:rsid w:val="00A95066"/>
    <w:rsid w:val="00A9507E"/>
    <w:rsid w:val="00A95225"/>
    <w:rsid w:val="00A9527A"/>
    <w:rsid w:val="00A952BB"/>
    <w:rsid w:val="00A954BC"/>
    <w:rsid w:val="00A95545"/>
    <w:rsid w:val="00A95608"/>
    <w:rsid w:val="00A95822"/>
    <w:rsid w:val="00A95826"/>
    <w:rsid w:val="00A958A2"/>
    <w:rsid w:val="00A95906"/>
    <w:rsid w:val="00A95938"/>
    <w:rsid w:val="00A95975"/>
    <w:rsid w:val="00A959F2"/>
    <w:rsid w:val="00A95A45"/>
    <w:rsid w:val="00A95CF5"/>
    <w:rsid w:val="00A95D38"/>
    <w:rsid w:val="00A95DC0"/>
    <w:rsid w:val="00A95E36"/>
    <w:rsid w:val="00A96037"/>
    <w:rsid w:val="00A96154"/>
    <w:rsid w:val="00A962E0"/>
    <w:rsid w:val="00A96374"/>
    <w:rsid w:val="00A96388"/>
    <w:rsid w:val="00A96518"/>
    <w:rsid w:val="00A96644"/>
    <w:rsid w:val="00A9678A"/>
    <w:rsid w:val="00A96910"/>
    <w:rsid w:val="00A9691C"/>
    <w:rsid w:val="00A96953"/>
    <w:rsid w:val="00A969EF"/>
    <w:rsid w:val="00A969F4"/>
    <w:rsid w:val="00A96A54"/>
    <w:rsid w:val="00A96B47"/>
    <w:rsid w:val="00A96CE7"/>
    <w:rsid w:val="00A96E01"/>
    <w:rsid w:val="00A96EC4"/>
    <w:rsid w:val="00A96F5C"/>
    <w:rsid w:val="00A96FC8"/>
    <w:rsid w:val="00A970EE"/>
    <w:rsid w:val="00A970FC"/>
    <w:rsid w:val="00A9712C"/>
    <w:rsid w:val="00A971E0"/>
    <w:rsid w:val="00A971FB"/>
    <w:rsid w:val="00A9723A"/>
    <w:rsid w:val="00A974EA"/>
    <w:rsid w:val="00A97534"/>
    <w:rsid w:val="00A975E8"/>
    <w:rsid w:val="00A97600"/>
    <w:rsid w:val="00A9764F"/>
    <w:rsid w:val="00A97692"/>
    <w:rsid w:val="00A976A3"/>
    <w:rsid w:val="00A978DF"/>
    <w:rsid w:val="00A978E9"/>
    <w:rsid w:val="00A97AFB"/>
    <w:rsid w:val="00A97C20"/>
    <w:rsid w:val="00A97DA9"/>
    <w:rsid w:val="00A97DDC"/>
    <w:rsid w:val="00A97F7F"/>
    <w:rsid w:val="00AA0080"/>
    <w:rsid w:val="00AA00AB"/>
    <w:rsid w:val="00AA0326"/>
    <w:rsid w:val="00AA034D"/>
    <w:rsid w:val="00AA0583"/>
    <w:rsid w:val="00AA077A"/>
    <w:rsid w:val="00AA0A67"/>
    <w:rsid w:val="00AA0AC3"/>
    <w:rsid w:val="00AA0BCD"/>
    <w:rsid w:val="00AA0BFA"/>
    <w:rsid w:val="00AA0CA8"/>
    <w:rsid w:val="00AA1024"/>
    <w:rsid w:val="00AA1055"/>
    <w:rsid w:val="00AA1102"/>
    <w:rsid w:val="00AA1169"/>
    <w:rsid w:val="00AA11F6"/>
    <w:rsid w:val="00AA11F9"/>
    <w:rsid w:val="00AA1227"/>
    <w:rsid w:val="00AA1538"/>
    <w:rsid w:val="00AA1569"/>
    <w:rsid w:val="00AA1576"/>
    <w:rsid w:val="00AA164F"/>
    <w:rsid w:val="00AA16A3"/>
    <w:rsid w:val="00AA1702"/>
    <w:rsid w:val="00AA1955"/>
    <w:rsid w:val="00AA19D0"/>
    <w:rsid w:val="00AA19F4"/>
    <w:rsid w:val="00AA1B40"/>
    <w:rsid w:val="00AA1B76"/>
    <w:rsid w:val="00AA1E5A"/>
    <w:rsid w:val="00AA1EA4"/>
    <w:rsid w:val="00AA1F96"/>
    <w:rsid w:val="00AA1F99"/>
    <w:rsid w:val="00AA204B"/>
    <w:rsid w:val="00AA20EE"/>
    <w:rsid w:val="00AA20F4"/>
    <w:rsid w:val="00AA2184"/>
    <w:rsid w:val="00AA219B"/>
    <w:rsid w:val="00AA2237"/>
    <w:rsid w:val="00AA223A"/>
    <w:rsid w:val="00AA2310"/>
    <w:rsid w:val="00AA2551"/>
    <w:rsid w:val="00AA259A"/>
    <w:rsid w:val="00AA260C"/>
    <w:rsid w:val="00AA268A"/>
    <w:rsid w:val="00AA2733"/>
    <w:rsid w:val="00AA286B"/>
    <w:rsid w:val="00AA2AB0"/>
    <w:rsid w:val="00AA2B51"/>
    <w:rsid w:val="00AA2B78"/>
    <w:rsid w:val="00AA2D96"/>
    <w:rsid w:val="00AA2EDF"/>
    <w:rsid w:val="00AA3173"/>
    <w:rsid w:val="00AA329B"/>
    <w:rsid w:val="00AA32B8"/>
    <w:rsid w:val="00AA33A8"/>
    <w:rsid w:val="00AA3436"/>
    <w:rsid w:val="00AA35E5"/>
    <w:rsid w:val="00AA38E6"/>
    <w:rsid w:val="00AA3B7F"/>
    <w:rsid w:val="00AA3BDB"/>
    <w:rsid w:val="00AA3C14"/>
    <w:rsid w:val="00AA3DA2"/>
    <w:rsid w:val="00AA3E8E"/>
    <w:rsid w:val="00AA3EC2"/>
    <w:rsid w:val="00AA3ED3"/>
    <w:rsid w:val="00AA3FDB"/>
    <w:rsid w:val="00AA3FDE"/>
    <w:rsid w:val="00AA41B3"/>
    <w:rsid w:val="00AA4203"/>
    <w:rsid w:val="00AA42A4"/>
    <w:rsid w:val="00AA42F6"/>
    <w:rsid w:val="00AA4422"/>
    <w:rsid w:val="00AA449F"/>
    <w:rsid w:val="00AA4543"/>
    <w:rsid w:val="00AA4575"/>
    <w:rsid w:val="00AA4695"/>
    <w:rsid w:val="00AA4718"/>
    <w:rsid w:val="00AA47CD"/>
    <w:rsid w:val="00AA485F"/>
    <w:rsid w:val="00AA4875"/>
    <w:rsid w:val="00AA4942"/>
    <w:rsid w:val="00AA494D"/>
    <w:rsid w:val="00AA49C5"/>
    <w:rsid w:val="00AA4A18"/>
    <w:rsid w:val="00AA4A64"/>
    <w:rsid w:val="00AA4B14"/>
    <w:rsid w:val="00AA4B49"/>
    <w:rsid w:val="00AA4EA8"/>
    <w:rsid w:val="00AA4F3B"/>
    <w:rsid w:val="00AA4F96"/>
    <w:rsid w:val="00AA50B5"/>
    <w:rsid w:val="00AA5169"/>
    <w:rsid w:val="00AA547F"/>
    <w:rsid w:val="00AA54BC"/>
    <w:rsid w:val="00AA5525"/>
    <w:rsid w:val="00AA5635"/>
    <w:rsid w:val="00AA56B5"/>
    <w:rsid w:val="00AA57BB"/>
    <w:rsid w:val="00AA5879"/>
    <w:rsid w:val="00AA58A3"/>
    <w:rsid w:val="00AA58E1"/>
    <w:rsid w:val="00AA5966"/>
    <w:rsid w:val="00AA59FB"/>
    <w:rsid w:val="00AA5A07"/>
    <w:rsid w:val="00AA5AA8"/>
    <w:rsid w:val="00AA5ADB"/>
    <w:rsid w:val="00AA5B56"/>
    <w:rsid w:val="00AA5D6F"/>
    <w:rsid w:val="00AA5E6D"/>
    <w:rsid w:val="00AA5E6F"/>
    <w:rsid w:val="00AA5E9B"/>
    <w:rsid w:val="00AA605D"/>
    <w:rsid w:val="00AA6129"/>
    <w:rsid w:val="00AA62D8"/>
    <w:rsid w:val="00AA6344"/>
    <w:rsid w:val="00AA6552"/>
    <w:rsid w:val="00AA65BA"/>
    <w:rsid w:val="00AA65F6"/>
    <w:rsid w:val="00AA67EC"/>
    <w:rsid w:val="00AA68E6"/>
    <w:rsid w:val="00AA6954"/>
    <w:rsid w:val="00AA6A05"/>
    <w:rsid w:val="00AA6A1C"/>
    <w:rsid w:val="00AA6A96"/>
    <w:rsid w:val="00AA6B72"/>
    <w:rsid w:val="00AA6C71"/>
    <w:rsid w:val="00AA6CBB"/>
    <w:rsid w:val="00AA6CDD"/>
    <w:rsid w:val="00AA6D72"/>
    <w:rsid w:val="00AA6D9D"/>
    <w:rsid w:val="00AA6E33"/>
    <w:rsid w:val="00AA6E75"/>
    <w:rsid w:val="00AA7160"/>
    <w:rsid w:val="00AA72F0"/>
    <w:rsid w:val="00AA72F6"/>
    <w:rsid w:val="00AA7308"/>
    <w:rsid w:val="00AA745A"/>
    <w:rsid w:val="00AA74B3"/>
    <w:rsid w:val="00AA7508"/>
    <w:rsid w:val="00AA7643"/>
    <w:rsid w:val="00AA788A"/>
    <w:rsid w:val="00AA791B"/>
    <w:rsid w:val="00AA7950"/>
    <w:rsid w:val="00AA798D"/>
    <w:rsid w:val="00AA7AD5"/>
    <w:rsid w:val="00AA7C07"/>
    <w:rsid w:val="00AA7E32"/>
    <w:rsid w:val="00AB0082"/>
    <w:rsid w:val="00AB05E1"/>
    <w:rsid w:val="00AB06D4"/>
    <w:rsid w:val="00AB0A15"/>
    <w:rsid w:val="00AB0C0B"/>
    <w:rsid w:val="00AB0C9B"/>
    <w:rsid w:val="00AB0D7D"/>
    <w:rsid w:val="00AB0DA1"/>
    <w:rsid w:val="00AB0E5E"/>
    <w:rsid w:val="00AB0E71"/>
    <w:rsid w:val="00AB0EA2"/>
    <w:rsid w:val="00AB0FB4"/>
    <w:rsid w:val="00AB110C"/>
    <w:rsid w:val="00AB124F"/>
    <w:rsid w:val="00AB12D1"/>
    <w:rsid w:val="00AB136E"/>
    <w:rsid w:val="00AB13E3"/>
    <w:rsid w:val="00AB142F"/>
    <w:rsid w:val="00AB14CD"/>
    <w:rsid w:val="00AB14D1"/>
    <w:rsid w:val="00AB1528"/>
    <w:rsid w:val="00AB1589"/>
    <w:rsid w:val="00AB18DE"/>
    <w:rsid w:val="00AB18E5"/>
    <w:rsid w:val="00AB193A"/>
    <w:rsid w:val="00AB1A50"/>
    <w:rsid w:val="00AB1AAD"/>
    <w:rsid w:val="00AB1BAC"/>
    <w:rsid w:val="00AB1D78"/>
    <w:rsid w:val="00AB1E31"/>
    <w:rsid w:val="00AB2082"/>
    <w:rsid w:val="00AB20D1"/>
    <w:rsid w:val="00AB21FB"/>
    <w:rsid w:val="00AB2266"/>
    <w:rsid w:val="00AB23B6"/>
    <w:rsid w:val="00AB23B9"/>
    <w:rsid w:val="00AB23EF"/>
    <w:rsid w:val="00AB2482"/>
    <w:rsid w:val="00AB249C"/>
    <w:rsid w:val="00AB255C"/>
    <w:rsid w:val="00AB256D"/>
    <w:rsid w:val="00AB258F"/>
    <w:rsid w:val="00AB25B5"/>
    <w:rsid w:val="00AB26C5"/>
    <w:rsid w:val="00AB2740"/>
    <w:rsid w:val="00AB2896"/>
    <w:rsid w:val="00AB2953"/>
    <w:rsid w:val="00AB2961"/>
    <w:rsid w:val="00AB2A74"/>
    <w:rsid w:val="00AB2BBE"/>
    <w:rsid w:val="00AB2BE4"/>
    <w:rsid w:val="00AB2C5B"/>
    <w:rsid w:val="00AB2D73"/>
    <w:rsid w:val="00AB2D79"/>
    <w:rsid w:val="00AB2E63"/>
    <w:rsid w:val="00AB2EA5"/>
    <w:rsid w:val="00AB2FC8"/>
    <w:rsid w:val="00AB3082"/>
    <w:rsid w:val="00AB3194"/>
    <w:rsid w:val="00AB3245"/>
    <w:rsid w:val="00AB33DE"/>
    <w:rsid w:val="00AB3484"/>
    <w:rsid w:val="00AB34EE"/>
    <w:rsid w:val="00AB365A"/>
    <w:rsid w:val="00AB3692"/>
    <w:rsid w:val="00AB378D"/>
    <w:rsid w:val="00AB39B5"/>
    <w:rsid w:val="00AB3A77"/>
    <w:rsid w:val="00AB3B6D"/>
    <w:rsid w:val="00AB3BA4"/>
    <w:rsid w:val="00AB3D12"/>
    <w:rsid w:val="00AB3D58"/>
    <w:rsid w:val="00AB3DAC"/>
    <w:rsid w:val="00AB3E0E"/>
    <w:rsid w:val="00AB3EC1"/>
    <w:rsid w:val="00AB3F04"/>
    <w:rsid w:val="00AB4000"/>
    <w:rsid w:val="00AB4100"/>
    <w:rsid w:val="00AB418B"/>
    <w:rsid w:val="00AB424C"/>
    <w:rsid w:val="00AB431E"/>
    <w:rsid w:val="00AB4333"/>
    <w:rsid w:val="00AB4359"/>
    <w:rsid w:val="00AB43F5"/>
    <w:rsid w:val="00AB4428"/>
    <w:rsid w:val="00AB4611"/>
    <w:rsid w:val="00AB4657"/>
    <w:rsid w:val="00AB46D4"/>
    <w:rsid w:val="00AB4813"/>
    <w:rsid w:val="00AB4824"/>
    <w:rsid w:val="00AB4836"/>
    <w:rsid w:val="00AB49C1"/>
    <w:rsid w:val="00AB4A3E"/>
    <w:rsid w:val="00AB4DAA"/>
    <w:rsid w:val="00AB4E14"/>
    <w:rsid w:val="00AB4E44"/>
    <w:rsid w:val="00AB4F3F"/>
    <w:rsid w:val="00AB50B6"/>
    <w:rsid w:val="00AB5366"/>
    <w:rsid w:val="00AB536B"/>
    <w:rsid w:val="00AB53DE"/>
    <w:rsid w:val="00AB5501"/>
    <w:rsid w:val="00AB559E"/>
    <w:rsid w:val="00AB5677"/>
    <w:rsid w:val="00AB56E0"/>
    <w:rsid w:val="00AB5867"/>
    <w:rsid w:val="00AB5967"/>
    <w:rsid w:val="00AB5AE1"/>
    <w:rsid w:val="00AB5AF1"/>
    <w:rsid w:val="00AB5B26"/>
    <w:rsid w:val="00AB5D86"/>
    <w:rsid w:val="00AB5DBE"/>
    <w:rsid w:val="00AB5E1E"/>
    <w:rsid w:val="00AB5E62"/>
    <w:rsid w:val="00AB5E8F"/>
    <w:rsid w:val="00AB5F07"/>
    <w:rsid w:val="00AB61F3"/>
    <w:rsid w:val="00AB61F7"/>
    <w:rsid w:val="00AB62E4"/>
    <w:rsid w:val="00AB63AF"/>
    <w:rsid w:val="00AB64B5"/>
    <w:rsid w:val="00AB64E2"/>
    <w:rsid w:val="00AB6535"/>
    <w:rsid w:val="00AB659E"/>
    <w:rsid w:val="00AB65F8"/>
    <w:rsid w:val="00AB6748"/>
    <w:rsid w:val="00AB674C"/>
    <w:rsid w:val="00AB697C"/>
    <w:rsid w:val="00AB6BAB"/>
    <w:rsid w:val="00AB6BE0"/>
    <w:rsid w:val="00AB6D62"/>
    <w:rsid w:val="00AB6E70"/>
    <w:rsid w:val="00AB6FCE"/>
    <w:rsid w:val="00AB702F"/>
    <w:rsid w:val="00AB709A"/>
    <w:rsid w:val="00AB70B0"/>
    <w:rsid w:val="00AB7129"/>
    <w:rsid w:val="00AB7239"/>
    <w:rsid w:val="00AB74D1"/>
    <w:rsid w:val="00AB7724"/>
    <w:rsid w:val="00AB778D"/>
    <w:rsid w:val="00AB77BA"/>
    <w:rsid w:val="00AB781B"/>
    <w:rsid w:val="00AB7858"/>
    <w:rsid w:val="00AB78FD"/>
    <w:rsid w:val="00AB791C"/>
    <w:rsid w:val="00AB7962"/>
    <w:rsid w:val="00AB7AFD"/>
    <w:rsid w:val="00AB7BE5"/>
    <w:rsid w:val="00AB7FAB"/>
    <w:rsid w:val="00AC006A"/>
    <w:rsid w:val="00AC0206"/>
    <w:rsid w:val="00AC02A8"/>
    <w:rsid w:val="00AC0417"/>
    <w:rsid w:val="00AC049B"/>
    <w:rsid w:val="00AC04D2"/>
    <w:rsid w:val="00AC058E"/>
    <w:rsid w:val="00AC0665"/>
    <w:rsid w:val="00AC066A"/>
    <w:rsid w:val="00AC06C7"/>
    <w:rsid w:val="00AC078B"/>
    <w:rsid w:val="00AC07A9"/>
    <w:rsid w:val="00AC0823"/>
    <w:rsid w:val="00AC08E8"/>
    <w:rsid w:val="00AC0943"/>
    <w:rsid w:val="00AC0A1C"/>
    <w:rsid w:val="00AC0A65"/>
    <w:rsid w:val="00AC0A74"/>
    <w:rsid w:val="00AC0B7D"/>
    <w:rsid w:val="00AC0BA6"/>
    <w:rsid w:val="00AC0C15"/>
    <w:rsid w:val="00AC0CCF"/>
    <w:rsid w:val="00AC0DCA"/>
    <w:rsid w:val="00AC0EB0"/>
    <w:rsid w:val="00AC0FAD"/>
    <w:rsid w:val="00AC12AA"/>
    <w:rsid w:val="00AC13CC"/>
    <w:rsid w:val="00AC13F7"/>
    <w:rsid w:val="00AC1468"/>
    <w:rsid w:val="00AC149A"/>
    <w:rsid w:val="00AC14D3"/>
    <w:rsid w:val="00AC157D"/>
    <w:rsid w:val="00AC172C"/>
    <w:rsid w:val="00AC1951"/>
    <w:rsid w:val="00AC1965"/>
    <w:rsid w:val="00AC1A1F"/>
    <w:rsid w:val="00AC1A82"/>
    <w:rsid w:val="00AC1AF0"/>
    <w:rsid w:val="00AC1D18"/>
    <w:rsid w:val="00AC1D1A"/>
    <w:rsid w:val="00AC1D58"/>
    <w:rsid w:val="00AC1D66"/>
    <w:rsid w:val="00AC1DBA"/>
    <w:rsid w:val="00AC1DDF"/>
    <w:rsid w:val="00AC1E0C"/>
    <w:rsid w:val="00AC1E29"/>
    <w:rsid w:val="00AC1E8E"/>
    <w:rsid w:val="00AC1FC9"/>
    <w:rsid w:val="00AC21C4"/>
    <w:rsid w:val="00AC2215"/>
    <w:rsid w:val="00AC2333"/>
    <w:rsid w:val="00AC23B1"/>
    <w:rsid w:val="00AC24CE"/>
    <w:rsid w:val="00AC2569"/>
    <w:rsid w:val="00AC25C9"/>
    <w:rsid w:val="00AC2728"/>
    <w:rsid w:val="00AC286C"/>
    <w:rsid w:val="00AC2A2F"/>
    <w:rsid w:val="00AC2B1E"/>
    <w:rsid w:val="00AC2D15"/>
    <w:rsid w:val="00AC2F0E"/>
    <w:rsid w:val="00AC2F1B"/>
    <w:rsid w:val="00AC3199"/>
    <w:rsid w:val="00AC342E"/>
    <w:rsid w:val="00AC345C"/>
    <w:rsid w:val="00AC3561"/>
    <w:rsid w:val="00AC373A"/>
    <w:rsid w:val="00AC380C"/>
    <w:rsid w:val="00AC38B2"/>
    <w:rsid w:val="00AC38CA"/>
    <w:rsid w:val="00AC38E1"/>
    <w:rsid w:val="00AC39EF"/>
    <w:rsid w:val="00AC3AD5"/>
    <w:rsid w:val="00AC3BB6"/>
    <w:rsid w:val="00AC3CDB"/>
    <w:rsid w:val="00AC3CEB"/>
    <w:rsid w:val="00AC3D81"/>
    <w:rsid w:val="00AC3E06"/>
    <w:rsid w:val="00AC400D"/>
    <w:rsid w:val="00AC4150"/>
    <w:rsid w:val="00AC4162"/>
    <w:rsid w:val="00AC424C"/>
    <w:rsid w:val="00AC4255"/>
    <w:rsid w:val="00AC4307"/>
    <w:rsid w:val="00AC441A"/>
    <w:rsid w:val="00AC4522"/>
    <w:rsid w:val="00AC47D6"/>
    <w:rsid w:val="00AC48A7"/>
    <w:rsid w:val="00AC4952"/>
    <w:rsid w:val="00AC49BD"/>
    <w:rsid w:val="00AC49F1"/>
    <w:rsid w:val="00AC4A2F"/>
    <w:rsid w:val="00AC4A5D"/>
    <w:rsid w:val="00AC4B6C"/>
    <w:rsid w:val="00AC4C44"/>
    <w:rsid w:val="00AC4EEA"/>
    <w:rsid w:val="00AC4F58"/>
    <w:rsid w:val="00AC4F7F"/>
    <w:rsid w:val="00AC512F"/>
    <w:rsid w:val="00AC51CB"/>
    <w:rsid w:val="00AC52CB"/>
    <w:rsid w:val="00AC52CC"/>
    <w:rsid w:val="00AC52DE"/>
    <w:rsid w:val="00AC52F1"/>
    <w:rsid w:val="00AC52F9"/>
    <w:rsid w:val="00AC5301"/>
    <w:rsid w:val="00AC53D0"/>
    <w:rsid w:val="00AC5433"/>
    <w:rsid w:val="00AC552B"/>
    <w:rsid w:val="00AC5545"/>
    <w:rsid w:val="00AC5675"/>
    <w:rsid w:val="00AC56B2"/>
    <w:rsid w:val="00AC5771"/>
    <w:rsid w:val="00AC5803"/>
    <w:rsid w:val="00AC5986"/>
    <w:rsid w:val="00AC5A3B"/>
    <w:rsid w:val="00AC5AC9"/>
    <w:rsid w:val="00AC5AD3"/>
    <w:rsid w:val="00AC5BC9"/>
    <w:rsid w:val="00AC5D09"/>
    <w:rsid w:val="00AC5D37"/>
    <w:rsid w:val="00AC5D50"/>
    <w:rsid w:val="00AC5E2E"/>
    <w:rsid w:val="00AC5E34"/>
    <w:rsid w:val="00AC5E4F"/>
    <w:rsid w:val="00AC5EED"/>
    <w:rsid w:val="00AC60FE"/>
    <w:rsid w:val="00AC6271"/>
    <w:rsid w:val="00AC630D"/>
    <w:rsid w:val="00AC637C"/>
    <w:rsid w:val="00AC63B8"/>
    <w:rsid w:val="00AC641C"/>
    <w:rsid w:val="00AC6482"/>
    <w:rsid w:val="00AC660B"/>
    <w:rsid w:val="00AC67F7"/>
    <w:rsid w:val="00AC6898"/>
    <w:rsid w:val="00AC698C"/>
    <w:rsid w:val="00AC6D54"/>
    <w:rsid w:val="00AC6E1B"/>
    <w:rsid w:val="00AC6E89"/>
    <w:rsid w:val="00AC6F44"/>
    <w:rsid w:val="00AC7063"/>
    <w:rsid w:val="00AC71EA"/>
    <w:rsid w:val="00AC71F0"/>
    <w:rsid w:val="00AC7317"/>
    <w:rsid w:val="00AC75DB"/>
    <w:rsid w:val="00AC770A"/>
    <w:rsid w:val="00AC777A"/>
    <w:rsid w:val="00AC79C3"/>
    <w:rsid w:val="00AC7A49"/>
    <w:rsid w:val="00AC7AB3"/>
    <w:rsid w:val="00AC7B00"/>
    <w:rsid w:val="00AC7BB8"/>
    <w:rsid w:val="00AC7C05"/>
    <w:rsid w:val="00AC7D63"/>
    <w:rsid w:val="00AC7E6B"/>
    <w:rsid w:val="00AC7E9C"/>
    <w:rsid w:val="00AC7FDE"/>
    <w:rsid w:val="00AD01BB"/>
    <w:rsid w:val="00AD03DA"/>
    <w:rsid w:val="00AD03E6"/>
    <w:rsid w:val="00AD041A"/>
    <w:rsid w:val="00AD054A"/>
    <w:rsid w:val="00AD05C9"/>
    <w:rsid w:val="00AD0685"/>
    <w:rsid w:val="00AD069F"/>
    <w:rsid w:val="00AD06CE"/>
    <w:rsid w:val="00AD082F"/>
    <w:rsid w:val="00AD08DD"/>
    <w:rsid w:val="00AD08E5"/>
    <w:rsid w:val="00AD0928"/>
    <w:rsid w:val="00AD09A5"/>
    <w:rsid w:val="00AD09F5"/>
    <w:rsid w:val="00AD0A3C"/>
    <w:rsid w:val="00AD0A46"/>
    <w:rsid w:val="00AD0A53"/>
    <w:rsid w:val="00AD0A5E"/>
    <w:rsid w:val="00AD0B82"/>
    <w:rsid w:val="00AD0C36"/>
    <w:rsid w:val="00AD0C3A"/>
    <w:rsid w:val="00AD0CB9"/>
    <w:rsid w:val="00AD0CE8"/>
    <w:rsid w:val="00AD0DFC"/>
    <w:rsid w:val="00AD0EDC"/>
    <w:rsid w:val="00AD100D"/>
    <w:rsid w:val="00AD10DA"/>
    <w:rsid w:val="00AD13F0"/>
    <w:rsid w:val="00AD1546"/>
    <w:rsid w:val="00AD1619"/>
    <w:rsid w:val="00AD1634"/>
    <w:rsid w:val="00AD1718"/>
    <w:rsid w:val="00AD171D"/>
    <w:rsid w:val="00AD1723"/>
    <w:rsid w:val="00AD1AF0"/>
    <w:rsid w:val="00AD1B61"/>
    <w:rsid w:val="00AD1BE9"/>
    <w:rsid w:val="00AD1C9B"/>
    <w:rsid w:val="00AD1D73"/>
    <w:rsid w:val="00AD1D78"/>
    <w:rsid w:val="00AD1DCF"/>
    <w:rsid w:val="00AD1FB2"/>
    <w:rsid w:val="00AD1FC1"/>
    <w:rsid w:val="00AD20EA"/>
    <w:rsid w:val="00AD2140"/>
    <w:rsid w:val="00AD2247"/>
    <w:rsid w:val="00AD22B3"/>
    <w:rsid w:val="00AD2406"/>
    <w:rsid w:val="00AD2441"/>
    <w:rsid w:val="00AD2469"/>
    <w:rsid w:val="00AD25AA"/>
    <w:rsid w:val="00AD26E6"/>
    <w:rsid w:val="00AD2A0F"/>
    <w:rsid w:val="00AD2BF7"/>
    <w:rsid w:val="00AD2D8D"/>
    <w:rsid w:val="00AD2DC6"/>
    <w:rsid w:val="00AD2ED3"/>
    <w:rsid w:val="00AD2F27"/>
    <w:rsid w:val="00AD2F5A"/>
    <w:rsid w:val="00AD3175"/>
    <w:rsid w:val="00AD323F"/>
    <w:rsid w:val="00AD32E5"/>
    <w:rsid w:val="00AD34F7"/>
    <w:rsid w:val="00AD3581"/>
    <w:rsid w:val="00AD35A8"/>
    <w:rsid w:val="00AD35E1"/>
    <w:rsid w:val="00AD364F"/>
    <w:rsid w:val="00AD36D9"/>
    <w:rsid w:val="00AD3771"/>
    <w:rsid w:val="00AD3816"/>
    <w:rsid w:val="00AD3848"/>
    <w:rsid w:val="00AD3992"/>
    <w:rsid w:val="00AD3AB0"/>
    <w:rsid w:val="00AD3DC5"/>
    <w:rsid w:val="00AD3DD6"/>
    <w:rsid w:val="00AD3EEC"/>
    <w:rsid w:val="00AD3F38"/>
    <w:rsid w:val="00AD3FB6"/>
    <w:rsid w:val="00AD40DC"/>
    <w:rsid w:val="00AD4218"/>
    <w:rsid w:val="00AD422A"/>
    <w:rsid w:val="00AD4286"/>
    <w:rsid w:val="00AD428C"/>
    <w:rsid w:val="00AD4315"/>
    <w:rsid w:val="00AD431C"/>
    <w:rsid w:val="00AD435F"/>
    <w:rsid w:val="00AD450A"/>
    <w:rsid w:val="00AD4510"/>
    <w:rsid w:val="00AD45E0"/>
    <w:rsid w:val="00AD46C1"/>
    <w:rsid w:val="00AD47B2"/>
    <w:rsid w:val="00AD47E7"/>
    <w:rsid w:val="00AD4824"/>
    <w:rsid w:val="00AD48C7"/>
    <w:rsid w:val="00AD4AEA"/>
    <w:rsid w:val="00AD4B8E"/>
    <w:rsid w:val="00AD4BE3"/>
    <w:rsid w:val="00AD4E78"/>
    <w:rsid w:val="00AD4E80"/>
    <w:rsid w:val="00AD4F25"/>
    <w:rsid w:val="00AD4F47"/>
    <w:rsid w:val="00AD50FB"/>
    <w:rsid w:val="00AD5161"/>
    <w:rsid w:val="00AD51AD"/>
    <w:rsid w:val="00AD51F7"/>
    <w:rsid w:val="00AD526F"/>
    <w:rsid w:val="00AD5288"/>
    <w:rsid w:val="00AD52F5"/>
    <w:rsid w:val="00AD5343"/>
    <w:rsid w:val="00AD53BE"/>
    <w:rsid w:val="00AD549B"/>
    <w:rsid w:val="00AD560C"/>
    <w:rsid w:val="00AD5683"/>
    <w:rsid w:val="00AD5929"/>
    <w:rsid w:val="00AD5A9A"/>
    <w:rsid w:val="00AD5B9A"/>
    <w:rsid w:val="00AD5BB1"/>
    <w:rsid w:val="00AD5C11"/>
    <w:rsid w:val="00AD5D14"/>
    <w:rsid w:val="00AD5D15"/>
    <w:rsid w:val="00AD5D4F"/>
    <w:rsid w:val="00AD5EF2"/>
    <w:rsid w:val="00AD5F2A"/>
    <w:rsid w:val="00AD5F91"/>
    <w:rsid w:val="00AD61D9"/>
    <w:rsid w:val="00AD63A0"/>
    <w:rsid w:val="00AD6509"/>
    <w:rsid w:val="00AD6612"/>
    <w:rsid w:val="00AD6618"/>
    <w:rsid w:val="00AD66BF"/>
    <w:rsid w:val="00AD66E2"/>
    <w:rsid w:val="00AD67A0"/>
    <w:rsid w:val="00AD6882"/>
    <w:rsid w:val="00AD68B9"/>
    <w:rsid w:val="00AD692B"/>
    <w:rsid w:val="00AD6959"/>
    <w:rsid w:val="00AD6A7D"/>
    <w:rsid w:val="00AD6AAE"/>
    <w:rsid w:val="00AD6FBD"/>
    <w:rsid w:val="00AD708A"/>
    <w:rsid w:val="00AD7106"/>
    <w:rsid w:val="00AD7172"/>
    <w:rsid w:val="00AD722E"/>
    <w:rsid w:val="00AD7326"/>
    <w:rsid w:val="00AD7385"/>
    <w:rsid w:val="00AD74BA"/>
    <w:rsid w:val="00AD7542"/>
    <w:rsid w:val="00AD755E"/>
    <w:rsid w:val="00AD75F3"/>
    <w:rsid w:val="00AD7704"/>
    <w:rsid w:val="00AD77A2"/>
    <w:rsid w:val="00AD7828"/>
    <w:rsid w:val="00AD782B"/>
    <w:rsid w:val="00AD7837"/>
    <w:rsid w:val="00AD79A4"/>
    <w:rsid w:val="00AD7ABF"/>
    <w:rsid w:val="00AD7AE3"/>
    <w:rsid w:val="00AD7AE5"/>
    <w:rsid w:val="00AD7AEE"/>
    <w:rsid w:val="00AD7DF3"/>
    <w:rsid w:val="00AD7E03"/>
    <w:rsid w:val="00AD7E9F"/>
    <w:rsid w:val="00AD7F12"/>
    <w:rsid w:val="00AD7F38"/>
    <w:rsid w:val="00AD7F4D"/>
    <w:rsid w:val="00AD7F9F"/>
    <w:rsid w:val="00AE00B9"/>
    <w:rsid w:val="00AE00DA"/>
    <w:rsid w:val="00AE028E"/>
    <w:rsid w:val="00AE056C"/>
    <w:rsid w:val="00AE063B"/>
    <w:rsid w:val="00AE06BE"/>
    <w:rsid w:val="00AE0724"/>
    <w:rsid w:val="00AE077C"/>
    <w:rsid w:val="00AE0839"/>
    <w:rsid w:val="00AE0895"/>
    <w:rsid w:val="00AE08F8"/>
    <w:rsid w:val="00AE0930"/>
    <w:rsid w:val="00AE0959"/>
    <w:rsid w:val="00AE0BA2"/>
    <w:rsid w:val="00AE0BA8"/>
    <w:rsid w:val="00AE0D6C"/>
    <w:rsid w:val="00AE0DF5"/>
    <w:rsid w:val="00AE0FD0"/>
    <w:rsid w:val="00AE1243"/>
    <w:rsid w:val="00AE125B"/>
    <w:rsid w:val="00AE14C0"/>
    <w:rsid w:val="00AE14EB"/>
    <w:rsid w:val="00AE1533"/>
    <w:rsid w:val="00AE1551"/>
    <w:rsid w:val="00AE159A"/>
    <w:rsid w:val="00AE15A7"/>
    <w:rsid w:val="00AE17BB"/>
    <w:rsid w:val="00AE18E8"/>
    <w:rsid w:val="00AE18EF"/>
    <w:rsid w:val="00AE191D"/>
    <w:rsid w:val="00AE19BF"/>
    <w:rsid w:val="00AE1A50"/>
    <w:rsid w:val="00AE1AC0"/>
    <w:rsid w:val="00AE1ACD"/>
    <w:rsid w:val="00AE1B73"/>
    <w:rsid w:val="00AE1BFD"/>
    <w:rsid w:val="00AE1D41"/>
    <w:rsid w:val="00AE1DD1"/>
    <w:rsid w:val="00AE1E6C"/>
    <w:rsid w:val="00AE1F3A"/>
    <w:rsid w:val="00AE1F53"/>
    <w:rsid w:val="00AE1FC6"/>
    <w:rsid w:val="00AE20B2"/>
    <w:rsid w:val="00AE20C8"/>
    <w:rsid w:val="00AE2137"/>
    <w:rsid w:val="00AE215A"/>
    <w:rsid w:val="00AE2162"/>
    <w:rsid w:val="00AE2312"/>
    <w:rsid w:val="00AE232F"/>
    <w:rsid w:val="00AE2384"/>
    <w:rsid w:val="00AE2478"/>
    <w:rsid w:val="00AE2546"/>
    <w:rsid w:val="00AE2884"/>
    <w:rsid w:val="00AE289F"/>
    <w:rsid w:val="00AE28F5"/>
    <w:rsid w:val="00AE2D2F"/>
    <w:rsid w:val="00AE2DF8"/>
    <w:rsid w:val="00AE2F20"/>
    <w:rsid w:val="00AE3065"/>
    <w:rsid w:val="00AE3097"/>
    <w:rsid w:val="00AE311B"/>
    <w:rsid w:val="00AE3284"/>
    <w:rsid w:val="00AE336F"/>
    <w:rsid w:val="00AE3452"/>
    <w:rsid w:val="00AE34B0"/>
    <w:rsid w:val="00AE3554"/>
    <w:rsid w:val="00AE3688"/>
    <w:rsid w:val="00AE381B"/>
    <w:rsid w:val="00AE382A"/>
    <w:rsid w:val="00AE3869"/>
    <w:rsid w:val="00AE3922"/>
    <w:rsid w:val="00AE3A89"/>
    <w:rsid w:val="00AE3CC9"/>
    <w:rsid w:val="00AE3DE6"/>
    <w:rsid w:val="00AE402F"/>
    <w:rsid w:val="00AE4039"/>
    <w:rsid w:val="00AE411B"/>
    <w:rsid w:val="00AE4378"/>
    <w:rsid w:val="00AE438C"/>
    <w:rsid w:val="00AE43D9"/>
    <w:rsid w:val="00AE44A0"/>
    <w:rsid w:val="00AE454C"/>
    <w:rsid w:val="00AE46ED"/>
    <w:rsid w:val="00AE4732"/>
    <w:rsid w:val="00AE478E"/>
    <w:rsid w:val="00AE47A8"/>
    <w:rsid w:val="00AE4843"/>
    <w:rsid w:val="00AE4867"/>
    <w:rsid w:val="00AE48C7"/>
    <w:rsid w:val="00AE4A3A"/>
    <w:rsid w:val="00AE4A5B"/>
    <w:rsid w:val="00AE4BD6"/>
    <w:rsid w:val="00AE4C43"/>
    <w:rsid w:val="00AE4D37"/>
    <w:rsid w:val="00AE4F3D"/>
    <w:rsid w:val="00AE50C7"/>
    <w:rsid w:val="00AE520A"/>
    <w:rsid w:val="00AE5253"/>
    <w:rsid w:val="00AE52FC"/>
    <w:rsid w:val="00AE5367"/>
    <w:rsid w:val="00AE5372"/>
    <w:rsid w:val="00AE538F"/>
    <w:rsid w:val="00AE5461"/>
    <w:rsid w:val="00AE54A3"/>
    <w:rsid w:val="00AE5628"/>
    <w:rsid w:val="00AE5645"/>
    <w:rsid w:val="00AE5678"/>
    <w:rsid w:val="00AE56AC"/>
    <w:rsid w:val="00AE56B2"/>
    <w:rsid w:val="00AE5727"/>
    <w:rsid w:val="00AE5774"/>
    <w:rsid w:val="00AE5979"/>
    <w:rsid w:val="00AE5A95"/>
    <w:rsid w:val="00AE5B15"/>
    <w:rsid w:val="00AE5D75"/>
    <w:rsid w:val="00AE5DE9"/>
    <w:rsid w:val="00AE5DFD"/>
    <w:rsid w:val="00AE5E9E"/>
    <w:rsid w:val="00AE5EA9"/>
    <w:rsid w:val="00AE5F6A"/>
    <w:rsid w:val="00AE5F73"/>
    <w:rsid w:val="00AE5FFF"/>
    <w:rsid w:val="00AE60BD"/>
    <w:rsid w:val="00AE6110"/>
    <w:rsid w:val="00AE6192"/>
    <w:rsid w:val="00AE633D"/>
    <w:rsid w:val="00AE638F"/>
    <w:rsid w:val="00AE63B4"/>
    <w:rsid w:val="00AE63BC"/>
    <w:rsid w:val="00AE6413"/>
    <w:rsid w:val="00AE6583"/>
    <w:rsid w:val="00AE65D8"/>
    <w:rsid w:val="00AE6616"/>
    <w:rsid w:val="00AE6632"/>
    <w:rsid w:val="00AE66C8"/>
    <w:rsid w:val="00AE672D"/>
    <w:rsid w:val="00AE681E"/>
    <w:rsid w:val="00AE68EF"/>
    <w:rsid w:val="00AE6A20"/>
    <w:rsid w:val="00AE6B77"/>
    <w:rsid w:val="00AE6BE7"/>
    <w:rsid w:val="00AE6C4F"/>
    <w:rsid w:val="00AE6C7B"/>
    <w:rsid w:val="00AE6D4A"/>
    <w:rsid w:val="00AE6DAC"/>
    <w:rsid w:val="00AE6EF0"/>
    <w:rsid w:val="00AE6FD1"/>
    <w:rsid w:val="00AE71DF"/>
    <w:rsid w:val="00AE72D2"/>
    <w:rsid w:val="00AE72DF"/>
    <w:rsid w:val="00AE7337"/>
    <w:rsid w:val="00AE7668"/>
    <w:rsid w:val="00AE78A6"/>
    <w:rsid w:val="00AE7A87"/>
    <w:rsid w:val="00AE7BED"/>
    <w:rsid w:val="00AE7C13"/>
    <w:rsid w:val="00AE7E94"/>
    <w:rsid w:val="00AE7F16"/>
    <w:rsid w:val="00AE7F9C"/>
    <w:rsid w:val="00AF0097"/>
    <w:rsid w:val="00AF00A2"/>
    <w:rsid w:val="00AF014D"/>
    <w:rsid w:val="00AF014E"/>
    <w:rsid w:val="00AF0191"/>
    <w:rsid w:val="00AF01D9"/>
    <w:rsid w:val="00AF01EA"/>
    <w:rsid w:val="00AF02D0"/>
    <w:rsid w:val="00AF0302"/>
    <w:rsid w:val="00AF0309"/>
    <w:rsid w:val="00AF0543"/>
    <w:rsid w:val="00AF0804"/>
    <w:rsid w:val="00AF0815"/>
    <w:rsid w:val="00AF0847"/>
    <w:rsid w:val="00AF0955"/>
    <w:rsid w:val="00AF0B27"/>
    <w:rsid w:val="00AF0B31"/>
    <w:rsid w:val="00AF0B61"/>
    <w:rsid w:val="00AF0C69"/>
    <w:rsid w:val="00AF0C6A"/>
    <w:rsid w:val="00AF0D3C"/>
    <w:rsid w:val="00AF1172"/>
    <w:rsid w:val="00AF11BA"/>
    <w:rsid w:val="00AF1263"/>
    <w:rsid w:val="00AF135E"/>
    <w:rsid w:val="00AF1394"/>
    <w:rsid w:val="00AF1407"/>
    <w:rsid w:val="00AF1440"/>
    <w:rsid w:val="00AF14A1"/>
    <w:rsid w:val="00AF14BC"/>
    <w:rsid w:val="00AF15ED"/>
    <w:rsid w:val="00AF1671"/>
    <w:rsid w:val="00AF1720"/>
    <w:rsid w:val="00AF17F9"/>
    <w:rsid w:val="00AF1878"/>
    <w:rsid w:val="00AF1ACC"/>
    <w:rsid w:val="00AF1B59"/>
    <w:rsid w:val="00AF1BF0"/>
    <w:rsid w:val="00AF1C23"/>
    <w:rsid w:val="00AF1CF4"/>
    <w:rsid w:val="00AF1D29"/>
    <w:rsid w:val="00AF1E63"/>
    <w:rsid w:val="00AF1E73"/>
    <w:rsid w:val="00AF1F30"/>
    <w:rsid w:val="00AF1F36"/>
    <w:rsid w:val="00AF202E"/>
    <w:rsid w:val="00AF2227"/>
    <w:rsid w:val="00AF22AE"/>
    <w:rsid w:val="00AF2480"/>
    <w:rsid w:val="00AF25E2"/>
    <w:rsid w:val="00AF2692"/>
    <w:rsid w:val="00AF2887"/>
    <w:rsid w:val="00AF2906"/>
    <w:rsid w:val="00AF291E"/>
    <w:rsid w:val="00AF2ABA"/>
    <w:rsid w:val="00AF2AC3"/>
    <w:rsid w:val="00AF2B1C"/>
    <w:rsid w:val="00AF2B44"/>
    <w:rsid w:val="00AF2B6F"/>
    <w:rsid w:val="00AF2BA3"/>
    <w:rsid w:val="00AF2CFB"/>
    <w:rsid w:val="00AF2DD4"/>
    <w:rsid w:val="00AF2F35"/>
    <w:rsid w:val="00AF2FE4"/>
    <w:rsid w:val="00AF3011"/>
    <w:rsid w:val="00AF31A8"/>
    <w:rsid w:val="00AF31B3"/>
    <w:rsid w:val="00AF31BC"/>
    <w:rsid w:val="00AF3453"/>
    <w:rsid w:val="00AF346F"/>
    <w:rsid w:val="00AF3491"/>
    <w:rsid w:val="00AF3555"/>
    <w:rsid w:val="00AF35E7"/>
    <w:rsid w:val="00AF37D2"/>
    <w:rsid w:val="00AF3872"/>
    <w:rsid w:val="00AF394A"/>
    <w:rsid w:val="00AF3A27"/>
    <w:rsid w:val="00AF3A3C"/>
    <w:rsid w:val="00AF3BBE"/>
    <w:rsid w:val="00AF3BE6"/>
    <w:rsid w:val="00AF3E08"/>
    <w:rsid w:val="00AF3E19"/>
    <w:rsid w:val="00AF3E2E"/>
    <w:rsid w:val="00AF3F0E"/>
    <w:rsid w:val="00AF3F22"/>
    <w:rsid w:val="00AF4058"/>
    <w:rsid w:val="00AF413A"/>
    <w:rsid w:val="00AF41DE"/>
    <w:rsid w:val="00AF420B"/>
    <w:rsid w:val="00AF4221"/>
    <w:rsid w:val="00AF42A8"/>
    <w:rsid w:val="00AF42BE"/>
    <w:rsid w:val="00AF42F8"/>
    <w:rsid w:val="00AF431E"/>
    <w:rsid w:val="00AF4433"/>
    <w:rsid w:val="00AF4463"/>
    <w:rsid w:val="00AF4508"/>
    <w:rsid w:val="00AF4596"/>
    <w:rsid w:val="00AF45A3"/>
    <w:rsid w:val="00AF46E0"/>
    <w:rsid w:val="00AF46E4"/>
    <w:rsid w:val="00AF4813"/>
    <w:rsid w:val="00AF4976"/>
    <w:rsid w:val="00AF49DA"/>
    <w:rsid w:val="00AF4C6B"/>
    <w:rsid w:val="00AF4C92"/>
    <w:rsid w:val="00AF4CAB"/>
    <w:rsid w:val="00AF4CED"/>
    <w:rsid w:val="00AF4CFD"/>
    <w:rsid w:val="00AF4E47"/>
    <w:rsid w:val="00AF4E9D"/>
    <w:rsid w:val="00AF4F28"/>
    <w:rsid w:val="00AF4F95"/>
    <w:rsid w:val="00AF4FEA"/>
    <w:rsid w:val="00AF5176"/>
    <w:rsid w:val="00AF51D4"/>
    <w:rsid w:val="00AF5329"/>
    <w:rsid w:val="00AF5344"/>
    <w:rsid w:val="00AF54C6"/>
    <w:rsid w:val="00AF553E"/>
    <w:rsid w:val="00AF5594"/>
    <w:rsid w:val="00AF5599"/>
    <w:rsid w:val="00AF59DD"/>
    <w:rsid w:val="00AF59EE"/>
    <w:rsid w:val="00AF5AD9"/>
    <w:rsid w:val="00AF5BD1"/>
    <w:rsid w:val="00AF5BF6"/>
    <w:rsid w:val="00AF5D68"/>
    <w:rsid w:val="00AF5D9E"/>
    <w:rsid w:val="00AF5EC9"/>
    <w:rsid w:val="00AF5F5D"/>
    <w:rsid w:val="00AF6017"/>
    <w:rsid w:val="00AF605D"/>
    <w:rsid w:val="00AF6241"/>
    <w:rsid w:val="00AF6263"/>
    <w:rsid w:val="00AF6298"/>
    <w:rsid w:val="00AF62BD"/>
    <w:rsid w:val="00AF648D"/>
    <w:rsid w:val="00AF64E2"/>
    <w:rsid w:val="00AF64E5"/>
    <w:rsid w:val="00AF6628"/>
    <w:rsid w:val="00AF6636"/>
    <w:rsid w:val="00AF67EC"/>
    <w:rsid w:val="00AF683B"/>
    <w:rsid w:val="00AF68D3"/>
    <w:rsid w:val="00AF69E4"/>
    <w:rsid w:val="00AF6C89"/>
    <w:rsid w:val="00AF6D91"/>
    <w:rsid w:val="00AF6E5B"/>
    <w:rsid w:val="00AF6E86"/>
    <w:rsid w:val="00AF6FC3"/>
    <w:rsid w:val="00AF6FF6"/>
    <w:rsid w:val="00AF7138"/>
    <w:rsid w:val="00AF7412"/>
    <w:rsid w:val="00AF75C2"/>
    <w:rsid w:val="00AF771C"/>
    <w:rsid w:val="00AF77C9"/>
    <w:rsid w:val="00AF7853"/>
    <w:rsid w:val="00AF787E"/>
    <w:rsid w:val="00AF790D"/>
    <w:rsid w:val="00AF795C"/>
    <w:rsid w:val="00AF799A"/>
    <w:rsid w:val="00AF7BBE"/>
    <w:rsid w:val="00AF7D15"/>
    <w:rsid w:val="00AF7E0A"/>
    <w:rsid w:val="00AF7E71"/>
    <w:rsid w:val="00AF7FCC"/>
    <w:rsid w:val="00B0025C"/>
    <w:rsid w:val="00B002AF"/>
    <w:rsid w:val="00B002D6"/>
    <w:rsid w:val="00B00424"/>
    <w:rsid w:val="00B0047F"/>
    <w:rsid w:val="00B004AF"/>
    <w:rsid w:val="00B00536"/>
    <w:rsid w:val="00B00587"/>
    <w:rsid w:val="00B005D5"/>
    <w:rsid w:val="00B00650"/>
    <w:rsid w:val="00B00757"/>
    <w:rsid w:val="00B00837"/>
    <w:rsid w:val="00B008B1"/>
    <w:rsid w:val="00B00A98"/>
    <w:rsid w:val="00B00AF6"/>
    <w:rsid w:val="00B00B5B"/>
    <w:rsid w:val="00B00B85"/>
    <w:rsid w:val="00B00E1D"/>
    <w:rsid w:val="00B00F2A"/>
    <w:rsid w:val="00B00F85"/>
    <w:rsid w:val="00B00F8D"/>
    <w:rsid w:val="00B010B6"/>
    <w:rsid w:val="00B010F3"/>
    <w:rsid w:val="00B011A1"/>
    <w:rsid w:val="00B011ED"/>
    <w:rsid w:val="00B0148F"/>
    <w:rsid w:val="00B017CC"/>
    <w:rsid w:val="00B0182E"/>
    <w:rsid w:val="00B0188B"/>
    <w:rsid w:val="00B01A78"/>
    <w:rsid w:val="00B01AE3"/>
    <w:rsid w:val="00B01D1C"/>
    <w:rsid w:val="00B01D59"/>
    <w:rsid w:val="00B01D6C"/>
    <w:rsid w:val="00B01E49"/>
    <w:rsid w:val="00B01E6E"/>
    <w:rsid w:val="00B01EEB"/>
    <w:rsid w:val="00B01F33"/>
    <w:rsid w:val="00B01F5F"/>
    <w:rsid w:val="00B01FF7"/>
    <w:rsid w:val="00B02057"/>
    <w:rsid w:val="00B02102"/>
    <w:rsid w:val="00B02160"/>
    <w:rsid w:val="00B02283"/>
    <w:rsid w:val="00B0234B"/>
    <w:rsid w:val="00B023DE"/>
    <w:rsid w:val="00B02593"/>
    <w:rsid w:val="00B0266D"/>
    <w:rsid w:val="00B0268A"/>
    <w:rsid w:val="00B0270E"/>
    <w:rsid w:val="00B02756"/>
    <w:rsid w:val="00B02819"/>
    <w:rsid w:val="00B028AA"/>
    <w:rsid w:val="00B02999"/>
    <w:rsid w:val="00B029C9"/>
    <w:rsid w:val="00B029E5"/>
    <w:rsid w:val="00B02AEA"/>
    <w:rsid w:val="00B02DFA"/>
    <w:rsid w:val="00B02E31"/>
    <w:rsid w:val="00B02E37"/>
    <w:rsid w:val="00B02E98"/>
    <w:rsid w:val="00B02ECD"/>
    <w:rsid w:val="00B02EDB"/>
    <w:rsid w:val="00B02F02"/>
    <w:rsid w:val="00B02F56"/>
    <w:rsid w:val="00B03075"/>
    <w:rsid w:val="00B03105"/>
    <w:rsid w:val="00B03139"/>
    <w:rsid w:val="00B03235"/>
    <w:rsid w:val="00B033F8"/>
    <w:rsid w:val="00B03447"/>
    <w:rsid w:val="00B035BE"/>
    <w:rsid w:val="00B035F9"/>
    <w:rsid w:val="00B03639"/>
    <w:rsid w:val="00B0375A"/>
    <w:rsid w:val="00B03874"/>
    <w:rsid w:val="00B038A6"/>
    <w:rsid w:val="00B03960"/>
    <w:rsid w:val="00B03ACC"/>
    <w:rsid w:val="00B03B6A"/>
    <w:rsid w:val="00B03BE0"/>
    <w:rsid w:val="00B03BEF"/>
    <w:rsid w:val="00B03C56"/>
    <w:rsid w:val="00B03DC1"/>
    <w:rsid w:val="00B03DCE"/>
    <w:rsid w:val="00B03E6D"/>
    <w:rsid w:val="00B03E8D"/>
    <w:rsid w:val="00B03F55"/>
    <w:rsid w:val="00B03F60"/>
    <w:rsid w:val="00B03F73"/>
    <w:rsid w:val="00B041B5"/>
    <w:rsid w:val="00B0421A"/>
    <w:rsid w:val="00B042DB"/>
    <w:rsid w:val="00B042FF"/>
    <w:rsid w:val="00B043C4"/>
    <w:rsid w:val="00B04458"/>
    <w:rsid w:val="00B0456D"/>
    <w:rsid w:val="00B045F1"/>
    <w:rsid w:val="00B0461C"/>
    <w:rsid w:val="00B0462F"/>
    <w:rsid w:val="00B04693"/>
    <w:rsid w:val="00B04771"/>
    <w:rsid w:val="00B048E8"/>
    <w:rsid w:val="00B04903"/>
    <w:rsid w:val="00B04969"/>
    <w:rsid w:val="00B04A38"/>
    <w:rsid w:val="00B04ABC"/>
    <w:rsid w:val="00B04AFF"/>
    <w:rsid w:val="00B04B44"/>
    <w:rsid w:val="00B04B55"/>
    <w:rsid w:val="00B04C6A"/>
    <w:rsid w:val="00B04CD0"/>
    <w:rsid w:val="00B04ED4"/>
    <w:rsid w:val="00B0501F"/>
    <w:rsid w:val="00B05164"/>
    <w:rsid w:val="00B051A2"/>
    <w:rsid w:val="00B05270"/>
    <w:rsid w:val="00B0553F"/>
    <w:rsid w:val="00B055B9"/>
    <w:rsid w:val="00B05633"/>
    <w:rsid w:val="00B05677"/>
    <w:rsid w:val="00B056C8"/>
    <w:rsid w:val="00B056F3"/>
    <w:rsid w:val="00B05841"/>
    <w:rsid w:val="00B0588A"/>
    <w:rsid w:val="00B058E3"/>
    <w:rsid w:val="00B0590E"/>
    <w:rsid w:val="00B05B56"/>
    <w:rsid w:val="00B05C91"/>
    <w:rsid w:val="00B05D1C"/>
    <w:rsid w:val="00B05D52"/>
    <w:rsid w:val="00B05DC6"/>
    <w:rsid w:val="00B05F2B"/>
    <w:rsid w:val="00B060FD"/>
    <w:rsid w:val="00B062CA"/>
    <w:rsid w:val="00B062DA"/>
    <w:rsid w:val="00B063B6"/>
    <w:rsid w:val="00B06511"/>
    <w:rsid w:val="00B06585"/>
    <w:rsid w:val="00B066FE"/>
    <w:rsid w:val="00B06737"/>
    <w:rsid w:val="00B06782"/>
    <w:rsid w:val="00B067CC"/>
    <w:rsid w:val="00B06834"/>
    <w:rsid w:val="00B06841"/>
    <w:rsid w:val="00B068F9"/>
    <w:rsid w:val="00B06994"/>
    <w:rsid w:val="00B06AA4"/>
    <w:rsid w:val="00B06AF7"/>
    <w:rsid w:val="00B06BA8"/>
    <w:rsid w:val="00B06C64"/>
    <w:rsid w:val="00B06D58"/>
    <w:rsid w:val="00B06D74"/>
    <w:rsid w:val="00B06DF3"/>
    <w:rsid w:val="00B06E4A"/>
    <w:rsid w:val="00B06E7D"/>
    <w:rsid w:val="00B06E81"/>
    <w:rsid w:val="00B06EB4"/>
    <w:rsid w:val="00B06ED8"/>
    <w:rsid w:val="00B06F5C"/>
    <w:rsid w:val="00B07095"/>
    <w:rsid w:val="00B0718C"/>
    <w:rsid w:val="00B072F5"/>
    <w:rsid w:val="00B073A8"/>
    <w:rsid w:val="00B073CC"/>
    <w:rsid w:val="00B073EC"/>
    <w:rsid w:val="00B0749A"/>
    <w:rsid w:val="00B074BD"/>
    <w:rsid w:val="00B07543"/>
    <w:rsid w:val="00B075F6"/>
    <w:rsid w:val="00B076AA"/>
    <w:rsid w:val="00B0772F"/>
    <w:rsid w:val="00B0779D"/>
    <w:rsid w:val="00B07876"/>
    <w:rsid w:val="00B07881"/>
    <w:rsid w:val="00B07928"/>
    <w:rsid w:val="00B07B5B"/>
    <w:rsid w:val="00B07B67"/>
    <w:rsid w:val="00B07BBD"/>
    <w:rsid w:val="00B07D1E"/>
    <w:rsid w:val="00B07DAE"/>
    <w:rsid w:val="00B07DE5"/>
    <w:rsid w:val="00B07E48"/>
    <w:rsid w:val="00B100C5"/>
    <w:rsid w:val="00B10151"/>
    <w:rsid w:val="00B1042F"/>
    <w:rsid w:val="00B10453"/>
    <w:rsid w:val="00B10578"/>
    <w:rsid w:val="00B10602"/>
    <w:rsid w:val="00B10623"/>
    <w:rsid w:val="00B10647"/>
    <w:rsid w:val="00B10704"/>
    <w:rsid w:val="00B107A4"/>
    <w:rsid w:val="00B107C7"/>
    <w:rsid w:val="00B107E1"/>
    <w:rsid w:val="00B109C5"/>
    <w:rsid w:val="00B109EF"/>
    <w:rsid w:val="00B10A13"/>
    <w:rsid w:val="00B10AB7"/>
    <w:rsid w:val="00B10AEF"/>
    <w:rsid w:val="00B10B05"/>
    <w:rsid w:val="00B10C2F"/>
    <w:rsid w:val="00B10CFA"/>
    <w:rsid w:val="00B10FDA"/>
    <w:rsid w:val="00B11043"/>
    <w:rsid w:val="00B110B4"/>
    <w:rsid w:val="00B1125D"/>
    <w:rsid w:val="00B112A4"/>
    <w:rsid w:val="00B113AB"/>
    <w:rsid w:val="00B11447"/>
    <w:rsid w:val="00B114B7"/>
    <w:rsid w:val="00B115B7"/>
    <w:rsid w:val="00B11643"/>
    <w:rsid w:val="00B1164E"/>
    <w:rsid w:val="00B11690"/>
    <w:rsid w:val="00B11723"/>
    <w:rsid w:val="00B1199A"/>
    <w:rsid w:val="00B11A8F"/>
    <w:rsid w:val="00B11BDB"/>
    <w:rsid w:val="00B11BEF"/>
    <w:rsid w:val="00B11C10"/>
    <w:rsid w:val="00B11C6E"/>
    <w:rsid w:val="00B11CBF"/>
    <w:rsid w:val="00B11CE9"/>
    <w:rsid w:val="00B11D80"/>
    <w:rsid w:val="00B11E3C"/>
    <w:rsid w:val="00B11F0E"/>
    <w:rsid w:val="00B12033"/>
    <w:rsid w:val="00B1203E"/>
    <w:rsid w:val="00B121A6"/>
    <w:rsid w:val="00B121BE"/>
    <w:rsid w:val="00B12222"/>
    <w:rsid w:val="00B12240"/>
    <w:rsid w:val="00B122DD"/>
    <w:rsid w:val="00B1240A"/>
    <w:rsid w:val="00B124C1"/>
    <w:rsid w:val="00B124CF"/>
    <w:rsid w:val="00B124DD"/>
    <w:rsid w:val="00B124EC"/>
    <w:rsid w:val="00B1257E"/>
    <w:rsid w:val="00B1262F"/>
    <w:rsid w:val="00B127D5"/>
    <w:rsid w:val="00B12812"/>
    <w:rsid w:val="00B12875"/>
    <w:rsid w:val="00B12887"/>
    <w:rsid w:val="00B129D6"/>
    <w:rsid w:val="00B12A39"/>
    <w:rsid w:val="00B12BDB"/>
    <w:rsid w:val="00B12C1D"/>
    <w:rsid w:val="00B12E97"/>
    <w:rsid w:val="00B12F3D"/>
    <w:rsid w:val="00B12F75"/>
    <w:rsid w:val="00B12FDB"/>
    <w:rsid w:val="00B1302B"/>
    <w:rsid w:val="00B13070"/>
    <w:rsid w:val="00B13204"/>
    <w:rsid w:val="00B13220"/>
    <w:rsid w:val="00B13245"/>
    <w:rsid w:val="00B1330C"/>
    <w:rsid w:val="00B1339D"/>
    <w:rsid w:val="00B13449"/>
    <w:rsid w:val="00B13496"/>
    <w:rsid w:val="00B134AF"/>
    <w:rsid w:val="00B13543"/>
    <w:rsid w:val="00B135DB"/>
    <w:rsid w:val="00B1362C"/>
    <w:rsid w:val="00B1376A"/>
    <w:rsid w:val="00B1383B"/>
    <w:rsid w:val="00B138A4"/>
    <w:rsid w:val="00B13A14"/>
    <w:rsid w:val="00B13AF0"/>
    <w:rsid w:val="00B13DB4"/>
    <w:rsid w:val="00B140CF"/>
    <w:rsid w:val="00B1425C"/>
    <w:rsid w:val="00B142C6"/>
    <w:rsid w:val="00B1436F"/>
    <w:rsid w:val="00B144EE"/>
    <w:rsid w:val="00B14520"/>
    <w:rsid w:val="00B14532"/>
    <w:rsid w:val="00B14558"/>
    <w:rsid w:val="00B14595"/>
    <w:rsid w:val="00B14670"/>
    <w:rsid w:val="00B14695"/>
    <w:rsid w:val="00B14785"/>
    <w:rsid w:val="00B148E4"/>
    <w:rsid w:val="00B14AAD"/>
    <w:rsid w:val="00B14BEA"/>
    <w:rsid w:val="00B14D52"/>
    <w:rsid w:val="00B14E16"/>
    <w:rsid w:val="00B14E7B"/>
    <w:rsid w:val="00B1502B"/>
    <w:rsid w:val="00B15246"/>
    <w:rsid w:val="00B15248"/>
    <w:rsid w:val="00B1544E"/>
    <w:rsid w:val="00B15571"/>
    <w:rsid w:val="00B1558C"/>
    <w:rsid w:val="00B157F1"/>
    <w:rsid w:val="00B1583A"/>
    <w:rsid w:val="00B159C8"/>
    <w:rsid w:val="00B15A08"/>
    <w:rsid w:val="00B15AEC"/>
    <w:rsid w:val="00B15B56"/>
    <w:rsid w:val="00B15BDB"/>
    <w:rsid w:val="00B15C06"/>
    <w:rsid w:val="00B15E65"/>
    <w:rsid w:val="00B15F2D"/>
    <w:rsid w:val="00B160BC"/>
    <w:rsid w:val="00B16119"/>
    <w:rsid w:val="00B162BE"/>
    <w:rsid w:val="00B16303"/>
    <w:rsid w:val="00B163F0"/>
    <w:rsid w:val="00B1655B"/>
    <w:rsid w:val="00B1660D"/>
    <w:rsid w:val="00B16719"/>
    <w:rsid w:val="00B167AA"/>
    <w:rsid w:val="00B1680E"/>
    <w:rsid w:val="00B1687E"/>
    <w:rsid w:val="00B16941"/>
    <w:rsid w:val="00B16A66"/>
    <w:rsid w:val="00B16B74"/>
    <w:rsid w:val="00B16B86"/>
    <w:rsid w:val="00B16C13"/>
    <w:rsid w:val="00B16C42"/>
    <w:rsid w:val="00B16CC1"/>
    <w:rsid w:val="00B16EA4"/>
    <w:rsid w:val="00B16EBE"/>
    <w:rsid w:val="00B16F42"/>
    <w:rsid w:val="00B16F85"/>
    <w:rsid w:val="00B16FD0"/>
    <w:rsid w:val="00B17086"/>
    <w:rsid w:val="00B170D2"/>
    <w:rsid w:val="00B171A4"/>
    <w:rsid w:val="00B17379"/>
    <w:rsid w:val="00B176E5"/>
    <w:rsid w:val="00B17936"/>
    <w:rsid w:val="00B17A8F"/>
    <w:rsid w:val="00B17BF6"/>
    <w:rsid w:val="00B17C95"/>
    <w:rsid w:val="00B17D4B"/>
    <w:rsid w:val="00B17F3E"/>
    <w:rsid w:val="00B20050"/>
    <w:rsid w:val="00B20166"/>
    <w:rsid w:val="00B20311"/>
    <w:rsid w:val="00B20325"/>
    <w:rsid w:val="00B20382"/>
    <w:rsid w:val="00B2059B"/>
    <w:rsid w:val="00B2060D"/>
    <w:rsid w:val="00B20738"/>
    <w:rsid w:val="00B207D7"/>
    <w:rsid w:val="00B2086F"/>
    <w:rsid w:val="00B20872"/>
    <w:rsid w:val="00B208D2"/>
    <w:rsid w:val="00B20A52"/>
    <w:rsid w:val="00B20A5D"/>
    <w:rsid w:val="00B20AE8"/>
    <w:rsid w:val="00B20B47"/>
    <w:rsid w:val="00B20BEA"/>
    <w:rsid w:val="00B20CD3"/>
    <w:rsid w:val="00B20D24"/>
    <w:rsid w:val="00B20D3F"/>
    <w:rsid w:val="00B20FC5"/>
    <w:rsid w:val="00B21018"/>
    <w:rsid w:val="00B21100"/>
    <w:rsid w:val="00B211D7"/>
    <w:rsid w:val="00B2129E"/>
    <w:rsid w:val="00B2135A"/>
    <w:rsid w:val="00B213D2"/>
    <w:rsid w:val="00B215B8"/>
    <w:rsid w:val="00B215F5"/>
    <w:rsid w:val="00B21672"/>
    <w:rsid w:val="00B216DD"/>
    <w:rsid w:val="00B219B9"/>
    <w:rsid w:val="00B21B07"/>
    <w:rsid w:val="00B21B6F"/>
    <w:rsid w:val="00B21D00"/>
    <w:rsid w:val="00B21DC2"/>
    <w:rsid w:val="00B21EC7"/>
    <w:rsid w:val="00B21EEB"/>
    <w:rsid w:val="00B21F06"/>
    <w:rsid w:val="00B21F09"/>
    <w:rsid w:val="00B21F2A"/>
    <w:rsid w:val="00B22005"/>
    <w:rsid w:val="00B22070"/>
    <w:rsid w:val="00B22112"/>
    <w:rsid w:val="00B221E7"/>
    <w:rsid w:val="00B222EA"/>
    <w:rsid w:val="00B22311"/>
    <w:rsid w:val="00B2233A"/>
    <w:rsid w:val="00B223EB"/>
    <w:rsid w:val="00B22413"/>
    <w:rsid w:val="00B22449"/>
    <w:rsid w:val="00B224D0"/>
    <w:rsid w:val="00B22608"/>
    <w:rsid w:val="00B226C5"/>
    <w:rsid w:val="00B22705"/>
    <w:rsid w:val="00B22937"/>
    <w:rsid w:val="00B22942"/>
    <w:rsid w:val="00B2298F"/>
    <w:rsid w:val="00B229AD"/>
    <w:rsid w:val="00B22EAC"/>
    <w:rsid w:val="00B22EF7"/>
    <w:rsid w:val="00B23015"/>
    <w:rsid w:val="00B231B2"/>
    <w:rsid w:val="00B231CE"/>
    <w:rsid w:val="00B231F0"/>
    <w:rsid w:val="00B23300"/>
    <w:rsid w:val="00B233BE"/>
    <w:rsid w:val="00B233EB"/>
    <w:rsid w:val="00B23503"/>
    <w:rsid w:val="00B23651"/>
    <w:rsid w:val="00B236AF"/>
    <w:rsid w:val="00B2372B"/>
    <w:rsid w:val="00B237DD"/>
    <w:rsid w:val="00B23849"/>
    <w:rsid w:val="00B239D3"/>
    <w:rsid w:val="00B23A77"/>
    <w:rsid w:val="00B23B0B"/>
    <w:rsid w:val="00B23C3E"/>
    <w:rsid w:val="00B23C69"/>
    <w:rsid w:val="00B23CF6"/>
    <w:rsid w:val="00B23DFE"/>
    <w:rsid w:val="00B23EB6"/>
    <w:rsid w:val="00B23EDB"/>
    <w:rsid w:val="00B23F05"/>
    <w:rsid w:val="00B23F86"/>
    <w:rsid w:val="00B2405D"/>
    <w:rsid w:val="00B24128"/>
    <w:rsid w:val="00B2422A"/>
    <w:rsid w:val="00B24308"/>
    <w:rsid w:val="00B24479"/>
    <w:rsid w:val="00B24610"/>
    <w:rsid w:val="00B246C5"/>
    <w:rsid w:val="00B24713"/>
    <w:rsid w:val="00B2472B"/>
    <w:rsid w:val="00B24744"/>
    <w:rsid w:val="00B2492F"/>
    <w:rsid w:val="00B2494E"/>
    <w:rsid w:val="00B2495F"/>
    <w:rsid w:val="00B249C9"/>
    <w:rsid w:val="00B24A3C"/>
    <w:rsid w:val="00B24A96"/>
    <w:rsid w:val="00B24C6F"/>
    <w:rsid w:val="00B24D00"/>
    <w:rsid w:val="00B24D42"/>
    <w:rsid w:val="00B24ED6"/>
    <w:rsid w:val="00B24EF3"/>
    <w:rsid w:val="00B24F38"/>
    <w:rsid w:val="00B24F73"/>
    <w:rsid w:val="00B24FC4"/>
    <w:rsid w:val="00B2506A"/>
    <w:rsid w:val="00B25080"/>
    <w:rsid w:val="00B25265"/>
    <w:rsid w:val="00B25408"/>
    <w:rsid w:val="00B2552E"/>
    <w:rsid w:val="00B25541"/>
    <w:rsid w:val="00B25850"/>
    <w:rsid w:val="00B2586B"/>
    <w:rsid w:val="00B258B5"/>
    <w:rsid w:val="00B258E6"/>
    <w:rsid w:val="00B258E8"/>
    <w:rsid w:val="00B25A3D"/>
    <w:rsid w:val="00B25B9F"/>
    <w:rsid w:val="00B25BEA"/>
    <w:rsid w:val="00B25C35"/>
    <w:rsid w:val="00B25CEE"/>
    <w:rsid w:val="00B25D7C"/>
    <w:rsid w:val="00B25F87"/>
    <w:rsid w:val="00B25FB2"/>
    <w:rsid w:val="00B25FE0"/>
    <w:rsid w:val="00B25FF3"/>
    <w:rsid w:val="00B26143"/>
    <w:rsid w:val="00B26151"/>
    <w:rsid w:val="00B2617C"/>
    <w:rsid w:val="00B26182"/>
    <w:rsid w:val="00B2625F"/>
    <w:rsid w:val="00B263C6"/>
    <w:rsid w:val="00B263E0"/>
    <w:rsid w:val="00B2655D"/>
    <w:rsid w:val="00B2655E"/>
    <w:rsid w:val="00B26587"/>
    <w:rsid w:val="00B26612"/>
    <w:rsid w:val="00B26644"/>
    <w:rsid w:val="00B2666B"/>
    <w:rsid w:val="00B26683"/>
    <w:rsid w:val="00B266A1"/>
    <w:rsid w:val="00B2688F"/>
    <w:rsid w:val="00B2691C"/>
    <w:rsid w:val="00B26CD5"/>
    <w:rsid w:val="00B26DD0"/>
    <w:rsid w:val="00B26E9F"/>
    <w:rsid w:val="00B26FC7"/>
    <w:rsid w:val="00B2700E"/>
    <w:rsid w:val="00B27058"/>
    <w:rsid w:val="00B27094"/>
    <w:rsid w:val="00B271E4"/>
    <w:rsid w:val="00B2720C"/>
    <w:rsid w:val="00B272E2"/>
    <w:rsid w:val="00B273C7"/>
    <w:rsid w:val="00B27428"/>
    <w:rsid w:val="00B274B4"/>
    <w:rsid w:val="00B275F9"/>
    <w:rsid w:val="00B2760E"/>
    <w:rsid w:val="00B276CD"/>
    <w:rsid w:val="00B27777"/>
    <w:rsid w:val="00B2779F"/>
    <w:rsid w:val="00B277E2"/>
    <w:rsid w:val="00B278A4"/>
    <w:rsid w:val="00B27A9E"/>
    <w:rsid w:val="00B27B0F"/>
    <w:rsid w:val="00B27CC1"/>
    <w:rsid w:val="00B27D35"/>
    <w:rsid w:val="00B27DFE"/>
    <w:rsid w:val="00B27E53"/>
    <w:rsid w:val="00B300DB"/>
    <w:rsid w:val="00B302A8"/>
    <w:rsid w:val="00B302FB"/>
    <w:rsid w:val="00B3040C"/>
    <w:rsid w:val="00B30499"/>
    <w:rsid w:val="00B30532"/>
    <w:rsid w:val="00B3064C"/>
    <w:rsid w:val="00B306AA"/>
    <w:rsid w:val="00B30737"/>
    <w:rsid w:val="00B30809"/>
    <w:rsid w:val="00B308C9"/>
    <w:rsid w:val="00B308F0"/>
    <w:rsid w:val="00B3092E"/>
    <w:rsid w:val="00B30A7D"/>
    <w:rsid w:val="00B30AD4"/>
    <w:rsid w:val="00B30D36"/>
    <w:rsid w:val="00B30D42"/>
    <w:rsid w:val="00B30D43"/>
    <w:rsid w:val="00B30DFF"/>
    <w:rsid w:val="00B30F7C"/>
    <w:rsid w:val="00B30F8D"/>
    <w:rsid w:val="00B30FDC"/>
    <w:rsid w:val="00B30FE1"/>
    <w:rsid w:val="00B310A4"/>
    <w:rsid w:val="00B311AE"/>
    <w:rsid w:val="00B311F9"/>
    <w:rsid w:val="00B31204"/>
    <w:rsid w:val="00B31216"/>
    <w:rsid w:val="00B31462"/>
    <w:rsid w:val="00B31494"/>
    <w:rsid w:val="00B314AE"/>
    <w:rsid w:val="00B31544"/>
    <w:rsid w:val="00B3154B"/>
    <w:rsid w:val="00B3174F"/>
    <w:rsid w:val="00B31879"/>
    <w:rsid w:val="00B31883"/>
    <w:rsid w:val="00B318C5"/>
    <w:rsid w:val="00B3191C"/>
    <w:rsid w:val="00B31B4B"/>
    <w:rsid w:val="00B31C19"/>
    <w:rsid w:val="00B31CBF"/>
    <w:rsid w:val="00B31D4B"/>
    <w:rsid w:val="00B31E3C"/>
    <w:rsid w:val="00B31E88"/>
    <w:rsid w:val="00B31EC4"/>
    <w:rsid w:val="00B31EDB"/>
    <w:rsid w:val="00B32175"/>
    <w:rsid w:val="00B3218C"/>
    <w:rsid w:val="00B321C0"/>
    <w:rsid w:val="00B32259"/>
    <w:rsid w:val="00B3225F"/>
    <w:rsid w:val="00B322CC"/>
    <w:rsid w:val="00B32307"/>
    <w:rsid w:val="00B32399"/>
    <w:rsid w:val="00B323B4"/>
    <w:rsid w:val="00B32582"/>
    <w:rsid w:val="00B325F0"/>
    <w:rsid w:val="00B3260E"/>
    <w:rsid w:val="00B32619"/>
    <w:rsid w:val="00B3265C"/>
    <w:rsid w:val="00B32896"/>
    <w:rsid w:val="00B329EC"/>
    <w:rsid w:val="00B32AB5"/>
    <w:rsid w:val="00B32ACE"/>
    <w:rsid w:val="00B32B4C"/>
    <w:rsid w:val="00B32C96"/>
    <w:rsid w:val="00B33097"/>
    <w:rsid w:val="00B33107"/>
    <w:rsid w:val="00B331EC"/>
    <w:rsid w:val="00B33221"/>
    <w:rsid w:val="00B33326"/>
    <w:rsid w:val="00B33338"/>
    <w:rsid w:val="00B3337A"/>
    <w:rsid w:val="00B3354A"/>
    <w:rsid w:val="00B335AC"/>
    <w:rsid w:val="00B33603"/>
    <w:rsid w:val="00B3368A"/>
    <w:rsid w:val="00B33696"/>
    <w:rsid w:val="00B3369F"/>
    <w:rsid w:val="00B336B3"/>
    <w:rsid w:val="00B337CB"/>
    <w:rsid w:val="00B33884"/>
    <w:rsid w:val="00B33A96"/>
    <w:rsid w:val="00B33BBA"/>
    <w:rsid w:val="00B33C0B"/>
    <w:rsid w:val="00B33D3F"/>
    <w:rsid w:val="00B33E94"/>
    <w:rsid w:val="00B34000"/>
    <w:rsid w:val="00B34125"/>
    <w:rsid w:val="00B34163"/>
    <w:rsid w:val="00B3422A"/>
    <w:rsid w:val="00B343B4"/>
    <w:rsid w:val="00B345DC"/>
    <w:rsid w:val="00B347F9"/>
    <w:rsid w:val="00B34833"/>
    <w:rsid w:val="00B348C3"/>
    <w:rsid w:val="00B348EB"/>
    <w:rsid w:val="00B34952"/>
    <w:rsid w:val="00B34A41"/>
    <w:rsid w:val="00B34A57"/>
    <w:rsid w:val="00B34B03"/>
    <w:rsid w:val="00B34E60"/>
    <w:rsid w:val="00B34E71"/>
    <w:rsid w:val="00B34EBA"/>
    <w:rsid w:val="00B35049"/>
    <w:rsid w:val="00B3504E"/>
    <w:rsid w:val="00B350EE"/>
    <w:rsid w:val="00B351D7"/>
    <w:rsid w:val="00B35217"/>
    <w:rsid w:val="00B3542F"/>
    <w:rsid w:val="00B35438"/>
    <w:rsid w:val="00B354FE"/>
    <w:rsid w:val="00B3552B"/>
    <w:rsid w:val="00B355CD"/>
    <w:rsid w:val="00B3561C"/>
    <w:rsid w:val="00B3569D"/>
    <w:rsid w:val="00B35794"/>
    <w:rsid w:val="00B358A2"/>
    <w:rsid w:val="00B35969"/>
    <w:rsid w:val="00B35A43"/>
    <w:rsid w:val="00B35A78"/>
    <w:rsid w:val="00B35D16"/>
    <w:rsid w:val="00B35DD6"/>
    <w:rsid w:val="00B35EF3"/>
    <w:rsid w:val="00B36028"/>
    <w:rsid w:val="00B36191"/>
    <w:rsid w:val="00B361B1"/>
    <w:rsid w:val="00B36280"/>
    <w:rsid w:val="00B36567"/>
    <w:rsid w:val="00B3667B"/>
    <w:rsid w:val="00B3674B"/>
    <w:rsid w:val="00B367F8"/>
    <w:rsid w:val="00B3681C"/>
    <w:rsid w:val="00B368BE"/>
    <w:rsid w:val="00B36B0E"/>
    <w:rsid w:val="00B36B18"/>
    <w:rsid w:val="00B36C40"/>
    <w:rsid w:val="00B36C8B"/>
    <w:rsid w:val="00B36CCC"/>
    <w:rsid w:val="00B36DA4"/>
    <w:rsid w:val="00B36E0C"/>
    <w:rsid w:val="00B37081"/>
    <w:rsid w:val="00B37086"/>
    <w:rsid w:val="00B3726A"/>
    <w:rsid w:val="00B373DE"/>
    <w:rsid w:val="00B374C4"/>
    <w:rsid w:val="00B374FA"/>
    <w:rsid w:val="00B376D7"/>
    <w:rsid w:val="00B376E9"/>
    <w:rsid w:val="00B377A1"/>
    <w:rsid w:val="00B377E3"/>
    <w:rsid w:val="00B3782A"/>
    <w:rsid w:val="00B379B7"/>
    <w:rsid w:val="00B37A02"/>
    <w:rsid w:val="00B37AFC"/>
    <w:rsid w:val="00B37BF2"/>
    <w:rsid w:val="00B37CFF"/>
    <w:rsid w:val="00B37D72"/>
    <w:rsid w:val="00B37DEE"/>
    <w:rsid w:val="00B37EA8"/>
    <w:rsid w:val="00B37F52"/>
    <w:rsid w:val="00B400AF"/>
    <w:rsid w:val="00B4026E"/>
    <w:rsid w:val="00B402D0"/>
    <w:rsid w:val="00B403D2"/>
    <w:rsid w:val="00B404DE"/>
    <w:rsid w:val="00B40525"/>
    <w:rsid w:val="00B40581"/>
    <w:rsid w:val="00B405D6"/>
    <w:rsid w:val="00B4098B"/>
    <w:rsid w:val="00B409A7"/>
    <w:rsid w:val="00B409FA"/>
    <w:rsid w:val="00B40A71"/>
    <w:rsid w:val="00B40BD4"/>
    <w:rsid w:val="00B40C7B"/>
    <w:rsid w:val="00B40E93"/>
    <w:rsid w:val="00B40F1C"/>
    <w:rsid w:val="00B40F47"/>
    <w:rsid w:val="00B41069"/>
    <w:rsid w:val="00B4113B"/>
    <w:rsid w:val="00B4115B"/>
    <w:rsid w:val="00B4119D"/>
    <w:rsid w:val="00B411CB"/>
    <w:rsid w:val="00B411E2"/>
    <w:rsid w:val="00B411F8"/>
    <w:rsid w:val="00B41239"/>
    <w:rsid w:val="00B4131F"/>
    <w:rsid w:val="00B41329"/>
    <w:rsid w:val="00B41345"/>
    <w:rsid w:val="00B41401"/>
    <w:rsid w:val="00B414D3"/>
    <w:rsid w:val="00B416DB"/>
    <w:rsid w:val="00B41749"/>
    <w:rsid w:val="00B418B8"/>
    <w:rsid w:val="00B41941"/>
    <w:rsid w:val="00B41B25"/>
    <w:rsid w:val="00B41B94"/>
    <w:rsid w:val="00B41B9B"/>
    <w:rsid w:val="00B41C45"/>
    <w:rsid w:val="00B41C58"/>
    <w:rsid w:val="00B41DD8"/>
    <w:rsid w:val="00B41E91"/>
    <w:rsid w:val="00B41EE6"/>
    <w:rsid w:val="00B42003"/>
    <w:rsid w:val="00B4204E"/>
    <w:rsid w:val="00B42174"/>
    <w:rsid w:val="00B4227D"/>
    <w:rsid w:val="00B422AA"/>
    <w:rsid w:val="00B425A5"/>
    <w:rsid w:val="00B425D8"/>
    <w:rsid w:val="00B42657"/>
    <w:rsid w:val="00B42663"/>
    <w:rsid w:val="00B426F6"/>
    <w:rsid w:val="00B426FC"/>
    <w:rsid w:val="00B427D9"/>
    <w:rsid w:val="00B42910"/>
    <w:rsid w:val="00B429F8"/>
    <w:rsid w:val="00B42B4E"/>
    <w:rsid w:val="00B42B97"/>
    <w:rsid w:val="00B42C05"/>
    <w:rsid w:val="00B42FF8"/>
    <w:rsid w:val="00B43024"/>
    <w:rsid w:val="00B431FE"/>
    <w:rsid w:val="00B43206"/>
    <w:rsid w:val="00B43301"/>
    <w:rsid w:val="00B433C1"/>
    <w:rsid w:val="00B433DC"/>
    <w:rsid w:val="00B435D0"/>
    <w:rsid w:val="00B435E4"/>
    <w:rsid w:val="00B4374A"/>
    <w:rsid w:val="00B43789"/>
    <w:rsid w:val="00B43991"/>
    <w:rsid w:val="00B439C0"/>
    <w:rsid w:val="00B43A46"/>
    <w:rsid w:val="00B43A52"/>
    <w:rsid w:val="00B43A5F"/>
    <w:rsid w:val="00B43ABF"/>
    <w:rsid w:val="00B43B0B"/>
    <w:rsid w:val="00B43BA6"/>
    <w:rsid w:val="00B43BDD"/>
    <w:rsid w:val="00B43C51"/>
    <w:rsid w:val="00B43EA3"/>
    <w:rsid w:val="00B43ED7"/>
    <w:rsid w:val="00B43EE5"/>
    <w:rsid w:val="00B43FA3"/>
    <w:rsid w:val="00B44163"/>
    <w:rsid w:val="00B441A1"/>
    <w:rsid w:val="00B4428B"/>
    <w:rsid w:val="00B44330"/>
    <w:rsid w:val="00B443B1"/>
    <w:rsid w:val="00B443CA"/>
    <w:rsid w:val="00B445B7"/>
    <w:rsid w:val="00B446DE"/>
    <w:rsid w:val="00B44704"/>
    <w:rsid w:val="00B44763"/>
    <w:rsid w:val="00B44789"/>
    <w:rsid w:val="00B447EE"/>
    <w:rsid w:val="00B4485F"/>
    <w:rsid w:val="00B44B1F"/>
    <w:rsid w:val="00B44B29"/>
    <w:rsid w:val="00B44B91"/>
    <w:rsid w:val="00B44D28"/>
    <w:rsid w:val="00B44DFE"/>
    <w:rsid w:val="00B44FBF"/>
    <w:rsid w:val="00B45055"/>
    <w:rsid w:val="00B45075"/>
    <w:rsid w:val="00B4521F"/>
    <w:rsid w:val="00B4524B"/>
    <w:rsid w:val="00B45331"/>
    <w:rsid w:val="00B454BC"/>
    <w:rsid w:val="00B45552"/>
    <w:rsid w:val="00B45635"/>
    <w:rsid w:val="00B4564A"/>
    <w:rsid w:val="00B45681"/>
    <w:rsid w:val="00B45787"/>
    <w:rsid w:val="00B45A5B"/>
    <w:rsid w:val="00B45AA8"/>
    <w:rsid w:val="00B45D6A"/>
    <w:rsid w:val="00B45E50"/>
    <w:rsid w:val="00B45E93"/>
    <w:rsid w:val="00B45F14"/>
    <w:rsid w:val="00B45FD5"/>
    <w:rsid w:val="00B461C5"/>
    <w:rsid w:val="00B461FA"/>
    <w:rsid w:val="00B4632C"/>
    <w:rsid w:val="00B46357"/>
    <w:rsid w:val="00B464F8"/>
    <w:rsid w:val="00B46648"/>
    <w:rsid w:val="00B466A7"/>
    <w:rsid w:val="00B466D1"/>
    <w:rsid w:val="00B46723"/>
    <w:rsid w:val="00B46820"/>
    <w:rsid w:val="00B46870"/>
    <w:rsid w:val="00B468A0"/>
    <w:rsid w:val="00B4696B"/>
    <w:rsid w:val="00B46AE4"/>
    <w:rsid w:val="00B46B59"/>
    <w:rsid w:val="00B46C49"/>
    <w:rsid w:val="00B46D0A"/>
    <w:rsid w:val="00B46D2C"/>
    <w:rsid w:val="00B46E50"/>
    <w:rsid w:val="00B46FE3"/>
    <w:rsid w:val="00B46FE4"/>
    <w:rsid w:val="00B470B9"/>
    <w:rsid w:val="00B4718F"/>
    <w:rsid w:val="00B472DA"/>
    <w:rsid w:val="00B473EC"/>
    <w:rsid w:val="00B47553"/>
    <w:rsid w:val="00B47604"/>
    <w:rsid w:val="00B476A0"/>
    <w:rsid w:val="00B476A2"/>
    <w:rsid w:val="00B4793F"/>
    <w:rsid w:val="00B47A12"/>
    <w:rsid w:val="00B47CFA"/>
    <w:rsid w:val="00B47D47"/>
    <w:rsid w:val="00B47D53"/>
    <w:rsid w:val="00B47DDE"/>
    <w:rsid w:val="00B47DF8"/>
    <w:rsid w:val="00B47E11"/>
    <w:rsid w:val="00B47EFD"/>
    <w:rsid w:val="00B47F2F"/>
    <w:rsid w:val="00B47F46"/>
    <w:rsid w:val="00B50096"/>
    <w:rsid w:val="00B50188"/>
    <w:rsid w:val="00B503E9"/>
    <w:rsid w:val="00B5041A"/>
    <w:rsid w:val="00B5052C"/>
    <w:rsid w:val="00B505FE"/>
    <w:rsid w:val="00B50688"/>
    <w:rsid w:val="00B50798"/>
    <w:rsid w:val="00B5085D"/>
    <w:rsid w:val="00B509A1"/>
    <w:rsid w:val="00B509CF"/>
    <w:rsid w:val="00B50A8D"/>
    <w:rsid w:val="00B50B25"/>
    <w:rsid w:val="00B50B74"/>
    <w:rsid w:val="00B50C9B"/>
    <w:rsid w:val="00B50E7F"/>
    <w:rsid w:val="00B50EF3"/>
    <w:rsid w:val="00B50F27"/>
    <w:rsid w:val="00B50FAA"/>
    <w:rsid w:val="00B51022"/>
    <w:rsid w:val="00B51023"/>
    <w:rsid w:val="00B51106"/>
    <w:rsid w:val="00B5110B"/>
    <w:rsid w:val="00B512C1"/>
    <w:rsid w:val="00B5131D"/>
    <w:rsid w:val="00B5152D"/>
    <w:rsid w:val="00B515F4"/>
    <w:rsid w:val="00B5166E"/>
    <w:rsid w:val="00B517AC"/>
    <w:rsid w:val="00B51956"/>
    <w:rsid w:val="00B51A2B"/>
    <w:rsid w:val="00B51BC1"/>
    <w:rsid w:val="00B51BD4"/>
    <w:rsid w:val="00B51BFA"/>
    <w:rsid w:val="00B51C00"/>
    <w:rsid w:val="00B51CB3"/>
    <w:rsid w:val="00B51DBB"/>
    <w:rsid w:val="00B51E0F"/>
    <w:rsid w:val="00B51E13"/>
    <w:rsid w:val="00B51F6E"/>
    <w:rsid w:val="00B52033"/>
    <w:rsid w:val="00B52132"/>
    <w:rsid w:val="00B522CF"/>
    <w:rsid w:val="00B5239F"/>
    <w:rsid w:val="00B52413"/>
    <w:rsid w:val="00B52442"/>
    <w:rsid w:val="00B52516"/>
    <w:rsid w:val="00B525A5"/>
    <w:rsid w:val="00B52605"/>
    <w:rsid w:val="00B5264A"/>
    <w:rsid w:val="00B5275F"/>
    <w:rsid w:val="00B52779"/>
    <w:rsid w:val="00B5286E"/>
    <w:rsid w:val="00B5289C"/>
    <w:rsid w:val="00B52916"/>
    <w:rsid w:val="00B5293F"/>
    <w:rsid w:val="00B52992"/>
    <w:rsid w:val="00B52AA6"/>
    <w:rsid w:val="00B52AE3"/>
    <w:rsid w:val="00B52BD1"/>
    <w:rsid w:val="00B52C71"/>
    <w:rsid w:val="00B52C86"/>
    <w:rsid w:val="00B52DC6"/>
    <w:rsid w:val="00B53084"/>
    <w:rsid w:val="00B5316C"/>
    <w:rsid w:val="00B53175"/>
    <w:rsid w:val="00B5329E"/>
    <w:rsid w:val="00B532E3"/>
    <w:rsid w:val="00B53350"/>
    <w:rsid w:val="00B533A4"/>
    <w:rsid w:val="00B533CA"/>
    <w:rsid w:val="00B53477"/>
    <w:rsid w:val="00B53540"/>
    <w:rsid w:val="00B5355D"/>
    <w:rsid w:val="00B53646"/>
    <w:rsid w:val="00B536D8"/>
    <w:rsid w:val="00B5376C"/>
    <w:rsid w:val="00B53C4A"/>
    <w:rsid w:val="00B53D26"/>
    <w:rsid w:val="00B53E2D"/>
    <w:rsid w:val="00B53E3F"/>
    <w:rsid w:val="00B53F2E"/>
    <w:rsid w:val="00B5408D"/>
    <w:rsid w:val="00B540B0"/>
    <w:rsid w:val="00B5416A"/>
    <w:rsid w:val="00B5419C"/>
    <w:rsid w:val="00B541A1"/>
    <w:rsid w:val="00B54247"/>
    <w:rsid w:val="00B54292"/>
    <w:rsid w:val="00B5430A"/>
    <w:rsid w:val="00B5430D"/>
    <w:rsid w:val="00B543FC"/>
    <w:rsid w:val="00B54426"/>
    <w:rsid w:val="00B5460A"/>
    <w:rsid w:val="00B54986"/>
    <w:rsid w:val="00B54A98"/>
    <w:rsid w:val="00B54B00"/>
    <w:rsid w:val="00B54B8F"/>
    <w:rsid w:val="00B54C6C"/>
    <w:rsid w:val="00B54D15"/>
    <w:rsid w:val="00B54F13"/>
    <w:rsid w:val="00B54F3A"/>
    <w:rsid w:val="00B54FAE"/>
    <w:rsid w:val="00B55071"/>
    <w:rsid w:val="00B55117"/>
    <w:rsid w:val="00B5525A"/>
    <w:rsid w:val="00B55525"/>
    <w:rsid w:val="00B5552E"/>
    <w:rsid w:val="00B55587"/>
    <w:rsid w:val="00B55663"/>
    <w:rsid w:val="00B556EA"/>
    <w:rsid w:val="00B559AC"/>
    <w:rsid w:val="00B559C6"/>
    <w:rsid w:val="00B55B51"/>
    <w:rsid w:val="00B55B9E"/>
    <w:rsid w:val="00B55C1E"/>
    <w:rsid w:val="00B55C84"/>
    <w:rsid w:val="00B55DD5"/>
    <w:rsid w:val="00B55ED0"/>
    <w:rsid w:val="00B55F1D"/>
    <w:rsid w:val="00B55FB8"/>
    <w:rsid w:val="00B56256"/>
    <w:rsid w:val="00B562F5"/>
    <w:rsid w:val="00B56371"/>
    <w:rsid w:val="00B563D7"/>
    <w:rsid w:val="00B564E1"/>
    <w:rsid w:val="00B566CB"/>
    <w:rsid w:val="00B566FA"/>
    <w:rsid w:val="00B5677D"/>
    <w:rsid w:val="00B567D3"/>
    <w:rsid w:val="00B567F4"/>
    <w:rsid w:val="00B568F6"/>
    <w:rsid w:val="00B56AB2"/>
    <w:rsid w:val="00B56B51"/>
    <w:rsid w:val="00B56C75"/>
    <w:rsid w:val="00B56CA7"/>
    <w:rsid w:val="00B56D7B"/>
    <w:rsid w:val="00B56EBD"/>
    <w:rsid w:val="00B56F40"/>
    <w:rsid w:val="00B56F75"/>
    <w:rsid w:val="00B56F9C"/>
    <w:rsid w:val="00B57029"/>
    <w:rsid w:val="00B570C6"/>
    <w:rsid w:val="00B570D8"/>
    <w:rsid w:val="00B5713D"/>
    <w:rsid w:val="00B57144"/>
    <w:rsid w:val="00B571DA"/>
    <w:rsid w:val="00B572C1"/>
    <w:rsid w:val="00B572CA"/>
    <w:rsid w:val="00B5731A"/>
    <w:rsid w:val="00B57326"/>
    <w:rsid w:val="00B573AC"/>
    <w:rsid w:val="00B57470"/>
    <w:rsid w:val="00B57571"/>
    <w:rsid w:val="00B5757A"/>
    <w:rsid w:val="00B5758D"/>
    <w:rsid w:val="00B575A1"/>
    <w:rsid w:val="00B5762E"/>
    <w:rsid w:val="00B578F4"/>
    <w:rsid w:val="00B57919"/>
    <w:rsid w:val="00B579B4"/>
    <w:rsid w:val="00B57B8B"/>
    <w:rsid w:val="00B57CC4"/>
    <w:rsid w:val="00B57E4C"/>
    <w:rsid w:val="00B57FD0"/>
    <w:rsid w:val="00B601C6"/>
    <w:rsid w:val="00B6032D"/>
    <w:rsid w:val="00B60380"/>
    <w:rsid w:val="00B6053F"/>
    <w:rsid w:val="00B606D6"/>
    <w:rsid w:val="00B60742"/>
    <w:rsid w:val="00B60871"/>
    <w:rsid w:val="00B60896"/>
    <w:rsid w:val="00B60916"/>
    <w:rsid w:val="00B60A4E"/>
    <w:rsid w:val="00B60B0D"/>
    <w:rsid w:val="00B60C0B"/>
    <w:rsid w:val="00B60F5A"/>
    <w:rsid w:val="00B60FA6"/>
    <w:rsid w:val="00B610C6"/>
    <w:rsid w:val="00B61107"/>
    <w:rsid w:val="00B61165"/>
    <w:rsid w:val="00B612B9"/>
    <w:rsid w:val="00B61325"/>
    <w:rsid w:val="00B613BA"/>
    <w:rsid w:val="00B61446"/>
    <w:rsid w:val="00B615FB"/>
    <w:rsid w:val="00B6175B"/>
    <w:rsid w:val="00B617AE"/>
    <w:rsid w:val="00B61A37"/>
    <w:rsid w:val="00B61BAD"/>
    <w:rsid w:val="00B61C82"/>
    <w:rsid w:val="00B61E68"/>
    <w:rsid w:val="00B61FEB"/>
    <w:rsid w:val="00B62057"/>
    <w:rsid w:val="00B620C5"/>
    <w:rsid w:val="00B620D4"/>
    <w:rsid w:val="00B6217A"/>
    <w:rsid w:val="00B62186"/>
    <w:rsid w:val="00B62282"/>
    <w:rsid w:val="00B623EA"/>
    <w:rsid w:val="00B624F1"/>
    <w:rsid w:val="00B62544"/>
    <w:rsid w:val="00B6288A"/>
    <w:rsid w:val="00B628B8"/>
    <w:rsid w:val="00B62932"/>
    <w:rsid w:val="00B62AF9"/>
    <w:rsid w:val="00B62B04"/>
    <w:rsid w:val="00B62BE0"/>
    <w:rsid w:val="00B62BEB"/>
    <w:rsid w:val="00B62DFF"/>
    <w:rsid w:val="00B62E5D"/>
    <w:rsid w:val="00B62F43"/>
    <w:rsid w:val="00B62F5F"/>
    <w:rsid w:val="00B62FB3"/>
    <w:rsid w:val="00B630CE"/>
    <w:rsid w:val="00B634C2"/>
    <w:rsid w:val="00B634EB"/>
    <w:rsid w:val="00B635E9"/>
    <w:rsid w:val="00B636B3"/>
    <w:rsid w:val="00B637A2"/>
    <w:rsid w:val="00B637FE"/>
    <w:rsid w:val="00B6382F"/>
    <w:rsid w:val="00B63902"/>
    <w:rsid w:val="00B63AFB"/>
    <w:rsid w:val="00B63BBB"/>
    <w:rsid w:val="00B63C71"/>
    <w:rsid w:val="00B63D0B"/>
    <w:rsid w:val="00B63D14"/>
    <w:rsid w:val="00B63D4C"/>
    <w:rsid w:val="00B63E51"/>
    <w:rsid w:val="00B63ED6"/>
    <w:rsid w:val="00B63F4E"/>
    <w:rsid w:val="00B64111"/>
    <w:rsid w:val="00B641D8"/>
    <w:rsid w:val="00B642F9"/>
    <w:rsid w:val="00B643F9"/>
    <w:rsid w:val="00B6451C"/>
    <w:rsid w:val="00B64526"/>
    <w:rsid w:val="00B6456A"/>
    <w:rsid w:val="00B64573"/>
    <w:rsid w:val="00B6462C"/>
    <w:rsid w:val="00B64731"/>
    <w:rsid w:val="00B64901"/>
    <w:rsid w:val="00B64B90"/>
    <w:rsid w:val="00B64CA0"/>
    <w:rsid w:val="00B64DE2"/>
    <w:rsid w:val="00B64E76"/>
    <w:rsid w:val="00B65104"/>
    <w:rsid w:val="00B6517F"/>
    <w:rsid w:val="00B65202"/>
    <w:rsid w:val="00B65245"/>
    <w:rsid w:val="00B652F7"/>
    <w:rsid w:val="00B6543D"/>
    <w:rsid w:val="00B6545A"/>
    <w:rsid w:val="00B65545"/>
    <w:rsid w:val="00B6554B"/>
    <w:rsid w:val="00B6554E"/>
    <w:rsid w:val="00B655EC"/>
    <w:rsid w:val="00B656EC"/>
    <w:rsid w:val="00B6574F"/>
    <w:rsid w:val="00B657C5"/>
    <w:rsid w:val="00B658C3"/>
    <w:rsid w:val="00B658C9"/>
    <w:rsid w:val="00B65987"/>
    <w:rsid w:val="00B65BDA"/>
    <w:rsid w:val="00B65D54"/>
    <w:rsid w:val="00B65D8B"/>
    <w:rsid w:val="00B65DB1"/>
    <w:rsid w:val="00B65DBD"/>
    <w:rsid w:val="00B65E72"/>
    <w:rsid w:val="00B65EAA"/>
    <w:rsid w:val="00B65EDB"/>
    <w:rsid w:val="00B65F7C"/>
    <w:rsid w:val="00B65F7F"/>
    <w:rsid w:val="00B66178"/>
    <w:rsid w:val="00B6626E"/>
    <w:rsid w:val="00B662B2"/>
    <w:rsid w:val="00B664E5"/>
    <w:rsid w:val="00B664F8"/>
    <w:rsid w:val="00B66541"/>
    <w:rsid w:val="00B6658B"/>
    <w:rsid w:val="00B6668B"/>
    <w:rsid w:val="00B6679D"/>
    <w:rsid w:val="00B667DC"/>
    <w:rsid w:val="00B667EA"/>
    <w:rsid w:val="00B66843"/>
    <w:rsid w:val="00B66995"/>
    <w:rsid w:val="00B66B7C"/>
    <w:rsid w:val="00B66BE4"/>
    <w:rsid w:val="00B66C00"/>
    <w:rsid w:val="00B66D1D"/>
    <w:rsid w:val="00B66E35"/>
    <w:rsid w:val="00B671B3"/>
    <w:rsid w:val="00B671DC"/>
    <w:rsid w:val="00B672F4"/>
    <w:rsid w:val="00B67350"/>
    <w:rsid w:val="00B673E9"/>
    <w:rsid w:val="00B67516"/>
    <w:rsid w:val="00B6754D"/>
    <w:rsid w:val="00B675AB"/>
    <w:rsid w:val="00B675DB"/>
    <w:rsid w:val="00B67967"/>
    <w:rsid w:val="00B67AFA"/>
    <w:rsid w:val="00B67B2E"/>
    <w:rsid w:val="00B67E13"/>
    <w:rsid w:val="00B67E90"/>
    <w:rsid w:val="00B67E9A"/>
    <w:rsid w:val="00B70156"/>
    <w:rsid w:val="00B7041A"/>
    <w:rsid w:val="00B7049D"/>
    <w:rsid w:val="00B704BC"/>
    <w:rsid w:val="00B7051E"/>
    <w:rsid w:val="00B706F7"/>
    <w:rsid w:val="00B7078B"/>
    <w:rsid w:val="00B70937"/>
    <w:rsid w:val="00B7098D"/>
    <w:rsid w:val="00B70A1C"/>
    <w:rsid w:val="00B70A62"/>
    <w:rsid w:val="00B70BA9"/>
    <w:rsid w:val="00B70C60"/>
    <w:rsid w:val="00B70D0A"/>
    <w:rsid w:val="00B70ED0"/>
    <w:rsid w:val="00B71090"/>
    <w:rsid w:val="00B710D4"/>
    <w:rsid w:val="00B71191"/>
    <w:rsid w:val="00B712DE"/>
    <w:rsid w:val="00B71390"/>
    <w:rsid w:val="00B7155E"/>
    <w:rsid w:val="00B715AC"/>
    <w:rsid w:val="00B716E8"/>
    <w:rsid w:val="00B7188C"/>
    <w:rsid w:val="00B7188D"/>
    <w:rsid w:val="00B718A1"/>
    <w:rsid w:val="00B71939"/>
    <w:rsid w:val="00B71A8A"/>
    <w:rsid w:val="00B71B00"/>
    <w:rsid w:val="00B71BFA"/>
    <w:rsid w:val="00B71C37"/>
    <w:rsid w:val="00B71C8A"/>
    <w:rsid w:val="00B71C9C"/>
    <w:rsid w:val="00B71CA6"/>
    <w:rsid w:val="00B71D0D"/>
    <w:rsid w:val="00B71D33"/>
    <w:rsid w:val="00B72164"/>
    <w:rsid w:val="00B72170"/>
    <w:rsid w:val="00B722C4"/>
    <w:rsid w:val="00B722FE"/>
    <w:rsid w:val="00B72361"/>
    <w:rsid w:val="00B72415"/>
    <w:rsid w:val="00B724BB"/>
    <w:rsid w:val="00B7259B"/>
    <w:rsid w:val="00B72695"/>
    <w:rsid w:val="00B72774"/>
    <w:rsid w:val="00B72823"/>
    <w:rsid w:val="00B7294E"/>
    <w:rsid w:val="00B729AE"/>
    <w:rsid w:val="00B72ACE"/>
    <w:rsid w:val="00B72CE0"/>
    <w:rsid w:val="00B72D07"/>
    <w:rsid w:val="00B72D22"/>
    <w:rsid w:val="00B72D8B"/>
    <w:rsid w:val="00B72E03"/>
    <w:rsid w:val="00B731C2"/>
    <w:rsid w:val="00B732D2"/>
    <w:rsid w:val="00B73404"/>
    <w:rsid w:val="00B734BE"/>
    <w:rsid w:val="00B7356B"/>
    <w:rsid w:val="00B73576"/>
    <w:rsid w:val="00B73585"/>
    <w:rsid w:val="00B73616"/>
    <w:rsid w:val="00B7363C"/>
    <w:rsid w:val="00B7364E"/>
    <w:rsid w:val="00B7369E"/>
    <w:rsid w:val="00B737F1"/>
    <w:rsid w:val="00B7387E"/>
    <w:rsid w:val="00B738AA"/>
    <w:rsid w:val="00B738D0"/>
    <w:rsid w:val="00B73921"/>
    <w:rsid w:val="00B73935"/>
    <w:rsid w:val="00B73A75"/>
    <w:rsid w:val="00B73C02"/>
    <w:rsid w:val="00B73C29"/>
    <w:rsid w:val="00B73C98"/>
    <w:rsid w:val="00B73CAC"/>
    <w:rsid w:val="00B73D25"/>
    <w:rsid w:val="00B73D28"/>
    <w:rsid w:val="00B73D66"/>
    <w:rsid w:val="00B73DBE"/>
    <w:rsid w:val="00B74128"/>
    <w:rsid w:val="00B741E3"/>
    <w:rsid w:val="00B74208"/>
    <w:rsid w:val="00B74332"/>
    <w:rsid w:val="00B74427"/>
    <w:rsid w:val="00B744D7"/>
    <w:rsid w:val="00B745D2"/>
    <w:rsid w:val="00B74621"/>
    <w:rsid w:val="00B7462C"/>
    <w:rsid w:val="00B7464F"/>
    <w:rsid w:val="00B74654"/>
    <w:rsid w:val="00B748D0"/>
    <w:rsid w:val="00B7494E"/>
    <w:rsid w:val="00B74A66"/>
    <w:rsid w:val="00B74A9C"/>
    <w:rsid w:val="00B74AA3"/>
    <w:rsid w:val="00B74AA5"/>
    <w:rsid w:val="00B74AA6"/>
    <w:rsid w:val="00B74B52"/>
    <w:rsid w:val="00B74BED"/>
    <w:rsid w:val="00B74CB0"/>
    <w:rsid w:val="00B74CBA"/>
    <w:rsid w:val="00B74D42"/>
    <w:rsid w:val="00B74DB4"/>
    <w:rsid w:val="00B74E44"/>
    <w:rsid w:val="00B74F33"/>
    <w:rsid w:val="00B74F72"/>
    <w:rsid w:val="00B74F79"/>
    <w:rsid w:val="00B750B3"/>
    <w:rsid w:val="00B7512C"/>
    <w:rsid w:val="00B751E6"/>
    <w:rsid w:val="00B7524E"/>
    <w:rsid w:val="00B75361"/>
    <w:rsid w:val="00B7557B"/>
    <w:rsid w:val="00B7567D"/>
    <w:rsid w:val="00B7574C"/>
    <w:rsid w:val="00B75911"/>
    <w:rsid w:val="00B7593D"/>
    <w:rsid w:val="00B75A21"/>
    <w:rsid w:val="00B75B4D"/>
    <w:rsid w:val="00B76292"/>
    <w:rsid w:val="00B7641A"/>
    <w:rsid w:val="00B7655B"/>
    <w:rsid w:val="00B7658A"/>
    <w:rsid w:val="00B765A2"/>
    <w:rsid w:val="00B766BF"/>
    <w:rsid w:val="00B7675F"/>
    <w:rsid w:val="00B767D0"/>
    <w:rsid w:val="00B76804"/>
    <w:rsid w:val="00B7691A"/>
    <w:rsid w:val="00B76985"/>
    <w:rsid w:val="00B76A9A"/>
    <w:rsid w:val="00B76D3A"/>
    <w:rsid w:val="00B76DBC"/>
    <w:rsid w:val="00B76E29"/>
    <w:rsid w:val="00B76EC0"/>
    <w:rsid w:val="00B76EF7"/>
    <w:rsid w:val="00B76F6F"/>
    <w:rsid w:val="00B771F6"/>
    <w:rsid w:val="00B7728A"/>
    <w:rsid w:val="00B772BE"/>
    <w:rsid w:val="00B77374"/>
    <w:rsid w:val="00B77446"/>
    <w:rsid w:val="00B774E7"/>
    <w:rsid w:val="00B77574"/>
    <w:rsid w:val="00B775A7"/>
    <w:rsid w:val="00B775E0"/>
    <w:rsid w:val="00B77629"/>
    <w:rsid w:val="00B77645"/>
    <w:rsid w:val="00B77660"/>
    <w:rsid w:val="00B777B5"/>
    <w:rsid w:val="00B779E9"/>
    <w:rsid w:val="00B77AEE"/>
    <w:rsid w:val="00B77BB7"/>
    <w:rsid w:val="00B77C17"/>
    <w:rsid w:val="00B77EB3"/>
    <w:rsid w:val="00B77EF7"/>
    <w:rsid w:val="00B77F88"/>
    <w:rsid w:val="00B80007"/>
    <w:rsid w:val="00B80008"/>
    <w:rsid w:val="00B80123"/>
    <w:rsid w:val="00B80138"/>
    <w:rsid w:val="00B8036F"/>
    <w:rsid w:val="00B803FB"/>
    <w:rsid w:val="00B80424"/>
    <w:rsid w:val="00B804DF"/>
    <w:rsid w:val="00B8052B"/>
    <w:rsid w:val="00B80711"/>
    <w:rsid w:val="00B8074E"/>
    <w:rsid w:val="00B807C5"/>
    <w:rsid w:val="00B80829"/>
    <w:rsid w:val="00B8085C"/>
    <w:rsid w:val="00B80994"/>
    <w:rsid w:val="00B80A4C"/>
    <w:rsid w:val="00B80C5F"/>
    <w:rsid w:val="00B80CA7"/>
    <w:rsid w:val="00B80CCE"/>
    <w:rsid w:val="00B80E9F"/>
    <w:rsid w:val="00B80F6E"/>
    <w:rsid w:val="00B80FDE"/>
    <w:rsid w:val="00B810DA"/>
    <w:rsid w:val="00B81239"/>
    <w:rsid w:val="00B8126B"/>
    <w:rsid w:val="00B813EA"/>
    <w:rsid w:val="00B81498"/>
    <w:rsid w:val="00B814DA"/>
    <w:rsid w:val="00B8150D"/>
    <w:rsid w:val="00B81529"/>
    <w:rsid w:val="00B8166C"/>
    <w:rsid w:val="00B817CB"/>
    <w:rsid w:val="00B817D2"/>
    <w:rsid w:val="00B817F7"/>
    <w:rsid w:val="00B81C1F"/>
    <w:rsid w:val="00B81DBC"/>
    <w:rsid w:val="00B81E0B"/>
    <w:rsid w:val="00B81EFC"/>
    <w:rsid w:val="00B81F85"/>
    <w:rsid w:val="00B81FBD"/>
    <w:rsid w:val="00B820FC"/>
    <w:rsid w:val="00B82317"/>
    <w:rsid w:val="00B82390"/>
    <w:rsid w:val="00B8244C"/>
    <w:rsid w:val="00B824DB"/>
    <w:rsid w:val="00B825CE"/>
    <w:rsid w:val="00B826EB"/>
    <w:rsid w:val="00B8271E"/>
    <w:rsid w:val="00B82760"/>
    <w:rsid w:val="00B827F3"/>
    <w:rsid w:val="00B82819"/>
    <w:rsid w:val="00B82953"/>
    <w:rsid w:val="00B82988"/>
    <w:rsid w:val="00B829B0"/>
    <w:rsid w:val="00B829D0"/>
    <w:rsid w:val="00B82C14"/>
    <w:rsid w:val="00B82F6A"/>
    <w:rsid w:val="00B83156"/>
    <w:rsid w:val="00B831DB"/>
    <w:rsid w:val="00B83495"/>
    <w:rsid w:val="00B8349C"/>
    <w:rsid w:val="00B8353D"/>
    <w:rsid w:val="00B835B3"/>
    <w:rsid w:val="00B835DC"/>
    <w:rsid w:val="00B835F5"/>
    <w:rsid w:val="00B8367F"/>
    <w:rsid w:val="00B837F6"/>
    <w:rsid w:val="00B8393C"/>
    <w:rsid w:val="00B839C2"/>
    <w:rsid w:val="00B83A3F"/>
    <w:rsid w:val="00B83A48"/>
    <w:rsid w:val="00B83C0F"/>
    <w:rsid w:val="00B83C2D"/>
    <w:rsid w:val="00B83D6A"/>
    <w:rsid w:val="00B83EA1"/>
    <w:rsid w:val="00B83ED1"/>
    <w:rsid w:val="00B83F1A"/>
    <w:rsid w:val="00B83F84"/>
    <w:rsid w:val="00B84026"/>
    <w:rsid w:val="00B8408E"/>
    <w:rsid w:val="00B84223"/>
    <w:rsid w:val="00B84239"/>
    <w:rsid w:val="00B843B5"/>
    <w:rsid w:val="00B84480"/>
    <w:rsid w:val="00B8478A"/>
    <w:rsid w:val="00B847A8"/>
    <w:rsid w:val="00B84836"/>
    <w:rsid w:val="00B8488D"/>
    <w:rsid w:val="00B848CE"/>
    <w:rsid w:val="00B84A35"/>
    <w:rsid w:val="00B84B48"/>
    <w:rsid w:val="00B84C54"/>
    <w:rsid w:val="00B84CBC"/>
    <w:rsid w:val="00B84D15"/>
    <w:rsid w:val="00B84D23"/>
    <w:rsid w:val="00B84DC1"/>
    <w:rsid w:val="00B84DF4"/>
    <w:rsid w:val="00B84E19"/>
    <w:rsid w:val="00B84FA6"/>
    <w:rsid w:val="00B84FC6"/>
    <w:rsid w:val="00B84FF5"/>
    <w:rsid w:val="00B85072"/>
    <w:rsid w:val="00B85194"/>
    <w:rsid w:val="00B85265"/>
    <w:rsid w:val="00B852EE"/>
    <w:rsid w:val="00B85309"/>
    <w:rsid w:val="00B85332"/>
    <w:rsid w:val="00B8533A"/>
    <w:rsid w:val="00B8537C"/>
    <w:rsid w:val="00B854F3"/>
    <w:rsid w:val="00B85542"/>
    <w:rsid w:val="00B85555"/>
    <w:rsid w:val="00B855DA"/>
    <w:rsid w:val="00B856A8"/>
    <w:rsid w:val="00B856CC"/>
    <w:rsid w:val="00B85790"/>
    <w:rsid w:val="00B85912"/>
    <w:rsid w:val="00B85B2E"/>
    <w:rsid w:val="00B85B43"/>
    <w:rsid w:val="00B85BA9"/>
    <w:rsid w:val="00B85E9D"/>
    <w:rsid w:val="00B85EB4"/>
    <w:rsid w:val="00B86115"/>
    <w:rsid w:val="00B86285"/>
    <w:rsid w:val="00B86570"/>
    <w:rsid w:val="00B86582"/>
    <w:rsid w:val="00B865F1"/>
    <w:rsid w:val="00B86777"/>
    <w:rsid w:val="00B86881"/>
    <w:rsid w:val="00B86935"/>
    <w:rsid w:val="00B8693D"/>
    <w:rsid w:val="00B86C4E"/>
    <w:rsid w:val="00B86E8E"/>
    <w:rsid w:val="00B86ED1"/>
    <w:rsid w:val="00B86ED9"/>
    <w:rsid w:val="00B86FEA"/>
    <w:rsid w:val="00B87035"/>
    <w:rsid w:val="00B8711C"/>
    <w:rsid w:val="00B87372"/>
    <w:rsid w:val="00B873C8"/>
    <w:rsid w:val="00B874DE"/>
    <w:rsid w:val="00B87596"/>
    <w:rsid w:val="00B8763C"/>
    <w:rsid w:val="00B87679"/>
    <w:rsid w:val="00B879AF"/>
    <w:rsid w:val="00B87A42"/>
    <w:rsid w:val="00B87ACF"/>
    <w:rsid w:val="00B87B19"/>
    <w:rsid w:val="00B87C64"/>
    <w:rsid w:val="00B87CA3"/>
    <w:rsid w:val="00B87EB0"/>
    <w:rsid w:val="00B90006"/>
    <w:rsid w:val="00B90037"/>
    <w:rsid w:val="00B9014D"/>
    <w:rsid w:val="00B901E4"/>
    <w:rsid w:val="00B901F1"/>
    <w:rsid w:val="00B90335"/>
    <w:rsid w:val="00B90371"/>
    <w:rsid w:val="00B9038B"/>
    <w:rsid w:val="00B903B6"/>
    <w:rsid w:val="00B9040B"/>
    <w:rsid w:val="00B904AF"/>
    <w:rsid w:val="00B90574"/>
    <w:rsid w:val="00B907A4"/>
    <w:rsid w:val="00B907AA"/>
    <w:rsid w:val="00B90862"/>
    <w:rsid w:val="00B908D4"/>
    <w:rsid w:val="00B90A86"/>
    <w:rsid w:val="00B90CFB"/>
    <w:rsid w:val="00B90DCD"/>
    <w:rsid w:val="00B90E84"/>
    <w:rsid w:val="00B90ECD"/>
    <w:rsid w:val="00B90F72"/>
    <w:rsid w:val="00B90F79"/>
    <w:rsid w:val="00B90F98"/>
    <w:rsid w:val="00B910E2"/>
    <w:rsid w:val="00B91199"/>
    <w:rsid w:val="00B911A0"/>
    <w:rsid w:val="00B9129C"/>
    <w:rsid w:val="00B9143F"/>
    <w:rsid w:val="00B914B7"/>
    <w:rsid w:val="00B916C2"/>
    <w:rsid w:val="00B917CE"/>
    <w:rsid w:val="00B91819"/>
    <w:rsid w:val="00B91856"/>
    <w:rsid w:val="00B9187F"/>
    <w:rsid w:val="00B919B3"/>
    <w:rsid w:val="00B919D1"/>
    <w:rsid w:val="00B91A6C"/>
    <w:rsid w:val="00B91B6F"/>
    <w:rsid w:val="00B91B71"/>
    <w:rsid w:val="00B91B7B"/>
    <w:rsid w:val="00B91D36"/>
    <w:rsid w:val="00B91EEE"/>
    <w:rsid w:val="00B92111"/>
    <w:rsid w:val="00B92172"/>
    <w:rsid w:val="00B921EB"/>
    <w:rsid w:val="00B92265"/>
    <w:rsid w:val="00B92303"/>
    <w:rsid w:val="00B923CD"/>
    <w:rsid w:val="00B9245F"/>
    <w:rsid w:val="00B924CD"/>
    <w:rsid w:val="00B92667"/>
    <w:rsid w:val="00B9282E"/>
    <w:rsid w:val="00B9297A"/>
    <w:rsid w:val="00B92CAA"/>
    <w:rsid w:val="00B92D68"/>
    <w:rsid w:val="00B92E31"/>
    <w:rsid w:val="00B92E44"/>
    <w:rsid w:val="00B92F25"/>
    <w:rsid w:val="00B92F75"/>
    <w:rsid w:val="00B92FD0"/>
    <w:rsid w:val="00B930BE"/>
    <w:rsid w:val="00B93114"/>
    <w:rsid w:val="00B93156"/>
    <w:rsid w:val="00B93239"/>
    <w:rsid w:val="00B9336D"/>
    <w:rsid w:val="00B935B6"/>
    <w:rsid w:val="00B9364F"/>
    <w:rsid w:val="00B93842"/>
    <w:rsid w:val="00B9394F"/>
    <w:rsid w:val="00B939C1"/>
    <w:rsid w:val="00B93C01"/>
    <w:rsid w:val="00B93CAC"/>
    <w:rsid w:val="00B93CC8"/>
    <w:rsid w:val="00B93D26"/>
    <w:rsid w:val="00B93E3C"/>
    <w:rsid w:val="00B93F36"/>
    <w:rsid w:val="00B93F5E"/>
    <w:rsid w:val="00B940A9"/>
    <w:rsid w:val="00B941B8"/>
    <w:rsid w:val="00B942AE"/>
    <w:rsid w:val="00B94387"/>
    <w:rsid w:val="00B943DF"/>
    <w:rsid w:val="00B943FB"/>
    <w:rsid w:val="00B944C1"/>
    <w:rsid w:val="00B945CD"/>
    <w:rsid w:val="00B94610"/>
    <w:rsid w:val="00B946B3"/>
    <w:rsid w:val="00B946B4"/>
    <w:rsid w:val="00B94947"/>
    <w:rsid w:val="00B9499A"/>
    <w:rsid w:val="00B94AC5"/>
    <w:rsid w:val="00B94B22"/>
    <w:rsid w:val="00B94BA6"/>
    <w:rsid w:val="00B94E3E"/>
    <w:rsid w:val="00B94FA1"/>
    <w:rsid w:val="00B9505A"/>
    <w:rsid w:val="00B9506E"/>
    <w:rsid w:val="00B9509A"/>
    <w:rsid w:val="00B951AB"/>
    <w:rsid w:val="00B95288"/>
    <w:rsid w:val="00B9537E"/>
    <w:rsid w:val="00B95464"/>
    <w:rsid w:val="00B95497"/>
    <w:rsid w:val="00B954E4"/>
    <w:rsid w:val="00B95654"/>
    <w:rsid w:val="00B95753"/>
    <w:rsid w:val="00B957B7"/>
    <w:rsid w:val="00B9582E"/>
    <w:rsid w:val="00B9584F"/>
    <w:rsid w:val="00B9587C"/>
    <w:rsid w:val="00B9587F"/>
    <w:rsid w:val="00B958A0"/>
    <w:rsid w:val="00B95982"/>
    <w:rsid w:val="00B95A13"/>
    <w:rsid w:val="00B95B35"/>
    <w:rsid w:val="00B95C13"/>
    <w:rsid w:val="00B95D88"/>
    <w:rsid w:val="00B95D89"/>
    <w:rsid w:val="00B95E23"/>
    <w:rsid w:val="00B95EFB"/>
    <w:rsid w:val="00B96007"/>
    <w:rsid w:val="00B9608F"/>
    <w:rsid w:val="00B960AE"/>
    <w:rsid w:val="00B96110"/>
    <w:rsid w:val="00B963C0"/>
    <w:rsid w:val="00B963C5"/>
    <w:rsid w:val="00B96466"/>
    <w:rsid w:val="00B964B6"/>
    <w:rsid w:val="00B964E2"/>
    <w:rsid w:val="00B96500"/>
    <w:rsid w:val="00B9654B"/>
    <w:rsid w:val="00B966BD"/>
    <w:rsid w:val="00B96758"/>
    <w:rsid w:val="00B96918"/>
    <w:rsid w:val="00B969A9"/>
    <w:rsid w:val="00B96A13"/>
    <w:rsid w:val="00B96AE7"/>
    <w:rsid w:val="00B96B57"/>
    <w:rsid w:val="00B96BDF"/>
    <w:rsid w:val="00B96D37"/>
    <w:rsid w:val="00B96DC1"/>
    <w:rsid w:val="00B96F47"/>
    <w:rsid w:val="00B96FBB"/>
    <w:rsid w:val="00B97003"/>
    <w:rsid w:val="00B9700B"/>
    <w:rsid w:val="00B97034"/>
    <w:rsid w:val="00B97135"/>
    <w:rsid w:val="00B97184"/>
    <w:rsid w:val="00B971F9"/>
    <w:rsid w:val="00B97279"/>
    <w:rsid w:val="00B972CB"/>
    <w:rsid w:val="00B97320"/>
    <w:rsid w:val="00B975F5"/>
    <w:rsid w:val="00B975FD"/>
    <w:rsid w:val="00B976D4"/>
    <w:rsid w:val="00B97746"/>
    <w:rsid w:val="00B977F0"/>
    <w:rsid w:val="00B9788B"/>
    <w:rsid w:val="00B97BB4"/>
    <w:rsid w:val="00B97C51"/>
    <w:rsid w:val="00B97D47"/>
    <w:rsid w:val="00B97D88"/>
    <w:rsid w:val="00B97E36"/>
    <w:rsid w:val="00B97EB7"/>
    <w:rsid w:val="00BA0004"/>
    <w:rsid w:val="00BA01B7"/>
    <w:rsid w:val="00BA0215"/>
    <w:rsid w:val="00BA02A0"/>
    <w:rsid w:val="00BA033F"/>
    <w:rsid w:val="00BA035D"/>
    <w:rsid w:val="00BA039B"/>
    <w:rsid w:val="00BA0463"/>
    <w:rsid w:val="00BA05BB"/>
    <w:rsid w:val="00BA06A0"/>
    <w:rsid w:val="00BA075D"/>
    <w:rsid w:val="00BA0761"/>
    <w:rsid w:val="00BA07B8"/>
    <w:rsid w:val="00BA088D"/>
    <w:rsid w:val="00BA09F7"/>
    <w:rsid w:val="00BA0C4B"/>
    <w:rsid w:val="00BA0CAC"/>
    <w:rsid w:val="00BA0CB3"/>
    <w:rsid w:val="00BA0D1F"/>
    <w:rsid w:val="00BA0E56"/>
    <w:rsid w:val="00BA0E8A"/>
    <w:rsid w:val="00BA0EC0"/>
    <w:rsid w:val="00BA0EC4"/>
    <w:rsid w:val="00BA0ED4"/>
    <w:rsid w:val="00BA1215"/>
    <w:rsid w:val="00BA1240"/>
    <w:rsid w:val="00BA1382"/>
    <w:rsid w:val="00BA1394"/>
    <w:rsid w:val="00BA1400"/>
    <w:rsid w:val="00BA1637"/>
    <w:rsid w:val="00BA17F7"/>
    <w:rsid w:val="00BA1852"/>
    <w:rsid w:val="00BA195E"/>
    <w:rsid w:val="00BA1B56"/>
    <w:rsid w:val="00BA1BCB"/>
    <w:rsid w:val="00BA1C1F"/>
    <w:rsid w:val="00BA1C3B"/>
    <w:rsid w:val="00BA1D37"/>
    <w:rsid w:val="00BA1F0C"/>
    <w:rsid w:val="00BA1F51"/>
    <w:rsid w:val="00BA1F74"/>
    <w:rsid w:val="00BA1FCA"/>
    <w:rsid w:val="00BA20A0"/>
    <w:rsid w:val="00BA2176"/>
    <w:rsid w:val="00BA21A3"/>
    <w:rsid w:val="00BA22C0"/>
    <w:rsid w:val="00BA2329"/>
    <w:rsid w:val="00BA23C4"/>
    <w:rsid w:val="00BA23D7"/>
    <w:rsid w:val="00BA2419"/>
    <w:rsid w:val="00BA24C3"/>
    <w:rsid w:val="00BA2561"/>
    <w:rsid w:val="00BA25F2"/>
    <w:rsid w:val="00BA2762"/>
    <w:rsid w:val="00BA28A6"/>
    <w:rsid w:val="00BA28D5"/>
    <w:rsid w:val="00BA29C3"/>
    <w:rsid w:val="00BA2A7B"/>
    <w:rsid w:val="00BA2AE1"/>
    <w:rsid w:val="00BA2C2E"/>
    <w:rsid w:val="00BA2C9F"/>
    <w:rsid w:val="00BA2D50"/>
    <w:rsid w:val="00BA2D59"/>
    <w:rsid w:val="00BA2DBC"/>
    <w:rsid w:val="00BA2ED5"/>
    <w:rsid w:val="00BA2FB7"/>
    <w:rsid w:val="00BA3104"/>
    <w:rsid w:val="00BA31A0"/>
    <w:rsid w:val="00BA327B"/>
    <w:rsid w:val="00BA33C2"/>
    <w:rsid w:val="00BA3533"/>
    <w:rsid w:val="00BA3694"/>
    <w:rsid w:val="00BA379C"/>
    <w:rsid w:val="00BA3864"/>
    <w:rsid w:val="00BA3A95"/>
    <w:rsid w:val="00BA3AA5"/>
    <w:rsid w:val="00BA3C4E"/>
    <w:rsid w:val="00BA3EFD"/>
    <w:rsid w:val="00BA3F06"/>
    <w:rsid w:val="00BA3F89"/>
    <w:rsid w:val="00BA401E"/>
    <w:rsid w:val="00BA41E2"/>
    <w:rsid w:val="00BA4239"/>
    <w:rsid w:val="00BA4243"/>
    <w:rsid w:val="00BA4288"/>
    <w:rsid w:val="00BA444A"/>
    <w:rsid w:val="00BA446E"/>
    <w:rsid w:val="00BA4473"/>
    <w:rsid w:val="00BA4509"/>
    <w:rsid w:val="00BA469A"/>
    <w:rsid w:val="00BA4798"/>
    <w:rsid w:val="00BA499D"/>
    <w:rsid w:val="00BA4A7E"/>
    <w:rsid w:val="00BA4AB6"/>
    <w:rsid w:val="00BA4C8C"/>
    <w:rsid w:val="00BA4E01"/>
    <w:rsid w:val="00BA4F5E"/>
    <w:rsid w:val="00BA5154"/>
    <w:rsid w:val="00BA519F"/>
    <w:rsid w:val="00BA51AC"/>
    <w:rsid w:val="00BA5239"/>
    <w:rsid w:val="00BA5395"/>
    <w:rsid w:val="00BA54C8"/>
    <w:rsid w:val="00BA56E4"/>
    <w:rsid w:val="00BA58C2"/>
    <w:rsid w:val="00BA58DF"/>
    <w:rsid w:val="00BA58FB"/>
    <w:rsid w:val="00BA5B5D"/>
    <w:rsid w:val="00BA5B83"/>
    <w:rsid w:val="00BA5BAC"/>
    <w:rsid w:val="00BA5C20"/>
    <w:rsid w:val="00BA5C3C"/>
    <w:rsid w:val="00BA5D48"/>
    <w:rsid w:val="00BA5D73"/>
    <w:rsid w:val="00BA5F3C"/>
    <w:rsid w:val="00BA5FC6"/>
    <w:rsid w:val="00BA6072"/>
    <w:rsid w:val="00BA60D1"/>
    <w:rsid w:val="00BA6236"/>
    <w:rsid w:val="00BA6674"/>
    <w:rsid w:val="00BA66A4"/>
    <w:rsid w:val="00BA6753"/>
    <w:rsid w:val="00BA683B"/>
    <w:rsid w:val="00BA6A52"/>
    <w:rsid w:val="00BA6B06"/>
    <w:rsid w:val="00BA6DB0"/>
    <w:rsid w:val="00BA6DEF"/>
    <w:rsid w:val="00BA7009"/>
    <w:rsid w:val="00BA70B6"/>
    <w:rsid w:val="00BA7139"/>
    <w:rsid w:val="00BA725F"/>
    <w:rsid w:val="00BA740B"/>
    <w:rsid w:val="00BA7436"/>
    <w:rsid w:val="00BA7448"/>
    <w:rsid w:val="00BA74FF"/>
    <w:rsid w:val="00BA758B"/>
    <w:rsid w:val="00BA75C0"/>
    <w:rsid w:val="00BA76C7"/>
    <w:rsid w:val="00BA771A"/>
    <w:rsid w:val="00BA7725"/>
    <w:rsid w:val="00BA77B7"/>
    <w:rsid w:val="00BA77D9"/>
    <w:rsid w:val="00BA79F7"/>
    <w:rsid w:val="00BA7A09"/>
    <w:rsid w:val="00BA7B51"/>
    <w:rsid w:val="00BA7B70"/>
    <w:rsid w:val="00BA7BAC"/>
    <w:rsid w:val="00BA7C7D"/>
    <w:rsid w:val="00BA7CD9"/>
    <w:rsid w:val="00BA7CEC"/>
    <w:rsid w:val="00BA7E15"/>
    <w:rsid w:val="00BA7EF7"/>
    <w:rsid w:val="00BA7F14"/>
    <w:rsid w:val="00BA7FB4"/>
    <w:rsid w:val="00BB00D2"/>
    <w:rsid w:val="00BB031E"/>
    <w:rsid w:val="00BB03BB"/>
    <w:rsid w:val="00BB0546"/>
    <w:rsid w:val="00BB0625"/>
    <w:rsid w:val="00BB06FA"/>
    <w:rsid w:val="00BB076E"/>
    <w:rsid w:val="00BB0810"/>
    <w:rsid w:val="00BB08CC"/>
    <w:rsid w:val="00BB08FE"/>
    <w:rsid w:val="00BB0AA7"/>
    <w:rsid w:val="00BB0B04"/>
    <w:rsid w:val="00BB0BE9"/>
    <w:rsid w:val="00BB0D90"/>
    <w:rsid w:val="00BB0E9A"/>
    <w:rsid w:val="00BB0EF7"/>
    <w:rsid w:val="00BB0F2C"/>
    <w:rsid w:val="00BB0F90"/>
    <w:rsid w:val="00BB0FCE"/>
    <w:rsid w:val="00BB10CA"/>
    <w:rsid w:val="00BB117A"/>
    <w:rsid w:val="00BB1403"/>
    <w:rsid w:val="00BB143E"/>
    <w:rsid w:val="00BB149C"/>
    <w:rsid w:val="00BB14E7"/>
    <w:rsid w:val="00BB1737"/>
    <w:rsid w:val="00BB18F8"/>
    <w:rsid w:val="00BB197B"/>
    <w:rsid w:val="00BB1A49"/>
    <w:rsid w:val="00BB1B64"/>
    <w:rsid w:val="00BB1BC1"/>
    <w:rsid w:val="00BB1BDF"/>
    <w:rsid w:val="00BB1BFC"/>
    <w:rsid w:val="00BB1C61"/>
    <w:rsid w:val="00BB1C66"/>
    <w:rsid w:val="00BB1E6B"/>
    <w:rsid w:val="00BB1F45"/>
    <w:rsid w:val="00BB2099"/>
    <w:rsid w:val="00BB2334"/>
    <w:rsid w:val="00BB246A"/>
    <w:rsid w:val="00BB24EB"/>
    <w:rsid w:val="00BB250F"/>
    <w:rsid w:val="00BB25B2"/>
    <w:rsid w:val="00BB271F"/>
    <w:rsid w:val="00BB278A"/>
    <w:rsid w:val="00BB28C7"/>
    <w:rsid w:val="00BB2AD1"/>
    <w:rsid w:val="00BB2CDD"/>
    <w:rsid w:val="00BB2E5A"/>
    <w:rsid w:val="00BB2EA7"/>
    <w:rsid w:val="00BB2EB5"/>
    <w:rsid w:val="00BB2FB8"/>
    <w:rsid w:val="00BB2FEF"/>
    <w:rsid w:val="00BB3069"/>
    <w:rsid w:val="00BB30FD"/>
    <w:rsid w:val="00BB3124"/>
    <w:rsid w:val="00BB33A9"/>
    <w:rsid w:val="00BB3444"/>
    <w:rsid w:val="00BB3508"/>
    <w:rsid w:val="00BB359E"/>
    <w:rsid w:val="00BB35A6"/>
    <w:rsid w:val="00BB36B8"/>
    <w:rsid w:val="00BB3B4C"/>
    <w:rsid w:val="00BB3BE6"/>
    <w:rsid w:val="00BB3C3C"/>
    <w:rsid w:val="00BB3C61"/>
    <w:rsid w:val="00BB3C8B"/>
    <w:rsid w:val="00BB3DB7"/>
    <w:rsid w:val="00BB3E6D"/>
    <w:rsid w:val="00BB3F5E"/>
    <w:rsid w:val="00BB407A"/>
    <w:rsid w:val="00BB40BD"/>
    <w:rsid w:val="00BB4107"/>
    <w:rsid w:val="00BB41CE"/>
    <w:rsid w:val="00BB4223"/>
    <w:rsid w:val="00BB4268"/>
    <w:rsid w:val="00BB4394"/>
    <w:rsid w:val="00BB43DD"/>
    <w:rsid w:val="00BB44ED"/>
    <w:rsid w:val="00BB45AC"/>
    <w:rsid w:val="00BB4708"/>
    <w:rsid w:val="00BB4713"/>
    <w:rsid w:val="00BB48E8"/>
    <w:rsid w:val="00BB494F"/>
    <w:rsid w:val="00BB4AE7"/>
    <w:rsid w:val="00BB4B17"/>
    <w:rsid w:val="00BB4BE1"/>
    <w:rsid w:val="00BB4C26"/>
    <w:rsid w:val="00BB4CEE"/>
    <w:rsid w:val="00BB4E78"/>
    <w:rsid w:val="00BB4F28"/>
    <w:rsid w:val="00BB4F29"/>
    <w:rsid w:val="00BB5057"/>
    <w:rsid w:val="00BB505E"/>
    <w:rsid w:val="00BB508A"/>
    <w:rsid w:val="00BB5146"/>
    <w:rsid w:val="00BB5152"/>
    <w:rsid w:val="00BB5200"/>
    <w:rsid w:val="00BB5224"/>
    <w:rsid w:val="00BB5337"/>
    <w:rsid w:val="00BB53FF"/>
    <w:rsid w:val="00BB559D"/>
    <w:rsid w:val="00BB55CF"/>
    <w:rsid w:val="00BB55EB"/>
    <w:rsid w:val="00BB570D"/>
    <w:rsid w:val="00BB5BA0"/>
    <w:rsid w:val="00BB5C96"/>
    <w:rsid w:val="00BB5CF0"/>
    <w:rsid w:val="00BB5D50"/>
    <w:rsid w:val="00BB5DD3"/>
    <w:rsid w:val="00BB5E5B"/>
    <w:rsid w:val="00BB5F5B"/>
    <w:rsid w:val="00BB6043"/>
    <w:rsid w:val="00BB6095"/>
    <w:rsid w:val="00BB61A5"/>
    <w:rsid w:val="00BB61B5"/>
    <w:rsid w:val="00BB62F3"/>
    <w:rsid w:val="00BB6322"/>
    <w:rsid w:val="00BB6484"/>
    <w:rsid w:val="00BB6828"/>
    <w:rsid w:val="00BB6B67"/>
    <w:rsid w:val="00BB6C08"/>
    <w:rsid w:val="00BB6DCE"/>
    <w:rsid w:val="00BB6F47"/>
    <w:rsid w:val="00BB708B"/>
    <w:rsid w:val="00BB71FE"/>
    <w:rsid w:val="00BB7218"/>
    <w:rsid w:val="00BB73AF"/>
    <w:rsid w:val="00BB73B4"/>
    <w:rsid w:val="00BB7411"/>
    <w:rsid w:val="00BB75D8"/>
    <w:rsid w:val="00BB76AE"/>
    <w:rsid w:val="00BB7803"/>
    <w:rsid w:val="00BB791A"/>
    <w:rsid w:val="00BB79AC"/>
    <w:rsid w:val="00BB79FC"/>
    <w:rsid w:val="00BB7A13"/>
    <w:rsid w:val="00BB7B31"/>
    <w:rsid w:val="00BB7BCD"/>
    <w:rsid w:val="00BB7BFA"/>
    <w:rsid w:val="00BB7CE7"/>
    <w:rsid w:val="00BB7D92"/>
    <w:rsid w:val="00BB7D9C"/>
    <w:rsid w:val="00BB7DAA"/>
    <w:rsid w:val="00BB7E31"/>
    <w:rsid w:val="00BC0048"/>
    <w:rsid w:val="00BC00BB"/>
    <w:rsid w:val="00BC00F8"/>
    <w:rsid w:val="00BC01A0"/>
    <w:rsid w:val="00BC01FB"/>
    <w:rsid w:val="00BC0220"/>
    <w:rsid w:val="00BC0463"/>
    <w:rsid w:val="00BC04C7"/>
    <w:rsid w:val="00BC060B"/>
    <w:rsid w:val="00BC064D"/>
    <w:rsid w:val="00BC0686"/>
    <w:rsid w:val="00BC0695"/>
    <w:rsid w:val="00BC06D2"/>
    <w:rsid w:val="00BC0747"/>
    <w:rsid w:val="00BC0977"/>
    <w:rsid w:val="00BC09E4"/>
    <w:rsid w:val="00BC09EA"/>
    <w:rsid w:val="00BC0A8A"/>
    <w:rsid w:val="00BC0DCB"/>
    <w:rsid w:val="00BC0DEC"/>
    <w:rsid w:val="00BC0E41"/>
    <w:rsid w:val="00BC0E79"/>
    <w:rsid w:val="00BC0F4D"/>
    <w:rsid w:val="00BC108C"/>
    <w:rsid w:val="00BC10AD"/>
    <w:rsid w:val="00BC113E"/>
    <w:rsid w:val="00BC1179"/>
    <w:rsid w:val="00BC11B7"/>
    <w:rsid w:val="00BC11DB"/>
    <w:rsid w:val="00BC12BE"/>
    <w:rsid w:val="00BC1415"/>
    <w:rsid w:val="00BC1587"/>
    <w:rsid w:val="00BC17AC"/>
    <w:rsid w:val="00BC184E"/>
    <w:rsid w:val="00BC1B04"/>
    <w:rsid w:val="00BC1C6F"/>
    <w:rsid w:val="00BC1CC1"/>
    <w:rsid w:val="00BC1D18"/>
    <w:rsid w:val="00BC1D23"/>
    <w:rsid w:val="00BC1D51"/>
    <w:rsid w:val="00BC1E05"/>
    <w:rsid w:val="00BC1E82"/>
    <w:rsid w:val="00BC1F04"/>
    <w:rsid w:val="00BC1F7B"/>
    <w:rsid w:val="00BC2036"/>
    <w:rsid w:val="00BC2049"/>
    <w:rsid w:val="00BC219D"/>
    <w:rsid w:val="00BC231A"/>
    <w:rsid w:val="00BC236D"/>
    <w:rsid w:val="00BC23D2"/>
    <w:rsid w:val="00BC2474"/>
    <w:rsid w:val="00BC2614"/>
    <w:rsid w:val="00BC265E"/>
    <w:rsid w:val="00BC273A"/>
    <w:rsid w:val="00BC2783"/>
    <w:rsid w:val="00BC28BA"/>
    <w:rsid w:val="00BC2BA9"/>
    <w:rsid w:val="00BC2BB8"/>
    <w:rsid w:val="00BC2CFD"/>
    <w:rsid w:val="00BC2D0B"/>
    <w:rsid w:val="00BC2EB4"/>
    <w:rsid w:val="00BC2ED5"/>
    <w:rsid w:val="00BC2F04"/>
    <w:rsid w:val="00BC2FA2"/>
    <w:rsid w:val="00BC3110"/>
    <w:rsid w:val="00BC3223"/>
    <w:rsid w:val="00BC329E"/>
    <w:rsid w:val="00BC3301"/>
    <w:rsid w:val="00BC35BC"/>
    <w:rsid w:val="00BC3645"/>
    <w:rsid w:val="00BC364C"/>
    <w:rsid w:val="00BC365E"/>
    <w:rsid w:val="00BC3698"/>
    <w:rsid w:val="00BC3748"/>
    <w:rsid w:val="00BC3780"/>
    <w:rsid w:val="00BC37D6"/>
    <w:rsid w:val="00BC383D"/>
    <w:rsid w:val="00BC3958"/>
    <w:rsid w:val="00BC39D3"/>
    <w:rsid w:val="00BC3A95"/>
    <w:rsid w:val="00BC3B3D"/>
    <w:rsid w:val="00BC3C01"/>
    <w:rsid w:val="00BC3CBF"/>
    <w:rsid w:val="00BC3DF0"/>
    <w:rsid w:val="00BC3E1B"/>
    <w:rsid w:val="00BC3F53"/>
    <w:rsid w:val="00BC405C"/>
    <w:rsid w:val="00BC4107"/>
    <w:rsid w:val="00BC4156"/>
    <w:rsid w:val="00BC41E6"/>
    <w:rsid w:val="00BC42E6"/>
    <w:rsid w:val="00BC4469"/>
    <w:rsid w:val="00BC453B"/>
    <w:rsid w:val="00BC4583"/>
    <w:rsid w:val="00BC46F5"/>
    <w:rsid w:val="00BC4871"/>
    <w:rsid w:val="00BC49D7"/>
    <w:rsid w:val="00BC4A76"/>
    <w:rsid w:val="00BC4ACC"/>
    <w:rsid w:val="00BC4ACE"/>
    <w:rsid w:val="00BC4B1D"/>
    <w:rsid w:val="00BC4BFA"/>
    <w:rsid w:val="00BC4CC1"/>
    <w:rsid w:val="00BC4D37"/>
    <w:rsid w:val="00BC4DFD"/>
    <w:rsid w:val="00BC4E01"/>
    <w:rsid w:val="00BC4EF1"/>
    <w:rsid w:val="00BC4FA4"/>
    <w:rsid w:val="00BC51A0"/>
    <w:rsid w:val="00BC51CD"/>
    <w:rsid w:val="00BC525A"/>
    <w:rsid w:val="00BC52D3"/>
    <w:rsid w:val="00BC52EC"/>
    <w:rsid w:val="00BC5583"/>
    <w:rsid w:val="00BC55AF"/>
    <w:rsid w:val="00BC55E1"/>
    <w:rsid w:val="00BC5615"/>
    <w:rsid w:val="00BC566B"/>
    <w:rsid w:val="00BC56AF"/>
    <w:rsid w:val="00BC5723"/>
    <w:rsid w:val="00BC5762"/>
    <w:rsid w:val="00BC5812"/>
    <w:rsid w:val="00BC58CB"/>
    <w:rsid w:val="00BC59D6"/>
    <w:rsid w:val="00BC5ADF"/>
    <w:rsid w:val="00BC5C87"/>
    <w:rsid w:val="00BC5DF5"/>
    <w:rsid w:val="00BC5DFB"/>
    <w:rsid w:val="00BC6094"/>
    <w:rsid w:val="00BC614D"/>
    <w:rsid w:val="00BC619F"/>
    <w:rsid w:val="00BC61EC"/>
    <w:rsid w:val="00BC6208"/>
    <w:rsid w:val="00BC6287"/>
    <w:rsid w:val="00BC63EC"/>
    <w:rsid w:val="00BC640D"/>
    <w:rsid w:val="00BC6443"/>
    <w:rsid w:val="00BC65AA"/>
    <w:rsid w:val="00BC673B"/>
    <w:rsid w:val="00BC682B"/>
    <w:rsid w:val="00BC682E"/>
    <w:rsid w:val="00BC6889"/>
    <w:rsid w:val="00BC6899"/>
    <w:rsid w:val="00BC68B1"/>
    <w:rsid w:val="00BC69FA"/>
    <w:rsid w:val="00BC6B2D"/>
    <w:rsid w:val="00BC6E04"/>
    <w:rsid w:val="00BC6E09"/>
    <w:rsid w:val="00BC6EC4"/>
    <w:rsid w:val="00BC6F80"/>
    <w:rsid w:val="00BC70D0"/>
    <w:rsid w:val="00BC7126"/>
    <w:rsid w:val="00BC7137"/>
    <w:rsid w:val="00BC757D"/>
    <w:rsid w:val="00BC7626"/>
    <w:rsid w:val="00BC76A9"/>
    <w:rsid w:val="00BC76E6"/>
    <w:rsid w:val="00BC770C"/>
    <w:rsid w:val="00BC7733"/>
    <w:rsid w:val="00BC7745"/>
    <w:rsid w:val="00BC778F"/>
    <w:rsid w:val="00BC779D"/>
    <w:rsid w:val="00BC7824"/>
    <w:rsid w:val="00BC782A"/>
    <w:rsid w:val="00BC787F"/>
    <w:rsid w:val="00BC7BDC"/>
    <w:rsid w:val="00BC7BFD"/>
    <w:rsid w:val="00BC7DBE"/>
    <w:rsid w:val="00BC7E2C"/>
    <w:rsid w:val="00BC7EE8"/>
    <w:rsid w:val="00BD00B1"/>
    <w:rsid w:val="00BD02B7"/>
    <w:rsid w:val="00BD0303"/>
    <w:rsid w:val="00BD034E"/>
    <w:rsid w:val="00BD0378"/>
    <w:rsid w:val="00BD055A"/>
    <w:rsid w:val="00BD057C"/>
    <w:rsid w:val="00BD0647"/>
    <w:rsid w:val="00BD065D"/>
    <w:rsid w:val="00BD066E"/>
    <w:rsid w:val="00BD0742"/>
    <w:rsid w:val="00BD081D"/>
    <w:rsid w:val="00BD091D"/>
    <w:rsid w:val="00BD0992"/>
    <w:rsid w:val="00BD0A9F"/>
    <w:rsid w:val="00BD0AB1"/>
    <w:rsid w:val="00BD0AD2"/>
    <w:rsid w:val="00BD0B12"/>
    <w:rsid w:val="00BD0F4D"/>
    <w:rsid w:val="00BD0F5F"/>
    <w:rsid w:val="00BD1071"/>
    <w:rsid w:val="00BD108D"/>
    <w:rsid w:val="00BD11C8"/>
    <w:rsid w:val="00BD159D"/>
    <w:rsid w:val="00BD164C"/>
    <w:rsid w:val="00BD167D"/>
    <w:rsid w:val="00BD17B8"/>
    <w:rsid w:val="00BD1824"/>
    <w:rsid w:val="00BD18AA"/>
    <w:rsid w:val="00BD19DF"/>
    <w:rsid w:val="00BD1A05"/>
    <w:rsid w:val="00BD1AE6"/>
    <w:rsid w:val="00BD1AF2"/>
    <w:rsid w:val="00BD1B45"/>
    <w:rsid w:val="00BD1B89"/>
    <w:rsid w:val="00BD1C5F"/>
    <w:rsid w:val="00BD1C8A"/>
    <w:rsid w:val="00BD1DCC"/>
    <w:rsid w:val="00BD1E7C"/>
    <w:rsid w:val="00BD1E94"/>
    <w:rsid w:val="00BD1F30"/>
    <w:rsid w:val="00BD2019"/>
    <w:rsid w:val="00BD2043"/>
    <w:rsid w:val="00BD20A2"/>
    <w:rsid w:val="00BD20B7"/>
    <w:rsid w:val="00BD215E"/>
    <w:rsid w:val="00BD2221"/>
    <w:rsid w:val="00BD22D4"/>
    <w:rsid w:val="00BD2352"/>
    <w:rsid w:val="00BD250A"/>
    <w:rsid w:val="00BD2589"/>
    <w:rsid w:val="00BD2593"/>
    <w:rsid w:val="00BD26B2"/>
    <w:rsid w:val="00BD26EE"/>
    <w:rsid w:val="00BD2715"/>
    <w:rsid w:val="00BD27CD"/>
    <w:rsid w:val="00BD27F2"/>
    <w:rsid w:val="00BD28E8"/>
    <w:rsid w:val="00BD2A15"/>
    <w:rsid w:val="00BD2B47"/>
    <w:rsid w:val="00BD2BA6"/>
    <w:rsid w:val="00BD2E63"/>
    <w:rsid w:val="00BD304D"/>
    <w:rsid w:val="00BD3186"/>
    <w:rsid w:val="00BD330F"/>
    <w:rsid w:val="00BD3385"/>
    <w:rsid w:val="00BD3478"/>
    <w:rsid w:val="00BD34D0"/>
    <w:rsid w:val="00BD37AE"/>
    <w:rsid w:val="00BD387C"/>
    <w:rsid w:val="00BD388D"/>
    <w:rsid w:val="00BD397E"/>
    <w:rsid w:val="00BD3983"/>
    <w:rsid w:val="00BD39FB"/>
    <w:rsid w:val="00BD39FF"/>
    <w:rsid w:val="00BD3AA6"/>
    <w:rsid w:val="00BD3E0C"/>
    <w:rsid w:val="00BD3EF4"/>
    <w:rsid w:val="00BD3FBD"/>
    <w:rsid w:val="00BD4144"/>
    <w:rsid w:val="00BD41C0"/>
    <w:rsid w:val="00BD41D2"/>
    <w:rsid w:val="00BD4353"/>
    <w:rsid w:val="00BD44FD"/>
    <w:rsid w:val="00BD4506"/>
    <w:rsid w:val="00BD4569"/>
    <w:rsid w:val="00BD46B3"/>
    <w:rsid w:val="00BD46C7"/>
    <w:rsid w:val="00BD4807"/>
    <w:rsid w:val="00BD4874"/>
    <w:rsid w:val="00BD4894"/>
    <w:rsid w:val="00BD4897"/>
    <w:rsid w:val="00BD489A"/>
    <w:rsid w:val="00BD4910"/>
    <w:rsid w:val="00BD49EA"/>
    <w:rsid w:val="00BD4A33"/>
    <w:rsid w:val="00BD4B38"/>
    <w:rsid w:val="00BD4B89"/>
    <w:rsid w:val="00BD4CC9"/>
    <w:rsid w:val="00BD4CE2"/>
    <w:rsid w:val="00BD4D5A"/>
    <w:rsid w:val="00BD4D8A"/>
    <w:rsid w:val="00BD4DEB"/>
    <w:rsid w:val="00BD4F41"/>
    <w:rsid w:val="00BD511A"/>
    <w:rsid w:val="00BD52E1"/>
    <w:rsid w:val="00BD52E3"/>
    <w:rsid w:val="00BD5450"/>
    <w:rsid w:val="00BD54D7"/>
    <w:rsid w:val="00BD5528"/>
    <w:rsid w:val="00BD5670"/>
    <w:rsid w:val="00BD5686"/>
    <w:rsid w:val="00BD5795"/>
    <w:rsid w:val="00BD57BE"/>
    <w:rsid w:val="00BD5832"/>
    <w:rsid w:val="00BD592F"/>
    <w:rsid w:val="00BD5A1D"/>
    <w:rsid w:val="00BD5B59"/>
    <w:rsid w:val="00BD5BFF"/>
    <w:rsid w:val="00BD5DCA"/>
    <w:rsid w:val="00BD5F34"/>
    <w:rsid w:val="00BD5F8C"/>
    <w:rsid w:val="00BD6042"/>
    <w:rsid w:val="00BD60E9"/>
    <w:rsid w:val="00BD6159"/>
    <w:rsid w:val="00BD6175"/>
    <w:rsid w:val="00BD618E"/>
    <w:rsid w:val="00BD61AB"/>
    <w:rsid w:val="00BD61E4"/>
    <w:rsid w:val="00BD6252"/>
    <w:rsid w:val="00BD625F"/>
    <w:rsid w:val="00BD6390"/>
    <w:rsid w:val="00BD6481"/>
    <w:rsid w:val="00BD64B6"/>
    <w:rsid w:val="00BD64CF"/>
    <w:rsid w:val="00BD64E6"/>
    <w:rsid w:val="00BD6567"/>
    <w:rsid w:val="00BD658D"/>
    <w:rsid w:val="00BD66E2"/>
    <w:rsid w:val="00BD6794"/>
    <w:rsid w:val="00BD67C3"/>
    <w:rsid w:val="00BD687E"/>
    <w:rsid w:val="00BD69BC"/>
    <w:rsid w:val="00BD6B41"/>
    <w:rsid w:val="00BD6BC6"/>
    <w:rsid w:val="00BD6C04"/>
    <w:rsid w:val="00BD6C05"/>
    <w:rsid w:val="00BD6ECE"/>
    <w:rsid w:val="00BD6EE2"/>
    <w:rsid w:val="00BD6FB7"/>
    <w:rsid w:val="00BD6FF0"/>
    <w:rsid w:val="00BD7190"/>
    <w:rsid w:val="00BD727F"/>
    <w:rsid w:val="00BD72C5"/>
    <w:rsid w:val="00BD735F"/>
    <w:rsid w:val="00BD7396"/>
    <w:rsid w:val="00BD76BB"/>
    <w:rsid w:val="00BD76DA"/>
    <w:rsid w:val="00BD76FA"/>
    <w:rsid w:val="00BD7784"/>
    <w:rsid w:val="00BD7833"/>
    <w:rsid w:val="00BD796B"/>
    <w:rsid w:val="00BD7978"/>
    <w:rsid w:val="00BD7A9A"/>
    <w:rsid w:val="00BD7F27"/>
    <w:rsid w:val="00BD7F9A"/>
    <w:rsid w:val="00BD7FD4"/>
    <w:rsid w:val="00BE0078"/>
    <w:rsid w:val="00BE00EF"/>
    <w:rsid w:val="00BE01E9"/>
    <w:rsid w:val="00BE0259"/>
    <w:rsid w:val="00BE02B0"/>
    <w:rsid w:val="00BE0416"/>
    <w:rsid w:val="00BE0430"/>
    <w:rsid w:val="00BE04BD"/>
    <w:rsid w:val="00BE0760"/>
    <w:rsid w:val="00BE082E"/>
    <w:rsid w:val="00BE099A"/>
    <w:rsid w:val="00BE09BB"/>
    <w:rsid w:val="00BE0CE0"/>
    <w:rsid w:val="00BE0D0B"/>
    <w:rsid w:val="00BE0D1F"/>
    <w:rsid w:val="00BE0F22"/>
    <w:rsid w:val="00BE0F2A"/>
    <w:rsid w:val="00BE0F37"/>
    <w:rsid w:val="00BE0FB3"/>
    <w:rsid w:val="00BE1113"/>
    <w:rsid w:val="00BE14C1"/>
    <w:rsid w:val="00BE1533"/>
    <w:rsid w:val="00BE1554"/>
    <w:rsid w:val="00BE15BB"/>
    <w:rsid w:val="00BE16BE"/>
    <w:rsid w:val="00BE188E"/>
    <w:rsid w:val="00BE197E"/>
    <w:rsid w:val="00BE1AB9"/>
    <w:rsid w:val="00BE1BDA"/>
    <w:rsid w:val="00BE1D57"/>
    <w:rsid w:val="00BE1FC0"/>
    <w:rsid w:val="00BE1FD2"/>
    <w:rsid w:val="00BE2064"/>
    <w:rsid w:val="00BE20BB"/>
    <w:rsid w:val="00BE2144"/>
    <w:rsid w:val="00BE2192"/>
    <w:rsid w:val="00BE21D6"/>
    <w:rsid w:val="00BE22AD"/>
    <w:rsid w:val="00BE23C8"/>
    <w:rsid w:val="00BE23ED"/>
    <w:rsid w:val="00BE242A"/>
    <w:rsid w:val="00BE2453"/>
    <w:rsid w:val="00BE258B"/>
    <w:rsid w:val="00BE2591"/>
    <w:rsid w:val="00BE25C3"/>
    <w:rsid w:val="00BE2670"/>
    <w:rsid w:val="00BE2709"/>
    <w:rsid w:val="00BE28FA"/>
    <w:rsid w:val="00BE29C8"/>
    <w:rsid w:val="00BE2A27"/>
    <w:rsid w:val="00BE2D5C"/>
    <w:rsid w:val="00BE2E66"/>
    <w:rsid w:val="00BE2F55"/>
    <w:rsid w:val="00BE2FF0"/>
    <w:rsid w:val="00BE3000"/>
    <w:rsid w:val="00BE313E"/>
    <w:rsid w:val="00BE32B7"/>
    <w:rsid w:val="00BE3314"/>
    <w:rsid w:val="00BE3497"/>
    <w:rsid w:val="00BE34D2"/>
    <w:rsid w:val="00BE3803"/>
    <w:rsid w:val="00BE39CD"/>
    <w:rsid w:val="00BE3A62"/>
    <w:rsid w:val="00BE3AC2"/>
    <w:rsid w:val="00BE3BF5"/>
    <w:rsid w:val="00BE3D00"/>
    <w:rsid w:val="00BE3E67"/>
    <w:rsid w:val="00BE4190"/>
    <w:rsid w:val="00BE426D"/>
    <w:rsid w:val="00BE4277"/>
    <w:rsid w:val="00BE4463"/>
    <w:rsid w:val="00BE4495"/>
    <w:rsid w:val="00BE45D6"/>
    <w:rsid w:val="00BE46B1"/>
    <w:rsid w:val="00BE47CD"/>
    <w:rsid w:val="00BE48C1"/>
    <w:rsid w:val="00BE4960"/>
    <w:rsid w:val="00BE4A46"/>
    <w:rsid w:val="00BE4D4D"/>
    <w:rsid w:val="00BE4DAA"/>
    <w:rsid w:val="00BE4DB0"/>
    <w:rsid w:val="00BE4EAF"/>
    <w:rsid w:val="00BE4FD8"/>
    <w:rsid w:val="00BE4FDD"/>
    <w:rsid w:val="00BE5013"/>
    <w:rsid w:val="00BE52F8"/>
    <w:rsid w:val="00BE532C"/>
    <w:rsid w:val="00BE53FA"/>
    <w:rsid w:val="00BE5517"/>
    <w:rsid w:val="00BE56E3"/>
    <w:rsid w:val="00BE5728"/>
    <w:rsid w:val="00BE578E"/>
    <w:rsid w:val="00BE581B"/>
    <w:rsid w:val="00BE59DF"/>
    <w:rsid w:val="00BE5B25"/>
    <w:rsid w:val="00BE5CA4"/>
    <w:rsid w:val="00BE5CFC"/>
    <w:rsid w:val="00BE5D8A"/>
    <w:rsid w:val="00BE5DA8"/>
    <w:rsid w:val="00BE5DE7"/>
    <w:rsid w:val="00BE5DF9"/>
    <w:rsid w:val="00BE5E40"/>
    <w:rsid w:val="00BE5E96"/>
    <w:rsid w:val="00BE5FEA"/>
    <w:rsid w:val="00BE6015"/>
    <w:rsid w:val="00BE6027"/>
    <w:rsid w:val="00BE622B"/>
    <w:rsid w:val="00BE63F1"/>
    <w:rsid w:val="00BE6469"/>
    <w:rsid w:val="00BE64E9"/>
    <w:rsid w:val="00BE64EF"/>
    <w:rsid w:val="00BE6996"/>
    <w:rsid w:val="00BE6A27"/>
    <w:rsid w:val="00BE6A8C"/>
    <w:rsid w:val="00BE6D05"/>
    <w:rsid w:val="00BE6D31"/>
    <w:rsid w:val="00BE6DAA"/>
    <w:rsid w:val="00BE6E3E"/>
    <w:rsid w:val="00BE6E77"/>
    <w:rsid w:val="00BE6EBC"/>
    <w:rsid w:val="00BE700C"/>
    <w:rsid w:val="00BE7140"/>
    <w:rsid w:val="00BE7219"/>
    <w:rsid w:val="00BE724E"/>
    <w:rsid w:val="00BE73AD"/>
    <w:rsid w:val="00BE74A3"/>
    <w:rsid w:val="00BE752D"/>
    <w:rsid w:val="00BE767D"/>
    <w:rsid w:val="00BE77F7"/>
    <w:rsid w:val="00BE7822"/>
    <w:rsid w:val="00BE78BE"/>
    <w:rsid w:val="00BE79D3"/>
    <w:rsid w:val="00BE7BE2"/>
    <w:rsid w:val="00BE7C1D"/>
    <w:rsid w:val="00BE7C72"/>
    <w:rsid w:val="00BE7D0D"/>
    <w:rsid w:val="00BE7EB1"/>
    <w:rsid w:val="00BE7F13"/>
    <w:rsid w:val="00BE7F25"/>
    <w:rsid w:val="00BF0041"/>
    <w:rsid w:val="00BF00BF"/>
    <w:rsid w:val="00BF026D"/>
    <w:rsid w:val="00BF027F"/>
    <w:rsid w:val="00BF03E4"/>
    <w:rsid w:val="00BF0428"/>
    <w:rsid w:val="00BF04CC"/>
    <w:rsid w:val="00BF0540"/>
    <w:rsid w:val="00BF06CE"/>
    <w:rsid w:val="00BF0715"/>
    <w:rsid w:val="00BF07C6"/>
    <w:rsid w:val="00BF09EB"/>
    <w:rsid w:val="00BF09FE"/>
    <w:rsid w:val="00BF0B2E"/>
    <w:rsid w:val="00BF0BC4"/>
    <w:rsid w:val="00BF0C2B"/>
    <w:rsid w:val="00BF0C4C"/>
    <w:rsid w:val="00BF0C53"/>
    <w:rsid w:val="00BF0C79"/>
    <w:rsid w:val="00BF0F26"/>
    <w:rsid w:val="00BF1151"/>
    <w:rsid w:val="00BF1160"/>
    <w:rsid w:val="00BF124F"/>
    <w:rsid w:val="00BF13DF"/>
    <w:rsid w:val="00BF15D4"/>
    <w:rsid w:val="00BF1675"/>
    <w:rsid w:val="00BF16A4"/>
    <w:rsid w:val="00BF16DA"/>
    <w:rsid w:val="00BF1747"/>
    <w:rsid w:val="00BF17CD"/>
    <w:rsid w:val="00BF1A2D"/>
    <w:rsid w:val="00BF1A95"/>
    <w:rsid w:val="00BF1D34"/>
    <w:rsid w:val="00BF1D4B"/>
    <w:rsid w:val="00BF1E23"/>
    <w:rsid w:val="00BF1E79"/>
    <w:rsid w:val="00BF1F61"/>
    <w:rsid w:val="00BF2034"/>
    <w:rsid w:val="00BF2212"/>
    <w:rsid w:val="00BF227D"/>
    <w:rsid w:val="00BF23B1"/>
    <w:rsid w:val="00BF24B4"/>
    <w:rsid w:val="00BF258C"/>
    <w:rsid w:val="00BF2616"/>
    <w:rsid w:val="00BF2625"/>
    <w:rsid w:val="00BF28ED"/>
    <w:rsid w:val="00BF2972"/>
    <w:rsid w:val="00BF29FB"/>
    <w:rsid w:val="00BF2D7C"/>
    <w:rsid w:val="00BF2ED7"/>
    <w:rsid w:val="00BF2F64"/>
    <w:rsid w:val="00BF307F"/>
    <w:rsid w:val="00BF3172"/>
    <w:rsid w:val="00BF3195"/>
    <w:rsid w:val="00BF331A"/>
    <w:rsid w:val="00BF3459"/>
    <w:rsid w:val="00BF3548"/>
    <w:rsid w:val="00BF35A6"/>
    <w:rsid w:val="00BF35CE"/>
    <w:rsid w:val="00BF36C8"/>
    <w:rsid w:val="00BF37BC"/>
    <w:rsid w:val="00BF38DA"/>
    <w:rsid w:val="00BF39BF"/>
    <w:rsid w:val="00BF39EC"/>
    <w:rsid w:val="00BF3A17"/>
    <w:rsid w:val="00BF3A49"/>
    <w:rsid w:val="00BF3AEC"/>
    <w:rsid w:val="00BF3B1D"/>
    <w:rsid w:val="00BF3BCD"/>
    <w:rsid w:val="00BF3DA0"/>
    <w:rsid w:val="00BF3DD4"/>
    <w:rsid w:val="00BF3E46"/>
    <w:rsid w:val="00BF3E76"/>
    <w:rsid w:val="00BF3FD3"/>
    <w:rsid w:val="00BF42DF"/>
    <w:rsid w:val="00BF4390"/>
    <w:rsid w:val="00BF43D9"/>
    <w:rsid w:val="00BF45D7"/>
    <w:rsid w:val="00BF47FF"/>
    <w:rsid w:val="00BF4882"/>
    <w:rsid w:val="00BF4ACE"/>
    <w:rsid w:val="00BF4BF6"/>
    <w:rsid w:val="00BF4CD6"/>
    <w:rsid w:val="00BF4CE9"/>
    <w:rsid w:val="00BF4D71"/>
    <w:rsid w:val="00BF4DDC"/>
    <w:rsid w:val="00BF4E6C"/>
    <w:rsid w:val="00BF4FD2"/>
    <w:rsid w:val="00BF5461"/>
    <w:rsid w:val="00BF554F"/>
    <w:rsid w:val="00BF55ED"/>
    <w:rsid w:val="00BF5690"/>
    <w:rsid w:val="00BF56EC"/>
    <w:rsid w:val="00BF5795"/>
    <w:rsid w:val="00BF57B6"/>
    <w:rsid w:val="00BF57C4"/>
    <w:rsid w:val="00BF57D3"/>
    <w:rsid w:val="00BF5806"/>
    <w:rsid w:val="00BF58AE"/>
    <w:rsid w:val="00BF5981"/>
    <w:rsid w:val="00BF5A4F"/>
    <w:rsid w:val="00BF5AF9"/>
    <w:rsid w:val="00BF5BDE"/>
    <w:rsid w:val="00BF5DE7"/>
    <w:rsid w:val="00BF5E0D"/>
    <w:rsid w:val="00BF5E36"/>
    <w:rsid w:val="00BF5EF3"/>
    <w:rsid w:val="00BF5F84"/>
    <w:rsid w:val="00BF6019"/>
    <w:rsid w:val="00BF6051"/>
    <w:rsid w:val="00BF614A"/>
    <w:rsid w:val="00BF617D"/>
    <w:rsid w:val="00BF6203"/>
    <w:rsid w:val="00BF6266"/>
    <w:rsid w:val="00BF62B8"/>
    <w:rsid w:val="00BF62C9"/>
    <w:rsid w:val="00BF637C"/>
    <w:rsid w:val="00BF6389"/>
    <w:rsid w:val="00BF6405"/>
    <w:rsid w:val="00BF653F"/>
    <w:rsid w:val="00BF65ED"/>
    <w:rsid w:val="00BF65F8"/>
    <w:rsid w:val="00BF66A0"/>
    <w:rsid w:val="00BF66BE"/>
    <w:rsid w:val="00BF6769"/>
    <w:rsid w:val="00BF6A30"/>
    <w:rsid w:val="00BF6C07"/>
    <w:rsid w:val="00BF6D15"/>
    <w:rsid w:val="00BF6D1E"/>
    <w:rsid w:val="00BF6DB4"/>
    <w:rsid w:val="00BF6DBB"/>
    <w:rsid w:val="00BF6DC6"/>
    <w:rsid w:val="00BF6DE4"/>
    <w:rsid w:val="00BF6DEA"/>
    <w:rsid w:val="00BF6F3E"/>
    <w:rsid w:val="00BF6FC7"/>
    <w:rsid w:val="00BF6FD4"/>
    <w:rsid w:val="00BF7057"/>
    <w:rsid w:val="00BF7089"/>
    <w:rsid w:val="00BF71C0"/>
    <w:rsid w:val="00BF7405"/>
    <w:rsid w:val="00BF7436"/>
    <w:rsid w:val="00BF762E"/>
    <w:rsid w:val="00BF771E"/>
    <w:rsid w:val="00BF7798"/>
    <w:rsid w:val="00BF79C5"/>
    <w:rsid w:val="00BF7B30"/>
    <w:rsid w:val="00BF7BC3"/>
    <w:rsid w:val="00BF7C0A"/>
    <w:rsid w:val="00BF7C0C"/>
    <w:rsid w:val="00BF7C65"/>
    <w:rsid w:val="00BF7F55"/>
    <w:rsid w:val="00BF7F88"/>
    <w:rsid w:val="00BF7F8D"/>
    <w:rsid w:val="00C00005"/>
    <w:rsid w:val="00C0027C"/>
    <w:rsid w:val="00C0045F"/>
    <w:rsid w:val="00C0051E"/>
    <w:rsid w:val="00C005AF"/>
    <w:rsid w:val="00C005E2"/>
    <w:rsid w:val="00C0061A"/>
    <w:rsid w:val="00C00649"/>
    <w:rsid w:val="00C006B1"/>
    <w:rsid w:val="00C006CE"/>
    <w:rsid w:val="00C00732"/>
    <w:rsid w:val="00C007C3"/>
    <w:rsid w:val="00C00884"/>
    <w:rsid w:val="00C00950"/>
    <w:rsid w:val="00C009C5"/>
    <w:rsid w:val="00C00B50"/>
    <w:rsid w:val="00C00B7C"/>
    <w:rsid w:val="00C00BF8"/>
    <w:rsid w:val="00C00CF7"/>
    <w:rsid w:val="00C00D77"/>
    <w:rsid w:val="00C00E72"/>
    <w:rsid w:val="00C00F7F"/>
    <w:rsid w:val="00C00FDF"/>
    <w:rsid w:val="00C01144"/>
    <w:rsid w:val="00C011DF"/>
    <w:rsid w:val="00C012CD"/>
    <w:rsid w:val="00C01300"/>
    <w:rsid w:val="00C01477"/>
    <w:rsid w:val="00C0156A"/>
    <w:rsid w:val="00C015E0"/>
    <w:rsid w:val="00C01709"/>
    <w:rsid w:val="00C01874"/>
    <w:rsid w:val="00C018BE"/>
    <w:rsid w:val="00C0190D"/>
    <w:rsid w:val="00C01913"/>
    <w:rsid w:val="00C0198B"/>
    <w:rsid w:val="00C01A16"/>
    <w:rsid w:val="00C01B20"/>
    <w:rsid w:val="00C01D43"/>
    <w:rsid w:val="00C01E5E"/>
    <w:rsid w:val="00C01EA9"/>
    <w:rsid w:val="00C01EFE"/>
    <w:rsid w:val="00C01FA7"/>
    <w:rsid w:val="00C02046"/>
    <w:rsid w:val="00C02195"/>
    <w:rsid w:val="00C0226B"/>
    <w:rsid w:val="00C023A9"/>
    <w:rsid w:val="00C023F8"/>
    <w:rsid w:val="00C023FC"/>
    <w:rsid w:val="00C027C4"/>
    <w:rsid w:val="00C027F0"/>
    <w:rsid w:val="00C02944"/>
    <w:rsid w:val="00C029F6"/>
    <w:rsid w:val="00C02AB6"/>
    <w:rsid w:val="00C02C74"/>
    <w:rsid w:val="00C02CBB"/>
    <w:rsid w:val="00C02D9D"/>
    <w:rsid w:val="00C02DA9"/>
    <w:rsid w:val="00C02E4D"/>
    <w:rsid w:val="00C02E7F"/>
    <w:rsid w:val="00C02EE1"/>
    <w:rsid w:val="00C030FD"/>
    <w:rsid w:val="00C0317B"/>
    <w:rsid w:val="00C031D2"/>
    <w:rsid w:val="00C0321E"/>
    <w:rsid w:val="00C03222"/>
    <w:rsid w:val="00C03399"/>
    <w:rsid w:val="00C0363B"/>
    <w:rsid w:val="00C0381A"/>
    <w:rsid w:val="00C038D0"/>
    <w:rsid w:val="00C038ED"/>
    <w:rsid w:val="00C03994"/>
    <w:rsid w:val="00C039F8"/>
    <w:rsid w:val="00C03C7E"/>
    <w:rsid w:val="00C03E80"/>
    <w:rsid w:val="00C03E88"/>
    <w:rsid w:val="00C03E96"/>
    <w:rsid w:val="00C03EB6"/>
    <w:rsid w:val="00C0401F"/>
    <w:rsid w:val="00C040CF"/>
    <w:rsid w:val="00C04246"/>
    <w:rsid w:val="00C045CF"/>
    <w:rsid w:val="00C045E4"/>
    <w:rsid w:val="00C0465A"/>
    <w:rsid w:val="00C04867"/>
    <w:rsid w:val="00C048DC"/>
    <w:rsid w:val="00C04BB3"/>
    <w:rsid w:val="00C04BD9"/>
    <w:rsid w:val="00C04D21"/>
    <w:rsid w:val="00C04DE2"/>
    <w:rsid w:val="00C04F12"/>
    <w:rsid w:val="00C0501E"/>
    <w:rsid w:val="00C05039"/>
    <w:rsid w:val="00C05049"/>
    <w:rsid w:val="00C051B6"/>
    <w:rsid w:val="00C051EC"/>
    <w:rsid w:val="00C05218"/>
    <w:rsid w:val="00C05425"/>
    <w:rsid w:val="00C05426"/>
    <w:rsid w:val="00C05440"/>
    <w:rsid w:val="00C05562"/>
    <w:rsid w:val="00C05584"/>
    <w:rsid w:val="00C05699"/>
    <w:rsid w:val="00C058CB"/>
    <w:rsid w:val="00C0598E"/>
    <w:rsid w:val="00C059C4"/>
    <w:rsid w:val="00C059D7"/>
    <w:rsid w:val="00C05A48"/>
    <w:rsid w:val="00C05ADE"/>
    <w:rsid w:val="00C05AF3"/>
    <w:rsid w:val="00C05B0E"/>
    <w:rsid w:val="00C05B54"/>
    <w:rsid w:val="00C05B6E"/>
    <w:rsid w:val="00C05B97"/>
    <w:rsid w:val="00C05DE3"/>
    <w:rsid w:val="00C05EF6"/>
    <w:rsid w:val="00C05FF0"/>
    <w:rsid w:val="00C06036"/>
    <w:rsid w:val="00C0606C"/>
    <w:rsid w:val="00C061A1"/>
    <w:rsid w:val="00C061F4"/>
    <w:rsid w:val="00C06215"/>
    <w:rsid w:val="00C063BF"/>
    <w:rsid w:val="00C063E5"/>
    <w:rsid w:val="00C0642B"/>
    <w:rsid w:val="00C06505"/>
    <w:rsid w:val="00C06539"/>
    <w:rsid w:val="00C06701"/>
    <w:rsid w:val="00C0674E"/>
    <w:rsid w:val="00C06763"/>
    <w:rsid w:val="00C067AB"/>
    <w:rsid w:val="00C06AFD"/>
    <w:rsid w:val="00C06B25"/>
    <w:rsid w:val="00C06BC3"/>
    <w:rsid w:val="00C06C7C"/>
    <w:rsid w:val="00C06D62"/>
    <w:rsid w:val="00C06DF5"/>
    <w:rsid w:val="00C06EEA"/>
    <w:rsid w:val="00C06F7A"/>
    <w:rsid w:val="00C06FD8"/>
    <w:rsid w:val="00C070D5"/>
    <w:rsid w:val="00C071FB"/>
    <w:rsid w:val="00C072BE"/>
    <w:rsid w:val="00C0741D"/>
    <w:rsid w:val="00C07542"/>
    <w:rsid w:val="00C0767D"/>
    <w:rsid w:val="00C0779E"/>
    <w:rsid w:val="00C077F3"/>
    <w:rsid w:val="00C07834"/>
    <w:rsid w:val="00C07838"/>
    <w:rsid w:val="00C078D2"/>
    <w:rsid w:val="00C078FE"/>
    <w:rsid w:val="00C07900"/>
    <w:rsid w:val="00C07945"/>
    <w:rsid w:val="00C07BE9"/>
    <w:rsid w:val="00C07DF9"/>
    <w:rsid w:val="00C07E1E"/>
    <w:rsid w:val="00C1010D"/>
    <w:rsid w:val="00C101BF"/>
    <w:rsid w:val="00C10203"/>
    <w:rsid w:val="00C102CB"/>
    <w:rsid w:val="00C10350"/>
    <w:rsid w:val="00C10398"/>
    <w:rsid w:val="00C103A1"/>
    <w:rsid w:val="00C104FD"/>
    <w:rsid w:val="00C10515"/>
    <w:rsid w:val="00C10559"/>
    <w:rsid w:val="00C1058F"/>
    <w:rsid w:val="00C106B2"/>
    <w:rsid w:val="00C1076F"/>
    <w:rsid w:val="00C10827"/>
    <w:rsid w:val="00C10CC0"/>
    <w:rsid w:val="00C10D5E"/>
    <w:rsid w:val="00C10D91"/>
    <w:rsid w:val="00C110BC"/>
    <w:rsid w:val="00C1131E"/>
    <w:rsid w:val="00C113B0"/>
    <w:rsid w:val="00C113D1"/>
    <w:rsid w:val="00C113D4"/>
    <w:rsid w:val="00C11452"/>
    <w:rsid w:val="00C11669"/>
    <w:rsid w:val="00C116A5"/>
    <w:rsid w:val="00C116BA"/>
    <w:rsid w:val="00C116F1"/>
    <w:rsid w:val="00C117C8"/>
    <w:rsid w:val="00C1186A"/>
    <w:rsid w:val="00C119BB"/>
    <w:rsid w:val="00C11B1B"/>
    <w:rsid w:val="00C11B49"/>
    <w:rsid w:val="00C11BBC"/>
    <w:rsid w:val="00C11BC6"/>
    <w:rsid w:val="00C11CA5"/>
    <w:rsid w:val="00C11D87"/>
    <w:rsid w:val="00C11DFF"/>
    <w:rsid w:val="00C11E40"/>
    <w:rsid w:val="00C11EEB"/>
    <w:rsid w:val="00C11F9A"/>
    <w:rsid w:val="00C12082"/>
    <w:rsid w:val="00C12141"/>
    <w:rsid w:val="00C121E0"/>
    <w:rsid w:val="00C122C8"/>
    <w:rsid w:val="00C123A2"/>
    <w:rsid w:val="00C124D1"/>
    <w:rsid w:val="00C124FC"/>
    <w:rsid w:val="00C128C1"/>
    <w:rsid w:val="00C12AFD"/>
    <w:rsid w:val="00C12B14"/>
    <w:rsid w:val="00C12C80"/>
    <w:rsid w:val="00C12E30"/>
    <w:rsid w:val="00C12E4B"/>
    <w:rsid w:val="00C12E94"/>
    <w:rsid w:val="00C12EB5"/>
    <w:rsid w:val="00C12EE2"/>
    <w:rsid w:val="00C12FFB"/>
    <w:rsid w:val="00C131B3"/>
    <w:rsid w:val="00C13228"/>
    <w:rsid w:val="00C1324B"/>
    <w:rsid w:val="00C1328D"/>
    <w:rsid w:val="00C13399"/>
    <w:rsid w:val="00C1339F"/>
    <w:rsid w:val="00C13447"/>
    <w:rsid w:val="00C134F7"/>
    <w:rsid w:val="00C136AC"/>
    <w:rsid w:val="00C1376C"/>
    <w:rsid w:val="00C13791"/>
    <w:rsid w:val="00C137A6"/>
    <w:rsid w:val="00C13844"/>
    <w:rsid w:val="00C138D1"/>
    <w:rsid w:val="00C13932"/>
    <w:rsid w:val="00C13979"/>
    <w:rsid w:val="00C13A4F"/>
    <w:rsid w:val="00C13A62"/>
    <w:rsid w:val="00C13C20"/>
    <w:rsid w:val="00C13D96"/>
    <w:rsid w:val="00C13DBE"/>
    <w:rsid w:val="00C13E39"/>
    <w:rsid w:val="00C13EAD"/>
    <w:rsid w:val="00C13F34"/>
    <w:rsid w:val="00C14036"/>
    <w:rsid w:val="00C140F0"/>
    <w:rsid w:val="00C141FD"/>
    <w:rsid w:val="00C1434E"/>
    <w:rsid w:val="00C145BE"/>
    <w:rsid w:val="00C1460F"/>
    <w:rsid w:val="00C14658"/>
    <w:rsid w:val="00C14830"/>
    <w:rsid w:val="00C148A8"/>
    <w:rsid w:val="00C14962"/>
    <w:rsid w:val="00C14988"/>
    <w:rsid w:val="00C14A26"/>
    <w:rsid w:val="00C14A5E"/>
    <w:rsid w:val="00C14E2A"/>
    <w:rsid w:val="00C151B4"/>
    <w:rsid w:val="00C1522F"/>
    <w:rsid w:val="00C15262"/>
    <w:rsid w:val="00C15264"/>
    <w:rsid w:val="00C153BF"/>
    <w:rsid w:val="00C15446"/>
    <w:rsid w:val="00C154FB"/>
    <w:rsid w:val="00C15504"/>
    <w:rsid w:val="00C15508"/>
    <w:rsid w:val="00C15556"/>
    <w:rsid w:val="00C15595"/>
    <w:rsid w:val="00C15637"/>
    <w:rsid w:val="00C15738"/>
    <w:rsid w:val="00C1576D"/>
    <w:rsid w:val="00C159D5"/>
    <w:rsid w:val="00C15A38"/>
    <w:rsid w:val="00C15B2A"/>
    <w:rsid w:val="00C15B5B"/>
    <w:rsid w:val="00C15D98"/>
    <w:rsid w:val="00C15ED9"/>
    <w:rsid w:val="00C16081"/>
    <w:rsid w:val="00C16095"/>
    <w:rsid w:val="00C16152"/>
    <w:rsid w:val="00C161B7"/>
    <w:rsid w:val="00C16337"/>
    <w:rsid w:val="00C1643E"/>
    <w:rsid w:val="00C1652A"/>
    <w:rsid w:val="00C16604"/>
    <w:rsid w:val="00C16608"/>
    <w:rsid w:val="00C16712"/>
    <w:rsid w:val="00C1672A"/>
    <w:rsid w:val="00C1678A"/>
    <w:rsid w:val="00C1681B"/>
    <w:rsid w:val="00C1694A"/>
    <w:rsid w:val="00C16A65"/>
    <w:rsid w:val="00C16A6E"/>
    <w:rsid w:val="00C16A98"/>
    <w:rsid w:val="00C16B52"/>
    <w:rsid w:val="00C16E1A"/>
    <w:rsid w:val="00C16E5E"/>
    <w:rsid w:val="00C16EAE"/>
    <w:rsid w:val="00C16F79"/>
    <w:rsid w:val="00C16FF3"/>
    <w:rsid w:val="00C1708B"/>
    <w:rsid w:val="00C17105"/>
    <w:rsid w:val="00C173CF"/>
    <w:rsid w:val="00C1745B"/>
    <w:rsid w:val="00C17501"/>
    <w:rsid w:val="00C1754A"/>
    <w:rsid w:val="00C175DC"/>
    <w:rsid w:val="00C175F2"/>
    <w:rsid w:val="00C177A1"/>
    <w:rsid w:val="00C179DF"/>
    <w:rsid w:val="00C17AF8"/>
    <w:rsid w:val="00C17B02"/>
    <w:rsid w:val="00C17B3E"/>
    <w:rsid w:val="00C2007B"/>
    <w:rsid w:val="00C200B7"/>
    <w:rsid w:val="00C2034F"/>
    <w:rsid w:val="00C204BE"/>
    <w:rsid w:val="00C20750"/>
    <w:rsid w:val="00C2078C"/>
    <w:rsid w:val="00C2082B"/>
    <w:rsid w:val="00C208FE"/>
    <w:rsid w:val="00C2092C"/>
    <w:rsid w:val="00C20A3A"/>
    <w:rsid w:val="00C20B24"/>
    <w:rsid w:val="00C20B73"/>
    <w:rsid w:val="00C20BD8"/>
    <w:rsid w:val="00C20C15"/>
    <w:rsid w:val="00C20C8D"/>
    <w:rsid w:val="00C20C90"/>
    <w:rsid w:val="00C20CB7"/>
    <w:rsid w:val="00C20D59"/>
    <w:rsid w:val="00C20D88"/>
    <w:rsid w:val="00C20DF9"/>
    <w:rsid w:val="00C20E5A"/>
    <w:rsid w:val="00C20E6B"/>
    <w:rsid w:val="00C20FF2"/>
    <w:rsid w:val="00C2114E"/>
    <w:rsid w:val="00C21313"/>
    <w:rsid w:val="00C2145D"/>
    <w:rsid w:val="00C2173D"/>
    <w:rsid w:val="00C217D7"/>
    <w:rsid w:val="00C217DC"/>
    <w:rsid w:val="00C21848"/>
    <w:rsid w:val="00C21902"/>
    <w:rsid w:val="00C21918"/>
    <w:rsid w:val="00C219CB"/>
    <w:rsid w:val="00C219DF"/>
    <w:rsid w:val="00C21A68"/>
    <w:rsid w:val="00C21AF6"/>
    <w:rsid w:val="00C21BC3"/>
    <w:rsid w:val="00C21C0F"/>
    <w:rsid w:val="00C21CEF"/>
    <w:rsid w:val="00C21D9D"/>
    <w:rsid w:val="00C21D9E"/>
    <w:rsid w:val="00C22033"/>
    <w:rsid w:val="00C2204D"/>
    <w:rsid w:val="00C22211"/>
    <w:rsid w:val="00C22220"/>
    <w:rsid w:val="00C222BD"/>
    <w:rsid w:val="00C2230F"/>
    <w:rsid w:val="00C22373"/>
    <w:rsid w:val="00C22736"/>
    <w:rsid w:val="00C2274E"/>
    <w:rsid w:val="00C22778"/>
    <w:rsid w:val="00C22880"/>
    <w:rsid w:val="00C229D0"/>
    <w:rsid w:val="00C22AFA"/>
    <w:rsid w:val="00C22B13"/>
    <w:rsid w:val="00C22B6E"/>
    <w:rsid w:val="00C22D61"/>
    <w:rsid w:val="00C22DBF"/>
    <w:rsid w:val="00C22E2B"/>
    <w:rsid w:val="00C22FDF"/>
    <w:rsid w:val="00C2314D"/>
    <w:rsid w:val="00C2316C"/>
    <w:rsid w:val="00C2323F"/>
    <w:rsid w:val="00C23279"/>
    <w:rsid w:val="00C23330"/>
    <w:rsid w:val="00C2340F"/>
    <w:rsid w:val="00C23432"/>
    <w:rsid w:val="00C2345A"/>
    <w:rsid w:val="00C235B4"/>
    <w:rsid w:val="00C23682"/>
    <w:rsid w:val="00C23683"/>
    <w:rsid w:val="00C2383C"/>
    <w:rsid w:val="00C23854"/>
    <w:rsid w:val="00C2391B"/>
    <w:rsid w:val="00C23949"/>
    <w:rsid w:val="00C23AAF"/>
    <w:rsid w:val="00C23B59"/>
    <w:rsid w:val="00C23B8D"/>
    <w:rsid w:val="00C23B91"/>
    <w:rsid w:val="00C23D39"/>
    <w:rsid w:val="00C23E89"/>
    <w:rsid w:val="00C23EC0"/>
    <w:rsid w:val="00C23F53"/>
    <w:rsid w:val="00C2413F"/>
    <w:rsid w:val="00C24146"/>
    <w:rsid w:val="00C241BD"/>
    <w:rsid w:val="00C24232"/>
    <w:rsid w:val="00C24263"/>
    <w:rsid w:val="00C2426E"/>
    <w:rsid w:val="00C24337"/>
    <w:rsid w:val="00C243F3"/>
    <w:rsid w:val="00C24456"/>
    <w:rsid w:val="00C24551"/>
    <w:rsid w:val="00C24684"/>
    <w:rsid w:val="00C246B2"/>
    <w:rsid w:val="00C246D8"/>
    <w:rsid w:val="00C24742"/>
    <w:rsid w:val="00C2474E"/>
    <w:rsid w:val="00C248E5"/>
    <w:rsid w:val="00C248EB"/>
    <w:rsid w:val="00C248F4"/>
    <w:rsid w:val="00C248FE"/>
    <w:rsid w:val="00C2492B"/>
    <w:rsid w:val="00C24939"/>
    <w:rsid w:val="00C2493C"/>
    <w:rsid w:val="00C2496B"/>
    <w:rsid w:val="00C249AD"/>
    <w:rsid w:val="00C24AF2"/>
    <w:rsid w:val="00C24C4A"/>
    <w:rsid w:val="00C24C4E"/>
    <w:rsid w:val="00C24D31"/>
    <w:rsid w:val="00C24D9C"/>
    <w:rsid w:val="00C24DC9"/>
    <w:rsid w:val="00C24E17"/>
    <w:rsid w:val="00C250E6"/>
    <w:rsid w:val="00C2523C"/>
    <w:rsid w:val="00C25242"/>
    <w:rsid w:val="00C252FD"/>
    <w:rsid w:val="00C2531B"/>
    <w:rsid w:val="00C25576"/>
    <w:rsid w:val="00C2566E"/>
    <w:rsid w:val="00C2576A"/>
    <w:rsid w:val="00C258EF"/>
    <w:rsid w:val="00C25960"/>
    <w:rsid w:val="00C259C5"/>
    <w:rsid w:val="00C259FC"/>
    <w:rsid w:val="00C25BE0"/>
    <w:rsid w:val="00C25C14"/>
    <w:rsid w:val="00C25D2E"/>
    <w:rsid w:val="00C25DA0"/>
    <w:rsid w:val="00C25FEB"/>
    <w:rsid w:val="00C26096"/>
    <w:rsid w:val="00C26111"/>
    <w:rsid w:val="00C261A0"/>
    <w:rsid w:val="00C261E3"/>
    <w:rsid w:val="00C26269"/>
    <w:rsid w:val="00C2650C"/>
    <w:rsid w:val="00C26520"/>
    <w:rsid w:val="00C26562"/>
    <w:rsid w:val="00C2665E"/>
    <w:rsid w:val="00C2683E"/>
    <w:rsid w:val="00C26A72"/>
    <w:rsid w:val="00C26BAD"/>
    <w:rsid w:val="00C26CDC"/>
    <w:rsid w:val="00C26DC0"/>
    <w:rsid w:val="00C2701C"/>
    <w:rsid w:val="00C27071"/>
    <w:rsid w:val="00C27087"/>
    <w:rsid w:val="00C2729D"/>
    <w:rsid w:val="00C272C6"/>
    <w:rsid w:val="00C272CE"/>
    <w:rsid w:val="00C27447"/>
    <w:rsid w:val="00C2748C"/>
    <w:rsid w:val="00C27608"/>
    <w:rsid w:val="00C27744"/>
    <w:rsid w:val="00C27911"/>
    <w:rsid w:val="00C2795A"/>
    <w:rsid w:val="00C27A27"/>
    <w:rsid w:val="00C27A67"/>
    <w:rsid w:val="00C27AA9"/>
    <w:rsid w:val="00C27AD5"/>
    <w:rsid w:val="00C27C33"/>
    <w:rsid w:val="00C27C4C"/>
    <w:rsid w:val="00C27CD5"/>
    <w:rsid w:val="00C27D22"/>
    <w:rsid w:val="00C27E37"/>
    <w:rsid w:val="00C27EFB"/>
    <w:rsid w:val="00C27F3C"/>
    <w:rsid w:val="00C3004D"/>
    <w:rsid w:val="00C300DB"/>
    <w:rsid w:val="00C30213"/>
    <w:rsid w:val="00C30431"/>
    <w:rsid w:val="00C30549"/>
    <w:rsid w:val="00C305BB"/>
    <w:rsid w:val="00C305D3"/>
    <w:rsid w:val="00C30611"/>
    <w:rsid w:val="00C30A4C"/>
    <w:rsid w:val="00C30ABD"/>
    <w:rsid w:val="00C30D53"/>
    <w:rsid w:val="00C30F93"/>
    <w:rsid w:val="00C30F96"/>
    <w:rsid w:val="00C310A8"/>
    <w:rsid w:val="00C310E8"/>
    <w:rsid w:val="00C31141"/>
    <w:rsid w:val="00C31266"/>
    <w:rsid w:val="00C312CA"/>
    <w:rsid w:val="00C31477"/>
    <w:rsid w:val="00C315A2"/>
    <w:rsid w:val="00C315AA"/>
    <w:rsid w:val="00C31633"/>
    <w:rsid w:val="00C3166C"/>
    <w:rsid w:val="00C3172B"/>
    <w:rsid w:val="00C3172F"/>
    <w:rsid w:val="00C317DD"/>
    <w:rsid w:val="00C3188D"/>
    <w:rsid w:val="00C318B3"/>
    <w:rsid w:val="00C319BE"/>
    <w:rsid w:val="00C31AF4"/>
    <w:rsid w:val="00C31B97"/>
    <w:rsid w:val="00C31BCD"/>
    <w:rsid w:val="00C31C48"/>
    <w:rsid w:val="00C31C86"/>
    <w:rsid w:val="00C31D1A"/>
    <w:rsid w:val="00C31E0D"/>
    <w:rsid w:val="00C320D7"/>
    <w:rsid w:val="00C32124"/>
    <w:rsid w:val="00C3230B"/>
    <w:rsid w:val="00C3234D"/>
    <w:rsid w:val="00C323EB"/>
    <w:rsid w:val="00C324A0"/>
    <w:rsid w:val="00C3256C"/>
    <w:rsid w:val="00C32890"/>
    <w:rsid w:val="00C328C0"/>
    <w:rsid w:val="00C32930"/>
    <w:rsid w:val="00C32A15"/>
    <w:rsid w:val="00C32A36"/>
    <w:rsid w:val="00C32A3B"/>
    <w:rsid w:val="00C32A74"/>
    <w:rsid w:val="00C32C54"/>
    <w:rsid w:val="00C32C89"/>
    <w:rsid w:val="00C32DD2"/>
    <w:rsid w:val="00C32DD5"/>
    <w:rsid w:val="00C32F41"/>
    <w:rsid w:val="00C3312D"/>
    <w:rsid w:val="00C331D4"/>
    <w:rsid w:val="00C332F1"/>
    <w:rsid w:val="00C332FD"/>
    <w:rsid w:val="00C33365"/>
    <w:rsid w:val="00C33440"/>
    <w:rsid w:val="00C334D3"/>
    <w:rsid w:val="00C33581"/>
    <w:rsid w:val="00C3368A"/>
    <w:rsid w:val="00C338D3"/>
    <w:rsid w:val="00C33A50"/>
    <w:rsid w:val="00C33A58"/>
    <w:rsid w:val="00C33A8E"/>
    <w:rsid w:val="00C33C53"/>
    <w:rsid w:val="00C33D3C"/>
    <w:rsid w:val="00C33EBA"/>
    <w:rsid w:val="00C340AA"/>
    <w:rsid w:val="00C34179"/>
    <w:rsid w:val="00C34195"/>
    <w:rsid w:val="00C344E9"/>
    <w:rsid w:val="00C346A4"/>
    <w:rsid w:val="00C346A9"/>
    <w:rsid w:val="00C34701"/>
    <w:rsid w:val="00C34848"/>
    <w:rsid w:val="00C3484C"/>
    <w:rsid w:val="00C34888"/>
    <w:rsid w:val="00C348CC"/>
    <w:rsid w:val="00C348ED"/>
    <w:rsid w:val="00C34912"/>
    <w:rsid w:val="00C34982"/>
    <w:rsid w:val="00C349F9"/>
    <w:rsid w:val="00C34A45"/>
    <w:rsid w:val="00C34A9F"/>
    <w:rsid w:val="00C34AC9"/>
    <w:rsid w:val="00C34B9E"/>
    <w:rsid w:val="00C34C3B"/>
    <w:rsid w:val="00C34C78"/>
    <w:rsid w:val="00C34D0A"/>
    <w:rsid w:val="00C34D1D"/>
    <w:rsid w:val="00C34DB5"/>
    <w:rsid w:val="00C34DEC"/>
    <w:rsid w:val="00C34F9C"/>
    <w:rsid w:val="00C3504D"/>
    <w:rsid w:val="00C3505A"/>
    <w:rsid w:val="00C35064"/>
    <w:rsid w:val="00C352BE"/>
    <w:rsid w:val="00C3534B"/>
    <w:rsid w:val="00C35356"/>
    <w:rsid w:val="00C35403"/>
    <w:rsid w:val="00C35404"/>
    <w:rsid w:val="00C35406"/>
    <w:rsid w:val="00C35539"/>
    <w:rsid w:val="00C3564F"/>
    <w:rsid w:val="00C356EA"/>
    <w:rsid w:val="00C35904"/>
    <w:rsid w:val="00C35951"/>
    <w:rsid w:val="00C359AC"/>
    <w:rsid w:val="00C35C6D"/>
    <w:rsid w:val="00C35DA0"/>
    <w:rsid w:val="00C35E70"/>
    <w:rsid w:val="00C3617D"/>
    <w:rsid w:val="00C36202"/>
    <w:rsid w:val="00C36376"/>
    <w:rsid w:val="00C36616"/>
    <w:rsid w:val="00C3673D"/>
    <w:rsid w:val="00C36840"/>
    <w:rsid w:val="00C3686C"/>
    <w:rsid w:val="00C368E3"/>
    <w:rsid w:val="00C368EC"/>
    <w:rsid w:val="00C3695B"/>
    <w:rsid w:val="00C36B51"/>
    <w:rsid w:val="00C36BAE"/>
    <w:rsid w:val="00C36C59"/>
    <w:rsid w:val="00C36D4D"/>
    <w:rsid w:val="00C36DF8"/>
    <w:rsid w:val="00C36E50"/>
    <w:rsid w:val="00C36F00"/>
    <w:rsid w:val="00C3716F"/>
    <w:rsid w:val="00C37338"/>
    <w:rsid w:val="00C37386"/>
    <w:rsid w:val="00C373ED"/>
    <w:rsid w:val="00C37828"/>
    <w:rsid w:val="00C37962"/>
    <w:rsid w:val="00C379EA"/>
    <w:rsid w:val="00C37AEC"/>
    <w:rsid w:val="00C37BCD"/>
    <w:rsid w:val="00C37C12"/>
    <w:rsid w:val="00C37DCD"/>
    <w:rsid w:val="00C37E37"/>
    <w:rsid w:val="00C37E42"/>
    <w:rsid w:val="00C37FF1"/>
    <w:rsid w:val="00C40099"/>
    <w:rsid w:val="00C400B1"/>
    <w:rsid w:val="00C4030D"/>
    <w:rsid w:val="00C40323"/>
    <w:rsid w:val="00C405A1"/>
    <w:rsid w:val="00C408EC"/>
    <w:rsid w:val="00C40A55"/>
    <w:rsid w:val="00C40B8F"/>
    <w:rsid w:val="00C40BDD"/>
    <w:rsid w:val="00C40BE8"/>
    <w:rsid w:val="00C40D83"/>
    <w:rsid w:val="00C40E87"/>
    <w:rsid w:val="00C40F0C"/>
    <w:rsid w:val="00C41011"/>
    <w:rsid w:val="00C4101E"/>
    <w:rsid w:val="00C41178"/>
    <w:rsid w:val="00C41182"/>
    <w:rsid w:val="00C4128F"/>
    <w:rsid w:val="00C412CE"/>
    <w:rsid w:val="00C4138C"/>
    <w:rsid w:val="00C415EC"/>
    <w:rsid w:val="00C416E7"/>
    <w:rsid w:val="00C4170E"/>
    <w:rsid w:val="00C41720"/>
    <w:rsid w:val="00C419B4"/>
    <w:rsid w:val="00C41AF7"/>
    <w:rsid w:val="00C41BD6"/>
    <w:rsid w:val="00C41E2D"/>
    <w:rsid w:val="00C41EBC"/>
    <w:rsid w:val="00C41F2A"/>
    <w:rsid w:val="00C41F7C"/>
    <w:rsid w:val="00C4212E"/>
    <w:rsid w:val="00C421E0"/>
    <w:rsid w:val="00C42269"/>
    <w:rsid w:val="00C4231B"/>
    <w:rsid w:val="00C42346"/>
    <w:rsid w:val="00C42394"/>
    <w:rsid w:val="00C42513"/>
    <w:rsid w:val="00C42590"/>
    <w:rsid w:val="00C426FE"/>
    <w:rsid w:val="00C427F7"/>
    <w:rsid w:val="00C42897"/>
    <w:rsid w:val="00C428FF"/>
    <w:rsid w:val="00C42B23"/>
    <w:rsid w:val="00C42BCA"/>
    <w:rsid w:val="00C42C81"/>
    <w:rsid w:val="00C42D16"/>
    <w:rsid w:val="00C42E13"/>
    <w:rsid w:val="00C42F2B"/>
    <w:rsid w:val="00C43027"/>
    <w:rsid w:val="00C43254"/>
    <w:rsid w:val="00C43481"/>
    <w:rsid w:val="00C43753"/>
    <w:rsid w:val="00C4379D"/>
    <w:rsid w:val="00C4391A"/>
    <w:rsid w:val="00C43940"/>
    <w:rsid w:val="00C439F6"/>
    <w:rsid w:val="00C43BDB"/>
    <w:rsid w:val="00C43CB3"/>
    <w:rsid w:val="00C43D1A"/>
    <w:rsid w:val="00C43D4A"/>
    <w:rsid w:val="00C43E64"/>
    <w:rsid w:val="00C43E94"/>
    <w:rsid w:val="00C43EDB"/>
    <w:rsid w:val="00C43F1B"/>
    <w:rsid w:val="00C43F70"/>
    <w:rsid w:val="00C44018"/>
    <w:rsid w:val="00C4411B"/>
    <w:rsid w:val="00C4412C"/>
    <w:rsid w:val="00C4412E"/>
    <w:rsid w:val="00C442D7"/>
    <w:rsid w:val="00C4433A"/>
    <w:rsid w:val="00C4477C"/>
    <w:rsid w:val="00C447E8"/>
    <w:rsid w:val="00C448C7"/>
    <w:rsid w:val="00C44964"/>
    <w:rsid w:val="00C44AE5"/>
    <w:rsid w:val="00C44C49"/>
    <w:rsid w:val="00C44CBC"/>
    <w:rsid w:val="00C44CD1"/>
    <w:rsid w:val="00C44CEF"/>
    <w:rsid w:val="00C44EFC"/>
    <w:rsid w:val="00C44F6B"/>
    <w:rsid w:val="00C44FF4"/>
    <w:rsid w:val="00C45131"/>
    <w:rsid w:val="00C451E1"/>
    <w:rsid w:val="00C4523D"/>
    <w:rsid w:val="00C45282"/>
    <w:rsid w:val="00C453E6"/>
    <w:rsid w:val="00C45492"/>
    <w:rsid w:val="00C454EB"/>
    <w:rsid w:val="00C45565"/>
    <w:rsid w:val="00C4570C"/>
    <w:rsid w:val="00C45841"/>
    <w:rsid w:val="00C45860"/>
    <w:rsid w:val="00C458A2"/>
    <w:rsid w:val="00C458BD"/>
    <w:rsid w:val="00C458EF"/>
    <w:rsid w:val="00C45A30"/>
    <w:rsid w:val="00C45B0B"/>
    <w:rsid w:val="00C45B97"/>
    <w:rsid w:val="00C45BB4"/>
    <w:rsid w:val="00C45CD5"/>
    <w:rsid w:val="00C45CE1"/>
    <w:rsid w:val="00C45D72"/>
    <w:rsid w:val="00C45ECC"/>
    <w:rsid w:val="00C45FC9"/>
    <w:rsid w:val="00C4606E"/>
    <w:rsid w:val="00C461D9"/>
    <w:rsid w:val="00C46228"/>
    <w:rsid w:val="00C462EF"/>
    <w:rsid w:val="00C4630E"/>
    <w:rsid w:val="00C463B0"/>
    <w:rsid w:val="00C46513"/>
    <w:rsid w:val="00C4675C"/>
    <w:rsid w:val="00C46760"/>
    <w:rsid w:val="00C46783"/>
    <w:rsid w:val="00C467FA"/>
    <w:rsid w:val="00C46804"/>
    <w:rsid w:val="00C46837"/>
    <w:rsid w:val="00C4686F"/>
    <w:rsid w:val="00C4692B"/>
    <w:rsid w:val="00C469FC"/>
    <w:rsid w:val="00C46ABE"/>
    <w:rsid w:val="00C46B25"/>
    <w:rsid w:val="00C46BE9"/>
    <w:rsid w:val="00C46BF4"/>
    <w:rsid w:val="00C46BFE"/>
    <w:rsid w:val="00C46DD4"/>
    <w:rsid w:val="00C46E63"/>
    <w:rsid w:val="00C46F2C"/>
    <w:rsid w:val="00C471B0"/>
    <w:rsid w:val="00C47265"/>
    <w:rsid w:val="00C473E2"/>
    <w:rsid w:val="00C474B3"/>
    <w:rsid w:val="00C47607"/>
    <w:rsid w:val="00C479BB"/>
    <w:rsid w:val="00C47A5D"/>
    <w:rsid w:val="00C47B31"/>
    <w:rsid w:val="00C47BA4"/>
    <w:rsid w:val="00C47C15"/>
    <w:rsid w:val="00C501B2"/>
    <w:rsid w:val="00C50235"/>
    <w:rsid w:val="00C5027D"/>
    <w:rsid w:val="00C50334"/>
    <w:rsid w:val="00C503FA"/>
    <w:rsid w:val="00C504DC"/>
    <w:rsid w:val="00C50505"/>
    <w:rsid w:val="00C50549"/>
    <w:rsid w:val="00C5054C"/>
    <w:rsid w:val="00C505BF"/>
    <w:rsid w:val="00C505C4"/>
    <w:rsid w:val="00C5080D"/>
    <w:rsid w:val="00C50822"/>
    <w:rsid w:val="00C50AC1"/>
    <w:rsid w:val="00C50B96"/>
    <w:rsid w:val="00C50C79"/>
    <w:rsid w:val="00C50D5C"/>
    <w:rsid w:val="00C50DB2"/>
    <w:rsid w:val="00C50DC5"/>
    <w:rsid w:val="00C50EFC"/>
    <w:rsid w:val="00C51022"/>
    <w:rsid w:val="00C51067"/>
    <w:rsid w:val="00C510AE"/>
    <w:rsid w:val="00C510BD"/>
    <w:rsid w:val="00C5111E"/>
    <w:rsid w:val="00C5126E"/>
    <w:rsid w:val="00C5129E"/>
    <w:rsid w:val="00C512C0"/>
    <w:rsid w:val="00C5137F"/>
    <w:rsid w:val="00C513C1"/>
    <w:rsid w:val="00C517AA"/>
    <w:rsid w:val="00C517C6"/>
    <w:rsid w:val="00C51809"/>
    <w:rsid w:val="00C5185C"/>
    <w:rsid w:val="00C5186C"/>
    <w:rsid w:val="00C518C8"/>
    <w:rsid w:val="00C5197E"/>
    <w:rsid w:val="00C51A4F"/>
    <w:rsid w:val="00C51B1C"/>
    <w:rsid w:val="00C51C66"/>
    <w:rsid w:val="00C51DB6"/>
    <w:rsid w:val="00C51F14"/>
    <w:rsid w:val="00C51F38"/>
    <w:rsid w:val="00C52017"/>
    <w:rsid w:val="00C5207B"/>
    <w:rsid w:val="00C520EF"/>
    <w:rsid w:val="00C5217E"/>
    <w:rsid w:val="00C521B7"/>
    <w:rsid w:val="00C522FA"/>
    <w:rsid w:val="00C52465"/>
    <w:rsid w:val="00C524DA"/>
    <w:rsid w:val="00C526D5"/>
    <w:rsid w:val="00C526DF"/>
    <w:rsid w:val="00C5297E"/>
    <w:rsid w:val="00C529A4"/>
    <w:rsid w:val="00C529A8"/>
    <w:rsid w:val="00C52A73"/>
    <w:rsid w:val="00C52B3E"/>
    <w:rsid w:val="00C52D2C"/>
    <w:rsid w:val="00C52D3C"/>
    <w:rsid w:val="00C52DB7"/>
    <w:rsid w:val="00C52E25"/>
    <w:rsid w:val="00C52ED7"/>
    <w:rsid w:val="00C52FA5"/>
    <w:rsid w:val="00C53090"/>
    <w:rsid w:val="00C53117"/>
    <w:rsid w:val="00C532E1"/>
    <w:rsid w:val="00C53304"/>
    <w:rsid w:val="00C5343E"/>
    <w:rsid w:val="00C535B5"/>
    <w:rsid w:val="00C535CA"/>
    <w:rsid w:val="00C53748"/>
    <w:rsid w:val="00C53771"/>
    <w:rsid w:val="00C537C6"/>
    <w:rsid w:val="00C5397F"/>
    <w:rsid w:val="00C53A61"/>
    <w:rsid w:val="00C53AA6"/>
    <w:rsid w:val="00C53AA7"/>
    <w:rsid w:val="00C53ABF"/>
    <w:rsid w:val="00C53B57"/>
    <w:rsid w:val="00C53DE4"/>
    <w:rsid w:val="00C540B5"/>
    <w:rsid w:val="00C54154"/>
    <w:rsid w:val="00C5415B"/>
    <w:rsid w:val="00C541C5"/>
    <w:rsid w:val="00C5424E"/>
    <w:rsid w:val="00C54281"/>
    <w:rsid w:val="00C542A2"/>
    <w:rsid w:val="00C542C9"/>
    <w:rsid w:val="00C5430B"/>
    <w:rsid w:val="00C54363"/>
    <w:rsid w:val="00C54382"/>
    <w:rsid w:val="00C54402"/>
    <w:rsid w:val="00C54415"/>
    <w:rsid w:val="00C544DD"/>
    <w:rsid w:val="00C545A7"/>
    <w:rsid w:val="00C54740"/>
    <w:rsid w:val="00C547C4"/>
    <w:rsid w:val="00C5481B"/>
    <w:rsid w:val="00C548A0"/>
    <w:rsid w:val="00C548F3"/>
    <w:rsid w:val="00C548FF"/>
    <w:rsid w:val="00C5495C"/>
    <w:rsid w:val="00C54AF9"/>
    <w:rsid w:val="00C54D17"/>
    <w:rsid w:val="00C54D47"/>
    <w:rsid w:val="00C54D79"/>
    <w:rsid w:val="00C54E8A"/>
    <w:rsid w:val="00C54FC3"/>
    <w:rsid w:val="00C54FE1"/>
    <w:rsid w:val="00C55039"/>
    <w:rsid w:val="00C550D7"/>
    <w:rsid w:val="00C550FB"/>
    <w:rsid w:val="00C5514E"/>
    <w:rsid w:val="00C5543A"/>
    <w:rsid w:val="00C554A7"/>
    <w:rsid w:val="00C5567E"/>
    <w:rsid w:val="00C556BD"/>
    <w:rsid w:val="00C55791"/>
    <w:rsid w:val="00C5589F"/>
    <w:rsid w:val="00C55AB1"/>
    <w:rsid w:val="00C55CC6"/>
    <w:rsid w:val="00C55EBA"/>
    <w:rsid w:val="00C55F19"/>
    <w:rsid w:val="00C56052"/>
    <w:rsid w:val="00C561C7"/>
    <w:rsid w:val="00C56254"/>
    <w:rsid w:val="00C5625D"/>
    <w:rsid w:val="00C56424"/>
    <w:rsid w:val="00C56477"/>
    <w:rsid w:val="00C56559"/>
    <w:rsid w:val="00C56675"/>
    <w:rsid w:val="00C56710"/>
    <w:rsid w:val="00C5682A"/>
    <w:rsid w:val="00C568B4"/>
    <w:rsid w:val="00C569E7"/>
    <w:rsid w:val="00C56A66"/>
    <w:rsid w:val="00C56B07"/>
    <w:rsid w:val="00C56BE1"/>
    <w:rsid w:val="00C56C89"/>
    <w:rsid w:val="00C56F03"/>
    <w:rsid w:val="00C57002"/>
    <w:rsid w:val="00C57004"/>
    <w:rsid w:val="00C570FC"/>
    <w:rsid w:val="00C5729F"/>
    <w:rsid w:val="00C5730F"/>
    <w:rsid w:val="00C577F3"/>
    <w:rsid w:val="00C578A0"/>
    <w:rsid w:val="00C579B5"/>
    <w:rsid w:val="00C57AA5"/>
    <w:rsid w:val="00C57B6E"/>
    <w:rsid w:val="00C57BD5"/>
    <w:rsid w:val="00C57CB7"/>
    <w:rsid w:val="00C57CC3"/>
    <w:rsid w:val="00C57F71"/>
    <w:rsid w:val="00C57F8F"/>
    <w:rsid w:val="00C57F9E"/>
    <w:rsid w:val="00C57FD8"/>
    <w:rsid w:val="00C6027F"/>
    <w:rsid w:val="00C603B4"/>
    <w:rsid w:val="00C60511"/>
    <w:rsid w:val="00C6066D"/>
    <w:rsid w:val="00C606B2"/>
    <w:rsid w:val="00C60784"/>
    <w:rsid w:val="00C607A6"/>
    <w:rsid w:val="00C607C2"/>
    <w:rsid w:val="00C60820"/>
    <w:rsid w:val="00C60870"/>
    <w:rsid w:val="00C609D0"/>
    <w:rsid w:val="00C60A25"/>
    <w:rsid w:val="00C60ABD"/>
    <w:rsid w:val="00C60B99"/>
    <w:rsid w:val="00C60CE7"/>
    <w:rsid w:val="00C60D3E"/>
    <w:rsid w:val="00C60DBB"/>
    <w:rsid w:val="00C60DF2"/>
    <w:rsid w:val="00C60E23"/>
    <w:rsid w:val="00C60E69"/>
    <w:rsid w:val="00C60F34"/>
    <w:rsid w:val="00C60F8A"/>
    <w:rsid w:val="00C6111B"/>
    <w:rsid w:val="00C612B7"/>
    <w:rsid w:val="00C6132B"/>
    <w:rsid w:val="00C61357"/>
    <w:rsid w:val="00C613C7"/>
    <w:rsid w:val="00C61411"/>
    <w:rsid w:val="00C6144E"/>
    <w:rsid w:val="00C615EA"/>
    <w:rsid w:val="00C6180D"/>
    <w:rsid w:val="00C6188E"/>
    <w:rsid w:val="00C61936"/>
    <w:rsid w:val="00C61977"/>
    <w:rsid w:val="00C6197A"/>
    <w:rsid w:val="00C61C0D"/>
    <w:rsid w:val="00C61D02"/>
    <w:rsid w:val="00C61DA9"/>
    <w:rsid w:val="00C61E23"/>
    <w:rsid w:val="00C61E3C"/>
    <w:rsid w:val="00C61F06"/>
    <w:rsid w:val="00C61F3B"/>
    <w:rsid w:val="00C62091"/>
    <w:rsid w:val="00C6218B"/>
    <w:rsid w:val="00C621C7"/>
    <w:rsid w:val="00C6233D"/>
    <w:rsid w:val="00C62340"/>
    <w:rsid w:val="00C62399"/>
    <w:rsid w:val="00C62495"/>
    <w:rsid w:val="00C624F8"/>
    <w:rsid w:val="00C62504"/>
    <w:rsid w:val="00C6253A"/>
    <w:rsid w:val="00C625E7"/>
    <w:rsid w:val="00C62681"/>
    <w:rsid w:val="00C627E3"/>
    <w:rsid w:val="00C6298E"/>
    <w:rsid w:val="00C62A0A"/>
    <w:rsid w:val="00C62D0B"/>
    <w:rsid w:val="00C62DC8"/>
    <w:rsid w:val="00C62E19"/>
    <w:rsid w:val="00C630CA"/>
    <w:rsid w:val="00C63189"/>
    <w:rsid w:val="00C6334B"/>
    <w:rsid w:val="00C63559"/>
    <w:rsid w:val="00C6359F"/>
    <w:rsid w:val="00C63642"/>
    <w:rsid w:val="00C63721"/>
    <w:rsid w:val="00C6377A"/>
    <w:rsid w:val="00C6384E"/>
    <w:rsid w:val="00C638BF"/>
    <w:rsid w:val="00C63A37"/>
    <w:rsid w:val="00C63AA9"/>
    <w:rsid w:val="00C63D17"/>
    <w:rsid w:val="00C63D24"/>
    <w:rsid w:val="00C63EDB"/>
    <w:rsid w:val="00C63FA6"/>
    <w:rsid w:val="00C6433F"/>
    <w:rsid w:val="00C64467"/>
    <w:rsid w:val="00C645CF"/>
    <w:rsid w:val="00C6463D"/>
    <w:rsid w:val="00C646E8"/>
    <w:rsid w:val="00C649C8"/>
    <w:rsid w:val="00C64A3D"/>
    <w:rsid w:val="00C64B87"/>
    <w:rsid w:val="00C64CB6"/>
    <w:rsid w:val="00C64D27"/>
    <w:rsid w:val="00C64E41"/>
    <w:rsid w:val="00C64F1F"/>
    <w:rsid w:val="00C64F81"/>
    <w:rsid w:val="00C6500A"/>
    <w:rsid w:val="00C65299"/>
    <w:rsid w:val="00C6536E"/>
    <w:rsid w:val="00C6555B"/>
    <w:rsid w:val="00C6558D"/>
    <w:rsid w:val="00C6564C"/>
    <w:rsid w:val="00C65668"/>
    <w:rsid w:val="00C65817"/>
    <w:rsid w:val="00C6585D"/>
    <w:rsid w:val="00C65B3F"/>
    <w:rsid w:val="00C65BF6"/>
    <w:rsid w:val="00C65C10"/>
    <w:rsid w:val="00C65C45"/>
    <w:rsid w:val="00C65D26"/>
    <w:rsid w:val="00C65E28"/>
    <w:rsid w:val="00C65EEB"/>
    <w:rsid w:val="00C65FA7"/>
    <w:rsid w:val="00C661C1"/>
    <w:rsid w:val="00C661EE"/>
    <w:rsid w:val="00C6620D"/>
    <w:rsid w:val="00C6634C"/>
    <w:rsid w:val="00C66863"/>
    <w:rsid w:val="00C6687A"/>
    <w:rsid w:val="00C6688B"/>
    <w:rsid w:val="00C6689A"/>
    <w:rsid w:val="00C6690A"/>
    <w:rsid w:val="00C66911"/>
    <w:rsid w:val="00C6696C"/>
    <w:rsid w:val="00C6698D"/>
    <w:rsid w:val="00C66C6F"/>
    <w:rsid w:val="00C66CE7"/>
    <w:rsid w:val="00C66EF8"/>
    <w:rsid w:val="00C6719E"/>
    <w:rsid w:val="00C6721A"/>
    <w:rsid w:val="00C672A0"/>
    <w:rsid w:val="00C67303"/>
    <w:rsid w:val="00C6730F"/>
    <w:rsid w:val="00C67384"/>
    <w:rsid w:val="00C674BB"/>
    <w:rsid w:val="00C67522"/>
    <w:rsid w:val="00C675C6"/>
    <w:rsid w:val="00C67757"/>
    <w:rsid w:val="00C67766"/>
    <w:rsid w:val="00C677FD"/>
    <w:rsid w:val="00C678F6"/>
    <w:rsid w:val="00C67925"/>
    <w:rsid w:val="00C67AAE"/>
    <w:rsid w:val="00C67AB7"/>
    <w:rsid w:val="00C67B36"/>
    <w:rsid w:val="00C67B6F"/>
    <w:rsid w:val="00C67CAA"/>
    <w:rsid w:val="00C67ED8"/>
    <w:rsid w:val="00C67FAD"/>
    <w:rsid w:val="00C700BF"/>
    <w:rsid w:val="00C701F8"/>
    <w:rsid w:val="00C702A4"/>
    <w:rsid w:val="00C703CC"/>
    <w:rsid w:val="00C703F2"/>
    <w:rsid w:val="00C703FE"/>
    <w:rsid w:val="00C70400"/>
    <w:rsid w:val="00C7065C"/>
    <w:rsid w:val="00C706A1"/>
    <w:rsid w:val="00C7076A"/>
    <w:rsid w:val="00C707D7"/>
    <w:rsid w:val="00C70858"/>
    <w:rsid w:val="00C708F5"/>
    <w:rsid w:val="00C70A5E"/>
    <w:rsid w:val="00C70B83"/>
    <w:rsid w:val="00C70CF2"/>
    <w:rsid w:val="00C70D16"/>
    <w:rsid w:val="00C70DE0"/>
    <w:rsid w:val="00C70DE8"/>
    <w:rsid w:val="00C70E36"/>
    <w:rsid w:val="00C70F01"/>
    <w:rsid w:val="00C70F5B"/>
    <w:rsid w:val="00C70F99"/>
    <w:rsid w:val="00C71224"/>
    <w:rsid w:val="00C713FA"/>
    <w:rsid w:val="00C71613"/>
    <w:rsid w:val="00C7164C"/>
    <w:rsid w:val="00C7177F"/>
    <w:rsid w:val="00C717BF"/>
    <w:rsid w:val="00C719C9"/>
    <w:rsid w:val="00C71C97"/>
    <w:rsid w:val="00C71CAF"/>
    <w:rsid w:val="00C71DDD"/>
    <w:rsid w:val="00C71F93"/>
    <w:rsid w:val="00C72170"/>
    <w:rsid w:val="00C72176"/>
    <w:rsid w:val="00C72241"/>
    <w:rsid w:val="00C72283"/>
    <w:rsid w:val="00C722D2"/>
    <w:rsid w:val="00C722EC"/>
    <w:rsid w:val="00C72437"/>
    <w:rsid w:val="00C72535"/>
    <w:rsid w:val="00C72649"/>
    <w:rsid w:val="00C7269E"/>
    <w:rsid w:val="00C726AB"/>
    <w:rsid w:val="00C727E7"/>
    <w:rsid w:val="00C728D9"/>
    <w:rsid w:val="00C728EE"/>
    <w:rsid w:val="00C72A2C"/>
    <w:rsid w:val="00C72B4B"/>
    <w:rsid w:val="00C72C9A"/>
    <w:rsid w:val="00C72CA2"/>
    <w:rsid w:val="00C72CEF"/>
    <w:rsid w:val="00C72CF1"/>
    <w:rsid w:val="00C72D93"/>
    <w:rsid w:val="00C72D95"/>
    <w:rsid w:val="00C72E3E"/>
    <w:rsid w:val="00C72FF9"/>
    <w:rsid w:val="00C73046"/>
    <w:rsid w:val="00C7305F"/>
    <w:rsid w:val="00C73083"/>
    <w:rsid w:val="00C730D0"/>
    <w:rsid w:val="00C730D4"/>
    <w:rsid w:val="00C73189"/>
    <w:rsid w:val="00C731CB"/>
    <w:rsid w:val="00C731E5"/>
    <w:rsid w:val="00C731F4"/>
    <w:rsid w:val="00C733EA"/>
    <w:rsid w:val="00C73649"/>
    <w:rsid w:val="00C7364E"/>
    <w:rsid w:val="00C7371D"/>
    <w:rsid w:val="00C7371E"/>
    <w:rsid w:val="00C73784"/>
    <w:rsid w:val="00C73860"/>
    <w:rsid w:val="00C73873"/>
    <w:rsid w:val="00C738F5"/>
    <w:rsid w:val="00C73AD1"/>
    <w:rsid w:val="00C73DF5"/>
    <w:rsid w:val="00C73EAB"/>
    <w:rsid w:val="00C73EC6"/>
    <w:rsid w:val="00C740DC"/>
    <w:rsid w:val="00C74156"/>
    <w:rsid w:val="00C7432B"/>
    <w:rsid w:val="00C744B1"/>
    <w:rsid w:val="00C7477F"/>
    <w:rsid w:val="00C74858"/>
    <w:rsid w:val="00C74954"/>
    <w:rsid w:val="00C749BB"/>
    <w:rsid w:val="00C749E9"/>
    <w:rsid w:val="00C74B38"/>
    <w:rsid w:val="00C74CB2"/>
    <w:rsid w:val="00C74D8E"/>
    <w:rsid w:val="00C74F11"/>
    <w:rsid w:val="00C74F3F"/>
    <w:rsid w:val="00C74FA7"/>
    <w:rsid w:val="00C750AB"/>
    <w:rsid w:val="00C752ED"/>
    <w:rsid w:val="00C7534E"/>
    <w:rsid w:val="00C75359"/>
    <w:rsid w:val="00C7563B"/>
    <w:rsid w:val="00C75661"/>
    <w:rsid w:val="00C75686"/>
    <w:rsid w:val="00C75699"/>
    <w:rsid w:val="00C756C4"/>
    <w:rsid w:val="00C756D0"/>
    <w:rsid w:val="00C75725"/>
    <w:rsid w:val="00C7576A"/>
    <w:rsid w:val="00C757BB"/>
    <w:rsid w:val="00C75830"/>
    <w:rsid w:val="00C75886"/>
    <w:rsid w:val="00C7594F"/>
    <w:rsid w:val="00C75970"/>
    <w:rsid w:val="00C7599A"/>
    <w:rsid w:val="00C75AAE"/>
    <w:rsid w:val="00C75AC6"/>
    <w:rsid w:val="00C75B92"/>
    <w:rsid w:val="00C75C1E"/>
    <w:rsid w:val="00C75EBD"/>
    <w:rsid w:val="00C75EE3"/>
    <w:rsid w:val="00C75FAC"/>
    <w:rsid w:val="00C76055"/>
    <w:rsid w:val="00C7610B"/>
    <w:rsid w:val="00C76176"/>
    <w:rsid w:val="00C76380"/>
    <w:rsid w:val="00C763AD"/>
    <w:rsid w:val="00C76462"/>
    <w:rsid w:val="00C76716"/>
    <w:rsid w:val="00C7678F"/>
    <w:rsid w:val="00C7681B"/>
    <w:rsid w:val="00C768C8"/>
    <w:rsid w:val="00C76945"/>
    <w:rsid w:val="00C769D6"/>
    <w:rsid w:val="00C769F0"/>
    <w:rsid w:val="00C76ABB"/>
    <w:rsid w:val="00C76ABC"/>
    <w:rsid w:val="00C76B96"/>
    <w:rsid w:val="00C76CBF"/>
    <w:rsid w:val="00C76D82"/>
    <w:rsid w:val="00C76DA2"/>
    <w:rsid w:val="00C76DF4"/>
    <w:rsid w:val="00C76E03"/>
    <w:rsid w:val="00C76EDC"/>
    <w:rsid w:val="00C76FB2"/>
    <w:rsid w:val="00C77128"/>
    <w:rsid w:val="00C7716F"/>
    <w:rsid w:val="00C77376"/>
    <w:rsid w:val="00C7742D"/>
    <w:rsid w:val="00C77470"/>
    <w:rsid w:val="00C776EA"/>
    <w:rsid w:val="00C7771B"/>
    <w:rsid w:val="00C77731"/>
    <w:rsid w:val="00C7786F"/>
    <w:rsid w:val="00C778DD"/>
    <w:rsid w:val="00C77AA7"/>
    <w:rsid w:val="00C77BE7"/>
    <w:rsid w:val="00C77E5B"/>
    <w:rsid w:val="00C77F8D"/>
    <w:rsid w:val="00C8004E"/>
    <w:rsid w:val="00C80129"/>
    <w:rsid w:val="00C80153"/>
    <w:rsid w:val="00C801AC"/>
    <w:rsid w:val="00C80396"/>
    <w:rsid w:val="00C803CA"/>
    <w:rsid w:val="00C803E7"/>
    <w:rsid w:val="00C8041D"/>
    <w:rsid w:val="00C80459"/>
    <w:rsid w:val="00C8067D"/>
    <w:rsid w:val="00C80786"/>
    <w:rsid w:val="00C807CC"/>
    <w:rsid w:val="00C807F3"/>
    <w:rsid w:val="00C80819"/>
    <w:rsid w:val="00C80823"/>
    <w:rsid w:val="00C80885"/>
    <w:rsid w:val="00C80950"/>
    <w:rsid w:val="00C809D3"/>
    <w:rsid w:val="00C80A23"/>
    <w:rsid w:val="00C80A42"/>
    <w:rsid w:val="00C80C33"/>
    <w:rsid w:val="00C80C3E"/>
    <w:rsid w:val="00C80DA0"/>
    <w:rsid w:val="00C80DA6"/>
    <w:rsid w:val="00C80DBA"/>
    <w:rsid w:val="00C80DDC"/>
    <w:rsid w:val="00C80E9A"/>
    <w:rsid w:val="00C80F2C"/>
    <w:rsid w:val="00C80F59"/>
    <w:rsid w:val="00C8102D"/>
    <w:rsid w:val="00C810AB"/>
    <w:rsid w:val="00C810F0"/>
    <w:rsid w:val="00C81420"/>
    <w:rsid w:val="00C81447"/>
    <w:rsid w:val="00C815C0"/>
    <w:rsid w:val="00C815D9"/>
    <w:rsid w:val="00C8164A"/>
    <w:rsid w:val="00C8183E"/>
    <w:rsid w:val="00C8195A"/>
    <w:rsid w:val="00C81960"/>
    <w:rsid w:val="00C81995"/>
    <w:rsid w:val="00C819CF"/>
    <w:rsid w:val="00C81A6B"/>
    <w:rsid w:val="00C81CB8"/>
    <w:rsid w:val="00C81D35"/>
    <w:rsid w:val="00C81DEC"/>
    <w:rsid w:val="00C81DFF"/>
    <w:rsid w:val="00C81E13"/>
    <w:rsid w:val="00C81E36"/>
    <w:rsid w:val="00C81E38"/>
    <w:rsid w:val="00C81F88"/>
    <w:rsid w:val="00C820DD"/>
    <w:rsid w:val="00C82175"/>
    <w:rsid w:val="00C821AD"/>
    <w:rsid w:val="00C821F2"/>
    <w:rsid w:val="00C8225D"/>
    <w:rsid w:val="00C82280"/>
    <w:rsid w:val="00C822E9"/>
    <w:rsid w:val="00C8238D"/>
    <w:rsid w:val="00C823EA"/>
    <w:rsid w:val="00C8247D"/>
    <w:rsid w:val="00C82493"/>
    <w:rsid w:val="00C82528"/>
    <w:rsid w:val="00C82642"/>
    <w:rsid w:val="00C8264D"/>
    <w:rsid w:val="00C82675"/>
    <w:rsid w:val="00C82789"/>
    <w:rsid w:val="00C82841"/>
    <w:rsid w:val="00C82883"/>
    <w:rsid w:val="00C82A4F"/>
    <w:rsid w:val="00C82ABE"/>
    <w:rsid w:val="00C82C9B"/>
    <w:rsid w:val="00C82E52"/>
    <w:rsid w:val="00C82E8D"/>
    <w:rsid w:val="00C83140"/>
    <w:rsid w:val="00C83535"/>
    <w:rsid w:val="00C83544"/>
    <w:rsid w:val="00C835B7"/>
    <w:rsid w:val="00C83632"/>
    <w:rsid w:val="00C83721"/>
    <w:rsid w:val="00C83725"/>
    <w:rsid w:val="00C83779"/>
    <w:rsid w:val="00C8388B"/>
    <w:rsid w:val="00C83955"/>
    <w:rsid w:val="00C839BC"/>
    <w:rsid w:val="00C83A5B"/>
    <w:rsid w:val="00C83B3B"/>
    <w:rsid w:val="00C83B40"/>
    <w:rsid w:val="00C83BFD"/>
    <w:rsid w:val="00C83CB8"/>
    <w:rsid w:val="00C83CEA"/>
    <w:rsid w:val="00C83E61"/>
    <w:rsid w:val="00C83FED"/>
    <w:rsid w:val="00C8405E"/>
    <w:rsid w:val="00C8410E"/>
    <w:rsid w:val="00C84262"/>
    <w:rsid w:val="00C84341"/>
    <w:rsid w:val="00C84356"/>
    <w:rsid w:val="00C8442F"/>
    <w:rsid w:val="00C845E2"/>
    <w:rsid w:val="00C8474F"/>
    <w:rsid w:val="00C84B46"/>
    <w:rsid w:val="00C84BAD"/>
    <w:rsid w:val="00C84C90"/>
    <w:rsid w:val="00C84C93"/>
    <w:rsid w:val="00C84DB8"/>
    <w:rsid w:val="00C85004"/>
    <w:rsid w:val="00C850AF"/>
    <w:rsid w:val="00C85104"/>
    <w:rsid w:val="00C852F1"/>
    <w:rsid w:val="00C853AD"/>
    <w:rsid w:val="00C8540D"/>
    <w:rsid w:val="00C854C4"/>
    <w:rsid w:val="00C85533"/>
    <w:rsid w:val="00C855FB"/>
    <w:rsid w:val="00C85896"/>
    <w:rsid w:val="00C85957"/>
    <w:rsid w:val="00C85997"/>
    <w:rsid w:val="00C85ABE"/>
    <w:rsid w:val="00C85AE5"/>
    <w:rsid w:val="00C85B89"/>
    <w:rsid w:val="00C85D54"/>
    <w:rsid w:val="00C85D6F"/>
    <w:rsid w:val="00C85DB8"/>
    <w:rsid w:val="00C85DD0"/>
    <w:rsid w:val="00C85E85"/>
    <w:rsid w:val="00C86108"/>
    <w:rsid w:val="00C861C7"/>
    <w:rsid w:val="00C86405"/>
    <w:rsid w:val="00C86406"/>
    <w:rsid w:val="00C86433"/>
    <w:rsid w:val="00C86458"/>
    <w:rsid w:val="00C86461"/>
    <w:rsid w:val="00C86639"/>
    <w:rsid w:val="00C8668B"/>
    <w:rsid w:val="00C8681B"/>
    <w:rsid w:val="00C868B8"/>
    <w:rsid w:val="00C868E1"/>
    <w:rsid w:val="00C8691D"/>
    <w:rsid w:val="00C8697A"/>
    <w:rsid w:val="00C86CC5"/>
    <w:rsid w:val="00C86D33"/>
    <w:rsid w:val="00C86D3C"/>
    <w:rsid w:val="00C86D76"/>
    <w:rsid w:val="00C86DD6"/>
    <w:rsid w:val="00C86DE8"/>
    <w:rsid w:val="00C86E0A"/>
    <w:rsid w:val="00C86F21"/>
    <w:rsid w:val="00C86F97"/>
    <w:rsid w:val="00C86FB3"/>
    <w:rsid w:val="00C86FB5"/>
    <w:rsid w:val="00C87081"/>
    <w:rsid w:val="00C871A9"/>
    <w:rsid w:val="00C871FC"/>
    <w:rsid w:val="00C8720E"/>
    <w:rsid w:val="00C87225"/>
    <w:rsid w:val="00C872AD"/>
    <w:rsid w:val="00C872DB"/>
    <w:rsid w:val="00C8732F"/>
    <w:rsid w:val="00C87495"/>
    <w:rsid w:val="00C87655"/>
    <w:rsid w:val="00C879B9"/>
    <w:rsid w:val="00C879EE"/>
    <w:rsid w:val="00C87AAA"/>
    <w:rsid w:val="00C87B5B"/>
    <w:rsid w:val="00C87BDF"/>
    <w:rsid w:val="00C87D7B"/>
    <w:rsid w:val="00C87DFA"/>
    <w:rsid w:val="00C87EA1"/>
    <w:rsid w:val="00C87F71"/>
    <w:rsid w:val="00C900E2"/>
    <w:rsid w:val="00C90136"/>
    <w:rsid w:val="00C903DD"/>
    <w:rsid w:val="00C904B8"/>
    <w:rsid w:val="00C904C7"/>
    <w:rsid w:val="00C904CC"/>
    <w:rsid w:val="00C9054A"/>
    <w:rsid w:val="00C905A6"/>
    <w:rsid w:val="00C905DE"/>
    <w:rsid w:val="00C906A6"/>
    <w:rsid w:val="00C9076E"/>
    <w:rsid w:val="00C9077D"/>
    <w:rsid w:val="00C907CF"/>
    <w:rsid w:val="00C90860"/>
    <w:rsid w:val="00C90A3C"/>
    <w:rsid w:val="00C90B37"/>
    <w:rsid w:val="00C90B5D"/>
    <w:rsid w:val="00C90B89"/>
    <w:rsid w:val="00C90C1C"/>
    <w:rsid w:val="00C90C9A"/>
    <w:rsid w:val="00C90D1E"/>
    <w:rsid w:val="00C90DBC"/>
    <w:rsid w:val="00C90E07"/>
    <w:rsid w:val="00C90E12"/>
    <w:rsid w:val="00C90E7F"/>
    <w:rsid w:val="00C90ED9"/>
    <w:rsid w:val="00C90EE0"/>
    <w:rsid w:val="00C90F16"/>
    <w:rsid w:val="00C90F45"/>
    <w:rsid w:val="00C91082"/>
    <w:rsid w:val="00C9136D"/>
    <w:rsid w:val="00C91424"/>
    <w:rsid w:val="00C91579"/>
    <w:rsid w:val="00C915AC"/>
    <w:rsid w:val="00C91603"/>
    <w:rsid w:val="00C9189E"/>
    <w:rsid w:val="00C9191E"/>
    <w:rsid w:val="00C91945"/>
    <w:rsid w:val="00C91993"/>
    <w:rsid w:val="00C91B28"/>
    <w:rsid w:val="00C91C77"/>
    <w:rsid w:val="00C91CD3"/>
    <w:rsid w:val="00C91E77"/>
    <w:rsid w:val="00C9200F"/>
    <w:rsid w:val="00C920FF"/>
    <w:rsid w:val="00C92144"/>
    <w:rsid w:val="00C921EA"/>
    <w:rsid w:val="00C922C2"/>
    <w:rsid w:val="00C922D5"/>
    <w:rsid w:val="00C92351"/>
    <w:rsid w:val="00C92377"/>
    <w:rsid w:val="00C923C2"/>
    <w:rsid w:val="00C923F6"/>
    <w:rsid w:val="00C92415"/>
    <w:rsid w:val="00C9244A"/>
    <w:rsid w:val="00C925CB"/>
    <w:rsid w:val="00C925FE"/>
    <w:rsid w:val="00C92722"/>
    <w:rsid w:val="00C927EB"/>
    <w:rsid w:val="00C92812"/>
    <w:rsid w:val="00C92C13"/>
    <w:rsid w:val="00C92E44"/>
    <w:rsid w:val="00C930F2"/>
    <w:rsid w:val="00C93276"/>
    <w:rsid w:val="00C932F7"/>
    <w:rsid w:val="00C93327"/>
    <w:rsid w:val="00C933F0"/>
    <w:rsid w:val="00C933F3"/>
    <w:rsid w:val="00C93433"/>
    <w:rsid w:val="00C934E9"/>
    <w:rsid w:val="00C93596"/>
    <w:rsid w:val="00C935CF"/>
    <w:rsid w:val="00C935D6"/>
    <w:rsid w:val="00C93886"/>
    <w:rsid w:val="00C938C7"/>
    <w:rsid w:val="00C938E5"/>
    <w:rsid w:val="00C9395A"/>
    <w:rsid w:val="00C93976"/>
    <w:rsid w:val="00C939B9"/>
    <w:rsid w:val="00C93A1D"/>
    <w:rsid w:val="00C93A72"/>
    <w:rsid w:val="00C93AEA"/>
    <w:rsid w:val="00C93C2B"/>
    <w:rsid w:val="00C93C73"/>
    <w:rsid w:val="00C93D3C"/>
    <w:rsid w:val="00C942EE"/>
    <w:rsid w:val="00C94433"/>
    <w:rsid w:val="00C9447F"/>
    <w:rsid w:val="00C94503"/>
    <w:rsid w:val="00C948E9"/>
    <w:rsid w:val="00C9497E"/>
    <w:rsid w:val="00C94996"/>
    <w:rsid w:val="00C94A10"/>
    <w:rsid w:val="00C94AB2"/>
    <w:rsid w:val="00C94BA4"/>
    <w:rsid w:val="00C94C75"/>
    <w:rsid w:val="00C94CC2"/>
    <w:rsid w:val="00C94D42"/>
    <w:rsid w:val="00C94D51"/>
    <w:rsid w:val="00C94D9A"/>
    <w:rsid w:val="00C94F19"/>
    <w:rsid w:val="00C94FD4"/>
    <w:rsid w:val="00C950FE"/>
    <w:rsid w:val="00C95162"/>
    <w:rsid w:val="00C9530D"/>
    <w:rsid w:val="00C95336"/>
    <w:rsid w:val="00C95846"/>
    <w:rsid w:val="00C9584E"/>
    <w:rsid w:val="00C95951"/>
    <w:rsid w:val="00C959DD"/>
    <w:rsid w:val="00C95A0D"/>
    <w:rsid w:val="00C95A57"/>
    <w:rsid w:val="00C95B0F"/>
    <w:rsid w:val="00C95B6F"/>
    <w:rsid w:val="00C95CB1"/>
    <w:rsid w:val="00C95D40"/>
    <w:rsid w:val="00C95D4F"/>
    <w:rsid w:val="00C95E0E"/>
    <w:rsid w:val="00C95EB5"/>
    <w:rsid w:val="00C95F0A"/>
    <w:rsid w:val="00C95F8B"/>
    <w:rsid w:val="00C9618A"/>
    <w:rsid w:val="00C96294"/>
    <w:rsid w:val="00C96329"/>
    <w:rsid w:val="00C9640B"/>
    <w:rsid w:val="00C9653B"/>
    <w:rsid w:val="00C965DA"/>
    <w:rsid w:val="00C96684"/>
    <w:rsid w:val="00C9693E"/>
    <w:rsid w:val="00C969C3"/>
    <w:rsid w:val="00C96C7F"/>
    <w:rsid w:val="00C96E01"/>
    <w:rsid w:val="00C96E7E"/>
    <w:rsid w:val="00C96EEE"/>
    <w:rsid w:val="00C96F5C"/>
    <w:rsid w:val="00C96F5E"/>
    <w:rsid w:val="00C96FC4"/>
    <w:rsid w:val="00C9703D"/>
    <w:rsid w:val="00C97054"/>
    <w:rsid w:val="00C970D3"/>
    <w:rsid w:val="00C970E7"/>
    <w:rsid w:val="00C97171"/>
    <w:rsid w:val="00C971AA"/>
    <w:rsid w:val="00C9728B"/>
    <w:rsid w:val="00C974CE"/>
    <w:rsid w:val="00C9753D"/>
    <w:rsid w:val="00C97781"/>
    <w:rsid w:val="00C977AE"/>
    <w:rsid w:val="00C977D0"/>
    <w:rsid w:val="00C977DC"/>
    <w:rsid w:val="00C97856"/>
    <w:rsid w:val="00C97A15"/>
    <w:rsid w:val="00C97A73"/>
    <w:rsid w:val="00C97A78"/>
    <w:rsid w:val="00C97AE6"/>
    <w:rsid w:val="00C97AEA"/>
    <w:rsid w:val="00C97B50"/>
    <w:rsid w:val="00C97BC3"/>
    <w:rsid w:val="00C97C18"/>
    <w:rsid w:val="00C97C1A"/>
    <w:rsid w:val="00C97C57"/>
    <w:rsid w:val="00C97CA3"/>
    <w:rsid w:val="00C97D14"/>
    <w:rsid w:val="00C97D6F"/>
    <w:rsid w:val="00C97E74"/>
    <w:rsid w:val="00C97E77"/>
    <w:rsid w:val="00C97F9E"/>
    <w:rsid w:val="00CA000C"/>
    <w:rsid w:val="00CA003B"/>
    <w:rsid w:val="00CA00AB"/>
    <w:rsid w:val="00CA00F1"/>
    <w:rsid w:val="00CA00FA"/>
    <w:rsid w:val="00CA0196"/>
    <w:rsid w:val="00CA01B4"/>
    <w:rsid w:val="00CA0249"/>
    <w:rsid w:val="00CA0334"/>
    <w:rsid w:val="00CA038F"/>
    <w:rsid w:val="00CA03A9"/>
    <w:rsid w:val="00CA03C4"/>
    <w:rsid w:val="00CA045D"/>
    <w:rsid w:val="00CA0585"/>
    <w:rsid w:val="00CA0659"/>
    <w:rsid w:val="00CA06DF"/>
    <w:rsid w:val="00CA0944"/>
    <w:rsid w:val="00CA0998"/>
    <w:rsid w:val="00CA0C89"/>
    <w:rsid w:val="00CA0F80"/>
    <w:rsid w:val="00CA0FBA"/>
    <w:rsid w:val="00CA1029"/>
    <w:rsid w:val="00CA117D"/>
    <w:rsid w:val="00CA11DA"/>
    <w:rsid w:val="00CA1248"/>
    <w:rsid w:val="00CA1378"/>
    <w:rsid w:val="00CA1385"/>
    <w:rsid w:val="00CA1453"/>
    <w:rsid w:val="00CA14F4"/>
    <w:rsid w:val="00CA1543"/>
    <w:rsid w:val="00CA16AB"/>
    <w:rsid w:val="00CA1762"/>
    <w:rsid w:val="00CA1B35"/>
    <w:rsid w:val="00CA1C05"/>
    <w:rsid w:val="00CA1CEF"/>
    <w:rsid w:val="00CA1DF7"/>
    <w:rsid w:val="00CA1F63"/>
    <w:rsid w:val="00CA1FFC"/>
    <w:rsid w:val="00CA201C"/>
    <w:rsid w:val="00CA21A0"/>
    <w:rsid w:val="00CA22B3"/>
    <w:rsid w:val="00CA22FC"/>
    <w:rsid w:val="00CA230B"/>
    <w:rsid w:val="00CA24BE"/>
    <w:rsid w:val="00CA24C4"/>
    <w:rsid w:val="00CA2659"/>
    <w:rsid w:val="00CA26BB"/>
    <w:rsid w:val="00CA28B0"/>
    <w:rsid w:val="00CA2965"/>
    <w:rsid w:val="00CA2A0A"/>
    <w:rsid w:val="00CA2BC2"/>
    <w:rsid w:val="00CA2BDA"/>
    <w:rsid w:val="00CA2E51"/>
    <w:rsid w:val="00CA30A9"/>
    <w:rsid w:val="00CA30B4"/>
    <w:rsid w:val="00CA32A3"/>
    <w:rsid w:val="00CA3303"/>
    <w:rsid w:val="00CA33C2"/>
    <w:rsid w:val="00CA33FB"/>
    <w:rsid w:val="00CA3400"/>
    <w:rsid w:val="00CA349B"/>
    <w:rsid w:val="00CA34CD"/>
    <w:rsid w:val="00CA3516"/>
    <w:rsid w:val="00CA35F5"/>
    <w:rsid w:val="00CA36FB"/>
    <w:rsid w:val="00CA3800"/>
    <w:rsid w:val="00CA38D2"/>
    <w:rsid w:val="00CA39F5"/>
    <w:rsid w:val="00CA3B48"/>
    <w:rsid w:val="00CA3B71"/>
    <w:rsid w:val="00CA3DB8"/>
    <w:rsid w:val="00CA3DF9"/>
    <w:rsid w:val="00CA3E22"/>
    <w:rsid w:val="00CA3E44"/>
    <w:rsid w:val="00CA3E87"/>
    <w:rsid w:val="00CA3F90"/>
    <w:rsid w:val="00CA3FDC"/>
    <w:rsid w:val="00CA4026"/>
    <w:rsid w:val="00CA4041"/>
    <w:rsid w:val="00CA4065"/>
    <w:rsid w:val="00CA40E2"/>
    <w:rsid w:val="00CA4304"/>
    <w:rsid w:val="00CA43C2"/>
    <w:rsid w:val="00CA442C"/>
    <w:rsid w:val="00CA443D"/>
    <w:rsid w:val="00CA451E"/>
    <w:rsid w:val="00CA4568"/>
    <w:rsid w:val="00CA4665"/>
    <w:rsid w:val="00CA46C0"/>
    <w:rsid w:val="00CA4738"/>
    <w:rsid w:val="00CA4838"/>
    <w:rsid w:val="00CA48AA"/>
    <w:rsid w:val="00CA48CA"/>
    <w:rsid w:val="00CA4975"/>
    <w:rsid w:val="00CA4CC6"/>
    <w:rsid w:val="00CA4E1C"/>
    <w:rsid w:val="00CA4EF8"/>
    <w:rsid w:val="00CA4F1B"/>
    <w:rsid w:val="00CA4F71"/>
    <w:rsid w:val="00CA4F9A"/>
    <w:rsid w:val="00CA51D8"/>
    <w:rsid w:val="00CA5268"/>
    <w:rsid w:val="00CA5523"/>
    <w:rsid w:val="00CA5679"/>
    <w:rsid w:val="00CA5692"/>
    <w:rsid w:val="00CA580B"/>
    <w:rsid w:val="00CA587C"/>
    <w:rsid w:val="00CA58C1"/>
    <w:rsid w:val="00CA59FB"/>
    <w:rsid w:val="00CA5AC9"/>
    <w:rsid w:val="00CA5B7B"/>
    <w:rsid w:val="00CA5C58"/>
    <w:rsid w:val="00CA5C6D"/>
    <w:rsid w:val="00CA5CF4"/>
    <w:rsid w:val="00CA5DFE"/>
    <w:rsid w:val="00CA5F7E"/>
    <w:rsid w:val="00CA603B"/>
    <w:rsid w:val="00CA6092"/>
    <w:rsid w:val="00CA6290"/>
    <w:rsid w:val="00CA6295"/>
    <w:rsid w:val="00CA62E0"/>
    <w:rsid w:val="00CA63EE"/>
    <w:rsid w:val="00CA646A"/>
    <w:rsid w:val="00CA6513"/>
    <w:rsid w:val="00CA658B"/>
    <w:rsid w:val="00CA65A6"/>
    <w:rsid w:val="00CA6662"/>
    <w:rsid w:val="00CA6883"/>
    <w:rsid w:val="00CA69A4"/>
    <w:rsid w:val="00CA6BF1"/>
    <w:rsid w:val="00CA6CF6"/>
    <w:rsid w:val="00CA6D2A"/>
    <w:rsid w:val="00CA6E37"/>
    <w:rsid w:val="00CA6E53"/>
    <w:rsid w:val="00CA6E64"/>
    <w:rsid w:val="00CA6E85"/>
    <w:rsid w:val="00CA6FAA"/>
    <w:rsid w:val="00CA70F6"/>
    <w:rsid w:val="00CA71B8"/>
    <w:rsid w:val="00CA72CF"/>
    <w:rsid w:val="00CA7440"/>
    <w:rsid w:val="00CA7507"/>
    <w:rsid w:val="00CA763A"/>
    <w:rsid w:val="00CA7663"/>
    <w:rsid w:val="00CA7690"/>
    <w:rsid w:val="00CA79B8"/>
    <w:rsid w:val="00CA7A03"/>
    <w:rsid w:val="00CA7A44"/>
    <w:rsid w:val="00CA7A6E"/>
    <w:rsid w:val="00CA7A7B"/>
    <w:rsid w:val="00CA7B54"/>
    <w:rsid w:val="00CA7C01"/>
    <w:rsid w:val="00CA7CC8"/>
    <w:rsid w:val="00CA7CF9"/>
    <w:rsid w:val="00CA7DB6"/>
    <w:rsid w:val="00CA7E42"/>
    <w:rsid w:val="00CA7EEC"/>
    <w:rsid w:val="00CB0018"/>
    <w:rsid w:val="00CB004E"/>
    <w:rsid w:val="00CB0077"/>
    <w:rsid w:val="00CB0128"/>
    <w:rsid w:val="00CB02A4"/>
    <w:rsid w:val="00CB02AB"/>
    <w:rsid w:val="00CB0618"/>
    <w:rsid w:val="00CB0667"/>
    <w:rsid w:val="00CB0695"/>
    <w:rsid w:val="00CB06C3"/>
    <w:rsid w:val="00CB0B33"/>
    <w:rsid w:val="00CB0E97"/>
    <w:rsid w:val="00CB0FB7"/>
    <w:rsid w:val="00CB1006"/>
    <w:rsid w:val="00CB103F"/>
    <w:rsid w:val="00CB1052"/>
    <w:rsid w:val="00CB119B"/>
    <w:rsid w:val="00CB1335"/>
    <w:rsid w:val="00CB1338"/>
    <w:rsid w:val="00CB141A"/>
    <w:rsid w:val="00CB1585"/>
    <w:rsid w:val="00CB15B2"/>
    <w:rsid w:val="00CB15E3"/>
    <w:rsid w:val="00CB1637"/>
    <w:rsid w:val="00CB1660"/>
    <w:rsid w:val="00CB1707"/>
    <w:rsid w:val="00CB17D6"/>
    <w:rsid w:val="00CB17DA"/>
    <w:rsid w:val="00CB1940"/>
    <w:rsid w:val="00CB1943"/>
    <w:rsid w:val="00CB1964"/>
    <w:rsid w:val="00CB19FE"/>
    <w:rsid w:val="00CB1A5E"/>
    <w:rsid w:val="00CB1AC5"/>
    <w:rsid w:val="00CB1BA2"/>
    <w:rsid w:val="00CB1BED"/>
    <w:rsid w:val="00CB1CAC"/>
    <w:rsid w:val="00CB1DDB"/>
    <w:rsid w:val="00CB1E53"/>
    <w:rsid w:val="00CB1F78"/>
    <w:rsid w:val="00CB1FCC"/>
    <w:rsid w:val="00CB2158"/>
    <w:rsid w:val="00CB2309"/>
    <w:rsid w:val="00CB2407"/>
    <w:rsid w:val="00CB2452"/>
    <w:rsid w:val="00CB258D"/>
    <w:rsid w:val="00CB25DB"/>
    <w:rsid w:val="00CB265B"/>
    <w:rsid w:val="00CB279D"/>
    <w:rsid w:val="00CB288D"/>
    <w:rsid w:val="00CB2941"/>
    <w:rsid w:val="00CB2958"/>
    <w:rsid w:val="00CB2AFC"/>
    <w:rsid w:val="00CB2B30"/>
    <w:rsid w:val="00CB2B34"/>
    <w:rsid w:val="00CB2B3F"/>
    <w:rsid w:val="00CB2CE2"/>
    <w:rsid w:val="00CB2CFB"/>
    <w:rsid w:val="00CB2DC8"/>
    <w:rsid w:val="00CB2ED9"/>
    <w:rsid w:val="00CB2FA4"/>
    <w:rsid w:val="00CB2FDD"/>
    <w:rsid w:val="00CB3029"/>
    <w:rsid w:val="00CB3065"/>
    <w:rsid w:val="00CB3138"/>
    <w:rsid w:val="00CB3211"/>
    <w:rsid w:val="00CB321C"/>
    <w:rsid w:val="00CB327D"/>
    <w:rsid w:val="00CB3282"/>
    <w:rsid w:val="00CB33BD"/>
    <w:rsid w:val="00CB33E2"/>
    <w:rsid w:val="00CB3449"/>
    <w:rsid w:val="00CB34F6"/>
    <w:rsid w:val="00CB366D"/>
    <w:rsid w:val="00CB36A7"/>
    <w:rsid w:val="00CB36C9"/>
    <w:rsid w:val="00CB378F"/>
    <w:rsid w:val="00CB380B"/>
    <w:rsid w:val="00CB3852"/>
    <w:rsid w:val="00CB3A49"/>
    <w:rsid w:val="00CB3BEB"/>
    <w:rsid w:val="00CB3BEC"/>
    <w:rsid w:val="00CB3C69"/>
    <w:rsid w:val="00CB3D15"/>
    <w:rsid w:val="00CB3DB4"/>
    <w:rsid w:val="00CB4042"/>
    <w:rsid w:val="00CB42B8"/>
    <w:rsid w:val="00CB4356"/>
    <w:rsid w:val="00CB43E5"/>
    <w:rsid w:val="00CB4431"/>
    <w:rsid w:val="00CB44D7"/>
    <w:rsid w:val="00CB4500"/>
    <w:rsid w:val="00CB4504"/>
    <w:rsid w:val="00CB474E"/>
    <w:rsid w:val="00CB48AA"/>
    <w:rsid w:val="00CB48E3"/>
    <w:rsid w:val="00CB498A"/>
    <w:rsid w:val="00CB4A9D"/>
    <w:rsid w:val="00CB4EE8"/>
    <w:rsid w:val="00CB4FF7"/>
    <w:rsid w:val="00CB50EA"/>
    <w:rsid w:val="00CB52B9"/>
    <w:rsid w:val="00CB540E"/>
    <w:rsid w:val="00CB547D"/>
    <w:rsid w:val="00CB5545"/>
    <w:rsid w:val="00CB563E"/>
    <w:rsid w:val="00CB5653"/>
    <w:rsid w:val="00CB56DF"/>
    <w:rsid w:val="00CB56E2"/>
    <w:rsid w:val="00CB57E5"/>
    <w:rsid w:val="00CB5841"/>
    <w:rsid w:val="00CB58DB"/>
    <w:rsid w:val="00CB5996"/>
    <w:rsid w:val="00CB59FC"/>
    <w:rsid w:val="00CB5B70"/>
    <w:rsid w:val="00CB5BF8"/>
    <w:rsid w:val="00CB5C9A"/>
    <w:rsid w:val="00CB5D10"/>
    <w:rsid w:val="00CB5D2B"/>
    <w:rsid w:val="00CB5E63"/>
    <w:rsid w:val="00CB5F4D"/>
    <w:rsid w:val="00CB5F65"/>
    <w:rsid w:val="00CB6163"/>
    <w:rsid w:val="00CB61E2"/>
    <w:rsid w:val="00CB6249"/>
    <w:rsid w:val="00CB6289"/>
    <w:rsid w:val="00CB63E3"/>
    <w:rsid w:val="00CB64B5"/>
    <w:rsid w:val="00CB653F"/>
    <w:rsid w:val="00CB659B"/>
    <w:rsid w:val="00CB6669"/>
    <w:rsid w:val="00CB67E9"/>
    <w:rsid w:val="00CB67F1"/>
    <w:rsid w:val="00CB6801"/>
    <w:rsid w:val="00CB6877"/>
    <w:rsid w:val="00CB68B8"/>
    <w:rsid w:val="00CB6A4A"/>
    <w:rsid w:val="00CB6AD6"/>
    <w:rsid w:val="00CB6B26"/>
    <w:rsid w:val="00CB6B96"/>
    <w:rsid w:val="00CB6C10"/>
    <w:rsid w:val="00CB6C8B"/>
    <w:rsid w:val="00CB6D13"/>
    <w:rsid w:val="00CB6F2B"/>
    <w:rsid w:val="00CB70BF"/>
    <w:rsid w:val="00CB71BB"/>
    <w:rsid w:val="00CB7213"/>
    <w:rsid w:val="00CB7261"/>
    <w:rsid w:val="00CB72D1"/>
    <w:rsid w:val="00CB73E3"/>
    <w:rsid w:val="00CB7555"/>
    <w:rsid w:val="00CB760E"/>
    <w:rsid w:val="00CB7766"/>
    <w:rsid w:val="00CB7828"/>
    <w:rsid w:val="00CB782B"/>
    <w:rsid w:val="00CB7865"/>
    <w:rsid w:val="00CB7880"/>
    <w:rsid w:val="00CB78E4"/>
    <w:rsid w:val="00CB7956"/>
    <w:rsid w:val="00CB7AE0"/>
    <w:rsid w:val="00CB7C5C"/>
    <w:rsid w:val="00CB7D42"/>
    <w:rsid w:val="00CB7ED6"/>
    <w:rsid w:val="00CB7FE0"/>
    <w:rsid w:val="00CB7FF4"/>
    <w:rsid w:val="00CB7FF5"/>
    <w:rsid w:val="00CC0046"/>
    <w:rsid w:val="00CC0132"/>
    <w:rsid w:val="00CC02AB"/>
    <w:rsid w:val="00CC03A1"/>
    <w:rsid w:val="00CC03FC"/>
    <w:rsid w:val="00CC0439"/>
    <w:rsid w:val="00CC0490"/>
    <w:rsid w:val="00CC0498"/>
    <w:rsid w:val="00CC05E6"/>
    <w:rsid w:val="00CC0662"/>
    <w:rsid w:val="00CC0694"/>
    <w:rsid w:val="00CC06EB"/>
    <w:rsid w:val="00CC07E2"/>
    <w:rsid w:val="00CC0860"/>
    <w:rsid w:val="00CC087F"/>
    <w:rsid w:val="00CC088A"/>
    <w:rsid w:val="00CC0A63"/>
    <w:rsid w:val="00CC0C01"/>
    <w:rsid w:val="00CC0D00"/>
    <w:rsid w:val="00CC0DA9"/>
    <w:rsid w:val="00CC0E0D"/>
    <w:rsid w:val="00CC0FDB"/>
    <w:rsid w:val="00CC10EE"/>
    <w:rsid w:val="00CC1118"/>
    <w:rsid w:val="00CC11B7"/>
    <w:rsid w:val="00CC124A"/>
    <w:rsid w:val="00CC129B"/>
    <w:rsid w:val="00CC12C9"/>
    <w:rsid w:val="00CC13BC"/>
    <w:rsid w:val="00CC1541"/>
    <w:rsid w:val="00CC1542"/>
    <w:rsid w:val="00CC159A"/>
    <w:rsid w:val="00CC15E5"/>
    <w:rsid w:val="00CC1638"/>
    <w:rsid w:val="00CC165C"/>
    <w:rsid w:val="00CC189D"/>
    <w:rsid w:val="00CC18A5"/>
    <w:rsid w:val="00CC1A61"/>
    <w:rsid w:val="00CC1A9C"/>
    <w:rsid w:val="00CC1BDB"/>
    <w:rsid w:val="00CC1C1C"/>
    <w:rsid w:val="00CC1C2A"/>
    <w:rsid w:val="00CC1D26"/>
    <w:rsid w:val="00CC1D5B"/>
    <w:rsid w:val="00CC1DF3"/>
    <w:rsid w:val="00CC1F5C"/>
    <w:rsid w:val="00CC2045"/>
    <w:rsid w:val="00CC20DE"/>
    <w:rsid w:val="00CC2232"/>
    <w:rsid w:val="00CC2368"/>
    <w:rsid w:val="00CC249B"/>
    <w:rsid w:val="00CC27C6"/>
    <w:rsid w:val="00CC2895"/>
    <w:rsid w:val="00CC2B0D"/>
    <w:rsid w:val="00CC2B35"/>
    <w:rsid w:val="00CC2B77"/>
    <w:rsid w:val="00CC2C34"/>
    <w:rsid w:val="00CC2C4D"/>
    <w:rsid w:val="00CC2CCD"/>
    <w:rsid w:val="00CC2D18"/>
    <w:rsid w:val="00CC2D2F"/>
    <w:rsid w:val="00CC2E6B"/>
    <w:rsid w:val="00CC2F11"/>
    <w:rsid w:val="00CC2FC1"/>
    <w:rsid w:val="00CC30BF"/>
    <w:rsid w:val="00CC310E"/>
    <w:rsid w:val="00CC322B"/>
    <w:rsid w:val="00CC323E"/>
    <w:rsid w:val="00CC334B"/>
    <w:rsid w:val="00CC340A"/>
    <w:rsid w:val="00CC3426"/>
    <w:rsid w:val="00CC3638"/>
    <w:rsid w:val="00CC377C"/>
    <w:rsid w:val="00CC383E"/>
    <w:rsid w:val="00CC38C8"/>
    <w:rsid w:val="00CC3A03"/>
    <w:rsid w:val="00CC3AD7"/>
    <w:rsid w:val="00CC3C34"/>
    <w:rsid w:val="00CC3C5B"/>
    <w:rsid w:val="00CC3C67"/>
    <w:rsid w:val="00CC3D0F"/>
    <w:rsid w:val="00CC3D46"/>
    <w:rsid w:val="00CC3D53"/>
    <w:rsid w:val="00CC3EAE"/>
    <w:rsid w:val="00CC40B7"/>
    <w:rsid w:val="00CC410A"/>
    <w:rsid w:val="00CC4199"/>
    <w:rsid w:val="00CC419C"/>
    <w:rsid w:val="00CC4219"/>
    <w:rsid w:val="00CC4249"/>
    <w:rsid w:val="00CC42F0"/>
    <w:rsid w:val="00CC4527"/>
    <w:rsid w:val="00CC4600"/>
    <w:rsid w:val="00CC4634"/>
    <w:rsid w:val="00CC4688"/>
    <w:rsid w:val="00CC4720"/>
    <w:rsid w:val="00CC475C"/>
    <w:rsid w:val="00CC477C"/>
    <w:rsid w:val="00CC4781"/>
    <w:rsid w:val="00CC492A"/>
    <w:rsid w:val="00CC4C51"/>
    <w:rsid w:val="00CC4F1F"/>
    <w:rsid w:val="00CC4FD3"/>
    <w:rsid w:val="00CC514D"/>
    <w:rsid w:val="00CC5282"/>
    <w:rsid w:val="00CC543F"/>
    <w:rsid w:val="00CC5493"/>
    <w:rsid w:val="00CC54AC"/>
    <w:rsid w:val="00CC557A"/>
    <w:rsid w:val="00CC56D3"/>
    <w:rsid w:val="00CC58DB"/>
    <w:rsid w:val="00CC5967"/>
    <w:rsid w:val="00CC596E"/>
    <w:rsid w:val="00CC59D6"/>
    <w:rsid w:val="00CC5A1D"/>
    <w:rsid w:val="00CC5CB9"/>
    <w:rsid w:val="00CC5D33"/>
    <w:rsid w:val="00CC5E1B"/>
    <w:rsid w:val="00CC5EA0"/>
    <w:rsid w:val="00CC5EDD"/>
    <w:rsid w:val="00CC5FE5"/>
    <w:rsid w:val="00CC62D5"/>
    <w:rsid w:val="00CC6649"/>
    <w:rsid w:val="00CC675F"/>
    <w:rsid w:val="00CC6774"/>
    <w:rsid w:val="00CC692C"/>
    <w:rsid w:val="00CC693C"/>
    <w:rsid w:val="00CC699E"/>
    <w:rsid w:val="00CC6AAF"/>
    <w:rsid w:val="00CC6B62"/>
    <w:rsid w:val="00CC6C84"/>
    <w:rsid w:val="00CC6C97"/>
    <w:rsid w:val="00CC6D22"/>
    <w:rsid w:val="00CC6D7D"/>
    <w:rsid w:val="00CC6EF1"/>
    <w:rsid w:val="00CC6FFC"/>
    <w:rsid w:val="00CC7054"/>
    <w:rsid w:val="00CC70D9"/>
    <w:rsid w:val="00CC7208"/>
    <w:rsid w:val="00CC744B"/>
    <w:rsid w:val="00CC7564"/>
    <w:rsid w:val="00CC757E"/>
    <w:rsid w:val="00CC759D"/>
    <w:rsid w:val="00CC75D6"/>
    <w:rsid w:val="00CC76B2"/>
    <w:rsid w:val="00CC771A"/>
    <w:rsid w:val="00CC7812"/>
    <w:rsid w:val="00CC7839"/>
    <w:rsid w:val="00CC78CA"/>
    <w:rsid w:val="00CC7A91"/>
    <w:rsid w:val="00CC7ACD"/>
    <w:rsid w:val="00CC7B58"/>
    <w:rsid w:val="00CC7C0F"/>
    <w:rsid w:val="00CC7CCB"/>
    <w:rsid w:val="00CC7D11"/>
    <w:rsid w:val="00CC7E63"/>
    <w:rsid w:val="00CC7F6E"/>
    <w:rsid w:val="00CC7FA7"/>
    <w:rsid w:val="00CD002C"/>
    <w:rsid w:val="00CD019E"/>
    <w:rsid w:val="00CD01D6"/>
    <w:rsid w:val="00CD0261"/>
    <w:rsid w:val="00CD02B0"/>
    <w:rsid w:val="00CD0463"/>
    <w:rsid w:val="00CD04C0"/>
    <w:rsid w:val="00CD0555"/>
    <w:rsid w:val="00CD063E"/>
    <w:rsid w:val="00CD071B"/>
    <w:rsid w:val="00CD0748"/>
    <w:rsid w:val="00CD07EE"/>
    <w:rsid w:val="00CD0848"/>
    <w:rsid w:val="00CD08A4"/>
    <w:rsid w:val="00CD0A86"/>
    <w:rsid w:val="00CD0ABA"/>
    <w:rsid w:val="00CD0B34"/>
    <w:rsid w:val="00CD0B3E"/>
    <w:rsid w:val="00CD0CE1"/>
    <w:rsid w:val="00CD0F05"/>
    <w:rsid w:val="00CD0F4E"/>
    <w:rsid w:val="00CD0FD0"/>
    <w:rsid w:val="00CD1073"/>
    <w:rsid w:val="00CD108E"/>
    <w:rsid w:val="00CD1290"/>
    <w:rsid w:val="00CD1389"/>
    <w:rsid w:val="00CD1494"/>
    <w:rsid w:val="00CD14B8"/>
    <w:rsid w:val="00CD17C3"/>
    <w:rsid w:val="00CD17C7"/>
    <w:rsid w:val="00CD17E7"/>
    <w:rsid w:val="00CD1A96"/>
    <w:rsid w:val="00CD1C1E"/>
    <w:rsid w:val="00CD1D4E"/>
    <w:rsid w:val="00CD1D95"/>
    <w:rsid w:val="00CD20DA"/>
    <w:rsid w:val="00CD2140"/>
    <w:rsid w:val="00CD229B"/>
    <w:rsid w:val="00CD240E"/>
    <w:rsid w:val="00CD2506"/>
    <w:rsid w:val="00CD2587"/>
    <w:rsid w:val="00CD25FC"/>
    <w:rsid w:val="00CD2609"/>
    <w:rsid w:val="00CD2647"/>
    <w:rsid w:val="00CD264F"/>
    <w:rsid w:val="00CD26F1"/>
    <w:rsid w:val="00CD2756"/>
    <w:rsid w:val="00CD2763"/>
    <w:rsid w:val="00CD2821"/>
    <w:rsid w:val="00CD283B"/>
    <w:rsid w:val="00CD2854"/>
    <w:rsid w:val="00CD2890"/>
    <w:rsid w:val="00CD2894"/>
    <w:rsid w:val="00CD2908"/>
    <w:rsid w:val="00CD290D"/>
    <w:rsid w:val="00CD2917"/>
    <w:rsid w:val="00CD293A"/>
    <w:rsid w:val="00CD2949"/>
    <w:rsid w:val="00CD2AD7"/>
    <w:rsid w:val="00CD2AEB"/>
    <w:rsid w:val="00CD2B86"/>
    <w:rsid w:val="00CD2CEC"/>
    <w:rsid w:val="00CD2D78"/>
    <w:rsid w:val="00CD2E9A"/>
    <w:rsid w:val="00CD2EC5"/>
    <w:rsid w:val="00CD309D"/>
    <w:rsid w:val="00CD3345"/>
    <w:rsid w:val="00CD336A"/>
    <w:rsid w:val="00CD34DF"/>
    <w:rsid w:val="00CD352C"/>
    <w:rsid w:val="00CD3660"/>
    <w:rsid w:val="00CD366C"/>
    <w:rsid w:val="00CD36A9"/>
    <w:rsid w:val="00CD36AA"/>
    <w:rsid w:val="00CD3824"/>
    <w:rsid w:val="00CD39DA"/>
    <w:rsid w:val="00CD3A8C"/>
    <w:rsid w:val="00CD3BD1"/>
    <w:rsid w:val="00CD3BFE"/>
    <w:rsid w:val="00CD3C24"/>
    <w:rsid w:val="00CD3C8E"/>
    <w:rsid w:val="00CD3E11"/>
    <w:rsid w:val="00CD4012"/>
    <w:rsid w:val="00CD4055"/>
    <w:rsid w:val="00CD409F"/>
    <w:rsid w:val="00CD432F"/>
    <w:rsid w:val="00CD4544"/>
    <w:rsid w:val="00CD4698"/>
    <w:rsid w:val="00CD4760"/>
    <w:rsid w:val="00CD48B2"/>
    <w:rsid w:val="00CD48BC"/>
    <w:rsid w:val="00CD493A"/>
    <w:rsid w:val="00CD4A01"/>
    <w:rsid w:val="00CD4A12"/>
    <w:rsid w:val="00CD4ACF"/>
    <w:rsid w:val="00CD4B77"/>
    <w:rsid w:val="00CD4C03"/>
    <w:rsid w:val="00CD4C08"/>
    <w:rsid w:val="00CD4C3D"/>
    <w:rsid w:val="00CD4CD8"/>
    <w:rsid w:val="00CD4CF5"/>
    <w:rsid w:val="00CD4D3E"/>
    <w:rsid w:val="00CD4D59"/>
    <w:rsid w:val="00CD4D62"/>
    <w:rsid w:val="00CD4E67"/>
    <w:rsid w:val="00CD50A4"/>
    <w:rsid w:val="00CD50F8"/>
    <w:rsid w:val="00CD5152"/>
    <w:rsid w:val="00CD5226"/>
    <w:rsid w:val="00CD5233"/>
    <w:rsid w:val="00CD52B2"/>
    <w:rsid w:val="00CD54E9"/>
    <w:rsid w:val="00CD5502"/>
    <w:rsid w:val="00CD555C"/>
    <w:rsid w:val="00CD55A2"/>
    <w:rsid w:val="00CD567C"/>
    <w:rsid w:val="00CD570F"/>
    <w:rsid w:val="00CD583E"/>
    <w:rsid w:val="00CD585E"/>
    <w:rsid w:val="00CD58B0"/>
    <w:rsid w:val="00CD5907"/>
    <w:rsid w:val="00CD5987"/>
    <w:rsid w:val="00CD5A20"/>
    <w:rsid w:val="00CD5AB2"/>
    <w:rsid w:val="00CD5B63"/>
    <w:rsid w:val="00CD5BBA"/>
    <w:rsid w:val="00CD5C24"/>
    <w:rsid w:val="00CD5E77"/>
    <w:rsid w:val="00CD5EAA"/>
    <w:rsid w:val="00CD5F3B"/>
    <w:rsid w:val="00CD5F89"/>
    <w:rsid w:val="00CD5FE8"/>
    <w:rsid w:val="00CD618F"/>
    <w:rsid w:val="00CD6225"/>
    <w:rsid w:val="00CD6289"/>
    <w:rsid w:val="00CD629C"/>
    <w:rsid w:val="00CD6310"/>
    <w:rsid w:val="00CD63B0"/>
    <w:rsid w:val="00CD640C"/>
    <w:rsid w:val="00CD652B"/>
    <w:rsid w:val="00CD656E"/>
    <w:rsid w:val="00CD65B5"/>
    <w:rsid w:val="00CD66AD"/>
    <w:rsid w:val="00CD66F9"/>
    <w:rsid w:val="00CD6AD3"/>
    <w:rsid w:val="00CD6B0C"/>
    <w:rsid w:val="00CD6C24"/>
    <w:rsid w:val="00CD6D6A"/>
    <w:rsid w:val="00CD6DB0"/>
    <w:rsid w:val="00CD6E4F"/>
    <w:rsid w:val="00CD6E71"/>
    <w:rsid w:val="00CD6F69"/>
    <w:rsid w:val="00CD71C2"/>
    <w:rsid w:val="00CD727F"/>
    <w:rsid w:val="00CD72DE"/>
    <w:rsid w:val="00CD733C"/>
    <w:rsid w:val="00CD7344"/>
    <w:rsid w:val="00CD7498"/>
    <w:rsid w:val="00CD74D5"/>
    <w:rsid w:val="00CD7593"/>
    <w:rsid w:val="00CD7599"/>
    <w:rsid w:val="00CD75CD"/>
    <w:rsid w:val="00CD771F"/>
    <w:rsid w:val="00CD7796"/>
    <w:rsid w:val="00CD77BD"/>
    <w:rsid w:val="00CD7875"/>
    <w:rsid w:val="00CD790A"/>
    <w:rsid w:val="00CD7915"/>
    <w:rsid w:val="00CD799B"/>
    <w:rsid w:val="00CD79C2"/>
    <w:rsid w:val="00CD79DA"/>
    <w:rsid w:val="00CD7AAE"/>
    <w:rsid w:val="00CD7BD8"/>
    <w:rsid w:val="00CD7C67"/>
    <w:rsid w:val="00CD7D39"/>
    <w:rsid w:val="00CE00C7"/>
    <w:rsid w:val="00CE00C8"/>
    <w:rsid w:val="00CE018D"/>
    <w:rsid w:val="00CE01F6"/>
    <w:rsid w:val="00CE022A"/>
    <w:rsid w:val="00CE025D"/>
    <w:rsid w:val="00CE02C1"/>
    <w:rsid w:val="00CE0334"/>
    <w:rsid w:val="00CE0440"/>
    <w:rsid w:val="00CE04D0"/>
    <w:rsid w:val="00CE05D3"/>
    <w:rsid w:val="00CE05E9"/>
    <w:rsid w:val="00CE05F9"/>
    <w:rsid w:val="00CE0668"/>
    <w:rsid w:val="00CE06CE"/>
    <w:rsid w:val="00CE06E4"/>
    <w:rsid w:val="00CE0751"/>
    <w:rsid w:val="00CE0790"/>
    <w:rsid w:val="00CE07B1"/>
    <w:rsid w:val="00CE0915"/>
    <w:rsid w:val="00CE097D"/>
    <w:rsid w:val="00CE09C9"/>
    <w:rsid w:val="00CE0A72"/>
    <w:rsid w:val="00CE0AD0"/>
    <w:rsid w:val="00CE0C85"/>
    <w:rsid w:val="00CE0D4A"/>
    <w:rsid w:val="00CE0D69"/>
    <w:rsid w:val="00CE0E23"/>
    <w:rsid w:val="00CE0E5E"/>
    <w:rsid w:val="00CE0EB9"/>
    <w:rsid w:val="00CE0F6F"/>
    <w:rsid w:val="00CE0F86"/>
    <w:rsid w:val="00CE0FA7"/>
    <w:rsid w:val="00CE1123"/>
    <w:rsid w:val="00CE1167"/>
    <w:rsid w:val="00CE11EC"/>
    <w:rsid w:val="00CE122B"/>
    <w:rsid w:val="00CE12D5"/>
    <w:rsid w:val="00CE12FE"/>
    <w:rsid w:val="00CE1315"/>
    <w:rsid w:val="00CE1338"/>
    <w:rsid w:val="00CE139F"/>
    <w:rsid w:val="00CE14F8"/>
    <w:rsid w:val="00CE159C"/>
    <w:rsid w:val="00CE15F5"/>
    <w:rsid w:val="00CE163F"/>
    <w:rsid w:val="00CE16D8"/>
    <w:rsid w:val="00CE175E"/>
    <w:rsid w:val="00CE1791"/>
    <w:rsid w:val="00CE179A"/>
    <w:rsid w:val="00CE18E6"/>
    <w:rsid w:val="00CE1929"/>
    <w:rsid w:val="00CE1A33"/>
    <w:rsid w:val="00CE1E88"/>
    <w:rsid w:val="00CE1EF2"/>
    <w:rsid w:val="00CE1FE0"/>
    <w:rsid w:val="00CE2062"/>
    <w:rsid w:val="00CE2083"/>
    <w:rsid w:val="00CE2189"/>
    <w:rsid w:val="00CE2211"/>
    <w:rsid w:val="00CE22C9"/>
    <w:rsid w:val="00CE2358"/>
    <w:rsid w:val="00CE235E"/>
    <w:rsid w:val="00CE23D4"/>
    <w:rsid w:val="00CE24DC"/>
    <w:rsid w:val="00CE24DE"/>
    <w:rsid w:val="00CE2563"/>
    <w:rsid w:val="00CE2580"/>
    <w:rsid w:val="00CE2630"/>
    <w:rsid w:val="00CE2645"/>
    <w:rsid w:val="00CE265B"/>
    <w:rsid w:val="00CE273A"/>
    <w:rsid w:val="00CE2835"/>
    <w:rsid w:val="00CE28CC"/>
    <w:rsid w:val="00CE298B"/>
    <w:rsid w:val="00CE2A5C"/>
    <w:rsid w:val="00CE2B23"/>
    <w:rsid w:val="00CE2BC2"/>
    <w:rsid w:val="00CE2BD3"/>
    <w:rsid w:val="00CE2BDF"/>
    <w:rsid w:val="00CE2C2C"/>
    <w:rsid w:val="00CE2D63"/>
    <w:rsid w:val="00CE2DC0"/>
    <w:rsid w:val="00CE2DCE"/>
    <w:rsid w:val="00CE3075"/>
    <w:rsid w:val="00CE30F2"/>
    <w:rsid w:val="00CE3509"/>
    <w:rsid w:val="00CE3533"/>
    <w:rsid w:val="00CE36BE"/>
    <w:rsid w:val="00CE36FE"/>
    <w:rsid w:val="00CE3B38"/>
    <w:rsid w:val="00CE3B46"/>
    <w:rsid w:val="00CE3F7B"/>
    <w:rsid w:val="00CE3F8B"/>
    <w:rsid w:val="00CE3FD6"/>
    <w:rsid w:val="00CE409B"/>
    <w:rsid w:val="00CE41C3"/>
    <w:rsid w:val="00CE41EE"/>
    <w:rsid w:val="00CE424F"/>
    <w:rsid w:val="00CE4282"/>
    <w:rsid w:val="00CE4385"/>
    <w:rsid w:val="00CE43F8"/>
    <w:rsid w:val="00CE441E"/>
    <w:rsid w:val="00CE4443"/>
    <w:rsid w:val="00CE448C"/>
    <w:rsid w:val="00CE459E"/>
    <w:rsid w:val="00CE46ED"/>
    <w:rsid w:val="00CE48F2"/>
    <w:rsid w:val="00CE492A"/>
    <w:rsid w:val="00CE4934"/>
    <w:rsid w:val="00CE493F"/>
    <w:rsid w:val="00CE49A7"/>
    <w:rsid w:val="00CE4C6F"/>
    <w:rsid w:val="00CE4C7D"/>
    <w:rsid w:val="00CE4FCE"/>
    <w:rsid w:val="00CE50A2"/>
    <w:rsid w:val="00CE5131"/>
    <w:rsid w:val="00CE5231"/>
    <w:rsid w:val="00CE5238"/>
    <w:rsid w:val="00CE52D2"/>
    <w:rsid w:val="00CE52EF"/>
    <w:rsid w:val="00CE5351"/>
    <w:rsid w:val="00CE53B8"/>
    <w:rsid w:val="00CE54C8"/>
    <w:rsid w:val="00CE5521"/>
    <w:rsid w:val="00CE5538"/>
    <w:rsid w:val="00CE5674"/>
    <w:rsid w:val="00CE56DE"/>
    <w:rsid w:val="00CE57BB"/>
    <w:rsid w:val="00CE5BC2"/>
    <w:rsid w:val="00CE5C2E"/>
    <w:rsid w:val="00CE5C5D"/>
    <w:rsid w:val="00CE5C6D"/>
    <w:rsid w:val="00CE5C87"/>
    <w:rsid w:val="00CE5DC5"/>
    <w:rsid w:val="00CE5DE2"/>
    <w:rsid w:val="00CE5EF1"/>
    <w:rsid w:val="00CE5F05"/>
    <w:rsid w:val="00CE5FB9"/>
    <w:rsid w:val="00CE6013"/>
    <w:rsid w:val="00CE6017"/>
    <w:rsid w:val="00CE60FF"/>
    <w:rsid w:val="00CE6191"/>
    <w:rsid w:val="00CE61CA"/>
    <w:rsid w:val="00CE62C9"/>
    <w:rsid w:val="00CE62F7"/>
    <w:rsid w:val="00CE64C8"/>
    <w:rsid w:val="00CE68C8"/>
    <w:rsid w:val="00CE6948"/>
    <w:rsid w:val="00CE6AA8"/>
    <w:rsid w:val="00CE6C53"/>
    <w:rsid w:val="00CE6D2A"/>
    <w:rsid w:val="00CE6D95"/>
    <w:rsid w:val="00CE6DA3"/>
    <w:rsid w:val="00CE6E2D"/>
    <w:rsid w:val="00CE6EB6"/>
    <w:rsid w:val="00CE6EEF"/>
    <w:rsid w:val="00CE6F7C"/>
    <w:rsid w:val="00CE6FAF"/>
    <w:rsid w:val="00CE7142"/>
    <w:rsid w:val="00CE7279"/>
    <w:rsid w:val="00CE7293"/>
    <w:rsid w:val="00CE7390"/>
    <w:rsid w:val="00CE7491"/>
    <w:rsid w:val="00CE74A6"/>
    <w:rsid w:val="00CE74E4"/>
    <w:rsid w:val="00CE764D"/>
    <w:rsid w:val="00CE7677"/>
    <w:rsid w:val="00CE7725"/>
    <w:rsid w:val="00CE7789"/>
    <w:rsid w:val="00CE7802"/>
    <w:rsid w:val="00CE78AA"/>
    <w:rsid w:val="00CE793B"/>
    <w:rsid w:val="00CE79DD"/>
    <w:rsid w:val="00CE7B50"/>
    <w:rsid w:val="00CE7B58"/>
    <w:rsid w:val="00CE7BD2"/>
    <w:rsid w:val="00CE7C0B"/>
    <w:rsid w:val="00CE7CA6"/>
    <w:rsid w:val="00CE7CA8"/>
    <w:rsid w:val="00CE7D6C"/>
    <w:rsid w:val="00CE7DBD"/>
    <w:rsid w:val="00CE7E23"/>
    <w:rsid w:val="00CE7E4B"/>
    <w:rsid w:val="00CE7E63"/>
    <w:rsid w:val="00CE7EED"/>
    <w:rsid w:val="00CE7F79"/>
    <w:rsid w:val="00CF0032"/>
    <w:rsid w:val="00CF010E"/>
    <w:rsid w:val="00CF02A3"/>
    <w:rsid w:val="00CF02DE"/>
    <w:rsid w:val="00CF03D6"/>
    <w:rsid w:val="00CF0483"/>
    <w:rsid w:val="00CF04D9"/>
    <w:rsid w:val="00CF053A"/>
    <w:rsid w:val="00CF056A"/>
    <w:rsid w:val="00CF0588"/>
    <w:rsid w:val="00CF05E9"/>
    <w:rsid w:val="00CF05EF"/>
    <w:rsid w:val="00CF079A"/>
    <w:rsid w:val="00CF085E"/>
    <w:rsid w:val="00CF08BF"/>
    <w:rsid w:val="00CF09F9"/>
    <w:rsid w:val="00CF0B62"/>
    <w:rsid w:val="00CF0B95"/>
    <w:rsid w:val="00CF0C4B"/>
    <w:rsid w:val="00CF0D41"/>
    <w:rsid w:val="00CF0E14"/>
    <w:rsid w:val="00CF11F7"/>
    <w:rsid w:val="00CF125E"/>
    <w:rsid w:val="00CF12C6"/>
    <w:rsid w:val="00CF1371"/>
    <w:rsid w:val="00CF13EE"/>
    <w:rsid w:val="00CF14B9"/>
    <w:rsid w:val="00CF152E"/>
    <w:rsid w:val="00CF153E"/>
    <w:rsid w:val="00CF1603"/>
    <w:rsid w:val="00CF1618"/>
    <w:rsid w:val="00CF17BA"/>
    <w:rsid w:val="00CF1841"/>
    <w:rsid w:val="00CF197F"/>
    <w:rsid w:val="00CF1A20"/>
    <w:rsid w:val="00CF1A2A"/>
    <w:rsid w:val="00CF1B0C"/>
    <w:rsid w:val="00CF1BF0"/>
    <w:rsid w:val="00CF1D70"/>
    <w:rsid w:val="00CF1EE4"/>
    <w:rsid w:val="00CF1FBB"/>
    <w:rsid w:val="00CF219E"/>
    <w:rsid w:val="00CF234D"/>
    <w:rsid w:val="00CF2389"/>
    <w:rsid w:val="00CF2476"/>
    <w:rsid w:val="00CF2902"/>
    <w:rsid w:val="00CF2943"/>
    <w:rsid w:val="00CF29DD"/>
    <w:rsid w:val="00CF2A39"/>
    <w:rsid w:val="00CF2B58"/>
    <w:rsid w:val="00CF2B8F"/>
    <w:rsid w:val="00CF2E23"/>
    <w:rsid w:val="00CF2E34"/>
    <w:rsid w:val="00CF2E78"/>
    <w:rsid w:val="00CF2F94"/>
    <w:rsid w:val="00CF2FFD"/>
    <w:rsid w:val="00CF304F"/>
    <w:rsid w:val="00CF31C2"/>
    <w:rsid w:val="00CF321A"/>
    <w:rsid w:val="00CF3234"/>
    <w:rsid w:val="00CF34BF"/>
    <w:rsid w:val="00CF34DB"/>
    <w:rsid w:val="00CF36B5"/>
    <w:rsid w:val="00CF36B8"/>
    <w:rsid w:val="00CF36F9"/>
    <w:rsid w:val="00CF38C4"/>
    <w:rsid w:val="00CF38E6"/>
    <w:rsid w:val="00CF3AB1"/>
    <w:rsid w:val="00CF3B7E"/>
    <w:rsid w:val="00CF3DB3"/>
    <w:rsid w:val="00CF3E4A"/>
    <w:rsid w:val="00CF3EC6"/>
    <w:rsid w:val="00CF3F48"/>
    <w:rsid w:val="00CF41EE"/>
    <w:rsid w:val="00CF42BE"/>
    <w:rsid w:val="00CF4477"/>
    <w:rsid w:val="00CF4483"/>
    <w:rsid w:val="00CF451B"/>
    <w:rsid w:val="00CF451D"/>
    <w:rsid w:val="00CF45E3"/>
    <w:rsid w:val="00CF45F9"/>
    <w:rsid w:val="00CF461B"/>
    <w:rsid w:val="00CF4764"/>
    <w:rsid w:val="00CF47C7"/>
    <w:rsid w:val="00CF49C3"/>
    <w:rsid w:val="00CF49E7"/>
    <w:rsid w:val="00CF4B6F"/>
    <w:rsid w:val="00CF4C93"/>
    <w:rsid w:val="00CF4D39"/>
    <w:rsid w:val="00CF4D49"/>
    <w:rsid w:val="00CF4D61"/>
    <w:rsid w:val="00CF4D69"/>
    <w:rsid w:val="00CF4E51"/>
    <w:rsid w:val="00CF4E7F"/>
    <w:rsid w:val="00CF4E85"/>
    <w:rsid w:val="00CF4FA7"/>
    <w:rsid w:val="00CF5079"/>
    <w:rsid w:val="00CF51A9"/>
    <w:rsid w:val="00CF52BC"/>
    <w:rsid w:val="00CF534F"/>
    <w:rsid w:val="00CF5460"/>
    <w:rsid w:val="00CF565B"/>
    <w:rsid w:val="00CF58B6"/>
    <w:rsid w:val="00CF593E"/>
    <w:rsid w:val="00CF5A39"/>
    <w:rsid w:val="00CF5BAC"/>
    <w:rsid w:val="00CF5BE6"/>
    <w:rsid w:val="00CF5E2F"/>
    <w:rsid w:val="00CF5E63"/>
    <w:rsid w:val="00CF5E6C"/>
    <w:rsid w:val="00CF5EC5"/>
    <w:rsid w:val="00CF5EFD"/>
    <w:rsid w:val="00CF5F42"/>
    <w:rsid w:val="00CF60F3"/>
    <w:rsid w:val="00CF611F"/>
    <w:rsid w:val="00CF61E5"/>
    <w:rsid w:val="00CF62AE"/>
    <w:rsid w:val="00CF62FA"/>
    <w:rsid w:val="00CF63CF"/>
    <w:rsid w:val="00CF6414"/>
    <w:rsid w:val="00CF6601"/>
    <w:rsid w:val="00CF6822"/>
    <w:rsid w:val="00CF6851"/>
    <w:rsid w:val="00CF6893"/>
    <w:rsid w:val="00CF6939"/>
    <w:rsid w:val="00CF69BB"/>
    <w:rsid w:val="00CF6A9D"/>
    <w:rsid w:val="00CF6AD5"/>
    <w:rsid w:val="00CF6AE5"/>
    <w:rsid w:val="00CF6AF9"/>
    <w:rsid w:val="00CF6B21"/>
    <w:rsid w:val="00CF6B6F"/>
    <w:rsid w:val="00CF6B84"/>
    <w:rsid w:val="00CF6D9E"/>
    <w:rsid w:val="00CF6F39"/>
    <w:rsid w:val="00CF6F64"/>
    <w:rsid w:val="00CF723D"/>
    <w:rsid w:val="00CF726A"/>
    <w:rsid w:val="00CF729D"/>
    <w:rsid w:val="00CF7491"/>
    <w:rsid w:val="00CF7516"/>
    <w:rsid w:val="00CF75C8"/>
    <w:rsid w:val="00CF76E1"/>
    <w:rsid w:val="00CF7758"/>
    <w:rsid w:val="00CF7930"/>
    <w:rsid w:val="00CF79D3"/>
    <w:rsid w:val="00CF79E5"/>
    <w:rsid w:val="00CF7A88"/>
    <w:rsid w:val="00CF7F83"/>
    <w:rsid w:val="00D00050"/>
    <w:rsid w:val="00D001C6"/>
    <w:rsid w:val="00D001EB"/>
    <w:rsid w:val="00D001FB"/>
    <w:rsid w:val="00D0023B"/>
    <w:rsid w:val="00D002B6"/>
    <w:rsid w:val="00D002F7"/>
    <w:rsid w:val="00D0030F"/>
    <w:rsid w:val="00D00380"/>
    <w:rsid w:val="00D003CC"/>
    <w:rsid w:val="00D00637"/>
    <w:rsid w:val="00D006D3"/>
    <w:rsid w:val="00D008D8"/>
    <w:rsid w:val="00D00925"/>
    <w:rsid w:val="00D00A37"/>
    <w:rsid w:val="00D00A9F"/>
    <w:rsid w:val="00D00BA0"/>
    <w:rsid w:val="00D00C3F"/>
    <w:rsid w:val="00D00C70"/>
    <w:rsid w:val="00D00DB3"/>
    <w:rsid w:val="00D00DDB"/>
    <w:rsid w:val="00D00DEA"/>
    <w:rsid w:val="00D00E87"/>
    <w:rsid w:val="00D00EE3"/>
    <w:rsid w:val="00D00F3B"/>
    <w:rsid w:val="00D00F7F"/>
    <w:rsid w:val="00D011DB"/>
    <w:rsid w:val="00D011DF"/>
    <w:rsid w:val="00D012EC"/>
    <w:rsid w:val="00D01399"/>
    <w:rsid w:val="00D01516"/>
    <w:rsid w:val="00D01557"/>
    <w:rsid w:val="00D015A7"/>
    <w:rsid w:val="00D016CE"/>
    <w:rsid w:val="00D0173A"/>
    <w:rsid w:val="00D0180E"/>
    <w:rsid w:val="00D01839"/>
    <w:rsid w:val="00D01987"/>
    <w:rsid w:val="00D01C32"/>
    <w:rsid w:val="00D01C78"/>
    <w:rsid w:val="00D01CF3"/>
    <w:rsid w:val="00D01ECB"/>
    <w:rsid w:val="00D02010"/>
    <w:rsid w:val="00D02018"/>
    <w:rsid w:val="00D02058"/>
    <w:rsid w:val="00D0220E"/>
    <w:rsid w:val="00D0228C"/>
    <w:rsid w:val="00D02312"/>
    <w:rsid w:val="00D0252E"/>
    <w:rsid w:val="00D02764"/>
    <w:rsid w:val="00D027A4"/>
    <w:rsid w:val="00D027AA"/>
    <w:rsid w:val="00D027B6"/>
    <w:rsid w:val="00D027E5"/>
    <w:rsid w:val="00D02998"/>
    <w:rsid w:val="00D029DF"/>
    <w:rsid w:val="00D02A32"/>
    <w:rsid w:val="00D02D47"/>
    <w:rsid w:val="00D02D4B"/>
    <w:rsid w:val="00D02E7E"/>
    <w:rsid w:val="00D02EA6"/>
    <w:rsid w:val="00D02EDE"/>
    <w:rsid w:val="00D02F14"/>
    <w:rsid w:val="00D02F27"/>
    <w:rsid w:val="00D02F9D"/>
    <w:rsid w:val="00D02FFC"/>
    <w:rsid w:val="00D03078"/>
    <w:rsid w:val="00D030B8"/>
    <w:rsid w:val="00D030CC"/>
    <w:rsid w:val="00D03205"/>
    <w:rsid w:val="00D03307"/>
    <w:rsid w:val="00D0330C"/>
    <w:rsid w:val="00D0348A"/>
    <w:rsid w:val="00D034F0"/>
    <w:rsid w:val="00D03561"/>
    <w:rsid w:val="00D03669"/>
    <w:rsid w:val="00D0370A"/>
    <w:rsid w:val="00D0388B"/>
    <w:rsid w:val="00D039C4"/>
    <w:rsid w:val="00D03A37"/>
    <w:rsid w:val="00D03A84"/>
    <w:rsid w:val="00D03AE5"/>
    <w:rsid w:val="00D03AF8"/>
    <w:rsid w:val="00D03B99"/>
    <w:rsid w:val="00D03D88"/>
    <w:rsid w:val="00D03E16"/>
    <w:rsid w:val="00D03E5D"/>
    <w:rsid w:val="00D03E96"/>
    <w:rsid w:val="00D03EB7"/>
    <w:rsid w:val="00D03F52"/>
    <w:rsid w:val="00D0403F"/>
    <w:rsid w:val="00D041BB"/>
    <w:rsid w:val="00D041BD"/>
    <w:rsid w:val="00D041CF"/>
    <w:rsid w:val="00D04382"/>
    <w:rsid w:val="00D0456A"/>
    <w:rsid w:val="00D045DB"/>
    <w:rsid w:val="00D04605"/>
    <w:rsid w:val="00D048EA"/>
    <w:rsid w:val="00D049C7"/>
    <w:rsid w:val="00D04A0A"/>
    <w:rsid w:val="00D04A55"/>
    <w:rsid w:val="00D04AF7"/>
    <w:rsid w:val="00D04CD3"/>
    <w:rsid w:val="00D04E67"/>
    <w:rsid w:val="00D04EF2"/>
    <w:rsid w:val="00D0506A"/>
    <w:rsid w:val="00D05167"/>
    <w:rsid w:val="00D05325"/>
    <w:rsid w:val="00D05332"/>
    <w:rsid w:val="00D05340"/>
    <w:rsid w:val="00D05497"/>
    <w:rsid w:val="00D0550F"/>
    <w:rsid w:val="00D0551C"/>
    <w:rsid w:val="00D05622"/>
    <w:rsid w:val="00D057F6"/>
    <w:rsid w:val="00D0582B"/>
    <w:rsid w:val="00D058B6"/>
    <w:rsid w:val="00D0599C"/>
    <w:rsid w:val="00D05AC7"/>
    <w:rsid w:val="00D05B1E"/>
    <w:rsid w:val="00D05BAC"/>
    <w:rsid w:val="00D05CA6"/>
    <w:rsid w:val="00D05DFD"/>
    <w:rsid w:val="00D05E94"/>
    <w:rsid w:val="00D05E96"/>
    <w:rsid w:val="00D0608F"/>
    <w:rsid w:val="00D06261"/>
    <w:rsid w:val="00D062E2"/>
    <w:rsid w:val="00D06419"/>
    <w:rsid w:val="00D0655D"/>
    <w:rsid w:val="00D065F2"/>
    <w:rsid w:val="00D0698B"/>
    <w:rsid w:val="00D06BB6"/>
    <w:rsid w:val="00D06C28"/>
    <w:rsid w:val="00D06D9C"/>
    <w:rsid w:val="00D06E25"/>
    <w:rsid w:val="00D06E75"/>
    <w:rsid w:val="00D06F1B"/>
    <w:rsid w:val="00D06F44"/>
    <w:rsid w:val="00D06FB3"/>
    <w:rsid w:val="00D07019"/>
    <w:rsid w:val="00D0740B"/>
    <w:rsid w:val="00D074EE"/>
    <w:rsid w:val="00D0753D"/>
    <w:rsid w:val="00D07606"/>
    <w:rsid w:val="00D076D6"/>
    <w:rsid w:val="00D0772A"/>
    <w:rsid w:val="00D07763"/>
    <w:rsid w:val="00D07779"/>
    <w:rsid w:val="00D077D9"/>
    <w:rsid w:val="00D078A7"/>
    <w:rsid w:val="00D078EA"/>
    <w:rsid w:val="00D07B0B"/>
    <w:rsid w:val="00D07BA2"/>
    <w:rsid w:val="00D07BE3"/>
    <w:rsid w:val="00D07BE6"/>
    <w:rsid w:val="00D07C77"/>
    <w:rsid w:val="00D07CE6"/>
    <w:rsid w:val="00D07E3D"/>
    <w:rsid w:val="00D07F1D"/>
    <w:rsid w:val="00D07F85"/>
    <w:rsid w:val="00D10011"/>
    <w:rsid w:val="00D101A7"/>
    <w:rsid w:val="00D103E4"/>
    <w:rsid w:val="00D10428"/>
    <w:rsid w:val="00D1042D"/>
    <w:rsid w:val="00D10480"/>
    <w:rsid w:val="00D108D6"/>
    <w:rsid w:val="00D10BDB"/>
    <w:rsid w:val="00D10BE5"/>
    <w:rsid w:val="00D10CD7"/>
    <w:rsid w:val="00D10D99"/>
    <w:rsid w:val="00D10E7E"/>
    <w:rsid w:val="00D10F27"/>
    <w:rsid w:val="00D11067"/>
    <w:rsid w:val="00D110E5"/>
    <w:rsid w:val="00D1112C"/>
    <w:rsid w:val="00D11229"/>
    <w:rsid w:val="00D1129D"/>
    <w:rsid w:val="00D11427"/>
    <w:rsid w:val="00D11437"/>
    <w:rsid w:val="00D11892"/>
    <w:rsid w:val="00D118E9"/>
    <w:rsid w:val="00D11933"/>
    <w:rsid w:val="00D11A5F"/>
    <w:rsid w:val="00D11B7B"/>
    <w:rsid w:val="00D11C0F"/>
    <w:rsid w:val="00D11C82"/>
    <w:rsid w:val="00D11CD5"/>
    <w:rsid w:val="00D11E6D"/>
    <w:rsid w:val="00D11EF6"/>
    <w:rsid w:val="00D11FBF"/>
    <w:rsid w:val="00D1202F"/>
    <w:rsid w:val="00D120D9"/>
    <w:rsid w:val="00D12110"/>
    <w:rsid w:val="00D1211A"/>
    <w:rsid w:val="00D1219E"/>
    <w:rsid w:val="00D121CB"/>
    <w:rsid w:val="00D121D7"/>
    <w:rsid w:val="00D12206"/>
    <w:rsid w:val="00D12242"/>
    <w:rsid w:val="00D1226C"/>
    <w:rsid w:val="00D12485"/>
    <w:rsid w:val="00D12500"/>
    <w:rsid w:val="00D127E3"/>
    <w:rsid w:val="00D12B83"/>
    <w:rsid w:val="00D12B93"/>
    <w:rsid w:val="00D12C61"/>
    <w:rsid w:val="00D12C8C"/>
    <w:rsid w:val="00D12CE5"/>
    <w:rsid w:val="00D12D4B"/>
    <w:rsid w:val="00D12DA6"/>
    <w:rsid w:val="00D12DDB"/>
    <w:rsid w:val="00D12E3A"/>
    <w:rsid w:val="00D12E8B"/>
    <w:rsid w:val="00D12EF8"/>
    <w:rsid w:val="00D12F2F"/>
    <w:rsid w:val="00D132D1"/>
    <w:rsid w:val="00D13397"/>
    <w:rsid w:val="00D134BD"/>
    <w:rsid w:val="00D13583"/>
    <w:rsid w:val="00D1364A"/>
    <w:rsid w:val="00D13655"/>
    <w:rsid w:val="00D13742"/>
    <w:rsid w:val="00D1376B"/>
    <w:rsid w:val="00D137E1"/>
    <w:rsid w:val="00D1395D"/>
    <w:rsid w:val="00D13A33"/>
    <w:rsid w:val="00D13AE4"/>
    <w:rsid w:val="00D13BAA"/>
    <w:rsid w:val="00D13CAB"/>
    <w:rsid w:val="00D13F46"/>
    <w:rsid w:val="00D1403B"/>
    <w:rsid w:val="00D14054"/>
    <w:rsid w:val="00D1436B"/>
    <w:rsid w:val="00D14477"/>
    <w:rsid w:val="00D147BD"/>
    <w:rsid w:val="00D147C7"/>
    <w:rsid w:val="00D14820"/>
    <w:rsid w:val="00D14836"/>
    <w:rsid w:val="00D14951"/>
    <w:rsid w:val="00D14993"/>
    <w:rsid w:val="00D14B6E"/>
    <w:rsid w:val="00D14FAE"/>
    <w:rsid w:val="00D150C7"/>
    <w:rsid w:val="00D1527D"/>
    <w:rsid w:val="00D1531C"/>
    <w:rsid w:val="00D15327"/>
    <w:rsid w:val="00D15442"/>
    <w:rsid w:val="00D155D3"/>
    <w:rsid w:val="00D155E4"/>
    <w:rsid w:val="00D156F0"/>
    <w:rsid w:val="00D15735"/>
    <w:rsid w:val="00D15866"/>
    <w:rsid w:val="00D159CE"/>
    <w:rsid w:val="00D15AC5"/>
    <w:rsid w:val="00D15B52"/>
    <w:rsid w:val="00D15B97"/>
    <w:rsid w:val="00D15C0C"/>
    <w:rsid w:val="00D15D84"/>
    <w:rsid w:val="00D15E9F"/>
    <w:rsid w:val="00D15ECA"/>
    <w:rsid w:val="00D15FA5"/>
    <w:rsid w:val="00D160E8"/>
    <w:rsid w:val="00D160FD"/>
    <w:rsid w:val="00D1613F"/>
    <w:rsid w:val="00D16188"/>
    <w:rsid w:val="00D16230"/>
    <w:rsid w:val="00D1624F"/>
    <w:rsid w:val="00D163FF"/>
    <w:rsid w:val="00D16464"/>
    <w:rsid w:val="00D1647B"/>
    <w:rsid w:val="00D164EC"/>
    <w:rsid w:val="00D16556"/>
    <w:rsid w:val="00D1657F"/>
    <w:rsid w:val="00D16785"/>
    <w:rsid w:val="00D168CF"/>
    <w:rsid w:val="00D1691D"/>
    <w:rsid w:val="00D1694C"/>
    <w:rsid w:val="00D16A23"/>
    <w:rsid w:val="00D16B63"/>
    <w:rsid w:val="00D16B64"/>
    <w:rsid w:val="00D16B84"/>
    <w:rsid w:val="00D16D98"/>
    <w:rsid w:val="00D16E71"/>
    <w:rsid w:val="00D16EBD"/>
    <w:rsid w:val="00D16FE5"/>
    <w:rsid w:val="00D17137"/>
    <w:rsid w:val="00D17474"/>
    <w:rsid w:val="00D174C9"/>
    <w:rsid w:val="00D174DE"/>
    <w:rsid w:val="00D175A2"/>
    <w:rsid w:val="00D178B5"/>
    <w:rsid w:val="00D17AA9"/>
    <w:rsid w:val="00D17B8D"/>
    <w:rsid w:val="00D17BF4"/>
    <w:rsid w:val="00D17C53"/>
    <w:rsid w:val="00D17D81"/>
    <w:rsid w:val="00D17EF8"/>
    <w:rsid w:val="00D2000A"/>
    <w:rsid w:val="00D2003A"/>
    <w:rsid w:val="00D2032F"/>
    <w:rsid w:val="00D203C2"/>
    <w:rsid w:val="00D2042F"/>
    <w:rsid w:val="00D20439"/>
    <w:rsid w:val="00D204A2"/>
    <w:rsid w:val="00D2056E"/>
    <w:rsid w:val="00D206D6"/>
    <w:rsid w:val="00D20726"/>
    <w:rsid w:val="00D20828"/>
    <w:rsid w:val="00D209DF"/>
    <w:rsid w:val="00D20ABC"/>
    <w:rsid w:val="00D20AE4"/>
    <w:rsid w:val="00D20B00"/>
    <w:rsid w:val="00D20B09"/>
    <w:rsid w:val="00D20BC3"/>
    <w:rsid w:val="00D20CDE"/>
    <w:rsid w:val="00D20D5C"/>
    <w:rsid w:val="00D20EB7"/>
    <w:rsid w:val="00D20F8A"/>
    <w:rsid w:val="00D20FA9"/>
    <w:rsid w:val="00D20FC9"/>
    <w:rsid w:val="00D21007"/>
    <w:rsid w:val="00D210D2"/>
    <w:rsid w:val="00D210DC"/>
    <w:rsid w:val="00D2114C"/>
    <w:rsid w:val="00D21232"/>
    <w:rsid w:val="00D212A3"/>
    <w:rsid w:val="00D21302"/>
    <w:rsid w:val="00D215BD"/>
    <w:rsid w:val="00D216A4"/>
    <w:rsid w:val="00D216C6"/>
    <w:rsid w:val="00D21799"/>
    <w:rsid w:val="00D2179A"/>
    <w:rsid w:val="00D217EC"/>
    <w:rsid w:val="00D21806"/>
    <w:rsid w:val="00D2191D"/>
    <w:rsid w:val="00D21982"/>
    <w:rsid w:val="00D21AF8"/>
    <w:rsid w:val="00D21B58"/>
    <w:rsid w:val="00D21B5A"/>
    <w:rsid w:val="00D21BB5"/>
    <w:rsid w:val="00D21BC9"/>
    <w:rsid w:val="00D21C46"/>
    <w:rsid w:val="00D21DE4"/>
    <w:rsid w:val="00D21E0E"/>
    <w:rsid w:val="00D21F51"/>
    <w:rsid w:val="00D21FD6"/>
    <w:rsid w:val="00D22078"/>
    <w:rsid w:val="00D225B0"/>
    <w:rsid w:val="00D226E8"/>
    <w:rsid w:val="00D2275F"/>
    <w:rsid w:val="00D227A2"/>
    <w:rsid w:val="00D22909"/>
    <w:rsid w:val="00D2294A"/>
    <w:rsid w:val="00D229A6"/>
    <w:rsid w:val="00D22AAA"/>
    <w:rsid w:val="00D22ABE"/>
    <w:rsid w:val="00D22B0A"/>
    <w:rsid w:val="00D22B14"/>
    <w:rsid w:val="00D22E3B"/>
    <w:rsid w:val="00D22E3C"/>
    <w:rsid w:val="00D22E3D"/>
    <w:rsid w:val="00D22E6E"/>
    <w:rsid w:val="00D2305C"/>
    <w:rsid w:val="00D23072"/>
    <w:rsid w:val="00D230D9"/>
    <w:rsid w:val="00D23103"/>
    <w:rsid w:val="00D23155"/>
    <w:rsid w:val="00D232F7"/>
    <w:rsid w:val="00D23364"/>
    <w:rsid w:val="00D2359F"/>
    <w:rsid w:val="00D23665"/>
    <w:rsid w:val="00D23821"/>
    <w:rsid w:val="00D2387D"/>
    <w:rsid w:val="00D238B5"/>
    <w:rsid w:val="00D23A28"/>
    <w:rsid w:val="00D23A5F"/>
    <w:rsid w:val="00D23C54"/>
    <w:rsid w:val="00D23CDC"/>
    <w:rsid w:val="00D23EAD"/>
    <w:rsid w:val="00D23F23"/>
    <w:rsid w:val="00D23F25"/>
    <w:rsid w:val="00D23F34"/>
    <w:rsid w:val="00D23F84"/>
    <w:rsid w:val="00D24083"/>
    <w:rsid w:val="00D240A9"/>
    <w:rsid w:val="00D2418F"/>
    <w:rsid w:val="00D2424D"/>
    <w:rsid w:val="00D243F2"/>
    <w:rsid w:val="00D2466A"/>
    <w:rsid w:val="00D24698"/>
    <w:rsid w:val="00D2470F"/>
    <w:rsid w:val="00D247CB"/>
    <w:rsid w:val="00D247EC"/>
    <w:rsid w:val="00D24800"/>
    <w:rsid w:val="00D2483C"/>
    <w:rsid w:val="00D24869"/>
    <w:rsid w:val="00D2487D"/>
    <w:rsid w:val="00D2488E"/>
    <w:rsid w:val="00D249E3"/>
    <w:rsid w:val="00D249FC"/>
    <w:rsid w:val="00D24AB0"/>
    <w:rsid w:val="00D24AE3"/>
    <w:rsid w:val="00D24CA6"/>
    <w:rsid w:val="00D24D31"/>
    <w:rsid w:val="00D250BE"/>
    <w:rsid w:val="00D251CE"/>
    <w:rsid w:val="00D25430"/>
    <w:rsid w:val="00D2555D"/>
    <w:rsid w:val="00D2557B"/>
    <w:rsid w:val="00D256EB"/>
    <w:rsid w:val="00D258ED"/>
    <w:rsid w:val="00D2590F"/>
    <w:rsid w:val="00D259DE"/>
    <w:rsid w:val="00D25A68"/>
    <w:rsid w:val="00D25C52"/>
    <w:rsid w:val="00D25D96"/>
    <w:rsid w:val="00D25E52"/>
    <w:rsid w:val="00D25E5D"/>
    <w:rsid w:val="00D25E61"/>
    <w:rsid w:val="00D26233"/>
    <w:rsid w:val="00D26275"/>
    <w:rsid w:val="00D264AB"/>
    <w:rsid w:val="00D26521"/>
    <w:rsid w:val="00D26604"/>
    <w:rsid w:val="00D26630"/>
    <w:rsid w:val="00D267D6"/>
    <w:rsid w:val="00D2681E"/>
    <w:rsid w:val="00D26892"/>
    <w:rsid w:val="00D26913"/>
    <w:rsid w:val="00D26960"/>
    <w:rsid w:val="00D2698B"/>
    <w:rsid w:val="00D26A3E"/>
    <w:rsid w:val="00D26A4E"/>
    <w:rsid w:val="00D26B6C"/>
    <w:rsid w:val="00D26D99"/>
    <w:rsid w:val="00D26FC5"/>
    <w:rsid w:val="00D2706F"/>
    <w:rsid w:val="00D27247"/>
    <w:rsid w:val="00D274A6"/>
    <w:rsid w:val="00D2765C"/>
    <w:rsid w:val="00D276E7"/>
    <w:rsid w:val="00D27778"/>
    <w:rsid w:val="00D2778F"/>
    <w:rsid w:val="00D27830"/>
    <w:rsid w:val="00D27844"/>
    <w:rsid w:val="00D27950"/>
    <w:rsid w:val="00D27A3F"/>
    <w:rsid w:val="00D27A66"/>
    <w:rsid w:val="00D27B72"/>
    <w:rsid w:val="00D27BCA"/>
    <w:rsid w:val="00D27C32"/>
    <w:rsid w:val="00D27C76"/>
    <w:rsid w:val="00D27D52"/>
    <w:rsid w:val="00D27E69"/>
    <w:rsid w:val="00D27E83"/>
    <w:rsid w:val="00D3001B"/>
    <w:rsid w:val="00D30063"/>
    <w:rsid w:val="00D3016F"/>
    <w:rsid w:val="00D3027D"/>
    <w:rsid w:val="00D30375"/>
    <w:rsid w:val="00D303A5"/>
    <w:rsid w:val="00D30419"/>
    <w:rsid w:val="00D30445"/>
    <w:rsid w:val="00D3058E"/>
    <w:rsid w:val="00D3064D"/>
    <w:rsid w:val="00D30889"/>
    <w:rsid w:val="00D3095B"/>
    <w:rsid w:val="00D309A6"/>
    <w:rsid w:val="00D30A6C"/>
    <w:rsid w:val="00D30A76"/>
    <w:rsid w:val="00D30A80"/>
    <w:rsid w:val="00D30AA1"/>
    <w:rsid w:val="00D30BD0"/>
    <w:rsid w:val="00D30C43"/>
    <w:rsid w:val="00D30DCD"/>
    <w:rsid w:val="00D30E9E"/>
    <w:rsid w:val="00D30F37"/>
    <w:rsid w:val="00D30FF5"/>
    <w:rsid w:val="00D31125"/>
    <w:rsid w:val="00D311AB"/>
    <w:rsid w:val="00D3122F"/>
    <w:rsid w:val="00D31238"/>
    <w:rsid w:val="00D3128D"/>
    <w:rsid w:val="00D312FE"/>
    <w:rsid w:val="00D31311"/>
    <w:rsid w:val="00D313A9"/>
    <w:rsid w:val="00D31433"/>
    <w:rsid w:val="00D314E5"/>
    <w:rsid w:val="00D316A7"/>
    <w:rsid w:val="00D31719"/>
    <w:rsid w:val="00D3175F"/>
    <w:rsid w:val="00D318CE"/>
    <w:rsid w:val="00D318F4"/>
    <w:rsid w:val="00D3192B"/>
    <w:rsid w:val="00D31A44"/>
    <w:rsid w:val="00D31A6E"/>
    <w:rsid w:val="00D31ABB"/>
    <w:rsid w:val="00D31DCE"/>
    <w:rsid w:val="00D32017"/>
    <w:rsid w:val="00D32041"/>
    <w:rsid w:val="00D3208B"/>
    <w:rsid w:val="00D3218A"/>
    <w:rsid w:val="00D321B6"/>
    <w:rsid w:val="00D32386"/>
    <w:rsid w:val="00D323D1"/>
    <w:rsid w:val="00D3252B"/>
    <w:rsid w:val="00D3266C"/>
    <w:rsid w:val="00D326A5"/>
    <w:rsid w:val="00D326D2"/>
    <w:rsid w:val="00D3271E"/>
    <w:rsid w:val="00D328F5"/>
    <w:rsid w:val="00D328FD"/>
    <w:rsid w:val="00D3291B"/>
    <w:rsid w:val="00D3295B"/>
    <w:rsid w:val="00D32BDF"/>
    <w:rsid w:val="00D32C8F"/>
    <w:rsid w:val="00D32C91"/>
    <w:rsid w:val="00D32D0F"/>
    <w:rsid w:val="00D32E0D"/>
    <w:rsid w:val="00D32F0B"/>
    <w:rsid w:val="00D32F9F"/>
    <w:rsid w:val="00D33003"/>
    <w:rsid w:val="00D330B7"/>
    <w:rsid w:val="00D330EC"/>
    <w:rsid w:val="00D33185"/>
    <w:rsid w:val="00D331AF"/>
    <w:rsid w:val="00D33250"/>
    <w:rsid w:val="00D332AF"/>
    <w:rsid w:val="00D3330E"/>
    <w:rsid w:val="00D33326"/>
    <w:rsid w:val="00D3339B"/>
    <w:rsid w:val="00D333AF"/>
    <w:rsid w:val="00D3362B"/>
    <w:rsid w:val="00D33857"/>
    <w:rsid w:val="00D33925"/>
    <w:rsid w:val="00D339B5"/>
    <w:rsid w:val="00D339EF"/>
    <w:rsid w:val="00D33B19"/>
    <w:rsid w:val="00D33B5C"/>
    <w:rsid w:val="00D33C5A"/>
    <w:rsid w:val="00D33E41"/>
    <w:rsid w:val="00D33ECA"/>
    <w:rsid w:val="00D33F02"/>
    <w:rsid w:val="00D33F98"/>
    <w:rsid w:val="00D33F9B"/>
    <w:rsid w:val="00D3400C"/>
    <w:rsid w:val="00D340CB"/>
    <w:rsid w:val="00D34122"/>
    <w:rsid w:val="00D34249"/>
    <w:rsid w:val="00D34265"/>
    <w:rsid w:val="00D342BF"/>
    <w:rsid w:val="00D3434E"/>
    <w:rsid w:val="00D34458"/>
    <w:rsid w:val="00D3446F"/>
    <w:rsid w:val="00D34531"/>
    <w:rsid w:val="00D34590"/>
    <w:rsid w:val="00D345E1"/>
    <w:rsid w:val="00D346AF"/>
    <w:rsid w:val="00D3480B"/>
    <w:rsid w:val="00D34965"/>
    <w:rsid w:val="00D34A63"/>
    <w:rsid w:val="00D34A73"/>
    <w:rsid w:val="00D34D02"/>
    <w:rsid w:val="00D34D2A"/>
    <w:rsid w:val="00D34EB7"/>
    <w:rsid w:val="00D34EF8"/>
    <w:rsid w:val="00D34F8C"/>
    <w:rsid w:val="00D34FAE"/>
    <w:rsid w:val="00D350E9"/>
    <w:rsid w:val="00D3522E"/>
    <w:rsid w:val="00D352A9"/>
    <w:rsid w:val="00D352EB"/>
    <w:rsid w:val="00D3535A"/>
    <w:rsid w:val="00D35386"/>
    <w:rsid w:val="00D358D2"/>
    <w:rsid w:val="00D35943"/>
    <w:rsid w:val="00D359F7"/>
    <w:rsid w:val="00D35A25"/>
    <w:rsid w:val="00D35B61"/>
    <w:rsid w:val="00D35CB2"/>
    <w:rsid w:val="00D35CC1"/>
    <w:rsid w:val="00D35E52"/>
    <w:rsid w:val="00D35FA4"/>
    <w:rsid w:val="00D36093"/>
    <w:rsid w:val="00D360AB"/>
    <w:rsid w:val="00D3614F"/>
    <w:rsid w:val="00D36165"/>
    <w:rsid w:val="00D361E3"/>
    <w:rsid w:val="00D36222"/>
    <w:rsid w:val="00D36268"/>
    <w:rsid w:val="00D3628F"/>
    <w:rsid w:val="00D36309"/>
    <w:rsid w:val="00D36312"/>
    <w:rsid w:val="00D363AD"/>
    <w:rsid w:val="00D36567"/>
    <w:rsid w:val="00D3663D"/>
    <w:rsid w:val="00D36732"/>
    <w:rsid w:val="00D368CB"/>
    <w:rsid w:val="00D368EC"/>
    <w:rsid w:val="00D3692B"/>
    <w:rsid w:val="00D3693A"/>
    <w:rsid w:val="00D36974"/>
    <w:rsid w:val="00D369E1"/>
    <w:rsid w:val="00D36A55"/>
    <w:rsid w:val="00D36A77"/>
    <w:rsid w:val="00D36ABA"/>
    <w:rsid w:val="00D36CBD"/>
    <w:rsid w:val="00D36D59"/>
    <w:rsid w:val="00D36E47"/>
    <w:rsid w:val="00D36E82"/>
    <w:rsid w:val="00D36F18"/>
    <w:rsid w:val="00D36FE7"/>
    <w:rsid w:val="00D3700C"/>
    <w:rsid w:val="00D37077"/>
    <w:rsid w:val="00D37121"/>
    <w:rsid w:val="00D37131"/>
    <w:rsid w:val="00D37197"/>
    <w:rsid w:val="00D372E7"/>
    <w:rsid w:val="00D373D5"/>
    <w:rsid w:val="00D374BA"/>
    <w:rsid w:val="00D3767D"/>
    <w:rsid w:val="00D37924"/>
    <w:rsid w:val="00D37975"/>
    <w:rsid w:val="00D37A77"/>
    <w:rsid w:val="00D37A84"/>
    <w:rsid w:val="00D37A98"/>
    <w:rsid w:val="00D37B05"/>
    <w:rsid w:val="00D37B5E"/>
    <w:rsid w:val="00D37BA6"/>
    <w:rsid w:val="00D37BF0"/>
    <w:rsid w:val="00D37CC9"/>
    <w:rsid w:val="00D37D4B"/>
    <w:rsid w:val="00D37DEF"/>
    <w:rsid w:val="00D37DFF"/>
    <w:rsid w:val="00D37ED8"/>
    <w:rsid w:val="00D37EFC"/>
    <w:rsid w:val="00D37EFF"/>
    <w:rsid w:val="00D400D1"/>
    <w:rsid w:val="00D4010C"/>
    <w:rsid w:val="00D40221"/>
    <w:rsid w:val="00D40234"/>
    <w:rsid w:val="00D402BE"/>
    <w:rsid w:val="00D40327"/>
    <w:rsid w:val="00D40362"/>
    <w:rsid w:val="00D404FA"/>
    <w:rsid w:val="00D405A8"/>
    <w:rsid w:val="00D4061B"/>
    <w:rsid w:val="00D4069F"/>
    <w:rsid w:val="00D4092F"/>
    <w:rsid w:val="00D40982"/>
    <w:rsid w:val="00D40A07"/>
    <w:rsid w:val="00D40B4B"/>
    <w:rsid w:val="00D40B87"/>
    <w:rsid w:val="00D40C1E"/>
    <w:rsid w:val="00D40E05"/>
    <w:rsid w:val="00D40E23"/>
    <w:rsid w:val="00D40EA3"/>
    <w:rsid w:val="00D4128A"/>
    <w:rsid w:val="00D41304"/>
    <w:rsid w:val="00D41345"/>
    <w:rsid w:val="00D414B0"/>
    <w:rsid w:val="00D414BA"/>
    <w:rsid w:val="00D41693"/>
    <w:rsid w:val="00D4180E"/>
    <w:rsid w:val="00D418C9"/>
    <w:rsid w:val="00D41A47"/>
    <w:rsid w:val="00D41B18"/>
    <w:rsid w:val="00D41B43"/>
    <w:rsid w:val="00D41B8B"/>
    <w:rsid w:val="00D41CFD"/>
    <w:rsid w:val="00D41D3B"/>
    <w:rsid w:val="00D41FF6"/>
    <w:rsid w:val="00D42043"/>
    <w:rsid w:val="00D4231B"/>
    <w:rsid w:val="00D423B6"/>
    <w:rsid w:val="00D4254E"/>
    <w:rsid w:val="00D425DB"/>
    <w:rsid w:val="00D427B4"/>
    <w:rsid w:val="00D427D3"/>
    <w:rsid w:val="00D4284E"/>
    <w:rsid w:val="00D428B1"/>
    <w:rsid w:val="00D4296C"/>
    <w:rsid w:val="00D42A4B"/>
    <w:rsid w:val="00D42B23"/>
    <w:rsid w:val="00D42B35"/>
    <w:rsid w:val="00D42B47"/>
    <w:rsid w:val="00D42B4F"/>
    <w:rsid w:val="00D42BA9"/>
    <w:rsid w:val="00D42C33"/>
    <w:rsid w:val="00D42CDA"/>
    <w:rsid w:val="00D42F7F"/>
    <w:rsid w:val="00D42FB5"/>
    <w:rsid w:val="00D42FC9"/>
    <w:rsid w:val="00D42FF7"/>
    <w:rsid w:val="00D43111"/>
    <w:rsid w:val="00D431D7"/>
    <w:rsid w:val="00D43242"/>
    <w:rsid w:val="00D43275"/>
    <w:rsid w:val="00D43363"/>
    <w:rsid w:val="00D4339E"/>
    <w:rsid w:val="00D434C9"/>
    <w:rsid w:val="00D434CC"/>
    <w:rsid w:val="00D4354F"/>
    <w:rsid w:val="00D4365A"/>
    <w:rsid w:val="00D4369F"/>
    <w:rsid w:val="00D4375E"/>
    <w:rsid w:val="00D4380B"/>
    <w:rsid w:val="00D4382D"/>
    <w:rsid w:val="00D43A5E"/>
    <w:rsid w:val="00D43A9C"/>
    <w:rsid w:val="00D43B0D"/>
    <w:rsid w:val="00D43BF2"/>
    <w:rsid w:val="00D43C61"/>
    <w:rsid w:val="00D43D0D"/>
    <w:rsid w:val="00D43E2A"/>
    <w:rsid w:val="00D43ED6"/>
    <w:rsid w:val="00D43F4D"/>
    <w:rsid w:val="00D44162"/>
    <w:rsid w:val="00D44215"/>
    <w:rsid w:val="00D44329"/>
    <w:rsid w:val="00D44455"/>
    <w:rsid w:val="00D444ED"/>
    <w:rsid w:val="00D44558"/>
    <w:rsid w:val="00D445B3"/>
    <w:rsid w:val="00D445BE"/>
    <w:rsid w:val="00D4489C"/>
    <w:rsid w:val="00D448A5"/>
    <w:rsid w:val="00D448F0"/>
    <w:rsid w:val="00D449AB"/>
    <w:rsid w:val="00D449BC"/>
    <w:rsid w:val="00D44ACB"/>
    <w:rsid w:val="00D44BB9"/>
    <w:rsid w:val="00D44CE4"/>
    <w:rsid w:val="00D44D31"/>
    <w:rsid w:val="00D44DE3"/>
    <w:rsid w:val="00D44DF1"/>
    <w:rsid w:val="00D44E3C"/>
    <w:rsid w:val="00D44E42"/>
    <w:rsid w:val="00D44ED2"/>
    <w:rsid w:val="00D4504B"/>
    <w:rsid w:val="00D452D4"/>
    <w:rsid w:val="00D45410"/>
    <w:rsid w:val="00D4546D"/>
    <w:rsid w:val="00D45488"/>
    <w:rsid w:val="00D454CA"/>
    <w:rsid w:val="00D454F6"/>
    <w:rsid w:val="00D4550F"/>
    <w:rsid w:val="00D45519"/>
    <w:rsid w:val="00D45603"/>
    <w:rsid w:val="00D4564E"/>
    <w:rsid w:val="00D456A2"/>
    <w:rsid w:val="00D45A27"/>
    <w:rsid w:val="00D45A7D"/>
    <w:rsid w:val="00D45D17"/>
    <w:rsid w:val="00D45D5F"/>
    <w:rsid w:val="00D45E2F"/>
    <w:rsid w:val="00D45E53"/>
    <w:rsid w:val="00D460E8"/>
    <w:rsid w:val="00D4629F"/>
    <w:rsid w:val="00D46337"/>
    <w:rsid w:val="00D46404"/>
    <w:rsid w:val="00D46487"/>
    <w:rsid w:val="00D464FA"/>
    <w:rsid w:val="00D4656A"/>
    <w:rsid w:val="00D46596"/>
    <w:rsid w:val="00D465E8"/>
    <w:rsid w:val="00D4660F"/>
    <w:rsid w:val="00D466E3"/>
    <w:rsid w:val="00D46713"/>
    <w:rsid w:val="00D46753"/>
    <w:rsid w:val="00D4679A"/>
    <w:rsid w:val="00D46880"/>
    <w:rsid w:val="00D46888"/>
    <w:rsid w:val="00D469AC"/>
    <w:rsid w:val="00D46BB0"/>
    <w:rsid w:val="00D46BC8"/>
    <w:rsid w:val="00D46BF1"/>
    <w:rsid w:val="00D46D35"/>
    <w:rsid w:val="00D46DB0"/>
    <w:rsid w:val="00D46E19"/>
    <w:rsid w:val="00D46E4A"/>
    <w:rsid w:val="00D46EDA"/>
    <w:rsid w:val="00D46F30"/>
    <w:rsid w:val="00D46FD0"/>
    <w:rsid w:val="00D4710D"/>
    <w:rsid w:val="00D471C2"/>
    <w:rsid w:val="00D471D7"/>
    <w:rsid w:val="00D47210"/>
    <w:rsid w:val="00D47232"/>
    <w:rsid w:val="00D472FF"/>
    <w:rsid w:val="00D4747F"/>
    <w:rsid w:val="00D47616"/>
    <w:rsid w:val="00D47711"/>
    <w:rsid w:val="00D47736"/>
    <w:rsid w:val="00D47783"/>
    <w:rsid w:val="00D4778E"/>
    <w:rsid w:val="00D477A9"/>
    <w:rsid w:val="00D47876"/>
    <w:rsid w:val="00D47CC5"/>
    <w:rsid w:val="00D47DA9"/>
    <w:rsid w:val="00D47DC1"/>
    <w:rsid w:val="00D47F0A"/>
    <w:rsid w:val="00D47FB5"/>
    <w:rsid w:val="00D50157"/>
    <w:rsid w:val="00D501FA"/>
    <w:rsid w:val="00D50278"/>
    <w:rsid w:val="00D502BF"/>
    <w:rsid w:val="00D50342"/>
    <w:rsid w:val="00D50478"/>
    <w:rsid w:val="00D5048E"/>
    <w:rsid w:val="00D505E0"/>
    <w:rsid w:val="00D5060B"/>
    <w:rsid w:val="00D507C1"/>
    <w:rsid w:val="00D509A2"/>
    <w:rsid w:val="00D50A39"/>
    <w:rsid w:val="00D50A46"/>
    <w:rsid w:val="00D50B40"/>
    <w:rsid w:val="00D50C96"/>
    <w:rsid w:val="00D50D70"/>
    <w:rsid w:val="00D50D94"/>
    <w:rsid w:val="00D50DB7"/>
    <w:rsid w:val="00D50DC3"/>
    <w:rsid w:val="00D50EE4"/>
    <w:rsid w:val="00D50EFF"/>
    <w:rsid w:val="00D50F67"/>
    <w:rsid w:val="00D50F6C"/>
    <w:rsid w:val="00D510C8"/>
    <w:rsid w:val="00D511D1"/>
    <w:rsid w:val="00D511D4"/>
    <w:rsid w:val="00D5147F"/>
    <w:rsid w:val="00D514C5"/>
    <w:rsid w:val="00D51509"/>
    <w:rsid w:val="00D51545"/>
    <w:rsid w:val="00D515D1"/>
    <w:rsid w:val="00D517C1"/>
    <w:rsid w:val="00D51845"/>
    <w:rsid w:val="00D5184A"/>
    <w:rsid w:val="00D5195D"/>
    <w:rsid w:val="00D519C7"/>
    <w:rsid w:val="00D51A5E"/>
    <w:rsid w:val="00D51A99"/>
    <w:rsid w:val="00D51D53"/>
    <w:rsid w:val="00D51D93"/>
    <w:rsid w:val="00D51E12"/>
    <w:rsid w:val="00D51EA9"/>
    <w:rsid w:val="00D51EBF"/>
    <w:rsid w:val="00D52327"/>
    <w:rsid w:val="00D5234D"/>
    <w:rsid w:val="00D525DC"/>
    <w:rsid w:val="00D52613"/>
    <w:rsid w:val="00D5264B"/>
    <w:rsid w:val="00D52690"/>
    <w:rsid w:val="00D52861"/>
    <w:rsid w:val="00D529CB"/>
    <w:rsid w:val="00D52A0D"/>
    <w:rsid w:val="00D52A1D"/>
    <w:rsid w:val="00D52A6D"/>
    <w:rsid w:val="00D52AEA"/>
    <w:rsid w:val="00D52AF9"/>
    <w:rsid w:val="00D52BA0"/>
    <w:rsid w:val="00D52C66"/>
    <w:rsid w:val="00D52CA4"/>
    <w:rsid w:val="00D52CE1"/>
    <w:rsid w:val="00D52CEC"/>
    <w:rsid w:val="00D52E95"/>
    <w:rsid w:val="00D52EA9"/>
    <w:rsid w:val="00D52ECF"/>
    <w:rsid w:val="00D52F80"/>
    <w:rsid w:val="00D52F88"/>
    <w:rsid w:val="00D53007"/>
    <w:rsid w:val="00D530D0"/>
    <w:rsid w:val="00D530D1"/>
    <w:rsid w:val="00D53104"/>
    <w:rsid w:val="00D53207"/>
    <w:rsid w:val="00D532CD"/>
    <w:rsid w:val="00D53332"/>
    <w:rsid w:val="00D53403"/>
    <w:rsid w:val="00D53415"/>
    <w:rsid w:val="00D534E9"/>
    <w:rsid w:val="00D53720"/>
    <w:rsid w:val="00D53885"/>
    <w:rsid w:val="00D53977"/>
    <w:rsid w:val="00D539F2"/>
    <w:rsid w:val="00D53A11"/>
    <w:rsid w:val="00D53AF9"/>
    <w:rsid w:val="00D53B9A"/>
    <w:rsid w:val="00D53CF5"/>
    <w:rsid w:val="00D53EBB"/>
    <w:rsid w:val="00D53EE9"/>
    <w:rsid w:val="00D540CC"/>
    <w:rsid w:val="00D54154"/>
    <w:rsid w:val="00D54159"/>
    <w:rsid w:val="00D541A1"/>
    <w:rsid w:val="00D542B4"/>
    <w:rsid w:val="00D543C9"/>
    <w:rsid w:val="00D54507"/>
    <w:rsid w:val="00D545B6"/>
    <w:rsid w:val="00D54691"/>
    <w:rsid w:val="00D546D4"/>
    <w:rsid w:val="00D54803"/>
    <w:rsid w:val="00D54878"/>
    <w:rsid w:val="00D54966"/>
    <w:rsid w:val="00D5498F"/>
    <w:rsid w:val="00D54A34"/>
    <w:rsid w:val="00D54A5F"/>
    <w:rsid w:val="00D54A72"/>
    <w:rsid w:val="00D54D5A"/>
    <w:rsid w:val="00D54D76"/>
    <w:rsid w:val="00D54DA4"/>
    <w:rsid w:val="00D54E0B"/>
    <w:rsid w:val="00D54EF3"/>
    <w:rsid w:val="00D54F46"/>
    <w:rsid w:val="00D550B8"/>
    <w:rsid w:val="00D550E0"/>
    <w:rsid w:val="00D550F0"/>
    <w:rsid w:val="00D55187"/>
    <w:rsid w:val="00D555DB"/>
    <w:rsid w:val="00D55661"/>
    <w:rsid w:val="00D556A0"/>
    <w:rsid w:val="00D556E5"/>
    <w:rsid w:val="00D55818"/>
    <w:rsid w:val="00D55ACC"/>
    <w:rsid w:val="00D55AFA"/>
    <w:rsid w:val="00D55C59"/>
    <w:rsid w:val="00D55C71"/>
    <w:rsid w:val="00D55C9F"/>
    <w:rsid w:val="00D55CAE"/>
    <w:rsid w:val="00D55E1C"/>
    <w:rsid w:val="00D55EA0"/>
    <w:rsid w:val="00D55FAA"/>
    <w:rsid w:val="00D55FE6"/>
    <w:rsid w:val="00D56071"/>
    <w:rsid w:val="00D560B9"/>
    <w:rsid w:val="00D562FF"/>
    <w:rsid w:val="00D56372"/>
    <w:rsid w:val="00D564F0"/>
    <w:rsid w:val="00D566D3"/>
    <w:rsid w:val="00D5678E"/>
    <w:rsid w:val="00D56825"/>
    <w:rsid w:val="00D56A22"/>
    <w:rsid w:val="00D56A51"/>
    <w:rsid w:val="00D56C20"/>
    <w:rsid w:val="00D56C97"/>
    <w:rsid w:val="00D56D27"/>
    <w:rsid w:val="00D56ECD"/>
    <w:rsid w:val="00D56F20"/>
    <w:rsid w:val="00D56F3B"/>
    <w:rsid w:val="00D572FB"/>
    <w:rsid w:val="00D573F5"/>
    <w:rsid w:val="00D573F7"/>
    <w:rsid w:val="00D577AC"/>
    <w:rsid w:val="00D5791F"/>
    <w:rsid w:val="00D57B55"/>
    <w:rsid w:val="00D57C83"/>
    <w:rsid w:val="00D57D4D"/>
    <w:rsid w:val="00D57D59"/>
    <w:rsid w:val="00D57DFD"/>
    <w:rsid w:val="00D57F52"/>
    <w:rsid w:val="00D60093"/>
    <w:rsid w:val="00D600B3"/>
    <w:rsid w:val="00D600D5"/>
    <w:rsid w:val="00D60201"/>
    <w:rsid w:val="00D6020E"/>
    <w:rsid w:val="00D60265"/>
    <w:rsid w:val="00D60294"/>
    <w:rsid w:val="00D602CC"/>
    <w:rsid w:val="00D6042D"/>
    <w:rsid w:val="00D6048B"/>
    <w:rsid w:val="00D604E2"/>
    <w:rsid w:val="00D60584"/>
    <w:rsid w:val="00D606B7"/>
    <w:rsid w:val="00D606EC"/>
    <w:rsid w:val="00D60812"/>
    <w:rsid w:val="00D6085F"/>
    <w:rsid w:val="00D608B6"/>
    <w:rsid w:val="00D6099D"/>
    <w:rsid w:val="00D60AC3"/>
    <w:rsid w:val="00D60AE9"/>
    <w:rsid w:val="00D60B05"/>
    <w:rsid w:val="00D60B88"/>
    <w:rsid w:val="00D60BE3"/>
    <w:rsid w:val="00D60BF1"/>
    <w:rsid w:val="00D60C76"/>
    <w:rsid w:val="00D60C79"/>
    <w:rsid w:val="00D60CB3"/>
    <w:rsid w:val="00D60D7C"/>
    <w:rsid w:val="00D60DAF"/>
    <w:rsid w:val="00D60DFB"/>
    <w:rsid w:val="00D60E9F"/>
    <w:rsid w:val="00D60EB6"/>
    <w:rsid w:val="00D60F6E"/>
    <w:rsid w:val="00D60F96"/>
    <w:rsid w:val="00D60FA2"/>
    <w:rsid w:val="00D61056"/>
    <w:rsid w:val="00D6117C"/>
    <w:rsid w:val="00D61198"/>
    <w:rsid w:val="00D6123E"/>
    <w:rsid w:val="00D612C1"/>
    <w:rsid w:val="00D612D0"/>
    <w:rsid w:val="00D6139A"/>
    <w:rsid w:val="00D613FF"/>
    <w:rsid w:val="00D614A8"/>
    <w:rsid w:val="00D614D8"/>
    <w:rsid w:val="00D614DA"/>
    <w:rsid w:val="00D61570"/>
    <w:rsid w:val="00D6171F"/>
    <w:rsid w:val="00D61A2F"/>
    <w:rsid w:val="00D61A31"/>
    <w:rsid w:val="00D61A3C"/>
    <w:rsid w:val="00D61B9C"/>
    <w:rsid w:val="00D61C04"/>
    <w:rsid w:val="00D61C61"/>
    <w:rsid w:val="00D61CA7"/>
    <w:rsid w:val="00D61CB5"/>
    <w:rsid w:val="00D61CE2"/>
    <w:rsid w:val="00D61CF3"/>
    <w:rsid w:val="00D61D13"/>
    <w:rsid w:val="00D61E61"/>
    <w:rsid w:val="00D61EA6"/>
    <w:rsid w:val="00D61EE7"/>
    <w:rsid w:val="00D61EE9"/>
    <w:rsid w:val="00D61F38"/>
    <w:rsid w:val="00D61F56"/>
    <w:rsid w:val="00D62097"/>
    <w:rsid w:val="00D6217D"/>
    <w:rsid w:val="00D62280"/>
    <w:rsid w:val="00D62321"/>
    <w:rsid w:val="00D62339"/>
    <w:rsid w:val="00D62430"/>
    <w:rsid w:val="00D62489"/>
    <w:rsid w:val="00D6262A"/>
    <w:rsid w:val="00D6270C"/>
    <w:rsid w:val="00D62791"/>
    <w:rsid w:val="00D62895"/>
    <w:rsid w:val="00D628DD"/>
    <w:rsid w:val="00D6295A"/>
    <w:rsid w:val="00D629B4"/>
    <w:rsid w:val="00D629BF"/>
    <w:rsid w:val="00D629F3"/>
    <w:rsid w:val="00D629F9"/>
    <w:rsid w:val="00D62B07"/>
    <w:rsid w:val="00D62CAE"/>
    <w:rsid w:val="00D62E84"/>
    <w:rsid w:val="00D62EB6"/>
    <w:rsid w:val="00D62F04"/>
    <w:rsid w:val="00D62F9F"/>
    <w:rsid w:val="00D62FC2"/>
    <w:rsid w:val="00D63017"/>
    <w:rsid w:val="00D63053"/>
    <w:rsid w:val="00D6307B"/>
    <w:rsid w:val="00D631BA"/>
    <w:rsid w:val="00D63201"/>
    <w:rsid w:val="00D633FE"/>
    <w:rsid w:val="00D63416"/>
    <w:rsid w:val="00D63567"/>
    <w:rsid w:val="00D63570"/>
    <w:rsid w:val="00D63685"/>
    <w:rsid w:val="00D637B6"/>
    <w:rsid w:val="00D63916"/>
    <w:rsid w:val="00D639F2"/>
    <w:rsid w:val="00D63C5F"/>
    <w:rsid w:val="00D63D94"/>
    <w:rsid w:val="00D63DC6"/>
    <w:rsid w:val="00D63DD4"/>
    <w:rsid w:val="00D63DF6"/>
    <w:rsid w:val="00D63E38"/>
    <w:rsid w:val="00D63EFE"/>
    <w:rsid w:val="00D63F09"/>
    <w:rsid w:val="00D640BA"/>
    <w:rsid w:val="00D640EF"/>
    <w:rsid w:val="00D6425A"/>
    <w:rsid w:val="00D6428E"/>
    <w:rsid w:val="00D643B7"/>
    <w:rsid w:val="00D643E8"/>
    <w:rsid w:val="00D64439"/>
    <w:rsid w:val="00D644AB"/>
    <w:rsid w:val="00D645A1"/>
    <w:rsid w:val="00D6463C"/>
    <w:rsid w:val="00D646AF"/>
    <w:rsid w:val="00D646DF"/>
    <w:rsid w:val="00D646E4"/>
    <w:rsid w:val="00D64704"/>
    <w:rsid w:val="00D64728"/>
    <w:rsid w:val="00D6474A"/>
    <w:rsid w:val="00D64798"/>
    <w:rsid w:val="00D64813"/>
    <w:rsid w:val="00D64818"/>
    <w:rsid w:val="00D64980"/>
    <w:rsid w:val="00D64A62"/>
    <w:rsid w:val="00D64AD3"/>
    <w:rsid w:val="00D64BCB"/>
    <w:rsid w:val="00D64C69"/>
    <w:rsid w:val="00D64D15"/>
    <w:rsid w:val="00D64DA8"/>
    <w:rsid w:val="00D65030"/>
    <w:rsid w:val="00D65036"/>
    <w:rsid w:val="00D650B1"/>
    <w:rsid w:val="00D65229"/>
    <w:rsid w:val="00D652AB"/>
    <w:rsid w:val="00D653DD"/>
    <w:rsid w:val="00D653FA"/>
    <w:rsid w:val="00D65424"/>
    <w:rsid w:val="00D65498"/>
    <w:rsid w:val="00D6558F"/>
    <w:rsid w:val="00D655A5"/>
    <w:rsid w:val="00D655B1"/>
    <w:rsid w:val="00D65725"/>
    <w:rsid w:val="00D6572C"/>
    <w:rsid w:val="00D6574F"/>
    <w:rsid w:val="00D65773"/>
    <w:rsid w:val="00D65791"/>
    <w:rsid w:val="00D65962"/>
    <w:rsid w:val="00D659A6"/>
    <w:rsid w:val="00D659BF"/>
    <w:rsid w:val="00D65A03"/>
    <w:rsid w:val="00D65A09"/>
    <w:rsid w:val="00D65AA6"/>
    <w:rsid w:val="00D65B8A"/>
    <w:rsid w:val="00D65BCD"/>
    <w:rsid w:val="00D65D51"/>
    <w:rsid w:val="00D65DB8"/>
    <w:rsid w:val="00D65DE1"/>
    <w:rsid w:val="00D660E0"/>
    <w:rsid w:val="00D662A3"/>
    <w:rsid w:val="00D662B4"/>
    <w:rsid w:val="00D662F1"/>
    <w:rsid w:val="00D6635D"/>
    <w:rsid w:val="00D66387"/>
    <w:rsid w:val="00D66471"/>
    <w:rsid w:val="00D664DA"/>
    <w:rsid w:val="00D6656A"/>
    <w:rsid w:val="00D66578"/>
    <w:rsid w:val="00D66679"/>
    <w:rsid w:val="00D6679D"/>
    <w:rsid w:val="00D66869"/>
    <w:rsid w:val="00D668E5"/>
    <w:rsid w:val="00D6696A"/>
    <w:rsid w:val="00D66A2F"/>
    <w:rsid w:val="00D66AC0"/>
    <w:rsid w:val="00D66AD9"/>
    <w:rsid w:val="00D66B17"/>
    <w:rsid w:val="00D66B67"/>
    <w:rsid w:val="00D66CED"/>
    <w:rsid w:val="00D66D2D"/>
    <w:rsid w:val="00D66D43"/>
    <w:rsid w:val="00D66D98"/>
    <w:rsid w:val="00D66E63"/>
    <w:rsid w:val="00D66ECA"/>
    <w:rsid w:val="00D66EDC"/>
    <w:rsid w:val="00D66F04"/>
    <w:rsid w:val="00D670CF"/>
    <w:rsid w:val="00D670E1"/>
    <w:rsid w:val="00D6722F"/>
    <w:rsid w:val="00D67260"/>
    <w:rsid w:val="00D6727E"/>
    <w:rsid w:val="00D672C7"/>
    <w:rsid w:val="00D674B4"/>
    <w:rsid w:val="00D67595"/>
    <w:rsid w:val="00D675DA"/>
    <w:rsid w:val="00D67634"/>
    <w:rsid w:val="00D67727"/>
    <w:rsid w:val="00D67751"/>
    <w:rsid w:val="00D679B3"/>
    <w:rsid w:val="00D679FC"/>
    <w:rsid w:val="00D67B9C"/>
    <w:rsid w:val="00D67BBA"/>
    <w:rsid w:val="00D67BBC"/>
    <w:rsid w:val="00D67BEF"/>
    <w:rsid w:val="00D70017"/>
    <w:rsid w:val="00D70025"/>
    <w:rsid w:val="00D7005D"/>
    <w:rsid w:val="00D700CF"/>
    <w:rsid w:val="00D70259"/>
    <w:rsid w:val="00D702D3"/>
    <w:rsid w:val="00D704D0"/>
    <w:rsid w:val="00D7053E"/>
    <w:rsid w:val="00D70686"/>
    <w:rsid w:val="00D7077A"/>
    <w:rsid w:val="00D70780"/>
    <w:rsid w:val="00D7079B"/>
    <w:rsid w:val="00D7085F"/>
    <w:rsid w:val="00D708E4"/>
    <w:rsid w:val="00D709ED"/>
    <w:rsid w:val="00D70A0B"/>
    <w:rsid w:val="00D70AFC"/>
    <w:rsid w:val="00D70BE7"/>
    <w:rsid w:val="00D70D3B"/>
    <w:rsid w:val="00D70D94"/>
    <w:rsid w:val="00D70D9A"/>
    <w:rsid w:val="00D70EC1"/>
    <w:rsid w:val="00D70FCF"/>
    <w:rsid w:val="00D7114D"/>
    <w:rsid w:val="00D71169"/>
    <w:rsid w:val="00D71344"/>
    <w:rsid w:val="00D7140B"/>
    <w:rsid w:val="00D7145E"/>
    <w:rsid w:val="00D714EF"/>
    <w:rsid w:val="00D7150F"/>
    <w:rsid w:val="00D71522"/>
    <w:rsid w:val="00D7158A"/>
    <w:rsid w:val="00D7164E"/>
    <w:rsid w:val="00D71688"/>
    <w:rsid w:val="00D717E9"/>
    <w:rsid w:val="00D71803"/>
    <w:rsid w:val="00D7181B"/>
    <w:rsid w:val="00D718AF"/>
    <w:rsid w:val="00D718EF"/>
    <w:rsid w:val="00D71927"/>
    <w:rsid w:val="00D71B01"/>
    <w:rsid w:val="00D71BBA"/>
    <w:rsid w:val="00D71D29"/>
    <w:rsid w:val="00D71D7B"/>
    <w:rsid w:val="00D71E00"/>
    <w:rsid w:val="00D71EED"/>
    <w:rsid w:val="00D71F77"/>
    <w:rsid w:val="00D72199"/>
    <w:rsid w:val="00D72204"/>
    <w:rsid w:val="00D7221C"/>
    <w:rsid w:val="00D7223B"/>
    <w:rsid w:val="00D72289"/>
    <w:rsid w:val="00D7238C"/>
    <w:rsid w:val="00D723CD"/>
    <w:rsid w:val="00D723EE"/>
    <w:rsid w:val="00D7257B"/>
    <w:rsid w:val="00D725AC"/>
    <w:rsid w:val="00D725EB"/>
    <w:rsid w:val="00D726DB"/>
    <w:rsid w:val="00D7277A"/>
    <w:rsid w:val="00D728EF"/>
    <w:rsid w:val="00D729A9"/>
    <w:rsid w:val="00D729C4"/>
    <w:rsid w:val="00D72A08"/>
    <w:rsid w:val="00D72A89"/>
    <w:rsid w:val="00D72B1A"/>
    <w:rsid w:val="00D72BA9"/>
    <w:rsid w:val="00D72BD2"/>
    <w:rsid w:val="00D72C08"/>
    <w:rsid w:val="00D72C6A"/>
    <w:rsid w:val="00D72D11"/>
    <w:rsid w:val="00D72D76"/>
    <w:rsid w:val="00D72E76"/>
    <w:rsid w:val="00D72EE6"/>
    <w:rsid w:val="00D7302F"/>
    <w:rsid w:val="00D730E2"/>
    <w:rsid w:val="00D73223"/>
    <w:rsid w:val="00D732B9"/>
    <w:rsid w:val="00D73325"/>
    <w:rsid w:val="00D7338C"/>
    <w:rsid w:val="00D73392"/>
    <w:rsid w:val="00D73441"/>
    <w:rsid w:val="00D73469"/>
    <w:rsid w:val="00D73559"/>
    <w:rsid w:val="00D7355A"/>
    <w:rsid w:val="00D73609"/>
    <w:rsid w:val="00D73657"/>
    <w:rsid w:val="00D736F7"/>
    <w:rsid w:val="00D737B9"/>
    <w:rsid w:val="00D73811"/>
    <w:rsid w:val="00D73ACD"/>
    <w:rsid w:val="00D73AD9"/>
    <w:rsid w:val="00D73B63"/>
    <w:rsid w:val="00D73BA9"/>
    <w:rsid w:val="00D73C49"/>
    <w:rsid w:val="00D73CF6"/>
    <w:rsid w:val="00D73E09"/>
    <w:rsid w:val="00D73E45"/>
    <w:rsid w:val="00D73E85"/>
    <w:rsid w:val="00D73EFB"/>
    <w:rsid w:val="00D73F28"/>
    <w:rsid w:val="00D741F8"/>
    <w:rsid w:val="00D74234"/>
    <w:rsid w:val="00D743D9"/>
    <w:rsid w:val="00D7444E"/>
    <w:rsid w:val="00D744E8"/>
    <w:rsid w:val="00D74587"/>
    <w:rsid w:val="00D745DA"/>
    <w:rsid w:val="00D746F0"/>
    <w:rsid w:val="00D74728"/>
    <w:rsid w:val="00D74816"/>
    <w:rsid w:val="00D74856"/>
    <w:rsid w:val="00D74870"/>
    <w:rsid w:val="00D7488B"/>
    <w:rsid w:val="00D74B06"/>
    <w:rsid w:val="00D74B2B"/>
    <w:rsid w:val="00D74B30"/>
    <w:rsid w:val="00D74B4D"/>
    <w:rsid w:val="00D74B71"/>
    <w:rsid w:val="00D74C38"/>
    <w:rsid w:val="00D74C5E"/>
    <w:rsid w:val="00D74E61"/>
    <w:rsid w:val="00D74F2C"/>
    <w:rsid w:val="00D74FC4"/>
    <w:rsid w:val="00D7506D"/>
    <w:rsid w:val="00D751A7"/>
    <w:rsid w:val="00D75241"/>
    <w:rsid w:val="00D75292"/>
    <w:rsid w:val="00D752A5"/>
    <w:rsid w:val="00D7532B"/>
    <w:rsid w:val="00D75429"/>
    <w:rsid w:val="00D754B2"/>
    <w:rsid w:val="00D754E6"/>
    <w:rsid w:val="00D75722"/>
    <w:rsid w:val="00D7583D"/>
    <w:rsid w:val="00D758E8"/>
    <w:rsid w:val="00D75A0D"/>
    <w:rsid w:val="00D75A43"/>
    <w:rsid w:val="00D75A7F"/>
    <w:rsid w:val="00D75BC1"/>
    <w:rsid w:val="00D75BD7"/>
    <w:rsid w:val="00D75C26"/>
    <w:rsid w:val="00D75D06"/>
    <w:rsid w:val="00D75D47"/>
    <w:rsid w:val="00D75D80"/>
    <w:rsid w:val="00D75D8D"/>
    <w:rsid w:val="00D75E23"/>
    <w:rsid w:val="00D75ECF"/>
    <w:rsid w:val="00D75ED6"/>
    <w:rsid w:val="00D75F75"/>
    <w:rsid w:val="00D762FC"/>
    <w:rsid w:val="00D7632A"/>
    <w:rsid w:val="00D764CA"/>
    <w:rsid w:val="00D76631"/>
    <w:rsid w:val="00D76643"/>
    <w:rsid w:val="00D7667A"/>
    <w:rsid w:val="00D76697"/>
    <w:rsid w:val="00D766DC"/>
    <w:rsid w:val="00D767AC"/>
    <w:rsid w:val="00D7681D"/>
    <w:rsid w:val="00D76820"/>
    <w:rsid w:val="00D76867"/>
    <w:rsid w:val="00D768AF"/>
    <w:rsid w:val="00D7692E"/>
    <w:rsid w:val="00D769A4"/>
    <w:rsid w:val="00D76A16"/>
    <w:rsid w:val="00D76BF0"/>
    <w:rsid w:val="00D76C29"/>
    <w:rsid w:val="00D76C2D"/>
    <w:rsid w:val="00D76E42"/>
    <w:rsid w:val="00D76FE2"/>
    <w:rsid w:val="00D77271"/>
    <w:rsid w:val="00D7731A"/>
    <w:rsid w:val="00D77596"/>
    <w:rsid w:val="00D77625"/>
    <w:rsid w:val="00D776A5"/>
    <w:rsid w:val="00D77790"/>
    <w:rsid w:val="00D778A4"/>
    <w:rsid w:val="00D778D6"/>
    <w:rsid w:val="00D77989"/>
    <w:rsid w:val="00D77A66"/>
    <w:rsid w:val="00D77A8F"/>
    <w:rsid w:val="00D77B94"/>
    <w:rsid w:val="00D77D06"/>
    <w:rsid w:val="00D77D2E"/>
    <w:rsid w:val="00D77D40"/>
    <w:rsid w:val="00D77E5D"/>
    <w:rsid w:val="00D80052"/>
    <w:rsid w:val="00D80199"/>
    <w:rsid w:val="00D803B4"/>
    <w:rsid w:val="00D804D4"/>
    <w:rsid w:val="00D8071E"/>
    <w:rsid w:val="00D8075B"/>
    <w:rsid w:val="00D8080F"/>
    <w:rsid w:val="00D80815"/>
    <w:rsid w:val="00D808F8"/>
    <w:rsid w:val="00D8097A"/>
    <w:rsid w:val="00D80B41"/>
    <w:rsid w:val="00D80B7E"/>
    <w:rsid w:val="00D80B7F"/>
    <w:rsid w:val="00D80C53"/>
    <w:rsid w:val="00D80DC1"/>
    <w:rsid w:val="00D80E32"/>
    <w:rsid w:val="00D80F3B"/>
    <w:rsid w:val="00D81009"/>
    <w:rsid w:val="00D81068"/>
    <w:rsid w:val="00D810FB"/>
    <w:rsid w:val="00D81115"/>
    <w:rsid w:val="00D811ED"/>
    <w:rsid w:val="00D811F4"/>
    <w:rsid w:val="00D8129B"/>
    <w:rsid w:val="00D812D1"/>
    <w:rsid w:val="00D813AC"/>
    <w:rsid w:val="00D813ED"/>
    <w:rsid w:val="00D815C0"/>
    <w:rsid w:val="00D8170E"/>
    <w:rsid w:val="00D81837"/>
    <w:rsid w:val="00D818DF"/>
    <w:rsid w:val="00D81A3F"/>
    <w:rsid w:val="00D81A82"/>
    <w:rsid w:val="00D81B41"/>
    <w:rsid w:val="00D81D51"/>
    <w:rsid w:val="00D81F0D"/>
    <w:rsid w:val="00D81F59"/>
    <w:rsid w:val="00D8206D"/>
    <w:rsid w:val="00D820C2"/>
    <w:rsid w:val="00D82199"/>
    <w:rsid w:val="00D821E5"/>
    <w:rsid w:val="00D823CD"/>
    <w:rsid w:val="00D824ED"/>
    <w:rsid w:val="00D82504"/>
    <w:rsid w:val="00D82610"/>
    <w:rsid w:val="00D826DC"/>
    <w:rsid w:val="00D8270F"/>
    <w:rsid w:val="00D8272C"/>
    <w:rsid w:val="00D827EB"/>
    <w:rsid w:val="00D828AB"/>
    <w:rsid w:val="00D82905"/>
    <w:rsid w:val="00D829C6"/>
    <w:rsid w:val="00D82A08"/>
    <w:rsid w:val="00D82AD5"/>
    <w:rsid w:val="00D82C2F"/>
    <w:rsid w:val="00D82D55"/>
    <w:rsid w:val="00D82E86"/>
    <w:rsid w:val="00D831F7"/>
    <w:rsid w:val="00D83242"/>
    <w:rsid w:val="00D8326C"/>
    <w:rsid w:val="00D833C7"/>
    <w:rsid w:val="00D835EF"/>
    <w:rsid w:val="00D838BC"/>
    <w:rsid w:val="00D839BD"/>
    <w:rsid w:val="00D839E3"/>
    <w:rsid w:val="00D839F7"/>
    <w:rsid w:val="00D83A4A"/>
    <w:rsid w:val="00D83AD0"/>
    <w:rsid w:val="00D83AE4"/>
    <w:rsid w:val="00D83B53"/>
    <w:rsid w:val="00D83B5B"/>
    <w:rsid w:val="00D83B94"/>
    <w:rsid w:val="00D83BBB"/>
    <w:rsid w:val="00D83BD4"/>
    <w:rsid w:val="00D83C3F"/>
    <w:rsid w:val="00D83C51"/>
    <w:rsid w:val="00D83DA8"/>
    <w:rsid w:val="00D83E1D"/>
    <w:rsid w:val="00D84030"/>
    <w:rsid w:val="00D84181"/>
    <w:rsid w:val="00D84280"/>
    <w:rsid w:val="00D84309"/>
    <w:rsid w:val="00D843C5"/>
    <w:rsid w:val="00D843E4"/>
    <w:rsid w:val="00D84451"/>
    <w:rsid w:val="00D84531"/>
    <w:rsid w:val="00D84680"/>
    <w:rsid w:val="00D84800"/>
    <w:rsid w:val="00D848B8"/>
    <w:rsid w:val="00D84A17"/>
    <w:rsid w:val="00D84B0E"/>
    <w:rsid w:val="00D84B92"/>
    <w:rsid w:val="00D84C4B"/>
    <w:rsid w:val="00D84D0E"/>
    <w:rsid w:val="00D84DA2"/>
    <w:rsid w:val="00D84EBE"/>
    <w:rsid w:val="00D84EDD"/>
    <w:rsid w:val="00D85159"/>
    <w:rsid w:val="00D85301"/>
    <w:rsid w:val="00D8540C"/>
    <w:rsid w:val="00D85419"/>
    <w:rsid w:val="00D85434"/>
    <w:rsid w:val="00D854C2"/>
    <w:rsid w:val="00D8557C"/>
    <w:rsid w:val="00D8575A"/>
    <w:rsid w:val="00D857CD"/>
    <w:rsid w:val="00D859F9"/>
    <w:rsid w:val="00D85A28"/>
    <w:rsid w:val="00D85A69"/>
    <w:rsid w:val="00D85ACE"/>
    <w:rsid w:val="00D85AE3"/>
    <w:rsid w:val="00D85B31"/>
    <w:rsid w:val="00D85B82"/>
    <w:rsid w:val="00D85D97"/>
    <w:rsid w:val="00D85E2D"/>
    <w:rsid w:val="00D85E40"/>
    <w:rsid w:val="00D85E85"/>
    <w:rsid w:val="00D85EDC"/>
    <w:rsid w:val="00D85FBF"/>
    <w:rsid w:val="00D86176"/>
    <w:rsid w:val="00D86180"/>
    <w:rsid w:val="00D86280"/>
    <w:rsid w:val="00D86338"/>
    <w:rsid w:val="00D86378"/>
    <w:rsid w:val="00D863A5"/>
    <w:rsid w:val="00D863C8"/>
    <w:rsid w:val="00D863E5"/>
    <w:rsid w:val="00D8640D"/>
    <w:rsid w:val="00D86533"/>
    <w:rsid w:val="00D865E7"/>
    <w:rsid w:val="00D86610"/>
    <w:rsid w:val="00D86615"/>
    <w:rsid w:val="00D866D0"/>
    <w:rsid w:val="00D8672C"/>
    <w:rsid w:val="00D8678B"/>
    <w:rsid w:val="00D869FA"/>
    <w:rsid w:val="00D86B89"/>
    <w:rsid w:val="00D86C85"/>
    <w:rsid w:val="00D86C9A"/>
    <w:rsid w:val="00D86D37"/>
    <w:rsid w:val="00D86E1E"/>
    <w:rsid w:val="00D87069"/>
    <w:rsid w:val="00D87157"/>
    <w:rsid w:val="00D871E1"/>
    <w:rsid w:val="00D87279"/>
    <w:rsid w:val="00D872A6"/>
    <w:rsid w:val="00D8737D"/>
    <w:rsid w:val="00D8743F"/>
    <w:rsid w:val="00D8745D"/>
    <w:rsid w:val="00D875D6"/>
    <w:rsid w:val="00D87600"/>
    <w:rsid w:val="00D87633"/>
    <w:rsid w:val="00D87704"/>
    <w:rsid w:val="00D87745"/>
    <w:rsid w:val="00D87749"/>
    <w:rsid w:val="00D87808"/>
    <w:rsid w:val="00D8794E"/>
    <w:rsid w:val="00D87DE8"/>
    <w:rsid w:val="00D87E6B"/>
    <w:rsid w:val="00D87F78"/>
    <w:rsid w:val="00D900E9"/>
    <w:rsid w:val="00D90146"/>
    <w:rsid w:val="00D90290"/>
    <w:rsid w:val="00D902A0"/>
    <w:rsid w:val="00D902BE"/>
    <w:rsid w:val="00D904CE"/>
    <w:rsid w:val="00D9051D"/>
    <w:rsid w:val="00D90565"/>
    <w:rsid w:val="00D90587"/>
    <w:rsid w:val="00D90649"/>
    <w:rsid w:val="00D90670"/>
    <w:rsid w:val="00D906AC"/>
    <w:rsid w:val="00D90720"/>
    <w:rsid w:val="00D907D2"/>
    <w:rsid w:val="00D907D9"/>
    <w:rsid w:val="00D908B7"/>
    <w:rsid w:val="00D908C1"/>
    <w:rsid w:val="00D9096B"/>
    <w:rsid w:val="00D90983"/>
    <w:rsid w:val="00D909EF"/>
    <w:rsid w:val="00D90A34"/>
    <w:rsid w:val="00D90B38"/>
    <w:rsid w:val="00D90CB8"/>
    <w:rsid w:val="00D90E11"/>
    <w:rsid w:val="00D90EED"/>
    <w:rsid w:val="00D90F62"/>
    <w:rsid w:val="00D90F9D"/>
    <w:rsid w:val="00D91078"/>
    <w:rsid w:val="00D9113E"/>
    <w:rsid w:val="00D91181"/>
    <w:rsid w:val="00D91208"/>
    <w:rsid w:val="00D91239"/>
    <w:rsid w:val="00D91364"/>
    <w:rsid w:val="00D9137B"/>
    <w:rsid w:val="00D91717"/>
    <w:rsid w:val="00D91762"/>
    <w:rsid w:val="00D9186B"/>
    <w:rsid w:val="00D918CD"/>
    <w:rsid w:val="00D91966"/>
    <w:rsid w:val="00D919DD"/>
    <w:rsid w:val="00D91BEB"/>
    <w:rsid w:val="00D91C87"/>
    <w:rsid w:val="00D91D90"/>
    <w:rsid w:val="00D91DB0"/>
    <w:rsid w:val="00D91F26"/>
    <w:rsid w:val="00D9201A"/>
    <w:rsid w:val="00D9210E"/>
    <w:rsid w:val="00D92136"/>
    <w:rsid w:val="00D92140"/>
    <w:rsid w:val="00D92167"/>
    <w:rsid w:val="00D92347"/>
    <w:rsid w:val="00D9240F"/>
    <w:rsid w:val="00D924A1"/>
    <w:rsid w:val="00D924DD"/>
    <w:rsid w:val="00D925B7"/>
    <w:rsid w:val="00D925F3"/>
    <w:rsid w:val="00D92910"/>
    <w:rsid w:val="00D92A16"/>
    <w:rsid w:val="00D92AA0"/>
    <w:rsid w:val="00D92D51"/>
    <w:rsid w:val="00D92D8C"/>
    <w:rsid w:val="00D92DF4"/>
    <w:rsid w:val="00D92EF5"/>
    <w:rsid w:val="00D930DD"/>
    <w:rsid w:val="00D93186"/>
    <w:rsid w:val="00D9318D"/>
    <w:rsid w:val="00D93199"/>
    <w:rsid w:val="00D931D9"/>
    <w:rsid w:val="00D93327"/>
    <w:rsid w:val="00D9335E"/>
    <w:rsid w:val="00D9335F"/>
    <w:rsid w:val="00D934DD"/>
    <w:rsid w:val="00D9351E"/>
    <w:rsid w:val="00D93678"/>
    <w:rsid w:val="00D9373F"/>
    <w:rsid w:val="00D93AA9"/>
    <w:rsid w:val="00D93B29"/>
    <w:rsid w:val="00D93B2A"/>
    <w:rsid w:val="00D93B48"/>
    <w:rsid w:val="00D93BFD"/>
    <w:rsid w:val="00D93C9E"/>
    <w:rsid w:val="00D93CB6"/>
    <w:rsid w:val="00D93F70"/>
    <w:rsid w:val="00D93F89"/>
    <w:rsid w:val="00D94195"/>
    <w:rsid w:val="00D9427A"/>
    <w:rsid w:val="00D942B1"/>
    <w:rsid w:val="00D942CE"/>
    <w:rsid w:val="00D943A2"/>
    <w:rsid w:val="00D9444B"/>
    <w:rsid w:val="00D9444E"/>
    <w:rsid w:val="00D945FB"/>
    <w:rsid w:val="00D9464B"/>
    <w:rsid w:val="00D946EF"/>
    <w:rsid w:val="00D94754"/>
    <w:rsid w:val="00D94767"/>
    <w:rsid w:val="00D9488B"/>
    <w:rsid w:val="00D94967"/>
    <w:rsid w:val="00D94A6E"/>
    <w:rsid w:val="00D94AED"/>
    <w:rsid w:val="00D94D13"/>
    <w:rsid w:val="00D94D97"/>
    <w:rsid w:val="00D94E57"/>
    <w:rsid w:val="00D94ECF"/>
    <w:rsid w:val="00D94F97"/>
    <w:rsid w:val="00D9500D"/>
    <w:rsid w:val="00D953E1"/>
    <w:rsid w:val="00D9555C"/>
    <w:rsid w:val="00D955BC"/>
    <w:rsid w:val="00D955F0"/>
    <w:rsid w:val="00D956E1"/>
    <w:rsid w:val="00D957E4"/>
    <w:rsid w:val="00D95805"/>
    <w:rsid w:val="00D95992"/>
    <w:rsid w:val="00D95B90"/>
    <w:rsid w:val="00D95BAA"/>
    <w:rsid w:val="00D95C72"/>
    <w:rsid w:val="00D95CD9"/>
    <w:rsid w:val="00D95D06"/>
    <w:rsid w:val="00D95ED5"/>
    <w:rsid w:val="00D95F24"/>
    <w:rsid w:val="00D95F9B"/>
    <w:rsid w:val="00D95FEA"/>
    <w:rsid w:val="00D9607F"/>
    <w:rsid w:val="00D96092"/>
    <w:rsid w:val="00D96094"/>
    <w:rsid w:val="00D961E0"/>
    <w:rsid w:val="00D963DE"/>
    <w:rsid w:val="00D96453"/>
    <w:rsid w:val="00D9646C"/>
    <w:rsid w:val="00D9647A"/>
    <w:rsid w:val="00D964D2"/>
    <w:rsid w:val="00D96506"/>
    <w:rsid w:val="00D96555"/>
    <w:rsid w:val="00D96653"/>
    <w:rsid w:val="00D967DD"/>
    <w:rsid w:val="00D968DB"/>
    <w:rsid w:val="00D96902"/>
    <w:rsid w:val="00D9698C"/>
    <w:rsid w:val="00D96A8C"/>
    <w:rsid w:val="00D96AD6"/>
    <w:rsid w:val="00D96D17"/>
    <w:rsid w:val="00D96E37"/>
    <w:rsid w:val="00D96E71"/>
    <w:rsid w:val="00D96EAB"/>
    <w:rsid w:val="00D96F55"/>
    <w:rsid w:val="00D97113"/>
    <w:rsid w:val="00D971C7"/>
    <w:rsid w:val="00D9721F"/>
    <w:rsid w:val="00D9724B"/>
    <w:rsid w:val="00D97337"/>
    <w:rsid w:val="00D9751A"/>
    <w:rsid w:val="00D975AA"/>
    <w:rsid w:val="00D9791E"/>
    <w:rsid w:val="00D979BD"/>
    <w:rsid w:val="00D979BE"/>
    <w:rsid w:val="00D97AE8"/>
    <w:rsid w:val="00D97DF7"/>
    <w:rsid w:val="00D97EC5"/>
    <w:rsid w:val="00DA002C"/>
    <w:rsid w:val="00DA0039"/>
    <w:rsid w:val="00DA0063"/>
    <w:rsid w:val="00DA02D4"/>
    <w:rsid w:val="00DA02F7"/>
    <w:rsid w:val="00DA0303"/>
    <w:rsid w:val="00DA03AF"/>
    <w:rsid w:val="00DA0412"/>
    <w:rsid w:val="00DA044A"/>
    <w:rsid w:val="00DA0751"/>
    <w:rsid w:val="00DA0852"/>
    <w:rsid w:val="00DA0910"/>
    <w:rsid w:val="00DA0914"/>
    <w:rsid w:val="00DA0A0C"/>
    <w:rsid w:val="00DA0A77"/>
    <w:rsid w:val="00DA0B24"/>
    <w:rsid w:val="00DA0B69"/>
    <w:rsid w:val="00DA0C22"/>
    <w:rsid w:val="00DA0D17"/>
    <w:rsid w:val="00DA0D4F"/>
    <w:rsid w:val="00DA0DCF"/>
    <w:rsid w:val="00DA0F48"/>
    <w:rsid w:val="00DA0FAB"/>
    <w:rsid w:val="00DA1023"/>
    <w:rsid w:val="00DA103A"/>
    <w:rsid w:val="00DA1158"/>
    <w:rsid w:val="00DA1167"/>
    <w:rsid w:val="00DA12CD"/>
    <w:rsid w:val="00DA12F6"/>
    <w:rsid w:val="00DA1309"/>
    <w:rsid w:val="00DA13A2"/>
    <w:rsid w:val="00DA13E8"/>
    <w:rsid w:val="00DA1401"/>
    <w:rsid w:val="00DA155E"/>
    <w:rsid w:val="00DA163B"/>
    <w:rsid w:val="00DA1656"/>
    <w:rsid w:val="00DA16F9"/>
    <w:rsid w:val="00DA1734"/>
    <w:rsid w:val="00DA182E"/>
    <w:rsid w:val="00DA187E"/>
    <w:rsid w:val="00DA1A20"/>
    <w:rsid w:val="00DA1AF3"/>
    <w:rsid w:val="00DA1BD7"/>
    <w:rsid w:val="00DA1C80"/>
    <w:rsid w:val="00DA1F7D"/>
    <w:rsid w:val="00DA2021"/>
    <w:rsid w:val="00DA2033"/>
    <w:rsid w:val="00DA219D"/>
    <w:rsid w:val="00DA21DE"/>
    <w:rsid w:val="00DA2251"/>
    <w:rsid w:val="00DA242D"/>
    <w:rsid w:val="00DA248D"/>
    <w:rsid w:val="00DA2612"/>
    <w:rsid w:val="00DA2649"/>
    <w:rsid w:val="00DA269C"/>
    <w:rsid w:val="00DA28D1"/>
    <w:rsid w:val="00DA2A6C"/>
    <w:rsid w:val="00DA2AB1"/>
    <w:rsid w:val="00DA2AB3"/>
    <w:rsid w:val="00DA2B03"/>
    <w:rsid w:val="00DA2BF0"/>
    <w:rsid w:val="00DA2ECC"/>
    <w:rsid w:val="00DA2F8E"/>
    <w:rsid w:val="00DA3010"/>
    <w:rsid w:val="00DA305B"/>
    <w:rsid w:val="00DA3132"/>
    <w:rsid w:val="00DA332B"/>
    <w:rsid w:val="00DA3394"/>
    <w:rsid w:val="00DA345B"/>
    <w:rsid w:val="00DA36B5"/>
    <w:rsid w:val="00DA375E"/>
    <w:rsid w:val="00DA386C"/>
    <w:rsid w:val="00DA3891"/>
    <w:rsid w:val="00DA394D"/>
    <w:rsid w:val="00DA3987"/>
    <w:rsid w:val="00DA398D"/>
    <w:rsid w:val="00DA3ADB"/>
    <w:rsid w:val="00DA3B9F"/>
    <w:rsid w:val="00DA3CE7"/>
    <w:rsid w:val="00DA3DB5"/>
    <w:rsid w:val="00DA3DB6"/>
    <w:rsid w:val="00DA3DB8"/>
    <w:rsid w:val="00DA3FA5"/>
    <w:rsid w:val="00DA4127"/>
    <w:rsid w:val="00DA41B7"/>
    <w:rsid w:val="00DA42A5"/>
    <w:rsid w:val="00DA42E5"/>
    <w:rsid w:val="00DA42FE"/>
    <w:rsid w:val="00DA4320"/>
    <w:rsid w:val="00DA43AC"/>
    <w:rsid w:val="00DA4420"/>
    <w:rsid w:val="00DA442D"/>
    <w:rsid w:val="00DA4476"/>
    <w:rsid w:val="00DA45B4"/>
    <w:rsid w:val="00DA45E1"/>
    <w:rsid w:val="00DA46AA"/>
    <w:rsid w:val="00DA48F0"/>
    <w:rsid w:val="00DA4A32"/>
    <w:rsid w:val="00DA4B77"/>
    <w:rsid w:val="00DA4B8A"/>
    <w:rsid w:val="00DA4BA8"/>
    <w:rsid w:val="00DA4BC0"/>
    <w:rsid w:val="00DA4C30"/>
    <w:rsid w:val="00DA4C67"/>
    <w:rsid w:val="00DA4C7E"/>
    <w:rsid w:val="00DA4C9F"/>
    <w:rsid w:val="00DA4D6C"/>
    <w:rsid w:val="00DA4E9F"/>
    <w:rsid w:val="00DA4ECE"/>
    <w:rsid w:val="00DA4EDB"/>
    <w:rsid w:val="00DA4F03"/>
    <w:rsid w:val="00DA5029"/>
    <w:rsid w:val="00DA5145"/>
    <w:rsid w:val="00DA51BC"/>
    <w:rsid w:val="00DA5221"/>
    <w:rsid w:val="00DA5372"/>
    <w:rsid w:val="00DA53E4"/>
    <w:rsid w:val="00DA548D"/>
    <w:rsid w:val="00DA5525"/>
    <w:rsid w:val="00DA56FC"/>
    <w:rsid w:val="00DA5704"/>
    <w:rsid w:val="00DA5765"/>
    <w:rsid w:val="00DA5778"/>
    <w:rsid w:val="00DA577F"/>
    <w:rsid w:val="00DA5881"/>
    <w:rsid w:val="00DA5975"/>
    <w:rsid w:val="00DA59C9"/>
    <w:rsid w:val="00DA5A09"/>
    <w:rsid w:val="00DA5A3E"/>
    <w:rsid w:val="00DA5B1D"/>
    <w:rsid w:val="00DA5B9D"/>
    <w:rsid w:val="00DA5BD6"/>
    <w:rsid w:val="00DA5CB4"/>
    <w:rsid w:val="00DA5DC7"/>
    <w:rsid w:val="00DA5ED1"/>
    <w:rsid w:val="00DA5F05"/>
    <w:rsid w:val="00DA605F"/>
    <w:rsid w:val="00DA6101"/>
    <w:rsid w:val="00DA61C9"/>
    <w:rsid w:val="00DA6221"/>
    <w:rsid w:val="00DA6239"/>
    <w:rsid w:val="00DA6261"/>
    <w:rsid w:val="00DA626F"/>
    <w:rsid w:val="00DA630E"/>
    <w:rsid w:val="00DA636C"/>
    <w:rsid w:val="00DA6417"/>
    <w:rsid w:val="00DA66A2"/>
    <w:rsid w:val="00DA69D7"/>
    <w:rsid w:val="00DA6A97"/>
    <w:rsid w:val="00DA6AC8"/>
    <w:rsid w:val="00DA6AE4"/>
    <w:rsid w:val="00DA6CAF"/>
    <w:rsid w:val="00DA6D89"/>
    <w:rsid w:val="00DA6DA1"/>
    <w:rsid w:val="00DA6EAC"/>
    <w:rsid w:val="00DA6FAF"/>
    <w:rsid w:val="00DA72DE"/>
    <w:rsid w:val="00DA72F5"/>
    <w:rsid w:val="00DA7346"/>
    <w:rsid w:val="00DA739D"/>
    <w:rsid w:val="00DA74F0"/>
    <w:rsid w:val="00DA75D1"/>
    <w:rsid w:val="00DA769F"/>
    <w:rsid w:val="00DA78A2"/>
    <w:rsid w:val="00DA7903"/>
    <w:rsid w:val="00DA7966"/>
    <w:rsid w:val="00DA7AEC"/>
    <w:rsid w:val="00DA7BCE"/>
    <w:rsid w:val="00DA7C1B"/>
    <w:rsid w:val="00DA7C82"/>
    <w:rsid w:val="00DA7C83"/>
    <w:rsid w:val="00DA7D41"/>
    <w:rsid w:val="00DA7E57"/>
    <w:rsid w:val="00DA7EEA"/>
    <w:rsid w:val="00DA7F2B"/>
    <w:rsid w:val="00DB011F"/>
    <w:rsid w:val="00DB0144"/>
    <w:rsid w:val="00DB0382"/>
    <w:rsid w:val="00DB03CD"/>
    <w:rsid w:val="00DB03E7"/>
    <w:rsid w:val="00DB03F5"/>
    <w:rsid w:val="00DB064C"/>
    <w:rsid w:val="00DB06D9"/>
    <w:rsid w:val="00DB076E"/>
    <w:rsid w:val="00DB07E0"/>
    <w:rsid w:val="00DB09C3"/>
    <w:rsid w:val="00DB09DC"/>
    <w:rsid w:val="00DB0A77"/>
    <w:rsid w:val="00DB0BAC"/>
    <w:rsid w:val="00DB0C20"/>
    <w:rsid w:val="00DB0C85"/>
    <w:rsid w:val="00DB0C90"/>
    <w:rsid w:val="00DB0CDD"/>
    <w:rsid w:val="00DB0CF1"/>
    <w:rsid w:val="00DB0DA1"/>
    <w:rsid w:val="00DB0EBC"/>
    <w:rsid w:val="00DB1078"/>
    <w:rsid w:val="00DB107C"/>
    <w:rsid w:val="00DB1271"/>
    <w:rsid w:val="00DB1313"/>
    <w:rsid w:val="00DB150F"/>
    <w:rsid w:val="00DB1511"/>
    <w:rsid w:val="00DB1811"/>
    <w:rsid w:val="00DB1820"/>
    <w:rsid w:val="00DB184A"/>
    <w:rsid w:val="00DB18E4"/>
    <w:rsid w:val="00DB19B3"/>
    <w:rsid w:val="00DB19EC"/>
    <w:rsid w:val="00DB1A5A"/>
    <w:rsid w:val="00DB1A7F"/>
    <w:rsid w:val="00DB1B38"/>
    <w:rsid w:val="00DB1C29"/>
    <w:rsid w:val="00DB1D31"/>
    <w:rsid w:val="00DB1D66"/>
    <w:rsid w:val="00DB1D73"/>
    <w:rsid w:val="00DB1DAE"/>
    <w:rsid w:val="00DB1E90"/>
    <w:rsid w:val="00DB1E9A"/>
    <w:rsid w:val="00DB1FA0"/>
    <w:rsid w:val="00DB2095"/>
    <w:rsid w:val="00DB2177"/>
    <w:rsid w:val="00DB22CF"/>
    <w:rsid w:val="00DB23EF"/>
    <w:rsid w:val="00DB24DF"/>
    <w:rsid w:val="00DB2507"/>
    <w:rsid w:val="00DB254D"/>
    <w:rsid w:val="00DB257A"/>
    <w:rsid w:val="00DB263F"/>
    <w:rsid w:val="00DB2662"/>
    <w:rsid w:val="00DB26E0"/>
    <w:rsid w:val="00DB2779"/>
    <w:rsid w:val="00DB28DA"/>
    <w:rsid w:val="00DB2983"/>
    <w:rsid w:val="00DB29FA"/>
    <w:rsid w:val="00DB2AC0"/>
    <w:rsid w:val="00DB2B42"/>
    <w:rsid w:val="00DB2B50"/>
    <w:rsid w:val="00DB2BB2"/>
    <w:rsid w:val="00DB30A0"/>
    <w:rsid w:val="00DB3286"/>
    <w:rsid w:val="00DB33B5"/>
    <w:rsid w:val="00DB35EE"/>
    <w:rsid w:val="00DB3710"/>
    <w:rsid w:val="00DB374B"/>
    <w:rsid w:val="00DB37BA"/>
    <w:rsid w:val="00DB38DC"/>
    <w:rsid w:val="00DB38E1"/>
    <w:rsid w:val="00DB3929"/>
    <w:rsid w:val="00DB3940"/>
    <w:rsid w:val="00DB397A"/>
    <w:rsid w:val="00DB3AA2"/>
    <w:rsid w:val="00DB3AC1"/>
    <w:rsid w:val="00DB3AD2"/>
    <w:rsid w:val="00DB3AD4"/>
    <w:rsid w:val="00DB3B1A"/>
    <w:rsid w:val="00DB3B87"/>
    <w:rsid w:val="00DB3C3F"/>
    <w:rsid w:val="00DB3CF1"/>
    <w:rsid w:val="00DB3D67"/>
    <w:rsid w:val="00DB3E36"/>
    <w:rsid w:val="00DB4091"/>
    <w:rsid w:val="00DB40B8"/>
    <w:rsid w:val="00DB40D2"/>
    <w:rsid w:val="00DB4242"/>
    <w:rsid w:val="00DB4268"/>
    <w:rsid w:val="00DB42BD"/>
    <w:rsid w:val="00DB4427"/>
    <w:rsid w:val="00DB446F"/>
    <w:rsid w:val="00DB45CC"/>
    <w:rsid w:val="00DB45ED"/>
    <w:rsid w:val="00DB4602"/>
    <w:rsid w:val="00DB4677"/>
    <w:rsid w:val="00DB47D0"/>
    <w:rsid w:val="00DB4842"/>
    <w:rsid w:val="00DB4940"/>
    <w:rsid w:val="00DB4992"/>
    <w:rsid w:val="00DB4BEB"/>
    <w:rsid w:val="00DB4CC1"/>
    <w:rsid w:val="00DB4E5E"/>
    <w:rsid w:val="00DB4F1F"/>
    <w:rsid w:val="00DB4F87"/>
    <w:rsid w:val="00DB4F9D"/>
    <w:rsid w:val="00DB4FA2"/>
    <w:rsid w:val="00DB51EA"/>
    <w:rsid w:val="00DB545D"/>
    <w:rsid w:val="00DB54D1"/>
    <w:rsid w:val="00DB5668"/>
    <w:rsid w:val="00DB5752"/>
    <w:rsid w:val="00DB5850"/>
    <w:rsid w:val="00DB58B7"/>
    <w:rsid w:val="00DB5A12"/>
    <w:rsid w:val="00DB5ABB"/>
    <w:rsid w:val="00DB5AD1"/>
    <w:rsid w:val="00DB5C34"/>
    <w:rsid w:val="00DB5CDC"/>
    <w:rsid w:val="00DB5D10"/>
    <w:rsid w:val="00DB5D49"/>
    <w:rsid w:val="00DB5FB2"/>
    <w:rsid w:val="00DB6100"/>
    <w:rsid w:val="00DB613A"/>
    <w:rsid w:val="00DB61CF"/>
    <w:rsid w:val="00DB627D"/>
    <w:rsid w:val="00DB62C1"/>
    <w:rsid w:val="00DB6310"/>
    <w:rsid w:val="00DB66FC"/>
    <w:rsid w:val="00DB688F"/>
    <w:rsid w:val="00DB699A"/>
    <w:rsid w:val="00DB6A43"/>
    <w:rsid w:val="00DB6ACF"/>
    <w:rsid w:val="00DB6B09"/>
    <w:rsid w:val="00DB6BAC"/>
    <w:rsid w:val="00DB6BCD"/>
    <w:rsid w:val="00DB6BFF"/>
    <w:rsid w:val="00DB6CB0"/>
    <w:rsid w:val="00DB6CC6"/>
    <w:rsid w:val="00DB6EC6"/>
    <w:rsid w:val="00DB6EE5"/>
    <w:rsid w:val="00DB7072"/>
    <w:rsid w:val="00DB722D"/>
    <w:rsid w:val="00DB7387"/>
    <w:rsid w:val="00DB73AE"/>
    <w:rsid w:val="00DB75D1"/>
    <w:rsid w:val="00DB7679"/>
    <w:rsid w:val="00DB76B4"/>
    <w:rsid w:val="00DB76C3"/>
    <w:rsid w:val="00DB78D6"/>
    <w:rsid w:val="00DB79EC"/>
    <w:rsid w:val="00DB7A76"/>
    <w:rsid w:val="00DB7BCB"/>
    <w:rsid w:val="00DB7C19"/>
    <w:rsid w:val="00DB7C2C"/>
    <w:rsid w:val="00DB7E37"/>
    <w:rsid w:val="00DB7EFB"/>
    <w:rsid w:val="00DC000E"/>
    <w:rsid w:val="00DC00A3"/>
    <w:rsid w:val="00DC0170"/>
    <w:rsid w:val="00DC021B"/>
    <w:rsid w:val="00DC026B"/>
    <w:rsid w:val="00DC030E"/>
    <w:rsid w:val="00DC0375"/>
    <w:rsid w:val="00DC03A0"/>
    <w:rsid w:val="00DC0502"/>
    <w:rsid w:val="00DC0513"/>
    <w:rsid w:val="00DC056C"/>
    <w:rsid w:val="00DC077A"/>
    <w:rsid w:val="00DC080D"/>
    <w:rsid w:val="00DC087C"/>
    <w:rsid w:val="00DC0889"/>
    <w:rsid w:val="00DC09DF"/>
    <w:rsid w:val="00DC09FB"/>
    <w:rsid w:val="00DC0B51"/>
    <w:rsid w:val="00DC0C10"/>
    <w:rsid w:val="00DC0D3B"/>
    <w:rsid w:val="00DC0D55"/>
    <w:rsid w:val="00DC0E74"/>
    <w:rsid w:val="00DC106E"/>
    <w:rsid w:val="00DC1080"/>
    <w:rsid w:val="00DC1121"/>
    <w:rsid w:val="00DC1223"/>
    <w:rsid w:val="00DC12D6"/>
    <w:rsid w:val="00DC12FC"/>
    <w:rsid w:val="00DC1396"/>
    <w:rsid w:val="00DC1559"/>
    <w:rsid w:val="00DC1608"/>
    <w:rsid w:val="00DC16FC"/>
    <w:rsid w:val="00DC1949"/>
    <w:rsid w:val="00DC197C"/>
    <w:rsid w:val="00DC1ADB"/>
    <w:rsid w:val="00DC1B58"/>
    <w:rsid w:val="00DC1B62"/>
    <w:rsid w:val="00DC1B63"/>
    <w:rsid w:val="00DC1DB9"/>
    <w:rsid w:val="00DC1E10"/>
    <w:rsid w:val="00DC1F0B"/>
    <w:rsid w:val="00DC1F30"/>
    <w:rsid w:val="00DC20D7"/>
    <w:rsid w:val="00DC2171"/>
    <w:rsid w:val="00DC226B"/>
    <w:rsid w:val="00DC2357"/>
    <w:rsid w:val="00DC2391"/>
    <w:rsid w:val="00DC23C2"/>
    <w:rsid w:val="00DC23C4"/>
    <w:rsid w:val="00DC240C"/>
    <w:rsid w:val="00DC2515"/>
    <w:rsid w:val="00DC25DB"/>
    <w:rsid w:val="00DC2610"/>
    <w:rsid w:val="00DC26FD"/>
    <w:rsid w:val="00DC2719"/>
    <w:rsid w:val="00DC29BE"/>
    <w:rsid w:val="00DC2AA1"/>
    <w:rsid w:val="00DC2AA7"/>
    <w:rsid w:val="00DC2B04"/>
    <w:rsid w:val="00DC2BB4"/>
    <w:rsid w:val="00DC2C09"/>
    <w:rsid w:val="00DC2C72"/>
    <w:rsid w:val="00DC2CB1"/>
    <w:rsid w:val="00DC2CC3"/>
    <w:rsid w:val="00DC2D1C"/>
    <w:rsid w:val="00DC2D44"/>
    <w:rsid w:val="00DC2D5A"/>
    <w:rsid w:val="00DC2EF6"/>
    <w:rsid w:val="00DC2F09"/>
    <w:rsid w:val="00DC2F1A"/>
    <w:rsid w:val="00DC2F47"/>
    <w:rsid w:val="00DC3055"/>
    <w:rsid w:val="00DC317C"/>
    <w:rsid w:val="00DC31E3"/>
    <w:rsid w:val="00DC32AA"/>
    <w:rsid w:val="00DC32E0"/>
    <w:rsid w:val="00DC3340"/>
    <w:rsid w:val="00DC3358"/>
    <w:rsid w:val="00DC3389"/>
    <w:rsid w:val="00DC3402"/>
    <w:rsid w:val="00DC352A"/>
    <w:rsid w:val="00DC355A"/>
    <w:rsid w:val="00DC3578"/>
    <w:rsid w:val="00DC35B2"/>
    <w:rsid w:val="00DC35F7"/>
    <w:rsid w:val="00DC360E"/>
    <w:rsid w:val="00DC365A"/>
    <w:rsid w:val="00DC3702"/>
    <w:rsid w:val="00DC3706"/>
    <w:rsid w:val="00DC3707"/>
    <w:rsid w:val="00DC3753"/>
    <w:rsid w:val="00DC3834"/>
    <w:rsid w:val="00DC396F"/>
    <w:rsid w:val="00DC3AAE"/>
    <w:rsid w:val="00DC3B5B"/>
    <w:rsid w:val="00DC3B6B"/>
    <w:rsid w:val="00DC3D48"/>
    <w:rsid w:val="00DC3D64"/>
    <w:rsid w:val="00DC3DE3"/>
    <w:rsid w:val="00DC3E2C"/>
    <w:rsid w:val="00DC3F5E"/>
    <w:rsid w:val="00DC4150"/>
    <w:rsid w:val="00DC4211"/>
    <w:rsid w:val="00DC42E7"/>
    <w:rsid w:val="00DC434C"/>
    <w:rsid w:val="00DC4408"/>
    <w:rsid w:val="00DC4449"/>
    <w:rsid w:val="00DC448D"/>
    <w:rsid w:val="00DC45D7"/>
    <w:rsid w:val="00DC45FF"/>
    <w:rsid w:val="00DC463A"/>
    <w:rsid w:val="00DC47BE"/>
    <w:rsid w:val="00DC49F8"/>
    <w:rsid w:val="00DC4A1E"/>
    <w:rsid w:val="00DC4A96"/>
    <w:rsid w:val="00DC4BAF"/>
    <w:rsid w:val="00DC4CC7"/>
    <w:rsid w:val="00DC4D60"/>
    <w:rsid w:val="00DC4DCD"/>
    <w:rsid w:val="00DC4EB0"/>
    <w:rsid w:val="00DC501E"/>
    <w:rsid w:val="00DC510E"/>
    <w:rsid w:val="00DC5160"/>
    <w:rsid w:val="00DC54B7"/>
    <w:rsid w:val="00DC552F"/>
    <w:rsid w:val="00DC5583"/>
    <w:rsid w:val="00DC55A8"/>
    <w:rsid w:val="00DC55B3"/>
    <w:rsid w:val="00DC5602"/>
    <w:rsid w:val="00DC5657"/>
    <w:rsid w:val="00DC590B"/>
    <w:rsid w:val="00DC5931"/>
    <w:rsid w:val="00DC59C7"/>
    <w:rsid w:val="00DC5A56"/>
    <w:rsid w:val="00DC5CFB"/>
    <w:rsid w:val="00DC5D27"/>
    <w:rsid w:val="00DC5F61"/>
    <w:rsid w:val="00DC604A"/>
    <w:rsid w:val="00DC6079"/>
    <w:rsid w:val="00DC6099"/>
    <w:rsid w:val="00DC60A3"/>
    <w:rsid w:val="00DC610C"/>
    <w:rsid w:val="00DC61E0"/>
    <w:rsid w:val="00DC63E8"/>
    <w:rsid w:val="00DC6582"/>
    <w:rsid w:val="00DC66C1"/>
    <w:rsid w:val="00DC66F7"/>
    <w:rsid w:val="00DC6A38"/>
    <w:rsid w:val="00DC6A3E"/>
    <w:rsid w:val="00DC6B10"/>
    <w:rsid w:val="00DC6D80"/>
    <w:rsid w:val="00DC6FC8"/>
    <w:rsid w:val="00DC6FF7"/>
    <w:rsid w:val="00DC7196"/>
    <w:rsid w:val="00DC71FA"/>
    <w:rsid w:val="00DC7231"/>
    <w:rsid w:val="00DC72D4"/>
    <w:rsid w:val="00DC734E"/>
    <w:rsid w:val="00DC735D"/>
    <w:rsid w:val="00DC73AA"/>
    <w:rsid w:val="00DC7671"/>
    <w:rsid w:val="00DC76A4"/>
    <w:rsid w:val="00DC77FF"/>
    <w:rsid w:val="00DC7D4D"/>
    <w:rsid w:val="00DC7F46"/>
    <w:rsid w:val="00DD0053"/>
    <w:rsid w:val="00DD0125"/>
    <w:rsid w:val="00DD0204"/>
    <w:rsid w:val="00DD04DA"/>
    <w:rsid w:val="00DD0632"/>
    <w:rsid w:val="00DD0660"/>
    <w:rsid w:val="00DD069E"/>
    <w:rsid w:val="00DD06C4"/>
    <w:rsid w:val="00DD07F4"/>
    <w:rsid w:val="00DD0A63"/>
    <w:rsid w:val="00DD0AA5"/>
    <w:rsid w:val="00DD0AAF"/>
    <w:rsid w:val="00DD0B3D"/>
    <w:rsid w:val="00DD0CD6"/>
    <w:rsid w:val="00DD0D07"/>
    <w:rsid w:val="00DD0D65"/>
    <w:rsid w:val="00DD0D9C"/>
    <w:rsid w:val="00DD0DEC"/>
    <w:rsid w:val="00DD0E30"/>
    <w:rsid w:val="00DD0F38"/>
    <w:rsid w:val="00DD0FAC"/>
    <w:rsid w:val="00DD0FB5"/>
    <w:rsid w:val="00DD1021"/>
    <w:rsid w:val="00DD111E"/>
    <w:rsid w:val="00DD12D1"/>
    <w:rsid w:val="00DD13D1"/>
    <w:rsid w:val="00DD13E4"/>
    <w:rsid w:val="00DD1509"/>
    <w:rsid w:val="00DD1555"/>
    <w:rsid w:val="00DD15B1"/>
    <w:rsid w:val="00DD168A"/>
    <w:rsid w:val="00DD17D0"/>
    <w:rsid w:val="00DD185A"/>
    <w:rsid w:val="00DD188D"/>
    <w:rsid w:val="00DD19C4"/>
    <w:rsid w:val="00DD1A2D"/>
    <w:rsid w:val="00DD1A71"/>
    <w:rsid w:val="00DD1AD1"/>
    <w:rsid w:val="00DD1B01"/>
    <w:rsid w:val="00DD1E6C"/>
    <w:rsid w:val="00DD1FA6"/>
    <w:rsid w:val="00DD1FD1"/>
    <w:rsid w:val="00DD20A3"/>
    <w:rsid w:val="00DD223A"/>
    <w:rsid w:val="00DD23C8"/>
    <w:rsid w:val="00DD255A"/>
    <w:rsid w:val="00DD259B"/>
    <w:rsid w:val="00DD26C2"/>
    <w:rsid w:val="00DD2781"/>
    <w:rsid w:val="00DD2900"/>
    <w:rsid w:val="00DD2AE7"/>
    <w:rsid w:val="00DD2BF5"/>
    <w:rsid w:val="00DD2D22"/>
    <w:rsid w:val="00DD2E00"/>
    <w:rsid w:val="00DD2E25"/>
    <w:rsid w:val="00DD2EA4"/>
    <w:rsid w:val="00DD2F04"/>
    <w:rsid w:val="00DD2F62"/>
    <w:rsid w:val="00DD302E"/>
    <w:rsid w:val="00DD31FC"/>
    <w:rsid w:val="00DD32E8"/>
    <w:rsid w:val="00DD3354"/>
    <w:rsid w:val="00DD3615"/>
    <w:rsid w:val="00DD37F2"/>
    <w:rsid w:val="00DD392B"/>
    <w:rsid w:val="00DD39BA"/>
    <w:rsid w:val="00DD39EB"/>
    <w:rsid w:val="00DD3BC2"/>
    <w:rsid w:val="00DD3BCB"/>
    <w:rsid w:val="00DD3BFF"/>
    <w:rsid w:val="00DD3D2D"/>
    <w:rsid w:val="00DD3D78"/>
    <w:rsid w:val="00DD3D91"/>
    <w:rsid w:val="00DD4004"/>
    <w:rsid w:val="00DD40DD"/>
    <w:rsid w:val="00DD4210"/>
    <w:rsid w:val="00DD42A8"/>
    <w:rsid w:val="00DD42F2"/>
    <w:rsid w:val="00DD431B"/>
    <w:rsid w:val="00DD436F"/>
    <w:rsid w:val="00DD451E"/>
    <w:rsid w:val="00DD45A6"/>
    <w:rsid w:val="00DD45D3"/>
    <w:rsid w:val="00DD46CF"/>
    <w:rsid w:val="00DD474A"/>
    <w:rsid w:val="00DD48A6"/>
    <w:rsid w:val="00DD4934"/>
    <w:rsid w:val="00DD4A13"/>
    <w:rsid w:val="00DD4A20"/>
    <w:rsid w:val="00DD4C7D"/>
    <w:rsid w:val="00DD4CE2"/>
    <w:rsid w:val="00DD4D41"/>
    <w:rsid w:val="00DD4E0E"/>
    <w:rsid w:val="00DD4EAA"/>
    <w:rsid w:val="00DD4F4B"/>
    <w:rsid w:val="00DD507C"/>
    <w:rsid w:val="00DD52B6"/>
    <w:rsid w:val="00DD5322"/>
    <w:rsid w:val="00DD5432"/>
    <w:rsid w:val="00DD5467"/>
    <w:rsid w:val="00DD5638"/>
    <w:rsid w:val="00DD569A"/>
    <w:rsid w:val="00DD5787"/>
    <w:rsid w:val="00DD582B"/>
    <w:rsid w:val="00DD5887"/>
    <w:rsid w:val="00DD5CBA"/>
    <w:rsid w:val="00DD5F85"/>
    <w:rsid w:val="00DD6080"/>
    <w:rsid w:val="00DD61C3"/>
    <w:rsid w:val="00DD6243"/>
    <w:rsid w:val="00DD6273"/>
    <w:rsid w:val="00DD6277"/>
    <w:rsid w:val="00DD6491"/>
    <w:rsid w:val="00DD64D8"/>
    <w:rsid w:val="00DD64E3"/>
    <w:rsid w:val="00DD656C"/>
    <w:rsid w:val="00DD6620"/>
    <w:rsid w:val="00DD6832"/>
    <w:rsid w:val="00DD6960"/>
    <w:rsid w:val="00DD6976"/>
    <w:rsid w:val="00DD6ADB"/>
    <w:rsid w:val="00DD6AE0"/>
    <w:rsid w:val="00DD6AFB"/>
    <w:rsid w:val="00DD6C75"/>
    <w:rsid w:val="00DD6C89"/>
    <w:rsid w:val="00DD6D19"/>
    <w:rsid w:val="00DD6D50"/>
    <w:rsid w:val="00DD6E24"/>
    <w:rsid w:val="00DD6E85"/>
    <w:rsid w:val="00DD712D"/>
    <w:rsid w:val="00DD714B"/>
    <w:rsid w:val="00DD71C4"/>
    <w:rsid w:val="00DD71D3"/>
    <w:rsid w:val="00DD73D4"/>
    <w:rsid w:val="00DD74D1"/>
    <w:rsid w:val="00DD7544"/>
    <w:rsid w:val="00DD78A0"/>
    <w:rsid w:val="00DD7A26"/>
    <w:rsid w:val="00DD7B55"/>
    <w:rsid w:val="00DD7B81"/>
    <w:rsid w:val="00DD7EBC"/>
    <w:rsid w:val="00DD7EEA"/>
    <w:rsid w:val="00DD7F11"/>
    <w:rsid w:val="00DE01B1"/>
    <w:rsid w:val="00DE01DE"/>
    <w:rsid w:val="00DE026D"/>
    <w:rsid w:val="00DE0383"/>
    <w:rsid w:val="00DE03A0"/>
    <w:rsid w:val="00DE0536"/>
    <w:rsid w:val="00DE053A"/>
    <w:rsid w:val="00DE0560"/>
    <w:rsid w:val="00DE0580"/>
    <w:rsid w:val="00DE0673"/>
    <w:rsid w:val="00DE06DB"/>
    <w:rsid w:val="00DE0885"/>
    <w:rsid w:val="00DE0902"/>
    <w:rsid w:val="00DE09E2"/>
    <w:rsid w:val="00DE0A90"/>
    <w:rsid w:val="00DE0A93"/>
    <w:rsid w:val="00DE0C3C"/>
    <w:rsid w:val="00DE0D18"/>
    <w:rsid w:val="00DE0D4B"/>
    <w:rsid w:val="00DE0DE0"/>
    <w:rsid w:val="00DE1046"/>
    <w:rsid w:val="00DE1147"/>
    <w:rsid w:val="00DE1269"/>
    <w:rsid w:val="00DE13E0"/>
    <w:rsid w:val="00DE150D"/>
    <w:rsid w:val="00DE1579"/>
    <w:rsid w:val="00DE1673"/>
    <w:rsid w:val="00DE1697"/>
    <w:rsid w:val="00DE1818"/>
    <w:rsid w:val="00DE18E5"/>
    <w:rsid w:val="00DE19C5"/>
    <w:rsid w:val="00DE1AB6"/>
    <w:rsid w:val="00DE1AC0"/>
    <w:rsid w:val="00DE1C14"/>
    <w:rsid w:val="00DE1ECD"/>
    <w:rsid w:val="00DE1EF8"/>
    <w:rsid w:val="00DE1FB6"/>
    <w:rsid w:val="00DE21F8"/>
    <w:rsid w:val="00DE2234"/>
    <w:rsid w:val="00DE2391"/>
    <w:rsid w:val="00DE2517"/>
    <w:rsid w:val="00DE2624"/>
    <w:rsid w:val="00DE26F3"/>
    <w:rsid w:val="00DE2780"/>
    <w:rsid w:val="00DE291C"/>
    <w:rsid w:val="00DE2B53"/>
    <w:rsid w:val="00DE2D3A"/>
    <w:rsid w:val="00DE2D5B"/>
    <w:rsid w:val="00DE2DB3"/>
    <w:rsid w:val="00DE2DBE"/>
    <w:rsid w:val="00DE2F02"/>
    <w:rsid w:val="00DE2F7D"/>
    <w:rsid w:val="00DE310F"/>
    <w:rsid w:val="00DE31F2"/>
    <w:rsid w:val="00DE3243"/>
    <w:rsid w:val="00DE3265"/>
    <w:rsid w:val="00DE32A5"/>
    <w:rsid w:val="00DE3304"/>
    <w:rsid w:val="00DE374A"/>
    <w:rsid w:val="00DE37F7"/>
    <w:rsid w:val="00DE3859"/>
    <w:rsid w:val="00DE3877"/>
    <w:rsid w:val="00DE38E9"/>
    <w:rsid w:val="00DE3AB6"/>
    <w:rsid w:val="00DE3B92"/>
    <w:rsid w:val="00DE3BD0"/>
    <w:rsid w:val="00DE3DF9"/>
    <w:rsid w:val="00DE3F24"/>
    <w:rsid w:val="00DE3F8E"/>
    <w:rsid w:val="00DE400D"/>
    <w:rsid w:val="00DE40EF"/>
    <w:rsid w:val="00DE4121"/>
    <w:rsid w:val="00DE42B2"/>
    <w:rsid w:val="00DE42D4"/>
    <w:rsid w:val="00DE43D7"/>
    <w:rsid w:val="00DE44D1"/>
    <w:rsid w:val="00DE44F6"/>
    <w:rsid w:val="00DE4689"/>
    <w:rsid w:val="00DE4701"/>
    <w:rsid w:val="00DE476F"/>
    <w:rsid w:val="00DE47B8"/>
    <w:rsid w:val="00DE48D0"/>
    <w:rsid w:val="00DE4990"/>
    <w:rsid w:val="00DE4BD8"/>
    <w:rsid w:val="00DE4C72"/>
    <w:rsid w:val="00DE4D51"/>
    <w:rsid w:val="00DE4D69"/>
    <w:rsid w:val="00DE4D6E"/>
    <w:rsid w:val="00DE4DA2"/>
    <w:rsid w:val="00DE4E75"/>
    <w:rsid w:val="00DE4EB7"/>
    <w:rsid w:val="00DE4EE0"/>
    <w:rsid w:val="00DE5084"/>
    <w:rsid w:val="00DE50F5"/>
    <w:rsid w:val="00DE52F8"/>
    <w:rsid w:val="00DE5604"/>
    <w:rsid w:val="00DE56B8"/>
    <w:rsid w:val="00DE5C95"/>
    <w:rsid w:val="00DE5CDB"/>
    <w:rsid w:val="00DE5ED8"/>
    <w:rsid w:val="00DE5F89"/>
    <w:rsid w:val="00DE5FB6"/>
    <w:rsid w:val="00DE5FCD"/>
    <w:rsid w:val="00DE6030"/>
    <w:rsid w:val="00DE60EB"/>
    <w:rsid w:val="00DE624D"/>
    <w:rsid w:val="00DE630D"/>
    <w:rsid w:val="00DE635B"/>
    <w:rsid w:val="00DE6433"/>
    <w:rsid w:val="00DE64CA"/>
    <w:rsid w:val="00DE6515"/>
    <w:rsid w:val="00DE6580"/>
    <w:rsid w:val="00DE6722"/>
    <w:rsid w:val="00DE674C"/>
    <w:rsid w:val="00DE687B"/>
    <w:rsid w:val="00DE6AD6"/>
    <w:rsid w:val="00DE6ADC"/>
    <w:rsid w:val="00DE6B91"/>
    <w:rsid w:val="00DE6C45"/>
    <w:rsid w:val="00DE6ED0"/>
    <w:rsid w:val="00DE6F7D"/>
    <w:rsid w:val="00DE6FCF"/>
    <w:rsid w:val="00DE7099"/>
    <w:rsid w:val="00DE712C"/>
    <w:rsid w:val="00DE7422"/>
    <w:rsid w:val="00DE743C"/>
    <w:rsid w:val="00DE7527"/>
    <w:rsid w:val="00DE754A"/>
    <w:rsid w:val="00DE7576"/>
    <w:rsid w:val="00DE757F"/>
    <w:rsid w:val="00DE761B"/>
    <w:rsid w:val="00DE770B"/>
    <w:rsid w:val="00DE7834"/>
    <w:rsid w:val="00DE7B57"/>
    <w:rsid w:val="00DE7B6B"/>
    <w:rsid w:val="00DE7D34"/>
    <w:rsid w:val="00DE7DC4"/>
    <w:rsid w:val="00DF00D4"/>
    <w:rsid w:val="00DF00EA"/>
    <w:rsid w:val="00DF01D9"/>
    <w:rsid w:val="00DF022B"/>
    <w:rsid w:val="00DF02B2"/>
    <w:rsid w:val="00DF034C"/>
    <w:rsid w:val="00DF046F"/>
    <w:rsid w:val="00DF04D2"/>
    <w:rsid w:val="00DF0517"/>
    <w:rsid w:val="00DF05B8"/>
    <w:rsid w:val="00DF0778"/>
    <w:rsid w:val="00DF07BE"/>
    <w:rsid w:val="00DF0835"/>
    <w:rsid w:val="00DF0866"/>
    <w:rsid w:val="00DF0935"/>
    <w:rsid w:val="00DF0AC4"/>
    <w:rsid w:val="00DF0B9A"/>
    <w:rsid w:val="00DF0C11"/>
    <w:rsid w:val="00DF0E40"/>
    <w:rsid w:val="00DF0EA0"/>
    <w:rsid w:val="00DF0F14"/>
    <w:rsid w:val="00DF0F22"/>
    <w:rsid w:val="00DF0FDF"/>
    <w:rsid w:val="00DF1113"/>
    <w:rsid w:val="00DF11D3"/>
    <w:rsid w:val="00DF1230"/>
    <w:rsid w:val="00DF140D"/>
    <w:rsid w:val="00DF1430"/>
    <w:rsid w:val="00DF14E7"/>
    <w:rsid w:val="00DF159F"/>
    <w:rsid w:val="00DF15E9"/>
    <w:rsid w:val="00DF1658"/>
    <w:rsid w:val="00DF1660"/>
    <w:rsid w:val="00DF1676"/>
    <w:rsid w:val="00DF169C"/>
    <w:rsid w:val="00DF1799"/>
    <w:rsid w:val="00DF1848"/>
    <w:rsid w:val="00DF18D6"/>
    <w:rsid w:val="00DF1C9E"/>
    <w:rsid w:val="00DF1D29"/>
    <w:rsid w:val="00DF1E41"/>
    <w:rsid w:val="00DF1F70"/>
    <w:rsid w:val="00DF1FA0"/>
    <w:rsid w:val="00DF1FA8"/>
    <w:rsid w:val="00DF20EC"/>
    <w:rsid w:val="00DF20F6"/>
    <w:rsid w:val="00DF210B"/>
    <w:rsid w:val="00DF21B8"/>
    <w:rsid w:val="00DF2243"/>
    <w:rsid w:val="00DF228A"/>
    <w:rsid w:val="00DF2383"/>
    <w:rsid w:val="00DF2394"/>
    <w:rsid w:val="00DF23C9"/>
    <w:rsid w:val="00DF23F3"/>
    <w:rsid w:val="00DF2411"/>
    <w:rsid w:val="00DF2616"/>
    <w:rsid w:val="00DF266D"/>
    <w:rsid w:val="00DF289D"/>
    <w:rsid w:val="00DF28CF"/>
    <w:rsid w:val="00DF2A12"/>
    <w:rsid w:val="00DF2A50"/>
    <w:rsid w:val="00DF2B2E"/>
    <w:rsid w:val="00DF2CAA"/>
    <w:rsid w:val="00DF2CCD"/>
    <w:rsid w:val="00DF2DDF"/>
    <w:rsid w:val="00DF2E20"/>
    <w:rsid w:val="00DF2E9C"/>
    <w:rsid w:val="00DF2F32"/>
    <w:rsid w:val="00DF2F46"/>
    <w:rsid w:val="00DF3009"/>
    <w:rsid w:val="00DF310A"/>
    <w:rsid w:val="00DF332F"/>
    <w:rsid w:val="00DF33AE"/>
    <w:rsid w:val="00DF34A1"/>
    <w:rsid w:val="00DF366F"/>
    <w:rsid w:val="00DF3727"/>
    <w:rsid w:val="00DF385C"/>
    <w:rsid w:val="00DF393B"/>
    <w:rsid w:val="00DF399A"/>
    <w:rsid w:val="00DF3A45"/>
    <w:rsid w:val="00DF3A55"/>
    <w:rsid w:val="00DF3B15"/>
    <w:rsid w:val="00DF3B34"/>
    <w:rsid w:val="00DF3C79"/>
    <w:rsid w:val="00DF3C9D"/>
    <w:rsid w:val="00DF3CBC"/>
    <w:rsid w:val="00DF3D7C"/>
    <w:rsid w:val="00DF3DD8"/>
    <w:rsid w:val="00DF3DE6"/>
    <w:rsid w:val="00DF3F42"/>
    <w:rsid w:val="00DF400E"/>
    <w:rsid w:val="00DF4011"/>
    <w:rsid w:val="00DF40A1"/>
    <w:rsid w:val="00DF40BF"/>
    <w:rsid w:val="00DF4163"/>
    <w:rsid w:val="00DF4168"/>
    <w:rsid w:val="00DF41BC"/>
    <w:rsid w:val="00DF4494"/>
    <w:rsid w:val="00DF45F6"/>
    <w:rsid w:val="00DF45FA"/>
    <w:rsid w:val="00DF460D"/>
    <w:rsid w:val="00DF469F"/>
    <w:rsid w:val="00DF484E"/>
    <w:rsid w:val="00DF48F5"/>
    <w:rsid w:val="00DF49DC"/>
    <w:rsid w:val="00DF4A0E"/>
    <w:rsid w:val="00DF4B9E"/>
    <w:rsid w:val="00DF4BA9"/>
    <w:rsid w:val="00DF4C09"/>
    <w:rsid w:val="00DF4C5A"/>
    <w:rsid w:val="00DF4E14"/>
    <w:rsid w:val="00DF4E2F"/>
    <w:rsid w:val="00DF4FC7"/>
    <w:rsid w:val="00DF5110"/>
    <w:rsid w:val="00DF51AB"/>
    <w:rsid w:val="00DF5265"/>
    <w:rsid w:val="00DF54A3"/>
    <w:rsid w:val="00DF54F7"/>
    <w:rsid w:val="00DF55F6"/>
    <w:rsid w:val="00DF5676"/>
    <w:rsid w:val="00DF5721"/>
    <w:rsid w:val="00DF5759"/>
    <w:rsid w:val="00DF57B7"/>
    <w:rsid w:val="00DF591C"/>
    <w:rsid w:val="00DF594E"/>
    <w:rsid w:val="00DF5AB8"/>
    <w:rsid w:val="00DF5ADA"/>
    <w:rsid w:val="00DF5AE2"/>
    <w:rsid w:val="00DF5C8D"/>
    <w:rsid w:val="00DF5D09"/>
    <w:rsid w:val="00DF5E7B"/>
    <w:rsid w:val="00DF5F96"/>
    <w:rsid w:val="00DF5FBE"/>
    <w:rsid w:val="00DF6116"/>
    <w:rsid w:val="00DF6265"/>
    <w:rsid w:val="00DF6297"/>
    <w:rsid w:val="00DF629B"/>
    <w:rsid w:val="00DF63E1"/>
    <w:rsid w:val="00DF63F9"/>
    <w:rsid w:val="00DF6468"/>
    <w:rsid w:val="00DF649E"/>
    <w:rsid w:val="00DF655E"/>
    <w:rsid w:val="00DF65CF"/>
    <w:rsid w:val="00DF65F7"/>
    <w:rsid w:val="00DF6757"/>
    <w:rsid w:val="00DF6810"/>
    <w:rsid w:val="00DF68A7"/>
    <w:rsid w:val="00DF6A52"/>
    <w:rsid w:val="00DF6D46"/>
    <w:rsid w:val="00DF6E1A"/>
    <w:rsid w:val="00DF6EA1"/>
    <w:rsid w:val="00DF6EE7"/>
    <w:rsid w:val="00DF6FDC"/>
    <w:rsid w:val="00DF701C"/>
    <w:rsid w:val="00DF7086"/>
    <w:rsid w:val="00DF70D3"/>
    <w:rsid w:val="00DF714C"/>
    <w:rsid w:val="00DF7275"/>
    <w:rsid w:val="00DF728B"/>
    <w:rsid w:val="00DF755A"/>
    <w:rsid w:val="00DF758B"/>
    <w:rsid w:val="00DF7767"/>
    <w:rsid w:val="00DF7C52"/>
    <w:rsid w:val="00DF7C88"/>
    <w:rsid w:val="00DF7DFB"/>
    <w:rsid w:val="00DF7E14"/>
    <w:rsid w:val="00E00140"/>
    <w:rsid w:val="00E002C1"/>
    <w:rsid w:val="00E0036C"/>
    <w:rsid w:val="00E00403"/>
    <w:rsid w:val="00E00515"/>
    <w:rsid w:val="00E005E9"/>
    <w:rsid w:val="00E0062C"/>
    <w:rsid w:val="00E00699"/>
    <w:rsid w:val="00E00703"/>
    <w:rsid w:val="00E00707"/>
    <w:rsid w:val="00E00798"/>
    <w:rsid w:val="00E00A40"/>
    <w:rsid w:val="00E00B01"/>
    <w:rsid w:val="00E00B22"/>
    <w:rsid w:val="00E00B6D"/>
    <w:rsid w:val="00E00CDB"/>
    <w:rsid w:val="00E00CF4"/>
    <w:rsid w:val="00E00D6E"/>
    <w:rsid w:val="00E00D7F"/>
    <w:rsid w:val="00E00E04"/>
    <w:rsid w:val="00E00E68"/>
    <w:rsid w:val="00E00EF2"/>
    <w:rsid w:val="00E00F28"/>
    <w:rsid w:val="00E0101D"/>
    <w:rsid w:val="00E01188"/>
    <w:rsid w:val="00E0123F"/>
    <w:rsid w:val="00E01424"/>
    <w:rsid w:val="00E014BB"/>
    <w:rsid w:val="00E01534"/>
    <w:rsid w:val="00E01721"/>
    <w:rsid w:val="00E01756"/>
    <w:rsid w:val="00E01808"/>
    <w:rsid w:val="00E01D68"/>
    <w:rsid w:val="00E01E4C"/>
    <w:rsid w:val="00E01ECE"/>
    <w:rsid w:val="00E01FFD"/>
    <w:rsid w:val="00E02141"/>
    <w:rsid w:val="00E021C3"/>
    <w:rsid w:val="00E021D5"/>
    <w:rsid w:val="00E0231B"/>
    <w:rsid w:val="00E023C1"/>
    <w:rsid w:val="00E023ED"/>
    <w:rsid w:val="00E0250B"/>
    <w:rsid w:val="00E025E1"/>
    <w:rsid w:val="00E02631"/>
    <w:rsid w:val="00E02676"/>
    <w:rsid w:val="00E02682"/>
    <w:rsid w:val="00E0287A"/>
    <w:rsid w:val="00E02A12"/>
    <w:rsid w:val="00E02A9A"/>
    <w:rsid w:val="00E02BD3"/>
    <w:rsid w:val="00E02C15"/>
    <w:rsid w:val="00E02C25"/>
    <w:rsid w:val="00E02F20"/>
    <w:rsid w:val="00E0314A"/>
    <w:rsid w:val="00E038E6"/>
    <w:rsid w:val="00E03952"/>
    <w:rsid w:val="00E03BC9"/>
    <w:rsid w:val="00E03C6F"/>
    <w:rsid w:val="00E03E77"/>
    <w:rsid w:val="00E04339"/>
    <w:rsid w:val="00E043BC"/>
    <w:rsid w:val="00E043D3"/>
    <w:rsid w:val="00E043E2"/>
    <w:rsid w:val="00E0453A"/>
    <w:rsid w:val="00E04545"/>
    <w:rsid w:val="00E0455E"/>
    <w:rsid w:val="00E045C4"/>
    <w:rsid w:val="00E045E3"/>
    <w:rsid w:val="00E04615"/>
    <w:rsid w:val="00E04718"/>
    <w:rsid w:val="00E047CE"/>
    <w:rsid w:val="00E04863"/>
    <w:rsid w:val="00E0493A"/>
    <w:rsid w:val="00E04D55"/>
    <w:rsid w:val="00E04FC9"/>
    <w:rsid w:val="00E05121"/>
    <w:rsid w:val="00E05191"/>
    <w:rsid w:val="00E051AC"/>
    <w:rsid w:val="00E05258"/>
    <w:rsid w:val="00E05295"/>
    <w:rsid w:val="00E0537A"/>
    <w:rsid w:val="00E0539D"/>
    <w:rsid w:val="00E05441"/>
    <w:rsid w:val="00E054EB"/>
    <w:rsid w:val="00E05547"/>
    <w:rsid w:val="00E05672"/>
    <w:rsid w:val="00E0581C"/>
    <w:rsid w:val="00E0581F"/>
    <w:rsid w:val="00E0588D"/>
    <w:rsid w:val="00E05A5E"/>
    <w:rsid w:val="00E05AF3"/>
    <w:rsid w:val="00E05D5E"/>
    <w:rsid w:val="00E05D9C"/>
    <w:rsid w:val="00E05E6E"/>
    <w:rsid w:val="00E05F64"/>
    <w:rsid w:val="00E06025"/>
    <w:rsid w:val="00E0612B"/>
    <w:rsid w:val="00E06131"/>
    <w:rsid w:val="00E06358"/>
    <w:rsid w:val="00E063D8"/>
    <w:rsid w:val="00E063EB"/>
    <w:rsid w:val="00E06441"/>
    <w:rsid w:val="00E0645A"/>
    <w:rsid w:val="00E06469"/>
    <w:rsid w:val="00E06663"/>
    <w:rsid w:val="00E06809"/>
    <w:rsid w:val="00E0692E"/>
    <w:rsid w:val="00E06A78"/>
    <w:rsid w:val="00E06CD3"/>
    <w:rsid w:val="00E06E06"/>
    <w:rsid w:val="00E06E62"/>
    <w:rsid w:val="00E06EDE"/>
    <w:rsid w:val="00E06FF0"/>
    <w:rsid w:val="00E0706F"/>
    <w:rsid w:val="00E07479"/>
    <w:rsid w:val="00E078D7"/>
    <w:rsid w:val="00E07964"/>
    <w:rsid w:val="00E07975"/>
    <w:rsid w:val="00E079E6"/>
    <w:rsid w:val="00E07AE4"/>
    <w:rsid w:val="00E07B2F"/>
    <w:rsid w:val="00E07BF8"/>
    <w:rsid w:val="00E07C76"/>
    <w:rsid w:val="00E102E4"/>
    <w:rsid w:val="00E10333"/>
    <w:rsid w:val="00E1045F"/>
    <w:rsid w:val="00E10462"/>
    <w:rsid w:val="00E10753"/>
    <w:rsid w:val="00E1081F"/>
    <w:rsid w:val="00E10BAA"/>
    <w:rsid w:val="00E10BFC"/>
    <w:rsid w:val="00E10D19"/>
    <w:rsid w:val="00E10E2E"/>
    <w:rsid w:val="00E10E4C"/>
    <w:rsid w:val="00E10F00"/>
    <w:rsid w:val="00E10FD2"/>
    <w:rsid w:val="00E111FB"/>
    <w:rsid w:val="00E11282"/>
    <w:rsid w:val="00E112A7"/>
    <w:rsid w:val="00E11313"/>
    <w:rsid w:val="00E113DE"/>
    <w:rsid w:val="00E1141E"/>
    <w:rsid w:val="00E1148F"/>
    <w:rsid w:val="00E11499"/>
    <w:rsid w:val="00E1153B"/>
    <w:rsid w:val="00E115C9"/>
    <w:rsid w:val="00E116B4"/>
    <w:rsid w:val="00E116C9"/>
    <w:rsid w:val="00E11934"/>
    <w:rsid w:val="00E11970"/>
    <w:rsid w:val="00E1199E"/>
    <w:rsid w:val="00E119FF"/>
    <w:rsid w:val="00E11B54"/>
    <w:rsid w:val="00E11BED"/>
    <w:rsid w:val="00E11BEE"/>
    <w:rsid w:val="00E11C11"/>
    <w:rsid w:val="00E11C18"/>
    <w:rsid w:val="00E11C3B"/>
    <w:rsid w:val="00E11E55"/>
    <w:rsid w:val="00E11EB8"/>
    <w:rsid w:val="00E11EF0"/>
    <w:rsid w:val="00E11F9B"/>
    <w:rsid w:val="00E11FA3"/>
    <w:rsid w:val="00E12078"/>
    <w:rsid w:val="00E1219B"/>
    <w:rsid w:val="00E121B5"/>
    <w:rsid w:val="00E122A7"/>
    <w:rsid w:val="00E123E9"/>
    <w:rsid w:val="00E1247D"/>
    <w:rsid w:val="00E126BD"/>
    <w:rsid w:val="00E12871"/>
    <w:rsid w:val="00E12A0B"/>
    <w:rsid w:val="00E12A3C"/>
    <w:rsid w:val="00E12A41"/>
    <w:rsid w:val="00E12B23"/>
    <w:rsid w:val="00E12B46"/>
    <w:rsid w:val="00E12B8B"/>
    <w:rsid w:val="00E12B8F"/>
    <w:rsid w:val="00E12C2C"/>
    <w:rsid w:val="00E12DA2"/>
    <w:rsid w:val="00E12F8D"/>
    <w:rsid w:val="00E12FA9"/>
    <w:rsid w:val="00E130D5"/>
    <w:rsid w:val="00E1318C"/>
    <w:rsid w:val="00E13191"/>
    <w:rsid w:val="00E1319F"/>
    <w:rsid w:val="00E13200"/>
    <w:rsid w:val="00E13220"/>
    <w:rsid w:val="00E1325D"/>
    <w:rsid w:val="00E1336A"/>
    <w:rsid w:val="00E133F8"/>
    <w:rsid w:val="00E13525"/>
    <w:rsid w:val="00E13568"/>
    <w:rsid w:val="00E1368E"/>
    <w:rsid w:val="00E13897"/>
    <w:rsid w:val="00E139D0"/>
    <w:rsid w:val="00E139D3"/>
    <w:rsid w:val="00E13A4A"/>
    <w:rsid w:val="00E13B8A"/>
    <w:rsid w:val="00E13C91"/>
    <w:rsid w:val="00E13CBB"/>
    <w:rsid w:val="00E14062"/>
    <w:rsid w:val="00E14092"/>
    <w:rsid w:val="00E141B9"/>
    <w:rsid w:val="00E14218"/>
    <w:rsid w:val="00E144D8"/>
    <w:rsid w:val="00E145A0"/>
    <w:rsid w:val="00E145B8"/>
    <w:rsid w:val="00E14697"/>
    <w:rsid w:val="00E146EF"/>
    <w:rsid w:val="00E148AF"/>
    <w:rsid w:val="00E148FD"/>
    <w:rsid w:val="00E1496F"/>
    <w:rsid w:val="00E149C5"/>
    <w:rsid w:val="00E14C68"/>
    <w:rsid w:val="00E14CD0"/>
    <w:rsid w:val="00E14E56"/>
    <w:rsid w:val="00E14F76"/>
    <w:rsid w:val="00E15157"/>
    <w:rsid w:val="00E151BD"/>
    <w:rsid w:val="00E15230"/>
    <w:rsid w:val="00E15410"/>
    <w:rsid w:val="00E15433"/>
    <w:rsid w:val="00E1570C"/>
    <w:rsid w:val="00E15878"/>
    <w:rsid w:val="00E1597E"/>
    <w:rsid w:val="00E15AC1"/>
    <w:rsid w:val="00E15BB5"/>
    <w:rsid w:val="00E15CB5"/>
    <w:rsid w:val="00E15D04"/>
    <w:rsid w:val="00E15DDE"/>
    <w:rsid w:val="00E15EB8"/>
    <w:rsid w:val="00E16039"/>
    <w:rsid w:val="00E161FC"/>
    <w:rsid w:val="00E16257"/>
    <w:rsid w:val="00E1627B"/>
    <w:rsid w:val="00E162E0"/>
    <w:rsid w:val="00E162EA"/>
    <w:rsid w:val="00E1634A"/>
    <w:rsid w:val="00E1646E"/>
    <w:rsid w:val="00E16485"/>
    <w:rsid w:val="00E16546"/>
    <w:rsid w:val="00E16877"/>
    <w:rsid w:val="00E16949"/>
    <w:rsid w:val="00E16ACF"/>
    <w:rsid w:val="00E16B12"/>
    <w:rsid w:val="00E16B36"/>
    <w:rsid w:val="00E16B6A"/>
    <w:rsid w:val="00E16BA0"/>
    <w:rsid w:val="00E16BEC"/>
    <w:rsid w:val="00E16C1A"/>
    <w:rsid w:val="00E16E27"/>
    <w:rsid w:val="00E16F3B"/>
    <w:rsid w:val="00E17050"/>
    <w:rsid w:val="00E17063"/>
    <w:rsid w:val="00E170E2"/>
    <w:rsid w:val="00E170EE"/>
    <w:rsid w:val="00E17249"/>
    <w:rsid w:val="00E1738B"/>
    <w:rsid w:val="00E17582"/>
    <w:rsid w:val="00E17639"/>
    <w:rsid w:val="00E176AC"/>
    <w:rsid w:val="00E17743"/>
    <w:rsid w:val="00E17781"/>
    <w:rsid w:val="00E177B8"/>
    <w:rsid w:val="00E177DE"/>
    <w:rsid w:val="00E1780E"/>
    <w:rsid w:val="00E17873"/>
    <w:rsid w:val="00E17A3C"/>
    <w:rsid w:val="00E17ABD"/>
    <w:rsid w:val="00E17BAF"/>
    <w:rsid w:val="00E17CDD"/>
    <w:rsid w:val="00E17E0D"/>
    <w:rsid w:val="00E17E15"/>
    <w:rsid w:val="00E17EF5"/>
    <w:rsid w:val="00E17FF0"/>
    <w:rsid w:val="00E2014E"/>
    <w:rsid w:val="00E20166"/>
    <w:rsid w:val="00E2020B"/>
    <w:rsid w:val="00E2041B"/>
    <w:rsid w:val="00E20425"/>
    <w:rsid w:val="00E205AE"/>
    <w:rsid w:val="00E206D7"/>
    <w:rsid w:val="00E20770"/>
    <w:rsid w:val="00E207D2"/>
    <w:rsid w:val="00E209D2"/>
    <w:rsid w:val="00E20A63"/>
    <w:rsid w:val="00E20B9D"/>
    <w:rsid w:val="00E20BD8"/>
    <w:rsid w:val="00E20DB2"/>
    <w:rsid w:val="00E20E4B"/>
    <w:rsid w:val="00E20EC6"/>
    <w:rsid w:val="00E20FD7"/>
    <w:rsid w:val="00E21042"/>
    <w:rsid w:val="00E210D6"/>
    <w:rsid w:val="00E2114B"/>
    <w:rsid w:val="00E21186"/>
    <w:rsid w:val="00E21231"/>
    <w:rsid w:val="00E21277"/>
    <w:rsid w:val="00E21291"/>
    <w:rsid w:val="00E212C3"/>
    <w:rsid w:val="00E212C6"/>
    <w:rsid w:val="00E2136C"/>
    <w:rsid w:val="00E215E1"/>
    <w:rsid w:val="00E21623"/>
    <w:rsid w:val="00E21697"/>
    <w:rsid w:val="00E216B4"/>
    <w:rsid w:val="00E2173B"/>
    <w:rsid w:val="00E21772"/>
    <w:rsid w:val="00E2196A"/>
    <w:rsid w:val="00E21988"/>
    <w:rsid w:val="00E219C9"/>
    <w:rsid w:val="00E219ED"/>
    <w:rsid w:val="00E21BBE"/>
    <w:rsid w:val="00E21BD7"/>
    <w:rsid w:val="00E21C13"/>
    <w:rsid w:val="00E21DA0"/>
    <w:rsid w:val="00E21DC4"/>
    <w:rsid w:val="00E21F5E"/>
    <w:rsid w:val="00E21FD2"/>
    <w:rsid w:val="00E2204E"/>
    <w:rsid w:val="00E22152"/>
    <w:rsid w:val="00E2220E"/>
    <w:rsid w:val="00E22367"/>
    <w:rsid w:val="00E22394"/>
    <w:rsid w:val="00E223B6"/>
    <w:rsid w:val="00E225E8"/>
    <w:rsid w:val="00E22604"/>
    <w:rsid w:val="00E22630"/>
    <w:rsid w:val="00E226DA"/>
    <w:rsid w:val="00E22852"/>
    <w:rsid w:val="00E22882"/>
    <w:rsid w:val="00E2293A"/>
    <w:rsid w:val="00E22B36"/>
    <w:rsid w:val="00E22B8C"/>
    <w:rsid w:val="00E22C0C"/>
    <w:rsid w:val="00E22CAB"/>
    <w:rsid w:val="00E22E6A"/>
    <w:rsid w:val="00E22EE0"/>
    <w:rsid w:val="00E22FB0"/>
    <w:rsid w:val="00E230A8"/>
    <w:rsid w:val="00E236FB"/>
    <w:rsid w:val="00E23878"/>
    <w:rsid w:val="00E238A2"/>
    <w:rsid w:val="00E238FC"/>
    <w:rsid w:val="00E23930"/>
    <w:rsid w:val="00E239A6"/>
    <w:rsid w:val="00E239A7"/>
    <w:rsid w:val="00E23A17"/>
    <w:rsid w:val="00E23ADF"/>
    <w:rsid w:val="00E23BAA"/>
    <w:rsid w:val="00E23DD4"/>
    <w:rsid w:val="00E23EB3"/>
    <w:rsid w:val="00E23EF2"/>
    <w:rsid w:val="00E23FE4"/>
    <w:rsid w:val="00E24120"/>
    <w:rsid w:val="00E241B2"/>
    <w:rsid w:val="00E24201"/>
    <w:rsid w:val="00E242EC"/>
    <w:rsid w:val="00E242FF"/>
    <w:rsid w:val="00E24309"/>
    <w:rsid w:val="00E2440E"/>
    <w:rsid w:val="00E2448C"/>
    <w:rsid w:val="00E2448E"/>
    <w:rsid w:val="00E246EA"/>
    <w:rsid w:val="00E24C02"/>
    <w:rsid w:val="00E24D29"/>
    <w:rsid w:val="00E24D48"/>
    <w:rsid w:val="00E24DD3"/>
    <w:rsid w:val="00E24DFA"/>
    <w:rsid w:val="00E24FAF"/>
    <w:rsid w:val="00E25020"/>
    <w:rsid w:val="00E2514F"/>
    <w:rsid w:val="00E25170"/>
    <w:rsid w:val="00E252FA"/>
    <w:rsid w:val="00E253AD"/>
    <w:rsid w:val="00E254DD"/>
    <w:rsid w:val="00E25648"/>
    <w:rsid w:val="00E25908"/>
    <w:rsid w:val="00E25BA2"/>
    <w:rsid w:val="00E25C11"/>
    <w:rsid w:val="00E25D0E"/>
    <w:rsid w:val="00E25ED8"/>
    <w:rsid w:val="00E25F07"/>
    <w:rsid w:val="00E25FA1"/>
    <w:rsid w:val="00E25FCC"/>
    <w:rsid w:val="00E25FD4"/>
    <w:rsid w:val="00E26004"/>
    <w:rsid w:val="00E260F0"/>
    <w:rsid w:val="00E26195"/>
    <w:rsid w:val="00E261C0"/>
    <w:rsid w:val="00E262FB"/>
    <w:rsid w:val="00E26440"/>
    <w:rsid w:val="00E2648C"/>
    <w:rsid w:val="00E266E0"/>
    <w:rsid w:val="00E266EA"/>
    <w:rsid w:val="00E2679D"/>
    <w:rsid w:val="00E26866"/>
    <w:rsid w:val="00E2686A"/>
    <w:rsid w:val="00E26A3B"/>
    <w:rsid w:val="00E26A4D"/>
    <w:rsid w:val="00E26B3B"/>
    <w:rsid w:val="00E26BE3"/>
    <w:rsid w:val="00E26C68"/>
    <w:rsid w:val="00E26CBD"/>
    <w:rsid w:val="00E26D39"/>
    <w:rsid w:val="00E26D4E"/>
    <w:rsid w:val="00E26DA4"/>
    <w:rsid w:val="00E26E14"/>
    <w:rsid w:val="00E26E6F"/>
    <w:rsid w:val="00E26E95"/>
    <w:rsid w:val="00E26EC7"/>
    <w:rsid w:val="00E26F8A"/>
    <w:rsid w:val="00E270C9"/>
    <w:rsid w:val="00E270E0"/>
    <w:rsid w:val="00E2714A"/>
    <w:rsid w:val="00E2717D"/>
    <w:rsid w:val="00E272DB"/>
    <w:rsid w:val="00E27370"/>
    <w:rsid w:val="00E2739E"/>
    <w:rsid w:val="00E2792E"/>
    <w:rsid w:val="00E27A48"/>
    <w:rsid w:val="00E27ADF"/>
    <w:rsid w:val="00E27B11"/>
    <w:rsid w:val="00E27B41"/>
    <w:rsid w:val="00E27B68"/>
    <w:rsid w:val="00E27BA5"/>
    <w:rsid w:val="00E27C98"/>
    <w:rsid w:val="00E27D03"/>
    <w:rsid w:val="00E27DAF"/>
    <w:rsid w:val="00E27F29"/>
    <w:rsid w:val="00E27F4A"/>
    <w:rsid w:val="00E27FAD"/>
    <w:rsid w:val="00E27FDB"/>
    <w:rsid w:val="00E30033"/>
    <w:rsid w:val="00E300EB"/>
    <w:rsid w:val="00E3012D"/>
    <w:rsid w:val="00E301BF"/>
    <w:rsid w:val="00E30213"/>
    <w:rsid w:val="00E30405"/>
    <w:rsid w:val="00E305D5"/>
    <w:rsid w:val="00E30723"/>
    <w:rsid w:val="00E3073E"/>
    <w:rsid w:val="00E30850"/>
    <w:rsid w:val="00E309E0"/>
    <w:rsid w:val="00E30B9C"/>
    <w:rsid w:val="00E30C26"/>
    <w:rsid w:val="00E30D29"/>
    <w:rsid w:val="00E30E29"/>
    <w:rsid w:val="00E30E5F"/>
    <w:rsid w:val="00E30FD0"/>
    <w:rsid w:val="00E310D8"/>
    <w:rsid w:val="00E3118D"/>
    <w:rsid w:val="00E3119A"/>
    <w:rsid w:val="00E3129C"/>
    <w:rsid w:val="00E314DE"/>
    <w:rsid w:val="00E31598"/>
    <w:rsid w:val="00E3163F"/>
    <w:rsid w:val="00E318A8"/>
    <w:rsid w:val="00E319D4"/>
    <w:rsid w:val="00E31A3C"/>
    <w:rsid w:val="00E31A5B"/>
    <w:rsid w:val="00E31A89"/>
    <w:rsid w:val="00E31AC5"/>
    <w:rsid w:val="00E31B53"/>
    <w:rsid w:val="00E31C1D"/>
    <w:rsid w:val="00E31C30"/>
    <w:rsid w:val="00E31C49"/>
    <w:rsid w:val="00E31D84"/>
    <w:rsid w:val="00E31EA7"/>
    <w:rsid w:val="00E31F5C"/>
    <w:rsid w:val="00E31FCB"/>
    <w:rsid w:val="00E3206E"/>
    <w:rsid w:val="00E32162"/>
    <w:rsid w:val="00E32179"/>
    <w:rsid w:val="00E321A8"/>
    <w:rsid w:val="00E321E0"/>
    <w:rsid w:val="00E32230"/>
    <w:rsid w:val="00E3225D"/>
    <w:rsid w:val="00E32299"/>
    <w:rsid w:val="00E322A1"/>
    <w:rsid w:val="00E32408"/>
    <w:rsid w:val="00E3248F"/>
    <w:rsid w:val="00E32653"/>
    <w:rsid w:val="00E32669"/>
    <w:rsid w:val="00E3266C"/>
    <w:rsid w:val="00E3278D"/>
    <w:rsid w:val="00E327BA"/>
    <w:rsid w:val="00E3283A"/>
    <w:rsid w:val="00E329FF"/>
    <w:rsid w:val="00E32A11"/>
    <w:rsid w:val="00E32A8E"/>
    <w:rsid w:val="00E32C31"/>
    <w:rsid w:val="00E32CC6"/>
    <w:rsid w:val="00E32DFC"/>
    <w:rsid w:val="00E32E31"/>
    <w:rsid w:val="00E32E75"/>
    <w:rsid w:val="00E331EB"/>
    <w:rsid w:val="00E332F9"/>
    <w:rsid w:val="00E334AA"/>
    <w:rsid w:val="00E33512"/>
    <w:rsid w:val="00E33564"/>
    <w:rsid w:val="00E33654"/>
    <w:rsid w:val="00E336DA"/>
    <w:rsid w:val="00E338F2"/>
    <w:rsid w:val="00E33957"/>
    <w:rsid w:val="00E339AC"/>
    <w:rsid w:val="00E33A1C"/>
    <w:rsid w:val="00E33AFD"/>
    <w:rsid w:val="00E33C9F"/>
    <w:rsid w:val="00E33CA0"/>
    <w:rsid w:val="00E33CDC"/>
    <w:rsid w:val="00E33D99"/>
    <w:rsid w:val="00E33DEE"/>
    <w:rsid w:val="00E33E0F"/>
    <w:rsid w:val="00E33EAE"/>
    <w:rsid w:val="00E33EC6"/>
    <w:rsid w:val="00E33F5B"/>
    <w:rsid w:val="00E33F6C"/>
    <w:rsid w:val="00E33FBB"/>
    <w:rsid w:val="00E34052"/>
    <w:rsid w:val="00E34088"/>
    <w:rsid w:val="00E341F8"/>
    <w:rsid w:val="00E342EA"/>
    <w:rsid w:val="00E343D6"/>
    <w:rsid w:val="00E34590"/>
    <w:rsid w:val="00E345E4"/>
    <w:rsid w:val="00E3463F"/>
    <w:rsid w:val="00E34673"/>
    <w:rsid w:val="00E347FD"/>
    <w:rsid w:val="00E34861"/>
    <w:rsid w:val="00E34A87"/>
    <w:rsid w:val="00E34B41"/>
    <w:rsid w:val="00E34CC5"/>
    <w:rsid w:val="00E34D16"/>
    <w:rsid w:val="00E34D2F"/>
    <w:rsid w:val="00E34D5D"/>
    <w:rsid w:val="00E34E4B"/>
    <w:rsid w:val="00E34EB6"/>
    <w:rsid w:val="00E34EED"/>
    <w:rsid w:val="00E34FA6"/>
    <w:rsid w:val="00E34FCB"/>
    <w:rsid w:val="00E35022"/>
    <w:rsid w:val="00E350DA"/>
    <w:rsid w:val="00E3511D"/>
    <w:rsid w:val="00E351D9"/>
    <w:rsid w:val="00E35275"/>
    <w:rsid w:val="00E35307"/>
    <w:rsid w:val="00E35750"/>
    <w:rsid w:val="00E357D9"/>
    <w:rsid w:val="00E357DE"/>
    <w:rsid w:val="00E35829"/>
    <w:rsid w:val="00E358D0"/>
    <w:rsid w:val="00E35A55"/>
    <w:rsid w:val="00E35A59"/>
    <w:rsid w:val="00E35C35"/>
    <w:rsid w:val="00E35C93"/>
    <w:rsid w:val="00E35CAA"/>
    <w:rsid w:val="00E35CF6"/>
    <w:rsid w:val="00E35D15"/>
    <w:rsid w:val="00E35E47"/>
    <w:rsid w:val="00E35E52"/>
    <w:rsid w:val="00E35EF8"/>
    <w:rsid w:val="00E35FBB"/>
    <w:rsid w:val="00E35FF0"/>
    <w:rsid w:val="00E3607F"/>
    <w:rsid w:val="00E36145"/>
    <w:rsid w:val="00E361BE"/>
    <w:rsid w:val="00E361E9"/>
    <w:rsid w:val="00E36293"/>
    <w:rsid w:val="00E36423"/>
    <w:rsid w:val="00E3642E"/>
    <w:rsid w:val="00E364D7"/>
    <w:rsid w:val="00E364F9"/>
    <w:rsid w:val="00E36608"/>
    <w:rsid w:val="00E36612"/>
    <w:rsid w:val="00E36657"/>
    <w:rsid w:val="00E36688"/>
    <w:rsid w:val="00E366A0"/>
    <w:rsid w:val="00E366D3"/>
    <w:rsid w:val="00E36737"/>
    <w:rsid w:val="00E36935"/>
    <w:rsid w:val="00E36972"/>
    <w:rsid w:val="00E36A97"/>
    <w:rsid w:val="00E36C71"/>
    <w:rsid w:val="00E36DF0"/>
    <w:rsid w:val="00E36EF7"/>
    <w:rsid w:val="00E37067"/>
    <w:rsid w:val="00E370A0"/>
    <w:rsid w:val="00E370FD"/>
    <w:rsid w:val="00E37117"/>
    <w:rsid w:val="00E3711A"/>
    <w:rsid w:val="00E37148"/>
    <w:rsid w:val="00E37295"/>
    <w:rsid w:val="00E372F7"/>
    <w:rsid w:val="00E3731A"/>
    <w:rsid w:val="00E373B2"/>
    <w:rsid w:val="00E373F4"/>
    <w:rsid w:val="00E37401"/>
    <w:rsid w:val="00E37500"/>
    <w:rsid w:val="00E37542"/>
    <w:rsid w:val="00E37569"/>
    <w:rsid w:val="00E376BF"/>
    <w:rsid w:val="00E3782B"/>
    <w:rsid w:val="00E37878"/>
    <w:rsid w:val="00E37894"/>
    <w:rsid w:val="00E378AA"/>
    <w:rsid w:val="00E37A5C"/>
    <w:rsid w:val="00E37AAC"/>
    <w:rsid w:val="00E37AE4"/>
    <w:rsid w:val="00E37B82"/>
    <w:rsid w:val="00E37E0D"/>
    <w:rsid w:val="00E37E30"/>
    <w:rsid w:val="00E37F66"/>
    <w:rsid w:val="00E37F6C"/>
    <w:rsid w:val="00E37FB7"/>
    <w:rsid w:val="00E40257"/>
    <w:rsid w:val="00E40260"/>
    <w:rsid w:val="00E40437"/>
    <w:rsid w:val="00E40474"/>
    <w:rsid w:val="00E4056F"/>
    <w:rsid w:val="00E406F5"/>
    <w:rsid w:val="00E40702"/>
    <w:rsid w:val="00E40732"/>
    <w:rsid w:val="00E4088D"/>
    <w:rsid w:val="00E409CF"/>
    <w:rsid w:val="00E40A1F"/>
    <w:rsid w:val="00E40A71"/>
    <w:rsid w:val="00E40C7F"/>
    <w:rsid w:val="00E40D6E"/>
    <w:rsid w:val="00E40E0B"/>
    <w:rsid w:val="00E40EE6"/>
    <w:rsid w:val="00E40F0B"/>
    <w:rsid w:val="00E40FD7"/>
    <w:rsid w:val="00E41091"/>
    <w:rsid w:val="00E41109"/>
    <w:rsid w:val="00E41233"/>
    <w:rsid w:val="00E41277"/>
    <w:rsid w:val="00E41286"/>
    <w:rsid w:val="00E413E2"/>
    <w:rsid w:val="00E4147A"/>
    <w:rsid w:val="00E4150A"/>
    <w:rsid w:val="00E415A6"/>
    <w:rsid w:val="00E41603"/>
    <w:rsid w:val="00E41664"/>
    <w:rsid w:val="00E418D3"/>
    <w:rsid w:val="00E418F0"/>
    <w:rsid w:val="00E4190A"/>
    <w:rsid w:val="00E41972"/>
    <w:rsid w:val="00E41AFB"/>
    <w:rsid w:val="00E41C08"/>
    <w:rsid w:val="00E41D67"/>
    <w:rsid w:val="00E41DA4"/>
    <w:rsid w:val="00E41DC8"/>
    <w:rsid w:val="00E41E82"/>
    <w:rsid w:val="00E420A6"/>
    <w:rsid w:val="00E420FE"/>
    <w:rsid w:val="00E42266"/>
    <w:rsid w:val="00E4231C"/>
    <w:rsid w:val="00E42355"/>
    <w:rsid w:val="00E42367"/>
    <w:rsid w:val="00E424A8"/>
    <w:rsid w:val="00E42513"/>
    <w:rsid w:val="00E42572"/>
    <w:rsid w:val="00E425F0"/>
    <w:rsid w:val="00E427AE"/>
    <w:rsid w:val="00E427CA"/>
    <w:rsid w:val="00E42922"/>
    <w:rsid w:val="00E42A31"/>
    <w:rsid w:val="00E42AE1"/>
    <w:rsid w:val="00E42C22"/>
    <w:rsid w:val="00E42C2A"/>
    <w:rsid w:val="00E42C43"/>
    <w:rsid w:val="00E42CDE"/>
    <w:rsid w:val="00E42D34"/>
    <w:rsid w:val="00E42DBB"/>
    <w:rsid w:val="00E42E1A"/>
    <w:rsid w:val="00E42FAE"/>
    <w:rsid w:val="00E42FBB"/>
    <w:rsid w:val="00E4300D"/>
    <w:rsid w:val="00E430C8"/>
    <w:rsid w:val="00E431EE"/>
    <w:rsid w:val="00E43344"/>
    <w:rsid w:val="00E43354"/>
    <w:rsid w:val="00E437C8"/>
    <w:rsid w:val="00E4390C"/>
    <w:rsid w:val="00E439EF"/>
    <w:rsid w:val="00E43A3A"/>
    <w:rsid w:val="00E43BF6"/>
    <w:rsid w:val="00E43CC7"/>
    <w:rsid w:val="00E43D03"/>
    <w:rsid w:val="00E4416C"/>
    <w:rsid w:val="00E44257"/>
    <w:rsid w:val="00E4439B"/>
    <w:rsid w:val="00E443A4"/>
    <w:rsid w:val="00E44489"/>
    <w:rsid w:val="00E4462E"/>
    <w:rsid w:val="00E44794"/>
    <w:rsid w:val="00E44895"/>
    <w:rsid w:val="00E449B9"/>
    <w:rsid w:val="00E44B90"/>
    <w:rsid w:val="00E44B9A"/>
    <w:rsid w:val="00E44DCA"/>
    <w:rsid w:val="00E44ECF"/>
    <w:rsid w:val="00E44F4D"/>
    <w:rsid w:val="00E450AD"/>
    <w:rsid w:val="00E450DC"/>
    <w:rsid w:val="00E4512A"/>
    <w:rsid w:val="00E45161"/>
    <w:rsid w:val="00E451C3"/>
    <w:rsid w:val="00E45263"/>
    <w:rsid w:val="00E45268"/>
    <w:rsid w:val="00E45307"/>
    <w:rsid w:val="00E454A0"/>
    <w:rsid w:val="00E454F5"/>
    <w:rsid w:val="00E4565F"/>
    <w:rsid w:val="00E458DC"/>
    <w:rsid w:val="00E45923"/>
    <w:rsid w:val="00E459E2"/>
    <w:rsid w:val="00E45B15"/>
    <w:rsid w:val="00E45C1C"/>
    <w:rsid w:val="00E45C90"/>
    <w:rsid w:val="00E45E44"/>
    <w:rsid w:val="00E45EDD"/>
    <w:rsid w:val="00E45F4D"/>
    <w:rsid w:val="00E460F6"/>
    <w:rsid w:val="00E4618D"/>
    <w:rsid w:val="00E461C1"/>
    <w:rsid w:val="00E46208"/>
    <w:rsid w:val="00E462AD"/>
    <w:rsid w:val="00E46419"/>
    <w:rsid w:val="00E46476"/>
    <w:rsid w:val="00E465FE"/>
    <w:rsid w:val="00E466C3"/>
    <w:rsid w:val="00E467C2"/>
    <w:rsid w:val="00E468BE"/>
    <w:rsid w:val="00E46961"/>
    <w:rsid w:val="00E469CD"/>
    <w:rsid w:val="00E46A76"/>
    <w:rsid w:val="00E46A8A"/>
    <w:rsid w:val="00E46B39"/>
    <w:rsid w:val="00E46B64"/>
    <w:rsid w:val="00E46D66"/>
    <w:rsid w:val="00E46E12"/>
    <w:rsid w:val="00E46E43"/>
    <w:rsid w:val="00E46E60"/>
    <w:rsid w:val="00E46F63"/>
    <w:rsid w:val="00E46FF2"/>
    <w:rsid w:val="00E4707E"/>
    <w:rsid w:val="00E471C4"/>
    <w:rsid w:val="00E4725E"/>
    <w:rsid w:val="00E47318"/>
    <w:rsid w:val="00E47421"/>
    <w:rsid w:val="00E4756F"/>
    <w:rsid w:val="00E47A58"/>
    <w:rsid w:val="00E47BA0"/>
    <w:rsid w:val="00E47C43"/>
    <w:rsid w:val="00E47C65"/>
    <w:rsid w:val="00E47D19"/>
    <w:rsid w:val="00E47DB5"/>
    <w:rsid w:val="00E47DDB"/>
    <w:rsid w:val="00E47DED"/>
    <w:rsid w:val="00E47E27"/>
    <w:rsid w:val="00E47EE9"/>
    <w:rsid w:val="00E47F58"/>
    <w:rsid w:val="00E47FF6"/>
    <w:rsid w:val="00E50036"/>
    <w:rsid w:val="00E501A1"/>
    <w:rsid w:val="00E50400"/>
    <w:rsid w:val="00E5043A"/>
    <w:rsid w:val="00E5044E"/>
    <w:rsid w:val="00E50457"/>
    <w:rsid w:val="00E504B3"/>
    <w:rsid w:val="00E50529"/>
    <w:rsid w:val="00E505CB"/>
    <w:rsid w:val="00E5063F"/>
    <w:rsid w:val="00E5067C"/>
    <w:rsid w:val="00E507DB"/>
    <w:rsid w:val="00E50868"/>
    <w:rsid w:val="00E508E7"/>
    <w:rsid w:val="00E50968"/>
    <w:rsid w:val="00E50AB0"/>
    <w:rsid w:val="00E50BA8"/>
    <w:rsid w:val="00E50CDB"/>
    <w:rsid w:val="00E50D91"/>
    <w:rsid w:val="00E50DC5"/>
    <w:rsid w:val="00E50E08"/>
    <w:rsid w:val="00E50E39"/>
    <w:rsid w:val="00E50F17"/>
    <w:rsid w:val="00E50FFC"/>
    <w:rsid w:val="00E51127"/>
    <w:rsid w:val="00E5112A"/>
    <w:rsid w:val="00E511ED"/>
    <w:rsid w:val="00E51227"/>
    <w:rsid w:val="00E51271"/>
    <w:rsid w:val="00E5143A"/>
    <w:rsid w:val="00E514BC"/>
    <w:rsid w:val="00E515B8"/>
    <w:rsid w:val="00E517A2"/>
    <w:rsid w:val="00E51835"/>
    <w:rsid w:val="00E51848"/>
    <w:rsid w:val="00E51A06"/>
    <w:rsid w:val="00E51B11"/>
    <w:rsid w:val="00E51BB3"/>
    <w:rsid w:val="00E51C43"/>
    <w:rsid w:val="00E51E22"/>
    <w:rsid w:val="00E51E4F"/>
    <w:rsid w:val="00E51EB4"/>
    <w:rsid w:val="00E52277"/>
    <w:rsid w:val="00E522FD"/>
    <w:rsid w:val="00E52420"/>
    <w:rsid w:val="00E5243B"/>
    <w:rsid w:val="00E5250A"/>
    <w:rsid w:val="00E5273B"/>
    <w:rsid w:val="00E5273E"/>
    <w:rsid w:val="00E5277E"/>
    <w:rsid w:val="00E5299A"/>
    <w:rsid w:val="00E52BCB"/>
    <w:rsid w:val="00E52BD9"/>
    <w:rsid w:val="00E52C50"/>
    <w:rsid w:val="00E52CB3"/>
    <w:rsid w:val="00E52E76"/>
    <w:rsid w:val="00E530B6"/>
    <w:rsid w:val="00E5319A"/>
    <w:rsid w:val="00E5346A"/>
    <w:rsid w:val="00E537CF"/>
    <w:rsid w:val="00E53960"/>
    <w:rsid w:val="00E53AF9"/>
    <w:rsid w:val="00E53C3C"/>
    <w:rsid w:val="00E53D07"/>
    <w:rsid w:val="00E53D3E"/>
    <w:rsid w:val="00E53DFA"/>
    <w:rsid w:val="00E53E14"/>
    <w:rsid w:val="00E53EC9"/>
    <w:rsid w:val="00E53F0C"/>
    <w:rsid w:val="00E54027"/>
    <w:rsid w:val="00E54049"/>
    <w:rsid w:val="00E5407E"/>
    <w:rsid w:val="00E541D3"/>
    <w:rsid w:val="00E54271"/>
    <w:rsid w:val="00E54619"/>
    <w:rsid w:val="00E546B9"/>
    <w:rsid w:val="00E54745"/>
    <w:rsid w:val="00E54807"/>
    <w:rsid w:val="00E548AF"/>
    <w:rsid w:val="00E54D08"/>
    <w:rsid w:val="00E54D97"/>
    <w:rsid w:val="00E54EA9"/>
    <w:rsid w:val="00E54EBD"/>
    <w:rsid w:val="00E54F0E"/>
    <w:rsid w:val="00E54FA4"/>
    <w:rsid w:val="00E54FBE"/>
    <w:rsid w:val="00E55238"/>
    <w:rsid w:val="00E552CB"/>
    <w:rsid w:val="00E55307"/>
    <w:rsid w:val="00E5534A"/>
    <w:rsid w:val="00E553E1"/>
    <w:rsid w:val="00E55465"/>
    <w:rsid w:val="00E5552D"/>
    <w:rsid w:val="00E5553B"/>
    <w:rsid w:val="00E55548"/>
    <w:rsid w:val="00E556BE"/>
    <w:rsid w:val="00E556D6"/>
    <w:rsid w:val="00E5590C"/>
    <w:rsid w:val="00E55A3A"/>
    <w:rsid w:val="00E55ADB"/>
    <w:rsid w:val="00E55B96"/>
    <w:rsid w:val="00E55C95"/>
    <w:rsid w:val="00E55D03"/>
    <w:rsid w:val="00E55D93"/>
    <w:rsid w:val="00E55DF2"/>
    <w:rsid w:val="00E55F7E"/>
    <w:rsid w:val="00E560F7"/>
    <w:rsid w:val="00E561BC"/>
    <w:rsid w:val="00E563F1"/>
    <w:rsid w:val="00E56440"/>
    <w:rsid w:val="00E564FA"/>
    <w:rsid w:val="00E56519"/>
    <w:rsid w:val="00E56537"/>
    <w:rsid w:val="00E5664C"/>
    <w:rsid w:val="00E56880"/>
    <w:rsid w:val="00E56ACA"/>
    <w:rsid w:val="00E56BBE"/>
    <w:rsid w:val="00E56BC2"/>
    <w:rsid w:val="00E56BDD"/>
    <w:rsid w:val="00E56CAE"/>
    <w:rsid w:val="00E56CEC"/>
    <w:rsid w:val="00E56D47"/>
    <w:rsid w:val="00E56D58"/>
    <w:rsid w:val="00E56E59"/>
    <w:rsid w:val="00E56F8C"/>
    <w:rsid w:val="00E56FB2"/>
    <w:rsid w:val="00E57004"/>
    <w:rsid w:val="00E57011"/>
    <w:rsid w:val="00E5702C"/>
    <w:rsid w:val="00E57065"/>
    <w:rsid w:val="00E571FF"/>
    <w:rsid w:val="00E57237"/>
    <w:rsid w:val="00E5732D"/>
    <w:rsid w:val="00E573A9"/>
    <w:rsid w:val="00E573F1"/>
    <w:rsid w:val="00E57445"/>
    <w:rsid w:val="00E5752B"/>
    <w:rsid w:val="00E57542"/>
    <w:rsid w:val="00E57670"/>
    <w:rsid w:val="00E57691"/>
    <w:rsid w:val="00E5778F"/>
    <w:rsid w:val="00E5779C"/>
    <w:rsid w:val="00E577AE"/>
    <w:rsid w:val="00E57863"/>
    <w:rsid w:val="00E5795E"/>
    <w:rsid w:val="00E57989"/>
    <w:rsid w:val="00E57AEB"/>
    <w:rsid w:val="00E57B16"/>
    <w:rsid w:val="00E57C9B"/>
    <w:rsid w:val="00E57DAD"/>
    <w:rsid w:val="00E57F89"/>
    <w:rsid w:val="00E6011F"/>
    <w:rsid w:val="00E60163"/>
    <w:rsid w:val="00E602BC"/>
    <w:rsid w:val="00E60441"/>
    <w:rsid w:val="00E604ED"/>
    <w:rsid w:val="00E6071D"/>
    <w:rsid w:val="00E607DB"/>
    <w:rsid w:val="00E608AF"/>
    <w:rsid w:val="00E60961"/>
    <w:rsid w:val="00E60A86"/>
    <w:rsid w:val="00E60AEB"/>
    <w:rsid w:val="00E60B41"/>
    <w:rsid w:val="00E60C39"/>
    <w:rsid w:val="00E60E87"/>
    <w:rsid w:val="00E611C9"/>
    <w:rsid w:val="00E615B6"/>
    <w:rsid w:val="00E615C9"/>
    <w:rsid w:val="00E61736"/>
    <w:rsid w:val="00E6181B"/>
    <w:rsid w:val="00E618DA"/>
    <w:rsid w:val="00E61981"/>
    <w:rsid w:val="00E61BB6"/>
    <w:rsid w:val="00E61BBF"/>
    <w:rsid w:val="00E61BEB"/>
    <w:rsid w:val="00E61CC1"/>
    <w:rsid w:val="00E61D58"/>
    <w:rsid w:val="00E61E17"/>
    <w:rsid w:val="00E61E1D"/>
    <w:rsid w:val="00E6208C"/>
    <w:rsid w:val="00E6214C"/>
    <w:rsid w:val="00E6214F"/>
    <w:rsid w:val="00E621FC"/>
    <w:rsid w:val="00E6221D"/>
    <w:rsid w:val="00E623D6"/>
    <w:rsid w:val="00E62428"/>
    <w:rsid w:val="00E62451"/>
    <w:rsid w:val="00E6255F"/>
    <w:rsid w:val="00E6263B"/>
    <w:rsid w:val="00E62681"/>
    <w:rsid w:val="00E626B7"/>
    <w:rsid w:val="00E6272D"/>
    <w:rsid w:val="00E627B1"/>
    <w:rsid w:val="00E628F3"/>
    <w:rsid w:val="00E629CD"/>
    <w:rsid w:val="00E62DC6"/>
    <w:rsid w:val="00E62DEF"/>
    <w:rsid w:val="00E62EC9"/>
    <w:rsid w:val="00E62F48"/>
    <w:rsid w:val="00E63007"/>
    <w:rsid w:val="00E63305"/>
    <w:rsid w:val="00E6331C"/>
    <w:rsid w:val="00E6335B"/>
    <w:rsid w:val="00E635CB"/>
    <w:rsid w:val="00E635FB"/>
    <w:rsid w:val="00E63694"/>
    <w:rsid w:val="00E636C2"/>
    <w:rsid w:val="00E63777"/>
    <w:rsid w:val="00E637F4"/>
    <w:rsid w:val="00E63809"/>
    <w:rsid w:val="00E639C8"/>
    <w:rsid w:val="00E63C92"/>
    <w:rsid w:val="00E63D85"/>
    <w:rsid w:val="00E63E51"/>
    <w:rsid w:val="00E64078"/>
    <w:rsid w:val="00E64084"/>
    <w:rsid w:val="00E64301"/>
    <w:rsid w:val="00E643FE"/>
    <w:rsid w:val="00E64424"/>
    <w:rsid w:val="00E6445D"/>
    <w:rsid w:val="00E64475"/>
    <w:rsid w:val="00E64507"/>
    <w:rsid w:val="00E645EF"/>
    <w:rsid w:val="00E64620"/>
    <w:rsid w:val="00E646B6"/>
    <w:rsid w:val="00E646E8"/>
    <w:rsid w:val="00E6473F"/>
    <w:rsid w:val="00E647CC"/>
    <w:rsid w:val="00E64810"/>
    <w:rsid w:val="00E6482E"/>
    <w:rsid w:val="00E64973"/>
    <w:rsid w:val="00E649F4"/>
    <w:rsid w:val="00E64B03"/>
    <w:rsid w:val="00E64B8B"/>
    <w:rsid w:val="00E64BBC"/>
    <w:rsid w:val="00E64CEA"/>
    <w:rsid w:val="00E64F09"/>
    <w:rsid w:val="00E65060"/>
    <w:rsid w:val="00E6512B"/>
    <w:rsid w:val="00E65187"/>
    <w:rsid w:val="00E651BC"/>
    <w:rsid w:val="00E651E8"/>
    <w:rsid w:val="00E65242"/>
    <w:rsid w:val="00E65264"/>
    <w:rsid w:val="00E652FD"/>
    <w:rsid w:val="00E65345"/>
    <w:rsid w:val="00E654D1"/>
    <w:rsid w:val="00E65507"/>
    <w:rsid w:val="00E65516"/>
    <w:rsid w:val="00E65591"/>
    <w:rsid w:val="00E65667"/>
    <w:rsid w:val="00E656AD"/>
    <w:rsid w:val="00E65709"/>
    <w:rsid w:val="00E6578C"/>
    <w:rsid w:val="00E65799"/>
    <w:rsid w:val="00E6580E"/>
    <w:rsid w:val="00E65886"/>
    <w:rsid w:val="00E6599C"/>
    <w:rsid w:val="00E65A89"/>
    <w:rsid w:val="00E65B0E"/>
    <w:rsid w:val="00E65B31"/>
    <w:rsid w:val="00E65CDC"/>
    <w:rsid w:val="00E65DE4"/>
    <w:rsid w:val="00E65FB6"/>
    <w:rsid w:val="00E6605D"/>
    <w:rsid w:val="00E66062"/>
    <w:rsid w:val="00E660F3"/>
    <w:rsid w:val="00E661AC"/>
    <w:rsid w:val="00E6633E"/>
    <w:rsid w:val="00E66448"/>
    <w:rsid w:val="00E665E9"/>
    <w:rsid w:val="00E6667B"/>
    <w:rsid w:val="00E667B3"/>
    <w:rsid w:val="00E66852"/>
    <w:rsid w:val="00E669D7"/>
    <w:rsid w:val="00E669EE"/>
    <w:rsid w:val="00E66A98"/>
    <w:rsid w:val="00E66BF3"/>
    <w:rsid w:val="00E66BFD"/>
    <w:rsid w:val="00E66C81"/>
    <w:rsid w:val="00E66D3C"/>
    <w:rsid w:val="00E66D86"/>
    <w:rsid w:val="00E66F22"/>
    <w:rsid w:val="00E67012"/>
    <w:rsid w:val="00E670F2"/>
    <w:rsid w:val="00E67200"/>
    <w:rsid w:val="00E6732D"/>
    <w:rsid w:val="00E673E9"/>
    <w:rsid w:val="00E6743B"/>
    <w:rsid w:val="00E674A5"/>
    <w:rsid w:val="00E675AC"/>
    <w:rsid w:val="00E676A1"/>
    <w:rsid w:val="00E677B6"/>
    <w:rsid w:val="00E67800"/>
    <w:rsid w:val="00E67815"/>
    <w:rsid w:val="00E67831"/>
    <w:rsid w:val="00E6790B"/>
    <w:rsid w:val="00E6797E"/>
    <w:rsid w:val="00E679DC"/>
    <w:rsid w:val="00E67A3D"/>
    <w:rsid w:val="00E67A80"/>
    <w:rsid w:val="00E67B37"/>
    <w:rsid w:val="00E67C2F"/>
    <w:rsid w:val="00E67CD1"/>
    <w:rsid w:val="00E67D5A"/>
    <w:rsid w:val="00E67EAD"/>
    <w:rsid w:val="00E67F90"/>
    <w:rsid w:val="00E700B7"/>
    <w:rsid w:val="00E700CA"/>
    <w:rsid w:val="00E704A9"/>
    <w:rsid w:val="00E70686"/>
    <w:rsid w:val="00E706C5"/>
    <w:rsid w:val="00E70814"/>
    <w:rsid w:val="00E708F3"/>
    <w:rsid w:val="00E70A7B"/>
    <w:rsid w:val="00E70B26"/>
    <w:rsid w:val="00E70CA6"/>
    <w:rsid w:val="00E70EF8"/>
    <w:rsid w:val="00E71051"/>
    <w:rsid w:val="00E711FA"/>
    <w:rsid w:val="00E7121A"/>
    <w:rsid w:val="00E713E3"/>
    <w:rsid w:val="00E71420"/>
    <w:rsid w:val="00E714C9"/>
    <w:rsid w:val="00E71858"/>
    <w:rsid w:val="00E7197A"/>
    <w:rsid w:val="00E71995"/>
    <w:rsid w:val="00E719E2"/>
    <w:rsid w:val="00E719FF"/>
    <w:rsid w:val="00E71A3B"/>
    <w:rsid w:val="00E71AB4"/>
    <w:rsid w:val="00E71B1B"/>
    <w:rsid w:val="00E71B9E"/>
    <w:rsid w:val="00E71BC7"/>
    <w:rsid w:val="00E71BF1"/>
    <w:rsid w:val="00E71CE1"/>
    <w:rsid w:val="00E71D8E"/>
    <w:rsid w:val="00E71DF4"/>
    <w:rsid w:val="00E71EBF"/>
    <w:rsid w:val="00E71F52"/>
    <w:rsid w:val="00E721EB"/>
    <w:rsid w:val="00E722C3"/>
    <w:rsid w:val="00E72356"/>
    <w:rsid w:val="00E72397"/>
    <w:rsid w:val="00E723DA"/>
    <w:rsid w:val="00E723FA"/>
    <w:rsid w:val="00E7242A"/>
    <w:rsid w:val="00E7245E"/>
    <w:rsid w:val="00E72607"/>
    <w:rsid w:val="00E72656"/>
    <w:rsid w:val="00E726BA"/>
    <w:rsid w:val="00E726CF"/>
    <w:rsid w:val="00E7277C"/>
    <w:rsid w:val="00E727EA"/>
    <w:rsid w:val="00E727F7"/>
    <w:rsid w:val="00E7286C"/>
    <w:rsid w:val="00E728A6"/>
    <w:rsid w:val="00E72A12"/>
    <w:rsid w:val="00E72CC0"/>
    <w:rsid w:val="00E72D74"/>
    <w:rsid w:val="00E72E12"/>
    <w:rsid w:val="00E72E58"/>
    <w:rsid w:val="00E72E7C"/>
    <w:rsid w:val="00E72EFB"/>
    <w:rsid w:val="00E72F38"/>
    <w:rsid w:val="00E72F48"/>
    <w:rsid w:val="00E72F59"/>
    <w:rsid w:val="00E730B1"/>
    <w:rsid w:val="00E730E6"/>
    <w:rsid w:val="00E730FA"/>
    <w:rsid w:val="00E73276"/>
    <w:rsid w:val="00E73385"/>
    <w:rsid w:val="00E7352C"/>
    <w:rsid w:val="00E73770"/>
    <w:rsid w:val="00E7391E"/>
    <w:rsid w:val="00E73949"/>
    <w:rsid w:val="00E73A26"/>
    <w:rsid w:val="00E73A37"/>
    <w:rsid w:val="00E73BD4"/>
    <w:rsid w:val="00E73BFE"/>
    <w:rsid w:val="00E73D44"/>
    <w:rsid w:val="00E73F34"/>
    <w:rsid w:val="00E740EB"/>
    <w:rsid w:val="00E740F9"/>
    <w:rsid w:val="00E74254"/>
    <w:rsid w:val="00E74389"/>
    <w:rsid w:val="00E744EA"/>
    <w:rsid w:val="00E7456F"/>
    <w:rsid w:val="00E745B2"/>
    <w:rsid w:val="00E746CE"/>
    <w:rsid w:val="00E74703"/>
    <w:rsid w:val="00E74735"/>
    <w:rsid w:val="00E74754"/>
    <w:rsid w:val="00E748E4"/>
    <w:rsid w:val="00E74978"/>
    <w:rsid w:val="00E74AF8"/>
    <w:rsid w:val="00E74B11"/>
    <w:rsid w:val="00E74BBC"/>
    <w:rsid w:val="00E74C36"/>
    <w:rsid w:val="00E74D0E"/>
    <w:rsid w:val="00E74EB9"/>
    <w:rsid w:val="00E74F75"/>
    <w:rsid w:val="00E74F8D"/>
    <w:rsid w:val="00E75132"/>
    <w:rsid w:val="00E751A5"/>
    <w:rsid w:val="00E751A7"/>
    <w:rsid w:val="00E7525C"/>
    <w:rsid w:val="00E75303"/>
    <w:rsid w:val="00E75376"/>
    <w:rsid w:val="00E7537C"/>
    <w:rsid w:val="00E75425"/>
    <w:rsid w:val="00E75487"/>
    <w:rsid w:val="00E754FD"/>
    <w:rsid w:val="00E75519"/>
    <w:rsid w:val="00E7551C"/>
    <w:rsid w:val="00E75620"/>
    <w:rsid w:val="00E75950"/>
    <w:rsid w:val="00E7596B"/>
    <w:rsid w:val="00E75982"/>
    <w:rsid w:val="00E75A19"/>
    <w:rsid w:val="00E75B9A"/>
    <w:rsid w:val="00E75BE0"/>
    <w:rsid w:val="00E75D22"/>
    <w:rsid w:val="00E75D42"/>
    <w:rsid w:val="00E761EF"/>
    <w:rsid w:val="00E76212"/>
    <w:rsid w:val="00E7623C"/>
    <w:rsid w:val="00E763AB"/>
    <w:rsid w:val="00E76596"/>
    <w:rsid w:val="00E76735"/>
    <w:rsid w:val="00E76747"/>
    <w:rsid w:val="00E7676E"/>
    <w:rsid w:val="00E76902"/>
    <w:rsid w:val="00E76A28"/>
    <w:rsid w:val="00E76B9E"/>
    <w:rsid w:val="00E76BF0"/>
    <w:rsid w:val="00E76CC0"/>
    <w:rsid w:val="00E76D35"/>
    <w:rsid w:val="00E76DE1"/>
    <w:rsid w:val="00E76E17"/>
    <w:rsid w:val="00E76E36"/>
    <w:rsid w:val="00E76F1F"/>
    <w:rsid w:val="00E76F50"/>
    <w:rsid w:val="00E7701A"/>
    <w:rsid w:val="00E77062"/>
    <w:rsid w:val="00E77085"/>
    <w:rsid w:val="00E7709B"/>
    <w:rsid w:val="00E77310"/>
    <w:rsid w:val="00E7737C"/>
    <w:rsid w:val="00E77473"/>
    <w:rsid w:val="00E775B5"/>
    <w:rsid w:val="00E775E1"/>
    <w:rsid w:val="00E7768D"/>
    <w:rsid w:val="00E7793B"/>
    <w:rsid w:val="00E77AEC"/>
    <w:rsid w:val="00E77B80"/>
    <w:rsid w:val="00E77C21"/>
    <w:rsid w:val="00E77C88"/>
    <w:rsid w:val="00E77CB3"/>
    <w:rsid w:val="00E77E91"/>
    <w:rsid w:val="00E77EBA"/>
    <w:rsid w:val="00E77FDB"/>
    <w:rsid w:val="00E803E2"/>
    <w:rsid w:val="00E80415"/>
    <w:rsid w:val="00E806E1"/>
    <w:rsid w:val="00E8071A"/>
    <w:rsid w:val="00E8080A"/>
    <w:rsid w:val="00E8083E"/>
    <w:rsid w:val="00E80866"/>
    <w:rsid w:val="00E80877"/>
    <w:rsid w:val="00E808BA"/>
    <w:rsid w:val="00E80945"/>
    <w:rsid w:val="00E80A04"/>
    <w:rsid w:val="00E80A80"/>
    <w:rsid w:val="00E80A94"/>
    <w:rsid w:val="00E80ADB"/>
    <w:rsid w:val="00E80B9F"/>
    <w:rsid w:val="00E80BCC"/>
    <w:rsid w:val="00E80E21"/>
    <w:rsid w:val="00E80E91"/>
    <w:rsid w:val="00E80EA3"/>
    <w:rsid w:val="00E80F63"/>
    <w:rsid w:val="00E80FC6"/>
    <w:rsid w:val="00E81104"/>
    <w:rsid w:val="00E81128"/>
    <w:rsid w:val="00E8112D"/>
    <w:rsid w:val="00E814E0"/>
    <w:rsid w:val="00E81803"/>
    <w:rsid w:val="00E8182C"/>
    <w:rsid w:val="00E81C39"/>
    <w:rsid w:val="00E81CE7"/>
    <w:rsid w:val="00E81D81"/>
    <w:rsid w:val="00E81DBF"/>
    <w:rsid w:val="00E81F99"/>
    <w:rsid w:val="00E82052"/>
    <w:rsid w:val="00E8237B"/>
    <w:rsid w:val="00E823CA"/>
    <w:rsid w:val="00E8249A"/>
    <w:rsid w:val="00E824CF"/>
    <w:rsid w:val="00E825A0"/>
    <w:rsid w:val="00E826A8"/>
    <w:rsid w:val="00E82710"/>
    <w:rsid w:val="00E82772"/>
    <w:rsid w:val="00E827CC"/>
    <w:rsid w:val="00E82963"/>
    <w:rsid w:val="00E82995"/>
    <w:rsid w:val="00E829ED"/>
    <w:rsid w:val="00E82A06"/>
    <w:rsid w:val="00E82A8B"/>
    <w:rsid w:val="00E82AF1"/>
    <w:rsid w:val="00E82C31"/>
    <w:rsid w:val="00E82C32"/>
    <w:rsid w:val="00E82F91"/>
    <w:rsid w:val="00E83192"/>
    <w:rsid w:val="00E83208"/>
    <w:rsid w:val="00E8328E"/>
    <w:rsid w:val="00E83370"/>
    <w:rsid w:val="00E83406"/>
    <w:rsid w:val="00E834B6"/>
    <w:rsid w:val="00E83515"/>
    <w:rsid w:val="00E83587"/>
    <w:rsid w:val="00E835AE"/>
    <w:rsid w:val="00E83698"/>
    <w:rsid w:val="00E8380F"/>
    <w:rsid w:val="00E8381C"/>
    <w:rsid w:val="00E8394C"/>
    <w:rsid w:val="00E8394F"/>
    <w:rsid w:val="00E83A05"/>
    <w:rsid w:val="00E83A74"/>
    <w:rsid w:val="00E83AA2"/>
    <w:rsid w:val="00E83AA9"/>
    <w:rsid w:val="00E83C2D"/>
    <w:rsid w:val="00E83C3E"/>
    <w:rsid w:val="00E83C8C"/>
    <w:rsid w:val="00E83CEA"/>
    <w:rsid w:val="00E83DEB"/>
    <w:rsid w:val="00E83E1B"/>
    <w:rsid w:val="00E84094"/>
    <w:rsid w:val="00E84172"/>
    <w:rsid w:val="00E841B1"/>
    <w:rsid w:val="00E8425B"/>
    <w:rsid w:val="00E842FF"/>
    <w:rsid w:val="00E84331"/>
    <w:rsid w:val="00E84390"/>
    <w:rsid w:val="00E844B2"/>
    <w:rsid w:val="00E844CD"/>
    <w:rsid w:val="00E8452B"/>
    <w:rsid w:val="00E846DE"/>
    <w:rsid w:val="00E8476A"/>
    <w:rsid w:val="00E8483A"/>
    <w:rsid w:val="00E84867"/>
    <w:rsid w:val="00E848B0"/>
    <w:rsid w:val="00E84981"/>
    <w:rsid w:val="00E84AC4"/>
    <w:rsid w:val="00E84D77"/>
    <w:rsid w:val="00E84E55"/>
    <w:rsid w:val="00E84F06"/>
    <w:rsid w:val="00E84FF3"/>
    <w:rsid w:val="00E85030"/>
    <w:rsid w:val="00E850AF"/>
    <w:rsid w:val="00E85316"/>
    <w:rsid w:val="00E85339"/>
    <w:rsid w:val="00E853B2"/>
    <w:rsid w:val="00E85408"/>
    <w:rsid w:val="00E8548B"/>
    <w:rsid w:val="00E854F3"/>
    <w:rsid w:val="00E8556F"/>
    <w:rsid w:val="00E855C8"/>
    <w:rsid w:val="00E855FD"/>
    <w:rsid w:val="00E8562F"/>
    <w:rsid w:val="00E85639"/>
    <w:rsid w:val="00E856A1"/>
    <w:rsid w:val="00E85720"/>
    <w:rsid w:val="00E857E8"/>
    <w:rsid w:val="00E8594B"/>
    <w:rsid w:val="00E85A59"/>
    <w:rsid w:val="00E85BC3"/>
    <w:rsid w:val="00E86009"/>
    <w:rsid w:val="00E860E7"/>
    <w:rsid w:val="00E86151"/>
    <w:rsid w:val="00E8615F"/>
    <w:rsid w:val="00E86449"/>
    <w:rsid w:val="00E864BF"/>
    <w:rsid w:val="00E8655C"/>
    <w:rsid w:val="00E865FB"/>
    <w:rsid w:val="00E8660E"/>
    <w:rsid w:val="00E86698"/>
    <w:rsid w:val="00E8670A"/>
    <w:rsid w:val="00E86802"/>
    <w:rsid w:val="00E86962"/>
    <w:rsid w:val="00E86AF2"/>
    <w:rsid w:val="00E86D43"/>
    <w:rsid w:val="00E86D58"/>
    <w:rsid w:val="00E86DE1"/>
    <w:rsid w:val="00E86E1B"/>
    <w:rsid w:val="00E86F3C"/>
    <w:rsid w:val="00E86F73"/>
    <w:rsid w:val="00E870AC"/>
    <w:rsid w:val="00E8710A"/>
    <w:rsid w:val="00E8722E"/>
    <w:rsid w:val="00E87352"/>
    <w:rsid w:val="00E87422"/>
    <w:rsid w:val="00E87455"/>
    <w:rsid w:val="00E87461"/>
    <w:rsid w:val="00E87534"/>
    <w:rsid w:val="00E875D9"/>
    <w:rsid w:val="00E87660"/>
    <w:rsid w:val="00E876BE"/>
    <w:rsid w:val="00E87949"/>
    <w:rsid w:val="00E87957"/>
    <w:rsid w:val="00E87A1E"/>
    <w:rsid w:val="00E87B0C"/>
    <w:rsid w:val="00E87B6A"/>
    <w:rsid w:val="00E87BE1"/>
    <w:rsid w:val="00E87CE6"/>
    <w:rsid w:val="00E87CE9"/>
    <w:rsid w:val="00E87D8B"/>
    <w:rsid w:val="00E87F53"/>
    <w:rsid w:val="00E87FB9"/>
    <w:rsid w:val="00E87FBA"/>
    <w:rsid w:val="00E90103"/>
    <w:rsid w:val="00E90154"/>
    <w:rsid w:val="00E9019C"/>
    <w:rsid w:val="00E902D1"/>
    <w:rsid w:val="00E90384"/>
    <w:rsid w:val="00E90484"/>
    <w:rsid w:val="00E905D0"/>
    <w:rsid w:val="00E907C0"/>
    <w:rsid w:val="00E907C9"/>
    <w:rsid w:val="00E908A5"/>
    <w:rsid w:val="00E908D7"/>
    <w:rsid w:val="00E90B0C"/>
    <w:rsid w:val="00E90CA7"/>
    <w:rsid w:val="00E90DCE"/>
    <w:rsid w:val="00E90E9C"/>
    <w:rsid w:val="00E90EBE"/>
    <w:rsid w:val="00E910CF"/>
    <w:rsid w:val="00E911E5"/>
    <w:rsid w:val="00E91234"/>
    <w:rsid w:val="00E91263"/>
    <w:rsid w:val="00E914BC"/>
    <w:rsid w:val="00E915D6"/>
    <w:rsid w:val="00E91648"/>
    <w:rsid w:val="00E91662"/>
    <w:rsid w:val="00E91692"/>
    <w:rsid w:val="00E917EF"/>
    <w:rsid w:val="00E91A61"/>
    <w:rsid w:val="00E91AAF"/>
    <w:rsid w:val="00E91AEF"/>
    <w:rsid w:val="00E91B75"/>
    <w:rsid w:val="00E91B7A"/>
    <w:rsid w:val="00E91CB5"/>
    <w:rsid w:val="00E91EC7"/>
    <w:rsid w:val="00E91F9F"/>
    <w:rsid w:val="00E91FDB"/>
    <w:rsid w:val="00E92054"/>
    <w:rsid w:val="00E92305"/>
    <w:rsid w:val="00E923FF"/>
    <w:rsid w:val="00E9271D"/>
    <w:rsid w:val="00E929D1"/>
    <w:rsid w:val="00E92A0D"/>
    <w:rsid w:val="00E92A5F"/>
    <w:rsid w:val="00E92B7B"/>
    <w:rsid w:val="00E9309A"/>
    <w:rsid w:val="00E930A5"/>
    <w:rsid w:val="00E93193"/>
    <w:rsid w:val="00E9325D"/>
    <w:rsid w:val="00E932FB"/>
    <w:rsid w:val="00E93496"/>
    <w:rsid w:val="00E93524"/>
    <w:rsid w:val="00E9373E"/>
    <w:rsid w:val="00E937B3"/>
    <w:rsid w:val="00E937B5"/>
    <w:rsid w:val="00E93929"/>
    <w:rsid w:val="00E93B38"/>
    <w:rsid w:val="00E93BF9"/>
    <w:rsid w:val="00E93C0C"/>
    <w:rsid w:val="00E93C54"/>
    <w:rsid w:val="00E93C99"/>
    <w:rsid w:val="00E93F03"/>
    <w:rsid w:val="00E93F32"/>
    <w:rsid w:val="00E93FAA"/>
    <w:rsid w:val="00E93FB2"/>
    <w:rsid w:val="00E940C0"/>
    <w:rsid w:val="00E941A9"/>
    <w:rsid w:val="00E941DC"/>
    <w:rsid w:val="00E94225"/>
    <w:rsid w:val="00E9433E"/>
    <w:rsid w:val="00E9453E"/>
    <w:rsid w:val="00E94631"/>
    <w:rsid w:val="00E946F6"/>
    <w:rsid w:val="00E94778"/>
    <w:rsid w:val="00E94811"/>
    <w:rsid w:val="00E9495C"/>
    <w:rsid w:val="00E94A34"/>
    <w:rsid w:val="00E94A9C"/>
    <w:rsid w:val="00E94AE9"/>
    <w:rsid w:val="00E94C9A"/>
    <w:rsid w:val="00E94CBF"/>
    <w:rsid w:val="00E94EE5"/>
    <w:rsid w:val="00E94F1E"/>
    <w:rsid w:val="00E94FD0"/>
    <w:rsid w:val="00E94FF4"/>
    <w:rsid w:val="00E95086"/>
    <w:rsid w:val="00E951C2"/>
    <w:rsid w:val="00E951C3"/>
    <w:rsid w:val="00E95394"/>
    <w:rsid w:val="00E953FC"/>
    <w:rsid w:val="00E95470"/>
    <w:rsid w:val="00E95502"/>
    <w:rsid w:val="00E9553E"/>
    <w:rsid w:val="00E9557E"/>
    <w:rsid w:val="00E955F8"/>
    <w:rsid w:val="00E9564C"/>
    <w:rsid w:val="00E9571C"/>
    <w:rsid w:val="00E9599B"/>
    <w:rsid w:val="00E959BC"/>
    <w:rsid w:val="00E95A67"/>
    <w:rsid w:val="00E95B16"/>
    <w:rsid w:val="00E95B48"/>
    <w:rsid w:val="00E95BDF"/>
    <w:rsid w:val="00E95D4B"/>
    <w:rsid w:val="00E95D77"/>
    <w:rsid w:val="00E95DE2"/>
    <w:rsid w:val="00E95E71"/>
    <w:rsid w:val="00E95F16"/>
    <w:rsid w:val="00E95F92"/>
    <w:rsid w:val="00E960F6"/>
    <w:rsid w:val="00E961A5"/>
    <w:rsid w:val="00E96618"/>
    <w:rsid w:val="00E96734"/>
    <w:rsid w:val="00E96825"/>
    <w:rsid w:val="00E968BC"/>
    <w:rsid w:val="00E969F3"/>
    <w:rsid w:val="00E96ABA"/>
    <w:rsid w:val="00E96BBD"/>
    <w:rsid w:val="00E96C40"/>
    <w:rsid w:val="00E96D76"/>
    <w:rsid w:val="00E96EE9"/>
    <w:rsid w:val="00E96FE1"/>
    <w:rsid w:val="00E97497"/>
    <w:rsid w:val="00E9755C"/>
    <w:rsid w:val="00E975C1"/>
    <w:rsid w:val="00E97622"/>
    <w:rsid w:val="00E97664"/>
    <w:rsid w:val="00E976F1"/>
    <w:rsid w:val="00E9771A"/>
    <w:rsid w:val="00E9783C"/>
    <w:rsid w:val="00E97934"/>
    <w:rsid w:val="00E97945"/>
    <w:rsid w:val="00E979EE"/>
    <w:rsid w:val="00E97A36"/>
    <w:rsid w:val="00E97C15"/>
    <w:rsid w:val="00E97CFC"/>
    <w:rsid w:val="00E97D48"/>
    <w:rsid w:val="00E97DDB"/>
    <w:rsid w:val="00E97E7B"/>
    <w:rsid w:val="00EA00C0"/>
    <w:rsid w:val="00EA00C7"/>
    <w:rsid w:val="00EA023D"/>
    <w:rsid w:val="00EA02F6"/>
    <w:rsid w:val="00EA0303"/>
    <w:rsid w:val="00EA0558"/>
    <w:rsid w:val="00EA079D"/>
    <w:rsid w:val="00EA095F"/>
    <w:rsid w:val="00EA09E3"/>
    <w:rsid w:val="00EA0A21"/>
    <w:rsid w:val="00EA0B06"/>
    <w:rsid w:val="00EA0B93"/>
    <w:rsid w:val="00EA0BBD"/>
    <w:rsid w:val="00EA0BE3"/>
    <w:rsid w:val="00EA0BE5"/>
    <w:rsid w:val="00EA0E5B"/>
    <w:rsid w:val="00EA0E7C"/>
    <w:rsid w:val="00EA0EBA"/>
    <w:rsid w:val="00EA0F15"/>
    <w:rsid w:val="00EA0F30"/>
    <w:rsid w:val="00EA0F7F"/>
    <w:rsid w:val="00EA10BE"/>
    <w:rsid w:val="00EA110D"/>
    <w:rsid w:val="00EA16A0"/>
    <w:rsid w:val="00EA17C9"/>
    <w:rsid w:val="00EA1845"/>
    <w:rsid w:val="00EA1898"/>
    <w:rsid w:val="00EA18EF"/>
    <w:rsid w:val="00EA1940"/>
    <w:rsid w:val="00EA19A4"/>
    <w:rsid w:val="00EA19A8"/>
    <w:rsid w:val="00EA19E1"/>
    <w:rsid w:val="00EA1ACD"/>
    <w:rsid w:val="00EA1B00"/>
    <w:rsid w:val="00EA1B24"/>
    <w:rsid w:val="00EA1CFF"/>
    <w:rsid w:val="00EA1D88"/>
    <w:rsid w:val="00EA1DD1"/>
    <w:rsid w:val="00EA1E71"/>
    <w:rsid w:val="00EA1F7E"/>
    <w:rsid w:val="00EA208E"/>
    <w:rsid w:val="00EA218C"/>
    <w:rsid w:val="00EA21E3"/>
    <w:rsid w:val="00EA2299"/>
    <w:rsid w:val="00EA2351"/>
    <w:rsid w:val="00EA245D"/>
    <w:rsid w:val="00EA254D"/>
    <w:rsid w:val="00EA266A"/>
    <w:rsid w:val="00EA2803"/>
    <w:rsid w:val="00EA288E"/>
    <w:rsid w:val="00EA2952"/>
    <w:rsid w:val="00EA29A4"/>
    <w:rsid w:val="00EA2A4B"/>
    <w:rsid w:val="00EA2AEA"/>
    <w:rsid w:val="00EA2BCF"/>
    <w:rsid w:val="00EA2C13"/>
    <w:rsid w:val="00EA2D0A"/>
    <w:rsid w:val="00EA2D35"/>
    <w:rsid w:val="00EA2D8A"/>
    <w:rsid w:val="00EA2D98"/>
    <w:rsid w:val="00EA2DAB"/>
    <w:rsid w:val="00EA2E44"/>
    <w:rsid w:val="00EA2F8D"/>
    <w:rsid w:val="00EA31FF"/>
    <w:rsid w:val="00EA3249"/>
    <w:rsid w:val="00EA32BE"/>
    <w:rsid w:val="00EA32E5"/>
    <w:rsid w:val="00EA3335"/>
    <w:rsid w:val="00EA3356"/>
    <w:rsid w:val="00EA33F4"/>
    <w:rsid w:val="00EA3462"/>
    <w:rsid w:val="00EA348E"/>
    <w:rsid w:val="00EA36E4"/>
    <w:rsid w:val="00EA37A5"/>
    <w:rsid w:val="00EA3949"/>
    <w:rsid w:val="00EA3A6F"/>
    <w:rsid w:val="00EA3B9B"/>
    <w:rsid w:val="00EA3BE6"/>
    <w:rsid w:val="00EA3C34"/>
    <w:rsid w:val="00EA3C99"/>
    <w:rsid w:val="00EA3D09"/>
    <w:rsid w:val="00EA3D29"/>
    <w:rsid w:val="00EA3E2A"/>
    <w:rsid w:val="00EA3ECD"/>
    <w:rsid w:val="00EA3FCE"/>
    <w:rsid w:val="00EA3FF8"/>
    <w:rsid w:val="00EA413D"/>
    <w:rsid w:val="00EA4367"/>
    <w:rsid w:val="00EA43F6"/>
    <w:rsid w:val="00EA444C"/>
    <w:rsid w:val="00EA4464"/>
    <w:rsid w:val="00EA44EC"/>
    <w:rsid w:val="00EA4518"/>
    <w:rsid w:val="00EA4571"/>
    <w:rsid w:val="00EA458F"/>
    <w:rsid w:val="00EA460A"/>
    <w:rsid w:val="00EA4765"/>
    <w:rsid w:val="00EA4895"/>
    <w:rsid w:val="00EA49EE"/>
    <w:rsid w:val="00EA4A8F"/>
    <w:rsid w:val="00EA4AFF"/>
    <w:rsid w:val="00EA4B4F"/>
    <w:rsid w:val="00EA4B8A"/>
    <w:rsid w:val="00EA4C5D"/>
    <w:rsid w:val="00EA4CC4"/>
    <w:rsid w:val="00EA4D7D"/>
    <w:rsid w:val="00EA4EC1"/>
    <w:rsid w:val="00EA4F88"/>
    <w:rsid w:val="00EA4FD1"/>
    <w:rsid w:val="00EA4FDF"/>
    <w:rsid w:val="00EA5067"/>
    <w:rsid w:val="00EA506C"/>
    <w:rsid w:val="00EA50E8"/>
    <w:rsid w:val="00EA5350"/>
    <w:rsid w:val="00EA548C"/>
    <w:rsid w:val="00EA5579"/>
    <w:rsid w:val="00EA57BF"/>
    <w:rsid w:val="00EA58CB"/>
    <w:rsid w:val="00EA5B7E"/>
    <w:rsid w:val="00EA5E0E"/>
    <w:rsid w:val="00EA5E6D"/>
    <w:rsid w:val="00EA5E8F"/>
    <w:rsid w:val="00EA5F4B"/>
    <w:rsid w:val="00EA6040"/>
    <w:rsid w:val="00EA606B"/>
    <w:rsid w:val="00EA60EE"/>
    <w:rsid w:val="00EA620B"/>
    <w:rsid w:val="00EA6273"/>
    <w:rsid w:val="00EA62E4"/>
    <w:rsid w:val="00EA6379"/>
    <w:rsid w:val="00EA6410"/>
    <w:rsid w:val="00EA6432"/>
    <w:rsid w:val="00EA653F"/>
    <w:rsid w:val="00EA667A"/>
    <w:rsid w:val="00EA67FE"/>
    <w:rsid w:val="00EA6875"/>
    <w:rsid w:val="00EA68ED"/>
    <w:rsid w:val="00EA6B7D"/>
    <w:rsid w:val="00EA6C7B"/>
    <w:rsid w:val="00EA6E81"/>
    <w:rsid w:val="00EA716D"/>
    <w:rsid w:val="00EA723C"/>
    <w:rsid w:val="00EA7346"/>
    <w:rsid w:val="00EA73C3"/>
    <w:rsid w:val="00EA7421"/>
    <w:rsid w:val="00EA75B9"/>
    <w:rsid w:val="00EA7616"/>
    <w:rsid w:val="00EA76D7"/>
    <w:rsid w:val="00EA7833"/>
    <w:rsid w:val="00EA7878"/>
    <w:rsid w:val="00EA7891"/>
    <w:rsid w:val="00EA793A"/>
    <w:rsid w:val="00EA7AD0"/>
    <w:rsid w:val="00EA7B1B"/>
    <w:rsid w:val="00EA7B2C"/>
    <w:rsid w:val="00EA7C80"/>
    <w:rsid w:val="00EA7CBC"/>
    <w:rsid w:val="00EA7CD4"/>
    <w:rsid w:val="00EA7D79"/>
    <w:rsid w:val="00EA7E24"/>
    <w:rsid w:val="00EB00F2"/>
    <w:rsid w:val="00EB02D3"/>
    <w:rsid w:val="00EB03F9"/>
    <w:rsid w:val="00EB0441"/>
    <w:rsid w:val="00EB04E6"/>
    <w:rsid w:val="00EB04F4"/>
    <w:rsid w:val="00EB0629"/>
    <w:rsid w:val="00EB0644"/>
    <w:rsid w:val="00EB0685"/>
    <w:rsid w:val="00EB0987"/>
    <w:rsid w:val="00EB09C5"/>
    <w:rsid w:val="00EB0B28"/>
    <w:rsid w:val="00EB0BB7"/>
    <w:rsid w:val="00EB0C20"/>
    <w:rsid w:val="00EB0C83"/>
    <w:rsid w:val="00EB0D09"/>
    <w:rsid w:val="00EB0E7D"/>
    <w:rsid w:val="00EB0EA9"/>
    <w:rsid w:val="00EB1162"/>
    <w:rsid w:val="00EB1185"/>
    <w:rsid w:val="00EB128B"/>
    <w:rsid w:val="00EB1317"/>
    <w:rsid w:val="00EB1361"/>
    <w:rsid w:val="00EB14A7"/>
    <w:rsid w:val="00EB157A"/>
    <w:rsid w:val="00EB1593"/>
    <w:rsid w:val="00EB15CC"/>
    <w:rsid w:val="00EB164D"/>
    <w:rsid w:val="00EB1724"/>
    <w:rsid w:val="00EB17BA"/>
    <w:rsid w:val="00EB1826"/>
    <w:rsid w:val="00EB1987"/>
    <w:rsid w:val="00EB1B8F"/>
    <w:rsid w:val="00EB1BB6"/>
    <w:rsid w:val="00EB1C02"/>
    <w:rsid w:val="00EB1C6D"/>
    <w:rsid w:val="00EB1CA3"/>
    <w:rsid w:val="00EB1D91"/>
    <w:rsid w:val="00EB1EEC"/>
    <w:rsid w:val="00EB1F16"/>
    <w:rsid w:val="00EB1F92"/>
    <w:rsid w:val="00EB2097"/>
    <w:rsid w:val="00EB2139"/>
    <w:rsid w:val="00EB22D4"/>
    <w:rsid w:val="00EB22E6"/>
    <w:rsid w:val="00EB2346"/>
    <w:rsid w:val="00EB254E"/>
    <w:rsid w:val="00EB25BA"/>
    <w:rsid w:val="00EB2647"/>
    <w:rsid w:val="00EB26B6"/>
    <w:rsid w:val="00EB27F2"/>
    <w:rsid w:val="00EB288C"/>
    <w:rsid w:val="00EB297E"/>
    <w:rsid w:val="00EB29D9"/>
    <w:rsid w:val="00EB2A80"/>
    <w:rsid w:val="00EB2B5E"/>
    <w:rsid w:val="00EB2D2F"/>
    <w:rsid w:val="00EB2D3E"/>
    <w:rsid w:val="00EB2D47"/>
    <w:rsid w:val="00EB2E99"/>
    <w:rsid w:val="00EB2F77"/>
    <w:rsid w:val="00EB302B"/>
    <w:rsid w:val="00EB3073"/>
    <w:rsid w:val="00EB30EC"/>
    <w:rsid w:val="00EB313A"/>
    <w:rsid w:val="00EB316A"/>
    <w:rsid w:val="00EB3253"/>
    <w:rsid w:val="00EB34A9"/>
    <w:rsid w:val="00EB3503"/>
    <w:rsid w:val="00EB3549"/>
    <w:rsid w:val="00EB3586"/>
    <w:rsid w:val="00EB3674"/>
    <w:rsid w:val="00EB36DF"/>
    <w:rsid w:val="00EB373E"/>
    <w:rsid w:val="00EB3748"/>
    <w:rsid w:val="00EB3779"/>
    <w:rsid w:val="00EB3801"/>
    <w:rsid w:val="00EB3836"/>
    <w:rsid w:val="00EB3874"/>
    <w:rsid w:val="00EB38C1"/>
    <w:rsid w:val="00EB3928"/>
    <w:rsid w:val="00EB395C"/>
    <w:rsid w:val="00EB39C2"/>
    <w:rsid w:val="00EB3ECA"/>
    <w:rsid w:val="00EB3F57"/>
    <w:rsid w:val="00EB4073"/>
    <w:rsid w:val="00EB4141"/>
    <w:rsid w:val="00EB42D8"/>
    <w:rsid w:val="00EB4447"/>
    <w:rsid w:val="00EB45FF"/>
    <w:rsid w:val="00EB46F2"/>
    <w:rsid w:val="00EB4758"/>
    <w:rsid w:val="00EB484C"/>
    <w:rsid w:val="00EB4856"/>
    <w:rsid w:val="00EB489D"/>
    <w:rsid w:val="00EB49AD"/>
    <w:rsid w:val="00EB49B3"/>
    <w:rsid w:val="00EB4C3D"/>
    <w:rsid w:val="00EB4D92"/>
    <w:rsid w:val="00EB4E52"/>
    <w:rsid w:val="00EB4EA6"/>
    <w:rsid w:val="00EB503E"/>
    <w:rsid w:val="00EB511F"/>
    <w:rsid w:val="00EB51DA"/>
    <w:rsid w:val="00EB5353"/>
    <w:rsid w:val="00EB538F"/>
    <w:rsid w:val="00EB5482"/>
    <w:rsid w:val="00EB549D"/>
    <w:rsid w:val="00EB54EE"/>
    <w:rsid w:val="00EB5663"/>
    <w:rsid w:val="00EB56D6"/>
    <w:rsid w:val="00EB5712"/>
    <w:rsid w:val="00EB58ED"/>
    <w:rsid w:val="00EB5967"/>
    <w:rsid w:val="00EB59F1"/>
    <w:rsid w:val="00EB5A22"/>
    <w:rsid w:val="00EB5BEB"/>
    <w:rsid w:val="00EB5D36"/>
    <w:rsid w:val="00EB5D4E"/>
    <w:rsid w:val="00EB5E39"/>
    <w:rsid w:val="00EB5EBD"/>
    <w:rsid w:val="00EB6083"/>
    <w:rsid w:val="00EB6085"/>
    <w:rsid w:val="00EB608A"/>
    <w:rsid w:val="00EB61B5"/>
    <w:rsid w:val="00EB621A"/>
    <w:rsid w:val="00EB622D"/>
    <w:rsid w:val="00EB6288"/>
    <w:rsid w:val="00EB6323"/>
    <w:rsid w:val="00EB649D"/>
    <w:rsid w:val="00EB6525"/>
    <w:rsid w:val="00EB662D"/>
    <w:rsid w:val="00EB665F"/>
    <w:rsid w:val="00EB66DC"/>
    <w:rsid w:val="00EB6821"/>
    <w:rsid w:val="00EB68DF"/>
    <w:rsid w:val="00EB68F9"/>
    <w:rsid w:val="00EB6AFA"/>
    <w:rsid w:val="00EB6C99"/>
    <w:rsid w:val="00EB6CF0"/>
    <w:rsid w:val="00EB6D5F"/>
    <w:rsid w:val="00EB6E40"/>
    <w:rsid w:val="00EB6E44"/>
    <w:rsid w:val="00EB6E9F"/>
    <w:rsid w:val="00EB6F4D"/>
    <w:rsid w:val="00EB6F83"/>
    <w:rsid w:val="00EB6FE1"/>
    <w:rsid w:val="00EB702D"/>
    <w:rsid w:val="00EB7063"/>
    <w:rsid w:val="00EB70C0"/>
    <w:rsid w:val="00EB720B"/>
    <w:rsid w:val="00EB7384"/>
    <w:rsid w:val="00EB74AE"/>
    <w:rsid w:val="00EB75C5"/>
    <w:rsid w:val="00EB7753"/>
    <w:rsid w:val="00EB776B"/>
    <w:rsid w:val="00EB79B1"/>
    <w:rsid w:val="00EB7A38"/>
    <w:rsid w:val="00EB7A77"/>
    <w:rsid w:val="00EB7A87"/>
    <w:rsid w:val="00EB7B20"/>
    <w:rsid w:val="00EB7B28"/>
    <w:rsid w:val="00EB7B31"/>
    <w:rsid w:val="00EB7B41"/>
    <w:rsid w:val="00EB7B4A"/>
    <w:rsid w:val="00EB7CC3"/>
    <w:rsid w:val="00EB7CD2"/>
    <w:rsid w:val="00EB7D09"/>
    <w:rsid w:val="00EB7D3D"/>
    <w:rsid w:val="00EB7D9B"/>
    <w:rsid w:val="00EB7E0E"/>
    <w:rsid w:val="00EB7F1B"/>
    <w:rsid w:val="00EB7F62"/>
    <w:rsid w:val="00EB7F63"/>
    <w:rsid w:val="00EB7F86"/>
    <w:rsid w:val="00EB7F9C"/>
    <w:rsid w:val="00EC0017"/>
    <w:rsid w:val="00EC010D"/>
    <w:rsid w:val="00EC0122"/>
    <w:rsid w:val="00EC0194"/>
    <w:rsid w:val="00EC0260"/>
    <w:rsid w:val="00EC053C"/>
    <w:rsid w:val="00EC0677"/>
    <w:rsid w:val="00EC072E"/>
    <w:rsid w:val="00EC07BD"/>
    <w:rsid w:val="00EC07EC"/>
    <w:rsid w:val="00EC0893"/>
    <w:rsid w:val="00EC08F8"/>
    <w:rsid w:val="00EC0995"/>
    <w:rsid w:val="00EC0C24"/>
    <w:rsid w:val="00EC0CC3"/>
    <w:rsid w:val="00EC0EB4"/>
    <w:rsid w:val="00EC0FD7"/>
    <w:rsid w:val="00EC1148"/>
    <w:rsid w:val="00EC121C"/>
    <w:rsid w:val="00EC13AB"/>
    <w:rsid w:val="00EC18B7"/>
    <w:rsid w:val="00EC18DC"/>
    <w:rsid w:val="00EC1AE5"/>
    <w:rsid w:val="00EC1B8D"/>
    <w:rsid w:val="00EC1E24"/>
    <w:rsid w:val="00EC1F18"/>
    <w:rsid w:val="00EC1F38"/>
    <w:rsid w:val="00EC2029"/>
    <w:rsid w:val="00EC202F"/>
    <w:rsid w:val="00EC2187"/>
    <w:rsid w:val="00EC22D7"/>
    <w:rsid w:val="00EC231A"/>
    <w:rsid w:val="00EC24D8"/>
    <w:rsid w:val="00EC28E3"/>
    <w:rsid w:val="00EC2A19"/>
    <w:rsid w:val="00EC2BB2"/>
    <w:rsid w:val="00EC2E17"/>
    <w:rsid w:val="00EC2EC2"/>
    <w:rsid w:val="00EC2F79"/>
    <w:rsid w:val="00EC2FDB"/>
    <w:rsid w:val="00EC2FF3"/>
    <w:rsid w:val="00EC341B"/>
    <w:rsid w:val="00EC36AB"/>
    <w:rsid w:val="00EC36F3"/>
    <w:rsid w:val="00EC370A"/>
    <w:rsid w:val="00EC372D"/>
    <w:rsid w:val="00EC3968"/>
    <w:rsid w:val="00EC398E"/>
    <w:rsid w:val="00EC3A30"/>
    <w:rsid w:val="00EC3A32"/>
    <w:rsid w:val="00EC3A38"/>
    <w:rsid w:val="00EC3B3B"/>
    <w:rsid w:val="00EC3BFC"/>
    <w:rsid w:val="00EC3D7B"/>
    <w:rsid w:val="00EC3E02"/>
    <w:rsid w:val="00EC3E88"/>
    <w:rsid w:val="00EC3F88"/>
    <w:rsid w:val="00EC4082"/>
    <w:rsid w:val="00EC40DB"/>
    <w:rsid w:val="00EC40E2"/>
    <w:rsid w:val="00EC4173"/>
    <w:rsid w:val="00EC421D"/>
    <w:rsid w:val="00EC42D8"/>
    <w:rsid w:val="00EC43A9"/>
    <w:rsid w:val="00EC45C9"/>
    <w:rsid w:val="00EC46A7"/>
    <w:rsid w:val="00EC4B5E"/>
    <w:rsid w:val="00EC4BFA"/>
    <w:rsid w:val="00EC4C01"/>
    <w:rsid w:val="00EC4D08"/>
    <w:rsid w:val="00EC4D54"/>
    <w:rsid w:val="00EC4ECB"/>
    <w:rsid w:val="00EC4F11"/>
    <w:rsid w:val="00EC4FFE"/>
    <w:rsid w:val="00EC5067"/>
    <w:rsid w:val="00EC5073"/>
    <w:rsid w:val="00EC50C3"/>
    <w:rsid w:val="00EC51DC"/>
    <w:rsid w:val="00EC52AB"/>
    <w:rsid w:val="00EC52AF"/>
    <w:rsid w:val="00EC5354"/>
    <w:rsid w:val="00EC5430"/>
    <w:rsid w:val="00EC54AD"/>
    <w:rsid w:val="00EC54C3"/>
    <w:rsid w:val="00EC55AD"/>
    <w:rsid w:val="00EC5702"/>
    <w:rsid w:val="00EC58C8"/>
    <w:rsid w:val="00EC58E3"/>
    <w:rsid w:val="00EC5951"/>
    <w:rsid w:val="00EC59DF"/>
    <w:rsid w:val="00EC59EA"/>
    <w:rsid w:val="00EC5A4E"/>
    <w:rsid w:val="00EC5B9C"/>
    <w:rsid w:val="00EC5E25"/>
    <w:rsid w:val="00EC5E95"/>
    <w:rsid w:val="00EC5FCC"/>
    <w:rsid w:val="00EC601A"/>
    <w:rsid w:val="00EC6103"/>
    <w:rsid w:val="00EC63BB"/>
    <w:rsid w:val="00EC6536"/>
    <w:rsid w:val="00EC66AD"/>
    <w:rsid w:val="00EC676C"/>
    <w:rsid w:val="00EC679C"/>
    <w:rsid w:val="00EC68D9"/>
    <w:rsid w:val="00EC6C84"/>
    <w:rsid w:val="00EC6CC8"/>
    <w:rsid w:val="00EC6D26"/>
    <w:rsid w:val="00EC6DF7"/>
    <w:rsid w:val="00EC6E49"/>
    <w:rsid w:val="00EC6F02"/>
    <w:rsid w:val="00EC6F81"/>
    <w:rsid w:val="00EC710E"/>
    <w:rsid w:val="00EC713C"/>
    <w:rsid w:val="00EC7199"/>
    <w:rsid w:val="00EC725F"/>
    <w:rsid w:val="00EC72DD"/>
    <w:rsid w:val="00EC7365"/>
    <w:rsid w:val="00EC73D7"/>
    <w:rsid w:val="00EC74E0"/>
    <w:rsid w:val="00EC781D"/>
    <w:rsid w:val="00EC78CF"/>
    <w:rsid w:val="00EC78E9"/>
    <w:rsid w:val="00EC7BA3"/>
    <w:rsid w:val="00EC7D40"/>
    <w:rsid w:val="00ED00B1"/>
    <w:rsid w:val="00ED0137"/>
    <w:rsid w:val="00ED0164"/>
    <w:rsid w:val="00ED024C"/>
    <w:rsid w:val="00ED0293"/>
    <w:rsid w:val="00ED0415"/>
    <w:rsid w:val="00ED0431"/>
    <w:rsid w:val="00ED0444"/>
    <w:rsid w:val="00ED074E"/>
    <w:rsid w:val="00ED076B"/>
    <w:rsid w:val="00ED0802"/>
    <w:rsid w:val="00ED081D"/>
    <w:rsid w:val="00ED0881"/>
    <w:rsid w:val="00ED0CCE"/>
    <w:rsid w:val="00ED0D1C"/>
    <w:rsid w:val="00ED0DD6"/>
    <w:rsid w:val="00ED0EA9"/>
    <w:rsid w:val="00ED10A8"/>
    <w:rsid w:val="00ED10F1"/>
    <w:rsid w:val="00ED1199"/>
    <w:rsid w:val="00ED11ED"/>
    <w:rsid w:val="00ED1211"/>
    <w:rsid w:val="00ED1308"/>
    <w:rsid w:val="00ED13AB"/>
    <w:rsid w:val="00ED13E0"/>
    <w:rsid w:val="00ED14E5"/>
    <w:rsid w:val="00ED18A6"/>
    <w:rsid w:val="00ED18EC"/>
    <w:rsid w:val="00ED1927"/>
    <w:rsid w:val="00ED1982"/>
    <w:rsid w:val="00ED1BA9"/>
    <w:rsid w:val="00ED1C49"/>
    <w:rsid w:val="00ED1D0E"/>
    <w:rsid w:val="00ED1F5A"/>
    <w:rsid w:val="00ED2277"/>
    <w:rsid w:val="00ED22ED"/>
    <w:rsid w:val="00ED2448"/>
    <w:rsid w:val="00ED244F"/>
    <w:rsid w:val="00ED2772"/>
    <w:rsid w:val="00ED2780"/>
    <w:rsid w:val="00ED2A2F"/>
    <w:rsid w:val="00ED2ACF"/>
    <w:rsid w:val="00ED2AED"/>
    <w:rsid w:val="00ED2B2D"/>
    <w:rsid w:val="00ED2B90"/>
    <w:rsid w:val="00ED2D3A"/>
    <w:rsid w:val="00ED2D51"/>
    <w:rsid w:val="00ED2DFE"/>
    <w:rsid w:val="00ED2F63"/>
    <w:rsid w:val="00ED2FE4"/>
    <w:rsid w:val="00ED3071"/>
    <w:rsid w:val="00ED30CE"/>
    <w:rsid w:val="00ED3331"/>
    <w:rsid w:val="00ED3431"/>
    <w:rsid w:val="00ED34A3"/>
    <w:rsid w:val="00ED34E3"/>
    <w:rsid w:val="00ED355D"/>
    <w:rsid w:val="00ED35E4"/>
    <w:rsid w:val="00ED363F"/>
    <w:rsid w:val="00ED37BD"/>
    <w:rsid w:val="00ED37EB"/>
    <w:rsid w:val="00ED38FE"/>
    <w:rsid w:val="00ED3954"/>
    <w:rsid w:val="00ED39D3"/>
    <w:rsid w:val="00ED3B02"/>
    <w:rsid w:val="00ED3B3C"/>
    <w:rsid w:val="00ED3B85"/>
    <w:rsid w:val="00ED3BD8"/>
    <w:rsid w:val="00ED3DC2"/>
    <w:rsid w:val="00ED3EBB"/>
    <w:rsid w:val="00ED3F48"/>
    <w:rsid w:val="00ED4062"/>
    <w:rsid w:val="00ED4162"/>
    <w:rsid w:val="00ED418F"/>
    <w:rsid w:val="00ED4197"/>
    <w:rsid w:val="00ED4276"/>
    <w:rsid w:val="00ED4463"/>
    <w:rsid w:val="00ED44D0"/>
    <w:rsid w:val="00ED458F"/>
    <w:rsid w:val="00ED45B0"/>
    <w:rsid w:val="00ED45C2"/>
    <w:rsid w:val="00ED4653"/>
    <w:rsid w:val="00ED46B3"/>
    <w:rsid w:val="00ED4701"/>
    <w:rsid w:val="00ED47E1"/>
    <w:rsid w:val="00ED486B"/>
    <w:rsid w:val="00ED4906"/>
    <w:rsid w:val="00ED4956"/>
    <w:rsid w:val="00ED4A55"/>
    <w:rsid w:val="00ED4A70"/>
    <w:rsid w:val="00ED4A7C"/>
    <w:rsid w:val="00ED4AEB"/>
    <w:rsid w:val="00ED4B2C"/>
    <w:rsid w:val="00ED4B66"/>
    <w:rsid w:val="00ED4CF9"/>
    <w:rsid w:val="00ED4DA0"/>
    <w:rsid w:val="00ED4E79"/>
    <w:rsid w:val="00ED5039"/>
    <w:rsid w:val="00ED50E9"/>
    <w:rsid w:val="00ED53AC"/>
    <w:rsid w:val="00ED5421"/>
    <w:rsid w:val="00ED548C"/>
    <w:rsid w:val="00ED54B7"/>
    <w:rsid w:val="00ED54C4"/>
    <w:rsid w:val="00ED5676"/>
    <w:rsid w:val="00ED5A00"/>
    <w:rsid w:val="00ED5AEB"/>
    <w:rsid w:val="00ED5B63"/>
    <w:rsid w:val="00ED5B68"/>
    <w:rsid w:val="00ED5BAE"/>
    <w:rsid w:val="00ED5C2D"/>
    <w:rsid w:val="00ED5C45"/>
    <w:rsid w:val="00ED5D2F"/>
    <w:rsid w:val="00ED5DCF"/>
    <w:rsid w:val="00ED5DE7"/>
    <w:rsid w:val="00ED5FA1"/>
    <w:rsid w:val="00ED6130"/>
    <w:rsid w:val="00ED61C5"/>
    <w:rsid w:val="00ED620F"/>
    <w:rsid w:val="00ED6383"/>
    <w:rsid w:val="00ED642A"/>
    <w:rsid w:val="00ED6495"/>
    <w:rsid w:val="00ED6529"/>
    <w:rsid w:val="00ED6B92"/>
    <w:rsid w:val="00ED6E2B"/>
    <w:rsid w:val="00ED6EAD"/>
    <w:rsid w:val="00ED6F21"/>
    <w:rsid w:val="00ED6F71"/>
    <w:rsid w:val="00ED6F99"/>
    <w:rsid w:val="00ED706B"/>
    <w:rsid w:val="00ED7087"/>
    <w:rsid w:val="00ED70C1"/>
    <w:rsid w:val="00ED7149"/>
    <w:rsid w:val="00ED7271"/>
    <w:rsid w:val="00ED7448"/>
    <w:rsid w:val="00ED7531"/>
    <w:rsid w:val="00ED762C"/>
    <w:rsid w:val="00ED76F0"/>
    <w:rsid w:val="00ED76FE"/>
    <w:rsid w:val="00ED7726"/>
    <w:rsid w:val="00ED7848"/>
    <w:rsid w:val="00ED7A60"/>
    <w:rsid w:val="00ED7A76"/>
    <w:rsid w:val="00ED7A8E"/>
    <w:rsid w:val="00ED7B18"/>
    <w:rsid w:val="00ED7C00"/>
    <w:rsid w:val="00ED7C35"/>
    <w:rsid w:val="00ED7CA2"/>
    <w:rsid w:val="00ED7FF4"/>
    <w:rsid w:val="00EE0009"/>
    <w:rsid w:val="00EE00B3"/>
    <w:rsid w:val="00EE0235"/>
    <w:rsid w:val="00EE033B"/>
    <w:rsid w:val="00EE03AD"/>
    <w:rsid w:val="00EE04CF"/>
    <w:rsid w:val="00EE0646"/>
    <w:rsid w:val="00EE06D8"/>
    <w:rsid w:val="00EE0882"/>
    <w:rsid w:val="00EE0913"/>
    <w:rsid w:val="00EE0914"/>
    <w:rsid w:val="00EE0956"/>
    <w:rsid w:val="00EE09BE"/>
    <w:rsid w:val="00EE0A05"/>
    <w:rsid w:val="00EE0A60"/>
    <w:rsid w:val="00EE0BDB"/>
    <w:rsid w:val="00EE0D25"/>
    <w:rsid w:val="00EE0FFE"/>
    <w:rsid w:val="00EE1029"/>
    <w:rsid w:val="00EE11F9"/>
    <w:rsid w:val="00EE120D"/>
    <w:rsid w:val="00EE1240"/>
    <w:rsid w:val="00EE1299"/>
    <w:rsid w:val="00EE12C4"/>
    <w:rsid w:val="00EE15F5"/>
    <w:rsid w:val="00EE162F"/>
    <w:rsid w:val="00EE169B"/>
    <w:rsid w:val="00EE1727"/>
    <w:rsid w:val="00EE1824"/>
    <w:rsid w:val="00EE183F"/>
    <w:rsid w:val="00EE18E7"/>
    <w:rsid w:val="00EE1902"/>
    <w:rsid w:val="00EE1907"/>
    <w:rsid w:val="00EE190D"/>
    <w:rsid w:val="00EE194F"/>
    <w:rsid w:val="00EE1B2E"/>
    <w:rsid w:val="00EE1C92"/>
    <w:rsid w:val="00EE1D38"/>
    <w:rsid w:val="00EE1F33"/>
    <w:rsid w:val="00EE2025"/>
    <w:rsid w:val="00EE2057"/>
    <w:rsid w:val="00EE20BE"/>
    <w:rsid w:val="00EE20D9"/>
    <w:rsid w:val="00EE2135"/>
    <w:rsid w:val="00EE21E4"/>
    <w:rsid w:val="00EE2343"/>
    <w:rsid w:val="00EE2366"/>
    <w:rsid w:val="00EE24AB"/>
    <w:rsid w:val="00EE2569"/>
    <w:rsid w:val="00EE2720"/>
    <w:rsid w:val="00EE2791"/>
    <w:rsid w:val="00EE2BC8"/>
    <w:rsid w:val="00EE2C2A"/>
    <w:rsid w:val="00EE2CB3"/>
    <w:rsid w:val="00EE2DD1"/>
    <w:rsid w:val="00EE2E98"/>
    <w:rsid w:val="00EE2E9C"/>
    <w:rsid w:val="00EE2F99"/>
    <w:rsid w:val="00EE3079"/>
    <w:rsid w:val="00EE30AB"/>
    <w:rsid w:val="00EE32EE"/>
    <w:rsid w:val="00EE3327"/>
    <w:rsid w:val="00EE3369"/>
    <w:rsid w:val="00EE3422"/>
    <w:rsid w:val="00EE3423"/>
    <w:rsid w:val="00EE343F"/>
    <w:rsid w:val="00EE355D"/>
    <w:rsid w:val="00EE3582"/>
    <w:rsid w:val="00EE3727"/>
    <w:rsid w:val="00EE373C"/>
    <w:rsid w:val="00EE380A"/>
    <w:rsid w:val="00EE391A"/>
    <w:rsid w:val="00EE39CC"/>
    <w:rsid w:val="00EE3A4C"/>
    <w:rsid w:val="00EE3AD2"/>
    <w:rsid w:val="00EE3C01"/>
    <w:rsid w:val="00EE3C7A"/>
    <w:rsid w:val="00EE3D0A"/>
    <w:rsid w:val="00EE3D25"/>
    <w:rsid w:val="00EE3DCB"/>
    <w:rsid w:val="00EE3E89"/>
    <w:rsid w:val="00EE3EF9"/>
    <w:rsid w:val="00EE405D"/>
    <w:rsid w:val="00EE40DB"/>
    <w:rsid w:val="00EE4248"/>
    <w:rsid w:val="00EE42A6"/>
    <w:rsid w:val="00EE432E"/>
    <w:rsid w:val="00EE4357"/>
    <w:rsid w:val="00EE4512"/>
    <w:rsid w:val="00EE4522"/>
    <w:rsid w:val="00EE4578"/>
    <w:rsid w:val="00EE45E7"/>
    <w:rsid w:val="00EE4653"/>
    <w:rsid w:val="00EE4654"/>
    <w:rsid w:val="00EE47E7"/>
    <w:rsid w:val="00EE4B47"/>
    <w:rsid w:val="00EE4B5B"/>
    <w:rsid w:val="00EE4C80"/>
    <w:rsid w:val="00EE4FE7"/>
    <w:rsid w:val="00EE50AA"/>
    <w:rsid w:val="00EE50D5"/>
    <w:rsid w:val="00EE5171"/>
    <w:rsid w:val="00EE51E9"/>
    <w:rsid w:val="00EE5209"/>
    <w:rsid w:val="00EE53B9"/>
    <w:rsid w:val="00EE55B5"/>
    <w:rsid w:val="00EE55DA"/>
    <w:rsid w:val="00EE565A"/>
    <w:rsid w:val="00EE58E1"/>
    <w:rsid w:val="00EE59F5"/>
    <w:rsid w:val="00EE5A83"/>
    <w:rsid w:val="00EE5B02"/>
    <w:rsid w:val="00EE5B73"/>
    <w:rsid w:val="00EE5BED"/>
    <w:rsid w:val="00EE5BEE"/>
    <w:rsid w:val="00EE5CD3"/>
    <w:rsid w:val="00EE5D3C"/>
    <w:rsid w:val="00EE6130"/>
    <w:rsid w:val="00EE619C"/>
    <w:rsid w:val="00EE6208"/>
    <w:rsid w:val="00EE6377"/>
    <w:rsid w:val="00EE644A"/>
    <w:rsid w:val="00EE645A"/>
    <w:rsid w:val="00EE6549"/>
    <w:rsid w:val="00EE65D0"/>
    <w:rsid w:val="00EE66F1"/>
    <w:rsid w:val="00EE66F6"/>
    <w:rsid w:val="00EE67BE"/>
    <w:rsid w:val="00EE6847"/>
    <w:rsid w:val="00EE6869"/>
    <w:rsid w:val="00EE6966"/>
    <w:rsid w:val="00EE6985"/>
    <w:rsid w:val="00EE6A3E"/>
    <w:rsid w:val="00EE6B10"/>
    <w:rsid w:val="00EE6B32"/>
    <w:rsid w:val="00EE6DB8"/>
    <w:rsid w:val="00EE6E35"/>
    <w:rsid w:val="00EE6F94"/>
    <w:rsid w:val="00EE7287"/>
    <w:rsid w:val="00EE733E"/>
    <w:rsid w:val="00EE7420"/>
    <w:rsid w:val="00EE7540"/>
    <w:rsid w:val="00EE7621"/>
    <w:rsid w:val="00EE7662"/>
    <w:rsid w:val="00EE766C"/>
    <w:rsid w:val="00EE7909"/>
    <w:rsid w:val="00EE7A08"/>
    <w:rsid w:val="00EE7A0C"/>
    <w:rsid w:val="00EE7A98"/>
    <w:rsid w:val="00EE7B3D"/>
    <w:rsid w:val="00EE7B61"/>
    <w:rsid w:val="00EE7C52"/>
    <w:rsid w:val="00EE7EF6"/>
    <w:rsid w:val="00EE7F24"/>
    <w:rsid w:val="00EE7F8E"/>
    <w:rsid w:val="00EF00A7"/>
    <w:rsid w:val="00EF015F"/>
    <w:rsid w:val="00EF0236"/>
    <w:rsid w:val="00EF0375"/>
    <w:rsid w:val="00EF061E"/>
    <w:rsid w:val="00EF07B2"/>
    <w:rsid w:val="00EF0802"/>
    <w:rsid w:val="00EF08C7"/>
    <w:rsid w:val="00EF0ACA"/>
    <w:rsid w:val="00EF0AD4"/>
    <w:rsid w:val="00EF0B1A"/>
    <w:rsid w:val="00EF0B2B"/>
    <w:rsid w:val="00EF0B7E"/>
    <w:rsid w:val="00EF0BED"/>
    <w:rsid w:val="00EF0E55"/>
    <w:rsid w:val="00EF0FF0"/>
    <w:rsid w:val="00EF1006"/>
    <w:rsid w:val="00EF1070"/>
    <w:rsid w:val="00EF11F4"/>
    <w:rsid w:val="00EF12C3"/>
    <w:rsid w:val="00EF13F1"/>
    <w:rsid w:val="00EF1468"/>
    <w:rsid w:val="00EF157C"/>
    <w:rsid w:val="00EF169A"/>
    <w:rsid w:val="00EF171E"/>
    <w:rsid w:val="00EF1763"/>
    <w:rsid w:val="00EF1837"/>
    <w:rsid w:val="00EF18E3"/>
    <w:rsid w:val="00EF18E7"/>
    <w:rsid w:val="00EF192B"/>
    <w:rsid w:val="00EF198F"/>
    <w:rsid w:val="00EF1A81"/>
    <w:rsid w:val="00EF1BFC"/>
    <w:rsid w:val="00EF1CC2"/>
    <w:rsid w:val="00EF1E51"/>
    <w:rsid w:val="00EF1ECF"/>
    <w:rsid w:val="00EF1F45"/>
    <w:rsid w:val="00EF2142"/>
    <w:rsid w:val="00EF2196"/>
    <w:rsid w:val="00EF2216"/>
    <w:rsid w:val="00EF2268"/>
    <w:rsid w:val="00EF232A"/>
    <w:rsid w:val="00EF2333"/>
    <w:rsid w:val="00EF234B"/>
    <w:rsid w:val="00EF23A5"/>
    <w:rsid w:val="00EF23AB"/>
    <w:rsid w:val="00EF2487"/>
    <w:rsid w:val="00EF250C"/>
    <w:rsid w:val="00EF2586"/>
    <w:rsid w:val="00EF25B3"/>
    <w:rsid w:val="00EF263C"/>
    <w:rsid w:val="00EF2642"/>
    <w:rsid w:val="00EF2891"/>
    <w:rsid w:val="00EF28DD"/>
    <w:rsid w:val="00EF2AA5"/>
    <w:rsid w:val="00EF2BC5"/>
    <w:rsid w:val="00EF2C51"/>
    <w:rsid w:val="00EF2CB7"/>
    <w:rsid w:val="00EF2F04"/>
    <w:rsid w:val="00EF30AB"/>
    <w:rsid w:val="00EF30F8"/>
    <w:rsid w:val="00EF3122"/>
    <w:rsid w:val="00EF31A3"/>
    <w:rsid w:val="00EF32BF"/>
    <w:rsid w:val="00EF339F"/>
    <w:rsid w:val="00EF34F6"/>
    <w:rsid w:val="00EF3619"/>
    <w:rsid w:val="00EF3847"/>
    <w:rsid w:val="00EF38CA"/>
    <w:rsid w:val="00EF39C6"/>
    <w:rsid w:val="00EF3A6A"/>
    <w:rsid w:val="00EF3A9E"/>
    <w:rsid w:val="00EF3B2E"/>
    <w:rsid w:val="00EF3BCB"/>
    <w:rsid w:val="00EF3CB7"/>
    <w:rsid w:val="00EF3D2B"/>
    <w:rsid w:val="00EF3E36"/>
    <w:rsid w:val="00EF3F2E"/>
    <w:rsid w:val="00EF3F31"/>
    <w:rsid w:val="00EF3F34"/>
    <w:rsid w:val="00EF3F5E"/>
    <w:rsid w:val="00EF3FCD"/>
    <w:rsid w:val="00EF4176"/>
    <w:rsid w:val="00EF41A9"/>
    <w:rsid w:val="00EF42BF"/>
    <w:rsid w:val="00EF4322"/>
    <w:rsid w:val="00EF447B"/>
    <w:rsid w:val="00EF447C"/>
    <w:rsid w:val="00EF448C"/>
    <w:rsid w:val="00EF44F6"/>
    <w:rsid w:val="00EF4550"/>
    <w:rsid w:val="00EF4551"/>
    <w:rsid w:val="00EF4691"/>
    <w:rsid w:val="00EF4704"/>
    <w:rsid w:val="00EF482D"/>
    <w:rsid w:val="00EF4855"/>
    <w:rsid w:val="00EF48F9"/>
    <w:rsid w:val="00EF48FD"/>
    <w:rsid w:val="00EF4934"/>
    <w:rsid w:val="00EF4A76"/>
    <w:rsid w:val="00EF4AF0"/>
    <w:rsid w:val="00EF4B4A"/>
    <w:rsid w:val="00EF4CD1"/>
    <w:rsid w:val="00EF4E09"/>
    <w:rsid w:val="00EF4FC3"/>
    <w:rsid w:val="00EF4FD8"/>
    <w:rsid w:val="00EF501C"/>
    <w:rsid w:val="00EF50AE"/>
    <w:rsid w:val="00EF5175"/>
    <w:rsid w:val="00EF525B"/>
    <w:rsid w:val="00EF528F"/>
    <w:rsid w:val="00EF52D3"/>
    <w:rsid w:val="00EF52F2"/>
    <w:rsid w:val="00EF5300"/>
    <w:rsid w:val="00EF539A"/>
    <w:rsid w:val="00EF5427"/>
    <w:rsid w:val="00EF5481"/>
    <w:rsid w:val="00EF54AB"/>
    <w:rsid w:val="00EF54B7"/>
    <w:rsid w:val="00EF54BF"/>
    <w:rsid w:val="00EF5632"/>
    <w:rsid w:val="00EF56FC"/>
    <w:rsid w:val="00EF575D"/>
    <w:rsid w:val="00EF5817"/>
    <w:rsid w:val="00EF582D"/>
    <w:rsid w:val="00EF5853"/>
    <w:rsid w:val="00EF59A1"/>
    <w:rsid w:val="00EF5B72"/>
    <w:rsid w:val="00EF5DC2"/>
    <w:rsid w:val="00EF5E82"/>
    <w:rsid w:val="00EF5F9D"/>
    <w:rsid w:val="00EF602D"/>
    <w:rsid w:val="00EF605B"/>
    <w:rsid w:val="00EF606A"/>
    <w:rsid w:val="00EF61CA"/>
    <w:rsid w:val="00EF6207"/>
    <w:rsid w:val="00EF62FC"/>
    <w:rsid w:val="00EF63A5"/>
    <w:rsid w:val="00EF6417"/>
    <w:rsid w:val="00EF6583"/>
    <w:rsid w:val="00EF66E3"/>
    <w:rsid w:val="00EF67A9"/>
    <w:rsid w:val="00EF6A29"/>
    <w:rsid w:val="00EF6AE7"/>
    <w:rsid w:val="00EF6AFF"/>
    <w:rsid w:val="00EF6C36"/>
    <w:rsid w:val="00EF6CBD"/>
    <w:rsid w:val="00EF6CE4"/>
    <w:rsid w:val="00EF6D02"/>
    <w:rsid w:val="00EF6D68"/>
    <w:rsid w:val="00EF6EC5"/>
    <w:rsid w:val="00EF6F5A"/>
    <w:rsid w:val="00EF726E"/>
    <w:rsid w:val="00EF72E2"/>
    <w:rsid w:val="00EF73FD"/>
    <w:rsid w:val="00EF747D"/>
    <w:rsid w:val="00EF758F"/>
    <w:rsid w:val="00EF75A8"/>
    <w:rsid w:val="00EF7634"/>
    <w:rsid w:val="00EF7682"/>
    <w:rsid w:val="00EF7718"/>
    <w:rsid w:val="00EF7853"/>
    <w:rsid w:val="00EF796F"/>
    <w:rsid w:val="00EF7977"/>
    <w:rsid w:val="00EF7A3E"/>
    <w:rsid w:val="00EF7AAC"/>
    <w:rsid w:val="00EF7B02"/>
    <w:rsid w:val="00EF7C18"/>
    <w:rsid w:val="00EF7CB4"/>
    <w:rsid w:val="00EF7CDA"/>
    <w:rsid w:val="00EF7E0F"/>
    <w:rsid w:val="00F000E2"/>
    <w:rsid w:val="00F0011F"/>
    <w:rsid w:val="00F0020F"/>
    <w:rsid w:val="00F00252"/>
    <w:rsid w:val="00F002D2"/>
    <w:rsid w:val="00F00344"/>
    <w:rsid w:val="00F004E0"/>
    <w:rsid w:val="00F005D9"/>
    <w:rsid w:val="00F00899"/>
    <w:rsid w:val="00F008E6"/>
    <w:rsid w:val="00F008EA"/>
    <w:rsid w:val="00F00CB8"/>
    <w:rsid w:val="00F00CD3"/>
    <w:rsid w:val="00F00D6B"/>
    <w:rsid w:val="00F00D85"/>
    <w:rsid w:val="00F00D87"/>
    <w:rsid w:val="00F00DCE"/>
    <w:rsid w:val="00F0118E"/>
    <w:rsid w:val="00F011C6"/>
    <w:rsid w:val="00F01382"/>
    <w:rsid w:val="00F013BC"/>
    <w:rsid w:val="00F013F3"/>
    <w:rsid w:val="00F01463"/>
    <w:rsid w:val="00F01464"/>
    <w:rsid w:val="00F014D2"/>
    <w:rsid w:val="00F01531"/>
    <w:rsid w:val="00F015BC"/>
    <w:rsid w:val="00F01633"/>
    <w:rsid w:val="00F0170B"/>
    <w:rsid w:val="00F0183C"/>
    <w:rsid w:val="00F01954"/>
    <w:rsid w:val="00F01A70"/>
    <w:rsid w:val="00F01AC3"/>
    <w:rsid w:val="00F01B84"/>
    <w:rsid w:val="00F01CD5"/>
    <w:rsid w:val="00F01D53"/>
    <w:rsid w:val="00F01EF5"/>
    <w:rsid w:val="00F01FDB"/>
    <w:rsid w:val="00F01FF3"/>
    <w:rsid w:val="00F02099"/>
    <w:rsid w:val="00F0235C"/>
    <w:rsid w:val="00F0236B"/>
    <w:rsid w:val="00F02414"/>
    <w:rsid w:val="00F0247B"/>
    <w:rsid w:val="00F024FB"/>
    <w:rsid w:val="00F02506"/>
    <w:rsid w:val="00F0262C"/>
    <w:rsid w:val="00F02633"/>
    <w:rsid w:val="00F02695"/>
    <w:rsid w:val="00F029A7"/>
    <w:rsid w:val="00F02A56"/>
    <w:rsid w:val="00F02DA6"/>
    <w:rsid w:val="00F02EF7"/>
    <w:rsid w:val="00F02F55"/>
    <w:rsid w:val="00F02FC1"/>
    <w:rsid w:val="00F02FEB"/>
    <w:rsid w:val="00F03074"/>
    <w:rsid w:val="00F03159"/>
    <w:rsid w:val="00F031E0"/>
    <w:rsid w:val="00F034AA"/>
    <w:rsid w:val="00F034AD"/>
    <w:rsid w:val="00F034FE"/>
    <w:rsid w:val="00F03579"/>
    <w:rsid w:val="00F035E2"/>
    <w:rsid w:val="00F03801"/>
    <w:rsid w:val="00F0387D"/>
    <w:rsid w:val="00F038C6"/>
    <w:rsid w:val="00F038FD"/>
    <w:rsid w:val="00F03A3C"/>
    <w:rsid w:val="00F03BD6"/>
    <w:rsid w:val="00F03C20"/>
    <w:rsid w:val="00F03CC9"/>
    <w:rsid w:val="00F03D21"/>
    <w:rsid w:val="00F03D39"/>
    <w:rsid w:val="00F03E33"/>
    <w:rsid w:val="00F03FF9"/>
    <w:rsid w:val="00F0400C"/>
    <w:rsid w:val="00F04137"/>
    <w:rsid w:val="00F04164"/>
    <w:rsid w:val="00F042E2"/>
    <w:rsid w:val="00F043BF"/>
    <w:rsid w:val="00F04580"/>
    <w:rsid w:val="00F045BF"/>
    <w:rsid w:val="00F045F7"/>
    <w:rsid w:val="00F04778"/>
    <w:rsid w:val="00F04DC8"/>
    <w:rsid w:val="00F04E2C"/>
    <w:rsid w:val="00F04F1E"/>
    <w:rsid w:val="00F050D0"/>
    <w:rsid w:val="00F0510B"/>
    <w:rsid w:val="00F05274"/>
    <w:rsid w:val="00F0542D"/>
    <w:rsid w:val="00F0553E"/>
    <w:rsid w:val="00F055B1"/>
    <w:rsid w:val="00F05608"/>
    <w:rsid w:val="00F05635"/>
    <w:rsid w:val="00F0568B"/>
    <w:rsid w:val="00F056A0"/>
    <w:rsid w:val="00F05772"/>
    <w:rsid w:val="00F058DA"/>
    <w:rsid w:val="00F059AE"/>
    <w:rsid w:val="00F05A30"/>
    <w:rsid w:val="00F05ADC"/>
    <w:rsid w:val="00F05B9B"/>
    <w:rsid w:val="00F05BFD"/>
    <w:rsid w:val="00F05C15"/>
    <w:rsid w:val="00F05CC6"/>
    <w:rsid w:val="00F05D1F"/>
    <w:rsid w:val="00F05D61"/>
    <w:rsid w:val="00F05D88"/>
    <w:rsid w:val="00F05E4D"/>
    <w:rsid w:val="00F05E66"/>
    <w:rsid w:val="00F05E86"/>
    <w:rsid w:val="00F0607E"/>
    <w:rsid w:val="00F061BB"/>
    <w:rsid w:val="00F061D0"/>
    <w:rsid w:val="00F061F9"/>
    <w:rsid w:val="00F0620D"/>
    <w:rsid w:val="00F0631E"/>
    <w:rsid w:val="00F06394"/>
    <w:rsid w:val="00F063C2"/>
    <w:rsid w:val="00F064AB"/>
    <w:rsid w:val="00F06525"/>
    <w:rsid w:val="00F065E8"/>
    <w:rsid w:val="00F066B4"/>
    <w:rsid w:val="00F06712"/>
    <w:rsid w:val="00F067AD"/>
    <w:rsid w:val="00F0692D"/>
    <w:rsid w:val="00F06AB1"/>
    <w:rsid w:val="00F06ABD"/>
    <w:rsid w:val="00F06B8B"/>
    <w:rsid w:val="00F06BBB"/>
    <w:rsid w:val="00F06C38"/>
    <w:rsid w:val="00F06C5D"/>
    <w:rsid w:val="00F06C8A"/>
    <w:rsid w:val="00F06CA9"/>
    <w:rsid w:val="00F06CC2"/>
    <w:rsid w:val="00F06D22"/>
    <w:rsid w:val="00F06D3B"/>
    <w:rsid w:val="00F06D94"/>
    <w:rsid w:val="00F06DC7"/>
    <w:rsid w:val="00F06E61"/>
    <w:rsid w:val="00F06F31"/>
    <w:rsid w:val="00F06FA3"/>
    <w:rsid w:val="00F06FB8"/>
    <w:rsid w:val="00F07137"/>
    <w:rsid w:val="00F07185"/>
    <w:rsid w:val="00F0723A"/>
    <w:rsid w:val="00F07299"/>
    <w:rsid w:val="00F076B4"/>
    <w:rsid w:val="00F077CF"/>
    <w:rsid w:val="00F07868"/>
    <w:rsid w:val="00F07CA7"/>
    <w:rsid w:val="00F07D72"/>
    <w:rsid w:val="00F07FF3"/>
    <w:rsid w:val="00F1019A"/>
    <w:rsid w:val="00F103F3"/>
    <w:rsid w:val="00F10568"/>
    <w:rsid w:val="00F1066D"/>
    <w:rsid w:val="00F1069C"/>
    <w:rsid w:val="00F106B9"/>
    <w:rsid w:val="00F107A3"/>
    <w:rsid w:val="00F107E4"/>
    <w:rsid w:val="00F107F9"/>
    <w:rsid w:val="00F10824"/>
    <w:rsid w:val="00F108AC"/>
    <w:rsid w:val="00F109BD"/>
    <w:rsid w:val="00F10A02"/>
    <w:rsid w:val="00F10A8C"/>
    <w:rsid w:val="00F10AC9"/>
    <w:rsid w:val="00F10B54"/>
    <w:rsid w:val="00F10B9D"/>
    <w:rsid w:val="00F10BDE"/>
    <w:rsid w:val="00F10BE6"/>
    <w:rsid w:val="00F10C26"/>
    <w:rsid w:val="00F10C37"/>
    <w:rsid w:val="00F10D3B"/>
    <w:rsid w:val="00F10D66"/>
    <w:rsid w:val="00F10DD0"/>
    <w:rsid w:val="00F10FB9"/>
    <w:rsid w:val="00F1107F"/>
    <w:rsid w:val="00F110B6"/>
    <w:rsid w:val="00F11138"/>
    <w:rsid w:val="00F11342"/>
    <w:rsid w:val="00F1135C"/>
    <w:rsid w:val="00F113A8"/>
    <w:rsid w:val="00F11421"/>
    <w:rsid w:val="00F114FF"/>
    <w:rsid w:val="00F1156E"/>
    <w:rsid w:val="00F11607"/>
    <w:rsid w:val="00F11775"/>
    <w:rsid w:val="00F118A6"/>
    <w:rsid w:val="00F118DA"/>
    <w:rsid w:val="00F1197F"/>
    <w:rsid w:val="00F1199D"/>
    <w:rsid w:val="00F119A5"/>
    <w:rsid w:val="00F119B0"/>
    <w:rsid w:val="00F11A6F"/>
    <w:rsid w:val="00F11BDD"/>
    <w:rsid w:val="00F11BEC"/>
    <w:rsid w:val="00F11D72"/>
    <w:rsid w:val="00F11D78"/>
    <w:rsid w:val="00F11D85"/>
    <w:rsid w:val="00F11E3F"/>
    <w:rsid w:val="00F11E45"/>
    <w:rsid w:val="00F11EF1"/>
    <w:rsid w:val="00F11FE7"/>
    <w:rsid w:val="00F12031"/>
    <w:rsid w:val="00F120F5"/>
    <w:rsid w:val="00F122D7"/>
    <w:rsid w:val="00F12375"/>
    <w:rsid w:val="00F123E5"/>
    <w:rsid w:val="00F12489"/>
    <w:rsid w:val="00F1260C"/>
    <w:rsid w:val="00F1265F"/>
    <w:rsid w:val="00F126D3"/>
    <w:rsid w:val="00F126E8"/>
    <w:rsid w:val="00F1280A"/>
    <w:rsid w:val="00F12886"/>
    <w:rsid w:val="00F128EF"/>
    <w:rsid w:val="00F12B26"/>
    <w:rsid w:val="00F12C50"/>
    <w:rsid w:val="00F12D7C"/>
    <w:rsid w:val="00F12DFB"/>
    <w:rsid w:val="00F12E34"/>
    <w:rsid w:val="00F12E58"/>
    <w:rsid w:val="00F12F06"/>
    <w:rsid w:val="00F13010"/>
    <w:rsid w:val="00F130B2"/>
    <w:rsid w:val="00F130DA"/>
    <w:rsid w:val="00F131AF"/>
    <w:rsid w:val="00F131EE"/>
    <w:rsid w:val="00F132C8"/>
    <w:rsid w:val="00F1331C"/>
    <w:rsid w:val="00F1343B"/>
    <w:rsid w:val="00F134C8"/>
    <w:rsid w:val="00F134F3"/>
    <w:rsid w:val="00F13668"/>
    <w:rsid w:val="00F136CD"/>
    <w:rsid w:val="00F13720"/>
    <w:rsid w:val="00F1381F"/>
    <w:rsid w:val="00F13862"/>
    <w:rsid w:val="00F139C3"/>
    <w:rsid w:val="00F13A84"/>
    <w:rsid w:val="00F13B6D"/>
    <w:rsid w:val="00F13C15"/>
    <w:rsid w:val="00F13C1C"/>
    <w:rsid w:val="00F13E52"/>
    <w:rsid w:val="00F13F78"/>
    <w:rsid w:val="00F13FFD"/>
    <w:rsid w:val="00F140A8"/>
    <w:rsid w:val="00F14166"/>
    <w:rsid w:val="00F14315"/>
    <w:rsid w:val="00F14335"/>
    <w:rsid w:val="00F143DD"/>
    <w:rsid w:val="00F145F4"/>
    <w:rsid w:val="00F14601"/>
    <w:rsid w:val="00F14684"/>
    <w:rsid w:val="00F14798"/>
    <w:rsid w:val="00F1479A"/>
    <w:rsid w:val="00F1483B"/>
    <w:rsid w:val="00F148AB"/>
    <w:rsid w:val="00F14948"/>
    <w:rsid w:val="00F14A4A"/>
    <w:rsid w:val="00F14E28"/>
    <w:rsid w:val="00F150A6"/>
    <w:rsid w:val="00F150D6"/>
    <w:rsid w:val="00F15171"/>
    <w:rsid w:val="00F15233"/>
    <w:rsid w:val="00F15303"/>
    <w:rsid w:val="00F15355"/>
    <w:rsid w:val="00F1538F"/>
    <w:rsid w:val="00F15400"/>
    <w:rsid w:val="00F15436"/>
    <w:rsid w:val="00F15437"/>
    <w:rsid w:val="00F15497"/>
    <w:rsid w:val="00F154AC"/>
    <w:rsid w:val="00F154D0"/>
    <w:rsid w:val="00F1551A"/>
    <w:rsid w:val="00F157C3"/>
    <w:rsid w:val="00F15833"/>
    <w:rsid w:val="00F15850"/>
    <w:rsid w:val="00F158E3"/>
    <w:rsid w:val="00F15904"/>
    <w:rsid w:val="00F1591E"/>
    <w:rsid w:val="00F1595F"/>
    <w:rsid w:val="00F159FA"/>
    <w:rsid w:val="00F15A2D"/>
    <w:rsid w:val="00F15A3C"/>
    <w:rsid w:val="00F15A47"/>
    <w:rsid w:val="00F15AAE"/>
    <w:rsid w:val="00F15AEF"/>
    <w:rsid w:val="00F15BE7"/>
    <w:rsid w:val="00F160C2"/>
    <w:rsid w:val="00F16122"/>
    <w:rsid w:val="00F16506"/>
    <w:rsid w:val="00F166F9"/>
    <w:rsid w:val="00F167FE"/>
    <w:rsid w:val="00F1696D"/>
    <w:rsid w:val="00F169CA"/>
    <w:rsid w:val="00F169DD"/>
    <w:rsid w:val="00F16A4E"/>
    <w:rsid w:val="00F16A5D"/>
    <w:rsid w:val="00F16ADD"/>
    <w:rsid w:val="00F16C10"/>
    <w:rsid w:val="00F16D44"/>
    <w:rsid w:val="00F17125"/>
    <w:rsid w:val="00F172E4"/>
    <w:rsid w:val="00F174C9"/>
    <w:rsid w:val="00F17763"/>
    <w:rsid w:val="00F17BB0"/>
    <w:rsid w:val="00F17BEF"/>
    <w:rsid w:val="00F17CD8"/>
    <w:rsid w:val="00F17EE9"/>
    <w:rsid w:val="00F2005A"/>
    <w:rsid w:val="00F20120"/>
    <w:rsid w:val="00F2023A"/>
    <w:rsid w:val="00F204A3"/>
    <w:rsid w:val="00F20549"/>
    <w:rsid w:val="00F20593"/>
    <w:rsid w:val="00F20606"/>
    <w:rsid w:val="00F2067B"/>
    <w:rsid w:val="00F207FF"/>
    <w:rsid w:val="00F2082D"/>
    <w:rsid w:val="00F20876"/>
    <w:rsid w:val="00F208BD"/>
    <w:rsid w:val="00F208E4"/>
    <w:rsid w:val="00F20966"/>
    <w:rsid w:val="00F209B3"/>
    <w:rsid w:val="00F20B41"/>
    <w:rsid w:val="00F20B63"/>
    <w:rsid w:val="00F20C0E"/>
    <w:rsid w:val="00F20D5B"/>
    <w:rsid w:val="00F20E22"/>
    <w:rsid w:val="00F20E6C"/>
    <w:rsid w:val="00F20FBB"/>
    <w:rsid w:val="00F2120D"/>
    <w:rsid w:val="00F213B6"/>
    <w:rsid w:val="00F213E8"/>
    <w:rsid w:val="00F214F4"/>
    <w:rsid w:val="00F21616"/>
    <w:rsid w:val="00F21783"/>
    <w:rsid w:val="00F217F8"/>
    <w:rsid w:val="00F21896"/>
    <w:rsid w:val="00F21919"/>
    <w:rsid w:val="00F21AD9"/>
    <w:rsid w:val="00F21B93"/>
    <w:rsid w:val="00F21BE9"/>
    <w:rsid w:val="00F21C60"/>
    <w:rsid w:val="00F21D23"/>
    <w:rsid w:val="00F21E4D"/>
    <w:rsid w:val="00F21EAB"/>
    <w:rsid w:val="00F21EB7"/>
    <w:rsid w:val="00F21FB3"/>
    <w:rsid w:val="00F2203F"/>
    <w:rsid w:val="00F22173"/>
    <w:rsid w:val="00F2219A"/>
    <w:rsid w:val="00F22578"/>
    <w:rsid w:val="00F225B7"/>
    <w:rsid w:val="00F225DE"/>
    <w:rsid w:val="00F2273F"/>
    <w:rsid w:val="00F227A6"/>
    <w:rsid w:val="00F227D6"/>
    <w:rsid w:val="00F229F0"/>
    <w:rsid w:val="00F22A84"/>
    <w:rsid w:val="00F22D02"/>
    <w:rsid w:val="00F2311A"/>
    <w:rsid w:val="00F23262"/>
    <w:rsid w:val="00F2327B"/>
    <w:rsid w:val="00F2329C"/>
    <w:rsid w:val="00F232A6"/>
    <w:rsid w:val="00F232B0"/>
    <w:rsid w:val="00F23435"/>
    <w:rsid w:val="00F234C5"/>
    <w:rsid w:val="00F2351E"/>
    <w:rsid w:val="00F23683"/>
    <w:rsid w:val="00F2368D"/>
    <w:rsid w:val="00F2377A"/>
    <w:rsid w:val="00F23852"/>
    <w:rsid w:val="00F23938"/>
    <w:rsid w:val="00F239D4"/>
    <w:rsid w:val="00F23C11"/>
    <w:rsid w:val="00F23C38"/>
    <w:rsid w:val="00F23CD9"/>
    <w:rsid w:val="00F23EA0"/>
    <w:rsid w:val="00F23F38"/>
    <w:rsid w:val="00F23FC0"/>
    <w:rsid w:val="00F24179"/>
    <w:rsid w:val="00F241E5"/>
    <w:rsid w:val="00F24439"/>
    <w:rsid w:val="00F248AD"/>
    <w:rsid w:val="00F24A07"/>
    <w:rsid w:val="00F24ACC"/>
    <w:rsid w:val="00F24BB3"/>
    <w:rsid w:val="00F24C85"/>
    <w:rsid w:val="00F24C8B"/>
    <w:rsid w:val="00F24D19"/>
    <w:rsid w:val="00F24D78"/>
    <w:rsid w:val="00F24E7D"/>
    <w:rsid w:val="00F24EC6"/>
    <w:rsid w:val="00F24F0D"/>
    <w:rsid w:val="00F24F13"/>
    <w:rsid w:val="00F25048"/>
    <w:rsid w:val="00F25118"/>
    <w:rsid w:val="00F25129"/>
    <w:rsid w:val="00F251F3"/>
    <w:rsid w:val="00F2521D"/>
    <w:rsid w:val="00F2535F"/>
    <w:rsid w:val="00F2540C"/>
    <w:rsid w:val="00F25526"/>
    <w:rsid w:val="00F256C5"/>
    <w:rsid w:val="00F2577F"/>
    <w:rsid w:val="00F25802"/>
    <w:rsid w:val="00F2599C"/>
    <w:rsid w:val="00F25A28"/>
    <w:rsid w:val="00F25B25"/>
    <w:rsid w:val="00F25C0A"/>
    <w:rsid w:val="00F25CD4"/>
    <w:rsid w:val="00F25DBC"/>
    <w:rsid w:val="00F25E4B"/>
    <w:rsid w:val="00F25E94"/>
    <w:rsid w:val="00F25EEA"/>
    <w:rsid w:val="00F25FFD"/>
    <w:rsid w:val="00F26013"/>
    <w:rsid w:val="00F260A2"/>
    <w:rsid w:val="00F260F2"/>
    <w:rsid w:val="00F261AD"/>
    <w:rsid w:val="00F261B5"/>
    <w:rsid w:val="00F262CB"/>
    <w:rsid w:val="00F262D0"/>
    <w:rsid w:val="00F2659B"/>
    <w:rsid w:val="00F266A1"/>
    <w:rsid w:val="00F26755"/>
    <w:rsid w:val="00F2687E"/>
    <w:rsid w:val="00F269B6"/>
    <w:rsid w:val="00F269CD"/>
    <w:rsid w:val="00F26A02"/>
    <w:rsid w:val="00F26BE5"/>
    <w:rsid w:val="00F26CBC"/>
    <w:rsid w:val="00F26D55"/>
    <w:rsid w:val="00F26EA5"/>
    <w:rsid w:val="00F26F34"/>
    <w:rsid w:val="00F2700B"/>
    <w:rsid w:val="00F270E1"/>
    <w:rsid w:val="00F2711D"/>
    <w:rsid w:val="00F27196"/>
    <w:rsid w:val="00F2722B"/>
    <w:rsid w:val="00F27257"/>
    <w:rsid w:val="00F272AB"/>
    <w:rsid w:val="00F272D2"/>
    <w:rsid w:val="00F2730E"/>
    <w:rsid w:val="00F2731E"/>
    <w:rsid w:val="00F27476"/>
    <w:rsid w:val="00F275D8"/>
    <w:rsid w:val="00F27646"/>
    <w:rsid w:val="00F277C6"/>
    <w:rsid w:val="00F27A5D"/>
    <w:rsid w:val="00F27B61"/>
    <w:rsid w:val="00F27C9D"/>
    <w:rsid w:val="00F27CF0"/>
    <w:rsid w:val="00F27D26"/>
    <w:rsid w:val="00F27EC7"/>
    <w:rsid w:val="00F27EF2"/>
    <w:rsid w:val="00F27F64"/>
    <w:rsid w:val="00F27F8A"/>
    <w:rsid w:val="00F27FA5"/>
    <w:rsid w:val="00F27FC0"/>
    <w:rsid w:val="00F302CC"/>
    <w:rsid w:val="00F302F8"/>
    <w:rsid w:val="00F30416"/>
    <w:rsid w:val="00F3049A"/>
    <w:rsid w:val="00F305D0"/>
    <w:rsid w:val="00F30692"/>
    <w:rsid w:val="00F306CF"/>
    <w:rsid w:val="00F306DE"/>
    <w:rsid w:val="00F307D6"/>
    <w:rsid w:val="00F30872"/>
    <w:rsid w:val="00F30A75"/>
    <w:rsid w:val="00F30A7C"/>
    <w:rsid w:val="00F30AEC"/>
    <w:rsid w:val="00F30BEE"/>
    <w:rsid w:val="00F30BF3"/>
    <w:rsid w:val="00F30D56"/>
    <w:rsid w:val="00F30D99"/>
    <w:rsid w:val="00F30DD3"/>
    <w:rsid w:val="00F30E4F"/>
    <w:rsid w:val="00F30F13"/>
    <w:rsid w:val="00F30F36"/>
    <w:rsid w:val="00F30F9C"/>
    <w:rsid w:val="00F3112E"/>
    <w:rsid w:val="00F311FA"/>
    <w:rsid w:val="00F312D1"/>
    <w:rsid w:val="00F31340"/>
    <w:rsid w:val="00F313A9"/>
    <w:rsid w:val="00F3141E"/>
    <w:rsid w:val="00F3148A"/>
    <w:rsid w:val="00F3150A"/>
    <w:rsid w:val="00F3155A"/>
    <w:rsid w:val="00F31570"/>
    <w:rsid w:val="00F3158F"/>
    <w:rsid w:val="00F31668"/>
    <w:rsid w:val="00F316BD"/>
    <w:rsid w:val="00F317ED"/>
    <w:rsid w:val="00F3187B"/>
    <w:rsid w:val="00F3191E"/>
    <w:rsid w:val="00F319DF"/>
    <w:rsid w:val="00F319FD"/>
    <w:rsid w:val="00F31A02"/>
    <w:rsid w:val="00F31A5F"/>
    <w:rsid w:val="00F31B67"/>
    <w:rsid w:val="00F31C52"/>
    <w:rsid w:val="00F31D0C"/>
    <w:rsid w:val="00F31D25"/>
    <w:rsid w:val="00F31E7B"/>
    <w:rsid w:val="00F31F24"/>
    <w:rsid w:val="00F31F58"/>
    <w:rsid w:val="00F32042"/>
    <w:rsid w:val="00F3205D"/>
    <w:rsid w:val="00F3211C"/>
    <w:rsid w:val="00F322CD"/>
    <w:rsid w:val="00F3233C"/>
    <w:rsid w:val="00F32503"/>
    <w:rsid w:val="00F32506"/>
    <w:rsid w:val="00F32563"/>
    <w:rsid w:val="00F3258B"/>
    <w:rsid w:val="00F325BE"/>
    <w:rsid w:val="00F325BF"/>
    <w:rsid w:val="00F326A0"/>
    <w:rsid w:val="00F326C3"/>
    <w:rsid w:val="00F32710"/>
    <w:rsid w:val="00F32774"/>
    <w:rsid w:val="00F327E7"/>
    <w:rsid w:val="00F3281A"/>
    <w:rsid w:val="00F32861"/>
    <w:rsid w:val="00F32871"/>
    <w:rsid w:val="00F32AAA"/>
    <w:rsid w:val="00F32B58"/>
    <w:rsid w:val="00F32B64"/>
    <w:rsid w:val="00F32CBC"/>
    <w:rsid w:val="00F33057"/>
    <w:rsid w:val="00F33174"/>
    <w:rsid w:val="00F331DE"/>
    <w:rsid w:val="00F33342"/>
    <w:rsid w:val="00F333EB"/>
    <w:rsid w:val="00F3341A"/>
    <w:rsid w:val="00F334D4"/>
    <w:rsid w:val="00F334D6"/>
    <w:rsid w:val="00F33517"/>
    <w:rsid w:val="00F3352E"/>
    <w:rsid w:val="00F3354E"/>
    <w:rsid w:val="00F336D5"/>
    <w:rsid w:val="00F337FF"/>
    <w:rsid w:val="00F3381B"/>
    <w:rsid w:val="00F33861"/>
    <w:rsid w:val="00F33924"/>
    <w:rsid w:val="00F33926"/>
    <w:rsid w:val="00F33A3B"/>
    <w:rsid w:val="00F33ACD"/>
    <w:rsid w:val="00F33BCB"/>
    <w:rsid w:val="00F33C4A"/>
    <w:rsid w:val="00F33D94"/>
    <w:rsid w:val="00F33D95"/>
    <w:rsid w:val="00F33DD4"/>
    <w:rsid w:val="00F33E3C"/>
    <w:rsid w:val="00F33FA3"/>
    <w:rsid w:val="00F34020"/>
    <w:rsid w:val="00F3426B"/>
    <w:rsid w:val="00F3429A"/>
    <w:rsid w:val="00F343CA"/>
    <w:rsid w:val="00F343D3"/>
    <w:rsid w:val="00F3459B"/>
    <w:rsid w:val="00F34835"/>
    <w:rsid w:val="00F34848"/>
    <w:rsid w:val="00F3484C"/>
    <w:rsid w:val="00F34881"/>
    <w:rsid w:val="00F34973"/>
    <w:rsid w:val="00F34A87"/>
    <w:rsid w:val="00F34ACC"/>
    <w:rsid w:val="00F34C03"/>
    <w:rsid w:val="00F34C5A"/>
    <w:rsid w:val="00F34C7E"/>
    <w:rsid w:val="00F34CCF"/>
    <w:rsid w:val="00F34DA6"/>
    <w:rsid w:val="00F34F2A"/>
    <w:rsid w:val="00F34F33"/>
    <w:rsid w:val="00F34F61"/>
    <w:rsid w:val="00F34FFF"/>
    <w:rsid w:val="00F35047"/>
    <w:rsid w:val="00F351D7"/>
    <w:rsid w:val="00F35251"/>
    <w:rsid w:val="00F3539E"/>
    <w:rsid w:val="00F35422"/>
    <w:rsid w:val="00F35442"/>
    <w:rsid w:val="00F3545F"/>
    <w:rsid w:val="00F35465"/>
    <w:rsid w:val="00F35506"/>
    <w:rsid w:val="00F35536"/>
    <w:rsid w:val="00F35780"/>
    <w:rsid w:val="00F3578A"/>
    <w:rsid w:val="00F357C4"/>
    <w:rsid w:val="00F35808"/>
    <w:rsid w:val="00F358D6"/>
    <w:rsid w:val="00F35952"/>
    <w:rsid w:val="00F359B3"/>
    <w:rsid w:val="00F359DF"/>
    <w:rsid w:val="00F35A34"/>
    <w:rsid w:val="00F35A58"/>
    <w:rsid w:val="00F35A68"/>
    <w:rsid w:val="00F35BB5"/>
    <w:rsid w:val="00F35BD6"/>
    <w:rsid w:val="00F35C43"/>
    <w:rsid w:val="00F35C7E"/>
    <w:rsid w:val="00F35CD3"/>
    <w:rsid w:val="00F35D3C"/>
    <w:rsid w:val="00F35DD5"/>
    <w:rsid w:val="00F35E2A"/>
    <w:rsid w:val="00F3609E"/>
    <w:rsid w:val="00F362F8"/>
    <w:rsid w:val="00F366B6"/>
    <w:rsid w:val="00F366FC"/>
    <w:rsid w:val="00F36700"/>
    <w:rsid w:val="00F368BA"/>
    <w:rsid w:val="00F369EC"/>
    <w:rsid w:val="00F36A27"/>
    <w:rsid w:val="00F36B9D"/>
    <w:rsid w:val="00F36BB9"/>
    <w:rsid w:val="00F36C18"/>
    <w:rsid w:val="00F36CD9"/>
    <w:rsid w:val="00F36D53"/>
    <w:rsid w:val="00F36E7D"/>
    <w:rsid w:val="00F36F42"/>
    <w:rsid w:val="00F371A9"/>
    <w:rsid w:val="00F371C9"/>
    <w:rsid w:val="00F371D1"/>
    <w:rsid w:val="00F371F8"/>
    <w:rsid w:val="00F37274"/>
    <w:rsid w:val="00F372A5"/>
    <w:rsid w:val="00F372EA"/>
    <w:rsid w:val="00F37301"/>
    <w:rsid w:val="00F3734D"/>
    <w:rsid w:val="00F373D8"/>
    <w:rsid w:val="00F37488"/>
    <w:rsid w:val="00F374F4"/>
    <w:rsid w:val="00F37527"/>
    <w:rsid w:val="00F3758E"/>
    <w:rsid w:val="00F375DC"/>
    <w:rsid w:val="00F37657"/>
    <w:rsid w:val="00F37681"/>
    <w:rsid w:val="00F37710"/>
    <w:rsid w:val="00F37727"/>
    <w:rsid w:val="00F37800"/>
    <w:rsid w:val="00F3781A"/>
    <w:rsid w:val="00F37852"/>
    <w:rsid w:val="00F378B1"/>
    <w:rsid w:val="00F378DD"/>
    <w:rsid w:val="00F37A1D"/>
    <w:rsid w:val="00F37B5F"/>
    <w:rsid w:val="00F37D37"/>
    <w:rsid w:val="00F37E3C"/>
    <w:rsid w:val="00F37ECA"/>
    <w:rsid w:val="00F37EF9"/>
    <w:rsid w:val="00F37FEC"/>
    <w:rsid w:val="00F40044"/>
    <w:rsid w:val="00F400E9"/>
    <w:rsid w:val="00F40134"/>
    <w:rsid w:val="00F4022F"/>
    <w:rsid w:val="00F4026E"/>
    <w:rsid w:val="00F40304"/>
    <w:rsid w:val="00F4044D"/>
    <w:rsid w:val="00F40766"/>
    <w:rsid w:val="00F4091A"/>
    <w:rsid w:val="00F40A5F"/>
    <w:rsid w:val="00F40B39"/>
    <w:rsid w:val="00F40C77"/>
    <w:rsid w:val="00F40CAE"/>
    <w:rsid w:val="00F40D5A"/>
    <w:rsid w:val="00F40DB4"/>
    <w:rsid w:val="00F40EA0"/>
    <w:rsid w:val="00F40EE8"/>
    <w:rsid w:val="00F40F66"/>
    <w:rsid w:val="00F40F77"/>
    <w:rsid w:val="00F4108E"/>
    <w:rsid w:val="00F41090"/>
    <w:rsid w:val="00F41205"/>
    <w:rsid w:val="00F41296"/>
    <w:rsid w:val="00F413D2"/>
    <w:rsid w:val="00F41408"/>
    <w:rsid w:val="00F416DB"/>
    <w:rsid w:val="00F4182F"/>
    <w:rsid w:val="00F4189A"/>
    <w:rsid w:val="00F41A07"/>
    <w:rsid w:val="00F41A4A"/>
    <w:rsid w:val="00F41C6A"/>
    <w:rsid w:val="00F41C7C"/>
    <w:rsid w:val="00F41C9B"/>
    <w:rsid w:val="00F41EFB"/>
    <w:rsid w:val="00F42010"/>
    <w:rsid w:val="00F4216B"/>
    <w:rsid w:val="00F42203"/>
    <w:rsid w:val="00F4243B"/>
    <w:rsid w:val="00F424DC"/>
    <w:rsid w:val="00F424E1"/>
    <w:rsid w:val="00F425BA"/>
    <w:rsid w:val="00F4262F"/>
    <w:rsid w:val="00F426C8"/>
    <w:rsid w:val="00F42732"/>
    <w:rsid w:val="00F4280D"/>
    <w:rsid w:val="00F42884"/>
    <w:rsid w:val="00F428A3"/>
    <w:rsid w:val="00F42920"/>
    <w:rsid w:val="00F42925"/>
    <w:rsid w:val="00F4296A"/>
    <w:rsid w:val="00F429C6"/>
    <w:rsid w:val="00F42AD9"/>
    <w:rsid w:val="00F42BBC"/>
    <w:rsid w:val="00F42C70"/>
    <w:rsid w:val="00F42CCA"/>
    <w:rsid w:val="00F42CD3"/>
    <w:rsid w:val="00F42DD8"/>
    <w:rsid w:val="00F42E5E"/>
    <w:rsid w:val="00F4300A"/>
    <w:rsid w:val="00F430A5"/>
    <w:rsid w:val="00F43277"/>
    <w:rsid w:val="00F4332F"/>
    <w:rsid w:val="00F43498"/>
    <w:rsid w:val="00F434E9"/>
    <w:rsid w:val="00F434ED"/>
    <w:rsid w:val="00F435E6"/>
    <w:rsid w:val="00F43624"/>
    <w:rsid w:val="00F43944"/>
    <w:rsid w:val="00F43962"/>
    <w:rsid w:val="00F439AD"/>
    <w:rsid w:val="00F439FE"/>
    <w:rsid w:val="00F43A5C"/>
    <w:rsid w:val="00F43AF9"/>
    <w:rsid w:val="00F43B48"/>
    <w:rsid w:val="00F43DEB"/>
    <w:rsid w:val="00F43E11"/>
    <w:rsid w:val="00F43F75"/>
    <w:rsid w:val="00F44000"/>
    <w:rsid w:val="00F4409A"/>
    <w:rsid w:val="00F441D8"/>
    <w:rsid w:val="00F442BD"/>
    <w:rsid w:val="00F442D1"/>
    <w:rsid w:val="00F4453C"/>
    <w:rsid w:val="00F44562"/>
    <w:rsid w:val="00F4458F"/>
    <w:rsid w:val="00F44716"/>
    <w:rsid w:val="00F448F2"/>
    <w:rsid w:val="00F448FC"/>
    <w:rsid w:val="00F44971"/>
    <w:rsid w:val="00F44AA9"/>
    <w:rsid w:val="00F44C07"/>
    <w:rsid w:val="00F44D3C"/>
    <w:rsid w:val="00F44E00"/>
    <w:rsid w:val="00F44E3B"/>
    <w:rsid w:val="00F44ED0"/>
    <w:rsid w:val="00F44F26"/>
    <w:rsid w:val="00F44F2B"/>
    <w:rsid w:val="00F44FC6"/>
    <w:rsid w:val="00F45013"/>
    <w:rsid w:val="00F45085"/>
    <w:rsid w:val="00F45120"/>
    <w:rsid w:val="00F4526A"/>
    <w:rsid w:val="00F4535A"/>
    <w:rsid w:val="00F4536A"/>
    <w:rsid w:val="00F45699"/>
    <w:rsid w:val="00F4572C"/>
    <w:rsid w:val="00F45815"/>
    <w:rsid w:val="00F4588D"/>
    <w:rsid w:val="00F4596C"/>
    <w:rsid w:val="00F45B8F"/>
    <w:rsid w:val="00F45C8C"/>
    <w:rsid w:val="00F45CC8"/>
    <w:rsid w:val="00F45ECE"/>
    <w:rsid w:val="00F45F2E"/>
    <w:rsid w:val="00F45FA1"/>
    <w:rsid w:val="00F46096"/>
    <w:rsid w:val="00F460CE"/>
    <w:rsid w:val="00F46152"/>
    <w:rsid w:val="00F462DA"/>
    <w:rsid w:val="00F462DB"/>
    <w:rsid w:val="00F46363"/>
    <w:rsid w:val="00F46483"/>
    <w:rsid w:val="00F46507"/>
    <w:rsid w:val="00F46576"/>
    <w:rsid w:val="00F4657E"/>
    <w:rsid w:val="00F4695B"/>
    <w:rsid w:val="00F4699A"/>
    <w:rsid w:val="00F469A8"/>
    <w:rsid w:val="00F46A68"/>
    <w:rsid w:val="00F46AA8"/>
    <w:rsid w:val="00F46AB7"/>
    <w:rsid w:val="00F46AFD"/>
    <w:rsid w:val="00F46D9B"/>
    <w:rsid w:val="00F46DDF"/>
    <w:rsid w:val="00F46F8A"/>
    <w:rsid w:val="00F47110"/>
    <w:rsid w:val="00F4724C"/>
    <w:rsid w:val="00F4725E"/>
    <w:rsid w:val="00F472CC"/>
    <w:rsid w:val="00F473D6"/>
    <w:rsid w:val="00F473F1"/>
    <w:rsid w:val="00F47439"/>
    <w:rsid w:val="00F47506"/>
    <w:rsid w:val="00F47513"/>
    <w:rsid w:val="00F4753F"/>
    <w:rsid w:val="00F4786F"/>
    <w:rsid w:val="00F478A9"/>
    <w:rsid w:val="00F47952"/>
    <w:rsid w:val="00F47C52"/>
    <w:rsid w:val="00F47C88"/>
    <w:rsid w:val="00F47D82"/>
    <w:rsid w:val="00F47D9A"/>
    <w:rsid w:val="00F47E65"/>
    <w:rsid w:val="00F50049"/>
    <w:rsid w:val="00F50159"/>
    <w:rsid w:val="00F501F1"/>
    <w:rsid w:val="00F50279"/>
    <w:rsid w:val="00F503FB"/>
    <w:rsid w:val="00F50496"/>
    <w:rsid w:val="00F504DA"/>
    <w:rsid w:val="00F504F7"/>
    <w:rsid w:val="00F504FE"/>
    <w:rsid w:val="00F5060F"/>
    <w:rsid w:val="00F50679"/>
    <w:rsid w:val="00F5082A"/>
    <w:rsid w:val="00F508F1"/>
    <w:rsid w:val="00F50961"/>
    <w:rsid w:val="00F509AD"/>
    <w:rsid w:val="00F50B9C"/>
    <w:rsid w:val="00F50BAF"/>
    <w:rsid w:val="00F50BEE"/>
    <w:rsid w:val="00F50CBE"/>
    <w:rsid w:val="00F50DCA"/>
    <w:rsid w:val="00F50DD1"/>
    <w:rsid w:val="00F50E1D"/>
    <w:rsid w:val="00F51075"/>
    <w:rsid w:val="00F510CF"/>
    <w:rsid w:val="00F510E2"/>
    <w:rsid w:val="00F51170"/>
    <w:rsid w:val="00F511B1"/>
    <w:rsid w:val="00F51251"/>
    <w:rsid w:val="00F51274"/>
    <w:rsid w:val="00F5129A"/>
    <w:rsid w:val="00F5136A"/>
    <w:rsid w:val="00F513CE"/>
    <w:rsid w:val="00F514B9"/>
    <w:rsid w:val="00F5155A"/>
    <w:rsid w:val="00F5158A"/>
    <w:rsid w:val="00F515CB"/>
    <w:rsid w:val="00F51611"/>
    <w:rsid w:val="00F5161C"/>
    <w:rsid w:val="00F51680"/>
    <w:rsid w:val="00F517EE"/>
    <w:rsid w:val="00F51903"/>
    <w:rsid w:val="00F51A29"/>
    <w:rsid w:val="00F51A35"/>
    <w:rsid w:val="00F51BC1"/>
    <w:rsid w:val="00F51BC6"/>
    <w:rsid w:val="00F51CA3"/>
    <w:rsid w:val="00F51DB4"/>
    <w:rsid w:val="00F51E58"/>
    <w:rsid w:val="00F51EBF"/>
    <w:rsid w:val="00F51FA6"/>
    <w:rsid w:val="00F52097"/>
    <w:rsid w:val="00F52191"/>
    <w:rsid w:val="00F5224D"/>
    <w:rsid w:val="00F5225C"/>
    <w:rsid w:val="00F522BD"/>
    <w:rsid w:val="00F523D2"/>
    <w:rsid w:val="00F526EC"/>
    <w:rsid w:val="00F5281B"/>
    <w:rsid w:val="00F52983"/>
    <w:rsid w:val="00F52A12"/>
    <w:rsid w:val="00F52A21"/>
    <w:rsid w:val="00F52A3D"/>
    <w:rsid w:val="00F52BC4"/>
    <w:rsid w:val="00F52C07"/>
    <w:rsid w:val="00F52CBF"/>
    <w:rsid w:val="00F52D36"/>
    <w:rsid w:val="00F52DE7"/>
    <w:rsid w:val="00F52E46"/>
    <w:rsid w:val="00F52E4C"/>
    <w:rsid w:val="00F53042"/>
    <w:rsid w:val="00F530EF"/>
    <w:rsid w:val="00F53152"/>
    <w:rsid w:val="00F5333A"/>
    <w:rsid w:val="00F53458"/>
    <w:rsid w:val="00F53530"/>
    <w:rsid w:val="00F535A1"/>
    <w:rsid w:val="00F53698"/>
    <w:rsid w:val="00F537BF"/>
    <w:rsid w:val="00F537D3"/>
    <w:rsid w:val="00F5380D"/>
    <w:rsid w:val="00F53896"/>
    <w:rsid w:val="00F53A99"/>
    <w:rsid w:val="00F53AA9"/>
    <w:rsid w:val="00F53AF0"/>
    <w:rsid w:val="00F53B8F"/>
    <w:rsid w:val="00F53C2B"/>
    <w:rsid w:val="00F53E64"/>
    <w:rsid w:val="00F53E97"/>
    <w:rsid w:val="00F53FBB"/>
    <w:rsid w:val="00F53FF5"/>
    <w:rsid w:val="00F54048"/>
    <w:rsid w:val="00F5416A"/>
    <w:rsid w:val="00F54211"/>
    <w:rsid w:val="00F5421D"/>
    <w:rsid w:val="00F54257"/>
    <w:rsid w:val="00F542B4"/>
    <w:rsid w:val="00F542FE"/>
    <w:rsid w:val="00F54303"/>
    <w:rsid w:val="00F5439F"/>
    <w:rsid w:val="00F54448"/>
    <w:rsid w:val="00F54514"/>
    <w:rsid w:val="00F54517"/>
    <w:rsid w:val="00F545E3"/>
    <w:rsid w:val="00F5462B"/>
    <w:rsid w:val="00F547DE"/>
    <w:rsid w:val="00F547E1"/>
    <w:rsid w:val="00F548B2"/>
    <w:rsid w:val="00F548C0"/>
    <w:rsid w:val="00F549A7"/>
    <w:rsid w:val="00F54ACD"/>
    <w:rsid w:val="00F54B39"/>
    <w:rsid w:val="00F54B49"/>
    <w:rsid w:val="00F54C18"/>
    <w:rsid w:val="00F54C27"/>
    <w:rsid w:val="00F54C73"/>
    <w:rsid w:val="00F54D1F"/>
    <w:rsid w:val="00F54DF5"/>
    <w:rsid w:val="00F54FBB"/>
    <w:rsid w:val="00F55130"/>
    <w:rsid w:val="00F551B7"/>
    <w:rsid w:val="00F5533F"/>
    <w:rsid w:val="00F5536F"/>
    <w:rsid w:val="00F55384"/>
    <w:rsid w:val="00F55572"/>
    <w:rsid w:val="00F556B6"/>
    <w:rsid w:val="00F5570C"/>
    <w:rsid w:val="00F55710"/>
    <w:rsid w:val="00F557E4"/>
    <w:rsid w:val="00F55827"/>
    <w:rsid w:val="00F55835"/>
    <w:rsid w:val="00F55849"/>
    <w:rsid w:val="00F55851"/>
    <w:rsid w:val="00F55894"/>
    <w:rsid w:val="00F558CA"/>
    <w:rsid w:val="00F55945"/>
    <w:rsid w:val="00F55969"/>
    <w:rsid w:val="00F55A78"/>
    <w:rsid w:val="00F55A84"/>
    <w:rsid w:val="00F55D4C"/>
    <w:rsid w:val="00F55D99"/>
    <w:rsid w:val="00F55E74"/>
    <w:rsid w:val="00F55E7A"/>
    <w:rsid w:val="00F55E90"/>
    <w:rsid w:val="00F560B6"/>
    <w:rsid w:val="00F560CC"/>
    <w:rsid w:val="00F560EC"/>
    <w:rsid w:val="00F5617F"/>
    <w:rsid w:val="00F561CB"/>
    <w:rsid w:val="00F563B4"/>
    <w:rsid w:val="00F56443"/>
    <w:rsid w:val="00F565A5"/>
    <w:rsid w:val="00F565CB"/>
    <w:rsid w:val="00F56607"/>
    <w:rsid w:val="00F56663"/>
    <w:rsid w:val="00F5667B"/>
    <w:rsid w:val="00F56686"/>
    <w:rsid w:val="00F566A7"/>
    <w:rsid w:val="00F56727"/>
    <w:rsid w:val="00F56777"/>
    <w:rsid w:val="00F567D6"/>
    <w:rsid w:val="00F5683A"/>
    <w:rsid w:val="00F56931"/>
    <w:rsid w:val="00F56AA1"/>
    <w:rsid w:val="00F56AC9"/>
    <w:rsid w:val="00F56BC4"/>
    <w:rsid w:val="00F570CF"/>
    <w:rsid w:val="00F571B1"/>
    <w:rsid w:val="00F571C1"/>
    <w:rsid w:val="00F571F1"/>
    <w:rsid w:val="00F57288"/>
    <w:rsid w:val="00F573D4"/>
    <w:rsid w:val="00F57474"/>
    <w:rsid w:val="00F574A5"/>
    <w:rsid w:val="00F574DA"/>
    <w:rsid w:val="00F575D3"/>
    <w:rsid w:val="00F57611"/>
    <w:rsid w:val="00F5765E"/>
    <w:rsid w:val="00F57787"/>
    <w:rsid w:val="00F578DE"/>
    <w:rsid w:val="00F57931"/>
    <w:rsid w:val="00F57971"/>
    <w:rsid w:val="00F57AAD"/>
    <w:rsid w:val="00F57AED"/>
    <w:rsid w:val="00F57C4A"/>
    <w:rsid w:val="00F57DA9"/>
    <w:rsid w:val="00F57DBD"/>
    <w:rsid w:val="00F57DC5"/>
    <w:rsid w:val="00F57E47"/>
    <w:rsid w:val="00F57E71"/>
    <w:rsid w:val="00F60052"/>
    <w:rsid w:val="00F601F1"/>
    <w:rsid w:val="00F60214"/>
    <w:rsid w:val="00F603A1"/>
    <w:rsid w:val="00F603F0"/>
    <w:rsid w:val="00F6047E"/>
    <w:rsid w:val="00F60489"/>
    <w:rsid w:val="00F6058C"/>
    <w:rsid w:val="00F605AA"/>
    <w:rsid w:val="00F60702"/>
    <w:rsid w:val="00F60740"/>
    <w:rsid w:val="00F6076B"/>
    <w:rsid w:val="00F607B0"/>
    <w:rsid w:val="00F6082B"/>
    <w:rsid w:val="00F609FC"/>
    <w:rsid w:val="00F60A89"/>
    <w:rsid w:val="00F60CC0"/>
    <w:rsid w:val="00F60DA0"/>
    <w:rsid w:val="00F60DA3"/>
    <w:rsid w:val="00F60E90"/>
    <w:rsid w:val="00F60F6F"/>
    <w:rsid w:val="00F60F7F"/>
    <w:rsid w:val="00F6101C"/>
    <w:rsid w:val="00F61487"/>
    <w:rsid w:val="00F61570"/>
    <w:rsid w:val="00F6157D"/>
    <w:rsid w:val="00F615CC"/>
    <w:rsid w:val="00F61677"/>
    <w:rsid w:val="00F61678"/>
    <w:rsid w:val="00F6170F"/>
    <w:rsid w:val="00F6189D"/>
    <w:rsid w:val="00F618B9"/>
    <w:rsid w:val="00F61909"/>
    <w:rsid w:val="00F619C1"/>
    <w:rsid w:val="00F619F2"/>
    <w:rsid w:val="00F61B4B"/>
    <w:rsid w:val="00F61C13"/>
    <w:rsid w:val="00F61C7A"/>
    <w:rsid w:val="00F61D36"/>
    <w:rsid w:val="00F61DF8"/>
    <w:rsid w:val="00F61F38"/>
    <w:rsid w:val="00F61FF4"/>
    <w:rsid w:val="00F61FF7"/>
    <w:rsid w:val="00F62228"/>
    <w:rsid w:val="00F622E1"/>
    <w:rsid w:val="00F62536"/>
    <w:rsid w:val="00F626D9"/>
    <w:rsid w:val="00F62984"/>
    <w:rsid w:val="00F6299B"/>
    <w:rsid w:val="00F629FC"/>
    <w:rsid w:val="00F62A7F"/>
    <w:rsid w:val="00F62A80"/>
    <w:rsid w:val="00F62AAF"/>
    <w:rsid w:val="00F62AFE"/>
    <w:rsid w:val="00F62B5F"/>
    <w:rsid w:val="00F62BE4"/>
    <w:rsid w:val="00F62BFF"/>
    <w:rsid w:val="00F62C04"/>
    <w:rsid w:val="00F62C6E"/>
    <w:rsid w:val="00F62E51"/>
    <w:rsid w:val="00F63193"/>
    <w:rsid w:val="00F63196"/>
    <w:rsid w:val="00F632E0"/>
    <w:rsid w:val="00F632EF"/>
    <w:rsid w:val="00F6332E"/>
    <w:rsid w:val="00F63393"/>
    <w:rsid w:val="00F63901"/>
    <w:rsid w:val="00F63A4B"/>
    <w:rsid w:val="00F63A75"/>
    <w:rsid w:val="00F63A93"/>
    <w:rsid w:val="00F63ADE"/>
    <w:rsid w:val="00F63CE1"/>
    <w:rsid w:val="00F63E00"/>
    <w:rsid w:val="00F63EC1"/>
    <w:rsid w:val="00F63EDB"/>
    <w:rsid w:val="00F63F86"/>
    <w:rsid w:val="00F64049"/>
    <w:rsid w:val="00F6404F"/>
    <w:rsid w:val="00F6411C"/>
    <w:rsid w:val="00F6413C"/>
    <w:rsid w:val="00F6419E"/>
    <w:rsid w:val="00F642F4"/>
    <w:rsid w:val="00F644BD"/>
    <w:rsid w:val="00F64628"/>
    <w:rsid w:val="00F646A5"/>
    <w:rsid w:val="00F648A4"/>
    <w:rsid w:val="00F6491C"/>
    <w:rsid w:val="00F64AB3"/>
    <w:rsid w:val="00F64BD0"/>
    <w:rsid w:val="00F64BDB"/>
    <w:rsid w:val="00F64BFD"/>
    <w:rsid w:val="00F64CDD"/>
    <w:rsid w:val="00F64DDC"/>
    <w:rsid w:val="00F64E5F"/>
    <w:rsid w:val="00F65098"/>
    <w:rsid w:val="00F650C7"/>
    <w:rsid w:val="00F6515E"/>
    <w:rsid w:val="00F65196"/>
    <w:rsid w:val="00F652BF"/>
    <w:rsid w:val="00F652C4"/>
    <w:rsid w:val="00F65414"/>
    <w:rsid w:val="00F6554F"/>
    <w:rsid w:val="00F655AD"/>
    <w:rsid w:val="00F65759"/>
    <w:rsid w:val="00F65777"/>
    <w:rsid w:val="00F657D7"/>
    <w:rsid w:val="00F657D9"/>
    <w:rsid w:val="00F657FF"/>
    <w:rsid w:val="00F658A2"/>
    <w:rsid w:val="00F659A6"/>
    <w:rsid w:val="00F659DF"/>
    <w:rsid w:val="00F65B46"/>
    <w:rsid w:val="00F65BC4"/>
    <w:rsid w:val="00F65D06"/>
    <w:rsid w:val="00F65E42"/>
    <w:rsid w:val="00F65FBE"/>
    <w:rsid w:val="00F65FD7"/>
    <w:rsid w:val="00F6607C"/>
    <w:rsid w:val="00F660D5"/>
    <w:rsid w:val="00F660F1"/>
    <w:rsid w:val="00F66128"/>
    <w:rsid w:val="00F6616E"/>
    <w:rsid w:val="00F662D4"/>
    <w:rsid w:val="00F66475"/>
    <w:rsid w:val="00F664F6"/>
    <w:rsid w:val="00F66570"/>
    <w:rsid w:val="00F66703"/>
    <w:rsid w:val="00F66738"/>
    <w:rsid w:val="00F6675E"/>
    <w:rsid w:val="00F667BD"/>
    <w:rsid w:val="00F668AD"/>
    <w:rsid w:val="00F66A15"/>
    <w:rsid w:val="00F66A18"/>
    <w:rsid w:val="00F66A63"/>
    <w:rsid w:val="00F66A80"/>
    <w:rsid w:val="00F66BBE"/>
    <w:rsid w:val="00F66BBF"/>
    <w:rsid w:val="00F66CD8"/>
    <w:rsid w:val="00F66D7B"/>
    <w:rsid w:val="00F66DF2"/>
    <w:rsid w:val="00F66E7F"/>
    <w:rsid w:val="00F66EDD"/>
    <w:rsid w:val="00F66F3F"/>
    <w:rsid w:val="00F67053"/>
    <w:rsid w:val="00F6719E"/>
    <w:rsid w:val="00F671ED"/>
    <w:rsid w:val="00F673A0"/>
    <w:rsid w:val="00F67642"/>
    <w:rsid w:val="00F676C3"/>
    <w:rsid w:val="00F678CF"/>
    <w:rsid w:val="00F67A9B"/>
    <w:rsid w:val="00F67BE2"/>
    <w:rsid w:val="00F67CB3"/>
    <w:rsid w:val="00F67DCB"/>
    <w:rsid w:val="00F67E2E"/>
    <w:rsid w:val="00F67F76"/>
    <w:rsid w:val="00F7002A"/>
    <w:rsid w:val="00F700CE"/>
    <w:rsid w:val="00F70498"/>
    <w:rsid w:val="00F705BE"/>
    <w:rsid w:val="00F706C9"/>
    <w:rsid w:val="00F706CC"/>
    <w:rsid w:val="00F708A1"/>
    <w:rsid w:val="00F709A3"/>
    <w:rsid w:val="00F70BCC"/>
    <w:rsid w:val="00F70E04"/>
    <w:rsid w:val="00F70E65"/>
    <w:rsid w:val="00F70ED7"/>
    <w:rsid w:val="00F71169"/>
    <w:rsid w:val="00F711EB"/>
    <w:rsid w:val="00F71255"/>
    <w:rsid w:val="00F712E9"/>
    <w:rsid w:val="00F71378"/>
    <w:rsid w:val="00F71419"/>
    <w:rsid w:val="00F715B1"/>
    <w:rsid w:val="00F715E9"/>
    <w:rsid w:val="00F716CE"/>
    <w:rsid w:val="00F716E7"/>
    <w:rsid w:val="00F71803"/>
    <w:rsid w:val="00F7183B"/>
    <w:rsid w:val="00F718B0"/>
    <w:rsid w:val="00F71962"/>
    <w:rsid w:val="00F71B20"/>
    <w:rsid w:val="00F71C34"/>
    <w:rsid w:val="00F71C4C"/>
    <w:rsid w:val="00F71D59"/>
    <w:rsid w:val="00F71DCC"/>
    <w:rsid w:val="00F71DD5"/>
    <w:rsid w:val="00F7209C"/>
    <w:rsid w:val="00F72317"/>
    <w:rsid w:val="00F723D0"/>
    <w:rsid w:val="00F723E5"/>
    <w:rsid w:val="00F72516"/>
    <w:rsid w:val="00F725B6"/>
    <w:rsid w:val="00F72634"/>
    <w:rsid w:val="00F7267A"/>
    <w:rsid w:val="00F7274D"/>
    <w:rsid w:val="00F72795"/>
    <w:rsid w:val="00F728B0"/>
    <w:rsid w:val="00F728F8"/>
    <w:rsid w:val="00F72A05"/>
    <w:rsid w:val="00F72BA2"/>
    <w:rsid w:val="00F72D0B"/>
    <w:rsid w:val="00F72D8D"/>
    <w:rsid w:val="00F72D94"/>
    <w:rsid w:val="00F72E91"/>
    <w:rsid w:val="00F73046"/>
    <w:rsid w:val="00F73450"/>
    <w:rsid w:val="00F73475"/>
    <w:rsid w:val="00F734D3"/>
    <w:rsid w:val="00F7358D"/>
    <w:rsid w:val="00F735D9"/>
    <w:rsid w:val="00F736E0"/>
    <w:rsid w:val="00F738C5"/>
    <w:rsid w:val="00F738F8"/>
    <w:rsid w:val="00F738FE"/>
    <w:rsid w:val="00F7395F"/>
    <w:rsid w:val="00F7398F"/>
    <w:rsid w:val="00F73A1B"/>
    <w:rsid w:val="00F73A78"/>
    <w:rsid w:val="00F73B6E"/>
    <w:rsid w:val="00F73BA2"/>
    <w:rsid w:val="00F73C5C"/>
    <w:rsid w:val="00F73D06"/>
    <w:rsid w:val="00F73D54"/>
    <w:rsid w:val="00F73D66"/>
    <w:rsid w:val="00F73D8C"/>
    <w:rsid w:val="00F73DB3"/>
    <w:rsid w:val="00F73E7F"/>
    <w:rsid w:val="00F73EB2"/>
    <w:rsid w:val="00F73EC0"/>
    <w:rsid w:val="00F74017"/>
    <w:rsid w:val="00F7407F"/>
    <w:rsid w:val="00F74097"/>
    <w:rsid w:val="00F741B3"/>
    <w:rsid w:val="00F74263"/>
    <w:rsid w:val="00F7439A"/>
    <w:rsid w:val="00F744EC"/>
    <w:rsid w:val="00F7455D"/>
    <w:rsid w:val="00F745C1"/>
    <w:rsid w:val="00F748DE"/>
    <w:rsid w:val="00F74A1E"/>
    <w:rsid w:val="00F74AF1"/>
    <w:rsid w:val="00F74BE8"/>
    <w:rsid w:val="00F74C52"/>
    <w:rsid w:val="00F74D1B"/>
    <w:rsid w:val="00F74DC1"/>
    <w:rsid w:val="00F74E28"/>
    <w:rsid w:val="00F74FC4"/>
    <w:rsid w:val="00F74FD4"/>
    <w:rsid w:val="00F750AA"/>
    <w:rsid w:val="00F7512E"/>
    <w:rsid w:val="00F75131"/>
    <w:rsid w:val="00F75195"/>
    <w:rsid w:val="00F751D5"/>
    <w:rsid w:val="00F75285"/>
    <w:rsid w:val="00F75309"/>
    <w:rsid w:val="00F75469"/>
    <w:rsid w:val="00F755AE"/>
    <w:rsid w:val="00F75716"/>
    <w:rsid w:val="00F75785"/>
    <w:rsid w:val="00F757E5"/>
    <w:rsid w:val="00F758C1"/>
    <w:rsid w:val="00F759CD"/>
    <w:rsid w:val="00F75A9E"/>
    <w:rsid w:val="00F75B50"/>
    <w:rsid w:val="00F75B74"/>
    <w:rsid w:val="00F75BD7"/>
    <w:rsid w:val="00F75D2F"/>
    <w:rsid w:val="00F75D72"/>
    <w:rsid w:val="00F75DD6"/>
    <w:rsid w:val="00F75FCE"/>
    <w:rsid w:val="00F76057"/>
    <w:rsid w:val="00F760CC"/>
    <w:rsid w:val="00F7615F"/>
    <w:rsid w:val="00F761B5"/>
    <w:rsid w:val="00F7626F"/>
    <w:rsid w:val="00F762DE"/>
    <w:rsid w:val="00F76301"/>
    <w:rsid w:val="00F76305"/>
    <w:rsid w:val="00F76381"/>
    <w:rsid w:val="00F763DF"/>
    <w:rsid w:val="00F763F3"/>
    <w:rsid w:val="00F7648D"/>
    <w:rsid w:val="00F764A2"/>
    <w:rsid w:val="00F76507"/>
    <w:rsid w:val="00F767AE"/>
    <w:rsid w:val="00F767FA"/>
    <w:rsid w:val="00F7689A"/>
    <w:rsid w:val="00F769F3"/>
    <w:rsid w:val="00F76A93"/>
    <w:rsid w:val="00F76D0B"/>
    <w:rsid w:val="00F76FBA"/>
    <w:rsid w:val="00F76FD6"/>
    <w:rsid w:val="00F77098"/>
    <w:rsid w:val="00F77178"/>
    <w:rsid w:val="00F772D7"/>
    <w:rsid w:val="00F773D9"/>
    <w:rsid w:val="00F77497"/>
    <w:rsid w:val="00F77729"/>
    <w:rsid w:val="00F77876"/>
    <w:rsid w:val="00F77B39"/>
    <w:rsid w:val="00F77C0B"/>
    <w:rsid w:val="00F80273"/>
    <w:rsid w:val="00F8029A"/>
    <w:rsid w:val="00F80508"/>
    <w:rsid w:val="00F805D1"/>
    <w:rsid w:val="00F80620"/>
    <w:rsid w:val="00F808DF"/>
    <w:rsid w:val="00F80943"/>
    <w:rsid w:val="00F80ABA"/>
    <w:rsid w:val="00F80B61"/>
    <w:rsid w:val="00F80CAF"/>
    <w:rsid w:val="00F80CB0"/>
    <w:rsid w:val="00F80CFE"/>
    <w:rsid w:val="00F80D17"/>
    <w:rsid w:val="00F80DE8"/>
    <w:rsid w:val="00F80E62"/>
    <w:rsid w:val="00F80F1E"/>
    <w:rsid w:val="00F810D1"/>
    <w:rsid w:val="00F81108"/>
    <w:rsid w:val="00F81140"/>
    <w:rsid w:val="00F81206"/>
    <w:rsid w:val="00F81209"/>
    <w:rsid w:val="00F81374"/>
    <w:rsid w:val="00F8145C"/>
    <w:rsid w:val="00F81522"/>
    <w:rsid w:val="00F81590"/>
    <w:rsid w:val="00F81789"/>
    <w:rsid w:val="00F817CA"/>
    <w:rsid w:val="00F818BA"/>
    <w:rsid w:val="00F81967"/>
    <w:rsid w:val="00F81ACB"/>
    <w:rsid w:val="00F81CA4"/>
    <w:rsid w:val="00F81DA1"/>
    <w:rsid w:val="00F81DDC"/>
    <w:rsid w:val="00F81DFE"/>
    <w:rsid w:val="00F81ECC"/>
    <w:rsid w:val="00F81F35"/>
    <w:rsid w:val="00F81F66"/>
    <w:rsid w:val="00F81F71"/>
    <w:rsid w:val="00F82038"/>
    <w:rsid w:val="00F82202"/>
    <w:rsid w:val="00F82278"/>
    <w:rsid w:val="00F822B7"/>
    <w:rsid w:val="00F822C7"/>
    <w:rsid w:val="00F82316"/>
    <w:rsid w:val="00F8236E"/>
    <w:rsid w:val="00F8238A"/>
    <w:rsid w:val="00F824BD"/>
    <w:rsid w:val="00F824C9"/>
    <w:rsid w:val="00F82523"/>
    <w:rsid w:val="00F8276C"/>
    <w:rsid w:val="00F827D5"/>
    <w:rsid w:val="00F82AAD"/>
    <w:rsid w:val="00F82ABF"/>
    <w:rsid w:val="00F82BE5"/>
    <w:rsid w:val="00F82C39"/>
    <w:rsid w:val="00F82DC0"/>
    <w:rsid w:val="00F82E6C"/>
    <w:rsid w:val="00F83062"/>
    <w:rsid w:val="00F83125"/>
    <w:rsid w:val="00F833D8"/>
    <w:rsid w:val="00F835EE"/>
    <w:rsid w:val="00F8362B"/>
    <w:rsid w:val="00F8386A"/>
    <w:rsid w:val="00F838A5"/>
    <w:rsid w:val="00F838C4"/>
    <w:rsid w:val="00F83957"/>
    <w:rsid w:val="00F83980"/>
    <w:rsid w:val="00F83B6E"/>
    <w:rsid w:val="00F83CA0"/>
    <w:rsid w:val="00F83D4D"/>
    <w:rsid w:val="00F83F84"/>
    <w:rsid w:val="00F84093"/>
    <w:rsid w:val="00F840DC"/>
    <w:rsid w:val="00F84143"/>
    <w:rsid w:val="00F841E0"/>
    <w:rsid w:val="00F843E2"/>
    <w:rsid w:val="00F8455D"/>
    <w:rsid w:val="00F84818"/>
    <w:rsid w:val="00F84881"/>
    <w:rsid w:val="00F8491B"/>
    <w:rsid w:val="00F8497E"/>
    <w:rsid w:val="00F84A33"/>
    <w:rsid w:val="00F84A3B"/>
    <w:rsid w:val="00F84AEA"/>
    <w:rsid w:val="00F84BE8"/>
    <w:rsid w:val="00F84BE9"/>
    <w:rsid w:val="00F84C21"/>
    <w:rsid w:val="00F84D46"/>
    <w:rsid w:val="00F84D73"/>
    <w:rsid w:val="00F84DF1"/>
    <w:rsid w:val="00F84F74"/>
    <w:rsid w:val="00F85214"/>
    <w:rsid w:val="00F85584"/>
    <w:rsid w:val="00F85725"/>
    <w:rsid w:val="00F85738"/>
    <w:rsid w:val="00F85761"/>
    <w:rsid w:val="00F8576F"/>
    <w:rsid w:val="00F858E7"/>
    <w:rsid w:val="00F85A0F"/>
    <w:rsid w:val="00F85A12"/>
    <w:rsid w:val="00F85A32"/>
    <w:rsid w:val="00F85A66"/>
    <w:rsid w:val="00F85AB2"/>
    <w:rsid w:val="00F85B81"/>
    <w:rsid w:val="00F85BD1"/>
    <w:rsid w:val="00F85C81"/>
    <w:rsid w:val="00F85D9E"/>
    <w:rsid w:val="00F85DB8"/>
    <w:rsid w:val="00F85DC0"/>
    <w:rsid w:val="00F85E8B"/>
    <w:rsid w:val="00F85ECA"/>
    <w:rsid w:val="00F85F2D"/>
    <w:rsid w:val="00F8603B"/>
    <w:rsid w:val="00F860DE"/>
    <w:rsid w:val="00F861C5"/>
    <w:rsid w:val="00F86280"/>
    <w:rsid w:val="00F863C9"/>
    <w:rsid w:val="00F86402"/>
    <w:rsid w:val="00F864FA"/>
    <w:rsid w:val="00F867CF"/>
    <w:rsid w:val="00F867E2"/>
    <w:rsid w:val="00F8680D"/>
    <w:rsid w:val="00F868AF"/>
    <w:rsid w:val="00F86933"/>
    <w:rsid w:val="00F86AEF"/>
    <w:rsid w:val="00F86C30"/>
    <w:rsid w:val="00F86C6D"/>
    <w:rsid w:val="00F86D61"/>
    <w:rsid w:val="00F86D65"/>
    <w:rsid w:val="00F86E3B"/>
    <w:rsid w:val="00F86EE6"/>
    <w:rsid w:val="00F86F4F"/>
    <w:rsid w:val="00F86FC4"/>
    <w:rsid w:val="00F8703C"/>
    <w:rsid w:val="00F87149"/>
    <w:rsid w:val="00F8726E"/>
    <w:rsid w:val="00F87319"/>
    <w:rsid w:val="00F87379"/>
    <w:rsid w:val="00F873E0"/>
    <w:rsid w:val="00F874B7"/>
    <w:rsid w:val="00F874ED"/>
    <w:rsid w:val="00F87634"/>
    <w:rsid w:val="00F876EE"/>
    <w:rsid w:val="00F87766"/>
    <w:rsid w:val="00F8780E"/>
    <w:rsid w:val="00F878CC"/>
    <w:rsid w:val="00F879CB"/>
    <w:rsid w:val="00F87ADF"/>
    <w:rsid w:val="00F87B14"/>
    <w:rsid w:val="00F87BBE"/>
    <w:rsid w:val="00F87BEC"/>
    <w:rsid w:val="00F87C66"/>
    <w:rsid w:val="00F87E13"/>
    <w:rsid w:val="00F87EBE"/>
    <w:rsid w:val="00F9006D"/>
    <w:rsid w:val="00F902D8"/>
    <w:rsid w:val="00F90387"/>
    <w:rsid w:val="00F904D7"/>
    <w:rsid w:val="00F9054E"/>
    <w:rsid w:val="00F9055A"/>
    <w:rsid w:val="00F905BC"/>
    <w:rsid w:val="00F9069F"/>
    <w:rsid w:val="00F90885"/>
    <w:rsid w:val="00F908AD"/>
    <w:rsid w:val="00F90A37"/>
    <w:rsid w:val="00F90B02"/>
    <w:rsid w:val="00F90C13"/>
    <w:rsid w:val="00F90C1D"/>
    <w:rsid w:val="00F90C59"/>
    <w:rsid w:val="00F90CFF"/>
    <w:rsid w:val="00F90E5B"/>
    <w:rsid w:val="00F90F5E"/>
    <w:rsid w:val="00F90FD5"/>
    <w:rsid w:val="00F91003"/>
    <w:rsid w:val="00F91043"/>
    <w:rsid w:val="00F912EE"/>
    <w:rsid w:val="00F9130C"/>
    <w:rsid w:val="00F91310"/>
    <w:rsid w:val="00F9141A"/>
    <w:rsid w:val="00F91461"/>
    <w:rsid w:val="00F9153E"/>
    <w:rsid w:val="00F91775"/>
    <w:rsid w:val="00F919BB"/>
    <w:rsid w:val="00F91A27"/>
    <w:rsid w:val="00F91B4C"/>
    <w:rsid w:val="00F91DB6"/>
    <w:rsid w:val="00F91FC1"/>
    <w:rsid w:val="00F91FD9"/>
    <w:rsid w:val="00F92016"/>
    <w:rsid w:val="00F920AC"/>
    <w:rsid w:val="00F92299"/>
    <w:rsid w:val="00F922A0"/>
    <w:rsid w:val="00F926B6"/>
    <w:rsid w:val="00F9276C"/>
    <w:rsid w:val="00F92792"/>
    <w:rsid w:val="00F92823"/>
    <w:rsid w:val="00F92833"/>
    <w:rsid w:val="00F928B0"/>
    <w:rsid w:val="00F92B11"/>
    <w:rsid w:val="00F92B1C"/>
    <w:rsid w:val="00F92CA4"/>
    <w:rsid w:val="00F92F64"/>
    <w:rsid w:val="00F92F6B"/>
    <w:rsid w:val="00F93028"/>
    <w:rsid w:val="00F93055"/>
    <w:rsid w:val="00F931C6"/>
    <w:rsid w:val="00F931F0"/>
    <w:rsid w:val="00F931F8"/>
    <w:rsid w:val="00F93224"/>
    <w:rsid w:val="00F9327A"/>
    <w:rsid w:val="00F9331B"/>
    <w:rsid w:val="00F93332"/>
    <w:rsid w:val="00F93658"/>
    <w:rsid w:val="00F9367A"/>
    <w:rsid w:val="00F936A1"/>
    <w:rsid w:val="00F93822"/>
    <w:rsid w:val="00F938BF"/>
    <w:rsid w:val="00F9393B"/>
    <w:rsid w:val="00F93955"/>
    <w:rsid w:val="00F93998"/>
    <w:rsid w:val="00F93A6B"/>
    <w:rsid w:val="00F93A8A"/>
    <w:rsid w:val="00F93AB2"/>
    <w:rsid w:val="00F93AF1"/>
    <w:rsid w:val="00F93B85"/>
    <w:rsid w:val="00F93D56"/>
    <w:rsid w:val="00F93EAA"/>
    <w:rsid w:val="00F93EC1"/>
    <w:rsid w:val="00F9409C"/>
    <w:rsid w:val="00F9433A"/>
    <w:rsid w:val="00F944B6"/>
    <w:rsid w:val="00F94662"/>
    <w:rsid w:val="00F946CB"/>
    <w:rsid w:val="00F94741"/>
    <w:rsid w:val="00F94884"/>
    <w:rsid w:val="00F94896"/>
    <w:rsid w:val="00F948CE"/>
    <w:rsid w:val="00F94939"/>
    <w:rsid w:val="00F94985"/>
    <w:rsid w:val="00F94A80"/>
    <w:rsid w:val="00F94AA3"/>
    <w:rsid w:val="00F94AF0"/>
    <w:rsid w:val="00F94B89"/>
    <w:rsid w:val="00F94BD1"/>
    <w:rsid w:val="00F94E48"/>
    <w:rsid w:val="00F94E51"/>
    <w:rsid w:val="00F94ECC"/>
    <w:rsid w:val="00F94F0F"/>
    <w:rsid w:val="00F95045"/>
    <w:rsid w:val="00F9507A"/>
    <w:rsid w:val="00F950A5"/>
    <w:rsid w:val="00F9531A"/>
    <w:rsid w:val="00F95396"/>
    <w:rsid w:val="00F95402"/>
    <w:rsid w:val="00F9542D"/>
    <w:rsid w:val="00F95560"/>
    <w:rsid w:val="00F95649"/>
    <w:rsid w:val="00F95675"/>
    <w:rsid w:val="00F956C9"/>
    <w:rsid w:val="00F95730"/>
    <w:rsid w:val="00F95735"/>
    <w:rsid w:val="00F95822"/>
    <w:rsid w:val="00F95848"/>
    <w:rsid w:val="00F9584A"/>
    <w:rsid w:val="00F95973"/>
    <w:rsid w:val="00F95A79"/>
    <w:rsid w:val="00F95B02"/>
    <w:rsid w:val="00F95C3E"/>
    <w:rsid w:val="00F95D6E"/>
    <w:rsid w:val="00F95DB0"/>
    <w:rsid w:val="00F95DC5"/>
    <w:rsid w:val="00F95E4C"/>
    <w:rsid w:val="00F95E82"/>
    <w:rsid w:val="00F95F35"/>
    <w:rsid w:val="00F96247"/>
    <w:rsid w:val="00F9630A"/>
    <w:rsid w:val="00F96322"/>
    <w:rsid w:val="00F9632F"/>
    <w:rsid w:val="00F9634E"/>
    <w:rsid w:val="00F963B9"/>
    <w:rsid w:val="00F9656A"/>
    <w:rsid w:val="00F965A4"/>
    <w:rsid w:val="00F965B3"/>
    <w:rsid w:val="00F965F8"/>
    <w:rsid w:val="00F966CE"/>
    <w:rsid w:val="00F96779"/>
    <w:rsid w:val="00F9677B"/>
    <w:rsid w:val="00F969D7"/>
    <w:rsid w:val="00F96A2A"/>
    <w:rsid w:val="00F96A3C"/>
    <w:rsid w:val="00F96BA3"/>
    <w:rsid w:val="00F96C7E"/>
    <w:rsid w:val="00F96D3D"/>
    <w:rsid w:val="00F96EF0"/>
    <w:rsid w:val="00F96F38"/>
    <w:rsid w:val="00F96F3D"/>
    <w:rsid w:val="00F97085"/>
    <w:rsid w:val="00F971E1"/>
    <w:rsid w:val="00F97249"/>
    <w:rsid w:val="00F972A9"/>
    <w:rsid w:val="00F972AA"/>
    <w:rsid w:val="00F972B6"/>
    <w:rsid w:val="00F9730D"/>
    <w:rsid w:val="00F97434"/>
    <w:rsid w:val="00F975D4"/>
    <w:rsid w:val="00F97696"/>
    <w:rsid w:val="00F97700"/>
    <w:rsid w:val="00F9772A"/>
    <w:rsid w:val="00F979FB"/>
    <w:rsid w:val="00F97AF5"/>
    <w:rsid w:val="00F97BAC"/>
    <w:rsid w:val="00F97EB5"/>
    <w:rsid w:val="00F97F7D"/>
    <w:rsid w:val="00F97F8C"/>
    <w:rsid w:val="00FA000D"/>
    <w:rsid w:val="00FA0046"/>
    <w:rsid w:val="00FA00BC"/>
    <w:rsid w:val="00FA00E4"/>
    <w:rsid w:val="00FA010F"/>
    <w:rsid w:val="00FA011B"/>
    <w:rsid w:val="00FA0275"/>
    <w:rsid w:val="00FA02A6"/>
    <w:rsid w:val="00FA031C"/>
    <w:rsid w:val="00FA031F"/>
    <w:rsid w:val="00FA0402"/>
    <w:rsid w:val="00FA046F"/>
    <w:rsid w:val="00FA0537"/>
    <w:rsid w:val="00FA05A9"/>
    <w:rsid w:val="00FA069A"/>
    <w:rsid w:val="00FA06EF"/>
    <w:rsid w:val="00FA0704"/>
    <w:rsid w:val="00FA07B2"/>
    <w:rsid w:val="00FA0909"/>
    <w:rsid w:val="00FA0953"/>
    <w:rsid w:val="00FA0A0D"/>
    <w:rsid w:val="00FA0B08"/>
    <w:rsid w:val="00FA0B42"/>
    <w:rsid w:val="00FA0BAA"/>
    <w:rsid w:val="00FA0FE2"/>
    <w:rsid w:val="00FA106A"/>
    <w:rsid w:val="00FA1121"/>
    <w:rsid w:val="00FA11E3"/>
    <w:rsid w:val="00FA12B9"/>
    <w:rsid w:val="00FA12ED"/>
    <w:rsid w:val="00FA1369"/>
    <w:rsid w:val="00FA146F"/>
    <w:rsid w:val="00FA19A6"/>
    <w:rsid w:val="00FA19E8"/>
    <w:rsid w:val="00FA1ACE"/>
    <w:rsid w:val="00FA1BBD"/>
    <w:rsid w:val="00FA1C03"/>
    <w:rsid w:val="00FA1E93"/>
    <w:rsid w:val="00FA1F06"/>
    <w:rsid w:val="00FA1F3A"/>
    <w:rsid w:val="00FA1F53"/>
    <w:rsid w:val="00FA1F57"/>
    <w:rsid w:val="00FA201F"/>
    <w:rsid w:val="00FA20CC"/>
    <w:rsid w:val="00FA20D9"/>
    <w:rsid w:val="00FA20FA"/>
    <w:rsid w:val="00FA284D"/>
    <w:rsid w:val="00FA28BF"/>
    <w:rsid w:val="00FA2A49"/>
    <w:rsid w:val="00FA2AD0"/>
    <w:rsid w:val="00FA2B1E"/>
    <w:rsid w:val="00FA2B8B"/>
    <w:rsid w:val="00FA2BFC"/>
    <w:rsid w:val="00FA2D50"/>
    <w:rsid w:val="00FA2EFC"/>
    <w:rsid w:val="00FA2F4B"/>
    <w:rsid w:val="00FA3012"/>
    <w:rsid w:val="00FA3022"/>
    <w:rsid w:val="00FA33F2"/>
    <w:rsid w:val="00FA35F2"/>
    <w:rsid w:val="00FA35FA"/>
    <w:rsid w:val="00FA364F"/>
    <w:rsid w:val="00FA365D"/>
    <w:rsid w:val="00FA36E0"/>
    <w:rsid w:val="00FA37E3"/>
    <w:rsid w:val="00FA38E7"/>
    <w:rsid w:val="00FA39D9"/>
    <w:rsid w:val="00FA3A51"/>
    <w:rsid w:val="00FA3B4C"/>
    <w:rsid w:val="00FA3B6C"/>
    <w:rsid w:val="00FA3BE1"/>
    <w:rsid w:val="00FA3C09"/>
    <w:rsid w:val="00FA3E8F"/>
    <w:rsid w:val="00FA4059"/>
    <w:rsid w:val="00FA4069"/>
    <w:rsid w:val="00FA4292"/>
    <w:rsid w:val="00FA439D"/>
    <w:rsid w:val="00FA43E5"/>
    <w:rsid w:val="00FA442C"/>
    <w:rsid w:val="00FA4530"/>
    <w:rsid w:val="00FA4578"/>
    <w:rsid w:val="00FA45CF"/>
    <w:rsid w:val="00FA46A9"/>
    <w:rsid w:val="00FA47B4"/>
    <w:rsid w:val="00FA47C7"/>
    <w:rsid w:val="00FA481A"/>
    <w:rsid w:val="00FA4876"/>
    <w:rsid w:val="00FA48E5"/>
    <w:rsid w:val="00FA49EE"/>
    <w:rsid w:val="00FA4B19"/>
    <w:rsid w:val="00FA4B53"/>
    <w:rsid w:val="00FA4BEF"/>
    <w:rsid w:val="00FA4C4F"/>
    <w:rsid w:val="00FA4E48"/>
    <w:rsid w:val="00FA4E66"/>
    <w:rsid w:val="00FA4F99"/>
    <w:rsid w:val="00FA5041"/>
    <w:rsid w:val="00FA52AF"/>
    <w:rsid w:val="00FA5332"/>
    <w:rsid w:val="00FA53AE"/>
    <w:rsid w:val="00FA5423"/>
    <w:rsid w:val="00FA5453"/>
    <w:rsid w:val="00FA5498"/>
    <w:rsid w:val="00FA54E7"/>
    <w:rsid w:val="00FA554F"/>
    <w:rsid w:val="00FA564E"/>
    <w:rsid w:val="00FA572C"/>
    <w:rsid w:val="00FA5742"/>
    <w:rsid w:val="00FA57BC"/>
    <w:rsid w:val="00FA57BD"/>
    <w:rsid w:val="00FA5812"/>
    <w:rsid w:val="00FA59AD"/>
    <w:rsid w:val="00FA59CF"/>
    <w:rsid w:val="00FA59FF"/>
    <w:rsid w:val="00FA5A41"/>
    <w:rsid w:val="00FA5A4D"/>
    <w:rsid w:val="00FA5B66"/>
    <w:rsid w:val="00FA5C07"/>
    <w:rsid w:val="00FA5C2A"/>
    <w:rsid w:val="00FA5C4B"/>
    <w:rsid w:val="00FA5E1C"/>
    <w:rsid w:val="00FA5E32"/>
    <w:rsid w:val="00FA5E37"/>
    <w:rsid w:val="00FA5E6E"/>
    <w:rsid w:val="00FA5F77"/>
    <w:rsid w:val="00FA5FBE"/>
    <w:rsid w:val="00FA5FC8"/>
    <w:rsid w:val="00FA5FEB"/>
    <w:rsid w:val="00FA60CB"/>
    <w:rsid w:val="00FA616D"/>
    <w:rsid w:val="00FA61A1"/>
    <w:rsid w:val="00FA61D5"/>
    <w:rsid w:val="00FA6266"/>
    <w:rsid w:val="00FA62AF"/>
    <w:rsid w:val="00FA645A"/>
    <w:rsid w:val="00FA6506"/>
    <w:rsid w:val="00FA6544"/>
    <w:rsid w:val="00FA67A0"/>
    <w:rsid w:val="00FA67EF"/>
    <w:rsid w:val="00FA6813"/>
    <w:rsid w:val="00FA68EC"/>
    <w:rsid w:val="00FA695E"/>
    <w:rsid w:val="00FA6979"/>
    <w:rsid w:val="00FA6A5E"/>
    <w:rsid w:val="00FA6A6F"/>
    <w:rsid w:val="00FA6C94"/>
    <w:rsid w:val="00FA6E1B"/>
    <w:rsid w:val="00FA6E84"/>
    <w:rsid w:val="00FA6F8F"/>
    <w:rsid w:val="00FA74BA"/>
    <w:rsid w:val="00FA7591"/>
    <w:rsid w:val="00FA76B9"/>
    <w:rsid w:val="00FA76EC"/>
    <w:rsid w:val="00FA7757"/>
    <w:rsid w:val="00FA78FF"/>
    <w:rsid w:val="00FA791B"/>
    <w:rsid w:val="00FA7969"/>
    <w:rsid w:val="00FA7B07"/>
    <w:rsid w:val="00FA7B3F"/>
    <w:rsid w:val="00FA7BC9"/>
    <w:rsid w:val="00FA7D93"/>
    <w:rsid w:val="00FA7DAB"/>
    <w:rsid w:val="00FA7F59"/>
    <w:rsid w:val="00FA7FFC"/>
    <w:rsid w:val="00FB00FB"/>
    <w:rsid w:val="00FB019C"/>
    <w:rsid w:val="00FB02F0"/>
    <w:rsid w:val="00FB0304"/>
    <w:rsid w:val="00FB03D6"/>
    <w:rsid w:val="00FB041D"/>
    <w:rsid w:val="00FB0688"/>
    <w:rsid w:val="00FB069D"/>
    <w:rsid w:val="00FB078A"/>
    <w:rsid w:val="00FB07AC"/>
    <w:rsid w:val="00FB07E4"/>
    <w:rsid w:val="00FB0859"/>
    <w:rsid w:val="00FB0875"/>
    <w:rsid w:val="00FB08AF"/>
    <w:rsid w:val="00FB094B"/>
    <w:rsid w:val="00FB099F"/>
    <w:rsid w:val="00FB0A94"/>
    <w:rsid w:val="00FB0ABF"/>
    <w:rsid w:val="00FB0AE8"/>
    <w:rsid w:val="00FB0C26"/>
    <w:rsid w:val="00FB0FBB"/>
    <w:rsid w:val="00FB0FE4"/>
    <w:rsid w:val="00FB10BE"/>
    <w:rsid w:val="00FB11A3"/>
    <w:rsid w:val="00FB134D"/>
    <w:rsid w:val="00FB1391"/>
    <w:rsid w:val="00FB13A9"/>
    <w:rsid w:val="00FB13FC"/>
    <w:rsid w:val="00FB143F"/>
    <w:rsid w:val="00FB149F"/>
    <w:rsid w:val="00FB14C2"/>
    <w:rsid w:val="00FB16C4"/>
    <w:rsid w:val="00FB1743"/>
    <w:rsid w:val="00FB181C"/>
    <w:rsid w:val="00FB19DD"/>
    <w:rsid w:val="00FB1A8E"/>
    <w:rsid w:val="00FB1B4B"/>
    <w:rsid w:val="00FB1EB8"/>
    <w:rsid w:val="00FB1FE1"/>
    <w:rsid w:val="00FB1FF3"/>
    <w:rsid w:val="00FB206E"/>
    <w:rsid w:val="00FB218C"/>
    <w:rsid w:val="00FB2201"/>
    <w:rsid w:val="00FB230E"/>
    <w:rsid w:val="00FB241F"/>
    <w:rsid w:val="00FB24C0"/>
    <w:rsid w:val="00FB2641"/>
    <w:rsid w:val="00FB2789"/>
    <w:rsid w:val="00FB27E6"/>
    <w:rsid w:val="00FB28C5"/>
    <w:rsid w:val="00FB2A66"/>
    <w:rsid w:val="00FB2A9A"/>
    <w:rsid w:val="00FB2B48"/>
    <w:rsid w:val="00FB2C45"/>
    <w:rsid w:val="00FB2F5C"/>
    <w:rsid w:val="00FB3016"/>
    <w:rsid w:val="00FB3132"/>
    <w:rsid w:val="00FB31EF"/>
    <w:rsid w:val="00FB325E"/>
    <w:rsid w:val="00FB328E"/>
    <w:rsid w:val="00FB329F"/>
    <w:rsid w:val="00FB32F9"/>
    <w:rsid w:val="00FB3355"/>
    <w:rsid w:val="00FB3456"/>
    <w:rsid w:val="00FB3485"/>
    <w:rsid w:val="00FB3493"/>
    <w:rsid w:val="00FB34CF"/>
    <w:rsid w:val="00FB351B"/>
    <w:rsid w:val="00FB35C8"/>
    <w:rsid w:val="00FB3673"/>
    <w:rsid w:val="00FB378E"/>
    <w:rsid w:val="00FB3864"/>
    <w:rsid w:val="00FB38B2"/>
    <w:rsid w:val="00FB38FA"/>
    <w:rsid w:val="00FB3B2D"/>
    <w:rsid w:val="00FB3BAB"/>
    <w:rsid w:val="00FB3BEC"/>
    <w:rsid w:val="00FB3CF8"/>
    <w:rsid w:val="00FB3D5C"/>
    <w:rsid w:val="00FB3DA9"/>
    <w:rsid w:val="00FB3EFA"/>
    <w:rsid w:val="00FB3F05"/>
    <w:rsid w:val="00FB3F83"/>
    <w:rsid w:val="00FB4011"/>
    <w:rsid w:val="00FB41B0"/>
    <w:rsid w:val="00FB4212"/>
    <w:rsid w:val="00FB42E9"/>
    <w:rsid w:val="00FB435D"/>
    <w:rsid w:val="00FB4465"/>
    <w:rsid w:val="00FB4542"/>
    <w:rsid w:val="00FB4546"/>
    <w:rsid w:val="00FB457C"/>
    <w:rsid w:val="00FB4593"/>
    <w:rsid w:val="00FB45BD"/>
    <w:rsid w:val="00FB45C1"/>
    <w:rsid w:val="00FB45C3"/>
    <w:rsid w:val="00FB45D5"/>
    <w:rsid w:val="00FB45F2"/>
    <w:rsid w:val="00FB4620"/>
    <w:rsid w:val="00FB4701"/>
    <w:rsid w:val="00FB472F"/>
    <w:rsid w:val="00FB4751"/>
    <w:rsid w:val="00FB486C"/>
    <w:rsid w:val="00FB48B3"/>
    <w:rsid w:val="00FB4B5F"/>
    <w:rsid w:val="00FB4B8D"/>
    <w:rsid w:val="00FB4BEE"/>
    <w:rsid w:val="00FB4C19"/>
    <w:rsid w:val="00FB4CD8"/>
    <w:rsid w:val="00FB4D42"/>
    <w:rsid w:val="00FB4DB1"/>
    <w:rsid w:val="00FB4E5F"/>
    <w:rsid w:val="00FB4ED0"/>
    <w:rsid w:val="00FB4F85"/>
    <w:rsid w:val="00FB5013"/>
    <w:rsid w:val="00FB5070"/>
    <w:rsid w:val="00FB51EB"/>
    <w:rsid w:val="00FB5239"/>
    <w:rsid w:val="00FB5262"/>
    <w:rsid w:val="00FB531A"/>
    <w:rsid w:val="00FB54F3"/>
    <w:rsid w:val="00FB5506"/>
    <w:rsid w:val="00FB552A"/>
    <w:rsid w:val="00FB55B7"/>
    <w:rsid w:val="00FB562A"/>
    <w:rsid w:val="00FB5646"/>
    <w:rsid w:val="00FB56AF"/>
    <w:rsid w:val="00FB574F"/>
    <w:rsid w:val="00FB59B4"/>
    <w:rsid w:val="00FB5A89"/>
    <w:rsid w:val="00FB5A99"/>
    <w:rsid w:val="00FB5B20"/>
    <w:rsid w:val="00FB5B38"/>
    <w:rsid w:val="00FB5B3B"/>
    <w:rsid w:val="00FB5B77"/>
    <w:rsid w:val="00FB5BF6"/>
    <w:rsid w:val="00FB5CDB"/>
    <w:rsid w:val="00FB5CE7"/>
    <w:rsid w:val="00FB5D2A"/>
    <w:rsid w:val="00FB5D3E"/>
    <w:rsid w:val="00FB5D48"/>
    <w:rsid w:val="00FB6067"/>
    <w:rsid w:val="00FB608D"/>
    <w:rsid w:val="00FB63C6"/>
    <w:rsid w:val="00FB6436"/>
    <w:rsid w:val="00FB65DD"/>
    <w:rsid w:val="00FB6885"/>
    <w:rsid w:val="00FB68C9"/>
    <w:rsid w:val="00FB69C5"/>
    <w:rsid w:val="00FB6A72"/>
    <w:rsid w:val="00FB6B3A"/>
    <w:rsid w:val="00FB6B61"/>
    <w:rsid w:val="00FB6B76"/>
    <w:rsid w:val="00FB6D0F"/>
    <w:rsid w:val="00FB6EFF"/>
    <w:rsid w:val="00FB6F52"/>
    <w:rsid w:val="00FB6F53"/>
    <w:rsid w:val="00FB6F67"/>
    <w:rsid w:val="00FB6FB6"/>
    <w:rsid w:val="00FB70A7"/>
    <w:rsid w:val="00FB70B6"/>
    <w:rsid w:val="00FB7156"/>
    <w:rsid w:val="00FB717B"/>
    <w:rsid w:val="00FB71D5"/>
    <w:rsid w:val="00FB7275"/>
    <w:rsid w:val="00FB7433"/>
    <w:rsid w:val="00FB7535"/>
    <w:rsid w:val="00FB7594"/>
    <w:rsid w:val="00FB75AF"/>
    <w:rsid w:val="00FB7614"/>
    <w:rsid w:val="00FB7763"/>
    <w:rsid w:val="00FB77A6"/>
    <w:rsid w:val="00FB77F0"/>
    <w:rsid w:val="00FB782F"/>
    <w:rsid w:val="00FB7871"/>
    <w:rsid w:val="00FB7947"/>
    <w:rsid w:val="00FB79C5"/>
    <w:rsid w:val="00FB79F7"/>
    <w:rsid w:val="00FB7A55"/>
    <w:rsid w:val="00FB7AAB"/>
    <w:rsid w:val="00FB7AC3"/>
    <w:rsid w:val="00FB7AFD"/>
    <w:rsid w:val="00FB7B2E"/>
    <w:rsid w:val="00FB7DB4"/>
    <w:rsid w:val="00FB7DF7"/>
    <w:rsid w:val="00FB7EAB"/>
    <w:rsid w:val="00FB7EC9"/>
    <w:rsid w:val="00FB7ED2"/>
    <w:rsid w:val="00FB7F1D"/>
    <w:rsid w:val="00FB7F63"/>
    <w:rsid w:val="00FB7FFA"/>
    <w:rsid w:val="00FC0025"/>
    <w:rsid w:val="00FC0074"/>
    <w:rsid w:val="00FC0338"/>
    <w:rsid w:val="00FC042D"/>
    <w:rsid w:val="00FC05F9"/>
    <w:rsid w:val="00FC06B4"/>
    <w:rsid w:val="00FC07AB"/>
    <w:rsid w:val="00FC0827"/>
    <w:rsid w:val="00FC08B7"/>
    <w:rsid w:val="00FC090F"/>
    <w:rsid w:val="00FC09D2"/>
    <w:rsid w:val="00FC0A12"/>
    <w:rsid w:val="00FC0AB0"/>
    <w:rsid w:val="00FC0AC4"/>
    <w:rsid w:val="00FC0AE7"/>
    <w:rsid w:val="00FC0DF8"/>
    <w:rsid w:val="00FC0E27"/>
    <w:rsid w:val="00FC0EC3"/>
    <w:rsid w:val="00FC0F9C"/>
    <w:rsid w:val="00FC1087"/>
    <w:rsid w:val="00FC12A7"/>
    <w:rsid w:val="00FC13FF"/>
    <w:rsid w:val="00FC144B"/>
    <w:rsid w:val="00FC1468"/>
    <w:rsid w:val="00FC14CC"/>
    <w:rsid w:val="00FC14D0"/>
    <w:rsid w:val="00FC14D6"/>
    <w:rsid w:val="00FC14F5"/>
    <w:rsid w:val="00FC1522"/>
    <w:rsid w:val="00FC1673"/>
    <w:rsid w:val="00FC16F5"/>
    <w:rsid w:val="00FC16F6"/>
    <w:rsid w:val="00FC171F"/>
    <w:rsid w:val="00FC1721"/>
    <w:rsid w:val="00FC18FE"/>
    <w:rsid w:val="00FC193E"/>
    <w:rsid w:val="00FC19F1"/>
    <w:rsid w:val="00FC1A55"/>
    <w:rsid w:val="00FC1AC1"/>
    <w:rsid w:val="00FC1C17"/>
    <w:rsid w:val="00FC1D4B"/>
    <w:rsid w:val="00FC1D56"/>
    <w:rsid w:val="00FC1F08"/>
    <w:rsid w:val="00FC1FAB"/>
    <w:rsid w:val="00FC2130"/>
    <w:rsid w:val="00FC2141"/>
    <w:rsid w:val="00FC22E9"/>
    <w:rsid w:val="00FC2315"/>
    <w:rsid w:val="00FC2380"/>
    <w:rsid w:val="00FC2759"/>
    <w:rsid w:val="00FC27BB"/>
    <w:rsid w:val="00FC27DE"/>
    <w:rsid w:val="00FC2819"/>
    <w:rsid w:val="00FC2841"/>
    <w:rsid w:val="00FC2896"/>
    <w:rsid w:val="00FC29FC"/>
    <w:rsid w:val="00FC2A25"/>
    <w:rsid w:val="00FC2B04"/>
    <w:rsid w:val="00FC2B4C"/>
    <w:rsid w:val="00FC2B78"/>
    <w:rsid w:val="00FC2C91"/>
    <w:rsid w:val="00FC2CFA"/>
    <w:rsid w:val="00FC2D9E"/>
    <w:rsid w:val="00FC2DC1"/>
    <w:rsid w:val="00FC2E8D"/>
    <w:rsid w:val="00FC2EC1"/>
    <w:rsid w:val="00FC2FE2"/>
    <w:rsid w:val="00FC309B"/>
    <w:rsid w:val="00FC3125"/>
    <w:rsid w:val="00FC3197"/>
    <w:rsid w:val="00FC320F"/>
    <w:rsid w:val="00FC3275"/>
    <w:rsid w:val="00FC32F3"/>
    <w:rsid w:val="00FC3331"/>
    <w:rsid w:val="00FC3342"/>
    <w:rsid w:val="00FC33C4"/>
    <w:rsid w:val="00FC3479"/>
    <w:rsid w:val="00FC3543"/>
    <w:rsid w:val="00FC3725"/>
    <w:rsid w:val="00FC3779"/>
    <w:rsid w:val="00FC3A6E"/>
    <w:rsid w:val="00FC3AF4"/>
    <w:rsid w:val="00FC3C37"/>
    <w:rsid w:val="00FC3C44"/>
    <w:rsid w:val="00FC3CC8"/>
    <w:rsid w:val="00FC3DBD"/>
    <w:rsid w:val="00FC3F31"/>
    <w:rsid w:val="00FC3F40"/>
    <w:rsid w:val="00FC3FA5"/>
    <w:rsid w:val="00FC4032"/>
    <w:rsid w:val="00FC41A4"/>
    <w:rsid w:val="00FC4251"/>
    <w:rsid w:val="00FC4253"/>
    <w:rsid w:val="00FC42D4"/>
    <w:rsid w:val="00FC434A"/>
    <w:rsid w:val="00FC43D4"/>
    <w:rsid w:val="00FC449B"/>
    <w:rsid w:val="00FC4502"/>
    <w:rsid w:val="00FC4577"/>
    <w:rsid w:val="00FC457F"/>
    <w:rsid w:val="00FC4621"/>
    <w:rsid w:val="00FC4727"/>
    <w:rsid w:val="00FC4807"/>
    <w:rsid w:val="00FC4862"/>
    <w:rsid w:val="00FC48D4"/>
    <w:rsid w:val="00FC4A08"/>
    <w:rsid w:val="00FC4A1E"/>
    <w:rsid w:val="00FC4A29"/>
    <w:rsid w:val="00FC4AD3"/>
    <w:rsid w:val="00FC4AE1"/>
    <w:rsid w:val="00FC4B82"/>
    <w:rsid w:val="00FC4B94"/>
    <w:rsid w:val="00FC4BEC"/>
    <w:rsid w:val="00FC4BFF"/>
    <w:rsid w:val="00FC4D6B"/>
    <w:rsid w:val="00FC4DDE"/>
    <w:rsid w:val="00FC4E14"/>
    <w:rsid w:val="00FC4E3A"/>
    <w:rsid w:val="00FC4EEF"/>
    <w:rsid w:val="00FC501B"/>
    <w:rsid w:val="00FC513E"/>
    <w:rsid w:val="00FC522D"/>
    <w:rsid w:val="00FC532C"/>
    <w:rsid w:val="00FC538E"/>
    <w:rsid w:val="00FC541C"/>
    <w:rsid w:val="00FC55B3"/>
    <w:rsid w:val="00FC5604"/>
    <w:rsid w:val="00FC574A"/>
    <w:rsid w:val="00FC57C2"/>
    <w:rsid w:val="00FC58DE"/>
    <w:rsid w:val="00FC5D7E"/>
    <w:rsid w:val="00FC5F41"/>
    <w:rsid w:val="00FC6164"/>
    <w:rsid w:val="00FC6183"/>
    <w:rsid w:val="00FC6220"/>
    <w:rsid w:val="00FC6255"/>
    <w:rsid w:val="00FC6479"/>
    <w:rsid w:val="00FC6553"/>
    <w:rsid w:val="00FC659F"/>
    <w:rsid w:val="00FC66F9"/>
    <w:rsid w:val="00FC674F"/>
    <w:rsid w:val="00FC6A5B"/>
    <w:rsid w:val="00FC6A8D"/>
    <w:rsid w:val="00FC6BC7"/>
    <w:rsid w:val="00FC6C90"/>
    <w:rsid w:val="00FC6DB7"/>
    <w:rsid w:val="00FC6DBB"/>
    <w:rsid w:val="00FC6E25"/>
    <w:rsid w:val="00FC6F28"/>
    <w:rsid w:val="00FC7040"/>
    <w:rsid w:val="00FC7160"/>
    <w:rsid w:val="00FC72D8"/>
    <w:rsid w:val="00FC7322"/>
    <w:rsid w:val="00FC73A2"/>
    <w:rsid w:val="00FC7499"/>
    <w:rsid w:val="00FC74C6"/>
    <w:rsid w:val="00FC77B5"/>
    <w:rsid w:val="00FC77F7"/>
    <w:rsid w:val="00FC7805"/>
    <w:rsid w:val="00FC786A"/>
    <w:rsid w:val="00FC78A4"/>
    <w:rsid w:val="00FC78CE"/>
    <w:rsid w:val="00FC79C1"/>
    <w:rsid w:val="00FC7A11"/>
    <w:rsid w:val="00FC7B3C"/>
    <w:rsid w:val="00FC7B9B"/>
    <w:rsid w:val="00FC7BBB"/>
    <w:rsid w:val="00FC7BD7"/>
    <w:rsid w:val="00FC7C69"/>
    <w:rsid w:val="00FC7C6F"/>
    <w:rsid w:val="00FC7CED"/>
    <w:rsid w:val="00FC7E10"/>
    <w:rsid w:val="00FC7E86"/>
    <w:rsid w:val="00FD020A"/>
    <w:rsid w:val="00FD0284"/>
    <w:rsid w:val="00FD02FA"/>
    <w:rsid w:val="00FD02FF"/>
    <w:rsid w:val="00FD0493"/>
    <w:rsid w:val="00FD050F"/>
    <w:rsid w:val="00FD0595"/>
    <w:rsid w:val="00FD05C5"/>
    <w:rsid w:val="00FD0626"/>
    <w:rsid w:val="00FD0655"/>
    <w:rsid w:val="00FD0798"/>
    <w:rsid w:val="00FD07B1"/>
    <w:rsid w:val="00FD07C6"/>
    <w:rsid w:val="00FD0889"/>
    <w:rsid w:val="00FD09EC"/>
    <w:rsid w:val="00FD0A43"/>
    <w:rsid w:val="00FD0A61"/>
    <w:rsid w:val="00FD0AC8"/>
    <w:rsid w:val="00FD0B42"/>
    <w:rsid w:val="00FD0D66"/>
    <w:rsid w:val="00FD0E0D"/>
    <w:rsid w:val="00FD0E7B"/>
    <w:rsid w:val="00FD0E82"/>
    <w:rsid w:val="00FD0EA7"/>
    <w:rsid w:val="00FD0ECD"/>
    <w:rsid w:val="00FD0FA0"/>
    <w:rsid w:val="00FD11BE"/>
    <w:rsid w:val="00FD11C2"/>
    <w:rsid w:val="00FD11C5"/>
    <w:rsid w:val="00FD155C"/>
    <w:rsid w:val="00FD15EB"/>
    <w:rsid w:val="00FD16FA"/>
    <w:rsid w:val="00FD17AA"/>
    <w:rsid w:val="00FD18D2"/>
    <w:rsid w:val="00FD18FD"/>
    <w:rsid w:val="00FD1AA2"/>
    <w:rsid w:val="00FD1AF6"/>
    <w:rsid w:val="00FD1D6A"/>
    <w:rsid w:val="00FD1DB8"/>
    <w:rsid w:val="00FD1E3A"/>
    <w:rsid w:val="00FD1F1E"/>
    <w:rsid w:val="00FD2049"/>
    <w:rsid w:val="00FD2173"/>
    <w:rsid w:val="00FD2197"/>
    <w:rsid w:val="00FD21CD"/>
    <w:rsid w:val="00FD2329"/>
    <w:rsid w:val="00FD23DA"/>
    <w:rsid w:val="00FD241E"/>
    <w:rsid w:val="00FD29EE"/>
    <w:rsid w:val="00FD2B0E"/>
    <w:rsid w:val="00FD2DDE"/>
    <w:rsid w:val="00FD2F03"/>
    <w:rsid w:val="00FD2F2B"/>
    <w:rsid w:val="00FD3299"/>
    <w:rsid w:val="00FD3338"/>
    <w:rsid w:val="00FD33B5"/>
    <w:rsid w:val="00FD3471"/>
    <w:rsid w:val="00FD34CB"/>
    <w:rsid w:val="00FD34CE"/>
    <w:rsid w:val="00FD351C"/>
    <w:rsid w:val="00FD35BC"/>
    <w:rsid w:val="00FD35D6"/>
    <w:rsid w:val="00FD36A8"/>
    <w:rsid w:val="00FD3A8B"/>
    <w:rsid w:val="00FD3ABE"/>
    <w:rsid w:val="00FD3BEE"/>
    <w:rsid w:val="00FD3D98"/>
    <w:rsid w:val="00FD3E0B"/>
    <w:rsid w:val="00FD3F51"/>
    <w:rsid w:val="00FD3FAD"/>
    <w:rsid w:val="00FD405E"/>
    <w:rsid w:val="00FD4064"/>
    <w:rsid w:val="00FD4222"/>
    <w:rsid w:val="00FD4280"/>
    <w:rsid w:val="00FD4357"/>
    <w:rsid w:val="00FD44AF"/>
    <w:rsid w:val="00FD456B"/>
    <w:rsid w:val="00FD46AA"/>
    <w:rsid w:val="00FD4871"/>
    <w:rsid w:val="00FD48FB"/>
    <w:rsid w:val="00FD4965"/>
    <w:rsid w:val="00FD4ADF"/>
    <w:rsid w:val="00FD4FDD"/>
    <w:rsid w:val="00FD5318"/>
    <w:rsid w:val="00FD533B"/>
    <w:rsid w:val="00FD53A9"/>
    <w:rsid w:val="00FD5465"/>
    <w:rsid w:val="00FD5522"/>
    <w:rsid w:val="00FD5523"/>
    <w:rsid w:val="00FD557A"/>
    <w:rsid w:val="00FD56A8"/>
    <w:rsid w:val="00FD57C5"/>
    <w:rsid w:val="00FD5804"/>
    <w:rsid w:val="00FD5824"/>
    <w:rsid w:val="00FD5929"/>
    <w:rsid w:val="00FD59CB"/>
    <w:rsid w:val="00FD5A12"/>
    <w:rsid w:val="00FD5A1A"/>
    <w:rsid w:val="00FD5A48"/>
    <w:rsid w:val="00FD5AF8"/>
    <w:rsid w:val="00FD5BBF"/>
    <w:rsid w:val="00FD5CEC"/>
    <w:rsid w:val="00FD5D11"/>
    <w:rsid w:val="00FD5D93"/>
    <w:rsid w:val="00FD5DAD"/>
    <w:rsid w:val="00FD604F"/>
    <w:rsid w:val="00FD6238"/>
    <w:rsid w:val="00FD62FB"/>
    <w:rsid w:val="00FD634E"/>
    <w:rsid w:val="00FD641F"/>
    <w:rsid w:val="00FD64E6"/>
    <w:rsid w:val="00FD64F1"/>
    <w:rsid w:val="00FD64F5"/>
    <w:rsid w:val="00FD6531"/>
    <w:rsid w:val="00FD66E2"/>
    <w:rsid w:val="00FD69ED"/>
    <w:rsid w:val="00FD6B4E"/>
    <w:rsid w:val="00FD6BFF"/>
    <w:rsid w:val="00FD6E53"/>
    <w:rsid w:val="00FD6E63"/>
    <w:rsid w:val="00FD6F05"/>
    <w:rsid w:val="00FD70D0"/>
    <w:rsid w:val="00FD70D4"/>
    <w:rsid w:val="00FD7142"/>
    <w:rsid w:val="00FD71B0"/>
    <w:rsid w:val="00FD729B"/>
    <w:rsid w:val="00FD741E"/>
    <w:rsid w:val="00FD7426"/>
    <w:rsid w:val="00FD7468"/>
    <w:rsid w:val="00FD74C0"/>
    <w:rsid w:val="00FD7565"/>
    <w:rsid w:val="00FD7608"/>
    <w:rsid w:val="00FD7900"/>
    <w:rsid w:val="00FD7AC0"/>
    <w:rsid w:val="00FD7B64"/>
    <w:rsid w:val="00FD7C55"/>
    <w:rsid w:val="00FD7CDA"/>
    <w:rsid w:val="00FD7DFD"/>
    <w:rsid w:val="00FD7F9E"/>
    <w:rsid w:val="00FE0015"/>
    <w:rsid w:val="00FE0091"/>
    <w:rsid w:val="00FE01CB"/>
    <w:rsid w:val="00FE02A9"/>
    <w:rsid w:val="00FE04C2"/>
    <w:rsid w:val="00FE04CA"/>
    <w:rsid w:val="00FE054F"/>
    <w:rsid w:val="00FE05D0"/>
    <w:rsid w:val="00FE063F"/>
    <w:rsid w:val="00FE06B9"/>
    <w:rsid w:val="00FE07CE"/>
    <w:rsid w:val="00FE0821"/>
    <w:rsid w:val="00FE0912"/>
    <w:rsid w:val="00FE0A7A"/>
    <w:rsid w:val="00FE0B30"/>
    <w:rsid w:val="00FE0C02"/>
    <w:rsid w:val="00FE0C32"/>
    <w:rsid w:val="00FE0CB9"/>
    <w:rsid w:val="00FE0EDF"/>
    <w:rsid w:val="00FE0F44"/>
    <w:rsid w:val="00FE0F81"/>
    <w:rsid w:val="00FE1094"/>
    <w:rsid w:val="00FE10BB"/>
    <w:rsid w:val="00FE10EB"/>
    <w:rsid w:val="00FE116D"/>
    <w:rsid w:val="00FE119C"/>
    <w:rsid w:val="00FE11E4"/>
    <w:rsid w:val="00FE158B"/>
    <w:rsid w:val="00FE158F"/>
    <w:rsid w:val="00FE1621"/>
    <w:rsid w:val="00FE1663"/>
    <w:rsid w:val="00FE179B"/>
    <w:rsid w:val="00FE17DB"/>
    <w:rsid w:val="00FE1846"/>
    <w:rsid w:val="00FE19B8"/>
    <w:rsid w:val="00FE19F2"/>
    <w:rsid w:val="00FE1AC3"/>
    <w:rsid w:val="00FE1B01"/>
    <w:rsid w:val="00FE1BA4"/>
    <w:rsid w:val="00FE1BEF"/>
    <w:rsid w:val="00FE1DC0"/>
    <w:rsid w:val="00FE1DD0"/>
    <w:rsid w:val="00FE1FE8"/>
    <w:rsid w:val="00FE202E"/>
    <w:rsid w:val="00FE2129"/>
    <w:rsid w:val="00FE2282"/>
    <w:rsid w:val="00FE2336"/>
    <w:rsid w:val="00FE259C"/>
    <w:rsid w:val="00FE25E8"/>
    <w:rsid w:val="00FE26B4"/>
    <w:rsid w:val="00FE274A"/>
    <w:rsid w:val="00FE27B4"/>
    <w:rsid w:val="00FE27D0"/>
    <w:rsid w:val="00FE2801"/>
    <w:rsid w:val="00FE2825"/>
    <w:rsid w:val="00FE2926"/>
    <w:rsid w:val="00FE29B0"/>
    <w:rsid w:val="00FE2D6B"/>
    <w:rsid w:val="00FE2EDC"/>
    <w:rsid w:val="00FE2F43"/>
    <w:rsid w:val="00FE3005"/>
    <w:rsid w:val="00FE306E"/>
    <w:rsid w:val="00FE30ED"/>
    <w:rsid w:val="00FE31B9"/>
    <w:rsid w:val="00FE3372"/>
    <w:rsid w:val="00FE3409"/>
    <w:rsid w:val="00FE34C8"/>
    <w:rsid w:val="00FE353E"/>
    <w:rsid w:val="00FE3A9C"/>
    <w:rsid w:val="00FE3AC7"/>
    <w:rsid w:val="00FE3AE6"/>
    <w:rsid w:val="00FE3B76"/>
    <w:rsid w:val="00FE3BAC"/>
    <w:rsid w:val="00FE3BC2"/>
    <w:rsid w:val="00FE3BD7"/>
    <w:rsid w:val="00FE3D4B"/>
    <w:rsid w:val="00FE3D70"/>
    <w:rsid w:val="00FE3DAF"/>
    <w:rsid w:val="00FE3E20"/>
    <w:rsid w:val="00FE3E4B"/>
    <w:rsid w:val="00FE3F21"/>
    <w:rsid w:val="00FE3F84"/>
    <w:rsid w:val="00FE3F8E"/>
    <w:rsid w:val="00FE3FED"/>
    <w:rsid w:val="00FE4224"/>
    <w:rsid w:val="00FE423C"/>
    <w:rsid w:val="00FE43BB"/>
    <w:rsid w:val="00FE4414"/>
    <w:rsid w:val="00FE455A"/>
    <w:rsid w:val="00FE4655"/>
    <w:rsid w:val="00FE4774"/>
    <w:rsid w:val="00FE4987"/>
    <w:rsid w:val="00FE49A8"/>
    <w:rsid w:val="00FE4A28"/>
    <w:rsid w:val="00FE4ACA"/>
    <w:rsid w:val="00FE4B73"/>
    <w:rsid w:val="00FE4B78"/>
    <w:rsid w:val="00FE4B89"/>
    <w:rsid w:val="00FE4C03"/>
    <w:rsid w:val="00FE4C1A"/>
    <w:rsid w:val="00FE4CA4"/>
    <w:rsid w:val="00FE4D3D"/>
    <w:rsid w:val="00FE4DBE"/>
    <w:rsid w:val="00FE4DD9"/>
    <w:rsid w:val="00FE4E91"/>
    <w:rsid w:val="00FE4F0B"/>
    <w:rsid w:val="00FE4F80"/>
    <w:rsid w:val="00FE4FB0"/>
    <w:rsid w:val="00FE5008"/>
    <w:rsid w:val="00FE50D1"/>
    <w:rsid w:val="00FE51EA"/>
    <w:rsid w:val="00FE51EB"/>
    <w:rsid w:val="00FE542B"/>
    <w:rsid w:val="00FE54DA"/>
    <w:rsid w:val="00FE5547"/>
    <w:rsid w:val="00FE5641"/>
    <w:rsid w:val="00FE5721"/>
    <w:rsid w:val="00FE5770"/>
    <w:rsid w:val="00FE57AC"/>
    <w:rsid w:val="00FE57D3"/>
    <w:rsid w:val="00FE5832"/>
    <w:rsid w:val="00FE58E6"/>
    <w:rsid w:val="00FE5915"/>
    <w:rsid w:val="00FE5937"/>
    <w:rsid w:val="00FE5A49"/>
    <w:rsid w:val="00FE5BC9"/>
    <w:rsid w:val="00FE5C35"/>
    <w:rsid w:val="00FE5CE7"/>
    <w:rsid w:val="00FE5D1F"/>
    <w:rsid w:val="00FE5DB8"/>
    <w:rsid w:val="00FE5E54"/>
    <w:rsid w:val="00FE5F9D"/>
    <w:rsid w:val="00FE6098"/>
    <w:rsid w:val="00FE6106"/>
    <w:rsid w:val="00FE6161"/>
    <w:rsid w:val="00FE61F4"/>
    <w:rsid w:val="00FE635E"/>
    <w:rsid w:val="00FE6385"/>
    <w:rsid w:val="00FE63C0"/>
    <w:rsid w:val="00FE64E2"/>
    <w:rsid w:val="00FE6647"/>
    <w:rsid w:val="00FE670A"/>
    <w:rsid w:val="00FE68B1"/>
    <w:rsid w:val="00FE6956"/>
    <w:rsid w:val="00FE69AC"/>
    <w:rsid w:val="00FE6AF9"/>
    <w:rsid w:val="00FE6B16"/>
    <w:rsid w:val="00FE6D12"/>
    <w:rsid w:val="00FE6DC8"/>
    <w:rsid w:val="00FE7154"/>
    <w:rsid w:val="00FE7192"/>
    <w:rsid w:val="00FE7316"/>
    <w:rsid w:val="00FE7451"/>
    <w:rsid w:val="00FE7496"/>
    <w:rsid w:val="00FE74D8"/>
    <w:rsid w:val="00FE752D"/>
    <w:rsid w:val="00FE75D0"/>
    <w:rsid w:val="00FE761B"/>
    <w:rsid w:val="00FE771B"/>
    <w:rsid w:val="00FE778A"/>
    <w:rsid w:val="00FE785F"/>
    <w:rsid w:val="00FE7A47"/>
    <w:rsid w:val="00FE7AA5"/>
    <w:rsid w:val="00FE7BD4"/>
    <w:rsid w:val="00FE7BF5"/>
    <w:rsid w:val="00FE7C93"/>
    <w:rsid w:val="00FE7D0D"/>
    <w:rsid w:val="00FE7E2A"/>
    <w:rsid w:val="00FE7F15"/>
    <w:rsid w:val="00FE7F23"/>
    <w:rsid w:val="00FE7FA1"/>
    <w:rsid w:val="00FF0033"/>
    <w:rsid w:val="00FF004D"/>
    <w:rsid w:val="00FF0183"/>
    <w:rsid w:val="00FF02C7"/>
    <w:rsid w:val="00FF0315"/>
    <w:rsid w:val="00FF0319"/>
    <w:rsid w:val="00FF034E"/>
    <w:rsid w:val="00FF0382"/>
    <w:rsid w:val="00FF0404"/>
    <w:rsid w:val="00FF04CF"/>
    <w:rsid w:val="00FF0535"/>
    <w:rsid w:val="00FF069D"/>
    <w:rsid w:val="00FF07A5"/>
    <w:rsid w:val="00FF07AA"/>
    <w:rsid w:val="00FF08C0"/>
    <w:rsid w:val="00FF0933"/>
    <w:rsid w:val="00FF0A30"/>
    <w:rsid w:val="00FF0A71"/>
    <w:rsid w:val="00FF0ADD"/>
    <w:rsid w:val="00FF0B1C"/>
    <w:rsid w:val="00FF0BD6"/>
    <w:rsid w:val="00FF0C01"/>
    <w:rsid w:val="00FF0C0C"/>
    <w:rsid w:val="00FF0CF3"/>
    <w:rsid w:val="00FF0D79"/>
    <w:rsid w:val="00FF0E24"/>
    <w:rsid w:val="00FF0E3D"/>
    <w:rsid w:val="00FF0E53"/>
    <w:rsid w:val="00FF0EC8"/>
    <w:rsid w:val="00FF0ECA"/>
    <w:rsid w:val="00FF0F16"/>
    <w:rsid w:val="00FF0F17"/>
    <w:rsid w:val="00FF0F2B"/>
    <w:rsid w:val="00FF100C"/>
    <w:rsid w:val="00FF104C"/>
    <w:rsid w:val="00FF122F"/>
    <w:rsid w:val="00FF12C3"/>
    <w:rsid w:val="00FF138F"/>
    <w:rsid w:val="00FF13A5"/>
    <w:rsid w:val="00FF13C6"/>
    <w:rsid w:val="00FF1484"/>
    <w:rsid w:val="00FF153F"/>
    <w:rsid w:val="00FF16D6"/>
    <w:rsid w:val="00FF178F"/>
    <w:rsid w:val="00FF187C"/>
    <w:rsid w:val="00FF18E4"/>
    <w:rsid w:val="00FF18E7"/>
    <w:rsid w:val="00FF19A8"/>
    <w:rsid w:val="00FF1A41"/>
    <w:rsid w:val="00FF1B44"/>
    <w:rsid w:val="00FF1BED"/>
    <w:rsid w:val="00FF1CAE"/>
    <w:rsid w:val="00FF1DB0"/>
    <w:rsid w:val="00FF1DFB"/>
    <w:rsid w:val="00FF1EEA"/>
    <w:rsid w:val="00FF1F7B"/>
    <w:rsid w:val="00FF1FB8"/>
    <w:rsid w:val="00FF2024"/>
    <w:rsid w:val="00FF2100"/>
    <w:rsid w:val="00FF2305"/>
    <w:rsid w:val="00FF2501"/>
    <w:rsid w:val="00FF2524"/>
    <w:rsid w:val="00FF257B"/>
    <w:rsid w:val="00FF2720"/>
    <w:rsid w:val="00FF2723"/>
    <w:rsid w:val="00FF286E"/>
    <w:rsid w:val="00FF28DD"/>
    <w:rsid w:val="00FF2ACE"/>
    <w:rsid w:val="00FF2B20"/>
    <w:rsid w:val="00FF2B82"/>
    <w:rsid w:val="00FF2CAF"/>
    <w:rsid w:val="00FF2D5F"/>
    <w:rsid w:val="00FF2D8F"/>
    <w:rsid w:val="00FF2E7D"/>
    <w:rsid w:val="00FF2EFC"/>
    <w:rsid w:val="00FF306A"/>
    <w:rsid w:val="00FF32A6"/>
    <w:rsid w:val="00FF33D5"/>
    <w:rsid w:val="00FF33D8"/>
    <w:rsid w:val="00FF34DB"/>
    <w:rsid w:val="00FF34DD"/>
    <w:rsid w:val="00FF3521"/>
    <w:rsid w:val="00FF35F7"/>
    <w:rsid w:val="00FF3723"/>
    <w:rsid w:val="00FF378E"/>
    <w:rsid w:val="00FF37BC"/>
    <w:rsid w:val="00FF38D8"/>
    <w:rsid w:val="00FF398F"/>
    <w:rsid w:val="00FF3A11"/>
    <w:rsid w:val="00FF3A80"/>
    <w:rsid w:val="00FF3B44"/>
    <w:rsid w:val="00FF3B74"/>
    <w:rsid w:val="00FF3BBF"/>
    <w:rsid w:val="00FF3D1D"/>
    <w:rsid w:val="00FF40D3"/>
    <w:rsid w:val="00FF4105"/>
    <w:rsid w:val="00FF4139"/>
    <w:rsid w:val="00FF41AD"/>
    <w:rsid w:val="00FF42E2"/>
    <w:rsid w:val="00FF42F7"/>
    <w:rsid w:val="00FF4303"/>
    <w:rsid w:val="00FF44A5"/>
    <w:rsid w:val="00FF44D8"/>
    <w:rsid w:val="00FF491B"/>
    <w:rsid w:val="00FF4973"/>
    <w:rsid w:val="00FF498A"/>
    <w:rsid w:val="00FF498C"/>
    <w:rsid w:val="00FF4A83"/>
    <w:rsid w:val="00FF4B40"/>
    <w:rsid w:val="00FF4BDA"/>
    <w:rsid w:val="00FF4C3E"/>
    <w:rsid w:val="00FF4C69"/>
    <w:rsid w:val="00FF4C9C"/>
    <w:rsid w:val="00FF4DF3"/>
    <w:rsid w:val="00FF4E87"/>
    <w:rsid w:val="00FF5187"/>
    <w:rsid w:val="00FF5296"/>
    <w:rsid w:val="00FF5428"/>
    <w:rsid w:val="00FF54E1"/>
    <w:rsid w:val="00FF55C9"/>
    <w:rsid w:val="00FF5656"/>
    <w:rsid w:val="00FF5778"/>
    <w:rsid w:val="00FF583F"/>
    <w:rsid w:val="00FF587F"/>
    <w:rsid w:val="00FF5A8E"/>
    <w:rsid w:val="00FF5ACE"/>
    <w:rsid w:val="00FF5AED"/>
    <w:rsid w:val="00FF5C42"/>
    <w:rsid w:val="00FF5C9C"/>
    <w:rsid w:val="00FF5D25"/>
    <w:rsid w:val="00FF5D8B"/>
    <w:rsid w:val="00FF6019"/>
    <w:rsid w:val="00FF6057"/>
    <w:rsid w:val="00FF60C9"/>
    <w:rsid w:val="00FF61B6"/>
    <w:rsid w:val="00FF61CF"/>
    <w:rsid w:val="00FF6248"/>
    <w:rsid w:val="00FF6348"/>
    <w:rsid w:val="00FF63C9"/>
    <w:rsid w:val="00FF64BD"/>
    <w:rsid w:val="00FF6538"/>
    <w:rsid w:val="00FF66E9"/>
    <w:rsid w:val="00FF6828"/>
    <w:rsid w:val="00FF68ED"/>
    <w:rsid w:val="00FF6905"/>
    <w:rsid w:val="00FF6964"/>
    <w:rsid w:val="00FF6988"/>
    <w:rsid w:val="00FF6BAF"/>
    <w:rsid w:val="00FF6BC1"/>
    <w:rsid w:val="00FF6C45"/>
    <w:rsid w:val="00FF6CEC"/>
    <w:rsid w:val="00FF6D04"/>
    <w:rsid w:val="00FF6E12"/>
    <w:rsid w:val="00FF6F77"/>
    <w:rsid w:val="00FF7063"/>
    <w:rsid w:val="00FF735C"/>
    <w:rsid w:val="00FF7460"/>
    <w:rsid w:val="00FF75D1"/>
    <w:rsid w:val="00FF7736"/>
    <w:rsid w:val="00FF778C"/>
    <w:rsid w:val="00FF77A6"/>
    <w:rsid w:val="00FF782F"/>
    <w:rsid w:val="00FF7859"/>
    <w:rsid w:val="00FF7864"/>
    <w:rsid w:val="00FF7B27"/>
    <w:rsid w:val="00FF7BE4"/>
    <w:rsid w:val="00FF7C35"/>
    <w:rsid w:val="00FF7F80"/>
    <w:rsid w:val="00FF7F93"/>
    <w:rsid w:val="00FF7FD7"/>
    <w:rsid w:val="00FF7FE3"/>
    <w:rsid w:val="32392554"/>
    <w:rsid w:val="38AD38AD"/>
    <w:rsid w:val="52B7C432"/>
    <w:rsid w:val="5BAE31EF"/>
    <w:rsid w:val="6735EA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style="mso-width-relative:margin;mso-height-relative:margin" fillcolor="white">
      <v:fill color="white"/>
    </o:shapedefaults>
    <o:shapelayout v:ext="edit">
      <o:idmap v:ext="edit" data="2"/>
    </o:shapelayout>
  </w:shapeDefaults>
  <w:decimalSymbol w:val="."/>
  <w:listSeparator w:val=","/>
  <w14:docId w14:val="4356E370"/>
  <w15:docId w15:val="{36511A07-F00C-4743-8CA4-75F5F73C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560"/>
    <w:pPr>
      <w:spacing w:after="120"/>
      <w:jc w:val="both"/>
    </w:pPr>
    <w:rPr>
      <w:sz w:val="24"/>
    </w:rPr>
  </w:style>
  <w:style w:type="paragraph" w:styleId="Heading1">
    <w:name w:val="heading 1"/>
    <w:aliases w:val="h1"/>
    <w:basedOn w:val="Normal"/>
    <w:next w:val="ParaText"/>
    <w:link w:val="Heading1Char1"/>
    <w:uiPriority w:val="9"/>
    <w:qFormat/>
    <w:rsid w:val="0065021C"/>
    <w:pPr>
      <w:keepNext/>
      <w:numPr>
        <w:numId w:val="461"/>
      </w:numPr>
      <w:spacing w:after="240"/>
      <w:outlineLvl w:val="0"/>
    </w:pPr>
    <w:rPr>
      <w:b/>
      <w:kern w:val="28"/>
      <w:sz w:val="34"/>
    </w:rPr>
  </w:style>
  <w:style w:type="paragraph" w:styleId="Heading2">
    <w:name w:val="heading 2"/>
    <w:aliases w:val="h2,H2,NPB"/>
    <w:basedOn w:val="Normal"/>
    <w:next w:val="ParaText"/>
    <w:link w:val="Heading2Char"/>
    <w:autoRedefine/>
    <w:uiPriority w:val="9"/>
    <w:qFormat/>
    <w:rsid w:val="003A3F90"/>
    <w:pPr>
      <w:keepNext/>
      <w:numPr>
        <w:ilvl w:val="1"/>
        <w:numId w:val="461"/>
      </w:numPr>
      <w:spacing w:after="240"/>
      <w:outlineLvl w:val="1"/>
    </w:pPr>
    <w:rPr>
      <w:b/>
      <w:sz w:val="30"/>
    </w:rPr>
  </w:style>
  <w:style w:type="paragraph" w:styleId="Heading3">
    <w:name w:val="heading 3"/>
    <w:aliases w:val="h3,H3"/>
    <w:basedOn w:val="Normal"/>
    <w:next w:val="ParaText"/>
    <w:link w:val="Heading3Char"/>
    <w:autoRedefine/>
    <w:uiPriority w:val="9"/>
    <w:qFormat/>
    <w:rsid w:val="00E77B80"/>
    <w:pPr>
      <w:keepNext/>
      <w:keepLines/>
      <w:numPr>
        <w:ilvl w:val="2"/>
        <w:numId w:val="461"/>
      </w:numPr>
      <w:spacing w:before="160" w:after="80"/>
      <w:outlineLvl w:val="2"/>
    </w:pPr>
    <w:rPr>
      <w:b/>
      <w:bCs/>
      <w:sz w:val="26"/>
    </w:rPr>
  </w:style>
  <w:style w:type="paragraph" w:styleId="Heading4">
    <w:name w:val="heading 4"/>
    <w:aliases w:val="h4,H4"/>
    <w:basedOn w:val="Normal"/>
    <w:next w:val="ParaText"/>
    <w:link w:val="Heading4Char"/>
    <w:autoRedefine/>
    <w:uiPriority w:val="9"/>
    <w:qFormat/>
    <w:rsid w:val="00720C01"/>
    <w:pPr>
      <w:keepNext/>
      <w:numPr>
        <w:ilvl w:val="3"/>
        <w:numId w:val="461"/>
      </w:numPr>
      <w:tabs>
        <w:tab w:val="left" w:pos="1080"/>
      </w:tabs>
      <w:spacing w:after="240" w:line="300" w:lineRule="auto"/>
      <w:outlineLvl w:val="3"/>
    </w:pPr>
    <w:rPr>
      <w:rFonts w:ascii="Times New Roman Bold" w:hAnsi="Times New Roman Bold"/>
      <w:b/>
      <w:bCs/>
    </w:rPr>
  </w:style>
  <w:style w:type="paragraph" w:styleId="Heading5">
    <w:name w:val="heading 5"/>
    <w:aliases w:val="h5"/>
    <w:basedOn w:val="Normal"/>
    <w:next w:val="ParaText"/>
    <w:link w:val="Heading5Char"/>
    <w:autoRedefine/>
    <w:uiPriority w:val="9"/>
    <w:qFormat/>
    <w:rsid w:val="00574654"/>
    <w:pPr>
      <w:numPr>
        <w:ilvl w:val="4"/>
        <w:numId w:val="461"/>
      </w:numPr>
      <w:tabs>
        <w:tab w:val="left" w:pos="1080"/>
      </w:tabs>
      <w:spacing w:before="240" w:after="240" w:line="300" w:lineRule="auto"/>
      <w:outlineLvl w:val="4"/>
    </w:pPr>
    <w:rPr>
      <w:rFonts w:eastAsia="Yu Gothic Light"/>
      <w:b/>
    </w:rPr>
  </w:style>
  <w:style w:type="paragraph" w:styleId="Heading6">
    <w:name w:val="heading 6"/>
    <w:aliases w:val="H6"/>
    <w:basedOn w:val="Normal"/>
    <w:next w:val="ParaText"/>
    <w:link w:val="Heading6Char"/>
    <w:uiPriority w:val="9"/>
    <w:qFormat/>
    <w:rsid w:val="00F01B84"/>
    <w:pPr>
      <w:numPr>
        <w:ilvl w:val="5"/>
        <w:numId w:val="461"/>
      </w:numPr>
      <w:spacing w:before="240" w:after="240"/>
      <w:outlineLvl w:val="5"/>
    </w:pPr>
    <w:rPr>
      <w:b/>
    </w:rPr>
  </w:style>
  <w:style w:type="paragraph" w:styleId="Heading7">
    <w:name w:val="heading 7"/>
    <w:basedOn w:val="Normal"/>
    <w:next w:val="ParaText"/>
    <w:link w:val="Heading7Char"/>
    <w:uiPriority w:val="9"/>
    <w:qFormat/>
    <w:rsid w:val="0065021C"/>
    <w:pPr>
      <w:numPr>
        <w:ilvl w:val="6"/>
        <w:numId w:val="461"/>
      </w:numPr>
      <w:spacing w:after="240"/>
      <w:outlineLvl w:val="6"/>
    </w:pPr>
    <w:rPr>
      <w:b/>
      <w:i/>
      <w:sz w:val="26"/>
    </w:rPr>
  </w:style>
  <w:style w:type="paragraph" w:styleId="Heading8">
    <w:name w:val="heading 8"/>
    <w:basedOn w:val="Normal"/>
    <w:next w:val="ParaText"/>
    <w:link w:val="Heading8Char"/>
    <w:uiPriority w:val="9"/>
    <w:qFormat/>
    <w:rsid w:val="0065021C"/>
    <w:pPr>
      <w:numPr>
        <w:ilvl w:val="7"/>
        <w:numId w:val="461"/>
      </w:numPr>
      <w:spacing w:after="240"/>
      <w:outlineLvl w:val="7"/>
    </w:pPr>
    <w:rPr>
      <w:b/>
    </w:rPr>
  </w:style>
  <w:style w:type="paragraph" w:styleId="Heading9">
    <w:name w:val="heading 9"/>
    <w:basedOn w:val="Normal"/>
    <w:next w:val="Normal"/>
    <w:link w:val="Heading9Char"/>
    <w:uiPriority w:val="9"/>
    <w:qFormat/>
    <w:rsid w:val="0065021C"/>
    <w:pPr>
      <w:keepNext/>
      <w:numPr>
        <w:ilvl w:val="8"/>
        <w:numId w:val="461"/>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
    <w:uiPriority w:val="99"/>
    <w:rsid w:val="008D28D1"/>
    <w:pPr>
      <w:spacing w:line="300" w:lineRule="auto"/>
    </w:pPr>
  </w:style>
  <w:style w:type="character" w:customStyle="1" w:styleId="ParaTextChar">
    <w:name w:val="ParaText Char"/>
    <w:basedOn w:val="DefaultParagraphFont"/>
    <w:link w:val="ParaText"/>
    <w:uiPriority w:val="99"/>
    <w:rsid w:val="008D28D1"/>
    <w:rPr>
      <w:sz w:val="24"/>
      <w:lang w:val="en-US" w:eastAsia="en-US" w:bidi="ar-SA"/>
    </w:rPr>
  </w:style>
  <w:style w:type="character" w:customStyle="1" w:styleId="Heading1Char1">
    <w:name w:val="Heading 1 Char1"/>
    <w:aliases w:val="h1 Char1"/>
    <w:basedOn w:val="DefaultParagraphFont"/>
    <w:link w:val="Heading1"/>
    <w:uiPriority w:val="9"/>
    <w:locked/>
    <w:rsid w:val="003C1392"/>
    <w:rPr>
      <w:b/>
      <w:kern w:val="28"/>
      <w:sz w:val="34"/>
    </w:rPr>
  </w:style>
  <w:style w:type="character" w:customStyle="1" w:styleId="Heading2Char">
    <w:name w:val="Heading 2 Char"/>
    <w:aliases w:val="h2 Char,H2 Char,NPB Char"/>
    <w:basedOn w:val="DefaultParagraphFont"/>
    <w:link w:val="Heading2"/>
    <w:uiPriority w:val="9"/>
    <w:locked/>
    <w:rsid w:val="003A3F90"/>
    <w:rPr>
      <w:b/>
      <w:sz w:val="30"/>
    </w:rPr>
  </w:style>
  <w:style w:type="character" w:customStyle="1" w:styleId="Heading3Char">
    <w:name w:val="Heading 3 Char"/>
    <w:aliases w:val="h3 Char,H3 Char"/>
    <w:basedOn w:val="DefaultParagraphFont"/>
    <w:link w:val="Heading3"/>
    <w:uiPriority w:val="9"/>
    <w:rsid w:val="008D48FC"/>
    <w:rPr>
      <w:b/>
      <w:bCs/>
      <w:sz w:val="26"/>
    </w:rPr>
  </w:style>
  <w:style w:type="character" w:customStyle="1" w:styleId="Heading4Char">
    <w:name w:val="Heading 4 Char"/>
    <w:aliases w:val="h4 Char,H4 Char"/>
    <w:basedOn w:val="DefaultParagraphFont"/>
    <w:link w:val="Heading4"/>
    <w:uiPriority w:val="9"/>
    <w:rsid w:val="00720C01"/>
    <w:rPr>
      <w:rFonts w:ascii="Times New Roman Bold" w:hAnsi="Times New Roman Bold"/>
      <w:b/>
      <w:bCs/>
      <w:sz w:val="24"/>
    </w:rPr>
  </w:style>
  <w:style w:type="character" w:customStyle="1" w:styleId="Heading5Char">
    <w:name w:val="Heading 5 Char"/>
    <w:aliases w:val="h5 Char"/>
    <w:basedOn w:val="DefaultParagraphFont"/>
    <w:link w:val="Heading5"/>
    <w:uiPriority w:val="9"/>
    <w:locked/>
    <w:rsid w:val="00574654"/>
    <w:rPr>
      <w:rFonts w:eastAsia="Yu Gothic Light"/>
      <w:b/>
      <w:sz w:val="24"/>
    </w:rPr>
  </w:style>
  <w:style w:type="character" w:customStyle="1" w:styleId="Heading6Char">
    <w:name w:val="Heading 6 Char"/>
    <w:aliases w:val="H6 Char"/>
    <w:basedOn w:val="DefaultParagraphFont"/>
    <w:link w:val="Heading6"/>
    <w:uiPriority w:val="9"/>
    <w:locked/>
    <w:rsid w:val="00F01B84"/>
    <w:rPr>
      <w:b/>
      <w:sz w:val="24"/>
    </w:rPr>
  </w:style>
  <w:style w:type="character" w:customStyle="1" w:styleId="Heading7Char">
    <w:name w:val="Heading 7 Char"/>
    <w:basedOn w:val="DefaultParagraphFont"/>
    <w:link w:val="Heading7"/>
    <w:uiPriority w:val="9"/>
    <w:locked/>
    <w:rsid w:val="003C1392"/>
    <w:rPr>
      <w:b/>
      <w:i/>
      <w:sz w:val="26"/>
    </w:rPr>
  </w:style>
  <w:style w:type="character" w:customStyle="1" w:styleId="Heading8Char">
    <w:name w:val="Heading 8 Char"/>
    <w:basedOn w:val="DefaultParagraphFont"/>
    <w:link w:val="Heading8"/>
    <w:uiPriority w:val="9"/>
    <w:locked/>
    <w:rsid w:val="003C1392"/>
    <w:rPr>
      <w:b/>
      <w:sz w:val="24"/>
    </w:rPr>
  </w:style>
  <w:style w:type="character" w:customStyle="1" w:styleId="Heading9Char">
    <w:name w:val="Heading 9 Char"/>
    <w:basedOn w:val="DefaultParagraphFont"/>
    <w:link w:val="Heading9"/>
    <w:uiPriority w:val="9"/>
    <w:locked/>
    <w:rsid w:val="003C1392"/>
    <w:rPr>
      <w:b/>
      <w:bCs/>
      <w:sz w:val="32"/>
    </w:rPr>
  </w:style>
  <w:style w:type="paragraph" w:styleId="Header">
    <w:name w:val="header"/>
    <w:basedOn w:val="Normal"/>
    <w:link w:val="HeaderChar"/>
    <w:uiPriority w:val="99"/>
    <w:qFormat/>
    <w:rsid w:val="0065021C"/>
    <w:pPr>
      <w:tabs>
        <w:tab w:val="center" w:pos="4320"/>
        <w:tab w:val="right" w:pos="8640"/>
      </w:tabs>
    </w:pPr>
    <w:rPr>
      <w:b/>
    </w:rPr>
  </w:style>
  <w:style w:type="character" w:customStyle="1" w:styleId="HeaderChar">
    <w:name w:val="Header Char"/>
    <w:basedOn w:val="DefaultParagraphFont"/>
    <w:link w:val="Header"/>
    <w:uiPriority w:val="99"/>
    <w:locked/>
    <w:rsid w:val="003C1392"/>
    <w:rPr>
      <w:rFonts w:ascii="Arial" w:hAnsi="Arial"/>
      <w:b/>
      <w:sz w:val="22"/>
      <w:lang w:val="en-US" w:eastAsia="en-US" w:bidi="ar-SA"/>
    </w:rPr>
  </w:style>
  <w:style w:type="paragraph" w:styleId="Footer">
    <w:name w:val="footer"/>
    <w:basedOn w:val="Normal"/>
    <w:link w:val="FooterChar"/>
    <w:uiPriority w:val="99"/>
    <w:rsid w:val="0065021C"/>
    <w:pPr>
      <w:pBdr>
        <w:top w:val="single" w:sz="12" w:space="1" w:color="auto"/>
      </w:pBdr>
      <w:tabs>
        <w:tab w:val="right" w:pos="9360"/>
      </w:tabs>
      <w:spacing w:after="0"/>
    </w:pPr>
    <w:rPr>
      <w:i/>
      <w:sz w:val="18"/>
    </w:rPr>
  </w:style>
  <w:style w:type="character" w:customStyle="1" w:styleId="FooterChar">
    <w:name w:val="Footer Char"/>
    <w:basedOn w:val="DefaultParagraphFont"/>
    <w:link w:val="Footer"/>
    <w:uiPriority w:val="99"/>
    <w:locked/>
    <w:rsid w:val="003C1392"/>
    <w:rPr>
      <w:rFonts w:ascii="Arial" w:hAnsi="Arial"/>
      <w:i/>
      <w:sz w:val="18"/>
      <w:lang w:val="en-US" w:eastAsia="en-US" w:bidi="ar-SA"/>
    </w:rPr>
  </w:style>
  <w:style w:type="character" w:styleId="PageNumber">
    <w:name w:val="page number"/>
    <w:basedOn w:val="DefaultParagraphFont"/>
    <w:rsid w:val="0065021C"/>
  </w:style>
  <w:style w:type="paragraph" w:styleId="TOC1">
    <w:name w:val="toc 1"/>
    <w:basedOn w:val="Normal"/>
    <w:next w:val="Normal"/>
    <w:uiPriority w:val="39"/>
    <w:qFormat/>
    <w:rsid w:val="00722D6B"/>
    <w:pPr>
      <w:tabs>
        <w:tab w:val="left" w:pos="360"/>
        <w:tab w:val="right" w:leader="dot" w:pos="9360"/>
      </w:tabs>
      <w:ind w:left="360" w:hanging="360"/>
    </w:pPr>
    <w:rPr>
      <w:rFonts w:ascii="Times New Roman Bold" w:hAnsi="Times New Roman Bold" w:cs="Arial"/>
      <w:b/>
      <w:noProof/>
    </w:rPr>
  </w:style>
  <w:style w:type="paragraph" w:customStyle="1" w:styleId="TOCTitle">
    <w:name w:val="TOC Title"/>
    <w:basedOn w:val="Header"/>
    <w:rsid w:val="0065021C"/>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1542B4"/>
    <w:pPr>
      <w:tabs>
        <w:tab w:val="left" w:pos="3240"/>
        <w:tab w:val="right" w:leader="dot" w:pos="9360"/>
      </w:tabs>
      <w:ind w:left="3240" w:hanging="1800"/>
      <w:jc w:val="left"/>
    </w:pPr>
    <w:rPr>
      <w:rFonts w:cs="Arial"/>
      <w:noProof/>
    </w:rPr>
  </w:style>
  <w:style w:type="paragraph" w:customStyle="1" w:styleId="ExhLst">
    <w:name w:val="Exh_Lst"/>
    <w:basedOn w:val="Normal"/>
    <w:rsid w:val="0065021C"/>
    <w:pPr>
      <w:spacing w:after="240"/>
    </w:pPr>
    <w:rPr>
      <w:b/>
      <w:u w:val="single"/>
    </w:rPr>
  </w:style>
  <w:style w:type="paragraph" w:customStyle="1" w:styleId="1">
    <w:name w:val="1"/>
    <w:aliases w:val="a,i Seq"/>
    <w:basedOn w:val="Normal"/>
    <w:rsid w:val="0065021C"/>
    <w:pPr>
      <w:tabs>
        <w:tab w:val="num" w:pos="720"/>
        <w:tab w:val="left" w:pos="1080"/>
        <w:tab w:val="left" w:pos="1800"/>
        <w:tab w:val="left" w:pos="2160"/>
      </w:tabs>
      <w:spacing w:after="240" w:line="300" w:lineRule="auto"/>
      <w:ind w:left="720" w:hanging="360"/>
    </w:pPr>
  </w:style>
  <w:style w:type="paragraph" w:customStyle="1" w:styleId="Bullet1">
    <w:name w:val="Bullet1"/>
    <w:basedOn w:val="Normal"/>
    <w:link w:val="Bullet1Char"/>
    <w:rsid w:val="0065021C"/>
    <w:pPr>
      <w:tabs>
        <w:tab w:val="left" w:pos="720"/>
        <w:tab w:val="num" w:pos="1080"/>
      </w:tabs>
      <w:spacing w:after="0" w:line="300" w:lineRule="auto"/>
      <w:ind w:left="1080" w:hanging="360"/>
    </w:pPr>
  </w:style>
  <w:style w:type="character" w:customStyle="1" w:styleId="Bullet1Char">
    <w:name w:val="Bullet1 Char"/>
    <w:basedOn w:val="DefaultParagraphFont"/>
    <w:link w:val="Bullet1"/>
    <w:rsid w:val="00FB2A66"/>
    <w:rPr>
      <w:rFonts w:ascii="Arial" w:hAnsi="Arial"/>
      <w:sz w:val="22"/>
      <w:lang w:val="en-US" w:eastAsia="en-US" w:bidi="ar-SA"/>
    </w:rPr>
  </w:style>
  <w:style w:type="paragraph" w:customStyle="1" w:styleId="Bullet1HRt">
    <w:name w:val="Bullet1[HRt]"/>
    <w:basedOn w:val="Normal"/>
    <w:rsid w:val="0065021C"/>
    <w:pPr>
      <w:tabs>
        <w:tab w:val="left" w:pos="720"/>
        <w:tab w:val="num" w:pos="1440"/>
      </w:tabs>
      <w:spacing w:after="240" w:line="300" w:lineRule="auto"/>
      <w:ind w:left="1440" w:hanging="360"/>
    </w:pPr>
  </w:style>
  <w:style w:type="paragraph" w:customStyle="1" w:styleId="Bullet2">
    <w:name w:val="Bullet2"/>
    <w:basedOn w:val="Normal"/>
    <w:rsid w:val="0065021C"/>
    <w:pPr>
      <w:tabs>
        <w:tab w:val="left" w:pos="1080"/>
        <w:tab w:val="num" w:pos="1800"/>
      </w:tabs>
      <w:spacing w:after="0" w:line="300" w:lineRule="auto"/>
      <w:ind w:left="1800" w:hanging="360"/>
    </w:pPr>
  </w:style>
  <w:style w:type="paragraph" w:customStyle="1" w:styleId="Bullet2HRt">
    <w:name w:val="Bullet2[HRt]"/>
    <w:basedOn w:val="Bullet2"/>
    <w:rsid w:val="0065021C"/>
    <w:pPr>
      <w:spacing w:after="240"/>
    </w:pPr>
  </w:style>
  <w:style w:type="paragraph" w:customStyle="1" w:styleId="Exhibit">
    <w:name w:val="Exhibit"/>
    <w:basedOn w:val="Normal"/>
    <w:next w:val="Normal"/>
    <w:rsid w:val="0065021C"/>
    <w:pPr>
      <w:spacing w:after="240"/>
    </w:pPr>
    <w:rPr>
      <w:b/>
    </w:rPr>
  </w:style>
  <w:style w:type="paragraph" w:styleId="TableofFigures">
    <w:name w:val="table of figures"/>
    <w:basedOn w:val="Normal"/>
    <w:next w:val="Normal"/>
    <w:uiPriority w:val="99"/>
    <w:rsid w:val="0065021C"/>
    <w:pPr>
      <w:ind w:left="440" w:hanging="440"/>
    </w:pPr>
  </w:style>
  <w:style w:type="paragraph" w:styleId="TOC2">
    <w:name w:val="toc 2"/>
    <w:basedOn w:val="Normal"/>
    <w:next w:val="Normal"/>
    <w:autoRedefine/>
    <w:uiPriority w:val="39"/>
    <w:qFormat/>
    <w:rsid w:val="001542B4"/>
    <w:pPr>
      <w:tabs>
        <w:tab w:val="left" w:pos="720"/>
        <w:tab w:val="right" w:leader="dot" w:pos="9360"/>
      </w:tabs>
      <w:ind w:left="727" w:hanging="540"/>
      <w:jc w:val="left"/>
    </w:pPr>
    <w:rPr>
      <w:bCs/>
      <w:noProof/>
      <w:szCs w:val="22"/>
    </w:rPr>
  </w:style>
  <w:style w:type="paragraph" w:styleId="TOC3">
    <w:name w:val="toc 3"/>
    <w:basedOn w:val="Normal"/>
    <w:next w:val="Normal"/>
    <w:autoRedefine/>
    <w:uiPriority w:val="39"/>
    <w:qFormat/>
    <w:rsid w:val="00022E8F"/>
    <w:pPr>
      <w:tabs>
        <w:tab w:val="left" w:pos="1080"/>
        <w:tab w:val="right" w:leader="dot" w:pos="9360"/>
      </w:tabs>
      <w:ind w:left="1080" w:hanging="720"/>
    </w:pPr>
    <w:rPr>
      <w:bCs/>
      <w:noProof/>
      <w:szCs w:val="22"/>
    </w:rPr>
  </w:style>
  <w:style w:type="paragraph" w:styleId="TOC4">
    <w:name w:val="toc 4"/>
    <w:basedOn w:val="Normal"/>
    <w:next w:val="Normal"/>
    <w:autoRedefine/>
    <w:uiPriority w:val="39"/>
    <w:rsid w:val="005205A3"/>
    <w:pPr>
      <w:tabs>
        <w:tab w:val="left" w:pos="1440"/>
        <w:tab w:val="right" w:leader="dot" w:pos="9360"/>
      </w:tabs>
      <w:ind w:left="1447" w:hanging="900"/>
      <w:jc w:val="left"/>
    </w:pPr>
    <w:rPr>
      <w:bCs/>
      <w:noProof/>
    </w:rPr>
  </w:style>
  <w:style w:type="paragraph" w:styleId="TOC5">
    <w:name w:val="toc 5"/>
    <w:basedOn w:val="Normal"/>
    <w:next w:val="Normal"/>
    <w:autoRedefine/>
    <w:uiPriority w:val="39"/>
    <w:rsid w:val="00EF18E3"/>
    <w:pPr>
      <w:tabs>
        <w:tab w:val="left" w:pos="1800"/>
        <w:tab w:val="right" w:leader="dot" w:pos="9360"/>
      </w:tabs>
      <w:ind w:left="1800" w:hanging="1080"/>
      <w:jc w:val="left"/>
    </w:pPr>
    <w:rPr>
      <w:noProof/>
    </w:rPr>
  </w:style>
  <w:style w:type="paragraph" w:styleId="TOC6">
    <w:name w:val="toc 6"/>
    <w:basedOn w:val="Normal"/>
    <w:next w:val="Normal"/>
    <w:autoRedefine/>
    <w:uiPriority w:val="39"/>
    <w:rsid w:val="001542B4"/>
    <w:pPr>
      <w:tabs>
        <w:tab w:val="left" w:pos="2160"/>
        <w:tab w:val="right" w:leader="dot" w:pos="9360"/>
      </w:tabs>
      <w:ind w:left="2167" w:hanging="1260"/>
    </w:pPr>
  </w:style>
  <w:style w:type="paragraph" w:styleId="TOC7">
    <w:name w:val="toc 7"/>
    <w:basedOn w:val="Normal"/>
    <w:next w:val="Normal"/>
    <w:autoRedefine/>
    <w:uiPriority w:val="39"/>
    <w:rsid w:val="001542B4"/>
    <w:pPr>
      <w:tabs>
        <w:tab w:val="left" w:pos="2520"/>
        <w:tab w:val="right" w:leader="dot" w:pos="9360"/>
      </w:tabs>
      <w:ind w:left="2520" w:hanging="1440"/>
      <w:jc w:val="left"/>
    </w:pPr>
    <w:rPr>
      <w:noProof/>
    </w:rPr>
  </w:style>
  <w:style w:type="paragraph" w:styleId="TOC8">
    <w:name w:val="toc 8"/>
    <w:basedOn w:val="Normal"/>
    <w:next w:val="Normal"/>
    <w:autoRedefine/>
    <w:uiPriority w:val="39"/>
    <w:rsid w:val="001542B4"/>
    <w:pPr>
      <w:tabs>
        <w:tab w:val="left" w:pos="2880"/>
        <w:tab w:val="right" w:leader="dot" w:pos="9360"/>
      </w:tabs>
      <w:ind w:left="2887" w:hanging="1620"/>
    </w:pPr>
  </w:style>
  <w:style w:type="paragraph" w:styleId="Caption">
    <w:name w:val="caption"/>
    <w:basedOn w:val="Normal"/>
    <w:next w:val="Normal"/>
    <w:autoRedefine/>
    <w:qFormat/>
    <w:rsid w:val="00904980"/>
    <w:pPr>
      <w:framePr w:hSpace="180" w:wrap="around" w:vAnchor="page" w:hAnchor="margin" w:y="2571"/>
      <w:tabs>
        <w:tab w:val="left" w:pos="9180"/>
      </w:tabs>
      <w:spacing w:after="0" w:line="300" w:lineRule="auto"/>
      <w:jc w:val="center"/>
    </w:pPr>
    <w:rPr>
      <w:b/>
      <w:sz w:val="20"/>
    </w:rPr>
  </w:style>
  <w:style w:type="paragraph" w:styleId="FootnoteText">
    <w:name w:val="footnote text"/>
    <w:aliases w:val="Footnote Text Char2,Footnote Text Char1 Char1,Footnote Text Char2 Char Char1,Footnote Text Char Char1 Char Char1,Footnote Text Char1 Char Char Char Char1,Footnote Text Char Char Char Char Char Char1,ft Char Char Char Char Char1"/>
    <w:basedOn w:val="Normal"/>
    <w:link w:val="FootnoteTextChar"/>
    <w:rsid w:val="0065021C"/>
    <w:rPr>
      <w:sz w:val="20"/>
    </w:rPr>
  </w:style>
  <w:style w:type="character" w:customStyle="1" w:styleId="FootnoteTextChar">
    <w:name w:val="Footnote Text Char"/>
    <w:aliases w:val="Footnote Text Char2 Char,Footnote Text Char1 Char1 Char,Footnote Text Char2 Char Char1 Char,Footnote Text Char Char1 Char Char1 Char,Footnote Text Char1 Char Char Char Char1 Char,Footnote Text Char Char Char Char Char Char1 Char"/>
    <w:basedOn w:val="DefaultParagraphFont"/>
    <w:link w:val="FootnoteText"/>
    <w:locked/>
    <w:rsid w:val="003C1392"/>
    <w:rPr>
      <w:rFonts w:ascii="Arial" w:hAnsi="Arial"/>
      <w:lang w:val="en-US" w:eastAsia="en-US" w:bidi="ar-SA"/>
    </w:rPr>
  </w:style>
  <w:style w:type="paragraph" w:styleId="Title">
    <w:name w:val="Title"/>
    <w:basedOn w:val="Normal"/>
    <w:next w:val="Subtitle"/>
    <w:link w:val="TitleChar"/>
    <w:uiPriority w:val="10"/>
    <w:qFormat/>
    <w:rsid w:val="0065021C"/>
    <w:pPr>
      <w:keepNext/>
      <w:keepLines/>
      <w:tabs>
        <w:tab w:val="left" w:pos="576"/>
      </w:tabs>
      <w:spacing w:before="240" w:after="240"/>
      <w:jc w:val="center"/>
    </w:pPr>
    <w:rPr>
      <w:kern w:val="28"/>
      <w:sz w:val="48"/>
    </w:rPr>
  </w:style>
  <w:style w:type="paragraph" w:styleId="Subtitle">
    <w:name w:val="Subtitle"/>
    <w:basedOn w:val="Normal"/>
    <w:link w:val="SubtitleChar"/>
    <w:uiPriority w:val="11"/>
    <w:qFormat/>
    <w:rsid w:val="0065021C"/>
    <w:pPr>
      <w:spacing w:after="60"/>
      <w:jc w:val="center"/>
      <w:outlineLvl w:val="1"/>
    </w:pPr>
    <w:rPr>
      <w:rFonts w:cs="Arial"/>
      <w:szCs w:val="24"/>
    </w:rPr>
  </w:style>
  <w:style w:type="character" w:customStyle="1" w:styleId="SubtitleChar">
    <w:name w:val="Subtitle Char"/>
    <w:basedOn w:val="DefaultParagraphFont"/>
    <w:link w:val="Subtitle"/>
    <w:uiPriority w:val="11"/>
    <w:locked/>
    <w:rsid w:val="003C1392"/>
    <w:rPr>
      <w:rFonts w:ascii="Arial" w:hAnsi="Arial" w:cs="Arial"/>
      <w:sz w:val="24"/>
      <w:szCs w:val="24"/>
      <w:lang w:val="en-US" w:eastAsia="en-US" w:bidi="ar-SA"/>
    </w:rPr>
  </w:style>
  <w:style w:type="character" w:customStyle="1" w:styleId="TitleChar">
    <w:name w:val="Title Char"/>
    <w:basedOn w:val="DefaultParagraphFont"/>
    <w:link w:val="Title"/>
    <w:uiPriority w:val="10"/>
    <w:locked/>
    <w:rsid w:val="003C1392"/>
    <w:rPr>
      <w:rFonts w:ascii="Arial" w:hAnsi="Arial"/>
      <w:kern w:val="28"/>
      <w:sz w:val="48"/>
      <w:lang w:val="en-US" w:eastAsia="en-US" w:bidi="ar-SA"/>
    </w:rPr>
  </w:style>
  <w:style w:type="character" w:styleId="FootnoteReference">
    <w:name w:val="footnote reference"/>
    <w:aliases w:val="o"/>
    <w:basedOn w:val="DefaultParagraphFont"/>
    <w:rsid w:val="0065021C"/>
    <w:rPr>
      <w:vertAlign w:val="superscript"/>
    </w:rPr>
  </w:style>
  <w:style w:type="character" w:styleId="Hyperlink">
    <w:name w:val="Hyperlink"/>
    <w:basedOn w:val="DefaultParagraphFont"/>
    <w:uiPriority w:val="99"/>
    <w:rsid w:val="0065021C"/>
    <w:rPr>
      <w:color w:val="0000FF"/>
      <w:u w:val="single"/>
    </w:rPr>
  </w:style>
  <w:style w:type="paragraph" w:styleId="BodyText">
    <w:name w:val="Body Text"/>
    <w:basedOn w:val="Normal"/>
    <w:link w:val="BodyTextChar"/>
    <w:uiPriority w:val="99"/>
    <w:qFormat/>
    <w:rsid w:val="0065021C"/>
    <w:pPr>
      <w:spacing w:before="120" w:after="0"/>
    </w:pPr>
    <w:rPr>
      <w:rFonts w:cs="Arial"/>
      <w:sz w:val="18"/>
    </w:rPr>
  </w:style>
  <w:style w:type="character" w:customStyle="1" w:styleId="BodyTextChar">
    <w:name w:val="Body Text Char"/>
    <w:basedOn w:val="DefaultParagraphFont"/>
    <w:link w:val="BodyText"/>
    <w:uiPriority w:val="99"/>
    <w:locked/>
    <w:rsid w:val="003C1392"/>
    <w:rPr>
      <w:rFonts w:ascii="Arial" w:hAnsi="Arial" w:cs="Arial"/>
      <w:sz w:val="18"/>
      <w:lang w:val="en-US" w:eastAsia="en-US" w:bidi="ar-SA"/>
    </w:rPr>
  </w:style>
  <w:style w:type="character" w:styleId="FollowedHyperlink">
    <w:name w:val="FollowedHyperlink"/>
    <w:basedOn w:val="DefaultParagraphFont"/>
    <w:rsid w:val="0065021C"/>
    <w:rPr>
      <w:color w:val="800080"/>
      <w:u w:val="single"/>
    </w:rPr>
  </w:style>
  <w:style w:type="paragraph" w:styleId="BalloonText">
    <w:name w:val="Balloon Text"/>
    <w:basedOn w:val="Normal"/>
    <w:link w:val="BalloonTextChar1"/>
    <w:uiPriority w:val="99"/>
    <w:semiHidden/>
    <w:rsid w:val="00C005E2"/>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3C1392"/>
    <w:rPr>
      <w:rFonts w:ascii="Tahoma" w:hAnsi="Tahoma" w:cs="Tahoma"/>
      <w:sz w:val="16"/>
      <w:szCs w:val="16"/>
      <w:lang w:val="en-US" w:eastAsia="en-US" w:bidi="ar-SA"/>
    </w:rPr>
  </w:style>
  <w:style w:type="character" w:styleId="CommentReference">
    <w:name w:val="annotation reference"/>
    <w:basedOn w:val="DefaultParagraphFont"/>
    <w:uiPriority w:val="99"/>
    <w:rsid w:val="00B86582"/>
    <w:rPr>
      <w:sz w:val="16"/>
      <w:szCs w:val="16"/>
    </w:rPr>
  </w:style>
  <w:style w:type="paragraph" w:styleId="CommentText">
    <w:name w:val="annotation text"/>
    <w:basedOn w:val="Normal"/>
    <w:link w:val="CommentTextChar2"/>
    <w:uiPriority w:val="99"/>
    <w:rsid w:val="00B86582"/>
    <w:rPr>
      <w:sz w:val="20"/>
    </w:rPr>
  </w:style>
  <w:style w:type="character" w:customStyle="1" w:styleId="CommentTextChar2">
    <w:name w:val="Comment Text Char2"/>
    <w:basedOn w:val="DefaultParagraphFont"/>
    <w:link w:val="CommentText"/>
    <w:uiPriority w:val="99"/>
    <w:rsid w:val="00E6599C"/>
    <w:rPr>
      <w:rFonts w:ascii="Arial" w:hAnsi="Arial"/>
      <w:lang w:val="en-US" w:eastAsia="en-US" w:bidi="ar-SA"/>
    </w:rPr>
  </w:style>
  <w:style w:type="paragraph" w:styleId="CommentSubject">
    <w:name w:val="annotation subject"/>
    <w:basedOn w:val="CommentText"/>
    <w:next w:val="CommentText"/>
    <w:link w:val="CommentSubjectChar"/>
    <w:uiPriority w:val="99"/>
    <w:semiHidden/>
    <w:rsid w:val="00B86582"/>
    <w:rPr>
      <w:b/>
      <w:bCs/>
    </w:rPr>
  </w:style>
  <w:style w:type="character" w:customStyle="1" w:styleId="CommentSubjectChar">
    <w:name w:val="Comment Subject Char"/>
    <w:basedOn w:val="CommentTextChar"/>
    <w:link w:val="CommentSubject"/>
    <w:uiPriority w:val="99"/>
    <w:semiHidden/>
    <w:locked/>
    <w:rsid w:val="003C1392"/>
    <w:rPr>
      <w:rFonts w:ascii="Arial" w:hAnsi="Arial" w:cs="Times New Roman"/>
      <w:b/>
      <w:bCs/>
      <w:lang w:val="en-US" w:eastAsia="en-US" w:bidi="ar-SA"/>
    </w:rPr>
  </w:style>
  <w:style w:type="character" w:customStyle="1" w:styleId="CommentTextChar">
    <w:name w:val="Comment Text Char"/>
    <w:basedOn w:val="DefaultParagraphFont"/>
    <w:uiPriority w:val="99"/>
    <w:locked/>
    <w:rsid w:val="003C1392"/>
    <w:rPr>
      <w:rFonts w:ascii="Arial" w:hAnsi="Arial" w:cs="Times New Roman"/>
      <w:lang w:val="en-US" w:eastAsia="en-US" w:bidi="ar-SA"/>
    </w:rPr>
  </w:style>
  <w:style w:type="table" w:styleId="TableGrid">
    <w:name w:val="Table Grid"/>
    <w:basedOn w:val="TableNormal"/>
    <w:rsid w:val="008725AD"/>
    <w:pPr>
      <w:spacing w:after="120"/>
      <w:jc w:val="both"/>
    </w:pPr>
    <w:tblPr/>
  </w:style>
  <w:style w:type="paragraph" w:customStyle="1" w:styleId="StyleHeading2h2H2NPBTimesNewRoman">
    <w:name w:val="Style Heading 2h2H2NPB + Times New Roman"/>
    <w:basedOn w:val="Heading2"/>
    <w:autoRedefine/>
    <w:rsid w:val="00CA69A4"/>
    <w:pPr>
      <w:tabs>
        <w:tab w:val="num" w:pos="1080"/>
      </w:tabs>
    </w:pPr>
    <w:rPr>
      <w:bCs/>
    </w:rPr>
  </w:style>
  <w:style w:type="paragraph" w:customStyle="1" w:styleId="StyleHeading2h2H2NPBTimesNewRoman1">
    <w:name w:val="Style Heading 2h2H2NPB + Times New Roman1"/>
    <w:basedOn w:val="Heading2"/>
    <w:autoRedefine/>
    <w:rsid w:val="00CA69A4"/>
    <w:pPr>
      <w:tabs>
        <w:tab w:val="num" w:pos="1080"/>
      </w:tabs>
    </w:pPr>
    <w:rPr>
      <w:bCs/>
    </w:rPr>
  </w:style>
  <w:style w:type="paragraph" w:customStyle="1" w:styleId="StyleHeading2h2H2NPBTimesNewRoman2">
    <w:name w:val="Style Heading 2h2H2NPB + Times New Roman2"/>
    <w:basedOn w:val="Heading2"/>
    <w:rsid w:val="006C4C8A"/>
    <w:rPr>
      <w:bCs/>
    </w:rPr>
  </w:style>
  <w:style w:type="paragraph" w:styleId="PlainText">
    <w:name w:val="Plain Text"/>
    <w:basedOn w:val="Normal"/>
    <w:link w:val="PlainTextChar1"/>
    <w:unhideWhenUsed/>
    <w:rsid w:val="00D7444E"/>
    <w:pPr>
      <w:spacing w:after="0"/>
      <w:jc w:val="left"/>
    </w:pPr>
    <w:rPr>
      <w:rFonts w:ascii="Consolas" w:eastAsia="Calibri" w:hAnsi="Consolas"/>
      <w:sz w:val="21"/>
      <w:szCs w:val="21"/>
    </w:rPr>
  </w:style>
  <w:style w:type="character" w:customStyle="1" w:styleId="PlainTextChar1">
    <w:name w:val="Plain Text Char1"/>
    <w:basedOn w:val="DefaultParagraphFont"/>
    <w:link w:val="PlainText"/>
    <w:rsid w:val="00D7444E"/>
    <w:rPr>
      <w:rFonts w:ascii="Consolas" w:eastAsia="Calibri" w:hAnsi="Consolas"/>
      <w:sz w:val="21"/>
      <w:szCs w:val="21"/>
      <w:lang w:val="en-US" w:eastAsia="en-US" w:bidi="ar-SA"/>
    </w:rPr>
  </w:style>
  <w:style w:type="paragraph" w:styleId="BodyTextIndent">
    <w:name w:val="Body Text Indent"/>
    <w:aliases w:val="bti"/>
    <w:basedOn w:val="Normal"/>
    <w:link w:val="BodyTextIndentChar"/>
    <w:rsid w:val="004B2F60"/>
    <w:pPr>
      <w:ind w:left="360"/>
    </w:pPr>
  </w:style>
  <w:style w:type="character" w:customStyle="1" w:styleId="BodyTextIndentChar">
    <w:name w:val="Body Text Indent Char"/>
    <w:aliases w:val="bti Char"/>
    <w:basedOn w:val="DefaultParagraphFont"/>
    <w:link w:val="BodyTextIndent"/>
    <w:locked/>
    <w:rsid w:val="003C1392"/>
    <w:rPr>
      <w:rFonts w:ascii="Arial" w:hAnsi="Arial"/>
      <w:sz w:val="22"/>
      <w:lang w:val="en-US" w:eastAsia="en-US" w:bidi="ar-SA"/>
    </w:rPr>
  </w:style>
  <w:style w:type="paragraph" w:styleId="BodyTextFirstIndent2">
    <w:name w:val="Body Text First Indent 2"/>
    <w:basedOn w:val="BodyTextIndent"/>
    <w:link w:val="BodyTextFirstIndent2Char"/>
    <w:rsid w:val="004B2F60"/>
    <w:pPr>
      <w:ind w:firstLine="210"/>
    </w:pPr>
  </w:style>
  <w:style w:type="character" w:customStyle="1" w:styleId="BodyTextFirstIndent2Char">
    <w:name w:val="Body Text First Indent 2 Char"/>
    <w:basedOn w:val="BodyTextIndentChar"/>
    <w:link w:val="BodyTextFirstIndent2"/>
    <w:locked/>
    <w:rsid w:val="003C1392"/>
    <w:rPr>
      <w:rFonts w:ascii="Arial" w:hAnsi="Arial"/>
      <w:sz w:val="22"/>
      <w:lang w:val="en-US" w:eastAsia="en-US" w:bidi="ar-SA"/>
    </w:rPr>
  </w:style>
  <w:style w:type="paragraph" w:customStyle="1" w:styleId="EMT1">
    <w:name w:val="EMT 1"/>
    <w:basedOn w:val="Normal"/>
    <w:next w:val="BodyTextFirstIndent2"/>
    <w:rsid w:val="00080B19"/>
    <w:pPr>
      <w:tabs>
        <w:tab w:val="num" w:pos="360"/>
      </w:tabs>
      <w:spacing w:after="240"/>
      <w:jc w:val="left"/>
      <w:outlineLvl w:val="0"/>
    </w:pPr>
    <w:rPr>
      <w:rFonts w:ascii="Times New Roman Bold" w:hAnsi="Times New Roman Bold"/>
      <w:b/>
      <w:caps/>
      <w:kern w:val="32"/>
      <w:szCs w:val="24"/>
    </w:rPr>
  </w:style>
  <w:style w:type="paragraph" w:customStyle="1" w:styleId="EMT3">
    <w:name w:val="EMT 3"/>
    <w:basedOn w:val="Normal"/>
    <w:next w:val="Normal"/>
    <w:rsid w:val="00080B19"/>
    <w:pPr>
      <w:tabs>
        <w:tab w:val="num" w:pos="360"/>
      </w:tabs>
      <w:spacing w:after="240"/>
      <w:jc w:val="left"/>
      <w:outlineLvl w:val="2"/>
    </w:pPr>
    <w:rPr>
      <w:b/>
      <w:szCs w:val="24"/>
    </w:rPr>
  </w:style>
  <w:style w:type="paragraph" w:customStyle="1" w:styleId="TableHeader">
    <w:name w:val="TableHeader"/>
    <w:basedOn w:val="Normal"/>
    <w:next w:val="Normal"/>
    <w:rsid w:val="001E1D3B"/>
    <w:pPr>
      <w:spacing w:after="0"/>
      <w:jc w:val="left"/>
    </w:pPr>
    <w:rPr>
      <w:rFonts w:ascii="Times New Roman Bold" w:hAnsi="Times New Roman Bold"/>
      <w:b/>
    </w:rPr>
  </w:style>
  <w:style w:type="paragraph" w:customStyle="1" w:styleId="StyleHeading2h2H2NPBTimesNewRomanBefore12pt">
    <w:name w:val="Style Heading 2h2H2NPB + Times New Roman Before:  12 pt"/>
    <w:basedOn w:val="Heading2"/>
    <w:rsid w:val="00485D51"/>
    <w:pPr>
      <w:spacing w:before="240"/>
    </w:pPr>
    <w:rPr>
      <w:bCs/>
    </w:rPr>
  </w:style>
  <w:style w:type="paragraph" w:styleId="BodyTextIndent2">
    <w:name w:val="Body Text Indent 2"/>
    <w:basedOn w:val="Normal"/>
    <w:link w:val="BodyTextIndent2Char"/>
    <w:rsid w:val="00F4243B"/>
    <w:pPr>
      <w:spacing w:line="480" w:lineRule="auto"/>
      <w:ind w:left="360"/>
    </w:pPr>
  </w:style>
  <w:style w:type="character" w:customStyle="1" w:styleId="BodyTextIndent2Char">
    <w:name w:val="Body Text Indent 2 Char"/>
    <w:basedOn w:val="DefaultParagraphFont"/>
    <w:link w:val="BodyTextIndent2"/>
    <w:locked/>
    <w:rsid w:val="003C1392"/>
    <w:rPr>
      <w:rFonts w:ascii="Arial" w:hAnsi="Arial"/>
      <w:sz w:val="22"/>
      <w:lang w:val="en-US" w:eastAsia="en-US" w:bidi="ar-SA"/>
    </w:rPr>
  </w:style>
  <w:style w:type="paragraph" w:customStyle="1" w:styleId="Glossary-term">
    <w:name w:val="Glossary - term"/>
    <w:uiPriority w:val="99"/>
    <w:rsid w:val="00F4243B"/>
    <w:pPr>
      <w:keepNext/>
      <w:spacing w:before="240" w:after="60" w:line="360" w:lineRule="auto"/>
    </w:pPr>
    <w:rPr>
      <w:rFonts w:ascii="Arial" w:hAnsi="Arial"/>
      <w:b/>
      <w:sz w:val="24"/>
    </w:rPr>
  </w:style>
  <w:style w:type="paragraph" w:customStyle="1" w:styleId="BodyTextNumbered">
    <w:name w:val="Body Text Numbered"/>
    <w:basedOn w:val="Normal"/>
    <w:link w:val="BodyTextNumberedChar"/>
    <w:rsid w:val="00E5552D"/>
    <w:pPr>
      <w:spacing w:after="240"/>
      <w:ind w:left="720" w:hanging="720"/>
      <w:jc w:val="left"/>
    </w:pPr>
    <w:rPr>
      <w:iCs/>
      <w:szCs w:val="24"/>
    </w:rPr>
  </w:style>
  <w:style w:type="character" w:customStyle="1" w:styleId="BodyTextNumberedChar">
    <w:name w:val="Body Text Numbered Char"/>
    <w:basedOn w:val="DefaultParagraphFont"/>
    <w:link w:val="BodyTextNumbered"/>
    <w:rsid w:val="00E5552D"/>
    <w:rPr>
      <w:iCs/>
      <w:sz w:val="24"/>
      <w:szCs w:val="24"/>
      <w:lang w:val="en-US" w:eastAsia="en-US" w:bidi="ar-SA"/>
    </w:rPr>
  </w:style>
  <w:style w:type="paragraph" w:customStyle="1" w:styleId="FormulaBold">
    <w:name w:val="Formula Bold"/>
    <w:basedOn w:val="Normal"/>
    <w:link w:val="FormulaBoldChar"/>
    <w:autoRedefine/>
    <w:rsid w:val="00363419"/>
    <w:pPr>
      <w:tabs>
        <w:tab w:val="left" w:pos="2520"/>
        <w:tab w:val="left" w:pos="3060"/>
      </w:tabs>
      <w:spacing w:after="240"/>
      <w:ind w:left="2970" w:hanging="2250"/>
      <w:jc w:val="left"/>
    </w:pPr>
    <w:rPr>
      <w:b/>
      <w:bCs/>
      <w:szCs w:val="24"/>
    </w:rPr>
  </w:style>
  <w:style w:type="character" w:customStyle="1" w:styleId="FormulaBoldChar">
    <w:name w:val="Formula Bold Char"/>
    <w:basedOn w:val="DefaultParagraphFont"/>
    <w:link w:val="FormulaBold"/>
    <w:rsid w:val="00363419"/>
    <w:rPr>
      <w:b/>
      <w:bCs/>
      <w:sz w:val="24"/>
      <w:szCs w:val="24"/>
      <w:lang w:val="en-US" w:eastAsia="en-US" w:bidi="ar-SA"/>
    </w:rPr>
  </w:style>
  <w:style w:type="paragraph" w:customStyle="1" w:styleId="TableBody">
    <w:name w:val="Table Body"/>
    <w:basedOn w:val="BodyText"/>
    <w:rsid w:val="00E5552D"/>
    <w:pPr>
      <w:spacing w:before="0" w:after="60"/>
      <w:jc w:val="left"/>
    </w:pPr>
    <w:rPr>
      <w:rFonts w:cs="Times New Roman"/>
      <w:iCs/>
      <w:sz w:val="20"/>
    </w:rPr>
  </w:style>
  <w:style w:type="paragraph" w:customStyle="1" w:styleId="TableHead">
    <w:name w:val="Table Head"/>
    <w:basedOn w:val="BodyText"/>
    <w:rsid w:val="00E5552D"/>
    <w:pPr>
      <w:spacing w:before="0" w:after="120"/>
      <w:jc w:val="left"/>
    </w:pPr>
    <w:rPr>
      <w:rFonts w:cs="Times New Roman"/>
      <w:b/>
      <w:iCs/>
      <w:sz w:val="20"/>
    </w:rPr>
  </w:style>
  <w:style w:type="paragraph" w:customStyle="1" w:styleId="Bullet15">
    <w:name w:val="Bullet (1.5)"/>
    <w:basedOn w:val="Normal"/>
    <w:rsid w:val="00E5552D"/>
    <w:pPr>
      <w:tabs>
        <w:tab w:val="num" w:pos="2520"/>
      </w:tabs>
      <w:ind w:left="2520" w:hanging="720"/>
      <w:jc w:val="left"/>
    </w:pPr>
  </w:style>
  <w:style w:type="paragraph" w:customStyle="1" w:styleId="Default">
    <w:name w:val="Default"/>
    <w:rsid w:val="00EF7977"/>
    <w:pPr>
      <w:autoSpaceDE w:val="0"/>
      <w:autoSpaceDN w:val="0"/>
      <w:adjustRightInd w:val="0"/>
    </w:pPr>
    <w:rPr>
      <w:color w:val="000000"/>
      <w:sz w:val="24"/>
      <w:szCs w:val="24"/>
    </w:rPr>
  </w:style>
  <w:style w:type="character" w:customStyle="1" w:styleId="PlainTextChar">
    <w:name w:val="Plain Text Char"/>
    <w:basedOn w:val="DefaultParagraphFont"/>
    <w:locked/>
    <w:rsid w:val="003C1392"/>
    <w:rPr>
      <w:rFonts w:ascii="Consolas" w:hAnsi="Consolas" w:cs="Times New Roman"/>
      <w:sz w:val="21"/>
      <w:szCs w:val="21"/>
      <w:lang w:val="en-US" w:eastAsia="en-US" w:bidi="ar-SA"/>
    </w:rPr>
  </w:style>
  <w:style w:type="character" w:customStyle="1" w:styleId="CharChar5">
    <w:name w:val="Char Char5"/>
    <w:basedOn w:val="DefaultParagraphFont"/>
    <w:rsid w:val="00844DAE"/>
    <w:rPr>
      <w:rFonts w:ascii="Arial" w:hAnsi="Arial"/>
      <w:lang w:val="en-US" w:eastAsia="en-US" w:bidi="ar-SA"/>
    </w:rPr>
  </w:style>
  <w:style w:type="character" w:customStyle="1" w:styleId="Heading1Char">
    <w:name w:val="Heading 1 Char"/>
    <w:aliases w:val="h1 Char"/>
    <w:basedOn w:val="DefaultParagraphFont"/>
    <w:uiPriority w:val="9"/>
    <w:locked/>
    <w:rsid w:val="00A72732"/>
    <w:rPr>
      <w:rFonts w:ascii="Arial" w:hAnsi="Arial"/>
      <w:b/>
      <w:kern w:val="28"/>
      <w:sz w:val="34"/>
      <w:lang w:val="en-US" w:eastAsia="en-US" w:bidi="ar-SA"/>
    </w:rPr>
  </w:style>
  <w:style w:type="paragraph" w:customStyle="1" w:styleId="Heading20">
    <w:name w:val="Heading # 2"/>
    <w:basedOn w:val="Heading2"/>
    <w:link w:val="Heading2Char0"/>
    <w:rsid w:val="007F3E6B"/>
    <w:pPr>
      <w:tabs>
        <w:tab w:val="num" w:pos="576"/>
      </w:tabs>
      <w:spacing w:before="240" w:after="120"/>
      <w:jc w:val="left"/>
    </w:pPr>
    <w:rPr>
      <w:sz w:val="28"/>
      <w:u w:val="single"/>
    </w:rPr>
  </w:style>
  <w:style w:type="character" w:customStyle="1" w:styleId="Heading2Char0">
    <w:name w:val="Heading # 2 Char"/>
    <w:basedOn w:val="DefaultParagraphFont"/>
    <w:link w:val="Heading20"/>
    <w:rsid w:val="007F3E6B"/>
    <w:rPr>
      <w:b/>
      <w:sz w:val="28"/>
      <w:u w:val="single"/>
    </w:rPr>
  </w:style>
  <w:style w:type="paragraph" w:customStyle="1" w:styleId="Heading30">
    <w:name w:val="Heading # 3"/>
    <w:basedOn w:val="Heading3"/>
    <w:link w:val="Heading3Char0"/>
    <w:rsid w:val="000E14E6"/>
    <w:pPr>
      <w:tabs>
        <w:tab w:val="num" w:pos="840"/>
        <w:tab w:val="left" w:pos="1080"/>
      </w:tabs>
      <w:spacing w:before="240" w:after="60"/>
      <w:ind w:left="840"/>
      <w:jc w:val="left"/>
    </w:pPr>
    <w:rPr>
      <w:rFonts w:cs="Arial"/>
      <w:bCs w:val="0"/>
      <w:sz w:val="24"/>
      <w:szCs w:val="26"/>
    </w:rPr>
  </w:style>
  <w:style w:type="character" w:customStyle="1" w:styleId="Heading3Char0">
    <w:name w:val="Heading # 3 Char"/>
    <w:basedOn w:val="Heading3Char"/>
    <w:link w:val="Heading30"/>
    <w:rsid w:val="000E14E6"/>
    <w:rPr>
      <w:rFonts w:cs="Arial"/>
      <w:b/>
      <w:bCs w:val="0"/>
      <w:sz w:val="24"/>
      <w:szCs w:val="26"/>
    </w:rPr>
  </w:style>
  <w:style w:type="paragraph" w:customStyle="1" w:styleId="Heading40">
    <w:name w:val="Heading # 4"/>
    <w:basedOn w:val="Heading4"/>
    <w:rsid w:val="000E14E6"/>
    <w:pPr>
      <w:tabs>
        <w:tab w:val="num" w:pos="864"/>
      </w:tabs>
      <w:spacing w:after="60"/>
      <w:jc w:val="left"/>
    </w:pPr>
    <w:rPr>
      <w:bCs w:val="0"/>
      <w:i/>
      <w:szCs w:val="28"/>
    </w:rPr>
  </w:style>
  <w:style w:type="paragraph" w:customStyle="1" w:styleId="Body1">
    <w:name w:val="Body 1"/>
    <w:basedOn w:val="Normal"/>
    <w:rsid w:val="000E14E6"/>
    <w:pPr>
      <w:keepLines/>
      <w:spacing w:before="60" w:after="60"/>
      <w:jc w:val="left"/>
    </w:pPr>
    <w:rPr>
      <w:lang w:val="en-AU"/>
    </w:rPr>
  </w:style>
  <w:style w:type="character" w:customStyle="1" w:styleId="ParaTextCharChar">
    <w:name w:val="ParaText Char Char"/>
    <w:basedOn w:val="DefaultParagraphFont"/>
    <w:rsid w:val="00EF62FC"/>
    <w:rPr>
      <w:rFonts w:ascii="Arial" w:hAnsi="Arial"/>
      <w:sz w:val="22"/>
      <w:lang w:val="en-US" w:eastAsia="en-US" w:bidi="ar-SA"/>
    </w:rPr>
  </w:style>
  <w:style w:type="character" w:customStyle="1" w:styleId="BalloonTextChar">
    <w:name w:val="Balloon Text Char"/>
    <w:basedOn w:val="DefaultParagraphFont"/>
    <w:uiPriority w:val="99"/>
    <w:semiHidden/>
    <w:locked/>
    <w:rsid w:val="00622067"/>
    <w:rPr>
      <w:rFonts w:ascii="Tahoma" w:hAnsi="Tahoma" w:cs="Tahoma"/>
      <w:sz w:val="16"/>
      <w:szCs w:val="16"/>
    </w:rPr>
  </w:style>
  <w:style w:type="paragraph" w:customStyle="1" w:styleId="paratext0">
    <w:name w:val="paratext"/>
    <w:basedOn w:val="Normal"/>
    <w:rsid w:val="00D6270C"/>
    <w:pPr>
      <w:spacing w:after="240" w:line="300" w:lineRule="auto"/>
    </w:pPr>
    <w:rPr>
      <w:rFonts w:cs="Arial"/>
      <w:szCs w:val="22"/>
    </w:rPr>
  </w:style>
  <w:style w:type="paragraph" w:customStyle="1" w:styleId="ListIntroduction">
    <w:name w:val="List Introduction"/>
    <w:basedOn w:val="BodyText"/>
    <w:rsid w:val="00474681"/>
    <w:pPr>
      <w:keepNext/>
      <w:spacing w:before="0" w:after="240"/>
      <w:jc w:val="left"/>
    </w:pPr>
    <w:rPr>
      <w:rFonts w:cs="Times New Roman"/>
      <w:iCs/>
      <w:sz w:val="24"/>
    </w:rPr>
  </w:style>
  <w:style w:type="paragraph" w:styleId="List2">
    <w:name w:val="List 2"/>
    <w:basedOn w:val="Normal"/>
    <w:rsid w:val="00474681"/>
    <w:pPr>
      <w:spacing w:after="240"/>
      <w:ind w:left="1440" w:hanging="720"/>
      <w:jc w:val="left"/>
    </w:pPr>
  </w:style>
  <w:style w:type="paragraph" w:customStyle="1" w:styleId="Heading50">
    <w:name w:val="Heading # 5"/>
    <w:basedOn w:val="Heading5"/>
    <w:rsid w:val="00AA3173"/>
    <w:pPr>
      <w:tabs>
        <w:tab w:val="num" w:pos="1008"/>
      </w:tabs>
      <w:spacing w:after="60"/>
      <w:jc w:val="left"/>
    </w:pPr>
    <w:rPr>
      <w:rFonts w:ascii="Times New Roman Bold" w:hAnsi="Times New Roman Bold"/>
      <w:bCs/>
      <w:iCs/>
      <w:szCs w:val="26"/>
    </w:rPr>
  </w:style>
  <w:style w:type="paragraph" w:customStyle="1" w:styleId="Heading2h2H2NPBTimesNewRoman3">
    <w:name w:val="Heading 2h2H2NPB + Times New Roman3"/>
    <w:basedOn w:val="Heading2"/>
    <w:rsid w:val="00CB265B"/>
    <w:pPr>
      <w:ind w:left="0" w:firstLine="0"/>
    </w:pPr>
    <w:rPr>
      <w:bCs/>
    </w:rPr>
  </w:style>
  <w:style w:type="paragraph" w:customStyle="1" w:styleId="Heading2h2H2NPBTimesNewRomanBefore12pt1">
    <w:name w:val="Heading 2h2H2NPB + Times New Roman Before:  12 pt1"/>
    <w:basedOn w:val="Heading2"/>
    <w:rsid w:val="00CB265B"/>
    <w:pPr>
      <w:spacing w:before="240"/>
    </w:pPr>
    <w:rPr>
      <w:bCs/>
    </w:rPr>
  </w:style>
  <w:style w:type="paragraph" w:customStyle="1" w:styleId="Heading2h2H2NPBLeftBefore12ptAfter3pt">
    <w:name w:val="Heading 2h2H2NPB + Left Before:  12 pt After:  3 pt"/>
    <w:basedOn w:val="Heading2"/>
    <w:rsid w:val="005748BD"/>
    <w:pPr>
      <w:spacing w:before="240" w:after="60"/>
      <w:jc w:val="left"/>
    </w:pPr>
    <w:rPr>
      <w:bCs/>
    </w:rPr>
  </w:style>
  <w:style w:type="paragraph" w:customStyle="1" w:styleId="Heading2h2H2NPBTimesNewRoman4">
    <w:name w:val="Heading 2h2H2NPB + Times New Roman4"/>
    <w:basedOn w:val="Heading2"/>
    <w:rsid w:val="009D710B"/>
    <w:rPr>
      <w:bCs/>
    </w:rPr>
  </w:style>
  <w:style w:type="paragraph" w:styleId="BodyText3">
    <w:name w:val="Body Text 3"/>
    <w:basedOn w:val="Normal"/>
    <w:link w:val="BodyText3Char"/>
    <w:rsid w:val="003145D5"/>
    <w:rPr>
      <w:sz w:val="16"/>
      <w:szCs w:val="16"/>
    </w:rPr>
  </w:style>
  <w:style w:type="character" w:customStyle="1" w:styleId="BodyText3Char">
    <w:name w:val="Body Text 3 Char"/>
    <w:basedOn w:val="DefaultParagraphFont"/>
    <w:link w:val="BodyText3"/>
    <w:rsid w:val="00DD0D65"/>
    <w:rPr>
      <w:sz w:val="16"/>
      <w:szCs w:val="16"/>
    </w:rPr>
  </w:style>
  <w:style w:type="paragraph" w:customStyle="1" w:styleId="xl49">
    <w:name w:val="xl49"/>
    <w:basedOn w:val="Normal"/>
    <w:rsid w:val="003145D5"/>
    <w:pPr>
      <w:spacing w:before="100" w:beforeAutospacing="1" w:after="100" w:afterAutospacing="1"/>
      <w:jc w:val="center"/>
      <w:textAlignment w:val="center"/>
    </w:pPr>
    <w:rPr>
      <w:rFonts w:eastAsia="Arial Unicode MS"/>
      <w:szCs w:val="24"/>
    </w:rPr>
  </w:style>
  <w:style w:type="paragraph" w:customStyle="1" w:styleId="Heading4h4H4Before12pt">
    <w:name w:val="Heading 4h4H4 + Before:  12 pt"/>
    <w:basedOn w:val="Heading4"/>
    <w:rsid w:val="00FB31EF"/>
    <w:pPr>
      <w:tabs>
        <w:tab w:val="left" w:pos="1440"/>
      </w:tabs>
    </w:pPr>
    <w:rPr>
      <w:bCs w:val="0"/>
    </w:rPr>
  </w:style>
  <w:style w:type="character" w:customStyle="1" w:styleId="CommentTextChar1">
    <w:name w:val="Comment Text Char1"/>
    <w:basedOn w:val="DefaultParagraphFont"/>
    <w:uiPriority w:val="99"/>
    <w:locked/>
    <w:rsid w:val="00C84356"/>
    <w:rPr>
      <w:rFonts w:ascii="Arial" w:hAnsi="Arial" w:cs="Times New Roman"/>
      <w:sz w:val="20"/>
      <w:szCs w:val="20"/>
    </w:rPr>
  </w:style>
  <w:style w:type="paragraph" w:styleId="ListParagraph">
    <w:name w:val="List Paragraph"/>
    <w:basedOn w:val="Normal"/>
    <w:uiPriority w:val="34"/>
    <w:qFormat/>
    <w:rsid w:val="005C5E91"/>
    <w:pPr>
      <w:ind w:left="720"/>
      <w:contextualSpacing/>
    </w:pPr>
  </w:style>
  <w:style w:type="paragraph" w:styleId="Revision">
    <w:name w:val="Revision"/>
    <w:hidden/>
    <w:uiPriority w:val="99"/>
    <w:semiHidden/>
    <w:rsid w:val="003579C5"/>
    <w:rPr>
      <w:rFonts w:ascii="Arial" w:hAnsi="Arial"/>
      <w:sz w:val="22"/>
    </w:rPr>
  </w:style>
  <w:style w:type="character" w:styleId="PlaceholderText">
    <w:name w:val="Placeholder Text"/>
    <w:basedOn w:val="DefaultParagraphFont"/>
    <w:uiPriority w:val="99"/>
    <w:semiHidden/>
    <w:rsid w:val="000336F2"/>
    <w:rPr>
      <w:color w:val="808080"/>
    </w:rPr>
  </w:style>
  <w:style w:type="character" w:customStyle="1" w:styleId="DeltaViewInsertion">
    <w:name w:val="DeltaView Insertion"/>
    <w:basedOn w:val="DefaultParagraphFont"/>
    <w:rsid w:val="00945CD1"/>
    <w:rPr>
      <w:color w:val="0000FF"/>
      <w:spacing w:val="0"/>
      <w:u w:val="single"/>
    </w:rPr>
  </w:style>
  <w:style w:type="paragraph" w:styleId="MacroText">
    <w:name w:val="macro"/>
    <w:link w:val="MacroTextChar"/>
    <w:rsid w:val="006949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694941"/>
    <w:rPr>
      <w:rFonts w:ascii="Courier New" w:hAnsi="Courier New" w:cs="Courier New"/>
    </w:rPr>
  </w:style>
  <w:style w:type="paragraph" w:styleId="ListBullet">
    <w:name w:val="List Bullet"/>
    <w:basedOn w:val="Normal"/>
    <w:rsid w:val="00AA2D96"/>
    <w:pPr>
      <w:numPr>
        <w:numId w:val="33"/>
      </w:numPr>
      <w:spacing w:after="0"/>
      <w:contextualSpacing/>
      <w:jc w:val="left"/>
    </w:pPr>
    <w:rPr>
      <w:szCs w:val="24"/>
    </w:rPr>
  </w:style>
  <w:style w:type="paragraph" w:customStyle="1" w:styleId="Normal8">
    <w:name w:val="Normal_8"/>
    <w:uiPriority w:val="99"/>
    <w:qFormat/>
    <w:rsid w:val="00904F36"/>
    <w:pPr>
      <w:jc w:val="both"/>
    </w:pPr>
    <w:rPr>
      <w:rFonts w:ascii="Calibri" w:eastAsia="Calibri" w:hAnsi="Calibri" w:cs="Courier New"/>
      <w:sz w:val="24"/>
      <w:szCs w:val="24"/>
    </w:rPr>
  </w:style>
  <w:style w:type="paragraph" w:customStyle="1" w:styleId="Normal25">
    <w:name w:val="Normal_25"/>
    <w:qFormat/>
    <w:rsid w:val="00B847A8"/>
    <w:pPr>
      <w:spacing w:before="120" w:after="120"/>
      <w:jc w:val="both"/>
    </w:pPr>
    <w:rPr>
      <w:sz w:val="24"/>
    </w:rPr>
  </w:style>
  <w:style w:type="paragraph" w:customStyle="1" w:styleId="Normal120">
    <w:name w:val="Normal_120"/>
    <w:qFormat/>
    <w:rsid w:val="001B5D1A"/>
    <w:pPr>
      <w:spacing w:before="120" w:after="120" w:line="300" w:lineRule="auto"/>
    </w:pPr>
    <w:rPr>
      <w:sz w:val="24"/>
    </w:rPr>
  </w:style>
  <w:style w:type="paragraph" w:customStyle="1" w:styleId="Normal303">
    <w:name w:val="Normal_303"/>
    <w:qFormat/>
    <w:rsid w:val="00B348C3"/>
    <w:pPr>
      <w:jc w:val="both"/>
    </w:pPr>
    <w:rPr>
      <w:sz w:val="24"/>
    </w:rPr>
  </w:style>
  <w:style w:type="paragraph" w:customStyle="1" w:styleId="Normal18">
    <w:name w:val="Normal_18"/>
    <w:qFormat/>
    <w:rsid w:val="004735CC"/>
    <w:pPr>
      <w:jc w:val="both"/>
    </w:pPr>
    <w:rPr>
      <w:sz w:val="24"/>
    </w:rPr>
  </w:style>
  <w:style w:type="paragraph" w:styleId="TOCHeading">
    <w:name w:val="TOC Heading"/>
    <w:basedOn w:val="Heading1"/>
    <w:next w:val="Normal"/>
    <w:uiPriority w:val="39"/>
    <w:unhideWhenUsed/>
    <w:qFormat/>
    <w:rsid w:val="00B9499A"/>
    <w:pPr>
      <w:keepLines/>
      <w:spacing w:before="480" w:after="0" w:line="276" w:lineRule="auto"/>
      <w:ind w:left="0" w:firstLine="0"/>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Signature">
    <w:name w:val="Signature"/>
    <w:basedOn w:val="Normal"/>
    <w:link w:val="SignatureChar"/>
    <w:rsid w:val="00E8380F"/>
    <w:pPr>
      <w:spacing w:after="0"/>
      <w:ind w:left="4320"/>
      <w:jc w:val="left"/>
    </w:pPr>
    <w:rPr>
      <w:szCs w:val="24"/>
    </w:rPr>
  </w:style>
  <w:style w:type="character" w:customStyle="1" w:styleId="SignatureChar">
    <w:name w:val="Signature Char"/>
    <w:basedOn w:val="DefaultParagraphFont"/>
    <w:link w:val="Signature"/>
    <w:rsid w:val="00E8380F"/>
    <w:rPr>
      <w:sz w:val="24"/>
      <w:szCs w:val="24"/>
    </w:rPr>
  </w:style>
  <w:style w:type="paragraph" w:styleId="List5">
    <w:name w:val="List 5"/>
    <w:basedOn w:val="Normal"/>
    <w:rsid w:val="009D44AF"/>
    <w:pPr>
      <w:spacing w:after="0"/>
      <w:ind w:left="1800" w:hanging="360"/>
      <w:contextualSpacing/>
      <w:jc w:val="left"/>
    </w:pPr>
    <w:rPr>
      <w:szCs w:val="24"/>
    </w:rPr>
  </w:style>
  <w:style w:type="paragraph" w:styleId="ListContinue3">
    <w:name w:val="List Continue 3"/>
    <w:basedOn w:val="Normal"/>
    <w:rsid w:val="002C3FB5"/>
    <w:pPr>
      <w:ind w:left="1080"/>
      <w:contextualSpacing/>
      <w:jc w:val="left"/>
    </w:pPr>
    <w:rPr>
      <w:szCs w:val="24"/>
    </w:rPr>
  </w:style>
  <w:style w:type="paragraph" w:customStyle="1" w:styleId="SPPBulletedList">
    <w:name w:val="SPP Bulleted List"/>
    <w:basedOn w:val="Normal"/>
    <w:qFormat/>
    <w:rsid w:val="004A2A88"/>
    <w:pPr>
      <w:tabs>
        <w:tab w:val="num" w:pos="360"/>
      </w:tabs>
      <w:spacing w:before="120"/>
      <w:ind w:left="360" w:hanging="360"/>
      <w:jc w:val="left"/>
    </w:pPr>
    <w:rPr>
      <w:rFonts w:ascii="Times New (W1)" w:hAnsi="Times New (W1)"/>
    </w:rPr>
  </w:style>
  <w:style w:type="paragraph" w:customStyle="1" w:styleId="FooterReportName">
    <w:name w:val="Footer Report Name"/>
    <w:basedOn w:val="Normal"/>
    <w:link w:val="FooterReportNameChar"/>
    <w:rsid w:val="004A2A88"/>
    <w:pPr>
      <w:tabs>
        <w:tab w:val="center" w:pos="10080"/>
      </w:tabs>
      <w:spacing w:before="240" w:after="0"/>
      <w:jc w:val="left"/>
    </w:pPr>
    <w:rPr>
      <w:rFonts w:ascii="Cambria" w:hAnsi="Cambria"/>
      <w:noProof/>
      <w:sz w:val="20"/>
    </w:rPr>
  </w:style>
  <w:style w:type="character" w:customStyle="1" w:styleId="FooterReportNameChar">
    <w:name w:val="Footer Report Name Char"/>
    <w:basedOn w:val="DefaultParagraphFont"/>
    <w:link w:val="FooterReportName"/>
    <w:rsid w:val="004A2A88"/>
    <w:rPr>
      <w:rFonts w:ascii="Cambria" w:hAnsi="Cambria"/>
      <w:noProof/>
    </w:rPr>
  </w:style>
  <w:style w:type="character" w:styleId="EndnoteReference">
    <w:name w:val="endnote reference"/>
    <w:rsid w:val="004A2A88"/>
    <w:rPr>
      <w:vertAlign w:val="superscript"/>
    </w:rPr>
  </w:style>
  <w:style w:type="paragraph" w:styleId="EndnoteText">
    <w:name w:val="endnote text"/>
    <w:basedOn w:val="Normal"/>
    <w:link w:val="EndnoteTextChar"/>
    <w:rsid w:val="004A2A88"/>
    <w:pPr>
      <w:spacing w:after="0"/>
      <w:jc w:val="left"/>
    </w:pPr>
    <w:rPr>
      <w:rFonts w:ascii="Times New (W1)" w:hAnsi="Times New (W1)"/>
      <w:szCs w:val="24"/>
    </w:rPr>
  </w:style>
  <w:style w:type="character" w:customStyle="1" w:styleId="EndnoteTextChar">
    <w:name w:val="Endnote Text Char"/>
    <w:basedOn w:val="DefaultParagraphFont"/>
    <w:link w:val="EndnoteText"/>
    <w:rsid w:val="004A2A88"/>
    <w:rPr>
      <w:rFonts w:ascii="Times New (W1)" w:hAnsi="Times New (W1)"/>
      <w:sz w:val="24"/>
      <w:szCs w:val="24"/>
    </w:rPr>
  </w:style>
  <w:style w:type="paragraph" w:styleId="Index1">
    <w:name w:val="index 1"/>
    <w:basedOn w:val="Normal"/>
    <w:rsid w:val="004A2A88"/>
    <w:pPr>
      <w:spacing w:after="0"/>
      <w:jc w:val="left"/>
    </w:pPr>
    <w:rPr>
      <w:rFonts w:ascii="Times New (W1)" w:hAnsi="Times New (W1)"/>
      <w:sz w:val="21"/>
      <w:szCs w:val="24"/>
    </w:rPr>
  </w:style>
  <w:style w:type="paragraph" w:styleId="Index2">
    <w:name w:val="index 2"/>
    <w:basedOn w:val="Normal"/>
    <w:rsid w:val="004A2A88"/>
    <w:pPr>
      <w:spacing w:after="0"/>
      <w:ind w:hanging="240"/>
      <w:jc w:val="left"/>
    </w:pPr>
    <w:rPr>
      <w:rFonts w:ascii="Times New (W1)" w:hAnsi="Times New (W1)"/>
      <w:sz w:val="21"/>
      <w:szCs w:val="24"/>
    </w:rPr>
  </w:style>
  <w:style w:type="paragraph" w:styleId="Index3">
    <w:name w:val="index 3"/>
    <w:basedOn w:val="Normal"/>
    <w:rsid w:val="004A2A88"/>
    <w:pPr>
      <w:spacing w:after="0"/>
      <w:ind w:left="480" w:hanging="240"/>
      <w:jc w:val="left"/>
    </w:pPr>
    <w:rPr>
      <w:rFonts w:ascii="Times New (W1)" w:hAnsi="Times New (W1)"/>
      <w:sz w:val="21"/>
      <w:szCs w:val="24"/>
    </w:rPr>
  </w:style>
  <w:style w:type="paragraph" w:styleId="Index4">
    <w:name w:val="index 4"/>
    <w:basedOn w:val="Normal"/>
    <w:rsid w:val="004A2A88"/>
    <w:pPr>
      <w:spacing w:after="0"/>
      <w:ind w:left="600" w:hanging="240"/>
      <w:jc w:val="left"/>
    </w:pPr>
    <w:rPr>
      <w:rFonts w:ascii="Times New (W1)" w:hAnsi="Times New (W1)"/>
      <w:sz w:val="21"/>
      <w:szCs w:val="24"/>
    </w:rPr>
  </w:style>
  <w:style w:type="paragraph" w:styleId="Index5">
    <w:name w:val="index 5"/>
    <w:basedOn w:val="Normal"/>
    <w:rsid w:val="004A2A88"/>
    <w:pPr>
      <w:spacing w:after="0"/>
      <w:ind w:left="840"/>
      <w:jc w:val="left"/>
    </w:pPr>
    <w:rPr>
      <w:rFonts w:ascii="Times New (W1)" w:hAnsi="Times New (W1)"/>
      <w:sz w:val="21"/>
      <w:szCs w:val="24"/>
    </w:rPr>
  </w:style>
  <w:style w:type="paragraph" w:styleId="IndexHeading">
    <w:name w:val="index heading"/>
    <w:basedOn w:val="Normal"/>
    <w:next w:val="Index1"/>
    <w:rsid w:val="004A2A88"/>
    <w:pPr>
      <w:spacing w:after="0" w:line="480" w:lineRule="atLeast"/>
      <w:jc w:val="left"/>
    </w:pPr>
    <w:rPr>
      <w:rFonts w:ascii="Times New (W1)" w:hAnsi="Times New (W1)"/>
      <w:spacing w:val="-5"/>
      <w:sz w:val="28"/>
      <w:szCs w:val="24"/>
    </w:rPr>
  </w:style>
  <w:style w:type="paragraph" w:customStyle="1" w:styleId="SPPNumberedList">
    <w:name w:val="SPP Numbered List"/>
    <w:basedOn w:val="Normal"/>
    <w:rsid w:val="004A2A88"/>
    <w:pPr>
      <w:tabs>
        <w:tab w:val="num" w:pos="360"/>
      </w:tabs>
      <w:spacing w:before="120"/>
      <w:ind w:left="360" w:hanging="360"/>
      <w:jc w:val="left"/>
    </w:pPr>
    <w:rPr>
      <w:rFonts w:ascii="Times New (W1)" w:hAnsi="Times New (W1)"/>
    </w:rPr>
  </w:style>
  <w:style w:type="paragraph" w:styleId="TableofAuthorities">
    <w:name w:val="table of authorities"/>
    <w:basedOn w:val="Normal"/>
    <w:rsid w:val="004A2A88"/>
    <w:pPr>
      <w:tabs>
        <w:tab w:val="right" w:leader="dot" w:pos="7560"/>
      </w:tabs>
      <w:spacing w:after="0"/>
      <w:jc w:val="left"/>
    </w:pPr>
    <w:rPr>
      <w:rFonts w:ascii="Times New (W1)" w:hAnsi="Times New (W1)"/>
      <w:szCs w:val="24"/>
    </w:rPr>
  </w:style>
  <w:style w:type="paragraph" w:styleId="TOAHeading">
    <w:name w:val="toa heading"/>
    <w:basedOn w:val="Normal"/>
    <w:next w:val="TableofAuthorities"/>
    <w:rsid w:val="004A2A88"/>
    <w:pPr>
      <w:keepNext/>
      <w:spacing w:after="0" w:line="720" w:lineRule="atLeast"/>
      <w:jc w:val="left"/>
    </w:pPr>
    <w:rPr>
      <w:rFonts w:ascii="Times New (W1)" w:hAnsi="Times New (W1)"/>
      <w:caps/>
      <w:spacing w:val="-10"/>
      <w:kern w:val="28"/>
      <w:szCs w:val="24"/>
    </w:rPr>
  </w:style>
  <w:style w:type="table" w:customStyle="1" w:styleId="MediumList11">
    <w:name w:val="Medium List 11"/>
    <w:basedOn w:val="TableNormal"/>
    <w:uiPriority w:val="65"/>
    <w:rsid w:val="004A2A88"/>
    <w:rPr>
      <w:rFonts w:ascii="Times New (W1)" w:hAnsi="Times New (W1)"/>
      <w:color w:val="000000" w:themeColor="text1"/>
      <w:sz w:val="24"/>
      <w:szCs w:val="24"/>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4A2A88"/>
    <w:pPr>
      <w:pBdr>
        <w:bottom w:val="single" w:sz="4" w:space="4" w:color="4F81BD" w:themeColor="accent1"/>
      </w:pBdr>
      <w:spacing w:before="200" w:after="280"/>
      <w:ind w:left="936" w:right="936"/>
      <w:jc w:val="left"/>
    </w:pPr>
    <w:rPr>
      <w:rFonts w:ascii="Times New (W1)" w:hAnsi="Times New (W1)"/>
      <w:b/>
      <w:bCs/>
      <w:i/>
      <w:iCs/>
      <w:color w:val="4F81BD" w:themeColor="accent1"/>
      <w:szCs w:val="24"/>
    </w:rPr>
  </w:style>
  <w:style w:type="character" w:customStyle="1" w:styleId="IntenseQuoteChar">
    <w:name w:val="Intense Quote Char"/>
    <w:basedOn w:val="DefaultParagraphFont"/>
    <w:link w:val="IntenseQuote"/>
    <w:uiPriority w:val="30"/>
    <w:rsid w:val="004A2A88"/>
    <w:rPr>
      <w:rFonts w:ascii="Times New (W1)" w:hAnsi="Times New (W1)"/>
      <w:b/>
      <w:bCs/>
      <w:i/>
      <w:iCs/>
      <w:color w:val="4F81BD" w:themeColor="accent1"/>
      <w:sz w:val="24"/>
      <w:szCs w:val="24"/>
    </w:rPr>
  </w:style>
  <w:style w:type="paragraph" w:customStyle="1" w:styleId="PJMHeading2">
    <w:name w:val="PJM_Heading_2"/>
    <w:basedOn w:val="Normal"/>
    <w:rsid w:val="004A2A88"/>
    <w:pPr>
      <w:spacing w:before="240" w:after="240"/>
      <w:ind w:left="-90"/>
      <w:jc w:val="left"/>
    </w:pPr>
    <w:rPr>
      <w:rFonts w:ascii="Arial" w:hAnsi="Arial" w:cs="Arial"/>
      <w:b/>
      <w:sz w:val="28"/>
      <w:szCs w:val="28"/>
    </w:rPr>
  </w:style>
  <w:style w:type="paragraph" w:customStyle="1" w:styleId="PJMBulletedOutline1">
    <w:name w:val="PJM_Bulleted_Outline_1"/>
    <w:link w:val="PJMBulletedOutline1Char"/>
    <w:rsid w:val="004A2A88"/>
    <w:pPr>
      <w:numPr>
        <w:numId w:val="41"/>
      </w:numPr>
      <w:spacing w:before="120" w:after="120"/>
    </w:pPr>
    <w:rPr>
      <w:rFonts w:ascii="Arial" w:hAnsi="Arial"/>
      <w:sz w:val="22"/>
    </w:rPr>
  </w:style>
  <w:style w:type="character" w:customStyle="1" w:styleId="PJMBulletedOutline1Char">
    <w:name w:val="PJM_Bulleted_Outline_1 Char"/>
    <w:link w:val="PJMBulletedOutline1"/>
    <w:rsid w:val="004A2A88"/>
    <w:rPr>
      <w:rFonts w:ascii="Arial" w:hAnsi="Arial"/>
      <w:sz w:val="22"/>
    </w:rPr>
  </w:style>
  <w:style w:type="paragraph" w:customStyle="1" w:styleId="PJMNormal">
    <w:name w:val="PJM_Normal"/>
    <w:link w:val="PJMNormalChar2"/>
    <w:autoRedefine/>
    <w:rsid w:val="0012236C"/>
    <w:pPr>
      <w:spacing w:before="120" w:after="120" w:line="300" w:lineRule="auto"/>
      <w:ind w:left="-86"/>
      <w:jc w:val="both"/>
    </w:pPr>
    <w:rPr>
      <w:iCs/>
      <w:sz w:val="24"/>
      <w:szCs w:val="24"/>
    </w:rPr>
  </w:style>
  <w:style w:type="character" w:customStyle="1" w:styleId="PJMNormalChar2">
    <w:name w:val="PJM_Normal Char2"/>
    <w:link w:val="PJMNormal"/>
    <w:rsid w:val="00EC4F11"/>
    <w:rPr>
      <w:iCs/>
      <w:sz w:val="24"/>
      <w:szCs w:val="24"/>
    </w:rPr>
  </w:style>
  <w:style w:type="paragraph" w:customStyle="1" w:styleId="PJMHeading3">
    <w:name w:val="PJM_Heading_3"/>
    <w:basedOn w:val="Normal"/>
    <w:rsid w:val="004A2A88"/>
    <w:pPr>
      <w:spacing w:before="240"/>
      <w:ind w:left="-86"/>
      <w:jc w:val="left"/>
    </w:pPr>
    <w:rPr>
      <w:rFonts w:ascii="Arial" w:hAnsi="Arial" w:cs="Arial"/>
      <w:b/>
      <w:szCs w:val="24"/>
    </w:rPr>
  </w:style>
  <w:style w:type="paragraph" w:customStyle="1" w:styleId="StylePJMFormulaCentered">
    <w:name w:val="Style PJM_Formula + Centered"/>
    <w:basedOn w:val="Normal"/>
    <w:rsid w:val="004A2A88"/>
    <w:pPr>
      <w:spacing w:before="120"/>
      <w:jc w:val="center"/>
    </w:pPr>
    <w:rPr>
      <w:rFonts w:ascii="Cambria Math" w:hAnsi="Cambria Math"/>
      <w:iCs/>
      <w:sz w:val="22"/>
      <w:szCs w:val="22"/>
    </w:rPr>
  </w:style>
  <w:style w:type="paragraph" w:styleId="DocumentMap">
    <w:name w:val="Document Map"/>
    <w:basedOn w:val="Normal"/>
    <w:link w:val="DocumentMapChar"/>
    <w:rsid w:val="004A2A88"/>
    <w:pPr>
      <w:spacing w:after="0"/>
    </w:pPr>
    <w:rPr>
      <w:rFonts w:ascii="Tahoma" w:hAnsi="Tahoma" w:cs="Tahoma"/>
      <w:sz w:val="16"/>
      <w:szCs w:val="16"/>
    </w:rPr>
  </w:style>
  <w:style w:type="character" w:customStyle="1" w:styleId="DocumentMapChar">
    <w:name w:val="Document Map Char"/>
    <w:basedOn w:val="DefaultParagraphFont"/>
    <w:link w:val="DocumentMap"/>
    <w:rsid w:val="004A2A88"/>
    <w:rPr>
      <w:rFonts w:ascii="Tahoma" w:hAnsi="Tahoma" w:cs="Tahoma"/>
      <w:sz w:val="16"/>
      <w:szCs w:val="16"/>
    </w:rPr>
  </w:style>
  <w:style w:type="paragraph" w:customStyle="1" w:styleId="Normal91">
    <w:name w:val="Normal_91"/>
    <w:qFormat/>
    <w:rsid w:val="004A2A88"/>
    <w:pPr>
      <w:jc w:val="both"/>
    </w:pPr>
    <w:rPr>
      <w:rFonts w:cs="Courier New"/>
      <w:sz w:val="24"/>
      <w:szCs w:val="24"/>
    </w:rPr>
  </w:style>
  <w:style w:type="table" w:customStyle="1" w:styleId="TableGrid1">
    <w:name w:val="Table Grid1"/>
    <w:basedOn w:val="TableNormal"/>
    <w:next w:val="TableGrid"/>
    <w:rsid w:val="000437B1"/>
    <w:pPr>
      <w:spacing w:after="120"/>
      <w:jc w:val="both"/>
    </w:pPr>
    <w:tblPr/>
  </w:style>
  <w:style w:type="paragraph" w:styleId="NormalWeb">
    <w:name w:val="Normal (Web)"/>
    <w:basedOn w:val="Normal"/>
    <w:rsid w:val="00E2448C"/>
    <w:pPr>
      <w:spacing w:after="0"/>
      <w:jc w:val="left"/>
    </w:pPr>
    <w:rPr>
      <w:szCs w:val="24"/>
    </w:rPr>
  </w:style>
  <w:style w:type="paragraph" w:styleId="BlockText">
    <w:name w:val="Block Text"/>
    <w:basedOn w:val="Normal"/>
    <w:rsid w:val="00DD0D65"/>
    <w:pPr>
      <w:ind w:left="1440" w:right="1440"/>
      <w:jc w:val="left"/>
    </w:pPr>
    <w:rPr>
      <w:szCs w:val="24"/>
    </w:rPr>
  </w:style>
  <w:style w:type="paragraph" w:styleId="BodyText2">
    <w:name w:val="Body Text 2"/>
    <w:basedOn w:val="Normal"/>
    <w:link w:val="BodyText2Char"/>
    <w:rsid w:val="00DD0D65"/>
    <w:pPr>
      <w:spacing w:line="480" w:lineRule="auto"/>
      <w:jc w:val="left"/>
    </w:pPr>
    <w:rPr>
      <w:szCs w:val="24"/>
    </w:rPr>
  </w:style>
  <w:style w:type="character" w:customStyle="1" w:styleId="BodyText2Char">
    <w:name w:val="Body Text 2 Char"/>
    <w:basedOn w:val="DefaultParagraphFont"/>
    <w:link w:val="BodyText2"/>
    <w:rsid w:val="00DD0D65"/>
    <w:rPr>
      <w:sz w:val="24"/>
      <w:szCs w:val="24"/>
    </w:rPr>
  </w:style>
  <w:style w:type="paragraph" w:styleId="BodyTextFirstIndent">
    <w:name w:val="Body Text First Indent"/>
    <w:basedOn w:val="BodyText"/>
    <w:link w:val="BodyTextFirstIndentChar"/>
    <w:rsid w:val="00DD0D65"/>
    <w:pPr>
      <w:spacing w:before="0" w:after="120"/>
      <w:ind w:firstLine="210"/>
      <w:jc w:val="left"/>
    </w:pPr>
    <w:rPr>
      <w:rFonts w:cs="Times New Roman"/>
      <w:sz w:val="24"/>
      <w:szCs w:val="24"/>
    </w:rPr>
  </w:style>
  <w:style w:type="character" w:customStyle="1" w:styleId="BodyTextFirstIndentChar">
    <w:name w:val="Body Text First Indent Char"/>
    <w:basedOn w:val="BodyTextChar"/>
    <w:link w:val="BodyTextFirstIndent"/>
    <w:rsid w:val="00DD0D65"/>
    <w:rPr>
      <w:rFonts w:ascii="Arial" w:hAnsi="Arial" w:cs="Arial"/>
      <w:sz w:val="24"/>
      <w:szCs w:val="24"/>
      <w:lang w:val="en-US" w:eastAsia="en-US" w:bidi="ar-SA"/>
    </w:rPr>
  </w:style>
  <w:style w:type="paragraph" w:styleId="BodyTextIndent3">
    <w:name w:val="Body Text Indent 3"/>
    <w:basedOn w:val="Normal"/>
    <w:link w:val="BodyTextIndent3Char"/>
    <w:rsid w:val="00DD0D65"/>
    <w:pPr>
      <w:ind w:left="360"/>
      <w:jc w:val="left"/>
    </w:pPr>
    <w:rPr>
      <w:sz w:val="16"/>
      <w:szCs w:val="16"/>
    </w:rPr>
  </w:style>
  <w:style w:type="character" w:customStyle="1" w:styleId="BodyTextIndent3Char">
    <w:name w:val="Body Text Indent 3 Char"/>
    <w:basedOn w:val="DefaultParagraphFont"/>
    <w:link w:val="BodyTextIndent3"/>
    <w:rsid w:val="00DD0D65"/>
    <w:rPr>
      <w:sz w:val="16"/>
      <w:szCs w:val="16"/>
    </w:rPr>
  </w:style>
  <w:style w:type="paragraph" w:styleId="Closing">
    <w:name w:val="Closing"/>
    <w:basedOn w:val="Normal"/>
    <w:link w:val="ClosingChar"/>
    <w:rsid w:val="00DD0D65"/>
    <w:pPr>
      <w:spacing w:after="0"/>
      <w:ind w:left="4320"/>
      <w:jc w:val="left"/>
    </w:pPr>
    <w:rPr>
      <w:szCs w:val="24"/>
    </w:rPr>
  </w:style>
  <w:style w:type="character" w:customStyle="1" w:styleId="ClosingChar">
    <w:name w:val="Closing Char"/>
    <w:basedOn w:val="DefaultParagraphFont"/>
    <w:link w:val="Closing"/>
    <w:rsid w:val="00DD0D65"/>
    <w:rPr>
      <w:sz w:val="24"/>
      <w:szCs w:val="24"/>
    </w:rPr>
  </w:style>
  <w:style w:type="paragraph" w:styleId="Date">
    <w:name w:val="Date"/>
    <w:basedOn w:val="Normal"/>
    <w:next w:val="Normal"/>
    <w:link w:val="DateChar"/>
    <w:rsid w:val="00DD0D65"/>
    <w:pPr>
      <w:spacing w:after="0"/>
      <w:jc w:val="left"/>
    </w:pPr>
    <w:rPr>
      <w:szCs w:val="24"/>
    </w:rPr>
  </w:style>
  <w:style w:type="character" w:customStyle="1" w:styleId="DateChar">
    <w:name w:val="Date Char"/>
    <w:basedOn w:val="DefaultParagraphFont"/>
    <w:link w:val="Date"/>
    <w:rsid w:val="00DD0D65"/>
    <w:rPr>
      <w:sz w:val="24"/>
      <w:szCs w:val="24"/>
    </w:rPr>
  </w:style>
  <w:style w:type="paragraph" w:styleId="E-mailSignature">
    <w:name w:val="E-mail Signature"/>
    <w:basedOn w:val="Normal"/>
    <w:link w:val="E-mailSignatureChar"/>
    <w:rsid w:val="00DD0D65"/>
    <w:pPr>
      <w:spacing w:after="0"/>
      <w:jc w:val="left"/>
    </w:pPr>
    <w:rPr>
      <w:szCs w:val="24"/>
    </w:rPr>
  </w:style>
  <w:style w:type="character" w:customStyle="1" w:styleId="E-mailSignatureChar">
    <w:name w:val="E-mail Signature Char"/>
    <w:basedOn w:val="DefaultParagraphFont"/>
    <w:link w:val="E-mailSignature"/>
    <w:rsid w:val="00DD0D65"/>
    <w:rPr>
      <w:sz w:val="24"/>
      <w:szCs w:val="24"/>
    </w:rPr>
  </w:style>
  <w:style w:type="paragraph" w:styleId="EnvelopeAddress">
    <w:name w:val="envelope address"/>
    <w:basedOn w:val="Normal"/>
    <w:rsid w:val="00DD0D65"/>
    <w:pPr>
      <w:framePr w:w="7920" w:h="1980" w:hRule="exact" w:hSpace="180" w:wrap="auto" w:hAnchor="page" w:xAlign="center" w:yAlign="bottom"/>
      <w:spacing w:after="0"/>
      <w:ind w:left="2880"/>
      <w:jc w:val="left"/>
    </w:pPr>
    <w:rPr>
      <w:rFonts w:ascii="Cambria" w:hAnsi="Cambria"/>
      <w:szCs w:val="24"/>
    </w:rPr>
  </w:style>
  <w:style w:type="paragraph" w:styleId="EnvelopeReturn">
    <w:name w:val="envelope return"/>
    <w:basedOn w:val="Normal"/>
    <w:rsid w:val="00DD0D65"/>
    <w:pPr>
      <w:spacing w:after="0"/>
      <w:jc w:val="left"/>
    </w:pPr>
    <w:rPr>
      <w:rFonts w:ascii="Cambria" w:hAnsi="Cambria"/>
      <w:sz w:val="20"/>
    </w:rPr>
  </w:style>
  <w:style w:type="paragraph" w:styleId="HTMLAddress">
    <w:name w:val="HTML Address"/>
    <w:basedOn w:val="Normal"/>
    <w:link w:val="HTMLAddressChar"/>
    <w:rsid w:val="00DD0D65"/>
    <w:pPr>
      <w:spacing w:after="0"/>
      <w:jc w:val="left"/>
    </w:pPr>
    <w:rPr>
      <w:i/>
      <w:iCs/>
      <w:szCs w:val="24"/>
    </w:rPr>
  </w:style>
  <w:style w:type="character" w:customStyle="1" w:styleId="HTMLAddressChar">
    <w:name w:val="HTML Address Char"/>
    <w:basedOn w:val="DefaultParagraphFont"/>
    <w:link w:val="HTMLAddress"/>
    <w:rsid w:val="00DD0D65"/>
    <w:rPr>
      <w:i/>
      <w:iCs/>
      <w:sz w:val="24"/>
      <w:szCs w:val="24"/>
    </w:rPr>
  </w:style>
  <w:style w:type="paragraph" w:styleId="HTMLPreformatted">
    <w:name w:val="HTML Preformatted"/>
    <w:basedOn w:val="Normal"/>
    <w:link w:val="HTMLPreformattedChar"/>
    <w:rsid w:val="00DD0D65"/>
    <w:pPr>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rsid w:val="00DD0D65"/>
    <w:rPr>
      <w:rFonts w:ascii="Courier New" w:hAnsi="Courier New" w:cs="Courier New"/>
    </w:rPr>
  </w:style>
  <w:style w:type="paragraph" w:styleId="Index6">
    <w:name w:val="index 6"/>
    <w:basedOn w:val="Normal"/>
    <w:next w:val="Normal"/>
    <w:autoRedefine/>
    <w:rsid w:val="00DD0D65"/>
    <w:pPr>
      <w:spacing w:after="0"/>
      <w:ind w:left="1440" w:hanging="240"/>
      <w:jc w:val="left"/>
    </w:pPr>
    <w:rPr>
      <w:szCs w:val="24"/>
    </w:rPr>
  </w:style>
  <w:style w:type="paragraph" w:styleId="Index7">
    <w:name w:val="index 7"/>
    <w:basedOn w:val="Normal"/>
    <w:next w:val="Normal"/>
    <w:autoRedefine/>
    <w:rsid w:val="00DD0D65"/>
    <w:pPr>
      <w:spacing w:after="0"/>
      <w:ind w:left="1680" w:hanging="240"/>
      <w:jc w:val="left"/>
    </w:pPr>
    <w:rPr>
      <w:szCs w:val="24"/>
    </w:rPr>
  </w:style>
  <w:style w:type="paragraph" w:styleId="Index8">
    <w:name w:val="index 8"/>
    <w:basedOn w:val="Normal"/>
    <w:next w:val="Normal"/>
    <w:autoRedefine/>
    <w:rsid w:val="00DD0D65"/>
    <w:pPr>
      <w:spacing w:after="0"/>
      <w:ind w:left="1920" w:hanging="240"/>
      <w:jc w:val="left"/>
    </w:pPr>
    <w:rPr>
      <w:szCs w:val="24"/>
    </w:rPr>
  </w:style>
  <w:style w:type="paragraph" w:styleId="Index9">
    <w:name w:val="index 9"/>
    <w:basedOn w:val="Normal"/>
    <w:next w:val="Normal"/>
    <w:autoRedefine/>
    <w:rsid w:val="00DD0D65"/>
    <w:pPr>
      <w:spacing w:after="0"/>
      <w:ind w:left="2160" w:hanging="240"/>
      <w:jc w:val="left"/>
    </w:pPr>
    <w:rPr>
      <w:szCs w:val="24"/>
    </w:rPr>
  </w:style>
  <w:style w:type="paragraph" w:styleId="List">
    <w:name w:val="List"/>
    <w:basedOn w:val="Normal"/>
    <w:rsid w:val="00DD0D65"/>
    <w:pPr>
      <w:spacing w:after="0"/>
      <w:ind w:left="360" w:hanging="360"/>
      <w:contextualSpacing/>
      <w:jc w:val="left"/>
    </w:pPr>
    <w:rPr>
      <w:szCs w:val="24"/>
    </w:rPr>
  </w:style>
  <w:style w:type="paragraph" w:styleId="List3">
    <w:name w:val="List 3"/>
    <w:basedOn w:val="Normal"/>
    <w:rsid w:val="00DD0D65"/>
    <w:pPr>
      <w:spacing w:after="0"/>
      <w:ind w:left="1080" w:hanging="360"/>
      <w:contextualSpacing/>
      <w:jc w:val="left"/>
    </w:pPr>
    <w:rPr>
      <w:szCs w:val="24"/>
    </w:rPr>
  </w:style>
  <w:style w:type="paragraph" w:styleId="List4">
    <w:name w:val="List 4"/>
    <w:basedOn w:val="Normal"/>
    <w:rsid w:val="00DD0D65"/>
    <w:pPr>
      <w:spacing w:after="0"/>
      <w:ind w:left="1440" w:hanging="360"/>
      <w:contextualSpacing/>
      <w:jc w:val="left"/>
    </w:pPr>
    <w:rPr>
      <w:szCs w:val="24"/>
    </w:rPr>
  </w:style>
  <w:style w:type="paragraph" w:styleId="ListBullet2">
    <w:name w:val="List Bullet 2"/>
    <w:basedOn w:val="Normal"/>
    <w:rsid w:val="00DD0D65"/>
    <w:pPr>
      <w:numPr>
        <w:numId w:val="47"/>
      </w:numPr>
      <w:spacing w:after="0"/>
      <w:contextualSpacing/>
      <w:jc w:val="left"/>
    </w:pPr>
    <w:rPr>
      <w:szCs w:val="24"/>
    </w:rPr>
  </w:style>
  <w:style w:type="paragraph" w:styleId="ListBullet3">
    <w:name w:val="List Bullet 3"/>
    <w:basedOn w:val="Normal"/>
    <w:rsid w:val="00DD0D65"/>
    <w:pPr>
      <w:numPr>
        <w:numId w:val="48"/>
      </w:numPr>
      <w:spacing w:after="0"/>
      <w:contextualSpacing/>
      <w:jc w:val="left"/>
    </w:pPr>
    <w:rPr>
      <w:szCs w:val="24"/>
    </w:rPr>
  </w:style>
  <w:style w:type="paragraph" w:styleId="ListBullet4">
    <w:name w:val="List Bullet 4"/>
    <w:basedOn w:val="Normal"/>
    <w:rsid w:val="00DD0D65"/>
    <w:pPr>
      <w:numPr>
        <w:numId w:val="49"/>
      </w:numPr>
      <w:spacing w:after="0"/>
      <w:contextualSpacing/>
      <w:jc w:val="left"/>
    </w:pPr>
    <w:rPr>
      <w:szCs w:val="24"/>
    </w:rPr>
  </w:style>
  <w:style w:type="paragraph" w:styleId="ListBullet5">
    <w:name w:val="List Bullet 5"/>
    <w:basedOn w:val="Normal"/>
    <w:rsid w:val="00DD0D65"/>
    <w:pPr>
      <w:numPr>
        <w:numId w:val="50"/>
      </w:numPr>
      <w:spacing w:after="0"/>
      <w:contextualSpacing/>
      <w:jc w:val="left"/>
    </w:pPr>
    <w:rPr>
      <w:szCs w:val="24"/>
    </w:rPr>
  </w:style>
  <w:style w:type="paragraph" w:styleId="ListContinue">
    <w:name w:val="List Continue"/>
    <w:basedOn w:val="Normal"/>
    <w:rsid w:val="00DD0D65"/>
    <w:pPr>
      <w:ind w:left="360"/>
      <w:contextualSpacing/>
      <w:jc w:val="left"/>
    </w:pPr>
    <w:rPr>
      <w:szCs w:val="24"/>
    </w:rPr>
  </w:style>
  <w:style w:type="paragraph" w:styleId="ListContinue2">
    <w:name w:val="List Continue 2"/>
    <w:basedOn w:val="Normal"/>
    <w:rsid w:val="00DD0D65"/>
    <w:pPr>
      <w:ind w:left="720"/>
      <w:contextualSpacing/>
      <w:jc w:val="left"/>
    </w:pPr>
    <w:rPr>
      <w:szCs w:val="24"/>
    </w:rPr>
  </w:style>
  <w:style w:type="paragraph" w:styleId="ListContinue4">
    <w:name w:val="List Continue 4"/>
    <w:basedOn w:val="Normal"/>
    <w:rsid w:val="00DD0D65"/>
    <w:pPr>
      <w:ind w:left="1440"/>
      <w:contextualSpacing/>
      <w:jc w:val="left"/>
    </w:pPr>
    <w:rPr>
      <w:szCs w:val="24"/>
    </w:rPr>
  </w:style>
  <w:style w:type="paragraph" w:styleId="ListContinue5">
    <w:name w:val="List Continue 5"/>
    <w:basedOn w:val="Normal"/>
    <w:rsid w:val="00DD0D65"/>
    <w:pPr>
      <w:ind w:left="1800"/>
      <w:contextualSpacing/>
      <w:jc w:val="left"/>
    </w:pPr>
    <w:rPr>
      <w:szCs w:val="24"/>
    </w:rPr>
  </w:style>
  <w:style w:type="paragraph" w:styleId="ListNumber">
    <w:name w:val="List Number"/>
    <w:basedOn w:val="Normal"/>
    <w:rsid w:val="00DD0D65"/>
    <w:pPr>
      <w:numPr>
        <w:numId w:val="51"/>
      </w:numPr>
      <w:spacing w:after="0"/>
      <w:contextualSpacing/>
      <w:jc w:val="left"/>
    </w:pPr>
    <w:rPr>
      <w:szCs w:val="24"/>
    </w:rPr>
  </w:style>
  <w:style w:type="paragraph" w:styleId="ListNumber2">
    <w:name w:val="List Number 2"/>
    <w:basedOn w:val="Normal"/>
    <w:rsid w:val="00DD0D65"/>
    <w:pPr>
      <w:numPr>
        <w:numId w:val="52"/>
      </w:numPr>
      <w:spacing w:after="0"/>
      <w:contextualSpacing/>
      <w:jc w:val="left"/>
    </w:pPr>
    <w:rPr>
      <w:szCs w:val="24"/>
    </w:rPr>
  </w:style>
  <w:style w:type="paragraph" w:styleId="ListNumber3">
    <w:name w:val="List Number 3"/>
    <w:basedOn w:val="Normal"/>
    <w:rsid w:val="00DD0D65"/>
    <w:pPr>
      <w:numPr>
        <w:numId w:val="53"/>
      </w:numPr>
      <w:spacing w:after="0"/>
      <w:contextualSpacing/>
      <w:jc w:val="left"/>
    </w:pPr>
    <w:rPr>
      <w:szCs w:val="24"/>
    </w:rPr>
  </w:style>
  <w:style w:type="paragraph" w:styleId="ListNumber4">
    <w:name w:val="List Number 4"/>
    <w:basedOn w:val="Normal"/>
    <w:rsid w:val="00DD0D65"/>
    <w:pPr>
      <w:numPr>
        <w:numId w:val="54"/>
      </w:numPr>
      <w:spacing w:after="0"/>
      <w:contextualSpacing/>
      <w:jc w:val="left"/>
    </w:pPr>
    <w:rPr>
      <w:szCs w:val="24"/>
    </w:rPr>
  </w:style>
  <w:style w:type="paragraph" w:styleId="ListNumber5">
    <w:name w:val="List Number 5"/>
    <w:basedOn w:val="Normal"/>
    <w:rsid w:val="00DD0D65"/>
    <w:pPr>
      <w:numPr>
        <w:numId w:val="55"/>
      </w:numPr>
      <w:spacing w:after="0"/>
      <w:contextualSpacing/>
      <w:jc w:val="left"/>
    </w:pPr>
    <w:rPr>
      <w:szCs w:val="24"/>
    </w:rPr>
  </w:style>
  <w:style w:type="paragraph" w:styleId="MessageHeader">
    <w:name w:val="Message Header"/>
    <w:basedOn w:val="Normal"/>
    <w:link w:val="MessageHeaderChar"/>
    <w:rsid w:val="00DD0D65"/>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mbria" w:hAnsi="Cambria"/>
      <w:szCs w:val="24"/>
    </w:rPr>
  </w:style>
  <w:style w:type="character" w:customStyle="1" w:styleId="MessageHeaderChar">
    <w:name w:val="Message Header Char"/>
    <w:basedOn w:val="DefaultParagraphFont"/>
    <w:link w:val="MessageHeader"/>
    <w:rsid w:val="00DD0D65"/>
    <w:rPr>
      <w:rFonts w:ascii="Cambria" w:hAnsi="Cambria"/>
      <w:sz w:val="24"/>
      <w:szCs w:val="24"/>
      <w:shd w:val="pct20" w:color="auto" w:fill="auto"/>
    </w:rPr>
  </w:style>
  <w:style w:type="paragraph" w:styleId="NoSpacing">
    <w:name w:val="No Spacing"/>
    <w:uiPriority w:val="1"/>
    <w:qFormat/>
    <w:rsid w:val="00DD0D65"/>
    <w:rPr>
      <w:sz w:val="24"/>
      <w:szCs w:val="24"/>
    </w:rPr>
  </w:style>
  <w:style w:type="paragraph" w:styleId="NormalIndent">
    <w:name w:val="Normal Indent"/>
    <w:basedOn w:val="Normal"/>
    <w:rsid w:val="00DD0D65"/>
    <w:pPr>
      <w:spacing w:after="0"/>
      <w:ind w:left="720"/>
      <w:jc w:val="left"/>
    </w:pPr>
    <w:rPr>
      <w:szCs w:val="24"/>
    </w:rPr>
  </w:style>
  <w:style w:type="paragraph" w:styleId="NoteHeading">
    <w:name w:val="Note Heading"/>
    <w:basedOn w:val="Normal"/>
    <w:next w:val="Normal"/>
    <w:link w:val="NoteHeadingChar"/>
    <w:rsid w:val="00DD0D65"/>
    <w:pPr>
      <w:spacing w:after="0"/>
      <w:jc w:val="left"/>
    </w:pPr>
    <w:rPr>
      <w:szCs w:val="24"/>
    </w:rPr>
  </w:style>
  <w:style w:type="character" w:customStyle="1" w:styleId="NoteHeadingChar">
    <w:name w:val="Note Heading Char"/>
    <w:basedOn w:val="DefaultParagraphFont"/>
    <w:link w:val="NoteHeading"/>
    <w:rsid w:val="00DD0D65"/>
    <w:rPr>
      <w:sz w:val="24"/>
      <w:szCs w:val="24"/>
    </w:rPr>
  </w:style>
  <w:style w:type="paragraph" w:styleId="Quote">
    <w:name w:val="Quote"/>
    <w:basedOn w:val="Normal"/>
    <w:next w:val="Normal"/>
    <w:link w:val="QuoteChar"/>
    <w:uiPriority w:val="29"/>
    <w:qFormat/>
    <w:rsid w:val="00DD0D65"/>
    <w:pPr>
      <w:spacing w:after="0"/>
      <w:jc w:val="left"/>
    </w:pPr>
    <w:rPr>
      <w:i/>
      <w:iCs/>
      <w:color w:val="000000"/>
      <w:szCs w:val="24"/>
    </w:rPr>
  </w:style>
  <w:style w:type="character" w:customStyle="1" w:styleId="QuoteChar">
    <w:name w:val="Quote Char"/>
    <w:basedOn w:val="DefaultParagraphFont"/>
    <w:link w:val="Quote"/>
    <w:uiPriority w:val="29"/>
    <w:rsid w:val="00DD0D65"/>
    <w:rPr>
      <w:i/>
      <w:iCs/>
      <w:color w:val="000000"/>
      <w:sz w:val="24"/>
      <w:szCs w:val="24"/>
    </w:rPr>
  </w:style>
  <w:style w:type="paragraph" w:styleId="Salutation">
    <w:name w:val="Salutation"/>
    <w:basedOn w:val="Normal"/>
    <w:next w:val="Normal"/>
    <w:link w:val="SalutationChar"/>
    <w:rsid w:val="00DD0D65"/>
    <w:pPr>
      <w:spacing w:after="0"/>
      <w:jc w:val="left"/>
    </w:pPr>
    <w:rPr>
      <w:szCs w:val="24"/>
    </w:rPr>
  </w:style>
  <w:style w:type="character" w:customStyle="1" w:styleId="SalutationChar">
    <w:name w:val="Salutation Char"/>
    <w:basedOn w:val="DefaultParagraphFont"/>
    <w:link w:val="Salutation"/>
    <w:rsid w:val="00DD0D65"/>
    <w:rPr>
      <w:sz w:val="24"/>
      <w:szCs w:val="24"/>
    </w:rPr>
  </w:style>
  <w:style w:type="paragraph" w:customStyle="1" w:styleId="NormalArial">
    <w:name w:val="Normal+Arial"/>
    <w:basedOn w:val="Normal"/>
    <w:rsid w:val="00DD0D65"/>
    <w:pPr>
      <w:spacing w:after="0"/>
      <w:jc w:val="left"/>
    </w:pPr>
    <w:rPr>
      <w:rFonts w:ascii="Arial" w:hAnsi="Arial"/>
      <w:szCs w:val="24"/>
    </w:rPr>
  </w:style>
  <w:style w:type="paragraph" w:styleId="Bibliography">
    <w:name w:val="Bibliography"/>
    <w:basedOn w:val="Normal"/>
    <w:next w:val="Normal"/>
    <w:uiPriority w:val="37"/>
    <w:semiHidden/>
    <w:unhideWhenUsed/>
    <w:rsid w:val="00B3552B"/>
    <w:pPr>
      <w:spacing w:after="0"/>
      <w:jc w:val="left"/>
    </w:pPr>
    <w:rPr>
      <w:szCs w:val="24"/>
    </w:rPr>
  </w:style>
  <w:style w:type="paragraph" w:customStyle="1" w:styleId="Header7">
    <w:name w:val="Header_7"/>
    <w:basedOn w:val="Normal"/>
    <w:link w:val="HeaderChar1"/>
    <w:uiPriority w:val="99"/>
    <w:rsid w:val="006F43BE"/>
    <w:pPr>
      <w:spacing w:after="0"/>
    </w:pPr>
    <w:rPr>
      <w:rFonts w:cs="Courier New"/>
      <w:szCs w:val="24"/>
    </w:rPr>
  </w:style>
  <w:style w:type="character" w:customStyle="1" w:styleId="HeaderChar1">
    <w:name w:val="Header Char_1"/>
    <w:link w:val="Header7"/>
    <w:uiPriority w:val="99"/>
    <w:rsid w:val="006F43BE"/>
    <w:rPr>
      <w:rFonts w:cs="Courier New"/>
      <w:sz w:val="24"/>
      <w:szCs w:val="24"/>
    </w:rPr>
  </w:style>
  <w:style w:type="paragraph" w:customStyle="1" w:styleId="Normal473">
    <w:name w:val="Normal_473"/>
    <w:qFormat/>
    <w:rsid w:val="006F43BE"/>
    <w:pPr>
      <w:jc w:val="both"/>
    </w:pPr>
    <w:rPr>
      <w:rFonts w:cs="Courier New"/>
      <w:sz w:val="24"/>
      <w:szCs w:val="24"/>
    </w:rPr>
  </w:style>
  <w:style w:type="paragraph" w:customStyle="1" w:styleId="Normal910">
    <w:name w:val="Normal_91_0"/>
    <w:qFormat/>
    <w:rsid w:val="006F43BE"/>
    <w:pPr>
      <w:jc w:val="both"/>
    </w:pPr>
    <w:rPr>
      <w:rFonts w:cs="Courier New"/>
      <w:sz w:val="24"/>
      <w:szCs w:val="24"/>
    </w:rPr>
  </w:style>
  <w:style w:type="paragraph" w:customStyle="1" w:styleId="Normal1071">
    <w:name w:val="Normal_107_1"/>
    <w:qFormat/>
    <w:rsid w:val="00FE4F80"/>
    <w:pPr>
      <w:jc w:val="both"/>
    </w:pPr>
    <w:rPr>
      <w:rFonts w:cs="Courier New"/>
      <w:sz w:val="24"/>
      <w:szCs w:val="24"/>
    </w:rPr>
  </w:style>
  <w:style w:type="paragraph" w:customStyle="1" w:styleId="Normal101">
    <w:name w:val="Normal_101"/>
    <w:qFormat/>
    <w:rsid w:val="006A32C6"/>
    <w:pPr>
      <w:jc w:val="both"/>
    </w:pPr>
    <w:rPr>
      <w:rFonts w:cs="Courier New"/>
      <w:sz w:val="24"/>
      <w:szCs w:val="24"/>
    </w:rPr>
  </w:style>
  <w:style w:type="paragraph" w:customStyle="1" w:styleId="1Appx1">
    <w:name w:val="1Appx1"/>
    <w:basedOn w:val="Heading1"/>
    <w:next w:val="Normal"/>
    <w:qFormat/>
    <w:rsid w:val="00115EEA"/>
    <w:pPr>
      <w:tabs>
        <w:tab w:val="left" w:pos="1080"/>
      </w:tabs>
      <w:ind w:left="0" w:firstLine="0"/>
    </w:pPr>
    <w:rPr>
      <w:bCs/>
    </w:rPr>
  </w:style>
  <w:style w:type="paragraph" w:customStyle="1" w:styleId="2Appx2">
    <w:name w:val="2Appx2"/>
    <w:basedOn w:val="1Appx1"/>
    <w:next w:val="Normal"/>
    <w:qFormat/>
    <w:rsid w:val="00115EEA"/>
  </w:style>
  <w:style w:type="paragraph" w:customStyle="1" w:styleId="3Appx3">
    <w:name w:val="3Appx3"/>
    <w:basedOn w:val="Heading3"/>
    <w:next w:val="Normal"/>
    <w:autoRedefine/>
    <w:qFormat/>
    <w:rsid w:val="00137827"/>
    <w:pPr>
      <w:numPr>
        <w:numId w:val="350"/>
      </w:numPr>
      <w:tabs>
        <w:tab w:val="left" w:pos="1440"/>
      </w:tabs>
    </w:pPr>
  </w:style>
  <w:style w:type="paragraph" w:customStyle="1" w:styleId="4Appx4">
    <w:name w:val="4Appx4"/>
    <w:basedOn w:val="Heading4"/>
    <w:next w:val="Normal"/>
    <w:qFormat/>
    <w:rsid w:val="00115EEA"/>
    <w:pPr>
      <w:ind w:left="0" w:firstLine="0"/>
    </w:pPr>
  </w:style>
  <w:style w:type="paragraph" w:customStyle="1" w:styleId="5Appx5">
    <w:name w:val="5Appx5"/>
    <w:basedOn w:val="Heading5"/>
    <w:next w:val="Normal"/>
    <w:qFormat/>
    <w:rsid w:val="00115EEA"/>
    <w:pPr>
      <w:ind w:left="0" w:firstLine="0"/>
    </w:pPr>
  </w:style>
  <w:style w:type="paragraph" w:customStyle="1" w:styleId="6Appx6">
    <w:name w:val="6Appx6"/>
    <w:basedOn w:val="Heading6"/>
    <w:next w:val="Normal"/>
    <w:qFormat/>
    <w:rsid w:val="00115EEA"/>
    <w:pPr>
      <w:tabs>
        <w:tab w:val="left" w:pos="1260"/>
      </w:tabs>
      <w:ind w:left="0" w:firstLine="0"/>
    </w:pPr>
  </w:style>
  <w:style w:type="table" w:customStyle="1" w:styleId="TableGrid2">
    <w:name w:val="Table Grid2"/>
    <w:basedOn w:val="TableNormal"/>
    <w:next w:val="TableGrid"/>
    <w:uiPriority w:val="59"/>
    <w:rsid w:val="00344F65"/>
    <w:rPr>
      <w:rFonts w:ascii="Calibri" w:eastAsia="Calibri" w:hAnsi="Calibri"/>
      <w:sz w:val="22"/>
      <w:szCs w:val="22"/>
    </w:rPr>
    <w:tblPr/>
  </w:style>
  <w:style w:type="paragraph" w:customStyle="1" w:styleId="Normal20">
    <w:name w:val="Normal_2_0"/>
    <w:qFormat/>
    <w:rsid w:val="00D7277A"/>
    <w:pPr>
      <w:spacing w:after="200" w:line="276" w:lineRule="auto"/>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6D680C"/>
    <w:rPr>
      <w:color w:val="605E5C"/>
      <w:shd w:val="clear" w:color="auto" w:fill="E1DFDD"/>
    </w:rPr>
  </w:style>
  <w:style w:type="paragraph" w:customStyle="1" w:styleId="Normal17">
    <w:name w:val="Normal_17"/>
    <w:qFormat/>
    <w:rsid w:val="00D33E41"/>
    <w:rPr>
      <w:sz w:val="24"/>
      <w:szCs w:val="24"/>
    </w:rPr>
  </w:style>
  <w:style w:type="paragraph" w:customStyle="1" w:styleId="Normal80">
    <w:name w:val="Normal_8_0"/>
    <w:uiPriority w:val="99"/>
    <w:qFormat/>
    <w:rsid w:val="0094600E"/>
    <w:pPr>
      <w:jc w:val="both"/>
    </w:pPr>
  </w:style>
  <w:style w:type="paragraph" w:customStyle="1" w:styleId="Normal130">
    <w:name w:val="Normal_13_0"/>
    <w:qFormat/>
    <w:rsid w:val="00770821"/>
    <w:pPr>
      <w:jc w:val="both"/>
    </w:pPr>
    <w:rPr>
      <w:rFonts w:cs="Courier New"/>
      <w:sz w:val="24"/>
      <w:szCs w:val="24"/>
    </w:rPr>
  </w:style>
  <w:style w:type="paragraph" w:customStyle="1" w:styleId="Normal19">
    <w:name w:val="Normal_1_9"/>
    <w:qFormat/>
    <w:rsid w:val="007848BD"/>
    <w:pPr>
      <w:jc w:val="both"/>
    </w:pPr>
    <w:rPr>
      <w:rFonts w:cs="Courier New"/>
      <w:sz w:val="24"/>
      <w:szCs w:val="24"/>
    </w:rPr>
  </w:style>
  <w:style w:type="character" w:customStyle="1" w:styleId="UnresolvedMention2">
    <w:name w:val="Unresolved Mention2"/>
    <w:basedOn w:val="DefaultParagraphFont"/>
    <w:uiPriority w:val="99"/>
    <w:semiHidden/>
    <w:unhideWhenUsed/>
    <w:rsid w:val="006C4170"/>
    <w:rPr>
      <w:color w:val="605E5C"/>
      <w:shd w:val="clear" w:color="auto" w:fill="E1DFDD"/>
    </w:rPr>
  </w:style>
  <w:style w:type="numbering" w:customStyle="1" w:styleId="CurrentList1">
    <w:name w:val="Current List1"/>
    <w:uiPriority w:val="99"/>
    <w:rsid w:val="000B7FE9"/>
  </w:style>
  <w:style w:type="paragraph" w:customStyle="1" w:styleId="Normal126">
    <w:name w:val="Normal_126"/>
    <w:qFormat/>
    <w:rsid w:val="00045102"/>
    <w:pPr>
      <w:jc w:val="both"/>
    </w:pPr>
    <w:rPr>
      <w:sz w:val="24"/>
    </w:rPr>
  </w:style>
  <w:style w:type="paragraph" w:customStyle="1" w:styleId="Normal73">
    <w:name w:val="Normal_73"/>
    <w:qFormat/>
    <w:rsid w:val="00045102"/>
    <w:rPr>
      <w:szCs w:val="24"/>
    </w:rPr>
  </w:style>
  <w:style w:type="paragraph" w:customStyle="1" w:styleId="Normal06">
    <w:name w:val="Normal_0_6"/>
    <w:qFormat/>
    <w:rsid w:val="00C00BF8"/>
    <w:pPr>
      <w:jc w:val="both"/>
    </w:pPr>
    <w:rPr>
      <w:sz w:val="24"/>
    </w:rPr>
  </w:style>
  <w:style w:type="paragraph" w:customStyle="1" w:styleId="Normal3">
    <w:name w:val="Normal_3"/>
    <w:qFormat/>
    <w:rsid w:val="00411E08"/>
    <w:pPr>
      <w:jc w:val="both"/>
    </w:pPr>
    <w:rPr>
      <w:sz w:val="24"/>
    </w:rPr>
  </w:style>
  <w:style w:type="paragraph" w:customStyle="1" w:styleId="Normal86">
    <w:name w:val="Normal_86"/>
    <w:qFormat/>
    <w:rsid w:val="0057762D"/>
    <w:rPr>
      <w:sz w:val="24"/>
      <w:szCs w:val="24"/>
    </w:rPr>
  </w:style>
  <w:style w:type="paragraph" w:customStyle="1" w:styleId="Normal170">
    <w:name w:val="Normal_17_0"/>
    <w:uiPriority w:val="99"/>
    <w:rsid w:val="006906B4"/>
    <w:pPr>
      <w:jc w:val="both"/>
    </w:pPr>
    <w:rPr>
      <w:rFonts w:cs="Courier New"/>
      <w:sz w:val="24"/>
      <w:szCs w:val="24"/>
    </w:rPr>
  </w:style>
  <w:style w:type="paragraph" w:customStyle="1" w:styleId="Normal00">
    <w:name w:val="Normal_0_0"/>
    <w:qFormat/>
    <w:rsid w:val="002B55ED"/>
    <w:pPr>
      <w:jc w:val="both"/>
    </w:pPr>
    <w:rPr>
      <w:sz w:val="24"/>
    </w:rPr>
  </w:style>
  <w:style w:type="paragraph" w:customStyle="1" w:styleId="Normal83">
    <w:name w:val="Normal_83"/>
    <w:qFormat/>
    <w:rsid w:val="009E186E"/>
    <w:rPr>
      <w:sz w:val="24"/>
      <w:szCs w:val="24"/>
    </w:rPr>
  </w:style>
  <w:style w:type="paragraph" w:customStyle="1" w:styleId="Normal59">
    <w:name w:val="Normal_59"/>
    <w:qFormat/>
    <w:rsid w:val="009E186E"/>
    <w:rPr>
      <w:sz w:val="24"/>
      <w:szCs w:val="24"/>
    </w:rPr>
  </w:style>
  <w:style w:type="paragraph" w:customStyle="1" w:styleId="Normal31">
    <w:name w:val="Normal_3_1"/>
    <w:qFormat/>
    <w:rsid w:val="009E186E"/>
    <w:pPr>
      <w:jc w:val="both"/>
    </w:pPr>
    <w:rPr>
      <w:rFonts w:cs="Courier New"/>
      <w:sz w:val="24"/>
      <w:szCs w:val="24"/>
    </w:rPr>
  </w:style>
  <w:style w:type="paragraph" w:customStyle="1" w:styleId="Heading11">
    <w:name w:val="Heading 1_1"/>
    <w:basedOn w:val="Normal31"/>
    <w:next w:val="Normal31"/>
    <w:link w:val="Heading1Char0"/>
    <w:qFormat/>
    <w:rsid w:val="009E186E"/>
    <w:pPr>
      <w:widowControl w:val="0"/>
      <w:autoSpaceDE w:val="0"/>
      <w:autoSpaceDN w:val="0"/>
      <w:adjustRightInd w:val="0"/>
      <w:jc w:val="center"/>
      <w:outlineLvl w:val="0"/>
    </w:pPr>
    <w:rPr>
      <w:b/>
      <w:caps/>
      <w:snapToGrid w:val="0"/>
    </w:rPr>
  </w:style>
  <w:style w:type="character" w:customStyle="1" w:styleId="Heading1Char0">
    <w:name w:val="Heading 1 Char_0"/>
    <w:basedOn w:val="DefaultParagraphFont"/>
    <w:link w:val="Heading11"/>
    <w:rsid w:val="009E186E"/>
    <w:rPr>
      <w:rFonts w:cs="Courier New"/>
      <w:b/>
      <w:caps/>
      <w:snapToGrid w:val="0"/>
      <w:sz w:val="24"/>
      <w:szCs w:val="24"/>
    </w:rPr>
  </w:style>
  <w:style w:type="paragraph" w:customStyle="1" w:styleId="Heading27">
    <w:name w:val="Heading 2_7"/>
    <w:basedOn w:val="Normal119"/>
    <w:next w:val="Normal119"/>
    <w:qFormat/>
    <w:rsid w:val="009E186E"/>
    <w:pPr>
      <w:keepNext/>
      <w:spacing w:before="240" w:after="60" w:line="276" w:lineRule="auto"/>
      <w:jc w:val="left"/>
      <w:outlineLvl w:val="1"/>
    </w:pPr>
    <w:rPr>
      <w:rFonts w:eastAsia="Calibri" w:cs="Arial"/>
      <w:b/>
      <w:bCs/>
      <w:iCs/>
      <w:szCs w:val="28"/>
    </w:rPr>
  </w:style>
  <w:style w:type="paragraph" w:customStyle="1" w:styleId="Normal119">
    <w:name w:val="Normal_119"/>
    <w:qFormat/>
    <w:rsid w:val="009E186E"/>
    <w:pPr>
      <w:jc w:val="both"/>
    </w:pPr>
    <w:rPr>
      <w:sz w:val="24"/>
    </w:rPr>
  </w:style>
  <w:style w:type="paragraph" w:customStyle="1" w:styleId="Heading339">
    <w:name w:val="Heading 3_39"/>
    <w:basedOn w:val="Normal"/>
    <w:next w:val="Normal"/>
    <w:link w:val="Heading3Char31"/>
    <w:qFormat/>
    <w:rsid w:val="009E186E"/>
    <w:pPr>
      <w:keepNext/>
      <w:spacing w:before="240" w:after="60"/>
      <w:outlineLvl w:val="2"/>
    </w:pPr>
    <w:rPr>
      <w:rFonts w:cs="Arial"/>
      <w:b/>
      <w:bCs/>
      <w:szCs w:val="26"/>
    </w:rPr>
  </w:style>
  <w:style w:type="character" w:customStyle="1" w:styleId="Heading3Char31">
    <w:name w:val="Heading 3 Char_31"/>
    <w:basedOn w:val="DefaultParagraphFont"/>
    <w:link w:val="Heading339"/>
    <w:locked/>
    <w:rsid w:val="009E186E"/>
    <w:rPr>
      <w:rFonts w:cs="Arial"/>
      <w:b/>
      <w:bCs/>
      <w:sz w:val="24"/>
      <w:szCs w:val="26"/>
    </w:rPr>
  </w:style>
  <w:style w:type="character" w:styleId="Emphasis">
    <w:name w:val="Emphasis"/>
    <w:basedOn w:val="DefaultParagraphFont"/>
    <w:qFormat/>
    <w:rsid w:val="003A5FB0"/>
    <w:rPr>
      <w:i/>
      <w:iCs/>
    </w:rPr>
  </w:style>
  <w:style w:type="paragraph" w:customStyle="1" w:styleId="Normal210">
    <w:name w:val="Normal_21_0"/>
    <w:qFormat/>
    <w:rsid w:val="00DB35EE"/>
    <w:pPr>
      <w:jc w:val="both"/>
    </w:pPr>
    <w:rPr>
      <w:sz w:val="24"/>
    </w:rPr>
  </w:style>
  <w:style w:type="paragraph" w:customStyle="1" w:styleId="Normal410">
    <w:name w:val="Normal_41_0"/>
    <w:qFormat/>
    <w:rsid w:val="00DB35EE"/>
    <w:rPr>
      <w:rFonts w:ascii="Calibri" w:hAnsi="Calibri"/>
    </w:rPr>
  </w:style>
  <w:style w:type="paragraph" w:customStyle="1" w:styleId="Normal65">
    <w:name w:val="Normal_65"/>
    <w:qFormat/>
    <w:rsid w:val="00DB35EE"/>
    <w:pPr>
      <w:jc w:val="both"/>
    </w:pPr>
    <w:rPr>
      <w:sz w:val="24"/>
    </w:rPr>
  </w:style>
  <w:style w:type="paragraph" w:customStyle="1" w:styleId="Normal220">
    <w:name w:val="Normal_22_0"/>
    <w:rsid w:val="001A12F6"/>
    <w:pPr>
      <w:jc w:val="both"/>
    </w:pPr>
    <w:rPr>
      <w:sz w:val="24"/>
    </w:rPr>
  </w:style>
  <w:style w:type="character" w:customStyle="1" w:styleId="Heading3Char26">
    <w:name w:val="Heading 3 Char_26"/>
    <w:basedOn w:val="DefaultParagraphFont"/>
    <w:link w:val="Heading334"/>
    <w:locked/>
    <w:rsid w:val="00526519"/>
    <w:rPr>
      <w:rFonts w:cs="Arial"/>
      <w:b/>
      <w:bCs/>
      <w:kern w:val="2"/>
      <w:sz w:val="24"/>
      <w:szCs w:val="26"/>
      <w14:ligatures w14:val="standardContextual"/>
    </w:rPr>
  </w:style>
  <w:style w:type="paragraph" w:customStyle="1" w:styleId="Heading334">
    <w:name w:val="Heading 3_34"/>
    <w:basedOn w:val="Normal"/>
    <w:next w:val="Normal"/>
    <w:link w:val="Heading3Char26"/>
    <w:qFormat/>
    <w:rsid w:val="00526519"/>
    <w:pPr>
      <w:keepNext/>
      <w:spacing w:before="240" w:after="60"/>
      <w:outlineLvl w:val="2"/>
    </w:pPr>
    <w:rPr>
      <w:rFonts w:cs="Arial"/>
      <w:b/>
      <w:bCs/>
      <w:kern w:val="2"/>
      <w:szCs w:val="26"/>
      <w14:ligatures w14:val="standardContextual"/>
    </w:rPr>
  </w:style>
  <w:style w:type="paragraph" w:customStyle="1" w:styleId="Heading3206">
    <w:name w:val="Heading 3_206"/>
    <w:basedOn w:val="Normal"/>
    <w:next w:val="Normal"/>
    <w:qFormat/>
    <w:rsid w:val="00512AD9"/>
    <w:pPr>
      <w:keepNext/>
      <w:spacing w:before="240" w:after="60"/>
      <w:outlineLvl w:val="2"/>
    </w:pPr>
    <w:rPr>
      <w:rFonts w:cs="Arial"/>
      <w:b/>
      <w:bCs/>
      <w:szCs w:val="26"/>
    </w:rPr>
  </w:style>
  <w:style w:type="numbering" w:customStyle="1" w:styleId="Style1">
    <w:name w:val="Style1"/>
    <w:uiPriority w:val="99"/>
    <w:rsid w:val="00512AD9"/>
    <w:pPr>
      <w:numPr>
        <w:numId w:val="80"/>
      </w:numPr>
    </w:pPr>
  </w:style>
  <w:style w:type="paragraph" w:customStyle="1" w:styleId="Normal66">
    <w:name w:val="Normal_66"/>
    <w:qFormat/>
    <w:rsid w:val="00512AD9"/>
    <w:pPr>
      <w:spacing w:after="200" w:line="276" w:lineRule="auto"/>
    </w:pPr>
    <w:rPr>
      <w:rFonts w:ascii="Calibri" w:eastAsia="Calibri" w:hAnsi="Calibri"/>
    </w:rPr>
  </w:style>
  <w:style w:type="paragraph" w:customStyle="1" w:styleId="Normal68">
    <w:name w:val="Normal_68"/>
    <w:qFormat/>
    <w:rsid w:val="00512AD9"/>
    <w:rPr>
      <w:rFonts w:ascii="Calibri" w:eastAsia="Calibri" w:hAnsi="Calibri"/>
    </w:rPr>
  </w:style>
  <w:style w:type="paragraph" w:customStyle="1" w:styleId="Normal11">
    <w:name w:val="Normal_11"/>
    <w:qFormat/>
    <w:rsid w:val="00512AD9"/>
    <w:pPr>
      <w:jc w:val="both"/>
    </w:pPr>
    <w:rPr>
      <w:rFonts w:cs="Courier New"/>
      <w:sz w:val="24"/>
      <w:szCs w:val="24"/>
    </w:rPr>
  </w:style>
  <w:style w:type="paragraph" w:customStyle="1" w:styleId="Normal107">
    <w:name w:val="Normal_107"/>
    <w:qFormat/>
    <w:rsid w:val="00512AD9"/>
    <w:pPr>
      <w:jc w:val="both"/>
    </w:pPr>
    <w:rPr>
      <w:rFonts w:cs="Courier New"/>
      <w:sz w:val="24"/>
      <w:szCs w:val="24"/>
    </w:rPr>
  </w:style>
  <w:style w:type="paragraph" w:customStyle="1" w:styleId="Normal29200">
    <w:name w:val="Normal_292_0_0"/>
    <w:qFormat/>
    <w:rsid w:val="00512AD9"/>
    <w:pPr>
      <w:jc w:val="both"/>
    </w:pPr>
    <w:rPr>
      <w:rFonts w:cs="Courier New"/>
      <w:sz w:val="24"/>
      <w:szCs w:val="24"/>
    </w:rPr>
  </w:style>
  <w:style w:type="paragraph" w:customStyle="1" w:styleId="Normal4">
    <w:name w:val="Normal_4"/>
    <w:qFormat/>
    <w:rsid w:val="00512AD9"/>
    <w:pPr>
      <w:spacing w:after="200" w:line="276" w:lineRule="auto"/>
    </w:pPr>
    <w:rPr>
      <w:rFonts w:ascii="Calibri" w:eastAsia="Calibri" w:hAnsi="Calibri"/>
      <w:sz w:val="22"/>
      <w:szCs w:val="22"/>
    </w:rPr>
  </w:style>
  <w:style w:type="paragraph" w:customStyle="1" w:styleId="Header00">
    <w:name w:val="Header_0_0"/>
    <w:basedOn w:val="Normal4"/>
    <w:link w:val="HeaderChar00"/>
    <w:uiPriority w:val="99"/>
    <w:rsid w:val="00512AD9"/>
    <w:pPr>
      <w:tabs>
        <w:tab w:val="center" w:pos="4320"/>
        <w:tab w:val="right" w:pos="8640"/>
      </w:tabs>
      <w:spacing w:after="0" w:line="240" w:lineRule="auto"/>
    </w:pPr>
    <w:rPr>
      <w:sz w:val="24"/>
      <w:szCs w:val="24"/>
    </w:rPr>
  </w:style>
  <w:style w:type="character" w:customStyle="1" w:styleId="HeaderChar00">
    <w:name w:val="Header Char_0_0"/>
    <w:link w:val="Header00"/>
    <w:uiPriority w:val="99"/>
    <w:rsid w:val="00512AD9"/>
    <w:rPr>
      <w:rFonts w:ascii="Calibri" w:eastAsia="Calibri" w:hAnsi="Calibri"/>
      <w:sz w:val="24"/>
      <w:szCs w:val="24"/>
    </w:rPr>
  </w:style>
  <w:style w:type="paragraph" w:customStyle="1" w:styleId="Normal213">
    <w:name w:val="Normal_213"/>
    <w:qFormat/>
    <w:rsid w:val="00512AD9"/>
    <w:pPr>
      <w:jc w:val="both"/>
    </w:pPr>
    <w:rPr>
      <w:sz w:val="24"/>
    </w:rPr>
  </w:style>
  <w:style w:type="paragraph" w:customStyle="1" w:styleId="TableParagraph">
    <w:name w:val="Table Paragraph"/>
    <w:basedOn w:val="Normal"/>
    <w:uiPriority w:val="1"/>
    <w:qFormat/>
    <w:rsid w:val="00512AD9"/>
    <w:pPr>
      <w:autoSpaceDE w:val="0"/>
      <w:autoSpaceDN w:val="0"/>
      <w:adjustRightInd w:val="0"/>
      <w:spacing w:after="0"/>
      <w:jc w:val="left"/>
    </w:pPr>
    <w:rPr>
      <w:rFonts w:eastAsiaTheme="minorHAnsi"/>
      <w:szCs w:val="24"/>
    </w:rPr>
  </w:style>
  <w:style w:type="paragraph" w:customStyle="1" w:styleId="Heading471">
    <w:name w:val="Heading 4_71"/>
    <w:basedOn w:val="Normal169"/>
    <w:next w:val="Normal169"/>
    <w:link w:val="Heading4Char22"/>
    <w:autoRedefine/>
    <w:qFormat/>
    <w:rsid w:val="00D36309"/>
    <w:pPr>
      <w:spacing w:after="240"/>
      <w:ind w:left="720" w:hanging="720"/>
      <w:outlineLvl w:val="3"/>
    </w:pPr>
    <w:rPr>
      <w:b/>
      <w:bCs/>
      <w:snapToGrid w:val="0"/>
    </w:rPr>
  </w:style>
  <w:style w:type="paragraph" w:customStyle="1" w:styleId="Normal169">
    <w:name w:val="Normal_169"/>
    <w:qFormat/>
    <w:rsid w:val="00512AD9"/>
    <w:pPr>
      <w:jc w:val="both"/>
    </w:pPr>
    <w:rPr>
      <w:sz w:val="24"/>
    </w:rPr>
  </w:style>
  <w:style w:type="character" w:customStyle="1" w:styleId="Heading4Char22">
    <w:name w:val="Heading 4 Char_22"/>
    <w:basedOn w:val="DefaultParagraphFont"/>
    <w:link w:val="Heading471"/>
    <w:locked/>
    <w:rsid w:val="00D36309"/>
    <w:rPr>
      <w:b/>
      <w:bCs/>
      <w:snapToGrid w:val="0"/>
      <w:sz w:val="24"/>
    </w:rPr>
  </w:style>
  <w:style w:type="paragraph" w:customStyle="1" w:styleId="Normal13">
    <w:name w:val="Normal_1_3"/>
    <w:qFormat/>
    <w:rsid w:val="00512AD9"/>
    <w:pPr>
      <w:jc w:val="both"/>
    </w:pPr>
    <w:rPr>
      <w:sz w:val="24"/>
    </w:rPr>
  </w:style>
  <w:style w:type="paragraph" w:customStyle="1" w:styleId="Normal300">
    <w:name w:val="Normal_3_0_0"/>
    <w:qFormat/>
    <w:rsid w:val="00512AD9"/>
    <w:pPr>
      <w:jc w:val="both"/>
    </w:pPr>
    <w:rPr>
      <w:sz w:val="24"/>
    </w:rPr>
  </w:style>
  <w:style w:type="numbering" w:customStyle="1" w:styleId="Style11">
    <w:name w:val="Style11"/>
    <w:uiPriority w:val="99"/>
    <w:rsid w:val="00512AD9"/>
  </w:style>
  <w:style w:type="numbering" w:customStyle="1" w:styleId="Style12">
    <w:name w:val="Style12"/>
    <w:uiPriority w:val="99"/>
    <w:rsid w:val="00901AC7"/>
  </w:style>
  <w:style w:type="paragraph" w:customStyle="1" w:styleId="Heading4101">
    <w:name w:val="Heading 4_10_1"/>
    <w:basedOn w:val="Normal"/>
    <w:next w:val="Normal"/>
    <w:link w:val="Heading4Char30"/>
    <w:qFormat/>
    <w:rsid w:val="00BF35A6"/>
    <w:pPr>
      <w:spacing w:after="240"/>
      <w:ind w:left="2160" w:hanging="720"/>
      <w:outlineLvl w:val="3"/>
    </w:pPr>
    <w:rPr>
      <w:b/>
      <w:snapToGrid w:val="0"/>
    </w:rPr>
  </w:style>
  <w:style w:type="character" w:customStyle="1" w:styleId="Heading4Char30">
    <w:name w:val="Heading 4 Char_3_0"/>
    <w:basedOn w:val="DefaultParagraphFont"/>
    <w:link w:val="Heading4101"/>
    <w:locked/>
    <w:rsid w:val="00BF35A6"/>
    <w:rPr>
      <w:b/>
      <w:snapToGrid w:val="0"/>
      <w:sz w:val="24"/>
    </w:rPr>
  </w:style>
  <w:style w:type="character" w:customStyle="1" w:styleId="ui-provider">
    <w:name w:val="ui-provider"/>
    <w:basedOn w:val="DefaultParagraphFont"/>
    <w:rsid w:val="00BF35A6"/>
  </w:style>
  <w:style w:type="character" w:styleId="UnresolvedMention">
    <w:name w:val="Unresolved Mention"/>
    <w:basedOn w:val="DefaultParagraphFont"/>
    <w:uiPriority w:val="99"/>
    <w:semiHidden/>
    <w:unhideWhenUsed/>
    <w:rsid w:val="00F61D36"/>
    <w:rPr>
      <w:color w:val="605E5C"/>
      <w:shd w:val="clear" w:color="auto" w:fill="E1DFDD"/>
    </w:rPr>
  </w:style>
  <w:style w:type="numbering" w:customStyle="1" w:styleId="Style13">
    <w:name w:val="Style13"/>
    <w:uiPriority w:val="99"/>
    <w:rsid w:val="00DD223A"/>
  </w:style>
  <w:style w:type="paragraph" w:customStyle="1" w:styleId="Normal180">
    <w:name w:val="Normal_18_0"/>
    <w:qFormat/>
    <w:rsid w:val="00453087"/>
    <w:pPr>
      <w:jc w:val="both"/>
    </w:pPr>
    <w:rPr>
      <w:rFonts w:cs="Courier New"/>
      <w:sz w:val="24"/>
      <w:szCs w:val="24"/>
    </w:rPr>
  </w:style>
  <w:style w:type="paragraph" w:customStyle="1" w:styleId="Normal202">
    <w:name w:val="Normal_202"/>
    <w:qFormat/>
    <w:rsid w:val="00453087"/>
    <w:pPr>
      <w:spacing w:after="200" w:line="276" w:lineRule="auto"/>
    </w:pPr>
    <w:rPr>
      <w:rFonts w:ascii="Calibri" w:eastAsia="Calibri" w:hAnsi="Calibri"/>
      <w:sz w:val="22"/>
      <w:szCs w:val="22"/>
    </w:rPr>
  </w:style>
  <w:style w:type="character" w:customStyle="1" w:styleId="cf01">
    <w:name w:val="cf01"/>
    <w:basedOn w:val="DefaultParagraphFont"/>
    <w:rsid w:val="00CD0848"/>
    <w:rPr>
      <w:rFonts w:ascii="Segoe UI" w:hAnsi="Segoe UI" w:cs="Segoe UI" w:hint="default"/>
      <w:sz w:val="18"/>
      <w:szCs w:val="18"/>
    </w:rPr>
  </w:style>
  <w:style w:type="paragraph" w:customStyle="1" w:styleId="Normal020">
    <w:name w:val="Normal_0_2_0"/>
    <w:qFormat/>
    <w:rsid w:val="00A1416A"/>
    <w:pPr>
      <w:jc w:val="both"/>
    </w:pPr>
    <w:rPr>
      <w:sz w:val="24"/>
    </w:rPr>
  </w:style>
  <w:style w:type="paragraph" w:customStyle="1" w:styleId="Normal260">
    <w:name w:val="Normal_26_0"/>
    <w:qFormat/>
    <w:rsid w:val="0060089E"/>
    <w:pPr>
      <w:jc w:val="both"/>
    </w:pPr>
    <w:rPr>
      <w:sz w:val="24"/>
    </w:rPr>
  </w:style>
  <w:style w:type="numbering" w:customStyle="1" w:styleId="NoList1">
    <w:name w:val="No List1"/>
    <w:next w:val="NoList"/>
    <w:uiPriority w:val="99"/>
    <w:semiHidden/>
    <w:unhideWhenUsed/>
    <w:rsid w:val="003A3051"/>
  </w:style>
  <w:style w:type="character" w:customStyle="1" w:styleId="IntenseEmphasis1">
    <w:name w:val="Intense Emphasis1"/>
    <w:basedOn w:val="DefaultParagraphFont"/>
    <w:uiPriority w:val="21"/>
    <w:qFormat/>
    <w:rsid w:val="003A3051"/>
    <w:rPr>
      <w:i/>
      <w:iCs/>
      <w:color w:val="2E74B5"/>
    </w:rPr>
  </w:style>
  <w:style w:type="character" w:customStyle="1" w:styleId="IntenseReference1">
    <w:name w:val="Intense Reference1"/>
    <w:basedOn w:val="DefaultParagraphFont"/>
    <w:uiPriority w:val="32"/>
    <w:qFormat/>
    <w:rsid w:val="003A3051"/>
    <w:rPr>
      <w:b/>
      <w:bCs/>
      <w:smallCaps/>
      <w:color w:val="2E74B5"/>
      <w:spacing w:val="5"/>
    </w:rPr>
  </w:style>
  <w:style w:type="numbering" w:customStyle="1" w:styleId="NoList11">
    <w:name w:val="No List11"/>
    <w:next w:val="NoList"/>
    <w:uiPriority w:val="99"/>
    <w:semiHidden/>
    <w:unhideWhenUsed/>
    <w:rsid w:val="003A3051"/>
  </w:style>
  <w:style w:type="paragraph" w:customStyle="1" w:styleId="TOCHeading1">
    <w:name w:val="TOC Heading1"/>
    <w:basedOn w:val="Heading1"/>
    <w:next w:val="Normal"/>
    <w:uiPriority w:val="39"/>
    <w:unhideWhenUsed/>
    <w:qFormat/>
    <w:rsid w:val="003A3051"/>
    <w:pPr>
      <w:keepLines/>
      <w:spacing w:before="480" w:after="0" w:line="276" w:lineRule="auto"/>
      <w:ind w:left="0" w:firstLine="0"/>
      <w:jc w:val="left"/>
      <w:outlineLvl w:val="9"/>
    </w:pPr>
    <w:rPr>
      <w:rFonts w:eastAsia="Yu Gothic Light"/>
      <w:bCs/>
      <w:color w:val="2E74B5"/>
      <w:kern w:val="0"/>
      <w:sz w:val="28"/>
      <w:szCs w:val="28"/>
      <w:lang w:eastAsia="ja-JP"/>
    </w:rPr>
  </w:style>
  <w:style w:type="table" w:customStyle="1" w:styleId="MediumList111">
    <w:name w:val="Medium List 111"/>
    <w:basedOn w:val="TableNormal"/>
    <w:uiPriority w:val="65"/>
    <w:rsid w:val="003A3051"/>
    <w:rPr>
      <w:rFonts w:ascii="Times New (W1)" w:hAnsi="Times New (W1)"/>
      <w:color w:val="000000"/>
      <w:sz w:val="24"/>
      <w:szCs w:val="24"/>
    </w:rPr>
    <w:tblPr>
      <w:tblStyleRowBandSize w:val="1"/>
      <w:tblStyleColBandSize w:val="1"/>
    </w:tblPr>
    <w:tcPr>
      <w:shd w:val="clear" w:color="auto" w:fill="C0C0C0"/>
    </w:tcPr>
    <w:tblStylePr w:type="firstRow">
      <w:rPr>
        <w:rFonts w:ascii="TimesNewRoman" w:eastAsia="Times New Roman" w:hAnsi="TimesNew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style>
  <w:style w:type="numbering" w:customStyle="1" w:styleId="CurrentList11">
    <w:name w:val="Current List11"/>
    <w:uiPriority w:val="99"/>
    <w:rsid w:val="003A3051"/>
  </w:style>
  <w:style w:type="numbering" w:customStyle="1" w:styleId="Style14">
    <w:name w:val="Style14"/>
    <w:uiPriority w:val="99"/>
    <w:rsid w:val="003A3051"/>
  </w:style>
  <w:style w:type="numbering" w:customStyle="1" w:styleId="Style111">
    <w:name w:val="Style111"/>
    <w:uiPriority w:val="99"/>
    <w:rsid w:val="003A3051"/>
  </w:style>
  <w:style w:type="numbering" w:customStyle="1" w:styleId="Style121">
    <w:name w:val="Style121"/>
    <w:uiPriority w:val="99"/>
    <w:rsid w:val="003A3051"/>
  </w:style>
  <w:style w:type="numbering" w:customStyle="1" w:styleId="Style131">
    <w:name w:val="Style131"/>
    <w:uiPriority w:val="99"/>
    <w:rsid w:val="003A3051"/>
  </w:style>
  <w:style w:type="character" w:customStyle="1" w:styleId="normaltextrun">
    <w:name w:val="normaltextrun"/>
    <w:basedOn w:val="DefaultParagraphFont"/>
    <w:rsid w:val="003A3051"/>
  </w:style>
  <w:style w:type="character" w:customStyle="1" w:styleId="eop">
    <w:name w:val="eop"/>
    <w:basedOn w:val="DefaultParagraphFont"/>
    <w:rsid w:val="003A3051"/>
  </w:style>
  <w:style w:type="numbering" w:customStyle="1" w:styleId="NoList2">
    <w:name w:val="No List2"/>
    <w:next w:val="NoList"/>
    <w:uiPriority w:val="99"/>
    <w:semiHidden/>
    <w:unhideWhenUsed/>
    <w:rsid w:val="003A3051"/>
  </w:style>
  <w:style w:type="character" w:styleId="IntenseEmphasis">
    <w:name w:val="Intense Emphasis"/>
    <w:basedOn w:val="DefaultParagraphFont"/>
    <w:uiPriority w:val="21"/>
    <w:qFormat/>
    <w:rsid w:val="003A3051"/>
    <w:rPr>
      <w:i/>
      <w:iCs/>
      <w:color w:val="4F81BD" w:themeColor="accent1"/>
    </w:rPr>
  </w:style>
  <w:style w:type="character" w:styleId="IntenseReference">
    <w:name w:val="Intense Reference"/>
    <w:basedOn w:val="DefaultParagraphFont"/>
    <w:uiPriority w:val="32"/>
    <w:qFormat/>
    <w:rsid w:val="003A3051"/>
    <w:rPr>
      <w:b/>
      <w:bCs/>
      <w:smallCaps/>
      <w:color w:val="4F81BD" w:themeColor="accent1"/>
      <w:spacing w:val="5"/>
    </w:rPr>
  </w:style>
  <w:style w:type="character" w:styleId="Mention">
    <w:name w:val="Mention"/>
    <w:basedOn w:val="DefaultParagraphFont"/>
    <w:uiPriority w:val="99"/>
    <w:unhideWhenUsed/>
    <w:rsid w:val="00C8264D"/>
    <w:rPr>
      <w:color w:val="2B579A"/>
      <w:shd w:val="clear" w:color="auto" w:fill="E6E6E6"/>
    </w:rPr>
  </w:style>
  <w:style w:type="paragraph" w:customStyle="1" w:styleId="paragraph">
    <w:name w:val="paragraph"/>
    <w:basedOn w:val="Normal"/>
    <w:rsid w:val="00C8264D"/>
    <w:pPr>
      <w:spacing w:before="100" w:beforeAutospacing="1" w:after="100" w:afterAutospacing="1"/>
      <w:jc w:val="left"/>
    </w:pPr>
    <w:rPr>
      <w:szCs w:val="24"/>
    </w:rPr>
  </w:style>
  <w:style w:type="character" w:customStyle="1" w:styleId="tabchar">
    <w:name w:val="tabchar"/>
    <w:basedOn w:val="DefaultParagraphFont"/>
    <w:rsid w:val="00C8264D"/>
  </w:style>
  <w:style w:type="paragraph" w:customStyle="1" w:styleId="pf0">
    <w:name w:val="pf0"/>
    <w:basedOn w:val="Normal"/>
    <w:rsid w:val="00C8264D"/>
    <w:pPr>
      <w:spacing w:before="100" w:beforeAutospacing="1" w:after="100" w:afterAutospacing="1"/>
      <w:jc w:val="left"/>
    </w:pPr>
    <w:rPr>
      <w:szCs w:val="24"/>
    </w:rPr>
  </w:style>
  <w:style w:type="paragraph" w:customStyle="1" w:styleId="TOCHeading2">
    <w:name w:val="TOC Heading2"/>
    <w:basedOn w:val="Heading1"/>
    <w:next w:val="Normal"/>
    <w:uiPriority w:val="39"/>
    <w:unhideWhenUsed/>
    <w:qFormat/>
    <w:rsid w:val="00C70F99"/>
    <w:pPr>
      <w:numPr>
        <w:numId w:val="10"/>
      </w:numPr>
      <w:spacing w:before="480" w:after="0" w:line="276" w:lineRule="auto"/>
      <w:outlineLvl w:val="9"/>
    </w:pPr>
    <w:rPr>
      <w:b w:val="0"/>
      <w:bCs/>
      <w:kern w:val="0"/>
      <w:sz w:val="28"/>
      <w:szCs w:val="28"/>
      <w:lang w:eastAsia="ja-JP"/>
    </w:rPr>
  </w:style>
  <w:style w:type="numbering" w:customStyle="1" w:styleId="NoList3">
    <w:name w:val="No List3"/>
    <w:next w:val="NoList"/>
    <w:uiPriority w:val="99"/>
    <w:semiHidden/>
    <w:unhideWhenUsed/>
    <w:rsid w:val="00C70F99"/>
  </w:style>
  <w:style w:type="paragraph" w:customStyle="1" w:styleId="TOCHeading3">
    <w:name w:val="TOC Heading3"/>
    <w:basedOn w:val="Heading1"/>
    <w:next w:val="Normal"/>
    <w:uiPriority w:val="39"/>
    <w:unhideWhenUsed/>
    <w:qFormat/>
    <w:rsid w:val="00C70F99"/>
    <w:pPr>
      <w:tabs>
        <w:tab w:val="num" w:pos="360"/>
      </w:tabs>
      <w:spacing w:before="480" w:after="0" w:line="276" w:lineRule="auto"/>
      <w:ind w:left="360" w:hanging="360"/>
      <w:outlineLvl w:val="9"/>
    </w:pPr>
    <w:rPr>
      <w:b w:val="0"/>
      <w:bCs/>
      <w:kern w:val="0"/>
      <w:sz w:val="28"/>
      <w:szCs w:val="28"/>
      <w:lang w:eastAsia="ja-JP"/>
    </w:rPr>
  </w:style>
  <w:style w:type="table" w:customStyle="1" w:styleId="MediumList112">
    <w:name w:val="Medium List 112"/>
    <w:basedOn w:val="TableNormal"/>
    <w:uiPriority w:val="65"/>
    <w:rsid w:val="00C70F99"/>
    <w:rPr>
      <w:rFonts w:ascii="Times New (W1)" w:hAnsi="Times New (W1)"/>
      <w:color w:val="000000"/>
      <w:sz w:val="24"/>
      <w:szCs w:val="24"/>
    </w:rPr>
    <w:tblPr>
      <w:tblStyleRowBandSize w:val="1"/>
      <w:tblStyleColBandSize w:val="1"/>
    </w:tblPr>
    <w:tcPr>
      <w:shd w:val="clear" w:color="auto" w:fill="C0C0C0"/>
    </w:tcPr>
    <w:tblStylePr w:type="firstRow">
      <w:rPr>
        <w:rFonts w:ascii="Times New (W1)" w:eastAsia="Times New Roman" w:hAnsi="Times New (W1)"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style>
  <w:style w:type="numbering" w:customStyle="1" w:styleId="NoList4">
    <w:name w:val="No List4"/>
    <w:next w:val="NoList"/>
    <w:uiPriority w:val="99"/>
    <w:semiHidden/>
    <w:unhideWhenUsed/>
    <w:rsid w:val="00C70F99"/>
  </w:style>
  <w:style w:type="paragraph" w:customStyle="1" w:styleId="TOCHeading4">
    <w:name w:val="TOC Heading4"/>
    <w:basedOn w:val="Heading1"/>
    <w:next w:val="Normal"/>
    <w:uiPriority w:val="39"/>
    <w:unhideWhenUsed/>
    <w:qFormat/>
    <w:rsid w:val="00C70F99"/>
    <w:pPr>
      <w:tabs>
        <w:tab w:val="num" w:pos="360"/>
      </w:tabs>
      <w:spacing w:before="480" w:after="0" w:line="276" w:lineRule="auto"/>
      <w:ind w:left="360" w:hanging="360"/>
      <w:outlineLvl w:val="9"/>
    </w:pPr>
    <w:rPr>
      <w:b w:val="0"/>
      <w:bCs/>
      <w:kern w:val="0"/>
      <w:sz w:val="28"/>
      <w:szCs w:val="28"/>
      <w:lang w:eastAsia="ja-JP"/>
    </w:rPr>
  </w:style>
  <w:style w:type="table" w:customStyle="1" w:styleId="MediumList113">
    <w:name w:val="Medium List 113"/>
    <w:basedOn w:val="TableNormal"/>
    <w:uiPriority w:val="65"/>
    <w:rsid w:val="00C70F99"/>
    <w:rPr>
      <w:rFonts w:ascii="Times New (W1)" w:hAnsi="Times New (W1)"/>
      <w:color w:val="000000"/>
      <w:sz w:val="24"/>
      <w:szCs w:val="24"/>
    </w:rPr>
    <w:tblPr>
      <w:tblStyleRowBandSize w:val="1"/>
      <w:tblStyleColBandSize w:val="1"/>
    </w:tblPr>
    <w:tcPr>
      <w:shd w:val="clear" w:color="auto" w:fill="C0C0C0"/>
    </w:tcPr>
    <w:tblStylePr w:type="firstRow">
      <w:rPr>
        <w:rFonts w:ascii="Times New (W1)" w:eastAsia="Times New Roman" w:hAnsi="Times New (W1)"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style>
  <w:style w:type="numbering" w:customStyle="1" w:styleId="CurrentList12">
    <w:name w:val="Current List12"/>
    <w:uiPriority w:val="99"/>
    <w:rsid w:val="00C70F99"/>
  </w:style>
  <w:style w:type="numbering" w:customStyle="1" w:styleId="Style15">
    <w:name w:val="Style15"/>
    <w:uiPriority w:val="99"/>
    <w:rsid w:val="00C70F99"/>
  </w:style>
  <w:style w:type="numbering" w:customStyle="1" w:styleId="Style112">
    <w:name w:val="Style112"/>
    <w:uiPriority w:val="99"/>
    <w:rsid w:val="00C70F99"/>
  </w:style>
  <w:style w:type="numbering" w:customStyle="1" w:styleId="Style122">
    <w:name w:val="Style122"/>
    <w:uiPriority w:val="99"/>
    <w:rsid w:val="00C70F99"/>
  </w:style>
  <w:style w:type="numbering" w:customStyle="1" w:styleId="Style132">
    <w:name w:val="Style132"/>
    <w:uiPriority w:val="99"/>
    <w:rsid w:val="00C70F99"/>
  </w:style>
  <w:style w:type="numbering" w:customStyle="1" w:styleId="NoList5">
    <w:name w:val="No List5"/>
    <w:next w:val="NoList"/>
    <w:uiPriority w:val="99"/>
    <w:semiHidden/>
    <w:unhideWhenUsed/>
    <w:rsid w:val="00C70F99"/>
  </w:style>
  <w:style w:type="paragraph" w:customStyle="1" w:styleId="TOCHeading5">
    <w:name w:val="TOC Heading5"/>
    <w:basedOn w:val="Heading1"/>
    <w:next w:val="Normal"/>
    <w:uiPriority w:val="39"/>
    <w:unhideWhenUsed/>
    <w:qFormat/>
    <w:rsid w:val="00C70F99"/>
    <w:pPr>
      <w:tabs>
        <w:tab w:val="num" w:pos="360"/>
      </w:tabs>
      <w:spacing w:before="480" w:after="0" w:line="276" w:lineRule="auto"/>
      <w:ind w:left="360" w:hanging="360"/>
      <w:outlineLvl w:val="9"/>
    </w:pPr>
    <w:rPr>
      <w:b w:val="0"/>
      <w:bCs/>
      <w:kern w:val="0"/>
      <w:sz w:val="28"/>
      <w:szCs w:val="28"/>
      <w:lang w:eastAsia="ja-JP"/>
    </w:rPr>
  </w:style>
  <w:style w:type="table" w:customStyle="1" w:styleId="MediumList114">
    <w:name w:val="Medium List 114"/>
    <w:basedOn w:val="TableNormal"/>
    <w:uiPriority w:val="65"/>
    <w:rsid w:val="00C70F99"/>
    <w:rPr>
      <w:rFonts w:ascii="Times New (W1)" w:hAnsi="Times New (W1)"/>
      <w:color w:val="000000"/>
      <w:sz w:val="24"/>
      <w:szCs w:val="24"/>
    </w:rPr>
    <w:tblPr/>
    <w:tblStylePr w:type="firstRow">
      <w:rPr>
        <w:rFonts w:ascii="Times New (W1)" w:eastAsia="Times New Roman" w:hAnsi="Times New (W1)" w:cs="Times New Roman"/>
      </w:rPr>
    </w:tblStylePr>
    <w:tblStylePr w:type="lastRow">
      <w:rPr>
        <w:b/>
        <w:bCs/>
        <w:color w:val="1F497D"/>
      </w:rPr>
    </w:tblStylePr>
    <w:tblStylePr w:type="firstCol">
      <w:rPr>
        <w:b/>
        <w:bCs/>
      </w:rPr>
    </w:tblStylePr>
    <w:tblStylePr w:type="lastCol">
      <w:rPr>
        <w:b/>
        <w:bCs/>
      </w:rPr>
    </w:tblStylePr>
  </w:style>
  <w:style w:type="numbering" w:customStyle="1" w:styleId="CurrentList13">
    <w:name w:val="Current List13"/>
    <w:uiPriority w:val="99"/>
    <w:rsid w:val="00C70F99"/>
  </w:style>
  <w:style w:type="numbering" w:customStyle="1" w:styleId="Style16">
    <w:name w:val="Style16"/>
    <w:uiPriority w:val="99"/>
    <w:rsid w:val="00C70F99"/>
  </w:style>
  <w:style w:type="numbering" w:customStyle="1" w:styleId="Style113">
    <w:name w:val="Style113"/>
    <w:uiPriority w:val="99"/>
    <w:rsid w:val="00C70F99"/>
  </w:style>
  <w:style w:type="numbering" w:customStyle="1" w:styleId="Style123">
    <w:name w:val="Style123"/>
    <w:uiPriority w:val="99"/>
    <w:rsid w:val="00C70F99"/>
  </w:style>
  <w:style w:type="numbering" w:customStyle="1" w:styleId="Style133">
    <w:name w:val="Style133"/>
    <w:uiPriority w:val="99"/>
    <w:rsid w:val="00C70F99"/>
  </w:style>
  <w:style w:type="paragraph" w:customStyle="1" w:styleId="Normal53">
    <w:name w:val="Normal_53"/>
    <w:qFormat/>
    <w:rsid w:val="00C70F99"/>
    <w:pPr>
      <w:jc w:val="both"/>
    </w:pPr>
    <w:rPr>
      <w:sz w:val="24"/>
    </w:rPr>
  </w:style>
  <w:style w:type="paragraph" w:customStyle="1" w:styleId="Normal79">
    <w:name w:val="Normal_79"/>
    <w:qFormat/>
    <w:rsid w:val="00C70F99"/>
    <w:pPr>
      <w:jc w:val="both"/>
    </w:pPr>
    <w:rPr>
      <w:sz w:val="24"/>
    </w:rPr>
  </w:style>
  <w:style w:type="paragraph" w:customStyle="1" w:styleId="Normal88">
    <w:name w:val="Normal_88"/>
    <w:qFormat/>
    <w:rsid w:val="00C70F99"/>
    <w:rPr>
      <w:sz w:val="24"/>
      <w:szCs w:val="24"/>
    </w:rPr>
  </w:style>
  <w:style w:type="table" w:customStyle="1" w:styleId="TableGrid3">
    <w:name w:val="Table Grid3"/>
    <w:basedOn w:val="TableNormal"/>
    <w:next w:val="TableGrid"/>
    <w:rsid w:val="00C70F99"/>
    <w:pPr>
      <w:ind w:left="1267"/>
    </w:pPr>
    <w:rPr>
      <w:rFonts w:asciiTheme="minorHAnsi" w:eastAsiaTheme="minorHAnsi" w:hAnsiTheme="minorHAnsi" w:cstheme="minorBidi"/>
      <w:kern w:val="2"/>
      <w:sz w:val="22"/>
      <w:szCs w:val="22"/>
      <w14:ligatures w14:val="standardContextual"/>
    </w:rPr>
    <w:tblPr/>
  </w:style>
  <w:style w:type="character" w:customStyle="1" w:styleId="wacimagecontainer">
    <w:name w:val="wacimagecontainer"/>
    <w:basedOn w:val="DefaultParagraphFont"/>
    <w:rsid w:val="00E23930"/>
  </w:style>
  <w:style w:type="character" w:customStyle="1" w:styleId="equationplaceholdertext">
    <w:name w:val="equationplaceholdertext"/>
    <w:basedOn w:val="DefaultParagraphFont"/>
    <w:rsid w:val="00E23930"/>
  </w:style>
  <w:style w:type="paragraph" w:customStyle="1" w:styleId="MTDisplayEquation">
    <w:name w:val="MTDisplayEquation"/>
    <w:basedOn w:val="Normal"/>
    <w:link w:val="MTDisplayEquationChar"/>
    <w:rsid w:val="00E23930"/>
    <w:pPr>
      <w:tabs>
        <w:tab w:val="center" w:pos="5400"/>
      </w:tabs>
      <w:spacing w:before="240" w:after="240" w:line="300" w:lineRule="auto"/>
      <w:ind w:left="1440" w:firstLine="90"/>
      <w:jc w:val="left"/>
    </w:pPr>
    <w:rPr>
      <w:b/>
      <w:szCs w:val="24"/>
    </w:rPr>
  </w:style>
  <w:style w:type="character" w:customStyle="1" w:styleId="MTDisplayEquationChar">
    <w:name w:val="MTDisplayEquation Char"/>
    <w:basedOn w:val="DefaultParagraphFont"/>
    <w:link w:val="MTDisplayEquation"/>
    <w:rsid w:val="00E23930"/>
    <w:rPr>
      <w:b/>
      <w:sz w:val="24"/>
      <w:szCs w:val="24"/>
    </w:rPr>
  </w:style>
  <w:style w:type="paragraph" w:customStyle="1" w:styleId="heading300">
    <w:name w:val="heading 30"/>
    <w:basedOn w:val="Heading3"/>
    <w:rsid w:val="004B4078"/>
    <w:pPr>
      <w:tabs>
        <w:tab w:val="num" w:pos="840"/>
        <w:tab w:val="left" w:pos="1080"/>
      </w:tabs>
      <w:spacing w:before="240" w:after="60"/>
      <w:ind w:left="2160"/>
    </w:pPr>
    <w:rPr>
      <w:rFonts w:cs="Arial"/>
      <w:color w:val="000000" w:themeColor="text1"/>
      <w:sz w:val="24"/>
      <w:szCs w:val="26"/>
    </w:rPr>
  </w:style>
  <w:style w:type="paragraph" w:customStyle="1" w:styleId="heading400">
    <w:name w:val="heading 40"/>
    <w:basedOn w:val="Heading4"/>
    <w:rsid w:val="004B4078"/>
    <w:pPr>
      <w:tabs>
        <w:tab w:val="num" w:pos="864"/>
        <w:tab w:val="num" w:pos="2880"/>
      </w:tabs>
      <w:spacing w:after="60"/>
      <w:ind w:left="2880" w:hanging="720"/>
      <w:jc w:val="left"/>
    </w:pPr>
    <w:rPr>
      <w:bCs w:val="0"/>
      <w:i/>
      <w:color w:val="FF0000"/>
      <w:szCs w:val="28"/>
    </w:rPr>
  </w:style>
  <w:style w:type="paragraph" w:customStyle="1" w:styleId="heading500">
    <w:name w:val="heading 50"/>
    <w:basedOn w:val="Heading5"/>
    <w:rsid w:val="004B4078"/>
    <w:pPr>
      <w:tabs>
        <w:tab w:val="num" w:pos="1008"/>
        <w:tab w:val="num" w:pos="3600"/>
      </w:tabs>
      <w:spacing w:after="60"/>
      <w:ind w:left="3600" w:hanging="720"/>
      <w:jc w:val="left"/>
    </w:pPr>
    <w:rPr>
      <w:rFonts w:ascii="Times New Roman Bold" w:hAnsi="Times New Roman Bold"/>
      <w:bCs/>
      <w:iCs/>
      <w:szCs w:val="26"/>
    </w:rPr>
  </w:style>
  <w:style w:type="paragraph" w:customStyle="1" w:styleId="Normal92">
    <w:name w:val="Normal_92"/>
    <w:qFormat/>
    <w:rsid w:val="004B4078"/>
    <w:pPr>
      <w:jc w:val="both"/>
    </w:pPr>
    <w:rPr>
      <w:sz w:val="24"/>
    </w:rPr>
  </w:style>
  <w:style w:type="table" w:customStyle="1" w:styleId="TableGrid4">
    <w:name w:val="Table Grid4"/>
    <w:basedOn w:val="TableNormal"/>
    <w:next w:val="TableGrid"/>
    <w:rsid w:val="004B4078"/>
    <w:pPr>
      <w:spacing w:after="120"/>
      <w:jc w:val="both"/>
    </w:pPr>
    <w:tblPr/>
  </w:style>
  <w:style w:type="paragraph" w:customStyle="1" w:styleId="Normal242">
    <w:name w:val="Normal_242"/>
    <w:qFormat/>
    <w:rsid w:val="004B4078"/>
    <w:rPr>
      <w:sz w:val="24"/>
      <w:szCs w:val="24"/>
    </w:rPr>
  </w:style>
  <w:style w:type="paragraph" w:customStyle="1" w:styleId="Normal237">
    <w:name w:val="Normal_237"/>
    <w:qFormat/>
    <w:rsid w:val="004B4078"/>
    <w:pPr>
      <w:jc w:val="both"/>
    </w:pPr>
    <w:rPr>
      <w:sz w:val="24"/>
    </w:rPr>
  </w:style>
  <w:style w:type="paragraph" w:customStyle="1" w:styleId="Normal380">
    <w:name w:val="Normal_38_0"/>
    <w:qFormat/>
    <w:rsid w:val="004B4078"/>
    <w:rPr>
      <w:sz w:val="24"/>
      <w:szCs w:val="24"/>
    </w:rPr>
  </w:style>
  <w:style w:type="table" w:customStyle="1" w:styleId="TableGrid5">
    <w:name w:val="Table Grid5"/>
    <w:basedOn w:val="TableNormal"/>
    <w:next w:val="TableGrid"/>
    <w:rsid w:val="004B4078"/>
    <w:pPr>
      <w:spacing w:after="120"/>
      <w:jc w:val="both"/>
    </w:pPr>
    <w:tblPr/>
  </w:style>
  <w:style w:type="table" w:customStyle="1" w:styleId="TableGrid6">
    <w:name w:val="Table Grid6"/>
    <w:basedOn w:val="TableNormal"/>
    <w:next w:val="TableGrid"/>
    <w:rsid w:val="004B4078"/>
    <w:pPr>
      <w:spacing w:after="120"/>
      <w:jc w:val="both"/>
    </w:pPr>
    <w:tblPr/>
  </w:style>
  <w:style w:type="paragraph" w:customStyle="1" w:styleId="Normal1070">
    <w:name w:val="Normal_107_0"/>
    <w:qFormat/>
    <w:rsid w:val="00BD64CF"/>
    <w:pPr>
      <w:jc w:val="both"/>
    </w:pPr>
    <w:rPr>
      <w:rFonts w:cs="Courier New"/>
      <w:sz w:val="24"/>
      <w:szCs w:val="24"/>
    </w:rPr>
  </w:style>
  <w:style w:type="paragraph" w:customStyle="1" w:styleId="Header4">
    <w:name w:val="Header_4"/>
    <w:basedOn w:val="Normal"/>
    <w:link w:val="HeaderChar3"/>
    <w:uiPriority w:val="99"/>
    <w:rsid w:val="0037262D"/>
    <w:pPr>
      <w:tabs>
        <w:tab w:val="center" w:pos="4320"/>
        <w:tab w:val="right" w:pos="8640"/>
      </w:tabs>
      <w:spacing w:after="0"/>
      <w:jc w:val="left"/>
    </w:pPr>
    <w:rPr>
      <w:szCs w:val="24"/>
    </w:rPr>
  </w:style>
  <w:style w:type="character" w:customStyle="1" w:styleId="HeaderChar3">
    <w:name w:val="Header Char_3"/>
    <w:basedOn w:val="DefaultParagraphFont"/>
    <w:link w:val="Header4"/>
    <w:uiPriority w:val="99"/>
    <w:rsid w:val="0037262D"/>
    <w:rPr>
      <w:sz w:val="24"/>
      <w:szCs w:val="24"/>
    </w:rPr>
  </w:style>
  <w:style w:type="paragraph" w:customStyle="1" w:styleId="Normal1802">
    <w:name w:val="Normal_18_0_2"/>
    <w:qFormat/>
    <w:rsid w:val="0037262D"/>
    <w:pPr>
      <w:jc w:val="both"/>
    </w:pPr>
    <w:rPr>
      <w:rFonts w:cs="Courier New"/>
      <w:sz w:val="24"/>
      <w:szCs w:val="24"/>
    </w:rPr>
  </w:style>
  <w:style w:type="paragraph" w:customStyle="1" w:styleId="Normal1440">
    <w:name w:val="Normal_144_0"/>
    <w:qFormat/>
    <w:rsid w:val="0037262D"/>
    <w:pPr>
      <w:jc w:val="both"/>
    </w:pPr>
    <w:rPr>
      <w:rFonts w:cs="Courier New"/>
      <w:sz w:val="24"/>
      <w:szCs w:val="24"/>
    </w:rPr>
  </w:style>
  <w:style w:type="character" w:customStyle="1" w:styleId="Heading2Char1">
    <w:name w:val="Heading 2 Char1"/>
    <w:aliases w:val="h2 Char1,H2 Char1,NPB Char1"/>
    <w:basedOn w:val="DefaultParagraphFont"/>
    <w:semiHidden/>
    <w:rsid w:val="008A4264"/>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 Char1,H3 Char1"/>
    <w:basedOn w:val="DefaultParagraphFont"/>
    <w:semiHidden/>
    <w:rsid w:val="008A4264"/>
    <w:rPr>
      <w:rFonts w:asciiTheme="minorHAnsi" w:eastAsiaTheme="majorEastAsia" w:hAnsiTheme="minorHAnsi" w:cstheme="majorBidi"/>
      <w:color w:val="365F91" w:themeColor="accent1" w:themeShade="BF"/>
      <w:sz w:val="28"/>
      <w:szCs w:val="28"/>
    </w:rPr>
  </w:style>
  <w:style w:type="character" w:customStyle="1" w:styleId="Heading4Char1">
    <w:name w:val="Heading 4 Char1"/>
    <w:aliases w:val="h4 Char1,H4 Char1"/>
    <w:basedOn w:val="DefaultParagraphFont"/>
    <w:semiHidden/>
    <w:rsid w:val="008A4264"/>
    <w:rPr>
      <w:rFonts w:asciiTheme="minorHAnsi" w:eastAsiaTheme="majorEastAsia" w:hAnsiTheme="minorHAnsi" w:cstheme="majorBidi"/>
      <w:i/>
      <w:iCs/>
      <w:color w:val="365F91" w:themeColor="accent1" w:themeShade="BF"/>
      <w:sz w:val="24"/>
    </w:rPr>
  </w:style>
  <w:style w:type="character" w:customStyle="1" w:styleId="Heading5Char1">
    <w:name w:val="Heading 5 Char1"/>
    <w:aliases w:val="h5 Char1"/>
    <w:basedOn w:val="DefaultParagraphFont"/>
    <w:semiHidden/>
    <w:rsid w:val="008A4264"/>
    <w:rPr>
      <w:rFonts w:asciiTheme="minorHAnsi" w:eastAsiaTheme="majorEastAsia" w:hAnsiTheme="minorHAnsi" w:cstheme="majorBidi"/>
      <w:color w:val="365F91" w:themeColor="accent1" w:themeShade="BF"/>
      <w:sz w:val="24"/>
    </w:rPr>
  </w:style>
  <w:style w:type="character" w:customStyle="1" w:styleId="Heading6Char1">
    <w:name w:val="Heading 6 Char1"/>
    <w:aliases w:val="H6 Char1"/>
    <w:basedOn w:val="DefaultParagraphFont"/>
    <w:semiHidden/>
    <w:rsid w:val="008A4264"/>
    <w:rPr>
      <w:rFonts w:asciiTheme="minorHAnsi" w:eastAsiaTheme="majorEastAsia" w:hAnsiTheme="minorHAnsi" w:cstheme="majorBidi"/>
      <w:i/>
      <w:iCs/>
      <w:color w:val="595959" w:themeColor="text1" w:themeTint="A6"/>
      <w:sz w:val="24"/>
    </w:rPr>
  </w:style>
  <w:style w:type="paragraph" w:customStyle="1" w:styleId="msonormal0">
    <w:name w:val="msonormal"/>
    <w:basedOn w:val="Normal"/>
    <w:rsid w:val="008A4264"/>
    <w:pPr>
      <w:spacing w:after="0"/>
      <w:jc w:val="left"/>
    </w:pPr>
    <w:rPr>
      <w:szCs w:val="24"/>
    </w:rPr>
  </w:style>
  <w:style w:type="character" w:customStyle="1" w:styleId="FootnoteTextChar1">
    <w:name w:val="Footnote Text Char1"/>
    <w:aliases w:val="Footnote Text Char2 Char1,Footnote Text Char1 Char1 Char1,Footnote Text Char2 Char Char1 Char1,Footnote Text Char Char1 Char Char1 Char1,Footnote Text Char1 Char Char Char Char1 Char1,ft Char Char Char Char Char1 Char"/>
    <w:basedOn w:val="DefaultParagraphFont"/>
    <w:semiHidden/>
    <w:rsid w:val="008A4264"/>
    <w:rPr>
      <w:rFonts w:ascii="Times New Roman" w:eastAsia="Times New Roman" w:hAnsi="Times New Roman" w:cs="Times New Roman"/>
      <w:kern w:val="0"/>
      <w:sz w:val="20"/>
      <w:szCs w:val="20"/>
      <w14:ligatures w14:val="none"/>
    </w:rPr>
  </w:style>
  <w:style w:type="paragraph" w:customStyle="1" w:styleId="Normal269">
    <w:name w:val="Normal_269"/>
    <w:qFormat/>
    <w:rsid w:val="008A4264"/>
    <w:rPr>
      <w:sz w:val="24"/>
      <w:szCs w:val="24"/>
    </w:rPr>
  </w:style>
  <w:style w:type="paragraph" w:customStyle="1" w:styleId="Normal270">
    <w:name w:val="Normal_270"/>
    <w:qFormat/>
    <w:rsid w:val="008A4264"/>
    <w:rPr>
      <w:sz w:val="24"/>
      <w:szCs w:val="24"/>
    </w:rPr>
  </w:style>
  <w:style w:type="character" w:customStyle="1" w:styleId="fontstyle01">
    <w:name w:val="fontstyle01"/>
    <w:basedOn w:val="DefaultParagraphFont"/>
    <w:rsid w:val="008A4264"/>
    <w:rPr>
      <w:rFonts w:ascii="TimesNewRomanPSMT" w:hAnsi="TimesNewRomanPSMT" w:hint="default"/>
      <w:b w:val="0"/>
      <w:bCs w:val="0"/>
      <w:i w:val="0"/>
      <w:iCs w:val="0"/>
      <w:color w:val="000000"/>
      <w:sz w:val="24"/>
      <w:szCs w:val="24"/>
    </w:rPr>
  </w:style>
  <w:style w:type="paragraph" w:customStyle="1" w:styleId="Normal75">
    <w:name w:val="Normal_75"/>
    <w:qFormat/>
    <w:rsid w:val="00A734BE"/>
    <w:pPr>
      <w:spacing w:after="160" w:line="259" w:lineRule="auto"/>
    </w:pPr>
    <w:rPr>
      <w:rFonts w:asciiTheme="minorHAnsi" w:eastAsiaTheme="minorHAnsi" w:hAnsiTheme="minorHAnsi" w:cstheme="minorBidi"/>
      <w:kern w:val="2"/>
      <w:sz w:val="22"/>
      <w:szCs w:val="22"/>
      <w14:ligatures w14:val="standardContextual"/>
    </w:rPr>
  </w:style>
  <w:style w:type="paragraph" w:customStyle="1" w:styleId="Normal271">
    <w:name w:val="Normal_271"/>
    <w:qFormat/>
    <w:rsid w:val="00A734BE"/>
    <w:rPr>
      <w:sz w:val="24"/>
      <w:szCs w:val="24"/>
    </w:rPr>
  </w:style>
  <w:style w:type="paragraph" w:customStyle="1" w:styleId="Normal272">
    <w:name w:val="Normal_272"/>
    <w:qFormat/>
    <w:rsid w:val="00A734BE"/>
    <w:rPr>
      <w:sz w:val="24"/>
      <w:szCs w:val="24"/>
    </w:rPr>
  </w:style>
  <w:style w:type="paragraph" w:customStyle="1" w:styleId="Normal273">
    <w:name w:val="Normal_273"/>
    <w:qFormat/>
    <w:rsid w:val="00A734BE"/>
    <w:rPr>
      <w:sz w:val="24"/>
      <w:szCs w:val="24"/>
    </w:rPr>
  </w:style>
  <w:style w:type="paragraph" w:customStyle="1" w:styleId="Normal268">
    <w:name w:val="Normal_268"/>
    <w:qFormat/>
    <w:rsid w:val="00A734BE"/>
    <w:rPr>
      <w:sz w:val="24"/>
      <w:szCs w:val="24"/>
    </w:rPr>
  </w:style>
  <w:style w:type="paragraph" w:customStyle="1" w:styleId="Normal276">
    <w:name w:val="Normal_276"/>
    <w:qFormat/>
    <w:rsid w:val="00A734BE"/>
    <w:rPr>
      <w:sz w:val="24"/>
      <w:szCs w:val="24"/>
    </w:rPr>
  </w:style>
  <w:style w:type="paragraph" w:customStyle="1" w:styleId="Normal278">
    <w:name w:val="Normal_278"/>
    <w:qFormat/>
    <w:rsid w:val="00A734BE"/>
    <w:rPr>
      <w:sz w:val="24"/>
      <w:szCs w:val="24"/>
    </w:rPr>
  </w:style>
  <w:style w:type="paragraph" w:customStyle="1" w:styleId="Normal310">
    <w:name w:val="Normal_3_1_0"/>
    <w:qFormat/>
    <w:rsid w:val="00A734BE"/>
    <w:pPr>
      <w:jc w:val="both"/>
    </w:pPr>
    <w:rPr>
      <w:sz w:val="24"/>
    </w:rPr>
  </w:style>
  <w:style w:type="paragraph" w:customStyle="1" w:styleId="Normal560">
    <w:name w:val="Normal_560"/>
    <w:qFormat/>
    <w:rsid w:val="00A734BE"/>
    <w:pPr>
      <w:jc w:val="both"/>
    </w:pPr>
    <w:rPr>
      <w:rFonts w:ascii="Calibri" w:eastAsia="Calibri" w:hAnsi="Calibri"/>
      <w:sz w:val="24"/>
      <w14:ligatures w14:val="standardContextual"/>
    </w:rPr>
  </w:style>
  <w:style w:type="paragraph" w:customStyle="1" w:styleId="Normal321">
    <w:name w:val="Normal_321"/>
    <w:qFormat/>
    <w:rsid w:val="00A734BE"/>
    <w:pPr>
      <w:jc w:val="both"/>
    </w:pPr>
    <w:rPr>
      <w:sz w:val="24"/>
    </w:rPr>
  </w:style>
  <w:style w:type="paragraph" w:customStyle="1" w:styleId="Normal322">
    <w:name w:val="Normal_322"/>
    <w:qFormat/>
    <w:rsid w:val="00A734BE"/>
    <w:pPr>
      <w:jc w:val="both"/>
    </w:pPr>
    <w:rPr>
      <w:sz w:val="24"/>
    </w:rPr>
  </w:style>
  <w:style w:type="table" w:customStyle="1" w:styleId="MediumList115">
    <w:name w:val="Medium List 115"/>
    <w:basedOn w:val="TableNormal"/>
    <w:uiPriority w:val="65"/>
    <w:rsid w:val="00E24D48"/>
    <w:rPr>
      <w:rFonts w:ascii="Times New (W1)" w:hAnsi="Times New (W1)"/>
      <w:color w:val="000000"/>
      <w:sz w:val="24"/>
      <w:szCs w:val="24"/>
    </w:rPr>
    <w:tblPr>
      <w:tblStyleRowBandSize w:val="1"/>
      <w:tblStyleColBandSize w:val="1"/>
      <w:tblInd w:w="0" w:type="nil"/>
    </w:tblPr>
    <w:tblStylePr w:type="firstRow">
      <w:rPr>
        <w:rFonts w:ascii="Yu Gothic Light" w:eastAsia="Yu Gothic Light" w:hAnsi="Yu Gothic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PPOfficialTableDefaultTable">
    <w:name w:val="SPP Official Table: Default Table"/>
    <w:basedOn w:val="TableNormal"/>
    <w:uiPriority w:val="99"/>
    <w:rsid w:val="00E24D48"/>
    <w:rPr>
      <w:rFonts w:ascii="Segoe UI" w:eastAsia="Calibri" w:hAnsi="Segoe UI"/>
      <w:sz w:val="22"/>
      <w:szCs w:val="22"/>
    </w:rPr>
    <w:tblPr>
      <w:tblStyleRowBandSize w:val="1"/>
      <w:tblStyleColBandSize w:val="1"/>
    </w:tblPr>
    <w:tblStylePr w:type="firstRow">
      <w:pPr>
        <w:wordWrap/>
        <w:jc w:val="center"/>
      </w:pPr>
      <w:rPr>
        <w:rFonts w:ascii="Yu Gothic Light" w:hAnsi="Yu Gothic Light" w:cs="Yu Gothic Light" w:hint="default"/>
        <w:b/>
        <w:i w:val="0"/>
        <w:caps/>
        <w:smallCaps w:val="0"/>
        <w:color w:val="FFFFFF"/>
        <w:sz w:val="20"/>
        <w:szCs w:val="20"/>
      </w:rPr>
      <w:tblPr/>
      <w:tcPr>
        <w:tcBorders>
          <w:insideH w:val="single" w:sz="4" w:space="0" w:color="FFFFFF"/>
          <w:insideV w:val="single" w:sz="4" w:space="0" w:color="FFFFFF"/>
        </w:tcBorders>
        <w:shd w:val="clear" w:color="auto" w:fill="2399BB"/>
      </w:tcPr>
    </w:tblStylePr>
    <w:tblStylePr w:type="lastRow">
      <w:rPr>
        <w:rFonts w:ascii="Yu Gothic Light" w:hAnsi="Yu Gothic Light" w:cs="Yu Gothic Light" w:hint="default"/>
        <w:b/>
        <w:sz w:val="20"/>
        <w:szCs w:val="20"/>
      </w:rPr>
      <w:tblPr/>
      <w:tcPr>
        <w:tcBorders>
          <w:insideH w:val="single" w:sz="4" w:space="0" w:color="FFFFFF"/>
          <w:insideV w:val="single" w:sz="4" w:space="0" w:color="FFFFFF"/>
        </w:tcBorders>
      </w:tcPr>
    </w:tblStylePr>
    <w:tblStylePr w:type="firstCol">
      <w:rPr>
        <w:rFonts w:ascii="Yu Gothic Light" w:hAnsi="Yu Gothic Light" w:cs="Yu Gothic Light" w:hint="default"/>
        <w:sz w:val="20"/>
        <w:szCs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Yu Gothic Light" w:hAnsi="Yu Gothic Light" w:cs="Yu Gothic Light" w:hint="default"/>
        <w:sz w:val="20"/>
        <w:szCs w:val="20"/>
      </w:rPr>
    </w:tblStylePr>
    <w:tblStylePr w:type="band2Horz">
      <w:rPr>
        <w:rFonts w:ascii="Yu Gothic Light" w:hAnsi="Yu Gothic Light" w:cs="Yu Gothic Light" w:hint="default"/>
        <w:sz w:val="20"/>
        <w:szCs w:val="20"/>
      </w:rPr>
      <w:tblPr/>
      <w:tcPr>
        <w:shd w:val="clear" w:color="auto" w:fill="F2F2F2"/>
      </w:tcPr>
    </w:tblStylePr>
  </w:style>
  <w:style w:type="numbering" w:customStyle="1" w:styleId="Style17">
    <w:name w:val="Style17"/>
    <w:uiPriority w:val="99"/>
    <w:rsid w:val="00DA3CE7"/>
  </w:style>
  <w:style w:type="numbering" w:customStyle="1" w:styleId="NoList111">
    <w:name w:val="No List111"/>
    <w:next w:val="NoList"/>
    <w:uiPriority w:val="99"/>
    <w:semiHidden/>
    <w:unhideWhenUsed/>
    <w:rsid w:val="00DA3CE7"/>
  </w:style>
  <w:style w:type="numbering" w:customStyle="1" w:styleId="NoList6">
    <w:name w:val="No List6"/>
    <w:next w:val="NoList"/>
    <w:uiPriority w:val="99"/>
    <w:semiHidden/>
    <w:unhideWhenUsed/>
    <w:rsid w:val="00DA3CE7"/>
  </w:style>
  <w:style w:type="paragraph" w:customStyle="1" w:styleId="TOCHeading6">
    <w:name w:val="TOC Heading6"/>
    <w:basedOn w:val="Heading1"/>
    <w:next w:val="Normal"/>
    <w:uiPriority w:val="39"/>
    <w:unhideWhenUsed/>
    <w:qFormat/>
    <w:rsid w:val="00DA3CE7"/>
    <w:pPr>
      <w:keepLines/>
      <w:spacing w:before="480" w:after="0" w:line="276" w:lineRule="auto"/>
      <w:ind w:left="0" w:firstLine="0"/>
      <w:jc w:val="left"/>
      <w:outlineLvl w:val="9"/>
    </w:pPr>
    <w:rPr>
      <w:rFonts w:asciiTheme="majorHAnsi" w:eastAsiaTheme="majorEastAsia" w:hAnsiTheme="majorHAnsi" w:cstheme="majorBidi"/>
      <w:bCs/>
      <w:color w:val="365F91" w:themeColor="accent1" w:themeShade="BF"/>
      <w:kern w:val="0"/>
      <w:sz w:val="28"/>
      <w:szCs w:val="28"/>
      <w:lang w:eastAsia="ja-JP"/>
    </w:rPr>
  </w:style>
  <w:style w:type="numbering" w:customStyle="1" w:styleId="CurrentList14">
    <w:name w:val="Current List14"/>
    <w:uiPriority w:val="99"/>
    <w:rsid w:val="00DA3CE7"/>
  </w:style>
  <w:style w:type="numbering" w:customStyle="1" w:styleId="Style114">
    <w:name w:val="Style114"/>
    <w:uiPriority w:val="99"/>
    <w:rsid w:val="00DA3CE7"/>
  </w:style>
  <w:style w:type="numbering" w:customStyle="1" w:styleId="Style124">
    <w:name w:val="Style124"/>
    <w:uiPriority w:val="99"/>
    <w:rsid w:val="00DA3CE7"/>
  </w:style>
  <w:style w:type="numbering" w:customStyle="1" w:styleId="Style134">
    <w:name w:val="Style134"/>
    <w:uiPriority w:val="99"/>
    <w:rsid w:val="00DA3CE7"/>
  </w:style>
  <w:style w:type="numbering" w:customStyle="1" w:styleId="NoList12">
    <w:name w:val="No List12"/>
    <w:next w:val="NoList"/>
    <w:uiPriority w:val="99"/>
    <w:semiHidden/>
    <w:unhideWhenUsed/>
    <w:rsid w:val="00DA3CE7"/>
  </w:style>
  <w:style w:type="numbering" w:customStyle="1" w:styleId="NoList112">
    <w:name w:val="No List112"/>
    <w:next w:val="NoList"/>
    <w:uiPriority w:val="99"/>
    <w:semiHidden/>
    <w:unhideWhenUsed/>
    <w:rsid w:val="00DA3CE7"/>
  </w:style>
  <w:style w:type="table" w:customStyle="1" w:styleId="MediumList1111">
    <w:name w:val="Medium List 1111"/>
    <w:basedOn w:val="TableNormal"/>
    <w:uiPriority w:val="65"/>
    <w:rsid w:val="00E83C8C"/>
    <w:rPr>
      <w:rFonts w:ascii="Times New (W1)" w:hAnsi="Times New (W1)"/>
      <w:color w:val="000000"/>
      <w:sz w:val="24"/>
      <w:szCs w:val="24"/>
    </w:rPr>
    <w:tblPr/>
    <w:tblStylePr w:type="firstRow">
      <w:rPr>
        <w:rFonts w:ascii="Yu Gothic Light" w:eastAsia="Times New Roman" w:hAnsi="Yu Gothic Light" w:cs="Times New Roman"/>
      </w:rPr>
    </w:tblStylePr>
    <w:tblStylePr w:type="lastRow">
      <w:rPr>
        <w:b/>
        <w:bCs/>
        <w:color w:val="1F497D"/>
      </w:rPr>
    </w:tblStylePr>
    <w:tblStylePr w:type="firstCol">
      <w:rPr>
        <w:b/>
        <w:bCs/>
      </w:rPr>
    </w:tblStylePr>
    <w:tblStylePr w:type="lastCol">
      <w:rPr>
        <w:b/>
        <w:bCs/>
      </w:rPr>
    </w:tblStylePr>
  </w:style>
  <w:style w:type="numbering" w:customStyle="1" w:styleId="CurrentList111">
    <w:name w:val="Current List111"/>
    <w:uiPriority w:val="99"/>
    <w:rsid w:val="00DA3CE7"/>
  </w:style>
  <w:style w:type="numbering" w:customStyle="1" w:styleId="Style141">
    <w:name w:val="Style141"/>
    <w:uiPriority w:val="99"/>
    <w:rsid w:val="00DA3CE7"/>
  </w:style>
  <w:style w:type="numbering" w:customStyle="1" w:styleId="Style1111">
    <w:name w:val="Style1111"/>
    <w:uiPriority w:val="99"/>
    <w:rsid w:val="00DA3CE7"/>
  </w:style>
  <w:style w:type="numbering" w:customStyle="1" w:styleId="Style1211">
    <w:name w:val="Style1211"/>
    <w:uiPriority w:val="99"/>
    <w:rsid w:val="00DA3CE7"/>
  </w:style>
  <w:style w:type="numbering" w:customStyle="1" w:styleId="Style1311">
    <w:name w:val="Style1311"/>
    <w:uiPriority w:val="99"/>
    <w:rsid w:val="00DA3CE7"/>
  </w:style>
  <w:style w:type="numbering" w:customStyle="1" w:styleId="NoList21">
    <w:name w:val="No List21"/>
    <w:next w:val="NoList"/>
    <w:uiPriority w:val="99"/>
    <w:semiHidden/>
    <w:unhideWhenUsed/>
    <w:rsid w:val="00DA3CE7"/>
  </w:style>
  <w:style w:type="numbering" w:customStyle="1" w:styleId="NoList31">
    <w:name w:val="No List31"/>
    <w:next w:val="NoList"/>
    <w:uiPriority w:val="99"/>
    <w:semiHidden/>
    <w:unhideWhenUsed/>
    <w:rsid w:val="00DA3CE7"/>
  </w:style>
  <w:style w:type="table" w:customStyle="1" w:styleId="MediumList1121">
    <w:name w:val="Medium List 1121"/>
    <w:basedOn w:val="TableNormal"/>
    <w:uiPriority w:val="65"/>
    <w:rsid w:val="00E83C8C"/>
    <w:rPr>
      <w:rFonts w:ascii="Times New (W1)" w:hAnsi="Times New (W1)"/>
      <w:color w:val="000000"/>
      <w:sz w:val="24"/>
      <w:szCs w:val="24"/>
    </w:rPr>
    <w:tblPr/>
    <w:tblStylePr w:type="firstRow">
      <w:rPr>
        <w:rFonts w:ascii="Cambria" w:eastAsia="Times New Roman" w:hAnsi="Cambria" w:cs="Times New Roman"/>
      </w:rPr>
    </w:tblStylePr>
    <w:tblStylePr w:type="lastRow">
      <w:rPr>
        <w:b/>
        <w:bCs/>
        <w:color w:val="1F497D"/>
      </w:rPr>
    </w:tblStylePr>
    <w:tblStylePr w:type="firstCol">
      <w:rPr>
        <w:b/>
        <w:bCs/>
      </w:rPr>
    </w:tblStylePr>
    <w:tblStylePr w:type="lastCol">
      <w:rPr>
        <w:b/>
        <w:bCs/>
      </w:rPr>
    </w:tblStylePr>
  </w:style>
  <w:style w:type="numbering" w:customStyle="1" w:styleId="NoList41">
    <w:name w:val="No List41"/>
    <w:next w:val="NoList"/>
    <w:uiPriority w:val="99"/>
    <w:semiHidden/>
    <w:unhideWhenUsed/>
    <w:rsid w:val="00DA3CE7"/>
  </w:style>
  <w:style w:type="table" w:customStyle="1" w:styleId="MediumList1131">
    <w:name w:val="Medium List 1131"/>
    <w:basedOn w:val="TableNormal"/>
    <w:uiPriority w:val="65"/>
    <w:rsid w:val="00E83C8C"/>
    <w:rPr>
      <w:rFonts w:ascii="Times New (W1)" w:hAnsi="Times New (W1)"/>
      <w:color w:val="000000"/>
      <w:sz w:val="24"/>
      <w:szCs w:val="24"/>
    </w:rPr>
    <w:tblPr/>
    <w:tblStylePr w:type="firstRow">
      <w:rPr>
        <w:rFonts w:ascii="Cambria" w:eastAsia="Times New Roman" w:hAnsi="Cambria" w:cs="Times New Roman"/>
      </w:rPr>
    </w:tblStylePr>
    <w:tblStylePr w:type="lastRow">
      <w:rPr>
        <w:b/>
        <w:bCs/>
        <w:color w:val="1F497D"/>
      </w:rPr>
    </w:tblStylePr>
    <w:tblStylePr w:type="firstCol">
      <w:rPr>
        <w:b/>
        <w:bCs/>
      </w:rPr>
    </w:tblStylePr>
    <w:tblStylePr w:type="lastCol">
      <w:rPr>
        <w:b/>
        <w:bCs/>
      </w:rPr>
    </w:tblStylePr>
  </w:style>
  <w:style w:type="numbering" w:customStyle="1" w:styleId="CurrentList121">
    <w:name w:val="Current List121"/>
    <w:uiPriority w:val="99"/>
    <w:rsid w:val="00DA3CE7"/>
  </w:style>
  <w:style w:type="numbering" w:customStyle="1" w:styleId="Style151">
    <w:name w:val="Style151"/>
    <w:uiPriority w:val="99"/>
    <w:rsid w:val="00DA3CE7"/>
  </w:style>
  <w:style w:type="numbering" w:customStyle="1" w:styleId="Style1121">
    <w:name w:val="Style1121"/>
    <w:uiPriority w:val="99"/>
    <w:rsid w:val="00DA3CE7"/>
  </w:style>
  <w:style w:type="numbering" w:customStyle="1" w:styleId="Style1221">
    <w:name w:val="Style1221"/>
    <w:uiPriority w:val="99"/>
    <w:rsid w:val="00DA3CE7"/>
  </w:style>
  <w:style w:type="numbering" w:customStyle="1" w:styleId="Style1321">
    <w:name w:val="Style1321"/>
    <w:uiPriority w:val="99"/>
    <w:rsid w:val="00DA3CE7"/>
  </w:style>
  <w:style w:type="numbering" w:customStyle="1" w:styleId="NoList51">
    <w:name w:val="No List51"/>
    <w:next w:val="NoList"/>
    <w:uiPriority w:val="99"/>
    <w:semiHidden/>
    <w:unhideWhenUsed/>
    <w:rsid w:val="00DA3CE7"/>
  </w:style>
  <w:style w:type="table" w:customStyle="1" w:styleId="MediumList1141">
    <w:name w:val="Medium List 1141"/>
    <w:basedOn w:val="TableNormal"/>
    <w:uiPriority w:val="65"/>
    <w:rsid w:val="00E83C8C"/>
    <w:rPr>
      <w:rFonts w:ascii="Times New (W1)" w:hAnsi="Times New (W1)"/>
      <w:color w:val="000000"/>
      <w:sz w:val="24"/>
      <w:szCs w:val="24"/>
    </w:rPr>
    <w:tblPr/>
    <w:tblStylePr w:type="firstRow">
      <w:rPr>
        <w:rFonts w:ascii="Cambria" w:eastAsia="Times New Roman" w:hAnsi="Cambria" w:cs="Times New Roman"/>
      </w:rPr>
    </w:tblStylePr>
    <w:tblStylePr w:type="lastRow">
      <w:rPr>
        <w:b/>
        <w:bCs/>
        <w:color w:val="1F497D"/>
      </w:rPr>
    </w:tblStylePr>
    <w:tblStylePr w:type="firstCol">
      <w:rPr>
        <w:b/>
        <w:bCs/>
      </w:rPr>
    </w:tblStylePr>
    <w:tblStylePr w:type="lastCol">
      <w:rPr>
        <w:b/>
        <w:bCs/>
      </w:rPr>
    </w:tblStylePr>
  </w:style>
  <w:style w:type="numbering" w:customStyle="1" w:styleId="CurrentList131">
    <w:name w:val="Current List131"/>
    <w:uiPriority w:val="99"/>
    <w:rsid w:val="00DA3CE7"/>
  </w:style>
  <w:style w:type="numbering" w:customStyle="1" w:styleId="Style161">
    <w:name w:val="Style161"/>
    <w:uiPriority w:val="99"/>
    <w:rsid w:val="00DA3CE7"/>
  </w:style>
  <w:style w:type="numbering" w:customStyle="1" w:styleId="Style1131">
    <w:name w:val="Style1131"/>
    <w:uiPriority w:val="99"/>
    <w:rsid w:val="00DA3CE7"/>
  </w:style>
  <w:style w:type="numbering" w:customStyle="1" w:styleId="Style1231">
    <w:name w:val="Style1231"/>
    <w:uiPriority w:val="99"/>
    <w:rsid w:val="00DA3CE7"/>
  </w:style>
  <w:style w:type="numbering" w:customStyle="1" w:styleId="Style1331">
    <w:name w:val="Style1331"/>
    <w:uiPriority w:val="99"/>
    <w:rsid w:val="00DA3CE7"/>
  </w:style>
  <w:style w:type="paragraph" w:customStyle="1" w:styleId="Normal243">
    <w:name w:val="Normal_243"/>
    <w:qFormat/>
    <w:rsid w:val="00A014E5"/>
    <w:rPr>
      <w:sz w:val="24"/>
      <w:szCs w:val="24"/>
    </w:rPr>
  </w:style>
  <w:style w:type="table" w:customStyle="1" w:styleId="TableGrid7">
    <w:name w:val="Table Grid7"/>
    <w:basedOn w:val="TableNormal"/>
    <w:next w:val="TableGrid"/>
    <w:rsid w:val="00A677D0"/>
    <w:pPr>
      <w:spacing w:after="120"/>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0136">
      <w:bodyDiv w:val="1"/>
      <w:marLeft w:val="0"/>
      <w:marRight w:val="0"/>
      <w:marTop w:val="0"/>
      <w:marBottom w:val="0"/>
      <w:divBdr>
        <w:top w:val="none" w:sz="0" w:space="0" w:color="auto"/>
        <w:left w:val="none" w:sz="0" w:space="0" w:color="auto"/>
        <w:bottom w:val="none" w:sz="0" w:space="0" w:color="auto"/>
        <w:right w:val="none" w:sz="0" w:space="0" w:color="auto"/>
      </w:divBdr>
    </w:div>
    <w:div w:id="19403575">
      <w:bodyDiv w:val="1"/>
      <w:marLeft w:val="0"/>
      <w:marRight w:val="0"/>
      <w:marTop w:val="0"/>
      <w:marBottom w:val="0"/>
      <w:divBdr>
        <w:top w:val="none" w:sz="0" w:space="0" w:color="auto"/>
        <w:left w:val="none" w:sz="0" w:space="0" w:color="auto"/>
        <w:bottom w:val="none" w:sz="0" w:space="0" w:color="auto"/>
        <w:right w:val="none" w:sz="0" w:space="0" w:color="auto"/>
      </w:divBdr>
    </w:div>
    <w:div w:id="31925225">
      <w:bodyDiv w:val="1"/>
      <w:marLeft w:val="0"/>
      <w:marRight w:val="0"/>
      <w:marTop w:val="0"/>
      <w:marBottom w:val="0"/>
      <w:divBdr>
        <w:top w:val="none" w:sz="0" w:space="0" w:color="auto"/>
        <w:left w:val="none" w:sz="0" w:space="0" w:color="auto"/>
        <w:bottom w:val="none" w:sz="0" w:space="0" w:color="auto"/>
        <w:right w:val="none" w:sz="0" w:space="0" w:color="auto"/>
      </w:divBdr>
      <w:divsChild>
        <w:div w:id="611715644">
          <w:marLeft w:val="0"/>
          <w:marRight w:val="0"/>
          <w:marTop w:val="0"/>
          <w:marBottom w:val="0"/>
          <w:divBdr>
            <w:top w:val="none" w:sz="0" w:space="0" w:color="auto"/>
            <w:left w:val="none" w:sz="0" w:space="0" w:color="auto"/>
            <w:bottom w:val="none" w:sz="0" w:space="0" w:color="auto"/>
            <w:right w:val="none" w:sz="0" w:space="0" w:color="auto"/>
          </w:divBdr>
        </w:div>
        <w:div w:id="713039716">
          <w:marLeft w:val="0"/>
          <w:marRight w:val="0"/>
          <w:marTop w:val="0"/>
          <w:marBottom w:val="0"/>
          <w:divBdr>
            <w:top w:val="none" w:sz="0" w:space="0" w:color="auto"/>
            <w:left w:val="none" w:sz="0" w:space="0" w:color="auto"/>
            <w:bottom w:val="none" w:sz="0" w:space="0" w:color="auto"/>
            <w:right w:val="none" w:sz="0" w:space="0" w:color="auto"/>
          </w:divBdr>
        </w:div>
        <w:div w:id="883055705">
          <w:marLeft w:val="0"/>
          <w:marRight w:val="0"/>
          <w:marTop w:val="0"/>
          <w:marBottom w:val="0"/>
          <w:divBdr>
            <w:top w:val="none" w:sz="0" w:space="0" w:color="auto"/>
            <w:left w:val="none" w:sz="0" w:space="0" w:color="auto"/>
            <w:bottom w:val="none" w:sz="0" w:space="0" w:color="auto"/>
            <w:right w:val="none" w:sz="0" w:space="0" w:color="auto"/>
          </w:divBdr>
        </w:div>
        <w:div w:id="899363535">
          <w:marLeft w:val="0"/>
          <w:marRight w:val="0"/>
          <w:marTop w:val="0"/>
          <w:marBottom w:val="0"/>
          <w:divBdr>
            <w:top w:val="none" w:sz="0" w:space="0" w:color="auto"/>
            <w:left w:val="none" w:sz="0" w:space="0" w:color="auto"/>
            <w:bottom w:val="none" w:sz="0" w:space="0" w:color="auto"/>
            <w:right w:val="none" w:sz="0" w:space="0" w:color="auto"/>
          </w:divBdr>
        </w:div>
        <w:div w:id="957641180">
          <w:marLeft w:val="0"/>
          <w:marRight w:val="0"/>
          <w:marTop w:val="0"/>
          <w:marBottom w:val="0"/>
          <w:divBdr>
            <w:top w:val="none" w:sz="0" w:space="0" w:color="auto"/>
            <w:left w:val="none" w:sz="0" w:space="0" w:color="auto"/>
            <w:bottom w:val="none" w:sz="0" w:space="0" w:color="auto"/>
            <w:right w:val="none" w:sz="0" w:space="0" w:color="auto"/>
          </w:divBdr>
        </w:div>
        <w:div w:id="976954450">
          <w:marLeft w:val="0"/>
          <w:marRight w:val="0"/>
          <w:marTop w:val="0"/>
          <w:marBottom w:val="0"/>
          <w:divBdr>
            <w:top w:val="none" w:sz="0" w:space="0" w:color="auto"/>
            <w:left w:val="none" w:sz="0" w:space="0" w:color="auto"/>
            <w:bottom w:val="none" w:sz="0" w:space="0" w:color="auto"/>
            <w:right w:val="none" w:sz="0" w:space="0" w:color="auto"/>
          </w:divBdr>
        </w:div>
        <w:div w:id="1007631527">
          <w:marLeft w:val="0"/>
          <w:marRight w:val="0"/>
          <w:marTop w:val="0"/>
          <w:marBottom w:val="0"/>
          <w:divBdr>
            <w:top w:val="none" w:sz="0" w:space="0" w:color="auto"/>
            <w:left w:val="none" w:sz="0" w:space="0" w:color="auto"/>
            <w:bottom w:val="none" w:sz="0" w:space="0" w:color="auto"/>
            <w:right w:val="none" w:sz="0" w:space="0" w:color="auto"/>
          </w:divBdr>
        </w:div>
        <w:div w:id="1501895598">
          <w:marLeft w:val="0"/>
          <w:marRight w:val="0"/>
          <w:marTop w:val="0"/>
          <w:marBottom w:val="0"/>
          <w:divBdr>
            <w:top w:val="none" w:sz="0" w:space="0" w:color="auto"/>
            <w:left w:val="none" w:sz="0" w:space="0" w:color="auto"/>
            <w:bottom w:val="none" w:sz="0" w:space="0" w:color="auto"/>
            <w:right w:val="none" w:sz="0" w:space="0" w:color="auto"/>
          </w:divBdr>
        </w:div>
        <w:div w:id="1539732658">
          <w:marLeft w:val="0"/>
          <w:marRight w:val="0"/>
          <w:marTop w:val="0"/>
          <w:marBottom w:val="0"/>
          <w:divBdr>
            <w:top w:val="none" w:sz="0" w:space="0" w:color="auto"/>
            <w:left w:val="none" w:sz="0" w:space="0" w:color="auto"/>
            <w:bottom w:val="none" w:sz="0" w:space="0" w:color="auto"/>
            <w:right w:val="none" w:sz="0" w:space="0" w:color="auto"/>
          </w:divBdr>
        </w:div>
        <w:div w:id="1623732709">
          <w:marLeft w:val="0"/>
          <w:marRight w:val="0"/>
          <w:marTop w:val="0"/>
          <w:marBottom w:val="0"/>
          <w:divBdr>
            <w:top w:val="none" w:sz="0" w:space="0" w:color="auto"/>
            <w:left w:val="none" w:sz="0" w:space="0" w:color="auto"/>
            <w:bottom w:val="none" w:sz="0" w:space="0" w:color="auto"/>
            <w:right w:val="none" w:sz="0" w:space="0" w:color="auto"/>
          </w:divBdr>
        </w:div>
        <w:div w:id="1785922123">
          <w:marLeft w:val="0"/>
          <w:marRight w:val="0"/>
          <w:marTop w:val="0"/>
          <w:marBottom w:val="0"/>
          <w:divBdr>
            <w:top w:val="none" w:sz="0" w:space="0" w:color="auto"/>
            <w:left w:val="none" w:sz="0" w:space="0" w:color="auto"/>
            <w:bottom w:val="none" w:sz="0" w:space="0" w:color="auto"/>
            <w:right w:val="none" w:sz="0" w:space="0" w:color="auto"/>
          </w:divBdr>
        </w:div>
        <w:div w:id="1838570635">
          <w:marLeft w:val="0"/>
          <w:marRight w:val="0"/>
          <w:marTop w:val="0"/>
          <w:marBottom w:val="0"/>
          <w:divBdr>
            <w:top w:val="none" w:sz="0" w:space="0" w:color="auto"/>
            <w:left w:val="none" w:sz="0" w:space="0" w:color="auto"/>
            <w:bottom w:val="none" w:sz="0" w:space="0" w:color="auto"/>
            <w:right w:val="none" w:sz="0" w:space="0" w:color="auto"/>
          </w:divBdr>
        </w:div>
      </w:divsChild>
    </w:div>
    <w:div w:id="41295043">
      <w:bodyDiv w:val="1"/>
      <w:marLeft w:val="0"/>
      <w:marRight w:val="0"/>
      <w:marTop w:val="0"/>
      <w:marBottom w:val="0"/>
      <w:divBdr>
        <w:top w:val="none" w:sz="0" w:space="0" w:color="auto"/>
        <w:left w:val="none" w:sz="0" w:space="0" w:color="auto"/>
        <w:bottom w:val="none" w:sz="0" w:space="0" w:color="auto"/>
        <w:right w:val="none" w:sz="0" w:space="0" w:color="auto"/>
      </w:divBdr>
    </w:div>
    <w:div w:id="54016760">
      <w:bodyDiv w:val="1"/>
      <w:marLeft w:val="0"/>
      <w:marRight w:val="0"/>
      <w:marTop w:val="0"/>
      <w:marBottom w:val="0"/>
      <w:divBdr>
        <w:top w:val="none" w:sz="0" w:space="0" w:color="auto"/>
        <w:left w:val="none" w:sz="0" w:space="0" w:color="auto"/>
        <w:bottom w:val="none" w:sz="0" w:space="0" w:color="auto"/>
        <w:right w:val="none" w:sz="0" w:space="0" w:color="auto"/>
      </w:divBdr>
    </w:div>
    <w:div w:id="62413594">
      <w:bodyDiv w:val="1"/>
      <w:marLeft w:val="0"/>
      <w:marRight w:val="0"/>
      <w:marTop w:val="0"/>
      <w:marBottom w:val="0"/>
      <w:divBdr>
        <w:top w:val="none" w:sz="0" w:space="0" w:color="auto"/>
        <w:left w:val="none" w:sz="0" w:space="0" w:color="auto"/>
        <w:bottom w:val="none" w:sz="0" w:space="0" w:color="auto"/>
        <w:right w:val="none" w:sz="0" w:space="0" w:color="auto"/>
      </w:divBdr>
    </w:div>
    <w:div w:id="72699518">
      <w:bodyDiv w:val="1"/>
      <w:marLeft w:val="0"/>
      <w:marRight w:val="0"/>
      <w:marTop w:val="0"/>
      <w:marBottom w:val="0"/>
      <w:divBdr>
        <w:top w:val="none" w:sz="0" w:space="0" w:color="auto"/>
        <w:left w:val="none" w:sz="0" w:space="0" w:color="auto"/>
        <w:bottom w:val="none" w:sz="0" w:space="0" w:color="auto"/>
        <w:right w:val="none" w:sz="0" w:space="0" w:color="auto"/>
      </w:divBdr>
    </w:div>
    <w:div w:id="83185386">
      <w:bodyDiv w:val="1"/>
      <w:marLeft w:val="0"/>
      <w:marRight w:val="0"/>
      <w:marTop w:val="0"/>
      <w:marBottom w:val="0"/>
      <w:divBdr>
        <w:top w:val="none" w:sz="0" w:space="0" w:color="auto"/>
        <w:left w:val="none" w:sz="0" w:space="0" w:color="auto"/>
        <w:bottom w:val="none" w:sz="0" w:space="0" w:color="auto"/>
        <w:right w:val="none" w:sz="0" w:space="0" w:color="auto"/>
      </w:divBdr>
    </w:div>
    <w:div w:id="83845841">
      <w:bodyDiv w:val="1"/>
      <w:marLeft w:val="0"/>
      <w:marRight w:val="0"/>
      <w:marTop w:val="0"/>
      <w:marBottom w:val="0"/>
      <w:divBdr>
        <w:top w:val="none" w:sz="0" w:space="0" w:color="auto"/>
        <w:left w:val="none" w:sz="0" w:space="0" w:color="auto"/>
        <w:bottom w:val="none" w:sz="0" w:space="0" w:color="auto"/>
        <w:right w:val="none" w:sz="0" w:space="0" w:color="auto"/>
      </w:divBdr>
    </w:div>
    <w:div w:id="85856535">
      <w:bodyDiv w:val="1"/>
      <w:marLeft w:val="0"/>
      <w:marRight w:val="0"/>
      <w:marTop w:val="0"/>
      <w:marBottom w:val="0"/>
      <w:divBdr>
        <w:top w:val="none" w:sz="0" w:space="0" w:color="auto"/>
        <w:left w:val="none" w:sz="0" w:space="0" w:color="auto"/>
        <w:bottom w:val="none" w:sz="0" w:space="0" w:color="auto"/>
        <w:right w:val="none" w:sz="0" w:space="0" w:color="auto"/>
      </w:divBdr>
    </w:div>
    <w:div w:id="98841341">
      <w:bodyDiv w:val="1"/>
      <w:marLeft w:val="0"/>
      <w:marRight w:val="0"/>
      <w:marTop w:val="0"/>
      <w:marBottom w:val="0"/>
      <w:divBdr>
        <w:top w:val="none" w:sz="0" w:space="0" w:color="auto"/>
        <w:left w:val="none" w:sz="0" w:space="0" w:color="auto"/>
        <w:bottom w:val="none" w:sz="0" w:space="0" w:color="auto"/>
        <w:right w:val="none" w:sz="0" w:space="0" w:color="auto"/>
      </w:divBdr>
    </w:div>
    <w:div w:id="112140454">
      <w:bodyDiv w:val="1"/>
      <w:marLeft w:val="0"/>
      <w:marRight w:val="0"/>
      <w:marTop w:val="0"/>
      <w:marBottom w:val="0"/>
      <w:divBdr>
        <w:top w:val="none" w:sz="0" w:space="0" w:color="auto"/>
        <w:left w:val="none" w:sz="0" w:space="0" w:color="auto"/>
        <w:bottom w:val="none" w:sz="0" w:space="0" w:color="auto"/>
        <w:right w:val="none" w:sz="0" w:space="0" w:color="auto"/>
      </w:divBdr>
    </w:div>
    <w:div w:id="113721782">
      <w:bodyDiv w:val="1"/>
      <w:marLeft w:val="0"/>
      <w:marRight w:val="0"/>
      <w:marTop w:val="0"/>
      <w:marBottom w:val="0"/>
      <w:divBdr>
        <w:top w:val="none" w:sz="0" w:space="0" w:color="auto"/>
        <w:left w:val="none" w:sz="0" w:space="0" w:color="auto"/>
        <w:bottom w:val="none" w:sz="0" w:space="0" w:color="auto"/>
        <w:right w:val="none" w:sz="0" w:space="0" w:color="auto"/>
      </w:divBdr>
    </w:div>
    <w:div w:id="136339917">
      <w:bodyDiv w:val="1"/>
      <w:marLeft w:val="0"/>
      <w:marRight w:val="0"/>
      <w:marTop w:val="0"/>
      <w:marBottom w:val="0"/>
      <w:divBdr>
        <w:top w:val="none" w:sz="0" w:space="0" w:color="auto"/>
        <w:left w:val="none" w:sz="0" w:space="0" w:color="auto"/>
        <w:bottom w:val="none" w:sz="0" w:space="0" w:color="auto"/>
        <w:right w:val="none" w:sz="0" w:space="0" w:color="auto"/>
      </w:divBdr>
    </w:div>
    <w:div w:id="143671331">
      <w:bodyDiv w:val="1"/>
      <w:marLeft w:val="0"/>
      <w:marRight w:val="0"/>
      <w:marTop w:val="0"/>
      <w:marBottom w:val="0"/>
      <w:divBdr>
        <w:top w:val="none" w:sz="0" w:space="0" w:color="auto"/>
        <w:left w:val="none" w:sz="0" w:space="0" w:color="auto"/>
        <w:bottom w:val="none" w:sz="0" w:space="0" w:color="auto"/>
        <w:right w:val="none" w:sz="0" w:space="0" w:color="auto"/>
      </w:divBdr>
    </w:div>
    <w:div w:id="160196031">
      <w:bodyDiv w:val="1"/>
      <w:marLeft w:val="0"/>
      <w:marRight w:val="0"/>
      <w:marTop w:val="0"/>
      <w:marBottom w:val="0"/>
      <w:divBdr>
        <w:top w:val="none" w:sz="0" w:space="0" w:color="auto"/>
        <w:left w:val="none" w:sz="0" w:space="0" w:color="auto"/>
        <w:bottom w:val="none" w:sz="0" w:space="0" w:color="auto"/>
        <w:right w:val="none" w:sz="0" w:space="0" w:color="auto"/>
      </w:divBdr>
    </w:div>
    <w:div w:id="168639066">
      <w:bodyDiv w:val="1"/>
      <w:marLeft w:val="0"/>
      <w:marRight w:val="0"/>
      <w:marTop w:val="0"/>
      <w:marBottom w:val="0"/>
      <w:divBdr>
        <w:top w:val="none" w:sz="0" w:space="0" w:color="auto"/>
        <w:left w:val="none" w:sz="0" w:space="0" w:color="auto"/>
        <w:bottom w:val="none" w:sz="0" w:space="0" w:color="auto"/>
        <w:right w:val="none" w:sz="0" w:space="0" w:color="auto"/>
      </w:divBdr>
    </w:div>
    <w:div w:id="178282167">
      <w:bodyDiv w:val="1"/>
      <w:marLeft w:val="0"/>
      <w:marRight w:val="0"/>
      <w:marTop w:val="0"/>
      <w:marBottom w:val="0"/>
      <w:divBdr>
        <w:top w:val="none" w:sz="0" w:space="0" w:color="auto"/>
        <w:left w:val="none" w:sz="0" w:space="0" w:color="auto"/>
        <w:bottom w:val="none" w:sz="0" w:space="0" w:color="auto"/>
        <w:right w:val="none" w:sz="0" w:space="0" w:color="auto"/>
      </w:divBdr>
    </w:div>
    <w:div w:id="190383176">
      <w:bodyDiv w:val="1"/>
      <w:marLeft w:val="0"/>
      <w:marRight w:val="0"/>
      <w:marTop w:val="0"/>
      <w:marBottom w:val="0"/>
      <w:divBdr>
        <w:top w:val="none" w:sz="0" w:space="0" w:color="auto"/>
        <w:left w:val="none" w:sz="0" w:space="0" w:color="auto"/>
        <w:bottom w:val="none" w:sz="0" w:space="0" w:color="auto"/>
        <w:right w:val="none" w:sz="0" w:space="0" w:color="auto"/>
      </w:divBdr>
    </w:div>
    <w:div w:id="211893386">
      <w:bodyDiv w:val="1"/>
      <w:marLeft w:val="0"/>
      <w:marRight w:val="0"/>
      <w:marTop w:val="0"/>
      <w:marBottom w:val="0"/>
      <w:divBdr>
        <w:top w:val="none" w:sz="0" w:space="0" w:color="auto"/>
        <w:left w:val="none" w:sz="0" w:space="0" w:color="auto"/>
        <w:bottom w:val="none" w:sz="0" w:space="0" w:color="auto"/>
        <w:right w:val="none" w:sz="0" w:space="0" w:color="auto"/>
      </w:divBdr>
    </w:div>
    <w:div w:id="239022076">
      <w:bodyDiv w:val="1"/>
      <w:marLeft w:val="0"/>
      <w:marRight w:val="0"/>
      <w:marTop w:val="0"/>
      <w:marBottom w:val="0"/>
      <w:divBdr>
        <w:top w:val="none" w:sz="0" w:space="0" w:color="auto"/>
        <w:left w:val="none" w:sz="0" w:space="0" w:color="auto"/>
        <w:bottom w:val="none" w:sz="0" w:space="0" w:color="auto"/>
        <w:right w:val="none" w:sz="0" w:space="0" w:color="auto"/>
      </w:divBdr>
    </w:div>
    <w:div w:id="241111755">
      <w:bodyDiv w:val="1"/>
      <w:marLeft w:val="0"/>
      <w:marRight w:val="0"/>
      <w:marTop w:val="0"/>
      <w:marBottom w:val="0"/>
      <w:divBdr>
        <w:top w:val="none" w:sz="0" w:space="0" w:color="auto"/>
        <w:left w:val="none" w:sz="0" w:space="0" w:color="auto"/>
        <w:bottom w:val="none" w:sz="0" w:space="0" w:color="auto"/>
        <w:right w:val="none" w:sz="0" w:space="0" w:color="auto"/>
      </w:divBdr>
    </w:div>
    <w:div w:id="273901456">
      <w:bodyDiv w:val="1"/>
      <w:marLeft w:val="0"/>
      <w:marRight w:val="0"/>
      <w:marTop w:val="0"/>
      <w:marBottom w:val="0"/>
      <w:divBdr>
        <w:top w:val="none" w:sz="0" w:space="0" w:color="auto"/>
        <w:left w:val="none" w:sz="0" w:space="0" w:color="auto"/>
        <w:bottom w:val="none" w:sz="0" w:space="0" w:color="auto"/>
        <w:right w:val="none" w:sz="0" w:space="0" w:color="auto"/>
      </w:divBdr>
    </w:div>
    <w:div w:id="275210718">
      <w:bodyDiv w:val="1"/>
      <w:marLeft w:val="0"/>
      <w:marRight w:val="0"/>
      <w:marTop w:val="0"/>
      <w:marBottom w:val="0"/>
      <w:divBdr>
        <w:top w:val="none" w:sz="0" w:space="0" w:color="auto"/>
        <w:left w:val="none" w:sz="0" w:space="0" w:color="auto"/>
        <w:bottom w:val="none" w:sz="0" w:space="0" w:color="auto"/>
        <w:right w:val="none" w:sz="0" w:space="0" w:color="auto"/>
      </w:divBdr>
    </w:div>
    <w:div w:id="277611783">
      <w:bodyDiv w:val="1"/>
      <w:marLeft w:val="0"/>
      <w:marRight w:val="0"/>
      <w:marTop w:val="0"/>
      <w:marBottom w:val="0"/>
      <w:divBdr>
        <w:top w:val="none" w:sz="0" w:space="0" w:color="auto"/>
        <w:left w:val="none" w:sz="0" w:space="0" w:color="auto"/>
        <w:bottom w:val="none" w:sz="0" w:space="0" w:color="auto"/>
        <w:right w:val="none" w:sz="0" w:space="0" w:color="auto"/>
      </w:divBdr>
    </w:div>
    <w:div w:id="281349310">
      <w:bodyDiv w:val="1"/>
      <w:marLeft w:val="0"/>
      <w:marRight w:val="0"/>
      <w:marTop w:val="0"/>
      <w:marBottom w:val="0"/>
      <w:divBdr>
        <w:top w:val="none" w:sz="0" w:space="0" w:color="auto"/>
        <w:left w:val="none" w:sz="0" w:space="0" w:color="auto"/>
        <w:bottom w:val="none" w:sz="0" w:space="0" w:color="auto"/>
        <w:right w:val="none" w:sz="0" w:space="0" w:color="auto"/>
      </w:divBdr>
      <w:divsChild>
        <w:div w:id="794373637">
          <w:marLeft w:val="0"/>
          <w:marRight w:val="0"/>
          <w:marTop w:val="0"/>
          <w:marBottom w:val="0"/>
          <w:divBdr>
            <w:top w:val="none" w:sz="0" w:space="0" w:color="auto"/>
            <w:left w:val="none" w:sz="0" w:space="0" w:color="auto"/>
            <w:bottom w:val="none" w:sz="0" w:space="0" w:color="auto"/>
            <w:right w:val="none" w:sz="0" w:space="0" w:color="auto"/>
          </w:divBdr>
        </w:div>
      </w:divsChild>
    </w:div>
    <w:div w:id="309755570">
      <w:bodyDiv w:val="1"/>
      <w:marLeft w:val="0"/>
      <w:marRight w:val="0"/>
      <w:marTop w:val="0"/>
      <w:marBottom w:val="0"/>
      <w:divBdr>
        <w:top w:val="none" w:sz="0" w:space="0" w:color="auto"/>
        <w:left w:val="none" w:sz="0" w:space="0" w:color="auto"/>
        <w:bottom w:val="none" w:sz="0" w:space="0" w:color="auto"/>
        <w:right w:val="none" w:sz="0" w:space="0" w:color="auto"/>
      </w:divBdr>
      <w:divsChild>
        <w:div w:id="40982144">
          <w:marLeft w:val="0"/>
          <w:marRight w:val="0"/>
          <w:marTop w:val="0"/>
          <w:marBottom w:val="0"/>
          <w:divBdr>
            <w:top w:val="none" w:sz="0" w:space="0" w:color="auto"/>
            <w:left w:val="none" w:sz="0" w:space="0" w:color="auto"/>
            <w:bottom w:val="none" w:sz="0" w:space="0" w:color="auto"/>
            <w:right w:val="none" w:sz="0" w:space="0" w:color="auto"/>
          </w:divBdr>
        </w:div>
      </w:divsChild>
    </w:div>
    <w:div w:id="362486185">
      <w:bodyDiv w:val="1"/>
      <w:marLeft w:val="0"/>
      <w:marRight w:val="0"/>
      <w:marTop w:val="0"/>
      <w:marBottom w:val="0"/>
      <w:divBdr>
        <w:top w:val="none" w:sz="0" w:space="0" w:color="auto"/>
        <w:left w:val="none" w:sz="0" w:space="0" w:color="auto"/>
        <w:bottom w:val="none" w:sz="0" w:space="0" w:color="auto"/>
        <w:right w:val="none" w:sz="0" w:space="0" w:color="auto"/>
      </w:divBdr>
      <w:divsChild>
        <w:div w:id="706687157">
          <w:marLeft w:val="0"/>
          <w:marRight w:val="0"/>
          <w:marTop w:val="0"/>
          <w:marBottom w:val="0"/>
          <w:divBdr>
            <w:top w:val="none" w:sz="0" w:space="0" w:color="auto"/>
            <w:left w:val="none" w:sz="0" w:space="0" w:color="auto"/>
            <w:bottom w:val="none" w:sz="0" w:space="0" w:color="auto"/>
            <w:right w:val="none" w:sz="0" w:space="0" w:color="auto"/>
          </w:divBdr>
        </w:div>
      </w:divsChild>
    </w:div>
    <w:div w:id="365106124">
      <w:bodyDiv w:val="1"/>
      <w:marLeft w:val="0"/>
      <w:marRight w:val="0"/>
      <w:marTop w:val="0"/>
      <w:marBottom w:val="0"/>
      <w:divBdr>
        <w:top w:val="none" w:sz="0" w:space="0" w:color="auto"/>
        <w:left w:val="none" w:sz="0" w:space="0" w:color="auto"/>
        <w:bottom w:val="none" w:sz="0" w:space="0" w:color="auto"/>
        <w:right w:val="none" w:sz="0" w:space="0" w:color="auto"/>
      </w:divBdr>
    </w:div>
    <w:div w:id="379207482">
      <w:bodyDiv w:val="1"/>
      <w:marLeft w:val="0"/>
      <w:marRight w:val="0"/>
      <w:marTop w:val="0"/>
      <w:marBottom w:val="0"/>
      <w:divBdr>
        <w:top w:val="none" w:sz="0" w:space="0" w:color="auto"/>
        <w:left w:val="none" w:sz="0" w:space="0" w:color="auto"/>
        <w:bottom w:val="none" w:sz="0" w:space="0" w:color="auto"/>
        <w:right w:val="none" w:sz="0" w:space="0" w:color="auto"/>
      </w:divBdr>
    </w:div>
    <w:div w:id="383912321">
      <w:bodyDiv w:val="1"/>
      <w:marLeft w:val="0"/>
      <w:marRight w:val="0"/>
      <w:marTop w:val="0"/>
      <w:marBottom w:val="0"/>
      <w:divBdr>
        <w:top w:val="none" w:sz="0" w:space="0" w:color="auto"/>
        <w:left w:val="none" w:sz="0" w:space="0" w:color="auto"/>
        <w:bottom w:val="none" w:sz="0" w:space="0" w:color="auto"/>
        <w:right w:val="none" w:sz="0" w:space="0" w:color="auto"/>
      </w:divBdr>
    </w:div>
    <w:div w:id="394671853">
      <w:bodyDiv w:val="1"/>
      <w:marLeft w:val="0"/>
      <w:marRight w:val="0"/>
      <w:marTop w:val="0"/>
      <w:marBottom w:val="0"/>
      <w:divBdr>
        <w:top w:val="none" w:sz="0" w:space="0" w:color="auto"/>
        <w:left w:val="none" w:sz="0" w:space="0" w:color="auto"/>
        <w:bottom w:val="none" w:sz="0" w:space="0" w:color="auto"/>
        <w:right w:val="none" w:sz="0" w:space="0" w:color="auto"/>
      </w:divBdr>
    </w:div>
    <w:div w:id="426266718">
      <w:bodyDiv w:val="1"/>
      <w:marLeft w:val="0"/>
      <w:marRight w:val="0"/>
      <w:marTop w:val="0"/>
      <w:marBottom w:val="0"/>
      <w:divBdr>
        <w:top w:val="none" w:sz="0" w:space="0" w:color="auto"/>
        <w:left w:val="none" w:sz="0" w:space="0" w:color="auto"/>
        <w:bottom w:val="none" w:sz="0" w:space="0" w:color="auto"/>
        <w:right w:val="none" w:sz="0" w:space="0" w:color="auto"/>
      </w:divBdr>
    </w:div>
    <w:div w:id="437339385">
      <w:bodyDiv w:val="1"/>
      <w:marLeft w:val="0"/>
      <w:marRight w:val="0"/>
      <w:marTop w:val="0"/>
      <w:marBottom w:val="0"/>
      <w:divBdr>
        <w:top w:val="none" w:sz="0" w:space="0" w:color="auto"/>
        <w:left w:val="none" w:sz="0" w:space="0" w:color="auto"/>
        <w:bottom w:val="none" w:sz="0" w:space="0" w:color="auto"/>
        <w:right w:val="none" w:sz="0" w:space="0" w:color="auto"/>
      </w:divBdr>
    </w:div>
    <w:div w:id="447621754">
      <w:bodyDiv w:val="1"/>
      <w:marLeft w:val="0"/>
      <w:marRight w:val="0"/>
      <w:marTop w:val="0"/>
      <w:marBottom w:val="0"/>
      <w:divBdr>
        <w:top w:val="none" w:sz="0" w:space="0" w:color="auto"/>
        <w:left w:val="none" w:sz="0" w:space="0" w:color="auto"/>
        <w:bottom w:val="none" w:sz="0" w:space="0" w:color="auto"/>
        <w:right w:val="none" w:sz="0" w:space="0" w:color="auto"/>
      </w:divBdr>
    </w:div>
    <w:div w:id="473718300">
      <w:bodyDiv w:val="1"/>
      <w:marLeft w:val="0"/>
      <w:marRight w:val="0"/>
      <w:marTop w:val="0"/>
      <w:marBottom w:val="0"/>
      <w:divBdr>
        <w:top w:val="none" w:sz="0" w:space="0" w:color="auto"/>
        <w:left w:val="none" w:sz="0" w:space="0" w:color="auto"/>
        <w:bottom w:val="none" w:sz="0" w:space="0" w:color="auto"/>
        <w:right w:val="none" w:sz="0" w:space="0" w:color="auto"/>
      </w:divBdr>
    </w:div>
    <w:div w:id="475882846">
      <w:bodyDiv w:val="1"/>
      <w:marLeft w:val="0"/>
      <w:marRight w:val="0"/>
      <w:marTop w:val="0"/>
      <w:marBottom w:val="0"/>
      <w:divBdr>
        <w:top w:val="none" w:sz="0" w:space="0" w:color="auto"/>
        <w:left w:val="none" w:sz="0" w:space="0" w:color="auto"/>
        <w:bottom w:val="none" w:sz="0" w:space="0" w:color="auto"/>
        <w:right w:val="none" w:sz="0" w:space="0" w:color="auto"/>
      </w:divBdr>
    </w:div>
    <w:div w:id="484006457">
      <w:bodyDiv w:val="1"/>
      <w:marLeft w:val="0"/>
      <w:marRight w:val="0"/>
      <w:marTop w:val="0"/>
      <w:marBottom w:val="0"/>
      <w:divBdr>
        <w:top w:val="none" w:sz="0" w:space="0" w:color="auto"/>
        <w:left w:val="none" w:sz="0" w:space="0" w:color="auto"/>
        <w:bottom w:val="none" w:sz="0" w:space="0" w:color="auto"/>
        <w:right w:val="none" w:sz="0" w:space="0" w:color="auto"/>
      </w:divBdr>
    </w:div>
    <w:div w:id="485362601">
      <w:bodyDiv w:val="1"/>
      <w:marLeft w:val="0"/>
      <w:marRight w:val="0"/>
      <w:marTop w:val="0"/>
      <w:marBottom w:val="0"/>
      <w:divBdr>
        <w:top w:val="none" w:sz="0" w:space="0" w:color="auto"/>
        <w:left w:val="none" w:sz="0" w:space="0" w:color="auto"/>
        <w:bottom w:val="none" w:sz="0" w:space="0" w:color="auto"/>
        <w:right w:val="none" w:sz="0" w:space="0" w:color="auto"/>
      </w:divBdr>
    </w:div>
    <w:div w:id="512304560">
      <w:bodyDiv w:val="1"/>
      <w:marLeft w:val="0"/>
      <w:marRight w:val="0"/>
      <w:marTop w:val="0"/>
      <w:marBottom w:val="0"/>
      <w:divBdr>
        <w:top w:val="none" w:sz="0" w:space="0" w:color="auto"/>
        <w:left w:val="none" w:sz="0" w:space="0" w:color="auto"/>
        <w:bottom w:val="none" w:sz="0" w:space="0" w:color="auto"/>
        <w:right w:val="none" w:sz="0" w:space="0" w:color="auto"/>
      </w:divBdr>
    </w:div>
    <w:div w:id="519047812">
      <w:bodyDiv w:val="1"/>
      <w:marLeft w:val="0"/>
      <w:marRight w:val="0"/>
      <w:marTop w:val="0"/>
      <w:marBottom w:val="0"/>
      <w:divBdr>
        <w:top w:val="none" w:sz="0" w:space="0" w:color="auto"/>
        <w:left w:val="none" w:sz="0" w:space="0" w:color="auto"/>
        <w:bottom w:val="none" w:sz="0" w:space="0" w:color="auto"/>
        <w:right w:val="none" w:sz="0" w:space="0" w:color="auto"/>
      </w:divBdr>
    </w:div>
    <w:div w:id="521672967">
      <w:bodyDiv w:val="1"/>
      <w:marLeft w:val="0"/>
      <w:marRight w:val="0"/>
      <w:marTop w:val="0"/>
      <w:marBottom w:val="0"/>
      <w:divBdr>
        <w:top w:val="none" w:sz="0" w:space="0" w:color="auto"/>
        <w:left w:val="none" w:sz="0" w:space="0" w:color="auto"/>
        <w:bottom w:val="none" w:sz="0" w:space="0" w:color="auto"/>
        <w:right w:val="none" w:sz="0" w:space="0" w:color="auto"/>
      </w:divBdr>
    </w:div>
    <w:div w:id="522473545">
      <w:bodyDiv w:val="1"/>
      <w:marLeft w:val="0"/>
      <w:marRight w:val="0"/>
      <w:marTop w:val="0"/>
      <w:marBottom w:val="0"/>
      <w:divBdr>
        <w:top w:val="none" w:sz="0" w:space="0" w:color="auto"/>
        <w:left w:val="none" w:sz="0" w:space="0" w:color="auto"/>
        <w:bottom w:val="none" w:sz="0" w:space="0" w:color="auto"/>
        <w:right w:val="none" w:sz="0" w:space="0" w:color="auto"/>
      </w:divBdr>
    </w:div>
    <w:div w:id="535508111">
      <w:bodyDiv w:val="1"/>
      <w:marLeft w:val="0"/>
      <w:marRight w:val="0"/>
      <w:marTop w:val="0"/>
      <w:marBottom w:val="0"/>
      <w:divBdr>
        <w:top w:val="none" w:sz="0" w:space="0" w:color="auto"/>
        <w:left w:val="none" w:sz="0" w:space="0" w:color="auto"/>
        <w:bottom w:val="none" w:sz="0" w:space="0" w:color="auto"/>
        <w:right w:val="none" w:sz="0" w:space="0" w:color="auto"/>
      </w:divBdr>
    </w:div>
    <w:div w:id="541791864">
      <w:bodyDiv w:val="1"/>
      <w:marLeft w:val="0"/>
      <w:marRight w:val="0"/>
      <w:marTop w:val="0"/>
      <w:marBottom w:val="0"/>
      <w:divBdr>
        <w:top w:val="none" w:sz="0" w:space="0" w:color="auto"/>
        <w:left w:val="none" w:sz="0" w:space="0" w:color="auto"/>
        <w:bottom w:val="none" w:sz="0" w:space="0" w:color="auto"/>
        <w:right w:val="none" w:sz="0" w:space="0" w:color="auto"/>
      </w:divBdr>
      <w:divsChild>
        <w:div w:id="1251044263">
          <w:marLeft w:val="0"/>
          <w:marRight w:val="0"/>
          <w:marTop w:val="0"/>
          <w:marBottom w:val="0"/>
          <w:divBdr>
            <w:top w:val="none" w:sz="0" w:space="0" w:color="auto"/>
            <w:left w:val="none" w:sz="0" w:space="0" w:color="auto"/>
            <w:bottom w:val="none" w:sz="0" w:space="0" w:color="auto"/>
            <w:right w:val="none" w:sz="0" w:space="0" w:color="auto"/>
          </w:divBdr>
        </w:div>
      </w:divsChild>
    </w:div>
    <w:div w:id="551040936">
      <w:bodyDiv w:val="1"/>
      <w:marLeft w:val="0"/>
      <w:marRight w:val="0"/>
      <w:marTop w:val="0"/>
      <w:marBottom w:val="0"/>
      <w:divBdr>
        <w:top w:val="none" w:sz="0" w:space="0" w:color="auto"/>
        <w:left w:val="none" w:sz="0" w:space="0" w:color="auto"/>
        <w:bottom w:val="none" w:sz="0" w:space="0" w:color="auto"/>
        <w:right w:val="none" w:sz="0" w:space="0" w:color="auto"/>
      </w:divBdr>
    </w:div>
    <w:div w:id="607933406">
      <w:bodyDiv w:val="1"/>
      <w:marLeft w:val="0"/>
      <w:marRight w:val="0"/>
      <w:marTop w:val="0"/>
      <w:marBottom w:val="0"/>
      <w:divBdr>
        <w:top w:val="none" w:sz="0" w:space="0" w:color="auto"/>
        <w:left w:val="none" w:sz="0" w:space="0" w:color="auto"/>
        <w:bottom w:val="none" w:sz="0" w:space="0" w:color="auto"/>
        <w:right w:val="none" w:sz="0" w:space="0" w:color="auto"/>
      </w:divBdr>
    </w:div>
    <w:div w:id="609821813">
      <w:bodyDiv w:val="1"/>
      <w:marLeft w:val="0"/>
      <w:marRight w:val="0"/>
      <w:marTop w:val="0"/>
      <w:marBottom w:val="0"/>
      <w:divBdr>
        <w:top w:val="none" w:sz="0" w:space="0" w:color="auto"/>
        <w:left w:val="none" w:sz="0" w:space="0" w:color="auto"/>
        <w:bottom w:val="none" w:sz="0" w:space="0" w:color="auto"/>
        <w:right w:val="none" w:sz="0" w:space="0" w:color="auto"/>
      </w:divBdr>
    </w:div>
    <w:div w:id="641348526">
      <w:bodyDiv w:val="1"/>
      <w:marLeft w:val="0"/>
      <w:marRight w:val="0"/>
      <w:marTop w:val="0"/>
      <w:marBottom w:val="0"/>
      <w:divBdr>
        <w:top w:val="none" w:sz="0" w:space="0" w:color="auto"/>
        <w:left w:val="none" w:sz="0" w:space="0" w:color="auto"/>
        <w:bottom w:val="none" w:sz="0" w:space="0" w:color="auto"/>
        <w:right w:val="none" w:sz="0" w:space="0" w:color="auto"/>
      </w:divBdr>
    </w:div>
    <w:div w:id="642393220">
      <w:bodyDiv w:val="1"/>
      <w:marLeft w:val="0"/>
      <w:marRight w:val="0"/>
      <w:marTop w:val="0"/>
      <w:marBottom w:val="0"/>
      <w:divBdr>
        <w:top w:val="none" w:sz="0" w:space="0" w:color="auto"/>
        <w:left w:val="none" w:sz="0" w:space="0" w:color="auto"/>
        <w:bottom w:val="none" w:sz="0" w:space="0" w:color="auto"/>
        <w:right w:val="none" w:sz="0" w:space="0" w:color="auto"/>
      </w:divBdr>
    </w:div>
    <w:div w:id="672612800">
      <w:bodyDiv w:val="1"/>
      <w:marLeft w:val="0"/>
      <w:marRight w:val="0"/>
      <w:marTop w:val="0"/>
      <w:marBottom w:val="0"/>
      <w:divBdr>
        <w:top w:val="none" w:sz="0" w:space="0" w:color="auto"/>
        <w:left w:val="none" w:sz="0" w:space="0" w:color="auto"/>
        <w:bottom w:val="none" w:sz="0" w:space="0" w:color="auto"/>
        <w:right w:val="none" w:sz="0" w:space="0" w:color="auto"/>
      </w:divBdr>
    </w:div>
    <w:div w:id="676154418">
      <w:bodyDiv w:val="1"/>
      <w:marLeft w:val="0"/>
      <w:marRight w:val="0"/>
      <w:marTop w:val="0"/>
      <w:marBottom w:val="0"/>
      <w:divBdr>
        <w:top w:val="none" w:sz="0" w:space="0" w:color="auto"/>
        <w:left w:val="none" w:sz="0" w:space="0" w:color="auto"/>
        <w:bottom w:val="none" w:sz="0" w:space="0" w:color="auto"/>
        <w:right w:val="none" w:sz="0" w:space="0" w:color="auto"/>
      </w:divBdr>
    </w:div>
    <w:div w:id="696852296">
      <w:bodyDiv w:val="1"/>
      <w:marLeft w:val="0"/>
      <w:marRight w:val="0"/>
      <w:marTop w:val="0"/>
      <w:marBottom w:val="0"/>
      <w:divBdr>
        <w:top w:val="none" w:sz="0" w:space="0" w:color="auto"/>
        <w:left w:val="none" w:sz="0" w:space="0" w:color="auto"/>
        <w:bottom w:val="none" w:sz="0" w:space="0" w:color="auto"/>
        <w:right w:val="none" w:sz="0" w:space="0" w:color="auto"/>
      </w:divBdr>
    </w:div>
    <w:div w:id="706443739">
      <w:bodyDiv w:val="1"/>
      <w:marLeft w:val="0"/>
      <w:marRight w:val="0"/>
      <w:marTop w:val="0"/>
      <w:marBottom w:val="0"/>
      <w:divBdr>
        <w:top w:val="none" w:sz="0" w:space="0" w:color="auto"/>
        <w:left w:val="none" w:sz="0" w:space="0" w:color="auto"/>
        <w:bottom w:val="none" w:sz="0" w:space="0" w:color="auto"/>
        <w:right w:val="none" w:sz="0" w:space="0" w:color="auto"/>
      </w:divBdr>
    </w:div>
    <w:div w:id="721174164">
      <w:bodyDiv w:val="1"/>
      <w:marLeft w:val="0"/>
      <w:marRight w:val="0"/>
      <w:marTop w:val="0"/>
      <w:marBottom w:val="0"/>
      <w:divBdr>
        <w:top w:val="none" w:sz="0" w:space="0" w:color="auto"/>
        <w:left w:val="none" w:sz="0" w:space="0" w:color="auto"/>
        <w:bottom w:val="none" w:sz="0" w:space="0" w:color="auto"/>
        <w:right w:val="none" w:sz="0" w:space="0" w:color="auto"/>
      </w:divBdr>
      <w:divsChild>
        <w:div w:id="1417749981">
          <w:marLeft w:val="0"/>
          <w:marRight w:val="0"/>
          <w:marTop w:val="0"/>
          <w:marBottom w:val="0"/>
          <w:divBdr>
            <w:top w:val="none" w:sz="0" w:space="0" w:color="auto"/>
            <w:left w:val="none" w:sz="0" w:space="0" w:color="auto"/>
            <w:bottom w:val="none" w:sz="0" w:space="0" w:color="auto"/>
            <w:right w:val="none" w:sz="0" w:space="0" w:color="auto"/>
          </w:divBdr>
        </w:div>
      </w:divsChild>
    </w:div>
    <w:div w:id="726538144">
      <w:bodyDiv w:val="1"/>
      <w:marLeft w:val="0"/>
      <w:marRight w:val="0"/>
      <w:marTop w:val="0"/>
      <w:marBottom w:val="0"/>
      <w:divBdr>
        <w:top w:val="none" w:sz="0" w:space="0" w:color="auto"/>
        <w:left w:val="none" w:sz="0" w:space="0" w:color="auto"/>
        <w:bottom w:val="none" w:sz="0" w:space="0" w:color="auto"/>
        <w:right w:val="none" w:sz="0" w:space="0" w:color="auto"/>
      </w:divBdr>
    </w:div>
    <w:div w:id="735855863">
      <w:bodyDiv w:val="1"/>
      <w:marLeft w:val="0"/>
      <w:marRight w:val="0"/>
      <w:marTop w:val="0"/>
      <w:marBottom w:val="0"/>
      <w:divBdr>
        <w:top w:val="none" w:sz="0" w:space="0" w:color="auto"/>
        <w:left w:val="none" w:sz="0" w:space="0" w:color="auto"/>
        <w:bottom w:val="none" w:sz="0" w:space="0" w:color="auto"/>
        <w:right w:val="none" w:sz="0" w:space="0" w:color="auto"/>
      </w:divBdr>
    </w:div>
    <w:div w:id="746851001">
      <w:bodyDiv w:val="1"/>
      <w:marLeft w:val="0"/>
      <w:marRight w:val="0"/>
      <w:marTop w:val="0"/>
      <w:marBottom w:val="0"/>
      <w:divBdr>
        <w:top w:val="none" w:sz="0" w:space="0" w:color="auto"/>
        <w:left w:val="none" w:sz="0" w:space="0" w:color="auto"/>
        <w:bottom w:val="none" w:sz="0" w:space="0" w:color="auto"/>
        <w:right w:val="none" w:sz="0" w:space="0" w:color="auto"/>
      </w:divBdr>
    </w:div>
    <w:div w:id="767505148">
      <w:bodyDiv w:val="1"/>
      <w:marLeft w:val="0"/>
      <w:marRight w:val="0"/>
      <w:marTop w:val="0"/>
      <w:marBottom w:val="0"/>
      <w:divBdr>
        <w:top w:val="none" w:sz="0" w:space="0" w:color="auto"/>
        <w:left w:val="none" w:sz="0" w:space="0" w:color="auto"/>
        <w:bottom w:val="none" w:sz="0" w:space="0" w:color="auto"/>
        <w:right w:val="none" w:sz="0" w:space="0" w:color="auto"/>
      </w:divBdr>
    </w:div>
    <w:div w:id="784228604">
      <w:bodyDiv w:val="1"/>
      <w:marLeft w:val="0"/>
      <w:marRight w:val="0"/>
      <w:marTop w:val="0"/>
      <w:marBottom w:val="0"/>
      <w:divBdr>
        <w:top w:val="none" w:sz="0" w:space="0" w:color="auto"/>
        <w:left w:val="none" w:sz="0" w:space="0" w:color="auto"/>
        <w:bottom w:val="none" w:sz="0" w:space="0" w:color="auto"/>
        <w:right w:val="none" w:sz="0" w:space="0" w:color="auto"/>
      </w:divBdr>
    </w:div>
    <w:div w:id="793208899">
      <w:bodyDiv w:val="1"/>
      <w:marLeft w:val="0"/>
      <w:marRight w:val="0"/>
      <w:marTop w:val="0"/>
      <w:marBottom w:val="0"/>
      <w:divBdr>
        <w:top w:val="none" w:sz="0" w:space="0" w:color="auto"/>
        <w:left w:val="none" w:sz="0" w:space="0" w:color="auto"/>
        <w:bottom w:val="none" w:sz="0" w:space="0" w:color="auto"/>
        <w:right w:val="none" w:sz="0" w:space="0" w:color="auto"/>
      </w:divBdr>
    </w:div>
    <w:div w:id="804664991">
      <w:bodyDiv w:val="1"/>
      <w:marLeft w:val="0"/>
      <w:marRight w:val="0"/>
      <w:marTop w:val="0"/>
      <w:marBottom w:val="0"/>
      <w:divBdr>
        <w:top w:val="none" w:sz="0" w:space="0" w:color="auto"/>
        <w:left w:val="none" w:sz="0" w:space="0" w:color="auto"/>
        <w:bottom w:val="none" w:sz="0" w:space="0" w:color="auto"/>
        <w:right w:val="none" w:sz="0" w:space="0" w:color="auto"/>
      </w:divBdr>
    </w:div>
    <w:div w:id="808519251">
      <w:bodyDiv w:val="1"/>
      <w:marLeft w:val="0"/>
      <w:marRight w:val="0"/>
      <w:marTop w:val="0"/>
      <w:marBottom w:val="0"/>
      <w:divBdr>
        <w:top w:val="none" w:sz="0" w:space="0" w:color="auto"/>
        <w:left w:val="none" w:sz="0" w:space="0" w:color="auto"/>
        <w:bottom w:val="none" w:sz="0" w:space="0" w:color="auto"/>
        <w:right w:val="none" w:sz="0" w:space="0" w:color="auto"/>
      </w:divBdr>
    </w:div>
    <w:div w:id="810512612">
      <w:bodyDiv w:val="1"/>
      <w:marLeft w:val="0"/>
      <w:marRight w:val="0"/>
      <w:marTop w:val="0"/>
      <w:marBottom w:val="0"/>
      <w:divBdr>
        <w:top w:val="none" w:sz="0" w:space="0" w:color="auto"/>
        <w:left w:val="none" w:sz="0" w:space="0" w:color="auto"/>
        <w:bottom w:val="none" w:sz="0" w:space="0" w:color="auto"/>
        <w:right w:val="none" w:sz="0" w:space="0" w:color="auto"/>
      </w:divBdr>
    </w:div>
    <w:div w:id="810906511">
      <w:bodyDiv w:val="1"/>
      <w:marLeft w:val="0"/>
      <w:marRight w:val="0"/>
      <w:marTop w:val="0"/>
      <w:marBottom w:val="0"/>
      <w:divBdr>
        <w:top w:val="none" w:sz="0" w:space="0" w:color="auto"/>
        <w:left w:val="none" w:sz="0" w:space="0" w:color="auto"/>
        <w:bottom w:val="none" w:sz="0" w:space="0" w:color="auto"/>
        <w:right w:val="none" w:sz="0" w:space="0" w:color="auto"/>
      </w:divBdr>
    </w:div>
    <w:div w:id="818032418">
      <w:bodyDiv w:val="1"/>
      <w:marLeft w:val="0"/>
      <w:marRight w:val="0"/>
      <w:marTop w:val="0"/>
      <w:marBottom w:val="0"/>
      <w:divBdr>
        <w:top w:val="none" w:sz="0" w:space="0" w:color="auto"/>
        <w:left w:val="none" w:sz="0" w:space="0" w:color="auto"/>
        <w:bottom w:val="none" w:sz="0" w:space="0" w:color="auto"/>
        <w:right w:val="none" w:sz="0" w:space="0" w:color="auto"/>
      </w:divBdr>
    </w:div>
    <w:div w:id="853112295">
      <w:bodyDiv w:val="1"/>
      <w:marLeft w:val="0"/>
      <w:marRight w:val="0"/>
      <w:marTop w:val="0"/>
      <w:marBottom w:val="0"/>
      <w:divBdr>
        <w:top w:val="none" w:sz="0" w:space="0" w:color="auto"/>
        <w:left w:val="none" w:sz="0" w:space="0" w:color="auto"/>
        <w:bottom w:val="none" w:sz="0" w:space="0" w:color="auto"/>
        <w:right w:val="none" w:sz="0" w:space="0" w:color="auto"/>
      </w:divBdr>
    </w:div>
    <w:div w:id="858815187">
      <w:bodyDiv w:val="1"/>
      <w:marLeft w:val="0"/>
      <w:marRight w:val="0"/>
      <w:marTop w:val="0"/>
      <w:marBottom w:val="0"/>
      <w:divBdr>
        <w:top w:val="none" w:sz="0" w:space="0" w:color="auto"/>
        <w:left w:val="none" w:sz="0" w:space="0" w:color="auto"/>
        <w:bottom w:val="none" w:sz="0" w:space="0" w:color="auto"/>
        <w:right w:val="none" w:sz="0" w:space="0" w:color="auto"/>
      </w:divBdr>
    </w:div>
    <w:div w:id="865753603">
      <w:bodyDiv w:val="1"/>
      <w:marLeft w:val="0"/>
      <w:marRight w:val="0"/>
      <w:marTop w:val="0"/>
      <w:marBottom w:val="0"/>
      <w:divBdr>
        <w:top w:val="none" w:sz="0" w:space="0" w:color="auto"/>
        <w:left w:val="none" w:sz="0" w:space="0" w:color="auto"/>
        <w:bottom w:val="none" w:sz="0" w:space="0" w:color="auto"/>
        <w:right w:val="none" w:sz="0" w:space="0" w:color="auto"/>
      </w:divBdr>
    </w:div>
    <w:div w:id="876160033">
      <w:bodyDiv w:val="1"/>
      <w:marLeft w:val="0"/>
      <w:marRight w:val="0"/>
      <w:marTop w:val="0"/>
      <w:marBottom w:val="0"/>
      <w:divBdr>
        <w:top w:val="none" w:sz="0" w:space="0" w:color="auto"/>
        <w:left w:val="none" w:sz="0" w:space="0" w:color="auto"/>
        <w:bottom w:val="none" w:sz="0" w:space="0" w:color="auto"/>
        <w:right w:val="none" w:sz="0" w:space="0" w:color="auto"/>
      </w:divBdr>
    </w:div>
    <w:div w:id="890578031">
      <w:bodyDiv w:val="1"/>
      <w:marLeft w:val="0"/>
      <w:marRight w:val="0"/>
      <w:marTop w:val="0"/>
      <w:marBottom w:val="0"/>
      <w:divBdr>
        <w:top w:val="none" w:sz="0" w:space="0" w:color="auto"/>
        <w:left w:val="none" w:sz="0" w:space="0" w:color="auto"/>
        <w:bottom w:val="none" w:sz="0" w:space="0" w:color="auto"/>
        <w:right w:val="none" w:sz="0" w:space="0" w:color="auto"/>
      </w:divBdr>
    </w:div>
    <w:div w:id="891501306">
      <w:bodyDiv w:val="1"/>
      <w:marLeft w:val="0"/>
      <w:marRight w:val="0"/>
      <w:marTop w:val="0"/>
      <w:marBottom w:val="0"/>
      <w:divBdr>
        <w:top w:val="none" w:sz="0" w:space="0" w:color="auto"/>
        <w:left w:val="none" w:sz="0" w:space="0" w:color="auto"/>
        <w:bottom w:val="none" w:sz="0" w:space="0" w:color="auto"/>
        <w:right w:val="none" w:sz="0" w:space="0" w:color="auto"/>
      </w:divBdr>
    </w:div>
    <w:div w:id="939795970">
      <w:bodyDiv w:val="1"/>
      <w:marLeft w:val="0"/>
      <w:marRight w:val="0"/>
      <w:marTop w:val="0"/>
      <w:marBottom w:val="0"/>
      <w:divBdr>
        <w:top w:val="none" w:sz="0" w:space="0" w:color="auto"/>
        <w:left w:val="none" w:sz="0" w:space="0" w:color="auto"/>
        <w:bottom w:val="none" w:sz="0" w:space="0" w:color="auto"/>
        <w:right w:val="none" w:sz="0" w:space="0" w:color="auto"/>
      </w:divBdr>
    </w:div>
    <w:div w:id="955257816">
      <w:bodyDiv w:val="1"/>
      <w:marLeft w:val="0"/>
      <w:marRight w:val="0"/>
      <w:marTop w:val="0"/>
      <w:marBottom w:val="0"/>
      <w:divBdr>
        <w:top w:val="none" w:sz="0" w:space="0" w:color="auto"/>
        <w:left w:val="none" w:sz="0" w:space="0" w:color="auto"/>
        <w:bottom w:val="none" w:sz="0" w:space="0" w:color="auto"/>
        <w:right w:val="none" w:sz="0" w:space="0" w:color="auto"/>
      </w:divBdr>
    </w:div>
    <w:div w:id="959455511">
      <w:bodyDiv w:val="1"/>
      <w:marLeft w:val="0"/>
      <w:marRight w:val="0"/>
      <w:marTop w:val="0"/>
      <w:marBottom w:val="0"/>
      <w:divBdr>
        <w:top w:val="none" w:sz="0" w:space="0" w:color="auto"/>
        <w:left w:val="none" w:sz="0" w:space="0" w:color="auto"/>
        <w:bottom w:val="none" w:sz="0" w:space="0" w:color="auto"/>
        <w:right w:val="none" w:sz="0" w:space="0" w:color="auto"/>
      </w:divBdr>
    </w:div>
    <w:div w:id="968634045">
      <w:bodyDiv w:val="1"/>
      <w:marLeft w:val="0"/>
      <w:marRight w:val="0"/>
      <w:marTop w:val="0"/>
      <w:marBottom w:val="0"/>
      <w:divBdr>
        <w:top w:val="none" w:sz="0" w:space="0" w:color="auto"/>
        <w:left w:val="none" w:sz="0" w:space="0" w:color="auto"/>
        <w:bottom w:val="none" w:sz="0" w:space="0" w:color="auto"/>
        <w:right w:val="none" w:sz="0" w:space="0" w:color="auto"/>
      </w:divBdr>
    </w:div>
    <w:div w:id="984897521">
      <w:bodyDiv w:val="1"/>
      <w:marLeft w:val="0"/>
      <w:marRight w:val="0"/>
      <w:marTop w:val="0"/>
      <w:marBottom w:val="0"/>
      <w:divBdr>
        <w:top w:val="none" w:sz="0" w:space="0" w:color="auto"/>
        <w:left w:val="none" w:sz="0" w:space="0" w:color="auto"/>
        <w:bottom w:val="none" w:sz="0" w:space="0" w:color="auto"/>
        <w:right w:val="none" w:sz="0" w:space="0" w:color="auto"/>
      </w:divBdr>
    </w:div>
    <w:div w:id="990717840">
      <w:bodyDiv w:val="1"/>
      <w:marLeft w:val="0"/>
      <w:marRight w:val="0"/>
      <w:marTop w:val="0"/>
      <w:marBottom w:val="0"/>
      <w:divBdr>
        <w:top w:val="none" w:sz="0" w:space="0" w:color="auto"/>
        <w:left w:val="none" w:sz="0" w:space="0" w:color="auto"/>
        <w:bottom w:val="none" w:sz="0" w:space="0" w:color="auto"/>
        <w:right w:val="none" w:sz="0" w:space="0" w:color="auto"/>
      </w:divBdr>
    </w:div>
    <w:div w:id="1001391416">
      <w:bodyDiv w:val="1"/>
      <w:marLeft w:val="0"/>
      <w:marRight w:val="0"/>
      <w:marTop w:val="0"/>
      <w:marBottom w:val="0"/>
      <w:divBdr>
        <w:top w:val="none" w:sz="0" w:space="0" w:color="auto"/>
        <w:left w:val="none" w:sz="0" w:space="0" w:color="auto"/>
        <w:bottom w:val="none" w:sz="0" w:space="0" w:color="auto"/>
        <w:right w:val="none" w:sz="0" w:space="0" w:color="auto"/>
      </w:divBdr>
      <w:divsChild>
        <w:div w:id="1697268702">
          <w:marLeft w:val="0"/>
          <w:marRight w:val="0"/>
          <w:marTop w:val="0"/>
          <w:marBottom w:val="0"/>
          <w:divBdr>
            <w:top w:val="none" w:sz="0" w:space="0" w:color="auto"/>
            <w:left w:val="none" w:sz="0" w:space="0" w:color="auto"/>
            <w:bottom w:val="none" w:sz="0" w:space="0" w:color="auto"/>
            <w:right w:val="none" w:sz="0" w:space="0" w:color="auto"/>
          </w:divBdr>
        </w:div>
      </w:divsChild>
    </w:div>
    <w:div w:id="1031032054">
      <w:bodyDiv w:val="1"/>
      <w:marLeft w:val="0"/>
      <w:marRight w:val="0"/>
      <w:marTop w:val="0"/>
      <w:marBottom w:val="0"/>
      <w:divBdr>
        <w:top w:val="none" w:sz="0" w:space="0" w:color="auto"/>
        <w:left w:val="none" w:sz="0" w:space="0" w:color="auto"/>
        <w:bottom w:val="none" w:sz="0" w:space="0" w:color="auto"/>
        <w:right w:val="none" w:sz="0" w:space="0" w:color="auto"/>
      </w:divBdr>
    </w:div>
    <w:div w:id="1038433509">
      <w:bodyDiv w:val="1"/>
      <w:marLeft w:val="0"/>
      <w:marRight w:val="0"/>
      <w:marTop w:val="0"/>
      <w:marBottom w:val="0"/>
      <w:divBdr>
        <w:top w:val="none" w:sz="0" w:space="0" w:color="auto"/>
        <w:left w:val="none" w:sz="0" w:space="0" w:color="auto"/>
        <w:bottom w:val="none" w:sz="0" w:space="0" w:color="auto"/>
        <w:right w:val="none" w:sz="0" w:space="0" w:color="auto"/>
      </w:divBdr>
    </w:div>
    <w:div w:id="1051926643">
      <w:bodyDiv w:val="1"/>
      <w:marLeft w:val="0"/>
      <w:marRight w:val="0"/>
      <w:marTop w:val="0"/>
      <w:marBottom w:val="0"/>
      <w:divBdr>
        <w:top w:val="none" w:sz="0" w:space="0" w:color="auto"/>
        <w:left w:val="none" w:sz="0" w:space="0" w:color="auto"/>
        <w:bottom w:val="none" w:sz="0" w:space="0" w:color="auto"/>
        <w:right w:val="none" w:sz="0" w:space="0" w:color="auto"/>
      </w:divBdr>
    </w:div>
    <w:div w:id="1094934567">
      <w:bodyDiv w:val="1"/>
      <w:marLeft w:val="0"/>
      <w:marRight w:val="0"/>
      <w:marTop w:val="0"/>
      <w:marBottom w:val="0"/>
      <w:divBdr>
        <w:top w:val="none" w:sz="0" w:space="0" w:color="auto"/>
        <w:left w:val="none" w:sz="0" w:space="0" w:color="auto"/>
        <w:bottom w:val="none" w:sz="0" w:space="0" w:color="auto"/>
        <w:right w:val="none" w:sz="0" w:space="0" w:color="auto"/>
      </w:divBdr>
    </w:div>
    <w:div w:id="1109394476">
      <w:bodyDiv w:val="1"/>
      <w:marLeft w:val="0"/>
      <w:marRight w:val="0"/>
      <w:marTop w:val="0"/>
      <w:marBottom w:val="0"/>
      <w:divBdr>
        <w:top w:val="none" w:sz="0" w:space="0" w:color="auto"/>
        <w:left w:val="none" w:sz="0" w:space="0" w:color="auto"/>
        <w:bottom w:val="none" w:sz="0" w:space="0" w:color="auto"/>
        <w:right w:val="none" w:sz="0" w:space="0" w:color="auto"/>
      </w:divBdr>
    </w:div>
    <w:div w:id="1114448673">
      <w:bodyDiv w:val="1"/>
      <w:marLeft w:val="0"/>
      <w:marRight w:val="0"/>
      <w:marTop w:val="0"/>
      <w:marBottom w:val="0"/>
      <w:divBdr>
        <w:top w:val="none" w:sz="0" w:space="0" w:color="auto"/>
        <w:left w:val="none" w:sz="0" w:space="0" w:color="auto"/>
        <w:bottom w:val="none" w:sz="0" w:space="0" w:color="auto"/>
        <w:right w:val="none" w:sz="0" w:space="0" w:color="auto"/>
      </w:divBdr>
    </w:div>
    <w:div w:id="1119371971">
      <w:bodyDiv w:val="1"/>
      <w:marLeft w:val="0"/>
      <w:marRight w:val="0"/>
      <w:marTop w:val="0"/>
      <w:marBottom w:val="0"/>
      <w:divBdr>
        <w:top w:val="none" w:sz="0" w:space="0" w:color="auto"/>
        <w:left w:val="none" w:sz="0" w:space="0" w:color="auto"/>
        <w:bottom w:val="none" w:sz="0" w:space="0" w:color="auto"/>
        <w:right w:val="none" w:sz="0" w:space="0" w:color="auto"/>
      </w:divBdr>
    </w:div>
    <w:div w:id="1121652803">
      <w:bodyDiv w:val="1"/>
      <w:marLeft w:val="0"/>
      <w:marRight w:val="0"/>
      <w:marTop w:val="0"/>
      <w:marBottom w:val="0"/>
      <w:divBdr>
        <w:top w:val="none" w:sz="0" w:space="0" w:color="auto"/>
        <w:left w:val="none" w:sz="0" w:space="0" w:color="auto"/>
        <w:bottom w:val="none" w:sz="0" w:space="0" w:color="auto"/>
        <w:right w:val="none" w:sz="0" w:space="0" w:color="auto"/>
      </w:divBdr>
    </w:div>
    <w:div w:id="1134100992">
      <w:bodyDiv w:val="1"/>
      <w:marLeft w:val="0"/>
      <w:marRight w:val="0"/>
      <w:marTop w:val="0"/>
      <w:marBottom w:val="0"/>
      <w:divBdr>
        <w:top w:val="none" w:sz="0" w:space="0" w:color="auto"/>
        <w:left w:val="none" w:sz="0" w:space="0" w:color="auto"/>
        <w:bottom w:val="none" w:sz="0" w:space="0" w:color="auto"/>
        <w:right w:val="none" w:sz="0" w:space="0" w:color="auto"/>
      </w:divBdr>
    </w:div>
    <w:div w:id="1145394797">
      <w:bodyDiv w:val="1"/>
      <w:marLeft w:val="0"/>
      <w:marRight w:val="0"/>
      <w:marTop w:val="0"/>
      <w:marBottom w:val="0"/>
      <w:divBdr>
        <w:top w:val="none" w:sz="0" w:space="0" w:color="auto"/>
        <w:left w:val="none" w:sz="0" w:space="0" w:color="auto"/>
        <w:bottom w:val="none" w:sz="0" w:space="0" w:color="auto"/>
        <w:right w:val="none" w:sz="0" w:space="0" w:color="auto"/>
      </w:divBdr>
    </w:div>
    <w:div w:id="1155028656">
      <w:bodyDiv w:val="1"/>
      <w:marLeft w:val="0"/>
      <w:marRight w:val="0"/>
      <w:marTop w:val="0"/>
      <w:marBottom w:val="0"/>
      <w:divBdr>
        <w:top w:val="none" w:sz="0" w:space="0" w:color="auto"/>
        <w:left w:val="none" w:sz="0" w:space="0" w:color="auto"/>
        <w:bottom w:val="none" w:sz="0" w:space="0" w:color="auto"/>
        <w:right w:val="none" w:sz="0" w:space="0" w:color="auto"/>
      </w:divBdr>
    </w:div>
    <w:div w:id="1174144797">
      <w:bodyDiv w:val="1"/>
      <w:marLeft w:val="0"/>
      <w:marRight w:val="0"/>
      <w:marTop w:val="0"/>
      <w:marBottom w:val="0"/>
      <w:divBdr>
        <w:top w:val="none" w:sz="0" w:space="0" w:color="auto"/>
        <w:left w:val="none" w:sz="0" w:space="0" w:color="auto"/>
        <w:bottom w:val="none" w:sz="0" w:space="0" w:color="auto"/>
        <w:right w:val="none" w:sz="0" w:space="0" w:color="auto"/>
      </w:divBdr>
    </w:div>
    <w:div w:id="1189443631">
      <w:bodyDiv w:val="1"/>
      <w:marLeft w:val="0"/>
      <w:marRight w:val="0"/>
      <w:marTop w:val="0"/>
      <w:marBottom w:val="0"/>
      <w:divBdr>
        <w:top w:val="none" w:sz="0" w:space="0" w:color="auto"/>
        <w:left w:val="none" w:sz="0" w:space="0" w:color="auto"/>
        <w:bottom w:val="none" w:sz="0" w:space="0" w:color="auto"/>
        <w:right w:val="none" w:sz="0" w:space="0" w:color="auto"/>
      </w:divBdr>
    </w:div>
    <w:div w:id="1196239711">
      <w:bodyDiv w:val="1"/>
      <w:marLeft w:val="0"/>
      <w:marRight w:val="0"/>
      <w:marTop w:val="0"/>
      <w:marBottom w:val="0"/>
      <w:divBdr>
        <w:top w:val="none" w:sz="0" w:space="0" w:color="auto"/>
        <w:left w:val="none" w:sz="0" w:space="0" w:color="auto"/>
        <w:bottom w:val="none" w:sz="0" w:space="0" w:color="auto"/>
        <w:right w:val="none" w:sz="0" w:space="0" w:color="auto"/>
      </w:divBdr>
    </w:div>
    <w:div w:id="1209876124">
      <w:bodyDiv w:val="1"/>
      <w:marLeft w:val="0"/>
      <w:marRight w:val="0"/>
      <w:marTop w:val="0"/>
      <w:marBottom w:val="0"/>
      <w:divBdr>
        <w:top w:val="none" w:sz="0" w:space="0" w:color="auto"/>
        <w:left w:val="none" w:sz="0" w:space="0" w:color="auto"/>
        <w:bottom w:val="none" w:sz="0" w:space="0" w:color="auto"/>
        <w:right w:val="none" w:sz="0" w:space="0" w:color="auto"/>
      </w:divBdr>
    </w:div>
    <w:div w:id="1209876605">
      <w:bodyDiv w:val="1"/>
      <w:marLeft w:val="0"/>
      <w:marRight w:val="0"/>
      <w:marTop w:val="0"/>
      <w:marBottom w:val="0"/>
      <w:divBdr>
        <w:top w:val="none" w:sz="0" w:space="0" w:color="auto"/>
        <w:left w:val="none" w:sz="0" w:space="0" w:color="auto"/>
        <w:bottom w:val="none" w:sz="0" w:space="0" w:color="auto"/>
        <w:right w:val="none" w:sz="0" w:space="0" w:color="auto"/>
      </w:divBdr>
    </w:div>
    <w:div w:id="1216355143">
      <w:bodyDiv w:val="1"/>
      <w:marLeft w:val="0"/>
      <w:marRight w:val="0"/>
      <w:marTop w:val="0"/>
      <w:marBottom w:val="0"/>
      <w:divBdr>
        <w:top w:val="none" w:sz="0" w:space="0" w:color="auto"/>
        <w:left w:val="none" w:sz="0" w:space="0" w:color="auto"/>
        <w:bottom w:val="none" w:sz="0" w:space="0" w:color="auto"/>
        <w:right w:val="none" w:sz="0" w:space="0" w:color="auto"/>
      </w:divBdr>
    </w:div>
    <w:div w:id="1254237976">
      <w:bodyDiv w:val="1"/>
      <w:marLeft w:val="0"/>
      <w:marRight w:val="0"/>
      <w:marTop w:val="0"/>
      <w:marBottom w:val="0"/>
      <w:divBdr>
        <w:top w:val="none" w:sz="0" w:space="0" w:color="auto"/>
        <w:left w:val="none" w:sz="0" w:space="0" w:color="auto"/>
        <w:bottom w:val="none" w:sz="0" w:space="0" w:color="auto"/>
        <w:right w:val="none" w:sz="0" w:space="0" w:color="auto"/>
      </w:divBdr>
    </w:div>
    <w:div w:id="1264341455">
      <w:bodyDiv w:val="1"/>
      <w:marLeft w:val="0"/>
      <w:marRight w:val="0"/>
      <w:marTop w:val="0"/>
      <w:marBottom w:val="0"/>
      <w:divBdr>
        <w:top w:val="none" w:sz="0" w:space="0" w:color="auto"/>
        <w:left w:val="none" w:sz="0" w:space="0" w:color="auto"/>
        <w:bottom w:val="none" w:sz="0" w:space="0" w:color="auto"/>
        <w:right w:val="none" w:sz="0" w:space="0" w:color="auto"/>
      </w:divBdr>
      <w:divsChild>
        <w:div w:id="1366522203">
          <w:marLeft w:val="0"/>
          <w:marRight w:val="0"/>
          <w:marTop w:val="0"/>
          <w:marBottom w:val="0"/>
          <w:divBdr>
            <w:top w:val="none" w:sz="0" w:space="0" w:color="auto"/>
            <w:left w:val="none" w:sz="0" w:space="0" w:color="auto"/>
            <w:bottom w:val="none" w:sz="0" w:space="0" w:color="auto"/>
            <w:right w:val="none" w:sz="0" w:space="0" w:color="auto"/>
          </w:divBdr>
          <w:divsChild>
            <w:div w:id="92240970">
              <w:marLeft w:val="0"/>
              <w:marRight w:val="0"/>
              <w:marTop w:val="0"/>
              <w:marBottom w:val="0"/>
              <w:divBdr>
                <w:top w:val="none" w:sz="0" w:space="0" w:color="auto"/>
                <w:left w:val="none" w:sz="0" w:space="0" w:color="auto"/>
                <w:bottom w:val="none" w:sz="0" w:space="0" w:color="auto"/>
                <w:right w:val="none" w:sz="0" w:space="0" w:color="auto"/>
              </w:divBdr>
            </w:div>
            <w:div w:id="189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6618">
      <w:bodyDiv w:val="1"/>
      <w:marLeft w:val="0"/>
      <w:marRight w:val="0"/>
      <w:marTop w:val="0"/>
      <w:marBottom w:val="0"/>
      <w:divBdr>
        <w:top w:val="none" w:sz="0" w:space="0" w:color="auto"/>
        <w:left w:val="none" w:sz="0" w:space="0" w:color="auto"/>
        <w:bottom w:val="none" w:sz="0" w:space="0" w:color="auto"/>
        <w:right w:val="none" w:sz="0" w:space="0" w:color="auto"/>
      </w:divBdr>
    </w:div>
    <w:div w:id="1292247416">
      <w:bodyDiv w:val="1"/>
      <w:marLeft w:val="0"/>
      <w:marRight w:val="0"/>
      <w:marTop w:val="0"/>
      <w:marBottom w:val="0"/>
      <w:divBdr>
        <w:top w:val="none" w:sz="0" w:space="0" w:color="auto"/>
        <w:left w:val="none" w:sz="0" w:space="0" w:color="auto"/>
        <w:bottom w:val="none" w:sz="0" w:space="0" w:color="auto"/>
        <w:right w:val="none" w:sz="0" w:space="0" w:color="auto"/>
      </w:divBdr>
    </w:div>
    <w:div w:id="1296448814">
      <w:bodyDiv w:val="1"/>
      <w:marLeft w:val="0"/>
      <w:marRight w:val="0"/>
      <w:marTop w:val="0"/>
      <w:marBottom w:val="0"/>
      <w:divBdr>
        <w:top w:val="none" w:sz="0" w:space="0" w:color="auto"/>
        <w:left w:val="none" w:sz="0" w:space="0" w:color="auto"/>
        <w:bottom w:val="none" w:sz="0" w:space="0" w:color="auto"/>
        <w:right w:val="none" w:sz="0" w:space="0" w:color="auto"/>
      </w:divBdr>
    </w:div>
    <w:div w:id="1311901371">
      <w:bodyDiv w:val="1"/>
      <w:marLeft w:val="0"/>
      <w:marRight w:val="0"/>
      <w:marTop w:val="0"/>
      <w:marBottom w:val="0"/>
      <w:divBdr>
        <w:top w:val="none" w:sz="0" w:space="0" w:color="auto"/>
        <w:left w:val="none" w:sz="0" w:space="0" w:color="auto"/>
        <w:bottom w:val="none" w:sz="0" w:space="0" w:color="auto"/>
        <w:right w:val="none" w:sz="0" w:space="0" w:color="auto"/>
      </w:divBdr>
    </w:div>
    <w:div w:id="1324890777">
      <w:bodyDiv w:val="1"/>
      <w:marLeft w:val="0"/>
      <w:marRight w:val="0"/>
      <w:marTop w:val="0"/>
      <w:marBottom w:val="0"/>
      <w:divBdr>
        <w:top w:val="none" w:sz="0" w:space="0" w:color="auto"/>
        <w:left w:val="none" w:sz="0" w:space="0" w:color="auto"/>
        <w:bottom w:val="none" w:sz="0" w:space="0" w:color="auto"/>
        <w:right w:val="none" w:sz="0" w:space="0" w:color="auto"/>
      </w:divBdr>
    </w:div>
    <w:div w:id="1329401508">
      <w:bodyDiv w:val="1"/>
      <w:marLeft w:val="0"/>
      <w:marRight w:val="0"/>
      <w:marTop w:val="0"/>
      <w:marBottom w:val="0"/>
      <w:divBdr>
        <w:top w:val="none" w:sz="0" w:space="0" w:color="auto"/>
        <w:left w:val="none" w:sz="0" w:space="0" w:color="auto"/>
        <w:bottom w:val="none" w:sz="0" w:space="0" w:color="auto"/>
        <w:right w:val="none" w:sz="0" w:space="0" w:color="auto"/>
      </w:divBdr>
    </w:div>
    <w:div w:id="1344631072">
      <w:bodyDiv w:val="1"/>
      <w:marLeft w:val="0"/>
      <w:marRight w:val="0"/>
      <w:marTop w:val="0"/>
      <w:marBottom w:val="0"/>
      <w:divBdr>
        <w:top w:val="none" w:sz="0" w:space="0" w:color="auto"/>
        <w:left w:val="none" w:sz="0" w:space="0" w:color="auto"/>
        <w:bottom w:val="none" w:sz="0" w:space="0" w:color="auto"/>
        <w:right w:val="none" w:sz="0" w:space="0" w:color="auto"/>
      </w:divBdr>
    </w:div>
    <w:div w:id="1357465282">
      <w:bodyDiv w:val="1"/>
      <w:marLeft w:val="0"/>
      <w:marRight w:val="0"/>
      <w:marTop w:val="0"/>
      <w:marBottom w:val="0"/>
      <w:divBdr>
        <w:top w:val="none" w:sz="0" w:space="0" w:color="auto"/>
        <w:left w:val="none" w:sz="0" w:space="0" w:color="auto"/>
        <w:bottom w:val="none" w:sz="0" w:space="0" w:color="auto"/>
        <w:right w:val="none" w:sz="0" w:space="0" w:color="auto"/>
      </w:divBdr>
    </w:div>
    <w:div w:id="1360426491">
      <w:bodyDiv w:val="1"/>
      <w:marLeft w:val="0"/>
      <w:marRight w:val="0"/>
      <w:marTop w:val="0"/>
      <w:marBottom w:val="0"/>
      <w:divBdr>
        <w:top w:val="none" w:sz="0" w:space="0" w:color="auto"/>
        <w:left w:val="none" w:sz="0" w:space="0" w:color="auto"/>
        <w:bottom w:val="none" w:sz="0" w:space="0" w:color="auto"/>
        <w:right w:val="none" w:sz="0" w:space="0" w:color="auto"/>
      </w:divBdr>
    </w:div>
    <w:div w:id="1360476215">
      <w:bodyDiv w:val="1"/>
      <w:marLeft w:val="0"/>
      <w:marRight w:val="0"/>
      <w:marTop w:val="0"/>
      <w:marBottom w:val="0"/>
      <w:divBdr>
        <w:top w:val="none" w:sz="0" w:space="0" w:color="auto"/>
        <w:left w:val="none" w:sz="0" w:space="0" w:color="auto"/>
        <w:bottom w:val="none" w:sz="0" w:space="0" w:color="auto"/>
        <w:right w:val="none" w:sz="0" w:space="0" w:color="auto"/>
      </w:divBdr>
    </w:div>
    <w:div w:id="1371032746">
      <w:bodyDiv w:val="1"/>
      <w:marLeft w:val="0"/>
      <w:marRight w:val="0"/>
      <w:marTop w:val="0"/>
      <w:marBottom w:val="0"/>
      <w:divBdr>
        <w:top w:val="none" w:sz="0" w:space="0" w:color="auto"/>
        <w:left w:val="none" w:sz="0" w:space="0" w:color="auto"/>
        <w:bottom w:val="none" w:sz="0" w:space="0" w:color="auto"/>
        <w:right w:val="none" w:sz="0" w:space="0" w:color="auto"/>
      </w:divBdr>
    </w:div>
    <w:div w:id="1386023714">
      <w:bodyDiv w:val="1"/>
      <w:marLeft w:val="0"/>
      <w:marRight w:val="0"/>
      <w:marTop w:val="0"/>
      <w:marBottom w:val="0"/>
      <w:divBdr>
        <w:top w:val="none" w:sz="0" w:space="0" w:color="auto"/>
        <w:left w:val="none" w:sz="0" w:space="0" w:color="auto"/>
        <w:bottom w:val="none" w:sz="0" w:space="0" w:color="auto"/>
        <w:right w:val="none" w:sz="0" w:space="0" w:color="auto"/>
      </w:divBdr>
    </w:div>
    <w:div w:id="1411152519">
      <w:bodyDiv w:val="1"/>
      <w:marLeft w:val="0"/>
      <w:marRight w:val="0"/>
      <w:marTop w:val="0"/>
      <w:marBottom w:val="0"/>
      <w:divBdr>
        <w:top w:val="none" w:sz="0" w:space="0" w:color="auto"/>
        <w:left w:val="none" w:sz="0" w:space="0" w:color="auto"/>
        <w:bottom w:val="none" w:sz="0" w:space="0" w:color="auto"/>
        <w:right w:val="none" w:sz="0" w:space="0" w:color="auto"/>
      </w:divBdr>
    </w:div>
    <w:div w:id="1413238626">
      <w:bodyDiv w:val="1"/>
      <w:marLeft w:val="0"/>
      <w:marRight w:val="0"/>
      <w:marTop w:val="0"/>
      <w:marBottom w:val="0"/>
      <w:divBdr>
        <w:top w:val="none" w:sz="0" w:space="0" w:color="auto"/>
        <w:left w:val="none" w:sz="0" w:space="0" w:color="auto"/>
        <w:bottom w:val="none" w:sz="0" w:space="0" w:color="auto"/>
        <w:right w:val="none" w:sz="0" w:space="0" w:color="auto"/>
      </w:divBdr>
    </w:div>
    <w:div w:id="1426271221">
      <w:bodyDiv w:val="1"/>
      <w:marLeft w:val="0"/>
      <w:marRight w:val="0"/>
      <w:marTop w:val="0"/>
      <w:marBottom w:val="0"/>
      <w:divBdr>
        <w:top w:val="none" w:sz="0" w:space="0" w:color="auto"/>
        <w:left w:val="none" w:sz="0" w:space="0" w:color="auto"/>
        <w:bottom w:val="none" w:sz="0" w:space="0" w:color="auto"/>
        <w:right w:val="none" w:sz="0" w:space="0" w:color="auto"/>
      </w:divBdr>
    </w:div>
    <w:div w:id="1431507815">
      <w:bodyDiv w:val="1"/>
      <w:marLeft w:val="0"/>
      <w:marRight w:val="0"/>
      <w:marTop w:val="0"/>
      <w:marBottom w:val="0"/>
      <w:divBdr>
        <w:top w:val="none" w:sz="0" w:space="0" w:color="auto"/>
        <w:left w:val="none" w:sz="0" w:space="0" w:color="auto"/>
        <w:bottom w:val="none" w:sz="0" w:space="0" w:color="auto"/>
        <w:right w:val="none" w:sz="0" w:space="0" w:color="auto"/>
      </w:divBdr>
    </w:div>
    <w:div w:id="1456562376">
      <w:bodyDiv w:val="1"/>
      <w:marLeft w:val="0"/>
      <w:marRight w:val="0"/>
      <w:marTop w:val="0"/>
      <w:marBottom w:val="0"/>
      <w:divBdr>
        <w:top w:val="none" w:sz="0" w:space="0" w:color="auto"/>
        <w:left w:val="none" w:sz="0" w:space="0" w:color="auto"/>
        <w:bottom w:val="none" w:sz="0" w:space="0" w:color="auto"/>
        <w:right w:val="none" w:sz="0" w:space="0" w:color="auto"/>
      </w:divBdr>
    </w:div>
    <w:div w:id="1471555167">
      <w:bodyDiv w:val="1"/>
      <w:marLeft w:val="0"/>
      <w:marRight w:val="0"/>
      <w:marTop w:val="0"/>
      <w:marBottom w:val="0"/>
      <w:divBdr>
        <w:top w:val="none" w:sz="0" w:space="0" w:color="auto"/>
        <w:left w:val="none" w:sz="0" w:space="0" w:color="auto"/>
        <w:bottom w:val="none" w:sz="0" w:space="0" w:color="auto"/>
        <w:right w:val="none" w:sz="0" w:space="0" w:color="auto"/>
      </w:divBdr>
    </w:div>
    <w:div w:id="1484925892">
      <w:bodyDiv w:val="1"/>
      <w:marLeft w:val="0"/>
      <w:marRight w:val="0"/>
      <w:marTop w:val="0"/>
      <w:marBottom w:val="0"/>
      <w:divBdr>
        <w:top w:val="none" w:sz="0" w:space="0" w:color="auto"/>
        <w:left w:val="none" w:sz="0" w:space="0" w:color="auto"/>
        <w:bottom w:val="none" w:sz="0" w:space="0" w:color="auto"/>
        <w:right w:val="none" w:sz="0" w:space="0" w:color="auto"/>
      </w:divBdr>
    </w:div>
    <w:div w:id="1492403229">
      <w:bodyDiv w:val="1"/>
      <w:marLeft w:val="0"/>
      <w:marRight w:val="0"/>
      <w:marTop w:val="0"/>
      <w:marBottom w:val="0"/>
      <w:divBdr>
        <w:top w:val="none" w:sz="0" w:space="0" w:color="auto"/>
        <w:left w:val="none" w:sz="0" w:space="0" w:color="auto"/>
        <w:bottom w:val="none" w:sz="0" w:space="0" w:color="auto"/>
        <w:right w:val="none" w:sz="0" w:space="0" w:color="auto"/>
      </w:divBdr>
    </w:div>
    <w:div w:id="1503349027">
      <w:bodyDiv w:val="1"/>
      <w:marLeft w:val="0"/>
      <w:marRight w:val="0"/>
      <w:marTop w:val="0"/>
      <w:marBottom w:val="0"/>
      <w:divBdr>
        <w:top w:val="none" w:sz="0" w:space="0" w:color="auto"/>
        <w:left w:val="none" w:sz="0" w:space="0" w:color="auto"/>
        <w:bottom w:val="none" w:sz="0" w:space="0" w:color="auto"/>
        <w:right w:val="none" w:sz="0" w:space="0" w:color="auto"/>
      </w:divBdr>
    </w:div>
    <w:div w:id="1508474444">
      <w:bodyDiv w:val="1"/>
      <w:marLeft w:val="0"/>
      <w:marRight w:val="0"/>
      <w:marTop w:val="0"/>
      <w:marBottom w:val="0"/>
      <w:divBdr>
        <w:top w:val="none" w:sz="0" w:space="0" w:color="auto"/>
        <w:left w:val="none" w:sz="0" w:space="0" w:color="auto"/>
        <w:bottom w:val="none" w:sz="0" w:space="0" w:color="auto"/>
        <w:right w:val="none" w:sz="0" w:space="0" w:color="auto"/>
      </w:divBdr>
    </w:div>
    <w:div w:id="1543980119">
      <w:bodyDiv w:val="1"/>
      <w:marLeft w:val="0"/>
      <w:marRight w:val="0"/>
      <w:marTop w:val="0"/>
      <w:marBottom w:val="0"/>
      <w:divBdr>
        <w:top w:val="none" w:sz="0" w:space="0" w:color="auto"/>
        <w:left w:val="none" w:sz="0" w:space="0" w:color="auto"/>
        <w:bottom w:val="none" w:sz="0" w:space="0" w:color="auto"/>
        <w:right w:val="none" w:sz="0" w:space="0" w:color="auto"/>
      </w:divBdr>
      <w:divsChild>
        <w:div w:id="730618545">
          <w:marLeft w:val="0"/>
          <w:marRight w:val="0"/>
          <w:marTop w:val="0"/>
          <w:marBottom w:val="0"/>
          <w:divBdr>
            <w:top w:val="none" w:sz="0" w:space="0" w:color="auto"/>
            <w:left w:val="none" w:sz="0" w:space="0" w:color="auto"/>
            <w:bottom w:val="none" w:sz="0" w:space="0" w:color="auto"/>
            <w:right w:val="none" w:sz="0" w:space="0" w:color="auto"/>
          </w:divBdr>
        </w:div>
      </w:divsChild>
    </w:div>
    <w:div w:id="1550145447">
      <w:bodyDiv w:val="1"/>
      <w:marLeft w:val="0"/>
      <w:marRight w:val="0"/>
      <w:marTop w:val="0"/>
      <w:marBottom w:val="0"/>
      <w:divBdr>
        <w:top w:val="none" w:sz="0" w:space="0" w:color="auto"/>
        <w:left w:val="none" w:sz="0" w:space="0" w:color="auto"/>
        <w:bottom w:val="none" w:sz="0" w:space="0" w:color="auto"/>
        <w:right w:val="none" w:sz="0" w:space="0" w:color="auto"/>
      </w:divBdr>
    </w:div>
    <w:div w:id="1608805743">
      <w:bodyDiv w:val="1"/>
      <w:marLeft w:val="0"/>
      <w:marRight w:val="0"/>
      <w:marTop w:val="0"/>
      <w:marBottom w:val="0"/>
      <w:divBdr>
        <w:top w:val="none" w:sz="0" w:space="0" w:color="auto"/>
        <w:left w:val="none" w:sz="0" w:space="0" w:color="auto"/>
        <w:bottom w:val="none" w:sz="0" w:space="0" w:color="auto"/>
        <w:right w:val="none" w:sz="0" w:space="0" w:color="auto"/>
      </w:divBdr>
    </w:div>
    <w:div w:id="1615016925">
      <w:bodyDiv w:val="1"/>
      <w:marLeft w:val="0"/>
      <w:marRight w:val="0"/>
      <w:marTop w:val="0"/>
      <w:marBottom w:val="0"/>
      <w:divBdr>
        <w:top w:val="none" w:sz="0" w:space="0" w:color="auto"/>
        <w:left w:val="none" w:sz="0" w:space="0" w:color="auto"/>
        <w:bottom w:val="none" w:sz="0" w:space="0" w:color="auto"/>
        <w:right w:val="none" w:sz="0" w:space="0" w:color="auto"/>
      </w:divBdr>
    </w:div>
    <w:div w:id="1636447744">
      <w:bodyDiv w:val="1"/>
      <w:marLeft w:val="0"/>
      <w:marRight w:val="0"/>
      <w:marTop w:val="0"/>
      <w:marBottom w:val="0"/>
      <w:divBdr>
        <w:top w:val="none" w:sz="0" w:space="0" w:color="auto"/>
        <w:left w:val="none" w:sz="0" w:space="0" w:color="auto"/>
        <w:bottom w:val="none" w:sz="0" w:space="0" w:color="auto"/>
        <w:right w:val="none" w:sz="0" w:space="0" w:color="auto"/>
      </w:divBdr>
    </w:div>
    <w:div w:id="1638029623">
      <w:bodyDiv w:val="1"/>
      <w:marLeft w:val="0"/>
      <w:marRight w:val="0"/>
      <w:marTop w:val="0"/>
      <w:marBottom w:val="0"/>
      <w:divBdr>
        <w:top w:val="none" w:sz="0" w:space="0" w:color="auto"/>
        <w:left w:val="none" w:sz="0" w:space="0" w:color="auto"/>
        <w:bottom w:val="none" w:sz="0" w:space="0" w:color="auto"/>
        <w:right w:val="none" w:sz="0" w:space="0" w:color="auto"/>
      </w:divBdr>
    </w:div>
    <w:div w:id="1638804870">
      <w:bodyDiv w:val="1"/>
      <w:marLeft w:val="0"/>
      <w:marRight w:val="0"/>
      <w:marTop w:val="0"/>
      <w:marBottom w:val="0"/>
      <w:divBdr>
        <w:top w:val="none" w:sz="0" w:space="0" w:color="auto"/>
        <w:left w:val="none" w:sz="0" w:space="0" w:color="auto"/>
        <w:bottom w:val="none" w:sz="0" w:space="0" w:color="auto"/>
        <w:right w:val="none" w:sz="0" w:space="0" w:color="auto"/>
      </w:divBdr>
    </w:div>
    <w:div w:id="1645771053">
      <w:bodyDiv w:val="1"/>
      <w:marLeft w:val="0"/>
      <w:marRight w:val="0"/>
      <w:marTop w:val="0"/>
      <w:marBottom w:val="0"/>
      <w:divBdr>
        <w:top w:val="none" w:sz="0" w:space="0" w:color="auto"/>
        <w:left w:val="none" w:sz="0" w:space="0" w:color="auto"/>
        <w:bottom w:val="none" w:sz="0" w:space="0" w:color="auto"/>
        <w:right w:val="none" w:sz="0" w:space="0" w:color="auto"/>
      </w:divBdr>
    </w:div>
    <w:div w:id="1685283251">
      <w:bodyDiv w:val="1"/>
      <w:marLeft w:val="0"/>
      <w:marRight w:val="0"/>
      <w:marTop w:val="0"/>
      <w:marBottom w:val="0"/>
      <w:divBdr>
        <w:top w:val="none" w:sz="0" w:space="0" w:color="auto"/>
        <w:left w:val="none" w:sz="0" w:space="0" w:color="auto"/>
        <w:bottom w:val="none" w:sz="0" w:space="0" w:color="auto"/>
        <w:right w:val="none" w:sz="0" w:space="0" w:color="auto"/>
      </w:divBdr>
    </w:div>
    <w:div w:id="1702704209">
      <w:bodyDiv w:val="1"/>
      <w:marLeft w:val="0"/>
      <w:marRight w:val="0"/>
      <w:marTop w:val="0"/>
      <w:marBottom w:val="0"/>
      <w:divBdr>
        <w:top w:val="none" w:sz="0" w:space="0" w:color="auto"/>
        <w:left w:val="none" w:sz="0" w:space="0" w:color="auto"/>
        <w:bottom w:val="none" w:sz="0" w:space="0" w:color="auto"/>
        <w:right w:val="none" w:sz="0" w:space="0" w:color="auto"/>
      </w:divBdr>
    </w:div>
    <w:div w:id="1707759076">
      <w:bodyDiv w:val="1"/>
      <w:marLeft w:val="0"/>
      <w:marRight w:val="0"/>
      <w:marTop w:val="0"/>
      <w:marBottom w:val="0"/>
      <w:divBdr>
        <w:top w:val="none" w:sz="0" w:space="0" w:color="auto"/>
        <w:left w:val="none" w:sz="0" w:space="0" w:color="auto"/>
        <w:bottom w:val="none" w:sz="0" w:space="0" w:color="auto"/>
        <w:right w:val="none" w:sz="0" w:space="0" w:color="auto"/>
      </w:divBdr>
      <w:divsChild>
        <w:div w:id="557328543">
          <w:marLeft w:val="0"/>
          <w:marRight w:val="0"/>
          <w:marTop w:val="0"/>
          <w:marBottom w:val="0"/>
          <w:divBdr>
            <w:top w:val="none" w:sz="0" w:space="0" w:color="auto"/>
            <w:left w:val="none" w:sz="0" w:space="0" w:color="auto"/>
            <w:bottom w:val="none" w:sz="0" w:space="0" w:color="auto"/>
            <w:right w:val="none" w:sz="0" w:space="0" w:color="auto"/>
          </w:divBdr>
          <w:divsChild>
            <w:div w:id="6031029">
              <w:marLeft w:val="0"/>
              <w:marRight w:val="0"/>
              <w:marTop w:val="0"/>
              <w:marBottom w:val="0"/>
              <w:divBdr>
                <w:top w:val="none" w:sz="0" w:space="0" w:color="auto"/>
                <w:left w:val="none" w:sz="0" w:space="0" w:color="auto"/>
                <w:bottom w:val="none" w:sz="0" w:space="0" w:color="auto"/>
                <w:right w:val="none" w:sz="0" w:space="0" w:color="auto"/>
              </w:divBdr>
            </w:div>
            <w:div w:id="255864802">
              <w:marLeft w:val="0"/>
              <w:marRight w:val="0"/>
              <w:marTop w:val="0"/>
              <w:marBottom w:val="0"/>
              <w:divBdr>
                <w:top w:val="none" w:sz="0" w:space="0" w:color="auto"/>
                <w:left w:val="none" w:sz="0" w:space="0" w:color="auto"/>
                <w:bottom w:val="none" w:sz="0" w:space="0" w:color="auto"/>
                <w:right w:val="none" w:sz="0" w:space="0" w:color="auto"/>
              </w:divBdr>
            </w:div>
            <w:div w:id="473066673">
              <w:marLeft w:val="0"/>
              <w:marRight w:val="0"/>
              <w:marTop w:val="0"/>
              <w:marBottom w:val="0"/>
              <w:divBdr>
                <w:top w:val="none" w:sz="0" w:space="0" w:color="auto"/>
                <w:left w:val="none" w:sz="0" w:space="0" w:color="auto"/>
                <w:bottom w:val="none" w:sz="0" w:space="0" w:color="auto"/>
                <w:right w:val="none" w:sz="0" w:space="0" w:color="auto"/>
              </w:divBdr>
            </w:div>
            <w:div w:id="1246184466">
              <w:marLeft w:val="0"/>
              <w:marRight w:val="0"/>
              <w:marTop w:val="0"/>
              <w:marBottom w:val="0"/>
              <w:divBdr>
                <w:top w:val="none" w:sz="0" w:space="0" w:color="auto"/>
                <w:left w:val="none" w:sz="0" w:space="0" w:color="auto"/>
                <w:bottom w:val="none" w:sz="0" w:space="0" w:color="auto"/>
                <w:right w:val="none" w:sz="0" w:space="0" w:color="auto"/>
              </w:divBdr>
            </w:div>
            <w:div w:id="1524132245">
              <w:marLeft w:val="0"/>
              <w:marRight w:val="0"/>
              <w:marTop w:val="0"/>
              <w:marBottom w:val="0"/>
              <w:divBdr>
                <w:top w:val="none" w:sz="0" w:space="0" w:color="auto"/>
                <w:left w:val="none" w:sz="0" w:space="0" w:color="auto"/>
                <w:bottom w:val="none" w:sz="0" w:space="0" w:color="auto"/>
                <w:right w:val="none" w:sz="0" w:space="0" w:color="auto"/>
              </w:divBdr>
            </w:div>
            <w:div w:id="1546478192">
              <w:marLeft w:val="0"/>
              <w:marRight w:val="0"/>
              <w:marTop w:val="0"/>
              <w:marBottom w:val="0"/>
              <w:divBdr>
                <w:top w:val="none" w:sz="0" w:space="0" w:color="auto"/>
                <w:left w:val="none" w:sz="0" w:space="0" w:color="auto"/>
                <w:bottom w:val="none" w:sz="0" w:space="0" w:color="auto"/>
                <w:right w:val="none" w:sz="0" w:space="0" w:color="auto"/>
              </w:divBdr>
            </w:div>
            <w:div w:id="1766145360">
              <w:marLeft w:val="0"/>
              <w:marRight w:val="0"/>
              <w:marTop w:val="0"/>
              <w:marBottom w:val="0"/>
              <w:divBdr>
                <w:top w:val="none" w:sz="0" w:space="0" w:color="auto"/>
                <w:left w:val="none" w:sz="0" w:space="0" w:color="auto"/>
                <w:bottom w:val="none" w:sz="0" w:space="0" w:color="auto"/>
                <w:right w:val="none" w:sz="0" w:space="0" w:color="auto"/>
              </w:divBdr>
            </w:div>
            <w:div w:id="21098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1884">
      <w:bodyDiv w:val="1"/>
      <w:marLeft w:val="0"/>
      <w:marRight w:val="0"/>
      <w:marTop w:val="0"/>
      <w:marBottom w:val="0"/>
      <w:divBdr>
        <w:top w:val="none" w:sz="0" w:space="0" w:color="auto"/>
        <w:left w:val="none" w:sz="0" w:space="0" w:color="auto"/>
        <w:bottom w:val="none" w:sz="0" w:space="0" w:color="auto"/>
        <w:right w:val="none" w:sz="0" w:space="0" w:color="auto"/>
      </w:divBdr>
    </w:div>
    <w:div w:id="1772159745">
      <w:bodyDiv w:val="1"/>
      <w:marLeft w:val="0"/>
      <w:marRight w:val="0"/>
      <w:marTop w:val="0"/>
      <w:marBottom w:val="0"/>
      <w:divBdr>
        <w:top w:val="none" w:sz="0" w:space="0" w:color="auto"/>
        <w:left w:val="none" w:sz="0" w:space="0" w:color="auto"/>
        <w:bottom w:val="none" w:sz="0" w:space="0" w:color="auto"/>
        <w:right w:val="none" w:sz="0" w:space="0" w:color="auto"/>
      </w:divBdr>
    </w:div>
    <w:div w:id="1787890520">
      <w:bodyDiv w:val="1"/>
      <w:marLeft w:val="0"/>
      <w:marRight w:val="0"/>
      <w:marTop w:val="0"/>
      <w:marBottom w:val="0"/>
      <w:divBdr>
        <w:top w:val="none" w:sz="0" w:space="0" w:color="auto"/>
        <w:left w:val="none" w:sz="0" w:space="0" w:color="auto"/>
        <w:bottom w:val="none" w:sz="0" w:space="0" w:color="auto"/>
        <w:right w:val="none" w:sz="0" w:space="0" w:color="auto"/>
      </w:divBdr>
    </w:div>
    <w:div w:id="1788547192">
      <w:bodyDiv w:val="1"/>
      <w:marLeft w:val="0"/>
      <w:marRight w:val="0"/>
      <w:marTop w:val="0"/>
      <w:marBottom w:val="0"/>
      <w:divBdr>
        <w:top w:val="none" w:sz="0" w:space="0" w:color="auto"/>
        <w:left w:val="none" w:sz="0" w:space="0" w:color="auto"/>
        <w:bottom w:val="none" w:sz="0" w:space="0" w:color="auto"/>
        <w:right w:val="none" w:sz="0" w:space="0" w:color="auto"/>
      </w:divBdr>
    </w:div>
    <w:div w:id="1801803025">
      <w:bodyDiv w:val="1"/>
      <w:marLeft w:val="0"/>
      <w:marRight w:val="0"/>
      <w:marTop w:val="0"/>
      <w:marBottom w:val="0"/>
      <w:divBdr>
        <w:top w:val="none" w:sz="0" w:space="0" w:color="auto"/>
        <w:left w:val="none" w:sz="0" w:space="0" w:color="auto"/>
        <w:bottom w:val="none" w:sz="0" w:space="0" w:color="auto"/>
        <w:right w:val="none" w:sz="0" w:space="0" w:color="auto"/>
      </w:divBdr>
    </w:div>
    <w:div w:id="1806510025">
      <w:bodyDiv w:val="1"/>
      <w:marLeft w:val="0"/>
      <w:marRight w:val="0"/>
      <w:marTop w:val="0"/>
      <w:marBottom w:val="0"/>
      <w:divBdr>
        <w:top w:val="none" w:sz="0" w:space="0" w:color="auto"/>
        <w:left w:val="none" w:sz="0" w:space="0" w:color="auto"/>
        <w:bottom w:val="none" w:sz="0" w:space="0" w:color="auto"/>
        <w:right w:val="none" w:sz="0" w:space="0" w:color="auto"/>
      </w:divBdr>
      <w:divsChild>
        <w:div w:id="393622754">
          <w:marLeft w:val="0"/>
          <w:marRight w:val="0"/>
          <w:marTop w:val="0"/>
          <w:marBottom w:val="0"/>
          <w:divBdr>
            <w:top w:val="none" w:sz="0" w:space="0" w:color="auto"/>
            <w:left w:val="none" w:sz="0" w:space="0" w:color="auto"/>
            <w:bottom w:val="none" w:sz="0" w:space="0" w:color="auto"/>
            <w:right w:val="none" w:sz="0" w:space="0" w:color="auto"/>
          </w:divBdr>
          <w:divsChild>
            <w:div w:id="45883913">
              <w:marLeft w:val="0"/>
              <w:marRight w:val="0"/>
              <w:marTop w:val="0"/>
              <w:marBottom w:val="0"/>
              <w:divBdr>
                <w:top w:val="none" w:sz="0" w:space="0" w:color="auto"/>
                <w:left w:val="none" w:sz="0" w:space="0" w:color="auto"/>
                <w:bottom w:val="none" w:sz="0" w:space="0" w:color="auto"/>
                <w:right w:val="none" w:sz="0" w:space="0" w:color="auto"/>
              </w:divBdr>
            </w:div>
            <w:div w:id="174854397">
              <w:marLeft w:val="0"/>
              <w:marRight w:val="0"/>
              <w:marTop w:val="0"/>
              <w:marBottom w:val="0"/>
              <w:divBdr>
                <w:top w:val="none" w:sz="0" w:space="0" w:color="auto"/>
                <w:left w:val="none" w:sz="0" w:space="0" w:color="auto"/>
                <w:bottom w:val="none" w:sz="0" w:space="0" w:color="auto"/>
                <w:right w:val="none" w:sz="0" w:space="0" w:color="auto"/>
              </w:divBdr>
            </w:div>
            <w:div w:id="406196610">
              <w:marLeft w:val="0"/>
              <w:marRight w:val="0"/>
              <w:marTop w:val="0"/>
              <w:marBottom w:val="0"/>
              <w:divBdr>
                <w:top w:val="none" w:sz="0" w:space="0" w:color="auto"/>
                <w:left w:val="none" w:sz="0" w:space="0" w:color="auto"/>
                <w:bottom w:val="none" w:sz="0" w:space="0" w:color="auto"/>
                <w:right w:val="none" w:sz="0" w:space="0" w:color="auto"/>
              </w:divBdr>
            </w:div>
            <w:div w:id="652561216">
              <w:marLeft w:val="0"/>
              <w:marRight w:val="0"/>
              <w:marTop w:val="0"/>
              <w:marBottom w:val="0"/>
              <w:divBdr>
                <w:top w:val="none" w:sz="0" w:space="0" w:color="auto"/>
                <w:left w:val="none" w:sz="0" w:space="0" w:color="auto"/>
                <w:bottom w:val="none" w:sz="0" w:space="0" w:color="auto"/>
                <w:right w:val="none" w:sz="0" w:space="0" w:color="auto"/>
              </w:divBdr>
            </w:div>
            <w:div w:id="1026905621">
              <w:marLeft w:val="0"/>
              <w:marRight w:val="0"/>
              <w:marTop w:val="0"/>
              <w:marBottom w:val="0"/>
              <w:divBdr>
                <w:top w:val="none" w:sz="0" w:space="0" w:color="auto"/>
                <w:left w:val="none" w:sz="0" w:space="0" w:color="auto"/>
                <w:bottom w:val="none" w:sz="0" w:space="0" w:color="auto"/>
                <w:right w:val="none" w:sz="0" w:space="0" w:color="auto"/>
              </w:divBdr>
            </w:div>
            <w:div w:id="1189174102">
              <w:marLeft w:val="0"/>
              <w:marRight w:val="0"/>
              <w:marTop w:val="0"/>
              <w:marBottom w:val="0"/>
              <w:divBdr>
                <w:top w:val="none" w:sz="0" w:space="0" w:color="auto"/>
                <w:left w:val="none" w:sz="0" w:space="0" w:color="auto"/>
                <w:bottom w:val="none" w:sz="0" w:space="0" w:color="auto"/>
                <w:right w:val="none" w:sz="0" w:space="0" w:color="auto"/>
              </w:divBdr>
            </w:div>
            <w:div w:id="1408721353">
              <w:marLeft w:val="0"/>
              <w:marRight w:val="0"/>
              <w:marTop w:val="0"/>
              <w:marBottom w:val="0"/>
              <w:divBdr>
                <w:top w:val="none" w:sz="0" w:space="0" w:color="auto"/>
                <w:left w:val="none" w:sz="0" w:space="0" w:color="auto"/>
                <w:bottom w:val="none" w:sz="0" w:space="0" w:color="auto"/>
                <w:right w:val="none" w:sz="0" w:space="0" w:color="auto"/>
              </w:divBdr>
            </w:div>
            <w:div w:id="20164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0421">
      <w:bodyDiv w:val="1"/>
      <w:marLeft w:val="0"/>
      <w:marRight w:val="0"/>
      <w:marTop w:val="0"/>
      <w:marBottom w:val="0"/>
      <w:divBdr>
        <w:top w:val="none" w:sz="0" w:space="0" w:color="auto"/>
        <w:left w:val="none" w:sz="0" w:space="0" w:color="auto"/>
        <w:bottom w:val="none" w:sz="0" w:space="0" w:color="auto"/>
        <w:right w:val="none" w:sz="0" w:space="0" w:color="auto"/>
      </w:divBdr>
    </w:div>
    <w:div w:id="1834375395">
      <w:bodyDiv w:val="1"/>
      <w:marLeft w:val="0"/>
      <w:marRight w:val="0"/>
      <w:marTop w:val="0"/>
      <w:marBottom w:val="0"/>
      <w:divBdr>
        <w:top w:val="none" w:sz="0" w:space="0" w:color="auto"/>
        <w:left w:val="none" w:sz="0" w:space="0" w:color="auto"/>
        <w:bottom w:val="none" w:sz="0" w:space="0" w:color="auto"/>
        <w:right w:val="none" w:sz="0" w:space="0" w:color="auto"/>
      </w:divBdr>
    </w:div>
    <w:div w:id="1840342973">
      <w:bodyDiv w:val="1"/>
      <w:marLeft w:val="0"/>
      <w:marRight w:val="0"/>
      <w:marTop w:val="0"/>
      <w:marBottom w:val="0"/>
      <w:divBdr>
        <w:top w:val="none" w:sz="0" w:space="0" w:color="auto"/>
        <w:left w:val="none" w:sz="0" w:space="0" w:color="auto"/>
        <w:bottom w:val="none" w:sz="0" w:space="0" w:color="auto"/>
        <w:right w:val="none" w:sz="0" w:space="0" w:color="auto"/>
      </w:divBdr>
    </w:div>
    <w:div w:id="1844280447">
      <w:bodyDiv w:val="1"/>
      <w:marLeft w:val="0"/>
      <w:marRight w:val="0"/>
      <w:marTop w:val="0"/>
      <w:marBottom w:val="0"/>
      <w:divBdr>
        <w:top w:val="none" w:sz="0" w:space="0" w:color="auto"/>
        <w:left w:val="none" w:sz="0" w:space="0" w:color="auto"/>
        <w:bottom w:val="none" w:sz="0" w:space="0" w:color="auto"/>
        <w:right w:val="none" w:sz="0" w:space="0" w:color="auto"/>
      </w:divBdr>
    </w:div>
    <w:div w:id="1861770786">
      <w:bodyDiv w:val="1"/>
      <w:marLeft w:val="0"/>
      <w:marRight w:val="0"/>
      <w:marTop w:val="0"/>
      <w:marBottom w:val="0"/>
      <w:divBdr>
        <w:top w:val="none" w:sz="0" w:space="0" w:color="auto"/>
        <w:left w:val="none" w:sz="0" w:space="0" w:color="auto"/>
        <w:bottom w:val="none" w:sz="0" w:space="0" w:color="auto"/>
        <w:right w:val="none" w:sz="0" w:space="0" w:color="auto"/>
      </w:divBdr>
    </w:div>
    <w:div w:id="1864324745">
      <w:bodyDiv w:val="1"/>
      <w:marLeft w:val="0"/>
      <w:marRight w:val="0"/>
      <w:marTop w:val="0"/>
      <w:marBottom w:val="0"/>
      <w:divBdr>
        <w:top w:val="none" w:sz="0" w:space="0" w:color="auto"/>
        <w:left w:val="none" w:sz="0" w:space="0" w:color="auto"/>
        <w:bottom w:val="none" w:sz="0" w:space="0" w:color="auto"/>
        <w:right w:val="none" w:sz="0" w:space="0" w:color="auto"/>
      </w:divBdr>
    </w:div>
    <w:div w:id="1926918395">
      <w:bodyDiv w:val="1"/>
      <w:marLeft w:val="0"/>
      <w:marRight w:val="0"/>
      <w:marTop w:val="0"/>
      <w:marBottom w:val="0"/>
      <w:divBdr>
        <w:top w:val="none" w:sz="0" w:space="0" w:color="auto"/>
        <w:left w:val="none" w:sz="0" w:space="0" w:color="auto"/>
        <w:bottom w:val="none" w:sz="0" w:space="0" w:color="auto"/>
        <w:right w:val="none" w:sz="0" w:space="0" w:color="auto"/>
      </w:divBdr>
    </w:div>
    <w:div w:id="1940790343">
      <w:bodyDiv w:val="1"/>
      <w:marLeft w:val="0"/>
      <w:marRight w:val="0"/>
      <w:marTop w:val="0"/>
      <w:marBottom w:val="0"/>
      <w:divBdr>
        <w:top w:val="none" w:sz="0" w:space="0" w:color="auto"/>
        <w:left w:val="none" w:sz="0" w:space="0" w:color="auto"/>
        <w:bottom w:val="none" w:sz="0" w:space="0" w:color="auto"/>
        <w:right w:val="none" w:sz="0" w:space="0" w:color="auto"/>
      </w:divBdr>
      <w:divsChild>
        <w:div w:id="474689501">
          <w:marLeft w:val="0"/>
          <w:marRight w:val="0"/>
          <w:marTop w:val="0"/>
          <w:marBottom w:val="0"/>
          <w:divBdr>
            <w:top w:val="none" w:sz="0" w:space="0" w:color="auto"/>
            <w:left w:val="none" w:sz="0" w:space="0" w:color="auto"/>
            <w:bottom w:val="none" w:sz="0" w:space="0" w:color="auto"/>
            <w:right w:val="none" w:sz="0" w:space="0" w:color="auto"/>
          </w:divBdr>
        </w:div>
        <w:div w:id="742487672">
          <w:marLeft w:val="0"/>
          <w:marRight w:val="0"/>
          <w:marTop w:val="0"/>
          <w:marBottom w:val="0"/>
          <w:divBdr>
            <w:top w:val="none" w:sz="0" w:space="0" w:color="auto"/>
            <w:left w:val="none" w:sz="0" w:space="0" w:color="auto"/>
            <w:bottom w:val="none" w:sz="0" w:space="0" w:color="auto"/>
            <w:right w:val="none" w:sz="0" w:space="0" w:color="auto"/>
          </w:divBdr>
        </w:div>
        <w:div w:id="1343967781">
          <w:marLeft w:val="0"/>
          <w:marRight w:val="0"/>
          <w:marTop w:val="0"/>
          <w:marBottom w:val="0"/>
          <w:divBdr>
            <w:top w:val="none" w:sz="0" w:space="0" w:color="auto"/>
            <w:left w:val="none" w:sz="0" w:space="0" w:color="auto"/>
            <w:bottom w:val="none" w:sz="0" w:space="0" w:color="auto"/>
            <w:right w:val="none" w:sz="0" w:space="0" w:color="auto"/>
          </w:divBdr>
        </w:div>
        <w:div w:id="1534074732">
          <w:marLeft w:val="0"/>
          <w:marRight w:val="0"/>
          <w:marTop w:val="0"/>
          <w:marBottom w:val="0"/>
          <w:divBdr>
            <w:top w:val="none" w:sz="0" w:space="0" w:color="auto"/>
            <w:left w:val="none" w:sz="0" w:space="0" w:color="auto"/>
            <w:bottom w:val="none" w:sz="0" w:space="0" w:color="auto"/>
            <w:right w:val="none" w:sz="0" w:space="0" w:color="auto"/>
          </w:divBdr>
        </w:div>
        <w:div w:id="1834490283">
          <w:marLeft w:val="0"/>
          <w:marRight w:val="0"/>
          <w:marTop w:val="0"/>
          <w:marBottom w:val="0"/>
          <w:divBdr>
            <w:top w:val="none" w:sz="0" w:space="0" w:color="auto"/>
            <w:left w:val="none" w:sz="0" w:space="0" w:color="auto"/>
            <w:bottom w:val="none" w:sz="0" w:space="0" w:color="auto"/>
            <w:right w:val="none" w:sz="0" w:space="0" w:color="auto"/>
          </w:divBdr>
        </w:div>
      </w:divsChild>
    </w:div>
    <w:div w:id="1942757045">
      <w:bodyDiv w:val="1"/>
      <w:marLeft w:val="0"/>
      <w:marRight w:val="0"/>
      <w:marTop w:val="0"/>
      <w:marBottom w:val="0"/>
      <w:divBdr>
        <w:top w:val="none" w:sz="0" w:space="0" w:color="auto"/>
        <w:left w:val="none" w:sz="0" w:space="0" w:color="auto"/>
        <w:bottom w:val="none" w:sz="0" w:space="0" w:color="auto"/>
        <w:right w:val="none" w:sz="0" w:space="0" w:color="auto"/>
      </w:divBdr>
    </w:div>
    <w:div w:id="1942954480">
      <w:bodyDiv w:val="1"/>
      <w:marLeft w:val="0"/>
      <w:marRight w:val="0"/>
      <w:marTop w:val="0"/>
      <w:marBottom w:val="0"/>
      <w:divBdr>
        <w:top w:val="none" w:sz="0" w:space="0" w:color="auto"/>
        <w:left w:val="none" w:sz="0" w:space="0" w:color="auto"/>
        <w:bottom w:val="none" w:sz="0" w:space="0" w:color="auto"/>
        <w:right w:val="none" w:sz="0" w:space="0" w:color="auto"/>
      </w:divBdr>
    </w:div>
    <w:div w:id="1951007320">
      <w:bodyDiv w:val="1"/>
      <w:marLeft w:val="0"/>
      <w:marRight w:val="0"/>
      <w:marTop w:val="0"/>
      <w:marBottom w:val="0"/>
      <w:divBdr>
        <w:top w:val="none" w:sz="0" w:space="0" w:color="auto"/>
        <w:left w:val="none" w:sz="0" w:space="0" w:color="auto"/>
        <w:bottom w:val="none" w:sz="0" w:space="0" w:color="auto"/>
        <w:right w:val="none" w:sz="0" w:space="0" w:color="auto"/>
      </w:divBdr>
    </w:div>
    <w:div w:id="1959872824">
      <w:bodyDiv w:val="1"/>
      <w:marLeft w:val="24"/>
      <w:marRight w:val="24"/>
      <w:marTop w:val="0"/>
      <w:marBottom w:val="0"/>
      <w:divBdr>
        <w:top w:val="none" w:sz="0" w:space="0" w:color="auto"/>
        <w:left w:val="none" w:sz="0" w:space="0" w:color="auto"/>
        <w:bottom w:val="none" w:sz="0" w:space="0" w:color="auto"/>
        <w:right w:val="none" w:sz="0" w:space="0" w:color="auto"/>
      </w:divBdr>
      <w:divsChild>
        <w:div w:id="1413233367">
          <w:marLeft w:val="0"/>
          <w:marRight w:val="0"/>
          <w:marTop w:val="0"/>
          <w:marBottom w:val="0"/>
          <w:divBdr>
            <w:top w:val="none" w:sz="0" w:space="0" w:color="auto"/>
            <w:left w:val="none" w:sz="0" w:space="0" w:color="auto"/>
            <w:bottom w:val="none" w:sz="0" w:space="0" w:color="auto"/>
            <w:right w:val="none" w:sz="0" w:space="0" w:color="auto"/>
          </w:divBdr>
          <w:divsChild>
            <w:div w:id="863206244">
              <w:marLeft w:val="0"/>
              <w:marRight w:val="0"/>
              <w:marTop w:val="0"/>
              <w:marBottom w:val="0"/>
              <w:divBdr>
                <w:top w:val="none" w:sz="0" w:space="0" w:color="auto"/>
                <w:left w:val="none" w:sz="0" w:space="0" w:color="auto"/>
                <w:bottom w:val="none" w:sz="0" w:space="0" w:color="auto"/>
                <w:right w:val="none" w:sz="0" w:space="0" w:color="auto"/>
              </w:divBdr>
              <w:divsChild>
                <w:div w:id="336077124">
                  <w:marLeft w:val="1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3128">
      <w:bodyDiv w:val="1"/>
      <w:marLeft w:val="0"/>
      <w:marRight w:val="0"/>
      <w:marTop w:val="0"/>
      <w:marBottom w:val="0"/>
      <w:divBdr>
        <w:top w:val="none" w:sz="0" w:space="0" w:color="auto"/>
        <w:left w:val="none" w:sz="0" w:space="0" w:color="auto"/>
        <w:bottom w:val="none" w:sz="0" w:space="0" w:color="auto"/>
        <w:right w:val="none" w:sz="0" w:space="0" w:color="auto"/>
      </w:divBdr>
    </w:div>
    <w:div w:id="1970477842">
      <w:bodyDiv w:val="1"/>
      <w:marLeft w:val="0"/>
      <w:marRight w:val="0"/>
      <w:marTop w:val="0"/>
      <w:marBottom w:val="0"/>
      <w:divBdr>
        <w:top w:val="none" w:sz="0" w:space="0" w:color="auto"/>
        <w:left w:val="none" w:sz="0" w:space="0" w:color="auto"/>
        <w:bottom w:val="none" w:sz="0" w:space="0" w:color="auto"/>
        <w:right w:val="none" w:sz="0" w:space="0" w:color="auto"/>
      </w:divBdr>
    </w:div>
    <w:div w:id="1973438588">
      <w:bodyDiv w:val="1"/>
      <w:marLeft w:val="0"/>
      <w:marRight w:val="0"/>
      <w:marTop w:val="0"/>
      <w:marBottom w:val="0"/>
      <w:divBdr>
        <w:top w:val="none" w:sz="0" w:space="0" w:color="auto"/>
        <w:left w:val="none" w:sz="0" w:space="0" w:color="auto"/>
        <w:bottom w:val="none" w:sz="0" w:space="0" w:color="auto"/>
        <w:right w:val="none" w:sz="0" w:space="0" w:color="auto"/>
      </w:divBdr>
    </w:div>
    <w:div w:id="2011903028">
      <w:bodyDiv w:val="1"/>
      <w:marLeft w:val="0"/>
      <w:marRight w:val="0"/>
      <w:marTop w:val="0"/>
      <w:marBottom w:val="0"/>
      <w:divBdr>
        <w:top w:val="none" w:sz="0" w:space="0" w:color="auto"/>
        <w:left w:val="none" w:sz="0" w:space="0" w:color="auto"/>
        <w:bottom w:val="none" w:sz="0" w:space="0" w:color="auto"/>
        <w:right w:val="none" w:sz="0" w:space="0" w:color="auto"/>
      </w:divBdr>
    </w:div>
    <w:div w:id="2033876413">
      <w:bodyDiv w:val="1"/>
      <w:marLeft w:val="0"/>
      <w:marRight w:val="0"/>
      <w:marTop w:val="0"/>
      <w:marBottom w:val="0"/>
      <w:divBdr>
        <w:top w:val="none" w:sz="0" w:space="0" w:color="auto"/>
        <w:left w:val="none" w:sz="0" w:space="0" w:color="auto"/>
        <w:bottom w:val="none" w:sz="0" w:space="0" w:color="auto"/>
        <w:right w:val="none" w:sz="0" w:space="0" w:color="auto"/>
      </w:divBdr>
      <w:divsChild>
        <w:div w:id="1400246329">
          <w:marLeft w:val="0"/>
          <w:marRight w:val="0"/>
          <w:marTop w:val="0"/>
          <w:marBottom w:val="0"/>
          <w:divBdr>
            <w:top w:val="none" w:sz="0" w:space="0" w:color="auto"/>
            <w:left w:val="none" w:sz="0" w:space="0" w:color="auto"/>
            <w:bottom w:val="none" w:sz="0" w:space="0" w:color="auto"/>
            <w:right w:val="none" w:sz="0" w:space="0" w:color="auto"/>
          </w:divBdr>
        </w:div>
      </w:divsChild>
    </w:div>
    <w:div w:id="2079666683">
      <w:bodyDiv w:val="1"/>
      <w:marLeft w:val="0"/>
      <w:marRight w:val="0"/>
      <w:marTop w:val="0"/>
      <w:marBottom w:val="0"/>
      <w:divBdr>
        <w:top w:val="none" w:sz="0" w:space="0" w:color="auto"/>
        <w:left w:val="none" w:sz="0" w:space="0" w:color="auto"/>
        <w:bottom w:val="none" w:sz="0" w:space="0" w:color="auto"/>
        <w:right w:val="none" w:sz="0" w:space="0" w:color="auto"/>
      </w:divBdr>
    </w:div>
    <w:div w:id="2082942029">
      <w:bodyDiv w:val="1"/>
      <w:marLeft w:val="0"/>
      <w:marRight w:val="0"/>
      <w:marTop w:val="0"/>
      <w:marBottom w:val="0"/>
      <w:divBdr>
        <w:top w:val="none" w:sz="0" w:space="0" w:color="auto"/>
        <w:left w:val="none" w:sz="0" w:space="0" w:color="auto"/>
        <w:bottom w:val="none" w:sz="0" w:space="0" w:color="auto"/>
        <w:right w:val="none" w:sz="0" w:space="0" w:color="auto"/>
      </w:divBdr>
    </w:div>
    <w:div w:id="2116778234">
      <w:bodyDiv w:val="1"/>
      <w:marLeft w:val="0"/>
      <w:marRight w:val="0"/>
      <w:marTop w:val="0"/>
      <w:marBottom w:val="0"/>
      <w:divBdr>
        <w:top w:val="none" w:sz="0" w:space="0" w:color="auto"/>
        <w:left w:val="none" w:sz="0" w:space="0" w:color="auto"/>
        <w:bottom w:val="none" w:sz="0" w:space="0" w:color="auto"/>
        <w:right w:val="none" w:sz="0" w:space="0" w:color="auto"/>
      </w:divBdr>
    </w:div>
    <w:div w:id="213293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s://www.eia.gov/electricity/annual/html/epa_08_02.html." TargetMode="External"/><Relationship Id="rId21" Type="http://schemas.openxmlformats.org/officeDocument/2006/relationships/header" Target="header5.xml"/><Relationship Id="rId42" Type="http://schemas.openxmlformats.org/officeDocument/2006/relationships/image" Target="media/image6.emf"/><Relationship Id="rId47" Type="http://schemas.openxmlformats.org/officeDocument/2006/relationships/image" Target="media/image10.png"/><Relationship Id="rId63" Type="http://schemas.openxmlformats.org/officeDocument/2006/relationships/oleObject" Target="embeddings/oleObject5.bin"/><Relationship Id="rId68" Type="http://schemas.openxmlformats.org/officeDocument/2006/relationships/oleObject" Target="embeddings/oleObject9.bin"/><Relationship Id="rId84" Type="http://schemas.openxmlformats.org/officeDocument/2006/relationships/image" Target="media/image29.png"/><Relationship Id="rId89" Type="http://schemas.openxmlformats.org/officeDocument/2006/relationships/footer" Target="footer19.xml"/><Relationship Id="rId112" Type="http://schemas.openxmlformats.org/officeDocument/2006/relationships/image" Target="media/image46.png"/><Relationship Id="rId16" Type="http://schemas.openxmlformats.org/officeDocument/2006/relationships/footer" Target="footer3.xml"/><Relationship Id="rId107" Type="http://schemas.openxmlformats.org/officeDocument/2006/relationships/image" Target="media/image45.png"/><Relationship Id="rId11" Type="http://schemas.openxmlformats.org/officeDocument/2006/relationships/image" Target="media/image1.jpeg"/><Relationship Id="rId32" Type="http://schemas.openxmlformats.org/officeDocument/2006/relationships/image" Target="media/image5.png"/><Relationship Id="rId37" Type="http://schemas.openxmlformats.org/officeDocument/2006/relationships/footer" Target="footer13.xml"/><Relationship Id="rId53" Type="http://schemas.openxmlformats.org/officeDocument/2006/relationships/image" Target="media/image15.png"/><Relationship Id="rId58" Type="http://schemas.openxmlformats.org/officeDocument/2006/relationships/image" Target="media/image19.wmf"/><Relationship Id="rId74" Type="http://schemas.openxmlformats.org/officeDocument/2006/relationships/oleObject" Target="embeddings/oleObject15.bin"/><Relationship Id="rId79" Type="http://schemas.openxmlformats.org/officeDocument/2006/relationships/image" Target="media/image24.png"/><Relationship Id="rId102" Type="http://schemas.openxmlformats.org/officeDocument/2006/relationships/image" Target="media/image40.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20.xml"/><Relationship Id="rId95" Type="http://schemas.openxmlformats.org/officeDocument/2006/relationships/image" Target="media/image35.png"/><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package" Target="embeddings/Microsoft_Visio_Drawing2.vsdx"/><Relationship Id="rId48" Type="http://schemas.openxmlformats.org/officeDocument/2006/relationships/image" Target="media/image11.emf"/><Relationship Id="rId64" Type="http://schemas.openxmlformats.org/officeDocument/2006/relationships/oleObject" Target="embeddings/oleObject6.bin"/><Relationship Id="rId69" Type="http://schemas.openxmlformats.org/officeDocument/2006/relationships/oleObject" Target="embeddings/oleObject10.bin"/><Relationship Id="rId113" Type="http://schemas.openxmlformats.org/officeDocument/2006/relationships/image" Target="media/image47.svg"/><Relationship Id="rId118" Type="http://schemas.openxmlformats.org/officeDocument/2006/relationships/image" Target="media/image51.wmf"/><Relationship Id="rId80" Type="http://schemas.openxmlformats.org/officeDocument/2006/relationships/image" Target="media/image25.svg"/><Relationship Id="rId85" Type="http://schemas.openxmlformats.org/officeDocument/2006/relationships/image" Target="media/image30.emf"/><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footer" Target="footer10.xml"/><Relationship Id="rId38" Type="http://schemas.openxmlformats.org/officeDocument/2006/relationships/footer" Target="footer14.xml"/><Relationship Id="rId59" Type="http://schemas.openxmlformats.org/officeDocument/2006/relationships/oleObject" Target="embeddings/oleObject2.bin"/><Relationship Id="rId103" Type="http://schemas.openxmlformats.org/officeDocument/2006/relationships/image" Target="media/image41.png"/><Relationship Id="rId108" Type="http://schemas.openxmlformats.org/officeDocument/2006/relationships/image" Target="cid:image001.png@01DADF4C.6134CDD0" TargetMode="External"/><Relationship Id="rId124" Type="http://schemas.openxmlformats.org/officeDocument/2006/relationships/theme" Target="theme/theme1.xml"/><Relationship Id="rId54" Type="http://schemas.openxmlformats.org/officeDocument/2006/relationships/image" Target="media/image16.png"/><Relationship Id="rId70" Type="http://schemas.openxmlformats.org/officeDocument/2006/relationships/oleObject" Target="embeddings/oleObject11.bin"/><Relationship Id="rId75" Type="http://schemas.openxmlformats.org/officeDocument/2006/relationships/oleObject" Target="embeddings/oleObject16.bin"/><Relationship Id="rId91" Type="http://schemas.openxmlformats.org/officeDocument/2006/relationships/image" Target="media/image32.emf"/><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9.xml"/><Relationship Id="rId49" Type="http://schemas.openxmlformats.org/officeDocument/2006/relationships/image" Target="media/image12.emf"/><Relationship Id="rId114" Type="http://schemas.openxmlformats.org/officeDocument/2006/relationships/image" Target="media/image48.png"/><Relationship Id="rId119" Type="http://schemas.openxmlformats.org/officeDocument/2006/relationships/image" Target="media/image52.emf"/><Relationship Id="rId44" Type="http://schemas.openxmlformats.org/officeDocument/2006/relationships/image" Target="media/image7.emf"/><Relationship Id="rId60" Type="http://schemas.openxmlformats.org/officeDocument/2006/relationships/image" Target="media/image20.wmf"/><Relationship Id="rId65" Type="http://schemas.openxmlformats.org/officeDocument/2006/relationships/oleObject" Target="embeddings/oleObject7.bin"/><Relationship Id="rId81" Type="http://schemas.openxmlformats.org/officeDocument/2006/relationships/image" Target="media/image26.tmp"/><Relationship Id="rId86"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footer" Target="footer23.xml"/><Relationship Id="rId34" Type="http://schemas.openxmlformats.org/officeDocument/2006/relationships/footer" Target="footer11.xml"/><Relationship Id="rId50" Type="http://schemas.openxmlformats.org/officeDocument/2006/relationships/image" Target="media/image13.emf"/><Relationship Id="rId55" Type="http://schemas.openxmlformats.org/officeDocument/2006/relationships/image" Target="media/image17.png"/><Relationship Id="rId76" Type="http://schemas.openxmlformats.org/officeDocument/2006/relationships/image" Target="media/image22.emf"/><Relationship Id="rId97" Type="http://schemas.openxmlformats.org/officeDocument/2006/relationships/image" Target="media/image37.png"/><Relationship Id="rId104" Type="http://schemas.openxmlformats.org/officeDocument/2006/relationships/image" Target="media/image42.png"/><Relationship Id="rId120" Type="http://schemas.openxmlformats.org/officeDocument/2006/relationships/image" Target="media/image53.wmf"/><Relationship Id="rId7" Type="http://schemas.openxmlformats.org/officeDocument/2006/relationships/settings" Target="settings.xml"/><Relationship Id="rId71" Type="http://schemas.openxmlformats.org/officeDocument/2006/relationships/oleObject" Target="embeddings/oleObject12.bin"/><Relationship Id="rId92" Type="http://schemas.openxmlformats.org/officeDocument/2006/relationships/package" Target="embeddings/Microsoft_Visio_Drawing5.vsdx"/><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7.xml"/><Relationship Id="rId40" Type="http://schemas.openxmlformats.org/officeDocument/2006/relationships/footer" Target="footer15.xml"/><Relationship Id="rId45" Type="http://schemas.openxmlformats.org/officeDocument/2006/relationships/image" Target="media/image8.png"/><Relationship Id="rId66" Type="http://schemas.openxmlformats.org/officeDocument/2006/relationships/image" Target="media/image21.wmf"/><Relationship Id="rId87" Type="http://schemas.openxmlformats.org/officeDocument/2006/relationships/footer" Target="footer17.xml"/><Relationship Id="rId110" Type="http://schemas.openxmlformats.org/officeDocument/2006/relationships/footer" Target="footer24.xml"/><Relationship Id="rId115" Type="http://schemas.openxmlformats.org/officeDocument/2006/relationships/image" Target="media/image49.png"/><Relationship Id="rId61" Type="http://schemas.openxmlformats.org/officeDocument/2006/relationships/oleObject" Target="embeddings/oleObject3.bin"/><Relationship Id="rId82" Type="http://schemas.openxmlformats.org/officeDocument/2006/relationships/image" Target="media/image27.emf"/><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4.emf"/><Relationship Id="rId35" Type="http://schemas.openxmlformats.org/officeDocument/2006/relationships/footer" Target="footer12.xml"/><Relationship Id="rId56" Type="http://schemas.openxmlformats.org/officeDocument/2006/relationships/image" Target="media/image18.wmf"/><Relationship Id="rId77" Type="http://schemas.openxmlformats.org/officeDocument/2006/relationships/oleObject" Target="embeddings/Microsoft_Word_97_-_2003_Document.doc"/><Relationship Id="rId100" Type="http://schemas.openxmlformats.org/officeDocument/2006/relationships/footer" Target="footer21.xml"/><Relationship Id="rId105"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package" Target="embeddings/Microsoft_Visio_Drawing3.vsdx"/><Relationship Id="rId72" Type="http://schemas.openxmlformats.org/officeDocument/2006/relationships/oleObject" Target="embeddings/oleObject13.bin"/><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image" Target="media/image54.emf"/><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9.jpg"/><Relationship Id="rId67" Type="http://schemas.openxmlformats.org/officeDocument/2006/relationships/oleObject" Target="embeddings/oleObject8.bin"/><Relationship Id="rId116" Type="http://schemas.openxmlformats.org/officeDocument/2006/relationships/image" Target="media/image50.png"/><Relationship Id="rId20" Type="http://schemas.openxmlformats.org/officeDocument/2006/relationships/footer" Target="footer5.xml"/><Relationship Id="rId41" Type="http://schemas.openxmlformats.org/officeDocument/2006/relationships/footer" Target="footer16.xml"/><Relationship Id="rId62" Type="http://schemas.openxmlformats.org/officeDocument/2006/relationships/oleObject" Target="embeddings/oleObject4.bin"/><Relationship Id="rId83" Type="http://schemas.openxmlformats.org/officeDocument/2006/relationships/image" Target="media/image28.emf"/><Relationship Id="rId88" Type="http://schemas.openxmlformats.org/officeDocument/2006/relationships/footer" Target="footer18.xml"/><Relationship Id="rId111" Type="http://schemas.openxmlformats.org/officeDocument/2006/relationships/footer" Target="footer25.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oleObject" Target="embeddings/oleObject1.bin"/><Relationship Id="rId106"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package" Target="embeddings/Microsoft_Visio_Drawing.vsdx"/><Relationship Id="rId52" Type="http://schemas.openxmlformats.org/officeDocument/2006/relationships/image" Target="media/image14.png"/><Relationship Id="rId73" Type="http://schemas.openxmlformats.org/officeDocument/2006/relationships/oleObject" Target="embeddings/oleObject14.bin"/><Relationship Id="rId78" Type="http://schemas.openxmlformats.org/officeDocument/2006/relationships/image" Target="media/image23.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footer" Target="footer22.xml"/><Relationship Id="rId122" Type="http://schemas.openxmlformats.org/officeDocument/2006/relationships/image" Target="media/image5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783F70-5DD0-4741-B202-138B46F80EA2}">
  <we:reference id="wa104381909" version="3.14.0.0" store="en-US" storeType="OMEX"/>
  <we:alternateReferences>
    <we:reference id="wa104381909" version="3.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32328C64684A4C9D6D2FEF34CC863D" ma:contentTypeVersion="16" ma:contentTypeDescription="Create a new document." ma:contentTypeScope="" ma:versionID="1911aae31821e4156b7b28ea7d5ac6fa">
  <xsd:schema xmlns:xsd="http://www.w3.org/2001/XMLSchema" xmlns:xs="http://www.w3.org/2001/XMLSchema" xmlns:p="http://schemas.microsoft.com/office/2006/metadata/properties" xmlns:ns1="http://schemas.microsoft.com/sharepoint/v3" xmlns:ns2="4acbca26-3efa-4ce4-9ea7-0fb843553cea" xmlns:ns3="37d3ad66-e118-421b-94a6-11dd103b1397" targetNamespace="http://schemas.microsoft.com/office/2006/metadata/properties" ma:root="true" ma:fieldsID="b5119e25b2f8f37a9926c3042f2bbee7" ns1:_="" ns2:_="" ns3:_="">
    <xsd:import namespace="http://schemas.microsoft.com/sharepoint/v3"/>
    <xsd:import namespace="4acbca26-3efa-4ce4-9ea7-0fb843553cea"/>
    <xsd:import namespace="37d3ad66-e118-421b-94a6-11dd103b13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bca26-3efa-4ce4-9ea7-0fb843553c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0c8eb9-1d53-4565-8c8d-20e3ef4ff78c"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d3ad66-e118-421b-94a6-11dd103b139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2fdb7f9-e3a7-4876-a6d3-e3f9a3686558}" ma:internalName="TaxCatchAll" ma:showField="CatchAllData" ma:web="37d3ad66-e118-421b-94a6-11dd103b1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7d3ad66-e118-421b-94a6-11dd103b1397" xsi:nil="true"/>
    <lcf76f155ced4ddcb4097134ff3c332f xmlns="4acbca26-3efa-4ce4-9ea7-0fb843553cea">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0C1518D7-3D01-43D3-AB9B-56D33506F1B1}">
  <ds:schemaRefs>
    <ds:schemaRef ds:uri="http://schemas.openxmlformats.org/officeDocument/2006/bibliography"/>
  </ds:schemaRefs>
</ds:datastoreItem>
</file>

<file path=customXml/itemProps2.xml><?xml version="1.0" encoding="utf-8"?>
<ds:datastoreItem xmlns:ds="http://schemas.openxmlformats.org/officeDocument/2006/customXml" ds:itemID="{2DA51312-EE73-49EC-B9B3-D4EEB131C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cbca26-3efa-4ce4-9ea7-0fb843553cea"/>
    <ds:schemaRef ds:uri="37d3ad66-e118-421b-94a6-11dd103b1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6249B4-A515-4CF3-9ACB-CEFC89295D1A}">
  <ds:schemaRefs>
    <ds:schemaRef ds:uri="http://schemas.microsoft.com/sharepoint/v3/contenttype/forms"/>
  </ds:schemaRefs>
</ds:datastoreItem>
</file>

<file path=customXml/itemProps4.xml><?xml version="1.0" encoding="utf-8"?>
<ds:datastoreItem xmlns:ds="http://schemas.openxmlformats.org/officeDocument/2006/customXml" ds:itemID="{8D92C146-279A-4106-A3B9-D5966261D393}">
  <ds:schemaRefs>
    <ds:schemaRef ds:uri="http://schemas.microsoft.com/office/2006/metadata/properties"/>
    <ds:schemaRef ds:uri="http://schemas.microsoft.com/office/infopath/2007/PartnerControls"/>
    <ds:schemaRef ds:uri="http://schemas.microsoft.com/sharepoint/v3"/>
    <ds:schemaRef ds:uri="37d3ad66-e118-421b-94a6-11dd103b1397"/>
    <ds:schemaRef ds:uri="4acbca26-3efa-4ce4-9ea7-0fb843553cea"/>
  </ds:schemaRefs>
</ds:datastoreItem>
</file>

<file path=docMetadata/LabelInfo.xml><?xml version="1.0" encoding="utf-8"?>
<clbl:labelList xmlns:clbl="http://schemas.microsoft.com/office/2020/mipLabelMetadata">
  <clbl:label id="{e9692091-66b8-45b5-9087-387cbcef98ca}" enabled="1" method="Privileged" siteId="{3230926a-71b7-4370-a137-197badc066a2}"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129642</Words>
  <Characters>738962</Characters>
  <Application>Microsoft Office Word</Application>
  <DocSecurity>0</DocSecurity>
  <Lines>6158</Lines>
  <Paragraphs>1733</Paragraphs>
  <ScaleCrop>false</ScaleCrop>
  <HeadingPairs>
    <vt:vector size="2" baseType="variant">
      <vt:variant>
        <vt:lpstr>Title</vt:lpstr>
      </vt:variant>
      <vt:variant>
        <vt:i4>1</vt:i4>
      </vt:variant>
    </vt:vector>
  </HeadingPairs>
  <TitlesOfParts>
    <vt:vector size="1" baseType="lpstr">
      <vt:lpstr>Integrated Marketplace Protocols</vt:lpstr>
    </vt:vector>
  </TitlesOfParts>
  <Company/>
  <LinksUpToDate>false</LinksUpToDate>
  <CharactersWithSpaces>866871</CharactersWithSpaces>
  <SharedDoc>false</SharedDoc>
  <HLinks>
    <vt:vector size="3972" baseType="variant">
      <vt:variant>
        <vt:i4>4587613</vt:i4>
      </vt:variant>
      <vt:variant>
        <vt:i4>5697</vt:i4>
      </vt:variant>
      <vt:variant>
        <vt:i4>0</vt:i4>
      </vt:variant>
      <vt:variant>
        <vt:i4>5</vt:i4>
      </vt:variant>
      <vt:variant>
        <vt:lpwstr>https://www.eia.gov/electricity/annual/html/epa_08_02.html.</vt:lpwstr>
      </vt:variant>
      <vt:variant>
        <vt:lpwstr/>
      </vt:variant>
      <vt:variant>
        <vt:i4>1048626</vt:i4>
      </vt:variant>
      <vt:variant>
        <vt:i4>3965</vt:i4>
      </vt:variant>
      <vt:variant>
        <vt:i4>0</vt:i4>
      </vt:variant>
      <vt:variant>
        <vt:i4>5</vt:i4>
      </vt:variant>
      <vt:variant>
        <vt:lpwstr/>
      </vt:variant>
      <vt:variant>
        <vt:lpwstr>_Toc213772436</vt:lpwstr>
      </vt:variant>
      <vt:variant>
        <vt:i4>1048626</vt:i4>
      </vt:variant>
      <vt:variant>
        <vt:i4>3959</vt:i4>
      </vt:variant>
      <vt:variant>
        <vt:i4>0</vt:i4>
      </vt:variant>
      <vt:variant>
        <vt:i4>5</vt:i4>
      </vt:variant>
      <vt:variant>
        <vt:lpwstr/>
      </vt:variant>
      <vt:variant>
        <vt:lpwstr>_Toc213772435</vt:lpwstr>
      </vt:variant>
      <vt:variant>
        <vt:i4>1048626</vt:i4>
      </vt:variant>
      <vt:variant>
        <vt:i4>3953</vt:i4>
      </vt:variant>
      <vt:variant>
        <vt:i4>0</vt:i4>
      </vt:variant>
      <vt:variant>
        <vt:i4>5</vt:i4>
      </vt:variant>
      <vt:variant>
        <vt:lpwstr/>
      </vt:variant>
      <vt:variant>
        <vt:lpwstr>_Toc213772434</vt:lpwstr>
      </vt:variant>
      <vt:variant>
        <vt:i4>1048626</vt:i4>
      </vt:variant>
      <vt:variant>
        <vt:i4>3947</vt:i4>
      </vt:variant>
      <vt:variant>
        <vt:i4>0</vt:i4>
      </vt:variant>
      <vt:variant>
        <vt:i4>5</vt:i4>
      </vt:variant>
      <vt:variant>
        <vt:lpwstr/>
      </vt:variant>
      <vt:variant>
        <vt:lpwstr>_Toc213772433</vt:lpwstr>
      </vt:variant>
      <vt:variant>
        <vt:i4>1048626</vt:i4>
      </vt:variant>
      <vt:variant>
        <vt:i4>3941</vt:i4>
      </vt:variant>
      <vt:variant>
        <vt:i4>0</vt:i4>
      </vt:variant>
      <vt:variant>
        <vt:i4>5</vt:i4>
      </vt:variant>
      <vt:variant>
        <vt:lpwstr/>
      </vt:variant>
      <vt:variant>
        <vt:lpwstr>_Toc213772432</vt:lpwstr>
      </vt:variant>
      <vt:variant>
        <vt:i4>1048626</vt:i4>
      </vt:variant>
      <vt:variant>
        <vt:i4>3935</vt:i4>
      </vt:variant>
      <vt:variant>
        <vt:i4>0</vt:i4>
      </vt:variant>
      <vt:variant>
        <vt:i4>5</vt:i4>
      </vt:variant>
      <vt:variant>
        <vt:lpwstr/>
      </vt:variant>
      <vt:variant>
        <vt:lpwstr>_Toc213772431</vt:lpwstr>
      </vt:variant>
      <vt:variant>
        <vt:i4>1048626</vt:i4>
      </vt:variant>
      <vt:variant>
        <vt:i4>3929</vt:i4>
      </vt:variant>
      <vt:variant>
        <vt:i4>0</vt:i4>
      </vt:variant>
      <vt:variant>
        <vt:i4>5</vt:i4>
      </vt:variant>
      <vt:variant>
        <vt:lpwstr/>
      </vt:variant>
      <vt:variant>
        <vt:lpwstr>_Toc213772430</vt:lpwstr>
      </vt:variant>
      <vt:variant>
        <vt:i4>1114162</vt:i4>
      </vt:variant>
      <vt:variant>
        <vt:i4>3923</vt:i4>
      </vt:variant>
      <vt:variant>
        <vt:i4>0</vt:i4>
      </vt:variant>
      <vt:variant>
        <vt:i4>5</vt:i4>
      </vt:variant>
      <vt:variant>
        <vt:lpwstr/>
      </vt:variant>
      <vt:variant>
        <vt:lpwstr>_Toc213772429</vt:lpwstr>
      </vt:variant>
      <vt:variant>
        <vt:i4>1114162</vt:i4>
      </vt:variant>
      <vt:variant>
        <vt:i4>3917</vt:i4>
      </vt:variant>
      <vt:variant>
        <vt:i4>0</vt:i4>
      </vt:variant>
      <vt:variant>
        <vt:i4>5</vt:i4>
      </vt:variant>
      <vt:variant>
        <vt:lpwstr/>
      </vt:variant>
      <vt:variant>
        <vt:lpwstr>_Toc213772428</vt:lpwstr>
      </vt:variant>
      <vt:variant>
        <vt:i4>1114162</vt:i4>
      </vt:variant>
      <vt:variant>
        <vt:i4>3911</vt:i4>
      </vt:variant>
      <vt:variant>
        <vt:i4>0</vt:i4>
      </vt:variant>
      <vt:variant>
        <vt:i4>5</vt:i4>
      </vt:variant>
      <vt:variant>
        <vt:lpwstr/>
      </vt:variant>
      <vt:variant>
        <vt:lpwstr>_Toc213772427</vt:lpwstr>
      </vt:variant>
      <vt:variant>
        <vt:i4>1114162</vt:i4>
      </vt:variant>
      <vt:variant>
        <vt:i4>3905</vt:i4>
      </vt:variant>
      <vt:variant>
        <vt:i4>0</vt:i4>
      </vt:variant>
      <vt:variant>
        <vt:i4>5</vt:i4>
      </vt:variant>
      <vt:variant>
        <vt:lpwstr/>
      </vt:variant>
      <vt:variant>
        <vt:lpwstr>_Toc213772426</vt:lpwstr>
      </vt:variant>
      <vt:variant>
        <vt:i4>1114162</vt:i4>
      </vt:variant>
      <vt:variant>
        <vt:i4>3899</vt:i4>
      </vt:variant>
      <vt:variant>
        <vt:i4>0</vt:i4>
      </vt:variant>
      <vt:variant>
        <vt:i4>5</vt:i4>
      </vt:variant>
      <vt:variant>
        <vt:lpwstr/>
      </vt:variant>
      <vt:variant>
        <vt:lpwstr>_Toc213772425</vt:lpwstr>
      </vt:variant>
      <vt:variant>
        <vt:i4>1114162</vt:i4>
      </vt:variant>
      <vt:variant>
        <vt:i4>3893</vt:i4>
      </vt:variant>
      <vt:variant>
        <vt:i4>0</vt:i4>
      </vt:variant>
      <vt:variant>
        <vt:i4>5</vt:i4>
      </vt:variant>
      <vt:variant>
        <vt:lpwstr/>
      </vt:variant>
      <vt:variant>
        <vt:lpwstr>_Toc213772424</vt:lpwstr>
      </vt:variant>
      <vt:variant>
        <vt:i4>1114162</vt:i4>
      </vt:variant>
      <vt:variant>
        <vt:i4>3887</vt:i4>
      </vt:variant>
      <vt:variant>
        <vt:i4>0</vt:i4>
      </vt:variant>
      <vt:variant>
        <vt:i4>5</vt:i4>
      </vt:variant>
      <vt:variant>
        <vt:lpwstr/>
      </vt:variant>
      <vt:variant>
        <vt:lpwstr>_Toc213772423</vt:lpwstr>
      </vt:variant>
      <vt:variant>
        <vt:i4>1114162</vt:i4>
      </vt:variant>
      <vt:variant>
        <vt:i4>3881</vt:i4>
      </vt:variant>
      <vt:variant>
        <vt:i4>0</vt:i4>
      </vt:variant>
      <vt:variant>
        <vt:i4>5</vt:i4>
      </vt:variant>
      <vt:variant>
        <vt:lpwstr/>
      </vt:variant>
      <vt:variant>
        <vt:lpwstr>_Toc213772422</vt:lpwstr>
      </vt:variant>
      <vt:variant>
        <vt:i4>1114162</vt:i4>
      </vt:variant>
      <vt:variant>
        <vt:i4>3875</vt:i4>
      </vt:variant>
      <vt:variant>
        <vt:i4>0</vt:i4>
      </vt:variant>
      <vt:variant>
        <vt:i4>5</vt:i4>
      </vt:variant>
      <vt:variant>
        <vt:lpwstr/>
      </vt:variant>
      <vt:variant>
        <vt:lpwstr>_Toc213772421</vt:lpwstr>
      </vt:variant>
      <vt:variant>
        <vt:i4>1114162</vt:i4>
      </vt:variant>
      <vt:variant>
        <vt:i4>3869</vt:i4>
      </vt:variant>
      <vt:variant>
        <vt:i4>0</vt:i4>
      </vt:variant>
      <vt:variant>
        <vt:i4>5</vt:i4>
      </vt:variant>
      <vt:variant>
        <vt:lpwstr/>
      </vt:variant>
      <vt:variant>
        <vt:lpwstr>_Toc213772420</vt:lpwstr>
      </vt:variant>
      <vt:variant>
        <vt:i4>1179698</vt:i4>
      </vt:variant>
      <vt:variant>
        <vt:i4>3863</vt:i4>
      </vt:variant>
      <vt:variant>
        <vt:i4>0</vt:i4>
      </vt:variant>
      <vt:variant>
        <vt:i4>5</vt:i4>
      </vt:variant>
      <vt:variant>
        <vt:lpwstr/>
      </vt:variant>
      <vt:variant>
        <vt:lpwstr>_Toc213772419</vt:lpwstr>
      </vt:variant>
      <vt:variant>
        <vt:i4>1179698</vt:i4>
      </vt:variant>
      <vt:variant>
        <vt:i4>3857</vt:i4>
      </vt:variant>
      <vt:variant>
        <vt:i4>0</vt:i4>
      </vt:variant>
      <vt:variant>
        <vt:i4>5</vt:i4>
      </vt:variant>
      <vt:variant>
        <vt:lpwstr/>
      </vt:variant>
      <vt:variant>
        <vt:lpwstr>_Toc213772418</vt:lpwstr>
      </vt:variant>
      <vt:variant>
        <vt:i4>1179698</vt:i4>
      </vt:variant>
      <vt:variant>
        <vt:i4>3851</vt:i4>
      </vt:variant>
      <vt:variant>
        <vt:i4>0</vt:i4>
      </vt:variant>
      <vt:variant>
        <vt:i4>5</vt:i4>
      </vt:variant>
      <vt:variant>
        <vt:lpwstr/>
      </vt:variant>
      <vt:variant>
        <vt:lpwstr>_Toc213772417</vt:lpwstr>
      </vt:variant>
      <vt:variant>
        <vt:i4>1179698</vt:i4>
      </vt:variant>
      <vt:variant>
        <vt:i4>3845</vt:i4>
      </vt:variant>
      <vt:variant>
        <vt:i4>0</vt:i4>
      </vt:variant>
      <vt:variant>
        <vt:i4>5</vt:i4>
      </vt:variant>
      <vt:variant>
        <vt:lpwstr/>
      </vt:variant>
      <vt:variant>
        <vt:lpwstr>_Toc213772416</vt:lpwstr>
      </vt:variant>
      <vt:variant>
        <vt:i4>1179698</vt:i4>
      </vt:variant>
      <vt:variant>
        <vt:i4>3839</vt:i4>
      </vt:variant>
      <vt:variant>
        <vt:i4>0</vt:i4>
      </vt:variant>
      <vt:variant>
        <vt:i4>5</vt:i4>
      </vt:variant>
      <vt:variant>
        <vt:lpwstr/>
      </vt:variant>
      <vt:variant>
        <vt:lpwstr>_Toc213772415</vt:lpwstr>
      </vt:variant>
      <vt:variant>
        <vt:i4>1179698</vt:i4>
      </vt:variant>
      <vt:variant>
        <vt:i4>3833</vt:i4>
      </vt:variant>
      <vt:variant>
        <vt:i4>0</vt:i4>
      </vt:variant>
      <vt:variant>
        <vt:i4>5</vt:i4>
      </vt:variant>
      <vt:variant>
        <vt:lpwstr/>
      </vt:variant>
      <vt:variant>
        <vt:lpwstr>_Toc213772414</vt:lpwstr>
      </vt:variant>
      <vt:variant>
        <vt:i4>1179698</vt:i4>
      </vt:variant>
      <vt:variant>
        <vt:i4>3824</vt:i4>
      </vt:variant>
      <vt:variant>
        <vt:i4>0</vt:i4>
      </vt:variant>
      <vt:variant>
        <vt:i4>5</vt:i4>
      </vt:variant>
      <vt:variant>
        <vt:lpwstr/>
      </vt:variant>
      <vt:variant>
        <vt:lpwstr>_Toc213772413</vt:lpwstr>
      </vt:variant>
      <vt:variant>
        <vt:i4>1179698</vt:i4>
      </vt:variant>
      <vt:variant>
        <vt:i4>3818</vt:i4>
      </vt:variant>
      <vt:variant>
        <vt:i4>0</vt:i4>
      </vt:variant>
      <vt:variant>
        <vt:i4>5</vt:i4>
      </vt:variant>
      <vt:variant>
        <vt:lpwstr/>
      </vt:variant>
      <vt:variant>
        <vt:lpwstr>_Toc213772412</vt:lpwstr>
      </vt:variant>
      <vt:variant>
        <vt:i4>1179698</vt:i4>
      </vt:variant>
      <vt:variant>
        <vt:i4>3812</vt:i4>
      </vt:variant>
      <vt:variant>
        <vt:i4>0</vt:i4>
      </vt:variant>
      <vt:variant>
        <vt:i4>5</vt:i4>
      </vt:variant>
      <vt:variant>
        <vt:lpwstr/>
      </vt:variant>
      <vt:variant>
        <vt:lpwstr>_Toc213772411</vt:lpwstr>
      </vt:variant>
      <vt:variant>
        <vt:i4>1179698</vt:i4>
      </vt:variant>
      <vt:variant>
        <vt:i4>3806</vt:i4>
      </vt:variant>
      <vt:variant>
        <vt:i4>0</vt:i4>
      </vt:variant>
      <vt:variant>
        <vt:i4>5</vt:i4>
      </vt:variant>
      <vt:variant>
        <vt:lpwstr/>
      </vt:variant>
      <vt:variant>
        <vt:lpwstr>_Toc213772410</vt:lpwstr>
      </vt:variant>
      <vt:variant>
        <vt:i4>1245234</vt:i4>
      </vt:variant>
      <vt:variant>
        <vt:i4>3800</vt:i4>
      </vt:variant>
      <vt:variant>
        <vt:i4>0</vt:i4>
      </vt:variant>
      <vt:variant>
        <vt:i4>5</vt:i4>
      </vt:variant>
      <vt:variant>
        <vt:lpwstr/>
      </vt:variant>
      <vt:variant>
        <vt:lpwstr>_Toc213772409</vt:lpwstr>
      </vt:variant>
      <vt:variant>
        <vt:i4>1245234</vt:i4>
      </vt:variant>
      <vt:variant>
        <vt:i4>3794</vt:i4>
      </vt:variant>
      <vt:variant>
        <vt:i4>0</vt:i4>
      </vt:variant>
      <vt:variant>
        <vt:i4>5</vt:i4>
      </vt:variant>
      <vt:variant>
        <vt:lpwstr/>
      </vt:variant>
      <vt:variant>
        <vt:lpwstr>_Toc213772408</vt:lpwstr>
      </vt:variant>
      <vt:variant>
        <vt:i4>1245234</vt:i4>
      </vt:variant>
      <vt:variant>
        <vt:i4>3788</vt:i4>
      </vt:variant>
      <vt:variant>
        <vt:i4>0</vt:i4>
      </vt:variant>
      <vt:variant>
        <vt:i4>5</vt:i4>
      </vt:variant>
      <vt:variant>
        <vt:lpwstr/>
      </vt:variant>
      <vt:variant>
        <vt:lpwstr>_Toc213772407</vt:lpwstr>
      </vt:variant>
      <vt:variant>
        <vt:i4>1245234</vt:i4>
      </vt:variant>
      <vt:variant>
        <vt:i4>3782</vt:i4>
      </vt:variant>
      <vt:variant>
        <vt:i4>0</vt:i4>
      </vt:variant>
      <vt:variant>
        <vt:i4>5</vt:i4>
      </vt:variant>
      <vt:variant>
        <vt:lpwstr/>
      </vt:variant>
      <vt:variant>
        <vt:lpwstr>_Toc213772406</vt:lpwstr>
      </vt:variant>
      <vt:variant>
        <vt:i4>1245234</vt:i4>
      </vt:variant>
      <vt:variant>
        <vt:i4>3776</vt:i4>
      </vt:variant>
      <vt:variant>
        <vt:i4>0</vt:i4>
      </vt:variant>
      <vt:variant>
        <vt:i4>5</vt:i4>
      </vt:variant>
      <vt:variant>
        <vt:lpwstr/>
      </vt:variant>
      <vt:variant>
        <vt:lpwstr>_Toc213772405</vt:lpwstr>
      </vt:variant>
      <vt:variant>
        <vt:i4>1245234</vt:i4>
      </vt:variant>
      <vt:variant>
        <vt:i4>3770</vt:i4>
      </vt:variant>
      <vt:variant>
        <vt:i4>0</vt:i4>
      </vt:variant>
      <vt:variant>
        <vt:i4>5</vt:i4>
      </vt:variant>
      <vt:variant>
        <vt:lpwstr/>
      </vt:variant>
      <vt:variant>
        <vt:lpwstr>_Toc213772404</vt:lpwstr>
      </vt:variant>
      <vt:variant>
        <vt:i4>1245234</vt:i4>
      </vt:variant>
      <vt:variant>
        <vt:i4>3764</vt:i4>
      </vt:variant>
      <vt:variant>
        <vt:i4>0</vt:i4>
      </vt:variant>
      <vt:variant>
        <vt:i4>5</vt:i4>
      </vt:variant>
      <vt:variant>
        <vt:lpwstr/>
      </vt:variant>
      <vt:variant>
        <vt:lpwstr>_Toc213772403</vt:lpwstr>
      </vt:variant>
      <vt:variant>
        <vt:i4>1245234</vt:i4>
      </vt:variant>
      <vt:variant>
        <vt:i4>3758</vt:i4>
      </vt:variant>
      <vt:variant>
        <vt:i4>0</vt:i4>
      </vt:variant>
      <vt:variant>
        <vt:i4>5</vt:i4>
      </vt:variant>
      <vt:variant>
        <vt:lpwstr/>
      </vt:variant>
      <vt:variant>
        <vt:lpwstr>_Toc213772402</vt:lpwstr>
      </vt:variant>
      <vt:variant>
        <vt:i4>1245234</vt:i4>
      </vt:variant>
      <vt:variant>
        <vt:i4>3752</vt:i4>
      </vt:variant>
      <vt:variant>
        <vt:i4>0</vt:i4>
      </vt:variant>
      <vt:variant>
        <vt:i4>5</vt:i4>
      </vt:variant>
      <vt:variant>
        <vt:lpwstr/>
      </vt:variant>
      <vt:variant>
        <vt:lpwstr>_Toc213772401</vt:lpwstr>
      </vt:variant>
      <vt:variant>
        <vt:i4>1245234</vt:i4>
      </vt:variant>
      <vt:variant>
        <vt:i4>3746</vt:i4>
      </vt:variant>
      <vt:variant>
        <vt:i4>0</vt:i4>
      </vt:variant>
      <vt:variant>
        <vt:i4>5</vt:i4>
      </vt:variant>
      <vt:variant>
        <vt:lpwstr/>
      </vt:variant>
      <vt:variant>
        <vt:lpwstr>_Toc213772400</vt:lpwstr>
      </vt:variant>
      <vt:variant>
        <vt:i4>1703989</vt:i4>
      </vt:variant>
      <vt:variant>
        <vt:i4>3740</vt:i4>
      </vt:variant>
      <vt:variant>
        <vt:i4>0</vt:i4>
      </vt:variant>
      <vt:variant>
        <vt:i4>5</vt:i4>
      </vt:variant>
      <vt:variant>
        <vt:lpwstr/>
      </vt:variant>
      <vt:variant>
        <vt:lpwstr>_Toc213772399</vt:lpwstr>
      </vt:variant>
      <vt:variant>
        <vt:i4>1703989</vt:i4>
      </vt:variant>
      <vt:variant>
        <vt:i4>3734</vt:i4>
      </vt:variant>
      <vt:variant>
        <vt:i4>0</vt:i4>
      </vt:variant>
      <vt:variant>
        <vt:i4>5</vt:i4>
      </vt:variant>
      <vt:variant>
        <vt:lpwstr/>
      </vt:variant>
      <vt:variant>
        <vt:lpwstr>_Toc213772398</vt:lpwstr>
      </vt:variant>
      <vt:variant>
        <vt:i4>1703989</vt:i4>
      </vt:variant>
      <vt:variant>
        <vt:i4>3728</vt:i4>
      </vt:variant>
      <vt:variant>
        <vt:i4>0</vt:i4>
      </vt:variant>
      <vt:variant>
        <vt:i4>5</vt:i4>
      </vt:variant>
      <vt:variant>
        <vt:lpwstr/>
      </vt:variant>
      <vt:variant>
        <vt:lpwstr>_Toc213772397</vt:lpwstr>
      </vt:variant>
      <vt:variant>
        <vt:i4>1703989</vt:i4>
      </vt:variant>
      <vt:variant>
        <vt:i4>3722</vt:i4>
      </vt:variant>
      <vt:variant>
        <vt:i4>0</vt:i4>
      </vt:variant>
      <vt:variant>
        <vt:i4>5</vt:i4>
      </vt:variant>
      <vt:variant>
        <vt:lpwstr/>
      </vt:variant>
      <vt:variant>
        <vt:lpwstr>_Toc213772396</vt:lpwstr>
      </vt:variant>
      <vt:variant>
        <vt:i4>1703989</vt:i4>
      </vt:variant>
      <vt:variant>
        <vt:i4>3716</vt:i4>
      </vt:variant>
      <vt:variant>
        <vt:i4>0</vt:i4>
      </vt:variant>
      <vt:variant>
        <vt:i4>5</vt:i4>
      </vt:variant>
      <vt:variant>
        <vt:lpwstr/>
      </vt:variant>
      <vt:variant>
        <vt:lpwstr>_Toc213772395</vt:lpwstr>
      </vt:variant>
      <vt:variant>
        <vt:i4>1703989</vt:i4>
      </vt:variant>
      <vt:variant>
        <vt:i4>3710</vt:i4>
      </vt:variant>
      <vt:variant>
        <vt:i4>0</vt:i4>
      </vt:variant>
      <vt:variant>
        <vt:i4>5</vt:i4>
      </vt:variant>
      <vt:variant>
        <vt:lpwstr/>
      </vt:variant>
      <vt:variant>
        <vt:lpwstr>_Toc213772394</vt:lpwstr>
      </vt:variant>
      <vt:variant>
        <vt:i4>1703989</vt:i4>
      </vt:variant>
      <vt:variant>
        <vt:i4>3704</vt:i4>
      </vt:variant>
      <vt:variant>
        <vt:i4>0</vt:i4>
      </vt:variant>
      <vt:variant>
        <vt:i4>5</vt:i4>
      </vt:variant>
      <vt:variant>
        <vt:lpwstr/>
      </vt:variant>
      <vt:variant>
        <vt:lpwstr>_Toc213772393</vt:lpwstr>
      </vt:variant>
      <vt:variant>
        <vt:i4>1703989</vt:i4>
      </vt:variant>
      <vt:variant>
        <vt:i4>3698</vt:i4>
      </vt:variant>
      <vt:variant>
        <vt:i4>0</vt:i4>
      </vt:variant>
      <vt:variant>
        <vt:i4>5</vt:i4>
      </vt:variant>
      <vt:variant>
        <vt:lpwstr/>
      </vt:variant>
      <vt:variant>
        <vt:lpwstr>_Toc213772392</vt:lpwstr>
      </vt:variant>
      <vt:variant>
        <vt:i4>1703989</vt:i4>
      </vt:variant>
      <vt:variant>
        <vt:i4>3692</vt:i4>
      </vt:variant>
      <vt:variant>
        <vt:i4>0</vt:i4>
      </vt:variant>
      <vt:variant>
        <vt:i4>5</vt:i4>
      </vt:variant>
      <vt:variant>
        <vt:lpwstr/>
      </vt:variant>
      <vt:variant>
        <vt:lpwstr>_Toc213772391</vt:lpwstr>
      </vt:variant>
      <vt:variant>
        <vt:i4>1703989</vt:i4>
      </vt:variant>
      <vt:variant>
        <vt:i4>3686</vt:i4>
      </vt:variant>
      <vt:variant>
        <vt:i4>0</vt:i4>
      </vt:variant>
      <vt:variant>
        <vt:i4>5</vt:i4>
      </vt:variant>
      <vt:variant>
        <vt:lpwstr/>
      </vt:variant>
      <vt:variant>
        <vt:lpwstr>_Toc213772390</vt:lpwstr>
      </vt:variant>
      <vt:variant>
        <vt:i4>1769525</vt:i4>
      </vt:variant>
      <vt:variant>
        <vt:i4>3680</vt:i4>
      </vt:variant>
      <vt:variant>
        <vt:i4>0</vt:i4>
      </vt:variant>
      <vt:variant>
        <vt:i4>5</vt:i4>
      </vt:variant>
      <vt:variant>
        <vt:lpwstr/>
      </vt:variant>
      <vt:variant>
        <vt:lpwstr>_Toc213772389</vt:lpwstr>
      </vt:variant>
      <vt:variant>
        <vt:i4>1769525</vt:i4>
      </vt:variant>
      <vt:variant>
        <vt:i4>3674</vt:i4>
      </vt:variant>
      <vt:variant>
        <vt:i4>0</vt:i4>
      </vt:variant>
      <vt:variant>
        <vt:i4>5</vt:i4>
      </vt:variant>
      <vt:variant>
        <vt:lpwstr/>
      </vt:variant>
      <vt:variant>
        <vt:lpwstr>_Toc213772388</vt:lpwstr>
      </vt:variant>
      <vt:variant>
        <vt:i4>1769525</vt:i4>
      </vt:variant>
      <vt:variant>
        <vt:i4>3668</vt:i4>
      </vt:variant>
      <vt:variant>
        <vt:i4>0</vt:i4>
      </vt:variant>
      <vt:variant>
        <vt:i4>5</vt:i4>
      </vt:variant>
      <vt:variant>
        <vt:lpwstr/>
      </vt:variant>
      <vt:variant>
        <vt:lpwstr>_Toc213772387</vt:lpwstr>
      </vt:variant>
      <vt:variant>
        <vt:i4>1769525</vt:i4>
      </vt:variant>
      <vt:variant>
        <vt:i4>3662</vt:i4>
      </vt:variant>
      <vt:variant>
        <vt:i4>0</vt:i4>
      </vt:variant>
      <vt:variant>
        <vt:i4>5</vt:i4>
      </vt:variant>
      <vt:variant>
        <vt:lpwstr/>
      </vt:variant>
      <vt:variant>
        <vt:lpwstr>_Toc213772386</vt:lpwstr>
      </vt:variant>
      <vt:variant>
        <vt:i4>1769525</vt:i4>
      </vt:variant>
      <vt:variant>
        <vt:i4>3656</vt:i4>
      </vt:variant>
      <vt:variant>
        <vt:i4>0</vt:i4>
      </vt:variant>
      <vt:variant>
        <vt:i4>5</vt:i4>
      </vt:variant>
      <vt:variant>
        <vt:lpwstr/>
      </vt:variant>
      <vt:variant>
        <vt:lpwstr>_Toc213772385</vt:lpwstr>
      </vt:variant>
      <vt:variant>
        <vt:i4>1769525</vt:i4>
      </vt:variant>
      <vt:variant>
        <vt:i4>3650</vt:i4>
      </vt:variant>
      <vt:variant>
        <vt:i4>0</vt:i4>
      </vt:variant>
      <vt:variant>
        <vt:i4>5</vt:i4>
      </vt:variant>
      <vt:variant>
        <vt:lpwstr/>
      </vt:variant>
      <vt:variant>
        <vt:lpwstr>_Toc213772384</vt:lpwstr>
      </vt:variant>
      <vt:variant>
        <vt:i4>1769525</vt:i4>
      </vt:variant>
      <vt:variant>
        <vt:i4>3644</vt:i4>
      </vt:variant>
      <vt:variant>
        <vt:i4>0</vt:i4>
      </vt:variant>
      <vt:variant>
        <vt:i4>5</vt:i4>
      </vt:variant>
      <vt:variant>
        <vt:lpwstr/>
      </vt:variant>
      <vt:variant>
        <vt:lpwstr>_Toc213772383</vt:lpwstr>
      </vt:variant>
      <vt:variant>
        <vt:i4>1769525</vt:i4>
      </vt:variant>
      <vt:variant>
        <vt:i4>3638</vt:i4>
      </vt:variant>
      <vt:variant>
        <vt:i4>0</vt:i4>
      </vt:variant>
      <vt:variant>
        <vt:i4>5</vt:i4>
      </vt:variant>
      <vt:variant>
        <vt:lpwstr/>
      </vt:variant>
      <vt:variant>
        <vt:lpwstr>_Toc213772382</vt:lpwstr>
      </vt:variant>
      <vt:variant>
        <vt:i4>1769525</vt:i4>
      </vt:variant>
      <vt:variant>
        <vt:i4>3632</vt:i4>
      </vt:variant>
      <vt:variant>
        <vt:i4>0</vt:i4>
      </vt:variant>
      <vt:variant>
        <vt:i4>5</vt:i4>
      </vt:variant>
      <vt:variant>
        <vt:lpwstr/>
      </vt:variant>
      <vt:variant>
        <vt:lpwstr>_Toc213772381</vt:lpwstr>
      </vt:variant>
      <vt:variant>
        <vt:i4>1769525</vt:i4>
      </vt:variant>
      <vt:variant>
        <vt:i4>3626</vt:i4>
      </vt:variant>
      <vt:variant>
        <vt:i4>0</vt:i4>
      </vt:variant>
      <vt:variant>
        <vt:i4>5</vt:i4>
      </vt:variant>
      <vt:variant>
        <vt:lpwstr/>
      </vt:variant>
      <vt:variant>
        <vt:lpwstr>_Toc213772380</vt:lpwstr>
      </vt:variant>
      <vt:variant>
        <vt:i4>1310773</vt:i4>
      </vt:variant>
      <vt:variant>
        <vt:i4>3620</vt:i4>
      </vt:variant>
      <vt:variant>
        <vt:i4>0</vt:i4>
      </vt:variant>
      <vt:variant>
        <vt:i4>5</vt:i4>
      </vt:variant>
      <vt:variant>
        <vt:lpwstr/>
      </vt:variant>
      <vt:variant>
        <vt:lpwstr>_Toc213772379</vt:lpwstr>
      </vt:variant>
      <vt:variant>
        <vt:i4>1310773</vt:i4>
      </vt:variant>
      <vt:variant>
        <vt:i4>3614</vt:i4>
      </vt:variant>
      <vt:variant>
        <vt:i4>0</vt:i4>
      </vt:variant>
      <vt:variant>
        <vt:i4>5</vt:i4>
      </vt:variant>
      <vt:variant>
        <vt:lpwstr/>
      </vt:variant>
      <vt:variant>
        <vt:lpwstr>_Toc213772378</vt:lpwstr>
      </vt:variant>
      <vt:variant>
        <vt:i4>1310773</vt:i4>
      </vt:variant>
      <vt:variant>
        <vt:i4>3608</vt:i4>
      </vt:variant>
      <vt:variant>
        <vt:i4>0</vt:i4>
      </vt:variant>
      <vt:variant>
        <vt:i4>5</vt:i4>
      </vt:variant>
      <vt:variant>
        <vt:lpwstr/>
      </vt:variant>
      <vt:variant>
        <vt:lpwstr>_Toc213772377</vt:lpwstr>
      </vt:variant>
      <vt:variant>
        <vt:i4>1310773</vt:i4>
      </vt:variant>
      <vt:variant>
        <vt:i4>3602</vt:i4>
      </vt:variant>
      <vt:variant>
        <vt:i4>0</vt:i4>
      </vt:variant>
      <vt:variant>
        <vt:i4>5</vt:i4>
      </vt:variant>
      <vt:variant>
        <vt:lpwstr/>
      </vt:variant>
      <vt:variant>
        <vt:lpwstr>_Toc213772376</vt:lpwstr>
      </vt:variant>
      <vt:variant>
        <vt:i4>1310773</vt:i4>
      </vt:variant>
      <vt:variant>
        <vt:i4>3596</vt:i4>
      </vt:variant>
      <vt:variant>
        <vt:i4>0</vt:i4>
      </vt:variant>
      <vt:variant>
        <vt:i4>5</vt:i4>
      </vt:variant>
      <vt:variant>
        <vt:lpwstr/>
      </vt:variant>
      <vt:variant>
        <vt:lpwstr>_Toc213772375</vt:lpwstr>
      </vt:variant>
      <vt:variant>
        <vt:i4>1310773</vt:i4>
      </vt:variant>
      <vt:variant>
        <vt:i4>3590</vt:i4>
      </vt:variant>
      <vt:variant>
        <vt:i4>0</vt:i4>
      </vt:variant>
      <vt:variant>
        <vt:i4>5</vt:i4>
      </vt:variant>
      <vt:variant>
        <vt:lpwstr/>
      </vt:variant>
      <vt:variant>
        <vt:lpwstr>_Toc213772374</vt:lpwstr>
      </vt:variant>
      <vt:variant>
        <vt:i4>1310773</vt:i4>
      </vt:variant>
      <vt:variant>
        <vt:i4>3584</vt:i4>
      </vt:variant>
      <vt:variant>
        <vt:i4>0</vt:i4>
      </vt:variant>
      <vt:variant>
        <vt:i4>5</vt:i4>
      </vt:variant>
      <vt:variant>
        <vt:lpwstr/>
      </vt:variant>
      <vt:variant>
        <vt:lpwstr>_Toc213772373</vt:lpwstr>
      </vt:variant>
      <vt:variant>
        <vt:i4>1310773</vt:i4>
      </vt:variant>
      <vt:variant>
        <vt:i4>3578</vt:i4>
      </vt:variant>
      <vt:variant>
        <vt:i4>0</vt:i4>
      </vt:variant>
      <vt:variant>
        <vt:i4>5</vt:i4>
      </vt:variant>
      <vt:variant>
        <vt:lpwstr/>
      </vt:variant>
      <vt:variant>
        <vt:lpwstr>_Toc213772372</vt:lpwstr>
      </vt:variant>
      <vt:variant>
        <vt:i4>1310773</vt:i4>
      </vt:variant>
      <vt:variant>
        <vt:i4>3572</vt:i4>
      </vt:variant>
      <vt:variant>
        <vt:i4>0</vt:i4>
      </vt:variant>
      <vt:variant>
        <vt:i4>5</vt:i4>
      </vt:variant>
      <vt:variant>
        <vt:lpwstr/>
      </vt:variant>
      <vt:variant>
        <vt:lpwstr>_Toc213772371</vt:lpwstr>
      </vt:variant>
      <vt:variant>
        <vt:i4>1310773</vt:i4>
      </vt:variant>
      <vt:variant>
        <vt:i4>3566</vt:i4>
      </vt:variant>
      <vt:variant>
        <vt:i4>0</vt:i4>
      </vt:variant>
      <vt:variant>
        <vt:i4>5</vt:i4>
      </vt:variant>
      <vt:variant>
        <vt:lpwstr/>
      </vt:variant>
      <vt:variant>
        <vt:lpwstr>_Toc213772370</vt:lpwstr>
      </vt:variant>
      <vt:variant>
        <vt:i4>1376309</vt:i4>
      </vt:variant>
      <vt:variant>
        <vt:i4>3560</vt:i4>
      </vt:variant>
      <vt:variant>
        <vt:i4>0</vt:i4>
      </vt:variant>
      <vt:variant>
        <vt:i4>5</vt:i4>
      </vt:variant>
      <vt:variant>
        <vt:lpwstr/>
      </vt:variant>
      <vt:variant>
        <vt:lpwstr>_Toc213772369</vt:lpwstr>
      </vt:variant>
      <vt:variant>
        <vt:i4>1376309</vt:i4>
      </vt:variant>
      <vt:variant>
        <vt:i4>3554</vt:i4>
      </vt:variant>
      <vt:variant>
        <vt:i4>0</vt:i4>
      </vt:variant>
      <vt:variant>
        <vt:i4>5</vt:i4>
      </vt:variant>
      <vt:variant>
        <vt:lpwstr/>
      </vt:variant>
      <vt:variant>
        <vt:lpwstr>_Toc213772368</vt:lpwstr>
      </vt:variant>
      <vt:variant>
        <vt:i4>1376309</vt:i4>
      </vt:variant>
      <vt:variant>
        <vt:i4>3548</vt:i4>
      </vt:variant>
      <vt:variant>
        <vt:i4>0</vt:i4>
      </vt:variant>
      <vt:variant>
        <vt:i4>5</vt:i4>
      </vt:variant>
      <vt:variant>
        <vt:lpwstr/>
      </vt:variant>
      <vt:variant>
        <vt:lpwstr>_Toc213772367</vt:lpwstr>
      </vt:variant>
      <vt:variant>
        <vt:i4>1376309</vt:i4>
      </vt:variant>
      <vt:variant>
        <vt:i4>3542</vt:i4>
      </vt:variant>
      <vt:variant>
        <vt:i4>0</vt:i4>
      </vt:variant>
      <vt:variant>
        <vt:i4>5</vt:i4>
      </vt:variant>
      <vt:variant>
        <vt:lpwstr/>
      </vt:variant>
      <vt:variant>
        <vt:lpwstr>_Toc213772366</vt:lpwstr>
      </vt:variant>
      <vt:variant>
        <vt:i4>1376309</vt:i4>
      </vt:variant>
      <vt:variant>
        <vt:i4>3536</vt:i4>
      </vt:variant>
      <vt:variant>
        <vt:i4>0</vt:i4>
      </vt:variant>
      <vt:variant>
        <vt:i4>5</vt:i4>
      </vt:variant>
      <vt:variant>
        <vt:lpwstr/>
      </vt:variant>
      <vt:variant>
        <vt:lpwstr>_Toc213772364</vt:lpwstr>
      </vt:variant>
      <vt:variant>
        <vt:i4>1376309</vt:i4>
      </vt:variant>
      <vt:variant>
        <vt:i4>3530</vt:i4>
      </vt:variant>
      <vt:variant>
        <vt:i4>0</vt:i4>
      </vt:variant>
      <vt:variant>
        <vt:i4>5</vt:i4>
      </vt:variant>
      <vt:variant>
        <vt:lpwstr/>
      </vt:variant>
      <vt:variant>
        <vt:lpwstr>_Toc213772363</vt:lpwstr>
      </vt:variant>
      <vt:variant>
        <vt:i4>1376309</vt:i4>
      </vt:variant>
      <vt:variant>
        <vt:i4>3524</vt:i4>
      </vt:variant>
      <vt:variant>
        <vt:i4>0</vt:i4>
      </vt:variant>
      <vt:variant>
        <vt:i4>5</vt:i4>
      </vt:variant>
      <vt:variant>
        <vt:lpwstr/>
      </vt:variant>
      <vt:variant>
        <vt:lpwstr>_Toc213772362</vt:lpwstr>
      </vt:variant>
      <vt:variant>
        <vt:i4>1376309</vt:i4>
      </vt:variant>
      <vt:variant>
        <vt:i4>3518</vt:i4>
      </vt:variant>
      <vt:variant>
        <vt:i4>0</vt:i4>
      </vt:variant>
      <vt:variant>
        <vt:i4>5</vt:i4>
      </vt:variant>
      <vt:variant>
        <vt:lpwstr/>
      </vt:variant>
      <vt:variant>
        <vt:lpwstr>_Toc213772361</vt:lpwstr>
      </vt:variant>
      <vt:variant>
        <vt:i4>1376309</vt:i4>
      </vt:variant>
      <vt:variant>
        <vt:i4>3512</vt:i4>
      </vt:variant>
      <vt:variant>
        <vt:i4>0</vt:i4>
      </vt:variant>
      <vt:variant>
        <vt:i4>5</vt:i4>
      </vt:variant>
      <vt:variant>
        <vt:lpwstr/>
      </vt:variant>
      <vt:variant>
        <vt:lpwstr>_Toc213772360</vt:lpwstr>
      </vt:variant>
      <vt:variant>
        <vt:i4>1441845</vt:i4>
      </vt:variant>
      <vt:variant>
        <vt:i4>3506</vt:i4>
      </vt:variant>
      <vt:variant>
        <vt:i4>0</vt:i4>
      </vt:variant>
      <vt:variant>
        <vt:i4>5</vt:i4>
      </vt:variant>
      <vt:variant>
        <vt:lpwstr/>
      </vt:variant>
      <vt:variant>
        <vt:lpwstr>_Toc213772359</vt:lpwstr>
      </vt:variant>
      <vt:variant>
        <vt:i4>1441845</vt:i4>
      </vt:variant>
      <vt:variant>
        <vt:i4>3500</vt:i4>
      </vt:variant>
      <vt:variant>
        <vt:i4>0</vt:i4>
      </vt:variant>
      <vt:variant>
        <vt:i4>5</vt:i4>
      </vt:variant>
      <vt:variant>
        <vt:lpwstr/>
      </vt:variant>
      <vt:variant>
        <vt:lpwstr>_Toc213772358</vt:lpwstr>
      </vt:variant>
      <vt:variant>
        <vt:i4>1441845</vt:i4>
      </vt:variant>
      <vt:variant>
        <vt:i4>3494</vt:i4>
      </vt:variant>
      <vt:variant>
        <vt:i4>0</vt:i4>
      </vt:variant>
      <vt:variant>
        <vt:i4>5</vt:i4>
      </vt:variant>
      <vt:variant>
        <vt:lpwstr/>
      </vt:variant>
      <vt:variant>
        <vt:lpwstr>_Toc213772357</vt:lpwstr>
      </vt:variant>
      <vt:variant>
        <vt:i4>1441845</vt:i4>
      </vt:variant>
      <vt:variant>
        <vt:i4>3488</vt:i4>
      </vt:variant>
      <vt:variant>
        <vt:i4>0</vt:i4>
      </vt:variant>
      <vt:variant>
        <vt:i4>5</vt:i4>
      </vt:variant>
      <vt:variant>
        <vt:lpwstr/>
      </vt:variant>
      <vt:variant>
        <vt:lpwstr>_Toc213772356</vt:lpwstr>
      </vt:variant>
      <vt:variant>
        <vt:i4>1441845</vt:i4>
      </vt:variant>
      <vt:variant>
        <vt:i4>3482</vt:i4>
      </vt:variant>
      <vt:variant>
        <vt:i4>0</vt:i4>
      </vt:variant>
      <vt:variant>
        <vt:i4>5</vt:i4>
      </vt:variant>
      <vt:variant>
        <vt:lpwstr/>
      </vt:variant>
      <vt:variant>
        <vt:lpwstr>_Toc213772355</vt:lpwstr>
      </vt:variant>
      <vt:variant>
        <vt:i4>1441845</vt:i4>
      </vt:variant>
      <vt:variant>
        <vt:i4>3476</vt:i4>
      </vt:variant>
      <vt:variant>
        <vt:i4>0</vt:i4>
      </vt:variant>
      <vt:variant>
        <vt:i4>5</vt:i4>
      </vt:variant>
      <vt:variant>
        <vt:lpwstr/>
      </vt:variant>
      <vt:variant>
        <vt:lpwstr>_Toc213772354</vt:lpwstr>
      </vt:variant>
      <vt:variant>
        <vt:i4>1441845</vt:i4>
      </vt:variant>
      <vt:variant>
        <vt:i4>3470</vt:i4>
      </vt:variant>
      <vt:variant>
        <vt:i4>0</vt:i4>
      </vt:variant>
      <vt:variant>
        <vt:i4>5</vt:i4>
      </vt:variant>
      <vt:variant>
        <vt:lpwstr/>
      </vt:variant>
      <vt:variant>
        <vt:lpwstr>_Toc213772353</vt:lpwstr>
      </vt:variant>
      <vt:variant>
        <vt:i4>1441845</vt:i4>
      </vt:variant>
      <vt:variant>
        <vt:i4>3464</vt:i4>
      </vt:variant>
      <vt:variant>
        <vt:i4>0</vt:i4>
      </vt:variant>
      <vt:variant>
        <vt:i4>5</vt:i4>
      </vt:variant>
      <vt:variant>
        <vt:lpwstr/>
      </vt:variant>
      <vt:variant>
        <vt:lpwstr>_Toc213772352</vt:lpwstr>
      </vt:variant>
      <vt:variant>
        <vt:i4>1441845</vt:i4>
      </vt:variant>
      <vt:variant>
        <vt:i4>3458</vt:i4>
      </vt:variant>
      <vt:variant>
        <vt:i4>0</vt:i4>
      </vt:variant>
      <vt:variant>
        <vt:i4>5</vt:i4>
      </vt:variant>
      <vt:variant>
        <vt:lpwstr/>
      </vt:variant>
      <vt:variant>
        <vt:lpwstr>_Toc213772351</vt:lpwstr>
      </vt:variant>
      <vt:variant>
        <vt:i4>1441845</vt:i4>
      </vt:variant>
      <vt:variant>
        <vt:i4>3452</vt:i4>
      </vt:variant>
      <vt:variant>
        <vt:i4>0</vt:i4>
      </vt:variant>
      <vt:variant>
        <vt:i4>5</vt:i4>
      </vt:variant>
      <vt:variant>
        <vt:lpwstr/>
      </vt:variant>
      <vt:variant>
        <vt:lpwstr>_Toc213772350</vt:lpwstr>
      </vt:variant>
      <vt:variant>
        <vt:i4>1507381</vt:i4>
      </vt:variant>
      <vt:variant>
        <vt:i4>3446</vt:i4>
      </vt:variant>
      <vt:variant>
        <vt:i4>0</vt:i4>
      </vt:variant>
      <vt:variant>
        <vt:i4>5</vt:i4>
      </vt:variant>
      <vt:variant>
        <vt:lpwstr/>
      </vt:variant>
      <vt:variant>
        <vt:lpwstr>_Toc213772349</vt:lpwstr>
      </vt:variant>
      <vt:variant>
        <vt:i4>1507381</vt:i4>
      </vt:variant>
      <vt:variant>
        <vt:i4>3440</vt:i4>
      </vt:variant>
      <vt:variant>
        <vt:i4>0</vt:i4>
      </vt:variant>
      <vt:variant>
        <vt:i4>5</vt:i4>
      </vt:variant>
      <vt:variant>
        <vt:lpwstr/>
      </vt:variant>
      <vt:variant>
        <vt:lpwstr>_Toc213772348</vt:lpwstr>
      </vt:variant>
      <vt:variant>
        <vt:i4>1507381</vt:i4>
      </vt:variant>
      <vt:variant>
        <vt:i4>3434</vt:i4>
      </vt:variant>
      <vt:variant>
        <vt:i4>0</vt:i4>
      </vt:variant>
      <vt:variant>
        <vt:i4>5</vt:i4>
      </vt:variant>
      <vt:variant>
        <vt:lpwstr/>
      </vt:variant>
      <vt:variant>
        <vt:lpwstr>_Toc213772347</vt:lpwstr>
      </vt:variant>
      <vt:variant>
        <vt:i4>1507381</vt:i4>
      </vt:variant>
      <vt:variant>
        <vt:i4>3428</vt:i4>
      </vt:variant>
      <vt:variant>
        <vt:i4>0</vt:i4>
      </vt:variant>
      <vt:variant>
        <vt:i4>5</vt:i4>
      </vt:variant>
      <vt:variant>
        <vt:lpwstr/>
      </vt:variant>
      <vt:variant>
        <vt:lpwstr>_Toc213772346</vt:lpwstr>
      </vt:variant>
      <vt:variant>
        <vt:i4>1507381</vt:i4>
      </vt:variant>
      <vt:variant>
        <vt:i4>3422</vt:i4>
      </vt:variant>
      <vt:variant>
        <vt:i4>0</vt:i4>
      </vt:variant>
      <vt:variant>
        <vt:i4>5</vt:i4>
      </vt:variant>
      <vt:variant>
        <vt:lpwstr/>
      </vt:variant>
      <vt:variant>
        <vt:lpwstr>_Toc213772345</vt:lpwstr>
      </vt:variant>
      <vt:variant>
        <vt:i4>1507381</vt:i4>
      </vt:variant>
      <vt:variant>
        <vt:i4>3416</vt:i4>
      </vt:variant>
      <vt:variant>
        <vt:i4>0</vt:i4>
      </vt:variant>
      <vt:variant>
        <vt:i4>5</vt:i4>
      </vt:variant>
      <vt:variant>
        <vt:lpwstr/>
      </vt:variant>
      <vt:variant>
        <vt:lpwstr>_Toc213772344</vt:lpwstr>
      </vt:variant>
      <vt:variant>
        <vt:i4>1507381</vt:i4>
      </vt:variant>
      <vt:variant>
        <vt:i4>3410</vt:i4>
      </vt:variant>
      <vt:variant>
        <vt:i4>0</vt:i4>
      </vt:variant>
      <vt:variant>
        <vt:i4>5</vt:i4>
      </vt:variant>
      <vt:variant>
        <vt:lpwstr/>
      </vt:variant>
      <vt:variant>
        <vt:lpwstr>_Toc213772343</vt:lpwstr>
      </vt:variant>
      <vt:variant>
        <vt:i4>1507381</vt:i4>
      </vt:variant>
      <vt:variant>
        <vt:i4>3404</vt:i4>
      </vt:variant>
      <vt:variant>
        <vt:i4>0</vt:i4>
      </vt:variant>
      <vt:variant>
        <vt:i4>5</vt:i4>
      </vt:variant>
      <vt:variant>
        <vt:lpwstr/>
      </vt:variant>
      <vt:variant>
        <vt:lpwstr>_Toc213772342</vt:lpwstr>
      </vt:variant>
      <vt:variant>
        <vt:i4>1507381</vt:i4>
      </vt:variant>
      <vt:variant>
        <vt:i4>3398</vt:i4>
      </vt:variant>
      <vt:variant>
        <vt:i4>0</vt:i4>
      </vt:variant>
      <vt:variant>
        <vt:i4>5</vt:i4>
      </vt:variant>
      <vt:variant>
        <vt:lpwstr/>
      </vt:variant>
      <vt:variant>
        <vt:lpwstr>_Toc213772341</vt:lpwstr>
      </vt:variant>
      <vt:variant>
        <vt:i4>1507381</vt:i4>
      </vt:variant>
      <vt:variant>
        <vt:i4>3392</vt:i4>
      </vt:variant>
      <vt:variant>
        <vt:i4>0</vt:i4>
      </vt:variant>
      <vt:variant>
        <vt:i4>5</vt:i4>
      </vt:variant>
      <vt:variant>
        <vt:lpwstr/>
      </vt:variant>
      <vt:variant>
        <vt:lpwstr>_Toc213772340</vt:lpwstr>
      </vt:variant>
      <vt:variant>
        <vt:i4>1048629</vt:i4>
      </vt:variant>
      <vt:variant>
        <vt:i4>3386</vt:i4>
      </vt:variant>
      <vt:variant>
        <vt:i4>0</vt:i4>
      </vt:variant>
      <vt:variant>
        <vt:i4>5</vt:i4>
      </vt:variant>
      <vt:variant>
        <vt:lpwstr/>
      </vt:variant>
      <vt:variant>
        <vt:lpwstr>_Toc213772339</vt:lpwstr>
      </vt:variant>
      <vt:variant>
        <vt:i4>1048629</vt:i4>
      </vt:variant>
      <vt:variant>
        <vt:i4>3380</vt:i4>
      </vt:variant>
      <vt:variant>
        <vt:i4>0</vt:i4>
      </vt:variant>
      <vt:variant>
        <vt:i4>5</vt:i4>
      </vt:variant>
      <vt:variant>
        <vt:lpwstr/>
      </vt:variant>
      <vt:variant>
        <vt:lpwstr>_Toc213772338</vt:lpwstr>
      </vt:variant>
      <vt:variant>
        <vt:i4>1048629</vt:i4>
      </vt:variant>
      <vt:variant>
        <vt:i4>3374</vt:i4>
      </vt:variant>
      <vt:variant>
        <vt:i4>0</vt:i4>
      </vt:variant>
      <vt:variant>
        <vt:i4>5</vt:i4>
      </vt:variant>
      <vt:variant>
        <vt:lpwstr/>
      </vt:variant>
      <vt:variant>
        <vt:lpwstr>_Toc213772337</vt:lpwstr>
      </vt:variant>
      <vt:variant>
        <vt:i4>1048629</vt:i4>
      </vt:variant>
      <vt:variant>
        <vt:i4>3368</vt:i4>
      </vt:variant>
      <vt:variant>
        <vt:i4>0</vt:i4>
      </vt:variant>
      <vt:variant>
        <vt:i4>5</vt:i4>
      </vt:variant>
      <vt:variant>
        <vt:lpwstr/>
      </vt:variant>
      <vt:variant>
        <vt:lpwstr>_Toc213772336</vt:lpwstr>
      </vt:variant>
      <vt:variant>
        <vt:i4>1048629</vt:i4>
      </vt:variant>
      <vt:variant>
        <vt:i4>3362</vt:i4>
      </vt:variant>
      <vt:variant>
        <vt:i4>0</vt:i4>
      </vt:variant>
      <vt:variant>
        <vt:i4>5</vt:i4>
      </vt:variant>
      <vt:variant>
        <vt:lpwstr/>
      </vt:variant>
      <vt:variant>
        <vt:lpwstr>_Toc213772335</vt:lpwstr>
      </vt:variant>
      <vt:variant>
        <vt:i4>1048629</vt:i4>
      </vt:variant>
      <vt:variant>
        <vt:i4>3356</vt:i4>
      </vt:variant>
      <vt:variant>
        <vt:i4>0</vt:i4>
      </vt:variant>
      <vt:variant>
        <vt:i4>5</vt:i4>
      </vt:variant>
      <vt:variant>
        <vt:lpwstr/>
      </vt:variant>
      <vt:variant>
        <vt:lpwstr>_Toc213772334</vt:lpwstr>
      </vt:variant>
      <vt:variant>
        <vt:i4>1048629</vt:i4>
      </vt:variant>
      <vt:variant>
        <vt:i4>3350</vt:i4>
      </vt:variant>
      <vt:variant>
        <vt:i4>0</vt:i4>
      </vt:variant>
      <vt:variant>
        <vt:i4>5</vt:i4>
      </vt:variant>
      <vt:variant>
        <vt:lpwstr/>
      </vt:variant>
      <vt:variant>
        <vt:lpwstr>_Toc213772333</vt:lpwstr>
      </vt:variant>
      <vt:variant>
        <vt:i4>1048629</vt:i4>
      </vt:variant>
      <vt:variant>
        <vt:i4>3344</vt:i4>
      </vt:variant>
      <vt:variant>
        <vt:i4>0</vt:i4>
      </vt:variant>
      <vt:variant>
        <vt:i4>5</vt:i4>
      </vt:variant>
      <vt:variant>
        <vt:lpwstr/>
      </vt:variant>
      <vt:variant>
        <vt:lpwstr>_Toc213772332</vt:lpwstr>
      </vt:variant>
      <vt:variant>
        <vt:i4>1048629</vt:i4>
      </vt:variant>
      <vt:variant>
        <vt:i4>3338</vt:i4>
      </vt:variant>
      <vt:variant>
        <vt:i4>0</vt:i4>
      </vt:variant>
      <vt:variant>
        <vt:i4>5</vt:i4>
      </vt:variant>
      <vt:variant>
        <vt:lpwstr/>
      </vt:variant>
      <vt:variant>
        <vt:lpwstr>_Toc213772331</vt:lpwstr>
      </vt:variant>
      <vt:variant>
        <vt:i4>1048629</vt:i4>
      </vt:variant>
      <vt:variant>
        <vt:i4>3332</vt:i4>
      </vt:variant>
      <vt:variant>
        <vt:i4>0</vt:i4>
      </vt:variant>
      <vt:variant>
        <vt:i4>5</vt:i4>
      </vt:variant>
      <vt:variant>
        <vt:lpwstr/>
      </vt:variant>
      <vt:variant>
        <vt:lpwstr>_Toc213772330</vt:lpwstr>
      </vt:variant>
      <vt:variant>
        <vt:i4>1114165</vt:i4>
      </vt:variant>
      <vt:variant>
        <vt:i4>3326</vt:i4>
      </vt:variant>
      <vt:variant>
        <vt:i4>0</vt:i4>
      </vt:variant>
      <vt:variant>
        <vt:i4>5</vt:i4>
      </vt:variant>
      <vt:variant>
        <vt:lpwstr/>
      </vt:variant>
      <vt:variant>
        <vt:lpwstr>_Toc213772329</vt:lpwstr>
      </vt:variant>
      <vt:variant>
        <vt:i4>1114165</vt:i4>
      </vt:variant>
      <vt:variant>
        <vt:i4>3320</vt:i4>
      </vt:variant>
      <vt:variant>
        <vt:i4>0</vt:i4>
      </vt:variant>
      <vt:variant>
        <vt:i4>5</vt:i4>
      </vt:variant>
      <vt:variant>
        <vt:lpwstr/>
      </vt:variant>
      <vt:variant>
        <vt:lpwstr>_Toc213772328</vt:lpwstr>
      </vt:variant>
      <vt:variant>
        <vt:i4>1114165</vt:i4>
      </vt:variant>
      <vt:variant>
        <vt:i4>3314</vt:i4>
      </vt:variant>
      <vt:variant>
        <vt:i4>0</vt:i4>
      </vt:variant>
      <vt:variant>
        <vt:i4>5</vt:i4>
      </vt:variant>
      <vt:variant>
        <vt:lpwstr/>
      </vt:variant>
      <vt:variant>
        <vt:lpwstr>_Toc213772327</vt:lpwstr>
      </vt:variant>
      <vt:variant>
        <vt:i4>1114165</vt:i4>
      </vt:variant>
      <vt:variant>
        <vt:i4>3308</vt:i4>
      </vt:variant>
      <vt:variant>
        <vt:i4>0</vt:i4>
      </vt:variant>
      <vt:variant>
        <vt:i4>5</vt:i4>
      </vt:variant>
      <vt:variant>
        <vt:lpwstr/>
      </vt:variant>
      <vt:variant>
        <vt:lpwstr>_Toc213772326</vt:lpwstr>
      </vt:variant>
      <vt:variant>
        <vt:i4>1114165</vt:i4>
      </vt:variant>
      <vt:variant>
        <vt:i4>3302</vt:i4>
      </vt:variant>
      <vt:variant>
        <vt:i4>0</vt:i4>
      </vt:variant>
      <vt:variant>
        <vt:i4>5</vt:i4>
      </vt:variant>
      <vt:variant>
        <vt:lpwstr/>
      </vt:variant>
      <vt:variant>
        <vt:lpwstr>_Toc213772325</vt:lpwstr>
      </vt:variant>
      <vt:variant>
        <vt:i4>1114165</vt:i4>
      </vt:variant>
      <vt:variant>
        <vt:i4>3296</vt:i4>
      </vt:variant>
      <vt:variant>
        <vt:i4>0</vt:i4>
      </vt:variant>
      <vt:variant>
        <vt:i4>5</vt:i4>
      </vt:variant>
      <vt:variant>
        <vt:lpwstr/>
      </vt:variant>
      <vt:variant>
        <vt:lpwstr>_Toc213772324</vt:lpwstr>
      </vt:variant>
      <vt:variant>
        <vt:i4>1114165</vt:i4>
      </vt:variant>
      <vt:variant>
        <vt:i4>3290</vt:i4>
      </vt:variant>
      <vt:variant>
        <vt:i4>0</vt:i4>
      </vt:variant>
      <vt:variant>
        <vt:i4>5</vt:i4>
      </vt:variant>
      <vt:variant>
        <vt:lpwstr/>
      </vt:variant>
      <vt:variant>
        <vt:lpwstr>_Toc213772323</vt:lpwstr>
      </vt:variant>
      <vt:variant>
        <vt:i4>1114165</vt:i4>
      </vt:variant>
      <vt:variant>
        <vt:i4>3284</vt:i4>
      </vt:variant>
      <vt:variant>
        <vt:i4>0</vt:i4>
      </vt:variant>
      <vt:variant>
        <vt:i4>5</vt:i4>
      </vt:variant>
      <vt:variant>
        <vt:lpwstr/>
      </vt:variant>
      <vt:variant>
        <vt:lpwstr>_Toc213772322</vt:lpwstr>
      </vt:variant>
      <vt:variant>
        <vt:i4>1114165</vt:i4>
      </vt:variant>
      <vt:variant>
        <vt:i4>3278</vt:i4>
      </vt:variant>
      <vt:variant>
        <vt:i4>0</vt:i4>
      </vt:variant>
      <vt:variant>
        <vt:i4>5</vt:i4>
      </vt:variant>
      <vt:variant>
        <vt:lpwstr/>
      </vt:variant>
      <vt:variant>
        <vt:lpwstr>_Toc213772321</vt:lpwstr>
      </vt:variant>
      <vt:variant>
        <vt:i4>1114165</vt:i4>
      </vt:variant>
      <vt:variant>
        <vt:i4>3272</vt:i4>
      </vt:variant>
      <vt:variant>
        <vt:i4>0</vt:i4>
      </vt:variant>
      <vt:variant>
        <vt:i4>5</vt:i4>
      </vt:variant>
      <vt:variant>
        <vt:lpwstr/>
      </vt:variant>
      <vt:variant>
        <vt:lpwstr>_Toc213772320</vt:lpwstr>
      </vt:variant>
      <vt:variant>
        <vt:i4>1179701</vt:i4>
      </vt:variant>
      <vt:variant>
        <vt:i4>3266</vt:i4>
      </vt:variant>
      <vt:variant>
        <vt:i4>0</vt:i4>
      </vt:variant>
      <vt:variant>
        <vt:i4>5</vt:i4>
      </vt:variant>
      <vt:variant>
        <vt:lpwstr/>
      </vt:variant>
      <vt:variant>
        <vt:lpwstr>_Toc213772319</vt:lpwstr>
      </vt:variant>
      <vt:variant>
        <vt:i4>1179701</vt:i4>
      </vt:variant>
      <vt:variant>
        <vt:i4>3260</vt:i4>
      </vt:variant>
      <vt:variant>
        <vt:i4>0</vt:i4>
      </vt:variant>
      <vt:variant>
        <vt:i4>5</vt:i4>
      </vt:variant>
      <vt:variant>
        <vt:lpwstr/>
      </vt:variant>
      <vt:variant>
        <vt:lpwstr>_Toc213772318</vt:lpwstr>
      </vt:variant>
      <vt:variant>
        <vt:i4>1179701</vt:i4>
      </vt:variant>
      <vt:variant>
        <vt:i4>3254</vt:i4>
      </vt:variant>
      <vt:variant>
        <vt:i4>0</vt:i4>
      </vt:variant>
      <vt:variant>
        <vt:i4>5</vt:i4>
      </vt:variant>
      <vt:variant>
        <vt:lpwstr/>
      </vt:variant>
      <vt:variant>
        <vt:lpwstr>_Toc213772317</vt:lpwstr>
      </vt:variant>
      <vt:variant>
        <vt:i4>1179701</vt:i4>
      </vt:variant>
      <vt:variant>
        <vt:i4>3248</vt:i4>
      </vt:variant>
      <vt:variant>
        <vt:i4>0</vt:i4>
      </vt:variant>
      <vt:variant>
        <vt:i4>5</vt:i4>
      </vt:variant>
      <vt:variant>
        <vt:lpwstr/>
      </vt:variant>
      <vt:variant>
        <vt:lpwstr>_Toc213772316</vt:lpwstr>
      </vt:variant>
      <vt:variant>
        <vt:i4>1179701</vt:i4>
      </vt:variant>
      <vt:variant>
        <vt:i4>3242</vt:i4>
      </vt:variant>
      <vt:variant>
        <vt:i4>0</vt:i4>
      </vt:variant>
      <vt:variant>
        <vt:i4>5</vt:i4>
      </vt:variant>
      <vt:variant>
        <vt:lpwstr/>
      </vt:variant>
      <vt:variant>
        <vt:lpwstr>_Toc213772315</vt:lpwstr>
      </vt:variant>
      <vt:variant>
        <vt:i4>1179701</vt:i4>
      </vt:variant>
      <vt:variant>
        <vt:i4>3236</vt:i4>
      </vt:variant>
      <vt:variant>
        <vt:i4>0</vt:i4>
      </vt:variant>
      <vt:variant>
        <vt:i4>5</vt:i4>
      </vt:variant>
      <vt:variant>
        <vt:lpwstr/>
      </vt:variant>
      <vt:variant>
        <vt:lpwstr>_Toc213772314</vt:lpwstr>
      </vt:variant>
      <vt:variant>
        <vt:i4>1179701</vt:i4>
      </vt:variant>
      <vt:variant>
        <vt:i4>3230</vt:i4>
      </vt:variant>
      <vt:variant>
        <vt:i4>0</vt:i4>
      </vt:variant>
      <vt:variant>
        <vt:i4>5</vt:i4>
      </vt:variant>
      <vt:variant>
        <vt:lpwstr/>
      </vt:variant>
      <vt:variant>
        <vt:lpwstr>_Toc213772313</vt:lpwstr>
      </vt:variant>
      <vt:variant>
        <vt:i4>1179701</vt:i4>
      </vt:variant>
      <vt:variant>
        <vt:i4>3224</vt:i4>
      </vt:variant>
      <vt:variant>
        <vt:i4>0</vt:i4>
      </vt:variant>
      <vt:variant>
        <vt:i4>5</vt:i4>
      </vt:variant>
      <vt:variant>
        <vt:lpwstr/>
      </vt:variant>
      <vt:variant>
        <vt:lpwstr>_Toc213772312</vt:lpwstr>
      </vt:variant>
      <vt:variant>
        <vt:i4>1179701</vt:i4>
      </vt:variant>
      <vt:variant>
        <vt:i4>3218</vt:i4>
      </vt:variant>
      <vt:variant>
        <vt:i4>0</vt:i4>
      </vt:variant>
      <vt:variant>
        <vt:i4>5</vt:i4>
      </vt:variant>
      <vt:variant>
        <vt:lpwstr/>
      </vt:variant>
      <vt:variant>
        <vt:lpwstr>_Toc213772311</vt:lpwstr>
      </vt:variant>
      <vt:variant>
        <vt:i4>1179701</vt:i4>
      </vt:variant>
      <vt:variant>
        <vt:i4>3212</vt:i4>
      </vt:variant>
      <vt:variant>
        <vt:i4>0</vt:i4>
      </vt:variant>
      <vt:variant>
        <vt:i4>5</vt:i4>
      </vt:variant>
      <vt:variant>
        <vt:lpwstr/>
      </vt:variant>
      <vt:variant>
        <vt:lpwstr>_Toc213772310</vt:lpwstr>
      </vt:variant>
      <vt:variant>
        <vt:i4>1245237</vt:i4>
      </vt:variant>
      <vt:variant>
        <vt:i4>3206</vt:i4>
      </vt:variant>
      <vt:variant>
        <vt:i4>0</vt:i4>
      </vt:variant>
      <vt:variant>
        <vt:i4>5</vt:i4>
      </vt:variant>
      <vt:variant>
        <vt:lpwstr/>
      </vt:variant>
      <vt:variant>
        <vt:lpwstr>_Toc213772309</vt:lpwstr>
      </vt:variant>
      <vt:variant>
        <vt:i4>1245237</vt:i4>
      </vt:variant>
      <vt:variant>
        <vt:i4>3200</vt:i4>
      </vt:variant>
      <vt:variant>
        <vt:i4>0</vt:i4>
      </vt:variant>
      <vt:variant>
        <vt:i4>5</vt:i4>
      </vt:variant>
      <vt:variant>
        <vt:lpwstr/>
      </vt:variant>
      <vt:variant>
        <vt:lpwstr>_Toc213772308</vt:lpwstr>
      </vt:variant>
      <vt:variant>
        <vt:i4>1245237</vt:i4>
      </vt:variant>
      <vt:variant>
        <vt:i4>3194</vt:i4>
      </vt:variant>
      <vt:variant>
        <vt:i4>0</vt:i4>
      </vt:variant>
      <vt:variant>
        <vt:i4>5</vt:i4>
      </vt:variant>
      <vt:variant>
        <vt:lpwstr/>
      </vt:variant>
      <vt:variant>
        <vt:lpwstr>_Toc213772307</vt:lpwstr>
      </vt:variant>
      <vt:variant>
        <vt:i4>1245237</vt:i4>
      </vt:variant>
      <vt:variant>
        <vt:i4>3188</vt:i4>
      </vt:variant>
      <vt:variant>
        <vt:i4>0</vt:i4>
      </vt:variant>
      <vt:variant>
        <vt:i4>5</vt:i4>
      </vt:variant>
      <vt:variant>
        <vt:lpwstr/>
      </vt:variant>
      <vt:variant>
        <vt:lpwstr>_Toc213772306</vt:lpwstr>
      </vt:variant>
      <vt:variant>
        <vt:i4>1245237</vt:i4>
      </vt:variant>
      <vt:variant>
        <vt:i4>3182</vt:i4>
      </vt:variant>
      <vt:variant>
        <vt:i4>0</vt:i4>
      </vt:variant>
      <vt:variant>
        <vt:i4>5</vt:i4>
      </vt:variant>
      <vt:variant>
        <vt:lpwstr/>
      </vt:variant>
      <vt:variant>
        <vt:lpwstr>_Toc213772305</vt:lpwstr>
      </vt:variant>
      <vt:variant>
        <vt:i4>1245237</vt:i4>
      </vt:variant>
      <vt:variant>
        <vt:i4>3176</vt:i4>
      </vt:variant>
      <vt:variant>
        <vt:i4>0</vt:i4>
      </vt:variant>
      <vt:variant>
        <vt:i4>5</vt:i4>
      </vt:variant>
      <vt:variant>
        <vt:lpwstr/>
      </vt:variant>
      <vt:variant>
        <vt:lpwstr>_Toc213772304</vt:lpwstr>
      </vt:variant>
      <vt:variant>
        <vt:i4>1245237</vt:i4>
      </vt:variant>
      <vt:variant>
        <vt:i4>3170</vt:i4>
      </vt:variant>
      <vt:variant>
        <vt:i4>0</vt:i4>
      </vt:variant>
      <vt:variant>
        <vt:i4>5</vt:i4>
      </vt:variant>
      <vt:variant>
        <vt:lpwstr/>
      </vt:variant>
      <vt:variant>
        <vt:lpwstr>_Toc213772303</vt:lpwstr>
      </vt:variant>
      <vt:variant>
        <vt:i4>1245237</vt:i4>
      </vt:variant>
      <vt:variant>
        <vt:i4>3164</vt:i4>
      </vt:variant>
      <vt:variant>
        <vt:i4>0</vt:i4>
      </vt:variant>
      <vt:variant>
        <vt:i4>5</vt:i4>
      </vt:variant>
      <vt:variant>
        <vt:lpwstr/>
      </vt:variant>
      <vt:variant>
        <vt:lpwstr>_Toc213772302</vt:lpwstr>
      </vt:variant>
      <vt:variant>
        <vt:i4>1245237</vt:i4>
      </vt:variant>
      <vt:variant>
        <vt:i4>3158</vt:i4>
      </vt:variant>
      <vt:variant>
        <vt:i4>0</vt:i4>
      </vt:variant>
      <vt:variant>
        <vt:i4>5</vt:i4>
      </vt:variant>
      <vt:variant>
        <vt:lpwstr/>
      </vt:variant>
      <vt:variant>
        <vt:lpwstr>_Toc213772301</vt:lpwstr>
      </vt:variant>
      <vt:variant>
        <vt:i4>1245237</vt:i4>
      </vt:variant>
      <vt:variant>
        <vt:i4>3152</vt:i4>
      </vt:variant>
      <vt:variant>
        <vt:i4>0</vt:i4>
      </vt:variant>
      <vt:variant>
        <vt:i4>5</vt:i4>
      </vt:variant>
      <vt:variant>
        <vt:lpwstr/>
      </vt:variant>
      <vt:variant>
        <vt:lpwstr>_Toc213772300</vt:lpwstr>
      </vt:variant>
      <vt:variant>
        <vt:i4>1703988</vt:i4>
      </vt:variant>
      <vt:variant>
        <vt:i4>3146</vt:i4>
      </vt:variant>
      <vt:variant>
        <vt:i4>0</vt:i4>
      </vt:variant>
      <vt:variant>
        <vt:i4>5</vt:i4>
      </vt:variant>
      <vt:variant>
        <vt:lpwstr/>
      </vt:variant>
      <vt:variant>
        <vt:lpwstr>_Toc213772299</vt:lpwstr>
      </vt:variant>
      <vt:variant>
        <vt:i4>1703988</vt:i4>
      </vt:variant>
      <vt:variant>
        <vt:i4>3140</vt:i4>
      </vt:variant>
      <vt:variant>
        <vt:i4>0</vt:i4>
      </vt:variant>
      <vt:variant>
        <vt:i4>5</vt:i4>
      </vt:variant>
      <vt:variant>
        <vt:lpwstr/>
      </vt:variant>
      <vt:variant>
        <vt:lpwstr>_Toc213772298</vt:lpwstr>
      </vt:variant>
      <vt:variant>
        <vt:i4>1703988</vt:i4>
      </vt:variant>
      <vt:variant>
        <vt:i4>3134</vt:i4>
      </vt:variant>
      <vt:variant>
        <vt:i4>0</vt:i4>
      </vt:variant>
      <vt:variant>
        <vt:i4>5</vt:i4>
      </vt:variant>
      <vt:variant>
        <vt:lpwstr/>
      </vt:variant>
      <vt:variant>
        <vt:lpwstr>_Toc213772297</vt:lpwstr>
      </vt:variant>
      <vt:variant>
        <vt:i4>1703988</vt:i4>
      </vt:variant>
      <vt:variant>
        <vt:i4>3128</vt:i4>
      </vt:variant>
      <vt:variant>
        <vt:i4>0</vt:i4>
      </vt:variant>
      <vt:variant>
        <vt:i4>5</vt:i4>
      </vt:variant>
      <vt:variant>
        <vt:lpwstr/>
      </vt:variant>
      <vt:variant>
        <vt:lpwstr>_Toc213772296</vt:lpwstr>
      </vt:variant>
      <vt:variant>
        <vt:i4>1703988</vt:i4>
      </vt:variant>
      <vt:variant>
        <vt:i4>3122</vt:i4>
      </vt:variant>
      <vt:variant>
        <vt:i4>0</vt:i4>
      </vt:variant>
      <vt:variant>
        <vt:i4>5</vt:i4>
      </vt:variant>
      <vt:variant>
        <vt:lpwstr/>
      </vt:variant>
      <vt:variant>
        <vt:lpwstr>_Toc213772295</vt:lpwstr>
      </vt:variant>
      <vt:variant>
        <vt:i4>1703988</vt:i4>
      </vt:variant>
      <vt:variant>
        <vt:i4>3116</vt:i4>
      </vt:variant>
      <vt:variant>
        <vt:i4>0</vt:i4>
      </vt:variant>
      <vt:variant>
        <vt:i4>5</vt:i4>
      </vt:variant>
      <vt:variant>
        <vt:lpwstr/>
      </vt:variant>
      <vt:variant>
        <vt:lpwstr>_Toc213772294</vt:lpwstr>
      </vt:variant>
      <vt:variant>
        <vt:i4>1703988</vt:i4>
      </vt:variant>
      <vt:variant>
        <vt:i4>3110</vt:i4>
      </vt:variant>
      <vt:variant>
        <vt:i4>0</vt:i4>
      </vt:variant>
      <vt:variant>
        <vt:i4>5</vt:i4>
      </vt:variant>
      <vt:variant>
        <vt:lpwstr/>
      </vt:variant>
      <vt:variant>
        <vt:lpwstr>_Toc213772293</vt:lpwstr>
      </vt:variant>
      <vt:variant>
        <vt:i4>1703988</vt:i4>
      </vt:variant>
      <vt:variant>
        <vt:i4>3104</vt:i4>
      </vt:variant>
      <vt:variant>
        <vt:i4>0</vt:i4>
      </vt:variant>
      <vt:variant>
        <vt:i4>5</vt:i4>
      </vt:variant>
      <vt:variant>
        <vt:lpwstr/>
      </vt:variant>
      <vt:variant>
        <vt:lpwstr>_Toc213772292</vt:lpwstr>
      </vt:variant>
      <vt:variant>
        <vt:i4>1703988</vt:i4>
      </vt:variant>
      <vt:variant>
        <vt:i4>3098</vt:i4>
      </vt:variant>
      <vt:variant>
        <vt:i4>0</vt:i4>
      </vt:variant>
      <vt:variant>
        <vt:i4>5</vt:i4>
      </vt:variant>
      <vt:variant>
        <vt:lpwstr/>
      </vt:variant>
      <vt:variant>
        <vt:lpwstr>_Toc213772291</vt:lpwstr>
      </vt:variant>
      <vt:variant>
        <vt:i4>1703988</vt:i4>
      </vt:variant>
      <vt:variant>
        <vt:i4>3092</vt:i4>
      </vt:variant>
      <vt:variant>
        <vt:i4>0</vt:i4>
      </vt:variant>
      <vt:variant>
        <vt:i4>5</vt:i4>
      </vt:variant>
      <vt:variant>
        <vt:lpwstr/>
      </vt:variant>
      <vt:variant>
        <vt:lpwstr>_Toc213772290</vt:lpwstr>
      </vt:variant>
      <vt:variant>
        <vt:i4>1769524</vt:i4>
      </vt:variant>
      <vt:variant>
        <vt:i4>3086</vt:i4>
      </vt:variant>
      <vt:variant>
        <vt:i4>0</vt:i4>
      </vt:variant>
      <vt:variant>
        <vt:i4>5</vt:i4>
      </vt:variant>
      <vt:variant>
        <vt:lpwstr/>
      </vt:variant>
      <vt:variant>
        <vt:lpwstr>_Toc213772289</vt:lpwstr>
      </vt:variant>
      <vt:variant>
        <vt:i4>1769524</vt:i4>
      </vt:variant>
      <vt:variant>
        <vt:i4>3080</vt:i4>
      </vt:variant>
      <vt:variant>
        <vt:i4>0</vt:i4>
      </vt:variant>
      <vt:variant>
        <vt:i4>5</vt:i4>
      </vt:variant>
      <vt:variant>
        <vt:lpwstr/>
      </vt:variant>
      <vt:variant>
        <vt:lpwstr>_Toc213772288</vt:lpwstr>
      </vt:variant>
      <vt:variant>
        <vt:i4>1769524</vt:i4>
      </vt:variant>
      <vt:variant>
        <vt:i4>3074</vt:i4>
      </vt:variant>
      <vt:variant>
        <vt:i4>0</vt:i4>
      </vt:variant>
      <vt:variant>
        <vt:i4>5</vt:i4>
      </vt:variant>
      <vt:variant>
        <vt:lpwstr/>
      </vt:variant>
      <vt:variant>
        <vt:lpwstr>_Toc213772287</vt:lpwstr>
      </vt:variant>
      <vt:variant>
        <vt:i4>1769524</vt:i4>
      </vt:variant>
      <vt:variant>
        <vt:i4>3068</vt:i4>
      </vt:variant>
      <vt:variant>
        <vt:i4>0</vt:i4>
      </vt:variant>
      <vt:variant>
        <vt:i4>5</vt:i4>
      </vt:variant>
      <vt:variant>
        <vt:lpwstr/>
      </vt:variant>
      <vt:variant>
        <vt:lpwstr>_Toc213772286</vt:lpwstr>
      </vt:variant>
      <vt:variant>
        <vt:i4>1769524</vt:i4>
      </vt:variant>
      <vt:variant>
        <vt:i4>3062</vt:i4>
      </vt:variant>
      <vt:variant>
        <vt:i4>0</vt:i4>
      </vt:variant>
      <vt:variant>
        <vt:i4>5</vt:i4>
      </vt:variant>
      <vt:variant>
        <vt:lpwstr/>
      </vt:variant>
      <vt:variant>
        <vt:lpwstr>_Toc213772285</vt:lpwstr>
      </vt:variant>
      <vt:variant>
        <vt:i4>1769524</vt:i4>
      </vt:variant>
      <vt:variant>
        <vt:i4>3056</vt:i4>
      </vt:variant>
      <vt:variant>
        <vt:i4>0</vt:i4>
      </vt:variant>
      <vt:variant>
        <vt:i4>5</vt:i4>
      </vt:variant>
      <vt:variant>
        <vt:lpwstr/>
      </vt:variant>
      <vt:variant>
        <vt:lpwstr>_Toc213772284</vt:lpwstr>
      </vt:variant>
      <vt:variant>
        <vt:i4>1769524</vt:i4>
      </vt:variant>
      <vt:variant>
        <vt:i4>3050</vt:i4>
      </vt:variant>
      <vt:variant>
        <vt:i4>0</vt:i4>
      </vt:variant>
      <vt:variant>
        <vt:i4>5</vt:i4>
      </vt:variant>
      <vt:variant>
        <vt:lpwstr/>
      </vt:variant>
      <vt:variant>
        <vt:lpwstr>_Toc213772283</vt:lpwstr>
      </vt:variant>
      <vt:variant>
        <vt:i4>1769524</vt:i4>
      </vt:variant>
      <vt:variant>
        <vt:i4>3044</vt:i4>
      </vt:variant>
      <vt:variant>
        <vt:i4>0</vt:i4>
      </vt:variant>
      <vt:variant>
        <vt:i4>5</vt:i4>
      </vt:variant>
      <vt:variant>
        <vt:lpwstr/>
      </vt:variant>
      <vt:variant>
        <vt:lpwstr>_Toc213772282</vt:lpwstr>
      </vt:variant>
      <vt:variant>
        <vt:i4>1769524</vt:i4>
      </vt:variant>
      <vt:variant>
        <vt:i4>3038</vt:i4>
      </vt:variant>
      <vt:variant>
        <vt:i4>0</vt:i4>
      </vt:variant>
      <vt:variant>
        <vt:i4>5</vt:i4>
      </vt:variant>
      <vt:variant>
        <vt:lpwstr/>
      </vt:variant>
      <vt:variant>
        <vt:lpwstr>_Toc213772281</vt:lpwstr>
      </vt:variant>
      <vt:variant>
        <vt:i4>1769524</vt:i4>
      </vt:variant>
      <vt:variant>
        <vt:i4>3032</vt:i4>
      </vt:variant>
      <vt:variant>
        <vt:i4>0</vt:i4>
      </vt:variant>
      <vt:variant>
        <vt:i4>5</vt:i4>
      </vt:variant>
      <vt:variant>
        <vt:lpwstr/>
      </vt:variant>
      <vt:variant>
        <vt:lpwstr>_Toc213772280</vt:lpwstr>
      </vt:variant>
      <vt:variant>
        <vt:i4>1310772</vt:i4>
      </vt:variant>
      <vt:variant>
        <vt:i4>3026</vt:i4>
      </vt:variant>
      <vt:variant>
        <vt:i4>0</vt:i4>
      </vt:variant>
      <vt:variant>
        <vt:i4>5</vt:i4>
      </vt:variant>
      <vt:variant>
        <vt:lpwstr/>
      </vt:variant>
      <vt:variant>
        <vt:lpwstr>_Toc213772279</vt:lpwstr>
      </vt:variant>
      <vt:variant>
        <vt:i4>1310772</vt:i4>
      </vt:variant>
      <vt:variant>
        <vt:i4>3020</vt:i4>
      </vt:variant>
      <vt:variant>
        <vt:i4>0</vt:i4>
      </vt:variant>
      <vt:variant>
        <vt:i4>5</vt:i4>
      </vt:variant>
      <vt:variant>
        <vt:lpwstr/>
      </vt:variant>
      <vt:variant>
        <vt:lpwstr>_Toc213772278</vt:lpwstr>
      </vt:variant>
      <vt:variant>
        <vt:i4>1310772</vt:i4>
      </vt:variant>
      <vt:variant>
        <vt:i4>3014</vt:i4>
      </vt:variant>
      <vt:variant>
        <vt:i4>0</vt:i4>
      </vt:variant>
      <vt:variant>
        <vt:i4>5</vt:i4>
      </vt:variant>
      <vt:variant>
        <vt:lpwstr/>
      </vt:variant>
      <vt:variant>
        <vt:lpwstr>_Toc213772277</vt:lpwstr>
      </vt:variant>
      <vt:variant>
        <vt:i4>1310772</vt:i4>
      </vt:variant>
      <vt:variant>
        <vt:i4>3008</vt:i4>
      </vt:variant>
      <vt:variant>
        <vt:i4>0</vt:i4>
      </vt:variant>
      <vt:variant>
        <vt:i4>5</vt:i4>
      </vt:variant>
      <vt:variant>
        <vt:lpwstr/>
      </vt:variant>
      <vt:variant>
        <vt:lpwstr>_Toc213772276</vt:lpwstr>
      </vt:variant>
      <vt:variant>
        <vt:i4>1310772</vt:i4>
      </vt:variant>
      <vt:variant>
        <vt:i4>3002</vt:i4>
      </vt:variant>
      <vt:variant>
        <vt:i4>0</vt:i4>
      </vt:variant>
      <vt:variant>
        <vt:i4>5</vt:i4>
      </vt:variant>
      <vt:variant>
        <vt:lpwstr/>
      </vt:variant>
      <vt:variant>
        <vt:lpwstr>_Toc213772275</vt:lpwstr>
      </vt:variant>
      <vt:variant>
        <vt:i4>1310772</vt:i4>
      </vt:variant>
      <vt:variant>
        <vt:i4>2996</vt:i4>
      </vt:variant>
      <vt:variant>
        <vt:i4>0</vt:i4>
      </vt:variant>
      <vt:variant>
        <vt:i4>5</vt:i4>
      </vt:variant>
      <vt:variant>
        <vt:lpwstr/>
      </vt:variant>
      <vt:variant>
        <vt:lpwstr>_Toc213772274</vt:lpwstr>
      </vt:variant>
      <vt:variant>
        <vt:i4>1310772</vt:i4>
      </vt:variant>
      <vt:variant>
        <vt:i4>2990</vt:i4>
      </vt:variant>
      <vt:variant>
        <vt:i4>0</vt:i4>
      </vt:variant>
      <vt:variant>
        <vt:i4>5</vt:i4>
      </vt:variant>
      <vt:variant>
        <vt:lpwstr/>
      </vt:variant>
      <vt:variant>
        <vt:lpwstr>_Toc213772273</vt:lpwstr>
      </vt:variant>
      <vt:variant>
        <vt:i4>1310772</vt:i4>
      </vt:variant>
      <vt:variant>
        <vt:i4>2984</vt:i4>
      </vt:variant>
      <vt:variant>
        <vt:i4>0</vt:i4>
      </vt:variant>
      <vt:variant>
        <vt:i4>5</vt:i4>
      </vt:variant>
      <vt:variant>
        <vt:lpwstr/>
      </vt:variant>
      <vt:variant>
        <vt:lpwstr>_Toc213772272</vt:lpwstr>
      </vt:variant>
      <vt:variant>
        <vt:i4>1310772</vt:i4>
      </vt:variant>
      <vt:variant>
        <vt:i4>2978</vt:i4>
      </vt:variant>
      <vt:variant>
        <vt:i4>0</vt:i4>
      </vt:variant>
      <vt:variant>
        <vt:i4>5</vt:i4>
      </vt:variant>
      <vt:variant>
        <vt:lpwstr/>
      </vt:variant>
      <vt:variant>
        <vt:lpwstr>_Toc213772271</vt:lpwstr>
      </vt:variant>
      <vt:variant>
        <vt:i4>1310772</vt:i4>
      </vt:variant>
      <vt:variant>
        <vt:i4>2972</vt:i4>
      </vt:variant>
      <vt:variant>
        <vt:i4>0</vt:i4>
      </vt:variant>
      <vt:variant>
        <vt:i4>5</vt:i4>
      </vt:variant>
      <vt:variant>
        <vt:lpwstr/>
      </vt:variant>
      <vt:variant>
        <vt:lpwstr>_Toc213772270</vt:lpwstr>
      </vt:variant>
      <vt:variant>
        <vt:i4>1376308</vt:i4>
      </vt:variant>
      <vt:variant>
        <vt:i4>2966</vt:i4>
      </vt:variant>
      <vt:variant>
        <vt:i4>0</vt:i4>
      </vt:variant>
      <vt:variant>
        <vt:i4>5</vt:i4>
      </vt:variant>
      <vt:variant>
        <vt:lpwstr/>
      </vt:variant>
      <vt:variant>
        <vt:lpwstr>_Toc213772269</vt:lpwstr>
      </vt:variant>
      <vt:variant>
        <vt:i4>1376308</vt:i4>
      </vt:variant>
      <vt:variant>
        <vt:i4>2960</vt:i4>
      </vt:variant>
      <vt:variant>
        <vt:i4>0</vt:i4>
      </vt:variant>
      <vt:variant>
        <vt:i4>5</vt:i4>
      </vt:variant>
      <vt:variant>
        <vt:lpwstr/>
      </vt:variant>
      <vt:variant>
        <vt:lpwstr>_Toc213772268</vt:lpwstr>
      </vt:variant>
      <vt:variant>
        <vt:i4>1376308</vt:i4>
      </vt:variant>
      <vt:variant>
        <vt:i4>2954</vt:i4>
      </vt:variant>
      <vt:variant>
        <vt:i4>0</vt:i4>
      </vt:variant>
      <vt:variant>
        <vt:i4>5</vt:i4>
      </vt:variant>
      <vt:variant>
        <vt:lpwstr/>
      </vt:variant>
      <vt:variant>
        <vt:lpwstr>_Toc213772267</vt:lpwstr>
      </vt:variant>
      <vt:variant>
        <vt:i4>1376308</vt:i4>
      </vt:variant>
      <vt:variant>
        <vt:i4>2948</vt:i4>
      </vt:variant>
      <vt:variant>
        <vt:i4>0</vt:i4>
      </vt:variant>
      <vt:variant>
        <vt:i4>5</vt:i4>
      </vt:variant>
      <vt:variant>
        <vt:lpwstr/>
      </vt:variant>
      <vt:variant>
        <vt:lpwstr>_Toc213772266</vt:lpwstr>
      </vt:variant>
      <vt:variant>
        <vt:i4>1376308</vt:i4>
      </vt:variant>
      <vt:variant>
        <vt:i4>2942</vt:i4>
      </vt:variant>
      <vt:variant>
        <vt:i4>0</vt:i4>
      </vt:variant>
      <vt:variant>
        <vt:i4>5</vt:i4>
      </vt:variant>
      <vt:variant>
        <vt:lpwstr/>
      </vt:variant>
      <vt:variant>
        <vt:lpwstr>_Toc213772265</vt:lpwstr>
      </vt:variant>
      <vt:variant>
        <vt:i4>1376308</vt:i4>
      </vt:variant>
      <vt:variant>
        <vt:i4>2936</vt:i4>
      </vt:variant>
      <vt:variant>
        <vt:i4>0</vt:i4>
      </vt:variant>
      <vt:variant>
        <vt:i4>5</vt:i4>
      </vt:variant>
      <vt:variant>
        <vt:lpwstr/>
      </vt:variant>
      <vt:variant>
        <vt:lpwstr>_Toc213772264</vt:lpwstr>
      </vt:variant>
      <vt:variant>
        <vt:i4>1376308</vt:i4>
      </vt:variant>
      <vt:variant>
        <vt:i4>2930</vt:i4>
      </vt:variant>
      <vt:variant>
        <vt:i4>0</vt:i4>
      </vt:variant>
      <vt:variant>
        <vt:i4>5</vt:i4>
      </vt:variant>
      <vt:variant>
        <vt:lpwstr/>
      </vt:variant>
      <vt:variant>
        <vt:lpwstr>_Toc213772263</vt:lpwstr>
      </vt:variant>
      <vt:variant>
        <vt:i4>1376308</vt:i4>
      </vt:variant>
      <vt:variant>
        <vt:i4>2924</vt:i4>
      </vt:variant>
      <vt:variant>
        <vt:i4>0</vt:i4>
      </vt:variant>
      <vt:variant>
        <vt:i4>5</vt:i4>
      </vt:variant>
      <vt:variant>
        <vt:lpwstr/>
      </vt:variant>
      <vt:variant>
        <vt:lpwstr>_Toc213772262</vt:lpwstr>
      </vt:variant>
      <vt:variant>
        <vt:i4>1376308</vt:i4>
      </vt:variant>
      <vt:variant>
        <vt:i4>2918</vt:i4>
      </vt:variant>
      <vt:variant>
        <vt:i4>0</vt:i4>
      </vt:variant>
      <vt:variant>
        <vt:i4>5</vt:i4>
      </vt:variant>
      <vt:variant>
        <vt:lpwstr/>
      </vt:variant>
      <vt:variant>
        <vt:lpwstr>_Toc213772261</vt:lpwstr>
      </vt:variant>
      <vt:variant>
        <vt:i4>1376308</vt:i4>
      </vt:variant>
      <vt:variant>
        <vt:i4>2912</vt:i4>
      </vt:variant>
      <vt:variant>
        <vt:i4>0</vt:i4>
      </vt:variant>
      <vt:variant>
        <vt:i4>5</vt:i4>
      </vt:variant>
      <vt:variant>
        <vt:lpwstr/>
      </vt:variant>
      <vt:variant>
        <vt:lpwstr>_Toc213772260</vt:lpwstr>
      </vt:variant>
      <vt:variant>
        <vt:i4>1441844</vt:i4>
      </vt:variant>
      <vt:variant>
        <vt:i4>2906</vt:i4>
      </vt:variant>
      <vt:variant>
        <vt:i4>0</vt:i4>
      </vt:variant>
      <vt:variant>
        <vt:i4>5</vt:i4>
      </vt:variant>
      <vt:variant>
        <vt:lpwstr/>
      </vt:variant>
      <vt:variant>
        <vt:lpwstr>_Toc213772259</vt:lpwstr>
      </vt:variant>
      <vt:variant>
        <vt:i4>1441844</vt:i4>
      </vt:variant>
      <vt:variant>
        <vt:i4>2900</vt:i4>
      </vt:variant>
      <vt:variant>
        <vt:i4>0</vt:i4>
      </vt:variant>
      <vt:variant>
        <vt:i4>5</vt:i4>
      </vt:variant>
      <vt:variant>
        <vt:lpwstr/>
      </vt:variant>
      <vt:variant>
        <vt:lpwstr>_Toc213772258</vt:lpwstr>
      </vt:variant>
      <vt:variant>
        <vt:i4>1441844</vt:i4>
      </vt:variant>
      <vt:variant>
        <vt:i4>2894</vt:i4>
      </vt:variant>
      <vt:variant>
        <vt:i4>0</vt:i4>
      </vt:variant>
      <vt:variant>
        <vt:i4>5</vt:i4>
      </vt:variant>
      <vt:variant>
        <vt:lpwstr/>
      </vt:variant>
      <vt:variant>
        <vt:lpwstr>_Toc213772257</vt:lpwstr>
      </vt:variant>
      <vt:variant>
        <vt:i4>1441844</vt:i4>
      </vt:variant>
      <vt:variant>
        <vt:i4>2888</vt:i4>
      </vt:variant>
      <vt:variant>
        <vt:i4>0</vt:i4>
      </vt:variant>
      <vt:variant>
        <vt:i4>5</vt:i4>
      </vt:variant>
      <vt:variant>
        <vt:lpwstr/>
      </vt:variant>
      <vt:variant>
        <vt:lpwstr>_Toc213772256</vt:lpwstr>
      </vt:variant>
      <vt:variant>
        <vt:i4>1441844</vt:i4>
      </vt:variant>
      <vt:variant>
        <vt:i4>2882</vt:i4>
      </vt:variant>
      <vt:variant>
        <vt:i4>0</vt:i4>
      </vt:variant>
      <vt:variant>
        <vt:i4>5</vt:i4>
      </vt:variant>
      <vt:variant>
        <vt:lpwstr/>
      </vt:variant>
      <vt:variant>
        <vt:lpwstr>_Toc213772255</vt:lpwstr>
      </vt:variant>
      <vt:variant>
        <vt:i4>1441844</vt:i4>
      </vt:variant>
      <vt:variant>
        <vt:i4>2876</vt:i4>
      </vt:variant>
      <vt:variant>
        <vt:i4>0</vt:i4>
      </vt:variant>
      <vt:variant>
        <vt:i4>5</vt:i4>
      </vt:variant>
      <vt:variant>
        <vt:lpwstr/>
      </vt:variant>
      <vt:variant>
        <vt:lpwstr>_Toc213772254</vt:lpwstr>
      </vt:variant>
      <vt:variant>
        <vt:i4>1441844</vt:i4>
      </vt:variant>
      <vt:variant>
        <vt:i4>2870</vt:i4>
      </vt:variant>
      <vt:variant>
        <vt:i4>0</vt:i4>
      </vt:variant>
      <vt:variant>
        <vt:i4>5</vt:i4>
      </vt:variant>
      <vt:variant>
        <vt:lpwstr/>
      </vt:variant>
      <vt:variant>
        <vt:lpwstr>_Toc213772253</vt:lpwstr>
      </vt:variant>
      <vt:variant>
        <vt:i4>1441844</vt:i4>
      </vt:variant>
      <vt:variant>
        <vt:i4>2864</vt:i4>
      </vt:variant>
      <vt:variant>
        <vt:i4>0</vt:i4>
      </vt:variant>
      <vt:variant>
        <vt:i4>5</vt:i4>
      </vt:variant>
      <vt:variant>
        <vt:lpwstr/>
      </vt:variant>
      <vt:variant>
        <vt:lpwstr>_Toc213772252</vt:lpwstr>
      </vt:variant>
      <vt:variant>
        <vt:i4>1441844</vt:i4>
      </vt:variant>
      <vt:variant>
        <vt:i4>2858</vt:i4>
      </vt:variant>
      <vt:variant>
        <vt:i4>0</vt:i4>
      </vt:variant>
      <vt:variant>
        <vt:i4>5</vt:i4>
      </vt:variant>
      <vt:variant>
        <vt:lpwstr/>
      </vt:variant>
      <vt:variant>
        <vt:lpwstr>_Toc213772251</vt:lpwstr>
      </vt:variant>
      <vt:variant>
        <vt:i4>1441844</vt:i4>
      </vt:variant>
      <vt:variant>
        <vt:i4>2852</vt:i4>
      </vt:variant>
      <vt:variant>
        <vt:i4>0</vt:i4>
      </vt:variant>
      <vt:variant>
        <vt:i4>5</vt:i4>
      </vt:variant>
      <vt:variant>
        <vt:lpwstr/>
      </vt:variant>
      <vt:variant>
        <vt:lpwstr>_Toc213772250</vt:lpwstr>
      </vt:variant>
      <vt:variant>
        <vt:i4>1507380</vt:i4>
      </vt:variant>
      <vt:variant>
        <vt:i4>2846</vt:i4>
      </vt:variant>
      <vt:variant>
        <vt:i4>0</vt:i4>
      </vt:variant>
      <vt:variant>
        <vt:i4>5</vt:i4>
      </vt:variant>
      <vt:variant>
        <vt:lpwstr/>
      </vt:variant>
      <vt:variant>
        <vt:lpwstr>_Toc213772249</vt:lpwstr>
      </vt:variant>
      <vt:variant>
        <vt:i4>1507380</vt:i4>
      </vt:variant>
      <vt:variant>
        <vt:i4>2840</vt:i4>
      </vt:variant>
      <vt:variant>
        <vt:i4>0</vt:i4>
      </vt:variant>
      <vt:variant>
        <vt:i4>5</vt:i4>
      </vt:variant>
      <vt:variant>
        <vt:lpwstr/>
      </vt:variant>
      <vt:variant>
        <vt:lpwstr>_Toc213772248</vt:lpwstr>
      </vt:variant>
      <vt:variant>
        <vt:i4>1507380</vt:i4>
      </vt:variant>
      <vt:variant>
        <vt:i4>2834</vt:i4>
      </vt:variant>
      <vt:variant>
        <vt:i4>0</vt:i4>
      </vt:variant>
      <vt:variant>
        <vt:i4>5</vt:i4>
      </vt:variant>
      <vt:variant>
        <vt:lpwstr/>
      </vt:variant>
      <vt:variant>
        <vt:lpwstr>_Toc213772247</vt:lpwstr>
      </vt:variant>
      <vt:variant>
        <vt:i4>1507380</vt:i4>
      </vt:variant>
      <vt:variant>
        <vt:i4>2828</vt:i4>
      </vt:variant>
      <vt:variant>
        <vt:i4>0</vt:i4>
      </vt:variant>
      <vt:variant>
        <vt:i4>5</vt:i4>
      </vt:variant>
      <vt:variant>
        <vt:lpwstr/>
      </vt:variant>
      <vt:variant>
        <vt:lpwstr>_Toc213772246</vt:lpwstr>
      </vt:variant>
      <vt:variant>
        <vt:i4>1507380</vt:i4>
      </vt:variant>
      <vt:variant>
        <vt:i4>2822</vt:i4>
      </vt:variant>
      <vt:variant>
        <vt:i4>0</vt:i4>
      </vt:variant>
      <vt:variant>
        <vt:i4>5</vt:i4>
      </vt:variant>
      <vt:variant>
        <vt:lpwstr/>
      </vt:variant>
      <vt:variant>
        <vt:lpwstr>_Toc213772245</vt:lpwstr>
      </vt:variant>
      <vt:variant>
        <vt:i4>1507380</vt:i4>
      </vt:variant>
      <vt:variant>
        <vt:i4>2816</vt:i4>
      </vt:variant>
      <vt:variant>
        <vt:i4>0</vt:i4>
      </vt:variant>
      <vt:variant>
        <vt:i4>5</vt:i4>
      </vt:variant>
      <vt:variant>
        <vt:lpwstr/>
      </vt:variant>
      <vt:variant>
        <vt:lpwstr>_Toc213772244</vt:lpwstr>
      </vt:variant>
      <vt:variant>
        <vt:i4>1507380</vt:i4>
      </vt:variant>
      <vt:variant>
        <vt:i4>2810</vt:i4>
      </vt:variant>
      <vt:variant>
        <vt:i4>0</vt:i4>
      </vt:variant>
      <vt:variant>
        <vt:i4>5</vt:i4>
      </vt:variant>
      <vt:variant>
        <vt:lpwstr/>
      </vt:variant>
      <vt:variant>
        <vt:lpwstr>_Toc213772243</vt:lpwstr>
      </vt:variant>
      <vt:variant>
        <vt:i4>1507380</vt:i4>
      </vt:variant>
      <vt:variant>
        <vt:i4>2804</vt:i4>
      </vt:variant>
      <vt:variant>
        <vt:i4>0</vt:i4>
      </vt:variant>
      <vt:variant>
        <vt:i4>5</vt:i4>
      </vt:variant>
      <vt:variant>
        <vt:lpwstr/>
      </vt:variant>
      <vt:variant>
        <vt:lpwstr>_Toc213772242</vt:lpwstr>
      </vt:variant>
      <vt:variant>
        <vt:i4>1507380</vt:i4>
      </vt:variant>
      <vt:variant>
        <vt:i4>2798</vt:i4>
      </vt:variant>
      <vt:variant>
        <vt:i4>0</vt:i4>
      </vt:variant>
      <vt:variant>
        <vt:i4>5</vt:i4>
      </vt:variant>
      <vt:variant>
        <vt:lpwstr/>
      </vt:variant>
      <vt:variant>
        <vt:lpwstr>_Toc213772241</vt:lpwstr>
      </vt:variant>
      <vt:variant>
        <vt:i4>1507380</vt:i4>
      </vt:variant>
      <vt:variant>
        <vt:i4>2792</vt:i4>
      </vt:variant>
      <vt:variant>
        <vt:i4>0</vt:i4>
      </vt:variant>
      <vt:variant>
        <vt:i4>5</vt:i4>
      </vt:variant>
      <vt:variant>
        <vt:lpwstr/>
      </vt:variant>
      <vt:variant>
        <vt:lpwstr>_Toc213772240</vt:lpwstr>
      </vt:variant>
      <vt:variant>
        <vt:i4>1048628</vt:i4>
      </vt:variant>
      <vt:variant>
        <vt:i4>2786</vt:i4>
      </vt:variant>
      <vt:variant>
        <vt:i4>0</vt:i4>
      </vt:variant>
      <vt:variant>
        <vt:i4>5</vt:i4>
      </vt:variant>
      <vt:variant>
        <vt:lpwstr/>
      </vt:variant>
      <vt:variant>
        <vt:lpwstr>_Toc213772239</vt:lpwstr>
      </vt:variant>
      <vt:variant>
        <vt:i4>1048628</vt:i4>
      </vt:variant>
      <vt:variant>
        <vt:i4>2780</vt:i4>
      </vt:variant>
      <vt:variant>
        <vt:i4>0</vt:i4>
      </vt:variant>
      <vt:variant>
        <vt:i4>5</vt:i4>
      </vt:variant>
      <vt:variant>
        <vt:lpwstr/>
      </vt:variant>
      <vt:variant>
        <vt:lpwstr>_Toc213772238</vt:lpwstr>
      </vt:variant>
      <vt:variant>
        <vt:i4>1048628</vt:i4>
      </vt:variant>
      <vt:variant>
        <vt:i4>2774</vt:i4>
      </vt:variant>
      <vt:variant>
        <vt:i4>0</vt:i4>
      </vt:variant>
      <vt:variant>
        <vt:i4>5</vt:i4>
      </vt:variant>
      <vt:variant>
        <vt:lpwstr/>
      </vt:variant>
      <vt:variant>
        <vt:lpwstr>_Toc213772237</vt:lpwstr>
      </vt:variant>
      <vt:variant>
        <vt:i4>1048628</vt:i4>
      </vt:variant>
      <vt:variant>
        <vt:i4>2768</vt:i4>
      </vt:variant>
      <vt:variant>
        <vt:i4>0</vt:i4>
      </vt:variant>
      <vt:variant>
        <vt:i4>5</vt:i4>
      </vt:variant>
      <vt:variant>
        <vt:lpwstr/>
      </vt:variant>
      <vt:variant>
        <vt:lpwstr>_Toc213772236</vt:lpwstr>
      </vt:variant>
      <vt:variant>
        <vt:i4>1048628</vt:i4>
      </vt:variant>
      <vt:variant>
        <vt:i4>2762</vt:i4>
      </vt:variant>
      <vt:variant>
        <vt:i4>0</vt:i4>
      </vt:variant>
      <vt:variant>
        <vt:i4>5</vt:i4>
      </vt:variant>
      <vt:variant>
        <vt:lpwstr/>
      </vt:variant>
      <vt:variant>
        <vt:lpwstr>_Toc213772235</vt:lpwstr>
      </vt:variant>
      <vt:variant>
        <vt:i4>1048628</vt:i4>
      </vt:variant>
      <vt:variant>
        <vt:i4>2756</vt:i4>
      </vt:variant>
      <vt:variant>
        <vt:i4>0</vt:i4>
      </vt:variant>
      <vt:variant>
        <vt:i4>5</vt:i4>
      </vt:variant>
      <vt:variant>
        <vt:lpwstr/>
      </vt:variant>
      <vt:variant>
        <vt:lpwstr>_Toc213772234</vt:lpwstr>
      </vt:variant>
      <vt:variant>
        <vt:i4>1048628</vt:i4>
      </vt:variant>
      <vt:variant>
        <vt:i4>2750</vt:i4>
      </vt:variant>
      <vt:variant>
        <vt:i4>0</vt:i4>
      </vt:variant>
      <vt:variant>
        <vt:i4>5</vt:i4>
      </vt:variant>
      <vt:variant>
        <vt:lpwstr/>
      </vt:variant>
      <vt:variant>
        <vt:lpwstr>_Toc213772233</vt:lpwstr>
      </vt:variant>
      <vt:variant>
        <vt:i4>1048628</vt:i4>
      </vt:variant>
      <vt:variant>
        <vt:i4>2744</vt:i4>
      </vt:variant>
      <vt:variant>
        <vt:i4>0</vt:i4>
      </vt:variant>
      <vt:variant>
        <vt:i4>5</vt:i4>
      </vt:variant>
      <vt:variant>
        <vt:lpwstr/>
      </vt:variant>
      <vt:variant>
        <vt:lpwstr>_Toc213772232</vt:lpwstr>
      </vt:variant>
      <vt:variant>
        <vt:i4>1048628</vt:i4>
      </vt:variant>
      <vt:variant>
        <vt:i4>2738</vt:i4>
      </vt:variant>
      <vt:variant>
        <vt:i4>0</vt:i4>
      </vt:variant>
      <vt:variant>
        <vt:i4>5</vt:i4>
      </vt:variant>
      <vt:variant>
        <vt:lpwstr/>
      </vt:variant>
      <vt:variant>
        <vt:lpwstr>_Toc213772231</vt:lpwstr>
      </vt:variant>
      <vt:variant>
        <vt:i4>1048628</vt:i4>
      </vt:variant>
      <vt:variant>
        <vt:i4>2732</vt:i4>
      </vt:variant>
      <vt:variant>
        <vt:i4>0</vt:i4>
      </vt:variant>
      <vt:variant>
        <vt:i4>5</vt:i4>
      </vt:variant>
      <vt:variant>
        <vt:lpwstr/>
      </vt:variant>
      <vt:variant>
        <vt:lpwstr>_Toc213772230</vt:lpwstr>
      </vt:variant>
      <vt:variant>
        <vt:i4>1114164</vt:i4>
      </vt:variant>
      <vt:variant>
        <vt:i4>2726</vt:i4>
      </vt:variant>
      <vt:variant>
        <vt:i4>0</vt:i4>
      </vt:variant>
      <vt:variant>
        <vt:i4>5</vt:i4>
      </vt:variant>
      <vt:variant>
        <vt:lpwstr/>
      </vt:variant>
      <vt:variant>
        <vt:lpwstr>_Toc213772229</vt:lpwstr>
      </vt:variant>
      <vt:variant>
        <vt:i4>1114164</vt:i4>
      </vt:variant>
      <vt:variant>
        <vt:i4>2720</vt:i4>
      </vt:variant>
      <vt:variant>
        <vt:i4>0</vt:i4>
      </vt:variant>
      <vt:variant>
        <vt:i4>5</vt:i4>
      </vt:variant>
      <vt:variant>
        <vt:lpwstr/>
      </vt:variant>
      <vt:variant>
        <vt:lpwstr>_Toc213772228</vt:lpwstr>
      </vt:variant>
      <vt:variant>
        <vt:i4>1114164</vt:i4>
      </vt:variant>
      <vt:variant>
        <vt:i4>2714</vt:i4>
      </vt:variant>
      <vt:variant>
        <vt:i4>0</vt:i4>
      </vt:variant>
      <vt:variant>
        <vt:i4>5</vt:i4>
      </vt:variant>
      <vt:variant>
        <vt:lpwstr/>
      </vt:variant>
      <vt:variant>
        <vt:lpwstr>_Toc213772227</vt:lpwstr>
      </vt:variant>
      <vt:variant>
        <vt:i4>1114164</vt:i4>
      </vt:variant>
      <vt:variant>
        <vt:i4>2708</vt:i4>
      </vt:variant>
      <vt:variant>
        <vt:i4>0</vt:i4>
      </vt:variant>
      <vt:variant>
        <vt:i4>5</vt:i4>
      </vt:variant>
      <vt:variant>
        <vt:lpwstr/>
      </vt:variant>
      <vt:variant>
        <vt:lpwstr>_Toc213772226</vt:lpwstr>
      </vt:variant>
      <vt:variant>
        <vt:i4>1114164</vt:i4>
      </vt:variant>
      <vt:variant>
        <vt:i4>2702</vt:i4>
      </vt:variant>
      <vt:variant>
        <vt:i4>0</vt:i4>
      </vt:variant>
      <vt:variant>
        <vt:i4>5</vt:i4>
      </vt:variant>
      <vt:variant>
        <vt:lpwstr/>
      </vt:variant>
      <vt:variant>
        <vt:lpwstr>_Toc213772225</vt:lpwstr>
      </vt:variant>
      <vt:variant>
        <vt:i4>1114164</vt:i4>
      </vt:variant>
      <vt:variant>
        <vt:i4>2696</vt:i4>
      </vt:variant>
      <vt:variant>
        <vt:i4>0</vt:i4>
      </vt:variant>
      <vt:variant>
        <vt:i4>5</vt:i4>
      </vt:variant>
      <vt:variant>
        <vt:lpwstr/>
      </vt:variant>
      <vt:variant>
        <vt:lpwstr>_Toc213772224</vt:lpwstr>
      </vt:variant>
      <vt:variant>
        <vt:i4>1114164</vt:i4>
      </vt:variant>
      <vt:variant>
        <vt:i4>2690</vt:i4>
      </vt:variant>
      <vt:variant>
        <vt:i4>0</vt:i4>
      </vt:variant>
      <vt:variant>
        <vt:i4>5</vt:i4>
      </vt:variant>
      <vt:variant>
        <vt:lpwstr/>
      </vt:variant>
      <vt:variant>
        <vt:lpwstr>_Toc213772223</vt:lpwstr>
      </vt:variant>
      <vt:variant>
        <vt:i4>1114164</vt:i4>
      </vt:variant>
      <vt:variant>
        <vt:i4>2684</vt:i4>
      </vt:variant>
      <vt:variant>
        <vt:i4>0</vt:i4>
      </vt:variant>
      <vt:variant>
        <vt:i4>5</vt:i4>
      </vt:variant>
      <vt:variant>
        <vt:lpwstr/>
      </vt:variant>
      <vt:variant>
        <vt:lpwstr>_Toc213772222</vt:lpwstr>
      </vt:variant>
      <vt:variant>
        <vt:i4>1114164</vt:i4>
      </vt:variant>
      <vt:variant>
        <vt:i4>2678</vt:i4>
      </vt:variant>
      <vt:variant>
        <vt:i4>0</vt:i4>
      </vt:variant>
      <vt:variant>
        <vt:i4>5</vt:i4>
      </vt:variant>
      <vt:variant>
        <vt:lpwstr/>
      </vt:variant>
      <vt:variant>
        <vt:lpwstr>_Toc213772221</vt:lpwstr>
      </vt:variant>
      <vt:variant>
        <vt:i4>1114164</vt:i4>
      </vt:variant>
      <vt:variant>
        <vt:i4>2672</vt:i4>
      </vt:variant>
      <vt:variant>
        <vt:i4>0</vt:i4>
      </vt:variant>
      <vt:variant>
        <vt:i4>5</vt:i4>
      </vt:variant>
      <vt:variant>
        <vt:lpwstr/>
      </vt:variant>
      <vt:variant>
        <vt:lpwstr>_Toc213772220</vt:lpwstr>
      </vt:variant>
      <vt:variant>
        <vt:i4>1179700</vt:i4>
      </vt:variant>
      <vt:variant>
        <vt:i4>2666</vt:i4>
      </vt:variant>
      <vt:variant>
        <vt:i4>0</vt:i4>
      </vt:variant>
      <vt:variant>
        <vt:i4>5</vt:i4>
      </vt:variant>
      <vt:variant>
        <vt:lpwstr/>
      </vt:variant>
      <vt:variant>
        <vt:lpwstr>_Toc213772219</vt:lpwstr>
      </vt:variant>
      <vt:variant>
        <vt:i4>1179700</vt:i4>
      </vt:variant>
      <vt:variant>
        <vt:i4>2660</vt:i4>
      </vt:variant>
      <vt:variant>
        <vt:i4>0</vt:i4>
      </vt:variant>
      <vt:variant>
        <vt:i4>5</vt:i4>
      </vt:variant>
      <vt:variant>
        <vt:lpwstr/>
      </vt:variant>
      <vt:variant>
        <vt:lpwstr>_Toc213772218</vt:lpwstr>
      </vt:variant>
      <vt:variant>
        <vt:i4>1179700</vt:i4>
      </vt:variant>
      <vt:variant>
        <vt:i4>2654</vt:i4>
      </vt:variant>
      <vt:variant>
        <vt:i4>0</vt:i4>
      </vt:variant>
      <vt:variant>
        <vt:i4>5</vt:i4>
      </vt:variant>
      <vt:variant>
        <vt:lpwstr/>
      </vt:variant>
      <vt:variant>
        <vt:lpwstr>_Toc213772217</vt:lpwstr>
      </vt:variant>
      <vt:variant>
        <vt:i4>1179700</vt:i4>
      </vt:variant>
      <vt:variant>
        <vt:i4>2648</vt:i4>
      </vt:variant>
      <vt:variant>
        <vt:i4>0</vt:i4>
      </vt:variant>
      <vt:variant>
        <vt:i4>5</vt:i4>
      </vt:variant>
      <vt:variant>
        <vt:lpwstr/>
      </vt:variant>
      <vt:variant>
        <vt:lpwstr>_Toc213772216</vt:lpwstr>
      </vt:variant>
      <vt:variant>
        <vt:i4>1179700</vt:i4>
      </vt:variant>
      <vt:variant>
        <vt:i4>2642</vt:i4>
      </vt:variant>
      <vt:variant>
        <vt:i4>0</vt:i4>
      </vt:variant>
      <vt:variant>
        <vt:i4>5</vt:i4>
      </vt:variant>
      <vt:variant>
        <vt:lpwstr/>
      </vt:variant>
      <vt:variant>
        <vt:lpwstr>_Toc213772215</vt:lpwstr>
      </vt:variant>
      <vt:variant>
        <vt:i4>1179700</vt:i4>
      </vt:variant>
      <vt:variant>
        <vt:i4>2636</vt:i4>
      </vt:variant>
      <vt:variant>
        <vt:i4>0</vt:i4>
      </vt:variant>
      <vt:variant>
        <vt:i4>5</vt:i4>
      </vt:variant>
      <vt:variant>
        <vt:lpwstr/>
      </vt:variant>
      <vt:variant>
        <vt:lpwstr>_Toc213772214</vt:lpwstr>
      </vt:variant>
      <vt:variant>
        <vt:i4>1179700</vt:i4>
      </vt:variant>
      <vt:variant>
        <vt:i4>2630</vt:i4>
      </vt:variant>
      <vt:variant>
        <vt:i4>0</vt:i4>
      </vt:variant>
      <vt:variant>
        <vt:i4>5</vt:i4>
      </vt:variant>
      <vt:variant>
        <vt:lpwstr/>
      </vt:variant>
      <vt:variant>
        <vt:lpwstr>_Toc213772213</vt:lpwstr>
      </vt:variant>
      <vt:variant>
        <vt:i4>1179700</vt:i4>
      </vt:variant>
      <vt:variant>
        <vt:i4>2624</vt:i4>
      </vt:variant>
      <vt:variant>
        <vt:i4>0</vt:i4>
      </vt:variant>
      <vt:variant>
        <vt:i4>5</vt:i4>
      </vt:variant>
      <vt:variant>
        <vt:lpwstr/>
      </vt:variant>
      <vt:variant>
        <vt:lpwstr>_Toc213772212</vt:lpwstr>
      </vt:variant>
      <vt:variant>
        <vt:i4>1179700</vt:i4>
      </vt:variant>
      <vt:variant>
        <vt:i4>2618</vt:i4>
      </vt:variant>
      <vt:variant>
        <vt:i4>0</vt:i4>
      </vt:variant>
      <vt:variant>
        <vt:i4>5</vt:i4>
      </vt:variant>
      <vt:variant>
        <vt:lpwstr/>
      </vt:variant>
      <vt:variant>
        <vt:lpwstr>_Toc213772211</vt:lpwstr>
      </vt:variant>
      <vt:variant>
        <vt:i4>1179700</vt:i4>
      </vt:variant>
      <vt:variant>
        <vt:i4>2612</vt:i4>
      </vt:variant>
      <vt:variant>
        <vt:i4>0</vt:i4>
      </vt:variant>
      <vt:variant>
        <vt:i4>5</vt:i4>
      </vt:variant>
      <vt:variant>
        <vt:lpwstr/>
      </vt:variant>
      <vt:variant>
        <vt:lpwstr>_Toc213772210</vt:lpwstr>
      </vt:variant>
      <vt:variant>
        <vt:i4>1245236</vt:i4>
      </vt:variant>
      <vt:variant>
        <vt:i4>2606</vt:i4>
      </vt:variant>
      <vt:variant>
        <vt:i4>0</vt:i4>
      </vt:variant>
      <vt:variant>
        <vt:i4>5</vt:i4>
      </vt:variant>
      <vt:variant>
        <vt:lpwstr/>
      </vt:variant>
      <vt:variant>
        <vt:lpwstr>_Toc213772209</vt:lpwstr>
      </vt:variant>
      <vt:variant>
        <vt:i4>1245236</vt:i4>
      </vt:variant>
      <vt:variant>
        <vt:i4>2600</vt:i4>
      </vt:variant>
      <vt:variant>
        <vt:i4>0</vt:i4>
      </vt:variant>
      <vt:variant>
        <vt:i4>5</vt:i4>
      </vt:variant>
      <vt:variant>
        <vt:lpwstr/>
      </vt:variant>
      <vt:variant>
        <vt:lpwstr>_Toc213772208</vt:lpwstr>
      </vt:variant>
      <vt:variant>
        <vt:i4>1245236</vt:i4>
      </vt:variant>
      <vt:variant>
        <vt:i4>2594</vt:i4>
      </vt:variant>
      <vt:variant>
        <vt:i4>0</vt:i4>
      </vt:variant>
      <vt:variant>
        <vt:i4>5</vt:i4>
      </vt:variant>
      <vt:variant>
        <vt:lpwstr/>
      </vt:variant>
      <vt:variant>
        <vt:lpwstr>_Toc213772207</vt:lpwstr>
      </vt:variant>
      <vt:variant>
        <vt:i4>1245236</vt:i4>
      </vt:variant>
      <vt:variant>
        <vt:i4>2588</vt:i4>
      </vt:variant>
      <vt:variant>
        <vt:i4>0</vt:i4>
      </vt:variant>
      <vt:variant>
        <vt:i4>5</vt:i4>
      </vt:variant>
      <vt:variant>
        <vt:lpwstr/>
      </vt:variant>
      <vt:variant>
        <vt:lpwstr>_Toc213772206</vt:lpwstr>
      </vt:variant>
      <vt:variant>
        <vt:i4>1245236</vt:i4>
      </vt:variant>
      <vt:variant>
        <vt:i4>2582</vt:i4>
      </vt:variant>
      <vt:variant>
        <vt:i4>0</vt:i4>
      </vt:variant>
      <vt:variant>
        <vt:i4>5</vt:i4>
      </vt:variant>
      <vt:variant>
        <vt:lpwstr/>
      </vt:variant>
      <vt:variant>
        <vt:lpwstr>_Toc213772205</vt:lpwstr>
      </vt:variant>
      <vt:variant>
        <vt:i4>1245236</vt:i4>
      </vt:variant>
      <vt:variant>
        <vt:i4>2576</vt:i4>
      </vt:variant>
      <vt:variant>
        <vt:i4>0</vt:i4>
      </vt:variant>
      <vt:variant>
        <vt:i4>5</vt:i4>
      </vt:variant>
      <vt:variant>
        <vt:lpwstr/>
      </vt:variant>
      <vt:variant>
        <vt:lpwstr>_Toc213772204</vt:lpwstr>
      </vt:variant>
      <vt:variant>
        <vt:i4>1245236</vt:i4>
      </vt:variant>
      <vt:variant>
        <vt:i4>2570</vt:i4>
      </vt:variant>
      <vt:variant>
        <vt:i4>0</vt:i4>
      </vt:variant>
      <vt:variant>
        <vt:i4>5</vt:i4>
      </vt:variant>
      <vt:variant>
        <vt:lpwstr/>
      </vt:variant>
      <vt:variant>
        <vt:lpwstr>_Toc213772203</vt:lpwstr>
      </vt:variant>
      <vt:variant>
        <vt:i4>1245236</vt:i4>
      </vt:variant>
      <vt:variant>
        <vt:i4>2564</vt:i4>
      </vt:variant>
      <vt:variant>
        <vt:i4>0</vt:i4>
      </vt:variant>
      <vt:variant>
        <vt:i4>5</vt:i4>
      </vt:variant>
      <vt:variant>
        <vt:lpwstr/>
      </vt:variant>
      <vt:variant>
        <vt:lpwstr>_Toc213772202</vt:lpwstr>
      </vt:variant>
      <vt:variant>
        <vt:i4>1245236</vt:i4>
      </vt:variant>
      <vt:variant>
        <vt:i4>2558</vt:i4>
      </vt:variant>
      <vt:variant>
        <vt:i4>0</vt:i4>
      </vt:variant>
      <vt:variant>
        <vt:i4>5</vt:i4>
      </vt:variant>
      <vt:variant>
        <vt:lpwstr/>
      </vt:variant>
      <vt:variant>
        <vt:lpwstr>_Toc213772201</vt:lpwstr>
      </vt:variant>
      <vt:variant>
        <vt:i4>1245236</vt:i4>
      </vt:variant>
      <vt:variant>
        <vt:i4>2552</vt:i4>
      </vt:variant>
      <vt:variant>
        <vt:i4>0</vt:i4>
      </vt:variant>
      <vt:variant>
        <vt:i4>5</vt:i4>
      </vt:variant>
      <vt:variant>
        <vt:lpwstr/>
      </vt:variant>
      <vt:variant>
        <vt:lpwstr>_Toc213772200</vt:lpwstr>
      </vt:variant>
      <vt:variant>
        <vt:i4>1703991</vt:i4>
      </vt:variant>
      <vt:variant>
        <vt:i4>2546</vt:i4>
      </vt:variant>
      <vt:variant>
        <vt:i4>0</vt:i4>
      </vt:variant>
      <vt:variant>
        <vt:i4>5</vt:i4>
      </vt:variant>
      <vt:variant>
        <vt:lpwstr/>
      </vt:variant>
      <vt:variant>
        <vt:lpwstr>_Toc213772199</vt:lpwstr>
      </vt:variant>
      <vt:variant>
        <vt:i4>1703991</vt:i4>
      </vt:variant>
      <vt:variant>
        <vt:i4>2540</vt:i4>
      </vt:variant>
      <vt:variant>
        <vt:i4>0</vt:i4>
      </vt:variant>
      <vt:variant>
        <vt:i4>5</vt:i4>
      </vt:variant>
      <vt:variant>
        <vt:lpwstr/>
      </vt:variant>
      <vt:variant>
        <vt:lpwstr>_Toc213772198</vt:lpwstr>
      </vt:variant>
      <vt:variant>
        <vt:i4>1703991</vt:i4>
      </vt:variant>
      <vt:variant>
        <vt:i4>2534</vt:i4>
      </vt:variant>
      <vt:variant>
        <vt:i4>0</vt:i4>
      </vt:variant>
      <vt:variant>
        <vt:i4>5</vt:i4>
      </vt:variant>
      <vt:variant>
        <vt:lpwstr/>
      </vt:variant>
      <vt:variant>
        <vt:lpwstr>_Toc213772197</vt:lpwstr>
      </vt:variant>
      <vt:variant>
        <vt:i4>1703991</vt:i4>
      </vt:variant>
      <vt:variant>
        <vt:i4>2528</vt:i4>
      </vt:variant>
      <vt:variant>
        <vt:i4>0</vt:i4>
      </vt:variant>
      <vt:variant>
        <vt:i4>5</vt:i4>
      </vt:variant>
      <vt:variant>
        <vt:lpwstr/>
      </vt:variant>
      <vt:variant>
        <vt:lpwstr>_Toc213772196</vt:lpwstr>
      </vt:variant>
      <vt:variant>
        <vt:i4>1703991</vt:i4>
      </vt:variant>
      <vt:variant>
        <vt:i4>2522</vt:i4>
      </vt:variant>
      <vt:variant>
        <vt:i4>0</vt:i4>
      </vt:variant>
      <vt:variant>
        <vt:i4>5</vt:i4>
      </vt:variant>
      <vt:variant>
        <vt:lpwstr/>
      </vt:variant>
      <vt:variant>
        <vt:lpwstr>_Toc213772195</vt:lpwstr>
      </vt:variant>
      <vt:variant>
        <vt:i4>1703991</vt:i4>
      </vt:variant>
      <vt:variant>
        <vt:i4>2516</vt:i4>
      </vt:variant>
      <vt:variant>
        <vt:i4>0</vt:i4>
      </vt:variant>
      <vt:variant>
        <vt:i4>5</vt:i4>
      </vt:variant>
      <vt:variant>
        <vt:lpwstr/>
      </vt:variant>
      <vt:variant>
        <vt:lpwstr>_Toc213772194</vt:lpwstr>
      </vt:variant>
      <vt:variant>
        <vt:i4>1703991</vt:i4>
      </vt:variant>
      <vt:variant>
        <vt:i4>2510</vt:i4>
      </vt:variant>
      <vt:variant>
        <vt:i4>0</vt:i4>
      </vt:variant>
      <vt:variant>
        <vt:i4>5</vt:i4>
      </vt:variant>
      <vt:variant>
        <vt:lpwstr/>
      </vt:variant>
      <vt:variant>
        <vt:lpwstr>_Toc213772193</vt:lpwstr>
      </vt:variant>
      <vt:variant>
        <vt:i4>1703991</vt:i4>
      </vt:variant>
      <vt:variant>
        <vt:i4>2504</vt:i4>
      </vt:variant>
      <vt:variant>
        <vt:i4>0</vt:i4>
      </vt:variant>
      <vt:variant>
        <vt:i4>5</vt:i4>
      </vt:variant>
      <vt:variant>
        <vt:lpwstr/>
      </vt:variant>
      <vt:variant>
        <vt:lpwstr>_Toc213772192</vt:lpwstr>
      </vt:variant>
      <vt:variant>
        <vt:i4>1703991</vt:i4>
      </vt:variant>
      <vt:variant>
        <vt:i4>2498</vt:i4>
      </vt:variant>
      <vt:variant>
        <vt:i4>0</vt:i4>
      </vt:variant>
      <vt:variant>
        <vt:i4>5</vt:i4>
      </vt:variant>
      <vt:variant>
        <vt:lpwstr/>
      </vt:variant>
      <vt:variant>
        <vt:lpwstr>_Toc213772191</vt:lpwstr>
      </vt:variant>
      <vt:variant>
        <vt:i4>1703991</vt:i4>
      </vt:variant>
      <vt:variant>
        <vt:i4>2492</vt:i4>
      </vt:variant>
      <vt:variant>
        <vt:i4>0</vt:i4>
      </vt:variant>
      <vt:variant>
        <vt:i4>5</vt:i4>
      </vt:variant>
      <vt:variant>
        <vt:lpwstr/>
      </vt:variant>
      <vt:variant>
        <vt:lpwstr>_Toc213772190</vt:lpwstr>
      </vt:variant>
      <vt:variant>
        <vt:i4>1769527</vt:i4>
      </vt:variant>
      <vt:variant>
        <vt:i4>2486</vt:i4>
      </vt:variant>
      <vt:variant>
        <vt:i4>0</vt:i4>
      </vt:variant>
      <vt:variant>
        <vt:i4>5</vt:i4>
      </vt:variant>
      <vt:variant>
        <vt:lpwstr/>
      </vt:variant>
      <vt:variant>
        <vt:lpwstr>_Toc213772189</vt:lpwstr>
      </vt:variant>
      <vt:variant>
        <vt:i4>1769527</vt:i4>
      </vt:variant>
      <vt:variant>
        <vt:i4>2480</vt:i4>
      </vt:variant>
      <vt:variant>
        <vt:i4>0</vt:i4>
      </vt:variant>
      <vt:variant>
        <vt:i4>5</vt:i4>
      </vt:variant>
      <vt:variant>
        <vt:lpwstr/>
      </vt:variant>
      <vt:variant>
        <vt:lpwstr>_Toc213772188</vt:lpwstr>
      </vt:variant>
      <vt:variant>
        <vt:i4>1769527</vt:i4>
      </vt:variant>
      <vt:variant>
        <vt:i4>2474</vt:i4>
      </vt:variant>
      <vt:variant>
        <vt:i4>0</vt:i4>
      </vt:variant>
      <vt:variant>
        <vt:i4>5</vt:i4>
      </vt:variant>
      <vt:variant>
        <vt:lpwstr/>
      </vt:variant>
      <vt:variant>
        <vt:lpwstr>_Toc213772187</vt:lpwstr>
      </vt:variant>
      <vt:variant>
        <vt:i4>1769527</vt:i4>
      </vt:variant>
      <vt:variant>
        <vt:i4>2468</vt:i4>
      </vt:variant>
      <vt:variant>
        <vt:i4>0</vt:i4>
      </vt:variant>
      <vt:variant>
        <vt:i4>5</vt:i4>
      </vt:variant>
      <vt:variant>
        <vt:lpwstr/>
      </vt:variant>
      <vt:variant>
        <vt:lpwstr>_Toc213772186</vt:lpwstr>
      </vt:variant>
      <vt:variant>
        <vt:i4>1769527</vt:i4>
      </vt:variant>
      <vt:variant>
        <vt:i4>2462</vt:i4>
      </vt:variant>
      <vt:variant>
        <vt:i4>0</vt:i4>
      </vt:variant>
      <vt:variant>
        <vt:i4>5</vt:i4>
      </vt:variant>
      <vt:variant>
        <vt:lpwstr/>
      </vt:variant>
      <vt:variant>
        <vt:lpwstr>_Toc213772185</vt:lpwstr>
      </vt:variant>
      <vt:variant>
        <vt:i4>1769527</vt:i4>
      </vt:variant>
      <vt:variant>
        <vt:i4>2456</vt:i4>
      </vt:variant>
      <vt:variant>
        <vt:i4>0</vt:i4>
      </vt:variant>
      <vt:variant>
        <vt:i4>5</vt:i4>
      </vt:variant>
      <vt:variant>
        <vt:lpwstr/>
      </vt:variant>
      <vt:variant>
        <vt:lpwstr>_Toc213772184</vt:lpwstr>
      </vt:variant>
      <vt:variant>
        <vt:i4>1769527</vt:i4>
      </vt:variant>
      <vt:variant>
        <vt:i4>2450</vt:i4>
      </vt:variant>
      <vt:variant>
        <vt:i4>0</vt:i4>
      </vt:variant>
      <vt:variant>
        <vt:i4>5</vt:i4>
      </vt:variant>
      <vt:variant>
        <vt:lpwstr/>
      </vt:variant>
      <vt:variant>
        <vt:lpwstr>_Toc213772183</vt:lpwstr>
      </vt:variant>
      <vt:variant>
        <vt:i4>1769527</vt:i4>
      </vt:variant>
      <vt:variant>
        <vt:i4>2444</vt:i4>
      </vt:variant>
      <vt:variant>
        <vt:i4>0</vt:i4>
      </vt:variant>
      <vt:variant>
        <vt:i4>5</vt:i4>
      </vt:variant>
      <vt:variant>
        <vt:lpwstr/>
      </vt:variant>
      <vt:variant>
        <vt:lpwstr>_Toc213772182</vt:lpwstr>
      </vt:variant>
      <vt:variant>
        <vt:i4>1769527</vt:i4>
      </vt:variant>
      <vt:variant>
        <vt:i4>2438</vt:i4>
      </vt:variant>
      <vt:variant>
        <vt:i4>0</vt:i4>
      </vt:variant>
      <vt:variant>
        <vt:i4>5</vt:i4>
      </vt:variant>
      <vt:variant>
        <vt:lpwstr/>
      </vt:variant>
      <vt:variant>
        <vt:lpwstr>_Toc213772181</vt:lpwstr>
      </vt:variant>
      <vt:variant>
        <vt:i4>1769527</vt:i4>
      </vt:variant>
      <vt:variant>
        <vt:i4>2432</vt:i4>
      </vt:variant>
      <vt:variant>
        <vt:i4>0</vt:i4>
      </vt:variant>
      <vt:variant>
        <vt:i4>5</vt:i4>
      </vt:variant>
      <vt:variant>
        <vt:lpwstr/>
      </vt:variant>
      <vt:variant>
        <vt:lpwstr>_Toc213772180</vt:lpwstr>
      </vt:variant>
      <vt:variant>
        <vt:i4>1310775</vt:i4>
      </vt:variant>
      <vt:variant>
        <vt:i4>2426</vt:i4>
      </vt:variant>
      <vt:variant>
        <vt:i4>0</vt:i4>
      </vt:variant>
      <vt:variant>
        <vt:i4>5</vt:i4>
      </vt:variant>
      <vt:variant>
        <vt:lpwstr/>
      </vt:variant>
      <vt:variant>
        <vt:lpwstr>_Toc213772179</vt:lpwstr>
      </vt:variant>
      <vt:variant>
        <vt:i4>1310775</vt:i4>
      </vt:variant>
      <vt:variant>
        <vt:i4>2420</vt:i4>
      </vt:variant>
      <vt:variant>
        <vt:i4>0</vt:i4>
      </vt:variant>
      <vt:variant>
        <vt:i4>5</vt:i4>
      </vt:variant>
      <vt:variant>
        <vt:lpwstr/>
      </vt:variant>
      <vt:variant>
        <vt:lpwstr>_Toc213772178</vt:lpwstr>
      </vt:variant>
      <vt:variant>
        <vt:i4>1310775</vt:i4>
      </vt:variant>
      <vt:variant>
        <vt:i4>2414</vt:i4>
      </vt:variant>
      <vt:variant>
        <vt:i4>0</vt:i4>
      </vt:variant>
      <vt:variant>
        <vt:i4>5</vt:i4>
      </vt:variant>
      <vt:variant>
        <vt:lpwstr/>
      </vt:variant>
      <vt:variant>
        <vt:lpwstr>_Toc213772177</vt:lpwstr>
      </vt:variant>
      <vt:variant>
        <vt:i4>1310775</vt:i4>
      </vt:variant>
      <vt:variant>
        <vt:i4>2408</vt:i4>
      </vt:variant>
      <vt:variant>
        <vt:i4>0</vt:i4>
      </vt:variant>
      <vt:variant>
        <vt:i4>5</vt:i4>
      </vt:variant>
      <vt:variant>
        <vt:lpwstr/>
      </vt:variant>
      <vt:variant>
        <vt:lpwstr>_Toc213772176</vt:lpwstr>
      </vt:variant>
      <vt:variant>
        <vt:i4>1310775</vt:i4>
      </vt:variant>
      <vt:variant>
        <vt:i4>2402</vt:i4>
      </vt:variant>
      <vt:variant>
        <vt:i4>0</vt:i4>
      </vt:variant>
      <vt:variant>
        <vt:i4>5</vt:i4>
      </vt:variant>
      <vt:variant>
        <vt:lpwstr/>
      </vt:variant>
      <vt:variant>
        <vt:lpwstr>_Toc213772175</vt:lpwstr>
      </vt:variant>
      <vt:variant>
        <vt:i4>1310775</vt:i4>
      </vt:variant>
      <vt:variant>
        <vt:i4>2396</vt:i4>
      </vt:variant>
      <vt:variant>
        <vt:i4>0</vt:i4>
      </vt:variant>
      <vt:variant>
        <vt:i4>5</vt:i4>
      </vt:variant>
      <vt:variant>
        <vt:lpwstr/>
      </vt:variant>
      <vt:variant>
        <vt:lpwstr>_Toc213772174</vt:lpwstr>
      </vt:variant>
      <vt:variant>
        <vt:i4>1310775</vt:i4>
      </vt:variant>
      <vt:variant>
        <vt:i4>2390</vt:i4>
      </vt:variant>
      <vt:variant>
        <vt:i4>0</vt:i4>
      </vt:variant>
      <vt:variant>
        <vt:i4>5</vt:i4>
      </vt:variant>
      <vt:variant>
        <vt:lpwstr/>
      </vt:variant>
      <vt:variant>
        <vt:lpwstr>_Toc213772173</vt:lpwstr>
      </vt:variant>
      <vt:variant>
        <vt:i4>1310775</vt:i4>
      </vt:variant>
      <vt:variant>
        <vt:i4>2384</vt:i4>
      </vt:variant>
      <vt:variant>
        <vt:i4>0</vt:i4>
      </vt:variant>
      <vt:variant>
        <vt:i4>5</vt:i4>
      </vt:variant>
      <vt:variant>
        <vt:lpwstr/>
      </vt:variant>
      <vt:variant>
        <vt:lpwstr>_Toc213772172</vt:lpwstr>
      </vt:variant>
      <vt:variant>
        <vt:i4>1310775</vt:i4>
      </vt:variant>
      <vt:variant>
        <vt:i4>2378</vt:i4>
      </vt:variant>
      <vt:variant>
        <vt:i4>0</vt:i4>
      </vt:variant>
      <vt:variant>
        <vt:i4>5</vt:i4>
      </vt:variant>
      <vt:variant>
        <vt:lpwstr/>
      </vt:variant>
      <vt:variant>
        <vt:lpwstr>_Toc213772171</vt:lpwstr>
      </vt:variant>
      <vt:variant>
        <vt:i4>1310775</vt:i4>
      </vt:variant>
      <vt:variant>
        <vt:i4>2372</vt:i4>
      </vt:variant>
      <vt:variant>
        <vt:i4>0</vt:i4>
      </vt:variant>
      <vt:variant>
        <vt:i4>5</vt:i4>
      </vt:variant>
      <vt:variant>
        <vt:lpwstr/>
      </vt:variant>
      <vt:variant>
        <vt:lpwstr>_Toc213772170</vt:lpwstr>
      </vt:variant>
      <vt:variant>
        <vt:i4>1376311</vt:i4>
      </vt:variant>
      <vt:variant>
        <vt:i4>2366</vt:i4>
      </vt:variant>
      <vt:variant>
        <vt:i4>0</vt:i4>
      </vt:variant>
      <vt:variant>
        <vt:i4>5</vt:i4>
      </vt:variant>
      <vt:variant>
        <vt:lpwstr/>
      </vt:variant>
      <vt:variant>
        <vt:lpwstr>_Toc213772169</vt:lpwstr>
      </vt:variant>
      <vt:variant>
        <vt:i4>1376311</vt:i4>
      </vt:variant>
      <vt:variant>
        <vt:i4>2360</vt:i4>
      </vt:variant>
      <vt:variant>
        <vt:i4>0</vt:i4>
      </vt:variant>
      <vt:variant>
        <vt:i4>5</vt:i4>
      </vt:variant>
      <vt:variant>
        <vt:lpwstr/>
      </vt:variant>
      <vt:variant>
        <vt:lpwstr>_Toc213772168</vt:lpwstr>
      </vt:variant>
      <vt:variant>
        <vt:i4>1376311</vt:i4>
      </vt:variant>
      <vt:variant>
        <vt:i4>2354</vt:i4>
      </vt:variant>
      <vt:variant>
        <vt:i4>0</vt:i4>
      </vt:variant>
      <vt:variant>
        <vt:i4>5</vt:i4>
      </vt:variant>
      <vt:variant>
        <vt:lpwstr/>
      </vt:variant>
      <vt:variant>
        <vt:lpwstr>_Toc213772167</vt:lpwstr>
      </vt:variant>
      <vt:variant>
        <vt:i4>1376311</vt:i4>
      </vt:variant>
      <vt:variant>
        <vt:i4>2348</vt:i4>
      </vt:variant>
      <vt:variant>
        <vt:i4>0</vt:i4>
      </vt:variant>
      <vt:variant>
        <vt:i4>5</vt:i4>
      </vt:variant>
      <vt:variant>
        <vt:lpwstr/>
      </vt:variant>
      <vt:variant>
        <vt:lpwstr>_Toc213772166</vt:lpwstr>
      </vt:variant>
      <vt:variant>
        <vt:i4>1376311</vt:i4>
      </vt:variant>
      <vt:variant>
        <vt:i4>2342</vt:i4>
      </vt:variant>
      <vt:variant>
        <vt:i4>0</vt:i4>
      </vt:variant>
      <vt:variant>
        <vt:i4>5</vt:i4>
      </vt:variant>
      <vt:variant>
        <vt:lpwstr/>
      </vt:variant>
      <vt:variant>
        <vt:lpwstr>_Toc213772165</vt:lpwstr>
      </vt:variant>
      <vt:variant>
        <vt:i4>1376311</vt:i4>
      </vt:variant>
      <vt:variant>
        <vt:i4>2336</vt:i4>
      </vt:variant>
      <vt:variant>
        <vt:i4>0</vt:i4>
      </vt:variant>
      <vt:variant>
        <vt:i4>5</vt:i4>
      </vt:variant>
      <vt:variant>
        <vt:lpwstr/>
      </vt:variant>
      <vt:variant>
        <vt:lpwstr>_Toc213772164</vt:lpwstr>
      </vt:variant>
      <vt:variant>
        <vt:i4>1376311</vt:i4>
      </vt:variant>
      <vt:variant>
        <vt:i4>2330</vt:i4>
      </vt:variant>
      <vt:variant>
        <vt:i4>0</vt:i4>
      </vt:variant>
      <vt:variant>
        <vt:i4>5</vt:i4>
      </vt:variant>
      <vt:variant>
        <vt:lpwstr/>
      </vt:variant>
      <vt:variant>
        <vt:lpwstr>_Toc213772162</vt:lpwstr>
      </vt:variant>
      <vt:variant>
        <vt:i4>1376311</vt:i4>
      </vt:variant>
      <vt:variant>
        <vt:i4>2324</vt:i4>
      </vt:variant>
      <vt:variant>
        <vt:i4>0</vt:i4>
      </vt:variant>
      <vt:variant>
        <vt:i4>5</vt:i4>
      </vt:variant>
      <vt:variant>
        <vt:lpwstr/>
      </vt:variant>
      <vt:variant>
        <vt:lpwstr>_Toc213772161</vt:lpwstr>
      </vt:variant>
      <vt:variant>
        <vt:i4>1376311</vt:i4>
      </vt:variant>
      <vt:variant>
        <vt:i4>2318</vt:i4>
      </vt:variant>
      <vt:variant>
        <vt:i4>0</vt:i4>
      </vt:variant>
      <vt:variant>
        <vt:i4>5</vt:i4>
      </vt:variant>
      <vt:variant>
        <vt:lpwstr/>
      </vt:variant>
      <vt:variant>
        <vt:lpwstr>_Toc213772160</vt:lpwstr>
      </vt:variant>
      <vt:variant>
        <vt:i4>1441847</vt:i4>
      </vt:variant>
      <vt:variant>
        <vt:i4>2312</vt:i4>
      </vt:variant>
      <vt:variant>
        <vt:i4>0</vt:i4>
      </vt:variant>
      <vt:variant>
        <vt:i4>5</vt:i4>
      </vt:variant>
      <vt:variant>
        <vt:lpwstr/>
      </vt:variant>
      <vt:variant>
        <vt:lpwstr>_Toc213772159</vt:lpwstr>
      </vt:variant>
      <vt:variant>
        <vt:i4>1441847</vt:i4>
      </vt:variant>
      <vt:variant>
        <vt:i4>2306</vt:i4>
      </vt:variant>
      <vt:variant>
        <vt:i4>0</vt:i4>
      </vt:variant>
      <vt:variant>
        <vt:i4>5</vt:i4>
      </vt:variant>
      <vt:variant>
        <vt:lpwstr/>
      </vt:variant>
      <vt:variant>
        <vt:lpwstr>_Toc213772158</vt:lpwstr>
      </vt:variant>
      <vt:variant>
        <vt:i4>1441847</vt:i4>
      </vt:variant>
      <vt:variant>
        <vt:i4>2300</vt:i4>
      </vt:variant>
      <vt:variant>
        <vt:i4>0</vt:i4>
      </vt:variant>
      <vt:variant>
        <vt:i4>5</vt:i4>
      </vt:variant>
      <vt:variant>
        <vt:lpwstr/>
      </vt:variant>
      <vt:variant>
        <vt:lpwstr>_Toc213772157</vt:lpwstr>
      </vt:variant>
      <vt:variant>
        <vt:i4>1441847</vt:i4>
      </vt:variant>
      <vt:variant>
        <vt:i4>2294</vt:i4>
      </vt:variant>
      <vt:variant>
        <vt:i4>0</vt:i4>
      </vt:variant>
      <vt:variant>
        <vt:i4>5</vt:i4>
      </vt:variant>
      <vt:variant>
        <vt:lpwstr/>
      </vt:variant>
      <vt:variant>
        <vt:lpwstr>_Toc213772156</vt:lpwstr>
      </vt:variant>
      <vt:variant>
        <vt:i4>1441847</vt:i4>
      </vt:variant>
      <vt:variant>
        <vt:i4>2288</vt:i4>
      </vt:variant>
      <vt:variant>
        <vt:i4>0</vt:i4>
      </vt:variant>
      <vt:variant>
        <vt:i4>5</vt:i4>
      </vt:variant>
      <vt:variant>
        <vt:lpwstr/>
      </vt:variant>
      <vt:variant>
        <vt:lpwstr>_Toc213772155</vt:lpwstr>
      </vt:variant>
      <vt:variant>
        <vt:i4>1441847</vt:i4>
      </vt:variant>
      <vt:variant>
        <vt:i4>2282</vt:i4>
      </vt:variant>
      <vt:variant>
        <vt:i4>0</vt:i4>
      </vt:variant>
      <vt:variant>
        <vt:i4>5</vt:i4>
      </vt:variant>
      <vt:variant>
        <vt:lpwstr/>
      </vt:variant>
      <vt:variant>
        <vt:lpwstr>_Toc213772154</vt:lpwstr>
      </vt:variant>
      <vt:variant>
        <vt:i4>1441847</vt:i4>
      </vt:variant>
      <vt:variant>
        <vt:i4>2276</vt:i4>
      </vt:variant>
      <vt:variant>
        <vt:i4>0</vt:i4>
      </vt:variant>
      <vt:variant>
        <vt:i4>5</vt:i4>
      </vt:variant>
      <vt:variant>
        <vt:lpwstr/>
      </vt:variant>
      <vt:variant>
        <vt:lpwstr>_Toc213772153</vt:lpwstr>
      </vt:variant>
      <vt:variant>
        <vt:i4>1441847</vt:i4>
      </vt:variant>
      <vt:variant>
        <vt:i4>2270</vt:i4>
      </vt:variant>
      <vt:variant>
        <vt:i4>0</vt:i4>
      </vt:variant>
      <vt:variant>
        <vt:i4>5</vt:i4>
      </vt:variant>
      <vt:variant>
        <vt:lpwstr/>
      </vt:variant>
      <vt:variant>
        <vt:lpwstr>_Toc213772152</vt:lpwstr>
      </vt:variant>
      <vt:variant>
        <vt:i4>1441847</vt:i4>
      </vt:variant>
      <vt:variant>
        <vt:i4>2264</vt:i4>
      </vt:variant>
      <vt:variant>
        <vt:i4>0</vt:i4>
      </vt:variant>
      <vt:variant>
        <vt:i4>5</vt:i4>
      </vt:variant>
      <vt:variant>
        <vt:lpwstr/>
      </vt:variant>
      <vt:variant>
        <vt:lpwstr>_Toc213772151</vt:lpwstr>
      </vt:variant>
      <vt:variant>
        <vt:i4>1441847</vt:i4>
      </vt:variant>
      <vt:variant>
        <vt:i4>2258</vt:i4>
      </vt:variant>
      <vt:variant>
        <vt:i4>0</vt:i4>
      </vt:variant>
      <vt:variant>
        <vt:i4>5</vt:i4>
      </vt:variant>
      <vt:variant>
        <vt:lpwstr/>
      </vt:variant>
      <vt:variant>
        <vt:lpwstr>_Toc213772150</vt:lpwstr>
      </vt:variant>
      <vt:variant>
        <vt:i4>1507383</vt:i4>
      </vt:variant>
      <vt:variant>
        <vt:i4>2252</vt:i4>
      </vt:variant>
      <vt:variant>
        <vt:i4>0</vt:i4>
      </vt:variant>
      <vt:variant>
        <vt:i4>5</vt:i4>
      </vt:variant>
      <vt:variant>
        <vt:lpwstr/>
      </vt:variant>
      <vt:variant>
        <vt:lpwstr>_Toc213772149</vt:lpwstr>
      </vt:variant>
      <vt:variant>
        <vt:i4>1507383</vt:i4>
      </vt:variant>
      <vt:variant>
        <vt:i4>2246</vt:i4>
      </vt:variant>
      <vt:variant>
        <vt:i4>0</vt:i4>
      </vt:variant>
      <vt:variant>
        <vt:i4>5</vt:i4>
      </vt:variant>
      <vt:variant>
        <vt:lpwstr/>
      </vt:variant>
      <vt:variant>
        <vt:lpwstr>_Toc213772148</vt:lpwstr>
      </vt:variant>
      <vt:variant>
        <vt:i4>1507383</vt:i4>
      </vt:variant>
      <vt:variant>
        <vt:i4>2240</vt:i4>
      </vt:variant>
      <vt:variant>
        <vt:i4>0</vt:i4>
      </vt:variant>
      <vt:variant>
        <vt:i4>5</vt:i4>
      </vt:variant>
      <vt:variant>
        <vt:lpwstr/>
      </vt:variant>
      <vt:variant>
        <vt:lpwstr>_Toc213772147</vt:lpwstr>
      </vt:variant>
      <vt:variant>
        <vt:i4>1507383</vt:i4>
      </vt:variant>
      <vt:variant>
        <vt:i4>2234</vt:i4>
      </vt:variant>
      <vt:variant>
        <vt:i4>0</vt:i4>
      </vt:variant>
      <vt:variant>
        <vt:i4>5</vt:i4>
      </vt:variant>
      <vt:variant>
        <vt:lpwstr/>
      </vt:variant>
      <vt:variant>
        <vt:lpwstr>_Toc213772146</vt:lpwstr>
      </vt:variant>
      <vt:variant>
        <vt:i4>1507383</vt:i4>
      </vt:variant>
      <vt:variant>
        <vt:i4>2228</vt:i4>
      </vt:variant>
      <vt:variant>
        <vt:i4>0</vt:i4>
      </vt:variant>
      <vt:variant>
        <vt:i4>5</vt:i4>
      </vt:variant>
      <vt:variant>
        <vt:lpwstr/>
      </vt:variant>
      <vt:variant>
        <vt:lpwstr>_Toc213772145</vt:lpwstr>
      </vt:variant>
      <vt:variant>
        <vt:i4>1507383</vt:i4>
      </vt:variant>
      <vt:variant>
        <vt:i4>2222</vt:i4>
      </vt:variant>
      <vt:variant>
        <vt:i4>0</vt:i4>
      </vt:variant>
      <vt:variant>
        <vt:i4>5</vt:i4>
      </vt:variant>
      <vt:variant>
        <vt:lpwstr/>
      </vt:variant>
      <vt:variant>
        <vt:lpwstr>_Toc213772144</vt:lpwstr>
      </vt:variant>
      <vt:variant>
        <vt:i4>1507383</vt:i4>
      </vt:variant>
      <vt:variant>
        <vt:i4>2216</vt:i4>
      </vt:variant>
      <vt:variant>
        <vt:i4>0</vt:i4>
      </vt:variant>
      <vt:variant>
        <vt:i4>5</vt:i4>
      </vt:variant>
      <vt:variant>
        <vt:lpwstr/>
      </vt:variant>
      <vt:variant>
        <vt:lpwstr>_Toc213772143</vt:lpwstr>
      </vt:variant>
      <vt:variant>
        <vt:i4>1507383</vt:i4>
      </vt:variant>
      <vt:variant>
        <vt:i4>2210</vt:i4>
      </vt:variant>
      <vt:variant>
        <vt:i4>0</vt:i4>
      </vt:variant>
      <vt:variant>
        <vt:i4>5</vt:i4>
      </vt:variant>
      <vt:variant>
        <vt:lpwstr/>
      </vt:variant>
      <vt:variant>
        <vt:lpwstr>_Toc213772142</vt:lpwstr>
      </vt:variant>
      <vt:variant>
        <vt:i4>1507383</vt:i4>
      </vt:variant>
      <vt:variant>
        <vt:i4>2204</vt:i4>
      </vt:variant>
      <vt:variant>
        <vt:i4>0</vt:i4>
      </vt:variant>
      <vt:variant>
        <vt:i4>5</vt:i4>
      </vt:variant>
      <vt:variant>
        <vt:lpwstr/>
      </vt:variant>
      <vt:variant>
        <vt:lpwstr>_Toc213772141</vt:lpwstr>
      </vt:variant>
      <vt:variant>
        <vt:i4>1507383</vt:i4>
      </vt:variant>
      <vt:variant>
        <vt:i4>2198</vt:i4>
      </vt:variant>
      <vt:variant>
        <vt:i4>0</vt:i4>
      </vt:variant>
      <vt:variant>
        <vt:i4>5</vt:i4>
      </vt:variant>
      <vt:variant>
        <vt:lpwstr/>
      </vt:variant>
      <vt:variant>
        <vt:lpwstr>_Toc213772140</vt:lpwstr>
      </vt:variant>
      <vt:variant>
        <vt:i4>1048631</vt:i4>
      </vt:variant>
      <vt:variant>
        <vt:i4>2192</vt:i4>
      </vt:variant>
      <vt:variant>
        <vt:i4>0</vt:i4>
      </vt:variant>
      <vt:variant>
        <vt:i4>5</vt:i4>
      </vt:variant>
      <vt:variant>
        <vt:lpwstr/>
      </vt:variant>
      <vt:variant>
        <vt:lpwstr>_Toc213772139</vt:lpwstr>
      </vt:variant>
      <vt:variant>
        <vt:i4>1048631</vt:i4>
      </vt:variant>
      <vt:variant>
        <vt:i4>2186</vt:i4>
      </vt:variant>
      <vt:variant>
        <vt:i4>0</vt:i4>
      </vt:variant>
      <vt:variant>
        <vt:i4>5</vt:i4>
      </vt:variant>
      <vt:variant>
        <vt:lpwstr/>
      </vt:variant>
      <vt:variant>
        <vt:lpwstr>_Toc213772138</vt:lpwstr>
      </vt:variant>
      <vt:variant>
        <vt:i4>1048631</vt:i4>
      </vt:variant>
      <vt:variant>
        <vt:i4>2180</vt:i4>
      </vt:variant>
      <vt:variant>
        <vt:i4>0</vt:i4>
      </vt:variant>
      <vt:variant>
        <vt:i4>5</vt:i4>
      </vt:variant>
      <vt:variant>
        <vt:lpwstr/>
      </vt:variant>
      <vt:variant>
        <vt:lpwstr>_Toc213772137</vt:lpwstr>
      </vt:variant>
      <vt:variant>
        <vt:i4>1048631</vt:i4>
      </vt:variant>
      <vt:variant>
        <vt:i4>2174</vt:i4>
      </vt:variant>
      <vt:variant>
        <vt:i4>0</vt:i4>
      </vt:variant>
      <vt:variant>
        <vt:i4>5</vt:i4>
      </vt:variant>
      <vt:variant>
        <vt:lpwstr/>
      </vt:variant>
      <vt:variant>
        <vt:lpwstr>_Toc213772136</vt:lpwstr>
      </vt:variant>
      <vt:variant>
        <vt:i4>1048631</vt:i4>
      </vt:variant>
      <vt:variant>
        <vt:i4>2168</vt:i4>
      </vt:variant>
      <vt:variant>
        <vt:i4>0</vt:i4>
      </vt:variant>
      <vt:variant>
        <vt:i4>5</vt:i4>
      </vt:variant>
      <vt:variant>
        <vt:lpwstr/>
      </vt:variant>
      <vt:variant>
        <vt:lpwstr>_Toc213772135</vt:lpwstr>
      </vt:variant>
      <vt:variant>
        <vt:i4>1048631</vt:i4>
      </vt:variant>
      <vt:variant>
        <vt:i4>2162</vt:i4>
      </vt:variant>
      <vt:variant>
        <vt:i4>0</vt:i4>
      </vt:variant>
      <vt:variant>
        <vt:i4>5</vt:i4>
      </vt:variant>
      <vt:variant>
        <vt:lpwstr/>
      </vt:variant>
      <vt:variant>
        <vt:lpwstr>_Toc213772134</vt:lpwstr>
      </vt:variant>
      <vt:variant>
        <vt:i4>1048631</vt:i4>
      </vt:variant>
      <vt:variant>
        <vt:i4>2156</vt:i4>
      </vt:variant>
      <vt:variant>
        <vt:i4>0</vt:i4>
      </vt:variant>
      <vt:variant>
        <vt:i4>5</vt:i4>
      </vt:variant>
      <vt:variant>
        <vt:lpwstr/>
      </vt:variant>
      <vt:variant>
        <vt:lpwstr>_Toc213772133</vt:lpwstr>
      </vt:variant>
      <vt:variant>
        <vt:i4>1048631</vt:i4>
      </vt:variant>
      <vt:variant>
        <vt:i4>2150</vt:i4>
      </vt:variant>
      <vt:variant>
        <vt:i4>0</vt:i4>
      </vt:variant>
      <vt:variant>
        <vt:i4>5</vt:i4>
      </vt:variant>
      <vt:variant>
        <vt:lpwstr/>
      </vt:variant>
      <vt:variant>
        <vt:lpwstr>_Toc213772132</vt:lpwstr>
      </vt:variant>
      <vt:variant>
        <vt:i4>1048631</vt:i4>
      </vt:variant>
      <vt:variant>
        <vt:i4>2144</vt:i4>
      </vt:variant>
      <vt:variant>
        <vt:i4>0</vt:i4>
      </vt:variant>
      <vt:variant>
        <vt:i4>5</vt:i4>
      </vt:variant>
      <vt:variant>
        <vt:lpwstr/>
      </vt:variant>
      <vt:variant>
        <vt:lpwstr>_Toc213772131</vt:lpwstr>
      </vt:variant>
      <vt:variant>
        <vt:i4>1048631</vt:i4>
      </vt:variant>
      <vt:variant>
        <vt:i4>2138</vt:i4>
      </vt:variant>
      <vt:variant>
        <vt:i4>0</vt:i4>
      </vt:variant>
      <vt:variant>
        <vt:i4>5</vt:i4>
      </vt:variant>
      <vt:variant>
        <vt:lpwstr/>
      </vt:variant>
      <vt:variant>
        <vt:lpwstr>_Toc213772130</vt:lpwstr>
      </vt:variant>
      <vt:variant>
        <vt:i4>1114167</vt:i4>
      </vt:variant>
      <vt:variant>
        <vt:i4>2132</vt:i4>
      </vt:variant>
      <vt:variant>
        <vt:i4>0</vt:i4>
      </vt:variant>
      <vt:variant>
        <vt:i4>5</vt:i4>
      </vt:variant>
      <vt:variant>
        <vt:lpwstr/>
      </vt:variant>
      <vt:variant>
        <vt:lpwstr>_Toc213772129</vt:lpwstr>
      </vt:variant>
      <vt:variant>
        <vt:i4>1114167</vt:i4>
      </vt:variant>
      <vt:variant>
        <vt:i4>2126</vt:i4>
      </vt:variant>
      <vt:variant>
        <vt:i4>0</vt:i4>
      </vt:variant>
      <vt:variant>
        <vt:i4>5</vt:i4>
      </vt:variant>
      <vt:variant>
        <vt:lpwstr/>
      </vt:variant>
      <vt:variant>
        <vt:lpwstr>_Toc213772128</vt:lpwstr>
      </vt:variant>
      <vt:variant>
        <vt:i4>1114167</vt:i4>
      </vt:variant>
      <vt:variant>
        <vt:i4>2120</vt:i4>
      </vt:variant>
      <vt:variant>
        <vt:i4>0</vt:i4>
      </vt:variant>
      <vt:variant>
        <vt:i4>5</vt:i4>
      </vt:variant>
      <vt:variant>
        <vt:lpwstr/>
      </vt:variant>
      <vt:variant>
        <vt:lpwstr>_Toc213772127</vt:lpwstr>
      </vt:variant>
      <vt:variant>
        <vt:i4>1114167</vt:i4>
      </vt:variant>
      <vt:variant>
        <vt:i4>2114</vt:i4>
      </vt:variant>
      <vt:variant>
        <vt:i4>0</vt:i4>
      </vt:variant>
      <vt:variant>
        <vt:i4>5</vt:i4>
      </vt:variant>
      <vt:variant>
        <vt:lpwstr/>
      </vt:variant>
      <vt:variant>
        <vt:lpwstr>_Toc213772126</vt:lpwstr>
      </vt:variant>
      <vt:variant>
        <vt:i4>1114167</vt:i4>
      </vt:variant>
      <vt:variant>
        <vt:i4>2108</vt:i4>
      </vt:variant>
      <vt:variant>
        <vt:i4>0</vt:i4>
      </vt:variant>
      <vt:variant>
        <vt:i4>5</vt:i4>
      </vt:variant>
      <vt:variant>
        <vt:lpwstr/>
      </vt:variant>
      <vt:variant>
        <vt:lpwstr>_Toc213772125</vt:lpwstr>
      </vt:variant>
      <vt:variant>
        <vt:i4>1114167</vt:i4>
      </vt:variant>
      <vt:variant>
        <vt:i4>2102</vt:i4>
      </vt:variant>
      <vt:variant>
        <vt:i4>0</vt:i4>
      </vt:variant>
      <vt:variant>
        <vt:i4>5</vt:i4>
      </vt:variant>
      <vt:variant>
        <vt:lpwstr/>
      </vt:variant>
      <vt:variant>
        <vt:lpwstr>_Toc213772124</vt:lpwstr>
      </vt:variant>
      <vt:variant>
        <vt:i4>1114167</vt:i4>
      </vt:variant>
      <vt:variant>
        <vt:i4>2096</vt:i4>
      </vt:variant>
      <vt:variant>
        <vt:i4>0</vt:i4>
      </vt:variant>
      <vt:variant>
        <vt:i4>5</vt:i4>
      </vt:variant>
      <vt:variant>
        <vt:lpwstr/>
      </vt:variant>
      <vt:variant>
        <vt:lpwstr>_Toc213772123</vt:lpwstr>
      </vt:variant>
      <vt:variant>
        <vt:i4>1114167</vt:i4>
      </vt:variant>
      <vt:variant>
        <vt:i4>2090</vt:i4>
      </vt:variant>
      <vt:variant>
        <vt:i4>0</vt:i4>
      </vt:variant>
      <vt:variant>
        <vt:i4>5</vt:i4>
      </vt:variant>
      <vt:variant>
        <vt:lpwstr/>
      </vt:variant>
      <vt:variant>
        <vt:lpwstr>_Toc213772122</vt:lpwstr>
      </vt:variant>
      <vt:variant>
        <vt:i4>1114167</vt:i4>
      </vt:variant>
      <vt:variant>
        <vt:i4>2084</vt:i4>
      </vt:variant>
      <vt:variant>
        <vt:i4>0</vt:i4>
      </vt:variant>
      <vt:variant>
        <vt:i4>5</vt:i4>
      </vt:variant>
      <vt:variant>
        <vt:lpwstr/>
      </vt:variant>
      <vt:variant>
        <vt:lpwstr>_Toc213772121</vt:lpwstr>
      </vt:variant>
      <vt:variant>
        <vt:i4>1114167</vt:i4>
      </vt:variant>
      <vt:variant>
        <vt:i4>2078</vt:i4>
      </vt:variant>
      <vt:variant>
        <vt:i4>0</vt:i4>
      </vt:variant>
      <vt:variant>
        <vt:i4>5</vt:i4>
      </vt:variant>
      <vt:variant>
        <vt:lpwstr/>
      </vt:variant>
      <vt:variant>
        <vt:lpwstr>_Toc213772120</vt:lpwstr>
      </vt:variant>
      <vt:variant>
        <vt:i4>1179703</vt:i4>
      </vt:variant>
      <vt:variant>
        <vt:i4>2072</vt:i4>
      </vt:variant>
      <vt:variant>
        <vt:i4>0</vt:i4>
      </vt:variant>
      <vt:variant>
        <vt:i4>5</vt:i4>
      </vt:variant>
      <vt:variant>
        <vt:lpwstr/>
      </vt:variant>
      <vt:variant>
        <vt:lpwstr>_Toc213772119</vt:lpwstr>
      </vt:variant>
      <vt:variant>
        <vt:i4>1179703</vt:i4>
      </vt:variant>
      <vt:variant>
        <vt:i4>2066</vt:i4>
      </vt:variant>
      <vt:variant>
        <vt:i4>0</vt:i4>
      </vt:variant>
      <vt:variant>
        <vt:i4>5</vt:i4>
      </vt:variant>
      <vt:variant>
        <vt:lpwstr/>
      </vt:variant>
      <vt:variant>
        <vt:lpwstr>_Toc213772118</vt:lpwstr>
      </vt:variant>
      <vt:variant>
        <vt:i4>1179703</vt:i4>
      </vt:variant>
      <vt:variant>
        <vt:i4>2060</vt:i4>
      </vt:variant>
      <vt:variant>
        <vt:i4>0</vt:i4>
      </vt:variant>
      <vt:variant>
        <vt:i4>5</vt:i4>
      </vt:variant>
      <vt:variant>
        <vt:lpwstr/>
      </vt:variant>
      <vt:variant>
        <vt:lpwstr>_Toc213772117</vt:lpwstr>
      </vt:variant>
      <vt:variant>
        <vt:i4>1179703</vt:i4>
      </vt:variant>
      <vt:variant>
        <vt:i4>2054</vt:i4>
      </vt:variant>
      <vt:variant>
        <vt:i4>0</vt:i4>
      </vt:variant>
      <vt:variant>
        <vt:i4>5</vt:i4>
      </vt:variant>
      <vt:variant>
        <vt:lpwstr/>
      </vt:variant>
      <vt:variant>
        <vt:lpwstr>_Toc213772116</vt:lpwstr>
      </vt:variant>
      <vt:variant>
        <vt:i4>1179703</vt:i4>
      </vt:variant>
      <vt:variant>
        <vt:i4>2048</vt:i4>
      </vt:variant>
      <vt:variant>
        <vt:i4>0</vt:i4>
      </vt:variant>
      <vt:variant>
        <vt:i4>5</vt:i4>
      </vt:variant>
      <vt:variant>
        <vt:lpwstr/>
      </vt:variant>
      <vt:variant>
        <vt:lpwstr>_Toc213772115</vt:lpwstr>
      </vt:variant>
      <vt:variant>
        <vt:i4>1179703</vt:i4>
      </vt:variant>
      <vt:variant>
        <vt:i4>2042</vt:i4>
      </vt:variant>
      <vt:variant>
        <vt:i4>0</vt:i4>
      </vt:variant>
      <vt:variant>
        <vt:i4>5</vt:i4>
      </vt:variant>
      <vt:variant>
        <vt:lpwstr/>
      </vt:variant>
      <vt:variant>
        <vt:lpwstr>_Toc213772114</vt:lpwstr>
      </vt:variant>
      <vt:variant>
        <vt:i4>1179703</vt:i4>
      </vt:variant>
      <vt:variant>
        <vt:i4>2036</vt:i4>
      </vt:variant>
      <vt:variant>
        <vt:i4>0</vt:i4>
      </vt:variant>
      <vt:variant>
        <vt:i4>5</vt:i4>
      </vt:variant>
      <vt:variant>
        <vt:lpwstr/>
      </vt:variant>
      <vt:variant>
        <vt:lpwstr>_Toc213772113</vt:lpwstr>
      </vt:variant>
      <vt:variant>
        <vt:i4>1179703</vt:i4>
      </vt:variant>
      <vt:variant>
        <vt:i4>2030</vt:i4>
      </vt:variant>
      <vt:variant>
        <vt:i4>0</vt:i4>
      </vt:variant>
      <vt:variant>
        <vt:i4>5</vt:i4>
      </vt:variant>
      <vt:variant>
        <vt:lpwstr/>
      </vt:variant>
      <vt:variant>
        <vt:lpwstr>_Toc213772112</vt:lpwstr>
      </vt:variant>
      <vt:variant>
        <vt:i4>1179703</vt:i4>
      </vt:variant>
      <vt:variant>
        <vt:i4>2024</vt:i4>
      </vt:variant>
      <vt:variant>
        <vt:i4>0</vt:i4>
      </vt:variant>
      <vt:variant>
        <vt:i4>5</vt:i4>
      </vt:variant>
      <vt:variant>
        <vt:lpwstr/>
      </vt:variant>
      <vt:variant>
        <vt:lpwstr>_Toc213772111</vt:lpwstr>
      </vt:variant>
      <vt:variant>
        <vt:i4>1179703</vt:i4>
      </vt:variant>
      <vt:variant>
        <vt:i4>2018</vt:i4>
      </vt:variant>
      <vt:variant>
        <vt:i4>0</vt:i4>
      </vt:variant>
      <vt:variant>
        <vt:i4>5</vt:i4>
      </vt:variant>
      <vt:variant>
        <vt:lpwstr/>
      </vt:variant>
      <vt:variant>
        <vt:lpwstr>_Toc213772110</vt:lpwstr>
      </vt:variant>
      <vt:variant>
        <vt:i4>1245239</vt:i4>
      </vt:variant>
      <vt:variant>
        <vt:i4>2012</vt:i4>
      </vt:variant>
      <vt:variant>
        <vt:i4>0</vt:i4>
      </vt:variant>
      <vt:variant>
        <vt:i4>5</vt:i4>
      </vt:variant>
      <vt:variant>
        <vt:lpwstr/>
      </vt:variant>
      <vt:variant>
        <vt:lpwstr>_Toc213772109</vt:lpwstr>
      </vt:variant>
      <vt:variant>
        <vt:i4>1245239</vt:i4>
      </vt:variant>
      <vt:variant>
        <vt:i4>2006</vt:i4>
      </vt:variant>
      <vt:variant>
        <vt:i4>0</vt:i4>
      </vt:variant>
      <vt:variant>
        <vt:i4>5</vt:i4>
      </vt:variant>
      <vt:variant>
        <vt:lpwstr/>
      </vt:variant>
      <vt:variant>
        <vt:lpwstr>_Toc213772108</vt:lpwstr>
      </vt:variant>
      <vt:variant>
        <vt:i4>1245239</vt:i4>
      </vt:variant>
      <vt:variant>
        <vt:i4>2000</vt:i4>
      </vt:variant>
      <vt:variant>
        <vt:i4>0</vt:i4>
      </vt:variant>
      <vt:variant>
        <vt:i4>5</vt:i4>
      </vt:variant>
      <vt:variant>
        <vt:lpwstr/>
      </vt:variant>
      <vt:variant>
        <vt:lpwstr>_Toc213772107</vt:lpwstr>
      </vt:variant>
      <vt:variant>
        <vt:i4>1245239</vt:i4>
      </vt:variant>
      <vt:variant>
        <vt:i4>1994</vt:i4>
      </vt:variant>
      <vt:variant>
        <vt:i4>0</vt:i4>
      </vt:variant>
      <vt:variant>
        <vt:i4>5</vt:i4>
      </vt:variant>
      <vt:variant>
        <vt:lpwstr/>
      </vt:variant>
      <vt:variant>
        <vt:lpwstr>_Toc213772106</vt:lpwstr>
      </vt:variant>
      <vt:variant>
        <vt:i4>1245239</vt:i4>
      </vt:variant>
      <vt:variant>
        <vt:i4>1988</vt:i4>
      </vt:variant>
      <vt:variant>
        <vt:i4>0</vt:i4>
      </vt:variant>
      <vt:variant>
        <vt:i4>5</vt:i4>
      </vt:variant>
      <vt:variant>
        <vt:lpwstr/>
      </vt:variant>
      <vt:variant>
        <vt:lpwstr>_Toc213772105</vt:lpwstr>
      </vt:variant>
      <vt:variant>
        <vt:i4>1245239</vt:i4>
      </vt:variant>
      <vt:variant>
        <vt:i4>1982</vt:i4>
      </vt:variant>
      <vt:variant>
        <vt:i4>0</vt:i4>
      </vt:variant>
      <vt:variant>
        <vt:i4>5</vt:i4>
      </vt:variant>
      <vt:variant>
        <vt:lpwstr/>
      </vt:variant>
      <vt:variant>
        <vt:lpwstr>_Toc213772104</vt:lpwstr>
      </vt:variant>
      <vt:variant>
        <vt:i4>1245239</vt:i4>
      </vt:variant>
      <vt:variant>
        <vt:i4>1976</vt:i4>
      </vt:variant>
      <vt:variant>
        <vt:i4>0</vt:i4>
      </vt:variant>
      <vt:variant>
        <vt:i4>5</vt:i4>
      </vt:variant>
      <vt:variant>
        <vt:lpwstr/>
      </vt:variant>
      <vt:variant>
        <vt:lpwstr>_Toc213772103</vt:lpwstr>
      </vt:variant>
      <vt:variant>
        <vt:i4>1245239</vt:i4>
      </vt:variant>
      <vt:variant>
        <vt:i4>1970</vt:i4>
      </vt:variant>
      <vt:variant>
        <vt:i4>0</vt:i4>
      </vt:variant>
      <vt:variant>
        <vt:i4>5</vt:i4>
      </vt:variant>
      <vt:variant>
        <vt:lpwstr/>
      </vt:variant>
      <vt:variant>
        <vt:lpwstr>_Toc213772102</vt:lpwstr>
      </vt:variant>
      <vt:variant>
        <vt:i4>1703990</vt:i4>
      </vt:variant>
      <vt:variant>
        <vt:i4>1964</vt:i4>
      </vt:variant>
      <vt:variant>
        <vt:i4>0</vt:i4>
      </vt:variant>
      <vt:variant>
        <vt:i4>5</vt:i4>
      </vt:variant>
      <vt:variant>
        <vt:lpwstr/>
      </vt:variant>
      <vt:variant>
        <vt:lpwstr>_Toc213772099</vt:lpwstr>
      </vt:variant>
      <vt:variant>
        <vt:i4>1703990</vt:i4>
      </vt:variant>
      <vt:variant>
        <vt:i4>1958</vt:i4>
      </vt:variant>
      <vt:variant>
        <vt:i4>0</vt:i4>
      </vt:variant>
      <vt:variant>
        <vt:i4>5</vt:i4>
      </vt:variant>
      <vt:variant>
        <vt:lpwstr/>
      </vt:variant>
      <vt:variant>
        <vt:lpwstr>_Toc213772095</vt:lpwstr>
      </vt:variant>
      <vt:variant>
        <vt:i4>1703990</vt:i4>
      </vt:variant>
      <vt:variant>
        <vt:i4>1952</vt:i4>
      </vt:variant>
      <vt:variant>
        <vt:i4>0</vt:i4>
      </vt:variant>
      <vt:variant>
        <vt:i4>5</vt:i4>
      </vt:variant>
      <vt:variant>
        <vt:lpwstr/>
      </vt:variant>
      <vt:variant>
        <vt:lpwstr>_Toc213772094</vt:lpwstr>
      </vt:variant>
      <vt:variant>
        <vt:i4>1703990</vt:i4>
      </vt:variant>
      <vt:variant>
        <vt:i4>1946</vt:i4>
      </vt:variant>
      <vt:variant>
        <vt:i4>0</vt:i4>
      </vt:variant>
      <vt:variant>
        <vt:i4>5</vt:i4>
      </vt:variant>
      <vt:variant>
        <vt:lpwstr/>
      </vt:variant>
      <vt:variant>
        <vt:lpwstr>_Toc213772093</vt:lpwstr>
      </vt:variant>
      <vt:variant>
        <vt:i4>1703990</vt:i4>
      </vt:variant>
      <vt:variant>
        <vt:i4>1940</vt:i4>
      </vt:variant>
      <vt:variant>
        <vt:i4>0</vt:i4>
      </vt:variant>
      <vt:variant>
        <vt:i4>5</vt:i4>
      </vt:variant>
      <vt:variant>
        <vt:lpwstr/>
      </vt:variant>
      <vt:variant>
        <vt:lpwstr>_Toc213772092</vt:lpwstr>
      </vt:variant>
      <vt:variant>
        <vt:i4>1703990</vt:i4>
      </vt:variant>
      <vt:variant>
        <vt:i4>1934</vt:i4>
      </vt:variant>
      <vt:variant>
        <vt:i4>0</vt:i4>
      </vt:variant>
      <vt:variant>
        <vt:i4>5</vt:i4>
      </vt:variant>
      <vt:variant>
        <vt:lpwstr/>
      </vt:variant>
      <vt:variant>
        <vt:lpwstr>_Toc213772091</vt:lpwstr>
      </vt:variant>
      <vt:variant>
        <vt:i4>1703990</vt:i4>
      </vt:variant>
      <vt:variant>
        <vt:i4>1928</vt:i4>
      </vt:variant>
      <vt:variant>
        <vt:i4>0</vt:i4>
      </vt:variant>
      <vt:variant>
        <vt:i4>5</vt:i4>
      </vt:variant>
      <vt:variant>
        <vt:lpwstr/>
      </vt:variant>
      <vt:variant>
        <vt:lpwstr>_Toc213772090</vt:lpwstr>
      </vt:variant>
      <vt:variant>
        <vt:i4>1769526</vt:i4>
      </vt:variant>
      <vt:variant>
        <vt:i4>1922</vt:i4>
      </vt:variant>
      <vt:variant>
        <vt:i4>0</vt:i4>
      </vt:variant>
      <vt:variant>
        <vt:i4>5</vt:i4>
      </vt:variant>
      <vt:variant>
        <vt:lpwstr/>
      </vt:variant>
      <vt:variant>
        <vt:lpwstr>_Toc213772088</vt:lpwstr>
      </vt:variant>
      <vt:variant>
        <vt:i4>1769526</vt:i4>
      </vt:variant>
      <vt:variant>
        <vt:i4>1916</vt:i4>
      </vt:variant>
      <vt:variant>
        <vt:i4>0</vt:i4>
      </vt:variant>
      <vt:variant>
        <vt:i4>5</vt:i4>
      </vt:variant>
      <vt:variant>
        <vt:lpwstr/>
      </vt:variant>
      <vt:variant>
        <vt:lpwstr>_Toc213772087</vt:lpwstr>
      </vt:variant>
      <vt:variant>
        <vt:i4>1769526</vt:i4>
      </vt:variant>
      <vt:variant>
        <vt:i4>1910</vt:i4>
      </vt:variant>
      <vt:variant>
        <vt:i4>0</vt:i4>
      </vt:variant>
      <vt:variant>
        <vt:i4>5</vt:i4>
      </vt:variant>
      <vt:variant>
        <vt:lpwstr/>
      </vt:variant>
      <vt:variant>
        <vt:lpwstr>_Toc213772086</vt:lpwstr>
      </vt:variant>
      <vt:variant>
        <vt:i4>1769526</vt:i4>
      </vt:variant>
      <vt:variant>
        <vt:i4>1904</vt:i4>
      </vt:variant>
      <vt:variant>
        <vt:i4>0</vt:i4>
      </vt:variant>
      <vt:variant>
        <vt:i4>5</vt:i4>
      </vt:variant>
      <vt:variant>
        <vt:lpwstr/>
      </vt:variant>
      <vt:variant>
        <vt:lpwstr>_Toc213772085</vt:lpwstr>
      </vt:variant>
      <vt:variant>
        <vt:i4>1769526</vt:i4>
      </vt:variant>
      <vt:variant>
        <vt:i4>1898</vt:i4>
      </vt:variant>
      <vt:variant>
        <vt:i4>0</vt:i4>
      </vt:variant>
      <vt:variant>
        <vt:i4>5</vt:i4>
      </vt:variant>
      <vt:variant>
        <vt:lpwstr/>
      </vt:variant>
      <vt:variant>
        <vt:lpwstr>_Toc213772084</vt:lpwstr>
      </vt:variant>
      <vt:variant>
        <vt:i4>1769526</vt:i4>
      </vt:variant>
      <vt:variant>
        <vt:i4>1892</vt:i4>
      </vt:variant>
      <vt:variant>
        <vt:i4>0</vt:i4>
      </vt:variant>
      <vt:variant>
        <vt:i4>5</vt:i4>
      </vt:variant>
      <vt:variant>
        <vt:lpwstr/>
      </vt:variant>
      <vt:variant>
        <vt:lpwstr>_Toc213772083</vt:lpwstr>
      </vt:variant>
      <vt:variant>
        <vt:i4>1769526</vt:i4>
      </vt:variant>
      <vt:variant>
        <vt:i4>1886</vt:i4>
      </vt:variant>
      <vt:variant>
        <vt:i4>0</vt:i4>
      </vt:variant>
      <vt:variant>
        <vt:i4>5</vt:i4>
      </vt:variant>
      <vt:variant>
        <vt:lpwstr/>
      </vt:variant>
      <vt:variant>
        <vt:lpwstr>_Toc213772082</vt:lpwstr>
      </vt:variant>
      <vt:variant>
        <vt:i4>1769526</vt:i4>
      </vt:variant>
      <vt:variant>
        <vt:i4>1880</vt:i4>
      </vt:variant>
      <vt:variant>
        <vt:i4>0</vt:i4>
      </vt:variant>
      <vt:variant>
        <vt:i4>5</vt:i4>
      </vt:variant>
      <vt:variant>
        <vt:lpwstr/>
      </vt:variant>
      <vt:variant>
        <vt:lpwstr>_Toc213772081</vt:lpwstr>
      </vt:variant>
      <vt:variant>
        <vt:i4>1769526</vt:i4>
      </vt:variant>
      <vt:variant>
        <vt:i4>1874</vt:i4>
      </vt:variant>
      <vt:variant>
        <vt:i4>0</vt:i4>
      </vt:variant>
      <vt:variant>
        <vt:i4>5</vt:i4>
      </vt:variant>
      <vt:variant>
        <vt:lpwstr/>
      </vt:variant>
      <vt:variant>
        <vt:lpwstr>_Toc213772080</vt:lpwstr>
      </vt:variant>
      <vt:variant>
        <vt:i4>1310774</vt:i4>
      </vt:variant>
      <vt:variant>
        <vt:i4>1868</vt:i4>
      </vt:variant>
      <vt:variant>
        <vt:i4>0</vt:i4>
      </vt:variant>
      <vt:variant>
        <vt:i4>5</vt:i4>
      </vt:variant>
      <vt:variant>
        <vt:lpwstr/>
      </vt:variant>
      <vt:variant>
        <vt:lpwstr>_Toc213772079</vt:lpwstr>
      </vt:variant>
      <vt:variant>
        <vt:i4>1310774</vt:i4>
      </vt:variant>
      <vt:variant>
        <vt:i4>1862</vt:i4>
      </vt:variant>
      <vt:variant>
        <vt:i4>0</vt:i4>
      </vt:variant>
      <vt:variant>
        <vt:i4>5</vt:i4>
      </vt:variant>
      <vt:variant>
        <vt:lpwstr/>
      </vt:variant>
      <vt:variant>
        <vt:lpwstr>_Toc213772078</vt:lpwstr>
      </vt:variant>
      <vt:variant>
        <vt:i4>1310774</vt:i4>
      </vt:variant>
      <vt:variant>
        <vt:i4>1856</vt:i4>
      </vt:variant>
      <vt:variant>
        <vt:i4>0</vt:i4>
      </vt:variant>
      <vt:variant>
        <vt:i4>5</vt:i4>
      </vt:variant>
      <vt:variant>
        <vt:lpwstr/>
      </vt:variant>
      <vt:variant>
        <vt:lpwstr>_Toc213772077</vt:lpwstr>
      </vt:variant>
      <vt:variant>
        <vt:i4>1310774</vt:i4>
      </vt:variant>
      <vt:variant>
        <vt:i4>1850</vt:i4>
      </vt:variant>
      <vt:variant>
        <vt:i4>0</vt:i4>
      </vt:variant>
      <vt:variant>
        <vt:i4>5</vt:i4>
      </vt:variant>
      <vt:variant>
        <vt:lpwstr/>
      </vt:variant>
      <vt:variant>
        <vt:lpwstr>_Toc213772076</vt:lpwstr>
      </vt:variant>
      <vt:variant>
        <vt:i4>1310774</vt:i4>
      </vt:variant>
      <vt:variant>
        <vt:i4>1844</vt:i4>
      </vt:variant>
      <vt:variant>
        <vt:i4>0</vt:i4>
      </vt:variant>
      <vt:variant>
        <vt:i4>5</vt:i4>
      </vt:variant>
      <vt:variant>
        <vt:lpwstr/>
      </vt:variant>
      <vt:variant>
        <vt:lpwstr>_Toc213772075</vt:lpwstr>
      </vt:variant>
      <vt:variant>
        <vt:i4>1310774</vt:i4>
      </vt:variant>
      <vt:variant>
        <vt:i4>1838</vt:i4>
      </vt:variant>
      <vt:variant>
        <vt:i4>0</vt:i4>
      </vt:variant>
      <vt:variant>
        <vt:i4>5</vt:i4>
      </vt:variant>
      <vt:variant>
        <vt:lpwstr/>
      </vt:variant>
      <vt:variant>
        <vt:lpwstr>_Toc213772074</vt:lpwstr>
      </vt:variant>
      <vt:variant>
        <vt:i4>1310774</vt:i4>
      </vt:variant>
      <vt:variant>
        <vt:i4>1832</vt:i4>
      </vt:variant>
      <vt:variant>
        <vt:i4>0</vt:i4>
      </vt:variant>
      <vt:variant>
        <vt:i4>5</vt:i4>
      </vt:variant>
      <vt:variant>
        <vt:lpwstr/>
      </vt:variant>
      <vt:variant>
        <vt:lpwstr>_Toc213772073</vt:lpwstr>
      </vt:variant>
      <vt:variant>
        <vt:i4>1310774</vt:i4>
      </vt:variant>
      <vt:variant>
        <vt:i4>1826</vt:i4>
      </vt:variant>
      <vt:variant>
        <vt:i4>0</vt:i4>
      </vt:variant>
      <vt:variant>
        <vt:i4>5</vt:i4>
      </vt:variant>
      <vt:variant>
        <vt:lpwstr/>
      </vt:variant>
      <vt:variant>
        <vt:lpwstr>_Toc213772072</vt:lpwstr>
      </vt:variant>
      <vt:variant>
        <vt:i4>1310774</vt:i4>
      </vt:variant>
      <vt:variant>
        <vt:i4>1820</vt:i4>
      </vt:variant>
      <vt:variant>
        <vt:i4>0</vt:i4>
      </vt:variant>
      <vt:variant>
        <vt:i4>5</vt:i4>
      </vt:variant>
      <vt:variant>
        <vt:lpwstr/>
      </vt:variant>
      <vt:variant>
        <vt:lpwstr>_Toc213772071</vt:lpwstr>
      </vt:variant>
      <vt:variant>
        <vt:i4>1310774</vt:i4>
      </vt:variant>
      <vt:variant>
        <vt:i4>1814</vt:i4>
      </vt:variant>
      <vt:variant>
        <vt:i4>0</vt:i4>
      </vt:variant>
      <vt:variant>
        <vt:i4>5</vt:i4>
      </vt:variant>
      <vt:variant>
        <vt:lpwstr/>
      </vt:variant>
      <vt:variant>
        <vt:lpwstr>_Toc213772070</vt:lpwstr>
      </vt:variant>
      <vt:variant>
        <vt:i4>1376310</vt:i4>
      </vt:variant>
      <vt:variant>
        <vt:i4>1808</vt:i4>
      </vt:variant>
      <vt:variant>
        <vt:i4>0</vt:i4>
      </vt:variant>
      <vt:variant>
        <vt:i4>5</vt:i4>
      </vt:variant>
      <vt:variant>
        <vt:lpwstr/>
      </vt:variant>
      <vt:variant>
        <vt:lpwstr>_Toc213772069</vt:lpwstr>
      </vt:variant>
      <vt:variant>
        <vt:i4>1376310</vt:i4>
      </vt:variant>
      <vt:variant>
        <vt:i4>1802</vt:i4>
      </vt:variant>
      <vt:variant>
        <vt:i4>0</vt:i4>
      </vt:variant>
      <vt:variant>
        <vt:i4>5</vt:i4>
      </vt:variant>
      <vt:variant>
        <vt:lpwstr/>
      </vt:variant>
      <vt:variant>
        <vt:lpwstr>_Toc213772068</vt:lpwstr>
      </vt:variant>
      <vt:variant>
        <vt:i4>1376310</vt:i4>
      </vt:variant>
      <vt:variant>
        <vt:i4>1796</vt:i4>
      </vt:variant>
      <vt:variant>
        <vt:i4>0</vt:i4>
      </vt:variant>
      <vt:variant>
        <vt:i4>5</vt:i4>
      </vt:variant>
      <vt:variant>
        <vt:lpwstr/>
      </vt:variant>
      <vt:variant>
        <vt:lpwstr>_Toc213772067</vt:lpwstr>
      </vt:variant>
      <vt:variant>
        <vt:i4>1376310</vt:i4>
      </vt:variant>
      <vt:variant>
        <vt:i4>1790</vt:i4>
      </vt:variant>
      <vt:variant>
        <vt:i4>0</vt:i4>
      </vt:variant>
      <vt:variant>
        <vt:i4>5</vt:i4>
      </vt:variant>
      <vt:variant>
        <vt:lpwstr/>
      </vt:variant>
      <vt:variant>
        <vt:lpwstr>_Toc213772066</vt:lpwstr>
      </vt:variant>
      <vt:variant>
        <vt:i4>1376310</vt:i4>
      </vt:variant>
      <vt:variant>
        <vt:i4>1784</vt:i4>
      </vt:variant>
      <vt:variant>
        <vt:i4>0</vt:i4>
      </vt:variant>
      <vt:variant>
        <vt:i4>5</vt:i4>
      </vt:variant>
      <vt:variant>
        <vt:lpwstr/>
      </vt:variant>
      <vt:variant>
        <vt:lpwstr>_Toc213772065</vt:lpwstr>
      </vt:variant>
      <vt:variant>
        <vt:i4>1376310</vt:i4>
      </vt:variant>
      <vt:variant>
        <vt:i4>1778</vt:i4>
      </vt:variant>
      <vt:variant>
        <vt:i4>0</vt:i4>
      </vt:variant>
      <vt:variant>
        <vt:i4>5</vt:i4>
      </vt:variant>
      <vt:variant>
        <vt:lpwstr/>
      </vt:variant>
      <vt:variant>
        <vt:lpwstr>_Toc213772064</vt:lpwstr>
      </vt:variant>
      <vt:variant>
        <vt:i4>1376310</vt:i4>
      </vt:variant>
      <vt:variant>
        <vt:i4>1772</vt:i4>
      </vt:variant>
      <vt:variant>
        <vt:i4>0</vt:i4>
      </vt:variant>
      <vt:variant>
        <vt:i4>5</vt:i4>
      </vt:variant>
      <vt:variant>
        <vt:lpwstr/>
      </vt:variant>
      <vt:variant>
        <vt:lpwstr>_Toc213772063</vt:lpwstr>
      </vt:variant>
      <vt:variant>
        <vt:i4>1376310</vt:i4>
      </vt:variant>
      <vt:variant>
        <vt:i4>1766</vt:i4>
      </vt:variant>
      <vt:variant>
        <vt:i4>0</vt:i4>
      </vt:variant>
      <vt:variant>
        <vt:i4>5</vt:i4>
      </vt:variant>
      <vt:variant>
        <vt:lpwstr/>
      </vt:variant>
      <vt:variant>
        <vt:lpwstr>_Toc213772062</vt:lpwstr>
      </vt:variant>
      <vt:variant>
        <vt:i4>1376310</vt:i4>
      </vt:variant>
      <vt:variant>
        <vt:i4>1760</vt:i4>
      </vt:variant>
      <vt:variant>
        <vt:i4>0</vt:i4>
      </vt:variant>
      <vt:variant>
        <vt:i4>5</vt:i4>
      </vt:variant>
      <vt:variant>
        <vt:lpwstr/>
      </vt:variant>
      <vt:variant>
        <vt:lpwstr>_Toc213772061</vt:lpwstr>
      </vt:variant>
      <vt:variant>
        <vt:i4>1376310</vt:i4>
      </vt:variant>
      <vt:variant>
        <vt:i4>1754</vt:i4>
      </vt:variant>
      <vt:variant>
        <vt:i4>0</vt:i4>
      </vt:variant>
      <vt:variant>
        <vt:i4>5</vt:i4>
      </vt:variant>
      <vt:variant>
        <vt:lpwstr/>
      </vt:variant>
      <vt:variant>
        <vt:lpwstr>_Toc213772060</vt:lpwstr>
      </vt:variant>
      <vt:variant>
        <vt:i4>1441846</vt:i4>
      </vt:variant>
      <vt:variant>
        <vt:i4>1748</vt:i4>
      </vt:variant>
      <vt:variant>
        <vt:i4>0</vt:i4>
      </vt:variant>
      <vt:variant>
        <vt:i4>5</vt:i4>
      </vt:variant>
      <vt:variant>
        <vt:lpwstr/>
      </vt:variant>
      <vt:variant>
        <vt:lpwstr>_Toc213772059</vt:lpwstr>
      </vt:variant>
      <vt:variant>
        <vt:i4>1441846</vt:i4>
      </vt:variant>
      <vt:variant>
        <vt:i4>1742</vt:i4>
      </vt:variant>
      <vt:variant>
        <vt:i4>0</vt:i4>
      </vt:variant>
      <vt:variant>
        <vt:i4>5</vt:i4>
      </vt:variant>
      <vt:variant>
        <vt:lpwstr/>
      </vt:variant>
      <vt:variant>
        <vt:lpwstr>_Toc213772058</vt:lpwstr>
      </vt:variant>
      <vt:variant>
        <vt:i4>1441846</vt:i4>
      </vt:variant>
      <vt:variant>
        <vt:i4>1736</vt:i4>
      </vt:variant>
      <vt:variant>
        <vt:i4>0</vt:i4>
      </vt:variant>
      <vt:variant>
        <vt:i4>5</vt:i4>
      </vt:variant>
      <vt:variant>
        <vt:lpwstr/>
      </vt:variant>
      <vt:variant>
        <vt:lpwstr>_Toc213772057</vt:lpwstr>
      </vt:variant>
      <vt:variant>
        <vt:i4>1441846</vt:i4>
      </vt:variant>
      <vt:variant>
        <vt:i4>1730</vt:i4>
      </vt:variant>
      <vt:variant>
        <vt:i4>0</vt:i4>
      </vt:variant>
      <vt:variant>
        <vt:i4>5</vt:i4>
      </vt:variant>
      <vt:variant>
        <vt:lpwstr/>
      </vt:variant>
      <vt:variant>
        <vt:lpwstr>_Toc213772056</vt:lpwstr>
      </vt:variant>
      <vt:variant>
        <vt:i4>1441846</vt:i4>
      </vt:variant>
      <vt:variant>
        <vt:i4>1724</vt:i4>
      </vt:variant>
      <vt:variant>
        <vt:i4>0</vt:i4>
      </vt:variant>
      <vt:variant>
        <vt:i4>5</vt:i4>
      </vt:variant>
      <vt:variant>
        <vt:lpwstr/>
      </vt:variant>
      <vt:variant>
        <vt:lpwstr>_Toc213772055</vt:lpwstr>
      </vt:variant>
      <vt:variant>
        <vt:i4>1441846</vt:i4>
      </vt:variant>
      <vt:variant>
        <vt:i4>1718</vt:i4>
      </vt:variant>
      <vt:variant>
        <vt:i4>0</vt:i4>
      </vt:variant>
      <vt:variant>
        <vt:i4>5</vt:i4>
      </vt:variant>
      <vt:variant>
        <vt:lpwstr/>
      </vt:variant>
      <vt:variant>
        <vt:lpwstr>_Toc213772054</vt:lpwstr>
      </vt:variant>
      <vt:variant>
        <vt:i4>1441846</vt:i4>
      </vt:variant>
      <vt:variant>
        <vt:i4>1712</vt:i4>
      </vt:variant>
      <vt:variant>
        <vt:i4>0</vt:i4>
      </vt:variant>
      <vt:variant>
        <vt:i4>5</vt:i4>
      </vt:variant>
      <vt:variant>
        <vt:lpwstr/>
      </vt:variant>
      <vt:variant>
        <vt:lpwstr>_Toc213772053</vt:lpwstr>
      </vt:variant>
      <vt:variant>
        <vt:i4>1441846</vt:i4>
      </vt:variant>
      <vt:variant>
        <vt:i4>1706</vt:i4>
      </vt:variant>
      <vt:variant>
        <vt:i4>0</vt:i4>
      </vt:variant>
      <vt:variant>
        <vt:i4>5</vt:i4>
      </vt:variant>
      <vt:variant>
        <vt:lpwstr/>
      </vt:variant>
      <vt:variant>
        <vt:lpwstr>_Toc213772052</vt:lpwstr>
      </vt:variant>
      <vt:variant>
        <vt:i4>1441846</vt:i4>
      </vt:variant>
      <vt:variant>
        <vt:i4>1700</vt:i4>
      </vt:variant>
      <vt:variant>
        <vt:i4>0</vt:i4>
      </vt:variant>
      <vt:variant>
        <vt:i4>5</vt:i4>
      </vt:variant>
      <vt:variant>
        <vt:lpwstr/>
      </vt:variant>
      <vt:variant>
        <vt:lpwstr>_Toc213772051</vt:lpwstr>
      </vt:variant>
      <vt:variant>
        <vt:i4>1441846</vt:i4>
      </vt:variant>
      <vt:variant>
        <vt:i4>1694</vt:i4>
      </vt:variant>
      <vt:variant>
        <vt:i4>0</vt:i4>
      </vt:variant>
      <vt:variant>
        <vt:i4>5</vt:i4>
      </vt:variant>
      <vt:variant>
        <vt:lpwstr/>
      </vt:variant>
      <vt:variant>
        <vt:lpwstr>_Toc213772050</vt:lpwstr>
      </vt:variant>
      <vt:variant>
        <vt:i4>1507382</vt:i4>
      </vt:variant>
      <vt:variant>
        <vt:i4>1688</vt:i4>
      </vt:variant>
      <vt:variant>
        <vt:i4>0</vt:i4>
      </vt:variant>
      <vt:variant>
        <vt:i4>5</vt:i4>
      </vt:variant>
      <vt:variant>
        <vt:lpwstr/>
      </vt:variant>
      <vt:variant>
        <vt:lpwstr>_Toc213772049</vt:lpwstr>
      </vt:variant>
      <vt:variant>
        <vt:i4>1507382</vt:i4>
      </vt:variant>
      <vt:variant>
        <vt:i4>1682</vt:i4>
      </vt:variant>
      <vt:variant>
        <vt:i4>0</vt:i4>
      </vt:variant>
      <vt:variant>
        <vt:i4>5</vt:i4>
      </vt:variant>
      <vt:variant>
        <vt:lpwstr/>
      </vt:variant>
      <vt:variant>
        <vt:lpwstr>_Toc213772048</vt:lpwstr>
      </vt:variant>
      <vt:variant>
        <vt:i4>1507382</vt:i4>
      </vt:variant>
      <vt:variant>
        <vt:i4>1676</vt:i4>
      </vt:variant>
      <vt:variant>
        <vt:i4>0</vt:i4>
      </vt:variant>
      <vt:variant>
        <vt:i4>5</vt:i4>
      </vt:variant>
      <vt:variant>
        <vt:lpwstr/>
      </vt:variant>
      <vt:variant>
        <vt:lpwstr>_Toc213772047</vt:lpwstr>
      </vt:variant>
      <vt:variant>
        <vt:i4>1507382</vt:i4>
      </vt:variant>
      <vt:variant>
        <vt:i4>1670</vt:i4>
      </vt:variant>
      <vt:variant>
        <vt:i4>0</vt:i4>
      </vt:variant>
      <vt:variant>
        <vt:i4>5</vt:i4>
      </vt:variant>
      <vt:variant>
        <vt:lpwstr/>
      </vt:variant>
      <vt:variant>
        <vt:lpwstr>_Toc213772046</vt:lpwstr>
      </vt:variant>
      <vt:variant>
        <vt:i4>1507382</vt:i4>
      </vt:variant>
      <vt:variant>
        <vt:i4>1664</vt:i4>
      </vt:variant>
      <vt:variant>
        <vt:i4>0</vt:i4>
      </vt:variant>
      <vt:variant>
        <vt:i4>5</vt:i4>
      </vt:variant>
      <vt:variant>
        <vt:lpwstr/>
      </vt:variant>
      <vt:variant>
        <vt:lpwstr>_Toc213772045</vt:lpwstr>
      </vt:variant>
      <vt:variant>
        <vt:i4>1507382</vt:i4>
      </vt:variant>
      <vt:variant>
        <vt:i4>1658</vt:i4>
      </vt:variant>
      <vt:variant>
        <vt:i4>0</vt:i4>
      </vt:variant>
      <vt:variant>
        <vt:i4>5</vt:i4>
      </vt:variant>
      <vt:variant>
        <vt:lpwstr/>
      </vt:variant>
      <vt:variant>
        <vt:lpwstr>_Toc213772044</vt:lpwstr>
      </vt:variant>
      <vt:variant>
        <vt:i4>1507382</vt:i4>
      </vt:variant>
      <vt:variant>
        <vt:i4>1652</vt:i4>
      </vt:variant>
      <vt:variant>
        <vt:i4>0</vt:i4>
      </vt:variant>
      <vt:variant>
        <vt:i4>5</vt:i4>
      </vt:variant>
      <vt:variant>
        <vt:lpwstr/>
      </vt:variant>
      <vt:variant>
        <vt:lpwstr>_Toc213772043</vt:lpwstr>
      </vt:variant>
      <vt:variant>
        <vt:i4>1507382</vt:i4>
      </vt:variant>
      <vt:variant>
        <vt:i4>1646</vt:i4>
      </vt:variant>
      <vt:variant>
        <vt:i4>0</vt:i4>
      </vt:variant>
      <vt:variant>
        <vt:i4>5</vt:i4>
      </vt:variant>
      <vt:variant>
        <vt:lpwstr/>
      </vt:variant>
      <vt:variant>
        <vt:lpwstr>_Toc213772042</vt:lpwstr>
      </vt:variant>
      <vt:variant>
        <vt:i4>1507382</vt:i4>
      </vt:variant>
      <vt:variant>
        <vt:i4>1640</vt:i4>
      </vt:variant>
      <vt:variant>
        <vt:i4>0</vt:i4>
      </vt:variant>
      <vt:variant>
        <vt:i4>5</vt:i4>
      </vt:variant>
      <vt:variant>
        <vt:lpwstr/>
      </vt:variant>
      <vt:variant>
        <vt:lpwstr>_Toc213772041</vt:lpwstr>
      </vt:variant>
      <vt:variant>
        <vt:i4>1507382</vt:i4>
      </vt:variant>
      <vt:variant>
        <vt:i4>1634</vt:i4>
      </vt:variant>
      <vt:variant>
        <vt:i4>0</vt:i4>
      </vt:variant>
      <vt:variant>
        <vt:i4>5</vt:i4>
      </vt:variant>
      <vt:variant>
        <vt:lpwstr/>
      </vt:variant>
      <vt:variant>
        <vt:lpwstr>_Toc213772040</vt:lpwstr>
      </vt:variant>
      <vt:variant>
        <vt:i4>1048630</vt:i4>
      </vt:variant>
      <vt:variant>
        <vt:i4>1628</vt:i4>
      </vt:variant>
      <vt:variant>
        <vt:i4>0</vt:i4>
      </vt:variant>
      <vt:variant>
        <vt:i4>5</vt:i4>
      </vt:variant>
      <vt:variant>
        <vt:lpwstr/>
      </vt:variant>
      <vt:variant>
        <vt:lpwstr>_Toc213772039</vt:lpwstr>
      </vt:variant>
      <vt:variant>
        <vt:i4>1048630</vt:i4>
      </vt:variant>
      <vt:variant>
        <vt:i4>1622</vt:i4>
      </vt:variant>
      <vt:variant>
        <vt:i4>0</vt:i4>
      </vt:variant>
      <vt:variant>
        <vt:i4>5</vt:i4>
      </vt:variant>
      <vt:variant>
        <vt:lpwstr/>
      </vt:variant>
      <vt:variant>
        <vt:lpwstr>_Toc213772038</vt:lpwstr>
      </vt:variant>
      <vt:variant>
        <vt:i4>1048630</vt:i4>
      </vt:variant>
      <vt:variant>
        <vt:i4>1616</vt:i4>
      </vt:variant>
      <vt:variant>
        <vt:i4>0</vt:i4>
      </vt:variant>
      <vt:variant>
        <vt:i4>5</vt:i4>
      </vt:variant>
      <vt:variant>
        <vt:lpwstr/>
      </vt:variant>
      <vt:variant>
        <vt:lpwstr>_Toc213772037</vt:lpwstr>
      </vt:variant>
      <vt:variant>
        <vt:i4>1048630</vt:i4>
      </vt:variant>
      <vt:variant>
        <vt:i4>1610</vt:i4>
      </vt:variant>
      <vt:variant>
        <vt:i4>0</vt:i4>
      </vt:variant>
      <vt:variant>
        <vt:i4>5</vt:i4>
      </vt:variant>
      <vt:variant>
        <vt:lpwstr/>
      </vt:variant>
      <vt:variant>
        <vt:lpwstr>_Toc213772036</vt:lpwstr>
      </vt:variant>
      <vt:variant>
        <vt:i4>1048630</vt:i4>
      </vt:variant>
      <vt:variant>
        <vt:i4>1604</vt:i4>
      </vt:variant>
      <vt:variant>
        <vt:i4>0</vt:i4>
      </vt:variant>
      <vt:variant>
        <vt:i4>5</vt:i4>
      </vt:variant>
      <vt:variant>
        <vt:lpwstr/>
      </vt:variant>
      <vt:variant>
        <vt:lpwstr>_Toc213772035</vt:lpwstr>
      </vt:variant>
      <vt:variant>
        <vt:i4>1048630</vt:i4>
      </vt:variant>
      <vt:variant>
        <vt:i4>1598</vt:i4>
      </vt:variant>
      <vt:variant>
        <vt:i4>0</vt:i4>
      </vt:variant>
      <vt:variant>
        <vt:i4>5</vt:i4>
      </vt:variant>
      <vt:variant>
        <vt:lpwstr/>
      </vt:variant>
      <vt:variant>
        <vt:lpwstr>_Toc213772034</vt:lpwstr>
      </vt:variant>
      <vt:variant>
        <vt:i4>1048630</vt:i4>
      </vt:variant>
      <vt:variant>
        <vt:i4>1592</vt:i4>
      </vt:variant>
      <vt:variant>
        <vt:i4>0</vt:i4>
      </vt:variant>
      <vt:variant>
        <vt:i4>5</vt:i4>
      </vt:variant>
      <vt:variant>
        <vt:lpwstr/>
      </vt:variant>
      <vt:variant>
        <vt:lpwstr>_Toc213772033</vt:lpwstr>
      </vt:variant>
      <vt:variant>
        <vt:i4>1048630</vt:i4>
      </vt:variant>
      <vt:variant>
        <vt:i4>1586</vt:i4>
      </vt:variant>
      <vt:variant>
        <vt:i4>0</vt:i4>
      </vt:variant>
      <vt:variant>
        <vt:i4>5</vt:i4>
      </vt:variant>
      <vt:variant>
        <vt:lpwstr/>
      </vt:variant>
      <vt:variant>
        <vt:lpwstr>_Toc213772032</vt:lpwstr>
      </vt:variant>
      <vt:variant>
        <vt:i4>1048630</vt:i4>
      </vt:variant>
      <vt:variant>
        <vt:i4>1580</vt:i4>
      </vt:variant>
      <vt:variant>
        <vt:i4>0</vt:i4>
      </vt:variant>
      <vt:variant>
        <vt:i4>5</vt:i4>
      </vt:variant>
      <vt:variant>
        <vt:lpwstr/>
      </vt:variant>
      <vt:variant>
        <vt:lpwstr>_Toc213772031</vt:lpwstr>
      </vt:variant>
      <vt:variant>
        <vt:i4>1048630</vt:i4>
      </vt:variant>
      <vt:variant>
        <vt:i4>1574</vt:i4>
      </vt:variant>
      <vt:variant>
        <vt:i4>0</vt:i4>
      </vt:variant>
      <vt:variant>
        <vt:i4>5</vt:i4>
      </vt:variant>
      <vt:variant>
        <vt:lpwstr/>
      </vt:variant>
      <vt:variant>
        <vt:lpwstr>_Toc213772030</vt:lpwstr>
      </vt:variant>
      <vt:variant>
        <vt:i4>1114166</vt:i4>
      </vt:variant>
      <vt:variant>
        <vt:i4>1568</vt:i4>
      </vt:variant>
      <vt:variant>
        <vt:i4>0</vt:i4>
      </vt:variant>
      <vt:variant>
        <vt:i4>5</vt:i4>
      </vt:variant>
      <vt:variant>
        <vt:lpwstr/>
      </vt:variant>
      <vt:variant>
        <vt:lpwstr>_Toc213772029</vt:lpwstr>
      </vt:variant>
      <vt:variant>
        <vt:i4>1114166</vt:i4>
      </vt:variant>
      <vt:variant>
        <vt:i4>1562</vt:i4>
      </vt:variant>
      <vt:variant>
        <vt:i4>0</vt:i4>
      </vt:variant>
      <vt:variant>
        <vt:i4>5</vt:i4>
      </vt:variant>
      <vt:variant>
        <vt:lpwstr/>
      </vt:variant>
      <vt:variant>
        <vt:lpwstr>_Toc213772028</vt:lpwstr>
      </vt:variant>
      <vt:variant>
        <vt:i4>1114166</vt:i4>
      </vt:variant>
      <vt:variant>
        <vt:i4>1556</vt:i4>
      </vt:variant>
      <vt:variant>
        <vt:i4>0</vt:i4>
      </vt:variant>
      <vt:variant>
        <vt:i4>5</vt:i4>
      </vt:variant>
      <vt:variant>
        <vt:lpwstr/>
      </vt:variant>
      <vt:variant>
        <vt:lpwstr>_Toc213772027</vt:lpwstr>
      </vt:variant>
      <vt:variant>
        <vt:i4>1114166</vt:i4>
      </vt:variant>
      <vt:variant>
        <vt:i4>1550</vt:i4>
      </vt:variant>
      <vt:variant>
        <vt:i4>0</vt:i4>
      </vt:variant>
      <vt:variant>
        <vt:i4>5</vt:i4>
      </vt:variant>
      <vt:variant>
        <vt:lpwstr/>
      </vt:variant>
      <vt:variant>
        <vt:lpwstr>_Toc213772026</vt:lpwstr>
      </vt:variant>
      <vt:variant>
        <vt:i4>1114166</vt:i4>
      </vt:variant>
      <vt:variant>
        <vt:i4>1544</vt:i4>
      </vt:variant>
      <vt:variant>
        <vt:i4>0</vt:i4>
      </vt:variant>
      <vt:variant>
        <vt:i4>5</vt:i4>
      </vt:variant>
      <vt:variant>
        <vt:lpwstr/>
      </vt:variant>
      <vt:variant>
        <vt:lpwstr>_Toc213772025</vt:lpwstr>
      </vt:variant>
      <vt:variant>
        <vt:i4>1114166</vt:i4>
      </vt:variant>
      <vt:variant>
        <vt:i4>1538</vt:i4>
      </vt:variant>
      <vt:variant>
        <vt:i4>0</vt:i4>
      </vt:variant>
      <vt:variant>
        <vt:i4>5</vt:i4>
      </vt:variant>
      <vt:variant>
        <vt:lpwstr/>
      </vt:variant>
      <vt:variant>
        <vt:lpwstr>_Toc213772024</vt:lpwstr>
      </vt:variant>
      <vt:variant>
        <vt:i4>1114166</vt:i4>
      </vt:variant>
      <vt:variant>
        <vt:i4>1532</vt:i4>
      </vt:variant>
      <vt:variant>
        <vt:i4>0</vt:i4>
      </vt:variant>
      <vt:variant>
        <vt:i4>5</vt:i4>
      </vt:variant>
      <vt:variant>
        <vt:lpwstr/>
      </vt:variant>
      <vt:variant>
        <vt:lpwstr>_Toc213772023</vt:lpwstr>
      </vt:variant>
      <vt:variant>
        <vt:i4>1114166</vt:i4>
      </vt:variant>
      <vt:variant>
        <vt:i4>1526</vt:i4>
      </vt:variant>
      <vt:variant>
        <vt:i4>0</vt:i4>
      </vt:variant>
      <vt:variant>
        <vt:i4>5</vt:i4>
      </vt:variant>
      <vt:variant>
        <vt:lpwstr/>
      </vt:variant>
      <vt:variant>
        <vt:lpwstr>_Toc213772022</vt:lpwstr>
      </vt:variant>
      <vt:variant>
        <vt:i4>1114166</vt:i4>
      </vt:variant>
      <vt:variant>
        <vt:i4>1520</vt:i4>
      </vt:variant>
      <vt:variant>
        <vt:i4>0</vt:i4>
      </vt:variant>
      <vt:variant>
        <vt:i4>5</vt:i4>
      </vt:variant>
      <vt:variant>
        <vt:lpwstr/>
      </vt:variant>
      <vt:variant>
        <vt:lpwstr>_Toc213772021</vt:lpwstr>
      </vt:variant>
      <vt:variant>
        <vt:i4>1114166</vt:i4>
      </vt:variant>
      <vt:variant>
        <vt:i4>1514</vt:i4>
      </vt:variant>
      <vt:variant>
        <vt:i4>0</vt:i4>
      </vt:variant>
      <vt:variant>
        <vt:i4>5</vt:i4>
      </vt:variant>
      <vt:variant>
        <vt:lpwstr/>
      </vt:variant>
      <vt:variant>
        <vt:lpwstr>_Toc213772020</vt:lpwstr>
      </vt:variant>
      <vt:variant>
        <vt:i4>1179702</vt:i4>
      </vt:variant>
      <vt:variant>
        <vt:i4>1508</vt:i4>
      </vt:variant>
      <vt:variant>
        <vt:i4>0</vt:i4>
      </vt:variant>
      <vt:variant>
        <vt:i4>5</vt:i4>
      </vt:variant>
      <vt:variant>
        <vt:lpwstr/>
      </vt:variant>
      <vt:variant>
        <vt:lpwstr>_Toc213772019</vt:lpwstr>
      </vt:variant>
      <vt:variant>
        <vt:i4>1179702</vt:i4>
      </vt:variant>
      <vt:variant>
        <vt:i4>1502</vt:i4>
      </vt:variant>
      <vt:variant>
        <vt:i4>0</vt:i4>
      </vt:variant>
      <vt:variant>
        <vt:i4>5</vt:i4>
      </vt:variant>
      <vt:variant>
        <vt:lpwstr/>
      </vt:variant>
      <vt:variant>
        <vt:lpwstr>_Toc213772018</vt:lpwstr>
      </vt:variant>
      <vt:variant>
        <vt:i4>1179702</vt:i4>
      </vt:variant>
      <vt:variant>
        <vt:i4>1496</vt:i4>
      </vt:variant>
      <vt:variant>
        <vt:i4>0</vt:i4>
      </vt:variant>
      <vt:variant>
        <vt:i4>5</vt:i4>
      </vt:variant>
      <vt:variant>
        <vt:lpwstr/>
      </vt:variant>
      <vt:variant>
        <vt:lpwstr>_Toc213772017</vt:lpwstr>
      </vt:variant>
      <vt:variant>
        <vt:i4>1179702</vt:i4>
      </vt:variant>
      <vt:variant>
        <vt:i4>1490</vt:i4>
      </vt:variant>
      <vt:variant>
        <vt:i4>0</vt:i4>
      </vt:variant>
      <vt:variant>
        <vt:i4>5</vt:i4>
      </vt:variant>
      <vt:variant>
        <vt:lpwstr/>
      </vt:variant>
      <vt:variant>
        <vt:lpwstr>_Toc213772016</vt:lpwstr>
      </vt:variant>
      <vt:variant>
        <vt:i4>1179702</vt:i4>
      </vt:variant>
      <vt:variant>
        <vt:i4>1484</vt:i4>
      </vt:variant>
      <vt:variant>
        <vt:i4>0</vt:i4>
      </vt:variant>
      <vt:variant>
        <vt:i4>5</vt:i4>
      </vt:variant>
      <vt:variant>
        <vt:lpwstr/>
      </vt:variant>
      <vt:variant>
        <vt:lpwstr>_Toc213772015</vt:lpwstr>
      </vt:variant>
      <vt:variant>
        <vt:i4>1179702</vt:i4>
      </vt:variant>
      <vt:variant>
        <vt:i4>1478</vt:i4>
      </vt:variant>
      <vt:variant>
        <vt:i4>0</vt:i4>
      </vt:variant>
      <vt:variant>
        <vt:i4>5</vt:i4>
      </vt:variant>
      <vt:variant>
        <vt:lpwstr/>
      </vt:variant>
      <vt:variant>
        <vt:lpwstr>_Toc213772014</vt:lpwstr>
      </vt:variant>
      <vt:variant>
        <vt:i4>1179702</vt:i4>
      </vt:variant>
      <vt:variant>
        <vt:i4>1472</vt:i4>
      </vt:variant>
      <vt:variant>
        <vt:i4>0</vt:i4>
      </vt:variant>
      <vt:variant>
        <vt:i4>5</vt:i4>
      </vt:variant>
      <vt:variant>
        <vt:lpwstr/>
      </vt:variant>
      <vt:variant>
        <vt:lpwstr>_Toc213772013</vt:lpwstr>
      </vt:variant>
      <vt:variant>
        <vt:i4>1179702</vt:i4>
      </vt:variant>
      <vt:variant>
        <vt:i4>1466</vt:i4>
      </vt:variant>
      <vt:variant>
        <vt:i4>0</vt:i4>
      </vt:variant>
      <vt:variant>
        <vt:i4>5</vt:i4>
      </vt:variant>
      <vt:variant>
        <vt:lpwstr/>
      </vt:variant>
      <vt:variant>
        <vt:lpwstr>_Toc213772012</vt:lpwstr>
      </vt:variant>
      <vt:variant>
        <vt:i4>1179702</vt:i4>
      </vt:variant>
      <vt:variant>
        <vt:i4>1460</vt:i4>
      </vt:variant>
      <vt:variant>
        <vt:i4>0</vt:i4>
      </vt:variant>
      <vt:variant>
        <vt:i4>5</vt:i4>
      </vt:variant>
      <vt:variant>
        <vt:lpwstr/>
      </vt:variant>
      <vt:variant>
        <vt:lpwstr>_Toc213772011</vt:lpwstr>
      </vt:variant>
      <vt:variant>
        <vt:i4>1179702</vt:i4>
      </vt:variant>
      <vt:variant>
        <vt:i4>1454</vt:i4>
      </vt:variant>
      <vt:variant>
        <vt:i4>0</vt:i4>
      </vt:variant>
      <vt:variant>
        <vt:i4>5</vt:i4>
      </vt:variant>
      <vt:variant>
        <vt:lpwstr/>
      </vt:variant>
      <vt:variant>
        <vt:lpwstr>_Toc213772010</vt:lpwstr>
      </vt:variant>
      <vt:variant>
        <vt:i4>1245238</vt:i4>
      </vt:variant>
      <vt:variant>
        <vt:i4>1448</vt:i4>
      </vt:variant>
      <vt:variant>
        <vt:i4>0</vt:i4>
      </vt:variant>
      <vt:variant>
        <vt:i4>5</vt:i4>
      </vt:variant>
      <vt:variant>
        <vt:lpwstr/>
      </vt:variant>
      <vt:variant>
        <vt:lpwstr>_Toc213772007</vt:lpwstr>
      </vt:variant>
      <vt:variant>
        <vt:i4>1245238</vt:i4>
      </vt:variant>
      <vt:variant>
        <vt:i4>1442</vt:i4>
      </vt:variant>
      <vt:variant>
        <vt:i4>0</vt:i4>
      </vt:variant>
      <vt:variant>
        <vt:i4>5</vt:i4>
      </vt:variant>
      <vt:variant>
        <vt:lpwstr/>
      </vt:variant>
      <vt:variant>
        <vt:lpwstr>_Toc213772006</vt:lpwstr>
      </vt:variant>
      <vt:variant>
        <vt:i4>1245238</vt:i4>
      </vt:variant>
      <vt:variant>
        <vt:i4>1436</vt:i4>
      </vt:variant>
      <vt:variant>
        <vt:i4>0</vt:i4>
      </vt:variant>
      <vt:variant>
        <vt:i4>5</vt:i4>
      </vt:variant>
      <vt:variant>
        <vt:lpwstr/>
      </vt:variant>
      <vt:variant>
        <vt:lpwstr>_Toc213772005</vt:lpwstr>
      </vt:variant>
      <vt:variant>
        <vt:i4>1245238</vt:i4>
      </vt:variant>
      <vt:variant>
        <vt:i4>1430</vt:i4>
      </vt:variant>
      <vt:variant>
        <vt:i4>0</vt:i4>
      </vt:variant>
      <vt:variant>
        <vt:i4>5</vt:i4>
      </vt:variant>
      <vt:variant>
        <vt:lpwstr/>
      </vt:variant>
      <vt:variant>
        <vt:lpwstr>_Toc213772004</vt:lpwstr>
      </vt:variant>
      <vt:variant>
        <vt:i4>1245238</vt:i4>
      </vt:variant>
      <vt:variant>
        <vt:i4>1424</vt:i4>
      </vt:variant>
      <vt:variant>
        <vt:i4>0</vt:i4>
      </vt:variant>
      <vt:variant>
        <vt:i4>5</vt:i4>
      </vt:variant>
      <vt:variant>
        <vt:lpwstr/>
      </vt:variant>
      <vt:variant>
        <vt:lpwstr>_Toc213772003</vt:lpwstr>
      </vt:variant>
      <vt:variant>
        <vt:i4>1245238</vt:i4>
      </vt:variant>
      <vt:variant>
        <vt:i4>1418</vt:i4>
      </vt:variant>
      <vt:variant>
        <vt:i4>0</vt:i4>
      </vt:variant>
      <vt:variant>
        <vt:i4>5</vt:i4>
      </vt:variant>
      <vt:variant>
        <vt:lpwstr/>
      </vt:variant>
      <vt:variant>
        <vt:lpwstr>_Toc213772002</vt:lpwstr>
      </vt:variant>
      <vt:variant>
        <vt:i4>1245238</vt:i4>
      </vt:variant>
      <vt:variant>
        <vt:i4>1412</vt:i4>
      </vt:variant>
      <vt:variant>
        <vt:i4>0</vt:i4>
      </vt:variant>
      <vt:variant>
        <vt:i4>5</vt:i4>
      </vt:variant>
      <vt:variant>
        <vt:lpwstr/>
      </vt:variant>
      <vt:variant>
        <vt:lpwstr>_Toc213772001</vt:lpwstr>
      </vt:variant>
      <vt:variant>
        <vt:i4>1245238</vt:i4>
      </vt:variant>
      <vt:variant>
        <vt:i4>1406</vt:i4>
      </vt:variant>
      <vt:variant>
        <vt:i4>0</vt:i4>
      </vt:variant>
      <vt:variant>
        <vt:i4>5</vt:i4>
      </vt:variant>
      <vt:variant>
        <vt:lpwstr/>
      </vt:variant>
      <vt:variant>
        <vt:lpwstr>_Toc213772000</vt:lpwstr>
      </vt:variant>
      <vt:variant>
        <vt:i4>1638463</vt:i4>
      </vt:variant>
      <vt:variant>
        <vt:i4>1400</vt:i4>
      </vt:variant>
      <vt:variant>
        <vt:i4>0</vt:i4>
      </vt:variant>
      <vt:variant>
        <vt:i4>5</vt:i4>
      </vt:variant>
      <vt:variant>
        <vt:lpwstr/>
      </vt:variant>
      <vt:variant>
        <vt:lpwstr>_Toc213771999</vt:lpwstr>
      </vt:variant>
      <vt:variant>
        <vt:i4>1638463</vt:i4>
      </vt:variant>
      <vt:variant>
        <vt:i4>1394</vt:i4>
      </vt:variant>
      <vt:variant>
        <vt:i4>0</vt:i4>
      </vt:variant>
      <vt:variant>
        <vt:i4>5</vt:i4>
      </vt:variant>
      <vt:variant>
        <vt:lpwstr/>
      </vt:variant>
      <vt:variant>
        <vt:lpwstr>_Toc213771998</vt:lpwstr>
      </vt:variant>
      <vt:variant>
        <vt:i4>1638463</vt:i4>
      </vt:variant>
      <vt:variant>
        <vt:i4>1388</vt:i4>
      </vt:variant>
      <vt:variant>
        <vt:i4>0</vt:i4>
      </vt:variant>
      <vt:variant>
        <vt:i4>5</vt:i4>
      </vt:variant>
      <vt:variant>
        <vt:lpwstr/>
      </vt:variant>
      <vt:variant>
        <vt:lpwstr>_Toc213771992</vt:lpwstr>
      </vt:variant>
      <vt:variant>
        <vt:i4>1638463</vt:i4>
      </vt:variant>
      <vt:variant>
        <vt:i4>1382</vt:i4>
      </vt:variant>
      <vt:variant>
        <vt:i4>0</vt:i4>
      </vt:variant>
      <vt:variant>
        <vt:i4>5</vt:i4>
      </vt:variant>
      <vt:variant>
        <vt:lpwstr/>
      </vt:variant>
      <vt:variant>
        <vt:lpwstr>_Toc213771991</vt:lpwstr>
      </vt:variant>
      <vt:variant>
        <vt:i4>1572927</vt:i4>
      </vt:variant>
      <vt:variant>
        <vt:i4>1376</vt:i4>
      </vt:variant>
      <vt:variant>
        <vt:i4>0</vt:i4>
      </vt:variant>
      <vt:variant>
        <vt:i4>5</vt:i4>
      </vt:variant>
      <vt:variant>
        <vt:lpwstr/>
      </vt:variant>
      <vt:variant>
        <vt:lpwstr>_Toc213771989</vt:lpwstr>
      </vt:variant>
      <vt:variant>
        <vt:i4>1572927</vt:i4>
      </vt:variant>
      <vt:variant>
        <vt:i4>1370</vt:i4>
      </vt:variant>
      <vt:variant>
        <vt:i4>0</vt:i4>
      </vt:variant>
      <vt:variant>
        <vt:i4>5</vt:i4>
      </vt:variant>
      <vt:variant>
        <vt:lpwstr/>
      </vt:variant>
      <vt:variant>
        <vt:lpwstr>_Toc213771988</vt:lpwstr>
      </vt:variant>
      <vt:variant>
        <vt:i4>1572927</vt:i4>
      </vt:variant>
      <vt:variant>
        <vt:i4>1364</vt:i4>
      </vt:variant>
      <vt:variant>
        <vt:i4>0</vt:i4>
      </vt:variant>
      <vt:variant>
        <vt:i4>5</vt:i4>
      </vt:variant>
      <vt:variant>
        <vt:lpwstr/>
      </vt:variant>
      <vt:variant>
        <vt:lpwstr>_Toc213771986</vt:lpwstr>
      </vt:variant>
      <vt:variant>
        <vt:i4>1572927</vt:i4>
      </vt:variant>
      <vt:variant>
        <vt:i4>1358</vt:i4>
      </vt:variant>
      <vt:variant>
        <vt:i4>0</vt:i4>
      </vt:variant>
      <vt:variant>
        <vt:i4>5</vt:i4>
      </vt:variant>
      <vt:variant>
        <vt:lpwstr/>
      </vt:variant>
      <vt:variant>
        <vt:lpwstr>_Toc213771985</vt:lpwstr>
      </vt:variant>
      <vt:variant>
        <vt:i4>1572927</vt:i4>
      </vt:variant>
      <vt:variant>
        <vt:i4>1352</vt:i4>
      </vt:variant>
      <vt:variant>
        <vt:i4>0</vt:i4>
      </vt:variant>
      <vt:variant>
        <vt:i4>5</vt:i4>
      </vt:variant>
      <vt:variant>
        <vt:lpwstr/>
      </vt:variant>
      <vt:variant>
        <vt:lpwstr>_Toc213771984</vt:lpwstr>
      </vt:variant>
      <vt:variant>
        <vt:i4>1572927</vt:i4>
      </vt:variant>
      <vt:variant>
        <vt:i4>1346</vt:i4>
      </vt:variant>
      <vt:variant>
        <vt:i4>0</vt:i4>
      </vt:variant>
      <vt:variant>
        <vt:i4>5</vt:i4>
      </vt:variant>
      <vt:variant>
        <vt:lpwstr/>
      </vt:variant>
      <vt:variant>
        <vt:lpwstr>_Toc213771983</vt:lpwstr>
      </vt:variant>
      <vt:variant>
        <vt:i4>1572927</vt:i4>
      </vt:variant>
      <vt:variant>
        <vt:i4>1340</vt:i4>
      </vt:variant>
      <vt:variant>
        <vt:i4>0</vt:i4>
      </vt:variant>
      <vt:variant>
        <vt:i4>5</vt:i4>
      </vt:variant>
      <vt:variant>
        <vt:lpwstr/>
      </vt:variant>
      <vt:variant>
        <vt:lpwstr>_Toc213771982</vt:lpwstr>
      </vt:variant>
      <vt:variant>
        <vt:i4>1572927</vt:i4>
      </vt:variant>
      <vt:variant>
        <vt:i4>1334</vt:i4>
      </vt:variant>
      <vt:variant>
        <vt:i4>0</vt:i4>
      </vt:variant>
      <vt:variant>
        <vt:i4>5</vt:i4>
      </vt:variant>
      <vt:variant>
        <vt:lpwstr/>
      </vt:variant>
      <vt:variant>
        <vt:lpwstr>_Toc213771981</vt:lpwstr>
      </vt:variant>
      <vt:variant>
        <vt:i4>1572927</vt:i4>
      </vt:variant>
      <vt:variant>
        <vt:i4>1328</vt:i4>
      </vt:variant>
      <vt:variant>
        <vt:i4>0</vt:i4>
      </vt:variant>
      <vt:variant>
        <vt:i4>5</vt:i4>
      </vt:variant>
      <vt:variant>
        <vt:lpwstr/>
      </vt:variant>
      <vt:variant>
        <vt:lpwstr>_Toc213771980</vt:lpwstr>
      </vt:variant>
      <vt:variant>
        <vt:i4>1507391</vt:i4>
      </vt:variant>
      <vt:variant>
        <vt:i4>1322</vt:i4>
      </vt:variant>
      <vt:variant>
        <vt:i4>0</vt:i4>
      </vt:variant>
      <vt:variant>
        <vt:i4>5</vt:i4>
      </vt:variant>
      <vt:variant>
        <vt:lpwstr/>
      </vt:variant>
      <vt:variant>
        <vt:lpwstr>_Toc213771979</vt:lpwstr>
      </vt:variant>
      <vt:variant>
        <vt:i4>1507391</vt:i4>
      </vt:variant>
      <vt:variant>
        <vt:i4>1316</vt:i4>
      </vt:variant>
      <vt:variant>
        <vt:i4>0</vt:i4>
      </vt:variant>
      <vt:variant>
        <vt:i4>5</vt:i4>
      </vt:variant>
      <vt:variant>
        <vt:lpwstr/>
      </vt:variant>
      <vt:variant>
        <vt:lpwstr>_Toc213771978</vt:lpwstr>
      </vt:variant>
      <vt:variant>
        <vt:i4>1507391</vt:i4>
      </vt:variant>
      <vt:variant>
        <vt:i4>1310</vt:i4>
      </vt:variant>
      <vt:variant>
        <vt:i4>0</vt:i4>
      </vt:variant>
      <vt:variant>
        <vt:i4>5</vt:i4>
      </vt:variant>
      <vt:variant>
        <vt:lpwstr/>
      </vt:variant>
      <vt:variant>
        <vt:lpwstr>_Toc213771977</vt:lpwstr>
      </vt:variant>
      <vt:variant>
        <vt:i4>1441855</vt:i4>
      </vt:variant>
      <vt:variant>
        <vt:i4>1304</vt:i4>
      </vt:variant>
      <vt:variant>
        <vt:i4>0</vt:i4>
      </vt:variant>
      <vt:variant>
        <vt:i4>5</vt:i4>
      </vt:variant>
      <vt:variant>
        <vt:lpwstr/>
      </vt:variant>
      <vt:variant>
        <vt:lpwstr>_Toc213771967</vt:lpwstr>
      </vt:variant>
      <vt:variant>
        <vt:i4>1441855</vt:i4>
      </vt:variant>
      <vt:variant>
        <vt:i4>1298</vt:i4>
      </vt:variant>
      <vt:variant>
        <vt:i4>0</vt:i4>
      </vt:variant>
      <vt:variant>
        <vt:i4>5</vt:i4>
      </vt:variant>
      <vt:variant>
        <vt:lpwstr/>
      </vt:variant>
      <vt:variant>
        <vt:lpwstr>_Toc213771966</vt:lpwstr>
      </vt:variant>
      <vt:variant>
        <vt:i4>1441855</vt:i4>
      </vt:variant>
      <vt:variant>
        <vt:i4>1292</vt:i4>
      </vt:variant>
      <vt:variant>
        <vt:i4>0</vt:i4>
      </vt:variant>
      <vt:variant>
        <vt:i4>5</vt:i4>
      </vt:variant>
      <vt:variant>
        <vt:lpwstr/>
      </vt:variant>
      <vt:variant>
        <vt:lpwstr>_Toc213771965</vt:lpwstr>
      </vt:variant>
      <vt:variant>
        <vt:i4>1441855</vt:i4>
      </vt:variant>
      <vt:variant>
        <vt:i4>1286</vt:i4>
      </vt:variant>
      <vt:variant>
        <vt:i4>0</vt:i4>
      </vt:variant>
      <vt:variant>
        <vt:i4>5</vt:i4>
      </vt:variant>
      <vt:variant>
        <vt:lpwstr/>
      </vt:variant>
      <vt:variant>
        <vt:lpwstr>_Toc213771964</vt:lpwstr>
      </vt:variant>
      <vt:variant>
        <vt:i4>1441855</vt:i4>
      </vt:variant>
      <vt:variant>
        <vt:i4>1280</vt:i4>
      </vt:variant>
      <vt:variant>
        <vt:i4>0</vt:i4>
      </vt:variant>
      <vt:variant>
        <vt:i4>5</vt:i4>
      </vt:variant>
      <vt:variant>
        <vt:lpwstr/>
      </vt:variant>
      <vt:variant>
        <vt:lpwstr>_Toc213771963</vt:lpwstr>
      </vt:variant>
      <vt:variant>
        <vt:i4>1441855</vt:i4>
      </vt:variant>
      <vt:variant>
        <vt:i4>1274</vt:i4>
      </vt:variant>
      <vt:variant>
        <vt:i4>0</vt:i4>
      </vt:variant>
      <vt:variant>
        <vt:i4>5</vt:i4>
      </vt:variant>
      <vt:variant>
        <vt:lpwstr/>
      </vt:variant>
      <vt:variant>
        <vt:lpwstr>_Toc213771962</vt:lpwstr>
      </vt:variant>
      <vt:variant>
        <vt:i4>1441855</vt:i4>
      </vt:variant>
      <vt:variant>
        <vt:i4>1268</vt:i4>
      </vt:variant>
      <vt:variant>
        <vt:i4>0</vt:i4>
      </vt:variant>
      <vt:variant>
        <vt:i4>5</vt:i4>
      </vt:variant>
      <vt:variant>
        <vt:lpwstr/>
      </vt:variant>
      <vt:variant>
        <vt:lpwstr>_Toc213771961</vt:lpwstr>
      </vt:variant>
      <vt:variant>
        <vt:i4>1441855</vt:i4>
      </vt:variant>
      <vt:variant>
        <vt:i4>1262</vt:i4>
      </vt:variant>
      <vt:variant>
        <vt:i4>0</vt:i4>
      </vt:variant>
      <vt:variant>
        <vt:i4>5</vt:i4>
      </vt:variant>
      <vt:variant>
        <vt:lpwstr/>
      </vt:variant>
      <vt:variant>
        <vt:lpwstr>_Toc213771960</vt:lpwstr>
      </vt:variant>
      <vt:variant>
        <vt:i4>1376319</vt:i4>
      </vt:variant>
      <vt:variant>
        <vt:i4>1256</vt:i4>
      </vt:variant>
      <vt:variant>
        <vt:i4>0</vt:i4>
      </vt:variant>
      <vt:variant>
        <vt:i4>5</vt:i4>
      </vt:variant>
      <vt:variant>
        <vt:lpwstr/>
      </vt:variant>
      <vt:variant>
        <vt:lpwstr>_Toc213771959</vt:lpwstr>
      </vt:variant>
      <vt:variant>
        <vt:i4>1376319</vt:i4>
      </vt:variant>
      <vt:variant>
        <vt:i4>1250</vt:i4>
      </vt:variant>
      <vt:variant>
        <vt:i4>0</vt:i4>
      </vt:variant>
      <vt:variant>
        <vt:i4>5</vt:i4>
      </vt:variant>
      <vt:variant>
        <vt:lpwstr/>
      </vt:variant>
      <vt:variant>
        <vt:lpwstr>_Toc213771958</vt:lpwstr>
      </vt:variant>
      <vt:variant>
        <vt:i4>1376319</vt:i4>
      </vt:variant>
      <vt:variant>
        <vt:i4>1244</vt:i4>
      </vt:variant>
      <vt:variant>
        <vt:i4>0</vt:i4>
      </vt:variant>
      <vt:variant>
        <vt:i4>5</vt:i4>
      </vt:variant>
      <vt:variant>
        <vt:lpwstr/>
      </vt:variant>
      <vt:variant>
        <vt:lpwstr>_Toc213771956</vt:lpwstr>
      </vt:variant>
      <vt:variant>
        <vt:i4>1310783</vt:i4>
      </vt:variant>
      <vt:variant>
        <vt:i4>1238</vt:i4>
      </vt:variant>
      <vt:variant>
        <vt:i4>0</vt:i4>
      </vt:variant>
      <vt:variant>
        <vt:i4>5</vt:i4>
      </vt:variant>
      <vt:variant>
        <vt:lpwstr/>
      </vt:variant>
      <vt:variant>
        <vt:lpwstr>_Toc213771949</vt:lpwstr>
      </vt:variant>
      <vt:variant>
        <vt:i4>1310783</vt:i4>
      </vt:variant>
      <vt:variant>
        <vt:i4>1232</vt:i4>
      </vt:variant>
      <vt:variant>
        <vt:i4>0</vt:i4>
      </vt:variant>
      <vt:variant>
        <vt:i4>5</vt:i4>
      </vt:variant>
      <vt:variant>
        <vt:lpwstr/>
      </vt:variant>
      <vt:variant>
        <vt:lpwstr>_Toc213771948</vt:lpwstr>
      </vt:variant>
      <vt:variant>
        <vt:i4>1310783</vt:i4>
      </vt:variant>
      <vt:variant>
        <vt:i4>1226</vt:i4>
      </vt:variant>
      <vt:variant>
        <vt:i4>0</vt:i4>
      </vt:variant>
      <vt:variant>
        <vt:i4>5</vt:i4>
      </vt:variant>
      <vt:variant>
        <vt:lpwstr/>
      </vt:variant>
      <vt:variant>
        <vt:lpwstr>_Toc213771947</vt:lpwstr>
      </vt:variant>
      <vt:variant>
        <vt:i4>1310783</vt:i4>
      </vt:variant>
      <vt:variant>
        <vt:i4>1220</vt:i4>
      </vt:variant>
      <vt:variant>
        <vt:i4>0</vt:i4>
      </vt:variant>
      <vt:variant>
        <vt:i4>5</vt:i4>
      </vt:variant>
      <vt:variant>
        <vt:lpwstr/>
      </vt:variant>
      <vt:variant>
        <vt:lpwstr>_Toc213771945</vt:lpwstr>
      </vt:variant>
      <vt:variant>
        <vt:i4>1310783</vt:i4>
      </vt:variant>
      <vt:variant>
        <vt:i4>1214</vt:i4>
      </vt:variant>
      <vt:variant>
        <vt:i4>0</vt:i4>
      </vt:variant>
      <vt:variant>
        <vt:i4>5</vt:i4>
      </vt:variant>
      <vt:variant>
        <vt:lpwstr/>
      </vt:variant>
      <vt:variant>
        <vt:lpwstr>_Toc213771944</vt:lpwstr>
      </vt:variant>
      <vt:variant>
        <vt:i4>1310783</vt:i4>
      </vt:variant>
      <vt:variant>
        <vt:i4>1208</vt:i4>
      </vt:variant>
      <vt:variant>
        <vt:i4>0</vt:i4>
      </vt:variant>
      <vt:variant>
        <vt:i4>5</vt:i4>
      </vt:variant>
      <vt:variant>
        <vt:lpwstr/>
      </vt:variant>
      <vt:variant>
        <vt:lpwstr>_Toc213771943</vt:lpwstr>
      </vt:variant>
      <vt:variant>
        <vt:i4>1310783</vt:i4>
      </vt:variant>
      <vt:variant>
        <vt:i4>1202</vt:i4>
      </vt:variant>
      <vt:variant>
        <vt:i4>0</vt:i4>
      </vt:variant>
      <vt:variant>
        <vt:i4>5</vt:i4>
      </vt:variant>
      <vt:variant>
        <vt:lpwstr/>
      </vt:variant>
      <vt:variant>
        <vt:lpwstr>_Toc213771942</vt:lpwstr>
      </vt:variant>
      <vt:variant>
        <vt:i4>1310783</vt:i4>
      </vt:variant>
      <vt:variant>
        <vt:i4>1196</vt:i4>
      </vt:variant>
      <vt:variant>
        <vt:i4>0</vt:i4>
      </vt:variant>
      <vt:variant>
        <vt:i4>5</vt:i4>
      </vt:variant>
      <vt:variant>
        <vt:lpwstr/>
      </vt:variant>
      <vt:variant>
        <vt:lpwstr>_Toc213771941</vt:lpwstr>
      </vt:variant>
      <vt:variant>
        <vt:i4>1310783</vt:i4>
      </vt:variant>
      <vt:variant>
        <vt:i4>1190</vt:i4>
      </vt:variant>
      <vt:variant>
        <vt:i4>0</vt:i4>
      </vt:variant>
      <vt:variant>
        <vt:i4>5</vt:i4>
      </vt:variant>
      <vt:variant>
        <vt:lpwstr/>
      </vt:variant>
      <vt:variant>
        <vt:lpwstr>_Toc213771940</vt:lpwstr>
      </vt:variant>
      <vt:variant>
        <vt:i4>1245247</vt:i4>
      </vt:variant>
      <vt:variant>
        <vt:i4>1184</vt:i4>
      </vt:variant>
      <vt:variant>
        <vt:i4>0</vt:i4>
      </vt:variant>
      <vt:variant>
        <vt:i4>5</vt:i4>
      </vt:variant>
      <vt:variant>
        <vt:lpwstr/>
      </vt:variant>
      <vt:variant>
        <vt:lpwstr>_Toc213771939</vt:lpwstr>
      </vt:variant>
      <vt:variant>
        <vt:i4>1245247</vt:i4>
      </vt:variant>
      <vt:variant>
        <vt:i4>1178</vt:i4>
      </vt:variant>
      <vt:variant>
        <vt:i4>0</vt:i4>
      </vt:variant>
      <vt:variant>
        <vt:i4>5</vt:i4>
      </vt:variant>
      <vt:variant>
        <vt:lpwstr/>
      </vt:variant>
      <vt:variant>
        <vt:lpwstr>_Toc213771938</vt:lpwstr>
      </vt:variant>
      <vt:variant>
        <vt:i4>1245247</vt:i4>
      </vt:variant>
      <vt:variant>
        <vt:i4>1172</vt:i4>
      </vt:variant>
      <vt:variant>
        <vt:i4>0</vt:i4>
      </vt:variant>
      <vt:variant>
        <vt:i4>5</vt:i4>
      </vt:variant>
      <vt:variant>
        <vt:lpwstr/>
      </vt:variant>
      <vt:variant>
        <vt:lpwstr>_Toc213771937</vt:lpwstr>
      </vt:variant>
      <vt:variant>
        <vt:i4>1245247</vt:i4>
      </vt:variant>
      <vt:variant>
        <vt:i4>1166</vt:i4>
      </vt:variant>
      <vt:variant>
        <vt:i4>0</vt:i4>
      </vt:variant>
      <vt:variant>
        <vt:i4>5</vt:i4>
      </vt:variant>
      <vt:variant>
        <vt:lpwstr/>
      </vt:variant>
      <vt:variant>
        <vt:lpwstr>_Toc213771936</vt:lpwstr>
      </vt:variant>
      <vt:variant>
        <vt:i4>1245247</vt:i4>
      </vt:variant>
      <vt:variant>
        <vt:i4>1160</vt:i4>
      </vt:variant>
      <vt:variant>
        <vt:i4>0</vt:i4>
      </vt:variant>
      <vt:variant>
        <vt:i4>5</vt:i4>
      </vt:variant>
      <vt:variant>
        <vt:lpwstr/>
      </vt:variant>
      <vt:variant>
        <vt:lpwstr>_Toc213771935</vt:lpwstr>
      </vt:variant>
      <vt:variant>
        <vt:i4>1245247</vt:i4>
      </vt:variant>
      <vt:variant>
        <vt:i4>1154</vt:i4>
      </vt:variant>
      <vt:variant>
        <vt:i4>0</vt:i4>
      </vt:variant>
      <vt:variant>
        <vt:i4>5</vt:i4>
      </vt:variant>
      <vt:variant>
        <vt:lpwstr/>
      </vt:variant>
      <vt:variant>
        <vt:lpwstr>_Toc213771934</vt:lpwstr>
      </vt:variant>
      <vt:variant>
        <vt:i4>1245247</vt:i4>
      </vt:variant>
      <vt:variant>
        <vt:i4>1148</vt:i4>
      </vt:variant>
      <vt:variant>
        <vt:i4>0</vt:i4>
      </vt:variant>
      <vt:variant>
        <vt:i4>5</vt:i4>
      </vt:variant>
      <vt:variant>
        <vt:lpwstr/>
      </vt:variant>
      <vt:variant>
        <vt:lpwstr>_Toc213771933</vt:lpwstr>
      </vt:variant>
      <vt:variant>
        <vt:i4>1245247</vt:i4>
      </vt:variant>
      <vt:variant>
        <vt:i4>1142</vt:i4>
      </vt:variant>
      <vt:variant>
        <vt:i4>0</vt:i4>
      </vt:variant>
      <vt:variant>
        <vt:i4>5</vt:i4>
      </vt:variant>
      <vt:variant>
        <vt:lpwstr/>
      </vt:variant>
      <vt:variant>
        <vt:lpwstr>_Toc213771932</vt:lpwstr>
      </vt:variant>
      <vt:variant>
        <vt:i4>1245247</vt:i4>
      </vt:variant>
      <vt:variant>
        <vt:i4>1136</vt:i4>
      </vt:variant>
      <vt:variant>
        <vt:i4>0</vt:i4>
      </vt:variant>
      <vt:variant>
        <vt:i4>5</vt:i4>
      </vt:variant>
      <vt:variant>
        <vt:lpwstr/>
      </vt:variant>
      <vt:variant>
        <vt:lpwstr>_Toc213771931</vt:lpwstr>
      </vt:variant>
      <vt:variant>
        <vt:i4>1245247</vt:i4>
      </vt:variant>
      <vt:variant>
        <vt:i4>1130</vt:i4>
      </vt:variant>
      <vt:variant>
        <vt:i4>0</vt:i4>
      </vt:variant>
      <vt:variant>
        <vt:i4>5</vt:i4>
      </vt:variant>
      <vt:variant>
        <vt:lpwstr/>
      </vt:variant>
      <vt:variant>
        <vt:lpwstr>_Toc213771930</vt:lpwstr>
      </vt:variant>
      <vt:variant>
        <vt:i4>1179711</vt:i4>
      </vt:variant>
      <vt:variant>
        <vt:i4>1124</vt:i4>
      </vt:variant>
      <vt:variant>
        <vt:i4>0</vt:i4>
      </vt:variant>
      <vt:variant>
        <vt:i4>5</vt:i4>
      </vt:variant>
      <vt:variant>
        <vt:lpwstr/>
      </vt:variant>
      <vt:variant>
        <vt:lpwstr>_Toc213771929</vt:lpwstr>
      </vt:variant>
      <vt:variant>
        <vt:i4>1179711</vt:i4>
      </vt:variant>
      <vt:variant>
        <vt:i4>1118</vt:i4>
      </vt:variant>
      <vt:variant>
        <vt:i4>0</vt:i4>
      </vt:variant>
      <vt:variant>
        <vt:i4>5</vt:i4>
      </vt:variant>
      <vt:variant>
        <vt:lpwstr/>
      </vt:variant>
      <vt:variant>
        <vt:lpwstr>_Toc213771928</vt:lpwstr>
      </vt:variant>
      <vt:variant>
        <vt:i4>1179711</vt:i4>
      </vt:variant>
      <vt:variant>
        <vt:i4>1112</vt:i4>
      </vt:variant>
      <vt:variant>
        <vt:i4>0</vt:i4>
      </vt:variant>
      <vt:variant>
        <vt:i4>5</vt:i4>
      </vt:variant>
      <vt:variant>
        <vt:lpwstr/>
      </vt:variant>
      <vt:variant>
        <vt:lpwstr>_Toc213771927</vt:lpwstr>
      </vt:variant>
      <vt:variant>
        <vt:i4>1179711</vt:i4>
      </vt:variant>
      <vt:variant>
        <vt:i4>1106</vt:i4>
      </vt:variant>
      <vt:variant>
        <vt:i4>0</vt:i4>
      </vt:variant>
      <vt:variant>
        <vt:i4>5</vt:i4>
      </vt:variant>
      <vt:variant>
        <vt:lpwstr/>
      </vt:variant>
      <vt:variant>
        <vt:lpwstr>_Toc213771926</vt:lpwstr>
      </vt:variant>
      <vt:variant>
        <vt:i4>1179711</vt:i4>
      </vt:variant>
      <vt:variant>
        <vt:i4>1100</vt:i4>
      </vt:variant>
      <vt:variant>
        <vt:i4>0</vt:i4>
      </vt:variant>
      <vt:variant>
        <vt:i4>5</vt:i4>
      </vt:variant>
      <vt:variant>
        <vt:lpwstr/>
      </vt:variant>
      <vt:variant>
        <vt:lpwstr>_Toc213771925</vt:lpwstr>
      </vt:variant>
      <vt:variant>
        <vt:i4>1179711</vt:i4>
      </vt:variant>
      <vt:variant>
        <vt:i4>1094</vt:i4>
      </vt:variant>
      <vt:variant>
        <vt:i4>0</vt:i4>
      </vt:variant>
      <vt:variant>
        <vt:i4>5</vt:i4>
      </vt:variant>
      <vt:variant>
        <vt:lpwstr/>
      </vt:variant>
      <vt:variant>
        <vt:lpwstr>_Toc213771924</vt:lpwstr>
      </vt:variant>
      <vt:variant>
        <vt:i4>1179711</vt:i4>
      </vt:variant>
      <vt:variant>
        <vt:i4>1088</vt:i4>
      </vt:variant>
      <vt:variant>
        <vt:i4>0</vt:i4>
      </vt:variant>
      <vt:variant>
        <vt:i4>5</vt:i4>
      </vt:variant>
      <vt:variant>
        <vt:lpwstr/>
      </vt:variant>
      <vt:variant>
        <vt:lpwstr>_Toc213771923</vt:lpwstr>
      </vt:variant>
      <vt:variant>
        <vt:i4>1179711</vt:i4>
      </vt:variant>
      <vt:variant>
        <vt:i4>1082</vt:i4>
      </vt:variant>
      <vt:variant>
        <vt:i4>0</vt:i4>
      </vt:variant>
      <vt:variant>
        <vt:i4>5</vt:i4>
      </vt:variant>
      <vt:variant>
        <vt:lpwstr/>
      </vt:variant>
      <vt:variant>
        <vt:lpwstr>_Toc213771922</vt:lpwstr>
      </vt:variant>
      <vt:variant>
        <vt:i4>1179711</vt:i4>
      </vt:variant>
      <vt:variant>
        <vt:i4>1076</vt:i4>
      </vt:variant>
      <vt:variant>
        <vt:i4>0</vt:i4>
      </vt:variant>
      <vt:variant>
        <vt:i4>5</vt:i4>
      </vt:variant>
      <vt:variant>
        <vt:lpwstr/>
      </vt:variant>
      <vt:variant>
        <vt:lpwstr>_Toc213771921</vt:lpwstr>
      </vt:variant>
      <vt:variant>
        <vt:i4>1179711</vt:i4>
      </vt:variant>
      <vt:variant>
        <vt:i4>1070</vt:i4>
      </vt:variant>
      <vt:variant>
        <vt:i4>0</vt:i4>
      </vt:variant>
      <vt:variant>
        <vt:i4>5</vt:i4>
      </vt:variant>
      <vt:variant>
        <vt:lpwstr/>
      </vt:variant>
      <vt:variant>
        <vt:lpwstr>_Toc213771920</vt:lpwstr>
      </vt:variant>
      <vt:variant>
        <vt:i4>1114175</vt:i4>
      </vt:variant>
      <vt:variant>
        <vt:i4>1064</vt:i4>
      </vt:variant>
      <vt:variant>
        <vt:i4>0</vt:i4>
      </vt:variant>
      <vt:variant>
        <vt:i4>5</vt:i4>
      </vt:variant>
      <vt:variant>
        <vt:lpwstr/>
      </vt:variant>
      <vt:variant>
        <vt:lpwstr>_Toc213771919</vt:lpwstr>
      </vt:variant>
      <vt:variant>
        <vt:i4>1114175</vt:i4>
      </vt:variant>
      <vt:variant>
        <vt:i4>1058</vt:i4>
      </vt:variant>
      <vt:variant>
        <vt:i4>0</vt:i4>
      </vt:variant>
      <vt:variant>
        <vt:i4>5</vt:i4>
      </vt:variant>
      <vt:variant>
        <vt:lpwstr/>
      </vt:variant>
      <vt:variant>
        <vt:lpwstr>_Toc213771918</vt:lpwstr>
      </vt:variant>
      <vt:variant>
        <vt:i4>1114175</vt:i4>
      </vt:variant>
      <vt:variant>
        <vt:i4>1052</vt:i4>
      </vt:variant>
      <vt:variant>
        <vt:i4>0</vt:i4>
      </vt:variant>
      <vt:variant>
        <vt:i4>5</vt:i4>
      </vt:variant>
      <vt:variant>
        <vt:lpwstr/>
      </vt:variant>
      <vt:variant>
        <vt:lpwstr>_Toc213771917</vt:lpwstr>
      </vt:variant>
      <vt:variant>
        <vt:i4>1114175</vt:i4>
      </vt:variant>
      <vt:variant>
        <vt:i4>1046</vt:i4>
      </vt:variant>
      <vt:variant>
        <vt:i4>0</vt:i4>
      </vt:variant>
      <vt:variant>
        <vt:i4>5</vt:i4>
      </vt:variant>
      <vt:variant>
        <vt:lpwstr/>
      </vt:variant>
      <vt:variant>
        <vt:lpwstr>_Toc213771916</vt:lpwstr>
      </vt:variant>
      <vt:variant>
        <vt:i4>1114175</vt:i4>
      </vt:variant>
      <vt:variant>
        <vt:i4>1040</vt:i4>
      </vt:variant>
      <vt:variant>
        <vt:i4>0</vt:i4>
      </vt:variant>
      <vt:variant>
        <vt:i4>5</vt:i4>
      </vt:variant>
      <vt:variant>
        <vt:lpwstr/>
      </vt:variant>
      <vt:variant>
        <vt:lpwstr>_Toc213771915</vt:lpwstr>
      </vt:variant>
      <vt:variant>
        <vt:i4>1114175</vt:i4>
      </vt:variant>
      <vt:variant>
        <vt:i4>1034</vt:i4>
      </vt:variant>
      <vt:variant>
        <vt:i4>0</vt:i4>
      </vt:variant>
      <vt:variant>
        <vt:i4>5</vt:i4>
      </vt:variant>
      <vt:variant>
        <vt:lpwstr/>
      </vt:variant>
      <vt:variant>
        <vt:lpwstr>_Toc213771914</vt:lpwstr>
      </vt:variant>
      <vt:variant>
        <vt:i4>1114175</vt:i4>
      </vt:variant>
      <vt:variant>
        <vt:i4>1028</vt:i4>
      </vt:variant>
      <vt:variant>
        <vt:i4>0</vt:i4>
      </vt:variant>
      <vt:variant>
        <vt:i4>5</vt:i4>
      </vt:variant>
      <vt:variant>
        <vt:lpwstr/>
      </vt:variant>
      <vt:variant>
        <vt:lpwstr>_Toc213771913</vt:lpwstr>
      </vt:variant>
      <vt:variant>
        <vt:i4>1114175</vt:i4>
      </vt:variant>
      <vt:variant>
        <vt:i4>1022</vt:i4>
      </vt:variant>
      <vt:variant>
        <vt:i4>0</vt:i4>
      </vt:variant>
      <vt:variant>
        <vt:i4>5</vt:i4>
      </vt:variant>
      <vt:variant>
        <vt:lpwstr/>
      </vt:variant>
      <vt:variant>
        <vt:lpwstr>_Toc213771912</vt:lpwstr>
      </vt:variant>
      <vt:variant>
        <vt:i4>1114175</vt:i4>
      </vt:variant>
      <vt:variant>
        <vt:i4>1016</vt:i4>
      </vt:variant>
      <vt:variant>
        <vt:i4>0</vt:i4>
      </vt:variant>
      <vt:variant>
        <vt:i4>5</vt:i4>
      </vt:variant>
      <vt:variant>
        <vt:lpwstr/>
      </vt:variant>
      <vt:variant>
        <vt:lpwstr>_Toc213771911</vt:lpwstr>
      </vt:variant>
      <vt:variant>
        <vt:i4>1114175</vt:i4>
      </vt:variant>
      <vt:variant>
        <vt:i4>1010</vt:i4>
      </vt:variant>
      <vt:variant>
        <vt:i4>0</vt:i4>
      </vt:variant>
      <vt:variant>
        <vt:i4>5</vt:i4>
      </vt:variant>
      <vt:variant>
        <vt:lpwstr/>
      </vt:variant>
      <vt:variant>
        <vt:lpwstr>_Toc213771910</vt:lpwstr>
      </vt:variant>
      <vt:variant>
        <vt:i4>1048639</vt:i4>
      </vt:variant>
      <vt:variant>
        <vt:i4>1004</vt:i4>
      </vt:variant>
      <vt:variant>
        <vt:i4>0</vt:i4>
      </vt:variant>
      <vt:variant>
        <vt:i4>5</vt:i4>
      </vt:variant>
      <vt:variant>
        <vt:lpwstr/>
      </vt:variant>
      <vt:variant>
        <vt:lpwstr>_Toc213771909</vt:lpwstr>
      </vt:variant>
      <vt:variant>
        <vt:i4>1048639</vt:i4>
      </vt:variant>
      <vt:variant>
        <vt:i4>998</vt:i4>
      </vt:variant>
      <vt:variant>
        <vt:i4>0</vt:i4>
      </vt:variant>
      <vt:variant>
        <vt:i4>5</vt:i4>
      </vt:variant>
      <vt:variant>
        <vt:lpwstr/>
      </vt:variant>
      <vt:variant>
        <vt:lpwstr>_Toc213771908</vt:lpwstr>
      </vt:variant>
      <vt:variant>
        <vt:i4>1048639</vt:i4>
      </vt:variant>
      <vt:variant>
        <vt:i4>992</vt:i4>
      </vt:variant>
      <vt:variant>
        <vt:i4>0</vt:i4>
      </vt:variant>
      <vt:variant>
        <vt:i4>5</vt:i4>
      </vt:variant>
      <vt:variant>
        <vt:lpwstr/>
      </vt:variant>
      <vt:variant>
        <vt:lpwstr>_Toc213771907</vt:lpwstr>
      </vt:variant>
      <vt:variant>
        <vt:i4>1048639</vt:i4>
      </vt:variant>
      <vt:variant>
        <vt:i4>986</vt:i4>
      </vt:variant>
      <vt:variant>
        <vt:i4>0</vt:i4>
      </vt:variant>
      <vt:variant>
        <vt:i4>5</vt:i4>
      </vt:variant>
      <vt:variant>
        <vt:lpwstr/>
      </vt:variant>
      <vt:variant>
        <vt:lpwstr>_Toc213771906</vt:lpwstr>
      </vt:variant>
      <vt:variant>
        <vt:i4>1048639</vt:i4>
      </vt:variant>
      <vt:variant>
        <vt:i4>980</vt:i4>
      </vt:variant>
      <vt:variant>
        <vt:i4>0</vt:i4>
      </vt:variant>
      <vt:variant>
        <vt:i4>5</vt:i4>
      </vt:variant>
      <vt:variant>
        <vt:lpwstr/>
      </vt:variant>
      <vt:variant>
        <vt:lpwstr>_Toc213771905</vt:lpwstr>
      </vt:variant>
      <vt:variant>
        <vt:i4>1048639</vt:i4>
      </vt:variant>
      <vt:variant>
        <vt:i4>974</vt:i4>
      </vt:variant>
      <vt:variant>
        <vt:i4>0</vt:i4>
      </vt:variant>
      <vt:variant>
        <vt:i4>5</vt:i4>
      </vt:variant>
      <vt:variant>
        <vt:lpwstr/>
      </vt:variant>
      <vt:variant>
        <vt:lpwstr>_Toc213771904</vt:lpwstr>
      </vt:variant>
      <vt:variant>
        <vt:i4>1048639</vt:i4>
      </vt:variant>
      <vt:variant>
        <vt:i4>968</vt:i4>
      </vt:variant>
      <vt:variant>
        <vt:i4>0</vt:i4>
      </vt:variant>
      <vt:variant>
        <vt:i4>5</vt:i4>
      </vt:variant>
      <vt:variant>
        <vt:lpwstr/>
      </vt:variant>
      <vt:variant>
        <vt:lpwstr>_Toc213771903</vt:lpwstr>
      </vt:variant>
      <vt:variant>
        <vt:i4>1048639</vt:i4>
      </vt:variant>
      <vt:variant>
        <vt:i4>962</vt:i4>
      </vt:variant>
      <vt:variant>
        <vt:i4>0</vt:i4>
      </vt:variant>
      <vt:variant>
        <vt:i4>5</vt:i4>
      </vt:variant>
      <vt:variant>
        <vt:lpwstr/>
      </vt:variant>
      <vt:variant>
        <vt:lpwstr>_Toc213771902</vt:lpwstr>
      </vt:variant>
      <vt:variant>
        <vt:i4>1048639</vt:i4>
      </vt:variant>
      <vt:variant>
        <vt:i4>956</vt:i4>
      </vt:variant>
      <vt:variant>
        <vt:i4>0</vt:i4>
      </vt:variant>
      <vt:variant>
        <vt:i4>5</vt:i4>
      </vt:variant>
      <vt:variant>
        <vt:lpwstr/>
      </vt:variant>
      <vt:variant>
        <vt:lpwstr>_Toc213771901</vt:lpwstr>
      </vt:variant>
      <vt:variant>
        <vt:i4>1048639</vt:i4>
      </vt:variant>
      <vt:variant>
        <vt:i4>950</vt:i4>
      </vt:variant>
      <vt:variant>
        <vt:i4>0</vt:i4>
      </vt:variant>
      <vt:variant>
        <vt:i4>5</vt:i4>
      </vt:variant>
      <vt:variant>
        <vt:lpwstr/>
      </vt:variant>
      <vt:variant>
        <vt:lpwstr>_Toc213771900</vt:lpwstr>
      </vt:variant>
      <vt:variant>
        <vt:i4>1638462</vt:i4>
      </vt:variant>
      <vt:variant>
        <vt:i4>944</vt:i4>
      </vt:variant>
      <vt:variant>
        <vt:i4>0</vt:i4>
      </vt:variant>
      <vt:variant>
        <vt:i4>5</vt:i4>
      </vt:variant>
      <vt:variant>
        <vt:lpwstr/>
      </vt:variant>
      <vt:variant>
        <vt:lpwstr>_Toc213771899</vt:lpwstr>
      </vt:variant>
      <vt:variant>
        <vt:i4>1638462</vt:i4>
      </vt:variant>
      <vt:variant>
        <vt:i4>938</vt:i4>
      </vt:variant>
      <vt:variant>
        <vt:i4>0</vt:i4>
      </vt:variant>
      <vt:variant>
        <vt:i4>5</vt:i4>
      </vt:variant>
      <vt:variant>
        <vt:lpwstr/>
      </vt:variant>
      <vt:variant>
        <vt:lpwstr>_Toc213771898</vt:lpwstr>
      </vt:variant>
      <vt:variant>
        <vt:i4>1638462</vt:i4>
      </vt:variant>
      <vt:variant>
        <vt:i4>932</vt:i4>
      </vt:variant>
      <vt:variant>
        <vt:i4>0</vt:i4>
      </vt:variant>
      <vt:variant>
        <vt:i4>5</vt:i4>
      </vt:variant>
      <vt:variant>
        <vt:lpwstr/>
      </vt:variant>
      <vt:variant>
        <vt:lpwstr>_Toc213771897</vt:lpwstr>
      </vt:variant>
      <vt:variant>
        <vt:i4>1638462</vt:i4>
      </vt:variant>
      <vt:variant>
        <vt:i4>926</vt:i4>
      </vt:variant>
      <vt:variant>
        <vt:i4>0</vt:i4>
      </vt:variant>
      <vt:variant>
        <vt:i4>5</vt:i4>
      </vt:variant>
      <vt:variant>
        <vt:lpwstr/>
      </vt:variant>
      <vt:variant>
        <vt:lpwstr>_Toc213771896</vt:lpwstr>
      </vt:variant>
      <vt:variant>
        <vt:i4>1638462</vt:i4>
      </vt:variant>
      <vt:variant>
        <vt:i4>920</vt:i4>
      </vt:variant>
      <vt:variant>
        <vt:i4>0</vt:i4>
      </vt:variant>
      <vt:variant>
        <vt:i4>5</vt:i4>
      </vt:variant>
      <vt:variant>
        <vt:lpwstr/>
      </vt:variant>
      <vt:variant>
        <vt:lpwstr>_Toc213771895</vt:lpwstr>
      </vt:variant>
      <vt:variant>
        <vt:i4>1638462</vt:i4>
      </vt:variant>
      <vt:variant>
        <vt:i4>914</vt:i4>
      </vt:variant>
      <vt:variant>
        <vt:i4>0</vt:i4>
      </vt:variant>
      <vt:variant>
        <vt:i4>5</vt:i4>
      </vt:variant>
      <vt:variant>
        <vt:lpwstr/>
      </vt:variant>
      <vt:variant>
        <vt:lpwstr>_Toc213771894</vt:lpwstr>
      </vt:variant>
      <vt:variant>
        <vt:i4>1638462</vt:i4>
      </vt:variant>
      <vt:variant>
        <vt:i4>908</vt:i4>
      </vt:variant>
      <vt:variant>
        <vt:i4>0</vt:i4>
      </vt:variant>
      <vt:variant>
        <vt:i4>5</vt:i4>
      </vt:variant>
      <vt:variant>
        <vt:lpwstr/>
      </vt:variant>
      <vt:variant>
        <vt:lpwstr>_Toc213771893</vt:lpwstr>
      </vt:variant>
      <vt:variant>
        <vt:i4>1638462</vt:i4>
      </vt:variant>
      <vt:variant>
        <vt:i4>902</vt:i4>
      </vt:variant>
      <vt:variant>
        <vt:i4>0</vt:i4>
      </vt:variant>
      <vt:variant>
        <vt:i4>5</vt:i4>
      </vt:variant>
      <vt:variant>
        <vt:lpwstr/>
      </vt:variant>
      <vt:variant>
        <vt:lpwstr>_Toc213771892</vt:lpwstr>
      </vt:variant>
      <vt:variant>
        <vt:i4>1638462</vt:i4>
      </vt:variant>
      <vt:variant>
        <vt:i4>896</vt:i4>
      </vt:variant>
      <vt:variant>
        <vt:i4>0</vt:i4>
      </vt:variant>
      <vt:variant>
        <vt:i4>5</vt:i4>
      </vt:variant>
      <vt:variant>
        <vt:lpwstr/>
      </vt:variant>
      <vt:variant>
        <vt:lpwstr>_Toc213771891</vt:lpwstr>
      </vt:variant>
      <vt:variant>
        <vt:i4>1638462</vt:i4>
      </vt:variant>
      <vt:variant>
        <vt:i4>890</vt:i4>
      </vt:variant>
      <vt:variant>
        <vt:i4>0</vt:i4>
      </vt:variant>
      <vt:variant>
        <vt:i4>5</vt:i4>
      </vt:variant>
      <vt:variant>
        <vt:lpwstr/>
      </vt:variant>
      <vt:variant>
        <vt:lpwstr>_Toc213771890</vt:lpwstr>
      </vt:variant>
      <vt:variant>
        <vt:i4>1572926</vt:i4>
      </vt:variant>
      <vt:variant>
        <vt:i4>884</vt:i4>
      </vt:variant>
      <vt:variant>
        <vt:i4>0</vt:i4>
      </vt:variant>
      <vt:variant>
        <vt:i4>5</vt:i4>
      </vt:variant>
      <vt:variant>
        <vt:lpwstr/>
      </vt:variant>
      <vt:variant>
        <vt:lpwstr>_Toc213771889</vt:lpwstr>
      </vt:variant>
      <vt:variant>
        <vt:i4>1572926</vt:i4>
      </vt:variant>
      <vt:variant>
        <vt:i4>878</vt:i4>
      </vt:variant>
      <vt:variant>
        <vt:i4>0</vt:i4>
      </vt:variant>
      <vt:variant>
        <vt:i4>5</vt:i4>
      </vt:variant>
      <vt:variant>
        <vt:lpwstr/>
      </vt:variant>
      <vt:variant>
        <vt:lpwstr>_Toc213771888</vt:lpwstr>
      </vt:variant>
      <vt:variant>
        <vt:i4>1572926</vt:i4>
      </vt:variant>
      <vt:variant>
        <vt:i4>872</vt:i4>
      </vt:variant>
      <vt:variant>
        <vt:i4>0</vt:i4>
      </vt:variant>
      <vt:variant>
        <vt:i4>5</vt:i4>
      </vt:variant>
      <vt:variant>
        <vt:lpwstr/>
      </vt:variant>
      <vt:variant>
        <vt:lpwstr>_Toc213771887</vt:lpwstr>
      </vt:variant>
      <vt:variant>
        <vt:i4>1572926</vt:i4>
      </vt:variant>
      <vt:variant>
        <vt:i4>866</vt:i4>
      </vt:variant>
      <vt:variant>
        <vt:i4>0</vt:i4>
      </vt:variant>
      <vt:variant>
        <vt:i4>5</vt:i4>
      </vt:variant>
      <vt:variant>
        <vt:lpwstr/>
      </vt:variant>
      <vt:variant>
        <vt:lpwstr>_Toc213771886</vt:lpwstr>
      </vt:variant>
      <vt:variant>
        <vt:i4>1572926</vt:i4>
      </vt:variant>
      <vt:variant>
        <vt:i4>860</vt:i4>
      </vt:variant>
      <vt:variant>
        <vt:i4>0</vt:i4>
      </vt:variant>
      <vt:variant>
        <vt:i4>5</vt:i4>
      </vt:variant>
      <vt:variant>
        <vt:lpwstr/>
      </vt:variant>
      <vt:variant>
        <vt:lpwstr>_Toc213771885</vt:lpwstr>
      </vt:variant>
      <vt:variant>
        <vt:i4>1572926</vt:i4>
      </vt:variant>
      <vt:variant>
        <vt:i4>854</vt:i4>
      </vt:variant>
      <vt:variant>
        <vt:i4>0</vt:i4>
      </vt:variant>
      <vt:variant>
        <vt:i4>5</vt:i4>
      </vt:variant>
      <vt:variant>
        <vt:lpwstr/>
      </vt:variant>
      <vt:variant>
        <vt:lpwstr>_Toc213771884</vt:lpwstr>
      </vt:variant>
      <vt:variant>
        <vt:i4>1572926</vt:i4>
      </vt:variant>
      <vt:variant>
        <vt:i4>848</vt:i4>
      </vt:variant>
      <vt:variant>
        <vt:i4>0</vt:i4>
      </vt:variant>
      <vt:variant>
        <vt:i4>5</vt:i4>
      </vt:variant>
      <vt:variant>
        <vt:lpwstr/>
      </vt:variant>
      <vt:variant>
        <vt:lpwstr>_Toc213771883</vt:lpwstr>
      </vt:variant>
      <vt:variant>
        <vt:i4>1572926</vt:i4>
      </vt:variant>
      <vt:variant>
        <vt:i4>842</vt:i4>
      </vt:variant>
      <vt:variant>
        <vt:i4>0</vt:i4>
      </vt:variant>
      <vt:variant>
        <vt:i4>5</vt:i4>
      </vt:variant>
      <vt:variant>
        <vt:lpwstr/>
      </vt:variant>
      <vt:variant>
        <vt:lpwstr>_Toc213771881</vt:lpwstr>
      </vt:variant>
      <vt:variant>
        <vt:i4>1572926</vt:i4>
      </vt:variant>
      <vt:variant>
        <vt:i4>836</vt:i4>
      </vt:variant>
      <vt:variant>
        <vt:i4>0</vt:i4>
      </vt:variant>
      <vt:variant>
        <vt:i4>5</vt:i4>
      </vt:variant>
      <vt:variant>
        <vt:lpwstr/>
      </vt:variant>
      <vt:variant>
        <vt:lpwstr>_Toc213771880</vt:lpwstr>
      </vt:variant>
      <vt:variant>
        <vt:i4>1507390</vt:i4>
      </vt:variant>
      <vt:variant>
        <vt:i4>830</vt:i4>
      </vt:variant>
      <vt:variant>
        <vt:i4>0</vt:i4>
      </vt:variant>
      <vt:variant>
        <vt:i4>5</vt:i4>
      </vt:variant>
      <vt:variant>
        <vt:lpwstr/>
      </vt:variant>
      <vt:variant>
        <vt:lpwstr>_Toc213771879</vt:lpwstr>
      </vt:variant>
      <vt:variant>
        <vt:i4>1507390</vt:i4>
      </vt:variant>
      <vt:variant>
        <vt:i4>824</vt:i4>
      </vt:variant>
      <vt:variant>
        <vt:i4>0</vt:i4>
      </vt:variant>
      <vt:variant>
        <vt:i4>5</vt:i4>
      </vt:variant>
      <vt:variant>
        <vt:lpwstr/>
      </vt:variant>
      <vt:variant>
        <vt:lpwstr>_Toc213771878</vt:lpwstr>
      </vt:variant>
      <vt:variant>
        <vt:i4>1507390</vt:i4>
      </vt:variant>
      <vt:variant>
        <vt:i4>818</vt:i4>
      </vt:variant>
      <vt:variant>
        <vt:i4>0</vt:i4>
      </vt:variant>
      <vt:variant>
        <vt:i4>5</vt:i4>
      </vt:variant>
      <vt:variant>
        <vt:lpwstr/>
      </vt:variant>
      <vt:variant>
        <vt:lpwstr>_Toc213771877</vt:lpwstr>
      </vt:variant>
      <vt:variant>
        <vt:i4>1507390</vt:i4>
      </vt:variant>
      <vt:variant>
        <vt:i4>812</vt:i4>
      </vt:variant>
      <vt:variant>
        <vt:i4>0</vt:i4>
      </vt:variant>
      <vt:variant>
        <vt:i4>5</vt:i4>
      </vt:variant>
      <vt:variant>
        <vt:lpwstr/>
      </vt:variant>
      <vt:variant>
        <vt:lpwstr>_Toc213771876</vt:lpwstr>
      </vt:variant>
      <vt:variant>
        <vt:i4>1507390</vt:i4>
      </vt:variant>
      <vt:variant>
        <vt:i4>806</vt:i4>
      </vt:variant>
      <vt:variant>
        <vt:i4>0</vt:i4>
      </vt:variant>
      <vt:variant>
        <vt:i4>5</vt:i4>
      </vt:variant>
      <vt:variant>
        <vt:lpwstr/>
      </vt:variant>
      <vt:variant>
        <vt:lpwstr>_Toc213771875</vt:lpwstr>
      </vt:variant>
      <vt:variant>
        <vt:i4>1507390</vt:i4>
      </vt:variant>
      <vt:variant>
        <vt:i4>800</vt:i4>
      </vt:variant>
      <vt:variant>
        <vt:i4>0</vt:i4>
      </vt:variant>
      <vt:variant>
        <vt:i4>5</vt:i4>
      </vt:variant>
      <vt:variant>
        <vt:lpwstr/>
      </vt:variant>
      <vt:variant>
        <vt:lpwstr>_Toc213771874</vt:lpwstr>
      </vt:variant>
      <vt:variant>
        <vt:i4>1507390</vt:i4>
      </vt:variant>
      <vt:variant>
        <vt:i4>794</vt:i4>
      </vt:variant>
      <vt:variant>
        <vt:i4>0</vt:i4>
      </vt:variant>
      <vt:variant>
        <vt:i4>5</vt:i4>
      </vt:variant>
      <vt:variant>
        <vt:lpwstr/>
      </vt:variant>
      <vt:variant>
        <vt:lpwstr>_Toc213771873</vt:lpwstr>
      </vt:variant>
      <vt:variant>
        <vt:i4>1507390</vt:i4>
      </vt:variant>
      <vt:variant>
        <vt:i4>788</vt:i4>
      </vt:variant>
      <vt:variant>
        <vt:i4>0</vt:i4>
      </vt:variant>
      <vt:variant>
        <vt:i4>5</vt:i4>
      </vt:variant>
      <vt:variant>
        <vt:lpwstr/>
      </vt:variant>
      <vt:variant>
        <vt:lpwstr>_Toc213771872</vt:lpwstr>
      </vt:variant>
      <vt:variant>
        <vt:i4>1507390</vt:i4>
      </vt:variant>
      <vt:variant>
        <vt:i4>782</vt:i4>
      </vt:variant>
      <vt:variant>
        <vt:i4>0</vt:i4>
      </vt:variant>
      <vt:variant>
        <vt:i4>5</vt:i4>
      </vt:variant>
      <vt:variant>
        <vt:lpwstr/>
      </vt:variant>
      <vt:variant>
        <vt:lpwstr>_Toc213771871</vt:lpwstr>
      </vt:variant>
      <vt:variant>
        <vt:i4>1507390</vt:i4>
      </vt:variant>
      <vt:variant>
        <vt:i4>776</vt:i4>
      </vt:variant>
      <vt:variant>
        <vt:i4>0</vt:i4>
      </vt:variant>
      <vt:variant>
        <vt:i4>5</vt:i4>
      </vt:variant>
      <vt:variant>
        <vt:lpwstr/>
      </vt:variant>
      <vt:variant>
        <vt:lpwstr>_Toc213771870</vt:lpwstr>
      </vt:variant>
      <vt:variant>
        <vt:i4>1441854</vt:i4>
      </vt:variant>
      <vt:variant>
        <vt:i4>770</vt:i4>
      </vt:variant>
      <vt:variant>
        <vt:i4>0</vt:i4>
      </vt:variant>
      <vt:variant>
        <vt:i4>5</vt:i4>
      </vt:variant>
      <vt:variant>
        <vt:lpwstr/>
      </vt:variant>
      <vt:variant>
        <vt:lpwstr>_Toc213771869</vt:lpwstr>
      </vt:variant>
      <vt:variant>
        <vt:i4>1441854</vt:i4>
      </vt:variant>
      <vt:variant>
        <vt:i4>764</vt:i4>
      </vt:variant>
      <vt:variant>
        <vt:i4>0</vt:i4>
      </vt:variant>
      <vt:variant>
        <vt:i4>5</vt:i4>
      </vt:variant>
      <vt:variant>
        <vt:lpwstr/>
      </vt:variant>
      <vt:variant>
        <vt:lpwstr>_Toc213771868</vt:lpwstr>
      </vt:variant>
      <vt:variant>
        <vt:i4>1441854</vt:i4>
      </vt:variant>
      <vt:variant>
        <vt:i4>758</vt:i4>
      </vt:variant>
      <vt:variant>
        <vt:i4>0</vt:i4>
      </vt:variant>
      <vt:variant>
        <vt:i4>5</vt:i4>
      </vt:variant>
      <vt:variant>
        <vt:lpwstr/>
      </vt:variant>
      <vt:variant>
        <vt:lpwstr>_Toc213771867</vt:lpwstr>
      </vt:variant>
      <vt:variant>
        <vt:i4>1441854</vt:i4>
      </vt:variant>
      <vt:variant>
        <vt:i4>752</vt:i4>
      </vt:variant>
      <vt:variant>
        <vt:i4>0</vt:i4>
      </vt:variant>
      <vt:variant>
        <vt:i4>5</vt:i4>
      </vt:variant>
      <vt:variant>
        <vt:lpwstr/>
      </vt:variant>
      <vt:variant>
        <vt:lpwstr>_Toc213771866</vt:lpwstr>
      </vt:variant>
      <vt:variant>
        <vt:i4>1441854</vt:i4>
      </vt:variant>
      <vt:variant>
        <vt:i4>746</vt:i4>
      </vt:variant>
      <vt:variant>
        <vt:i4>0</vt:i4>
      </vt:variant>
      <vt:variant>
        <vt:i4>5</vt:i4>
      </vt:variant>
      <vt:variant>
        <vt:lpwstr/>
      </vt:variant>
      <vt:variant>
        <vt:lpwstr>_Toc213771865</vt:lpwstr>
      </vt:variant>
      <vt:variant>
        <vt:i4>1441854</vt:i4>
      </vt:variant>
      <vt:variant>
        <vt:i4>740</vt:i4>
      </vt:variant>
      <vt:variant>
        <vt:i4>0</vt:i4>
      </vt:variant>
      <vt:variant>
        <vt:i4>5</vt:i4>
      </vt:variant>
      <vt:variant>
        <vt:lpwstr/>
      </vt:variant>
      <vt:variant>
        <vt:lpwstr>_Toc213771864</vt:lpwstr>
      </vt:variant>
      <vt:variant>
        <vt:i4>1441854</vt:i4>
      </vt:variant>
      <vt:variant>
        <vt:i4>734</vt:i4>
      </vt:variant>
      <vt:variant>
        <vt:i4>0</vt:i4>
      </vt:variant>
      <vt:variant>
        <vt:i4>5</vt:i4>
      </vt:variant>
      <vt:variant>
        <vt:lpwstr/>
      </vt:variant>
      <vt:variant>
        <vt:lpwstr>_Toc213771863</vt:lpwstr>
      </vt:variant>
      <vt:variant>
        <vt:i4>1441854</vt:i4>
      </vt:variant>
      <vt:variant>
        <vt:i4>728</vt:i4>
      </vt:variant>
      <vt:variant>
        <vt:i4>0</vt:i4>
      </vt:variant>
      <vt:variant>
        <vt:i4>5</vt:i4>
      </vt:variant>
      <vt:variant>
        <vt:lpwstr/>
      </vt:variant>
      <vt:variant>
        <vt:lpwstr>_Toc213771862</vt:lpwstr>
      </vt:variant>
      <vt:variant>
        <vt:i4>1441854</vt:i4>
      </vt:variant>
      <vt:variant>
        <vt:i4>722</vt:i4>
      </vt:variant>
      <vt:variant>
        <vt:i4>0</vt:i4>
      </vt:variant>
      <vt:variant>
        <vt:i4>5</vt:i4>
      </vt:variant>
      <vt:variant>
        <vt:lpwstr/>
      </vt:variant>
      <vt:variant>
        <vt:lpwstr>_Toc213771861</vt:lpwstr>
      </vt:variant>
      <vt:variant>
        <vt:i4>1441854</vt:i4>
      </vt:variant>
      <vt:variant>
        <vt:i4>716</vt:i4>
      </vt:variant>
      <vt:variant>
        <vt:i4>0</vt:i4>
      </vt:variant>
      <vt:variant>
        <vt:i4>5</vt:i4>
      </vt:variant>
      <vt:variant>
        <vt:lpwstr/>
      </vt:variant>
      <vt:variant>
        <vt:lpwstr>_Toc213771860</vt:lpwstr>
      </vt:variant>
      <vt:variant>
        <vt:i4>1376318</vt:i4>
      </vt:variant>
      <vt:variant>
        <vt:i4>710</vt:i4>
      </vt:variant>
      <vt:variant>
        <vt:i4>0</vt:i4>
      </vt:variant>
      <vt:variant>
        <vt:i4>5</vt:i4>
      </vt:variant>
      <vt:variant>
        <vt:lpwstr/>
      </vt:variant>
      <vt:variant>
        <vt:lpwstr>_Toc213771859</vt:lpwstr>
      </vt:variant>
      <vt:variant>
        <vt:i4>1376318</vt:i4>
      </vt:variant>
      <vt:variant>
        <vt:i4>704</vt:i4>
      </vt:variant>
      <vt:variant>
        <vt:i4>0</vt:i4>
      </vt:variant>
      <vt:variant>
        <vt:i4>5</vt:i4>
      </vt:variant>
      <vt:variant>
        <vt:lpwstr/>
      </vt:variant>
      <vt:variant>
        <vt:lpwstr>_Toc213771858</vt:lpwstr>
      </vt:variant>
      <vt:variant>
        <vt:i4>1376318</vt:i4>
      </vt:variant>
      <vt:variant>
        <vt:i4>698</vt:i4>
      </vt:variant>
      <vt:variant>
        <vt:i4>0</vt:i4>
      </vt:variant>
      <vt:variant>
        <vt:i4>5</vt:i4>
      </vt:variant>
      <vt:variant>
        <vt:lpwstr/>
      </vt:variant>
      <vt:variant>
        <vt:lpwstr>_Toc213771857</vt:lpwstr>
      </vt:variant>
      <vt:variant>
        <vt:i4>1376318</vt:i4>
      </vt:variant>
      <vt:variant>
        <vt:i4>692</vt:i4>
      </vt:variant>
      <vt:variant>
        <vt:i4>0</vt:i4>
      </vt:variant>
      <vt:variant>
        <vt:i4>5</vt:i4>
      </vt:variant>
      <vt:variant>
        <vt:lpwstr/>
      </vt:variant>
      <vt:variant>
        <vt:lpwstr>_Toc213771856</vt:lpwstr>
      </vt:variant>
      <vt:variant>
        <vt:i4>1376318</vt:i4>
      </vt:variant>
      <vt:variant>
        <vt:i4>686</vt:i4>
      </vt:variant>
      <vt:variant>
        <vt:i4>0</vt:i4>
      </vt:variant>
      <vt:variant>
        <vt:i4>5</vt:i4>
      </vt:variant>
      <vt:variant>
        <vt:lpwstr/>
      </vt:variant>
      <vt:variant>
        <vt:lpwstr>_Toc213771855</vt:lpwstr>
      </vt:variant>
      <vt:variant>
        <vt:i4>1376318</vt:i4>
      </vt:variant>
      <vt:variant>
        <vt:i4>680</vt:i4>
      </vt:variant>
      <vt:variant>
        <vt:i4>0</vt:i4>
      </vt:variant>
      <vt:variant>
        <vt:i4>5</vt:i4>
      </vt:variant>
      <vt:variant>
        <vt:lpwstr/>
      </vt:variant>
      <vt:variant>
        <vt:lpwstr>_Toc213771854</vt:lpwstr>
      </vt:variant>
      <vt:variant>
        <vt:i4>1376318</vt:i4>
      </vt:variant>
      <vt:variant>
        <vt:i4>674</vt:i4>
      </vt:variant>
      <vt:variant>
        <vt:i4>0</vt:i4>
      </vt:variant>
      <vt:variant>
        <vt:i4>5</vt:i4>
      </vt:variant>
      <vt:variant>
        <vt:lpwstr/>
      </vt:variant>
      <vt:variant>
        <vt:lpwstr>_Toc213771853</vt:lpwstr>
      </vt:variant>
      <vt:variant>
        <vt:i4>1376318</vt:i4>
      </vt:variant>
      <vt:variant>
        <vt:i4>668</vt:i4>
      </vt:variant>
      <vt:variant>
        <vt:i4>0</vt:i4>
      </vt:variant>
      <vt:variant>
        <vt:i4>5</vt:i4>
      </vt:variant>
      <vt:variant>
        <vt:lpwstr/>
      </vt:variant>
      <vt:variant>
        <vt:lpwstr>_Toc213771852</vt:lpwstr>
      </vt:variant>
      <vt:variant>
        <vt:i4>1376318</vt:i4>
      </vt:variant>
      <vt:variant>
        <vt:i4>662</vt:i4>
      </vt:variant>
      <vt:variant>
        <vt:i4>0</vt:i4>
      </vt:variant>
      <vt:variant>
        <vt:i4>5</vt:i4>
      </vt:variant>
      <vt:variant>
        <vt:lpwstr/>
      </vt:variant>
      <vt:variant>
        <vt:lpwstr>_Toc213771851</vt:lpwstr>
      </vt:variant>
      <vt:variant>
        <vt:i4>1376318</vt:i4>
      </vt:variant>
      <vt:variant>
        <vt:i4>656</vt:i4>
      </vt:variant>
      <vt:variant>
        <vt:i4>0</vt:i4>
      </vt:variant>
      <vt:variant>
        <vt:i4>5</vt:i4>
      </vt:variant>
      <vt:variant>
        <vt:lpwstr/>
      </vt:variant>
      <vt:variant>
        <vt:lpwstr>_Toc213771850</vt:lpwstr>
      </vt:variant>
      <vt:variant>
        <vt:i4>1310782</vt:i4>
      </vt:variant>
      <vt:variant>
        <vt:i4>650</vt:i4>
      </vt:variant>
      <vt:variant>
        <vt:i4>0</vt:i4>
      </vt:variant>
      <vt:variant>
        <vt:i4>5</vt:i4>
      </vt:variant>
      <vt:variant>
        <vt:lpwstr/>
      </vt:variant>
      <vt:variant>
        <vt:lpwstr>_Toc213771849</vt:lpwstr>
      </vt:variant>
      <vt:variant>
        <vt:i4>1310782</vt:i4>
      </vt:variant>
      <vt:variant>
        <vt:i4>644</vt:i4>
      </vt:variant>
      <vt:variant>
        <vt:i4>0</vt:i4>
      </vt:variant>
      <vt:variant>
        <vt:i4>5</vt:i4>
      </vt:variant>
      <vt:variant>
        <vt:lpwstr/>
      </vt:variant>
      <vt:variant>
        <vt:lpwstr>_Toc213771848</vt:lpwstr>
      </vt:variant>
      <vt:variant>
        <vt:i4>1310782</vt:i4>
      </vt:variant>
      <vt:variant>
        <vt:i4>638</vt:i4>
      </vt:variant>
      <vt:variant>
        <vt:i4>0</vt:i4>
      </vt:variant>
      <vt:variant>
        <vt:i4>5</vt:i4>
      </vt:variant>
      <vt:variant>
        <vt:lpwstr/>
      </vt:variant>
      <vt:variant>
        <vt:lpwstr>_Toc213771847</vt:lpwstr>
      </vt:variant>
      <vt:variant>
        <vt:i4>1310782</vt:i4>
      </vt:variant>
      <vt:variant>
        <vt:i4>632</vt:i4>
      </vt:variant>
      <vt:variant>
        <vt:i4>0</vt:i4>
      </vt:variant>
      <vt:variant>
        <vt:i4>5</vt:i4>
      </vt:variant>
      <vt:variant>
        <vt:lpwstr/>
      </vt:variant>
      <vt:variant>
        <vt:lpwstr>_Toc213771846</vt:lpwstr>
      </vt:variant>
      <vt:variant>
        <vt:i4>1310782</vt:i4>
      </vt:variant>
      <vt:variant>
        <vt:i4>626</vt:i4>
      </vt:variant>
      <vt:variant>
        <vt:i4>0</vt:i4>
      </vt:variant>
      <vt:variant>
        <vt:i4>5</vt:i4>
      </vt:variant>
      <vt:variant>
        <vt:lpwstr/>
      </vt:variant>
      <vt:variant>
        <vt:lpwstr>_Toc213771845</vt:lpwstr>
      </vt:variant>
      <vt:variant>
        <vt:i4>1310782</vt:i4>
      </vt:variant>
      <vt:variant>
        <vt:i4>620</vt:i4>
      </vt:variant>
      <vt:variant>
        <vt:i4>0</vt:i4>
      </vt:variant>
      <vt:variant>
        <vt:i4>5</vt:i4>
      </vt:variant>
      <vt:variant>
        <vt:lpwstr/>
      </vt:variant>
      <vt:variant>
        <vt:lpwstr>_Toc213771844</vt:lpwstr>
      </vt:variant>
      <vt:variant>
        <vt:i4>1310782</vt:i4>
      </vt:variant>
      <vt:variant>
        <vt:i4>614</vt:i4>
      </vt:variant>
      <vt:variant>
        <vt:i4>0</vt:i4>
      </vt:variant>
      <vt:variant>
        <vt:i4>5</vt:i4>
      </vt:variant>
      <vt:variant>
        <vt:lpwstr/>
      </vt:variant>
      <vt:variant>
        <vt:lpwstr>_Toc213771843</vt:lpwstr>
      </vt:variant>
      <vt:variant>
        <vt:i4>1310782</vt:i4>
      </vt:variant>
      <vt:variant>
        <vt:i4>608</vt:i4>
      </vt:variant>
      <vt:variant>
        <vt:i4>0</vt:i4>
      </vt:variant>
      <vt:variant>
        <vt:i4>5</vt:i4>
      </vt:variant>
      <vt:variant>
        <vt:lpwstr/>
      </vt:variant>
      <vt:variant>
        <vt:lpwstr>_Toc213771842</vt:lpwstr>
      </vt:variant>
      <vt:variant>
        <vt:i4>1310782</vt:i4>
      </vt:variant>
      <vt:variant>
        <vt:i4>602</vt:i4>
      </vt:variant>
      <vt:variant>
        <vt:i4>0</vt:i4>
      </vt:variant>
      <vt:variant>
        <vt:i4>5</vt:i4>
      </vt:variant>
      <vt:variant>
        <vt:lpwstr/>
      </vt:variant>
      <vt:variant>
        <vt:lpwstr>_Toc213771841</vt:lpwstr>
      </vt:variant>
      <vt:variant>
        <vt:i4>1310782</vt:i4>
      </vt:variant>
      <vt:variant>
        <vt:i4>596</vt:i4>
      </vt:variant>
      <vt:variant>
        <vt:i4>0</vt:i4>
      </vt:variant>
      <vt:variant>
        <vt:i4>5</vt:i4>
      </vt:variant>
      <vt:variant>
        <vt:lpwstr/>
      </vt:variant>
      <vt:variant>
        <vt:lpwstr>_Toc213771840</vt:lpwstr>
      </vt:variant>
      <vt:variant>
        <vt:i4>1245246</vt:i4>
      </vt:variant>
      <vt:variant>
        <vt:i4>590</vt:i4>
      </vt:variant>
      <vt:variant>
        <vt:i4>0</vt:i4>
      </vt:variant>
      <vt:variant>
        <vt:i4>5</vt:i4>
      </vt:variant>
      <vt:variant>
        <vt:lpwstr/>
      </vt:variant>
      <vt:variant>
        <vt:lpwstr>_Toc213771839</vt:lpwstr>
      </vt:variant>
      <vt:variant>
        <vt:i4>1245246</vt:i4>
      </vt:variant>
      <vt:variant>
        <vt:i4>584</vt:i4>
      </vt:variant>
      <vt:variant>
        <vt:i4>0</vt:i4>
      </vt:variant>
      <vt:variant>
        <vt:i4>5</vt:i4>
      </vt:variant>
      <vt:variant>
        <vt:lpwstr/>
      </vt:variant>
      <vt:variant>
        <vt:lpwstr>_Toc213771838</vt:lpwstr>
      </vt:variant>
      <vt:variant>
        <vt:i4>1245246</vt:i4>
      </vt:variant>
      <vt:variant>
        <vt:i4>578</vt:i4>
      </vt:variant>
      <vt:variant>
        <vt:i4>0</vt:i4>
      </vt:variant>
      <vt:variant>
        <vt:i4>5</vt:i4>
      </vt:variant>
      <vt:variant>
        <vt:lpwstr/>
      </vt:variant>
      <vt:variant>
        <vt:lpwstr>_Toc213771837</vt:lpwstr>
      </vt:variant>
      <vt:variant>
        <vt:i4>1245246</vt:i4>
      </vt:variant>
      <vt:variant>
        <vt:i4>572</vt:i4>
      </vt:variant>
      <vt:variant>
        <vt:i4>0</vt:i4>
      </vt:variant>
      <vt:variant>
        <vt:i4>5</vt:i4>
      </vt:variant>
      <vt:variant>
        <vt:lpwstr/>
      </vt:variant>
      <vt:variant>
        <vt:lpwstr>_Toc213771836</vt:lpwstr>
      </vt:variant>
      <vt:variant>
        <vt:i4>1245246</vt:i4>
      </vt:variant>
      <vt:variant>
        <vt:i4>566</vt:i4>
      </vt:variant>
      <vt:variant>
        <vt:i4>0</vt:i4>
      </vt:variant>
      <vt:variant>
        <vt:i4>5</vt:i4>
      </vt:variant>
      <vt:variant>
        <vt:lpwstr/>
      </vt:variant>
      <vt:variant>
        <vt:lpwstr>_Toc213771835</vt:lpwstr>
      </vt:variant>
      <vt:variant>
        <vt:i4>1245246</vt:i4>
      </vt:variant>
      <vt:variant>
        <vt:i4>560</vt:i4>
      </vt:variant>
      <vt:variant>
        <vt:i4>0</vt:i4>
      </vt:variant>
      <vt:variant>
        <vt:i4>5</vt:i4>
      </vt:variant>
      <vt:variant>
        <vt:lpwstr/>
      </vt:variant>
      <vt:variant>
        <vt:lpwstr>_Toc213771834</vt:lpwstr>
      </vt:variant>
      <vt:variant>
        <vt:i4>1245246</vt:i4>
      </vt:variant>
      <vt:variant>
        <vt:i4>554</vt:i4>
      </vt:variant>
      <vt:variant>
        <vt:i4>0</vt:i4>
      </vt:variant>
      <vt:variant>
        <vt:i4>5</vt:i4>
      </vt:variant>
      <vt:variant>
        <vt:lpwstr/>
      </vt:variant>
      <vt:variant>
        <vt:lpwstr>_Toc213771833</vt:lpwstr>
      </vt:variant>
      <vt:variant>
        <vt:i4>1245246</vt:i4>
      </vt:variant>
      <vt:variant>
        <vt:i4>548</vt:i4>
      </vt:variant>
      <vt:variant>
        <vt:i4>0</vt:i4>
      </vt:variant>
      <vt:variant>
        <vt:i4>5</vt:i4>
      </vt:variant>
      <vt:variant>
        <vt:lpwstr/>
      </vt:variant>
      <vt:variant>
        <vt:lpwstr>_Toc213771832</vt:lpwstr>
      </vt:variant>
      <vt:variant>
        <vt:i4>1245246</vt:i4>
      </vt:variant>
      <vt:variant>
        <vt:i4>542</vt:i4>
      </vt:variant>
      <vt:variant>
        <vt:i4>0</vt:i4>
      </vt:variant>
      <vt:variant>
        <vt:i4>5</vt:i4>
      </vt:variant>
      <vt:variant>
        <vt:lpwstr/>
      </vt:variant>
      <vt:variant>
        <vt:lpwstr>_Toc213771831</vt:lpwstr>
      </vt:variant>
      <vt:variant>
        <vt:i4>1245246</vt:i4>
      </vt:variant>
      <vt:variant>
        <vt:i4>536</vt:i4>
      </vt:variant>
      <vt:variant>
        <vt:i4>0</vt:i4>
      </vt:variant>
      <vt:variant>
        <vt:i4>5</vt:i4>
      </vt:variant>
      <vt:variant>
        <vt:lpwstr/>
      </vt:variant>
      <vt:variant>
        <vt:lpwstr>_Toc213771830</vt:lpwstr>
      </vt:variant>
      <vt:variant>
        <vt:i4>1179710</vt:i4>
      </vt:variant>
      <vt:variant>
        <vt:i4>530</vt:i4>
      </vt:variant>
      <vt:variant>
        <vt:i4>0</vt:i4>
      </vt:variant>
      <vt:variant>
        <vt:i4>5</vt:i4>
      </vt:variant>
      <vt:variant>
        <vt:lpwstr/>
      </vt:variant>
      <vt:variant>
        <vt:lpwstr>_Toc213771829</vt:lpwstr>
      </vt:variant>
      <vt:variant>
        <vt:i4>1179710</vt:i4>
      </vt:variant>
      <vt:variant>
        <vt:i4>524</vt:i4>
      </vt:variant>
      <vt:variant>
        <vt:i4>0</vt:i4>
      </vt:variant>
      <vt:variant>
        <vt:i4>5</vt:i4>
      </vt:variant>
      <vt:variant>
        <vt:lpwstr/>
      </vt:variant>
      <vt:variant>
        <vt:lpwstr>_Toc213771828</vt:lpwstr>
      </vt:variant>
      <vt:variant>
        <vt:i4>1179710</vt:i4>
      </vt:variant>
      <vt:variant>
        <vt:i4>518</vt:i4>
      </vt:variant>
      <vt:variant>
        <vt:i4>0</vt:i4>
      </vt:variant>
      <vt:variant>
        <vt:i4>5</vt:i4>
      </vt:variant>
      <vt:variant>
        <vt:lpwstr/>
      </vt:variant>
      <vt:variant>
        <vt:lpwstr>_Toc213771827</vt:lpwstr>
      </vt:variant>
      <vt:variant>
        <vt:i4>1179710</vt:i4>
      </vt:variant>
      <vt:variant>
        <vt:i4>512</vt:i4>
      </vt:variant>
      <vt:variant>
        <vt:i4>0</vt:i4>
      </vt:variant>
      <vt:variant>
        <vt:i4>5</vt:i4>
      </vt:variant>
      <vt:variant>
        <vt:lpwstr/>
      </vt:variant>
      <vt:variant>
        <vt:lpwstr>_Toc213771826</vt:lpwstr>
      </vt:variant>
      <vt:variant>
        <vt:i4>1179710</vt:i4>
      </vt:variant>
      <vt:variant>
        <vt:i4>506</vt:i4>
      </vt:variant>
      <vt:variant>
        <vt:i4>0</vt:i4>
      </vt:variant>
      <vt:variant>
        <vt:i4>5</vt:i4>
      </vt:variant>
      <vt:variant>
        <vt:lpwstr/>
      </vt:variant>
      <vt:variant>
        <vt:lpwstr>_Toc213771825</vt:lpwstr>
      </vt:variant>
      <vt:variant>
        <vt:i4>1179710</vt:i4>
      </vt:variant>
      <vt:variant>
        <vt:i4>500</vt:i4>
      </vt:variant>
      <vt:variant>
        <vt:i4>0</vt:i4>
      </vt:variant>
      <vt:variant>
        <vt:i4>5</vt:i4>
      </vt:variant>
      <vt:variant>
        <vt:lpwstr/>
      </vt:variant>
      <vt:variant>
        <vt:lpwstr>_Toc213771824</vt:lpwstr>
      </vt:variant>
      <vt:variant>
        <vt:i4>1179710</vt:i4>
      </vt:variant>
      <vt:variant>
        <vt:i4>494</vt:i4>
      </vt:variant>
      <vt:variant>
        <vt:i4>0</vt:i4>
      </vt:variant>
      <vt:variant>
        <vt:i4>5</vt:i4>
      </vt:variant>
      <vt:variant>
        <vt:lpwstr/>
      </vt:variant>
      <vt:variant>
        <vt:lpwstr>_Toc213771823</vt:lpwstr>
      </vt:variant>
      <vt:variant>
        <vt:i4>1179710</vt:i4>
      </vt:variant>
      <vt:variant>
        <vt:i4>488</vt:i4>
      </vt:variant>
      <vt:variant>
        <vt:i4>0</vt:i4>
      </vt:variant>
      <vt:variant>
        <vt:i4>5</vt:i4>
      </vt:variant>
      <vt:variant>
        <vt:lpwstr/>
      </vt:variant>
      <vt:variant>
        <vt:lpwstr>_Toc213771822</vt:lpwstr>
      </vt:variant>
      <vt:variant>
        <vt:i4>1179710</vt:i4>
      </vt:variant>
      <vt:variant>
        <vt:i4>482</vt:i4>
      </vt:variant>
      <vt:variant>
        <vt:i4>0</vt:i4>
      </vt:variant>
      <vt:variant>
        <vt:i4>5</vt:i4>
      </vt:variant>
      <vt:variant>
        <vt:lpwstr/>
      </vt:variant>
      <vt:variant>
        <vt:lpwstr>_Toc213771821</vt:lpwstr>
      </vt:variant>
      <vt:variant>
        <vt:i4>1179710</vt:i4>
      </vt:variant>
      <vt:variant>
        <vt:i4>476</vt:i4>
      </vt:variant>
      <vt:variant>
        <vt:i4>0</vt:i4>
      </vt:variant>
      <vt:variant>
        <vt:i4>5</vt:i4>
      </vt:variant>
      <vt:variant>
        <vt:lpwstr/>
      </vt:variant>
      <vt:variant>
        <vt:lpwstr>_Toc213771820</vt:lpwstr>
      </vt:variant>
      <vt:variant>
        <vt:i4>1114174</vt:i4>
      </vt:variant>
      <vt:variant>
        <vt:i4>470</vt:i4>
      </vt:variant>
      <vt:variant>
        <vt:i4>0</vt:i4>
      </vt:variant>
      <vt:variant>
        <vt:i4>5</vt:i4>
      </vt:variant>
      <vt:variant>
        <vt:lpwstr/>
      </vt:variant>
      <vt:variant>
        <vt:lpwstr>_Toc213771819</vt:lpwstr>
      </vt:variant>
      <vt:variant>
        <vt:i4>1114174</vt:i4>
      </vt:variant>
      <vt:variant>
        <vt:i4>464</vt:i4>
      </vt:variant>
      <vt:variant>
        <vt:i4>0</vt:i4>
      </vt:variant>
      <vt:variant>
        <vt:i4>5</vt:i4>
      </vt:variant>
      <vt:variant>
        <vt:lpwstr/>
      </vt:variant>
      <vt:variant>
        <vt:lpwstr>_Toc213771818</vt:lpwstr>
      </vt:variant>
      <vt:variant>
        <vt:i4>1114174</vt:i4>
      </vt:variant>
      <vt:variant>
        <vt:i4>458</vt:i4>
      </vt:variant>
      <vt:variant>
        <vt:i4>0</vt:i4>
      </vt:variant>
      <vt:variant>
        <vt:i4>5</vt:i4>
      </vt:variant>
      <vt:variant>
        <vt:lpwstr/>
      </vt:variant>
      <vt:variant>
        <vt:lpwstr>_Toc213771817</vt:lpwstr>
      </vt:variant>
      <vt:variant>
        <vt:i4>1114174</vt:i4>
      </vt:variant>
      <vt:variant>
        <vt:i4>452</vt:i4>
      </vt:variant>
      <vt:variant>
        <vt:i4>0</vt:i4>
      </vt:variant>
      <vt:variant>
        <vt:i4>5</vt:i4>
      </vt:variant>
      <vt:variant>
        <vt:lpwstr/>
      </vt:variant>
      <vt:variant>
        <vt:lpwstr>_Toc213771816</vt:lpwstr>
      </vt:variant>
      <vt:variant>
        <vt:i4>1114174</vt:i4>
      </vt:variant>
      <vt:variant>
        <vt:i4>446</vt:i4>
      </vt:variant>
      <vt:variant>
        <vt:i4>0</vt:i4>
      </vt:variant>
      <vt:variant>
        <vt:i4>5</vt:i4>
      </vt:variant>
      <vt:variant>
        <vt:lpwstr/>
      </vt:variant>
      <vt:variant>
        <vt:lpwstr>_Toc213771815</vt:lpwstr>
      </vt:variant>
      <vt:variant>
        <vt:i4>1114174</vt:i4>
      </vt:variant>
      <vt:variant>
        <vt:i4>440</vt:i4>
      </vt:variant>
      <vt:variant>
        <vt:i4>0</vt:i4>
      </vt:variant>
      <vt:variant>
        <vt:i4>5</vt:i4>
      </vt:variant>
      <vt:variant>
        <vt:lpwstr/>
      </vt:variant>
      <vt:variant>
        <vt:lpwstr>_Toc213771814</vt:lpwstr>
      </vt:variant>
      <vt:variant>
        <vt:i4>1114174</vt:i4>
      </vt:variant>
      <vt:variant>
        <vt:i4>434</vt:i4>
      </vt:variant>
      <vt:variant>
        <vt:i4>0</vt:i4>
      </vt:variant>
      <vt:variant>
        <vt:i4>5</vt:i4>
      </vt:variant>
      <vt:variant>
        <vt:lpwstr/>
      </vt:variant>
      <vt:variant>
        <vt:lpwstr>_Toc213771813</vt:lpwstr>
      </vt:variant>
      <vt:variant>
        <vt:i4>1114174</vt:i4>
      </vt:variant>
      <vt:variant>
        <vt:i4>428</vt:i4>
      </vt:variant>
      <vt:variant>
        <vt:i4>0</vt:i4>
      </vt:variant>
      <vt:variant>
        <vt:i4>5</vt:i4>
      </vt:variant>
      <vt:variant>
        <vt:lpwstr/>
      </vt:variant>
      <vt:variant>
        <vt:lpwstr>_Toc213771812</vt:lpwstr>
      </vt:variant>
      <vt:variant>
        <vt:i4>1048638</vt:i4>
      </vt:variant>
      <vt:variant>
        <vt:i4>422</vt:i4>
      </vt:variant>
      <vt:variant>
        <vt:i4>0</vt:i4>
      </vt:variant>
      <vt:variant>
        <vt:i4>5</vt:i4>
      </vt:variant>
      <vt:variant>
        <vt:lpwstr/>
      </vt:variant>
      <vt:variant>
        <vt:lpwstr>_Toc213771809</vt:lpwstr>
      </vt:variant>
      <vt:variant>
        <vt:i4>1048638</vt:i4>
      </vt:variant>
      <vt:variant>
        <vt:i4>416</vt:i4>
      </vt:variant>
      <vt:variant>
        <vt:i4>0</vt:i4>
      </vt:variant>
      <vt:variant>
        <vt:i4>5</vt:i4>
      </vt:variant>
      <vt:variant>
        <vt:lpwstr/>
      </vt:variant>
      <vt:variant>
        <vt:lpwstr>_Toc213771808</vt:lpwstr>
      </vt:variant>
      <vt:variant>
        <vt:i4>1048638</vt:i4>
      </vt:variant>
      <vt:variant>
        <vt:i4>410</vt:i4>
      </vt:variant>
      <vt:variant>
        <vt:i4>0</vt:i4>
      </vt:variant>
      <vt:variant>
        <vt:i4>5</vt:i4>
      </vt:variant>
      <vt:variant>
        <vt:lpwstr/>
      </vt:variant>
      <vt:variant>
        <vt:lpwstr>_Toc213771807</vt:lpwstr>
      </vt:variant>
      <vt:variant>
        <vt:i4>1048638</vt:i4>
      </vt:variant>
      <vt:variant>
        <vt:i4>404</vt:i4>
      </vt:variant>
      <vt:variant>
        <vt:i4>0</vt:i4>
      </vt:variant>
      <vt:variant>
        <vt:i4>5</vt:i4>
      </vt:variant>
      <vt:variant>
        <vt:lpwstr/>
      </vt:variant>
      <vt:variant>
        <vt:lpwstr>_Toc213771806</vt:lpwstr>
      </vt:variant>
      <vt:variant>
        <vt:i4>1048638</vt:i4>
      </vt:variant>
      <vt:variant>
        <vt:i4>398</vt:i4>
      </vt:variant>
      <vt:variant>
        <vt:i4>0</vt:i4>
      </vt:variant>
      <vt:variant>
        <vt:i4>5</vt:i4>
      </vt:variant>
      <vt:variant>
        <vt:lpwstr/>
      </vt:variant>
      <vt:variant>
        <vt:lpwstr>_Toc213771803</vt:lpwstr>
      </vt:variant>
      <vt:variant>
        <vt:i4>1048638</vt:i4>
      </vt:variant>
      <vt:variant>
        <vt:i4>392</vt:i4>
      </vt:variant>
      <vt:variant>
        <vt:i4>0</vt:i4>
      </vt:variant>
      <vt:variant>
        <vt:i4>5</vt:i4>
      </vt:variant>
      <vt:variant>
        <vt:lpwstr/>
      </vt:variant>
      <vt:variant>
        <vt:lpwstr>_Toc213771802</vt:lpwstr>
      </vt:variant>
      <vt:variant>
        <vt:i4>1048638</vt:i4>
      </vt:variant>
      <vt:variant>
        <vt:i4>386</vt:i4>
      </vt:variant>
      <vt:variant>
        <vt:i4>0</vt:i4>
      </vt:variant>
      <vt:variant>
        <vt:i4>5</vt:i4>
      </vt:variant>
      <vt:variant>
        <vt:lpwstr/>
      </vt:variant>
      <vt:variant>
        <vt:lpwstr>_Toc213771801</vt:lpwstr>
      </vt:variant>
      <vt:variant>
        <vt:i4>1048638</vt:i4>
      </vt:variant>
      <vt:variant>
        <vt:i4>380</vt:i4>
      </vt:variant>
      <vt:variant>
        <vt:i4>0</vt:i4>
      </vt:variant>
      <vt:variant>
        <vt:i4>5</vt:i4>
      </vt:variant>
      <vt:variant>
        <vt:lpwstr/>
      </vt:variant>
      <vt:variant>
        <vt:lpwstr>_Toc213771800</vt:lpwstr>
      </vt:variant>
      <vt:variant>
        <vt:i4>1638449</vt:i4>
      </vt:variant>
      <vt:variant>
        <vt:i4>374</vt:i4>
      </vt:variant>
      <vt:variant>
        <vt:i4>0</vt:i4>
      </vt:variant>
      <vt:variant>
        <vt:i4>5</vt:i4>
      </vt:variant>
      <vt:variant>
        <vt:lpwstr/>
      </vt:variant>
      <vt:variant>
        <vt:lpwstr>_Toc213771799</vt:lpwstr>
      </vt:variant>
      <vt:variant>
        <vt:i4>1638449</vt:i4>
      </vt:variant>
      <vt:variant>
        <vt:i4>368</vt:i4>
      </vt:variant>
      <vt:variant>
        <vt:i4>0</vt:i4>
      </vt:variant>
      <vt:variant>
        <vt:i4>5</vt:i4>
      </vt:variant>
      <vt:variant>
        <vt:lpwstr/>
      </vt:variant>
      <vt:variant>
        <vt:lpwstr>_Toc213771798</vt:lpwstr>
      </vt:variant>
      <vt:variant>
        <vt:i4>1638449</vt:i4>
      </vt:variant>
      <vt:variant>
        <vt:i4>362</vt:i4>
      </vt:variant>
      <vt:variant>
        <vt:i4>0</vt:i4>
      </vt:variant>
      <vt:variant>
        <vt:i4>5</vt:i4>
      </vt:variant>
      <vt:variant>
        <vt:lpwstr/>
      </vt:variant>
      <vt:variant>
        <vt:lpwstr>_Toc213771797</vt:lpwstr>
      </vt:variant>
      <vt:variant>
        <vt:i4>1638449</vt:i4>
      </vt:variant>
      <vt:variant>
        <vt:i4>356</vt:i4>
      </vt:variant>
      <vt:variant>
        <vt:i4>0</vt:i4>
      </vt:variant>
      <vt:variant>
        <vt:i4>5</vt:i4>
      </vt:variant>
      <vt:variant>
        <vt:lpwstr/>
      </vt:variant>
      <vt:variant>
        <vt:lpwstr>_Toc213771796</vt:lpwstr>
      </vt:variant>
      <vt:variant>
        <vt:i4>1638449</vt:i4>
      </vt:variant>
      <vt:variant>
        <vt:i4>350</vt:i4>
      </vt:variant>
      <vt:variant>
        <vt:i4>0</vt:i4>
      </vt:variant>
      <vt:variant>
        <vt:i4>5</vt:i4>
      </vt:variant>
      <vt:variant>
        <vt:lpwstr/>
      </vt:variant>
      <vt:variant>
        <vt:lpwstr>_Toc213771795</vt:lpwstr>
      </vt:variant>
      <vt:variant>
        <vt:i4>1638449</vt:i4>
      </vt:variant>
      <vt:variant>
        <vt:i4>344</vt:i4>
      </vt:variant>
      <vt:variant>
        <vt:i4>0</vt:i4>
      </vt:variant>
      <vt:variant>
        <vt:i4>5</vt:i4>
      </vt:variant>
      <vt:variant>
        <vt:lpwstr/>
      </vt:variant>
      <vt:variant>
        <vt:lpwstr>_Toc213771794</vt:lpwstr>
      </vt:variant>
      <vt:variant>
        <vt:i4>1638449</vt:i4>
      </vt:variant>
      <vt:variant>
        <vt:i4>338</vt:i4>
      </vt:variant>
      <vt:variant>
        <vt:i4>0</vt:i4>
      </vt:variant>
      <vt:variant>
        <vt:i4>5</vt:i4>
      </vt:variant>
      <vt:variant>
        <vt:lpwstr/>
      </vt:variant>
      <vt:variant>
        <vt:lpwstr>_Toc213771793</vt:lpwstr>
      </vt:variant>
      <vt:variant>
        <vt:i4>1638449</vt:i4>
      </vt:variant>
      <vt:variant>
        <vt:i4>332</vt:i4>
      </vt:variant>
      <vt:variant>
        <vt:i4>0</vt:i4>
      </vt:variant>
      <vt:variant>
        <vt:i4>5</vt:i4>
      </vt:variant>
      <vt:variant>
        <vt:lpwstr/>
      </vt:variant>
      <vt:variant>
        <vt:lpwstr>_Toc213771792</vt:lpwstr>
      </vt:variant>
      <vt:variant>
        <vt:i4>1638449</vt:i4>
      </vt:variant>
      <vt:variant>
        <vt:i4>326</vt:i4>
      </vt:variant>
      <vt:variant>
        <vt:i4>0</vt:i4>
      </vt:variant>
      <vt:variant>
        <vt:i4>5</vt:i4>
      </vt:variant>
      <vt:variant>
        <vt:lpwstr/>
      </vt:variant>
      <vt:variant>
        <vt:lpwstr>_Toc213771791</vt:lpwstr>
      </vt:variant>
      <vt:variant>
        <vt:i4>1638449</vt:i4>
      </vt:variant>
      <vt:variant>
        <vt:i4>320</vt:i4>
      </vt:variant>
      <vt:variant>
        <vt:i4>0</vt:i4>
      </vt:variant>
      <vt:variant>
        <vt:i4>5</vt:i4>
      </vt:variant>
      <vt:variant>
        <vt:lpwstr/>
      </vt:variant>
      <vt:variant>
        <vt:lpwstr>_Toc213771790</vt:lpwstr>
      </vt:variant>
      <vt:variant>
        <vt:i4>1572913</vt:i4>
      </vt:variant>
      <vt:variant>
        <vt:i4>314</vt:i4>
      </vt:variant>
      <vt:variant>
        <vt:i4>0</vt:i4>
      </vt:variant>
      <vt:variant>
        <vt:i4>5</vt:i4>
      </vt:variant>
      <vt:variant>
        <vt:lpwstr/>
      </vt:variant>
      <vt:variant>
        <vt:lpwstr>_Toc213771789</vt:lpwstr>
      </vt:variant>
      <vt:variant>
        <vt:i4>1572913</vt:i4>
      </vt:variant>
      <vt:variant>
        <vt:i4>308</vt:i4>
      </vt:variant>
      <vt:variant>
        <vt:i4>0</vt:i4>
      </vt:variant>
      <vt:variant>
        <vt:i4>5</vt:i4>
      </vt:variant>
      <vt:variant>
        <vt:lpwstr/>
      </vt:variant>
      <vt:variant>
        <vt:lpwstr>_Toc213771788</vt:lpwstr>
      </vt:variant>
      <vt:variant>
        <vt:i4>1572913</vt:i4>
      </vt:variant>
      <vt:variant>
        <vt:i4>302</vt:i4>
      </vt:variant>
      <vt:variant>
        <vt:i4>0</vt:i4>
      </vt:variant>
      <vt:variant>
        <vt:i4>5</vt:i4>
      </vt:variant>
      <vt:variant>
        <vt:lpwstr/>
      </vt:variant>
      <vt:variant>
        <vt:lpwstr>_Toc213771787</vt:lpwstr>
      </vt:variant>
      <vt:variant>
        <vt:i4>1572913</vt:i4>
      </vt:variant>
      <vt:variant>
        <vt:i4>296</vt:i4>
      </vt:variant>
      <vt:variant>
        <vt:i4>0</vt:i4>
      </vt:variant>
      <vt:variant>
        <vt:i4>5</vt:i4>
      </vt:variant>
      <vt:variant>
        <vt:lpwstr/>
      </vt:variant>
      <vt:variant>
        <vt:lpwstr>_Toc213771786</vt:lpwstr>
      </vt:variant>
      <vt:variant>
        <vt:i4>1572913</vt:i4>
      </vt:variant>
      <vt:variant>
        <vt:i4>290</vt:i4>
      </vt:variant>
      <vt:variant>
        <vt:i4>0</vt:i4>
      </vt:variant>
      <vt:variant>
        <vt:i4>5</vt:i4>
      </vt:variant>
      <vt:variant>
        <vt:lpwstr/>
      </vt:variant>
      <vt:variant>
        <vt:lpwstr>_Toc213771785</vt:lpwstr>
      </vt:variant>
      <vt:variant>
        <vt:i4>1572913</vt:i4>
      </vt:variant>
      <vt:variant>
        <vt:i4>284</vt:i4>
      </vt:variant>
      <vt:variant>
        <vt:i4>0</vt:i4>
      </vt:variant>
      <vt:variant>
        <vt:i4>5</vt:i4>
      </vt:variant>
      <vt:variant>
        <vt:lpwstr/>
      </vt:variant>
      <vt:variant>
        <vt:lpwstr>_Toc213771784</vt:lpwstr>
      </vt:variant>
      <vt:variant>
        <vt:i4>1572913</vt:i4>
      </vt:variant>
      <vt:variant>
        <vt:i4>278</vt:i4>
      </vt:variant>
      <vt:variant>
        <vt:i4>0</vt:i4>
      </vt:variant>
      <vt:variant>
        <vt:i4>5</vt:i4>
      </vt:variant>
      <vt:variant>
        <vt:lpwstr/>
      </vt:variant>
      <vt:variant>
        <vt:lpwstr>_Toc213771783</vt:lpwstr>
      </vt:variant>
      <vt:variant>
        <vt:i4>1572913</vt:i4>
      </vt:variant>
      <vt:variant>
        <vt:i4>272</vt:i4>
      </vt:variant>
      <vt:variant>
        <vt:i4>0</vt:i4>
      </vt:variant>
      <vt:variant>
        <vt:i4>5</vt:i4>
      </vt:variant>
      <vt:variant>
        <vt:lpwstr/>
      </vt:variant>
      <vt:variant>
        <vt:lpwstr>_Toc213771782</vt:lpwstr>
      </vt:variant>
      <vt:variant>
        <vt:i4>1572913</vt:i4>
      </vt:variant>
      <vt:variant>
        <vt:i4>266</vt:i4>
      </vt:variant>
      <vt:variant>
        <vt:i4>0</vt:i4>
      </vt:variant>
      <vt:variant>
        <vt:i4>5</vt:i4>
      </vt:variant>
      <vt:variant>
        <vt:lpwstr/>
      </vt:variant>
      <vt:variant>
        <vt:lpwstr>_Toc213771781</vt:lpwstr>
      </vt:variant>
      <vt:variant>
        <vt:i4>1572913</vt:i4>
      </vt:variant>
      <vt:variant>
        <vt:i4>260</vt:i4>
      </vt:variant>
      <vt:variant>
        <vt:i4>0</vt:i4>
      </vt:variant>
      <vt:variant>
        <vt:i4>5</vt:i4>
      </vt:variant>
      <vt:variant>
        <vt:lpwstr/>
      </vt:variant>
      <vt:variant>
        <vt:lpwstr>_Toc213771780</vt:lpwstr>
      </vt:variant>
      <vt:variant>
        <vt:i4>1507377</vt:i4>
      </vt:variant>
      <vt:variant>
        <vt:i4>254</vt:i4>
      </vt:variant>
      <vt:variant>
        <vt:i4>0</vt:i4>
      </vt:variant>
      <vt:variant>
        <vt:i4>5</vt:i4>
      </vt:variant>
      <vt:variant>
        <vt:lpwstr/>
      </vt:variant>
      <vt:variant>
        <vt:lpwstr>_Toc213771779</vt:lpwstr>
      </vt:variant>
      <vt:variant>
        <vt:i4>1507377</vt:i4>
      </vt:variant>
      <vt:variant>
        <vt:i4>248</vt:i4>
      </vt:variant>
      <vt:variant>
        <vt:i4>0</vt:i4>
      </vt:variant>
      <vt:variant>
        <vt:i4>5</vt:i4>
      </vt:variant>
      <vt:variant>
        <vt:lpwstr/>
      </vt:variant>
      <vt:variant>
        <vt:lpwstr>_Toc213771778</vt:lpwstr>
      </vt:variant>
      <vt:variant>
        <vt:i4>1507377</vt:i4>
      </vt:variant>
      <vt:variant>
        <vt:i4>242</vt:i4>
      </vt:variant>
      <vt:variant>
        <vt:i4>0</vt:i4>
      </vt:variant>
      <vt:variant>
        <vt:i4>5</vt:i4>
      </vt:variant>
      <vt:variant>
        <vt:lpwstr/>
      </vt:variant>
      <vt:variant>
        <vt:lpwstr>_Toc213771777</vt:lpwstr>
      </vt:variant>
      <vt:variant>
        <vt:i4>1507377</vt:i4>
      </vt:variant>
      <vt:variant>
        <vt:i4>236</vt:i4>
      </vt:variant>
      <vt:variant>
        <vt:i4>0</vt:i4>
      </vt:variant>
      <vt:variant>
        <vt:i4>5</vt:i4>
      </vt:variant>
      <vt:variant>
        <vt:lpwstr/>
      </vt:variant>
      <vt:variant>
        <vt:lpwstr>_Toc213771776</vt:lpwstr>
      </vt:variant>
      <vt:variant>
        <vt:i4>1507377</vt:i4>
      </vt:variant>
      <vt:variant>
        <vt:i4>230</vt:i4>
      </vt:variant>
      <vt:variant>
        <vt:i4>0</vt:i4>
      </vt:variant>
      <vt:variant>
        <vt:i4>5</vt:i4>
      </vt:variant>
      <vt:variant>
        <vt:lpwstr/>
      </vt:variant>
      <vt:variant>
        <vt:lpwstr>_Toc213771775</vt:lpwstr>
      </vt:variant>
      <vt:variant>
        <vt:i4>1507377</vt:i4>
      </vt:variant>
      <vt:variant>
        <vt:i4>224</vt:i4>
      </vt:variant>
      <vt:variant>
        <vt:i4>0</vt:i4>
      </vt:variant>
      <vt:variant>
        <vt:i4>5</vt:i4>
      </vt:variant>
      <vt:variant>
        <vt:lpwstr/>
      </vt:variant>
      <vt:variant>
        <vt:lpwstr>_Toc213771774</vt:lpwstr>
      </vt:variant>
      <vt:variant>
        <vt:i4>1441841</vt:i4>
      </vt:variant>
      <vt:variant>
        <vt:i4>218</vt:i4>
      </vt:variant>
      <vt:variant>
        <vt:i4>0</vt:i4>
      </vt:variant>
      <vt:variant>
        <vt:i4>5</vt:i4>
      </vt:variant>
      <vt:variant>
        <vt:lpwstr/>
      </vt:variant>
      <vt:variant>
        <vt:lpwstr>_Toc213771769</vt:lpwstr>
      </vt:variant>
      <vt:variant>
        <vt:i4>1441841</vt:i4>
      </vt:variant>
      <vt:variant>
        <vt:i4>212</vt:i4>
      </vt:variant>
      <vt:variant>
        <vt:i4>0</vt:i4>
      </vt:variant>
      <vt:variant>
        <vt:i4>5</vt:i4>
      </vt:variant>
      <vt:variant>
        <vt:lpwstr/>
      </vt:variant>
      <vt:variant>
        <vt:lpwstr>_Toc213771768</vt:lpwstr>
      </vt:variant>
      <vt:variant>
        <vt:i4>1441841</vt:i4>
      </vt:variant>
      <vt:variant>
        <vt:i4>206</vt:i4>
      </vt:variant>
      <vt:variant>
        <vt:i4>0</vt:i4>
      </vt:variant>
      <vt:variant>
        <vt:i4>5</vt:i4>
      </vt:variant>
      <vt:variant>
        <vt:lpwstr/>
      </vt:variant>
      <vt:variant>
        <vt:lpwstr>_Toc213771767</vt:lpwstr>
      </vt:variant>
      <vt:variant>
        <vt:i4>1441841</vt:i4>
      </vt:variant>
      <vt:variant>
        <vt:i4>200</vt:i4>
      </vt:variant>
      <vt:variant>
        <vt:i4>0</vt:i4>
      </vt:variant>
      <vt:variant>
        <vt:i4>5</vt:i4>
      </vt:variant>
      <vt:variant>
        <vt:lpwstr/>
      </vt:variant>
      <vt:variant>
        <vt:lpwstr>_Toc213771762</vt:lpwstr>
      </vt:variant>
      <vt:variant>
        <vt:i4>1441841</vt:i4>
      </vt:variant>
      <vt:variant>
        <vt:i4>194</vt:i4>
      </vt:variant>
      <vt:variant>
        <vt:i4>0</vt:i4>
      </vt:variant>
      <vt:variant>
        <vt:i4>5</vt:i4>
      </vt:variant>
      <vt:variant>
        <vt:lpwstr/>
      </vt:variant>
      <vt:variant>
        <vt:lpwstr>_Toc213771761</vt:lpwstr>
      </vt:variant>
      <vt:variant>
        <vt:i4>1441841</vt:i4>
      </vt:variant>
      <vt:variant>
        <vt:i4>188</vt:i4>
      </vt:variant>
      <vt:variant>
        <vt:i4>0</vt:i4>
      </vt:variant>
      <vt:variant>
        <vt:i4>5</vt:i4>
      </vt:variant>
      <vt:variant>
        <vt:lpwstr/>
      </vt:variant>
      <vt:variant>
        <vt:lpwstr>_Toc213771760</vt:lpwstr>
      </vt:variant>
      <vt:variant>
        <vt:i4>1376305</vt:i4>
      </vt:variant>
      <vt:variant>
        <vt:i4>182</vt:i4>
      </vt:variant>
      <vt:variant>
        <vt:i4>0</vt:i4>
      </vt:variant>
      <vt:variant>
        <vt:i4>5</vt:i4>
      </vt:variant>
      <vt:variant>
        <vt:lpwstr/>
      </vt:variant>
      <vt:variant>
        <vt:lpwstr>_Toc213771759</vt:lpwstr>
      </vt:variant>
      <vt:variant>
        <vt:i4>1376305</vt:i4>
      </vt:variant>
      <vt:variant>
        <vt:i4>176</vt:i4>
      </vt:variant>
      <vt:variant>
        <vt:i4>0</vt:i4>
      </vt:variant>
      <vt:variant>
        <vt:i4>5</vt:i4>
      </vt:variant>
      <vt:variant>
        <vt:lpwstr/>
      </vt:variant>
      <vt:variant>
        <vt:lpwstr>_Toc213771757</vt:lpwstr>
      </vt:variant>
      <vt:variant>
        <vt:i4>1376305</vt:i4>
      </vt:variant>
      <vt:variant>
        <vt:i4>170</vt:i4>
      </vt:variant>
      <vt:variant>
        <vt:i4>0</vt:i4>
      </vt:variant>
      <vt:variant>
        <vt:i4>5</vt:i4>
      </vt:variant>
      <vt:variant>
        <vt:lpwstr/>
      </vt:variant>
      <vt:variant>
        <vt:lpwstr>_Toc213771756</vt:lpwstr>
      </vt:variant>
      <vt:variant>
        <vt:i4>1376305</vt:i4>
      </vt:variant>
      <vt:variant>
        <vt:i4>164</vt:i4>
      </vt:variant>
      <vt:variant>
        <vt:i4>0</vt:i4>
      </vt:variant>
      <vt:variant>
        <vt:i4>5</vt:i4>
      </vt:variant>
      <vt:variant>
        <vt:lpwstr/>
      </vt:variant>
      <vt:variant>
        <vt:lpwstr>_Toc213771755</vt:lpwstr>
      </vt:variant>
      <vt:variant>
        <vt:i4>1376305</vt:i4>
      </vt:variant>
      <vt:variant>
        <vt:i4>158</vt:i4>
      </vt:variant>
      <vt:variant>
        <vt:i4>0</vt:i4>
      </vt:variant>
      <vt:variant>
        <vt:i4>5</vt:i4>
      </vt:variant>
      <vt:variant>
        <vt:lpwstr/>
      </vt:variant>
      <vt:variant>
        <vt:lpwstr>_Toc213771754</vt:lpwstr>
      </vt:variant>
      <vt:variant>
        <vt:i4>1376305</vt:i4>
      </vt:variant>
      <vt:variant>
        <vt:i4>152</vt:i4>
      </vt:variant>
      <vt:variant>
        <vt:i4>0</vt:i4>
      </vt:variant>
      <vt:variant>
        <vt:i4>5</vt:i4>
      </vt:variant>
      <vt:variant>
        <vt:lpwstr/>
      </vt:variant>
      <vt:variant>
        <vt:lpwstr>_Toc213771753</vt:lpwstr>
      </vt:variant>
      <vt:variant>
        <vt:i4>1376305</vt:i4>
      </vt:variant>
      <vt:variant>
        <vt:i4>146</vt:i4>
      </vt:variant>
      <vt:variant>
        <vt:i4>0</vt:i4>
      </vt:variant>
      <vt:variant>
        <vt:i4>5</vt:i4>
      </vt:variant>
      <vt:variant>
        <vt:lpwstr/>
      </vt:variant>
      <vt:variant>
        <vt:lpwstr>_Toc213771752</vt:lpwstr>
      </vt:variant>
      <vt:variant>
        <vt:i4>1376305</vt:i4>
      </vt:variant>
      <vt:variant>
        <vt:i4>140</vt:i4>
      </vt:variant>
      <vt:variant>
        <vt:i4>0</vt:i4>
      </vt:variant>
      <vt:variant>
        <vt:i4>5</vt:i4>
      </vt:variant>
      <vt:variant>
        <vt:lpwstr/>
      </vt:variant>
      <vt:variant>
        <vt:lpwstr>_Toc213771751</vt:lpwstr>
      </vt:variant>
      <vt:variant>
        <vt:i4>1376305</vt:i4>
      </vt:variant>
      <vt:variant>
        <vt:i4>134</vt:i4>
      </vt:variant>
      <vt:variant>
        <vt:i4>0</vt:i4>
      </vt:variant>
      <vt:variant>
        <vt:i4>5</vt:i4>
      </vt:variant>
      <vt:variant>
        <vt:lpwstr/>
      </vt:variant>
      <vt:variant>
        <vt:lpwstr>_Toc213771750</vt:lpwstr>
      </vt:variant>
      <vt:variant>
        <vt:i4>1310769</vt:i4>
      </vt:variant>
      <vt:variant>
        <vt:i4>128</vt:i4>
      </vt:variant>
      <vt:variant>
        <vt:i4>0</vt:i4>
      </vt:variant>
      <vt:variant>
        <vt:i4>5</vt:i4>
      </vt:variant>
      <vt:variant>
        <vt:lpwstr/>
      </vt:variant>
      <vt:variant>
        <vt:lpwstr>_Toc213771749</vt:lpwstr>
      </vt:variant>
      <vt:variant>
        <vt:i4>1310769</vt:i4>
      </vt:variant>
      <vt:variant>
        <vt:i4>122</vt:i4>
      </vt:variant>
      <vt:variant>
        <vt:i4>0</vt:i4>
      </vt:variant>
      <vt:variant>
        <vt:i4>5</vt:i4>
      </vt:variant>
      <vt:variant>
        <vt:lpwstr/>
      </vt:variant>
      <vt:variant>
        <vt:lpwstr>_Toc213771748</vt:lpwstr>
      </vt:variant>
      <vt:variant>
        <vt:i4>1310769</vt:i4>
      </vt:variant>
      <vt:variant>
        <vt:i4>116</vt:i4>
      </vt:variant>
      <vt:variant>
        <vt:i4>0</vt:i4>
      </vt:variant>
      <vt:variant>
        <vt:i4>5</vt:i4>
      </vt:variant>
      <vt:variant>
        <vt:lpwstr/>
      </vt:variant>
      <vt:variant>
        <vt:lpwstr>_Toc213771747</vt:lpwstr>
      </vt:variant>
      <vt:variant>
        <vt:i4>1310769</vt:i4>
      </vt:variant>
      <vt:variant>
        <vt:i4>110</vt:i4>
      </vt:variant>
      <vt:variant>
        <vt:i4>0</vt:i4>
      </vt:variant>
      <vt:variant>
        <vt:i4>5</vt:i4>
      </vt:variant>
      <vt:variant>
        <vt:lpwstr/>
      </vt:variant>
      <vt:variant>
        <vt:lpwstr>_Toc213771746</vt:lpwstr>
      </vt:variant>
      <vt:variant>
        <vt:i4>1310769</vt:i4>
      </vt:variant>
      <vt:variant>
        <vt:i4>104</vt:i4>
      </vt:variant>
      <vt:variant>
        <vt:i4>0</vt:i4>
      </vt:variant>
      <vt:variant>
        <vt:i4>5</vt:i4>
      </vt:variant>
      <vt:variant>
        <vt:lpwstr/>
      </vt:variant>
      <vt:variant>
        <vt:lpwstr>_Toc213771745</vt:lpwstr>
      </vt:variant>
      <vt:variant>
        <vt:i4>1310769</vt:i4>
      </vt:variant>
      <vt:variant>
        <vt:i4>98</vt:i4>
      </vt:variant>
      <vt:variant>
        <vt:i4>0</vt:i4>
      </vt:variant>
      <vt:variant>
        <vt:i4>5</vt:i4>
      </vt:variant>
      <vt:variant>
        <vt:lpwstr/>
      </vt:variant>
      <vt:variant>
        <vt:lpwstr>_Toc213771744</vt:lpwstr>
      </vt:variant>
      <vt:variant>
        <vt:i4>1310769</vt:i4>
      </vt:variant>
      <vt:variant>
        <vt:i4>92</vt:i4>
      </vt:variant>
      <vt:variant>
        <vt:i4>0</vt:i4>
      </vt:variant>
      <vt:variant>
        <vt:i4>5</vt:i4>
      </vt:variant>
      <vt:variant>
        <vt:lpwstr/>
      </vt:variant>
      <vt:variant>
        <vt:lpwstr>_Toc213771743</vt:lpwstr>
      </vt:variant>
      <vt:variant>
        <vt:i4>1310769</vt:i4>
      </vt:variant>
      <vt:variant>
        <vt:i4>86</vt:i4>
      </vt:variant>
      <vt:variant>
        <vt:i4>0</vt:i4>
      </vt:variant>
      <vt:variant>
        <vt:i4>5</vt:i4>
      </vt:variant>
      <vt:variant>
        <vt:lpwstr/>
      </vt:variant>
      <vt:variant>
        <vt:lpwstr>_Toc213771742</vt:lpwstr>
      </vt:variant>
      <vt:variant>
        <vt:i4>1310769</vt:i4>
      </vt:variant>
      <vt:variant>
        <vt:i4>80</vt:i4>
      </vt:variant>
      <vt:variant>
        <vt:i4>0</vt:i4>
      </vt:variant>
      <vt:variant>
        <vt:i4>5</vt:i4>
      </vt:variant>
      <vt:variant>
        <vt:lpwstr/>
      </vt:variant>
      <vt:variant>
        <vt:lpwstr>_Toc213771741</vt:lpwstr>
      </vt:variant>
      <vt:variant>
        <vt:i4>1310769</vt:i4>
      </vt:variant>
      <vt:variant>
        <vt:i4>74</vt:i4>
      </vt:variant>
      <vt:variant>
        <vt:i4>0</vt:i4>
      </vt:variant>
      <vt:variant>
        <vt:i4>5</vt:i4>
      </vt:variant>
      <vt:variant>
        <vt:lpwstr/>
      </vt:variant>
      <vt:variant>
        <vt:lpwstr>_Toc213771740</vt:lpwstr>
      </vt:variant>
      <vt:variant>
        <vt:i4>1245233</vt:i4>
      </vt:variant>
      <vt:variant>
        <vt:i4>68</vt:i4>
      </vt:variant>
      <vt:variant>
        <vt:i4>0</vt:i4>
      </vt:variant>
      <vt:variant>
        <vt:i4>5</vt:i4>
      </vt:variant>
      <vt:variant>
        <vt:lpwstr/>
      </vt:variant>
      <vt:variant>
        <vt:lpwstr>_Toc213771739</vt:lpwstr>
      </vt:variant>
      <vt:variant>
        <vt:i4>1245233</vt:i4>
      </vt:variant>
      <vt:variant>
        <vt:i4>62</vt:i4>
      </vt:variant>
      <vt:variant>
        <vt:i4>0</vt:i4>
      </vt:variant>
      <vt:variant>
        <vt:i4>5</vt:i4>
      </vt:variant>
      <vt:variant>
        <vt:lpwstr/>
      </vt:variant>
      <vt:variant>
        <vt:lpwstr>_Toc213771738</vt:lpwstr>
      </vt:variant>
      <vt:variant>
        <vt:i4>1245233</vt:i4>
      </vt:variant>
      <vt:variant>
        <vt:i4>56</vt:i4>
      </vt:variant>
      <vt:variant>
        <vt:i4>0</vt:i4>
      </vt:variant>
      <vt:variant>
        <vt:i4>5</vt:i4>
      </vt:variant>
      <vt:variant>
        <vt:lpwstr/>
      </vt:variant>
      <vt:variant>
        <vt:lpwstr>_Toc213771737</vt:lpwstr>
      </vt:variant>
      <vt:variant>
        <vt:i4>1245233</vt:i4>
      </vt:variant>
      <vt:variant>
        <vt:i4>50</vt:i4>
      </vt:variant>
      <vt:variant>
        <vt:i4>0</vt:i4>
      </vt:variant>
      <vt:variant>
        <vt:i4>5</vt:i4>
      </vt:variant>
      <vt:variant>
        <vt:lpwstr/>
      </vt:variant>
      <vt:variant>
        <vt:lpwstr>_Toc213771736</vt:lpwstr>
      </vt:variant>
      <vt:variant>
        <vt:i4>1245233</vt:i4>
      </vt:variant>
      <vt:variant>
        <vt:i4>44</vt:i4>
      </vt:variant>
      <vt:variant>
        <vt:i4>0</vt:i4>
      </vt:variant>
      <vt:variant>
        <vt:i4>5</vt:i4>
      </vt:variant>
      <vt:variant>
        <vt:lpwstr/>
      </vt:variant>
      <vt:variant>
        <vt:lpwstr>_Toc213771735</vt:lpwstr>
      </vt:variant>
      <vt:variant>
        <vt:i4>1245233</vt:i4>
      </vt:variant>
      <vt:variant>
        <vt:i4>38</vt:i4>
      </vt:variant>
      <vt:variant>
        <vt:i4>0</vt:i4>
      </vt:variant>
      <vt:variant>
        <vt:i4>5</vt:i4>
      </vt:variant>
      <vt:variant>
        <vt:lpwstr/>
      </vt:variant>
      <vt:variant>
        <vt:lpwstr>_Toc213771734</vt:lpwstr>
      </vt:variant>
      <vt:variant>
        <vt:i4>1245233</vt:i4>
      </vt:variant>
      <vt:variant>
        <vt:i4>32</vt:i4>
      </vt:variant>
      <vt:variant>
        <vt:i4>0</vt:i4>
      </vt:variant>
      <vt:variant>
        <vt:i4>5</vt:i4>
      </vt:variant>
      <vt:variant>
        <vt:lpwstr/>
      </vt:variant>
      <vt:variant>
        <vt:lpwstr>_Toc213771733</vt:lpwstr>
      </vt:variant>
      <vt:variant>
        <vt:i4>1245233</vt:i4>
      </vt:variant>
      <vt:variant>
        <vt:i4>26</vt:i4>
      </vt:variant>
      <vt:variant>
        <vt:i4>0</vt:i4>
      </vt:variant>
      <vt:variant>
        <vt:i4>5</vt:i4>
      </vt:variant>
      <vt:variant>
        <vt:lpwstr/>
      </vt:variant>
      <vt:variant>
        <vt:lpwstr>_Toc213771732</vt:lpwstr>
      </vt:variant>
      <vt:variant>
        <vt:i4>1245233</vt:i4>
      </vt:variant>
      <vt:variant>
        <vt:i4>20</vt:i4>
      </vt:variant>
      <vt:variant>
        <vt:i4>0</vt:i4>
      </vt:variant>
      <vt:variant>
        <vt:i4>5</vt:i4>
      </vt:variant>
      <vt:variant>
        <vt:lpwstr/>
      </vt:variant>
      <vt:variant>
        <vt:lpwstr>_Toc213771731</vt:lpwstr>
      </vt:variant>
      <vt:variant>
        <vt:i4>1245233</vt:i4>
      </vt:variant>
      <vt:variant>
        <vt:i4>14</vt:i4>
      </vt:variant>
      <vt:variant>
        <vt:i4>0</vt:i4>
      </vt:variant>
      <vt:variant>
        <vt:i4>5</vt:i4>
      </vt:variant>
      <vt:variant>
        <vt:lpwstr/>
      </vt:variant>
      <vt:variant>
        <vt:lpwstr>_Toc213771730</vt:lpwstr>
      </vt:variant>
      <vt:variant>
        <vt:i4>1179697</vt:i4>
      </vt:variant>
      <vt:variant>
        <vt:i4>8</vt:i4>
      </vt:variant>
      <vt:variant>
        <vt:i4>0</vt:i4>
      </vt:variant>
      <vt:variant>
        <vt:i4>5</vt:i4>
      </vt:variant>
      <vt:variant>
        <vt:lpwstr/>
      </vt:variant>
      <vt:variant>
        <vt:lpwstr>_Toc213771729</vt:lpwstr>
      </vt:variant>
      <vt:variant>
        <vt:i4>1179697</vt:i4>
      </vt:variant>
      <vt:variant>
        <vt:i4>2</vt:i4>
      </vt:variant>
      <vt:variant>
        <vt:i4>0</vt:i4>
      </vt:variant>
      <vt:variant>
        <vt:i4>5</vt:i4>
      </vt:variant>
      <vt:variant>
        <vt:lpwstr/>
      </vt:variant>
      <vt:variant>
        <vt:lpwstr>_Toc213771728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Marketplace Protocols</dc:title>
  <dc:subject/>
  <dc:creator>protocolrevisions@spp.org</dc:creator>
  <cp:keywords/>
  <dc:description/>
  <cp:lastModifiedBy>Ken Sands</cp:lastModifiedBy>
  <cp:revision>2</cp:revision>
  <cp:lastPrinted>2023-01-21T18:00:00Z</cp:lastPrinted>
  <dcterms:created xsi:type="dcterms:W3CDTF">2026-01-08T21:49:00Z</dcterms:created>
  <dcterms:modified xsi:type="dcterms:W3CDTF">2026-01-08T21:49:00Z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0x010100E332328C64684A4C9D6D2FEF34CC863D</vt:lpwstr>
  </property>
  <property fmtid="{D5CDD505-2E9C-101B-9397-08002B2CF9AE}" pid="4" name="ClassificationContentMarkingFooterFontProps">
    <vt:lpwstr>#008000,10,Calibri</vt:lpwstr>
  </property>
  <property fmtid="{D5CDD505-2E9C-101B-9397-08002B2CF9AE}" pid="5" name="ClassificationContentMarkingFooterText">
    <vt:lpwstr>SPP Internal Only</vt:lpwstr>
  </property>
  <property fmtid="{D5CDD505-2E9C-101B-9397-08002B2CF9AE}" pid="6" name="MSIP_Label_22462c74-252a-40f3-94ee-5a25abdf097a_Enabled">
    <vt:lpwstr>true</vt:lpwstr>
  </property>
  <property fmtid="{D5CDD505-2E9C-101B-9397-08002B2CF9AE}" pid="7" name="MSIP_Label_22462c74-252a-40f3-94ee-5a25abdf097a_SetDate">
    <vt:lpwstr>2024-01-25T20:24:04Z</vt:lpwstr>
  </property>
  <property fmtid="{D5CDD505-2E9C-101B-9397-08002B2CF9AE}" pid="8" name="MSIP_Label_22462c74-252a-40f3-94ee-5a25abdf097a_Method">
    <vt:lpwstr>Standard</vt:lpwstr>
  </property>
  <property fmtid="{D5CDD505-2E9C-101B-9397-08002B2CF9AE}" pid="9" name="MSIP_Label_22462c74-252a-40f3-94ee-5a25abdf097a_Name">
    <vt:lpwstr>Internal</vt:lpwstr>
  </property>
  <property fmtid="{D5CDD505-2E9C-101B-9397-08002B2CF9AE}" pid="10" name="MSIP_Label_22462c74-252a-40f3-94ee-5a25abdf097a_SiteId">
    <vt:lpwstr>3230926a-71b7-4370-a137-197badc066a2</vt:lpwstr>
  </property>
  <property fmtid="{D5CDD505-2E9C-101B-9397-08002B2CF9AE}" pid="11" name="MSIP_Label_22462c74-252a-40f3-94ee-5a25abdf097a_ActionId">
    <vt:lpwstr>b7b61df8-19cf-4876-bdfb-43089567756b</vt:lpwstr>
  </property>
  <property fmtid="{D5CDD505-2E9C-101B-9397-08002B2CF9AE}" pid="12" name="MSIP_Label_22462c74-252a-40f3-94ee-5a25abdf097a_ContentBits">
    <vt:lpwstr>2</vt:lpwstr>
  </property>
  <property fmtid="{D5CDD505-2E9C-101B-9397-08002B2CF9AE}" pid="13" name="GrammarlyDocumentId">
    <vt:lpwstr>bed3c12dfe4353bd0df06d308250862833866004b15c3af06480bee4f26c3197</vt:lpwstr>
  </property>
  <property fmtid="{D5CDD505-2E9C-101B-9397-08002B2CF9AE}" pid="14" name="MediaServiceImageTags">
    <vt:lpwstr/>
  </property>
  <property fmtid="{D5CDD505-2E9C-101B-9397-08002B2CF9AE}" pid="15" name="ClassificationContentMarkingFooterShapeIds">
    <vt:lpwstr>3c2feac6,2a51123b,75b03e55,7ea6735e,289ca44,f70e3f2,60fdccf6,40595a8a,72e6dea,27abe8db,7908ec8d,345a421c,f6c228d,66a0c2f9,4f151f10,41c14aa,4c8a6158,72f14f2e,3d154748,4831ea0b,18eb9fbc,3c1e7c6f,4f4f687,6a1dfbd4</vt:lpwstr>
  </property>
  <property fmtid="{D5CDD505-2E9C-101B-9397-08002B2CF9AE}" pid="16" name="ClassificationContentMarkingFooterShapeIds-1">
    <vt:lpwstr>1043e715,2b8584b1,1c10ad4d,5fcc28c2,7e09d940,30eb7b47,1470ab26,704ffe33,1ace0cd7,14bc341f,cb6a621,15f8ab93,63b8c5d1,123b33ab,fdeda06,4b5a728d,a72149a,3a9b712f,61fdd8b4,18817beb,11407221,3b30bbcc,609aaf76</vt:lpwstr>
  </property>
  <property fmtid="{D5CDD505-2E9C-101B-9397-08002B2CF9AE}" pid="17" name="ClassificationContentMarkingFooterShapeIds-2">
    <vt:lpwstr>6985e6f6,27852b47,24d3272,21e39cfc,6cbfd6f8,6294531b,677557bd,47aee1d6,17b99ab8</vt:lpwstr>
  </property>
  <property fmtid="{D5CDD505-2E9C-101B-9397-08002B2CF9AE}" pid="18" name="docLang">
    <vt:lpwstr>en</vt:lpwstr>
  </property>
</Properties>
</file>